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Правительства Севастополя от 23.12.2021 N 697-ПП</w:t>
              <w:br/>
              <w:t xml:space="preserve">(ред. от 03.11.2023)</w:t>
              <w:br/>
              <w:t xml:space="preserve">"Об утверждении государственной программы города Севастополя "Развитие здравоохранения в городе Севастополе"</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24.11.2023</w:t>
            </w:r>
            <w:r>
              <w:rPr>
                <w:sz w:val="28"/>
              </w:rPr>
              <w:br/>
              <w:t xml:space="preserve"> </w:t>
            </w:r>
          </w:p>
        </w:tc>
      </w:tr>
    </w:tbl>
    <w:p>
      <w:pPr>
        <w:sectPr>
          <w:pgSz w:w="11906" w:h="16838"/>
          <w:pgMar w:top="841" w:right="595" w:bottom="841" w:left="595" w:header="0" w:footer="0" w:gutter="0"/>
          <w:titlePg/>
        </w:sectPr>
      </w:pPr>
    </w:p>
    <w:p>
      <w:pPr>
        <w:pStyle w:val="0"/>
        <w:outlineLvl w:val="0"/>
      </w:pPr>
      <w:r>
        <w:rPr>
          <w:sz w:val="20"/>
        </w:rPr>
      </w:r>
    </w:p>
    <w:p>
      <w:pPr>
        <w:pStyle w:val="2"/>
        <w:outlineLvl w:val="0"/>
        <w:jc w:val="center"/>
      </w:pPr>
      <w:r>
        <w:rPr>
          <w:sz w:val="20"/>
        </w:rPr>
        <w:t xml:space="preserve">ПРАВИТЕЛЬСТВО СЕВАСТОПОЛЯ</w:t>
      </w:r>
    </w:p>
    <w:p>
      <w:pPr>
        <w:pStyle w:val="2"/>
        <w:jc w:val="center"/>
      </w:pPr>
      <w:r>
        <w:rPr>
          <w:sz w:val="20"/>
        </w:rPr>
      </w:r>
    </w:p>
    <w:p>
      <w:pPr>
        <w:pStyle w:val="2"/>
        <w:jc w:val="center"/>
      </w:pPr>
      <w:r>
        <w:rPr>
          <w:sz w:val="20"/>
        </w:rPr>
        <w:t xml:space="preserve">ПОСТАНОВЛЕНИЕ</w:t>
      </w:r>
    </w:p>
    <w:p>
      <w:pPr>
        <w:pStyle w:val="2"/>
        <w:jc w:val="center"/>
      </w:pPr>
      <w:r>
        <w:rPr>
          <w:sz w:val="20"/>
        </w:rPr>
        <w:t xml:space="preserve">от 23 декабря 2021 г. N 697-ПП</w:t>
      </w:r>
    </w:p>
    <w:p>
      <w:pPr>
        <w:pStyle w:val="2"/>
        <w:jc w:val="center"/>
      </w:pPr>
      <w:r>
        <w:rPr>
          <w:sz w:val="20"/>
        </w:rPr>
      </w:r>
    </w:p>
    <w:p>
      <w:pPr>
        <w:pStyle w:val="2"/>
        <w:jc w:val="center"/>
      </w:pPr>
      <w:r>
        <w:rPr>
          <w:sz w:val="20"/>
        </w:rPr>
        <w:t xml:space="preserve">ОБ УТВЕРЖДЕНИИ ГОСУДАРСТВЕННОЙ ПРОГРАММЫ ГОРОДА СЕВАСТОПОЛЯ</w:t>
      </w:r>
    </w:p>
    <w:p>
      <w:pPr>
        <w:pStyle w:val="2"/>
        <w:jc w:val="center"/>
      </w:pPr>
      <w:r>
        <w:rPr>
          <w:sz w:val="20"/>
        </w:rPr>
        <w:t xml:space="preserve">"РАЗВИТИЕ ЗДРАВООХРАНЕНИЯ В ГОРОДЕ СЕВАСТОПОЛЕ"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Севастополя от 14.04.2022 </w:t>
            </w:r>
            <w:hyperlink w:history="0" r:id="rId7"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color w:val="392c69"/>
              </w:rPr>
              <w:t xml:space="preserve">,</w:t>
            </w:r>
          </w:p>
          <w:p>
            <w:pPr>
              <w:pStyle w:val="0"/>
              <w:jc w:val="center"/>
            </w:pPr>
            <w:r>
              <w:rPr>
                <w:sz w:val="20"/>
                <w:color w:val="392c69"/>
              </w:rPr>
              <w:t xml:space="preserve">от 26.05.2022 </w:t>
            </w:r>
            <w:hyperlink w:history="0" r:id="rId8"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224-ПП</w:t>
              </w:r>
            </w:hyperlink>
            <w:r>
              <w:rPr>
                <w:sz w:val="20"/>
                <w:color w:val="392c69"/>
              </w:rPr>
              <w:t xml:space="preserve">, от 15.06.2022 </w:t>
            </w:r>
            <w:hyperlink w:history="0" r:id="rId9" w:tooltip="Постановление Правительства Севастополя от 15.06.2022 N 25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251-ПП</w:t>
              </w:r>
            </w:hyperlink>
            <w:r>
              <w:rPr>
                <w:sz w:val="20"/>
                <w:color w:val="392c69"/>
              </w:rPr>
              <w:t xml:space="preserve">, от 29.07.2022 </w:t>
            </w:r>
            <w:hyperlink w:history="0" r:id="rId10" w:tooltip="Постановление Правительства Севастополя от 29.07.2022 N 323-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323-ПП</w:t>
              </w:r>
            </w:hyperlink>
            <w:r>
              <w:rPr>
                <w:sz w:val="20"/>
                <w:color w:val="392c69"/>
              </w:rPr>
              <w:t xml:space="preserve">,</w:t>
            </w:r>
          </w:p>
          <w:p>
            <w:pPr>
              <w:pStyle w:val="0"/>
              <w:jc w:val="center"/>
            </w:pPr>
            <w:r>
              <w:rPr>
                <w:sz w:val="20"/>
                <w:color w:val="392c69"/>
              </w:rPr>
              <w:t xml:space="preserve">от 31.08.2022 </w:t>
            </w:r>
            <w:hyperlink w:history="0" r:id="rId11" w:tooltip="Постановление Правительства Севастополя от 31.08.2022 N 403-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403-ПП</w:t>
              </w:r>
            </w:hyperlink>
            <w:r>
              <w:rPr>
                <w:sz w:val="20"/>
                <w:color w:val="392c69"/>
              </w:rPr>
              <w:t xml:space="preserve">, от 15.09.2022 </w:t>
            </w:r>
            <w:hyperlink w:history="0" r:id="rId12" w:tooltip="Постановление Правительства Севастополя от 15.09.2022 N 42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422-ПП</w:t>
              </w:r>
            </w:hyperlink>
            <w:r>
              <w:rPr>
                <w:sz w:val="20"/>
                <w:color w:val="392c69"/>
              </w:rPr>
              <w:t xml:space="preserve">, от 28.09.2022 </w:t>
            </w:r>
            <w:hyperlink w:history="0" r:id="rId13" w:tooltip="Постановление Правительства Севастополя от 28.09.2022 N 47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474-ПП</w:t>
              </w:r>
            </w:hyperlink>
            <w:r>
              <w:rPr>
                <w:sz w:val="20"/>
                <w:color w:val="392c69"/>
              </w:rPr>
              <w:t xml:space="preserve">,</w:t>
            </w:r>
          </w:p>
          <w:p>
            <w:pPr>
              <w:pStyle w:val="0"/>
              <w:jc w:val="center"/>
            </w:pPr>
            <w:r>
              <w:rPr>
                <w:sz w:val="20"/>
                <w:color w:val="392c69"/>
              </w:rPr>
              <w:t xml:space="preserve">от 10.11.2022 </w:t>
            </w:r>
            <w:hyperlink w:history="0" r:id="rId14"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561-ПП</w:t>
              </w:r>
            </w:hyperlink>
            <w:r>
              <w:rPr>
                <w:sz w:val="20"/>
                <w:color w:val="392c69"/>
              </w:rPr>
              <w:t xml:space="preserve">, от 08.12.2022 </w:t>
            </w:r>
            <w:hyperlink w:history="0" r:id="rId15"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638-ПП</w:t>
              </w:r>
            </w:hyperlink>
            <w:r>
              <w:rPr>
                <w:sz w:val="20"/>
                <w:color w:val="392c69"/>
              </w:rPr>
              <w:t xml:space="preserve">, от 26.12.2022 </w:t>
            </w:r>
            <w:hyperlink w:history="0" r:id="rId16" w:tooltip="Постановление Правительства Севастополя от 26.12.2022 N 70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702-ПП</w:t>
              </w:r>
            </w:hyperlink>
            <w:r>
              <w:rPr>
                <w:sz w:val="20"/>
                <w:color w:val="392c69"/>
              </w:rPr>
              <w:t xml:space="preserve">,</w:t>
            </w:r>
          </w:p>
          <w:p>
            <w:pPr>
              <w:pStyle w:val="0"/>
              <w:jc w:val="center"/>
            </w:pPr>
            <w:r>
              <w:rPr>
                <w:sz w:val="20"/>
                <w:color w:val="392c69"/>
              </w:rPr>
              <w:t xml:space="preserve">от 02.03.2023 </w:t>
            </w:r>
            <w:hyperlink w:history="0" r:id="rId17"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108-ПП</w:t>
              </w:r>
            </w:hyperlink>
            <w:r>
              <w:rPr>
                <w:sz w:val="20"/>
                <w:color w:val="392c69"/>
              </w:rPr>
              <w:t xml:space="preserve">, от 27.04.2023 </w:t>
            </w:r>
            <w:hyperlink w:history="0" r:id="rId1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color w:val="392c69"/>
              </w:rPr>
              <w:t xml:space="preserve">, от 08.06.2023 </w:t>
            </w:r>
            <w:hyperlink w:history="0" r:id="rId19" w:tooltip="Постановление Правительства Севастополя от 08.06.2023 N 27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271-ПП</w:t>
              </w:r>
            </w:hyperlink>
            <w:r>
              <w:rPr>
                <w:sz w:val="20"/>
                <w:color w:val="392c69"/>
              </w:rPr>
              <w:t xml:space="preserve">,</w:t>
            </w:r>
          </w:p>
          <w:p>
            <w:pPr>
              <w:pStyle w:val="0"/>
              <w:jc w:val="center"/>
            </w:pPr>
            <w:r>
              <w:rPr>
                <w:sz w:val="20"/>
                <w:color w:val="392c69"/>
              </w:rPr>
              <w:t xml:space="preserve">от 28.07.2023 </w:t>
            </w:r>
            <w:hyperlink w:history="0" r:id="rId20"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358-ПП</w:t>
              </w:r>
            </w:hyperlink>
            <w:r>
              <w:rPr>
                <w:sz w:val="20"/>
                <w:color w:val="392c69"/>
              </w:rPr>
              <w:t xml:space="preserve">, от 16.10.2023 </w:t>
            </w:r>
            <w:hyperlink w:history="0" r:id="rId21"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470-ПП</w:t>
              </w:r>
            </w:hyperlink>
            <w:r>
              <w:rPr>
                <w:sz w:val="20"/>
                <w:color w:val="392c69"/>
              </w:rPr>
              <w:t xml:space="preserve">, от 03.11.2023 </w:t>
            </w:r>
            <w:hyperlink w:history="0" r:id="rId2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506-ПП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В соответствии с Бюджетным </w:t>
      </w:r>
      <w:hyperlink w:history="0" r:id="rId23" w:tooltip="&quot;Бюджетный кодекс Российской Федерации&quot; от 31.07.1998 N 145-ФЗ (ред. от 02.11.2023) {КонсультантПлюс}">
        <w:r>
          <w:rPr>
            <w:sz w:val="20"/>
            <w:color w:val="0000ff"/>
          </w:rPr>
          <w:t xml:space="preserve">кодексом</w:t>
        </w:r>
      </w:hyperlink>
      <w:r>
        <w:rPr>
          <w:sz w:val="20"/>
        </w:rPr>
        <w:t xml:space="preserve"> Российской Федерации, </w:t>
      </w:r>
      <w:hyperlink w:history="0" r:id="rId24"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постановлением</w:t>
        </w:r>
      </w:hyperlink>
      <w:r>
        <w:rPr>
          <w:sz w:val="20"/>
        </w:rPr>
        <w:t xml:space="preserve"> Правительства Российской Федерации от 30.01.2019 N 63 "Об утверждении государственной программы Российской Федерации "Социально-экономическое развитие Республики Крым и г. Севастополя", </w:t>
      </w:r>
      <w:hyperlink w:history="0" r:id="rId25" w:tooltip="&quot;Устав города Севастополя&quot; от 14.04.2014 N 1-ЗС (принят Законодательным Собранием г. Севастополя 11.04.2014) (ред. от 30.12.2022) (с изм. и доп., вступающими в силу с 01.01.2023) {КонсультантПлюс}">
        <w:r>
          <w:rPr>
            <w:sz w:val="20"/>
            <w:color w:val="0000ff"/>
          </w:rPr>
          <w:t xml:space="preserve">Уставом</w:t>
        </w:r>
      </w:hyperlink>
      <w:r>
        <w:rPr>
          <w:sz w:val="20"/>
        </w:rPr>
        <w:t xml:space="preserve"> города Севастополя, законами города Севастополя от 14.08.2014 </w:t>
      </w:r>
      <w:hyperlink w:history="0" r:id="rId26" w:tooltip="Закон города Севастополя от 14.08.2014 N 59-ЗС (ред. от 02.12.2022) &quot;О бюджетном процессе в городе Севастополе&quot; (принят Законодательным Собранием г. Севастополя 31.07.2014) {КонсультантПлюс}">
        <w:r>
          <w:rPr>
            <w:sz w:val="20"/>
            <w:color w:val="0000ff"/>
          </w:rPr>
          <w:t xml:space="preserve">N 59-ЗС</w:t>
        </w:r>
      </w:hyperlink>
      <w:r>
        <w:rPr>
          <w:sz w:val="20"/>
        </w:rPr>
        <w:t xml:space="preserve"> "О бюджетном процессе в городе Севастополе", от 29.09.2015 </w:t>
      </w:r>
      <w:hyperlink w:history="0" r:id="rId27" w:tooltip="Закон города Севастополя от 29.09.2015 N 185-ЗС (ред. от 23.07.2019) &quot;О правовых актах города Севастополя&quot; (принят Законодательным Собранием г. Севастополя 22.09.2015) {КонсультантПлюс}">
        <w:r>
          <w:rPr>
            <w:sz w:val="20"/>
            <w:color w:val="0000ff"/>
          </w:rPr>
          <w:t xml:space="preserve">N 185-ЗС</w:t>
        </w:r>
      </w:hyperlink>
      <w:r>
        <w:rPr>
          <w:sz w:val="20"/>
        </w:rPr>
        <w:t xml:space="preserve"> "О правовых актах города Севастополя", от 20.12.2022 </w:t>
      </w:r>
      <w:hyperlink w:history="0" r:id="rId28" w:tooltip="Закон города Севастополя от 20.12.2022 N 728-ЗС (ред. от 27.06.2023) &quot;О бюджете города Севастополя на 2023 год и плановый период 2024 и 2025 годов&quot; (принят Законодательным Собранием г. Севастополя 19.12.2022) (вместе с &quot;Нормативами отчислений от налоговых доходов в бюджеты внутригородских муниципальных образований города Севастополя на 2023 год и плановый период 2024 и 2025 годов&quot;, &quot;Перечнем расходных обязательств внутригородских муниципальных образований города Севастополя, вытекающих из полномочий по вопр {КонсультантПлюс}">
        <w:r>
          <w:rPr>
            <w:sz w:val="20"/>
            <w:color w:val="0000ff"/>
          </w:rPr>
          <w:t xml:space="preserve">N 728-ЗС</w:t>
        </w:r>
      </w:hyperlink>
      <w:r>
        <w:rPr>
          <w:sz w:val="20"/>
        </w:rPr>
        <w:t xml:space="preserve"> "О бюджете города Севастополя на 2023 год и плановый период 2024 и 2025 годов", от 30.12.2022 </w:t>
      </w:r>
      <w:hyperlink w:history="0" r:id="rId29" w:tooltip="Закон города Севастополя от 30.12.2022 N 737-ЗС &quot;О Правительстве Севастополя&quot; (принят Законодательным Собранием г. Севастополя 30.12.2022) {КонсультантПлюс}">
        <w:r>
          <w:rPr>
            <w:sz w:val="20"/>
            <w:color w:val="0000ff"/>
          </w:rPr>
          <w:t xml:space="preserve">N 737-ЗС</w:t>
        </w:r>
      </w:hyperlink>
      <w:r>
        <w:rPr>
          <w:sz w:val="20"/>
        </w:rPr>
        <w:t xml:space="preserve"> "О Правительстве Севастополя", постановлениями Правительства Севастополя от 06.04.2017 </w:t>
      </w:r>
      <w:hyperlink w:history="0" r:id="rId30" w:tooltip="Постановление Правительства Севастополя от 06.04.2017 N 284-ПП (ред. от 02.09.2021) &quot;Об утверждении Порядка разработки, реализации и оценки эффективности реализации государственных программ города Севастополя&quot; {КонсультантПлюс}">
        <w:r>
          <w:rPr>
            <w:sz w:val="20"/>
            <w:color w:val="0000ff"/>
          </w:rPr>
          <w:t xml:space="preserve">N 284-ПП</w:t>
        </w:r>
      </w:hyperlink>
      <w:r>
        <w:rPr>
          <w:sz w:val="20"/>
        </w:rPr>
        <w:t xml:space="preserve"> "Об утверждении Порядка разработки, реализации и оценки эффективности реализации государственных программ города Севастополя", от 20.09.2021 </w:t>
      </w:r>
      <w:hyperlink w:history="0" r:id="rId31" w:tooltip="Постановление Правительства Севастополя от 20.09.2021 N 453-ПП (ред. от 25.11.2021) &quot;Об утверждении Перечня государственных программ города Севастополя, реализация которых планируется с 2022 года&quot; {КонсультантПлюс}">
        <w:r>
          <w:rPr>
            <w:sz w:val="20"/>
            <w:color w:val="0000ff"/>
          </w:rPr>
          <w:t xml:space="preserve">N 453-ПП</w:t>
        </w:r>
      </w:hyperlink>
      <w:r>
        <w:rPr>
          <w:sz w:val="20"/>
        </w:rPr>
        <w:t xml:space="preserve"> "Об утверждении Перечня государственных программ города Севастополя, реализация которых планируется с 2022 года" в целях эффективной реализации государственной политики в сфере здравоохранения на территории города Севастополя Правительство Севастополя постановляет:</w:t>
      </w:r>
    </w:p>
    <w:p>
      <w:pPr>
        <w:pStyle w:val="0"/>
        <w:jc w:val="both"/>
      </w:pPr>
      <w:r>
        <w:rPr>
          <w:sz w:val="20"/>
        </w:rPr>
        <w:t xml:space="preserve">(преамбула в ред. </w:t>
      </w:r>
      <w:hyperlink w:history="0" r:id="rId3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ind w:firstLine="540"/>
        <w:jc w:val="both"/>
      </w:pPr>
      <w:r>
        <w:rPr>
          <w:sz w:val="20"/>
        </w:rPr>
      </w:r>
    </w:p>
    <w:p>
      <w:pPr>
        <w:pStyle w:val="0"/>
        <w:ind w:firstLine="540"/>
        <w:jc w:val="both"/>
      </w:pPr>
      <w:r>
        <w:rPr>
          <w:sz w:val="20"/>
        </w:rPr>
        <w:t xml:space="preserve">1. Утвердить государственную </w:t>
      </w:r>
      <w:hyperlink w:history="0" w:anchor="P42" w:tooltip="ГОСУДАРСТВЕННАЯ ПРОГРАММА">
        <w:r>
          <w:rPr>
            <w:sz w:val="20"/>
            <w:color w:val="0000ff"/>
          </w:rPr>
          <w:t xml:space="preserve">программу</w:t>
        </w:r>
      </w:hyperlink>
      <w:r>
        <w:rPr>
          <w:sz w:val="20"/>
        </w:rPr>
        <w:t xml:space="preserve"> города Севастополя "Развитие здравоохранения в городе Севастополе" (далее - Программа).</w:t>
      </w:r>
    </w:p>
    <w:p>
      <w:pPr>
        <w:pStyle w:val="0"/>
        <w:ind w:firstLine="540"/>
        <w:jc w:val="both"/>
      </w:pPr>
      <w:r>
        <w:rPr>
          <w:sz w:val="20"/>
        </w:rPr>
      </w:r>
    </w:p>
    <w:p>
      <w:pPr>
        <w:pStyle w:val="0"/>
        <w:ind w:firstLine="540"/>
        <w:jc w:val="both"/>
      </w:pPr>
      <w:r>
        <w:rPr>
          <w:sz w:val="20"/>
        </w:rPr>
        <w:t xml:space="preserve">2. Департаменту финансов города Севастополя предусмотреть в бюджете города Севастополя средства для финансирования мероприятий Программы.</w:t>
      </w:r>
    </w:p>
    <w:p>
      <w:pPr>
        <w:pStyle w:val="0"/>
        <w:ind w:firstLine="540"/>
        <w:jc w:val="both"/>
      </w:pPr>
      <w:r>
        <w:rPr>
          <w:sz w:val="20"/>
        </w:rPr>
      </w:r>
    </w:p>
    <w:p>
      <w:pPr>
        <w:pStyle w:val="0"/>
        <w:ind w:firstLine="540"/>
        <w:jc w:val="both"/>
      </w:pPr>
      <w:r>
        <w:rPr>
          <w:sz w:val="20"/>
        </w:rPr>
        <w:t xml:space="preserve">3. Департаменту здравоохранения города Севастополя разработать и утвердить Комплексный </w:t>
      </w:r>
      <w:hyperlink w:history="0" r:id="rId33" w:tooltip="Постановление Правительства Севастополя от 06.04.2017 N 284-ПП (ред. от 02.09.2021) &quot;Об утверждении Порядка разработки, реализации и оценки эффективности реализации государственных программ города Севастополя&quot; {КонсультантПлюс}">
        <w:r>
          <w:rPr>
            <w:sz w:val="20"/>
            <w:color w:val="0000ff"/>
          </w:rPr>
          <w:t xml:space="preserve">план</w:t>
        </w:r>
      </w:hyperlink>
      <w:r>
        <w:rPr>
          <w:sz w:val="20"/>
        </w:rPr>
        <w:t xml:space="preserve"> действий по реализации Программы на 2022 год и плановый период по форме согласно приложению N 2 к Порядку разработки, реализации и оценки эффективности реализации государственных программ города Севастополя, утвержденному постановлением Правительства Севастополя от 06.04.2017 N 284-ПП, не позднее 14 дней со дня утверждения Программы.</w:t>
      </w:r>
    </w:p>
    <w:p>
      <w:pPr>
        <w:pStyle w:val="0"/>
        <w:ind w:firstLine="540"/>
        <w:jc w:val="both"/>
      </w:pPr>
      <w:r>
        <w:rPr>
          <w:sz w:val="20"/>
        </w:rPr>
      </w:r>
    </w:p>
    <w:p>
      <w:pPr>
        <w:pStyle w:val="0"/>
        <w:ind w:firstLine="540"/>
        <w:jc w:val="both"/>
      </w:pPr>
      <w:r>
        <w:rPr>
          <w:sz w:val="20"/>
        </w:rPr>
        <w:t xml:space="preserve">4. Настоящее постановление вступает в силу с 01.01.2022.</w:t>
      </w:r>
    </w:p>
    <w:p>
      <w:pPr>
        <w:pStyle w:val="0"/>
        <w:ind w:firstLine="540"/>
        <w:jc w:val="both"/>
      </w:pPr>
      <w:r>
        <w:rPr>
          <w:sz w:val="20"/>
        </w:rPr>
      </w:r>
    </w:p>
    <w:p>
      <w:pPr>
        <w:pStyle w:val="0"/>
        <w:ind w:firstLine="540"/>
        <w:jc w:val="both"/>
      </w:pPr>
      <w:r>
        <w:rPr>
          <w:sz w:val="20"/>
        </w:rPr>
        <w:t xml:space="preserve">5. Контроль за исполнением настоящего постановления возложить на заместителя Губернатора города Севастополя, координирующего работу по вопросам формирования и реализации государственной политики в сфере здравоохранения.</w:t>
      </w:r>
    </w:p>
    <w:p>
      <w:pPr>
        <w:pStyle w:val="0"/>
        <w:jc w:val="both"/>
      </w:pPr>
      <w:r>
        <w:rPr>
          <w:sz w:val="20"/>
        </w:rPr>
        <w:t xml:space="preserve">(в ред. </w:t>
      </w:r>
      <w:hyperlink w:history="0" r:id="rId3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ind w:firstLine="540"/>
        <w:jc w:val="both"/>
      </w:pPr>
      <w:r>
        <w:rPr>
          <w:sz w:val="20"/>
        </w:rPr>
      </w:r>
    </w:p>
    <w:p>
      <w:pPr>
        <w:pStyle w:val="0"/>
        <w:jc w:val="right"/>
      </w:pPr>
      <w:r>
        <w:rPr>
          <w:sz w:val="20"/>
        </w:rPr>
        <w:t xml:space="preserve">Губернатор города Севастополя</w:t>
      </w:r>
    </w:p>
    <w:p>
      <w:pPr>
        <w:pStyle w:val="0"/>
        <w:jc w:val="right"/>
      </w:pPr>
      <w:r>
        <w:rPr>
          <w:sz w:val="20"/>
        </w:rPr>
        <w:t xml:space="preserve">М.В.РАЗВОЖАЕВ</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Утверждена</w:t>
      </w:r>
    </w:p>
    <w:p>
      <w:pPr>
        <w:pStyle w:val="0"/>
        <w:jc w:val="right"/>
      </w:pPr>
      <w:r>
        <w:rPr>
          <w:sz w:val="20"/>
        </w:rPr>
        <w:t xml:space="preserve">постановлением</w:t>
      </w:r>
    </w:p>
    <w:p>
      <w:pPr>
        <w:pStyle w:val="0"/>
        <w:jc w:val="right"/>
      </w:pPr>
      <w:r>
        <w:rPr>
          <w:sz w:val="20"/>
        </w:rPr>
        <w:t xml:space="preserve">Правительства Севастополя</w:t>
      </w:r>
    </w:p>
    <w:p>
      <w:pPr>
        <w:pStyle w:val="0"/>
        <w:jc w:val="right"/>
      </w:pPr>
      <w:r>
        <w:rPr>
          <w:sz w:val="20"/>
        </w:rPr>
        <w:t xml:space="preserve">от 23.12.2021 N 697-ПП</w:t>
      </w:r>
    </w:p>
    <w:p>
      <w:pPr>
        <w:pStyle w:val="0"/>
      </w:pPr>
      <w:r>
        <w:rPr>
          <w:sz w:val="20"/>
        </w:rPr>
      </w:r>
    </w:p>
    <w:bookmarkStart w:id="42" w:name="P42"/>
    <w:bookmarkEnd w:id="42"/>
    <w:p>
      <w:pPr>
        <w:pStyle w:val="2"/>
        <w:jc w:val="center"/>
      </w:pPr>
      <w:r>
        <w:rPr>
          <w:sz w:val="20"/>
        </w:rPr>
        <w:t xml:space="preserve">ГОСУДАРСТВЕННАЯ ПРОГРАММА</w:t>
      </w:r>
    </w:p>
    <w:p>
      <w:pPr>
        <w:pStyle w:val="2"/>
        <w:jc w:val="center"/>
      </w:pPr>
      <w:r>
        <w:rPr>
          <w:sz w:val="20"/>
        </w:rPr>
        <w:t xml:space="preserve">ГОРОДА СЕВАСТОПОЛЯ "РАЗВИТИЕ ЗДРАВООХРАНЕНИЯ</w:t>
      </w:r>
    </w:p>
    <w:p>
      <w:pPr>
        <w:pStyle w:val="2"/>
        <w:jc w:val="center"/>
      </w:pPr>
      <w:r>
        <w:rPr>
          <w:sz w:val="20"/>
        </w:rPr>
        <w:t xml:space="preserve">В ГОРОДЕ СЕВАСТОПОЛЕ"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Севастополя от 14.04.2022 </w:t>
            </w:r>
            <w:hyperlink w:history="0" r:id="rId35"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color w:val="392c69"/>
              </w:rPr>
              <w:t xml:space="preserve">,</w:t>
            </w:r>
          </w:p>
          <w:p>
            <w:pPr>
              <w:pStyle w:val="0"/>
              <w:jc w:val="center"/>
            </w:pPr>
            <w:r>
              <w:rPr>
                <w:sz w:val="20"/>
                <w:color w:val="392c69"/>
              </w:rPr>
              <w:t xml:space="preserve">от 26.05.2022 </w:t>
            </w:r>
            <w:hyperlink w:history="0" r:id="rId36"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224-ПП</w:t>
              </w:r>
            </w:hyperlink>
            <w:r>
              <w:rPr>
                <w:sz w:val="20"/>
                <w:color w:val="392c69"/>
              </w:rPr>
              <w:t xml:space="preserve">, от 15.06.2022 </w:t>
            </w:r>
            <w:hyperlink w:history="0" r:id="rId37" w:tooltip="Постановление Правительства Севастополя от 15.06.2022 N 25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251-ПП</w:t>
              </w:r>
            </w:hyperlink>
            <w:r>
              <w:rPr>
                <w:sz w:val="20"/>
                <w:color w:val="392c69"/>
              </w:rPr>
              <w:t xml:space="preserve">, от 29.07.2022 </w:t>
            </w:r>
            <w:hyperlink w:history="0" r:id="rId38" w:tooltip="Постановление Правительства Севастополя от 29.07.2022 N 323-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323-ПП</w:t>
              </w:r>
            </w:hyperlink>
            <w:r>
              <w:rPr>
                <w:sz w:val="20"/>
                <w:color w:val="392c69"/>
              </w:rPr>
              <w:t xml:space="preserve">,</w:t>
            </w:r>
          </w:p>
          <w:p>
            <w:pPr>
              <w:pStyle w:val="0"/>
              <w:jc w:val="center"/>
            </w:pPr>
            <w:r>
              <w:rPr>
                <w:sz w:val="20"/>
                <w:color w:val="392c69"/>
              </w:rPr>
              <w:t xml:space="preserve">от 31.08.2022 </w:t>
            </w:r>
            <w:hyperlink w:history="0" r:id="rId39" w:tooltip="Постановление Правительства Севастополя от 31.08.2022 N 403-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403-ПП</w:t>
              </w:r>
            </w:hyperlink>
            <w:r>
              <w:rPr>
                <w:sz w:val="20"/>
                <w:color w:val="392c69"/>
              </w:rPr>
              <w:t xml:space="preserve">, от 15.09.2022 </w:t>
            </w:r>
            <w:hyperlink w:history="0" r:id="rId40" w:tooltip="Постановление Правительства Севастополя от 15.09.2022 N 42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422-ПП</w:t>
              </w:r>
            </w:hyperlink>
            <w:r>
              <w:rPr>
                <w:sz w:val="20"/>
                <w:color w:val="392c69"/>
              </w:rPr>
              <w:t xml:space="preserve">, от 28.09.2022 </w:t>
            </w:r>
            <w:hyperlink w:history="0" r:id="rId41" w:tooltip="Постановление Правительства Севастополя от 28.09.2022 N 47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474-ПП</w:t>
              </w:r>
            </w:hyperlink>
            <w:r>
              <w:rPr>
                <w:sz w:val="20"/>
                <w:color w:val="392c69"/>
              </w:rPr>
              <w:t xml:space="preserve">,</w:t>
            </w:r>
          </w:p>
          <w:p>
            <w:pPr>
              <w:pStyle w:val="0"/>
              <w:jc w:val="center"/>
            </w:pPr>
            <w:r>
              <w:rPr>
                <w:sz w:val="20"/>
                <w:color w:val="392c69"/>
              </w:rPr>
              <w:t xml:space="preserve">от 10.11.2022 </w:t>
            </w:r>
            <w:hyperlink w:history="0" r:id="rId42"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561-ПП</w:t>
              </w:r>
            </w:hyperlink>
            <w:r>
              <w:rPr>
                <w:sz w:val="20"/>
                <w:color w:val="392c69"/>
              </w:rPr>
              <w:t xml:space="preserve">, от 08.12.2022 </w:t>
            </w:r>
            <w:hyperlink w:history="0" r:id="rId43"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638-ПП</w:t>
              </w:r>
            </w:hyperlink>
            <w:r>
              <w:rPr>
                <w:sz w:val="20"/>
                <w:color w:val="392c69"/>
              </w:rPr>
              <w:t xml:space="preserve">, от 26.12.2022 </w:t>
            </w:r>
            <w:hyperlink w:history="0" r:id="rId44" w:tooltip="Постановление Правительства Севастополя от 26.12.2022 N 70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702-ПП</w:t>
              </w:r>
            </w:hyperlink>
            <w:r>
              <w:rPr>
                <w:sz w:val="20"/>
                <w:color w:val="392c69"/>
              </w:rPr>
              <w:t xml:space="preserve">,</w:t>
            </w:r>
          </w:p>
          <w:p>
            <w:pPr>
              <w:pStyle w:val="0"/>
              <w:jc w:val="center"/>
            </w:pPr>
            <w:r>
              <w:rPr>
                <w:sz w:val="20"/>
                <w:color w:val="392c69"/>
              </w:rPr>
              <w:t xml:space="preserve">от 02.03.2023 </w:t>
            </w:r>
            <w:hyperlink w:history="0" r:id="rId45"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108-ПП</w:t>
              </w:r>
            </w:hyperlink>
            <w:r>
              <w:rPr>
                <w:sz w:val="20"/>
                <w:color w:val="392c69"/>
              </w:rPr>
              <w:t xml:space="preserve">, от 27.04.2023 </w:t>
            </w:r>
            <w:hyperlink w:history="0" r:id="rId4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color w:val="392c69"/>
              </w:rPr>
              <w:t xml:space="preserve">, от 08.06.2023 </w:t>
            </w:r>
            <w:hyperlink w:history="0" r:id="rId47" w:tooltip="Постановление Правительства Севастополя от 08.06.2023 N 27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271-ПП</w:t>
              </w:r>
            </w:hyperlink>
            <w:r>
              <w:rPr>
                <w:sz w:val="20"/>
                <w:color w:val="392c69"/>
              </w:rPr>
              <w:t xml:space="preserve">,</w:t>
            </w:r>
          </w:p>
          <w:p>
            <w:pPr>
              <w:pStyle w:val="0"/>
              <w:jc w:val="center"/>
            </w:pPr>
            <w:r>
              <w:rPr>
                <w:sz w:val="20"/>
                <w:color w:val="392c69"/>
              </w:rPr>
              <w:t xml:space="preserve">от 28.07.2023 </w:t>
            </w:r>
            <w:hyperlink w:history="0" r:id="rId48"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358-ПП</w:t>
              </w:r>
            </w:hyperlink>
            <w:r>
              <w:rPr>
                <w:sz w:val="20"/>
                <w:color w:val="392c69"/>
              </w:rPr>
              <w:t xml:space="preserve">, от 16.10.2023 </w:t>
            </w:r>
            <w:hyperlink w:history="0" r:id="rId49"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470-ПП</w:t>
              </w:r>
            </w:hyperlink>
            <w:r>
              <w:rPr>
                <w:sz w:val="20"/>
                <w:color w:val="392c69"/>
              </w:rPr>
              <w:t xml:space="preserve">, от 03.11.2023 </w:t>
            </w:r>
            <w:hyperlink w:history="0" r:id="rId50"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506-ПП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2"/>
        <w:outlineLvl w:val="1"/>
        <w:jc w:val="center"/>
      </w:pPr>
      <w:r>
        <w:rPr>
          <w:sz w:val="20"/>
        </w:rPr>
        <w:t xml:space="preserve">ПАСПОРТ</w:t>
      </w:r>
    </w:p>
    <w:p>
      <w:pPr>
        <w:pStyle w:val="2"/>
        <w:jc w:val="center"/>
      </w:pPr>
      <w:r>
        <w:rPr>
          <w:sz w:val="20"/>
        </w:rPr>
        <w:t xml:space="preserve">государственной программы города Севастополя</w:t>
      </w:r>
    </w:p>
    <w:p>
      <w:pPr>
        <w:pStyle w:val="2"/>
        <w:jc w:val="center"/>
      </w:pPr>
      <w:r>
        <w:rPr>
          <w:sz w:val="20"/>
        </w:rPr>
        <w:t xml:space="preserve">"Развитие здравоохранения в городе Севастополе"</w:t>
      </w:r>
    </w:p>
    <w:p>
      <w:pPr>
        <w:pStyle w:val="2"/>
        <w:jc w:val="center"/>
      </w:pPr>
      <w:r>
        <w:rPr>
          <w:sz w:val="20"/>
        </w:rPr>
        <w:t xml:space="preserve">(далее - Программа)</w:t>
      </w:r>
    </w:p>
    <w:p>
      <w:pPr>
        <w:pStyle w:val="0"/>
        <w:jc w:val="center"/>
      </w:pPr>
      <w:r>
        <w:rPr>
          <w:sz w:val="20"/>
        </w:rPr>
        <w:t xml:space="preserve">(в ред. </w:t>
      </w:r>
      <w:hyperlink w:history="0" r:id="rId51"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pPr>
      <w:r>
        <w:rPr>
          <w:sz w:val="20"/>
        </w:rPr>
      </w:r>
    </w:p>
    <w:p>
      <w:pPr>
        <w:pStyle w:val="0"/>
        <w:ind w:firstLine="540"/>
        <w:jc w:val="both"/>
      </w:pPr>
      <w:r>
        <w:rPr>
          <w:sz w:val="20"/>
        </w:rPr>
        <w:t xml:space="preserve">1. Ответственный исполнитель Программы: Департамент здравоохранения города Севастополя (далее - ДЗГС).</w:t>
      </w:r>
    </w:p>
    <w:p>
      <w:pPr>
        <w:pStyle w:val="0"/>
        <w:spacing w:before="200" w:line-rule="auto"/>
        <w:ind w:firstLine="540"/>
        <w:jc w:val="both"/>
      </w:pPr>
      <w:r>
        <w:rPr>
          <w:sz w:val="20"/>
        </w:rPr>
        <w:t xml:space="preserve">2. Соисполнители Программы:</w:t>
      </w:r>
    </w:p>
    <w:p>
      <w:pPr>
        <w:pStyle w:val="0"/>
        <w:spacing w:before="200" w:line-rule="auto"/>
        <w:ind w:firstLine="540"/>
        <w:jc w:val="both"/>
      </w:pPr>
      <w:r>
        <w:rPr>
          <w:sz w:val="20"/>
        </w:rPr>
        <w:t xml:space="preserve">- Департамент капитального строительства города Севастополя;</w:t>
      </w:r>
    </w:p>
    <w:p>
      <w:pPr>
        <w:pStyle w:val="0"/>
        <w:spacing w:before="200" w:line-rule="auto"/>
        <w:ind w:firstLine="540"/>
        <w:jc w:val="both"/>
      </w:pPr>
      <w:r>
        <w:rPr>
          <w:sz w:val="20"/>
        </w:rPr>
        <w:t xml:space="preserve">- Государственное казенное учреждение Севастополя "Медицинский склад N 1043" (далее - ГКУС "Медицинский склад N 1043").</w:t>
      </w:r>
    </w:p>
    <w:p>
      <w:pPr>
        <w:pStyle w:val="0"/>
        <w:spacing w:before="200" w:line-rule="auto"/>
        <w:ind w:firstLine="540"/>
        <w:jc w:val="both"/>
      </w:pPr>
      <w:r>
        <w:rPr>
          <w:sz w:val="20"/>
        </w:rPr>
        <w:t xml:space="preserve">3. Участники Программы:</w:t>
      </w:r>
    </w:p>
    <w:p>
      <w:pPr>
        <w:pStyle w:val="0"/>
        <w:spacing w:before="200" w:line-rule="auto"/>
        <w:ind w:firstLine="540"/>
        <w:jc w:val="both"/>
      </w:pPr>
      <w:r>
        <w:rPr>
          <w:sz w:val="20"/>
        </w:rPr>
        <w:t xml:space="preserve">- государственные учреждения здравоохранения города Севастополя;</w:t>
      </w:r>
    </w:p>
    <w:p>
      <w:pPr>
        <w:pStyle w:val="0"/>
        <w:spacing w:before="200" w:line-rule="auto"/>
        <w:ind w:firstLine="540"/>
        <w:jc w:val="both"/>
      </w:pPr>
      <w:r>
        <w:rPr>
          <w:sz w:val="20"/>
        </w:rPr>
        <w:t xml:space="preserve">- государственное казенное учреждение города Севастополя "Единая дирекция капитального строительства" (далее - ГКУГС "ЕДКС");</w:t>
      </w:r>
    </w:p>
    <w:p>
      <w:pPr>
        <w:pStyle w:val="0"/>
        <w:spacing w:before="200" w:line-rule="auto"/>
        <w:ind w:firstLine="540"/>
        <w:jc w:val="both"/>
      </w:pPr>
      <w:r>
        <w:rPr>
          <w:sz w:val="20"/>
        </w:rPr>
        <w:t xml:space="preserve">- СГБОУ ПО "Севастопольский медицинский колледж имени Жени Дерюгиной".</w:t>
      </w:r>
    </w:p>
    <w:p>
      <w:pPr>
        <w:pStyle w:val="0"/>
        <w:spacing w:before="200" w:line-rule="auto"/>
        <w:ind w:firstLine="540"/>
        <w:jc w:val="both"/>
      </w:pPr>
      <w:r>
        <w:rPr>
          <w:sz w:val="20"/>
        </w:rPr>
        <w:t xml:space="preserve">4. Подпрограммы Программы:</w:t>
      </w:r>
    </w:p>
    <w:p>
      <w:pPr>
        <w:pStyle w:val="0"/>
        <w:spacing w:before="200" w:line-rule="auto"/>
        <w:ind w:firstLine="540"/>
        <w:jc w:val="both"/>
      </w:pPr>
      <w:r>
        <w:rPr>
          <w:sz w:val="20"/>
        </w:rPr>
        <w:t xml:space="preserve">- </w:t>
      </w:r>
      <w:hyperlink w:history="0" w:anchor="P594" w:tooltip="ПОДПРОГРАММА 1">
        <w:r>
          <w:rPr>
            <w:sz w:val="20"/>
            <w:color w:val="0000ff"/>
          </w:rPr>
          <w:t xml:space="preserve">подпрограмма 1</w:t>
        </w:r>
      </w:hyperlink>
      <w:r>
        <w:rPr>
          <w:sz w:val="20"/>
        </w:rPr>
        <w:t xml:space="preserve"> "Профилактика заболеваний и формирование здорового образа жизни. Развитие первичной медико-санитарной помощи";</w:t>
      </w:r>
    </w:p>
    <w:p>
      <w:pPr>
        <w:pStyle w:val="0"/>
        <w:spacing w:before="200" w:line-rule="auto"/>
        <w:ind w:firstLine="540"/>
        <w:jc w:val="both"/>
      </w:pPr>
      <w:r>
        <w:rPr>
          <w:sz w:val="20"/>
        </w:rPr>
        <w:t xml:space="preserve">- </w:t>
      </w:r>
      <w:hyperlink w:history="0" w:anchor="P968" w:tooltip="ПОДПРОГРАММА 2">
        <w:r>
          <w:rPr>
            <w:sz w:val="20"/>
            <w:color w:val="0000ff"/>
          </w:rPr>
          <w:t xml:space="preserve">подпрограмма 2</w:t>
        </w:r>
      </w:hyperlink>
      <w:r>
        <w:rPr>
          <w:sz w:val="20"/>
        </w:rPr>
        <w:t xml:space="preserve">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pPr>
        <w:pStyle w:val="0"/>
        <w:spacing w:before="200" w:line-rule="auto"/>
        <w:ind w:firstLine="540"/>
        <w:jc w:val="both"/>
      </w:pPr>
      <w:r>
        <w:rPr>
          <w:sz w:val="20"/>
        </w:rPr>
        <w:t xml:space="preserve">- </w:t>
      </w:r>
      <w:hyperlink w:history="0" w:anchor="P1229" w:tooltip="ПОДПРОГРАММА 3">
        <w:r>
          <w:rPr>
            <w:sz w:val="20"/>
            <w:color w:val="0000ff"/>
          </w:rPr>
          <w:t xml:space="preserve">подпрограмма 3</w:t>
        </w:r>
      </w:hyperlink>
      <w:r>
        <w:rPr>
          <w:sz w:val="20"/>
        </w:rPr>
        <w:t xml:space="preserve"> "Охрана здоровья матери и ребенка";</w:t>
      </w:r>
    </w:p>
    <w:p>
      <w:pPr>
        <w:pStyle w:val="0"/>
        <w:spacing w:before="200" w:line-rule="auto"/>
        <w:ind w:firstLine="540"/>
        <w:jc w:val="both"/>
      </w:pPr>
      <w:r>
        <w:rPr>
          <w:sz w:val="20"/>
        </w:rPr>
        <w:t xml:space="preserve">- </w:t>
      </w:r>
      <w:hyperlink w:history="0" w:anchor="P1487" w:tooltip="ПОДПРОГРАММА 4">
        <w:r>
          <w:rPr>
            <w:sz w:val="20"/>
            <w:color w:val="0000ff"/>
          </w:rPr>
          <w:t xml:space="preserve">подпрограмма 4</w:t>
        </w:r>
      </w:hyperlink>
      <w:r>
        <w:rPr>
          <w:sz w:val="20"/>
        </w:rPr>
        <w:t xml:space="preserve"> "Развитие медицинской реабилитации";</w:t>
      </w:r>
    </w:p>
    <w:p>
      <w:pPr>
        <w:pStyle w:val="0"/>
        <w:spacing w:before="200" w:line-rule="auto"/>
        <w:ind w:firstLine="540"/>
        <w:jc w:val="both"/>
      </w:pPr>
      <w:r>
        <w:rPr>
          <w:sz w:val="20"/>
        </w:rPr>
        <w:t xml:space="preserve">- </w:t>
      </w:r>
      <w:hyperlink w:history="0" w:anchor="P1722" w:tooltip="ПОДПРОГРАММА 5">
        <w:r>
          <w:rPr>
            <w:sz w:val="20"/>
            <w:color w:val="0000ff"/>
          </w:rPr>
          <w:t xml:space="preserve">подпрограмма 5</w:t>
        </w:r>
      </w:hyperlink>
      <w:r>
        <w:rPr>
          <w:sz w:val="20"/>
        </w:rPr>
        <w:t xml:space="preserve"> "Экспертиза и контрольно-надзорные функции в сфере здравоохранения";</w:t>
      </w:r>
    </w:p>
    <w:p>
      <w:pPr>
        <w:pStyle w:val="0"/>
        <w:spacing w:before="200" w:line-rule="auto"/>
        <w:ind w:firstLine="540"/>
        <w:jc w:val="both"/>
      </w:pPr>
      <w:r>
        <w:rPr>
          <w:sz w:val="20"/>
        </w:rPr>
        <w:t xml:space="preserve">- </w:t>
      </w:r>
      <w:hyperlink w:history="0" w:anchor="P1903" w:tooltip="ПОДПРОГРАММА 6">
        <w:r>
          <w:rPr>
            <w:sz w:val="20"/>
            <w:color w:val="0000ff"/>
          </w:rPr>
          <w:t xml:space="preserve">подпрограмма 6</w:t>
        </w:r>
      </w:hyperlink>
      <w:r>
        <w:rPr>
          <w:sz w:val="20"/>
        </w:rPr>
        <w:t xml:space="preserve"> "Развитие информатизации и обеспечение комплексной безопасности объектов здравоохранения";</w:t>
      </w:r>
    </w:p>
    <w:p>
      <w:pPr>
        <w:pStyle w:val="0"/>
        <w:spacing w:before="200" w:line-rule="auto"/>
        <w:ind w:firstLine="540"/>
        <w:jc w:val="both"/>
      </w:pPr>
      <w:r>
        <w:rPr>
          <w:sz w:val="20"/>
        </w:rPr>
        <w:t xml:space="preserve">- </w:t>
      </w:r>
      <w:hyperlink w:history="0" w:anchor="P2108" w:tooltip="ПОДПРОГРАММА 7">
        <w:r>
          <w:rPr>
            <w:sz w:val="20"/>
            <w:color w:val="0000ff"/>
          </w:rPr>
          <w:t xml:space="preserve">подпрограмма 7</w:t>
        </w:r>
      </w:hyperlink>
      <w:r>
        <w:rPr>
          <w:sz w:val="20"/>
        </w:rPr>
        <w:t xml:space="preserve"> "Кадровое обеспечение системы здравоохранения";</w:t>
      </w:r>
    </w:p>
    <w:p>
      <w:pPr>
        <w:pStyle w:val="0"/>
        <w:spacing w:before="200" w:line-rule="auto"/>
        <w:ind w:firstLine="540"/>
        <w:jc w:val="both"/>
      </w:pPr>
      <w:r>
        <w:rPr>
          <w:sz w:val="20"/>
        </w:rPr>
        <w:t xml:space="preserve">- </w:t>
      </w:r>
      <w:hyperlink w:history="0" w:anchor="P2340" w:tooltip="ПОДПРОГРАММА 8">
        <w:r>
          <w:rPr>
            <w:sz w:val="20"/>
            <w:color w:val="0000ff"/>
          </w:rPr>
          <w:t xml:space="preserve">подпрограмма 8</w:t>
        </w:r>
      </w:hyperlink>
      <w:r>
        <w:rPr>
          <w:sz w:val="20"/>
        </w:rPr>
        <w:t xml:space="preserve"> "Реализация региональных проектов в рамках национальных проектов в сфере здравоохранения";</w:t>
      </w:r>
    </w:p>
    <w:p>
      <w:pPr>
        <w:pStyle w:val="0"/>
        <w:spacing w:before="200" w:line-rule="auto"/>
        <w:ind w:firstLine="540"/>
        <w:jc w:val="both"/>
      </w:pPr>
      <w:r>
        <w:rPr>
          <w:sz w:val="20"/>
        </w:rPr>
        <w:t xml:space="preserve">- </w:t>
      </w:r>
      <w:hyperlink w:history="0" w:anchor="P2692" w:tooltip="ПОДПРОГРАММА 9">
        <w:r>
          <w:rPr>
            <w:sz w:val="20"/>
            <w:color w:val="0000ff"/>
          </w:rPr>
          <w:t xml:space="preserve">подпрограмма 9</w:t>
        </w:r>
      </w:hyperlink>
      <w:r>
        <w:rPr>
          <w:sz w:val="20"/>
        </w:rPr>
        <w:t xml:space="preserve"> "Приведение учреждений, подведомственных Департаменту здравоохранения города Севастополя, к стандартам оснащения".</w:t>
      </w:r>
    </w:p>
    <w:p>
      <w:pPr>
        <w:pStyle w:val="0"/>
        <w:spacing w:before="200" w:line-rule="auto"/>
        <w:ind w:firstLine="540"/>
        <w:jc w:val="both"/>
      </w:pPr>
      <w:r>
        <w:rPr>
          <w:sz w:val="20"/>
        </w:rPr>
        <w:t xml:space="preserve">5. Цели Программы: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pPr>
        <w:pStyle w:val="0"/>
        <w:spacing w:before="200" w:line-rule="auto"/>
        <w:ind w:firstLine="540"/>
        <w:jc w:val="both"/>
      </w:pPr>
      <w:r>
        <w:rPr>
          <w:sz w:val="20"/>
        </w:rPr>
        <w:t xml:space="preserve">6. Задачи Программы:</w:t>
      </w:r>
    </w:p>
    <w:p>
      <w:pPr>
        <w:pStyle w:val="0"/>
        <w:spacing w:before="200" w:line-rule="auto"/>
        <w:ind w:firstLine="540"/>
        <w:jc w:val="both"/>
      </w:pPr>
      <w:r>
        <w:rPr>
          <w:sz w:val="20"/>
        </w:rPr>
        <w:t xml:space="preserve">- реализация региональной составляющей федеральных проектов в рамках реализации национальных проектов "Здравоохранение" и "Демография";</w:t>
      </w:r>
    </w:p>
    <w:p>
      <w:pPr>
        <w:pStyle w:val="0"/>
        <w:spacing w:before="200" w:line-rule="auto"/>
        <w:ind w:firstLine="540"/>
        <w:jc w:val="both"/>
      </w:pPr>
      <w:r>
        <w:rPr>
          <w:sz w:val="20"/>
        </w:rPr>
        <w:t xml:space="preserve">- обеспечение приоритета профилактики в сфере охраны здоровья и развития первичной медико-санитарной помощи;</w:t>
      </w:r>
    </w:p>
    <w:p>
      <w:pPr>
        <w:pStyle w:val="0"/>
        <w:spacing w:before="200" w:line-rule="auto"/>
        <w:ind w:firstLine="540"/>
        <w:jc w:val="both"/>
      </w:pPr>
      <w:r>
        <w:rPr>
          <w:sz w:val="20"/>
        </w:rPr>
        <w:t xml:space="preserve">- 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pPr>
        <w:pStyle w:val="0"/>
        <w:spacing w:before="200" w:line-rule="auto"/>
        <w:ind w:firstLine="540"/>
        <w:jc w:val="both"/>
      </w:pPr>
      <w:r>
        <w:rPr>
          <w:sz w:val="20"/>
        </w:rPr>
        <w:t xml:space="preserve">- повышение эффективности службы родовспоможения и детства;</w:t>
      </w:r>
    </w:p>
    <w:p>
      <w:pPr>
        <w:pStyle w:val="0"/>
        <w:spacing w:before="200" w:line-rule="auto"/>
        <w:ind w:firstLine="540"/>
        <w:jc w:val="both"/>
      </w:pPr>
      <w:r>
        <w:rPr>
          <w:sz w:val="20"/>
        </w:rPr>
        <w:t xml:space="preserve">- развитие медицинской реабилитации;</w:t>
      </w:r>
    </w:p>
    <w:p>
      <w:pPr>
        <w:pStyle w:val="0"/>
        <w:spacing w:before="200" w:line-rule="auto"/>
        <w:ind w:firstLine="540"/>
        <w:jc w:val="both"/>
      </w:pPr>
      <w:r>
        <w:rPr>
          <w:sz w:val="20"/>
        </w:rPr>
        <w:t xml:space="preserve">- развитие государственной судебно-медицинской экспертной деятельности и патолого-анатомической службы;</w:t>
      </w:r>
    </w:p>
    <w:p>
      <w:pPr>
        <w:pStyle w:val="0"/>
        <w:spacing w:before="200" w:line-rule="auto"/>
        <w:ind w:firstLine="540"/>
        <w:jc w:val="both"/>
      </w:pPr>
      <w:r>
        <w:rPr>
          <w:sz w:val="20"/>
        </w:rPr>
        <w:t xml:space="preserve">- совершенствование информатизации и комплексной безопасности сферы здравоохранения города Севастополя;</w:t>
      </w:r>
    </w:p>
    <w:p>
      <w:pPr>
        <w:pStyle w:val="0"/>
        <w:spacing w:before="200" w:line-rule="auto"/>
        <w:ind w:firstLine="540"/>
        <w:jc w:val="both"/>
      </w:pPr>
      <w:r>
        <w:rPr>
          <w:sz w:val="20"/>
        </w:rPr>
        <w:t xml:space="preserve">- обеспечение системы здравоохранения высококвалифицированными и мотивированными кадрами.</w:t>
      </w:r>
    </w:p>
    <w:p>
      <w:pPr>
        <w:pStyle w:val="0"/>
        <w:spacing w:before="200" w:line-rule="auto"/>
        <w:ind w:firstLine="540"/>
        <w:jc w:val="both"/>
      </w:pPr>
      <w:r>
        <w:rPr>
          <w:sz w:val="20"/>
        </w:rPr>
        <w:t xml:space="preserve">7. Целевые индикаторы и показатели Программы:</w:t>
      </w:r>
    </w:p>
    <w:p>
      <w:pPr>
        <w:pStyle w:val="0"/>
        <w:spacing w:before="200" w:line-rule="auto"/>
        <w:ind w:firstLine="540"/>
        <w:jc w:val="both"/>
      </w:pPr>
      <w:r>
        <w:rPr>
          <w:sz w:val="20"/>
        </w:rPr>
        <w:t xml:space="preserve">- смертность на 1000 населения от всех причин (на 1000 населения);</w:t>
      </w:r>
    </w:p>
    <w:p>
      <w:pPr>
        <w:pStyle w:val="0"/>
        <w:spacing w:before="200" w:line-rule="auto"/>
        <w:ind w:firstLine="540"/>
        <w:jc w:val="both"/>
      </w:pPr>
      <w:r>
        <w:rPr>
          <w:sz w:val="20"/>
        </w:rPr>
        <w:t xml:space="preserve">- смертность населения в трудоспособном возрасте (на 100 тыс. населения);</w:t>
      </w:r>
    </w:p>
    <w:p>
      <w:pPr>
        <w:pStyle w:val="0"/>
        <w:spacing w:before="200" w:line-rule="auto"/>
        <w:ind w:firstLine="540"/>
        <w:jc w:val="both"/>
      </w:pPr>
      <w:r>
        <w:rPr>
          <w:sz w:val="20"/>
        </w:rPr>
        <w:t xml:space="preserve">- смертность детей в возрасте 0 - 1 года на 1000 родившихся живыми;</w:t>
      </w:r>
    </w:p>
    <w:p>
      <w:pPr>
        <w:pStyle w:val="0"/>
        <w:spacing w:before="200" w:line-rule="auto"/>
        <w:ind w:firstLine="540"/>
        <w:jc w:val="both"/>
      </w:pPr>
      <w:r>
        <w:rPr>
          <w:sz w:val="20"/>
        </w:rPr>
        <w:t xml:space="preserve">- смертность детей в возрасте 0 - 4 лет на 1000 родившихся живыми;</w:t>
      </w:r>
    </w:p>
    <w:p>
      <w:pPr>
        <w:pStyle w:val="0"/>
        <w:spacing w:before="200" w:line-rule="auto"/>
        <w:ind w:firstLine="540"/>
        <w:jc w:val="both"/>
      </w:pPr>
      <w:r>
        <w:rPr>
          <w:sz w:val="20"/>
        </w:rPr>
        <w:t xml:space="preserve">- снижение смертности от болезней системы кровообращения (до 450 случаев на 100 тыс. населения);</w:t>
      </w:r>
    </w:p>
    <w:p>
      <w:pPr>
        <w:pStyle w:val="0"/>
        <w:spacing w:before="200" w:line-rule="auto"/>
        <w:ind w:firstLine="540"/>
        <w:jc w:val="both"/>
      </w:pPr>
      <w:r>
        <w:rPr>
          <w:sz w:val="20"/>
        </w:rPr>
        <w:t xml:space="preserve">- смертность от дорожно-транспортных происшествий (на 100 тыс. населения);</w:t>
      </w:r>
    </w:p>
    <w:p>
      <w:pPr>
        <w:pStyle w:val="0"/>
        <w:spacing w:before="200" w:line-rule="auto"/>
        <w:ind w:firstLine="540"/>
        <w:jc w:val="both"/>
      </w:pPr>
      <w:r>
        <w:rPr>
          <w:sz w:val="20"/>
        </w:rPr>
        <w:t xml:space="preserve">- смертность от новообразований (в том числе от злокачественных) (на 100 тыс. населения);</w:t>
      </w:r>
    </w:p>
    <w:p>
      <w:pPr>
        <w:pStyle w:val="0"/>
        <w:spacing w:before="200" w:line-rule="auto"/>
        <w:ind w:firstLine="540"/>
        <w:jc w:val="both"/>
      </w:pPr>
      <w:r>
        <w:rPr>
          <w:sz w:val="20"/>
        </w:rPr>
        <w:t xml:space="preserve">- смертность от туберкулеза (на 100 тыс. населения);</w:t>
      </w:r>
    </w:p>
    <w:p>
      <w:pPr>
        <w:pStyle w:val="0"/>
        <w:spacing w:before="200" w:line-rule="auto"/>
        <w:ind w:firstLine="540"/>
        <w:jc w:val="both"/>
      </w:pPr>
      <w:r>
        <w:rPr>
          <w:sz w:val="20"/>
        </w:rPr>
        <w:t xml:space="preserve">- доля отделений медицинских организаций, подведомственных Департаменту здравоохранения города Севастополя, соответствующих лицензионным требованиям;</w:t>
      </w:r>
    </w:p>
    <w:p>
      <w:pPr>
        <w:pStyle w:val="0"/>
        <w:spacing w:before="200" w:line-rule="auto"/>
        <w:ind w:firstLine="540"/>
        <w:jc w:val="both"/>
      </w:pPr>
      <w:r>
        <w:rPr>
          <w:sz w:val="20"/>
        </w:rPr>
        <w:t xml:space="preserve">- доля площадей учреждений здравоохранения, нуждающихся в капитальном ремонте;</w:t>
      </w:r>
    </w:p>
    <w:p>
      <w:pPr>
        <w:pStyle w:val="0"/>
        <w:spacing w:before="200" w:line-rule="auto"/>
        <w:ind w:firstLine="540"/>
        <w:jc w:val="both"/>
      </w:pPr>
      <w:r>
        <w:rPr>
          <w:sz w:val="20"/>
        </w:rPr>
        <w:t xml:space="preserve">- процент граждан, проживающих в городской местности, удовлетворенных оказанием услуг (по данным ТФОМС);</w:t>
      </w:r>
    </w:p>
    <w:p>
      <w:pPr>
        <w:pStyle w:val="0"/>
        <w:spacing w:before="200" w:line-rule="auto"/>
        <w:ind w:firstLine="540"/>
        <w:jc w:val="both"/>
      </w:pPr>
      <w:r>
        <w:rPr>
          <w:sz w:val="20"/>
        </w:rPr>
        <w:t xml:space="preserve">- процент граждан, проживающих в сельской местности, удовлетворенных оказанием услуг (по данным ТФОМС);</w:t>
      </w:r>
    </w:p>
    <w:p>
      <w:pPr>
        <w:pStyle w:val="0"/>
        <w:spacing w:before="200" w:line-rule="auto"/>
        <w:ind w:firstLine="540"/>
        <w:jc w:val="both"/>
      </w:pPr>
      <w:r>
        <w:rPr>
          <w:sz w:val="20"/>
        </w:rPr>
        <w:t xml:space="preserve">- ожидаемая продолжительность жизни при рождении;</w:t>
      </w:r>
    </w:p>
    <w:p>
      <w:pPr>
        <w:pStyle w:val="0"/>
        <w:spacing w:before="200" w:line-rule="auto"/>
        <w:ind w:firstLine="540"/>
        <w:jc w:val="both"/>
      </w:pPr>
      <w:r>
        <w:rPr>
          <w:sz w:val="20"/>
        </w:rPr>
        <w:t xml:space="preserve">- ввод в эксплуатацию объектов здравоохранения в г. Севастополе по государственной </w:t>
      </w:r>
      <w:hyperlink w:history="0" r:id="rId52"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программе</w:t>
        </w:r>
      </w:hyperlink>
      <w:r>
        <w:rPr>
          <w:sz w:val="20"/>
        </w:rPr>
        <w:t xml:space="preserve"> Российской Федерации "Социально-экономическое развитие Республики Крым и г. Севастополя" (годовой ввод);</w:t>
      </w:r>
    </w:p>
    <w:p>
      <w:pPr>
        <w:pStyle w:val="0"/>
        <w:spacing w:before="200" w:line-rule="auto"/>
        <w:ind w:firstLine="540"/>
        <w:jc w:val="both"/>
      </w:pPr>
      <w:r>
        <w:rPr>
          <w:sz w:val="20"/>
        </w:rPr>
        <w:t xml:space="preserve">- объем внебюджетных инвестиций в основной капитал отрасли здравоохранения.</w:t>
      </w:r>
    </w:p>
    <w:p>
      <w:pPr>
        <w:pStyle w:val="0"/>
        <w:spacing w:before="200" w:line-rule="auto"/>
        <w:ind w:firstLine="540"/>
        <w:jc w:val="both"/>
      </w:pPr>
      <w:r>
        <w:rPr>
          <w:sz w:val="20"/>
        </w:rPr>
        <w:t xml:space="preserve">8. Этапы и сроки реализации Программы: с 2022 по 2030 год без выделения этапов реализации Программы.</w:t>
      </w:r>
    </w:p>
    <w:p>
      <w:pPr>
        <w:pStyle w:val="0"/>
        <w:spacing w:before="200" w:line-rule="auto"/>
        <w:ind w:firstLine="540"/>
        <w:jc w:val="both"/>
      </w:pPr>
      <w:r>
        <w:rPr>
          <w:sz w:val="20"/>
        </w:rPr>
        <w:t xml:space="preserve">9. Объемы финансирования Программы, всего, по годам и по источникам финансирования (тыс. руб.):</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587"/>
        <w:gridCol w:w="1531"/>
        <w:gridCol w:w="1700"/>
        <w:gridCol w:w="1191"/>
        <w:gridCol w:w="1587"/>
      </w:tblGrid>
      <w:tr>
        <w:tc>
          <w:tcPr>
            <w:tcW w:w="1474" w:type="dxa"/>
          </w:tcPr>
          <w:p>
            <w:pPr>
              <w:pStyle w:val="0"/>
              <w:jc w:val="center"/>
            </w:pPr>
            <w:r>
              <w:rPr>
                <w:sz w:val="20"/>
              </w:rPr>
              <w:t xml:space="preserve">Источники финансирования</w:t>
            </w:r>
          </w:p>
        </w:tc>
        <w:tc>
          <w:tcPr>
            <w:tcW w:w="1587" w:type="dxa"/>
          </w:tcPr>
          <w:p>
            <w:pPr>
              <w:pStyle w:val="0"/>
              <w:jc w:val="center"/>
            </w:pPr>
            <w:r>
              <w:rPr>
                <w:sz w:val="20"/>
              </w:rPr>
              <w:t xml:space="preserve">Федеральный бюджет</w:t>
            </w:r>
          </w:p>
        </w:tc>
        <w:tc>
          <w:tcPr>
            <w:tcW w:w="1531" w:type="dxa"/>
          </w:tcPr>
          <w:p>
            <w:pPr>
              <w:pStyle w:val="0"/>
              <w:jc w:val="center"/>
            </w:pPr>
            <w:r>
              <w:rPr>
                <w:sz w:val="20"/>
              </w:rPr>
              <w:t xml:space="preserve">Бюджет города Севастополя</w:t>
            </w:r>
          </w:p>
        </w:tc>
        <w:tc>
          <w:tcPr>
            <w:tcW w:w="1700" w:type="dxa"/>
          </w:tcPr>
          <w:p>
            <w:pPr>
              <w:pStyle w:val="0"/>
              <w:jc w:val="center"/>
            </w:pPr>
            <w:r>
              <w:rPr>
                <w:sz w:val="20"/>
              </w:rPr>
              <w:t xml:space="preserve">Бюджеты других субъектов РФ (город Москва)</w:t>
            </w:r>
          </w:p>
        </w:tc>
        <w:tc>
          <w:tcPr>
            <w:tcW w:w="1191" w:type="dxa"/>
          </w:tcPr>
          <w:p>
            <w:pPr>
              <w:pStyle w:val="0"/>
              <w:jc w:val="center"/>
            </w:pPr>
            <w:r>
              <w:rPr>
                <w:sz w:val="20"/>
              </w:rPr>
              <w:t xml:space="preserve">Внебюджетные средства</w:t>
            </w:r>
          </w:p>
        </w:tc>
        <w:tc>
          <w:tcPr>
            <w:tcW w:w="1587" w:type="dxa"/>
          </w:tcPr>
          <w:p>
            <w:pPr>
              <w:pStyle w:val="0"/>
              <w:jc w:val="center"/>
            </w:pPr>
            <w:r>
              <w:rPr>
                <w:sz w:val="20"/>
              </w:rPr>
              <w:t xml:space="preserve">Итого</w:t>
            </w:r>
          </w:p>
        </w:tc>
      </w:tr>
      <w:tr>
        <w:tc>
          <w:tcPr>
            <w:tcW w:w="1474" w:type="dxa"/>
          </w:tcPr>
          <w:p>
            <w:pPr>
              <w:pStyle w:val="0"/>
              <w:jc w:val="both"/>
            </w:pPr>
            <w:r>
              <w:rPr>
                <w:sz w:val="20"/>
              </w:rPr>
              <w:t xml:space="preserve">2022 год</w:t>
            </w:r>
          </w:p>
        </w:tc>
        <w:tc>
          <w:tcPr>
            <w:tcW w:w="1587" w:type="dxa"/>
          </w:tcPr>
          <w:p>
            <w:pPr>
              <w:pStyle w:val="0"/>
              <w:jc w:val="center"/>
            </w:pPr>
            <w:r>
              <w:rPr>
                <w:sz w:val="20"/>
              </w:rPr>
              <w:t xml:space="preserve">1478906,3</w:t>
            </w:r>
          </w:p>
        </w:tc>
        <w:tc>
          <w:tcPr>
            <w:tcW w:w="1531" w:type="dxa"/>
          </w:tcPr>
          <w:p>
            <w:pPr>
              <w:pStyle w:val="0"/>
              <w:jc w:val="center"/>
            </w:pPr>
            <w:r>
              <w:rPr>
                <w:sz w:val="20"/>
              </w:rPr>
              <w:t xml:space="preserve">5282688,2</w:t>
            </w:r>
          </w:p>
        </w:tc>
        <w:tc>
          <w:tcPr>
            <w:tcW w:w="1700" w:type="dxa"/>
          </w:tcPr>
          <w:p>
            <w:pPr>
              <w:pStyle w:val="0"/>
              <w:jc w:val="center"/>
            </w:pPr>
            <w:r>
              <w:rPr>
                <w:sz w:val="20"/>
              </w:rPr>
              <w:t xml:space="preserve">2991381,0</w:t>
            </w:r>
          </w:p>
        </w:tc>
        <w:tc>
          <w:tcPr>
            <w:tcW w:w="1191" w:type="dxa"/>
          </w:tcPr>
          <w:p>
            <w:pPr>
              <w:pStyle w:val="0"/>
              <w:jc w:val="center"/>
            </w:pPr>
            <w:r>
              <w:rPr>
                <w:sz w:val="20"/>
              </w:rPr>
              <w:t xml:space="preserve">0,0</w:t>
            </w:r>
          </w:p>
        </w:tc>
        <w:tc>
          <w:tcPr>
            <w:tcW w:w="1587" w:type="dxa"/>
          </w:tcPr>
          <w:p>
            <w:pPr>
              <w:pStyle w:val="0"/>
              <w:jc w:val="center"/>
            </w:pPr>
            <w:r>
              <w:rPr>
                <w:sz w:val="20"/>
              </w:rPr>
              <w:t xml:space="preserve">9752975,5</w:t>
            </w:r>
          </w:p>
        </w:tc>
      </w:tr>
      <w:tr>
        <w:tc>
          <w:tcPr>
            <w:tcW w:w="1474" w:type="dxa"/>
          </w:tcPr>
          <w:p>
            <w:pPr>
              <w:pStyle w:val="0"/>
              <w:jc w:val="both"/>
            </w:pPr>
            <w:r>
              <w:rPr>
                <w:sz w:val="20"/>
              </w:rPr>
              <w:t xml:space="preserve">2023 год</w:t>
            </w:r>
          </w:p>
        </w:tc>
        <w:tc>
          <w:tcPr>
            <w:tcW w:w="1587" w:type="dxa"/>
          </w:tcPr>
          <w:p>
            <w:pPr>
              <w:pStyle w:val="0"/>
              <w:jc w:val="center"/>
            </w:pPr>
            <w:r>
              <w:rPr>
                <w:sz w:val="20"/>
              </w:rPr>
              <w:t xml:space="preserve">2532059,7</w:t>
            </w:r>
          </w:p>
        </w:tc>
        <w:tc>
          <w:tcPr>
            <w:tcW w:w="1531" w:type="dxa"/>
          </w:tcPr>
          <w:p>
            <w:pPr>
              <w:pStyle w:val="0"/>
              <w:jc w:val="center"/>
            </w:pPr>
            <w:r>
              <w:rPr>
                <w:sz w:val="20"/>
              </w:rPr>
              <w:t xml:space="preserve">6633862,2</w:t>
            </w:r>
          </w:p>
        </w:tc>
        <w:tc>
          <w:tcPr>
            <w:tcW w:w="1700" w:type="dxa"/>
          </w:tcPr>
          <w:p>
            <w:pPr>
              <w:pStyle w:val="0"/>
              <w:jc w:val="center"/>
            </w:pPr>
            <w:r>
              <w:rPr>
                <w:sz w:val="20"/>
              </w:rPr>
              <w:t xml:space="preserve">3140294,9</w:t>
            </w:r>
          </w:p>
        </w:tc>
        <w:tc>
          <w:tcPr>
            <w:tcW w:w="1191" w:type="dxa"/>
          </w:tcPr>
          <w:p>
            <w:pPr>
              <w:pStyle w:val="0"/>
              <w:jc w:val="center"/>
            </w:pPr>
            <w:r>
              <w:rPr>
                <w:sz w:val="20"/>
              </w:rPr>
              <w:t xml:space="preserve">0,0</w:t>
            </w:r>
          </w:p>
        </w:tc>
        <w:tc>
          <w:tcPr>
            <w:tcW w:w="1587" w:type="dxa"/>
          </w:tcPr>
          <w:p>
            <w:pPr>
              <w:pStyle w:val="0"/>
              <w:jc w:val="center"/>
            </w:pPr>
            <w:r>
              <w:rPr>
                <w:sz w:val="20"/>
              </w:rPr>
              <w:t xml:space="preserve">12306216,8</w:t>
            </w:r>
          </w:p>
        </w:tc>
      </w:tr>
      <w:tr>
        <w:tc>
          <w:tcPr>
            <w:tcW w:w="1474" w:type="dxa"/>
          </w:tcPr>
          <w:p>
            <w:pPr>
              <w:pStyle w:val="0"/>
              <w:jc w:val="both"/>
            </w:pPr>
            <w:r>
              <w:rPr>
                <w:sz w:val="20"/>
              </w:rPr>
              <w:t xml:space="preserve">2024 год</w:t>
            </w:r>
          </w:p>
        </w:tc>
        <w:tc>
          <w:tcPr>
            <w:tcW w:w="1587" w:type="dxa"/>
          </w:tcPr>
          <w:p>
            <w:pPr>
              <w:pStyle w:val="0"/>
              <w:jc w:val="center"/>
            </w:pPr>
            <w:r>
              <w:rPr>
                <w:sz w:val="20"/>
              </w:rPr>
              <w:t xml:space="preserve">1909081,9</w:t>
            </w:r>
          </w:p>
        </w:tc>
        <w:tc>
          <w:tcPr>
            <w:tcW w:w="1531" w:type="dxa"/>
          </w:tcPr>
          <w:p>
            <w:pPr>
              <w:pStyle w:val="0"/>
              <w:jc w:val="center"/>
            </w:pPr>
            <w:r>
              <w:rPr>
                <w:sz w:val="20"/>
              </w:rPr>
              <w:t xml:space="preserve">5614398,7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7523480,6</w:t>
            </w:r>
          </w:p>
        </w:tc>
      </w:tr>
      <w:tr>
        <w:tc>
          <w:tcPr>
            <w:tcW w:w="1474" w:type="dxa"/>
          </w:tcPr>
          <w:p>
            <w:pPr>
              <w:pStyle w:val="0"/>
              <w:jc w:val="both"/>
            </w:pPr>
            <w:r>
              <w:rPr>
                <w:sz w:val="20"/>
              </w:rPr>
              <w:t xml:space="preserve">2025 год</w:t>
            </w:r>
          </w:p>
        </w:tc>
        <w:tc>
          <w:tcPr>
            <w:tcW w:w="1587" w:type="dxa"/>
          </w:tcPr>
          <w:p>
            <w:pPr>
              <w:pStyle w:val="0"/>
              <w:jc w:val="center"/>
            </w:pPr>
            <w:r>
              <w:rPr>
                <w:sz w:val="20"/>
              </w:rPr>
              <w:t xml:space="preserve">4943404,7</w:t>
            </w:r>
          </w:p>
        </w:tc>
        <w:tc>
          <w:tcPr>
            <w:tcW w:w="1531" w:type="dxa"/>
          </w:tcPr>
          <w:p>
            <w:pPr>
              <w:pStyle w:val="0"/>
              <w:jc w:val="center"/>
            </w:pPr>
            <w:r>
              <w:rPr>
                <w:sz w:val="20"/>
              </w:rPr>
              <w:t xml:space="preserve">6309206,9</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11252611,6</w:t>
            </w:r>
          </w:p>
        </w:tc>
      </w:tr>
      <w:tr>
        <w:tc>
          <w:tcPr>
            <w:tcW w:w="1474" w:type="dxa"/>
          </w:tcPr>
          <w:p>
            <w:pPr>
              <w:pStyle w:val="0"/>
              <w:jc w:val="both"/>
            </w:pPr>
            <w:r>
              <w:rPr>
                <w:sz w:val="20"/>
              </w:rPr>
              <w:t xml:space="preserve">2026 год</w:t>
            </w:r>
          </w:p>
        </w:tc>
        <w:tc>
          <w:tcPr>
            <w:tcW w:w="1587" w:type="dxa"/>
          </w:tcPr>
          <w:p>
            <w:pPr>
              <w:pStyle w:val="0"/>
              <w:jc w:val="center"/>
            </w:pPr>
            <w:r>
              <w:rPr>
                <w:sz w:val="20"/>
              </w:rPr>
              <w:t xml:space="preserve">8281161,2</w:t>
            </w:r>
          </w:p>
        </w:tc>
        <w:tc>
          <w:tcPr>
            <w:tcW w:w="1531" w:type="dxa"/>
          </w:tcPr>
          <w:p>
            <w:pPr>
              <w:pStyle w:val="0"/>
              <w:jc w:val="center"/>
            </w:pPr>
            <w:r>
              <w:rPr>
                <w:sz w:val="20"/>
              </w:rPr>
              <w:t xml:space="preserve">6934064,7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15215225,9</w:t>
            </w:r>
          </w:p>
        </w:tc>
      </w:tr>
      <w:tr>
        <w:tc>
          <w:tcPr>
            <w:tcW w:w="1474" w:type="dxa"/>
          </w:tcPr>
          <w:p>
            <w:pPr>
              <w:pStyle w:val="0"/>
              <w:jc w:val="both"/>
            </w:pPr>
            <w:r>
              <w:rPr>
                <w:sz w:val="20"/>
              </w:rPr>
              <w:t xml:space="preserve">2027 год</w:t>
            </w:r>
          </w:p>
        </w:tc>
        <w:tc>
          <w:tcPr>
            <w:tcW w:w="1587" w:type="dxa"/>
          </w:tcPr>
          <w:p>
            <w:pPr>
              <w:pStyle w:val="0"/>
              <w:jc w:val="center"/>
            </w:pPr>
            <w:r>
              <w:rPr>
                <w:sz w:val="20"/>
              </w:rPr>
              <w:t xml:space="preserve">4453170,4</w:t>
            </w:r>
          </w:p>
        </w:tc>
        <w:tc>
          <w:tcPr>
            <w:tcW w:w="1531" w:type="dxa"/>
          </w:tcPr>
          <w:p>
            <w:pPr>
              <w:pStyle w:val="0"/>
              <w:jc w:val="center"/>
            </w:pPr>
            <w:r>
              <w:rPr>
                <w:sz w:val="20"/>
              </w:rPr>
              <w:t xml:space="preserve">6826905,9</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11280076,3</w:t>
            </w:r>
          </w:p>
        </w:tc>
      </w:tr>
      <w:tr>
        <w:tc>
          <w:tcPr>
            <w:tcW w:w="1474" w:type="dxa"/>
          </w:tcPr>
          <w:p>
            <w:pPr>
              <w:pStyle w:val="0"/>
              <w:jc w:val="both"/>
            </w:pPr>
            <w:r>
              <w:rPr>
                <w:sz w:val="20"/>
              </w:rPr>
              <w:t xml:space="preserve">2028 год</w:t>
            </w:r>
          </w:p>
        </w:tc>
        <w:tc>
          <w:tcPr>
            <w:tcW w:w="1587" w:type="dxa"/>
          </w:tcPr>
          <w:p>
            <w:pPr>
              <w:pStyle w:val="0"/>
              <w:jc w:val="center"/>
            </w:pPr>
            <w:r>
              <w:rPr>
                <w:sz w:val="20"/>
              </w:rPr>
              <w:t xml:space="preserve">428238,2</w:t>
            </w:r>
          </w:p>
        </w:tc>
        <w:tc>
          <w:tcPr>
            <w:tcW w:w="1531" w:type="dxa"/>
          </w:tcPr>
          <w:p>
            <w:pPr>
              <w:pStyle w:val="0"/>
              <w:jc w:val="center"/>
            </w:pPr>
            <w:r>
              <w:rPr>
                <w:sz w:val="20"/>
              </w:rPr>
              <w:t xml:space="preserve">6511556,9</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6939795,1</w:t>
            </w:r>
          </w:p>
        </w:tc>
      </w:tr>
      <w:tr>
        <w:tc>
          <w:tcPr>
            <w:tcW w:w="1474" w:type="dxa"/>
          </w:tcPr>
          <w:p>
            <w:pPr>
              <w:pStyle w:val="0"/>
              <w:jc w:val="both"/>
            </w:pPr>
            <w:r>
              <w:rPr>
                <w:sz w:val="20"/>
              </w:rPr>
              <w:t xml:space="preserve">2029 год</w:t>
            </w:r>
          </w:p>
        </w:tc>
        <w:tc>
          <w:tcPr>
            <w:tcW w:w="1587" w:type="dxa"/>
          </w:tcPr>
          <w:p>
            <w:pPr>
              <w:pStyle w:val="0"/>
              <w:jc w:val="center"/>
            </w:pPr>
            <w:r>
              <w:rPr>
                <w:sz w:val="20"/>
              </w:rPr>
              <w:t xml:space="preserve">440215,7</w:t>
            </w:r>
          </w:p>
        </w:tc>
        <w:tc>
          <w:tcPr>
            <w:tcW w:w="1531" w:type="dxa"/>
          </w:tcPr>
          <w:p>
            <w:pPr>
              <w:pStyle w:val="0"/>
              <w:jc w:val="center"/>
            </w:pPr>
            <w:r>
              <w:rPr>
                <w:sz w:val="20"/>
              </w:rPr>
              <w:t xml:space="preserve">6692788,9</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7133004,6</w:t>
            </w:r>
          </w:p>
        </w:tc>
      </w:tr>
      <w:tr>
        <w:tc>
          <w:tcPr>
            <w:tcW w:w="1474" w:type="dxa"/>
          </w:tcPr>
          <w:p>
            <w:pPr>
              <w:pStyle w:val="0"/>
              <w:jc w:val="both"/>
            </w:pPr>
            <w:r>
              <w:rPr>
                <w:sz w:val="20"/>
              </w:rPr>
              <w:t xml:space="preserve">2030 год</w:t>
            </w:r>
          </w:p>
        </w:tc>
        <w:tc>
          <w:tcPr>
            <w:tcW w:w="1587" w:type="dxa"/>
          </w:tcPr>
          <w:p>
            <w:pPr>
              <w:pStyle w:val="0"/>
              <w:jc w:val="center"/>
            </w:pPr>
            <w:r>
              <w:rPr>
                <w:sz w:val="20"/>
              </w:rPr>
              <w:t xml:space="preserve">452528,7</w:t>
            </w:r>
          </w:p>
        </w:tc>
        <w:tc>
          <w:tcPr>
            <w:tcW w:w="1531" w:type="dxa"/>
          </w:tcPr>
          <w:p>
            <w:pPr>
              <w:pStyle w:val="0"/>
              <w:jc w:val="center"/>
            </w:pPr>
            <w:r>
              <w:rPr>
                <w:sz w:val="20"/>
              </w:rPr>
              <w:t xml:space="preserve">6879095,4</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7331624,1</w:t>
            </w:r>
          </w:p>
        </w:tc>
      </w:tr>
      <w:tr>
        <w:tc>
          <w:tcPr>
            <w:tcW w:w="1474" w:type="dxa"/>
          </w:tcPr>
          <w:p>
            <w:pPr>
              <w:pStyle w:val="0"/>
              <w:jc w:val="both"/>
            </w:pPr>
            <w:r>
              <w:rPr>
                <w:sz w:val="20"/>
              </w:rPr>
              <w:t xml:space="preserve">Всего</w:t>
            </w:r>
          </w:p>
        </w:tc>
        <w:tc>
          <w:tcPr>
            <w:tcW w:w="1587" w:type="dxa"/>
          </w:tcPr>
          <w:p>
            <w:pPr>
              <w:pStyle w:val="0"/>
              <w:jc w:val="center"/>
            </w:pPr>
            <w:r>
              <w:rPr>
                <w:sz w:val="20"/>
              </w:rPr>
              <w:t xml:space="preserve">24918766,8</w:t>
            </w:r>
          </w:p>
        </w:tc>
        <w:tc>
          <w:tcPr>
            <w:tcW w:w="1531" w:type="dxa"/>
          </w:tcPr>
          <w:p>
            <w:pPr>
              <w:pStyle w:val="0"/>
              <w:jc w:val="center"/>
            </w:pPr>
            <w:r>
              <w:rPr>
                <w:sz w:val="20"/>
              </w:rPr>
              <w:t xml:space="preserve">57684567,8</w:t>
            </w:r>
          </w:p>
        </w:tc>
        <w:tc>
          <w:tcPr>
            <w:tcW w:w="1700" w:type="dxa"/>
          </w:tcPr>
          <w:p>
            <w:pPr>
              <w:pStyle w:val="0"/>
              <w:jc w:val="center"/>
            </w:pPr>
            <w:r>
              <w:rPr>
                <w:sz w:val="20"/>
              </w:rPr>
              <w:t xml:space="preserve">6131675,9</w:t>
            </w:r>
          </w:p>
        </w:tc>
        <w:tc>
          <w:tcPr>
            <w:tcW w:w="1191" w:type="dxa"/>
          </w:tcPr>
          <w:p>
            <w:pPr>
              <w:pStyle w:val="0"/>
              <w:jc w:val="center"/>
            </w:pPr>
            <w:r>
              <w:rPr>
                <w:sz w:val="20"/>
              </w:rPr>
              <w:t xml:space="preserve">0,0</w:t>
            </w:r>
          </w:p>
        </w:tc>
        <w:tc>
          <w:tcPr>
            <w:tcW w:w="1587" w:type="dxa"/>
          </w:tcPr>
          <w:p>
            <w:pPr>
              <w:pStyle w:val="0"/>
              <w:jc w:val="center"/>
            </w:pPr>
            <w:r>
              <w:rPr>
                <w:sz w:val="20"/>
              </w:rPr>
              <w:t xml:space="preserve">88735010,5</w:t>
            </w:r>
          </w:p>
        </w:tc>
      </w:tr>
    </w:tbl>
    <w:p>
      <w:pPr>
        <w:pStyle w:val="0"/>
        <w:jc w:val="both"/>
      </w:pPr>
      <w:r>
        <w:rPr>
          <w:sz w:val="20"/>
        </w:rPr>
        <w:t xml:space="preserve">(п. 9 в ред. </w:t>
      </w:r>
      <w:hyperlink w:history="0" r:id="rId53"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ind w:firstLine="540"/>
        <w:jc w:val="both"/>
      </w:pPr>
      <w:r>
        <w:rPr>
          <w:sz w:val="20"/>
        </w:rPr>
      </w:r>
    </w:p>
    <w:p>
      <w:pPr>
        <w:pStyle w:val="0"/>
        <w:ind w:firstLine="540"/>
        <w:jc w:val="both"/>
      </w:pPr>
      <w:r>
        <w:rPr>
          <w:sz w:val="20"/>
        </w:rPr>
        <w:t xml:space="preserve">10. Ожидаемые результаты реализации Программы:</w:t>
      </w:r>
    </w:p>
    <w:p>
      <w:pPr>
        <w:pStyle w:val="0"/>
        <w:spacing w:before="200" w:line-rule="auto"/>
        <w:ind w:firstLine="540"/>
        <w:jc w:val="both"/>
      </w:pPr>
      <w:r>
        <w:rPr>
          <w:sz w:val="20"/>
        </w:rPr>
        <w:t xml:space="preserve">- снижение смертности населения от всех причин до 12,1 чел. на 1000 населения к 2030 году;</w:t>
      </w:r>
    </w:p>
    <w:p>
      <w:pPr>
        <w:pStyle w:val="0"/>
        <w:spacing w:before="200" w:line-rule="auto"/>
        <w:ind w:firstLine="540"/>
        <w:jc w:val="both"/>
      </w:pPr>
      <w:r>
        <w:rPr>
          <w:sz w:val="20"/>
        </w:rPr>
        <w:t xml:space="preserve">- снижение смертности населения в трудоспособном возрасте до 420,0 чел. на 100 тыс. населения к 2030 году;</w:t>
      </w:r>
    </w:p>
    <w:p>
      <w:pPr>
        <w:pStyle w:val="0"/>
        <w:spacing w:before="200" w:line-rule="auto"/>
        <w:ind w:firstLine="540"/>
        <w:jc w:val="both"/>
      </w:pPr>
      <w:r>
        <w:rPr>
          <w:sz w:val="20"/>
        </w:rPr>
        <w:t xml:space="preserve">- снижение смертности детей в возрасте 0 - 1 года до 2,9 на 1000 родившихся живыми к 2030 году;</w:t>
      </w:r>
    </w:p>
    <w:p>
      <w:pPr>
        <w:pStyle w:val="0"/>
        <w:spacing w:before="200" w:line-rule="auto"/>
        <w:ind w:firstLine="540"/>
        <w:jc w:val="both"/>
      </w:pPr>
      <w:r>
        <w:rPr>
          <w:sz w:val="20"/>
        </w:rPr>
        <w:t xml:space="preserve">- снижение смертности детей в возрасте 0 - 4 лет до 4,0 чел. на 1000 родившихся живыми к 2030 году;</w:t>
      </w:r>
    </w:p>
    <w:p>
      <w:pPr>
        <w:pStyle w:val="0"/>
        <w:spacing w:before="200" w:line-rule="auto"/>
        <w:ind w:firstLine="540"/>
        <w:jc w:val="both"/>
      </w:pPr>
      <w:r>
        <w:rPr>
          <w:sz w:val="20"/>
        </w:rPr>
        <w:t xml:space="preserve">- снижение смертности от болезней системы кровообращения до 450,0 случая на 100 тыс. населения к 2030 году;</w:t>
      </w:r>
    </w:p>
    <w:p>
      <w:pPr>
        <w:pStyle w:val="0"/>
        <w:spacing w:before="200" w:line-rule="auto"/>
        <w:ind w:firstLine="540"/>
        <w:jc w:val="both"/>
      </w:pPr>
      <w:r>
        <w:rPr>
          <w:sz w:val="20"/>
        </w:rPr>
        <w:t xml:space="preserve">- снижение смертности от дорожно-транспортных происшествий до 6,9 чел. на 100 тыс. населения к 2030 году;</w:t>
      </w:r>
    </w:p>
    <w:p>
      <w:pPr>
        <w:pStyle w:val="0"/>
        <w:spacing w:before="200" w:line-rule="auto"/>
        <w:ind w:firstLine="540"/>
        <w:jc w:val="both"/>
      </w:pPr>
      <w:r>
        <w:rPr>
          <w:sz w:val="20"/>
        </w:rPr>
        <w:t xml:space="preserve">- снижение смертности от новообразований (в том числе от злокачественных) до 207,2 чел. на 100 тыс. населения к 2030 году;</w:t>
      </w:r>
    </w:p>
    <w:p>
      <w:pPr>
        <w:pStyle w:val="0"/>
        <w:spacing w:before="200" w:line-rule="auto"/>
        <w:ind w:firstLine="540"/>
        <w:jc w:val="both"/>
      </w:pPr>
      <w:r>
        <w:rPr>
          <w:sz w:val="20"/>
        </w:rPr>
        <w:t xml:space="preserve">- снижение смертности от туберкулеза до 6,0 чел. на 100 тыс. населения к 2030 году;</w:t>
      </w:r>
    </w:p>
    <w:p>
      <w:pPr>
        <w:pStyle w:val="0"/>
        <w:spacing w:before="200" w:line-rule="auto"/>
        <w:ind w:firstLine="540"/>
        <w:jc w:val="both"/>
      </w:pPr>
      <w:r>
        <w:rPr>
          <w:sz w:val="20"/>
        </w:rPr>
        <w:t xml:space="preserve">- увеличение процента отделений учреждений здравоохранения, подведомственных ДЗГС, соответствующих лицензионным требованиям, до 100,0 к 2030 году;</w:t>
      </w:r>
    </w:p>
    <w:p>
      <w:pPr>
        <w:pStyle w:val="0"/>
        <w:spacing w:before="200" w:line-rule="auto"/>
        <w:ind w:firstLine="540"/>
        <w:jc w:val="both"/>
      </w:pPr>
      <w:r>
        <w:rPr>
          <w:sz w:val="20"/>
        </w:rPr>
        <w:t xml:space="preserve">- уменьшение доли площадей учреждений здравоохранения, нуждающихся в капитальном ремонте, до 15% к 2030 году;</w:t>
      </w:r>
    </w:p>
    <w:p>
      <w:pPr>
        <w:pStyle w:val="0"/>
        <w:spacing w:before="200" w:line-rule="auto"/>
        <w:ind w:firstLine="540"/>
        <w:jc w:val="both"/>
      </w:pPr>
      <w:r>
        <w:rPr>
          <w:sz w:val="20"/>
        </w:rPr>
        <w:t xml:space="preserve">- рост процента граждан, проживающих в городской местности, удовлетворенных оказанием услуг по данным ТФОМС, до 75,0 к 2030 году;</w:t>
      </w:r>
    </w:p>
    <w:p>
      <w:pPr>
        <w:pStyle w:val="0"/>
        <w:spacing w:before="200" w:line-rule="auto"/>
        <w:ind w:firstLine="540"/>
        <w:jc w:val="both"/>
      </w:pPr>
      <w:r>
        <w:rPr>
          <w:sz w:val="20"/>
        </w:rPr>
        <w:t xml:space="preserve">- рост процента граждан, проживающих в сельской местности, удовлетворенных оказанием услуг по данным ТФОМС, до 75,0 к 2030 году;</w:t>
      </w:r>
    </w:p>
    <w:p>
      <w:pPr>
        <w:pStyle w:val="0"/>
        <w:spacing w:before="200" w:line-rule="auto"/>
        <w:ind w:firstLine="540"/>
        <w:jc w:val="both"/>
      </w:pPr>
      <w:r>
        <w:rPr>
          <w:sz w:val="20"/>
        </w:rPr>
        <w:t xml:space="preserve">- увеличение продолжительности жизни до 77 лет к 2030 году;</w:t>
      </w:r>
    </w:p>
    <w:p>
      <w:pPr>
        <w:pStyle w:val="0"/>
        <w:spacing w:before="200" w:line-rule="auto"/>
        <w:ind w:firstLine="540"/>
        <w:jc w:val="both"/>
      </w:pPr>
      <w:r>
        <w:rPr>
          <w:sz w:val="20"/>
        </w:rPr>
        <w:t xml:space="preserve">- ввод в эксплуатацию объектов здравоохранения в городе Севастополе в рамках государственной </w:t>
      </w:r>
      <w:hyperlink w:history="0" r:id="rId54"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программы</w:t>
        </w:r>
      </w:hyperlink>
      <w:r>
        <w:rPr>
          <w:sz w:val="20"/>
        </w:rPr>
        <w:t xml:space="preserve"> Российской Федерации "Социально-экономическое развитие Республики Крым и г. Севастополя": два объекта в 2022 году, три объекта в 2023 году, один объект в 2024 году; один объект в 2025 году; два объекта в 2026 году и два объекта в 2027 году;</w:t>
      </w:r>
    </w:p>
    <w:p>
      <w:pPr>
        <w:pStyle w:val="0"/>
        <w:spacing w:before="200" w:line-rule="auto"/>
        <w:ind w:firstLine="540"/>
        <w:jc w:val="both"/>
      </w:pPr>
      <w:r>
        <w:rPr>
          <w:sz w:val="20"/>
        </w:rPr>
        <w:t xml:space="preserve">- рост объема внебюджетных инвестиций в основной капитал в отрасль здравоохранения до 6000,0 тыс. руб. к 2030 году.</w:t>
      </w:r>
    </w:p>
    <w:p>
      <w:pPr>
        <w:pStyle w:val="0"/>
        <w:ind w:firstLine="540"/>
        <w:jc w:val="both"/>
      </w:pPr>
      <w:r>
        <w:rPr>
          <w:sz w:val="20"/>
        </w:rPr>
      </w:r>
    </w:p>
    <w:p>
      <w:pPr>
        <w:pStyle w:val="2"/>
        <w:outlineLvl w:val="1"/>
        <w:jc w:val="center"/>
      </w:pPr>
      <w:r>
        <w:rPr>
          <w:sz w:val="20"/>
        </w:rPr>
        <w:t xml:space="preserve">I. Характеристика фактического состояния сферы реализации</w:t>
      </w:r>
    </w:p>
    <w:p>
      <w:pPr>
        <w:pStyle w:val="2"/>
        <w:jc w:val="center"/>
      </w:pPr>
      <w:r>
        <w:rPr>
          <w:sz w:val="20"/>
        </w:rPr>
        <w:t xml:space="preserve">Программы и прогноз его развития на перспективу</w:t>
      </w:r>
    </w:p>
    <w:p>
      <w:pPr>
        <w:pStyle w:val="0"/>
        <w:jc w:val="center"/>
      </w:pPr>
      <w:r>
        <w:rPr>
          <w:sz w:val="20"/>
        </w:rPr>
        <w:t xml:space="preserve">(в ред. </w:t>
      </w:r>
      <w:hyperlink w:history="0" r:id="rId55"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pPr>
      <w:r>
        <w:rPr>
          <w:sz w:val="20"/>
        </w:rPr>
      </w:r>
    </w:p>
    <w:p>
      <w:pPr>
        <w:pStyle w:val="0"/>
        <w:ind w:firstLine="540"/>
        <w:jc w:val="both"/>
      </w:pPr>
      <w:r>
        <w:rPr>
          <w:sz w:val="20"/>
        </w:rPr>
        <w:t xml:space="preserve">Город Севастополь обладает разветвленной сетью медицинских организаций. На конец 2021 года в системе здравоохранения города Севастополя функционировали 43 медицинские организации, из которых 17 - государственные бюджетные учреждения, подведомственные ДЗГС. Государственная система здравоохранения включает четыре многопрофильные больницы, две специализированные больницы (инфекционная и психиатрическая), три диспансера (онкологический, противотуберкулезный, кожно-венерологический), шесть детских поликлиник, девять взрослых поликлиник, четырнадцать фельдшерско-акушерских пунктов, семь сельских амбулаторий, Центр экстренной медицинской помощи и медицины катастроф, Центр медицинской реабилитации, Специализированный дом ребенка для детей с поражением центральной нервной системы и нарушением психики, две стоматологические поликлиники, в том числе одну детскую.</w:t>
      </w:r>
    </w:p>
    <w:p>
      <w:pPr>
        <w:pStyle w:val="0"/>
        <w:spacing w:before="200" w:line-rule="auto"/>
        <w:ind w:firstLine="540"/>
        <w:jc w:val="both"/>
      </w:pPr>
      <w:r>
        <w:rPr>
          <w:sz w:val="20"/>
        </w:rPr>
        <w:t xml:space="preserve">По состоянию на 01.01.2021, по данным Управления Федеральной службы государственной статистики по Республике Крым и г. Севастополю, общая численность населения, постоянно проживающего на территории города, составляет 509992 чел. Плотность населения - порядка 472,4 чел. на 1 кв. км. Число городских жителей - 479394 чел., сельских - 30598 чел. Мужское население - 241542 чел. (47,0%), женское - 268450 чел. (53,0%).</w:t>
      </w:r>
    </w:p>
    <w:p>
      <w:pPr>
        <w:pStyle w:val="0"/>
        <w:spacing w:before="200" w:line-rule="auto"/>
        <w:ind w:firstLine="540"/>
        <w:jc w:val="both"/>
      </w:pPr>
      <w:r>
        <w:rPr>
          <w:sz w:val="20"/>
        </w:rPr>
        <w:t xml:space="preserve">Численность детского населения составляет 100541 чел. от 0 до 17 лет включительно, в том числе детей 0 - 15 лет - 90720 чел. (из них до 1 года - 4524 чел.), подростков 15 - 17 лет - 14601 чел.</w:t>
      </w:r>
    </w:p>
    <w:p>
      <w:pPr>
        <w:pStyle w:val="0"/>
        <w:spacing w:before="200" w:line-rule="auto"/>
        <w:ind w:firstLine="540"/>
        <w:jc w:val="both"/>
      </w:pPr>
      <w:r>
        <w:rPr>
          <w:sz w:val="20"/>
        </w:rPr>
        <w:t xml:space="preserve">Демографическую ситуацию в Севастополе, сложившуюся в последние годы, можно охарактеризовать как напряженную. На протяжении последних лет показатель смертности превышает показатель рождаемости. Особенностью демографического процесса развития в городе Севастополе является старение населения, вследствие чего сокращается удельный вес трудоспособного населения (с 1990 года уменьшился на 10,3%) и увеличивается количество населения пенсионного возраста (на 56%). Такой возрастной состав жителей объясняется процессами миграции населения нетрудоспособного возраста из субъектов Российской Федерации с суровыми климатическими условиями после выхода на пенсию в город Севастополь с благоприятными климатическими условиями.</w:t>
      </w:r>
    </w:p>
    <w:p>
      <w:pPr>
        <w:pStyle w:val="0"/>
        <w:spacing w:before="200" w:line-rule="auto"/>
        <w:ind w:firstLine="540"/>
        <w:jc w:val="both"/>
      </w:pPr>
      <w:r>
        <w:rPr>
          <w:sz w:val="20"/>
        </w:rPr>
        <w:t xml:space="preserve">Коэффициент рождаемости в 2020 году составил 9,43 (в 2019 году - 9,64, в 2018 году - 10,3, 2017 году - 11,3, в 2016 году - 13,0, в 2015 году - 13,7). Показатели рождаемости снижаются на 5 - 8% в год. Аналогичный показатель в Российской Федерации за 2020 год составил 9,8; в Южном федеральном округе (далее - ЮФО) - 9,5; в Республике Крым - 9,9.</w:t>
      </w:r>
    </w:p>
    <w:p>
      <w:pPr>
        <w:pStyle w:val="0"/>
        <w:spacing w:before="200" w:line-rule="auto"/>
        <w:ind w:firstLine="540"/>
        <w:jc w:val="both"/>
      </w:pPr>
      <w:r>
        <w:rPr>
          <w:sz w:val="20"/>
        </w:rPr>
        <w:t xml:space="preserve">От всех причин в 2020 году умерло 6246 человек, что на 431 смерть больше, чем в аналогичном периоде 2019 года (5815). Коэффициент общей смертности на 1000 населения в 2020 году составил 13,94, что на 6,05% больше, чем в 2019 году (13,14 на 1000 населения). Аналогичный показатель общей смертности в РФ в 2020 году составил 14,5; в ЮФО - 14,8; Республике Крым - 16,1.</w:t>
      </w:r>
    </w:p>
    <w:p>
      <w:pPr>
        <w:pStyle w:val="0"/>
        <w:spacing w:before="200" w:line-rule="auto"/>
        <w:ind w:firstLine="540"/>
        <w:jc w:val="both"/>
      </w:pPr>
      <w:r>
        <w:rPr>
          <w:sz w:val="20"/>
        </w:rPr>
        <w:t xml:space="preserve">Из всех умерших 11,40%, или 712 человек, были "нерезидентами" (иногородние, иностранные (420 человек)), в том числе БОМЖ и неизвестные (292 человека). Общий показатель смертности населения, проживающего в городе Севастополе, без учета "нерезидентов" составил 1234,92 на 100 тыс. населения.</w:t>
      </w:r>
    </w:p>
    <w:p>
      <w:pPr>
        <w:pStyle w:val="0"/>
        <w:spacing w:before="200" w:line-rule="auto"/>
        <w:ind w:firstLine="540"/>
        <w:jc w:val="both"/>
      </w:pPr>
      <w:r>
        <w:rPr>
          <w:sz w:val="20"/>
        </w:rPr>
        <w:t xml:space="preserve">Естественный прирост (убыль) в 2020 году составил минус 4,51 на 1 тыс. населения, в 2019 году - минус 3,50. Разница между родившимися и умершими в 2020 году составила минус 2021 человек (в 2019 году - минус 1548 человек).</w:t>
      </w:r>
    </w:p>
    <w:p>
      <w:pPr>
        <w:pStyle w:val="0"/>
        <w:spacing w:before="200" w:line-rule="auto"/>
        <w:ind w:firstLine="540"/>
        <w:jc w:val="both"/>
      </w:pPr>
      <w:r>
        <w:rPr>
          <w:sz w:val="20"/>
        </w:rPr>
        <w:t xml:space="preserve">Показатель смертности от заболеваний и острых состояний без учета умерших от внешних причин в 2020 году составил 13,13 на 1000 населения (5884 человека, что на 440 умерших больше, чем в 2019 году).</w:t>
      </w:r>
    </w:p>
    <w:p>
      <w:pPr>
        <w:pStyle w:val="0"/>
        <w:spacing w:before="200" w:line-rule="auto"/>
        <w:ind w:firstLine="540"/>
        <w:jc w:val="both"/>
      </w:pPr>
      <w:r>
        <w:rPr>
          <w:sz w:val="20"/>
        </w:rPr>
        <w:t xml:space="preserve">Основную долю от всех умерших, 5023 человека, или 80,42%, составляют лица старше трудоспособного возраста.</w:t>
      </w:r>
    </w:p>
    <w:p>
      <w:pPr>
        <w:pStyle w:val="0"/>
        <w:spacing w:before="200" w:line-rule="auto"/>
        <w:ind w:firstLine="540"/>
        <w:jc w:val="both"/>
      </w:pPr>
      <w:r>
        <w:rPr>
          <w:sz w:val="20"/>
        </w:rPr>
        <w:t xml:space="preserve">Доля населения, умершего в трудоспособном возрасте в 2020 году, составила 19,18% (1198 из 6246 случаев смерти), в 2019 году - 1123 умерших из 5815, или 19,31%. Из зарегистрированных смертей число лиц мужского пола трудоспособного возраста составила 78,30% (938 человек), 21,70% - женщины трудоспособного возраста (260 человек). Самая высокая доля умерших в трудоспособном возрасте зарегистрирована от кардиомиопатий, в том числе алкогольной этиологии (82,17%), панкреонекрозов и циррозов печени (60,34%), ВИЧ (97,89%), от туберкулеза (60,87%).</w:t>
      </w:r>
    </w:p>
    <w:p>
      <w:pPr>
        <w:pStyle w:val="0"/>
        <w:spacing w:before="200" w:line-rule="auto"/>
        <w:ind w:firstLine="540"/>
        <w:jc w:val="both"/>
      </w:pPr>
      <w:r>
        <w:rPr>
          <w:sz w:val="20"/>
        </w:rPr>
        <w:t xml:space="preserve">В 2020 году случаи материнской смертности не зарегистрированы.</w:t>
      </w:r>
    </w:p>
    <w:p>
      <w:pPr>
        <w:pStyle w:val="0"/>
        <w:spacing w:before="200" w:line-rule="auto"/>
        <w:ind w:firstLine="540"/>
        <w:jc w:val="both"/>
      </w:pPr>
      <w:r>
        <w:rPr>
          <w:sz w:val="20"/>
        </w:rPr>
        <w:t xml:space="preserve">Показатель младенческой смертности на 1000 родившихся живыми в 2020 году составил 3,5, что ниже на 2,94% и выше аналогичного показателя за 2019 год (3,4). Всего за 2020 год умерло 15 детей до 1 года (2016 год - 15). Основными причинами младенческой смертности являлись врожденные пороки развития, заболевания и острые состояния, возникшие в течение перинатального периода.</w:t>
      </w:r>
    </w:p>
    <w:p>
      <w:pPr>
        <w:pStyle w:val="0"/>
        <w:spacing w:before="200" w:line-rule="auto"/>
        <w:ind w:firstLine="540"/>
        <w:jc w:val="both"/>
      </w:pPr>
      <w:r>
        <w:rPr>
          <w:sz w:val="20"/>
        </w:rPr>
        <w:t xml:space="preserve">Аналогичный показатель в Российской Федерации составил 4,5, в ЮФО - 4,6; в Республике Крым - 5,4.</w:t>
      </w:r>
    </w:p>
    <w:p>
      <w:pPr>
        <w:pStyle w:val="0"/>
        <w:spacing w:before="200" w:line-rule="auto"/>
        <w:ind w:firstLine="540"/>
        <w:jc w:val="both"/>
      </w:pPr>
      <w:r>
        <w:rPr>
          <w:sz w:val="20"/>
        </w:rPr>
        <w:t xml:space="preserve">Показатель детской смертности (от 0 до 17 лет) в 2020 году составил 29,13 на 100 тыс. детей, что ниже аналогичного показателя 2019 года на 28,5% (40,74 на 100 тыс. детей).</w:t>
      </w:r>
    </w:p>
    <w:p>
      <w:pPr>
        <w:pStyle w:val="0"/>
        <w:spacing w:before="200" w:line-rule="auto"/>
        <w:ind w:firstLine="540"/>
        <w:jc w:val="both"/>
      </w:pPr>
      <w:r>
        <w:rPr>
          <w:sz w:val="20"/>
        </w:rPr>
        <w:t xml:space="preserve">На первом месте среди причин заболеваемости и смертности населения являются болезни системы кровообращения, от которых умерло 3427 человек (54,87% от всех умерших), за январь - декабрь 2019 г. от болезней системы кровообращения (далее - БСК) умерло 3296 человек. Показатель смертности за январь - декабрь 2020 г. на 100 тыс. населения, в сравнении с аналогичным периодом 2019 года, увеличился на 2,65% (+131 случай) и составил 764,74 (2019 год - 744,96).</w:t>
      </w:r>
    </w:p>
    <w:p>
      <w:pPr>
        <w:pStyle w:val="0"/>
        <w:spacing w:before="200" w:line-rule="auto"/>
        <w:ind w:firstLine="540"/>
        <w:jc w:val="both"/>
      </w:pPr>
      <w:r>
        <w:rPr>
          <w:sz w:val="20"/>
        </w:rPr>
        <w:t xml:space="preserve">Аналогичный показатель в РФ за март 2020 г. составил 593,8, в ЮФО - 641,4; в Республике Крым - 852,9.</w:t>
      </w:r>
    </w:p>
    <w:p>
      <w:pPr>
        <w:pStyle w:val="0"/>
        <w:spacing w:before="200" w:line-rule="auto"/>
        <w:ind w:firstLine="540"/>
        <w:jc w:val="both"/>
      </w:pPr>
      <w:r>
        <w:rPr>
          <w:sz w:val="20"/>
        </w:rPr>
        <w:t xml:space="preserve">Самую значимую долю (83,34%) в структуре смертности от болезней системы кровообращения занимают смерти 2-й группы: заболевания ишемической болезни сердца (доля 40,62%), что составляет 1392 человека, или 310,63, на 100000 населения, + группа цереброваскулярных болезней (42,72%), 1464 человека, или 326,69, на 100000 населения.</w:t>
      </w:r>
    </w:p>
    <w:p>
      <w:pPr>
        <w:pStyle w:val="0"/>
        <w:spacing w:before="200" w:line-rule="auto"/>
        <w:ind w:firstLine="540"/>
        <w:jc w:val="both"/>
      </w:pPr>
      <w:r>
        <w:rPr>
          <w:sz w:val="20"/>
        </w:rPr>
        <w:t xml:space="preserve">В основном от БСК умирали лица старше трудоспособного возраста. Доля трудоспособных умерших от БСК - 10,85%. Показатель смертности трудоспособных от болезней системы кровообращения на 100 тыс. населения трудоспособного возраста составил 149,79 (или 372 человека), в январе - декабре 2019 г. (142,94, или 353 человека).</w:t>
      </w:r>
    </w:p>
    <w:p>
      <w:pPr>
        <w:pStyle w:val="0"/>
        <w:spacing w:before="200" w:line-rule="auto"/>
        <w:ind w:firstLine="540"/>
        <w:jc w:val="both"/>
      </w:pPr>
      <w:r>
        <w:rPr>
          <w:sz w:val="20"/>
        </w:rPr>
        <w:t xml:space="preserve">Основными задачами по снижению смертности от БСК являются:</w:t>
      </w:r>
    </w:p>
    <w:p>
      <w:pPr>
        <w:pStyle w:val="0"/>
        <w:spacing w:before="200" w:line-rule="auto"/>
        <w:ind w:firstLine="540"/>
        <w:jc w:val="both"/>
      </w:pPr>
      <w:r>
        <w:rPr>
          <w:sz w:val="20"/>
        </w:rPr>
        <w:t xml:space="preserve">- получение достоверных статистических данных по заболеваемости, смертности, летальности и инвалидности по группе БСК (гипертоническая болезнь, инфаркт миокарда, инсульт и др.);</w:t>
      </w:r>
    </w:p>
    <w:p>
      <w:pPr>
        <w:pStyle w:val="0"/>
        <w:spacing w:before="200" w:line-rule="auto"/>
        <w:ind w:firstLine="540"/>
        <w:jc w:val="both"/>
      </w:pPr>
      <w:r>
        <w:rPr>
          <w:sz w:val="20"/>
        </w:rPr>
        <w:t xml:space="preserve">- создание регистра пациентов с БСК и внедрение алгоритмов диспансеризации населения, направленных на группы риска по развитию ОНМК и острого коронарного синдрома, раннее выявление лиц из группы высокого риска по развитию инсульта и инфаркта миокарда;</w:t>
      </w:r>
    </w:p>
    <w:p>
      <w:pPr>
        <w:pStyle w:val="0"/>
        <w:spacing w:before="200" w:line-rule="auto"/>
        <w:ind w:firstLine="540"/>
        <w:jc w:val="both"/>
      </w:pPr>
      <w:r>
        <w:rPr>
          <w:sz w:val="20"/>
        </w:rPr>
        <w:t xml:space="preserve">- проведение мероприятий по профилактике и лечению факторов риска БСК: артериальной гипертензии (создание системы профилактики артериальной гипертензии в группах риска); курения (создание кабинетов по борьбе с курением в первичном звене здравоохранения); высокого уровня холестерина;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 формирование здорового образа жизни;</w:t>
      </w:r>
    </w:p>
    <w:p>
      <w:pPr>
        <w:pStyle w:val="0"/>
        <w:spacing w:before="200" w:line-rule="auto"/>
        <w:ind w:firstLine="540"/>
        <w:jc w:val="both"/>
      </w:pPr>
      <w:r>
        <w:rPr>
          <w:sz w:val="20"/>
        </w:rPr>
        <w:t xml:space="preserve">- внедрение новых эффективных технологий диагностики, лечения и профилактики БСК, перепрофилирование коечного фонда Регионального сосудистого центра с открытием отделения неотложной кардиологии, увеличение оперативной активности нейрохирургического отделения, внедрение кардиохирургических операций реваскуляризации миокарда (аортокоронарное шунтирование, маммарокоронарное шунтирование);</w:t>
      </w:r>
    </w:p>
    <w:p>
      <w:pPr>
        <w:pStyle w:val="0"/>
        <w:spacing w:before="200" w:line-rule="auto"/>
        <w:ind w:firstLine="540"/>
        <w:jc w:val="both"/>
      </w:pPr>
      <w:r>
        <w:rPr>
          <w:sz w:val="20"/>
        </w:rPr>
        <w:t xml:space="preserve">- создание системы реабилитации пациентов с БСК, внедрение ранней мультидисциплинарной реабилитации больных, перенесших инсульт и инфаркт миокарда;</w:t>
      </w:r>
    </w:p>
    <w:p>
      <w:pPr>
        <w:pStyle w:val="0"/>
        <w:spacing w:before="200" w:line-rule="auto"/>
        <w:ind w:firstLine="540"/>
        <w:jc w:val="both"/>
      </w:pPr>
      <w:r>
        <w:rPr>
          <w:sz w:val="20"/>
        </w:rPr>
        <w:t xml:space="preserve">- совершенствование материально-технической базы Регионального сосудистого центра и поликлиник, оказывающих первичную медико-санитарную помощь пациентам с БСК; строительство государственного бюджетного учреждения здравоохранения Севастополя (далее - ГБУЗС) "Больница скорой медицинской помощи";</w:t>
      </w:r>
    </w:p>
    <w:p>
      <w:pPr>
        <w:pStyle w:val="0"/>
        <w:spacing w:before="200" w:line-rule="auto"/>
        <w:ind w:firstLine="540"/>
        <w:jc w:val="both"/>
      </w:pPr>
      <w:r>
        <w:rPr>
          <w:sz w:val="20"/>
        </w:rPr>
        <w:t xml:space="preserve">- привлечение специалистов и укомплектование врачами-терапевтами участковыми и врачами-неврологами амбулаторно-поликлинической службы.</w:t>
      </w:r>
    </w:p>
    <w:p>
      <w:pPr>
        <w:pStyle w:val="0"/>
        <w:spacing w:before="200" w:line-rule="auto"/>
        <w:ind w:firstLine="540"/>
        <w:jc w:val="both"/>
      </w:pPr>
      <w:r>
        <w:rPr>
          <w:sz w:val="20"/>
        </w:rPr>
        <w:t xml:space="preserve">Второе место среди причин смертности заняли новообразования, от которых в 2020 году умерло 1128 человек, или 251,71, на 100 тыс. населения (18,06% от всех умерших), что на 1 случай меньше, чем в январе - декабре 2019 г. (1129 умерших, или 255,18, на 100 тыс. населения). Аналогичный показатель в РФ за март 2020 г. составил 198,9, в ЮФО - 191,3, в Республике Крым - 234,9.</w:t>
      </w:r>
    </w:p>
    <w:p>
      <w:pPr>
        <w:pStyle w:val="0"/>
        <w:spacing w:before="200" w:line-rule="auto"/>
        <w:ind w:firstLine="540"/>
        <w:jc w:val="both"/>
      </w:pPr>
      <w:r>
        <w:rPr>
          <w:sz w:val="20"/>
        </w:rPr>
        <w:t xml:space="preserve">Большинство из зарегистрированных случаев составили случаи смерти от злокачественных новообразований (далее - ЗНО). Количество умерших от ЗНО снизилось на 5 человек, и показатель составил 248,37 на 100 тыс. населения, или 1113 умерших (в январе - декабре 2019 г. - 252,69, или 1118 умерших).</w:t>
      </w:r>
    </w:p>
    <w:p>
      <w:pPr>
        <w:pStyle w:val="0"/>
        <w:spacing w:before="200" w:line-rule="auto"/>
        <w:ind w:firstLine="540"/>
        <w:jc w:val="both"/>
      </w:pPr>
      <w:r>
        <w:rPr>
          <w:sz w:val="20"/>
        </w:rPr>
        <w:t xml:space="preserve">Аналогичный показатель в РФ за март 2020 г. составил 195,9; в ЮФО - 188,8, в Республике Крым - 233,0.</w:t>
      </w:r>
    </w:p>
    <w:p>
      <w:pPr>
        <w:pStyle w:val="0"/>
        <w:spacing w:before="200" w:line-rule="auto"/>
        <w:ind w:firstLine="540"/>
        <w:jc w:val="both"/>
      </w:pPr>
      <w:r>
        <w:rPr>
          <w:sz w:val="20"/>
        </w:rPr>
        <w:t xml:space="preserve">Доля умерших в трудоспособном возрасте от всех умерших от ЗНО составила 13,93% (155 случаев из 1113 умерших). Показатель смертности в трудоспособном возрасте от ЗНО составил 62,41 на 100 тыс. трудоспособного населения, в аналогичном периоде 2019 года - 66,00, или 163 человека.</w:t>
      </w:r>
    </w:p>
    <w:p>
      <w:pPr>
        <w:pStyle w:val="0"/>
        <w:spacing w:before="200" w:line-rule="auto"/>
        <w:ind w:firstLine="540"/>
        <w:jc w:val="both"/>
      </w:pPr>
      <w:r>
        <w:rPr>
          <w:sz w:val="20"/>
        </w:rPr>
        <w:t xml:space="preserve">Основными задачами по достижению целевых показателей по снижению смертности от ЗНО являются:</w:t>
      </w:r>
    </w:p>
    <w:p>
      <w:pPr>
        <w:pStyle w:val="0"/>
        <w:spacing w:before="200" w:line-rule="auto"/>
        <w:ind w:firstLine="540"/>
        <w:jc w:val="both"/>
      </w:pPr>
      <w:r>
        <w:rPr>
          <w:sz w:val="20"/>
        </w:rPr>
        <w:t xml:space="preserve">- обеспечение приоритета раннего выявления ЗНО и преемственности при оказании первичной медико-санитарной и специализированной медицинской помощи по профилю "онкология";</w:t>
      </w:r>
    </w:p>
    <w:p>
      <w:pPr>
        <w:pStyle w:val="0"/>
        <w:spacing w:before="200" w:line-rule="auto"/>
        <w:ind w:firstLine="540"/>
        <w:jc w:val="both"/>
      </w:pPr>
      <w:r>
        <w:rPr>
          <w:sz w:val="20"/>
        </w:rPr>
        <w:t xml:space="preserve">- улучшение работы первичного звена здравоохранения по раннему выявлению ЗНО и преемственности при оказании первичной и специализированной медицинской помощи по профилю "онкология";</w:t>
      </w:r>
    </w:p>
    <w:p>
      <w:pPr>
        <w:pStyle w:val="0"/>
        <w:spacing w:before="200" w:line-rule="auto"/>
        <w:ind w:firstLine="540"/>
        <w:jc w:val="both"/>
      </w:pPr>
      <w:r>
        <w:rPr>
          <w:sz w:val="20"/>
        </w:rPr>
        <w:t xml:space="preserve">- повышение онконастороженности медицинских работников и населения;</w:t>
      </w:r>
    </w:p>
    <w:p>
      <w:pPr>
        <w:pStyle w:val="0"/>
        <w:spacing w:before="200" w:line-rule="auto"/>
        <w:ind w:firstLine="540"/>
        <w:jc w:val="both"/>
      </w:pPr>
      <w:r>
        <w:rPr>
          <w:sz w:val="20"/>
        </w:rPr>
        <w:t xml:space="preserve">- повышение доступности и качества диагностики новообразований;</w:t>
      </w:r>
    </w:p>
    <w:p>
      <w:pPr>
        <w:pStyle w:val="0"/>
        <w:spacing w:before="200" w:line-rule="auto"/>
        <w:ind w:firstLine="540"/>
        <w:jc w:val="both"/>
      </w:pPr>
      <w:r>
        <w:rPr>
          <w:sz w:val="20"/>
        </w:rPr>
        <w:t xml:space="preserve">- получение достоверных статистических данных по заболеваемости, смертности, летальности и инвалидности по группе ЗНО;</w:t>
      </w:r>
    </w:p>
    <w:p>
      <w:pPr>
        <w:pStyle w:val="0"/>
        <w:spacing w:before="200" w:line-rule="auto"/>
        <w:ind w:firstLine="540"/>
        <w:jc w:val="both"/>
      </w:pPr>
      <w:r>
        <w:rPr>
          <w:sz w:val="20"/>
        </w:rPr>
        <w:t xml:space="preserve">- оптимизация работы канцер-регистра, маршрутизация пациентов, контроль сроков постановки диагноза и начала специализированного лечения;</w:t>
      </w:r>
    </w:p>
    <w:p>
      <w:pPr>
        <w:pStyle w:val="0"/>
        <w:spacing w:before="200" w:line-rule="auto"/>
        <w:ind w:firstLine="540"/>
        <w:jc w:val="both"/>
      </w:pPr>
      <w:r>
        <w:rPr>
          <w:sz w:val="20"/>
        </w:rPr>
        <w:t xml:space="preserve">- внедрение алгоритмов диспансеризации населения, в том числе трудоспособного, направленных на группы риска по развитию ЗНО;</w:t>
      </w:r>
    </w:p>
    <w:p>
      <w:pPr>
        <w:pStyle w:val="0"/>
        <w:spacing w:before="200" w:line-rule="auto"/>
        <w:ind w:firstLine="540"/>
        <w:jc w:val="both"/>
      </w:pPr>
      <w:r>
        <w:rPr>
          <w:sz w:val="20"/>
        </w:rPr>
        <w:t xml:space="preserve">- проведение мероприятий по профилактике и лечению факторов риска ЗНО: курения (создание кабинетов по борьбе с курением в первичном звене здравоохранения);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 формирование здорового образа жизни;</w:t>
      </w:r>
    </w:p>
    <w:p>
      <w:pPr>
        <w:pStyle w:val="0"/>
        <w:spacing w:before="200" w:line-rule="auto"/>
        <w:ind w:firstLine="540"/>
        <w:jc w:val="both"/>
      </w:pPr>
      <w:r>
        <w:rPr>
          <w:sz w:val="20"/>
        </w:rPr>
        <w:t xml:space="preserve">- внедрение комплексного и комбинированного подхода к лечению ЗНО;</w:t>
      </w:r>
    </w:p>
    <w:p>
      <w:pPr>
        <w:pStyle w:val="0"/>
        <w:spacing w:before="200" w:line-rule="auto"/>
        <w:ind w:firstLine="540"/>
        <w:jc w:val="both"/>
      </w:pPr>
      <w:r>
        <w:rPr>
          <w:sz w:val="20"/>
        </w:rPr>
        <w:t xml:space="preserve">- оптимизация маршрутизации онкологических больных;</w:t>
      </w:r>
    </w:p>
    <w:p>
      <w:pPr>
        <w:pStyle w:val="0"/>
        <w:spacing w:before="200" w:line-rule="auto"/>
        <w:ind w:firstLine="540"/>
        <w:jc w:val="both"/>
      </w:pPr>
      <w:r>
        <w:rPr>
          <w:sz w:val="20"/>
        </w:rPr>
        <w:t xml:space="preserve">- внедрение новых эффективных технологий диагностики и профилактики ЗНО;</w:t>
      </w:r>
    </w:p>
    <w:p>
      <w:pPr>
        <w:pStyle w:val="0"/>
        <w:spacing w:before="200" w:line-rule="auto"/>
        <w:ind w:firstLine="540"/>
        <w:jc w:val="both"/>
      </w:pPr>
      <w:r>
        <w:rPr>
          <w:sz w:val="20"/>
        </w:rPr>
        <w:t xml:space="preserve">- создание системы реабилитации пациентов с ЗНО, внедрение ранней мультидисциплинарной реабилитации больных;</w:t>
      </w:r>
    </w:p>
    <w:p>
      <w:pPr>
        <w:pStyle w:val="0"/>
        <w:spacing w:before="200" w:line-rule="auto"/>
        <w:ind w:firstLine="540"/>
        <w:jc w:val="both"/>
      </w:pPr>
      <w:r>
        <w:rPr>
          <w:sz w:val="20"/>
        </w:rPr>
        <w:t xml:space="preserve">- совершенствование материально-технической базы ГБУЗС "Севастопольский городской онкологический диспансер имени А.А. Задорожного" и поликлиник (диагностическое: эндоскопическое, УЗИ, лабораторное, рентген-диагностическое оборудование), строительство онкологического диспансера к 2023 году;</w:t>
      </w:r>
    </w:p>
    <w:p>
      <w:pPr>
        <w:pStyle w:val="0"/>
        <w:spacing w:before="200" w:line-rule="auto"/>
        <w:ind w:firstLine="540"/>
        <w:jc w:val="both"/>
      </w:pPr>
      <w:r>
        <w:rPr>
          <w:sz w:val="20"/>
        </w:rPr>
        <w:t xml:space="preserve">- организация центра амбулаторной онкологической помощи;</w:t>
      </w:r>
    </w:p>
    <w:p>
      <w:pPr>
        <w:pStyle w:val="0"/>
        <w:spacing w:before="200" w:line-rule="auto"/>
        <w:ind w:firstLine="540"/>
        <w:jc w:val="both"/>
      </w:pPr>
      <w:r>
        <w:rPr>
          <w:sz w:val="20"/>
        </w:rPr>
        <w:t xml:space="preserve">- модернизация системы оказания паллиативной помощи больным ЗНО.</w:t>
      </w:r>
    </w:p>
    <w:p>
      <w:pPr>
        <w:pStyle w:val="0"/>
        <w:spacing w:before="200" w:line-rule="auto"/>
        <w:ind w:firstLine="540"/>
        <w:jc w:val="both"/>
      </w:pPr>
      <w:r>
        <w:rPr>
          <w:sz w:val="20"/>
        </w:rPr>
        <w:t xml:space="preserve">От всех видов транспортных несчастных случаев (в том числе дорожно-транспортных происшествий (далее - ДТП)) в январе - декабре 2020 г. погибло 32 человека, что составляет 8,84% от всей группы "внешних причин", или 7,14, на 100 тыс. населения (в аналогичном периоде 2019 г. - 22 случая, или 4,97, на 100 тыс. населения). Таким образом, отмечается рост показателя на 43,61%, или на 10 человек.</w:t>
      </w:r>
    </w:p>
    <w:p>
      <w:pPr>
        <w:pStyle w:val="0"/>
        <w:spacing w:before="200" w:line-rule="auto"/>
        <w:ind w:firstLine="540"/>
        <w:jc w:val="both"/>
      </w:pPr>
      <w:r>
        <w:rPr>
          <w:sz w:val="20"/>
        </w:rPr>
        <w:t xml:space="preserve">Аналогичный показатель в РФ за 2020 год составил 10,3; в ЮФО - 10,4; в Республике Крым - 12,0.</w:t>
      </w:r>
    </w:p>
    <w:p>
      <w:pPr>
        <w:pStyle w:val="0"/>
        <w:spacing w:before="200" w:line-rule="auto"/>
        <w:ind w:firstLine="540"/>
        <w:jc w:val="both"/>
      </w:pPr>
      <w:r>
        <w:rPr>
          <w:sz w:val="20"/>
        </w:rPr>
        <w:t xml:space="preserve">Дальнейшее совершенствование процесса оказания медицинской помощи пострадавшим в ДТП и дооснащение специализированных отделений, оказывающих медицинскую помощь при травмах различной степени тяжести.</w:t>
      </w:r>
    </w:p>
    <w:p>
      <w:pPr>
        <w:pStyle w:val="0"/>
        <w:spacing w:before="200" w:line-rule="auto"/>
        <w:ind w:firstLine="540"/>
        <w:jc w:val="both"/>
      </w:pPr>
      <w:r>
        <w:rPr>
          <w:sz w:val="20"/>
        </w:rPr>
        <w:t xml:space="preserve">Одной из социально значимых проблем является смертность от туберкулеза, показатель которой в 2020 году существенно снизился по сравнению с 2019 годом и составил 5,13 случая на 100 тыс. населения (в 2019 году - 5,65 случая). Для сравнения: смертность от туберкулеза в 2020 году в Российской Федерации составила 4,7 случая на 100 тыс. населения, в ЮФО - 6,6 случая, в Республике Крым - 9,5 случая.</w:t>
      </w:r>
    </w:p>
    <w:p>
      <w:pPr>
        <w:pStyle w:val="0"/>
        <w:spacing w:before="200" w:line-rule="auto"/>
        <w:ind w:firstLine="540"/>
        <w:jc w:val="both"/>
      </w:pPr>
      <w:r>
        <w:rPr>
          <w:sz w:val="20"/>
        </w:rPr>
        <w:t xml:space="preserve">В целях снижения смертности от туберкулеза будут проведены мероприятия по обновлению материально-технической базы ГБУЗС "Севастопольский противотуберкулезный диспансер", расширению профилактических мероприятий, предупреждающих распространение инфекции, обеспечивающих своевременное выявление туберкулеза на ранних стадиях и совершенствование качества медицинской помощи путем обеспечения препаратами 3-й линии для лечения "резистентных форм".</w:t>
      </w:r>
    </w:p>
    <w:p>
      <w:pPr>
        <w:pStyle w:val="0"/>
        <w:spacing w:before="200" w:line-rule="auto"/>
        <w:ind w:firstLine="540"/>
        <w:jc w:val="both"/>
      </w:pPr>
      <w:r>
        <w:rPr>
          <w:sz w:val="20"/>
        </w:rPr>
        <w:t xml:space="preserve">Медицинская помощь в городе Севастополе оказывается в 17 медицинских организациях (далее - МО), подведомственных ДЗГС, деятельность которых подлежит обязательному лицензированию.</w:t>
      </w:r>
    </w:p>
    <w:p>
      <w:pPr>
        <w:pStyle w:val="0"/>
        <w:spacing w:before="200" w:line-rule="auto"/>
        <w:ind w:firstLine="540"/>
        <w:jc w:val="both"/>
      </w:pPr>
      <w:r>
        <w:rPr>
          <w:sz w:val="20"/>
        </w:rPr>
        <w:t xml:space="preserve">Из общего числа подведомственных ДЗГС медицинских организаций первичную медико-санитарную помощь в амбулаторных условиях оказывают 20 медицинских организаций (функциональной мощностью 6553 посещения в смену), медицинскую помощь в условиях дневного стационара осуществляют 13 медицинских организаций (общей мощностью - 391 койка), специализированную медицинскую помощь в условиях круглосуточных стационаров - 10 медицинских организаций (общей мощностью - 2536 коек).</w:t>
      </w:r>
    </w:p>
    <w:p>
      <w:pPr>
        <w:pStyle w:val="0"/>
        <w:spacing w:before="200" w:line-rule="auto"/>
        <w:ind w:firstLine="540"/>
        <w:jc w:val="both"/>
      </w:pPr>
      <w:r>
        <w:rPr>
          <w:sz w:val="20"/>
        </w:rPr>
        <w:t xml:space="preserve">Главной проблемой, препятствующей получению лицензии на осуществление медицинской деятельности государственными медицинскими организациями, является несоответствие зданий, строений и помещений медицинских организаций требованиям </w:t>
      </w:r>
      <w:hyperlink w:history="0" r:id="rId56" w:tooltip="Постановление Главного государственного санитарного врача РФ от 18.05.2010 N 58 (ред. от 10.06.2016) &quot;Об утверждении СанПиН 2.1.3.2630-10 &quot;Санитарно-эпидемиологические требования к организациям, осуществляющим медицинскую деятельность&quot; (вместе с &quot;СанПиН 2.1.3.2630-10. Санитарно-эпидемиологические правила и нормативы...&quot;) (Зарегистрировано в Минюсте России 09.08.2010 N 18094) ------------ Утратил силу или отменен {КонсультантПлюс}">
        <w:r>
          <w:rPr>
            <w:sz w:val="20"/>
            <w:color w:val="0000ff"/>
          </w:rPr>
          <w:t xml:space="preserve">СанПиН 2.1.3.2630-10</w:t>
        </w:r>
      </w:hyperlink>
      <w:r>
        <w:rPr>
          <w:sz w:val="20"/>
        </w:rPr>
        <w:t xml:space="preserve"> "Санитарно-эпидемиологические требования к организациям, осуществляющим медицинскую деятельность", утвержденным постановлением Главного государственного санитарного врача Российской Федерации от 18.05.2010 N 58 (далее - СанПиН 2.1.3.2630-10), и СП 158.13330.2014 "Здания и помещения медицинских организаций. Правила проектирования", утвержденного </w:t>
      </w:r>
      <w:hyperlink w:history="0" r:id="rId57" w:tooltip="Приказ Минстроя России от 18.02.2014 N 58/пр &quot;Об утверждении свода правил &quot;Здания и помещения медицинских организаций. Правила проектирования&quot; {КонсультантПлюс}">
        <w:r>
          <w:rPr>
            <w:sz w:val="20"/>
            <w:color w:val="0000ff"/>
          </w:rPr>
          <w:t xml:space="preserve">приказом</w:t>
        </w:r>
      </w:hyperlink>
      <w:r>
        <w:rPr>
          <w:sz w:val="20"/>
        </w:rPr>
        <w:t xml:space="preserve"> Министерства строительства и жилищно-коммунального хозяйства Российской Федерации от 18.02.2014 N 58/пр) (далее - СП 158.13330.2014), что делает невозможным получение положительного санитарно-эпидемиологического заключения на помещения.</w:t>
      </w:r>
    </w:p>
    <w:p>
      <w:pPr>
        <w:pStyle w:val="0"/>
        <w:spacing w:before="200" w:line-rule="auto"/>
        <w:ind w:firstLine="540"/>
        <w:jc w:val="both"/>
      </w:pPr>
      <w:r>
        <w:rPr>
          <w:sz w:val="20"/>
        </w:rPr>
        <w:t xml:space="preserve">Основные нарушения относятся к архитектурно-планировочным и конструктивным решениям зданий и помещений: близкое расположение зданий медицинских организаций относительно жилой застройки, размещение поликлиник и подстанций скорой помощи в жилых зданиях, несоответствие большинства отделений и структурных подразделений медицинских организаций санитарным нормам по набору помещений и площадям.</w:t>
      </w:r>
    </w:p>
    <w:p>
      <w:pPr>
        <w:pStyle w:val="0"/>
        <w:spacing w:before="200" w:line-rule="auto"/>
        <w:ind w:firstLine="540"/>
        <w:jc w:val="both"/>
      </w:pPr>
      <w:r>
        <w:rPr>
          <w:sz w:val="20"/>
        </w:rPr>
        <w:t xml:space="preserve">Степень износа части капитальных строений составляет 80 - 100%, пространственные характеристики большинства помещений требуют увеличения их площадей в 1,5 - 2 раза, большинство инженерных сетей подлежит полной замене. Некоторые помещения не оборудованы системами приточно-вытяжной вентиляции с механическим побуждением, системой разводки медицинских газов, помещения не оснащены лифтовыми системами, не во всех помещениях подведено горячее водоснабжение, в некоторых действующих фельдшерско-акушерских пунктах отсутствует система канализации (водоотведение организовано на выгреб), помещения медицинских организаций не оснащены стерилизующей аппаратурой и системами утилизации медицинских отходов.</w:t>
      </w:r>
    </w:p>
    <w:p>
      <w:pPr>
        <w:pStyle w:val="0"/>
        <w:spacing w:before="200" w:line-rule="auto"/>
        <w:ind w:firstLine="540"/>
        <w:jc w:val="both"/>
      </w:pPr>
      <w:r>
        <w:rPr>
          <w:sz w:val="20"/>
        </w:rPr>
        <w:t xml:space="preserve">Техническое состояние зданий, эксплуатационные характеристики и площади помещений зачастую не позволяют провести реконструкцию в соответствии с нормативными требованиями для оказания специализированной и высокотехнологичной медицинской помощи населению и размещения современного оборудования.</w:t>
      </w:r>
    </w:p>
    <w:p>
      <w:pPr>
        <w:pStyle w:val="0"/>
        <w:spacing w:before="200" w:line-rule="auto"/>
        <w:ind w:firstLine="540"/>
        <w:jc w:val="both"/>
      </w:pPr>
      <w:r>
        <w:rPr>
          <w:sz w:val="20"/>
        </w:rPr>
        <w:t xml:space="preserve">Основная часть зданий медицинских организаций была построена в 1950 - 1960 годах (до утверждения </w:t>
      </w:r>
      <w:hyperlink w:history="0" r:id="rId58" w:tooltip="Постановление Главного государственного санитарного врача РФ от 18.05.2010 N 58 (ред. от 10.06.2016) &quot;Об утверждении СанПиН 2.1.3.2630-10 &quot;Санитарно-эпидемиологические требования к организациям, осуществляющим медицинскую деятельность&quot; (вместе с &quot;СанПиН 2.1.3.2630-10. Санитарно-эпидемиологические правила и нормативы...&quot;) (Зарегистрировано в Минюсте России 09.08.2010 N 18094) ------------ Утратил силу или отменен {КонсультантПлюс}">
        <w:r>
          <w:rPr>
            <w:sz w:val="20"/>
            <w:color w:val="0000ff"/>
          </w:rPr>
          <w:t xml:space="preserve">СанПиН 2.1.3.2630-10</w:t>
        </w:r>
      </w:hyperlink>
      <w:r>
        <w:rPr>
          <w:sz w:val="20"/>
        </w:rPr>
        <w:t xml:space="preserve">).</w:t>
      </w:r>
    </w:p>
    <w:p>
      <w:pPr>
        <w:pStyle w:val="0"/>
        <w:spacing w:before="200" w:line-rule="auto"/>
        <w:ind w:firstLine="540"/>
        <w:jc w:val="both"/>
      </w:pPr>
      <w:r>
        <w:rPr>
          <w:sz w:val="20"/>
        </w:rPr>
        <w:t xml:space="preserve">Состояние судебно-медицинской службы в городе в целом характеризуется недостаточным уровнем материально-технического оснащения. Отделения ГБУЗС "Севастопольское городское бюро судебно-медицинской экспертизы" (далее - ГБУЗС "СГБСМЭ") располагаются в неприспособленных помещениях, часть из них в неудовлетворительном состоянии. Имеющееся в распоряжении ГБУЗС "СГБСМЭ" специальное оборудование не в полной мере отвечает современным требованиям. В лабораториях ГБУЗС "СГБСМЭ" в связи с отсутствием необходимого материально-технического оснащения не используются общепринятые и новые лабораторные технологии.</w:t>
      </w:r>
    </w:p>
    <w:p>
      <w:pPr>
        <w:pStyle w:val="0"/>
        <w:spacing w:before="200" w:line-rule="auto"/>
        <w:ind w:firstLine="540"/>
        <w:jc w:val="both"/>
      </w:pPr>
      <w:r>
        <w:rPr>
          <w:sz w:val="20"/>
        </w:rPr>
        <w:t xml:space="preserve">В сложившейся ситуации получение лицензии на осуществление медицинской помощи возможно только после строительства и введения в эксплуатацию новых объектов, а также после проведения капитальных и текущих ремонтов существующих, дооснащения медицинских организаций оборудованием в соответствии с порядками оказания медицинской помощи.</w:t>
      </w:r>
    </w:p>
    <w:p>
      <w:pPr>
        <w:pStyle w:val="0"/>
        <w:spacing w:before="200" w:line-rule="auto"/>
        <w:ind w:firstLine="540"/>
        <w:jc w:val="both"/>
      </w:pPr>
      <w:r>
        <w:rPr>
          <w:sz w:val="20"/>
        </w:rPr>
        <w:t xml:space="preserve">В 2021 - 2024 годы необходимо продолжить обеспечение государственных учреждений здравоохранения города Севастополя системами комплексной безопасности (мероприятия по противодействию ЧС, по организации охраны, повышению энергоэффективности, установке систем пожарной безопасности и видеонаблюдения, антитеррористические мероприятия) во исполнение требований законодательства в указанной сфере.</w:t>
      </w:r>
    </w:p>
    <w:p>
      <w:pPr>
        <w:pStyle w:val="0"/>
        <w:spacing w:before="200" w:line-rule="auto"/>
        <w:ind w:firstLine="540"/>
        <w:jc w:val="both"/>
      </w:pPr>
      <w:r>
        <w:rPr>
          <w:sz w:val="20"/>
        </w:rPr>
        <w:t xml:space="preserve">Одной из важных задач является развитие информатизации в здравоохранении, целью которой является повышение качества оказания медицинской помощи и доступности качественных медицинских услуг и медицинских товаров за счет внедрения передовых технологий диагностики и лечения в практику медицинских организаций. Создание возможности ведения электронных медицинских карт, их анализа и внедрения системы мониторинга качества предоставления медицинских услуг, формирование актуальных статистических данных и создание возможности качественного планирования объемов медицинской помощи, закупок и учета лекарственных препаратов и изделий медицинского назначения, а также создание единого информационного пространства в сфере здравоохранения обеспечат преемственность в диагностике и лечении пациентов, повысят доступность медицинских услуг и, как следствие, удовлетворенность населения медицинской помощью. В 2020 - 2024 годах часть мероприятий по внедрению информационных технологий пройдет в рамках </w:t>
      </w:r>
      <w:hyperlink w:history="0" r:id="rId59" w:tooltip="Распоряжение Правительства Севастополя от 25.01.2018 N 16-РП &quot;Об утверждении концепции формирования цифровой среды Севастополя &quot;Умный город&quot; {КонсультантПлюс}">
        <w:r>
          <w:rPr>
            <w:sz w:val="20"/>
            <w:color w:val="0000ff"/>
          </w:rPr>
          <w:t xml:space="preserve">концепции</w:t>
        </w:r>
      </w:hyperlink>
      <w:r>
        <w:rPr>
          <w:sz w:val="20"/>
        </w:rPr>
        <w:t xml:space="preserve"> формирования цифровой среды Севастополя "Умный город", которая предусматривает достижение целей </w:t>
      </w:r>
      <w:hyperlink w:history="0" r:id="rId60" w:tooltip="Закон города Севастополя от 21.07.2017 N 357-ЗС &quot;Об утверждении Стратегии социально-экономического развития города Севастополя до 2030 года&quot; (принят Законодательным Собранием г. Севастополя 18.07.2017) {КонсультантПлюс}">
        <w:r>
          <w:rPr>
            <w:sz w:val="20"/>
            <w:color w:val="0000ff"/>
          </w:rPr>
          <w:t xml:space="preserve">Стратегии</w:t>
        </w:r>
      </w:hyperlink>
      <w:r>
        <w:rPr>
          <w:sz w:val="20"/>
        </w:rPr>
        <w:t xml:space="preserve"> социально-экономического развития города Севастополя до 2030 года, утвержденной Законом города Севастополя от 21.07.2017 N 357-ЗС, путем развития и использования информационно-коммуникационных технологий (в том числе цифровых технологий) в различных сферах жизнедеятельности города.</w:t>
      </w:r>
    </w:p>
    <w:p>
      <w:pPr>
        <w:pStyle w:val="0"/>
        <w:spacing w:before="200" w:line-rule="auto"/>
        <w:ind w:firstLine="540"/>
        <w:jc w:val="both"/>
      </w:pPr>
      <w:r>
        <w:rPr>
          <w:sz w:val="20"/>
        </w:rPr>
        <w:t xml:space="preserve">Состояние и перспективное развитие здравоохранения также в значительной степени зависят от подготовки, профессионального уровня и обеспеченности системы квалифицированными кадрами.</w:t>
      </w:r>
    </w:p>
    <w:p>
      <w:pPr>
        <w:pStyle w:val="0"/>
        <w:spacing w:before="200" w:line-rule="auto"/>
        <w:ind w:firstLine="540"/>
        <w:jc w:val="both"/>
      </w:pPr>
      <w:r>
        <w:rPr>
          <w:sz w:val="20"/>
        </w:rPr>
        <w:t xml:space="preserve">По состоянию на 10.12.2020 в отрасли здравоохранения города Севастополя работают 1526 врачей, 3249 специалистов со средним медицинским образованием. За период с 2014 по 2020 год численность врачей, работающих в учреждениях здравоохранения, увеличилась на 4,0%, специалистов со средним медицинским образованием - на 7,1%. С учетом роста населения города Севастополя уровень обеспеченности населения врачебными кадрами незначительно увеличился с 34,1 специалиста в 2014 году до 34,6 специалиста на 10 тыс. населения в 2020 году. Одновременно отмечается снижение уровня обеспеченности населения средними медицинскими работниками (в 2017 году - 76,7 специалиста на 10 тыс. населения, в 2014 году - 79,9).</w:t>
      </w:r>
    </w:p>
    <w:p>
      <w:pPr>
        <w:pStyle w:val="0"/>
        <w:spacing w:before="200" w:line-rule="auto"/>
        <w:ind w:firstLine="540"/>
        <w:jc w:val="both"/>
      </w:pPr>
      <w:r>
        <w:rPr>
          <w:sz w:val="20"/>
        </w:rPr>
        <w:t xml:space="preserve">В целом укомплектованность врачами составляет 66%, средним медицинским персоналом - 74%.</w:t>
      </w:r>
    </w:p>
    <w:p>
      <w:pPr>
        <w:pStyle w:val="0"/>
        <w:spacing w:before="200" w:line-rule="auto"/>
        <w:ind w:firstLine="540"/>
        <w:jc w:val="both"/>
      </w:pPr>
      <w:r>
        <w:rPr>
          <w:sz w:val="20"/>
        </w:rPr>
        <w:t xml:space="preserve">Планируется увеличение доли медицинских и фармацевтических работников, обучавшихся в рамках целевой подготовки для нужд города Севастополя, трудоустроившихся после завершения обучения в медицинские или фармацевтические организации государственной системы здравоохранения города Севастополя, с 76,9% в 2017 году до 96% в 2024 году. С 2018 года доля аккредитованных специалистов выросла до 82,8%. Предполагается снижение дефицита кадров, увеличение показателя обеспеченности врачами государственных учреждений здравоохранения с 34,0 до 34,6 на 10 тыс. населения в 2024 году, а средним медицинским персоналом - 74,9.</w:t>
      </w:r>
    </w:p>
    <w:p>
      <w:pPr>
        <w:pStyle w:val="0"/>
        <w:spacing w:before="200" w:line-rule="auto"/>
        <w:ind w:firstLine="540"/>
        <w:jc w:val="both"/>
      </w:pPr>
      <w:r>
        <w:rPr>
          <w:sz w:val="20"/>
        </w:rPr>
        <w:t xml:space="preserve">В целях реализации указов Президента Российской Федерации от 07.05.2012 </w:t>
      </w:r>
      <w:hyperlink w:history="0" r:id="rId61"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N 597</w:t>
        </w:r>
      </w:hyperlink>
      <w:r>
        <w:rPr>
          <w:sz w:val="20"/>
        </w:rPr>
        <w:t xml:space="preserve"> "О мероприятиях по реализации государственной социальной политики" и от 28.12.2012 </w:t>
      </w:r>
      <w:hyperlink w:history="0" r:id="rId62" w:tooltip="Указ Президента РФ от 28.12.2012 N 1688 (ред. от 14.11.2017) &quot;О некоторых мерах по реализации государственной политики в сфере защиты детей-сирот и детей, оставшихся без попечения родителей&quot; {КонсультантПлюс}">
        <w:r>
          <w:rPr>
            <w:sz w:val="20"/>
            <w:color w:val="0000ff"/>
          </w:rPr>
          <w:t xml:space="preserve">N 1688</w:t>
        </w:r>
      </w:hyperlink>
      <w:r>
        <w:rPr>
          <w:sz w:val="20"/>
        </w:rPr>
        <w:t xml:space="preserve"> "О некоторых мерах по реализации государственной политики в сфере защиты детей-сирот и детей, оставшихся без попечения родителей" предусмотрено ежегодное увеличение фонда оплаты труда до 2024 года. Соотношение средней заработной платы врачей и иных работников медицинских организаций, имеющих высшее медицинское (фармацевтическое) или иное высшее профессиональное образование, предоставляющих медицинские услуги (обеспечивающих предоставление медицинских услуг), и средней заработной платы в городе составляет 200%, соотношение средней заработной платы среднего медицинского (фармацевтического) персонала (обеспечивающего предоставление медицинских услуг) и средней заработной платы в городе составляет 100%.</w:t>
      </w:r>
    </w:p>
    <w:p>
      <w:pPr>
        <w:pStyle w:val="0"/>
        <w:spacing w:before="200" w:line-rule="auto"/>
        <w:ind w:firstLine="540"/>
        <w:jc w:val="both"/>
      </w:pPr>
      <w:r>
        <w:rPr>
          <w:sz w:val="20"/>
        </w:rPr>
        <w:t xml:space="preserve">Проблема обеспечения учреждений здравоохранения города Севастополя медицинскими кадрами сохраняется и является системной, что обуславливает целесообразность продолжения ее решения программно-целевым методом.</w:t>
      </w:r>
    </w:p>
    <w:p>
      <w:pPr>
        <w:pStyle w:val="0"/>
      </w:pPr>
      <w:r>
        <w:rPr>
          <w:sz w:val="20"/>
        </w:rPr>
      </w:r>
    </w:p>
    <w:p>
      <w:pPr>
        <w:pStyle w:val="2"/>
        <w:outlineLvl w:val="1"/>
        <w:jc w:val="center"/>
      </w:pPr>
      <w:r>
        <w:rPr>
          <w:sz w:val="20"/>
        </w:rPr>
        <w:t xml:space="preserve">II. Приоритеты, цели, задачи и показатели (целевые</w:t>
      </w:r>
    </w:p>
    <w:p>
      <w:pPr>
        <w:pStyle w:val="2"/>
        <w:jc w:val="center"/>
      </w:pPr>
      <w:r>
        <w:rPr>
          <w:sz w:val="20"/>
        </w:rPr>
        <w:t xml:space="preserve">индикаторы), результаты, этапы и сроки реализации Программы</w:t>
      </w:r>
    </w:p>
    <w:p>
      <w:pPr>
        <w:pStyle w:val="0"/>
        <w:jc w:val="center"/>
      </w:pPr>
      <w:r>
        <w:rPr>
          <w:sz w:val="20"/>
        </w:rPr>
        <w:t xml:space="preserve">(в ред. </w:t>
      </w:r>
      <w:hyperlink w:history="0" r:id="rId63"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pPr>
      <w:r>
        <w:rPr>
          <w:sz w:val="20"/>
        </w:rPr>
      </w:r>
    </w:p>
    <w:p>
      <w:pPr>
        <w:pStyle w:val="0"/>
        <w:ind w:firstLine="540"/>
        <w:jc w:val="both"/>
      </w:pPr>
      <w:r>
        <w:rPr>
          <w:sz w:val="20"/>
        </w:rPr>
        <w:t xml:space="preserve">Основными целями деятельности системы здравоохранения являются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pPr>
        <w:pStyle w:val="0"/>
        <w:spacing w:before="200" w:line-rule="auto"/>
        <w:ind w:firstLine="540"/>
        <w:jc w:val="both"/>
      </w:pPr>
      <w:r>
        <w:rPr>
          <w:sz w:val="20"/>
        </w:rPr>
        <w:t xml:space="preserve">Приоритетными задачами развития системы здравоохранения города Севастополя являются:</w:t>
      </w:r>
    </w:p>
    <w:p>
      <w:pPr>
        <w:pStyle w:val="0"/>
        <w:spacing w:before="200" w:line-rule="auto"/>
        <w:ind w:firstLine="540"/>
        <w:jc w:val="both"/>
      </w:pPr>
      <w:r>
        <w:rPr>
          <w:sz w:val="20"/>
        </w:rPr>
        <w:t xml:space="preserve">- организация охвата медицинским освидетельствованием на ВИЧ-инфекцию населения г. Севастополя;</w:t>
      </w:r>
    </w:p>
    <w:p>
      <w:pPr>
        <w:pStyle w:val="0"/>
        <w:spacing w:before="200" w:line-rule="auto"/>
        <w:ind w:firstLine="540"/>
        <w:jc w:val="both"/>
      </w:pPr>
      <w:r>
        <w:rPr>
          <w:sz w:val="20"/>
        </w:rPr>
        <w:t xml:space="preserve">- организация охвата населения профилактическими осмотрами на туберкулез;</w:t>
      </w:r>
    </w:p>
    <w:p>
      <w:pPr>
        <w:pStyle w:val="0"/>
        <w:spacing w:before="200" w:line-rule="auto"/>
        <w:ind w:firstLine="540"/>
        <w:jc w:val="both"/>
      </w:pPr>
      <w:r>
        <w:rPr>
          <w:sz w:val="20"/>
        </w:rPr>
        <w:t xml:space="preserve">- увеличение уровня информированности населения в возрасте 18 - 49 лет по вопросам ВИЧ-инфекции;</w:t>
      </w:r>
    </w:p>
    <w:p>
      <w:pPr>
        <w:pStyle w:val="0"/>
        <w:spacing w:before="200" w:line-rule="auto"/>
        <w:ind w:firstLine="540"/>
        <w:jc w:val="both"/>
      </w:pPr>
      <w:r>
        <w:rPr>
          <w:sz w:val="20"/>
        </w:rPr>
        <w:t xml:space="preserve">- улучшение доступности первичной медико-санитарной помощи детскому и взрослому населению города Севастополя путем сокращения радиуса обслуживания детских и взрослых поликлиник;</w:t>
      </w:r>
    </w:p>
    <w:p>
      <w:pPr>
        <w:pStyle w:val="0"/>
        <w:spacing w:before="200" w:line-rule="auto"/>
        <w:ind w:firstLine="540"/>
        <w:jc w:val="both"/>
      </w:pPr>
      <w:r>
        <w:rPr>
          <w:sz w:val="20"/>
        </w:rPr>
        <w:t xml:space="preserve">- улучшение доступности и качества оказания первичной медицинской помощи сельскому населению Балаклавского и Нахимовского районов города Севастополя;</w:t>
      </w:r>
    </w:p>
    <w:p>
      <w:pPr>
        <w:pStyle w:val="0"/>
        <w:spacing w:before="200" w:line-rule="auto"/>
        <w:ind w:firstLine="540"/>
        <w:jc w:val="both"/>
      </w:pPr>
      <w:r>
        <w:rPr>
          <w:sz w:val="20"/>
        </w:rPr>
        <w:t xml:space="preserve">- укрепление материально-технической базы первичного звена;</w:t>
      </w:r>
    </w:p>
    <w:p>
      <w:pPr>
        <w:pStyle w:val="0"/>
        <w:spacing w:before="200" w:line-rule="auto"/>
        <w:ind w:firstLine="540"/>
        <w:jc w:val="both"/>
      </w:pPr>
      <w:r>
        <w:rPr>
          <w:sz w:val="20"/>
        </w:rPr>
        <w:t xml:space="preserve">- улучшение информированности населения о необходимости проведения профилактических мероприятий и поддержания здорового образа жизни;</w:t>
      </w:r>
    </w:p>
    <w:p>
      <w:pPr>
        <w:pStyle w:val="0"/>
        <w:spacing w:before="200" w:line-rule="auto"/>
        <w:ind w:firstLine="540"/>
        <w:jc w:val="both"/>
      </w:pPr>
      <w:r>
        <w:rPr>
          <w:sz w:val="20"/>
        </w:rPr>
        <w:t xml:space="preserve">- развитие профилактической направленности педиатрической службы (закупка медицинских изделий для диагностики позволит более качественно выявлять ранние признаки и предвестники патологических процессов и проводить профилактику утяжеления и хронизации заболеваний);</w:t>
      </w:r>
    </w:p>
    <w:p>
      <w:pPr>
        <w:pStyle w:val="0"/>
        <w:spacing w:before="200" w:line-rule="auto"/>
        <w:ind w:firstLine="540"/>
        <w:jc w:val="both"/>
      </w:pPr>
      <w:r>
        <w:rPr>
          <w:sz w:val="20"/>
        </w:rPr>
        <w:t xml:space="preserve">- внедрение стационарозамещающих технологий в амбулаторном звене (закупка медицинских изделий, предназначенных для лечения и реабилитации, позволит увеличить возможности использования стационарозамещающих технологий);</w:t>
      </w:r>
    </w:p>
    <w:p>
      <w:pPr>
        <w:pStyle w:val="0"/>
        <w:spacing w:before="200" w:line-rule="auto"/>
        <w:ind w:firstLine="540"/>
        <w:jc w:val="both"/>
      </w:pPr>
      <w:r>
        <w:rPr>
          <w:sz w:val="20"/>
        </w:rPr>
        <w:t xml:space="preserve">- совершенствование системы управления скорой медицинской помощью;</w:t>
      </w:r>
    </w:p>
    <w:p>
      <w:pPr>
        <w:pStyle w:val="0"/>
        <w:spacing w:before="200" w:line-rule="auto"/>
        <w:ind w:firstLine="540"/>
        <w:jc w:val="both"/>
      </w:pPr>
      <w:r>
        <w:rPr>
          <w:sz w:val="20"/>
        </w:rPr>
        <w:t xml:space="preserve">- совершенствование системы оказания медицинской помощи пострадавшим в дорожно-транспортных происшествиях;</w:t>
      </w:r>
    </w:p>
    <w:p>
      <w:pPr>
        <w:pStyle w:val="0"/>
        <w:spacing w:before="200" w:line-rule="auto"/>
        <w:ind w:firstLine="540"/>
        <w:jc w:val="both"/>
      </w:pPr>
      <w:r>
        <w:rPr>
          <w:sz w:val="20"/>
        </w:rPr>
        <w:t xml:space="preserve">- совершенствование системы оказания медицинской помощи больным онкологическими заболеваниями;</w:t>
      </w:r>
    </w:p>
    <w:p>
      <w:pPr>
        <w:pStyle w:val="0"/>
        <w:spacing w:before="200" w:line-rule="auto"/>
        <w:ind w:firstLine="540"/>
        <w:jc w:val="both"/>
      </w:pPr>
      <w:r>
        <w:rPr>
          <w:sz w:val="20"/>
        </w:rPr>
        <w:t xml:space="preserve">- совершенствование процесса оказания медицинской помощи пациентам с болезнями системы кровообращения;</w:t>
      </w:r>
    </w:p>
    <w:p>
      <w:pPr>
        <w:pStyle w:val="0"/>
        <w:spacing w:before="200" w:line-rule="auto"/>
        <w:ind w:firstLine="540"/>
        <w:jc w:val="both"/>
      </w:pPr>
      <w:r>
        <w:rPr>
          <w:sz w:val="20"/>
        </w:rPr>
        <w:t xml:space="preserve">- совершенствование системы оказания паллиативной медицинской помощи;</w:t>
      </w:r>
    </w:p>
    <w:p>
      <w:pPr>
        <w:pStyle w:val="0"/>
        <w:spacing w:before="200" w:line-rule="auto"/>
        <w:ind w:firstLine="540"/>
        <w:jc w:val="both"/>
      </w:pPr>
      <w:r>
        <w:rPr>
          <w:sz w:val="20"/>
        </w:rPr>
        <w:t xml:space="preserve">- улучшение качества оказания специализированной и высокотехнологичной медицинской помощи матерям и детям;</w:t>
      </w:r>
    </w:p>
    <w:p>
      <w:pPr>
        <w:pStyle w:val="0"/>
        <w:spacing w:before="200" w:line-rule="auto"/>
        <w:ind w:firstLine="540"/>
        <w:jc w:val="both"/>
      </w:pPr>
      <w:r>
        <w:rPr>
          <w:sz w:val="20"/>
        </w:rPr>
        <w:t xml:space="preserve">- улучшение качества оказания медицинской помощи женщинам фертильного возраста посредством переоснащения женских консультаций медицинским оборудованием в соответствии с порядком оказания медицинской помощи по профилю "акушерство и гинекология (за исключением использования вспомогательных репродуктивных технологий)";</w:t>
      </w:r>
    </w:p>
    <w:p>
      <w:pPr>
        <w:pStyle w:val="0"/>
        <w:spacing w:before="200" w:line-rule="auto"/>
        <w:ind w:firstLine="540"/>
        <w:jc w:val="both"/>
      </w:pPr>
      <w:r>
        <w:rPr>
          <w:sz w:val="20"/>
        </w:rPr>
        <w:t xml:space="preserve">- совершенствование системы оказания амбулаторной акушерско-гинекологической помощи;</w:t>
      </w:r>
    </w:p>
    <w:p>
      <w:pPr>
        <w:pStyle w:val="0"/>
        <w:spacing w:before="200" w:line-rule="auto"/>
        <w:ind w:firstLine="540"/>
        <w:jc w:val="both"/>
      </w:pPr>
      <w:r>
        <w:rPr>
          <w:sz w:val="20"/>
        </w:rPr>
        <w:t xml:space="preserve">- предупреждение и снижение детской инвалидности;</w:t>
      </w:r>
    </w:p>
    <w:p>
      <w:pPr>
        <w:pStyle w:val="0"/>
        <w:spacing w:before="200" w:line-rule="auto"/>
        <w:ind w:firstLine="540"/>
        <w:jc w:val="both"/>
      </w:pPr>
      <w:r>
        <w:rPr>
          <w:sz w:val="20"/>
        </w:rPr>
        <w:t xml:space="preserve">- обеспечение медицинской реабилитацией нуждающихся детей-инвалидов;</w:t>
      </w:r>
    </w:p>
    <w:p>
      <w:pPr>
        <w:pStyle w:val="0"/>
        <w:spacing w:before="200" w:line-rule="auto"/>
        <w:ind w:firstLine="540"/>
        <w:jc w:val="both"/>
      </w:pPr>
      <w:r>
        <w:rPr>
          <w:sz w:val="20"/>
        </w:rPr>
        <w:t xml:space="preserve">- обеспечение доступности медицинской реабилитации на всех этапах;</w:t>
      </w:r>
    </w:p>
    <w:p>
      <w:pPr>
        <w:pStyle w:val="0"/>
        <w:spacing w:before="200" w:line-rule="auto"/>
        <w:ind w:firstLine="540"/>
        <w:jc w:val="both"/>
      </w:pPr>
      <w:r>
        <w:rPr>
          <w:sz w:val="20"/>
        </w:rPr>
        <w:t xml:space="preserve">- совершенствование и развитие организации медицинской реабилитации в рамках оказания специализированной, в том числе высокотехнологичной, медицинской помощи (I, II этапы);</w:t>
      </w:r>
    </w:p>
    <w:p>
      <w:pPr>
        <w:pStyle w:val="0"/>
        <w:spacing w:before="200" w:line-rule="auto"/>
        <w:ind w:firstLine="540"/>
        <w:jc w:val="both"/>
      </w:pPr>
      <w:r>
        <w:rPr>
          <w:sz w:val="20"/>
        </w:rPr>
        <w:t xml:space="preserve">- совершенствование и развитие процесса организации медицинской реабилитации в рамках оказания первичной медико-санитарной помощи в амбулаторных условиях и условиях дневного стационара (III этап);</w:t>
      </w:r>
    </w:p>
    <w:p>
      <w:pPr>
        <w:pStyle w:val="0"/>
        <w:spacing w:before="200" w:line-rule="auto"/>
        <w:ind w:firstLine="540"/>
        <w:jc w:val="both"/>
      </w:pPr>
      <w:r>
        <w:rPr>
          <w:sz w:val="20"/>
        </w:rPr>
        <w:t xml:space="preserve">- кадровое обеспечение реабилитационной службы города Севастополя;</w:t>
      </w:r>
    </w:p>
    <w:p>
      <w:pPr>
        <w:pStyle w:val="0"/>
        <w:spacing w:before="200" w:line-rule="auto"/>
        <w:ind w:firstLine="540"/>
        <w:jc w:val="both"/>
      </w:pPr>
      <w:r>
        <w:rPr>
          <w:sz w:val="20"/>
        </w:rPr>
        <w:t xml:space="preserve">- организационно-методическое сопровождение деятельности реабилитационной службы города Севастополя;</w:t>
      </w:r>
    </w:p>
    <w:p>
      <w:pPr>
        <w:pStyle w:val="0"/>
        <w:spacing w:before="200" w:line-rule="auto"/>
        <w:ind w:firstLine="540"/>
        <w:jc w:val="both"/>
      </w:pPr>
      <w:r>
        <w:rPr>
          <w:sz w:val="20"/>
        </w:rPr>
        <w:t xml:space="preserve">- информирование граждан о возможностях медицинской реабилитации;</w:t>
      </w:r>
    </w:p>
    <w:p>
      <w:pPr>
        <w:pStyle w:val="0"/>
        <w:spacing w:before="200" w:line-rule="auto"/>
        <w:ind w:firstLine="540"/>
        <w:jc w:val="both"/>
      </w:pPr>
      <w:r>
        <w:rPr>
          <w:sz w:val="20"/>
        </w:rPr>
        <w:t xml:space="preserve">- укрепление материально-технической базы службы медицинской реабилитации города Севастополя;</w:t>
      </w:r>
    </w:p>
    <w:p>
      <w:pPr>
        <w:pStyle w:val="0"/>
        <w:spacing w:before="200" w:line-rule="auto"/>
        <w:ind w:firstLine="540"/>
        <w:jc w:val="both"/>
      </w:pPr>
      <w:r>
        <w:rPr>
          <w:sz w:val="20"/>
        </w:rPr>
        <w:t xml:space="preserve">- разработка и внедрение порядка медицинской реабилитации с применением телемедицинских технологий;</w:t>
      </w:r>
    </w:p>
    <w:p>
      <w:pPr>
        <w:pStyle w:val="0"/>
        <w:spacing w:before="200" w:line-rule="auto"/>
        <w:ind w:firstLine="540"/>
        <w:jc w:val="both"/>
      </w:pPr>
      <w:r>
        <w:rPr>
          <w:sz w:val="20"/>
        </w:rPr>
        <w:t xml:space="preserve">- внедрение клинических рекомендаций при оказании медицинской помощи по профилю "медицинская реабилитация";</w:t>
      </w:r>
    </w:p>
    <w:p>
      <w:pPr>
        <w:pStyle w:val="0"/>
        <w:spacing w:before="200" w:line-rule="auto"/>
        <w:ind w:firstLine="540"/>
        <w:jc w:val="both"/>
      </w:pPr>
      <w:r>
        <w:rPr>
          <w:sz w:val="20"/>
        </w:rPr>
        <w:t xml:space="preserve">- обеспечение соответствия оказания медицинской реабилитации требованиям приказов Министерства здравоохранения Российской Федерации от 31.07.2020 </w:t>
      </w:r>
      <w:hyperlink w:history="0" r:id="rId64"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N 788н</w:t>
        </w:r>
      </w:hyperlink>
      <w:r>
        <w:rPr>
          <w:sz w:val="20"/>
        </w:rPr>
        <w:t xml:space="preserve"> "Об утверждении Порядка организации медицинской реабилитации взрослых" и от 23.10.2019 </w:t>
      </w:r>
      <w:hyperlink w:history="0" r:id="rId65"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N 878н</w:t>
        </w:r>
      </w:hyperlink>
      <w:r>
        <w:rPr>
          <w:sz w:val="20"/>
        </w:rPr>
        <w:t xml:space="preserve"> "Об утверждении Порядка организации медицинской реабилитации детей";</w:t>
      </w:r>
    </w:p>
    <w:p>
      <w:pPr>
        <w:pStyle w:val="0"/>
        <w:spacing w:before="200" w:line-rule="auto"/>
        <w:ind w:firstLine="540"/>
        <w:jc w:val="both"/>
      </w:pPr>
      <w:r>
        <w:rPr>
          <w:sz w:val="20"/>
        </w:rPr>
        <w:t xml:space="preserve">- производство судебно-медицинских экспертиз в необходимом объеме и в установленные законодательством сроки;</w:t>
      </w:r>
    </w:p>
    <w:p>
      <w:pPr>
        <w:pStyle w:val="0"/>
        <w:spacing w:before="200" w:line-rule="auto"/>
        <w:ind w:firstLine="540"/>
        <w:jc w:val="both"/>
      </w:pPr>
      <w:r>
        <w:rPr>
          <w:sz w:val="20"/>
        </w:rPr>
        <w:t xml:space="preserve">- повышение уровня качества судебно-медицинских экспертиз как одного из видов процессуального источника доказательств;</w:t>
      </w:r>
    </w:p>
    <w:p>
      <w:pPr>
        <w:pStyle w:val="0"/>
        <w:spacing w:before="200" w:line-rule="auto"/>
        <w:ind w:firstLine="540"/>
        <w:jc w:val="both"/>
      </w:pPr>
      <w:r>
        <w:rPr>
          <w:sz w:val="20"/>
        </w:rPr>
        <w:t xml:space="preserve">- расширение видов судебно-медицинских экспертиз согласно требованиям нормативных правовых актов.</w:t>
      </w:r>
    </w:p>
    <w:p>
      <w:pPr>
        <w:pStyle w:val="0"/>
        <w:spacing w:before="200" w:line-rule="auto"/>
        <w:ind w:firstLine="540"/>
        <w:jc w:val="both"/>
      </w:pPr>
      <w:r>
        <w:rPr>
          <w:sz w:val="20"/>
        </w:rPr>
        <w:t xml:space="preserve">Немаловажной задачей здравоохранения города является обеспечение информатизации и комплексной безопасности сферы здравоохранения города Севастополя. С этой целью предусмотрены:</w:t>
      </w:r>
    </w:p>
    <w:p>
      <w:pPr>
        <w:pStyle w:val="0"/>
        <w:spacing w:before="200" w:line-rule="auto"/>
        <w:ind w:firstLine="540"/>
        <w:jc w:val="both"/>
      </w:pPr>
      <w:r>
        <w:rPr>
          <w:sz w:val="20"/>
        </w:rPr>
        <w:t xml:space="preserve">- информатизация сферы здравоохранения города Севастополя;</w:t>
      </w:r>
    </w:p>
    <w:p>
      <w:pPr>
        <w:pStyle w:val="0"/>
        <w:spacing w:before="200" w:line-rule="auto"/>
        <w:ind w:firstLine="540"/>
        <w:jc w:val="both"/>
      </w:pPr>
      <w:r>
        <w:rPr>
          <w:sz w:val="20"/>
        </w:rPr>
        <w:t xml:space="preserve">- обеспечение государственных учреждений здравоохранения города Севастополя системами комплексной безопасности;</w:t>
      </w:r>
    </w:p>
    <w:p>
      <w:pPr>
        <w:pStyle w:val="0"/>
        <w:spacing w:before="200" w:line-rule="auto"/>
        <w:ind w:firstLine="540"/>
        <w:jc w:val="both"/>
      </w:pPr>
      <w:r>
        <w:rPr>
          <w:sz w:val="20"/>
        </w:rPr>
        <w:t xml:space="preserve">- создание регионального сегмента Единой государственной информационной системы в сфере здравоохранения города Севастополя (далее - ЕГИСЗ) с целью обеспечения взаимодействия региональной медицинской информационной системы, автоматизирующей лечебные процессы, с федеральным сегментом ЕГИСЗ, включающей отдельные функциональные блоки, обеспечивающие реализацию ключевых задач и достижение целевых показателей национального проекта "Здравоохранение";</w:t>
      </w:r>
    </w:p>
    <w:p>
      <w:pPr>
        <w:pStyle w:val="0"/>
        <w:spacing w:before="200" w:line-rule="auto"/>
        <w:ind w:firstLine="540"/>
        <w:jc w:val="both"/>
      </w:pPr>
      <w:r>
        <w:rPr>
          <w:sz w:val="20"/>
        </w:rPr>
        <w:t xml:space="preserve">- обеспечение возможности ведения региональной системы нормативно-справочной информации и региональной электронной медицинской карты пациента;</w:t>
      </w:r>
    </w:p>
    <w:p>
      <w:pPr>
        <w:pStyle w:val="0"/>
        <w:spacing w:before="200" w:line-rule="auto"/>
        <w:ind w:firstLine="540"/>
        <w:jc w:val="both"/>
      </w:pPr>
      <w:r>
        <w:rPr>
          <w:sz w:val="20"/>
        </w:rPr>
        <w:t xml:space="preserve">- обеспечение единой идентификации и аутентификации граждан в региональном сегменте ЕГИСЗ, в том числе с использованием Единой городской карты Севастополя;</w:t>
      </w:r>
    </w:p>
    <w:p>
      <w:pPr>
        <w:pStyle w:val="0"/>
        <w:spacing w:before="200" w:line-rule="auto"/>
        <w:ind w:firstLine="540"/>
        <w:jc w:val="both"/>
      </w:pPr>
      <w:r>
        <w:rPr>
          <w:sz w:val="20"/>
        </w:rPr>
        <w:t xml:space="preserve">- создание единой точки доступа для взаимодействия с городской системой здравоохранения при предоставлении медицинских услуг;</w:t>
      </w:r>
    </w:p>
    <w:p>
      <w:pPr>
        <w:pStyle w:val="0"/>
        <w:spacing w:before="200" w:line-rule="auto"/>
        <w:ind w:firstLine="540"/>
        <w:jc w:val="both"/>
      </w:pPr>
      <w:r>
        <w:rPr>
          <w:sz w:val="20"/>
        </w:rPr>
        <w:t xml:space="preserve">- создание территориальной системы раннего выявления жизнеугрожающих заболеваний и состояний с участием специалистов-экспертов для непрерывного наблюдения за состоянием здоровья пациентов в домашних условиях и прямого взаимодействия со службами экстренного реагирования и скорой медицинской помощи;</w:t>
      </w:r>
    </w:p>
    <w:p>
      <w:pPr>
        <w:pStyle w:val="0"/>
        <w:spacing w:before="200" w:line-rule="auto"/>
        <w:ind w:firstLine="540"/>
        <w:jc w:val="both"/>
      </w:pPr>
      <w:r>
        <w:rPr>
          <w:sz w:val="20"/>
        </w:rPr>
        <w:t xml:space="preserve">- реализация инцидент-ориентированного проекта на базе "Кнопки жизни" для оснащения населения медицинскими сигнализаторами программного типа, обеспечивающими прямое взаимодействие с центрами дистанционного контроля состояния здоровья населения, службой-112, территориальным медицинским контакт-центром;</w:t>
      </w:r>
    </w:p>
    <w:p>
      <w:pPr>
        <w:pStyle w:val="0"/>
        <w:spacing w:before="200" w:line-rule="auto"/>
        <w:ind w:firstLine="540"/>
        <w:jc w:val="both"/>
      </w:pPr>
      <w:r>
        <w:rPr>
          <w:sz w:val="20"/>
        </w:rPr>
        <w:t xml:space="preserve">- повышение качества лабораторной диагностики и обеспечение эффективности информационного обмена результатами лабораторных исследований между лабораториями и региональной информационной медицинской системой;</w:t>
      </w:r>
    </w:p>
    <w:p>
      <w:pPr>
        <w:pStyle w:val="0"/>
        <w:spacing w:before="200" w:line-rule="auto"/>
        <w:ind w:firstLine="540"/>
        <w:jc w:val="both"/>
      </w:pPr>
      <w:r>
        <w:rPr>
          <w:sz w:val="20"/>
        </w:rPr>
        <w:t xml:space="preserve">- создание центрального архива медицинских изображений;</w:t>
      </w:r>
    </w:p>
    <w:p>
      <w:pPr>
        <w:pStyle w:val="0"/>
        <w:spacing w:before="200" w:line-rule="auto"/>
        <w:ind w:firstLine="540"/>
        <w:jc w:val="both"/>
      </w:pPr>
      <w:r>
        <w:rPr>
          <w:sz w:val="20"/>
        </w:rPr>
        <w:t xml:space="preserve">- снижение дефицита специалистов с высшим и средним медицинским образованием;</w:t>
      </w:r>
    </w:p>
    <w:p>
      <w:pPr>
        <w:pStyle w:val="0"/>
        <w:spacing w:before="200" w:line-rule="auto"/>
        <w:ind w:firstLine="540"/>
        <w:jc w:val="both"/>
      </w:pPr>
      <w:r>
        <w:rPr>
          <w:sz w:val="20"/>
        </w:rPr>
        <w:t xml:space="preserve">- повышение престижа профессии, в том числе за счет создания позитивного образа медицинских и фармацевтических кадров в общественном сознании;</w:t>
      </w:r>
    </w:p>
    <w:p>
      <w:pPr>
        <w:pStyle w:val="0"/>
        <w:spacing w:before="200" w:line-rule="auto"/>
        <w:ind w:firstLine="540"/>
        <w:jc w:val="both"/>
      </w:pPr>
      <w:r>
        <w:rPr>
          <w:sz w:val="20"/>
        </w:rPr>
        <w:t xml:space="preserve">- развитие мер социальной поддержки медицинских и фармацевтических кадров;</w:t>
      </w:r>
    </w:p>
    <w:p>
      <w:pPr>
        <w:pStyle w:val="0"/>
        <w:spacing w:before="200" w:line-rule="auto"/>
        <w:ind w:firstLine="540"/>
        <w:jc w:val="both"/>
      </w:pPr>
      <w:r>
        <w:rPr>
          <w:sz w:val="20"/>
        </w:rPr>
        <w:t xml:space="preserve">- реализация федерального проекта "Развитие детского здравоохранения, включая создание современной инфраструктуры оказания медицинской помощи детям"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"Развитие системы оказания первичной медико-санитарной помощи"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"Борьба с сердечно-сосудистыми заболеваниями"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"Борьба с онкологическими заболеваниями"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"Обеспечение медицинских организаций системы здравоохранения квалифицированными кадрами"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"Создание единого цифрового контура в здравоохранении на основе единой государственной информационной системы здравоохранения (ЕГИСЗ)"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"Разработка и реализация программы системной поддержки и повышения качества жизни граждан старшего поколения" в рамках национального проекта "Демография" в части здравоохранения;</w:t>
      </w:r>
    </w:p>
    <w:p>
      <w:pPr>
        <w:pStyle w:val="0"/>
        <w:spacing w:before="200" w:line-rule="auto"/>
        <w:ind w:firstLine="540"/>
        <w:jc w:val="both"/>
      </w:pPr>
      <w:r>
        <w:rPr>
          <w:sz w:val="20"/>
        </w:rPr>
        <w:t xml:space="preserve">- реализация федерального проекта "Формирование системы мотивации граждан к здоровому образу жизни, включая здоровое питание и отказ от вредных привычек" в рамках национального проекта "Демография";</w:t>
      </w:r>
    </w:p>
    <w:p>
      <w:pPr>
        <w:pStyle w:val="0"/>
        <w:spacing w:before="200" w:line-rule="auto"/>
        <w:ind w:firstLine="540"/>
        <w:jc w:val="both"/>
      </w:pPr>
      <w:r>
        <w:rPr>
          <w:sz w:val="20"/>
        </w:rPr>
        <w:t xml:space="preserve">- реализация регионального проекта "Модернизация первичного звена здравоохранения Российской Федерации (город федерального значения Севастополь)";</w:t>
      </w:r>
    </w:p>
    <w:p>
      <w:pPr>
        <w:pStyle w:val="0"/>
        <w:spacing w:before="200" w:line-rule="auto"/>
        <w:ind w:firstLine="540"/>
        <w:jc w:val="both"/>
      </w:pPr>
      <w:r>
        <w:rPr>
          <w:sz w:val="20"/>
        </w:rPr>
        <w:t xml:space="preserve">- дооснащение медицинским и специализированным оборудованием учреждений;</w:t>
      </w:r>
    </w:p>
    <w:p>
      <w:pPr>
        <w:pStyle w:val="0"/>
        <w:spacing w:before="200" w:line-rule="auto"/>
        <w:ind w:firstLine="540"/>
        <w:jc w:val="both"/>
      </w:pPr>
      <w:r>
        <w:rPr>
          <w:sz w:val="20"/>
        </w:rPr>
        <w:t xml:space="preserve">- разработка проектно-сметной документации на проведение ремонтов, капитальных ремонтов зданий, помещений учреждений;</w:t>
      </w:r>
    </w:p>
    <w:p>
      <w:pPr>
        <w:pStyle w:val="0"/>
        <w:spacing w:before="200" w:line-rule="auto"/>
        <w:ind w:firstLine="540"/>
        <w:jc w:val="both"/>
      </w:pPr>
      <w:r>
        <w:rPr>
          <w:sz w:val="20"/>
        </w:rPr>
        <w:t xml:space="preserve">- проведение текущих и капитальных ремонтов зданий, помещений учреждений;</w:t>
      </w:r>
    </w:p>
    <w:p>
      <w:pPr>
        <w:pStyle w:val="0"/>
        <w:spacing w:before="200" w:line-rule="auto"/>
        <w:ind w:firstLine="540"/>
        <w:jc w:val="both"/>
      </w:pPr>
      <w:r>
        <w:rPr>
          <w:sz w:val="20"/>
        </w:rPr>
        <w:t xml:space="preserve">- обеспечение безопасности и комплексного благоустройства учреждений;</w:t>
      </w:r>
    </w:p>
    <w:p>
      <w:pPr>
        <w:pStyle w:val="0"/>
        <w:spacing w:before="200" w:line-rule="auto"/>
        <w:ind w:firstLine="540"/>
        <w:jc w:val="both"/>
      </w:pPr>
      <w:r>
        <w:rPr>
          <w:sz w:val="20"/>
        </w:rPr>
        <w:t xml:space="preserve">- обеспечение учреждений доступной средой для маломобильных групп населения;</w:t>
      </w:r>
    </w:p>
    <w:p>
      <w:pPr>
        <w:pStyle w:val="0"/>
        <w:spacing w:before="200" w:line-rule="auto"/>
        <w:ind w:firstLine="540"/>
        <w:jc w:val="both"/>
      </w:pPr>
      <w:r>
        <w:rPr>
          <w:sz w:val="20"/>
        </w:rPr>
        <w:t xml:space="preserve">- обеспечение антитеррористической защищенности зданий и сооружений учреждений;</w:t>
      </w:r>
    </w:p>
    <w:p>
      <w:pPr>
        <w:pStyle w:val="0"/>
        <w:spacing w:before="200" w:line-rule="auto"/>
        <w:ind w:firstLine="540"/>
        <w:jc w:val="both"/>
      </w:pPr>
      <w:r>
        <w:rPr>
          <w:sz w:val="20"/>
        </w:rPr>
        <w:t xml:space="preserve">- информатизация учреждений.</w:t>
      </w:r>
    </w:p>
    <w:p>
      <w:pPr>
        <w:pStyle w:val="0"/>
        <w:spacing w:before="200" w:line-rule="auto"/>
        <w:ind w:firstLine="540"/>
        <w:jc w:val="both"/>
      </w:pPr>
      <w:r>
        <w:rPr>
          <w:sz w:val="20"/>
        </w:rPr>
        <w:t xml:space="preserve">В рамках реализации Программы планируется строительство следующих объектов системы здравоохранения:</w:t>
      </w:r>
    </w:p>
    <w:p>
      <w:pPr>
        <w:pStyle w:val="0"/>
        <w:spacing w:before="200" w:line-rule="auto"/>
        <w:ind w:firstLine="540"/>
        <w:jc w:val="both"/>
      </w:pPr>
      <w:r>
        <w:rPr>
          <w:sz w:val="20"/>
        </w:rPr>
        <w:t xml:space="preserve">- строительство многопрофильного лечебно-диагностического корпуса онкологического диспансера;</w:t>
      </w:r>
    </w:p>
    <w:p>
      <w:pPr>
        <w:pStyle w:val="0"/>
        <w:spacing w:before="200" w:line-rule="auto"/>
        <w:ind w:firstLine="540"/>
        <w:jc w:val="both"/>
      </w:pPr>
      <w:r>
        <w:rPr>
          <w:sz w:val="20"/>
        </w:rPr>
        <w:t xml:space="preserve">- строительство Севастопольской больницы скорой медицинской помощи;</w:t>
      </w:r>
    </w:p>
    <w:p>
      <w:pPr>
        <w:pStyle w:val="0"/>
        <w:spacing w:before="200" w:line-rule="auto"/>
        <w:ind w:firstLine="540"/>
        <w:jc w:val="both"/>
      </w:pPr>
      <w:r>
        <w:rPr>
          <w:sz w:val="20"/>
        </w:rPr>
        <w:t xml:space="preserve">- строительство городской инфекционной больницы на 200 коек;</w:t>
      </w:r>
    </w:p>
    <w:p>
      <w:pPr>
        <w:pStyle w:val="0"/>
        <w:spacing w:before="200" w:line-rule="auto"/>
        <w:ind w:firstLine="540"/>
        <w:jc w:val="both"/>
      </w:pPr>
      <w:r>
        <w:rPr>
          <w:sz w:val="20"/>
        </w:rPr>
        <w:t xml:space="preserve">- строительство патолого-анатомического корпуса ГБУЗС "Городская больница N 1 им. Н.И. Пирогова";</w:t>
      </w:r>
    </w:p>
    <w:p>
      <w:pPr>
        <w:pStyle w:val="0"/>
        <w:spacing w:before="200" w:line-rule="auto"/>
        <w:ind w:firstLine="540"/>
        <w:jc w:val="both"/>
      </w:pPr>
      <w:r>
        <w:rPr>
          <w:sz w:val="20"/>
        </w:rPr>
        <w:t xml:space="preserve">- строительство трех подстанций ГБУЗС "Центр экстренной медицинской помощи и медицины катастроф";</w:t>
      </w:r>
    </w:p>
    <w:p>
      <w:pPr>
        <w:pStyle w:val="0"/>
        <w:spacing w:before="200" w:line-rule="auto"/>
        <w:ind w:firstLine="540"/>
        <w:jc w:val="both"/>
      </w:pPr>
      <w:r>
        <w:rPr>
          <w:sz w:val="20"/>
        </w:rPr>
        <w:t xml:space="preserve">- строительство палатного корпуса ГБУЗС "Городская больница N 4" на 140 коек;</w:t>
      </w:r>
    </w:p>
    <w:p>
      <w:pPr>
        <w:pStyle w:val="0"/>
        <w:spacing w:before="200" w:line-rule="auto"/>
        <w:ind w:firstLine="540"/>
        <w:jc w:val="both"/>
      </w:pPr>
      <w:r>
        <w:rPr>
          <w:sz w:val="20"/>
        </w:rPr>
        <w:t xml:space="preserve">- строительство трех совмещенных поликлиник для детей и для взрослых, одной детской поликлиники, совмещенной врачебной амбулатории, а также капитальный ремонт зданий и помещений ГБУЗС "Городская больница N 5 - "Центр охраны здоровья матери и ребенка" (далее - ГБУЗС "ГБ N 5").</w:t>
      </w:r>
    </w:p>
    <w:p>
      <w:pPr>
        <w:pStyle w:val="0"/>
        <w:spacing w:before="200" w:line-rule="auto"/>
        <w:ind w:firstLine="540"/>
        <w:jc w:val="both"/>
      </w:pPr>
      <w:r>
        <w:rPr>
          <w:sz w:val="20"/>
        </w:rPr>
        <w:t xml:space="preserve">Значения целевых показателей (индикаторов) и сведения о них представлены в </w:t>
      </w:r>
      <w:hyperlink w:history="0" w:anchor="P2921" w:tooltip="Сведения о показателях (индикаторах) государственной">
        <w:r>
          <w:rPr>
            <w:sz w:val="20"/>
            <w:color w:val="0000ff"/>
          </w:rPr>
          <w:t xml:space="preserve">приложении N 1</w:t>
        </w:r>
      </w:hyperlink>
      <w:r>
        <w:rPr>
          <w:sz w:val="20"/>
        </w:rPr>
        <w:t xml:space="preserve"> к Программе.</w:t>
      </w:r>
    </w:p>
    <w:p>
      <w:pPr>
        <w:pStyle w:val="0"/>
        <w:spacing w:before="200" w:line-rule="auto"/>
        <w:ind w:firstLine="540"/>
        <w:jc w:val="both"/>
      </w:pPr>
      <w:hyperlink w:history="0" w:anchor="P41263" w:tooltip="Методика расчета (определения) значений целевых показателей">
        <w:r>
          <w:rPr>
            <w:sz w:val="20"/>
            <w:color w:val="0000ff"/>
          </w:rPr>
          <w:t xml:space="preserve">Методика</w:t>
        </w:r>
      </w:hyperlink>
      <w:r>
        <w:rPr>
          <w:sz w:val="20"/>
        </w:rPr>
        <w:t xml:space="preserve"> расчета (определения) значений целевых показателей (индикаторов) представлена в приложении N 14 к Программе.</w:t>
      </w:r>
    </w:p>
    <w:p>
      <w:pPr>
        <w:pStyle w:val="0"/>
        <w:spacing w:before="200" w:line-rule="auto"/>
        <w:ind w:firstLine="540"/>
        <w:jc w:val="both"/>
      </w:pPr>
      <w:r>
        <w:rPr>
          <w:sz w:val="20"/>
        </w:rPr>
        <w:t xml:space="preserve">Срок реализации Программы: с 2022 по 2030 год с учетом поставленных задач.</w:t>
      </w:r>
    </w:p>
    <w:p>
      <w:pPr>
        <w:pStyle w:val="0"/>
      </w:pPr>
      <w:r>
        <w:rPr>
          <w:sz w:val="20"/>
        </w:rPr>
      </w:r>
    </w:p>
    <w:p>
      <w:pPr>
        <w:pStyle w:val="2"/>
        <w:outlineLvl w:val="1"/>
        <w:jc w:val="center"/>
      </w:pPr>
      <w:r>
        <w:rPr>
          <w:sz w:val="20"/>
        </w:rPr>
        <w:t xml:space="preserve">III. Характеристика мероприятий Программы</w:t>
      </w:r>
    </w:p>
    <w:p>
      <w:pPr>
        <w:pStyle w:val="0"/>
        <w:jc w:val="center"/>
      </w:pPr>
      <w:r>
        <w:rPr>
          <w:sz w:val="20"/>
        </w:rPr>
        <w:t xml:space="preserve">(в ред. </w:t>
      </w:r>
      <w:hyperlink w:history="0" r:id="rId66"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0"/>
        <w:ind w:firstLine="540"/>
        <w:jc w:val="both"/>
      </w:pPr>
      <w:r>
        <w:rPr>
          <w:sz w:val="20"/>
        </w:rPr>
        <w:t xml:space="preserve">Для достижения целей и задач Программы в соответствии с основными направлениями ее реализации требуется выполнение мероприятий подпрограмм Программы, общий </w:t>
      </w:r>
      <w:hyperlink w:history="0" w:anchor="P4719" w:tooltip="Перечень основных мероприятий государственной программы">
        <w:r>
          <w:rPr>
            <w:sz w:val="20"/>
            <w:color w:val="0000ff"/>
          </w:rPr>
          <w:t xml:space="preserve">перечень</w:t>
        </w:r>
      </w:hyperlink>
      <w:r>
        <w:rPr>
          <w:sz w:val="20"/>
        </w:rPr>
        <w:t xml:space="preserve"> которых представлен в приложении N 2 к Программе.</w:t>
      </w:r>
    </w:p>
    <w:p>
      <w:pPr>
        <w:pStyle w:val="0"/>
        <w:spacing w:before="200" w:line-rule="auto"/>
        <w:ind w:firstLine="540"/>
        <w:jc w:val="both"/>
      </w:pPr>
      <w:hyperlink w:history="0" w:anchor="P594" w:tooltip="ПОДПРОГРАММА 1">
        <w:r>
          <w:rPr>
            <w:sz w:val="20"/>
            <w:color w:val="0000ff"/>
          </w:rPr>
          <w:t xml:space="preserve">Подпрограмма 1</w:t>
        </w:r>
      </w:hyperlink>
      <w:r>
        <w:rPr>
          <w:sz w:val="20"/>
        </w:rPr>
        <w:t xml:space="preserve"> "Профилактика заболеваний и формирование здорового образа жизни. Развитие первичной медико-санитарной помощи".</w:t>
      </w:r>
    </w:p>
    <w:p>
      <w:pPr>
        <w:pStyle w:val="0"/>
        <w:spacing w:before="200" w:line-rule="auto"/>
        <w:ind w:firstLine="540"/>
        <w:jc w:val="both"/>
      </w:pPr>
      <w:r>
        <w:rPr>
          <w:sz w:val="20"/>
        </w:rPr>
        <w:t xml:space="preserve">В </w:t>
      </w:r>
      <w:hyperlink w:history="0" w:anchor="P594" w:tooltip="ПОДПРОГРАММА 1">
        <w:r>
          <w:rPr>
            <w:sz w:val="20"/>
            <w:color w:val="0000ff"/>
          </w:rPr>
          <w:t xml:space="preserve">подпрограмму 1</w:t>
        </w:r>
      </w:hyperlink>
      <w:r>
        <w:rPr>
          <w:sz w:val="20"/>
        </w:rPr>
        <w:t xml:space="preserve"> включены мероприятия по профилактике заболеваний и формированию здорового образа жизни, совершенствованию процесса оказания первичной медико-санитарной помощи населению города Севастополя:</w:t>
      </w:r>
    </w:p>
    <w:p>
      <w:pPr>
        <w:pStyle w:val="0"/>
        <w:spacing w:before="200" w:line-rule="auto"/>
        <w:ind w:firstLine="540"/>
        <w:jc w:val="both"/>
      </w:pPr>
      <w:r>
        <w:rPr>
          <w:sz w:val="20"/>
        </w:rPr>
        <w:t xml:space="preserve">- оказание первичной медико-санитарной помощи государственными учреждениями здравоохранения;</w:t>
      </w:r>
    </w:p>
    <w:p>
      <w:pPr>
        <w:pStyle w:val="0"/>
        <w:spacing w:before="200" w:line-rule="auto"/>
        <w:ind w:firstLine="540"/>
        <w:jc w:val="both"/>
      </w:pPr>
      <w:r>
        <w:rPr>
          <w:sz w:val="20"/>
        </w:rPr>
        <w:t xml:space="preserve">- оказание паллиативной медицинской помощи в амбулаторных условиях государственными учреждениями здравоохранения;</w:t>
      </w:r>
    </w:p>
    <w:p>
      <w:pPr>
        <w:pStyle w:val="0"/>
        <w:spacing w:before="200" w:line-rule="auto"/>
        <w:ind w:firstLine="540"/>
        <w:jc w:val="both"/>
      </w:pPr>
      <w:r>
        <w:rPr>
          <w:sz w:val="20"/>
        </w:rPr>
        <w:t xml:space="preserve">- профилактика инфекционных заболеваний;</w:t>
      </w:r>
    </w:p>
    <w:p>
      <w:pPr>
        <w:pStyle w:val="0"/>
        <w:spacing w:before="200" w:line-rule="auto"/>
        <w:ind w:firstLine="540"/>
        <w:jc w:val="both"/>
      </w:pPr>
      <w:r>
        <w:rPr>
          <w:sz w:val="20"/>
        </w:rPr>
        <w:t xml:space="preserve">- лекарственное обеспечение отдельных категорий граждан;</w:t>
      </w:r>
    </w:p>
    <w:p>
      <w:pPr>
        <w:pStyle w:val="0"/>
        <w:spacing w:before="200" w:line-rule="auto"/>
        <w:ind w:firstLine="540"/>
        <w:jc w:val="both"/>
      </w:pPr>
      <w:r>
        <w:rPr>
          <w:sz w:val="20"/>
        </w:rPr>
        <w:t xml:space="preserve">- строительство поликлиники на 320 посещений в смену в микрорайоне "Казачья Бухта", г. Севастополь;</w:t>
      </w:r>
    </w:p>
    <w:p>
      <w:pPr>
        <w:pStyle w:val="0"/>
        <w:spacing w:before="200" w:line-rule="auto"/>
        <w:ind w:firstLine="540"/>
        <w:jc w:val="both"/>
      </w:pPr>
      <w:r>
        <w:rPr>
          <w:sz w:val="20"/>
        </w:rPr>
        <w:t xml:space="preserve">- строительство амбулаторно-поликлинического учреждения на 320 посещений в смену, пр-т Генерала Острякова;</w:t>
      </w:r>
    </w:p>
    <w:p>
      <w:pPr>
        <w:pStyle w:val="0"/>
        <w:spacing w:before="200" w:line-rule="auto"/>
        <w:ind w:firstLine="540"/>
        <w:jc w:val="both"/>
      </w:pPr>
      <w:r>
        <w:rPr>
          <w:sz w:val="20"/>
        </w:rPr>
        <w:t xml:space="preserve">- строительство детской поликлиники на 100 посещений в смену на Корабельной стороне;</w:t>
      </w:r>
    </w:p>
    <w:p>
      <w:pPr>
        <w:pStyle w:val="0"/>
        <w:spacing w:before="200" w:line-rule="auto"/>
        <w:ind w:firstLine="540"/>
        <w:jc w:val="both"/>
      </w:pPr>
      <w:r>
        <w:rPr>
          <w:sz w:val="20"/>
        </w:rPr>
        <w:t xml:space="preserve">- предоставление отдельным категориям граждан, проживающих в городе Севастополе, мер социальной поддержки по бесплатному изготовлению и ремонту зубных протезов;</w:t>
      </w:r>
    </w:p>
    <w:p>
      <w:pPr>
        <w:pStyle w:val="0"/>
        <w:spacing w:before="200" w:line-rule="auto"/>
        <w:ind w:firstLine="540"/>
        <w:jc w:val="both"/>
      </w:pPr>
      <w:r>
        <w:rPr>
          <w:sz w:val="20"/>
        </w:rPr>
        <w:t xml:space="preserve">-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IV типов, апластической анемией неуточненной, наследственным дефицитом факторов I (фибриногена), VII (лабильного), X (Стюарта - Прауэра), лиц после трансплантации органов и (или) тканей;</w:t>
      </w:r>
    </w:p>
    <w:p>
      <w:pPr>
        <w:pStyle w:val="0"/>
        <w:spacing w:before="200" w:line-rule="auto"/>
        <w:ind w:firstLine="540"/>
        <w:jc w:val="both"/>
      </w:pPr>
      <w:r>
        <w:rPr>
          <w:sz w:val="20"/>
        </w:rPr>
        <w:t xml:space="preserve">- мероприятия по закупке противовирусных лекарственных препаратов, предназначенных для лечения пациентов, страдающих хроническими вирусными гепатитами B и C;</w:t>
      </w:r>
    </w:p>
    <w:p>
      <w:pPr>
        <w:pStyle w:val="0"/>
        <w:spacing w:before="200" w:line-rule="auto"/>
        <w:ind w:firstLine="540"/>
        <w:jc w:val="both"/>
      </w:pPr>
      <w:r>
        <w:rPr>
          <w:sz w:val="20"/>
        </w:rPr>
        <w:t xml:space="preserve">- финансовое обеспечение мероприятий по приобретению лекарственных препаратов для лечения пациентов с новой коронавирусной инфекцией (COVID-19), получающих медицинскую помощь в амбулаторных условиях;</w:t>
      </w:r>
    </w:p>
    <w:p>
      <w:pPr>
        <w:pStyle w:val="0"/>
        <w:spacing w:before="200" w:line-rule="auto"/>
        <w:ind w:firstLine="540"/>
        <w:jc w:val="both"/>
      </w:pPr>
      <w:r>
        <w:rPr>
          <w:sz w:val="20"/>
        </w:rPr>
        <w:t xml:space="preserve">- дополнительное финансовое обеспечение оказания первичной медико-санитарной помощи лицам, застрахованным по обязательному медицинскому страхованию, в том числе с заболеванием и (или) подозрением на заболевание новой коронавирусной инфекцией (COVID-19), в рамках реализации территориальных программ обязательного медицинского страхования;</w:t>
      </w:r>
    </w:p>
    <w:p>
      <w:pPr>
        <w:pStyle w:val="0"/>
        <w:spacing w:before="200" w:line-rule="auto"/>
        <w:ind w:firstLine="540"/>
        <w:jc w:val="both"/>
      </w:pPr>
      <w:r>
        <w:rPr>
          <w:sz w:val="20"/>
        </w:rPr>
        <w:t xml:space="preserve">- финансовое обеспечение оплаты труда медицинских работников, оказывающих консультативную медицинскую помощь с применением телемедицинских технологий гражданам с подтвержденным диагнозом новой коронавирусной инфекции COVID-19, а также с признаками или подтвержденным диагнозом внебольничной пневмонии, острой респираторной вирусной инфекции, гриппа, получающим медицинскую помощь в амбулаторных условиях (на дому);</w:t>
      </w:r>
    </w:p>
    <w:p>
      <w:pPr>
        <w:pStyle w:val="0"/>
        <w:spacing w:before="200" w:line-rule="auto"/>
        <w:ind w:firstLine="540"/>
        <w:jc w:val="both"/>
      </w:pPr>
      <w:r>
        <w:rPr>
          <w:sz w:val="20"/>
        </w:rPr>
        <w:t xml:space="preserve">- мероприятия в рамках сотрудничества с Правительством Москвы в целях развития первичной медико-санитарной помощи;</w:t>
      </w:r>
    </w:p>
    <w:p>
      <w:pPr>
        <w:pStyle w:val="0"/>
        <w:spacing w:before="200" w:line-rule="auto"/>
        <w:ind w:firstLine="540"/>
        <w:jc w:val="both"/>
      </w:pPr>
      <w:r>
        <w:rPr>
          <w:sz w:val="20"/>
        </w:rPr>
        <w:t xml:space="preserve">- мероприятие по обеспечению вакцинации против коронавирусной инфекции;</w:t>
      </w:r>
    </w:p>
    <w:p>
      <w:pPr>
        <w:pStyle w:val="0"/>
        <w:spacing w:before="200" w:line-rule="auto"/>
        <w:ind w:firstLine="540"/>
        <w:jc w:val="both"/>
      </w:pPr>
      <w:r>
        <w:rPr>
          <w:sz w:val="20"/>
        </w:rPr>
        <w:t xml:space="preserve">- 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на проведение указанным лицам профилактических прививок, включенных в </w:t>
      </w:r>
      <w:hyperlink w:history="0" r:id="rId67"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календарь</w:t>
        </w:r>
      </w:hyperlink>
      <w:r>
        <w:rPr>
          <w:sz w:val="20"/>
        </w:rPr>
        <w:t xml:space="preserve"> профилактических прививок по эпидемическим показаниям, за счет средств резервного фонда Правительства Российской Федерации;</w:t>
      </w:r>
    </w:p>
    <w:p>
      <w:pPr>
        <w:pStyle w:val="0"/>
        <w:spacing w:before="200" w:line-rule="auto"/>
        <w:ind w:firstLine="540"/>
        <w:jc w:val="both"/>
      </w:pPr>
      <w:r>
        <w:rPr>
          <w:sz w:val="20"/>
        </w:rPr>
        <w:t xml:space="preserve">- расходы для оплаты налога на имущество государственных учреждений, подведомственных Департаменту здравоохранения города Севастополя;</w:t>
      </w:r>
    </w:p>
    <w:p>
      <w:pPr>
        <w:pStyle w:val="0"/>
        <w:spacing w:before="200" w:line-rule="auto"/>
        <w:ind w:firstLine="540"/>
        <w:jc w:val="both"/>
      </w:pPr>
      <w:r>
        <w:rPr>
          <w:sz w:val="20"/>
        </w:rPr>
        <w:t xml:space="preserve">- 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68"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p>
      <w:pPr>
        <w:pStyle w:val="0"/>
        <w:spacing w:before="200" w:line-rule="auto"/>
        <w:ind w:firstLine="540"/>
        <w:jc w:val="both"/>
      </w:pPr>
      <w:r>
        <w:rPr>
          <w:sz w:val="20"/>
        </w:rPr>
        <w:t xml:space="preserve">Указанные мероприятия направлены на поддержание на необходимом уровне лекарственного обеспечения отдельных категорий граждан, профилактику инфекционных и неинфекционных заболеваний, популяризацию здорового образа жизни.</w:t>
      </w:r>
    </w:p>
    <w:p>
      <w:pPr>
        <w:pStyle w:val="0"/>
        <w:spacing w:before="200" w:line-rule="auto"/>
        <w:ind w:firstLine="540"/>
        <w:jc w:val="both"/>
      </w:pPr>
      <w:r>
        <w:rPr>
          <w:sz w:val="20"/>
        </w:rPr>
        <w:t xml:space="preserve">Большинство мероприятий по совершенствованию процесса оказания медико-санитарной помощи и укреплению материально-технической базы поликлиник проходит в рамках тиражирования проекта "Бережливая поликлиника".</w:t>
      </w:r>
    </w:p>
    <w:p>
      <w:pPr>
        <w:pStyle w:val="0"/>
        <w:spacing w:before="200" w:line-rule="auto"/>
        <w:ind w:firstLine="540"/>
        <w:jc w:val="both"/>
      </w:pPr>
      <w:hyperlink w:history="0" w:anchor="P968" w:tooltip="ПОДПРОГРАММА 2">
        <w:r>
          <w:rPr>
            <w:sz w:val="20"/>
            <w:color w:val="0000ff"/>
          </w:rPr>
          <w:t xml:space="preserve">Подпрограмма 2</w:t>
        </w:r>
      </w:hyperlink>
      <w:r>
        <w:rPr>
          <w:sz w:val="20"/>
        </w:rPr>
        <w:t xml:space="preserve">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pPr>
        <w:pStyle w:val="0"/>
        <w:spacing w:before="200" w:line-rule="auto"/>
        <w:ind w:firstLine="540"/>
        <w:jc w:val="both"/>
      </w:pPr>
      <w:r>
        <w:rPr>
          <w:sz w:val="20"/>
        </w:rPr>
        <w:t xml:space="preserve">Для достижения цели </w:t>
      </w:r>
      <w:hyperlink w:history="0" w:anchor="P968" w:tooltip="ПОДПРОГРАММА 2">
        <w:r>
          <w:rPr>
            <w:sz w:val="20"/>
            <w:color w:val="0000ff"/>
          </w:rPr>
          <w:t xml:space="preserve">подпрограммы 2</w:t>
        </w:r>
      </w:hyperlink>
      <w:r>
        <w:rPr>
          <w:sz w:val="20"/>
        </w:rPr>
        <w:t xml:space="preserve"> в соответствии с основными направлениями ее реализации запланировано выполнение следующих мероприятий:</w:t>
      </w:r>
    </w:p>
    <w:p>
      <w:pPr>
        <w:pStyle w:val="0"/>
        <w:spacing w:before="200" w:line-rule="auto"/>
        <w:ind w:firstLine="540"/>
        <w:jc w:val="both"/>
      </w:pPr>
      <w:r>
        <w:rPr>
          <w:sz w:val="20"/>
        </w:rPr>
        <w:t xml:space="preserve">-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предоставляющих специализированную, в том числе высокотехнологичную, медицинскую помощь, скорую, в том числе скорую специализированную, медицинскую помощь, медицинскую эвакуацию;</w:t>
      </w:r>
    </w:p>
    <w:p>
      <w:pPr>
        <w:pStyle w:val="0"/>
        <w:spacing w:before="200" w:line-rule="auto"/>
        <w:ind w:firstLine="540"/>
        <w:jc w:val="both"/>
      </w:pPr>
      <w:r>
        <w:rPr>
          <w:sz w:val="20"/>
        </w:rPr>
        <w:t xml:space="preserve">- оказание паллиативной медицинской помощи государственными учреждениями здравоохранения в стационарных условиях;</w:t>
      </w:r>
    </w:p>
    <w:p>
      <w:pPr>
        <w:pStyle w:val="0"/>
        <w:spacing w:before="200" w:line-rule="auto"/>
        <w:ind w:firstLine="540"/>
        <w:jc w:val="both"/>
      </w:pPr>
      <w:r>
        <w:rPr>
          <w:sz w:val="20"/>
        </w:rPr>
        <w:t xml:space="preserve">- строительство многопрофильного лечебно-диагностического корпуса онкологического диспансера, г. Севастополь;</w:t>
      </w:r>
    </w:p>
    <w:p>
      <w:pPr>
        <w:pStyle w:val="0"/>
        <w:spacing w:before="200" w:line-rule="auto"/>
        <w:ind w:firstLine="540"/>
        <w:jc w:val="both"/>
      </w:pPr>
      <w:r>
        <w:rPr>
          <w:sz w:val="20"/>
        </w:rPr>
        <w:t xml:space="preserve">- строительство Севастопольской больницы скорой медицинской помощи;</w:t>
      </w:r>
    </w:p>
    <w:p>
      <w:pPr>
        <w:pStyle w:val="0"/>
        <w:spacing w:before="200" w:line-rule="auto"/>
        <w:ind w:firstLine="540"/>
        <w:jc w:val="both"/>
      </w:pPr>
      <w:r>
        <w:rPr>
          <w:sz w:val="20"/>
        </w:rPr>
        <w:t xml:space="preserve">- строительство городской инфекционной больницы на 200 коек, г. Севастополь;</w:t>
      </w:r>
    </w:p>
    <w:p>
      <w:pPr>
        <w:pStyle w:val="0"/>
        <w:spacing w:before="200" w:line-rule="auto"/>
        <w:ind w:firstLine="540"/>
        <w:jc w:val="both"/>
      </w:pPr>
      <w:r>
        <w:rPr>
          <w:sz w:val="20"/>
        </w:rPr>
        <w:t xml:space="preserve">- оказание высокотехнологичной медицинской помощи, не включенной в базовую программу обязательного медицинского страхования;</w:t>
      </w:r>
    </w:p>
    <w:p>
      <w:pPr>
        <w:pStyle w:val="0"/>
        <w:spacing w:before="200" w:line-rule="auto"/>
        <w:ind w:firstLine="540"/>
        <w:jc w:val="both"/>
      </w:pPr>
      <w:r>
        <w:rPr>
          <w:sz w:val="20"/>
        </w:rPr>
        <w:t xml:space="preserve">- медицинское обеспечение массовых городских мероприятий;</w:t>
      </w:r>
    </w:p>
    <w:p>
      <w:pPr>
        <w:pStyle w:val="0"/>
        <w:spacing w:before="200" w:line-rule="auto"/>
        <w:ind w:firstLine="540"/>
        <w:jc w:val="both"/>
      </w:pPr>
      <w:r>
        <w:rPr>
          <w:sz w:val="20"/>
        </w:rPr>
        <w:t xml:space="preserve">- строительство подстанции N 1 ГБУЗС "Севастопольский центр экстренной медицинской помощи и медицины катастроф", пр-т Победы;</w:t>
      </w:r>
    </w:p>
    <w:p>
      <w:pPr>
        <w:pStyle w:val="0"/>
        <w:spacing w:before="200" w:line-rule="auto"/>
        <w:ind w:firstLine="540"/>
        <w:jc w:val="both"/>
      </w:pPr>
      <w:r>
        <w:rPr>
          <w:sz w:val="20"/>
        </w:rPr>
        <w:t xml:space="preserve">- строительство палатного корпуса на 140 коек ГБУЗС "Городская больница N 4";</w:t>
      </w:r>
    </w:p>
    <w:p>
      <w:pPr>
        <w:pStyle w:val="0"/>
        <w:spacing w:before="200" w:line-rule="auto"/>
        <w:ind w:firstLine="540"/>
        <w:jc w:val="both"/>
      </w:pPr>
      <w:r>
        <w:rPr>
          <w:sz w:val="20"/>
        </w:rPr>
        <w:t xml:space="preserve">- строительство подстанции N 2 ГБУЗС "Севастопольский центр экстренной медицинской помощи и медицины катастроф", пр-т Генерала Острякова;</w:t>
      </w:r>
    </w:p>
    <w:p>
      <w:pPr>
        <w:pStyle w:val="0"/>
        <w:spacing w:before="200" w:line-rule="auto"/>
        <w:ind w:firstLine="540"/>
        <w:jc w:val="both"/>
      </w:pPr>
      <w:r>
        <w:rPr>
          <w:sz w:val="20"/>
        </w:rPr>
        <w:t xml:space="preserve">- строительство подстанции N 10 ГБУЗС "Севастопольский центр экстренной медицинской помощи и медицины катастроф", Фиолентовское шоссе;</w:t>
      </w:r>
    </w:p>
    <w:p>
      <w:pPr>
        <w:pStyle w:val="0"/>
        <w:spacing w:before="200" w:line-rule="auto"/>
        <w:ind w:firstLine="540"/>
        <w:jc w:val="both"/>
      </w:pPr>
      <w:r>
        <w:rPr>
          <w:sz w:val="20"/>
        </w:rPr>
        <w:t xml:space="preserve">- строительство патолого-анатомического корпуса ГБУЗС "Городская больница N 1 им. Н.И. Пирогова";</w:t>
      </w:r>
    </w:p>
    <w:p>
      <w:pPr>
        <w:pStyle w:val="0"/>
        <w:spacing w:before="200" w:line-rule="auto"/>
        <w:ind w:firstLine="540"/>
        <w:jc w:val="both"/>
      </w:pPr>
      <w:r>
        <w:rPr>
          <w:sz w:val="20"/>
        </w:rPr>
        <w:t xml:space="preserve">- развитие паллиативной медицинской помощи;</w:t>
      </w:r>
    </w:p>
    <w:p>
      <w:pPr>
        <w:pStyle w:val="0"/>
        <w:spacing w:before="200" w:line-rule="auto"/>
        <w:ind w:firstLine="540"/>
        <w:jc w:val="both"/>
      </w:pPr>
      <w:r>
        <w:rPr>
          <w:sz w:val="20"/>
        </w:rPr>
        <w:t xml:space="preserve">- обязательное медицинское страхование неработающего населения города Севастополя;</w:t>
      </w:r>
    </w:p>
    <w:p>
      <w:pPr>
        <w:pStyle w:val="0"/>
        <w:spacing w:before="200" w:line-rule="auto"/>
        <w:ind w:firstLine="540"/>
        <w:jc w:val="both"/>
      </w:pPr>
      <w:r>
        <w:rPr>
          <w:sz w:val="20"/>
        </w:rPr>
        <w:t xml:space="preserve">- реализация мероприятий по предупреждению и борьбе с социально значимыми инфекционными заболеваниями;</w:t>
      </w:r>
    </w:p>
    <w:p>
      <w:pPr>
        <w:pStyle w:val="0"/>
        <w:spacing w:before="200" w:line-rule="auto"/>
        <w:ind w:firstLine="540"/>
        <w:jc w:val="both"/>
      </w:pPr>
      <w:r>
        <w:rPr>
          <w:sz w:val="20"/>
        </w:rPr>
        <w:t xml:space="preserve">- реализация региональной программы "Развитие службы крови в городе Севастополе";</w:t>
      </w:r>
    </w:p>
    <w:p>
      <w:pPr>
        <w:pStyle w:val="0"/>
        <w:spacing w:before="200" w:line-rule="auto"/>
        <w:ind w:firstLine="540"/>
        <w:jc w:val="both"/>
      </w:pPr>
      <w:r>
        <w:rPr>
          <w:sz w:val="20"/>
        </w:rPr>
        <w:t xml:space="preserve">- мероприятия по медицинской эвакуации и транспортировке пациентов;</w:t>
      </w:r>
    </w:p>
    <w:p>
      <w:pPr>
        <w:pStyle w:val="0"/>
        <w:spacing w:before="200" w:line-rule="auto"/>
        <w:ind w:firstLine="540"/>
        <w:jc w:val="both"/>
      </w:pPr>
      <w:r>
        <w:rPr>
          <w:sz w:val="20"/>
        </w:rPr>
        <w:t xml:space="preserve">- предоставление мер социальной поддержки гражданам, больным туберкулезом, проживающим в городе Севастополе;</w:t>
      </w:r>
    </w:p>
    <w:p>
      <w:pPr>
        <w:pStyle w:val="0"/>
        <w:spacing w:before="200" w:line-rule="auto"/>
        <w:ind w:firstLine="540"/>
        <w:jc w:val="both"/>
      </w:pPr>
      <w:r>
        <w:rPr>
          <w:sz w:val="20"/>
        </w:rPr>
        <w:t xml:space="preserve">- мероприятия по обеспечению специализированными продуктами лечебного питания пациентов с диагнозом "Фенилкетонурия";</w:t>
      </w:r>
    </w:p>
    <w:p>
      <w:pPr>
        <w:pStyle w:val="0"/>
        <w:spacing w:before="200" w:line-rule="auto"/>
        <w:ind w:firstLine="540"/>
        <w:jc w:val="both"/>
      </w:pPr>
      <w:r>
        <w:rPr>
          <w:sz w:val="20"/>
        </w:rPr>
        <w:t xml:space="preserve">- финансовое обеспечение мероприятий по погашению кредиторской задолженности Департамента здравоохранения города Севастополя и медицинских учреждений, подведомственных Департаменту;</w:t>
      </w:r>
    </w:p>
    <w:p>
      <w:pPr>
        <w:pStyle w:val="0"/>
        <w:spacing w:before="200" w:line-rule="auto"/>
        <w:ind w:firstLine="540"/>
        <w:jc w:val="both"/>
      </w:pPr>
      <w:r>
        <w:rPr>
          <w:sz w:val="20"/>
        </w:rPr>
        <w:t xml:space="preserve">- мероприятия в рамках сотрудничества с Правительством Москвы в целях развития специализированной медицинской помощи;</w:t>
      </w:r>
    </w:p>
    <w:p>
      <w:pPr>
        <w:pStyle w:val="0"/>
        <w:spacing w:before="200" w:line-rule="auto"/>
        <w:ind w:firstLine="540"/>
        <w:jc w:val="both"/>
      </w:pPr>
      <w:r>
        <w:rPr>
          <w:sz w:val="20"/>
        </w:rPr>
        <w:t xml:space="preserve">- мероприятия в рамках сотрудничества с Правительством Москвы в целях улучшения материально-технического состояния отдельных учреждений в сфере здравоохранения;</w:t>
      </w:r>
    </w:p>
    <w:p>
      <w:pPr>
        <w:pStyle w:val="0"/>
        <w:spacing w:before="200" w:line-rule="auto"/>
        <w:ind w:firstLine="540"/>
        <w:jc w:val="both"/>
      </w:pPr>
      <w:r>
        <w:rPr>
          <w:sz w:val="20"/>
        </w:rPr>
        <w:t xml:space="preserve">- строительство и реконструкция объектов здравоохранения в рамках сотрудничества с Правительством Москвы;</w:t>
      </w:r>
    </w:p>
    <w:p>
      <w:pPr>
        <w:pStyle w:val="0"/>
        <w:spacing w:before="200" w:line-rule="auto"/>
        <w:ind w:firstLine="540"/>
        <w:jc w:val="both"/>
      </w:pPr>
      <w:r>
        <w:rPr>
          <w:sz w:val="20"/>
        </w:rPr>
        <w:t xml:space="preserve">- 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Украины, Донецкой Народной Республики, Луганской Народной Республики и лицам без гражданства, а также затрат на проведение указанным лицам профилактических прививок, включенных в </w:t>
      </w:r>
      <w:hyperlink w:history="0" r:id="rId69"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календарь</w:t>
        </w:r>
      </w:hyperlink>
      <w:r>
        <w:rPr>
          <w:sz w:val="20"/>
        </w:rPr>
        <w:t xml:space="preserve"> профилактических прививок по эпидемическим показаниям, за счет средств резервного фонда Правительства Российской Федерации;</w:t>
      </w:r>
    </w:p>
    <w:p>
      <w:pPr>
        <w:pStyle w:val="0"/>
        <w:spacing w:before="200" w:line-rule="auto"/>
        <w:ind w:firstLine="540"/>
        <w:jc w:val="both"/>
      </w:pPr>
      <w:r>
        <w:rPr>
          <w:sz w:val="20"/>
        </w:rPr>
        <w:t xml:space="preserve">- расходы для оплаты налога на имущество государственных учреждений, подведомственных Департаменту здравоохранения города Севастополя;</w:t>
      </w:r>
    </w:p>
    <w:p>
      <w:pPr>
        <w:pStyle w:val="0"/>
        <w:spacing w:before="200" w:line-rule="auto"/>
        <w:ind w:firstLine="540"/>
        <w:jc w:val="both"/>
      </w:pPr>
      <w:r>
        <w:rPr>
          <w:sz w:val="20"/>
        </w:rPr>
        <w:t xml:space="preserve">- 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70"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p>
      <w:pPr>
        <w:pStyle w:val="0"/>
        <w:spacing w:before="200" w:line-rule="auto"/>
        <w:ind w:firstLine="540"/>
        <w:jc w:val="both"/>
      </w:pPr>
      <w:r>
        <w:rPr>
          <w:sz w:val="20"/>
        </w:rPr>
        <w:t xml:space="preserve">-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предоставляющих специализированную медицинскую помощь в условиях дневного стационара;</w:t>
      </w:r>
    </w:p>
    <w:p>
      <w:pPr>
        <w:pStyle w:val="0"/>
        <w:spacing w:before="200" w:line-rule="auto"/>
        <w:ind w:firstLine="540"/>
        <w:jc w:val="both"/>
      </w:pPr>
      <w:r>
        <w:rPr>
          <w:sz w:val="20"/>
        </w:rPr>
        <w:t xml:space="preserve">-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предоставляющих скорую, в том числе скорую специализированную, медицинскую помощь, медицинскую эвакуацию;</w:t>
      </w:r>
    </w:p>
    <w:p>
      <w:pPr>
        <w:pStyle w:val="0"/>
        <w:spacing w:before="200" w:line-rule="auto"/>
        <w:ind w:firstLine="540"/>
        <w:jc w:val="both"/>
      </w:pPr>
      <w:r>
        <w:rPr>
          <w:sz w:val="20"/>
        </w:rPr>
        <w:t xml:space="preserve">-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службы крови;</w:t>
      </w:r>
    </w:p>
    <w:p>
      <w:pPr>
        <w:pStyle w:val="0"/>
        <w:spacing w:before="200" w:line-rule="auto"/>
        <w:ind w:firstLine="540"/>
        <w:jc w:val="both"/>
      </w:pPr>
      <w:r>
        <w:rPr>
          <w:sz w:val="20"/>
        </w:rPr>
        <w:t xml:space="preserve">- оказание государственными учреждениями здравоохранения государственных услуг, выполнение работ, финансовое обеспечение деятельности прочих государственных учреждений, предоставляющих специализированную, в том числе высокотехнологичную, медицинскую помощь;</w:t>
      </w:r>
    </w:p>
    <w:p>
      <w:pPr>
        <w:pStyle w:val="0"/>
        <w:spacing w:before="200" w:line-rule="auto"/>
        <w:ind w:firstLine="540"/>
        <w:jc w:val="both"/>
      </w:pPr>
      <w:r>
        <w:rPr>
          <w:sz w:val="20"/>
        </w:rPr>
        <w:t xml:space="preserve">- компенсация расходов на оплату стоимости проезда гражданам, проживающим на территории города Севастополя, направляемым для медицинской консультации, обследования, лечения в другие субъекты Российской Федерации, а также стоимости проезда сопровождающих их лиц;</w:t>
      </w:r>
    </w:p>
    <w:p>
      <w:pPr>
        <w:pStyle w:val="0"/>
        <w:spacing w:before="200" w:line-rule="auto"/>
        <w:ind w:firstLine="540"/>
        <w:jc w:val="both"/>
      </w:pPr>
      <w:r>
        <w:rPr>
          <w:sz w:val="20"/>
        </w:rPr>
        <w:t xml:space="preserve">- инженерно-техническое обеспечение медицинского кластера в г. Севастополе;</w:t>
      </w:r>
    </w:p>
    <w:p>
      <w:pPr>
        <w:pStyle w:val="0"/>
        <w:spacing w:before="200" w:line-rule="auto"/>
        <w:ind w:firstLine="540"/>
        <w:jc w:val="both"/>
      </w:pPr>
      <w:r>
        <w:rPr>
          <w:sz w:val="20"/>
        </w:rPr>
        <w:t xml:space="preserve">-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обязательного медицинского страхования.</w:t>
      </w:r>
    </w:p>
    <w:p>
      <w:pPr>
        <w:pStyle w:val="0"/>
        <w:spacing w:before="200" w:line-rule="auto"/>
        <w:ind w:firstLine="540"/>
        <w:jc w:val="both"/>
      </w:pPr>
      <w:r>
        <w:rPr>
          <w:sz w:val="20"/>
        </w:rPr>
        <w:t xml:space="preserve">Строительство объектов здравоохранения предусмотрено мероприятиями </w:t>
      </w:r>
      <w:hyperlink w:history="0" w:anchor="P968" w:tooltip="ПОДПРОГРАММА 2">
        <w:r>
          <w:rPr>
            <w:sz w:val="20"/>
            <w:color w:val="0000ff"/>
          </w:rPr>
          <w:t xml:space="preserve">подпрограммы 2</w:t>
        </w:r>
      </w:hyperlink>
      <w:r>
        <w:rPr>
          <w:sz w:val="20"/>
        </w:rPr>
        <w:t xml:space="preserve">, учитывая высокую степень износа основных фондов и высокие показатели смертности от онкологических заболеваний, заболеваний системы кровообращения, дорожно-транспортных происшествий и т.д., а также с целью совершенствования процесса оказания специализированной, в том числе высокотехнологичной, медицинской помощи населению города Севастополя согласно порядкам оказания медицинской помощи по различным профилям, утвержденным приказами Министерства здравоохранения Российской Федерации, в том числе в рамках государственной </w:t>
      </w:r>
      <w:hyperlink w:history="0" r:id="rId71"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программы</w:t>
        </w:r>
      </w:hyperlink>
      <w:r>
        <w:rPr>
          <w:sz w:val="20"/>
        </w:rPr>
        <w:t xml:space="preserve"> Российской Федерации "Развитие здравоохранения", утвержденной постановлением Правительства Российской Федерации от 26.12.2017 N 1640 (далее - государственная программа Российской Федерации "Развитие здравоохранения"), государственной </w:t>
      </w:r>
      <w:hyperlink w:history="0" r:id="rId72"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программы</w:t>
        </w:r>
      </w:hyperlink>
      <w:r>
        <w:rPr>
          <w:sz w:val="20"/>
        </w:rPr>
        <w:t xml:space="preserve"> Российской Федерации "Социально-экономическое развитие Республики Крым и г. Севастополя".</w:t>
      </w:r>
    </w:p>
    <w:p>
      <w:pPr>
        <w:pStyle w:val="0"/>
        <w:spacing w:before="200" w:line-rule="auto"/>
        <w:ind w:firstLine="540"/>
        <w:jc w:val="both"/>
      </w:pPr>
      <w:hyperlink w:history="0" w:anchor="P1229" w:tooltip="ПОДПРОГРАММА 3">
        <w:r>
          <w:rPr>
            <w:sz w:val="20"/>
            <w:color w:val="0000ff"/>
          </w:rPr>
          <w:t xml:space="preserve">Подпрограмма 3</w:t>
        </w:r>
      </w:hyperlink>
      <w:r>
        <w:rPr>
          <w:sz w:val="20"/>
        </w:rPr>
        <w:t xml:space="preserve"> "Охрана здоровья матери и ребенка".</w:t>
      </w:r>
    </w:p>
    <w:p>
      <w:pPr>
        <w:pStyle w:val="0"/>
        <w:spacing w:before="200" w:line-rule="auto"/>
        <w:ind w:firstLine="540"/>
        <w:jc w:val="both"/>
      </w:pPr>
      <w:r>
        <w:rPr>
          <w:sz w:val="20"/>
        </w:rPr>
        <w:t xml:space="preserve">Для достижения цели </w:t>
      </w:r>
      <w:hyperlink w:history="0" w:anchor="P1229" w:tooltip="ПОДПРОГРАММА 3">
        <w:r>
          <w:rPr>
            <w:sz w:val="20"/>
            <w:color w:val="0000ff"/>
          </w:rPr>
          <w:t xml:space="preserve">подпрограммы 3</w:t>
        </w:r>
      </w:hyperlink>
      <w:r>
        <w:rPr>
          <w:sz w:val="20"/>
        </w:rPr>
        <w:t xml:space="preserve"> в соответствии с основными направлениями ее реализации запланировано выполнение следующих мероприятий:</w:t>
      </w:r>
    </w:p>
    <w:p>
      <w:pPr>
        <w:pStyle w:val="0"/>
        <w:spacing w:before="200" w:line-rule="auto"/>
        <w:ind w:firstLine="540"/>
        <w:jc w:val="both"/>
      </w:pPr>
      <w:r>
        <w:rPr>
          <w:sz w:val="20"/>
        </w:rPr>
        <w:t xml:space="preserve">-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казенных учреждений в области охраны здоровья матери и ребенка;</w:t>
      </w:r>
    </w:p>
    <w:p>
      <w:pPr>
        <w:pStyle w:val="0"/>
        <w:spacing w:before="200" w:line-rule="auto"/>
        <w:ind w:firstLine="540"/>
        <w:jc w:val="both"/>
      </w:pPr>
      <w:r>
        <w:rPr>
          <w:sz w:val="20"/>
        </w:rPr>
        <w:t xml:space="preserve">- мероприятие по обеспечению детей, состоящих на диспансерном учете в ГБУЗС "Севастопольский противотуберкулезный диспансер", путевками для санаторно-курортного лечения;</w:t>
      </w:r>
    </w:p>
    <w:p>
      <w:pPr>
        <w:pStyle w:val="0"/>
        <w:spacing w:before="200" w:line-rule="auto"/>
        <w:ind w:firstLine="540"/>
        <w:jc w:val="both"/>
      </w:pPr>
      <w:r>
        <w:rPr>
          <w:sz w:val="20"/>
        </w:rPr>
        <w:t xml:space="preserve">- обеспечение полноценным питанием беременных женщин, кормящих матерей, а также детей в возрасте до трех лет;</w:t>
      </w:r>
    </w:p>
    <w:p>
      <w:pPr>
        <w:pStyle w:val="0"/>
        <w:spacing w:before="200" w:line-rule="auto"/>
        <w:ind w:firstLine="540"/>
        <w:jc w:val="both"/>
      </w:pPr>
      <w:r>
        <w:rPr>
          <w:sz w:val="20"/>
        </w:rPr>
        <w:t xml:space="preserve">- предоставление подарочного комплекта "Подарок новорожденному" в городе Севастополе;</w:t>
      </w:r>
    </w:p>
    <w:p>
      <w:pPr>
        <w:pStyle w:val="0"/>
        <w:spacing w:before="200" w:line-rule="auto"/>
        <w:ind w:firstLine="540"/>
        <w:jc w:val="both"/>
      </w:pPr>
      <w:r>
        <w:rPr>
          <w:sz w:val="20"/>
        </w:rPr>
        <w:t xml:space="preserve">- мероприятия в рамках сотрудничества с Правительством Москвы в целях охраны здоровья матери и ребенка;</w:t>
      </w:r>
    </w:p>
    <w:p>
      <w:pPr>
        <w:pStyle w:val="0"/>
        <w:spacing w:before="200" w:line-rule="auto"/>
        <w:ind w:firstLine="540"/>
        <w:jc w:val="both"/>
      </w:pPr>
      <w:r>
        <w:rPr>
          <w:sz w:val="20"/>
        </w:rPr>
        <w:t xml:space="preserve">- 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Украины, Донецкой Народной Республики, Луганской Народной Республики и лицам без гражданства, а также затрат на проведение указанным лицам профилактических прививок, включенных в </w:t>
      </w:r>
      <w:hyperlink w:history="0" r:id="rId73"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календарь</w:t>
        </w:r>
      </w:hyperlink>
      <w:r>
        <w:rPr>
          <w:sz w:val="20"/>
        </w:rPr>
        <w:t xml:space="preserve"> профилактических прививок по эпидемическим показаниям, за счет средств резервного фонда Правительства Российской Федерации;</w:t>
      </w:r>
    </w:p>
    <w:p>
      <w:pPr>
        <w:pStyle w:val="0"/>
        <w:spacing w:before="200" w:line-rule="auto"/>
        <w:ind w:firstLine="540"/>
        <w:jc w:val="both"/>
      </w:pPr>
      <w:r>
        <w:rPr>
          <w:sz w:val="20"/>
        </w:rPr>
        <w:t xml:space="preserve">- расходы для оплаты налога на имущество государственных учреждений, подведомственных Департаменту здравоохранения города Севастополя;</w:t>
      </w:r>
    </w:p>
    <w:p>
      <w:pPr>
        <w:pStyle w:val="0"/>
        <w:spacing w:before="200" w:line-rule="auto"/>
        <w:ind w:firstLine="540"/>
        <w:jc w:val="both"/>
      </w:pPr>
      <w:r>
        <w:rPr>
          <w:sz w:val="20"/>
        </w:rPr>
        <w:t xml:space="preserve">- 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74"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p>
      <w:pPr>
        <w:pStyle w:val="0"/>
        <w:spacing w:before="200" w:line-rule="auto"/>
        <w:ind w:firstLine="540"/>
        <w:jc w:val="both"/>
      </w:pPr>
      <w:r>
        <w:rPr>
          <w:sz w:val="20"/>
        </w:rPr>
        <w:t xml:space="preserve">- проведение массового обследования новорожденных на врожденные и (или) наследственные заболевания (расширенный неонатальный скрининг);</w:t>
      </w:r>
    </w:p>
    <w:p>
      <w:pPr>
        <w:pStyle w:val="0"/>
        <w:spacing w:before="200" w:line-rule="auto"/>
        <w:ind w:firstLine="540"/>
        <w:jc w:val="both"/>
      </w:pPr>
      <w:r>
        <w:rPr>
          <w:sz w:val="20"/>
        </w:rPr>
        <w:t xml:space="preserve">- оказание государственными учреждениями здравоохранения государственных услуг, выполнение работ в области охраны здоровья матери и ребенка в стационарных условиях;</w:t>
      </w:r>
    </w:p>
    <w:p>
      <w:pPr>
        <w:pStyle w:val="0"/>
        <w:spacing w:before="200" w:line-rule="auto"/>
        <w:ind w:firstLine="540"/>
        <w:jc w:val="both"/>
      </w:pPr>
      <w:r>
        <w:rPr>
          <w:sz w:val="20"/>
        </w:rPr>
        <w:t xml:space="preserve">- оказание государственными учреждениями здравоохранения государственных услуг, выполнение работ в области охраны здоровья матери и ребенка в условиях дневного стационара;</w:t>
      </w:r>
    </w:p>
    <w:p>
      <w:pPr>
        <w:pStyle w:val="0"/>
        <w:spacing w:before="200" w:line-rule="auto"/>
        <w:ind w:firstLine="540"/>
        <w:jc w:val="both"/>
      </w:pPr>
      <w:r>
        <w:rPr>
          <w:sz w:val="20"/>
        </w:rPr>
        <w:t xml:space="preserve">- оказание прочими государственными учреждениями здравоохранения государственных услуг, выполнение работ, финансовое обеспечение деятельности государственных казенных учреждений в области охраны здоровья матери и ребенка.</w:t>
      </w:r>
    </w:p>
    <w:p>
      <w:pPr>
        <w:pStyle w:val="0"/>
        <w:spacing w:before="200" w:line-rule="auto"/>
        <w:ind w:firstLine="540"/>
        <w:jc w:val="both"/>
      </w:pPr>
      <w:r>
        <w:rPr>
          <w:sz w:val="20"/>
        </w:rPr>
        <w:t xml:space="preserve">Мероприятия </w:t>
      </w:r>
      <w:hyperlink w:history="0" w:anchor="P1229" w:tooltip="ПОДПРОГРАММА 3">
        <w:r>
          <w:rPr>
            <w:sz w:val="20"/>
            <w:color w:val="0000ff"/>
          </w:rPr>
          <w:t xml:space="preserve">подпрограммы 3</w:t>
        </w:r>
      </w:hyperlink>
      <w:r>
        <w:rPr>
          <w:sz w:val="20"/>
        </w:rPr>
        <w:t xml:space="preserve"> направлены на совершенствование оказания специализированной и высокотехнологичной медицинской помощи в соответствии с порядками оказания медицинской помощи женщинам и детям, утвержденными приказами Министерства здравоохранения Российской Федерации от 31.07.2020 </w:t>
      </w:r>
      <w:hyperlink w:history="0" r:id="rId75" w:tooltip="Приказ Минздрава России от 31.07.2020 N 803н &quot;О порядке использования вспомогательных репродуктивных технологий, противопоказаниях и ограничениях к их применению&quot; (Зарегистрировано в Минюсте России 19.10.2020 N 60457) {КонсультантПлюс}">
        <w:r>
          <w:rPr>
            <w:sz w:val="20"/>
            <w:color w:val="0000ff"/>
          </w:rPr>
          <w:t xml:space="preserve">N 803н</w:t>
        </w:r>
      </w:hyperlink>
      <w:r>
        <w:rPr>
          <w:sz w:val="20"/>
        </w:rPr>
        <w:t xml:space="preserve"> "О порядке использования вспомогательных репродуктивных технологий, противопоказаниях и ограничениях к их применению", от 31.10.2012 </w:t>
      </w:r>
      <w:hyperlink w:history="0" r:id="rId76" w:tooltip="Приказ Минздрава России от 31.10.2012 N 562н &quot;Об утверждении Порядка оказания медицинской помощи по профилю &quot;детская хирургия&quot; (Зарегистрировано в Минюсте России 17.12.2012 N 26159) {КонсультантПлюс}">
        <w:r>
          <w:rPr>
            <w:sz w:val="20"/>
            <w:color w:val="0000ff"/>
          </w:rPr>
          <w:t xml:space="preserve">N 562н</w:t>
        </w:r>
      </w:hyperlink>
      <w:r>
        <w:rPr>
          <w:sz w:val="20"/>
        </w:rPr>
        <w:t xml:space="preserve"> "Об утверждении Порядка оказания медицинской помощи по профилю "детская хирургия", от 20.10.2020 </w:t>
      </w:r>
      <w:hyperlink w:history="0" r:id="rId77" w:tooltip="Приказ Минздрава России от 20.10.2020 N 1130н &quot;Об утверждении Порядка оказания медицинской помощи по профилю &quot;акушерство и гинекология&quot; (Зарегистрировано в Минюсте России 12.11.2020 N 60869) {КонсультантПлюс}">
        <w:r>
          <w:rPr>
            <w:sz w:val="20"/>
            <w:color w:val="0000ff"/>
          </w:rPr>
          <w:t xml:space="preserve">N 1130н</w:t>
        </w:r>
      </w:hyperlink>
      <w:r>
        <w:rPr>
          <w:sz w:val="20"/>
        </w:rPr>
        <w:t xml:space="preserve"> "Об утверждении Порядка оказания медицинской помощи по профилю "акушерство и гинекология", от 12.11.2012 </w:t>
      </w:r>
      <w:hyperlink w:history="0" r:id="rId78" w:tooltip="Приказ Минздрава России от 12.11.2012 N 909н (ред. от 09.07.2013) &quot;Об утверждении Порядка оказания медицинской помощи детям по профилю &quot;анестезиология и реаниматология&quot; (Зарегистрировано в Минюсте России 29.12.2012 N 26514) {КонсультантПлюс}">
        <w:r>
          <w:rPr>
            <w:sz w:val="20"/>
            <w:color w:val="0000ff"/>
          </w:rPr>
          <w:t xml:space="preserve">N 909н</w:t>
        </w:r>
      </w:hyperlink>
      <w:r>
        <w:rPr>
          <w:sz w:val="20"/>
        </w:rPr>
        <w:t xml:space="preserve"> "Об утверждении Порядка оказания медицинской помощи детям по профилю "анестезиология и реаниматология", от 15.11.2012 </w:t>
      </w:r>
      <w:hyperlink w:history="0" r:id="rId79" w:tooltip="Приказ Минздрава России от 15.11.2012 N 921н &quot;Об утверждении Порядка оказания медицинской помощи по профилю &quot;неонатология&quot; (Зарегистрировано в Минюсте России 25.12.2012 N 26377) {КонсультантПлюс}">
        <w:r>
          <w:rPr>
            <w:sz w:val="20"/>
            <w:color w:val="0000ff"/>
          </w:rPr>
          <w:t xml:space="preserve">N 921н</w:t>
        </w:r>
      </w:hyperlink>
      <w:r>
        <w:rPr>
          <w:sz w:val="20"/>
        </w:rPr>
        <w:t xml:space="preserve"> "Об утверждении Порядка оказания медицинской помощи по профилю "неонатология".</w:t>
      </w:r>
    </w:p>
    <w:p>
      <w:pPr>
        <w:pStyle w:val="0"/>
        <w:spacing w:before="200" w:line-rule="auto"/>
        <w:ind w:firstLine="540"/>
        <w:jc w:val="both"/>
      </w:pPr>
      <w:hyperlink w:history="0" w:anchor="P1487" w:tooltip="ПОДПРОГРАММА 4">
        <w:r>
          <w:rPr>
            <w:sz w:val="20"/>
            <w:color w:val="0000ff"/>
          </w:rPr>
          <w:t xml:space="preserve">Подпрограмма 4</w:t>
        </w:r>
      </w:hyperlink>
      <w:r>
        <w:rPr>
          <w:sz w:val="20"/>
        </w:rPr>
        <w:t xml:space="preserve"> "Развитие медицинской реабилитации".</w:t>
      </w:r>
    </w:p>
    <w:p>
      <w:pPr>
        <w:pStyle w:val="0"/>
        <w:spacing w:before="200" w:line-rule="auto"/>
        <w:ind w:firstLine="540"/>
        <w:jc w:val="both"/>
      </w:pPr>
      <w:r>
        <w:rPr>
          <w:sz w:val="20"/>
        </w:rPr>
        <w:t xml:space="preserve">Материально-техническая база учреждений для проведения медицинской реабилитации устарела, изношена и нуждается в обновлении. Оснащение учреждений не соответствует утвержденным порядкам и стандартам оказания медицинской помощи.</w:t>
      </w:r>
    </w:p>
    <w:p>
      <w:pPr>
        <w:pStyle w:val="0"/>
        <w:spacing w:before="200" w:line-rule="auto"/>
        <w:ind w:firstLine="540"/>
        <w:jc w:val="both"/>
      </w:pPr>
      <w:r>
        <w:rPr>
          <w:sz w:val="20"/>
        </w:rPr>
        <w:t xml:space="preserve">В </w:t>
      </w:r>
      <w:hyperlink w:history="0" w:anchor="P1487" w:tooltip="ПОДПРОГРАММА 4">
        <w:r>
          <w:rPr>
            <w:sz w:val="20"/>
            <w:color w:val="0000ff"/>
          </w:rPr>
          <w:t xml:space="preserve">подпрограмме 4</w:t>
        </w:r>
      </w:hyperlink>
      <w:r>
        <w:rPr>
          <w:sz w:val="20"/>
        </w:rPr>
        <w:t xml:space="preserve"> предусмотрено мероприятие по оснащению (дооснащению и (или) переоснащению) медицинскими изделиями медицинских организаций, имеющих в своей структуре подразделения, оказывающие медицинскую помощь по медицинской реабилитации взрослых и детей.</w:t>
      </w:r>
    </w:p>
    <w:p>
      <w:pPr>
        <w:pStyle w:val="0"/>
        <w:spacing w:before="200" w:line-rule="auto"/>
        <w:ind w:firstLine="540"/>
        <w:jc w:val="both"/>
      </w:pPr>
      <w:r>
        <w:rPr>
          <w:sz w:val="20"/>
        </w:rPr>
        <w:t xml:space="preserve">Для увеличения охвата детей, в том числе детей-инвалидов, медицинской реабилитационной помощью, создания доступной среды для детей-инвалидов требуется проведение реконструкции, капитального ремонта и благоустройство территории ГБУЗС "Городская больница N 1 им. Н.И. Пирогова", ГБУЗС "Городская больница N 4", ГБУЗС "ГБ N 5", ГБУЗС "Севастопольская городская больница N 9", а также оснащение его необходимым оборудованием.</w:t>
      </w:r>
    </w:p>
    <w:p>
      <w:pPr>
        <w:pStyle w:val="0"/>
        <w:spacing w:before="200" w:line-rule="auto"/>
        <w:ind w:firstLine="540"/>
        <w:jc w:val="both"/>
      </w:pPr>
      <w:r>
        <w:rPr>
          <w:sz w:val="20"/>
        </w:rPr>
        <w:t xml:space="preserve">Для увеличения охвата пациентов детского и взрослого возраста необходимой медицинской помощью по профилю "медицинская реабилитация" необходимо 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 Данное мероприятие будет реализовано в рамках региональной программы "Оптимальная для восстановления здоровья медицинская реабилитация".</w:t>
      </w:r>
    </w:p>
    <w:p>
      <w:pPr>
        <w:pStyle w:val="0"/>
        <w:spacing w:before="200" w:line-rule="auto"/>
        <w:ind w:firstLine="540"/>
        <w:jc w:val="both"/>
      </w:pPr>
      <w:hyperlink w:history="0" w:anchor="P1722" w:tooltip="ПОДПРОГРАММА 5">
        <w:r>
          <w:rPr>
            <w:sz w:val="20"/>
            <w:color w:val="0000ff"/>
          </w:rPr>
          <w:t xml:space="preserve">Подпрограмма 5</w:t>
        </w:r>
      </w:hyperlink>
      <w:r>
        <w:rPr>
          <w:sz w:val="20"/>
        </w:rPr>
        <w:t xml:space="preserve"> "Экспертиза и контрольно-надзорные функции в сфере здравоохранения".</w:t>
      </w:r>
    </w:p>
    <w:p>
      <w:pPr>
        <w:pStyle w:val="0"/>
        <w:spacing w:before="200" w:line-rule="auto"/>
        <w:ind w:firstLine="540"/>
        <w:jc w:val="both"/>
      </w:pPr>
      <w:r>
        <w:rPr>
          <w:sz w:val="20"/>
        </w:rPr>
        <w:t xml:space="preserve">Для достижения цели </w:t>
      </w:r>
      <w:hyperlink w:history="0" w:anchor="P1722" w:tooltip="ПОДПРОГРАММА 5">
        <w:r>
          <w:rPr>
            <w:sz w:val="20"/>
            <w:color w:val="0000ff"/>
          </w:rPr>
          <w:t xml:space="preserve">подпрограммы 5</w:t>
        </w:r>
      </w:hyperlink>
      <w:r>
        <w:rPr>
          <w:sz w:val="20"/>
        </w:rPr>
        <w:t xml:space="preserve"> в соответствии с основными направлениями ее реализации требуется выполнение мероприятий, ожидаемых к финансированию.</w:t>
      </w:r>
    </w:p>
    <w:p>
      <w:pPr>
        <w:pStyle w:val="0"/>
        <w:spacing w:before="200" w:line-rule="auto"/>
        <w:ind w:firstLine="540"/>
        <w:jc w:val="both"/>
      </w:pPr>
      <w:r>
        <w:rPr>
          <w:sz w:val="20"/>
        </w:rPr>
        <w:t xml:space="preserve">Реализация мероприятий </w:t>
      </w:r>
      <w:hyperlink w:history="0" w:anchor="P1722" w:tooltip="ПОДПРОГРАММА 5">
        <w:r>
          <w:rPr>
            <w:sz w:val="20"/>
            <w:color w:val="0000ff"/>
          </w:rPr>
          <w:t xml:space="preserve">подпрограммы 5</w:t>
        </w:r>
      </w:hyperlink>
      <w:r>
        <w:rPr>
          <w:sz w:val="20"/>
        </w:rPr>
        <w:t xml:space="preserve"> даст возможность внедрить новые методы исследований и сократить сроки проведения экспертиз, позволит проводить судебно-медицинские экспертизы в требуемом объеме, модернизировать патолого-анатомическую службу, что в конечном счете скажется на эффективности борьбы с наиболее опасными и тяжелыми преступлениями против личности, улучшит качество оказания соответствующих услуг населению города Севастополя, снизит уровень профессиональной заболеваемости, обеспечит проведение постоянного мониторинга ситуации в сфере оборота и употребления наркотических средств в городе Севастополе.</w:t>
      </w:r>
    </w:p>
    <w:p>
      <w:pPr>
        <w:pStyle w:val="0"/>
        <w:spacing w:before="200" w:line-rule="auto"/>
        <w:ind w:firstLine="540"/>
        <w:jc w:val="both"/>
      </w:pPr>
      <w:hyperlink w:history="0" w:anchor="P1903" w:tooltip="ПОДПРОГРАММА 6">
        <w:r>
          <w:rPr>
            <w:sz w:val="20"/>
            <w:color w:val="0000ff"/>
          </w:rPr>
          <w:t xml:space="preserve">Подпрограмма 6</w:t>
        </w:r>
      </w:hyperlink>
      <w:r>
        <w:rPr>
          <w:sz w:val="20"/>
        </w:rPr>
        <w:t xml:space="preserve"> "Развитие информатизации и обеспечение комплексной безопасности объектов здравоохранения".</w:t>
      </w:r>
    </w:p>
    <w:p>
      <w:pPr>
        <w:pStyle w:val="0"/>
        <w:spacing w:before="200" w:line-rule="auto"/>
        <w:ind w:firstLine="540"/>
        <w:jc w:val="both"/>
      </w:pPr>
      <w:r>
        <w:rPr>
          <w:sz w:val="20"/>
        </w:rPr>
        <w:t xml:space="preserve">С целью решения задачи </w:t>
      </w:r>
      <w:hyperlink w:history="0" w:anchor="P1903" w:tooltip="ПОДПРОГРАММА 6">
        <w:r>
          <w:rPr>
            <w:sz w:val="20"/>
            <w:color w:val="0000ff"/>
          </w:rPr>
          <w:t xml:space="preserve">подпрограммы 6</w:t>
        </w:r>
      </w:hyperlink>
      <w:r>
        <w:rPr>
          <w:sz w:val="20"/>
        </w:rPr>
        <w:t xml:space="preserve"> необходима реализация следующих мероприятий:</w:t>
      </w:r>
    </w:p>
    <w:p>
      <w:pPr>
        <w:pStyle w:val="0"/>
        <w:spacing w:before="200" w:line-rule="auto"/>
        <w:ind w:firstLine="540"/>
        <w:jc w:val="both"/>
      </w:pPr>
      <w:r>
        <w:rPr>
          <w:sz w:val="20"/>
        </w:rPr>
        <w:t xml:space="preserve">-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казенных учреждений;</w:t>
      </w:r>
    </w:p>
    <w:p>
      <w:pPr>
        <w:pStyle w:val="0"/>
        <w:spacing w:before="200" w:line-rule="auto"/>
        <w:ind w:firstLine="540"/>
        <w:jc w:val="both"/>
      </w:pPr>
      <w:r>
        <w:rPr>
          <w:sz w:val="20"/>
        </w:rPr>
        <w:t xml:space="preserve">- информатизация в здравоохранении.</w:t>
      </w:r>
    </w:p>
    <w:p>
      <w:pPr>
        <w:pStyle w:val="0"/>
        <w:spacing w:before="200" w:line-rule="auto"/>
        <w:ind w:firstLine="540"/>
        <w:jc w:val="both"/>
      </w:pPr>
      <w:r>
        <w:rPr>
          <w:sz w:val="20"/>
        </w:rPr>
        <w:t xml:space="preserve">Реализация мероприятий </w:t>
      </w:r>
      <w:hyperlink w:history="0" w:anchor="P1903" w:tooltip="ПОДПРОГРАММА 6">
        <w:r>
          <w:rPr>
            <w:sz w:val="20"/>
            <w:color w:val="0000ff"/>
          </w:rPr>
          <w:t xml:space="preserve">подпрограммы 6</w:t>
        </w:r>
      </w:hyperlink>
      <w:r>
        <w:rPr>
          <w:sz w:val="20"/>
        </w:rPr>
        <w:t xml:space="preserve"> даст возможность продолжить процессы информатизации и обеспечения безопасности учреждений здравоохранения города Севастополя, начатые в 2014 - 2016 годах, приведет к повышению качества и доступности оказания медицинских услуг населению, а также соответствию состояния государственных учреждений города Севастополя требованиям законодательства Российской Федерации в сфере безопасности социальных объектов.</w:t>
      </w:r>
    </w:p>
    <w:p>
      <w:pPr>
        <w:pStyle w:val="0"/>
        <w:spacing w:before="200" w:line-rule="auto"/>
        <w:ind w:firstLine="540"/>
        <w:jc w:val="both"/>
      </w:pPr>
      <w:hyperlink w:history="0" w:anchor="P2108" w:tooltip="ПОДПРОГРАММА 7">
        <w:r>
          <w:rPr>
            <w:sz w:val="20"/>
            <w:color w:val="0000ff"/>
          </w:rPr>
          <w:t xml:space="preserve">Подпрограмма 7</w:t>
        </w:r>
      </w:hyperlink>
      <w:r>
        <w:rPr>
          <w:sz w:val="20"/>
        </w:rPr>
        <w:t xml:space="preserve"> "Кадровое обеспечение системы здравоохранения".</w:t>
      </w:r>
    </w:p>
    <w:p>
      <w:pPr>
        <w:pStyle w:val="0"/>
        <w:spacing w:before="200" w:line-rule="auto"/>
        <w:ind w:firstLine="540"/>
        <w:jc w:val="both"/>
      </w:pPr>
      <w:r>
        <w:rPr>
          <w:sz w:val="20"/>
        </w:rPr>
        <w:t xml:space="preserve">В </w:t>
      </w:r>
      <w:hyperlink w:history="0" w:anchor="P2108" w:tooltip="ПОДПРОГРАММА 7">
        <w:r>
          <w:rPr>
            <w:sz w:val="20"/>
            <w:color w:val="0000ff"/>
          </w:rPr>
          <w:t xml:space="preserve">подпрограмме 7</w:t>
        </w:r>
      </w:hyperlink>
      <w:r>
        <w:rPr>
          <w:sz w:val="20"/>
        </w:rPr>
        <w:t xml:space="preserve"> предусмотрены следующие мероприятия:</w:t>
      </w:r>
    </w:p>
    <w:p>
      <w:pPr>
        <w:pStyle w:val="0"/>
        <w:spacing w:before="200" w:line-rule="auto"/>
        <w:ind w:firstLine="540"/>
        <w:jc w:val="both"/>
      </w:pPr>
      <w:r>
        <w:rPr>
          <w:sz w:val="20"/>
        </w:rPr>
        <w:t xml:space="preserve">- единовременные компенсационные выплаты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p>
      <w:pPr>
        <w:pStyle w:val="0"/>
        <w:spacing w:before="200" w:line-rule="auto"/>
        <w:ind w:firstLine="540"/>
        <w:jc w:val="both"/>
      </w:pPr>
      <w:r>
        <w:rPr>
          <w:sz w:val="20"/>
        </w:rPr>
        <w:t xml:space="preserve">- оплата профессиональной переподготовки и повышения квалификации врачей в образовательных учреждениях высшего профессионального образования и дополнительного профессионального образования;</w:t>
      </w:r>
    </w:p>
    <w:p>
      <w:pPr>
        <w:pStyle w:val="0"/>
        <w:spacing w:before="200" w:line-rule="auto"/>
        <w:ind w:firstLine="540"/>
        <w:jc w:val="both"/>
      </w:pPr>
      <w:r>
        <w:rPr>
          <w:sz w:val="20"/>
        </w:rPr>
        <w:t xml:space="preserve">- предоставление мер социальной поддержки студентам, ординаторам, обучающимся в образовательных организациях высшего профессионального образования;</w:t>
      </w:r>
    </w:p>
    <w:p>
      <w:pPr>
        <w:pStyle w:val="0"/>
        <w:spacing w:before="200" w:line-rule="auto"/>
        <w:ind w:firstLine="540"/>
        <w:jc w:val="both"/>
      </w:pPr>
      <w:r>
        <w:rPr>
          <w:sz w:val="20"/>
        </w:rPr>
        <w:t xml:space="preserve">- оплата профессиональной переподготовки и повышения квалификации специалистов со средним медицинским и фармацевтическим образованием;</w:t>
      </w:r>
    </w:p>
    <w:p>
      <w:pPr>
        <w:pStyle w:val="0"/>
        <w:spacing w:before="200" w:line-rule="auto"/>
        <w:ind w:firstLine="540"/>
        <w:jc w:val="both"/>
      </w:pPr>
      <w:r>
        <w:rPr>
          <w:sz w:val="20"/>
        </w:rPr>
        <w:t xml:space="preserve">- единовременные выплаты медицинским работникам, прибывшим на работу в медицинские организации государственной системы здравоохранения города Севастополя из других субъектов Российской Федерации;</w:t>
      </w:r>
    </w:p>
    <w:p>
      <w:pPr>
        <w:pStyle w:val="0"/>
        <w:spacing w:before="200" w:line-rule="auto"/>
        <w:ind w:firstLine="540"/>
        <w:jc w:val="both"/>
      </w:pPr>
      <w:r>
        <w:rPr>
          <w:sz w:val="20"/>
        </w:rPr>
        <w:t xml:space="preserve">- региональные доплаты врачам и специалистам со средним медицинским и фармацевтическим образованием;</w:t>
      </w:r>
    </w:p>
    <w:p>
      <w:pPr>
        <w:pStyle w:val="0"/>
        <w:spacing w:before="200" w:line-rule="auto"/>
        <w:ind w:firstLine="540"/>
        <w:jc w:val="both"/>
      </w:pPr>
      <w:r>
        <w:rPr>
          <w:sz w:val="20"/>
        </w:rPr>
        <w:t xml:space="preserve">- выплата денежных премий победителям конкурсов "Лучший врач года", "Лучший специалист со средним медицинским и фармацевтическим образованием";</w:t>
      </w:r>
    </w:p>
    <w:p>
      <w:pPr>
        <w:pStyle w:val="0"/>
        <w:spacing w:before="200" w:line-rule="auto"/>
        <w:ind w:firstLine="540"/>
        <w:jc w:val="both"/>
      </w:pPr>
      <w:r>
        <w:rPr>
          <w:sz w:val="20"/>
        </w:rPr>
        <w:t xml:space="preserve">- предоставление дополнительных мер социальной поддержки молодым специалистам из числа медицинских работников, впервые приступивших к работе по специальности в государственных медицинских учреждениях города Севастополя;</w:t>
      </w:r>
    </w:p>
    <w:p>
      <w:pPr>
        <w:pStyle w:val="0"/>
        <w:spacing w:before="200" w:line-rule="auto"/>
        <w:ind w:firstLine="540"/>
        <w:jc w:val="both"/>
      </w:pPr>
      <w:r>
        <w:rPr>
          <w:sz w:val="20"/>
        </w:rPr>
        <w:t xml:space="preserve">- возмещение расходов на наем жилых помещений отдельным категориям работников учреждений здравоохранения, подведомственных Департаменту здравоохранения города Севастополя;</w:t>
      </w:r>
    </w:p>
    <w:p>
      <w:pPr>
        <w:pStyle w:val="0"/>
        <w:spacing w:before="200" w:line-rule="auto"/>
        <w:ind w:firstLine="540"/>
        <w:jc w:val="both"/>
      </w:pPr>
      <w:r>
        <w:rPr>
          <w:sz w:val="20"/>
        </w:rPr>
        <w:t xml:space="preserve">- стимулирование главных внештатных специалистов Департамента здравоохранения города Севастополя за счет средств бюджета города Севастополя;</w:t>
      </w:r>
    </w:p>
    <w:p>
      <w:pPr>
        <w:pStyle w:val="0"/>
        <w:spacing w:before="200" w:line-rule="auto"/>
        <w:ind w:firstLine="540"/>
        <w:jc w:val="both"/>
      </w:pPr>
      <w:r>
        <w:rPr>
          <w:sz w:val="20"/>
        </w:rPr>
        <w:t xml:space="preserve">- предоставление дополнительных мер поддержки студентов, обучающихся по целевому набору в образовательных организациях среднего профессионального образования;</w:t>
      </w:r>
    </w:p>
    <w:p>
      <w:pPr>
        <w:pStyle w:val="0"/>
        <w:spacing w:before="200" w:line-rule="auto"/>
        <w:ind w:firstLine="540"/>
        <w:jc w:val="both"/>
      </w:pPr>
      <w:r>
        <w:rPr>
          <w:sz w:val="20"/>
        </w:rPr>
        <w:t xml:space="preserve">- предоставление гранта в форме субсидии Федеральному государственному автономному образовательному учреждению высшего образования "Севастопольский государственный университет" на целевое обучение студентов для получения высшего образования по медицинским специальностям в целях обеспечения кадрами государственных учреждений здравоохранения города Севастополя.</w:t>
      </w:r>
    </w:p>
    <w:p>
      <w:pPr>
        <w:pStyle w:val="0"/>
        <w:spacing w:before="200" w:line-rule="auto"/>
        <w:ind w:firstLine="540"/>
        <w:jc w:val="both"/>
      </w:pPr>
      <w:hyperlink w:history="0" w:anchor="P2340" w:tooltip="ПОДПРОГРАММА 8">
        <w:r>
          <w:rPr>
            <w:sz w:val="20"/>
            <w:color w:val="0000ff"/>
          </w:rPr>
          <w:t xml:space="preserve">Подпрограмма 8</w:t>
        </w:r>
      </w:hyperlink>
      <w:r>
        <w:rPr>
          <w:sz w:val="20"/>
        </w:rPr>
        <w:t xml:space="preserve"> "Реализация региональных проектов в рамках национальных проектов в сфере здравоохранения".</w:t>
      </w:r>
    </w:p>
    <w:p>
      <w:pPr>
        <w:pStyle w:val="0"/>
        <w:spacing w:before="200" w:line-rule="auto"/>
        <w:ind w:firstLine="540"/>
        <w:jc w:val="both"/>
      </w:pPr>
      <w:r>
        <w:rPr>
          <w:sz w:val="20"/>
        </w:rPr>
        <w:t xml:space="preserve">В </w:t>
      </w:r>
      <w:hyperlink w:history="0" w:anchor="P2340" w:tooltip="ПОДПРОГРАММА 8">
        <w:r>
          <w:rPr>
            <w:sz w:val="20"/>
            <w:color w:val="0000ff"/>
          </w:rPr>
          <w:t xml:space="preserve">подпрограмме 8</w:t>
        </w:r>
      </w:hyperlink>
      <w:r>
        <w:rPr>
          <w:sz w:val="20"/>
        </w:rPr>
        <w:t xml:space="preserve"> предусмотрена реализация следующих региональных проектов:</w:t>
      </w:r>
    </w:p>
    <w:p>
      <w:pPr>
        <w:pStyle w:val="0"/>
        <w:spacing w:before="200" w:line-rule="auto"/>
        <w:ind w:firstLine="540"/>
        <w:jc w:val="both"/>
      </w:pPr>
      <w:r>
        <w:rPr>
          <w:sz w:val="20"/>
        </w:rPr>
        <w:t xml:space="preserve">- "Разработка и реализация программы системной поддержки и повышения качества жизни граждан старшего поколения" в рамках национального проекта "Демография" в части здравоохранения;</w:t>
      </w:r>
    </w:p>
    <w:p>
      <w:pPr>
        <w:pStyle w:val="0"/>
        <w:spacing w:before="200" w:line-rule="auto"/>
        <w:ind w:firstLine="540"/>
        <w:jc w:val="both"/>
      </w:pPr>
      <w:r>
        <w:rPr>
          <w:sz w:val="20"/>
        </w:rPr>
        <w:t xml:space="preserve">- "Развитие системы оказания первичной медико-санитарной помощи" в рамках национального проекта "Здравоохранение";</w:t>
      </w:r>
    </w:p>
    <w:p>
      <w:pPr>
        <w:pStyle w:val="0"/>
        <w:spacing w:before="200" w:line-rule="auto"/>
        <w:ind w:firstLine="540"/>
        <w:jc w:val="both"/>
      </w:pPr>
      <w:r>
        <w:rPr>
          <w:sz w:val="20"/>
        </w:rPr>
        <w:t xml:space="preserve">- "Борьба с сердечно-сосудистыми заболеваниями" в рамках национального проекта "Здравоохранение";</w:t>
      </w:r>
    </w:p>
    <w:p>
      <w:pPr>
        <w:pStyle w:val="0"/>
        <w:spacing w:before="200" w:line-rule="auto"/>
        <w:ind w:firstLine="540"/>
        <w:jc w:val="both"/>
      </w:pPr>
      <w:r>
        <w:rPr>
          <w:sz w:val="20"/>
        </w:rPr>
        <w:t xml:space="preserve">- "Борьба с онкологическими заболеваниями" в рамках национального проекта "Здравоохранение";</w:t>
      </w:r>
    </w:p>
    <w:p>
      <w:pPr>
        <w:pStyle w:val="0"/>
        <w:spacing w:before="200" w:line-rule="auto"/>
        <w:ind w:firstLine="540"/>
        <w:jc w:val="both"/>
      </w:pPr>
      <w:r>
        <w:rPr>
          <w:sz w:val="20"/>
        </w:rPr>
        <w:t xml:space="preserve">- "Создание единого цифрового контура в здравоохранении на основе единой государственной информационной системы здравоохранения (ЕГИСЗ)" в рамках национального проекта "Здравоохранение";</w:t>
      </w:r>
    </w:p>
    <w:p>
      <w:pPr>
        <w:pStyle w:val="0"/>
        <w:spacing w:before="200" w:line-rule="auto"/>
        <w:ind w:firstLine="540"/>
        <w:jc w:val="both"/>
      </w:pPr>
      <w:r>
        <w:rPr>
          <w:sz w:val="20"/>
        </w:rPr>
        <w:t xml:space="preserve">- "Модернизация первичного звена здравоохранения Российской Федерации (город федерального значения Севастополь)";</w:t>
      </w:r>
    </w:p>
    <w:p>
      <w:pPr>
        <w:pStyle w:val="0"/>
        <w:spacing w:before="200" w:line-rule="auto"/>
        <w:ind w:firstLine="540"/>
        <w:jc w:val="both"/>
      </w:pPr>
      <w:r>
        <w:rPr>
          <w:sz w:val="20"/>
        </w:rPr>
        <w:t xml:space="preserve">- "Развитие детского здравоохранения, включая создание современной инфраструктуры оказания медицинской помощи" в рамках национального проекта "Здравоохранение" (без финансового обеспечения);</w:t>
      </w:r>
    </w:p>
    <w:p>
      <w:pPr>
        <w:pStyle w:val="0"/>
        <w:spacing w:before="200" w:line-rule="auto"/>
        <w:ind w:firstLine="540"/>
        <w:jc w:val="both"/>
      </w:pPr>
      <w:r>
        <w:rPr>
          <w:sz w:val="20"/>
        </w:rPr>
        <w:t xml:space="preserve">- "Обеспечение медицинских организаций системы здравоохранения квалифицированными кадрами" в рамках национального проекта "Здравоохранение" (без финансового обеспечения);</w:t>
      </w:r>
    </w:p>
    <w:p>
      <w:pPr>
        <w:pStyle w:val="0"/>
        <w:spacing w:before="200" w:line-rule="auto"/>
        <w:ind w:firstLine="540"/>
        <w:jc w:val="both"/>
      </w:pPr>
      <w:r>
        <w:rPr>
          <w:sz w:val="20"/>
        </w:rPr>
        <w:t xml:space="preserve">- "Формирование системы мотивации граждан к здоровому образу жизни, включая здоровое питание и отказ от вредных привычек" в рамках национального проекта "Демография" (без финансового обеспечения).</w:t>
      </w:r>
    </w:p>
    <w:p>
      <w:pPr>
        <w:pStyle w:val="0"/>
        <w:spacing w:before="200" w:line-rule="auto"/>
        <w:ind w:firstLine="540"/>
        <w:jc w:val="both"/>
      </w:pPr>
      <w:hyperlink w:history="0" w:anchor="P2692" w:tooltip="ПОДПРОГРАММА 9">
        <w:r>
          <w:rPr>
            <w:sz w:val="20"/>
            <w:color w:val="0000ff"/>
          </w:rPr>
          <w:t xml:space="preserve">Подпрограмма 9</w:t>
        </w:r>
      </w:hyperlink>
      <w:r>
        <w:rPr>
          <w:sz w:val="20"/>
        </w:rPr>
        <w:t xml:space="preserve"> "Приведение медицинских учреждений к стандартам оснащения".</w:t>
      </w:r>
    </w:p>
    <w:p>
      <w:pPr>
        <w:pStyle w:val="0"/>
        <w:spacing w:before="200" w:line-rule="auto"/>
        <w:ind w:firstLine="540"/>
        <w:jc w:val="both"/>
      </w:pPr>
      <w:r>
        <w:rPr>
          <w:sz w:val="20"/>
        </w:rPr>
        <w:t xml:space="preserve">В </w:t>
      </w:r>
      <w:hyperlink w:history="0" w:anchor="P2692" w:tooltip="ПОДПРОГРАММА 9">
        <w:r>
          <w:rPr>
            <w:sz w:val="20"/>
            <w:color w:val="0000ff"/>
          </w:rPr>
          <w:t xml:space="preserve">подпрограмме 9</w:t>
        </w:r>
      </w:hyperlink>
      <w:r>
        <w:rPr>
          <w:sz w:val="20"/>
        </w:rPr>
        <w:t xml:space="preserve"> предусмотрены следующие мероприятия:</w:t>
      </w:r>
    </w:p>
    <w:p>
      <w:pPr>
        <w:pStyle w:val="0"/>
        <w:spacing w:before="200" w:line-rule="auto"/>
        <w:ind w:firstLine="540"/>
        <w:jc w:val="both"/>
      </w:pPr>
      <w:r>
        <w:rPr>
          <w:sz w:val="20"/>
        </w:rPr>
        <w:t xml:space="preserve">- мероприятия, необходимые для приведения учреждений первичной медико-санитарной помощи к стандартам оснащения;</w:t>
      </w:r>
    </w:p>
    <w:p>
      <w:pPr>
        <w:pStyle w:val="0"/>
        <w:spacing w:before="200" w:line-rule="auto"/>
        <w:ind w:firstLine="540"/>
        <w:jc w:val="both"/>
      </w:pPr>
      <w:r>
        <w:rPr>
          <w:sz w:val="20"/>
        </w:rPr>
        <w:t xml:space="preserve">- мероприятия, необходимые для приведения учреждений, оказывающих специализированную и скорую медицинскую помощь, к стандартам оснащения;</w:t>
      </w:r>
    </w:p>
    <w:p>
      <w:pPr>
        <w:pStyle w:val="0"/>
        <w:spacing w:before="200" w:line-rule="auto"/>
        <w:ind w:firstLine="540"/>
        <w:jc w:val="both"/>
      </w:pPr>
      <w:r>
        <w:rPr>
          <w:sz w:val="20"/>
        </w:rPr>
        <w:t xml:space="preserve">- мероприятия, необходимые для приведения учреждений охраны здоровья матери и ребенка к стандартам оснащения;</w:t>
      </w:r>
    </w:p>
    <w:p>
      <w:pPr>
        <w:pStyle w:val="0"/>
        <w:spacing w:before="200" w:line-rule="auto"/>
        <w:ind w:firstLine="540"/>
        <w:jc w:val="both"/>
      </w:pPr>
      <w:r>
        <w:rPr>
          <w:sz w:val="20"/>
        </w:rPr>
        <w:t xml:space="preserve">- мероприятия, необходимые для приведения прочих учреждений здравоохранения к стандартам оснащения;</w:t>
      </w:r>
    </w:p>
    <w:p>
      <w:pPr>
        <w:pStyle w:val="0"/>
        <w:spacing w:before="200" w:line-rule="auto"/>
        <w:ind w:firstLine="540"/>
        <w:jc w:val="both"/>
      </w:pPr>
      <w:r>
        <w:rPr>
          <w:sz w:val="20"/>
        </w:rPr>
        <w:t xml:space="preserve">- мероприятия по комплексной безопасности (информатизация здравоохранения, противодействие ЧС, антитеррористические мероприятия, охрана, повышение энергоэффективности медицинских учреждений, установка систем пожарной безопасности, доступная среда для малообеспеченных групп населения и пр.) учреждений, подведомственных Департаменту здравоохранения города Севастополя.</w:t>
      </w:r>
    </w:p>
    <w:p>
      <w:pPr>
        <w:pStyle w:val="0"/>
      </w:pPr>
      <w:r>
        <w:rPr>
          <w:sz w:val="20"/>
        </w:rPr>
      </w:r>
    </w:p>
    <w:bookmarkStart w:id="472" w:name="P472"/>
    <w:bookmarkEnd w:id="472"/>
    <w:p>
      <w:pPr>
        <w:pStyle w:val="2"/>
        <w:outlineLvl w:val="1"/>
        <w:jc w:val="center"/>
      </w:pPr>
      <w:r>
        <w:rPr>
          <w:sz w:val="20"/>
        </w:rPr>
        <w:t xml:space="preserve">IV. Характеристика мер государственного</w:t>
      </w:r>
    </w:p>
    <w:p>
      <w:pPr>
        <w:pStyle w:val="2"/>
        <w:jc w:val="center"/>
      </w:pPr>
      <w:r>
        <w:rPr>
          <w:sz w:val="20"/>
        </w:rPr>
        <w:t xml:space="preserve">и правового регулирования</w:t>
      </w:r>
    </w:p>
    <w:p>
      <w:pPr>
        <w:pStyle w:val="0"/>
        <w:jc w:val="center"/>
      </w:pPr>
      <w:r>
        <w:rPr>
          <w:sz w:val="20"/>
        </w:rPr>
        <w:t xml:space="preserve">(в ред. </w:t>
      </w:r>
      <w:hyperlink w:history="0" r:id="rId80"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0"/>
        <w:ind w:firstLine="540"/>
        <w:jc w:val="both"/>
      </w:pPr>
      <w:r>
        <w:rPr>
          <w:sz w:val="20"/>
        </w:rPr>
        <w:t xml:space="preserve">Программа предусматривает применение мер государственного и правового регулирования в сфере здравоохранения.</w:t>
      </w:r>
    </w:p>
    <w:p>
      <w:pPr>
        <w:pStyle w:val="0"/>
        <w:spacing w:before="200" w:line-rule="auto"/>
        <w:ind w:firstLine="540"/>
        <w:jc w:val="both"/>
      </w:pPr>
      <w:r>
        <w:rPr>
          <w:sz w:val="20"/>
        </w:rPr>
        <w:t xml:space="preserve">Основные меры правового регулирования в сфере здравоохранения, направленные на достижение целей, конечных результатов Программы, предусматривают разработку и принятие ряда нормативных правовых актов, в том числе законов города Севастополя, постановлений Правительства Севастополя и приказов ДЗГС.</w:t>
      </w:r>
    </w:p>
    <w:p>
      <w:pPr>
        <w:pStyle w:val="0"/>
        <w:spacing w:before="200" w:line-rule="auto"/>
        <w:ind w:firstLine="540"/>
        <w:jc w:val="both"/>
      </w:pPr>
      <w:r>
        <w:rPr>
          <w:sz w:val="20"/>
        </w:rPr>
        <w:t xml:space="preserve">В Программу будут вноситься изменения с учетом изменений, вносимых в федеральное законодательство и законодательство города Севастополя в сфере здравоохранения.</w:t>
      </w:r>
    </w:p>
    <w:p>
      <w:pPr>
        <w:pStyle w:val="0"/>
        <w:spacing w:before="200" w:line-rule="auto"/>
        <w:ind w:firstLine="540"/>
        <w:jc w:val="both"/>
      </w:pPr>
      <w:r>
        <w:rPr>
          <w:sz w:val="20"/>
        </w:rPr>
        <w:t xml:space="preserve">Сведения о мерах правового регулирования (перечень нормативных правовых актов, их основные положения и планируемые сроки принятия) в сфере реализации Программы представлены в </w:t>
      </w:r>
      <w:hyperlink w:history="0" w:anchor="P5791" w:tooltip="Перечень мер правового регулирования в сфере реализации">
        <w:r>
          <w:rPr>
            <w:sz w:val="20"/>
            <w:color w:val="0000ff"/>
          </w:rPr>
          <w:t xml:space="preserve">приложении N 3</w:t>
        </w:r>
      </w:hyperlink>
      <w:r>
        <w:rPr>
          <w:sz w:val="20"/>
        </w:rPr>
        <w:t xml:space="preserve"> к Программе.</w:t>
      </w:r>
    </w:p>
    <w:p>
      <w:pPr>
        <w:pStyle w:val="0"/>
      </w:pPr>
      <w:r>
        <w:rPr>
          <w:sz w:val="20"/>
        </w:rPr>
      </w:r>
    </w:p>
    <w:p>
      <w:pPr>
        <w:pStyle w:val="2"/>
        <w:outlineLvl w:val="1"/>
        <w:jc w:val="center"/>
      </w:pPr>
      <w:r>
        <w:rPr>
          <w:sz w:val="20"/>
        </w:rPr>
        <w:t xml:space="preserve">V. Ресурсное обеспечение, необходимое</w:t>
      </w:r>
    </w:p>
    <w:p>
      <w:pPr>
        <w:pStyle w:val="2"/>
        <w:jc w:val="center"/>
      </w:pPr>
      <w:r>
        <w:rPr>
          <w:sz w:val="20"/>
        </w:rPr>
        <w:t xml:space="preserve">для реализации Программы</w:t>
      </w:r>
    </w:p>
    <w:p>
      <w:pPr>
        <w:pStyle w:val="0"/>
        <w:jc w:val="center"/>
      </w:pPr>
      <w:r>
        <w:rPr>
          <w:sz w:val="20"/>
        </w:rPr>
        <w:t xml:space="preserve">(в ред. </w:t>
      </w:r>
      <w:hyperlink w:history="0" r:id="rId81"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0"/>
        <w:ind w:firstLine="540"/>
        <w:jc w:val="both"/>
      </w:pPr>
      <w:r>
        <w:rPr>
          <w:sz w:val="20"/>
        </w:rPr>
        <w:t xml:space="preserve">Источниками финансирования мероприятий Программы являются средства федерального бюджета, средства бюджета города Севастополя, средства бюджетов других субъектов Российской Федерации (город Москва).</w:t>
      </w:r>
    </w:p>
    <w:p>
      <w:pPr>
        <w:pStyle w:val="0"/>
        <w:spacing w:before="200" w:line-rule="auto"/>
        <w:ind w:firstLine="540"/>
        <w:jc w:val="both"/>
      </w:pPr>
      <w:r>
        <w:rPr>
          <w:sz w:val="20"/>
        </w:rPr>
        <w:t xml:space="preserve">Общий объем финансового обеспечения Программы в 2022 - 2030 годах составляет 88735010,5 тыс. руб., из них:</w:t>
      </w:r>
    </w:p>
    <w:p>
      <w:pPr>
        <w:pStyle w:val="0"/>
        <w:jc w:val="both"/>
      </w:pPr>
      <w:r>
        <w:rPr>
          <w:sz w:val="20"/>
        </w:rPr>
        <w:t xml:space="preserve">(в ред. </w:t>
      </w:r>
      <w:hyperlink w:history="0" r:id="rId8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средства федерального бюджета - 24918766,8 тыс. руб., в том числе:</w:t>
      </w:r>
    </w:p>
    <w:p>
      <w:pPr>
        <w:pStyle w:val="0"/>
        <w:jc w:val="both"/>
      </w:pPr>
      <w:r>
        <w:rPr>
          <w:sz w:val="20"/>
        </w:rPr>
        <w:t xml:space="preserve">(в ред. </w:t>
      </w:r>
      <w:hyperlink w:history="0" r:id="rId83"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2022 г. - 1478906,3 тыс. руб.;</w:t>
      </w:r>
    </w:p>
    <w:p>
      <w:pPr>
        <w:pStyle w:val="0"/>
        <w:jc w:val="both"/>
      </w:pPr>
      <w:r>
        <w:rPr>
          <w:sz w:val="20"/>
        </w:rPr>
        <w:t xml:space="preserve">(в ред. </w:t>
      </w:r>
      <w:hyperlink w:history="0" r:id="rId84"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2023 г. - 2532059,7 тыс. руб.;</w:t>
      </w:r>
    </w:p>
    <w:p>
      <w:pPr>
        <w:pStyle w:val="0"/>
        <w:jc w:val="both"/>
      </w:pPr>
      <w:r>
        <w:rPr>
          <w:sz w:val="20"/>
        </w:rPr>
        <w:t xml:space="preserve">(в ред. </w:t>
      </w:r>
      <w:hyperlink w:history="0" r:id="rId85"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2024 г. - 1909081,9 тыс. руб.;</w:t>
      </w:r>
    </w:p>
    <w:p>
      <w:pPr>
        <w:pStyle w:val="0"/>
        <w:jc w:val="both"/>
      </w:pPr>
      <w:r>
        <w:rPr>
          <w:sz w:val="20"/>
        </w:rPr>
        <w:t xml:space="preserve">(в ред. </w:t>
      </w:r>
      <w:hyperlink w:history="0" r:id="rId86"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2025 г. - 4943404,7 тыс. руб.;</w:t>
      </w:r>
    </w:p>
    <w:p>
      <w:pPr>
        <w:pStyle w:val="0"/>
        <w:jc w:val="both"/>
      </w:pPr>
      <w:r>
        <w:rPr>
          <w:sz w:val="20"/>
        </w:rPr>
        <w:t xml:space="preserve">(в ред. </w:t>
      </w:r>
      <w:hyperlink w:history="0" r:id="rId87"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2026 г. - 8281161,2 тыс. руб.;</w:t>
      </w:r>
    </w:p>
    <w:p>
      <w:pPr>
        <w:pStyle w:val="0"/>
        <w:jc w:val="both"/>
      </w:pPr>
      <w:r>
        <w:rPr>
          <w:sz w:val="20"/>
        </w:rPr>
        <w:t xml:space="preserve">(в ред. </w:t>
      </w:r>
      <w:hyperlink w:history="0" r:id="rId88"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2027 г. - 4453170,4 тыс. руб.;</w:t>
      </w:r>
    </w:p>
    <w:p>
      <w:pPr>
        <w:pStyle w:val="0"/>
        <w:jc w:val="both"/>
      </w:pPr>
      <w:r>
        <w:rPr>
          <w:sz w:val="20"/>
        </w:rPr>
        <w:t xml:space="preserve">(в ред. </w:t>
      </w:r>
      <w:hyperlink w:history="0" r:id="rId89"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2028 г. - 428238,2 тыс. руб.;</w:t>
      </w:r>
    </w:p>
    <w:p>
      <w:pPr>
        <w:pStyle w:val="0"/>
        <w:jc w:val="both"/>
      </w:pPr>
      <w:r>
        <w:rPr>
          <w:sz w:val="20"/>
        </w:rPr>
        <w:t xml:space="preserve">(в ред. </w:t>
      </w:r>
      <w:hyperlink w:history="0" r:id="rId90"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2029 г. - 440215,7 тыс. руб.;</w:t>
      </w:r>
    </w:p>
    <w:p>
      <w:pPr>
        <w:pStyle w:val="0"/>
        <w:jc w:val="both"/>
      </w:pPr>
      <w:r>
        <w:rPr>
          <w:sz w:val="20"/>
        </w:rPr>
        <w:t xml:space="preserve">(в ред. </w:t>
      </w:r>
      <w:hyperlink w:history="0" r:id="rId91"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2030 г. - 452528,7 тыс. руб.;</w:t>
      </w:r>
    </w:p>
    <w:p>
      <w:pPr>
        <w:pStyle w:val="0"/>
        <w:jc w:val="both"/>
      </w:pPr>
      <w:r>
        <w:rPr>
          <w:sz w:val="20"/>
        </w:rPr>
        <w:t xml:space="preserve">(в ред. </w:t>
      </w:r>
      <w:hyperlink w:history="0" r:id="rId9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средства бюджета города Севастополя - 57684567,8 тыс. руб., в том числе:</w:t>
      </w:r>
    </w:p>
    <w:p>
      <w:pPr>
        <w:pStyle w:val="0"/>
        <w:jc w:val="both"/>
      </w:pPr>
      <w:r>
        <w:rPr>
          <w:sz w:val="20"/>
        </w:rPr>
        <w:t xml:space="preserve">(в ред. </w:t>
      </w:r>
      <w:hyperlink w:history="0" r:id="rId93"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2022 г. - 5282688,2 тыс. руб.;</w:t>
      </w:r>
    </w:p>
    <w:p>
      <w:pPr>
        <w:pStyle w:val="0"/>
        <w:jc w:val="both"/>
      </w:pPr>
      <w:r>
        <w:rPr>
          <w:sz w:val="20"/>
        </w:rPr>
        <w:t xml:space="preserve">(в ред. </w:t>
      </w:r>
      <w:hyperlink w:history="0" r:id="rId94"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2023 г. - 6633862,2 тыс. руб.;</w:t>
      </w:r>
    </w:p>
    <w:p>
      <w:pPr>
        <w:pStyle w:val="0"/>
        <w:jc w:val="both"/>
      </w:pPr>
      <w:r>
        <w:rPr>
          <w:sz w:val="20"/>
        </w:rPr>
        <w:t xml:space="preserve">(в ред. </w:t>
      </w:r>
      <w:hyperlink w:history="0" r:id="rId95"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2024 г. - 5614398,7 тыс. руб.;</w:t>
      </w:r>
    </w:p>
    <w:p>
      <w:pPr>
        <w:pStyle w:val="0"/>
        <w:jc w:val="both"/>
      </w:pPr>
      <w:r>
        <w:rPr>
          <w:sz w:val="20"/>
        </w:rPr>
        <w:t xml:space="preserve">(в ред. </w:t>
      </w:r>
      <w:hyperlink w:history="0" r:id="rId96"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2025 г. - 6309206,9 тыс. руб.;</w:t>
      </w:r>
    </w:p>
    <w:p>
      <w:pPr>
        <w:pStyle w:val="0"/>
        <w:jc w:val="both"/>
      </w:pPr>
      <w:r>
        <w:rPr>
          <w:sz w:val="20"/>
        </w:rPr>
        <w:t xml:space="preserve">(в ред. </w:t>
      </w:r>
      <w:hyperlink w:history="0" r:id="rId97"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2026 г. - 6934064,7 тыс. руб.;</w:t>
      </w:r>
    </w:p>
    <w:p>
      <w:pPr>
        <w:pStyle w:val="0"/>
        <w:jc w:val="both"/>
      </w:pPr>
      <w:r>
        <w:rPr>
          <w:sz w:val="20"/>
        </w:rPr>
        <w:t xml:space="preserve">(в ред. </w:t>
      </w:r>
      <w:hyperlink w:history="0" r:id="rId98"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2027 г. - 6826905,9 тыс. руб.;</w:t>
      </w:r>
    </w:p>
    <w:p>
      <w:pPr>
        <w:pStyle w:val="0"/>
        <w:jc w:val="both"/>
      </w:pPr>
      <w:r>
        <w:rPr>
          <w:sz w:val="20"/>
        </w:rPr>
        <w:t xml:space="preserve">(в ред. </w:t>
      </w:r>
      <w:hyperlink w:history="0" r:id="rId99"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2028 г. - 6511556,9 тыс. руб.;</w:t>
      </w:r>
    </w:p>
    <w:p>
      <w:pPr>
        <w:pStyle w:val="0"/>
        <w:jc w:val="both"/>
      </w:pPr>
      <w:r>
        <w:rPr>
          <w:sz w:val="20"/>
        </w:rPr>
        <w:t xml:space="preserve">(в ред. </w:t>
      </w:r>
      <w:hyperlink w:history="0" r:id="rId100"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2029 г. - 6692788,9 тыс. руб.;</w:t>
      </w:r>
    </w:p>
    <w:p>
      <w:pPr>
        <w:pStyle w:val="0"/>
        <w:jc w:val="both"/>
      </w:pPr>
      <w:r>
        <w:rPr>
          <w:sz w:val="20"/>
        </w:rPr>
        <w:t xml:space="preserve">(в ред. </w:t>
      </w:r>
      <w:hyperlink w:history="0" r:id="rId101"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2030 г. - 6879095,4 тыс. руб.;</w:t>
      </w:r>
    </w:p>
    <w:p>
      <w:pPr>
        <w:pStyle w:val="0"/>
        <w:jc w:val="both"/>
      </w:pPr>
      <w:r>
        <w:rPr>
          <w:sz w:val="20"/>
        </w:rPr>
        <w:t xml:space="preserve">(в ред. </w:t>
      </w:r>
      <w:hyperlink w:history="0" r:id="rId10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средства бюджетов других субъектов Российской Федерации (город Москва) - 6131675,9 тыс. руб., в том числе:</w:t>
      </w:r>
    </w:p>
    <w:p>
      <w:pPr>
        <w:pStyle w:val="0"/>
        <w:jc w:val="both"/>
      </w:pPr>
      <w:r>
        <w:rPr>
          <w:sz w:val="20"/>
        </w:rPr>
        <w:t xml:space="preserve">(в ред. </w:t>
      </w:r>
      <w:hyperlink w:history="0" r:id="rId103"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2022 г. - 2991381,0 тыс. руб.;</w:t>
      </w:r>
    </w:p>
    <w:p>
      <w:pPr>
        <w:pStyle w:val="0"/>
        <w:jc w:val="both"/>
      </w:pPr>
      <w:r>
        <w:rPr>
          <w:sz w:val="20"/>
        </w:rPr>
        <w:t xml:space="preserve">(в ред. </w:t>
      </w:r>
      <w:hyperlink w:history="0" r:id="rId104"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2023 г. - 3140294,9 тыс. руб.;</w:t>
      </w:r>
    </w:p>
    <w:p>
      <w:pPr>
        <w:pStyle w:val="0"/>
        <w:jc w:val="both"/>
      </w:pPr>
      <w:r>
        <w:rPr>
          <w:sz w:val="20"/>
        </w:rPr>
        <w:t xml:space="preserve">(в ред. </w:t>
      </w:r>
      <w:hyperlink w:history="0" r:id="rId105"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внебюджетные средства - 0,0 тыс. руб., в том числе:</w:t>
      </w:r>
    </w:p>
    <w:p>
      <w:pPr>
        <w:pStyle w:val="0"/>
        <w:spacing w:before="200" w:line-rule="auto"/>
        <w:ind w:firstLine="540"/>
        <w:jc w:val="both"/>
      </w:pPr>
      <w:r>
        <w:rPr>
          <w:sz w:val="20"/>
        </w:rPr>
        <w:t xml:space="preserve">2021 г. - 0,0 тыс. руб.;</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Сведения о ресурсном обеспечении и прогнозная (справочная) оценка расходов на реализацию целей Программы приведены в </w:t>
      </w:r>
      <w:hyperlink w:history="0" w:anchor="P5821" w:tooltip="Финансовое обеспечение реализации государственной программы">
        <w:r>
          <w:rPr>
            <w:sz w:val="20"/>
            <w:color w:val="0000ff"/>
          </w:rPr>
          <w:t xml:space="preserve">приложении N 4</w:t>
        </w:r>
      </w:hyperlink>
      <w:r>
        <w:rPr>
          <w:sz w:val="20"/>
        </w:rPr>
        <w:t xml:space="preserve"> к Программе.</w:t>
      </w:r>
    </w:p>
    <w:p>
      <w:pPr>
        <w:pStyle w:val="0"/>
        <w:spacing w:before="200" w:line-rule="auto"/>
        <w:ind w:firstLine="540"/>
        <w:jc w:val="both"/>
      </w:pPr>
      <w:r>
        <w:rPr>
          <w:sz w:val="20"/>
        </w:rPr>
        <w:t xml:space="preserve">Объем финансирования Программы ежегодно подлежит уточнению в соответствии с федеральным законом о бюджете Российской Федерации на очередной финансовый год и плановый период, а также законом города Севастополя о бюджете города Севастополя на очередной финансовый год и плановый период.</w:t>
      </w:r>
    </w:p>
    <w:p>
      <w:pPr>
        <w:pStyle w:val="0"/>
        <w:spacing w:before="200" w:line-rule="auto"/>
        <w:ind w:firstLine="540"/>
        <w:jc w:val="both"/>
      </w:pPr>
      <w:r>
        <w:rPr>
          <w:sz w:val="20"/>
        </w:rPr>
        <w:t xml:space="preserve">Распределение средств в рамках отдельных мероприятий Программы между подведомственными учреждениями ДЗГС, объектами, направлениями расходов производится главными распорядителями бюджетных средств, ответственными за реализацию данных мероприятий.</w:t>
      </w:r>
    </w:p>
    <w:p>
      <w:pPr>
        <w:pStyle w:val="0"/>
        <w:ind w:firstLine="540"/>
        <w:jc w:val="both"/>
      </w:pPr>
      <w:r>
        <w:rPr>
          <w:sz w:val="20"/>
        </w:rPr>
      </w:r>
    </w:p>
    <w:p>
      <w:pPr>
        <w:pStyle w:val="2"/>
        <w:outlineLvl w:val="1"/>
        <w:jc w:val="center"/>
      </w:pPr>
      <w:r>
        <w:rPr>
          <w:sz w:val="20"/>
        </w:rPr>
        <w:t xml:space="preserve">VI. Риски реализации Программы и меры</w:t>
      </w:r>
    </w:p>
    <w:p>
      <w:pPr>
        <w:pStyle w:val="2"/>
        <w:jc w:val="center"/>
      </w:pPr>
      <w:r>
        <w:rPr>
          <w:sz w:val="20"/>
        </w:rPr>
        <w:t xml:space="preserve">по управлению этими рисками</w:t>
      </w:r>
    </w:p>
    <w:p>
      <w:pPr>
        <w:pStyle w:val="0"/>
        <w:jc w:val="center"/>
      </w:pPr>
      <w:r>
        <w:rPr>
          <w:sz w:val="20"/>
        </w:rPr>
        <w:t xml:space="preserve">(в ред. </w:t>
      </w:r>
      <w:hyperlink w:history="0" r:id="rId106"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pPr>
      <w:r>
        <w:rPr>
          <w:sz w:val="20"/>
        </w:rPr>
      </w:r>
    </w:p>
    <w:p>
      <w:pPr>
        <w:pStyle w:val="0"/>
        <w:ind w:firstLine="540"/>
        <w:jc w:val="both"/>
      </w:pPr>
      <w:r>
        <w:rPr>
          <w:sz w:val="20"/>
        </w:rPr>
        <w:t xml:space="preserve">Реализация Программы сопряжена с возникновением и преодолением различных рисков, которые могут существенным образом повлиять на достижение запланированных результатов.</w:t>
      </w:r>
    </w:p>
    <w:p>
      <w:pPr>
        <w:pStyle w:val="0"/>
        <w:spacing w:before="200" w:line-rule="auto"/>
        <w:ind w:firstLine="540"/>
        <w:jc w:val="both"/>
      </w:pPr>
      <w:r>
        <w:rPr>
          <w:sz w:val="20"/>
        </w:rPr>
        <w:t xml:space="preserve">Управление рисками реализации Программы включает:</w:t>
      </w:r>
    </w:p>
    <w:p>
      <w:pPr>
        <w:pStyle w:val="0"/>
        <w:spacing w:before="200" w:line-rule="auto"/>
        <w:ind w:firstLine="540"/>
        <w:jc w:val="both"/>
      </w:pPr>
      <w:r>
        <w:rPr>
          <w:sz w:val="20"/>
        </w:rPr>
        <w:t xml:space="preserve">- предварительную идентификацию рисков;</w:t>
      </w:r>
    </w:p>
    <w:p>
      <w:pPr>
        <w:pStyle w:val="0"/>
        <w:spacing w:before="200" w:line-rule="auto"/>
        <w:ind w:firstLine="540"/>
        <w:jc w:val="both"/>
      </w:pPr>
      <w:r>
        <w:rPr>
          <w:sz w:val="20"/>
        </w:rPr>
        <w:t xml:space="preserve">- оценку вероятности возникновения и степени влияния рисков на достижение запланированных результатов Программы;</w:t>
      </w:r>
    </w:p>
    <w:p>
      <w:pPr>
        <w:pStyle w:val="0"/>
        <w:spacing w:before="200" w:line-rule="auto"/>
        <w:ind w:firstLine="540"/>
        <w:jc w:val="both"/>
      </w:pPr>
      <w:r>
        <w:rPr>
          <w:sz w:val="20"/>
        </w:rPr>
        <w:t xml:space="preserve">- текущий мониторинг наступления рисков;</w:t>
      </w:r>
    </w:p>
    <w:p>
      <w:pPr>
        <w:pStyle w:val="0"/>
        <w:spacing w:before="200" w:line-rule="auto"/>
        <w:ind w:firstLine="540"/>
        <w:jc w:val="both"/>
      </w:pPr>
      <w:r>
        <w:rPr>
          <w:sz w:val="20"/>
        </w:rPr>
        <w:t xml:space="preserve">- планирование и осуществление мер по снижению вероятности и уменьшению негативных последствий возникновения рисков.</w:t>
      </w:r>
    </w:p>
    <w:p>
      <w:pPr>
        <w:pStyle w:val="0"/>
        <w:spacing w:before="200" w:line-rule="auto"/>
        <w:ind w:firstLine="540"/>
        <w:jc w:val="both"/>
      </w:pPr>
      <w:r>
        <w:rPr>
          <w:sz w:val="20"/>
        </w:rPr>
        <w:t xml:space="preserve">На ход реализации Программы существенное влияние оказывают финансовые и правовые группы рисков.</w:t>
      </w:r>
    </w:p>
    <w:p>
      <w:pPr>
        <w:pStyle w:val="0"/>
        <w:spacing w:before="200" w:line-rule="auto"/>
        <w:ind w:firstLine="540"/>
        <w:jc w:val="both"/>
      </w:pPr>
      <w:r>
        <w:rPr>
          <w:sz w:val="20"/>
        </w:rPr>
        <w:t xml:space="preserve">Наиболее значимым финансовым риском является недостаток финансирования Программы, причины возникновения которого в большей степени определяются внешними факторами (сокращение расходов бюджета города Севастополя вследствие недостаточности доходной части), а также увеличением расходов медицинских организаций на выплату заработной платы медицинским и прочим работникам, связанных с ростом целевого показателя уровня среднемесячной начисленной заработной платы, повышением размера оплаты труда с 01.05.2020 в соответствии с </w:t>
      </w:r>
      <w:hyperlink w:history="0" r:id="rId107" w:tooltip="Постановление Правительства Севастополя от 22.05.2020 N 216-ПП &quot;О внесении изменений в постановление Правительства Севастополя от 27.04.2017 N 349-ПП &quot;Об установлении базовых окладов (базовых должностных окладов) работникам государственных учреждений в сфере здравоохранения города Севастополя и признании утратившим силу постановления Правительства Севастополя от 14.04.2015 N 280-ПП&quot; {КонсультантПлюс}">
        <w:r>
          <w:rPr>
            <w:sz w:val="20"/>
            <w:color w:val="0000ff"/>
          </w:rPr>
          <w:t xml:space="preserve">постановлением</w:t>
        </w:r>
      </w:hyperlink>
      <w:r>
        <w:rPr>
          <w:sz w:val="20"/>
        </w:rPr>
        <w:t xml:space="preserve"> Правительства Севастополя от 22.05.2020 N 216-ПП "О внесении изменений в постановление Правительства Севастополя от 27.04.2017 N 349-ПП "Об установлении базовых окладов (базовых должностных окладов) работникам государственных учреждений в сфере здравоохранения города Севастополя и признании утратившим силу постановления Правительства Севастополя от 14.04.2015 N 280-ПП" и ежегодным ростом "целевого показателя по заработной плате медицинским работникам" (на 2022 год - 10,50%, на 2023 год - 10,35%).</w:t>
      </w:r>
    </w:p>
    <w:p>
      <w:pPr>
        <w:pStyle w:val="0"/>
        <w:spacing w:before="200" w:line-rule="auto"/>
        <w:ind w:firstLine="540"/>
        <w:jc w:val="both"/>
      </w:pPr>
      <w:r>
        <w:rPr>
          <w:sz w:val="20"/>
        </w:rPr>
        <w:t xml:space="preserve">Наступление данного риска влечет за собой полное или частичное невыполнение мероприятий и, как следствие, недостижение целевых значений индикаторов (показателей) Программы.</w:t>
      </w:r>
    </w:p>
    <w:p>
      <w:pPr>
        <w:pStyle w:val="0"/>
        <w:spacing w:before="200" w:line-rule="auto"/>
        <w:ind w:firstLine="540"/>
        <w:jc w:val="both"/>
      </w:pPr>
      <w:r>
        <w:rPr>
          <w:sz w:val="20"/>
        </w:rPr>
        <w:t xml:space="preserve">Снижение вероятности и минимизация последствий наступления рисков, связанных с недостатком финансирования Программы, осуществляются при помощи следующих мер:</w:t>
      </w:r>
    </w:p>
    <w:p>
      <w:pPr>
        <w:pStyle w:val="0"/>
        <w:spacing w:before="200" w:line-rule="auto"/>
        <w:ind w:firstLine="540"/>
        <w:jc w:val="both"/>
      </w:pPr>
      <w:r>
        <w:rPr>
          <w:sz w:val="20"/>
        </w:rPr>
        <w:t xml:space="preserve">- рационального использования имеющихся средств (получение экономии при осуществлении закупок для государственных нужд);</w:t>
      </w:r>
    </w:p>
    <w:p>
      <w:pPr>
        <w:pStyle w:val="0"/>
        <w:spacing w:before="200" w:line-rule="auto"/>
        <w:ind w:firstLine="540"/>
        <w:jc w:val="both"/>
      </w:pPr>
      <w:r>
        <w:rPr>
          <w:sz w:val="20"/>
        </w:rPr>
        <w:t xml:space="preserve">- составления и исполнения ежемесячного графика финансирования и своевременного использования средств при реализации мероприятий Программы;</w:t>
      </w:r>
    </w:p>
    <w:p>
      <w:pPr>
        <w:pStyle w:val="0"/>
        <w:spacing w:before="200" w:line-rule="auto"/>
        <w:ind w:firstLine="540"/>
        <w:jc w:val="both"/>
      </w:pPr>
      <w:r>
        <w:rPr>
          <w:sz w:val="20"/>
        </w:rPr>
        <w:t xml:space="preserve">- корректировки Программы в соответствии с фактическим уровнем финансирования и перераспределения средств между приоритетными направлениями Программы.</w:t>
      </w:r>
    </w:p>
    <w:p>
      <w:pPr>
        <w:pStyle w:val="0"/>
        <w:spacing w:before="200" w:line-rule="auto"/>
        <w:ind w:firstLine="540"/>
        <w:jc w:val="both"/>
      </w:pPr>
      <w:r>
        <w:rPr>
          <w:sz w:val="20"/>
        </w:rPr>
        <w:t xml:space="preserve">Правовые риски реализации Программы связаны с возможными изменениями законодательства и приоритетов государственной политики в сфере реализации Программы на федеральном уровне.</w:t>
      </w:r>
    </w:p>
    <w:p>
      <w:pPr>
        <w:pStyle w:val="0"/>
        <w:spacing w:before="200" w:line-rule="auto"/>
        <w:ind w:firstLine="540"/>
        <w:jc w:val="both"/>
      </w:pPr>
      <w:r>
        <w:rPr>
          <w:sz w:val="20"/>
        </w:rPr>
        <w:t xml:space="preserve">Снижение вероятности и минимизация последствий наступления рисков, связанных с изменением законодательства или приоритетов государственной политики в сфере реализации Программы на федеральном уровне, осуществляются при помощи следующих мер:</w:t>
      </w:r>
    </w:p>
    <w:p>
      <w:pPr>
        <w:pStyle w:val="0"/>
        <w:spacing w:before="200" w:line-rule="auto"/>
        <w:ind w:firstLine="540"/>
        <w:jc w:val="both"/>
      </w:pPr>
      <w:r>
        <w:rPr>
          <w:sz w:val="20"/>
        </w:rPr>
        <w:t xml:space="preserve">- регулярного мониторинга изменений законодательства в сфере реализации Программы;</w:t>
      </w:r>
    </w:p>
    <w:p>
      <w:pPr>
        <w:pStyle w:val="0"/>
        <w:spacing w:before="200" w:line-rule="auto"/>
        <w:ind w:firstLine="540"/>
        <w:jc w:val="both"/>
      </w:pPr>
      <w:r>
        <w:rPr>
          <w:sz w:val="20"/>
        </w:rPr>
        <w:t xml:space="preserve">- реализации мероприятий с учетом результатов проводимого мониторинга, при необходимости - проведения корректировки Программы.</w:t>
      </w:r>
    </w:p>
    <w:p>
      <w:pPr>
        <w:pStyle w:val="0"/>
        <w:ind w:firstLine="540"/>
        <w:jc w:val="both"/>
      </w:pPr>
      <w:r>
        <w:rPr>
          <w:sz w:val="20"/>
        </w:rPr>
      </w:r>
    </w:p>
    <w:p>
      <w:pPr>
        <w:pStyle w:val="2"/>
        <w:outlineLvl w:val="1"/>
        <w:jc w:val="center"/>
      </w:pPr>
      <w:r>
        <w:rPr>
          <w:sz w:val="20"/>
        </w:rPr>
        <w:t xml:space="preserve">VII. Механизм реализации Программы</w:t>
      </w:r>
    </w:p>
    <w:p>
      <w:pPr>
        <w:pStyle w:val="0"/>
        <w:jc w:val="center"/>
      </w:pPr>
      <w:r>
        <w:rPr>
          <w:sz w:val="20"/>
        </w:rPr>
        <w:t xml:space="preserve">(в ред. </w:t>
      </w:r>
      <w:hyperlink w:history="0" r:id="rId108"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pPr>
      <w:r>
        <w:rPr>
          <w:sz w:val="20"/>
        </w:rPr>
      </w:r>
    </w:p>
    <w:p>
      <w:pPr>
        <w:pStyle w:val="0"/>
        <w:ind w:firstLine="540"/>
        <w:jc w:val="both"/>
      </w:pPr>
      <w:r>
        <w:rPr>
          <w:sz w:val="20"/>
        </w:rPr>
        <w:t xml:space="preserve">Ответственным исполнителем Программы является ДЗГС.</w:t>
      </w:r>
    </w:p>
    <w:p>
      <w:pPr>
        <w:pStyle w:val="0"/>
        <w:spacing w:before="200" w:line-rule="auto"/>
        <w:ind w:firstLine="540"/>
        <w:jc w:val="both"/>
      </w:pPr>
      <w:r>
        <w:rPr>
          <w:sz w:val="20"/>
        </w:rPr>
        <w:t xml:space="preserve">ДЗГС является ответственным за подготовку и реализацию Программы, осуществляет управленческие и контрольные функции, в установленном порядке обеспечивает целевое эффективное использование финансовых средств, выделяемых на реализацию Программы за счет всех источников финансирования, ежегодно составляет бюджетную заявку с обоснованием объемов финансирования Программы по статьям расходов на очередной финансовый год и направляет ее в Департамент финансов города Севастополя.</w:t>
      </w:r>
    </w:p>
    <w:p>
      <w:pPr>
        <w:pStyle w:val="0"/>
        <w:spacing w:before="200" w:line-rule="auto"/>
        <w:ind w:firstLine="540"/>
        <w:jc w:val="both"/>
      </w:pPr>
      <w:r>
        <w:rPr>
          <w:sz w:val="20"/>
        </w:rPr>
        <w:t xml:space="preserve">Реализация мероприятий Программы, финансируемых из бюджетов всех уровней, предусматривает отбор исполнителей в соответствии с федеральными законами от 18.07.2011 </w:t>
      </w:r>
      <w:hyperlink w:history="0" r:id="rId109"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N 223-ФЗ</w:t>
        </w:r>
      </w:hyperlink>
      <w:r>
        <w:rPr>
          <w:sz w:val="20"/>
        </w:rPr>
        <w:t xml:space="preserve"> "О закупках товаров, работ, услуг отдельными видами юридических лиц", от 05.04.2013 </w:t>
      </w:r>
      <w:hyperlink w:history="0" r:id="rId110"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N 44-ФЗ</w:t>
        </w:r>
      </w:hyperlink>
      <w:r>
        <w:rPr>
          <w:sz w:val="20"/>
        </w:rPr>
        <w:t xml:space="preserve"> "О контрактной системе в сфере закупок товаров, работ, услуг для обеспечения государственных и муниципальных нужд".</w:t>
      </w:r>
    </w:p>
    <w:p>
      <w:pPr>
        <w:pStyle w:val="0"/>
        <w:spacing w:before="200" w:line-rule="auto"/>
        <w:ind w:firstLine="540"/>
        <w:jc w:val="both"/>
      </w:pPr>
      <w:r>
        <w:rPr>
          <w:sz w:val="20"/>
        </w:rPr>
        <w:t xml:space="preserve">ДЗГС как ответственный исполнитель вправе обеспечить передачу своих полномочий по осуществлению функций государственного заказчика подведомственным организациям. Полномочия передаются в соответствии с нормативными актами Правительства Севастополя.</w:t>
      </w:r>
    </w:p>
    <w:p>
      <w:pPr>
        <w:pStyle w:val="0"/>
        <w:spacing w:before="200" w:line-rule="auto"/>
        <w:ind w:firstLine="540"/>
        <w:jc w:val="both"/>
      </w:pPr>
      <w:r>
        <w:rPr>
          <w:sz w:val="20"/>
        </w:rPr>
        <w:t xml:space="preserve">Ответственный исполнитель согласовывает объемы финансирования мероприятий Программы за счет средств бюджета города Севастополя на очередной финансовый год в Департаменте финансов города Севастополя, за счет средств федерального бюджета - в Министерстве здравоохранения Российской Федерации.</w:t>
      </w:r>
    </w:p>
    <w:p>
      <w:pPr>
        <w:pStyle w:val="0"/>
        <w:spacing w:before="200" w:line-rule="auto"/>
        <w:ind w:firstLine="540"/>
        <w:jc w:val="both"/>
      </w:pPr>
      <w:r>
        <w:rPr>
          <w:sz w:val="20"/>
        </w:rPr>
        <w:t xml:space="preserve">По объектам, исполнителем (главным распорядителем бюджетных средств) которых является Департамент капитального строительства города Севастополя, функции государственного заказчика выполняет ГКУГС "ЕДКС".</w:t>
      </w:r>
    </w:p>
    <w:p>
      <w:pPr>
        <w:pStyle w:val="0"/>
        <w:spacing w:before="200" w:line-rule="auto"/>
        <w:ind w:firstLine="540"/>
        <w:jc w:val="both"/>
      </w:pPr>
      <w:r>
        <w:rPr>
          <w:sz w:val="20"/>
        </w:rPr>
        <w:t xml:space="preserve">Ответственный исполнитель разрабатывает меры по привлечению дополнительных источников финансирования, готовит предложения по перечню первоочередных мероприятий, подлежащих финансированию в очередном финансовом году, с обоснованиями, представляет технико-экономические обоснования и другие рабочие материалы по реализации мероприятий Программы и принимает по ним решения.</w:t>
      </w:r>
    </w:p>
    <w:p>
      <w:pPr>
        <w:pStyle w:val="0"/>
        <w:spacing w:before="200" w:line-rule="auto"/>
        <w:ind w:firstLine="540"/>
        <w:jc w:val="both"/>
      </w:pPr>
      <w:r>
        <w:rPr>
          <w:sz w:val="20"/>
        </w:rPr>
        <w:t xml:space="preserve">Управление и контроль за реализацией Программы, подготовка годовой отчетности и докладов о ходе реализации Программы, проведение мониторинга реализации, оценка ее эффективности осуществляются ответственным исполнителем Программы в соответствии с </w:t>
      </w:r>
      <w:hyperlink w:history="0" r:id="rId111" w:tooltip="Постановление Правительства Севастополя от 06.04.2017 N 284-ПП (ред. от 02.09.2021) &quot;Об утверждении Порядка разработки, реализации и оценки эффективности реализации государственных программ города Севастополя&quot; {КонсультантПлюс}">
        <w:r>
          <w:rPr>
            <w:sz w:val="20"/>
            <w:color w:val="0000ff"/>
          </w:rPr>
          <w:t xml:space="preserve">постановлением</w:t>
        </w:r>
      </w:hyperlink>
      <w:r>
        <w:rPr>
          <w:sz w:val="20"/>
        </w:rPr>
        <w:t xml:space="preserve"> Правительства Севастополя от 06.04.2017 N 284-ПП "Об утверждении Порядка разработки, реализации и оценки эффективности реализации государственных программ города Севастополя".</w:t>
      </w:r>
    </w:p>
    <w:p>
      <w:pPr>
        <w:pStyle w:val="0"/>
        <w:jc w:val="both"/>
      </w:pPr>
      <w:r>
        <w:rPr>
          <w:sz w:val="20"/>
        </w:rPr>
      </w:r>
    </w:p>
    <w:bookmarkStart w:id="594" w:name="P594"/>
    <w:bookmarkEnd w:id="594"/>
    <w:p>
      <w:pPr>
        <w:pStyle w:val="2"/>
        <w:outlineLvl w:val="1"/>
        <w:jc w:val="center"/>
      </w:pPr>
      <w:r>
        <w:rPr>
          <w:sz w:val="20"/>
        </w:rPr>
        <w:t xml:space="preserve">ПОДПРОГРАММА 1</w:t>
      </w:r>
    </w:p>
    <w:p>
      <w:pPr>
        <w:pStyle w:val="2"/>
        <w:jc w:val="center"/>
      </w:pPr>
      <w:r>
        <w:rPr>
          <w:sz w:val="20"/>
        </w:rPr>
        <w:t xml:space="preserve">"Профилактика заболеваний и формирование здорового образа</w:t>
      </w:r>
    </w:p>
    <w:p>
      <w:pPr>
        <w:pStyle w:val="2"/>
        <w:jc w:val="center"/>
      </w:pPr>
      <w:r>
        <w:rPr>
          <w:sz w:val="20"/>
        </w:rPr>
        <w:t xml:space="preserve">жизни. Развитие первичной медико-санитарной помощи"</w:t>
      </w:r>
    </w:p>
    <w:p>
      <w:pPr>
        <w:pStyle w:val="0"/>
        <w:jc w:val="center"/>
      </w:pPr>
      <w:r>
        <w:rPr>
          <w:sz w:val="20"/>
        </w:rPr>
        <w:t xml:space="preserve">(в ред. </w:t>
      </w:r>
      <w:hyperlink w:history="0" r:id="rId112"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2"/>
        <w:outlineLvl w:val="2"/>
        <w:jc w:val="center"/>
      </w:pPr>
      <w:r>
        <w:rPr>
          <w:sz w:val="20"/>
        </w:rPr>
        <w:t xml:space="preserve">ПАСПОРТ</w:t>
      </w:r>
    </w:p>
    <w:p>
      <w:pPr>
        <w:pStyle w:val="2"/>
        <w:jc w:val="center"/>
      </w:pPr>
      <w:r>
        <w:rPr>
          <w:sz w:val="20"/>
        </w:rPr>
        <w:t xml:space="preserve">подпрограммы 1 "Профилактика заболеваний и формирование</w:t>
      </w:r>
    </w:p>
    <w:p>
      <w:pPr>
        <w:pStyle w:val="2"/>
        <w:jc w:val="center"/>
      </w:pPr>
      <w:r>
        <w:rPr>
          <w:sz w:val="20"/>
        </w:rPr>
        <w:t xml:space="preserve">здорового образа жизни. Развитие первичной медико-санитарной</w:t>
      </w:r>
    </w:p>
    <w:p>
      <w:pPr>
        <w:pStyle w:val="2"/>
        <w:jc w:val="center"/>
      </w:pPr>
      <w:r>
        <w:rPr>
          <w:sz w:val="20"/>
        </w:rPr>
        <w:t xml:space="preserve">помощи" (далее - подпрограмма 1)</w:t>
      </w:r>
    </w:p>
    <w:p>
      <w:pPr>
        <w:pStyle w:val="0"/>
        <w:ind w:firstLine="540"/>
        <w:jc w:val="both"/>
      </w:pPr>
      <w:r>
        <w:rPr>
          <w:sz w:val="20"/>
        </w:rPr>
      </w:r>
    </w:p>
    <w:p>
      <w:pPr>
        <w:pStyle w:val="0"/>
        <w:ind w:firstLine="540"/>
        <w:jc w:val="both"/>
      </w:pPr>
      <w:r>
        <w:rPr>
          <w:sz w:val="20"/>
        </w:rPr>
        <w:t xml:space="preserve">1. Ответственный исполнитель подпрограммы 1: ДЗГС.</w:t>
      </w:r>
    </w:p>
    <w:p>
      <w:pPr>
        <w:pStyle w:val="0"/>
        <w:spacing w:before="200" w:line-rule="auto"/>
        <w:ind w:firstLine="540"/>
        <w:jc w:val="both"/>
      </w:pPr>
      <w:r>
        <w:rPr>
          <w:sz w:val="20"/>
        </w:rPr>
        <w:t xml:space="preserve">2. Соисполнители подпрограммы 1:</w:t>
      </w:r>
    </w:p>
    <w:p>
      <w:pPr>
        <w:pStyle w:val="0"/>
        <w:spacing w:before="200" w:line-rule="auto"/>
        <w:ind w:firstLine="540"/>
        <w:jc w:val="both"/>
      </w:pPr>
      <w:r>
        <w:rPr>
          <w:sz w:val="20"/>
        </w:rPr>
        <w:t xml:space="preserve">- Департамент капитального строительства города Севастополя;</w:t>
      </w:r>
    </w:p>
    <w:p>
      <w:pPr>
        <w:pStyle w:val="0"/>
        <w:spacing w:before="200" w:line-rule="auto"/>
        <w:ind w:firstLine="540"/>
        <w:jc w:val="both"/>
      </w:pPr>
      <w:r>
        <w:rPr>
          <w:sz w:val="20"/>
        </w:rPr>
        <w:t xml:space="preserve">- ГКУС "Медицинский склад N 1043".</w:t>
      </w:r>
    </w:p>
    <w:p>
      <w:pPr>
        <w:pStyle w:val="0"/>
        <w:spacing w:before="200" w:line-rule="auto"/>
        <w:ind w:firstLine="540"/>
        <w:jc w:val="both"/>
      </w:pPr>
      <w:r>
        <w:rPr>
          <w:sz w:val="20"/>
        </w:rPr>
        <w:t xml:space="preserve">3. Участники подпрограммы 1:</w:t>
      </w:r>
    </w:p>
    <w:p>
      <w:pPr>
        <w:pStyle w:val="0"/>
        <w:spacing w:before="200" w:line-rule="auto"/>
        <w:ind w:firstLine="540"/>
        <w:jc w:val="both"/>
      </w:pPr>
      <w:r>
        <w:rPr>
          <w:sz w:val="20"/>
        </w:rPr>
        <w:t xml:space="preserve">- государственные учреждения здравоохранения города Севастополя;</w:t>
      </w:r>
    </w:p>
    <w:p>
      <w:pPr>
        <w:pStyle w:val="0"/>
        <w:spacing w:before="200" w:line-rule="auto"/>
        <w:ind w:firstLine="540"/>
        <w:jc w:val="both"/>
      </w:pPr>
      <w:r>
        <w:rPr>
          <w:sz w:val="20"/>
        </w:rPr>
        <w:t xml:space="preserve">- ГКУГС "ЕДКС".</w:t>
      </w:r>
    </w:p>
    <w:p>
      <w:pPr>
        <w:pStyle w:val="0"/>
        <w:spacing w:before="200" w:line-rule="auto"/>
        <w:ind w:firstLine="540"/>
        <w:jc w:val="both"/>
      </w:pPr>
      <w:r>
        <w:rPr>
          <w:sz w:val="20"/>
        </w:rPr>
        <w:t xml:space="preserve">4. Цель подпрограммы 1: обеспечение приоритета профилактики в сфере охраны здоровья и развития первичной медико-санитарной помощи.</w:t>
      </w:r>
    </w:p>
    <w:p>
      <w:pPr>
        <w:pStyle w:val="0"/>
        <w:spacing w:before="200" w:line-rule="auto"/>
        <w:ind w:firstLine="540"/>
        <w:jc w:val="both"/>
      </w:pPr>
      <w:r>
        <w:rPr>
          <w:sz w:val="20"/>
        </w:rPr>
        <w:t xml:space="preserve">5. Задачи подпрограммы 1:</w:t>
      </w:r>
    </w:p>
    <w:p>
      <w:pPr>
        <w:pStyle w:val="0"/>
        <w:spacing w:before="200" w:line-rule="auto"/>
        <w:ind w:firstLine="540"/>
        <w:jc w:val="both"/>
      </w:pPr>
      <w:r>
        <w:rPr>
          <w:sz w:val="20"/>
        </w:rPr>
        <w:t xml:space="preserve">- организация охвата медицинским освидетельствованием на ВИЧ-инфекцию населения г. Севастополя;</w:t>
      </w:r>
    </w:p>
    <w:p>
      <w:pPr>
        <w:pStyle w:val="0"/>
        <w:spacing w:before="200" w:line-rule="auto"/>
        <w:ind w:firstLine="540"/>
        <w:jc w:val="both"/>
      </w:pPr>
      <w:r>
        <w:rPr>
          <w:sz w:val="20"/>
        </w:rPr>
        <w:t xml:space="preserve">- организация охвата населения профилактическими осмотрами на туберкулез;</w:t>
      </w:r>
    </w:p>
    <w:p>
      <w:pPr>
        <w:pStyle w:val="0"/>
        <w:spacing w:before="200" w:line-rule="auto"/>
        <w:ind w:firstLine="540"/>
        <w:jc w:val="both"/>
      </w:pPr>
      <w:r>
        <w:rPr>
          <w:sz w:val="20"/>
        </w:rPr>
        <w:t xml:space="preserve">- увеличение уровня информированности населения в возрасте 18 - 49 лет по вопросам ВИЧ-инфекции;</w:t>
      </w:r>
    </w:p>
    <w:p>
      <w:pPr>
        <w:pStyle w:val="0"/>
        <w:spacing w:before="200" w:line-rule="auto"/>
        <w:ind w:firstLine="540"/>
        <w:jc w:val="both"/>
      </w:pPr>
      <w:r>
        <w:rPr>
          <w:sz w:val="20"/>
        </w:rPr>
        <w:t xml:space="preserve">- улучшение доступности первичной медико-санитарной помощи детскому и взрослому населению города Севастополя путем сокращения радиуса обслуживания детских и взрослых поликлиник;</w:t>
      </w:r>
    </w:p>
    <w:p>
      <w:pPr>
        <w:pStyle w:val="0"/>
        <w:spacing w:before="200" w:line-rule="auto"/>
        <w:ind w:firstLine="540"/>
        <w:jc w:val="both"/>
      </w:pPr>
      <w:r>
        <w:rPr>
          <w:sz w:val="20"/>
        </w:rPr>
        <w:t xml:space="preserve">- улучшение доступности и качества оказания первичной медицинской помощи сельскому населению Балаклавского и Нахимовского районов города Севастополя;</w:t>
      </w:r>
    </w:p>
    <w:p>
      <w:pPr>
        <w:pStyle w:val="0"/>
        <w:spacing w:before="200" w:line-rule="auto"/>
        <w:ind w:firstLine="540"/>
        <w:jc w:val="both"/>
      </w:pPr>
      <w:r>
        <w:rPr>
          <w:sz w:val="20"/>
        </w:rPr>
        <w:t xml:space="preserve">- укрепление материально-технической базы первичного звена;</w:t>
      </w:r>
    </w:p>
    <w:p>
      <w:pPr>
        <w:pStyle w:val="0"/>
        <w:spacing w:before="200" w:line-rule="auto"/>
        <w:ind w:firstLine="540"/>
        <w:jc w:val="both"/>
      </w:pPr>
      <w:r>
        <w:rPr>
          <w:sz w:val="20"/>
        </w:rPr>
        <w:t xml:space="preserve">- улучшение информированности населения о необходимости проведения профилактических мероприятий и поддержания здорового образа жизни;</w:t>
      </w:r>
    </w:p>
    <w:p>
      <w:pPr>
        <w:pStyle w:val="0"/>
        <w:spacing w:before="200" w:line-rule="auto"/>
        <w:ind w:firstLine="540"/>
        <w:jc w:val="both"/>
      </w:pPr>
      <w:r>
        <w:rPr>
          <w:sz w:val="20"/>
        </w:rPr>
        <w:t xml:space="preserve">- развитие профилактической направленности педиатрической службы (закупка медицинских изделий для диагностики позволит более качественно выявлять ранние признаки и предвестники патологических процессов и проводить профилактику утяжеления и хронизации заболеваний);</w:t>
      </w:r>
    </w:p>
    <w:p>
      <w:pPr>
        <w:pStyle w:val="0"/>
        <w:spacing w:before="200" w:line-rule="auto"/>
        <w:ind w:firstLine="540"/>
        <w:jc w:val="both"/>
      </w:pPr>
      <w:r>
        <w:rPr>
          <w:sz w:val="20"/>
        </w:rPr>
        <w:t xml:space="preserve">- внедрение стационарозамещающих технологий в амбулаторном звене (закупка медицинских изделий, предназначенных для лечения и реабилитации, позволит увеличить возможности использования стационарозамещающих технологий).</w:t>
      </w:r>
    </w:p>
    <w:p>
      <w:pPr>
        <w:pStyle w:val="0"/>
        <w:spacing w:before="200" w:line-rule="auto"/>
        <w:ind w:firstLine="540"/>
        <w:jc w:val="both"/>
      </w:pPr>
      <w:r>
        <w:rPr>
          <w:sz w:val="20"/>
        </w:rPr>
        <w:t xml:space="preserve">6. Целевые индикаторы и показатели подпрограммы 1:</w:t>
      </w:r>
    </w:p>
    <w:p>
      <w:pPr>
        <w:pStyle w:val="0"/>
        <w:spacing w:before="200" w:line-rule="auto"/>
        <w:ind w:firstLine="540"/>
        <w:jc w:val="both"/>
      </w:pPr>
      <w:r>
        <w:rPr>
          <w:sz w:val="20"/>
        </w:rPr>
        <w:t xml:space="preserve">- охват профилактическими медицинскими осмотрами детей;</w:t>
      </w:r>
    </w:p>
    <w:p>
      <w:pPr>
        <w:pStyle w:val="0"/>
        <w:spacing w:before="200" w:line-rule="auto"/>
        <w:ind w:firstLine="540"/>
        <w:jc w:val="both"/>
      </w:pPr>
      <w:r>
        <w:rPr>
          <w:sz w:val="20"/>
        </w:rPr>
        <w:t xml:space="preserve">- охват диспансеризацией детей-сирот и детей, находящихся в трудной жизненной ситуации;</w:t>
      </w:r>
    </w:p>
    <w:p>
      <w:pPr>
        <w:pStyle w:val="0"/>
        <w:spacing w:before="200" w:line-rule="auto"/>
        <w:ind w:firstLine="540"/>
        <w:jc w:val="both"/>
      </w:pPr>
      <w:r>
        <w:rPr>
          <w:sz w:val="20"/>
        </w:rPr>
        <w:t xml:space="preserve">- охват диспансеризацией взрослого населения;</w:t>
      </w:r>
    </w:p>
    <w:p>
      <w:pPr>
        <w:pStyle w:val="0"/>
        <w:spacing w:before="200" w:line-rule="auto"/>
        <w:ind w:firstLine="540"/>
        <w:jc w:val="both"/>
      </w:pPr>
      <w:r>
        <w:rPr>
          <w:sz w:val="20"/>
        </w:rPr>
        <w:t xml:space="preserve">- количество зарегистрированных больных с диагнозом, установленным впервые в жизни, активный туберкулез;</w:t>
      </w:r>
    </w:p>
    <w:p>
      <w:pPr>
        <w:pStyle w:val="0"/>
        <w:spacing w:before="200" w:line-rule="auto"/>
        <w:ind w:firstLine="540"/>
        <w:jc w:val="both"/>
      </w:pPr>
      <w:r>
        <w:rPr>
          <w:sz w:val="20"/>
        </w:rPr>
        <w:t xml:space="preserve">- заболеваемость острым вирусным гепатитом B;</w:t>
      </w:r>
    </w:p>
    <w:p>
      <w:pPr>
        <w:pStyle w:val="0"/>
        <w:spacing w:before="200" w:line-rule="auto"/>
        <w:ind w:firstLine="540"/>
        <w:jc w:val="both"/>
      </w:pPr>
      <w:r>
        <w:rPr>
          <w:sz w:val="20"/>
        </w:rPr>
        <w:t xml:space="preserve">- охват иммунизацией населения против гепатита B в декретированные сроки;</w:t>
      </w:r>
    </w:p>
    <w:p>
      <w:pPr>
        <w:pStyle w:val="0"/>
        <w:spacing w:before="200" w:line-rule="auto"/>
        <w:ind w:firstLine="540"/>
        <w:jc w:val="both"/>
      </w:pPr>
      <w:r>
        <w:rPr>
          <w:sz w:val="20"/>
        </w:rPr>
        <w:t xml:space="preserve">- охват иммунизацией населения против дифтерии, коклюша и столбняка в декретированные сроки;</w:t>
      </w:r>
    </w:p>
    <w:p>
      <w:pPr>
        <w:pStyle w:val="0"/>
        <w:spacing w:before="200" w:line-rule="auto"/>
        <w:ind w:firstLine="540"/>
        <w:jc w:val="both"/>
      </w:pPr>
      <w:r>
        <w:rPr>
          <w:sz w:val="20"/>
        </w:rPr>
        <w:t xml:space="preserve">- охват населения иммунизацией против кори в декретированные сроки;</w:t>
      </w:r>
    </w:p>
    <w:p>
      <w:pPr>
        <w:pStyle w:val="0"/>
        <w:spacing w:before="200" w:line-rule="auto"/>
        <w:ind w:firstLine="540"/>
        <w:jc w:val="both"/>
      </w:pPr>
      <w:r>
        <w:rPr>
          <w:sz w:val="20"/>
        </w:rPr>
        <w:t xml:space="preserve">- доля лиц, инфицированных вирусом иммунодефицита человека, состоящих на диспансерном учете, от числа выявленных;</w:t>
      </w:r>
    </w:p>
    <w:p>
      <w:pPr>
        <w:pStyle w:val="0"/>
        <w:spacing w:before="200" w:line-rule="auto"/>
        <w:ind w:firstLine="540"/>
        <w:jc w:val="both"/>
      </w:pPr>
      <w:r>
        <w:rPr>
          <w:sz w:val="20"/>
        </w:rPr>
        <w:t xml:space="preserve">- доля рецептов, находящихся на отсроченном обеспечении, в общем количестве выписанных рецептов;</w:t>
      </w:r>
    </w:p>
    <w:p>
      <w:pPr>
        <w:pStyle w:val="0"/>
        <w:spacing w:before="200" w:line-rule="auto"/>
        <w:ind w:firstLine="540"/>
        <w:jc w:val="both"/>
      </w:pPr>
      <w:r>
        <w:rPr>
          <w:sz w:val="20"/>
        </w:rPr>
        <w:t xml:space="preserve">- доля детей в возрасте 0 - 17 лет от общей численности детского населения, пролеченных в дневных стационарах медицинских организаций города Севастополя, оказывающих медицинскую помощь в амбулаторных условиях;</w:t>
      </w:r>
    </w:p>
    <w:p>
      <w:pPr>
        <w:pStyle w:val="0"/>
        <w:spacing w:before="200" w:line-rule="auto"/>
        <w:ind w:firstLine="540"/>
        <w:jc w:val="both"/>
      </w:pPr>
      <w:r>
        <w:rPr>
          <w:sz w:val="20"/>
        </w:rPr>
        <w:t xml:space="preserve">- доля детских поликлиник и детских поликлинических отделений медицинских организаций города Севастополя, реализовавших организационно-планировочные решения внутренних пространств, обеспечивающие комфортность пребывания детей, в соответствии с требованиями </w:t>
      </w:r>
      <w:hyperlink w:history="0" r:id="rId113"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w:t>
      </w:r>
    </w:p>
    <w:p>
      <w:pPr>
        <w:pStyle w:val="0"/>
        <w:spacing w:before="200" w:line-rule="auto"/>
        <w:ind w:firstLine="540"/>
        <w:jc w:val="both"/>
      </w:pPr>
      <w:r>
        <w:rPr>
          <w:sz w:val="20"/>
        </w:rPr>
        <w:t xml:space="preserve">- строительство поликлиники на 320 посещений в смену в микрорайоне "Казачья Бухта", г. Севастополь;</w:t>
      </w:r>
    </w:p>
    <w:p>
      <w:pPr>
        <w:pStyle w:val="0"/>
        <w:spacing w:before="200" w:line-rule="auto"/>
        <w:ind w:firstLine="540"/>
        <w:jc w:val="both"/>
      </w:pPr>
      <w:r>
        <w:rPr>
          <w:sz w:val="20"/>
        </w:rPr>
        <w:t xml:space="preserve">- строительство амбулаторно-поликлинического учреждения на 320 посещений в смену, пр-т Генерала Острякова;</w:t>
      </w:r>
    </w:p>
    <w:p>
      <w:pPr>
        <w:pStyle w:val="0"/>
        <w:spacing w:before="200" w:line-rule="auto"/>
        <w:ind w:firstLine="540"/>
        <w:jc w:val="both"/>
      </w:pPr>
      <w:r>
        <w:rPr>
          <w:sz w:val="20"/>
        </w:rPr>
        <w:t xml:space="preserve">- строительство детской поликлиники на 100 посещений в смену на Корабельной стороне;</w:t>
      </w:r>
    </w:p>
    <w:p>
      <w:pPr>
        <w:pStyle w:val="0"/>
        <w:spacing w:before="200" w:line-rule="auto"/>
        <w:ind w:firstLine="540"/>
        <w:jc w:val="both"/>
      </w:pPr>
      <w:r>
        <w:rPr>
          <w:sz w:val="20"/>
        </w:rPr>
        <w:t xml:space="preserve">- доля впервые в жизни установленных хронических заболеваний (ХНИЗ), выявленных при проведении диспансеризации и профилактическом осмотре у взрослого населения, от общего числа ХНИЗ с впервые установленным диагнозом;</w:t>
      </w:r>
    </w:p>
    <w:p>
      <w:pPr>
        <w:pStyle w:val="0"/>
        <w:spacing w:before="200" w:line-rule="auto"/>
        <w:ind w:firstLine="540"/>
        <w:jc w:val="both"/>
      </w:pPr>
      <w:r>
        <w:rPr>
          <w:sz w:val="20"/>
        </w:rPr>
        <w:t xml:space="preserve">- охват населения профилактическими осмотрами на туберкулез;</w:t>
      </w:r>
    </w:p>
    <w:p>
      <w:pPr>
        <w:pStyle w:val="0"/>
        <w:spacing w:before="200" w:line-rule="auto"/>
        <w:ind w:firstLine="540"/>
        <w:jc w:val="both"/>
      </w:pPr>
      <w:r>
        <w:rPr>
          <w:sz w:val="20"/>
        </w:rPr>
        <w:t xml:space="preserve">- уровень информированности населения в возрасте 18 - 49 лет по вопросам ВИЧ-инфекции;</w:t>
      </w:r>
    </w:p>
    <w:p>
      <w:pPr>
        <w:pStyle w:val="0"/>
        <w:spacing w:before="200" w:line-rule="auto"/>
        <w:ind w:firstLine="540"/>
        <w:jc w:val="both"/>
      </w:pPr>
      <w:r>
        <w:rPr>
          <w:sz w:val="20"/>
        </w:rPr>
        <w:t xml:space="preserve">- охват медицинским освидетельствованием на ВИЧ-инфекцию населения г. Севастополя.</w:t>
      </w:r>
    </w:p>
    <w:p>
      <w:pPr>
        <w:pStyle w:val="0"/>
        <w:spacing w:before="200" w:line-rule="auto"/>
        <w:ind w:firstLine="540"/>
        <w:jc w:val="both"/>
      </w:pPr>
      <w:r>
        <w:rPr>
          <w:sz w:val="20"/>
        </w:rPr>
        <w:t xml:space="preserve">7. Этапы и сроки реализации подпрограммы 1: с 2022 по 2030 год без выделения этапов реализации Программы.</w:t>
      </w:r>
    </w:p>
    <w:p>
      <w:pPr>
        <w:pStyle w:val="0"/>
        <w:spacing w:before="200" w:line-rule="auto"/>
        <w:ind w:firstLine="540"/>
        <w:jc w:val="both"/>
      </w:pPr>
      <w:r>
        <w:rPr>
          <w:sz w:val="20"/>
        </w:rPr>
        <w:t xml:space="preserve">8. Объемы финансирования подпрограммы 1, всего, по годам и по источникам финансирования (тыс. руб.):</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587"/>
        <w:gridCol w:w="1531"/>
        <w:gridCol w:w="1700"/>
        <w:gridCol w:w="1191"/>
        <w:gridCol w:w="1587"/>
      </w:tblGrid>
      <w:tr>
        <w:tc>
          <w:tcPr>
            <w:tcW w:w="1474" w:type="dxa"/>
          </w:tcPr>
          <w:p>
            <w:pPr>
              <w:pStyle w:val="0"/>
              <w:jc w:val="center"/>
            </w:pPr>
            <w:r>
              <w:rPr>
                <w:sz w:val="20"/>
              </w:rPr>
              <w:t xml:space="preserve">Источники финансирования</w:t>
            </w:r>
          </w:p>
        </w:tc>
        <w:tc>
          <w:tcPr>
            <w:tcW w:w="1587" w:type="dxa"/>
          </w:tcPr>
          <w:p>
            <w:pPr>
              <w:pStyle w:val="0"/>
              <w:jc w:val="center"/>
            </w:pPr>
            <w:r>
              <w:rPr>
                <w:sz w:val="20"/>
              </w:rPr>
              <w:t xml:space="preserve">Федеральный бюджет</w:t>
            </w:r>
          </w:p>
        </w:tc>
        <w:tc>
          <w:tcPr>
            <w:tcW w:w="1531" w:type="dxa"/>
          </w:tcPr>
          <w:p>
            <w:pPr>
              <w:pStyle w:val="0"/>
              <w:jc w:val="center"/>
            </w:pPr>
            <w:r>
              <w:rPr>
                <w:sz w:val="20"/>
              </w:rPr>
              <w:t xml:space="preserve">Бюджет города Севастополя</w:t>
            </w:r>
          </w:p>
        </w:tc>
        <w:tc>
          <w:tcPr>
            <w:tcW w:w="1700" w:type="dxa"/>
          </w:tcPr>
          <w:p>
            <w:pPr>
              <w:pStyle w:val="0"/>
              <w:jc w:val="center"/>
            </w:pPr>
            <w:r>
              <w:rPr>
                <w:sz w:val="20"/>
              </w:rPr>
              <w:t xml:space="preserve">Бюджеты других субъектов РФ (город Москва)</w:t>
            </w:r>
          </w:p>
        </w:tc>
        <w:tc>
          <w:tcPr>
            <w:tcW w:w="1191" w:type="dxa"/>
          </w:tcPr>
          <w:p>
            <w:pPr>
              <w:pStyle w:val="0"/>
              <w:jc w:val="center"/>
            </w:pPr>
            <w:r>
              <w:rPr>
                <w:sz w:val="20"/>
              </w:rPr>
              <w:t xml:space="preserve">Внебюджетные средства</w:t>
            </w:r>
          </w:p>
        </w:tc>
        <w:tc>
          <w:tcPr>
            <w:tcW w:w="1587" w:type="dxa"/>
          </w:tcPr>
          <w:p>
            <w:pPr>
              <w:pStyle w:val="0"/>
              <w:jc w:val="center"/>
            </w:pPr>
            <w:r>
              <w:rPr>
                <w:sz w:val="20"/>
              </w:rPr>
              <w:t xml:space="preserve">Итого</w:t>
            </w:r>
          </w:p>
        </w:tc>
      </w:tr>
      <w:tr>
        <w:tc>
          <w:tcPr>
            <w:tcW w:w="1474" w:type="dxa"/>
          </w:tcPr>
          <w:p>
            <w:pPr>
              <w:pStyle w:val="0"/>
              <w:jc w:val="both"/>
            </w:pPr>
            <w:r>
              <w:rPr>
                <w:sz w:val="20"/>
              </w:rPr>
              <w:t xml:space="preserve">2022 год</w:t>
            </w:r>
          </w:p>
        </w:tc>
        <w:tc>
          <w:tcPr>
            <w:tcW w:w="1587" w:type="dxa"/>
          </w:tcPr>
          <w:p>
            <w:pPr>
              <w:pStyle w:val="0"/>
              <w:jc w:val="center"/>
            </w:pPr>
            <w:r>
              <w:rPr>
                <w:sz w:val="20"/>
              </w:rPr>
              <w:t xml:space="preserve">461281,3</w:t>
            </w:r>
          </w:p>
        </w:tc>
        <w:tc>
          <w:tcPr>
            <w:tcW w:w="1531" w:type="dxa"/>
          </w:tcPr>
          <w:p>
            <w:pPr>
              <w:pStyle w:val="0"/>
              <w:jc w:val="center"/>
            </w:pPr>
            <w:r>
              <w:rPr>
                <w:sz w:val="20"/>
              </w:rPr>
              <w:t xml:space="preserve">1395086,0</w:t>
            </w:r>
          </w:p>
        </w:tc>
        <w:tc>
          <w:tcPr>
            <w:tcW w:w="1700" w:type="dxa"/>
          </w:tcPr>
          <w:p>
            <w:pPr>
              <w:pStyle w:val="0"/>
              <w:jc w:val="center"/>
            </w:pPr>
            <w:r>
              <w:rPr>
                <w:sz w:val="20"/>
              </w:rPr>
              <w:t xml:space="preserve">42396,0</w:t>
            </w:r>
          </w:p>
        </w:tc>
        <w:tc>
          <w:tcPr>
            <w:tcW w:w="1191" w:type="dxa"/>
          </w:tcPr>
          <w:p>
            <w:pPr>
              <w:pStyle w:val="0"/>
              <w:jc w:val="center"/>
            </w:pPr>
            <w:r>
              <w:rPr>
                <w:sz w:val="20"/>
              </w:rPr>
              <w:t xml:space="preserve">0,0</w:t>
            </w:r>
          </w:p>
        </w:tc>
        <w:tc>
          <w:tcPr>
            <w:tcW w:w="1587" w:type="dxa"/>
          </w:tcPr>
          <w:p>
            <w:pPr>
              <w:pStyle w:val="0"/>
              <w:jc w:val="center"/>
            </w:pPr>
            <w:r>
              <w:rPr>
                <w:sz w:val="20"/>
              </w:rPr>
              <w:t xml:space="preserve">1898763,3</w:t>
            </w:r>
          </w:p>
        </w:tc>
      </w:tr>
      <w:tr>
        <w:tc>
          <w:tcPr>
            <w:tcW w:w="1474" w:type="dxa"/>
          </w:tcPr>
          <w:p>
            <w:pPr>
              <w:pStyle w:val="0"/>
              <w:jc w:val="both"/>
            </w:pPr>
            <w:r>
              <w:rPr>
                <w:sz w:val="20"/>
              </w:rPr>
              <w:t xml:space="preserve">2023 год</w:t>
            </w:r>
          </w:p>
        </w:tc>
        <w:tc>
          <w:tcPr>
            <w:tcW w:w="1587" w:type="dxa"/>
          </w:tcPr>
          <w:p>
            <w:pPr>
              <w:pStyle w:val="0"/>
              <w:jc w:val="center"/>
            </w:pPr>
            <w:r>
              <w:rPr>
                <w:sz w:val="20"/>
              </w:rPr>
              <w:t xml:space="preserve">394846,4</w:t>
            </w:r>
          </w:p>
        </w:tc>
        <w:tc>
          <w:tcPr>
            <w:tcW w:w="1531" w:type="dxa"/>
          </w:tcPr>
          <w:p>
            <w:pPr>
              <w:pStyle w:val="0"/>
              <w:jc w:val="center"/>
            </w:pPr>
            <w:r>
              <w:rPr>
                <w:sz w:val="20"/>
              </w:rPr>
              <w:t xml:space="preserve">1981764,4</w:t>
            </w:r>
          </w:p>
        </w:tc>
        <w:tc>
          <w:tcPr>
            <w:tcW w:w="1700" w:type="dxa"/>
          </w:tcPr>
          <w:p>
            <w:pPr>
              <w:pStyle w:val="0"/>
              <w:jc w:val="center"/>
            </w:pPr>
            <w:r>
              <w:rPr>
                <w:sz w:val="20"/>
              </w:rPr>
              <w:t xml:space="preserve">38275,2</w:t>
            </w:r>
          </w:p>
        </w:tc>
        <w:tc>
          <w:tcPr>
            <w:tcW w:w="1191" w:type="dxa"/>
          </w:tcPr>
          <w:p>
            <w:pPr>
              <w:pStyle w:val="0"/>
              <w:jc w:val="center"/>
            </w:pPr>
            <w:r>
              <w:rPr>
                <w:sz w:val="20"/>
              </w:rPr>
              <w:t xml:space="preserve">0,0</w:t>
            </w:r>
          </w:p>
        </w:tc>
        <w:tc>
          <w:tcPr>
            <w:tcW w:w="1587" w:type="dxa"/>
          </w:tcPr>
          <w:p>
            <w:pPr>
              <w:pStyle w:val="0"/>
              <w:jc w:val="center"/>
            </w:pPr>
            <w:r>
              <w:rPr>
                <w:sz w:val="20"/>
              </w:rPr>
              <w:t xml:space="preserve">2414886,0</w:t>
            </w:r>
          </w:p>
        </w:tc>
      </w:tr>
      <w:tr>
        <w:tc>
          <w:tcPr>
            <w:tcW w:w="1474" w:type="dxa"/>
          </w:tcPr>
          <w:p>
            <w:pPr>
              <w:pStyle w:val="0"/>
              <w:jc w:val="both"/>
            </w:pPr>
            <w:r>
              <w:rPr>
                <w:sz w:val="20"/>
              </w:rPr>
              <w:t xml:space="preserve">2024 год</w:t>
            </w:r>
          </w:p>
        </w:tc>
        <w:tc>
          <w:tcPr>
            <w:tcW w:w="1587" w:type="dxa"/>
          </w:tcPr>
          <w:p>
            <w:pPr>
              <w:pStyle w:val="0"/>
              <w:jc w:val="center"/>
            </w:pPr>
            <w:r>
              <w:rPr>
                <w:sz w:val="20"/>
              </w:rPr>
              <w:t xml:space="preserve">282869,8</w:t>
            </w:r>
          </w:p>
        </w:tc>
        <w:tc>
          <w:tcPr>
            <w:tcW w:w="1531" w:type="dxa"/>
          </w:tcPr>
          <w:p>
            <w:pPr>
              <w:pStyle w:val="0"/>
              <w:jc w:val="center"/>
            </w:pPr>
            <w:r>
              <w:rPr>
                <w:sz w:val="20"/>
              </w:rPr>
              <w:t xml:space="preserve">1907183,2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2190053,0</w:t>
            </w:r>
          </w:p>
        </w:tc>
      </w:tr>
      <w:tr>
        <w:tc>
          <w:tcPr>
            <w:tcW w:w="1474" w:type="dxa"/>
          </w:tcPr>
          <w:p>
            <w:pPr>
              <w:pStyle w:val="0"/>
              <w:jc w:val="both"/>
            </w:pPr>
            <w:r>
              <w:rPr>
                <w:sz w:val="20"/>
              </w:rPr>
              <w:t xml:space="preserve">2025 год</w:t>
            </w:r>
          </w:p>
        </w:tc>
        <w:tc>
          <w:tcPr>
            <w:tcW w:w="1587" w:type="dxa"/>
          </w:tcPr>
          <w:p>
            <w:pPr>
              <w:pStyle w:val="0"/>
              <w:jc w:val="center"/>
            </w:pPr>
            <w:r>
              <w:rPr>
                <w:sz w:val="20"/>
              </w:rPr>
              <w:t xml:space="preserve">192619,7</w:t>
            </w:r>
          </w:p>
        </w:tc>
        <w:tc>
          <w:tcPr>
            <w:tcW w:w="1531" w:type="dxa"/>
          </w:tcPr>
          <w:p>
            <w:pPr>
              <w:pStyle w:val="0"/>
              <w:jc w:val="center"/>
            </w:pPr>
            <w:r>
              <w:rPr>
                <w:sz w:val="20"/>
              </w:rPr>
              <w:t xml:space="preserve">2054302,2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2246921,9</w:t>
            </w:r>
          </w:p>
        </w:tc>
      </w:tr>
      <w:tr>
        <w:tc>
          <w:tcPr>
            <w:tcW w:w="1474" w:type="dxa"/>
          </w:tcPr>
          <w:p>
            <w:pPr>
              <w:pStyle w:val="0"/>
              <w:jc w:val="both"/>
            </w:pPr>
            <w:r>
              <w:rPr>
                <w:sz w:val="20"/>
              </w:rPr>
              <w:t xml:space="preserve">2026 год</w:t>
            </w:r>
          </w:p>
        </w:tc>
        <w:tc>
          <w:tcPr>
            <w:tcW w:w="1587" w:type="dxa"/>
          </w:tcPr>
          <w:p>
            <w:pPr>
              <w:pStyle w:val="0"/>
              <w:jc w:val="center"/>
            </w:pPr>
            <w:r>
              <w:rPr>
                <w:sz w:val="20"/>
              </w:rPr>
              <w:t xml:space="preserve">220924,2</w:t>
            </w:r>
          </w:p>
        </w:tc>
        <w:tc>
          <w:tcPr>
            <w:tcW w:w="1531" w:type="dxa"/>
          </w:tcPr>
          <w:p>
            <w:pPr>
              <w:pStyle w:val="0"/>
              <w:jc w:val="center"/>
            </w:pPr>
            <w:r>
              <w:rPr>
                <w:sz w:val="20"/>
              </w:rPr>
              <w:t xml:space="preserve">2123746,2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2344670,4</w:t>
            </w:r>
          </w:p>
        </w:tc>
      </w:tr>
      <w:tr>
        <w:tc>
          <w:tcPr>
            <w:tcW w:w="1474" w:type="dxa"/>
          </w:tcPr>
          <w:p>
            <w:pPr>
              <w:pStyle w:val="0"/>
              <w:jc w:val="both"/>
            </w:pPr>
            <w:r>
              <w:rPr>
                <w:sz w:val="20"/>
              </w:rPr>
              <w:t xml:space="preserve">2027 год</w:t>
            </w:r>
          </w:p>
        </w:tc>
        <w:tc>
          <w:tcPr>
            <w:tcW w:w="1587" w:type="dxa"/>
          </w:tcPr>
          <w:p>
            <w:pPr>
              <w:pStyle w:val="0"/>
              <w:jc w:val="center"/>
            </w:pPr>
            <w:r>
              <w:rPr>
                <w:sz w:val="20"/>
              </w:rPr>
              <w:t xml:space="preserve">205144,5</w:t>
            </w:r>
          </w:p>
        </w:tc>
        <w:tc>
          <w:tcPr>
            <w:tcW w:w="1531" w:type="dxa"/>
          </w:tcPr>
          <w:p>
            <w:pPr>
              <w:pStyle w:val="0"/>
              <w:jc w:val="center"/>
            </w:pPr>
            <w:r>
              <w:rPr>
                <w:sz w:val="20"/>
              </w:rPr>
              <w:t xml:space="preserve">2187879,2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2393023,7</w:t>
            </w:r>
          </w:p>
        </w:tc>
      </w:tr>
      <w:tr>
        <w:tc>
          <w:tcPr>
            <w:tcW w:w="1474" w:type="dxa"/>
          </w:tcPr>
          <w:p>
            <w:pPr>
              <w:pStyle w:val="0"/>
              <w:jc w:val="both"/>
            </w:pPr>
            <w:r>
              <w:rPr>
                <w:sz w:val="20"/>
              </w:rPr>
              <w:t xml:space="preserve">2028 год</w:t>
            </w:r>
          </w:p>
        </w:tc>
        <w:tc>
          <w:tcPr>
            <w:tcW w:w="1587" w:type="dxa"/>
          </w:tcPr>
          <w:p>
            <w:pPr>
              <w:pStyle w:val="0"/>
              <w:jc w:val="center"/>
            </w:pPr>
            <w:r>
              <w:rPr>
                <w:sz w:val="20"/>
              </w:rPr>
              <w:t xml:space="preserve">211093,7</w:t>
            </w:r>
          </w:p>
        </w:tc>
        <w:tc>
          <w:tcPr>
            <w:tcW w:w="1531" w:type="dxa"/>
          </w:tcPr>
          <w:p>
            <w:pPr>
              <w:pStyle w:val="0"/>
              <w:jc w:val="center"/>
            </w:pPr>
            <w:r>
              <w:rPr>
                <w:sz w:val="20"/>
              </w:rPr>
              <w:t xml:space="preserve">2251327,7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2462421,4</w:t>
            </w:r>
          </w:p>
        </w:tc>
      </w:tr>
      <w:tr>
        <w:tc>
          <w:tcPr>
            <w:tcW w:w="1474" w:type="dxa"/>
          </w:tcPr>
          <w:p>
            <w:pPr>
              <w:pStyle w:val="0"/>
              <w:jc w:val="both"/>
            </w:pPr>
            <w:r>
              <w:rPr>
                <w:sz w:val="20"/>
              </w:rPr>
              <w:t xml:space="preserve">2029 год</w:t>
            </w:r>
          </w:p>
        </w:tc>
        <w:tc>
          <w:tcPr>
            <w:tcW w:w="1587" w:type="dxa"/>
          </w:tcPr>
          <w:p>
            <w:pPr>
              <w:pStyle w:val="0"/>
              <w:jc w:val="center"/>
            </w:pPr>
            <w:r>
              <w:rPr>
                <w:sz w:val="20"/>
              </w:rPr>
              <w:t xml:space="preserve">217004,3</w:t>
            </w:r>
          </w:p>
        </w:tc>
        <w:tc>
          <w:tcPr>
            <w:tcW w:w="1531" w:type="dxa"/>
          </w:tcPr>
          <w:p>
            <w:pPr>
              <w:pStyle w:val="0"/>
              <w:jc w:val="center"/>
            </w:pPr>
            <w:r>
              <w:rPr>
                <w:sz w:val="20"/>
              </w:rPr>
              <w:t xml:space="preserve">2314365,0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2531369,3</w:t>
            </w:r>
          </w:p>
        </w:tc>
      </w:tr>
      <w:tr>
        <w:tc>
          <w:tcPr>
            <w:tcW w:w="1474" w:type="dxa"/>
          </w:tcPr>
          <w:p>
            <w:pPr>
              <w:pStyle w:val="0"/>
              <w:jc w:val="both"/>
            </w:pPr>
            <w:r>
              <w:rPr>
                <w:sz w:val="20"/>
              </w:rPr>
              <w:t xml:space="preserve">2030 год</w:t>
            </w:r>
          </w:p>
        </w:tc>
        <w:tc>
          <w:tcPr>
            <w:tcW w:w="1587" w:type="dxa"/>
          </w:tcPr>
          <w:p>
            <w:pPr>
              <w:pStyle w:val="0"/>
              <w:jc w:val="center"/>
            </w:pPr>
            <w:r>
              <w:rPr>
                <w:sz w:val="20"/>
              </w:rPr>
              <w:t xml:space="preserve">223080,4</w:t>
            </w:r>
          </w:p>
        </w:tc>
        <w:tc>
          <w:tcPr>
            <w:tcW w:w="1531" w:type="dxa"/>
          </w:tcPr>
          <w:p>
            <w:pPr>
              <w:pStyle w:val="0"/>
              <w:jc w:val="center"/>
            </w:pPr>
            <w:r>
              <w:rPr>
                <w:sz w:val="20"/>
              </w:rPr>
              <w:t xml:space="preserve">2379167,1</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2602247,5</w:t>
            </w:r>
          </w:p>
        </w:tc>
      </w:tr>
      <w:tr>
        <w:tc>
          <w:tcPr>
            <w:tcW w:w="1474" w:type="dxa"/>
          </w:tcPr>
          <w:p>
            <w:pPr>
              <w:pStyle w:val="0"/>
              <w:jc w:val="both"/>
            </w:pPr>
            <w:r>
              <w:rPr>
                <w:sz w:val="20"/>
              </w:rPr>
              <w:t xml:space="preserve">Всего</w:t>
            </w:r>
          </w:p>
        </w:tc>
        <w:tc>
          <w:tcPr>
            <w:tcW w:w="1587" w:type="dxa"/>
          </w:tcPr>
          <w:p>
            <w:pPr>
              <w:pStyle w:val="0"/>
              <w:jc w:val="center"/>
            </w:pPr>
            <w:r>
              <w:rPr>
                <w:sz w:val="20"/>
              </w:rPr>
              <w:t xml:space="preserve">2408864,3</w:t>
            </w:r>
          </w:p>
        </w:tc>
        <w:tc>
          <w:tcPr>
            <w:tcW w:w="1531" w:type="dxa"/>
          </w:tcPr>
          <w:p>
            <w:pPr>
              <w:pStyle w:val="0"/>
              <w:jc w:val="center"/>
            </w:pPr>
            <w:r>
              <w:rPr>
                <w:sz w:val="20"/>
              </w:rPr>
              <w:t xml:space="preserve">18594821,0</w:t>
            </w:r>
          </w:p>
        </w:tc>
        <w:tc>
          <w:tcPr>
            <w:tcW w:w="1700" w:type="dxa"/>
          </w:tcPr>
          <w:p>
            <w:pPr>
              <w:pStyle w:val="0"/>
              <w:jc w:val="center"/>
            </w:pPr>
            <w:r>
              <w:rPr>
                <w:sz w:val="20"/>
              </w:rPr>
              <w:t xml:space="preserve">80671,2</w:t>
            </w:r>
          </w:p>
        </w:tc>
        <w:tc>
          <w:tcPr>
            <w:tcW w:w="1191" w:type="dxa"/>
          </w:tcPr>
          <w:p>
            <w:pPr>
              <w:pStyle w:val="0"/>
              <w:jc w:val="center"/>
            </w:pPr>
            <w:r>
              <w:rPr>
                <w:sz w:val="20"/>
              </w:rPr>
              <w:t xml:space="preserve">0,0</w:t>
            </w:r>
          </w:p>
        </w:tc>
        <w:tc>
          <w:tcPr>
            <w:tcW w:w="1587" w:type="dxa"/>
          </w:tcPr>
          <w:p>
            <w:pPr>
              <w:pStyle w:val="0"/>
              <w:jc w:val="center"/>
            </w:pPr>
            <w:r>
              <w:rPr>
                <w:sz w:val="20"/>
              </w:rPr>
              <w:t xml:space="preserve">21084356,5</w:t>
            </w:r>
          </w:p>
        </w:tc>
      </w:tr>
    </w:tbl>
    <w:p>
      <w:pPr>
        <w:pStyle w:val="0"/>
        <w:jc w:val="both"/>
      </w:pPr>
      <w:r>
        <w:rPr>
          <w:sz w:val="20"/>
        </w:rPr>
        <w:t xml:space="preserve">(п. 8 в ред. </w:t>
      </w:r>
      <w:hyperlink w:history="0" r:id="rId114"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ind w:firstLine="540"/>
        <w:jc w:val="both"/>
      </w:pPr>
      <w:r>
        <w:rPr>
          <w:sz w:val="20"/>
        </w:rPr>
      </w:r>
    </w:p>
    <w:p>
      <w:pPr>
        <w:pStyle w:val="0"/>
        <w:ind w:firstLine="540"/>
        <w:jc w:val="both"/>
      </w:pPr>
      <w:r>
        <w:rPr>
          <w:sz w:val="20"/>
        </w:rPr>
        <w:t xml:space="preserve">9. Ожидаемые результаты реализации подпрограммы 1:</w:t>
      </w:r>
    </w:p>
    <w:p>
      <w:pPr>
        <w:pStyle w:val="0"/>
        <w:spacing w:before="200" w:line-rule="auto"/>
        <w:ind w:firstLine="540"/>
        <w:jc w:val="both"/>
      </w:pPr>
      <w:r>
        <w:rPr>
          <w:sz w:val="20"/>
        </w:rPr>
        <w:t xml:space="preserve">- увеличение охвата профилактическими медицинскими осмотрами детей до 95% к 2030 году;</w:t>
      </w:r>
    </w:p>
    <w:p>
      <w:pPr>
        <w:pStyle w:val="0"/>
        <w:spacing w:before="200" w:line-rule="auto"/>
        <w:ind w:firstLine="540"/>
        <w:jc w:val="both"/>
      </w:pPr>
      <w:r>
        <w:rPr>
          <w:sz w:val="20"/>
        </w:rPr>
        <w:t xml:space="preserve">- сохранение охвата диспансеризацией детей-сирот и детей, находящихся в трудной жизненной ситуации, на уровне 97% до 2030 года;</w:t>
      </w:r>
    </w:p>
    <w:p>
      <w:pPr>
        <w:pStyle w:val="0"/>
        <w:spacing w:before="200" w:line-rule="auto"/>
        <w:ind w:firstLine="540"/>
        <w:jc w:val="both"/>
      </w:pPr>
      <w:r>
        <w:rPr>
          <w:sz w:val="20"/>
        </w:rPr>
        <w:t xml:space="preserve">- охват диспансеризацией взрослого населения - 23% к 2030 году;</w:t>
      </w:r>
    </w:p>
    <w:p>
      <w:pPr>
        <w:pStyle w:val="0"/>
        <w:spacing w:before="200" w:line-rule="auto"/>
        <w:ind w:firstLine="540"/>
        <w:jc w:val="both"/>
      </w:pPr>
      <w:r>
        <w:rPr>
          <w:sz w:val="20"/>
        </w:rPr>
        <w:t xml:space="preserve">- снижение количества зарегистрированных больных с диагнозом, установленным впервые в жизни, активный туберкулез (на 100 тыс. населения) до 46,5 случая к 2030 году;</w:t>
      </w:r>
    </w:p>
    <w:p>
      <w:pPr>
        <w:pStyle w:val="0"/>
        <w:spacing w:before="200" w:line-rule="auto"/>
        <w:ind w:firstLine="540"/>
        <w:jc w:val="both"/>
      </w:pPr>
      <w:r>
        <w:rPr>
          <w:sz w:val="20"/>
        </w:rPr>
        <w:t xml:space="preserve">- снижение заболеваемости острым вирусным гепатитом B (на 100 тыс. населения) до 1,39 человека к 2030 году;</w:t>
      </w:r>
    </w:p>
    <w:p>
      <w:pPr>
        <w:pStyle w:val="0"/>
        <w:spacing w:before="200" w:line-rule="auto"/>
        <w:ind w:firstLine="540"/>
        <w:jc w:val="both"/>
      </w:pPr>
      <w:r>
        <w:rPr>
          <w:sz w:val="20"/>
        </w:rPr>
        <w:t xml:space="preserve">- сохранение охвата иммунизацией населения против гепатита B в декретированные сроки на уровне не ниже 95,0% до 2030 года;</w:t>
      </w:r>
    </w:p>
    <w:p>
      <w:pPr>
        <w:pStyle w:val="0"/>
        <w:spacing w:before="200" w:line-rule="auto"/>
        <w:ind w:firstLine="540"/>
        <w:jc w:val="both"/>
      </w:pPr>
      <w:r>
        <w:rPr>
          <w:sz w:val="20"/>
        </w:rPr>
        <w:t xml:space="preserve">- сохранение охвата иммунизацией населения против дифтерии, коклюша и столбняка в декретированные сроки на уровне не ниже 95,0% до 2030 года;</w:t>
      </w:r>
    </w:p>
    <w:p>
      <w:pPr>
        <w:pStyle w:val="0"/>
        <w:spacing w:before="200" w:line-rule="auto"/>
        <w:ind w:firstLine="540"/>
        <w:jc w:val="both"/>
      </w:pPr>
      <w:r>
        <w:rPr>
          <w:sz w:val="20"/>
        </w:rPr>
        <w:t xml:space="preserve">- сохранение охвата иммунизацией населения против кори на уровне не ниже 95,0% до 2030 года;</w:t>
      </w:r>
    </w:p>
    <w:p>
      <w:pPr>
        <w:pStyle w:val="0"/>
        <w:spacing w:before="200" w:line-rule="auto"/>
        <w:ind w:firstLine="540"/>
        <w:jc w:val="both"/>
      </w:pPr>
      <w:r>
        <w:rPr>
          <w:sz w:val="20"/>
        </w:rPr>
        <w:t xml:space="preserve">- увеличение доли лиц, инфицированных вирусом иммунодефицита человека, состоящих на диспансерном учете, в числе выявленных до 90,0% к 2030 году;</w:t>
      </w:r>
    </w:p>
    <w:p>
      <w:pPr>
        <w:pStyle w:val="0"/>
        <w:spacing w:before="200" w:line-rule="auto"/>
        <w:ind w:firstLine="540"/>
        <w:jc w:val="both"/>
      </w:pPr>
      <w:r>
        <w:rPr>
          <w:sz w:val="20"/>
        </w:rPr>
        <w:t xml:space="preserve">- снижение доли рецептов, находящихся на отсроченном обеспечении, в общем количестве выписанных рецептов до 0,5% к 2030 году;</w:t>
      </w:r>
    </w:p>
    <w:p>
      <w:pPr>
        <w:pStyle w:val="0"/>
        <w:spacing w:before="200" w:line-rule="auto"/>
        <w:ind w:firstLine="540"/>
        <w:jc w:val="both"/>
      </w:pPr>
      <w:r>
        <w:rPr>
          <w:sz w:val="20"/>
        </w:rPr>
        <w:t xml:space="preserve">- сохранение доли детей в возрасте 0 - 17 лет от общей численности детского населения, пролеченных в дневных стационарах медицинских организаций города Севастополя, оказывающих медицинскую помощь в амбулаторных условиях на уровне 4,45% до 2030 года;</w:t>
      </w:r>
    </w:p>
    <w:p>
      <w:pPr>
        <w:pStyle w:val="0"/>
        <w:spacing w:before="200" w:line-rule="auto"/>
        <w:ind w:firstLine="540"/>
        <w:jc w:val="both"/>
      </w:pPr>
      <w:r>
        <w:rPr>
          <w:sz w:val="20"/>
        </w:rPr>
        <w:t xml:space="preserve">- увеличение доли детских поликлиник и детских поликлинических отделений медицинских организаций города Севастополя, реализовавших организационно-планировочные решения внутренних пространств, обеспечивающих комфортность пребывания детей, в соответствии с требованиями </w:t>
      </w:r>
      <w:hyperlink w:history="0" r:id="rId115"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 до 95% к 2030 году;</w:t>
      </w:r>
    </w:p>
    <w:p>
      <w:pPr>
        <w:pStyle w:val="0"/>
        <w:spacing w:before="200" w:line-rule="auto"/>
        <w:ind w:firstLine="540"/>
        <w:jc w:val="both"/>
      </w:pPr>
      <w:r>
        <w:rPr>
          <w:sz w:val="20"/>
        </w:rPr>
        <w:t xml:space="preserve">- строительство поликлиники на 320 посещений в смену в микрорайоне Казачья Бухта, г. Севастополь, к 2023 году;</w:t>
      </w:r>
    </w:p>
    <w:p>
      <w:pPr>
        <w:pStyle w:val="0"/>
        <w:spacing w:before="200" w:line-rule="auto"/>
        <w:ind w:firstLine="540"/>
        <w:jc w:val="both"/>
      </w:pPr>
      <w:r>
        <w:rPr>
          <w:sz w:val="20"/>
        </w:rPr>
        <w:t xml:space="preserve">- строительство амбулаторно-поликлинического учреждения на 320 посещений в смену, пр-т Генерала Острякова, к 2027 году;</w:t>
      </w:r>
    </w:p>
    <w:p>
      <w:pPr>
        <w:pStyle w:val="0"/>
        <w:spacing w:before="200" w:line-rule="auto"/>
        <w:ind w:firstLine="540"/>
        <w:jc w:val="both"/>
      </w:pPr>
      <w:r>
        <w:rPr>
          <w:sz w:val="20"/>
        </w:rPr>
        <w:t xml:space="preserve">- строительство детской поликлиники на 100 посещений в смену на Корабельной стороне к 2023 году;</w:t>
      </w:r>
    </w:p>
    <w:p>
      <w:pPr>
        <w:pStyle w:val="0"/>
        <w:spacing w:before="200" w:line-rule="auto"/>
        <w:ind w:firstLine="540"/>
        <w:jc w:val="both"/>
      </w:pPr>
      <w:r>
        <w:rPr>
          <w:sz w:val="20"/>
        </w:rPr>
        <w:t xml:space="preserve">- увеличение доли впервые в жизни установленных неинфекционных заболеваний, выявленных при проведении диспансеризации и профилактическом медицинском осмотре, до 24,1% к 2030 году;</w:t>
      </w:r>
    </w:p>
    <w:p>
      <w:pPr>
        <w:pStyle w:val="0"/>
        <w:spacing w:before="200" w:line-rule="auto"/>
        <w:ind w:firstLine="540"/>
        <w:jc w:val="both"/>
      </w:pPr>
      <w:r>
        <w:rPr>
          <w:sz w:val="20"/>
        </w:rPr>
        <w:t xml:space="preserve">- увеличение охвата населения профилактическими осмотрами на туберкулез до 75% к 2030 году;</w:t>
      </w:r>
    </w:p>
    <w:p>
      <w:pPr>
        <w:pStyle w:val="0"/>
        <w:spacing w:before="200" w:line-rule="auto"/>
        <w:ind w:firstLine="540"/>
        <w:jc w:val="both"/>
      </w:pPr>
      <w:r>
        <w:rPr>
          <w:sz w:val="20"/>
        </w:rPr>
        <w:t xml:space="preserve">- увеличение уровня информированности населения в возрасте 18 - 49 лет по вопросам ВИЧ-инфекции до 95% к 2030 году;</w:t>
      </w:r>
    </w:p>
    <w:p>
      <w:pPr>
        <w:pStyle w:val="0"/>
        <w:spacing w:before="200" w:line-rule="auto"/>
        <w:ind w:firstLine="540"/>
        <w:jc w:val="both"/>
      </w:pPr>
      <w:r>
        <w:rPr>
          <w:sz w:val="20"/>
        </w:rPr>
        <w:t xml:space="preserve">- увеличение охвата медицинским освидетельствованием на ВИЧ-инфекцию населения г. Севастополя до 26% к 2030 году.</w:t>
      </w:r>
    </w:p>
    <w:p>
      <w:pPr>
        <w:pStyle w:val="0"/>
        <w:jc w:val="center"/>
      </w:pPr>
      <w:r>
        <w:rPr>
          <w:sz w:val="20"/>
        </w:rPr>
      </w:r>
    </w:p>
    <w:p>
      <w:pPr>
        <w:pStyle w:val="2"/>
        <w:outlineLvl w:val="2"/>
        <w:jc w:val="center"/>
      </w:pPr>
      <w:r>
        <w:rPr>
          <w:sz w:val="20"/>
        </w:rPr>
        <w:t xml:space="preserve">I. Характеристика фактического состояния сферы реализации</w:t>
      </w:r>
    </w:p>
    <w:p>
      <w:pPr>
        <w:pStyle w:val="2"/>
        <w:jc w:val="center"/>
      </w:pPr>
      <w:r>
        <w:rPr>
          <w:sz w:val="20"/>
        </w:rPr>
        <w:t xml:space="preserve">подпрограммы 1 и прогноз развития на перспективу</w:t>
      </w:r>
    </w:p>
    <w:p>
      <w:pPr>
        <w:pStyle w:val="0"/>
        <w:jc w:val="center"/>
      </w:pPr>
      <w:r>
        <w:rPr>
          <w:sz w:val="20"/>
        </w:rPr>
      </w:r>
    </w:p>
    <w:p>
      <w:pPr>
        <w:pStyle w:val="0"/>
        <w:ind w:firstLine="540"/>
        <w:jc w:val="both"/>
      </w:pPr>
      <w:r>
        <w:rPr>
          <w:sz w:val="20"/>
        </w:rPr>
        <w:t xml:space="preserve">Первичная медико-санитарная и первичная специализированная медицинская помощь в городе Севастополе оказывается в 42 подразделениях государственных бюджетных учреждений. При нормативе мощности в размере 7431 посещение в смену мощность существующих медицинских организаций составляет: в медицинских организация фактическая составляет 7150, функциональная - 6936. Результатом значительного дефицита площадей является ограничение доступности первичной медико-санитарной помощи. Сравнение фактической и нормативной мощностей медицинских организаций представлено в </w:t>
      </w:r>
      <w:hyperlink w:history="0" w:anchor="P740" w:tooltip="Таблица 1">
        <w:r>
          <w:rPr>
            <w:sz w:val="20"/>
            <w:color w:val="0000ff"/>
          </w:rPr>
          <w:t xml:space="preserve">таблице 1</w:t>
        </w:r>
      </w:hyperlink>
      <w:r>
        <w:rPr>
          <w:sz w:val="20"/>
        </w:rPr>
        <w:t xml:space="preserve">.</w:t>
      </w:r>
    </w:p>
    <w:p>
      <w:pPr>
        <w:pStyle w:val="0"/>
      </w:pPr>
      <w:r>
        <w:rPr>
          <w:sz w:val="20"/>
        </w:rPr>
      </w:r>
    </w:p>
    <w:bookmarkStart w:id="740" w:name="P740"/>
    <w:bookmarkEnd w:id="740"/>
    <w:p>
      <w:pPr>
        <w:pStyle w:val="0"/>
        <w:jc w:val="right"/>
      </w:pPr>
      <w:r>
        <w:rPr>
          <w:sz w:val="20"/>
        </w:rPr>
        <w:t xml:space="preserve">Таблица 1</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2408"/>
        <w:gridCol w:w="2408"/>
      </w:tblGrid>
      <w:tr>
        <w:tc>
          <w:tcPr>
            <w:tcW w:w="4252" w:type="dxa"/>
          </w:tcPr>
          <w:p>
            <w:pPr>
              <w:pStyle w:val="0"/>
              <w:jc w:val="center"/>
            </w:pPr>
            <w:r>
              <w:rPr>
                <w:sz w:val="20"/>
              </w:rPr>
              <w:t xml:space="preserve">Вид посещений</w:t>
            </w:r>
          </w:p>
        </w:tc>
        <w:tc>
          <w:tcPr>
            <w:tcW w:w="2408" w:type="dxa"/>
          </w:tcPr>
          <w:p>
            <w:pPr>
              <w:pStyle w:val="0"/>
              <w:jc w:val="center"/>
            </w:pPr>
            <w:r>
              <w:rPr>
                <w:sz w:val="20"/>
              </w:rPr>
              <w:t xml:space="preserve">Норматив посещений на 1 жителя (бюджет)</w:t>
            </w:r>
          </w:p>
        </w:tc>
        <w:tc>
          <w:tcPr>
            <w:tcW w:w="2408" w:type="dxa"/>
          </w:tcPr>
          <w:p>
            <w:pPr>
              <w:pStyle w:val="0"/>
              <w:jc w:val="center"/>
            </w:pPr>
            <w:r>
              <w:rPr>
                <w:sz w:val="20"/>
              </w:rPr>
              <w:t xml:space="preserve">Норматив посещений на 1 застрахованное лицо (ОМС)</w:t>
            </w:r>
          </w:p>
        </w:tc>
      </w:tr>
      <w:tr>
        <w:tc>
          <w:tcPr>
            <w:tcW w:w="4252" w:type="dxa"/>
          </w:tcPr>
          <w:p>
            <w:pPr>
              <w:pStyle w:val="0"/>
              <w:jc w:val="both"/>
            </w:pPr>
            <w:r>
              <w:rPr>
                <w:sz w:val="20"/>
              </w:rPr>
              <w:t xml:space="preserve">с профилактическими и иными целями</w:t>
            </w:r>
          </w:p>
        </w:tc>
        <w:tc>
          <w:tcPr>
            <w:tcW w:w="2408" w:type="dxa"/>
          </w:tcPr>
          <w:p>
            <w:pPr>
              <w:pStyle w:val="0"/>
              <w:jc w:val="center"/>
            </w:pPr>
            <w:r>
              <w:rPr>
                <w:sz w:val="20"/>
              </w:rPr>
              <w:t xml:space="preserve">0,70</w:t>
            </w:r>
          </w:p>
        </w:tc>
        <w:tc>
          <w:tcPr>
            <w:tcW w:w="2408" w:type="dxa"/>
          </w:tcPr>
          <w:p>
            <w:pPr>
              <w:pStyle w:val="0"/>
              <w:jc w:val="center"/>
            </w:pPr>
            <w:r>
              <w:rPr>
                <w:sz w:val="20"/>
              </w:rPr>
              <w:t xml:space="preserve">2,35</w:t>
            </w:r>
          </w:p>
        </w:tc>
      </w:tr>
      <w:tr>
        <w:tc>
          <w:tcPr>
            <w:tcW w:w="4252" w:type="dxa"/>
          </w:tcPr>
          <w:p>
            <w:pPr>
              <w:pStyle w:val="0"/>
              <w:jc w:val="both"/>
            </w:pPr>
            <w:r>
              <w:rPr>
                <w:sz w:val="20"/>
              </w:rPr>
              <w:t xml:space="preserve">по заболеванию</w:t>
            </w:r>
          </w:p>
        </w:tc>
        <w:tc>
          <w:tcPr>
            <w:tcW w:w="2408" w:type="dxa"/>
          </w:tcPr>
          <w:p>
            <w:pPr>
              <w:pStyle w:val="0"/>
              <w:jc w:val="center"/>
            </w:pPr>
            <w:r>
              <w:rPr>
                <w:sz w:val="20"/>
              </w:rPr>
              <w:t xml:space="preserve">0,58</w:t>
            </w:r>
          </w:p>
        </w:tc>
        <w:tc>
          <w:tcPr>
            <w:tcW w:w="2408" w:type="dxa"/>
          </w:tcPr>
          <w:p>
            <w:pPr>
              <w:pStyle w:val="0"/>
              <w:jc w:val="center"/>
            </w:pPr>
            <w:r>
              <w:rPr>
                <w:sz w:val="20"/>
              </w:rPr>
              <w:t xml:space="preserve">5,742</w:t>
            </w:r>
          </w:p>
        </w:tc>
      </w:tr>
      <w:tr>
        <w:tc>
          <w:tcPr>
            <w:tcW w:w="4252" w:type="dxa"/>
          </w:tcPr>
          <w:p>
            <w:pPr>
              <w:pStyle w:val="0"/>
              <w:jc w:val="both"/>
            </w:pPr>
            <w:r>
              <w:rPr>
                <w:sz w:val="20"/>
              </w:rPr>
              <w:t xml:space="preserve">всего норматив посещений</w:t>
            </w:r>
          </w:p>
        </w:tc>
        <w:tc>
          <w:tcPr>
            <w:tcW w:w="2408" w:type="dxa"/>
          </w:tcPr>
          <w:p>
            <w:pPr>
              <w:pStyle w:val="0"/>
              <w:jc w:val="center"/>
            </w:pPr>
            <w:r>
              <w:rPr>
                <w:sz w:val="20"/>
              </w:rPr>
              <w:t xml:space="preserve">1,28</w:t>
            </w:r>
          </w:p>
        </w:tc>
        <w:tc>
          <w:tcPr>
            <w:tcW w:w="2408" w:type="dxa"/>
          </w:tcPr>
          <w:p>
            <w:pPr>
              <w:pStyle w:val="0"/>
              <w:jc w:val="center"/>
            </w:pPr>
            <w:r>
              <w:rPr>
                <w:sz w:val="20"/>
              </w:rPr>
              <w:t xml:space="preserve">8,09</w:t>
            </w:r>
          </w:p>
        </w:tc>
      </w:tr>
      <w:tr>
        <w:tc>
          <w:tcPr>
            <w:tcW w:w="4252" w:type="dxa"/>
          </w:tcPr>
          <w:p>
            <w:pPr>
              <w:pStyle w:val="0"/>
              <w:jc w:val="both"/>
            </w:pPr>
            <w:r>
              <w:rPr>
                <w:sz w:val="20"/>
              </w:rPr>
              <w:t xml:space="preserve">расчетное количество жителей/застрахованных лиц</w:t>
            </w:r>
          </w:p>
        </w:tc>
        <w:tc>
          <w:tcPr>
            <w:tcW w:w="2408" w:type="dxa"/>
          </w:tcPr>
          <w:p>
            <w:pPr>
              <w:pStyle w:val="0"/>
              <w:jc w:val="center"/>
            </w:pPr>
            <w:r>
              <w:rPr>
                <w:sz w:val="20"/>
              </w:rPr>
              <w:t xml:space="preserve">443548</w:t>
            </w:r>
          </w:p>
        </w:tc>
        <w:tc>
          <w:tcPr>
            <w:tcW w:w="2408" w:type="dxa"/>
          </w:tcPr>
          <w:p>
            <w:pPr>
              <w:pStyle w:val="0"/>
              <w:jc w:val="center"/>
            </w:pPr>
            <w:r>
              <w:rPr>
                <w:sz w:val="20"/>
              </w:rPr>
              <w:t xml:space="preserve">411845</w:t>
            </w:r>
          </w:p>
        </w:tc>
      </w:tr>
      <w:tr>
        <w:tc>
          <w:tcPr>
            <w:tcW w:w="4252" w:type="dxa"/>
          </w:tcPr>
          <w:p>
            <w:pPr>
              <w:pStyle w:val="0"/>
              <w:jc w:val="both"/>
            </w:pPr>
            <w:r>
              <w:rPr>
                <w:sz w:val="20"/>
              </w:rPr>
              <w:t xml:space="preserve">количество посещений, всего</w:t>
            </w:r>
          </w:p>
        </w:tc>
        <w:tc>
          <w:tcPr>
            <w:tcW w:w="2408" w:type="dxa"/>
          </w:tcPr>
          <w:p>
            <w:pPr>
              <w:pStyle w:val="0"/>
              <w:jc w:val="center"/>
            </w:pPr>
            <w:r>
              <w:rPr>
                <w:sz w:val="20"/>
              </w:rPr>
              <w:t xml:space="preserve">567741</w:t>
            </w:r>
          </w:p>
        </w:tc>
        <w:tc>
          <w:tcPr>
            <w:tcW w:w="2408" w:type="dxa"/>
          </w:tcPr>
          <w:p>
            <w:pPr>
              <w:pStyle w:val="0"/>
              <w:jc w:val="center"/>
            </w:pPr>
            <w:r>
              <w:rPr>
                <w:sz w:val="20"/>
              </w:rPr>
              <w:t xml:space="preserve">3332650</w:t>
            </w:r>
          </w:p>
        </w:tc>
      </w:tr>
      <w:tr>
        <w:tc>
          <w:tcPr>
            <w:tcW w:w="4252" w:type="dxa"/>
          </w:tcPr>
          <w:p>
            <w:pPr>
              <w:pStyle w:val="0"/>
              <w:jc w:val="both"/>
            </w:pPr>
            <w:r>
              <w:rPr>
                <w:sz w:val="20"/>
              </w:rPr>
              <w:t xml:space="preserve">количество рабочих дней</w:t>
            </w:r>
          </w:p>
        </w:tc>
        <w:tc>
          <w:tcPr>
            <w:tcW w:w="2408" w:type="dxa"/>
          </w:tcPr>
          <w:p>
            <w:pPr>
              <w:pStyle w:val="0"/>
              <w:jc w:val="center"/>
            </w:pPr>
            <w:r>
              <w:rPr>
                <w:sz w:val="20"/>
              </w:rPr>
              <w:t xml:space="preserve">299</w:t>
            </w:r>
          </w:p>
        </w:tc>
        <w:tc>
          <w:tcPr>
            <w:tcW w:w="2408" w:type="dxa"/>
          </w:tcPr>
          <w:p>
            <w:pPr>
              <w:pStyle w:val="0"/>
              <w:jc w:val="center"/>
            </w:pPr>
            <w:r>
              <w:rPr>
                <w:sz w:val="20"/>
              </w:rPr>
              <w:t xml:space="preserve">299</w:t>
            </w:r>
          </w:p>
        </w:tc>
      </w:tr>
      <w:tr>
        <w:tc>
          <w:tcPr>
            <w:tcW w:w="4252" w:type="dxa"/>
          </w:tcPr>
          <w:p>
            <w:pPr>
              <w:pStyle w:val="0"/>
              <w:jc w:val="both"/>
            </w:pPr>
            <w:r>
              <w:rPr>
                <w:sz w:val="20"/>
              </w:rPr>
              <w:t xml:space="preserve">количество посещений в день</w:t>
            </w:r>
          </w:p>
        </w:tc>
        <w:tc>
          <w:tcPr>
            <w:tcW w:w="2408" w:type="dxa"/>
          </w:tcPr>
          <w:p>
            <w:pPr>
              <w:pStyle w:val="0"/>
              <w:jc w:val="center"/>
            </w:pPr>
            <w:r>
              <w:rPr>
                <w:sz w:val="20"/>
              </w:rPr>
              <w:t xml:space="preserve">1899</w:t>
            </w:r>
          </w:p>
        </w:tc>
        <w:tc>
          <w:tcPr>
            <w:tcW w:w="2408" w:type="dxa"/>
          </w:tcPr>
          <w:p>
            <w:pPr>
              <w:pStyle w:val="0"/>
              <w:jc w:val="center"/>
            </w:pPr>
            <w:r>
              <w:rPr>
                <w:sz w:val="20"/>
              </w:rPr>
              <w:t xml:space="preserve">11146</w:t>
            </w:r>
          </w:p>
        </w:tc>
      </w:tr>
      <w:tr>
        <w:tc>
          <w:tcPr>
            <w:tcW w:w="4252" w:type="dxa"/>
          </w:tcPr>
          <w:p>
            <w:pPr>
              <w:pStyle w:val="0"/>
              <w:jc w:val="both"/>
            </w:pPr>
            <w:r>
              <w:rPr>
                <w:sz w:val="20"/>
              </w:rPr>
              <w:t xml:space="preserve">количество смен (среднее)</w:t>
            </w:r>
          </w:p>
        </w:tc>
        <w:tc>
          <w:tcPr>
            <w:tcW w:w="2408" w:type="dxa"/>
          </w:tcPr>
          <w:p>
            <w:pPr>
              <w:pStyle w:val="0"/>
              <w:jc w:val="center"/>
            </w:pPr>
            <w:r>
              <w:rPr>
                <w:sz w:val="20"/>
              </w:rPr>
              <w:t xml:space="preserve">2,0</w:t>
            </w:r>
          </w:p>
        </w:tc>
        <w:tc>
          <w:tcPr>
            <w:tcW w:w="2408" w:type="dxa"/>
          </w:tcPr>
          <w:p>
            <w:pPr>
              <w:pStyle w:val="0"/>
              <w:jc w:val="center"/>
            </w:pPr>
            <w:r>
              <w:rPr>
                <w:sz w:val="20"/>
              </w:rPr>
              <w:t xml:space="preserve">1,7</w:t>
            </w:r>
          </w:p>
        </w:tc>
      </w:tr>
      <w:tr>
        <w:tc>
          <w:tcPr>
            <w:tcW w:w="4252" w:type="dxa"/>
          </w:tcPr>
          <w:p>
            <w:pPr>
              <w:pStyle w:val="0"/>
              <w:jc w:val="both"/>
            </w:pPr>
            <w:r>
              <w:rPr>
                <w:sz w:val="20"/>
              </w:rPr>
              <w:t xml:space="preserve">количество посещений в смену (норматив)</w:t>
            </w:r>
          </w:p>
        </w:tc>
        <w:tc>
          <w:tcPr>
            <w:tcW w:w="2408" w:type="dxa"/>
          </w:tcPr>
          <w:p>
            <w:pPr>
              <w:pStyle w:val="0"/>
              <w:jc w:val="center"/>
            </w:pPr>
            <w:r>
              <w:rPr>
                <w:sz w:val="20"/>
              </w:rPr>
              <w:t xml:space="preserve">949</w:t>
            </w:r>
          </w:p>
        </w:tc>
        <w:tc>
          <w:tcPr>
            <w:tcW w:w="2408" w:type="dxa"/>
          </w:tcPr>
          <w:p>
            <w:pPr>
              <w:pStyle w:val="0"/>
              <w:jc w:val="center"/>
            </w:pPr>
            <w:r>
              <w:rPr>
                <w:sz w:val="20"/>
              </w:rPr>
              <w:t xml:space="preserve">6556</w:t>
            </w:r>
          </w:p>
        </w:tc>
      </w:tr>
      <w:tr>
        <w:tc>
          <w:tcPr>
            <w:tcW w:w="4252" w:type="dxa"/>
          </w:tcPr>
          <w:p>
            <w:pPr>
              <w:pStyle w:val="0"/>
              <w:jc w:val="both"/>
            </w:pPr>
            <w:r>
              <w:rPr>
                <w:sz w:val="20"/>
              </w:rPr>
              <w:t xml:space="preserve">мощность медицинских организаций (функциональная)</w:t>
            </w:r>
          </w:p>
        </w:tc>
        <w:tc>
          <w:tcPr>
            <w:tcW w:w="2408" w:type="dxa"/>
          </w:tcPr>
          <w:p>
            <w:pPr>
              <w:pStyle w:val="0"/>
              <w:jc w:val="center"/>
            </w:pPr>
            <w:r>
              <w:rPr>
                <w:sz w:val="20"/>
              </w:rPr>
              <w:t xml:space="preserve">784</w:t>
            </w:r>
          </w:p>
        </w:tc>
        <w:tc>
          <w:tcPr>
            <w:tcW w:w="2408" w:type="dxa"/>
          </w:tcPr>
          <w:p>
            <w:pPr>
              <w:pStyle w:val="0"/>
              <w:jc w:val="center"/>
            </w:pPr>
            <w:r>
              <w:rPr>
                <w:sz w:val="20"/>
              </w:rPr>
              <w:t xml:space="preserve">6152</w:t>
            </w:r>
          </w:p>
        </w:tc>
      </w:tr>
      <w:tr>
        <w:tc>
          <w:tcPr>
            <w:tcW w:w="4252" w:type="dxa"/>
          </w:tcPr>
          <w:p>
            <w:pPr>
              <w:pStyle w:val="0"/>
              <w:jc w:val="both"/>
            </w:pPr>
            <w:r>
              <w:rPr>
                <w:sz w:val="20"/>
              </w:rPr>
              <w:t xml:space="preserve">дефицит/профицит</w:t>
            </w:r>
          </w:p>
        </w:tc>
        <w:tc>
          <w:tcPr>
            <w:tcW w:w="2408" w:type="dxa"/>
          </w:tcPr>
          <w:p>
            <w:pPr>
              <w:pStyle w:val="0"/>
              <w:jc w:val="center"/>
            </w:pPr>
            <w:r>
              <w:rPr>
                <w:sz w:val="20"/>
              </w:rPr>
              <w:t xml:space="preserve">-165</w:t>
            </w:r>
          </w:p>
        </w:tc>
        <w:tc>
          <w:tcPr>
            <w:tcW w:w="2408" w:type="dxa"/>
          </w:tcPr>
          <w:p>
            <w:pPr>
              <w:pStyle w:val="0"/>
              <w:jc w:val="center"/>
            </w:pPr>
            <w:r>
              <w:rPr>
                <w:sz w:val="20"/>
              </w:rPr>
              <w:t xml:space="preserve">-404</w:t>
            </w:r>
          </w:p>
        </w:tc>
      </w:tr>
    </w:tbl>
    <w:p>
      <w:pPr>
        <w:pStyle w:val="0"/>
        <w:jc w:val="both"/>
      </w:pPr>
      <w:r>
        <w:rPr>
          <w:sz w:val="20"/>
        </w:rPr>
      </w:r>
    </w:p>
    <w:p>
      <w:pPr>
        <w:pStyle w:val="0"/>
        <w:ind w:firstLine="540"/>
        <w:jc w:val="both"/>
      </w:pPr>
      <w:r>
        <w:rPr>
          <w:sz w:val="20"/>
        </w:rPr>
        <w:t xml:space="preserve">При недостаточной мощности всей амбулаторно-поликлинической службы в некоторых медицинских организациях (ГБУЗС "Городская больница N 1 им. Н.И. Пирогова", ГБУЗС "Севастопольская городская больница N 9") фактическая мощность ниже функциональной как результат наличия кабинетов узких специалистов (нейрохирург, колопроктолог), которые имеют большую величину времени простоя. И наоборот, в ГБУЗС ГБ N 5 фактическая мощность значительно превышает функциональную, что говорит об остром дефиците кабинетов приема специалистов.</w:t>
      </w:r>
    </w:p>
    <w:p>
      <w:pPr>
        <w:pStyle w:val="0"/>
        <w:spacing w:before="200" w:line-rule="auto"/>
        <w:ind w:firstLine="540"/>
        <w:jc w:val="both"/>
      </w:pPr>
      <w:r>
        <w:rPr>
          <w:sz w:val="20"/>
        </w:rPr>
        <w:t xml:space="preserve">Если рассматривать обеспеченность кабинетами специалистов в разрезе профилей оказания медицинской помощи, то при незначительном дефиците мощности поликлиник по профилю "акушерство и гинекология" в результате лицензирования четыре самые крупные консультации в составе ГБУЗС "Городская больница N 1 им. Н.И. Пирогова", к которой прикреплена наибольшая часть женского населения города Севастополя (около 130000 чел.), прекратят свое существование ввиду невозможности получения лицензии, что приведет к двукратному дефициту по соответствующему профилю. Решение данной проблемы - в переносе данного профиля медицинской помощи в другие строящиеся объекты. Сравнение фактической и функциональной мощностей представлено в </w:t>
      </w:r>
      <w:hyperlink w:history="0" w:anchor="P782" w:tooltip="Таблица 2">
        <w:r>
          <w:rPr>
            <w:sz w:val="20"/>
            <w:color w:val="0000ff"/>
          </w:rPr>
          <w:t xml:space="preserve">таблице 2</w:t>
        </w:r>
      </w:hyperlink>
      <w:r>
        <w:rPr>
          <w:sz w:val="20"/>
        </w:rPr>
        <w:t xml:space="preserve">.</w:t>
      </w:r>
    </w:p>
    <w:p>
      <w:pPr>
        <w:pStyle w:val="0"/>
        <w:ind w:firstLine="540"/>
        <w:jc w:val="both"/>
      </w:pPr>
      <w:r>
        <w:rPr>
          <w:sz w:val="20"/>
        </w:rPr>
      </w:r>
    </w:p>
    <w:bookmarkStart w:id="782" w:name="P782"/>
    <w:bookmarkEnd w:id="782"/>
    <w:p>
      <w:pPr>
        <w:pStyle w:val="0"/>
        <w:jc w:val="right"/>
      </w:pPr>
      <w:r>
        <w:rPr>
          <w:sz w:val="20"/>
        </w:rPr>
        <w:t xml:space="preserve">Таблица 2</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2408"/>
        <w:gridCol w:w="2408"/>
      </w:tblGrid>
      <w:tr>
        <w:tc>
          <w:tcPr>
            <w:tcW w:w="4252" w:type="dxa"/>
          </w:tcPr>
          <w:p>
            <w:pPr>
              <w:pStyle w:val="0"/>
              <w:jc w:val="center"/>
            </w:pPr>
            <w:r>
              <w:rPr>
                <w:sz w:val="20"/>
              </w:rPr>
              <w:t xml:space="preserve">Медицинские организации (МО)</w:t>
            </w:r>
          </w:p>
        </w:tc>
        <w:tc>
          <w:tcPr>
            <w:tcW w:w="2408" w:type="dxa"/>
          </w:tcPr>
          <w:p>
            <w:pPr>
              <w:pStyle w:val="0"/>
              <w:jc w:val="center"/>
            </w:pPr>
            <w:r>
              <w:rPr>
                <w:sz w:val="20"/>
              </w:rPr>
              <w:t xml:space="preserve">Фактическая мощность (посещений в смену)</w:t>
            </w:r>
          </w:p>
        </w:tc>
        <w:tc>
          <w:tcPr>
            <w:tcW w:w="2408" w:type="dxa"/>
          </w:tcPr>
          <w:p>
            <w:pPr>
              <w:pStyle w:val="0"/>
              <w:jc w:val="center"/>
            </w:pPr>
            <w:r>
              <w:rPr>
                <w:sz w:val="20"/>
              </w:rPr>
              <w:t xml:space="preserve">Функциональная мощность (посещений в смену)</w:t>
            </w:r>
          </w:p>
        </w:tc>
      </w:tr>
      <w:tr>
        <w:tc>
          <w:tcPr>
            <w:tcW w:w="4252" w:type="dxa"/>
          </w:tcPr>
          <w:p>
            <w:pPr>
              <w:pStyle w:val="0"/>
              <w:jc w:val="both"/>
            </w:pPr>
            <w:r>
              <w:rPr>
                <w:sz w:val="20"/>
              </w:rPr>
              <w:t xml:space="preserve">ГБУЗС "Городская больница N 1 им. Н.И. Пирогова"</w:t>
            </w:r>
          </w:p>
        </w:tc>
        <w:tc>
          <w:tcPr>
            <w:tcW w:w="2408" w:type="dxa"/>
          </w:tcPr>
          <w:p>
            <w:pPr>
              <w:pStyle w:val="0"/>
              <w:jc w:val="center"/>
            </w:pPr>
            <w:r>
              <w:rPr>
                <w:sz w:val="20"/>
              </w:rPr>
              <w:t xml:space="preserve">2950</w:t>
            </w:r>
          </w:p>
        </w:tc>
        <w:tc>
          <w:tcPr>
            <w:tcW w:w="2408" w:type="dxa"/>
          </w:tcPr>
          <w:p>
            <w:pPr>
              <w:pStyle w:val="0"/>
              <w:jc w:val="center"/>
            </w:pPr>
            <w:r>
              <w:rPr>
                <w:sz w:val="20"/>
              </w:rPr>
              <w:t xml:space="preserve">3469</w:t>
            </w:r>
          </w:p>
        </w:tc>
      </w:tr>
      <w:tr>
        <w:tc>
          <w:tcPr>
            <w:tcW w:w="4252" w:type="dxa"/>
          </w:tcPr>
          <w:p>
            <w:pPr>
              <w:pStyle w:val="0"/>
              <w:jc w:val="both"/>
            </w:pPr>
            <w:r>
              <w:rPr>
                <w:sz w:val="20"/>
              </w:rPr>
              <w:t xml:space="preserve">ГБУЗС "Городская больница N 4"</w:t>
            </w:r>
          </w:p>
        </w:tc>
        <w:tc>
          <w:tcPr>
            <w:tcW w:w="2408" w:type="dxa"/>
          </w:tcPr>
          <w:p>
            <w:pPr>
              <w:pStyle w:val="0"/>
              <w:jc w:val="center"/>
            </w:pPr>
            <w:r>
              <w:rPr>
                <w:sz w:val="20"/>
              </w:rPr>
              <w:t xml:space="preserve">260</w:t>
            </w:r>
          </w:p>
        </w:tc>
        <w:tc>
          <w:tcPr>
            <w:tcW w:w="2408" w:type="dxa"/>
          </w:tcPr>
          <w:p>
            <w:pPr>
              <w:pStyle w:val="0"/>
              <w:jc w:val="center"/>
            </w:pPr>
            <w:r>
              <w:rPr>
                <w:sz w:val="20"/>
              </w:rPr>
              <w:t xml:space="preserve">738</w:t>
            </w:r>
          </w:p>
        </w:tc>
      </w:tr>
      <w:tr>
        <w:tc>
          <w:tcPr>
            <w:tcW w:w="4252" w:type="dxa"/>
          </w:tcPr>
          <w:p>
            <w:pPr>
              <w:pStyle w:val="0"/>
              <w:jc w:val="both"/>
            </w:pPr>
            <w:r>
              <w:rPr>
                <w:sz w:val="20"/>
              </w:rPr>
              <w:t xml:space="preserve">ГБУЗС ГБ N 5</w:t>
            </w:r>
          </w:p>
        </w:tc>
        <w:tc>
          <w:tcPr>
            <w:tcW w:w="2408" w:type="dxa"/>
          </w:tcPr>
          <w:p>
            <w:pPr>
              <w:pStyle w:val="0"/>
              <w:jc w:val="center"/>
            </w:pPr>
            <w:r>
              <w:rPr>
                <w:sz w:val="20"/>
              </w:rPr>
              <w:t xml:space="preserve">1380</w:t>
            </w:r>
          </w:p>
        </w:tc>
        <w:tc>
          <w:tcPr>
            <w:tcW w:w="2408" w:type="dxa"/>
          </w:tcPr>
          <w:p>
            <w:pPr>
              <w:pStyle w:val="0"/>
              <w:jc w:val="center"/>
            </w:pPr>
            <w:r>
              <w:rPr>
                <w:sz w:val="20"/>
              </w:rPr>
              <w:t xml:space="preserve">763</w:t>
            </w:r>
          </w:p>
        </w:tc>
      </w:tr>
      <w:tr>
        <w:tc>
          <w:tcPr>
            <w:tcW w:w="4252" w:type="dxa"/>
          </w:tcPr>
          <w:p>
            <w:pPr>
              <w:pStyle w:val="0"/>
              <w:jc w:val="both"/>
            </w:pPr>
            <w:r>
              <w:rPr>
                <w:sz w:val="20"/>
              </w:rPr>
              <w:t xml:space="preserve">ГБУЗС "Севастопольская городская больница N 9"</w:t>
            </w:r>
          </w:p>
        </w:tc>
        <w:tc>
          <w:tcPr>
            <w:tcW w:w="2408" w:type="dxa"/>
          </w:tcPr>
          <w:p>
            <w:pPr>
              <w:pStyle w:val="0"/>
              <w:jc w:val="center"/>
            </w:pPr>
            <w:r>
              <w:rPr>
                <w:sz w:val="20"/>
              </w:rPr>
              <w:t xml:space="preserve">670</w:t>
            </w:r>
          </w:p>
        </w:tc>
        <w:tc>
          <w:tcPr>
            <w:tcW w:w="2408" w:type="dxa"/>
          </w:tcPr>
          <w:p>
            <w:pPr>
              <w:pStyle w:val="0"/>
              <w:jc w:val="center"/>
            </w:pPr>
            <w:r>
              <w:rPr>
                <w:sz w:val="20"/>
              </w:rPr>
              <w:t xml:space="preserve">840</w:t>
            </w:r>
          </w:p>
        </w:tc>
      </w:tr>
      <w:tr>
        <w:tc>
          <w:tcPr>
            <w:tcW w:w="4252" w:type="dxa"/>
          </w:tcPr>
          <w:p>
            <w:pPr>
              <w:pStyle w:val="0"/>
              <w:jc w:val="both"/>
            </w:pPr>
            <w:r>
              <w:rPr>
                <w:sz w:val="20"/>
              </w:rPr>
              <w:t xml:space="preserve">ГБУЗС "Севастопольский городской онкологический диспансер им. А.А. Задорожного"</w:t>
            </w:r>
          </w:p>
        </w:tc>
        <w:tc>
          <w:tcPr>
            <w:tcW w:w="2408" w:type="dxa"/>
          </w:tcPr>
          <w:p>
            <w:pPr>
              <w:pStyle w:val="0"/>
              <w:jc w:val="center"/>
            </w:pPr>
            <w:r>
              <w:rPr>
                <w:sz w:val="20"/>
              </w:rPr>
              <w:t xml:space="preserve">40</w:t>
            </w:r>
          </w:p>
        </w:tc>
        <w:tc>
          <w:tcPr>
            <w:tcW w:w="2408" w:type="dxa"/>
          </w:tcPr>
          <w:p>
            <w:pPr>
              <w:pStyle w:val="0"/>
              <w:jc w:val="center"/>
            </w:pPr>
            <w:r>
              <w:rPr>
                <w:sz w:val="20"/>
              </w:rPr>
              <w:t xml:space="preserve">76</w:t>
            </w:r>
          </w:p>
        </w:tc>
      </w:tr>
      <w:tr>
        <w:tc>
          <w:tcPr>
            <w:tcW w:w="4252" w:type="dxa"/>
          </w:tcPr>
          <w:p>
            <w:pPr>
              <w:pStyle w:val="0"/>
              <w:jc w:val="both"/>
            </w:pPr>
            <w:r>
              <w:rPr>
                <w:sz w:val="20"/>
              </w:rPr>
              <w:t xml:space="preserve">ГБУЗС "Городская инфекционная больница"</w:t>
            </w:r>
          </w:p>
        </w:tc>
        <w:tc>
          <w:tcPr>
            <w:tcW w:w="2408" w:type="dxa"/>
          </w:tcPr>
          <w:p>
            <w:pPr>
              <w:pStyle w:val="0"/>
              <w:jc w:val="center"/>
            </w:pPr>
            <w:r>
              <w:rPr>
                <w:sz w:val="20"/>
              </w:rPr>
              <w:t xml:space="preserve">60</w:t>
            </w:r>
          </w:p>
        </w:tc>
        <w:tc>
          <w:tcPr>
            <w:tcW w:w="2408" w:type="dxa"/>
          </w:tcPr>
          <w:p>
            <w:pPr>
              <w:pStyle w:val="0"/>
              <w:jc w:val="center"/>
            </w:pPr>
            <w:r>
              <w:rPr>
                <w:sz w:val="20"/>
              </w:rPr>
              <w:t xml:space="preserve">56</w:t>
            </w:r>
          </w:p>
        </w:tc>
      </w:tr>
      <w:tr>
        <w:tc>
          <w:tcPr>
            <w:tcW w:w="4252" w:type="dxa"/>
          </w:tcPr>
          <w:p>
            <w:pPr>
              <w:pStyle w:val="0"/>
              <w:jc w:val="both"/>
            </w:pPr>
            <w:r>
              <w:rPr>
                <w:sz w:val="20"/>
              </w:rPr>
              <w:t xml:space="preserve">ГБУЗС "Кожно-венерологический диспансер"</w:t>
            </w:r>
          </w:p>
        </w:tc>
        <w:tc>
          <w:tcPr>
            <w:tcW w:w="2408" w:type="dxa"/>
          </w:tcPr>
          <w:p>
            <w:pPr>
              <w:pStyle w:val="0"/>
              <w:jc w:val="center"/>
            </w:pPr>
            <w:r>
              <w:rPr>
                <w:sz w:val="20"/>
              </w:rPr>
              <w:t xml:space="preserve">380</w:t>
            </w:r>
          </w:p>
        </w:tc>
        <w:tc>
          <w:tcPr>
            <w:tcW w:w="2408" w:type="dxa"/>
          </w:tcPr>
          <w:p>
            <w:pPr>
              <w:pStyle w:val="0"/>
              <w:jc w:val="center"/>
            </w:pPr>
            <w:r>
              <w:rPr>
                <w:sz w:val="20"/>
              </w:rPr>
              <w:t xml:space="preserve">162</w:t>
            </w:r>
          </w:p>
        </w:tc>
      </w:tr>
      <w:tr>
        <w:tc>
          <w:tcPr>
            <w:tcW w:w="4252" w:type="dxa"/>
          </w:tcPr>
          <w:p>
            <w:pPr>
              <w:pStyle w:val="0"/>
              <w:jc w:val="both"/>
            </w:pPr>
            <w:r>
              <w:rPr>
                <w:sz w:val="20"/>
              </w:rPr>
              <w:t xml:space="preserve">ГБУЗС "Севастопольская городская психиатрическая больница"</w:t>
            </w:r>
          </w:p>
        </w:tc>
        <w:tc>
          <w:tcPr>
            <w:tcW w:w="2408" w:type="dxa"/>
          </w:tcPr>
          <w:p>
            <w:pPr>
              <w:pStyle w:val="0"/>
              <w:jc w:val="center"/>
            </w:pPr>
            <w:r>
              <w:rPr>
                <w:sz w:val="20"/>
              </w:rPr>
              <w:t xml:space="preserve">220</w:t>
            </w:r>
          </w:p>
        </w:tc>
        <w:tc>
          <w:tcPr>
            <w:tcW w:w="2408" w:type="dxa"/>
          </w:tcPr>
          <w:p>
            <w:pPr>
              <w:pStyle w:val="0"/>
              <w:jc w:val="center"/>
            </w:pPr>
            <w:r>
              <w:rPr>
                <w:sz w:val="20"/>
              </w:rPr>
              <w:t xml:space="preserve">170</w:t>
            </w:r>
          </w:p>
        </w:tc>
      </w:tr>
      <w:tr>
        <w:tc>
          <w:tcPr>
            <w:tcW w:w="4252" w:type="dxa"/>
          </w:tcPr>
          <w:p>
            <w:pPr>
              <w:pStyle w:val="0"/>
              <w:jc w:val="both"/>
            </w:pPr>
            <w:r>
              <w:rPr>
                <w:sz w:val="20"/>
              </w:rPr>
              <w:t xml:space="preserve">ГБУЗС "Севастопольский противотуберкулезный диспансер"</w:t>
            </w:r>
          </w:p>
        </w:tc>
        <w:tc>
          <w:tcPr>
            <w:tcW w:w="2408" w:type="dxa"/>
          </w:tcPr>
          <w:p>
            <w:pPr>
              <w:pStyle w:val="0"/>
              <w:jc w:val="center"/>
            </w:pPr>
            <w:r>
              <w:rPr>
                <w:sz w:val="20"/>
              </w:rPr>
              <w:t xml:space="preserve">250</w:t>
            </w:r>
          </w:p>
        </w:tc>
        <w:tc>
          <w:tcPr>
            <w:tcW w:w="2408" w:type="dxa"/>
          </w:tcPr>
          <w:p>
            <w:pPr>
              <w:pStyle w:val="0"/>
              <w:jc w:val="center"/>
            </w:pPr>
            <w:r>
              <w:rPr>
                <w:sz w:val="20"/>
              </w:rPr>
              <w:t xml:space="preserve">205</w:t>
            </w:r>
          </w:p>
        </w:tc>
      </w:tr>
      <w:tr>
        <w:tc>
          <w:tcPr>
            <w:tcW w:w="4252" w:type="dxa"/>
          </w:tcPr>
          <w:p>
            <w:pPr>
              <w:pStyle w:val="0"/>
              <w:jc w:val="both"/>
            </w:pPr>
            <w:r>
              <w:rPr>
                <w:sz w:val="20"/>
              </w:rPr>
              <w:t xml:space="preserve">ГАУЗС "Центр лечебной физкультуры, спортивной медицины и медицинской профилактики"</w:t>
            </w:r>
          </w:p>
        </w:tc>
        <w:tc>
          <w:tcPr>
            <w:tcW w:w="2408" w:type="dxa"/>
          </w:tcPr>
          <w:p>
            <w:pPr>
              <w:pStyle w:val="0"/>
              <w:jc w:val="center"/>
            </w:pPr>
            <w:r>
              <w:rPr>
                <w:sz w:val="20"/>
              </w:rPr>
              <w:t xml:space="preserve">40</w:t>
            </w:r>
          </w:p>
        </w:tc>
        <w:tc>
          <w:tcPr>
            <w:tcW w:w="2408" w:type="dxa"/>
          </w:tcPr>
          <w:p>
            <w:pPr>
              <w:pStyle w:val="0"/>
              <w:jc w:val="center"/>
            </w:pPr>
            <w:r>
              <w:rPr>
                <w:sz w:val="20"/>
              </w:rPr>
              <w:t xml:space="preserve">191</w:t>
            </w:r>
          </w:p>
        </w:tc>
      </w:tr>
      <w:tr>
        <w:tc>
          <w:tcPr>
            <w:tcW w:w="4252" w:type="dxa"/>
          </w:tcPr>
          <w:p>
            <w:pPr>
              <w:pStyle w:val="0"/>
              <w:jc w:val="both"/>
            </w:pPr>
            <w:r>
              <w:rPr>
                <w:sz w:val="20"/>
              </w:rPr>
              <w:t xml:space="preserve">ГБУЗС "Стоматологическая поликлиника N 1", ГБУЗС "Севастопольская детская стоматологическая поликлиника"</w:t>
            </w:r>
          </w:p>
        </w:tc>
        <w:tc>
          <w:tcPr>
            <w:tcW w:w="2408" w:type="dxa"/>
          </w:tcPr>
          <w:p>
            <w:pPr>
              <w:pStyle w:val="0"/>
              <w:jc w:val="center"/>
            </w:pPr>
            <w:r>
              <w:rPr>
                <w:sz w:val="20"/>
              </w:rPr>
              <w:t xml:space="preserve">900</w:t>
            </w:r>
          </w:p>
        </w:tc>
        <w:tc>
          <w:tcPr>
            <w:tcW w:w="2408" w:type="dxa"/>
          </w:tcPr>
          <w:p>
            <w:pPr>
              <w:pStyle w:val="0"/>
              <w:jc w:val="center"/>
            </w:pPr>
            <w:r>
              <w:rPr>
                <w:sz w:val="20"/>
              </w:rPr>
              <w:t xml:space="preserve">266</w:t>
            </w:r>
          </w:p>
        </w:tc>
      </w:tr>
      <w:tr>
        <w:tc>
          <w:tcPr>
            <w:tcW w:w="4252" w:type="dxa"/>
          </w:tcPr>
          <w:p>
            <w:pPr>
              <w:pStyle w:val="0"/>
              <w:jc w:val="both"/>
            </w:pPr>
            <w:r>
              <w:rPr>
                <w:sz w:val="20"/>
              </w:rPr>
              <w:t xml:space="preserve">ИТОГО мощность МО</w:t>
            </w:r>
          </w:p>
        </w:tc>
        <w:tc>
          <w:tcPr>
            <w:tcW w:w="2408" w:type="dxa"/>
          </w:tcPr>
          <w:p>
            <w:pPr>
              <w:pStyle w:val="0"/>
              <w:jc w:val="center"/>
            </w:pPr>
            <w:r>
              <w:rPr>
                <w:sz w:val="20"/>
              </w:rPr>
              <w:t xml:space="preserve">7150</w:t>
            </w:r>
          </w:p>
        </w:tc>
        <w:tc>
          <w:tcPr>
            <w:tcW w:w="2408" w:type="dxa"/>
          </w:tcPr>
          <w:p>
            <w:pPr>
              <w:pStyle w:val="0"/>
              <w:jc w:val="center"/>
            </w:pPr>
            <w:r>
              <w:rPr>
                <w:sz w:val="20"/>
              </w:rPr>
              <w:t xml:space="preserve">6936</w:t>
            </w:r>
          </w:p>
        </w:tc>
      </w:tr>
    </w:tbl>
    <w:p>
      <w:pPr>
        <w:pStyle w:val="0"/>
        <w:jc w:val="both"/>
      </w:pPr>
      <w:r>
        <w:rPr>
          <w:sz w:val="20"/>
        </w:rPr>
      </w:r>
    </w:p>
    <w:p>
      <w:pPr>
        <w:pStyle w:val="0"/>
        <w:ind w:firstLine="540"/>
        <w:jc w:val="both"/>
      </w:pPr>
      <w:r>
        <w:rPr>
          <w:sz w:val="20"/>
        </w:rPr>
        <w:t xml:space="preserve">Существует проблема с нехваткой площадей для размещения кабинетов участковых врачей-терапевтов, педиатров и стоматологов.</w:t>
      </w:r>
    </w:p>
    <w:p>
      <w:pPr>
        <w:pStyle w:val="0"/>
        <w:spacing w:before="200" w:line-rule="auto"/>
        <w:ind w:firstLine="540"/>
        <w:jc w:val="both"/>
      </w:pPr>
      <w:r>
        <w:rPr>
          <w:sz w:val="20"/>
        </w:rPr>
        <w:t xml:space="preserve">С целью решения данной проблемы необходимо строительство новых поликлиник:</w:t>
      </w:r>
    </w:p>
    <w:p>
      <w:pPr>
        <w:pStyle w:val="0"/>
        <w:spacing w:before="200" w:line-rule="auto"/>
        <w:ind w:firstLine="540"/>
        <w:jc w:val="both"/>
      </w:pPr>
      <w:r>
        <w:rPr>
          <w:sz w:val="20"/>
        </w:rPr>
        <w:t xml:space="preserve">- в микрорайоне Казачья бухта для оказания помощи взрослому и детскому населению на 320 посещений в смену;</w:t>
      </w:r>
    </w:p>
    <w:p>
      <w:pPr>
        <w:pStyle w:val="0"/>
        <w:spacing w:before="200" w:line-rule="auto"/>
        <w:ind w:firstLine="540"/>
        <w:jc w:val="both"/>
      </w:pPr>
      <w:r>
        <w:rPr>
          <w:sz w:val="20"/>
        </w:rPr>
        <w:t xml:space="preserve">- на проспекте Генерала Острякова на 320 посещений в смену;</w:t>
      </w:r>
    </w:p>
    <w:p>
      <w:pPr>
        <w:pStyle w:val="0"/>
        <w:spacing w:before="200" w:line-rule="auto"/>
        <w:ind w:firstLine="540"/>
        <w:jc w:val="both"/>
      </w:pPr>
      <w:r>
        <w:rPr>
          <w:sz w:val="20"/>
        </w:rPr>
        <w:t xml:space="preserve">- в районе площади Ластовой на 100 посещений детей в смену (на месте аварийного здания детской поликлиники).</w:t>
      </w:r>
    </w:p>
    <w:p>
      <w:pPr>
        <w:pStyle w:val="0"/>
        <w:spacing w:before="200" w:line-rule="auto"/>
        <w:ind w:firstLine="540"/>
        <w:jc w:val="both"/>
      </w:pPr>
      <w:r>
        <w:rPr>
          <w:sz w:val="20"/>
        </w:rPr>
        <w:t xml:space="preserve">С 2016 года в подразделениях медицинских организаций внедряется программа "Бережливая поликлиника", целями которой являются:</w:t>
      </w:r>
    </w:p>
    <w:p>
      <w:pPr>
        <w:pStyle w:val="0"/>
        <w:spacing w:before="200" w:line-rule="auto"/>
        <w:ind w:firstLine="540"/>
        <w:jc w:val="both"/>
      </w:pPr>
      <w:r>
        <w:rPr>
          <w:sz w:val="20"/>
        </w:rPr>
        <w:t xml:space="preserve">- улучшение доступности медицинской помощи;</w:t>
      </w:r>
    </w:p>
    <w:p>
      <w:pPr>
        <w:pStyle w:val="0"/>
        <w:spacing w:before="200" w:line-rule="auto"/>
        <w:ind w:firstLine="540"/>
        <w:jc w:val="both"/>
      </w:pPr>
      <w:r>
        <w:rPr>
          <w:sz w:val="20"/>
        </w:rPr>
        <w:t xml:space="preserve">- рост удовлетворенности населения медицинской помощью;</w:t>
      </w:r>
    </w:p>
    <w:p>
      <w:pPr>
        <w:pStyle w:val="0"/>
        <w:spacing w:before="200" w:line-rule="auto"/>
        <w:ind w:firstLine="540"/>
        <w:jc w:val="both"/>
      </w:pPr>
      <w:r>
        <w:rPr>
          <w:sz w:val="20"/>
        </w:rPr>
        <w:t xml:space="preserve">- улучшение качества медицинских услуг.</w:t>
      </w:r>
    </w:p>
    <w:p>
      <w:pPr>
        <w:pStyle w:val="0"/>
        <w:spacing w:before="200" w:line-rule="auto"/>
        <w:ind w:firstLine="540"/>
        <w:jc w:val="both"/>
      </w:pPr>
      <w:r>
        <w:rPr>
          <w:sz w:val="20"/>
        </w:rPr>
        <w:t xml:space="preserve">Основными мероприятиями программы "Бережливая поликлиника" являются:</w:t>
      </w:r>
    </w:p>
    <w:p>
      <w:pPr>
        <w:pStyle w:val="0"/>
        <w:spacing w:before="200" w:line-rule="auto"/>
        <w:ind w:firstLine="540"/>
        <w:jc w:val="both"/>
      </w:pPr>
      <w:r>
        <w:rPr>
          <w:sz w:val="20"/>
        </w:rPr>
        <w:t xml:space="preserve">- организация рабочих мест по системе 5С;</w:t>
      </w:r>
    </w:p>
    <w:p>
      <w:pPr>
        <w:pStyle w:val="0"/>
        <w:spacing w:before="200" w:line-rule="auto"/>
        <w:ind w:firstLine="540"/>
        <w:jc w:val="both"/>
      </w:pPr>
      <w:r>
        <w:rPr>
          <w:sz w:val="20"/>
        </w:rPr>
        <w:t xml:space="preserve">- оптимизация работы диагностического и лечебного оборудований;</w:t>
      </w:r>
    </w:p>
    <w:p>
      <w:pPr>
        <w:pStyle w:val="0"/>
        <w:spacing w:before="200" w:line-rule="auto"/>
        <w:ind w:firstLine="540"/>
        <w:jc w:val="both"/>
      </w:pPr>
      <w:r>
        <w:rPr>
          <w:sz w:val="20"/>
        </w:rPr>
        <w:t xml:space="preserve">- организация кабинетов доврачебных приемов;</w:t>
      </w:r>
    </w:p>
    <w:p>
      <w:pPr>
        <w:pStyle w:val="0"/>
        <w:spacing w:before="200" w:line-rule="auto"/>
        <w:ind w:firstLine="540"/>
        <w:jc w:val="both"/>
      </w:pPr>
      <w:r>
        <w:rPr>
          <w:sz w:val="20"/>
        </w:rPr>
        <w:t xml:space="preserve">- реализация мероприятий по доступной среде;</w:t>
      </w:r>
    </w:p>
    <w:p>
      <w:pPr>
        <w:pStyle w:val="0"/>
        <w:spacing w:before="200" w:line-rule="auto"/>
        <w:ind w:firstLine="540"/>
        <w:jc w:val="both"/>
      </w:pPr>
      <w:r>
        <w:rPr>
          <w:sz w:val="20"/>
        </w:rPr>
        <w:t xml:space="preserve">- реализация мероприятий по комфортной среде;</w:t>
      </w:r>
    </w:p>
    <w:p>
      <w:pPr>
        <w:pStyle w:val="0"/>
        <w:spacing w:before="200" w:line-rule="auto"/>
        <w:ind w:firstLine="540"/>
        <w:jc w:val="both"/>
      </w:pPr>
      <w:r>
        <w:rPr>
          <w:sz w:val="20"/>
        </w:rPr>
        <w:t xml:space="preserve">- навигация и визуализация;</w:t>
      </w:r>
    </w:p>
    <w:p>
      <w:pPr>
        <w:pStyle w:val="0"/>
        <w:spacing w:before="200" w:line-rule="auto"/>
        <w:ind w:firstLine="540"/>
        <w:jc w:val="both"/>
      </w:pPr>
      <w:r>
        <w:rPr>
          <w:sz w:val="20"/>
        </w:rPr>
        <w:t xml:space="preserve">- маршрутизация.</w:t>
      </w:r>
    </w:p>
    <w:p>
      <w:pPr>
        <w:pStyle w:val="0"/>
        <w:spacing w:before="200" w:line-rule="auto"/>
        <w:ind w:firstLine="540"/>
        <w:jc w:val="both"/>
      </w:pPr>
      <w:r>
        <w:rPr>
          <w:sz w:val="20"/>
        </w:rPr>
        <w:t xml:space="preserve">С 2019 года проект продлен во всех подразделениях медицинских организаций, оказывающих первичную медико-санитарную помощь.</w:t>
      </w:r>
    </w:p>
    <w:p>
      <w:pPr>
        <w:pStyle w:val="0"/>
        <w:spacing w:before="200" w:line-rule="auto"/>
        <w:ind w:firstLine="540"/>
        <w:jc w:val="both"/>
      </w:pPr>
      <w:r>
        <w:rPr>
          <w:sz w:val="20"/>
        </w:rPr>
        <w:t xml:space="preserve">Основными направлениями развития первичной медико-санитарной помощи являются:</w:t>
      </w:r>
    </w:p>
    <w:p>
      <w:pPr>
        <w:pStyle w:val="0"/>
        <w:spacing w:before="200" w:line-rule="auto"/>
        <w:ind w:firstLine="540"/>
        <w:jc w:val="both"/>
      </w:pPr>
      <w:r>
        <w:rPr>
          <w:sz w:val="20"/>
        </w:rPr>
        <w:t xml:space="preserve">- улучшение доступности первичной медико-санитарной помощи;</w:t>
      </w:r>
    </w:p>
    <w:p>
      <w:pPr>
        <w:pStyle w:val="0"/>
        <w:spacing w:before="200" w:line-rule="auto"/>
        <w:ind w:firstLine="540"/>
        <w:jc w:val="both"/>
      </w:pPr>
      <w:r>
        <w:rPr>
          <w:sz w:val="20"/>
        </w:rPr>
        <w:t xml:space="preserve">- повышение удовлетворенности населения медицинской помощью;</w:t>
      </w:r>
    </w:p>
    <w:p>
      <w:pPr>
        <w:pStyle w:val="0"/>
        <w:spacing w:before="200" w:line-rule="auto"/>
        <w:ind w:firstLine="540"/>
        <w:jc w:val="both"/>
      </w:pPr>
      <w:r>
        <w:rPr>
          <w:sz w:val="20"/>
        </w:rPr>
        <w:t xml:space="preserve">- внедрение принципов "Бережливое производство" и "Доступная среда" в амбулаторно-поликлинических учреждениях;</w:t>
      </w:r>
    </w:p>
    <w:p>
      <w:pPr>
        <w:pStyle w:val="0"/>
        <w:spacing w:before="200" w:line-rule="auto"/>
        <w:ind w:firstLine="540"/>
        <w:jc w:val="both"/>
      </w:pPr>
      <w:r>
        <w:rPr>
          <w:sz w:val="20"/>
        </w:rPr>
        <w:t xml:space="preserve">- обеспечение приоритета раннего выявления инфекционных заболеваний;</w:t>
      </w:r>
    </w:p>
    <w:p>
      <w:pPr>
        <w:pStyle w:val="0"/>
        <w:spacing w:before="200" w:line-rule="auto"/>
        <w:ind w:firstLine="540"/>
        <w:jc w:val="both"/>
      </w:pPr>
      <w:r>
        <w:rPr>
          <w:sz w:val="20"/>
        </w:rPr>
        <w:t xml:space="preserve">- формирование онконастороженности врачей с целью раннего выявления онкологических заболеваний;</w:t>
      </w:r>
    </w:p>
    <w:p>
      <w:pPr>
        <w:pStyle w:val="0"/>
        <w:spacing w:before="200" w:line-rule="auto"/>
        <w:ind w:firstLine="540"/>
        <w:jc w:val="both"/>
      </w:pPr>
      <w:r>
        <w:rPr>
          <w:sz w:val="20"/>
        </w:rPr>
        <w:t xml:space="preserve">- проведение мероприятий по профилактике и лечению факторов риска ЗНО: курения - создание кабинетов по борьбе с курением в первичном звене здравоохранения;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 Формирование здорового образа жизни;</w:t>
      </w:r>
    </w:p>
    <w:p>
      <w:pPr>
        <w:pStyle w:val="0"/>
        <w:spacing w:before="200" w:line-rule="auto"/>
        <w:ind w:firstLine="540"/>
        <w:jc w:val="both"/>
      </w:pPr>
      <w:r>
        <w:rPr>
          <w:sz w:val="20"/>
        </w:rPr>
        <w:t xml:space="preserve">- внедрение стационарозамещающих технологий;</w:t>
      </w:r>
    </w:p>
    <w:p>
      <w:pPr>
        <w:pStyle w:val="0"/>
        <w:spacing w:before="200" w:line-rule="auto"/>
        <w:ind w:firstLine="540"/>
        <w:jc w:val="both"/>
      </w:pPr>
      <w:r>
        <w:rPr>
          <w:sz w:val="20"/>
        </w:rPr>
        <w:t xml:space="preserve">- создание травматологических пунктов в учреждениях первого уровня по территориальному принципу с целью оказания круглосуточной амбулаторной экстренной хирургической и травматологической помощи;</w:t>
      </w:r>
    </w:p>
    <w:p>
      <w:pPr>
        <w:pStyle w:val="0"/>
        <w:spacing w:before="200" w:line-rule="auto"/>
        <w:ind w:firstLine="540"/>
        <w:jc w:val="both"/>
      </w:pPr>
      <w:r>
        <w:rPr>
          <w:sz w:val="20"/>
        </w:rPr>
        <w:t xml:space="preserve">- улучшение эффективности работы кабинетов неотложной помощи в амбулаторно-поликлинических учреждениях;</w:t>
      </w:r>
    </w:p>
    <w:p>
      <w:pPr>
        <w:pStyle w:val="0"/>
        <w:spacing w:before="200" w:line-rule="auto"/>
        <w:ind w:firstLine="540"/>
        <w:jc w:val="both"/>
      </w:pPr>
      <w:r>
        <w:rPr>
          <w:sz w:val="20"/>
        </w:rPr>
        <w:t xml:space="preserve">- организация выездных форм работы с целью приближения первичной медико-санитарной помощи населению, в том числе жителям села, ветеранам Великой Отечественной войны и маломобильным группам населения;</w:t>
      </w:r>
    </w:p>
    <w:p>
      <w:pPr>
        <w:pStyle w:val="0"/>
        <w:spacing w:before="200" w:line-rule="auto"/>
        <w:ind w:firstLine="540"/>
        <w:jc w:val="both"/>
      </w:pPr>
      <w:r>
        <w:rPr>
          <w:sz w:val="20"/>
        </w:rPr>
        <w:t xml:space="preserve">- повышение качества и доступности первичной врачебной медико-санитарной помощи сельскому населению в соответствии с ведомственной целевой программой;</w:t>
      </w:r>
    </w:p>
    <w:p>
      <w:pPr>
        <w:pStyle w:val="0"/>
        <w:spacing w:before="200" w:line-rule="auto"/>
        <w:ind w:firstLine="540"/>
        <w:jc w:val="both"/>
      </w:pPr>
      <w:r>
        <w:rPr>
          <w:sz w:val="20"/>
        </w:rPr>
        <w:t xml:space="preserve">- укрепление материально-технической базы.</w:t>
      </w:r>
    </w:p>
    <w:p>
      <w:pPr>
        <w:pStyle w:val="0"/>
      </w:pPr>
      <w:r>
        <w:rPr>
          <w:sz w:val="20"/>
        </w:rPr>
      </w:r>
    </w:p>
    <w:p>
      <w:pPr>
        <w:pStyle w:val="2"/>
        <w:outlineLvl w:val="2"/>
        <w:jc w:val="center"/>
      </w:pPr>
      <w:r>
        <w:rPr>
          <w:sz w:val="20"/>
        </w:rPr>
        <w:t xml:space="preserve">II. Приоритеты, цели, задачи и показатели</w:t>
      </w:r>
    </w:p>
    <w:p>
      <w:pPr>
        <w:pStyle w:val="2"/>
        <w:jc w:val="center"/>
      </w:pPr>
      <w:r>
        <w:rPr>
          <w:sz w:val="20"/>
        </w:rPr>
        <w:t xml:space="preserve">(целевые индикаторы), результаты, этапы и сроки</w:t>
      </w:r>
    </w:p>
    <w:p>
      <w:pPr>
        <w:pStyle w:val="2"/>
        <w:jc w:val="center"/>
      </w:pPr>
      <w:r>
        <w:rPr>
          <w:sz w:val="20"/>
        </w:rPr>
        <w:t xml:space="preserve">реализации подпрограммы 1</w:t>
      </w:r>
    </w:p>
    <w:p>
      <w:pPr>
        <w:pStyle w:val="0"/>
        <w:jc w:val="center"/>
      </w:pPr>
      <w:r>
        <w:rPr>
          <w:sz w:val="20"/>
        </w:rPr>
      </w:r>
    </w:p>
    <w:p>
      <w:pPr>
        <w:pStyle w:val="0"/>
        <w:ind w:firstLine="540"/>
        <w:jc w:val="both"/>
      </w:pPr>
      <w:r>
        <w:rPr>
          <w:sz w:val="20"/>
        </w:rPr>
        <w:t xml:space="preserve">Основные приоритеты в области профилактики заболеваний, формирования здорового образа жизни и развития первичной медико-санитарной помощи направлены на повышение эффективности функционирования системы здравоохранения, улучшение состояния здоровья детей и матерей, снижение смертности от управляемых причин и предупреждение распространения социально значимых заболеваний, формирование условий для развития здорового образа жизни.</w:t>
      </w:r>
    </w:p>
    <w:p>
      <w:pPr>
        <w:pStyle w:val="0"/>
        <w:spacing w:before="200" w:line-rule="auto"/>
        <w:ind w:firstLine="540"/>
        <w:jc w:val="both"/>
      </w:pPr>
      <w:r>
        <w:rPr>
          <w:sz w:val="20"/>
        </w:rPr>
        <w:t xml:space="preserve">Цель подпрограммы 1: обеспечение приоритета профилактики в сфере охраны здоровья и развития доступности первичной медико-санитарной помощи.</w:t>
      </w:r>
    </w:p>
    <w:p>
      <w:pPr>
        <w:pStyle w:val="0"/>
        <w:spacing w:before="200" w:line-rule="auto"/>
        <w:ind w:firstLine="540"/>
        <w:jc w:val="both"/>
      </w:pPr>
      <w:r>
        <w:rPr>
          <w:sz w:val="20"/>
        </w:rPr>
        <w:t xml:space="preserve">Задачи подпрограммы 1:</w:t>
      </w:r>
    </w:p>
    <w:p>
      <w:pPr>
        <w:pStyle w:val="0"/>
        <w:spacing w:before="200" w:line-rule="auto"/>
        <w:ind w:firstLine="540"/>
        <w:jc w:val="both"/>
      </w:pPr>
      <w:r>
        <w:rPr>
          <w:sz w:val="20"/>
        </w:rPr>
        <w:t xml:space="preserve">- организация охвата медицинским освидетельствованием на ВИЧ-инфекцию населения г. Севастополя;</w:t>
      </w:r>
    </w:p>
    <w:p>
      <w:pPr>
        <w:pStyle w:val="0"/>
        <w:spacing w:before="200" w:line-rule="auto"/>
        <w:ind w:firstLine="540"/>
        <w:jc w:val="both"/>
      </w:pPr>
      <w:r>
        <w:rPr>
          <w:sz w:val="20"/>
        </w:rPr>
        <w:t xml:space="preserve">- организация охвата населения профилактическими осмотрами на туберкулез;</w:t>
      </w:r>
    </w:p>
    <w:p>
      <w:pPr>
        <w:pStyle w:val="0"/>
        <w:spacing w:before="200" w:line-rule="auto"/>
        <w:ind w:firstLine="540"/>
        <w:jc w:val="both"/>
      </w:pPr>
      <w:r>
        <w:rPr>
          <w:sz w:val="20"/>
        </w:rPr>
        <w:t xml:space="preserve">- увеличение уровня информированности населения в возрасте 18 - 49 лет по вопросам ВИЧ-инфекции;</w:t>
      </w:r>
    </w:p>
    <w:p>
      <w:pPr>
        <w:pStyle w:val="0"/>
        <w:spacing w:before="200" w:line-rule="auto"/>
        <w:ind w:firstLine="540"/>
        <w:jc w:val="both"/>
      </w:pPr>
      <w:r>
        <w:rPr>
          <w:sz w:val="20"/>
        </w:rPr>
        <w:t xml:space="preserve">- улучшение доступности первичной медико-санитарной помощи детскому и взрослому населению города Севастополя путем сокращения радиуса обслуживания детских и взрослых поликлиник;</w:t>
      </w:r>
    </w:p>
    <w:p>
      <w:pPr>
        <w:pStyle w:val="0"/>
        <w:spacing w:before="200" w:line-rule="auto"/>
        <w:ind w:firstLine="540"/>
        <w:jc w:val="both"/>
      </w:pPr>
      <w:r>
        <w:rPr>
          <w:sz w:val="20"/>
        </w:rPr>
        <w:t xml:space="preserve">- улучшение доступности и качества оказания первичной медицинской помощи сельскому населению Балаклавского и Нахимовского районов города Севастополя;</w:t>
      </w:r>
    </w:p>
    <w:p>
      <w:pPr>
        <w:pStyle w:val="0"/>
        <w:spacing w:before="200" w:line-rule="auto"/>
        <w:ind w:firstLine="540"/>
        <w:jc w:val="both"/>
      </w:pPr>
      <w:r>
        <w:rPr>
          <w:sz w:val="20"/>
        </w:rPr>
        <w:t xml:space="preserve">- укрепление материально-технической базы первичного звена;</w:t>
      </w:r>
    </w:p>
    <w:p>
      <w:pPr>
        <w:pStyle w:val="0"/>
        <w:spacing w:before="200" w:line-rule="auto"/>
        <w:ind w:firstLine="540"/>
        <w:jc w:val="both"/>
      </w:pPr>
      <w:r>
        <w:rPr>
          <w:sz w:val="20"/>
        </w:rPr>
        <w:t xml:space="preserve">- улучшение информированности населения о необходимости проведения профилактических мероприятий и поддержания здорового образа жизни;</w:t>
      </w:r>
    </w:p>
    <w:p>
      <w:pPr>
        <w:pStyle w:val="0"/>
        <w:spacing w:before="200" w:line-rule="auto"/>
        <w:ind w:firstLine="540"/>
        <w:jc w:val="both"/>
      </w:pPr>
      <w:r>
        <w:rPr>
          <w:sz w:val="20"/>
        </w:rPr>
        <w:t xml:space="preserve">- развитие профилактической направленности педиатрической службы (закупка медицинских изделий для диагностики позволит более качественно выявлять ранние признаки и предвестники патологических процессов и проводить профилактику утяжеления и хронизации заболеваний);</w:t>
      </w:r>
    </w:p>
    <w:p>
      <w:pPr>
        <w:pStyle w:val="0"/>
        <w:spacing w:before="200" w:line-rule="auto"/>
        <w:ind w:firstLine="540"/>
        <w:jc w:val="both"/>
      </w:pPr>
      <w:r>
        <w:rPr>
          <w:sz w:val="20"/>
        </w:rPr>
        <w:t xml:space="preserve">- внедрение стационарозамещающих технологий в амбулаторном звене (закупка медицинских изделий, предназначенных для лечения и реабилитации, позволит увеличить возможности использования стационарозамещающих технологий).</w:t>
      </w:r>
    </w:p>
    <w:p>
      <w:pPr>
        <w:pStyle w:val="0"/>
        <w:spacing w:before="200" w:line-rule="auto"/>
        <w:ind w:firstLine="540"/>
        <w:jc w:val="both"/>
      </w:pPr>
      <w:hyperlink w:history="0" w:anchor="P2921" w:tooltip="Сведения о показателях (индикаторах) государственной">
        <w:r>
          <w:rPr>
            <w:sz w:val="20"/>
            <w:color w:val="0000ff"/>
          </w:rPr>
          <w:t xml:space="preserve">Сведения</w:t>
        </w:r>
      </w:hyperlink>
      <w:r>
        <w:rPr>
          <w:sz w:val="20"/>
        </w:rPr>
        <w:t xml:space="preserve"> о целевых показателях (индикаторах) подпрограммы 1 представлены в приложении N 1 к Программе.</w:t>
      </w:r>
    </w:p>
    <w:p>
      <w:pPr>
        <w:pStyle w:val="0"/>
        <w:spacing w:before="200" w:line-rule="auto"/>
        <w:ind w:firstLine="540"/>
        <w:jc w:val="both"/>
      </w:pPr>
      <w:r>
        <w:rPr>
          <w:sz w:val="20"/>
        </w:rPr>
        <w:t xml:space="preserve">Срок реализации подпрограммы 1 - с 2022 по 2030 год с учетом поставленных задач.</w:t>
      </w:r>
    </w:p>
    <w:p>
      <w:pPr>
        <w:pStyle w:val="0"/>
        <w:ind w:firstLine="540"/>
        <w:jc w:val="both"/>
      </w:pPr>
      <w:r>
        <w:rPr>
          <w:sz w:val="20"/>
        </w:rPr>
      </w:r>
    </w:p>
    <w:p>
      <w:pPr>
        <w:pStyle w:val="2"/>
        <w:outlineLvl w:val="2"/>
        <w:jc w:val="center"/>
      </w:pPr>
      <w:r>
        <w:rPr>
          <w:sz w:val="20"/>
        </w:rPr>
        <w:t xml:space="preserve">III. Характеристика основных мероприятий подпрограммы 1</w:t>
      </w:r>
    </w:p>
    <w:p>
      <w:pPr>
        <w:pStyle w:val="0"/>
      </w:pPr>
      <w:r>
        <w:rPr>
          <w:sz w:val="20"/>
        </w:rPr>
      </w:r>
    </w:p>
    <w:p>
      <w:pPr>
        <w:pStyle w:val="0"/>
        <w:ind w:firstLine="540"/>
        <w:jc w:val="both"/>
      </w:pPr>
      <w:r>
        <w:rPr>
          <w:sz w:val="20"/>
        </w:rPr>
        <w:t xml:space="preserve">Учитывая географическое положение города Севастополя, его расположение, растянутость и неравномерность густоты заселения, в городе для повышения доступности первичной медико-санитарной помощи населению жизненно необходима организация сети фельдшерско-акушерских пунктов и врачебных амбулаторий в сельской местности.</w:t>
      </w:r>
    </w:p>
    <w:p>
      <w:pPr>
        <w:pStyle w:val="0"/>
        <w:spacing w:before="200" w:line-rule="auto"/>
        <w:ind w:firstLine="540"/>
        <w:jc w:val="both"/>
      </w:pPr>
      <w:r>
        <w:rPr>
          <w:sz w:val="20"/>
        </w:rPr>
        <w:t xml:space="preserve">В подпрограмму 1 включены мероприятия:</w:t>
      </w:r>
    </w:p>
    <w:p>
      <w:pPr>
        <w:pStyle w:val="0"/>
        <w:spacing w:before="200" w:line-rule="auto"/>
        <w:ind w:firstLine="540"/>
        <w:jc w:val="both"/>
      </w:pPr>
      <w:r>
        <w:rPr>
          <w:sz w:val="20"/>
        </w:rPr>
        <w:t xml:space="preserve">- по предупреждению и борьбе с социально значимыми инфекционными заболеваниями;</w:t>
      </w:r>
    </w:p>
    <w:p>
      <w:pPr>
        <w:pStyle w:val="0"/>
        <w:spacing w:before="200" w:line-rule="auto"/>
        <w:ind w:firstLine="540"/>
        <w:jc w:val="both"/>
      </w:pPr>
      <w:r>
        <w:rPr>
          <w:sz w:val="20"/>
        </w:rPr>
        <w:t xml:space="preserve">- повышению информированности граждан по вопросам профилактики ВИЧ-инфекции, а также заболеваний, ассоциированных с ВИЧ-инфекцией, в том числе с привлечением к реализации указанных мероприятий социально ориентированных некоммерческих организаций;</w:t>
      </w:r>
    </w:p>
    <w:p>
      <w:pPr>
        <w:pStyle w:val="0"/>
        <w:spacing w:before="200" w:line-rule="auto"/>
        <w:ind w:firstLine="540"/>
        <w:jc w:val="both"/>
      </w:pPr>
      <w:r>
        <w:rPr>
          <w:sz w:val="20"/>
        </w:rPr>
        <w:t xml:space="preserve">- закупке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w:t>
      </w:r>
      <w:hyperlink w:history="0" r:id="rId116" w:tooltip="Приказ Минздрава России от 15.11.2012 N 932н (ред. от 19.05.2023) &quot;Об утверждении Порядка оказания медицинской помощи больным туберкулезом&quot; (Зарегистрировано в Минюсте России 07.03.2013 N 27557) {КонсультантПлюс}">
        <w:r>
          <w:rPr>
            <w:sz w:val="20"/>
            <w:color w:val="0000ff"/>
          </w:rPr>
          <w:t xml:space="preserve">порядком</w:t>
        </w:r>
      </w:hyperlink>
      <w:r>
        <w:rPr>
          <w:sz w:val="20"/>
        </w:rPr>
        <w:t xml:space="preserve"> оказания медицинской помощи больным туберкулезом;</w:t>
      </w:r>
    </w:p>
    <w:p>
      <w:pPr>
        <w:pStyle w:val="0"/>
        <w:spacing w:before="200" w:line-rule="auto"/>
        <w:ind w:firstLine="540"/>
        <w:jc w:val="both"/>
      </w:pPr>
      <w:r>
        <w:rPr>
          <w:sz w:val="20"/>
        </w:rPr>
        <w:t xml:space="preserve">- закупке диагностических средств для выявления и мониторинга лечения лиц, инфицированных вирусом иммунодефицита человека, в том числе в сочетании с вирусами гепатитов B и (или) C, в соответствии с перечнем, утвержденным Министерством здравоохранения Российской Федерации;</w:t>
      </w:r>
    </w:p>
    <w:p>
      <w:pPr>
        <w:pStyle w:val="0"/>
        <w:spacing w:before="200" w:line-rule="auto"/>
        <w:ind w:firstLine="540"/>
        <w:jc w:val="both"/>
      </w:pPr>
      <w:r>
        <w:rPr>
          <w:sz w:val="20"/>
        </w:rPr>
        <w:t xml:space="preserve">- строительству поликлиник для взрослого и детского населения, проектированию, в том числе благоустройству территорий и монтажу оборудования;</w:t>
      </w:r>
    </w:p>
    <w:p>
      <w:pPr>
        <w:pStyle w:val="0"/>
        <w:spacing w:before="200" w:line-rule="auto"/>
        <w:ind w:firstLine="540"/>
        <w:jc w:val="both"/>
      </w:pPr>
      <w:r>
        <w:rPr>
          <w:sz w:val="20"/>
        </w:rPr>
        <w:t xml:space="preserve">- профилактике инфекционных заболеваний;</w:t>
      </w:r>
    </w:p>
    <w:p>
      <w:pPr>
        <w:pStyle w:val="0"/>
        <w:spacing w:before="200" w:line-rule="auto"/>
        <w:ind w:firstLine="540"/>
        <w:jc w:val="both"/>
      </w:pPr>
      <w:r>
        <w:rPr>
          <w:sz w:val="20"/>
        </w:rPr>
        <w:t xml:space="preserve">- лекарственному обеспечению отдельных категорий граждан, включая организационные мероприятия, связанные с обеспечением лиц лекарственными препаратами;</w:t>
      </w:r>
    </w:p>
    <w:p>
      <w:pPr>
        <w:pStyle w:val="0"/>
        <w:spacing w:before="200" w:line-rule="auto"/>
        <w:ind w:firstLine="540"/>
        <w:jc w:val="both"/>
      </w:pPr>
      <w:r>
        <w:rPr>
          <w:sz w:val="20"/>
        </w:rPr>
        <w:t xml:space="preserve">- строительству поликлиник и врачебных амбулаторий для взрослого и детского населения, а также их проектированию;</w:t>
      </w:r>
    </w:p>
    <w:p>
      <w:pPr>
        <w:pStyle w:val="0"/>
        <w:spacing w:before="200" w:line-rule="auto"/>
        <w:ind w:firstLine="540"/>
        <w:jc w:val="both"/>
      </w:pPr>
      <w:r>
        <w:rPr>
          <w:sz w:val="20"/>
        </w:rPr>
        <w:t xml:space="preserve">- предоставлению отдельным категориям граждан, проживающих в городе Севастополе, мер социальной поддержки по бесплатному изготовлению и ремонту зубных протезов;</w:t>
      </w:r>
    </w:p>
    <w:p>
      <w:pPr>
        <w:pStyle w:val="0"/>
        <w:spacing w:before="200" w:line-rule="auto"/>
        <w:ind w:firstLine="540"/>
        <w:jc w:val="both"/>
      </w:pPr>
      <w:r>
        <w:rPr>
          <w:sz w:val="20"/>
        </w:rPr>
        <w:t xml:space="preserve">- оказанию государственными учреждениями здравоохранения первичной медико-санитарной помощи и паллиативной медицинской помощи в амбулаторных условиях, не включенных в базовую программу обязательного медицинского страхования.</w:t>
      </w:r>
    </w:p>
    <w:p>
      <w:pPr>
        <w:pStyle w:val="0"/>
        <w:spacing w:before="200" w:line-rule="auto"/>
        <w:ind w:firstLine="540"/>
        <w:jc w:val="both"/>
      </w:pPr>
      <w:r>
        <w:rPr>
          <w:sz w:val="20"/>
        </w:rPr>
        <w:t xml:space="preserve">Указанные мероприятия направлены на поддержание на необходимом уровне лекарственного обеспечения отдельных категорий граждан, профилактику инфекционных и неинфекционных заболеваний, популяризацию здорового образа жизни и рост удовлетворенности населения медицинской помощью.</w:t>
      </w:r>
    </w:p>
    <w:p>
      <w:pPr>
        <w:pStyle w:val="0"/>
        <w:spacing w:before="200" w:line-rule="auto"/>
        <w:ind w:firstLine="540"/>
        <w:jc w:val="both"/>
      </w:pPr>
      <w:r>
        <w:rPr>
          <w:sz w:val="20"/>
        </w:rPr>
        <w:t xml:space="preserve">Общий </w:t>
      </w:r>
      <w:hyperlink w:history="0" w:anchor="P4719" w:tooltip="Перечень основных мероприятий государственной программы">
        <w:r>
          <w:rPr>
            <w:sz w:val="20"/>
            <w:color w:val="0000ff"/>
          </w:rPr>
          <w:t xml:space="preserve">перечень</w:t>
        </w:r>
      </w:hyperlink>
      <w:r>
        <w:rPr>
          <w:sz w:val="20"/>
        </w:rPr>
        <w:t xml:space="preserve"> мероприятий подпрограммы 1 представлен в приложении N 2 к Программе.</w:t>
      </w:r>
    </w:p>
    <w:p>
      <w:pPr>
        <w:pStyle w:val="0"/>
      </w:pPr>
      <w:r>
        <w:rPr>
          <w:sz w:val="20"/>
        </w:rPr>
      </w:r>
    </w:p>
    <w:p>
      <w:pPr>
        <w:pStyle w:val="2"/>
        <w:outlineLvl w:val="2"/>
        <w:jc w:val="center"/>
      </w:pPr>
      <w:r>
        <w:rPr>
          <w:sz w:val="20"/>
        </w:rPr>
        <w:t xml:space="preserve">IV. Характеристика мер государственного и правового</w:t>
      </w:r>
    </w:p>
    <w:p>
      <w:pPr>
        <w:pStyle w:val="2"/>
        <w:jc w:val="center"/>
      </w:pPr>
      <w:r>
        <w:rPr>
          <w:sz w:val="20"/>
        </w:rPr>
        <w:t xml:space="preserve">регулирования подпрограммы 1</w:t>
      </w:r>
    </w:p>
    <w:p>
      <w:pPr>
        <w:pStyle w:val="0"/>
        <w:ind w:firstLine="540"/>
        <w:jc w:val="both"/>
      </w:pPr>
      <w:r>
        <w:rPr>
          <w:sz w:val="20"/>
        </w:rPr>
      </w:r>
    </w:p>
    <w:p>
      <w:pPr>
        <w:pStyle w:val="0"/>
        <w:ind w:firstLine="540"/>
        <w:jc w:val="both"/>
      </w:pPr>
      <w:r>
        <w:rPr>
          <w:sz w:val="20"/>
        </w:rPr>
        <w:t xml:space="preserve">Государственное и правовое регулирование подпрограммы 1 осуществляется согласно </w:t>
      </w:r>
      <w:hyperlink w:history="0" w:anchor="P472" w:tooltip="IV. Характеристика мер государственного">
        <w:r>
          <w:rPr>
            <w:sz w:val="20"/>
            <w:color w:val="0000ff"/>
          </w:rPr>
          <w:t xml:space="preserve">разделу IV</w:t>
        </w:r>
      </w:hyperlink>
      <w:r>
        <w:rPr>
          <w:sz w:val="20"/>
        </w:rPr>
        <w:t xml:space="preserve"> Программы.</w:t>
      </w:r>
    </w:p>
    <w:p>
      <w:pPr>
        <w:pStyle w:val="0"/>
        <w:jc w:val="both"/>
      </w:pPr>
      <w:r>
        <w:rPr>
          <w:sz w:val="20"/>
        </w:rPr>
      </w:r>
    </w:p>
    <w:p>
      <w:pPr>
        <w:pStyle w:val="2"/>
        <w:outlineLvl w:val="2"/>
        <w:jc w:val="center"/>
      </w:pPr>
      <w:r>
        <w:rPr>
          <w:sz w:val="20"/>
        </w:rPr>
        <w:t xml:space="preserve">V. Ресурсное обеспечение, необходимое для реализации</w:t>
      </w:r>
    </w:p>
    <w:p>
      <w:pPr>
        <w:pStyle w:val="2"/>
        <w:jc w:val="center"/>
      </w:pPr>
      <w:r>
        <w:rPr>
          <w:sz w:val="20"/>
        </w:rPr>
        <w:t xml:space="preserve">подпрограммы 1</w:t>
      </w:r>
    </w:p>
    <w:p>
      <w:pPr>
        <w:pStyle w:val="0"/>
        <w:jc w:val="center"/>
      </w:pPr>
      <w:r>
        <w:rPr>
          <w:sz w:val="20"/>
        </w:rPr>
      </w:r>
    </w:p>
    <w:p>
      <w:pPr>
        <w:pStyle w:val="0"/>
        <w:ind w:firstLine="540"/>
        <w:jc w:val="both"/>
      </w:pPr>
      <w:r>
        <w:rPr>
          <w:sz w:val="20"/>
        </w:rPr>
        <w:t xml:space="preserve">Источниками финансирования мероприятий подпрограммы 1 являются средства федерального бюджета, средства бюджета города Севастополя, средства бюджета города Москвы.</w:t>
      </w:r>
    </w:p>
    <w:p>
      <w:pPr>
        <w:pStyle w:val="0"/>
        <w:spacing w:before="200" w:line-rule="auto"/>
        <w:ind w:firstLine="540"/>
        <w:jc w:val="both"/>
      </w:pPr>
      <w:r>
        <w:rPr>
          <w:sz w:val="20"/>
        </w:rPr>
        <w:t xml:space="preserve">Общий объем финансового обеспечения подпрограммы 1 в 2022 - 2030 годах составляет 21084356,5 тыс. руб., из них:</w:t>
      </w:r>
    </w:p>
    <w:p>
      <w:pPr>
        <w:pStyle w:val="0"/>
        <w:jc w:val="both"/>
      </w:pPr>
      <w:r>
        <w:rPr>
          <w:sz w:val="20"/>
        </w:rPr>
        <w:t xml:space="preserve">(в ред. </w:t>
      </w:r>
      <w:hyperlink w:history="0" r:id="rId117"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средства федерального бюджета - 2408864,3 тыс. руб., в том числе:</w:t>
      </w:r>
    </w:p>
    <w:p>
      <w:pPr>
        <w:pStyle w:val="0"/>
        <w:jc w:val="both"/>
      </w:pPr>
      <w:r>
        <w:rPr>
          <w:sz w:val="20"/>
        </w:rPr>
        <w:t xml:space="preserve">(в ред. </w:t>
      </w:r>
      <w:hyperlink w:history="0" r:id="rId118"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2022 г. - 461281,3 тыс. руб.;</w:t>
      </w:r>
    </w:p>
    <w:p>
      <w:pPr>
        <w:pStyle w:val="0"/>
        <w:jc w:val="both"/>
      </w:pPr>
      <w:r>
        <w:rPr>
          <w:sz w:val="20"/>
        </w:rPr>
        <w:t xml:space="preserve">(в ред. </w:t>
      </w:r>
      <w:hyperlink w:history="0" r:id="rId119"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2023 г. - 394846,4 тыс. руб.;</w:t>
      </w:r>
    </w:p>
    <w:p>
      <w:pPr>
        <w:pStyle w:val="0"/>
        <w:jc w:val="both"/>
      </w:pPr>
      <w:r>
        <w:rPr>
          <w:sz w:val="20"/>
        </w:rPr>
        <w:t xml:space="preserve">(в ред. </w:t>
      </w:r>
      <w:hyperlink w:history="0" r:id="rId120"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2024 г. - 282869,8 тыс. руб.;</w:t>
      </w:r>
    </w:p>
    <w:p>
      <w:pPr>
        <w:pStyle w:val="0"/>
        <w:jc w:val="both"/>
      </w:pPr>
      <w:r>
        <w:rPr>
          <w:sz w:val="20"/>
        </w:rPr>
        <w:t xml:space="preserve">(в ред. </w:t>
      </w:r>
      <w:hyperlink w:history="0" r:id="rId121"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2025 г. - 192619,7 тыс. руб.;</w:t>
      </w:r>
    </w:p>
    <w:p>
      <w:pPr>
        <w:pStyle w:val="0"/>
        <w:jc w:val="both"/>
      </w:pPr>
      <w:r>
        <w:rPr>
          <w:sz w:val="20"/>
        </w:rPr>
        <w:t xml:space="preserve">(в ред. </w:t>
      </w:r>
      <w:hyperlink w:history="0" r:id="rId122"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2026 г. - 220924,2 тыс. руб.;</w:t>
      </w:r>
    </w:p>
    <w:p>
      <w:pPr>
        <w:pStyle w:val="0"/>
        <w:jc w:val="both"/>
      </w:pPr>
      <w:r>
        <w:rPr>
          <w:sz w:val="20"/>
        </w:rPr>
        <w:t xml:space="preserve">(в ред. </w:t>
      </w:r>
      <w:hyperlink w:history="0" r:id="rId123"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2027 г. - 205144,5 тыс. руб.;</w:t>
      </w:r>
    </w:p>
    <w:p>
      <w:pPr>
        <w:pStyle w:val="0"/>
        <w:jc w:val="both"/>
      </w:pPr>
      <w:r>
        <w:rPr>
          <w:sz w:val="20"/>
        </w:rPr>
        <w:t xml:space="preserve">(в ред. </w:t>
      </w:r>
      <w:hyperlink w:history="0" r:id="rId124"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2028 г. - 211093,7 тыс. руб.;</w:t>
      </w:r>
    </w:p>
    <w:p>
      <w:pPr>
        <w:pStyle w:val="0"/>
        <w:jc w:val="both"/>
      </w:pPr>
      <w:r>
        <w:rPr>
          <w:sz w:val="20"/>
        </w:rPr>
        <w:t xml:space="preserve">(в ред. </w:t>
      </w:r>
      <w:hyperlink w:history="0" r:id="rId125"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2029 г. - 217004,3 тыс. руб.;</w:t>
      </w:r>
    </w:p>
    <w:p>
      <w:pPr>
        <w:pStyle w:val="0"/>
        <w:jc w:val="both"/>
      </w:pPr>
      <w:r>
        <w:rPr>
          <w:sz w:val="20"/>
        </w:rPr>
        <w:t xml:space="preserve">(в ред. </w:t>
      </w:r>
      <w:hyperlink w:history="0" r:id="rId12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2030 г. - 223080,4 тыс. руб.;</w:t>
      </w:r>
    </w:p>
    <w:p>
      <w:pPr>
        <w:pStyle w:val="0"/>
        <w:jc w:val="both"/>
      </w:pPr>
      <w:r>
        <w:rPr>
          <w:sz w:val="20"/>
        </w:rPr>
        <w:t xml:space="preserve">(в ред. </w:t>
      </w:r>
      <w:hyperlink w:history="0" r:id="rId127"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средства бюджета города Севастополя - 18594821,0 тыс. руб., в том числе:</w:t>
      </w:r>
    </w:p>
    <w:p>
      <w:pPr>
        <w:pStyle w:val="0"/>
        <w:jc w:val="both"/>
      </w:pPr>
      <w:r>
        <w:rPr>
          <w:sz w:val="20"/>
        </w:rPr>
        <w:t xml:space="preserve">(в ред. </w:t>
      </w:r>
      <w:hyperlink w:history="0" r:id="rId128"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2022 г. - 1395086,0 тыс. руб.;</w:t>
      </w:r>
    </w:p>
    <w:p>
      <w:pPr>
        <w:pStyle w:val="0"/>
        <w:jc w:val="both"/>
      </w:pPr>
      <w:r>
        <w:rPr>
          <w:sz w:val="20"/>
        </w:rPr>
        <w:t xml:space="preserve">(в ред. </w:t>
      </w:r>
      <w:hyperlink w:history="0" r:id="rId129"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2023 г. - 1981764,4 тыс. руб.;</w:t>
      </w:r>
    </w:p>
    <w:p>
      <w:pPr>
        <w:pStyle w:val="0"/>
        <w:jc w:val="both"/>
      </w:pPr>
      <w:r>
        <w:rPr>
          <w:sz w:val="20"/>
        </w:rPr>
        <w:t xml:space="preserve">(в ред. </w:t>
      </w:r>
      <w:hyperlink w:history="0" r:id="rId130"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2024 г. - 1907183,2 тыс. руб.;</w:t>
      </w:r>
    </w:p>
    <w:p>
      <w:pPr>
        <w:pStyle w:val="0"/>
        <w:jc w:val="both"/>
      </w:pPr>
      <w:r>
        <w:rPr>
          <w:sz w:val="20"/>
        </w:rPr>
        <w:t xml:space="preserve">(в ред. </w:t>
      </w:r>
      <w:hyperlink w:history="0" r:id="rId131"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p>
      <w:pPr>
        <w:pStyle w:val="0"/>
        <w:spacing w:before="200" w:line-rule="auto"/>
        <w:ind w:firstLine="540"/>
        <w:jc w:val="both"/>
      </w:pPr>
      <w:r>
        <w:rPr>
          <w:sz w:val="20"/>
        </w:rPr>
        <w:t xml:space="preserve">2025 г. - 2054302,2 тыс. руб.;</w:t>
      </w:r>
    </w:p>
    <w:p>
      <w:pPr>
        <w:pStyle w:val="0"/>
        <w:jc w:val="both"/>
      </w:pPr>
      <w:r>
        <w:rPr>
          <w:sz w:val="20"/>
        </w:rPr>
        <w:t xml:space="preserve">(в ред. </w:t>
      </w:r>
      <w:hyperlink w:history="0" r:id="rId13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2026 г. - 2123746,2 тыс. руб.;</w:t>
      </w:r>
    </w:p>
    <w:p>
      <w:pPr>
        <w:pStyle w:val="0"/>
        <w:jc w:val="both"/>
      </w:pPr>
      <w:r>
        <w:rPr>
          <w:sz w:val="20"/>
        </w:rPr>
        <w:t xml:space="preserve">(в ред. </w:t>
      </w:r>
      <w:hyperlink w:history="0" r:id="rId13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2027 г. - 2187879,2 тыс. руб.;</w:t>
      </w:r>
    </w:p>
    <w:p>
      <w:pPr>
        <w:pStyle w:val="0"/>
        <w:jc w:val="both"/>
      </w:pPr>
      <w:r>
        <w:rPr>
          <w:sz w:val="20"/>
        </w:rPr>
        <w:t xml:space="preserve">(в ред. </w:t>
      </w:r>
      <w:hyperlink w:history="0" r:id="rId13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2028 г. - 2251327,7 тыс. руб.;</w:t>
      </w:r>
    </w:p>
    <w:p>
      <w:pPr>
        <w:pStyle w:val="0"/>
        <w:jc w:val="both"/>
      </w:pPr>
      <w:r>
        <w:rPr>
          <w:sz w:val="20"/>
        </w:rPr>
        <w:t xml:space="preserve">(в ред. </w:t>
      </w:r>
      <w:hyperlink w:history="0" r:id="rId13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2029 г. - 2314365,0 тыс. руб.;</w:t>
      </w:r>
    </w:p>
    <w:p>
      <w:pPr>
        <w:pStyle w:val="0"/>
        <w:jc w:val="both"/>
      </w:pPr>
      <w:r>
        <w:rPr>
          <w:sz w:val="20"/>
        </w:rPr>
        <w:t xml:space="preserve">(в ред. </w:t>
      </w:r>
      <w:hyperlink w:history="0" r:id="rId13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2030 г. - 2379167,1 тыс. руб.;</w:t>
      </w:r>
    </w:p>
    <w:p>
      <w:pPr>
        <w:pStyle w:val="0"/>
        <w:jc w:val="both"/>
      </w:pPr>
      <w:r>
        <w:rPr>
          <w:sz w:val="20"/>
        </w:rPr>
        <w:t xml:space="preserve">(в ред. </w:t>
      </w:r>
      <w:hyperlink w:history="0" r:id="rId13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средства бюджетов других субъектов Российской Федерации (город Москва) - 80671,2 тыс. руб., в том числе:</w:t>
      </w:r>
    </w:p>
    <w:p>
      <w:pPr>
        <w:pStyle w:val="0"/>
        <w:jc w:val="both"/>
      </w:pPr>
      <w:r>
        <w:rPr>
          <w:sz w:val="20"/>
        </w:rPr>
        <w:t xml:space="preserve">(в ред. </w:t>
      </w:r>
      <w:hyperlink w:history="0" r:id="rId13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2022 г. - 42396,0 тыс. руб.;</w:t>
      </w:r>
    </w:p>
    <w:p>
      <w:pPr>
        <w:pStyle w:val="0"/>
        <w:jc w:val="both"/>
      </w:pPr>
      <w:r>
        <w:rPr>
          <w:sz w:val="20"/>
        </w:rPr>
        <w:t xml:space="preserve">(в ред. </w:t>
      </w:r>
      <w:hyperlink w:history="0" r:id="rId139"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2023 г. - 38275,2 тыс. руб.;</w:t>
      </w:r>
    </w:p>
    <w:p>
      <w:pPr>
        <w:pStyle w:val="0"/>
        <w:jc w:val="both"/>
      </w:pPr>
      <w:r>
        <w:rPr>
          <w:sz w:val="20"/>
        </w:rPr>
        <w:t xml:space="preserve">(в ред. </w:t>
      </w:r>
      <w:hyperlink w:history="0" r:id="rId14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внебюджетные средства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Ресурсное </w:t>
      </w:r>
      <w:hyperlink w:history="0" w:anchor="P5821" w:tooltip="Финансовое обеспечение реализации государственной программы">
        <w:r>
          <w:rPr>
            <w:sz w:val="20"/>
            <w:color w:val="0000ff"/>
          </w:rPr>
          <w:t xml:space="preserve">обеспечение</w:t>
        </w:r>
      </w:hyperlink>
      <w:r>
        <w:rPr>
          <w:sz w:val="20"/>
        </w:rPr>
        <w:t xml:space="preserve"> и прогнозная (справочная) оценка расходов на реализацию целей подпрограммы 1 приведены в приложении N 4 к Программе.</w:t>
      </w:r>
    </w:p>
    <w:p>
      <w:pPr>
        <w:pStyle w:val="0"/>
        <w:ind w:firstLine="540"/>
        <w:jc w:val="both"/>
      </w:pPr>
      <w:r>
        <w:rPr>
          <w:sz w:val="20"/>
        </w:rPr>
      </w:r>
    </w:p>
    <w:bookmarkStart w:id="968" w:name="P968"/>
    <w:bookmarkEnd w:id="968"/>
    <w:p>
      <w:pPr>
        <w:pStyle w:val="2"/>
        <w:outlineLvl w:val="1"/>
        <w:jc w:val="center"/>
      </w:pPr>
      <w:r>
        <w:rPr>
          <w:sz w:val="20"/>
        </w:rPr>
        <w:t xml:space="preserve">ПОДПРОГРАММА 2</w:t>
      </w:r>
    </w:p>
    <w:p>
      <w:pPr>
        <w:pStyle w:val="2"/>
        <w:jc w:val="center"/>
      </w:pPr>
      <w:r>
        <w:rPr>
          <w:sz w:val="20"/>
        </w:rPr>
        <w:t xml:space="preserve">"Совершенствование оказания специализированной, включая</w:t>
      </w:r>
    </w:p>
    <w:p>
      <w:pPr>
        <w:pStyle w:val="2"/>
        <w:jc w:val="center"/>
      </w:pPr>
      <w:r>
        <w:rPr>
          <w:sz w:val="20"/>
        </w:rPr>
        <w:t xml:space="preserve">высокотехнологичную, медицинской помощи, скорой, в том числе</w:t>
      </w:r>
    </w:p>
    <w:p>
      <w:pPr>
        <w:pStyle w:val="2"/>
        <w:jc w:val="center"/>
      </w:pPr>
      <w:r>
        <w:rPr>
          <w:sz w:val="20"/>
        </w:rPr>
        <w:t xml:space="preserve">скорой специализированной, медицинской помощи,</w:t>
      </w:r>
    </w:p>
    <w:p>
      <w:pPr>
        <w:pStyle w:val="2"/>
        <w:jc w:val="center"/>
      </w:pPr>
      <w:r>
        <w:rPr>
          <w:sz w:val="20"/>
        </w:rPr>
        <w:t xml:space="preserve">медицинской эвакуации"</w:t>
      </w:r>
    </w:p>
    <w:p>
      <w:pPr>
        <w:pStyle w:val="0"/>
        <w:jc w:val="center"/>
      </w:pPr>
      <w:r>
        <w:rPr>
          <w:sz w:val="20"/>
        </w:rPr>
        <w:t xml:space="preserve">(в ред. </w:t>
      </w:r>
      <w:hyperlink w:history="0" r:id="rId141"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2"/>
        <w:outlineLvl w:val="2"/>
        <w:jc w:val="center"/>
      </w:pPr>
      <w:r>
        <w:rPr>
          <w:sz w:val="20"/>
        </w:rPr>
        <w:t xml:space="preserve">ПАСПОРТ</w:t>
      </w:r>
    </w:p>
    <w:p>
      <w:pPr>
        <w:pStyle w:val="2"/>
        <w:jc w:val="center"/>
      </w:pPr>
      <w:r>
        <w:rPr>
          <w:sz w:val="20"/>
        </w:rPr>
        <w:t xml:space="preserve">подпрограммы 2 "Совершенствование оказания</w:t>
      </w:r>
    </w:p>
    <w:p>
      <w:pPr>
        <w:pStyle w:val="2"/>
        <w:jc w:val="center"/>
      </w:pPr>
      <w:r>
        <w:rPr>
          <w:sz w:val="20"/>
        </w:rPr>
        <w:t xml:space="preserve">специализированной, включая высокотехнологичную, медицинской</w:t>
      </w:r>
    </w:p>
    <w:p>
      <w:pPr>
        <w:pStyle w:val="2"/>
        <w:jc w:val="center"/>
      </w:pPr>
      <w:r>
        <w:rPr>
          <w:sz w:val="20"/>
        </w:rPr>
        <w:t xml:space="preserve">помощи, скорой, в том числе скорой специализированной,</w:t>
      </w:r>
    </w:p>
    <w:p>
      <w:pPr>
        <w:pStyle w:val="2"/>
        <w:jc w:val="center"/>
      </w:pPr>
      <w:r>
        <w:rPr>
          <w:sz w:val="20"/>
        </w:rPr>
        <w:t xml:space="preserve">медицинской помощи, медицинской эвакуации"</w:t>
      </w:r>
    </w:p>
    <w:p>
      <w:pPr>
        <w:pStyle w:val="2"/>
        <w:jc w:val="center"/>
      </w:pPr>
      <w:r>
        <w:rPr>
          <w:sz w:val="20"/>
        </w:rPr>
        <w:t xml:space="preserve">(далее - подпрограмма 2)</w:t>
      </w:r>
    </w:p>
    <w:p>
      <w:pPr>
        <w:pStyle w:val="0"/>
        <w:jc w:val="center"/>
      </w:pPr>
      <w:r>
        <w:rPr>
          <w:sz w:val="20"/>
        </w:rPr>
      </w:r>
    </w:p>
    <w:p>
      <w:pPr>
        <w:pStyle w:val="0"/>
        <w:ind w:firstLine="540"/>
        <w:jc w:val="both"/>
      </w:pPr>
      <w:r>
        <w:rPr>
          <w:sz w:val="20"/>
        </w:rPr>
        <w:t xml:space="preserve">1. Ответственный исполнитель подпрограммы 2: ДЗГС.</w:t>
      </w:r>
    </w:p>
    <w:p>
      <w:pPr>
        <w:pStyle w:val="0"/>
        <w:spacing w:before="200" w:line-rule="auto"/>
        <w:ind w:firstLine="540"/>
        <w:jc w:val="both"/>
      </w:pPr>
      <w:r>
        <w:rPr>
          <w:sz w:val="20"/>
        </w:rPr>
        <w:t xml:space="preserve">2. Соисполнители подпрограммы 2:</w:t>
      </w:r>
    </w:p>
    <w:p>
      <w:pPr>
        <w:pStyle w:val="0"/>
        <w:spacing w:before="200" w:line-rule="auto"/>
        <w:ind w:firstLine="540"/>
        <w:jc w:val="both"/>
      </w:pPr>
      <w:r>
        <w:rPr>
          <w:sz w:val="20"/>
        </w:rPr>
        <w:t xml:space="preserve">- Департамент капитального строительства города Севастополя;</w:t>
      </w:r>
    </w:p>
    <w:p>
      <w:pPr>
        <w:pStyle w:val="0"/>
        <w:spacing w:before="200" w:line-rule="auto"/>
        <w:ind w:firstLine="540"/>
        <w:jc w:val="both"/>
      </w:pPr>
      <w:r>
        <w:rPr>
          <w:sz w:val="20"/>
        </w:rPr>
        <w:t xml:space="preserve">- ГКУС "Медицинский склад N 1043".</w:t>
      </w:r>
    </w:p>
    <w:p>
      <w:pPr>
        <w:pStyle w:val="0"/>
        <w:spacing w:before="200" w:line-rule="auto"/>
        <w:ind w:firstLine="540"/>
        <w:jc w:val="both"/>
      </w:pPr>
      <w:r>
        <w:rPr>
          <w:sz w:val="20"/>
        </w:rPr>
        <w:t xml:space="preserve">3. Участники подпрограммы 2:</w:t>
      </w:r>
    </w:p>
    <w:p>
      <w:pPr>
        <w:pStyle w:val="0"/>
        <w:spacing w:before="200" w:line-rule="auto"/>
        <w:ind w:firstLine="540"/>
        <w:jc w:val="both"/>
      </w:pPr>
      <w:r>
        <w:rPr>
          <w:sz w:val="20"/>
        </w:rPr>
        <w:t xml:space="preserve">- государственные учреждения здравоохранения города Севастополя;</w:t>
      </w:r>
    </w:p>
    <w:p>
      <w:pPr>
        <w:pStyle w:val="0"/>
        <w:spacing w:before="200" w:line-rule="auto"/>
        <w:ind w:firstLine="540"/>
        <w:jc w:val="both"/>
      </w:pPr>
      <w:r>
        <w:rPr>
          <w:sz w:val="20"/>
        </w:rPr>
        <w:t xml:space="preserve">- ГКУГС "ЕДКС".</w:t>
      </w:r>
    </w:p>
    <w:p>
      <w:pPr>
        <w:pStyle w:val="0"/>
        <w:spacing w:before="200" w:line-rule="auto"/>
        <w:ind w:firstLine="540"/>
        <w:jc w:val="both"/>
      </w:pPr>
      <w:r>
        <w:rPr>
          <w:sz w:val="20"/>
        </w:rPr>
        <w:t xml:space="preserve">4. Цель подпрограммы 2: 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pPr>
        <w:pStyle w:val="0"/>
        <w:spacing w:before="200" w:line-rule="auto"/>
        <w:ind w:firstLine="540"/>
        <w:jc w:val="both"/>
      </w:pPr>
      <w:r>
        <w:rPr>
          <w:sz w:val="20"/>
        </w:rPr>
        <w:t xml:space="preserve">5. Задачи подпрограммы 2:</w:t>
      </w:r>
    </w:p>
    <w:p>
      <w:pPr>
        <w:pStyle w:val="0"/>
        <w:spacing w:before="200" w:line-rule="auto"/>
        <w:ind w:firstLine="540"/>
        <w:jc w:val="both"/>
      </w:pPr>
      <w:r>
        <w:rPr>
          <w:sz w:val="20"/>
        </w:rPr>
        <w:t xml:space="preserve">- совершенствование системы управления скорой медицинской помощью;</w:t>
      </w:r>
    </w:p>
    <w:p>
      <w:pPr>
        <w:pStyle w:val="0"/>
        <w:spacing w:before="200" w:line-rule="auto"/>
        <w:ind w:firstLine="540"/>
        <w:jc w:val="both"/>
      </w:pPr>
      <w:r>
        <w:rPr>
          <w:sz w:val="20"/>
        </w:rPr>
        <w:t xml:space="preserve">- совершенствование системы оказания медицинской помощи пострадавшим в дорожно-транспортных происшествиях;</w:t>
      </w:r>
    </w:p>
    <w:p>
      <w:pPr>
        <w:pStyle w:val="0"/>
        <w:spacing w:before="200" w:line-rule="auto"/>
        <w:ind w:firstLine="540"/>
        <w:jc w:val="both"/>
      </w:pPr>
      <w:r>
        <w:rPr>
          <w:sz w:val="20"/>
        </w:rPr>
        <w:t xml:space="preserve">- совершенствование системы оказания медицинской помощи больным онкологическими заболеваниями;</w:t>
      </w:r>
    </w:p>
    <w:p>
      <w:pPr>
        <w:pStyle w:val="0"/>
        <w:spacing w:before="200" w:line-rule="auto"/>
        <w:ind w:firstLine="540"/>
        <w:jc w:val="both"/>
      </w:pPr>
      <w:r>
        <w:rPr>
          <w:sz w:val="20"/>
        </w:rPr>
        <w:t xml:space="preserve">- совершенствование оказания медицинской помощи пациентам с болезнями системы кровообращения;</w:t>
      </w:r>
    </w:p>
    <w:p>
      <w:pPr>
        <w:pStyle w:val="0"/>
        <w:spacing w:before="200" w:line-rule="auto"/>
        <w:ind w:firstLine="540"/>
        <w:jc w:val="both"/>
      </w:pPr>
      <w:r>
        <w:rPr>
          <w:sz w:val="20"/>
        </w:rPr>
        <w:t xml:space="preserve">- совершенствование системы оказания паллиативной медицинской помощи;</w:t>
      </w:r>
    </w:p>
    <w:p>
      <w:pPr>
        <w:pStyle w:val="0"/>
        <w:spacing w:before="200" w:line-rule="auto"/>
        <w:ind w:firstLine="540"/>
        <w:jc w:val="both"/>
      </w:pPr>
      <w:r>
        <w:rPr>
          <w:sz w:val="20"/>
        </w:rPr>
        <w:t xml:space="preserve">- строительство объектов здравоохранения, оказывающих специализированную медицинскую помощь.</w:t>
      </w:r>
    </w:p>
    <w:p>
      <w:pPr>
        <w:pStyle w:val="0"/>
        <w:spacing w:before="200" w:line-rule="auto"/>
        <w:ind w:firstLine="540"/>
        <w:jc w:val="both"/>
      </w:pPr>
      <w:r>
        <w:rPr>
          <w:sz w:val="20"/>
        </w:rPr>
        <w:t xml:space="preserve">6. Целевые индикаторы и показатели подпрограммы 2:</w:t>
      </w:r>
    </w:p>
    <w:p>
      <w:pPr>
        <w:pStyle w:val="0"/>
        <w:spacing w:before="200" w:line-rule="auto"/>
        <w:ind w:firstLine="540"/>
        <w:jc w:val="both"/>
      </w:pPr>
      <w:r>
        <w:rPr>
          <w:sz w:val="20"/>
        </w:rPr>
        <w:t xml:space="preserve">- доля выезда бригад скорой медицинской помощи со временем доезда до больного менее 20 минут;</w:t>
      </w:r>
    </w:p>
    <w:p>
      <w:pPr>
        <w:pStyle w:val="0"/>
        <w:spacing w:before="200" w:line-rule="auto"/>
        <w:ind w:firstLine="540"/>
        <w:jc w:val="both"/>
      </w:pPr>
      <w:r>
        <w:rPr>
          <w:sz w:val="20"/>
        </w:rPr>
        <w:t xml:space="preserve">- больничная летальность пострадавших в результате дорожно-транспортных происшествий;</w:t>
      </w:r>
    </w:p>
    <w:p>
      <w:pPr>
        <w:pStyle w:val="0"/>
        <w:spacing w:before="200" w:line-rule="auto"/>
        <w:ind w:firstLine="540"/>
        <w:jc w:val="both"/>
      </w:pPr>
      <w:r>
        <w:rPr>
          <w:sz w:val="20"/>
        </w:rPr>
        <w:t xml:space="preserve">- доля вызовов для оказания медицинской помощи в неотложной форме, осуществленных медицинскими организациями, оказывающими первичную медико-санитарную помощь, в общем количестве вызовов, поступивших для оказания скорой медицинской помощи в неотложной форме;</w:t>
      </w:r>
    </w:p>
    <w:p>
      <w:pPr>
        <w:pStyle w:val="0"/>
        <w:spacing w:before="200" w:line-rule="auto"/>
        <w:ind w:firstLine="540"/>
        <w:jc w:val="both"/>
      </w:pPr>
      <w:r>
        <w:rPr>
          <w:sz w:val="20"/>
        </w:rPr>
        <w:t xml:space="preserve">- строительство многопрофильного лечебно-диагностического корпуса онкологического диспансера, г. Севастополь;</w:t>
      </w:r>
    </w:p>
    <w:p>
      <w:pPr>
        <w:pStyle w:val="0"/>
        <w:spacing w:before="200" w:line-rule="auto"/>
        <w:ind w:firstLine="540"/>
        <w:jc w:val="both"/>
      </w:pPr>
      <w:r>
        <w:rPr>
          <w:sz w:val="20"/>
        </w:rPr>
        <w:t xml:space="preserve">- строительство севастопольской больницы скорой медицинской помощи;</w:t>
      </w:r>
    </w:p>
    <w:p>
      <w:pPr>
        <w:pStyle w:val="0"/>
        <w:spacing w:before="200" w:line-rule="auto"/>
        <w:ind w:firstLine="540"/>
        <w:jc w:val="both"/>
      </w:pPr>
      <w:r>
        <w:rPr>
          <w:sz w:val="20"/>
        </w:rPr>
        <w:t xml:space="preserve">- строительство городской инфекционной больницы на 200 коек;</w:t>
      </w:r>
    </w:p>
    <w:p>
      <w:pPr>
        <w:pStyle w:val="0"/>
        <w:spacing w:before="200" w:line-rule="auto"/>
        <w:ind w:firstLine="540"/>
        <w:jc w:val="both"/>
      </w:pPr>
      <w:r>
        <w:rPr>
          <w:sz w:val="20"/>
        </w:rPr>
        <w:t xml:space="preserve">- строительство подстанции N 2 ГБУЗС "Центр экстренной медицинской помощи и медицины катастроф", пр-т Генерала Острякова;</w:t>
      </w:r>
    </w:p>
    <w:p>
      <w:pPr>
        <w:pStyle w:val="0"/>
        <w:spacing w:before="200" w:line-rule="auto"/>
        <w:ind w:firstLine="540"/>
        <w:jc w:val="both"/>
      </w:pPr>
      <w:r>
        <w:rPr>
          <w:sz w:val="20"/>
        </w:rPr>
        <w:t xml:space="preserve">- строительство подстанции N 10 ГБУЗС "Центр экстренной медицинской помощи и медицины катастроф", Фиолентовское шоссе;</w:t>
      </w:r>
    </w:p>
    <w:p>
      <w:pPr>
        <w:pStyle w:val="0"/>
        <w:spacing w:before="200" w:line-rule="auto"/>
        <w:ind w:firstLine="540"/>
        <w:jc w:val="both"/>
      </w:pPr>
      <w:r>
        <w:rPr>
          <w:sz w:val="20"/>
        </w:rPr>
        <w:t xml:space="preserve">- строительство подстанции N 1 ГБУЗС "Центр экстренной медицинской помощи и медицины катастроф", пр-т Победы;</w:t>
      </w:r>
    </w:p>
    <w:p>
      <w:pPr>
        <w:pStyle w:val="0"/>
        <w:spacing w:before="200" w:line-rule="auto"/>
        <w:ind w:firstLine="540"/>
        <w:jc w:val="both"/>
      </w:pPr>
      <w:r>
        <w:rPr>
          <w:sz w:val="20"/>
        </w:rPr>
        <w:t xml:space="preserve">- строительство палатного корпуса на 140 коек ГБУЗС "Городская больница N 4";</w:t>
      </w:r>
    </w:p>
    <w:p>
      <w:pPr>
        <w:pStyle w:val="0"/>
        <w:spacing w:before="200" w:line-rule="auto"/>
        <w:ind w:firstLine="540"/>
        <w:jc w:val="both"/>
      </w:pPr>
      <w:r>
        <w:rPr>
          <w:sz w:val="20"/>
        </w:rPr>
        <w:t xml:space="preserve">- строительство патолого-анатомического корпуса ГБУЗС "Городская больница N 1 им. Н.И. Пирогова".</w:t>
      </w:r>
    </w:p>
    <w:p>
      <w:pPr>
        <w:pStyle w:val="0"/>
        <w:spacing w:before="200" w:line-rule="auto"/>
        <w:ind w:firstLine="540"/>
        <w:jc w:val="both"/>
      </w:pPr>
      <w:r>
        <w:rPr>
          <w:sz w:val="20"/>
        </w:rPr>
        <w:t xml:space="preserve">7. Этапы и сроки реализации подпрограммы 2: с 2022 по 2030 год без выделения этапов реализации Программы.</w:t>
      </w:r>
    </w:p>
    <w:p>
      <w:pPr>
        <w:pStyle w:val="0"/>
        <w:spacing w:before="200" w:line-rule="auto"/>
        <w:ind w:firstLine="540"/>
        <w:jc w:val="both"/>
      </w:pPr>
      <w:r>
        <w:rPr>
          <w:sz w:val="20"/>
        </w:rPr>
        <w:t xml:space="preserve">8. Объемы финансирования подпрограммы 2, всего, по годам и по источникам финансирования (тыс. руб.):</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587"/>
        <w:gridCol w:w="1531"/>
        <w:gridCol w:w="1700"/>
        <w:gridCol w:w="1191"/>
        <w:gridCol w:w="1587"/>
      </w:tblGrid>
      <w:tr>
        <w:tc>
          <w:tcPr>
            <w:tcW w:w="1474" w:type="dxa"/>
          </w:tcPr>
          <w:p>
            <w:pPr>
              <w:pStyle w:val="0"/>
              <w:jc w:val="center"/>
            </w:pPr>
            <w:r>
              <w:rPr>
                <w:sz w:val="20"/>
              </w:rPr>
              <w:t xml:space="preserve">Источники финансирования</w:t>
            </w:r>
          </w:p>
        </w:tc>
        <w:tc>
          <w:tcPr>
            <w:tcW w:w="1587" w:type="dxa"/>
          </w:tcPr>
          <w:p>
            <w:pPr>
              <w:pStyle w:val="0"/>
              <w:jc w:val="center"/>
            </w:pPr>
            <w:r>
              <w:rPr>
                <w:sz w:val="20"/>
              </w:rPr>
              <w:t xml:space="preserve">Федеральный бюджет</w:t>
            </w:r>
          </w:p>
        </w:tc>
        <w:tc>
          <w:tcPr>
            <w:tcW w:w="1531" w:type="dxa"/>
          </w:tcPr>
          <w:p>
            <w:pPr>
              <w:pStyle w:val="0"/>
              <w:jc w:val="center"/>
            </w:pPr>
            <w:r>
              <w:rPr>
                <w:sz w:val="20"/>
              </w:rPr>
              <w:t xml:space="preserve">Бюджет города Севастополя</w:t>
            </w:r>
          </w:p>
        </w:tc>
        <w:tc>
          <w:tcPr>
            <w:tcW w:w="1700" w:type="dxa"/>
          </w:tcPr>
          <w:p>
            <w:pPr>
              <w:pStyle w:val="0"/>
              <w:jc w:val="center"/>
            </w:pPr>
            <w:r>
              <w:rPr>
                <w:sz w:val="20"/>
              </w:rPr>
              <w:t xml:space="preserve">Бюджеты других субъектов РФ (город Москва)</w:t>
            </w:r>
          </w:p>
        </w:tc>
        <w:tc>
          <w:tcPr>
            <w:tcW w:w="1191" w:type="dxa"/>
          </w:tcPr>
          <w:p>
            <w:pPr>
              <w:pStyle w:val="0"/>
              <w:jc w:val="center"/>
            </w:pPr>
            <w:r>
              <w:rPr>
                <w:sz w:val="20"/>
              </w:rPr>
              <w:t xml:space="preserve">Внебюджетные средства</w:t>
            </w:r>
          </w:p>
        </w:tc>
        <w:tc>
          <w:tcPr>
            <w:tcW w:w="1587" w:type="dxa"/>
          </w:tcPr>
          <w:p>
            <w:pPr>
              <w:pStyle w:val="0"/>
              <w:jc w:val="center"/>
            </w:pPr>
            <w:r>
              <w:rPr>
                <w:sz w:val="20"/>
              </w:rPr>
              <w:t xml:space="preserve">Итого</w:t>
            </w:r>
          </w:p>
        </w:tc>
      </w:tr>
      <w:tr>
        <w:tc>
          <w:tcPr>
            <w:tcW w:w="1474" w:type="dxa"/>
          </w:tcPr>
          <w:p>
            <w:pPr>
              <w:pStyle w:val="0"/>
              <w:jc w:val="both"/>
            </w:pPr>
            <w:r>
              <w:rPr>
                <w:sz w:val="20"/>
              </w:rPr>
              <w:t xml:space="preserve">2022 год</w:t>
            </w:r>
          </w:p>
        </w:tc>
        <w:tc>
          <w:tcPr>
            <w:tcW w:w="1587" w:type="dxa"/>
          </w:tcPr>
          <w:p>
            <w:pPr>
              <w:pStyle w:val="0"/>
              <w:jc w:val="center"/>
            </w:pPr>
            <w:r>
              <w:rPr>
                <w:sz w:val="20"/>
              </w:rPr>
              <w:t xml:space="preserve">378610,7</w:t>
            </w:r>
          </w:p>
        </w:tc>
        <w:tc>
          <w:tcPr>
            <w:tcW w:w="1531" w:type="dxa"/>
          </w:tcPr>
          <w:p>
            <w:pPr>
              <w:pStyle w:val="0"/>
              <w:jc w:val="center"/>
            </w:pPr>
            <w:r>
              <w:rPr>
                <w:sz w:val="20"/>
              </w:rPr>
              <w:t xml:space="preserve">3342094,0</w:t>
            </w:r>
          </w:p>
        </w:tc>
        <w:tc>
          <w:tcPr>
            <w:tcW w:w="1700" w:type="dxa"/>
          </w:tcPr>
          <w:p>
            <w:pPr>
              <w:pStyle w:val="0"/>
              <w:jc w:val="center"/>
            </w:pPr>
            <w:r>
              <w:rPr>
                <w:sz w:val="20"/>
              </w:rPr>
              <w:t xml:space="preserve">249621,2</w:t>
            </w:r>
          </w:p>
        </w:tc>
        <w:tc>
          <w:tcPr>
            <w:tcW w:w="1191" w:type="dxa"/>
          </w:tcPr>
          <w:p>
            <w:pPr>
              <w:pStyle w:val="0"/>
              <w:jc w:val="center"/>
            </w:pPr>
            <w:r>
              <w:rPr>
                <w:sz w:val="20"/>
              </w:rPr>
              <w:t xml:space="preserve">0,0</w:t>
            </w:r>
          </w:p>
        </w:tc>
        <w:tc>
          <w:tcPr>
            <w:tcW w:w="1587" w:type="dxa"/>
          </w:tcPr>
          <w:p>
            <w:pPr>
              <w:pStyle w:val="0"/>
              <w:jc w:val="center"/>
            </w:pPr>
            <w:r>
              <w:rPr>
                <w:sz w:val="20"/>
              </w:rPr>
              <w:t xml:space="preserve">3970325,9</w:t>
            </w:r>
          </w:p>
        </w:tc>
      </w:tr>
      <w:tr>
        <w:tc>
          <w:tcPr>
            <w:tcW w:w="1474" w:type="dxa"/>
          </w:tcPr>
          <w:p>
            <w:pPr>
              <w:pStyle w:val="0"/>
              <w:jc w:val="both"/>
            </w:pPr>
            <w:r>
              <w:rPr>
                <w:sz w:val="20"/>
              </w:rPr>
              <w:t xml:space="preserve">2023 год</w:t>
            </w:r>
          </w:p>
        </w:tc>
        <w:tc>
          <w:tcPr>
            <w:tcW w:w="1587" w:type="dxa"/>
          </w:tcPr>
          <w:p>
            <w:pPr>
              <w:pStyle w:val="0"/>
              <w:jc w:val="center"/>
            </w:pPr>
            <w:r>
              <w:rPr>
                <w:sz w:val="20"/>
              </w:rPr>
              <w:t xml:space="preserve">1621996,9</w:t>
            </w:r>
          </w:p>
        </w:tc>
        <w:tc>
          <w:tcPr>
            <w:tcW w:w="1531" w:type="dxa"/>
          </w:tcPr>
          <w:p>
            <w:pPr>
              <w:pStyle w:val="0"/>
              <w:jc w:val="center"/>
            </w:pPr>
            <w:r>
              <w:rPr>
                <w:sz w:val="20"/>
              </w:rPr>
              <w:t xml:space="preserve">4027479,5</w:t>
            </w:r>
          </w:p>
        </w:tc>
        <w:tc>
          <w:tcPr>
            <w:tcW w:w="1700" w:type="dxa"/>
          </w:tcPr>
          <w:p>
            <w:pPr>
              <w:pStyle w:val="0"/>
              <w:jc w:val="center"/>
            </w:pPr>
            <w:r>
              <w:rPr>
                <w:sz w:val="20"/>
              </w:rPr>
              <w:t xml:space="preserve">87577,3</w:t>
            </w:r>
          </w:p>
        </w:tc>
        <w:tc>
          <w:tcPr>
            <w:tcW w:w="1191" w:type="dxa"/>
          </w:tcPr>
          <w:p>
            <w:pPr>
              <w:pStyle w:val="0"/>
              <w:jc w:val="center"/>
            </w:pPr>
            <w:r>
              <w:rPr>
                <w:sz w:val="20"/>
              </w:rPr>
              <w:t xml:space="preserve">0,0</w:t>
            </w:r>
          </w:p>
        </w:tc>
        <w:tc>
          <w:tcPr>
            <w:tcW w:w="1587" w:type="dxa"/>
          </w:tcPr>
          <w:p>
            <w:pPr>
              <w:pStyle w:val="0"/>
              <w:jc w:val="center"/>
            </w:pPr>
            <w:r>
              <w:rPr>
                <w:sz w:val="20"/>
              </w:rPr>
              <w:t xml:space="preserve">5737053,7</w:t>
            </w:r>
          </w:p>
        </w:tc>
      </w:tr>
      <w:tr>
        <w:tc>
          <w:tcPr>
            <w:tcW w:w="1474" w:type="dxa"/>
          </w:tcPr>
          <w:p>
            <w:pPr>
              <w:pStyle w:val="0"/>
              <w:jc w:val="both"/>
            </w:pPr>
            <w:r>
              <w:rPr>
                <w:sz w:val="20"/>
              </w:rPr>
              <w:t xml:space="preserve">2024 год</w:t>
            </w:r>
          </w:p>
        </w:tc>
        <w:tc>
          <w:tcPr>
            <w:tcW w:w="1587" w:type="dxa"/>
          </w:tcPr>
          <w:p>
            <w:pPr>
              <w:pStyle w:val="0"/>
              <w:jc w:val="center"/>
            </w:pPr>
            <w:r>
              <w:rPr>
                <w:sz w:val="20"/>
              </w:rPr>
              <w:t xml:space="preserve">1063399,0</w:t>
            </w:r>
          </w:p>
        </w:tc>
        <w:tc>
          <w:tcPr>
            <w:tcW w:w="1531" w:type="dxa"/>
          </w:tcPr>
          <w:p>
            <w:pPr>
              <w:pStyle w:val="0"/>
              <w:jc w:val="center"/>
            </w:pPr>
            <w:r>
              <w:rPr>
                <w:sz w:val="20"/>
              </w:rPr>
              <w:t xml:space="preserve">3183313,6</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4246712,6</w:t>
            </w:r>
          </w:p>
        </w:tc>
      </w:tr>
      <w:tr>
        <w:tc>
          <w:tcPr>
            <w:tcW w:w="1474" w:type="dxa"/>
          </w:tcPr>
          <w:p>
            <w:pPr>
              <w:pStyle w:val="0"/>
              <w:jc w:val="both"/>
            </w:pPr>
            <w:r>
              <w:rPr>
                <w:sz w:val="20"/>
              </w:rPr>
              <w:t xml:space="preserve">2025 год</w:t>
            </w:r>
          </w:p>
        </w:tc>
        <w:tc>
          <w:tcPr>
            <w:tcW w:w="1587" w:type="dxa"/>
          </w:tcPr>
          <w:p>
            <w:pPr>
              <w:pStyle w:val="0"/>
              <w:jc w:val="center"/>
            </w:pPr>
            <w:r>
              <w:rPr>
                <w:sz w:val="20"/>
              </w:rPr>
              <w:t xml:space="preserve">4175039,6</w:t>
            </w:r>
          </w:p>
        </w:tc>
        <w:tc>
          <w:tcPr>
            <w:tcW w:w="1531" w:type="dxa"/>
          </w:tcPr>
          <w:p>
            <w:pPr>
              <w:pStyle w:val="0"/>
              <w:jc w:val="center"/>
            </w:pPr>
            <w:r>
              <w:rPr>
                <w:sz w:val="20"/>
              </w:rPr>
              <w:t xml:space="preserve">3672638,8</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7847678,4</w:t>
            </w:r>
          </w:p>
        </w:tc>
      </w:tr>
      <w:tr>
        <w:tc>
          <w:tcPr>
            <w:tcW w:w="1474" w:type="dxa"/>
          </w:tcPr>
          <w:p>
            <w:pPr>
              <w:pStyle w:val="0"/>
              <w:jc w:val="both"/>
            </w:pPr>
            <w:r>
              <w:rPr>
                <w:sz w:val="20"/>
              </w:rPr>
              <w:t xml:space="preserve">2026 год</w:t>
            </w:r>
          </w:p>
        </w:tc>
        <w:tc>
          <w:tcPr>
            <w:tcW w:w="1587" w:type="dxa"/>
          </w:tcPr>
          <w:p>
            <w:pPr>
              <w:pStyle w:val="0"/>
              <w:jc w:val="center"/>
            </w:pPr>
            <w:r>
              <w:rPr>
                <w:sz w:val="20"/>
              </w:rPr>
              <w:t xml:space="preserve">7911775,2</w:t>
            </w:r>
          </w:p>
        </w:tc>
        <w:tc>
          <w:tcPr>
            <w:tcW w:w="1531" w:type="dxa"/>
          </w:tcPr>
          <w:p>
            <w:pPr>
              <w:pStyle w:val="0"/>
              <w:jc w:val="center"/>
            </w:pPr>
            <w:r>
              <w:rPr>
                <w:sz w:val="20"/>
              </w:rPr>
              <w:t xml:space="preserve">4018748,3</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11930523,5</w:t>
            </w:r>
          </w:p>
        </w:tc>
      </w:tr>
      <w:tr>
        <w:tc>
          <w:tcPr>
            <w:tcW w:w="1474" w:type="dxa"/>
          </w:tcPr>
          <w:p>
            <w:pPr>
              <w:pStyle w:val="0"/>
              <w:jc w:val="both"/>
            </w:pPr>
            <w:r>
              <w:rPr>
                <w:sz w:val="20"/>
              </w:rPr>
              <w:t xml:space="preserve">2027 год</w:t>
            </w:r>
          </w:p>
        </w:tc>
        <w:tc>
          <w:tcPr>
            <w:tcW w:w="1587" w:type="dxa"/>
          </w:tcPr>
          <w:p>
            <w:pPr>
              <w:pStyle w:val="0"/>
              <w:jc w:val="center"/>
            </w:pPr>
            <w:r>
              <w:rPr>
                <w:sz w:val="20"/>
              </w:rPr>
              <w:t xml:space="preserve">4094976,2</w:t>
            </w:r>
          </w:p>
        </w:tc>
        <w:tc>
          <w:tcPr>
            <w:tcW w:w="1531" w:type="dxa"/>
          </w:tcPr>
          <w:p>
            <w:pPr>
              <w:pStyle w:val="0"/>
              <w:jc w:val="center"/>
            </w:pPr>
            <w:r>
              <w:rPr>
                <w:sz w:val="20"/>
              </w:rPr>
              <w:t xml:space="preserve">3871146,1</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7966122,3</w:t>
            </w:r>
          </w:p>
        </w:tc>
      </w:tr>
      <w:tr>
        <w:tc>
          <w:tcPr>
            <w:tcW w:w="1474" w:type="dxa"/>
          </w:tcPr>
          <w:p>
            <w:pPr>
              <w:pStyle w:val="0"/>
              <w:jc w:val="both"/>
            </w:pPr>
            <w:r>
              <w:rPr>
                <w:sz w:val="20"/>
              </w:rPr>
              <w:t xml:space="preserve">2028 год</w:t>
            </w:r>
          </w:p>
        </w:tc>
        <w:tc>
          <w:tcPr>
            <w:tcW w:w="1587" w:type="dxa"/>
          </w:tcPr>
          <w:p>
            <w:pPr>
              <w:pStyle w:val="0"/>
              <w:jc w:val="center"/>
            </w:pPr>
            <w:r>
              <w:rPr>
                <w:sz w:val="20"/>
              </w:rPr>
              <w:t xml:space="preserve">59669,8</w:t>
            </w:r>
          </w:p>
        </w:tc>
        <w:tc>
          <w:tcPr>
            <w:tcW w:w="1531" w:type="dxa"/>
          </w:tcPr>
          <w:p>
            <w:pPr>
              <w:pStyle w:val="0"/>
              <w:jc w:val="center"/>
            </w:pPr>
            <w:r>
              <w:rPr>
                <w:sz w:val="20"/>
              </w:rPr>
              <w:t xml:space="preserve">3636202,1</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3695871,9</w:t>
            </w:r>
          </w:p>
        </w:tc>
      </w:tr>
      <w:tr>
        <w:tc>
          <w:tcPr>
            <w:tcW w:w="1474" w:type="dxa"/>
          </w:tcPr>
          <w:p>
            <w:pPr>
              <w:pStyle w:val="0"/>
              <w:jc w:val="both"/>
            </w:pPr>
            <w:r>
              <w:rPr>
                <w:sz w:val="20"/>
              </w:rPr>
              <w:t xml:space="preserve">2029 год</w:t>
            </w:r>
          </w:p>
        </w:tc>
        <w:tc>
          <w:tcPr>
            <w:tcW w:w="1587" w:type="dxa"/>
          </w:tcPr>
          <w:p>
            <w:pPr>
              <w:pStyle w:val="0"/>
              <w:jc w:val="center"/>
            </w:pPr>
            <w:r>
              <w:rPr>
                <w:sz w:val="20"/>
              </w:rPr>
              <w:t xml:space="preserve">61340,5</w:t>
            </w:r>
          </w:p>
        </w:tc>
        <w:tc>
          <w:tcPr>
            <w:tcW w:w="1531" w:type="dxa"/>
          </w:tcPr>
          <w:p>
            <w:pPr>
              <w:pStyle w:val="0"/>
              <w:jc w:val="center"/>
            </w:pPr>
            <w:r>
              <w:rPr>
                <w:sz w:val="20"/>
              </w:rPr>
              <w:t xml:space="preserve">3738015,5</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3799356,0</w:t>
            </w:r>
          </w:p>
        </w:tc>
      </w:tr>
      <w:tr>
        <w:tc>
          <w:tcPr>
            <w:tcW w:w="1474" w:type="dxa"/>
          </w:tcPr>
          <w:p>
            <w:pPr>
              <w:pStyle w:val="0"/>
              <w:jc w:val="both"/>
            </w:pPr>
            <w:r>
              <w:rPr>
                <w:sz w:val="20"/>
              </w:rPr>
              <w:t xml:space="preserve">2030 год</w:t>
            </w:r>
          </w:p>
        </w:tc>
        <w:tc>
          <w:tcPr>
            <w:tcW w:w="1587" w:type="dxa"/>
          </w:tcPr>
          <w:p>
            <w:pPr>
              <w:pStyle w:val="0"/>
              <w:jc w:val="center"/>
            </w:pPr>
            <w:r>
              <w:rPr>
                <w:sz w:val="20"/>
              </w:rPr>
              <w:t xml:space="preserve">63058,0</w:t>
            </w:r>
          </w:p>
        </w:tc>
        <w:tc>
          <w:tcPr>
            <w:tcW w:w="1531" w:type="dxa"/>
          </w:tcPr>
          <w:p>
            <w:pPr>
              <w:pStyle w:val="0"/>
              <w:jc w:val="center"/>
            </w:pPr>
            <w:r>
              <w:rPr>
                <w:sz w:val="20"/>
              </w:rPr>
              <w:t xml:space="preserve">3842680,1</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3905738,1</w:t>
            </w:r>
          </w:p>
        </w:tc>
      </w:tr>
      <w:tr>
        <w:tc>
          <w:tcPr>
            <w:tcW w:w="1474" w:type="dxa"/>
          </w:tcPr>
          <w:p>
            <w:pPr>
              <w:pStyle w:val="0"/>
              <w:jc w:val="both"/>
            </w:pPr>
            <w:r>
              <w:rPr>
                <w:sz w:val="20"/>
              </w:rPr>
              <w:t xml:space="preserve">Всего</w:t>
            </w:r>
          </w:p>
        </w:tc>
        <w:tc>
          <w:tcPr>
            <w:tcW w:w="1587" w:type="dxa"/>
          </w:tcPr>
          <w:p>
            <w:pPr>
              <w:pStyle w:val="0"/>
              <w:jc w:val="center"/>
            </w:pPr>
            <w:r>
              <w:rPr>
                <w:sz w:val="20"/>
              </w:rPr>
              <w:t xml:space="preserve">19429865,9</w:t>
            </w:r>
          </w:p>
        </w:tc>
        <w:tc>
          <w:tcPr>
            <w:tcW w:w="1531" w:type="dxa"/>
          </w:tcPr>
          <w:p>
            <w:pPr>
              <w:pStyle w:val="0"/>
              <w:jc w:val="center"/>
            </w:pPr>
            <w:r>
              <w:rPr>
                <w:sz w:val="20"/>
              </w:rPr>
              <w:t xml:space="preserve">33332318,0</w:t>
            </w:r>
          </w:p>
        </w:tc>
        <w:tc>
          <w:tcPr>
            <w:tcW w:w="1700" w:type="dxa"/>
          </w:tcPr>
          <w:p>
            <w:pPr>
              <w:pStyle w:val="0"/>
              <w:jc w:val="center"/>
            </w:pPr>
            <w:r>
              <w:rPr>
                <w:sz w:val="20"/>
              </w:rPr>
              <w:t xml:space="preserve">337198,5</w:t>
            </w:r>
          </w:p>
        </w:tc>
        <w:tc>
          <w:tcPr>
            <w:tcW w:w="1191" w:type="dxa"/>
          </w:tcPr>
          <w:p>
            <w:pPr>
              <w:pStyle w:val="0"/>
              <w:jc w:val="center"/>
            </w:pPr>
            <w:r>
              <w:rPr>
                <w:sz w:val="20"/>
              </w:rPr>
              <w:t xml:space="preserve">0,0</w:t>
            </w:r>
          </w:p>
        </w:tc>
        <w:tc>
          <w:tcPr>
            <w:tcW w:w="1587" w:type="dxa"/>
          </w:tcPr>
          <w:p>
            <w:pPr>
              <w:pStyle w:val="0"/>
              <w:jc w:val="center"/>
            </w:pPr>
            <w:r>
              <w:rPr>
                <w:sz w:val="20"/>
              </w:rPr>
              <w:t xml:space="preserve">53099382,4</w:t>
            </w:r>
          </w:p>
        </w:tc>
      </w:tr>
    </w:tbl>
    <w:p>
      <w:pPr>
        <w:pStyle w:val="0"/>
        <w:jc w:val="both"/>
      </w:pPr>
      <w:r>
        <w:rPr>
          <w:sz w:val="20"/>
        </w:rPr>
        <w:t xml:space="preserve">(п. 8 в ред. </w:t>
      </w:r>
      <w:hyperlink w:history="0" r:id="rId14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ind w:firstLine="540"/>
        <w:jc w:val="both"/>
      </w:pPr>
      <w:r>
        <w:rPr>
          <w:sz w:val="20"/>
        </w:rPr>
      </w:r>
    </w:p>
    <w:p>
      <w:pPr>
        <w:pStyle w:val="0"/>
        <w:ind w:firstLine="540"/>
        <w:jc w:val="both"/>
      </w:pPr>
      <w:r>
        <w:rPr>
          <w:sz w:val="20"/>
        </w:rPr>
        <w:t xml:space="preserve">9. Ожидаемые результаты реализации подпрограммы 2:</w:t>
      </w:r>
    </w:p>
    <w:p>
      <w:pPr>
        <w:pStyle w:val="0"/>
        <w:spacing w:before="200" w:line-rule="auto"/>
        <w:ind w:firstLine="540"/>
        <w:jc w:val="both"/>
      </w:pPr>
      <w:r>
        <w:rPr>
          <w:sz w:val="20"/>
        </w:rPr>
        <w:t xml:space="preserve">- увеличение доли выезда бригад скорой медицинской помощи со временем доезда до больного менее 20 минут до 99% к 2030 году;</w:t>
      </w:r>
    </w:p>
    <w:p>
      <w:pPr>
        <w:pStyle w:val="0"/>
        <w:spacing w:before="200" w:line-rule="auto"/>
        <w:ind w:firstLine="540"/>
        <w:jc w:val="both"/>
      </w:pPr>
      <w:r>
        <w:rPr>
          <w:sz w:val="20"/>
        </w:rPr>
        <w:t xml:space="preserve">- снижение больничной летальности пострадавших в результате дорожно-транспортных происшествий до 4,7% к 2030 году;</w:t>
      </w:r>
    </w:p>
    <w:p>
      <w:pPr>
        <w:pStyle w:val="0"/>
        <w:spacing w:before="200" w:line-rule="auto"/>
        <w:ind w:firstLine="540"/>
        <w:jc w:val="both"/>
      </w:pPr>
      <w:r>
        <w:rPr>
          <w:sz w:val="20"/>
        </w:rPr>
        <w:t xml:space="preserve">- увеличение доли вызовов для оказания медицинской помощи в неотложной форме, осуществленных медицинскими организациями, оказывающими первичную медико-санитарную помощь, в общем количестве вызовов, поступивших для оказания скорой медицинской помощи в неотложной форме, до 60% в 2030 году;</w:t>
      </w:r>
    </w:p>
    <w:p>
      <w:pPr>
        <w:pStyle w:val="0"/>
        <w:spacing w:before="200" w:line-rule="auto"/>
        <w:ind w:firstLine="540"/>
        <w:jc w:val="both"/>
      </w:pPr>
      <w:r>
        <w:rPr>
          <w:sz w:val="20"/>
        </w:rPr>
        <w:t xml:space="preserve">- строительство многопрофильного лечебно-диагностического корпуса онкологического диспансера к 2024 году;</w:t>
      </w:r>
    </w:p>
    <w:p>
      <w:pPr>
        <w:pStyle w:val="0"/>
        <w:spacing w:before="200" w:line-rule="auto"/>
        <w:ind w:firstLine="540"/>
        <w:jc w:val="both"/>
      </w:pPr>
      <w:r>
        <w:rPr>
          <w:sz w:val="20"/>
        </w:rPr>
        <w:t xml:space="preserve">- строительство севастопольской больницы скорой медицинской помощи к 2026 году;</w:t>
      </w:r>
    </w:p>
    <w:p>
      <w:pPr>
        <w:pStyle w:val="0"/>
        <w:spacing w:before="200" w:line-rule="auto"/>
        <w:ind w:firstLine="540"/>
        <w:jc w:val="both"/>
      </w:pPr>
      <w:r>
        <w:rPr>
          <w:sz w:val="20"/>
        </w:rPr>
        <w:t xml:space="preserve">- строительство городской инфекционной больницы на 200 коек к 2027 году;</w:t>
      </w:r>
    </w:p>
    <w:p>
      <w:pPr>
        <w:pStyle w:val="0"/>
        <w:spacing w:before="200" w:line-rule="auto"/>
        <w:ind w:firstLine="540"/>
        <w:jc w:val="both"/>
      </w:pPr>
      <w:r>
        <w:rPr>
          <w:sz w:val="20"/>
        </w:rPr>
        <w:t xml:space="preserve">- строительство подстанции N 2 ГБУЗС "Севастопольский центр экстренной медицинской помощи и медицины катастроф", пр-т Генерала Острякова, к 2022 году;</w:t>
      </w:r>
    </w:p>
    <w:p>
      <w:pPr>
        <w:pStyle w:val="0"/>
        <w:spacing w:before="200" w:line-rule="auto"/>
        <w:ind w:firstLine="540"/>
        <w:jc w:val="both"/>
      </w:pPr>
      <w:r>
        <w:rPr>
          <w:sz w:val="20"/>
        </w:rPr>
        <w:t xml:space="preserve">- строительство подстанции N 10 ГБУЗС "Севастопольский центр экстренной медицинской помощи и медицины катастроф", Фиолентовское шоссе, к 2022 году;</w:t>
      </w:r>
    </w:p>
    <w:p>
      <w:pPr>
        <w:pStyle w:val="0"/>
        <w:spacing w:before="200" w:line-rule="auto"/>
        <w:ind w:firstLine="540"/>
        <w:jc w:val="both"/>
      </w:pPr>
      <w:r>
        <w:rPr>
          <w:sz w:val="20"/>
        </w:rPr>
        <w:t xml:space="preserve">- строительство подстанции N 1 ГБУЗС "Севастопольский центр экстренной медицинской помощи и медицины катастроф", пр-т Победы, к 2023 году;</w:t>
      </w:r>
    </w:p>
    <w:p>
      <w:pPr>
        <w:pStyle w:val="0"/>
        <w:spacing w:before="200" w:line-rule="auto"/>
        <w:ind w:firstLine="540"/>
        <w:jc w:val="both"/>
      </w:pPr>
      <w:r>
        <w:rPr>
          <w:sz w:val="20"/>
        </w:rPr>
        <w:t xml:space="preserve">- строительство палатного корпуса на 140 коек ГБУЗС "Городская больница N 4" к 2025 году;</w:t>
      </w:r>
    </w:p>
    <w:p>
      <w:pPr>
        <w:pStyle w:val="0"/>
        <w:spacing w:before="200" w:line-rule="auto"/>
        <w:ind w:firstLine="540"/>
        <w:jc w:val="both"/>
      </w:pPr>
      <w:r>
        <w:rPr>
          <w:sz w:val="20"/>
        </w:rPr>
        <w:t xml:space="preserve">- строительство патолого-анатомического корпуса ГБУЗС "Городская больница N 1 им. Н.И. Пирогова" к 2027 году.</w:t>
      </w:r>
    </w:p>
    <w:p>
      <w:pPr>
        <w:pStyle w:val="0"/>
      </w:pPr>
      <w:r>
        <w:rPr>
          <w:sz w:val="20"/>
        </w:rPr>
      </w:r>
    </w:p>
    <w:p>
      <w:pPr>
        <w:pStyle w:val="2"/>
        <w:outlineLvl w:val="2"/>
        <w:jc w:val="center"/>
      </w:pPr>
      <w:r>
        <w:rPr>
          <w:sz w:val="20"/>
        </w:rPr>
        <w:t xml:space="preserve">I. Характеристика фактического состояния сферы реализации</w:t>
      </w:r>
    </w:p>
    <w:p>
      <w:pPr>
        <w:pStyle w:val="2"/>
        <w:jc w:val="center"/>
      </w:pPr>
      <w:r>
        <w:rPr>
          <w:sz w:val="20"/>
        </w:rPr>
        <w:t xml:space="preserve">подпрограммы 2 и прогноз развития на перспективу</w:t>
      </w:r>
    </w:p>
    <w:p>
      <w:pPr>
        <w:pStyle w:val="0"/>
        <w:jc w:val="center"/>
      </w:pPr>
      <w:r>
        <w:rPr>
          <w:sz w:val="20"/>
        </w:rPr>
      </w:r>
    </w:p>
    <w:p>
      <w:pPr>
        <w:pStyle w:val="0"/>
        <w:ind w:firstLine="540"/>
        <w:jc w:val="both"/>
      </w:pPr>
      <w:r>
        <w:rPr>
          <w:sz w:val="20"/>
        </w:rPr>
        <w:t xml:space="preserve">Медицинская помощь в городе Севастополе оказывается в 17 медицинских организациях, подведомственных ДЗГС, деятельность которых подлежит обязательному лицензированию.</w:t>
      </w:r>
    </w:p>
    <w:p>
      <w:pPr>
        <w:pStyle w:val="0"/>
        <w:spacing w:before="200" w:line-rule="auto"/>
        <w:ind w:firstLine="540"/>
        <w:jc w:val="both"/>
      </w:pPr>
      <w:r>
        <w:rPr>
          <w:sz w:val="20"/>
        </w:rPr>
        <w:t xml:space="preserve">Лицензия на осуществление медицинской деятельности получена только на один адрес: Региональный сосудистый центр ГБУЗС "Городская больница N 1 им. Н.И. Пирогова". Остальные медицинские организации осуществляют медицинскую деятельность на основании уведомлений в соответствии с </w:t>
      </w:r>
      <w:hyperlink w:history="0" r:id="rId143" w:tooltip="Постановление Правительства РФ от 09.03.2015 N 207 (ред. от 27.09.2023) &quot;О применении на территориях Республики Крым и г. Севастополя законодательства Российской Федерации о лицензировании отдельных видов деятельности и законодательства Российской Федерации о защите прав юридических лиц и индивидуальных предпринимателей при осуществлении государственного контроля (надзора), муниципального контроля&quot; (вместе с &quot;Положением об особенностях применения положений Федерального закона &quot;О защите прав юридических лиц  {КонсультантПлюс}">
        <w:r>
          <w:rPr>
            <w:sz w:val="20"/>
            <w:color w:val="0000ff"/>
          </w:rPr>
          <w:t xml:space="preserve">постановлением</w:t>
        </w:r>
      </w:hyperlink>
      <w:r>
        <w:rPr>
          <w:sz w:val="20"/>
        </w:rPr>
        <w:t xml:space="preserve"> Правительства Российской Федерации от 09.03.2015 N 207 "О применении на территориях Республики Крым и г. Севастополя законодательства Российской Федерации о лицензировании отдельных видов деятельности и законодательства Российской Федерации о защите прав юридических лиц и индивидуальных предпринимателей при осуществлении государственного контроля (надзора), муниципального контроля", в соответствии с которым на территории города Севастополя до 01.01.2023 допускается осуществление медицинской деятельности без получения лицензии.</w:t>
      </w:r>
    </w:p>
    <w:p>
      <w:pPr>
        <w:pStyle w:val="0"/>
        <w:spacing w:before="200" w:line-rule="auto"/>
        <w:ind w:firstLine="540"/>
        <w:jc w:val="both"/>
      </w:pPr>
      <w:r>
        <w:rPr>
          <w:sz w:val="20"/>
        </w:rPr>
        <w:t xml:space="preserve">Из общего числа подведомственных ДЗГС медицинских организаций медицинскую помощь оказывают 17 медицинских организаций, из них в амбулаторных условиях оказывают 12 медицинских организаций (функциональной мощностью 6553 посещения в смену), медицинскую помощь в условиях дневного стационара осуществляют 12 медицинских организаций (общей мощностью 391 койка); специализированную медицинскую помощь в условиях круглосуточных стационаров - 8 организаций (общей мощностью 2536 коек).</w:t>
      </w:r>
    </w:p>
    <w:p>
      <w:pPr>
        <w:pStyle w:val="0"/>
        <w:spacing w:before="200" w:line-rule="auto"/>
        <w:ind w:firstLine="540"/>
        <w:jc w:val="both"/>
      </w:pPr>
      <w:r>
        <w:rPr>
          <w:sz w:val="20"/>
        </w:rPr>
        <w:t xml:space="preserve">При сравнении расчетного норматива потребности в койках круглосуточного стационара и существующего коечного фонда </w:t>
      </w:r>
      <w:hyperlink w:history="0" w:anchor="P2921" w:tooltip="Сведения о показателях (индикаторах) государственной">
        <w:r>
          <w:rPr>
            <w:sz w:val="20"/>
            <w:color w:val="0000ff"/>
          </w:rPr>
          <w:t xml:space="preserve">(приложение N 1)</w:t>
        </w:r>
      </w:hyperlink>
      <w:r>
        <w:rPr>
          <w:sz w:val="20"/>
        </w:rPr>
        <w:t xml:space="preserve"> выявлено следующее:</w:t>
      </w:r>
    </w:p>
    <w:p>
      <w:pPr>
        <w:pStyle w:val="0"/>
        <w:spacing w:before="200" w:line-rule="auto"/>
        <w:ind w:firstLine="540"/>
        <w:jc w:val="both"/>
      </w:pPr>
      <w:r>
        <w:rPr>
          <w:sz w:val="20"/>
        </w:rPr>
        <w:t xml:space="preserve">- при нормативе коек для оказания медицинской помощи за счет средств ОМС в количестве 2002 шт. коечный фонд составляет 1887 коек, дефицит - 115 шт. Наибольшее отклонение по профилям: неврология - 55 шт., медицинская реабилитация - 59 шт., хирургия - 32 шт., кардиология - 20 шт., педиатрия - 49 шт. Острый дефицит перечисленных профилей частично компенсируется избыточным числом узких профильных коек (эндокринология, нефрология, инфекционные болезни);</w:t>
      </w:r>
    </w:p>
    <w:p>
      <w:pPr>
        <w:pStyle w:val="0"/>
        <w:spacing w:before="200" w:line-rule="auto"/>
        <w:ind w:firstLine="540"/>
        <w:jc w:val="both"/>
      </w:pPr>
      <w:r>
        <w:rPr>
          <w:sz w:val="20"/>
        </w:rPr>
        <w:t xml:space="preserve">- при нормативе коек для оказания медицинской помощи за счет средств бюджета в количестве 905 шт. существующий коечный фонд представлен 649 койками, дефицит - 256 шт. Наибольшее отклонение наблюдается по психиатрии - 120 шт., наркологии - 43 шт. и паллиативной помощи - 62 шт.</w:t>
      </w:r>
    </w:p>
    <w:p>
      <w:pPr>
        <w:pStyle w:val="0"/>
        <w:spacing w:before="200" w:line-rule="auto"/>
        <w:ind w:firstLine="540"/>
        <w:jc w:val="both"/>
      </w:pPr>
      <w:r>
        <w:rPr>
          <w:sz w:val="20"/>
        </w:rPr>
        <w:t xml:space="preserve">Главной проблемой, препятствующей получению лицензии на осуществление медицинской деятельности государственными медицинскими организациями, является несоответствие зданий, строений и помещений медицинских организаций требованиям </w:t>
      </w:r>
      <w:hyperlink w:history="0" r:id="rId144" w:tooltip="Постановление Главного государственного санитарного врача РФ от 18.05.2010 N 58 (ред. от 10.06.2016) &quot;Об утверждении СанПиН 2.1.3.2630-10 &quot;Санитарно-эпидемиологические требования к организациям, осуществляющим медицинскую деятельность&quot; (вместе с &quot;СанПиН 2.1.3.2630-10. Санитарно-эпидемиологические правила и нормативы...&quot;) (Зарегистрировано в Минюсте России 09.08.2010 N 18094) ------------ Утратил силу или отменен {КонсультантПлюс}">
        <w:r>
          <w:rPr>
            <w:sz w:val="20"/>
            <w:color w:val="0000ff"/>
          </w:rPr>
          <w:t xml:space="preserve">СанПиН 2.1.3.2630-10</w:t>
        </w:r>
      </w:hyperlink>
      <w:r>
        <w:rPr>
          <w:sz w:val="20"/>
        </w:rPr>
        <w:t xml:space="preserve"> и СП 158.13330.2014, что делает невозможным получение положительного санитарно-эпидемиологического заключения на помещения.</w:t>
      </w:r>
    </w:p>
    <w:p>
      <w:pPr>
        <w:pStyle w:val="0"/>
        <w:spacing w:before="200" w:line-rule="auto"/>
        <w:ind w:firstLine="540"/>
        <w:jc w:val="both"/>
      </w:pPr>
      <w:r>
        <w:rPr>
          <w:sz w:val="20"/>
        </w:rPr>
        <w:t xml:space="preserve">Основные нарушения относятся к архитектурно-планировочным и конструктивным решениям зданий и помещений: близкое расположение зданий медицинских организаций относительно жилой застройки, размещение поликлиник и подстанций скорой помощи в жилых зданиях; несоответствие большинства отделений и структурных подразделений медицинских организаций санитарным нормам по набору помещений и площадям.</w:t>
      </w:r>
    </w:p>
    <w:p>
      <w:pPr>
        <w:pStyle w:val="0"/>
        <w:spacing w:before="200" w:line-rule="auto"/>
        <w:ind w:firstLine="540"/>
        <w:jc w:val="both"/>
      </w:pPr>
      <w:r>
        <w:rPr>
          <w:sz w:val="20"/>
        </w:rPr>
        <w:t xml:space="preserve">Степень износа основной части капитальных строений составляет 80 - 100%, пространственные характеристики большинства помещений требуют увеличения их площадей в 1,5 - 2 раза, большинство инженерных сетей подлежит полной замене. Некоторые помещения не оборудованы системами приточно-вытяжной вентиляции с механическим побуждением, системой разводки медицинских газов, помещения не оснащены лифтовыми системами, не во всех помещениях подведено горячее водоснабжение, в некоторых действующих фельдшерско-акушерских пунктах отсутствует система канализации (водоотведение организовано на выгреб), помещения медицинских организаций не оснащены стерилизующей аппаратурой и системами утилизации медицинских отходов.</w:t>
      </w:r>
    </w:p>
    <w:p>
      <w:pPr>
        <w:pStyle w:val="0"/>
        <w:spacing w:before="200" w:line-rule="auto"/>
        <w:ind w:firstLine="540"/>
        <w:jc w:val="both"/>
      </w:pPr>
      <w:r>
        <w:rPr>
          <w:sz w:val="20"/>
        </w:rPr>
        <w:t xml:space="preserve">Техническое состояние зданий, эксплуатационные характеристики и площади помещений зачастую не позволяют провести реконструкцию в соответствии с нормативными требованиями для оказания специализированной и высокотехнологичной медицинской помощи населению и размещения современного оборудования.</w:t>
      </w:r>
    </w:p>
    <w:p>
      <w:pPr>
        <w:pStyle w:val="0"/>
        <w:spacing w:before="200" w:line-rule="auto"/>
        <w:ind w:firstLine="540"/>
        <w:jc w:val="both"/>
      </w:pPr>
      <w:r>
        <w:rPr>
          <w:sz w:val="20"/>
        </w:rPr>
        <w:t xml:space="preserve">Основная часть зданий медицинских организаций была построена в 1950 - 1960 годах (до утверждения санитарно-эпидемиологических правил и нормативов </w:t>
      </w:r>
      <w:hyperlink w:history="0" r:id="rId145" w:tooltip="Постановление Главного государственного санитарного врача РФ от 18.05.2010 N 58 (ред. от 10.06.2016) &quot;Об утверждении СанПиН 2.1.3.2630-10 &quot;Санитарно-эпидемиологические требования к организациям, осуществляющим медицинскую деятельность&quot; (вместе с &quot;СанПиН 2.1.3.2630-10. Санитарно-эпидемиологические правила и нормативы...&quot;) (Зарегистрировано в Минюсте России 09.08.2010 N 18094) ------------ Утратил силу или отменен {КонсультантПлюс}">
        <w:r>
          <w:rPr>
            <w:sz w:val="20"/>
            <w:color w:val="0000ff"/>
          </w:rPr>
          <w:t xml:space="preserve">СанПиН 2.1.3.2630-10</w:t>
        </w:r>
      </w:hyperlink>
      <w:r>
        <w:rPr>
          <w:sz w:val="20"/>
        </w:rPr>
        <w:t xml:space="preserve">).</w:t>
      </w:r>
    </w:p>
    <w:p>
      <w:pPr>
        <w:pStyle w:val="0"/>
        <w:spacing w:before="200" w:line-rule="auto"/>
        <w:ind w:firstLine="540"/>
        <w:jc w:val="both"/>
      </w:pPr>
      <w:r>
        <w:rPr>
          <w:sz w:val="20"/>
        </w:rPr>
        <w:t xml:space="preserve">В ГБУЗС "Городская инфекционная больница" 14.10.2014 был зарегистрирован факт частичного обрушения лечебного корпуса мощностью 125 коек 1957 года постройки. Помимо этого, имеющийся коечный фонд в 210 коек не удовлетворяет потребности города Севастополя в инфекционных койках, особенно в летний период, а также в связи с увеличившейся миграцией населения из других регионов России, юго-востока Украины и иных сопредельных государств. Поэтому в настоящее время оказание медицинской помощи инфекционным больным в городе Севастополе осуществляется с серьезными нарушениями Санитарных правил Российской Федерации по соблюдению требований противоэпидемического режима. В связи с чем существует необходимость в строительстве нового медицинского корпуса ГБУЗС "Городская инфекционная больница" на 200 коек.</w:t>
      </w:r>
    </w:p>
    <w:p>
      <w:pPr>
        <w:pStyle w:val="0"/>
        <w:spacing w:before="200" w:line-rule="auto"/>
        <w:ind w:firstLine="540"/>
        <w:jc w:val="both"/>
      </w:pPr>
      <w:r>
        <w:rPr>
          <w:sz w:val="20"/>
        </w:rPr>
        <w:t xml:space="preserve">ГБУЗС "Городская больница N 1 им. Н.И. Пирогова" является одним из самых мощных медицинских объединений города Севастополя и включает стационар на 650 коек, пять поликлиник. Предметом деятельности хирургического стационара является круглосуточное оказание госпитального этапа экстренной и плановой, квалифицированной и специализированной хирургической помощи взрослому населению города Севастополя по таким нозологиям, как острые желудочно-кишечные кровотечения, тяжелые формы панкреатитов, политравмы, патология сосудов, ЛОР-органов, нейрохирургия, урология, глазные болезни, челюстно-лицевая патология, реанимационная медицинская помощь. Основаниями для осуществления мероприятия по строительству "Севастопольской больницы скорой медицинской помощи", включенного в подпрограмму 2, являются следующие факторы:</w:t>
      </w:r>
    </w:p>
    <w:p>
      <w:pPr>
        <w:pStyle w:val="0"/>
        <w:spacing w:before="200" w:line-rule="auto"/>
        <w:ind w:firstLine="540"/>
        <w:jc w:val="both"/>
      </w:pPr>
      <w:r>
        <w:rPr>
          <w:sz w:val="20"/>
        </w:rPr>
        <w:t xml:space="preserve">- расположенные в существующем хирургическом корпусе ГБУЗС "Городская больница N 1 им. Н.И. Пирогова" лечебно-диагностические подразделения не соответствуют требованиям </w:t>
      </w:r>
      <w:hyperlink w:history="0" r:id="rId146" w:tooltip="Постановление Главного государственного санитарного врача РФ от 18.05.2010 N 58 (ред. от 10.06.2016) &quot;Об утверждении СанПиН 2.1.3.2630-10 &quot;Санитарно-эпидемиологические требования к организациям, осуществляющим медицинскую деятельность&quot; (вместе с &quot;СанПиН 2.1.3.2630-10. Санитарно-эпидемиологические правила и нормативы...&quot;) (Зарегистрировано в Минюсте России 09.08.2010 N 18094) ------------ Утратил силу или отменен {КонсультантПлюс}">
        <w:r>
          <w:rPr>
            <w:sz w:val="20"/>
            <w:color w:val="0000ff"/>
          </w:rPr>
          <w:t xml:space="preserve">СанПиН 2.1.3.2630-10</w:t>
        </w:r>
      </w:hyperlink>
      <w:r>
        <w:rPr>
          <w:sz w:val="20"/>
        </w:rPr>
        <w:t xml:space="preserve">, что угрожает оказанию безопасной медицинской помощи пациентам;</w:t>
      </w:r>
    </w:p>
    <w:p>
      <w:pPr>
        <w:pStyle w:val="0"/>
        <w:spacing w:before="200" w:line-rule="auto"/>
        <w:ind w:firstLine="540"/>
        <w:jc w:val="both"/>
      </w:pPr>
      <w:r>
        <w:rPr>
          <w:sz w:val="20"/>
        </w:rPr>
        <w:t xml:space="preserve">- расположение лечебно-диагностических подразделений в зданиях указанной больницы, построенной по павильонному типу, не позволяет оказывать медицинскую помощь на современном уровне и нарушает требования существующей логистики;</w:t>
      </w:r>
    </w:p>
    <w:p>
      <w:pPr>
        <w:pStyle w:val="0"/>
        <w:spacing w:before="200" w:line-rule="auto"/>
        <w:ind w:firstLine="540"/>
        <w:jc w:val="both"/>
      </w:pPr>
      <w:r>
        <w:rPr>
          <w:sz w:val="20"/>
        </w:rPr>
        <w:t xml:space="preserve">- введенный в эксплуатацию в 1978 году корпус указанной больницы, в котором расположены отделения хирургического профиля с коечным фондом 190 коек, при вводе в эксплуатацию был перепрофилирован из корпуса терапевтического назначения, что не соответствует требованиям </w:t>
      </w:r>
      <w:hyperlink w:history="0" r:id="rId147" w:tooltip="Постановление Главного государственного санитарного врача РФ от 18.05.2010 N 58 (ред. от 10.06.2016) &quot;Об утверждении СанПиН 2.1.3.2630-10 &quot;Санитарно-эпидемиологические требования к организациям, осуществляющим медицинскую деятельность&quot; (вместе с &quot;СанПиН 2.1.3.2630-10. Санитарно-эпидемиологические правила и нормативы...&quot;) (Зарегистрировано в Минюсте России 09.08.2010 N 18094) ------------ Утратил силу или отменен {КонсультантПлюс}">
        <w:r>
          <w:rPr>
            <w:sz w:val="20"/>
            <w:color w:val="0000ff"/>
          </w:rPr>
          <w:t xml:space="preserve">СанПиН 2.1.3.2630-10</w:t>
        </w:r>
      </w:hyperlink>
      <w:r>
        <w:rPr>
          <w:sz w:val="20"/>
        </w:rPr>
        <w:t xml:space="preserve">;</w:t>
      </w:r>
    </w:p>
    <w:p>
      <w:pPr>
        <w:pStyle w:val="0"/>
        <w:spacing w:before="200" w:line-rule="auto"/>
        <w:ind w:firstLine="540"/>
        <w:jc w:val="both"/>
      </w:pPr>
      <w:r>
        <w:rPr>
          <w:sz w:val="20"/>
        </w:rPr>
        <w:t xml:space="preserve">- на сегодняшний день технический износ указанного существующего хирургического корпуса составляет более 75%.</w:t>
      </w:r>
    </w:p>
    <w:p>
      <w:pPr>
        <w:pStyle w:val="0"/>
        <w:spacing w:before="200" w:line-rule="auto"/>
        <w:ind w:firstLine="540"/>
        <w:jc w:val="both"/>
      </w:pPr>
      <w:r>
        <w:rPr>
          <w:sz w:val="20"/>
        </w:rPr>
        <w:t xml:space="preserve">Создание нового многофункционального корпуса с расположением в нем лечебно-диагностических подразделений, находящихся на данный момент в различных корпусах, позволит оказывать медицинскую помощь безопасно, логистически правильно в порядке, установленном Министерством здравоохранения Российской Федерации, территориальной программой государственных гарантий оказания медицинской помощи, учитывая динамику роста населения города Севастополя.</w:t>
      </w:r>
    </w:p>
    <w:p>
      <w:pPr>
        <w:pStyle w:val="0"/>
        <w:spacing w:before="200" w:line-rule="auto"/>
        <w:ind w:firstLine="540"/>
        <w:jc w:val="both"/>
      </w:pPr>
      <w:r>
        <w:rPr>
          <w:sz w:val="20"/>
        </w:rPr>
        <w:t xml:space="preserve">Одной из негативных тенденций в динамике состояния здоровья населения Российской Федерации, в том числе города федерального значения Севастополя, является высокая распространенность наркологических заболеваний.</w:t>
      </w:r>
    </w:p>
    <w:p>
      <w:pPr>
        <w:pStyle w:val="0"/>
        <w:spacing w:before="200" w:line-rule="auto"/>
        <w:ind w:firstLine="540"/>
        <w:jc w:val="both"/>
      </w:pPr>
      <w:r>
        <w:rPr>
          <w:sz w:val="20"/>
        </w:rPr>
        <w:t xml:space="preserve">По данным статистического наблюдения наркологической службы города Севастополя, в 2019 и 2020 годах ежегодно регистрируются порядка 500 больных с наркологическими расстройствами, то есть 21,3 больного в расчете на 10 тыс. населения, или 1,2% от общей численности населения. По сравнению с 2011 годом показатель общей заболеваемости наркологическими расстройствами снизился на 12%. Как и в предыдущие годы 75,8% от общего числа зарегистрированных наркологических больных составляют больные алкоголизмом. Больные наркоманией и лица, употребляющие наркотики с вредными последствиями, - 20,2%, а больные токсикоманией и лица, употребляющие ненаркотические психоактивные вещества с вредными последствиями, - 4,0%. Ежегодно наркологической службой регистрируются более 3000 больных алкоголизмом, или 75 - 80 человек на 10 тыс. населения, что составляет почти 0,07% от общей численности населения. На конец 2020 года на диспансерном учете с синдромом зависимости от алкоголя состояли 1635 пациентов.</w:t>
      </w:r>
    </w:p>
    <w:p>
      <w:pPr>
        <w:pStyle w:val="0"/>
        <w:spacing w:before="200" w:line-rule="auto"/>
        <w:ind w:firstLine="540"/>
        <w:jc w:val="both"/>
      </w:pPr>
      <w:r>
        <w:rPr>
          <w:sz w:val="20"/>
        </w:rPr>
        <w:t xml:space="preserve">Растет обращаемость пациентов с психическими расстройствами в ГБУЗС "Севастопольская городская психиатрическая больница" и в течение последних трех лет увеличивается в среднем на 1400 человек в год.</w:t>
      </w:r>
    </w:p>
    <w:p>
      <w:pPr>
        <w:pStyle w:val="0"/>
        <w:spacing w:before="200" w:line-rule="auto"/>
        <w:ind w:firstLine="540"/>
        <w:jc w:val="both"/>
      </w:pPr>
      <w:r>
        <w:rPr>
          <w:sz w:val="20"/>
        </w:rPr>
        <w:t xml:space="preserve">В настоящее время лечение и реабилитация пациентов с онкологическими заболеваниями осуществляются с нарушением </w:t>
      </w:r>
      <w:hyperlink w:history="0" r:id="rId148" w:tooltip="Приказ Минздрава России от 15.11.2012 N 915н (ред. от 05.02.2019) &quot;Об утверждении Порядка оказания медицинской помощи населению по профилю &quot;онкология&quot; (Зарегистрировано в Минюсте России 17.04.2013 N 28163) ------------ Утратил силу или отменен {КонсультантПлюс}">
        <w:r>
          <w:rPr>
            <w:sz w:val="20"/>
            <w:color w:val="0000ff"/>
          </w:rPr>
          <w:t xml:space="preserve">порядка</w:t>
        </w:r>
      </w:hyperlink>
      <w:r>
        <w:rPr>
          <w:sz w:val="20"/>
        </w:rPr>
        <w:t xml:space="preserve"> оказания медицинской помощи населению по профилю "онкология" по приказу Министерства здравоохранения Российской Федерации от 15.11.2012 N 915н. Для улучшения сложившейся ситуации требуется строительство нового корпуса мощностью не менее 150 коек.</w:t>
      </w:r>
    </w:p>
    <w:p>
      <w:pPr>
        <w:pStyle w:val="0"/>
        <w:spacing w:before="200" w:line-rule="auto"/>
        <w:ind w:firstLine="540"/>
        <w:jc w:val="both"/>
      </w:pPr>
      <w:r>
        <w:rPr>
          <w:sz w:val="20"/>
        </w:rPr>
        <w:t xml:space="preserve">Служба скорой медицинской помощи является важнейшей частью системы здравоохранения. Выездные бригады скорой медицинской помощи выполняют в год до 150 тыс. вызовов. В структуре вызовов скорой медицинской помощи более 60% занимает обслуживание хронических больных на дому, так как амбулаторно-поликлиническая сеть не имеет возможности взять на себя обеспечение населения неотложной помощью на дому.</w:t>
      </w:r>
    </w:p>
    <w:p>
      <w:pPr>
        <w:pStyle w:val="0"/>
        <w:spacing w:before="200" w:line-rule="auto"/>
        <w:ind w:firstLine="540"/>
        <w:jc w:val="both"/>
      </w:pPr>
      <w:r>
        <w:rPr>
          <w:sz w:val="20"/>
        </w:rPr>
        <w:t xml:space="preserve">Для обеспечения работы скорой помощи в режиме постоянной готовности, оказания скорой и экстренной помощи при чрезвычайных ситуациях и различных происшествиях в соответствии с требованиями Федерального </w:t>
      </w:r>
      <w:hyperlink w:history="0" r:id="rId149"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закона</w:t>
        </w:r>
      </w:hyperlink>
      <w:r>
        <w:rPr>
          <w:sz w:val="20"/>
        </w:rPr>
        <w:t xml:space="preserve"> от 21.11.2011 N 323-ФЗ "Об основах охраны здоровья граждан в Российской Федерации" необходимо привести в соответствие норме количество выставляемых круглосуточных медицинских бригад скорой помощи, доведя их количество до 50, из расчета одна бригада СМП на 10 тыс. населения.</w:t>
      </w:r>
    </w:p>
    <w:p>
      <w:pPr>
        <w:pStyle w:val="0"/>
      </w:pPr>
      <w:r>
        <w:rPr>
          <w:sz w:val="20"/>
        </w:rPr>
      </w:r>
    </w:p>
    <w:p>
      <w:pPr>
        <w:pStyle w:val="2"/>
        <w:outlineLvl w:val="2"/>
        <w:jc w:val="center"/>
      </w:pPr>
      <w:r>
        <w:rPr>
          <w:sz w:val="20"/>
        </w:rPr>
        <w:t xml:space="preserve">II. Приоритеты, цели, задачи и показатели (целевые</w:t>
      </w:r>
    </w:p>
    <w:p>
      <w:pPr>
        <w:pStyle w:val="2"/>
        <w:jc w:val="center"/>
      </w:pPr>
      <w:r>
        <w:rPr>
          <w:sz w:val="20"/>
        </w:rPr>
        <w:t xml:space="preserve">индикаторы), результаты, этапы и сроки реализации</w:t>
      </w:r>
    </w:p>
    <w:p>
      <w:pPr>
        <w:pStyle w:val="2"/>
        <w:jc w:val="center"/>
      </w:pPr>
      <w:r>
        <w:rPr>
          <w:sz w:val="20"/>
        </w:rPr>
        <w:t xml:space="preserve">подпрограммы 2</w:t>
      </w:r>
    </w:p>
    <w:p>
      <w:pPr>
        <w:pStyle w:val="0"/>
      </w:pPr>
      <w:r>
        <w:rPr>
          <w:sz w:val="20"/>
        </w:rPr>
      </w:r>
    </w:p>
    <w:p>
      <w:pPr>
        <w:pStyle w:val="0"/>
        <w:ind w:firstLine="540"/>
        <w:jc w:val="both"/>
      </w:pPr>
      <w:r>
        <w:rPr>
          <w:sz w:val="20"/>
        </w:rPr>
        <w:t xml:space="preserve">Основные приоритеты в области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направлены на повышение эффективности функционирования системы здравоохранения, снижение смертности от управляемых причин и предупреждение распространения социально значимых заболеваний, формирование условий для развития здорового образа жизни.</w:t>
      </w:r>
    </w:p>
    <w:p>
      <w:pPr>
        <w:pStyle w:val="0"/>
        <w:spacing w:before="200" w:line-rule="auto"/>
        <w:ind w:firstLine="540"/>
        <w:jc w:val="both"/>
      </w:pPr>
      <w:r>
        <w:rPr>
          <w:sz w:val="20"/>
        </w:rPr>
        <w:t xml:space="preserve">Целью реализации подпрограммы 2 является 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pPr>
        <w:pStyle w:val="0"/>
        <w:spacing w:before="200" w:line-rule="auto"/>
        <w:ind w:firstLine="540"/>
        <w:jc w:val="both"/>
      </w:pPr>
      <w:r>
        <w:rPr>
          <w:sz w:val="20"/>
        </w:rPr>
        <w:t xml:space="preserve">Задачи подпрограммы 2:</w:t>
      </w:r>
    </w:p>
    <w:p>
      <w:pPr>
        <w:pStyle w:val="0"/>
        <w:spacing w:before="200" w:line-rule="auto"/>
        <w:ind w:firstLine="540"/>
        <w:jc w:val="both"/>
      </w:pPr>
      <w:r>
        <w:rPr>
          <w:sz w:val="20"/>
        </w:rPr>
        <w:t xml:space="preserve">- совершенствование оказания специализированной медицинской помощи;</w:t>
      </w:r>
    </w:p>
    <w:p>
      <w:pPr>
        <w:pStyle w:val="0"/>
        <w:spacing w:before="200" w:line-rule="auto"/>
        <w:ind w:firstLine="540"/>
        <w:jc w:val="both"/>
      </w:pPr>
      <w:r>
        <w:rPr>
          <w:sz w:val="20"/>
        </w:rPr>
        <w:t xml:space="preserve">- совершенствование системы управления скорой медицинской помощью;</w:t>
      </w:r>
    </w:p>
    <w:p>
      <w:pPr>
        <w:pStyle w:val="0"/>
        <w:spacing w:before="200" w:line-rule="auto"/>
        <w:ind w:firstLine="540"/>
        <w:jc w:val="both"/>
      </w:pPr>
      <w:r>
        <w:rPr>
          <w:sz w:val="20"/>
        </w:rPr>
        <w:t xml:space="preserve">- совершенствование системы оказания медицинской помощи пострадавшим в дорожно-транспортных происшествиях;</w:t>
      </w:r>
    </w:p>
    <w:p>
      <w:pPr>
        <w:pStyle w:val="0"/>
        <w:spacing w:before="200" w:line-rule="auto"/>
        <w:ind w:firstLine="540"/>
        <w:jc w:val="both"/>
      </w:pPr>
      <w:r>
        <w:rPr>
          <w:sz w:val="20"/>
        </w:rPr>
        <w:t xml:space="preserve">- совершенствование системы оказания медицинской помощи больным онкологическими заболеваниями;</w:t>
      </w:r>
    </w:p>
    <w:p>
      <w:pPr>
        <w:pStyle w:val="0"/>
        <w:spacing w:before="200" w:line-rule="auto"/>
        <w:ind w:firstLine="540"/>
        <w:jc w:val="both"/>
      </w:pPr>
      <w:r>
        <w:rPr>
          <w:sz w:val="20"/>
        </w:rPr>
        <w:t xml:space="preserve">- совершенствование оказания медицинской помощи пациентам с БСК;</w:t>
      </w:r>
    </w:p>
    <w:p>
      <w:pPr>
        <w:pStyle w:val="0"/>
        <w:spacing w:before="200" w:line-rule="auto"/>
        <w:ind w:firstLine="540"/>
        <w:jc w:val="both"/>
      </w:pPr>
      <w:r>
        <w:rPr>
          <w:sz w:val="20"/>
        </w:rPr>
        <w:t xml:space="preserve">- совершенствование системы оказания паллиативной медицинской помощи;</w:t>
      </w:r>
    </w:p>
    <w:p>
      <w:pPr>
        <w:pStyle w:val="0"/>
        <w:spacing w:before="200" w:line-rule="auto"/>
        <w:ind w:firstLine="540"/>
        <w:jc w:val="both"/>
      </w:pPr>
      <w:r>
        <w:rPr>
          <w:sz w:val="20"/>
        </w:rPr>
        <w:t xml:space="preserve">- строительство объектов здравоохранения, оказывающих специализированную медицинскую помощь.</w:t>
      </w:r>
    </w:p>
    <w:p>
      <w:pPr>
        <w:pStyle w:val="0"/>
        <w:spacing w:before="200" w:line-rule="auto"/>
        <w:ind w:firstLine="540"/>
        <w:jc w:val="both"/>
      </w:pPr>
      <w:hyperlink w:history="0" w:anchor="P2921" w:tooltip="Сведения о показателях (индикаторах) государственной">
        <w:r>
          <w:rPr>
            <w:sz w:val="20"/>
            <w:color w:val="0000ff"/>
          </w:rPr>
          <w:t xml:space="preserve">Сведения</w:t>
        </w:r>
      </w:hyperlink>
      <w:r>
        <w:rPr>
          <w:sz w:val="20"/>
        </w:rPr>
        <w:t xml:space="preserve"> о целевых показателях (индикаторах) подпрограммы 2 представлены в приложении N 1 к Программе.</w:t>
      </w:r>
    </w:p>
    <w:p>
      <w:pPr>
        <w:pStyle w:val="0"/>
        <w:spacing w:before="200" w:line-rule="auto"/>
        <w:ind w:firstLine="540"/>
        <w:jc w:val="both"/>
      </w:pPr>
      <w:r>
        <w:rPr>
          <w:sz w:val="20"/>
        </w:rPr>
        <w:t xml:space="preserve">Срок реализации подпрограммы 2: с 2022 по 2030 год с учетом поставленных задач.</w:t>
      </w:r>
    </w:p>
    <w:p>
      <w:pPr>
        <w:pStyle w:val="0"/>
        <w:ind w:firstLine="540"/>
        <w:jc w:val="both"/>
      </w:pPr>
      <w:r>
        <w:rPr>
          <w:sz w:val="20"/>
        </w:rPr>
      </w:r>
    </w:p>
    <w:p>
      <w:pPr>
        <w:pStyle w:val="2"/>
        <w:outlineLvl w:val="2"/>
        <w:jc w:val="center"/>
      </w:pPr>
      <w:r>
        <w:rPr>
          <w:sz w:val="20"/>
        </w:rPr>
        <w:t xml:space="preserve">III. Характеристика основных мероприятий подпрограммы 2</w:t>
      </w:r>
    </w:p>
    <w:p>
      <w:pPr>
        <w:pStyle w:val="0"/>
      </w:pPr>
      <w:r>
        <w:rPr>
          <w:sz w:val="20"/>
        </w:rPr>
      </w:r>
    </w:p>
    <w:p>
      <w:pPr>
        <w:pStyle w:val="0"/>
        <w:ind w:firstLine="540"/>
        <w:jc w:val="both"/>
      </w:pPr>
      <w:r>
        <w:rPr>
          <w:sz w:val="20"/>
        </w:rPr>
        <w:t xml:space="preserve">Учитывая высокую степень износа основных фондов и высокие показатели смертности от онкологических заболеваний, заболеваний системы кровообращения, дорожно-транспортных происшествий, а также с целью совершенствования оказания специализированной, в том числе высокотехнологичной, медицинской помощи населению города Севастополя согласно порядкам оказания медицинской помощи по различным профилям, утвержденным приказами Министерства здравоохранения Российской Федерации, в том числе в рамках государственной </w:t>
      </w:r>
      <w:hyperlink w:history="0" r:id="rId150"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программы</w:t>
        </w:r>
      </w:hyperlink>
      <w:r>
        <w:rPr>
          <w:sz w:val="20"/>
        </w:rPr>
        <w:t xml:space="preserve"> Российской Федерации "Развитие здравоохранения" и государственной </w:t>
      </w:r>
      <w:hyperlink w:history="0" r:id="rId151"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программы</w:t>
        </w:r>
      </w:hyperlink>
      <w:r>
        <w:rPr>
          <w:sz w:val="20"/>
        </w:rPr>
        <w:t xml:space="preserve"> Российской Федерации "Социально-экономическое развитие Республики Крым и г. Севастополя", предусмотрено строительство многопрофильного лечебно-диагностического корпуса ГБУЗС "Севастопольский городской онкологический диспансер имени А.А. Задорожного", Севастопольской больницы скорой медицинской помощи, городской инфекционной больницы на 200 коек, подстанции N 1 ГБУЗС "Севастопольский центр экстренной медицинской помощи и медицины катастроф", располагающейся на пр-те Победы, палатного корпуса на 140 коек ГБУЗС "Городская больница N 4", патолого-анатомического корпуса ГБУЗС "Городская больница N 1 им. Н.И. Пирогова", инженерно-техническое обеспечение медицинского кластера в г. Севастополе.</w:t>
      </w:r>
    </w:p>
    <w:p>
      <w:pPr>
        <w:pStyle w:val="0"/>
        <w:spacing w:before="200" w:line-rule="auto"/>
        <w:ind w:firstLine="540"/>
        <w:jc w:val="both"/>
      </w:pPr>
      <w:r>
        <w:rPr>
          <w:sz w:val="20"/>
        </w:rPr>
        <w:t xml:space="preserve">Наряду с мероприятиями по строительству вышеуказанных важнейших объектов инфраструктуры здравоохранения в период 2022 - 2030 годов запланированы мероприятия:</w:t>
      </w:r>
    </w:p>
    <w:p>
      <w:pPr>
        <w:pStyle w:val="0"/>
        <w:spacing w:before="200" w:line-rule="auto"/>
        <w:ind w:firstLine="540"/>
        <w:jc w:val="both"/>
      </w:pPr>
      <w:r>
        <w:rPr>
          <w:sz w:val="20"/>
        </w:rPr>
        <w:t xml:space="preserve">по оказанию высокотехнологичной медицинской помощи, не включенной в базовую программу обязательного медицинского страхования;</w:t>
      </w:r>
    </w:p>
    <w:p>
      <w:pPr>
        <w:pStyle w:val="0"/>
        <w:spacing w:before="200" w:line-rule="auto"/>
        <w:ind w:firstLine="540"/>
        <w:jc w:val="both"/>
      </w:pPr>
      <w:r>
        <w:rPr>
          <w:sz w:val="20"/>
        </w:rPr>
        <w:t xml:space="preserve">медицинскому обеспечению массовых городских мероприятий;</w:t>
      </w:r>
    </w:p>
    <w:p>
      <w:pPr>
        <w:pStyle w:val="0"/>
        <w:spacing w:before="200" w:line-rule="auto"/>
        <w:ind w:firstLine="540"/>
        <w:jc w:val="both"/>
      </w:pPr>
      <w:r>
        <w:rPr>
          <w:sz w:val="20"/>
        </w:rPr>
        <w:t xml:space="preserve">реализации отдельных мероприятий государственной </w:t>
      </w:r>
      <w:hyperlink w:history="0" r:id="rId152"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программы</w:t>
        </w:r>
      </w:hyperlink>
      <w:r>
        <w:rPr>
          <w:sz w:val="20"/>
        </w:rPr>
        <w:t xml:space="preserve"> Российской Федерации "Развитие здравоохранения" в рамках региональной программы "Развитие системы оказания паллиативной медицинской помощи в городе Севастополе в 2020 - 2024 годах" (</w:t>
      </w:r>
      <w:hyperlink w:history="0" w:anchor="P28306" w:tooltip="Региональная программа">
        <w:r>
          <w:rPr>
            <w:sz w:val="20"/>
            <w:color w:val="0000ff"/>
          </w:rPr>
          <w:t xml:space="preserve">приложение N 10</w:t>
        </w:r>
      </w:hyperlink>
      <w:r>
        <w:rPr>
          <w:sz w:val="20"/>
        </w:rPr>
        <w:t xml:space="preserve"> к Программе), включающей развитие паллиативной медицинской помощи, обеспечение медицинским оборудованием и медицинскими изделиями медицинских организаций города Севастополя, оказывающих паллиативную медицинскую помощь, обеспечение пациентов лекарственными препаратами, в том числе для обезболивания, и медицинскими изделиями, в том числе для использования на дому;</w:t>
      </w:r>
    </w:p>
    <w:p>
      <w:pPr>
        <w:pStyle w:val="0"/>
        <w:spacing w:before="200" w:line-rule="auto"/>
        <w:ind w:firstLine="540"/>
        <w:jc w:val="both"/>
      </w:pPr>
      <w:r>
        <w:rPr>
          <w:sz w:val="20"/>
        </w:rPr>
        <w:t xml:space="preserve">предупреждению и борьбе с социально значимыми инфекционными заболеваниями, включающим профилактику ВИЧ-инфекции и гепатитов B и C, закупки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w:t>
      </w:r>
      <w:hyperlink w:history="0" r:id="rId153" w:tooltip="Приказ Минздрава России от 15.11.2012 N 932н (ред. от 19.05.2023) &quot;Об утверждении Порядка оказания медицинской помощи больным туберкулезом&quot; (Зарегистрировано в Минюсте России 07.03.2013 N 27557) {КонсультантПлюс}">
        <w:r>
          <w:rPr>
            <w:sz w:val="20"/>
            <w:color w:val="0000ff"/>
          </w:rPr>
          <w:t xml:space="preserve">порядком</w:t>
        </w:r>
      </w:hyperlink>
      <w:r>
        <w:rPr>
          <w:sz w:val="20"/>
        </w:rPr>
        <w:t xml:space="preserve"> оказания медицинской помощи больным туберкулезом, закупки диагностических средств для выявления и мониторинга лечения лиц, инфицированных вирусом иммунодефицита человека, в том числе в сочетании с вирусами гепатитов B и (или) C;</w:t>
      </w:r>
    </w:p>
    <w:p>
      <w:pPr>
        <w:pStyle w:val="0"/>
        <w:spacing w:before="200" w:line-rule="auto"/>
        <w:ind w:firstLine="540"/>
        <w:jc w:val="both"/>
      </w:pPr>
      <w:r>
        <w:rPr>
          <w:sz w:val="20"/>
        </w:rPr>
        <w:t xml:space="preserve">медицинской эвакуации и транспортировке пациентов;</w:t>
      </w:r>
    </w:p>
    <w:p>
      <w:pPr>
        <w:pStyle w:val="0"/>
        <w:spacing w:before="200" w:line-rule="auto"/>
        <w:ind w:firstLine="540"/>
        <w:jc w:val="both"/>
      </w:pPr>
      <w:r>
        <w:rPr>
          <w:sz w:val="20"/>
        </w:rPr>
        <w:t xml:space="preserve">социальной поддержке граждан, больных туберкулезом, проживающих в городе Севастополе, и обеспечению специализированными продуктами лечебного питания пациентов с диагнозом "Фенилкетонурия";</w:t>
      </w:r>
    </w:p>
    <w:p>
      <w:pPr>
        <w:pStyle w:val="0"/>
        <w:spacing w:before="200" w:line-rule="auto"/>
        <w:ind w:firstLine="540"/>
        <w:jc w:val="both"/>
      </w:pPr>
      <w:r>
        <w:rPr>
          <w:sz w:val="20"/>
        </w:rPr>
        <w:t xml:space="preserve">оказанию государственными учреждениями здравоохранения специализированной, в том числе высокотехнологичной, медицинской помощи, скорой, в том числе скорой специализированной, медицинской помощи, медицинской эвакуации, паллиативной медицинской помощи в стационарных условиях, не включенных в базовую программу обязательного медицинского страхования.</w:t>
      </w:r>
    </w:p>
    <w:p>
      <w:pPr>
        <w:pStyle w:val="0"/>
        <w:spacing w:before="200" w:line-rule="auto"/>
        <w:ind w:firstLine="540"/>
        <w:jc w:val="both"/>
      </w:pPr>
      <w:r>
        <w:rPr>
          <w:sz w:val="20"/>
        </w:rPr>
        <w:t xml:space="preserve">В рамках региональной программы "Развитие службы крови в городе Севастополе" за счет федерального бюджета планируется закупка медицинского и лабораторного оборудования для ГБУЗС "Центр крови".</w:t>
      </w:r>
    </w:p>
    <w:p>
      <w:pPr>
        <w:pStyle w:val="0"/>
        <w:spacing w:before="200" w:line-rule="auto"/>
        <w:ind w:firstLine="540"/>
        <w:jc w:val="both"/>
      </w:pPr>
      <w:r>
        <w:rPr>
          <w:sz w:val="20"/>
        </w:rPr>
        <w:t xml:space="preserve">Общий </w:t>
      </w:r>
      <w:hyperlink w:history="0" w:anchor="P4719" w:tooltip="Перечень основных мероприятий государственной программы">
        <w:r>
          <w:rPr>
            <w:sz w:val="20"/>
            <w:color w:val="0000ff"/>
          </w:rPr>
          <w:t xml:space="preserve">перечень</w:t>
        </w:r>
      </w:hyperlink>
      <w:r>
        <w:rPr>
          <w:sz w:val="20"/>
        </w:rPr>
        <w:t xml:space="preserve"> мероприятий подпрограммы 2 представлен в приложении N 2 к Программе.</w:t>
      </w:r>
    </w:p>
    <w:p>
      <w:pPr>
        <w:pStyle w:val="0"/>
      </w:pPr>
      <w:r>
        <w:rPr>
          <w:sz w:val="20"/>
        </w:rPr>
      </w:r>
    </w:p>
    <w:p>
      <w:pPr>
        <w:pStyle w:val="2"/>
        <w:outlineLvl w:val="2"/>
        <w:jc w:val="center"/>
      </w:pPr>
      <w:r>
        <w:rPr>
          <w:sz w:val="20"/>
        </w:rPr>
        <w:t xml:space="preserve">IV. Характеристика мер государственного и правового</w:t>
      </w:r>
    </w:p>
    <w:p>
      <w:pPr>
        <w:pStyle w:val="2"/>
        <w:jc w:val="center"/>
      </w:pPr>
      <w:r>
        <w:rPr>
          <w:sz w:val="20"/>
        </w:rPr>
        <w:t xml:space="preserve">регулирования подпрограммы 2</w:t>
      </w:r>
    </w:p>
    <w:p>
      <w:pPr>
        <w:pStyle w:val="0"/>
        <w:ind w:firstLine="540"/>
        <w:jc w:val="both"/>
      </w:pPr>
      <w:r>
        <w:rPr>
          <w:sz w:val="20"/>
        </w:rPr>
      </w:r>
    </w:p>
    <w:p>
      <w:pPr>
        <w:pStyle w:val="0"/>
        <w:ind w:firstLine="540"/>
        <w:jc w:val="both"/>
      </w:pPr>
      <w:r>
        <w:rPr>
          <w:sz w:val="20"/>
        </w:rPr>
        <w:t xml:space="preserve">Государственное и правовое регулирование подпрограммы 2 осуществляется согласно </w:t>
      </w:r>
      <w:hyperlink w:history="0" w:anchor="P472" w:tooltip="IV. Характеристика мер государственного">
        <w:r>
          <w:rPr>
            <w:sz w:val="20"/>
            <w:color w:val="0000ff"/>
          </w:rPr>
          <w:t xml:space="preserve">разделу IV</w:t>
        </w:r>
      </w:hyperlink>
      <w:r>
        <w:rPr>
          <w:sz w:val="20"/>
        </w:rPr>
        <w:t xml:space="preserve"> Программы.</w:t>
      </w:r>
    </w:p>
    <w:p>
      <w:pPr>
        <w:pStyle w:val="0"/>
      </w:pPr>
      <w:r>
        <w:rPr>
          <w:sz w:val="20"/>
        </w:rPr>
      </w:r>
    </w:p>
    <w:p>
      <w:pPr>
        <w:pStyle w:val="2"/>
        <w:outlineLvl w:val="2"/>
        <w:jc w:val="center"/>
      </w:pPr>
      <w:r>
        <w:rPr>
          <w:sz w:val="20"/>
        </w:rPr>
        <w:t xml:space="preserve">V. Ресурсное обеспечение, необходимое</w:t>
      </w:r>
    </w:p>
    <w:p>
      <w:pPr>
        <w:pStyle w:val="2"/>
        <w:jc w:val="center"/>
      </w:pPr>
      <w:r>
        <w:rPr>
          <w:sz w:val="20"/>
        </w:rPr>
        <w:t xml:space="preserve">для реализации подпрограммы 2</w:t>
      </w:r>
    </w:p>
    <w:p>
      <w:pPr>
        <w:pStyle w:val="0"/>
      </w:pPr>
      <w:r>
        <w:rPr>
          <w:sz w:val="20"/>
        </w:rPr>
      </w:r>
    </w:p>
    <w:p>
      <w:pPr>
        <w:pStyle w:val="0"/>
        <w:ind w:firstLine="540"/>
        <w:jc w:val="both"/>
      </w:pPr>
      <w:r>
        <w:rPr>
          <w:sz w:val="20"/>
        </w:rPr>
        <w:t xml:space="preserve">Источниками финансирования мероприятий подпрограммы 2 являются средства федерального бюджета, средства бюджета города Севастополя, средства бюджета города Москвы.</w:t>
      </w:r>
    </w:p>
    <w:p>
      <w:pPr>
        <w:pStyle w:val="0"/>
        <w:spacing w:before="200" w:line-rule="auto"/>
        <w:ind w:firstLine="540"/>
        <w:jc w:val="both"/>
      </w:pPr>
      <w:r>
        <w:rPr>
          <w:sz w:val="20"/>
        </w:rPr>
        <w:t xml:space="preserve">Общий объем финансового обеспечения подпрограммы 2 в 2022 - 2030 годах составляет 53099382,4 тыс. руб., из них:</w:t>
      </w:r>
    </w:p>
    <w:p>
      <w:pPr>
        <w:pStyle w:val="0"/>
        <w:jc w:val="both"/>
      </w:pPr>
      <w:r>
        <w:rPr>
          <w:sz w:val="20"/>
        </w:rPr>
        <w:t xml:space="preserve">(в ред. </w:t>
      </w:r>
      <w:hyperlink w:history="0" r:id="rId154"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средства федерального бюджета - 19429865,9 тыс. руб., в том числе:</w:t>
      </w:r>
    </w:p>
    <w:p>
      <w:pPr>
        <w:pStyle w:val="0"/>
        <w:jc w:val="both"/>
      </w:pPr>
      <w:r>
        <w:rPr>
          <w:sz w:val="20"/>
        </w:rPr>
        <w:t xml:space="preserve">(в ред. </w:t>
      </w:r>
      <w:hyperlink w:history="0" r:id="rId155"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2022 г. - 378610,7 тыс. руб.;</w:t>
      </w:r>
    </w:p>
    <w:p>
      <w:pPr>
        <w:pStyle w:val="0"/>
        <w:jc w:val="both"/>
      </w:pPr>
      <w:r>
        <w:rPr>
          <w:sz w:val="20"/>
        </w:rPr>
        <w:t xml:space="preserve">(в ред. </w:t>
      </w:r>
      <w:hyperlink w:history="0" r:id="rId156"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2023 г. - 1621996,9 тыс. руб.;</w:t>
      </w:r>
    </w:p>
    <w:p>
      <w:pPr>
        <w:pStyle w:val="0"/>
        <w:jc w:val="both"/>
      </w:pPr>
      <w:r>
        <w:rPr>
          <w:sz w:val="20"/>
        </w:rPr>
        <w:t xml:space="preserve">(в ред. </w:t>
      </w:r>
      <w:hyperlink w:history="0" r:id="rId157"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2024 г. - 1063399,0 тыс. руб.;</w:t>
      </w:r>
    </w:p>
    <w:p>
      <w:pPr>
        <w:pStyle w:val="0"/>
        <w:jc w:val="both"/>
      </w:pPr>
      <w:r>
        <w:rPr>
          <w:sz w:val="20"/>
        </w:rPr>
        <w:t xml:space="preserve">(в ред. </w:t>
      </w:r>
      <w:hyperlink w:history="0" r:id="rId158"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2025 г. - 4175039,6 тыс. руб.;</w:t>
      </w:r>
    </w:p>
    <w:p>
      <w:pPr>
        <w:pStyle w:val="0"/>
        <w:jc w:val="both"/>
      </w:pPr>
      <w:r>
        <w:rPr>
          <w:sz w:val="20"/>
        </w:rPr>
        <w:t xml:space="preserve">(в ред. </w:t>
      </w:r>
      <w:hyperlink w:history="0" r:id="rId159"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2026 г. - 7911775,2 тыс. руб.;</w:t>
      </w:r>
    </w:p>
    <w:p>
      <w:pPr>
        <w:pStyle w:val="0"/>
        <w:jc w:val="both"/>
      </w:pPr>
      <w:r>
        <w:rPr>
          <w:sz w:val="20"/>
        </w:rPr>
        <w:t xml:space="preserve">(в ред. </w:t>
      </w:r>
      <w:hyperlink w:history="0" r:id="rId160"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2027 г. - 4094976,2 тыс. руб.;</w:t>
      </w:r>
    </w:p>
    <w:p>
      <w:pPr>
        <w:pStyle w:val="0"/>
        <w:jc w:val="both"/>
      </w:pPr>
      <w:r>
        <w:rPr>
          <w:sz w:val="20"/>
        </w:rPr>
        <w:t xml:space="preserve">(в ред. </w:t>
      </w:r>
      <w:hyperlink w:history="0" r:id="rId161"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2028 г. - 59669,8 тыс. руб.;</w:t>
      </w:r>
    </w:p>
    <w:p>
      <w:pPr>
        <w:pStyle w:val="0"/>
        <w:jc w:val="both"/>
      </w:pPr>
      <w:r>
        <w:rPr>
          <w:sz w:val="20"/>
        </w:rPr>
        <w:t xml:space="preserve">(в ред. </w:t>
      </w:r>
      <w:hyperlink w:history="0" r:id="rId16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2029 г. - 61340,5 тыс. руб.;</w:t>
      </w:r>
    </w:p>
    <w:p>
      <w:pPr>
        <w:pStyle w:val="0"/>
        <w:jc w:val="both"/>
      </w:pPr>
      <w:r>
        <w:rPr>
          <w:sz w:val="20"/>
        </w:rPr>
        <w:t xml:space="preserve">(в ред. </w:t>
      </w:r>
      <w:hyperlink w:history="0" r:id="rId163"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2030 г. - 63058,0 тыс. руб.;</w:t>
      </w:r>
    </w:p>
    <w:p>
      <w:pPr>
        <w:pStyle w:val="0"/>
        <w:jc w:val="both"/>
      </w:pPr>
      <w:r>
        <w:rPr>
          <w:sz w:val="20"/>
        </w:rPr>
        <w:t xml:space="preserve">(в ред. </w:t>
      </w:r>
      <w:hyperlink w:history="0" r:id="rId164"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средства бюджета города Севастополя - 33332318,0 тыс. руб., в том числе:</w:t>
      </w:r>
    </w:p>
    <w:p>
      <w:pPr>
        <w:pStyle w:val="0"/>
        <w:jc w:val="both"/>
      </w:pPr>
      <w:r>
        <w:rPr>
          <w:sz w:val="20"/>
        </w:rPr>
        <w:t xml:space="preserve">(в ред. </w:t>
      </w:r>
      <w:hyperlink w:history="0" r:id="rId165"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2022 г. - 3342094,0 тыс. руб.;</w:t>
      </w:r>
    </w:p>
    <w:p>
      <w:pPr>
        <w:pStyle w:val="0"/>
        <w:jc w:val="both"/>
      </w:pPr>
      <w:r>
        <w:rPr>
          <w:sz w:val="20"/>
        </w:rPr>
        <w:t xml:space="preserve">(в ред. </w:t>
      </w:r>
      <w:hyperlink w:history="0" r:id="rId166"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2023 г. - 4027479,5 тыс. руб.;</w:t>
      </w:r>
    </w:p>
    <w:p>
      <w:pPr>
        <w:pStyle w:val="0"/>
        <w:jc w:val="both"/>
      </w:pPr>
      <w:r>
        <w:rPr>
          <w:sz w:val="20"/>
        </w:rPr>
        <w:t xml:space="preserve">(в ред. </w:t>
      </w:r>
      <w:hyperlink w:history="0" r:id="rId167"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2024 г. - 3183313,6 тыс. руб.;</w:t>
      </w:r>
    </w:p>
    <w:p>
      <w:pPr>
        <w:pStyle w:val="0"/>
        <w:jc w:val="both"/>
      </w:pPr>
      <w:r>
        <w:rPr>
          <w:sz w:val="20"/>
        </w:rPr>
        <w:t xml:space="preserve">(в ред. </w:t>
      </w:r>
      <w:hyperlink w:history="0" r:id="rId168"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2025 г. - 3672638,8 тыс. руб.;</w:t>
      </w:r>
    </w:p>
    <w:p>
      <w:pPr>
        <w:pStyle w:val="0"/>
        <w:jc w:val="both"/>
      </w:pPr>
      <w:r>
        <w:rPr>
          <w:sz w:val="20"/>
        </w:rPr>
        <w:t xml:space="preserve">(в ред. </w:t>
      </w:r>
      <w:hyperlink w:history="0" r:id="rId169"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2026 г. - 4018748,3 тыс. руб.;</w:t>
      </w:r>
    </w:p>
    <w:p>
      <w:pPr>
        <w:pStyle w:val="0"/>
        <w:jc w:val="both"/>
      </w:pPr>
      <w:r>
        <w:rPr>
          <w:sz w:val="20"/>
        </w:rPr>
        <w:t xml:space="preserve">(в ред. </w:t>
      </w:r>
      <w:hyperlink w:history="0" r:id="rId170"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2027 г. - 3871146,1 тыс. руб.;</w:t>
      </w:r>
    </w:p>
    <w:p>
      <w:pPr>
        <w:pStyle w:val="0"/>
        <w:jc w:val="both"/>
      </w:pPr>
      <w:r>
        <w:rPr>
          <w:sz w:val="20"/>
        </w:rPr>
        <w:t xml:space="preserve">(в ред. </w:t>
      </w:r>
      <w:hyperlink w:history="0" r:id="rId171"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2028 г. - 3636202,1 тыс. руб.;</w:t>
      </w:r>
    </w:p>
    <w:p>
      <w:pPr>
        <w:pStyle w:val="0"/>
        <w:jc w:val="both"/>
      </w:pPr>
      <w:r>
        <w:rPr>
          <w:sz w:val="20"/>
        </w:rPr>
        <w:t xml:space="preserve">(в ред. </w:t>
      </w:r>
      <w:hyperlink w:history="0" r:id="rId17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2029 г. - 3738015,5 тыс. руб.;</w:t>
      </w:r>
    </w:p>
    <w:p>
      <w:pPr>
        <w:pStyle w:val="0"/>
        <w:jc w:val="both"/>
      </w:pPr>
      <w:r>
        <w:rPr>
          <w:sz w:val="20"/>
        </w:rPr>
        <w:t xml:space="preserve">(в ред. </w:t>
      </w:r>
      <w:hyperlink w:history="0" r:id="rId173"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2030 г. - 3842680,1 тыс. руб.;</w:t>
      </w:r>
    </w:p>
    <w:p>
      <w:pPr>
        <w:pStyle w:val="0"/>
        <w:jc w:val="both"/>
      </w:pPr>
      <w:r>
        <w:rPr>
          <w:sz w:val="20"/>
        </w:rPr>
        <w:t xml:space="preserve">(в ред. </w:t>
      </w:r>
      <w:hyperlink w:history="0" r:id="rId174"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средства бюджетов других субъектов Российской Федерации (город Москва) - 337198,5 тыс. руб., в том числе:</w:t>
      </w:r>
    </w:p>
    <w:p>
      <w:pPr>
        <w:pStyle w:val="0"/>
        <w:jc w:val="both"/>
      </w:pPr>
      <w:r>
        <w:rPr>
          <w:sz w:val="20"/>
        </w:rPr>
        <w:t xml:space="preserve">(в ред. </w:t>
      </w:r>
      <w:hyperlink w:history="0" r:id="rId175"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2022 г. - 249621,2 тыс. руб.;</w:t>
      </w:r>
    </w:p>
    <w:p>
      <w:pPr>
        <w:pStyle w:val="0"/>
        <w:jc w:val="both"/>
      </w:pPr>
      <w:r>
        <w:rPr>
          <w:sz w:val="20"/>
        </w:rPr>
        <w:t xml:space="preserve">(в ред. </w:t>
      </w:r>
      <w:hyperlink w:history="0" r:id="rId176"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2023 г. - 87577,3 тыс. руб.;</w:t>
      </w:r>
    </w:p>
    <w:p>
      <w:pPr>
        <w:pStyle w:val="0"/>
        <w:jc w:val="both"/>
      </w:pPr>
      <w:r>
        <w:rPr>
          <w:sz w:val="20"/>
        </w:rPr>
        <w:t xml:space="preserve">(в ред. </w:t>
      </w:r>
      <w:hyperlink w:history="0" r:id="rId177"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внебюджетные средства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Ресурсное </w:t>
      </w:r>
      <w:hyperlink w:history="0" w:anchor="P5821" w:tooltip="Финансовое обеспечение реализации государственной программы">
        <w:r>
          <w:rPr>
            <w:sz w:val="20"/>
            <w:color w:val="0000ff"/>
          </w:rPr>
          <w:t xml:space="preserve">обеспечение</w:t>
        </w:r>
      </w:hyperlink>
      <w:r>
        <w:rPr>
          <w:sz w:val="20"/>
        </w:rPr>
        <w:t xml:space="preserve"> и прогнозная (справочная) оценка расходов на реализацию целей подпрограммы 2 приведены в приложении N 4 к Программе.</w:t>
      </w:r>
    </w:p>
    <w:p>
      <w:pPr>
        <w:pStyle w:val="0"/>
        <w:jc w:val="center"/>
      </w:pPr>
      <w:r>
        <w:rPr>
          <w:sz w:val="20"/>
        </w:rPr>
      </w:r>
    </w:p>
    <w:bookmarkStart w:id="1229" w:name="P1229"/>
    <w:bookmarkEnd w:id="1229"/>
    <w:p>
      <w:pPr>
        <w:pStyle w:val="2"/>
        <w:outlineLvl w:val="1"/>
        <w:jc w:val="center"/>
      </w:pPr>
      <w:r>
        <w:rPr>
          <w:sz w:val="20"/>
        </w:rPr>
        <w:t xml:space="preserve">ПОДПРОГРАММА 3</w:t>
      </w:r>
    </w:p>
    <w:p>
      <w:pPr>
        <w:pStyle w:val="2"/>
        <w:jc w:val="center"/>
      </w:pPr>
      <w:r>
        <w:rPr>
          <w:sz w:val="20"/>
        </w:rPr>
        <w:t xml:space="preserve">"Охрана здоровья матери и ребенка"</w:t>
      </w:r>
    </w:p>
    <w:p>
      <w:pPr>
        <w:pStyle w:val="0"/>
        <w:jc w:val="center"/>
      </w:pPr>
      <w:r>
        <w:rPr>
          <w:sz w:val="20"/>
        </w:rPr>
        <w:t xml:space="preserve">(в ред. </w:t>
      </w:r>
      <w:hyperlink w:history="0" r:id="rId178"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2"/>
        <w:outlineLvl w:val="2"/>
        <w:jc w:val="center"/>
      </w:pPr>
      <w:r>
        <w:rPr>
          <w:sz w:val="20"/>
        </w:rPr>
        <w:t xml:space="preserve">ПАСПОРТ</w:t>
      </w:r>
    </w:p>
    <w:p>
      <w:pPr>
        <w:pStyle w:val="2"/>
        <w:jc w:val="center"/>
      </w:pPr>
      <w:r>
        <w:rPr>
          <w:sz w:val="20"/>
        </w:rPr>
        <w:t xml:space="preserve">подпрограммы 3 "Охрана здоровья матери и ребенка"</w:t>
      </w:r>
    </w:p>
    <w:p>
      <w:pPr>
        <w:pStyle w:val="2"/>
        <w:jc w:val="center"/>
      </w:pPr>
      <w:r>
        <w:rPr>
          <w:sz w:val="20"/>
        </w:rPr>
        <w:t xml:space="preserve">(далее - подпрограмма 3)</w:t>
      </w:r>
    </w:p>
    <w:p>
      <w:pPr>
        <w:pStyle w:val="0"/>
        <w:jc w:val="center"/>
      </w:pPr>
      <w:r>
        <w:rPr>
          <w:sz w:val="20"/>
        </w:rPr>
      </w:r>
    </w:p>
    <w:p>
      <w:pPr>
        <w:pStyle w:val="0"/>
        <w:ind w:firstLine="540"/>
        <w:jc w:val="both"/>
      </w:pPr>
      <w:r>
        <w:rPr>
          <w:sz w:val="20"/>
        </w:rPr>
        <w:t xml:space="preserve">1. Ответственный исполнитель подпрограммы 3: ДЗГС.</w:t>
      </w:r>
    </w:p>
    <w:p>
      <w:pPr>
        <w:pStyle w:val="0"/>
        <w:spacing w:before="200" w:line-rule="auto"/>
        <w:ind w:firstLine="540"/>
        <w:jc w:val="both"/>
      </w:pPr>
      <w:r>
        <w:rPr>
          <w:sz w:val="20"/>
        </w:rPr>
        <w:t xml:space="preserve">2. Соисполнители подпрограммы 3:</w:t>
      </w:r>
    </w:p>
    <w:p>
      <w:pPr>
        <w:pStyle w:val="0"/>
        <w:spacing w:before="200" w:line-rule="auto"/>
        <w:ind w:firstLine="540"/>
        <w:jc w:val="both"/>
      </w:pPr>
      <w:r>
        <w:rPr>
          <w:sz w:val="20"/>
        </w:rPr>
        <w:t xml:space="preserve">- Департамент капитального строительства города Севастополя;</w:t>
      </w:r>
    </w:p>
    <w:p>
      <w:pPr>
        <w:pStyle w:val="0"/>
        <w:spacing w:before="200" w:line-rule="auto"/>
        <w:ind w:firstLine="540"/>
        <w:jc w:val="both"/>
      </w:pPr>
      <w:r>
        <w:rPr>
          <w:sz w:val="20"/>
        </w:rPr>
        <w:t xml:space="preserve">- ГКУС "Медицинский склад N 1043".</w:t>
      </w:r>
    </w:p>
    <w:p>
      <w:pPr>
        <w:pStyle w:val="0"/>
        <w:spacing w:before="200" w:line-rule="auto"/>
        <w:ind w:firstLine="540"/>
        <w:jc w:val="both"/>
      </w:pPr>
      <w:r>
        <w:rPr>
          <w:sz w:val="20"/>
        </w:rPr>
        <w:t xml:space="preserve">3. Участники подпрограммы 3:</w:t>
      </w:r>
    </w:p>
    <w:p>
      <w:pPr>
        <w:pStyle w:val="0"/>
        <w:spacing w:before="200" w:line-rule="auto"/>
        <w:ind w:firstLine="540"/>
        <w:jc w:val="both"/>
      </w:pPr>
      <w:r>
        <w:rPr>
          <w:sz w:val="20"/>
        </w:rPr>
        <w:t xml:space="preserve">- государственные учреждения здравоохранения города Севастополя;</w:t>
      </w:r>
    </w:p>
    <w:p>
      <w:pPr>
        <w:pStyle w:val="0"/>
        <w:spacing w:before="200" w:line-rule="auto"/>
        <w:ind w:firstLine="540"/>
        <w:jc w:val="both"/>
      </w:pPr>
      <w:r>
        <w:rPr>
          <w:sz w:val="20"/>
        </w:rPr>
        <w:t xml:space="preserve">- ГКУГС "ЕДКС".</w:t>
      </w:r>
    </w:p>
    <w:p>
      <w:pPr>
        <w:pStyle w:val="0"/>
        <w:spacing w:before="200" w:line-rule="auto"/>
        <w:ind w:firstLine="540"/>
        <w:jc w:val="both"/>
      </w:pPr>
      <w:r>
        <w:rPr>
          <w:sz w:val="20"/>
        </w:rPr>
        <w:t xml:space="preserve">4. Цель подпрограммы 3: повышение эффективности службы родовспоможения и детства.</w:t>
      </w:r>
    </w:p>
    <w:p>
      <w:pPr>
        <w:pStyle w:val="0"/>
        <w:spacing w:before="200" w:line-rule="auto"/>
        <w:ind w:firstLine="540"/>
        <w:jc w:val="both"/>
      </w:pPr>
      <w:r>
        <w:rPr>
          <w:sz w:val="20"/>
        </w:rPr>
        <w:t xml:space="preserve">5. Задачи подпрограммы 3:</w:t>
      </w:r>
    </w:p>
    <w:p>
      <w:pPr>
        <w:pStyle w:val="0"/>
        <w:spacing w:before="200" w:line-rule="auto"/>
        <w:ind w:firstLine="540"/>
        <w:jc w:val="both"/>
      </w:pPr>
      <w:r>
        <w:rPr>
          <w:sz w:val="20"/>
        </w:rPr>
        <w:t xml:space="preserve">- улучшение качества оказания специализированной и высокотехнологичной медицинской помощи матерям и детям;</w:t>
      </w:r>
    </w:p>
    <w:p>
      <w:pPr>
        <w:pStyle w:val="0"/>
        <w:spacing w:before="200" w:line-rule="auto"/>
        <w:ind w:firstLine="540"/>
        <w:jc w:val="both"/>
      </w:pPr>
      <w:r>
        <w:rPr>
          <w:sz w:val="20"/>
        </w:rPr>
        <w:t xml:space="preserve">- улучшение качества оказания медицинской помощи женщинам фертильного возраста посредством переоснащения женских консультаций медицинским оборудованием в соответствии с </w:t>
      </w:r>
      <w:hyperlink w:history="0" r:id="rId179" w:tooltip="Приказ Минздрава России от 01.11.2012 N 572н (ред. от 21.02.2020) &quot;Об утверждении Порядка оказания медицинской помощи по профилю &quot;акушерство и гинекология (за исключением использования вспомогательных репродуктивных технологий)&quot; (Зарегистрировано в Минюсте России 02.04.2013 N 27960) ------------ Утратил силу или отменен {КонсультантПлюс}">
        <w:r>
          <w:rPr>
            <w:sz w:val="20"/>
            <w:color w:val="0000ff"/>
          </w:rPr>
          <w:t xml:space="preserve">порядком</w:t>
        </w:r>
      </w:hyperlink>
      <w:r>
        <w:rPr>
          <w:sz w:val="20"/>
        </w:rPr>
        <w:t xml:space="preserve"> оказания медицинской помощи по профилю "акушерство и гинекология (за исключением использования вспомогательных репродуктивных технологий)";</w:t>
      </w:r>
    </w:p>
    <w:p>
      <w:pPr>
        <w:pStyle w:val="0"/>
        <w:spacing w:before="200" w:line-rule="auto"/>
        <w:ind w:firstLine="540"/>
        <w:jc w:val="both"/>
      </w:pPr>
      <w:r>
        <w:rPr>
          <w:sz w:val="20"/>
        </w:rPr>
        <w:t xml:space="preserve">- совершенствование системы оказания амбулаторной акушерско-гинекологической помощи.</w:t>
      </w:r>
    </w:p>
    <w:p>
      <w:pPr>
        <w:pStyle w:val="0"/>
        <w:spacing w:before="200" w:line-rule="auto"/>
        <w:ind w:firstLine="540"/>
        <w:jc w:val="both"/>
      </w:pPr>
      <w:r>
        <w:rPr>
          <w:sz w:val="20"/>
        </w:rPr>
        <w:t xml:space="preserve">6. Целевые индикаторы и показатели подпрограммы 3:</w:t>
      </w:r>
    </w:p>
    <w:p>
      <w:pPr>
        <w:pStyle w:val="0"/>
        <w:spacing w:before="200" w:line-rule="auto"/>
        <w:ind w:firstLine="540"/>
        <w:jc w:val="both"/>
      </w:pPr>
      <w:r>
        <w:rPr>
          <w:sz w:val="20"/>
        </w:rPr>
        <w:t xml:space="preserve">- материнская смертность (случаев на 100 тыс. детей, родившихся живыми);</w:t>
      </w:r>
    </w:p>
    <w:p>
      <w:pPr>
        <w:pStyle w:val="0"/>
        <w:spacing w:before="200" w:line-rule="auto"/>
        <w:ind w:firstLine="540"/>
        <w:jc w:val="both"/>
      </w:pPr>
      <w:r>
        <w:rPr>
          <w:sz w:val="20"/>
        </w:rPr>
        <w:t xml:space="preserve">- охват неонатальным скринингом (доля новорожденных, обследованных на врожденные и наследственные заболевания, в общем числе детей, родившихся живыми);</w:t>
      </w:r>
    </w:p>
    <w:p>
      <w:pPr>
        <w:pStyle w:val="0"/>
        <w:spacing w:before="200" w:line-rule="auto"/>
        <w:ind w:firstLine="540"/>
        <w:jc w:val="both"/>
      </w:pPr>
      <w:r>
        <w:rPr>
          <w:sz w:val="20"/>
        </w:rPr>
        <w:t xml:space="preserve">- ранняя неонатальная смертность;</w:t>
      </w:r>
    </w:p>
    <w:p>
      <w:pPr>
        <w:pStyle w:val="0"/>
        <w:spacing w:before="200" w:line-rule="auto"/>
        <w:ind w:firstLine="540"/>
        <w:jc w:val="both"/>
      </w:pPr>
      <w:r>
        <w:rPr>
          <w:sz w:val="20"/>
        </w:rPr>
        <w:t xml:space="preserve">- выживаемость детей, имевших при рождении очень низкую и экстремально низкую массу тела, в акушерском стационаре (доля выживших детей в числе новорожденных, родившихся с очень низкой и экстремально низкой массой тела, в акушерском стационаре);</w:t>
      </w:r>
    </w:p>
    <w:p>
      <w:pPr>
        <w:pStyle w:val="0"/>
        <w:spacing w:before="200" w:line-rule="auto"/>
        <w:ind w:firstLine="540"/>
        <w:jc w:val="both"/>
      </w:pPr>
      <w:r>
        <w:rPr>
          <w:sz w:val="20"/>
        </w:rPr>
        <w:t xml:space="preserve">- проведение химиопрофилактики передачи ВИЧ-инфекции от матери к ребенку во время беременности;</w:t>
      </w:r>
    </w:p>
    <w:p>
      <w:pPr>
        <w:pStyle w:val="0"/>
        <w:spacing w:before="200" w:line-rule="auto"/>
        <w:ind w:firstLine="540"/>
        <w:jc w:val="both"/>
      </w:pPr>
      <w:r>
        <w:rPr>
          <w:sz w:val="20"/>
        </w:rPr>
        <w:t xml:space="preserve">- число абортов (на 1000 женщин в возрасте от 15 до 49 лет).</w:t>
      </w:r>
    </w:p>
    <w:p>
      <w:pPr>
        <w:pStyle w:val="0"/>
        <w:spacing w:before="200" w:line-rule="auto"/>
        <w:ind w:firstLine="540"/>
        <w:jc w:val="both"/>
      </w:pPr>
      <w:r>
        <w:rPr>
          <w:sz w:val="20"/>
        </w:rPr>
        <w:t xml:space="preserve">7. Этапы и сроки реализации подпрограммы 3: с 2022 по 2030 год без выделения этапов реализации Программы.</w:t>
      </w:r>
    </w:p>
    <w:p>
      <w:pPr>
        <w:pStyle w:val="0"/>
        <w:spacing w:before="200" w:line-rule="auto"/>
        <w:ind w:firstLine="540"/>
        <w:jc w:val="both"/>
      </w:pPr>
      <w:r>
        <w:rPr>
          <w:sz w:val="20"/>
        </w:rPr>
        <w:t xml:space="preserve">8. Объемы финансирования подпрограммы 3, всего, по годам и по источникам финансирования (тыс. руб.):</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587"/>
        <w:gridCol w:w="1531"/>
        <w:gridCol w:w="1700"/>
        <w:gridCol w:w="1191"/>
        <w:gridCol w:w="1587"/>
      </w:tblGrid>
      <w:tr>
        <w:tc>
          <w:tcPr>
            <w:tcW w:w="1474" w:type="dxa"/>
          </w:tcPr>
          <w:p>
            <w:pPr>
              <w:pStyle w:val="0"/>
              <w:jc w:val="center"/>
            </w:pPr>
            <w:r>
              <w:rPr>
                <w:sz w:val="20"/>
              </w:rPr>
              <w:t xml:space="preserve">Источники финансирования</w:t>
            </w:r>
          </w:p>
        </w:tc>
        <w:tc>
          <w:tcPr>
            <w:tcW w:w="1587" w:type="dxa"/>
          </w:tcPr>
          <w:p>
            <w:pPr>
              <w:pStyle w:val="0"/>
              <w:jc w:val="center"/>
            </w:pPr>
            <w:r>
              <w:rPr>
                <w:sz w:val="20"/>
              </w:rPr>
              <w:t xml:space="preserve">Федеральный бюджет</w:t>
            </w:r>
          </w:p>
        </w:tc>
        <w:tc>
          <w:tcPr>
            <w:tcW w:w="1531" w:type="dxa"/>
          </w:tcPr>
          <w:p>
            <w:pPr>
              <w:pStyle w:val="0"/>
              <w:jc w:val="center"/>
            </w:pPr>
            <w:r>
              <w:rPr>
                <w:sz w:val="20"/>
              </w:rPr>
              <w:t xml:space="preserve">Бюджет города Севастополя</w:t>
            </w:r>
          </w:p>
        </w:tc>
        <w:tc>
          <w:tcPr>
            <w:tcW w:w="1700" w:type="dxa"/>
          </w:tcPr>
          <w:p>
            <w:pPr>
              <w:pStyle w:val="0"/>
              <w:jc w:val="center"/>
            </w:pPr>
            <w:r>
              <w:rPr>
                <w:sz w:val="20"/>
              </w:rPr>
              <w:t xml:space="preserve">Бюджеты других субъектов РФ (город Москва)</w:t>
            </w:r>
          </w:p>
        </w:tc>
        <w:tc>
          <w:tcPr>
            <w:tcW w:w="1191" w:type="dxa"/>
          </w:tcPr>
          <w:p>
            <w:pPr>
              <w:pStyle w:val="0"/>
              <w:jc w:val="center"/>
            </w:pPr>
            <w:r>
              <w:rPr>
                <w:sz w:val="20"/>
              </w:rPr>
              <w:t xml:space="preserve">Внебюджетные средства</w:t>
            </w:r>
          </w:p>
        </w:tc>
        <w:tc>
          <w:tcPr>
            <w:tcW w:w="1587" w:type="dxa"/>
          </w:tcPr>
          <w:p>
            <w:pPr>
              <w:pStyle w:val="0"/>
              <w:jc w:val="center"/>
            </w:pPr>
            <w:r>
              <w:rPr>
                <w:sz w:val="20"/>
              </w:rPr>
              <w:t xml:space="preserve">Итого</w:t>
            </w:r>
          </w:p>
        </w:tc>
      </w:tr>
      <w:tr>
        <w:tc>
          <w:tcPr>
            <w:tcW w:w="1474" w:type="dxa"/>
          </w:tcPr>
          <w:p>
            <w:pPr>
              <w:pStyle w:val="0"/>
              <w:jc w:val="both"/>
            </w:pPr>
            <w:r>
              <w:rPr>
                <w:sz w:val="20"/>
              </w:rPr>
              <w:t xml:space="preserve">2022 год</w:t>
            </w:r>
          </w:p>
        </w:tc>
        <w:tc>
          <w:tcPr>
            <w:tcW w:w="1587" w:type="dxa"/>
          </w:tcPr>
          <w:p>
            <w:pPr>
              <w:pStyle w:val="0"/>
              <w:jc w:val="center"/>
            </w:pPr>
            <w:r>
              <w:rPr>
                <w:sz w:val="20"/>
              </w:rPr>
              <w:t xml:space="preserve">42699,9</w:t>
            </w:r>
          </w:p>
        </w:tc>
        <w:tc>
          <w:tcPr>
            <w:tcW w:w="1531" w:type="dxa"/>
          </w:tcPr>
          <w:p>
            <w:pPr>
              <w:pStyle w:val="0"/>
              <w:jc w:val="center"/>
            </w:pPr>
            <w:r>
              <w:rPr>
                <w:sz w:val="20"/>
              </w:rPr>
              <w:t xml:space="preserve">272797,3</w:t>
            </w:r>
          </w:p>
        </w:tc>
        <w:tc>
          <w:tcPr>
            <w:tcW w:w="1700" w:type="dxa"/>
          </w:tcPr>
          <w:p>
            <w:pPr>
              <w:pStyle w:val="0"/>
              <w:jc w:val="center"/>
            </w:pPr>
            <w:r>
              <w:rPr>
                <w:sz w:val="20"/>
              </w:rPr>
              <w:t xml:space="preserve">60073,7</w:t>
            </w:r>
          </w:p>
        </w:tc>
        <w:tc>
          <w:tcPr>
            <w:tcW w:w="1191" w:type="dxa"/>
          </w:tcPr>
          <w:p>
            <w:pPr>
              <w:pStyle w:val="0"/>
              <w:jc w:val="center"/>
            </w:pPr>
            <w:r>
              <w:rPr>
                <w:sz w:val="20"/>
              </w:rPr>
              <w:t xml:space="preserve">0,0</w:t>
            </w:r>
          </w:p>
        </w:tc>
        <w:tc>
          <w:tcPr>
            <w:tcW w:w="1587" w:type="dxa"/>
          </w:tcPr>
          <w:p>
            <w:pPr>
              <w:pStyle w:val="0"/>
              <w:jc w:val="center"/>
            </w:pPr>
            <w:r>
              <w:rPr>
                <w:sz w:val="20"/>
              </w:rPr>
              <w:t xml:space="preserve">375570,9</w:t>
            </w:r>
          </w:p>
        </w:tc>
      </w:tr>
      <w:tr>
        <w:tc>
          <w:tcPr>
            <w:tcW w:w="1474" w:type="dxa"/>
          </w:tcPr>
          <w:p>
            <w:pPr>
              <w:pStyle w:val="0"/>
              <w:jc w:val="both"/>
            </w:pPr>
            <w:r>
              <w:rPr>
                <w:sz w:val="20"/>
              </w:rPr>
              <w:t xml:space="preserve">2023 год</w:t>
            </w:r>
          </w:p>
        </w:tc>
        <w:tc>
          <w:tcPr>
            <w:tcW w:w="1587" w:type="dxa"/>
          </w:tcPr>
          <w:p>
            <w:pPr>
              <w:pStyle w:val="0"/>
              <w:jc w:val="center"/>
            </w:pPr>
            <w:r>
              <w:rPr>
                <w:sz w:val="20"/>
              </w:rPr>
              <w:t xml:space="preserve">9293,2</w:t>
            </w:r>
          </w:p>
        </w:tc>
        <w:tc>
          <w:tcPr>
            <w:tcW w:w="1531" w:type="dxa"/>
          </w:tcPr>
          <w:p>
            <w:pPr>
              <w:pStyle w:val="0"/>
              <w:jc w:val="center"/>
            </w:pPr>
            <w:r>
              <w:rPr>
                <w:sz w:val="20"/>
              </w:rPr>
              <w:t xml:space="preserve">316370,3</w:t>
            </w:r>
          </w:p>
        </w:tc>
        <w:tc>
          <w:tcPr>
            <w:tcW w:w="1700" w:type="dxa"/>
          </w:tcPr>
          <w:p>
            <w:pPr>
              <w:pStyle w:val="0"/>
              <w:jc w:val="center"/>
            </w:pPr>
            <w:r>
              <w:rPr>
                <w:sz w:val="20"/>
              </w:rPr>
              <w:t xml:space="preserve">38994,1</w:t>
            </w:r>
          </w:p>
        </w:tc>
        <w:tc>
          <w:tcPr>
            <w:tcW w:w="1191" w:type="dxa"/>
          </w:tcPr>
          <w:p>
            <w:pPr>
              <w:pStyle w:val="0"/>
              <w:jc w:val="center"/>
            </w:pPr>
            <w:r>
              <w:rPr>
                <w:sz w:val="20"/>
              </w:rPr>
              <w:t xml:space="preserve">0,0</w:t>
            </w:r>
          </w:p>
        </w:tc>
        <w:tc>
          <w:tcPr>
            <w:tcW w:w="1587" w:type="dxa"/>
          </w:tcPr>
          <w:p>
            <w:pPr>
              <w:pStyle w:val="0"/>
              <w:jc w:val="center"/>
            </w:pPr>
            <w:r>
              <w:rPr>
                <w:sz w:val="20"/>
              </w:rPr>
              <w:t xml:space="preserve">364657,6</w:t>
            </w:r>
          </w:p>
        </w:tc>
      </w:tr>
      <w:tr>
        <w:tc>
          <w:tcPr>
            <w:tcW w:w="1474" w:type="dxa"/>
          </w:tcPr>
          <w:p>
            <w:pPr>
              <w:pStyle w:val="0"/>
              <w:jc w:val="both"/>
            </w:pPr>
            <w:r>
              <w:rPr>
                <w:sz w:val="20"/>
              </w:rPr>
              <w:t xml:space="preserve">2024 год</w:t>
            </w:r>
          </w:p>
        </w:tc>
        <w:tc>
          <w:tcPr>
            <w:tcW w:w="1587" w:type="dxa"/>
          </w:tcPr>
          <w:p>
            <w:pPr>
              <w:pStyle w:val="0"/>
              <w:jc w:val="center"/>
            </w:pPr>
            <w:r>
              <w:rPr>
                <w:sz w:val="20"/>
              </w:rPr>
              <w:t xml:space="preserve">9331,4</w:t>
            </w:r>
          </w:p>
        </w:tc>
        <w:tc>
          <w:tcPr>
            <w:tcW w:w="1531" w:type="dxa"/>
          </w:tcPr>
          <w:p>
            <w:pPr>
              <w:pStyle w:val="0"/>
              <w:jc w:val="center"/>
            </w:pPr>
            <w:r>
              <w:rPr>
                <w:sz w:val="20"/>
              </w:rPr>
              <w:t xml:space="preserve">346961,7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356293,1</w:t>
            </w:r>
          </w:p>
        </w:tc>
      </w:tr>
      <w:tr>
        <w:tc>
          <w:tcPr>
            <w:tcW w:w="1474" w:type="dxa"/>
          </w:tcPr>
          <w:p>
            <w:pPr>
              <w:pStyle w:val="0"/>
              <w:jc w:val="both"/>
            </w:pPr>
            <w:r>
              <w:rPr>
                <w:sz w:val="20"/>
              </w:rPr>
              <w:t xml:space="preserve">2025 год</w:t>
            </w:r>
          </w:p>
        </w:tc>
        <w:tc>
          <w:tcPr>
            <w:tcW w:w="1587" w:type="dxa"/>
          </w:tcPr>
          <w:p>
            <w:pPr>
              <w:pStyle w:val="0"/>
              <w:jc w:val="center"/>
            </w:pPr>
            <w:r>
              <w:rPr>
                <w:sz w:val="20"/>
              </w:rPr>
              <w:t xml:space="preserve">9142,4</w:t>
            </w:r>
          </w:p>
        </w:tc>
        <w:tc>
          <w:tcPr>
            <w:tcW w:w="1531" w:type="dxa"/>
          </w:tcPr>
          <w:p>
            <w:pPr>
              <w:pStyle w:val="0"/>
              <w:jc w:val="center"/>
            </w:pPr>
            <w:r>
              <w:rPr>
                <w:sz w:val="20"/>
              </w:rPr>
              <w:t xml:space="preserve">364125,7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373268,1</w:t>
            </w:r>
          </w:p>
        </w:tc>
      </w:tr>
      <w:tr>
        <w:tc>
          <w:tcPr>
            <w:tcW w:w="1474" w:type="dxa"/>
          </w:tcPr>
          <w:p>
            <w:pPr>
              <w:pStyle w:val="0"/>
              <w:jc w:val="both"/>
            </w:pPr>
            <w:r>
              <w:rPr>
                <w:sz w:val="20"/>
              </w:rPr>
              <w:t xml:space="preserve">2026 год</w:t>
            </w:r>
          </w:p>
        </w:tc>
        <w:tc>
          <w:tcPr>
            <w:tcW w:w="1587" w:type="dxa"/>
          </w:tcPr>
          <w:p>
            <w:pPr>
              <w:pStyle w:val="0"/>
              <w:jc w:val="center"/>
            </w:pPr>
            <w:r>
              <w:rPr>
                <w:sz w:val="20"/>
              </w:rPr>
              <w:t xml:space="preserve">9444,1</w:t>
            </w:r>
          </w:p>
        </w:tc>
        <w:tc>
          <w:tcPr>
            <w:tcW w:w="1531" w:type="dxa"/>
          </w:tcPr>
          <w:p>
            <w:pPr>
              <w:pStyle w:val="0"/>
              <w:jc w:val="center"/>
            </w:pPr>
            <w:r>
              <w:rPr>
                <w:sz w:val="20"/>
              </w:rPr>
              <w:t xml:space="preserve">376141,8</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385585,9</w:t>
            </w:r>
          </w:p>
        </w:tc>
      </w:tr>
      <w:tr>
        <w:tc>
          <w:tcPr>
            <w:tcW w:w="1474" w:type="dxa"/>
          </w:tcPr>
          <w:p>
            <w:pPr>
              <w:pStyle w:val="0"/>
              <w:jc w:val="both"/>
            </w:pPr>
            <w:r>
              <w:rPr>
                <w:sz w:val="20"/>
              </w:rPr>
              <w:t xml:space="preserve">2027 год</w:t>
            </w:r>
          </w:p>
        </w:tc>
        <w:tc>
          <w:tcPr>
            <w:tcW w:w="1587" w:type="dxa"/>
          </w:tcPr>
          <w:p>
            <w:pPr>
              <w:pStyle w:val="0"/>
              <w:jc w:val="center"/>
            </w:pPr>
            <w:r>
              <w:rPr>
                <w:sz w:val="20"/>
              </w:rPr>
              <w:t xml:space="preserve">9736,9</w:t>
            </w:r>
          </w:p>
        </w:tc>
        <w:tc>
          <w:tcPr>
            <w:tcW w:w="1531" w:type="dxa"/>
          </w:tcPr>
          <w:p>
            <w:pPr>
              <w:pStyle w:val="0"/>
              <w:jc w:val="center"/>
            </w:pPr>
            <w:r>
              <w:rPr>
                <w:sz w:val="20"/>
              </w:rPr>
              <w:t xml:space="preserve">387802,2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397539,1</w:t>
            </w:r>
          </w:p>
        </w:tc>
      </w:tr>
      <w:tr>
        <w:tc>
          <w:tcPr>
            <w:tcW w:w="1474" w:type="dxa"/>
          </w:tcPr>
          <w:p>
            <w:pPr>
              <w:pStyle w:val="0"/>
              <w:jc w:val="both"/>
            </w:pPr>
            <w:r>
              <w:rPr>
                <w:sz w:val="20"/>
              </w:rPr>
              <w:t xml:space="preserve">2028 год</w:t>
            </w:r>
          </w:p>
        </w:tc>
        <w:tc>
          <w:tcPr>
            <w:tcW w:w="1587" w:type="dxa"/>
          </w:tcPr>
          <w:p>
            <w:pPr>
              <w:pStyle w:val="0"/>
              <w:jc w:val="center"/>
            </w:pPr>
            <w:r>
              <w:rPr>
                <w:sz w:val="20"/>
              </w:rPr>
              <w:t xml:space="preserve">10019,3</w:t>
            </w:r>
          </w:p>
        </w:tc>
        <w:tc>
          <w:tcPr>
            <w:tcW w:w="1531" w:type="dxa"/>
          </w:tcPr>
          <w:p>
            <w:pPr>
              <w:pStyle w:val="0"/>
              <w:jc w:val="center"/>
            </w:pPr>
            <w:r>
              <w:rPr>
                <w:sz w:val="20"/>
              </w:rPr>
              <w:t xml:space="preserve">399048,6</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409067,9</w:t>
            </w:r>
          </w:p>
        </w:tc>
      </w:tr>
      <w:tr>
        <w:tc>
          <w:tcPr>
            <w:tcW w:w="1474" w:type="dxa"/>
          </w:tcPr>
          <w:p>
            <w:pPr>
              <w:pStyle w:val="0"/>
              <w:jc w:val="both"/>
            </w:pPr>
            <w:r>
              <w:rPr>
                <w:sz w:val="20"/>
              </w:rPr>
              <w:t xml:space="preserve">2029 год</w:t>
            </w:r>
          </w:p>
        </w:tc>
        <w:tc>
          <w:tcPr>
            <w:tcW w:w="1587" w:type="dxa"/>
          </w:tcPr>
          <w:p>
            <w:pPr>
              <w:pStyle w:val="0"/>
              <w:jc w:val="center"/>
            </w:pPr>
            <w:r>
              <w:rPr>
                <w:sz w:val="20"/>
              </w:rPr>
              <w:t xml:space="preserve">10299,8</w:t>
            </w:r>
          </w:p>
        </w:tc>
        <w:tc>
          <w:tcPr>
            <w:tcW w:w="1531" w:type="dxa"/>
          </w:tcPr>
          <w:p>
            <w:pPr>
              <w:pStyle w:val="0"/>
              <w:jc w:val="center"/>
            </w:pPr>
            <w:r>
              <w:rPr>
                <w:sz w:val="20"/>
              </w:rPr>
              <w:t xml:space="preserve">410222,0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420521,8</w:t>
            </w:r>
          </w:p>
        </w:tc>
      </w:tr>
      <w:tr>
        <w:tc>
          <w:tcPr>
            <w:tcW w:w="1474" w:type="dxa"/>
          </w:tcPr>
          <w:p>
            <w:pPr>
              <w:pStyle w:val="0"/>
              <w:jc w:val="both"/>
            </w:pPr>
            <w:r>
              <w:rPr>
                <w:sz w:val="20"/>
              </w:rPr>
              <w:t xml:space="preserve">2030 год</w:t>
            </w:r>
          </w:p>
        </w:tc>
        <w:tc>
          <w:tcPr>
            <w:tcW w:w="1587" w:type="dxa"/>
          </w:tcPr>
          <w:p>
            <w:pPr>
              <w:pStyle w:val="0"/>
              <w:jc w:val="center"/>
            </w:pPr>
            <w:r>
              <w:rPr>
                <w:sz w:val="20"/>
              </w:rPr>
              <w:t xml:space="preserve">10588,2</w:t>
            </w:r>
          </w:p>
        </w:tc>
        <w:tc>
          <w:tcPr>
            <w:tcW w:w="1531" w:type="dxa"/>
          </w:tcPr>
          <w:p>
            <w:pPr>
              <w:pStyle w:val="0"/>
              <w:jc w:val="center"/>
            </w:pPr>
            <w:r>
              <w:rPr>
                <w:sz w:val="20"/>
              </w:rPr>
              <w:t xml:space="preserve">421708,2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432296,4</w:t>
            </w:r>
          </w:p>
        </w:tc>
      </w:tr>
      <w:tr>
        <w:tc>
          <w:tcPr>
            <w:tcW w:w="1474" w:type="dxa"/>
          </w:tcPr>
          <w:p>
            <w:pPr>
              <w:pStyle w:val="0"/>
              <w:jc w:val="both"/>
            </w:pPr>
            <w:r>
              <w:rPr>
                <w:sz w:val="20"/>
              </w:rPr>
              <w:t xml:space="preserve">Всего</w:t>
            </w:r>
          </w:p>
        </w:tc>
        <w:tc>
          <w:tcPr>
            <w:tcW w:w="1587" w:type="dxa"/>
          </w:tcPr>
          <w:p>
            <w:pPr>
              <w:pStyle w:val="0"/>
              <w:jc w:val="center"/>
            </w:pPr>
            <w:r>
              <w:rPr>
                <w:sz w:val="20"/>
              </w:rPr>
              <w:t xml:space="preserve">120555,2</w:t>
            </w:r>
          </w:p>
        </w:tc>
        <w:tc>
          <w:tcPr>
            <w:tcW w:w="1531" w:type="dxa"/>
          </w:tcPr>
          <w:p>
            <w:pPr>
              <w:pStyle w:val="0"/>
              <w:jc w:val="center"/>
            </w:pPr>
            <w:r>
              <w:rPr>
                <w:sz w:val="20"/>
              </w:rPr>
              <w:t xml:space="preserve">3295177,8</w:t>
            </w:r>
          </w:p>
        </w:tc>
        <w:tc>
          <w:tcPr>
            <w:tcW w:w="1700" w:type="dxa"/>
          </w:tcPr>
          <w:p>
            <w:pPr>
              <w:pStyle w:val="0"/>
              <w:jc w:val="center"/>
            </w:pPr>
            <w:r>
              <w:rPr>
                <w:sz w:val="20"/>
              </w:rPr>
              <w:t xml:space="preserve">99067,8</w:t>
            </w:r>
          </w:p>
        </w:tc>
        <w:tc>
          <w:tcPr>
            <w:tcW w:w="1191" w:type="dxa"/>
          </w:tcPr>
          <w:p>
            <w:pPr>
              <w:pStyle w:val="0"/>
              <w:jc w:val="center"/>
            </w:pPr>
            <w:r>
              <w:rPr>
                <w:sz w:val="20"/>
              </w:rPr>
              <w:t xml:space="preserve">0,0</w:t>
            </w:r>
          </w:p>
        </w:tc>
        <w:tc>
          <w:tcPr>
            <w:tcW w:w="1587" w:type="dxa"/>
          </w:tcPr>
          <w:p>
            <w:pPr>
              <w:pStyle w:val="0"/>
              <w:jc w:val="center"/>
            </w:pPr>
            <w:r>
              <w:rPr>
                <w:sz w:val="20"/>
              </w:rPr>
              <w:t xml:space="preserve">3514800,8</w:t>
            </w:r>
          </w:p>
        </w:tc>
      </w:tr>
    </w:tbl>
    <w:p>
      <w:pPr>
        <w:pStyle w:val="0"/>
        <w:jc w:val="both"/>
      </w:pPr>
      <w:r>
        <w:rPr>
          <w:sz w:val="20"/>
        </w:rPr>
        <w:t xml:space="preserve">(п. 8 в ред. </w:t>
      </w:r>
      <w:hyperlink w:history="0" r:id="rId180"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jc w:val="both"/>
      </w:pPr>
      <w:r>
        <w:rPr>
          <w:sz w:val="20"/>
        </w:rPr>
      </w:r>
    </w:p>
    <w:p>
      <w:pPr>
        <w:pStyle w:val="0"/>
        <w:ind w:firstLine="540"/>
        <w:jc w:val="both"/>
      </w:pPr>
      <w:r>
        <w:rPr>
          <w:sz w:val="20"/>
        </w:rPr>
        <w:t xml:space="preserve">9. Ожидаемые результаты реализации подпрограммы 3:</w:t>
      </w:r>
    </w:p>
    <w:p>
      <w:pPr>
        <w:pStyle w:val="0"/>
        <w:spacing w:before="200" w:line-rule="auto"/>
        <w:ind w:firstLine="540"/>
        <w:jc w:val="both"/>
      </w:pPr>
      <w:r>
        <w:rPr>
          <w:sz w:val="20"/>
        </w:rPr>
        <w:t xml:space="preserve">- недопущение случаев материнской смертности до 2030 года;</w:t>
      </w:r>
    </w:p>
    <w:p>
      <w:pPr>
        <w:pStyle w:val="0"/>
        <w:spacing w:before="200" w:line-rule="auto"/>
        <w:ind w:firstLine="540"/>
        <w:jc w:val="both"/>
      </w:pPr>
      <w:r>
        <w:rPr>
          <w:sz w:val="20"/>
        </w:rPr>
        <w:t xml:space="preserve">- поддержание охвата неонатальным скринингом (доля новорожденных, обследованных на врожденные и наследственные заболевания, в общем числе детей, родившихся живыми) на уровне 95,0% до 2030 года;</w:t>
      </w:r>
    </w:p>
    <w:p>
      <w:pPr>
        <w:pStyle w:val="0"/>
        <w:spacing w:before="200" w:line-rule="auto"/>
        <w:ind w:firstLine="540"/>
        <w:jc w:val="both"/>
      </w:pPr>
      <w:r>
        <w:rPr>
          <w:sz w:val="20"/>
        </w:rPr>
        <w:t xml:space="preserve">- снижение уровня неонатальной смертности до 2 человек на 1000 родившихся живыми к 2030 году;</w:t>
      </w:r>
    </w:p>
    <w:p>
      <w:pPr>
        <w:pStyle w:val="0"/>
        <w:spacing w:before="200" w:line-rule="auto"/>
        <w:ind w:firstLine="540"/>
        <w:jc w:val="both"/>
      </w:pPr>
      <w:r>
        <w:rPr>
          <w:sz w:val="20"/>
        </w:rPr>
        <w:t xml:space="preserve">- снижение ранней неонатальной смертности до 2,0 к 2030 году;</w:t>
      </w:r>
    </w:p>
    <w:p>
      <w:pPr>
        <w:pStyle w:val="0"/>
        <w:spacing w:before="200" w:line-rule="auto"/>
        <w:ind w:firstLine="540"/>
        <w:jc w:val="both"/>
      </w:pPr>
      <w:r>
        <w:rPr>
          <w:sz w:val="20"/>
        </w:rPr>
        <w:t xml:space="preserve">- поддержание уровня выживаемости детей, имевших при рождении очень низкую и экстремально низкую массу тела, в акушерском стационаре (доля выживших детей в числе новорожденных, родившихся с очень низкой и экстремально низкой массой тела, в акушерском стационаре) до 89,0 к 2030 году;</w:t>
      </w:r>
    </w:p>
    <w:p>
      <w:pPr>
        <w:pStyle w:val="0"/>
        <w:spacing w:before="200" w:line-rule="auto"/>
        <w:ind w:firstLine="540"/>
        <w:jc w:val="both"/>
      </w:pPr>
      <w:r>
        <w:rPr>
          <w:sz w:val="20"/>
        </w:rPr>
        <w:t xml:space="preserve">- увеличение доли проведения химиопрофилактики передачи ВИЧ-инфекции от матери к ребенку во время беременности до 88,9% к 2030 году;</w:t>
      </w:r>
    </w:p>
    <w:p>
      <w:pPr>
        <w:pStyle w:val="0"/>
        <w:spacing w:before="200" w:line-rule="auto"/>
        <w:ind w:firstLine="540"/>
        <w:jc w:val="both"/>
      </w:pPr>
      <w:r>
        <w:rPr>
          <w:sz w:val="20"/>
        </w:rPr>
        <w:t xml:space="preserve">- снижение числа абортов (на 1000 женщин в возрасте от 15 до 49 лет) до 17,0 к 2030 году.</w:t>
      </w:r>
    </w:p>
    <w:p>
      <w:pPr>
        <w:pStyle w:val="0"/>
      </w:pPr>
      <w:r>
        <w:rPr>
          <w:sz w:val="20"/>
        </w:rPr>
      </w:r>
    </w:p>
    <w:p>
      <w:pPr>
        <w:pStyle w:val="2"/>
        <w:outlineLvl w:val="2"/>
        <w:jc w:val="center"/>
      </w:pPr>
      <w:r>
        <w:rPr>
          <w:sz w:val="20"/>
        </w:rPr>
        <w:t xml:space="preserve">I. Характеристика фактического состояния сферы реализации</w:t>
      </w:r>
    </w:p>
    <w:p>
      <w:pPr>
        <w:pStyle w:val="2"/>
        <w:jc w:val="center"/>
      </w:pPr>
      <w:r>
        <w:rPr>
          <w:sz w:val="20"/>
        </w:rPr>
        <w:t xml:space="preserve">подпрограммы 3 и прогноз развития на перспективу</w:t>
      </w:r>
    </w:p>
    <w:p>
      <w:pPr>
        <w:pStyle w:val="0"/>
      </w:pPr>
      <w:r>
        <w:rPr>
          <w:sz w:val="20"/>
        </w:rPr>
      </w:r>
    </w:p>
    <w:p>
      <w:pPr>
        <w:pStyle w:val="0"/>
        <w:ind w:firstLine="540"/>
        <w:jc w:val="both"/>
      </w:pPr>
      <w:r>
        <w:rPr>
          <w:sz w:val="20"/>
        </w:rPr>
        <w:t xml:space="preserve">В городе Севастополе первичная специализированная акушерско-гинекологическая помощь оказывается в 6 женских консультациях, специализированная (стационарная) - в ГБУЗС ГБ N 5. Гинекологическую помощь оказывают гинекологические отделения ГБУЗС "Городская больница N 1 им. Н.И. Пирогова", ГБУЗС "Городская больница N 4", ГБУЗС "Севастопольская городская больница N 9", родильных домов ГБУЗС ГБ N 5. Акушерско-гинекологический коечный фонд составляет 346 коек. Число акушерских коек - 200, обеспеченность койками для беременных и рожениц - 12,3 на 10000 женщин фертильного возраста; койками патологии беременности - 8,2 на 10000 женщин фертильного возраста.</w:t>
      </w:r>
    </w:p>
    <w:p>
      <w:pPr>
        <w:pStyle w:val="0"/>
        <w:spacing w:before="200" w:line-rule="auto"/>
        <w:ind w:firstLine="540"/>
        <w:jc w:val="both"/>
      </w:pPr>
      <w:r>
        <w:rPr>
          <w:sz w:val="20"/>
        </w:rPr>
        <w:t xml:space="preserve">Число гинекологических коек - 140, обеспеченность койками на 10000 женского населения - 6,3. Средняя занятость койки в 2020 году составляла 297 дней. В рамках структурных преобразований системы оказания медицинской помощи матерям и детям предусматривается дальнейшее совершенствование службы родовспоможения и детства - совершенствование трехуровневой системы оказания медицинской помощи беременным групп риска.</w:t>
      </w:r>
    </w:p>
    <w:p>
      <w:pPr>
        <w:pStyle w:val="0"/>
        <w:spacing w:before="200" w:line-rule="auto"/>
        <w:ind w:firstLine="540"/>
        <w:jc w:val="both"/>
      </w:pPr>
      <w:r>
        <w:rPr>
          <w:sz w:val="20"/>
        </w:rPr>
        <w:t xml:space="preserve">Планируется провести укрепление материально-технической базы ГБУЗС ГБ N 5 в рамках реализации Программы: провести капитальный ремонт и реконструкцию помещений и зданий для организации отделения реанимации новорожденных и отделения патологии новорожденных и недоношенных детей в соответствии с нормативными требованиями, оснастить больницу оборудованием для выхаживания новорожденных с низкой и экстремально низкой массой тела. Дооснащение оборудованием ГБУЗС ГБ N 5 позволит обеспечить предоставление помощи беременным, в том числе беременным средней и высокой степени перинатального и материнского риска, а также при преждевременных родах со сроком беременности до 28 недель, в соответствии с утвержденными порядками.</w:t>
      </w:r>
    </w:p>
    <w:p>
      <w:pPr>
        <w:pStyle w:val="0"/>
        <w:spacing w:before="200" w:line-rule="auto"/>
        <w:ind w:firstLine="540"/>
        <w:jc w:val="both"/>
      </w:pPr>
      <w:r>
        <w:rPr>
          <w:sz w:val="20"/>
        </w:rPr>
        <w:t xml:space="preserve">Планируется продолжить внедрение современных информационных систем в учреждениях детства и родовспоможения.</w:t>
      </w:r>
    </w:p>
    <w:p>
      <w:pPr>
        <w:pStyle w:val="0"/>
        <w:spacing w:before="200" w:line-rule="auto"/>
        <w:ind w:firstLine="540"/>
        <w:jc w:val="both"/>
      </w:pPr>
      <w:r>
        <w:rPr>
          <w:sz w:val="20"/>
        </w:rPr>
        <w:t xml:space="preserve">Продолжается реализация мероприятий по профилактике и снижению количества абортов.</w:t>
      </w:r>
    </w:p>
    <w:p>
      <w:pPr>
        <w:pStyle w:val="0"/>
        <w:spacing w:before="200" w:line-rule="auto"/>
        <w:ind w:firstLine="540"/>
        <w:jc w:val="both"/>
      </w:pPr>
      <w:r>
        <w:rPr>
          <w:sz w:val="20"/>
        </w:rPr>
        <w:t xml:space="preserve">Реализация вышеуказанных мероприятий, направленных на охрану здоровья матерей и детей, позволит улучшить качество и доступность медицинской помощи женщинам и детям, снизить материнскую и младенческую смертность и к 2024 году достигнуть целевых показателей.</w:t>
      </w:r>
    </w:p>
    <w:p>
      <w:pPr>
        <w:pStyle w:val="0"/>
        <w:spacing w:before="200" w:line-rule="auto"/>
        <w:ind w:firstLine="540"/>
        <w:jc w:val="both"/>
      </w:pPr>
      <w:r>
        <w:rPr>
          <w:sz w:val="20"/>
        </w:rPr>
        <w:t xml:space="preserve">Численность детского населения составляет 100541 чел. от 0 до 17 лет включительно, в том числе детей 0 - 15 лет - 90720 чел. (из них до 1 года - 4524 чел.), подростков 15 - 17 лет - 14601 чел.</w:t>
      </w:r>
    </w:p>
    <w:p>
      <w:pPr>
        <w:pStyle w:val="0"/>
        <w:spacing w:before="200" w:line-rule="auto"/>
        <w:ind w:firstLine="540"/>
        <w:jc w:val="both"/>
      </w:pPr>
      <w:r>
        <w:rPr>
          <w:sz w:val="20"/>
        </w:rPr>
        <w:t xml:space="preserve">Общее количество детей-инвалидов на начало 2020 года составило 1338 человек - 183,99 на 10 тыс. детей, в том числе инвалидов-колясочников - 88 детей. Впервые признаны инвалидами 202 ребенка.</w:t>
      </w:r>
    </w:p>
    <w:p>
      <w:pPr>
        <w:pStyle w:val="0"/>
        <w:spacing w:before="200" w:line-rule="auto"/>
        <w:ind w:firstLine="540"/>
        <w:jc w:val="both"/>
      </w:pPr>
      <w:r>
        <w:rPr>
          <w:sz w:val="20"/>
        </w:rPr>
        <w:t xml:space="preserve">Первичная детская инвалидность имеет тенденцию к росту по сравнению с 2014 годом с 23,6 на 10 тыс. детского населения до 27,77.</w:t>
      </w:r>
    </w:p>
    <w:p>
      <w:pPr>
        <w:pStyle w:val="0"/>
        <w:spacing w:before="200" w:line-rule="auto"/>
        <w:ind w:firstLine="540"/>
        <w:jc w:val="both"/>
      </w:pPr>
      <w:r>
        <w:rPr>
          <w:sz w:val="20"/>
        </w:rPr>
        <w:t xml:space="preserve">Для стабилизации уровня инвалидизации детского населения города проводятся своевременное лечение диспансерных детей, реабилитация детей-инвалидов в условиях стационарных отделений, санаторно-курортное лечение.</w:t>
      </w:r>
    </w:p>
    <w:p>
      <w:pPr>
        <w:pStyle w:val="0"/>
        <w:spacing w:before="200" w:line-rule="auto"/>
        <w:ind w:firstLine="540"/>
        <w:jc w:val="both"/>
      </w:pPr>
      <w:r>
        <w:rPr>
          <w:sz w:val="20"/>
        </w:rPr>
        <w:t xml:space="preserve">Мероприятия, направленные на предупреждение детской инвалидности:</w:t>
      </w:r>
    </w:p>
    <w:p>
      <w:pPr>
        <w:pStyle w:val="0"/>
        <w:spacing w:before="200" w:line-rule="auto"/>
        <w:ind w:firstLine="540"/>
        <w:jc w:val="both"/>
      </w:pPr>
      <w:r>
        <w:rPr>
          <w:sz w:val="20"/>
        </w:rPr>
        <w:t xml:space="preserve">- приведение отделения патологии новорожденных в соответствие нормативным требованиям, которое повысит эффективность реабилитации новорожденных детей, прошедших через реанимационное отделение, и маловесных детей при рождении;</w:t>
      </w:r>
    </w:p>
    <w:p>
      <w:pPr>
        <w:pStyle w:val="0"/>
        <w:spacing w:before="200" w:line-rule="auto"/>
        <w:ind w:firstLine="540"/>
        <w:jc w:val="both"/>
      </w:pPr>
      <w:r>
        <w:rPr>
          <w:sz w:val="20"/>
        </w:rPr>
        <w:t xml:space="preserve">- проведение капитального ремонта с реконструкцией, оснащением медицинским оборудованием ГБУЗС ГБ N 5;</w:t>
      </w:r>
    </w:p>
    <w:p>
      <w:pPr>
        <w:pStyle w:val="0"/>
        <w:spacing w:before="200" w:line-rule="auto"/>
        <w:ind w:firstLine="540"/>
        <w:jc w:val="both"/>
      </w:pPr>
      <w:r>
        <w:rPr>
          <w:sz w:val="20"/>
        </w:rPr>
        <w:t xml:space="preserve">- направление детей, нуждающихся в реабилитации, в отделения реабилитации санаторных учреждений Республики Крым и федеральные медицинские учреждения.</w:t>
      </w:r>
    </w:p>
    <w:p>
      <w:pPr>
        <w:pStyle w:val="0"/>
        <w:spacing w:before="200" w:line-rule="auto"/>
        <w:ind w:firstLine="540"/>
        <w:jc w:val="both"/>
      </w:pPr>
      <w:r>
        <w:rPr>
          <w:sz w:val="20"/>
        </w:rPr>
        <w:t xml:space="preserve">Заболеваемость детей инфекциями, управляемыми средствами специфической профилактики, неуклонно снижается и пропорционально зависит от процента иммунной прослойки детского населения.</w:t>
      </w:r>
    </w:p>
    <w:p>
      <w:pPr>
        <w:pStyle w:val="0"/>
        <w:spacing w:before="200" w:line-rule="auto"/>
        <w:ind w:firstLine="540"/>
        <w:jc w:val="both"/>
      </w:pPr>
      <w:r>
        <w:rPr>
          <w:sz w:val="20"/>
        </w:rPr>
        <w:t xml:space="preserve">Охват иммунизацией детей планируется довести до 95%.</w:t>
      </w:r>
    </w:p>
    <w:p>
      <w:pPr>
        <w:pStyle w:val="0"/>
        <w:spacing w:before="200" w:line-rule="auto"/>
        <w:ind w:firstLine="540"/>
        <w:jc w:val="both"/>
      </w:pPr>
      <w:r>
        <w:rPr>
          <w:sz w:val="20"/>
        </w:rPr>
        <w:t xml:space="preserve">Коэффициент рождаемости в 2020 году составил 9,43 (в 2019 году - 9,64, в 2018 году - 10,3, 2017 году - 11,3, в 2016 году - 13,0, в 2015 году - 13,7). Показатели рождаемости снижаются на 5 - 8% в год. Аналогичный показатель в Российской Федерации за 2020 год составил 9,8; в Южном федеральном округе (далее - ЮФО) - 9,5; в Республике Крым - 9,9.</w:t>
      </w:r>
    </w:p>
    <w:p>
      <w:pPr>
        <w:pStyle w:val="0"/>
        <w:spacing w:before="200" w:line-rule="auto"/>
        <w:ind w:firstLine="540"/>
        <w:jc w:val="both"/>
      </w:pPr>
      <w:r>
        <w:rPr>
          <w:sz w:val="20"/>
        </w:rPr>
        <w:t xml:space="preserve">В 2020 году случаи материнской смертности не регистрировались.</w:t>
      </w:r>
    </w:p>
    <w:p>
      <w:pPr>
        <w:pStyle w:val="0"/>
        <w:spacing w:before="200" w:line-rule="auto"/>
        <w:ind w:firstLine="540"/>
        <w:jc w:val="both"/>
      </w:pPr>
      <w:r>
        <w:rPr>
          <w:sz w:val="20"/>
        </w:rPr>
        <w:t xml:space="preserve">Показатель младенческой смертности на 1000 родившихся живыми в 2020 году составил 3,5, что выше на 2,94% аналогичного показателя за 2019 год (3,4). Всего за 2020 год умерло 15 детей до 1 года (2016 год - 15). Основными причинами младенческой смертности являлись врожденные пороки развития, заболевания и острые состояния, возникшие в течение перинатального периода.</w:t>
      </w:r>
    </w:p>
    <w:p>
      <w:pPr>
        <w:pStyle w:val="0"/>
        <w:spacing w:before="200" w:line-rule="auto"/>
        <w:ind w:firstLine="540"/>
        <w:jc w:val="both"/>
      </w:pPr>
      <w:r>
        <w:rPr>
          <w:sz w:val="20"/>
        </w:rPr>
        <w:t xml:space="preserve">Аналогичный показатель в Российской Федерации составил 4,5; в ЮФО - 4,6; в Республике Крым - 5,4.</w:t>
      </w:r>
    </w:p>
    <w:p>
      <w:pPr>
        <w:pStyle w:val="0"/>
        <w:spacing w:before="200" w:line-rule="auto"/>
        <w:ind w:firstLine="540"/>
        <w:jc w:val="both"/>
      </w:pPr>
      <w:r>
        <w:rPr>
          <w:sz w:val="20"/>
        </w:rPr>
        <w:t xml:space="preserve">Показатель детской смертности (от 0 до 17 лет) в 2020 году составил 29,13 на 100 тыс. детей, что ниже аналогичного показателя 2019 года на 28,5% (40,74 на 100 тыс. детей).</w:t>
      </w:r>
    </w:p>
    <w:p>
      <w:pPr>
        <w:pStyle w:val="0"/>
        <w:spacing w:before="200" w:line-rule="auto"/>
        <w:ind w:firstLine="540"/>
        <w:jc w:val="both"/>
      </w:pPr>
      <w:r>
        <w:rPr>
          <w:sz w:val="20"/>
        </w:rPr>
        <w:t xml:space="preserve">Основными задачами по достижению целевых показателей по снижению младенческой смертности являются:</w:t>
      </w:r>
    </w:p>
    <w:p>
      <w:pPr>
        <w:pStyle w:val="0"/>
        <w:spacing w:before="200" w:line-rule="auto"/>
        <w:ind w:firstLine="540"/>
        <w:jc w:val="both"/>
      </w:pPr>
      <w:r>
        <w:rPr>
          <w:sz w:val="20"/>
        </w:rPr>
        <w:t xml:space="preserve">1. Мероприятия по информированию населения о необходимости ранней явки в женские консультации при беременности:</w:t>
      </w:r>
    </w:p>
    <w:p>
      <w:pPr>
        <w:pStyle w:val="0"/>
        <w:spacing w:before="200" w:line-rule="auto"/>
        <w:ind w:firstLine="540"/>
        <w:jc w:val="both"/>
      </w:pPr>
      <w:r>
        <w:rPr>
          <w:sz w:val="20"/>
        </w:rPr>
        <w:t xml:space="preserve">- пропаганда в СМИ необходимости ранней явки в женские консультации при беременности, раннего приема витаминно-минеральных комплексов для профилактики ВПР;</w:t>
      </w:r>
    </w:p>
    <w:p>
      <w:pPr>
        <w:pStyle w:val="0"/>
        <w:spacing w:before="200" w:line-rule="auto"/>
        <w:ind w:firstLine="540"/>
        <w:jc w:val="both"/>
      </w:pPr>
      <w:r>
        <w:rPr>
          <w:sz w:val="20"/>
        </w:rPr>
        <w:t xml:space="preserve">- внедрение подворовых обходов в сельской местности в целях выявления беременных на ранних сроках.</w:t>
      </w:r>
    </w:p>
    <w:p>
      <w:pPr>
        <w:pStyle w:val="0"/>
        <w:spacing w:before="200" w:line-rule="auto"/>
        <w:ind w:firstLine="540"/>
        <w:jc w:val="both"/>
      </w:pPr>
      <w:r>
        <w:rPr>
          <w:sz w:val="20"/>
        </w:rPr>
        <w:t xml:space="preserve">2. Мероприятия, направленные на улучшение выявляемости врожденных аномалий развития:</w:t>
      </w:r>
    </w:p>
    <w:p>
      <w:pPr>
        <w:pStyle w:val="0"/>
        <w:spacing w:before="200" w:line-rule="auto"/>
        <w:ind w:firstLine="540"/>
        <w:jc w:val="both"/>
      </w:pPr>
      <w:r>
        <w:rPr>
          <w:sz w:val="20"/>
        </w:rPr>
        <w:t xml:space="preserve">- организация цикла обучения по пренатальной диагностике, обучение на рабочем месте для врачей ультразвуковой диагностики;</w:t>
      </w:r>
    </w:p>
    <w:p>
      <w:pPr>
        <w:pStyle w:val="0"/>
        <w:spacing w:before="200" w:line-rule="auto"/>
        <w:ind w:firstLine="540"/>
        <w:jc w:val="both"/>
      </w:pPr>
      <w:r>
        <w:rPr>
          <w:sz w:val="20"/>
        </w:rPr>
        <w:t xml:space="preserve">- организация в женских консультациях УЗИ-обследования беременных в день обращения при поздней постановке на учет;</w:t>
      </w:r>
    </w:p>
    <w:p>
      <w:pPr>
        <w:pStyle w:val="0"/>
        <w:spacing w:before="200" w:line-rule="auto"/>
        <w:ind w:firstLine="540"/>
        <w:jc w:val="both"/>
      </w:pPr>
      <w:r>
        <w:rPr>
          <w:sz w:val="20"/>
        </w:rPr>
        <w:t xml:space="preserve">- контроль за маршрутизацией беременных в соответствии с группами риска;</w:t>
      </w:r>
    </w:p>
    <w:p>
      <w:pPr>
        <w:pStyle w:val="0"/>
        <w:spacing w:before="200" w:line-rule="auto"/>
        <w:ind w:firstLine="540"/>
        <w:jc w:val="both"/>
      </w:pPr>
      <w:r>
        <w:rPr>
          <w:sz w:val="20"/>
        </w:rPr>
        <w:t xml:space="preserve">- ежедневный мониторинг родов, не соответствующих маршрутизации, в медицинских организациях;</w:t>
      </w:r>
    </w:p>
    <w:p>
      <w:pPr>
        <w:pStyle w:val="0"/>
        <w:spacing w:before="200" w:line-rule="auto"/>
        <w:ind w:firstLine="540"/>
        <w:jc w:val="both"/>
      </w:pPr>
      <w:r>
        <w:rPr>
          <w:sz w:val="20"/>
        </w:rPr>
        <w:t xml:space="preserve">- ежедневный мониторинг новорожденных, находящихся в отделении реанимации и интенсивной терапии (далее - ОРИТ);</w:t>
      </w:r>
    </w:p>
    <w:p>
      <w:pPr>
        <w:pStyle w:val="0"/>
        <w:spacing w:before="200" w:line-rule="auto"/>
        <w:ind w:firstLine="540"/>
        <w:jc w:val="both"/>
      </w:pPr>
      <w:r>
        <w:rPr>
          <w:sz w:val="20"/>
        </w:rPr>
        <w:t xml:space="preserve">- работа постоянной комиссии по рассмотрению и анализу случаев младенческой смертности.</w:t>
      </w:r>
    </w:p>
    <w:p>
      <w:pPr>
        <w:pStyle w:val="0"/>
        <w:spacing w:before="200" w:line-rule="auto"/>
        <w:ind w:firstLine="540"/>
        <w:jc w:val="both"/>
      </w:pPr>
      <w:r>
        <w:rPr>
          <w:sz w:val="20"/>
        </w:rPr>
        <w:t xml:space="preserve">3. Совершенствование навыков проведения первичной реанимации новорожденных:</w:t>
      </w:r>
    </w:p>
    <w:p>
      <w:pPr>
        <w:pStyle w:val="0"/>
        <w:spacing w:before="200" w:line-rule="auto"/>
        <w:ind w:firstLine="540"/>
        <w:jc w:val="both"/>
      </w:pPr>
      <w:r>
        <w:rPr>
          <w:sz w:val="20"/>
        </w:rPr>
        <w:t xml:space="preserve">- организация цикла обучения врачей и фельдшеров скорой медицинской помощи приемам первичной реанимационной помощи новорожденным;</w:t>
      </w:r>
    </w:p>
    <w:p>
      <w:pPr>
        <w:pStyle w:val="0"/>
        <w:spacing w:before="200" w:line-rule="auto"/>
        <w:ind w:firstLine="540"/>
        <w:jc w:val="both"/>
      </w:pPr>
      <w:r>
        <w:rPr>
          <w:sz w:val="20"/>
        </w:rPr>
        <w:t xml:space="preserve">- мастер-класс для сотрудников родовспомогательных учреждений по навыкам первичной реанимации новорожденных.</w:t>
      </w:r>
    </w:p>
    <w:p>
      <w:pPr>
        <w:pStyle w:val="0"/>
        <w:spacing w:before="200" w:line-rule="auto"/>
        <w:ind w:firstLine="540"/>
        <w:jc w:val="both"/>
      </w:pPr>
      <w:r>
        <w:rPr>
          <w:sz w:val="20"/>
        </w:rPr>
        <w:t xml:space="preserve">4. Аудит качества и безопасности медицинской деятельности при оказании медицинской помощи новорожденным и детям первого года жизни:</w:t>
      </w:r>
    </w:p>
    <w:p>
      <w:pPr>
        <w:pStyle w:val="0"/>
        <w:spacing w:before="200" w:line-rule="auto"/>
        <w:ind w:firstLine="540"/>
        <w:jc w:val="both"/>
      </w:pPr>
      <w:r>
        <w:rPr>
          <w:sz w:val="20"/>
        </w:rPr>
        <w:t xml:space="preserve">- аудит исполнения порядков оказания медицинской помощи по профилям "неонатология", "педиатрия", "детская анестезиология и реанимация";</w:t>
      </w:r>
    </w:p>
    <w:p>
      <w:pPr>
        <w:pStyle w:val="0"/>
        <w:spacing w:before="200" w:line-rule="auto"/>
        <w:ind w:firstLine="540"/>
        <w:jc w:val="both"/>
      </w:pPr>
      <w:r>
        <w:rPr>
          <w:sz w:val="20"/>
        </w:rPr>
        <w:t xml:space="preserve">- аудит исполнения стандартов и клинических протоколов по лечению новорожденных;</w:t>
      </w:r>
    </w:p>
    <w:p>
      <w:pPr>
        <w:pStyle w:val="0"/>
        <w:spacing w:before="200" w:line-rule="auto"/>
        <w:ind w:firstLine="540"/>
        <w:jc w:val="both"/>
      </w:pPr>
      <w:r>
        <w:rPr>
          <w:sz w:val="20"/>
        </w:rPr>
        <w:t xml:space="preserve">- проведение патолого-анатомических конференций по младенческой смертности;</w:t>
      </w:r>
    </w:p>
    <w:p>
      <w:pPr>
        <w:pStyle w:val="0"/>
        <w:spacing w:before="200" w:line-rule="auto"/>
        <w:ind w:firstLine="540"/>
        <w:jc w:val="both"/>
      </w:pPr>
      <w:r>
        <w:rPr>
          <w:sz w:val="20"/>
        </w:rPr>
        <w:t xml:space="preserve">- проведение совещаний педиатров и общества неонатологов по актуальным вопросам оказания медицинской помощи новорожденным и детям первого года жизни.</w:t>
      </w:r>
    </w:p>
    <w:p>
      <w:pPr>
        <w:pStyle w:val="0"/>
        <w:spacing w:before="200" w:line-rule="auto"/>
        <w:ind w:firstLine="540"/>
        <w:jc w:val="both"/>
      </w:pPr>
      <w:r>
        <w:rPr>
          <w:sz w:val="20"/>
        </w:rPr>
        <w:t xml:space="preserve">В результате выполнения плана мероприятий планируется добиться снижения младенческой смертности с 5,3 человека в 2017 году до 3,1 человека на 1000 родившихся живыми в 2024 году.</w:t>
      </w:r>
    </w:p>
    <w:p>
      <w:pPr>
        <w:pStyle w:val="0"/>
        <w:spacing w:before="200" w:line-rule="auto"/>
        <w:ind w:firstLine="540"/>
        <w:jc w:val="both"/>
      </w:pPr>
      <w:r>
        <w:rPr>
          <w:sz w:val="20"/>
        </w:rPr>
        <w:t xml:space="preserve">Родильный дом N 1 - это отдельно стоящее 4-этажное здание площадью 3995,0 кв. м 1968 года постройки, расположенное по адресу: пр-т Гагарина, 17в. В родильном доме развернуто 120 коек: акушерско-обсервационное отделение на 20 коек, отделение патологии беременности на 40 коек, акушерско-физиологическое отделение на 35 коек, гинекология (дневной стационар) на 25 коек.</w:t>
      </w:r>
    </w:p>
    <w:p>
      <w:pPr>
        <w:pStyle w:val="0"/>
        <w:spacing w:before="200" w:line-rule="auto"/>
        <w:ind w:firstLine="540"/>
        <w:jc w:val="both"/>
      </w:pPr>
      <w:r>
        <w:rPr>
          <w:sz w:val="20"/>
        </w:rPr>
        <w:t xml:space="preserve">Родильный дом N 2 - это здание, расположенное по адресу: пр-т Генерала Острякова, 211а, на одной площадке с многопрофильной детской больницей и консультативной поликлиникой, 1983 года постройки. В родильном доме развернуто 156 коек: акушерско-обсервационное отделение на 25 коек, отделение патологии беременности на 40 коек, акушерско-физиологическое отделение на 40 коек, гинекология на 45 коек, реанимационное отделение для взрослых на 6 коек.</w:t>
      </w:r>
    </w:p>
    <w:p>
      <w:pPr>
        <w:pStyle w:val="0"/>
        <w:spacing w:before="200" w:line-rule="auto"/>
        <w:ind w:firstLine="540"/>
        <w:jc w:val="both"/>
      </w:pPr>
      <w:r>
        <w:rPr>
          <w:sz w:val="20"/>
        </w:rPr>
        <w:t xml:space="preserve">Оба родильных дома не соответствуют современным требованиям СанПиН. Материально-техническая база ГБУЗС ГБ N 5, в том числе оснащенность медицинским оборудованием, является устаревшей и не соответствует порядкам оказания медицинской помощи.</w:t>
      </w:r>
    </w:p>
    <w:p>
      <w:pPr>
        <w:pStyle w:val="0"/>
        <w:spacing w:before="200" w:line-rule="auto"/>
        <w:ind w:firstLine="540"/>
        <w:jc w:val="both"/>
      </w:pPr>
      <w:r>
        <w:rPr>
          <w:sz w:val="20"/>
        </w:rPr>
        <w:t xml:space="preserve">Общий акушерско-гинекологический (круглосуточный) коечный фонд города Севастополя составляет 391 койку. Коек круглосуточного гинекологического стационара - 140 (6,3 на 10000 женского населения). Общее число коек акушерского профиля составляет 200, из них для беременных и рожениц - 60% (120 коек), патологии беременности - 40% (80 коек). За последний год коечный фонд службы родовспоможения увеличился на 5% (10 коек), уменьшилось число коек патологии беременности на 5,9% (5 коек).</w:t>
      </w:r>
    </w:p>
    <w:p>
      <w:pPr>
        <w:pStyle w:val="0"/>
        <w:spacing w:before="200" w:line-rule="auto"/>
        <w:ind w:firstLine="540"/>
        <w:jc w:val="both"/>
      </w:pPr>
      <w:r>
        <w:rPr>
          <w:sz w:val="20"/>
        </w:rPr>
        <w:t xml:space="preserve">В настоящий момент требуются повышение эффективности первичной медико-санитарной помощи населению, разработка и внедрение механизмов стимулирования поликлинического звена на раннее выявление заболеваний, предотвращение осложнений, модернизация существующих медицинских организаций и их подразделений, формирование единых принципов маршрутизации потоков пациентов, расширение стационарозамещающих и выездных методов работы, совершенствование принципов взаимодействия поликлинических подразделений со стационарными учреждениями и подразделениями скорой медицинской помощи.</w:t>
      </w:r>
    </w:p>
    <w:p>
      <w:pPr>
        <w:pStyle w:val="0"/>
      </w:pPr>
      <w:r>
        <w:rPr>
          <w:sz w:val="20"/>
        </w:rPr>
      </w:r>
    </w:p>
    <w:p>
      <w:pPr>
        <w:pStyle w:val="2"/>
        <w:outlineLvl w:val="2"/>
        <w:jc w:val="center"/>
      </w:pPr>
      <w:r>
        <w:rPr>
          <w:sz w:val="20"/>
        </w:rPr>
        <w:t xml:space="preserve">II. Приоритеты, цель, задачи и показатели (целевые</w:t>
      </w:r>
    </w:p>
    <w:p>
      <w:pPr>
        <w:pStyle w:val="2"/>
        <w:jc w:val="center"/>
      </w:pPr>
      <w:r>
        <w:rPr>
          <w:sz w:val="20"/>
        </w:rPr>
        <w:t xml:space="preserve">индикаторы), результаты, этапы и сроки реализации</w:t>
      </w:r>
    </w:p>
    <w:p>
      <w:pPr>
        <w:pStyle w:val="2"/>
        <w:jc w:val="center"/>
      </w:pPr>
      <w:r>
        <w:rPr>
          <w:sz w:val="20"/>
        </w:rPr>
        <w:t xml:space="preserve">подпрограммы 3</w:t>
      </w:r>
    </w:p>
    <w:p>
      <w:pPr>
        <w:pStyle w:val="0"/>
      </w:pPr>
      <w:r>
        <w:rPr>
          <w:sz w:val="20"/>
        </w:rPr>
      </w:r>
    </w:p>
    <w:p>
      <w:pPr>
        <w:pStyle w:val="0"/>
        <w:ind w:firstLine="540"/>
        <w:jc w:val="both"/>
      </w:pPr>
      <w:r>
        <w:rPr>
          <w:sz w:val="20"/>
        </w:rPr>
        <w:t xml:space="preserve">Основные приоритеты в области охраны здоровья матери и ребенка направлены на повышение эффективности функционирования системы здравоохранения, улучшение состояния здоровья детей и матерей, снижение смертности от управляемых причин и предупреждение распространения социально значимых заболеваний, формирование условий для развития здорового образа жизни.</w:t>
      </w:r>
    </w:p>
    <w:p>
      <w:pPr>
        <w:pStyle w:val="0"/>
        <w:spacing w:before="200" w:line-rule="auto"/>
        <w:ind w:firstLine="540"/>
        <w:jc w:val="both"/>
      </w:pPr>
      <w:r>
        <w:rPr>
          <w:sz w:val="20"/>
        </w:rPr>
        <w:t xml:space="preserve">Целью реализации подпрограммы 3 является повышение эффективности службы родовспоможения и детства.</w:t>
      </w:r>
    </w:p>
    <w:p>
      <w:pPr>
        <w:pStyle w:val="0"/>
        <w:spacing w:before="200" w:line-rule="auto"/>
        <w:ind w:firstLine="540"/>
        <w:jc w:val="both"/>
      </w:pPr>
      <w:r>
        <w:rPr>
          <w:sz w:val="20"/>
        </w:rPr>
        <w:t xml:space="preserve">Задачи подпрограммы 3:</w:t>
      </w:r>
    </w:p>
    <w:p>
      <w:pPr>
        <w:pStyle w:val="0"/>
        <w:spacing w:before="200" w:line-rule="auto"/>
        <w:ind w:firstLine="540"/>
        <w:jc w:val="both"/>
      </w:pPr>
      <w:r>
        <w:rPr>
          <w:sz w:val="20"/>
        </w:rPr>
        <w:t xml:space="preserve">- улучшение качества оказания специализированной и высокотехнологичной медицинской помощи матерям и детям;</w:t>
      </w:r>
    </w:p>
    <w:p>
      <w:pPr>
        <w:pStyle w:val="0"/>
        <w:spacing w:before="200" w:line-rule="auto"/>
        <w:ind w:firstLine="540"/>
        <w:jc w:val="both"/>
      </w:pPr>
      <w:r>
        <w:rPr>
          <w:sz w:val="20"/>
        </w:rPr>
        <w:t xml:space="preserve">- улучшение качества оказания медицинской помощи женщинам фертильного возраста посредством переоснащения женских консультаций медицинским оборудованием в соответствии с порядком оказания медицинской помощи по профилю "акушерство и гинекология (за исключением использования вспомогательных репродуктивных технологий)";</w:t>
      </w:r>
    </w:p>
    <w:p>
      <w:pPr>
        <w:pStyle w:val="0"/>
        <w:spacing w:before="200" w:line-rule="auto"/>
        <w:ind w:firstLine="540"/>
        <w:jc w:val="both"/>
      </w:pPr>
      <w:r>
        <w:rPr>
          <w:sz w:val="20"/>
        </w:rPr>
        <w:t xml:space="preserve">- совершенствование системы оказания амбулаторной акушерско-гинекологической помощи.</w:t>
      </w:r>
    </w:p>
    <w:p>
      <w:pPr>
        <w:pStyle w:val="0"/>
        <w:spacing w:before="200" w:line-rule="auto"/>
        <w:ind w:firstLine="540"/>
        <w:jc w:val="both"/>
      </w:pPr>
      <w:hyperlink w:history="0" w:anchor="P2921" w:tooltip="Сведения о показателях (индикаторах) государственной">
        <w:r>
          <w:rPr>
            <w:sz w:val="20"/>
            <w:color w:val="0000ff"/>
          </w:rPr>
          <w:t xml:space="preserve">Сведения</w:t>
        </w:r>
      </w:hyperlink>
      <w:r>
        <w:rPr>
          <w:sz w:val="20"/>
        </w:rPr>
        <w:t xml:space="preserve"> о целевых показателях (индикаторах) подпрограммы 3 представлены в приложении N 1 к Программе.</w:t>
      </w:r>
    </w:p>
    <w:p>
      <w:pPr>
        <w:pStyle w:val="0"/>
        <w:spacing w:before="200" w:line-rule="auto"/>
        <w:ind w:firstLine="540"/>
        <w:jc w:val="both"/>
      </w:pPr>
      <w:r>
        <w:rPr>
          <w:sz w:val="20"/>
        </w:rPr>
        <w:t xml:space="preserve">Срок реализации подпрограммы 3: с 2022 по 2030 год с учетом поставленных задач.</w:t>
      </w:r>
    </w:p>
    <w:p>
      <w:pPr>
        <w:pStyle w:val="0"/>
        <w:ind w:firstLine="540"/>
        <w:jc w:val="both"/>
      </w:pPr>
      <w:r>
        <w:rPr>
          <w:sz w:val="20"/>
        </w:rPr>
      </w:r>
    </w:p>
    <w:p>
      <w:pPr>
        <w:pStyle w:val="2"/>
        <w:outlineLvl w:val="2"/>
        <w:jc w:val="center"/>
      </w:pPr>
      <w:r>
        <w:rPr>
          <w:sz w:val="20"/>
        </w:rPr>
        <w:t xml:space="preserve">III. Характеристика основных мероприятий подпрограммы 3</w:t>
      </w:r>
    </w:p>
    <w:p>
      <w:pPr>
        <w:pStyle w:val="0"/>
        <w:ind w:firstLine="540"/>
        <w:jc w:val="both"/>
      </w:pPr>
      <w:r>
        <w:rPr>
          <w:sz w:val="20"/>
        </w:rPr>
      </w:r>
    </w:p>
    <w:p>
      <w:pPr>
        <w:pStyle w:val="0"/>
        <w:ind w:firstLine="540"/>
        <w:jc w:val="both"/>
      </w:pPr>
      <w:r>
        <w:rPr>
          <w:sz w:val="20"/>
        </w:rPr>
        <w:t xml:space="preserve">Для достижения цели подпрограммы 3 в соответствии с основными направлениями ее реализации запланировано выполнение следующих мероприятий:</w:t>
      </w:r>
    </w:p>
    <w:p>
      <w:pPr>
        <w:pStyle w:val="0"/>
        <w:spacing w:before="200" w:line-rule="auto"/>
        <w:ind w:firstLine="540"/>
        <w:jc w:val="both"/>
      </w:pPr>
      <w:r>
        <w:rPr>
          <w:sz w:val="20"/>
        </w:rPr>
        <w:t xml:space="preserve">- по обеспечению детей, находящихся на диспансерном учете в ГБУЗС "Севастопольский противотуберкулезный диспансер", путевками для санаторно-курортного лечения;</w:t>
      </w:r>
    </w:p>
    <w:p>
      <w:pPr>
        <w:pStyle w:val="0"/>
        <w:spacing w:before="200" w:line-rule="auto"/>
        <w:ind w:firstLine="540"/>
        <w:jc w:val="both"/>
      </w:pPr>
      <w:r>
        <w:rPr>
          <w:sz w:val="20"/>
        </w:rPr>
        <w:t xml:space="preserve">- обеспечению полноценным питанием беременных женщин, кормящих матерей, а также детей в возрасте до трех лет;</w:t>
      </w:r>
    </w:p>
    <w:p>
      <w:pPr>
        <w:pStyle w:val="0"/>
        <w:spacing w:before="200" w:line-rule="auto"/>
        <w:ind w:firstLine="540"/>
        <w:jc w:val="both"/>
      </w:pPr>
      <w:r>
        <w:rPr>
          <w:sz w:val="20"/>
        </w:rPr>
        <w:t xml:space="preserve">- предоставлению подарочного комплекта "Подарок новорожденному" в городе Севастополе;</w:t>
      </w:r>
    </w:p>
    <w:p>
      <w:pPr>
        <w:pStyle w:val="0"/>
        <w:spacing w:before="200" w:line-rule="auto"/>
        <w:ind w:firstLine="540"/>
        <w:jc w:val="both"/>
      </w:pPr>
      <w:r>
        <w:rPr>
          <w:sz w:val="20"/>
        </w:rPr>
        <w:t xml:space="preserve">- охвату неонатальным скринингом (доля новорожденных, обследованных на врожденные и наследственные заболевания, в общем числе детей, родившихся живыми), в соответствии с региональной </w:t>
      </w:r>
      <w:hyperlink w:history="0" w:anchor="P45280" w:tooltip="Региональная программа">
        <w:r>
          <w:rPr>
            <w:sz w:val="20"/>
            <w:color w:val="0000ff"/>
          </w:rPr>
          <w:t xml:space="preserve">программой</w:t>
        </w:r>
      </w:hyperlink>
      <w:r>
        <w:rPr>
          <w:sz w:val="20"/>
        </w:rPr>
        <w:t xml:space="preserve"> "Обеспечение расширенного неонатального скрининга" (Приложение N 16 к Программе);</w:t>
      </w:r>
    </w:p>
    <w:p>
      <w:pPr>
        <w:pStyle w:val="0"/>
        <w:spacing w:before="200" w:line-rule="auto"/>
        <w:ind w:firstLine="540"/>
        <w:jc w:val="both"/>
      </w:pPr>
      <w:r>
        <w:rPr>
          <w:sz w:val="20"/>
        </w:rPr>
        <w:t xml:space="preserve">- оказанию государственными учреждениями здравоохранения медицинской помощи матерям и детям.</w:t>
      </w:r>
    </w:p>
    <w:p>
      <w:pPr>
        <w:pStyle w:val="0"/>
        <w:spacing w:before="200" w:line-rule="auto"/>
        <w:ind w:firstLine="540"/>
        <w:jc w:val="both"/>
      </w:pPr>
      <w:r>
        <w:rPr>
          <w:sz w:val="20"/>
        </w:rPr>
        <w:t xml:space="preserve">Мероприятия подпрограммы 3 направлены на совершенствование оказания специализированной и высокотехнологичной медицинской помощи в соответствии с порядками оказания медицинской помощи женщинам и детям, утвержденными приказами Министерства здравоохранения Российской Федерации от 20.10.2020 </w:t>
      </w:r>
      <w:hyperlink w:history="0" r:id="rId181" w:tooltip="Приказ Минздрава России от 20.10.2020 N 1130н &quot;Об утверждении Порядка оказания медицинской помощи по профилю &quot;акушерство и гинекология&quot; (Зарегистрировано в Минюсте России 12.11.2020 N 60869) {КонсультантПлюс}">
        <w:r>
          <w:rPr>
            <w:sz w:val="20"/>
            <w:color w:val="0000ff"/>
          </w:rPr>
          <w:t xml:space="preserve">N 1130н</w:t>
        </w:r>
      </w:hyperlink>
      <w:r>
        <w:rPr>
          <w:sz w:val="20"/>
        </w:rPr>
        <w:t xml:space="preserve"> "Об утверждении Порядка оказания медицинской помощи по профилю "акушерство и гинекология", от 31.07.2020 </w:t>
      </w:r>
      <w:hyperlink w:history="0" r:id="rId182" w:tooltip="Приказ Минздрава России от 31.07.2020 N 803н &quot;О порядке использования вспомогательных репродуктивных технологий, противопоказаниях и ограничениях к их применению&quot; (Зарегистрировано в Минюсте России 19.10.2020 N 60457) {КонсультантПлюс}">
        <w:r>
          <w:rPr>
            <w:sz w:val="20"/>
            <w:color w:val="0000ff"/>
          </w:rPr>
          <w:t xml:space="preserve">N 803н</w:t>
        </w:r>
      </w:hyperlink>
      <w:r>
        <w:rPr>
          <w:sz w:val="20"/>
        </w:rPr>
        <w:t xml:space="preserve"> "О Порядке использования вспомогательных репродуктивных технологий, противопоказаниях и ограничениях к их применению", от 15.11.2012 </w:t>
      </w:r>
      <w:hyperlink w:history="0" r:id="rId183" w:tooltip="Приказ Минздрава России от 15.11.2012 N 921н &quot;Об утверждении Порядка оказания медицинской помощи по профилю &quot;неонатология&quot; (Зарегистрировано в Минюсте России 25.12.2012 N 26377) {КонсультантПлюс}">
        <w:r>
          <w:rPr>
            <w:sz w:val="20"/>
            <w:color w:val="0000ff"/>
          </w:rPr>
          <w:t xml:space="preserve">N 921н</w:t>
        </w:r>
      </w:hyperlink>
      <w:r>
        <w:rPr>
          <w:sz w:val="20"/>
        </w:rPr>
        <w:t xml:space="preserve"> "Об утверждении Порядка оказания медицинской помощи по профилю "неонатология", от 12.11.2012 </w:t>
      </w:r>
      <w:hyperlink w:history="0" r:id="rId184" w:tooltip="Приказ Минздрава России от 12.11.2012 N 909н (ред. от 09.07.2013) &quot;Об утверждении Порядка оказания медицинской помощи детям по профилю &quot;анестезиология и реаниматология&quot; (Зарегистрировано в Минюсте России 29.12.2012 N 26514) {КонсультантПлюс}">
        <w:r>
          <w:rPr>
            <w:sz w:val="20"/>
            <w:color w:val="0000ff"/>
          </w:rPr>
          <w:t xml:space="preserve">N 909н</w:t>
        </w:r>
      </w:hyperlink>
      <w:r>
        <w:rPr>
          <w:sz w:val="20"/>
        </w:rPr>
        <w:t xml:space="preserve"> "Об утверждении Порядка оказания медицинской помощи детям по профилю "анестезиология и реаниматология", от 31.10.2012 </w:t>
      </w:r>
      <w:hyperlink w:history="0" r:id="rId185" w:tooltip="Приказ Минздрава России от 31.10.2012 N 562н &quot;Об утверждении Порядка оказания медицинской помощи по профилю &quot;детская хирургия&quot; (Зарегистрировано в Минюсте России 17.12.2012 N 26159) {КонсультантПлюс}">
        <w:r>
          <w:rPr>
            <w:sz w:val="20"/>
            <w:color w:val="0000ff"/>
          </w:rPr>
          <w:t xml:space="preserve">N 562н</w:t>
        </w:r>
      </w:hyperlink>
      <w:r>
        <w:rPr>
          <w:sz w:val="20"/>
        </w:rPr>
        <w:t xml:space="preserve"> "Об утверждении Порядка оказания медицинской помощи по профилю "детская хирургия".</w:t>
      </w:r>
    </w:p>
    <w:p>
      <w:pPr>
        <w:pStyle w:val="0"/>
        <w:spacing w:before="200" w:line-rule="auto"/>
        <w:ind w:firstLine="540"/>
        <w:jc w:val="both"/>
      </w:pPr>
      <w:r>
        <w:rPr>
          <w:sz w:val="20"/>
        </w:rPr>
        <w:t xml:space="preserve">Общий </w:t>
      </w:r>
      <w:hyperlink w:history="0" w:anchor="P4719" w:tooltip="Перечень основных мероприятий государственной программы">
        <w:r>
          <w:rPr>
            <w:sz w:val="20"/>
            <w:color w:val="0000ff"/>
          </w:rPr>
          <w:t xml:space="preserve">перечень</w:t>
        </w:r>
      </w:hyperlink>
      <w:r>
        <w:rPr>
          <w:sz w:val="20"/>
        </w:rPr>
        <w:t xml:space="preserve"> мероприятий подпрограммы 3 представлен в приложении N 2 к Программе.</w:t>
      </w:r>
    </w:p>
    <w:p>
      <w:pPr>
        <w:pStyle w:val="0"/>
        <w:ind w:firstLine="540"/>
        <w:jc w:val="both"/>
      </w:pPr>
      <w:r>
        <w:rPr>
          <w:sz w:val="20"/>
        </w:rPr>
      </w:r>
    </w:p>
    <w:p>
      <w:pPr>
        <w:pStyle w:val="2"/>
        <w:outlineLvl w:val="2"/>
        <w:jc w:val="center"/>
      </w:pPr>
      <w:r>
        <w:rPr>
          <w:sz w:val="20"/>
        </w:rPr>
        <w:t xml:space="preserve">IV. Характеристика мер государственного и правового</w:t>
      </w:r>
    </w:p>
    <w:p>
      <w:pPr>
        <w:pStyle w:val="2"/>
        <w:jc w:val="center"/>
      </w:pPr>
      <w:r>
        <w:rPr>
          <w:sz w:val="20"/>
        </w:rPr>
        <w:t xml:space="preserve">регулирования подпрограммы 3</w:t>
      </w:r>
    </w:p>
    <w:p>
      <w:pPr>
        <w:pStyle w:val="0"/>
        <w:ind w:firstLine="540"/>
        <w:jc w:val="both"/>
      </w:pPr>
      <w:r>
        <w:rPr>
          <w:sz w:val="20"/>
        </w:rPr>
      </w:r>
    </w:p>
    <w:p>
      <w:pPr>
        <w:pStyle w:val="0"/>
        <w:ind w:firstLine="540"/>
        <w:jc w:val="both"/>
      </w:pPr>
      <w:r>
        <w:rPr>
          <w:sz w:val="20"/>
        </w:rPr>
        <w:t xml:space="preserve">Государственное и правовое регулирование подпрограммы 3 осуществляется согласно </w:t>
      </w:r>
      <w:hyperlink w:history="0" w:anchor="P472" w:tooltip="IV. Характеристика мер государственного">
        <w:r>
          <w:rPr>
            <w:sz w:val="20"/>
            <w:color w:val="0000ff"/>
          </w:rPr>
          <w:t xml:space="preserve">разделу IV</w:t>
        </w:r>
      </w:hyperlink>
      <w:r>
        <w:rPr>
          <w:sz w:val="20"/>
        </w:rPr>
        <w:t xml:space="preserve"> Программы.</w:t>
      </w:r>
    </w:p>
    <w:p>
      <w:pPr>
        <w:pStyle w:val="0"/>
        <w:jc w:val="center"/>
      </w:pPr>
      <w:r>
        <w:rPr>
          <w:sz w:val="20"/>
        </w:rPr>
      </w:r>
    </w:p>
    <w:p>
      <w:pPr>
        <w:pStyle w:val="2"/>
        <w:outlineLvl w:val="2"/>
        <w:jc w:val="center"/>
      </w:pPr>
      <w:r>
        <w:rPr>
          <w:sz w:val="20"/>
        </w:rPr>
        <w:t xml:space="preserve">V. Ресурсное обеспечение, необходимое</w:t>
      </w:r>
    </w:p>
    <w:p>
      <w:pPr>
        <w:pStyle w:val="2"/>
        <w:jc w:val="center"/>
      </w:pPr>
      <w:r>
        <w:rPr>
          <w:sz w:val="20"/>
        </w:rPr>
        <w:t xml:space="preserve">для реализации подпрограммы 3</w:t>
      </w:r>
    </w:p>
    <w:p>
      <w:pPr>
        <w:pStyle w:val="0"/>
        <w:ind w:firstLine="540"/>
        <w:jc w:val="both"/>
      </w:pPr>
      <w:r>
        <w:rPr>
          <w:sz w:val="20"/>
        </w:rPr>
      </w:r>
    </w:p>
    <w:p>
      <w:pPr>
        <w:pStyle w:val="0"/>
        <w:ind w:firstLine="540"/>
        <w:jc w:val="both"/>
      </w:pPr>
      <w:r>
        <w:rPr>
          <w:sz w:val="20"/>
        </w:rPr>
        <w:t xml:space="preserve">Источниками финансирования мероприятий подпрограммы 3 являются средства федерального бюджета, средства бюджета города Севастополя, средства бюджета города Москвы.</w:t>
      </w:r>
    </w:p>
    <w:p>
      <w:pPr>
        <w:pStyle w:val="0"/>
        <w:spacing w:before="200" w:line-rule="auto"/>
        <w:ind w:firstLine="540"/>
        <w:jc w:val="both"/>
      </w:pPr>
      <w:r>
        <w:rPr>
          <w:sz w:val="20"/>
        </w:rPr>
        <w:t xml:space="preserve">Общий объем финансового обеспечения подпрограммы 3 в 2022 - 2030 годах составляет 3514800,8 тыс. руб., из них:</w:t>
      </w:r>
    </w:p>
    <w:p>
      <w:pPr>
        <w:pStyle w:val="0"/>
        <w:jc w:val="both"/>
      </w:pPr>
      <w:r>
        <w:rPr>
          <w:sz w:val="20"/>
        </w:rPr>
        <w:t xml:space="preserve">(в ред. </w:t>
      </w:r>
      <w:hyperlink w:history="0" r:id="rId18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средства федерального бюджета - 120555,2 тыс. руб., в том числе:</w:t>
      </w:r>
    </w:p>
    <w:p>
      <w:pPr>
        <w:pStyle w:val="0"/>
        <w:jc w:val="both"/>
      </w:pPr>
      <w:r>
        <w:rPr>
          <w:sz w:val="20"/>
        </w:rPr>
        <w:t xml:space="preserve">(в ред. </w:t>
      </w:r>
      <w:hyperlink w:history="0" r:id="rId187"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2022 г. - 42699,9 тыс. руб.;</w:t>
      </w:r>
    </w:p>
    <w:p>
      <w:pPr>
        <w:pStyle w:val="0"/>
        <w:jc w:val="both"/>
      </w:pPr>
      <w:r>
        <w:rPr>
          <w:sz w:val="20"/>
        </w:rPr>
        <w:t xml:space="preserve">(в ред. </w:t>
      </w:r>
      <w:hyperlink w:history="0" r:id="rId188"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2023 г. - 9293,2 тыс. руб.;</w:t>
      </w:r>
    </w:p>
    <w:p>
      <w:pPr>
        <w:pStyle w:val="0"/>
        <w:jc w:val="both"/>
      </w:pPr>
      <w:r>
        <w:rPr>
          <w:sz w:val="20"/>
        </w:rPr>
        <w:t xml:space="preserve">(в ред. </w:t>
      </w:r>
      <w:hyperlink w:history="0" r:id="rId189"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2024 г. - 9331,4 тыс. руб.;</w:t>
      </w:r>
    </w:p>
    <w:p>
      <w:pPr>
        <w:pStyle w:val="0"/>
        <w:jc w:val="both"/>
      </w:pPr>
      <w:r>
        <w:rPr>
          <w:sz w:val="20"/>
        </w:rPr>
        <w:t xml:space="preserve">(в ред. </w:t>
      </w:r>
      <w:hyperlink w:history="0" r:id="rId190"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2025 г. - 9142,4 тыс. руб.;</w:t>
      </w:r>
    </w:p>
    <w:p>
      <w:pPr>
        <w:pStyle w:val="0"/>
        <w:jc w:val="both"/>
      </w:pPr>
      <w:r>
        <w:rPr>
          <w:sz w:val="20"/>
        </w:rPr>
        <w:t xml:space="preserve">(в ред. </w:t>
      </w:r>
      <w:hyperlink w:history="0" r:id="rId191"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2026 г. - 9444,1 тыс. руб.;</w:t>
      </w:r>
    </w:p>
    <w:p>
      <w:pPr>
        <w:pStyle w:val="0"/>
        <w:jc w:val="both"/>
      </w:pPr>
      <w:r>
        <w:rPr>
          <w:sz w:val="20"/>
        </w:rPr>
        <w:t xml:space="preserve">(в ред. </w:t>
      </w:r>
      <w:hyperlink w:history="0" r:id="rId192"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2027 г. - 9736,9 тыс. руб.;</w:t>
      </w:r>
    </w:p>
    <w:p>
      <w:pPr>
        <w:pStyle w:val="0"/>
        <w:jc w:val="both"/>
      </w:pPr>
      <w:r>
        <w:rPr>
          <w:sz w:val="20"/>
        </w:rPr>
        <w:t xml:space="preserve">(в ред. </w:t>
      </w:r>
      <w:hyperlink w:history="0" r:id="rId193"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2028 г. - 10019,3 тыс. руб.;</w:t>
      </w:r>
    </w:p>
    <w:p>
      <w:pPr>
        <w:pStyle w:val="0"/>
        <w:jc w:val="both"/>
      </w:pPr>
      <w:r>
        <w:rPr>
          <w:sz w:val="20"/>
        </w:rPr>
        <w:t xml:space="preserve">(в ред. </w:t>
      </w:r>
      <w:hyperlink w:history="0" r:id="rId194"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2029 г. - 10299,8 тыс. руб.;</w:t>
      </w:r>
    </w:p>
    <w:p>
      <w:pPr>
        <w:pStyle w:val="0"/>
        <w:jc w:val="both"/>
      </w:pPr>
      <w:r>
        <w:rPr>
          <w:sz w:val="20"/>
        </w:rPr>
        <w:t xml:space="preserve">(в ред. </w:t>
      </w:r>
      <w:hyperlink w:history="0" r:id="rId195"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2030 г. - 10588,2 тыс. руб.;</w:t>
      </w:r>
    </w:p>
    <w:p>
      <w:pPr>
        <w:pStyle w:val="0"/>
        <w:jc w:val="both"/>
      </w:pPr>
      <w:r>
        <w:rPr>
          <w:sz w:val="20"/>
        </w:rPr>
        <w:t xml:space="preserve">(в ред. </w:t>
      </w:r>
      <w:hyperlink w:history="0" r:id="rId19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средства бюджета города Севастополя - 3295177,8 тыс. руб., в том числе:</w:t>
      </w:r>
    </w:p>
    <w:p>
      <w:pPr>
        <w:pStyle w:val="0"/>
        <w:jc w:val="both"/>
      </w:pPr>
      <w:r>
        <w:rPr>
          <w:sz w:val="20"/>
        </w:rPr>
        <w:t xml:space="preserve">(в ред. </w:t>
      </w:r>
      <w:hyperlink w:history="0" r:id="rId197"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2022 г. - 272797,3 тыс. руб.;</w:t>
      </w:r>
    </w:p>
    <w:p>
      <w:pPr>
        <w:pStyle w:val="0"/>
        <w:jc w:val="both"/>
      </w:pPr>
      <w:r>
        <w:rPr>
          <w:sz w:val="20"/>
        </w:rPr>
        <w:t xml:space="preserve">(в ред. </w:t>
      </w:r>
      <w:hyperlink w:history="0" r:id="rId198"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2023 г. - 316370,3 тыс. руб.;</w:t>
      </w:r>
    </w:p>
    <w:p>
      <w:pPr>
        <w:pStyle w:val="0"/>
        <w:jc w:val="both"/>
      </w:pPr>
      <w:r>
        <w:rPr>
          <w:sz w:val="20"/>
        </w:rPr>
        <w:t xml:space="preserve">(в ред. </w:t>
      </w:r>
      <w:hyperlink w:history="0" r:id="rId199"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2024 г. - 346961,7 тыс. руб.;</w:t>
      </w:r>
    </w:p>
    <w:p>
      <w:pPr>
        <w:pStyle w:val="0"/>
        <w:jc w:val="both"/>
      </w:pPr>
      <w:r>
        <w:rPr>
          <w:sz w:val="20"/>
        </w:rPr>
        <w:t xml:space="preserve">(в ред. </w:t>
      </w:r>
      <w:hyperlink w:history="0" r:id="rId20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2025 г. - 364125,7 тыс. руб.;</w:t>
      </w:r>
    </w:p>
    <w:p>
      <w:pPr>
        <w:pStyle w:val="0"/>
        <w:jc w:val="both"/>
      </w:pPr>
      <w:r>
        <w:rPr>
          <w:sz w:val="20"/>
        </w:rPr>
        <w:t xml:space="preserve">(в ред. </w:t>
      </w:r>
      <w:hyperlink w:history="0" r:id="rId201"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2026 г. - 376141,8 тыс. руб.;</w:t>
      </w:r>
    </w:p>
    <w:p>
      <w:pPr>
        <w:pStyle w:val="0"/>
        <w:jc w:val="both"/>
      </w:pPr>
      <w:r>
        <w:rPr>
          <w:sz w:val="20"/>
        </w:rPr>
        <w:t xml:space="preserve">(в ред. </w:t>
      </w:r>
      <w:hyperlink w:history="0" r:id="rId20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2027 г. - 387802,2 тыс. руб.;</w:t>
      </w:r>
    </w:p>
    <w:p>
      <w:pPr>
        <w:pStyle w:val="0"/>
        <w:jc w:val="both"/>
      </w:pPr>
      <w:r>
        <w:rPr>
          <w:sz w:val="20"/>
        </w:rPr>
        <w:t xml:space="preserve">(в ред. </w:t>
      </w:r>
      <w:hyperlink w:history="0" r:id="rId20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2028 г. - 399048,6 тыс. руб.;</w:t>
      </w:r>
    </w:p>
    <w:p>
      <w:pPr>
        <w:pStyle w:val="0"/>
        <w:jc w:val="both"/>
      </w:pPr>
      <w:r>
        <w:rPr>
          <w:sz w:val="20"/>
        </w:rPr>
        <w:t xml:space="preserve">(в ред. </w:t>
      </w:r>
      <w:hyperlink w:history="0" r:id="rId20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2029 г. - 410222,0 тыс. руб.;</w:t>
      </w:r>
    </w:p>
    <w:p>
      <w:pPr>
        <w:pStyle w:val="0"/>
        <w:jc w:val="both"/>
      </w:pPr>
      <w:r>
        <w:rPr>
          <w:sz w:val="20"/>
        </w:rPr>
        <w:t xml:space="preserve">(в ред. </w:t>
      </w:r>
      <w:hyperlink w:history="0" r:id="rId20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2030 г. - 421708,2 тыс. руб.;</w:t>
      </w:r>
    </w:p>
    <w:p>
      <w:pPr>
        <w:pStyle w:val="0"/>
        <w:jc w:val="both"/>
      </w:pPr>
      <w:r>
        <w:rPr>
          <w:sz w:val="20"/>
        </w:rPr>
        <w:t xml:space="preserve">(в ред. </w:t>
      </w:r>
      <w:hyperlink w:history="0" r:id="rId20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средства бюджетов других субъектов Российской Федерации (город Москва) - 99067,8 тыс. руб., в том числе:</w:t>
      </w:r>
    </w:p>
    <w:p>
      <w:pPr>
        <w:pStyle w:val="0"/>
        <w:jc w:val="both"/>
      </w:pPr>
      <w:r>
        <w:rPr>
          <w:sz w:val="20"/>
        </w:rPr>
        <w:t xml:space="preserve">(в ред. </w:t>
      </w:r>
      <w:hyperlink w:history="0" r:id="rId20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2022 г. - 60073,7 тыс. руб.;</w:t>
      </w:r>
    </w:p>
    <w:p>
      <w:pPr>
        <w:pStyle w:val="0"/>
        <w:jc w:val="both"/>
      </w:pPr>
      <w:r>
        <w:rPr>
          <w:sz w:val="20"/>
        </w:rPr>
        <w:t xml:space="preserve">(в ред. </w:t>
      </w:r>
      <w:hyperlink w:history="0" r:id="rId20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2023 г. - 38994,1 тыс. руб.;</w:t>
      </w:r>
    </w:p>
    <w:p>
      <w:pPr>
        <w:pStyle w:val="0"/>
        <w:jc w:val="both"/>
      </w:pPr>
      <w:r>
        <w:rPr>
          <w:sz w:val="20"/>
        </w:rPr>
        <w:t xml:space="preserve">(в ред. </w:t>
      </w:r>
      <w:hyperlink w:history="0" r:id="rId209"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внебюджетные средства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Ресурсное </w:t>
      </w:r>
      <w:hyperlink w:history="0" w:anchor="P5821" w:tooltip="Финансовое обеспечение реализации государственной программы">
        <w:r>
          <w:rPr>
            <w:sz w:val="20"/>
            <w:color w:val="0000ff"/>
          </w:rPr>
          <w:t xml:space="preserve">обеспечение</w:t>
        </w:r>
      </w:hyperlink>
      <w:r>
        <w:rPr>
          <w:sz w:val="20"/>
        </w:rPr>
        <w:t xml:space="preserve"> и прогнозная (справочная) оценка расходов на реализацию целей подпрограммы 3 приведены в приложении N 4 к Программе.</w:t>
      </w:r>
    </w:p>
    <w:p>
      <w:pPr>
        <w:pStyle w:val="0"/>
        <w:jc w:val="center"/>
      </w:pPr>
      <w:r>
        <w:rPr>
          <w:sz w:val="20"/>
        </w:rPr>
      </w:r>
    </w:p>
    <w:bookmarkStart w:id="1487" w:name="P1487"/>
    <w:bookmarkEnd w:id="1487"/>
    <w:p>
      <w:pPr>
        <w:pStyle w:val="2"/>
        <w:outlineLvl w:val="1"/>
        <w:jc w:val="center"/>
      </w:pPr>
      <w:r>
        <w:rPr>
          <w:sz w:val="20"/>
        </w:rPr>
        <w:t xml:space="preserve">ПОДПРОГРАММА 4</w:t>
      </w:r>
    </w:p>
    <w:p>
      <w:pPr>
        <w:pStyle w:val="2"/>
        <w:jc w:val="center"/>
      </w:pPr>
      <w:r>
        <w:rPr>
          <w:sz w:val="20"/>
        </w:rPr>
        <w:t xml:space="preserve">"Развитие медицинской реабилитации"</w:t>
      </w:r>
    </w:p>
    <w:p>
      <w:pPr>
        <w:pStyle w:val="0"/>
        <w:jc w:val="center"/>
      </w:pPr>
      <w:r>
        <w:rPr>
          <w:sz w:val="20"/>
        </w:rPr>
        <w:t xml:space="preserve">(в ред. </w:t>
      </w:r>
      <w:hyperlink w:history="0" r:id="rId210"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2"/>
        <w:outlineLvl w:val="2"/>
        <w:jc w:val="center"/>
      </w:pPr>
      <w:r>
        <w:rPr>
          <w:sz w:val="20"/>
        </w:rPr>
        <w:t xml:space="preserve">ПАСПОРТ</w:t>
      </w:r>
    </w:p>
    <w:p>
      <w:pPr>
        <w:pStyle w:val="2"/>
        <w:jc w:val="center"/>
      </w:pPr>
      <w:r>
        <w:rPr>
          <w:sz w:val="20"/>
        </w:rPr>
        <w:t xml:space="preserve">подпрограммы 4 "Развитие медицинской реабилитации"</w:t>
      </w:r>
    </w:p>
    <w:p>
      <w:pPr>
        <w:pStyle w:val="2"/>
        <w:jc w:val="center"/>
      </w:pPr>
      <w:r>
        <w:rPr>
          <w:sz w:val="20"/>
        </w:rPr>
        <w:t xml:space="preserve">(далее - подпрограмма 4)</w:t>
      </w:r>
    </w:p>
    <w:p>
      <w:pPr>
        <w:pStyle w:val="0"/>
        <w:jc w:val="both"/>
      </w:pPr>
      <w:r>
        <w:rPr>
          <w:sz w:val="20"/>
        </w:rPr>
      </w:r>
    </w:p>
    <w:p>
      <w:pPr>
        <w:pStyle w:val="0"/>
        <w:ind w:firstLine="540"/>
        <w:jc w:val="both"/>
      </w:pPr>
      <w:r>
        <w:rPr>
          <w:sz w:val="20"/>
        </w:rPr>
        <w:t xml:space="preserve">1. Ответственный исполнитель подпрограммы 4: ДЗГС.</w:t>
      </w:r>
    </w:p>
    <w:p>
      <w:pPr>
        <w:pStyle w:val="0"/>
        <w:spacing w:before="200" w:line-rule="auto"/>
        <w:ind w:firstLine="540"/>
        <w:jc w:val="both"/>
      </w:pPr>
      <w:r>
        <w:rPr>
          <w:sz w:val="20"/>
        </w:rPr>
        <w:t xml:space="preserve">2. Участник подпрограммы 4:</w:t>
      </w:r>
    </w:p>
    <w:p>
      <w:pPr>
        <w:pStyle w:val="0"/>
        <w:spacing w:before="200" w:line-rule="auto"/>
        <w:ind w:firstLine="540"/>
        <w:jc w:val="both"/>
      </w:pPr>
      <w:r>
        <w:rPr>
          <w:sz w:val="20"/>
        </w:rPr>
        <w:t xml:space="preserve">ГБУЗС "Городская больница N 1 им. Н.И. Пирогова";</w:t>
      </w:r>
    </w:p>
    <w:p>
      <w:pPr>
        <w:pStyle w:val="0"/>
        <w:spacing w:before="200" w:line-rule="auto"/>
        <w:ind w:firstLine="540"/>
        <w:jc w:val="both"/>
      </w:pPr>
      <w:r>
        <w:rPr>
          <w:sz w:val="20"/>
        </w:rPr>
        <w:t xml:space="preserve">ГБУЗС "Городская больница N 4";</w:t>
      </w:r>
    </w:p>
    <w:p>
      <w:pPr>
        <w:pStyle w:val="0"/>
        <w:spacing w:before="200" w:line-rule="auto"/>
        <w:ind w:firstLine="540"/>
        <w:jc w:val="both"/>
      </w:pPr>
      <w:r>
        <w:rPr>
          <w:sz w:val="20"/>
        </w:rPr>
        <w:t xml:space="preserve">ГБУЗС "Городская больница N 9";</w:t>
      </w:r>
    </w:p>
    <w:p>
      <w:pPr>
        <w:pStyle w:val="0"/>
        <w:spacing w:before="200" w:line-rule="auto"/>
        <w:ind w:firstLine="540"/>
        <w:jc w:val="both"/>
      </w:pPr>
      <w:r>
        <w:rPr>
          <w:sz w:val="20"/>
        </w:rPr>
        <w:t xml:space="preserve">ГБУЗС "ГБ N 5".</w:t>
      </w:r>
    </w:p>
    <w:p>
      <w:pPr>
        <w:pStyle w:val="0"/>
        <w:spacing w:before="200" w:line-rule="auto"/>
        <w:ind w:firstLine="540"/>
        <w:jc w:val="both"/>
      </w:pPr>
      <w:r>
        <w:rPr>
          <w:sz w:val="20"/>
        </w:rPr>
        <w:t xml:space="preserve">3. Цель подпрограммы 4: совершенствование медицинской реабилитации.</w:t>
      </w:r>
    </w:p>
    <w:p>
      <w:pPr>
        <w:pStyle w:val="0"/>
        <w:spacing w:before="200" w:line-rule="auto"/>
        <w:ind w:firstLine="540"/>
        <w:jc w:val="both"/>
      </w:pPr>
      <w:r>
        <w:rPr>
          <w:sz w:val="20"/>
        </w:rPr>
        <w:t xml:space="preserve">4. Задачи подпрограммы 4:</w:t>
      </w:r>
    </w:p>
    <w:p>
      <w:pPr>
        <w:pStyle w:val="0"/>
        <w:spacing w:before="200" w:line-rule="auto"/>
        <w:ind w:firstLine="540"/>
        <w:jc w:val="both"/>
      </w:pPr>
      <w:r>
        <w:rPr>
          <w:sz w:val="20"/>
        </w:rPr>
        <w:t xml:space="preserve">- предупреждение и снижение детской инвалидности;</w:t>
      </w:r>
    </w:p>
    <w:p>
      <w:pPr>
        <w:pStyle w:val="0"/>
        <w:spacing w:before="200" w:line-rule="auto"/>
        <w:ind w:firstLine="540"/>
        <w:jc w:val="both"/>
      </w:pPr>
      <w:r>
        <w:rPr>
          <w:sz w:val="20"/>
        </w:rPr>
        <w:t xml:space="preserve">- обеспечение медицинской реабилитацией нуждающихся детей-инвалидов;</w:t>
      </w:r>
    </w:p>
    <w:p>
      <w:pPr>
        <w:pStyle w:val="0"/>
        <w:spacing w:before="200" w:line-rule="auto"/>
        <w:ind w:firstLine="540"/>
        <w:jc w:val="both"/>
      </w:pPr>
      <w:r>
        <w:rPr>
          <w:sz w:val="20"/>
        </w:rPr>
        <w:t xml:space="preserve">- обеспечение доступности медицинской реабилитации на всех этапах;</w:t>
      </w:r>
    </w:p>
    <w:p>
      <w:pPr>
        <w:pStyle w:val="0"/>
        <w:spacing w:before="200" w:line-rule="auto"/>
        <w:ind w:firstLine="540"/>
        <w:jc w:val="both"/>
      </w:pPr>
      <w:r>
        <w:rPr>
          <w:sz w:val="20"/>
        </w:rPr>
        <w:t xml:space="preserve">- совершенствование и развитие организации медицинской реабилитации в рамках оказания специализированной, в том числе высокотехнологичной, медицинской помощи (I, II этапы);</w:t>
      </w:r>
    </w:p>
    <w:p>
      <w:pPr>
        <w:pStyle w:val="0"/>
        <w:spacing w:before="200" w:line-rule="auto"/>
        <w:ind w:firstLine="540"/>
        <w:jc w:val="both"/>
      </w:pPr>
      <w:r>
        <w:rPr>
          <w:sz w:val="20"/>
        </w:rPr>
        <w:t xml:space="preserve">- совершенствование и развитие организации медицинской реабилитации в рамках оказания первичной медико-санитарной помощи в амбулаторных условиях и условиях дневного стационара (III этап);</w:t>
      </w:r>
    </w:p>
    <w:p>
      <w:pPr>
        <w:pStyle w:val="0"/>
        <w:spacing w:before="200" w:line-rule="auto"/>
        <w:ind w:firstLine="540"/>
        <w:jc w:val="both"/>
      </w:pPr>
      <w:r>
        <w:rPr>
          <w:sz w:val="20"/>
        </w:rPr>
        <w:t xml:space="preserve">- кадровое обеспечение реабилитационной службы города Севастополя;</w:t>
      </w:r>
    </w:p>
    <w:p>
      <w:pPr>
        <w:pStyle w:val="0"/>
        <w:spacing w:before="200" w:line-rule="auto"/>
        <w:ind w:firstLine="540"/>
        <w:jc w:val="both"/>
      </w:pPr>
      <w:r>
        <w:rPr>
          <w:sz w:val="20"/>
        </w:rPr>
        <w:t xml:space="preserve">- организационно-методическое сопровождение деятельности реабилитационной службы города Севастополя;</w:t>
      </w:r>
    </w:p>
    <w:p>
      <w:pPr>
        <w:pStyle w:val="0"/>
        <w:spacing w:before="200" w:line-rule="auto"/>
        <w:ind w:firstLine="540"/>
        <w:jc w:val="both"/>
      </w:pPr>
      <w:r>
        <w:rPr>
          <w:sz w:val="20"/>
        </w:rPr>
        <w:t xml:space="preserve">- информирование граждан о возможностях медицинской реабилитации;</w:t>
      </w:r>
    </w:p>
    <w:p>
      <w:pPr>
        <w:pStyle w:val="0"/>
        <w:spacing w:before="200" w:line-rule="auto"/>
        <w:ind w:firstLine="540"/>
        <w:jc w:val="both"/>
      </w:pPr>
      <w:r>
        <w:rPr>
          <w:sz w:val="20"/>
        </w:rPr>
        <w:t xml:space="preserve">- укрепление материально-технической базы службы медицинской реабилитации города Севастополя;</w:t>
      </w:r>
    </w:p>
    <w:p>
      <w:pPr>
        <w:pStyle w:val="0"/>
        <w:spacing w:before="200" w:line-rule="auto"/>
        <w:ind w:firstLine="540"/>
        <w:jc w:val="both"/>
      </w:pPr>
      <w:r>
        <w:rPr>
          <w:sz w:val="20"/>
        </w:rPr>
        <w:t xml:space="preserve">- разработка и внедрение порядка медицинской реабилитации с применением телемедицинских технологий;</w:t>
      </w:r>
    </w:p>
    <w:p>
      <w:pPr>
        <w:pStyle w:val="0"/>
        <w:spacing w:before="200" w:line-rule="auto"/>
        <w:ind w:firstLine="540"/>
        <w:jc w:val="both"/>
      </w:pPr>
      <w:r>
        <w:rPr>
          <w:sz w:val="20"/>
        </w:rPr>
        <w:t xml:space="preserve">- внедрение клинических рекомендаций при оказании медицинской помощи по профилю "медицинская реабилитация";</w:t>
      </w:r>
    </w:p>
    <w:p>
      <w:pPr>
        <w:pStyle w:val="0"/>
        <w:spacing w:before="200" w:line-rule="auto"/>
        <w:ind w:firstLine="540"/>
        <w:jc w:val="both"/>
      </w:pPr>
      <w:r>
        <w:rPr>
          <w:sz w:val="20"/>
        </w:rPr>
        <w:t xml:space="preserve">- обеспечение соответствия оказания медицинской реабилитации требованиям приказов Министерства здравоохранения Российской Федерации от 31.07.2020 </w:t>
      </w:r>
      <w:hyperlink w:history="0" r:id="rId211"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N 788н</w:t>
        </w:r>
      </w:hyperlink>
      <w:r>
        <w:rPr>
          <w:sz w:val="20"/>
        </w:rPr>
        <w:t xml:space="preserve"> "Об утверждении Порядка организации медицинской реабилитации взрослых" и от 23.10.2019 </w:t>
      </w:r>
      <w:hyperlink w:history="0" r:id="rId212"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N 878н</w:t>
        </w:r>
      </w:hyperlink>
      <w:r>
        <w:rPr>
          <w:sz w:val="20"/>
        </w:rPr>
        <w:t xml:space="preserve"> "Об утверждении Порядка организации медицинской реабилитации детей".</w:t>
      </w:r>
    </w:p>
    <w:p>
      <w:pPr>
        <w:pStyle w:val="0"/>
        <w:spacing w:before="200" w:line-rule="auto"/>
        <w:ind w:firstLine="540"/>
        <w:jc w:val="both"/>
      </w:pPr>
      <w:r>
        <w:rPr>
          <w:sz w:val="20"/>
        </w:rPr>
        <w:t xml:space="preserve">5. Целевые индикаторы и показатели подпрограммы 4:</w:t>
      </w:r>
    </w:p>
    <w:p>
      <w:pPr>
        <w:pStyle w:val="0"/>
        <w:spacing w:before="200" w:line-rule="auto"/>
        <w:ind w:firstLine="540"/>
        <w:jc w:val="both"/>
      </w:pPr>
      <w:r>
        <w:rPr>
          <w:sz w:val="20"/>
        </w:rPr>
        <w:t xml:space="preserve">- охват медицинской реабилитацией детей-инвалидов из числа нуждающихся;</w:t>
      </w:r>
    </w:p>
    <w:p>
      <w:pPr>
        <w:pStyle w:val="0"/>
        <w:spacing w:before="200" w:line-rule="auto"/>
        <w:ind w:firstLine="540"/>
        <w:jc w:val="both"/>
      </w:pPr>
      <w:r>
        <w:rPr>
          <w:sz w:val="20"/>
        </w:rPr>
        <w:t xml:space="preserve">- охват медицинской реабилитацией детей после оказания специализированной медицинской помощи;</w:t>
      </w:r>
    </w:p>
    <w:p>
      <w:pPr>
        <w:pStyle w:val="0"/>
        <w:spacing w:before="200" w:line-rule="auto"/>
        <w:ind w:firstLine="540"/>
        <w:jc w:val="both"/>
      </w:pPr>
      <w:r>
        <w:rPr>
          <w:sz w:val="20"/>
        </w:rPr>
        <w:t xml:space="preserve">- 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w:t>
      </w:r>
    </w:p>
    <w:p>
      <w:pPr>
        <w:pStyle w:val="0"/>
        <w:spacing w:before="200" w:line-rule="auto"/>
        <w:ind w:firstLine="540"/>
        <w:jc w:val="both"/>
      </w:pPr>
      <w:r>
        <w:rPr>
          <w:sz w:val="20"/>
        </w:rPr>
        <w:t xml:space="preserve">- 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w:t>
      </w:r>
    </w:p>
    <w:p>
      <w:pPr>
        <w:pStyle w:val="0"/>
        <w:spacing w:before="200" w:line-rule="auto"/>
        <w:ind w:firstLine="540"/>
        <w:jc w:val="both"/>
      </w:pPr>
      <w:r>
        <w:rPr>
          <w:sz w:val="20"/>
        </w:rPr>
        <w:t xml:space="preserve">- доля оснащенных современным медицинским оборудованием медицинских организаций, осуществляющих медицинскую реабилитацию;</w:t>
      </w:r>
    </w:p>
    <w:p>
      <w:pPr>
        <w:pStyle w:val="0"/>
        <w:spacing w:before="200" w:line-rule="auto"/>
        <w:ind w:firstLine="540"/>
        <w:jc w:val="both"/>
      </w:pPr>
      <w:r>
        <w:rPr>
          <w:sz w:val="20"/>
        </w:rPr>
        <w:t xml:space="preserve">- охват граждан информацией о возможностях медицинской реабилитации в личном кабинете "Мое здоровье" на Едином портале государственных и муниципальных услуг (функций).</w:t>
      </w:r>
    </w:p>
    <w:p>
      <w:pPr>
        <w:pStyle w:val="0"/>
        <w:spacing w:before="200" w:line-rule="auto"/>
        <w:ind w:firstLine="540"/>
        <w:jc w:val="both"/>
      </w:pPr>
      <w:r>
        <w:rPr>
          <w:sz w:val="20"/>
        </w:rPr>
        <w:t xml:space="preserve">6. Этапы и сроки реализации подпрограммы 4: с 2022 по 2030 год без выделения этапов реализации Программы.</w:t>
      </w:r>
    </w:p>
    <w:p>
      <w:pPr>
        <w:pStyle w:val="0"/>
        <w:spacing w:before="200" w:line-rule="auto"/>
        <w:ind w:firstLine="540"/>
        <w:jc w:val="both"/>
      </w:pPr>
      <w:r>
        <w:rPr>
          <w:sz w:val="20"/>
        </w:rPr>
        <w:t xml:space="preserve">7. Объемы финансирования подпрограммы 4, всего, по годам и по источникам финансирования (тыс. руб.):</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587"/>
        <w:gridCol w:w="1531"/>
        <w:gridCol w:w="1700"/>
        <w:gridCol w:w="1191"/>
        <w:gridCol w:w="1587"/>
      </w:tblGrid>
      <w:tr>
        <w:tc>
          <w:tcPr>
            <w:tcW w:w="1474" w:type="dxa"/>
          </w:tcPr>
          <w:p>
            <w:pPr>
              <w:pStyle w:val="0"/>
              <w:jc w:val="center"/>
            </w:pPr>
            <w:r>
              <w:rPr>
                <w:sz w:val="20"/>
              </w:rPr>
              <w:t xml:space="preserve">Источники финансирования</w:t>
            </w:r>
          </w:p>
        </w:tc>
        <w:tc>
          <w:tcPr>
            <w:tcW w:w="1587" w:type="dxa"/>
          </w:tcPr>
          <w:p>
            <w:pPr>
              <w:pStyle w:val="0"/>
              <w:jc w:val="center"/>
            </w:pPr>
            <w:r>
              <w:rPr>
                <w:sz w:val="20"/>
              </w:rPr>
              <w:t xml:space="preserve">Федеральный бюджет</w:t>
            </w:r>
          </w:p>
        </w:tc>
        <w:tc>
          <w:tcPr>
            <w:tcW w:w="1531" w:type="dxa"/>
          </w:tcPr>
          <w:p>
            <w:pPr>
              <w:pStyle w:val="0"/>
              <w:jc w:val="center"/>
            </w:pPr>
            <w:r>
              <w:rPr>
                <w:sz w:val="20"/>
              </w:rPr>
              <w:t xml:space="preserve">Бюджет города Севастополя</w:t>
            </w:r>
          </w:p>
        </w:tc>
        <w:tc>
          <w:tcPr>
            <w:tcW w:w="1700" w:type="dxa"/>
          </w:tcPr>
          <w:p>
            <w:pPr>
              <w:pStyle w:val="0"/>
              <w:jc w:val="center"/>
            </w:pPr>
            <w:r>
              <w:rPr>
                <w:sz w:val="20"/>
              </w:rPr>
              <w:t xml:space="preserve">Бюджеты других субъектов РФ (город Москва)</w:t>
            </w:r>
          </w:p>
        </w:tc>
        <w:tc>
          <w:tcPr>
            <w:tcW w:w="1191" w:type="dxa"/>
          </w:tcPr>
          <w:p>
            <w:pPr>
              <w:pStyle w:val="0"/>
              <w:jc w:val="center"/>
            </w:pPr>
            <w:r>
              <w:rPr>
                <w:sz w:val="20"/>
              </w:rPr>
              <w:t xml:space="preserve">Внебюджетные средства</w:t>
            </w:r>
          </w:p>
        </w:tc>
        <w:tc>
          <w:tcPr>
            <w:tcW w:w="1587" w:type="dxa"/>
          </w:tcPr>
          <w:p>
            <w:pPr>
              <w:pStyle w:val="0"/>
              <w:jc w:val="center"/>
            </w:pPr>
            <w:r>
              <w:rPr>
                <w:sz w:val="20"/>
              </w:rPr>
              <w:t xml:space="preserve">Итого</w:t>
            </w:r>
          </w:p>
        </w:tc>
      </w:tr>
      <w:tr>
        <w:tc>
          <w:tcPr>
            <w:tcW w:w="1474" w:type="dxa"/>
          </w:tcPr>
          <w:p>
            <w:pPr>
              <w:pStyle w:val="0"/>
              <w:jc w:val="both"/>
            </w:pPr>
            <w:r>
              <w:rPr>
                <w:sz w:val="20"/>
              </w:rPr>
              <w:t xml:space="preserve">2022 год</w:t>
            </w:r>
          </w:p>
        </w:tc>
        <w:tc>
          <w:tcPr>
            <w:tcW w:w="1587" w:type="dxa"/>
          </w:tcPr>
          <w:p>
            <w:pPr>
              <w:pStyle w:val="0"/>
              <w:jc w:val="center"/>
            </w:pPr>
            <w:r>
              <w:rPr>
                <w:sz w:val="20"/>
              </w:rPr>
              <w:t xml:space="preserve">68761,8</w:t>
            </w:r>
          </w:p>
        </w:tc>
        <w:tc>
          <w:tcPr>
            <w:tcW w:w="1531" w:type="dxa"/>
          </w:tcPr>
          <w:p>
            <w:pPr>
              <w:pStyle w:val="0"/>
              <w:jc w:val="center"/>
            </w:pPr>
            <w:r>
              <w:rPr>
                <w:sz w:val="20"/>
              </w:rPr>
              <w:t xml:space="preserve">3619,0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72380,8</w:t>
            </w:r>
          </w:p>
        </w:tc>
      </w:tr>
      <w:tr>
        <w:tc>
          <w:tcPr>
            <w:tcW w:w="1474" w:type="dxa"/>
          </w:tcPr>
          <w:p>
            <w:pPr>
              <w:pStyle w:val="0"/>
              <w:jc w:val="both"/>
            </w:pPr>
            <w:r>
              <w:rPr>
                <w:sz w:val="20"/>
              </w:rPr>
              <w:t xml:space="preserve">2023 год</w:t>
            </w:r>
          </w:p>
        </w:tc>
        <w:tc>
          <w:tcPr>
            <w:tcW w:w="1587" w:type="dxa"/>
          </w:tcPr>
          <w:p>
            <w:pPr>
              <w:pStyle w:val="0"/>
              <w:jc w:val="center"/>
            </w:pPr>
            <w:r>
              <w:rPr>
                <w:sz w:val="20"/>
              </w:rPr>
              <w:t xml:space="preserve">110700,5</w:t>
            </w:r>
          </w:p>
        </w:tc>
        <w:tc>
          <w:tcPr>
            <w:tcW w:w="1531" w:type="dxa"/>
          </w:tcPr>
          <w:p>
            <w:pPr>
              <w:pStyle w:val="0"/>
              <w:jc w:val="center"/>
            </w:pPr>
            <w:r>
              <w:rPr>
                <w:sz w:val="20"/>
              </w:rPr>
              <w:t xml:space="preserve">5826,4</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116526,9</w:t>
            </w:r>
          </w:p>
        </w:tc>
      </w:tr>
      <w:tr>
        <w:tc>
          <w:tcPr>
            <w:tcW w:w="1474" w:type="dxa"/>
          </w:tcPr>
          <w:p>
            <w:pPr>
              <w:pStyle w:val="0"/>
              <w:jc w:val="both"/>
            </w:pPr>
            <w:r>
              <w:rPr>
                <w:sz w:val="20"/>
              </w:rPr>
              <w:t xml:space="preserve">2024 год</w:t>
            </w:r>
          </w:p>
        </w:tc>
        <w:tc>
          <w:tcPr>
            <w:tcW w:w="1587" w:type="dxa"/>
          </w:tcPr>
          <w:p>
            <w:pPr>
              <w:pStyle w:val="0"/>
              <w:jc w:val="center"/>
            </w:pPr>
            <w:r>
              <w:rPr>
                <w:sz w:val="20"/>
              </w:rPr>
              <w:t xml:space="preserve">137007,2</w:t>
            </w:r>
          </w:p>
        </w:tc>
        <w:tc>
          <w:tcPr>
            <w:tcW w:w="1531" w:type="dxa"/>
          </w:tcPr>
          <w:p>
            <w:pPr>
              <w:pStyle w:val="0"/>
              <w:jc w:val="center"/>
            </w:pPr>
            <w:r>
              <w:rPr>
                <w:sz w:val="20"/>
              </w:rPr>
              <w:t xml:space="preserve">7210,9</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144218,1</w:t>
            </w:r>
          </w:p>
        </w:tc>
      </w:tr>
      <w:tr>
        <w:tc>
          <w:tcPr>
            <w:tcW w:w="1474" w:type="dxa"/>
          </w:tcPr>
          <w:p>
            <w:pPr>
              <w:pStyle w:val="0"/>
              <w:jc w:val="both"/>
            </w:pPr>
            <w:r>
              <w:rPr>
                <w:sz w:val="20"/>
              </w:rPr>
              <w:t xml:space="preserve">2025 год</w:t>
            </w:r>
          </w:p>
        </w:tc>
        <w:tc>
          <w:tcPr>
            <w:tcW w:w="1587" w:type="dxa"/>
          </w:tcPr>
          <w:p>
            <w:pPr>
              <w:pStyle w:val="0"/>
              <w:jc w:val="center"/>
            </w:pPr>
            <w:r>
              <w:rPr>
                <w:sz w:val="20"/>
              </w:rPr>
              <w:t xml:space="preserve">134126,5</w:t>
            </w:r>
          </w:p>
        </w:tc>
        <w:tc>
          <w:tcPr>
            <w:tcW w:w="1531" w:type="dxa"/>
          </w:tcPr>
          <w:p>
            <w:pPr>
              <w:pStyle w:val="0"/>
              <w:jc w:val="center"/>
            </w:pPr>
            <w:r>
              <w:rPr>
                <w:sz w:val="20"/>
              </w:rPr>
              <w:t xml:space="preserve">10095,5</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144222,0</w:t>
            </w:r>
          </w:p>
        </w:tc>
      </w:tr>
      <w:tr>
        <w:tc>
          <w:tcPr>
            <w:tcW w:w="1474" w:type="dxa"/>
          </w:tcPr>
          <w:p>
            <w:pPr>
              <w:pStyle w:val="0"/>
              <w:jc w:val="both"/>
            </w:pPr>
            <w:r>
              <w:rPr>
                <w:sz w:val="20"/>
              </w:rPr>
              <w:t xml:space="preserve">2026 год</w:t>
            </w:r>
          </w:p>
        </w:tc>
        <w:tc>
          <w:tcPr>
            <w:tcW w:w="1587" w:type="dxa"/>
          </w:tcPr>
          <w:p>
            <w:pPr>
              <w:pStyle w:val="0"/>
              <w:jc w:val="center"/>
            </w:pPr>
            <w:r>
              <w:rPr>
                <w:sz w:val="20"/>
              </w:rPr>
              <w:t xml:space="preserve">138552,7</w:t>
            </w:r>
          </w:p>
        </w:tc>
        <w:tc>
          <w:tcPr>
            <w:tcW w:w="1531" w:type="dxa"/>
          </w:tcPr>
          <w:p>
            <w:pPr>
              <w:pStyle w:val="0"/>
              <w:jc w:val="center"/>
            </w:pPr>
            <w:r>
              <w:rPr>
                <w:sz w:val="20"/>
              </w:rPr>
              <w:t xml:space="preserve">10428,7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148981,4</w:t>
            </w:r>
          </w:p>
        </w:tc>
      </w:tr>
      <w:tr>
        <w:tc>
          <w:tcPr>
            <w:tcW w:w="1474" w:type="dxa"/>
          </w:tcPr>
          <w:p>
            <w:pPr>
              <w:pStyle w:val="0"/>
              <w:jc w:val="both"/>
            </w:pPr>
            <w:r>
              <w:rPr>
                <w:sz w:val="20"/>
              </w:rPr>
              <w:t xml:space="preserve">2027 год</w:t>
            </w:r>
          </w:p>
        </w:tc>
        <w:tc>
          <w:tcPr>
            <w:tcW w:w="1587" w:type="dxa"/>
          </w:tcPr>
          <w:p>
            <w:pPr>
              <w:pStyle w:val="0"/>
              <w:jc w:val="center"/>
            </w:pPr>
            <w:r>
              <w:rPr>
                <w:sz w:val="20"/>
              </w:rPr>
              <w:t xml:space="preserve">142847,8</w:t>
            </w:r>
          </w:p>
        </w:tc>
        <w:tc>
          <w:tcPr>
            <w:tcW w:w="1531" w:type="dxa"/>
          </w:tcPr>
          <w:p>
            <w:pPr>
              <w:pStyle w:val="0"/>
              <w:jc w:val="center"/>
            </w:pPr>
            <w:r>
              <w:rPr>
                <w:sz w:val="20"/>
              </w:rPr>
              <w:t xml:space="preserve">10752,0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153599,8</w:t>
            </w:r>
          </w:p>
        </w:tc>
      </w:tr>
      <w:tr>
        <w:tc>
          <w:tcPr>
            <w:tcW w:w="1474" w:type="dxa"/>
          </w:tcPr>
          <w:p>
            <w:pPr>
              <w:pStyle w:val="0"/>
              <w:jc w:val="both"/>
            </w:pPr>
            <w:r>
              <w:rPr>
                <w:sz w:val="20"/>
              </w:rPr>
              <w:t xml:space="preserve">2028 год</w:t>
            </w:r>
          </w:p>
        </w:tc>
        <w:tc>
          <w:tcPr>
            <w:tcW w:w="1587" w:type="dxa"/>
          </w:tcPr>
          <w:p>
            <w:pPr>
              <w:pStyle w:val="0"/>
              <w:jc w:val="center"/>
            </w:pPr>
            <w:r>
              <w:rPr>
                <w:sz w:val="20"/>
              </w:rPr>
              <w:t xml:space="preserve">146990,4</w:t>
            </w:r>
          </w:p>
        </w:tc>
        <w:tc>
          <w:tcPr>
            <w:tcW w:w="1531" w:type="dxa"/>
          </w:tcPr>
          <w:p>
            <w:pPr>
              <w:pStyle w:val="0"/>
              <w:jc w:val="center"/>
            </w:pPr>
            <w:r>
              <w:rPr>
                <w:sz w:val="20"/>
              </w:rPr>
              <w:t xml:space="preserve">11063,8</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158054,2</w:t>
            </w:r>
          </w:p>
        </w:tc>
      </w:tr>
      <w:tr>
        <w:tc>
          <w:tcPr>
            <w:tcW w:w="1474" w:type="dxa"/>
          </w:tcPr>
          <w:p>
            <w:pPr>
              <w:pStyle w:val="0"/>
              <w:jc w:val="both"/>
            </w:pPr>
            <w:r>
              <w:rPr>
                <w:sz w:val="20"/>
              </w:rPr>
              <w:t xml:space="preserve">2029 год</w:t>
            </w:r>
          </w:p>
        </w:tc>
        <w:tc>
          <w:tcPr>
            <w:tcW w:w="1587" w:type="dxa"/>
          </w:tcPr>
          <w:p>
            <w:pPr>
              <w:pStyle w:val="0"/>
              <w:jc w:val="center"/>
            </w:pPr>
            <w:r>
              <w:rPr>
                <w:sz w:val="20"/>
              </w:rPr>
              <w:t xml:space="preserve">151106,1</w:t>
            </w:r>
          </w:p>
        </w:tc>
        <w:tc>
          <w:tcPr>
            <w:tcW w:w="1531" w:type="dxa"/>
          </w:tcPr>
          <w:p>
            <w:pPr>
              <w:pStyle w:val="0"/>
              <w:jc w:val="center"/>
            </w:pPr>
            <w:r>
              <w:rPr>
                <w:sz w:val="20"/>
              </w:rPr>
              <w:t xml:space="preserve">11373,6</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162479,7</w:t>
            </w:r>
          </w:p>
        </w:tc>
      </w:tr>
      <w:tr>
        <w:tc>
          <w:tcPr>
            <w:tcW w:w="1474" w:type="dxa"/>
          </w:tcPr>
          <w:p>
            <w:pPr>
              <w:pStyle w:val="0"/>
              <w:jc w:val="both"/>
            </w:pPr>
            <w:r>
              <w:rPr>
                <w:sz w:val="20"/>
              </w:rPr>
              <w:t xml:space="preserve">2030 год</w:t>
            </w:r>
          </w:p>
        </w:tc>
        <w:tc>
          <w:tcPr>
            <w:tcW w:w="1587" w:type="dxa"/>
          </w:tcPr>
          <w:p>
            <w:pPr>
              <w:pStyle w:val="0"/>
              <w:jc w:val="center"/>
            </w:pPr>
            <w:r>
              <w:rPr>
                <w:sz w:val="20"/>
              </w:rPr>
              <w:t xml:space="preserve">155337,1</w:t>
            </w:r>
          </w:p>
        </w:tc>
        <w:tc>
          <w:tcPr>
            <w:tcW w:w="1531" w:type="dxa"/>
          </w:tcPr>
          <w:p>
            <w:pPr>
              <w:pStyle w:val="0"/>
              <w:jc w:val="center"/>
            </w:pPr>
            <w:r>
              <w:rPr>
                <w:sz w:val="20"/>
              </w:rPr>
              <w:t xml:space="preserve">11692,1</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167029,2</w:t>
            </w:r>
          </w:p>
        </w:tc>
      </w:tr>
      <w:tr>
        <w:tc>
          <w:tcPr>
            <w:tcW w:w="1474" w:type="dxa"/>
          </w:tcPr>
          <w:p>
            <w:pPr>
              <w:pStyle w:val="0"/>
              <w:jc w:val="both"/>
            </w:pPr>
            <w:r>
              <w:rPr>
                <w:sz w:val="20"/>
              </w:rPr>
              <w:t xml:space="preserve">Всего</w:t>
            </w:r>
          </w:p>
        </w:tc>
        <w:tc>
          <w:tcPr>
            <w:tcW w:w="1587" w:type="dxa"/>
          </w:tcPr>
          <w:p>
            <w:pPr>
              <w:pStyle w:val="0"/>
              <w:jc w:val="center"/>
            </w:pPr>
            <w:r>
              <w:rPr>
                <w:sz w:val="20"/>
              </w:rPr>
              <w:t xml:space="preserve">1185430,1</w:t>
            </w:r>
          </w:p>
        </w:tc>
        <w:tc>
          <w:tcPr>
            <w:tcW w:w="1531" w:type="dxa"/>
          </w:tcPr>
          <w:p>
            <w:pPr>
              <w:pStyle w:val="0"/>
              <w:jc w:val="center"/>
            </w:pPr>
            <w:r>
              <w:rPr>
                <w:sz w:val="20"/>
              </w:rPr>
              <w:t xml:space="preserve">82062,0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1267492,1</w:t>
            </w:r>
          </w:p>
        </w:tc>
      </w:tr>
    </w:tbl>
    <w:p>
      <w:pPr>
        <w:pStyle w:val="0"/>
        <w:jc w:val="both"/>
      </w:pPr>
      <w:r>
        <w:rPr>
          <w:sz w:val="20"/>
        </w:rPr>
        <w:t xml:space="preserve">(п. 7 в ред. </w:t>
      </w:r>
      <w:hyperlink w:history="0" r:id="rId21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ind w:firstLine="540"/>
        <w:jc w:val="both"/>
      </w:pPr>
      <w:r>
        <w:rPr>
          <w:sz w:val="20"/>
        </w:rPr>
      </w:r>
    </w:p>
    <w:p>
      <w:pPr>
        <w:pStyle w:val="0"/>
        <w:ind w:firstLine="540"/>
        <w:jc w:val="both"/>
      </w:pPr>
      <w:r>
        <w:rPr>
          <w:sz w:val="20"/>
        </w:rPr>
        <w:t xml:space="preserve">8. Ожидаемые результаты реализации подпрограммы 4:</w:t>
      </w:r>
    </w:p>
    <w:p>
      <w:pPr>
        <w:pStyle w:val="0"/>
        <w:spacing w:before="200" w:line-rule="auto"/>
        <w:ind w:firstLine="540"/>
        <w:jc w:val="both"/>
      </w:pPr>
      <w:r>
        <w:rPr>
          <w:sz w:val="20"/>
        </w:rPr>
        <w:t xml:space="preserve">- увеличение охвата медицинской реабилитацией детей после оказания специализированной медицинской помощи до 25% в 2030 году;</w:t>
      </w:r>
    </w:p>
    <w:p>
      <w:pPr>
        <w:pStyle w:val="0"/>
        <w:spacing w:before="200" w:line-rule="auto"/>
        <w:ind w:firstLine="540"/>
        <w:jc w:val="both"/>
      </w:pPr>
      <w:r>
        <w:rPr>
          <w:sz w:val="20"/>
        </w:rPr>
        <w:t xml:space="preserve">- увеличение охвата медицинской реабилитацией детей-инвалидов из числа нуждающихся до 85,0% в 2030 году;</w:t>
      </w:r>
    </w:p>
    <w:p>
      <w:pPr>
        <w:pStyle w:val="0"/>
        <w:spacing w:before="200" w:line-rule="auto"/>
        <w:ind w:firstLine="540"/>
        <w:jc w:val="both"/>
      </w:pPr>
      <w:r>
        <w:rPr>
          <w:sz w:val="20"/>
        </w:rPr>
        <w:t xml:space="preserve">- сохранение доли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на уровне 95% до 2025 года;</w:t>
      </w:r>
    </w:p>
    <w:p>
      <w:pPr>
        <w:pStyle w:val="0"/>
        <w:spacing w:before="200" w:line-rule="auto"/>
        <w:ind w:firstLine="540"/>
        <w:jc w:val="both"/>
      </w:pPr>
      <w:r>
        <w:rPr>
          <w:sz w:val="20"/>
        </w:rPr>
        <w:t xml:space="preserve">- увеличение доли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до 25% к 2025 году;</w:t>
      </w:r>
    </w:p>
    <w:p>
      <w:pPr>
        <w:pStyle w:val="0"/>
        <w:spacing w:before="200" w:line-rule="auto"/>
        <w:ind w:firstLine="540"/>
        <w:jc w:val="both"/>
      </w:pPr>
      <w:r>
        <w:rPr>
          <w:sz w:val="20"/>
        </w:rPr>
        <w:t xml:space="preserve">- увеличение доли оснащенных современным медицинским оборудованием медицинских организаций, осуществляющих медицинскую реабилитацию, до 90% к 2025 году;</w:t>
      </w:r>
    </w:p>
    <w:p>
      <w:pPr>
        <w:pStyle w:val="0"/>
        <w:spacing w:before="200" w:line-rule="auto"/>
        <w:ind w:firstLine="540"/>
        <w:jc w:val="both"/>
      </w:pPr>
      <w:r>
        <w:rPr>
          <w:sz w:val="20"/>
        </w:rPr>
        <w:t xml:space="preserve">- увеличение охвата граждан информацией о возможностях медицинской реабилитации в личном кабинете "Мое здоровье" на Едином портале государственных и муниципальных услуг (функций) до 60% к 2025 году.</w:t>
      </w:r>
    </w:p>
    <w:p>
      <w:pPr>
        <w:pStyle w:val="0"/>
      </w:pPr>
      <w:r>
        <w:rPr>
          <w:sz w:val="20"/>
        </w:rPr>
      </w:r>
    </w:p>
    <w:p>
      <w:pPr>
        <w:pStyle w:val="2"/>
        <w:outlineLvl w:val="2"/>
        <w:jc w:val="center"/>
      </w:pPr>
      <w:r>
        <w:rPr>
          <w:sz w:val="20"/>
        </w:rPr>
        <w:t xml:space="preserve">I. Характеристика фактического состояния сферы реализации</w:t>
      </w:r>
    </w:p>
    <w:p>
      <w:pPr>
        <w:pStyle w:val="2"/>
        <w:jc w:val="center"/>
      </w:pPr>
      <w:r>
        <w:rPr>
          <w:sz w:val="20"/>
        </w:rPr>
        <w:t xml:space="preserve">подпрограммы 4 и прогноз развития на перспективу</w:t>
      </w:r>
    </w:p>
    <w:p>
      <w:pPr>
        <w:pStyle w:val="0"/>
      </w:pPr>
      <w:r>
        <w:rPr>
          <w:sz w:val="20"/>
        </w:rPr>
      </w:r>
    </w:p>
    <w:p>
      <w:pPr>
        <w:pStyle w:val="0"/>
        <w:ind w:firstLine="540"/>
        <w:jc w:val="both"/>
      </w:pPr>
      <w:r>
        <w:rPr>
          <w:sz w:val="20"/>
        </w:rPr>
        <w:t xml:space="preserve">За период с 2019 по 2021 год количество инвалидов в г. Севастополе увеличилось на 571 человека, это связано с увеличением численности населения. С 2019 по 2021 год количество населения в г. Севастополе увеличилось на 66780 человек.</w:t>
      </w:r>
    </w:p>
    <w:p>
      <w:pPr>
        <w:pStyle w:val="0"/>
        <w:spacing w:before="200" w:line-rule="auto"/>
        <w:ind w:firstLine="540"/>
        <w:jc w:val="both"/>
      </w:pPr>
      <w:r>
        <w:rPr>
          <w:sz w:val="20"/>
        </w:rPr>
        <w:t xml:space="preserve">Среди взрослого населения в структуре по классам болезней на первом месте стоит инвалидность по онкологическим заболеваниям (18%), на втором месте - инвалидность по заболеваниям системы кровообращения (14%).</w:t>
      </w:r>
    </w:p>
    <w:p>
      <w:pPr>
        <w:pStyle w:val="0"/>
        <w:spacing w:before="200" w:line-rule="auto"/>
        <w:ind w:firstLine="540"/>
        <w:jc w:val="both"/>
      </w:pPr>
      <w:r>
        <w:rPr>
          <w:sz w:val="20"/>
        </w:rPr>
        <w:t xml:space="preserve">Структура по классам болезней, приведших к инвалидности в 2021 году детское население, следующая:</w:t>
      </w:r>
    </w:p>
    <w:p>
      <w:pPr>
        <w:pStyle w:val="0"/>
        <w:spacing w:before="200" w:line-rule="auto"/>
        <w:ind w:firstLine="540"/>
        <w:jc w:val="both"/>
      </w:pPr>
      <w:r>
        <w:rPr>
          <w:sz w:val="20"/>
        </w:rPr>
        <w:t xml:space="preserve">- психические расстройства и расстройства поведения (28%);</w:t>
      </w:r>
    </w:p>
    <w:p>
      <w:pPr>
        <w:pStyle w:val="0"/>
        <w:spacing w:before="200" w:line-rule="auto"/>
        <w:ind w:firstLine="540"/>
        <w:jc w:val="both"/>
      </w:pPr>
      <w:r>
        <w:rPr>
          <w:sz w:val="20"/>
        </w:rPr>
        <w:t xml:space="preserve">- болезни нервной системы (20%);</w:t>
      </w:r>
    </w:p>
    <w:p>
      <w:pPr>
        <w:pStyle w:val="0"/>
        <w:spacing w:before="200" w:line-rule="auto"/>
        <w:ind w:firstLine="540"/>
        <w:jc w:val="both"/>
      </w:pPr>
      <w:r>
        <w:rPr>
          <w:sz w:val="20"/>
        </w:rPr>
        <w:t xml:space="preserve">- врожденные аномалии (пороки развития), деформации и хромосомные нарушения (19%);</w:t>
      </w:r>
    </w:p>
    <w:p>
      <w:pPr>
        <w:pStyle w:val="0"/>
        <w:spacing w:before="200" w:line-rule="auto"/>
        <w:ind w:firstLine="540"/>
        <w:jc w:val="both"/>
      </w:pPr>
      <w:r>
        <w:rPr>
          <w:sz w:val="20"/>
        </w:rPr>
        <w:t xml:space="preserve">- болезни эндокринной системы (12,5%);</w:t>
      </w:r>
    </w:p>
    <w:p>
      <w:pPr>
        <w:pStyle w:val="0"/>
        <w:spacing w:before="200" w:line-rule="auto"/>
        <w:ind w:firstLine="540"/>
        <w:jc w:val="both"/>
      </w:pPr>
      <w:r>
        <w:rPr>
          <w:sz w:val="20"/>
        </w:rPr>
        <w:t xml:space="preserve">- нейросенсорная глухота (5,8%).</w:t>
      </w:r>
    </w:p>
    <w:p>
      <w:pPr>
        <w:pStyle w:val="0"/>
        <w:spacing w:before="200" w:line-rule="auto"/>
        <w:ind w:firstLine="540"/>
        <w:jc w:val="both"/>
      </w:pPr>
      <w:r>
        <w:rPr>
          <w:sz w:val="20"/>
        </w:rPr>
        <w:t xml:space="preserve">На долю других болезней приходилось в общем не более 14,7%.</w:t>
      </w:r>
    </w:p>
    <w:p>
      <w:pPr>
        <w:pStyle w:val="0"/>
        <w:spacing w:before="200" w:line-rule="auto"/>
        <w:ind w:firstLine="540"/>
        <w:jc w:val="both"/>
      </w:pPr>
      <w:r>
        <w:rPr>
          <w:sz w:val="20"/>
        </w:rPr>
        <w:t xml:space="preserve">Абсолютное число детей-инвалидов с психическими расстройствами в Российской Федерации (далее - РФ) на 01.01.2019 составило 175187 человек. Из них на долю детей-инвалидов с умственной отсталостью приходилось 59,4%, доля детей-инвалидов, имеющих расстройства психологического развития, составляла 21,9% (в том числе аутизм - 11,1%), доля детей-инвалидов с органическими (включая симптоматические) психическими расстройствами была равна 14,8%. В РФ число детей-инвалидов с психическими расстройствами в структуре детской инвалидности вышло на 1-е место.</w:t>
      </w:r>
    </w:p>
    <w:p>
      <w:pPr>
        <w:pStyle w:val="0"/>
        <w:spacing w:before="200" w:line-rule="auto"/>
        <w:ind w:firstLine="540"/>
        <w:jc w:val="both"/>
      </w:pPr>
      <w:r>
        <w:rPr>
          <w:sz w:val="20"/>
        </w:rPr>
        <w:t xml:space="preserve">Абсолютное число детей-инвалидов с болезнями нервной системы в РФ на 01.01.2019 составляло 165430 человек. Среди них наибольшей была доля детей-инвалидов с детским церебральным параличом и другими паралитическими синдромами (55,4%), на долю детей-инвалидов с эпизодическими и пароксизмальными расстройствами (эпилепсия и другие пароксизмальные расстройства) приходилось 8,6%, с воспалительными болезнями центральной нервной системы - 4,5%, болезнями нервно-мышечного синапса и мышц - 2,0%. В качестве других поражений нервной системы было квалифицировано 29,2% случаев.</w:t>
      </w:r>
    </w:p>
    <w:p>
      <w:pPr>
        <w:pStyle w:val="0"/>
        <w:spacing w:before="200" w:line-rule="auto"/>
        <w:ind w:firstLine="540"/>
        <w:jc w:val="both"/>
      </w:pPr>
      <w:r>
        <w:rPr>
          <w:sz w:val="20"/>
        </w:rPr>
        <w:t xml:space="preserve">В г. Севастополе насчитывается 349 детей с поражением ЦНС, что составляет 20% в структуре детской инвалидности (2-е место), 19% составляют пороки развития (332 ребенка), занимая 3-е место в структуре детской инвалидности.</w:t>
      </w:r>
    </w:p>
    <w:p>
      <w:pPr>
        <w:pStyle w:val="0"/>
        <w:spacing w:before="200" w:line-rule="auto"/>
        <w:ind w:firstLine="540"/>
        <w:jc w:val="both"/>
      </w:pPr>
      <w:r>
        <w:rPr>
          <w:sz w:val="20"/>
        </w:rPr>
        <w:t xml:space="preserve">В РФ наиболее острой проблемой в настоящее время является инвалидность детского населения вследствие психических расстройств и расстройств поведения, среди которых доминирует умственная отсталость, растет количество расстройств аутистического спектра, данное заболевание занимает третий год подряд 1-е место в структуре детской инвалидности, 2-е место - болезни нервной системы (преобладает детский церебральный паралич); 3-е - врожденные аномалии (пороки развития), деформации и хромосомные нарушения (преобладают аномалии системы кровообращения). Указанные классы болезней, которые в структуре первичной детской инвалидности РФ составляли к 2021 году в совокупности примерно 66% случаев, в основном формируют инвалидность у детей. Такая же тенденция отмечается в г. Севастополе - 67,5%.</w:t>
      </w:r>
    </w:p>
    <w:p>
      <w:pPr>
        <w:pStyle w:val="0"/>
        <w:spacing w:before="200" w:line-rule="auto"/>
        <w:ind w:firstLine="540"/>
        <w:jc w:val="both"/>
      </w:pPr>
      <w:r>
        <w:rPr>
          <w:sz w:val="20"/>
        </w:rPr>
        <w:t xml:space="preserve">В течение последних трех лет отмечается повышение доли инвалидов всех возрастных групп, в т.ч. детей-инвалидов, нуждающихся в медицинской реабилитации, как от числа направленных на медицинскую реабилитацию (в %), так и от числа завершивших ее.</w:t>
      </w:r>
    </w:p>
    <w:p>
      <w:pPr>
        <w:pStyle w:val="0"/>
        <w:spacing w:before="200" w:line-rule="auto"/>
        <w:ind w:firstLine="540"/>
        <w:jc w:val="both"/>
      </w:pPr>
      <w:r>
        <w:rPr>
          <w:sz w:val="20"/>
        </w:rPr>
        <w:t xml:space="preserve">Для стабилизации уровня инвалидизации детского населения города проводится своевременное лечение диспансерных детей, реабилитация детей-инвалидов в условиях стационарных отделений, санаторно-курортное лечение.</w:t>
      </w:r>
    </w:p>
    <w:p>
      <w:pPr>
        <w:pStyle w:val="0"/>
        <w:spacing w:before="200" w:line-rule="auto"/>
        <w:ind w:firstLine="540"/>
        <w:jc w:val="both"/>
      </w:pPr>
      <w:r>
        <w:rPr>
          <w:sz w:val="20"/>
        </w:rPr>
        <w:t xml:space="preserve">Мероприятия, направленные на предупреждение детской инвалидности и развитие медицинской реабилитации:</w:t>
      </w:r>
    </w:p>
    <w:p>
      <w:pPr>
        <w:pStyle w:val="0"/>
        <w:spacing w:before="200" w:line-rule="auto"/>
        <w:ind w:firstLine="540"/>
        <w:jc w:val="both"/>
      </w:pPr>
      <w:r>
        <w:rPr>
          <w:sz w:val="20"/>
        </w:rPr>
        <w:t xml:space="preserve">- приведение отделения патологии новорожденных в соответствие нормативным требованиям, которое повысит эффективность реабилитации новорожденных детей, прошедших через реанимационное отделение, и с экстремально низкой массой тела (до 2 лет);</w:t>
      </w:r>
    </w:p>
    <w:p>
      <w:pPr>
        <w:pStyle w:val="0"/>
        <w:spacing w:before="200" w:line-rule="auto"/>
        <w:ind w:firstLine="540"/>
        <w:jc w:val="both"/>
      </w:pPr>
      <w:r>
        <w:rPr>
          <w:sz w:val="20"/>
        </w:rPr>
        <w:t xml:space="preserve">- планирование проведения капитального ремонта с реконструкцией, оснащением медицинским оборудованием ГБУЗС "ГБ N 5";</w:t>
      </w:r>
    </w:p>
    <w:p>
      <w:pPr>
        <w:pStyle w:val="0"/>
        <w:spacing w:before="200" w:line-rule="auto"/>
        <w:ind w:firstLine="540"/>
        <w:jc w:val="both"/>
      </w:pPr>
      <w:r>
        <w:rPr>
          <w:sz w:val="20"/>
        </w:rPr>
        <w:t xml:space="preserve">- направление детей, нуждающихся в реабилитации, в отделения реабилитации санаторных учреждений Республики Крым и федеральные медицинские учреждения;</w:t>
      </w:r>
    </w:p>
    <w:p>
      <w:pPr>
        <w:pStyle w:val="0"/>
        <w:spacing w:before="200" w:line-rule="auto"/>
        <w:ind w:firstLine="540"/>
        <w:jc w:val="both"/>
      </w:pPr>
      <w:r>
        <w:rPr>
          <w:sz w:val="20"/>
        </w:rPr>
        <w:t xml:space="preserve">- создание отделений медицинской реабилитации на базе медицинских организаций;</w:t>
      </w:r>
    </w:p>
    <w:p>
      <w:pPr>
        <w:pStyle w:val="0"/>
        <w:spacing w:before="200" w:line-rule="auto"/>
        <w:ind w:firstLine="540"/>
        <w:jc w:val="both"/>
      </w:pPr>
      <w:r>
        <w:rPr>
          <w:sz w:val="20"/>
        </w:rPr>
        <w:t xml:space="preserve">- оснащение медицинским оборудованием создаваемых отделений медицинской реабилитации и укомплектование необходимыми кадрами.</w:t>
      </w:r>
    </w:p>
    <w:p>
      <w:pPr>
        <w:pStyle w:val="0"/>
      </w:pPr>
      <w:r>
        <w:rPr>
          <w:sz w:val="20"/>
        </w:rPr>
      </w:r>
    </w:p>
    <w:p>
      <w:pPr>
        <w:pStyle w:val="2"/>
        <w:outlineLvl w:val="2"/>
        <w:jc w:val="center"/>
      </w:pPr>
      <w:r>
        <w:rPr>
          <w:sz w:val="20"/>
        </w:rPr>
        <w:t xml:space="preserve">II. Приоритеты, цели, задачи и показатели (целевые</w:t>
      </w:r>
    </w:p>
    <w:p>
      <w:pPr>
        <w:pStyle w:val="2"/>
        <w:jc w:val="center"/>
      </w:pPr>
      <w:r>
        <w:rPr>
          <w:sz w:val="20"/>
        </w:rPr>
        <w:t xml:space="preserve">индикаторы), результаты, этапы и сроки реализации</w:t>
      </w:r>
    </w:p>
    <w:p>
      <w:pPr>
        <w:pStyle w:val="2"/>
        <w:jc w:val="center"/>
      </w:pPr>
      <w:r>
        <w:rPr>
          <w:sz w:val="20"/>
        </w:rPr>
        <w:t xml:space="preserve">подпрограммы 4</w:t>
      </w:r>
    </w:p>
    <w:p>
      <w:pPr>
        <w:pStyle w:val="0"/>
      </w:pPr>
      <w:r>
        <w:rPr>
          <w:sz w:val="20"/>
        </w:rPr>
      </w:r>
    </w:p>
    <w:p>
      <w:pPr>
        <w:pStyle w:val="0"/>
        <w:ind w:firstLine="540"/>
        <w:jc w:val="both"/>
      </w:pPr>
      <w:r>
        <w:rPr>
          <w:sz w:val="20"/>
        </w:rPr>
        <w:t xml:space="preserve">Основные приоритеты в области развития реабилитации направлены на повышение эффективности функционирования системы здравоохранения, улучшение состояния здоровья детей, снижение смертности от управляемых причин и предупреждение распространения социально значимых заболеваний, формирование условий для развития здорового образа жизни.</w:t>
      </w:r>
    </w:p>
    <w:p>
      <w:pPr>
        <w:pStyle w:val="0"/>
        <w:spacing w:before="200" w:line-rule="auto"/>
        <w:ind w:firstLine="540"/>
        <w:jc w:val="both"/>
      </w:pPr>
      <w:r>
        <w:rPr>
          <w:sz w:val="20"/>
        </w:rPr>
        <w:t xml:space="preserve">Целью реализации подпрограммы 4 является совершенствование медицинской реабилитации.</w:t>
      </w:r>
    </w:p>
    <w:p>
      <w:pPr>
        <w:pStyle w:val="0"/>
        <w:spacing w:before="200" w:line-rule="auto"/>
        <w:ind w:firstLine="540"/>
        <w:jc w:val="both"/>
      </w:pPr>
      <w:r>
        <w:rPr>
          <w:sz w:val="20"/>
        </w:rPr>
        <w:t xml:space="preserve">Задачи подпрограммы 4:</w:t>
      </w:r>
    </w:p>
    <w:p>
      <w:pPr>
        <w:pStyle w:val="0"/>
        <w:spacing w:before="200" w:line-rule="auto"/>
        <w:ind w:firstLine="540"/>
        <w:jc w:val="both"/>
      </w:pPr>
      <w:r>
        <w:rPr>
          <w:sz w:val="20"/>
        </w:rPr>
        <w:t xml:space="preserve">- предупреждение и снижение детской инвалидности;</w:t>
      </w:r>
    </w:p>
    <w:p>
      <w:pPr>
        <w:pStyle w:val="0"/>
        <w:spacing w:before="200" w:line-rule="auto"/>
        <w:ind w:firstLine="540"/>
        <w:jc w:val="both"/>
      </w:pPr>
      <w:r>
        <w:rPr>
          <w:sz w:val="20"/>
        </w:rPr>
        <w:t xml:space="preserve">- обеспечение медицинской реабилитацией нуждающихся детей-инвалидов;</w:t>
      </w:r>
    </w:p>
    <w:p>
      <w:pPr>
        <w:pStyle w:val="0"/>
        <w:spacing w:before="200" w:line-rule="auto"/>
        <w:ind w:firstLine="540"/>
        <w:jc w:val="both"/>
      </w:pPr>
      <w:r>
        <w:rPr>
          <w:sz w:val="20"/>
        </w:rPr>
        <w:t xml:space="preserve">- обеспечение доступности медицинской реабилитации на всех этапах;</w:t>
      </w:r>
    </w:p>
    <w:p>
      <w:pPr>
        <w:pStyle w:val="0"/>
        <w:spacing w:before="200" w:line-rule="auto"/>
        <w:ind w:firstLine="540"/>
        <w:jc w:val="both"/>
      </w:pPr>
      <w:r>
        <w:rPr>
          <w:sz w:val="20"/>
        </w:rPr>
        <w:t xml:space="preserve">- совершенствование и развитие организации медицинской реабилитации в рамках оказания специализированной, в том числе высокотехнологичной, медицинской помощи (I, II этапы);</w:t>
      </w:r>
    </w:p>
    <w:p>
      <w:pPr>
        <w:pStyle w:val="0"/>
        <w:spacing w:before="200" w:line-rule="auto"/>
        <w:ind w:firstLine="540"/>
        <w:jc w:val="both"/>
      </w:pPr>
      <w:r>
        <w:rPr>
          <w:sz w:val="20"/>
        </w:rPr>
        <w:t xml:space="preserve">- совершенствование и развитие организации медицинской реабилитации в рамках оказания первичной медико-санитарной помощи в амбулаторных условиях и условиях дневного стационара (III этап);</w:t>
      </w:r>
    </w:p>
    <w:p>
      <w:pPr>
        <w:pStyle w:val="0"/>
        <w:spacing w:before="200" w:line-rule="auto"/>
        <w:ind w:firstLine="540"/>
        <w:jc w:val="both"/>
      </w:pPr>
      <w:r>
        <w:rPr>
          <w:sz w:val="20"/>
        </w:rPr>
        <w:t xml:space="preserve">- кадровое обеспечение реабилитационной службы города Севастополя;</w:t>
      </w:r>
    </w:p>
    <w:p>
      <w:pPr>
        <w:pStyle w:val="0"/>
        <w:spacing w:before="200" w:line-rule="auto"/>
        <w:ind w:firstLine="540"/>
        <w:jc w:val="both"/>
      </w:pPr>
      <w:r>
        <w:rPr>
          <w:sz w:val="20"/>
        </w:rPr>
        <w:t xml:space="preserve">- организационно-методическое сопровождение деятельности реабилитационной службы города Севастополя;</w:t>
      </w:r>
    </w:p>
    <w:p>
      <w:pPr>
        <w:pStyle w:val="0"/>
        <w:spacing w:before="200" w:line-rule="auto"/>
        <w:ind w:firstLine="540"/>
        <w:jc w:val="both"/>
      </w:pPr>
      <w:r>
        <w:rPr>
          <w:sz w:val="20"/>
        </w:rPr>
        <w:t xml:space="preserve">- информирование граждан о возможностях медицинской реабилитации;</w:t>
      </w:r>
    </w:p>
    <w:p>
      <w:pPr>
        <w:pStyle w:val="0"/>
        <w:spacing w:before="200" w:line-rule="auto"/>
        <w:ind w:firstLine="540"/>
        <w:jc w:val="both"/>
      </w:pPr>
      <w:r>
        <w:rPr>
          <w:sz w:val="20"/>
        </w:rPr>
        <w:t xml:space="preserve">- укрепление материально-технической базы службы медицинской реабилитации города Севастополя;</w:t>
      </w:r>
    </w:p>
    <w:p>
      <w:pPr>
        <w:pStyle w:val="0"/>
        <w:spacing w:before="200" w:line-rule="auto"/>
        <w:ind w:firstLine="540"/>
        <w:jc w:val="both"/>
      </w:pPr>
      <w:r>
        <w:rPr>
          <w:sz w:val="20"/>
        </w:rPr>
        <w:t xml:space="preserve">- разработка и внедрение порядка медицинской реабилитации с применением телемедицинских технологий;</w:t>
      </w:r>
    </w:p>
    <w:p>
      <w:pPr>
        <w:pStyle w:val="0"/>
        <w:spacing w:before="200" w:line-rule="auto"/>
        <w:ind w:firstLine="540"/>
        <w:jc w:val="both"/>
      </w:pPr>
      <w:r>
        <w:rPr>
          <w:sz w:val="20"/>
        </w:rPr>
        <w:t xml:space="preserve">- внедрение клинических рекомендаций при оказании медицинской помощи по профилю "медицинская реабилитация";</w:t>
      </w:r>
    </w:p>
    <w:p>
      <w:pPr>
        <w:pStyle w:val="0"/>
        <w:spacing w:before="200" w:line-rule="auto"/>
        <w:ind w:firstLine="540"/>
        <w:jc w:val="both"/>
      </w:pPr>
      <w:r>
        <w:rPr>
          <w:sz w:val="20"/>
        </w:rPr>
        <w:t xml:space="preserve">- обеспечение соответствия оказания медицинской реабилитации требованиям приказов Министерства здравоохранения Российской Федерации от 31.07.2020 </w:t>
      </w:r>
      <w:hyperlink w:history="0" r:id="rId214"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N 788н</w:t>
        </w:r>
      </w:hyperlink>
      <w:r>
        <w:rPr>
          <w:sz w:val="20"/>
        </w:rPr>
        <w:t xml:space="preserve"> "Об утверждении Порядка организации медицинской реабилитации взрослых" и от 23.10.2019 </w:t>
      </w:r>
      <w:hyperlink w:history="0" r:id="rId215"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N 878н</w:t>
        </w:r>
      </w:hyperlink>
      <w:r>
        <w:rPr>
          <w:sz w:val="20"/>
        </w:rPr>
        <w:t xml:space="preserve"> "Об утверждении Порядка организации медицинской реабилитации детей".</w:t>
      </w:r>
    </w:p>
    <w:p>
      <w:pPr>
        <w:pStyle w:val="0"/>
        <w:spacing w:before="200" w:line-rule="auto"/>
        <w:ind w:firstLine="540"/>
        <w:jc w:val="both"/>
      </w:pPr>
      <w:hyperlink w:history="0" w:anchor="P2921" w:tooltip="Сведения о показателях (индикаторах) государственной">
        <w:r>
          <w:rPr>
            <w:sz w:val="20"/>
            <w:color w:val="0000ff"/>
          </w:rPr>
          <w:t xml:space="preserve">Сведения</w:t>
        </w:r>
      </w:hyperlink>
      <w:r>
        <w:rPr>
          <w:sz w:val="20"/>
        </w:rPr>
        <w:t xml:space="preserve"> о целевых показателях (индикаторах) подпрограммы 4 представлены в приложении N 1 к Программе.</w:t>
      </w:r>
    </w:p>
    <w:p>
      <w:pPr>
        <w:pStyle w:val="0"/>
        <w:spacing w:before="200" w:line-rule="auto"/>
        <w:ind w:firstLine="540"/>
        <w:jc w:val="both"/>
      </w:pPr>
      <w:r>
        <w:rPr>
          <w:sz w:val="20"/>
        </w:rPr>
        <w:t xml:space="preserve">Срок реализации подпрограммы 4: с 2022 по 2030 год.</w:t>
      </w:r>
    </w:p>
    <w:p>
      <w:pPr>
        <w:pStyle w:val="0"/>
      </w:pPr>
      <w:r>
        <w:rPr>
          <w:sz w:val="20"/>
        </w:rPr>
      </w:r>
    </w:p>
    <w:p>
      <w:pPr>
        <w:pStyle w:val="2"/>
        <w:outlineLvl w:val="2"/>
        <w:jc w:val="center"/>
      </w:pPr>
      <w:r>
        <w:rPr>
          <w:sz w:val="20"/>
        </w:rPr>
        <w:t xml:space="preserve">III. Характеристика основных мероприятий подпрограммы 4</w:t>
      </w:r>
    </w:p>
    <w:p>
      <w:pPr>
        <w:pStyle w:val="0"/>
      </w:pPr>
      <w:r>
        <w:rPr>
          <w:sz w:val="20"/>
        </w:rPr>
      </w:r>
    </w:p>
    <w:p>
      <w:pPr>
        <w:pStyle w:val="0"/>
        <w:ind w:firstLine="540"/>
        <w:jc w:val="both"/>
      </w:pPr>
      <w:r>
        <w:rPr>
          <w:sz w:val="20"/>
        </w:rPr>
        <w:t xml:space="preserve">Материально-техническая база учреждений для проведения медицинской реабилитации детей устарела, изношена и нуждается в обновлении. Оснащение учреждений не соответствует утвержденным порядкам оказания медицинской помощи детям.</w:t>
      </w:r>
    </w:p>
    <w:p>
      <w:pPr>
        <w:pStyle w:val="0"/>
        <w:spacing w:before="200" w:line-rule="auto"/>
        <w:ind w:firstLine="540"/>
        <w:jc w:val="both"/>
      </w:pPr>
      <w:r>
        <w:rPr>
          <w:sz w:val="20"/>
        </w:rPr>
        <w:t xml:space="preserve">Для увеличения охвата детей, в том числе детей-инвалидов, медицинской реабилитационной помощью, создания доступной среды для детей-инвалидов требуются проведение реконструкции, капитального ремонта и благоустройство территории ГБУЗС "ГБ N 5", а также оснащение его необходимым оборудованием.</w:t>
      </w:r>
    </w:p>
    <w:p>
      <w:pPr>
        <w:pStyle w:val="0"/>
        <w:spacing w:before="200" w:line-rule="auto"/>
        <w:ind w:firstLine="540"/>
        <w:jc w:val="both"/>
      </w:pPr>
      <w:r>
        <w:rPr>
          <w:sz w:val="20"/>
        </w:rPr>
        <w:t xml:space="preserve">Для увеличения охвата пациентов детского и взрослого возраста необходимой медицинской помощью по профилю "медицинская реабилитация" необходимо 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 Данное мероприятие будет реализовано в рамках региональной </w:t>
      </w:r>
      <w:hyperlink w:history="0" w:anchor="P41980" w:tooltip="Региональная программа">
        <w:r>
          <w:rPr>
            <w:sz w:val="20"/>
            <w:color w:val="0000ff"/>
          </w:rPr>
          <w:t xml:space="preserve">программы</w:t>
        </w:r>
      </w:hyperlink>
      <w:r>
        <w:rPr>
          <w:sz w:val="20"/>
        </w:rPr>
        <w:t xml:space="preserve"> "Оптимальная для восстановления здоровья медицинская реабилитация" (приложение N 15 к Программе).</w:t>
      </w:r>
    </w:p>
    <w:p>
      <w:pPr>
        <w:pStyle w:val="0"/>
        <w:spacing w:before="200" w:line-rule="auto"/>
        <w:ind w:firstLine="540"/>
        <w:jc w:val="both"/>
      </w:pPr>
      <w:r>
        <w:rPr>
          <w:sz w:val="20"/>
        </w:rPr>
        <w:t xml:space="preserve">Общий </w:t>
      </w:r>
      <w:hyperlink w:history="0" w:anchor="P4719" w:tooltip="Перечень основных мероприятий государственной программы">
        <w:r>
          <w:rPr>
            <w:sz w:val="20"/>
            <w:color w:val="0000ff"/>
          </w:rPr>
          <w:t xml:space="preserve">перечень</w:t>
        </w:r>
      </w:hyperlink>
      <w:r>
        <w:rPr>
          <w:sz w:val="20"/>
        </w:rPr>
        <w:t xml:space="preserve"> мероприятий подпрограммы 4 представлен в приложении N 2 к Программе.</w:t>
      </w:r>
    </w:p>
    <w:p>
      <w:pPr>
        <w:pStyle w:val="0"/>
        <w:ind w:firstLine="540"/>
        <w:jc w:val="both"/>
      </w:pPr>
      <w:r>
        <w:rPr>
          <w:sz w:val="20"/>
        </w:rPr>
      </w:r>
    </w:p>
    <w:p>
      <w:pPr>
        <w:pStyle w:val="2"/>
        <w:outlineLvl w:val="2"/>
        <w:jc w:val="center"/>
      </w:pPr>
      <w:r>
        <w:rPr>
          <w:sz w:val="20"/>
        </w:rPr>
        <w:t xml:space="preserve">IV. Характеристика мер государственного и правового</w:t>
      </w:r>
    </w:p>
    <w:p>
      <w:pPr>
        <w:pStyle w:val="2"/>
        <w:jc w:val="center"/>
      </w:pPr>
      <w:r>
        <w:rPr>
          <w:sz w:val="20"/>
        </w:rPr>
        <w:t xml:space="preserve">регулирования подпрограммы 4</w:t>
      </w:r>
    </w:p>
    <w:p>
      <w:pPr>
        <w:pStyle w:val="0"/>
        <w:ind w:firstLine="540"/>
        <w:jc w:val="both"/>
      </w:pPr>
      <w:r>
        <w:rPr>
          <w:sz w:val="20"/>
        </w:rPr>
      </w:r>
    </w:p>
    <w:p>
      <w:pPr>
        <w:pStyle w:val="0"/>
        <w:ind w:firstLine="540"/>
        <w:jc w:val="both"/>
      </w:pPr>
      <w:r>
        <w:rPr>
          <w:sz w:val="20"/>
        </w:rPr>
        <w:t xml:space="preserve">Государственное и правовое регулирование подпрограммы 4 осуществляется согласно </w:t>
      </w:r>
      <w:hyperlink w:history="0" w:anchor="P472" w:tooltip="IV. Характеристика мер государственного">
        <w:r>
          <w:rPr>
            <w:sz w:val="20"/>
            <w:color w:val="0000ff"/>
          </w:rPr>
          <w:t xml:space="preserve">разделу IV</w:t>
        </w:r>
      </w:hyperlink>
      <w:r>
        <w:rPr>
          <w:sz w:val="20"/>
        </w:rPr>
        <w:t xml:space="preserve"> Программы.</w:t>
      </w:r>
    </w:p>
    <w:p>
      <w:pPr>
        <w:pStyle w:val="0"/>
        <w:ind w:firstLine="540"/>
        <w:jc w:val="both"/>
      </w:pPr>
      <w:r>
        <w:rPr>
          <w:sz w:val="20"/>
        </w:rPr>
      </w:r>
    </w:p>
    <w:p>
      <w:pPr>
        <w:pStyle w:val="2"/>
        <w:outlineLvl w:val="2"/>
        <w:jc w:val="center"/>
      </w:pPr>
      <w:r>
        <w:rPr>
          <w:sz w:val="20"/>
        </w:rPr>
        <w:t xml:space="preserve">V. Ресурсное обеспечение, необходимое</w:t>
      </w:r>
    </w:p>
    <w:p>
      <w:pPr>
        <w:pStyle w:val="2"/>
        <w:jc w:val="center"/>
      </w:pPr>
      <w:r>
        <w:rPr>
          <w:sz w:val="20"/>
        </w:rPr>
        <w:t xml:space="preserve">для реализации подпрограммы 4</w:t>
      </w:r>
    </w:p>
    <w:p>
      <w:pPr>
        <w:pStyle w:val="0"/>
        <w:ind w:firstLine="540"/>
        <w:jc w:val="both"/>
      </w:pPr>
      <w:r>
        <w:rPr>
          <w:sz w:val="20"/>
        </w:rPr>
      </w:r>
    </w:p>
    <w:p>
      <w:pPr>
        <w:pStyle w:val="0"/>
        <w:ind w:firstLine="540"/>
        <w:jc w:val="both"/>
      </w:pPr>
      <w:r>
        <w:rPr>
          <w:sz w:val="20"/>
        </w:rPr>
        <w:t xml:space="preserve">Источниками финансирования мероприятий подпрограммы 4 являются средства федерального бюджета, средства бюджета города Севастополя.</w:t>
      </w:r>
    </w:p>
    <w:p>
      <w:pPr>
        <w:pStyle w:val="0"/>
        <w:spacing w:before="200" w:line-rule="auto"/>
        <w:ind w:firstLine="540"/>
        <w:jc w:val="both"/>
      </w:pPr>
      <w:r>
        <w:rPr>
          <w:sz w:val="20"/>
        </w:rPr>
        <w:t xml:space="preserve">Общий объем финансового обеспечения подпрограммы 4 в 2022 - 2030 годах составляет 1267492,1 тыс. руб., из них:</w:t>
      </w:r>
    </w:p>
    <w:p>
      <w:pPr>
        <w:pStyle w:val="0"/>
        <w:jc w:val="both"/>
      </w:pPr>
      <w:r>
        <w:rPr>
          <w:sz w:val="20"/>
        </w:rPr>
        <w:t xml:space="preserve">(в ред. </w:t>
      </w:r>
      <w:hyperlink w:history="0" r:id="rId21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средства федерального бюджета - 1185430,1 тыс. руб., в том числе:</w:t>
      </w:r>
    </w:p>
    <w:p>
      <w:pPr>
        <w:pStyle w:val="0"/>
        <w:jc w:val="both"/>
      </w:pPr>
      <w:r>
        <w:rPr>
          <w:sz w:val="20"/>
        </w:rPr>
        <w:t xml:space="preserve">(в ред. </w:t>
      </w:r>
      <w:hyperlink w:history="0" r:id="rId21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2022 г. - 68761,8 тыс. руб.;</w:t>
      </w:r>
    </w:p>
    <w:p>
      <w:pPr>
        <w:pStyle w:val="0"/>
        <w:jc w:val="both"/>
      </w:pPr>
      <w:r>
        <w:rPr>
          <w:sz w:val="20"/>
        </w:rPr>
        <w:t xml:space="preserve">(в ред. </w:t>
      </w:r>
      <w:hyperlink w:history="0" r:id="rId21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2023 г. - 110700,5 тыс. руб.;</w:t>
      </w:r>
    </w:p>
    <w:p>
      <w:pPr>
        <w:pStyle w:val="0"/>
        <w:jc w:val="both"/>
      </w:pPr>
      <w:r>
        <w:rPr>
          <w:sz w:val="20"/>
        </w:rPr>
        <w:t xml:space="preserve">(в ред. </w:t>
      </w:r>
      <w:hyperlink w:history="0" r:id="rId219"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2024 г. - 137007,2 тыс. руб.;</w:t>
      </w:r>
    </w:p>
    <w:p>
      <w:pPr>
        <w:pStyle w:val="0"/>
        <w:jc w:val="both"/>
      </w:pPr>
      <w:r>
        <w:rPr>
          <w:sz w:val="20"/>
        </w:rPr>
        <w:t xml:space="preserve">(в ред. </w:t>
      </w:r>
      <w:hyperlink w:history="0" r:id="rId22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2025 г. - 134126,5 тыс. руб.;</w:t>
      </w:r>
    </w:p>
    <w:p>
      <w:pPr>
        <w:pStyle w:val="0"/>
        <w:jc w:val="both"/>
      </w:pPr>
      <w:r>
        <w:rPr>
          <w:sz w:val="20"/>
        </w:rPr>
        <w:t xml:space="preserve">(в ред. </w:t>
      </w:r>
      <w:hyperlink w:history="0" r:id="rId221"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2026 г. - 138552,7 тыс. руб.;</w:t>
      </w:r>
    </w:p>
    <w:p>
      <w:pPr>
        <w:pStyle w:val="0"/>
        <w:jc w:val="both"/>
      </w:pPr>
      <w:r>
        <w:rPr>
          <w:sz w:val="20"/>
        </w:rPr>
        <w:t xml:space="preserve">(в ред. </w:t>
      </w:r>
      <w:hyperlink w:history="0" r:id="rId22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2027 г. - 142847,8 тыс. руб.;</w:t>
      </w:r>
    </w:p>
    <w:p>
      <w:pPr>
        <w:pStyle w:val="0"/>
        <w:jc w:val="both"/>
      </w:pPr>
      <w:r>
        <w:rPr>
          <w:sz w:val="20"/>
        </w:rPr>
        <w:t xml:space="preserve">(в ред. </w:t>
      </w:r>
      <w:hyperlink w:history="0" r:id="rId22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2028 г. - 146990,4 тыс. руб.;</w:t>
      </w:r>
    </w:p>
    <w:p>
      <w:pPr>
        <w:pStyle w:val="0"/>
        <w:jc w:val="both"/>
      </w:pPr>
      <w:r>
        <w:rPr>
          <w:sz w:val="20"/>
        </w:rPr>
        <w:t xml:space="preserve">(в ред. </w:t>
      </w:r>
      <w:hyperlink w:history="0" r:id="rId22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2029 г. - 151106,1 тыс. руб.;</w:t>
      </w:r>
    </w:p>
    <w:p>
      <w:pPr>
        <w:pStyle w:val="0"/>
        <w:jc w:val="both"/>
      </w:pPr>
      <w:r>
        <w:rPr>
          <w:sz w:val="20"/>
        </w:rPr>
        <w:t xml:space="preserve">(в ред. </w:t>
      </w:r>
      <w:hyperlink w:history="0" r:id="rId22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2030 г. - 155337,1 тыс. руб.;</w:t>
      </w:r>
    </w:p>
    <w:p>
      <w:pPr>
        <w:pStyle w:val="0"/>
        <w:jc w:val="both"/>
      </w:pPr>
      <w:r>
        <w:rPr>
          <w:sz w:val="20"/>
        </w:rPr>
        <w:t xml:space="preserve">(в ред. </w:t>
      </w:r>
      <w:hyperlink w:history="0" r:id="rId22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средства бюджета города Севастополя - 82062,0 тыс. руб., в том числе:</w:t>
      </w:r>
    </w:p>
    <w:p>
      <w:pPr>
        <w:pStyle w:val="0"/>
        <w:jc w:val="both"/>
      </w:pPr>
      <w:r>
        <w:rPr>
          <w:sz w:val="20"/>
        </w:rPr>
        <w:t xml:space="preserve">(в ред. </w:t>
      </w:r>
      <w:hyperlink w:history="0" r:id="rId22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2022 г. - 3619,0 тыс. руб.;</w:t>
      </w:r>
    </w:p>
    <w:p>
      <w:pPr>
        <w:pStyle w:val="0"/>
        <w:jc w:val="both"/>
      </w:pPr>
      <w:r>
        <w:rPr>
          <w:sz w:val="20"/>
        </w:rPr>
        <w:t xml:space="preserve">(в ред. </w:t>
      </w:r>
      <w:hyperlink w:history="0" r:id="rId22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2023 г. - 5826,4 тыс. руб.;</w:t>
      </w:r>
    </w:p>
    <w:p>
      <w:pPr>
        <w:pStyle w:val="0"/>
        <w:jc w:val="both"/>
      </w:pPr>
      <w:r>
        <w:rPr>
          <w:sz w:val="20"/>
        </w:rPr>
        <w:t xml:space="preserve">(в ред. </w:t>
      </w:r>
      <w:hyperlink w:history="0" r:id="rId229"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2024 г. - 7210,9 тыс. руб.;</w:t>
      </w:r>
    </w:p>
    <w:p>
      <w:pPr>
        <w:pStyle w:val="0"/>
        <w:spacing w:before="200" w:line-rule="auto"/>
        <w:ind w:firstLine="540"/>
        <w:jc w:val="both"/>
      </w:pPr>
      <w:r>
        <w:rPr>
          <w:sz w:val="20"/>
        </w:rPr>
        <w:t xml:space="preserve">2025 г. - 10095,5 тыс. руб.;</w:t>
      </w:r>
    </w:p>
    <w:p>
      <w:pPr>
        <w:pStyle w:val="0"/>
        <w:spacing w:before="200" w:line-rule="auto"/>
        <w:ind w:firstLine="540"/>
        <w:jc w:val="both"/>
      </w:pPr>
      <w:r>
        <w:rPr>
          <w:sz w:val="20"/>
        </w:rPr>
        <w:t xml:space="preserve">2026 г. - 10428,7 тыс. руб.;</w:t>
      </w:r>
    </w:p>
    <w:p>
      <w:pPr>
        <w:pStyle w:val="0"/>
        <w:spacing w:before="200" w:line-rule="auto"/>
        <w:ind w:firstLine="540"/>
        <w:jc w:val="both"/>
      </w:pPr>
      <w:r>
        <w:rPr>
          <w:sz w:val="20"/>
        </w:rPr>
        <w:t xml:space="preserve">2027 г. - 10752,0 тыс. руб.;</w:t>
      </w:r>
    </w:p>
    <w:p>
      <w:pPr>
        <w:pStyle w:val="0"/>
        <w:spacing w:before="200" w:line-rule="auto"/>
        <w:ind w:firstLine="540"/>
        <w:jc w:val="both"/>
      </w:pPr>
      <w:r>
        <w:rPr>
          <w:sz w:val="20"/>
        </w:rPr>
        <w:t xml:space="preserve">2028 г. - 11063,8 тыс. руб.;</w:t>
      </w:r>
    </w:p>
    <w:p>
      <w:pPr>
        <w:pStyle w:val="0"/>
        <w:spacing w:before="200" w:line-rule="auto"/>
        <w:ind w:firstLine="540"/>
        <w:jc w:val="both"/>
      </w:pPr>
      <w:r>
        <w:rPr>
          <w:sz w:val="20"/>
        </w:rPr>
        <w:t xml:space="preserve">2029 г. - 11373,6 тыс. руб.;</w:t>
      </w:r>
    </w:p>
    <w:p>
      <w:pPr>
        <w:pStyle w:val="0"/>
        <w:spacing w:before="200" w:line-rule="auto"/>
        <w:ind w:firstLine="540"/>
        <w:jc w:val="both"/>
      </w:pPr>
      <w:r>
        <w:rPr>
          <w:sz w:val="20"/>
        </w:rPr>
        <w:t xml:space="preserve">2030 г. - 11692,1 тыс. руб.;</w:t>
      </w:r>
    </w:p>
    <w:p>
      <w:pPr>
        <w:pStyle w:val="0"/>
        <w:spacing w:before="200" w:line-rule="auto"/>
        <w:ind w:firstLine="540"/>
        <w:jc w:val="both"/>
      </w:pPr>
      <w:r>
        <w:rPr>
          <w:sz w:val="20"/>
        </w:rPr>
        <w:t xml:space="preserve">средства бюджетов других субъектов Российской Федерации (город Москва)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внебюджетные средства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Ресурсное </w:t>
      </w:r>
      <w:hyperlink w:history="0" w:anchor="P5821" w:tooltip="Финансовое обеспечение реализации государственной программы">
        <w:r>
          <w:rPr>
            <w:sz w:val="20"/>
            <w:color w:val="0000ff"/>
          </w:rPr>
          <w:t xml:space="preserve">обеспечение</w:t>
        </w:r>
      </w:hyperlink>
      <w:r>
        <w:rPr>
          <w:sz w:val="20"/>
        </w:rPr>
        <w:t xml:space="preserve"> и прогнозная (справочная) оценка расходов на реализацию целей подпрограммы 4 приведены в приложении N 4 к Программе.</w:t>
      </w:r>
    </w:p>
    <w:p>
      <w:pPr>
        <w:pStyle w:val="0"/>
      </w:pPr>
      <w:r>
        <w:rPr>
          <w:sz w:val="20"/>
        </w:rPr>
      </w:r>
    </w:p>
    <w:bookmarkStart w:id="1722" w:name="P1722"/>
    <w:bookmarkEnd w:id="1722"/>
    <w:p>
      <w:pPr>
        <w:pStyle w:val="2"/>
        <w:outlineLvl w:val="1"/>
        <w:jc w:val="center"/>
      </w:pPr>
      <w:r>
        <w:rPr>
          <w:sz w:val="20"/>
        </w:rPr>
        <w:t xml:space="preserve">ПОДПРОГРАММА 5</w:t>
      </w:r>
    </w:p>
    <w:p>
      <w:pPr>
        <w:pStyle w:val="2"/>
        <w:jc w:val="center"/>
      </w:pPr>
      <w:r>
        <w:rPr>
          <w:sz w:val="20"/>
        </w:rPr>
        <w:t xml:space="preserve">"Экспертиза и контрольно-надзорные функции</w:t>
      </w:r>
    </w:p>
    <w:p>
      <w:pPr>
        <w:pStyle w:val="2"/>
        <w:jc w:val="center"/>
      </w:pPr>
      <w:r>
        <w:rPr>
          <w:sz w:val="20"/>
        </w:rPr>
        <w:t xml:space="preserve">в сфере здравоохранения"</w:t>
      </w:r>
    </w:p>
    <w:p>
      <w:pPr>
        <w:pStyle w:val="0"/>
        <w:jc w:val="center"/>
      </w:pPr>
      <w:r>
        <w:rPr>
          <w:sz w:val="20"/>
        </w:rPr>
        <w:t xml:space="preserve">(в ред. </w:t>
      </w:r>
      <w:hyperlink w:history="0" r:id="rId230"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2"/>
        <w:outlineLvl w:val="2"/>
        <w:jc w:val="center"/>
      </w:pPr>
      <w:r>
        <w:rPr>
          <w:sz w:val="20"/>
        </w:rPr>
        <w:t xml:space="preserve">ПАСПОРТ</w:t>
      </w:r>
    </w:p>
    <w:p>
      <w:pPr>
        <w:pStyle w:val="2"/>
        <w:jc w:val="center"/>
      </w:pPr>
      <w:r>
        <w:rPr>
          <w:sz w:val="20"/>
        </w:rPr>
        <w:t xml:space="preserve">подпрограммы 5 "Экспертиза и контрольно-надзорные функции</w:t>
      </w:r>
    </w:p>
    <w:p>
      <w:pPr>
        <w:pStyle w:val="2"/>
        <w:jc w:val="center"/>
      </w:pPr>
      <w:r>
        <w:rPr>
          <w:sz w:val="20"/>
        </w:rPr>
        <w:t xml:space="preserve">в сфере здравоохранения"</w:t>
      </w:r>
    </w:p>
    <w:p>
      <w:pPr>
        <w:pStyle w:val="2"/>
        <w:jc w:val="center"/>
      </w:pPr>
      <w:r>
        <w:rPr>
          <w:sz w:val="20"/>
        </w:rPr>
        <w:t xml:space="preserve">(далее - подпрограмма 5)</w:t>
      </w:r>
    </w:p>
    <w:p>
      <w:pPr>
        <w:pStyle w:val="0"/>
        <w:jc w:val="center"/>
      </w:pPr>
      <w:r>
        <w:rPr>
          <w:sz w:val="20"/>
        </w:rPr>
      </w:r>
    </w:p>
    <w:p>
      <w:pPr>
        <w:pStyle w:val="0"/>
        <w:ind w:firstLine="540"/>
        <w:jc w:val="both"/>
      </w:pPr>
      <w:r>
        <w:rPr>
          <w:sz w:val="20"/>
        </w:rPr>
        <w:t xml:space="preserve">1. Ответственный исполнитель подпрограммы 5: ДЗГС.</w:t>
      </w:r>
    </w:p>
    <w:p>
      <w:pPr>
        <w:pStyle w:val="0"/>
        <w:spacing w:before="200" w:line-rule="auto"/>
        <w:ind w:firstLine="540"/>
        <w:jc w:val="both"/>
      </w:pPr>
      <w:r>
        <w:rPr>
          <w:sz w:val="20"/>
        </w:rPr>
        <w:t xml:space="preserve">2. Соисполнитель подпрограммы 5: Департамент капитального строительства города Севастополя.</w:t>
      </w:r>
    </w:p>
    <w:p>
      <w:pPr>
        <w:pStyle w:val="0"/>
        <w:spacing w:before="200" w:line-rule="auto"/>
        <w:ind w:firstLine="540"/>
        <w:jc w:val="both"/>
      </w:pPr>
      <w:r>
        <w:rPr>
          <w:sz w:val="20"/>
        </w:rPr>
        <w:t xml:space="preserve">3. Участники подпрограммы 5:</w:t>
      </w:r>
    </w:p>
    <w:p>
      <w:pPr>
        <w:pStyle w:val="0"/>
        <w:spacing w:before="200" w:line-rule="auto"/>
        <w:ind w:firstLine="540"/>
        <w:jc w:val="both"/>
      </w:pPr>
      <w:r>
        <w:rPr>
          <w:sz w:val="20"/>
        </w:rPr>
        <w:t xml:space="preserve">- ГБУЗС "СГБСМЭ";</w:t>
      </w:r>
    </w:p>
    <w:p>
      <w:pPr>
        <w:pStyle w:val="0"/>
        <w:spacing w:before="200" w:line-rule="auto"/>
        <w:ind w:firstLine="540"/>
        <w:jc w:val="both"/>
      </w:pPr>
      <w:r>
        <w:rPr>
          <w:sz w:val="20"/>
        </w:rPr>
        <w:t xml:space="preserve">- ГКУГС "ЕДКС".</w:t>
      </w:r>
    </w:p>
    <w:p>
      <w:pPr>
        <w:pStyle w:val="0"/>
        <w:spacing w:before="200" w:line-rule="auto"/>
        <w:ind w:firstLine="540"/>
        <w:jc w:val="both"/>
      </w:pPr>
      <w:r>
        <w:rPr>
          <w:sz w:val="20"/>
        </w:rPr>
        <w:t xml:space="preserve">4. Цель подпрограммы 5: развитие государственной судебно-медицинской экспертной деятельности и патолого-анатомической службы.</w:t>
      </w:r>
    </w:p>
    <w:p>
      <w:pPr>
        <w:pStyle w:val="0"/>
        <w:spacing w:before="200" w:line-rule="auto"/>
        <w:ind w:firstLine="540"/>
        <w:jc w:val="both"/>
      </w:pPr>
      <w:r>
        <w:rPr>
          <w:sz w:val="20"/>
        </w:rPr>
        <w:t xml:space="preserve">5. Задачи подпрограммы 5:</w:t>
      </w:r>
    </w:p>
    <w:p>
      <w:pPr>
        <w:pStyle w:val="0"/>
        <w:spacing w:before="200" w:line-rule="auto"/>
        <w:ind w:firstLine="540"/>
        <w:jc w:val="both"/>
      </w:pPr>
      <w:r>
        <w:rPr>
          <w:sz w:val="20"/>
        </w:rPr>
        <w:t xml:space="preserve">- производство судебно-медицинских экспертиз в необходимом объеме и в установленные законодательством сроки;</w:t>
      </w:r>
    </w:p>
    <w:p>
      <w:pPr>
        <w:pStyle w:val="0"/>
        <w:spacing w:before="200" w:line-rule="auto"/>
        <w:ind w:firstLine="540"/>
        <w:jc w:val="both"/>
      </w:pPr>
      <w:r>
        <w:rPr>
          <w:sz w:val="20"/>
        </w:rPr>
        <w:t xml:space="preserve">- повышение уровня качества судебно-медицинских экспертиз как одного из видов процессуального источника доказательств;</w:t>
      </w:r>
    </w:p>
    <w:p>
      <w:pPr>
        <w:pStyle w:val="0"/>
        <w:spacing w:before="200" w:line-rule="auto"/>
        <w:ind w:firstLine="540"/>
        <w:jc w:val="both"/>
      </w:pPr>
      <w:r>
        <w:rPr>
          <w:sz w:val="20"/>
        </w:rPr>
        <w:t xml:space="preserve">- расширение перечня видов судебно-медицинских экспертиз согласно требованиям нормативных правовых актов.</w:t>
      </w:r>
    </w:p>
    <w:p>
      <w:pPr>
        <w:pStyle w:val="0"/>
        <w:spacing w:before="200" w:line-rule="auto"/>
        <w:ind w:firstLine="540"/>
        <w:jc w:val="both"/>
      </w:pPr>
      <w:r>
        <w:rPr>
          <w:sz w:val="20"/>
        </w:rPr>
        <w:t xml:space="preserve">6. Целевой индикатор и показатель подпрограммы 5: доля оснащения ГБУЗС "СГБСМЭ" оборудованием согласно требованиям законодательства.</w:t>
      </w:r>
    </w:p>
    <w:p>
      <w:pPr>
        <w:pStyle w:val="0"/>
        <w:spacing w:before="200" w:line-rule="auto"/>
        <w:ind w:firstLine="540"/>
        <w:jc w:val="both"/>
      </w:pPr>
      <w:r>
        <w:rPr>
          <w:sz w:val="20"/>
        </w:rPr>
        <w:t xml:space="preserve">7. Этапы и сроки реализации подпрограммы 5: с 2022 по 2030 год без выделения этапов реализации Программы.</w:t>
      </w:r>
    </w:p>
    <w:p>
      <w:pPr>
        <w:pStyle w:val="0"/>
        <w:spacing w:before="200" w:line-rule="auto"/>
        <w:ind w:firstLine="540"/>
        <w:jc w:val="both"/>
      </w:pPr>
      <w:r>
        <w:rPr>
          <w:sz w:val="20"/>
        </w:rPr>
        <w:t xml:space="preserve">8. Объемы финансирования подпрограммы 5, всего, по годам и по источникам финансирования (тыс. руб.):</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587"/>
        <w:gridCol w:w="1531"/>
        <w:gridCol w:w="1700"/>
        <w:gridCol w:w="1191"/>
        <w:gridCol w:w="1587"/>
      </w:tblGrid>
      <w:tr>
        <w:tc>
          <w:tcPr>
            <w:tcW w:w="1474" w:type="dxa"/>
          </w:tcPr>
          <w:p>
            <w:pPr>
              <w:pStyle w:val="0"/>
              <w:jc w:val="center"/>
            </w:pPr>
            <w:r>
              <w:rPr>
                <w:sz w:val="20"/>
              </w:rPr>
              <w:t xml:space="preserve">Источники финансирования</w:t>
            </w:r>
          </w:p>
        </w:tc>
        <w:tc>
          <w:tcPr>
            <w:tcW w:w="1587" w:type="dxa"/>
          </w:tcPr>
          <w:p>
            <w:pPr>
              <w:pStyle w:val="0"/>
              <w:jc w:val="center"/>
            </w:pPr>
            <w:r>
              <w:rPr>
                <w:sz w:val="20"/>
              </w:rPr>
              <w:t xml:space="preserve">Федеральный бюджет</w:t>
            </w:r>
          </w:p>
        </w:tc>
        <w:tc>
          <w:tcPr>
            <w:tcW w:w="1531" w:type="dxa"/>
          </w:tcPr>
          <w:p>
            <w:pPr>
              <w:pStyle w:val="0"/>
              <w:jc w:val="center"/>
            </w:pPr>
            <w:r>
              <w:rPr>
                <w:sz w:val="20"/>
              </w:rPr>
              <w:t xml:space="preserve">Бюджет города Севастополя</w:t>
            </w:r>
          </w:p>
        </w:tc>
        <w:tc>
          <w:tcPr>
            <w:tcW w:w="1700" w:type="dxa"/>
          </w:tcPr>
          <w:p>
            <w:pPr>
              <w:pStyle w:val="0"/>
              <w:jc w:val="center"/>
            </w:pPr>
            <w:r>
              <w:rPr>
                <w:sz w:val="20"/>
              </w:rPr>
              <w:t xml:space="preserve">Бюджеты других субъектов РФ (город Москва)</w:t>
            </w:r>
          </w:p>
        </w:tc>
        <w:tc>
          <w:tcPr>
            <w:tcW w:w="1191" w:type="dxa"/>
          </w:tcPr>
          <w:p>
            <w:pPr>
              <w:pStyle w:val="0"/>
              <w:jc w:val="center"/>
            </w:pPr>
            <w:r>
              <w:rPr>
                <w:sz w:val="20"/>
              </w:rPr>
              <w:t xml:space="preserve">Внебюджетные средства</w:t>
            </w:r>
          </w:p>
        </w:tc>
        <w:tc>
          <w:tcPr>
            <w:tcW w:w="1587" w:type="dxa"/>
          </w:tcPr>
          <w:p>
            <w:pPr>
              <w:pStyle w:val="0"/>
              <w:jc w:val="center"/>
            </w:pPr>
            <w:r>
              <w:rPr>
                <w:sz w:val="20"/>
              </w:rPr>
              <w:t xml:space="preserve">Итого</w:t>
            </w:r>
          </w:p>
        </w:tc>
      </w:tr>
      <w:tr>
        <w:tc>
          <w:tcPr>
            <w:tcW w:w="1474" w:type="dxa"/>
          </w:tcPr>
          <w:p>
            <w:pPr>
              <w:pStyle w:val="0"/>
              <w:jc w:val="both"/>
            </w:pPr>
            <w:r>
              <w:rPr>
                <w:sz w:val="20"/>
              </w:rPr>
              <w:t xml:space="preserve">2022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2023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2024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2025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2026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2027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2028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2029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2030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Всего</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bl>
    <w:p>
      <w:pPr>
        <w:pStyle w:val="0"/>
        <w:ind w:firstLine="540"/>
        <w:jc w:val="both"/>
      </w:pPr>
      <w:r>
        <w:rPr>
          <w:sz w:val="20"/>
        </w:rPr>
      </w:r>
    </w:p>
    <w:p>
      <w:pPr>
        <w:pStyle w:val="0"/>
        <w:ind w:firstLine="540"/>
        <w:jc w:val="both"/>
      </w:pPr>
      <w:r>
        <w:rPr>
          <w:sz w:val="20"/>
        </w:rPr>
        <w:t xml:space="preserve">9. Ожидаемый результат реализации подпрограммы 5:</w:t>
      </w:r>
    </w:p>
    <w:p>
      <w:pPr>
        <w:pStyle w:val="0"/>
        <w:spacing w:before="200" w:line-rule="auto"/>
        <w:ind w:firstLine="540"/>
        <w:jc w:val="both"/>
      </w:pPr>
      <w:r>
        <w:rPr>
          <w:sz w:val="20"/>
        </w:rPr>
        <w:t xml:space="preserve">- увеличение доли оснащения ГБУЗС "СГБСМЭ" оборудованием согласно требованиям законодательства до 100% к 2030 году.</w:t>
      </w:r>
    </w:p>
    <w:p>
      <w:pPr>
        <w:pStyle w:val="0"/>
        <w:ind w:firstLine="540"/>
        <w:jc w:val="both"/>
      </w:pPr>
      <w:r>
        <w:rPr>
          <w:sz w:val="20"/>
        </w:rPr>
      </w:r>
    </w:p>
    <w:p>
      <w:pPr>
        <w:pStyle w:val="2"/>
        <w:outlineLvl w:val="2"/>
        <w:jc w:val="center"/>
      </w:pPr>
      <w:r>
        <w:rPr>
          <w:sz w:val="20"/>
        </w:rPr>
        <w:t xml:space="preserve">I. Характеристика фактического состояния сферы реализации</w:t>
      </w:r>
    </w:p>
    <w:p>
      <w:pPr>
        <w:pStyle w:val="2"/>
        <w:jc w:val="center"/>
      </w:pPr>
      <w:r>
        <w:rPr>
          <w:sz w:val="20"/>
        </w:rPr>
        <w:t xml:space="preserve">подпрограммы 5 и прогноз развития на перспективу</w:t>
      </w:r>
    </w:p>
    <w:p>
      <w:pPr>
        <w:pStyle w:val="0"/>
      </w:pPr>
      <w:r>
        <w:rPr>
          <w:sz w:val="20"/>
        </w:rPr>
      </w:r>
    </w:p>
    <w:p>
      <w:pPr>
        <w:pStyle w:val="0"/>
        <w:ind w:firstLine="540"/>
        <w:jc w:val="both"/>
      </w:pPr>
      <w:r>
        <w:rPr>
          <w:sz w:val="20"/>
        </w:rPr>
        <w:t xml:space="preserve">В последнее десятилетие криминогенная обстановка в Российской Федерации обострилась из-за расширения форм и способов совершения преступлений, что сказалось на увеличении всех видов судебно-медицинских экспертиз. В этих условиях особое значение придается качеству и научному обоснованию заключений судебных экспертов, срокам их исполнения.</w:t>
      </w:r>
    </w:p>
    <w:p>
      <w:pPr>
        <w:pStyle w:val="0"/>
        <w:spacing w:before="200" w:line-rule="auto"/>
        <w:ind w:firstLine="540"/>
        <w:jc w:val="both"/>
      </w:pPr>
      <w:r>
        <w:rPr>
          <w:sz w:val="20"/>
        </w:rPr>
        <w:t xml:space="preserve">Судебно-медицинская экспертиза в Российской Федерации представляет собой особый медико-правовой вид деятельности, направленный на обеспечение органов дознания, следствия и суда результатами специальных исследований, полученными с соблюдением правовых норм, осуществляемый экспертами или врачами, привлеченными для производства экспертизы, лицензируемый как отдельный вид медицинской деятельности.</w:t>
      </w:r>
    </w:p>
    <w:p>
      <w:pPr>
        <w:pStyle w:val="0"/>
        <w:spacing w:before="200" w:line-rule="auto"/>
        <w:ind w:firstLine="540"/>
        <w:jc w:val="both"/>
      </w:pPr>
      <w:r>
        <w:rPr>
          <w:sz w:val="20"/>
        </w:rPr>
        <w:t xml:space="preserve">В городе Севастополе данный вид деятельности осуществляет ГБУЗС "СГБСМЭ".</w:t>
      </w:r>
    </w:p>
    <w:p>
      <w:pPr>
        <w:pStyle w:val="0"/>
        <w:spacing w:before="200" w:line-rule="auto"/>
        <w:ind w:firstLine="540"/>
        <w:jc w:val="both"/>
      </w:pPr>
      <w:r>
        <w:rPr>
          <w:sz w:val="20"/>
        </w:rPr>
        <w:t xml:space="preserve">Следует отметить, что судебно-медицинская экспертная деятельность не ограничивается только обеспечением интересов судебно-следственных органов в рамках проведения экспертиз по уголовным и гражданским делам. Судебно-медицинские экспертные учреждения осуществляют важную функцию по определению причин и сущности дефектов в оказании медицинской помощи, способствуя повышению ее качества. При неблагоприятном или летальном исходе исключительно результаты судебно-медицинской экспертизы позволяют объективно оценить качество оказанной медицинской помощи пациенту. В случае же судебного разбирательства только заключение комиссионной судебно-медицинской экспертизы рассматривается как доказательство вины или невиновности медработника.</w:t>
      </w:r>
    </w:p>
    <w:p>
      <w:pPr>
        <w:pStyle w:val="0"/>
        <w:spacing w:before="200" w:line-rule="auto"/>
        <w:ind w:firstLine="540"/>
        <w:jc w:val="both"/>
      </w:pPr>
      <w:r>
        <w:rPr>
          <w:sz w:val="20"/>
        </w:rPr>
        <w:t xml:space="preserve">Незаменима также роль судебных медиков в ликвидации последствий чрезвычайных ситуаций - стихийных бедствий, техногенных катастроф, террористических актов, повлекших массовую гибель людей, дорожно-транспортных происшествий. В условиях массового одномоментного появления неопознанных погибших чрезвычайно важно провести полноценное их судебно-медицинское исследование, идентификацию личности, что в современных условиях наиболее эффективно достигается применением молекулярно-генетического метода исследования.</w:t>
      </w:r>
    </w:p>
    <w:p>
      <w:pPr>
        <w:pStyle w:val="0"/>
        <w:spacing w:before="200" w:line-rule="auto"/>
        <w:ind w:firstLine="540"/>
        <w:jc w:val="both"/>
      </w:pPr>
      <w:r>
        <w:rPr>
          <w:sz w:val="20"/>
        </w:rPr>
        <w:t xml:space="preserve">Кроме того, Федеральным </w:t>
      </w:r>
      <w:hyperlink w:history="0" r:id="rId231" w:tooltip="Федеральный закон от 03.12.2008 N 242-ФЗ (ред. от 06.02.2023) &quot;О государственной геномной регистрации в Российской Федерации&quot; {КонсультантПлюс}">
        <w:r>
          <w:rPr>
            <w:sz w:val="20"/>
            <w:color w:val="0000ff"/>
          </w:rPr>
          <w:t xml:space="preserve">законом</w:t>
        </w:r>
      </w:hyperlink>
      <w:r>
        <w:rPr>
          <w:sz w:val="20"/>
        </w:rPr>
        <w:t xml:space="preserve"> от 03.12.2008 N 242-ФЗ "О государственной геномной регистрации в Российской Федерации" на учреждения судебно-медицинской экспертизы, входящие в государственную систему здравоохранения, возлагается обязанность по осуществлению геномной регистрации, что невозможно сделать в связи с отсутствием в структуре ГБУЗС "СГБСМЭ" медико-генетической лаборатории.</w:t>
      </w:r>
    </w:p>
    <w:p>
      <w:pPr>
        <w:pStyle w:val="0"/>
        <w:spacing w:before="200" w:line-rule="auto"/>
        <w:ind w:firstLine="540"/>
        <w:jc w:val="both"/>
      </w:pPr>
      <w:r>
        <w:rPr>
          <w:sz w:val="20"/>
        </w:rPr>
        <w:t xml:space="preserve">Другое не менее важное направление деятельности ГБУЗС "СГБСМЭ" - производство судебно-химических и химико-токсикологических исследований и представление достоверной информации о количестве лиц, допускающих немедицинское потребление наркотических средств, а также лиц, умерших от отравления наркотическими средствами и психотропными веществами.</w:t>
      </w:r>
    </w:p>
    <w:p>
      <w:pPr>
        <w:pStyle w:val="0"/>
        <w:spacing w:before="200" w:line-rule="auto"/>
        <w:ind w:firstLine="540"/>
        <w:jc w:val="both"/>
      </w:pPr>
      <w:r>
        <w:rPr>
          <w:sz w:val="20"/>
        </w:rPr>
        <w:t xml:space="preserve">Однако современное состояние судебно-медицинской службы в городе Севастополе в целом характеризуется недостаточным уровнем материально-технического оснащения. Отделения ГБУЗС "СГБСМЭ" располагаются в неприспособленных помещениях, часть из них в неудовлетворительном состоянии. Имеющееся в распоряжении ГБУЗС "СГБСМЭ" специальное оборудование не в полной мере отвечает современным требованиям. В лабораториях бюро в связи с отсутствием необходимого материально-технического оснащения не используются общепринятые и новые лабораторные технологии.</w:t>
      </w:r>
    </w:p>
    <w:p>
      <w:pPr>
        <w:pStyle w:val="0"/>
        <w:spacing w:before="200" w:line-rule="auto"/>
        <w:ind w:firstLine="540"/>
        <w:jc w:val="both"/>
      </w:pPr>
      <w:r>
        <w:rPr>
          <w:sz w:val="20"/>
        </w:rPr>
        <w:t xml:space="preserve">Так, в судебно-химическом отделении из-за отсутствия современной токсикологической аппаратуры невозможно количественное определение наркотических и лекарственных средств в биологических объектах. Отсутствие полноценного судебно-химического, химико-токсикологического, судебно-гистологического, полное отсутствие биологического и медико-криминалистического отделений не позволяет в настоящее время проводить данные виды исследований. Отсутствие специального автотранспорта не позволяет оперативно доставлять объекты исследований из отделений в судебно-медицинскую лабораторию Крымского бюро судебно-медицинской экспертизы, выезжать на места для оказания помощи судебно-следственным органам, доставлять трупы граждан, умерших во внебольничных условиях, из населенных пунктов обслуживаемой территории.</w:t>
      </w:r>
    </w:p>
    <w:p>
      <w:pPr>
        <w:pStyle w:val="0"/>
        <w:spacing w:before="200" w:line-rule="auto"/>
        <w:ind w:firstLine="540"/>
        <w:jc w:val="both"/>
      </w:pPr>
      <w:r>
        <w:rPr>
          <w:sz w:val="20"/>
        </w:rPr>
        <w:t xml:space="preserve">Без осуществления ремонта зданий и помещений ГБУЗС "СГБСМЭ" и оснащения его необходимым оборудованием улучшить качество оказываемых судебно-медицинских экспертиз не представляется возможным. Отсутствие современного оборудования ведет к невозможности исполнения некоторых экспертиз либо к исполнению назначенных экспертиз в неполном объеме, что в свою очередь может ввести в заблуждение следствие, поскольку заключение эксперта является одним из основных доказательств по уголовным делам, и как итог всего этого - возможно необоснованное решение судов либо признание заключения эксперта недопустимым доказательством.</w:t>
      </w:r>
    </w:p>
    <w:p>
      <w:pPr>
        <w:pStyle w:val="0"/>
        <w:spacing w:before="200" w:line-rule="auto"/>
        <w:ind w:firstLine="540"/>
        <w:jc w:val="both"/>
      </w:pPr>
      <w:r>
        <w:rPr>
          <w:sz w:val="20"/>
        </w:rPr>
        <w:t xml:space="preserve">Также в последние годы все более острой становится проблема доставки в морг ГБУЗС "СГБСМЭ" трупов лиц, умерших насильственной смертью или при подозрении на нее вне лечебных учреждений (дома, на улице, в общественных местах и др.), из прилегающих населенных пунктов.</w:t>
      </w:r>
    </w:p>
    <w:p>
      <w:pPr>
        <w:pStyle w:val="0"/>
        <w:spacing w:before="200" w:line-rule="auto"/>
        <w:ind w:firstLine="540"/>
        <w:jc w:val="both"/>
      </w:pPr>
      <w:r>
        <w:rPr>
          <w:sz w:val="20"/>
        </w:rPr>
        <w:t xml:space="preserve">Таким образом, с учетом возрастающих требований правоохранительных органов к сокращению сроков производства судебно-медицинских экспертиз, повышению их качества, уровня доказательности исследований сегодня очевидна необходимость проведения мероприятий по перспективному развитию службы судебно-медицинской экспертизы на территории города Севастополя.</w:t>
      </w:r>
    </w:p>
    <w:p>
      <w:pPr>
        <w:pStyle w:val="0"/>
      </w:pPr>
      <w:r>
        <w:rPr>
          <w:sz w:val="20"/>
        </w:rPr>
      </w:r>
    </w:p>
    <w:p>
      <w:pPr>
        <w:pStyle w:val="2"/>
        <w:outlineLvl w:val="2"/>
        <w:jc w:val="center"/>
      </w:pPr>
      <w:r>
        <w:rPr>
          <w:sz w:val="20"/>
        </w:rPr>
        <w:t xml:space="preserve">II. Приоритеты, цель, задачи и показатели (целевые</w:t>
      </w:r>
    </w:p>
    <w:p>
      <w:pPr>
        <w:pStyle w:val="2"/>
        <w:jc w:val="center"/>
      </w:pPr>
      <w:r>
        <w:rPr>
          <w:sz w:val="20"/>
        </w:rPr>
        <w:t xml:space="preserve">индикаторы), результаты, этапы и сроки реализации</w:t>
      </w:r>
    </w:p>
    <w:p>
      <w:pPr>
        <w:pStyle w:val="2"/>
        <w:jc w:val="center"/>
      </w:pPr>
      <w:r>
        <w:rPr>
          <w:sz w:val="20"/>
        </w:rPr>
        <w:t xml:space="preserve">подпрограммы 5</w:t>
      </w:r>
    </w:p>
    <w:p>
      <w:pPr>
        <w:pStyle w:val="0"/>
      </w:pPr>
      <w:r>
        <w:rPr>
          <w:sz w:val="20"/>
        </w:rPr>
      </w:r>
    </w:p>
    <w:p>
      <w:pPr>
        <w:pStyle w:val="0"/>
        <w:ind w:firstLine="540"/>
        <w:jc w:val="both"/>
      </w:pPr>
      <w:r>
        <w:rPr>
          <w:sz w:val="20"/>
        </w:rPr>
        <w:t xml:space="preserve">Основные приоритеты в области экспертизы и контрольно-надзорных функций в сфере здравоохранения направлены на повышение эффективности функционирования системы судебно-медицинской экспертизы и патолого-анатомической службы.</w:t>
      </w:r>
    </w:p>
    <w:p>
      <w:pPr>
        <w:pStyle w:val="0"/>
        <w:spacing w:before="200" w:line-rule="auto"/>
        <w:ind w:firstLine="540"/>
        <w:jc w:val="both"/>
      </w:pPr>
      <w:r>
        <w:rPr>
          <w:sz w:val="20"/>
        </w:rPr>
        <w:t xml:space="preserve">Целью реализации подпрограммы 5 является развитие государственной судебно-медицинской экспертной деятельности и патолого-анатомической службы.</w:t>
      </w:r>
    </w:p>
    <w:p>
      <w:pPr>
        <w:pStyle w:val="0"/>
        <w:spacing w:before="200" w:line-rule="auto"/>
        <w:ind w:firstLine="540"/>
        <w:jc w:val="both"/>
      </w:pPr>
      <w:r>
        <w:rPr>
          <w:sz w:val="20"/>
        </w:rPr>
        <w:t xml:space="preserve">Задачи подпрограммы 5:</w:t>
      </w:r>
    </w:p>
    <w:p>
      <w:pPr>
        <w:pStyle w:val="0"/>
        <w:spacing w:before="200" w:line-rule="auto"/>
        <w:ind w:firstLine="540"/>
        <w:jc w:val="both"/>
      </w:pPr>
      <w:r>
        <w:rPr>
          <w:sz w:val="20"/>
        </w:rPr>
        <w:t xml:space="preserve">- производство судебно-медицинских экспертиз в необходимом объеме и в установленные законодательством сроки;</w:t>
      </w:r>
    </w:p>
    <w:p>
      <w:pPr>
        <w:pStyle w:val="0"/>
        <w:spacing w:before="200" w:line-rule="auto"/>
        <w:ind w:firstLine="540"/>
        <w:jc w:val="both"/>
      </w:pPr>
      <w:r>
        <w:rPr>
          <w:sz w:val="20"/>
        </w:rPr>
        <w:t xml:space="preserve">- повышение уровня качества судебно-медицинских экспертиз как одного из видов процессуального источника доказательств;</w:t>
      </w:r>
    </w:p>
    <w:p>
      <w:pPr>
        <w:pStyle w:val="0"/>
        <w:spacing w:before="200" w:line-rule="auto"/>
        <w:ind w:firstLine="540"/>
        <w:jc w:val="both"/>
      </w:pPr>
      <w:r>
        <w:rPr>
          <w:sz w:val="20"/>
        </w:rPr>
        <w:t xml:space="preserve">- расширение видов судебно-медицинских экспертиз согласно требованиям нормативных правовых актов.</w:t>
      </w:r>
    </w:p>
    <w:p>
      <w:pPr>
        <w:pStyle w:val="0"/>
        <w:spacing w:before="200" w:line-rule="auto"/>
        <w:ind w:firstLine="540"/>
        <w:jc w:val="both"/>
      </w:pPr>
      <w:hyperlink w:history="0" w:anchor="P2921" w:tooltip="Сведения о показателях (индикаторах) государственной">
        <w:r>
          <w:rPr>
            <w:sz w:val="20"/>
            <w:color w:val="0000ff"/>
          </w:rPr>
          <w:t xml:space="preserve">Сведения</w:t>
        </w:r>
      </w:hyperlink>
      <w:r>
        <w:rPr>
          <w:sz w:val="20"/>
        </w:rPr>
        <w:t xml:space="preserve"> о целевом показателе (индикаторе) подпрограммы 5 представлены в приложении N 1 к Программе.</w:t>
      </w:r>
    </w:p>
    <w:p>
      <w:pPr>
        <w:pStyle w:val="0"/>
        <w:spacing w:before="200" w:line-rule="auto"/>
        <w:ind w:firstLine="540"/>
        <w:jc w:val="both"/>
      </w:pPr>
      <w:r>
        <w:rPr>
          <w:sz w:val="20"/>
        </w:rPr>
        <w:t xml:space="preserve">Срок реализации подпрограммы 5: с 2022 по 2030 год.</w:t>
      </w:r>
    </w:p>
    <w:p>
      <w:pPr>
        <w:pStyle w:val="0"/>
      </w:pPr>
      <w:r>
        <w:rPr>
          <w:sz w:val="20"/>
        </w:rPr>
      </w:r>
    </w:p>
    <w:p>
      <w:pPr>
        <w:pStyle w:val="2"/>
        <w:outlineLvl w:val="2"/>
        <w:jc w:val="center"/>
      </w:pPr>
      <w:r>
        <w:rPr>
          <w:sz w:val="20"/>
        </w:rPr>
        <w:t xml:space="preserve">III. Характеристика основных мероприятий подпрограммы 5</w:t>
      </w:r>
    </w:p>
    <w:p>
      <w:pPr>
        <w:pStyle w:val="0"/>
      </w:pPr>
      <w:r>
        <w:rPr>
          <w:sz w:val="20"/>
        </w:rPr>
      </w:r>
    </w:p>
    <w:p>
      <w:pPr>
        <w:pStyle w:val="0"/>
        <w:ind w:firstLine="540"/>
        <w:jc w:val="both"/>
      </w:pPr>
      <w:r>
        <w:rPr>
          <w:sz w:val="20"/>
        </w:rPr>
        <w:t xml:space="preserve">Для достижения цели подпрограммы 5 в соответствии с основными направлениями ее реализации требуется выполнение мероприятий по организации работы ГБУЗС "СГБСМЭ" в соответствии с действующими современными методиками выполнения судебно-медицинских экспертиз.</w:t>
      </w:r>
    </w:p>
    <w:p>
      <w:pPr>
        <w:pStyle w:val="0"/>
        <w:spacing w:before="200" w:line-rule="auto"/>
        <w:ind w:firstLine="540"/>
        <w:jc w:val="both"/>
      </w:pPr>
      <w:r>
        <w:rPr>
          <w:sz w:val="20"/>
        </w:rPr>
        <w:t xml:space="preserve">Реализация мероприятий подпрограммы 5 даст возможность внедрить новые методы исследований и сократить сроки проведения экспертиз, позволит проводить судебно-медицинские экспертизы в требуемом объеме, модернизировать патолого-анатомическую службу, что в конечном счете скажется на эффективности борьбы с наиболее опасными и тяжелыми преступлениями против личности, улучшит качество оказания соответствующих услуг населению города Севастополя, снизит уровень профессиональной заболеваемости, обеспечит проведение постоянного мониторинга ситуации в сфере оборота и употребления наркотических средств в городе Севастополе.</w:t>
      </w:r>
    </w:p>
    <w:p>
      <w:pPr>
        <w:pStyle w:val="0"/>
        <w:spacing w:before="200" w:line-rule="auto"/>
        <w:ind w:firstLine="540"/>
        <w:jc w:val="both"/>
      </w:pPr>
      <w:r>
        <w:rPr>
          <w:sz w:val="20"/>
        </w:rPr>
        <w:t xml:space="preserve">Общий </w:t>
      </w:r>
      <w:hyperlink w:history="0" w:anchor="P4719" w:tooltip="Перечень основных мероприятий государственной программы">
        <w:r>
          <w:rPr>
            <w:sz w:val="20"/>
            <w:color w:val="0000ff"/>
          </w:rPr>
          <w:t xml:space="preserve">перечень</w:t>
        </w:r>
      </w:hyperlink>
      <w:r>
        <w:rPr>
          <w:sz w:val="20"/>
        </w:rPr>
        <w:t xml:space="preserve"> мероприятий подпрограммы 5 представлен в приложении N 2 к Программе.</w:t>
      </w:r>
    </w:p>
    <w:p>
      <w:pPr>
        <w:pStyle w:val="0"/>
      </w:pPr>
      <w:r>
        <w:rPr>
          <w:sz w:val="20"/>
        </w:rPr>
      </w:r>
    </w:p>
    <w:p>
      <w:pPr>
        <w:pStyle w:val="2"/>
        <w:outlineLvl w:val="2"/>
        <w:jc w:val="center"/>
      </w:pPr>
      <w:r>
        <w:rPr>
          <w:sz w:val="20"/>
        </w:rPr>
        <w:t xml:space="preserve">IV. Характеристика мер государственного и правового</w:t>
      </w:r>
    </w:p>
    <w:p>
      <w:pPr>
        <w:pStyle w:val="2"/>
        <w:jc w:val="center"/>
      </w:pPr>
      <w:r>
        <w:rPr>
          <w:sz w:val="20"/>
        </w:rPr>
        <w:t xml:space="preserve">регулирования подпрограммы 5</w:t>
      </w:r>
    </w:p>
    <w:p>
      <w:pPr>
        <w:pStyle w:val="0"/>
        <w:ind w:firstLine="540"/>
        <w:jc w:val="both"/>
      </w:pPr>
      <w:r>
        <w:rPr>
          <w:sz w:val="20"/>
        </w:rPr>
      </w:r>
    </w:p>
    <w:p>
      <w:pPr>
        <w:pStyle w:val="0"/>
        <w:ind w:firstLine="540"/>
        <w:jc w:val="both"/>
      </w:pPr>
      <w:r>
        <w:rPr>
          <w:sz w:val="20"/>
        </w:rPr>
        <w:t xml:space="preserve">Государственное и правовое регулирование подпрограммы 5 осуществляется согласно </w:t>
      </w:r>
      <w:hyperlink w:history="0" w:anchor="P472" w:tooltip="IV. Характеристика мер государственного">
        <w:r>
          <w:rPr>
            <w:sz w:val="20"/>
            <w:color w:val="0000ff"/>
          </w:rPr>
          <w:t xml:space="preserve">разделу IV</w:t>
        </w:r>
      </w:hyperlink>
      <w:r>
        <w:rPr>
          <w:sz w:val="20"/>
        </w:rPr>
        <w:t xml:space="preserve"> Программы.</w:t>
      </w:r>
    </w:p>
    <w:p>
      <w:pPr>
        <w:pStyle w:val="0"/>
      </w:pPr>
      <w:r>
        <w:rPr>
          <w:sz w:val="20"/>
        </w:rPr>
      </w:r>
    </w:p>
    <w:p>
      <w:pPr>
        <w:pStyle w:val="2"/>
        <w:outlineLvl w:val="2"/>
        <w:jc w:val="center"/>
      </w:pPr>
      <w:r>
        <w:rPr>
          <w:sz w:val="20"/>
        </w:rPr>
        <w:t xml:space="preserve">V. Ресурсное обеспечение, необходимое</w:t>
      </w:r>
    </w:p>
    <w:p>
      <w:pPr>
        <w:pStyle w:val="2"/>
        <w:jc w:val="center"/>
      </w:pPr>
      <w:r>
        <w:rPr>
          <w:sz w:val="20"/>
        </w:rPr>
        <w:t xml:space="preserve">для реализации подпрограммы 5</w:t>
      </w:r>
    </w:p>
    <w:p>
      <w:pPr>
        <w:pStyle w:val="0"/>
        <w:ind w:firstLine="540"/>
        <w:jc w:val="both"/>
      </w:pPr>
      <w:r>
        <w:rPr>
          <w:sz w:val="20"/>
        </w:rPr>
      </w:r>
    </w:p>
    <w:p>
      <w:pPr>
        <w:pStyle w:val="0"/>
        <w:ind w:firstLine="540"/>
        <w:jc w:val="both"/>
      </w:pPr>
      <w:r>
        <w:rPr>
          <w:sz w:val="20"/>
        </w:rPr>
        <w:t xml:space="preserve">Общий объем финансового обеспечения подпрограммы 5 в 2022 - 2030 годах составляет 0,0 тыс. руб., из них:</w:t>
      </w:r>
    </w:p>
    <w:p>
      <w:pPr>
        <w:pStyle w:val="0"/>
        <w:spacing w:before="200" w:line-rule="auto"/>
        <w:ind w:firstLine="540"/>
        <w:jc w:val="both"/>
      </w:pPr>
      <w:r>
        <w:rPr>
          <w:sz w:val="20"/>
        </w:rPr>
        <w:t xml:space="preserve">средства федерального бюджета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средства бюджета города Севастополя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средства бюджетов других субъектов Российской Федерации (город Москва)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внебюджетные средства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Ресурсное </w:t>
      </w:r>
      <w:hyperlink w:history="0" w:anchor="P5821" w:tooltip="Финансовое обеспечение реализации государственной программы">
        <w:r>
          <w:rPr>
            <w:sz w:val="20"/>
            <w:color w:val="0000ff"/>
          </w:rPr>
          <w:t xml:space="preserve">обеспечение</w:t>
        </w:r>
      </w:hyperlink>
      <w:r>
        <w:rPr>
          <w:sz w:val="20"/>
        </w:rPr>
        <w:t xml:space="preserve"> и прогнозная (справочная) оценка расходов на реализацию целей подпрограммы 5 приведены в приложении N 4 к Программе.</w:t>
      </w:r>
    </w:p>
    <w:p>
      <w:pPr>
        <w:pStyle w:val="0"/>
        <w:jc w:val="center"/>
      </w:pPr>
      <w:r>
        <w:rPr>
          <w:sz w:val="20"/>
        </w:rPr>
      </w:r>
    </w:p>
    <w:bookmarkStart w:id="1903" w:name="P1903"/>
    <w:bookmarkEnd w:id="1903"/>
    <w:p>
      <w:pPr>
        <w:pStyle w:val="2"/>
        <w:outlineLvl w:val="1"/>
        <w:jc w:val="center"/>
      </w:pPr>
      <w:r>
        <w:rPr>
          <w:sz w:val="20"/>
        </w:rPr>
        <w:t xml:space="preserve">ПОДПРОГРАММА 6</w:t>
      </w:r>
    </w:p>
    <w:p>
      <w:pPr>
        <w:pStyle w:val="2"/>
        <w:jc w:val="center"/>
      </w:pPr>
      <w:r>
        <w:rPr>
          <w:sz w:val="20"/>
        </w:rPr>
        <w:t xml:space="preserve">"Развитие информатизации и обеспечение комплексной</w:t>
      </w:r>
    </w:p>
    <w:p>
      <w:pPr>
        <w:pStyle w:val="2"/>
        <w:jc w:val="center"/>
      </w:pPr>
      <w:r>
        <w:rPr>
          <w:sz w:val="20"/>
        </w:rPr>
        <w:t xml:space="preserve">безопасности объектов здравоохранения"</w:t>
      </w:r>
    </w:p>
    <w:p>
      <w:pPr>
        <w:pStyle w:val="0"/>
        <w:jc w:val="center"/>
      </w:pPr>
      <w:r>
        <w:rPr>
          <w:sz w:val="20"/>
        </w:rPr>
        <w:t xml:space="preserve">(в ред. </w:t>
      </w:r>
      <w:hyperlink w:history="0" r:id="rId232"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2"/>
        <w:outlineLvl w:val="2"/>
        <w:jc w:val="center"/>
      </w:pPr>
      <w:r>
        <w:rPr>
          <w:sz w:val="20"/>
        </w:rPr>
        <w:t xml:space="preserve">ПАСПОРТ</w:t>
      </w:r>
    </w:p>
    <w:p>
      <w:pPr>
        <w:pStyle w:val="2"/>
        <w:jc w:val="center"/>
      </w:pPr>
      <w:r>
        <w:rPr>
          <w:sz w:val="20"/>
        </w:rPr>
        <w:t xml:space="preserve">подпрограммы 6 "Развитие информатизации и обеспечение</w:t>
      </w:r>
    </w:p>
    <w:p>
      <w:pPr>
        <w:pStyle w:val="2"/>
        <w:jc w:val="center"/>
      </w:pPr>
      <w:r>
        <w:rPr>
          <w:sz w:val="20"/>
        </w:rPr>
        <w:t xml:space="preserve">комплексной безопасности объектов здравоохранения"</w:t>
      </w:r>
    </w:p>
    <w:p>
      <w:pPr>
        <w:pStyle w:val="2"/>
        <w:jc w:val="center"/>
      </w:pPr>
      <w:r>
        <w:rPr>
          <w:sz w:val="20"/>
        </w:rPr>
        <w:t xml:space="preserve">(далее - подпрограмма 6)</w:t>
      </w:r>
    </w:p>
    <w:p>
      <w:pPr>
        <w:pStyle w:val="0"/>
        <w:jc w:val="center"/>
      </w:pPr>
      <w:r>
        <w:rPr>
          <w:sz w:val="20"/>
        </w:rPr>
      </w:r>
    </w:p>
    <w:p>
      <w:pPr>
        <w:pStyle w:val="0"/>
        <w:ind w:firstLine="540"/>
        <w:jc w:val="both"/>
      </w:pPr>
      <w:r>
        <w:rPr>
          <w:sz w:val="20"/>
        </w:rPr>
        <w:t xml:space="preserve">1. Ответственный исполнитель подпрограммы 6: ДЗГС.</w:t>
      </w:r>
    </w:p>
    <w:p>
      <w:pPr>
        <w:pStyle w:val="0"/>
        <w:spacing w:before="200" w:line-rule="auto"/>
        <w:ind w:firstLine="540"/>
        <w:jc w:val="both"/>
      </w:pPr>
      <w:r>
        <w:rPr>
          <w:sz w:val="20"/>
        </w:rPr>
        <w:t xml:space="preserve">2. Соисполнители подпрограммы 6: ГБУЗС "МИАЦ", ГКУС "Медицинский склад N 1043".</w:t>
      </w:r>
    </w:p>
    <w:p>
      <w:pPr>
        <w:pStyle w:val="0"/>
        <w:spacing w:before="200" w:line-rule="auto"/>
        <w:ind w:firstLine="540"/>
        <w:jc w:val="both"/>
      </w:pPr>
      <w:r>
        <w:rPr>
          <w:sz w:val="20"/>
        </w:rPr>
        <w:t xml:space="preserve">3. Участники подпрограммы 6: государственные учреждения здравоохранения города Севастополя.</w:t>
      </w:r>
    </w:p>
    <w:p>
      <w:pPr>
        <w:pStyle w:val="0"/>
        <w:spacing w:before="200" w:line-rule="auto"/>
        <w:ind w:firstLine="540"/>
        <w:jc w:val="both"/>
      </w:pPr>
      <w:r>
        <w:rPr>
          <w:sz w:val="20"/>
        </w:rPr>
        <w:t xml:space="preserve">4. Цель подпрограммы 6: обеспечение информатизации и комплексной безопасности сферы здравоохранения города Севастополя.</w:t>
      </w:r>
    </w:p>
    <w:p>
      <w:pPr>
        <w:pStyle w:val="0"/>
        <w:spacing w:before="200" w:line-rule="auto"/>
        <w:ind w:firstLine="540"/>
        <w:jc w:val="both"/>
      </w:pPr>
      <w:r>
        <w:rPr>
          <w:sz w:val="20"/>
        </w:rPr>
        <w:t xml:space="preserve">5. Задачи подпрограммы 6:</w:t>
      </w:r>
    </w:p>
    <w:p>
      <w:pPr>
        <w:pStyle w:val="0"/>
        <w:spacing w:before="200" w:line-rule="auto"/>
        <w:ind w:firstLine="540"/>
        <w:jc w:val="both"/>
      </w:pPr>
      <w:r>
        <w:rPr>
          <w:sz w:val="20"/>
        </w:rPr>
        <w:t xml:space="preserve">- информатизация сферы здравоохранения города Севастополя;</w:t>
      </w:r>
    </w:p>
    <w:p>
      <w:pPr>
        <w:pStyle w:val="0"/>
        <w:spacing w:before="200" w:line-rule="auto"/>
        <w:ind w:firstLine="540"/>
        <w:jc w:val="both"/>
      </w:pPr>
      <w:r>
        <w:rPr>
          <w:sz w:val="20"/>
        </w:rPr>
        <w:t xml:space="preserve">- обеспечение государственных учреждений здравоохранения города Севастополя системами комплексной безопасности;</w:t>
      </w:r>
    </w:p>
    <w:p>
      <w:pPr>
        <w:pStyle w:val="0"/>
        <w:spacing w:before="200" w:line-rule="auto"/>
        <w:ind w:firstLine="540"/>
        <w:jc w:val="both"/>
      </w:pPr>
      <w:r>
        <w:rPr>
          <w:sz w:val="20"/>
        </w:rPr>
        <w:t xml:space="preserve">- создание регионального сегмента Единой государственной информационной системы в сфере здравоохранения города Севастополя (далее - ЕГИСЗ) с целью обеспечения взаимодействия региональной медицинской информационной системы, автоматизирующей лечебные процессы, с федеральным сегментом ЕГИСЗ, включающей отдельные функциональные блоки, обеспечивающие реализацию ключевых задач и достижение целевых показателей национального проекта "Здравоохранение";</w:t>
      </w:r>
    </w:p>
    <w:p>
      <w:pPr>
        <w:pStyle w:val="0"/>
        <w:spacing w:before="200" w:line-rule="auto"/>
        <w:ind w:firstLine="540"/>
        <w:jc w:val="both"/>
      </w:pPr>
      <w:r>
        <w:rPr>
          <w:sz w:val="20"/>
        </w:rPr>
        <w:t xml:space="preserve">- обеспечение возможности ведения региональной системы нормативно-справочной информации и региональной электронной медицинской карты пациента;</w:t>
      </w:r>
    </w:p>
    <w:p>
      <w:pPr>
        <w:pStyle w:val="0"/>
        <w:spacing w:before="200" w:line-rule="auto"/>
        <w:ind w:firstLine="540"/>
        <w:jc w:val="both"/>
      </w:pPr>
      <w:r>
        <w:rPr>
          <w:sz w:val="20"/>
        </w:rPr>
        <w:t xml:space="preserve">- обеспечение единой идентификации и аутентификации граждан в региональном сегменте ЕГИСЗ, в том числе с использованием Единой городской карты Севастополя;</w:t>
      </w:r>
    </w:p>
    <w:p>
      <w:pPr>
        <w:pStyle w:val="0"/>
        <w:spacing w:before="200" w:line-rule="auto"/>
        <w:ind w:firstLine="540"/>
        <w:jc w:val="both"/>
      </w:pPr>
      <w:r>
        <w:rPr>
          <w:sz w:val="20"/>
        </w:rPr>
        <w:t xml:space="preserve">- создание единой точки доступа для взаимодействия с городской системой здравоохранения при предоставлении медицинских услуг;</w:t>
      </w:r>
    </w:p>
    <w:p>
      <w:pPr>
        <w:pStyle w:val="0"/>
        <w:spacing w:before="200" w:line-rule="auto"/>
        <w:ind w:firstLine="540"/>
        <w:jc w:val="both"/>
      </w:pPr>
      <w:r>
        <w:rPr>
          <w:sz w:val="20"/>
        </w:rPr>
        <w:t xml:space="preserve">- создание территориальной системы раннего выявления жизнеугрожающих заболеваний и состояний с участием специалистов-экспертов для непрерывного наблюдения за состоянием здоровья пациентов в домашних условиях и прямого взаимодействия со службами экстренного реагирования и скорой медицинской помощи;</w:t>
      </w:r>
    </w:p>
    <w:p>
      <w:pPr>
        <w:pStyle w:val="0"/>
        <w:spacing w:before="200" w:line-rule="auto"/>
        <w:ind w:firstLine="540"/>
        <w:jc w:val="both"/>
      </w:pPr>
      <w:r>
        <w:rPr>
          <w:sz w:val="20"/>
        </w:rPr>
        <w:t xml:space="preserve">- реализация инцидент-ориентированного проекта на базе "Кнопки жизни" для оснащения населения медицинскими сигнализаторами программного типа, обеспечивающими прямое взаимодействие с центрами дистанционного контроля состояния здоровья населения, службой-112, территориальным медицинским контакт-центром;</w:t>
      </w:r>
    </w:p>
    <w:p>
      <w:pPr>
        <w:pStyle w:val="0"/>
        <w:spacing w:before="200" w:line-rule="auto"/>
        <w:ind w:firstLine="540"/>
        <w:jc w:val="both"/>
      </w:pPr>
      <w:r>
        <w:rPr>
          <w:sz w:val="20"/>
        </w:rPr>
        <w:t xml:space="preserve">- повышение качества лабораторной диагностики и обеспечение эффективности информационного обмена результатами лабораторных исследований между лабораториями и региональной информационной медицинской системой;</w:t>
      </w:r>
    </w:p>
    <w:p>
      <w:pPr>
        <w:pStyle w:val="0"/>
        <w:spacing w:before="200" w:line-rule="auto"/>
        <w:ind w:firstLine="540"/>
        <w:jc w:val="both"/>
      </w:pPr>
      <w:r>
        <w:rPr>
          <w:sz w:val="20"/>
        </w:rPr>
        <w:t xml:space="preserve">- создание центрального архива медицинских изображений.</w:t>
      </w:r>
    </w:p>
    <w:p>
      <w:pPr>
        <w:pStyle w:val="0"/>
        <w:spacing w:before="200" w:line-rule="auto"/>
        <w:ind w:firstLine="540"/>
        <w:jc w:val="both"/>
      </w:pPr>
      <w:r>
        <w:rPr>
          <w:sz w:val="20"/>
        </w:rPr>
        <w:t xml:space="preserve">6. Целевые индикаторы и показатели подпрограммы 6:</w:t>
      </w:r>
    </w:p>
    <w:p>
      <w:pPr>
        <w:pStyle w:val="0"/>
        <w:spacing w:before="200" w:line-rule="auto"/>
        <w:ind w:firstLine="540"/>
        <w:jc w:val="both"/>
      </w:pPr>
      <w:r>
        <w:rPr>
          <w:sz w:val="20"/>
        </w:rPr>
        <w:t xml:space="preserve">- доля отчетной медицинской документации, представленной в электронном виде в соответствии с едиными стандартами;</w:t>
      </w:r>
    </w:p>
    <w:p>
      <w:pPr>
        <w:pStyle w:val="0"/>
        <w:spacing w:before="200" w:line-rule="auto"/>
        <w:ind w:firstLine="540"/>
        <w:jc w:val="both"/>
      </w:pPr>
      <w:r>
        <w:rPr>
          <w:sz w:val="20"/>
        </w:rPr>
        <w:t xml:space="preserve">- доля обеспеченности государственных учреждений здравоохранения системами комплексной безопасности.</w:t>
      </w:r>
    </w:p>
    <w:p>
      <w:pPr>
        <w:pStyle w:val="0"/>
        <w:spacing w:before="200" w:line-rule="auto"/>
        <w:ind w:firstLine="540"/>
        <w:jc w:val="both"/>
      </w:pPr>
      <w:r>
        <w:rPr>
          <w:sz w:val="20"/>
        </w:rPr>
        <w:t xml:space="preserve">7. Этапы и сроки реализации подпрограммы 6: с 2022 по 2030 год без выделения этапов реализации Программы.</w:t>
      </w:r>
    </w:p>
    <w:p>
      <w:pPr>
        <w:pStyle w:val="0"/>
        <w:spacing w:before="200" w:line-rule="auto"/>
        <w:ind w:firstLine="540"/>
        <w:jc w:val="both"/>
      </w:pPr>
      <w:r>
        <w:rPr>
          <w:sz w:val="20"/>
        </w:rPr>
        <w:t xml:space="preserve">8. Объемы финансирования подпрограммы 6, всего, по годам и по источникам финансирования (тыс. руб.):</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587"/>
        <w:gridCol w:w="1531"/>
        <w:gridCol w:w="1700"/>
        <w:gridCol w:w="1191"/>
        <w:gridCol w:w="1587"/>
      </w:tblGrid>
      <w:tr>
        <w:tc>
          <w:tcPr>
            <w:tcW w:w="1474" w:type="dxa"/>
          </w:tcPr>
          <w:p>
            <w:pPr>
              <w:pStyle w:val="0"/>
              <w:jc w:val="center"/>
            </w:pPr>
            <w:r>
              <w:rPr>
                <w:sz w:val="20"/>
              </w:rPr>
              <w:t xml:space="preserve">Источники финансирования</w:t>
            </w:r>
          </w:p>
        </w:tc>
        <w:tc>
          <w:tcPr>
            <w:tcW w:w="1587" w:type="dxa"/>
          </w:tcPr>
          <w:p>
            <w:pPr>
              <w:pStyle w:val="0"/>
              <w:jc w:val="center"/>
            </w:pPr>
            <w:r>
              <w:rPr>
                <w:sz w:val="20"/>
              </w:rPr>
              <w:t xml:space="preserve">Федеральный бюджет</w:t>
            </w:r>
          </w:p>
        </w:tc>
        <w:tc>
          <w:tcPr>
            <w:tcW w:w="1531" w:type="dxa"/>
          </w:tcPr>
          <w:p>
            <w:pPr>
              <w:pStyle w:val="0"/>
              <w:jc w:val="center"/>
            </w:pPr>
            <w:r>
              <w:rPr>
                <w:sz w:val="20"/>
              </w:rPr>
              <w:t xml:space="preserve">Бюджет города Севастополя</w:t>
            </w:r>
          </w:p>
        </w:tc>
        <w:tc>
          <w:tcPr>
            <w:tcW w:w="1700" w:type="dxa"/>
          </w:tcPr>
          <w:p>
            <w:pPr>
              <w:pStyle w:val="0"/>
              <w:jc w:val="center"/>
            </w:pPr>
            <w:r>
              <w:rPr>
                <w:sz w:val="20"/>
              </w:rPr>
              <w:t xml:space="preserve">Бюджеты других субъектов РФ (город Москва)</w:t>
            </w:r>
          </w:p>
        </w:tc>
        <w:tc>
          <w:tcPr>
            <w:tcW w:w="1191" w:type="dxa"/>
          </w:tcPr>
          <w:p>
            <w:pPr>
              <w:pStyle w:val="0"/>
              <w:jc w:val="center"/>
            </w:pPr>
            <w:r>
              <w:rPr>
                <w:sz w:val="20"/>
              </w:rPr>
              <w:t xml:space="preserve">Внебюджетные средства</w:t>
            </w:r>
          </w:p>
        </w:tc>
        <w:tc>
          <w:tcPr>
            <w:tcW w:w="1587" w:type="dxa"/>
          </w:tcPr>
          <w:p>
            <w:pPr>
              <w:pStyle w:val="0"/>
              <w:jc w:val="center"/>
            </w:pPr>
            <w:r>
              <w:rPr>
                <w:sz w:val="20"/>
              </w:rPr>
              <w:t xml:space="preserve">Итого</w:t>
            </w:r>
          </w:p>
        </w:tc>
      </w:tr>
      <w:tr>
        <w:tc>
          <w:tcPr>
            <w:tcW w:w="1474" w:type="dxa"/>
          </w:tcPr>
          <w:p>
            <w:pPr>
              <w:pStyle w:val="0"/>
              <w:jc w:val="both"/>
            </w:pPr>
            <w:r>
              <w:rPr>
                <w:sz w:val="20"/>
              </w:rPr>
              <w:t xml:space="preserve">2022 год</w:t>
            </w:r>
          </w:p>
        </w:tc>
        <w:tc>
          <w:tcPr>
            <w:tcW w:w="1587" w:type="dxa"/>
          </w:tcPr>
          <w:p>
            <w:pPr>
              <w:pStyle w:val="0"/>
              <w:jc w:val="center"/>
            </w:pPr>
            <w:r>
              <w:rPr>
                <w:sz w:val="20"/>
              </w:rPr>
              <w:t xml:space="preserve">0,0</w:t>
            </w:r>
          </w:p>
        </w:tc>
        <w:tc>
          <w:tcPr>
            <w:tcW w:w="1531" w:type="dxa"/>
          </w:tcPr>
          <w:p>
            <w:pPr>
              <w:pStyle w:val="0"/>
              <w:jc w:val="center"/>
            </w:pPr>
            <w:r>
              <w:rPr>
                <w:sz w:val="20"/>
              </w:rPr>
              <w:t xml:space="preserve">146879,3</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146879,3</w:t>
            </w:r>
          </w:p>
        </w:tc>
      </w:tr>
      <w:tr>
        <w:tc>
          <w:tcPr>
            <w:tcW w:w="1474" w:type="dxa"/>
          </w:tcPr>
          <w:p>
            <w:pPr>
              <w:pStyle w:val="0"/>
              <w:jc w:val="both"/>
            </w:pPr>
            <w:r>
              <w:rPr>
                <w:sz w:val="20"/>
              </w:rPr>
              <w:t xml:space="preserve">2023 год</w:t>
            </w:r>
          </w:p>
        </w:tc>
        <w:tc>
          <w:tcPr>
            <w:tcW w:w="1587" w:type="dxa"/>
          </w:tcPr>
          <w:p>
            <w:pPr>
              <w:pStyle w:val="0"/>
              <w:jc w:val="center"/>
            </w:pPr>
            <w:r>
              <w:rPr>
                <w:sz w:val="20"/>
              </w:rPr>
              <w:t xml:space="preserve">0,0</w:t>
            </w:r>
          </w:p>
        </w:tc>
        <w:tc>
          <w:tcPr>
            <w:tcW w:w="1531" w:type="dxa"/>
          </w:tcPr>
          <w:p>
            <w:pPr>
              <w:pStyle w:val="0"/>
              <w:jc w:val="center"/>
            </w:pPr>
            <w:r>
              <w:rPr>
                <w:sz w:val="20"/>
              </w:rPr>
              <w:t xml:space="preserve">150836,8</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150836,8</w:t>
            </w:r>
          </w:p>
        </w:tc>
      </w:tr>
      <w:tr>
        <w:tc>
          <w:tcPr>
            <w:tcW w:w="1474" w:type="dxa"/>
          </w:tcPr>
          <w:p>
            <w:pPr>
              <w:pStyle w:val="0"/>
              <w:jc w:val="both"/>
            </w:pPr>
            <w:r>
              <w:rPr>
                <w:sz w:val="20"/>
              </w:rPr>
              <w:t xml:space="preserve">2024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2025 год</w:t>
            </w:r>
          </w:p>
        </w:tc>
        <w:tc>
          <w:tcPr>
            <w:tcW w:w="1587" w:type="dxa"/>
          </w:tcPr>
          <w:p>
            <w:pPr>
              <w:pStyle w:val="0"/>
              <w:jc w:val="center"/>
            </w:pPr>
            <w:r>
              <w:rPr>
                <w:sz w:val="20"/>
              </w:rPr>
              <w:t xml:space="preserve">0,0</w:t>
            </w:r>
          </w:p>
        </w:tc>
        <w:tc>
          <w:tcPr>
            <w:tcW w:w="1531" w:type="dxa"/>
          </w:tcPr>
          <w:p>
            <w:pPr>
              <w:pStyle w:val="0"/>
              <w:jc w:val="center"/>
            </w:pPr>
            <w:r>
              <w:rPr>
                <w:sz w:val="20"/>
              </w:rPr>
              <w:t xml:space="preserve">45143,4</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45143,4</w:t>
            </w:r>
          </w:p>
        </w:tc>
      </w:tr>
      <w:tr>
        <w:tc>
          <w:tcPr>
            <w:tcW w:w="1474" w:type="dxa"/>
          </w:tcPr>
          <w:p>
            <w:pPr>
              <w:pStyle w:val="0"/>
              <w:jc w:val="both"/>
            </w:pPr>
            <w:r>
              <w:rPr>
                <w:sz w:val="20"/>
              </w:rPr>
              <w:t xml:space="preserve">2026 год</w:t>
            </w:r>
          </w:p>
        </w:tc>
        <w:tc>
          <w:tcPr>
            <w:tcW w:w="1587" w:type="dxa"/>
          </w:tcPr>
          <w:p>
            <w:pPr>
              <w:pStyle w:val="0"/>
              <w:jc w:val="center"/>
            </w:pPr>
            <w:r>
              <w:rPr>
                <w:sz w:val="20"/>
              </w:rPr>
              <w:t xml:space="preserve">0,0</w:t>
            </w:r>
          </w:p>
        </w:tc>
        <w:tc>
          <w:tcPr>
            <w:tcW w:w="1531" w:type="dxa"/>
          </w:tcPr>
          <w:p>
            <w:pPr>
              <w:pStyle w:val="0"/>
              <w:jc w:val="center"/>
            </w:pPr>
            <w:r>
              <w:rPr>
                <w:sz w:val="20"/>
              </w:rPr>
              <w:t xml:space="preserve">46633,1</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46633,1</w:t>
            </w:r>
          </w:p>
        </w:tc>
      </w:tr>
      <w:tr>
        <w:tc>
          <w:tcPr>
            <w:tcW w:w="1474" w:type="dxa"/>
          </w:tcPr>
          <w:p>
            <w:pPr>
              <w:pStyle w:val="0"/>
              <w:jc w:val="both"/>
            </w:pPr>
            <w:r>
              <w:rPr>
                <w:sz w:val="20"/>
              </w:rPr>
              <w:t xml:space="preserve">2027 год</w:t>
            </w:r>
          </w:p>
        </w:tc>
        <w:tc>
          <w:tcPr>
            <w:tcW w:w="1587" w:type="dxa"/>
          </w:tcPr>
          <w:p>
            <w:pPr>
              <w:pStyle w:val="0"/>
              <w:jc w:val="center"/>
            </w:pPr>
            <w:r>
              <w:rPr>
                <w:sz w:val="20"/>
              </w:rPr>
              <w:t xml:space="preserve">0,0</w:t>
            </w:r>
          </w:p>
        </w:tc>
        <w:tc>
          <w:tcPr>
            <w:tcW w:w="1531" w:type="dxa"/>
          </w:tcPr>
          <w:p>
            <w:pPr>
              <w:pStyle w:val="0"/>
              <w:jc w:val="center"/>
            </w:pPr>
            <w:r>
              <w:rPr>
                <w:sz w:val="20"/>
              </w:rPr>
              <w:t xml:space="preserve">48078,7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48078,7</w:t>
            </w:r>
          </w:p>
        </w:tc>
      </w:tr>
      <w:tr>
        <w:tc>
          <w:tcPr>
            <w:tcW w:w="1474" w:type="dxa"/>
          </w:tcPr>
          <w:p>
            <w:pPr>
              <w:pStyle w:val="0"/>
              <w:jc w:val="both"/>
            </w:pPr>
            <w:r>
              <w:rPr>
                <w:sz w:val="20"/>
              </w:rPr>
              <w:t xml:space="preserve">2028 год</w:t>
            </w:r>
          </w:p>
        </w:tc>
        <w:tc>
          <w:tcPr>
            <w:tcW w:w="1587" w:type="dxa"/>
          </w:tcPr>
          <w:p>
            <w:pPr>
              <w:pStyle w:val="0"/>
              <w:jc w:val="center"/>
            </w:pPr>
            <w:r>
              <w:rPr>
                <w:sz w:val="20"/>
              </w:rPr>
              <w:t xml:space="preserve">0,0</w:t>
            </w:r>
          </w:p>
        </w:tc>
        <w:tc>
          <w:tcPr>
            <w:tcW w:w="1531" w:type="dxa"/>
          </w:tcPr>
          <w:p>
            <w:pPr>
              <w:pStyle w:val="0"/>
              <w:jc w:val="center"/>
            </w:pPr>
            <w:r>
              <w:rPr>
                <w:sz w:val="20"/>
              </w:rPr>
              <w:t xml:space="preserve">49473,0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49473,0</w:t>
            </w:r>
          </w:p>
        </w:tc>
      </w:tr>
      <w:tr>
        <w:tc>
          <w:tcPr>
            <w:tcW w:w="1474" w:type="dxa"/>
          </w:tcPr>
          <w:p>
            <w:pPr>
              <w:pStyle w:val="0"/>
              <w:jc w:val="both"/>
            </w:pPr>
            <w:r>
              <w:rPr>
                <w:sz w:val="20"/>
              </w:rPr>
              <w:t xml:space="preserve">2029 год</w:t>
            </w:r>
          </w:p>
        </w:tc>
        <w:tc>
          <w:tcPr>
            <w:tcW w:w="1587" w:type="dxa"/>
          </w:tcPr>
          <w:p>
            <w:pPr>
              <w:pStyle w:val="0"/>
              <w:jc w:val="center"/>
            </w:pPr>
            <w:r>
              <w:rPr>
                <w:sz w:val="20"/>
              </w:rPr>
              <w:t xml:space="preserve">0,0</w:t>
            </w:r>
          </w:p>
        </w:tc>
        <w:tc>
          <w:tcPr>
            <w:tcW w:w="1531" w:type="dxa"/>
          </w:tcPr>
          <w:p>
            <w:pPr>
              <w:pStyle w:val="0"/>
              <w:jc w:val="center"/>
            </w:pPr>
            <w:r>
              <w:rPr>
                <w:sz w:val="20"/>
              </w:rPr>
              <w:t xml:space="preserve">50858,2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50858,2</w:t>
            </w:r>
          </w:p>
        </w:tc>
      </w:tr>
      <w:tr>
        <w:tc>
          <w:tcPr>
            <w:tcW w:w="1474" w:type="dxa"/>
          </w:tcPr>
          <w:p>
            <w:pPr>
              <w:pStyle w:val="0"/>
              <w:jc w:val="both"/>
            </w:pPr>
            <w:r>
              <w:rPr>
                <w:sz w:val="20"/>
              </w:rPr>
              <w:t xml:space="preserve">2030 год</w:t>
            </w:r>
          </w:p>
        </w:tc>
        <w:tc>
          <w:tcPr>
            <w:tcW w:w="1587" w:type="dxa"/>
          </w:tcPr>
          <w:p>
            <w:pPr>
              <w:pStyle w:val="0"/>
              <w:jc w:val="center"/>
            </w:pPr>
            <w:r>
              <w:rPr>
                <w:sz w:val="20"/>
              </w:rPr>
              <w:t xml:space="preserve">0,0</w:t>
            </w:r>
          </w:p>
        </w:tc>
        <w:tc>
          <w:tcPr>
            <w:tcW w:w="1531" w:type="dxa"/>
          </w:tcPr>
          <w:p>
            <w:pPr>
              <w:pStyle w:val="0"/>
              <w:jc w:val="center"/>
            </w:pPr>
            <w:r>
              <w:rPr>
                <w:sz w:val="20"/>
              </w:rPr>
              <w:t xml:space="preserve">52282,2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52282,2</w:t>
            </w:r>
          </w:p>
        </w:tc>
      </w:tr>
      <w:tr>
        <w:tc>
          <w:tcPr>
            <w:tcW w:w="1474" w:type="dxa"/>
          </w:tcPr>
          <w:p>
            <w:pPr>
              <w:pStyle w:val="0"/>
              <w:jc w:val="both"/>
            </w:pPr>
            <w:r>
              <w:rPr>
                <w:sz w:val="20"/>
              </w:rPr>
              <w:t xml:space="preserve">Всего</w:t>
            </w:r>
          </w:p>
        </w:tc>
        <w:tc>
          <w:tcPr>
            <w:tcW w:w="1587" w:type="dxa"/>
          </w:tcPr>
          <w:p>
            <w:pPr>
              <w:pStyle w:val="0"/>
              <w:jc w:val="center"/>
            </w:pPr>
            <w:r>
              <w:rPr>
                <w:sz w:val="20"/>
              </w:rPr>
              <w:t xml:space="preserve">0,0</w:t>
            </w:r>
          </w:p>
        </w:tc>
        <w:tc>
          <w:tcPr>
            <w:tcW w:w="1531" w:type="dxa"/>
          </w:tcPr>
          <w:p>
            <w:pPr>
              <w:pStyle w:val="0"/>
              <w:jc w:val="center"/>
            </w:pPr>
            <w:r>
              <w:rPr>
                <w:sz w:val="20"/>
              </w:rPr>
              <w:t xml:space="preserve">590184,7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590184,7</w:t>
            </w:r>
          </w:p>
        </w:tc>
      </w:tr>
    </w:tbl>
    <w:p>
      <w:pPr>
        <w:pStyle w:val="0"/>
        <w:jc w:val="both"/>
      </w:pPr>
      <w:r>
        <w:rPr>
          <w:sz w:val="20"/>
        </w:rPr>
      </w:r>
    </w:p>
    <w:p>
      <w:pPr>
        <w:pStyle w:val="0"/>
        <w:ind w:firstLine="540"/>
        <w:jc w:val="both"/>
      </w:pPr>
      <w:r>
        <w:rPr>
          <w:sz w:val="20"/>
        </w:rPr>
        <w:t xml:space="preserve">9. Ожидаемые результаты реализации подпрограммы 6:</w:t>
      </w:r>
    </w:p>
    <w:p>
      <w:pPr>
        <w:pStyle w:val="0"/>
        <w:spacing w:before="200" w:line-rule="auto"/>
        <w:ind w:firstLine="540"/>
        <w:jc w:val="both"/>
      </w:pPr>
      <w:r>
        <w:rPr>
          <w:sz w:val="20"/>
        </w:rPr>
        <w:t xml:space="preserve">- увеличение доли отчетной медицинской документации, представленной в электронном виде в соответствии с едиными стандартами, до 100% к 2030 году;</w:t>
      </w:r>
    </w:p>
    <w:p>
      <w:pPr>
        <w:pStyle w:val="0"/>
        <w:spacing w:before="200" w:line-rule="auto"/>
        <w:ind w:firstLine="540"/>
        <w:jc w:val="both"/>
      </w:pPr>
      <w:r>
        <w:rPr>
          <w:sz w:val="20"/>
        </w:rPr>
        <w:t xml:space="preserve">- поддержание роста обеспеченности государственных учреждений здравоохранения системами комплексной безопасности на уровне 100% к 2030 году;</w:t>
      </w:r>
    </w:p>
    <w:p>
      <w:pPr>
        <w:pStyle w:val="0"/>
        <w:spacing w:before="200" w:line-rule="auto"/>
        <w:ind w:firstLine="540"/>
        <w:jc w:val="both"/>
      </w:pPr>
      <w:r>
        <w:rPr>
          <w:sz w:val="20"/>
        </w:rPr>
        <w:t xml:space="preserve">- внедрение мероприятий в соответствии с концепцией "Умный город";</w:t>
      </w:r>
    </w:p>
    <w:p>
      <w:pPr>
        <w:pStyle w:val="0"/>
        <w:spacing w:before="200" w:line-rule="auto"/>
        <w:ind w:firstLine="540"/>
        <w:jc w:val="both"/>
      </w:pPr>
      <w:r>
        <w:rPr>
          <w:sz w:val="20"/>
        </w:rPr>
        <w:t xml:space="preserve">- обеспечение медицинскими организациями обмена медицинской документацией в электронном виде;</w:t>
      </w:r>
    </w:p>
    <w:p>
      <w:pPr>
        <w:pStyle w:val="0"/>
        <w:spacing w:before="200" w:line-rule="auto"/>
        <w:ind w:firstLine="540"/>
        <w:jc w:val="both"/>
      </w:pPr>
      <w:r>
        <w:rPr>
          <w:sz w:val="20"/>
        </w:rPr>
        <w:t xml:space="preserve">- обеспечение информационного взаимодействия медицинских информационных систем с федеральными информационными системами;</w:t>
      </w:r>
    </w:p>
    <w:p>
      <w:pPr>
        <w:pStyle w:val="0"/>
        <w:spacing w:before="200" w:line-rule="auto"/>
        <w:ind w:firstLine="540"/>
        <w:jc w:val="both"/>
      </w:pPr>
      <w:r>
        <w:rPr>
          <w:sz w:val="20"/>
        </w:rPr>
        <w:t xml:space="preserve">- повышение эффективности функционирования системы здравоохранения за счет создания единого цифрового контура здравоохранения и организации механизмов информационного взаимодействия медицинских организаций государственной и муниципальной систем здравоохранения на основе ЕГИСЗ, реализации электронных услуг (сервисов) в Личном кабинете пациента "Мое здоровье" на Едином портале государственных и муниципальных услуг (ЕПГУ), доступных для всех граждан Российской Федерации.</w:t>
      </w:r>
    </w:p>
    <w:p>
      <w:pPr>
        <w:pStyle w:val="0"/>
        <w:jc w:val="center"/>
      </w:pPr>
      <w:r>
        <w:rPr>
          <w:sz w:val="20"/>
        </w:rPr>
      </w:r>
    </w:p>
    <w:p>
      <w:pPr>
        <w:pStyle w:val="2"/>
        <w:outlineLvl w:val="2"/>
        <w:jc w:val="center"/>
      </w:pPr>
      <w:r>
        <w:rPr>
          <w:sz w:val="20"/>
        </w:rPr>
        <w:t xml:space="preserve">I. Характеристика фактического состояния сферы реализации</w:t>
      </w:r>
    </w:p>
    <w:p>
      <w:pPr>
        <w:pStyle w:val="2"/>
        <w:jc w:val="center"/>
      </w:pPr>
      <w:r>
        <w:rPr>
          <w:sz w:val="20"/>
        </w:rPr>
        <w:t xml:space="preserve">подпрограммы 6 и прогноз развития на перспективу</w:t>
      </w:r>
    </w:p>
    <w:p>
      <w:pPr>
        <w:pStyle w:val="0"/>
      </w:pPr>
      <w:r>
        <w:rPr>
          <w:sz w:val="20"/>
        </w:rPr>
      </w:r>
    </w:p>
    <w:p>
      <w:pPr>
        <w:pStyle w:val="0"/>
        <w:ind w:firstLine="540"/>
        <w:jc w:val="both"/>
      </w:pPr>
      <w:r>
        <w:rPr>
          <w:sz w:val="20"/>
        </w:rPr>
        <w:t xml:space="preserve">В 2014 - 2016 годах с целью интеграции в систему здравоохранения Российской Федерации была начата масштабная модернизация системы здравоохранения города Севастополя. Одним из направлений модернизации стало внедрение современных информационных систем или, как ее часто называют, информатизация здравоохранения.</w:t>
      </w:r>
    </w:p>
    <w:p>
      <w:pPr>
        <w:pStyle w:val="0"/>
        <w:spacing w:before="200" w:line-rule="auto"/>
        <w:ind w:firstLine="540"/>
        <w:jc w:val="both"/>
      </w:pPr>
      <w:r>
        <w:rPr>
          <w:sz w:val="20"/>
        </w:rPr>
        <w:t xml:space="preserve">Основной целью информатизации системы здравоохранения города Севастополя должно стать обеспечение эффективной информационной поддержки системы здравоохранения, граждан в рамках процессов управления медицинской помощью и ее непосредственного оказания.</w:t>
      </w:r>
    </w:p>
    <w:p>
      <w:pPr>
        <w:pStyle w:val="0"/>
        <w:spacing w:before="200" w:line-rule="auto"/>
        <w:ind w:firstLine="540"/>
        <w:jc w:val="both"/>
      </w:pPr>
      <w:r>
        <w:rPr>
          <w:sz w:val="20"/>
        </w:rPr>
        <w:t xml:space="preserve">Перечень мероприятий по информатизации здравоохранения, которые осуществляются также во всех регионах Российской Федерации, включает:</w:t>
      </w:r>
    </w:p>
    <w:p>
      <w:pPr>
        <w:pStyle w:val="0"/>
        <w:spacing w:before="200" w:line-rule="auto"/>
        <w:ind w:firstLine="540"/>
        <w:jc w:val="both"/>
      </w:pPr>
      <w:r>
        <w:rPr>
          <w:sz w:val="20"/>
        </w:rPr>
        <w:t xml:space="preserve">- информатизацию медицинских учреждений, в том числе с целью ведения электронной медицинской карты;</w:t>
      </w:r>
    </w:p>
    <w:p>
      <w:pPr>
        <w:pStyle w:val="0"/>
        <w:spacing w:before="200" w:line-rule="auto"/>
        <w:ind w:firstLine="540"/>
        <w:jc w:val="both"/>
      </w:pPr>
      <w:r>
        <w:rPr>
          <w:sz w:val="20"/>
        </w:rPr>
        <w:t xml:space="preserve">- оснащение медицинских учреждений компьютерным оборудованием;</w:t>
      </w:r>
    </w:p>
    <w:p>
      <w:pPr>
        <w:pStyle w:val="0"/>
        <w:spacing w:before="200" w:line-rule="auto"/>
        <w:ind w:firstLine="540"/>
        <w:jc w:val="both"/>
      </w:pPr>
      <w:r>
        <w:rPr>
          <w:sz w:val="20"/>
        </w:rPr>
        <w:t xml:space="preserve">- организацию локальных вычислительных сетей и каналов связи;</w:t>
      </w:r>
    </w:p>
    <w:p>
      <w:pPr>
        <w:pStyle w:val="0"/>
        <w:spacing w:before="200" w:line-rule="auto"/>
        <w:ind w:firstLine="540"/>
        <w:jc w:val="both"/>
      </w:pPr>
      <w:r>
        <w:rPr>
          <w:sz w:val="20"/>
        </w:rPr>
        <w:t xml:space="preserve">- внедрение медицинских информационных систем, включая ведение листов ожидания и запись на прием к медицинскому работнику, учет и анализ деятельности медицинских учреждений, оформление медицинской документации в электронном виде.</w:t>
      </w:r>
    </w:p>
    <w:p>
      <w:pPr>
        <w:pStyle w:val="0"/>
        <w:spacing w:before="200" w:line-rule="auto"/>
        <w:ind w:firstLine="540"/>
        <w:jc w:val="both"/>
      </w:pPr>
      <w:r>
        <w:rPr>
          <w:sz w:val="20"/>
        </w:rPr>
        <w:t xml:space="preserve">Результатом производимых мероприятий должно стать включение медицинских учреждений в ЕГИСЗ:</w:t>
      </w:r>
    </w:p>
    <w:p>
      <w:pPr>
        <w:pStyle w:val="0"/>
        <w:spacing w:before="200" w:line-rule="auto"/>
        <w:ind w:firstLine="540"/>
        <w:jc w:val="both"/>
      </w:pPr>
      <w:r>
        <w:rPr>
          <w:sz w:val="20"/>
        </w:rPr>
        <w:t xml:space="preserve">- создание единого информационного пространства в сфере здравоохранения;</w:t>
      </w:r>
    </w:p>
    <w:p>
      <w:pPr>
        <w:pStyle w:val="0"/>
        <w:spacing w:before="200" w:line-rule="auto"/>
        <w:ind w:firstLine="540"/>
        <w:jc w:val="both"/>
      </w:pPr>
      <w:r>
        <w:rPr>
          <w:sz w:val="20"/>
        </w:rPr>
        <w:t xml:space="preserve">- повышение качества и доступности медицинских товаров и услуг.</w:t>
      </w:r>
    </w:p>
    <w:p>
      <w:pPr>
        <w:pStyle w:val="0"/>
        <w:spacing w:before="200" w:line-rule="auto"/>
        <w:ind w:firstLine="540"/>
        <w:jc w:val="both"/>
      </w:pPr>
      <w:r>
        <w:rPr>
          <w:sz w:val="20"/>
        </w:rPr>
        <w:t xml:space="preserve">Другим направлением масштабной модернизации системы здравоохранения города Севастополя является обеспечение безопасности государственных медицинских учреждений как важнейшего элемента обеспечения их жизнедеятельности.</w:t>
      </w:r>
    </w:p>
    <w:p>
      <w:pPr>
        <w:pStyle w:val="0"/>
        <w:spacing w:before="200" w:line-rule="auto"/>
        <w:ind w:firstLine="540"/>
        <w:jc w:val="both"/>
      </w:pPr>
      <w:r>
        <w:rPr>
          <w:sz w:val="20"/>
        </w:rPr>
        <w:t xml:space="preserve">Комплексная система безопасности государственных учреждений здравоохранения города должна быть приведена в соответствие требованиям федерального и регионального законодательства в сфере безопасности социальных объектов, обеспечивать сохранность товарно-материальных ценностей, безопасность больных, персонала и посетителей, предупреждать противоправные действия (кражи, хищения, нанесение ущерба), обеспечивать контрольно-пропускной и санитарный режимы, предупреждение террористических действий, актов вандализма, проведение профилактических мероприятий по пожаробезопасности, предотвращению техногенных аварий и т.п.</w:t>
      </w:r>
    </w:p>
    <w:p>
      <w:pPr>
        <w:pStyle w:val="0"/>
      </w:pPr>
      <w:r>
        <w:rPr>
          <w:sz w:val="20"/>
        </w:rPr>
      </w:r>
    </w:p>
    <w:p>
      <w:pPr>
        <w:pStyle w:val="2"/>
        <w:outlineLvl w:val="2"/>
        <w:jc w:val="center"/>
      </w:pPr>
      <w:r>
        <w:rPr>
          <w:sz w:val="20"/>
        </w:rPr>
        <w:t xml:space="preserve">II. Приоритеты, цели, задачи и показатели (целевые</w:t>
      </w:r>
    </w:p>
    <w:p>
      <w:pPr>
        <w:pStyle w:val="2"/>
        <w:jc w:val="center"/>
      </w:pPr>
      <w:r>
        <w:rPr>
          <w:sz w:val="20"/>
        </w:rPr>
        <w:t xml:space="preserve">индикаторы), результаты, этапы и сроки реализации</w:t>
      </w:r>
    </w:p>
    <w:p>
      <w:pPr>
        <w:pStyle w:val="2"/>
        <w:jc w:val="center"/>
      </w:pPr>
      <w:r>
        <w:rPr>
          <w:sz w:val="20"/>
        </w:rPr>
        <w:t xml:space="preserve">подпрограммы 6</w:t>
      </w:r>
    </w:p>
    <w:p>
      <w:pPr>
        <w:pStyle w:val="0"/>
      </w:pPr>
      <w:r>
        <w:rPr>
          <w:sz w:val="20"/>
        </w:rPr>
      </w:r>
    </w:p>
    <w:p>
      <w:pPr>
        <w:pStyle w:val="0"/>
        <w:ind w:firstLine="540"/>
        <w:jc w:val="both"/>
      </w:pPr>
      <w:r>
        <w:rPr>
          <w:sz w:val="20"/>
        </w:rPr>
        <w:t xml:space="preserve">Основные приоритеты в сфере информатизации и комплексной безопасности объектов здравоохранения направлены на повышение эффективности функционирования и обеспечение безопасности системы здравоохранения.</w:t>
      </w:r>
    </w:p>
    <w:p>
      <w:pPr>
        <w:pStyle w:val="0"/>
        <w:spacing w:before="200" w:line-rule="auto"/>
        <w:ind w:firstLine="540"/>
        <w:jc w:val="both"/>
      </w:pPr>
      <w:r>
        <w:rPr>
          <w:sz w:val="20"/>
        </w:rPr>
        <w:t xml:space="preserve">Целью реализации подпрограммы 6 является обеспечение информатизации и комплексной безопасности сферы здравоохранения города Севастополя.</w:t>
      </w:r>
    </w:p>
    <w:p>
      <w:pPr>
        <w:pStyle w:val="0"/>
        <w:spacing w:before="200" w:line-rule="auto"/>
        <w:ind w:firstLine="540"/>
        <w:jc w:val="both"/>
      </w:pPr>
      <w:r>
        <w:rPr>
          <w:sz w:val="20"/>
        </w:rPr>
        <w:t xml:space="preserve">Задачи подпрограммы 6:</w:t>
      </w:r>
    </w:p>
    <w:p>
      <w:pPr>
        <w:pStyle w:val="0"/>
        <w:spacing w:before="200" w:line-rule="auto"/>
        <w:ind w:firstLine="540"/>
        <w:jc w:val="both"/>
      </w:pPr>
      <w:r>
        <w:rPr>
          <w:sz w:val="20"/>
        </w:rPr>
        <w:t xml:space="preserve">- информатизация сферы здравоохранения города Севастополя;</w:t>
      </w:r>
    </w:p>
    <w:p>
      <w:pPr>
        <w:pStyle w:val="0"/>
        <w:spacing w:before="200" w:line-rule="auto"/>
        <w:ind w:firstLine="540"/>
        <w:jc w:val="both"/>
      </w:pPr>
      <w:r>
        <w:rPr>
          <w:sz w:val="20"/>
        </w:rPr>
        <w:t xml:space="preserve">- обеспечение государственных учреждений здравоохранения города Севастополя системами комплексной безопасности;</w:t>
      </w:r>
    </w:p>
    <w:p>
      <w:pPr>
        <w:pStyle w:val="0"/>
        <w:spacing w:before="200" w:line-rule="auto"/>
        <w:ind w:firstLine="540"/>
        <w:jc w:val="both"/>
      </w:pPr>
      <w:r>
        <w:rPr>
          <w:sz w:val="20"/>
        </w:rPr>
        <w:t xml:space="preserve">- создание регионального сегмента ЕГИСЗ города Севастополя с целью обеспечения взаимодействия региональной медицинской информационной системы, автоматизирующей лечебные процессы, с федеральным сегментом ЕГИСЗ, включающей отдельные функциональные блоки, обеспечивающие реализацию ключевых задач и достижение целевых показателей национального проекта "Здравоохранение";</w:t>
      </w:r>
    </w:p>
    <w:p>
      <w:pPr>
        <w:pStyle w:val="0"/>
        <w:spacing w:before="200" w:line-rule="auto"/>
        <w:ind w:firstLine="540"/>
        <w:jc w:val="both"/>
      </w:pPr>
      <w:r>
        <w:rPr>
          <w:sz w:val="20"/>
        </w:rPr>
        <w:t xml:space="preserve">- обеспечение возможности ведения региональной системы нормативно-справочной информации и региональной электронной медицинской карты пациента;</w:t>
      </w:r>
    </w:p>
    <w:p>
      <w:pPr>
        <w:pStyle w:val="0"/>
        <w:spacing w:before="200" w:line-rule="auto"/>
        <w:ind w:firstLine="540"/>
        <w:jc w:val="both"/>
      </w:pPr>
      <w:r>
        <w:rPr>
          <w:sz w:val="20"/>
        </w:rPr>
        <w:t xml:space="preserve">- обеспечение единой идентификации и аутентификации граждан в региональном сегменте ЕГИСЗ, в том числе с использованием Единой городской карты Севастополя;</w:t>
      </w:r>
    </w:p>
    <w:p>
      <w:pPr>
        <w:pStyle w:val="0"/>
        <w:spacing w:before="200" w:line-rule="auto"/>
        <w:ind w:firstLine="540"/>
        <w:jc w:val="both"/>
      </w:pPr>
      <w:r>
        <w:rPr>
          <w:sz w:val="20"/>
        </w:rPr>
        <w:t xml:space="preserve">- создание единой точки доступа для взаимодействия с городской системой здравоохранения при предоставлении медицинских услуг;</w:t>
      </w:r>
    </w:p>
    <w:p>
      <w:pPr>
        <w:pStyle w:val="0"/>
        <w:spacing w:before="200" w:line-rule="auto"/>
        <w:ind w:firstLine="540"/>
        <w:jc w:val="both"/>
      </w:pPr>
      <w:r>
        <w:rPr>
          <w:sz w:val="20"/>
        </w:rPr>
        <w:t xml:space="preserve">- создание территориальной системы раннего выявления жизнеугрожающих заболеваний и состояний с участием специалистов-экспертов для непрерывного наблюдения за состоянием здоровья пациентов в домашних условиях и прямого взаимодействия со службами экстренного реагирования и скорой медицинской помощи;</w:t>
      </w:r>
    </w:p>
    <w:p>
      <w:pPr>
        <w:pStyle w:val="0"/>
        <w:spacing w:before="200" w:line-rule="auto"/>
        <w:ind w:firstLine="540"/>
        <w:jc w:val="both"/>
      </w:pPr>
      <w:r>
        <w:rPr>
          <w:sz w:val="20"/>
        </w:rPr>
        <w:t xml:space="preserve">- реализация инцидент-ориентированного проекта на базе "Кнопки жизни" для оснащения населения медицинскими сигнализаторами программного типа, обеспечивающими прямое взаимодействие с центрами дистанционного контроля состояния здоровья населения, службой-112, территориальным медицинским контакт-центром;</w:t>
      </w:r>
    </w:p>
    <w:p>
      <w:pPr>
        <w:pStyle w:val="0"/>
        <w:spacing w:before="200" w:line-rule="auto"/>
        <w:ind w:firstLine="540"/>
        <w:jc w:val="both"/>
      </w:pPr>
      <w:r>
        <w:rPr>
          <w:sz w:val="20"/>
        </w:rPr>
        <w:t xml:space="preserve">- повышение качества лабораторной диагностики и обеспечение эффективности информационного обмена результатами лабораторных исследований между лабораториями и региональной информационной медицинской системой;</w:t>
      </w:r>
    </w:p>
    <w:p>
      <w:pPr>
        <w:pStyle w:val="0"/>
        <w:spacing w:before="200" w:line-rule="auto"/>
        <w:ind w:firstLine="540"/>
        <w:jc w:val="both"/>
      </w:pPr>
      <w:r>
        <w:rPr>
          <w:sz w:val="20"/>
        </w:rPr>
        <w:t xml:space="preserve">- создание центрального архива медицинских изображений.</w:t>
      </w:r>
    </w:p>
    <w:p>
      <w:pPr>
        <w:pStyle w:val="0"/>
        <w:spacing w:before="200" w:line-rule="auto"/>
        <w:ind w:firstLine="540"/>
        <w:jc w:val="both"/>
      </w:pPr>
      <w:r>
        <w:rPr>
          <w:sz w:val="20"/>
        </w:rPr>
        <w:t xml:space="preserve">Основные ожидаемые конечные результаты подпрограммы 6:</w:t>
      </w:r>
    </w:p>
    <w:p>
      <w:pPr>
        <w:pStyle w:val="0"/>
        <w:spacing w:before="200" w:line-rule="auto"/>
        <w:ind w:firstLine="540"/>
        <w:jc w:val="both"/>
      </w:pPr>
      <w:r>
        <w:rPr>
          <w:sz w:val="20"/>
        </w:rPr>
        <w:t xml:space="preserve">- увеличение доли отчетной медицинской документации, представленной в электронном виде в соответствии с едиными стандартами, до уровня 100% к 2030 году;</w:t>
      </w:r>
    </w:p>
    <w:p>
      <w:pPr>
        <w:pStyle w:val="0"/>
        <w:spacing w:before="200" w:line-rule="auto"/>
        <w:ind w:firstLine="540"/>
        <w:jc w:val="both"/>
      </w:pPr>
      <w:r>
        <w:rPr>
          <w:sz w:val="20"/>
        </w:rPr>
        <w:t xml:space="preserve">- сохранение доли обеспечения государственных учреждений здравоохранения системами комплексной безопасности на уровне 100% к 2030 году.</w:t>
      </w:r>
    </w:p>
    <w:p>
      <w:pPr>
        <w:pStyle w:val="0"/>
        <w:spacing w:before="200" w:line-rule="auto"/>
        <w:ind w:firstLine="540"/>
        <w:jc w:val="both"/>
      </w:pPr>
      <w:hyperlink w:history="0" w:anchor="P2921" w:tooltip="Сведения о показателях (индикаторах) государственной">
        <w:r>
          <w:rPr>
            <w:sz w:val="20"/>
            <w:color w:val="0000ff"/>
          </w:rPr>
          <w:t xml:space="preserve">Сведения</w:t>
        </w:r>
      </w:hyperlink>
      <w:r>
        <w:rPr>
          <w:sz w:val="20"/>
        </w:rPr>
        <w:t xml:space="preserve"> о целевых показателях (индикаторах) подпрограммы 6 представлены в приложении N 1 к Программе.</w:t>
      </w:r>
    </w:p>
    <w:p>
      <w:pPr>
        <w:pStyle w:val="0"/>
        <w:spacing w:before="200" w:line-rule="auto"/>
        <w:ind w:firstLine="540"/>
        <w:jc w:val="both"/>
      </w:pPr>
      <w:r>
        <w:rPr>
          <w:sz w:val="20"/>
        </w:rPr>
        <w:t xml:space="preserve">Срок реализации подпрограммы 6: с 2022 по 2030 год с учетом поставленных задач.</w:t>
      </w:r>
    </w:p>
    <w:p>
      <w:pPr>
        <w:pStyle w:val="0"/>
        <w:ind w:firstLine="540"/>
        <w:jc w:val="both"/>
      </w:pPr>
      <w:r>
        <w:rPr>
          <w:sz w:val="20"/>
        </w:rPr>
      </w:r>
    </w:p>
    <w:p>
      <w:pPr>
        <w:pStyle w:val="2"/>
        <w:outlineLvl w:val="2"/>
        <w:jc w:val="center"/>
      </w:pPr>
      <w:r>
        <w:rPr>
          <w:sz w:val="20"/>
        </w:rPr>
        <w:t xml:space="preserve">III. Характеристика основных мероприятий подпрограммы 6</w:t>
      </w:r>
    </w:p>
    <w:p>
      <w:pPr>
        <w:pStyle w:val="0"/>
      </w:pPr>
      <w:r>
        <w:rPr>
          <w:sz w:val="20"/>
        </w:rPr>
      </w:r>
    </w:p>
    <w:p>
      <w:pPr>
        <w:pStyle w:val="0"/>
        <w:ind w:firstLine="540"/>
        <w:jc w:val="both"/>
      </w:pPr>
      <w:r>
        <w:rPr>
          <w:sz w:val="20"/>
        </w:rPr>
        <w:t xml:space="preserve">С целью решения задач подпрограммы 6 необходима реализация следующих мероприятий:</w:t>
      </w:r>
    </w:p>
    <w:p>
      <w:pPr>
        <w:pStyle w:val="0"/>
        <w:spacing w:before="200" w:line-rule="auto"/>
        <w:ind w:firstLine="540"/>
        <w:jc w:val="both"/>
      </w:pPr>
      <w:r>
        <w:rPr>
          <w:sz w:val="20"/>
        </w:rPr>
        <w:t xml:space="preserve">- информатизация подведомственных ДЗГС учреждений здравоохранения города Севастополя, включая реализацию концепции "Умный город", обеспечение защиты информационных сетей, работы ГЛОНАСС;</w:t>
      </w:r>
    </w:p>
    <w:p>
      <w:pPr>
        <w:pStyle w:val="0"/>
        <w:spacing w:before="200" w:line-rule="auto"/>
        <w:ind w:firstLine="540"/>
        <w:jc w:val="both"/>
      </w:pPr>
      <w:r>
        <w:rPr>
          <w:sz w:val="20"/>
        </w:rPr>
        <w:t xml:space="preserve">- внедрение медицинских информационных систем в медицинских организациях государственной системы здравоохранения города Севастополя, оказывающих первичную медико-санитарную помощь.</w:t>
      </w:r>
    </w:p>
    <w:p>
      <w:pPr>
        <w:pStyle w:val="0"/>
        <w:spacing w:before="200" w:line-rule="auto"/>
        <w:ind w:firstLine="540"/>
        <w:jc w:val="both"/>
      </w:pPr>
      <w:r>
        <w:rPr>
          <w:sz w:val="20"/>
        </w:rPr>
        <w:t xml:space="preserve">Реализация мероприятий подпрограммы 6 даст возможность продолжить процессы информатизации и обеспечения безопасности учреждений здравоохранения города Севастополя, начатые в 2014 - 2016 годах, приведет к повышению качества и доступности оказания медицинских услуг населению, соответствию состояния государственных учреждений города требованиям законодательства Российской Федерации в сфере безопасности социальных объектов.</w:t>
      </w:r>
    </w:p>
    <w:p>
      <w:pPr>
        <w:pStyle w:val="0"/>
        <w:spacing w:before="200" w:line-rule="auto"/>
        <w:ind w:firstLine="540"/>
        <w:jc w:val="both"/>
      </w:pPr>
      <w:r>
        <w:rPr>
          <w:sz w:val="20"/>
        </w:rPr>
        <w:t xml:space="preserve">Общий </w:t>
      </w:r>
      <w:hyperlink w:history="0" w:anchor="P4719" w:tooltip="Перечень основных мероприятий государственной программы">
        <w:r>
          <w:rPr>
            <w:sz w:val="20"/>
            <w:color w:val="0000ff"/>
          </w:rPr>
          <w:t xml:space="preserve">перечень</w:t>
        </w:r>
      </w:hyperlink>
      <w:r>
        <w:rPr>
          <w:sz w:val="20"/>
        </w:rPr>
        <w:t xml:space="preserve"> мероприятий подпрограммы 6 представлен в приложении N 2 к Программе.</w:t>
      </w:r>
    </w:p>
    <w:p>
      <w:pPr>
        <w:pStyle w:val="0"/>
        <w:ind w:firstLine="540"/>
        <w:jc w:val="both"/>
      </w:pPr>
      <w:r>
        <w:rPr>
          <w:sz w:val="20"/>
        </w:rPr>
      </w:r>
    </w:p>
    <w:p>
      <w:pPr>
        <w:pStyle w:val="2"/>
        <w:outlineLvl w:val="2"/>
        <w:jc w:val="center"/>
      </w:pPr>
      <w:r>
        <w:rPr>
          <w:sz w:val="20"/>
        </w:rPr>
        <w:t xml:space="preserve">IV. Характеристика мер государственного и правового</w:t>
      </w:r>
    </w:p>
    <w:p>
      <w:pPr>
        <w:pStyle w:val="2"/>
        <w:jc w:val="center"/>
      </w:pPr>
      <w:r>
        <w:rPr>
          <w:sz w:val="20"/>
        </w:rPr>
        <w:t xml:space="preserve">регулирования подпрограммы 6</w:t>
      </w:r>
    </w:p>
    <w:p>
      <w:pPr>
        <w:pStyle w:val="0"/>
        <w:ind w:firstLine="540"/>
        <w:jc w:val="both"/>
      </w:pPr>
      <w:r>
        <w:rPr>
          <w:sz w:val="20"/>
        </w:rPr>
      </w:r>
    </w:p>
    <w:p>
      <w:pPr>
        <w:pStyle w:val="0"/>
        <w:ind w:firstLine="540"/>
        <w:jc w:val="both"/>
      </w:pPr>
      <w:r>
        <w:rPr>
          <w:sz w:val="20"/>
        </w:rPr>
        <w:t xml:space="preserve">Государственное и правовое регулирование подпрограммы 6 осуществляется согласно </w:t>
      </w:r>
      <w:hyperlink w:history="0" w:anchor="P472" w:tooltip="IV. Характеристика мер государственного">
        <w:r>
          <w:rPr>
            <w:sz w:val="20"/>
            <w:color w:val="0000ff"/>
          </w:rPr>
          <w:t xml:space="preserve">разделу IV</w:t>
        </w:r>
      </w:hyperlink>
      <w:r>
        <w:rPr>
          <w:sz w:val="20"/>
        </w:rPr>
        <w:t xml:space="preserve"> Программы.</w:t>
      </w:r>
    </w:p>
    <w:p>
      <w:pPr>
        <w:pStyle w:val="0"/>
      </w:pPr>
      <w:r>
        <w:rPr>
          <w:sz w:val="20"/>
        </w:rPr>
      </w:r>
    </w:p>
    <w:p>
      <w:pPr>
        <w:pStyle w:val="2"/>
        <w:outlineLvl w:val="2"/>
        <w:jc w:val="center"/>
      </w:pPr>
      <w:r>
        <w:rPr>
          <w:sz w:val="20"/>
        </w:rPr>
        <w:t xml:space="preserve">V. Ресурсное обеспечение, необходимое</w:t>
      </w:r>
    </w:p>
    <w:p>
      <w:pPr>
        <w:pStyle w:val="2"/>
        <w:jc w:val="center"/>
      </w:pPr>
      <w:r>
        <w:rPr>
          <w:sz w:val="20"/>
        </w:rPr>
        <w:t xml:space="preserve">для реализации подпрограммы 6</w:t>
      </w:r>
    </w:p>
    <w:p>
      <w:pPr>
        <w:pStyle w:val="0"/>
        <w:ind w:firstLine="540"/>
        <w:jc w:val="both"/>
      </w:pPr>
      <w:r>
        <w:rPr>
          <w:sz w:val="20"/>
        </w:rPr>
      </w:r>
    </w:p>
    <w:p>
      <w:pPr>
        <w:pStyle w:val="0"/>
        <w:ind w:firstLine="540"/>
        <w:jc w:val="both"/>
      </w:pPr>
      <w:r>
        <w:rPr>
          <w:sz w:val="20"/>
        </w:rPr>
        <w:t xml:space="preserve">Общий объем финансового обеспечения подпрограммы 6 в 2022 - 2030 годах составляет 590184,7 тыс. руб., из них:</w:t>
      </w:r>
    </w:p>
    <w:p>
      <w:pPr>
        <w:pStyle w:val="0"/>
        <w:spacing w:before="200" w:line-rule="auto"/>
        <w:ind w:firstLine="540"/>
        <w:jc w:val="both"/>
      </w:pPr>
      <w:r>
        <w:rPr>
          <w:sz w:val="20"/>
        </w:rPr>
        <w:t xml:space="preserve">средства федерального бюджета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средства бюджета города Севастополя - 590184,7 тыс. руб., в том числе:</w:t>
      </w:r>
    </w:p>
    <w:p>
      <w:pPr>
        <w:pStyle w:val="0"/>
        <w:spacing w:before="200" w:line-rule="auto"/>
        <w:ind w:firstLine="540"/>
        <w:jc w:val="both"/>
      </w:pPr>
      <w:r>
        <w:rPr>
          <w:sz w:val="20"/>
        </w:rPr>
        <w:t xml:space="preserve">2022 г. - 146879,3 тыс. руб.;</w:t>
      </w:r>
    </w:p>
    <w:p>
      <w:pPr>
        <w:pStyle w:val="0"/>
        <w:spacing w:before="200" w:line-rule="auto"/>
        <w:ind w:firstLine="540"/>
        <w:jc w:val="both"/>
      </w:pPr>
      <w:r>
        <w:rPr>
          <w:sz w:val="20"/>
        </w:rPr>
        <w:t xml:space="preserve">2023 г. - 150836,8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- 45143,4 тыс. руб.;</w:t>
      </w:r>
    </w:p>
    <w:p>
      <w:pPr>
        <w:pStyle w:val="0"/>
        <w:spacing w:before="200" w:line-rule="auto"/>
        <w:ind w:firstLine="540"/>
        <w:jc w:val="both"/>
      </w:pPr>
      <w:r>
        <w:rPr>
          <w:sz w:val="20"/>
        </w:rPr>
        <w:t xml:space="preserve">2026 г. - 46633,1 тыс. руб.;</w:t>
      </w:r>
    </w:p>
    <w:p>
      <w:pPr>
        <w:pStyle w:val="0"/>
        <w:spacing w:before="200" w:line-rule="auto"/>
        <w:ind w:firstLine="540"/>
        <w:jc w:val="both"/>
      </w:pPr>
      <w:r>
        <w:rPr>
          <w:sz w:val="20"/>
        </w:rPr>
        <w:t xml:space="preserve">2027 г. - 48078,7 тыс. руб.;</w:t>
      </w:r>
    </w:p>
    <w:p>
      <w:pPr>
        <w:pStyle w:val="0"/>
        <w:spacing w:before="200" w:line-rule="auto"/>
        <w:ind w:firstLine="540"/>
        <w:jc w:val="both"/>
      </w:pPr>
      <w:r>
        <w:rPr>
          <w:sz w:val="20"/>
        </w:rPr>
        <w:t xml:space="preserve">2028 г. - 49473,0 тыс. руб.;</w:t>
      </w:r>
    </w:p>
    <w:p>
      <w:pPr>
        <w:pStyle w:val="0"/>
        <w:spacing w:before="200" w:line-rule="auto"/>
        <w:ind w:firstLine="540"/>
        <w:jc w:val="both"/>
      </w:pPr>
      <w:r>
        <w:rPr>
          <w:sz w:val="20"/>
        </w:rPr>
        <w:t xml:space="preserve">2029 г. - 50858,2 тыс. руб.;</w:t>
      </w:r>
    </w:p>
    <w:p>
      <w:pPr>
        <w:pStyle w:val="0"/>
        <w:spacing w:before="200" w:line-rule="auto"/>
        <w:ind w:firstLine="540"/>
        <w:jc w:val="both"/>
      </w:pPr>
      <w:r>
        <w:rPr>
          <w:sz w:val="20"/>
        </w:rPr>
        <w:t xml:space="preserve">2030 г. - 52282,2 тыс. руб.;</w:t>
      </w:r>
    </w:p>
    <w:p>
      <w:pPr>
        <w:pStyle w:val="0"/>
        <w:spacing w:before="200" w:line-rule="auto"/>
        <w:ind w:firstLine="540"/>
        <w:jc w:val="both"/>
      </w:pPr>
      <w:r>
        <w:rPr>
          <w:sz w:val="20"/>
        </w:rPr>
        <w:t xml:space="preserve">средства бюджетов других субъектов Российской Федерации (город Москва)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внебюджетные средства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Ресурсное </w:t>
      </w:r>
      <w:hyperlink w:history="0" w:anchor="P5821" w:tooltip="Финансовое обеспечение реализации государственной программы">
        <w:r>
          <w:rPr>
            <w:sz w:val="20"/>
            <w:color w:val="0000ff"/>
          </w:rPr>
          <w:t xml:space="preserve">обеспечение</w:t>
        </w:r>
      </w:hyperlink>
      <w:r>
        <w:rPr>
          <w:sz w:val="20"/>
        </w:rPr>
        <w:t xml:space="preserve"> и прогнозная (справочная) оценка расходов на реализацию целей подпрограммы 6 приведены в приложении N 4 к Программе.</w:t>
      </w:r>
    </w:p>
    <w:p>
      <w:pPr>
        <w:pStyle w:val="0"/>
      </w:pPr>
      <w:r>
        <w:rPr>
          <w:sz w:val="20"/>
        </w:rPr>
      </w:r>
    </w:p>
    <w:bookmarkStart w:id="2108" w:name="P2108"/>
    <w:bookmarkEnd w:id="2108"/>
    <w:p>
      <w:pPr>
        <w:pStyle w:val="2"/>
        <w:outlineLvl w:val="1"/>
        <w:jc w:val="center"/>
      </w:pPr>
      <w:r>
        <w:rPr>
          <w:sz w:val="20"/>
        </w:rPr>
        <w:t xml:space="preserve">ПОДПРОГРАММА 7</w:t>
      </w:r>
    </w:p>
    <w:p>
      <w:pPr>
        <w:pStyle w:val="2"/>
        <w:jc w:val="center"/>
      </w:pPr>
      <w:r>
        <w:rPr>
          <w:sz w:val="20"/>
        </w:rPr>
        <w:t xml:space="preserve">"Кадровое обеспечение системы здравоохранения"</w:t>
      </w:r>
    </w:p>
    <w:p>
      <w:pPr>
        <w:pStyle w:val="0"/>
        <w:jc w:val="center"/>
      </w:pPr>
      <w:r>
        <w:rPr>
          <w:sz w:val="20"/>
        </w:rPr>
        <w:t xml:space="preserve">(в ред. </w:t>
      </w:r>
      <w:hyperlink w:history="0" r:id="rId233"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2"/>
        <w:outlineLvl w:val="2"/>
        <w:jc w:val="center"/>
      </w:pPr>
      <w:r>
        <w:rPr>
          <w:sz w:val="20"/>
        </w:rPr>
        <w:t xml:space="preserve">ПАСПОРТ</w:t>
      </w:r>
    </w:p>
    <w:p>
      <w:pPr>
        <w:pStyle w:val="2"/>
        <w:jc w:val="center"/>
      </w:pPr>
      <w:r>
        <w:rPr>
          <w:sz w:val="20"/>
        </w:rPr>
        <w:t xml:space="preserve">подпрограммы 7 "Кадровое обеспечение системы</w:t>
      </w:r>
    </w:p>
    <w:p>
      <w:pPr>
        <w:pStyle w:val="2"/>
        <w:jc w:val="center"/>
      </w:pPr>
      <w:r>
        <w:rPr>
          <w:sz w:val="20"/>
        </w:rPr>
        <w:t xml:space="preserve">здравоохранения" (далее - подпрограмма 7)</w:t>
      </w:r>
    </w:p>
    <w:p>
      <w:pPr>
        <w:pStyle w:val="0"/>
        <w:jc w:val="center"/>
      </w:pPr>
      <w:r>
        <w:rPr>
          <w:sz w:val="20"/>
        </w:rPr>
      </w:r>
    </w:p>
    <w:p>
      <w:pPr>
        <w:pStyle w:val="0"/>
        <w:ind w:firstLine="540"/>
        <w:jc w:val="both"/>
      </w:pPr>
      <w:r>
        <w:rPr>
          <w:sz w:val="20"/>
        </w:rPr>
        <w:t xml:space="preserve">1. Ответственный исполнитель подпрограммы 7: ДЗГС.</w:t>
      </w:r>
    </w:p>
    <w:p>
      <w:pPr>
        <w:pStyle w:val="0"/>
        <w:spacing w:before="200" w:line-rule="auto"/>
        <w:ind w:firstLine="540"/>
        <w:jc w:val="both"/>
      </w:pPr>
      <w:r>
        <w:rPr>
          <w:sz w:val="20"/>
        </w:rPr>
        <w:t xml:space="preserve">2. Участники подпрограммы 7:</w:t>
      </w:r>
    </w:p>
    <w:p>
      <w:pPr>
        <w:pStyle w:val="0"/>
        <w:spacing w:before="200" w:line-rule="auto"/>
        <w:ind w:firstLine="540"/>
        <w:jc w:val="both"/>
      </w:pPr>
      <w:r>
        <w:rPr>
          <w:sz w:val="20"/>
        </w:rPr>
        <w:t xml:space="preserve">государственные учреждения здравоохранения города Севастополя;</w:t>
      </w:r>
    </w:p>
    <w:p>
      <w:pPr>
        <w:pStyle w:val="0"/>
        <w:spacing w:before="200" w:line-rule="auto"/>
        <w:ind w:firstLine="540"/>
        <w:jc w:val="both"/>
      </w:pPr>
      <w:r>
        <w:rPr>
          <w:sz w:val="20"/>
        </w:rPr>
        <w:t xml:space="preserve">ГКУС "Медицинский склад N 1043";</w:t>
      </w:r>
    </w:p>
    <w:p>
      <w:pPr>
        <w:pStyle w:val="0"/>
        <w:spacing w:before="200" w:line-rule="auto"/>
        <w:ind w:firstLine="540"/>
        <w:jc w:val="both"/>
      </w:pPr>
      <w:r>
        <w:rPr>
          <w:sz w:val="20"/>
        </w:rPr>
        <w:t xml:space="preserve">СГБОУ ПО "Севастопольский медицинский колледж имени Жени Дерюгиной".</w:t>
      </w:r>
    </w:p>
    <w:p>
      <w:pPr>
        <w:pStyle w:val="0"/>
        <w:spacing w:before="200" w:line-rule="auto"/>
        <w:ind w:firstLine="540"/>
        <w:jc w:val="both"/>
      </w:pPr>
      <w:r>
        <w:rPr>
          <w:sz w:val="20"/>
        </w:rPr>
        <w:t xml:space="preserve">3. Цель подпрограммы 7: обеспечение системы здравоохранения высококвалифицированными специалистами.</w:t>
      </w:r>
    </w:p>
    <w:p>
      <w:pPr>
        <w:pStyle w:val="0"/>
        <w:spacing w:before="200" w:line-rule="auto"/>
        <w:ind w:firstLine="540"/>
        <w:jc w:val="both"/>
      </w:pPr>
      <w:r>
        <w:rPr>
          <w:sz w:val="20"/>
        </w:rPr>
        <w:t xml:space="preserve">4. Задачи подпрограммы 7:</w:t>
      </w:r>
    </w:p>
    <w:p>
      <w:pPr>
        <w:pStyle w:val="0"/>
        <w:spacing w:before="200" w:line-rule="auto"/>
        <w:ind w:firstLine="540"/>
        <w:jc w:val="both"/>
      </w:pPr>
      <w:r>
        <w:rPr>
          <w:sz w:val="20"/>
        </w:rPr>
        <w:t xml:space="preserve">- снижение дефицита специалистов с высшим и средним медицинским образованием (далее - медицинские кадры);</w:t>
      </w:r>
    </w:p>
    <w:p>
      <w:pPr>
        <w:pStyle w:val="0"/>
        <w:spacing w:before="200" w:line-rule="auto"/>
        <w:ind w:firstLine="540"/>
        <w:jc w:val="both"/>
      </w:pPr>
      <w:r>
        <w:rPr>
          <w:sz w:val="20"/>
        </w:rPr>
        <w:t xml:space="preserve">- повышение престижа профессии, в том числе за счет создания позитивного образа медицинских и фармацевтических кадров в общественном сознании;</w:t>
      </w:r>
    </w:p>
    <w:p>
      <w:pPr>
        <w:pStyle w:val="0"/>
        <w:spacing w:before="200" w:line-rule="auto"/>
        <w:ind w:firstLine="540"/>
        <w:jc w:val="both"/>
      </w:pPr>
      <w:r>
        <w:rPr>
          <w:sz w:val="20"/>
        </w:rPr>
        <w:t xml:space="preserve">- развитие мер социальной поддержки медицинских и фармацевтических кадров.</w:t>
      </w:r>
    </w:p>
    <w:p>
      <w:pPr>
        <w:pStyle w:val="0"/>
        <w:spacing w:before="200" w:line-rule="auto"/>
        <w:ind w:firstLine="540"/>
        <w:jc w:val="both"/>
      </w:pPr>
      <w:r>
        <w:rPr>
          <w:sz w:val="20"/>
        </w:rPr>
        <w:t xml:space="preserve">5. Целевые индикаторы и показатели подпрограммы 7:</w:t>
      </w:r>
    </w:p>
    <w:p>
      <w:pPr>
        <w:pStyle w:val="0"/>
        <w:spacing w:before="200" w:line-rule="auto"/>
        <w:ind w:firstLine="540"/>
        <w:jc w:val="both"/>
      </w:pPr>
      <w:r>
        <w:rPr>
          <w:sz w:val="20"/>
        </w:rPr>
        <w:t xml:space="preserve">- доля медицинских и фармацевтических работников, обучавшихся в рамках целевой подготовки для нужд города Севастополя, трудоустроившихся после завершения обучения в медицинские или фармацевтические организации государственной системы здравоохранения города Севастополя;</w:t>
      </w:r>
    </w:p>
    <w:p>
      <w:pPr>
        <w:pStyle w:val="0"/>
        <w:spacing w:before="200" w:line-rule="auto"/>
        <w:ind w:firstLine="540"/>
        <w:jc w:val="both"/>
      </w:pPr>
      <w:r>
        <w:rPr>
          <w:sz w:val="20"/>
        </w:rPr>
        <w:t xml:space="preserve">- отношение среднемесячной номинальной начисленной заработной платы работников государственных учреждений здравоохранения к среднемесячной номинальной заработной плате работников, занятых в сфере экономики региона;</w:t>
      </w:r>
    </w:p>
    <w:p>
      <w:pPr>
        <w:pStyle w:val="0"/>
        <w:spacing w:before="200" w:line-rule="auto"/>
        <w:ind w:firstLine="540"/>
        <w:jc w:val="both"/>
      </w:pPr>
      <w:r>
        <w:rPr>
          <w:sz w:val="20"/>
        </w:rPr>
        <w:t xml:space="preserve">- численность врачей, работающих в государственных медицинских организациях города Севастополя;</w:t>
      </w:r>
    </w:p>
    <w:p>
      <w:pPr>
        <w:pStyle w:val="0"/>
        <w:spacing w:before="200" w:line-rule="auto"/>
        <w:ind w:firstLine="540"/>
        <w:jc w:val="both"/>
      </w:pPr>
      <w:r>
        <w:rPr>
          <w:sz w:val="20"/>
        </w:rPr>
        <w:t xml:space="preserve">- численность средних медицинских работников, работающих в государственных медицинских организациях города Севастополя.</w:t>
      </w:r>
    </w:p>
    <w:p>
      <w:pPr>
        <w:pStyle w:val="0"/>
        <w:spacing w:before="200" w:line-rule="auto"/>
        <w:ind w:firstLine="540"/>
        <w:jc w:val="both"/>
      </w:pPr>
      <w:r>
        <w:rPr>
          <w:sz w:val="20"/>
        </w:rPr>
        <w:t xml:space="preserve">6. Этапы и сроки реализации подпрограммы 7: с 2022 по 2030 год без выделения этапов реализации Программы.</w:t>
      </w:r>
    </w:p>
    <w:p>
      <w:pPr>
        <w:pStyle w:val="0"/>
        <w:spacing w:before="200" w:line-rule="auto"/>
        <w:ind w:firstLine="540"/>
        <w:jc w:val="both"/>
      </w:pPr>
      <w:r>
        <w:rPr>
          <w:sz w:val="20"/>
        </w:rPr>
        <w:t xml:space="preserve">7. Объемы финансирования подпрограммы 7, всего, по годам и по источникам финансирования (тыс. руб.):</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587"/>
        <w:gridCol w:w="1531"/>
        <w:gridCol w:w="1700"/>
        <w:gridCol w:w="1191"/>
        <w:gridCol w:w="1587"/>
      </w:tblGrid>
      <w:tr>
        <w:tc>
          <w:tcPr>
            <w:tcW w:w="1474" w:type="dxa"/>
          </w:tcPr>
          <w:p>
            <w:pPr>
              <w:pStyle w:val="0"/>
              <w:jc w:val="center"/>
            </w:pPr>
            <w:r>
              <w:rPr>
                <w:sz w:val="20"/>
              </w:rPr>
              <w:t xml:space="preserve">Источники финансирования</w:t>
            </w:r>
          </w:p>
        </w:tc>
        <w:tc>
          <w:tcPr>
            <w:tcW w:w="1587" w:type="dxa"/>
          </w:tcPr>
          <w:p>
            <w:pPr>
              <w:pStyle w:val="0"/>
              <w:jc w:val="center"/>
            </w:pPr>
            <w:r>
              <w:rPr>
                <w:sz w:val="20"/>
              </w:rPr>
              <w:t xml:space="preserve">Федеральный бюджет</w:t>
            </w:r>
          </w:p>
        </w:tc>
        <w:tc>
          <w:tcPr>
            <w:tcW w:w="1531" w:type="dxa"/>
          </w:tcPr>
          <w:p>
            <w:pPr>
              <w:pStyle w:val="0"/>
              <w:jc w:val="center"/>
            </w:pPr>
            <w:r>
              <w:rPr>
                <w:sz w:val="20"/>
              </w:rPr>
              <w:t xml:space="preserve">Бюджет города Севастополя</w:t>
            </w:r>
          </w:p>
        </w:tc>
        <w:tc>
          <w:tcPr>
            <w:tcW w:w="1700" w:type="dxa"/>
          </w:tcPr>
          <w:p>
            <w:pPr>
              <w:pStyle w:val="0"/>
              <w:jc w:val="center"/>
            </w:pPr>
            <w:r>
              <w:rPr>
                <w:sz w:val="20"/>
              </w:rPr>
              <w:t xml:space="preserve">Бюджеты других субъектов РФ (город Москва)</w:t>
            </w:r>
          </w:p>
        </w:tc>
        <w:tc>
          <w:tcPr>
            <w:tcW w:w="1191" w:type="dxa"/>
          </w:tcPr>
          <w:p>
            <w:pPr>
              <w:pStyle w:val="0"/>
              <w:jc w:val="center"/>
            </w:pPr>
            <w:r>
              <w:rPr>
                <w:sz w:val="20"/>
              </w:rPr>
              <w:t xml:space="preserve">Внебюджетные средства</w:t>
            </w:r>
          </w:p>
        </w:tc>
        <w:tc>
          <w:tcPr>
            <w:tcW w:w="1587" w:type="dxa"/>
          </w:tcPr>
          <w:p>
            <w:pPr>
              <w:pStyle w:val="0"/>
              <w:jc w:val="center"/>
            </w:pPr>
            <w:r>
              <w:rPr>
                <w:sz w:val="20"/>
              </w:rPr>
              <w:t xml:space="preserve">Итого</w:t>
            </w:r>
          </w:p>
        </w:tc>
      </w:tr>
      <w:tr>
        <w:tc>
          <w:tcPr>
            <w:tcW w:w="1474" w:type="dxa"/>
          </w:tcPr>
          <w:p>
            <w:pPr>
              <w:pStyle w:val="0"/>
              <w:jc w:val="both"/>
            </w:pPr>
            <w:r>
              <w:rPr>
                <w:sz w:val="20"/>
              </w:rPr>
              <w:t xml:space="preserve">2022 год</w:t>
            </w:r>
          </w:p>
        </w:tc>
        <w:tc>
          <w:tcPr>
            <w:tcW w:w="1587" w:type="dxa"/>
          </w:tcPr>
          <w:p>
            <w:pPr>
              <w:pStyle w:val="0"/>
              <w:jc w:val="center"/>
            </w:pPr>
            <w:r>
              <w:rPr>
                <w:sz w:val="20"/>
              </w:rPr>
              <w:t xml:space="preserve">3325,0</w:t>
            </w:r>
          </w:p>
        </w:tc>
        <w:tc>
          <w:tcPr>
            <w:tcW w:w="1531" w:type="dxa"/>
          </w:tcPr>
          <w:p>
            <w:pPr>
              <w:pStyle w:val="0"/>
              <w:jc w:val="center"/>
            </w:pPr>
            <w:r>
              <w:rPr>
                <w:sz w:val="20"/>
              </w:rPr>
              <w:t xml:space="preserve">100460,2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103785,2</w:t>
            </w:r>
          </w:p>
        </w:tc>
      </w:tr>
      <w:tr>
        <w:tc>
          <w:tcPr>
            <w:tcW w:w="1474" w:type="dxa"/>
          </w:tcPr>
          <w:p>
            <w:pPr>
              <w:pStyle w:val="0"/>
              <w:jc w:val="both"/>
            </w:pPr>
            <w:r>
              <w:rPr>
                <w:sz w:val="20"/>
              </w:rPr>
              <w:t xml:space="preserve">2023 год</w:t>
            </w:r>
          </w:p>
        </w:tc>
        <w:tc>
          <w:tcPr>
            <w:tcW w:w="1587" w:type="dxa"/>
          </w:tcPr>
          <w:p>
            <w:pPr>
              <w:pStyle w:val="0"/>
              <w:jc w:val="center"/>
            </w:pPr>
            <w:r>
              <w:rPr>
                <w:sz w:val="20"/>
              </w:rPr>
              <w:t xml:space="preserve">2375,0</w:t>
            </w:r>
          </w:p>
        </w:tc>
        <w:tc>
          <w:tcPr>
            <w:tcW w:w="1531" w:type="dxa"/>
          </w:tcPr>
          <w:p>
            <w:pPr>
              <w:pStyle w:val="0"/>
              <w:jc w:val="center"/>
            </w:pPr>
            <w:r>
              <w:rPr>
                <w:sz w:val="20"/>
              </w:rPr>
              <w:t xml:space="preserve">142411,4</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144786,4</w:t>
            </w:r>
          </w:p>
        </w:tc>
      </w:tr>
      <w:tr>
        <w:tc>
          <w:tcPr>
            <w:tcW w:w="1474" w:type="dxa"/>
          </w:tcPr>
          <w:p>
            <w:pPr>
              <w:pStyle w:val="0"/>
              <w:jc w:val="both"/>
            </w:pPr>
            <w:r>
              <w:rPr>
                <w:sz w:val="20"/>
              </w:rPr>
              <w:t xml:space="preserve">2024 год</w:t>
            </w:r>
          </w:p>
        </w:tc>
        <w:tc>
          <w:tcPr>
            <w:tcW w:w="1587" w:type="dxa"/>
          </w:tcPr>
          <w:p>
            <w:pPr>
              <w:pStyle w:val="0"/>
              <w:jc w:val="center"/>
            </w:pPr>
            <w:r>
              <w:rPr>
                <w:sz w:val="20"/>
              </w:rPr>
              <w:t xml:space="preserve">475,0</w:t>
            </w:r>
          </w:p>
        </w:tc>
        <w:tc>
          <w:tcPr>
            <w:tcW w:w="1531" w:type="dxa"/>
          </w:tcPr>
          <w:p>
            <w:pPr>
              <w:pStyle w:val="0"/>
              <w:jc w:val="center"/>
            </w:pPr>
            <w:r>
              <w:rPr>
                <w:sz w:val="20"/>
              </w:rPr>
              <w:t xml:space="preserve">162143,6</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162618,6</w:t>
            </w:r>
          </w:p>
        </w:tc>
      </w:tr>
      <w:tr>
        <w:tc>
          <w:tcPr>
            <w:tcW w:w="1474" w:type="dxa"/>
          </w:tcPr>
          <w:p>
            <w:pPr>
              <w:pStyle w:val="0"/>
              <w:jc w:val="both"/>
            </w:pPr>
            <w:r>
              <w:rPr>
                <w:sz w:val="20"/>
              </w:rPr>
              <w:t xml:space="preserve">2025 год</w:t>
            </w:r>
          </w:p>
        </w:tc>
        <w:tc>
          <w:tcPr>
            <w:tcW w:w="1587" w:type="dxa"/>
          </w:tcPr>
          <w:p>
            <w:pPr>
              <w:pStyle w:val="0"/>
              <w:jc w:val="center"/>
            </w:pPr>
            <w:r>
              <w:rPr>
                <w:sz w:val="20"/>
              </w:rPr>
              <w:t xml:space="preserve">465,0</w:t>
            </w:r>
          </w:p>
        </w:tc>
        <w:tc>
          <w:tcPr>
            <w:tcW w:w="1531" w:type="dxa"/>
          </w:tcPr>
          <w:p>
            <w:pPr>
              <w:pStyle w:val="0"/>
              <w:jc w:val="center"/>
            </w:pPr>
            <w:r>
              <w:rPr>
                <w:sz w:val="20"/>
              </w:rPr>
              <w:t xml:space="preserve">153462,2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153927,2</w:t>
            </w:r>
          </w:p>
        </w:tc>
      </w:tr>
      <w:tr>
        <w:tc>
          <w:tcPr>
            <w:tcW w:w="1474" w:type="dxa"/>
          </w:tcPr>
          <w:p>
            <w:pPr>
              <w:pStyle w:val="0"/>
              <w:jc w:val="both"/>
            </w:pPr>
            <w:r>
              <w:rPr>
                <w:sz w:val="20"/>
              </w:rPr>
              <w:t xml:space="preserve">2026 год</w:t>
            </w:r>
          </w:p>
        </w:tc>
        <w:tc>
          <w:tcPr>
            <w:tcW w:w="1587" w:type="dxa"/>
          </w:tcPr>
          <w:p>
            <w:pPr>
              <w:pStyle w:val="0"/>
              <w:jc w:val="center"/>
            </w:pPr>
            <w:r>
              <w:rPr>
                <w:sz w:val="20"/>
              </w:rPr>
              <w:t xml:space="preserve">465,0</w:t>
            </w:r>
          </w:p>
        </w:tc>
        <w:tc>
          <w:tcPr>
            <w:tcW w:w="1531" w:type="dxa"/>
          </w:tcPr>
          <w:p>
            <w:pPr>
              <w:pStyle w:val="0"/>
              <w:jc w:val="center"/>
            </w:pPr>
            <w:r>
              <w:rPr>
                <w:sz w:val="20"/>
              </w:rPr>
              <w:t xml:space="preserve">157240,0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157705,0</w:t>
            </w:r>
          </w:p>
        </w:tc>
      </w:tr>
      <w:tr>
        <w:tc>
          <w:tcPr>
            <w:tcW w:w="1474" w:type="dxa"/>
          </w:tcPr>
          <w:p>
            <w:pPr>
              <w:pStyle w:val="0"/>
              <w:jc w:val="both"/>
            </w:pPr>
            <w:r>
              <w:rPr>
                <w:sz w:val="20"/>
              </w:rPr>
              <w:t xml:space="preserve">2027 год</w:t>
            </w:r>
          </w:p>
        </w:tc>
        <w:tc>
          <w:tcPr>
            <w:tcW w:w="1587" w:type="dxa"/>
          </w:tcPr>
          <w:p>
            <w:pPr>
              <w:pStyle w:val="0"/>
              <w:jc w:val="center"/>
            </w:pPr>
            <w:r>
              <w:rPr>
                <w:sz w:val="20"/>
              </w:rPr>
              <w:t xml:space="preserve">465,0</w:t>
            </w:r>
          </w:p>
        </w:tc>
        <w:tc>
          <w:tcPr>
            <w:tcW w:w="1531" w:type="dxa"/>
          </w:tcPr>
          <w:p>
            <w:pPr>
              <w:pStyle w:val="0"/>
              <w:jc w:val="center"/>
            </w:pPr>
            <w:r>
              <w:rPr>
                <w:sz w:val="20"/>
              </w:rPr>
              <w:t xml:space="preserve">160906,0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161371,0</w:t>
            </w:r>
          </w:p>
        </w:tc>
      </w:tr>
      <w:tr>
        <w:tc>
          <w:tcPr>
            <w:tcW w:w="1474" w:type="dxa"/>
          </w:tcPr>
          <w:p>
            <w:pPr>
              <w:pStyle w:val="0"/>
              <w:jc w:val="both"/>
            </w:pPr>
            <w:r>
              <w:rPr>
                <w:sz w:val="20"/>
              </w:rPr>
              <w:t xml:space="preserve">2028 год</w:t>
            </w:r>
          </w:p>
        </w:tc>
        <w:tc>
          <w:tcPr>
            <w:tcW w:w="1587" w:type="dxa"/>
          </w:tcPr>
          <w:p>
            <w:pPr>
              <w:pStyle w:val="0"/>
              <w:jc w:val="center"/>
            </w:pPr>
            <w:r>
              <w:rPr>
                <w:sz w:val="20"/>
              </w:rPr>
              <w:t xml:space="preserve">465,0</w:t>
            </w:r>
          </w:p>
        </w:tc>
        <w:tc>
          <w:tcPr>
            <w:tcW w:w="1531" w:type="dxa"/>
          </w:tcPr>
          <w:p>
            <w:pPr>
              <w:pStyle w:val="0"/>
              <w:jc w:val="center"/>
            </w:pPr>
            <w:r>
              <w:rPr>
                <w:sz w:val="20"/>
              </w:rPr>
              <w:t xml:space="preserve">164441,7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164906,7</w:t>
            </w:r>
          </w:p>
        </w:tc>
      </w:tr>
      <w:tr>
        <w:tc>
          <w:tcPr>
            <w:tcW w:w="1474" w:type="dxa"/>
          </w:tcPr>
          <w:p>
            <w:pPr>
              <w:pStyle w:val="0"/>
              <w:jc w:val="both"/>
            </w:pPr>
            <w:r>
              <w:rPr>
                <w:sz w:val="20"/>
              </w:rPr>
              <w:t xml:space="preserve">2029 год</w:t>
            </w:r>
          </w:p>
        </w:tc>
        <w:tc>
          <w:tcPr>
            <w:tcW w:w="1587" w:type="dxa"/>
          </w:tcPr>
          <w:p>
            <w:pPr>
              <w:pStyle w:val="0"/>
              <w:jc w:val="center"/>
            </w:pPr>
            <w:r>
              <w:rPr>
                <w:sz w:val="20"/>
              </w:rPr>
              <w:t xml:space="preserve">465,0</w:t>
            </w:r>
          </w:p>
        </w:tc>
        <w:tc>
          <w:tcPr>
            <w:tcW w:w="1531" w:type="dxa"/>
          </w:tcPr>
          <w:p>
            <w:pPr>
              <w:pStyle w:val="0"/>
              <w:jc w:val="center"/>
            </w:pPr>
            <w:r>
              <w:rPr>
                <w:sz w:val="20"/>
              </w:rPr>
              <w:t xml:space="preserve">167954,6</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168419,6</w:t>
            </w:r>
          </w:p>
        </w:tc>
      </w:tr>
      <w:tr>
        <w:tc>
          <w:tcPr>
            <w:tcW w:w="1474" w:type="dxa"/>
          </w:tcPr>
          <w:p>
            <w:pPr>
              <w:pStyle w:val="0"/>
              <w:jc w:val="both"/>
            </w:pPr>
            <w:r>
              <w:rPr>
                <w:sz w:val="20"/>
              </w:rPr>
              <w:t xml:space="preserve">2030 год</w:t>
            </w:r>
          </w:p>
        </w:tc>
        <w:tc>
          <w:tcPr>
            <w:tcW w:w="1587" w:type="dxa"/>
          </w:tcPr>
          <w:p>
            <w:pPr>
              <w:pStyle w:val="0"/>
              <w:jc w:val="center"/>
            </w:pPr>
            <w:r>
              <w:rPr>
                <w:sz w:val="20"/>
              </w:rPr>
              <w:t xml:space="preserve">465,0</w:t>
            </w:r>
          </w:p>
        </w:tc>
        <w:tc>
          <w:tcPr>
            <w:tcW w:w="1531" w:type="dxa"/>
          </w:tcPr>
          <w:p>
            <w:pPr>
              <w:pStyle w:val="0"/>
              <w:jc w:val="center"/>
            </w:pPr>
            <w:r>
              <w:rPr>
                <w:sz w:val="20"/>
              </w:rPr>
              <w:t xml:space="preserve">171565,7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172030,7</w:t>
            </w:r>
          </w:p>
        </w:tc>
      </w:tr>
      <w:tr>
        <w:tc>
          <w:tcPr>
            <w:tcW w:w="1474" w:type="dxa"/>
          </w:tcPr>
          <w:p>
            <w:pPr>
              <w:pStyle w:val="0"/>
              <w:jc w:val="both"/>
            </w:pPr>
            <w:r>
              <w:rPr>
                <w:sz w:val="20"/>
              </w:rPr>
              <w:t xml:space="preserve">Всего</w:t>
            </w:r>
          </w:p>
        </w:tc>
        <w:tc>
          <w:tcPr>
            <w:tcW w:w="1587" w:type="dxa"/>
          </w:tcPr>
          <w:p>
            <w:pPr>
              <w:pStyle w:val="0"/>
              <w:jc w:val="center"/>
            </w:pPr>
            <w:r>
              <w:rPr>
                <w:sz w:val="20"/>
              </w:rPr>
              <w:t xml:space="preserve">8965,0</w:t>
            </w:r>
          </w:p>
        </w:tc>
        <w:tc>
          <w:tcPr>
            <w:tcW w:w="1531" w:type="dxa"/>
          </w:tcPr>
          <w:p>
            <w:pPr>
              <w:pStyle w:val="0"/>
              <w:jc w:val="center"/>
            </w:pPr>
            <w:r>
              <w:rPr>
                <w:sz w:val="20"/>
              </w:rPr>
              <w:t xml:space="preserve">1380585,4</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1389550,4</w:t>
            </w:r>
          </w:p>
        </w:tc>
      </w:tr>
    </w:tbl>
    <w:p>
      <w:pPr>
        <w:pStyle w:val="0"/>
        <w:jc w:val="both"/>
      </w:pPr>
      <w:r>
        <w:rPr>
          <w:sz w:val="20"/>
        </w:rPr>
        <w:t xml:space="preserve">(п. 7 в ред. </w:t>
      </w:r>
      <w:hyperlink w:history="0" r:id="rId234"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ind w:firstLine="540"/>
        <w:jc w:val="both"/>
      </w:pPr>
      <w:r>
        <w:rPr>
          <w:sz w:val="20"/>
        </w:rPr>
      </w:r>
    </w:p>
    <w:p>
      <w:pPr>
        <w:pStyle w:val="0"/>
        <w:ind w:firstLine="540"/>
        <w:jc w:val="both"/>
      </w:pPr>
      <w:r>
        <w:rPr>
          <w:sz w:val="20"/>
        </w:rPr>
        <w:t xml:space="preserve">8. Ожидаемые результаты реализации подпрограммы 7:</w:t>
      </w:r>
    </w:p>
    <w:p>
      <w:pPr>
        <w:pStyle w:val="0"/>
        <w:spacing w:before="200" w:line-rule="auto"/>
        <w:ind w:firstLine="540"/>
        <w:jc w:val="both"/>
      </w:pPr>
      <w:r>
        <w:rPr>
          <w:sz w:val="20"/>
        </w:rPr>
        <w:t xml:space="preserve">- увеличение доли медицинских и фармацевтических работников, обучавшихся в рамках целевой подготовки для нужд города Севастополя, трудоустроившихся после завершения обучения в медицинские или фармацевтические организации государственной и муниципальной систем здравоохранения города Севастополя, до 96,0% к 2030 году;</w:t>
      </w:r>
    </w:p>
    <w:p>
      <w:pPr>
        <w:pStyle w:val="0"/>
        <w:spacing w:before="200" w:line-rule="auto"/>
        <w:ind w:firstLine="540"/>
        <w:jc w:val="both"/>
      </w:pPr>
      <w:r>
        <w:rPr>
          <w:sz w:val="20"/>
        </w:rPr>
        <w:t xml:space="preserve">- рост среднемесячной номинальной начисленной заработной платы работников государственных (муниципальных) учреждений здравоохранения к среднемесячной номинальной заработной плате работников, занятых в сфере экономики региона, до 116,0% к 2030 году;</w:t>
      </w:r>
    </w:p>
    <w:p>
      <w:pPr>
        <w:pStyle w:val="0"/>
        <w:spacing w:before="200" w:line-rule="auto"/>
        <w:ind w:firstLine="540"/>
        <w:jc w:val="both"/>
      </w:pPr>
      <w:r>
        <w:rPr>
          <w:sz w:val="20"/>
        </w:rPr>
        <w:t xml:space="preserve">- рост численности врачей, работающих в государственных медицинских организациях города Севастополя, до 1673 человек к 2024 году;</w:t>
      </w:r>
    </w:p>
    <w:p>
      <w:pPr>
        <w:pStyle w:val="0"/>
        <w:spacing w:before="200" w:line-rule="auto"/>
        <w:ind w:firstLine="540"/>
        <w:jc w:val="both"/>
      </w:pPr>
      <w:r>
        <w:rPr>
          <w:sz w:val="20"/>
        </w:rPr>
        <w:t xml:space="preserve">- рост численности средних медицинских работников, работающих в государственных медицинских организациях города Севастополя, до 3619 человек к 2024 году.</w:t>
      </w:r>
    </w:p>
    <w:p>
      <w:pPr>
        <w:pStyle w:val="0"/>
        <w:spacing w:before="200" w:line-rule="auto"/>
        <w:ind w:firstLine="540"/>
        <w:jc w:val="both"/>
      </w:pPr>
      <w:hyperlink w:history="0" w:anchor="P2921" w:tooltip="Сведения о показателях (индикаторах) государственной">
        <w:r>
          <w:rPr>
            <w:sz w:val="20"/>
            <w:color w:val="0000ff"/>
          </w:rPr>
          <w:t xml:space="preserve">Сведения</w:t>
        </w:r>
      </w:hyperlink>
      <w:r>
        <w:rPr>
          <w:sz w:val="20"/>
        </w:rPr>
        <w:t xml:space="preserve"> о целевых показателях (индикаторах) подпрограммы 6 представлены в приложении N 1 к Программе.</w:t>
      </w:r>
    </w:p>
    <w:p>
      <w:pPr>
        <w:pStyle w:val="0"/>
        <w:ind w:firstLine="540"/>
        <w:jc w:val="both"/>
      </w:pPr>
      <w:r>
        <w:rPr>
          <w:sz w:val="20"/>
        </w:rPr>
      </w:r>
    </w:p>
    <w:p>
      <w:pPr>
        <w:pStyle w:val="2"/>
        <w:outlineLvl w:val="2"/>
        <w:jc w:val="center"/>
      </w:pPr>
      <w:r>
        <w:rPr>
          <w:sz w:val="20"/>
        </w:rPr>
        <w:t xml:space="preserve">I. Характеристика фактического состояния сферы реализации</w:t>
      </w:r>
    </w:p>
    <w:p>
      <w:pPr>
        <w:pStyle w:val="2"/>
        <w:jc w:val="center"/>
      </w:pPr>
      <w:r>
        <w:rPr>
          <w:sz w:val="20"/>
        </w:rPr>
        <w:t xml:space="preserve">подпрограммы 7 и прогноз развития на перспективу</w:t>
      </w:r>
    </w:p>
    <w:p>
      <w:pPr>
        <w:pStyle w:val="0"/>
      </w:pPr>
      <w:r>
        <w:rPr>
          <w:sz w:val="20"/>
        </w:rPr>
      </w:r>
    </w:p>
    <w:p>
      <w:pPr>
        <w:pStyle w:val="0"/>
        <w:ind w:firstLine="540"/>
        <w:jc w:val="both"/>
      </w:pPr>
      <w:r>
        <w:rPr>
          <w:sz w:val="20"/>
        </w:rPr>
        <w:t xml:space="preserve">Состояние и перспективное развитие здравоохранения в значительной степени зависит от подготовки, профессионального уровня и обеспеченности системы квалифицированными кадрами как главного ресурса здравоохранения.</w:t>
      </w:r>
    </w:p>
    <w:p>
      <w:pPr>
        <w:pStyle w:val="0"/>
        <w:spacing w:before="200" w:line-rule="auto"/>
        <w:ind w:firstLine="540"/>
        <w:jc w:val="both"/>
      </w:pPr>
      <w:r>
        <w:rPr>
          <w:sz w:val="20"/>
        </w:rPr>
        <w:t xml:space="preserve">В настоящее время существует трехуровневая система оказания медицинской помощи населению города Севастополя:</w:t>
      </w:r>
    </w:p>
    <w:p>
      <w:pPr>
        <w:pStyle w:val="0"/>
        <w:spacing w:before="200" w:line-rule="auto"/>
        <w:ind w:firstLine="540"/>
        <w:jc w:val="both"/>
      </w:pPr>
      <w:r>
        <w:rPr>
          <w:sz w:val="20"/>
        </w:rPr>
        <w:t xml:space="preserve">1-й уровень - оказание преимущественно первичной медико-санитарной, в том числе первичной специализированной медицинской помощи, а также специализированной и скорой медицинской помощи:</w:t>
      </w:r>
    </w:p>
    <w:p>
      <w:pPr>
        <w:pStyle w:val="0"/>
        <w:spacing w:before="200" w:line-rule="auto"/>
        <w:ind w:firstLine="540"/>
        <w:jc w:val="both"/>
      </w:pPr>
      <w:r>
        <w:rPr>
          <w:sz w:val="20"/>
        </w:rPr>
        <w:t xml:space="preserve">поликлиники ГБУЗС "Городская больница N 1 им. Н.И. Пирогова", ГБУЗС "Городская больница N 4", ГБУЗС "ГБ N 5" и ГБУЗС "Севастопольская городская больница N 9", ГБУЗС "Центр экстренной медицинской помощи и медицины катастроф", ГБУЗС "Стоматологическая поликлиника N 1", ГБУЗС "Севастопольская детская стоматологическая поликлиника", ГАУЗС "Центр лечебной физкультуры, спортивной медицины и медицинской профилактики", фельдшерско-акушерские пункты БУЗС "Городская больница N 4" и ГБУЗС "Севастопольская городская больница N 9";</w:t>
      </w:r>
    </w:p>
    <w:p>
      <w:pPr>
        <w:pStyle w:val="0"/>
        <w:spacing w:before="200" w:line-rule="auto"/>
        <w:ind w:firstLine="540"/>
        <w:jc w:val="both"/>
      </w:pPr>
      <w:r>
        <w:rPr>
          <w:sz w:val="20"/>
        </w:rPr>
        <w:t xml:space="preserve">2-й уровень - оказание преимущественно специализированной (за исключением высокотехнологичной) медицинской помощи:</w:t>
      </w:r>
    </w:p>
    <w:p>
      <w:pPr>
        <w:pStyle w:val="0"/>
        <w:spacing w:before="200" w:line-rule="auto"/>
        <w:ind w:firstLine="540"/>
        <w:jc w:val="both"/>
      </w:pPr>
      <w:r>
        <w:rPr>
          <w:sz w:val="20"/>
        </w:rPr>
        <w:t xml:space="preserve">ГБУЗС "Городская больница N 1 им. Н.И. Пирогова", ГБУЗС "Городская больница N 4", ГБУЗС "Городская инфекционная больница", ГБУЗС "Севастопольская городская психиатрическая больница", ГБУЗС "Севастопольский противотуберкулезный диспансер", ГБУЗС "Кожно-венерологический диспансер", учреждение здравоохранения для оказания стационарной медицинской помощи женщинам в период беременности, родов и в послеродовом периоде - ГБУЗС ГБ N 5;</w:t>
      </w:r>
    </w:p>
    <w:p>
      <w:pPr>
        <w:pStyle w:val="0"/>
        <w:spacing w:before="200" w:line-rule="auto"/>
        <w:ind w:firstLine="540"/>
        <w:jc w:val="both"/>
      </w:pPr>
      <w:r>
        <w:rPr>
          <w:sz w:val="20"/>
        </w:rPr>
        <w:t xml:space="preserve">3-й уровень - оказание преимущественно специализированной, в том числе высокотехнологичной, медицинской помощи:</w:t>
      </w:r>
    </w:p>
    <w:p>
      <w:pPr>
        <w:pStyle w:val="0"/>
        <w:spacing w:before="200" w:line-rule="auto"/>
        <w:ind w:firstLine="540"/>
        <w:jc w:val="both"/>
      </w:pPr>
      <w:r>
        <w:rPr>
          <w:sz w:val="20"/>
        </w:rPr>
        <w:t xml:space="preserve">ГБУЗС "Городская больница N 1 им. Н.И. Пирогова", ГБУЗС "ГБ N 5", ГБУЗС "Севастопольская городская больница N 9", ГБУЗС "Севастопольский городской онкологический диспансер имени А.А. Задорожного".</w:t>
      </w:r>
    </w:p>
    <w:p>
      <w:pPr>
        <w:pStyle w:val="0"/>
        <w:spacing w:before="200" w:line-rule="auto"/>
        <w:ind w:firstLine="540"/>
        <w:jc w:val="both"/>
      </w:pPr>
      <w:r>
        <w:rPr>
          <w:sz w:val="20"/>
        </w:rPr>
        <w:t xml:space="preserve">Кроме того, деятельность системы здравоохранения обеспечивают:</w:t>
      </w:r>
    </w:p>
    <w:p>
      <w:pPr>
        <w:pStyle w:val="0"/>
        <w:spacing w:before="200" w:line-rule="auto"/>
        <w:ind w:firstLine="540"/>
        <w:jc w:val="both"/>
      </w:pPr>
      <w:r>
        <w:rPr>
          <w:sz w:val="20"/>
        </w:rPr>
        <w:t xml:space="preserve">ГБУЗС "Центр крови", ГБУЗС "СГБСМЭ", Севастопольское государственное бюджетное образовательное учреждение профессионального образования "Севастопольский медицинский колледж имени Жени Дерюгиной", ГКУС "Медицинский склад N 1043", ГБУЗС "МИАЦ".</w:t>
      </w:r>
    </w:p>
    <w:p>
      <w:pPr>
        <w:pStyle w:val="0"/>
        <w:spacing w:before="200" w:line-rule="auto"/>
        <w:ind w:firstLine="540"/>
        <w:jc w:val="both"/>
      </w:pPr>
      <w:r>
        <w:rPr>
          <w:sz w:val="20"/>
        </w:rPr>
        <w:t xml:space="preserve">На 01.01.2021 укомплектованность врачами медицинских организаций города Севастополя, оказывающих медицинскую помощь в амбулаторных условиях, составила 77,1%, и отмечается снижение уровня укомплектованности.</w:t>
      </w:r>
    </w:p>
    <w:p>
      <w:pPr>
        <w:pStyle w:val="0"/>
        <w:spacing w:before="200" w:line-rule="auto"/>
        <w:ind w:firstLine="540"/>
        <w:jc w:val="both"/>
      </w:pPr>
      <w:r>
        <w:rPr>
          <w:sz w:val="20"/>
        </w:rPr>
        <w:t xml:space="preserve">Укомплектованность специалистами со средним медицинским образованием на 01.01.2021 составила 73,1%, также отмечается снижение показателей:</w:t>
      </w:r>
    </w:p>
    <w:p>
      <w:pPr>
        <w:pStyle w:val="0"/>
        <w:spacing w:before="200" w:line-rule="auto"/>
        <w:ind w:firstLine="540"/>
        <w:jc w:val="both"/>
      </w:pPr>
      <w:r>
        <w:rPr>
          <w:sz w:val="20"/>
        </w:rPr>
        <w:t xml:space="preserve">выпуск дневного отделения Севастопольского государственного бюджетного образовательного учреждения профессионального образования "Севастопольский медицинский колледж имени Жени Дерюгиной" в 2020 году составил по специальностям:</w:t>
      </w:r>
    </w:p>
    <w:p>
      <w:pPr>
        <w:pStyle w:val="0"/>
        <w:spacing w:before="200" w:line-rule="auto"/>
        <w:ind w:firstLine="540"/>
        <w:jc w:val="both"/>
      </w:pPr>
      <w:r>
        <w:rPr>
          <w:sz w:val="20"/>
        </w:rPr>
        <w:t xml:space="preserve">- "Сестринское дело" - 137 человек, из них обучавшихся на бюджетной основе - 132 человека, на платной основе - 43 человека;</w:t>
      </w:r>
    </w:p>
    <w:p>
      <w:pPr>
        <w:pStyle w:val="0"/>
        <w:spacing w:before="200" w:line-rule="auto"/>
        <w:ind w:firstLine="540"/>
        <w:jc w:val="both"/>
      </w:pPr>
      <w:r>
        <w:rPr>
          <w:sz w:val="20"/>
        </w:rPr>
        <w:t xml:space="preserve">- "Лечебное дело" - 25 человек, из них обучавшихся на бюджетной основе - 18 человек, на платной основе - семь человек;</w:t>
      </w:r>
    </w:p>
    <w:p>
      <w:pPr>
        <w:pStyle w:val="0"/>
        <w:spacing w:before="200" w:line-rule="auto"/>
        <w:ind w:firstLine="540"/>
        <w:jc w:val="both"/>
      </w:pPr>
      <w:r>
        <w:rPr>
          <w:sz w:val="20"/>
        </w:rPr>
        <w:t xml:space="preserve">- "Акушерское дело" - 13 человек, из них обучавшихся на бюджетной основе - 13 человек.</w:t>
      </w:r>
    </w:p>
    <w:p>
      <w:pPr>
        <w:pStyle w:val="0"/>
        <w:spacing w:before="200" w:line-rule="auto"/>
        <w:ind w:firstLine="540"/>
        <w:jc w:val="both"/>
      </w:pPr>
      <w:r>
        <w:rPr>
          <w:sz w:val="20"/>
        </w:rPr>
        <w:t xml:space="preserve">Основными причинами оттока медицинских кадров являются смена стандартов оказания медицинской помощи, качественно иной подход к организации работы медицинских учреждений, требования к уровню квалификации персонала, определенные законодательством Российской Федерации, а также работа по организации мероприятий, направленных на борьбу с новой коронавирусной инфекцией COVID-19, повышенная нагрузка на персонал, введение временных штатных расписаний медицинских организаций.</w:t>
      </w:r>
    </w:p>
    <w:p>
      <w:pPr>
        <w:pStyle w:val="0"/>
        <w:spacing w:before="200" w:line-rule="auto"/>
        <w:ind w:firstLine="540"/>
        <w:jc w:val="both"/>
      </w:pPr>
      <w:r>
        <w:rPr>
          <w:sz w:val="20"/>
        </w:rPr>
        <w:t xml:space="preserve">Проблема обеспечения учреждений здравоохранения города Севастополя медицинскими кадрами является системной, что обуславливает целесообразность и необходимость ее решения программно-целевым методом.</w:t>
      </w:r>
    </w:p>
    <w:p>
      <w:pPr>
        <w:pStyle w:val="0"/>
      </w:pPr>
      <w:r>
        <w:rPr>
          <w:sz w:val="20"/>
        </w:rPr>
      </w:r>
    </w:p>
    <w:p>
      <w:pPr>
        <w:pStyle w:val="2"/>
        <w:outlineLvl w:val="2"/>
        <w:jc w:val="center"/>
      </w:pPr>
      <w:r>
        <w:rPr>
          <w:sz w:val="20"/>
        </w:rPr>
        <w:t xml:space="preserve">II. Приоритеты, цели, задачи и показатели (целевые</w:t>
      </w:r>
    </w:p>
    <w:p>
      <w:pPr>
        <w:pStyle w:val="2"/>
        <w:jc w:val="center"/>
      </w:pPr>
      <w:r>
        <w:rPr>
          <w:sz w:val="20"/>
        </w:rPr>
        <w:t xml:space="preserve">индикаторы), результаты, этапы и сроки реализации</w:t>
      </w:r>
    </w:p>
    <w:p>
      <w:pPr>
        <w:pStyle w:val="2"/>
        <w:jc w:val="center"/>
      </w:pPr>
      <w:r>
        <w:rPr>
          <w:sz w:val="20"/>
        </w:rPr>
        <w:t xml:space="preserve">подпрограммы 7</w:t>
      </w:r>
    </w:p>
    <w:p>
      <w:pPr>
        <w:pStyle w:val="0"/>
      </w:pPr>
      <w:r>
        <w:rPr>
          <w:sz w:val="20"/>
        </w:rPr>
      </w:r>
    </w:p>
    <w:p>
      <w:pPr>
        <w:pStyle w:val="0"/>
        <w:ind w:firstLine="540"/>
        <w:jc w:val="both"/>
      </w:pPr>
      <w:r>
        <w:rPr>
          <w:sz w:val="20"/>
        </w:rPr>
        <w:t xml:space="preserve">Основные приоритеты в области кадрового обеспечения учреждений здравоохранения направлены на повышение эффективности функционирования системы здравоохранения, улучшение состояния здоровья детей и матерей, снижение смертности от управляемых причин и предупреждение распространения социально значимых заболеваний, формирование условий для развития здорового образа жизни.</w:t>
      </w:r>
    </w:p>
    <w:p>
      <w:pPr>
        <w:pStyle w:val="0"/>
        <w:spacing w:before="200" w:line-rule="auto"/>
        <w:ind w:firstLine="540"/>
        <w:jc w:val="both"/>
      </w:pPr>
      <w:r>
        <w:rPr>
          <w:sz w:val="20"/>
        </w:rPr>
        <w:t xml:space="preserve">Целью реализации подпрограммы 7 является обеспечение системы здравоохранения высококвалифицированными специалистами.</w:t>
      </w:r>
    </w:p>
    <w:p>
      <w:pPr>
        <w:pStyle w:val="0"/>
        <w:spacing w:before="200" w:line-rule="auto"/>
        <w:ind w:firstLine="540"/>
        <w:jc w:val="both"/>
      </w:pPr>
      <w:r>
        <w:rPr>
          <w:sz w:val="20"/>
        </w:rPr>
        <w:t xml:space="preserve">Задачи подпрограммы 7:</w:t>
      </w:r>
    </w:p>
    <w:p>
      <w:pPr>
        <w:pStyle w:val="0"/>
        <w:spacing w:before="200" w:line-rule="auto"/>
        <w:ind w:firstLine="540"/>
        <w:jc w:val="both"/>
      </w:pPr>
      <w:r>
        <w:rPr>
          <w:sz w:val="20"/>
        </w:rPr>
        <w:t xml:space="preserve">- снижение дефицита специалистов с высшим и средним медицинским образованием;</w:t>
      </w:r>
    </w:p>
    <w:p>
      <w:pPr>
        <w:pStyle w:val="0"/>
        <w:spacing w:before="200" w:line-rule="auto"/>
        <w:ind w:firstLine="540"/>
        <w:jc w:val="both"/>
      </w:pPr>
      <w:r>
        <w:rPr>
          <w:sz w:val="20"/>
        </w:rPr>
        <w:t xml:space="preserve">- повышение престижа профессии, в том числе за счет создания позитивного образа медицинских и фармацевтических кадров в общественном сознании;</w:t>
      </w:r>
    </w:p>
    <w:p>
      <w:pPr>
        <w:pStyle w:val="0"/>
        <w:spacing w:before="200" w:line-rule="auto"/>
        <w:ind w:firstLine="540"/>
        <w:jc w:val="both"/>
      </w:pPr>
      <w:r>
        <w:rPr>
          <w:sz w:val="20"/>
        </w:rPr>
        <w:t xml:space="preserve">- развитие мер социальной поддержки медицинских и фармацевтических кадров.</w:t>
      </w:r>
    </w:p>
    <w:p>
      <w:pPr>
        <w:pStyle w:val="0"/>
        <w:spacing w:before="200" w:line-rule="auto"/>
        <w:ind w:firstLine="540"/>
        <w:jc w:val="both"/>
      </w:pPr>
      <w:r>
        <w:rPr>
          <w:sz w:val="20"/>
        </w:rPr>
        <w:t xml:space="preserve">Основные ожидаемые конечные результаты подпрограммы 7:</w:t>
      </w:r>
    </w:p>
    <w:p>
      <w:pPr>
        <w:pStyle w:val="0"/>
        <w:spacing w:before="200" w:line-rule="auto"/>
        <w:ind w:firstLine="540"/>
        <w:jc w:val="both"/>
      </w:pPr>
      <w:r>
        <w:rPr>
          <w:sz w:val="20"/>
        </w:rPr>
        <w:t xml:space="preserve">- сохранение и развитие кадрового потенциала системы здравоохранения в городе Севастополе;</w:t>
      </w:r>
    </w:p>
    <w:p>
      <w:pPr>
        <w:pStyle w:val="0"/>
        <w:spacing w:before="200" w:line-rule="auto"/>
        <w:ind w:firstLine="540"/>
        <w:jc w:val="both"/>
      </w:pPr>
      <w:r>
        <w:rPr>
          <w:sz w:val="20"/>
        </w:rPr>
        <w:t xml:space="preserve">- развитие системы повышения квалификации специалистов с высшим, средним медицинским и фармацевтическим образованием;</w:t>
      </w:r>
    </w:p>
    <w:p>
      <w:pPr>
        <w:pStyle w:val="0"/>
        <w:spacing w:before="200" w:line-rule="auto"/>
        <w:ind w:firstLine="540"/>
        <w:jc w:val="both"/>
      </w:pPr>
      <w:r>
        <w:rPr>
          <w:sz w:val="20"/>
        </w:rPr>
        <w:t xml:space="preserve">- преодоление негативной тенденции оттока медицинских кадров в трудоспособном возрасте;</w:t>
      </w:r>
    </w:p>
    <w:p>
      <w:pPr>
        <w:pStyle w:val="0"/>
        <w:spacing w:before="200" w:line-rule="auto"/>
        <w:ind w:firstLine="540"/>
        <w:jc w:val="both"/>
      </w:pPr>
      <w:r>
        <w:rPr>
          <w:sz w:val="20"/>
        </w:rPr>
        <w:t xml:space="preserve">- обеспечение врачами, работающими в государственных и муниципальных медицинских организациях (чел. на 10 тыс. населения);</w:t>
      </w:r>
    </w:p>
    <w:p>
      <w:pPr>
        <w:pStyle w:val="0"/>
        <w:spacing w:before="200" w:line-rule="auto"/>
        <w:ind w:firstLine="540"/>
        <w:jc w:val="both"/>
      </w:pPr>
      <w:r>
        <w:rPr>
          <w:sz w:val="20"/>
        </w:rPr>
        <w:t xml:space="preserve">- обеспечение населения врачами специальностей, по профилю которых регистрируется наиболее высокая частота распространения болезней на территории города Севастополя;</w:t>
      </w:r>
    </w:p>
    <w:p>
      <w:pPr>
        <w:pStyle w:val="0"/>
        <w:spacing w:before="200" w:line-rule="auto"/>
        <w:ind w:firstLine="540"/>
        <w:jc w:val="both"/>
      </w:pPr>
      <w:r>
        <w:rPr>
          <w:sz w:val="20"/>
        </w:rPr>
        <w:t xml:space="preserve">- изменение системы оплаты труда медицинских работников, стимулирующей улучшение количественных и качественных показателей их деятельности, профессиональный рост, переход медицинских организаций на "эффективный контракт".</w:t>
      </w:r>
    </w:p>
    <w:p>
      <w:pPr>
        <w:pStyle w:val="0"/>
        <w:spacing w:before="200" w:line-rule="auto"/>
        <w:ind w:firstLine="540"/>
        <w:jc w:val="both"/>
      </w:pPr>
      <w:hyperlink w:history="0" w:anchor="P2921" w:tooltip="Сведения о показателях (индикаторах) государственной">
        <w:r>
          <w:rPr>
            <w:sz w:val="20"/>
            <w:color w:val="0000ff"/>
          </w:rPr>
          <w:t xml:space="preserve">Сведения</w:t>
        </w:r>
      </w:hyperlink>
      <w:r>
        <w:rPr>
          <w:sz w:val="20"/>
        </w:rPr>
        <w:t xml:space="preserve"> о целевых показателях (индикаторах) подпрограммы 7 представлены в приложении N 1 к Программе.</w:t>
      </w:r>
    </w:p>
    <w:p>
      <w:pPr>
        <w:pStyle w:val="0"/>
        <w:spacing w:before="200" w:line-rule="auto"/>
        <w:ind w:firstLine="540"/>
        <w:jc w:val="both"/>
      </w:pPr>
      <w:r>
        <w:rPr>
          <w:sz w:val="20"/>
        </w:rPr>
        <w:t xml:space="preserve">Срок реализации подпрограммы 7: с 2022 по 2030 год с учетом поставленных задач.</w:t>
      </w:r>
    </w:p>
    <w:p>
      <w:pPr>
        <w:pStyle w:val="0"/>
        <w:ind w:firstLine="540"/>
        <w:jc w:val="both"/>
      </w:pPr>
      <w:r>
        <w:rPr>
          <w:sz w:val="20"/>
        </w:rPr>
      </w:r>
    </w:p>
    <w:p>
      <w:pPr>
        <w:pStyle w:val="2"/>
        <w:outlineLvl w:val="2"/>
        <w:jc w:val="center"/>
      </w:pPr>
      <w:r>
        <w:rPr>
          <w:sz w:val="20"/>
        </w:rPr>
        <w:t xml:space="preserve">III. Характеристика основных мероприятий подпрограммы 7</w:t>
      </w:r>
    </w:p>
    <w:p>
      <w:pPr>
        <w:pStyle w:val="0"/>
      </w:pPr>
      <w:r>
        <w:rPr>
          <w:sz w:val="20"/>
        </w:rPr>
      </w:r>
    </w:p>
    <w:p>
      <w:pPr>
        <w:pStyle w:val="0"/>
        <w:ind w:firstLine="540"/>
        <w:jc w:val="both"/>
      </w:pPr>
      <w:r>
        <w:rPr>
          <w:sz w:val="20"/>
        </w:rPr>
        <w:t xml:space="preserve">Одно из направлений реализации подпрограммы 7 - обеспечение совершенствования профессиональных знаний, умений и навыков медицинскими и фармацевтическими работниками.</w:t>
      </w:r>
    </w:p>
    <w:p>
      <w:pPr>
        <w:pStyle w:val="0"/>
        <w:spacing w:before="200" w:line-rule="auto"/>
        <w:ind w:firstLine="540"/>
        <w:jc w:val="both"/>
      </w:pPr>
      <w:r>
        <w:rPr>
          <w:sz w:val="20"/>
        </w:rPr>
        <w:t xml:space="preserve">В соответствии с действующим законодательством специалисты с высшим и средним медицинским и фармацевтическим образованием не реже одного раза в пять лет должны направляться на курсы повышения квалификации.</w:t>
      </w:r>
    </w:p>
    <w:p>
      <w:pPr>
        <w:pStyle w:val="0"/>
        <w:spacing w:before="200" w:line-rule="auto"/>
        <w:ind w:firstLine="540"/>
        <w:jc w:val="both"/>
      </w:pPr>
      <w:r>
        <w:rPr>
          <w:sz w:val="20"/>
        </w:rPr>
        <w:t xml:space="preserve">Для снижения смертности от сердечно-сосудистых заболеваний жителей города Севастополя предусматривается привлечение высококвалифицированных специалистов для оказания высокотехнологичной медицинской помощи, передачи опыта работы на высокотехнологичном оборудовании и внедрения новых медицинских технологий.</w:t>
      </w:r>
    </w:p>
    <w:p>
      <w:pPr>
        <w:pStyle w:val="0"/>
        <w:spacing w:before="200" w:line-rule="auto"/>
        <w:ind w:firstLine="540"/>
        <w:jc w:val="both"/>
      </w:pPr>
      <w:r>
        <w:rPr>
          <w:sz w:val="20"/>
        </w:rPr>
        <w:t xml:space="preserve">Необходимость развития кадрового потенциала отрасли, способного обеспечить высокое качество оказываемых медицинских услуг населению, в том числе в сельской территории, обуславливает значимость принятия комплексных мер по повышению престижа медицинской профессии.</w:t>
      </w:r>
    </w:p>
    <w:p>
      <w:pPr>
        <w:pStyle w:val="0"/>
        <w:spacing w:before="200" w:line-rule="auto"/>
        <w:ind w:firstLine="540"/>
        <w:jc w:val="both"/>
      </w:pPr>
      <w:r>
        <w:rPr>
          <w:sz w:val="20"/>
        </w:rPr>
        <w:t xml:space="preserve">С целью улучшения кадровой ситуации в городе по укомплектованию медицинскими кадрами подпрограммой 7 предусматриваются следующие мероприятия, содержащие в том числе меры материального стимулирования и социальной поддержки медицинских и фармацевтических работников, включая мероприятия, реализуемые в сельской территории:</w:t>
      </w:r>
    </w:p>
    <w:p>
      <w:pPr>
        <w:pStyle w:val="0"/>
        <w:spacing w:before="200" w:line-rule="auto"/>
        <w:ind w:firstLine="540"/>
        <w:jc w:val="both"/>
      </w:pPr>
      <w:r>
        <w:rPr>
          <w:sz w:val="20"/>
        </w:rPr>
        <w:t xml:space="preserve">- осуществление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p>
      <w:pPr>
        <w:pStyle w:val="0"/>
        <w:spacing w:before="200" w:line-rule="auto"/>
        <w:ind w:firstLine="540"/>
        <w:jc w:val="both"/>
      </w:pPr>
      <w:r>
        <w:rPr>
          <w:sz w:val="20"/>
        </w:rPr>
        <w:t xml:space="preserve">- оплата профессиональной переподготовки врачей и среднего медицинского и фармацевтического персонала, в том числе для получения второй специальности с последующим заключением трудового договора для работы по данной специальности как по основной должности, так и по совместительству не менее 0,5 ставки, в течение двух лет со дня получения специальности;</w:t>
      </w:r>
    </w:p>
    <w:p>
      <w:pPr>
        <w:pStyle w:val="0"/>
        <w:spacing w:before="200" w:line-rule="auto"/>
        <w:ind w:firstLine="540"/>
        <w:jc w:val="both"/>
      </w:pPr>
      <w:r>
        <w:rPr>
          <w:sz w:val="20"/>
        </w:rPr>
        <w:t xml:space="preserve">- оплата полной стоимости обучения врачей, направленных на обучение в ординатуру по специальностям, особо востребованным в учреждениях здравоохранения города Севастополя, с финансированием полной стоимости обучения и заключением договора о работе в государственном учреждении здравоохранения города не менее трех лет с момента окончания обучения по указанным специальностям;</w:t>
      </w:r>
    </w:p>
    <w:p>
      <w:pPr>
        <w:pStyle w:val="0"/>
        <w:spacing w:before="200" w:line-rule="auto"/>
        <w:ind w:firstLine="540"/>
        <w:jc w:val="both"/>
      </w:pPr>
      <w:r>
        <w:rPr>
          <w:sz w:val="20"/>
        </w:rPr>
        <w:t xml:space="preserve">- предоставление мер социальной поддержки студентам, ординаторам, обучающимся в образовательных организациях высшего образования;</w:t>
      </w:r>
    </w:p>
    <w:p>
      <w:pPr>
        <w:pStyle w:val="0"/>
        <w:spacing w:before="200" w:line-rule="auto"/>
        <w:ind w:firstLine="540"/>
        <w:jc w:val="both"/>
      </w:pPr>
      <w:r>
        <w:rPr>
          <w:sz w:val="20"/>
        </w:rPr>
        <w:t xml:space="preserve">- единовременная выплата медицинским работникам, прибывшим на работу в медицинские организации государственной системы здравоохранения города Севастополя из других субъектов Российской Федерации;</w:t>
      </w:r>
    </w:p>
    <w:p>
      <w:pPr>
        <w:pStyle w:val="0"/>
        <w:spacing w:before="200" w:line-rule="auto"/>
        <w:ind w:firstLine="540"/>
        <w:jc w:val="both"/>
      </w:pPr>
      <w:r>
        <w:rPr>
          <w:sz w:val="20"/>
        </w:rPr>
        <w:t xml:space="preserve">- региональные доплаты врачам и специалистам со средним медицинским и фармацевтическим образованием;</w:t>
      </w:r>
    </w:p>
    <w:p>
      <w:pPr>
        <w:pStyle w:val="0"/>
        <w:spacing w:before="200" w:line-rule="auto"/>
        <w:ind w:firstLine="540"/>
        <w:jc w:val="both"/>
      </w:pPr>
      <w:r>
        <w:rPr>
          <w:sz w:val="20"/>
        </w:rPr>
        <w:t xml:space="preserve">- выплата денежных премий победителям конкурсов "Лучший врач года", "Лучший специалист со средним медицинским и фармацевтическим образованием";</w:t>
      </w:r>
    </w:p>
    <w:p>
      <w:pPr>
        <w:pStyle w:val="0"/>
        <w:spacing w:before="200" w:line-rule="auto"/>
        <w:ind w:firstLine="540"/>
        <w:jc w:val="both"/>
      </w:pPr>
      <w:r>
        <w:rPr>
          <w:sz w:val="20"/>
        </w:rPr>
        <w:t xml:space="preserve">- оплата обучения медицинских специалистов в рамках реализации проекта "Бережливое производство в здравоохранении";</w:t>
      </w:r>
    </w:p>
    <w:p>
      <w:pPr>
        <w:pStyle w:val="0"/>
        <w:spacing w:before="200" w:line-rule="auto"/>
        <w:ind w:firstLine="540"/>
        <w:jc w:val="both"/>
      </w:pPr>
      <w:r>
        <w:rPr>
          <w:sz w:val="20"/>
        </w:rPr>
        <w:t xml:space="preserve">- предоставление дополнительных мер социальной поддержки молодым специалистам из числа медицинских работников, впервые приступивших к работе по специальности в государственных медицинских учреждениях города Севастополя;</w:t>
      </w:r>
    </w:p>
    <w:p>
      <w:pPr>
        <w:pStyle w:val="0"/>
        <w:spacing w:before="200" w:line-rule="auto"/>
        <w:ind w:firstLine="540"/>
        <w:jc w:val="both"/>
      </w:pPr>
      <w:r>
        <w:rPr>
          <w:sz w:val="20"/>
        </w:rPr>
        <w:t xml:space="preserve">- возмещение расходов на наем жилых помещений отдельным категориям работников учреждений здравоохранения, подведомственных ДЗГС;</w:t>
      </w:r>
    </w:p>
    <w:p>
      <w:pPr>
        <w:pStyle w:val="0"/>
        <w:spacing w:before="200" w:line-rule="auto"/>
        <w:ind w:firstLine="540"/>
        <w:jc w:val="both"/>
      </w:pPr>
      <w:r>
        <w:rPr>
          <w:sz w:val="20"/>
        </w:rPr>
        <w:t xml:space="preserve">- стимулирование главных внештатных специалистов ДЗГС за счет средств бюджета города Севастополя;</w:t>
      </w:r>
    </w:p>
    <w:p>
      <w:pPr>
        <w:pStyle w:val="0"/>
        <w:spacing w:before="200" w:line-rule="auto"/>
        <w:ind w:firstLine="540"/>
        <w:jc w:val="both"/>
      </w:pPr>
      <w:r>
        <w:rPr>
          <w:sz w:val="20"/>
        </w:rPr>
        <w:t xml:space="preserve">- дополнительная поддержка студентов, обучающихся по целевому набору в образовательных организациях среднего профессионального образования;</w:t>
      </w:r>
    </w:p>
    <w:p>
      <w:pPr>
        <w:pStyle w:val="0"/>
        <w:spacing w:before="200" w:line-rule="auto"/>
        <w:ind w:firstLine="540"/>
        <w:jc w:val="both"/>
      </w:pPr>
      <w:r>
        <w:rPr>
          <w:sz w:val="20"/>
        </w:rPr>
        <w:t xml:space="preserve">- целевое обучение студентов для получения высшего образования по медицинским специальностям путем предоставления гранта в форме субсидии Федеральному государственному автономному образовательному учреждению высшего образования "Севастопольский государственный университет" в целях обеспечения кадрами государственных учреждений здравоохранения города Севастополя.</w:t>
      </w:r>
    </w:p>
    <w:p>
      <w:pPr>
        <w:pStyle w:val="0"/>
        <w:spacing w:before="200" w:line-rule="auto"/>
        <w:ind w:firstLine="540"/>
        <w:jc w:val="both"/>
      </w:pPr>
      <w:r>
        <w:rPr>
          <w:sz w:val="20"/>
        </w:rPr>
        <w:t xml:space="preserve">Общий </w:t>
      </w:r>
      <w:hyperlink w:history="0" w:anchor="P4719" w:tooltip="Перечень основных мероприятий государственной программы">
        <w:r>
          <w:rPr>
            <w:sz w:val="20"/>
            <w:color w:val="0000ff"/>
          </w:rPr>
          <w:t xml:space="preserve">перечень</w:t>
        </w:r>
      </w:hyperlink>
      <w:r>
        <w:rPr>
          <w:sz w:val="20"/>
        </w:rPr>
        <w:t xml:space="preserve"> мероприятий подпрограммы 7 представлен в приложении N 2 к Программе.</w:t>
      </w:r>
    </w:p>
    <w:p>
      <w:pPr>
        <w:pStyle w:val="0"/>
      </w:pPr>
      <w:r>
        <w:rPr>
          <w:sz w:val="20"/>
        </w:rPr>
      </w:r>
    </w:p>
    <w:p>
      <w:pPr>
        <w:pStyle w:val="2"/>
        <w:outlineLvl w:val="2"/>
        <w:jc w:val="center"/>
      </w:pPr>
      <w:r>
        <w:rPr>
          <w:sz w:val="20"/>
        </w:rPr>
        <w:t xml:space="preserve">IV. Характеристика мер государственного и правового</w:t>
      </w:r>
    </w:p>
    <w:p>
      <w:pPr>
        <w:pStyle w:val="2"/>
        <w:jc w:val="center"/>
      </w:pPr>
      <w:r>
        <w:rPr>
          <w:sz w:val="20"/>
        </w:rPr>
        <w:t xml:space="preserve">регулирования подпрограммы 7</w:t>
      </w:r>
    </w:p>
    <w:p>
      <w:pPr>
        <w:pStyle w:val="0"/>
      </w:pPr>
      <w:r>
        <w:rPr>
          <w:sz w:val="20"/>
        </w:rPr>
      </w:r>
    </w:p>
    <w:p>
      <w:pPr>
        <w:pStyle w:val="0"/>
        <w:ind w:firstLine="540"/>
        <w:jc w:val="both"/>
      </w:pPr>
      <w:r>
        <w:rPr>
          <w:sz w:val="20"/>
        </w:rPr>
        <w:t xml:space="preserve">Характеристика мер государственного и правового регулирования подпрограммы 7 осуществляется согласно </w:t>
      </w:r>
      <w:hyperlink w:history="0" w:anchor="P472" w:tooltip="IV. Характеристика мер государственного">
        <w:r>
          <w:rPr>
            <w:sz w:val="20"/>
            <w:color w:val="0000ff"/>
          </w:rPr>
          <w:t xml:space="preserve">разделу IV</w:t>
        </w:r>
      </w:hyperlink>
      <w:r>
        <w:rPr>
          <w:sz w:val="20"/>
        </w:rPr>
        <w:t xml:space="preserve"> Программы.</w:t>
      </w:r>
    </w:p>
    <w:p>
      <w:pPr>
        <w:pStyle w:val="0"/>
      </w:pPr>
      <w:r>
        <w:rPr>
          <w:sz w:val="20"/>
        </w:rPr>
      </w:r>
    </w:p>
    <w:p>
      <w:pPr>
        <w:pStyle w:val="2"/>
        <w:outlineLvl w:val="2"/>
        <w:jc w:val="center"/>
      </w:pPr>
      <w:r>
        <w:rPr>
          <w:sz w:val="20"/>
        </w:rPr>
        <w:t xml:space="preserve">V. Ресурсное обеспечение, необходимое</w:t>
      </w:r>
    </w:p>
    <w:p>
      <w:pPr>
        <w:pStyle w:val="2"/>
        <w:jc w:val="center"/>
      </w:pPr>
      <w:r>
        <w:rPr>
          <w:sz w:val="20"/>
        </w:rPr>
        <w:t xml:space="preserve">для реализации подпрограммы 7</w:t>
      </w:r>
    </w:p>
    <w:p>
      <w:pPr>
        <w:pStyle w:val="0"/>
      </w:pPr>
      <w:r>
        <w:rPr>
          <w:sz w:val="20"/>
        </w:rPr>
      </w:r>
    </w:p>
    <w:p>
      <w:pPr>
        <w:pStyle w:val="0"/>
        <w:ind w:firstLine="540"/>
        <w:jc w:val="both"/>
      </w:pPr>
      <w:r>
        <w:rPr>
          <w:sz w:val="20"/>
        </w:rPr>
        <w:t xml:space="preserve">Источниками финансирования мероприятий подпрограммы 7 являются средства федерального бюджета, средства бюджета города Севастополя.</w:t>
      </w:r>
    </w:p>
    <w:p>
      <w:pPr>
        <w:pStyle w:val="0"/>
        <w:spacing w:before="200" w:line-rule="auto"/>
        <w:ind w:firstLine="540"/>
        <w:jc w:val="both"/>
      </w:pPr>
      <w:r>
        <w:rPr>
          <w:sz w:val="20"/>
        </w:rPr>
        <w:t xml:space="preserve">Общий объем финансового обеспечения подпрограммы 7 в 2022 - 2030 годах составляет 1389550,4 тыс. руб., из них:</w:t>
      </w:r>
    </w:p>
    <w:p>
      <w:pPr>
        <w:pStyle w:val="0"/>
        <w:jc w:val="both"/>
      </w:pPr>
      <w:r>
        <w:rPr>
          <w:sz w:val="20"/>
        </w:rPr>
        <w:t xml:space="preserve">(в ред. </w:t>
      </w:r>
      <w:hyperlink w:history="0" r:id="rId235"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средства федерального бюджета - 8965,0 тыс. руб., в том числе:</w:t>
      </w:r>
    </w:p>
    <w:p>
      <w:pPr>
        <w:pStyle w:val="0"/>
        <w:jc w:val="both"/>
      </w:pPr>
      <w:r>
        <w:rPr>
          <w:sz w:val="20"/>
        </w:rPr>
        <w:t xml:space="preserve">(в ред. </w:t>
      </w:r>
      <w:hyperlink w:history="0" r:id="rId23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2022 г. - 3325,0 тыс. руб.;</w:t>
      </w:r>
    </w:p>
    <w:p>
      <w:pPr>
        <w:pStyle w:val="0"/>
        <w:jc w:val="both"/>
      </w:pPr>
      <w:r>
        <w:rPr>
          <w:sz w:val="20"/>
        </w:rPr>
        <w:t xml:space="preserve">(в ред. </w:t>
      </w:r>
      <w:hyperlink w:history="0" r:id="rId237"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2023 г. - 2375,0 тыс. руб.;</w:t>
      </w:r>
    </w:p>
    <w:p>
      <w:pPr>
        <w:pStyle w:val="0"/>
        <w:jc w:val="both"/>
      </w:pPr>
      <w:r>
        <w:rPr>
          <w:sz w:val="20"/>
        </w:rPr>
        <w:t xml:space="preserve">(в ред. </w:t>
      </w:r>
      <w:hyperlink w:history="0" r:id="rId238"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2024 г. - 475,0 тыс. руб.;</w:t>
      </w:r>
    </w:p>
    <w:p>
      <w:pPr>
        <w:pStyle w:val="0"/>
        <w:jc w:val="both"/>
      </w:pPr>
      <w:r>
        <w:rPr>
          <w:sz w:val="20"/>
        </w:rPr>
        <w:t xml:space="preserve">(в ред. </w:t>
      </w:r>
      <w:hyperlink w:history="0" r:id="rId239"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2025 г. - 465,0 тыс. руб.;</w:t>
      </w:r>
    </w:p>
    <w:p>
      <w:pPr>
        <w:pStyle w:val="0"/>
        <w:jc w:val="both"/>
      </w:pPr>
      <w:r>
        <w:rPr>
          <w:sz w:val="20"/>
        </w:rPr>
        <w:t xml:space="preserve">(в ред. </w:t>
      </w:r>
      <w:hyperlink w:history="0" r:id="rId240"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2026 г. - 465,0 тыс. руб.;</w:t>
      </w:r>
    </w:p>
    <w:p>
      <w:pPr>
        <w:pStyle w:val="0"/>
        <w:jc w:val="both"/>
      </w:pPr>
      <w:r>
        <w:rPr>
          <w:sz w:val="20"/>
        </w:rPr>
        <w:t xml:space="preserve">(в ред. </w:t>
      </w:r>
      <w:hyperlink w:history="0" r:id="rId241"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2027 г. - 465,0 тыс. руб.;</w:t>
      </w:r>
    </w:p>
    <w:p>
      <w:pPr>
        <w:pStyle w:val="0"/>
        <w:jc w:val="both"/>
      </w:pPr>
      <w:r>
        <w:rPr>
          <w:sz w:val="20"/>
        </w:rPr>
        <w:t xml:space="preserve">(в ред. </w:t>
      </w:r>
      <w:hyperlink w:history="0" r:id="rId242"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2028 г. - 465,0 тыс. руб.;</w:t>
      </w:r>
    </w:p>
    <w:p>
      <w:pPr>
        <w:pStyle w:val="0"/>
        <w:jc w:val="both"/>
      </w:pPr>
      <w:r>
        <w:rPr>
          <w:sz w:val="20"/>
        </w:rPr>
        <w:t xml:space="preserve">(в ред. </w:t>
      </w:r>
      <w:hyperlink w:history="0" r:id="rId243"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2029 г. - 465,0 тыс. руб.;</w:t>
      </w:r>
    </w:p>
    <w:p>
      <w:pPr>
        <w:pStyle w:val="0"/>
        <w:jc w:val="both"/>
      </w:pPr>
      <w:r>
        <w:rPr>
          <w:sz w:val="20"/>
        </w:rPr>
        <w:t xml:space="preserve">(в ред. </w:t>
      </w:r>
      <w:hyperlink w:history="0" r:id="rId244"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2030 г. - 465,0 тыс. руб.;</w:t>
      </w:r>
    </w:p>
    <w:p>
      <w:pPr>
        <w:pStyle w:val="0"/>
        <w:jc w:val="both"/>
      </w:pPr>
      <w:r>
        <w:rPr>
          <w:sz w:val="20"/>
        </w:rPr>
        <w:t xml:space="preserve">(в ред. </w:t>
      </w:r>
      <w:hyperlink w:history="0" r:id="rId245"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средства бюджета города Севастополя - 1380545,4 тыс. руб., в том числе:</w:t>
      </w:r>
    </w:p>
    <w:p>
      <w:pPr>
        <w:pStyle w:val="0"/>
        <w:jc w:val="both"/>
      </w:pPr>
      <w:r>
        <w:rPr>
          <w:sz w:val="20"/>
        </w:rPr>
        <w:t xml:space="preserve">(в ред. </w:t>
      </w:r>
      <w:hyperlink w:history="0" r:id="rId24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2022 г. - 100460,2 тыс. руб.;</w:t>
      </w:r>
    </w:p>
    <w:p>
      <w:pPr>
        <w:pStyle w:val="0"/>
        <w:jc w:val="both"/>
      </w:pPr>
      <w:r>
        <w:rPr>
          <w:sz w:val="20"/>
        </w:rPr>
        <w:t xml:space="preserve">(в ред. </w:t>
      </w:r>
      <w:hyperlink w:history="0" r:id="rId247"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2023 г. - 142411,4 тыс. руб.;</w:t>
      </w:r>
    </w:p>
    <w:p>
      <w:pPr>
        <w:pStyle w:val="0"/>
        <w:jc w:val="both"/>
      </w:pPr>
      <w:r>
        <w:rPr>
          <w:sz w:val="20"/>
        </w:rPr>
        <w:t xml:space="preserve">(в ред. </w:t>
      </w:r>
      <w:hyperlink w:history="0" r:id="rId248"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p>
      <w:pPr>
        <w:pStyle w:val="0"/>
        <w:spacing w:before="200" w:line-rule="auto"/>
        <w:ind w:firstLine="540"/>
        <w:jc w:val="both"/>
      </w:pPr>
      <w:r>
        <w:rPr>
          <w:sz w:val="20"/>
        </w:rPr>
        <w:t xml:space="preserve">2024 г. - 162143,6 тыс. руб.;</w:t>
      </w:r>
    </w:p>
    <w:p>
      <w:pPr>
        <w:pStyle w:val="0"/>
        <w:spacing w:before="200" w:line-rule="auto"/>
        <w:ind w:firstLine="540"/>
        <w:jc w:val="both"/>
      </w:pPr>
      <w:r>
        <w:rPr>
          <w:sz w:val="20"/>
        </w:rPr>
        <w:t xml:space="preserve">2025 г. - 153462,2 тыс. руб.;</w:t>
      </w:r>
    </w:p>
    <w:p>
      <w:pPr>
        <w:pStyle w:val="0"/>
        <w:spacing w:before="200" w:line-rule="auto"/>
        <w:ind w:firstLine="540"/>
        <w:jc w:val="both"/>
      </w:pPr>
      <w:r>
        <w:rPr>
          <w:sz w:val="20"/>
        </w:rPr>
        <w:t xml:space="preserve">2026 г. - 157240,0 тыс. руб.;</w:t>
      </w:r>
    </w:p>
    <w:p>
      <w:pPr>
        <w:pStyle w:val="0"/>
        <w:spacing w:before="200" w:line-rule="auto"/>
        <w:ind w:firstLine="540"/>
        <w:jc w:val="both"/>
      </w:pPr>
      <w:r>
        <w:rPr>
          <w:sz w:val="20"/>
        </w:rPr>
        <w:t xml:space="preserve">2027 г. - 160906,0 тыс. руб.;</w:t>
      </w:r>
    </w:p>
    <w:p>
      <w:pPr>
        <w:pStyle w:val="0"/>
        <w:spacing w:before="200" w:line-rule="auto"/>
        <w:ind w:firstLine="540"/>
        <w:jc w:val="both"/>
      </w:pPr>
      <w:r>
        <w:rPr>
          <w:sz w:val="20"/>
        </w:rPr>
        <w:t xml:space="preserve">2028 г. - 164441,7 тыс. руб.;</w:t>
      </w:r>
    </w:p>
    <w:p>
      <w:pPr>
        <w:pStyle w:val="0"/>
        <w:spacing w:before="200" w:line-rule="auto"/>
        <w:ind w:firstLine="540"/>
        <w:jc w:val="both"/>
      </w:pPr>
      <w:r>
        <w:rPr>
          <w:sz w:val="20"/>
        </w:rPr>
        <w:t xml:space="preserve">2029 г. - 167954,6 тыс. руб.;</w:t>
      </w:r>
    </w:p>
    <w:p>
      <w:pPr>
        <w:pStyle w:val="0"/>
        <w:spacing w:before="200" w:line-rule="auto"/>
        <w:ind w:firstLine="540"/>
        <w:jc w:val="both"/>
      </w:pPr>
      <w:r>
        <w:rPr>
          <w:sz w:val="20"/>
        </w:rPr>
        <w:t xml:space="preserve">2030 г. - 171565,7 тыс. руб.;</w:t>
      </w:r>
    </w:p>
    <w:p>
      <w:pPr>
        <w:pStyle w:val="0"/>
        <w:spacing w:before="200" w:line-rule="auto"/>
        <w:ind w:firstLine="540"/>
        <w:jc w:val="both"/>
      </w:pPr>
      <w:r>
        <w:rPr>
          <w:sz w:val="20"/>
        </w:rPr>
        <w:t xml:space="preserve">средства бюджетов других субъектов Российской Федерации (город Москва)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внебюджетные средства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Ресурсное </w:t>
      </w:r>
      <w:hyperlink w:history="0" w:anchor="P5821" w:tooltip="Финансовое обеспечение реализации государственной программы">
        <w:r>
          <w:rPr>
            <w:sz w:val="20"/>
            <w:color w:val="0000ff"/>
          </w:rPr>
          <w:t xml:space="preserve">обеспечение</w:t>
        </w:r>
      </w:hyperlink>
      <w:r>
        <w:rPr>
          <w:sz w:val="20"/>
        </w:rPr>
        <w:t xml:space="preserve"> и прогнозная (справочная) оценка расходов на реализацию целей подпрограммы 7 приведены в приложении N 4 к Программе.</w:t>
      </w:r>
    </w:p>
    <w:p>
      <w:pPr>
        <w:pStyle w:val="0"/>
        <w:jc w:val="center"/>
      </w:pPr>
      <w:r>
        <w:rPr>
          <w:sz w:val="20"/>
        </w:rPr>
      </w:r>
    </w:p>
    <w:bookmarkStart w:id="2340" w:name="P2340"/>
    <w:bookmarkEnd w:id="2340"/>
    <w:p>
      <w:pPr>
        <w:pStyle w:val="2"/>
        <w:outlineLvl w:val="1"/>
        <w:jc w:val="center"/>
      </w:pPr>
      <w:r>
        <w:rPr>
          <w:sz w:val="20"/>
        </w:rPr>
        <w:t xml:space="preserve">ПОДПРОГРАММА 8</w:t>
      </w:r>
    </w:p>
    <w:p>
      <w:pPr>
        <w:pStyle w:val="2"/>
        <w:jc w:val="center"/>
      </w:pPr>
      <w:r>
        <w:rPr>
          <w:sz w:val="20"/>
        </w:rPr>
        <w:t xml:space="preserve">"Реализация региональных проектов в рамках национальных</w:t>
      </w:r>
    </w:p>
    <w:p>
      <w:pPr>
        <w:pStyle w:val="2"/>
        <w:jc w:val="center"/>
      </w:pPr>
      <w:r>
        <w:rPr>
          <w:sz w:val="20"/>
        </w:rPr>
        <w:t xml:space="preserve">проектов в сфере здравоохранения"</w:t>
      </w:r>
    </w:p>
    <w:p>
      <w:pPr>
        <w:pStyle w:val="0"/>
        <w:jc w:val="center"/>
      </w:pPr>
      <w:r>
        <w:rPr>
          <w:sz w:val="20"/>
        </w:rPr>
        <w:t xml:space="preserve">(в ред. </w:t>
      </w:r>
      <w:hyperlink w:history="0" r:id="rId249"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2"/>
        <w:outlineLvl w:val="2"/>
        <w:jc w:val="center"/>
      </w:pPr>
      <w:r>
        <w:rPr>
          <w:sz w:val="20"/>
        </w:rPr>
        <w:t xml:space="preserve">ПАСПОРТ</w:t>
      </w:r>
    </w:p>
    <w:p>
      <w:pPr>
        <w:pStyle w:val="2"/>
        <w:jc w:val="center"/>
      </w:pPr>
      <w:r>
        <w:rPr>
          <w:sz w:val="20"/>
        </w:rPr>
        <w:t xml:space="preserve">подпрограммы 8 "Реализация региональных проектов в рамках</w:t>
      </w:r>
    </w:p>
    <w:p>
      <w:pPr>
        <w:pStyle w:val="2"/>
        <w:jc w:val="center"/>
      </w:pPr>
      <w:r>
        <w:rPr>
          <w:sz w:val="20"/>
        </w:rPr>
        <w:t xml:space="preserve">национальных проектов в сфере здравоохранения"</w:t>
      </w:r>
    </w:p>
    <w:p>
      <w:pPr>
        <w:pStyle w:val="2"/>
        <w:jc w:val="center"/>
      </w:pPr>
      <w:r>
        <w:rPr>
          <w:sz w:val="20"/>
        </w:rPr>
        <w:t xml:space="preserve">(далее - подпрограмма 8)</w:t>
      </w:r>
    </w:p>
    <w:p>
      <w:pPr>
        <w:pStyle w:val="0"/>
        <w:jc w:val="center"/>
      </w:pPr>
      <w:r>
        <w:rPr>
          <w:sz w:val="20"/>
        </w:rPr>
      </w:r>
    </w:p>
    <w:p>
      <w:pPr>
        <w:pStyle w:val="0"/>
        <w:ind w:firstLine="540"/>
        <w:jc w:val="both"/>
      </w:pPr>
      <w:r>
        <w:rPr>
          <w:sz w:val="20"/>
        </w:rPr>
        <w:t xml:space="preserve">1. Ответственный исполнитель подпрограммы 8: ДЗГС.</w:t>
      </w:r>
    </w:p>
    <w:p>
      <w:pPr>
        <w:pStyle w:val="0"/>
        <w:spacing w:before="200" w:line-rule="auto"/>
        <w:ind w:firstLine="540"/>
        <w:jc w:val="both"/>
      </w:pPr>
      <w:r>
        <w:rPr>
          <w:sz w:val="20"/>
        </w:rPr>
        <w:t xml:space="preserve">2. Участники подпрограммы 8:</w:t>
      </w:r>
    </w:p>
    <w:p>
      <w:pPr>
        <w:pStyle w:val="0"/>
        <w:spacing w:before="200" w:line-rule="auto"/>
        <w:ind w:firstLine="540"/>
        <w:jc w:val="both"/>
      </w:pPr>
      <w:r>
        <w:rPr>
          <w:sz w:val="20"/>
        </w:rPr>
        <w:t xml:space="preserve">- государственные учреждения здравоохранения города Севастополя;</w:t>
      </w:r>
    </w:p>
    <w:p>
      <w:pPr>
        <w:pStyle w:val="0"/>
        <w:spacing w:before="200" w:line-rule="auto"/>
        <w:ind w:firstLine="540"/>
        <w:jc w:val="both"/>
      </w:pPr>
      <w:r>
        <w:rPr>
          <w:sz w:val="20"/>
        </w:rPr>
        <w:t xml:space="preserve">- ГКУС "Медицинский склад N 1043";</w:t>
      </w:r>
    </w:p>
    <w:p>
      <w:pPr>
        <w:pStyle w:val="0"/>
        <w:spacing w:before="200" w:line-rule="auto"/>
        <w:ind w:firstLine="540"/>
        <w:jc w:val="both"/>
      </w:pPr>
      <w:r>
        <w:rPr>
          <w:sz w:val="20"/>
        </w:rPr>
        <w:t xml:space="preserve">- ГКУГС "ЕДКС".</w:t>
      </w:r>
    </w:p>
    <w:p>
      <w:pPr>
        <w:pStyle w:val="0"/>
        <w:spacing w:before="200" w:line-rule="auto"/>
        <w:ind w:firstLine="540"/>
        <w:jc w:val="both"/>
      </w:pPr>
      <w:r>
        <w:rPr>
          <w:sz w:val="20"/>
        </w:rPr>
        <w:t xml:space="preserve">3. Цель подпрограммы 8: совершенствование оказания медицинской помощи.</w:t>
      </w:r>
    </w:p>
    <w:p>
      <w:pPr>
        <w:pStyle w:val="0"/>
        <w:spacing w:before="200" w:line-rule="auto"/>
        <w:ind w:firstLine="540"/>
        <w:jc w:val="both"/>
      </w:pPr>
      <w:r>
        <w:rPr>
          <w:sz w:val="20"/>
        </w:rPr>
        <w:t xml:space="preserve">4. Задачи подпрограммы 8:</w:t>
      </w:r>
    </w:p>
    <w:p>
      <w:pPr>
        <w:pStyle w:val="0"/>
        <w:spacing w:before="200" w:line-rule="auto"/>
        <w:ind w:firstLine="540"/>
        <w:jc w:val="both"/>
      </w:pPr>
      <w:r>
        <w:rPr>
          <w:sz w:val="20"/>
        </w:rPr>
        <w:t xml:space="preserve">- реализация федерального проекта "Развитие детского здравоохранения, включая создание современной инфраструктуры оказания медицинской помощи детям"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"Развитие системы оказания первичной медико-санитарной помощи"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"Борьба с сердечно-сосудистыми заболеваниями"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"Борьба с онкологическими заболеваниями"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"Обеспечение медицинских организаций системы здравоохранения квалифицированными кадрами"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"Создание единого цифрового контура в здравоохранении на основе единой государственной информационной системы здравоохранения (ЕГИСЗ)" в рамках национального проекта "Здравоохранение";</w:t>
      </w:r>
    </w:p>
    <w:p>
      <w:pPr>
        <w:pStyle w:val="0"/>
        <w:spacing w:before="200" w:line-rule="auto"/>
        <w:ind w:firstLine="540"/>
        <w:jc w:val="both"/>
      </w:pPr>
      <w:r>
        <w:rPr>
          <w:sz w:val="20"/>
        </w:rPr>
        <w:t xml:space="preserve">- реализация федерального проекта "Разработка и реализация программы системной поддержки и повышения качества жизни граждан старшего поколения" в рамках национального проекта "Демография" в части здравоохранения;</w:t>
      </w:r>
    </w:p>
    <w:p>
      <w:pPr>
        <w:pStyle w:val="0"/>
        <w:spacing w:before="200" w:line-rule="auto"/>
        <w:ind w:firstLine="540"/>
        <w:jc w:val="both"/>
      </w:pPr>
      <w:r>
        <w:rPr>
          <w:sz w:val="20"/>
        </w:rPr>
        <w:t xml:space="preserve">- реализация федерального проекта "Формирование системы мотивации граждан к здоровому образу жизни, включая здоровое питание и отказ от вредных привычек" в рамках национального проекта "Демография";</w:t>
      </w:r>
    </w:p>
    <w:p>
      <w:pPr>
        <w:pStyle w:val="0"/>
        <w:spacing w:before="200" w:line-rule="auto"/>
        <w:ind w:firstLine="540"/>
        <w:jc w:val="both"/>
      </w:pPr>
      <w:r>
        <w:rPr>
          <w:sz w:val="20"/>
        </w:rPr>
        <w:t xml:space="preserve">- реализация регионального проекта "Модернизация первичного звена здравоохранения Российской Федерации (город федерального значения Севастополь)".</w:t>
      </w:r>
    </w:p>
    <w:p>
      <w:pPr>
        <w:pStyle w:val="0"/>
        <w:spacing w:before="200" w:line-rule="auto"/>
        <w:ind w:firstLine="540"/>
        <w:jc w:val="both"/>
      </w:pPr>
      <w:r>
        <w:rPr>
          <w:sz w:val="20"/>
        </w:rPr>
        <w:t xml:space="preserve">5. Целевые индикаторы и показатели подпрограммы 8:</w:t>
      </w:r>
    </w:p>
    <w:p>
      <w:pPr>
        <w:pStyle w:val="0"/>
        <w:spacing w:before="200" w:line-rule="auto"/>
        <w:ind w:firstLine="540"/>
        <w:jc w:val="both"/>
      </w:pPr>
      <w:r>
        <w:rPr>
          <w:sz w:val="20"/>
        </w:rPr>
        <w:t xml:space="preserve">- снижение младенческой смертности (до 3,1 случая на 1 тыс. родившихся детей);</w:t>
      </w:r>
    </w:p>
    <w:p>
      <w:pPr>
        <w:pStyle w:val="0"/>
        <w:spacing w:before="200" w:line-rule="auto"/>
        <w:ind w:firstLine="540"/>
        <w:jc w:val="both"/>
      </w:pPr>
      <w:r>
        <w:rPr>
          <w:sz w:val="20"/>
        </w:rPr>
        <w:t xml:space="preserve">- доля посещений детьми медицинских организаций с профилактическими целями;</w:t>
      </w:r>
    </w:p>
    <w:p>
      <w:pPr>
        <w:pStyle w:val="0"/>
        <w:spacing w:before="200" w:line-rule="auto"/>
        <w:ind w:firstLine="540"/>
        <w:jc w:val="both"/>
      </w:pPr>
      <w:r>
        <w:rPr>
          <w:sz w:val="20"/>
        </w:rPr>
        <w:t xml:space="preserve">- смертность детей в возрасте 0 - 4 года на 1000 детей, родившихся живыми;</w:t>
      </w:r>
    </w:p>
    <w:p>
      <w:pPr>
        <w:pStyle w:val="0"/>
        <w:spacing w:before="200" w:line-rule="auto"/>
        <w:ind w:firstLine="540"/>
        <w:jc w:val="both"/>
      </w:pPr>
      <w:r>
        <w:rPr>
          <w:sz w:val="20"/>
        </w:rPr>
        <w:t xml:space="preserve">- смертность детей в возрасте 0 - 17 лет на 100 тыс. детей соответствующего возраста;</w:t>
      </w:r>
    </w:p>
    <w:p>
      <w:pPr>
        <w:pStyle w:val="0"/>
        <w:spacing w:before="200" w:line-rule="auto"/>
        <w:ind w:firstLine="540"/>
        <w:jc w:val="both"/>
      </w:pPr>
      <w:r>
        <w:rPr>
          <w:sz w:val="20"/>
        </w:rPr>
        <w:t xml:space="preserve">- 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w:t>
      </w:r>
    </w:p>
    <w:p>
      <w:pPr>
        <w:pStyle w:val="0"/>
        <w:spacing w:before="200" w:line-rule="auto"/>
        <w:ind w:firstLine="540"/>
        <w:jc w:val="both"/>
      </w:pPr>
      <w:r>
        <w:rPr>
          <w:sz w:val="20"/>
        </w:rPr>
        <w:t xml:space="preserve">- 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w:t>
      </w:r>
    </w:p>
    <w:p>
      <w:pPr>
        <w:pStyle w:val="0"/>
        <w:spacing w:before="200" w:line-rule="auto"/>
        <w:ind w:firstLine="540"/>
        <w:jc w:val="both"/>
      </w:pPr>
      <w:r>
        <w:rPr>
          <w:sz w:val="20"/>
        </w:rPr>
        <w:t xml:space="preserve">- доля взятых под диспансерное наблюдение детей в возрасте 0 - 17 лет с впервые в жизни установленными диагнозами болезней органов пищеварения;</w:t>
      </w:r>
    </w:p>
    <w:p>
      <w:pPr>
        <w:pStyle w:val="0"/>
        <w:spacing w:before="200" w:line-rule="auto"/>
        <w:ind w:firstLine="540"/>
        <w:jc w:val="both"/>
      </w:pPr>
      <w:r>
        <w:rPr>
          <w:sz w:val="20"/>
        </w:rPr>
        <w:t xml:space="preserve">- доля взятых под диспансерное наблюдение детей в возрасте 0 - 17 лет с впервые в жизни установленными диагнозами болезней органов кровообращения;</w:t>
      </w:r>
    </w:p>
    <w:p>
      <w:pPr>
        <w:pStyle w:val="0"/>
        <w:spacing w:before="200" w:line-rule="auto"/>
        <w:ind w:firstLine="540"/>
        <w:jc w:val="both"/>
      </w:pPr>
      <w:r>
        <w:rPr>
          <w:sz w:val="20"/>
        </w:rPr>
        <w:t xml:space="preserve">- 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w:t>
      </w:r>
    </w:p>
    <w:p>
      <w:pPr>
        <w:pStyle w:val="0"/>
        <w:spacing w:before="200" w:line-rule="auto"/>
        <w:ind w:firstLine="540"/>
        <w:jc w:val="both"/>
      </w:pPr>
      <w:r>
        <w:rPr>
          <w:sz w:val="20"/>
        </w:rPr>
        <w:t xml:space="preserve">- 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врачами-педиатрами, %;</w:t>
      </w:r>
    </w:p>
    <w:p>
      <w:pPr>
        <w:pStyle w:val="0"/>
        <w:spacing w:before="200" w:line-rule="auto"/>
        <w:ind w:firstLine="540"/>
        <w:jc w:val="both"/>
      </w:pPr>
      <w:r>
        <w:rPr>
          <w:sz w:val="20"/>
        </w:rPr>
        <w:t xml:space="preserve">- количество (доля) детских поликлиник и детских поликлинических отделений с созданной современной инфраструктурой оказания медицинской помощи детям;</w:t>
      </w:r>
    </w:p>
    <w:p>
      <w:pPr>
        <w:pStyle w:val="0"/>
        <w:spacing w:before="200" w:line-rule="auto"/>
        <w:ind w:firstLine="540"/>
        <w:jc w:val="both"/>
      </w:pPr>
      <w:r>
        <w:rPr>
          <w:sz w:val="20"/>
        </w:rPr>
        <w:t xml:space="preserve">- число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w:t>
      </w:r>
    </w:p>
    <w:p>
      <w:pPr>
        <w:pStyle w:val="0"/>
        <w:spacing w:before="200" w:line-rule="auto"/>
        <w:ind w:firstLine="540"/>
        <w:jc w:val="both"/>
      </w:pPr>
      <w:r>
        <w:rPr>
          <w:sz w:val="20"/>
        </w:rPr>
        <w:t xml:space="preserve">- розничные продажи алкогольной продукции на душу населения (в литрах этанола);</w:t>
      </w:r>
    </w:p>
    <w:p>
      <w:pPr>
        <w:pStyle w:val="0"/>
        <w:spacing w:before="200" w:line-rule="auto"/>
        <w:ind w:firstLine="540"/>
        <w:jc w:val="both"/>
      </w:pPr>
      <w:r>
        <w:rPr>
          <w:sz w:val="20"/>
        </w:rPr>
        <w:t xml:space="preserve">- темпы прироста первичной заболеваемости ожирением;</w:t>
      </w:r>
    </w:p>
    <w:p>
      <w:pPr>
        <w:pStyle w:val="0"/>
        <w:spacing w:before="200" w:line-rule="auto"/>
        <w:ind w:firstLine="540"/>
        <w:jc w:val="both"/>
      </w:pPr>
      <w:r>
        <w:rPr>
          <w:sz w:val="20"/>
        </w:rPr>
        <w:t xml:space="preserve">- уровень госпитализации на геронтологические койки лиц старше 60 лет на 10 тыс. населения соответствующего возраста;</w:t>
      </w:r>
    </w:p>
    <w:p>
      <w:pPr>
        <w:pStyle w:val="0"/>
        <w:spacing w:before="200" w:line-rule="auto"/>
        <w:ind w:firstLine="540"/>
        <w:jc w:val="both"/>
      </w:pPr>
      <w:r>
        <w:rPr>
          <w:sz w:val="20"/>
        </w:rPr>
        <w:t xml:space="preserve">- охват граждан старше трудоспособного возраста профилактическими осмотрами, включая диспансеризацию;</w:t>
      </w:r>
    </w:p>
    <w:p>
      <w:pPr>
        <w:pStyle w:val="0"/>
        <w:spacing w:before="200" w:line-rule="auto"/>
        <w:ind w:firstLine="540"/>
        <w:jc w:val="both"/>
      </w:pPr>
      <w:r>
        <w:rPr>
          <w:sz w:val="20"/>
        </w:rPr>
        <w:t xml:space="preserve">- доля лиц старше трудоспособного возраста, у которых выявлены заболевания и патологические состояния, находящихся под диспансерным наблюдением;</w:t>
      </w:r>
    </w:p>
    <w:p>
      <w:pPr>
        <w:pStyle w:val="0"/>
        <w:spacing w:before="200" w:line-rule="auto"/>
        <w:ind w:firstLine="540"/>
        <w:jc w:val="both"/>
      </w:pPr>
      <w:r>
        <w:rPr>
          <w:sz w:val="20"/>
        </w:rPr>
        <w:t xml:space="preserve">- число лиц (пациентов), дополнительно эвакуированных с использованием санитарной авиации (ежегодно, человек);</w:t>
      </w:r>
    </w:p>
    <w:p>
      <w:pPr>
        <w:pStyle w:val="0"/>
        <w:spacing w:before="200" w:line-rule="auto"/>
        <w:ind w:firstLine="540"/>
        <w:jc w:val="both"/>
      </w:pPr>
      <w:r>
        <w:rPr>
          <w:sz w:val="20"/>
        </w:rPr>
        <w:t xml:space="preserve">- доля граждан из числа прошедших профилактический медицинский осмотр и (или) диспансеризацию, получивших возможность доступа к данным о прохождении профилактического медицинского осмотра и (или) диспансеризации в Личном кабинете пациента "Мое здоровье" на Едином портале государственных услуг и функций в отчетном году;</w:t>
      </w:r>
    </w:p>
    <w:p>
      <w:pPr>
        <w:pStyle w:val="0"/>
        <w:spacing w:before="200" w:line-rule="auto"/>
        <w:ind w:firstLine="540"/>
        <w:jc w:val="both"/>
      </w:pPr>
      <w:r>
        <w:rPr>
          <w:sz w:val="20"/>
        </w:rPr>
        <w:t xml:space="preserve">- доля населенных пунктов с числом жителей до 2000 человек, населению которых доступна первичная медико-санитарная помощь по месту их проживания;</w:t>
      </w:r>
    </w:p>
    <w:p>
      <w:pPr>
        <w:pStyle w:val="0"/>
        <w:spacing w:before="200" w:line-rule="auto"/>
        <w:ind w:firstLine="540"/>
        <w:jc w:val="both"/>
      </w:pPr>
      <w:r>
        <w:rPr>
          <w:sz w:val="20"/>
        </w:rPr>
        <w:t xml:space="preserve">- доля обоснованных жалоб пациентов, застрахованных в системе обязательного медицинского страхования, на оказание медицинской помощи в системе обязательного медицинского страхования, урегулированных в досудебном порядке (от общего числа обоснованных жалоб пациентов);</w:t>
      </w:r>
    </w:p>
    <w:p>
      <w:pPr>
        <w:pStyle w:val="0"/>
        <w:spacing w:before="200" w:line-rule="auto"/>
        <w:ind w:firstLine="540"/>
        <w:jc w:val="both"/>
      </w:pPr>
      <w:r>
        <w:rPr>
          <w:sz w:val="20"/>
        </w:rPr>
        <w:t xml:space="preserve">- количество посещений при выездах мобильных медицинских бригад, оснащенных мобильными медицинскими комплексами, тыс. посещений на 1 мобильную медицинскую бригаду;</w:t>
      </w:r>
    </w:p>
    <w:p>
      <w:pPr>
        <w:pStyle w:val="0"/>
        <w:spacing w:before="200" w:line-rule="auto"/>
        <w:ind w:firstLine="540"/>
        <w:jc w:val="both"/>
      </w:pPr>
      <w:r>
        <w:rPr>
          <w:sz w:val="20"/>
        </w:rPr>
        <w:t xml:space="preserve">- доля лиц, госпитализированных по экстренным показаниям в течение первых суток, от общего числа больных, к которым совершены вылеты;</w:t>
      </w:r>
    </w:p>
    <w:p>
      <w:pPr>
        <w:pStyle w:val="0"/>
        <w:spacing w:before="200" w:line-rule="auto"/>
        <w:ind w:firstLine="540"/>
        <w:jc w:val="both"/>
      </w:pPr>
      <w:r>
        <w:rPr>
          <w:sz w:val="20"/>
        </w:rPr>
        <w:t xml:space="preserve">- число посещений сельскими жителями ФП, ФАПов и ВА, в расчете на 1 сельского жителя;</w:t>
      </w:r>
    </w:p>
    <w:p>
      <w:pPr>
        <w:pStyle w:val="0"/>
        <w:spacing w:before="200" w:line-rule="auto"/>
        <w:ind w:firstLine="540"/>
        <w:jc w:val="both"/>
      </w:pPr>
      <w:r>
        <w:rPr>
          <w:sz w:val="20"/>
        </w:rPr>
        <w:t xml:space="preserve">- доля граждан, ежегодно проходящих медицинский осмотр и (или) диспансеризацию, от общего числа населения;</w:t>
      </w:r>
    </w:p>
    <w:p>
      <w:pPr>
        <w:pStyle w:val="0"/>
        <w:spacing w:before="200" w:line-rule="auto"/>
        <w:ind w:firstLine="540"/>
        <w:jc w:val="both"/>
      </w:pPr>
      <w:r>
        <w:rPr>
          <w:sz w:val="20"/>
        </w:rPr>
        <w:t xml:space="preserve">- доля поликлиник и поликлинических подразделений, участвующих в тиражировании "Новой модели организации оказания медицинской помощи", от общего количества;</w:t>
      </w:r>
    </w:p>
    <w:p>
      <w:pPr>
        <w:pStyle w:val="0"/>
        <w:spacing w:before="200" w:line-rule="auto"/>
        <w:ind w:firstLine="540"/>
        <w:jc w:val="both"/>
      </w:pPr>
      <w:r>
        <w:rPr>
          <w:sz w:val="20"/>
        </w:rPr>
        <w:t xml:space="preserve">- число выполненных посещений гражданами поликлиник и поликлинических подразделений, участвующих в создании и тиражировании "новой модели организации оказания медицинской помощи";</w:t>
      </w:r>
    </w:p>
    <w:p>
      <w:pPr>
        <w:pStyle w:val="0"/>
        <w:spacing w:before="200" w:line-rule="auto"/>
        <w:ind w:firstLine="540"/>
        <w:jc w:val="both"/>
      </w:pPr>
      <w:r>
        <w:rPr>
          <w:sz w:val="20"/>
        </w:rPr>
        <w:t xml:space="preserve">- 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w:t>
      </w:r>
    </w:p>
    <w:p>
      <w:pPr>
        <w:pStyle w:val="0"/>
        <w:spacing w:before="200" w:line-rule="auto"/>
        <w:ind w:firstLine="540"/>
        <w:jc w:val="both"/>
      </w:pPr>
      <w:r>
        <w:rPr>
          <w:sz w:val="20"/>
        </w:rPr>
        <w:t xml:space="preserve">- 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БСК/число лиц с БСК, состоящих под диспансерным наблюдением);</w:t>
      </w:r>
    </w:p>
    <w:p>
      <w:pPr>
        <w:pStyle w:val="0"/>
        <w:spacing w:before="200" w:line-rule="auto"/>
        <w:ind w:firstLine="540"/>
        <w:jc w:val="both"/>
      </w:pPr>
      <w:r>
        <w:rPr>
          <w:sz w:val="20"/>
        </w:rPr>
        <w:t xml:space="preserve">- больничная летальность от инфаркта миокарда;</w:t>
      </w:r>
    </w:p>
    <w:p>
      <w:pPr>
        <w:pStyle w:val="0"/>
        <w:spacing w:before="200" w:line-rule="auto"/>
        <w:ind w:firstLine="540"/>
        <w:jc w:val="both"/>
      </w:pPr>
      <w:r>
        <w:rPr>
          <w:sz w:val="20"/>
        </w:rPr>
        <w:t xml:space="preserve">- больничная летальность от острого нарушения мозгового кровообращения;</w:t>
      </w:r>
    </w:p>
    <w:p>
      <w:pPr>
        <w:pStyle w:val="0"/>
        <w:spacing w:before="200" w:line-rule="auto"/>
        <w:ind w:firstLine="540"/>
        <w:jc w:val="both"/>
      </w:pPr>
      <w:r>
        <w:rPr>
          <w:sz w:val="20"/>
        </w:rPr>
        <w:t xml:space="preserve">- количество рентген-эндоваскулярных вмешательств в лечебных целях;</w:t>
      </w:r>
    </w:p>
    <w:p>
      <w:pPr>
        <w:pStyle w:val="0"/>
        <w:spacing w:before="200" w:line-rule="auto"/>
        <w:ind w:firstLine="540"/>
        <w:jc w:val="both"/>
      </w:pPr>
      <w:r>
        <w:rPr>
          <w:sz w:val="20"/>
        </w:rPr>
        <w:t xml:space="preserve">- 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w:t>
      </w:r>
    </w:p>
    <w:p>
      <w:pPr>
        <w:pStyle w:val="0"/>
        <w:spacing w:before="200" w:line-rule="auto"/>
        <w:ind w:firstLine="540"/>
        <w:jc w:val="both"/>
      </w:pPr>
      <w:r>
        <w:rPr>
          <w:sz w:val="20"/>
        </w:rPr>
        <w:t xml:space="preserve">- удельный вес больных со злокачественными новообразованиями, состоящих на учете пять лет и более, из общего числа больных со злокачественными образованиями, состоящих под диспансерным наблюдением;</w:t>
      </w:r>
    </w:p>
    <w:p>
      <w:pPr>
        <w:pStyle w:val="0"/>
        <w:spacing w:before="200" w:line-rule="auto"/>
        <w:ind w:firstLine="540"/>
        <w:jc w:val="both"/>
      </w:pPr>
      <w:r>
        <w:rPr>
          <w:sz w:val="20"/>
        </w:rPr>
        <w:t xml:space="preserve">- доля злокачественных новообразований, выявленных на I и II стадиях;</w:t>
      </w:r>
    </w:p>
    <w:p>
      <w:pPr>
        <w:pStyle w:val="0"/>
        <w:spacing w:before="200" w:line-rule="auto"/>
        <w:ind w:firstLine="540"/>
        <w:jc w:val="both"/>
      </w:pPr>
      <w:r>
        <w:rPr>
          <w:sz w:val="20"/>
        </w:rPr>
        <w:t xml:space="preserve">- доля лиц с онкологическими заболеваниями, прошедших обследование и/или лечение в текущем году, из числа состоящих под диспансерным наблюдением;</w:t>
      </w:r>
    </w:p>
    <w:p>
      <w:pPr>
        <w:pStyle w:val="0"/>
        <w:spacing w:before="200" w:line-rule="auto"/>
        <w:ind w:firstLine="540"/>
        <w:jc w:val="both"/>
      </w:pPr>
      <w:r>
        <w:rPr>
          <w:sz w:val="20"/>
        </w:rPr>
        <w:t xml:space="preserve">- 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под диспансерное наблюдение в предыдущем году);</w:t>
      </w:r>
    </w:p>
    <w:p>
      <w:pPr>
        <w:pStyle w:val="0"/>
        <w:spacing w:before="200" w:line-rule="auto"/>
        <w:ind w:firstLine="540"/>
        <w:jc w:val="both"/>
      </w:pPr>
      <w:r>
        <w:rPr>
          <w:sz w:val="20"/>
        </w:rPr>
        <w:t xml:space="preserve">- число граждан, воспользовавшихся услугами (сервисами) в Личном кабинете пациента "Мое здоровье" на Едином портале государственных услуг и функций;</w:t>
      </w:r>
    </w:p>
    <w:p>
      <w:pPr>
        <w:pStyle w:val="0"/>
        <w:spacing w:before="200" w:line-rule="auto"/>
        <w:ind w:firstLine="540"/>
        <w:jc w:val="both"/>
      </w:pPr>
      <w:r>
        <w:rPr>
          <w:sz w:val="20"/>
        </w:rPr>
        <w:t xml:space="preserve">- доля медицинских организаций государственной и муниципальной систем здравоохранения, подключенных к централизованным подсистемам государственных информационных систем в сфере здравоохранения субъектов Российской Федерации;</w:t>
      </w:r>
    </w:p>
    <w:p>
      <w:pPr>
        <w:pStyle w:val="0"/>
        <w:spacing w:before="200" w:line-rule="auto"/>
        <w:ind w:firstLine="540"/>
        <w:jc w:val="both"/>
      </w:pPr>
      <w:r>
        <w:rPr>
          <w:sz w:val="20"/>
        </w:rPr>
        <w:t xml:space="preserve">- 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w:t>
      </w:r>
    </w:p>
    <w:p>
      <w:pPr>
        <w:pStyle w:val="0"/>
        <w:spacing w:before="200" w:line-rule="auto"/>
        <w:ind w:firstLine="540"/>
        <w:jc w:val="both"/>
      </w:pPr>
      <w:r>
        <w:rPr>
          <w:sz w:val="20"/>
        </w:rPr>
        <w:t xml:space="preserve">- доля записей на прием к врачу, совершенных гражданами дистанционно;</w:t>
      </w:r>
    </w:p>
    <w:p>
      <w:pPr>
        <w:pStyle w:val="0"/>
        <w:spacing w:before="200" w:line-rule="auto"/>
        <w:ind w:firstLine="540"/>
        <w:jc w:val="both"/>
      </w:pPr>
      <w:r>
        <w:rPr>
          <w:sz w:val="20"/>
        </w:rPr>
        <w:t xml:space="preserve">- доля случаев оказания медицинской помощи, по которым представлены электронные медицинские документы в подсистеме ЕГИСЗ за период;</w:t>
      </w:r>
    </w:p>
    <w:p>
      <w:pPr>
        <w:pStyle w:val="0"/>
        <w:spacing w:before="200" w:line-rule="auto"/>
        <w:ind w:firstLine="540"/>
        <w:jc w:val="both"/>
      </w:pPr>
      <w:r>
        <w:rPr>
          <w:sz w:val="20"/>
        </w:rPr>
        <w:t xml:space="preserve">- доля граждан, являющихся пользователями ЕПГУ, которым доступны электронные медицинские документы в Личном кабинете пациента "Мое здоровье" по факту оказания медицинской помощи за период;</w:t>
      </w:r>
    </w:p>
    <w:p>
      <w:pPr>
        <w:pStyle w:val="0"/>
        <w:spacing w:before="200" w:line-rule="auto"/>
        <w:ind w:firstLine="540"/>
        <w:jc w:val="both"/>
      </w:pPr>
      <w:r>
        <w:rPr>
          <w:sz w:val="20"/>
        </w:rPr>
        <w:t xml:space="preserve">- обеспеченность населения врачами, работающими в государственных и муниципальных медицинских организациях, чел. на 10 тыс. населения;</w:t>
      </w:r>
    </w:p>
    <w:p>
      <w:pPr>
        <w:pStyle w:val="0"/>
        <w:spacing w:before="200" w:line-rule="auto"/>
        <w:ind w:firstLine="540"/>
        <w:jc w:val="both"/>
      </w:pPr>
      <w:r>
        <w:rPr>
          <w:sz w:val="20"/>
        </w:rPr>
        <w:t xml:space="preserve">- обеспеченность населения средними медицинскими работниками, работающими в государственных и муниципальных медицинских организациях, чел. на 10 тыс. населения;</w:t>
      </w:r>
    </w:p>
    <w:p>
      <w:pPr>
        <w:pStyle w:val="0"/>
        <w:spacing w:before="200" w:line-rule="auto"/>
        <w:ind w:firstLine="540"/>
        <w:jc w:val="both"/>
      </w:pPr>
      <w:r>
        <w:rPr>
          <w:sz w:val="20"/>
        </w:rPr>
        <w:t xml:space="preserve">- 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тыс. человек нарастающим итогом;</w:t>
      </w:r>
    </w:p>
    <w:p>
      <w:pPr>
        <w:pStyle w:val="0"/>
        <w:spacing w:before="200" w:line-rule="auto"/>
        <w:ind w:firstLine="540"/>
        <w:jc w:val="both"/>
      </w:pPr>
      <w:r>
        <w:rPr>
          <w:sz w:val="20"/>
        </w:rPr>
        <w:t xml:space="preserve">- обеспеченность населения врачами, оказывающими первичную медико-санитарную помощь, чел. на 10 тыс. населения;</w:t>
      </w:r>
    </w:p>
    <w:p>
      <w:pPr>
        <w:pStyle w:val="0"/>
        <w:spacing w:before="200" w:line-rule="auto"/>
        <w:ind w:firstLine="540"/>
        <w:jc w:val="both"/>
      </w:pPr>
      <w:r>
        <w:rPr>
          <w:sz w:val="20"/>
        </w:rPr>
        <w:t xml:space="preserve">- обеспеченность населения медицинскими работниками, оказывающими скорую медицинскую помощь, чел. на 10 тыс. населения;</w:t>
      </w:r>
    </w:p>
    <w:p>
      <w:pPr>
        <w:pStyle w:val="0"/>
        <w:spacing w:before="200" w:line-rule="auto"/>
        <w:ind w:firstLine="540"/>
        <w:jc w:val="both"/>
      </w:pPr>
      <w:r>
        <w:rPr>
          <w:sz w:val="20"/>
        </w:rPr>
        <w:t xml:space="preserve">- обеспеченность населения врачами, оказывающими специализированную медицинскую помощь, чел. на 10 тыс. населения;</w:t>
      </w:r>
    </w:p>
    <w:p>
      <w:pPr>
        <w:pStyle w:val="0"/>
        <w:spacing w:before="200" w:line-rule="auto"/>
        <w:ind w:firstLine="540"/>
        <w:jc w:val="both"/>
      </w:pPr>
      <w:r>
        <w:rPr>
          <w:sz w:val="20"/>
        </w:rPr>
        <w:t xml:space="preserve">- 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 нарастающим итогом: врачами;</w:t>
      </w:r>
    </w:p>
    <w:p>
      <w:pPr>
        <w:pStyle w:val="0"/>
        <w:spacing w:before="200" w:line-rule="auto"/>
        <w:ind w:firstLine="540"/>
        <w:jc w:val="both"/>
      </w:pPr>
      <w:r>
        <w:rPr>
          <w:sz w:val="20"/>
        </w:rPr>
        <w:t xml:space="preserve">- 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 нарастающим итогом: средними медицинскими работниками;</w:t>
      </w:r>
    </w:p>
    <w:p>
      <w:pPr>
        <w:pStyle w:val="0"/>
        <w:spacing w:before="200" w:line-rule="auto"/>
        <w:ind w:firstLine="540"/>
        <w:jc w:val="both"/>
      </w:pPr>
      <w:r>
        <w:rPr>
          <w:sz w:val="20"/>
        </w:rPr>
        <w:t xml:space="preserve">- укомплектованность фельдшерских пунктов, фельдшерско-акушерских пунктов, врачебных амбулаторий медицинскими работниками;</w:t>
      </w:r>
    </w:p>
    <w:p>
      <w:pPr>
        <w:pStyle w:val="0"/>
        <w:spacing w:before="200" w:line-rule="auto"/>
        <w:ind w:firstLine="540"/>
        <w:jc w:val="both"/>
      </w:pPr>
      <w:r>
        <w:rPr>
          <w:sz w:val="20"/>
        </w:rPr>
        <w:t xml:space="preserve">- число посещений сельскими жителями медицинских организаций на одного сельского жителя в год;</w:t>
      </w:r>
    </w:p>
    <w:p>
      <w:pPr>
        <w:pStyle w:val="0"/>
        <w:spacing w:before="200" w:line-rule="auto"/>
        <w:ind w:firstLine="540"/>
        <w:jc w:val="both"/>
      </w:pPr>
      <w:r>
        <w:rPr>
          <w:sz w:val="20"/>
        </w:rPr>
        <w:t xml:space="preserve">- 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w:t>
      </w:r>
    </w:p>
    <w:p>
      <w:pPr>
        <w:pStyle w:val="0"/>
        <w:spacing w:before="200" w:line-rule="auto"/>
        <w:ind w:firstLine="540"/>
        <w:jc w:val="both"/>
      </w:pPr>
      <w:r>
        <w:rPr>
          <w:sz w:val="20"/>
        </w:rPr>
        <w:t xml:space="preserve">- доля зданий медицинских организаций, оказывающих первичную медико-санитарную помощь, находящихся в аварийном состоянии, требующих сноса, реконструкции и капитального ремонта;</w:t>
      </w:r>
    </w:p>
    <w:p>
      <w:pPr>
        <w:pStyle w:val="0"/>
        <w:spacing w:before="200" w:line-rule="auto"/>
        <w:ind w:firstLine="540"/>
        <w:jc w:val="both"/>
      </w:pPr>
      <w:r>
        <w:rPr>
          <w:sz w:val="20"/>
        </w:rPr>
        <w:t xml:space="preserve">- оценка общественного мнения по удовлетворенности населения медицинской помощью.</w:t>
      </w:r>
    </w:p>
    <w:p>
      <w:pPr>
        <w:pStyle w:val="0"/>
        <w:spacing w:before="200" w:line-rule="auto"/>
        <w:ind w:firstLine="540"/>
        <w:jc w:val="both"/>
      </w:pPr>
      <w:r>
        <w:rPr>
          <w:sz w:val="20"/>
        </w:rPr>
        <w:t xml:space="preserve">6. Этапы и сроки реализации подпрограммы 8: с 2022 по 2030 год без выделения этапов реализации Программы.</w:t>
      </w:r>
    </w:p>
    <w:p>
      <w:pPr>
        <w:pStyle w:val="0"/>
        <w:spacing w:before="200" w:line-rule="auto"/>
        <w:ind w:firstLine="540"/>
        <w:jc w:val="both"/>
      </w:pPr>
      <w:r>
        <w:rPr>
          <w:sz w:val="20"/>
        </w:rPr>
        <w:t xml:space="preserve">7. Объемы финансирования подпрограммы 8, всего, по годам и по источникам финансирования (тыс. руб.):</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587"/>
        <w:gridCol w:w="1531"/>
        <w:gridCol w:w="1700"/>
        <w:gridCol w:w="1191"/>
        <w:gridCol w:w="1587"/>
      </w:tblGrid>
      <w:tr>
        <w:tc>
          <w:tcPr>
            <w:tcW w:w="1474" w:type="dxa"/>
          </w:tcPr>
          <w:p>
            <w:pPr>
              <w:pStyle w:val="0"/>
              <w:jc w:val="center"/>
            </w:pPr>
            <w:r>
              <w:rPr>
                <w:sz w:val="20"/>
              </w:rPr>
              <w:t xml:space="preserve">Источники финансирования</w:t>
            </w:r>
          </w:p>
        </w:tc>
        <w:tc>
          <w:tcPr>
            <w:tcW w:w="1587" w:type="dxa"/>
          </w:tcPr>
          <w:p>
            <w:pPr>
              <w:pStyle w:val="0"/>
              <w:jc w:val="center"/>
            </w:pPr>
            <w:r>
              <w:rPr>
                <w:sz w:val="20"/>
              </w:rPr>
              <w:t xml:space="preserve">Федеральный бюджет</w:t>
            </w:r>
          </w:p>
        </w:tc>
        <w:tc>
          <w:tcPr>
            <w:tcW w:w="1531" w:type="dxa"/>
          </w:tcPr>
          <w:p>
            <w:pPr>
              <w:pStyle w:val="0"/>
              <w:jc w:val="center"/>
            </w:pPr>
            <w:r>
              <w:rPr>
                <w:sz w:val="20"/>
              </w:rPr>
              <w:t xml:space="preserve">Бюджет города Севастополя</w:t>
            </w:r>
          </w:p>
        </w:tc>
        <w:tc>
          <w:tcPr>
            <w:tcW w:w="1700" w:type="dxa"/>
          </w:tcPr>
          <w:p>
            <w:pPr>
              <w:pStyle w:val="0"/>
              <w:jc w:val="center"/>
            </w:pPr>
            <w:r>
              <w:rPr>
                <w:sz w:val="20"/>
              </w:rPr>
              <w:t xml:space="preserve">Бюджеты других субъектов РФ (город Москва)</w:t>
            </w:r>
          </w:p>
        </w:tc>
        <w:tc>
          <w:tcPr>
            <w:tcW w:w="1191" w:type="dxa"/>
          </w:tcPr>
          <w:p>
            <w:pPr>
              <w:pStyle w:val="0"/>
              <w:jc w:val="center"/>
            </w:pPr>
            <w:r>
              <w:rPr>
                <w:sz w:val="20"/>
              </w:rPr>
              <w:t xml:space="preserve">Внебюджетные средства</w:t>
            </w:r>
          </w:p>
        </w:tc>
        <w:tc>
          <w:tcPr>
            <w:tcW w:w="1587" w:type="dxa"/>
          </w:tcPr>
          <w:p>
            <w:pPr>
              <w:pStyle w:val="0"/>
              <w:jc w:val="center"/>
            </w:pPr>
            <w:r>
              <w:rPr>
                <w:sz w:val="20"/>
              </w:rPr>
              <w:t xml:space="preserve">Итого</w:t>
            </w:r>
          </w:p>
        </w:tc>
      </w:tr>
      <w:tr>
        <w:tc>
          <w:tcPr>
            <w:tcW w:w="1474" w:type="dxa"/>
          </w:tcPr>
          <w:p>
            <w:pPr>
              <w:pStyle w:val="0"/>
              <w:jc w:val="both"/>
            </w:pPr>
            <w:r>
              <w:rPr>
                <w:sz w:val="20"/>
              </w:rPr>
              <w:t xml:space="preserve">2022 год</w:t>
            </w:r>
          </w:p>
        </w:tc>
        <w:tc>
          <w:tcPr>
            <w:tcW w:w="1587" w:type="dxa"/>
          </w:tcPr>
          <w:p>
            <w:pPr>
              <w:pStyle w:val="0"/>
              <w:jc w:val="center"/>
            </w:pPr>
            <w:r>
              <w:rPr>
                <w:sz w:val="20"/>
              </w:rPr>
              <w:t xml:space="preserve">524227,6</w:t>
            </w:r>
          </w:p>
        </w:tc>
        <w:tc>
          <w:tcPr>
            <w:tcW w:w="1531" w:type="dxa"/>
          </w:tcPr>
          <w:p>
            <w:pPr>
              <w:pStyle w:val="0"/>
              <w:jc w:val="center"/>
            </w:pPr>
            <w:r>
              <w:rPr>
                <w:sz w:val="20"/>
              </w:rPr>
              <w:t xml:space="preserve">21752,4</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545980,0</w:t>
            </w:r>
          </w:p>
        </w:tc>
      </w:tr>
      <w:tr>
        <w:tc>
          <w:tcPr>
            <w:tcW w:w="1474" w:type="dxa"/>
          </w:tcPr>
          <w:p>
            <w:pPr>
              <w:pStyle w:val="0"/>
              <w:jc w:val="both"/>
            </w:pPr>
            <w:r>
              <w:rPr>
                <w:sz w:val="20"/>
              </w:rPr>
              <w:t xml:space="preserve">2023 год</w:t>
            </w:r>
          </w:p>
        </w:tc>
        <w:tc>
          <w:tcPr>
            <w:tcW w:w="1587" w:type="dxa"/>
          </w:tcPr>
          <w:p>
            <w:pPr>
              <w:pStyle w:val="0"/>
              <w:jc w:val="center"/>
            </w:pPr>
            <w:r>
              <w:rPr>
                <w:sz w:val="20"/>
              </w:rPr>
              <w:t xml:space="preserve">392847,7</w:t>
            </w:r>
          </w:p>
        </w:tc>
        <w:tc>
          <w:tcPr>
            <w:tcW w:w="1531" w:type="dxa"/>
          </w:tcPr>
          <w:p>
            <w:pPr>
              <w:pStyle w:val="0"/>
              <w:jc w:val="center"/>
            </w:pPr>
            <w:r>
              <w:rPr>
                <w:sz w:val="20"/>
              </w:rPr>
              <w:t xml:space="preserve">9173,4</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402021,1</w:t>
            </w:r>
          </w:p>
        </w:tc>
      </w:tr>
      <w:tr>
        <w:tc>
          <w:tcPr>
            <w:tcW w:w="1474" w:type="dxa"/>
          </w:tcPr>
          <w:p>
            <w:pPr>
              <w:pStyle w:val="0"/>
              <w:jc w:val="both"/>
            </w:pPr>
            <w:r>
              <w:rPr>
                <w:sz w:val="20"/>
              </w:rPr>
              <w:t xml:space="preserve">2024 год</w:t>
            </w:r>
          </w:p>
        </w:tc>
        <w:tc>
          <w:tcPr>
            <w:tcW w:w="1587" w:type="dxa"/>
          </w:tcPr>
          <w:p>
            <w:pPr>
              <w:pStyle w:val="0"/>
              <w:jc w:val="center"/>
            </w:pPr>
            <w:r>
              <w:rPr>
                <w:sz w:val="20"/>
              </w:rPr>
              <w:t xml:space="preserve">415999,5</w:t>
            </w:r>
          </w:p>
        </w:tc>
        <w:tc>
          <w:tcPr>
            <w:tcW w:w="1531" w:type="dxa"/>
          </w:tcPr>
          <w:p>
            <w:pPr>
              <w:pStyle w:val="0"/>
              <w:jc w:val="center"/>
            </w:pPr>
            <w:r>
              <w:rPr>
                <w:sz w:val="20"/>
              </w:rPr>
              <w:t xml:space="preserve">7585,7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423585,2</w:t>
            </w:r>
          </w:p>
        </w:tc>
      </w:tr>
      <w:tr>
        <w:tc>
          <w:tcPr>
            <w:tcW w:w="1474" w:type="dxa"/>
          </w:tcPr>
          <w:p>
            <w:pPr>
              <w:pStyle w:val="0"/>
              <w:jc w:val="both"/>
            </w:pPr>
            <w:r>
              <w:rPr>
                <w:sz w:val="20"/>
              </w:rPr>
              <w:t xml:space="preserve">2025 год</w:t>
            </w:r>
          </w:p>
        </w:tc>
        <w:tc>
          <w:tcPr>
            <w:tcW w:w="1587" w:type="dxa"/>
          </w:tcPr>
          <w:p>
            <w:pPr>
              <w:pStyle w:val="0"/>
              <w:jc w:val="center"/>
            </w:pPr>
            <w:r>
              <w:rPr>
                <w:sz w:val="20"/>
              </w:rPr>
              <w:t xml:space="preserve">432011,5</w:t>
            </w:r>
          </w:p>
        </w:tc>
        <w:tc>
          <w:tcPr>
            <w:tcW w:w="1531" w:type="dxa"/>
          </w:tcPr>
          <w:p>
            <w:pPr>
              <w:pStyle w:val="0"/>
              <w:jc w:val="center"/>
            </w:pPr>
            <w:r>
              <w:rPr>
                <w:sz w:val="20"/>
              </w:rPr>
              <w:t xml:space="preserve">9439,1</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441450,6</w:t>
            </w:r>
          </w:p>
        </w:tc>
      </w:tr>
      <w:tr>
        <w:tc>
          <w:tcPr>
            <w:tcW w:w="1474" w:type="dxa"/>
          </w:tcPr>
          <w:p>
            <w:pPr>
              <w:pStyle w:val="0"/>
              <w:jc w:val="both"/>
            </w:pPr>
            <w:r>
              <w:rPr>
                <w:sz w:val="20"/>
              </w:rPr>
              <w:t xml:space="preserve">2026 год</w:t>
            </w:r>
          </w:p>
        </w:tc>
        <w:tc>
          <w:tcPr>
            <w:tcW w:w="1587" w:type="dxa"/>
          </w:tcPr>
          <w:p>
            <w:pPr>
              <w:pStyle w:val="0"/>
              <w:jc w:val="center"/>
            </w:pPr>
            <w:r>
              <w:rPr>
                <w:sz w:val="20"/>
              </w:rPr>
              <w:t xml:space="preserve">0,0</w:t>
            </w:r>
          </w:p>
        </w:tc>
        <w:tc>
          <w:tcPr>
            <w:tcW w:w="1531" w:type="dxa"/>
          </w:tcPr>
          <w:p>
            <w:pPr>
              <w:pStyle w:val="0"/>
              <w:jc w:val="center"/>
            </w:pPr>
            <w:r>
              <w:rPr>
                <w:sz w:val="20"/>
              </w:rPr>
              <w:t xml:space="preserve">201126,6</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201126,6</w:t>
            </w:r>
          </w:p>
        </w:tc>
      </w:tr>
      <w:tr>
        <w:tc>
          <w:tcPr>
            <w:tcW w:w="1474" w:type="dxa"/>
          </w:tcPr>
          <w:p>
            <w:pPr>
              <w:pStyle w:val="0"/>
              <w:jc w:val="both"/>
            </w:pPr>
            <w:r>
              <w:rPr>
                <w:sz w:val="20"/>
              </w:rPr>
              <w:t xml:space="preserve">2027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2028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2029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2030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Всего</w:t>
            </w:r>
          </w:p>
        </w:tc>
        <w:tc>
          <w:tcPr>
            <w:tcW w:w="1587" w:type="dxa"/>
          </w:tcPr>
          <w:p>
            <w:pPr>
              <w:pStyle w:val="0"/>
              <w:jc w:val="center"/>
            </w:pPr>
            <w:r>
              <w:rPr>
                <w:sz w:val="20"/>
              </w:rPr>
              <w:t xml:space="preserve">1765086,3</w:t>
            </w:r>
          </w:p>
        </w:tc>
        <w:tc>
          <w:tcPr>
            <w:tcW w:w="1531" w:type="dxa"/>
          </w:tcPr>
          <w:p>
            <w:pPr>
              <w:pStyle w:val="0"/>
              <w:jc w:val="center"/>
            </w:pPr>
            <w:r>
              <w:rPr>
                <w:sz w:val="20"/>
              </w:rPr>
              <w:t xml:space="preserve">249077,2</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2014163,5</w:t>
            </w:r>
          </w:p>
        </w:tc>
      </w:tr>
    </w:tbl>
    <w:p>
      <w:pPr>
        <w:pStyle w:val="0"/>
        <w:jc w:val="both"/>
      </w:pPr>
      <w:r>
        <w:rPr>
          <w:sz w:val="20"/>
        </w:rPr>
        <w:t xml:space="preserve">(п. 7 в ред. </w:t>
      </w:r>
      <w:hyperlink w:history="0" r:id="rId250"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p>
      <w:pPr>
        <w:pStyle w:val="0"/>
        <w:jc w:val="both"/>
      </w:pPr>
      <w:r>
        <w:rPr>
          <w:sz w:val="20"/>
        </w:rPr>
      </w:r>
    </w:p>
    <w:p>
      <w:pPr>
        <w:pStyle w:val="0"/>
        <w:ind w:firstLine="540"/>
        <w:jc w:val="both"/>
      </w:pPr>
      <w:r>
        <w:rPr>
          <w:sz w:val="20"/>
        </w:rPr>
        <w:t xml:space="preserve">8. Ожидаемые результаты реализации подпрограммы 8:</w:t>
      </w:r>
    </w:p>
    <w:p>
      <w:pPr>
        <w:pStyle w:val="0"/>
        <w:spacing w:before="200" w:line-rule="auto"/>
        <w:ind w:firstLine="540"/>
        <w:jc w:val="both"/>
      </w:pPr>
      <w:r>
        <w:rPr>
          <w:sz w:val="20"/>
        </w:rPr>
        <w:t xml:space="preserve">- снижение младенческой смертности до 3,1 промилле к 2024 году;</w:t>
      </w:r>
    </w:p>
    <w:p>
      <w:pPr>
        <w:pStyle w:val="0"/>
        <w:spacing w:before="200" w:line-rule="auto"/>
        <w:ind w:firstLine="540"/>
        <w:jc w:val="both"/>
      </w:pPr>
      <w:r>
        <w:rPr>
          <w:sz w:val="20"/>
        </w:rPr>
        <w:t xml:space="preserve">- снижение смертности детей в возрасте 0 - 4 лет на 1000 родившихся живыми до 4 промилле к 2024 году;</w:t>
      </w:r>
    </w:p>
    <w:p>
      <w:pPr>
        <w:pStyle w:val="0"/>
        <w:spacing w:before="200" w:line-rule="auto"/>
        <w:ind w:firstLine="540"/>
        <w:jc w:val="both"/>
      </w:pPr>
      <w:r>
        <w:rPr>
          <w:sz w:val="20"/>
        </w:rPr>
        <w:t xml:space="preserve">- снижение смертности детей в возрасте 0 - 17 лет на 100000 детей соответствующего возраста до 39,9 случая на 100 тысяч детей соответствующего возраста к 2024 году;</w:t>
      </w:r>
    </w:p>
    <w:p>
      <w:pPr>
        <w:pStyle w:val="0"/>
        <w:spacing w:before="200" w:line-rule="auto"/>
        <w:ind w:firstLine="540"/>
        <w:jc w:val="both"/>
      </w:pPr>
      <w:r>
        <w:rPr>
          <w:sz w:val="20"/>
        </w:rPr>
        <w:t xml:space="preserve">- увеличение доли посещений детьми медицинских организаций с профилактическими целями до 51% к 2024 году;</w:t>
      </w:r>
    </w:p>
    <w:p>
      <w:pPr>
        <w:pStyle w:val="0"/>
        <w:spacing w:before="200" w:line-rule="auto"/>
        <w:ind w:firstLine="540"/>
        <w:jc w:val="both"/>
      </w:pPr>
      <w:r>
        <w:rPr>
          <w:sz w:val="20"/>
        </w:rPr>
        <w:t xml:space="preserve">- увеличение доли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 до 90% к 2024 году;</w:t>
      </w:r>
    </w:p>
    <w:p>
      <w:pPr>
        <w:pStyle w:val="0"/>
        <w:spacing w:before="200" w:line-rule="auto"/>
        <w:ind w:firstLine="540"/>
        <w:jc w:val="both"/>
      </w:pPr>
      <w:r>
        <w:rPr>
          <w:sz w:val="20"/>
        </w:rPr>
        <w:t xml:space="preserve">- увеличение доли взятых под диспансерное наблюдение детей в возрасте 0 - 17 лет с впервые в жизни установленными диагнозами болезней глаза и его придаточного аппарата до 90% к 2024 году;</w:t>
      </w:r>
    </w:p>
    <w:p>
      <w:pPr>
        <w:pStyle w:val="0"/>
        <w:spacing w:before="200" w:line-rule="auto"/>
        <w:ind w:firstLine="540"/>
        <w:jc w:val="both"/>
      </w:pPr>
      <w:r>
        <w:rPr>
          <w:sz w:val="20"/>
        </w:rPr>
        <w:t xml:space="preserve">- увеличение доли взятых под диспансерное наблюдение детей в возрасте 0 - 17 лет с впервые в жизни установленными диагнозами болезней органов пищеварения до 90% к 2024 году;</w:t>
      </w:r>
    </w:p>
    <w:p>
      <w:pPr>
        <w:pStyle w:val="0"/>
        <w:spacing w:before="200" w:line-rule="auto"/>
        <w:ind w:firstLine="540"/>
        <w:jc w:val="both"/>
      </w:pPr>
      <w:r>
        <w:rPr>
          <w:sz w:val="20"/>
        </w:rPr>
        <w:t xml:space="preserve">- увеличение доли взятых под диспансерное наблюдение детей в возрасте 0 - 17 лет с впервые в жизни установленными диагнозами болезней органов кровообращения до 90% к 2024 году;</w:t>
      </w:r>
    </w:p>
    <w:p>
      <w:pPr>
        <w:pStyle w:val="0"/>
        <w:spacing w:before="200" w:line-rule="auto"/>
        <w:ind w:firstLine="540"/>
        <w:jc w:val="both"/>
      </w:pPr>
      <w:r>
        <w:rPr>
          <w:sz w:val="20"/>
        </w:rPr>
        <w:t xml:space="preserve">- увеличение доли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 до 90% к 2024 году;</w:t>
      </w:r>
    </w:p>
    <w:p>
      <w:pPr>
        <w:pStyle w:val="0"/>
        <w:spacing w:before="200" w:line-rule="auto"/>
        <w:ind w:firstLine="540"/>
        <w:jc w:val="both"/>
      </w:pPr>
      <w:r>
        <w:rPr>
          <w:sz w:val="20"/>
        </w:rPr>
        <w:t xml:space="preserve">- увеличение укомплектованности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врачами-педиатрами до 80,6% к 2024 году;</w:t>
      </w:r>
    </w:p>
    <w:p>
      <w:pPr>
        <w:pStyle w:val="0"/>
        <w:spacing w:before="200" w:line-rule="auto"/>
        <w:ind w:firstLine="540"/>
        <w:jc w:val="both"/>
      </w:pPr>
      <w:r>
        <w:rPr>
          <w:sz w:val="20"/>
        </w:rPr>
        <w:t xml:space="preserve">- количество (доля) детских поликлиник и детских поликлинических отделений с созданной современной инфраструктурой оказания медицинской помощи детям до 95% к 2024 году;</w:t>
      </w:r>
    </w:p>
    <w:p>
      <w:pPr>
        <w:pStyle w:val="0"/>
        <w:spacing w:before="200" w:line-rule="auto"/>
        <w:ind w:firstLine="540"/>
        <w:jc w:val="both"/>
      </w:pPr>
      <w:r>
        <w:rPr>
          <w:sz w:val="20"/>
        </w:rPr>
        <w:t xml:space="preserve">- увеличение числа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 до 95% к 2024 году;</w:t>
      </w:r>
    </w:p>
    <w:p>
      <w:pPr>
        <w:pStyle w:val="0"/>
        <w:spacing w:before="200" w:line-rule="auto"/>
        <w:ind w:firstLine="540"/>
        <w:jc w:val="both"/>
      </w:pPr>
      <w:r>
        <w:rPr>
          <w:sz w:val="20"/>
        </w:rPr>
        <w:t xml:space="preserve">- уменьшение розничных продаж алкогольной продукции на душу населения (в литрах этанола) до 4,7 литра чистого (100%) спирта к 2024 году;</w:t>
      </w:r>
    </w:p>
    <w:p>
      <w:pPr>
        <w:pStyle w:val="0"/>
        <w:spacing w:before="200" w:line-rule="auto"/>
        <w:ind w:firstLine="540"/>
        <w:jc w:val="both"/>
      </w:pPr>
      <w:r>
        <w:rPr>
          <w:sz w:val="20"/>
        </w:rPr>
        <w:t xml:space="preserve">- уменьшение темпов прироста первичной заболеваемости ожирением до 11,6% к 2024 году;</w:t>
      </w:r>
    </w:p>
    <w:p>
      <w:pPr>
        <w:pStyle w:val="0"/>
        <w:spacing w:before="200" w:line-rule="auto"/>
        <w:ind w:firstLine="540"/>
        <w:jc w:val="both"/>
      </w:pPr>
      <w:r>
        <w:rPr>
          <w:sz w:val="20"/>
        </w:rPr>
        <w:t xml:space="preserve">- увеличение уровня госпитализации на геронтологические койки лиц старше 60 лет на 10 тыс. населения соответствующего возраста до 56,9% к 2024 году;</w:t>
      </w:r>
    </w:p>
    <w:p>
      <w:pPr>
        <w:pStyle w:val="0"/>
        <w:spacing w:before="200" w:line-rule="auto"/>
        <w:ind w:firstLine="540"/>
        <w:jc w:val="both"/>
      </w:pPr>
      <w:r>
        <w:rPr>
          <w:sz w:val="20"/>
        </w:rPr>
        <w:t xml:space="preserve">- увеличение охвата граждан старше трудоспособного возраста профилактическими осмотрами, включая диспансеризацию, до 70% к 2024 году;</w:t>
      </w:r>
    </w:p>
    <w:p>
      <w:pPr>
        <w:pStyle w:val="0"/>
        <w:spacing w:before="200" w:line-rule="auto"/>
        <w:ind w:firstLine="540"/>
        <w:jc w:val="both"/>
      </w:pPr>
      <w:r>
        <w:rPr>
          <w:sz w:val="20"/>
        </w:rPr>
        <w:t xml:space="preserve">- увеличение доли лиц старше трудоспособного возраста, у которых выявлены заболевания и патологические состояния, находящихся под диспансерным наблюдением, до 90% к 2024 году;</w:t>
      </w:r>
    </w:p>
    <w:p>
      <w:pPr>
        <w:pStyle w:val="0"/>
        <w:spacing w:before="200" w:line-rule="auto"/>
        <w:ind w:firstLine="540"/>
        <w:jc w:val="both"/>
      </w:pPr>
      <w:r>
        <w:rPr>
          <w:sz w:val="20"/>
        </w:rPr>
        <w:t xml:space="preserve">- число лиц (пациентов), дополнительно эвакуированных с использованием санитарной авиации (ежегодно, человек), - 0% к 2024 году;</w:t>
      </w:r>
    </w:p>
    <w:p>
      <w:pPr>
        <w:pStyle w:val="0"/>
        <w:spacing w:before="200" w:line-rule="auto"/>
        <w:ind w:firstLine="540"/>
        <w:jc w:val="both"/>
      </w:pPr>
      <w:r>
        <w:rPr>
          <w:sz w:val="20"/>
        </w:rPr>
        <w:t xml:space="preserve">- увеличение доли граждан из числа прошедших профилактический медицинский осмотр и (или) диспансеризацию, получивших возможность доступа к данным о прохождении профилактического медицинского осмотра и (или) диспансеризации в Личном кабинете пациента "Мое здоровье" на Едином портале государственных услуг и функций в отчетном году, до 100% к 2024 году;</w:t>
      </w:r>
    </w:p>
    <w:p>
      <w:pPr>
        <w:pStyle w:val="0"/>
        <w:spacing w:before="200" w:line-rule="auto"/>
        <w:ind w:firstLine="540"/>
        <w:jc w:val="both"/>
      </w:pPr>
      <w:r>
        <w:rPr>
          <w:sz w:val="20"/>
        </w:rPr>
        <w:t xml:space="preserve">- увеличение доли населенных пунктов с числом жителей до 2000 человек, населению которых доступна первичная медико-санитарная помощь по месту их проживания, до 100% к 2024 году;</w:t>
      </w:r>
    </w:p>
    <w:p>
      <w:pPr>
        <w:pStyle w:val="0"/>
        <w:spacing w:before="200" w:line-rule="auto"/>
        <w:ind w:firstLine="540"/>
        <w:jc w:val="both"/>
      </w:pPr>
      <w:r>
        <w:rPr>
          <w:sz w:val="20"/>
        </w:rPr>
        <w:t xml:space="preserve">- количество посещений при выездах мобильных медицинских бригад, оснащенных мобильными медицинскими комплексами, тыс. посещений на одну мобильную медицинскую бригаду, - 0% к 2024 году;</w:t>
      </w:r>
    </w:p>
    <w:p>
      <w:pPr>
        <w:pStyle w:val="0"/>
        <w:spacing w:before="200" w:line-rule="auto"/>
        <w:ind w:firstLine="540"/>
        <w:jc w:val="both"/>
      </w:pPr>
      <w:r>
        <w:rPr>
          <w:sz w:val="20"/>
        </w:rPr>
        <w:t xml:space="preserve">- доля лиц, госпитализированных по экстренным показаниям в течение первых суток, от общего числа больных, к которым совершены вылеты, - 0% к 2024 году;</w:t>
      </w:r>
    </w:p>
    <w:p>
      <w:pPr>
        <w:pStyle w:val="0"/>
        <w:spacing w:before="200" w:line-rule="auto"/>
        <w:ind w:firstLine="540"/>
        <w:jc w:val="both"/>
      </w:pPr>
      <w:r>
        <w:rPr>
          <w:sz w:val="20"/>
        </w:rPr>
        <w:t xml:space="preserve">- число посещений сельскими жителями ФП, ФАПов и ВА, в расчете на одного сельского жителя, - 0% к 2024 году;</w:t>
      </w:r>
    </w:p>
    <w:p>
      <w:pPr>
        <w:pStyle w:val="0"/>
        <w:spacing w:before="200" w:line-rule="auto"/>
        <w:ind w:firstLine="540"/>
        <w:jc w:val="both"/>
      </w:pPr>
      <w:r>
        <w:rPr>
          <w:sz w:val="20"/>
        </w:rPr>
        <w:t xml:space="preserve">- увеличение доли граждан, ежегодно проходящих медицинский осмотр и (или) диспансеризацию, от общего числа населения до 70% к 2024 году;</w:t>
      </w:r>
    </w:p>
    <w:p>
      <w:pPr>
        <w:pStyle w:val="0"/>
        <w:spacing w:before="200" w:line-rule="auto"/>
        <w:ind w:firstLine="540"/>
        <w:jc w:val="both"/>
      </w:pPr>
      <w:r>
        <w:rPr>
          <w:sz w:val="20"/>
        </w:rPr>
        <w:t xml:space="preserve">- увеличение доли поликлиник и поликлинических подразделений, участвующих в тиражировании "новой модели организации оказания медицинской помощи", от общего количества до 100% к 2024 году;</w:t>
      </w:r>
    </w:p>
    <w:p>
      <w:pPr>
        <w:pStyle w:val="0"/>
        <w:spacing w:before="200" w:line-rule="auto"/>
        <w:ind w:firstLine="540"/>
        <w:jc w:val="both"/>
      </w:pPr>
      <w:r>
        <w:rPr>
          <w:sz w:val="20"/>
        </w:rPr>
        <w:t xml:space="preserve">- увеличение числа выполненных посещений гражданами поликлиник и поликлинических подразделений, участвующих в создании и тиражировании "новой модели организации оказания медицинской помощи", до 1941,9 тысяч посещений к 2024 году;</w:t>
      </w:r>
    </w:p>
    <w:p>
      <w:pPr>
        <w:pStyle w:val="0"/>
        <w:spacing w:before="200" w:line-rule="auto"/>
        <w:ind w:firstLine="540"/>
        <w:jc w:val="both"/>
      </w:pPr>
      <w:r>
        <w:rPr>
          <w:sz w:val="20"/>
        </w:rPr>
        <w:t xml:space="preserve">- увеличение доли обоснованных жалоб пациентов, застрахованных в системе обязательного медицинского страхования, на оказание медицинской помощи в системе обязательного медицинского страхования, урегулированных в досудебном порядке (от общего числа обоснованных жалоб пациентов), не менее чем до 98,5% к 2024 году;</w:t>
      </w:r>
    </w:p>
    <w:p>
      <w:pPr>
        <w:pStyle w:val="0"/>
        <w:spacing w:before="200" w:line-rule="auto"/>
        <w:ind w:firstLine="540"/>
        <w:jc w:val="both"/>
      </w:pPr>
      <w:r>
        <w:rPr>
          <w:sz w:val="20"/>
        </w:rPr>
        <w:t xml:space="preserve">- увеличение доли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общего количества пациентов с болезнями системы кровообращения, состоящих под диспансерным наблюдением, до 80% к 2024 году;</w:t>
      </w:r>
    </w:p>
    <w:p>
      <w:pPr>
        <w:pStyle w:val="0"/>
        <w:spacing w:before="200" w:line-rule="auto"/>
        <w:ind w:firstLine="540"/>
        <w:jc w:val="both"/>
      </w:pPr>
      <w:r>
        <w:rPr>
          <w:sz w:val="20"/>
        </w:rPr>
        <w:t xml:space="preserve">- снижение летальности больных с болезнями системы кровообращения среди лиц с болезнями системы кровообращения, состоящих под диспансерным наблюдением (умершие от БСК/число лиц с БСК, состоящих под диспансерным наблюдением), до 0,66% к 2024 году;</w:t>
      </w:r>
    </w:p>
    <w:p>
      <w:pPr>
        <w:pStyle w:val="0"/>
        <w:spacing w:before="200" w:line-rule="auto"/>
        <w:ind w:firstLine="540"/>
        <w:jc w:val="both"/>
      </w:pPr>
      <w:r>
        <w:rPr>
          <w:sz w:val="20"/>
        </w:rPr>
        <w:t xml:space="preserve">- снижение больничной летальности от инфаркта миокарда до 10,3% к 2024 году;</w:t>
      </w:r>
    </w:p>
    <w:p>
      <w:pPr>
        <w:pStyle w:val="0"/>
        <w:spacing w:before="200" w:line-rule="auto"/>
        <w:ind w:firstLine="540"/>
        <w:jc w:val="both"/>
      </w:pPr>
      <w:r>
        <w:rPr>
          <w:sz w:val="20"/>
        </w:rPr>
        <w:t xml:space="preserve">- снижение больничной летальности от острого нарушения мозгового кровообращения до 14,6% к 2024 году;</w:t>
      </w:r>
    </w:p>
    <w:p>
      <w:pPr>
        <w:pStyle w:val="0"/>
        <w:spacing w:before="200" w:line-rule="auto"/>
        <w:ind w:firstLine="540"/>
        <w:jc w:val="both"/>
      </w:pPr>
      <w:r>
        <w:rPr>
          <w:sz w:val="20"/>
        </w:rPr>
        <w:t xml:space="preserve">- увеличение количества рентген-эндоваскулярных вмешательств в лечебных целях до 0,813% к 2024 году;</w:t>
      </w:r>
    </w:p>
    <w:p>
      <w:pPr>
        <w:pStyle w:val="0"/>
        <w:spacing w:before="200" w:line-rule="auto"/>
        <w:ind w:firstLine="540"/>
        <w:jc w:val="both"/>
      </w:pPr>
      <w:r>
        <w:rPr>
          <w:sz w:val="20"/>
        </w:rPr>
        <w:t xml:space="preserve">- увеличение доли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до 90% к 2024 году;</w:t>
      </w:r>
    </w:p>
    <w:p>
      <w:pPr>
        <w:pStyle w:val="0"/>
        <w:spacing w:before="200" w:line-rule="auto"/>
        <w:ind w:firstLine="540"/>
        <w:jc w:val="both"/>
      </w:pPr>
      <w:r>
        <w:rPr>
          <w:sz w:val="20"/>
        </w:rPr>
        <w:t xml:space="preserve">- увеличение удельного веса больных со злокачественными новообразованиями, состоящих на учете пять лет и более, от общего числа больных со злокачественными образованиями, состоящих под диспансерным наблюдением, до 60% к 2024 году;</w:t>
      </w:r>
    </w:p>
    <w:p>
      <w:pPr>
        <w:pStyle w:val="0"/>
        <w:spacing w:before="200" w:line-rule="auto"/>
        <w:ind w:firstLine="540"/>
        <w:jc w:val="both"/>
      </w:pPr>
      <w:r>
        <w:rPr>
          <w:sz w:val="20"/>
        </w:rPr>
        <w:t xml:space="preserve">- увеличение доли злокачественных новообразований, выявленных на I и II стадиях, до 61,5% к 2024 году;</w:t>
      </w:r>
    </w:p>
    <w:p>
      <w:pPr>
        <w:pStyle w:val="0"/>
        <w:spacing w:before="200" w:line-rule="auto"/>
        <w:ind w:firstLine="540"/>
        <w:jc w:val="both"/>
      </w:pPr>
      <w:r>
        <w:rPr>
          <w:sz w:val="20"/>
        </w:rPr>
        <w:t xml:space="preserve">- увеличение доли лиц с онкологическими заболеваниями, прошедших обследование и/или лечение в текущем году, из числа состоящих под диспансерным наблюдением, до 80% к 2024 году;</w:t>
      </w:r>
    </w:p>
    <w:p>
      <w:pPr>
        <w:pStyle w:val="0"/>
        <w:spacing w:before="200" w:line-rule="auto"/>
        <w:ind w:firstLine="540"/>
        <w:jc w:val="both"/>
      </w:pPr>
      <w:r>
        <w:rPr>
          <w:sz w:val="20"/>
        </w:rPr>
        <w:t xml:space="preserve">- снижение одногодичной летальности больных со злокачественными новообразованиями (умерли в течение первого года с момента установления диагноза из числа больных, впервые взятых под диспансерное наблюдение в предыдущем году) до 19,1% к 2024 году;</w:t>
      </w:r>
    </w:p>
    <w:p>
      <w:pPr>
        <w:pStyle w:val="0"/>
        <w:spacing w:before="200" w:line-rule="auto"/>
        <w:ind w:firstLine="540"/>
        <w:jc w:val="both"/>
      </w:pPr>
      <w:r>
        <w:rPr>
          <w:sz w:val="20"/>
        </w:rPr>
        <w:t xml:space="preserve">- увеличение числа граждан, воспользовавшихся услугами (сервисами) в Личном кабинете пациента "Мое здоровье" на Едином портале государственных услуг и функций, до 210% к 2024 году;</w:t>
      </w:r>
    </w:p>
    <w:p>
      <w:pPr>
        <w:pStyle w:val="0"/>
        <w:spacing w:before="200" w:line-rule="auto"/>
        <w:ind w:firstLine="540"/>
        <w:jc w:val="both"/>
      </w:pPr>
      <w:r>
        <w:rPr>
          <w:sz w:val="20"/>
        </w:rPr>
        <w:t xml:space="preserve">- увеличение доли медицинских организаций государственной и муниципальной систем здравоохранения, подключенных к централизованным подсистемам государственных информационных систем в сфере здравоохранения субъектов Российской Федерации, до 100% к 2024 году;</w:t>
      </w:r>
    </w:p>
    <w:p>
      <w:pPr>
        <w:pStyle w:val="0"/>
        <w:spacing w:before="200" w:line-rule="auto"/>
        <w:ind w:firstLine="540"/>
        <w:jc w:val="both"/>
      </w:pPr>
      <w:r>
        <w:rPr>
          <w:sz w:val="20"/>
        </w:rPr>
        <w:t xml:space="preserve">- увеличение доли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 до 100% к 2024 году;</w:t>
      </w:r>
    </w:p>
    <w:p>
      <w:pPr>
        <w:pStyle w:val="0"/>
        <w:spacing w:before="200" w:line-rule="auto"/>
        <w:ind w:firstLine="540"/>
        <w:jc w:val="both"/>
      </w:pPr>
      <w:r>
        <w:rPr>
          <w:sz w:val="20"/>
        </w:rPr>
        <w:t xml:space="preserve">- увеличение доли записей на прием к врачу, совершенных гражданами дистанционно, до 63% к 2024 году;</w:t>
      </w:r>
    </w:p>
    <w:p>
      <w:pPr>
        <w:pStyle w:val="0"/>
        <w:spacing w:before="200" w:line-rule="auto"/>
        <w:ind w:firstLine="540"/>
        <w:jc w:val="both"/>
      </w:pPr>
      <w:r>
        <w:rPr>
          <w:sz w:val="20"/>
        </w:rPr>
        <w:t xml:space="preserve">- увеличение доли случаев оказания медицинской помощи, по которым представлены электронные медицинские документы в подсистеме ЕГИСЗ за период, до 100% к 2024 году;</w:t>
      </w:r>
    </w:p>
    <w:p>
      <w:pPr>
        <w:pStyle w:val="0"/>
        <w:spacing w:before="200" w:line-rule="auto"/>
        <w:ind w:firstLine="540"/>
        <w:jc w:val="both"/>
      </w:pPr>
      <w:r>
        <w:rPr>
          <w:sz w:val="20"/>
        </w:rPr>
        <w:t xml:space="preserve">- увеличение доли граждан, являющихся пользователями ЕПГУ, которым доступны электронные медицинские документы в Личном кабинете пациента "Мое здоровье" по факту оказания медицинской помощи за период, до 82% к 2024 году;</w:t>
      </w:r>
    </w:p>
    <w:p>
      <w:pPr>
        <w:pStyle w:val="0"/>
        <w:spacing w:before="200" w:line-rule="auto"/>
        <w:ind w:firstLine="540"/>
        <w:jc w:val="both"/>
      </w:pPr>
      <w:r>
        <w:rPr>
          <w:sz w:val="20"/>
        </w:rPr>
        <w:t xml:space="preserve">- увеличение обеспеченности населения врачами, работающими в государственных и муниципальных медицинских организациях, чел. на 10 тыс. населения, до 34,6% к 2024 году;</w:t>
      </w:r>
    </w:p>
    <w:p>
      <w:pPr>
        <w:pStyle w:val="0"/>
        <w:spacing w:before="200" w:line-rule="auto"/>
        <w:ind w:firstLine="540"/>
        <w:jc w:val="both"/>
      </w:pPr>
      <w:r>
        <w:rPr>
          <w:sz w:val="20"/>
        </w:rPr>
        <w:t xml:space="preserve">- увеличение обеспеченности населения средними медицинскими работниками, работающими в государственных и муниципальных медицинских организациях, чел. на 10 тыс. населения, до 74,9% к 2024 году;</w:t>
      </w:r>
    </w:p>
    <w:p>
      <w:pPr>
        <w:pStyle w:val="0"/>
        <w:spacing w:before="200" w:line-rule="auto"/>
        <w:ind w:firstLine="540"/>
        <w:jc w:val="both"/>
      </w:pPr>
      <w:r>
        <w:rPr>
          <w:sz w:val="20"/>
        </w:rPr>
        <w:t xml:space="preserve">- увеличение числа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тыс. человек нарастающим итогом, до 5 тыс. чел. к 2024 году;</w:t>
      </w:r>
    </w:p>
    <w:p>
      <w:pPr>
        <w:pStyle w:val="0"/>
        <w:spacing w:before="200" w:line-rule="auto"/>
        <w:ind w:firstLine="540"/>
        <w:jc w:val="both"/>
      </w:pPr>
      <w:r>
        <w:rPr>
          <w:sz w:val="20"/>
        </w:rPr>
        <w:t xml:space="preserve">- увеличение обеспеченности населения врачами, оказывающими первичную медико-санитарную помощь, чел. на 10 тыс. населения, до 17,7% к 2024 году;</w:t>
      </w:r>
    </w:p>
    <w:p>
      <w:pPr>
        <w:pStyle w:val="0"/>
        <w:spacing w:before="200" w:line-rule="auto"/>
        <w:ind w:firstLine="540"/>
        <w:jc w:val="both"/>
      </w:pPr>
      <w:r>
        <w:rPr>
          <w:sz w:val="20"/>
        </w:rPr>
        <w:t xml:space="preserve">- увеличение обеспеченности медицинскими работниками, оказывающими скорую медицинскую помощь, чел. на 10 тыс. населения, до 7,3% к 2024 году;</w:t>
      </w:r>
    </w:p>
    <w:p>
      <w:pPr>
        <w:pStyle w:val="0"/>
        <w:spacing w:before="200" w:line-rule="auto"/>
        <w:ind w:firstLine="540"/>
        <w:jc w:val="both"/>
      </w:pPr>
      <w:r>
        <w:rPr>
          <w:sz w:val="20"/>
        </w:rPr>
        <w:t xml:space="preserve">- увеличение обеспеченности населения врачами, оказывающими специализированную медицинскую помощь, чел. на 10 тыс. населения, до 17,7% к 2024 году;</w:t>
      </w:r>
    </w:p>
    <w:p>
      <w:pPr>
        <w:pStyle w:val="0"/>
        <w:spacing w:before="200" w:line-rule="auto"/>
        <w:ind w:firstLine="540"/>
        <w:jc w:val="both"/>
      </w:pPr>
      <w:r>
        <w:rPr>
          <w:sz w:val="20"/>
        </w:rPr>
        <w:t xml:space="preserve">- увеличение укомплектованности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 нарастающим итогом: врачами до 98,6% к 2024 году;</w:t>
      </w:r>
    </w:p>
    <w:p>
      <w:pPr>
        <w:pStyle w:val="0"/>
        <w:spacing w:before="200" w:line-rule="auto"/>
        <w:ind w:firstLine="540"/>
        <w:jc w:val="both"/>
      </w:pPr>
      <w:r>
        <w:rPr>
          <w:sz w:val="20"/>
        </w:rPr>
        <w:t xml:space="preserve">- увеличение укомплектованности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 нарастающим итогом: средними медицинскими работниками до 96% к 2024 году;</w:t>
      </w:r>
    </w:p>
    <w:p>
      <w:pPr>
        <w:pStyle w:val="0"/>
        <w:spacing w:before="200" w:line-rule="auto"/>
        <w:ind w:firstLine="540"/>
        <w:jc w:val="both"/>
      </w:pPr>
      <w:r>
        <w:rPr>
          <w:sz w:val="20"/>
        </w:rPr>
        <w:t xml:space="preserve">- увеличение укомплектованности фельдшерских пунктов, фельдшерско-акушерских пунктов, врачебных амбулаторий медицинскими работниками до 63,6% к 2024 году;</w:t>
      </w:r>
    </w:p>
    <w:p>
      <w:pPr>
        <w:pStyle w:val="0"/>
        <w:spacing w:before="200" w:line-rule="auto"/>
        <w:ind w:firstLine="540"/>
        <w:jc w:val="both"/>
      </w:pPr>
      <w:r>
        <w:rPr>
          <w:sz w:val="20"/>
        </w:rPr>
        <w:t xml:space="preserve">- увеличение доли специалистов, допущенных к профессиональной деятельности через процедуру аккредитации, от общего количества работающих специалистов, до 43% к 2022 году;</w:t>
      </w:r>
    </w:p>
    <w:p>
      <w:pPr>
        <w:pStyle w:val="0"/>
        <w:spacing w:before="200" w:line-rule="auto"/>
        <w:ind w:firstLine="540"/>
        <w:jc w:val="both"/>
      </w:pPr>
      <w:r>
        <w:rPr>
          <w:sz w:val="20"/>
        </w:rPr>
        <w:t xml:space="preserve">- уменьшение доли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 до 32% к 2022 году;</w:t>
      </w:r>
    </w:p>
    <w:p>
      <w:pPr>
        <w:pStyle w:val="0"/>
        <w:spacing w:before="200" w:line-rule="auto"/>
        <w:ind w:firstLine="540"/>
        <w:jc w:val="both"/>
      </w:pPr>
      <w:r>
        <w:rPr>
          <w:sz w:val="20"/>
        </w:rPr>
        <w:t xml:space="preserve">- сохранение доли охвата населения г. Севастополя первичной медико-санитарной помощью в 100% к 2022 году;</w:t>
      </w:r>
    </w:p>
    <w:p>
      <w:pPr>
        <w:pStyle w:val="0"/>
        <w:spacing w:before="200" w:line-rule="auto"/>
        <w:ind w:firstLine="540"/>
        <w:jc w:val="both"/>
      </w:pPr>
      <w:r>
        <w:rPr>
          <w:sz w:val="20"/>
        </w:rPr>
        <w:t xml:space="preserve">- увеличение оценки общественного мнения по удовлетворенности населения медицинской помощью, процент, до 63% к 2024 году;</w:t>
      </w:r>
    </w:p>
    <w:p>
      <w:pPr>
        <w:pStyle w:val="0"/>
        <w:spacing w:before="200" w:line-rule="auto"/>
        <w:ind w:firstLine="540"/>
        <w:jc w:val="both"/>
      </w:pPr>
      <w:r>
        <w:rPr>
          <w:sz w:val="20"/>
        </w:rPr>
        <w:t xml:space="preserve">- увеличение числа посещений медицинскими работниками пациентов на дому до 160856 к 2022 году;</w:t>
      </w:r>
    </w:p>
    <w:p>
      <w:pPr>
        <w:pStyle w:val="0"/>
        <w:spacing w:before="200" w:line-rule="auto"/>
        <w:ind w:firstLine="540"/>
        <w:jc w:val="both"/>
      </w:pPr>
      <w:r>
        <w:rPr>
          <w:sz w:val="20"/>
        </w:rPr>
        <w:t xml:space="preserve">- повышение комфортности получения медицинских услуг до 60% к 2022 году;</w:t>
      </w:r>
    </w:p>
    <w:p>
      <w:pPr>
        <w:pStyle w:val="0"/>
        <w:spacing w:before="200" w:line-rule="auto"/>
        <w:ind w:firstLine="540"/>
        <w:jc w:val="both"/>
      </w:pPr>
      <w:r>
        <w:rPr>
          <w:sz w:val="20"/>
        </w:rPr>
        <w:t xml:space="preserve">- снижение доли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 до 9,8% к 2024 году;</w:t>
      </w:r>
    </w:p>
    <w:p>
      <w:pPr>
        <w:pStyle w:val="0"/>
        <w:spacing w:before="200" w:line-rule="auto"/>
        <w:ind w:firstLine="540"/>
        <w:jc w:val="both"/>
      </w:pPr>
      <w:r>
        <w:rPr>
          <w:sz w:val="20"/>
        </w:rPr>
        <w:t xml:space="preserve">- снижение дефицита врачей и среднего медицинского персонала в первичном звене здравоохранения города Севастополя до 400 человек к 2022 году;</w:t>
      </w:r>
    </w:p>
    <w:p>
      <w:pPr>
        <w:pStyle w:val="0"/>
        <w:spacing w:before="200" w:line-rule="auto"/>
        <w:ind w:firstLine="540"/>
        <w:jc w:val="both"/>
      </w:pPr>
      <w:r>
        <w:rPr>
          <w:sz w:val="20"/>
        </w:rPr>
        <w:t xml:space="preserve">- увеличение численности врачей государственных медицинских организаций, оказывающих медицинскую помощь в амбулаторных условиях, до 789 человек к 2022 году;</w:t>
      </w:r>
    </w:p>
    <w:p>
      <w:pPr>
        <w:pStyle w:val="0"/>
        <w:spacing w:before="200" w:line-rule="auto"/>
        <w:ind w:firstLine="540"/>
        <w:jc w:val="both"/>
      </w:pPr>
      <w:r>
        <w:rPr>
          <w:sz w:val="20"/>
        </w:rPr>
        <w:t xml:space="preserve">- увеличение численности среднего медицинского персонала государственных медицинских организаций, оказывающего медицинскую помощь в амбулаторных условиях, до 1040 человек к 2022 году;</w:t>
      </w:r>
    </w:p>
    <w:p>
      <w:pPr>
        <w:pStyle w:val="0"/>
        <w:spacing w:before="200" w:line-rule="auto"/>
        <w:ind w:firstLine="540"/>
        <w:jc w:val="both"/>
      </w:pPr>
      <w:r>
        <w:rPr>
          <w:sz w:val="20"/>
        </w:rPr>
        <w:t xml:space="preserve">- увеличение эффективности трудоустройства выпускников, завершивших обучение в рамках целевой подготовки по специальностям специалитета "Педиатрия" и "Лечебное дело", до 10 человек к 2022 году;</w:t>
      </w:r>
    </w:p>
    <w:p>
      <w:pPr>
        <w:pStyle w:val="0"/>
        <w:spacing w:before="200" w:line-rule="auto"/>
        <w:ind w:firstLine="540"/>
        <w:jc w:val="both"/>
      </w:pPr>
      <w:r>
        <w:rPr>
          <w:sz w:val="20"/>
        </w:rPr>
        <w:t xml:space="preserve">- увеличение эффективности трудоустройства выпускников, завершивших обучение в рамках целевой подготовки по специальностям ординатуры, до 85,2% к 2022 году;</w:t>
      </w:r>
    </w:p>
    <w:p>
      <w:pPr>
        <w:pStyle w:val="0"/>
        <w:spacing w:before="200" w:line-rule="auto"/>
        <w:ind w:firstLine="540"/>
        <w:jc w:val="both"/>
      </w:pPr>
      <w:r>
        <w:rPr>
          <w:sz w:val="20"/>
        </w:rPr>
        <w:t xml:space="preserve">- сохранение эффективности трудоустройства выпускников образовательных организаций среднего профессионального образования в государственные медицинские организации, на базе которых оказывается первичная медико-санитарная помощь, на уровне 0% к 2022 году;</w:t>
      </w:r>
    </w:p>
    <w:p>
      <w:pPr>
        <w:pStyle w:val="0"/>
        <w:spacing w:before="200" w:line-rule="auto"/>
        <w:ind w:firstLine="540"/>
        <w:jc w:val="both"/>
      </w:pPr>
      <w:r>
        <w:rPr>
          <w:sz w:val="20"/>
        </w:rPr>
        <w:t xml:space="preserve">- увеличение оснащенности медицинских организаций, участвующих в региональной </w:t>
      </w:r>
      <w:hyperlink w:history="0" w:anchor="P30585" w:tooltip="Региональная программа &quot;Модернизация первичного звена">
        <w:r>
          <w:rPr>
            <w:sz w:val="20"/>
            <w:color w:val="0000ff"/>
          </w:rPr>
          <w:t xml:space="preserve">программе</w:t>
        </w:r>
      </w:hyperlink>
      <w:r>
        <w:rPr>
          <w:sz w:val="20"/>
        </w:rPr>
        <w:t xml:space="preserve"> "Модернизация первичного звена здравоохранения города Севастополя", цифровыми медицинскими изделиями и сервисами дистанционного мониторинга состояния здоровья пациентов, до 40% к 2022 году;</w:t>
      </w:r>
    </w:p>
    <w:p>
      <w:pPr>
        <w:pStyle w:val="0"/>
        <w:spacing w:before="200" w:line-rule="auto"/>
        <w:ind w:firstLine="540"/>
        <w:jc w:val="both"/>
      </w:pPr>
      <w:r>
        <w:rPr>
          <w:sz w:val="20"/>
        </w:rPr>
        <w:t xml:space="preserve">- снижение доли зданий медицинских организаций, оказывающих первичную медико-санитарную помощь, находящихся в аварийном состоянии, требующих сноса, реконструкции и капитального ремонта, до 25,7% к 2024 году;</w:t>
      </w:r>
    </w:p>
    <w:p>
      <w:pPr>
        <w:pStyle w:val="0"/>
        <w:spacing w:before="200" w:line-rule="auto"/>
        <w:ind w:firstLine="540"/>
        <w:jc w:val="both"/>
      </w:pPr>
      <w:r>
        <w:rPr>
          <w:sz w:val="20"/>
        </w:rPr>
        <w:t xml:space="preserve">- увеличение числа посещений сельскими жителями медицинских организаций на одного сельского жителя в год до 6,7% к 2024 году.</w:t>
      </w:r>
    </w:p>
    <w:p>
      <w:pPr>
        <w:pStyle w:val="0"/>
        <w:spacing w:before="200" w:line-rule="auto"/>
        <w:ind w:firstLine="540"/>
        <w:jc w:val="both"/>
      </w:pPr>
      <w:hyperlink w:history="0" w:anchor="P2921" w:tooltip="Сведения о показателях (индикаторах) государственной">
        <w:r>
          <w:rPr>
            <w:sz w:val="20"/>
            <w:color w:val="0000ff"/>
          </w:rPr>
          <w:t xml:space="preserve">Сведения</w:t>
        </w:r>
      </w:hyperlink>
      <w:r>
        <w:rPr>
          <w:sz w:val="20"/>
        </w:rPr>
        <w:t xml:space="preserve"> о целевых показателях (индикаторах) подпрограммы 8 представлены в приложении N 1 к Программе.</w:t>
      </w:r>
    </w:p>
    <w:p>
      <w:pPr>
        <w:pStyle w:val="0"/>
        <w:ind w:firstLine="540"/>
        <w:jc w:val="both"/>
      </w:pPr>
      <w:r>
        <w:rPr>
          <w:sz w:val="20"/>
        </w:rPr>
      </w:r>
    </w:p>
    <w:p>
      <w:pPr>
        <w:pStyle w:val="2"/>
        <w:outlineLvl w:val="2"/>
        <w:jc w:val="center"/>
      </w:pPr>
      <w:r>
        <w:rPr>
          <w:sz w:val="20"/>
        </w:rPr>
        <w:t xml:space="preserve">I. Наименование федеральных проектов и сроки реализации</w:t>
      </w:r>
    </w:p>
    <w:p>
      <w:pPr>
        <w:pStyle w:val="2"/>
        <w:jc w:val="center"/>
      </w:pPr>
      <w:r>
        <w:rPr>
          <w:sz w:val="20"/>
        </w:rPr>
        <w:t xml:space="preserve">региональных составляющих федеральных проектов</w:t>
      </w:r>
    </w:p>
    <w:p>
      <w:pPr>
        <w:pStyle w:val="2"/>
        <w:jc w:val="center"/>
      </w:pPr>
      <w:r>
        <w:rPr>
          <w:sz w:val="20"/>
        </w:rPr>
        <w:t xml:space="preserve">подпрограммы 8</w:t>
      </w:r>
    </w:p>
    <w:p>
      <w:pPr>
        <w:pStyle w:val="0"/>
        <w:jc w:val="center"/>
      </w:pPr>
      <w:r>
        <w:rPr>
          <w:sz w:val="20"/>
        </w:rPr>
      </w:r>
    </w:p>
    <w:p>
      <w:pPr>
        <w:pStyle w:val="0"/>
        <w:ind w:firstLine="540"/>
        <w:jc w:val="both"/>
      </w:pPr>
      <w:r>
        <w:rPr>
          <w:sz w:val="20"/>
        </w:rPr>
        <w:t xml:space="preserve">Региональный проект "Развитие системы оказания первичной медико-санитарной помощи", срок реализации - до 2024 года;</w:t>
      </w:r>
    </w:p>
    <w:p>
      <w:pPr>
        <w:pStyle w:val="0"/>
        <w:spacing w:before="200" w:line-rule="auto"/>
        <w:ind w:firstLine="540"/>
        <w:jc w:val="both"/>
      </w:pPr>
      <w:r>
        <w:rPr>
          <w:sz w:val="20"/>
        </w:rPr>
        <w:t xml:space="preserve">региональный проект "Борьба с сердечно-сосудистыми заболеваниями", срок реализации - до 2024 года;</w:t>
      </w:r>
    </w:p>
    <w:p>
      <w:pPr>
        <w:pStyle w:val="0"/>
        <w:spacing w:before="200" w:line-rule="auto"/>
        <w:ind w:firstLine="540"/>
        <w:jc w:val="both"/>
      </w:pPr>
      <w:r>
        <w:rPr>
          <w:sz w:val="20"/>
        </w:rPr>
        <w:t xml:space="preserve">региональный проект "Борьба с онкологическими заболеваниями", срок реализации - до 2024 года;</w:t>
      </w:r>
    </w:p>
    <w:p>
      <w:pPr>
        <w:pStyle w:val="0"/>
        <w:spacing w:before="200" w:line-rule="auto"/>
        <w:ind w:firstLine="540"/>
        <w:jc w:val="both"/>
      </w:pPr>
      <w:r>
        <w:rPr>
          <w:sz w:val="20"/>
        </w:rPr>
        <w:t xml:space="preserve">региональный проект "Развитие детского здравоохранения, включая создание современной инфраструктуры оказания медицинской помощи", срок реализации - до 2024 года;</w:t>
      </w:r>
    </w:p>
    <w:p>
      <w:pPr>
        <w:pStyle w:val="0"/>
        <w:spacing w:before="200" w:line-rule="auto"/>
        <w:ind w:firstLine="540"/>
        <w:jc w:val="both"/>
      </w:pPr>
      <w:r>
        <w:rPr>
          <w:sz w:val="20"/>
        </w:rPr>
        <w:t xml:space="preserve">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 срок реализации - до 2024 года;</w:t>
      </w:r>
    </w:p>
    <w:p>
      <w:pPr>
        <w:pStyle w:val="0"/>
        <w:spacing w:before="200" w:line-rule="auto"/>
        <w:ind w:firstLine="540"/>
        <w:jc w:val="both"/>
      </w:pPr>
      <w:r>
        <w:rPr>
          <w:sz w:val="20"/>
        </w:rPr>
        <w:t xml:space="preserve">региональный проект "Разработка и реализация программы системной поддержки и повышения качества жизни граждан старшего поколения", срок реализации - до 2024 года;</w:t>
      </w:r>
    </w:p>
    <w:p>
      <w:pPr>
        <w:pStyle w:val="0"/>
        <w:spacing w:before="200" w:line-rule="auto"/>
        <w:ind w:firstLine="540"/>
        <w:jc w:val="both"/>
      </w:pPr>
      <w:r>
        <w:rPr>
          <w:sz w:val="20"/>
        </w:rPr>
        <w:t xml:space="preserve">региональный проект "Обеспечение медицинских организаций системы здравоохранения квалифицированными кадрами", срок реализации - до 2024 года;</w:t>
      </w:r>
    </w:p>
    <w:p>
      <w:pPr>
        <w:pStyle w:val="0"/>
        <w:spacing w:before="200" w:line-rule="auto"/>
        <w:ind w:firstLine="540"/>
        <w:jc w:val="both"/>
      </w:pPr>
      <w:r>
        <w:rPr>
          <w:sz w:val="20"/>
        </w:rPr>
        <w:t xml:space="preserve">региональный проект "Формирование системы мотивации граждан к здоровому образу жизни, включая отказ от вредных привычек", срок реализации - до 2024 года;</w:t>
      </w:r>
    </w:p>
    <w:p>
      <w:pPr>
        <w:pStyle w:val="0"/>
        <w:spacing w:before="200" w:line-rule="auto"/>
        <w:ind w:firstLine="540"/>
        <w:jc w:val="both"/>
      </w:pPr>
      <w:r>
        <w:rPr>
          <w:sz w:val="20"/>
        </w:rPr>
        <w:t xml:space="preserve">региональный проект "Модернизация первичного звена здравоохранения Российской Федерации (город федерального значения Севастополь)" - до 2024 года.</w:t>
      </w:r>
    </w:p>
    <w:p>
      <w:pPr>
        <w:pStyle w:val="0"/>
        <w:ind w:firstLine="540"/>
        <w:jc w:val="both"/>
      </w:pPr>
      <w:r>
        <w:rPr>
          <w:sz w:val="20"/>
        </w:rPr>
      </w:r>
    </w:p>
    <w:p>
      <w:pPr>
        <w:pStyle w:val="2"/>
        <w:outlineLvl w:val="2"/>
        <w:jc w:val="center"/>
      </w:pPr>
      <w:r>
        <w:rPr>
          <w:sz w:val="20"/>
        </w:rPr>
        <w:t xml:space="preserve">II. Приоритеты, цели, задачи и показатели (целевые</w:t>
      </w:r>
    </w:p>
    <w:p>
      <w:pPr>
        <w:pStyle w:val="2"/>
        <w:jc w:val="center"/>
      </w:pPr>
      <w:r>
        <w:rPr>
          <w:sz w:val="20"/>
        </w:rPr>
        <w:t xml:space="preserve">индикаторы), результаты, этапы и сроки реализации</w:t>
      </w:r>
    </w:p>
    <w:p>
      <w:pPr>
        <w:pStyle w:val="2"/>
        <w:jc w:val="center"/>
      </w:pPr>
      <w:r>
        <w:rPr>
          <w:sz w:val="20"/>
        </w:rPr>
        <w:t xml:space="preserve">подпрограммы 8</w:t>
      </w:r>
    </w:p>
    <w:p>
      <w:pPr>
        <w:pStyle w:val="0"/>
        <w:jc w:val="center"/>
      </w:pPr>
      <w:r>
        <w:rPr>
          <w:sz w:val="20"/>
        </w:rPr>
      </w:r>
    </w:p>
    <w:p>
      <w:pPr>
        <w:pStyle w:val="0"/>
        <w:ind w:firstLine="540"/>
        <w:jc w:val="both"/>
      </w:pPr>
      <w:r>
        <w:rPr>
          <w:sz w:val="20"/>
        </w:rPr>
        <w:t xml:space="preserve">Основные приоритеты в сфере реализации региональных проектов в рамках национальных проектов в сфере здравоохранения направлены на увеличение продолжительности жизни граждан, проживающих в городе Севастополе.</w:t>
      </w:r>
    </w:p>
    <w:p>
      <w:pPr>
        <w:pStyle w:val="0"/>
        <w:spacing w:before="200" w:line-rule="auto"/>
        <w:ind w:firstLine="540"/>
        <w:jc w:val="both"/>
      </w:pPr>
      <w:r>
        <w:rPr>
          <w:sz w:val="20"/>
        </w:rPr>
        <w:t xml:space="preserve">Целями реализации подпрограммы 8 являются:</w:t>
      </w:r>
    </w:p>
    <w:p>
      <w:pPr>
        <w:pStyle w:val="0"/>
        <w:spacing w:before="200" w:line-rule="auto"/>
        <w:ind w:firstLine="540"/>
        <w:jc w:val="both"/>
      </w:pPr>
      <w:r>
        <w:rPr>
          <w:sz w:val="20"/>
        </w:rPr>
        <w:t xml:space="preserve">- увеличение доступности для граждан поликлиник и поликлинических подразделений, внедривших стандарты "новой модели организации оказания медицинской помощи";</w:t>
      </w:r>
    </w:p>
    <w:p>
      <w:pPr>
        <w:pStyle w:val="0"/>
        <w:spacing w:before="200" w:line-rule="auto"/>
        <w:ind w:firstLine="540"/>
        <w:jc w:val="both"/>
      </w:pPr>
      <w:r>
        <w:rPr>
          <w:sz w:val="20"/>
        </w:rPr>
        <w:t xml:space="preserve">- предоставление гражданам возможности для оценки своего здоровья путем прохождения профилактического медицинского осмотра и (или) диспансеризации;</w:t>
      </w:r>
    </w:p>
    <w:p>
      <w:pPr>
        <w:pStyle w:val="0"/>
        <w:spacing w:before="200" w:line-rule="auto"/>
        <w:ind w:firstLine="540"/>
        <w:jc w:val="both"/>
      </w:pPr>
      <w:r>
        <w:rPr>
          <w:sz w:val="20"/>
        </w:rPr>
        <w:t xml:space="preserve">- развитие санитарной авиации;</w:t>
      </w:r>
    </w:p>
    <w:p>
      <w:pPr>
        <w:pStyle w:val="0"/>
        <w:spacing w:before="200" w:line-rule="auto"/>
        <w:ind w:firstLine="540"/>
        <w:jc w:val="both"/>
      </w:pPr>
      <w:r>
        <w:rPr>
          <w:sz w:val="20"/>
        </w:rPr>
        <w:t xml:space="preserve">- формирование системы защиты прав пациентов;</w:t>
      </w:r>
    </w:p>
    <w:p>
      <w:pPr>
        <w:pStyle w:val="0"/>
        <w:spacing w:before="200" w:line-rule="auto"/>
        <w:ind w:firstLine="540"/>
        <w:jc w:val="both"/>
      </w:pPr>
      <w:r>
        <w:rPr>
          <w:sz w:val="20"/>
        </w:rPr>
        <w:t xml:space="preserve">- обеспечение доступности диагностики, профилактики и лечения сердечно-сосудистых заболеваний;</w:t>
      </w:r>
    </w:p>
    <w:p>
      <w:pPr>
        <w:pStyle w:val="0"/>
        <w:spacing w:before="200" w:line-rule="auto"/>
        <w:ind w:firstLine="540"/>
        <w:jc w:val="both"/>
      </w:pPr>
      <w:r>
        <w:rPr>
          <w:sz w:val="20"/>
        </w:rPr>
        <w:t xml:space="preserve">- обеспечение доступности профилактики, диагностики и лечения онкологических заболеваний;</w:t>
      </w:r>
    </w:p>
    <w:p>
      <w:pPr>
        <w:pStyle w:val="0"/>
        <w:spacing w:before="200" w:line-rule="auto"/>
        <w:ind w:firstLine="540"/>
        <w:jc w:val="both"/>
      </w:pPr>
      <w:r>
        <w:rPr>
          <w:sz w:val="20"/>
        </w:rPr>
        <w:t xml:space="preserve">- обеспечение населения необходимым числом медицинских работников;</w:t>
      </w:r>
    </w:p>
    <w:p>
      <w:pPr>
        <w:pStyle w:val="0"/>
        <w:spacing w:before="200" w:line-rule="auto"/>
        <w:ind w:firstLine="540"/>
        <w:jc w:val="both"/>
      </w:pPr>
      <w:r>
        <w:rPr>
          <w:sz w:val="20"/>
        </w:rPr>
        <w:t xml:space="preserve">- ликвидация кадрового дефицита в медицинских организациях, оказывающих первичную медико-санитарную помощь;</w:t>
      </w:r>
    </w:p>
    <w:p>
      <w:pPr>
        <w:pStyle w:val="0"/>
        <w:spacing w:before="200" w:line-rule="auto"/>
        <w:ind w:firstLine="540"/>
        <w:jc w:val="both"/>
      </w:pPr>
      <w:r>
        <w:rPr>
          <w:sz w:val="20"/>
        </w:rPr>
        <w:t xml:space="preserve">- обеспечение доступности для детей детских поликлиник и детских поликлинических отделений с созданной современной инфраструктурой оказания медицинской помощи;</w:t>
      </w:r>
    </w:p>
    <w:p>
      <w:pPr>
        <w:pStyle w:val="0"/>
        <w:spacing w:before="200" w:line-rule="auto"/>
        <w:ind w:firstLine="540"/>
        <w:jc w:val="both"/>
      </w:pPr>
      <w:r>
        <w:rPr>
          <w:sz w:val="20"/>
        </w:rPr>
        <w:t xml:space="preserve">- повышение качества и доступности медицинской помощи детям и снижение детской смертности;</w:t>
      </w:r>
    </w:p>
    <w:p>
      <w:pPr>
        <w:pStyle w:val="0"/>
        <w:spacing w:before="200" w:line-rule="auto"/>
        <w:ind w:firstLine="540"/>
        <w:jc w:val="both"/>
      </w:pPr>
      <w:r>
        <w:rPr>
          <w:sz w:val="20"/>
        </w:rPr>
        <w:t xml:space="preserve">- обеспечение развития профилактического направления в педиатрии и ранее взятие на диспансерный учет детей с впервые выявленными хроническими заболеваниями;</w:t>
      </w:r>
    </w:p>
    <w:p>
      <w:pPr>
        <w:pStyle w:val="0"/>
        <w:spacing w:before="200" w:line-rule="auto"/>
        <w:ind w:firstLine="540"/>
        <w:jc w:val="both"/>
      </w:pPr>
      <w:r>
        <w:rPr>
          <w:sz w:val="20"/>
        </w:rPr>
        <w:t xml:space="preserve">- обеспечение доступности гражданам цифровых сервисов посредством внедрения электронного документооборота, в том числе телемедицинских технологий, электронной записи к врачу, электронных рецептов;</w:t>
      </w:r>
    </w:p>
    <w:p>
      <w:pPr>
        <w:pStyle w:val="0"/>
        <w:spacing w:before="200" w:line-rule="auto"/>
        <w:ind w:firstLine="540"/>
        <w:jc w:val="both"/>
      </w:pPr>
      <w:r>
        <w:rPr>
          <w:sz w:val="20"/>
        </w:rPr>
        <w:t xml:space="preserve">- повышение эффективности функционирования системы здравоохранения путем создания механизмов взаимодействия медицинских организаций на основе единой государственной системы здравоохранения (далее - ЕГИСЗ), внедрения цифровых технологий и платформенных решений, формирующих ЕГИСЗ;</w:t>
      </w:r>
    </w:p>
    <w:p>
      <w:pPr>
        <w:pStyle w:val="0"/>
        <w:spacing w:before="200" w:line-rule="auto"/>
        <w:ind w:firstLine="540"/>
        <w:jc w:val="both"/>
      </w:pPr>
      <w:r>
        <w:rPr>
          <w:sz w:val="20"/>
        </w:rPr>
        <w:t xml:space="preserve">- увеличение доли граждан, ведущих здоровый образ жизни;</w:t>
      </w:r>
    </w:p>
    <w:p>
      <w:pPr>
        <w:pStyle w:val="0"/>
        <w:spacing w:before="200" w:line-rule="auto"/>
        <w:ind w:firstLine="540"/>
        <w:jc w:val="both"/>
      </w:pPr>
      <w:r>
        <w:rPr>
          <w:sz w:val="20"/>
        </w:rPr>
        <w:t xml:space="preserve">- формирование системы мотивации граждан к здоровому образу жизни, включая здоровое питание и отказ от вредных привычек;</w:t>
      </w:r>
    </w:p>
    <w:p>
      <w:pPr>
        <w:pStyle w:val="0"/>
        <w:spacing w:before="200" w:line-rule="auto"/>
        <w:ind w:firstLine="540"/>
        <w:jc w:val="both"/>
      </w:pPr>
      <w:r>
        <w:rPr>
          <w:sz w:val="20"/>
        </w:rPr>
        <w:t xml:space="preserve">- повышение качества и доступности медицинской помощи для лиц старше трудоспособного возраста;</w:t>
      </w:r>
    </w:p>
    <w:p>
      <w:pPr>
        <w:pStyle w:val="0"/>
        <w:spacing w:before="200" w:line-rule="auto"/>
        <w:ind w:firstLine="540"/>
        <w:jc w:val="both"/>
      </w:pPr>
      <w:r>
        <w:rPr>
          <w:sz w:val="20"/>
        </w:rPr>
        <w:t xml:space="preserve">- снижение доли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w:t>
      </w:r>
    </w:p>
    <w:p>
      <w:pPr>
        <w:pStyle w:val="0"/>
        <w:spacing w:before="200" w:line-rule="auto"/>
        <w:ind w:firstLine="540"/>
        <w:jc w:val="both"/>
      </w:pPr>
      <w:r>
        <w:rPr>
          <w:sz w:val="20"/>
        </w:rPr>
        <w:t xml:space="preserve">- увеличение доли охвата населения г. Севастополя первичной медико-санитарной помощью;</w:t>
      </w:r>
    </w:p>
    <w:p>
      <w:pPr>
        <w:pStyle w:val="0"/>
        <w:spacing w:before="200" w:line-rule="auto"/>
        <w:ind w:firstLine="540"/>
        <w:jc w:val="both"/>
      </w:pPr>
      <w:r>
        <w:rPr>
          <w:sz w:val="20"/>
        </w:rPr>
        <w:t xml:space="preserve">- увеличение числа посещений сельскими жителями медицинских организаций;</w:t>
      </w:r>
    </w:p>
    <w:p>
      <w:pPr>
        <w:pStyle w:val="0"/>
        <w:spacing w:before="200" w:line-rule="auto"/>
        <w:ind w:firstLine="540"/>
        <w:jc w:val="both"/>
      </w:pPr>
      <w:r>
        <w:rPr>
          <w:sz w:val="20"/>
        </w:rPr>
        <w:t xml:space="preserve">- увеличение числа посещений медицинскими работниками пациентов на дому;</w:t>
      </w:r>
    </w:p>
    <w:p>
      <w:pPr>
        <w:pStyle w:val="0"/>
        <w:spacing w:before="200" w:line-rule="auto"/>
        <w:ind w:firstLine="540"/>
        <w:jc w:val="both"/>
      </w:pPr>
      <w:r>
        <w:rPr>
          <w:sz w:val="20"/>
        </w:rPr>
        <w:t xml:space="preserve">- повышение комфортности получения медицинских услуг;</w:t>
      </w:r>
    </w:p>
    <w:p>
      <w:pPr>
        <w:pStyle w:val="0"/>
        <w:spacing w:before="200" w:line-rule="auto"/>
        <w:ind w:firstLine="540"/>
        <w:jc w:val="both"/>
      </w:pPr>
      <w:r>
        <w:rPr>
          <w:sz w:val="20"/>
        </w:rPr>
        <w:t xml:space="preserve">- снижение количества оборудования для оказания медицинской помощи со сроком эксплуатации свыше 10 лет в медицинских организациях, оказывающих первичную медико-санитарную помощь;</w:t>
      </w:r>
    </w:p>
    <w:p>
      <w:pPr>
        <w:pStyle w:val="0"/>
        <w:spacing w:before="200" w:line-rule="auto"/>
        <w:ind w:firstLine="540"/>
        <w:jc w:val="both"/>
      </w:pPr>
      <w:r>
        <w:rPr>
          <w:sz w:val="20"/>
        </w:rPr>
        <w:t xml:space="preserve">- снижение дефицита врачей и среднего медицинского персонала в первичном звене здравоохранения города Севастополя;</w:t>
      </w:r>
    </w:p>
    <w:p>
      <w:pPr>
        <w:pStyle w:val="0"/>
        <w:spacing w:before="200" w:line-rule="auto"/>
        <w:ind w:firstLine="540"/>
        <w:jc w:val="both"/>
      </w:pPr>
      <w:r>
        <w:rPr>
          <w:sz w:val="20"/>
        </w:rPr>
        <w:t xml:space="preserve">- увеличение численности врачей государственных медицинских организаций, оказывающих медицинскую помощь в амбулаторных условиях;</w:t>
      </w:r>
    </w:p>
    <w:p>
      <w:pPr>
        <w:pStyle w:val="0"/>
        <w:spacing w:before="200" w:line-rule="auto"/>
        <w:ind w:firstLine="540"/>
        <w:jc w:val="both"/>
      </w:pPr>
      <w:r>
        <w:rPr>
          <w:sz w:val="20"/>
        </w:rPr>
        <w:t xml:space="preserve">- увеличение численности среднего медицинского персонала государственных медицинских организаций, оказывающего медицинскую помощь в амбулаторных условиях;</w:t>
      </w:r>
    </w:p>
    <w:p>
      <w:pPr>
        <w:pStyle w:val="0"/>
        <w:spacing w:before="200" w:line-rule="auto"/>
        <w:ind w:firstLine="540"/>
        <w:jc w:val="both"/>
      </w:pPr>
      <w:r>
        <w:rPr>
          <w:sz w:val="20"/>
        </w:rPr>
        <w:t xml:space="preserve">- повышение эффективности трудоустройства выпускников, завершивших обучение в рамках целевой подготовки по специальностям специалитета "Педиатрия" и "Лечебное дело";</w:t>
      </w:r>
    </w:p>
    <w:p>
      <w:pPr>
        <w:pStyle w:val="0"/>
        <w:spacing w:before="200" w:line-rule="auto"/>
        <w:ind w:firstLine="540"/>
        <w:jc w:val="both"/>
      </w:pPr>
      <w:r>
        <w:rPr>
          <w:sz w:val="20"/>
        </w:rPr>
        <w:t xml:space="preserve">- повышение эффективности трудоустройства выпускников, завершивших обучение в рамках целевой подготовки по специальностям ординатуры;</w:t>
      </w:r>
    </w:p>
    <w:p>
      <w:pPr>
        <w:pStyle w:val="0"/>
        <w:spacing w:before="200" w:line-rule="auto"/>
        <w:ind w:firstLine="540"/>
        <w:jc w:val="both"/>
      </w:pPr>
      <w:r>
        <w:rPr>
          <w:sz w:val="20"/>
        </w:rPr>
        <w:t xml:space="preserve">- повышение эффективности трудоустройства выпускников образовательных организаций среднего профессионального образования в государственные медицинские организации, на базе которых оказывается первичная медико-санитарная помощь;</w:t>
      </w:r>
    </w:p>
    <w:p>
      <w:pPr>
        <w:pStyle w:val="0"/>
        <w:spacing w:before="200" w:line-rule="auto"/>
        <w:ind w:firstLine="540"/>
        <w:jc w:val="both"/>
      </w:pPr>
      <w:r>
        <w:rPr>
          <w:sz w:val="20"/>
        </w:rPr>
        <w:t xml:space="preserve">- оснащение медицинских организаций, участвующих в региональной </w:t>
      </w:r>
      <w:hyperlink w:history="0" w:anchor="P30585" w:tooltip="Региональная программа &quot;Модернизация первичного звена">
        <w:r>
          <w:rPr>
            <w:sz w:val="20"/>
            <w:color w:val="0000ff"/>
          </w:rPr>
          <w:t xml:space="preserve">программе</w:t>
        </w:r>
      </w:hyperlink>
      <w:r>
        <w:rPr>
          <w:sz w:val="20"/>
        </w:rPr>
        <w:t xml:space="preserve"> "Модернизация первичного звена здравоохранения Российской Федерации (город федерального значения Севастополь)", цифровыми медицинскими изделиями и сервисами дистанционного мониторинга состояния здоровья пациентов.</w:t>
      </w:r>
    </w:p>
    <w:p>
      <w:pPr>
        <w:pStyle w:val="0"/>
        <w:ind w:firstLine="540"/>
        <w:jc w:val="both"/>
      </w:pPr>
      <w:r>
        <w:rPr>
          <w:sz w:val="20"/>
        </w:rPr>
      </w:r>
    </w:p>
    <w:p>
      <w:pPr>
        <w:pStyle w:val="2"/>
        <w:outlineLvl w:val="2"/>
        <w:jc w:val="center"/>
      </w:pPr>
      <w:r>
        <w:rPr>
          <w:sz w:val="20"/>
        </w:rPr>
        <w:t xml:space="preserve">III. Характеристика основных мероприятий подпрограммы 8</w:t>
      </w:r>
    </w:p>
    <w:p>
      <w:pPr>
        <w:pStyle w:val="0"/>
        <w:jc w:val="center"/>
      </w:pPr>
      <w:r>
        <w:rPr>
          <w:sz w:val="20"/>
        </w:rPr>
      </w:r>
    </w:p>
    <w:p>
      <w:pPr>
        <w:pStyle w:val="0"/>
        <w:ind w:firstLine="540"/>
        <w:jc w:val="both"/>
      </w:pPr>
      <w:r>
        <w:rPr>
          <w:sz w:val="20"/>
        </w:rPr>
        <w:t xml:space="preserve">В рамках федерального проекта "Разработка и реализация программы системной поддержки и повышения качества жизни граждан старшего поколения" национального проекта "Демография" осуществляется реализация регионального проекта "Разработка и реализация программы системной поддержки и повышения качества жизни граждан старшего поколения" в части здравоохранения по проведению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p>
      <w:pPr>
        <w:pStyle w:val="0"/>
        <w:spacing w:before="200" w:line-rule="auto"/>
        <w:ind w:firstLine="540"/>
        <w:jc w:val="both"/>
      </w:pPr>
      <w:r>
        <w:rPr>
          <w:sz w:val="20"/>
        </w:rPr>
        <w:t xml:space="preserve">В рамках федерального проекта "Развитие системы оказания первичной медико-санитарной помощи" осуществляется реализация Стратегии развития санитарной авиации в городе Севастополе до 2030 года.</w:t>
      </w:r>
    </w:p>
    <w:p>
      <w:pPr>
        <w:pStyle w:val="0"/>
        <w:spacing w:before="200" w:line-rule="auto"/>
        <w:ind w:firstLine="540"/>
        <w:jc w:val="both"/>
      </w:pPr>
      <w:r>
        <w:rPr>
          <w:sz w:val="20"/>
        </w:rPr>
        <w:t xml:space="preserve">В рамках федерального проекта "Борьба с сердечно-сосудистыми заболеваниями" национального проекта "Здравоохранение" осуществляется реализация региональной программы "Борьба с сердечно-сосудистыми заболеваниями" путем переоснащения/дооснащения медицинским оборудованием региональных сосудистых центров и первичных сосудистых отделений в городе Севастополе, а также обеспечения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w:t>
      </w:r>
    </w:p>
    <w:p>
      <w:pPr>
        <w:pStyle w:val="0"/>
        <w:spacing w:before="200" w:line-rule="auto"/>
        <w:ind w:firstLine="540"/>
        <w:jc w:val="both"/>
      </w:pPr>
      <w:r>
        <w:rPr>
          <w:sz w:val="20"/>
        </w:rPr>
        <w:t xml:space="preserve">В рамках федерального проекта "Борьба с онкологическими заболеваниями" национального проекта "Здравоохранение" осуществляется реализация региональной программы "Борьба с онкологическими заболеваниями" путем переоснащения медицинским оборудованием медицинских организаций, оказывающих помощь больным онкологическими заболеваниями (диспансеров/больниц).</w:t>
      </w:r>
    </w:p>
    <w:p>
      <w:pPr>
        <w:pStyle w:val="0"/>
        <w:spacing w:before="200" w:line-rule="auto"/>
        <w:ind w:firstLine="540"/>
        <w:jc w:val="both"/>
      </w:pPr>
      <w:r>
        <w:rPr>
          <w:sz w:val="20"/>
        </w:rPr>
        <w:t xml:space="preserve">В рамках федерального проекта "Создание единого цифрового контура в здравоохранении на основе единой государственной информационной системы здравоохранения (ЕГИСЗ)" национального проекта "Здравоохранение" осуществляется реализация региональной программы "Создание единого цифрового контура в здравоохранении на основе единой государственной информационной системы здравоохранения (ЕГИСЗ)" путем оснащения/переоснащения оборудованием медицинских организаций, оказывающих медицинскую помощь.</w:t>
      </w:r>
    </w:p>
    <w:p>
      <w:pPr>
        <w:pStyle w:val="0"/>
        <w:spacing w:before="200" w:line-rule="auto"/>
        <w:ind w:firstLine="540"/>
        <w:jc w:val="both"/>
      </w:pPr>
      <w:r>
        <w:rPr>
          <w:sz w:val="20"/>
        </w:rPr>
        <w:t xml:space="preserve">В рамках регионального проекта "Модернизация первичного звена здравоохранения Российской Федерации (город федерального значения Севастополь)" осуществляется реализация мероприятий региональной программы "Модернизация первичного звена здравоохранения города Севастополя".</w:t>
      </w:r>
    </w:p>
    <w:p>
      <w:pPr>
        <w:pStyle w:val="0"/>
        <w:spacing w:before="200" w:line-rule="auto"/>
        <w:ind w:firstLine="540"/>
        <w:jc w:val="both"/>
      </w:pPr>
      <w:r>
        <w:rPr>
          <w:sz w:val="20"/>
        </w:rPr>
        <w:t xml:space="preserve">Общий </w:t>
      </w:r>
      <w:hyperlink w:history="0" w:anchor="P4719" w:tooltip="Перечень основных мероприятий государственной программы">
        <w:r>
          <w:rPr>
            <w:sz w:val="20"/>
            <w:color w:val="0000ff"/>
          </w:rPr>
          <w:t xml:space="preserve">перечень</w:t>
        </w:r>
      </w:hyperlink>
      <w:r>
        <w:rPr>
          <w:sz w:val="20"/>
        </w:rPr>
        <w:t xml:space="preserve"> мероприятий подпрограммы 8 представлен в приложении N 2 к Программе.</w:t>
      </w:r>
    </w:p>
    <w:p>
      <w:pPr>
        <w:pStyle w:val="0"/>
        <w:ind w:firstLine="540"/>
        <w:jc w:val="both"/>
      </w:pPr>
      <w:r>
        <w:rPr>
          <w:sz w:val="20"/>
        </w:rPr>
      </w:r>
    </w:p>
    <w:p>
      <w:pPr>
        <w:pStyle w:val="2"/>
        <w:outlineLvl w:val="2"/>
        <w:jc w:val="center"/>
      </w:pPr>
      <w:r>
        <w:rPr>
          <w:sz w:val="20"/>
        </w:rPr>
        <w:t xml:space="preserve">IV. Характеристика мер государственного</w:t>
      </w:r>
    </w:p>
    <w:p>
      <w:pPr>
        <w:pStyle w:val="2"/>
        <w:jc w:val="center"/>
      </w:pPr>
      <w:r>
        <w:rPr>
          <w:sz w:val="20"/>
        </w:rPr>
        <w:t xml:space="preserve">и правового регулирования</w:t>
      </w:r>
    </w:p>
    <w:p>
      <w:pPr>
        <w:pStyle w:val="0"/>
        <w:jc w:val="center"/>
      </w:pPr>
      <w:r>
        <w:rPr>
          <w:sz w:val="20"/>
        </w:rPr>
      </w:r>
    </w:p>
    <w:p>
      <w:pPr>
        <w:pStyle w:val="0"/>
        <w:ind w:firstLine="540"/>
        <w:jc w:val="both"/>
      </w:pPr>
      <w:r>
        <w:rPr>
          <w:sz w:val="20"/>
        </w:rPr>
        <w:t xml:space="preserve">Государственное и правовое регулирование подпрограммы 8 осуществляется согласно </w:t>
      </w:r>
      <w:hyperlink w:history="0" w:anchor="P472" w:tooltip="IV. Характеристика мер государственного">
        <w:r>
          <w:rPr>
            <w:sz w:val="20"/>
            <w:color w:val="0000ff"/>
          </w:rPr>
          <w:t xml:space="preserve">разделу IV</w:t>
        </w:r>
      </w:hyperlink>
      <w:r>
        <w:rPr>
          <w:sz w:val="20"/>
        </w:rPr>
        <w:t xml:space="preserve"> Программы.</w:t>
      </w:r>
    </w:p>
    <w:p>
      <w:pPr>
        <w:pStyle w:val="0"/>
      </w:pPr>
      <w:r>
        <w:rPr>
          <w:sz w:val="20"/>
        </w:rPr>
      </w:r>
    </w:p>
    <w:p>
      <w:pPr>
        <w:pStyle w:val="2"/>
        <w:outlineLvl w:val="2"/>
        <w:jc w:val="center"/>
      </w:pPr>
      <w:r>
        <w:rPr>
          <w:sz w:val="20"/>
        </w:rPr>
        <w:t xml:space="preserve">V. Ресурсное обеспечение, необходимое</w:t>
      </w:r>
    </w:p>
    <w:p>
      <w:pPr>
        <w:pStyle w:val="2"/>
        <w:jc w:val="center"/>
      </w:pPr>
      <w:r>
        <w:rPr>
          <w:sz w:val="20"/>
        </w:rPr>
        <w:t xml:space="preserve">для реализации подпрограммы 8</w:t>
      </w:r>
    </w:p>
    <w:p>
      <w:pPr>
        <w:pStyle w:val="0"/>
        <w:ind w:firstLine="540"/>
        <w:jc w:val="both"/>
      </w:pPr>
      <w:r>
        <w:rPr>
          <w:sz w:val="20"/>
        </w:rPr>
      </w:r>
    </w:p>
    <w:p>
      <w:pPr>
        <w:pStyle w:val="0"/>
        <w:ind w:firstLine="540"/>
        <w:jc w:val="both"/>
      </w:pPr>
      <w:r>
        <w:rPr>
          <w:sz w:val="20"/>
        </w:rPr>
        <w:t xml:space="preserve">Источником финансирования мероприятий подпрограммы 8 являются средства федерального бюджета, средства бюджета города Севастополя.</w:t>
      </w:r>
    </w:p>
    <w:p>
      <w:pPr>
        <w:pStyle w:val="0"/>
        <w:spacing w:before="200" w:line-rule="auto"/>
        <w:ind w:firstLine="540"/>
        <w:jc w:val="both"/>
      </w:pPr>
      <w:r>
        <w:rPr>
          <w:sz w:val="20"/>
        </w:rPr>
        <w:t xml:space="preserve">Общий объем финансового обеспечения подпрограммы 8 в 2022 - 2030 годах составляет 2014163,5 тыс. руб., из них:</w:t>
      </w:r>
    </w:p>
    <w:p>
      <w:pPr>
        <w:pStyle w:val="0"/>
        <w:jc w:val="both"/>
      </w:pPr>
      <w:r>
        <w:rPr>
          <w:sz w:val="20"/>
        </w:rPr>
        <w:t xml:space="preserve">(в ред. </w:t>
      </w:r>
      <w:hyperlink w:history="0" r:id="rId251"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p>
      <w:pPr>
        <w:pStyle w:val="0"/>
        <w:spacing w:before="200" w:line-rule="auto"/>
        <w:ind w:firstLine="540"/>
        <w:jc w:val="both"/>
      </w:pPr>
      <w:r>
        <w:rPr>
          <w:sz w:val="20"/>
        </w:rPr>
        <w:t xml:space="preserve">средства федерального бюджета - 1765086,3 тыс. руб., в том числе:</w:t>
      </w:r>
    </w:p>
    <w:p>
      <w:pPr>
        <w:pStyle w:val="0"/>
        <w:jc w:val="both"/>
      </w:pPr>
      <w:r>
        <w:rPr>
          <w:sz w:val="20"/>
        </w:rPr>
        <w:t xml:space="preserve">(в ред. </w:t>
      </w:r>
      <w:hyperlink w:history="0" r:id="rId252"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p>
      <w:pPr>
        <w:pStyle w:val="0"/>
        <w:spacing w:before="200" w:line-rule="auto"/>
        <w:ind w:firstLine="540"/>
        <w:jc w:val="both"/>
      </w:pPr>
      <w:r>
        <w:rPr>
          <w:sz w:val="20"/>
        </w:rPr>
        <w:t xml:space="preserve">2022 г. - 524227,6 тыс. руб.;</w:t>
      </w:r>
    </w:p>
    <w:p>
      <w:pPr>
        <w:pStyle w:val="0"/>
        <w:jc w:val="both"/>
      </w:pPr>
      <w:r>
        <w:rPr>
          <w:sz w:val="20"/>
        </w:rPr>
        <w:t xml:space="preserve">(в ред. </w:t>
      </w:r>
      <w:hyperlink w:history="0" r:id="rId253"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p>
      <w:pPr>
        <w:pStyle w:val="0"/>
        <w:spacing w:before="200" w:line-rule="auto"/>
        <w:ind w:firstLine="540"/>
        <w:jc w:val="both"/>
      </w:pPr>
      <w:r>
        <w:rPr>
          <w:sz w:val="20"/>
        </w:rPr>
        <w:t xml:space="preserve">2023 г. - 392847,7 тыс. руб.;</w:t>
      </w:r>
    </w:p>
    <w:p>
      <w:pPr>
        <w:pStyle w:val="0"/>
        <w:jc w:val="both"/>
      </w:pPr>
      <w:r>
        <w:rPr>
          <w:sz w:val="20"/>
        </w:rPr>
        <w:t xml:space="preserve">(в ред. </w:t>
      </w:r>
      <w:hyperlink w:history="0" r:id="rId254"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p>
      <w:pPr>
        <w:pStyle w:val="0"/>
        <w:spacing w:before="200" w:line-rule="auto"/>
        <w:ind w:firstLine="540"/>
        <w:jc w:val="both"/>
      </w:pPr>
      <w:r>
        <w:rPr>
          <w:sz w:val="20"/>
        </w:rPr>
        <w:t xml:space="preserve">2024 г. - 415999,5 тыс. руб.;</w:t>
      </w:r>
    </w:p>
    <w:p>
      <w:pPr>
        <w:pStyle w:val="0"/>
        <w:jc w:val="both"/>
      </w:pPr>
      <w:r>
        <w:rPr>
          <w:sz w:val="20"/>
        </w:rPr>
        <w:t xml:space="preserve">(в ред. </w:t>
      </w:r>
      <w:hyperlink w:history="0" r:id="rId25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2025 г. - 432011,5 тыс. руб.;</w:t>
      </w:r>
    </w:p>
    <w:p>
      <w:pPr>
        <w:pStyle w:val="0"/>
        <w:jc w:val="both"/>
      </w:pPr>
      <w:r>
        <w:rPr>
          <w:sz w:val="20"/>
        </w:rPr>
        <w:t xml:space="preserve">(в ред. </w:t>
      </w:r>
      <w:hyperlink w:history="0" r:id="rId25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2026 г. - 0,0 тыс. руб.;</w:t>
      </w:r>
    </w:p>
    <w:p>
      <w:pPr>
        <w:pStyle w:val="0"/>
        <w:jc w:val="both"/>
      </w:pPr>
      <w:r>
        <w:rPr>
          <w:sz w:val="20"/>
        </w:rPr>
        <w:t xml:space="preserve">(в ред. </w:t>
      </w:r>
      <w:hyperlink w:history="0" r:id="rId25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2027 г. - 0,0 тыс. руб.;</w:t>
      </w:r>
    </w:p>
    <w:p>
      <w:pPr>
        <w:pStyle w:val="0"/>
        <w:jc w:val="both"/>
      </w:pPr>
      <w:r>
        <w:rPr>
          <w:sz w:val="20"/>
        </w:rPr>
        <w:t xml:space="preserve">(в ред. </w:t>
      </w:r>
      <w:hyperlink w:history="0" r:id="rId25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2028 г. - 0,0 тыс. руб.;</w:t>
      </w:r>
    </w:p>
    <w:p>
      <w:pPr>
        <w:pStyle w:val="0"/>
        <w:jc w:val="both"/>
      </w:pPr>
      <w:r>
        <w:rPr>
          <w:sz w:val="20"/>
        </w:rPr>
        <w:t xml:space="preserve">(в ред. </w:t>
      </w:r>
      <w:hyperlink w:history="0" r:id="rId259"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2029 г. - 0,0 тыс. руб.;</w:t>
      </w:r>
    </w:p>
    <w:p>
      <w:pPr>
        <w:pStyle w:val="0"/>
        <w:jc w:val="both"/>
      </w:pPr>
      <w:r>
        <w:rPr>
          <w:sz w:val="20"/>
        </w:rPr>
        <w:t xml:space="preserve">(в ред. </w:t>
      </w:r>
      <w:hyperlink w:history="0" r:id="rId26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2030 г. - 0,0 тыс. руб.;</w:t>
      </w:r>
    </w:p>
    <w:p>
      <w:pPr>
        <w:pStyle w:val="0"/>
        <w:jc w:val="both"/>
      </w:pPr>
      <w:r>
        <w:rPr>
          <w:sz w:val="20"/>
        </w:rPr>
        <w:t xml:space="preserve">(в ред. </w:t>
      </w:r>
      <w:hyperlink w:history="0" r:id="rId261"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средства бюджета города Севастополя - 249077,2 тыс. руб., в том числе:</w:t>
      </w:r>
    </w:p>
    <w:p>
      <w:pPr>
        <w:pStyle w:val="0"/>
        <w:jc w:val="both"/>
      </w:pPr>
      <w:r>
        <w:rPr>
          <w:sz w:val="20"/>
        </w:rPr>
        <w:t xml:space="preserve">(в ред. </w:t>
      </w:r>
      <w:hyperlink w:history="0" r:id="rId26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2022 г. - 21752,4 тыс. руб.;</w:t>
      </w:r>
    </w:p>
    <w:p>
      <w:pPr>
        <w:pStyle w:val="0"/>
        <w:jc w:val="both"/>
      </w:pPr>
      <w:r>
        <w:rPr>
          <w:sz w:val="20"/>
        </w:rPr>
        <w:t xml:space="preserve">(в ред. </w:t>
      </w:r>
      <w:hyperlink w:history="0" r:id="rId26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2023 г. - 9173,4 тыс. руб.;</w:t>
      </w:r>
    </w:p>
    <w:p>
      <w:pPr>
        <w:pStyle w:val="0"/>
        <w:jc w:val="both"/>
      </w:pPr>
      <w:r>
        <w:rPr>
          <w:sz w:val="20"/>
        </w:rPr>
        <w:t xml:space="preserve">(в ред. </w:t>
      </w:r>
      <w:hyperlink w:history="0" r:id="rId26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p>
      <w:pPr>
        <w:pStyle w:val="0"/>
        <w:spacing w:before="200" w:line-rule="auto"/>
        <w:ind w:firstLine="540"/>
        <w:jc w:val="both"/>
      </w:pPr>
      <w:r>
        <w:rPr>
          <w:sz w:val="20"/>
        </w:rPr>
        <w:t xml:space="preserve">2024 г. - 7585,7 тыс. руб.;</w:t>
      </w:r>
    </w:p>
    <w:p>
      <w:pPr>
        <w:pStyle w:val="0"/>
        <w:spacing w:before="200" w:line-rule="auto"/>
        <w:ind w:firstLine="540"/>
        <w:jc w:val="both"/>
      </w:pPr>
      <w:r>
        <w:rPr>
          <w:sz w:val="20"/>
        </w:rPr>
        <w:t xml:space="preserve">2025 г. - 9439,1 тыс. руб.;</w:t>
      </w:r>
    </w:p>
    <w:p>
      <w:pPr>
        <w:pStyle w:val="0"/>
        <w:spacing w:before="200" w:line-rule="auto"/>
        <w:ind w:firstLine="540"/>
        <w:jc w:val="both"/>
      </w:pPr>
      <w:r>
        <w:rPr>
          <w:sz w:val="20"/>
        </w:rPr>
        <w:t xml:space="preserve">2026 г. - 201126,6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средства бюджетов других субъектов Российской Федерации (город Москва)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внебюджетные средства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Ресурсное </w:t>
      </w:r>
      <w:hyperlink w:history="0" w:anchor="P5821" w:tooltip="Финансовое обеспечение реализации государственной программы">
        <w:r>
          <w:rPr>
            <w:sz w:val="20"/>
            <w:color w:val="0000ff"/>
          </w:rPr>
          <w:t xml:space="preserve">обеспечение</w:t>
        </w:r>
      </w:hyperlink>
      <w:r>
        <w:rPr>
          <w:sz w:val="20"/>
        </w:rPr>
        <w:t xml:space="preserve"> и прогнозная (справочная) оценка расходов на реализацию целей подпрограммы 8 приведены в приложении N 4 к Программе.</w:t>
      </w:r>
    </w:p>
    <w:p>
      <w:pPr>
        <w:pStyle w:val="0"/>
        <w:jc w:val="center"/>
      </w:pPr>
      <w:r>
        <w:rPr>
          <w:sz w:val="20"/>
        </w:rPr>
      </w:r>
    </w:p>
    <w:bookmarkStart w:id="2692" w:name="P2692"/>
    <w:bookmarkEnd w:id="2692"/>
    <w:p>
      <w:pPr>
        <w:pStyle w:val="2"/>
        <w:outlineLvl w:val="1"/>
        <w:jc w:val="center"/>
      </w:pPr>
      <w:r>
        <w:rPr>
          <w:sz w:val="20"/>
        </w:rPr>
        <w:t xml:space="preserve">ПОДПРОГРАММА 9</w:t>
      </w:r>
    </w:p>
    <w:p>
      <w:pPr>
        <w:pStyle w:val="2"/>
        <w:jc w:val="center"/>
      </w:pPr>
      <w:r>
        <w:rPr>
          <w:sz w:val="20"/>
        </w:rPr>
        <w:t xml:space="preserve">"Приведение медицинских учреждений к стандартам оснащения,</w:t>
      </w:r>
    </w:p>
    <w:p>
      <w:pPr>
        <w:pStyle w:val="2"/>
        <w:jc w:val="center"/>
      </w:pPr>
      <w:r>
        <w:rPr>
          <w:sz w:val="20"/>
        </w:rPr>
        <w:t xml:space="preserve">предусмотренным порядками оказания медицинской помощи"</w:t>
      </w:r>
    </w:p>
    <w:p>
      <w:pPr>
        <w:pStyle w:val="0"/>
        <w:jc w:val="center"/>
      </w:pPr>
      <w:r>
        <w:rPr>
          <w:sz w:val="20"/>
        </w:rPr>
        <w:t xml:space="preserve">(в ред. </w:t>
      </w:r>
      <w:hyperlink w:history="0" r:id="rId265"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pStyle w:val="2"/>
        <w:outlineLvl w:val="2"/>
        <w:jc w:val="center"/>
      </w:pPr>
      <w:r>
        <w:rPr>
          <w:sz w:val="20"/>
        </w:rPr>
        <w:t xml:space="preserve">ПАСПОРТ</w:t>
      </w:r>
    </w:p>
    <w:p>
      <w:pPr>
        <w:pStyle w:val="2"/>
        <w:jc w:val="center"/>
      </w:pPr>
      <w:r>
        <w:rPr>
          <w:sz w:val="20"/>
        </w:rPr>
        <w:t xml:space="preserve">подпрограммы 9 "Приведение учреждений,</w:t>
      </w:r>
    </w:p>
    <w:p>
      <w:pPr>
        <w:pStyle w:val="2"/>
        <w:jc w:val="center"/>
      </w:pPr>
      <w:r>
        <w:rPr>
          <w:sz w:val="20"/>
        </w:rPr>
        <w:t xml:space="preserve">подведомственных Департаменту здравоохранения города</w:t>
      </w:r>
    </w:p>
    <w:p>
      <w:pPr>
        <w:pStyle w:val="2"/>
        <w:jc w:val="center"/>
      </w:pPr>
      <w:r>
        <w:rPr>
          <w:sz w:val="20"/>
        </w:rPr>
        <w:t xml:space="preserve">Севастополя, к стандартам оснащения"</w:t>
      </w:r>
    </w:p>
    <w:p>
      <w:pPr>
        <w:pStyle w:val="2"/>
        <w:jc w:val="center"/>
      </w:pPr>
      <w:r>
        <w:rPr>
          <w:sz w:val="20"/>
        </w:rPr>
        <w:t xml:space="preserve">(далее - подпрограмма 9)</w:t>
      </w:r>
    </w:p>
    <w:p>
      <w:pPr>
        <w:pStyle w:val="0"/>
      </w:pPr>
      <w:r>
        <w:rPr>
          <w:sz w:val="20"/>
        </w:rPr>
      </w:r>
    </w:p>
    <w:p>
      <w:pPr>
        <w:pStyle w:val="0"/>
        <w:ind w:firstLine="540"/>
        <w:jc w:val="both"/>
      </w:pPr>
      <w:r>
        <w:rPr>
          <w:sz w:val="20"/>
        </w:rPr>
        <w:t xml:space="preserve">1. Ответственный исполнитель подпрограммы 9: ДЗГС.</w:t>
      </w:r>
    </w:p>
    <w:p>
      <w:pPr>
        <w:pStyle w:val="0"/>
        <w:spacing w:before="200" w:line-rule="auto"/>
        <w:ind w:firstLine="540"/>
        <w:jc w:val="both"/>
      </w:pPr>
      <w:r>
        <w:rPr>
          <w:sz w:val="20"/>
        </w:rPr>
        <w:t xml:space="preserve">2. Соисполнители подпрограммы 9:</w:t>
      </w:r>
    </w:p>
    <w:p>
      <w:pPr>
        <w:pStyle w:val="0"/>
        <w:spacing w:before="200" w:line-rule="auto"/>
        <w:ind w:firstLine="540"/>
        <w:jc w:val="both"/>
      </w:pPr>
      <w:r>
        <w:rPr>
          <w:sz w:val="20"/>
        </w:rPr>
        <w:t xml:space="preserve">- Департамент капитального строительства города Севастополя;</w:t>
      </w:r>
    </w:p>
    <w:p>
      <w:pPr>
        <w:pStyle w:val="0"/>
        <w:spacing w:before="200" w:line-rule="auto"/>
        <w:ind w:firstLine="540"/>
        <w:jc w:val="both"/>
      </w:pPr>
      <w:r>
        <w:rPr>
          <w:sz w:val="20"/>
        </w:rPr>
        <w:t xml:space="preserve">- ГКУС "Медицинский склад N 1043".</w:t>
      </w:r>
    </w:p>
    <w:p>
      <w:pPr>
        <w:pStyle w:val="0"/>
        <w:spacing w:before="200" w:line-rule="auto"/>
        <w:ind w:firstLine="540"/>
        <w:jc w:val="both"/>
      </w:pPr>
      <w:r>
        <w:rPr>
          <w:sz w:val="20"/>
        </w:rPr>
        <w:t xml:space="preserve">3. Участники подпрограммы 9:</w:t>
      </w:r>
    </w:p>
    <w:p>
      <w:pPr>
        <w:pStyle w:val="0"/>
        <w:spacing w:before="200" w:line-rule="auto"/>
        <w:ind w:firstLine="540"/>
        <w:jc w:val="both"/>
      </w:pPr>
      <w:r>
        <w:rPr>
          <w:sz w:val="20"/>
        </w:rPr>
        <w:t xml:space="preserve">- государственные учреждения города Севастополя, подведомственные Департаменту здравоохранения города Севастополя (далее - учреждения);</w:t>
      </w:r>
    </w:p>
    <w:p>
      <w:pPr>
        <w:pStyle w:val="0"/>
        <w:spacing w:before="200" w:line-rule="auto"/>
        <w:ind w:firstLine="540"/>
        <w:jc w:val="both"/>
      </w:pPr>
      <w:r>
        <w:rPr>
          <w:sz w:val="20"/>
        </w:rPr>
        <w:t xml:space="preserve">- ГКУС "Медицинский склад N 1043";</w:t>
      </w:r>
    </w:p>
    <w:p>
      <w:pPr>
        <w:pStyle w:val="0"/>
        <w:spacing w:before="200" w:line-rule="auto"/>
        <w:ind w:firstLine="540"/>
        <w:jc w:val="both"/>
      </w:pPr>
      <w:r>
        <w:rPr>
          <w:sz w:val="20"/>
        </w:rPr>
        <w:t xml:space="preserve">- ГКУГС "ЕДКС".</w:t>
      </w:r>
    </w:p>
    <w:p>
      <w:pPr>
        <w:pStyle w:val="0"/>
        <w:spacing w:before="200" w:line-rule="auto"/>
        <w:ind w:firstLine="540"/>
        <w:jc w:val="both"/>
      </w:pPr>
      <w:r>
        <w:rPr>
          <w:sz w:val="20"/>
        </w:rPr>
        <w:t xml:space="preserve">4. Цель подпрограммы 9: приведение учреждений в соответствие стандартам оснащения, обязательным на всей территории Российской Федерации.</w:t>
      </w:r>
    </w:p>
    <w:p>
      <w:pPr>
        <w:pStyle w:val="0"/>
        <w:spacing w:before="200" w:line-rule="auto"/>
        <w:ind w:firstLine="540"/>
        <w:jc w:val="both"/>
      </w:pPr>
      <w:r>
        <w:rPr>
          <w:sz w:val="20"/>
        </w:rPr>
        <w:t xml:space="preserve">5. Задачи подпрограммы 9:</w:t>
      </w:r>
    </w:p>
    <w:p>
      <w:pPr>
        <w:pStyle w:val="0"/>
        <w:spacing w:before="200" w:line-rule="auto"/>
        <w:ind w:firstLine="540"/>
        <w:jc w:val="both"/>
      </w:pPr>
      <w:r>
        <w:rPr>
          <w:sz w:val="20"/>
        </w:rPr>
        <w:t xml:space="preserve">- дооснащение медицинским и специализированным оборудованием учреждений;</w:t>
      </w:r>
    </w:p>
    <w:p>
      <w:pPr>
        <w:pStyle w:val="0"/>
        <w:spacing w:before="200" w:line-rule="auto"/>
        <w:ind w:firstLine="540"/>
        <w:jc w:val="both"/>
      </w:pPr>
      <w:r>
        <w:rPr>
          <w:sz w:val="20"/>
        </w:rPr>
        <w:t xml:space="preserve">- разработка проектно-сметной документации на проведение ремонтов, капитальных ремонтов зданий, помещений учреждений;</w:t>
      </w:r>
    </w:p>
    <w:p>
      <w:pPr>
        <w:pStyle w:val="0"/>
        <w:spacing w:before="200" w:line-rule="auto"/>
        <w:ind w:firstLine="540"/>
        <w:jc w:val="both"/>
      </w:pPr>
      <w:r>
        <w:rPr>
          <w:sz w:val="20"/>
        </w:rPr>
        <w:t xml:space="preserve">- проведение текущих и капитальных ремонтов зданий, помещений учреждений;</w:t>
      </w:r>
    </w:p>
    <w:p>
      <w:pPr>
        <w:pStyle w:val="0"/>
        <w:spacing w:before="200" w:line-rule="auto"/>
        <w:ind w:firstLine="540"/>
        <w:jc w:val="both"/>
      </w:pPr>
      <w:r>
        <w:rPr>
          <w:sz w:val="20"/>
        </w:rPr>
        <w:t xml:space="preserve">- обеспечение безопасности и комплексного благоустройства учреждений;</w:t>
      </w:r>
    </w:p>
    <w:p>
      <w:pPr>
        <w:pStyle w:val="0"/>
        <w:spacing w:before="200" w:line-rule="auto"/>
        <w:ind w:firstLine="540"/>
        <w:jc w:val="both"/>
      </w:pPr>
      <w:r>
        <w:rPr>
          <w:sz w:val="20"/>
        </w:rPr>
        <w:t xml:space="preserve">- обеспечение учреждений доступной средой для маломобильных групп населения;</w:t>
      </w:r>
    </w:p>
    <w:p>
      <w:pPr>
        <w:pStyle w:val="0"/>
        <w:spacing w:before="200" w:line-rule="auto"/>
        <w:ind w:firstLine="540"/>
        <w:jc w:val="both"/>
      </w:pPr>
      <w:r>
        <w:rPr>
          <w:sz w:val="20"/>
        </w:rPr>
        <w:t xml:space="preserve">- обеспечение антитеррористической защищенности зданий и сооружений учреждений;</w:t>
      </w:r>
    </w:p>
    <w:p>
      <w:pPr>
        <w:pStyle w:val="0"/>
        <w:spacing w:before="200" w:line-rule="auto"/>
        <w:ind w:firstLine="540"/>
        <w:jc w:val="both"/>
      </w:pPr>
      <w:r>
        <w:rPr>
          <w:sz w:val="20"/>
        </w:rPr>
        <w:t xml:space="preserve">- информатизация учреждений.</w:t>
      </w:r>
    </w:p>
    <w:p>
      <w:pPr>
        <w:pStyle w:val="0"/>
        <w:spacing w:before="200" w:line-rule="auto"/>
        <w:ind w:firstLine="540"/>
        <w:jc w:val="both"/>
      </w:pPr>
      <w:r>
        <w:rPr>
          <w:sz w:val="20"/>
        </w:rPr>
        <w:t xml:space="preserve">6. Целевой индикатор и показатель подпрограммы 9: доля отделений учреждений, соответствующих лицензионным требованиям.</w:t>
      </w:r>
    </w:p>
    <w:p>
      <w:pPr>
        <w:pStyle w:val="0"/>
        <w:spacing w:before="200" w:line-rule="auto"/>
        <w:ind w:firstLine="540"/>
        <w:jc w:val="both"/>
      </w:pPr>
      <w:r>
        <w:rPr>
          <w:sz w:val="20"/>
        </w:rPr>
        <w:t xml:space="preserve">7. Этапы и сроки реализации подпрограммы 9: с 2022 по 2030 год без выделения этапов реализации Программы.</w:t>
      </w:r>
    </w:p>
    <w:p>
      <w:pPr>
        <w:pStyle w:val="0"/>
        <w:spacing w:before="200" w:line-rule="auto"/>
        <w:ind w:firstLine="540"/>
        <w:jc w:val="both"/>
      </w:pPr>
      <w:r>
        <w:rPr>
          <w:sz w:val="20"/>
        </w:rPr>
        <w:t xml:space="preserve">8. Объемы финансирования подпрограммы 9, всего, по годам и по источникам финансирования (тыс. руб.):</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587"/>
        <w:gridCol w:w="1531"/>
        <w:gridCol w:w="1700"/>
        <w:gridCol w:w="1191"/>
        <w:gridCol w:w="1587"/>
      </w:tblGrid>
      <w:tr>
        <w:tc>
          <w:tcPr>
            <w:tcW w:w="1474" w:type="dxa"/>
          </w:tcPr>
          <w:p>
            <w:pPr>
              <w:pStyle w:val="0"/>
              <w:jc w:val="center"/>
            </w:pPr>
            <w:r>
              <w:rPr>
                <w:sz w:val="20"/>
              </w:rPr>
              <w:t xml:space="preserve">Источники финансирования</w:t>
            </w:r>
          </w:p>
        </w:tc>
        <w:tc>
          <w:tcPr>
            <w:tcW w:w="1587" w:type="dxa"/>
          </w:tcPr>
          <w:p>
            <w:pPr>
              <w:pStyle w:val="0"/>
              <w:jc w:val="center"/>
            </w:pPr>
            <w:r>
              <w:rPr>
                <w:sz w:val="20"/>
              </w:rPr>
              <w:t xml:space="preserve">Федеральный бюджет</w:t>
            </w:r>
          </w:p>
        </w:tc>
        <w:tc>
          <w:tcPr>
            <w:tcW w:w="1531" w:type="dxa"/>
          </w:tcPr>
          <w:p>
            <w:pPr>
              <w:pStyle w:val="0"/>
              <w:jc w:val="center"/>
            </w:pPr>
            <w:r>
              <w:rPr>
                <w:sz w:val="20"/>
              </w:rPr>
              <w:t xml:space="preserve">Бюджет города Севастополя</w:t>
            </w:r>
          </w:p>
        </w:tc>
        <w:tc>
          <w:tcPr>
            <w:tcW w:w="1700" w:type="dxa"/>
          </w:tcPr>
          <w:p>
            <w:pPr>
              <w:pStyle w:val="0"/>
              <w:jc w:val="center"/>
            </w:pPr>
            <w:r>
              <w:rPr>
                <w:sz w:val="20"/>
              </w:rPr>
              <w:t xml:space="preserve">Бюджеты других субъектов РФ (город Москва)</w:t>
            </w:r>
          </w:p>
        </w:tc>
        <w:tc>
          <w:tcPr>
            <w:tcW w:w="1191" w:type="dxa"/>
          </w:tcPr>
          <w:p>
            <w:pPr>
              <w:pStyle w:val="0"/>
              <w:jc w:val="center"/>
            </w:pPr>
            <w:r>
              <w:rPr>
                <w:sz w:val="20"/>
              </w:rPr>
              <w:t xml:space="preserve">Внебюджетные средства</w:t>
            </w:r>
          </w:p>
        </w:tc>
        <w:tc>
          <w:tcPr>
            <w:tcW w:w="1587" w:type="dxa"/>
          </w:tcPr>
          <w:p>
            <w:pPr>
              <w:pStyle w:val="0"/>
              <w:jc w:val="center"/>
            </w:pPr>
            <w:r>
              <w:rPr>
                <w:sz w:val="20"/>
              </w:rPr>
              <w:t xml:space="preserve">Итого</w:t>
            </w:r>
          </w:p>
        </w:tc>
      </w:tr>
      <w:tr>
        <w:tc>
          <w:tcPr>
            <w:tcW w:w="1474" w:type="dxa"/>
          </w:tcPr>
          <w:p>
            <w:pPr>
              <w:pStyle w:val="0"/>
              <w:jc w:val="both"/>
            </w:pPr>
            <w:r>
              <w:rPr>
                <w:sz w:val="20"/>
              </w:rPr>
              <w:t xml:space="preserve">2022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2639290,1</w:t>
            </w:r>
          </w:p>
        </w:tc>
        <w:tc>
          <w:tcPr>
            <w:tcW w:w="1191" w:type="dxa"/>
          </w:tcPr>
          <w:p>
            <w:pPr>
              <w:pStyle w:val="0"/>
              <w:jc w:val="center"/>
            </w:pPr>
            <w:r>
              <w:rPr>
                <w:sz w:val="20"/>
              </w:rPr>
              <w:t xml:space="preserve">0,0</w:t>
            </w:r>
          </w:p>
        </w:tc>
        <w:tc>
          <w:tcPr>
            <w:tcW w:w="1587" w:type="dxa"/>
          </w:tcPr>
          <w:p>
            <w:pPr>
              <w:pStyle w:val="0"/>
              <w:jc w:val="center"/>
            </w:pPr>
            <w:r>
              <w:rPr>
                <w:sz w:val="20"/>
              </w:rPr>
              <w:t xml:space="preserve">2639290,1</w:t>
            </w:r>
          </w:p>
        </w:tc>
      </w:tr>
      <w:tr>
        <w:tc>
          <w:tcPr>
            <w:tcW w:w="1474" w:type="dxa"/>
          </w:tcPr>
          <w:p>
            <w:pPr>
              <w:pStyle w:val="0"/>
              <w:jc w:val="both"/>
            </w:pPr>
            <w:r>
              <w:rPr>
                <w:sz w:val="20"/>
              </w:rPr>
              <w:t xml:space="preserve">2023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2975448,3</w:t>
            </w:r>
          </w:p>
        </w:tc>
        <w:tc>
          <w:tcPr>
            <w:tcW w:w="1191" w:type="dxa"/>
          </w:tcPr>
          <w:p>
            <w:pPr>
              <w:pStyle w:val="0"/>
              <w:jc w:val="center"/>
            </w:pPr>
            <w:r>
              <w:rPr>
                <w:sz w:val="20"/>
              </w:rPr>
              <w:t xml:space="preserve">0,0</w:t>
            </w:r>
          </w:p>
        </w:tc>
        <w:tc>
          <w:tcPr>
            <w:tcW w:w="1587" w:type="dxa"/>
          </w:tcPr>
          <w:p>
            <w:pPr>
              <w:pStyle w:val="0"/>
              <w:jc w:val="center"/>
            </w:pPr>
            <w:r>
              <w:rPr>
                <w:sz w:val="20"/>
              </w:rPr>
              <w:t xml:space="preserve">2975448,3</w:t>
            </w:r>
          </w:p>
        </w:tc>
      </w:tr>
      <w:tr>
        <w:tc>
          <w:tcPr>
            <w:tcW w:w="1474" w:type="dxa"/>
          </w:tcPr>
          <w:p>
            <w:pPr>
              <w:pStyle w:val="0"/>
              <w:jc w:val="both"/>
            </w:pPr>
            <w:r>
              <w:rPr>
                <w:sz w:val="20"/>
              </w:rPr>
              <w:t xml:space="preserve">2024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2025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2026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2027 год</w:t>
            </w:r>
          </w:p>
        </w:tc>
        <w:tc>
          <w:tcPr>
            <w:tcW w:w="1587" w:type="dxa"/>
          </w:tcPr>
          <w:p>
            <w:pPr>
              <w:pStyle w:val="0"/>
              <w:jc w:val="center"/>
            </w:pPr>
            <w:r>
              <w:rPr>
                <w:sz w:val="20"/>
              </w:rPr>
              <w:t xml:space="preserve">0,0</w:t>
            </w:r>
          </w:p>
        </w:tc>
        <w:tc>
          <w:tcPr>
            <w:tcW w:w="1531" w:type="dxa"/>
          </w:tcPr>
          <w:p>
            <w:pPr>
              <w:pStyle w:val="0"/>
              <w:jc w:val="center"/>
            </w:pPr>
            <w:r>
              <w:rPr>
                <w:sz w:val="20"/>
              </w:rPr>
              <w:t xml:space="preserve">160341,7</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160341,7</w:t>
            </w:r>
          </w:p>
        </w:tc>
      </w:tr>
      <w:tr>
        <w:tc>
          <w:tcPr>
            <w:tcW w:w="1474" w:type="dxa"/>
          </w:tcPr>
          <w:p>
            <w:pPr>
              <w:pStyle w:val="0"/>
              <w:jc w:val="both"/>
            </w:pPr>
            <w:r>
              <w:rPr>
                <w:sz w:val="20"/>
              </w:rPr>
              <w:t xml:space="preserve">2028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2029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2030 год</w:t>
            </w:r>
          </w:p>
        </w:tc>
        <w:tc>
          <w:tcPr>
            <w:tcW w:w="1587" w:type="dxa"/>
          </w:tcPr>
          <w:p>
            <w:pPr>
              <w:pStyle w:val="0"/>
              <w:jc w:val="center"/>
            </w:pPr>
            <w:r>
              <w:rPr>
                <w:sz w:val="20"/>
              </w:rPr>
              <w:t xml:space="preserve">0,0</w:t>
            </w:r>
          </w:p>
        </w:tc>
        <w:tc>
          <w:tcPr>
            <w:tcW w:w="1531" w:type="dxa"/>
          </w:tcPr>
          <w:p>
            <w:pPr>
              <w:pStyle w:val="0"/>
              <w:jc w:val="center"/>
            </w:pPr>
            <w:r>
              <w:rPr>
                <w:sz w:val="20"/>
              </w:rPr>
              <w:t xml:space="preserve">0,0</w:t>
            </w:r>
          </w:p>
        </w:tc>
        <w:tc>
          <w:tcPr>
            <w:tcW w:w="1700" w:type="dxa"/>
          </w:tcPr>
          <w:p>
            <w:pPr>
              <w:pStyle w:val="0"/>
              <w:jc w:val="center"/>
            </w:pPr>
            <w:r>
              <w:rPr>
                <w:sz w:val="20"/>
              </w:rPr>
              <w:t xml:space="preserve">0,0</w:t>
            </w:r>
          </w:p>
        </w:tc>
        <w:tc>
          <w:tcPr>
            <w:tcW w:w="1191" w:type="dxa"/>
          </w:tcPr>
          <w:p>
            <w:pPr>
              <w:pStyle w:val="0"/>
              <w:jc w:val="center"/>
            </w:pPr>
            <w:r>
              <w:rPr>
                <w:sz w:val="20"/>
              </w:rPr>
              <w:t xml:space="preserve">0,0</w:t>
            </w:r>
          </w:p>
        </w:tc>
        <w:tc>
          <w:tcPr>
            <w:tcW w:w="1587" w:type="dxa"/>
          </w:tcPr>
          <w:p>
            <w:pPr>
              <w:pStyle w:val="0"/>
              <w:jc w:val="center"/>
            </w:pPr>
            <w:r>
              <w:rPr>
                <w:sz w:val="20"/>
              </w:rPr>
              <w:t xml:space="preserve">0,0</w:t>
            </w:r>
          </w:p>
        </w:tc>
      </w:tr>
      <w:tr>
        <w:tc>
          <w:tcPr>
            <w:tcW w:w="1474" w:type="dxa"/>
          </w:tcPr>
          <w:p>
            <w:pPr>
              <w:pStyle w:val="0"/>
              <w:jc w:val="both"/>
            </w:pPr>
            <w:r>
              <w:rPr>
                <w:sz w:val="20"/>
              </w:rPr>
              <w:t xml:space="preserve">Всего</w:t>
            </w:r>
          </w:p>
        </w:tc>
        <w:tc>
          <w:tcPr>
            <w:tcW w:w="1587" w:type="dxa"/>
          </w:tcPr>
          <w:p>
            <w:pPr>
              <w:pStyle w:val="0"/>
              <w:jc w:val="center"/>
            </w:pPr>
            <w:r>
              <w:rPr>
                <w:sz w:val="20"/>
              </w:rPr>
              <w:t xml:space="preserve">0,0</w:t>
            </w:r>
          </w:p>
        </w:tc>
        <w:tc>
          <w:tcPr>
            <w:tcW w:w="1531" w:type="dxa"/>
          </w:tcPr>
          <w:p>
            <w:pPr>
              <w:pStyle w:val="0"/>
              <w:jc w:val="center"/>
            </w:pPr>
            <w:r>
              <w:rPr>
                <w:sz w:val="20"/>
              </w:rPr>
              <w:t xml:space="preserve">160341,7</w:t>
            </w:r>
          </w:p>
        </w:tc>
        <w:tc>
          <w:tcPr>
            <w:tcW w:w="1700" w:type="dxa"/>
          </w:tcPr>
          <w:p>
            <w:pPr>
              <w:pStyle w:val="0"/>
              <w:jc w:val="center"/>
            </w:pPr>
            <w:r>
              <w:rPr>
                <w:sz w:val="20"/>
              </w:rPr>
              <w:t xml:space="preserve">5614738,4</w:t>
            </w:r>
          </w:p>
        </w:tc>
        <w:tc>
          <w:tcPr>
            <w:tcW w:w="1191" w:type="dxa"/>
          </w:tcPr>
          <w:p>
            <w:pPr>
              <w:pStyle w:val="0"/>
              <w:jc w:val="center"/>
            </w:pPr>
            <w:r>
              <w:rPr>
                <w:sz w:val="20"/>
              </w:rPr>
              <w:t xml:space="preserve">0,0</w:t>
            </w:r>
          </w:p>
        </w:tc>
        <w:tc>
          <w:tcPr>
            <w:tcW w:w="1587" w:type="dxa"/>
          </w:tcPr>
          <w:p>
            <w:pPr>
              <w:pStyle w:val="0"/>
              <w:jc w:val="center"/>
            </w:pPr>
            <w:r>
              <w:rPr>
                <w:sz w:val="20"/>
              </w:rPr>
              <w:t xml:space="preserve">5775080,1</w:t>
            </w:r>
          </w:p>
        </w:tc>
      </w:tr>
    </w:tbl>
    <w:p>
      <w:pPr>
        <w:pStyle w:val="0"/>
        <w:jc w:val="both"/>
      </w:pPr>
      <w:r>
        <w:rPr>
          <w:sz w:val="20"/>
        </w:rPr>
        <w:t xml:space="preserve">(п. 8 в ред. </w:t>
      </w:r>
      <w:hyperlink w:history="0" r:id="rId266"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ind w:firstLine="540"/>
        <w:jc w:val="both"/>
      </w:pPr>
      <w:r>
        <w:rPr>
          <w:sz w:val="20"/>
        </w:rPr>
      </w:r>
    </w:p>
    <w:p>
      <w:pPr>
        <w:pStyle w:val="0"/>
        <w:ind w:firstLine="540"/>
        <w:jc w:val="both"/>
      </w:pPr>
      <w:r>
        <w:rPr>
          <w:sz w:val="20"/>
        </w:rPr>
        <w:t xml:space="preserve">9. Ожидаемый результат реализации подпрограммы 9: доля медицинских организаций, подведомственных Департаменту здравоохранения города Севастополя, соответствующих лицензионным требованиям.</w:t>
      </w:r>
    </w:p>
    <w:p>
      <w:pPr>
        <w:pStyle w:val="0"/>
        <w:ind w:firstLine="540"/>
        <w:jc w:val="both"/>
      </w:pPr>
      <w:r>
        <w:rPr>
          <w:sz w:val="20"/>
        </w:rPr>
      </w:r>
    </w:p>
    <w:p>
      <w:pPr>
        <w:pStyle w:val="2"/>
        <w:outlineLvl w:val="2"/>
        <w:jc w:val="center"/>
      </w:pPr>
      <w:r>
        <w:rPr>
          <w:sz w:val="20"/>
        </w:rPr>
        <w:t xml:space="preserve">I. Характеристика фактического состояния сферы реализации</w:t>
      </w:r>
    </w:p>
    <w:p>
      <w:pPr>
        <w:pStyle w:val="2"/>
        <w:jc w:val="center"/>
      </w:pPr>
      <w:r>
        <w:rPr>
          <w:sz w:val="20"/>
        </w:rPr>
        <w:t xml:space="preserve">подпрограммы 9 и прогноз развития на перспективу</w:t>
      </w:r>
    </w:p>
    <w:p>
      <w:pPr>
        <w:pStyle w:val="0"/>
        <w:jc w:val="center"/>
      </w:pPr>
      <w:r>
        <w:rPr>
          <w:sz w:val="20"/>
        </w:rPr>
      </w:r>
    </w:p>
    <w:p>
      <w:pPr>
        <w:pStyle w:val="0"/>
        <w:ind w:firstLine="540"/>
        <w:jc w:val="both"/>
      </w:pPr>
      <w:r>
        <w:rPr>
          <w:sz w:val="20"/>
        </w:rPr>
        <w:t xml:space="preserve">Медицинская помощь в городе Севастополе оказывается в 17 медицинских организациях, подведомственных ДЗГС, деятельность которых подлежит обязательному лицензированию.</w:t>
      </w:r>
    </w:p>
    <w:p>
      <w:pPr>
        <w:pStyle w:val="0"/>
        <w:spacing w:before="200" w:line-rule="auto"/>
        <w:ind w:firstLine="540"/>
        <w:jc w:val="both"/>
      </w:pPr>
      <w:r>
        <w:rPr>
          <w:sz w:val="20"/>
        </w:rPr>
        <w:t xml:space="preserve">По состоянию на 2019 год лицензия на осуществление медицинской деятельности была получена только на один адрес: Региональный сосудистый центр ГБУЗС "Городская больница N 1 им. Н.И. Пирогова". Остальные медицинские организации осуществляют медицинскую деятельность на основании уведомлений в соответствии с </w:t>
      </w:r>
      <w:hyperlink w:history="0" r:id="rId267" w:tooltip="Постановление Правительства РФ от 09.03.2015 N 207 (ред. от 27.09.2023) &quot;О применении на территориях Республики Крым и г. Севастополя законодательства Российской Федерации о лицензировании отдельных видов деятельности и законодательства Российской Федерации о защите прав юридических лиц и индивидуальных предпринимателей при осуществлении государственного контроля (надзора), муниципального контроля&quot; (вместе с &quot;Положением об особенностях применения положений Федерального закона &quot;О защите прав юридических лиц  {КонсультантПлюс}">
        <w:r>
          <w:rPr>
            <w:sz w:val="20"/>
            <w:color w:val="0000ff"/>
          </w:rPr>
          <w:t xml:space="preserve">постановлением</w:t>
        </w:r>
      </w:hyperlink>
      <w:r>
        <w:rPr>
          <w:sz w:val="20"/>
        </w:rPr>
        <w:t xml:space="preserve"> Правительства Российской Федерации от 09.03.2015 N 207 "О применении на территориях Республики Крым и г. Севастополя законодательства Российской Федерации о лицензировании отдельных видов деятельности и законодательства Российской Федерации о защите прав юридических лиц и индивидуальных предпринимателей при осуществлении государственного контроля (надзора), муниципального контроля", в соответствии с которым на территории города Севастополя до 01.07.2023 допускается осуществление медицинской деятельности без получения лицензии.</w:t>
      </w:r>
    </w:p>
    <w:p>
      <w:pPr>
        <w:pStyle w:val="0"/>
        <w:spacing w:before="200" w:line-rule="auto"/>
        <w:ind w:firstLine="540"/>
        <w:jc w:val="both"/>
      </w:pPr>
      <w:r>
        <w:rPr>
          <w:sz w:val="20"/>
        </w:rPr>
        <w:t xml:space="preserve">Из общего числа подведомственных ДЗГС медицинских организаций медицинскую помощь оказывают 17 медицинских организаций, из них в амбулаторных условиях оказывают 12 медицинских организаций (функциональной мощностью 6553 посещения в смену), медицинскую помощь в условиях дневного стационара осуществляют 12 медицинских организаций (общей мощностью 391 койка); специализированную медицинскую помощь в условиях круглосуточных стационаров - 8 организаций (общей мощностью 2536 коек).</w:t>
      </w:r>
    </w:p>
    <w:p>
      <w:pPr>
        <w:pStyle w:val="0"/>
        <w:spacing w:before="200" w:line-rule="auto"/>
        <w:ind w:firstLine="540"/>
        <w:jc w:val="both"/>
      </w:pPr>
      <w:r>
        <w:rPr>
          <w:sz w:val="20"/>
        </w:rPr>
        <w:t xml:space="preserve">При сравнении расчетного норматива потребности в койках круглосуточного стационара и существующего коечного фонда </w:t>
      </w:r>
      <w:hyperlink w:history="0" w:anchor="P2921" w:tooltip="Сведения о показателях (индикаторах) государственной">
        <w:r>
          <w:rPr>
            <w:sz w:val="20"/>
            <w:color w:val="0000ff"/>
          </w:rPr>
          <w:t xml:space="preserve">(приложение N 1)</w:t>
        </w:r>
      </w:hyperlink>
      <w:r>
        <w:rPr>
          <w:sz w:val="20"/>
        </w:rPr>
        <w:t xml:space="preserve"> выявлено следующее:</w:t>
      </w:r>
    </w:p>
    <w:p>
      <w:pPr>
        <w:pStyle w:val="0"/>
        <w:spacing w:before="200" w:line-rule="auto"/>
        <w:ind w:firstLine="540"/>
        <w:jc w:val="both"/>
      </w:pPr>
      <w:r>
        <w:rPr>
          <w:sz w:val="20"/>
        </w:rPr>
        <w:t xml:space="preserve">- при нормативе коек для оказания медицинской помощи за счет средств ОМС в количестве 2002 шт. коечный фонд составляет 1887 коек, дефицит - 115 шт. Наибольшее отклонение по профилям: неврология - 55 шт., медицинская реабилитация - 59 шт., хирургия - 32 шт., кардиология - 20 шт., педиатрия - 49 шт. Острый дефицит перечисленных профилей частично компенсируется избыточным числом узких профильных коек (эндокринология, нефрология, инфекционные болезни);</w:t>
      </w:r>
    </w:p>
    <w:p>
      <w:pPr>
        <w:pStyle w:val="0"/>
        <w:spacing w:before="200" w:line-rule="auto"/>
        <w:ind w:firstLine="540"/>
        <w:jc w:val="both"/>
      </w:pPr>
      <w:r>
        <w:rPr>
          <w:sz w:val="20"/>
        </w:rPr>
        <w:t xml:space="preserve">- при нормативе коек для оказания медицинской помощи за счет средств бюджета в количестве 905 шт. существующий коечный фонд представлен 649 койками, дефицит - 256 шт. Наибольшее отклонение наблюдается по психиатрии - 120 шт., наркологии - 43 шт. и паллиативной помощи - 62 шт.</w:t>
      </w:r>
    </w:p>
    <w:p>
      <w:pPr>
        <w:pStyle w:val="0"/>
        <w:spacing w:before="200" w:line-rule="auto"/>
        <w:ind w:firstLine="540"/>
        <w:jc w:val="both"/>
      </w:pPr>
      <w:r>
        <w:rPr>
          <w:sz w:val="20"/>
        </w:rPr>
        <w:t xml:space="preserve">Главной проблемой, препятствующей получению лицензии на осуществление медицинской деятельности государственными медицинскими организациями, является несоответствие зданий, строений и помещений медицинских организаций требованиям </w:t>
      </w:r>
      <w:hyperlink w:history="0" r:id="rId268" w:tooltip="Постановление Главного государственного санитарного врача РФ от 18.05.2010 N 58 (ред. от 10.06.2016) &quot;Об утверждении СанПиН 2.1.3.2630-10 &quot;Санитарно-эпидемиологические требования к организациям, осуществляющим медицинскую деятельность&quot; (вместе с &quot;СанПиН 2.1.3.2630-10. Санитарно-эпидемиологические правила и нормативы...&quot;) (Зарегистрировано в Минюсте России 09.08.2010 N 18094) ------------ Утратил силу или отменен {КонсультантПлюс}">
        <w:r>
          <w:rPr>
            <w:sz w:val="20"/>
            <w:color w:val="0000ff"/>
          </w:rPr>
          <w:t xml:space="preserve">СанПиН 2.1.3.2630-10</w:t>
        </w:r>
      </w:hyperlink>
      <w:r>
        <w:rPr>
          <w:sz w:val="20"/>
        </w:rPr>
        <w:t xml:space="preserve"> и СП 158.13330.2014, что делает невозможным получение положительного санитарно-эпидемиологического заключения на помещения.</w:t>
      </w:r>
    </w:p>
    <w:p>
      <w:pPr>
        <w:pStyle w:val="0"/>
        <w:spacing w:before="200" w:line-rule="auto"/>
        <w:ind w:firstLine="540"/>
        <w:jc w:val="both"/>
      </w:pPr>
      <w:r>
        <w:rPr>
          <w:sz w:val="20"/>
        </w:rPr>
        <w:t xml:space="preserve">К основным нарушениям относятся архитектурно-планировочные и конструктивные решения зданий и помещений: близкое расположение зданий медицинских организаций относительно жилой застройки, размещение поликлиник и подстанций скорой помощи в жилых зданиях; несоответствие большинства отделений и структурных подразделений медицинских организаций санитарным нормам по набору помещений и площадям.</w:t>
      </w:r>
    </w:p>
    <w:p>
      <w:pPr>
        <w:pStyle w:val="0"/>
        <w:spacing w:before="200" w:line-rule="auto"/>
        <w:ind w:firstLine="540"/>
        <w:jc w:val="both"/>
      </w:pPr>
      <w:r>
        <w:rPr>
          <w:sz w:val="20"/>
        </w:rPr>
        <w:t xml:space="preserve">Степень износа основной части капитальных строений составляет 80 - 100%, пространственные характеристики большинства помещений требуют увеличения их площадей в 1,5 - 2 раза, большинство инженерных сетей подлежит полной замене. Некоторые помещения не оборудованы системами приточно-вытяжной вентиляции с механическим побуждением, системой разводки медицинских газов, помещения не оснащены лифтовыми системами, не во всех помещениях подведено горячее водоснабжение, в некоторых действующих фельдшерско-акушерских пунктах отсутствует система канализации (водоотведение организовано на выгреб), помещения медицинских организаций не оснащены стерилизующей аппаратурой и системами утилизации медицинских отходов.</w:t>
      </w:r>
    </w:p>
    <w:p>
      <w:pPr>
        <w:pStyle w:val="0"/>
        <w:spacing w:before="200" w:line-rule="auto"/>
        <w:ind w:firstLine="540"/>
        <w:jc w:val="both"/>
      </w:pPr>
      <w:r>
        <w:rPr>
          <w:sz w:val="20"/>
        </w:rPr>
        <w:t xml:space="preserve">Техническое состояние зданий, эксплуатационные характеристики и площади помещений зачастую не позволяют провести реконструкцию в соответствии с нормативными требованиями для оказания специализированной и высокотехнологичной медицинской помощи населению и размещения современного оборудования.</w:t>
      </w:r>
    </w:p>
    <w:p>
      <w:pPr>
        <w:pStyle w:val="0"/>
        <w:ind w:firstLine="540"/>
        <w:jc w:val="both"/>
      </w:pPr>
      <w:r>
        <w:rPr>
          <w:sz w:val="20"/>
        </w:rPr>
      </w:r>
    </w:p>
    <w:p>
      <w:pPr>
        <w:pStyle w:val="2"/>
        <w:outlineLvl w:val="2"/>
        <w:jc w:val="center"/>
      </w:pPr>
      <w:r>
        <w:rPr>
          <w:sz w:val="20"/>
        </w:rPr>
        <w:t xml:space="preserve">II. Приоритеты, цели, задачи и показатели (целевые</w:t>
      </w:r>
    </w:p>
    <w:p>
      <w:pPr>
        <w:pStyle w:val="2"/>
        <w:jc w:val="center"/>
      </w:pPr>
      <w:r>
        <w:rPr>
          <w:sz w:val="20"/>
        </w:rPr>
        <w:t xml:space="preserve">индикаторы), результаты, этапы и сроки реализации</w:t>
      </w:r>
    </w:p>
    <w:p>
      <w:pPr>
        <w:pStyle w:val="0"/>
        <w:jc w:val="center"/>
      </w:pPr>
      <w:r>
        <w:rPr>
          <w:sz w:val="20"/>
        </w:rPr>
      </w:r>
    </w:p>
    <w:p>
      <w:pPr>
        <w:pStyle w:val="0"/>
        <w:ind w:firstLine="540"/>
        <w:jc w:val="both"/>
      </w:pPr>
      <w:r>
        <w:rPr>
          <w:sz w:val="20"/>
        </w:rPr>
        <w:t xml:space="preserve">Основными приоритетами подпрограммы 9 являются укрепление материально-технической базы здравоохранения города Севастополя, обеспечение достойных условий для работы медицинского персонала учреждений здравоохранения города Севастополя и обеспечение безопасности функционирования объектов здравоохранения.</w:t>
      </w:r>
    </w:p>
    <w:p>
      <w:pPr>
        <w:pStyle w:val="0"/>
        <w:spacing w:before="200" w:line-rule="auto"/>
        <w:ind w:firstLine="540"/>
        <w:jc w:val="both"/>
      </w:pPr>
      <w:r>
        <w:rPr>
          <w:sz w:val="20"/>
        </w:rPr>
        <w:t xml:space="preserve">Целью реализации подпрограммы 9 является обеспечение возможности получения лицензий на ведение медицинской и/или фармацевтической деятельности для всех медицинских организаций, подведомственных ДЗГС.</w:t>
      </w:r>
    </w:p>
    <w:p>
      <w:pPr>
        <w:pStyle w:val="0"/>
        <w:spacing w:before="200" w:line-rule="auto"/>
        <w:ind w:firstLine="540"/>
        <w:jc w:val="both"/>
      </w:pPr>
      <w:r>
        <w:rPr>
          <w:sz w:val="20"/>
        </w:rPr>
        <w:t xml:space="preserve">Задачи подпрограммы 9:</w:t>
      </w:r>
    </w:p>
    <w:p>
      <w:pPr>
        <w:pStyle w:val="0"/>
        <w:spacing w:before="200" w:line-rule="auto"/>
        <w:ind w:firstLine="540"/>
        <w:jc w:val="both"/>
      </w:pPr>
      <w:r>
        <w:rPr>
          <w:sz w:val="20"/>
        </w:rPr>
        <w:t xml:space="preserve">- приведение учреждений первичной медико-санитарной помощи в соответствие стандартам оснащения, срок реализации - до 2023 года;</w:t>
      </w:r>
    </w:p>
    <w:p>
      <w:pPr>
        <w:pStyle w:val="0"/>
        <w:spacing w:before="200" w:line-rule="auto"/>
        <w:ind w:firstLine="540"/>
        <w:jc w:val="both"/>
      </w:pPr>
      <w:r>
        <w:rPr>
          <w:sz w:val="20"/>
        </w:rPr>
        <w:t xml:space="preserve">- приведение учреждений, оказывающих специализированную и скорую медицинскую помощь, в соответствие стандартам оснащения, срок реализации - до 2023 года;</w:t>
      </w:r>
    </w:p>
    <w:p>
      <w:pPr>
        <w:pStyle w:val="0"/>
        <w:spacing w:before="200" w:line-rule="auto"/>
        <w:ind w:firstLine="540"/>
        <w:jc w:val="both"/>
      </w:pPr>
      <w:r>
        <w:rPr>
          <w:sz w:val="20"/>
        </w:rPr>
        <w:t xml:space="preserve">- приведение учреждений охраны здоровья матери и ребенка в соответствие стандартам оснащения, срок реализации - до 2023 года;</w:t>
      </w:r>
    </w:p>
    <w:p>
      <w:pPr>
        <w:pStyle w:val="0"/>
        <w:spacing w:before="200" w:line-rule="auto"/>
        <w:ind w:firstLine="540"/>
        <w:jc w:val="both"/>
      </w:pPr>
      <w:r>
        <w:rPr>
          <w:sz w:val="20"/>
        </w:rPr>
        <w:t xml:space="preserve">- приведение прочих учреждений в соответствие стандартам оснащения, срок реализации - до 2023 года;</w:t>
      </w:r>
    </w:p>
    <w:p>
      <w:pPr>
        <w:pStyle w:val="0"/>
        <w:spacing w:before="200" w:line-rule="auto"/>
        <w:ind w:firstLine="540"/>
        <w:jc w:val="both"/>
      </w:pPr>
      <w:r>
        <w:rPr>
          <w:sz w:val="20"/>
        </w:rPr>
        <w:t xml:space="preserve">- мероприятия по комплексной безопасности (информатизация здравоохранения, противодействие ЧС, антитеррористические мероприятия, охрана, повышение энергоэффективности медицинских учреждений, установка систем пожарной безопасности, доступная среда для маломобильных групп населения и пр.) учреждений.</w:t>
      </w:r>
    </w:p>
    <w:p>
      <w:pPr>
        <w:pStyle w:val="0"/>
        <w:spacing w:before="200" w:line-rule="auto"/>
        <w:ind w:firstLine="540"/>
        <w:jc w:val="both"/>
      </w:pPr>
      <w:hyperlink w:history="0" w:anchor="P2921" w:tooltip="Сведения о показателях (индикаторах) государственной">
        <w:r>
          <w:rPr>
            <w:sz w:val="20"/>
            <w:color w:val="0000ff"/>
          </w:rPr>
          <w:t xml:space="preserve">Сведения</w:t>
        </w:r>
      </w:hyperlink>
      <w:r>
        <w:rPr>
          <w:sz w:val="20"/>
        </w:rPr>
        <w:t xml:space="preserve"> о целевых показателях (индикаторах) подпрограммы 9 представлены в приложении N 1 к Программе.</w:t>
      </w:r>
    </w:p>
    <w:p>
      <w:pPr>
        <w:pStyle w:val="0"/>
        <w:spacing w:before="200" w:line-rule="auto"/>
        <w:ind w:firstLine="540"/>
        <w:jc w:val="both"/>
      </w:pPr>
      <w:r>
        <w:rPr>
          <w:sz w:val="20"/>
        </w:rPr>
        <w:t xml:space="preserve">Срок реализации подпрограммы 9: с 2018 по 2022 год с учетом поставленных задач.</w:t>
      </w:r>
    </w:p>
    <w:p>
      <w:pPr>
        <w:pStyle w:val="0"/>
        <w:ind w:firstLine="540"/>
        <w:jc w:val="both"/>
      </w:pPr>
      <w:r>
        <w:rPr>
          <w:sz w:val="20"/>
        </w:rPr>
      </w:r>
    </w:p>
    <w:p>
      <w:pPr>
        <w:pStyle w:val="2"/>
        <w:outlineLvl w:val="2"/>
        <w:jc w:val="center"/>
      </w:pPr>
      <w:r>
        <w:rPr>
          <w:sz w:val="20"/>
        </w:rPr>
        <w:t xml:space="preserve">III. Характеристика основных мероприятий подпрограммы 9</w:t>
      </w:r>
    </w:p>
    <w:p>
      <w:pPr>
        <w:pStyle w:val="0"/>
        <w:ind w:firstLine="540"/>
        <w:jc w:val="both"/>
      </w:pPr>
      <w:r>
        <w:rPr>
          <w:sz w:val="20"/>
        </w:rPr>
      </w:r>
    </w:p>
    <w:p>
      <w:pPr>
        <w:pStyle w:val="0"/>
        <w:ind w:firstLine="540"/>
        <w:jc w:val="both"/>
      </w:pPr>
      <w:r>
        <w:rPr>
          <w:sz w:val="20"/>
        </w:rPr>
        <w:t xml:space="preserve">В целях реализации подпрограммы 9 необходимы:</w:t>
      </w:r>
    </w:p>
    <w:p>
      <w:pPr>
        <w:pStyle w:val="0"/>
        <w:spacing w:before="200" w:line-rule="auto"/>
        <w:ind w:firstLine="540"/>
        <w:jc w:val="both"/>
      </w:pPr>
      <w:r>
        <w:rPr>
          <w:sz w:val="20"/>
        </w:rPr>
        <w:t xml:space="preserve">- проведение капитальных ремонтов медицинских организаций города Севастополя;</w:t>
      </w:r>
    </w:p>
    <w:p>
      <w:pPr>
        <w:pStyle w:val="0"/>
        <w:spacing w:before="200" w:line-rule="auto"/>
        <w:ind w:firstLine="540"/>
        <w:jc w:val="both"/>
      </w:pPr>
      <w:r>
        <w:rPr>
          <w:sz w:val="20"/>
        </w:rPr>
        <w:t xml:space="preserve">- закупка недостающего медицинского оборудования и медицинских изделий;</w:t>
      </w:r>
    </w:p>
    <w:p>
      <w:pPr>
        <w:pStyle w:val="0"/>
        <w:spacing w:before="200" w:line-rule="auto"/>
        <w:ind w:firstLine="540"/>
        <w:jc w:val="both"/>
      </w:pPr>
      <w:r>
        <w:rPr>
          <w:sz w:val="20"/>
        </w:rPr>
        <w:t xml:space="preserve">- обеспечение доступной среды для маломобильных групп пациентов;</w:t>
      </w:r>
    </w:p>
    <w:p>
      <w:pPr>
        <w:pStyle w:val="0"/>
        <w:spacing w:before="200" w:line-rule="auto"/>
        <w:ind w:firstLine="540"/>
        <w:jc w:val="both"/>
      </w:pPr>
      <w:r>
        <w:rPr>
          <w:sz w:val="20"/>
        </w:rPr>
        <w:t xml:space="preserve">- совершенствование ИТ-служб медицинских организаций;</w:t>
      </w:r>
    </w:p>
    <w:p>
      <w:pPr>
        <w:pStyle w:val="0"/>
        <w:spacing w:before="200" w:line-rule="auto"/>
        <w:ind w:firstLine="540"/>
        <w:jc w:val="both"/>
      </w:pPr>
      <w:r>
        <w:rPr>
          <w:sz w:val="20"/>
        </w:rPr>
        <w:t xml:space="preserve">- закупка и монтаж противопожарного оборудования;</w:t>
      </w:r>
    </w:p>
    <w:p>
      <w:pPr>
        <w:pStyle w:val="0"/>
        <w:spacing w:before="200" w:line-rule="auto"/>
        <w:ind w:firstLine="540"/>
        <w:jc w:val="both"/>
      </w:pPr>
      <w:r>
        <w:rPr>
          <w:sz w:val="20"/>
        </w:rPr>
        <w:t xml:space="preserve">- закупка и монтаж оборудования для контроля доступа и организации мероприятий по обеспечению безопасности на территории медицинских организаций;</w:t>
      </w:r>
    </w:p>
    <w:p>
      <w:pPr>
        <w:pStyle w:val="0"/>
        <w:spacing w:before="200" w:line-rule="auto"/>
        <w:ind w:firstLine="540"/>
        <w:jc w:val="both"/>
      </w:pPr>
      <w:r>
        <w:rPr>
          <w:sz w:val="20"/>
        </w:rPr>
        <w:t xml:space="preserve">- закупка оборудования для обеспечения энергоэффективности функционирования инженерных сетей медицинских организаций.</w:t>
      </w:r>
    </w:p>
    <w:p>
      <w:pPr>
        <w:pStyle w:val="0"/>
        <w:spacing w:before="200" w:line-rule="auto"/>
        <w:ind w:firstLine="540"/>
        <w:jc w:val="both"/>
      </w:pPr>
      <w:r>
        <w:rPr>
          <w:sz w:val="20"/>
        </w:rPr>
        <w:t xml:space="preserve">Общий </w:t>
      </w:r>
      <w:hyperlink w:history="0" w:anchor="P4719" w:tooltip="Перечень основных мероприятий государственной программы">
        <w:r>
          <w:rPr>
            <w:sz w:val="20"/>
            <w:color w:val="0000ff"/>
          </w:rPr>
          <w:t xml:space="preserve">перечень</w:t>
        </w:r>
      </w:hyperlink>
      <w:r>
        <w:rPr>
          <w:sz w:val="20"/>
        </w:rPr>
        <w:t xml:space="preserve"> мероприятий подпрограммы 9 представлен в приложении N 2 к Программе.</w:t>
      </w:r>
    </w:p>
    <w:p>
      <w:pPr>
        <w:pStyle w:val="0"/>
        <w:ind w:firstLine="540"/>
        <w:jc w:val="both"/>
      </w:pPr>
      <w:r>
        <w:rPr>
          <w:sz w:val="20"/>
        </w:rPr>
      </w:r>
    </w:p>
    <w:p>
      <w:pPr>
        <w:pStyle w:val="2"/>
        <w:outlineLvl w:val="2"/>
        <w:jc w:val="center"/>
      </w:pPr>
      <w:r>
        <w:rPr>
          <w:sz w:val="20"/>
        </w:rPr>
        <w:t xml:space="preserve">IV. Характеристика мер государственного</w:t>
      </w:r>
    </w:p>
    <w:p>
      <w:pPr>
        <w:pStyle w:val="2"/>
        <w:jc w:val="center"/>
      </w:pPr>
      <w:r>
        <w:rPr>
          <w:sz w:val="20"/>
        </w:rPr>
        <w:t xml:space="preserve">и правового регулирования</w:t>
      </w:r>
    </w:p>
    <w:p>
      <w:pPr>
        <w:pStyle w:val="0"/>
        <w:jc w:val="center"/>
      </w:pPr>
      <w:r>
        <w:rPr>
          <w:sz w:val="20"/>
        </w:rPr>
      </w:r>
    </w:p>
    <w:p>
      <w:pPr>
        <w:pStyle w:val="0"/>
        <w:ind w:firstLine="540"/>
        <w:jc w:val="both"/>
      </w:pPr>
      <w:r>
        <w:rPr>
          <w:sz w:val="20"/>
        </w:rPr>
        <w:t xml:space="preserve">Программа предусматривает применение мер государственного и правового регулирования в сфере здравоохранения.</w:t>
      </w:r>
    </w:p>
    <w:p>
      <w:pPr>
        <w:pStyle w:val="0"/>
        <w:spacing w:before="200" w:line-rule="auto"/>
        <w:ind w:firstLine="540"/>
        <w:jc w:val="both"/>
      </w:pPr>
      <w:r>
        <w:rPr>
          <w:sz w:val="20"/>
        </w:rPr>
        <w:t xml:space="preserve">Основные меры правового регулирования в сфере здравоохранения, направленные на достижение цели, конечных результатов Программы, предусматривают разработку и принятие ряда нормативных правовых актов.</w:t>
      </w:r>
    </w:p>
    <w:p>
      <w:pPr>
        <w:pStyle w:val="0"/>
        <w:ind w:firstLine="540"/>
        <w:jc w:val="both"/>
      </w:pPr>
      <w:r>
        <w:rPr>
          <w:sz w:val="20"/>
        </w:rPr>
      </w:r>
    </w:p>
    <w:p>
      <w:pPr>
        <w:pStyle w:val="2"/>
        <w:outlineLvl w:val="2"/>
        <w:jc w:val="center"/>
      </w:pPr>
      <w:r>
        <w:rPr>
          <w:sz w:val="20"/>
        </w:rPr>
        <w:t xml:space="preserve">V. Ресурсное обеспечение, необходимое</w:t>
      </w:r>
    </w:p>
    <w:p>
      <w:pPr>
        <w:pStyle w:val="2"/>
        <w:jc w:val="center"/>
      </w:pPr>
      <w:r>
        <w:rPr>
          <w:sz w:val="20"/>
        </w:rPr>
        <w:t xml:space="preserve">для реализации подпрограммы 9</w:t>
      </w:r>
    </w:p>
    <w:p>
      <w:pPr>
        <w:pStyle w:val="0"/>
        <w:jc w:val="center"/>
      </w:pPr>
      <w:r>
        <w:rPr>
          <w:sz w:val="20"/>
        </w:rPr>
      </w:r>
    </w:p>
    <w:p>
      <w:pPr>
        <w:pStyle w:val="0"/>
        <w:ind w:firstLine="540"/>
        <w:jc w:val="both"/>
      </w:pPr>
      <w:r>
        <w:rPr>
          <w:sz w:val="20"/>
        </w:rPr>
        <w:t xml:space="preserve">Источником финансирования мероприятий подпрограммы 9 являются средства бюджета города Москвы.</w:t>
      </w:r>
    </w:p>
    <w:p>
      <w:pPr>
        <w:pStyle w:val="0"/>
        <w:spacing w:before="200" w:line-rule="auto"/>
        <w:ind w:firstLine="540"/>
        <w:jc w:val="both"/>
      </w:pPr>
      <w:r>
        <w:rPr>
          <w:sz w:val="20"/>
        </w:rPr>
        <w:t xml:space="preserve">Общий объем финансового обеспечения подпрограммы 9 в 2022 - 2030 годах составляет 5775080,1 тыс. руб., из них:</w:t>
      </w:r>
    </w:p>
    <w:p>
      <w:pPr>
        <w:pStyle w:val="0"/>
        <w:jc w:val="both"/>
      </w:pPr>
      <w:r>
        <w:rPr>
          <w:sz w:val="20"/>
        </w:rPr>
        <w:t xml:space="preserve">(в ред. </w:t>
      </w:r>
      <w:hyperlink w:history="0" r:id="rId269"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средства федерального бюджета - 0,0 тыс. руб., в том числе:</w:t>
      </w:r>
    </w:p>
    <w:p>
      <w:pPr>
        <w:pStyle w:val="0"/>
        <w:jc w:val="both"/>
      </w:pPr>
      <w:r>
        <w:rPr>
          <w:sz w:val="20"/>
        </w:rPr>
        <w:t xml:space="preserve">(в ред. </w:t>
      </w:r>
      <w:hyperlink w:history="0" r:id="rId270"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2022 г. - 0,0 тыс. руб.;</w:t>
      </w:r>
    </w:p>
    <w:p>
      <w:pPr>
        <w:pStyle w:val="0"/>
        <w:jc w:val="both"/>
      </w:pPr>
      <w:r>
        <w:rPr>
          <w:sz w:val="20"/>
        </w:rPr>
        <w:t xml:space="preserve">(в ред. </w:t>
      </w:r>
      <w:hyperlink w:history="0" r:id="rId271"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2023 г. - 0,0 тыс. руб.;</w:t>
      </w:r>
    </w:p>
    <w:p>
      <w:pPr>
        <w:pStyle w:val="0"/>
        <w:jc w:val="both"/>
      </w:pPr>
      <w:r>
        <w:rPr>
          <w:sz w:val="20"/>
        </w:rPr>
        <w:t xml:space="preserve">(в ред. </w:t>
      </w:r>
      <w:hyperlink w:history="0" r:id="rId27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2024 г. - 0,0 тыс. руб.;</w:t>
      </w:r>
    </w:p>
    <w:p>
      <w:pPr>
        <w:pStyle w:val="0"/>
        <w:jc w:val="both"/>
      </w:pPr>
      <w:r>
        <w:rPr>
          <w:sz w:val="20"/>
        </w:rPr>
        <w:t xml:space="preserve">(в ред. </w:t>
      </w:r>
      <w:hyperlink w:history="0" r:id="rId273"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2025 г. - 0,0 тыс. руб.;</w:t>
      </w:r>
    </w:p>
    <w:p>
      <w:pPr>
        <w:pStyle w:val="0"/>
        <w:jc w:val="both"/>
      </w:pPr>
      <w:r>
        <w:rPr>
          <w:sz w:val="20"/>
        </w:rPr>
        <w:t xml:space="preserve">(в ред. </w:t>
      </w:r>
      <w:hyperlink w:history="0" r:id="rId274"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2026 г. - 0,0 тыс. руб.;</w:t>
      </w:r>
    </w:p>
    <w:p>
      <w:pPr>
        <w:pStyle w:val="0"/>
        <w:jc w:val="both"/>
      </w:pPr>
      <w:r>
        <w:rPr>
          <w:sz w:val="20"/>
        </w:rPr>
        <w:t xml:space="preserve">(в ред. </w:t>
      </w:r>
      <w:hyperlink w:history="0" r:id="rId275"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2027 г. - 0,0 тыс. руб.;</w:t>
      </w:r>
    </w:p>
    <w:p>
      <w:pPr>
        <w:pStyle w:val="0"/>
        <w:jc w:val="both"/>
      </w:pPr>
      <w:r>
        <w:rPr>
          <w:sz w:val="20"/>
        </w:rPr>
        <w:t xml:space="preserve">(в ред. </w:t>
      </w:r>
      <w:hyperlink w:history="0" r:id="rId276"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2028 г. - 0,0 тыс. руб.;</w:t>
      </w:r>
    </w:p>
    <w:p>
      <w:pPr>
        <w:pStyle w:val="0"/>
        <w:jc w:val="both"/>
      </w:pPr>
      <w:r>
        <w:rPr>
          <w:sz w:val="20"/>
        </w:rPr>
        <w:t xml:space="preserve">(в ред. </w:t>
      </w:r>
      <w:hyperlink w:history="0" r:id="rId277"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2029 г. - 0,0 тыс. руб.;</w:t>
      </w:r>
    </w:p>
    <w:p>
      <w:pPr>
        <w:pStyle w:val="0"/>
        <w:jc w:val="both"/>
      </w:pPr>
      <w:r>
        <w:rPr>
          <w:sz w:val="20"/>
        </w:rPr>
        <w:t xml:space="preserve">(в ред. </w:t>
      </w:r>
      <w:hyperlink w:history="0" r:id="rId278"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2030 г. - 0,0 тыс. руб.;</w:t>
      </w:r>
    </w:p>
    <w:p>
      <w:pPr>
        <w:pStyle w:val="0"/>
        <w:jc w:val="both"/>
      </w:pPr>
      <w:r>
        <w:rPr>
          <w:sz w:val="20"/>
        </w:rPr>
        <w:t xml:space="preserve">(в ред. </w:t>
      </w:r>
      <w:hyperlink w:history="0" r:id="rId279"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средства бюджета города Севастополя - 160341,7 тыс. руб., в том числе:</w:t>
      </w:r>
    </w:p>
    <w:p>
      <w:pPr>
        <w:pStyle w:val="0"/>
        <w:jc w:val="both"/>
      </w:pPr>
      <w:r>
        <w:rPr>
          <w:sz w:val="20"/>
        </w:rPr>
        <w:t xml:space="preserve">(в ред. </w:t>
      </w:r>
      <w:hyperlink w:history="0" r:id="rId280"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2022 г. - 0,0 тыс. руб.;</w:t>
      </w:r>
    </w:p>
    <w:p>
      <w:pPr>
        <w:pStyle w:val="0"/>
        <w:jc w:val="both"/>
      </w:pPr>
      <w:r>
        <w:rPr>
          <w:sz w:val="20"/>
        </w:rPr>
        <w:t xml:space="preserve">(в ред. </w:t>
      </w:r>
      <w:hyperlink w:history="0" r:id="rId281"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2023 г. - 0,0 тыс. руб.;</w:t>
      </w:r>
    </w:p>
    <w:p>
      <w:pPr>
        <w:pStyle w:val="0"/>
        <w:jc w:val="both"/>
      </w:pPr>
      <w:r>
        <w:rPr>
          <w:sz w:val="20"/>
        </w:rPr>
        <w:t xml:space="preserve">(в ред. </w:t>
      </w:r>
      <w:hyperlink w:history="0" r:id="rId28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2024 г. - 0,0 тыс. руб.;</w:t>
      </w:r>
    </w:p>
    <w:p>
      <w:pPr>
        <w:pStyle w:val="0"/>
        <w:jc w:val="both"/>
      </w:pPr>
      <w:r>
        <w:rPr>
          <w:sz w:val="20"/>
        </w:rPr>
        <w:t xml:space="preserve">(в ред. </w:t>
      </w:r>
      <w:hyperlink w:history="0" r:id="rId283"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2025 г. - 0,0 тыс. руб.;</w:t>
      </w:r>
    </w:p>
    <w:p>
      <w:pPr>
        <w:pStyle w:val="0"/>
        <w:jc w:val="both"/>
      </w:pPr>
      <w:r>
        <w:rPr>
          <w:sz w:val="20"/>
        </w:rPr>
        <w:t xml:space="preserve">(в ред. </w:t>
      </w:r>
      <w:hyperlink w:history="0" r:id="rId284"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2026 г. - 0,0 тыс. руб.;</w:t>
      </w:r>
    </w:p>
    <w:p>
      <w:pPr>
        <w:pStyle w:val="0"/>
        <w:jc w:val="both"/>
      </w:pPr>
      <w:r>
        <w:rPr>
          <w:sz w:val="20"/>
        </w:rPr>
        <w:t xml:space="preserve">(в ред. </w:t>
      </w:r>
      <w:hyperlink w:history="0" r:id="rId285"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2027 г. - 160341,7 тыс. руб.;</w:t>
      </w:r>
    </w:p>
    <w:p>
      <w:pPr>
        <w:pStyle w:val="0"/>
        <w:jc w:val="both"/>
      </w:pPr>
      <w:r>
        <w:rPr>
          <w:sz w:val="20"/>
        </w:rPr>
        <w:t xml:space="preserve">(в ред. </w:t>
      </w:r>
      <w:hyperlink w:history="0" r:id="rId286"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2028 г. - 0,0 тыс. руб.;</w:t>
      </w:r>
    </w:p>
    <w:p>
      <w:pPr>
        <w:pStyle w:val="0"/>
        <w:jc w:val="both"/>
      </w:pPr>
      <w:r>
        <w:rPr>
          <w:sz w:val="20"/>
        </w:rPr>
        <w:t xml:space="preserve">(в ред. </w:t>
      </w:r>
      <w:hyperlink w:history="0" r:id="rId287"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2029 г. - 0,0 тыс. руб.;</w:t>
      </w:r>
    </w:p>
    <w:p>
      <w:pPr>
        <w:pStyle w:val="0"/>
        <w:jc w:val="both"/>
      </w:pPr>
      <w:r>
        <w:rPr>
          <w:sz w:val="20"/>
        </w:rPr>
        <w:t xml:space="preserve">(в ред. </w:t>
      </w:r>
      <w:hyperlink w:history="0" r:id="rId288"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2030 г. - 0,0 тыс. руб.;</w:t>
      </w:r>
    </w:p>
    <w:p>
      <w:pPr>
        <w:pStyle w:val="0"/>
        <w:jc w:val="both"/>
      </w:pPr>
      <w:r>
        <w:rPr>
          <w:sz w:val="20"/>
        </w:rPr>
        <w:t xml:space="preserve">(в ред. </w:t>
      </w:r>
      <w:hyperlink w:history="0" r:id="rId289"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средства бюджетов других субъектов Российской Федерации (город Москва) - 5614738,4 тыс. руб., в том числе:</w:t>
      </w:r>
    </w:p>
    <w:p>
      <w:pPr>
        <w:pStyle w:val="0"/>
        <w:jc w:val="both"/>
      </w:pPr>
      <w:r>
        <w:rPr>
          <w:sz w:val="20"/>
        </w:rPr>
        <w:t xml:space="preserve">(в ред. </w:t>
      </w:r>
      <w:hyperlink w:history="0" r:id="rId290"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2022 г. - 2639290,1 тыс. руб.;</w:t>
      </w:r>
    </w:p>
    <w:p>
      <w:pPr>
        <w:pStyle w:val="0"/>
        <w:jc w:val="both"/>
      </w:pPr>
      <w:r>
        <w:rPr>
          <w:sz w:val="20"/>
        </w:rPr>
        <w:t xml:space="preserve">(в ред. </w:t>
      </w:r>
      <w:hyperlink w:history="0" r:id="rId291"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2023 г. - 2975448,3 тыс. руб.;</w:t>
      </w:r>
    </w:p>
    <w:p>
      <w:pPr>
        <w:pStyle w:val="0"/>
        <w:jc w:val="both"/>
      </w:pPr>
      <w:r>
        <w:rPr>
          <w:sz w:val="20"/>
        </w:rPr>
        <w:t xml:space="preserve">(в ред. </w:t>
      </w:r>
      <w:hyperlink w:history="0" r:id="rId29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spacing w:before="200" w:line-rule="auto"/>
        <w:ind w:firstLine="540"/>
        <w:jc w:val="both"/>
      </w:pPr>
      <w:r>
        <w:rPr>
          <w:sz w:val="20"/>
        </w:rPr>
        <w:t xml:space="preserve">внебюджетные средства - 0,0 тыс. руб., в том числе:</w:t>
      </w:r>
    </w:p>
    <w:p>
      <w:pPr>
        <w:pStyle w:val="0"/>
        <w:spacing w:before="200" w:line-rule="auto"/>
        <w:ind w:firstLine="540"/>
        <w:jc w:val="both"/>
      </w:pPr>
      <w:r>
        <w:rPr>
          <w:sz w:val="20"/>
        </w:rPr>
        <w:t xml:space="preserve">2022 г. - 0,0 тыс. руб.;</w:t>
      </w:r>
    </w:p>
    <w:p>
      <w:pPr>
        <w:pStyle w:val="0"/>
        <w:spacing w:before="200" w:line-rule="auto"/>
        <w:ind w:firstLine="540"/>
        <w:jc w:val="both"/>
      </w:pPr>
      <w:r>
        <w:rPr>
          <w:sz w:val="20"/>
        </w:rPr>
        <w:t xml:space="preserve">2023 г. - 0,0 тыс. руб.;</w:t>
      </w:r>
    </w:p>
    <w:p>
      <w:pPr>
        <w:pStyle w:val="0"/>
        <w:spacing w:before="200" w:line-rule="auto"/>
        <w:ind w:firstLine="540"/>
        <w:jc w:val="both"/>
      </w:pPr>
      <w:r>
        <w:rPr>
          <w:sz w:val="20"/>
        </w:rPr>
        <w:t xml:space="preserve">2024 г. - 0,0 тыс. руб.;</w:t>
      </w:r>
    </w:p>
    <w:p>
      <w:pPr>
        <w:pStyle w:val="0"/>
        <w:spacing w:before="200" w:line-rule="auto"/>
        <w:ind w:firstLine="540"/>
        <w:jc w:val="both"/>
      </w:pPr>
      <w:r>
        <w:rPr>
          <w:sz w:val="20"/>
        </w:rPr>
        <w:t xml:space="preserve">2025 г. - 0,0 тыс. руб.;</w:t>
      </w:r>
    </w:p>
    <w:p>
      <w:pPr>
        <w:pStyle w:val="0"/>
        <w:spacing w:before="200" w:line-rule="auto"/>
        <w:ind w:firstLine="540"/>
        <w:jc w:val="both"/>
      </w:pPr>
      <w:r>
        <w:rPr>
          <w:sz w:val="20"/>
        </w:rPr>
        <w:t xml:space="preserve">2026 г. - 0,0 тыс. руб.;</w:t>
      </w:r>
    </w:p>
    <w:p>
      <w:pPr>
        <w:pStyle w:val="0"/>
        <w:spacing w:before="200" w:line-rule="auto"/>
        <w:ind w:firstLine="540"/>
        <w:jc w:val="both"/>
      </w:pPr>
      <w:r>
        <w:rPr>
          <w:sz w:val="20"/>
        </w:rPr>
        <w:t xml:space="preserve">2027 г. - 0,0 тыс. руб.;</w:t>
      </w:r>
    </w:p>
    <w:p>
      <w:pPr>
        <w:pStyle w:val="0"/>
        <w:spacing w:before="200" w:line-rule="auto"/>
        <w:ind w:firstLine="540"/>
        <w:jc w:val="both"/>
      </w:pPr>
      <w:r>
        <w:rPr>
          <w:sz w:val="20"/>
        </w:rPr>
        <w:t xml:space="preserve">2028 г. - 0,0 тыс. руб.;</w:t>
      </w:r>
    </w:p>
    <w:p>
      <w:pPr>
        <w:pStyle w:val="0"/>
        <w:spacing w:before="200" w:line-rule="auto"/>
        <w:ind w:firstLine="540"/>
        <w:jc w:val="both"/>
      </w:pPr>
      <w:r>
        <w:rPr>
          <w:sz w:val="20"/>
        </w:rPr>
        <w:t xml:space="preserve">2029 г. - 0,0 тыс. руб.;</w:t>
      </w:r>
    </w:p>
    <w:p>
      <w:pPr>
        <w:pStyle w:val="0"/>
        <w:spacing w:before="200" w:line-rule="auto"/>
        <w:ind w:firstLine="540"/>
        <w:jc w:val="both"/>
      </w:pPr>
      <w:r>
        <w:rPr>
          <w:sz w:val="20"/>
        </w:rPr>
        <w:t xml:space="preserve">2030 г. - 0,0 тыс. руб.</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1</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bookmarkStart w:id="2921" w:name="P2921"/>
    <w:bookmarkEnd w:id="2921"/>
    <w:p>
      <w:pPr>
        <w:pStyle w:val="2"/>
        <w:jc w:val="center"/>
      </w:pPr>
      <w:r>
        <w:rPr>
          <w:sz w:val="20"/>
        </w:rPr>
        <w:t xml:space="preserve">Сведения о показателях (индикаторах) государственной</w:t>
      </w:r>
    </w:p>
    <w:p>
      <w:pPr>
        <w:pStyle w:val="2"/>
        <w:jc w:val="center"/>
      </w:pPr>
      <w:r>
        <w:rPr>
          <w:sz w:val="20"/>
        </w:rPr>
        <w:t xml:space="preserve">программы города Севастополя "Развитие здравоохранения</w:t>
      </w:r>
    </w:p>
    <w:p>
      <w:pPr>
        <w:pStyle w:val="2"/>
        <w:jc w:val="center"/>
      </w:pPr>
      <w:r>
        <w:rPr>
          <w:sz w:val="20"/>
        </w:rPr>
        <w:t xml:space="preserve">в городе Севастополе", подпрограмм Программы и их значениях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93"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02.03.2023 N 108-ПП)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47"/>
        <w:gridCol w:w="3969"/>
        <w:gridCol w:w="1531"/>
        <w:gridCol w:w="1054"/>
        <w:gridCol w:w="1054"/>
        <w:gridCol w:w="1054"/>
        <w:gridCol w:w="1054"/>
        <w:gridCol w:w="1054"/>
        <w:gridCol w:w="1054"/>
        <w:gridCol w:w="1056"/>
        <w:gridCol w:w="1056"/>
        <w:gridCol w:w="1056"/>
        <w:gridCol w:w="1056"/>
      </w:tblGrid>
      <w:tr>
        <w:tc>
          <w:tcPr>
            <w:tcW w:w="1247" w:type="dxa"/>
            <w:vMerge w:val="restart"/>
          </w:tcPr>
          <w:p>
            <w:pPr>
              <w:pStyle w:val="0"/>
              <w:jc w:val="center"/>
            </w:pPr>
            <w:r>
              <w:rPr>
                <w:sz w:val="20"/>
              </w:rPr>
              <w:t xml:space="preserve">N п/п</w:t>
            </w:r>
          </w:p>
        </w:tc>
        <w:tc>
          <w:tcPr>
            <w:tcW w:w="3969" w:type="dxa"/>
            <w:vMerge w:val="restart"/>
          </w:tcPr>
          <w:p>
            <w:pPr>
              <w:pStyle w:val="0"/>
              <w:jc w:val="center"/>
            </w:pPr>
            <w:r>
              <w:rPr>
                <w:sz w:val="20"/>
              </w:rPr>
              <w:t xml:space="preserve">Наименование целевого показателя (индикатора)</w:t>
            </w:r>
          </w:p>
        </w:tc>
        <w:tc>
          <w:tcPr>
            <w:tcW w:w="1531" w:type="dxa"/>
            <w:vMerge w:val="restart"/>
          </w:tcPr>
          <w:p>
            <w:pPr>
              <w:pStyle w:val="0"/>
              <w:jc w:val="center"/>
            </w:pPr>
            <w:r>
              <w:rPr>
                <w:sz w:val="20"/>
              </w:rPr>
              <w:t xml:space="preserve">Единица измерения</w:t>
            </w:r>
          </w:p>
        </w:tc>
        <w:tc>
          <w:tcPr>
            <w:gridSpan w:val="10"/>
            <w:tcW w:w="10548" w:type="dxa"/>
          </w:tcPr>
          <w:p>
            <w:pPr>
              <w:pStyle w:val="0"/>
              <w:jc w:val="center"/>
            </w:pPr>
            <w:r>
              <w:rPr>
                <w:sz w:val="20"/>
              </w:rPr>
              <w:t xml:space="preserve">Плановые значения целевых показателей (индикаторов) государственной целевой программы</w:t>
            </w:r>
          </w:p>
        </w:tc>
      </w:tr>
      <w:tr>
        <w:tc>
          <w:tcPr>
            <w:vMerge w:val="continue"/>
          </w:tcPr>
          <w:p/>
        </w:tc>
        <w:tc>
          <w:tcPr>
            <w:vMerge w:val="continue"/>
          </w:tcPr>
          <w:p/>
        </w:tc>
        <w:tc>
          <w:tcPr>
            <w:vMerge w:val="continue"/>
          </w:tcPr>
          <w:p/>
        </w:tc>
        <w:tc>
          <w:tcPr>
            <w:tcW w:w="1054" w:type="dxa"/>
          </w:tcPr>
          <w:p>
            <w:pPr>
              <w:pStyle w:val="0"/>
              <w:jc w:val="center"/>
            </w:pPr>
            <w:r>
              <w:rPr>
                <w:sz w:val="20"/>
              </w:rPr>
              <w:t xml:space="preserve">2021 год</w:t>
            </w:r>
          </w:p>
        </w:tc>
        <w:tc>
          <w:tcPr>
            <w:tcW w:w="1054" w:type="dxa"/>
          </w:tcPr>
          <w:p>
            <w:pPr>
              <w:pStyle w:val="0"/>
              <w:jc w:val="center"/>
            </w:pPr>
            <w:r>
              <w:rPr>
                <w:sz w:val="20"/>
              </w:rPr>
              <w:t xml:space="preserve">2022 год</w:t>
            </w:r>
          </w:p>
        </w:tc>
        <w:tc>
          <w:tcPr>
            <w:tcW w:w="1054" w:type="dxa"/>
          </w:tcPr>
          <w:p>
            <w:pPr>
              <w:pStyle w:val="0"/>
              <w:jc w:val="center"/>
            </w:pPr>
            <w:r>
              <w:rPr>
                <w:sz w:val="20"/>
              </w:rPr>
              <w:t xml:space="preserve">2023 год</w:t>
            </w:r>
          </w:p>
        </w:tc>
        <w:tc>
          <w:tcPr>
            <w:tcW w:w="1054" w:type="dxa"/>
          </w:tcPr>
          <w:p>
            <w:pPr>
              <w:pStyle w:val="0"/>
              <w:jc w:val="center"/>
            </w:pPr>
            <w:r>
              <w:rPr>
                <w:sz w:val="20"/>
              </w:rPr>
              <w:t xml:space="preserve">2024 год</w:t>
            </w:r>
          </w:p>
        </w:tc>
        <w:tc>
          <w:tcPr>
            <w:tcW w:w="1054" w:type="dxa"/>
          </w:tcPr>
          <w:p>
            <w:pPr>
              <w:pStyle w:val="0"/>
              <w:jc w:val="center"/>
            </w:pPr>
            <w:r>
              <w:rPr>
                <w:sz w:val="20"/>
              </w:rPr>
              <w:t xml:space="preserve">2025 год</w:t>
            </w:r>
          </w:p>
        </w:tc>
        <w:tc>
          <w:tcPr>
            <w:tcW w:w="1054" w:type="dxa"/>
          </w:tcPr>
          <w:p>
            <w:pPr>
              <w:pStyle w:val="0"/>
              <w:jc w:val="center"/>
            </w:pPr>
            <w:r>
              <w:rPr>
                <w:sz w:val="20"/>
              </w:rPr>
              <w:t xml:space="preserve">2026 год</w:t>
            </w:r>
          </w:p>
        </w:tc>
        <w:tc>
          <w:tcPr>
            <w:tcW w:w="1056" w:type="dxa"/>
          </w:tcPr>
          <w:p>
            <w:pPr>
              <w:pStyle w:val="0"/>
              <w:jc w:val="center"/>
            </w:pPr>
            <w:r>
              <w:rPr>
                <w:sz w:val="20"/>
              </w:rPr>
              <w:t xml:space="preserve">2027 год</w:t>
            </w:r>
          </w:p>
        </w:tc>
        <w:tc>
          <w:tcPr>
            <w:tcW w:w="1056" w:type="dxa"/>
          </w:tcPr>
          <w:p>
            <w:pPr>
              <w:pStyle w:val="0"/>
              <w:jc w:val="center"/>
            </w:pPr>
            <w:r>
              <w:rPr>
                <w:sz w:val="20"/>
              </w:rPr>
              <w:t xml:space="preserve">2028 год</w:t>
            </w:r>
          </w:p>
        </w:tc>
        <w:tc>
          <w:tcPr>
            <w:tcW w:w="1056" w:type="dxa"/>
          </w:tcPr>
          <w:p>
            <w:pPr>
              <w:pStyle w:val="0"/>
              <w:jc w:val="center"/>
            </w:pPr>
            <w:r>
              <w:rPr>
                <w:sz w:val="20"/>
              </w:rPr>
              <w:t xml:space="preserve">2029 год</w:t>
            </w:r>
          </w:p>
        </w:tc>
        <w:tc>
          <w:tcPr>
            <w:tcW w:w="1056" w:type="dxa"/>
          </w:tcPr>
          <w:p>
            <w:pPr>
              <w:pStyle w:val="0"/>
              <w:jc w:val="center"/>
            </w:pPr>
            <w:r>
              <w:rPr>
                <w:sz w:val="20"/>
              </w:rPr>
              <w:t xml:space="preserve">2030 год</w:t>
            </w:r>
          </w:p>
        </w:tc>
      </w:tr>
      <w:tr>
        <w:tc>
          <w:tcPr>
            <w:tcW w:w="1247" w:type="dxa"/>
          </w:tcPr>
          <w:p>
            <w:pPr>
              <w:pStyle w:val="0"/>
              <w:jc w:val="center"/>
            </w:pPr>
            <w:r>
              <w:rPr>
                <w:sz w:val="20"/>
              </w:rPr>
              <w:t xml:space="preserve">1</w:t>
            </w:r>
          </w:p>
        </w:tc>
        <w:tc>
          <w:tcPr>
            <w:tcW w:w="3969" w:type="dxa"/>
          </w:tcPr>
          <w:p>
            <w:pPr>
              <w:pStyle w:val="0"/>
              <w:jc w:val="center"/>
            </w:pPr>
            <w:r>
              <w:rPr>
                <w:sz w:val="20"/>
              </w:rPr>
              <w:t xml:space="preserve">2</w:t>
            </w:r>
          </w:p>
        </w:tc>
        <w:tc>
          <w:tcPr>
            <w:tcW w:w="1531" w:type="dxa"/>
          </w:tcPr>
          <w:p>
            <w:pPr>
              <w:pStyle w:val="0"/>
              <w:jc w:val="center"/>
            </w:pPr>
            <w:r>
              <w:rPr>
                <w:sz w:val="20"/>
              </w:rPr>
              <w:t xml:space="preserve">3</w:t>
            </w:r>
          </w:p>
        </w:tc>
        <w:tc>
          <w:tcPr>
            <w:tcW w:w="1054" w:type="dxa"/>
          </w:tcPr>
          <w:p>
            <w:pPr>
              <w:pStyle w:val="0"/>
              <w:jc w:val="center"/>
            </w:pPr>
            <w:r>
              <w:rPr>
                <w:sz w:val="20"/>
              </w:rPr>
              <w:t xml:space="preserve">4</w:t>
            </w:r>
          </w:p>
        </w:tc>
        <w:tc>
          <w:tcPr>
            <w:tcW w:w="1054" w:type="dxa"/>
          </w:tcPr>
          <w:p>
            <w:pPr>
              <w:pStyle w:val="0"/>
              <w:jc w:val="center"/>
            </w:pPr>
            <w:r>
              <w:rPr>
                <w:sz w:val="20"/>
              </w:rPr>
              <w:t xml:space="preserve">5</w:t>
            </w:r>
          </w:p>
        </w:tc>
        <w:tc>
          <w:tcPr>
            <w:tcW w:w="1054" w:type="dxa"/>
          </w:tcPr>
          <w:p>
            <w:pPr>
              <w:pStyle w:val="0"/>
              <w:jc w:val="center"/>
            </w:pPr>
            <w:r>
              <w:rPr>
                <w:sz w:val="20"/>
              </w:rPr>
              <w:t xml:space="preserve">6</w:t>
            </w:r>
          </w:p>
        </w:tc>
        <w:tc>
          <w:tcPr>
            <w:tcW w:w="1054" w:type="dxa"/>
          </w:tcPr>
          <w:p>
            <w:pPr>
              <w:pStyle w:val="0"/>
              <w:jc w:val="center"/>
            </w:pPr>
            <w:r>
              <w:rPr>
                <w:sz w:val="20"/>
              </w:rPr>
              <w:t xml:space="preserve">7</w:t>
            </w:r>
          </w:p>
        </w:tc>
        <w:tc>
          <w:tcPr>
            <w:tcW w:w="1054" w:type="dxa"/>
          </w:tcPr>
          <w:p>
            <w:pPr>
              <w:pStyle w:val="0"/>
              <w:jc w:val="center"/>
            </w:pPr>
            <w:r>
              <w:rPr>
                <w:sz w:val="20"/>
              </w:rPr>
              <w:t xml:space="preserve">8</w:t>
            </w:r>
          </w:p>
        </w:tc>
        <w:tc>
          <w:tcPr>
            <w:tcW w:w="1054" w:type="dxa"/>
          </w:tcPr>
          <w:p>
            <w:pPr>
              <w:pStyle w:val="0"/>
              <w:jc w:val="center"/>
            </w:pPr>
            <w:r>
              <w:rPr>
                <w:sz w:val="20"/>
              </w:rPr>
              <w:t xml:space="preserve">9</w:t>
            </w:r>
          </w:p>
        </w:tc>
        <w:tc>
          <w:tcPr>
            <w:tcW w:w="1056" w:type="dxa"/>
          </w:tcPr>
          <w:p>
            <w:pPr>
              <w:pStyle w:val="0"/>
              <w:jc w:val="center"/>
            </w:pPr>
            <w:r>
              <w:rPr>
                <w:sz w:val="20"/>
              </w:rPr>
              <w:t xml:space="preserve">10</w:t>
            </w:r>
          </w:p>
        </w:tc>
        <w:tc>
          <w:tcPr>
            <w:tcW w:w="1056" w:type="dxa"/>
          </w:tcPr>
          <w:p>
            <w:pPr>
              <w:pStyle w:val="0"/>
              <w:jc w:val="center"/>
            </w:pPr>
            <w:r>
              <w:rPr>
                <w:sz w:val="20"/>
              </w:rPr>
              <w:t xml:space="preserve">11</w:t>
            </w:r>
          </w:p>
        </w:tc>
        <w:tc>
          <w:tcPr>
            <w:tcW w:w="1056" w:type="dxa"/>
          </w:tcPr>
          <w:p>
            <w:pPr>
              <w:pStyle w:val="0"/>
              <w:jc w:val="center"/>
            </w:pPr>
            <w:r>
              <w:rPr>
                <w:sz w:val="20"/>
              </w:rPr>
              <w:t xml:space="preserve">12</w:t>
            </w:r>
          </w:p>
        </w:tc>
        <w:tc>
          <w:tcPr>
            <w:tcW w:w="1056" w:type="dxa"/>
          </w:tcPr>
          <w:p>
            <w:pPr>
              <w:pStyle w:val="0"/>
              <w:jc w:val="center"/>
            </w:pPr>
            <w:r>
              <w:rPr>
                <w:sz w:val="20"/>
              </w:rPr>
              <w:t xml:space="preserve">13</w:t>
            </w:r>
          </w:p>
        </w:tc>
      </w:tr>
      <w:tr>
        <w:tc>
          <w:tcPr>
            <w:tcW w:w="1247" w:type="dxa"/>
          </w:tcPr>
          <w:p>
            <w:pPr>
              <w:pStyle w:val="0"/>
              <w:jc w:val="both"/>
            </w:pPr>
            <w:r>
              <w:rPr>
                <w:sz w:val="20"/>
              </w:rPr>
              <w:t xml:space="preserve">1</w:t>
            </w:r>
          </w:p>
        </w:tc>
        <w:tc>
          <w:tcPr>
            <w:tcW w:w="3969" w:type="dxa"/>
          </w:tcPr>
          <w:p>
            <w:pPr>
              <w:pStyle w:val="0"/>
              <w:jc w:val="both"/>
            </w:pPr>
            <w:r>
              <w:rPr>
                <w:sz w:val="20"/>
              </w:rPr>
              <w:t xml:space="preserve">Смертность на 1000 населения от всех причин (на 1000 населения)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12,9</w:t>
            </w:r>
          </w:p>
        </w:tc>
        <w:tc>
          <w:tcPr>
            <w:tcW w:w="1054" w:type="dxa"/>
          </w:tcPr>
          <w:p>
            <w:pPr>
              <w:pStyle w:val="0"/>
              <w:jc w:val="center"/>
            </w:pPr>
            <w:r>
              <w:rPr>
                <w:sz w:val="20"/>
              </w:rPr>
              <w:t xml:space="preserve">12,8</w:t>
            </w:r>
          </w:p>
        </w:tc>
        <w:tc>
          <w:tcPr>
            <w:tcW w:w="1054" w:type="dxa"/>
          </w:tcPr>
          <w:p>
            <w:pPr>
              <w:pStyle w:val="0"/>
              <w:jc w:val="center"/>
            </w:pPr>
            <w:r>
              <w:rPr>
                <w:sz w:val="20"/>
              </w:rPr>
              <w:t xml:space="preserve">12,7</w:t>
            </w:r>
          </w:p>
        </w:tc>
        <w:tc>
          <w:tcPr>
            <w:tcW w:w="1054" w:type="dxa"/>
          </w:tcPr>
          <w:p>
            <w:pPr>
              <w:pStyle w:val="0"/>
              <w:jc w:val="center"/>
            </w:pPr>
            <w:r>
              <w:rPr>
                <w:sz w:val="20"/>
              </w:rPr>
              <w:t xml:space="preserve">12,6</w:t>
            </w:r>
          </w:p>
        </w:tc>
        <w:tc>
          <w:tcPr>
            <w:tcW w:w="1054" w:type="dxa"/>
          </w:tcPr>
          <w:p>
            <w:pPr>
              <w:pStyle w:val="0"/>
              <w:jc w:val="center"/>
            </w:pPr>
            <w:r>
              <w:rPr>
                <w:sz w:val="20"/>
              </w:rPr>
              <w:t xml:space="preserve">12,5</w:t>
            </w:r>
          </w:p>
        </w:tc>
        <w:tc>
          <w:tcPr>
            <w:tcW w:w="1054" w:type="dxa"/>
          </w:tcPr>
          <w:p>
            <w:pPr>
              <w:pStyle w:val="0"/>
              <w:jc w:val="center"/>
            </w:pPr>
            <w:r>
              <w:rPr>
                <w:sz w:val="20"/>
              </w:rPr>
              <w:t xml:space="preserve">12,4</w:t>
            </w:r>
          </w:p>
        </w:tc>
        <w:tc>
          <w:tcPr>
            <w:tcW w:w="1056" w:type="dxa"/>
          </w:tcPr>
          <w:p>
            <w:pPr>
              <w:pStyle w:val="0"/>
              <w:jc w:val="center"/>
            </w:pPr>
            <w:r>
              <w:rPr>
                <w:sz w:val="20"/>
              </w:rPr>
              <w:t xml:space="preserve">12,3</w:t>
            </w:r>
          </w:p>
        </w:tc>
        <w:tc>
          <w:tcPr>
            <w:tcW w:w="1056" w:type="dxa"/>
          </w:tcPr>
          <w:p>
            <w:pPr>
              <w:pStyle w:val="0"/>
              <w:jc w:val="center"/>
            </w:pPr>
            <w:r>
              <w:rPr>
                <w:sz w:val="20"/>
              </w:rPr>
              <w:t xml:space="preserve">12,2</w:t>
            </w:r>
          </w:p>
        </w:tc>
        <w:tc>
          <w:tcPr>
            <w:tcW w:w="1056" w:type="dxa"/>
          </w:tcPr>
          <w:p>
            <w:pPr>
              <w:pStyle w:val="0"/>
              <w:jc w:val="center"/>
            </w:pPr>
            <w:r>
              <w:rPr>
                <w:sz w:val="20"/>
              </w:rPr>
              <w:t xml:space="preserve">12,1</w:t>
            </w:r>
          </w:p>
        </w:tc>
        <w:tc>
          <w:tcPr>
            <w:tcW w:w="1056" w:type="dxa"/>
          </w:tcPr>
          <w:p>
            <w:pPr>
              <w:pStyle w:val="0"/>
              <w:jc w:val="center"/>
            </w:pPr>
            <w:r>
              <w:rPr>
                <w:sz w:val="20"/>
              </w:rPr>
              <w:t xml:space="preserve">12,1</w:t>
            </w:r>
          </w:p>
        </w:tc>
      </w:tr>
      <w:tr>
        <w:tc>
          <w:tcPr>
            <w:tcW w:w="1247" w:type="dxa"/>
          </w:tcPr>
          <w:p>
            <w:pPr>
              <w:pStyle w:val="0"/>
              <w:jc w:val="both"/>
            </w:pPr>
            <w:r>
              <w:rPr>
                <w:sz w:val="20"/>
              </w:rPr>
              <w:t xml:space="preserve">2</w:t>
            </w:r>
          </w:p>
        </w:tc>
        <w:tc>
          <w:tcPr>
            <w:tcW w:w="3969" w:type="dxa"/>
          </w:tcPr>
          <w:p>
            <w:pPr>
              <w:pStyle w:val="0"/>
              <w:jc w:val="both"/>
            </w:pPr>
            <w:r>
              <w:rPr>
                <w:sz w:val="20"/>
              </w:rPr>
              <w:t xml:space="preserve">Смертность населения в трудоспособном возрасте (на 100 тыс. населения)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422,5</w:t>
            </w:r>
          </w:p>
        </w:tc>
        <w:tc>
          <w:tcPr>
            <w:tcW w:w="1054" w:type="dxa"/>
          </w:tcPr>
          <w:p>
            <w:pPr>
              <w:pStyle w:val="0"/>
              <w:jc w:val="center"/>
            </w:pPr>
            <w:r>
              <w:rPr>
                <w:sz w:val="20"/>
              </w:rPr>
              <w:t xml:space="preserve">420,5</w:t>
            </w:r>
          </w:p>
        </w:tc>
        <w:tc>
          <w:tcPr>
            <w:tcW w:w="1054" w:type="dxa"/>
          </w:tcPr>
          <w:p>
            <w:pPr>
              <w:pStyle w:val="0"/>
              <w:jc w:val="center"/>
            </w:pPr>
            <w:r>
              <w:rPr>
                <w:sz w:val="20"/>
              </w:rPr>
              <w:t xml:space="preserve">421,0</w:t>
            </w:r>
          </w:p>
        </w:tc>
        <w:tc>
          <w:tcPr>
            <w:tcW w:w="1054" w:type="dxa"/>
          </w:tcPr>
          <w:p>
            <w:pPr>
              <w:pStyle w:val="0"/>
              <w:jc w:val="center"/>
            </w:pPr>
            <w:r>
              <w:rPr>
                <w:sz w:val="20"/>
              </w:rPr>
              <w:t xml:space="preserve">420</w:t>
            </w:r>
          </w:p>
        </w:tc>
        <w:tc>
          <w:tcPr>
            <w:tcW w:w="1054" w:type="dxa"/>
          </w:tcPr>
          <w:p>
            <w:pPr>
              <w:pStyle w:val="0"/>
              <w:jc w:val="center"/>
            </w:pPr>
            <w:r>
              <w:rPr>
                <w:sz w:val="20"/>
              </w:rPr>
              <w:t xml:space="preserve">420</w:t>
            </w:r>
          </w:p>
        </w:tc>
        <w:tc>
          <w:tcPr>
            <w:tcW w:w="1054" w:type="dxa"/>
          </w:tcPr>
          <w:p>
            <w:pPr>
              <w:pStyle w:val="0"/>
              <w:jc w:val="center"/>
            </w:pPr>
            <w:r>
              <w:rPr>
                <w:sz w:val="20"/>
              </w:rPr>
              <w:t xml:space="preserve">420</w:t>
            </w:r>
          </w:p>
        </w:tc>
        <w:tc>
          <w:tcPr>
            <w:tcW w:w="1056" w:type="dxa"/>
          </w:tcPr>
          <w:p>
            <w:pPr>
              <w:pStyle w:val="0"/>
              <w:jc w:val="center"/>
            </w:pPr>
            <w:r>
              <w:rPr>
                <w:sz w:val="20"/>
              </w:rPr>
              <w:t xml:space="preserve">420</w:t>
            </w:r>
          </w:p>
        </w:tc>
        <w:tc>
          <w:tcPr>
            <w:tcW w:w="1056" w:type="dxa"/>
          </w:tcPr>
          <w:p>
            <w:pPr>
              <w:pStyle w:val="0"/>
              <w:jc w:val="center"/>
            </w:pPr>
            <w:r>
              <w:rPr>
                <w:sz w:val="20"/>
              </w:rPr>
              <w:t xml:space="preserve">420</w:t>
            </w:r>
          </w:p>
        </w:tc>
        <w:tc>
          <w:tcPr>
            <w:tcW w:w="1056" w:type="dxa"/>
          </w:tcPr>
          <w:p>
            <w:pPr>
              <w:pStyle w:val="0"/>
              <w:jc w:val="center"/>
            </w:pPr>
            <w:r>
              <w:rPr>
                <w:sz w:val="20"/>
              </w:rPr>
              <w:t xml:space="preserve">420</w:t>
            </w:r>
          </w:p>
        </w:tc>
        <w:tc>
          <w:tcPr>
            <w:tcW w:w="1056" w:type="dxa"/>
          </w:tcPr>
          <w:p>
            <w:pPr>
              <w:pStyle w:val="0"/>
              <w:jc w:val="center"/>
            </w:pPr>
            <w:r>
              <w:rPr>
                <w:sz w:val="20"/>
              </w:rPr>
              <w:t xml:space="preserve">420</w:t>
            </w:r>
          </w:p>
        </w:tc>
      </w:tr>
      <w:tr>
        <w:tc>
          <w:tcPr>
            <w:tcW w:w="1247" w:type="dxa"/>
          </w:tcPr>
          <w:p>
            <w:pPr>
              <w:pStyle w:val="0"/>
              <w:jc w:val="both"/>
            </w:pPr>
            <w:r>
              <w:rPr>
                <w:sz w:val="20"/>
              </w:rPr>
              <w:t xml:space="preserve">3</w:t>
            </w:r>
          </w:p>
        </w:tc>
        <w:tc>
          <w:tcPr>
            <w:tcW w:w="3969" w:type="dxa"/>
          </w:tcPr>
          <w:p>
            <w:pPr>
              <w:pStyle w:val="0"/>
              <w:jc w:val="both"/>
            </w:pPr>
            <w:r>
              <w:rPr>
                <w:sz w:val="20"/>
              </w:rPr>
              <w:t xml:space="preserve">Смертность детей в возрасте 0 - 1 года на 1000 родившихся живыми</w:t>
            </w:r>
          </w:p>
        </w:tc>
        <w:tc>
          <w:tcPr>
            <w:tcW w:w="1531" w:type="dxa"/>
          </w:tcPr>
          <w:p>
            <w:pPr>
              <w:pStyle w:val="0"/>
              <w:jc w:val="both"/>
            </w:pPr>
            <w:r>
              <w:rPr>
                <w:sz w:val="20"/>
              </w:rPr>
              <w:t xml:space="preserve">промилле</w:t>
            </w:r>
          </w:p>
        </w:tc>
        <w:tc>
          <w:tcPr>
            <w:tcW w:w="1054" w:type="dxa"/>
          </w:tcPr>
          <w:p>
            <w:pPr>
              <w:pStyle w:val="0"/>
              <w:jc w:val="center"/>
            </w:pPr>
            <w:r>
              <w:rPr>
                <w:sz w:val="20"/>
              </w:rPr>
              <w:t xml:space="preserve">3,4</w:t>
            </w:r>
          </w:p>
        </w:tc>
        <w:tc>
          <w:tcPr>
            <w:tcW w:w="1054" w:type="dxa"/>
          </w:tcPr>
          <w:p>
            <w:pPr>
              <w:pStyle w:val="0"/>
              <w:jc w:val="center"/>
            </w:pPr>
            <w:r>
              <w:rPr>
                <w:sz w:val="20"/>
              </w:rPr>
              <w:t xml:space="preserve">3,3</w:t>
            </w:r>
          </w:p>
        </w:tc>
        <w:tc>
          <w:tcPr>
            <w:tcW w:w="1054" w:type="dxa"/>
          </w:tcPr>
          <w:p>
            <w:pPr>
              <w:pStyle w:val="0"/>
              <w:jc w:val="center"/>
            </w:pPr>
            <w:r>
              <w:rPr>
                <w:sz w:val="20"/>
              </w:rPr>
              <w:t xml:space="preserve">3,2</w:t>
            </w:r>
          </w:p>
        </w:tc>
        <w:tc>
          <w:tcPr>
            <w:tcW w:w="1054" w:type="dxa"/>
          </w:tcPr>
          <w:p>
            <w:pPr>
              <w:pStyle w:val="0"/>
              <w:jc w:val="center"/>
            </w:pPr>
            <w:r>
              <w:rPr>
                <w:sz w:val="20"/>
              </w:rPr>
              <w:t xml:space="preserve">3,1</w:t>
            </w:r>
          </w:p>
        </w:tc>
        <w:tc>
          <w:tcPr>
            <w:tcW w:w="1054" w:type="dxa"/>
          </w:tcPr>
          <w:p>
            <w:pPr>
              <w:pStyle w:val="0"/>
              <w:jc w:val="center"/>
            </w:pPr>
            <w:r>
              <w:rPr>
                <w:sz w:val="20"/>
              </w:rPr>
              <w:t xml:space="preserve">3,0</w:t>
            </w:r>
          </w:p>
        </w:tc>
        <w:tc>
          <w:tcPr>
            <w:tcW w:w="1054" w:type="dxa"/>
          </w:tcPr>
          <w:p>
            <w:pPr>
              <w:pStyle w:val="0"/>
              <w:jc w:val="center"/>
            </w:pPr>
            <w:r>
              <w:rPr>
                <w:sz w:val="20"/>
              </w:rPr>
              <w:t xml:space="preserve">3,0</w:t>
            </w:r>
          </w:p>
        </w:tc>
        <w:tc>
          <w:tcPr>
            <w:tcW w:w="1056" w:type="dxa"/>
          </w:tcPr>
          <w:p>
            <w:pPr>
              <w:pStyle w:val="0"/>
              <w:jc w:val="center"/>
            </w:pPr>
            <w:r>
              <w:rPr>
                <w:sz w:val="20"/>
              </w:rPr>
              <w:t xml:space="preserve">3,0</w:t>
            </w:r>
          </w:p>
        </w:tc>
        <w:tc>
          <w:tcPr>
            <w:tcW w:w="1056" w:type="dxa"/>
          </w:tcPr>
          <w:p>
            <w:pPr>
              <w:pStyle w:val="0"/>
              <w:jc w:val="center"/>
            </w:pPr>
            <w:r>
              <w:rPr>
                <w:sz w:val="20"/>
              </w:rPr>
              <w:t xml:space="preserve">3,0</w:t>
            </w:r>
          </w:p>
        </w:tc>
        <w:tc>
          <w:tcPr>
            <w:tcW w:w="1056" w:type="dxa"/>
          </w:tcPr>
          <w:p>
            <w:pPr>
              <w:pStyle w:val="0"/>
              <w:jc w:val="center"/>
            </w:pPr>
            <w:r>
              <w:rPr>
                <w:sz w:val="20"/>
              </w:rPr>
              <w:t xml:space="preserve">3,0</w:t>
            </w:r>
          </w:p>
        </w:tc>
        <w:tc>
          <w:tcPr>
            <w:tcW w:w="1056" w:type="dxa"/>
          </w:tcPr>
          <w:p>
            <w:pPr>
              <w:pStyle w:val="0"/>
              <w:jc w:val="center"/>
            </w:pPr>
            <w:r>
              <w:rPr>
                <w:sz w:val="20"/>
              </w:rPr>
              <w:t xml:space="preserve">2,9</w:t>
            </w:r>
          </w:p>
        </w:tc>
      </w:tr>
      <w:tr>
        <w:tc>
          <w:tcPr>
            <w:tcW w:w="1247" w:type="dxa"/>
          </w:tcPr>
          <w:p>
            <w:pPr>
              <w:pStyle w:val="0"/>
              <w:jc w:val="both"/>
            </w:pPr>
            <w:r>
              <w:rPr>
                <w:sz w:val="20"/>
              </w:rPr>
              <w:t xml:space="preserve">4</w:t>
            </w:r>
          </w:p>
        </w:tc>
        <w:tc>
          <w:tcPr>
            <w:tcW w:w="3969" w:type="dxa"/>
          </w:tcPr>
          <w:p>
            <w:pPr>
              <w:pStyle w:val="0"/>
              <w:jc w:val="both"/>
            </w:pPr>
            <w:r>
              <w:rPr>
                <w:sz w:val="20"/>
              </w:rPr>
              <w:t xml:space="preserve">Смертность детей в возрасте 0 - 4 лет на 1000 родившихся живыми</w:t>
            </w:r>
          </w:p>
        </w:tc>
        <w:tc>
          <w:tcPr>
            <w:tcW w:w="1531" w:type="dxa"/>
          </w:tcPr>
          <w:p>
            <w:pPr>
              <w:pStyle w:val="0"/>
              <w:jc w:val="both"/>
            </w:pPr>
            <w:r>
              <w:rPr>
                <w:sz w:val="20"/>
              </w:rPr>
              <w:t xml:space="preserve">промилле</w:t>
            </w:r>
          </w:p>
        </w:tc>
        <w:tc>
          <w:tcPr>
            <w:tcW w:w="1054" w:type="dxa"/>
          </w:tcPr>
          <w:p>
            <w:pPr>
              <w:pStyle w:val="0"/>
              <w:jc w:val="center"/>
            </w:pPr>
            <w:r>
              <w:rPr>
                <w:sz w:val="20"/>
              </w:rPr>
              <w:t xml:space="preserve">4,4</w:t>
            </w:r>
          </w:p>
        </w:tc>
        <w:tc>
          <w:tcPr>
            <w:tcW w:w="1054" w:type="dxa"/>
          </w:tcPr>
          <w:p>
            <w:pPr>
              <w:pStyle w:val="0"/>
              <w:jc w:val="center"/>
            </w:pPr>
            <w:r>
              <w:rPr>
                <w:sz w:val="20"/>
              </w:rPr>
              <w:t xml:space="preserve">4,3</w:t>
            </w:r>
          </w:p>
        </w:tc>
        <w:tc>
          <w:tcPr>
            <w:tcW w:w="1054" w:type="dxa"/>
          </w:tcPr>
          <w:p>
            <w:pPr>
              <w:pStyle w:val="0"/>
              <w:jc w:val="center"/>
            </w:pPr>
            <w:r>
              <w:rPr>
                <w:sz w:val="20"/>
              </w:rPr>
              <w:t xml:space="preserve">4,2</w:t>
            </w:r>
          </w:p>
        </w:tc>
        <w:tc>
          <w:tcPr>
            <w:tcW w:w="1054" w:type="dxa"/>
          </w:tcPr>
          <w:p>
            <w:pPr>
              <w:pStyle w:val="0"/>
              <w:jc w:val="center"/>
            </w:pPr>
            <w:r>
              <w:rPr>
                <w:sz w:val="20"/>
              </w:rPr>
              <w:t xml:space="preserve">4,0</w:t>
            </w:r>
          </w:p>
        </w:tc>
        <w:tc>
          <w:tcPr>
            <w:tcW w:w="1054" w:type="dxa"/>
          </w:tcPr>
          <w:p>
            <w:pPr>
              <w:pStyle w:val="0"/>
              <w:jc w:val="center"/>
            </w:pPr>
            <w:r>
              <w:rPr>
                <w:sz w:val="20"/>
              </w:rPr>
              <w:t xml:space="preserve">4,0</w:t>
            </w:r>
          </w:p>
        </w:tc>
        <w:tc>
          <w:tcPr>
            <w:tcW w:w="1054" w:type="dxa"/>
          </w:tcPr>
          <w:p>
            <w:pPr>
              <w:pStyle w:val="0"/>
              <w:jc w:val="center"/>
            </w:pPr>
            <w:r>
              <w:rPr>
                <w:sz w:val="20"/>
              </w:rPr>
              <w:t xml:space="preserve">4,0</w:t>
            </w:r>
          </w:p>
        </w:tc>
        <w:tc>
          <w:tcPr>
            <w:tcW w:w="1056" w:type="dxa"/>
          </w:tcPr>
          <w:p>
            <w:pPr>
              <w:pStyle w:val="0"/>
              <w:jc w:val="center"/>
            </w:pPr>
            <w:r>
              <w:rPr>
                <w:sz w:val="20"/>
              </w:rPr>
              <w:t xml:space="preserve">4,0</w:t>
            </w:r>
          </w:p>
        </w:tc>
        <w:tc>
          <w:tcPr>
            <w:tcW w:w="1056" w:type="dxa"/>
          </w:tcPr>
          <w:p>
            <w:pPr>
              <w:pStyle w:val="0"/>
              <w:jc w:val="center"/>
            </w:pPr>
            <w:r>
              <w:rPr>
                <w:sz w:val="20"/>
              </w:rPr>
              <w:t xml:space="preserve">4,0</w:t>
            </w:r>
          </w:p>
        </w:tc>
        <w:tc>
          <w:tcPr>
            <w:tcW w:w="1056" w:type="dxa"/>
          </w:tcPr>
          <w:p>
            <w:pPr>
              <w:pStyle w:val="0"/>
              <w:jc w:val="center"/>
            </w:pPr>
            <w:r>
              <w:rPr>
                <w:sz w:val="20"/>
              </w:rPr>
              <w:t xml:space="preserve">4,0</w:t>
            </w:r>
          </w:p>
        </w:tc>
        <w:tc>
          <w:tcPr>
            <w:tcW w:w="1056" w:type="dxa"/>
          </w:tcPr>
          <w:p>
            <w:pPr>
              <w:pStyle w:val="0"/>
              <w:jc w:val="center"/>
            </w:pPr>
            <w:r>
              <w:rPr>
                <w:sz w:val="20"/>
              </w:rPr>
              <w:t xml:space="preserve">4,0</w:t>
            </w:r>
          </w:p>
        </w:tc>
      </w:tr>
      <w:tr>
        <w:tc>
          <w:tcPr>
            <w:tcW w:w="1247" w:type="dxa"/>
          </w:tcPr>
          <w:p>
            <w:pPr>
              <w:pStyle w:val="0"/>
              <w:jc w:val="both"/>
            </w:pPr>
            <w:r>
              <w:rPr>
                <w:sz w:val="20"/>
              </w:rPr>
              <w:t xml:space="preserve">5</w:t>
            </w:r>
          </w:p>
        </w:tc>
        <w:tc>
          <w:tcPr>
            <w:tcW w:w="3969" w:type="dxa"/>
          </w:tcPr>
          <w:p>
            <w:pPr>
              <w:pStyle w:val="0"/>
              <w:jc w:val="both"/>
            </w:pPr>
            <w:r>
              <w:rPr>
                <w:sz w:val="20"/>
              </w:rPr>
              <w:t xml:space="preserve">Снижение смертности от болезней системы кровообращения (до 450 случаев на 100 тыс. населения)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565,0</w:t>
            </w:r>
          </w:p>
        </w:tc>
        <w:tc>
          <w:tcPr>
            <w:tcW w:w="1054" w:type="dxa"/>
          </w:tcPr>
          <w:p>
            <w:pPr>
              <w:pStyle w:val="0"/>
              <w:jc w:val="center"/>
            </w:pPr>
            <w:r>
              <w:rPr>
                <w:sz w:val="20"/>
              </w:rPr>
              <w:t xml:space="preserve">515,0</w:t>
            </w:r>
          </w:p>
        </w:tc>
        <w:tc>
          <w:tcPr>
            <w:tcW w:w="1054" w:type="dxa"/>
          </w:tcPr>
          <w:p>
            <w:pPr>
              <w:pStyle w:val="0"/>
              <w:jc w:val="center"/>
            </w:pPr>
            <w:r>
              <w:rPr>
                <w:sz w:val="20"/>
              </w:rPr>
              <w:t xml:space="preserve">475</w:t>
            </w:r>
          </w:p>
        </w:tc>
        <w:tc>
          <w:tcPr>
            <w:tcW w:w="1054" w:type="dxa"/>
          </w:tcPr>
          <w:p>
            <w:pPr>
              <w:pStyle w:val="0"/>
              <w:jc w:val="center"/>
            </w:pPr>
            <w:r>
              <w:rPr>
                <w:sz w:val="20"/>
              </w:rPr>
              <w:t xml:space="preserve">450</w:t>
            </w:r>
          </w:p>
        </w:tc>
        <w:tc>
          <w:tcPr>
            <w:tcW w:w="1054" w:type="dxa"/>
          </w:tcPr>
          <w:p>
            <w:pPr>
              <w:pStyle w:val="0"/>
              <w:jc w:val="center"/>
            </w:pPr>
            <w:r>
              <w:rPr>
                <w:sz w:val="20"/>
              </w:rPr>
              <w:t xml:space="preserve">450</w:t>
            </w:r>
          </w:p>
        </w:tc>
        <w:tc>
          <w:tcPr>
            <w:tcW w:w="1054" w:type="dxa"/>
          </w:tcPr>
          <w:p>
            <w:pPr>
              <w:pStyle w:val="0"/>
              <w:jc w:val="center"/>
            </w:pPr>
            <w:r>
              <w:rPr>
                <w:sz w:val="20"/>
              </w:rPr>
              <w:t xml:space="preserve">450</w:t>
            </w:r>
          </w:p>
        </w:tc>
        <w:tc>
          <w:tcPr>
            <w:tcW w:w="1056" w:type="dxa"/>
          </w:tcPr>
          <w:p>
            <w:pPr>
              <w:pStyle w:val="0"/>
              <w:jc w:val="center"/>
            </w:pPr>
            <w:r>
              <w:rPr>
                <w:sz w:val="20"/>
              </w:rPr>
              <w:t xml:space="preserve">450</w:t>
            </w:r>
          </w:p>
        </w:tc>
        <w:tc>
          <w:tcPr>
            <w:tcW w:w="1056" w:type="dxa"/>
          </w:tcPr>
          <w:p>
            <w:pPr>
              <w:pStyle w:val="0"/>
              <w:jc w:val="center"/>
            </w:pPr>
            <w:r>
              <w:rPr>
                <w:sz w:val="20"/>
              </w:rPr>
              <w:t xml:space="preserve">450</w:t>
            </w:r>
          </w:p>
        </w:tc>
        <w:tc>
          <w:tcPr>
            <w:tcW w:w="1056" w:type="dxa"/>
          </w:tcPr>
          <w:p>
            <w:pPr>
              <w:pStyle w:val="0"/>
              <w:jc w:val="center"/>
            </w:pPr>
            <w:r>
              <w:rPr>
                <w:sz w:val="20"/>
              </w:rPr>
              <w:t xml:space="preserve">450</w:t>
            </w:r>
          </w:p>
        </w:tc>
        <w:tc>
          <w:tcPr>
            <w:tcW w:w="1056" w:type="dxa"/>
          </w:tcPr>
          <w:p>
            <w:pPr>
              <w:pStyle w:val="0"/>
              <w:jc w:val="center"/>
            </w:pPr>
            <w:r>
              <w:rPr>
                <w:sz w:val="20"/>
              </w:rPr>
              <w:t xml:space="preserve">450</w:t>
            </w:r>
          </w:p>
        </w:tc>
      </w:tr>
      <w:tr>
        <w:tc>
          <w:tcPr>
            <w:tcW w:w="1247" w:type="dxa"/>
          </w:tcPr>
          <w:p>
            <w:pPr>
              <w:pStyle w:val="0"/>
              <w:jc w:val="both"/>
            </w:pPr>
            <w:r>
              <w:rPr>
                <w:sz w:val="20"/>
              </w:rPr>
              <w:t xml:space="preserve">6</w:t>
            </w:r>
          </w:p>
        </w:tc>
        <w:tc>
          <w:tcPr>
            <w:tcW w:w="3969" w:type="dxa"/>
          </w:tcPr>
          <w:p>
            <w:pPr>
              <w:pStyle w:val="0"/>
              <w:jc w:val="both"/>
            </w:pPr>
            <w:r>
              <w:rPr>
                <w:sz w:val="20"/>
              </w:rPr>
              <w:t xml:space="preserve">Смертность от дорожно-транспортных происшествий (на 100 тыс. населения)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8,24</w:t>
            </w:r>
          </w:p>
        </w:tc>
        <w:tc>
          <w:tcPr>
            <w:tcW w:w="1054" w:type="dxa"/>
          </w:tcPr>
          <w:p>
            <w:pPr>
              <w:pStyle w:val="0"/>
              <w:jc w:val="center"/>
            </w:pPr>
            <w:r>
              <w:rPr>
                <w:sz w:val="20"/>
              </w:rPr>
              <w:t xml:space="preserve">7,79</w:t>
            </w:r>
          </w:p>
        </w:tc>
        <w:tc>
          <w:tcPr>
            <w:tcW w:w="1054" w:type="dxa"/>
          </w:tcPr>
          <w:p>
            <w:pPr>
              <w:pStyle w:val="0"/>
              <w:jc w:val="center"/>
            </w:pPr>
            <w:r>
              <w:rPr>
                <w:sz w:val="20"/>
              </w:rPr>
              <w:t xml:space="preserve">7,12</w:t>
            </w:r>
          </w:p>
        </w:tc>
        <w:tc>
          <w:tcPr>
            <w:tcW w:w="1054" w:type="dxa"/>
          </w:tcPr>
          <w:p>
            <w:pPr>
              <w:pStyle w:val="0"/>
              <w:jc w:val="center"/>
            </w:pPr>
            <w:r>
              <w:rPr>
                <w:sz w:val="20"/>
              </w:rPr>
              <w:t xml:space="preserve">6,9</w:t>
            </w:r>
          </w:p>
        </w:tc>
        <w:tc>
          <w:tcPr>
            <w:tcW w:w="1054" w:type="dxa"/>
          </w:tcPr>
          <w:p>
            <w:pPr>
              <w:pStyle w:val="0"/>
              <w:jc w:val="center"/>
            </w:pPr>
            <w:r>
              <w:rPr>
                <w:sz w:val="20"/>
              </w:rPr>
              <w:t xml:space="preserve">6,9</w:t>
            </w:r>
          </w:p>
        </w:tc>
        <w:tc>
          <w:tcPr>
            <w:tcW w:w="1054" w:type="dxa"/>
          </w:tcPr>
          <w:p>
            <w:pPr>
              <w:pStyle w:val="0"/>
              <w:jc w:val="center"/>
            </w:pPr>
            <w:r>
              <w:rPr>
                <w:sz w:val="20"/>
              </w:rPr>
              <w:t xml:space="preserve">6,9</w:t>
            </w:r>
          </w:p>
        </w:tc>
        <w:tc>
          <w:tcPr>
            <w:tcW w:w="1056" w:type="dxa"/>
          </w:tcPr>
          <w:p>
            <w:pPr>
              <w:pStyle w:val="0"/>
              <w:jc w:val="center"/>
            </w:pPr>
            <w:r>
              <w:rPr>
                <w:sz w:val="20"/>
              </w:rPr>
              <w:t xml:space="preserve">6,9</w:t>
            </w:r>
          </w:p>
        </w:tc>
        <w:tc>
          <w:tcPr>
            <w:tcW w:w="1056" w:type="dxa"/>
          </w:tcPr>
          <w:p>
            <w:pPr>
              <w:pStyle w:val="0"/>
              <w:jc w:val="center"/>
            </w:pPr>
            <w:r>
              <w:rPr>
                <w:sz w:val="20"/>
              </w:rPr>
              <w:t xml:space="preserve">6,9</w:t>
            </w:r>
          </w:p>
        </w:tc>
        <w:tc>
          <w:tcPr>
            <w:tcW w:w="1056" w:type="dxa"/>
          </w:tcPr>
          <w:p>
            <w:pPr>
              <w:pStyle w:val="0"/>
              <w:jc w:val="center"/>
            </w:pPr>
            <w:r>
              <w:rPr>
                <w:sz w:val="20"/>
              </w:rPr>
              <w:t xml:space="preserve">6,9</w:t>
            </w:r>
          </w:p>
        </w:tc>
        <w:tc>
          <w:tcPr>
            <w:tcW w:w="1056" w:type="dxa"/>
          </w:tcPr>
          <w:p>
            <w:pPr>
              <w:pStyle w:val="0"/>
              <w:jc w:val="center"/>
            </w:pPr>
            <w:r>
              <w:rPr>
                <w:sz w:val="20"/>
              </w:rPr>
              <w:t xml:space="preserve">6,9</w:t>
            </w:r>
          </w:p>
        </w:tc>
      </w:tr>
      <w:tr>
        <w:tc>
          <w:tcPr>
            <w:tcW w:w="1247" w:type="dxa"/>
          </w:tcPr>
          <w:p>
            <w:pPr>
              <w:pStyle w:val="0"/>
              <w:jc w:val="both"/>
            </w:pPr>
            <w:r>
              <w:rPr>
                <w:sz w:val="20"/>
              </w:rPr>
              <w:t xml:space="preserve">7</w:t>
            </w:r>
          </w:p>
        </w:tc>
        <w:tc>
          <w:tcPr>
            <w:tcW w:w="3969" w:type="dxa"/>
          </w:tcPr>
          <w:p>
            <w:pPr>
              <w:pStyle w:val="0"/>
              <w:jc w:val="both"/>
            </w:pPr>
            <w:r>
              <w:rPr>
                <w:sz w:val="20"/>
              </w:rPr>
              <w:t xml:space="preserve">Смертность от новообразований (в том числе от злокачественных) (на 100 тыс. населения)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232,2</w:t>
            </w:r>
          </w:p>
        </w:tc>
        <w:tc>
          <w:tcPr>
            <w:tcW w:w="1054" w:type="dxa"/>
          </w:tcPr>
          <w:p>
            <w:pPr>
              <w:pStyle w:val="0"/>
              <w:jc w:val="center"/>
            </w:pPr>
            <w:r>
              <w:rPr>
                <w:sz w:val="20"/>
              </w:rPr>
              <w:t xml:space="preserve">225,9</w:t>
            </w:r>
          </w:p>
        </w:tc>
        <w:tc>
          <w:tcPr>
            <w:tcW w:w="1054" w:type="dxa"/>
          </w:tcPr>
          <w:p>
            <w:pPr>
              <w:pStyle w:val="0"/>
              <w:jc w:val="center"/>
            </w:pPr>
            <w:r>
              <w:rPr>
                <w:sz w:val="20"/>
              </w:rPr>
              <w:t xml:space="preserve">218,0</w:t>
            </w:r>
          </w:p>
        </w:tc>
        <w:tc>
          <w:tcPr>
            <w:tcW w:w="1054" w:type="dxa"/>
          </w:tcPr>
          <w:p>
            <w:pPr>
              <w:pStyle w:val="0"/>
              <w:jc w:val="center"/>
            </w:pPr>
            <w:r>
              <w:rPr>
                <w:sz w:val="20"/>
              </w:rPr>
              <w:t xml:space="preserve">207,2</w:t>
            </w:r>
          </w:p>
        </w:tc>
        <w:tc>
          <w:tcPr>
            <w:tcW w:w="1054" w:type="dxa"/>
          </w:tcPr>
          <w:p>
            <w:pPr>
              <w:pStyle w:val="0"/>
              <w:jc w:val="center"/>
            </w:pPr>
            <w:r>
              <w:rPr>
                <w:sz w:val="20"/>
              </w:rPr>
              <w:t xml:space="preserve">207,2</w:t>
            </w:r>
          </w:p>
        </w:tc>
        <w:tc>
          <w:tcPr>
            <w:tcW w:w="1054" w:type="dxa"/>
          </w:tcPr>
          <w:p>
            <w:pPr>
              <w:pStyle w:val="0"/>
              <w:jc w:val="center"/>
            </w:pPr>
            <w:r>
              <w:rPr>
                <w:sz w:val="20"/>
              </w:rPr>
              <w:t xml:space="preserve">207,2</w:t>
            </w:r>
          </w:p>
        </w:tc>
        <w:tc>
          <w:tcPr>
            <w:tcW w:w="1056" w:type="dxa"/>
          </w:tcPr>
          <w:p>
            <w:pPr>
              <w:pStyle w:val="0"/>
              <w:jc w:val="center"/>
            </w:pPr>
            <w:r>
              <w:rPr>
                <w:sz w:val="20"/>
              </w:rPr>
              <w:t xml:space="preserve">207,2</w:t>
            </w:r>
          </w:p>
        </w:tc>
        <w:tc>
          <w:tcPr>
            <w:tcW w:w="1056" w:type="dxa"/>
          </w:tcPr>
          <w:p>
            <w:pPr>
              <w:pStyle w:val="0"/>
              <w:jc w:val="center"/>
            </w:pPr>
            <w:r>
              <w:rPr>
                <w:sz w:val="20"/>
              </w:rPr>
              <w:t xml:space="preserve">207,2</w:t>
            </w:r>
          </w:p>
        </w:tc>
        <w:tc>
          <w:tcPr>
            <w:tcW w:w="1056" w:type="dxa"/>
          </w:tcPr>
          <w:p>
            <w:pPr>
              <w:pStyle w:val="0"/>
              <w:jc w:val="center"/>
            </w:pPr>
            <w:r>
              <w:rPr>
                <w:sz w:val="20"/>
              </w:rPr>
              <w:t xml:space="preserve">207,2</w:t>
            </w:r>
          </w:p>
        </w:tc>
        <w:tc>
          <w:tcPr>
            <w:tcW w:w="1056" w:type="dxa"/>
          </w:tcPr>
          <w:p>
            <w:pPr>
              <w:pStyle w:val="0"/>
              <w:jc w:val="center"/>
            </w:pPr>
            <w:r>
              <w:rPr>
                <w:sz w:val="20"/>
              </w:rPr>
              <w:t xml:space="preserve">207,2</w:t>
            </w:r>
          </w:p>
        </w:tc>
      </w:tr>
      <w:tr>
        <w:tc>
          <w:tcPr>
            <w:tcW w:w="1247" w:type="dxa"/>
          </w:tcPr>
          <w:p>
            <w:pPr>
              <w:pStyle w:val="0"/>
              <w:jc w:val="both"/>
            </w:pPr>
            <w:r>
              <w:rPr>
                <w:sz w:val="20"/>
              </w:rPr>
              <w:t xml:space="preserve">8</w:t>
            </w:r>
          </w:p>
        </w:tc>
        <w:tc>
          <w:tcPr>
            <w:tcW w:w="3969" w:type="dxa"/>
          </w:tcPr>
          <w:p>
            <w:pPr>
              <w:pStyle w:val="0"/>
              <w:jc w:val="both"/>
            </w:pPr>
            <w:r>
              <w:rPr>
                <w:sz w:val="20"/>
              </w:rPr>
              <w:t xml:space="preserve">Смертность от туберкулеза (на 100 тыс. населения)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6,9</w:t>
            </w:r>
          </w:p>
        </w:tc>
        <w:tc>
          <w:tcPr>
            <w:tcW w:w="1054" w:type="dxa"/>
          </w:tcPr>
          <w:p>
            <w:pPr>
              <w:pStyle w:val="0"/>
              <w:jc w:val="center"/>
            </w:pPr>
            <w:r>
              <w:rPr>
                <w:sz w:val="20"/>
              </w:rPr>
              <w:t xml:space="preserve">6,7</w:t>
            </w:r>
          </w:p>
        </w:tc>
        <w:tc>
          <w:tcPr>
            <w:tcW w:w="1054" w:type="dxa"/>
          </w:tcPr>
          <w:p>
            <w:pPr>
              <w:pStyle w:val="0"/>
              <w:jc w:val="center"/>
            </w:pPr>
            <w:r>
              <w:rPr>
                <w:sz w:val="20"/>
              </w:rPr>
              <w:t xml:space="preserve">6,6</w:t>
            </w:r>
          </w:p>
        </w:tc>
        <w:tc>
          <w:tcPr>
            <w:tcW w:w="1054" w:type="dxa"/>
          </w:tcPr>
          <w:p>
            <w:pPr>
              <w:pStyle w:val="0"/>
              <w:jc w:val="center"/>
            </w:pPr>
            <w:r>
              <w:rPr>
                <w:sz w:val="20"/>
              </w:rPr>
              <w:t xml:space="preserve">6,5</w:t>
            </w:r>
          </w:p>
        </w:tc>
        <w:tc>
          <w:tcPr>
            <w:tcW w:w="1054" w:type="dxa"/>
          </w:tcPr>
          <w:p>
            <w:pPr>
              <w:pStyle w:val="0"/>
              <w:jc w:val="center"/>
            </w:pPr>
            <w:r>
              <w:rPr>
                <w:sz w:val="20"/>
              </w:rPr>
              <w:t xml:space="preserve">6,4</w:t>
            </w:r>
          </w:p>
        </w:tc>
        <w:tc>
          <w:tcPr>
            <w:tcW w:w="1054" w:type="dxa"/>
          </w:tcPr>
          <w:p>
            <w:pPr>
              <w:pStyle w:val="0"/>
              <w:jc w:val="center"/>
            </w:pPr>
            <w:r>
              <w:rPr>
                <w:sz w:val="20"/>
              </w:rPr>
              <w:t xml:space="preserve">6,3</w:t>
            </w:r>
          </w:p>
        </w:tc>
        <w:tc>
          <w:tcPr>
            <w:tcW w:w="1056" w:type="dxa"/>
          </w:tcPr>
          <w:p>
            <w:pPr>
              <w:pStyle w:val="0"/>
              <w:jc w:val="center"/>
            </w:pPr>
            <w:r>
              <w:rPr>
                <w:sz w:val="20"/>
              </w:rPr>
              <w:t xml:space="preserve">6,2</w:t>
            </w:r>
          </w:p>
        </w:tc>
        <w:tc>
          <w:tcPr>
            <w:tcW w:w="1056" w:type="dxa"/>
          </w:tcPr>
          <w:p>
            <w:pPr>
              <w:pStyle w:val="0"/>
              <w:jc w:val="center"/>
            </w:pPr>
            <w:r>
              <w:rPr>
                <w:sz w:val="20"/>
              </w:rPr>
              <w:t xml:space="preserve">6,1</w:t>
            </w:r>
          </w:p>
        </w:tc>
        <w:tc>
          <w:tcPr>
            <w:tcW w:w="1056" w:type="dxa"/>
          </w:tcPr>
          <w:p>
            <w:pPr>
              <w:pStyle w:val="0"/>
              <w:jc w:val="center"/>
            </w:pPr>
            <w:r>
              <w:rPr>
                <w:sz w:val="20"/>
              </w:rPr>
              <w:t xml:space="preserve">6,0</w:t>
            </w:r>
          </w:p>
        </w:tc>
        <w:tc>
          <w:tcPr>
            <w:tcW w:w="1056" w:type="dxa"/>
          </w:tcPr>
          <w:p>
            <w:pPr>
              <w:pStyle w:val="0"/>
              <w:jc w:val="center"/>
            </w:pPr>
            <w:r>
              <w:rPr>
                <w:sz w:val="20"/>
              </w:rPr>
              <w:t xml:space="preserve">6,0</w:t>
            </w:r>
          </w:p>
        </w:tc>
      </w:tr>
      <w:tr>
        <w:tc>
          <w:tcPr>
            <w:tcW w:w="1247" w:type="dxa"/>
          </w:tcPr>
          <w:p>
            <w:pPr>
              <w:pStyle w:val="0"/>
              <w:jc w:val="both"/>
            </w:pPr>
            <w:r>
              <w:rPr>
                <w:sz w:val="20"/>
              </w:rPr>
              <w:t xml:space="preserve">9</w:t>
            </w:r>
          </w:p>
        </w:tc>
        <w:tc>
          <w:tcPr>
            <w:tcW w:w="3969" w:type="dxa"/>
          </w:tcPr>
          <w:p>
            <w:pPr>
              <w:pStyle w:val="0"/>
              <w:jc w:val="both"/>
            </w:pPr>
            <w:r>
              <w:rPr>
                <w:sz w:val="20"/>
              </w:rPr>
              <w:t xml:space="preserve">Доля отделений медицинских организаций, подведомственных Департаменту здравоохранения города Севастополя, соответствующих лицензионным требованиям</w:t>
            </w:r>
          </w:p>
        </w:tc>
        <w:tc>
          <w:tcPr>
            <w:tcW w:w="1531" w:type="dxa"/>
          </w:tcPr>
          <w:p>
            <w:pPr>
              <w:pStyle w:val="0"/>
              <w:jc w:val="both"/>
            </w:pPr>
            <w:r>
              <w:rPr>
                <w:sz w:val="20"/>
              </w:rPr>
              <w:t xml:space="preserve">%</w:t>
            </w:r>
          </w:p>
        </w:tc>
        <w:tc>
          <w:tcPr>
            <w:tcW w:w="1054" w:type="dxa"/>
          </w:tcPr>
          <w:p>
            <w:pPr>
              <w:pStyle w:val="0"/>
              <w:jc w:val="center"/>
            </w:pPr>
            <w:r>
              <w:rPr>
                <w:sz w:val="20"/>
              </w:rPr>
              <w:t xml:space="preserve">60,0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r>
      <w:tr>
        <w:tc>
          <w:tcPr>
            <w:tcW w:w="1247" w:type="dxa"/>
          </w:tcPr>
          <w:p>
            <w:pPr>
              <w:pStyle w:val="0"/>
              <w:jc w:val="both"/>
            </w:pPr>
            <w:r>
              <w:rPr>
                <w:sz w:val="20"/>
              </w:rPr>
              <w:t xml:space="preserve">10</w:t>
            </w:r>
          </w:p>
        </w:tc>
        <w:tc>
          <w:tcPr>
            <w:tcW w:w="3969" w:type="dxa"/>
          </w:tcPr>
          <w:p>
            <w:pPr>
              <w:pStyle w:val="0"/>
              <w:jc w:val="both"/>
            </w:pPr>
            <w:r>
              <w:rPr>
                <w:sz w:val="20"/>
              </w:rPr>
              <w:t xml:space="preserve">Доля площадей учреждений здравоохранения, нуждающихся в капитальном ремонте</w:t>
            </w:r>
          </w:p>
        </w:tc>
        <w:tc>
          <w:tcPr>
            <w:tcW w:w="1531" w:type="dxa"/>
          </w:tcPr>
          <w:p>
            <w:pPr>
              <w:pStyle w:val="0"/>
              <w:jc w:val="both"/>
            </w:pPr>
            <w:r>
              <w:rPr>
                <w:sz w:val="20"/>
              </w:rPr>
              <w:t xml:space="preserve">%</w:t>
            </w:r>
          </w:p>
        </w:tc>
        <w:tc>
          <w:tcPr>
            <w:tcW w:w="1054" w:type="dxa"/>
          </w:tcPr>
          <w:p>
            <w:pPr>
              <w:pStyle w:val="0"/>
              <w:jc w:val="center"/>
            </w:pPr>
            <w:r>
              <w:rPr>
                <w:sz w:val="20"/>
              </w:rPr>
              <w:t xml:space="preserve">50,0</w:t>
            </w:r>
          </w:p>
        </w:tc>
        <w:tc>
          <w:tcPr>
            <w:tcW w:w="1054" w:type="dxa"/>
          </w:tcPr>
          <w:p>
            <w:pPr>
              <w:pStyle w:val="0"/>
              <w:jc w:val="center"/>
            </w:pPr>
            <w:r>
              <w:rPr>
                <w:sz w:val="20"/>
              </w:rPr>
              <w:t xml:space="preserve">40,0</w:t>
            </w:r>
          </w:p>
        </w:tc>
        <w:tc>
          <w:tcPr>
            <w:tcW w:w="1054" w:type="dxa"/>
          </w:tcPr>
          <w:p>
            <w:pPr>
              <w:pStyle w:val="0"/>
              <w:jc w:val="center"/>
            </w:pPr>
            <w:r>
              <w:rPr>
                <w:sz w:val="20"/>
              </w:rPr>
              <w:t xml:space="preserve">35,0</w:t>
            </w:r>
          </w:p>
        </w:tc>
        <w:tc>
          <w:tcPr>
            <w:tcW w:w="1054" w:type="dxa"/>
          </w:tcPr>
          <w:p>
            <w:pPr>
              <w:pStyle w:val="0"/>
              <w:jc w:val="center"/>
            </w:pPr>
            <w:r>
              <w:rPr>
                <w:sz w:val="20"/>
              </w:rPr>
              <w:t xml:space="preserve">30,0</w:t>
            </w:r>
          </w:p>
        </w:tc>
        <w:tc>
          <w:tcPr>
            <w:tcW w:w="1054" w:type="dxa"/>
          </w:tcPr>
          <w:p>
            <w:pPr>
              <w:pStyle w:val="0"/>
              <w:jc w:val="center"/>
            </w:pPr>
            <w:r>
              <w:rPr>
                <w:sz w:val="20"/>
              </w:rPr>
              <w:t xml:space="preserve">30,0</w:t>
            </w:r>
          </w:p>
        </w:tc>
        <w:tc>
          <w:tcPr>
            <w:tcW w:w="1054" w:type="dxa"/>
          </w:tcPr>
          <w:p>
            <w:pPr>
              <w:pStyle w:val="0"/>
              <w:jc w:val="center"/>
            </w:pPr>
            <w:r>
              <w:rPr>
                <w:sz w:val="20"/>
              </w:rPr>
              <w:t xml:space="preserve">30,0</w:t>
            </w:r>
          </w:p>
        </w:tc>
        <w:tc>
          <w:tcPr>
            <w:tcW w:w="1056" w:type="dxa"/>
          </w:tcPr>
          <w:p>
            <w:pPr>
              <w:pStyle w:val="0"/>
              <w:jc w:val="center"/>
            </w:pPr>
            <w:r>
              <w:rPr>
                <w:sz w:val="20"/>
              </w:rPr>
              <w:t xml:space="preserve">30,0</w:t>
            </w:r>
          </w:p>
        </w:tc>
        <w:tc>
          <w:tcPr>
            <w:tcW w:w="1056" w:type="dxa"/>
          </w:tcPr>
          <w:p>
            <w:pPr>
              <w:pStyle w:val="0"/>
              <w:jc w:val="center"/>
            </w:pPr>
            <w:r>
              <w:rPr>
                <w:sz w:val="20"/>
              </w:rPr>
              <w:t xml:space="preserve">15,0</w:t>
            </w:r>
          </w:p>
        </w:tc>
        <w:tc>
          <w:tcPr>
            <w:tcW w:w="1056" w:type="dxa"/>
          </w:tcPr>
          <w:p>
            <w:pPr>
              <w:pStyle w:val="0"/>
              <w:jc w:val="center"/>
            </w:pPr>
            <w:r>
              <w:rPr>
                <w:sz w:val="20"/>
              </w:rPr>
              <w:t xml:space="preserve">15,0</w:t>
            </w:r>
          </w:p>
        </w:tc>
        <w:tc>
          <w:tcPr>
            <w:tcW w:w="1056" w:type="dxa"/>
          </w:tcPr>
          <w:p>
            <w:pPr>
              <w:pStyle w:val="0"/>
              <w:jc w:val="center"/>
            </w:pPr>
            <w:r>
              <w:rPr>
                <w:sz w:val="20"/>
              </w:rPr>
              <w:t xml:space="preserve">15,0</w:t>
            </w:r>
          </w:p>
        </w:tc>
      </w:tr>
      <w:tr>
        <w:tc>
          <w:tcPr>
            <w:tcW w:w="1247" w:type="dxa"/>
          </w:tcPr>
          <w:p>
            <w:pPr>
              <w:pStyle w:val="0"/>
              <w:jc w:val="both"/>
            </w:pPr>
            <w:r>
              <w:rPr>
                <w:sz w:val="20"/>
              </w:rPr>
              <w:t xml:space="preserve">11</w:t>
            </w:r>
          </w:p>
        </w:tc>
        <w:tc>
          <w:tcPr>
            <w:tcW w:w="3969" w:type="dxa"/>
          </w:tcPr>
          <w:p>
            <w:pPr>
              <w:pStyle w:val="0"/>
              <w:jc w:val="both"/>
            </w:pPr>
            <w:r>
              <w:rPr>
                <w:sz w:val="20"/>
              </w:rPr>
              <w:t xml:space="preserve">Процент граждан, проживающих в городской местности, удовлетворенных оказанием услуг (по данным ТФОМС)</w:t>
            </w:r>
          </w:p>
        </w:tc>
        <w:tc>
          <w:tcPr>
            <w:tcW w:w="1531" w:type="dxa"/>
          </w:tcPr>
          <w:p>
            <w:pPr>
              <w:pStyle w:val="0"/>
              <w:jc w:val="both"/>
            </w:pPr>
            <w:r>
              <w:rPr>
                <w:sz w:val="20"/>
              </w:rPr>
              <w:t xml:space="preserve">% от числа опрошенных</w:t>
            </w:r>
          </w:p>
        </w:tc>
        <w:tc>
          <w:tcPr>
            <w:tcW w:w="1054" w:type="dxa"/>
          </w:tcPr>
          <w:p>
            <w:pPr>
              <w:pStyle w:val="0"/>
              <w:jc w:val="center"/>
            </w:pPr>
            <w:r>
              <w:rPr>
                <w:sz w:val="20"/>
              </w:rPr>
              <w:t xml:space="preserve">65,0</w:t>
            </w:r>
          </w:p>
        </w:tc>
        <w:tc>
          <w:tcPr>
            <w:tcW w:w="1054" w:type="dxa"/>
          </w:tcPr>
          <w:p>
            <w:pPr>
              <w:pStyle w:val="0"/>
              <w:jc w:val="center"/>
            </w:pPr>
            <w:r>
              <w:rPr>
                <w:sz w:val="20"/>
              </w:rPr>
              <w:t xml:space="preserve">66,0</w:t>
            </w:r>
          </w:p>
        </w:tc>
        <w:tc>
          <w:tcPr>
            <w:tcW w:w="1054" w:type="dxa"/>
          </w:tcPr>
          <w:p>
            <w:pPr>
              <w:pStyle w:val="0"/>
              <w:jc w:val="center"/>
            </w:pPr>
            <w:r>
              <w:rPr>
                <w:sz w:val="20"/>
              </w:rPr>
              <w:t xml:space="preserve">67,0</w:t>
            </w:r>
          </w:p>
        </w:tc>
        <w:tc>
          <w:tcPr>
            <w:tcW w:w="1054" w:type="dxa"/>
          </w:tcPr>
          <w:p>
            <w:pPr>
              <w:pStyle w:val="0"/>
              <w:jc w:val="center"/>
            </w:pPr>
            <w:r>
              <w:rPr>
                <w:sz w:val="20"/>
              </w:rPr>
              <w:t xml:space="preserve">68,0</w:t>
            </w:r>
          </w:p>
        </w:tc>
        <w:tc>
          <w:tcPr>
            <w:tcW w:w="1054" w:type="dxa"/>
          </w:tcPr>
          <w:p>
            <w:pPr>
              <w:pStyle w:val="0"/>
              <w:jc w:val="center"/>
            </w:pPr>
            <w:r>
              <w:rPr>
                <w:sz w:val="20"/>
              </w:rPr>
              <w:t xml:space="preserve">69,0</w:t>
            </w:r>
          </w:p>
        </w:tc>
        <w:tc>
          <w:tcPr>
            <w:tcW w:w="1054" w:type="dxa"/>
          </w:tcPr>
          <w:p>
            <w:pPr>
              <w:pStyle w:val="0"/>
              <w:jc w:val="center"/>
            </w:pPr>
            <w:r>
              <w:rPr>
                <w:sz w:val="20"/>
              </w:rPr>
              <w:t xml:space="preserve">70,0</w:t>
            </w:r>
          </w:p>
        </w:tc>
        <w:tc>
          <w:tcPr>
            <w:tcW w:w="1056" w:type="dxa"/>
          </w:tcPr>
          <w:p>
            <w:pPr>
              <w:pStyle w:val="0"/>
              <w:jc w:val="center"/>
            </w:pPr>
            <w:r>
              <w:rPr>
                <w:sz w:val="20"/>
              </w:rPr>
              <w:t xml:space="preserve">71,0</w:t>
            </w:r>
          </w:p>
        </w:tc>
        <w:tc>
          <w:tcPr>
            <w:tcW w:w="1056" w:type="dxa"/>
          </w:tcPr>
          <w:p>
            <w:pPr>
              <w:pStyle w:val="0"/>
              <w:jc w:val="center"/>
            </w:pPr>
            <w:r>
              <w:rPr>
                <w:sz w:val="20"/>
              </w:rPr>
              <w:t xml:space="preserve">72,0</w:t>
            </w:r>
          </w:p>
        </w:tc>
        <w:tc>
          <w:tcPr>
            <w:tcW w:w="1056" w:type="dxa"/>
          </w:tcPr>
          <w:p>
            <w:pPr>
              <w:pStyle w:val="0"/>
              <w:jc w:val="center"/>
            </w:pPr>
            <w:r>
              <w:rPr>
                <w:sz w:val="20"/>
              </w:rPr>
              <w:t xml:space="preserve">74,0</w:t>
            </w:r>
          </w:p>
        </w:tc>
        <w:tc>
          <w:tcPr>
            <w:tcW w:w="1056" w:type="dxa"/>
          </w:tcPr>
          <w:p>
            <w:pPr>
              <w:pStyle w:val="0"/>
              <w:jc w:val="center"/>
            </w:pPr>
            <w:r>
              <w:rPr>
                <w:sz w:val="20"/>
              </w:rPr>
              <w:t xml:space="preserve">75,0</w:t>
            </w:r>
          </w:p>
        </w:tc>
      </w:tr>
      <w:tr>
        <w:tc>
          <w:tcPr>
            <w:tcW w:w="1247" w:type="dxa"/>
          </w:tcPr>
          <w:p>
            <w:pPr>
              <w:pStyle w:val="0"/>
              <w:jc w:val="both"/>
            </w:pPr>
            <w:r>
              <w:rPr>
                <w:sz w:val="20"/>
              </w:rPr>
              <w:t xml:space="preserve">12</w:t>
            </w:r>
          </w:p>
        </w:tc>
        <w:tc>
          <w:tcPr>
            <w:tcW w:w="3969" w:type="dxa"/>
          </w:tcPr>
          <w:p>
            <w:pPr>
              <w:pStyle w:val="0"/>
              <w:jc w:val="both"/>
            </w:pPr>
            <w:r>
              <w:rPr>
                <w:sz w:val="20"/>
              </w:rPr>
              <w:t xml:space="preserve">Процент граждан, проживающих в сельской местности, удовлетворенных оказанием услуг (по данным ТФОМС)</w:t>
            </w:r>
          </w:p>
        </w:tc>
        <w:tc>
          <w:tcPr>
            <w:tcW w:w="1531" w:type="dxa"/>
          </w:tcPr>
          <w:p>
            <w:pPr>
              <w:pStyle w:val="0"/>
              <w:jc w:val="both"/>
            </w:pPr>
            <w:r>
              <w:rPr>
                <w:sz w:val="20"/>
              </w:rPr>
              <w:t xml:space="preserve">% от числа опрошенных</w:t>
            </w:r>
          </w:p>
        </w:tc>
        <w:tc>
          <w:tcPr>
            <w:tcW w:w="1054" w:type="dxa"/>
          </w:tcPr>
          <w:p>
            <w:pPr>
              <w:pStyle w:val="0"/>
              <w:jc w:val="center"/>
            </w:pPr>
            <w:r>
              <w:rPr>
                <w:sz w:val="20"/>
              </w:rPr>
              <w:t xml:space="preserve">65,0</w:t>
            </w:r>
          </w:p>
        </w:tc>
        <w:tc>
          <w:tcPr>
            <w:tcW w:w="1054" w:type="dxa"/>
          </w:tcPr>
          <w:p>
            <w:pPr>
              <w:pStyle w:val="0"/>
              <w:jc w:val="center"/>
            </w:pPr>
            <w:r>
              <w:rPr>
                <w:sz w:val="20"/>
              </w:rPr>
              <w:t xml:space="preserve">66,0</w:t>
            </w:r>
          </w:p>
        </w:tc>
        <w:tc>
          <w:tcPr>
            <w:tcW w:w="1054" w:type="dxa"/>
          </w:tcPr>
          <w:p>
            <w:pPr>
              <w:pStyle w:val="0"/>
              <w:jc w:val="center"/>
            </w:pPr>
            <w:r>
              <w:rPr>
                <w:sz w:val="20"/>
              </w:rPr>
              <w:t xml:space="preserve">67,0</w:t>
            </w:r>
          </w:p>
        </w:tc>
        <w:tc>
          <w:tcPr>
            <w:tcW w:w="1054" w:type="dxa"/>
          </w:tcPr>
          <w:p>
            <w:pPr>
              <w:pStyle w:val="0"/>
              <w:jc w:val="center"/>
            </w:pPr>
            <w:r>
              <w:rPr>
                <w:sz w:val="20"/>
              </w:rPr>
              <w:t xml:space="preserve">68,0</w:t>
            </w:r>
          </w:p>
        </w:tc>
        <w:tc>
          <w:tcPr>
            <w:tcW w:w="1054" w:type="dxa"/>
          </w:tcPr>
          <w:p>
            <w:pPr>
              <w:pStyle w:val="0"/>
              <w:jc w:val="center"/>
            </w:pPr>
            <w:r>
              <w:rPr>
                <w:sz w:val="20"/>
              </w:rPr>
              <w:t xml:space="preserve">69,0</w:t>
            </w:r>
          </w:p>
        </w:tc>
        <w:tc>
          <w:tcPr>
            <w:tcW w:w="1054" w:type="dxa"/>
          </w:tcPr>
          <w:p>
            <w:pPr>
              <w:pStyle w:val="0"/>
              <w:jc w:val="center"/>
            </w:pPr>
            <w:r>
              <w:rPr>
                <w:sz w:val="20"/>
              </w:rPr>
              <w:t xml:space="preserve">70,0</w:t>
            </w:r>
          </w:p>
        </w:tc>
        <w:tc>
          <w:tcPr>
            <w:tcW w:w="1056" w:type="dxa"/>
          </w:tcPr>
          <w:p>
            <w:pPr>
              <w:pStyle w:val="0"/>
              <w:jc w:val="center"/>
            </w:pPr>
            <w:r>
              <w:rPr>
                <w:sz w:val="20"/>
              </w:rPr>
              <w:t xml:space="preserve">71,0</w:t>
            </w:r>
          </w:p>
        </w:tc>
        <w:tc>
          <w:tcPr>
            <w:tcW w:w="1056" w:type="dxa"/>
          </w:tcPr>
          <w:p>
            <w:pPr>
              <w:pStyle w:val="0"/>
              <w:jc w:val="center"/>
            </w:pPr>
            <w:r>
              <w:rPr>
                <w:sz w:val="20"/>
              </w:rPr>
              <w:t xml:space="preserve">72,0</w:t>
            </w:r>
          </w:p>
        </w:tc>
        <w:tc>
          <w:tcPr>
            <w:tcW w:w="1056" w:type="dxa"/>
          </w:tcPr>
          <w:p>
            <w:pPr>
              <w:pStyle w:val="0"/>
              <w:jc w:val="center"/>
            </w:pPr>
            <w:r>
              <w:rPr>
                <w:sz w:val="20"/>
              </w:rPr>
              <w:t xml:space="preserve">74,0</w:t>
            </w:r>
          </w:p>
        </w:tc>
        <w:tc>
          <w:tcPr>
            <w:tcW w:w="1056" w:type="dxa"/>
          </w:tcPr>
          <w:p>
            <w:pPr>
              <w:pStyle w:val="0"/>
              <w:jc w:val="center"/>
            </w:pPr>
            <w:r>
              <w:rPr>
                <w:sz w:val="20"/>
              </w:rPr>
              <w:t xml:space="preserve">75,0</w:t>
            </w:r>
          </w:p>
        </w:tc>
      </w:tr>
      <w:tr>
        <w:tc>
          <w:tcPr>
            <w:tcW w:w="1247" w:type="dxa"/>
          </w:tcPr>
          <w:p>
            <w:pPr>
              <w:pStyle w:val="0"/>
              <w:jc w:val="both"/>
            </w:pPr>
            <w:r>
              <w:rPr>
                <w:sz w:val="20"/>
              </w:rPr>
              <w:t xml:space="preserve">13</w:t>
            </w:r>
          </w:p>
        </w:tc>
        <w:tc>
          <w:tcPr>
            <w:tcW w:w="3969" w:type="dxa"/>
          </w:tcPr>
          <w:p>
            <w:pPr>
              <w:pStyle w:val="0"/>
              <w:jc w:val="both"/>
            </w:pPr>
            <w:r>
              <w:rPr>
                <w:sz w:val="20"/>
              </w:rPr>
              <w:t xml:space="preserve">Ожидаемая продолжительность жизни при рождении</w:t>
            </w:r>
          </w:p>
        </w:tc>
        <w:tc>
          <w:tcPr>
            <w:tcW w:w="1531" w:type="dxa"/>
          </w:tcPr>
          <w:p>
            <w:pPr>
              <w:pStyle w:val="0"/>
              <w:jc w:val="both"/>
            </w:pPr>
            <w:r>
              <w:rPr>
                <w:sz w:val="20"/>
              </w:rPr>
              <w:t xml:space="preserve">года</w:t>
            </w:r>
          </w:p>
        </w:tc>
        <w:tc>
          <w:tcPr>
            <w:tcW w:w="1054" w:type="dxa"/>
          </w:tcPr>
          <w:p>
            <w:pPr>
              <w:pStyle w:val="0"/>
              <w:jc w:val="center"/>
            </w:pPr>
            <w:r>
              <w:rPr>
                <w:sz w:val="20"/>
              </w:rPr>
              <w:t xml:space="preserve">73,39</w:t>
            </w:r>
          </w:p>
        </w:tc>
        <w:tc>
          <w:tcPr>
            <w:tcW w:w="1054" w:type="dxa"/>
          </w:tcPr>
          <w:p>
            <w:pPr>
              <w:pStyle w:val="0"/>
              <w:jc w:val="center"/>
            </w:pPr>
            <w:r>
              <w:rPr>
                <w:sz w:val="20"/>
              </w:rPr>
              <w:t xml:space="preserve">75,10</w:t>
            </w:r>
          </w:p>
        </w:tc>
        <w:tc>
          <w:tcPr>
            <w:tcW w:w="1054" w:type="dxa"/>
          </w:tcPr>
          <w:p>
            <w:pPr>
              <w:pStyle w:val="0"/>
              <w:jc w:val="center"/>
            </w:pPr>
            <w:r>
              <w:rPr>
                <w:sz w:val="20"/>
              </w:rPr>
              <w:t xml:space="preserve">75,42</w:t>
            </w:r>
          </w:p>
        </w:tc>
        <w:tc>
          <w:tcPr>
            <w:tcW w:w="1054" w:type="dxa"/>
          </w:tcPr>
          <w:p>
            <w:pPr>
              <w:pStyle w:val="0"/>
              <w:jc w:val="center"/>
            </w:pPr>
            <w:r>
              <w:rPr>
                <w:sz w:val="20"/>
              </w:rPr>
              <w:t xml:space="preserve">75,72</w:t>
            </w:r>
          </w:p>
        </w:tc>
        <w:tc>
          <w:tcPr>
            <w:tcW w:w="1054" w:type="dxa"/>
          </w:tcPr>
          <w:p>
            <w:pPr>
              <w:pStyle w:val="0"/>
              <w:jc w:val="center"/>
            </w:pPr>
            <w:r>
              <w:rPr>
                <w:sz w:val="20"/>
              </w:rPr>
              <w:t xml:space="preserve">75,99</w:t>
            </w:r>
          </w:p>
        </w:tc>
        <w:tc>
          <w:tcPr>
            <w:tcW w:w="1054" w:type="dxa"/>
          </w:tcPr>
          <w:p>
            <w:pPr>
              <w:pStyle w:val="0"/>
              <w:jc w:val="center"/>
            </w:pPr>
            <w:r>
              <w:rPr>
                <w:sz w:val="20"/>
              </w:rPr>
              <w:t xml:space="preserve">76,23</w:t>
            </w:r>
          </w:p>
        </w:tc>
        <w:tc>
          <w:tcPr>
            <w:tcW w:w="1056" w:type="dxa"/>
          </w:tcPr>
          <w:p>
            <w:pPr>
              <w:pStyle w:val="0"/>
              <w:jc w:val="center"/>
            </w:pPr>
            <w:r>
              <w:rPr>
                <w:sz w:val="20"/>
              </w:rPr>
              <w:t xml:space="preserve">76,46</w:t>
            </w:r>
          </w:p>
        </w:tc>
        <w:tc>
          <w:tcPr>
            <w:tcW w:w="1056" w:type="dxa"/>
          </w:tcPr>
          <w:p>
            <w:pPr>
              <w:pStyle w:val="0"/>
              <w:jc w:val="center"/>
            </w:pPr>
            <w:r>
              <w:rPr>
                <w:sz w:val="20"/>
              </w:rPr>
              <w:t xml:space="preserve">76,66</w:t>
            </w:r>
          </w:p>
        </w:tc>
        <w:tc>
          <w:tcPr>
            <w:tcW w:w="1056" w:type="dxa"/>
          </w:tcPr>
          <w:p>
            <w:pPr>
              <w:pStyle w:val="0"/>
              <w:jc w:val="center"/>
            </w:pPr>
            <w:r>
              <w:rPr>
                <w:sz w:val="20"/>
              </w:rPr>
              <w:t xml:space="preserve">76,84</w:t>
            </w:r>
          </w:p>
        </w:tc>
        <w:tc>
          <w:tcPr>
            <w:tcW w:w="1056" w:type="dxa"/>
          </w:tcPr>
          <w:p>
            <w:pPr>
              <w:pStyle w:val="0"/>
              <w:jc w:val="center"/>
            </w:pPr>
            <w:r>
              <w:rPr>
                <w:sz w:val="20"/>
              </w:rPr>
              <w:t xml:space="preserve">77,00</w:t>
            </w:r>
          </w:p>
        </w:tc>
      </w:tr>
      <w:tr>
        <w:tc>
          <w:tcPr>
            <w:tcW w:w="1247" w:type="dxa"/>
          </w:tcPr>
          <w:p>
            <w:pPr>
              <w:pStyle w:val="0"/>
              <w:jc w:val="both"/>
            </w:pPr>
            <w:r>
              <w:rPr>
                <w:sz w:val="20"/>
              </w:rPr>
              <w:t xml:space="preserve">14</w:t>
            </w:r>
          </w:p>
        </w:tc>
        <w:tc>
          <w:tcPr>
            <w:tcW w:w="3969" w:type="dxa"/>
          </w:tcPr>
          <w:p>
            <w:pPr>
              <w:pStyle w:val="0"/>
              <w:jc w:val="both"/>
            </w:pPr>
            <w:r>
              <w:rPr>
                <w:sz w:val="20"/>
              </w:rPr>
              <w:t xml:space="preserve">Ввод в эксплуатацию объектов здравоохранения в г. Севастополе по государственной </w:t>
            </w:r>
            <w:hyperlink w:history="0" r:id="rId296"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программе</w:t>
              </w:r>
            </w:hyperlink>
            <w:r>
              <w:rPr>
                <w:sz w:val="20"/>
              </w:rPr>
              <w:t xml:space="preserve"> "Социально-экономическое развитие Республики Крым и г. Севастополя" (годовой ввод)</w:t>
            </w:r>
          </w:p>
        </w:tc>
        <w:tc>
          <w:tcPr>
            <w:tcW w:w="1531" w:type="dxa"/>
          </w:tcPr>
          <w:p>
            <w:pPr>
              <w:pStyle w:val="0"/>
              <w:jc w:val="both"/>
            </w:pPr>
            <w:r>
              <w:rPr>
                <w:sz w:val="20"/>
              </w:rPr>
              <w:t xml:space="preserve">единиц</w:t>
            </w:r>
          </w:p>
        </w:tc>
        <w:tc>
          <w:tcPr>
            <w:tcW w:w="1054" w:type="dxa"/>
          </w:tcPr>
          <w:p>
            <w:pPr>
              <w:pStyle w:val="0"/>
              <w:jc w:val="center"/>
            </w:pPr>
            <w:r>
              <w:rPr>
                <w:sz w:val="20"/>
              </w:rPr>
              <w:t xml:space="preserve">0</w:t>
            </w:r>
          </w:p>
        </w:tc>
        <w:tc>
          <w:tcPr>
            <w:tcW w:w="1054" w:type="dxa"/>
          </w:tcPr>
          <w:p>
            <w:pPr>
              <w:pStyle w:val="0"/>
              <w:jc w:val="center"/>
            </w:pPr>
            <w:r>
              <w:rPr>
                <w:sz w:val="20"/>
              </w:rPr>
              <w:t xml:space="preserve">2</w:t>
            </w:r>
          </w:p>
        </w:tc>
        <w:tc>
          <w:tcPr>
            <w:tcW w:w="1054" w:type="dxa"/>
          </w:tcPr>
          <w:p>
            <w:pPr>
              <w:pStyle w:val="0"/>
              <w:jc w:val="center"/>
            </w:pPr>
            <w:r>
              <w:rPr>
                <w:sz w:val="20"/>
              </w:rPr>
              <w:t xml:space="preserve">3</w:t>
            </w:r>
          </w:p>
        </w:tc>
        <w:tc>
          <w:tcPr>
            <w:tcW w:w="1054" w:type="dxa"/>
          </w:tcPr>
          <w:p>
            <w:pPr>
              <w:pStyle w:val="0"/>
              <w:jc w:val="center"/>
            </w:pPr>
            <w:r>
              <w:rPr>
                <w:sz w:val="20"/>
              </w:rPr>
              <w:t xml:space="preserve">1</w:t>
            </w:r>
          </w:p>
        </w:tc>
        <w:tc>
          <w:tcPr>
            <w:tcW w:w="1054" w:type="dxa"/>
          </w:tcPr>
          <w:p>
            <w:pPr>
              <w:pStyle w:val="0"/>
              <w:jc w:val="center"/>
            </w:pPr>
            <w:r>
              <w:rPr>
                <w:sz w:val="20"/>
              </w:rPr>
              <w:t xml:space="preserve">1</w:t>
            </w:r>
          </w:p>
        </w:tc>
        <w:tc>
          <w:tcPr>
            <w:tcW w:w="1054" w:type="dxa"/>
          </w:tcPr>
          <w:p>
            <w:pPr>
              <w:pStyle w:val="0"/>
              <w:jc w:val="center"/>
            </w:pPr>
            <w:r>
              <w:rPr>
                <w:sz w:val="20"/>
              </w:rPr>
              <w:t xml:space="preserve">2</w:t>
            </w:r>
          </w:p>
        </w:tc>
        <w:tc>
          <w:tcPr>
            <w:tcW w:w="1056" w:type="dxa"/>
          </w:tcPr>
          <w:p>
            <w:pPr>
              <w:pStyle w:val="0"/>
              <w:jc w:val="center"/>
            </w:pPr>
            <w:r>
              <w:rPr>
                <w:sz w:val="20"/>
              </w:rPr>
              <w:t xml:space="preserve">2</w:t>
            </w:r>
          </w:p>
        </w:tc>
        <w:tc>
          <w:tcPr>
            <w:tcW w:w="1056" w:type="dxa"/>
          </w:tcPr>
          <w:p>
            <w:pPr>
              <w:pStyle w:val="0"/>
              <w:jc w:val="center"/>
            </w:pPr>
            <w:r>
              <w:rPr>
                <w:sz w:val="20"/>
              </w:rPr>
              <w:t xml:space="preserve">0</w:t>
            </w:r>
          </w:p>
        </w:tc>
        <w:tc>
          <w:tcPr>
            <w:tcW w:w="1056" w:type="dxa"/>
          </w:tcPr>
          <w:p>
            <w:pPr>
              <w:pStyle w:val="0"/>
              <w:jc w:val="center"/>
            </w:pPr>
            <w:r>
              <w:rPr>
                <w:sz w:val="20"/>
              </w:rPr>
              <w:t xml:space="preserve">0</w:t>
            </w:r>
          </w:p>
        </w:tc>
        <w:tc>
          <w:tcPr>
            <w:tcW w:w="1056" w:type="dxa"/>
          </w:tcPr>
          <w:p>
            <w:pPr>
              <w:pStyle w:val="0"/>
              <w:jc w:val="center"/>
            </w:pPr>
            <w:r>
              <w:rPr>
                <w:sz w:val="20"/>
              </w:rPr>
              <w:t xml:space="preserve">0</w:t>
            </w:r>
          </w:p>
        </w:tc>
      </w:tr>
      <w:tr>
        <w:tc>
          <w:tcPr>
            <w:tcW w:w="1247" w:type="dxa"/>
          </w:tcPr>
          <w:p>
            <w:pPr>
              <w:pStyle w:val="0"/>
              <w:jc w:val="both"/>
            </w:pPr>
            <w:r>
              <w:rPr>
                <w:sz w:val="20"/>
              </w:rPr>
              <w:t xml:space="preserve">15</w:t>
            </w:r>
          </w:p>
        </w:tc>
        <w:tc>
          <w:tcPr>
            <w:tcW w:w="3969" w:type="dxa"/>
          </w:tcPr>
          <w:p>
            <w:pPr>
              <w:pStyle w:val="0"/>
              <w:jc w:val="both"/>
            </w:pPr>
            <w:r>
              <w:rPr>
                <w:sz w:val="20"/>
              </w:rPr>
              <w:t xml:space="preserve">Объем внебюджетных инвестиций в основной капитал отрасли здравоохранения</w:t>
            </w:r>
          </w:p>
        </w:tc>
        <w:tc>
          <w:tcPr>
            <w:tcW w:w="1531" w:type="dxa"/>
          </w:tcPr>
          <w:p>
            <w:pPr>
              <w:pStyle w:val="0"/>
              <w:jc w:val="both"/>
            </w:pPr>
            <w:r>
              <w:rPr>
                <w:sz w:val="20"/>
              </w:rPr>
              <w:t xml:space="preserve">тыс. руб.</w:t>
            </w:r>
          </w:p>
        </w:tc>
        <w:tc>
          <w:tcPr>
            <w:tcW w:w="1054" w:type="dxa"/>
          </w:tcPr>
          <w:p>
            <w:pPr>
              <w:pStyle w:val="0"/>
              <w:jc w:val="center"/>
            </w:pPr>
            <w:r>
              <w:rPr>
                <w:sz w:val="20"/>
              </w:rPr>
              <w:t xml:space="preserve">5000,0</w:t>
            </w:r>
          </w:p>
        </w:tc>
        <w:tc>
          <w:tcPr>
            <w:tcW w:w="1054" w:type="dxa"/>
          </w:tcPr>
          <w:p>
            <w:pPr>
              <w:pStyle w:val="0"/>
              <w:jc w:val="center"/>
            </w:pPr>
            <w:r>
              <w:rPr>
                <w:sz w:val="20"/>
              </w:rPr>
              <w:t xml:space="preserve">6000,0</w:t>
            </w:r>
          </w:p>
        </w:tc>
        <w:tc>
          <w:tcPr>
            <w:tcW w:w="1054" w:type="dxa"/>
          </w:tcPr>
          <w:p>
            <w:pPr>
              <w:pStyle w:val="0"/>
              <w:jc w:val="center"/>
            </w:pPr>
            <w:r>
              <w:rPr>
                <w:sz w:val="20"/>
              </w:rPr>
              <w:t xml:space="preserve">6000,0</w:t>
            </w:r>
          </w:p>
        </w:tc>
        <w:tc>
          <w:tcPr>
            <w:tcW w:w="1054" w:type="dxa"/>
          </w:tcPr>
          <w:p>
            <w:pPr>
              <w:pStyle w:val="0"/>
              <w:jc w:val="center"/>
            </w:pPr>
            <w:r>
              <w:rPr>
                <w:sz w:val="20"/>
              </w:rPr>
              <w:t xml:space="preserve">6000,0</w:t>
            </w:r>
          </w:p>
        </w:tc>
        <w:tc>
          <w:tcPr>
            <w:tcW w:w="1054" w:type="dxa"/>
          </w:tcPr>
          <w:p>
            <w:pPr>
              <w:pStyle w:val="0"/>
              <w:jc w:val="center"/>
            </w:pPr>
            <w:r>
              <w:rPr>
                <w:sz w:val="20"/>
              </w:rPr>
              <w:t xml:space="preserve">6000,0</w:t>
            </w:r>
          </w:p>
        </w:tc>
        <w:tc>
          <w:tcPr>
            <w:tcW w:w="1054" w:type="dxa"/>
          </w:tcPr>
          <w:p>
            <w:pPr>
              <w:pStyle w:val="0"/>
              <w:jc w:val="center"/>
            </w:pPr>
            <w:r>
              <w:rPr>
                <w:sz w:val="20"/>
              </w:rPr>
              <w:t xml:space="preserve">6000,0</w:t>
            </w:r>
          </w:p>
        </w:tc>
        <w:tc>
          <w:tcPr>
            <w:tcW w:w="1056" w:type="dxa"/>
          </w:tcPr>
          <w:p>
            <w:pPr>
              <w:pStyle w:val="0"/>
              <w:jc w:val="center"/>
            </w:pPr>
            <w:r>
              <w:rPr>
                <w:sz w:val="20"/>
              </w:rPr>
              <w:t xml:space="preserve">6000,0</w:t>
            </w:r>
          </w:p>
        </w:tc>
        <w:tc>
          <w:tcPr>
            <w:tcW w:w="1056" w:type="dxa"/>
          </w:tcPr>
          <w:p>
            <w:pPr>
              <w:pStyle w:val="0"/>
              <w:jc w:val="center"/>
            </w:pPr>
            <w:r>
              <w:rPr>
                <w:sz w:val="20"/>
              </w:rPr>
              <w:t xml:space="preserve">6000,0</w:t>
            </w:r>
          </w:p>
        </w:tc>
        <w:tc>
          <w:tcPr>
            <w:tcW w:w="1056" w:type="dxa"/>
          </w:tcPr>
          <w:p>
            <w:pPr>
              <w:pStyle w:val="0"/>
              <w:jc w:val="center"/>
            </w:pPr>
            <w:r>
              <w:rPr>
                <w:sz w:val="20"/>
              </w:rPr>
              <w:t xml:space="preserve">6000,0</w:t>
            </w:r>
          </w:p>
        </w:tc>
        <w:tc>
          <w:tcPr>
            <w:tcW w:w="1056" w:type="dxa"/>
          </w:tcPr>
          <w:p>
            <w:pPr>
              <w:pStyle w:val="0"/>
              <w:jc w:val="center"/>
            </w:pPr>
            <w:r>
              <w:rPr>
                <w:sz w:val="20"/>
              </w:rPr>
              <w:t xml:space="preserve">6000,0</w:t>
            </w:r>
          </w:p>
        </w:tc>
      </w:tr>
      <w:tr>
        <w:tc>
          <w:tcPr>
            <w:gridSpan w:val="13"/>
            <w:tcW w:w="17295" w:type="dxa"/>
          </w:tcPr>
          <w:p>
            <w:pPr>
              <w:pStyle w:val="0"/>
              <w:outlineLvl w:val="2"/>
              <w:jc w:val="center"/>
            </w:pPr>
            <w:r>
              <w:rPr>
                <w:sz w:val="20"/>
              </w:rPr>
              <w:t xml:space="preserve">Подпрограмма 1 "Профилактика заболеваний и формирование здорового образа жизни. Развитие первичной медико-санитарной помощи"</w:t>
            </w:r>
          </w:p>
        </w:tc>
      </w:tr>
      <w:tr>
        <w:tc>
          <w:tcPr>
            <w:tcW w:w="1247" w:type="dxa"/>
          </w:tcPr>
          <w:p>
            <w:pPr>
              <w:pStyle w:val="0"/>
              <w:jc w:val="both"/>
            </w:pPr>
            <w:r>
              <w:rPr>
                <w:sz w:val="20"/>
              </w:rPr>
              <w:t xml:space="preserve">1.1</w:t>
            </w:r>
          </w:p>
        </w:tc>
        <w:tc>
          <w:tcPr>
            <w:tcW w:w="3969" w:type="dxa"/>
          </w:tcPr>
          <w:p>
            <w:pPr>
              <w:pStyle w:val="0"/>
              <w:jc w:val="both"/>
            </w:pPr>
            <w:r>
              <w:rPr>
                <w:sz w:val="20"/>
              </w:rPr>
              <w:t xml:space="preserve">Охват профилактическими медицинскими осмотрами детей</w:t>
            </w:r>
          </w:p>
        </w:tc>
        <w:tc>
          <w:tcPr>
            <w:tcW w:w="1531" w:type="dxa"/>
          </w:tcPr>
          <w:p>
            <w:pPr>
              <w:pStyle w:val="0"/>
              <w:jc w:val="both"/>
            </w:pPr>
            <w:r>
              <w:rPr>
                <w:sz w:val="20"/>
              </w:rPr>
              <w:t xml:space="preserve">%</w:t>
            </w:r>
          </w:p>
        </w:tc>
        <w:tc>
          <w:tcPr>
            <w:tcW w:w="1054" w:type="dxa"/>
          </w:tcPr>
          <w:p>
            <w:pPr>
              <w:pStyle w:val="0"/>
              <w:jc w:val="center"/>
            </w:pPr>
            <w:r>
              <w:rPr>
                <w:sz w:val="20"/>
              </w:rPr>
              <w:t xml:space="preserve">89,9</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r>
      <w:tr>
        <w:tc>
          <w:tcPr>
            <w:tcW w:w="1247" w:type="dxa"/>
          </w:tcPr>
          <w:p>
            <w:pPr>
              <w:pStyle w:val="0"/>
              <w:jc w:val="both"/>
            </w:pPr>
            <w:r>
              <w:rPr>
                <w:sz w:val="20"/>
              </w:rPr>
              <w:t xml:space="preserve">1.2</w:t>
            </w:r>
          </w:p>
        </w:tc>
        <w:tc>
          <w:tcPr>
            <w:tcW w:w="3969" w:type="dxa"/>
          </w:tcPr>
          <w:p>
            <w:pPr>
              <w:pStyle w:val="0"/>
              <w:jc w:val="both"/>
            </w:pPr>
            <w:r>
              <w:rPr>
                <w:sz w:val="20"/>
              </w:rPr>
              <w:t xml:space="preserve">Охват диспансеризацией детей-сирот и детей, находящихся в трудной жизненной ситуации</w:t>
            </w:r>
          </w:p>
        </w:tc>
        <w:tc>
          <w:tcPr>
            <w:tcW w:w="1531" w:type="dxa"/>
          </w:tcPr>
          <w:p>
            <w:pPr>
              <w:pStyle w:val="0"/>
              <w:jc w:val="both"/>
            </w:pPr>
            <w:r>
              <w:rPr>
                <w:sz w:val="20"/>
              </w:rPr>
              <w:t xml:space="preserve">%</w:t>
            </w:r>
          </w:p>
        </w:tc>
        <w:tc>
          <w:tcPr>
            <w:tcW w:w="1054" w:type="dxa"/>
          </w:tcPr>
          <w:p>
            <w:pPr>
              <w:pStyle w:val="0"/>
              <w:jc w:val="center"/>
            </w:pPr>
            <w:r>
              <w:rPr>
                <w:sz w:val="20"/>
              </w:rPr>
              <w:t xml:space="preserve">97,0</w:t>
            </w:r>
          </w:p>
        </w:tc>
        <w:tc>
          <w:tcPr>
            <w:tcW w:w="1054" w:type="dxa"/>
          </w:tcPr>
          <w:p>
            <w:pPr>
              <w:pStyle w:val="0"/>
              <w:jc w:val="center"/>
            </w:pPr>
            <w:r>
              <w:rPr>
                <w:sz w:val="20"/>
              </w:rPr>
              <w:t xml:space="preserve">97,0</w:t>
            </w:r>
          </w:p>
        </w:tc>
        <w:tc>
          <w:tcPr>
            <w:tcW w:w="1054" w:type="dxa"/>
          </w:tcPr>
          <w:p>
            <w:pPr>
              <w:pStyle w:val="0"/>
              <w:jc w:val="center"/>
            </w:pPr>
            <w:r>
              <w:rPr>
                <w:sz w:val="20"/>
              </w:rPr>
              <w:t xml:space="preserve">97,0</w:t>
            </w:r>
          </w:p>
        </w:tc>
        <w:tc>
          <w:tcPr>
            <w:tcW w:w="1054" w:type="dxa"/>
          </w:tcPr>
          <w:p>
            <w:pPr>
              <w:pStyle w:val="0"/>
              <w:jc w:val="center"/>
            </w:pPr>
            <w:r>
              <w:rPr>
                <w:sz w:val="20"/>
              </w:rPr>
              <w:t xml:space="preserve">97,0</w:t>
            </w:r>
          </w:p>
        </w:tc>
        <w:tc>
          <w:tcPr>
            <w:tcW w:w="1054" w:type="dxa"/>
          </w:tcPr>
          <w:p>
            <w:pPr>
              <w:pStyle w:val="0"/>
              <w:jc w:val="center"/>
            </w:pPr>
            <w:r>
              <w:rPr>
                <w:sz w:val="20"/>
              </w:rPr>
              <w:t xml:space="preserve">97,0</w:t>
            </w:r>
          </w:p>
        </w:tc>
        <w:tc>
          <w:tcPr>
            <w:tcW w:w="1054" w:type="dxa"/>
          </w:tcPr>
          <w:p>
            <w:pPr>
              <w:pStyle w:val="0"/>
              <w:jc w:val="center"/>
            </w:pPr>
            <w:r>
              <w:rPr>
                <w:sz w:val="20"/>
              </w:rPr>
              <w:t xml:space="preserve">97,0</w:t>
            </w:r>
          </w:p>
        </w:tc>
        <w:tc>
          <w:tcPr>
            <w:tcW w:w="1056" w:type="dxa"/>
          </w:tcPr>
          <w:p>
            <w:pPr>
              <w:pStyle w:val="0"/>
              <w:jc w:val="center"/>
            </w:pPr>
            <w:r>
              <w:rPr>
                <w:sz w:val="20"/>
              </w:rPr>
              <w:t xml:space="preserve">97,0</w:t>
            </w:r>
          </w:p>
        </w:tc>
        <w:tc>
          <w:tcPr>
            <w:tcW w:w="1056" w:type="dxa"/>
          </w:tcPr>
          <w:p>
            <w:pPr>
              <w:pStyle w:val="0"/>
              <w:jc w:val="center"/>
            </w:pPr>
            <w:r>
              <w:rPr>
                <w:sz w:val="20"/>
              </w:rPr>
              <w:t xml:space="preserve">97,0</w:t>
            </w:r>
          </w:p>
        </w:tc>
        <w:tc>
          <w:tcPr>
            <w:tcW w:w="1056" w:type="dxa"/>
          </w:tcPr>
          <w:p>
            <w:pPr>
              <w:pStyle w:val="0"/>
              <w:jc w:val="center"/>
            </w:pPr>
            <w:r>
              <w:rPr>
                <w:sz w:val="20"/>
              </w:rPr>
              <w:t xml:space="preserve">97,0</w:t>
            </w:r>
          </w:p>
        </w:tc>
        <w:tc>
          <w:tcPr>
            <w:tcW w:w="1056" w:type="dxa"/>
          </w:tcPr>
          <w:p>
            <w:pPr>
              <w:pStyle w:val="0"/>
              <w:jc w:val="center"/>
            </w:pPr>
            <w:r>
              <w:rPr>
                <w:sz w:val="20"/>
              </w:rPr>
              <w:t xml:space="preserve">97,0</w:t>
            </w:r>
          </w:p>
        </w:tc>
      </w:tr>
      <w:tr>
        <w:tc>
          <w:tcPr>
            <w:tcW w:w="1247" w:type="dxa"/>
          </w:tcPr>
          <w:p>
            <w:pPr>
              <w:pStyle w:val="0"/>
              <w:jc w:val="both"/>
            </w:pPr>
            <w:r>
              <w:rPr>
                <w:sz w:val="20"/>
              </w:rPr>
              <w:t xml:space="preserve">1.3</w:t>
            </w:r>
          </w:p>
        </w:tc>
        <w:tc>
          <w:tcPr>
            <w:tcW w:w="3969" w:type="dxa"/>
          </w:tcPr>
          <w:p>
            <w:pPr>
              <w:pStyle w:val="0"/>
              <w:jc w:val="both"/>
            </w:pPr>
            <w:r>
              <w:rPr>
                <w:sz w:val="20"/>
              </w:rPr>
              <w:t xml:space="preserve">Охват диспансеризацией взрослого населения</w:t>
            </w:r>
          </w:p>
        </w:tc>
        <w:tc>
          <w:tcPr>
            <w:tcW w:w="1531" w:type="dxa"/>
          </w:tcPr>
          <w:p>
            <w:pPr>
              <w:pStyle w:val="0"/>
              <w:jc w:val="both"/>
            </w:pPr>
            <w:r>
              <w:rPr>
                <w:sz w:val="20"/>
              </w:rPr>
              <w:t xml:space="preserve">%</w:t>
            </w:r>
          </w:p>
        </w:tc>
        <w:tc>
          <w:tcPr>
            <w:tcW w:w="1054" w:type="dxa"/>
          </w:tcPr>
          <w:p>
            <w:pPr>
              <w:pStyle w:val="0"/>
              <w:jc w:val="center"/>
            </w:pPr>
            <w:r>
              <w:rPr>
                <w:sz w:val="20"/>
              </w:rPr>
              <w:t xml:space="preserve">23,0</w:t>
            </w:r>
          </w:p>
        </w:tc>
        <w:tc>
          <w:tcPr>
            <w:tcW w:w="1054" w:type="dxa"/>
          </w:tcPr>
          <w:p>
            <w:pPr>
              <w:pStyle w:val="0"/>
              <w:jc w:val="center"/>
            </w:pPr>
            <w:r>
              <w:rPr>
                <w:sz w:val="20"/>
              </w:rPr>
              <w:t xml:space="preserve">23,0</w:t>
            </w:r>
          </w:p>
        </w:tc>
        <w:tc>
          <w:tcPr>
            <w:tcW w:w="1054" w:type="dxa"/>
          </w:tcPr>
          <w:p>
            <w:pPr>
              <w:pStyle w:val="0"/>
              <w:jc w:val="center"/>
            </w:pPr>
            <w:r>
              <w:rPr>
                <w:sz w:val="20"/>
              </w:rPr>
              <w:t xml:space="preserve">23,0</w:t>
            </w:r>
          </w:p>
        </w:tc>
        <w:tc>
          <w:tcPr>
            <w:tcW w:w="1054" w:type="dxa"/>
          </w:tcPr>
          <w:p>
            <w:pPr>
              <w:pStyle w:val="0"/>
              <w:jc w:val="center"/>
            </w:pPr>
            <w:r>
              <w:rPr>
                <w:sz w:val="20"/>
              </w:rPr>
              <w:t xml:space="preserve">23,0</w:t>
            </w:r>
          </w:p>
        </w:tc>
        <w:tc>
          <w:tcPr>
            <w:tcW w:w="1054" w:type="dxa"/>
          </w:tcPr>
          <w:p>
            <w:pPr>
              <w:pStyle w:val="0"/>
              <w:jc w:val="center"/>
            </w:pPr>
            <w:r>
              <w:rPr>
                <w:sz w:val="20"/>
              </w:rPr>
              <w:t xml:space="preserve">23,0</w:t>
            </w:r>
          </w:p>
        </w:tc>
        <w:tc>
          <w:tcPr>
            <w:tcW w:w="1054" w:type="dxa"/>
          </w:tcPr>
          <w:p>
            <w:pPr>
              <w:pStyle w:val="0"/>
              <w:jc w:val="center"/>
            </w:pPr>
            <w:r>
              <w:rPr>
                <w:sz w:val="20"/>
              </w:rPr>
              <w:t xml:space="preserve">23,0</w:t>
            </w:r>
          </w:p>
        </w:tc>
        <w:tc>
          <w:tcPr>
            <w:tcW w:w="1056" w:type="dxa"/>
          </w:tcPr>
          <w:p>
            <w:pPr>
              <w:pStyle w:val="0"/>
              <w:jc w:val="center"/>
            </w:pPr>
            <w:r>
              <w:rPr>
                <w:sz w:val="20"/>
              </w:rPr>
              <w:t xml:space="preserve">23,0</w:t>
            </w:r>
          </w:p>
        </w:tc>
        <w:tc>
          <w:tcPr>
            <w:tcW w:w="1056" w:type="dxa"/>
          </w:tcPr>
          <w:p>
            <w:pPr>
              <w:pStyle w:val="0"/>
              <w:jc w:val="center"/>
            </w:pPr>
            <w:r>
              <w:rPr>
                <w:sz w:val="20"/>
              </w:rPr>
              <w:t xml:space="preserve">23,0</w:t>
            </w:r>
          </w:p>
        </w:tc>
        <w:tc>
          <w:tcPr>
            <w:tcW w:w="1056" w:type="dxa"/>
          </w:tcPr>
          <w:p>
            <w:pPr>
              <w:pStyle w:val="0"/>
              <w:jc w:val="center"/>
            </w:pPr>
            <w:r>
              <w:rPr>
                <w:sz w:val="20"/>
              </w:rPr>
              <w:t xml:space="preserve">23,0</w:t>
            </w:r>
          </w:p>
        </w:tc>
        <w:tc>
          <w:tcPr>
            <w:tcW w:w="1056" w:type="dxa"/>
          </w:tcPr>
          <w:p>
            <w:pPr>
              <w:pStyle w:val="0"/>
              <w:jc w:val="center"/>
            </w:pPr>
            <w:r>
              <w:rPr>
                <w:sz w:val="20"/>
              </w:rPr>
              <w:t xml:space="preserve">23,0</w:t>
            </w:r>
          </w:p>
        </w:tc>
      </w:tr>
      <w:tr>
        <w:tc>
          <w:tcPr>
            <w:tcW w:w="1247" w:type="dxa"/>
          </w:tcPr>
          <w:p>
            <w:pPr>
              <w:pStyle w:val="0"/>
              <w:jc w:val="both"/>
            </w:pPr>
            <w:r>
              <w:rPr>
                <w:sz w:val="20"/>
              </w:rPr>
              <w:t xml:space="preserve">1.4</w:t>
            </w:r>
          </w:p>
        </w:tc>
        <w:tc>
          <w:tcPr>
            <w:tcW w:w="3969" w:type="dxa"/>
          </w:tcPr>
          <w:p>
            <w:pPr>
              <w:pStyle w:val="0"/>
              <w:jc w:val="both"/>
            </w:pPr>
            <w:r>
              <w:rPr>
                <w:sz w:val="20"/>
              </w:rPr>
              <w:t xml:space="preserve">Количество зарегистрированных больных с диагнозом, установленным впервые в жизни, активный туберкулез (на 100 тыс. населения)</w:t>
            </w:r>
          </w:p>
        </w:tc>
        <w:tc>
          <w:tcPr>
            <w:tcW w:w="1531" w:type="dxa"/>
          </w:tcPr>
          <w:p>
            <w:pPr>
              <w:pStyle w:val="0"/>
              <w:jc w:val="both"/>
            </w:pPr>
            <w:r>
              <w:rPr>
                <w:sz w:val="20"/>
              </w:rPr>
              <w:t xml:space="preserve">случаев</w:t>
            </w:r>
          </w:p>
        </w:tc>
        <w:tc>
          <w:tcPr>
            <w:tcW w:w="1054" w:type="dxa"/>
          </w:tcPr>
          <w:p>
            <w:pPr>
              <w:pStyle w:val="0"/>
              <w:jc w:val="center"/>
            </w:pPr>
            <w:r>
              <w:rPr>
                <w:sz w:val="20"/>
              </w:rPr>
              <w:t xml:space="preserve">48,7</w:t>
            </w:r>
          </w:p>
        </w:tc>
        <w:tc>
          <w:tcPr>
            <w:tcW w:w="1054" w:type="dxa"/>
          </w:tcPr>
          <w:p>
            <w:pPr>
              <w:pStyle w:val="0"/>
              <w:jc w:val="center"/>
            </w:pPr>
            <w:r>
              <w:rPr>
                <w:sz w:val="20"/>
              </w:rPr>
              <w:t xml:space="preserve">47,2</w:t>
            </w:r>
          </w:p>
        </w:tc>
        <w:tc>
          <w:tcPr>
            <w:tcW w:w="1054" w:type="dxa"/>
          </w:tcPr>
          <w:p>
            <w:pPr>
              <w:pStyle w:val="0"/>
              <w:jc w:val="center"/>
            </w:pPr>
            <w:r>
              <w:rPr>
                <w:sz w:val="20"/>
              </w:rPr>
              <w:t xml:space="preserve">47,1</w:t>
            </w:r>
          </w:p>
        </w:tc>
        <w:tc>
          <w:tcPr>
            <w:tcW w:w="1054" w:type="dxa"/>
          </w:tcPr>
          <w:p>
            <w:pPr>
              <w:pStyle w:val="0"/>
              <w:jc w:val="center"/>
            </w:pPr>
            <w:r>
              <w:rPr>
                <w:sz w:val="20"/>
              </w:rPr>
              <w:t xml:space="preserve">47,0</w:t>
            </w:r>
          </w:p>
        </w:tc>
        <w:tc>
          <w:tcPr>
            <w:tcW w:w="1054" w:type="dxa"/>
          </w:tcPr>
          <w:p>
            <w:pPr>
              <w:pStyle w:val="0"/>
              <w:jc w:val="center"/>
            </w:pPr>
            <w:r>
              <w:rPr>
                <w:sz w:val="20"/>
              </w:rPr>
              <w:t xml:space="preserve">46,9</w:t>
            </w:r>
          </w:p>
        </w:tc>
        <w:tc>
          <w:tcPr>
            <w:tcW w:w="1054" w:type="dxa"/>
          </w:tcPr>
          <w:p>
            <w:pPr>
              <w:pStyle w:val="0"/>
              <w:jc w:val="center"/>
            </w:pPr>
            <w:r>
              <w:rPr>
                <w:sz w:val="20"/>
              </w:rPr>
              <w:t xml:space="preserve">46,8</w:t>
            </w:r>
          </w:p>
        </w:tc>
        <w:tc>
          <w:tcPr>
            <w:tcW w:w="1056" w:type="dxa"/>
          </w:tcPr>
          <w:p>
            <w:pPr>
              <w:pStyle w:val="0"/>
              <w:jc w:val="center"/>
            </w:pPr>
            <w:r>
              <w:rPr>
                <w:sz w:val="20"/>
              </w:rPr>
              <w:t xml:space="preserve">46,7</w:t>
            </w:r>
          </w:p>
        </w:tc>
        <w:tc>
          <w:tcPr>
            <w:tcW w:w="1056" w:type="dxa"/>
          </w:tcPr>
          <w:p>
            <w:pPr>
              <w:pStyle w:val="0"/>
              <w:jc w:val="center"/>
            </w:pPr>
            <w:r>
              <w:rPr>
                <w:sz w:val="20"/>
              </w:rPr>
              <w:t xml:space="preserve">46,6</w:t>
            </w:r>
          </w:p>
        </w:tc>
        <w:tc>
          <w:tcPr>
            <w:tcW w:w="1056" w:type="dxa"/>
          </w:tcPr>
          <w:p>
            <w:pPr>
              <w:pStyle w:val="0"/>
              <w:jc w:val="center"/>
            </w:pPr>
            <w:r>
              <w:rPr>
                <w:sz w:val="20"/>
              </w:rPr>
              <w:t xml:space="preserve">46,5</w:t>
            </w:r>
          </w:p>
        </w:tc>
        <w:tc>
          <w:tcPr>
            <w:tcW w:w="1056" w:type="dxa"/>
          </w:tcPr>
          <w:p>
            <w:pPr>
              <w:pStyle w:val="0"/>
              <w:jc w:val="center"/>
            </w:pPr>
            <w:r>
              <w:rPr>
                <w:sz w:val="20"/>
              </w:rPr>
              <w:t xml:space="preserve">46,5</w:t>
            </w:r>
          </w:p>
        </w:tc>
      </w:tr>
      <w:tr>
        <w:tc>
          <w:tcPr>
            <w:tcW w:w="1247" w:type="dxa"/>
          </w:tcPr>
          <w:p>
            <w:pPr>
              <w:pStyle w:val="0"/>
              <w:jc w:val="both"/>
            </w:pPr>
            <w:r>
              <w:rPr>
                <w:sz w:val="20"/>
              </w:rPr>
              <w:t xml:space="preserve">1.5</w:t>
            </w:r>
          </w:p>
        </w:tc>
        <w:tc>
          <w:tcPr>
            <w:tcW w:w="3969" w:type="dxa"/>
          </w:tcPr>
          <w:p>
            <w:pPr>
              <w:pStyle w:val="0"/>
              <w:jc w:val="both"/>
            </w:pPr>
            <w:r>
              <w:rPr>
                <w:sz w:val="20"/>
              </w:rPr>
              <w:t xml:space="preserve">Заболеваемость острым вирусным гепатитом B (на 100 тыс. населения)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1,87</w:t>
            </w:r>
          </w:p>
        </w:tc>
        <w:tc>
          <w:tcPr>
            <w:tcW w:w="1054" w:type="dxa"/>
          </w:tcPr>
          <w:p>
            <w:pPr>
              <w:pStyle w:val="0"/>
              <w:jc w:val="center"/>
            </w:pPr>
            <w:r>
              <w:rPr>
                <w:sz w:val="20"/>
              </w:rPr>
              <w:t xml:space="preserve">1,39</w:t>
            </w:r>
          </w:p>
        </w:tc>
        <w:tc>
          <w:tcPr>
            <w:tcW w:w="1054" w:type="dxa"/>
          </w:tcPr>
          <w:p>
            <w:pPr>
              <w:pStyle w:val="0"/>
              <w:jc w:val="center"/>
            </w:pPr>
            <w:r>
              <w:rPr>
                <w:sz w:val="20"/>
              </w:rPr>
              <w:t xml:space="preserve">1,39</w:t>
            </w:r>
          </w:p>
        </w:tc>
        <w:tc>
          <w:tcPr>
            <w:tcW w:w="1054" w:type="dxa"/>
          </w:tcPr>
          <w:p>
            <w:pPr>
              <w:pStyle w:val="0"/>
              <w:jc w:val="center"/>
            </w:pPr>
            <w:r>
              <w:rPr>
                <w:sz w:val="20"/>
              </w:rPr>
              <w:t xml:space="preserve">1,39</w:t>
            </w:r>
          </w:p>
        </w:tc>
        <w:tc>
          <w:tcPr>
            <w:tcW w:w="1054" w:type="dxa"/>
          </w:tcPr>
          <w:p>
            <w:pPr>
              <w:pStyle w:val="0"/>
              <w:jc w:val="center"/>
            </w:pPr>
            <w:r>
              <w:rPr>
                <w:sz w:val="20"/>
              </w:rPr>
              <w:t xml:space="preserve">1,39</w:t>
            </w:r>
          </w:p>
        </w:tc>
        <w:tc>
          <w:tcPr>
            <w:tcW w:w="1054" w:type="dxa"/>
          </w:tcPr>
          <w:p>
            <w:pPr>
              <w:pStyle w:val="0"/>
              <w:jc w:val="center"/>
            </w:pPr>
            <w:r>
              <w:rPr>
                <w:sz w:val="20"/>
              </w:rPr>
              <w:t xml:space="preserve">1,39</w:t>
            </w:r>
          </w:p>
        </w:tc>
        <w:tc>
          <w:tcPr>
            <w:tcW w:w="1056" w:type="dxa"/>
          </w:tcPr>
          <w:p>
            <w:pPr>
              <w:pStyle w:val="0"/>
              <w:jc w:val="center"/>
            </w:pPr>
            <w:r>
              <w:rPr>
                <w:sz w:val="20"/>
              </w:rPr>
              <w:t xml:space="preserve">1,39</w:t>
            </w:r>
          </w:p>
        </w:tc>
        <w:tc>
          <w:tcPr>
            <w:tcW w:w="1056" w:type="dxa"/>
          </w:tcPr>
          <w:p>
            <w:pPr>
              <w:pStyle w:val="0"/>
              <w:jc w:val="center"/>
            </w:pPr>
            <w:r>
              <w:rPr>
                <w:sz w:val="20"/>
              </w:rPr>
              <w:t xml:space="preserve">1,39</w:t>
            </w:r>
          </w:p>
        </w:tc>
        <w:tc>
          <w:tcPr>
            <w:tcW w:w="1056" w:type="dxa"/>
          </w:tcPr>
          <w:p>
            <w:pPr>
              <w:pStyle w:val="0"/>
              <w:jc w:val="center"/>
            </w:pPr>
            <w:r>
              <w:rPr>
                <w:sz w:val="20"/>
              </w:rPr>
              <w:t xml:space="preserve">1,39</w:t>
            </w:r>
          </w:p>
        </w:tc>
        <w:tc>
          <w:tcPr>
            <w:tcW w:w="1056" w:type="dxa"/>
          </w:tcPr>
          <w:p>
            <w:pPr>
              <w:pStyle w:val="0"/>
              <w:jc w:val="center"/>
            </w:pPr>
            <w:r>
              <w:rPr>
                <w:sz w:val="20"/>
              </w:rPr>
              <w:t xml:space="preserve">1,39</w:t>
            </w:r>
          </w:p>
        </w:tc>
      </w:tr>
      <w:tr>
        <w:tc>
          <w:tcPr>
            <w:tcW w:w="1247" w:type="dxa"/>
          </w:tcPr>
          <w:p>
            <w:pPr>
              <w:pStyle w:val="0"/>
              <w:jc w:val="both"/>
            </w:pPr>
            <w:r>
              <w:rPr>
                <w:sz w:val="20"/>
              </w:rPr>
              <w:t xml:space="preserve">1.6</w:t>
            </w:r>
          </w:p>
        </w:tc>
        <w:tc>
          <w:tcPr>
            <w:tcW w:w="3969" w:type="dxa"/>
          </w:tcPr>
          <w:p>
            <w:pPr>
              <w:pStyle w:val="0"/>
              <w:jc w:val="both"/>
            </w:pPr>
            <w:r>
              <w:rPr>
                <w:sz w:val="20"/>
              </w:rPr>
              <w:t xml:space="preserve">Охват иммунизацией населения против гепатита B в декретированные сроки</w:t>
            </w:r>
          </w:p>
        </w:tc>
        <w:tc>
          <w:tcPr>
            <w:tcW w:w="1531" w:type="dxa"/>
          </w:tcPr>
          <w:p>
            <w:pPr>
              <w:pStyle w:val="0"/>
              <w:jc w:val="both"/>
            </w:pPr>
            <w:r>
              <w:rPr>
                <w:sz w:val="20"/>
              </w:rPr>
              <w:t xml:space="preserve">%</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r>
      <w:tr>
        <w:tc>
          <w:tcPr>
            <w:tcW w:w="1247" w:type="dxa"/>
          </w:tcPr>
          <w:p>
            <w:pPr>
              <w:pStyle w:val="0"/>
              <w:jc w:val="both"/>
            </w:pPr>
            <w:r>
              <w:rPr>
                <w:sz w:val="20"/>
              </w:rPr>
              <w:t xml:space="preserve">1.7</w:t>
            </w:r>
          </w:p>
        </w:tc>
        <w:tc>
          <w:tcPr>
            <w:tcW w:w="3969" w:type="dxa"/>
          </w:tcPr>
          <w:p>
            <w:pPr>
              <w:pStyle w:val="0"/>
              <w:jc w:val="both"/>
            </w:pPr>
            <w:r>
              <w:rPr>
                <w:sz w:val="20"/>
              </w:rPr>
              <w:t xml:space="preserve">Охват иммунизацией населения против дифтерии, коклюша и столбняка в декретированные сроки</w:t>
            </w:r>
          </w:p>
        </w:tc>
        <w:tc>
          <w:tcPr>
            <w:tcW w:w="1531" w:type="dxa"/>
          </w:tcPr>
          <w:p>
            <w:pPr>
              <w:pStyle w:val="0"/>
              <w:jc w:val="both"/>
            </w:pPr>
            <w:r>
              <w:rPr>
                <w:sz w:val="20"/>
              </w:rPr>
              <w:t xml:space="preserve">%</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r>
      <w:tr>
        <w:tc>
          <w:tcPr>
            <w:tcW w:w="1247" w:type="dxa"/>
          </w:tcPr>
          <w:p>
            <w:pPr>
              <w:pStyle w:val="0"/>
              <w:jc w:val="both"/>
            </w:pPr>
            <w:r>
              <w:rPr>
                <w:sz w:val="20"/>
              </w:rPr>
              <w:t xml:space="preserve">1.8</w:t>
            </w:r>
          </w:p>
        </w:tc>
        <w:tc>
          <w:tcPr>
            <w:tcW w:w="3969" w:type="dxa"/>
          </w:tcPr>
          <w:p>
            <w:pPr>
              <w:pStyle w:val="0"/>
              <w:jc w:val="both"/>
            </w:pPr>
            <w:r>
              <w:rPr>
                <w:sz w:val="20"/>
              </w:rPr>
              <w:t xml:space="preserve">Охват населения иммунизацией против кори в декретированные сроки</w:t>
            </w:r>
          </w:p>
        </w:tc>
        <w:tc>
          <w:tcPr>
            <w:tcW w:w="1531" w:type="dxa"/>
          </w:tcPr>
          <w:p>
            <w:pPr>
              <w:pStyle w:val="0"/>
              <w:jc w:val="both"/>
            </w:pPr>
            <w:r>
              <w:rPr>
                <w:sz w:val="20"/>
              </w:rPr>
              <w:t xml:space="preserve">%</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r>
      <w:tr>
        <w:tc>
          <w:tcPr>
            <w:tcW w:w="1247" w:type="dxa"/>
          </w:tcPr>
          <w:p>
            <w:pPr>
              <w:pStyle w:val="0"/>
              <w:jc w:val="both"/>
            </w:pPr>
            <w:r>
              <w:rPr>
                <w:sz w:val="20"/>
              </w:rPr>
              <w:t xml:space="preserve">1.9</w:t>
            </w:r>
          </w:p>
        </w:tc>
        <w:tc>
          <w:tcPr>
            <w:tcW w:w="3969" w:type="dxa"/>
          </w:tcPr>
          <w:p>
            <w:pPr>
              <w:pStyle w:val="0"/>
              <w:jc w:val="both"/>
            </w:pPr>
            <w:r>
              <w:rPr>
                <w:sz w:val="20"/>
              </w:rPr>
              <w:t xml:space="preserve">Доля лиц, инфицированных вирусом иммунодефицита человека, состоящих на диспансерном учете, от числа выявленных</w:t>
            </w:r>
          </w:p>
        </w:tc>
        <w:tc>
          <w:tcPr>
            <w:tcW w:w="1531" w:type="dxa"/>
          </w:tcPr>
          <w:p>
            <w:pPr>
              <w:pStyle w:val="0"/>
              <w:jc w:val="both"/>
            </w:pPr>
            <w:r>
              <w:rPr>
                <w:sz w:val="20"/>
              </w:rPr>
              <w:t xml:space="preserve">%</w:t>
            </w:r>
          </w:p>
        </w:tc>
        <w:tc>
          <w:tcPr>
            <w:tcW w:w="1054" w:type="dxa"/>
          </w:tcPr>
          <w:p>
            <w:pPr>
              <w:pStyle w:val="0"/>
              <w:jc w:val="center"/>
            </w:pPr>
            <w:r>
              <w:rPr>
                <w:sz w:val="20"/>
              </w:rPr>
              <w:t xml:space="preserve">88,0</w:t>
            </w:r>
          </w:p>
        </w:tc>
        <w:tc>
          <w:tcPr>
            <w:tcW w:w="1054" w:type="dxa"/>
          </w:tcPr>
          <w:p>
            <w:pPr>
              <w:pStyle w:val="0"/>
              <w:jc w:val="center"/>
            </w:pPr>
            <w:r>
              <w:rPr>
                <w:sz w:val="20"/>
              </w:rPr>
              <w:t xml:space="preserve">89,0</w:t>
            </w:r>
          </w:p>
        </w:tc>
        <w:tc>
          <w:tcPr>
            <w:tcW w:w="1054" w:type="dxa"/>
          </w:tcPr>
          <w:p>
            <w:pPr>
              <w:pStyle w:val="0"/>
              <w:jc w:val="center"/>
            </w:pPr>
            <w:r>
              <w:rPr>
                <w:sz w:val="20"/>
              </w:rPr>
              <w:t xml:space="preserve">89,0</w:t>
            </w:r>
          </w:p>
        </w:tc>
        <w:tc>
          <w:tcPr>
            <w:tcW w:w="1054" w:type="dxa"/>
          </w:tcPr>
          <w:p>
            <w:pPr>
              <w:pStyle w:val="0"/>
              <w:jc w:val="center"/>
            </w:pPr>
            <w:r>
              <w:rPr>
                <w:sz w:val="20"/>
              </w:rPr>
              <w:t xml:space="preserve">89,0</w:t>
            </w:r>
          </w:p>
        </w:tc>
        <w:tc>
          <w:tcPr>
            <w:tcW w:w="1054" w:type="dxa"/>
          </w:tcPr>
          <w:p>
            <w:pPr>
              <w:pStyle w:val="0"/>
              <w:jc w:val="center"/>
            </w:pPr>
            <w:r>
              <w:rPr>
                <w:sz w:val="20"/>
              </w:rPr>
              <w:t xml:space="preserve">89,0</w:t>
            </w:r>
          </w:p>
        </w:tc>
        <w:tc>
          <w:tcPr>
            <w:tcW w:w="1054" w:type="dxa"/>
          </w:tcPr>
          <w:p>
            <w:pPr>
              <w:pStyle w:val="0"/>
              <w:jc w:val="center"/>
            </w:pPr>
            <w:r>
              <w:rPr>
                <w:sz w:val="20"/>
              </w:rPr>
              <w:t xml:space="preserve">90,0</w:t>
            </w:r>
          </w:p>
        </w:tc>
        <w:tc>
          <w:tcPr>
            <w:tcW w:w="1056" w:type="dxa"/>
          </w:tcPr>
          <w:p>
            <w:pPr>
              <w:pStyle w:val="0"/>
              <w:jc w:val="center"/>
            </w:pPr>
            <w:r>
              <w:rPr>
                <w:sz w:val="20"/>
              </w:rPr>
              <w:t xml:space="preserve">90,0</w:t>
            </w:r>
          </w:p>
        </w:tc>
        <w:tc>
          <w:tcPr>
            <w:tcW w:w="1056" w:type="dxa"/>
          </w:tcPr>
          <w:p>
            <w:pPr>
              <w:pStyle w:val="0"/>
              <w:jc w:val="center"/>
            </w:pPr>
            <w:r>
              <w:rPr>
                <w:sz w:val="20"/>
              </w:rPr>
              <w:t xml:space="preserve">90,0</w:t>
            </w:r>
          </w:p>
        </w:tc>
        <w:tc>
          <w:tcPr>
            <w:tcW w:w="1056" w:type="dxa"/>
          </w:tcPr>
          <w:p>
            <w:pPr>
              <w:pStyle w:val="0"/>
              <w:jc w:val="center"/>
            </w:pPr>
            <w:r>
              <w:rPr>
                <w:sz w:val="20"/>
              </w:rPr>
              <w:t xml:space="preserve">90,0</w:t>
            </w:r>
          </w:p>
        </w:tc>
        <w:tc>
          <w:tcPr>
            <w:tcW w:w="1056" w:type="dxa"/>
          </w:tcPr>
          <w:p>
            <w:pPr>
              <w:pStyle w:val="0"/>
              <w:jc w:val="center"/>
            </w:pPr>
            <w:r>
              <w:rPr>
                <w:sz w:val="20"/>
              </w:rPr>
              <w:t xml:space="preserve">90,0</w:t>
            </w:r>
          </w:p>
        </w:tc>
      </w:tr>
      <w:tr>
        <w:tc>
          <w:tcPr>
            <w:tcW w:w="1247" w:type="dxa"/>
          </w:tcPr>
          <w:p>
            <w:pPr>
              <w:pStyle w:val="0"/>
              <w:jc w:val="both"/>
            </w:pPr>
            <w:r>
              <w:rPr>
                <w:sz w:val="20"/>
              </w:rPr>
              <w:t xml:space="preserve">1.10</w:t>
            </w:r>
          </w:p>
        </w:tc>
        <w:tc>
          <w:tcPr>
            <w:tcW w:w="3969" w:type="dxa"/>
          </w:tcPr>
          <w:p>
            <w:pPr>
              <w:pStyle w:val="0"/>
              <w:jc w:val="both"/>
            </w:pPr>
            <w:r>
              <w:rPr>
                <w:sz w:val="20"/>
              </w:rPr>
              <w:t xml:space="preserve">Доля рецептов, находящихся на отсроченном обеспечении, в общем количестве выписанных рецептов</w:t>
            </w:r>
          </w:p>
        </w:tc>
        <w:tc>
          <w:tcPr>
            <w:tcW w:w="1531" w:type="dxa"/>
          </w:tcPr>
          <w:p>
            <w:pPr>
              <w:pStyle w:val="0"/>
              <w:jc w:val="both"/>
            </w:pPr>
            <w:r>
              <w:rPr>
                <w:sz w:val="20"/>
              </w:rPr>
              <w:t xml:space="preserve">%</w:t>
            </w:r>
          </w:p>
        </w:tc>
        <w:tc>
          <w:tcPr>
            <w:tcW w:w="1054" w:type="dxa"/>
          </w:tcPr>
          <w:p>
            <w:pPr>
              <w:pStyle w:val="0"/>
              <w:jc w:val="center"/>
            </w:pPr>
            <w:r>
              <w:rPr>
                <w:sz w:val="20"/>
              </w:rPr>
              <w:t xml:space="preserve">1,0</w:t>
            </w:r>
          </w:p>
        </w:tc>
        <w:tc>
          <w:tcPr>
            <w:tcW w:w="1054" w:type="dxa"/>
          </w:tcPr>
          <w:p>
            <w:pPr>
              <w:pStyle w:val="0"/>
              <w:jc w:val="center"/>
            </w:pPr>
            <w:r>
              <w:rPr>
                <w:sz w:val="20"/>
              </w:rPr>
              <w:t xml:space="preserve">0,5</w:t>
            </w:r>
          </w:p>
        </w:tc>
        <w:tc>
          <w:tcPr>
            <w:tcW w:w="1054" w:type="dxa"/>
          </w:tcPr>
          <w:p>
            <w:pPr>
              <w:pStyle w:val="0"/>
              <w:jc w:val="center"/>
            </w:pPr>
            <w:r>
              <w:rPr>
                <w:sz w:val="20"/>
              </w:rPr>
              <w:t xml:space="preserve">0,5</w:t>
            </w:r>
          </w:p>
        </w:tc>
        <w:tc>
          <w:tcPr>
            <w:tcW w:w="1054" w:type="dxa"/>
          </w:tcPr>
          <w:p>
            <w:pPr>
              <w:pStyle w:val="0"/>
              <w:jc w:val="center"/>
            </w:pPr>
            <w:r>
              <w:rPr>
                <w:sz w:val="20"/>
              </w:rPr>
              <w:t xml:space="preserve">0,5</w:t>
            </w:r>
          </w:p>
        </w:tc>
        <w:tc>
          <w:tcPr>
            <w:tcW w:w="1054" w:type="dxa"/>
          </w:tcPr>
          <w:p>
            <w:pPr>
              <w:pStyle w:val="0"/>
              <w:jc w:val="center"/>
            </w:pPr>
            <w:r>
              <w:rPr>
                <w:sz w:val="20"/>
              </w:rPr>
              <w:t xml:space="preserve">0,5</w:t>
            </w:r>
          </w:p>
        </w:tc>
        <w:tc>
          <w:tcPr>
            <w:tcW w:w="1054" w:type="dxa"/>
          </w:tcPr>
          <w:p>
            <w:pPr>
              <w:pStyle w:val="0"/>
              <w:jc w:val="center"/>
            </w:pPr>
            <w:r>
              <w:rPr>
                <w:sz w:val="20"/>
              </w:rPr>
              <w:t xml:space="preserve">0,5</w:t>
            </w:r>
          </w:p>
        </w:tc>
        <w:tc>
          <w:tcPr>
            <w:tcW w:w="1056" w:type="dxa"/>
          </w:tcPr>
          <w:p>
            <w:pPr>
              <w:pStyle w:val="0"/>
              <w:jc w:val="center"/>
            </w:pPr>
            <w:r>
              <w:rPr>
                <w:sz w:val="20"/>
              </w:rPr>
              <w:t xml:space="preserve">0,5</w:t>
            </w:r>
          </w:p>
        </w:tc>
        <w:tc>
          <w:tcPr>
            <w:tcW w:w="1056" w:type="dxa"/>
          </w:tcPr>
          <w:p>
            <w:pPr>
              <w:pStyle w:val="0"/>
              <w:jc w:val="center"/>
            </w:pPr>
            <w:r>
              <w:rPr>
                <w:sz w:val="20"/>
              </w:rPr>
              <w:t xml:space="preserve">0,5</w:t>
            </w:r>
          </w:p>
        </w:tc>
        <w:tc>
          <w:tcPr>
            <w:tcW w:w="1056" w:type="dxa"/>
          </w:tcPr>
          <w:p>
            <w:pPr>
              <w:pStyle w:val="0"/>
              <w:jc w:val="center"/>
            </w:pPr>
            <w:r>
              <w:rPr>
                <w:sz w:val="20"/>
              </w:rPr>
              <w:t xml:space="preserve">0,5</w:t>
            </w:r>
          </w:p>
        </w:tc>
        <w:tc>
          <w:tcPr>
            <w:tcW w:w="1056" w:type="dxa"/>
          </w:tcPr>
          <w:p>
            <w:pPr>
              <w:pStyle w:val="0"/>
              <w:jc w:val="center"/>
            </w:pPr>
            <w:r>
              <w:rPr>
                <w:sz w:val="20"/>
              </w:rPr>
              <w:t xml:space="preserve">0,5</w:t>
            </w:r>
          </w:p>
        </w:tc>
      </w:tr>
      <w:tr>
        <w:tc>
          <w:tcPr>
            <w:tcW w:w="1247" w:type="dxa"/>
          </w:tcPr>
          <w:p>
            <w:pPr>
              <w:pStyle w:val="0"/>
              <w:jc w:val="both"/>
            </w:pPr>
            <w:r>
              <w:rPr>
                <w:sz w:val="20"/>
              </w:rPr>
              <w:t xml:space="preserve">1.11</w:t>
            </w:r>
          </w:p>
        </w:tc>
        <w:tc>
          <w:tcPr>
            <w:tcW w:w="3969" w:type="dxa"/>
          </w:tcPr>
          <w:p>
            <w:pPr>
              <w:pStyle w:val="0"/>
              <w:jc w:val="both"/>
            </w:pPr>
            <w:r>
              <w:rPr>
                <w:sz w:val="20"/>
              </w:rPr>
              <w:t xml:space="preserve">Доля детей в возрасте 0 - 17 лет от общей численности детского населения, пролеченных в дневных стационарах медицинских организаций города Севастополя, оказывающих медицинскую помощь в амбулаторных условиях</w:t>
            </w:r>
          </w:p>
        </w:tc>
        <w:tc>
          <w:tcPr>
            <w:tcW w:w="1531" w:type="dxa"/>
          </w:tcPr>
          <w:p>
            <w:pPr>
              <w:pStyle w:val="0"/>
              <w:jc w:val="both"/>
            </w:pPr>
            <w:r>
              <w:rPr>
                <w:sz w:val="20"/>
              </w:rPr>
              <w:t xml:space="preserve">%</w:t>
            </w:r>
          </w:p>
        </w:tc>
        <w:tc>
          <w:tcPr>
            <w:tcW w:w="1054" w:type="dxa"/>
          </w:tcPr>
          <w:p>
            <w:pPr>
              <w:pStyle w:val="0"/>
              <w:jc w:val="center"/>
            </w:pPr>
            <w:r>
              <w:rPr>
                <w:sz w:val="20"/>
              </w:rPr>
              <w:t xml:space="preserve">4,45</w:t>
            </w:r>
          </w:p>
        </w:tc>
        <w:tc>
          <w:tcPr>
            <w:tcW w:w="1054" w:type="dxa"/>
          </w:tcPr>
          <w:p>
            <w:pPr>
              <w:pStyle w:val="0"/>
              <w:jc w:val="center"/>
            </w:pPr>
            <w:r>
              <w:rPr>
                <w:sz w:val="20"/>
              </w:rPr>
              <w:t xml:space="preserve">4,45</w:t>
            </w:r>
          </w:p>
        </w:tc>
        <w:tc>
          <w:tcPr>
            <w:tcW w:w="1054" w:type="dxa"/>
          </w:tcPr>
          <w:p>
            <w:pPr>
              <w:pStyle w:val="0"/>
              <w:jc w:val="center"/>
            </w:pPr>
            <w:r>
              <w:rPr>
                <w:sz w:val="20"/>
              </w:rPr>
              <w:t xml:space="preserve">4,45</w:t>
            </w:r>
          </w:p>
        </w:tc>
        <w:tc>
          <w:tcPr>
            <w:tcW w:w="1054" w:type="dxa"/>
          </w:tcPr>
          <w:p>
            <w:pPr>
              <w:pStyle w:val="0"/>
              <w:jc w:val="center"/>
            </w:pPr>
            <w:r>
              <w:rPr>
                <w:sz w:val="20"/>
              </w:rPr>
              <w:t xml:space="preserve">4,45</w:t>
            </w:r>
          </w:p>
        </w:tc>
        <w:tc>
          <w:tcPr>
            <w:tcW w:w="1054" w:type="dxa"/>
          </w:tcPr>
          <w:p>
            <w:pPr>
              <w:pStyle w:val="0"/>
              <w:jc w:val="center"/>
            </w:pPr>
            <w:r>
              <w:rPr>
                <w:sz w:val="20"/>
              </w:rPr>
              <w:t xml:space="preserve">4,45</w:t>
            </w:r>
          </w:p>
        </w:tc>
        <w:tc>
          <w:tcPr>
            <w:tcW w:w="1054" w:type="dxa"/>
          </w:tcPr>
          <w:p>
            <w:pPr>
              <w:pStyle w:val="0"/>
              <w:jc w:val="center"/>
            </w:pPr>
            <w:r>
              <w:rPr>
                <w:sz w:val="20"/>
              </w:rPr>
              <w:t xml:space="preserve">4,45</w:t>
            </w:r>
          </w:p>
        </w:tc>
        <w:tc>
          <w:tcPr>
            <w:tcW w:w="1056" w:type="dxa"/>
          </w:tcPr>
          <w:p>
            <w:pPr>
              <w:pStyle w:val="0"/>
              <w:jc w:val="center"/>
            </w:pPr>
            <w:r>
              <w:rPr>
                <w:sz w:val="20"/>
              </w:rPr>
              <w:t xml:space="preserve">4,45</w:t>
            </w:r>
          </w:p>
        </w:tc>
        <w:tc>
          <w:tcPr>
            <w:tcW w:w="1056" w:type="dxa"/>
          </w:tcPr>
          <w:p>
            <w:pPr>
              <w:pStyle w:val="0"/>
              <w:jc w:val="center"/>
            </w:pPr>
            <w:r>
              <w:rPr>
                <w:sz w:val="20"/>
              </w:rPr>
              <w:t xml:space="preserve">4,45</w:t>
            </w:r>
          </w:p>
        </w:tc>
        <w:tc>
          <w:tcPr>
            <w:tcW w:w="1056" w:type="dxa"/>
          </w:tcPr>
          <w:p>
            <w:pPr>
              <w:pStyle w:val="0"/>
              <w:jc w:val="center"/>
            </w:pPr>
            <w:r>
              <w:rPr>
                <w:sz w:val="20"/>
              </w:rPr>
              <w:t xml:space="preserve">4,45</w:t>
            </w:r>
          </w:p>
        </w:tc>
        <w:tc>
          <w:tcPr>
            <w:tcW w:w="1056" w:type="dxa"/>
          </w:tcPr>
          <w:p>
            <w:pPr>
              <w:pStyle w:val="0"/>
              <w:jc w:val="center"/>
            </w:pPr>
            <w:r>
              <w:rPr>
                <w:sz w:val="20"/>
              </w:rPr>
              <w:t xml:space="preserve">4,45</w:t>
            </w:r>
          </w:p>
        </w:tc>
      </w:tr>
      <w:tr>
        <w:tc>
          <w:tcPr>
            <w:tcW w:w="1247" w:type="dxa"/>
          </w:tcPr>
          <w:p>
            <w:pPr>
              <w:pStyle w:val="0"/>
              <w:jc w:val="both"/>
            </w:pPr>
            <w:r>
              <w:rPr>
                <w:sz w:val="20"/>
              </w:rPr>
              <w:t xml:space="preserve">1.12</w:t>
            </w:r>
          </w:p>
        </w:tc>
        <w:tc>
          <w:tcPr>
            <w:tcW w:w="3969" w:type="dxa"/>
          </w:tcPr>
          <w:p>
            <w:pPr>
              <w:pStyle w:val="0"/>
              <w:jc w:val="both"/>
            </w:pPr>
            <w:r>
              <w:rPr>
                <w:sz w:val="20"/>
              </w:rPr>
              <w:t xml:space="preserve">Доля детских поликлиник и детских поликлинических отделений медицинских организаций города Севастополя, реализовавших организационно-планировочные решения внутренних пространств, обеспечивающих комфортность пребывания детей, в соответствии с требованиями </w:t>
            </w:r>
            <w:hyperlink w:history="0" r:id="rId297"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w:t>
            </w:r>
          </w:p>
        </w:tc>
        <w:tc>
          <w:tcPr>
            <w:tcW w:w="1531" w:type="dxa"/>
          </w:tcPr>
          <w:p>
            <w:pPr>
              <w:pStyle w:val="0"/>
              <w:jc w:val="both"/>
            </w:pPr>
            <w:r>
              <w:rPr>
                <w:sz w:val="20"/>
              </w:rPr>
              <w:t xml:space="preserve">%</w:t>
            </w:r>
          </w:p>
        </w:tc>
        <w:tc>
          <w:tcPr>
            <w:tcW w:w="1054" w:type="dxa"/>
          </w:tcPr>
          <w:p>
            <w:pPr>
              <w:pStyle w:val="0"/>
              <w:jc w:val="center"/>
            </w:pPr>
            <w:r>
              <w:rPr>
                <w:sz w:val="20"/>
              </w:rPr>
              <w:t xml:space="preserve">50,1</w:t>
            </w:r>
          </w:p>
        </w:tc>
        <w:tc>
          <w:tcPr>
            <w:tcW w:w="1054" w:type="dxa"/>
          </w:tcPr>
          <w:p>
            <w:pPr>
              <w:pStyle w:val="0"/>
              <w:jc w:val="center"/>
            </w:pPr>
            <w:r>
              <w:rPr>
                <w:sz w:val="20"/>
              </w:rPr>
              <w:t xml:space="preserve">62,6</w:t>
            </w:r>
          </w:p>
        </w:tc>
        <w:tc>
          <w:tcPr>
            <w:tcW w:w="1054" w:type="dxa"/>
          </w:tcPr>
          <w:p>
            <w:pPr>
              <w:pStyle w:val="0"/>
              <w:jc w:val="center"/>
            </w:pPr>
            <w:r>
              <w:rPr>
                <w:sz w:val="20"/>
              </w:rPr>
              <w:t xml:space="preserve">75,1</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r>
      <w:tr>
        <w:tc>
          <w:tcPr>
            <w:tcW w:w="1247" w:type="dxa"/>
          </w:tcPr>
          <w:p>
            <w:pPr>
              <w:pStyle w:val="0"/>
              <w:jc w:val="both"/>
            </w:pPr>
            <w:r>
              <w:rPr>
                <w:sz w:val="20"/>
              </w:rPr>
              <w:t xml:space="preserve">1.13</w:t>
            </w:r>
          </w:p>
        </w:tc>
        <w:tc>
          <w:tcPr>
            <w:tcW w:w="3969" w:type="dxa"/>
          </w:tcPr>
          <w:p>
            <w:pPr>
              <w:pStyle w:val="0"/>
              <w:jc w:val="both"/>
            </w:pPr>
            <w:r>
              <w:rPr>
                <w:sz w:val="20"/>
              </w:rPr>
              <w:t xml:space="preserve">Строительство поликлиники на 320 посещений в смену в микрорайоне "Казачья Бухта", г. Севастополь</w:t>
            </w:r>
          </w:p>
        </w:tc>
        <w:tc>
          <w:tcPr>
            <w:tcW w:w="1531" w:type="dxa"/>
          </w:tcPr>
          <w:p>
            <w:pPr>
              <w:pStyle w:val="0"/>
              <w:jc w:val="both"/>
            </w:pPr>
            <w:r>
              <w:rPr>
                <w:sz w:val="20"/>
              </w:rPr>
              <w:t xml:space="preserve">штук</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1</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1.14</w:t>
            </w:r>
          </w:p>
        </w:tc>
        <w:tc>
          <w:tcPr>
            <w:tcW w:w="3969" w:type="dxa"/>
          </w:tcPr>
          <w:p>
            <w:pPr>
              <w:pStyle w:val="0"/>
              <w:jc w:val="both"/>
            </w:pPr>
            <w:r>
              <w:rPr>
                <w:sz w:val="20"/>
              </w:rPr>
              <w:t xml:space="preserve">Строительство амбулаторно-поликлинического учреждения на 320 посещений в смену, пр-т Генерала Острякова</w:t>
            </w:r>
          </w:p>
        </w:tc>
        <w:tc>
          <w:tcPr>
            <w:tcW w:w="1531" w:type="dxa"/>
          </w:tcPr>
          <w:p>
            <w:pPr>
              <w:pStyle w:val="0"/>
              <w:jc w:val="both"/>
            </w:pPr>
            <w:r>
              <w:rPr>
                <w:sz w:val="20"/>
              </w:rPr>
              <w:t xml:space="preserve">штук</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1</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1.15</w:t>
            </w:r>
          </w:p>
        </w:tc>
        <w:tc>
          <w:tcPr>
            <w:tcW w:w="3969" w:type="dxa"/>
          </w:tcPr>
          <w:p>
            <w:pPr>
              <w:pStyle w:val="0"/>
              <w:jc w:val="both"/>
            </w:pPr>
            <w:r>
              <w:rPr>
                <w:sz w:val="20"/>
              </w:rPr>
              <w:t xml:space="preserve">Строительство детской поликлиники на 100 посещений в смену на Корабельной стороне</w:t>
            </w:r>
          </w:p>
        </w:tc>
        <w:tc>
          <w:tcPr>
            <w:tcW w:w="1531" w:type="dxa"/>
          </w:tcPr>
          <w:p>
            <w:pPr>
              <w:pStyle w:val="0"/>
              <w:jc w:val="both"/>
            </w:pPr>
            <w:r>
              <w:rPr>
                <w:sz w:val="20"/>
              </w:rPr>
              <w:t xml:space="preserve">штук</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1</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1.16</w:t>
            </w:r>
          </w:p>
        </w:tc>
        <w:tc>
          <w:tcPr>
            <w:tcW w:w="3969" w:type="dxa"/>
          </w:tcPr>
          <w:p>
            <w:pPr>
              <w:pStyle w:val="0"/>
              <w:jc w:val="both"/>
            </w:pPr>
            <w:r>
              <w:rPr>
                <w:sz w:val="20"/>
              </w:rPr>
              <w:t xml:space="preserve">Доля впервые в жизни установленных хронических заболеваний (ХНИЗ), выявленных при проведении диспансеризации и профилактическом осмотре у взрослого населения, от общего числа ХНИЗ с впервые установленным диагнозом</w:t>
            </w:r>
          </w:p>
        </w:tc>
        <w:tc>
          <w:tcPr>
            <w:tcW w:w="1531" w:type="dxa"/>
          </w:tcPr>
          <w:p>
            <w:pPr>
              <w:pStyle w:val="0"/>
              <w:jc w:val="both"/>
            </w:pPr>
            <w:r>
              <w:rPr>
                <w:sz w:val="20"/>
              </w:rPr>
              <w:t xml:space="preserve">%</w:t>
            </w:r>
          </w:p>
        </w:tc>
        <w:tc>
          <w:tcPr>
            <w:tcW w:w="1054" w:type="dxa"/>
          </w:tcPr>
          <w:p>
            <w:pPr>
              <w:pStyle w:val="0"/>
              <w:jc w:val="center"/>
            </w:pPr>
            <w:r>
              <w:rPr>
                <w:sz w:val="20"/>
              </w:rPr>
              <w:t xml:space="preserve">24,1</w:t>
            </w:r>
          </w:p>
        </w:tc>
        <w:tc>
          <w:tcPr>
            <w:tcW w:w="1054" w:type="dxa"/>
          </w:tcPr>
          <w:p>
            <w:pPr>
              <w:pStyle w:val="0"/>
              <w:jc w:val="center"/>
            </w:pPr>
            <w:r>
              <w:rPr>
                <w:sz w:val="20"/>
              </w:rPr>
              <w:t xml:space="preserve">24,1</w:t>
            </w:r>
          </w:p>
        </w:tc>
        <w:tc>
          <w:tcPr>
            <w:tcW w:w="1054" w:type="dxa"/>
          </w:tcPr>
          <w:p>
            <w:pPr>
              <w:pStyle w:val="0"/>
              <w:jc w:val="center"/>
            </w:pPr>
            <w:r>
              <w:rPr>
                <w:sz w:val="20"/>
              </w:rPr>
              <w:t xml:space="preserve">24,1</w:t>
            </w:r>
          </w:p>
        </w:tc>
        <w:tc>
          <w:tcPr>
            <w:tcW w:w="1054" w:type="dxa"/>
          </w:tcPr>
          <w:p>
            <w:pPr>
              <w:pStyle w:val="0"/>
              <w:jc w:val="center"/>
            </w:pPr>
            <w:r>
              <w:rPr>
                <w:sz w:val="20"/>
              </w:rPr>
              <w:t xml:space="preserve">24,1</w:t>
            </w:r>
          </w:p>
        </w:tc>
        <w:tc>
          <w:tcPr>
            <w:tcW w:w="1054" w:type="dxa"/>
          </w:tcPr>
          <w:p>
            <w:pPr>
              <w:pStyle w:val="0"/>
              <w:jc w:val="center"/>
            </w:pPr>
            <w:r>
              <w:rPr>
                <w:sz w:val="20"/>
              </w:rPr>
              <w:t xml:space="preserve">24,1</w:t>
            </w:r>
          </w:p>
        </w:tc>
        <w:tc>
          <w:tcPr>
            <w:tcW w:w="1054" w:type="dxa"/>
          </w:tcPr>
          <w:p>
            <w:pPr>
              <w:pStyle w:val="0"/>
              <w:jc w:val="center"/>
            </w:pPr>
            <w:r>
              <w:rPr>
                <w:sz w:val="20"/>
              </w:rPr>
              <w:t xml:space="preserve">24,1</w:t>
            </w:r>
          </w:p>
        </w:tc>
        <w:tc>
          <w:tcPr>
            <w:tcW w:w="1056" w:type="dxa"/>
          </w:tcPr>
          <w:p>
            <w:pPr>
              <w:pStyle w:val="0"/>
              <w:jc w:val="center"/>
            </w:pPr>
            <w:r>
              <w:rPr>
                <w:sz w:val="20"/>
              </w:rPr>
              <w:t xml:space="preserve">24,1</w:t>
            </w:r>
          </w:p>
        </w:tc>
        <w:tc>
          <w:tcPr>
            <w:tcW w:w="1056" w:type="dxa"/>
          </w:tcPr>
          <w:p>
            <w:pPr>
              <w:pStyle w:val="0"/>
              <w:jc w:val="center"/>
            </w:pPr>
            <w:r>
              <w:rPr>
                <w:sz w:val="20"/>
              </w:rPr>
              <w:t xml:space="preserve">24,1</w:t>
            </w:r>
          </w:p>
        </w:tc>
        <w:tc>
          <w:tcPr>
            <w:tcW w:w="1056" w:type="dxa"/>
          </w:tcPr>
          <w:p>
            <w:pPr>
              <w:pStyle w:val="0"/>
              <w:jc w:val="center"/>
            </w:pPr>
            <w:r>
              <w:rPr>
                <w:sz w:val="20"/>
              </w:rPr>
              <w:t xml:space="preserve">24,1</w:t>
            </w:r>
          </w:p>
        </w:tc>
        <w:tc>
          <w:tcPr>
            <w:tcW w:w="1056" w:type="dxa"/>
          </w:tcPr>
          <w:p>
            <w:pPr>
              <w:pStyle w:val="0"/>
              <w:jc w:val="center"/>
            </w:pPr>
            <w:r>
              <w:rPr>
                <w:sz w:val="20"/>
              </w:rPr>
              <w:t xml:space="preserve">24,1</w:t>
            </w:r>
          </w:p>
        </w:tc>
      </w:tr>
      <w:tr>
        <w:tc>
          <w:tcPr>
            <w:tcW w:w="1247" w:type="dxa"/>
          </w:tcPr>
          <w:p>
            <w:pPr>
              <w:pStyle w:val="0"/>
              <w:jc w:val="both"/>
            </w:pPr>
            <w:r>
              <w:rPr>
                <w:sz w:val="20"/>
              </w:rPr>
              <w:t xml:space="preserve">1.17</w:t>
            </w:r>
          </w:p>
        </w:tc>
        <w:tc>
          <w:tcPr>
            <w:tcW w:w="3969" w:type="dxa"/>
          </w:tcPr>
          <w:p>
            <w:pPr>
              <w:pStyle w:val="0"/>
              <w:jc w:val="both"/>
            </w:pPr>
            <w:r>
              <w:rPr>
                <w:sz w:val="20"/>
              </w:rPr>
              <w:t xml:space="preserve">Охват населения профилактическими осмотрами на туберкулез</w:t>
            </w:r>
          </w:p>
        </w:tc>
        <w:tc>
          <w:tcPr>
            <w:tcW w:w="1531" w:type="dxa"/>
          </w:tcPr>
          <w:p>
            <w:pPr>
              <w:pStyle w:val="0"/>
              <w:jc w:val="both"/>
            </w:pPr>
            <w:r>
              <w:rPr>
                <w:sz w:val="20"/>
              </w:rPr>
              <w:t xml:space="preserve">%</w:t>
            </w:r>
          </w:p>
        </w:tc>
        <w:tc>
          <w:tcPr>
            <w:tcW w:w="1054" w:type="dxa"/>
          </w:tcPr>
          <w:p>
            <w:pPr>
              <w:pStyle w:val="0"/>
              <w:jc w:val="center"/>
            </w:pPr>
            <w:r>
              <w:rPr>
                <w:sz w:val="20"/>
              </w:rPr>
              <w:t xml:space="preserve">72,5</w:t>
            </w:r>
          </w:p>
        </w:tc>
        <w:tc>
          <w:tcPr>
            <w:tcW w:w="1054" w:type="dxa"/>
          </w:tcPr>
          <w:p>
            <w:pPr>
              <w:pStyle w:val="0"/>
              <w:jc w:val="center"/>
            </w:pPr>
            <w:r>
              <w:rPr>
                <w:sz w:val="20"/>
              </w:rPr>
              <w:t xml:space="preserve">72,6</w:t>
            </w:r>
          </w:p>
        </w:tc>
        <w:tc>
          <w:tcPr>
            <w:tcW w:w="1054" w:type="dxa"/>
          </w:tcPr>
          <w:p>
            <w:pPr>
              <w:pStyle w:val="0"/>
              <w:jc w:val="center"/>
            </w:pPr>
            <w:r>
              <w:rPr>
                <w:sz w:val="20"/>
              </w:rPr>
              <w:t xml:space="preserve">72,7</w:t>
            </w:r>
          </w:p>
        </w:tc>
        <w:tc>
          <w:tcPr>
            <w:tcW w:w="1054" w:type="dxa"/>
          </w:tcPr>
          <w:p>
            <w:pPr>
              <w:pStyle w:val="0"/>
              <w:jc w:val="center"/>
            </w:pPr>
            <w:r>
              <w:rPr>
                <w:sz w:val="20"/>
              </w:rPr>
              <w:t xml:space="preserve">73,0</w:t>
            </w:r>
          </w:p>
        </w:tc>
        <w:tc>
          <w:tcPr>
            <w:tcW w:w="1054" w:type="dxa"/>
          </w:tcPr>
          <w:p>
            <w:pPr>
              <w:pStyle w:val="0"/>
              <w:jc w:val="center"/>
            </w:pPr>
            <w:r>
              <w:rPr>
                <w:sz w:val="20"/>
              </w:rPr>
              <w:t xml:space="preserve">73,5</w:t>
            </w:r>
          </w:p>
        </w:tc>
        <w:tc>
          <w:tcPr>
            <w:tcW w:w="1054" w:type="dxa"/>
          </w:tcPr>
          <w:p>
            <w:pPr>
              <w:pStyle w:val="0"/>
              <w:jc w:val="center"/>
            </w:pPr>
            <w:r>
              <w:rPr>
                <w:sz w:val="20"/>
              </w:rPr>
              <w:t xml:space="preserve">73,5</w:t>
            </w:r>
          </w:p>
        </w:tc>
        <w:tc>
          <w:tcPr>
            <w:tcW w:w="1056" w:type="dxa"/>
          </w:tcPr>
          <w:p>
            <w:pPr>
              <w:pStyle w:val="0"/>
              <w:jc w:val="center"/>
            </w:pPr>
            <w:r>
              <w:rPr>
                <w:sz w:val="20"/>
              </w:rPr>
              <w:t xml:space="preserve">74</w:t>
            </w:r>
          </w:p>
        </w:tc>
        <w:tc>
          <w:tcPr>
            <w:tcW w:w="1056" w:type="dxa"/>
          </w:tcPr>
          <w:p>
            <w:pPr>
              <w:pStyle w:val="0"/>
              <w:jc w:val="center"/>
            </w:pPr>
            <w:r>
              <w:rPr>
                <w:sz w:val="20"/>
              </w:rPr>
              <w:t xml:space="preserve">74,5</w:t>
            </w:r>
          </w:p>
        </w:tc>
        <w:tc>
          <w:tcPr>
            <w:tcW w:w="1056" w:type="dxa"/>
          </w:tcPr>
          <w:p>
            <w:pPr>
              <w:pStyle w:val="0"/>
              <w:jc w:val="center"/>
            </w:pPr>
            <w:r>
              <w:rPr>
                <w:sz w:val="20"/>
              </w:rPr>
              <w:t xml:space="preserve">74,5</w:t>
            </w:r>
          </w:p>
        </w:tc>
        <w:tc>
          <w:tcPr>
            <w:tcW w:w="1056" w:type="dxa"/>
          </w:tcPr>
          <w:p>
            <w:pPr>
              <w:pStyle w:val="0"/>
              <w:jc w:val="center"/>
            </w:pPr>
            <w:r>
              <w:rPr>
                <w:sz w:val="20"/>
              </w:rPr>
              <w:t xml:space="preserve">75</w:t>
            </w:r>
          </w:p>
        </w:tc>
      </w:tr>
      <w:tr>
        <w:tc>
          <w:tcPr>
            <w:tcW w:w="1247" w:type="dxa"/>
          </w:tcPr>
          <w:p>
            <w:pPr>
              <w:pStyle w:val="0"/>
              <w:jc w:val="both"/>
            </w:pPr>
            <w:r>
              <w:rPr>
                <w:sz w:val="20"/>
              </w:rPr>
              <w:t xml:space="preserve">1.18</w:t>
            </w:r>
          </w:p>
        </w:tc>
        <w:tc>
          <w:tcPr>
            <w:tcW w:w="3969" w:type="dxa"/>
          </w:tcPr>
          <w:p>
            <w:pPr>
              <w:pStyle w:val="0"/>
              <w:jc w:val="both"/>
            </w:pPr>
            <w:r>
              <w:rPr>
                <w:sz w:val="20"/>
              </w:rPr>
              <w:t xml:space="preserve">Уровень информированности населения в возрасте 18 - 49 лет по вопросам ВИЧ-инфекции</w:t>
            </w:r>
          </w:p>
        </w:tc>
        <w:tc>
          <w:tcPr>
            <w:tcW w:w="1531" w:type="dxa"/>
          </w:tcPr>
          <w:p>
            <w:pPr>
              <w:pStyle w:val="0"/>
              <w:jc w:val="both"/>
            </w:pPr>
            <w:r>
              <w:rPr>
                <w:sz w:val="20"/>
              </w:rPr>
              <w:t xml:space="preserve">%</w:t>
            </w:r>
          </w:p>
        </w:tc>
        <w:tc>
          <w:tcPr>
            <w:tcW w:w="1054" w:type="dxa"/>
          </w:tcPr>
          <w:p>
            <w:pPr>
              <w:pStyle w:val="0"/>
              <w:jc w:val="center"/>
            </w:pPr>
            <w:r>
              <w:rPr>
                <w:sz w:val="20"/>
              </w:rPr>
              <w:t xml:space="preserve">93,0</w:t>
            </w:r>
          </w:p>
        </w:tc>
        <w:tc>
          <w:tcPr>
            <w:tcW w:w="1054" w:type="dxa"/>
          </w:tcPr>
          <w:p>
            <w:pPr>
              <w:pStyle w:val="0"/>
              <w:jc w:val="center"/>
            </w:pPr>
            <w:r>
              <w:rPr>
                <w:sz w:val="20"/>
              </w:rPr>
              <w:t xml:space="preserve">93,0</w:t>
            </w:r>
          </w:p>
        </w:tc>
        <w:tc>
          <w:tcPr>
            <w:tcW w:w="1054" w:type="dxa"/>
          </w:tcPr>
          <w:p>
            <w:pPr>
              <w:pStyle w:val="0"/>
              <w:jc w:val="center"/>
            </w:pPr>
            <w:r>
              <w:rPr>
                <w:sz w:val="20"/>
              </w:rPr>
              <w:t xml:space="preserve">94,0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r>
      <w:tr>
        <w:tc>
          <w:tcPr>
            <w:tcW w:w="1247" w:type="dxa"/>
          </w:tcPr>
          <w:p>
            <w:pPr>
              <w:pStyle w:val="0"/>
              <w:jc w:val="both"/>
            </w:pPr>
            <w:r>
              <w:rPr>
                <w:sz w:val="20"/>
              </w:rPr>
              <w:t xml:space="preserve">1.19</w:t>
            </w:r>
          </w:p>
        </w:tc>
        <w:tc>
          <w:tcPr>
            <w:tcW w:w="3969" w:type="dxa"/>
          </w:tcPr>
          <w:p>
            <w:pPr>
              <w:pStyle w:val="0"/>
              <w:jc w:val="both"/>
            </w:pPr>
            <w:r>
              <w:rPr>
                <w:sz w:val="20"/>
              </w:rPr>
              <w:t xml:space="preserve">Охват медицинским освидетельствованием на ВИЧ-инфекцию населения г. Севастополя</w:t>
            </w:r>
          </w:p>
        </w:tc>
        <w:tc>
          <w:tcPr>
            <w:tcW w:w="1531" w:type="dxa"/>
          </w:tcPr>
          <w:p>
            <w:pPr>
              <w:pStyle w:val="0"/>
              <w:jc w:val="both"/>
            </w:pPr>
            <w:r>
              <w:rPr>
                <w:sz w:val="20"/>
              </w:rPr>
              <w:t xml:space="preserve">%</w:t>
            </w:r>
          </w:p>
        </w:tc>
        <w:tc>
          <w:tcPr>
            <w:tcW w:w="1054" w:type="dxa"/>
          </w:tcPr>
          <w:p>
            <w:pPr>
              <w:pStyle w:val="0"/>
              <w:jc w:val="center"/>
            </w:pPr>
            <w:r>
              <w:rPr>
                <w:sz w:val="20"/>
              </w:rPr>
              <w:t xml:space="preserve">24,0</w:t>
            </w:r>
          </w:p>
        </w:tc>
        <w:tc>
          <w:tcPr>
            <w:tcW w:w="1054" w:type="dxa"/>
          </w:tcPr>
          <w:p>
            <w:pPr>
              <w:pStyle w:val="0"/>
              <w:jc w:val="center"/>
            </w:pPr>
            <w:r>
              <w:rPr>
                <w:sz w:val="20"/>
              </w:rPr>
              <w:t xml:space="preserve">25,0</w:t>
            </w:r>
          </w:p>
        </w:tc>
        <w:tc>
          <w:tcPr>
            <w:tcW w:w="1054" w:type="dxa"/>
          </w:tcPr>
          <w:p>
            <w:pPr>
              <w:pStyle w:val="0"/>
              <w:jc w:val="center"/>
            </w:pPr>
            <w:r>
              <w:rPr>
                <w:sz w:val="20"/>
              </w:rPr>
              <w:t xml:space="preserve">26,0</w:t>
            </w:r>
          </w:p>
        </w:tc>
        <w:tc>
          <w:tcPr>
            <w:tcW w:w="1054" w:type="dxa"/>
          </w:tcPr>
          <w:p>
            <w:pPr>
              <w:pStyle w:val="0"/>
              <w:jc w:val="center"/>
            </w:pPr>
            <w:r>
              <w:rPr>
                <w:sz w:val="20"/>
              </w:rPr>
              <w:t xml:space="preserve">26,0</w:t>
            </w:r>
          </w:p>
        </w:tc>
        <w:tc>
          <w:tcPr>
            <w:tcW w:w="1054" w:type="dxa"/>
          </w:tcPr>
          <w:p>
            <w:pPr>
              <w:pStyle w:val="0"/>
              <w:jc w:val="center"/>
            </w:pPr>
            <w:r>
              <w:rPr>
                <w:sz w:val="20"/>
              </w:rPr>
              <w:t xml:space="preserve">26,0</w:t>
            </w:r>
          </w:p>
        </w:tc>
        <w:tc>
          <w:tcPr>
            <w:tcW w:w="1054" w:type="dxa"/>
          </w:tcPr>
          <w:p>
            <w:pPr>
              <w:pStyle w:val="0"/>
              <w:jc w:val="center"/>
            </w:pPr>
            <w:r>
              <w:rPr>
                <w:sz w:val="20"/>
              </w:rPr>
              <w:t xml:space="preserve">26,0</w:t>
            </w:r>
          </w:p>
        </w:tc>
        <w:tc>
          <w:tcPr>
            <w:tcW w:w="1056" w:type="dxa"/>
          </w:tcPr>
          <w:p>
            <w:pPr>
              <w:pStyle w:val="0"/>
              <w:jc w:val="center"/>
            </w:pPr>
            <w:r>
              <w:rPr>
                <w:sz w:val="20"/>
              </w:rPr>
              <w:t xml:space="preserve">26,0</w:t>
            </w:r>
          </w:p>
        </w:tc>
        <w:tc>
          <w:tcPr>
            <w:tcW w:w="1056" w:type="dxa"/>
          </w:tcPr>
          <w:p>
            <w:pPr>
              <w:pStyle w:val="0"/>
              <w:jc w:val="center"/>
            </w:pPr>
            <w:r>
              <w:rPr>
                <w:sz w:val="20"/>
              </w:rPr>
              <w:t xml:space="preserve">26,0</w:t>
            </w:r>
          </w:p>
        </w:tc>
        <w:tc>
          <w:tcPr>
            <w:tcW w:w="1056" w:type="dxa"/>
          </w:tcPr>
          <w:p>
            <w:pPr>
              <w:pStyle w:val="0"/>
              <w:jc w:val="center"/>
            </w:pPr>
            <w:r>
              <w:rPr>
                <w:sz w:val="20"/>
              </w:rPr>
              <w:t xml:space="preserve">26,0</w:t>
            </w:r>
          </w:p>
        </w:tc>
        <w:tc>
          <w:tcPr>
            <w:tcW w:w="1056" w:type="dxa"/>
          </w:tcPr>
          <w:p>
            <w:pPr>
              <w:pStyle w:val="0"/>
              <w:jc w:val="center"/>
            </w:pPr>
            <w:r>
              <w:rPr>
                <w:sz w:val="20"/>
              </w:rPr>
              <w:t xml:space="preserve">26,0</w:t>
            </w:r>
          </w:p>
        </w:tc>
      </w:tr>
      <w:tr>
        <w:tc>
          <w:tcPr>
            <w:gridSpan w:val="13"/>
            <w:tcW w:w="17295" w:type="dxa"/>
          </w:tcPr>
          <w:p>
            <w:pPr>
              <w:pStyle w:val="0"/>
              <w:outlineLvl w:val="2"/>
              <w:jc w:val="center"/>
            </w:pPr>
            <w:r>
              <w:rPr>
                <w:sz w:val="20"/>
              </w:rPr>
              <w:t xml:space="preserve">Подпрограмма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tc>
          <w:tcPr>
            <w:tcW w:w="1247" w:type="dxa"/>
          </w:tcPr>
          <w:p>
            <w:pPr>
              <w:pStyle w:val="0"/>
              <w:jc w:val="both"/>
            </w:pPr>
            <w:r>
              <w:rPr>
                <w:sz w:val="20"/>
              </w:rPr>
              <w:t xml:space="preserve">2.1</w:t>
            </w:r>
          </w:p>
        </w:tc>
        <w:tc>
          <w:tcPr>
            <w:tcW w:w="3969" w:type="dxa"/>
          </w:tcPr>
          <w:p>
            <w:pPr>
              <w:pStyle w:val="0"/>
              <w:jc w:val="both"/>
            </w:pPr>
            <w:r>
              <w:rPr>
                <w:sz w:val="20"/>
              </w:rPr>
              <w:t xml:space="preserve">Доля выезда бригад скорой медицинской помощи со временем доезда до больного менее 20 минут</w:t>
            </w:r>
          </w:p>
        </w:tc>
        <w:tc>
          <w:tcPr>
            <w:tcW w:w="1531" w:type="dxa"/>
          </w:tcPr>
          <w:p>
            <w:pPr>
              <w:pStyle w:val="0"/>
              <w:jc w:val="both"/>
            </w:pPr>
            <w:r>
              <w:rPr>
                <w:sz w:val="20"/>
              </w:rPr>
              <w:t xml:space="preserve">%</w:t>
            </w:r>
          </w:p>
        </w:tc>
        <w:tc>
          <w:tcPr>
            <w:tcW w:w="1054" w:type="dxa"/>
          </w:tcPr>
          <w:p>
            <w:pPr>
              <w:pStyle w:val="0"/>
              <w:jc w:val="center"/>
            </w:pPr>
            <w:r>
              <w:rPr>
                <w:sz w:val="20"/>
              </w:rPr>
              <w:t xml:space="preserve">98,7</w:t>
            </w:r>
          </w:p>
        </w:tc>
        <w:tc>
          <w:tcPr>
            <w:tcW w:w="1054" w:type="dxa"/>
          </w:tcPr>
          <w:p>
            <w:pPr>
              <w:pStyle w:val="0"/>
              <w:jc w:val="center"/>
            </w:pPr>
            <w:r>
              <w:rPr>
                <w:sz w:val="20"/>
              </w:rPr>
              <w:t xml:space="preserve">99,0</w:t>
            </w:r>
          </w:p>
        </w:tc>
        <w:tc>
          <w:tcPr>
            <w:tcW w:w="1054" w:type="dxa"/>
          </w:tcPr>
          <w:p>
            <w:pPr>
              <w:pStyle w:val="0"/>
              <w:jc w:val="center"/>
            </w:pPr>
            <w:r>
              <w:rPr>
                <w:sz w:val="20"/>
              </w:rPr>
              <w:t xml:space="preserve">99,0</w:t>
            </w:r>
          </w:p>
        </w:tc>
        <w:tc>
          <w:tcPr>
            <w:tcW w:w="1054" w:type="dxa"/>
          </w:tcPr>
          <w:p>
            <w:pPr>
              <w:pStyle w:val="0"/>
              <w:jc w:val="center"/>
            </w:pPr>
            <w:r>
              <w:rPr>
                <w:sz w:val="20"/>
              </w:rPr>
              <w:t xml:space="preserve">99,0</w:t>
            </w:r>
          </w:p>
        </w:tc>
        <w:tc>
          <w:tcPr>
            <w:tcW w:w="1054" w:type="dxa"/>
          </w:tcPr>
          <w:p>
            <w:pPr>
              <w:pStyle w:val="0"/>
              <w:jc w:val="center"/>
            </w:pPr>
            <w:r>
              <w:rPr>
                <w:sz w:val="20"/>
              </w:rPr>
              <w:t xml:space="preserve">99,0</w:t>
            </w:r>
          </w:p>
        </w:tc>
        <w:tc>
          <w:tcPr>
            <w:tcW w:w="1054" w:type="dxa"/>
          </w:tcPr>
          <w:p>
            <w:pPr>
              <w:pStyle w:val="0"/>
              <w:jc w:val="center"/>
            </w:pPr>
            <w:r>
              <w:rPr>
                <w:sz w:val="20"/>
              </w:rPr>
              <w:t xml:space="preserve">99,0</w:t>
            </w:r>
          </w:p>
        </w:tc>
        <w:tc>
          <w:tcPr>
            <w:tcW w:w="1056" w:type="dxa"/>
          </w:tcPr>
          <w:p>
            <w:pPr>
              <w:pStyle w:val="0"/>
              <w:jc w:val="center"/>
            </w:pPr>
            <w:r>
              <w:rPr>
                <w:sz w:val="20"/>
              </w:rPr>
              <w:t xml:space="preserve">99,0</w:t>
            </w:r>
          </w:p>
        </w:tc>
        <w:tc>
          <w:tcPr>
            <w:tcW w:w="1056" w:type="dxa"/>
          </w:tcPr>
          <w:p>
            <w:pPr>
              <w:pStyle w:val="0"/>
              <w:jc w:val="center"/>
            </w:pPr>
            <w:r>
              <w:rPr>
                <w:sz w:val="20"/>
              </w:rPr>
              <w:t xml:space="preserve">99,0</w:t>
            </w:r>
          </w:p>
        </w:tc>
        <w:tc>
          <w:tcPr>
            <w:tcW w:w="1056" w:type="dxa"/>
          </w:tcPr>
          <w:p>
            <w:pPr>
              <w:pStyle w:val="0"/>
              <w:jc w:val="center"/>
            </w:pPr>
            <w:r>
              <w:rPr>
                <w:sz w:val="20"/>
              </w:rPr>
              <w:t xml:space="preserve">99,0</w:t>
            </w:r>
          </w:p>
        </w:tc>
        <w:tc>
          <w:tcPr>
            <w:tcW w:w="1056" w:type="dxa"/>
          </w:tcPr>
          <w:p>
            <w:pPr>
              <w:pStyle w:val="0"/>
              <w:jc w:val="center"/>
            </w:pPr>
            <w:r>
              <w:rPr>
                <w:sz w:val="20"/>
              </w:rPr>
              <w:t xml:space="preserve">99,0</w:t>
            </w:r>
          </w:p>
        </w:tc>
      </w:tr>
      <w:tr>
        <w:tc>
          <w:tcPr>
            <w:tcW w:w="1247" w:type="dxa"/>
          </w:tcPr>
          <w:p>
            <w:pPr>
              <w:pStyle w:val="0"/>
              <w:jc w:val="both"/>
            </w:pPr>
            <w:r>
              <w:rPr>
                <w:sz w:val="20"/>
              </w:rPr>
              <w:t xml:space="preserve">2.2</w:t>
            </w:r>
          </w:p>
        </w:tc>
        <w:tc>
          <w:tcPr>
            <w:tcW w:w="3969" w:type="dxa"/>
          </w:tcPr>
          <w:p>
            <w:pPr>
              <w:pStyle w:val="0"/>
              <w:jc w:val="both"/>
            </w:pPr>
            <w:r>
              <w:rPr>
                <w:sz w:val="20"/>
              </w:rPr>
              <w:t xml:space="preserve">Больничная летальность пострадавших в результате дорожно-транспортных происшествий</w:t>
            </w:r>
          </w:p>
        </w:tc>
        <w:tc>
          <w:tcPr>
            <w:tcW w:w="1531" w:type="dxa"/>
          </w:tcPr>
          <w:p>
            <w:pPr>
              <w:pStyle w:val="0"/>
              <w:jc w:val="both"/>
            </w:pPr>
            <w:r>
              <w:rPr>
                <w:sz w:val="20"/>
              </w:rPr>
              <w:t xml:space="preserve">%</w:t>
            </w:r>
          </w:p>
        </w:tc>
        <w:tc>
          <w:tcPr>
            <w:tcW w:w="1054" w:type="dxa"/>
          </w:tcPr>
          <w:p>
            <w:pPr>
              <w:pStyle w:val="0"/>
              <w:jc w:val="center"/>
            </w:pPr>
            <w:r>
              <w:rPr>
                <w:sz w:val="20"/>
              </w:rPr>
              <w:t xml:space="preserve">4,8</w:t>
            </w:r>
          </w:p>
        </w:tc>
        <w:tc>
          <w:tcPr>
            <w:tcW w:w="1054" w:type="dxa"/>
          </w:tcPr>
          <w:p>
            <w:pPr>
              <w:pStyle w:val="0"/>
              <w:jc w:val="center"/>
            </w:pPr>
            <w:r>
              <w:rPr>
                <w:sz w:val="20"/>
              </w:rPr>
              <w:t xml:space="preserve">4,7</w:t>
            </w:r>
          </w:p>
        </w:tc>
        <w:tc>
          <w:tcPr>
            <w:tcW w:w="1054" w:type="dxa"/>
          </w:tcPr>
          <w:p>
            <w:pPr>
              <w:pStyle w:val="0"/>
              <w:jc w:val="center"/>
            </w:pPr>
            <w:r>
              <w:rPr>
                <w:sz w:val="20"/>
              </w:rPr>
              <w:t xml:space="preserve">4,7</w:t>
            </w:r>
          </w:p>
        </w:tc>
        <w:tc>
          <w:tcPr>
            <w:tcW w:w="1054" w:type="dxa"/>
          </w:tcPr>
          <w:p>
            <w:pPr>
              <w:pStyle w:val="0"/>
              <w:jc w:val="center"/>
            </w:pPr>
            <w:r>
              <w:rPr>
                <w:sz w:val="20"/>
              </w:rPr>
              <w:t xml:space="preserve">4,7</w:t>
            </w:r>
          </w:p>
        </w:tc>
        <w:tc>
          <w:tcPr>
            <w:tcW w:w="1054" w:type="dxa"/>
          </w:tcPr>
          <w:p>
            <w:pPr>
              <w:pStyle w:val="0"/>
              <w:jc w:val="center"/>
            </w:pPr>
            <w:r>
              <w:rPr>
                <w:sz w:val="20"/>
              </w:rPr>
              <w:t xml:space="preserve">4,7</w:t>
            </w:r>
          </w:p>
        </w:tc>
        <w:tc>
          <w:tcPr>
            <w:tcW w:w="1054" w:type="dxa"/>
          </w:tcPr>
          <w:p>
            <w:pPr>
              <w:pStyle w:val="0"/>
              <w:jc w:val="center"/>
            </w:pPr>
            <w:r>
              <w:rPr>
                <w:sz w:val="20"/>
              </w:rPr>
              <w:t xml:space="preserve">4,7</w:t>
            </w:r>
          </w:p>
        </w:tc>
        <w:tc>
          <w:tcPr>
            <w:tcW w:w="1056" w:type="dxa"/>
          </w:tcPr>
          <w:p>
            <w:pPr>
              <w:pStyle w:val="0"/>
              <w:jc w:val="center"/>
            </w:pPr>
            <w:r>
              <w:rPr>
                <w:sz w:val="20"/>
              </w:rPr>
              <w:t xml:space="preserve">4,7</w:t>
            </w:r>
          </w:p>
        </w:tc>
        <w:tc>
          <w:tcPr>
            <w:tcW w:w="1056" w:type="dxa"/>
          </w:tcPr>
          <w:p>
            <w:pPr>
              <w:pStyle w:val="0"/>
              <w:jc w:val="center"/>
            </w:pPr>
            <w:r>
              <w:rPr>
                <w:sz w:val="20"/>
              </w:rPr>
              <w:t xml:space="preserve">4,7</w:t>
            </w:r>
          </w:p>
        </w:tc>
        <w:tc>
          <w:tcPr>
            <w:tcW w:w="1056" w:type="dxa"/>
          </w:tcPr>
          <w:p>
            <w:pPr>
              <w:pStyle w:val="0"/>
              <w:jc w:val="center"/>
            </w:pPr>
            <w:r>
              <w:rPr>
                <w:sz w:val="20"/>
              </w:rPr>
              <w:t xml:space="preserve">4,7</w:t>
            </w:r>
          </w:p>
        </w:tc>
        <w:tc>
          <w:tcPr>
            <w:tcW w:w="1056" w:type="dxa"/>
          </w:tcPr>
          <w:p>
            <w:pPr>
              <w:pStyle w:val="0"/>
              <w:jc w:val="center"/>
            </w:pPr>
            <w:r>
              <w:rPr>
                <w:sz w:val="20"/>
              </w:rPr>
              <w:t xml:space="preserve">4,7</w:t>
            </w:r>
          </w:p>
        </w:tc>
      </w:tr>
      <w:tr>
        <w:tc>
          <w:tcPr>
            <w:tcW w:w="1247" w:type="dxa"/>
          </w:tcPr>
          <w:p>
            <w:pPr>
              <w:pStyle w:val="0"/>
              <w:jc w:val="both"/>
            </w:pPr>
            <w:r>
              <w:rPr>
                <w:sz w:val="20"/>
              </w:rPr>
              <w:t xml:space="preserve">2.3</w:t>
            </w:r>
          </w:p>
        </w:tc>
        <w:tc>
          <w:tcPr>
            <w:tcW w:w="3969" w:type="dxa"/>
          </w:tcPr>
          <w:p>
            <w:pPr>
              <w:pStyle w:val="0"/>
              <w:jc w:val="both"/>
            </w:pPr>
            <w:r>
              <w:rPr>
                <w:sz w:val="20"/>
              </w:rPr>
              <w:t xml:space="preserve">Доля вызовов для оказания медицинской помощи в неотложной форме, осуществленных медицинскими организациями, оказывающими первичную медико-санитарную помощь, в общем количестве вызовов, поступивших для оказания скорой медицинской помощи в неотложной форме</w:t>
            </w:r>
          </w:p>
        </w:tc>
        <w:tc>
          <w:tcPr>
            <w:tcW w:w="1531" w:type="dxa"/>
          </w:tcPr>
          <w:p>
            <w:pPr>
              <w:pStyle w:val="0"/>
              <w:jc w:val="both"/>
            </w:pPr>
            <w:r>
              <w:rPr>
                <w:sz w:val="20"/>
              </w:rPr>
              <w:t xml:space="preserve">%</w:t>
            </w:r>
          </w:p>
        </w:tc>
        <w:tc>
          <w:tcPr>
            <w:tcW w:w="1054" w:type="dxa"/>
          </w:tcPr>
          <w:p>
            <w:pPr>
              <w:pStyle w:val="0"/>
              <w:jc w:val="center"/>
            </w:pPr>
            <w:r>
              <w:rPr>
                <w:sz w:val="20"/>
              </w:rPr>
              <w:t xml:space="preserve">56,0</w:t>
            </w:r>
          </w:p>
        </w:tc>
        <w:tc>
          <w:tcPr>
            <w:tcW w:w="1054" w:type="dxa"/>
          </w:tcPr>
          <w:p>
            <w:pPr>
              <w:pStyle w:val="0"/>
              <w:jc w:val="center"/>
            </w:pPr>
            <w:r>
              <w:rPr>
                <w:sz w:val="20"/>
              </w:rPr>
              <w:t xml:space="preserve">56,0</w:t>
            </w:r>
          </w:p>
        </w:tc>
        <w:tc>
          <w:tcPr>
            <w:tcW w:w="1054" w:type="dxa"/>
          </w:tcPr>
          <w:p>
            <w:pPr>
              <w:pStyle w:val="0"/>
              <w:jc w:val="center"/>
            </w:pPr>
            <w:r>
              <w:rPr>
                <w:sz w:val="20"/>
              </w:rPr>
              <w:t xml:space="preserve">60,0</w:t>
            </w:r>
          </w:p>
        </w:tc>
        <w:tc>
          <w:tcPr>
            <w:tcW w:w="1054" w:type="dxa"/>
          </w:tcPr>
          <w:p>
            <w:pPr>
              <w:pStyle w:val="0"/>
              <w:jc w:val="center"/>
            </w:pPr>
            <w:r>
              <w:rPr>
                <w:sz w:val="20"/>
              </w:rPr>
              <w:t xml:space="preserve">60,0</w:t>
            </w:r>
          </w:p>
        </w:tc>
        <w:tc>
          <w:tcPr>
            <w:tcW w:w="1054" w:type="dxa"/>
          </w:tcPr>
          <w:p>
            <w:pPr>
              <w:pStyle w:val="0"/>
              <w:jc w:val="center"/>
            </w:pPr>
            <w:r>
              <w:rPr>
                <w:sz w:val="20"/>
              </w:rPr>
              <w:t xml:space="preserve">60,0</w:t>
            </w:r>
          </w:p>
        </w:tc>
        <w:tc>
          <w:tcPr>
            <w:tcW w:w="1054" w:type="dxa"/>
          </w:tcPr>
          <w:p>
            <w:pPr>
              <w:pStyle w:val="0"/>
              <w:jc w:val="center"/>
            </w:pPr>
            <w:r>
              <w:rPr>
                <w:sz w:val="20"/>
              </w:rPr>
              <w:t xml:space="preserve">60,0</w:t>
            </w:r>
          </w:p>
        </w:tc>
        <w:tc>
          <w:tcPr>
            <w:tcW w:w="1056" w:type="dxa"/>
          </w:tcPr>
          <w:p>
            <w:pPr>
              <w:pStyle w:val="0"/>
              <w:jc w:val="center"/>
            </w:pPr>
            <w:r>
              <w:rPr>
                <w:sz w:val="20"/>
              </w:rPr>
              <w:t xml:space="preserve">60,0</w:t>
            </w:r>
          </w:p>
        </w:tc>
        <w:tc>
          <w:tcPr>
            <w:tcW w:w="1056" w:type="dxa"/>
          </w:tcPr>
          <w:p>
            <w:pPr>
              <w:pStyle w:val="0"/>
              <w:jc w:val="center"/>
            </w:pPr>
            <w:r>
              <w:rPr>
                <w:sz w:val="20"/>
              </w:rPr>
              <w:t xml:space="preserve">60,0</w:t>
            </w:r>
          </w:p>
        </w:tc>
        <w:tc>
          <w:tcPr>
            <w:tcW w:w="1056" w:type="dxa"/>
          </w:tcPr>
          <w:p>
            <w:pPr>
              <w:pStyle w:val="0"/>
              <w:jc w:val="center"/>
            </w:pPr>
            <w:r>
              <w:rPr>
                <w:sz w:val="20"/>
              </w:rPr>
              <w:t xml:space="preserve">60,0</w:t>
            </w:r>
          </w:p>
        </w:tc>
        <w:tc>
          <w:tcPr>
            <w:tcW w:w="1056" w:type="dxa"/>
          </w:tcPr>
          <w:p>
            <w:pPr>
              <w:pStyle w:val="0"/>
              <w:jc w:val="center"/>
            </w:pPr>
            <w:r>
              <w:rPr>
                <w:sz w:val="20"/>
              </w:rPr>
              <w:t xml:space="preserve">60,0</w:t>
            </w:r>
          </w:p>
        </w:tc>
      </w:tr>
      <w:tr>
        <w:tc>
          <w:tcPr>
            <w:tcW w:w="1247" w:type="dxa"/>
          </w:tcPr>
          <w:p>
            <w:pPr>
              <w:pStyle w:val="0"/>
              <w:jc w:val="both"/>
            </w:pPr>
            <w:r>
              <w:rPr>
                <w:sz w:val="20"/>
              </w:rPr>
              <w:t xml:space="preserve">2.4</w:t>
            </w:r>
          </w:p>
        </w:tc>
        <w:tc>
          <w:tcPr>
            <w:tcW w:w="3969" w:type="dxa"/>
          </w:tcPr>
          <w:p>
            <w:pPr>
              <w:pStyle w:val="0"/>
              <w:jc w:val="both"/>
            </w:pPr>
            <w:r>
              <w:rPr>
                <w:sz w:val="20"/>
              </w:rPr>
              <w:t xml:space="preserve">Строительство многопрофильного лечебно-диагностического корпуса онкологического диспансера, г. Севастополь</w:t>
            </w:r>
          </w:p>
        </w:tc>
        <w:tc>
          <w:tcPr>
            <w:tcW w:w="1531" w:type="dxa"/>
          </w:tcPr>
          <w:p>
            <w:pPr>
              <w:pStyle w:val="0"/>
              <w:jc w:val="both"/>
            </w:pPr>
            <w:r>
              <w:rPr>
                <w:sz w:val="20"/>
              </w:rPr>
              <w:t xml:space="preserve">ед.</w:t>
            </w:r>
          </w:p>
        </w:tc>
        <w:tc>
          <w:tcPr>
            <w:tcW w:w="1054" w:type="dxa"/>
          </w:tcPr>
          <w:p>
            <w:pPr>
              <w:pStyle w:val="0"/>
              <w:jc w:val="center"/>
            </w:pPr>
            <w:r>
              <w:rPr>
                <w:sz w:val="20"/>
              </w:rPr>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1</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2.5</w:t>
            </w:r>
          </w:p>
        </w:tc>
        <w:tc>
          <w:tcPr>
            <w:tcW w:w="3969" w:type="dxa"/>
          </w:tcPr>
          <w:p>
            <w:pPr>
              <w:pStyle w:val="0"/>
              <w:jc w:val="both"/>
            </w:pPr>
            <w:r>
              <w:rPr>
                <w:sz w:val="20"/>
              </w:rPr>
              <w:t xml:space="preserve">Строительство севастопольской больницы скорой медицинской помощи</w:t>
            </w:r>
          </w:p>
        </w:tc>
        <w:tc>
          <w:tcPr>
            <w:tcW w:w="1531" w:type="dxa"/>
          </w:tcPr>
          <w:p>
            <w:pPr>
              <w:pStyle w:val="0"/>
              <w:jc w:val="both"/>
            </w:pPr>
            <w:r>
              <w:rPr>
                <w:sz w:val="20"/>
              </w:rPr>
              <w:t xml:space="preserve">ед.</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1</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2.6</w:t>
            </w:r>
          </w:p>
        </w:tc>
        <w:tc>
          <w:tcPr>
            <w:tcW w:w="3969" w:type="dxa"/>
          </w:tcPr>
          <w:p>
            <w:pPr>
              <w:pStyle w:val="0"/>
              <w:jc w:val="both"/>
            </w:pPr>
            <w:r>
              <w:rPr>
                <w:sz w:val="20"/>
              </w:rPr>
              <w:t xml:space="preserve">Строительство городской инфекционной больницы на 200 коек</w:t>
            </w:r>
          </w:p>
        </w:tc>
        <w:tc>
          <w:tcPr>
            <w:tcW w:w="1531" w:type="dxa"/>
          </w:tcPr>
          <w:p>
            <w:pPr>
              <w:pStyle w:val="0"/>
              <w:jc w:val="both"/>
            </w:pPr>
            <w:r>
              <w:rPr>
                <w:sz w:val="20"/>
              </w:rPr>
              <w:t xml:space="preserve">ед.</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1</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2.7</w:t>
            </w:r>
          </w:p>
        </w:tc>
        <w:tc>
          <w:tcPr>
            <w:tcW w:w="3969" w:type="dxa"/>
          </w:tcPr>
          <w:p>
            <w:pPr>
              <w:pStyle w:val="0"/>
              <w:jc w:val="both"/>
            </w:pPr>
            <w:r>
              <w:rPr>
                <w:sz w:val="20"/>
              </w:rPr>
              <w:t xml:space="preserve">Строительство подстанции N 2 ГБУЗС "Севастопольский центр экстренной медицинской помощи и медицины катастроф", пр-т Генерала Острякова</w:t>
            </w:r>
          </w:p>
        </w:tc>
        <w:tc>
          <w:tcPr>
            <w:tcW w:w="1531" w:type="dxa"/>
          </w:tcPr>
          <w:p>
            <w:pPr>
              <w:pStyle w:val="0"/>
              <w:jc w:val="both"/>
            </w:pPr>
            <w:r>
              <w:rPr>
                <w:sz w:val="20"/>
              </w:rPr>
              <w:t xml:space="preserve">ед.</w:t>
            </w:r>
          </w:p>
        </w:tc>
        <w:tc>
          <w:tcPr>
            <w:tcW w:w="1054" w:type="dxa"/>
          </w:tcPr>
          <w:p>
            <w:pPr>
              <w:pStyle w:val="0"/>
              <w:jc w:val="center"/>
            </w:pPr>
            <w:r>
              <w:rPr>
                <w:sz w:val="20"/>
              </w:rPr>
              <w:t xml:space="preserve">-</w:t>
            </w:r>
          </w:p>
        </w:tc>
        <w:tc>
          <w:tcPr>
            <w:tcW w:w="1054" w:type="dxa"/>
          </w:tcPr>
          <w:p>
            <w:pPr>
              <w:pStyle w:val="0"/>
              <w:jc w:val="center"/>
            </w:pPr>
            <w:r>
              <w:rPr>
                <w:sz w:val="20"/>
              </w:rPr>
              <w:t xml:space="preserve">1</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2.8</w:t>
            </w:r>
          </w:p>
        </w:tc>
        <w:tc>
          <w:tcPr>
            <w:tcW w:w="3969" w:type="dxa"/>
          </w:tcPr>
          <w:p>
            <w:pPr>
              <w:pStyle w:val="0"/>
              <w:jc w:val="both"/>
            </w:pPr>
            <w:r>
              <w:rPr>
                <w:sz w:val="20"/>
              </w:rPr>
              <w:t xml:space="preserve">Строительство подстанции N 10 ГБУЗС "Севастопольский центр экстренной медицинской помощи и медицины катастроф", Фиолентовское шоссе</w:t>
            </w:r>
          </w:p>
        </w:tc>
        <w:tc>
          <w:tcPr>
            <w:tcW w:w="1531" w:type="dxa"/>
          </w:tcPr>
          <w:p>
            <w:pPr>
              <w:pStyle w:val="0"/>
              <w:jc w:val="both"/>
            </w:pPr>
            <w:r>
              <w:rPr>
                <w:sz w:val="20"/>
              </w:rPr>
              <w:t xml:space="preserve">ед.</w:t>
            </w:r>
          </w:p>
        </w:tc>
        <w:tc>
          <w:tcPr>
            <w:tcW w:w="1054" w:type="dxa"/>
          </w:tcPr>
          <w:p>
            <w:pPr>
              <w:pStyle w:val="0"/>
              <w:jc w:val="center"/>
            </w:pPr>
            <w:r>
              <w:rPr>
                <w:sz w:val="20"/>
              </w:rPr>
              <w:t xml:space="preserve">-</w:t>
            </w:r>
          </w:p>
        </w:tc>
        <w:tc>
          <w:tcPr>
            <w:tcW w:w="1054" w:type="dxa"/>
          </w:tcPr>
          <w:p>
            <w:pPr>
              <w:pStyle w:val="0"/>
              <w:jc w:val="center"/>
            </w:pPr>
            <w:r>
              <w:rPr>
                <w:sz w:val="20"/>
              </w:rPr>
              <w:t xml:space="preserve">1</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2.9</w:t>
            </w:r>
          </w:p>
        </w:tc>
        <w:tc>
          <w:tcPr>
            <w:tcW w:w="3969" w:type="dxa"/>
          </w:tcPr>
          <w:p>
            <w:pPr>
              <w:pStyle w:val="0"/>
              <w:jc w:val="both"/>
            </w:pPr>
            <w:r>
              <w:rPr>
                <w:sz w:val="20"/>
              </w:rPr>
              <w:t xml:space="preserve">Строительство подстанции N 1 ГБУЗС "Севастопольский центр экстренной медицинской помощи и медицины катастроф", пр-т Победы</w:t>
            </w:r>
          </w:p>
        </w:tc>
        <w:tc>
          <w:tcPr>
            <w:tcW w:w="1531" w:type="dxa"/>
          </w:tcPr>
          <w:p>
            <w:pPr>
              <w:pStyle w:val="0"/>
              <w:jc w:val="both"/>
            </w:pPr>
            <w:r>
              <w:rPr>
                <w:sz w:val="20"/>
              </w:rPr>
              <w:t xml:space="preserve">ед.</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1</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2.10</w:t>
            </w:r>
          </w:p>
        </w:tc>
        <w:tc>
          <w:tcPr>
            <w:tcW w:w="3969" w:type="dxa"/>
          </w:tcPr>
          <w:p>
            <w:pPr>
              <w:pStyle w:val="0"/>
              <w:jc w:val="both"/>
            </w:pPr>
            <w:r>
              <w:rPr>
                <w:sz w:val="20"/>
              </w:rPr>
              <w:t xml:space="preserve">ГБУЗС "Городская больница N 4", строительство палатного корпуса на 140 коек</w:t>
            </w:r>
          </w:p>
        </w:tc>
        <w:tc>
          <w:tcPr>
            <w:tcW w:w="1531" w:type="dxa"/>
          </w:tcPr>
          <w:p>
            <w:pPr>
              <w:pStyle w:val="0"/>
              <w:jc w:val="both"/>
            </w:pPr>
            <w:r>
              <w:rPr>
                <w:sz w:val="20"/>
              </w:rPr>
              <w:t xml:space="preserve">ед.</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1</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2.11</w:t>
            </w:r>
          </w:p>
        </w:tc>
        <w:tc>
          <w:tcPr>
            <w:tcW w:w="3969" w:type="dxa"/>
          </w:tcPr>
          <w:p>
            <w:pPr>
              <w:pStyle w:val="0"/>
              <w:jc w:val="both"/>
            </w:pPr>
            <w:r>
              <w:rPr>
                <w:sz w:val="20"/>
              </w:rPr>
              <w:t xml:space="preserve">Строительство патолого-анатомического корпуса ГБУЗС "Городская больница N 1 им. Н.И. Пирогова"</w:t>
            </w:r>
          </w:p>
        </w:tc>
        <w:tc>
          <w:tcPr>
            <w:tcW w:w="1531" w:type="dxa"/>
          </w:tcPr>
          <w:p>
            <w:pPr>
              <w:pStyle w:val="0"/>
              <w:jc w:val="both"/>
            </w:pPr>
            <w:r>
              <w:rPr>
                <w:sz w:val="20"/>
              </w:rPr>
              <w:t xml:space="preserve">ед.</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1</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gridSpan w:val="13"/>
            <w:tcW w:w="17295" w:type="dxa"/>
          </w:tcPr>
          <w:p>
            <w:pPr>
              <w:pStyle w:val="0"/>
              <w:outlineLvl w:val="2"/>
              <w:jc w:val="center"/>
            </w:pPr>
            <w:r>
              <w:rPr>
                <w:sz w:val="20"/>
              </w:rPr>
              <w:t xml:space="preserve">Подпрограмма 3 "Охрана здоровья матери и ребенка"</w:t>
            </w:r>
          </w:p>
        </w:tc>
      </w:tr>
      <w:tr>
        <w:tc>
          <w:tcPr>
            <w:tcW w:w="1247" w:type="dxa"/>
          </w:tcPr>
          <w:p>
            <w:pPr>
              <w:pStyle w:val="0"/>
              <w:jc w:val="both"/>
            </w:pPr>
            <w:r>
              <w:rPr>
                <w:sz w:val="20"/>
              </w:rPr>
              <w:t xml:space="preserve">3.1</w:t>
            </w:r>
          </w:p>
        </w:tc>
        <w:tc>
          <w:tcPr>
            <w:tcW w:w="3969" w:type="dxa"/>
          </w:tcPr>
          <w:p>
            <w:pPr>
              <w:pStyle w:val="0"/>
              <w:jc w:val="both"/>
            </w:pPr>
            <w:r>
              <w:rPr>
                <w:sz w:val="20"/>
              </w:rPr>
              <w:t xml:space="preserve">Материнская смертность (случаев на 100 тыс. детей, родившихся живыми)</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0,0</w:t>
            </w:r>
          </w:p>
        </w:tc>
        <w:tc>
          <w:tcPr>
            <w:tcW w:w="1054" w:type="dxa"/>
          </w:tcPr>
          <w:p>
            <w:pPr>
              <w:pStyle w:val="0"/>
              <w:jc w:val="center"/>
            </w:pPr>
            <w:r>
              <w:rPr>
                <w:sz w:val="20"/>
              </w:rPr>
              <w:t xml:space="preserve">0,0</w:t>
            </w:r>
          </w:p>
        </w:tc>
        <w:tc>
          <w:tcPr>
            <w:tcW w:w="1054" w:type="dxa"/>
          </w:tcPr>
          <w:p>
            <w:pPr>
              <w:pStyle w:val="0"/>
              <w:jc w:val="center"/>
            </w:pPr>
            <w:r>
              <w:rPr>
                <w:sz w:val="20"/>
              </w:rPr>
              <w:t xml:space="preserve">0,0</w:t>
            </w:r>
          </w:p>
        </w:tc>
        <w:tc>
          <w:tcPr>
            <w:tcW w:w="1054" w:type="dxa"/>
          </w:tcPr>
          <w:p>
            <w:pPr>
              <w:pStyle w:val="0"/>
              <w:jc w:val="center"/>
            </w:pPr>
            <w:r>
              <w:rPr>
                <w:sz w:val="20"/>
              </w:rPr>
              <w:t xml:space="preserve">0,0</w:t>
            </w:r>
          </w:p>
        </w:tc>
        <w:tc>
          <w:tcPr>
            <w:tcW w:w="1054" w:type="dxa"/>
          </w:tcPr>
          <w:p>
            <w:pPr>
              <w:pStyle w:val="0"/>
              <w:jc w:val="center"/>
            </w:pPr>
            <w:r>
              <w:rPr>
                <w:sz w:val="20"/>
              </w:rPr>
              <w:t xml:space="preserve">0,0</w:t>
            </w:r>
          </w:p>
        </w:tc>
        <w:tc>
          <w:tcPr>
            <w:tcW w:w="1054" w:type="dxa"/>
          </w:tcPr>
          <w:p>
            <w:pPr>
              <w:pStyle w:val="0"/>
              <w:jc w:val="center"/>
            </w:pPr>
            <w:r>
              <w:rPr>
                <w:sz w:val="20"/>
              </w:rPr>
              <w:t xml:space="preserve">0,0</w:t>
            </w:r>
          </w:p>
        </w:tc>
        <w:tc>
          <w:tcPr>
            <w:tcW w:w="1056" w:type="dxa"/>
          </w:tcPr>
          <w:p>
            <w:pPr>
              <w:pStyle w:val="0"/>
              <w:jc w:val="center"/>
            </w:pPr>
            <w:r>
              <w:rPr>
                <w:sz w:val="20"/>
              </w:rPr>
              <w:t xml:space="preserve">0,0</w:t>
            </w:r>
          </w:p>
        </w:tc>
        <w:tc>
          <w:tcPr>
            <w:tcW w:w="1056" w:type="dxa"/>
          </w:tcPr>
          <w:p>
            <w:pPr>
              <w:pStyle w:val="0"/>
              <w:jc w:val="center"/>
            </w:pPr>
            <w:r>
              <w:rPr>
                <w:sz w:val="20"/>
              </w:rPr>
              <w:t xml:space="preserve">0,0</w:t>
            </w:r>
          </w:p>
        </w:tc>
        <w:tc>
          <w:tcPr>
            <w:tcW w:w="1056" w:type="dxa"/>
          </w:tcPr>
          <w:p>
            <w:pPr>
              <w:pStyle w:val="0"/>
              <w:jc w:val="center"/>
            </w:pPr>
            <w:r>
              <w:rPr>
                <w:sz w:val="20"/>
              </w:rPr>
              <w:t xml:space="preserve">0,0</w:t>
            </w:r>
          </w:p>
        </w:tc>
        <w:tc>
          <w:tcPr>
            <w:tcW w:w="1056" w:type="dxa"/>
          </w:tcPr>
          <w:p>
            <w:pPr>
              <w:pStyle w:val="0"/>
              <w:jc w:val="center"/>
            </w:pPr>
            <w:r>
              <w:rPr>
                <w:sz w:val="20"/>
              </w:rPr>
              <w:t xml:space="preserve">0,0</w:t>
            </w:r>
          </w:p>
        </w:tc>
      </w:tr>
      <w:tr>
        <w:tc>
          <w:tcPr>
            <w:tcW w:w="1247" w:type="dxa"/>
          </w:tcPr>
          <w:p>
            <w:pPr>
              <w:pStyle w:val="0"/>
              <w:jc w:val="both"/>
            </w:pPr>
            <w:r>
              <w:rPr>
                <w:sz w:val="20"/>
              </w:rPr>
              <w:t xml:space="preserve">3.2</w:t>
            </w:r>
          </w:p>
        </w:tc>
        <w:tc>
          <w:tcPr>
            <w:tcW w:w="3969" w:type="dxa"/>
          </w:tcPr>
          <w:p>
            <w:pPr>
              <w:pStyle w:val="0"/>
              <w:jc w:val="both"/>
            </w:pPr>
            <w:r>
              <w:rPr>
                <w:sz w:val="20"/>
              </w:rPr>
              <w:t xml:space="preserve">Охват неонатальным скринингом (доля новорожденных, обследованных на врожденные и наследственные заболевания, в общем числе детей, родившихся живыми)</w:t>
            </w:r>
          </w:p>
        </w:tc>
        <w:tc>
          <w:tcPr>
            <w:tcW w:w="1531" w:type="dxa"/>
          </w:tcPr>
          <w:p>
            <w:pPr>
              <w:pStyle w:val="0"/>
              <w:jc w:val="both"/>
            </w:pPr>
            <w:r>
              <w:rPr>
                <w:sz w:val="20"/>
              </w:rPr>
              <w:t xml:space="preserve">%</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4"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c>
          <w:tcPr>
            <w:tcW w:w="1056" w:type="dxa"/>
          </w:tcPr>
          <w:p>
            <w:pPr>
              <w:pStyle w:val="0"/>
              <w:jc w:val="center"/>
            </w:pPr>
            <w:r>
              <w:rPr>
                <w:sz w:val="20"/>
              </w:rPr>
              <w:t xml:space="preserve">95,0</w:t>
            </w:r>
          </w:p>
        </w:tc>
      </w:tr>
      <w:tr>
        <w:tc>
          <w:tcPr>
            <w:tcW w:w="1247" w:type="dxa"/>
          </w:tcPr>
          <w:p>
            <w:pPr>
              <w:pStyle w:val="0"/>
              <w:jc w:val="both"/>
            </w:pPr>
            <w:r>
              <w:rPr>
                <w:sz w:val="20"/>
              </w:rPr>
              <w:t xml:space="preserve">3.3</w:t>
            </w:r>
          </w:p>
        </w:tc>
        <w:tc>
          <w:tcPr>
            <w:tcW w:w="3969" w:type="dxa"/>
          </w:tcPr>
          <w:p>
            <w:pPr>
              <w:pStyle w:val="0"/>
              <w:jc w:val="both"/>
            </w:pPr>
            <w:r>
              <w:rPr>
                <w:sz w:val="20"/>
              </w:rPr>
              <w:t xml:space="preserve">Ранняя неонатальная смертность</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2,5</w:t>
            </w:r>
          </w:p>
        </w:tc>
        <w:tc>
          <w:tcPr>
            <w:tcW w:w="1054" w:type="dxa"/>
          </w:tcPr>
          <w:p>
            <w:pPr>
              <w:pStyle w:val="0"/>
              <w:jc w:val="center"/>
            </w:pPr>
            <w:r>
              <w:rPr>
                <w:sz w:val="20"/>
              </w:rPr>
              <w:t xml:space="preserve">2,0</w:t>
            </w:r>
          </w:p>
        </w:tc>
        <w:tc>
          <w:tcPr>
            <w:tcW w:w="1054" w:type="dxa"/>
          </w:tcPr>
          <w:p>
            <w:pPr>
              <w:pStyle w:val="0"/>
              <w:jc w:val="center"/>
            </w:pPr>
            <w:r>
              <w:rPr>
                <w:sz w:val="20"/>
              </w:rPr>
              <w:t xml:space="preserve">2,0</w:t>
            </w:r>
          </w:p>
        </w:tc>
        <w:tc>
          <w:tcPr>
            <w:tcW w:w="1054" w:type="dxa"/>
          </w:tcPr>
          <w:p>
            <w:pPr>
              <w:pStyle w:val="0"/>
              <w:jc w:val="center"/>
            </w:pPr>
            <w:r>
              <w:rPr>
                <w:sz w:val="20"/>
              </w:rPr>
              <w:t xml:space="preserve">2,0</w:t>
            </w:r>
          </w:p>
        </w:tc>
        <w:tc>
          <w:tcPr>
            <w:tcW w:w="1054" w:type="dxa"/>
          </w:tcPr>
          <w:p>
            <w:pPr>
              <w:pStyle w:val="0"/>
              <w:jc w:val="center"/>
            </w:pPr>
            <w:r>
              <w:rPr>
                <w:sz w:val="20"/>
              </w:rPr>
              <w:t xml:space="preserve">2,0</w:t>
            </w:r>
          </w:p>
        </w:tc>
        <w:tc>
          <w:tcPr>
            <w:tcW w:w="1054" w:type="dxa"/>
          </w:tcPr>
          <w:p>
            <w:pPr>
              <w:pStyle w:val="0"/>
              <w:jc w:val="center"/>
            </w:pPr>
            <w:r>
              <w:rPr>
                <w:sz w:val="20"/>
              </w:rPr>
              <w:t xml:space="preserve">2,0</w:t>
            </w:r>
          </w:p>
        </w:tc>
        <w:tc>
          <w:tcPr>
            <w:tcW w:w="1056" w:type="dxa"/>
          </w:tcPr>
          <w:p>
            <w:pPr>
              <w:pStyle w:val="0"/>
              <w:jc w:val="center"/>
            </w:pPr>
            <w:r>
              <w:rPr>
                <w:sz w:val="20"/>
              </w:rPr>
              <w:t xml:space="preserve">2,0</w:t>
            </w:r>
          </w:p>
        </w:tc>
        <w:tc>
          <w:tcPr>
            <w:tcW w:w="1056" w:type="dxa"/>
          </w:tcPr>
          <w:p>
            <w:pPr>
              <w:pStyle w:val="0"/>
              <w:jc w:val="center"/>
            </w:pPr>
            <w:r>
              <w:rPr>
                <w:sz w:val="20"/>
              </w:rPr>
              <w:t xml:space="preserve">2,0</w:t>
            </w:r>
          </w:p>
        </w:tc>
        <w:tc>
          <w:tcPr>
            <w:tcW w:w="1056" w:type="dxa"/>
          </w:tcPr>
          <w:p>
            <w:pPr>
              <w:pStyle w:val="0"/>
              <w:jc w:val="center"/>
            </w:pPr>
            <w:r>
              <w:rPr>
                <w:sz w:val="20"/>
              </w:rPr>
              <w:t xml:space="preserve">2,0</w:t>
            </w:r>
          </w:p>
        </w:tc>
        <w:tc>
          <w:tcPr>
            <w:tcW w:w="1056" w:type="dxa"/>
          </w:tcPr>
          <w:p>
            <w:pPr>
              <w:pStyle w:val="0"/>
              <w:jc w:val="center"/>
            </w:pPr>
            <w:r>
              <w:rPr>
                <w:sz w:val="20"/>
              </w:rPr>
              <w:t xml:space="preserve">2,0</w:t>
            </w:r>
          </w:p>
        </w:tc>
      </w:tr>
      <w:tr>
        <w:tc>
          <w:tcPr>
            <w:tcW w:w="1247" w:type="dxa"/>
          </w:tcPr>
          <w:p>
            <w:pPr>
              <w:pStyle w:val="0"/>
              <w:jc w:val="both"/>
            </w:pPr>
            <w:r>
              <w:rPr>
                <w:sz w:val="20"/>
              </w:rPr>
              <w:t xml:space="preserve">3.4</w:t>
            </w:r>
          </w:p>
        </w:tc>
        <w:tc>
          <w:tcPr>
            <w:tcW w:w="3969" w:type="dxa"/>
          </w:tcPr>
          <w:p>
            <w:pPr>
              <w:pStyle w:val="0"/>
              <w:jc w:val="both"/>
            </w:pPr>
            <w:r>
              <w:rPr>
                <w:sz w:val="20"/>
              </w:rPr>
              <w:t xml:space="preserve">Выживаемость детей, имевших при рождении очень низкую и экстремально низкую массу тела, в акушерском стационаре (доля выживших детей в числе новорожденных, родившихся с очень низкой и экстремально низкой массой тела, в акушерском стационаре)</w:t>
            </w:r>
          </w:p>
        </w:tc>
        <w:tc>
          <w:tcPr>
            <w:tcW w:w="1531" w:type="dxa"/>
          </w:tcPr>
          <w:p>
            <w:pPr>
              <w:pStyle w:val="0"/>
              <w:jc w:val="both"/>
            </w:pPr>
            <w:r>
              <w:rPr>
                <w:sz w:val="20"/>
              </w:rPr>
              <w:t xml:space="preserve">%</w:t>
            </w:r>
          </w:p>
        </w:tc>
        <w:tc>
          <w:tcPr>
            <w:tcW w:w="1054" w:type="dxa"/>
          </w:tcPr>
          <w:p>
            <w:pPr>
              <w:pStyle w:val="0"/>
              <w:jc w:val="center"/>
            </w:pPr>
            <w:r>
              <w:rPr>
                <w:sz w:val="20"/>
              </w:rPr>
              <w:t xml:space="preserve">88,0</w:t>
            </w:r>
          </w:p>
        </w:tc>
        <w:tc>
          <w:tcPr>
            <w:tcW w:w="1054" w:type="dxa"/>
          </w:tcPr>
          <w:p>
            <w:pPr>
              <w:pStyle w:val="0"/>
              <w:jc w:val="center"/>
            </w:pPr>
            <w:r>
              <w:rPr>
                <w:sz w:val="20"/>
              </w:rPr>
              <w:t xml:space="preserve">89,0</w:t>
            </w:r>
          </w:p>
        </w:tc>
        <w:tc>
          <w:tcPr>
            <w:tcW w:w="1054" w:type="dxa"/>
          </w:tcPr>
          <w:p>
            <w:pPr>
              <w:pStyle w:val="0"/>
              <w:jc w:val="center"/>
            </w:pPr>
            <w:r>
              <w:rPr>
                <w:sz w:val="20"/>
              </w:rPr>
              <w:t xml:space="preserve">89,0</w:t>
            </w:r>
          </w:p>
        </w:tc>
        <w:tc>
          <w:tcPr>
            <w:tcW w:w="1054" w:type="dxa"/>
          </w:tcPr>
          <w:p>
            <w:pPr>
              <w:pStyle w:val="0"/>
              <w:jc w:val="center"/>
            </w:pPr>
            <w:r>
              <w:rPr>
                <w:sz w:val="20"/>
              </w:rPr>
              <w:t xml:space="preserve">89,0</w:t>
            </w:r>
          </w:p>
        </w:tc>
        <w:tc>
          <w:tcPr>
            <w:tcW w:w="1054" w:type="dxa"/>
          </w:tcPr>
          <w:p>
            <w:pPr>
              <w:pStyle w:val="0"/>
              <w:jc w:val="center"/>
            </w:pPr>
            <w:r>
              <w:rPr>
                <w:sz w:val="20"/>
              </w:rPr>
              <w:t xml:space="preserve">89,0</w:t>
            </w:r>
          </w:p>
        </w:tc>
        <w:tc>
          <w:tcPr>
            <w:tcW w:w="1054" w:type="dxa"/>
          </w:tcPr>
          <w:p>
            <w:pPr>
              <w:pStyle w:val="0"/>
              <w:jc w:val="center"/>
            </w:pPr>
            <w:r>
              <w:rPr>
                <w:sz w:val="20"/>
              </w:rPr>
              <w:t xml:space="preserve">89,0</w:t>
            </w:r>
          </w:p>
        </w:tc>
        <w:tc>
          <w:tcPr>
            <w:tcW w:w="1056" w:type="dxa"/>
          </w:tcPr>
          <w:p>
            <w:pPr>
              <w:pStyle w:val="0"/>
              <w:jc w:val="center"/>
            </w:pPr>
            <w:r>
              <w:rPr>
                <w:sz w:val="20"/>
              </w:rPr>
              <w:t xml:space="preserve">89,0</w:t>
            </w:r>
          </w:p>
        </w:tc>
        <w:tc>
          <w:tcPr>
            <w:tcW w:w="1056" w:type="dxa"/>
          </w:tcPr>
          <w:p>
            <w:pPr>
              <w:pStyle w:val="0"/>
              <w:jc w:val="center"/>
            </w:pPr>
            <w:r>
              <w:rPr>
                <w:sz w:val="20"/>
              </w:rPr>
              <w:t xml:space="preserve">89,0</w:t>
            </w:r>
          </w:p>
        </w:tc>
        <w:tc>
          <w:tcPr>
            <w:tcW w:w="1056" w:type="dxa"/>
          </w:tcPr>
          <w:p>
            <w:pPr>
              <w:pStyle w:val="0"/>
              <w:jc w:val="center"/>
            </w:pPr>
            <w:r>
              <w:rPr>
                <w:sz w:val="20"/>
              </w:rPr>
              <w:t xml:space="preserve">89,0</w:t>
            </w:r>
          </w:p>
        </w:tc>
        <w:tc>
          <w:tcPr>
            <w:tcW w:w="1056" w:type="dxa"/>
          </w:tcPr>
          <w:p>
            <w:pPr>
              <w:pStyle w:val="0"/>
              <w:jc w:val="center"/>
            </w:pPr>
            <w:r>
              <w:rPr>
                <w:sz w:val="20"/>
              </w:rPr>
              <w:t xml:space="preserve">89,0</w:t>
            </w:r>
          </w:p>
        </w:tc>
      </w:tr>
      <w:tr>
        <w:tc>
          <w:tcPr>
            <w:tcW w:w="1247" w:type="dxa"/>
          </w:tcPr>
          <w:p>
            <w:pPr>
              <w:pStyle w:val="0"/>
              <w:jc w:val="both"/>
            </w:pPr>
            <w:r>
              <w:rPr>
                <w:sz w:val="20"/>
              </w:rPr>
              <w:t xml:space="preserve">3.5</w:t>
            </w:r>
          </w:p>
        </w:tc>
        <w:tc>
          <w:tcPr>
            <w:tcW w:w="3969" w:type="dxa"/>
          </w:tcPr>
          <w:p>
            <w:pPr>
              <w:pStyle w:val="0"/>
              <w:jc w:val="both"/>
            </w:pPr>
            <w:r>
              <w:rPr>
                <w:sz w:val="20"/>
              </w:rPr>
              <w:t xml:space="preserve">Проведение химиопрофилактики передачи ВИЧ-инфекции от матери</w:t>
            </w:r>
          </w:p>
        </w:tc>
        <w:tc>
          <w:tcPr>
            <w:tcW w:w="1531" w:type="dxa"/>
          </w:tcPr>
          <w:p>
            <w:pPr>
              <w:pStyle w:val="0"/>
              <w:jc w:val="both"/>
            </w:pPr>
            <w:r>
              <w:rPr>
                <w:sz w:val="20"/>
              </w:rPr>
              <w:t xml:space="preserve">%</w:t>
            </w:r>
          </w:p>
        </w:tc>
        <w:tc>
          <w:tcPr>
            <w:tcW w:w="1054" w:type="dxa"/>
          </w:tcPr>
          <w:p>
            <w:pPr>
              <w:pStyle w:val="0"/>
              <w:jc w:val="center"/>
            </w:pPr>
            <w:r>
              <w:rPr>
                <w:sz w:val="20"/>
              </w:rPr>
              <w:t xml:space="preserve">88,3</w:t>
            </w:r>
          </w:p>
        </w:tc>
        <w:tc>
          <w:tcPr>
            <w:tcW w:w="1054" w:type="dxa"/>
          </w:tcPr>
          <w:p>
            <w:pPr>
              <w:pStyle w:val="0"/>
              <w:jc w:val="center"/>
            </w:pPr>
            <w:r>
              <w:rPr>
                <w:sz w:val="20"/>
              </w:rPr>
              <w:t xml:space="preserve">88,5</w:t>
            </w:r>
          </w:p>
        </w:tc>
        <w:tc>
          <w:tcPr>
            <w:tcW w:w="1054" w:type="dxa"/>
          </w:tcPr>
          <w:p>
            <w:pPr>
              <w:pStyle w:val="0"/>
              <w:jc w:val="center"/>
            </w:pPr>
            <w:r>
              <w:rPr>
                <w:sz w:val="20"/>
              </w:rPr>
              <w:t xml:space="preserve">88,7</w:t>
            </w:r>
          </w:p>
        </w:tc>
        <w:tc>
          <w:tcPr>
            <w:tcW w:w="1054" w:type="dxa"/>
          </w:tcPr>
          <w:p>
            <w:pPr>
              <w:pStyle w:val="0"/>
              <w:jc w:val="center"/>
            </w:pPr>
            <w:r>
              <w:rPr>
                <w:sz w:val="20"/>
              </w:rPr>
              <w:t xml:space="preserve">88,9</w:t>
            </w:r>
          </w:p>
        </w:tc>
        <w:tc>
          <w:tcPr>
            <w:tcW w:w="1054" w:type="dxa"/>
          </w:tcPr>
          <w:p>
            <w:pPr>
              <w:pStyle w:val="0"/>
              <w:jc w:val="center"/>
            </w:pPr>
            <w:r>
              <w:rPr>
                <w:sz w:val="20"/>
              </w:rPr>
              <w:t xml:space="preserve">88,9</w:t>
            </w:r>
          </w:p>
        </w:tc>
        <w:tc>
          <w:tcPr>
            <w:tcW w:w="1054" w:type="dxa"/>
          </w:tcPr>
          <w:p>
            <w:pPr>
              <w:pStyle w:val="0"/>
              <w:jc w:val="center"/>
            </w:pPr>
            <w:r>
              <w:rPr>
                <w:sz w:val="20"/>
              </w:rPr>
              <w:t xml:space="preserve">88,9</w:t>
            </w:r>
          </w:p>
        </w:tc>
        <w:tc>
          <w:tcPr>
            <w:tcW w:w="1056" w:type="dxa"/>
          </w:tcPr>
          <w:p>
            <w:pPr>
              <w:pStyle w:val="0"/>
              <w:jc w:val="center"/>
            </w:pPr>
            <w:r>
              <w:rPr>
                <w:sz w:val="20"/>
              </w:rPr>
              <w:t xml:space="preserve">88,9</w:t>
            </w:r>
          </w:p>
        </w:tc>
        <w:tc>
          <w:tcPr>
            <w:tcW w:w="1056" w:type="dxa"/>
          </w:tcPr>
          <w:p>
            <w:pPr>
              <w:pStyle w:val="0"/>
              <w:jc w:val="center"/>
            </w:pPr>
            <w:r>
              <w:rPr>
                <w:sz w:val="20"/>
              </w:rPr>
              <w:t xml:space="preserve">88,9</w:t>
            </w:r>
          </w:p>
        </w:tc>
        <w:tc>
          <w:tcPr>
            <w:tcW w:w="1056" w:type="dxa"/>
          </w:tcPr>
          <w:p>
            <w:pPr>
              <w:pStyle w:val="0"/>
              <w:jc w:val="center"/>
            </w:pPr>
            <w:r>
              <w:rPr>
                <w:sz w:val="20"/>
              </w:rPr>
              <w:t xml:space="preserve">88,9</w:t>
            </w:r>
          </w:p>
        </w:tc>
        <w:tc>
          <w:tcPr>
            <w:tcW w:w="1056" w:type="dxa"/>
          </w:tcPr>
          <w:p>
            <w:pPr>
              <w:pStyle w:val="0"/>
              <w:jc w:val="center"/>
            </w:pPr>
            <w:r>
              <w:rPr>
                <w:sz w:val="20"/>
              </w:rPr>
              <w:t xml:space="preserve">88,9</w:t>
            </w:r>
          </w:p>
        </w:tc>
      </w:tr>
      <w:tr>
        <w:tc>
          <w:tcPr>
            <w:tcW w:w="1247" w:type="dxa"/>
          </w:tcPr>
          <w:p>
            <w:pPr>
              <w:pStyle w:val="0"/>
              <w:jc w:val="both"/>
            </w:pPr>
            <w:r>
              <w:rPr>
                <w:sz w:val="20"/>
              </w:rPr>
              <w:t xml:space="preserve">3.6</w:t>
            </w:r>
          </w:p>
        </w:tc>
        <w:tc>
          <w:tcPr>
            <w:tcW w:w="3969" w:type="dxa"/>
          </w:tcPr>
          <w:p>
            <w:pPr>
              <w:pStyle w:val="0"/>
              <w:jc w:val="both"/>
            </w:pPr>
            <w:r>
              <w:rPr>
                <w:sz w:val="20"/>
              </w:rPr>
              <w:t xml:space="preserve">Число абортов (на 1000 женщин в возрасте от 15 - 49 лет)</w:t>
            </w:r>
          </w:p>
        </w:tc>
        <w:tc>
          <w:tcPr>
            <w:tcW w:w="1531" w:type="dxa"/>
          </w:tcPr>
          <w:p>
            <w:pPr>
              <w:pStyle w:val="0"/>
              <w:jc w:val="both"/>
            </w:pPr>
            <w:r>
              <w:rPr>
                <w:sz w:val="20"/>
              </w:rPr>
              <w:t xml:space="preserve">единиц</w:t>
            </w:r>
          </w:p>
        </w:tc>
        <w:tc>
          <w:tcPr>
            <w:tcW w:w="1054" w:type="dxa"/>
          </w:tcPr>
          <w:p>
            <w:pPr>
              <w:pStyle w:val="0"/>
              <w:jc w:val="center"/>
            </w:pPr>
            <w:r>
              <w:rPr>
                <w:sz w:val="20"/>
              </w:rPr>
              <w:t xml:space="preserve">17,4</w:t>
            </w:r>
          </w:p>
        </w:tc>
        <w:tc>
          <w:tcPr>
            <w:tcW w:w="1054" w:type="dxa"/>
          </w:tcPr>
          <w:p>
            <w:pPr>
              <w:pStyle w:val="0"/>
              <w:jc w:val="center"/>
            </w:pPr>
            <w:r>
              <w:rPr>
                <w:sz w:val="20"/>
              </w:rPr>
              <w:t xml:space="preserve">17,0</w:t>
            </w:r>
          </w:p>
        </w:tc>
        <w:tc>
          <w:tcPr>
            <w:tcW w:w="1054" w:type="dxa"/>
          </w:tcPr>
          <w:p>
            <w:pPr>
              <w:pStyle w:val="0"/>
              <w:jc w:val="center"/>
            </w:pPr>
            <w:r>
              <w:rPr>
                <w:sz w:val="20"/>
              </w:rPr>
              <w:t xml:space="preserve">17,0</w:t>
            </w:r>
          </w:p>
        </w:tc>
        <w:tc>
          <w:tcPr>
            <w:tcW w:w="1054" w:type="dxa"/>
          </w:tcPr>
          <w:p>
            <w:pPr>
              <w:pStyle w:val="0"/>
              <w:jc w:val="center"/>
            </w:pPr>
            <w:r>
              <w:rPr>
                <w:sz w:val="20"/>
              </w:rPr>
              <w:t xml:space="preserve">17,0</w:t>
            </w:r>
          </w:p>
        </w:tc>
        <w:tc>
          <w:tcPr>
            <w:tcW w:w="1054" w:type="dxa"/>
          </w:tcPr>
          <w:p>
            <w:pPr>
              <w:pStyle w:val="0"/>
              <w:jc w:val="center"/>
            </w:pPr>
            <w:r>
              <w:rPr>
                <w:sz w:val="20"/>
              </w:rPr>
              <w:t xml:space="preserve">17,0</w:t>
            </w:r>
          </w:p>
        </w:tc>
        <w:tc>
          <w:tcPr>
            <w:tcW w:w="1054" w:type="dxa"/>
          </w:tcPr>
          <w:p>
            <w:pPr>
              <w:pStyle w:val="0"/>
              <w:jc w:val="center"/>
            </w:pPr>
            <w:r>
              <w:rPr>
                <w:sz w:val="20"/>
              </w:rPr>
              <w:t xml:space="preserve">17,0</w:t>
            </w:r>
          </w:p>
        </w:tc>
        <w:tc>
          <w:tcPr>
            <w:tcW w:w="1056" w:type="dxa"/>
          </w:tcPr>
          <w:p>
            <w:pPr>
              <w:pStyle w:val="0"/>
              <w:jc w:val="center"/>
            </w:pPr>
            <w:r>
              <w:rPr>
                <w:sz w:val="20"/>
              </w:rPr>
              <w:t xml:space="preserve">17,0</w:t>
            </w:r>
          </w:p>
        </w:tc>
        <w:tc>
          <w:tcPr>
            <w:tcW w:w="1056" w:type="dxa"/>
          </w:tcPr>
          <w:p>
            <w:pPr>
              <w:pStyle w:val="0"/>
              <w:jc w:val="center"/>
            </w:pPr>
            <w:r>
              <w:rPr>
                <w:sz w:val="20"/>
              </w:rPr>
              <w:t xml:space="preserve">17,0</w:t>
            </w:r>
          </w:p>
        </w:tc>
        <w:tc>
          <w:tcPr>
            <w:tcW w:w="1056" w:type="dxa"/>
          </w:tcPr>
          <w:p>
            <w:pPr>
              <w:pStyle w:val="0"/>
              <w:jc w:val="center"/>
            </w:pPr>
            <w:r>
              <w:rPr>
                <w:sz w:val="20"/>
              </w:rPr>
              <w:t xml:space="preserve">17,0</w:t>
            </w:r>
          </w:p>
        </w:tc>
        <w:tc>
          <w:tcPr>
            <w:tcW w:w="1056" w:type="dxa"/>
          </w:tcPr>
          <w:p>
            <w:pPr>
              <w:pStyle w:val="0"/>
              <w:jc w:val="center"/>
            </w:pPr>
            <w:r>
              <w:rPr>
                <w:sz w:val="20"/>
              </w:rPr>
              <w:t xml:space="preserve">17,0</w:t>
            </w:r>
          </w:p>
        </w:tc>
      </w:tr>
      <w:tr>
        <w:tc>
          <w:tcPr>
            <w:gridSpan w:val="13"/>
            <w:tcW w:w="17295" w:type="dxa"/>
          </w:tcPr>
          <w:p>
            <w:pPr>
              <w:pStyle w:val="0"/>
              <w:outlineLvl w:val="2"/>
              <w:jc w:val="center"/>
            </w:pPr>
            <w:r>
              <w:rPr>
                <w:sz w:val="20"/>
              </w:rPr>
              <w:t xml:space="preserve">Подпрограмма 4 "Развитие медицинской реабилитации"</w:t>
            </w:r>
          </w:p>
        </w:tc>
      </w:tr>
      <w:tr>
        <w:tc>
          <w:tcPr>
            <w:tcW w:w="1247" w:type="dxa"/>
          </w:tcPr>
          <w:p>
            <w:pPr>
              <w:pStyle w:val="0"/>
              <w:jc w:val="both"/>
            </w:pPr>
            <w:r>
              <w:rPr>
                <w:sz w:val="20"/>
              </w:rPr>
              <w:t xml:space="preserve">4.1</w:t>
            </w:r>
          </w:p>
        </w:tc>
        <w:tc>
          <w:tcPr>
            <w:tcW w:w="3969" w:type="dxa"/>
          </w:tcPr>
          <w:p>
            <w:pPr>
              <w:pStyle w:val="0"/>
              <w:jc w:val="both"/>
            </w:pPr>
            <w:r>
              <w:rPr>
                <w:sz w:val="20"/>
              </w:rPr>
              <w:t xml:space="preserve">Охват медицинской реабилитацией детей после оказания специализированной медицинской помощи</w:t>
            </w:r>
          </w:p>
        </w:tc>
        <w:tc>
          <w:tcPr>
            <w:tcW w:w="1531" w:type="dxa"/>
          </w:tcPr>
          <w:p>
            <w:pPr>
              <w:pStyle w:val="0"/>
              <w:jc w:val="both"/>
            </w:pPr>
            <w:r>
              <w:rPr>
                <w:sz w:val="20"/>
              </w:rPr>
              <w:t xml:space="preserve">%</w:t>
            </w:r>
          </w:p>
        </w:tc>
        <w:tc>
          <w:tcPr>
            <w:tcW w:w="1054" w:type="dxa"/>
          </w:tcPr>
          <w:p>
            <w:pPr>
              <w:pStyle w:val="0"/>
              <w:jc w:val="center"/>
            </w:pPr>
            <w:r>
              <w:rPr>
                <w:sz w:val="20"/>
              </w:rPr>
              <w:t xml:space="preserve">25,0</w:t>
            </w:r>
          </w:p>
        </w:tc>
        <w:tc>
          <w:tcPr>
            <w:tcW w:w="1054" w:type="dxa"/>
          </w:tcPr>
          <w:p>
            <w:pPr>
              <w:pStyle w:val="0"/>
              <w:jc w:val="center"/>
            </w:pPr>
            <w:r>
              <w:rPr>
                <w:sz w:val="20"/>
              </w:rPr>
              <w:t xml:space="preserve">25,0</w:t>
            </w:r>
          </w:p>
        </w:tc>
        <w:tc>
          <w:tcPr>
            <w:tcW w:w="1054" w:type="dxa"/>
          </w:tcPr>
          <w:p>
            <w:pPr>
              <w:pStyle w:val="0"/>
              <w:jc w:val="center"/>
            </w:pPr>
            <w:r>
              <w:rPr>
                <w:sz w:val="20"/>
              </w:rPr>
              <w:t xml:space="preserve">25,0</w:t>
            </w:r>
          </w:p>
        </w:tc>
        <w:tc>
          <w:tcPr>
            <w:tcW w:w="1054" w:type="dxa"/>
          </w:tcPr>
          <w:p>
            <w:pPr>
              <w:pStyle w:val="0"/>
              <w:jc w:val="center"/>
            </w:pPr>
            <w:r>
              <w:rPr>
                <w:sz w:val="20"/>
              </w:rPr>
              <w:t xml:space="preserve">25,0</w:t>
            </w:r>
          </w:p>
        </w:tc>
        <w:tc>
          <w:tcPr>
            <w:tcW w:w="1054" w:type="dxa"/>
          </w:tcPr>
          <w:p>
            <w:pPr>
              <w:pStyle w:val="0"/>
              <w:jc w:val="center"/>
            </w:pPr>
            <w:r>
              <w:rPr>
                <w:sz w:val="20"/>
              </w:rPr>
              <w:t xml:space="preserve">25,0</w:t>
            </w:r>
          </w:p>
        </w:tc>
        <w:tc>
          <w:tcPr>
            <w:tcW w:w="1054" w:type="dxa"/>
          </w:tcPr>
          <w:p>
            <w:pPr>
              <w:pStyle w:val="0"/>
              <w:jc w:val="center"/>
            </w:pPr>
            <w:r>
              <w:rPr>
                <w:sz w:val="20"/>
              </w:rPr>
              <w:t xml:space="preserve">25,0</w:t>
            </w:r>
          </w:p>
        </w:tc>
        <w:tc>
          <w:tcPr>
            <w:tcW w:w="1056" w:type="dxa"/>
          </w:tcPr>
          <w:p>
            <w:pPr>
              <w:pStyle w:val="0"/>
              <w:jc w:val="center"/>
            </w:pPr>
            <w:r>
              <w:rPr>
                <w:sz w:val="20"/>
              </w:rPr>
              <w:t xml:space="preserve">25,0</w:t>
            </w:r>
          </w:p>
        </w:tc>
        <w:tc>
          <w:tcPr>
            <w:tcW w:w="1056" w:type="dxa"/>
          </w:tcPr>
          <w:p>
            <w:pPr>
              <w:pStyle w:val="0"/>
              <w:jc w:val="center"/>
            </w:pPr>
            <w:r>
              <w:rPr>
                <w:sz w:val="20"/>
              </w:rPr>
              <w:t xml:space="preserve">25,0</w:t>
            </w:r>
          </w:p>
        </w:tc>
        <w:tc>
          <w:tcPr>
            <w:tcW w:w="1056" w:type="dxa"/>
          </w:tcPr>
          <w:p>
            <w:pPr>
              <w:pStyle w:val="0"/>
              <w:jc w:val="center"/>
            </w:pPr>
            <w:r>
              <w:rPr>
                <w:sz w:val="20"/>
              </w:rPr>
              <w:t xml:space="preserve">25,0</w:t>
            </w:r>
          </w:p>
        </w:tc>
        <w:tc>
          <w:tcPr>
            <w:tcW w:w="1056" w:type="dxa"/>
          </w:tcPr>
          <w:p>
            <w:pPr>
              <w:pStyle w:val="0"/>
              <w:jc w:val="center"/>
            </w:pPr>
            <w:r>
              <w:rPr>
                <w:sz w:val="20"/>
              </w:rPr>
              <w:t xml:space="preserve">25,0</w:t>
            </w:r>
          </w:p>
        </w:tc>
      </w:tr>
      <w:tr>
        <w:tc>
          <w:tcPr>
            <w:tcW w:w="1247" w:type="dxa"/>
          </w:tcPr>
          <w:p>
            <w:pPr>
              <w:pStyle w:val="0"/>
              <w:jc w:val="both"/>
            </w:pPr>
            <w:r>
              <w:rPr>
                <w:sz w:val="20"/>
              </w:rPr>
              <w:t xml:space="preserve">4.2</w:t>
            </w:r>
          </w:p>
        </w:tc>
        <w:tc>
          <w:tcPr>
            <w:tcW w:w="3969" w:type="dxa"/>
          </w:tcPr>
          <w:p>
            <w:pPr>
              <w:pStyle w:val="0"/>
              <w:jc w:val="both"/>
            </w:pPr>
            <w:r>
              <w:rPr>
                <w:sz w:val="20"/>
              </w:rPr>
              <w:t xml:space="preserve">Охват медицинской реабилитацией детей-инвалидов из числа нуждающихся</w:t>
            </w:r>
          </w:p>
        </w:tc>
        <w:tc>
          <w:tcPr>
            <w:tcW w:w="1531" w:type="dxa"/>
          </w:tcPr>
          <w:p>
            <w:pPr>
              <w:pStyle w:val="0"/>
              <w:jc w:val="both"/>
            </w:pPr>
            <w:r>
              <w:rPr>
                <w:sz w:val="20"/>
              </w:rPr>
              <w:t xml:space="preserve">%</w:t>
            </w:r>
          </w:p>
        </w:tc>
        <w:tc>
          <w:tcPr>
            <w:tcW w:w="1054" w:type="dxa"/>
          </w:tcPr>
          <w:p>
            <w:pPr>
              <w:pStyle w:val="0"/>
              <w:jc w:val="center"/>
            </w:pPr>
            <w:r>
              <w:rPr>
                <w:sz w:val="20"/>
              </w:rPr>
              <w:t xml:space="preserve">79,0</w:t>
            </w:r>
          </w:p>
        </w:tc>
        <w:tc>
          <w:tcPr>
            <w:tcW w:w="1054" w:type="dxa"/>
          </w:tcPr>
          <w:p>
            <w:pPr>
              <w:pStyle w:val="0"/>
              <w:jc w:val="center"/>
            </w:pPr>
            <w:r>
              <w:rPr>
                <w:sz w:val="20"/>
              </w:rPr>
              <w:t xml:space="preserve">85,0</w:t>
            </w:r>
          </w:p>
        </w:tc>
        <w:tc>
          <w:tcPr>
            <w:tcW w:w="1054" w:type="dxa"/>
          </w:tcPr>
          <w:p>
            <w:pPr>
              <w:pStyle w:val="0"/>
              <w:jc w:val="center"/>
            </w:pPr>
            <w:r>
              <w:rPr>
                <w:sz w:val="20"/>
              </w:rPr>
              <w:t xml:space="preserve">85,0</w:t>
            </w:r>
          </w:p>
        </w:tc>
        <w:tc>
          <w:tcPr>
            <w:tcW w:w="1054" w:type="dxa"/>
          </w:tcPr>
          <w:p>
            <w:pPr>
              <w:pStyle w:val="0"/>
              <w:jc w:val="center"/>
            </w:pPr>
            <w:r>
              <w:rPr>
                <w:sz w:val="20"/>
              </w:rPr>
              <w:t xml:space="preserve">85,0</w:t>
            </w:r>
          </w:p>
        </w:tc>
        <w:tc>
          <w:tcPr>
            <w:tcW w:w="1054" w:type="dxa"/>
          </w:tcPr>
          <w:p>
            <w:pPr>
              <w:pStyle w:val="0"/>
              <w:jc w:val="center"/>
            </w:pPr>
            <w:r>
              <w:rPr>
                <w:sz w:val="20"/>
              </w:rPr>
              <w:t xml:space="preserve">85,0</w:t>
            </w:r>
          </w:p>
        </w:tc>
        <w:tc>
          <w:tcPr>
            <w:tcW w:w="1054" w:type="dxa"/>
          </w:tcPr>
          <w:p>
            <w:pPr>
              <w:pStyle w:val="0"/>
              <w:jc w:val="center"/>
            </w:pPr>
            <w:r>
              <w:rPr>
                <w:sz w:val="20"/>
              </w:rPr>
              <w:t xml:space="preserve">85,0</w:t>
            </w:r>
          </w:p>
        </w:tc>
        <w:tc>
          <w:tcPr>
            <w:tcW w:w="1056" w:type="dxa"/>
          </w:tcPr>
          <w:p>
            <w:pPr>
              <w:pStyle w:val="0"/>
              <w:jc w:val="center"/>
            </w:pPr>
            <w:r>
              <w:rPr>
                <w:sz w:val="20"/>
              </w:rPr>
              <w:t xml:space="preserve">85,0</w:t>
            </w:r>
          </w:p>
        </w:tc>
        <w:tc>
          <w:tcPr>
            <w:tcW w:w="1056" w:type="dxa"/>
          </w:tcPr>
          <w:p>
            <w:pPr>
              <w:pStyle w:val="0"/>
              <w:jc w:val="center"/>
            </w:pPr>
            <w:r>
              <w:rPr>
                <w:sz w:val="20"/>
              </w:rPr>
              <w:t xml:space="preserve">85,0</w:t>
            </w:r>
          </w:p>
        </w:tc>
        <w:tc>
          <w:tcPr>
            <w:tcW w:w="1056" w:type="dxa"/>
          </w:tcPr>
          <w:p>
            <w:pPr>
              <w:pStyle w:val="0"/>
              <w:jc w:val="center"/>
            </w:pPr>
            <w:r>
              <w:rPr>
                <w:sz w:val="20"/>
              </w:rPr>
              <w:t xml:space="preserve">85,0</w:t>
            </w:r>
          </w:p>
        </w:tc>
        <w:tc>
          <w:tcPr>
            <w:tcW w:w="1056" w:type="dxa"/>
          </w:tcPr>
          <w:p>
            <w:pPr>
              <w:pStyle w:val="0"/>
              <w:jc w:val="center"/>
            </w:pPr>
            <w:r>
              <w:rPr>
                <w:sz w:val="20"/>
              </w:rPr>
              <w:t xml:space="preserve">85,0</w:t>
            </w:r>
          </w:p>
        </w:tc>
      </w:tr>
      <w:tr>
        <w:tc>
          <w:tcPr>
            <w:tcW w:w="1247" w:type="dxa"/>
          </w:tcPr>
          <w:p>
            <w:pPr>
              <w:pStyle w:val="0"/>
              <w:jc w:val="both"/>
            </w:pPr>
            <w:r>
              <w:rPr>
                <w:sz w:val="20"/>
              </w:rPr>
              <w:t xml:space="preserve">4.3</w:t>
            </w:r>
          </w:p>
        </w:tc>
        <w:tc>
          <w:tcPr>
            <w:tcW w:w="3969" w:type="dxa"/>
          </w:tcPr>
          <w:p>
            <w:pPr>
              <w:pStyle w:val="0"/>
              <w:jc w:val="both"/>
            </w:pPr>
            <w:r>
              <w:rPr>
                <w:sz w:val="20"/>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w:t>
            </w:r>
          </w:p>
        </w:tc>
        <w:tc>
          <w:tcPr>
            <w:tcW w:w="1531" w:type="dxa"/>
          </w:tcPr>
          <w:p>
            <w:pPr>
              <w:pStyle w:val="0"/>
              <w:jc w:val="both"/>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95</w:t>
            </w:r>
          </w:p>
        </w:tc>
        <w:tc>
          <w:tcPr>
            <w:tcW w:w="1054" w:type="dxa"/>
          </w:tcPr>
          <w:p>
            <w:pPr>
              <w:pStyle w:val="0"/>
              <w:jc w:val="center"/>
            </w:pPr>
            <w:r>
              <w:rPr>
                <w:sz w:val="20"/>
              </w:rPr>
              <w:t xml:space="preserve">95</w:t>
            </w:r>
          </w:p>
        </w:tc>
        <w:tc>
          <w:tcPr>
            <w:tcW w:w="1054" w:type="dxa"/>
          </w:tcPr>
          <w:p>
            <w:pPr>
              <w:pStyle w:val="0"/>
              <w:jc w:val="center"/>
            </w:pPr>
            <w:r>
              <w:rPr>
                <w:sz w:val="20"/>
              </w:rPr>
              <w:t xml:space="preserve">95</w:t>
            </w:r>
          </w:p>
        </w:tc>
        <w:tc>
          <w:tcPr>
            <w:tcW w:w="1054" w:type="dxa"/>
          </w:tcPr>
          <w:p>
            <w:pPr>
              <w:pStyle w:val="0"/>
              <w:jc w:val="center"/>
            </w:pPr>
            <w:r>
              <w:rPr>
                <w:sz w:val="20"/>
              </w:rPr>
              <w:t xml:space="preserve">95</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4.4</w:t>
            </w:r>
          </w:p>
        </w:tc>
        <w:tc>
          <w:tcPr>
            <w:tcW w:w="3969" w:type="dxa"/>
          </w:tcPr>
          <w:p>
            <w:pPr>
              <w:pStyle w:val="0"/>
              <w:jc w:val="both"/>
            </w:pPr>
            <w:r>
              <w:rPr>
                <w:sz w:val="20"/>
              </w:rPr>
              <w:t xml:space="preserve">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w:t>
            </w:r>
          </w:p>
        </w:tc>
        <w:tc>
          <w:tcPr>
            <w:tcW w:w="1531" w:type="dxa"/>
          </w:tcPr>
          <w:p>
            <w:pPr>
              <w:pStyle w:val="0"/>
              <w:jc w:val="both"/>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34,5</w:t>
            </w:r>
          </w:p>
        </w:tc>
        <w:tc>
          <w:tcPr>
            <w:tcW w:w="1054" w:type="dxa"/>
          </w:tcPr>
          <w:p>
            <w:pPr>
              <w:pStyle w:val="0"/>
              <w:jc w:val="center"/>
            </w:pPr>
            <w:r>
              <w:rPr>
                <w:sz w:val="20"/>
              </w:rPr>
              <w:t xml:space="preserve">35,0</w:t>
            </w:r>
          </w:p>
        </w:tc>
        <w:tc>
          <w:tcPr>
            <w:tcW w:w="1054" w:type="dxa"/>
          </w:tcPr>
          <w:p>
            <w:pPr>
              <w:pStyle w:val="0"/>
              <w:jc w:val="center"/>
            </w:pPr>
            <w:r>
              <w:rPr>
                <w:sz w:val="20"/>
              </w:rPr>
              <w:t xml:space="preserve">35,0</w:t>
            </w:r>
          </w:p>
        </w:tc>
        <w:tc>
          <w:tcPr>
            <w:tcW w:w="1054" w:type="dxa"/>
          </w:tcPr>
          <w:p>
            <w:pPr>
              <w:pStyle w:val="0"/>
              <w:jc w:val="center"/>
            </w:pPr>
            <w:r>
              <w:rPr>
                <w:sz w:val="20"/>
              </w:rPr>
              <w:t xml:space="preserve">35,0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4.5</w:t>
            </w:r>
          </w:p>
        </w:tc>
        <w:tc>
          <w:tcPr>
            <w:tcW w:w="3969" w:type="dxa"/>
          </w:tcPr>
          <w:p>
            <w:pPr>
              <w:pStyle w:val="0"/>
              <w:jc w:val="both"/>
            </w:pPr>
            <w:r>
              <w:rPr>
                <w:sz w:val="20"/>
              </w:rPr>
              <w:t xml:space="preserve">Доля оснащенных современным медицинским оборудованием медицинских организаций, осуществляющих медицинскую реабилитацию</w:t>
            </w:r>
          </w:p>
        </w:tc>
        <w:tc>
          <w:tcPr>
            <w:tcW w:w="1531" w:type="dxa"/>
          </w:tcPr>
          <w:p>
            <w:pPr>
              <w:pStyle w:val="0"/>
              <w:jc w:val="both"/>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32</w:t>
            </w:r>
          </w:p>
        </w:tc>
        <w:tc>
          <w:tcPr>
            <w:tcW w:w="1054" w:type="dxa"/>
          </w:tcPr>
          <w:p>
            <w:pPr>
              <w:pStyle w:val="0"/>
              <w:jc w:val="center"/>
            </w:pPr>
            <w:r>
              <w:rPr>
                <w:sz w:val="20"/>
              </w:rPr>
              <w:t xml:space="preserve">64</w:t>
            </w:r>
          </w:p>
        </w:tc>
        <w:tc>
          <w:tcPr>
            <w:tcW w:w="1054" w:type="dxa"/>
          </w:tcPr>
          <w:p>
            <w:pPr>
              <w:pStyle w:val="0"/>
              <w:jc w:val="center"/>
            </w:pPr>
            <w:r>
              <w:rPr>
                <w:sz w:val="20"/>
              </w:rPr>
              <w:t xml:space="preserve">90</w:t>
            </w:r>
          </w:p>
        </w:tc>
        <w:tc>
          <w:tcPr>
            <w:tcW w:w="1054" w:type="dxa"/>
          </w:tcPr>
          <w:p>
            <w:pPr>
              <w:pStyle w:val="0"/>
              <w:jc w:val="center"/>
            </w:pPr>
            <w:r>
              <w:rPr>
                <w:sz w:val="20"/>
              </w:rPr>
              <w:t xml:space="preserve">90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4.6</w:t>
            </w:r>
          </w:p>
        </w:tc>
        <w:tc>
          <w:tcPr>
            <w:tcW w:w="3969" w:type="dxa"/>
          </w:tcPr>
          <w:p>
            <w:pPr>
              <w:pStyle w:val="0"/>
              <w:jc w:val="both"/>
            </w:pPr>
            <w:r>
              <w:rPr>
                <w:sz w:val="20"/>
              </w:rPr>
              <w:t xml:space="preserve">Охват граждан информацией о возможностях медицинской реабилитации в личном кабинете "Мое здоровье" на Едином портале государственных и муниципальных услуг (функций)</w:t>
            </w:r>
          </w:p>
        </w:tc>
        <w:tc>
          <w:tcPr>
            <w:tcW w:w="1531" w:type="dxa"/>
          </w:tcPr>
          <w:p>
            <w:pPr>
              <w:pStyle w:val="0"/>
              <w:jc w:val="both"/>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35</w:t>
            </w:r>
          </w:p>
        </w:tc>
        <w:tc>
          <w:tcPr>
            <w:tcW w:w="1054" w:type="dxa"/>
          </w:tcPr>
          <w:p>
            <w:pPr>
              <w:pStyle w:val="0"/>
              <w:jc w:val="center"/>
            </w:pPr>
            <w:r>
              <w:rPr>
                <w:sz w:val="20"/>
              </w:rPr>
              <w:t xml:space="preserve">54</w:t>
            </w:r>
          </w:p>
        </w:tc>
        <w:tc>
          <w:tcPr>
            <w:tcW w:w="1054" w:type="dxa"/>
          </w:tcPr>
          <w:p>
            <w:pPr>
              <w:pStyle w:val="0"/>
              <w:jc w:val="center"/>
            </w:pPr>
            <w:r>
              <w:rPr>
                <w:sz w:val="20"/>
              </w:rPr>
              <w:t xml:space="preserve">60</w:t>
            </w:r>
          </w:p>
        </w:tc>
        <w:tc>
          <w:tcPr>
            <w:tcW w:w="1054" w:type="dxa"/>
          </w:tcPr>
          <w:p>
            <w:pPr>
              <w:pStyle w:val="0"/>
              <w:jc w:val="center"/>
            </w:pPr>
            <w:r>
              <w:rPr>
                <w:sz w:val="20"/>
              </w:rPr>
              <w:t xml:space="preserve">60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gridSpan w:val="13"/>
            <w:tcW w:w="17295" w:type="dxa"/>
          </w:tcPr>
          <w:p>
            <w:pPr>
              <w:pStyle w:val="0"/>
              <w:outlineLvl w:val="2"/>
              <w:jc w:val="center"/>
            </w:pPr>
            <w:r>
              <w:rPr>
                <w:sz w:val="20"/>
              </w:rPr>
              <w:t xml:space="preserve">Подпрограмма 5 "Экспертиза и контрольно-надзорные функции в сфере здравоохранения"</w:t>
            </w:r>
          </w:p>
        </w:tc>
      </w:tr>
      <w:tr>
        <w:tc>
          <w:tcPr>
            <w:tcW w:w="1247" w:type="dxa"/>
          </w:tcPr>
          <w:p>
            <w:pPr>
              <w:pStyle w:val="0"/>
              <w:jc w:val="both"/>
            </w:pPr>
            <w:r>
              <w:rPr>
                <w:sz w:val="20"/>
              </w:rPr>
              <w:t xml:space="preserve">5.1</w:t>
            </w:r>
          </w:p>
        </w:tc>
        <w:tc>
          <w:tcPr>
            <w:tcW w:w="3969" w:type="dxa"/>
          </w:tcPr>
          <w:p>
            <w:pPr>
              <w:pStyle w:val="0"/>
              <w:jc w:val="both"/>
            </w:pPr>
            <w:r>
              <w:rPr>
                <w:sz w:val="20"/>
              </w:rPr>
              <w:t xml:space="preserve">Доля оснащения ГБУЗС "Севастопольское городское бюро судебно-медицинской экспертизы" оборудованием согласно требованиям законодательства</w:t>
            </w:r>
          </w:p>
        </w:tc>
        <w:tc>
          <w:tcPr>
            <w:tcW w:w="1531" w:type="dxa"/>
          </w:tcPr>
          <w:p>
            <w:pPr>
              <w:pStyle w:val="0"/>
              <w:jc w:val="both"/>
            </w:pPr>
            <w:r>
              <w:rPr>
                <w:sz w:val="20"/>
              </w:rPr>
              <w:t xml:space="preserve">%</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r>
      <w:tr>
        <w:tc>
          <w:tcPr>
            <w:gridSpan w:val="13"/>
            <w:tcW w:w="17295" w:type="dxa"/>
          </w:tcPr>
          <w:p>
            <w:pPr>
              <w:pStyle w:val="0"/>
              <w:outlineLvl w:val="2"/>
              <w:jc w:val="center"/>
            </w:pPr>
            <w:r>
              <w:rPr>
                <w:sz w:val="20"/>
              </w:rPr>
              <w:t xml:space="preserve">Подпрограмма 6 "Развитие информатизации и обеспечение комплексной безопасности объектов здравоохранения"</w:t>
            </w:r>
          </w:p>
        </w:tc>
      </w:tr>
      <w:tr>
        <w:tc>
          <w:tcPr>
            <w:tcW w:w="1247" w:type="dxa"/>
          </w:tcPr>
          <w:p>
            <w:pPr>
              <w:pStyle w:val="0"/>
              <w:jc w:val="both"/>
            </w:pPr>
            <w:r>
              <w:rPr>
                <w:sz w:val="20"/>
              </w:rPr>
              <w:t xml:space="preserve">6.1</w:t>
            </w:r>
          </w:p>
        </w:tc>
        <w:tc>
          <w:tcPr>
            <w:tcW w:w="3969" w:type="dxa"/>
          </w:tcPr>
          <w:p>
            <w:pPr>
              <w:pStyle w:val="0"/>
              <w:jc w:val="both"/>
            </w:pPr>
            <w:r>
              <w:rPr>
                <w:sz w:val="20"/>
              </w:rPr>
              <w:t xml:space="preserve">Доля отчетной медицинской документации, представленной в электронном виде в соответствии с едиными стандартами</w:t>
            </w:r>
          </w:p>
        </w:tc>
        <w:tc>
          <w:tcPr>
            <w:tcW w:w="1531" w:type="dxa"/>
          </w:tcPr>
          <w:p>
            <w:pPr>
              <w:pStyle w:val="0"/>
              <w:jc w:val="both"/>
            </w:pPr>
            <w:r>
              <w:rPr>
                <w:sz w:val="20"/>
              </w:rPr>
              <w:t xml:space="preserve">%</w:t>
            </w:r>
          </w:p>
        </w:tc>
        <w:tc>
          <w:tcPr>
            <w:tcW w:w="1054" w:type="dxa"/>
          </w:tcPr>
          <w:p>
            <w:pPr>
              <w:pStyle w:val="0"/>
              <w:jc w:val="center"/>
            </w:pPr>
            <w:r>
              <w:rPr>
                <w:sz w:val="20"/>
              </w:rPr>
              <w:t xml:space="preserve">95,0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r>
      <w:tr>
        <w:tc>
          <w:tcPr>
            <w:tcW w:w="1247" w:type="dxa"/>
          </w:tcPr>
          <w:p>
            <w:pPr>
              <w:pStyle w:val="0"/>
              <w:jc w:val="both"/>
            </w:pPr>
            <w:r>
              <w:rPr>
                <w:sz w:val="20"/>
              </w:rPr>
              <w:t xml:space="preserve">6.2</w:t>
            </w:r>
          </w:p>
        </w:tc>
        <w:tc>
          <w:tcPr>
            <w:tcW w:w="3969" w:type="dxa"/>
          </w:tcPr>
          <w:p>
            <w:pPr>
              <w:pStyle w:val="0"/>
              <w:jc w:val="both"/>
            </w:pPr>
            <w:r>
              <w:rPr>
                <w:sz w:val="20"/>
              </w:rPr>
              <w:t xml:space="preserve">Обеспеченность государственных учреждений здравоохранения системами комплексной безопасности</w:t>
            </w:r>
          </w:p>
        </w:tc>
        <w:tc>
          <w:tcPr>
            <w:tcW w:w="1531" w:type="dxa"/>
          </w:tcPr>
          <w:p>
            <w:pPr>
              <w:pStyle w:val="0"/>
              <w:jc w:val="both"/>
            </w:pPr>
            <w:r>
              <w:rPr>
                <w:sz w:val="20"/>
              </w:rPr>
              <w:t xml:space="preserve">%</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4"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c>
          <w:tcPr>
            <w:tcW w:w="1056" w:type="dxa"/>
          </w:tcPr>
          <w:p>
            <w:pPr>
              <w:pStyle w:val="0"/>
              <w:jc w:val="center"/>
            </w:pPr>
            <w:r>
              <w:rPr>
                <w:sz w:val="20"/>
              </w:rPr>
              <w:t xml:space="preserve">100,0</w:t>
            </w:r>
          </w:p>
        </w:tc>
      </w:tr>
      <w:tr>
        <w:tc>
          <w:tcPr>
            <w:gridSpan w:val="13"/>
            <w:tcW w:w="17295" w:type="dxa"/>
          </w:tcPr>
          <w:p>
            <w:pPr>
              <w:pStyle w:val="0"/>
              <w:outlineLvl w:val="2"/>
              <w:jc w:val="center"/>
            </w:pPr>
            <w:r>
              <w:rPr>
                <w:sz w:val="20"/>
              </w:rPr>
              <w:t xml:space="preserve">Подпрограмма 7 "Кадровое обеспечение системы здравоохранения"</w:t>
            </w:r>
          </w:p>
        </w:tc>
      </w:tr>
      <w:tr>
        <w:tc>
          <w:tcPr>
            <w:tcW w:w="1247" w:type="dxa"/>
          </w:tcPr>
          <w:p>
            <w:pPr>
              <w:pStyle w:val="0"/>
              <w:jc w:val="both"/>
            </w:pPr>
            <w:r>
              <w:rPr>
                <w:sz w:val="20"/>
              </w:rPr>
              <w:t xml:space="preserve">7.1</w:t>
            </w:r>
          </w:p>
        </w:tc>
        <w:tc>
          <w:tcPr>
            <w:tcW w:w="3969" w:type="dxa"/>
          </w:tcPr>
          <w:p>
            <w:pPr>
              <w:pStyle w:val="0"/>
              <w:jc w:val="both"/>
            </w:pPr>
            <w:r>
              <w:rPr>
                <w:sz w:val="20"/>
              </w:rPr>
              <w:t xml:space="preserve">Доля медицинских и фармацевтических работников, обучавшихся в рамках целевой подготовки для нужд города Севастополя, трудоустроившихся после завершения обучения в медицинские или фармацевтические организации государственной и муниципальной систем здравоохранения города Севастополя</w:t>
            </w:r>
          </w:p>
        </w:tc>
        <w:tc>
          <w:tcPr>
            <w:tcW w:w="1531" w:type="dxa"/>
          </w:tcPr>
          <w:p>
            <w:pPr>
              <w:pStyle w:val="0"/>
              <w:jc w:val="both"/>
            </w:pPr>
            <w:r>
              <w:rPr>
                <w:sz w:val="20"/>
              </w:rPr>
              <w:t xml:space="preserve">%</w:t>
            </w:r>
          </w:p>
        </w:tc>
        <w:tc>
          <w:tcPr>
            <w:tcW w:w="1054" w:type="dxa"/>
          </w:tcPr>
          <w:p>
            <w:pPr>
              <w:pStyle w:val="0"/>
              <w:jc w:val="center"/>
            </w:pPr>
            <w:r>
              <w:rPr>
                <w:sz w:val="20"/>
              </w:rPr>
              <w:t xml:space="preserve">92,0</w:t>
            </w:r>
          </w:p>
        </w:tc>
        <w:tc>
          <w:tcPr>
            <w:tcW w:w="1054" w:type="dxa"/>
          </w:tcPr>
          <w:p>
            <w:pPr>
              <w:pStyle w:val="0"/>
              <w:jc w:val="center"/>
            </w:pPr>
            <w:r>
              <w:rPr>
                <w:sz w:val="20"/>
              </w:rPr>
              <w:t xml:space="preserve">96,0</w:t>
            </w:r>
          </w:p>
        </w:tc>
        <w:tc>
          <w:tcPr>
            <w:tcW w:w="1054" w:type="dxa"/>
          </w:tcPr>
          <w:p>
            <w:pPr>
              <w:pStyle w:val="0"/>
              <w:jc w:val="center"/>
            </w:pPr>
            <w:r>
              <w:rPr>
                <w:sz w:val="20"/>
              </w:rPr>
              <w:t xml:space="preserve">96,0</w:t>
            </w:r>
          </w:p>
        </w:tc>
        <w:tc>
          <w:tcPr>
            <w:tcW w:w="1054" w:type="dxa"/>
          </w:tcPr>
          <w:p>
            <w:pPr>
              <w:pStyle w:val="0"/>
              <w:jc w:val="center"/>
            </w:pPr>
            <w:r>
              <w:rPr>
                <w:sz w:val="20"/>
              </w:rPr>
              <w:t xml:space="preserve">96,0</w:t>
            </w:r>
          </w:p>
        </w:tc>
        <w:tc>
          <w:tcPr>
            <w:tcW w:w="1054" w:type="dxa"/>
          </w:tcPr>
          <w:p>
            <w:pPr>
              <w:pStyle w:val="0"/>
              <w:jc w:val="center"/>
            </w:pPr>
            <w:r>
              <w:rPr>
                <w:sz w:val="20"/>
              </w:rPr>
              <w:t xml:space="preserve">96,0</w:t>
            </w:r>
          </w:p>
        </w:tc>
        <w:tc>
          <w:tcPr>
            <w:tcW w:w="1054" w:type="dxa"/>
          </w:tcPr>
          <w:p>
            <w:pPr>
              <w:pStyle w:val="0"/>
              <w:jc w:val="center"/>
            </w:pPr>
            <w:r>
              <w:rPr>
                <w:sz w:val="20"/>
              </w:rPr>
              <w:t xml:space="preserve">96,0</w:t>
            </w:r>
          </w:p>
        </w:tc>
        <w:tc>
          <w:tcPr>
            <w:tcW w:w="1056" w:type="dxa"/>
          </w:tcPr>
          <w:p>
            <w:pPr>
              <w:pStyle w:val="0"/>
              <w:jc w:val="center"/>
            </w:pPr>
            <w:r>
              <w:rPr>
                <w:sz w:val="20"/>
              </w:rPr>
              <w:t xml:space="preserve">96,0</w:t>
            </w:r>
          </w:p>
        </w:tc>
        <w:tc>
          <w:tcPr>
            <w:tcW w:w="1056" w:type="dxa"/>
          </w:tcPr>
          <w:p>
            <w:pPr>
              <w:pStyle w:val="0"/>
              <w:jc w:val="center"/>
            </w:pPr>
            <w:r>
              <w:rPr>
                <w:sz w:val="20"/>
              </w:rPr>
              <w:t xml:space="preserve">96,0</w:t>
            </w:r>
          </w:p>
        </w:tc>
        <w:tc>
          <w:tcPr>
            <w:tcW w:w="1056" w:type="dxa"/>
          </w:tcPr>
          <w:p>
            <w:pPr>
              <w:pStyle w:val="0"/>
              <w:jc w:val="center"/>
            </w:pPr>
            <w:r>
              <w:rPr>
                <w:sz w:val="20"/>
              </w:rPr>
              <w:t xml:space="preserve">96,0</w:t>
            </w:r>
          </w:p>
        </w:tc>
        <w:tc>
          <w:tcPr>
            <w:tcW w:w="1056" w:type="dxa"/>
          </w:tcPr>
          <w:p>
            <w:pPr>
              <w:pStyle w:val="0"/>
              <w:jc w:val="center"/>
            </w:pPr>
            <w:r>
              <w:rPr>
                <w:sz w:val="20"/>
              </w:rPr>
              <w:t xml:space="preserve">96,0</w:t>
            </w:r>
          </w:p>
        </w:tc>
      </w:tr>
      <w:tr>
        <w:tc>
          <w:tcPr>
            <w:tcW w:w="1247" w:type="dxa"/>
          </w:tcPr>
          <w:p>
            <w:pPr>
              <w:pStyle w:val="0"/>
              <w:jc w:val="both"/>
            </w:pPr>
            <w:r>
              <w:rPr>
                <w:sz w:val="20"/>
              </w:rPr>
              <w:t xml:space="preserve">7.2</w:t>
            </w:r>
          </w:p>
        </w:tc>
        <w:tc>
          <w:tcPr>
            <w:tcW w:w="3969" w:type="dxa"/>
          </w:tcPr>
          <w:p>
            <w:pPr>
              <w:pStyle w:val="0"/>
              <w:jc w:val="both"/>
            </w:pPr>
            <w:r>
              <w:rPr>
                <w:sz w:val="20"/>
              </w:rPr>
              <w:t xml:space="preserve">Отношение среднемесячной номинальной начисленной заработной платы работников государственных (муниципальных) учреждений здравоохранения к среднемесячной номинальной заработной плате работников, занятых в сфере экономики региона</w:t>
            </w:r>
          </w:p>
        </w:tc>
        <w:tc>
          <w:tcPr>
            <w:tcW w:w="1531" w:type="dxa"/>
          </w:tcPr>
          <w:p>
            <w:pPr>
              <w:pStyle w:val="0"/>
              <w:jc w:val="both"/>
            </w:pPr>
            <w:r>
              <w:rPr>
                <w:sz w:val="20"/>
              </w:rPr>
              <w:t xml:space="preserve">%</w:t>
            </w:r>
          </w:p>
        </w:tc>
        <w:tc>
          <w:tcPr>
            <w:tcW w:w="1054" w:type="dxa"/>
          </w:tcPr>
          <w:p>
            <w:pPr>
              <w:pStyle w:val="0"/>
              <w:jc w:val="center"/>
            </w:pPr>
            <w:r>
              <w:rPr>
                <w:sz w:val="20"/>
              </w:rPr>
              <w:t xml:space="preserve">115,5</w:t>
            </w:r>
          </w:p>
        </w:tc>
        <w:tc>
          <w:tcPr>
            <w:tcW w:w="1054" w:type="dxa"/>
          </w:tcPr>
          <w:p>
            <w:pPr>
              <w:pStyle w:val="0"/>
              <w:jc w:val="center"/>
            </w:pPr>
            <w:r>
              <w:rPr>
                <w:sz w:val="20"/>
              </w:rPr>
              <w:t xml:space="preserve">116,0</w:t>
            </w:r>
          </w:p>
        </w:tc>
        <w:tc>
          <w:tcPr>
            <w:tcW w:w="1054" w:type="dxa"/>
          </w:tcPr>
          <w:p>
            <w:pPr>
              <w:pStyle w:val="0"/>
              <w:jc w:val="center"/>
            </w:pPr>
            <w:r>
              <w:rPr>
                <w:sz w:val="20"/>
              </w:rPr>
              <w:t xml:space="preserve">116,0</w:t>
            </w:r>
          </w:p>
        </w:tc>
        <w:tc>
          <w:tcPr>
            <w:tcW w:w="1054" w:type="dxa"/>
          </w:tcPr>
          <w:p>
            <w:pPr>
              <w:pStyle w:val="0"/>
              <w:jc w:val="center"/>
            </w:pPr>
            <w:r>
              <w:rPr>
                <w:sz w:val="20"/>
              </w:rPr>
              <w:t xml:space="preserve">116,0</w:t>
            </w:r>
          </w:p>
        </w:tc>
        <w:tc>
          <w:tcPr>
            <w:tcW w:w="1054" w:type="dxa"/>
          </w:tcPr>
          <w:p>
            <w:pPr>
              <w:pStyle w:val="0"/>
              <w:jc w:val="center"/>
            </w:pPr>
            <w:r>
              <w:rPr>
                <w:sz w:val="20"/>
              </w:rPr>
              <w:t xml:space="preserve">116,0</w:t>
            </w:r>
          </w:p>
        </w:tc>
        <w:tc>
          <w:tcPr>
            <w:tcW w:w="1054" w:type="dxa"/>
          </w:tcPr>
          <w:p>
            <w:pPr>
              <w:pStyle w:val="0"/>
              <w:jc w:val="center"/>
            </w:pPr>
            <w:r>
              <w:rPr>
                <w:sz w:val="20"/>
              </w:rPr>
              <w:t xml:space="preserve">116,0</w:t>
            </w:r>
          </w:p>
        </w:tc>
        <w:tc>
          <w:tcPr>
            <w:tcW w:w="1056" w:type="dxa"/>
          </w:tcPr>
          <w:p>
            <w:pPr>
              <w:pStyle w:val="0"/>
              <w:jc w:val="center"/>
            </w:pPr>
            <w:r>
              <w:rPr>
                <w:sz w:val="20"/>
              </w:rPr>
              <w:t xml:space="preserve">116,0</w:t>
            </w:r>
          </w:p>
        </w:tc>
        <w:tc>
          <w:tcPr>
            <w:tcW w:w="1056" w:type="dxa"/>
          </w:tcPr>
          <w:p>
            <w:pPr>
              <w:pStyle w:val="0"/>
              <w:jc w:val="center"/>
            </w:pPr>
            <w:r>
              <w:rPr>
                <w:sz w:val="20"/>
              </w:rPr>
              <w:t xml:space="preserve">116,0</w:t>
            </w:r>
          </w:p>
        </w:tc>
        <w:tc>
          <w:tcPr>
            <w:tcW w:w="1056" w:type="dxa"/>
          </w:tcPr>
          <w:p>
            <w:pPr>
              <w:pStyle w:val="0"/>
              <w:jc w:val="center"/>
            </w:pPr>
            <w:r>
              <w:rPr>
                <w:sz w:val="20"/>
              </w:rPr>
              <w:t xml:space="preserve">116,0</w:t>
            </w:r>
          </w:p>
        </w:tc>
        <w:tc>
          <w:tcPr>
            <w:tcW w:w="1056" w:type="dxa"/>
          </w:tcPr>
          <w:p>
            <w:pPr>
              <w:pStyle w:val="0"/>
              <w:jc w:val="center"/>
            </w:pPr>
            <w:r>
              <w:rPr>
                <w:sz w:val="20"/>
              </w:rPr>
              <w:t xml:space="preserve">116,0</w:t>
            </w:r>
          </w:p>
        </w:tc>
      </w:tr>
      <w:tr>
        <w:tc>
          <w:tcPr>
            <w:tcW w:w="1247" w:type="dxa"/>
          </w:tcPr>
          <w:p>
            <w:pPr>
              <w:pStyle w:val="0"/>
              <w:jc w:val="both"/>
            </w:pPr>
            <w:r>
              <w:rPr>
                <w:sz w:val="20"/>
              </w:rPr>
              <w:t xml:space="preserve">7.3</w:t>
            </w:r>
          </w:p>
        </w:tc>
        <w:tc>
          <w:tcPr>
            <w:tcW w:w="3969" w:type="dxa"/>
          </w:tcPr>
          <w:p>
            <w:pPr>
              <w:pStyle w:val="0"/>
              <w:jc w:val="both"/>
            </w:pPr>
            <w:r>
              <w:rPr>
                <w:sz w:val="20"/>
              </w:rPr>
              <w:t xml:space="preserve">Численность врачей, работающих в государственных медицинских организациях города Севастополя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1591</w:t>
            </w:r>
          </w:p>
        </w:tc>
        <w:tc>
          <w:tcPr>
            <w:tcW w:w="1054" w:type="dxa"/>
          </w:tcPr>
          <w:p>
            <w:pPr>
              <w:pStyle w:val="0"/>
              <w:jc w:val="center"/>
            </w:pPr>
            <w:r>
              <w:rPr>
                <w:sz w:val="20"/>
              </w:rPr>
              <w:t xml:space="preserve">1618</w:t>
            </w:r>
          </w:p>
        </w:tc>
        <w:tc>
          <w:tcPr>
            <w:tcW w:w="1054" w:type="dxa"/>
          </w:tcPr>
          <w:p>
            <w:pPr>
              <w:pStyle w:val="0"/>
              <w:jc w:val="center"/>
            </w:pPr>
            <w:r>
              <w:rPr>
                <w:sz w:val="20"/>
              </w:rPr>
              <w:t xml:space="preserve">1646</w:t>
            </w:r>
          </w:p>
        </w:tc>
        <w:tc>
          <w:tcPr>
            <w:tcW w:w="1054" w:type="dxa"/>
          </w:tcPr>
          <w:p>
            <w:pPr>
              <w:pStyle w:val="0"/>
              <w:jc w:val="center"/>
            </w:pPr>
            <w:r>
              <w:rPr>
                <w:sz w:val="20"/>
              </w:rPr>
              <w:t xml:space="preserve">1673</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7.4</w:t>
            </w:r>
          </w:p>
        </w:tc>
        <w:tc>
          <w:tcPr>
            <w:tcW w:w="3969" w:type="dxa"/>
          </w:tcPr>
          <w:p>
            <w:pPr>
              <w:pStyle w:val="0"/>
              <w:jc w:val="both"/>
            </w:pPr>
            <w:r>
              <w:rPr>
                <w:sz w:val="20"/>
              </w:rPr>
              <w:t xml:space="preserve">Численность средних медицинских работников, работающих в государственных медицинских организациях города Севастополя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3435</w:t>
            </w:r>
          </w:p>
        </w:tc>
        <w:tc>
          <w:tcPr>
            <w:tcW w:w="1054" w:type="dxa"/>
          </w:tcPr>
          <w:p>
            <w:pPr>
              <w:pStyle w:val="0"/>
              <w:jc w:val="center"/>
            </w:pPr>
            <w:r>
              <w:rPr>
                <w:sz w:val="20"/>
              </w:rPr>
              <w:t xml:space="preserve">3523</w:t>
            </w:r>
          </w:p>
        </w:tc>
        <w:tc>
          <w:tcPr>
            <w:tcW w:w="1054" w:type="dxa"/>
          </w:tcPr>
          <w:p>
            <w:pPr>
              <w:pStyle w:val="0"/>
              <w:jc w:val="center"/>
            </w:pPr>
            <w:r>
              <w:rPr>
                <w:sz w:val="20"/>
              </w:rPr>
              <w:t xml:space="preserve">3571</w:t>
            </w:r>
          </w:p>
        </w:tc>
        <w:tc>
          <w:tcPr>
            <w:tcW w:w="1054" w:type="dxa"/>
          </w:tcPr>
          <w:p>
            <w:pPr>
              <w:pStyle w:val="0"/>
              <w:jc w:val="center"/>
            </w:pPr>
            <w:r>
              <w:rPr>
                <w:sz w:val="20"/>
              </w:rPr>
              <w:t xml:space="preserve">3619</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gridSpan w:val="13"/>
            <w:tcW w:w="17295" w:type="dxa"/>
          </w:tcPr>
          <w:p>
            <w:pPr>
              <w:pStyle w:val="0"/>
              <w:outlineLvl w:val="2"/>
              <w:jc w:val="center"/>
            </w:pPr>
            <w:r>
              <w:rPr>
                <w:sz w:val="20"/>
              </w:rPr>
              <w:t xml:space="preserve">Подпрограмма 8 "Реализация региональных проектов в рамках национальных проектов в сфере здравоохранения"</w:t>
            </w:r>
          </w:p>
        </w:tc>
      </w:tr>
      <w:tr>
        <w:tc>
          <w:tcPr>
            <w:tcW w:w="1247" w:type="dxa"/>
          </w:tcPr>
          <w:p>
            <w:pPr>
              <w:pStyle w:val="0"/>
              <w:jc w:val="both"/>
            </w:pPr>
            <w:r>
              <w:rPr>
                <w:sz w:val="20"/>
              </w:rPr>
              <w:t xml:space="preserve">8.1 &lt;1&gt;</w:t>
            </w:r>
          </w:p>
        </w:tc>
        <w:tc>
          <w:tcPr>
            <w:tcW w:w="3969" w:type="dxa"/>
          </w:tcPr>
          <w:p>
            <w:pPr>
              <w:pStyle w:val="0"/>
              <w:jc w:val="both"/>
            </w:pPr>
            <w:r>
              <w:rPr>
                <w:sz w:val="20"/>
              </w:rPr>
              <w:t xml:space="preserve">Младенческая смертность</w:t>
            </w:r>
          </w:p>
        </w:tc>
        <w:tc>
          <w:tcPr>
            <w:tcW w:w="1531" w:type="dxa"/>
          </w:tcPr>
          <w:p>
            <w:pPr>
              <w:pStyle w:val="0"/>
              <w:jc w:val="both"/>
            </w:pPr>
            <w:r>
              <w:rPr>
                <w:sz w:val="20"/>
              </w:rPr>
              <w:t xml:space="preserve">промилле</w:t>
            </w:r>
          </w:p>
        </w:tc>
        <w:tc>
          <w:tcPr>
            <w:tcW w:w="1054" w:type="dxa"/>
          </w:tcPr>
          <w:p>
            <w:pPr>
              <w:pStyle w:val="0"/>
              <w:jc w:val="center"/>
            </w:pPr>
            <w:r>
              <w:rPr>
                <w:sz w:val="20"/>
              </w:rPr>
              <w:t xml:space="preserve">3,4</w:t>
            </w:r>
          </w:p>
        </w:tc>
        <w:tc>
          <w:tcPr>
            <w:tcW w:w="1054" w:type="dxa"/>
          </w:tcPr>
          <w:p>
            <w:pPr>
              <w:pStyle w:val="0"/>
              <w:jc w:val="center"/>
            </w:pPr>
            <w:r>
              <w:rPr>
                <w:sz w:val="20"/>
              </w:rPr>
              <w:t xml:space="preserve">3,3</w:t>
            </w:r>
          </w:p>
        </w:tc>
        <w:tc>
          <w:tcPr>
            <w:tcW w:w="1054" w:type="dxa"/>
          </w:tcPr>
          <w:p>
            <w:pPr>
              <w:pStyle w:val="0"/>
              <w:jc w:val="center"/>
            </w:pPr>
            <w:r>
              <w:rPr>
                <w:sz w:val="20"/>
              </w:rPr>
              <w:t xml:space="preserve">3,2</w:t>
            </w:r>
          </w:p>
        </w:tc>
        <w:tc>
          <w:tcPr>
            <w:tcW w:w="1054" w:type="dxa"/>
          </w:tcPr>
          <w:p>
            <w:pPr>
              <w:pStyle w:val="0"/>
              <w:jc w:val="center"/>
            </w:pPr>
            <w:r>
              <w:rPr>
                <w:sz w:val="20"/>
              </w:rPr>
              <w:t xml:space="preserve">3,1</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8.2 &lt;1&gt;</w:t>
            </w:r>
          </w:p>
        </w:tc>
        <w:tc>
          <w:tcPr>
            <w:tcW w:w="3969" w:type="dxa"/>
          </w:tcPr>
          <w:p>
            <w:pPr>
              <w:pStyle w:val="0"/>
              <w:jc w:val="both"/>
            </w:pPr>
            <w:r>
              <w:rPr>
                <w:sz w:val="20"/>
              </w:rPr>
              <w:t xml:space="preserve">Смертность детей в возрасте 0 - 4 года на 1000 родившихся живыми</w:t>
            </w:r>
          </w:p>
        </w:tc>
        <w:tc>
          <w:tcPr>
            <w:tcW w:w="1531" w:type="dxa"/>
          </w:tcPr>
          <w:p>
            <w:pPr>
              <w:pStyle w:val="0"/>
              <w:jc w:val="both"/>
            </w:pPr>
            <w:r>
              <w:rPr>
                <w:sz w:val="20"/>
              </w:rPr>
              <w:t xml:space="preserve">промилле</w:t>
            </w:r>
          </w:p>
        </w:tc>
        <w:tc>
          <w:tcPr>
            <w:tcW w:w="1054" w:type="dxa"/>
          </w:tcPr>
          <w:p>
            <w:pPr>
              <w:pStyle w:val="0"/>
              <w:jc w:val="center"/>
            </w:pPr>
            <w:r>
              <w:rPr>
                <w:sz w:val="20"/>
              </w:rPr>
              <w:t xml:space="preserve">4,4</w:t>
            </w:r>
          </w:p>
        </w:tc>
        <w:tc>
          <w:tcPr>
            <w:tcW w:w="1054" w:type="dxa"/>
          </w:tcPr>
          <w:p>
            <w:pPr>
              <w:pStyle w:val="0"/>
              <w:jc w:val="center"/>
            </w:pPr>
            <w:r>
              <w:rPr>
                <w:sz w:val="20"/>
              </w:rPr>
              <w:t xml:space="preserve">4,3</w:t>
            </w:r>
          </w:p>
        </w:tc>
        <w:tc>
          <w:tcPr>
            <w:tcW w:w="1054" w:type="dxa"/>
          </w:tcPr>
          <w:p>
            <w:pPr>
              <w:pStyle w:val="0"/>
              <w:jc w:val="center"/>
            </w:pPr>
            <w:r>
              <w:rPr>
                <w:sz w:val="20"/>
              </w:rPr>
              <w:t xml:space="preserve">4,2</w:t>
            </w:r>
          </w:p>
        </w:tc>
        <w:tc>
          <w:tcPr>
            <w:tcW w:w="1054" w:type="dxa"/>
          </w:tcPr>
          <w:p>
            <w:pPr>
              <w:pStyle w:val="0"/>
              <w:jc w:val="center"/>
            </w:pPr>
            <w:r>
              <w:rPr>
                <w:sz w:val="20"/>
              </w:rPr>
              <w:t xml:space="preserve">4,0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 &lt;1&gt;</w:t>
            </w:r>
          </w:p>
        </w:tc>
        <w:tc>
          <w:tcPr>
            <w:tcW w:w="3969" w:type="dxa"/>
          </w:tcPr>
          <w:p>
            <w:pPr>
              <w:pStyle w:val="0"/>
              <w:jc w:val="both"/>
            </w:pPr>
            <w:r>
              <w:rPr>
                <w:sz w:val="20"/>
              </w:rPr>
              <w:t xml:space="preserve">Смертность детей в возрасте 0 - 17 лет на 100000 детей соответствующего возраста</w:t>
            </w:r>
          </w:p>
        </w:tc>
        <w:tc>
          <w:tcPr>
            <w:tcW w:w="1531" w:type="dxa"/>
          </w:tcPr>
          <w:p>
            <w:pPr>
              <w:pStyle w:val="0"/>
              <w:jc w:val="both"/>
            </w:pPr>
            <w:r>
              <w:rPr>
                <w:sz w:val="20"/>
              </w:rPr>
              <w:t xml:space="preserve">число случаев на 100 тысяч детей соответствующего возраста</w:t>
            </w:r>
          </w:p>
        </w:tc>
        <w:tc>
          <w:tcPr>
            <w:tcW w:w="1054" w:type="dxa"/>
          </w:tcPr>
          <w:p>
            <w:pPr>
              <w:pStyle w:val="0"/>
              <w:jc w:val="center"/>
            </w:pPr>
            <w:r>
              <w:rPr>
                <w:sz w:val="20"/>
              </w:rPr>
              <w:t xml:space="preserve">40,2</w:t>
            </w:r>
          </w:p>
        </w:tc>
        <w:tc>
          <w:tcPr>
            <w:tcW w:w="1054" w:type="dxa"/>
          </w:tcPr>
          <w:p>
            <w:pPr>
              <w:pStyle w:val="0"/>
              <w:jc w:val="center"/>
            </w:pPr>
            <w:r>
              <w:rPr>
                <w:sz w:val="20"/>
              </w:rPr>
              <w:t xml:space="preserve">40,1</w:t>
            </w:r>
          </w:p>
        </w:tc>
        <w:tc>
          <w:tcPr>
            <w:tcW w:w="1054" w:type="dxa"/>
          </w:tcPr>
          <w:p>
            <w:pPr>
              <w:pStyle w:val="0"/>
              <w:jc w:val="center"/>
            </w:pPr>
            <w:r>
              <w:rPr>
                <w:sz w:val="20"/>
              </w:rPr>
              <w:t xml:space="preserve">40</w:t>
            </w:r>
          </w:p>
        </w:tc>
        <w:tc>
          <w:tcPr>
            <w:tcW w:w="1054" w:type="dxa"/>
          </w:tcPr>
          <w:p>
            <w:pPr>
              <w:pStyle w:val="0"/>
              <w:jc w:val="center"/>
            </w:pPr>
            <w:r>
              <w:rPr>
                <w:sz w:val="20"/>
              </w:rPr>
              <w:t xml:space="preserve">39,9</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 &lt;1&gt;</w:t>
            </w:r>
          </w:p>
        </w:tc>
        <w:tc>
          <w:tcPr>
            <w:tcW w:w="3969" w:type="dxa"/>
          </w:tcPr>
          <w:p>
            <w:pPr>
              <w:pStyle w:val="0"/>
              <w:jc w:val="both"/>
            </w:pPr>
            <w:r>
              <w:rPr>
                <w:sz w:val="20"/>
              </w:rPr>
              <w:t xml:space="preserve">Доля посещений детьми медицинских организаций с профилактическими целями</w:t>
            </w:r>
          </w:p>
        </w:tc>
        <w:tc>
          <w:tcPr>
            <w:tcW w:w="1531" w:type="dxa"/>
          </w:tcPr>
          <w:p>
            <w:pPr>
              <w:pStyle w:val="0"/>
              <w:jc w:val="both"/>
            </w:pPr>
            <w:r>
              <w:rPr>
                <w:sz w:val="20"/>
              </w:rPr>
              <w:t xml:space="preserve">%</w:t>
            </w:r>
          </w:p>
        </w:tc>
        <w:tc>
          <w:tcPr>
            <w:tcW w:w="1054" w:type="dxa"/>
          </w:tcPr>
          <w:p>
            <w:pPr>
              <w:pStyle w:val="0"/>
              <w:jc w:val="center"/>
            </w:pPr>
            <w:r>
              <w:rPr>
                <w:sz w:val="20"/>
              </w:rPr>
              <w:t xml:space="preserve">49,5</w:t>
            </w:r>
          </w:p>
        </w:tc>
        <w:tc>
          <w:tcPr>
            <w:tcW w:w="1054" w:type="dxa"/>
          </w:tcPr>
          <w:p>
            <w:pPr>
              <w:pStyle w:val="0"/>
              <w:jc w:val="center"/>
            </w:pPr>
            <w:r>
              <w:rPr>
                <w:sz w:val="20"/>
              </w:rPr>
              <w:t xml:space="preserve">50,0</w:t>
            </w:r>
          </w:p>
        </w:tc>
        <w:tc>
          <w:tcPr>
            <w:tcW w:w="1054" w:type="dxa"/>
          </w:tcPr>
          <w:p>
            <w:pPr>
              <w:pStyle w:val="0"/>
              <w:jc w:val="center"/>
            </w:pPr>
            <w:r>
              <w:rPr>
                <w:sz w:val="20"/>
              </w:rPr>
              <w:t xml:space="preserve">50,0</w:t>
            </w:r>
          </w:p>
        </w:tc>
        <w:tc>
          <w:tcPr>
            <w:tcW w:w="1054" w:type="dxa"/>
          </w:tcPr>
          <w:p>
            <w:pPr>
              <w:pStyle w:val="0"/>
              <w:jc w:val="center"/>
            </w:pPr>
            <w:r>
              <w:rPr>
                <w:sz w:val="20"/>
              </w:rPr>
              <w:t xml:space="preserve">51,0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8.5 &lt;1&gt;</w:t>
            </w:r>
          </w:p>
        </w:tc>
        <w:tc>
          <w:tcPr>
            <w:tcW w:w="3969"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w:t>
            </w:r>
          </w:p>
        </w:tc>
        <w:tc>
          <w:tcPr>
            <w:tcW w:w="1531" w:type="dxa"/>
          </w:tcPr>
          <w:p>
            <w:pPr>
              <w:pStyle w:val="0"/>
              <w:jc w:val="both"/>
            </w:pPr>
            <w:r>
              <w:rPr>
                <w:sz w:val="20"/>
              </w:rPr>
              <w:t xml:space="preserve">%</w:t>
            </w:r>
          </w:p>
        </w:tc>
        <w:tc>
          <w:tcPr>
            <w:tcW w:w="1054" w:type="dxa"/>
          </w:tcPr>
          <w:p>
            <w:pPr>
              <w:pStyle w:val="0"/>
              <w:jc w:val="center"/>
            </w:pPr>
            <w:r>
              <w:rPr>
                <w:sz w:val="20"/>
              </w:rPr>
              <w:t xml:space="preserve">60</w:t>
            </w:r>
          </w:p>
        </w:tc>
        <w:tc>
          <w:tcPr>
            <w:tcW w:w="1054" w:type="dxa"/>
          </w:tcPr>
          <w:p>
            <w:pPr>
              <w:pStyle w:val="0"/>
              <w:jc w:val="center"/>
            </w:pPr>
            <w:r>
              <w:rPr>
                <w:sz w:val="20"/>
              </w:rPr>
              <w:t xml:space="preserve">70</w:t>
            </w:r>
          </w:p>
        </w:tc>
        <w:tc>
          <w:tcPr>
            <w:tcW w:w="1054" w:type="dxa"/>
          </w:tcPr>
          <w:p>
            <w:pPr>
              <w:pStyle w:val="0"/>
              <w:jc w:val="center"/>
            </w:pPr>
            <w:r>
              <w:rPr>
                <w:sz w:val="20"/>
              </w:rPr>
              <w:t xml:space="preserve">80</w:t>
            </w:r>
          </w:p>
        </w:tc>
        <w:tc>
          <w:tcPr>
            <w:tcW w:w="1054" w:type="dxa"/>
          </w:tcPr>
          <w:p>
            <w:pPr>
              <w:pStyle w:val="0"/>
              <w:jc w:val="center"/>
            </w:pPr>
            <w:r>
              <w:rPr>
                <w:sz w:val="20"/>
              </w:rPr>
              <w:t xml:space="preserve">90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8.6 &lt;1&gt;</w:t>
            </w:r>
          </w:p>
        </w:tc>
        <w:tc>
          <w:tcPr>
            <w:tcW w:w="3969"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w:t>
            </w:r>
          </w:p>
        </w:tc>
        <w:tc>
          <w:tcPr>
            <w:tcW w:w="1531" w:type="dxa"/>
          </w:tcPr>
          <w:p>
            <w:pPr>
              <w:pStyle w:val="0"/>
              <w:jc w:val="both"/>
            </w:pPr>
            <w:r>
              <w:rPr>
                <w:sz w:val="20"/>
              </w:rPr>
              <w:t xml:space="preserve">%</w:t>
            </w:r>
          </w:p>
        </w:tc>
        <w:tc>
          <w:tcPr>
            <w:tcW w:w="1054" w:type="dxa"/>
          </w:tcPr>
          <w:p>
            <w:pPr>
              <w:pStyle w:val="0"/>
              <w:jc w:val="center"/>
            </w:pPr>
            <w:r>
              <w:rPr>
                <w:sz w:val="20"/>
              </w:rPr>
              <w:t xml:space="preserve">60</w:t>
            </w:r>
          </w:p>
        </w:tc>
        <w:tc>
          <w:tcPr>
            <w:tcW w:w="1054" w:type="dxa"/>
          </w:tcPr>
          <w:p>
            <w:pPr>
              <w:pStyle w:val="0"/>
              <w:jc w:val="center"/>
            </w:pPr>
            <w:r>
              <w:rPr>
                <w:sz w:val="20"/>
              </w:rPr>
              <w:t xml:space="preserve">70</w:t>
            </w:r>
          </w:p>
        </w:tc>
        <w:tc>
          <w:tcPr>
            <w:tcW w:w="1054" w:type="dxa"/>
          </w:tcPr>
          <w:p>
            <w:pPr>
              <w:pStyle w:val="0"/>
              <w:jc w:val="center"/>
            </w:pPr>
            <w:r>
              <w:rPr>
                <w:sz w:val="20"/>
              </w:rPr>
              <w:t xml:space="preserve">80</w:t>
            </w:r>
          </w:p>
        </w:tc>
        <w:tc>
          <w:tcPr>
            <w:tcW w:w="1054" w:type="dxa"/>
          </w:tcPr>
          <w:p>
            <w:pPr>
              <w:pStyle w:val="0"/>
              <w:jc w:val="center"/>
            </w:pPr>
            <w:r>
              <w:rPr>
                <w:sz w:val="20"/>
              </w:rPr>
              <w:t xml:space="preserve">90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8.7 &lt;1&gt;</w:t>
            </w:r>
          </w:p>
        </w:tc>
        <w:tc>
          <w:tcPr>
            <w:tcW w:w="3969"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органов пищеварения</w:t>
            </w:r>
          </w:p>
        </w:tc>
        <w:tc>
          <w:tcPr>
            <w:tcW w:w="1531" w:type="dxa"/>
          </w:tcPr>
          <w:p>
            <w:pPr>
              <w:pStyle w:val="0"/>
              <w:jc w:val="both"/>
            </w:pPr>
            <w:r>
              <w:rPr>
                <w:sz w:val="20"/>
              </w:rPr>
              <w:t xml:space="preserve">%</w:t>
            </w:r>
          </w:p>
        </w:tc>
        <w:tc>
          <w:tcPr>
            <w:tcW w:w="1054" w:type="dxa"/>
          </w:tcPr>
          <w:p>
            <w:pPr>
              <w:pStyle w:val="0"/>
              <w:jc w:val="center"/>
            </w:pPr>
            <w:r>
              <w:rPr>
                <w:sz w:val="20"/>
              </w:rPr>
              <w:t xml:space="preserve">60</w:t>
            </w:r>
          </w:p>
        </w:tc>
        <w:tc>
          <w:tcPr>
            <w:tcW w:w="1054" w:type="dxa"/>
          </w:tcPr>
          <w:p>
            <w:pPr>
              <w:pStyle w:val="0"/>
              <w:jc w:val="center"/>
            </w:pPr>
            <w:r>
              <w:rPr>
                <w:sz w:val="20"/>
              </w:rPr>
              <w:t xml:space="preserve">70</w:t>
            </w:r>
          </w:p>
        </w:tc>
        <w:tc>
          <w:tcPr>
            <w:tcW w:w="1054" w:type="dxa"/>
          </w:tcPr>
          <w:p>
            <w:pPr>
              <w:pStyle w:val="0"/>
              <w:jc w:val="center"/>
            </w:pPr>
            <w:r>
              <w:rPr>
                <w:sz w:val="20"/>
              </w:rPr>
              <w:t xml:space="preserve">80</w:t>
            </w:r>
          </w:p>
        </w:tc>
        <w:tc>
          <w:tcPr>
            <w:tcW w:w="1054" w:type="dxa"/>
          </w:tcPr>
          <w:p>
            <w:pPr>
              <w:pStyle w:val="0"/>
              <w:jc w:val="center"/>
            </w:pPr>
            <w:r>
              <w:rPr>
                <w:sz w:val="20"/>
              </w:rPr>
              <w:t xml:space="preserve">90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8.8 &lt;1&gt;</w:t>
            </w:r>
          </w:p>
        </w:tc>
        <w:tc>
          <w:tcPr>
            <w:tcW w:w="3969"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органов кровообращения</w:t>
            </w:r>
          </w:p>
        </w:tc>
        <w:tc>
          <w:tcPr>
            <w:tcW w:w="1531" w:type="dxa"/>
          </w:tcPr>
          <w:p>
            <w:pPr>
              <w:pStyle w:val="0"/>
              <w:jc w:val="both"/>
            </w:pPr>
            <w:r>
              <w:rPr>
                <w:sz w:val="20"/>
              </w:rPr>
              <w:t xml:space="preserve">%</w:t>
            </w:r>
          </w:p>
        </w:tc>
        <w:tc>
          <w:tcPr>
            <w:tcW w:w="1054" w:type="dxa"/>
          </w:tcPr>
          <w:p>
            <w:pPr>
              <w:pStyle w:val="0"/>
              <w:jc w:val="center"/>
            </w:pPr>
            <w:r>
              <w:rPr>
                <w:sz w:val="20"/>
              </w:rPr>
              <w:t xml:space="preserve">60</w:t>
            </w:r>
          </w:p>
        </w:tc>
        <w:tc>
          <w:tcPr>
            <w:tcW w:w="1054" w:type="dxa"/>
          </w:tcPr>
          <w:p>
            <w:pPr>
              <w:pStyle w:val="0"/>
              <w:jc w:val="center"/>
            </w:pPr>
            <w:r>
              <w:rPr>
                <w:sz w:val="20"/>
              </w:rPr>
              <w:t xml:space="preserve">70</w:t>
            </w:r>
          </w:p>
        </w:tc>
        <w:tc>
          <w:tcPr>
            <w:tcW w:w="1054" w:type="dxa"/>
          </w:tcPr>
          <w:p>
            <w:pPr>
              <w:pStyle w:val="0"/>
              <w:jc w:val="center"/>
            </w:pPr>
            <w:r>
              <w:rPr>
                <w:sz w:val="20"/>
              </w:rPr>
              <w:t xml:space="preserve">80</w:t>
            </w:r>
          </w:p>
        </w:tc>
        <w:tc>
          <w:tcPr>
            <w:tcW w:w="1054" w:type="dxa"/>
          </w:tcPr>
          <w:p>
            <w:pPr>
              <w:pStyle w:val="0"/>
              <w:jc w:val="center"/>
            </w:pPr>
            <w:r>
              <w:rPr>
                <w:sz w:val="20"/>
              </w:rPr>
              <w:t xml:space="preserve">90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8.9 &lt;1&gt;</w:t>
            </w:r>
          </w:p>
        </w:tc>
        <w:tc>
          <w:tcPr>
            <w:tcW w:w="3969"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w:t>
            </w:r>
          </w:p>
        </w:tc>
        <w:tc>
          <w:tcPr>
            <w:tcW w:w="1531" w:type="dxa"/>
          </w:tcPr>
          <w:p>
            <w:pPr>
              <w:pStyle w:val="0"/>
              <w:jc w:val="both"/>
            </w:pPr>
            <w:r>
              <w:rPr>
                <w:sz w:val="20"/>
              </w:rPr>
              <w:t xml:space="preserve">%</w:t>
            </w:r>
          </w:p>
        </w:tc>
        <w:tc>
          <w:tcPr>
            <w:tcW w:w="1054" w:type="dxa"/>
          </w:tcPr>
          <w:p>
            <w:pPr>
              <w:pStyle w:val="0"/>
              <w:jc w:val="center"/>
            </w:pPr>
            <w:r>
              <w:rPr>
                <w:sz w:val="20"/>
              </w:rPr>
              <w:t xml:space="preserve">60</w:t>
            </w:r>
          </w:p>
        </w:tc>
        <w:tc>
          <w:tcPr>
            <w:tcW w:w="1054" w:type="dxa"/>
          </w:tcPr>
          <w:p>
            <w:pPr>
              <w:pStyle w:val="0"/>
              <w:jc w:val="center"/>
            </w:pPr>
            <w:r>
              <w:rPr>
                <w:sz w:val="20"/>
              </w:rPr>
              <w:t xml:space="preserve">70</w:t>
            </w:r>
          </w:p>
        </w:tc>
        <w:tc>
          <w:tcPr>
            <w:tcW w:w="1054" w:type="dxa"/>
          </w:tcPr>
          <w:p>
            <w:pPr>
              <w:pStyle w:val="0"/>
              <w:jc w:val="center"/>
            </w:pPr>
            <w:r>
              <w:rPr>
                <w:sz w:val="20"/>
              </w:rPr>
              <w:t xml:space="preserve">80</w:t>
            </w:r>
          </w:p>
        </w:tc>
        <w:tc>
          <w:tcPr>
            <w:tcW w:w="1054" w:type="dxa"/>
          </w:tcPr>
          <w:p>
            <w:pPr>
              <w:pStyle w:val="0"/>
              <w:jc w:val="center"/>
            </w:pPr>
            <w:r>
              <w:rPr>
                <w:sz w:val="20"/>
              </w:rPr>
              <w:t xml:space="preserve">90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8.10 &lt;1&gt;</w:t>
            </w:r>
          </w:p>
        </w:tc>
        <w:tc>
          <w:tcPr>
            <w:tcW w:w="3969" w:type="dxa"/>
          </w:tcPr>
          <w:p>
            <w:pPr>
              <w:pStyle w:val="0"/>
              <w:jc w:val="both"/>
            </w:pPr>
            <w:r>
              <w:rPr>
                <w:sz w:val="20"/>
              </w:rPr>
              <w:t xml:space="preserve">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врачами-педиатрами</w:t>
            </w:r>
          </w:p>
        </w:tc>
        <w:tc>
          <w:tcPr>
            <w:tcW w:w="1531" w:type="dxa"/>
          </w:tcPr>
          <w:p>
            <w:pPr>
              <w:pStyle w:val="0"/>
              <w:jc w:val="both"/>
            </w:pPr>
            <w:r>
              <w:rPr>
                <w:sz w:val="20"/>
              </w:rPr>
              <w:t xml:space="preserve">%</w:t>
            </w:r>
          </w:p>
        </w:tc>
        <w:tc>
          <w:tcPr>
            <w:tcW w:w="1054" w:type="dxa"/>
          </w:tcPr>
          <w:p>
            <w:pPr>
              <w:pStyle w:val="0"/>
              <w:jc w:val="center"/>
            </w:pPr>
            <w:r>
              <w:rPr>
                <w:sz w:val="20"/>
              </w:rPr>
              <w:t xml:space="preserve">80,35</w:t>
            </w:r>
          </w:p>
        </w:tc>
        <w:tc>
          <w:tcPr>
            <w:tcW w:w="1054" w:type="dxa"/>
          </w:tcPr>
          <w:p>
            <w:pPr>
              <w:pStyle w:val="0"/>
              <w:jc w:val="center"/>
            </w:pPr>
            <w:r>
              <w:rPr>
                <w:sz w:val="20"/>
              </w:rPr>
              <w:t xml:space="preserve">80,4</w:t>
            </w:r>
          </w:p>
        </w:tc>
        <w:tc>
          <w:tcPr>
            <w:tcW w:w="1054" w:type="dxa"/>
          </w:tcPr>
          <w:p>
            <w:pPr>
              <w:pStyle w:val="0"/>
              <w:jc w:val="center"/>
            </w:pPr>
            <w:r>
              <w:rPr>
                <w:sz w:val="20"/>
              </w:rPr>
              <w:t xml:space="preserve">80,5</w:t>
            </w:r>
          </w:p>
        </w:tc>
        <w:tc>
          <w:tcPr>
            <w:tcW w:w="1054" w:type="dxa"/>
          </w:tcPr>
          <w:p>
            <w:pPr>
              <w:pStyle w:val="0"/>
              <w:jc w:val="center"/>
            </w:pPr>
            <w:r>
              <w:rPr>
                <w:sz w:val="20"/>
              </w:rPr>
              <w:t xml:space="preserve">80,6</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8.11 &lt;1&gt;</w:t>
            </w:r>
          </w:p>
        </w:tc>
        <w:tc>
          <w:tcPr>
            <w:tcW w:w="3969" w:type="dxa"/>
          </w:tcPr>
          <w:p>
            <w:pPr>
              <w:pStyle w:val="0"/>
              <w:jc w:val="both"/>
            </w:pPr>
            <w:r>
              <w:rPr>
                <w:sz w:val="20"/>
              </w:rPr>
              <w:t xml:space="preserve">Количество (доля) детских поликлиник и детских поликлинических отделений с созданной современной инфраструктурой оказания медицинской помощи детям</w:t>
            </w:r>
          </w:p>
        </w:tc>
        <w:tc>
          <w:tcPr>
            <w:tcW w:w="1531" w:type="dxa"/>
          </w:tcPr>
          <w:p>
            <w:pPr>
              <w:pStyle w:val="0"/>
              <w:jc w:val="both"/>
            </w:pPr>
            <w:r>
              <w:rPr>
                <w:sz w:val="20"/>
              </w:rPr>
              <w:t xml:space="preserve">%</w:t>
            </w:r>
          </w:p>
        </w:tc>
        <w:tc>
          <w:tcPr>
            <w:tcW w:w="1054" w:type="dxa"/>
          </w:tcPr>
          <w:p>
            <w:pPr>
              <w:pStyle w:val="0"/>
              <w:jc w:val="center"/>
            </w:pPr>
            <w:r>
              <w:rPr>
                <w:sz w:val="20"/>
              </w:rPr>
              <w:t xml:space="preserve">95</w:t>
            </w:r>
          </w:p>
        </w:tc>
        <w:tc>
          <w:tcPr>
            <w:tcW w:w="1054" w:type="dxa"/>
          </w:tcPr>
          <w:p>
            <w:pPr>
              <w:pStyle w:val="0"/>
              <w:jc w:val="center"/>
            </w:pPr>
            <w:r>
              <w:rPr>
                <w:sz w:val="20"/>
              </w:rPr>
              <w:t xml:space="preserve">95</w:t>
            </w:r>
          </w:p>
        </w:tc>
        <w:tc>
          <w:tcPr>
            <w:tcW w:w="1054" w:type="dxa"/>
          </w:tcPr>
          <w:p>
            <w:pPr>
              <w:pStyle w:val="0"/>
              <w:jc w:val="center"/>
            </w:pPr>
            <w:r>
              <w:rPr>
                <w:sz w:val="20"/>
              </w:rPr>
              <w:t xml:space="preserve">95</w:t>
            </w:r>
          </w:p>
        </w:tc>
        <w:tc>
          <w:tcPr>
            <w:tcW w:w="1054" w:type="dxa"/>
          </w:tcPr>
          <w:p>
            <w:pPr>
              <w:pStyle w:val="0"/>
              <w:jc w:val="center"/>
            </w:pPr>
            <w:r>
              <w:rPr>
                <w:sz w:val="20"/>
              </w:rPr>
              <w:t xml:space="preserve">95</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8.12 &lt;1&gt;</w:t>
            </w:r>
          </w:p>
        </w:tc>
        <w:tc>
          <w:tcPr>
            <w:tcW w:w="3969" w:type="dxa"/>
          </w:tcPr>
          <w:p>
            <w:pPr>
              <w:pStyle w:val="0"/>
              <w:jc w:val="both"/>
            </w:pPr>
            <w:r>
              <w:rPr>
                <w:sz w:val="20"/>
              </w:rPr>
              <w:t xml:space="preserve">Число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w:t>
            </w:r>
          </w:p>
        </w:tc>
        <w:tc>
          <w:tcPr>
            <w:tcW w:w="1531" w:type="dxa"/>
          </w:tcPr>
          <w:p>
            <w:pPr>
              <w:pStyle w:val="0"/>
              <w:jc w:val="both"/>
            </w:pPr>
            <w:r>
              <w:rPr>
                <w:sz w:val="20"/>
              </w:rPr>
              <w:t xml:space="preserve">%</w:t>
            </w:r>
          </w:p>
        </w:tc>
        <w:tc>
          <w:tcPr>
            <w:tcW w:w="1054" w:type="dxa"/>
          </w:tcPr>
          <w:p>
            <w:pPr>
              <w:pStyle w:val="0"/>
              <w:jc w:val="center"/>
            </w:pPr>
            <w:r>
              <w:rPr>
                <w:sz w:val="20"/>
              </w:rPr>
              <w:t xml:space="preserve">40</w:t>
            </w:r>
          </w:p>
        </w:tc>
        <w:tc>
          <w:tcPr>
            <w:tcW w:w="1054" w:type="dxa"/>
          </w:tcPr>
          <w:p>
            <w:pPr>
              <w:pStyle w:val="0"/>
              <w:jc w:val="center"/>
            </w:pPr>
            <w:r>
              <w:rPr>
                <w:sz w:val="20"/>
              </w:rPr>
              <w:t xml:space="preserve">70</w:t>
            </w:r>
          </w:p>
        </w:tc>
        <w:tc>
          <w:tcPr>
            <w:tcW w:w="1054" w:type="dxa"/>
          </w:tcPr>
          <w:p>
            <w:pPr>
              <w:pStyle w:val="0"/>
              <w:jc w:val="center"/>
            </w:pPr>
            <w:r>
              <w:rPr>
                <w:sz w:val="20"/>
              </w:rPr>
              <w:t xml:space="preserve">90</w:t>
            </w:r>
          </w:p>
        </w:tc>
        <w:tc>
          <w:tcPr>
            <w:tcW w:w="1054" w:type="dxa"/>
          </w:tcPr>
          <w:p>
            <w:pPr>
              <w:pStyle w:val="0"/>
              <w:jc w:val="center"/>
            </w:pPr>
            <w:r>
              <w:rPr>
                <w:sz w:val="20"/>
              </w:rPr>
              <w:t xml:space="preserve">95</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8.13 &lt;2&gt;</w:t>
            </w:r>
          </w:p>
        </w:tc>
        <w:tc>
          <w:tcPr>
            <w:tcW w:w="3969" w:type="dxa"/>
          </w:tcPr>
          <w:p>
            <w:pPr>
              <w:pStyle w:val="0"/>
              <w:jc w:val="both"/>
            </w:pPr>
            <w:r>
              <w:rPr>
                <w:sz w:val="20"/>
              </w:rPr>
              <w:t xml:space="preserve">Розничные продажи алкогольной продукции на душу населения (в литрах этанола)</w:t>
            </w:r>
          </w:p>
        </w:tc>
        <w:tc>
          <w:tcPr>
            <w:tcW w:w="1531" w:type="dxa"/>
          </w:tcPr>
          <w:p>
            <w:pPr>
              <w:pStyle w:val="0"/>
              <w:jc w:val="both"/>
            </w:pPr>
            <w:r>
              <w:rPr>
                <w:sz w:val="20"/>
              </w:rPr>
              <w:t xml:space="preserve">литр чистого (100%) спирта</w:t>
            </w:r>
          </w:p>
        </w:tc>
        <w:tc>
          <w:tcPr>
            <w:tcW w:w="1054" w:type="dxa"/>
          </w:tcPr>
          <w:p>
            <w:pPr>
              <w:pStyle w:val="0"/>
              <w:jc w:val="center"/>
            </w:pPr>
            <w:r>
              <w:rPr>
                <w:sz w:val="20"/>
              </w:rPr>
              <w:t xml:space="preserve">4,9</w:t>
            </w:r>
          </w:p>
        </w:tc>
        <w:tc>
          <w:tcPr>
            <w:tcW w:w="1054" w:type="dxa"/>
          </w:tcPr>
          <w:p>
            <w:pPr>
              <w:pStyle w:val="0"/>
              <w:jc w:val="center"/>
            </w:pPr>
            <w:r>
              <w:rPr>
                <w:sz w:val="20"/>
              </w:rPr>
              <w:t xml:space="preserve">4,8</w:t>
            </w:r>
          </w:p>
        </w:tc>
        <w:tc>
          <w:tcPr>
            <w:tcW w:w="1054" w:type="dxa"/>
          </w:tcPr>
          <w:p>
            <w:pPr>
              <w:pStyle w:val="0"/>
              <w:jc w:val="center"/>
            </w:pPr>
            <w:r>
              <w:rPr>
                <w:sz w:val="20"/>
              </w:rPr>
              <w:t xml:space="preserve">4,8</w:t>
            </w:r>
          </w:p>
        </w:tc>
        <w:tc>
          <w:tcPr>
            <w:tcW w:w="1054" w:type="dxa"/>
          </w:tcPr>
          <w:p>
            <w:pPr>
              <w:pStyle w:val="0"/>
              <w:jc w:val="center"/>
            </w:pPr>
            <w:r>
              <w:rPr>
                <w:sz w:val="20"/>
              </w:rPr>
              <w:t xml:space="preserve">4,7</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8.14 &lt;2&gt;</w:t>
            </w:r>
          </w:p>
        </w:tc>
        <w:tc>
          <w:tcPr>
            <w:tcW w:w="3969" w:type="dxa"/>
          </w:tcPr>
          <w:p>
            <w:pPr>
              <w:pStyle w:val="0"/>
              <w:jc w:val="both"/>
            </w:pPr>
            <w:r>
              <w:rPr>
                <w:sz w:val="20"/>
              </w:rPr>
              <w:t xml:space="preserve">Темпы прироста первичной заболеваемости ожирением</w:t>
            </w:r>
          </w:p>
        </w:tc>
        <w:tc>
          <w:tcPr>
            <w:tcW w:w="1531" w:type="dxa"/>
          </w:tcPr>
          <w:p>
            <w:pPr>
              <w:pStyle w:val="0"/>
              <w:jc w:val="both"/>
            </w:pPr>
            <w:r>
              <w:rPr>
                <w:sz w:val="20"/>
              </w:rPr>
              <w:t xml:space="preserve">%</w:t>
            </w:r>
          </w:p>
        </w:tc>
        <w:tc>
          <w:tcPr>
            <w:tcW w:w="1054" w:type="dxa"/>
          </w:tcPr>
          <w:p>
            <w:pPr>
              <w:pStyle w:val="0"/>
              <w:jc w:val="center"/>
            </w:pPr>
            <w:r>
              <w:rPr>
                <w:sz w:val="20"/>
              </w:rPr>
              <w:t xml:space="preserve">24</w:t>
            </w:r>
          </w:p>
        </w:tc>
        <w:tc>
          <w:tcPr>
            <w:tcW w:w="1054" w:type="dxa"/>
          </w:tcPr>
          <w:p>
            <w:pPr>
              <w:pStyle w:val="0"/>
              <w:jc w:val="center"/>
            </w:pPr>
            <w:r>
              <w:rPr>
                <w:sz w:val="20"/>
              </w:rPr>
              <w:t xml:space="preserve">18,7</w:t>
            </w:r>
          </w:p>
        </w:tc>
        <w:tc>
          <w:tcPr>
            <w:tcW w:w="1054" w:type="dxa"/>
          </w:tcPr>
          <w:p>
            <w:pPr>
              <w:pStyle w:val="0"/>
              <w:jc w:val="center"/>
            </w:pPr>
            <w:r>
              <w:rPr>
                <w:sz w:val="20"/>
              </w:rPr>
              <w:t xml:space="preserve">14,8</w:t>
            </w:r>
          </w:p>
        </w:tc>
        <w:tc>
          <w:tcPr>
            <w:tcW w:w="1054" w:type="dxa"/>
          </w:tcPr>
          <w:p>
            <w:pPr>
              <w:pStyle w:val="0"/>
              <w:jc w:val="center"/>
            </w:pPr>
            <w:r>
              <w:rPr>
                <w:sz w:val="20"/>
              </w:rPr>
              <w:t xml:space="preserve">11,6</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8.15 &lt;3&gt;</w:t>
            </w:r>
          </w:p>
        </w:tc>
        <w:tc>
          <w:tcPr>
            <w:tcW w:w="3969" w:type="dxa"/>
          </w:tcPr>
          <w:p>
            <w:pPr>
              <w:pStyle w:val="0"/>
              <w:jc w:val="both"/>
            </w:pPr>
            <w:r>
              <w:rPr>
                <w:sz w:val="20"/>
              </w:rPr>
              <w:t xml:space="preserve">Уровень госпитализации на геронтологические койки лиц старше 60 лет на 10 тыс. населения соответствующего возраста</w:t>
            </w:r>
          </w:p>
        </w:tc>
        <w:tc>
          <w:tcPr>
            <w:tcW w:w="1531" w:type="dxa"/>
          </w:tcPr>
          <w:p>
            <w:pPr>
              <w:pStyle w:val="0"/>
              <w:jc w:val="both"/>
            </w:pPr>
            <w:r>
              <w:rPr>
                <w:sz w:val="20"/>
              </w:rPr>
              <w:t xml:space="preserve">%</w:t>
            </w:r>
          </w:p>
        </w:tc>
        <w:tc>
          <w:tcPr>
            <w:tcW w:w="1054" w:type="dxa"/>
          </w:tcPr>
          <w:p>
            <w:pPr>
              <w:pStyle w:val="0"/>
              <w:jc w:val="center"/>
            </w:pPr>
            <w:r>
              <w:rPr>
                <w:sz w:val="20"/>
              </w:rPr>
              <w:t xml:space="preserve">14,2</w:t>
            </w:r>
          </w:p>
        </w:tc>
        <w:tc>
          <w:tcPr>
            <w:tcW w:w="1054" w:type="dxa"/>
          </w:tcPr>
          <w:p>
            <w:pPr>
              <w:pStyle w:val="0"/>
              <w:jc w:val="center"/>
            </w:pPr>
            <w:r>
              <w:rPr>
                <w:sz w:val="20"/>
              </w:rPr>
              <w:t xml:space="preserve">18,2</w:t>
            </w:r>
          </w:p>
        </w:tc>
        <w:tc>
          <w:tcPr>
            <w:tcW w:w="1054" w:type="dxa"/>
          </w:tcPr>
          <w:p>
            <w:pPr>
              <w:pStyle w:val="0"/>
              <w:jc w:val="center"/>
            </w:pPr>
            <w:r>
              <w:rPr>
                <w:sz w:val="20"/>
              </w:rPr>
              <w:t xml:space="preserve">45,5</w:t>
            </w:r>
          </w:p>
        </w:tc>
        <w:tc>
          <w:tcPr>
            <w:tcW w:w="1054" w:type="dxa"/>
          </w:tcPr>
          <w:p>
            <w:pPr>
              <w:pStyle w:val="0"/>
              <w:jc w:val="center"/>
            </w:pPr>
            <w:r>
              <w:rPr>
                <w:sz w:val="20"/>
              </w:rPr>
              <w:t xml:space="preserve">56,9</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8.16 &lt;3&gt;</w:t>
            </w:r>
          </w:p>
        </w:tc>
        <w:tc>
          <w:tcPr>
            <w:tcW w:w="3969" w:type="dxa"/>
          </w:tcPr>
          <w:p>
            <w:pPr>
              <w:pStyle w:val="0"/>
              <w:jc w:val="both"/>
            </w:pPr>
            <w:r>
              <w:rPr>
                <w:sz w:val="20"/>
              </w:rPr>
              <w:t xml:space="preserve">Охват граждан старше трудоспособного возраста профилактическими осмотрами, включая диспансеризацию</w:t>
            </w:r>
          </w:p>
        </w:tc>
        <w:tc>
          <w:tcPr>
            <w:tcW w:w="1531" w:type="dxa"/>
          </w:tcPr>
          <w:p>
            <w:pPr>
              <w:pStyle w:val="0"/>
              <w:jc w:val="both"/>
            </w:pPr>
            <w:r>
              <w:rPr>
                <w:sz w:val="20"/>
              </w:rPr>
              <w:t xml:space="preserve">%</w:t>
            </w:r>
          </w:p>
        </w:tc>
        <w:tc>
          <w:tcPr>
            <w:tcW w:w="1054" w:type="dxa"/>
          </w:tcPr>
          <w:p>
            <w:pPr>
              <w:pStyle w:val="0"/>
              <w:jc w:val="center"/>
            </w:pPr>
            <w:r>
              <w:rPr>
                <w:sz w:val="20"/>
              </w:rPr>
              <w:t xml:space="preserve">11,9</w:t>
            </w:r>
          </w:p>
        </w:tc>
        <w:tc>
          <w:tcPr>
            <w:tcW w:w="1054" w:type="dxa"/>
          </w:tcPr>
          <w:p>
            <w:pPr>
              <w:pStyle w:val="0"/>
              <w:jc w:val="center"/>
            </w:pPr>
            <w:r>
              <w:rPr>
                <w:sz w:val="20"/>
              </w:rPr>
              <w:t xml:space="preserve">13,9</w:t>
            </w:r>
          </w:p>
        </w:tc>
        <w:tc>
          <w:tcPr>
            <w:tcW w:w="1054" w:type="dxa"/>
          </w:tcPr>
          <w:p>
            <w:pPr>
              <w:pStyle w:val="0"/>
              <w:jc w:val="center"/>
            </w:pPr>
            <w:r>
              <w:rPr>
                <w:sz w:val="20"/>
              </w:rPr>
              <w:t xml:space="preserve">65,3</w:t>
            </w:r>
          </w:p>
        </w:tc>
        <w:tc>
          <w:tcPr>
            <w:tcW w:w="1054" w:type="dxa"/>
          </w:tcPr>
          <w:p>
            <w:pPr>
              <w:pStyle w:val="0"/>
              <w:jc w:val="center"/>
            </w:pPr>
            <w:r>
              <w:rPr>
                <w:sz w:val="20"/>
              </w:rPr>
              <w:t xml:space="preserve">70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8.17 &lt;3&gt;</w:t>
            </w:r>
          </w:p>
        </w:tc>
        <w:tc>
          <w:tcPr>
            <w:tcW w:w="3969" w:type="dxa"/>
          </w:tcPr>
          <w:p>
            <w:pPr>
              <w:pStyle w:val="0"/>
              <w:jc w:val="both"/>
            </w:pPr>
            <w:r>
              <w:rPr>
                <w:sz w:val="20"/>
              </w:rPr>
              <w:t xml:space="preserve">Доля лиц старше трудоспособного возраста, у которых выявлены заболевания, патологические состояния, находящихся под диспансерным наблюдением</w:t>
            </w:r>
          </w:p>
        </w:tc>
        <w:tc>
          <w:tcPr>
            <w:tcW w:w="1531" w:type="dxa"/>
          </w:tcPr>
          <w:p>
            <w:pPr>
              <w:pStyle w:val="0"/>
              <w:jc w:val="both"/>
            </w:pPr>
            <w:r>
              <w:rPr>
                <w:sz w:val="20"/>
              </w:rPr>
              <w:t xml:space="preserve">%</w:t>
            </w:r>
          </w:p>
        </w:tc>
        <w:tc>
          <w:tcPr>
            <w:tcW w:w="1054" w:type="dxa"/>
          </w:tcPr>
          <w:p>
            <w:pPr>
              <w:pStyle w:val="0"/>
              <w:jc w:val="center"/>
            </w:pPr>
            <w:r>
              <w:rPr>
                <w:sz w:val="20"/>
              </w:rPr>
              <w:t xml:space="preserve">48,6</w:t>
            </w:r>
          </w:p>
        </w:tc>
        <w:tc>
          <w:tcPr>
            <w:tcW w:w="1054" w:type="dxa"/>
          </w:tcPr>
          <w:p>
            <w:pPr>
              <w:pStyle w:val="0"/>
              <w:jc w:val="center"/>
            </w:pPr>
            <w:r>
              <w:rPr>
                <w:sz w:val="20"/>
              </w:rPr>
              <w:t xml:space="preserve">68,9</w:t>
            </w:r>
          </w:p>
        </w:tc>
        <w:tc>
          <w:tcPr>
            <w:tcW w:w="1054" w:type="dxa"/>
          </w:tcPr>
          <w:p>
            <w:pPr>
              <w:pStyle w:val="0"/>
              <w:jc w:val="center"/>
            </w:pPr>
            <w:r>
              <w:rPr>
                <w:sz w:val="20"/>
              </w:rPr>
              <w:t xml:space="preserve">80</w:t>
            </w:r>
          </w:p>
        </w:tc>
        <w:tc>
          <w:tcPr>
            <w:tcW w:w="1054" w:type="dxa"/>
          </w:tcPr>
          <w:p>
            <w:pPr>
              <w:pStyle w:val="0"/>
              <w:jc w:val="center"/>
            </w:pPr>
            <w:r>
              <w:rPr>
                <w:sz w:val="20"/>
              </w:rPr>
              <w:t xml:space="preserve">90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8.18 &lt;4&gt;</w:t>
            </w:r>
          </w:p>
        </w:tc>
        <w:tc>
          <w:tcPr>
            <w:tcW w:w="3969" w:type="dxa"/>
          </w:tcPr>
          <w:p>
            <w:pPr>
              <w:pStyle w:val="0"/>
              <w:jc w:val="both"/>
            </w:pPr>
            <w:r>
              <w:rPr>
                <w:sz w:val="20"/>
              </w:rPr>
              <w:t xml:space="preserve">Число лиц (пациентов), дополнительно эвакуированных с использованием санитарной авиации (ежегодно), не менее</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15</w:t>
            </w:r>
          </w:p>
        </w:tc>
        <w:tc>
          <w:tcPr>
            <w:tcW w:w="1054" w:type="dxa"/>
          </w:tcPr>
          <w:p>
            <w:pPr>
              <w:pStyle w:val="0"/>
              <w:jc w:val="center"/>
            </w:pPr>
            <w:r>
              <w:rPr>
                <w:sz w:val="20"/>
              </w:rPr>
              <w:t xml:space="preserve">17</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8.19 &lt;4&gt;</w:t>
            </w:r>
          </w:p>
        </w:tc>
        <w:tc>
          <w:tcPr>
            <w:tcW w:w="3969" w:type="dxa"/>
          </w:tcPr>
          <w:p>
            <w:pPr>
              <w:pStyle w:val="0"/>
              <w:jc w:val="both"/>
            </w:pPr>
            <w:r>
              <w:rPr>
                <w:sz w:val="20"/>
              </w:rPr>
              <w:t xml:space="preserve">Доля граждан из числа прошедших профилактический медицинский осмотр и (или) диспансеризацию, получивших возможность доступа к данным о прохождении профилактического медицинского осмотра и (или) диспансеризации в Личном кабинете пациента "Мое здоровье" на Едином портале государственных услуг и функций в отчетном году</w:t>
            </w:r>
          </w:p>
        </w:tc>
        <w:tc>
          <w:tcPr>
            <w:tcW w:w="1531" w:type="dxa"/>
          </w:tcPr>
          <w:p>
            <w:pPr>
              <w:pStyle w:val="0"/>
              <w:jc w:val="both"/>
            </w:pPr>
            <w:r>
              <w:rPr>
                <w:sz w:val="20"/>
              </w:rPr>
              <w:t xml:space="preserve">%</w:t>
            </w:r>
          </w:p>
        </w:tc>
        <w:tc>
          <w:tcPr>
            <w:tcW w:w="1054" w:type="dxa"/>
          </w:tcPr>
          <w:p>
            <w:pPr>
              <w:pStyle w:val="0"/>
              <w:jc w:val="center"/>
            </w:pPr>
            <w:r>
              <w:rPr>
                <w:sz w:val="20"/>
              </w:rPr>
              <w:t xml:space="preserve">0</w:t>
            </w:r>
          </w:p>
        </w:tc>
        <w:tc>
          <w:tcPr>
            <w:tcW w:w="1054" w:type="dxa"/>
          </w:tcPr>
          <w:p>
            <w:pPr>
              <w:pStyle w:val="0"/>
              <w:jc w:val="center"/>
            </w:pPr>
            <w:r>
              <w:rPr>
                <w:sz w:val="20"/>
              </w:rPr>
              <w:t xml:space="preserve">45</w:t>
            </w:r>
          </w:p>
        </w:tc>
        <w:tc>
          <w:tcPr>
            <w:tcW w:w="1054" w:type="dxa"/>
          </w:tcPr>
          <w:p>
            <w:pPr>
              <w:pStyle w:val="0"/>
              <w:jc w:val="center"/>
            </w:pPr>
            <w:r>
              <w:rPr>
                <w:sz w:val="20"/>
              </w:rPr>
              <w:t xml:space="preserve">70</w:t>
            </w:r>
          </w:p>
        </w:tc>
        <w:tc>
          <w:tcPr>
            <w:tcW w:w="1054" w:type="dxa"/>
          </w:tcPr>
          <w:p>
            <w:pPr>
              <w:pStyle w:val="0"/>
              <w:jc w:val="center"/>
            </w:pPr>
            <w:r>
              <w:rPr>
                <w:sz w:val="20"/>
              </w:rPr>
              <w:t xml:space="preserve">100</w:t>
            </w:r>
          </w:p>
        </w:tc>
        <w:tc>
          <w:tcPr>
            <w:tcW w:w="1054" w:type="dxa"/>
          </w:tcPr>
          <w:p>
            <w:pPr>
              <w:pStyle w:val="0"/>
              <w:jc w:val="center"/>
            </w:pPr>
            <w:r>
              <w:rPr>
                <w:sz w:val="20"/>
              </w:rPr>
              <w:t xml:space="preserve">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8.20 &lt;4&gt;</w:t>
            </w:r>
          </w:p>
        </w:tc>
        <w:tc>
          <w:tcPr>
            <w:tcW w:w="3969" w:type="dxa"/>
          </w:tcPr>
          <w:p>
            <w:pPr>
              <w:pStyle w:val="0"/>
              <w:jc w:val="both"/>
            </w:pPr>
            <w:r>
              <w:rPr>
                <w:sz w:val="20"/>
              </w:rPr>
              <w:t xml:space="preserve">Доля населенных пунктов с числом жителей до 2000 человек, населению которых доступна первичная медико-санитарная помощь по месту их проживания</w:t>
            </w:r>
          </w:p>
        </w:tc>
        <w:tc>
          <w:tcPr>
            <w:tcW w:w="1531" w:type="dxa"/>
          </w:tcPr>
          <w:p>
            <w:pPr>
              <w:pStyle w:val="0"/>
              <w:jc w:val="both"/>
            </w:pPr>
            <w:r>
              <w:rPr>
                <w:sz w:val="20"/>
              </w:rPr>
              <w:t xml:space="preserve">%</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8.21 &lt;4&gt;</w:t>
            </w:r>
          </w:p>
        </w:tc>
        <w:tc>
          <w:tcPr>
            <w:tcW w:w="3969" w:type="dxa"/>
          </w:tcPr>
          <w:p>
            <w:pPr>
              <w:pStyle w:val="0"/>
              <w:jc w:val="both"/>
            </w:pPr>
            <w:r>
              <w:rPr>
                <w:sz w:val="20"/>
              </w:rPr>
              <w:t xml:space="preserve">Количество посещений при выездах мобильных медицинских бригад, оснащенных мобильными медицинскими комплексами, тыс. посещений на 1 мобильную медицинскую бригаду</w:t>
            </w:r>
          </w:p>
        </w:tc>
        <w:tc>
          <w:tcPr>
            <w:tcW w:w="1531" w:type="dxa"/>
          </w:tcPr>
          <w:p>
            <w:pPr>
              <w:pStyle w:val="0"/>
              <w:jc w:val="both"/>
            </w:pPr>
            <w:r>
              <w:rPr>
                <w:sz w:val="20"/>
              </w:rPr>
              <w:t xml:space="preserve">тыс.</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8.22 &lt;4&gt;</w:t>
            </w:r>
          </w:p>
        </w:tc>
        <w:tc>
          <w:tcPr>
            <w:tcW w:w="3969" w:type="dxa"/>
          </w:tcPr>
          <w:p>
            <w:pPr>
              <w:pStyle w:val="0"/>
              <w:jc w:val="both"/>
            </w:pPr>
            <w:r>
              <w:rPr>
                <w:sz w:val="20"/>
              </w:rPr>
              <w:t xml:space="preserve">Доля лиц, госпитализированных по экстренным показаниям в течение первых суток, от общего числа больных, к которым совершены вылеты</w:t>
            </w:r>
          </w:p>
        </w:tc>
        <w:tc>
          <w:tcPr>
            <w:tcW w:w="1531" w:type="dxa"/>
          </w:tcPr>
          <w:p>
            <w:pPr>
              <w:pStyle w:val="0"/>
              <w:jc w:val="both"/>
            </w:pPr>
            <w:r>
              <w:rPr>
                <w:sz w:val="20"/>
              </w:rPr>
              <w:t xml:space="preserve">%</w:t>
            </w:r>
          </w:p>
        </w:tc>
        <w:tc>
          <w:tcPr>
            <w:tcW w:w="1054" w:type="dxa"/>
          </w:tcPr>
          <w:p>
            <w:pPr>
              <w:pStyle w:val="0"/>
              <w:jc w:val="center"/>
            </w:pPr>
            <w:r>
              <w:rPr>
                <w:sz w:val="20"/>
              </w:rPr>
              <w:t xml:space="preserve">90</w:t>
            </w:r>
          </w:p>
        </w:tc>
        <w:tc>
          <w:tcPr>
            <w:tcW w:w="1054" w:type="dxa"/>
          </w:tcPr>
          <w:p>
            <w:pPr>
              <w:pStyle w:val="0"/>
              <w:jc w:val="center"/>
            </w:pPr>
            <w:r>
              <w:rPr>
                <w:sz w:val="20"/>
              </w:rPr>
              <w:t xml:space="preserve">90</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8.23 &lt;4&gt;</w:t>
            </w:r>
          </w:p>
        </w:tc>
        <w:tc>
          <w:tcPr>
            <w:tcW w:w="3969" w:type="dxa"/>
          </w:tcPr>
          <w:p>
            <w:pPr>
              <w:pStyle w:val="0"/>
              <w:jc w:val="both"/>
            </w:pPr>
            <w:r>
              <w:rPr>
                <w:sz w:val="20"/>
              </w:rPr>
              <w:t xml:space="preserve">Число посещений сельскими жителями ФП, ФАПов и ВА в расчете на одного сельского жителя</w:t>
            </w:r>
          </w:p>
        </w:tc>
        <w:tc>
          <w:tcPr>
            <w:tcW w:w="1531" w:type="dxa"/>
          </w:tcPr>
          <w:p>
            <w:pPr>
              <w:pStyle w:val="0"/>
              <w:jc w:val="both"/>
            </w:pPr>
            <w:r>
              <w:rPr>
                <w:sz w:val="20"/>
              </w:rPr>
              <w:t xml:space="preserve">посещение</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0</w:t>
            </w:r>
          </w:p>
        </w:tc>
      </w:tr>
      <w:tr>
        <w:tc>
          <w:tcPr>
            <w:tcW w:w="1247" w:type="dxa"/>
          </w:tcPr>
          <w:p>
            <w:pPr>
              <w:pStyle w:val="0"/>
              <w:jc w:val="both"/>
            </w:pPr>
            <w:r>
              <w:rPr>
                <w:sz w:val="20"/>
              </w:rPr>
              <w:t xml:space="preserve">8.24 &lt;4&gt;</w:t>
            </w:r>
          </w:p>
        </w:tc>
        <w:tc>
          <w:tcPr>
            <w:tcW w:w="3969" w:type="dxa"/>
          </w:tcPr>
          <w:p>
            <w:pPr>
              <w:pStyle w:val="0"/>
              <w:jc w:val="both"/>
            </w:pPr>
            <w:r>
              <w:rPr>
                <w:sz w:val="20"/>
              </w:rPr>
              <w:t xml:space="preserve">Доля граждан, ежегодно проходящих медицинский осмотр и (или) диспансеризацию, от общего числа населения</w:t>
            </w:r>
          </w:p>
        </w:tc>
        <w:tc>
          <w:tcPr>
            <w:tcW w:w="1531" w:type="dxa"/>
          </w:tcPr>
          <w:p>
            <w:pPr>
              <w:pStyle w:val="0"/>
              <w:jc w:val="both"/>
            </w:pPr>
            <w:r>
              <w:rPr>
                <w:sz w:val="20"/>
              </w:rPr>
              <w:t xml:space="preserve">%</w:t>
            </w:r>
          </w:p>
        </w:tc>
        <w:tc>
          <w:tcPr>
            <w:tcW w:w="1054" w:type="dxa"/>
          </w:tcPr>
          <w:p>
            <w:pPr>
              <w:pStyle w:val="0"/>
              <w:jc w:val="center"/>
            </w:pPr>
            <w:r>
              <w:rPr>
                <w:sz w:val="20"/>
              </w:rPr>
              <w:t xml:space="preserve">18,8</w:t>
            </w:r>
          </w:p>
        </w:tc>
        <w:tc>
          <w:tcPr>
            <w:tcW w:w="1054" w:type="dxa"/>
          </w:tcPr>
          <w:p>
            <w:pPr>
              <w:pStyle w:val="0"/>
              <w:jc w:val="center"/>
            </w:pPr>
            <w:r>
              <w:rPr>
                <w:sz w:val="20"/>
              </w:rPr>
              <w:t xml:space="preserve">25,6 &lt;5&gt;</w:t>
            </w:r>
          </w:p>
        </w:tc>
        <w:tc>
          <w:tcPr>
            <w:tcW w:w="1054" w:type="dxa"/>
          </w:tcPr>
          <w:p>
            <w:pPr>
              <w:pStyle w:val="0"/>
              <w:jc w:val="center"/>
            </w:pPr>
            <w:r>
              <w:rPr>
                <w:sz w:val="20"/>
              </w:rPr>
              <w:t xml:space="preserve">64,3</w:t>
            </w:r>
          </w:p>
        </w:tc>
        <w:tc>
          <w:tcPr>
            <w:tcW w:w="1054" w:type="dxa"/>
          </w:tcPr>
          <w:p>
            <w:pPr>
              <w:pStyle w:val="0"/>
              <w:jc w:val="center"/>
            </w:pPr>
            <w:r>
              <w:rPr>
                <w:sz w:val="20"/>
              </w:rPr>
              <w:t xml:space="preserve">70</w:t>
            </w:r>
          </w:p>
        </w:tc>
        <w:tc>
          <w:tcPr>
            <w:tcW w:w="1054" w:type="dxa"/>
          </w:tcPr>
          <w:p>
            <w:pPr>
              <w:pStyle w:val="0"/>
              <w:jc w:val="center"/>
            </w:pPr>
            <w:r>
              <w:rPr>
                <w:sz w:val="20"/>
              </w:rPr>
              <w:t xml:space="preserve">70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8.25 &lt;4&gt;</w:t>
            </w:r>
          </w:p>
        </w:tc>
        <w:tc>
          <w:tcPr>
            <w:tcW w:w="3969" w:type="dxa"/>
          </w:tcPr>
          <w:p>
            <w:pPr>
              <w:pStyle w:val="0"/>
              <w:jc w:val="both"/>
            </w:pPr>
            <w:r>
              <w:rPr>
                <w:sz w:val="20"/>
              </w:rPr>
              <w:t xml:space="preserve">Доля поликлиник и поликлинических подразделений, участвующих в тиражировании "новой модели организации оказания медицинской помощи", от общего количества</w:t>
            </w:r>
          </w:p>
        </w:tc>
        <w:tc>
          <w:tcPr>
            <w:tcW w:w="1531" w:type="dxa"/>
          </w:tcPr>
          <w:p>
            <w:pPr>
              <w:pStyle w:val="0"/>
              <w:jc w:val="both"/>
            </w:pPr>
            <w:r>
              <w:rPr>
                <w:sz w:val="20"/>
              </w:rPr>
              <w:t xml:space="preserve">%</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8.26 &lt;4&gt;</w:t>
            </w:r>
          </w:p>
        </w:tc>
        <w:tc>
          <w:tcPr>
            <w:tcW w:w="3969" w:type="dxa"/>
          </w:tcPr>
          <w:p>
            <w:pPr>
              <w:pStyle w:val="0"/>
              <w:jc w:val="both"/>
            </w:pPr>
            <w:r>
              <w:rPr>
                <w:sz w:val="20"/>
              </w:rPr>
              <w:t xml:space="preserve">Число выполненных посещений гражданами поликлиник и поликлинических подразделений, участвующих в создании и тиражировании "новой модели организации оказания медицинской помощи"</w:t>
            </w:r>
          </w:p>
        </w:tc>
        <w:tc>
          <w:tcPr>
            <w:tcW w:w="1531" w:type="dxa"/>
          </w:tcPr>
          <w:p>
            <w:pPr>
              <w:pStyle w:val="0"/>
              <w:jc w:val="both"/>
            </w:pPr>
            <w:r>
              <w:rPr>
                <w:sz w:val="20"/>
              </w:rPr>
              <w:t xml:space="preserve">Тысяча посещений</w:t>
            </w:r>
          </w:p>
        </w:tc>
        <w:tc>
          <w:tcPr>
            <w:tcW w:w="1054" w:type="dxa"/>
          </w:tcPr>
          <w:p>
            <w:pPr>
              <w:pStyle w:val="0"/>
              <w:jc w:val="center"/>
            </w:pPr>
            <w:r>
              <w:rPr>
                <w:sz w:val="20"/>
              </w:rPr>
              <w:t xml:space="preserve">1941,9</w:t>
            </w:r>
          </w:p>
        </w:tc>
        <w:tc>
          <w:tcPr>
            <w:tcW w:w="1054" w:type="dxa"/>
          </w:tcPr>
          <w:p>
            <w:pPr>
              <w:pStyle w:val="0"/>
              <w:jc w:val="center"/>
            </w:pPr>
            <w:r>
              <w:rPr>
                <w:sz w:val="20"/>
              </w:rPr>
              <w:t xml:space="preserve">1941,9</w:t>
            </w:r>
          </w:p>
        </w:tc>
        <w:tc>
          <w:tcPr>
            <w:tcW w:w="1054" w:type="dxa"/>
          </w:tcPr>
          <w:p>
            <w:pPr>
              <w:pStyle w:val="0"/>
              <w:jc w:val="center"/>
            </w:pPr>
            <w:r>
              <w:rPr>
                <w:sz w:val="20"/>
              </w:rPr>
              <w:t xml:space="preserve">1941,9</w:t>
            </w:r>
          </w:p>
        </w:tc>
        <w:tc>
          <w:tcPr>
            <w:tcW w:w="1054" w:type="dxa"/>
          </w:tcPr>
          <w:p>
            <w:pPr>
              <w:pStyle w:val="0"/>
              <w:jc w:val="center"/>
            </w:pPr>
            <w:r>
              <w:rPr>
                <w:sz w:val="20"/>
              </w:rPr>
              <w:t xml:space="preserve">1941,9</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8.27 &lt;4&gt;</w:t>
            </w:r>
          </w:p>
        </w:tc>
        <w:tc>
          <w:tcPr>
            <w:tcW w:w="3969" w:type="dxa"/>
          </w:tcPr>
          <w:p>
            <w:pPr>
              <w:pStyle w:val="0"/>
              <w:jc w:val="both"/>
            </w:pPr>
            <w:r>
              <w:rPr>
                <w:sz w:val="20"/>
              </w:rPr>
              <w:t xml:space="preserve">Доля обоснованных жалоб пациентов, застрахованных в системе обязательного медицинского страхования, на оказание медицинской помощи в системе обязательного медицинского страхования, урегулированных в досудебном порядке (от общего числа обоснованных жалоб пациентов), не менее</w:t>
            </w:r>
          </w:p>
        </w:tc>
        <w:tc>
          <w:tcPr>
            <w:tcW w:w="1531" w:type="dxa"/>
          </w:tcPr>
          <w:p>
            <w:pPr>
              <w:pStyle w:val="0"/>
              <w:jc w:val="both"/>
            </w:pPr>
            <w:r>
              <w:rPr>
                <w:sz w:val="20"/>
              </w:rPr>
              <w:t xml:space="preserve">%</w:t>
            </w:r>
          </w:p>
        </w:tc>
        <w:tc>
          <w:tcPr>
            <w:tcW w:w="1054" w:type="dxa"/>
          </w:tcPr>
          <w:p>
            <w:pPr>
              <w:pStyle w:val="0"/>
              <w:jc w:val="center"/>
            </w:pPr>
            <w:r>
              <w:rPr>
                <w:sz w:val="20"/>
              </w:rPr>
              <w:t xml:space="preserve">97</w:t>
            </w:r>
          </w:p>
        </w:tc>
        <w:tc>
          <w:tcPr>
            <w:tcW w:w="1054" w:type="dxa"/>
          </w:tcPr>
          <w:p>
            <w:pPr>
              <w:pStyle w:val="0"/>
              <w:jc w:val="center"/>
            </w:pPr>
            <w:r>
              <w:rPr>
                <w:sz w:val="20"/>
              </w:rPr>
              <w:t xml:space="preserve">97,5</w:t>
            </w:r>
          </w:p>
        </w:tc>
        <w:tc>
          <w:tcPr>
            <w:tcW w:w="1054" w:type="dxa"/>
          </w:tcPr>
          <w:p>
            <w:pPr>
              <w:pStyle w:val="0"/>
              <w:jc w:val="center"/>
            </w:pPr>
            <w:r>
              <w:rPr>
                <w:sz w:val="20"/>
              </w:rPr>
              <w:t xml:space="preserve">98</w:t>
            </w:r>
          </w:p>
        </w:tc>
        <w:tc>
          <w:tcPr>
            <w:tcW w:w="1054" w:type="dxa"/>
          </w:tcPr>
          <w:p>
            <w:pPr>
              <w:pStyle w:val="0"/>
              <w:jc w:val="center"/>
            </w:pPr>
            <w:r>
              <w:rPr>
                <w:sz w:val="20"/>
              </w:rPr>
              <w:t xml:space="preserve">98,5</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8.28 &lt;6&gt;</w:t>
            </w:r>
          </w:p>
        </w:tc>
        <w:tc>
          <w:tcPr>
            <w:tcW w:w="3969" w:type="dxa"/>
          </w:tcPr>
          <w:p>
            <w:pPr>
              <w:pStyle w:val="0"/>
              <w:jc w:val="both"/>
            </w:pPr>
            <w:r>
              <w:rPr>
                <w:sz w:val="20"/>
              </w:rPr>
              <w:t xml:space="preserve">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w:t>
            </w:r>
          </w:p>
        </w:tc>
        <w:tc>
          <w:tcPr>
            <w:tcW w:w="1531" w:type="dxa"/>
          </w:tcPr>
          <w:p>
            <w:pPr>
              <w:pStyle w:val="0"/>
              <w:jc w:val="both"/>
            </w:pPr>
            <w:r>
              <w:rPr>
                <w:sz w:val="20"/>
              </w:rPr>
              <w:t xml:space="preserve">%</w:t>
            </w:r>
          </w:p>
        </w:tc>
        <w:tc>
          <w:tcPr>
            <w:tcW w:w="1054" w:type="dxa"/>
          </w:tcPr>
          <w:p>
            <w:pPr>
              <w:pStyle w:val="0"/>
              <w:jc w:val="center"/>
            </w:pPr>
            <w:r>
              <w:rPr>
                <w:sz w:val="20"/>
              </w:rPr>
              <w:t xml:space="preserve">50</w:t>
            </w:r>
          </w:p>
        </w:tc>
        <w:tc>
          <w:tcPr>
            <w:tcW w:w="1054" w:type="dxa"/>
          </w:tcPr>
          <w:p>
            <w:pPr>
              <w:pStyle w:val="0"/>
              <w:jc w:val="center"/>
            </w:pPr>
            <w:r>
              <w:rPr>
                <w:sz w:val="20"/>
              </w:rPr>
              <w:t xml:space="preserve">60</w:t>
            </w:r>
          </w:p>
        </w:tc>
        <w:tc>
          <w:tcPr>
            <w:tcW w:w="1054" w:type="dxa"/>
          </w:tcPr>
          <w:p>
            <w:pPr>
              <w:pStyle w:val="0"/>
              <w:jc w:val="center"/>
            </w:pPr>
            <w:r>
              <w:rPr>
                <w:sz w:val="20"/>
              </w:rPr>
              <w:t xml:space="preserve">70</w:t>
            </w:r>
          </w:p>
        </w:tc>
        <w:tc>
          <w:tcPr>
            <w:tcW w:w="1054" w:type="dxa"/>
          </w:tcPr>
          <w:p>
            <w:pPr>
              <w:pStyle w:val="0"/>
              <w:jc w:val="center"/>
            </w:pPr>
            <w:r>
              <w:rPr>
                <w:sz w:val="20"/>
              </w:rPr>
              <w:t xml:space="preserve">80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8.29 &lt;6&gt;</w:t>
            </w:r>
          </w:p>
        </w:tc>
        <w:tc>
          <w:tcPr>
            <w:tcW w:w="3969" w:type="dxa"/>
          </w:tcPr>
          <w:p>
            <w:pPr>
              <w:pStyle w:val="0"/>
              <w:jc w:val="both"/>
            </w:pPr>
            <w:r>
              <w:rPr>
                <w:sz w:val="20"/>
              </w:rPr>
              <w:t xml:space="preserve">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БСК/число лиц с БСК, состоящих под диспансерным наблюдением)</w:t>
            </w:r>
          </w:p>
        </w:tc>
        <w:tc>
          <w:tcPr>
            <w:tcW w:w="1531" w:type="dxa"/>
          </w:tcPr>
          <w:p>
            <w:pPr>
              <w:pStyle w:val="0"/>
              <w:jc w:val="both"/>
            </w:pPr>
            <w:r>
              <w:rPr>
                <w:sz w:val="20"/>
              </w:rPr>
              <w:t xml:space="preserve">%</w:t>
            </w:r>
          </w:p>
        </w:tc>
        <w:tc>
          <w:tcPr>
            <w:tcW w:w="1054" w:type="dxa"/>
          </w:tcPr>
          <w:p>
            <w:pPr>
              <w:pStyle w:val="0"/>
              <w:jc w:val="center"/>
            </w:pPr>
            <w:r>
              <w:rPr>
                <w:sz w:val="20"/>
              </w:rPr>
              <w:t xml:space="preserve">0,73</w:t>
            </w:r>
          </w:p>
        </w:tc>
        <w:tc>
          <w:tcPr>
            <w:tcW w:w="1054" w:type="dxa"/>
          </w:tcPr>
          <w:p>
            <w:pPr>
              <w:pStyle w:val="0"/>
              <w:jc w:val="center"/>
            </w:pPr>
            <w:r>
              <w:rPr>
                <w:sz w:val="20"/>
              </w:rPr>
              <w:t xml:space="preserve">0,7</w:t>
            </w:r>
          </w:p>
        </w:tc>
        <w:tc>
          <w:tcPr>
            <w:tcW w:w="1054" w:type="dxa"/>
          </w:tcPr>
          <w:p>
            <w:pPr>
              <w:pStyle w:val="0"/>
              <w:jc w:val="center"/>
            </w:pPr>
            <w:r>
              <w:rPr>
                <w:sz w:val="20"/>
              </w:rPr>
              <w:t xml:space="preserve">0,68</w:t>
            </w:r>
          </w:p>
        </w:tc>
        <w:tc>
          <w:tcPr>
            <w:tcW w:w="1054" w:type="dxa"/>
          </w:tcPr>
          <w:p>
            <w:pPr>
              <w:pStyle w:val="0"/>
              <w:jc w:val="center"/>
            </w:pPr>
            <w:r>
              <w:rPr>
                <w:sz w:val="20"/>
              </w:rPr>
              <w:t xml:space="preserve">0,66</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8.30 &lt;6&gt;</w:t>
            </w:r>
          </w:p>
        </w:tc>
        <w:tc>
          <w:tcPr>
            <w:tcW w:w="3969" w:type="dxa"/>
          </w:tcPr>
          <w:p>
            <w:pPr>
              <w:pStyle w:val="0"/>
              <w:jc w:val="both"/>
            </w:pPr>
            <w:r>
              <w:rPr>
                <w:sz w:val="20"/>
              </w:rPr>
              <w:t xml:space="preserve">Больничная летальность от инфаркта миокарда</w:t>
            </w:r>
          </w:p>
        </w:tc>
        <w:tc>
          <w:tcPr>
            <w:tcW w:w="1531" w:type="dxa"/>
          </w:tcPr>
          <w:p>
            <w:pPr>
              <w:pStyle w:val="0"/>
              <w:jc w:val="both"/>
            </w:pPr>
            <w:r>
              <w:rPr>
                <w:sz w:val="20"/>
              </w:rPr>
              <w:t xml:space="preserve">%</w:t>
            </w:r>
          </w:p>
        </w:tc>
        <w:tc>
          <w:tcPr>
            <w:tcW w:w="1054" w:type="dxa"/>
          </w:tcPr>
          <w:p>
            <w:pPr>
              <w:pStyle w:val="0"/>
              <w:jc w:val="center"/>
            </w:pPr>
            <w:r>
              <w:rPr>
                <w:sz w:val="20"/>
              </w:rPr>
              <w:t xml:space="preserve">11,7</w:t>
            </w:r>
          </w:p>
        </w:tc>
        <w:tc>
          <w:tcPr>
            <w:tcW w:w="1054" w:type="dxa"/>
          </w:tcPr>
          <w:p>
            <w:pPr>
              <w:pStyle w:val="0"/>
              <w:jc w:val="center"/>
            </w:pPr>
            <w:r>
              <w:rPr>
                <w:sz w:val="20"/>
              </w:rPr>
              <w:t xml:space="preserve">11 &lt;7&gt;</w:t>
            </w:r>
          </w:p>
        </w:tc>
        <w:tc>
          <w:tcPr>
            <w:tcW w:w="1054" w:type="dxa"/>
          </w:tcPr>
          <w:p>
            <w:pPr>
              <w:pStyle w:val="0"/>
              <w:jc w:val="center"/>
            </w:pPr>
            <w:r>
              <w:rPr>
                <w:sz w:val="20"/>
              </w:rPr>
              <w:t xml:space="preserve">10,7</w:t>
            </w:r>
          </w:p>
        </w:tc>
        <w:tc>
          <w:tcPr>
            <w:tcW w:w="1054" w:type="dxa"/>
          </w:tcPr>
          <w:p>
            <w:pPr>
              <w:pStyle w:val="0"/>
              <w:jc w:val="center"/>
            </w:pPr>
            <w:r>
              <w:rPr>
                <w:sz w:val="20"/>
              </w:rPr>
              <w:t xml:space="preserve">10,3</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8.31 &lt;6&gt;</w:t>
            </w:r>
          </w:p>
        </w:tc>
        <w:tc>
          <w:tcPr>
            <w:tcW w:w="3969" w:type="dxa"/>
          </w:tcPr>
          <w:p>
            <w:pPr>
              <w:pStyle w:val="0"/>
              <w:jc w:val="both"/>
            </w:pPr>
            <w:r>
              <w:rPr>
                <w:sz w:val="20"/>
              </w:rPr>
              <w:t xml:space="preserve">Больничная летальность от острого нарушения мозгового кровообращения</w:t>
            </w:r>
          </w:p>
        </w:tc>
        <w:tc>
          <w:tcPr>
            <w:tcW w:w="1531" w:type="dxa"/>
          </w:tcPr>
          <w:p>
            <w:pPr>
              <w:pStyle w:val="0"/>
              <w:jc w:val="both"/>
            </w:pPr>
            <w:r>
              <w:rPr>
                <w:sz w:val="20"/>
              </w:rPr>
              <w:t xml:space="preserve">%</w:t>
            </w:r>
          </w:p>
        </w:tc>
        <w:tc>
          <w:tcPr>
            <w:tcW w:w="1054" w:type="dxa"/>
          </w:tcPr>
          <w:p>
            <w:pPr>
              <w:pStyle w:val="0"/>
              <w:jc w:val="center"/>
            </w:pPr>
            <w:r>
              <w:rPr>
                <w:sz w:val="20"/>
              </w:rPr>
              <w:t xml:space="preserve">21,5</w:t>
            </w:r>
          </w:p>
        </w:tc>
        <w:tc>
          <w:tcPr>
            <w:tcW w:w="1054" w:type="dxa"/>
          </w:tcPr>
          <w:p>
            <w:pPr>
              <w:pStyle w:val="0"/>
              <w:jc w:val="center"/>
            </w:pPr>
            <w:r>
              <w:rPr>
                <w:sz w:val="20"/>
              </w:rPr>
              <w:t xml:space="preserve">19,1 &lt;7&gt;</w:t>
            </w:r>
          </w:p>
        </w:tc>
        <w:tc>
          <w:tcPr>
            <w:tcW w:w="1054" w:type="dxa"/>
          </w:tcPr>
          <w:p>
            <w:pPr>
              <w:pStyle w:val="0"/>
              <w:jc w:val="center"/>
            </w:pPr>
            <w:r>
              <w:rPr>
                <w:sz w:val="20"/>
              </w:rPr>
              <w:t xml:space="preserve">16,9</w:t>
            </w:r>
          </w:p>
        </w:tc>
        <w:tc>
          <w:tcPr>
            <w:tcW w:w="1054" w:type="dxa"/>
          </w:tcPr>
          <w:p>
            <w:pPr>
              <w:pStyle w:val="0"/>
              <w:jc w:val="center"/>
            </w:pPr>
            <w:r>
              <w:rPr>
                <w:sz w:val="20"/>
              </w:rPr>
              <w:t xml:space="preserve">14,6</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8.32 &lt;6&gt;</w:t>
            </w:r>
          </w:p>
        </w:tc>
        <w:tc>
          <w:tcPr>
            <w:tcW w:w="3969" w:type="dxa"/>
          </w:tcPr>
          <w:p>
            <w:pPr>
              <w:pStyle w:val="0"/>
              <w:jc w:val="both"/>
            </w:pPr>
            <w:r>
              <w:rPr>
                <w:sz w:val="20"/>
              </w:rPr>
              <w:t xml:space="preserve">Количество рентген-эндоваскулярных вмешательств в лечебных целях</w:t>
            </w:r>
          </w:p>
        </w:tc>
        <w:tc>
          <w:tcPr>
            <w:tcW w:w="1531" w:type="dxa"/>
          </w:tcPr>
          <w:p>
            <w:pPr>
              <w:pStyle w:val="0"/>
              <w:jc w:val="both"/>
            </w:pPr>
            <w:r>
              <w:rPr>
                <w:sz w:val="20"/>
              </w:rPr>
              <w:t xml:space="preserve">тыс. единиц</w:t>
            </w:r>
          </w:p>
        </w:tc>
        <w:tc>
          <w:tcPr>
            <w:tcW w:w="1054" w:type="dxa"/>
          </w:tcPr>
          <w:p>
            <w:pPr>
              <w:pStyle w:val="0"/>
              <w:jc w:val="center"/>
            </w:pPr>
            <w:r>
              <w:rPr>
                <w:sz w:val="20"/>
              </w:rPr>
              <w:t xml:space="preserve">0,753</w:t>
            </w:r>
          </w:p>
        </w:tc>
        <w:tc>
          <w:tcPr>
            <w:tcW w:w="1054" w:type="dxa"/>
          </w:tcPr>
          <w:p>
            <w:pPr>
              <w:pStyle w:val="0"/>
              <w:jc w:val="center"/>
            </w:pPr>
            <w:r>
              <w:rPr>
                <w:sz w:val="20"/>
              </w:rPr>
              <w:t xml:space="preserve">0,808 &lt;7&gt;</w:t>
            </w:r>
          </w:p>
        </w:tc>
        <w:tc>
          <w:tcPr>
            <w:tcW w:w="1054" w:type="dxa"/>
          </w:tcPr>
          <w:p>
            <w:pPr>
              <w:pStyle w:val="0"/>
              <w:jc w:val="center"/>
            </w:pPr>
            <w:r>
              <w:rPr>
                <w:sz w:val="20"/>
              </w:rPr>
              <w:t xml:space="preserve">0,809</w:t>
            </w:r>
          </w:p>
        </w:tc>
        <w:tc>
          <w:tcPr>
            <w:tcW w:w="1054" w:type="dxa"/>
          </w:tcPr>
          <w:p>
            <w:pPr>
              <w:pStyle w:val="0"/>
              <w:jc w:val="center"/>
            </w:pPr>
            <w:r>
              <w:rPr>
                <w:sz w:val="20"/>
              </w:rPr>
              <w:t xml:space="preserve">0,813</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8.33 &lt;6&gt;</w:t>
            </w:r>
          </w:p>
        </w:tc>
        <w:tc>
          <w:tcPr>
            <w:tcW w:w="3969" w:type="dxa"/>
          </w:tcPr>
          <w:p>
            <w:pPr>
              <w:pStyle w:val="0"/>
              <w:jc w:val="both"/>
            </w:pPr>
            <w:r>
              <w:rPr>
                <w:sz w:val="20"/>
              </w:rPr>
              <w:t xml:space="preserve">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w:t>
            </w:r>
          </w:p>
        </w:tc>
        <w:tc>
          <w:tcPr>
            <w:tcW w:w="1531" w:type="dxa"/>
          </w:tcPr>
          <w:p>
            <w:pPr>
              <w:pStyle w:val="0"/>
              <w:jc w:val="both"/>
            </w:pPr>
            <w:r>
              <w:rPr>
                <w:sz w:val="20"/>
              </w:rPr>
              <w:t xml:space="preserve">%</w:t>
            </w:r>
          </w:p>
        </w:tc>
        <w:tc>
          <w:tcPr>
            <w:tcW w:w="1054" w:type="dxa"/>
          </w:tcPr>
          <w:p>
            <w:pPr>
              <w:pStyle w:val="0"/>
              <w:jc w:val="center"/>
            </w:pPr>
            <w:r>
              <w:rPr>
                <w:sz w:val="20"/>
              </w:rPr>
              <w:t xml:space="preserve">80</w:t>
            </w:r>
          </w:p>
        </w:tc>
        <w:tc>
          <w:tcPr>
            <w:tcW w:w="1054" w:type="dxa"/>
          </w:tcPr>
          <w:p>
            <w:pPr>
              <w:pStyle w:val="0"/>
              <w:jc w:val="center"/>
            </w:pPr>
            <w:r>
              <w:rPr>
                <w:sz w:val="20"/>
              </w:rPr>
              <w:t xml:space="preserve">85</w:t>
            </w:r>
          </w:p>
        </w:tc>
        <w:tc>
          <w:tcPr>
            <w:tcW w:w="1054" w:type="dxa"/>
          </w:tcPr>
          <w:p>
            <w:pPr>
              <w:pStyle w:val="0"/>
              <w:jc w:val="center"/>
            </w:pPr>
            <w:r>
              <w:rPr>
                <w:sz w:val="20"/>
              </w:rPr>
              <w:t xml:space="preserve">90</w:t>
            </w:r>
          </w:p>
        </w:tc>
        <w:tc>
          <w:tcPr>
            <w:tcW w:w="1054" w:type="dxa"/>
          </w:tcPr>
          <w:p>
            <w:pPr>
              <w:pStyle w:val="0"/>
              <w:jc w:val="center"/>
            </w:pPr>
            <w:r>
              <w:rPr>
                <w:sz w:val="20"/>
              </w:rPr>
              <w:t xml:space="preserve">90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8.34 &lt;8&gt;</w:t>
            </w:r>
          </w:p>
        </w:tc>
        <w:tc>
          <w:tcPr>
            <w:tcW w:w="3969" w:type="dxa"/>
          </w:tcPr>
          <w:p>
            <w:pPr>
              <w:pStyle w:val="0"/>
              <w:jc w:val="both"/>
            </w:pPr>
            <w:r>
              <w:rPr>
                <w:sz w:val="20"/>
              </w:rPr>
              <w:t xml:space="preserve">Удельный вес больных со злокачественными новообразованиями, состоящих на учете 5 лет и более, из общего числа больных со злокачественными образованиями, состоящих под диспансерным наблюдением</w:t>
            </w:r>
          </w:p>
        </w:tc>
        <w:tc>
          <w:tcPr>
            <w:tcW w:w="1531" w:type="dxa"/>
          </w:tcPr>
          <w:p>
            <w:pPr>
              <w:pStyle w:val="0"/>
              <w:jc w:val="both"/>
            </w:pPr>
            <w:r>
              <w:rPr>
                <w:sz w:val="20"/>
              </w:rPr>
              <w:t xml:space="preserve">%</w:t>
            </w:r>
          </w:p>
        </w:tc>
        <w:tc>
          <w:tcPr>
            <w:tcW w:w="1054" w:type="dxa"/>
          </w:tcPr>
          <w:p>
            <w:pPr>
              <w:pStyle w:val="0"/>
              <w:jc w:val="center"/>
            </w:pPr>
            <w:r>
              <w:rPr>
                <w:sz w:val="20"/>
              </w:rPr>
              <w:t xml:space="preserve">51,2</w:t>
            </w:r>
          </w:p>
        </w:tc>
        <w:tc>
          <w:tcPr>
            <w:tcW w:w="1054" w:type="dxa"/>
          </w:tcPr>
          <w:p>
            <w:pPr>
              <w:pStyle w:val="0"/>
              <w:jc w:val="center"/>
            </w:pPr>
            <w:r>
              <w:rPr>
                <w:sz w:val="20"/>
              </w:rPr>
              <w:t xml:space="preserve">53,7</w:t>
            </w:r>
          </w:p>
        </w:tc>
        <w:tc>
          <w:tcPr>
            <w:tcW w:w="1054" w:type="dxa"/>
          </w:tcPr>
          <w:p>
            <w:pPr>
              <w:pStyle w:val="0"/>
              <w:jc w:val="center"/>
            </w:pPr>
            <w:r>
              <w:rPr>
                <w:sz w:val="20"/>
              </w:rPr>
              <w:t xml:space="preserve">55,9</w:t>
            </w:r>
          </w:p>
        </w:tc>
        <w:tc>
          <w:tcPr>
            <w:tcW w:w="1054" w:type="dxa"/>
          </w:tcPr>
          <w:p>
            <w:pPr>
              <w:pStyle w:val="0"/>
              <w:jc w:val="center"/>
            </w:pPr>
            <w:r>
              <w:rPr>
                <w:sz w:val="20"/>
              </w:rPr>
              <w:t xml:space="preserve">60,0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8.35 &lt;8&gt;</w:t>
            </w:r>
          </w:p>
        </w:tc>
        <w:tc>
          <w:tcPr>
            <w:tcW w:w="3969" w:type="dxa"/>
          </w:tcPr>
          <w:p>
            <w:pPr>
              <w:pStyle w:val="0"/>
              <w:jc w:val="both"/>
            </w:pPr>
            <w:r>
              <w:rPr>
                <w:sz w:val="20"/>
              </w:rPr>
              <w:t xml:space="preserve">Доля злокачественных новообразований, выявленных на I и II стадиях</w:t>
            </w:r>
          </w:p>
        </w:tc>
        <w:tc>
          <w:tcPr>
            <w:tcW w:w="1531" w:type="dxa"/>
          </w:tcPr>
          <w:p>
            <w:pPr>
              <w:pStyle w:val="0"/>
              <w:jc w:val="both"/>
            </w:pPr>
            <w:r>
              <w:rPr>
                <w:sz w:val="20"/>
              </w:rPr>
              <w:t xml:space="preserve">%</w:t>
            </w:r>
          </w:p>
        </w:tc>
        <w:tc>
          <w:tcPr>
            <w:tcW w:w="1054" w:type="dxa"/>
          </w:tcPr>
          <w:p>
            <w:pPr>
              <w:pStyle w:val="0"/>
              <w:jc w:val="center"/>
            </w:pPr>
            <w:r>
              <w:rPr>
                <w:sz w:val="20"/>
              </w:rPr>
              <w:t xml:space="preserve">58,7</w:t>
            </w:r>
          </w:p>
        </w:tc>
        <w:tc>
          <w:tcPr>
            <w:tcW w:w="1054" w:type="dxa"/>
          </w:tcPr>
          <w:p>
            <w:pPr>
              <w:pStyle w:val="0"/>
              <w:jc w:val="center"/>
            </w:pPr>
            <w:r>
              <w:rPr>
                <w:sz w:val="20"/>
              </w:rPr>
              <w:t xml:space="preserve">59,1 &lt;9&gt;</w:t>
            </w:r>
          </w:p>
        </w:tc>
        <w:tc>
          <w:tcPr>
            <w:tcW w:w="1054" w:type="dxa"/>
          </w:tcPr>
          <w:p>
            <w:pPr>
              <w:pStyle w:val="0"/>
              <w:jc w:val="center"/>
            </w:pPr>
            <w:r>
              <w:rPr>
                <w:sz w:val="20"/>
              </w:rPr>
              <w:t xml:space="preserve">59,7</w:t>
            </w:r>
          </w:p>
        </w:tc>
        <w:tc>
          <w:tcPr>
            <w:tcW w:w="1054" w:type="dxa"/>
          </w:tcPr>
          <w:p>
            <w:pPr>
              <w:pStyle w:val="0"/>
              <w:jc w:val="center"/>
            </w:pPr>
            <w:r>
              <w:rPr>
                <w:sz w:val="20"/>
              </w:rPr>
              <w:t xml:space="preserve">61,5</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8.36 &lt;8&gt;</w:t>
            </w:r>
          </w:p>
        </w:tc>
        <w:tc>
          <w:tcPr>
            <w:tcW w:w="3969" w:type="dxa"/>
          </w:tcPr>
          <w:p>
            <w:pPr>
              <w:pStyle w:val="0"/>
              <w:jc w:val="both"/>
            </w:pPr>
            <w:r>
              <w:rPr>
                <w:sz w:val="20"/>
              </w:rPr>
              <w:t xml:space="preserve">Доля лиц с онкологическими заболеваниями, прошедших обследование и/или лечение в текущем году, из числа состоящих под диспансерным наблюдением</w:t>
            </w:r>
          </w:p>
        </w:tc>
        <w:tc>
          <w:tcPr>
            <w:tcW w:w="1531" w:type="dxa"/>
          </w:tcPr>
          <w:p>
            <w:pPr>
              <w:pStyle w:val="0"/>
              <w:jc w:val="both"/>
            </w:pPr>
            <w:r>
              <w:rPr>
                <w:sz w:val="20"/>
              </w:rPr>
              <w:t xml:space="preserve">%</w:t>
            </w:r>
          </w:p>
        </w:tc>
        <w:tc>
          <w:tcPr>
            <w:tcW w:w="1054" w:type="dxa"/>
          </w:tcPr>
          <w:p>
            <w:pPr>
              <w:pStyle w:val="0"/>
              <w:jc w:val="center"/>
            </w:pPr>
            <w:r>
              <w:rPr>
                <w:sz w:val="20"/>
              </w:rPr>
              <w:t xml:space="preserve">66</w:t>
            </w:r>
          </w:p>
        </w:tc>
        <w:tc>
          <w:tcPr>
            <w:tcW w:w="1054" w:type="dxa"/>
          </w:tcPr>
          <w:p>
            <w:pPr>
              <w:pStyle w:val="0"/>
              <w:jc w:val="center"/>
            </w:pPr>
            <w:r>
              <w:rPr>
                <w:sz w:val="20"/>
              </w:rPr>
              <w:t xml:space="preserve">70</w:t>
            </w:r>
          </w:p>
        </w:tc>
        <w:tc>
          <w:tcPr>
            <w:tcW w:w="1054" w:type="dxa"/>
          </w:tcPr>
          <w:p>
            <w:pPr>
              <w:pStyle w:val="0"/>
              <w:jc w:val="center"/>
            </w:pPr>
            <w:r>
              <w:rPr>
                <w:sz w:val="20"/>
              </w:rPr>
              <w:t xml:space="preserve">75</w:t>
            </w:r>
          </w:p>
        </w:tc>
        <w:tc>
          <w:tcPr>
            <w:tcW w:w="1054" w:type="dxa"/>
          </w:tcPr>
          <w:p>
            <w:pPr>
              <w:pStyle w:val="0"/>
              <w:jc w:val="center"/>
            </w:pPr>
            <w:r>
              <w:rPr>
                <w:sz w:val="20"/>
              </w:rPr>
              <w:t xml:space="preserve">80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8.37 &lt;8&gt;</w:t>
            </w:r>
          </w:p>
        </w:tc>
        <w:tc>
          <w:tcPr>
            <w:tcW w:w="3969" w:type="dxa"/>
          </w:tcPr>
          <w:p>
            <w:pPr>
              <w:pStyle w:val="0"/>
              <w:jc w:val="both"/>
            </w:pPr>
            <w:r>
              <w:rPr>
                <w:sz w:val="20"/>
              </w:rPr>
              <w:t xml:space="preserve">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под диспансерное наблюдение в предыдущем году)</w:t>
            </w:r>
          </w:p>
        </w:tc>
        <w:tc>
          <w:tcPr>
            <w:tcW w:w="1531" w:type="dxa"/>
          </w:tcPr>
          <w:p>
            <w:pPr>
              <w:pStyle w:val="0"/>
              <w:jc w:val="both"/>
            </w:pPr>
            <w:r>
              <w:rPr>
                <w:sz w:val="20"/>
              </w:rPr>
              <w:t xml:space="preserve">%</w:t>
            </w:r>
          </w:p>
        </w:tc>
        <w:tc>
          <w:tcPr>
            <w:tcW w:w="1054" w:type="dxa"/>
          </w:tcPr>
          <w:p>
            <w:pPr>
              <w:pStyle w:val="0"/>
              <w:jc w:val="center"/>
            </w:pPr>
            <w:r>
              <w:rPr>
                <w:sz w:val="20"/>
              </w:rPr>
              <w:t xml:space="preserve">19,2</w:t>
            </w:r>
          </w:p>
        </w:tc>
        <w:tc>
          <w:tcPr>
            <w:tcW w:w="1054" w:type="dxa"/>
          </w:tcPr>
          <w:p>
            <w:pPr>
              <w:pStyle w:val="0"/>
              <w:jc w:val="center"/>
            </w:pPr>
            <w:r>
              <w:rPr>
                <w:sz w:val="20"/>
              </w:rPr>
              <w:t xml:space="preserve">19,6 &lt;9&gt;</w:t>
            </w:r>
          </w:p>
        </w:tc>
        <w:tc>
          <w:tcPr>
            <w:tcW w:w="1054" w:type="dxa"/>
          </w:tcPr>
          <w:p>
            <w:pPr>
              <w:pStyle w:val="0"/>
              <w:jc w:val="center"/>
            </w:pPr>
            <w:r>
              <w:rPr>
                <w:sz w:val="20"/>
              </w:rPr>
              <w:t xml:space="preserve">19,3</w:t>
            </w:r>
          </w:p>
        </w:tc>
        <w:tc>
          <w:tcPr>
            <w:tcW w:w="1054" w:type="dxa"/>
          </w:tcPr>
          <w:p>
            <w:pPr>
              <w:pStyle w:val="0"/>
              <w:jc w:val="center"/>
            </w:pPr>
            <w:r>
              <w:rPr>
                <w:sz w:val="20"/>
              </w:rPr>
              <w:t xml:space="preserve">19,1</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8.38 &lt;10&gt;</w:t>
            </w:r>
          </w:p>
        </w:tc>
        <w:tc>
          <w:tcPr>
            <w:tcW w:w="3969" w:type="dxa"/>
          </w:tcPr>
          <w:p>
            <w:pPr>
              <w:pStyle w:val="0"/>
              <w:jc w:val="both"/>
            </w:pPr>
            <w:r>
              <w:rPr>
                <w:sz w:val="20"/>
              </w:rPr>
              <w:t xml:space="preserve">Число граждан, воспользовавшихся услугами (сервисами) в Личном кабинете пациента "Мое здоровье" на Едином портале государственных услуг и функций</w:t>
            </w:r>
          </w:p>
        </w:tc>
        <w:tc>
          <w:tcPr>
            <w:tcW w:w="1531" w:type="dxa"/>
          </w:tcPr>
          <w:p>
            <w:pPr>
              <w:pStyle w:val="0"/>
              <w:jc w:val="both"/>
            </w:pPr>
            <w:r>
              <w:rPr>
                <w:sz w:val="20"/>
              </w:rPr>
              <w:t xml:space="preserve">тыс. чел.</w:t>
            </w:r>
          </w:p>
        </w:tc>
        <w:tc>
          <w:tcPr>
            <w:tcW w:w="1054" w:type="dxa"/>
          </w:tcPr>
          <w:p>
            <w:pPr>
              <w:pStyle w:val="0"/>
              <w:jc w:val="center"/>
            </w:pPr>
            <w:r>
              <w:rPr>
                <w:sz w:val="20"/>
              </w:rPr>
              <w:t xml:space="preserve">152,85</w:t>
            </w:r>
          </w:p>
        </w:tc>
        <w:tc>
          <w:tcPr>
            <w:tcW w:w="1054" w:type="dxa"/>
          </w:tcPr>
          <w:p>
            <w:pPr>
              <w:pStyle w:val="0"/>
              <w:jc w:val="center"/>
            </w:pPr>
            <w:r>
              <w:rPr>
                <w:sz w:val="20"/>
              </w:rPr>
              <w:t xml:space="preserve">177,3</w:t>
            </w:r>
          </w:p>
        </w:tc>
        <w:tc>
          <w:tcPr>
            <w:tcW w:w="1054" w:type="dxa"/>
          </w:tcPr>
          <w:p>
            <w:pPr>
              <w:pStyle w:val="0"/>
              <w:jc w:val="center"/>
            </w:pPr>
            <w:r>
              <w:rPr>
                <w:sz w:val="20"/>
              </w:rPr>
              <w:t xml:space="preserve">201,09</w:t>
            </w:r>
          </w:p>
        </w:tc>
        <w:tc>
          <w:tcPr>
            <w:tcW w:w="1054" w:type="dxa"/>
          </w:tcPr>
          <w:p>
            <w:pPr>
              <w:pStyle w:val="0"/>
              <w:jc w:val="center"/>
            </w:pPr>
            <w:r>
              <w:rPr>
                <w:sz w:val="20"/>
              </w:rPr>
              <w:t xml:space="preserve">210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8.39 &lt;10&gt;</w:t>
            </w:r>
          </w:p>
        </w:tc>
        <w:tc>
          <w:tcPr>
            <w:tcW w:w="3969" w:type="dxa"/>
          </w:tcPr>
          <w:p>
            <w:pPr>
              <w:pStyle w:val="0"/>
              <w:jc w:val="both"/>
            </w:pPr>
            <w:r>
              <w:rPr>
                <w:sz w:val="20"/>
              </w:rPr>
              <w:t xml:space="preserve">Доля медицинских организаций государственной и муниципальной систем здравоохранения, подключенных к централизованным подсистемам государственных информационных систем в сфере здравоохранения субъектов Российской Федерации</w:t>
            </w:r>
          </w:p>
        </w:tc>
        <w:tc>
          <w:tcPr>
            <w:tcW w:w="1531" w:type="dxa"/>
          </w:tcPr>
          <w:p>
            <w:pPr>
              <w:pStyle w:val="0"/>
              <w:jc w:val="both"/>
            </w:pPr>
            <w:r>
              <w:rPr>
                <w:sz w:val="20"/>
              </w:rPr>
              <w:t xml:space="preserve">%</w:t>
            </w:r>
          </w:p>
        </w:tc>
        <w:tc>
          <w:tcPr>
            <w:tcW w:w="1054" w:type="dxa"/>
          </w:tcPr>
          <w:p>
            <w:pPr>
              <w:pStyle w:val="0"/>
              <w:jc w:val="center"/>
            </w:pPr>
            <w:r>
              <w:rPr>
                <w:sz w:val="20"/>
              </w:rPr>
              <w:t xml:space="preserve">95</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8.40 &lt;10&gt;</w:t>
            </w:r>
          </w:p>
        </w:tc>
        <w:tc>
          <w:tcPr>
            <w:tcW w:w="3969" w:type="dxa"/>
          </w:tcPr>
          <w:p>
            <w:pPr>
              <w:pStyle w:val="0"/>
              <w:jc w:val="both"/>
            </w:pPr>
            <w:r>
              <w:rPr>
                <w:sz w:val="20"/>
              </w:rPr>
              <w:t xml:space="preserve">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w:t>
            </w:r>
          </w:p>
        </w:tc>
        <w:tc>
          <w:tcPr>
            <w:tcW w:w="1531" w:type="dxa"/>
          </w:tcPr>
          <w:p>
            <w:pPr>
              <w:pStyle w:val="0"/>
              <w:jc w:val="both"/>
            </w:pPr>
            <w:r>
              <w:rPr>
                <w:sz w:val="20"/>
              </w:rPr>
              <w:t xml:space="preserve">%</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8.41 &lt;10&gt;</w:t>
            </w:r>
          </w:p>
        </w:tc>
        <w:tc>
          <w:tcPr>
            <w:tcW w:w="3969" w:type="dxa"/>
          </w:tcPr>
          <w:p>
            <w:pPr>
              <w:pStyle w:val="0"/>
              <w:jc w:val="both"/>
            </w:pPr>
            <w:r>
              <w:rPr>
                <w:sz w:val="20"/>
              </w:rPr>
              <w:t xml:space="preserve">Доля записей на прием к врачу, совершенных гражданами дистанционно</w:t>
            </w:r>
          </w:p>
        </w:tc>
        <w:tc>
          <w:tcPr>
            <w:tcW w:w="1531" w:type="dxa"/>
          </w:tcPr>
          <w:p>
            <w:pPr>
              <w:pStyle w:val="0"/>
              <w:jc w:val="both"/>
            </w:pPr>
            <w:r>
              <w:rPr>
                <w:sz w:val="20"/>
              </w:rPr>
              <w:t xml:space="preserve">%</w:t>
            </w:r>
          </w:p>
        </w:tc>
        <w:tc>
          <w:tcPr>
            <w:tcW w:w="1054" w:type="dxa"/>
          </w:tcPr>
          <w:p>
            <w:pPr>
              <w:pStyle w:val="0"/>
              <w:jc w:val="center"/>
            </w:pPr>
            <w:r>
              <w:rPr>
                <w:sz w:val="20"/>
              </w:rPr>
              <w:t xml:space="preserve">40</w:t>
            </w:r>
          </w:p>
        </w:tc>
        <w:tc>
          <w:tcPr>
            <w:tcW w:w="1054" w:type="dxa"/>
          </w:tcPr>
          <w:p>
            <w:pPr>
              <w:pStyle w:val="0"/>
              <w:jc w:val="center"/>
            </w:pPr>
            <w:r>
              <w:rPr>
                <w:sz w:val="20"/>
              </w:rPr>
              <w:t xml:space="preserve">48</w:t>
            </w:r>
          </w:p>
        </w:tc>
        <w:tc>
          <w:tcPr>
            <w:tcW w:w="1054" w:type="dxa"/>
          </w:tcPr>
          <w:p>
            <w:pPr>
              <w:pStyle w:val="0"/>
              <w:jc w:val="center"/>
            </w:pPr>
            <w:r>
              <w:rPr>
                <w:sz w:val="20"/>
              </w:rPr>
              <w:t xml:space="preserve">56</w:t>
            </w:r>
          </w:p>
        </w:tc>
        <w:tc>
          <w:tcPr>
            <w:tcW w:w="1054" w:type="dxa"/>
          </w:tcPr>
          <w:p>
            <w:pPr>
              <w:pStyle w:val="0"/>
              <w:jc w:val="center"/>
            </w:pPr>
            <w:r>
              <w:rPr>
                <w:sz w:val="20"/>
              </w:rPr>
              <w:t xml:space="preserve">63</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8.42 &lt;10&gt;</w:t>
            </w:r>
          </w:p>
        </w:tc>
        <w:tc>
          <w:tcPr>
            <w:tcW w:w="3969" w:type="dxa"/>
          </w:tcPr>
          <w:p>
            <w:pPr>
              <w:pStyle w:val="0"/>
              <w:jc w:val="both"/>
            </w:pPr>
            <w:r>
              <w:rPr>
                <w:sz w:val="20"/>
              </w:rPr>
              <w:t xml:space="preserve">Доля случаев оказания медицинской помощи, по которым представлены электронные медицинские документы в подсистеме ЕГИСЗ, за период</w:t>
            </w:r>
          </w:p>
        </w:tc>
        <w:tc>
          <w:tcPr>
            <w:tcW w:w="1531" w:type="dxa"/>
          </w:tcPr>
          <w:p>
            <w:pPr>
              <w:pStyle w:val="0"/>
              <w:jc w:val="both"/>
            </w:pPr>
            <w:r>
              <w:rPr>
                <w:sz w:val="20"/>
              </w:rPr>
              <w:t xml:space="preserve">%</w:t>
            </w:r>
          </w:p>
        </w:tc>
        <w:tc>
          <w:tcPr>
            <w:tcW w:w="1054" w:type="dxa"/>
          </w:tcPr>
          <w:p>
            <w:pPr>
              <w:pStyle w:val="0"/>
              <w:jc w:val="center"/>
            </w:pPr>
            <w:r>
              <w:rPr>
                <w:sz w:val="20"/>
              </w:rPr>
              <w:t xml:space="preserve">43</w:t>
            </w:r>
          </w:p>
        </w:tc>
        <w:tc>
          <w:tcPr>
            <w:tcW w:w="1054" w:type="dxa"/>
          </w:tcPr>
          <w:p>
            <w:pPr>
              <w:pStyle w:val="0"/>
              <w:jc w:val="center"/>
            </w:pPr>
            <w:r>
              <w:rPr>
                <w:sz w:val="20"/>
              </w:rPr>
              <w:t xml:space="preserve">62</w:t>
            </w:r>
          </w:p>
        </w:tc>
        <w:tc>
          <w:tcPr>
            <w:tcW w:w="1054" w:type="dxa"/>
          </w:tcPr>
          <w:p>
            <w:pPr>
              <w:pStyle w:val="0"/>
              <w:jc w:val="center"/>
            </w:pPr>
            <w:r>
              <w:rPr>
                <w:sz w:val="20"/>
              </w:rPr>
              <w:t xml:space="preserve">81</w:t>
            </w:r>
          </w:p>
        </w:tc>
        <w:tc>
          <w:tcPr>
            <w:tcW w:w="1054" w:type="dxa"/>
          </w:tcPr>
          <w:p>
            <w:pPr>
              <w:pStyle w:val="0"/>
              <w:jc w:val="center"/>
            </w:pPr>
            <w:r>
              <w:rPr>
                <w:sz w:val="20"/>
              </w:rPr>
              <w:t xml:space="preserve">100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8.43 &lt;10&gt;</w:t>
            </w:r>
          </w:p>
        </w:tc>
        <w:tc>
          <w:tcPr>
            <w:tcW w:w="3969" w:type="dxa"/>
          </w:tcPr>
          <w:p>
            <w:pPr>
              <w:pStyle w:val="0"/>
              <w:jc w:val="both"/>
            </w:pPr>
            <w:r>
              <w:rPr>
                <w:sz w:val="20"/>
              </w:rPr>
              <w:t xml:space="preserve">Доля граждан, являющихся пользователями ЕПГУ, которым доступны электронные медицинские документы в Личном кабинете пациента "Мое здоровье" по факту оказания медицинской помощи, за период</w:t>
            </w:r>
          </w:p>
        </w:tc>
        <w:tc>
          <w:tcPr>
            <w:tcW w:w="1531" w:type="dxa"/>
          </w:tcPr>
          <w:p>
            <w:pPr>
              <w:pStyle w:val="0"/>
              <w:jc w:val="both"/>
            </w:pPr>
            <w:r>
              <w:rPr>
                <w:sz w:val="20"/>
              </w:rPr>
              <w:t xml:space="preserve">%</w:t>
            </w:r>
          </w:p>
        </w:tc>
        <w:tc>
          <w:tcPr>
            <w:tcW w:w="1054" w:type="dxa"/>
          </w:tcPr>
          <w:p>
            <w:pPr>
              <w:pStyle w:val="0"/>
              <w:jc w:val="center"/>
            </w:pPr>
            <w:r>
              <w:rPr>
                <w:sz w:val="20"/>
              </w:rPr>
              <w:t xml:space="preserve">10</w:t>
            </w:r>
          </w:p>
        </w:tc>
        <w:tc>
          <w:tcPr>
            <w:tcW w:w="1054" w:type="dxa"/>
          </w:tcPr>
          <w:p>
            <w:pPr>
              <w:pStyle w:val="0"/>
              <w:jc w:val="center"/>
            </w:pPr>
            <w:r>
              <w:rPr>
                <w:sz w:val="20"/>
              </w:rPr>
              <w:t xml:space="preserve">31</w:t>
            </w:r>
          </w:p>
        </w:tc>
        <w:tc>
          <w:tcPr>
            <w:tcW w:w="1054" w:type="dxa"/>
          </w:tcPr>
          <w:p>
            <w:pPr>
              <w:pStyle w:val="0"/>
              <w:jc w:val="center"/>
            </w:pPr>
            <w:r>
              <w:rPr>
                <w:sz w:val="20"/>
              </w:rPr>
              <w:t xml:space="preserve">62</w:t>
            </w:r>
          </w:p>
        </w:tc>
        <w:tc>
          <w:tcPr>
            <w:tcW w:w="1054" w:type="dxa"/>
          </w:tcPr>
          <w:p>
            <w:pPr>
              <w:pStyle w:val="0"/>
              <w:jc w:val="center"/>
            </w:pPr>
            <w:r>
              <w:rPr>
                <w:sz w:val="20"/>
              </w:rPr>
              <w:t xml:space="preserve">82</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8.44 &lt;11&gt;</w:t>
            </w:r>
          </w:p>
        </w:tc>
        <w:tc>
          <w:tcPr>
            <w:tcW w:w="3969" w:type="dxa"/>
          </w:tcPr>
          <w:p>
            <w:pPr>
              <w:pStyle w:val="0"/>
              <w:jc w:val="both"/>
            </w:pPr>
            <w:r>
              <w:rPr>
                <w:sz w:val="20"/>
              </w:rPr>
              <w:t xml:space="preserve">Обеспеченность населения врачами, работающими в государственных и муниципальных медицинских организациях, чел. на 10 тыс. населения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33,7</w:t>
            </w:r>
          </w:p>
        </w:tc>
        <w:tc>
          <w:tcPr>
            <w:tcW w:w="1054" w:type="dxa"/>
          </w:tcPr>
          <w:p>
            <w:pPr>
              <w:pStyle w:val="0"/>
              <w:jc w:val="center"/>
            </w:pPr>
            <w:r>
              <w:rPr>
                <w:sz w:val="20"/>
              </w:rPr>
              <w:t xml:space="preserve">33,9</w:t>
            </w:r>
          </w:p>
        </w:tc>
        <w:tc>
          <w:tcPr>
            <w:tcW w:w="1054" w:type="dxa"/>
          </w:tcPr>
          <w:p>
            <w:pPr>
              <w:pStyle w:val="0"/>
              <w:jc w:val="center"/>
            </w:pPr>
            <w:r>
              <w:rPr>
                <w:sz w:val="20"/>
              </w:rPr>
              <w:t xml:space="preserve">34,2</w:t>
            </w:r>
          </w:p>
        </w:tc>
        <w:tc>
          <w:tcPr>
            <w:tcW w:w="1054" w:type="dxa"/>
          </w:tcPr>
          <w:p>
            <w:pPr>
              <w:pStyle w:val="0"/>
              <w:jc w:val="center"/>
            </w:pPr>
            <w:r>
              <w:rPr>
                <w:sz w:val="20"/>
              </w:rPr>
              <w:t xml:space="preserve">34,6</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8.45 &lt;11&gt;</w:t>
            </w:r>
          </w:p>
        </w:tc>
        <w:tc>
          <w:tcPr>
            <w:tcW w:w="3969" w:type="dxa"/>
          </w:tcPr>
          <w:p>
            <w:pPr>
              <w:pStyle w:val="0"/>
              <w:jc w:val="both"/>
            </w:pPr>
            <w:r>
              <w:rPr>
                <w:sz w:val="20"/>
              </w:rPr>
              <w:t xml:space="preserve">Обеспеченность населения средними медицинскими работниками, работающими в государственных и муниципальных медицинских организациях, чел. на 10 тыс. населения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72,7</w:t>
            </w:r>
          </w:p>
        </w:tc>
        <w:tc>
          <w:tcPr>
            <w:tcW w:w="1054" w:type="dxa"/>
          </w:tcPr>
          <w:p>
            <w:pPr>
              <w:pStyle w:val="0"/>
              <w:jc w:val="center"/>
            </w:pPr>
            <w:r>
              <w:rPr>
                <w:sz w:val="20"/>
              </w:rPr>
              <w:t xml:space="preserve">73,8</w:t>
            </w:r>
          </w:p>
        </w:tc>
        <w:tc>
          <w:tcPr>
            <w:tcW w:w="1054" w:type="dxa"/>
          </w:tcPr>
          <w:p>
            <w:pPr>
              <w:pStyle w:val="0"/>
              <w:jc w:val="center"/>
            </w:pPr>
            <w:r>
              <w:rPr>
                <w:sz w:val="20"/>
              </w:rPr>
              <w:t xml:space="preserve">74,3</w:t>
            </w:r>
          </w:p>
        </w:tc>
        <w:tc>
          <w:tcPr>
            <w:tcW w:w="1054" w:type="dxa"/>
          </w:tcPr>
          <w:p>
            <w:pPr>
              <w:pStyle w:val="0"/>
              <w:jc w:val="center"/>
            </w:pPr>
            <w:r>
              <w:rPr>
                <w:sz w:val="20"/>
              </w:rPr>
              <w:t xml:space="preserve">74,9</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8.46 &lt;11&gt;</w:t>
            </w:r>
          </w:p>
        </w:tc>
        <w:tc>
          <w:tcPr>
            <w:tcW w:w="3969" w:type="dxa"/>
          </w:tcPr>
          <w:p>
            <w:pPr>
              <w:pStyle w:val="0"/>
              <w:jc w:val="both"/>
            </w:pPr>
            <w:r>
              <w:rPr>
                <w:sz w:val="20"/>
              </w:rPr>
              <w:t xml:space="preserve">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тыс. человек нарастающим итогом</w:t>
            </w:r>
          </w:p>
        </w:tc>
        <w:tc>
          <w:tcPr>
            <w:tcW w:w="1531" w:type="dxa"/>
          </w:tcPr>
          <w:p>
            <w:pPr>
              <w:pStyle w:val="0"/>
              <w:jc w:val="both"/>
            </w:pPr>
            <w:r>
              <w:rPr>
                <w:sz w:val="20"/>
              </w:rPr>
              <w:t xml:space="preserve">тыс. чел.</w:t>
            </w:r>
          </w:p>
        </w:tc>
        <w:tc>
          <w:tcPr>
            <w:tcW w:w="1054" w:type="dxa"/>
          </w:tcPr>
          <w:p>
            <w:pPr>
              <w:pStyle w:val="0"/>
              <w:jc w:val="center"/>
            </w:pPr>
            <w:r>
              <w:rPr>
                <w:sz w:val="20"/>
              </w:rPr>
              <w:t xml:space="preserve">3,657</w:t>
            </w:r>
          </w:p>
        </w:tc>
        <w:tc>
          <w:tcPr>
            <w:tcW w:w="1054" w:type="dxa"/>
          </w:tcPr>
          <w:p>
            <w:pPr>
              <w:pStyle w:val="0"/>
              <w:jc w:val="center"/>
            </w:pPr>
            <w:r>
              <w:rPr>
                <w:sz w:val="20"/>
              </w:rPr>
              <w:t xml:space="preserve">4,105</w:t>
            </w:r>
          </w:p>
        </w:tc>
        <w:tc>
          <w:tcPr>
            <w:tcW w:w="1054" w:type="dxa"/>
          </w:tcPr>
          <w:p>
            <w:pPr>
              <w:pStyle w:val="0"/>
              <w:jc w:val="center"/>
            </w:pPr>
            <w:r>
              <w:rPr>
                <w:sz w:val="20"/>
              </w:rPr>
              <w:t xml:space="preserve">4,552</w:t>
            </w:r>
          </w:p>
        </w:tc>
        <w:tc>
          <w:tcPr>
            <w:tcW w:w="1054" w:type="dxa"/>
          </w:tcPr>
          <w:p>
            <w:pPr>
              <w:pStyle w:val="0"/>
              <w:jc w:val="center"/>
            </w:pPr>
            <w:r>
              <w:rPr>
                <w:sz w:val="20"/>
              </w:rPr>
              <w:t xml:space="preserve">5</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8.47 &lt;11&gt;</w:t>
            </w:r>
          </w:p>
        </w:tc>
        <w:tc>
          <w:tcPr>
            <w:tcW w:w="3969" w:type="dxa"/>
          </w:tcPr>
          <w:p>
            <w:pPr>
              <w:pStyle w:val="0"/>
              <w:jc w:val="both"/>
            </w:pPr>
            <w:r>
              <w:rPr>
                <w:sz w:val="20"/>
              </w:rPr>
              <w:t xml:space="preserve">Обеспеченность населения врачами, оказывающими первичную медико-санитарную помощь, чел. на 10 тыс. населения</w:t>
            </w:r>
          </w:p>
        </w:tc>
        <w:tc>
          <w:tcPr>
            <w:tcW w:w="1531" w:type="dxa"/>
          </w:tcPr>
          <w:p>
            <w:pPr>
              <w:pStyle w:val="0"/>
              <w:jc w:val="both"/>
            </w:pPr>
            <w:r>
              <w:rPr>
                <w:sz w:val="20"/>
              </w:rPr>
              <w:t xml:space="preserve">%</w:t>
            </w:r>
          </w:p>
        </w:tc>
        <w:tc>
          <w:tcPr>
            <w:tcW w:w="1054" w:type="dxa"/>
          </w:tcPr>
          <w:p>
            <w:pPr>
              <w:pStyle w:val="0"/>
              <w:jc w:val="center"/>
            </w:pPr>
            <w:r>
              <w:rPr>
                <w:sz w:val="20"/>
              </w:rPr>
              <w:t xml:space="preserve">16,4</w:t>
            </w:r>
          </w:p>
        </w:tc>
        <w:tc>
          <w:tcPr>
            <w:tcW w:w="1054" w:type="dxa"/>
          </w:tcPr>
          <w:p>
            <w:pPr>
              <w:pStyle w:val="0"/>
              <w:jc w:val="center"/>
            </w:pPr>
            <w:r>
              <w:rPr>
                <w:sz w:val="20"/>
              </w:rPr>
              <w:t xml:space="preserve">16,8</w:t>
            </w:r>
          </w:p>
        </w:tc>
        <w:tc>
          <w:tcPr>
            <w:tcW w:w="1054" w:type="dxa"/>
          </w:tcPr>
          <w:p>
            <w:pPr>
              <w:pStyle w:val="0"/>
              <w:jc w:val="center"/>
            </w:pPr>
            <w:r>
              <w:rPr>
                <w:sz w:val="20"/>
              </w:rPr>
              <w:t xml:space="preserve">17,1</w:t>
            </w:r>
          </w:p>
        </w:tc>
        <w:tc>
          <w:tcPr>
            <w:tcW w:w="1054" w:type="dxa"/>
          </w:tcPr>
          <w:p>
            <w:pPr>
              <w:pStyle w:val="0"/>
              <w:jc w:val="center"/>
            </w:pPr>
            <w:r>
              <w:rPr>
                <w:sz w:val="20"/>
              </w:rPr>
              <w:t xml:space="preserve">17,7</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8.48 &lt;11&gt;</w:t>
            </w:r>
          </w:p>
        </w:tc>
        <w:tc>
          <w:tcPr>
            <w:tcW w:w="3969" w:type="dxa"/>
          </w:tcPr>
          <w:p>
            <w:pPr>
              <w:pStyle w:val="0"/>
              <w:jc w:val="both"/>
            </w:pPr>
            <w:r>
              <w:rPr>
                <w:sz w:val="20"/>
              </w:rPr>
              <w:t xml:space="preserve">Обеспеченность медицинскими работниками, оказывающими скорую медицинскую помощь, чел. на 10 тыс. населения</w:t>
            </w:r>
          </w:p>
        </w:tc>
        <w:tc>
          <w:tcPr>
            <w:tcW w:w="1531" w:type="dxa"/>
          </w:tcPr>
          <w:p>
            <w:pPr>
              <w:pStyle w:val="0"/>
              <w:jc w:val="both"/>
            </w:pPr>
            <w:r>
              <w:rPr>
                <w:sz w:val="20"/>
              </w:rPr>
              <w:t xml:space="preserve">%</w:t>
            </w:r>
          </w:p>
        </w:tc>
        <w:tc>
          <w:tcPr>
            <w:tcW w:w="1054" w:type="dxa"/>
          </w:tcPr>
          <w:p>
            <w:pPr>
              <w:pStyle w:val="0"/>
              <w:jc w:val="center"/>
            </w:pPr>
            <w:r>
              <w:rPr>
                <w:sz w:val="20"/>
              </w:rPr>
              <w:t xml:space="preserve">6,9</w:t>
            </w:r>
          </w:p>
        </w:tc>
        <w:tc>
          <w:tcPr>
            <w:tcW w:w="1054" w:type="dxa"/>
          </w:tcPr>
          <w:p>
            <w:pPr>
              <w:pStyle w:val="0"/>
              <w:jc w:val="center"/>
            </w:pPr>
            <w:r>
              <w:rPr>
                <w:sz w:val="20"/>
              </w:rPr>
              <w:t xml:space="preserve">7,0</w:t>
            </w:r>
          </w:p>
        </w:tc>
        <w:tc>
          <w:tcPr>
            <w:tcW w:w="1054" w:type="dxa"/>
          </w:tcPr>
          <w:p>
            <w:pPr>
              <w:pStyle w:val="0"/>
              <w:jc w:val="center"/>
            </w:pPr>
            <w:r>
              <w:rPr>
                <w:sz w:val="20"/>
              </w:rPr>
              <w:t xml:space="preserve">7,2</w:t>
            </w:r>
          </w:p>
        </w:tc>
        <w:tc>
          <w:tcPr>
            <w:tcW w:w="1054" w:type="dxa"/>
          </w:tcPr>
          <w:p>
            <w:pPr>
              <w:pStyle w:val="0"/>
              <w:jc w:val="center"/>
            </w:pPr>
            <w:r>
              <w:rPr>
                <w:sz w:val="20"/>
              </w:rPr>
              <w:t xml:space="preserve">7,3</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8.49 &lt;11&gt;</w:t>
            </w:r>
          </w:p>
        </w:tc>
        <w:tc>
          <w:tcPr>
            <w:tcW w:w="3969" w:type="dxa"/>
          </w:tcPr>
          <w:p>
            <w:pPr>
              <w:pStyle w:val="0"/>
              <w:jc w:val="both"/>
            </w:pPr>
            <w:r>
              <w:rPr>
                <w:sz w:val="20"/>
              </w:rPr>
              <w:t xml:space="preserve">Обеспеченность населения врачами, оказывающими специализированную медицинскую помощь, чел. на 10 тыс. населения</w:t>
            </w:r>
          </w:p>
        </w:tc>
        <w:tc>
          <w:tcPr>
            <w:tcW w:w="1531" w:type="dxa"/>
          </w:tcPr>
          <w:p>
            <w:pPr>
              <w:pStyle w:val="0"/>
              <w:jc w:val="both"/>
            </w:pPr>
            <w:r>
              <w:rPr>
                <w:sz w:val="20"/>
              </w:rPr>
              <w:t xml:space="preserve">%</w:t>
            </w:r>
          </w:p>
        </w:tc>
        <w:tc>
          <w:tcPr>
            <w:tcW w:w="1054" w:type="dxa"/>
          </w:tcPr>
          <w:p>
            <w:pPr>
              <w:pStyle w:val="0"/>
              <w:jc w:val="center"/>
            </w:pPr>
            <w:r>
              <w:rPr>
                <w:sz w:val="20"/>
              </w:rPr>
              <w:t xml:space="preserve">16,4</w:t>
            </w:r>
          </w:p>
        </w:tc>
        <w:tc>
          <w:tcPr>
            <w:tcW w:w="1054" w:type="dxa"/>
          </w:tcPr>
          <w:p>
            <w:pPr>
              <w:pStyle w:val="0"/>
              <w:jc w:val="center"/>
            </w:pPr>
            <w:r>
              <w:rPr>
                <w:sz w:val="20"/>
              </w:rPr>
              <w:t xml:space="preserve">16,8</w:t>
            </w:r>
          </w:p>
        </w:tc>
        <w:tc>
          <w:tcPr>
            <w:tcW w:w="1054" w:type="dxa"/>
          </w:tcPr>
          <w:p>
            <w:pPr>
              <w:pStyle w:val="0"/>
              <w:jc w:val="center"/>
            </w:pPr>
            <w:r>
              <w:rPr>
                <w:sz w:val="20"/>
              </w:rPr>
              <w:t xml:space="preserve">17,3</w:t>
            </w:r>
          </w:p>
        </w:tc>
        <w:tc>
          <w:tcPr>
            <w:tcW w:w="1054" w:type="dxa"/>
          </w:tcPr>
          <w:p>
            <w:pPr>
              <w:pStyle w:val="0"/>
              <w:jc w:val="center"/>
            </w:pPr>
            <w:r>
              <w:rPr>
                <w:sz w:val="20"/>
              </w:rPr>
              <w:t xml:space="preserve">17,7</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8.50 &lt;11&gt;</w:t>
            </w:r>
          </w:p>
        </w:tc>
        <w:tc>
          <w:tcPr>
            <w:tcW w:w="3969" w:type="dxa"/>
          </w:tcPr>
          <w:p>
            <w:pPr>
              <w:pStyle w:val="0"/>
              <w:jc w:val="both"/>
            </w:pPr>
            <w:r>
              <w:rPr>
                <w:sz w:val="20"/>
              </w:rPr>
              <w:t xml:space="preserve">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нарастающим итогом: врачами</w:t>
            </w:r>
          </w:p>
        </w:tc>
        <w:tc>
          <w:tcPr>
            <w:tcW w:w="1531" w:type="dxa"/>
          </w:tcPr>
          <w:p>
            <w:pPr>
              <w:pStyle w:val="0"/>
              <w:jc w:val="both"/>
            </w:pPr>
            <w:r>
              <w:rPr>
                <w:sz w:val="20"/>
              </w:rPr>
              <w:t xml:space="preserve">%</w:t>
            </w:r>
          </w:p>
        </w:tc>
        <w:tc>
          <w:tcPr>
            <w:tcW w:w="1054" w:type="dxa"/>
          </w:tcPr>
          <w:p>
            <w:pPr>
              <w:pStyle w:val="0"/>
              <w:jc w:val="center"/>
            </w:pPr>
            <w:r>
              <w:rPr>
                <w:sz w:val="20"/>
              </w:rPr>
              <w:t xml:space="preserve">85,2</w:t>
            </w:r>
          </w:p>
        </w:tc>
        <w:tc>
          <w:tcPr>
            <w:tcW w:w="1054" w:type="dxa"/>
          </w:tcPr>
          <w:p>
            <w:pPr>
              <w:pStyle w:val="0"/>
              <w:jc w:val="center"/>
            </w:pPr>
            <w:r>
              <w:rPr>
                <w:sz w:val="20"/>
              </w:rPr>
              <w:t xml:space="preserve">75,87 &lt;12&gt;</w:t>
            </w:r>
          </w:p>
        </w:tc>
        <w:tc>
          <w:tcPr>
            <w:tcW w:w="1054" w:type="dxa"/>
          </w:tcPr>
          <w:p>
            <w:pPr>
              <w:pStyle w:val="0"/>
              <w:jc w:val="center"/>
            </w:pPr>
            <w:r>
              <w:rPr>
                <w:sz w:val="20"/>
              </w:rPr>
              <w:t xml:space="preserve">95,2</w:t>
            </w:r>
          </w:p>
        </w:tc>
        <w:tc>
          <w:tcPr>
            <w:tcW w:w="1054" w:type="dxa"/>
          </w:tcPr>
          <w:p>
            <w:pPr>
              <w:pStyle w:val="0"/>
              <w:jc w:val="center"/>
            </w:pPr>
            <w:r>
              <w:rPr>
                <w:sz w:val="20"/>
              </w:rPr>
              <w:t xml:space="preserve">98,6</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8.51 &lt;11&gt;</w:t>
            </w:r>
          </w:p>
        </w:tc>
        <w:tc>
          <w:tcPr>
            <w:tcW w:w="3969" w:type="dxa"/>
          </w:tcPr>
          <w:p>
            <w:pPr>
              <w:pStyle w:val="0"/>
              <w:jc w:val="both"/>
            </w:pPr>
            <w:r>
              <w:rPr>
                <w:sz w:val="20"/>
              </w:rPr>
              <w:t xml:space="preserve">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нарастающим итогом: средними медицинскими работниками</w:t>
            </w:r>
          </w:p>
        </w:tc>
        <w:tc>
          <w:tcPr>
            <w:tcW w:w="1531" w:type="dxa"/>
          </w:tcPr>
          <w:p>
            <w:pPr>
              <w:pStyle w:val="0"/>
              <w:jc w:val="both"/>
            </w:pPr>
            <w:r>
              <w:rPr>
                <w:sz w:val="20"/>
              </w:rPr>
              <w:t xml:space="preserve">%</w:t>
            </w:r>
          </w:p>
        </w:tc>
        <w:tc>
          <w:tcPr>
            <w:tcW w:w="1054" w:type="dxa"/>
          </w:tcPr>
          <w:p>
            <w:pPr>
              <w:pStyle w:val="0"/>
              <w:jc w:val="center"/>
            </w:pPr>
            <w:r>
              <w:rPr>
                <w:sz w:val="20"/>
              </w:rPr>
              <w:t xml:space="preserve">76,5</w:t>
            </w:r>
          </w:p>
        </w:tc>
        <w:tc>
          <w:tcPr>
            <w:tcW w:w="1054" w:type="dxa"/>
          </w:tcPr>
          <w:p>
            <w:pPr>
              <w:pStyle w:val="0"/>
              <w:jc w:val="center"/>
            </w:pPr>
            <w:r>
              <w:rPr>
                <w:sz w:val="20"/>
              </w:rPr>
              <w:t xml:space="preserve">80</w:t>
            </w:r>
          </w:p>
        </w:tc>
        <w:tc>
          <w:tcPr>
            <w:tcW w:w="1054" w:type="dxa"/>
          </w:tcPr>
          <w:p>
            <w:pPr>
              <w:pStyle w:val="0"/>
              <w:jc w:val="center"/>
            </w:pPr>
            <w:r>
              <w:rPr>
                <w:sz w:val="20"/>
              </w:rPr>
              <w:t xml:space="preserve">84</w:t>
            </w:r>
          </w:p>
        </w:tc>
        <w:tc>
          <w:tcPr>
            <w:tcW w:w="1054" w:type="dxa"/>
          </w:tcPr>
          <w:p>
            <w:pPr>
              <w:pStyle w:val="0"/>
              <w:jc w:val="center"/>
            </w:pPr>
            <w:r>
              <w:rPr>
                <w:sz w:val="20"/>
              </w:rPr>
              <w:t xml:space="preserve">96</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8.52 &lt;11&gt;</w:t>
            </w:r>
          </w:p>
        </w:tc>
        <w:tc>
          <w:tcPr>
            <w:tcW w:w="3969" w:type="dxa"/>
          </w:tcPr>
          <w:p>
            <w:pPr>
              <w:pStyle w:val="0"/>
              <w:jc w:val="both"/>
            </w:pPr>
            <w:r>
              <w:rPr>
                <w:sz w:val="20"/>
              </w:rPr>
              <w:t xml:space="preserve">Укомплектованность фельдшерских пунктов, фельдшерско-акушерских пунктов, врачебных амбулаторий медицинскими работниками</w:t>
            </w:r>
          </w:p>
        </w:tc>
        <w:tc>
          <w:tcPr>
            <w:tcW w:w="1531" w:type="dxa"/>
          </w:tcPr>
          <w:p>
            <w:pPr>
              <w:pStyle w:val="0"/>
              <w:jc w:val="both"/>
            </w:pPr>
            <w:r>
              <w:rPr>
                <w:sz w:val="20"/>
              </w:rPr>
              <w:t xml:space="preserve">%</w:t>
            </w:r>
          </w:p>
        </w:tc>
        <w:tc>
          <w:tcPr>
            <w:tcW w:w="1054" w:type="dxa"/>
          </w:tcPr>
          <w:p>
            <w:pPr>
              <w:pStyle w:val="0"/>
              <w:jc w:val="center"/>
            </w:pPr>
            <w:r>
              <w:rPr>
                <w:sz w:val="20"/>
              </w:rPr>
              <w:t xml:space="preserve">61,7</w:t>
            </w:r>
          </w:p>
        </w:tc>
        <w:tc>
          <w:tcPr>
            <w:tcW w:w="1054" w:type="dxa"/>
          </w:tcPr>
          <w:p>
            <w:pPr>
              <w:pStyle w:val="0"/>
              <w:jc w:val="center"/>
            </w:pPr>
            <w:r>
              <w:rPr>
                <w:sz w:val="20"/>
              </w:rPr>
              <w:t xml:space="preserve">62,3</w:t>
            </w:r>
          </w:p>
        </w:tc>
        <w:tc>
          <w:tcPr>
            <w:tcW w:w="1054" w:type="dxa"/>
          </w:tcPr>
          <w:p>
            <w:pPr>
              <w:pStyle w:val="0"/>
              <w:jc w:val="center"/>
            </w:pPr>
            <w:r>
              <w:rPr>
                <w:sz w:val="20"/>
              </w:rPr>
              <w:t xml:space="preserve">63,1</w:t>
            </w:r>
          </w:p>
        </w:tc>
        <w:tc>
          <w:tcPr>
            <w:tcW w:w="1054" w:type="dxa"/>
          </w:tcPr>
          <w:p>
            <w:pPr>
              <w:pStyle w:val="0"/>
              <w:jc w:val="center"/>
            </w:pPr>
            <w:r>
              <w:rPr>
                <w:sz w:val="20"/>
              </w:rPr>
              <w:t xml:space="preserve">63,6</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8.53 &lt;11&gt;</w:t>
            </w:r>
          </w:p>
        </w:tc>
        <w:tc>
          <w:tcPr>
            <w:tcW w:w="3969" w:type="dxa"/>
          </w:tcPr>
          <w:p>
            <w:pPr>
              <w:pStyle w:val="0"/>
              <w:jc w:val="both"/>
            </w:pPr>
            <w:r>
              <w:rPr>
                <w:sz w:val="20"/>
              </w:rPr>
              <w:t xml:space="preserve">Доля специалистов, допущенных к профессиональной деятельности через процедуру аккредитации, от общего количества работающих специалистов</w:t>
            </w:r>
          </w:p>
        </w:tc>
        <w:tc>
          <w:tcPr>
            <w:tcW w:w="1531" w:type="dxa"/>
          </w:tcPr>
          <w:p>
            <w:pPr>
              <w:pStyle w:val="0"/>
              <w:jc w:val="both"/>
            </w:pPr>
            <w:r>
              <w:rPr>
                <w:sz w:val="20"/>
              </w:rPr>
              <w:t xml:space="preserve">%</w:t>
            </w:r>
          </w:p>
        </w:tc>
        <w:tc>
          <w:tcPr>
            <w:tcW w:w="1054" w:type="dxa"/>
          </w:tcPr>
          <w:p>
            <w:pPr>
              <w:pStyle w:val="0"/>
              <w:jc w:val="center"/>
            </w:pPr>
            <w:r>
              <w:rPr>
                <w:sz w:val="20"/>
              </w:rPr>
              <w:t xml:space="preserve">22,8</w:t>
            </w:r>
          </w:p>
        </w:tc>
        <w:tc>
          <w:tcPr>
            <w:tcW w:w="1054" w:type="dxa"/>
          </w:tcPr>
          <w:p>
            <w:pPr>
              <w:pStyle w:val="0"/>
              <w:jc w:val="center"/>
            </w:pPr>
            <w:r>
              <w:rPr>
                <w:sz w:val="20"/>
              </w:rPr>
              <w:t xml:space="preserve">43,0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8.54 &lt;13&gt;</w:t>
            </w:r>
          </w:p>
        </w:tc>
        <w:tc>
          <w:tcPr>
            <w:tcW w:w="3969" w:type="dxa"/>
          </w:tcPr>
          <w:p>
            <w:pPr>
              <w:pStyle w:val="0"/>
              <w:jc w:val="both"/>
            </w:pPr>
            <w:r>
              <w:rPr>
                <w:sz w:val="20"/>
              </w:rPr>
              <w:t xml:space="preserve">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w:t>
            </w:r>
          </w:p>
        </w:tc>
        <w:tc>
          <w:tcPr>
            <w:tcW w:w="1531" w:type="dxa"/>
          </w:tcPr>
          <w:p>
            <w:pPr>
              <w:pStyle w:val="0"/>
              <w:jc w:val="both"/>
            </w:pPr>
            <w:r>
              <w:rPr>
                <w:sz w:val="20"/>
              </w:rPr>
              <w:t xml:space="preserve">%</w:t>
            </w:r>
          </w:p>
        </w:tc>
        <w:tc>
          <w:tcPr>
            <w:tcW w:w="1054" w:type="dxa"/>
          </w:tcPr>
          <w:p>
            <w:pPr>
              <w:pStyle w:val="0"/>
              <w:jc w:val="center"/>
            </w:pPr>
            <w:r>
              <w:rPr>
                <w:sz w:val="20"/>
              </w:rPr>
              <w:t xml:space="preserve">43,0</w:t>
            </w:r>
          </w:p>
        </w:tc>
        <w:tc>
          <w:tcPr>
            <w:tcW w:w="1054" w:type="dxa"/>
          </w:tcPr>
          <w:p>
            <w:pPr>
              <w:pStyle w:val="0"/>
              <w:jc w:val="center"/>
            </w:pPr>
            <w:r>
              <w:rPr>
                <w:sz w:val="20"/>
              </w:rPr>
              <w:t xml:space="preserve">32,0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8.55 &lt;13&gt;</w:t>
            </w:r>
          </w:p>
        </w:tc>
        <w:tc>
          <w:tcPr>
            <w:tcW w:w="3969" w:type="dxa"/>
          </w:tcPr>
          <w:p>
            <w:pPr>
              <w:pStyle w:val="0"/>
              <w:jc w:val="both"/>
            </w:pPr>
            <w:r>
              <w:rPr>
                <w:sz w:val="20"/>
              </w:rPr>
              <w:t xml:space="preserve">Доля охвата населения г. Севастополя первичной медико-санитарной помощью</w:t>
            </w:r>
          </w:p>
        </w:tc>
        <w:tc>
          <w:tcPr>
            <w:tcW w:w="1531" w:type="dxa"/>
          </w:tcPr>
          <w:p>
            <w:pPr>
              <w:pStyle w:val="0"/>
              <w:jc w:val="both"/>
            </w:pPr>
            <w:r>
              <w:rPr>
                <w:sz w:val="20"/>
              </w:rPr>
              <w:t xml:space="preserve">%</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8.56 &lt;13&gt;</w:t>
            </w:r>
          </w:p>
        </w:tc>
        <w:tc>
          <w:tcPr>
            <w:tcW w:w="3969" w:type="dxa"/>
          </w:tcPr>
          <w:p>
            <w:pPr>
              <w:pStyle w:val="0"/>
              <w:jc w:val="both"/>
            </w:pPr>
            <w:r>
              <w:rPr>
                <w:sz w:val="20"/>
              </w:rPr>
              <w:t xml:space="preserve">Оценка общественного мнения по удовлетворенности населения медицинской помощью</w:t>
            </w:r>
          </w:p>
        </w:tc>
        <w:tc>
          <w:tcPr>
            <w:tcW w:w="1531" w:type="dxa"/>
          </w:tcPr>
          <w:p>
            <w:pPr>
              <w:pStyle w:val="0"/>
              <w:jc w:val="both"/>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31,5</w:t>
            </w:r>
          </w:p>
        </w:tc>
        <w:tc>
          <w:tcPr>
            <w:tcW w:w="1054" w:type="dxa"/>
          </w:tcPr>
          <w:p>
            <w:pPr>
              <w:pStyle w:val="0"/>
              <w:jc w:val="center"/>
            </w:pPr>
            <w:r>
              <w:rPr>
                <w:sz w:val="20"/>
              </w:rPr>
              <w:t xml:space="preserve">54,0</w:t>
            </w:r>
          </w:p>
        </w:tc>
        <w:tc>
          <w:tcPr>
            <w:tcW w:w="1054" w:type="dxa"/>
          </w:tcPr>
          <w:p>
            <w:pPr>
              <w:pStyle w:val="0"/>
              <w:jc w:val="center"/>
            </w:pPr>
            <w:r>
              <w:rPr>
                <w:sz w:val="20"/>
              </w:rPr>
              <w:t xml:space="preserve">58,0</w:t>
            </w:r>
          </w:p>
        </w:tc>
        <w:tc>
          <w:tcPr>
            <w:tcW w:w="1054" w:type="dxa"/>
          </w:tcPr>
          <w:p>
            <w:pPr>
              <w:pStyle w:val="0"/>
              <w:jc w:val="center"/>
            </w:pPr>
            <w:r>
              <w:rPr>
                <w:sz w:val="20"/>
              </w:rPr>
              <w:t xml:space="preserve">63,0</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8.57 &lt;13&gt;</w:t>
            </w:r>
          </w:p>
        </w:tc>
        <w:tc>
          <w:tcPr>
            <w:tcW w:w="3969" w:type="dxa"/>
          </w:tcPr>
          <w:p>
            <w:pPr>
              <w:pStyle w:val="0"/>
              <w:jc w:val="both"/>
            </w:pPr>
            <w:r>
              <w:rPr>
                <w:sz w:val="20"/>
              </w:rPr>
              <w:t xml:space="preserve">Число посещений медицинскими работниками пациентов на дому</w:t>
            </w:r>
          </w:p>
        </w:tc>
        <w:tc>
          <w:tcPr>
            <w:tcW w:w="1531" w:type="dxa"/>
          </w:tcPr>
          <w:p>
            <w:pPr>
              <w:pStyle w:val="0"/>
              <w:jc w:val="both"/>
            </w:pPr>
            <w:r>
              <w:rPr>
                <w:sz w:val="20"/>
              </w:rPr>
              <w:t xml:space="preserve">%</w:t>
            </w:r>
          </w:p>
        </w:tc>
        <w:tc>
          <w:tcPr>
            <w:tcW w:w="1054" w:type="dxa"/>
          </w:tcPr>
          <w:p>
            <w:pPr>
              <w:pStyle w:val="0"/>
              <w:jc w:val="center"/>
            </w:pPr>
            <w:r>
              <w:rPr>
                <w:sz w:val="20"/>
              </w:rPr>
              <w:t xml:space="preserve">160406</w:t>
            </w:r>
          </w:p>
        </w:tc>
        <w:tc>
          <w:tcPr>
            <w:tcW w:w="1054" w:type="dxa"/>
          </w:tcPr>
          <w:p>
            <w:pPr>
              <w:pStyle w:val="0"/>
              <w:jc w:val="center"/>
            </w:pPr>
            <w:r>
              <w:rPr>
                <w:sz w:val="20"/>
              </w:rPr>
              <w:t xml:space="preserve">160856</w:t>
            </w:r>
          </w:p>
        </w:tc>
        <w:tc>
          <w:tcPr>
            <w:tcW w:w="1054" w:type="dxa"/>
          </w:tcPr>
          <w:p>
            <w:pPr>
              <w:pStyle w:val="0"/>
              <w:jc w:val="center"/>
            </w:pPr>
            <w:r>
              <w:rPr>
                <w:sz w:val="20"/>
              </w:rPr>
              <w:t xml:space="preserve">-</w:t>
            </w:r>
          </w:p>
        </w:tc>
        <w:tc>
          <w:tcPr>
            <w:tcW w:w="1054" w:type="dxa"/>
          </w:tcPr>
          <w:p>
            <w:pPr>
              <w:pStyle w:val="0"/>
              <w:jc w:val="center"/>
            </w:pPr>
            <w:r>
              <w:rPr>
                <w:sz w:val="20"/>
              </w:rPr>
            </w:r>
          </w:p>
        </w:tc>
        <w:tc>
          <w:tcPr>
            <w:tcW w:w="1054" w:type="dxa"/>
          </w:tcPr>
          <w:p>
            <w:pPr>
              <w:pStyle w:val="0"/>
              <w:jc w:val="center"/>
            </w:pPr>
            <w:r>
              <w:rPr>
                <w:sz w:val="20"/>
              </w:rPr>
            </w:r>
          </w:p>
        </w:tc>
        <w:tc>
          <w:tcPr>
            <w:tcW w:w="1054" w:type="dxa"/>
          </w:tcPr>
          <w:p>
            <w:pPr>
              <w:pStyle w:val="0"/>
              <w:jc w:val="center"/>
            </w:pPr>
            <w:r>
              <w:rPr>
                <w:sz w:val="20"/>
              </w:rPr>
            </w:r>
          </w:p>
        </w:tc>
        <w:tc>
          <w:tcPr>
            <w:tcW w:w="1056" w:type="dxa"/>
          </w:tcPr>
          <w:p>
            <w:pPr>
              <w:pStyle w:val="0"/>
              <w:jc w:val="center"/>
            </w:pPr>
            <w:r>
              <w:rPr>
                <w:sz w:val="20"/>
              </w:rPr>
            </w:r>
          </w:p>
        </w:tc>
        <w:tc>
          <w:tcPr>
            <w:tcW w:w="1056" w:type="dxa"/>
          </w:tcPr>
          <w:p>
            <w:pPr>
              <w:pStyle w:val="0"/>
              <w:jc w:val="center"/>
            </w:pPr>
            <w:r>
              <w:rPr>
                <w:sz w:val="20"/>
              </w:rPr>
            </w:r>
          </w:p>
        </w:tc>
        <w:tc>
          <w:tcPr>
            <w:tcW w:w="1056" w:type="dxa"/>
          </w:tcPr>
          <w:p>
            <w:pPr>
              <w:pStyle w:val="0"/>
              <w:jc w:val="center"/>
            </w:pPr>
            <w:r>
              <w:rPr>
                <w:sz w:val="20"/>
              </w:rPr>
            </w:r>
          </w:p>
        </w:tc>
        <w:tc>
          <w:tcPr>
            <w:tcW w:w="1056" w:type="dxa"/>
          </w:tcPr>
          <w:p>
            <w:pPr>
              <w:pStyle w:val="0"/>
              <w:jc w:val="center"/>
            </w:pPr>
            <w:r>
              <w:rPr>
                <w:sz w:val="20"/>
              </w:rPr>
            </w:r>
          </w:p>
        </w:tc>
      </w:tr>
      <w:tr>
        <w:tc>
          <w:tcPr>
            <w:tcW w:w="1247" w:type="dxa"/>
          </w:tcPr>
          <w:p>
            <w:pPr>
              <w:pStyle w:val="0"/>
              <w:jc w:val="both"/>
            </w:pPr>
            <w:r>
              <w:rPr>
                <w:sz w:val="20"/>
              </w:rPr>
              <w:t xml:space="preserve">8.58 &lt;13&gt;</w:t>
            </w:r>
          </w:p>
        </w:tc>
        <w:tc>
          <w:tcPr>
            <w:tcW w:w="3969" w:type="dxa"/>
          </w:tcPr>
          <w:p>
            <w:pPr>
              <w:pStyle w:val="0"/>
              <w:jc w:val="both"/>
            </w:pPr>
            <w:r>
              <w:rPr>
                <w:sz w:val="20"/>
              </w:rPr>
              <w:t xml:space="preserve">Повышение комфортности получения медицинских услуг</w:t>
            </w:r>
          </w:p>
        </w:tc>
        <w:tc>
          <w:tcPr>
            <w:tcW w:w="1531" w:type="dxa"/>
          </w:tcPr>
          <w:p>
            <w:pPr>
              <w:pStyle w:val="0"/>
              <w:jc w:val="both"/>
            </w:pPr>
            <w:r>
              <w:rPr>
                <w:sz w:val="20"/>
              </w:rPr>
            </w:r>
          </w:p>
        </w:tc>
        <w:tc>
          <w:tcPr>
            <w:tcW w:w="1054" w:type="dxa"/>
          </w:tcPr>
          <w:p>
            <w:pPr>
              <w:pStyle w:val="0"/>
              <w:jc w:val="center"/>
            </w:pPr>
            <w:r>
              <w:rPr>
                <w:sz w:val="20"/>
              </w:rPr>
              <w:t xml:space="preserve">50</w:t>
            </w:r>
          </w:p>
        </w:tc>
        <w:tc>
          <w:tcPr>
            <w:tcW w:w="1054" w:type="dxa"/>
          </w:tcPr>
          <w:p>
            <w:pPr>
              <w:pStyle w:val="0"/>
              <w:jc w:val="center"/>
            </w:pPr>
            <w:r>
              <w:rPr>
                <w:sz w:val="20"/>
              </w:rPr>
              <w:t xml:space="preserve">60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r>
          </w:p>
        </w:tc>
        <w:tc>
          <w:tcPr>
            <w:tcW w:w="1056" w:type="dxa"/>
          </w:tcPr>
          <w:p>
            <w:pPr>
              <w:pStyle w:val="0"/>
              <w:jc w:val="center"/>
            </w:pPr>
            <w:r>
              <w:rPr>
                <w:sz w:val="20"/>
              </w:rPr>
            </w:r>
          </w:p>
        </w:tc>
        <w:tc>
          <w:tcPr>
            <w:tcW w:w="1056" w:type="dxa"/>
          </w:tcPr>
          <w:p>
            <w:pPr>
              <w:pStyle w:val="0"/>
              <w:jc w:val="center"/>
            </w:pPr>
            <w:r>
              <w:rPr>
                <w:sz w:val="20"/>
              </w:rPr>
            </w:r>
          </w:p>
        </w:tc>
        <w:tc>
          <w:tcPr>
            <w:tcW w:w="1056" w:type="dxa"/>
          </w:tcPr>
          <w:p>
            <w:pPr>
              <w:pStyle w:val="0"/>
              <w:jc w:val="center"/>
            </w:pPr>
            <w:r>
              <w:rPr>
                <w:sz w:val="20"/>
              </w:rPr>
            </w:r>
          </w:p>
        </w:tc>
        <w:tc>
          <w:tcPr>
            <w:tcW w:w="1056" w:type="dxa"/>
          </w:tcPr>
          <w:p>
            <w:pPr>
              <w:pStyle w:val="0"/>
              <w:jc w:val="center"/>
            </w:pPr>
            <w:r>
              <w:rPr>
                <w:sz w:val="20"/>
              </w:rPr>
            </w:r>
          </w:p>
        </w:tc>
      </w:tr>
      <w:tr>
        <w:tc>
          <w:tcPr>
            <w:tcW w:w="1247" w:type="dxa"/>
          </w:tcPr>
          <w:p>
            <w:pPr>
              <w:pStyle w:val="0"/>
              <w:jc w:val="both"/>
            </w:pPr>
            <w:r>
              <w:rPr>
                <w:sz w:val="20"/>
              </w:rPr>
              <w:t xml:space="preserve">8.59 &lt;13&gt;</w:t>
            </w:r>
          </w:p>
        </w:tc>
        <w:tc>
          <w:tcPr>
            <w:tcW w:w="3969" w:type="dxa"/>
          </w:tcPr>
          <w:p>
            <w:pPr>
              <w:pStyle w:val="0"/>
              <w:jc w:val="both"/>
            </w:pPr>
            <w:r>
              <w:rPr>
                <w:sz w:val="20"/>
              </w:rPr>
              <w:t xml:space="preserve">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w:t>
            </w:r>
          </w:p>
        </w:tc>
        <w:tc>
          <w:tcPr>
            <w:tcW w:w="1531" w:type="dxa"/>
          </w:tcPr>
          <w:p>
            <w:pPr>
              <w:pStyle w:val="0"/>
              <w:jc w:val="both"/>
            </w:pPr>
            <w:r>
              <w:rPr>
                <w:sz w:val="20"/>
              </w:rPr>
              <w:t xml:space="preserve">%</w:t>
            </w:r>
          </w:p>
        </w:tc>
        <w:tc>
          <w:tcPr>
            <w:tcW w:w="1054" w:type="dxa"/>
          </w:tcPr>
          <w:p>
            <w:pPr>
              <w:pStyle w:val="0"/>
              <w:jc w:val="center"/>
            </w:pPr>
            <w:r>
              <w:rPr>
                <w:sz w:val="20"/>
              </w:rPr>
              <w:t xml:space="preserve">- &lt;14&gt;</w:t>
            </w:r>
          </w:p>
        </w:tc>
        <w:tc>
          <w:tcPr>
            <w:tcW w:w="1054" w:type="dxa"/>
          </w:tcPr>
          <w:p>
            <w:pPr>
              <w:pStyle w:val="0"/>
              <w:jc w:val="center"/>
            </w:pPr>
            <w:r>
              <w:rPr>
                <w:sz w:val="20"/>
              </w:rPr>
              <w:t xml:space="preserve">10,1 &lt;14&gt;</w:t>
            </w:r>
          </w:p>
        </w:tc>
        <w:tc>
          <w:tcPr>
            <w:tcW w:w="1054" w:type="dxa"/>
          </w:tcPr>
          <w:p>
            <w:pPr>
              <w:pStyle w:val="0"/>
              <w:jc w:val="center"/>
            </w:pPr>
            <w:r>
              <w:rPr>
                <w:sz w:val="20"/>
              </w:rPr>
              <w:t xml:space="preserve">9,8</w:t>
            </w:r>
          </w:p>
        </w:tc>
        <w:tc>
          <w:tcPr>
            <w:tcW w:w="1054" w:type="dxa"/>
          </w:tcPr>
          <w:p>
            <w:pPr>
              <w:pStyle w:val="0"/>
              <w:jc w:val="center"/>
            </w:pPr>
            <w:r>
              <w:rPr>
                <w:sz w:val="20"/>
              </w:rPr>
              <w:t xml:space="preserve">9,8</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8.60 &lt;13&gt;</w:t>
            </w:r>
          </w:p>
        </w:tc>
        <w:tc>
          <w:tcPr>
            <w:tcW w:w="3969" w:type="dxa"/>
          </w:tcPr>
          <w:p>
            <w:pPr>
              <w:pStyle w:val="0"/>
              <w:jc w:val="both"/>
            </w:pPr>
            <w:r>
              <w:rPr>
                <w:sz w:val="20"/>
              </w:rPr>
              <w:t xml:space="preserve">Дефицит врачей и среднего медицинского персонала в первичном звене здравоохранения города Севастополя</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503</w:t>
            </w:r>
          </w:p>
        </w:tc>
        <w:tc>
          <w:tcPr>
            <w:tcW w:w="1054" w:type="dxa"/>
          </w:tcPr>
          <w:p>
            <w:pPr>
              <w:pStyle w:val="0"/>
              <w:jc w:val="center"/>
            </w:pPr>
            <w:r>
              <w:rPr>
                <w:sz w:val="20"/>
              </w:rPr>
              <w:t xml:space="preserve">400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8.61 &lt;13&gt;</w:t>
            </w:r>
          </w:p>
        </w:tc>
        <w:tc>
          <w:tcPr>
            <w:tcW w:w="3969" w:type="dxa"/>
          </w:tcPr>
          <w:p>
            <w:pPr>
              <w:pStyle w:val="0"/>
              <w:jc w:val="both"/>
            </w:pPr>
            <w:r>
              <w:rPr>
                <w:sz w:val="20"/>
              </w:rPr>
              <w:t xml:space="preserve">Численность врачей государственных медицинских организаций, оказывающих медицинскую помощь в амбулаторных условиях</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753</w:t>
            </w:r>
          </w:p>
        </w:tc>
        <w:tc>
          <w:tcPr>
            <w:tcW w:w="1054" w:type="dxa"/>
          </w:tcPr>
          <w:p>
            <w:pPr>
              <w:pStyle w:val="0"/>
              <w:jc w:val="center"/>
            </w:pPr>
            <w:r>
              <w:rPr>
                <w:sz w:val="20"/>
              </w:rPr>
              <w:t xml:space="preserve">789</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8.62 &lt;13&gt;</w:t>
            </w:r>
          </w:p>
        </w:tc>
        <w:tc>
          <w:tcPr>
            <w:tcW w:w="3969" w:type="dxa"/>
          </w:tcPr>
          <w:p>
            <w:pPr>
              <w:pStyle w:val="0"/>
              <w:jc w:val="both"/>
            </w:pPr>
            <w:r>
              <w:rPr>
                <w:sz w:val="20"/>
              </w:rPr>
              <w:t xml:space="preserve">Численность среднего медицинского персонала государственных медицинских организаций, оказывающего медицинскую помощь в амбулаторных условиях</w:t>
            </w:r>
          </w:p>
        </w:tc>
        <w:tc>
          <w:tcPr>
            <w:tcW w:w="1531" w:type="dxa"/>
          </w:tcPr>
          <w:p>
            <w:pPr>
              <w:pStyle w:val="0"/>
              <w:jc w:val="both"/>
            </w:pPr>
            <w:r>
              <w:rPr>
                <w:sz w:val="20"/>
              </w:rPr>
              <w:t xml:space="preserve">человек</w:t>
            </w:r>
          </w:p>
        </w:tc>
        <w:tc>
          <w:tcPr>
            <w:tcW w:w="1054" w:type="dxa"/>
          </w:tcPr>
          <w:p>
            <w:pPr>
              <w:pStyle w:val="0"/>
              <w:jc w:val="center"/>
            </w:pPr>
            <w:r>
              <w:rPr>
                <w:sz w:val="20"/>
              </w:rPr>
              <w:t xml:space="preserve">1009</w:t>
            </w:r>
          </w:p>
        </w:tc>
        <w:tc>
          <w:tcPr>
            <w:tcW w:w="1054" w:type="dxa"/>
          </w:tcPr>
          <w:p>
            <w:pPr>
              <w:pStyle w:val="0"/>
              <w:jc w:val="center"/>
            </w:pPr>
            <w:r>
              <w:rPr>
                <w:sz w:val="20"/>
              </w:rPr>
              <w:t xml:space="preserve">1040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8.63 &lt;13&gt;</w:t>
            </w:r>
          </w:p>
        </w:tc>
        <w:tc>
          <w:tcPr>
            <w:tcW w:w="3969" w:type="dxa"/>
          </w:tcPr>
          <w:p>
            <w:pPr>
              <w:pStyle w:val="0"/>
              <w:jc w:val="both"/>
            </w:pPr>
            <w:r>
              <w:rPr>
                <w:sz w:val="20"/>
              </w:rPr>
              <w:t xml:space="preserve">Эффективность трудоустройства выпускников, завершивших обучение в рамках целевой подготовки по специальностям специалитета "Педиатрия" и "Лечебное дело"</w:t>
            </w:r>
          </w:p>
        </w:tc>
        <w:tc>
          <w:tcPr>
            <w:tcW w:w="1531" w:type="dxa"/>
          </w:tcPr>
          <w:p>
            <w:pPr>
              <w:pStyle w:val="0"/>
              <w:jc w:val="both"/>
            </w:pPr>
            <w:r>
              <w:rPr>
                <w:sz w:val="20"/>
              </w:rPr>
              <w:t xml:space="preserve">%</w:t>
            </w:r>
          </w:p>
        </w:tc>
        <w:tc>
          <w:tcPr>
            <w:tcW w:w="1054" w:type="dxa"/>
          </w:tcPr>
          <w:p>
            <w:pPr>
              <w:pStyle w:val="0"/>
              <w:jc w:val="center"/>
            </w:pPr>
            <w:r>
              <w:rPr>
                <w:sz w:val="20"/>
              </w:rPr>
              <w:t xml:space="preserve">0</w:t>
            </w:r>
          </w:p>
        </w:tc>
        <w:tc>
          <w:tcPr>
            <w:tcW w:w="1054" w:type="dxa"/>
          </w:tcPr>
          <w:p>
            <w:pPr>
              <w:pStyle w:val="0"/>
              <w:jc w:val="center"/>
            </w:pPr>
            <w:r>
              <w:rPr>
                <w:sz w:val="20"/>
              </w:rPr>
              <w:t xml:space="preserve">10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8.64 &lt;13&gt;</w:t>
            </w:r>
          </w:p>
        </w:tc>
        <w:tc>
          <w:tcPr>
            <w:tcW w:w="3969" w:type="dxa"/>
          </w:tcPr>
          <w:p>
            <w:pPr>
              <w:pStyle w:val="0"/>
              <w:jc w:val="both"/>
            </w:pPr>
            <w:r>
              <w:rPr>
                <w:sz w:val="20"/>
              </w:rPr>
              <w:t xml:space="preserve">Эффективность трудоустройства выпускников, завершивших обучение в рамках целевой подготовки по специальностям ординатуры</w:t>
            </w:r>
          </w:p>
        </w:tc>
        <w:tc>
          <w:tcPr>
            <w:tcW w:w="1531" w:type="dxa"/>
          </w:tcPr>
          <w:p>
            <w:pPr>
              <w:pStyle w:val="0"/>
              <w:jc w:val="both"/>
            </w:pPr>
            <w:r>
              <w:rPr>
                <w:sz w:val="20"/>
              </w:rPr>
              <w:t xml:space="preserve">%</w:t>
            </w:r>
          </w:p>
        </w:tc>
        <w:tc>
          <w:tcPr>
            <w:tcW w:w="1054" w:type="dxa"/>
          </w:tcPr>
          <w:p>
            <w:pPr>
              <w:pStyle w:val="0"/>
              <w:jc w:val="center"/>
            </w:pPr>
            <w:r>
              <w:rPr>
                <w:sz w:val="20"/>
              </w:rPr>
              <w:t xml:space="preserve">80,9</w:t>
            </w:r>
          </w:p>
        </w:tc>
        <w:tc>
          <w:tcPr>
            <w:tcW w:w="1054" w:type="dxa"/>
          </w:tcPr>
          <w:p>
            <w:pPr>
              <w:pStyle w:val="0"/>
              <w:jc w:val="center"/>
            </w:pPr>
            <w:r>
              <w:rPr>
                <w:sz w:val="20"/>
              </w:rPr>
              <w:t xml:space="preserve">85,2</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8.65 &lt;13&gt;</w:t>
            </w:r>
          </w:p>
        </w:tc>
        <w:tc>
          <w:tcPr>
            <w:tcW w:w="3969" w:type="dxa"/>
          </w:tcPr>
          <w:p>
            <w:pPr>
              <w:pStyle w:val="0"/>
              <w:jc w:val="both"/>
            </w:pPr>
            <w:r>
              <w:rPr>
                <w:sz w:val="20"/>
              </w:rPr>
              <w:t xml:space="preserve">Эффективность трудоустройства выпускников образовательных организаций среднего профессионального образования в государственные медицинские организации, на базе которых оказывается первичная медико-санитарная помощь</w:t>
            </w:r>
          </w:p>
        </w:tc>
        <w:tc>
          <w:tcPr>
            <w:tcW w:w="1531" w:type="dxa"/>
          </w:tcPr>
          <w:p>
            <w:pPr>
              <w:pStyle w:val="0"/>
              <w:jc w:val="both"/>
            </w:pPr>
            <w:r>
              <w:rPr>
                <w:sz w:val="20"/>
              </w:rPr>
              <w:t xml:space="preserve">%</w:t>
            </w:r>
          </w:p>
        </w:tc>
        <w:tc>
          <w:tcPr>
            <w:tcW w:w="1054" w:type="dxa"/>
          </w:tcPr>
          <w:p>
            <w:pPr>
              <w:pStyle w:val="0"/>
              <w:jc w:val="center"/>
            </w:pPr>
            <w:r>
              <w:rPr>
                <w:sz w:val="20"/>
              </w:rPr>
              <w:t xml:space="preserve">0</w:t>
            </w:r>
          </w:p>
        </w:tc>
        <w:tc>
          <w:tcPr>
            <w:tcW w:w="1054" w:type="dxa"/>
          </w:tcPr>
          <w:p>
            <w:pPr>
              <w:pStyle w:val="0"/>
              <w:jc w:val="center"/>
            </w:pPr>
            <w:r>
              <w:rPr>
                <w:sz w:val="20"/>
              </w:rPr>
              <w:t xml:space="preserve">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8.66 &lt;13&gt;</w:t>
            </w:r>
          </w:p>
        </w:tc>
        <w:tc>
          <w:tcPr>
            <w:tcW w:w="3969" w:type="dxa"/>
          </w:tcPr>
          <w:p>
            <w:pPr>
              <w:pStyle w:val="0"/>
              <w:jc w:val="both"/>
            </w:pPr>
            <w:r>
              <w:rPr>
                <w:sz w:val="20"/>
              </w:rPr>
              <w:t xml:space="preserve">Оснащенность медицинских организаций, участвующих в региональной </w:t>
            </w:r>
            <w:hyperlink w:history="0" w:anchor="P30585" w:tooltip="Региональная программа &quot;Модернизация первичного звена">
              <w:r>
                <w:rPr>
                  <w:sz w:val="20"/>
                  <w:color w:val="0000ff"/>
                </w:rPr>
                <w:t xml:space="preserve">программе</w:t>
              </w:r>
            </w:hyperlink>
            <w:r>
              <w:rPr>
                <w:sz w:val="20"/>
              </w:rPr>
              <w:t xml:space="preserve"> "Модернизация первичного звена здравоохранения города Севастополя", цифровыми медицинскими изделиями и сервисами дистанционного мониторинга состояния здоровья пациентов</w:t>
            </w:r>
          </w:p>
        </w:tc>
        <w:tc>
          <w:tcPr>
            <w:tcW w:w="1531" w:type="dxa"/>
          </w:tcPr>
          <w:p>
            <w:pPr>
              <w:pStyle w:val="0"/>
              <w:jc w:val="both"/>
            </w:pPr>
            <w:r>
              <w:rPr>
                <w:sz w:val="20"/>
              </w:rPr>
              <w:t xml:space="preserve">%</w:t>
            </w:r>
          </w:p>
        </w:tc>
        <w:tc>
          <w:tcPr>
            <w:tcW w:w="1054" w:type="dxa"/>
          </w:tcPr>
          <w:p>
            <w:pPr>
              <w:pStyle w:val="0"/>
              <w:jc w:val="center"/>
            </w:pPr>
            <w:r>
              <w:rPr>
                <w:sz w:val="20"/>
              </w:rPr>
              <w:t xml:space="preserve">20</w:t>
            </w:r>
          </w:p>
        </w:tc>
        <w:tc>
          <w:tcPr>
            <w:tcW w:w="1054" w:type="dxa"/>
          </w:tcPr>
          <w:p>
            <w:pPr>
              <w:pStyle w:val="0"/>
              <w:jc w:val="center"/>
            </w:pPr>
            <w:r>
              <w:rPr>
                <w:sz w:val="20"/>
              </w:rPr>
              <w:t xml:space="preserve">40</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8.67 &lt;13&gt;</w:t>
            </w:r>
          </w:p>
        </w:tc>
        <w:tc>
          <w:tcPr>
            <w:tcW w:w="3969" w:type="dxa"/>
          </w:tcPr>
          <w:p>
            <w:pPr>
              <w:pStyle w:val="0"/>
              <w:jc w:val="both"/>
            </w:pPr>
            <w:r>
              <w:rPr>
                <w:sz w:val="20"/>
              </w:rPr>
              <w:t xml:space="preserve">Доля зданий медицинских организаций, оказывающих первичную медико-санитарную помощь, находящихся в аварийном состоянии, требующих сноса, реконструкции и капитального ремонта</w:t>
            </w:r>
          </w:p>
        </w:tc>
        <w:tc>
          <w:tcPr>
            <w:tcW w:w="1531" w:type="dxa"/>
          </w:tcPr>
          <w:p>
            <w:pPr>
              <w:pStyle w:val="0"/>
              <w:jc w:val="both"/>
            </w:pPr>
            <w:r>
              <w:rPr>
                <w:sz w:val="20"/>
              </w:rPr>
              <w:t xml:space="preserve">%</w:t>
            </w:r>
          </w:p>
        </w:tc>
        <w:tc>
          <w:tcPr>
            <w:tcW w:w="1054" w:type="dxa"/>
          </w:tcPr>
          <w:p>
            <w:pPr>
              <w:pStyle w:val="0"/>
              <w:jc w:val="center"/>
            </w:pPr>
            <w:r>
              <w:rPr>
                <w:sz w:val="20"/>
              </w:rPr>
              <w:t xml:space="preserve">-</w:t>
            </w:r>
          </w:p>
        </w:tc>
        <w:tc>
          <w:tcPr>
            <w:tcW w:w="1054" w:type="dxa"/>
          </w:tcPr>
          <w:p>
            <w:pPr>
              <w:pStyle w:val="0"/>
              <w:jc w:val="center"/>
            </w:pPr>
            <w:r>
              <w:rPr>
                <w:sz w:val="20"/>
              </w:rPr>
              <w:t xml:space="preserve">32,4</w:t>
            </w:r>
          </w:p>
        </w:tc>
        <w:tc>
          <w:tcPr>
            <w:tcW w:w="1054" w:type="dxa"/>
          </w:tcPr>
          <w:p>
            <w:pPr>
              <w:pStyle w:val="0"/>
              <w:jc w:val="center"/>
            </w:pPr>
            <w:r>
              <w:rPr>
                <w:sz w:val="20"/>
              </w:rPr>
              <w:t xml:space="preserve">26,1</w:t>
            </w:r>
          </w:p>
        </w:tc>
        <w:tc>
          <w:tcPr>
            <w:tcW w:w="1054" w:type="dxa"/>
          </w:tcPr>
          <w:p>
            <w:pPr>
              <w:pStyle w:val="0"/>
              <w:jc w:val="center"/>
            </w:pPr>
            <w:r>
              <w:rPr>
                <w:sz w:val="20"/>
              </w:rPr>
              <w:t xml:space="preserve">25,7</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tcW w:w="1247" w:type="dxa"/>
          </w:tcPr>
          <w:p>
            <w:pPr>
              <w:pStyle w:val="0"/>
              <w:jc w:val="both"/>
            </w:pPr>
            <w:r>
              <w:rPr>
                <w:sz w:val="20"/>
              </w:rPr>
              <w:t xml:space="preserve">8.68 &lt;13&gt;</w:t>
            </w:r>
          </w:p>
        </w:tc>
        <w:tc>
          <w:tcPr>
            <w:tcW w:w="3969" w:type="dxa"/>
          </w:tcPr>
          <w:p>
            <w:pPr>
              <w:pStyle w:val="0"/>
              <w:jc w:val="both"/>
            </w:pPr>
            <w:r>
              <w:rPr>
                <w:sz w:val="20"/>
              </w:rPr>
              <w:t xml:space="preserve">Число посещений сельскими жителями медицинских организаций</w:t>
            </w:r>
          </w:p>
        </w:tc>
        <w:tc>
          <w:tcPr>
            <w:tcW w:w="1531" w:type="dxa"/>
          </w:tcPr>
          <w:p>
            <w:pPr>
              <w:pStyle w:val="0"/>
              <w:jc w:val="both"/>
            </w:pPr>
            <w:r>
              <w:rPr>
                <w:sz w:val="20"/>
              </w:rPr>
              <w:t xml:space="preserve">на 1 сельского жителя в год</w:t>
            </w:r>
          </w:p>
        </w:tc>
        <w:tc>
          <w:tcPr>
            <w:tcW w:w="1054" w:type="dxa"/>
          </w:tcPr>
          <w:p>
            <w:pPr>
              <w:pStyle w:val="0"/>
              <w:jc w:val="center"/>
            </w:pPr>
            <w:r>
              <w:rPr>
                <w:sz w:val="20"/>
              </w:rPr>
              <w:t xml:space="preserve">-</w:t>
            </w:r>
          </w:p>
        </w:tc>
        <w:tc>
          <w:tcPr>
            <w:tcW w:w="1054" w:type="dxa"/>
          </w:tcPr>
          <w:p>
            <w:pPr>
              <w:pStyle w:val="0"/>
              <w:jc w:val="center"/>
            </w:pPr>
            <w:r>
              <w:rPr>
                <w:sz w:val="20"/>
              </w:rPr>
              <w:t xml:space="preserve">6,3</w:t>
            </w:r>
          </w:p>
        </w:tc>
        <w:tc>
          <w:tcPr>
            <w:tcW w:w="1054" w:type="dxa"/>
          </w:tcPr>
          <w:p>
            <w:pPr>
              <w:pStyle w:val="0"/>
              <w:jc w:val="center"/>
            </w:pPr>
            <w:r>
              <w:rPr>
                <w:sz w:val="20"/>
              </w:rPr>
              <w:t xml:space="preserve">6,5</w:t>
            </w:r>
          </w:p>
        </w:tc>
        <w:tc>
          <w:tcPr>
            <w:tcW w:w="1054" w:type="dxa"/>
          </w:tcPr>
          <w:p>
            <w:pPr>
              <w:pStyle w:val="0"/>
              <w:jc w:val="center"/>
            </w:pPr>
            <w:r>
              <w:rPr>
                <w:sz w:val="20"/>
              </w:rPr>
              <w:t xml:space="preserve">6,7</w:t>
            </w:r>
          </w:p>
        </w:tc>
        <w:tc>
          <w:tcPr>
            <w:tcW w:w="1054" w:type="dxa"/>
          </w:tcPr>
          <w:p>
            <w:pPr>
              <w:pStyle w:val="0"/>
              <w:jc w:val="center"/>
            </w:pPr>
            <w:r>
              <w:rPr>
                <w:sz w:val="20"/>
              </w:rPr>
              <w:t xml:space="preserve">-</w:t>
            </w:r>
          </w:p>
        </w:tc>
        <w:tc>
          <w:tcPr>
            <w:tcW w:w="1054"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c>
          <w:tcPr>
            <w:tcW w:w="1056" w:type="dxa"/>
          </w:tcPr>
          <w:p>
            <w:pPr>
              <w:pStyle w:val="0"/>
              <w:jc w:val="center"/>
            </w:pPr>
            <w:r>
              <w:rPr>
                <w:sz w:val="20"/>
              </w:rPr>
              <w:t xml:space="preserve">-</w:t>
            </w:r>
          </w:p>
        </w:tc>
      </w:tr>
      <w:tr>
        <w:tc>
          <w:tcPr>
            <w:gridSpan w:val="13"/>
            <w:tcW w:w="17295" w:type="dxa"/>
          </w:tcPr>
          <w:p>
            <w:pPr>
              <w:pStyle w:val="0"/>
              <w:outlineLvl w:val="2"/>
              <w:jc w:val="center"/>
            </w:pPr>
            <w:r>
              <w:rPr>
                <w:sz w:val="20"/>
              </w:rPr>
              <w:t xml:space="preserve">Подпрограмма 9 "Приведение учреждений, подведомственных Департаменту здравоохранения города Севастополя, к стандартам оснащения"</w:t>
            </w:r>
          </w:p>
        </w:tc>
      </w:tr>
      <w:tr>
        <w:tc>
          <w:tcPr>
            <w:tcW w:w="1247" w:type="dxa"/>
          </w:tcPr>
          <w:p>
            <w:pPr>
              <w:pStyle w:val="0"/>
              <w:jc w:val="both"/>
            </w:pPr>
            <w:r>
              <w:rPr>
                <w:sz w:val="20"/>
              </w:rPr>
              <w:t xml:space="preserve">9.1</w:t>
            </w:r>
          </w:p>
        </w:tc>
        <w:tc>
          <w:tcPr>
            <w:tcW w:w="3969" w:type="dxa"/>
          </w:tcPr>
          <w:p>
            <w:pPr>
              <w:pStyle w:val="0"/>
              <w:jc w:val="both"/>
            </w:pPr>
            <w:r>
              <w:rPr>
                <w:sz w:val="20"/>
              </w:rPr>
              <w:t xml:space="preserve">Доля медицинских организаций, подведомственных Департаменту здравоохранения города Севастополя, соответствующих лицензионным требованиям</w:t>
            </w:r>
          </w:p>
        </w:tc>
        <w:tc>
          <w:tcPr>
            <w:tcW w:w="1531" w:type="dxa"/>
          </w:tcPr>
          <w:p>
            <w:pPr>
              <w:pStyle w:val="0"/>
              <w:jc w:val="both"/>
            </w:pPr>
            <w:r>
              <w:rPr>
                <w:sz w:val="20"/>
              </w:rPr>
              <w:t xml:space="preserve">%</w:t>
            </w:r>
          </w:p>
        </w:tc>
        <w:tc>
          <w:tcPr>
            <w:tcW w:w="1054" w:type="dxa"/>
          </w:tcPr>
          <w:p>
            <w:pPr>
              <w:pStyle w:val="0"/>
              <w:jc w:val="center"/>
            </w:pPr>
            <w:r>
              <w:rPr>
                <w:sz w:val="20"/>
              </w:rPr>
              <w:t xml:space="preserve">50</w:t>
            </w:r>
          </w:p>
        </w:tc>
        <w:tc>
          <w:tcPr>
            <w:tcW w:w="1054" w:type="dxa"/>
          </w:tcPr>
          <w:p>
            <w:pPr>
              <w:pStyle w:val="0"/>
              <w:jc w:val="center"/>
            </w:pPr>
            <w:r>
              <w:rPr>
                <w:sz w:val="20"/>
              </w:rPr>
              <w:t xml:space="preserve">90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4" w:type="dxa"/>
          </w:tcPr>
          <w:p>
            <w:pPr>
              <w:pStyle w:val="0"/>
              <w:jc w:val="center"/>
            </w:pPr>
            <w:r>
              <w:rPr>
                <w:sz w:val="20"/>
              </w:rPr>
              <w:t xml:space="preserve">100</w:t>
            </w:r>
          </w:p>
        </w:tc>
        <w:tc>
          <w:tcPr>
            <w:tcW w:w="1056" w:type="dxa"/>
          </w:tcPr>
          <w:p>
            <w:pPr>
              <w:pStyle w:val="0"/>
              <w:jc w:val="center"/>
            </w:pPr>
            <w:r>
              <w:rPr>
                <w:sz w:val="20"/>
              </w:rPr>
              <w:t xml:space="preserve">100</w:t>
            </w:r>
          </w:p>
        </w:tc>
        <w:tc>
          <w:tcPr>
            <w:tcW w:w="1056" w:type="dxa"/>
          </w:tcPr>
          <w:p>
            <w:pPr>
              <w:pStyle w:val="0"/>
              <w:jc w:val="center"/>
            </w:pPr>
            <w:r>
              <w:rPr>
                <w:sz w:val="20"/>
              </w:rPr>
              <w:t xml:space="preserve">100</w:t>
            </w:r>
          </w:p>
        </w:tc>
        <w:tc>
          <w:tcPr>
            <w:tcW w:w="1056" w:type="dxa"/>
          </w:tcPr>
          <w:p>
            <w:pPr>
              <w:pStyle w:val="0"/>
              <w:jc w:val="center"/>
            </w:pPr>
            <w:r>
              <w:rPr>
                <w:sz w:val="20"/>
              </w:rPr>
              <w:t xml:space="preserve">100</w:t>
            </w:r>
          </w:p>
        </w:tc>
        <w:tc>
          <w:tcPr>
            <w:tcW w:w="1056" w:type="dxa"/>
          </w:tcPr>
          <w:p>
            <w:pPr>
              <w:pStyle w:val="0"/>
              <w:jc w:val="center"/>
            </w:pPr>
            <w:r>
              <w:rPr>
                <w:sz w:val="20"/>
              </w:rPr>
              <w:t xml:space="preserve">100</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Региональный проект "Развитие детского здравоохранения, включая создание современной инфраструктуры оказания медицинской помощи".</w:t>
      </w:r>
    </w:p>
    <w:p>
      <w:pPr>
        <w:pStyle w:val="0"/>
        <w:spacing w:before="200" w:line-rule="auto"/>
        <w:ind w:firstLine="540"/>
        <w:jc w:val="both"/>
      </w:pPr>
      <w:r>
        <w:rPr>
          <w:sz w:val="20"/>
        </w:rPr>
        <w:t xml:space="preserve">&lt;2&gt; Региональный проект "Формирование системы мотивации граждан к здоровому образу жизни, включая отказ от вредных привычек".</w:t>
      </w:r>
    </w:p>
    <w:p>
      <w:pPr>
        <w:pStyle w:val="0"/>
        <w:spacing w:before="200" w:line-rule="auto"/>
        <w:ind w:firstLine="540"/>
        <w:jc w:val="both"/>
      </w:pPr>
      <w:r>
        <w:rPr>
          <w:sz w:val="20"/>
        </w:rPr>
        <w:t xml:space="preserve">&lt;3&gt; Региональный проект "Разработка и реализация программы системной поддержки и повышения качества жизни граждан старшего поколения".</w:t>
      </w:r>
    </w:p>
    <w:p>
      <w:pPr>
        <w:pStyle w:val="0"/>
        <w:spacing w:before="200" w:line-rule="auto"/>
        <w:ind w:firstLine="540"/>
        <w:jc w:val="both"/>
      </w:pPr>
      <w:r>
        <w:rPr>
          <w:sz w:val="20"/>
        </w:rPr>
        <w:t xml:space="preserve">&lt;4&gt; Региональный проект "Развитие системы оказания первичной медико-санитарной помощи".</w:t>
      </w:r>
    </w:p>
    <w:p>
      <w:pPr>
        <w:pStyle w:val="0"/>
        <w:spacing w:before="200" w:line-rule="auto"/>
        <w:ind w:firstLine="540"/>
        <w:jc w:val="both"/>
      </w:pPr>
      <w:r>
        <w:rPr>
          <w:sz w:val="20"/>
        </w:rPr>
        <w:t xml:space="preserve">&lt;5&gt; В соответствии с дополнительным соглашением к Соглашению о реализации регионального проекта "Развитие системы оказания первичной медико-санитарной помощи (город федерального значения Севастополь)" от 26.12.2022 N 056-2019-N10080-1/6.</w:t>
      </w:r>
    </w:p>
    <w:p>
      <w:pPr>
        <w:pStyle w:val="0"/>
        <w:spacing w:before="200" w:line-rule="auto"/>
        <w:ind w:firstLine="540"/>
        <w:jc w:val="both"/>
      </w:pPr>
      <w:r>
        <w:rPr>
          <w:sz w:val="20"/>
        </w:rPr>
        <w:t xml:space="preserve">&lt;6&gt; Региональный проект "Борьба с сердечно-сосудистыми заболеваниями".</w:t>
      </w:r>
    </w:p>
    <w:p>
      <w:pPr>
        <w:pStyle w:val="0"/>
        <w:spacing w:before="200" w:line-rule="auto"/>
        <w:ind w:firstLine="540"/>
        <w:jc w:val="both"/>
      </w:pPr>
      <w:r>
        <w:rPr>
          <w:sz w:val="20"/>
        </w:rPr>
        <w:t xml:space="preserve">&lt;7&gt; В соответствии с дополнительным соглашением к Соглашению о реализации регионального проекта "Борьба с сердечно-сосудистыми заболеваниями" от 29.12.2022 N 056-2019-N20082-1/6.</w:t>
      </w:r>
    </w:p>
    <w:p>
      <w:pPr>
        <w:pStyle w:val="0"/>
        <w:spacing w:before="200" w:line-rule="auto"/>
        <w:ind w:firstLine="540"/>
        <w:jc w:val="both"/>
      </w:pPr>
      <w:r>
        <w:rPr>
          <w:sz w:val="20"/>
        </w:rPr>
        <w:t xml:space="preserve">&lt;8&gt; Региональный проект "Борьба с онкологическими заболеваниями".</w:t>
      </w:r>
    </w:p>
    <w:p>
      <w:pPr>
        <w:pStyle w:val="0"/>
        <w:spacing w:before="200" w:line-rule="auto"/>
        <w:ind w:firstLine="540"/>
        <w:jc w:val="both"/>
      </w:pPr>
      <w:r>
        <w:rPr>
          <w:sz w:val="20"/>
        </w:rPr>
        <w:t xml:space="preserve">&lt;9&gt; В соответствии с дополнительным соглашением к Соглашению о реализации регионального проекта "Борьба с онкологическими заболеваниями" от 29.12.2022 N 056-2019-N30083-1/7.</w:t>
      </w:r>
    </w:p>
    <w:p>
      <w:pPr>
        <w:pStyle w:val="0"/>
        <w:spacing w:before="200" w:line-rule="auto"/>
        <w:ind w:firstLine="540"/>
        <w:jc w:val="both"/>
      </w:pPr>
      <w:r>
        <w:rPr>
          <w:sz w:val="20"/>
        </w:rPr>
        <w:t xml:space="preserve">&lt;10&gt; 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pPr>
        <w:pStyle w:val="0"/>
        <w:spacing w:before="200" w:line-rule="auto"/>
        <w:ind w:firstLine="540"/>
        <w:jc w:val="both"/>
      </w:pPr>
      <w:r>
        <w:rPr>
          <w:sz w:val="20"/>
        </w:rPr>
        <w:t xml:space="preserve">&lt;11&gt; Региональный проект "Обеспечение медицинских организаций системы здравоохранения квалифицированными кадрами".</w:t>
      </w:r>
    </w:p>
    <w:p>
      <w:pPr>
        <w:pStyle w:val="0"/>
        <w:spacing w:before="200" w:line-rule="auto"/>
        <w:ind w:firstLine="540"/>
        <w:jc w:val="both"/>
      </w:pPr>
      <w:r>
        <w:rPr>
          <w:sz w:val="20"/>
        </w:rPr>
        <w:t xml:space="preserve">&lt;12&gt; В соответствии с дополнительным соглашением к Соглашению о реализации регионального проекта "Обеспечение медицинских организаций системы здравоохранения квалифицированными кадрами" от 28.12.2022 N 056-2019-N5001-1/5.</w:t>
      </w:r>
    </w:p>
    <w:p>
      <w:pPr>
        <w:pStyle w:val="0"/>
        <w:spacing w:before="200" w:line-rule="auto"/>
        <w:ind w:firstLine="540"/>
        <w:jc w:val="both"/>
      </w:pPr>
      <w:r>
        <w:rPr>
          <w:sz w:val="20"/>
        </w:rPr>
        <w:t xml:space="preserve">&lt;13&gt; Региональный проект "Модернизация первичного звена здравоохранения Российской Федерации (город федерального значения Севастополь)".</w:t>
      </w:r>
    </w:p>
    <w:p>
      <w:pPr>
        <w:pStyle w:val="0"/>
        <w:spacing w:before="200" w:line-rule="auto"/>
        <w:ind w:firstLine="540"/>
        <w:jc w:val="both"/>
      </w:pPr>
      <w:r>
        <w:rPr>
          <w:sz w:val="20"/>
        </w:rPr>
        <w:t xml:space="preserve">&lt;14&gt; В соответствии с дополнительным соглашением к Соглашению о реализации регионального проекта "Модернизация первичного звена здравоохранения Российской Федерации (город федерального значения Севастополь)" от 27.12.2022 N 056-2021-N9004-76/5.</w:t>
      </w:r>
    </w:p>
    <w:p>
      <w:pPr>
        <w:pStyle w:val="0"/>
        <w:jc w:val="both"/>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N 2</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bookmarkStart w:id="4719" w:name="P4719"/>
    <w:bookmarkEnd w:id="4719"/>
    <w:p>
      <w:pPr>
        <w:pStyle w:val="2"/>
        <w:jc w:val="center"/>
      </w:pPr>
      <w:r>
        <w:rPr>
          <w:sz w:val="20"/>
        </w:rPr>
        <w:t xml:space="preserve">Перечень основных мероприятий государственной программы</w:t>
      </w:r>
    </w:p>
    <w:p>
      <w:pPr>
        <w:pStyle w:val="2"/>
        <w:jc w:val="center"/>
      </w:pPr>
      <w:r>
        <w:rPr>
          <w:sz w:val="20"/>
        </w:rPr>
        <w:t xml:space="preserve">города Севастополя "Развитие здравоохранения</w:t>
      </w:r>
    </w:p>
    <w:p>
      <w:pPr>
        <w:pStyle w:val="2"/>
        <w:jc w:val="center"/>
      </w:pPr>
      <w:r>
        <w:rPr>
          <w:sz w:val="20"/>
        </w:rPr>
        <w:t xml:space="preserve">в городе Севастополе"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Севастополя от 14.04.2022 </w:t>
            </w:r>
            <w:hyperlink w:history="0" r:id="rId298"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color w:val="392c69"/>
              </w:rPr>
              <w:t xml:space="preserve">,</w:t>
            </w:r>
          </w:p>
          <w:p>
            <w:pPr>
              <w:pStyle w:val="0"/>
              <w:jc w:val="center"/>
            </w:pPr>
            <w:r>
              <w:rPr>
                <w:sz w:val="20"/>
                <w:color w:val="392c69"/>
              </w:rPr>
              <w:t xml:space="preserve">от 26.05.2022 </w:t>
            </w:r>
            <w:hyperlink w:history="0" r:id="rId299"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224-ПП</w:t>
              </w:r>
            </w:hyperlink>
            <w:r>
              <w:rPr>
                <w:sz w:val="20"/>
                <w:color w:val="392c69"/>
              </w:rPr>
              <w:t xml:space="preserve">, от 15.09.2022 </w:t>
            </w:r>
            <w:hyperlink w:history="0" r:id="rId300" w:tooltip="Постановление Правительства Севастополя от 15.09.2022 N 42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422-ПП</w:t>
              </w:r>
            </w:hyperlink>
            <w:r>
              <w:rPr>
                <w:sz w:val="20"/>
                <w:color w:val="392c69"/>
              </w:rPr>
              <w:t xml:space="preserve">, от 10.11.2022 </w:t>
            </w:r>
            <w:hyperlink w:history="0" r:id="rId301"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561-ПП</w:t>
              </w:r>
            </w:hyperlink>
            <w:r>
              <w:rPr>
                <w:sz w:val="20"/>
                <w:color w:val="392c69"/>
              </w:rPr>
              <w:t xml:space="preserve">,</w:t>
            </w:r>
          </w:p>
          <w:p>
            <w:pPr>
              <w:pStyle w:val="0"/>
              <w:jc w:val="center"/>
            </w:pPr>
            <w:r>
              <w:rPr>
                <w:sz w:val="20"/>
                <w:color w:val="392c69"/>
              </w:rPr>
              <w:t xml:space="preserve">от 08.12.2022 </w:t>
            </w:r>
            <w:hyperlink w:history="0" r:id="rId302"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638-ПП</w:t>
              </w:r>
            </w:hyperlink>
            <w:r>
              <w:rPr>
                <w:sz w:val="20"/>
                <w:color w:val="392c69"/>
              </w:rPr>
              <w:t xml:space="preserve">, от 26.12.2022 </w:t>
            </w:r>
            <w:hyperlink w:history="0" r:id="rId303" w:tooltip="Постановление Правительства Севастополя от 26.12.2022 N 70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702-ПП</w:t>
              </w:r>
            </w:hyperlink>
            <w:r>
              <w:rPr>
                <w:sz w:val="20"/>
                <w:color w:val="392c69"/>
              </w:rPr>
              <w:t xml:space="preserve">, от 02.03.2023 </w:t>
            </w:r>
            <w:hyperlink w:history="0" r:id="rId304"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108-ПП</w:t>
              </w:r>
            </w:hyperlink>
            <w:r>
              <w:rPr>
                <w:sz w:val="20"/>
                <w:color w:val="392c69"/>
              </w:rPr>
              <w:t xml:space="preserve">,</w:t>
            </w:r>
          </w:p>
          <w:p>
            <w:pPr>
              <w:pStyle w:val="0"/>
              <w:jc w:val="center"/>
            </w:pPr>
            <w:r>
              <w:rPr>
                <w:sz w:val="20"/>
                <w:color w:val="392c69"/>
              </w:rPr>
              <w:t xml:space="preserve">от 27.04.2023 </w:t>
            </w:r>
            <w:hyperlink w:history="0" r:id="rId30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color w:val="392c69"/>
              </w:rPr>
              <w:t xml:space="preserve">, от 28.07.2023 </w:t>
            </w:r>
            <w:hyperlink w:history="0" r:id="rId306"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358-ПП</w:t>
              </w:r>
            </w:hyperlink>
            <w:r>
              <w:rPr>
                <w:sz w:val="20"/>
                <w:color w:val="392c69"/>
              </w:rPr>
              <w:t xml:space="preserve">, от 03.11.2023 </w:t>
            </w:r>
            <w:hyperlink w:history="0" r:id="rId307"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506-ПП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644"/>
        <w:gridCol w:w="2267"/>
        <w:gridCol w:w="1927"/>
        <w:gridCol w:w="821"/>
        <w:gridCol w:w="821"/>
        <w:gridCol w:w="2721"/>
        <w:gridCol w:w="2551"/>
      </w:tblGrid>
      <w:tr>
        <w:tc>
          <w:tcPr>
            <w:tcW w:w="850" w:type="dxa"/>
            <w:vMerge w:val="restart"/>
          </w:tcPr>
          <w:p>
            <w:pPr>
              <w:pStyle w:val="0"/>
              <w:jc w:val="center"/>
            </w:pPr>
            <w:r>
              <w:rPr>
                <w:sz w:val="20"/>
              </w:rPr>
              <w:t xml:space="preserve">N п/п</w:t>
            </w:r>
          </w:p>
        </w:tc>
        <w:tc>
          <w:tcPr>
            <w:tcW w:w="1644" w:type="dxa"/>
            <w:vMerge w:val="restart"/>
          </w:tcPr>
          <w:p>
            <w:pPr>
              <w:pStyle w:val="0"/>
              <w:jc w:val="center"/>
            </w:pPr>
            <w:r>
              <w:rPr>
                <w:sz w:val="20"/>
              </w:rPr>
              <w:t xml:space="preserve">Код целевой статьи расходов (КЦСР)</w:t>
            </w:r>
          </w:p>
        </w:tc>
        <w:tc>
          <w:tcPr>
            <w:tcW w:w="2267" w:type="dxa"/>
            <w:vMerge w:val="restart"/>
          </w:tcPr>
          <w:p>
            <w:pPr>
              <w:pStyle w:val="0"/>
              <w:jc w:val="center"/>
            </w:pPr>
            <w:r>
              <w:rPr>
                <w:sz w:val="20"/>
              </w:rPr>
              <w:t xml:space="preserve">Наименование основного мероприятия</w:t>
            </w:r>
          </w:p>
        </w:tc>
        <w:tc>
          <w:tcPr>
            <w:tcW w:w="1927" w:type="dxa"/>
            <w:vMerge w:val="restart"/>
          </w:tcPr>
          <w:p>
            <w:pPr>
              <w:pStyle w:val="0"/>
              <w:jc w:val="center"/>
            </w:pPr>
            <w:r>
              <w:rPr>
                <w:sz w:val="20"/>
              </w:rPr>
              <w:t xml:space="preserve">Ответственный исполнитель/соисполнитель, участник</w:t>
            </w:r>
          </w:p>
        </w:tc>
        <w:tc>
          <w:tcPr>
            <w:gridSpan w:val="2"/>
            <w:tcW w:w="1642" w:type="dxa"/>
          </w:tcPr>
          <w:p>
            <w:pPr>
              <w:pStyle w:val="0"/>
              <w:jc w:val="center"/>
            </w:pPr>
            <w:r>
              <w:rPr>
                <w:sz w:val="20"/>
              </w:rPr>
              <w:t xml:space="preserve">Срок реализации</w:t>
            </w:r>
          </w:p>
        </w:tc>
        <w:tc>
          <w:tcPr>
            <w:tcW w:w="2721" w:type="dxa"/>
            <w:vMerge w:val="restart"/>
          </w:tcPr>
          <w:p>
            <w:pPr>
              <w:pStyle w:val="0"/>
              <w:jc w:val="center"/>
            </w:pPr>
            <w:r>
              <w:rPr>
                <w:sz w:val="20"/>
              </w:rPr>
              <w:t xml:space="preserve">Ожидаемый результат (краткое описание)</w:t>
            </w:r>
          </w:p>
        </w:tc>
        <w:tc>
          <w:tcPr>
            <w:tcW w:w="2551" w:type="dxa"/>
            <w:vMerge w:val="restart"/>
          </w:tcPr>
          <w:p>
            <w:pPr>
              <w:pStyle w:val="0"/>
              <w:jc w:val="center"/>
            </w:pPr>
            <w:r>
              <w:rPr>
                <w:sz w:val="20"/>
              </w:rPr>
              <w:t xml:space="preserve">Последствия нереализации мероприятий</w:t>
            </w:r>
          </w:p>
        </w:tc>
      </w:tr>
      <w:tr>
        <w:tc>
          <w:tcPr>
            <w:vMerge w:val="continue"/>
          </w:tcPr>
          <w:p/>
        </w:tc>
        <w:tc>
          <w:tcPr>
            <w:vMerge w:val="continue"/>
          </w:tcPr>
          <w:p/>
        </w:tc>
        <w:tc>
          <w:tcPr>
            <w:vMerge w:val="continue"/>
          </w:tcPr>
          <w:p/>
        </w:tc>
        <w:tc>
          <w:tcPr>
            <w:vMerge w:val="continue"/>
          </w:tcPr>
          <w:p/>
        </w:tc>
        <w:tc>
          <w:tcPr>
            <w:tcW w:w="821" w:type="dxa"/>
          </w:tcPr>
          <w:p>
            <w:pPr>
              <w:pStyle w:val="0"/>
              <w:jc w:val="center"/>
            </w:pPr>
            <w:r>
              <w:rPr>
                <w:sz w:val="20"/>
              </w:rPr>
              <w:t xml:space="preserve">начало</w:t>
            </w:r>
          </w:p>
        </w:tc>
        <w:tc>
          <w:tcPr>
            <w:tcW w:w="821" w:type="dxa"/>
          </w:tcPr>
          <w:p>
            <w:pPr>
              <w:pStyle w:val="0"/>
              <w:jc w:val="center"/>
            </w:pPr>
            <w:r>
              <w:rPr>
                <w:sz w:val="20"/>
              </w:rPr>
              <w:t xml:space="preserve">окончание</w:t>
            </w:r>
          </w:p>
        </w:tc>
        <w:tc>
          <w:tcPr>
            <w:vMerge w:val="continue"/>
          </w:tcPr>
          <w:p/>
        </w:tc>
        <w:tc>
          <w:tcPr>
            <w:vMerge w:val="continue"/>
          </w:tcPr>
          <w:p/>
        </w:tc>
      </w:tr>
      <w:tr>
        <w:tc>
          <w:tcPr>
            <w:tcW w:w="850" w:type="dxa"/>
          </w:tcPr>
          <w:p>
            <w:pPr>
              <w:pStyle w:val="0"/>
              <w:jc w:val="both"/>
            </w:pPr>
            <w:r>
              <w:rPr>
                <w:sz w:val="20"/>
              </w:rPr>
            </w:r>
          </w:p>
        </w:tc>
        <w:tc>
          <w:tcPr>
            <w:tcW w:w="1644" w:type="dxa"/>
          </w:tcPr>
          <w:p>
            <w:pPr>
              <w:pStyle w:val="0"/>
              <w:jc w:val="center"/>
            </w:pPr>
            <w:r>
              <w:rPr>
                <w:sz w:val="20"/>
              </w:rPr>
              <w:t xml:space="preserve">07.0.00.00000</w:t>
            </w:r>
          </w:p>
        </w:tc>
        <w:tc>
          <w:tcPr>
            <w:gridSpan w:val="6"/>
            <w:tcW w:w="11108" w:type="dxa"/>
          </w:tcPr>
          <w:p>
            <w:pPr>
              <w:pStyle w:val="0"/>
              <w:outlineLvl w:val="2"/>
              <w:jc w:val="center"/>
            </w:pPr>
            <w:r>
              <w:rPr>
                <w:sz w:val="20"/>
              </w:rPr>
              <w:t xml:space="preserve">Государственная программа города Севастополя "Развитие здравоохранения в городе Севастополе"</w:t>
            </w:r>
          </w:p>
        </w:tc>
      </w:tr>
      <w:tr>
        <w:tc>
          <w:tcPr>
            <w:tcW w:w="850" w:type="dxa"/>
          </w:tcPr>
          <w:p>
            <w:pPr>
              <w:pStyle w:val="0"/>
              <w:outlineLvl w:val="3"/>
              <w:jc w:val="both"/>
            </w:pPr>
            <w:r>
              <w:rPr>
                <w:sz w:val="20"/>
              </w:rPr>
              <w:t xml:space="preserve">1</w:t>
            </w:r>
          </w:p>
        </w:tc>
        <w:tc>
          <w:tcPr>
            <w:tcW w:w="1644" w:type="dxa"/>
          </w:tcPr>
          <w:p>
            <w:pPr>
              <w:pStyle w:val="0"/>
              <w:jc w:val="center"/>
            </w:pPr>
            <w:r>
              <w:rPr>
                <w:sz w:val="20"/>
              </w:rPr>
              <w:t xml:space="preserve">07.1.00.00000</w:t>
            </w:r>
          </w:p>
        </w:tc>
        <w:tc>
          <w:tcPr>
            <w:gridSpan w:val="6"/>
            <w:tcW w:w="11108" w:type="dxa"/>
          </w:tcPr>
          <w:p>
            <w:pPr>
              <w:pStyle w:val="0"/>
              <w:jc w:val="center"/>
            </w:pPr>
            <w:r>
              <w:rPr>
                <w:sz w:val="20"/>
              </w:rPr>
              <w:t xml:space="preserve">Подпрограмма 1 "Профилактика заболеваний и формирование здорового образа жизни. Развитие первичной медико-санитарной помощи"</w:t>
            </w:r>
          </w:p>
        </w:tc>
      </w:tr>
      <w:tr>
        <w:tc>
          <w:tcPr>
            <w:tcW w:w="850" w:type="dxa"/>
          </w:tcPr>
          <w:p>
            <w:pPr>
              <w:pStyle w:val="0"/>
              <w:jc w:val="both"/>
            </w:pPr>
            <w:r>
              <w:rPr>
                <w:sz w:val="20"/>
              </w:rPr>
              <w:t xml:space="preserve">1.1</w:t>
            </w:r>
          </w:p>
        </w:tc>
        <w:tc>
          <w:tcPr>
            <w:tcW w:w="1644" w:type="dxa"/>
          </w:tcPr>
          <w:p>
            <w:pPr>
              <w:pStyle w:val="0"/>
              <w:jc w:val="center"/>
            </w:pPr>
            <w:r>
              <w:rPr>
                <w:sz w:val="20"/>
              </w:rPr>
              <w:t xml:space="preserve">07 1 1Т 00110</w:t>
            </w:r>
          </w:p>
        </w:tc>
        <w:tc>
          <w:tcPr>
            <w:tcW w:w="2267" w:type="dxa"/>
          </w:tcPr>
          <w:p>
            <w:pPr>
              <w:pStyle w:val="0"/>
              <w:jc w:val="both"/>
            </w:pPr>
            <w:r>
              <w:rPr>
                <w:sz w:val="20"/>
              </w:rPr>
              <w:t xml:space="preserve">Оказание первичной медико-санитарной помощи государственными учреждениями здравоохранения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удовлетворенности населения медицинской помощью</w:t>
            </w:r>
          </w:p>
        </w:tc>
        <w:tc>
          <w:tcPr>
            <w:tcW w:w="2551" w:type="dxa"/>
          </w:tcPr>
          <w:p>
            <w:pPr>
              <w:pStyle w:val="0"/>
              <w:jc w:val="both"/>
            </w:pPr>
            <w:r>
              <w:rPr>
                <w:sz w:val="20"/>
              </w:rPr>
              <w:t xml:space="preserve">Снижение удовлетворенности населения медицинской помощью</w:t>
            </w:r>
          </w:p>
        </w:tc>
      </w:tr>
      <w:tr>
        <w:tc>
          <w:tcPr>
            <w:tcW w:w="850" w:type="dxa"/>
          </w:tcPr>
          <w:p>
            <w:pPr>
              <w:pStyle w:val="0"/>
              <w:jc w:val="both"/>
            </w:pPr>
            <w:r>
              <w:rPr>
                <w:sz w:val="20"/>
              </w:rPr>
              <w:t xml:space="preserve">1.2</w:t>
            </w:r>
          </w:p>
        </w:tc>
        <w:tc>
          <w:tcPr>
            <w:tcW w:w="1644" w:type="dxa"/>
          </w:tcPr>
          <w:p>
            <w:pPr>
              <w:pStyle w:val="0"/>
              <w:jc w:val="center"/>
            </w:pPr>
            <w:r>
              <w:rPr>
                <w:sz w:val="20"/>
              </w:rPr>
              <w:t xml:space="preserve">07 1 1Т 00120</w:t>
            </w:r>
          </w:p>
        </w:tc>
        <w:tc>
          <w:tcPr>
            <w:tcW w:w="2267" w:type="dxa"/>
          </w:tcPr>
          <w:p>
            <w:pPr>
              <w:pStyle w:val="0"/>
              <w:jc w:val="both"/>
            </w:pPr>
            <w:r>
              <w:rPr>
                <w:sz w:val="20"/>
              </w:rPr>
              <w:t xml:space="preserve">Оказание паллиативной медицинской помощи в амбулаторных условиях государственными учреждениями здравоохранения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удовлетворенности населения медицинской помощью</w:t>
            </w:r>
          </w:p>
        </w:tc>
        <w:tc>
          <w:tcPr>
            <w:tcW w:w="2551" w:type="dxa"/>
          </w:tcPr>
          <w:p>
            <w:pPr>
              <w:pStyle w:val="0"/>
              <w:jc w:val="both"/>
            </w:pPr>
            <w:r>
              <w:rPr>
                <w:sz w:val="20"/>
              </w:rPr>
              <w:t xml:space="preserve">Снижение удовлетворенности населения медицинской помощью</w:t>
            </w:r>
          </w:p>
        </w:tc>
      </w:tr>
      <w:tr>
        <w:tblPrEx>
          <w:tblBorders>
            <w:insideH w:val="nil"/>
          </w:tblBorders>
        </w:tblPrEx>
        <w:tc>
          <w:tcPr>
            <w:tcW w:w="850" w:type="dxa"/>
            <w:tcBorders>
              <w:bottom w:val="nil"/>
            </w:tcBorders>
          </w:tcPr>
          <w:p>
            <w:pPr>
              <w:pStyle w:val="0"/>
              <w:jc w:val="both"/>
            </w:pPr>
            <w:r>
              <w:rPr>
                <w:sz w:val="20"/>
              </w:rPr>
              <w:t xml:space="preserve">1.3</w:t>
            </w:r>
          </w:p>
        </w:tc>
        <w:tc>
          <w:tcPr>
            <w:tcW w:w="1644" w:type="dxa"/>
            <w:tcBorders>
              <w:bottom w:val="nil"/>
            </w:tcBorders>
          </w:tcPr>
          <w:p>
            <w:pPr>
              <w:pStyle w:val="0"/>
              <w:jc w:val="center"/>
            </w:pPr>
            <w:r>
              <w:rPr>
                <w:sz w:val="20"/>
              </w:rPr>
              <w:t xml:space="preserve">07 1 01 00201,</w:t>
            </w:r>
          </w:p>
          <w:p>
            <w:pPr>
              <w:pStyle w:val="0"/>
              <w:jc w:val="center"/>
            </w:pPr>
            <w:r>
              <w:rPr>
                <w:sz w:val="20"/>
              </w:rPr>
              <w:t xml:space="preserve">92 0 00 00870</w:t>
            </w:r>
          </w:p>
        </w:tc>
        <w:tc>
          <w:tcPr>
            <w:tcW w:w="2267" w:type="dxa"/>
            <w:tcBorders>
              <w:bottom w:val="nil"/>
            </w:tcBorders>
          </w:tcPr>
          <w:p>
            <w:pPr>
              <w:pStyle w:val="0"/>
              <w:jc w:val="both"/>
            </w:pPr>
            <w:r>
              <w:rPr>
                <w:sz w:val="20"/>
              </w:rPr>
              <w:t xml:space="preserve">Профилактика инфекционных заболеваний</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Обеспечение населения бесплатной иммунизацией против коклюша, дифтерии, столбняка, кори, краснухи, острого вирусного гепатита B, эпидемического паротита; приобретение диагностических средств для выявления и мониторинга лиц, инфицированных вирусами иммунодефицита человека и гепатитов B и C</w:t>
            </w:r>
          </w:p>
        </w:tc>
        <w:tc>
          <w:tcPr>
            <w:tcW w:w="2551" w:type="dxa"/>
            <w:tcBorders>
              <w:bottom w:val="nil"/>
            </w:tcBorders>
          </w:tcPr>
          <w:p>
            <w:pPr>
              <w:pStyle w:val="0"/>
              <w:jc w:val="both"/>
            </w:pPr>
            <w:r>
              <w:rPr>
                <w:sz w:val="20"/>
              </w:rPr>
              <w:t xml:space="preserve">Уменьшение охвата иммунизацией населения против дифтерии, коклюша и столбняка в декретные сроки. Уменьшение охвата профилактическими осмотрами детей и подростков</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08"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08.12.2022 N 638-ПП)</w:t>
            </w:r>
          </w:p>
        </w:tc>
      </w:tr>
      <w:tr>
        <w:tc>
          <w:tcPr>
            <w:tcW w:w="850" w:type="dxa"/>
          </w:tcPr>
          <w:p>
            <w:pPr>
              <w:pStyle w:val="0"/>
              <w:jc w:val="both"/>
            </w:pPr>
            <w:r>
              <w:rPr>
                <w:sz w:val="20"/>
              </w:rPr>
              <w:t xml:space="preserve">1.4</w:t>
            </w:r>
          </w:p>
        </w:tc>
        <w:tc>
          <w:tcPr>
            <w:tcW w:w="1644" w:type="dxa"/>
          </w:tcPr>
          <w:p>
            <w:pPr>
              <w:pStyle w:val="0"/>
              <w:jc w:val="center"/>
            </w:pPr>
            <w:r>
              <w:rPr>
                <w:sz w:val="20"/>
              </w:rPr>
            </w:r>
          </w:p>
        </w:tc>
        <w:tc>
          <w:tcPr>
            <w:tcW w:w="2267" w:type="dxa"/>
          </w:tcPr>
          <w:p>
            <w:pPr>
              <w:pStyle w:val="0"/>
              <w:jc w:val="both"/>
            </w:pPr>
            <w:r>
              <w:rPr>
                <w:sz w:val="20"/>
              </w:rPr>
              <w:t xml:space="preserve">Лекарственное обеспечение отдельных категорий граждан</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Обеспечение лекарственными препаратами отдельных категорий граждан Севастополя в рамках оказания первичной медико-санитарной помощи</w:t>
            </w:r>
          </w:p>
        </w:tc>
        <w:tc>
          <w:tcPr>
            <w:tcW w:w="2551" w:type="dxa"/>
          </w:tcPr>
          <w:p>
            <w:pPr>
              <w:pStyle w:val="0"/>
              <w:jc w:val="both"/>
            </w:pPr>
            <w:r>
              <w:rPr>
                <w:sz w:val="20"/>
              </w:rPr>
              <w:t xml:space="preserve">Увеличение смертности от всех причин, увеличение смертности от болезней системы кровообращения. Увеличение смертности от новообразований. Увеличение доли рецептов, находящихся на отсроченном обслуживании</w:t>
            </w:r>
          </w:p>
        </w:tc>
      </w:tr>
      <w:tr>
        <w:tc>
          <w:tcPr>
            <w:tcW w:w="850" w:type="dxa"/>
          </w:tcPr>
          <w:p>
            <w:pPr>
              <w:pStyle w:val="0"/>
              <w:jc w:val="both"/>
            </w:pPr>
            <w:r>
              <w:rPr>
                <w:sz w:val="20"/>
              </w:rPr>
              <w:t xml:space="preserve">1.4.1</w:t>
            </w:r>
          </w:p>
        </w:tc>
        <w:tc>
          <w:tcPr>
            <w:tcW w:w="1644" w:type="dxa"/>
          </w:tcPr>
          <w:p>
            <w:pPr>
              <w:pStyle w:val="0"/>
              <w:jc w:val="center"/>
            </w:pPr>
            <w:r>
              <w:rPr>
                <w:sz w:val="20"/>
              </w:rPr>
              <w:t xml:space="preserve">07 1 03 00300</w:t>
            </w:r>
          </w:p>
        </w:tc>
        <w:tc>
          <w:tcPr>
            <w:tcW w:w="2267" w:type="dxa"/>
          </w:tcPr>
          <w:p>
            <w:pPr>
              <w:pStyle w:val="0"/>
              <w:jc w:val="both"/>
            </w:pPr>
            <w:r>
              <w:rPr>
                <w:sz w:val="20"/>
              </w:rPr>
              <w:t xml:space="preserve">Лекарственное обеспечение граждан, страдающих спинальной мышечной атрофией</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Обеспечение лекарственными препаратами отдельных категорий граждан Севастополя в рамках оказания первичной медико-санитарной помощи</w:t>
            </w:r>
          </w:p>
        </w:tc>
        <w:tc>
          <w:tcPr>
            <w:tcW w:w="2551" w:type="dxa"/>
          </w:tcPr>
          <w:p>
            <w:pPr>
              <w:pStyle w:val="0"/>
              <w:jc w:val="both"/>
            </w:pPr>
            <w:r>
              <w:rPr>
                <w:sz w:val="20"/>
              </w:rPr>
              <w:t xml:space="preserve">Увеличение смертности от всех причин. Увеличение доли рецептов, находящихся на отсроченном обслуживании</w:t>
            </w:r>
          </w:p>
        </w:tc>
      </w:tr>
      <w:tr>
        <w:tc>
          <w:tcPr>
            <w:tcW w:w="850" w:type="dxa"/>
          </w:tcPr>
          <w:p>
            <w:pPr>
              <w:pStyle w:val="0"/>
              <w:jc w:val="both"/>
            </w:pPr>
            <w:r>
              <w:rPr>
                <w:sz w:val="20"/>
              </w:rPr>
              <w:t xml:space="preserve">1.4.2</w:t>
            </w:r>
          </w:p>
        </w:tc>
        <w:tc>
          <w:tcPr>
            <w:tcW w:w="1644" w:type="dxa"/>
          </w:tcPr>
          <w:p>
            <w:pPr>
              <w:pStyle w:val="0"/>
              <w:jc w:val="center"/>
            </w:pPr>
            <w:r>
              <w:rPr>
                <w:sz w:val="20"/>
              </w:rPr>
              <w:t xml:space="preserve">07 1 2Т 00310,</w:t>
            </w:r>
          </w:p>
          <w:p>
            <w:pPr>
              <w:pStyle w:val="0"/>
              <w:jc w:val="center"/>
            </w:pPr>
            <w:r>
              <w:rPr>
                <w:sz w:val="20"/>
              </w:rPr>
              <w:t xml:space="preserve">07 1 2Т 00100</w:t>
            </w:r>
          </w:p>
        </w:tc>
        <w:tc>
          <w:tcPr>
            <w:tcW w:w="2267" w:type="dxa"/>
          </w:tcPr>
          <w:p>
            <w:pPr>
              <w:pStyle w:val="0"/>
              <w:jc w:val="both"/>
            </w:pPr>
            <w:r>
              <w:rPr>
                <w:sz w:val="20"/>
              </w:rPr>
              <w:t xml:space="preserve">Обеспечение отдельных категорий граждан, проживающих в городе Севастополе, бесплатными лекарственными препаратами, медицинскими изделиями и специализированными продуктами лечебного питания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Обеспечение лекарственными препаратами отдельных категорий граждан Севастополя в рамках оказания первичной медико-санитарной помощи</w:t>
            </w:r>
          </w:p>
        </w:tc>
        <w:tc>
          <w:tcPr>
            <w:tcW w:w="2551" w:type="dxa"/>
          </w:tcPr>
          <w:p>
            <w:pPr>
              <w:pStyle w:val="0"/>
              <w:jc w:val="both"/>
            </w:pPr>
            <w:r>
              <w:rPr>
                <w:sz w:val="20"/>
              </w:rPr>
              <w:t xml:space="preserve">Увеличение смертности от всех причин, увеличение смертности от болезней системы кровообращения. Увеличение смертности от новообразований. Увеличение доли рецептов, находящихся на отсроченном обслуживании</w:t>
            </w:r>
          </w:p>
        </w:tc>
      </w:tr>
      <w:tr>
        <w:tc>
          <w:tcPr>
            <w:tcW w:w="850" w:type="dxa"/>
          </w:tcPr>
          <w:p>
            <w:pPr>
              <w:pStyle w:val="0"/>
              <w:jc w:val="both"/>
            </w:pPr>
            <w:r>
              <w:rPr>
                <w:sz w:val="20"/>
              </w:rPr>
              <w:t xml:space="preserve">1.4.3</w:t>
            </w:r>
          </w:p>
        </w:tc>
        <w:tc>
          <w:tcPr>
            <w:tcW w:w="1644" w:type="dxa"/>
          </w:tcPr>
          <w:p>
            <w:pPr>
              <w:pStyle w:val="0"/>
              <w:jc w:val="center"/>
            </w:pPr>
            <w:r>
              <w:rPr>
                <w:sz w:val="20"/>
              </w:rPr>
              <w:t xml:space="preserve">07 1 2Т 00320</w:t>
            </w:r>
          </w:p>
        </w:tc>
        <w:tc>
          <w:tcPr>
            <w:tcW w:w="2267" w:type="dxa"/>
          </w:tcPr>
          <w:p>
            <w:pPr>
              <w:pStyle w:val="0"/>
              <w:jc w:val="both"/>
            </w:pPr>
            <w:r>
              <w:rPr>
                <w:sz w:val="20"/>
              </w:rPr>
              <w:t xml:space="preserve">Обеспечение отдельных категорий граждан, проживающих в городе Севастополе, лекарственными средствами с 50-процентной скидкой</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Обеспечение лекарственными препаратами отдельных категорий граждан Севастополя в рамках оказания первичной медико-санитарной помощи</w:t>
            </w:r>
          </w:p>
        </w:tc>
        <w:tc>
          <w:tcPr>
            <w:tcW w:w="2551" w:type="dxa"/>
          </w:tcPr>
          <w:p>
            <w:pPr>
              <w:pStyle w:val="0"/>
              <w:jc w:val="both"/>
            </w:pPr>
            <w:r>
              <w:rPr>
                <w:sz w:val="20"/>
              </w:rPr>
              <w:t xml:space="preserve">Увеличение смертности от всех причин, увеличение смертности от болезней системы кровообращения. Увеличение смертности от новообразований. Увеличение доли рецептов, находящихся на отсроченном обслуживании</w:t>
            </w:r>
          </w:p>
        </w:tc>
      </w:tr>
      <w:tr>
        <w:tc>
          <w:tcPr>
            <w:tcW w:w="850" w:type="dxa"/>
          </w:tcPr>
          <w:p>
            <w:pPr>
              <w:pStyle w:val="0"/>
              <w:jc w:val="both"/>
            </w:pPr>
            <w:r>
              <w:rPr>
                <w:sz w:val="20"/>
              </w:rPr>
              <w:t xml:space="preserve">1.4.4</w:t>
            </w:r>
          </w:p>
        </w:tc>
        <w:tc>
          <w:tcPr>
            <w:tcW w:w="1644" w:type="dxa"/>
          </w:tcPr>
          <w:p>
            <w:pPr>
              <w:pStyle w:val="0"/>
              <w:jc w:val="center"/>
            </w:pPr>
            <w:r>
              <w:rPr>
                <w:sz w:val="20"/>
              </w:rPr>
              <w:t xml:space="preserve">07 1 02 51610,</w:t>
            </w:r>
          </w:p>
          <w:p>
            <w:pPr>
              <w:pStyle w:val="0"/>
              <w:jc w:val="center"/>
            </w:pPr>
            <w:r>
              <w:rPr>
                <w:sz w:val="20"/>
              </w:rPr>
              <w:t xml:space="preserve">07 1 02 54600</w:t>
            </w:r>
          </w:p>
        </w:tc>
        <w:tc>
          <w:tcPr>
            <w:tcW w:w="2267" w:type="dxa"/>
          </w:tcPr>
          <w:p>
            <w:pPr>
              <w:pStyle w:val="0"/>
              <w:jc w:val="both"/>
            </w:pPr>
            <w:r>
              <w:rPr>
                <w:sz w:val="20"/>
              </w:rPr>
              <w:t xml:space="preserve">Лекарственное обеспечение федеральных льготополучателей</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Обеспечение лекарственными препаратами отдельных категорий граждан Севастополя в рамках оказания первичной медико-санитарной помощи</w:t>
            </w:r>
          </w:p>
        </w:tc>
        <w:tc>
          <w:tcPr>
            <w:tcW w:w="2551" w:type="dxa"/>
          </w:tcPr>
          <w:p>
            <w:pPr>
              <w:pStyle w:val="0"/>
              <w:jc w:val="both"/>
            </w:pPr>
            <w:r>
              <w:rPr>
                <w:sz w:val="20"/>
              </w:rPr>
              <w:t xml:space="preserve">Увеличение смертности от всех причин, увеличение смертности от болезней системы кровообращения. Увеличение смертности от новообразований. Увеличение доли рецептов, находящихся на отсроченном обслуживании</w:t>
            </w:r>
          </w:p>
        </w:tc>
      </w:tr>
      <w:tr>
        <w:tblPrEx>
          <w:tblBorders>
            <w:insideH w:val="nil"/>
          </w:tblBorders>
        </w:tblPrEx>
        <w:tc>
          <w:tcPr>
            <w:tcW w:w="850" w:type="dxa"/>
            <w:tcBorders>
              <w:bottom w:val="nil"/>
            </w:tcBorders>
          </w:tcPr>
          <w:p>
            <w:pPr>
              <w:pStyle w:val="0"/>
              <w:jc w:val="both"/>
            </w:pPr>
            <w:r>
              <w:rPr>
                <w:sz w:val="20"/>
              </w:rPr>
              <w:t xml:space="preserve">1.5</w:t>
            </w:r>
          </w:p>
        </w:tc>
        <w:tc>
          <w:tcPr>
            <w:tcW w:w="1644" w:type="dxa"/>
            <w:tcBorders>
              <w:bottom w:val="nil"/>
            </w:tcBorders>
          </w:tcPr>
          <w:p>
            <w:pPr>
              <w:pStyle w:val="0"/>
              <w:jc w:val="center"/>
            </w:pPr>
            <w:r>
              <w:rPr>
                <w:sz w:val="20"/>
              </w:rPr>
              <w:t xml:space="preserve">07 1 04 R1880</w:t>
            </w:r>
          </w:p>
        </w:tc>
        <w:tc>
          <w:tcPr>
            <w:tcW w:w="2267" w:type="dxa"/>
            <w:tcBorders>
              <w:bottom w:val="nil"/>
            </w:tcBorders>
          </w:tcPr>
          <w:p>
            <w:pPr>
              <w:pStyle w:val="0"/>
              <w:jc w:val="both"/>
            </w:pPr>
            <w:r>
              <w:rPr>
                <w:sz w:val="20"/>
              </w:rPr>
              <w:t xml:space="preserve">Строительство поликлиники на 320 посещений в смену в микрорайоне "Казачья бухта", г. Севастополь</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Увеличение охвата профилактическими мероприятиями (иммунизация), медицинскими осмотрами и диспансеризацией взрослого и детского населения. Увеличение доли впервые выявленных случаев онкологических заболеваний на ранних стадиях (I и II стадии) в общем количестве выявленных случаев онкологических заболеваний в течение года. Увеличение доступности медицинской помощи.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Снижение охвата профилактическими мероприятиями взрослого и детского населения. Увеличение доли впервые выявленных запущенных случаев онкологических заболеваний. Снижение доступности медицинской помощи.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309"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27.04.2023 </w:t>
            </w:r>
            <w:hyperlink w:history="0" r:id="rId31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1.6</w:t>
            </w:r>
          </w:p>
        </w:tc>
        <w:tc>
          <w:tcPr>
            <w:tcW w:w="1644" w:type="dxa"/>
            <w:tcBorders>
              <w:bottom w:val="nil"/>
            </w:tcBorders>
          </w:tcPr>
          <w:p>
            <w:pPr>
              <w:pStyle w:val="0"/>
              <w:jc w:val="center"/>
            </w:pPr>
            <w:r>
              <w:rPr>
                <w:sz w:val="20"/>
              </w:rPr>
            </w:r>
          </w:p>
        </w:tc>
        <w:tc>
          <w:tcPr>
            <w:tcW w:w="2267" w:type="dxa"/>
            <w:tcBorders>
              <w:bottom w:val="nil"/>
            </w:tcBorders>
          </w:tcPr>
          <w:p>
            <w:pPr>
              <w:pStyle w:val="0"/>
              <w:jc w:val="both"/>
            </w:pPr>
            <w:r>
              <w:rPr>
                <w:sz w:val="20"/>
              </w:rPr>
              <w:t xml:space="preserve">Иные мероприятия, направленные на развитие здравоохранения в г. Севастополе, в том числе:</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2026</w:t>
            </w:r>
          </w:p>
        </w:tc>
        <w:tc>
          <w:tcPr>
            <w:tcW w:w="2721" w:type="dxa"/>
            <w:tcBorders>
              <w:bottom w:val="nil"/>
            </w:tcBorders>
          </w:tcPr>
          <w:p>
            <w:pPr>
              <w:pStyle w:val="0"/>
              <w:jc w:val="both"/>
            </w:pPr>
            <w:r>
              <w:rPr>
                <w:sz w:val="20"/>
              </w:rPr>
            </w:r>
          </w:p>
        </w:tc>
        <w:tc>
          <w:tcPr>
            <w:tcW w:w="2551" w:type="dxa"/>
            <w:tcBorders>
              <w:bottom w:val="nil"/>
            </w:tcBorders>
          </w:tcPr>
          <w:p>
            <w:pPr>
              <w:pStyle w:val="0"/>
              <w:jc w:val="both"/>
            </w:pPr>
            <w:r>
              <w:rPr>
                <w:sz w:val="20"/>
              </w:rPr>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11"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1.6.1</w:t>
            </w:r>
          </w:p>
        </w:tc>
        <w:tc>
          <w:tcPr>
            <w:tcW w:w="1644" w:type="dxa"/>
            <w:tcBorders>
              <w:bottom w:val="nil"/>
            </w:tcBorders>
          </w:tcPr>
          <w:p>
            <w:pPr>
              <w:pStyle w:val="0"/>
              <w:jc w:val="center"/>
            </w:pPr>
            <w:r>
              <w:rPr>
                <w:sz w:val="20"/>
              </w:rPr>
              <w:t xml:space="preserve">07 1 04 R1880</w:t>
            </w:r>
          </w:p>
        </w:tc>
        <w:tc>
          <w:tcPr>
            <w:tcW w:w="2267" w:type="dxa"/>
            <w:tcBorders>
              <w:bottom w:val="nil"/>
            </w:tcBorders>
          </w:tcPr>
          <w:p>
            <w:pPr>
              <w:pStyle w:val="0"/>
              <w:jc w:val="both"/>
            </w:pPr>
            <w:r>
              <w:rPr>
                <w:sz w:val="20"/>
              </w:rPr>
              <w:t xml:space="preserve">Строительство амбулаторно-поликлинического учреждения на 320 посещений в смену, пр-т Генерала Острякова</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2026</w:t>
            </w:r>
          </w:p>
        </w:tc>
        <w:tc>
          <w:tcPr>
            <w:tcW w:w="2721" w:type="dxa"/>
            <w:tcBorders>
              <w:bottom w:val="nil"/>
            </w:tcBorders>
          </w:tcPr>
          <w:p>
            <w:pPr>
              <w:pStyle w:val="0"/>
              <w:jc w:val="both"/>
            </w:pPr>
            <w:r>
              <w:rPr>
                <w:sz w:val="20"/>
              </w:rPr>
              <w:t xml:space="preserve">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Увеличение доступности и качества медицинской помощи</w:t>
            </w:r>
          </w:p>
        </w:tc>
        <w:tc>
          <w:tcPr>
            <w:tcW w:w="2551" w:type="dxa"/>
            <w:tcBorders>
              <w:bottom w:val="nil"/>
            </w:tcBorders>
          </w:tcPr>
          <w:p>
            <w:pPr>
              <w:pStyle w:val="0"/>
              <w:jc w:val="both"/>
            </w:pPr>
            <w:r>
              <w:rPr>
                <w:sz w:val="20"/>
              </w:rPr>
              <w:t xml:space="preserve">Снижение доступности медицинской помощи.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312"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27.04.2023 </w:t>
            </w:r>
            <w:hyperlink w:history="0" r:id="rId31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1.6.2</w:t>
            </w:r>
          </w:p>
        </w:tc>
        <w:tc>
          <w:tcPr>
            <w:tcW w:w="1644" w:type="dxa"/>
            <w:tcBorders>
              <w:bottom w:val="nil"/>
            </w:tcBorders>
          </w:tcPr>
          <w:p>
            <w:pPr>
              <w:pStyle w:val="0"/>
              <w:jc w:val="center"/>
            </w:pPr>
            <w:r>
              <w:rPr>
                <w:sz w:val="20"/>
              </w:rPr>
              <w:t xml:space="preserve">07 1 04 R1880</w:t>
            </w:r>
          </w:p>
        </w:tc>
        <w:tc>
          <w:tcPr>
            <w:tcW w:w="2267" w:type="dxa"/>
            <w:tcBorders>
              <w:bottom w:val="nil"/>
            </w:tcBorders>
          </w:tcPr>
          <w:p>
            <w:pPr>
              <w:pStyle w:val="0"/>
              <w:jc w:val="both"/>
            </w:pPr>
            <w:r>
              <w:rPr>
                <w:sz w:val="20"/>
              </w:rPr>
              <w:t xml:space="preserve">Строительство детской поликлиники на 100 посещений в смену на Корабельной стороне</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Увеличение доступности и качества медицинской помощи</w:t>
            </w:r>
          </w:p>
        </w:tc>
        <w:tc>
          <w:tcPr>
            <w:tcW w:w="2551" w:type="dxa"/>
            <w:tcBorders>
              <w:bottom w:val="nil"/>
            </w:tcBorders>
          </w:tcPr>
          <w:p>
            <w:pPr>
              <w:pStyle w:val="0"/>
              <w:jc w:val="both"/>
            </w:pPr>
            <w:r>
              <w:rPr>
                <w:sz w:val="20"/>
              </w:rPr>
              <w:t xml:space="preserve">Снижение охвата профилактическими мероприятиями детского населения. Снижение доступности медицинской помощи. Снижение удовлетворенности населения медицинской помощью. Рост детской смертности</w:t>
            </w:r>
          </w:p>
        </w:tc>
      </w:tr>
      <w:tr>
        <w:tblPrEx>
          <w:tblBorders>
            <w:insideH w:val="nil"/>
          </w:tblBorders>
        </w:tblPrEx>
        <w:tc>
          <w:tcPr>
            <w:gridSpan w:val="8"/>
            <w:tcW w:w="13602" w:type="dxa"/>
            <w:tcBorders>
              <w:top w:val="nil"/>
            </w:tcBorders>
          </w:tcPr>
          <w:p>
            <w:pPr>
              <w:pStyle w:val="0"/>
              <w:jc w:val="both"/>
            </w:pPr>
            <w:r>
              <w:rPr>
                <w:sz w:val="20"/>
              </w:rPr>
              <w:t xml:space="preserve">(п. 1.6.2 в ред. </w:t>
            </w:r>
            <w:hyperlink w:history="0" r:id="rId314"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14.04.2022 N 152-ПП)</w:t>
            </w:r>
          </w:p>
        </w:tc>
      </w:tr>
      <w:tr>
        <w:tblPrEx>
          <w:tblBorders>
            <w:insideH w:val="nil"/>
          </w:tblBorders>
        </w:tblPrEx>
        <w:tc>
          <w:tcPr>
            <w:tcW w:w="850" w:type="dxa"/>
            <w:tcBorders>
              <w:bottom w:val="nil"/>
            </w:tcBorders>
          </w:tcPr>
          <w:p>
            <w:pPr>
              <w:pStyle w:val="0"/>
              <w:jc w:val="both"/>
            </w:pPr>
            <w:r>
              <w:rPr>
                <w:sz w:val="20"/>
              </w:rPr>
              <w:t xml:space="preserve">1.7</w:t>
            </w:r>
          </w:p>
        </w:tc>
        <w:tc>
          <w:tcPr>
            <w:tcW w:w="1644" w:type="dxa"/>
            <w:tcBorders>
              <w:bottom w:val="nil"/>
            </w:tcBorders>
          </w:tcPr>
          <w:p>
            <w:pPr>
              <w:pStyle w:val="0"/>
              <w:jc w:val="center"/>
            </w:pPr>
            <w:r>
              <w:rPr>
                <w:sz w:val="20"/>
              </w:rPr>
              <w:t xml:space="preserve">07 1 01 00202</w:t>
            </w:r>
          </w:p>
        </w:tc>
        <w:tc>
          <w:tcPr>
            <w:tcW w:w="2267" w:type="dxa"/>
            <w:tcBorders>
              <w:bottom w:val="nil"/>
            </w:tcBorders>
          </w:tcPr>
          <w:p>
            <w:pPr>
              <w:pStyle w:val="0"/>
              <w:jc w:val="both"/>
            </w:pPr>
            <w:r>
              <w:rPr>
                <w:sz w:val="20"/>
              </w:rPr>
              <w:t xml:space="preserve">Предоставление отдельным категориям граждан, проживающих в городе Севастополе, мер социальной поддержки по бесплатному изготовлению и ремонту зубных протезов</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Повышение качества жизни людей старшего поколения,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качества жизни,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15"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10.11.2022 N 561-ПП)</w:t>
            </w:r>
          </w:p>
        </w:tc>
      </w:tr>
      <w:tr>
        <w:tc>
          <w:tcPr>
            <w:tcW w:w="850" w:type="dxa"/>
          </w:tcPr>
          <w:p>
            <w:pPr>
              <w:pStyle w:val="0"/>
              <w:jc w:val="both"/>
            </w:pPr>
            <w:r>
              <w:rPr>
                <w:sz w:val="20"/>
              </w:rPr>
              <w:t xml:space="preserve">1.8</w:t>
            </w:r>
          </w:p>
        </w:tc>
        <w:tc>
          <w:tcPr>
            <w:tcW w:w="1644" w:type="dxa"/>
          </w:tcPr>
          <w:p>
            <w:pPr>
              <w:pStyle w:val="0"/>
              <w:jc w:val="center"/>
            </w:pPr>
            <w:r>
              <w:rPr>
                <w:sz w:val="20"/>
              </w:rPr>
              <w:t xml:space="preserve">07 1 02 52160</w:t>
            </w:r>
          </w:p>
        </w:tc>
        <w:tc>
          <w:tcPr>
            <w:tcW w:w="2267" w:type="dxa"/>
          </w:tcPr>
          <w:p>
            <w:pPr>
              <w:pStyle w:val="0"/>
              <w:jc w:val="both"/>
            </w:pPr>
            <w:r>
              <w:rPr>
                <w:sz w:val="20"/>
              </w:rPr>
              <w:t xml:space="preserve">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IV типов, апластической анемией неуточненной, наследственным дефицитом факторов I (фибриногена), VII (лабильного), X (Стюарта - Прауэра), лиц после трансплантации органов и (или) тканей</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2023</w:t>
            </w:r>
          </w:p>
        </w:tc>
        <w:tc>
          <w:tcPr>
            <w:tcW w:w="2721" w:type="dxa"/>
          </w:tcPr>
          <w:p>
            <w:pPr>
              <w:pStyle w:val="0"/>
              <w:jc w:val="both"/>
            </w:pPr>
            <w:r>
              <w:rPr>
                <w:sz w:val="20"/>
              </w:rPr>
              <w:t xml:space="preserve">Соблюдение стандартов лечения и клинических рекомендаций по медикаментозной поддержке пациентов с тяжелыми хроническими заболеваниями из группы 7 ВЗН (высокозатратные нозологии) и пациентов после трансплантации органов и тканей</w:t>
            </w:r>
          </w:p>
        </w:tc>
        <w:tc>
          <w:tcPr>
            <w:tcW w:w="2551" w:type="dxa"/>
          </w:tcPr>
          <w:p>
            <w:pPr>
              <w:pStyle w:val="0"/>
              <w:jc w:val="both"/>
            </w:pPr>
            <w:r>
              <w:rPr>
                <w:sz w:val="20"/>
              </w:rPr>
              <w:t xml:space="preserve">Невозможность выполнить стандарты лечения и клинические рекомендации по медикаментозной поддержке пациентов с тяжелыми хроническими заболеваниями из группы 7 ВЗН (высокозатратные нозологии) и пациентов после трансплантации органов и тканей</w:t>
            </w:r>
          </w:p>
        </w:tc>
      </w:tr>
      <w:tr>
        <w:tc>
          <w:tcPr>
            <w:tcW w:w="850" w:type="dxa"/>
          </w:tcPr>
          <w:p>
            <w:pPr>
              <w:pStyle w:val="0"/>
              <w:jc w:val="both"/>
            </w:pPr>
            <w:r>
              <w:rPr>
                <w:sz w:val="20"/>
              </w:rPr>
              <w:t xml:space="preserve">1.9</w:t>
            </w:r>
          </w:p>
        </w:tc>
        <w:tc>
          <w:tcPr>
            <w:tcW w:w="1644" w:type="dxa"/>
          </w:tcPr>
          <w:p>
            <w:pPr>
              <w:pStyle w:val="0"/>
              <w:jc w:val="center"/>
            </w:pPr>
            <w:r>
              <w:rPr>
                <w:sz w:val="20"/>
              </w:rPr>
              <w:t xml:space="preserve">07 1 01 00203</w:t>
            </w:r>
          </w:p>
        </w:tc>
        <w:tc>
          <w:tcPr>
            <w:tcW w:w="2267" w:type="dxa"/>
          </w:tcPr>
          <w:p>
            <w:pPr>
              <w:pStyle w:val="0"/>
              <w:jc w:val="both"/>
            </w:pPr>
            <w:r>
              <w:rPr>
                <w:sz w:val="20"/>
              </w:rPr>
              <w:t xml:space="preserve">Мероприятия по закупке противовирусных лекарственных препаратов, предназначенных для лечения пациентов, страдающих хроническими вирусными гепатитами B и C</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Обеспечение лекарственными препаратами отдельных категорий граждан Севастополя в рамках оказания первичной медико-санитарной помощи</w:t>
            </w:r>
          </w:p>
        </w:tc>
        <w:tc>
          <w:tcPr>
            <w:tcW w:w="2551" w:type="dxa"/>
          </w:tcPr>
          <w:p>
            <w:pPr>
              <w:pStyle w:val="0"/>
              <w:jc w:val="both"/>
            </w:pPr>
            <w:r>
              <w:rPr>
                <w:sz w:val="20"/>
              </w:rPr>
              <w:t xml:space="preserve">Увеличение смертности от хронических вирусных гепатитов B и C</w:t>
            </w:r>
          </w:p>
        </w:tc>
      </w:tr>
      <w:tr>
        <w:tblPrEx>
          <w:tblBorders>
            <w:insideH w:val="nil"/>
          </w:tblBorders>
        </w:tblPrEx>
        <w:tc>
          <w:tcPr>
            <w:tcW w:w="850" w:type="dxa"/>
            <w:tcBorders>
              <w:bottom w:val="nil"/>
            </w:tcBorders>
          </w:tcPr>
          <w:p>
            <w:pPr>
              <w:pStyle w:val="0"/>
              <w:jc w:val="both"/>
            </w:pPr>
            <w:r>
              <w:rPr>
                <w:sz w:val="20"/>
              </w:rPr>
              <w:t xml:space="preserve">1.10</w:t>
            </w:r>
          </w:p>
        </w:tc>
        <w:tc>
          <w:tcPr>
            <w:tcW w:w="1644" w:type="dxa"/>
            <w:tcBorders>
              <w:bottom w:val="nil"/>
            </w:tcBorders>
          </w:tcPr>
          <w:p>
            <w:pPr>
              <w:pStyle w:val="0"/>
              <w:jc w:val="center"/>
            </w:pPr>
            <w:r>
              <w:rPr>
                <w:sz w:val="20"/>
              </w:rPr>
              <w:t xml:space="preserve">07 1 05 5843Ф</w:t>
            </w:r>
          </w:p>
        </w:tc>
        <w:tc>
          <w:tcPr>
            <w:tcW w:w="2267" w:type="dxa"/>
            <w:tcBorders>
              <w:bottom w:val="nil"/>
            </w:tcBorders>
          </w:tcPr>
          <w:p>
            <w:pPr>
              <w:pStyle w:val="0"/>
              <w:jc w:val="both"/>
            </w:pPr>
            <w:r>
              <w:rPr>
                <w:sz w:val="20"/>
              </w:rPr>
              <w:t xml:space="preserve">Финансовое обеспечение мероприятий по приобретению лекарственных препаратов для лечения пациентов с новой коронавирусной инфекцией (COVID-19), получающих медицинскую помощь в амбулаторных условиях</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Своевременная профилактика, диагностика и лечение новой коронавирусной инфекции (COVID-19)</w:t>
            </w:r>
          </w:p>
        </w:tc>
        <w:tc>
          <w:tcPr>
            <w:tcW w:w="2551" w:type="dxa"/>
            <w:tcBorders>
              <w:bottom w:val="nil"/>
            </w:tcBorders>
          </w:tcPr>
          <w:p>
            <w:pPr>
              <w:pStyle w:val="0"/>
              <w:jc w:val="both"/>
            </w:pPr>
            <w:r>
              <w:rPr>
                <w:sz w:val="20"/>
              </w:rPr>
              <w:t xml:space="preserve">Ухудшение эпидемиологической ситуации, увеличение количества заболевших</w:t>
            </w:r>
          </w:p>
        </w:tc>
      </w:tr>
      <w:tr>
        <w:tblPrEx>
          <w:tblBorders>
            <w:insideH w:val="nil"/>
          </w:tblBorders>
        </w:tblPrEx>
        <w:tc>
          <w:tcPr>
            <w:gridSpan w:val="8"/>
            <w:tcW w:w="13602" w:type="dxa"/>
            <w:tcBorders>
              <w:top w:val="nil"/>
            </w:tcBorders>
          </w:tcPr>
          <w:p>
            <w:pPr>
              <w:pStyle w:val="0"/>
              <w:jc w:val="both"/>
            </w:pPr>
            <w:r>
              <w:rPr>
                <w:sz w:val="20"/>
              </w:rPr>
              <w:t xml:space="preserve">(п. 1.10 введен </w:t>
            </w:r>
            <w:hyperlink w:history="0" r:id="rId316"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14.04.2022 N 152-ПП)</w:t>
            </w:r>
          </w:p>
        </w:tc>
      </w:tr>
      <w:tr>
        <w:tblPrEx>
          <w:tblBorders>
            <w:insideH w:val="nil"/>
          </w:tblBorders>
        </w:tblPrEx>
        <w:tc>
          <w:tcPr>
            <w:tcW w:w="850" w:type="dxa"/>
            <w:tcBorders>
              <w:bottom w:val="nil"/>
            </w:tcBorders>
          </w:tcPr>
          <w:p>
            <w:pPr>
              <w:pStyle w:val="0"/>
              <w:jc w:val="both"/>
            </w:pPr>
            <w:r>
              <w:rPr>
                <w:sz w:val="20"/>
              </w:rPr>
              <w:t xml:space="preserve">1.11</w:t>
            </w:r>
          </w:p>
        </w:tc>
        <w:tc>
          <w:tcPr>
            <w:tcW w:w="1644" w:type="dxa"/>
            <w:tcBorders>
              <w:bottom w:val="nil"/>
            </w:tcBorders>
          </w:tcPr>
          <w:p>
            <w:pPr>
              <w:pStyle w:val="0"/>
              <w:jc w:val="center"/>
            </w:pPr>
            <w:r>
              <w:rPr>
                <w:sz w:val="20"/>
              </w:rPr>
              <w:t xml:space="preserve">07 1 05 5854Ф</w:t>
            </w:r>
          </w:p>
        </w:tc>
        <w:tc>
          <w:tcPr>
            <w:tcW w:w="2267" w:type="dxa"/>
            <w:tcBorders>
              <w:bottom w:val="nil"/>
            </w:tcBorders>
          </w:tcPr>
          <w:p>
            <w:pPr>
              <w:pStyle w:val="0"/>
              <w:jc w:val="both"/>
            </w:pPr>
            <w:r>
              <w:rPr>
                <w:sz w:val="20"/>
              </w:rPr>
              <w:t xml:space="preserve">Дополнительное финансовое обеспечение оказания первичной медико-санитарной помощи лицам, застрахованным по обязательному медицинскому страхованию, в том числе с заболеванием и (или) подозрением на заболевание новой коронавирусной инфекцией (COVID-19), в рамках реализации территориальных программ обязательного медицинского страхования</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Своевременная профилактика, диагностика и лечение новой коронавирусной инфекции (COVID-19)</w:t>
            </w:r>
          </w:p>
        </w:tc>
        <w:tc>
          <w:tcPr>
            <w:tcW w:w="2551" w:type="dxa"/>
            <w:tcBorders>
              <w:bottom w:val="nil"/>
            </w:tcBorders>
          </w:tcPr>
          <w:p>
            <w:pPr>
              <w:pStyle w:val="0"/>
              <w:jc w:val="both"/>
            </w:pPr>
            <w:r>
              <w:rPr>
                <w:sz w:val="20"/>
              </w:rPr>
              <w:t xml:space="preserve">Ухудшение эпидемиологической ситуации, увеличение количества заболевших</w:t>
            </w:r>
          </w:p>
        </w:tc>
      </w:tr>
      <w:tr>
        <w:tblPrEx>
          <w:tblBorders>
            <w:insideH w:val="nil"/>
          </w:tblBorders>
        </w:tblPrEx>
        <w:tc>
          <w:tcPr>
            <w:gridSpan w:val="8"/>
            <w:tcW w:w="13602" w:type="dxa"/>
            <w:tcBorders>
              <w:top w:val="nil"/>
            </w:tcBorders>
          </w:tcPr>
          <w:p>
            <w:pPr>
              <w:pStyle w:val="0"/>
              <w:jc w:val="both"/>
            </w:pPr>
            <w:r>
              <w:rPr>
                <w:sz w:val="20"/>
              </w:rPr>
              <w:t xml:space="preserve">(п. 1.11 введен </w:t>
            </w:r>
            <w:hyperlink w:history="0" r:id="rId317"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14.04.2022 N 152-ПП)</w:t>
            </w:r>
          </w:p>
        </w:tc>
      </w:tr>
      <w:tr>
        <w:tblPrEx>
          <w:tblBorders>
            <w:insideH w:val="nil"/>
          </w:tblBorders>
        </w:tblPrEx>
        <w:tc>
          <w:tcPr>
            <w:tcW w:w="850" w:type="dxa"/>
            <w:tcBorders>
              <w:bottom w:val="nil"/>
            </w:tcBorders>
          </w:tcPr>
          <w:p>
            <w:pPr>
              <w:pStyle w:val="0"/>
              <w:jc w:val="both"/>
            </w:pPr>
            <w:r>
              <w:rPr>
                <w:sz w:val="20"/>
              </w:rPr>
              <w:t xml:space="preserve">1.12</w:t>
            </w:r>
          </w:p>
        </w:tc>
        <w:tc>
          <w:tcPr>
            <w:tcW w:w="1644" w:type="dxa"/>
            <w:tcBorders>
              <w:bottom w:val="nil"/>
            </w:tcBorders>
          </w:tcPr>
          <w:p>
            <w:pPr>
              <w:pStyle w:val="0"/>
              <w:jc w:val="center"/>
            </w:pPr>
            <w:r>
              <w:rPr>
                <w:sz w:val="20"/>
              </w:rPr>
              <w:t xml:space="preserve">07 1 05 R672Ф</w:t>
            </w:r>
          </w:p>
        </w:tc>
        <w:tc>
          <w:tcPr>
            <w:tcW w:w="2267" w:type="dxa"/>
            <w:tcBorders>
              <w:bottom w:val="nil"/>
            </w:tcBorders>
          </w:tcPr>
          <w:p>
            <w:pPr>
              <w:pStyle w:val="0"/>
              <w:jc w:val="both"/>
            </w:pPr>
            <w:r>
              <w:rPr>
                <w:sz w:val="20"/>
              </w:rPr>
              <w:t xml:space="preserve">Финансовое обеспечение оплаты труда медицинских работников, оказывающих консультативную медицинскую помощь с применением телемедицинских технологий гражданам с подтвержденным диагнозом новой коронавирусной инфекции COVID-19, а также с признаками или подтвержденным диагнозом внебольничной пневмонии, острой респираторной вирусной инфекции, гриппа, получающим медицинскую помощь в амбулаторных условиях (на дому)</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Своевременная профилактика, диагностика и лечение новой коронавирусной инфекции (COVID-19)</w:t>
            </w:r>
          </w:p>
        </w:tc>
        <w:tc>
          <w:tcPr>
            <w:tcW w:w="2551" w:type="dxa"/>
            <w:tcBorders>
              <w:bottom w:val="nil"/>
            </w:tcBorders>
          </w:tcPr>
          <w:p>
            <w:pPr>
              <w:pStyle w:val="0"/>
              <w:jc w:val="both"/>
            </w:pPr>
            <w:r>
              <w:rPr>
                <w:sz w:val="20"/>
              </w:rPr>
              <w:t xml:space="preserve">Ухудшение эпидемиологической ситуации, увеличение количества заболевших</w:t>
            </w:r>
          </w:p>
        </w:tc>
      </w:tr>
      <w:tr>
        <w:tblPrEx>
          <w:tblBorders>
            <w:insideH w:val="nil"/>
          </w:tblBorders>
        </w:tblPrEx>
        <w:tc>
          <w:tcPr>
            <w:gridSpan w:val="8"/>
            <w:tcW w:w="13602" w:type="dxa"/>
            <w:tcBorders>
              <w:top w:val="nil"/>
            </w:tcBorders>
          </w:tcPr>
          <w:p>
            <w:pPr>
              <w:pStyle w:val="0"/>
              <w:jc w:val="both"/>
            </w:pPr>
            <w:r>
              <w:rPr>
                <w:sz w:val="20"/>
              </w:rPr>
              <w:t xml:space="preserve">(п. 1.12 введен </w:t>
            </w:r>
            <w:hyperlink w:history="0" r:id="rId318"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14.04.2022 N 152-ПП;</w:t>
            </w:r>
          </w:p>
          <w:p>
            <w:pPr>
              <w:pStyle w:val="0"/>
              <w:jc w:val="both"/>
            </w:pPr>
            <w:r>
              <w:rPr>
                <w:sz w:val="20"/>
              </w:rPr>
              <w:t xml:space="preserve">в ред. </w:t>
            </w:r>
            <w:hyperlink w:history="0" r:id="rId319"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1.13</w:t>
            </w:r>
          </w:p>
        </w:tc>
        <w:tc>
          <w:tcPr>
            <w:tcW w:w="1644" w:type="dxa"/>
            <w:tcBorders>
              <w:bottom w:val="nil"/>
            </w:tcBorders>
          </w:tcPr>
          <w:p>
            <w:pPr>
              <w:pStyle w:val="0"/>
              <w:jc w:val="center"/>
            </w:pPr>
            <w:r>
              <w:rPr>
                <w:sz w:val="20"/>
              </w:rPr>
              <w:t xml:space="preserve">07 1 01 М7100,</w:t>
            </w:r>
          </w:p>
          <w:p>
            <w:pPr>
              <w:pStyle w:val="0"/>
              <w:jc w:val="center"/>
            </w:pPr>
            <w:r>
              <w:rPr>
                <w:sz w:val="20"/>
              </w:rPr>
              <w:t xml:space="preserve">07 1 01 М8100</w:t>
            </w:r>
          </w:p>
        </w:tc>
        <w:tc>
          <w:tcPr>
            <w:tcW w:w="2267" w:type="dxa"/>
            <w:tcBorders>
              <w:bottom w:val="nil"/>
            </w:tcBorders>
          </w:tcPr>
          <w:p>
            <w:pPr>
              <w:pStyle w:val="0"/>
              <w:jc w:val="both"/>
            </w:pPr>
            <w:r>
              <w:rPr>
                <w:sz w:val="20"/>
              </w:rPr>
              <w:t xml:space="preserve">Мероприятия в рамках сотрудничества с Правительством Москвы в целях развития первичной медико-санитарной помощи</w:t>
            </w:r>
          </w:p>
        </w:tc>
        <w:tc>
          <w:tcPr>
            <w:tcW w:w="1927" w:type="dxa"/>
            <w:tcBorders>
              <w:bottom w:val="nil"/>
            </w:tcBorders>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Повышение качества и доступности первичной медико-санитарной помощи, снижение смертности населения,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доступности первичной медико-санитарной помощи, увеличение смертности населения,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(п. 1.13 введен </w:t>
            </w:r>
            <w:hyperlink w:history="0" r:id="rId320"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26.05.2022 N 224-ПП;</w:t>
            </w:r>
          </w:p>
          <w:p>
            <w:pPr>
              <w:pStyle w:val="0"/>
              <w:jc w:val="both"/>
            </w:pPr>
            <w:r>
              <w:rPr>
                <w:sz w:val="20"/>
              </w:rPr>
              <w:t xml:space="preserve">в ред. </w:t>
            </w:r>
            <w:hyperlink w:history="0" r:id="rId321"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10.11.2022 N 561-ПП)</w:t>
            </w:r>
          </w:p>
        </w:tc>
      </w:tr>
      <w:tr>
        <w:tblPrEx>
          <w:tblBorders>
            <w:insideH w:val="nil"/>
          </w:tblBorders>
        </w:tblPrEx>
        <w:tc>
          <w:tcPr>
            <w:tcW w:w="850" w:type="dxa"/>
            <w:tcBorders>
              <w:bottom w:val="nil"/>
            </w:tcBorders>
          </w:tcPr>
          <w:p>
            <w:pPr>
              <w:pStyle w:val="0"/>
              <w:jc w:val="both"/>
            </w:pPr>
            <w:r>
              <w:rPr>
                <w:sz w:val="20"/>
              </w:rPr>
              <w:t xml:space="preserve">1.14</w:t>
            </w:r>
          </w:p>
        </w:tc>
        <w:tc>
          <w:tcPr>
            <w:tcW w:w="1644" w:type="dxa"/>
            <w:tcBorders>
              <w:bottom w:val="nil"/>
            </w:tcBorders>
          </w:tcPr>
          <w:p>
            <w:pPr>
              <w:pStyle w:val="0"/>
              <w:jc w:val="center"/>
            </w:pPr>
            <w:r>
              <w:rPr>
                <w:sz w:val="20"/>
              </w:rPr>
              <w:t xml:space="preserve">07 1 05 00201</w:t>
            </w:r>
          </w:p>
        </w:tc>
        <w:tc>
          <w:tcPr>
            <w:tcW w:w="2267" w:type="dxa"/>
            <w:tcBorders>
              <w:bottom w:val="nil"/>
            </w:tcBorders>
          </w:tcPr>
          <w:p>
            <w:pPr>
              <w:pStyle w:val="0"/>
              <w:jc w:val="both"/>
            </w:pPr>
            <w:r>
              <w:rPr>
                <w:sz w:val="20"/>
              </w:rPr>
              <w:t xml:space="preserve">Мероприятие по обеспечению вакцинации против коронавирусной инфекции</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Повышение качества и доступности первичной медико-санитарной помощи, снижение смертности населения,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доступности первичной медико-санитарной помощи, увеличение смертности населения,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(п. 1.14 введен </w:t>
            </w:r>
            <w:hyperlink w:history="0" r:id="rId322" w:tooltip="Постановление Правительства Севастополя от 15.09.2022 N 42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15.09.2022 N 422-ПП;</w:t>
            </w:r>
          </w:p>
          <w:p>
            <w:pPr>
              <w:pStyle w:val="0"/>
              <w:jc w:val="both"/>
            </w:pPr>
            <w:r>
              <w:rPr>
                <w:sz w:val="20"/>
              </w:rPr>
              <w:t xml:space="preserve">в ред. Постановлений Правительства Севастополя от 10.11.2022 </w:t>
            </w:r>
            <w:hyperlink w:history="0" r:id="rId323"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561-ПП</w:t>
              </w:r>
            </w:hyperlink>
            <w:r>
              <w:rPr>
                <w:sz w:val="20"/>
              </w:rPr>
              <w:t xml:space="preserve">,</w:t>
            </w:r>
          </w:p>
          <w:p>
            <w:pPr>
              <w:pStyle w:val="0"/>
              <w:jc w:val="both"/>
            </w:pPr>
            <w:r>
              <w:rPr>
                <w:sz w:val="20"/>
              </w:rPr>
              <w:t xml:space="preserve">от 27.04.2023 </w:t>
            </w:r>
            <w:hyperlink w:history="0" r:id="rId32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1.15</w:t>
            </w:r>
          </w:p>
        </w:tc>
        <w:tc>
          <w:tcPr>
            <w:tcW w:w="1644" w:type="dxa"/>
            <w:tcBorders>
              <w:bottom w:val="nil"/>
            </w:tcBorders>
          </w:tcPr>
          <w:p>
            <w:pPr>
              <w:pStyle w:val="0"/>
              <w:jc w:val="center"/>
            </w:pPr>
            <w:r>
              <w:rPr>
                <w:sz w:val="20"/>
              </w:rPr>
              <w:t xml:space="preserve">07 1 02 5422F</w:t>
            </w:r>
          </w:p>
        </w:tc>
        <w:tc>
          <w:tcPr>
            <w:tcW w:w="2267" w:type="dxa"/>
            <w:tcBorders>
              <w:bottom w:val="nil"/>
            </w:tcBorders>
          </w:tcPr>
          <w:p>
            <w:pPr>
              <w:pStyle w:val="0"/>
              <w:jc w:val="both"/>
            </w:pPr>
            <w:r>
              <w:rPr>
                <w:sz w:val="20"/>
              </w:rPr>
              <w:t xml:space="preserve">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по проведению указанным лицам профилактических прививок, включенных в календарь профилактических прививок по эпидемическим показаниям, за счет средств резервного фонда Правительства Российской Федерации</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Повышение качества и доступности первичной медико-санитарной помощи, снижение смертности населения,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доступности первичной медико-санитарной помощи, увеличение смертности населения,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(п. 1.15 введен </w:t>
            </w:r>
            <w:hyperlink w:history="0" r:id="rId325" w:tooltip="Постановление Правительства Севастополя от 15.09.2022 N 42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15.09.2022 N 422-ПП;</w:t>
            </w:r>
          </w:p>
          <w:p>
            <w:pPr>
              <w:pStyle w:val="0"/>
              <w:jc w:val="both"/>
            </w:pPr>
            <w:r>
              <w:rPr>
                <w:sz w:val="20"/>
              </w:rPr>
              <w:t xml:space="preserve">в ред. </w:t>
            </w:r>
            <w:hyperlink w:history="0" r:id="rId326"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10.11.2022 N 561-ПП)</w:t>
            </w:r>
          </w:p>
        </w:tc>
      </w:tr>
      <w:tr>
        <w:tblPrEx>
          <w:tblBorders>
            <w:insideH w:val="nil"/>
          </w:tblBorders>
        </w:tblPrEx>
        <w:tc>
          <w:tcPr>
            <w:tcW w:w="850" w:type="dxa"/>
            <w:tcBorders>
              <w:bottom w:val="nil"/>
            </w:tcBorders>
          </w:tcPr>
          <w:p>
            <w:pPr>
              <w:pStyle w:val="0"/>
              <w:jc w:val="both"/>
            </w:pPr>
            <w:r>
              <w:rPr>
                <w:sz w:val="20"/>
              </w:rPr>
              <w:t xml:space="preserve">1.16</w:t>
            </w:r>
          </w:p>
        </w:tc>
        <w:tc>
          <w:tcPr>
            <w:tcW w:w="1644" w:type="dxa"/>
            <w:tcBorders>
              <w:bottom w:val="nil"/>
            </w:tcBorders>
          </w:tcPr>
          <w:p>
            <w:pPr>
              <w:pStyle w:val="0"/>
              <w:jc w:val="center"/>
            </w:pPr>
            <w:r>
              <w:rPr>
                <w:sz w:val="20"/>
              </w:rPr>
              <w:t xml:space="preserve">07 1 01 00204</w:t>
            </w:r>
          </w:p>
        </w:tc>
        <w:tc>
          <w:tcPr>
            <w:tcW w:w="2267" w:type="dxa"/>
            <w:tcBorders>
              <w:bottom w:val="nil"/>
            </w:tcBorders>
          </w:tcPr>
          <w:p>
            <w:pPr>
              <w:pStyle w:val="0"/>
              <w:jc w:val="both"/>
            </w:pPr>
            <w:r>
              <w:rPr>
                <w:sz w:val="20"/>
              </w:rPr>
              <w:t xml:space="preserve">Расходы для оплаты налога на имущество государственных учреждений, подведомственных Департаменту здравоохранения города Севастополя</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Реализация налогового законодательства города Севастополя</w:t>
            </w:r>
          </w:p>
        </w:tc>
        <w:tc>
          <w:tcPr>
            <w:tcW w:w="2551" w:type="dxa"/>
            <w:tcBorders>
              <w:bottom w:val="nil"/>
            </w:tcBorders>
          </w:tcPr>
          <w:p>
            <w:pPr>
              <w:pStyle w:val="0"/>
              <w:jc w:val="both"/>
            </w:pPr>
            <w:r>
              <w:rPr>
                <w:sz w:val="20"/>
              </w:rPr>
              <w:t xml:space="preserve">Возникновение кредиторской задолженности по платежам в бюджетную систему Российской Федерации</w:t>
            </w:r>
          </w:p>
        </w:tc>
      </w:tr>
      <w:tr>
        <w:tblPrEx>
          <w:tblBorders>
            <w:insideH w:val="nil"/>
          </w:tblBorders>
        </w:tblPrEx>
        <w:tc>
          <w:tcPr>
            <w:gridSpan w:val="8"/>
            <w:tcW w:w="13602" w:type="dxa"/>
            <w:tcBorders>
              <w:top w:val="nil"/>
            </w:tcBorders>
          </w:tcPr>
          <w:p>
            <w:pPr>
              <w:pStyle w:val="0"/>
              <w:jc w:val="both"/>
            </w:pPr>
            <w:r>
              <w:rPr>
                <w:sz w:val="20"/>
              </w:rPr>
              <w:t xml:space="preserve">(п. 1.16 введен </w:t>
            </w:r>
            <w:hyperlink w:history="0" r:id="rId327"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10.11.2022 N 561-ПП)</w:t>
            </w:r>
          </w:p>
        </w:tc>
      </w:tr>
      <w:tr>
        <w:tblPrEx>
          <w:tblBorders>
            <w:insideH w:val="nil"/>
          </w:tblBorders>
        </w:tblPrEx>
        <w:tc>
          <w:tcPr>
            <w:tcW w:w="850" w:type="dxa"/>
            <w:tcBorders>
              <w:bottom w:val="nil"/>
            </w:tcBorders>
          </w:tcPr>
          <w:p>
            <w:pPr>
              <w:pStyle w:val="0"/>
              <w:jc w:val="both"/>
            </w:pPr>
            <w:r>
              <w:rPr>
                <w:sz w:val="20"/>
              </w:rPr>
              <w:t xml:space="preserve">1.17</w:t>
            </w:r>
          </w:p>
        </w:tc>
        <w:tc>
          <w:tcPr>
            <w:tcW w:w="1644" w:type="dxa"/>
            <w:tcBorders>
              <w:bottom w:val="nil"/>
            </w:tcBorders>
          </w:tcPr>
          <w:p>
            <w:pPr>
              <w:pStyle w:val="0"/>
              <w:jc w:val="center"/>
            </w:pPr>
            <w:r>
              <w:rPr>
                <w:sz w:val="20"/>
              </w:rPr>
              <w:t xml:space="preserve">07 1 02 5П08Ф</w:t>
            </w:r>
          </w:p>
        </w:tc>
        <w:tc>
          <w:tcPr>
            <w:tcW w:w="2267" w:type="dxa"/>
            <w:tcBorders>
              <w:bottom w:val="nil"/>
            </w:tcBorders>
          </w:tcPr>
          <w:p>
            <w:pPr>
              <w:pStyle w:val="0"/>
              <w:jc w:val="both"/>
            </w:pPr>
            <w:r>
              <w:rPr>
                <w:sz w:val="20"/>
              </w:rPr>
              <w:t xml:space="preserve">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328"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Реализация </w:t>
            </w:r>
            <w:hyperlink w:history="0" r:id="rId329"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Указа</w:t>
              </w:r>
            </w:hyperlink>
            <w:r>
              <w:rPr>
                <w:sz w:val="20"/>
              </w:rPr>
              <w:t xml:space="preserve"> Президента Российской Федерации от 07.05.2012 N 597 "О мероприятиях по реализации государственной социальной политики"</w:t>
            </w:r>
          </w:p>
        </w:tc>
        <w:tc>
          <w:tcPr>
            <w:tcW w:w="2551" w:type="dxa"/>
            <w:tcBorders>
              <w:bottom w:val="nil"/>
            </w:tcBorders>
          </w:tcPr>
          <w:p>
            <w:pPr>
              <w:pStyle w:val="0"/>
              <w:jc w:val="both"/>
            </w:pPr>
            <w:r>
              <w:rPr>
                <w:sz w:val="20"/>
              </w:rPr>
              <w:t xml:space="preserve">Недостижение показателей по оплате труда отдельных категорий медицинских работников, установленных </w:t>
            </w:r>
            <w:hyperlink w:history="0" r:id="rId330"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w:t>
            </w:r>
          </w:p>
        </w:tc>
      </w:tr>
      <w:tr>
        <w:tblPrEx>
          <w:tblBorders>
            <w:insideH w:val="nil"/>
          </w:tblBorders>
        </w:tblPrEx>
        <w:tc>
          <w:tcPr>
            <w:gridSpan w:val="8"/>
            <w:tcW w:w="13602" w:type="dxa"/>
            <w:tcBorders>
              <w:top w:val="nil"/>
            </w:tcBorders>
          </w:tcPr>
          <w:p>
            <w:pPr>
              <w:pStyle w:val="0"/>
              <w:jc w:val="both"/>
            </w:pPr>
            <w:r>
              <w:rPr>
                <w:sz w:val="20"/>
              </w:rPr>
              <w:t xml:space="preserve">(п. 1.17 введен </w:t>
            </w:r>
            <w:hyperlink w:history="0" r:id="rId331" w:tooltip="Постановление Правительства Севастополя от 26.12.2022 N 70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26.12.2022 N 702-ПП)</w:t>
            </w:r>
          </w:p>
        </w:tc>
      </w:tr>
      <w:tr>
        <w:tc>
          <w:tcPr>
            <w:tcW w:w="850" w:type="dxa"/>
          </w:tcPr>
          <w:p>
            <w:pPr>
              <w:pStyle w:val="0"/>
              <w:outlineLvl w:val="3"/>
              <w:jc w:val="both"/>
            </w:pPr>
            <w:r>
              <w:rPr>
                <w:sz w:val="20"/>
              </w:rPr>
              <w:t xml:space="preserve">2</w:t>
            </w:r>
          </w:p>
        </w:tc>
        <w:tc>
          <w:tcPr>
            <w:tcW w:w="1644" w:type="dxa"/>
          </w:tcPr>
          <w:p>
            <w:pPr>
              <w:pStyle w:val="0"/>
              <w:jc w:val="center"/>
            </w:pPr>
            <w:r>
              <w:rPr>
                <w:sz w:val="20"/>
              </w:rPr>
              <w:t xml:space="preserve">07.2.00.00000</w:t>
            </w:r>
          </w:p>
        </w:tc>
        <w:tc>
          <w:tcPr>
            <w:gridSpan w:val="6"/>
            <w:tcW w:w="11108" w:type="dxa"/>
          </w:tcPr>
          <w:p>
            <w:pPr>
              <w:pStyle w:val="0"/>
              <w:jc w:val="center"/>
            </w:pPr>
            <w:r>
              <w:rPr>
                <w:sz w:val="20"/>
              </w:rPr>
              <w:t xml:space="preserve">Подпрограмма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tc>
          <w:tcPr>
            <w:tcW w:w="850" w:type="dxa"/>
          </w:tcPr>
          <w:p>
            <w:pPr>
              <w:pStyle w:val="0"/>
              <w:jc w:val="both"/>
            </w:pPr>
            <w:r>
              <w:rPr>
                <w:sz w:val="20"/>
              </w:rPr>
              <w:t xml:space="preserve">2.1</w:t>
            </w:r>
          </w:p>
        </w:tc>
        <w:tc>
          <w:tcPr>
            <w:tcW w:w="1644" w:type="dxa"/>
          </w:tcPr>
          <w:p>
            <w:pPr>
              <w:pStyle w:val="0"/>
              <w:jc w:val="center"/>
            </w:pPr>
            <w:r>
              <w:rPr>
                <w:sz w:val="20"/>
              </w:rPr>
              <w:t xml:space="preserve">07 2 1Т 00110</w:t>
            </w:r>
          </w:p>
        </w:tc>
        <w:tc>
          <w:tcPr>
            <w:tcW w:w="2267" w:type="dxa"/>
          </w:tcPr>
          <w:p>
            <w:pPr>
              <w:pStyle w:val="0"/>
              <w:jc w:val="both"/>
            </w:pPr>
            <w:r>
              <w:rPr>
                <w:sz w:val="20"/>
              </w:rPr>
              <w:t xml:space="preserve">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предоставляющих специализированную, в том числе высокотехнологичную, медицинскую помощь, скорую, в том числе скорую специализированную, медицинскую помощь, медицинскую эвакуацию</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c>
          <w:tcPr>
            <w:tcW w:w="850" w:type="dxa"/>
          </w:tcPr>
          <w:p>
            <w:pPr>
              <w:pStyle w:val="0"/>
              <w:jc w:val="both"/>
            </w:pPr>
            <w:r>
              <w:rPr>
                <w:sz w:val="20"/>
              </w:rPr>
              <w:t xml:space="preserve">2.2</w:t>
            </w:r>
          </w:p>
        </w:tc>
        <w:tc>
          <w:tcPr>
            <w:tcW w:w="1644" w:type="dxa"/>
          </w:tcPr>
          <w:p>
            <w:pPr>
              <w:pStyle w:val="0"/>
              <w:jc w:val="center"/>
            </w:pPr>
            <w:r>
              <w:rPr>
                <w:sz w:val="20"/>
              </w:rPr>
              <w:t xml:space="preserve">07 2 1Т 00120</w:t>
            </w:r>
          </w:p>
        </w:tc>
        <w:tc>
          <w:tcPr>
            <w:tcW w:w="2267" w:type="dxa"/>
          </w:tcPr>
          <w:p>
            <w:pPr>
              <w:pStyle w:val="0"/>
              <w:jc w:val="both"/>
            </w:pPr>
            <w:r>
              <w:rPr>
                <w:sz w:val="20"/>
              </w:rPr>
              <w:t xml:space="preserve">Оказание паллиативной медицинской помощи государственными учреждениями здравоохранения в стационарных условиях</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tcW w:w="850" w:type="dxa"/>
            <w:tcBorders>
              <w:bottom w:val="nil"/>
            </w:tcBorders>
          </w:tcPr>
          <w:p>
            <w:pPr>
              <w:pStyle w:val="0"/>
              <w:jc w:val="both"/>
            </w:pPr>
            <w:r>
              <w:rPr>
                <w:sz w:val="20"/>
              </w:rPr>
              <w:t xml:space="preserve">2.3</w:t>
            </w:r>
          </w:p>
        </w:tc>
        <w:tc>
          <w:tcPr>
            <w:tcW w:w="1644" w:type="dxa"/>
            <w:tcBorders>
              <w:bottom w:val="nil"/>
            </w:tcBorders>
          </w:tcPr>
          <w:p>
            <w:pPr>
              <w:pStyle w:val="0"/>
              <w:jc w:val="center"/>
            </w:pPr>
            <w:r>
              <w:rPr>
                <w:sz w:val="20"/>
              </w:rPr>
              <w:t xml:space="preserve">07 2 04 R1880</w:t>
            </w:r>
          </w:p>
        </w:tc>
        <w:tc>
          <w:tcPr>
            <w:tcW w:w="2267" w:type="dxa"/>
            <w:tcBorders>
              <w:bottom w:val="nil"/>
            </w:tcBorders>
          </w:tcPr>
          <w:p>
            <w:pPr>
              <w:pStyle w:val="0"/>
              <w:jc w:val="both"/>
            </w:pPr>
            <w:r>
              <w:rPr>
                <w:sz w:val="20"/>
              </w:rPr>
              <w:t xml:space="preserve">Многопрофильный лечебно-диагностический корпус онкологического диспансера, г. Севастополь</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2026</w:t>
            </w:r>
          </w:p>
        </w:tc>
        <w:tc>
          <w:tcPr>
            <w:tcW w:w="2721" w:type="dxa"/>
            <w:tcBorders>
              <w:bottom w:val="nil"/>
            </w:tcBorders>
          </w:tcPr>
          <w:p>
            <w:pPr>
              <w:pStyle w:val="0"/>
              <w:jc w:val="both"/>
            </w:pPr>
            <w:r>
              <w:rPr>
                <w:sz w:val="20"/>
              </w:rPr>
              <w:t xml:space="preserve">Снижение одногодичной летальности больных со злокачественными новообразованиями. Увеличение доли пациентов со злокачественными новообразованиями, состоящих на учете с момента установления диагноза пять лет и более, в общем числе пациентов со злокачественными новообразованиями, состоящих на учете. Снижение смертности от новообразований (в том числе от злокачественных)</w:t>
            </w:r>
          </w:p>
        </w:tc>
        <w:tc>
          <w:tcPr>
            <w:tcW w:w="2551" w:type="dxa"/>
            <w:tcBorders>
              <w:bottom w:val="nil"/>
            </w:tcBorders>
          </w:tcPr>
          <w:p>
            <w:pPr>
              <w:pStyle w:val="0"/>
              <w:jc w:val="both"/>
            </w:pPr>
            <w:r>
              <w:rPr>
                <w:sz w:val="20"/>
              </w:rPr>
              <w:t xml:space="preserve">Рост одногодичной летальности больных со злокачественными новообразованиями. Снижение доли пациентов со злокачественными новообразованиями, состоящих на учете с момента установления диагноза пять лет и более, в общем числе пациентов со злокачественными новообразованиями, состоящих на учете. Увеличение смертности от новообразований (в том числе от злокачественных)</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332"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27.04.2023 </w:t>
            </w:r>
            <w:hyperlink w:history="0" r:id="rId33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2.4</w:t>
            </w:r>
          </w:p>
        </w:tc>
        <w:tc>
          <w:tcPr>
            <w:tcW w:w="1644" w:type="dxa"/>
            <w:tcBorders>
              <w:bottom w:val="nil"/>
            </w:tcBorders>
          </w:tcPr>
          <w:p>
            <w:pPr>
              <w:pStyle w:val="0"/>
              <w:jc w:val="center"/>
            </w:pPr>
            <w:r>
              <w:rPr>
                <w:sz w:val="20"/>
              </w:rPr>
              <w:t xml:space="preserve">07 2 04 R1880</w:t>
            </w:r>
          </w:p>
        </w:tc>
        <w:tc>
          <w:tcPr>
            <w:tcW w:w="2267" w:type="dxa"/>
            <w:tcBorders>
              <w:bottom w:val="nil"/>
            </w:tcBorders>
          </w:tcPr>
          <w:p>
            <w:pPr>
              <w:pStyle w:val="0"/>
              <w:jc w:val="both"/>
            </w:pPr>
            <w:r>
              <w:rPr>
                <w:sz w:val="20"/>
              </w:rPr>
              <w:t xml:space="preserve">Севастопольская больница скорой медицинской помощи</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2026</w:t>
            </w:r>
          </w:p>
        </w:tc>
        <w:tc>
          <w:tcPr>
            <w:tcW w:w="2721" w:type="dxa"/>
            <w:tcBorders>
              <w:bottom w:val="nil"/>
            </w:tcBorders>
          </w:tcPr>
          <w:p>
            <w:pPr>
              <w:pStyle w:val="0"/>
              <w:jc w:val="both"/>
            </w:pPr>
            <w:r>
              <w:rPr>
                <w:sz w:val="20"/>
              </w:rPr>
              <w:t xml:space="preserve">Снижение смертности от всех причин. Снижение смертности населения в трудоспособном возрасте. Снижение смертности от болезней системы кровообращения. Снижение смертности от дорожно-транспортных происшествий. Снижение больничной летальности пострадавших в результате дорожно-транспортных происшествий. Рост удовлетворенности населения медицинской помощью. Рост доли отделений медицинских организаций, соответствующих порядкам оказания медицинской помощи, прошедших лицензирование</w:t>
            </w:r>
          </w:p>
        </w:tc>
        <w:tc>
          <w:tcPr>
            <w:tcW w:w="2551" w:type="dxa"/>
            <w:tcBorders>
              <w:bottom w:val="nil"/>
            </w:tcBorders>
          </w:tcPr>
          <w:p>
            <w:pPr>
              <w:pStyle w:val="0"/>
              <w:jc w:val="both"/>
            </w:pPr>
            <w:r>
              <w:rPr>
                <w:sz w:val="20"/>
              </w:rPr>
              <w:t xml:space="preserve">Рост смертности от всех причин. Рост смертности населения в трудоспособном возрасте. Рост смертности от болезней системы кровообращения. Рост больничной летальности пострадавших в результате дорожно-транспортных происшествий.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334"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27.04.2023 </w:t>
            </w:r>
            <w:hyperlink w:history="0" r:id="rId33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2.5</w:t>
            </w:r>
          </w:p>
        </w:tc>
        <w:tc>
          <w:tcPr>
            <w:tcW w:w="1644" w:type="dxa"/>
            <w:tcBorders>
              <w:bottom w:val="nil"/>
            </w:tcBorders>
          </w:tcPr>
          <w:p>
            <w:pPr>
              <w:pStyle w:val="0"/>
              <w:jc w:val="center"/>
            </w:pPr>
            <w:r>
              <w:rPr>
                <w:sz w:val="20"/>
              </w:rPr>
              <w:t xml:space="preserve">07 2 04 R1880</w:t>
            </w:r>
          </w:p>
        </w:tc>
        <w:tc>
          <w:tcPr>
            <w:tcW w:w="2267" w:type="dxa"/>
            <w:tcBorders>
              <w:bottom w:val="nil"/>
            </w:tcBorders>
          </w:tcPr>
          <w:p>
            <w:pPr>
              <w:pStyle w:val="0"/>
              <w:jc w:val="both"/>
            </w:pPr>
            <w:r>
              <w:rPr>
                <w:sz w:val="20"/>
              </w:rPr>
              <w:t xml:space="preserve">Строительство городской инфекционной больницы на 200 коек, г. Севастополь</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2027</w:t>
            </w:r>
          </w:p>
        </w:tc>
        <w:tc>
          <w:tcPr>
            <w:tcW w:w="2721" w:type="dxa"/>
            <w:tcBorders>
              <w:bottom w:val="nil"/>
            </w:tcBorders>
          </w:tcPr>
          <w:p>
            <w:pPr>
              <w:pStyle w:val="0"/>
              <w:jc w:val="both"/>
            </w:pPr>
            <w:r>
              <w:rPr>
                <w:sz w:val="20"/>
              </w:rPr>
              <w:t xml:space="preserve">Рост удовлетворенности населения медицинской помощью. Рост доли отделений медицинских организаций, соответствующих порядкам оказания медицинской помощи, прошедших лицензирование. Снижение заболеваемости острым вирусным гепатитом B. Увеличение охвата медицинским освидетельствованием на ВИЧ-инфекцию. Увеличение доли лиц, инфицированных вирусом иммунодефицита человека, состоящих на диспансерном учете, от числа выявленных</w:t>
            </w:r>
          </w:p>
        </w:tc>
        <w:tc>
          <w:tcPr>
            <w:tcW w:w="2551" w:type="dxa"/>
            <w:tcBorders>
              <w:bottom w:val="nil"/>
            </w:tcBorders>
          </w:tcPr>
          <w:p>
            <w:pPr>
              <w:pStyle w:val="0"/>
              <w:jc w:val="both"/>
            </w:pPr>
            <w:r>
              <w:rPr>
                <w:sz w:val="20"/>
              </w:rPr>
              <w:t xml:space="preserve">Снижение удовлетворенности населения медицинской помощью. Снижение доли отделений медицинских организаций, соответствующих порядкам оказания медицинской помощи, прошедших лицензирование. Увеличение заболеваемости острым вирусным гепатитом B, снижение охвата медицинским освидетельствованием на ВИЧ-инфекцию</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336"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27.04.2023 </w:t>
            </w:r>
            <w:hyperlink w:history="0" r:id="rId33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c>
          <w:tcPr>
            <w:tcW w:w="850" w:type="dxa"/>
          </w:tcPr>
          <w:p>
            <w:pPr>
              <w:pStyle w:val="0"/>
              <w:jc w:val="both"/>
            </w:pPr>
            <w:r>
              <w:rPr>
                <w:sz w:val="20"/>
              </w:rPr>
              <w:t xml:space="preserve">2.6</w:t>
            </w:r>
          </w:p>
        </w:tc>
        <w:tc>
          <w:tcPr>
            <w:tcW w:w="1644" w:type="dxa"/>
          </w:tcPr>
          <w:p>
            <w:pPr>
              <w:pStyle w:val="0"/>
              <w:jc w:val="center"/>
            </w:pPr>
            <w:r>
              <w:rPr>
                <w:sz w:val="20"/>
              </w:rPr>
              <w:t xml:space="preserve">07 2 3Т R4020</w:t>
            </w:r>
          </w:p>
        </w:tc>
        <w:tc>
          <w:tcPr>
            <w:tcW w:w="2267" w:type="dxa"/>
          </w:tcPr>
          <w:p>
            <w:pPr>
              <w:pStyle w:val="0"/>
              <w:jc w:val="both"/>
            </w:pPr>
            <w:r>
              <w:rPr>
                <w:sz w:val="20"/>
              </w:rPr>
              <w:t xml:space="preserve">Оказание высокотехнологичной медицинской помощи, не включенной в базовую программу обязательного медицинского страхования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количества пациентов, которым оказана высокотехнологичная медицинская помощь, не включенная в базовую программу обязательного медицинского страхования</w:t>
            </w:r>
          </w:p>
        </w:tc>
        <w:tc>
          <w:tcPr>
            <w:tcW w:w="2551" w:type="dxa"/>
          </w:tcPr>
          <w:p>
            <w:pPr>
              <w:pStyle w:val="0"/>
              <w:jc w:val="both"/>
            </w:pPr>
            <w:r>
              <w:rPr>
                <w:sz w:val="20"/>
              </w:rPr>
              <w:t xml:space="preserve">Уменьшение количества пациентов, которым оказана высокотехнологичная медицинская помощь, не включенная в базовую программу обязательного медицинского страхования</w:t>
            </w:r>
          </w:p>
        </w:tc>
      </w:tr>
      <w:tr>
        <w:tc>
          <w:tcPr>
            <w:tcW w:w="850" w:type="dxa"/>
          </w:tcPr>
          <w:p>
            <w:pPr>
              <w:pStyle w:val="0"/>
              <w:jc w:val="both"/>
            </w:pPr>
            <w:r>
              <w:rPr>
                <w:sz w:val="20"/>
              </w:rPr>
              <w:t xml:space="preserve">2.7</w:t>
            </w:r>
          </w:p>
        </w:tc>
        <w:tc>
          <w:tcPr>
            <w:tcW w:w="1644" w:type="dxa"/>
          </w:tcPr>
          <w:p>
            <w:pPr>
              <w:pStyle w:val="0"/>
              <w:jc w:val="center"/>
            </w:pPr>
            <w:r>
              <w:rPr>
                <w:sz w:val="20"/>
              </w:rPr>
              <w:t xml:space="preserve">07 2 01 00201</w:t>
            </w:r>
          </w:p>
        </w:tc>
        <w:tc>
          <w:tcPr>
            <w:tcW w:w="2267" w:type="dxa"/>
          </w:tcPr>
          <w:p>
            <w:pPr>
              <w:pStyle w:val="0"/>
              <w:jc w:val="both"/>
            </w:pPr>
            <w:r>
              <w:rPr>
                <w:sz w:val="20"/>
              </w:rPr>
              <w:t xml:space="preserve">Медицинское обеспечение массовых городских мероприятий</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Снижение смертности от всех причин. Снижение детской смертности. Снижение смертности от болезней системы кровообращения</w:t>
            </w:r>
          </w:p>
        </w:tc>
        <w:tc>
          <w:tcPr>
            <w:tcW w:w="2551" w:type="dxa"/>
          </w:tcPr>
          <w:p>
            <w:pPr>
              <w:pStyle w:val="0"/>
              <w:jc w:val="both"/>
            </w:pPr>
            <w:r>
              <w:rPr>
                <w:sz w:val="20"/>
              </w:rPr>
              <w:t xml:space="preserve">Увеличение смертности от всех причин. Увеличение детской смертности. Увеличение смертности от болезней системы кровообращения</w:t>
            </w:r>
          </w:p>
        </w:tc>
      </w:tr>
      <w:tr>
        <w:tblPrEx>
          <w:tblBorders>
            <w:insideH w:val="nil"/>
          </w:tblBorders>
        </w:tblPrEx>
        <w:tc>
          <w:tcPr>
            <w:tcW w:w="850" w:type="dxa"/>
            <w:tcBorders>
              <w:bottom w:val="nil"/>
            </w:tcBorders>
          </w:tcPr>
          <w:p>
            <w:pPr>
              <w:pStyle w:val="0"/>
              <w:jc w:val="both"/>
            </w:pPr>
            <w:r>
              <w:rPr>
                <w:sz w:val="20"/>
              </w:rPr>
              <w:t xml:space="preserve">2.8</w:t>
            </w:r>
          </w:p>
        </w:tc>
        <w:tc>
          <w:tcPr>
            <w:tcW w:w="1644" w:type="dxa"/>
            <w:tcBorders>
              <w:bottom w:val="nil"/>
            </w:tcBorders>
          </w:tcPr>
          <w:p>
            <w:pPr>
              <w:pStyle w:val="0"/>
              <w:jc w:val="center"/>
            </w:pPr>
            <w:r>
              <w:rPr>
                <w:sz w:val="20"/>
              </w:rPr>
            </w:r>
          </w:p>
        </w:tc>
        <w:tc>
          <w:tcPr>
            <w:tcW w:w="2267" w:type="dxa"/>
            <w:tcBorders>
              <w:bottom w:val="nil"/>
            </w:tcBorders>
          </w:tcPr>
          <w:p>
            <w:pPr>
              <w:pStyle w:val="0"/>
              <w:jc w:val="both"/>
            </w:pPr>
            <w:r>
              <w:rPr>
                <w:sz w:val="20"/>
              </w:rPr>
              <w:t xml:space="preserve">Иные мероприятия, направленные на развитие здравоохранения в г. Севастополе, в том числе:</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2027</w:t>
            </w:r>
          </w:p>
        </w:tc>
        <w:tc>
          <w:tcPr>
            <w:tcW w:w="2721" w:type="dxa"/>
            <w:tcBorders>
              <w:bottom w:val="nil"/>
            </w:tcBorders>
          </w:tcPr>
          <w:p>
            <w:pPr>
              <w:pStyle w:val="0"/>
              <w:jc w:val="both"/>
            </w:pPr>
            <w:r>
              <w:rPr>
                <w:sz w:val="20"/>
              </w:rPr>
              <w:t xml:space="preserve">Рост доли выездов бригад скорой медицинской помощи со временем доезда до больного менее 20 минут. Рост удовлетворенности населения медицинской помощью. Увеличение доли отделений медицинских организаций, соответствующих порядкам оказания медицинской помощи, прошедших лицензирование. Уменьшение степени износа основных фондов. Увеличение доли отделений медицинских организаций, соответствующих порядкам оказания медицинской помощи, прошедших лицензирование. Снижение степени износа основных фондов</w:t>
            </w:r>
          </w:p>
        </w:tc>
        <w:tc>
          <w:tcPr>
            <w:tcW w:w="2551" w:type="dxa"/>
            <w:tcBorders>
              <w:bottom w:val="nil"/>
            </w:tcBorders>
          </w:tcPr>
          <w:p>
            <w:pPr>
              <w:pStyle w:val="0"/>
              <w:jc w:val="both"/>
            </w:pPr>
            <w:r>
              <w:rPr>
                <w:sz w:val="20"/>
              </w:rPr>
              <w:t xml:space="preserve">Снижение доли выездов бригад скорой медицинской помощи со временем доезда до больного менее 20 минут. Снижение удовлетворенности населения медицинской помощью. Снижение доли отделений медицинских организаций, соответствующих порядкам оказания медицинской помощи, прошедших лицензирование. Увеличение степени износа основных фондов. Снижение доли отделений медицинских организаций, соответствующих порядкам оказания медицинской помощи, прошедших лицензирование. Увеличение степени износа основных фондов</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3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2.8.1</w:t>
            </w:r>
          </w:p>
        </w:tc>
        <w:tc>
          <w:tcPr>
            <w:tcW w:w="1644" w:type="dxa"/>
            <w:tcBorders>
              <w:bottom w:val="nil"/>
            </w:tcBorders>
          </w:tcPr>
          <w:p>
            <w:pPr>
              <w:pStyle w:val="0"/>
              <w:jc w:val="center"/>
            </w:pPr>
            <w:r>
              <w:rPr>
                <w:sz w:val="20"/>
              </w:rPr>
              <w:t xml:space="preserve">07 2 04 R1880</w:t>
            </w:r>
          </w:p>
        </w:tc>
        <w:tc>
          <w:tcPr>
            <w:tcW w:w="2267" w:type="dxa"/>
            <w:tcBorders>
              <w:bottom w:val="nil"/>
            </w:tcBorders>
          </w:tcPr>
          <w:p>
            <w:pPr>
              <w:pStyle w:val="0"/>
              <w:jc w:val="both"/>
            </w:pPr>
            <w:r>
              <w:rPr>
                <w:sz w:val="20"/>
              </w:rPr>
              <w:t xml:space="preserve">Строительство подстанции N 1 ГБУЗС "Севастопольский центр экстренной медицинской помощи и медицины катастроф", пр-т Победы</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Рост доли выездов бригад скорой медицинской помощи со временем доезда до больного менее 20 минут. Рост удовлетворенности населения медицинской помощью. Увеличение доли отделений медицинских организаций, соответствующих порядкам оказания медицинской помощи, прошедших лицензирование. Уменьшение степени износа основных фондов</w:t>
            </w:r>
          </w:p>
        </w:tc>
        <w:tc>
          <w:tcPr>
            <w:tcW w:w="2551" w:type="dxa"/>
            <w:tcBorders>
              <w:bottom w:val="nil"/>
            </w:tcBorders>
          </w:tcPr>
          <w:p>
            <w:pPr>
              <w:pStyle w:val="0"/>
              <w:jc w:val="both"/>
            </w:pPr>
            <w:r>
              <w:rPr>
                <w:sz w:val="20"/>
              </w:rPr>
              <w:t xml:space="preserve">Снижение доли выездов бригад скорой медицинской помощи со временем доезда до больного менее 20 минут. Снижение удовлетворенности населения медицинской помощью. Снижение доли отделений медицинских организаций, соответствующих порядкам оказания медицинской помощи, прошедших лицензирование. Увеличение степени износа основных фондов</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339"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27.04.2023 </w:t>
            </w:r>
            <w:hyperlink w:history="0" r:id="rId34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2.8.2</w:t>
            </w:r>
          </w:p>
        </w:tc>
        <w:tc>
          <w:tcPr>
            <w:tcW w:w="1644" w:type="dxa"/>
            <w:tcBorders>
              <w:bottom w:val="nil"/>
            </w:tcBorders>
          </w:tcPr>
          <w:p>
            <w:pPr>
              <w:pStyle w:val="0"/>
              <w:jc w:val="center"/>
            </w:pPr>
            <w:r>
              <w:rPr>
                <w:sz w:val="20"/>
              </w:rPr>
              <w:t xml:space="preserve">07 2 04 R1880</w:t>
            </w:r>
          </w:p>
        </w:tc>
        <w:tc>
          <w:tcPr>
            <w:tcW w:w="2267" w:type="dxa"/>
            <w:tcBorders>
              <w:bottom w:val="nil"/>
            </w:tcBorders>
          </w:tcPr>
          <w:p>
            <w:pPr>
              <w:pStyle w:val="0"/>
              <w:jc w:val="both"/>
            </w:pPr>
            <w:r>
              <w:rPr>
                <w:sz w:val="20"/>
              </w:rPr>
              <w:t xml:space="preserve">ГБУЗС "Городская больница N 4", строительство палатного корпуса на 140 коек</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2025</w:t>
            </w:r>
          </w:p>
        </w:tc>
        <w:tc>
          <w:tcPr>
            <w:tcW w:w="2721" w:type="dxa"/>
            <w:tcBorders>
              <w:bottom w:val="nil"/>
            </w:tcBorders>
          </w:tcPr>
          <w:p>
            <w:pPr>
              <w:pStyle w:val="0"/>
              <w:jc w:val="both"/>
            </w:pPr>
            <w:r>
              <w:rPr>
                <w:sz w:val="20"/>
              </w:rPr>
              <w:t xml:space="preserve">Увеличение доли отделений медицинских организаций, соответствующих порядкам оказания медицинской помощи, прошедших лицензирование. Снижение степени износа основных фондов</w:t>
            </w:r>
          </w:p>
        </w:tc>
        <w:tc>
          <w:tcPr>
            <w:tcW w:w="2551" w:type="dxa"/>
            <w:tcBorders>
              <w:bottom w:val="nil"/>
            </w:tcBorders>
          </w:tcPr>
          <w:p>
            <w:pPr>
              <w:pStyle w:val="0"/>
              <w:jc w:val="both"/>
            </w:pPr>
            <w:r>
              <w:rPr>
                <w:sz w:val="20"/>
              </w:rPr>
              <w:t xml:space="preserve">Снижение доли отделений медицинских организаций, соответствующих порядкам оказания медицинской помощи, прошедших лицензирование. Увеличение степени износа основных фондов</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341"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27.04.2023 </w:t>
            </w:r>
            <w:hyperlink w:history="0" r:id="rId34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2.8.3</w:t>
            </w:r>
          </w:p>
        </w:tc>
        <w:tc>
          <w:tcPr>
            <w:tcW w:w="1644" w:type="dxa"/>
            <w:tcBorders>
              <w:bottom w:val="nil"/>
            </w:tcBorders>
          </w:tcPr>
          <w:p>
            <w:pPr>
              <w:pStyle w:val="0"/>
              <w:jc w:val="center"/>
            </w:pPr>
            <w:r>
              <w:rPr>
                <w:sz w:val="20"/>
              </w:rPr>
              <w:t xml:space="preserve">07 2 04 R1880</w:t>
            </w:r>
          </w:p>
        </w:tc>
        <w:tc>
          <w:tcPr>
            <w:tcW w:w="2267" w:type="dxa"/>
            <w:tcBorders>
              <w:bottom w:val="nil"/>
            </w:tcBorders>
          </w:tcPr>
          <w:p>
            <w:pPr>
              <w:pStyle w:val="0"/>
              <w:jc w:val="both"/>
            </w:pPr>
            <w:r>
              <w:rPr>
                <w:sz w:val="20"/>
              </w:rPr>
              <w:t xml:space="preserve">Строительство подстанции N 2 ГБУЗС "Севастопольский центр экстренной медицинской помощи и медицины катастроф", пр-т Генерала Острякова</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Рост доли выездов бригад скорой медицинской помощи со временем доезда до больного менее 20 минут. Рост удовлетворенности населения медицинской помощью. Увеличение доли отделений медицинских организаций, соответствующих порядкам оказания медицинской помощи, прошедших лицензирование. Уменьшение степени износа основных фондов</w:t>
            </w:r>
          </w:p>
        </w:tc>
        <w:tc>
          <w:tcPr>
            <w:tcW w:w="2551" w:type="dxa"/>
            <w:tcBorders>
              <w:bottom w:val="nil"/>
            </w:tcBorders>
          </w:tcPr>
          <w:p>
            <w:pPr>
              <w:pStyle w:val="0"/>
              <w:jc w:val="both"/>
            </w:pPr>
            <w:r>
              <w:rPr>
                <w:sz w:val="20"/>
              </w:rPr>
              <w:t xml:space="preserve">Снижение доли выездов бригад скорой медицинской помощи со временем доезда до больного менее 20 минут. Снижение удовлетворенности населения медицинской помощью. Снижение доли отделений медицинских организаций, соответствующих порядкам оказания медицинской помощи, прошедших лицензирование. Увеличение степени износа основных фондов</w:t>
            </w:r>
          </w:p>
        </w:tc>
      </w:tr>
      <w:tr>
        <w:tblPrEx>
          <w:tblBorders>
            <w:insideH w:val="nil"/>
          </w:tblBorders>
        </w:tblPrEx>
        <w:tc>
          <w:tcPr>
            <w:gridSpan w:val="8"/>
            <w:tcW w:w="13602" w:type="dxa"/>
            <w:tcBorders>
              <w:top w:val="nil"/>
            </w:tcBorders>
          </w:tcPr>
          <w:p>
            <w:pPr>
              <w:pStyle w:val="0"/>
              <w:jc w:val="both"/>
            </w:pPr>
            <w:r>
              <w:rPr>
                <w:sz w:val="20"/>
              </w:rPr>
              <w:t xml:space="preserve">(п. 2.8.3 введен </w:t>
            </w:r>
            <w:hyperlink w:history="0" r:id="rId343"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26.05.2022 N 224-ПП)</w:t>
            </w:r>
          </w:p>
        </w:tc>
      </w:tr>
      <w:tr>
        <w:tblPrEx>
          <w:tblBorders>
            <w:insideH w:val="nil"/>
          </w:tblBorders>
        </w:tblPrEx>
        <w:tc>
          <w:tcPr>
            <w:tcW w:w="850" w:type="dxa"/>
            <w:tcBorders>
              <w:bottom w:val="nil"/>
            </w:tcBorders>
          </w:tcPr>
          <w:p>
            <w:pPr>
              <w:pStyle w:val="0"/>
              <w:jc w:val="both"/>
            </w:pPr>
            <w:r>
              <w:rPr>
                <w:sz w:val="20"/>
              </w:rPr>
              <w:t xml:space="preserve">2.8.4</w:t>
            </w:r>
          </w:p>
        </w:tc>
        <w:tc>
          <w:tcPr>
            <w:tcW w:w="1644" w:type="dxa"/>
            <w:tcBorders>
              <w:bottom w:val="nil"/>
            </w:tcBorders>
          </w:tcPr>
          <w:p>
            <w:pPr>
              <w:pStyle w:val="0"/>
              <w:jc w:val="center"/>
            </w:pPr>
            <w:r>
              <w:rPr>
                <w:sz w:val="20"/>
              </w:rPr>
              <w:t xml:space="preserve">07 2 04 R1880</w:t>
            </w:r>
          </w:p>
        </w:tc>
        <w:tc>
          <w:tcPr>
            <w:tcW w:w="2267" w:type="dxa"/>
            <w:tcBorders>
              <w:bottom w:val="nil"/>
            </w:tcBorders>
          </w:tcPr>
          <w:p>
            <w:pPr>
              <w:pStyle w:val="0"/>
              <w:jc w:val="both"/>
            </w:pPr>
            <w:r>
              <w:rPr>
                <w:sz w:val="20"/>
              </w:rPr>
              <w:t xml:space="preserve">Строительство подстанции N 10 ГБУЗС "Севастопольский центр экстренной медицинской помощи и медицины катастроф", Фиолентовское шоссе</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Рост доли выездов бригад скорой медицинской помощи со временем доезда до больного менее 20 минут. Рост удовлетворенности населения медицинской помощью. Увеличение доли отделений медицинских организаций, соответствующих порядкам оказания медицинской помощи, прошедших лицензирование. Уменьшение степени износа основных фондов</w:t>
            </w:r>
          </w:p>
        </w:tc>
        <w:tc>
          <w:tcPr>
            <w:tcW w:w="2551" w:type="dxa"/>
            <w:tcBorders>
              <w:bottom w:val="nil"/>
            </w:tcBorders>
          </w:tcPr>
          <w:p>
            <w:pPr>
              <w:pStyle w:val="0"/>
              <w:jc w:val="both"/>
            </w:pPr>
            <w:r>
              <w:rPr>
                <w:sz w:val="20"/>
              </w:rPr>
              <w:t xml:space="preserve">Снижение доли выездов бригад скорой медицинской помощи со временем доезда до больного менее 20 минут. Снижение удовлетворенности населения медицинской помощью. Снижение доли отделений медицинских организаций, соответствующих порядкам оказания медицинской помощи, прошедших лицензирование. Увеличение степени износа основных фондов</w:t>
            </w:r>
          </w:p>
        </w:tc>
      </w:tr>
      <w:tr>
        <w:tblPrEx>
          <w:tblBorders>
            <w:insideH w:val="nil"/>
          </w:tblBorders>
        </w:tblPrEx>
        <w:tc>
          <w:tcPr>
            <w:gridSpan w:val="8"/>
            <w:tcW w:w="13602" w:type="dxa"/>
            <w:tcBorders>
              <w:top w:val="nil"/>
            </w:tcBorders>
          </w:tcPr>
          <w:p>
            <w:pPr>
              <w:pStyle w:val="0"/>
              <w:jc w:val="both"/>
            </w:pPr>
            <w:r>
              <w:rPr>
                <w:sz w:val="20"/>
              </w:rPr>
              <w:t xml:space="preserve">(п. 2.8.4 введен </w:t>
            </w:r>
            <w:hyperlink w:history="0" r:id="rId344"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26.05.2022 N 224-ПП)</w:t>
            </w:r>
          </w:p>
        </w:tc>
      </w:tr>
      <w:tr>
        <w:tblPrEx>
          <w:tblBorders>
            <w:insideH w:val="nil"/>
          </w:tblBorders>
        </w:tblPrEx>
        <w:tc>
          <w:tcPr>
            <w:tcW w:w="850" w:type="dxa"/>
            <w:tcBorders>
              <w:bottom w:val="nil"/>
            </w:tcBorders>
          </w:tcPr>
          <w:p>
            <w:pPr>
              <w:pStyle w:val="0"/>
              <w:jc w:val="both"/>
            </w:pPr>
            <w:r>
              <w:rPr>
                <w:sz w:val="20"/>
              </w:rPr>
              <w:t xml:space="preserve">2.8.5</w:t>
            </w:r>
          </w:p>
        </w:tc>
        <w:tc>
          <w:tcPr>
            <w:tcW w:w="1644" w:type="dxa"/>
            <w:tcBorders>
              <w:bottom w:val="nil"/>
            </w:tcBorders>
          </w:tcPr>
          <w:p>
            <w:pPr>
              <w:pStyle w:val="0"/>
              <w:jc w:val="center"/>
            </w:pPr>
            <w:r>
              <w:rPr>
                <w:sz w:val="20"/>
              </w:rPr>
              <w:t xml:space="preserve">07 2 04 R1880</w:t>
            </w:r>
          </w:p>
        </w:tc>
        <w:tc>
          <w:tcPr>
            <w:tcW w:w="2267" w:type="dxa"/>
            <w:tcBorders>
              <w:bottom w:val="nil"/>
            </w:tcBorders>
          </w:tcPr>
          <w:p>
            <w:pPr>
              <w:pStyle w:val="0"/>
              <w:jc w:val="both"/>
            </w:pPr>
            <w:r>
              <w:rPr>
                <w:sz w:val="20"/>
              </w:rPr>
              <w:t xml:space="preserve">Строительство патолого-анатомического корпуса ГБУЗС "Городская больница N 1 им. Н.И. Пирогова"</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2026</w:t>
            </w:r>
          </w:p>
        </w:tc>
        <w:tc>
          <w:tcPr>
            <w:tcW w:w="821" w:type="dxa"/>
            <w:tcBorders>
              <w:bottom w:val="nil"/>
            </w:tcBorders>
          </w:tcPr>
          <w:p>
            <w:pPr>
              <w:pStyle w:val="0"/>
              <w:jc w:val="both"/>
            </w:pPr>
            <w:r>
              <w:rPr>
                <w:sz w:val="20"/>
              </w:rPr>
              <w:t xml:space="preserve">2027</w:t>
            </w:r>
          </w:p>
        </w:tc>
        <w:tc>
          <w:tcPr>
            <w:tcW w:w="2721" w:type="dxa"/>
            <w:tcBorders>
              <w:bottom w:val="nil"/>
            </w:tcBorders>
          </w:tcPr>
          <w:p>
            <w:pPr>
              <w:pStyle w:val="0"/>
              <w:jc w:val="both"/>
            </w:pPr>
            <w:r>
              <w:rPr>
                <w:sz w:val="20"/>
              </w:rPr>
              <w:t xml:space="preserve">Снижение степени износа основных фондов. Увеличение доли отделений медицинских организаций, соответствующих порядкам оказания медицинской помощи, прошедших лицензирование</w:t>
            </w:r>
          </w:p>
        </w:tc>
        <w:tc>
          <w:tcPr>
            <w:tcW w:w="2551" w:type="dxa"/>
            <w:tcBorders>
              <w:bottom w:val="nil"/>
            </w:tcBorders>
          </w:tcPr>
          <w:p>
            <w:pPr>
              <w:pStyle w:val="0"/>
              <w:jc w:val="both"/>
            </w:pPr>
            <w:r>
              <w:rPr>
                <w:sz w:val="20"/>
              </w:rPr>
              <w:t xml:space="preserve">Увеличение степени износа основных фондов. Снижение доли отделений медицинских организаций, соответствующих порядкам оказания медицинской помощи, прошедших лицензирование</w:t>
            </w:r>
          </w:p>
        </w:tc>
      </w:tr>
      <w:tr>
        <w:tblPrEx>
          <w:tblBorders>
            <w:insideH w:val="nil"/>
          </w:tblBorders>
        </w:tblPrEx>
        <w:tc>
          <w:tcPr>
            <w:gridSpan w:val="8"/>
            <w:tcW w:w="13602" w:type="dxa"/>
            <w:tcBorders>
              <w:top w:val="nil"/>
            </w:tcBorders>
          </w:tcPr>
          <w:p>
            <w:pPr>
              <w:pStyle w:val="0"/>
              <w:jc w:val="both"/>
            </w:pPr>
            <w:r>
              <w:rPr>
                <w:sz w:val="20"/>
              </w:rPr>
              <w:t xml:space="preserve">(п. 2.8.5 введен </w:t>
            </w:r>
            <w:hyperlink w:history="0" r:id="rId345"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c>
          <w:tcPr>
            <w:tcW w:w="850" w:type="dxa"/>
          </w:tcPr>
          <w:p>
            <w:pPr>
              <w:pStyle w:val="0"/>
              <w:jc w:val="both"/>
            </w:pPr>
            <w:r>
              <w:rPr>
                <w:sz w:val="20"/>
              </w:rPr>
              <w:t xml:space="preserve">2.9</w:t>
            </w:r>
          </w:p>
        </w:tc>
        <w:tc>
          <w:tcPr>
            <w:tcW w:w="1644" w:type="dxa"/>
          </w:tcPr>
          <w:p>
            <w:pPr>
              <w:pStyle w:val="0"/>
              <w:jc w:val="center"/>
            </w:pPr>
            <w:r>
              <w:rPr>
                <w:sz w:val="20"/>
              </w:rPr>
              <w:t xml:space="preserve">07 2 07 R2010</w:t>
            </w:r>
          </w:p>
        </w:tc>
        <w:tc>
          <w:tcPr>
            <w:tcW w:w="2267" w:type="dxa"/>
          </w:tcPr>
          <w:p>
            <w:pPr>
              <w:pStyle w:val="0"/>
              <w:jc w:val="both"/>
            </w:pPr>
            <w:r>
              <w:rPr>
                <w:sz w:val="20"/>
              </w:rPr>
              <w:t xml:space="preserve">Развитие паллиативной медицинской помощи</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Повышение эффективности и качества паллиативной медицинской помощи, в том числе:</w:t>
            </w:r>
          </w:p>
          <w:p>
            <w:pPr>
              <w:pStyle w:val="0"/>
              <w:jc w:val="both"/>
            </w:pPr>
            <w:r>
              <w:rPr>
                <w:sz w:val="20"/>
              </w:rPr>
              <w:t xml:space="preserve">- обеспечение больных паллиативного профиля адекватной анальгетической терапией с использованием инвазивных и неинвазивных наркотических лекарственных препаратов;</w:t>
            </w:r>
          </w:p>
          <w:p>
            <w:pPr>
              <w:pStyle w:val="0"/>
              <w:jc w:val="both"/>
            </w:pPr>
            <w:r>
              <w:rPr>
                <w:sz w:val="20"/>
              </w:rPr>
              <w:t xml:space="preserve">- обеспечение медицинских организаций, оказывающих паллиативную медицинскую помощь, медицинскими изделиями в соответствии с порядками оказания паллиативной медицинской помощи взрослому населению и детям;</w:t>
            </w:r>
          </w:p>
          <w:p>
            <w:pPr>
              <w:pStyle w:val="0"/>
              <w:jc w:val="both"/>
            </w:pPr>
            <w:r>
              <w:rPr>
                <w:sz w:val="20"/>
              </w:rPr>
              <w:t xml:space="preserve">- обеспечение оказания медицинской помощи больным паллиативного профиля вне медицинских организаций выездными бригадами с использованием медицинских изделий для искусственной вентиляции легких</w:t>
            </w:r>
          </w:p>
        </w:tc>
        <w:tc>
          <w:tcPr>
            <w:tcW w:w="2551" w:type="dxa"/>
          </w:tcPr>
          <w:p>
            <w:pPr>
              <w:pStyle w:val="0"/>
              <w:jc w:val="both"/>
            </w:pPr>
            <w:r>
              <w:rPr>
                <w:sz w:val="20"/>
              </w:rPr>
              <w:t xml:space="preserve">Рост неудовлетворенности качеством оказания медицинской помощи на фоне информации о достижениях других субъектов РФ в этой сфере</w:t>
            </w:r>
          </w:p>
        </w:tc>
      </w:tr>
      <w:tr>
        <w:tc>
          <w:tcPr>
            <w:tcW w:w="850" w:type="dxa"/>
          </w:tcPr>
          <w:p>
            <w:pPr>
              <w:pStyle w:val="0"/>
              <w:jc w:val="both"/>
            </w:pPr>
            <w:r>
              <w:rPr>
                <w:sz w:val="20"/>
              </w:rPr>
              <w:t xml:space="preserve">2.10</w:t>
            </w:r>
          </w:p>
        </w:tc>
        <w:tc>
          <w:tcPr>
            <w:tcW w:w="1644" w:type="dxa"/>
          </w:tcPr>
          <w:p>
            <w:pPr>
              <w:pStyle w:val="0"/>
              <w:jc w:val="center"/>
            </w:pPr>
            <w:r>
              <w:rPr>
                <w:sz w:val="20"/>
              </w:rPr>
              <w:t xml:space="preserve">07 2 06 00200</w:t>
            </w:r>
          </w:p>
        </w:tc>
        <w:tc>
          <w:tcPr>
            <w:tcW w:w="2267" w:type="dxa"/>
          </w:tcPr>
          <w:p>
            <w:pPr>
              <w:pStyle w:val="0"/>
              <w:jc w:val="both"/>
            </w:pPr>
            <w:r>
              <w:rPr>
                <w:sz w:val="20"/>
              </w:rPr>
              <w:t xml:space="preserve">Обязательное медицинское страхование неработающего населения города Севастополя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Соблюдение конституционных прав неработающих граждан РФ, реализация программы государственных гарантий бесплатного оказания медицинской помощи для неработающего населения города Севастополя, обеспечение доступности и качества медицинской помощи, реализация диспансеризации и профилактических осмотров для неработающего населения, улучшение демографической ситуации в регионе за счет снижения смертности от основных заболеваний (болезни системы кровообращения, онкологические заболевания и др.), рост удовлетворенности населения медицинской помощью</w:t>
            </w:r>
          </w:p>
        </w:tc>
        <w:tc>
          <w:tcPr>
            <w:tcW w:w="2551" w:type="dxa"/>
          </w:tcPr>
          <w:p>
            <w:pPr>
              <w:pStyle w:val="0"/>
              <w:jc w:val="both"/>
            </w:pPr>
            <w:r>
              <w:rPr>
                <w:sz w:val="20"/>
              </w:rPr>
              <w:t xml:space="preserve">Несоблюдение конституционных прав неработающих граждан РФ, невозможность реализации программы государственных гарантий бесплатного оказания медицинской помощи для неработающего населения города Севастополя, снижение доступности и качества медицинской помощи, нереализация диспансеризации и профилактических осмотров для неработающего населения, ухудшение демографической ситуации в регионе за счет повышения смертности от основных заболеваний (болезни системы кровообращения, онкологические заболевания и др.), рост неудовлетворенности населения медицинской помощью</w:t>
            </w:r>
          </w:p>
        </w:tc>
      </w:tr>
      <w:tr>
        <w:tc>
          <w:tcPr>
            <w:tcW w:w="850" w:type="dxa"/>
          </w:tcPr>
          <w:p>
            <w:pPr>
              <w:pStyle w:val="0"/>
              <w:jc w:val="both"/>
            </w:pPr>
            <w:r>
              <w:rPr>
                <w:sz w:val="20"/>
              </w:rPr>
              <w:t xml:space="preserve">2.11</w:t>
            </w:r>
          </w:p>
        </w:tc>
        <w:tc>
          <w:tcPr>
            <w:tcW w:w="1644" w:type="dxa"/>
          </w:tcPr>
          <w:p>
            <w:pPr>
              <w:pStyle w:val="0"/>
              <w:jc w:val="center"/>
            </w:pPr>
            <w:r>
              <w:rPr>
                <w:sz w:val="20"/>
              </w:rPr>
            </w:r>
          </w:p>
        </w:tc>
        <w:tc>
          <w:tcPr>
            <w:tcW w:w="2267" w:type="dxa"/>
          </w:tcPr>
          <w:p>
            <w:pPr>
              <w:pStyle w:val="0"/>
              <w:jc w:val="both"/>
            </w:pPr>
            <w:r>
              <w:rPr>
                <w:sz w:val="20"/>
              </w:rPr>
              <w:t xml:space="preserve">Реализация мероприятий по предупреждению и борьбе с социально значимыми инфекционными заболеваниями</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Уменьшение доли рецептов, находящихся на отсроченном обеспечении, в общем количестве выписанных рецептов. Рост удовлетворенности населения медицинской помощью</w:t>
            </w:r>
          </w:p>
        </w:tc>
        <w:tc>
          <w:tcPr>
            <w:tcW w:w="2551" w:type="dxa"/>
          </w:tcPr>
          <w:p>
            <w:pPr>
              <w:pStyle w:val="0"/>
              <w:jc w:val="both"/>
            </w:pPr>
            <w:r>
              <w:rPr>
                <w:sz w:val="20"/>
              </w:rPr>
              <w:t xml:space="preserve">Увеличение доли рецептов, находящихся на отсроченном обеспечении, в общем количестве выписанных рецептов. Снижение удовлетворенности населения медицинской помощью</w:t>
            </w:r>
          </w:p>
        </w:tc>
      </w:tr>
      <w:tr>
        <w:tc>
          <w:tcPr>
            <w:tcW w:w="850" w:type="dxa"/>
          </w:tcPr>
          <w:p>
            <w:pPr>
              <w:pStyle w:val="0"/>
              <w:jc w:val="both"/>
            </w:pPr>
            <w:r>
              <w:rPr>
                <w:sz w:val="20"/>
              </w:rPr>
              <w:t xml:space="preserve">2.11.1</w:t>
            </w:r>
          </w:p>
        </w:tc>
        <w:tc>
          <w:tcPr>
            <w:tcW w:w="1644" w:type="dxa"/>
          </w:tcPr>
          <w:p>
            <w:pPr>
              <w:pStyle w:val="0"/>
              <w:jc w:val="center"/>
            </w:pPr>
            <w:r>
              <w:rPr>
                <w:sz w:val="20"/>
              </w:rPr>
              <w:t xml:space="preserve">07 2 02 R2021</w:t>
            </w:r>
          </w:p>
        </w:tc>
        <w:tc>
          <w:tcPr>
            <w:tcW w:w="2267" w:type="dxa"/>
          </w:tcPr>
          <w:p>
            <w:pPr>
              <w:pStyle w:val="0"/>
              <w:jc w:val="both"/>
            </w:pPr>
            <w:r>
              <w:rPr>
                <w:sz w:val="20"/>
              </w:rPr>
              <w:t xml:space="preserve">Финансовое обеспечение реализации мероприятий по профилактике ВИЧ-инфекции и гепатитов B и C, в том числе с привлечением к реализации указанных мероприятий социально ориентированных некоммерческих организаций</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уровня информированности населения в возрасте 18 - 49 лет по вопросам ВИЧ-инфекции</w:t>
            </w:r>
          </w:p>
        </w:tc>
        <w:tc>
          <w:tcPr>
            <w:tcW w:w="2551" w:type="dxa"/>
          </w:tcPr>
          <w:p>
            <w:pPr>
              <w:pStyle w:val="0"/>
              <w:jc w:val="both"/>
            </w:pPr>
            <w:r>
              <w:rPr>
                <w:sz w:val="20"/>
              </w:rPr>
              <w:t xml:space="preserve">Уменьшение уровня информированности населения в возрасте 18 - 49 лет по вопросам ВИЧ-инфекции</w:t>
            </w:r>
          </w:p>
        </w:tc>
      </w:tr>
      <w:tr>
        <w:tc>
          <w:tcPr>
            <w:tcW w:w="850" w:type="dxa"/>
          </w:tcPr>
          <w:p>
            <w:pPr>
              <w:pStyle w:val="0"/>
              <w:jc w:val="both"/>
            </w:pPr>
            <w:r>
              <w:rPr>
                <w:sz w:val="20"/>
              </w:rPr>
              <w:t xml:space="preserve">2.11.2</w:t>
            </w:r>
          </w:p>
        </w:tc>
        <w:tc>
          <w:tcPr>
            <w:tcW w:w="1644" w:type="dxa"/>
          </w:tcPr>
          <w:p>
            <w:pPr>
              <w:pStyle w:val="0"/>
              <w:jc w:val="center"/>
            </w:pPr>
            <w:r>
              <w:rPr>
                <w:sz w:val="20"/>
              </w:rPr>
              <w:t xml:space="preserve">07 2 02 R2022</w:t>
            </w:r>
          </w:p>
        </w:tc>
        <w:tc>
          <w:tcPr>
            <w:tcW w:w="2267" w:type="dxa"/>
          </w:tcPr>
          <w:p>
            <w:pPr>
              <w:pStyle w:val="0"/>
              <w:jc w:val="both"/>
            </w:pPr>
            <w:r>
              <w:rPr>
                <w:sz w:val="20"/>
              </w:rPr>
              <w:t xml:space="preserve">Финансовое обеспечение закупок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w:t>
            </w:r>
            <w:hyperlink w:history="0" r:id="rId346" w:tooltip="Приказ Минздрава России от 15.11.2012 N 932н (ред. от 19.05.2023) &quot;Об утверждении Порядка оказания медицинской помощи больным туберкулезом&quot; (Зарегистрировано в Минюсте России 07.03.2013 N 27557) {КонсультантПлюс}">
              <w:r>
                <w:rPr>
                  <w:sz w:val="20"/>
                  <w:color w:val="0000ff"/>
                </w:rPr>
                <w:t xml:space="preserve">порядком</w:t>
              </w:r>
            </w:hyperlink>
            <w:r>
              <w:rPr>
                <w:sz w:val="20"/>
              </w:rPr>
              <w:t xml:space="preserve"> оказания медицинской помощи больным туберкулезом</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охвата населения профилактическими осмотрами на туберкулез.</w:t>
            </w:r>
          </w:p>
          <w:p>
            <w:pPr>
              <w:pStyle w:val="0"/>
              <w:jc w:val="both"/>
            </w:pPr>
            <w:r>
              <w:rPr>
                <w:sz w:val="20"/>
              </w:rPr>
              <w:t xml:space="preserve">Снижение смертности от туберкулеза</w:t>
            </w:r>
          </w:p>
        </w:tc>
        <w:tc>
          <w:tcPr>
            <w:tcW w:w="2551" w:type="dxa"/>
          </w:tcPr>
          <w:p>
            <w:pPr>
              <w:pStyle w:val="0"/>
              <w:jc w:val="both"/>
            </w:pPr>
            <w:r>
              <w:rPr>
                <w:sz w:val="20"/>
              </w:rPr>
              <w:t xml:space="preserve">Уменьшение охвата населения профилактическими осмотрами на туберкулез.</w:t>
            </w:r>
          </w:p>
          <w:p>
            <w:pPr>
              <w:pStyle w:val="0"/>
              <w:jc w:val="both"/>
            </w:pPr>
            <w:r>
              <w:rPr>
                <w:sz w:val="20"/>
              </w:rPr>
              <w:t xml:space="preserve">Увеличение смертности от туберкулеза</w:t>
            </w:r>
          </w:p>
        </w:tc>
      </w:tr>
      <w:tr>
        <w:tc>
          <w:tcPr>
            <w:tcW w:w="850" w:type="dxa"/>
          </w:tcPr>
          <w:p>
            <w:pPr>
              <w:pStyle w:val="0"/>
              <w:jc w:val="both"/>
            </w:pPr>
            <w:r>
              <w:rPr>
                <w:sz w:val="20"/>
              </w:rPr>
              <w:t xml:space="preserve">2.11.3</w:t>
            </w:r>
          </w:p>
        </w:tc>
        <w:tc>
          <w:tcPr>
            <w:tcW w:w="1644" w:type="dxa"/>
          </w:tcPr>
          <w:p>
            <w:pPr>
              <w:pStyle w:val="0"/>
              <w:jc w:val="center"/>
            </w:pPr>
            <w:r>
              <w:rPr>
                <w:sz w:val="20"/>
              </w:rPr>
              <w:t xml:space="preserve">07 2 02 R2023</w:t>
            </w:r>
          </w:p>
        </w:tc>
        <w:tc>
          <w:tcPr>
            <w:tcW w:w="2267" w:type="dxa"/>
          </w:tcPr>
          <w:p>
            <w:pPr>
              <w:pStyle w:val="0"/>
              <w:jc w:val="both"/>
            </w:pPr>
            <w:r>
              <w:rPr>
                <w:sz w:val="20"/>
              </w:rPr>
              <w:t xml:space="preserve">Финансовое обеспечение закупок диагностических средств для выявления и мониторинга лечения лиц, инфицированных вирусом иммунодефицита человека, в том числе в сочетании с вирусами гепатитов B и (или) C</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охвата медицинским освидетельствованием на ВИЧ-инфекцию населения г. Севастополя. Снижение смертности от всех причин. Снижение смертности лиц трудоспособного возраста. Рост охвата химиопрофилактикой передачи ВИЧ-инфекции от матери к ребенку во время беременности</w:t>
            </w:r>
          </w:p>
        </w:tc>
        <w:tc>
          <w:tcPr>
            <w:tcW w:w="2551" w:type="dxa"/>
          </w:tcPr>
          <w:p>
            <w:pPr>
              <w:pStyle w:val="0"/>
              <w:jc w:val="both"/>
            </w:pPr>
            <w:r>
              <w:rPr>
                <w:sz w:val="20"/>
              </w:rPr>
              <w:t xml:space="preserve">Уменьшение охвата медицинским освидетельствованием на ВИЧ-инфекцию населения г. Севастополя. Рост смертности от всех причин. Увеличение смертности лиц трудоспособного возраста</w:t>
            </w:r>
          </w:p>
        </w:tc>
      </w:tr>
      <w:tr>
        <w:tblPrEx>
          <w:tblBorders>
            <w:insideH w:val="nil"/>
          </w:tblBorders>
        </w:tblPrEx>
        <w:tc>
          <w:tcPr>
            <w:tcW w:w="850" w:type="dxa"/>
            <w:tcBorders>
              <w:bottom w:val="nil"/>
            </w:tcBorders>
          </w:tcPr>
          <w:p>
            <w:pPr>
              <w:pStyle w:val="0"/>
              <w:jc w:val="both"/>
            </w:pPr>
            <w:r>
              <w:rPr>
                <w:sz w:val="20"/>
              </w:rPr>
              <w:t xml:space="preserve">2.12</w:t>
            </w:r>
          </w:p>
        </w:tc>
        <w:tc>
          <w:tcPr>
            <w:tcW w:w="1644" w:type="dxa"/>
            <w:tcBorders>
              <w:bottom w:val="nil"/>
            </w:tcBorders>
          </w:tcPr>
          <w:p>
            <w:pPr>
              <w:pStyle w:val="0"/>
              <w:jc w:val="center"/>
            </w:pPr>
            <w:r>
              <w:rPr>
                <w:sz w:val="20"/>
              </w:rPr>
              <w:t xml:space="preserve">07 2 05 52490, 07 2 05 00200</w:t>
            </w:r>
          </w:p>
        </w:tc>
        <w:tc>
          <w:tcPr>
            <w:tcW w:w="2267" w:type="dxa"/>
            <w:tcBorders>
              <w:bottom w:val="nil"/>
            </w:tcBorders>
          </w:tcPr>
          <w:p>
            <w:pPr>
              <w:pStyle w:val="0"/>
              <w:jc w:val="both"/>
            </w:pPr>
            <w:r>
              <w:rPr>
                <w:sz w:val="20"/>
              </w:rPr>
              <w:t xml:space="preserve">Реализация региональной </w:t>
            </w:r>
            <w:hyperlink w:history="0" w:anchor="P41118" w:tooltip="Региональная программа">
              <w:r>
                <w:rPr>
                  <w:sz w:val="20"/>
                  <w:color w:val="0000ff"/>
                </w:rPr>
                <w:t xml:space="preserve">программы</w:t>
              </w:r>
            </w:hyperlink>
            <w:r>
              <w:rPr>
                <w:sz w:val="20"/>
              </w:rPr>
              <w:t xml:space="preserve"> "Развитие службы крови в городе Севастополе"</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Снижение смертности</w:t>
            </w:r>
          </w:p>
        </w:tc>
        <w:tc>
          <w:tcPr>
            <w:tcW w:w="2551" w:type="dxa"/>
            <w:tcBorders>
              <w:bottom w:val="nil"/>
            </w:tcBorders>
          </w:tcPr>
          <w:p>
            <w:pPr>
              <w:pStyle w:val="0"/>
              <w:jc w:val="both"/>
            </w:pPr>
            <w:r>
              <w:rPr>
                <w:sz w:val="20"/>
              </w:rPr>
              <w:t xml:space="preserve">Повышение смертности</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4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850" w:type="dxa"/>
          </w:tcPr>
          <w:p>
            <w:pPr>
              <w:pStyle w:val="0"/>
              <w:jc w:val="both"/>
            </w:pPr>
            <w:r>
              <w:rPr>
                <w:sz w:val="20"/>
              </w:rPr>
              <w:t xml:space="preserve">2.13</w:t>
            </w:r>
          </w:p>
        </w:tc>
        <w:tc>
          <w:tcPr>
            <w:tcW w:w="1644" w:type="dxa"/>
          </w:tcPr>
          <w:p>
            <w:pPr>
              <w:pStyle w:val="0"/>
              <w:jc w:val="center"/>
            </w:pPr>
            <w:r>
              <w:rPr>
                <w:sz w:val="20"/>
              </w:rPr>
              <w:t xml:space="preserve">07 2 01 00202</w:t>
            </w:r>
          </w:p>
        </w:tc>
        <w:tc>
          <w:tcPr>
            <w:tcW w:w="2267" w:type="dxa"/>
          </w:tcPr>
          <w:p>
            <w:pPr>
              <w:pStyle w:val="0"/>
              <w:jc w:val="both"/>
            </w:pPr>
            <w:r>
              <w:rPr>
                <w:sz w:val="20"/>
              </w:rPr>
              <w:t xml:space="preserve">Мероприятия по медицинской эвакуации и транспортировке пациентов</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Уменьшение смертности, оказание высококвалифицированной медицинской помощи жителям города</w:t>
            </w:r>
          </w:p>
        </w:tc>
        <w:tc>
          <w:tcPr>
            <w:tcW w:w="2551" w:type="dxa"/>
          </w:tcPr>
          <w:p>
            <w:pPr>
              <w:pStyle w:val="0"/>
              <w:jc w:val="both"/>
            </w:pPr>
            <w:r>
              <w:rPr>
                <w:sz w:val="20"/>
              </w:rPr>
              <w:t xml:space="preserve">Увеличение смертности</w:t>
            </w:r>
          </w:p>
        </w:tc>
      </w:tr>
      <w:tr>
        <w:tblPrEx>
          <w:tblBorders>
            <w:insideH w:val="nil"/>
          </w:tblBorders>
        </w:tblPrEx>
        <w:tc>
          <w:tcPr>
            <w:tcW w:w="850" w:type="dxa"/>
            <w:tcBorders>
              <w:bottom w:val="nil"/>
            </w:tcBorders>
          </w:tcPr>
          <w:p>
            <w:pPr>
              <w:pStyle w:val="0"/>
              <w:jc w:val="both"/>
            </w:pPr>
            <w:r>
              <w:rPr>
                <w:sz w:val="20"/>
              </w:rPr>
              <w:t xml:space="preserve">2.14</w:t>
            </w:r>
          </w:p>
        </w:tc>
        <w:tc>
          <w:tcPr>
            <w:tcW w:w="1644" w:type="dxa"/>
            <w:tcBorders>
              <w:bottom w:val="nil"/>
            </w:tcBorders>
          </w:tcPr>
          <w:p>
            <w:pPr>
              <w:pStyle w:val="0"/>
              <w:jc w:val="center"/>
            </w:pPr>
            <w:r>
              <w:rPr>
                <w:sz w:val="20"/>
              </w:rPr>
              <w:t xml:space="preserve">07 2 01 00203</w:t>
            </w:r>
          </w:p>
        </w:tc>
        <w:tc>
          <w:tcPr>
            <w:tcW w:w="2267" w:type="dxa"/>
            <w:tcBorders>
              <w:bottom w:val="nil"/>
            </w:tcBorders>
          </w:tcPr>
          <w:p>
            <w:pPr>
              <w:pStyle w:val="0"/>
              <w:jc w:val="both"/>
            </w:pPr>
            <w:r>
              <w:rPr>
                <w:sz w:val="20"/>
              </w:rPr>
              <w:t xml:space="preserve">Мероприятия по социальной поддержке граждан, больных туберкулезом, проживающих на территории города Севастополя</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Увеличение охвата социальной поддержкой лиц, страдающих социально важным заболеванием.</w:t>
            </w:r>
          </w:p>
          <w:p>
            <w:pPr>
              <w:pStyle w:val="0"/>
              <w:jc w:val="both"/>
            </w:pPr>
            <w:r>
              <w:rPr>
                <w:sz w:val="20"/>
              </w:rPr>
              <w:t xml:space="preserve">Повышение доступности и качества медицинской помощи.</w:t>
            </w:r>
          </w:p>
          <w:p>
            <w:pPr>
              <w:pStyle w:val="0"/>
              <w:jc w:val="both"/>
            </w:pPr>
            <w:r>
              <w:rPr>
                <w:sz w:val="20"/>
              </w:rPr>
              <w:t xml:space="preserve">Стимулирование граждан для прохождения необходимого лечения.</w:t>
            </w:r>
          </w:p>
          <w:p>
            <w:pPr>
              <w:pStyle w:val="0"/>
              <w:jc w:val="both"/>
            </w:pPr>
            <w:r>
              <w:rPr>
                <w:sz w:val="20"/>
              </w:rPr>
              <w:t xml:space="preserve">Снижение частоты отрывов от лечения, уменьшение скрытого резервуара туберкулезной инфекции.</w:t>
            </w:r>
          </w:p>
          <w:p>
            <w:pPr>
              <w:pStyle w:val="0"/>
              <w:jc w:val="both"/>
            </w:pPr>
            <w:r>
              <w:rPr>
                <w:sz w:val="20"/>
              </w:rPr>
              <w:t xml:space="preserve">Снижение заболеваемости и смертности от туберкулеза</w:t>
            </w:r>
          </w:p>
        </w:tc>
        <w:tc>
          <w:tcPr>
            <w:tcW w:w="2551" w:type="dxa"/>
            <w:tcBorders>
              <w:bottom w:val="nil"/>
            </w:tcBorders>
          </w:tcPr>
          <w:p>
            <w:pPr>
              <w:pStyle w:val="0"/>
              <w:jc w:val="both"/>
            </w:pPr>
            <w:r>
              <w:rPr>
                <w:sz w:val="20"/>
              </w:rPr>
              <w:t xml:space="preserve">Снижение доступности и качества оказываемой медицинской помощи.</w:t>
            </w:r>
          </w:p>
          <w:p>
            <w:pPr>
              <w:pStyle w:val="0"/>
              <w:jc w:val="both"/>
            </w:pPr>
            <w:r>
              <w:rPr>
                <w:sz w:val="20"/>
              </w:rPr>
              <w:t xml:space="preserve">Увеличение количества случаев прекращения лечения. Увеличение доли заболеваемости и смертности от туберкулеза</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4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850" w:type="dxa"/>
          </w:tcPr>
          <w:p>
            <w:pPr>
              <w:pStyle w:val="0"/>
              <w:jc w:val="both"/>
            </w:pPr>
            <w:r>
              <w:rPr>
                <w:sz w:val="20"/>
              </w:rPr>
              <w:t xml:space="preserve">2.15</w:t>
            </w:r>
          </w:p>
        </w:tc>
        <w:tc>
          <w:tcPr>
            <w:tcW w:w="1644" w:type="dxa"/>
          </w:tcPr>
          <w:p>
            <w:pPr>
              <w:pStyle w:val="0"/>
              <w:jc w:val="center"/>
            </w:pPr>
            <w:r>
              <w:rPr>
                <w:sz w:val="20"/>
              </w:rPr>
              <w:t xml:space="preserve">07 2 01 00204</w:t>
            </w:r>
          </w:p>
        </w:tc>
        <w:tc>
          <w:tcPr>
            <w:tcW w:w="2267" w:type="dxa"/>
          </w:tcPr>
          <w:p>
            <w:pPr>
              <w:pStyle w:val="0"/>
              <w:jc w:val="both"/>
            </w:pPr>
            <w:r>
              <w:rPr>
                <w:sz w:val="20"/>
              </w:rPr>
              <w:t xml:space="preserve">Мероприятия по обеспечению специализированными продуктами лечебного питания пациентов с диагнозом "Фенилкетонурия"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Снижение смертности. Увеличение удовлетворенности населения медицинской помощью</w:t>
            </w:r>
          </w:p>
        </w:tc>
        <w:tc>
          <w:tcPr>
            <w:tcW w:w="2551" w:type="dxa"/>
          </w:tcPr>
          <w:p>
            <w:pPr>
              <w:pStyle w:val="0"/>
              <w:jc w:val="both"/>
            </w:pPr>
            <w:r>
              <w:rPr>
                <w:sz w:val="20"/>
              </w:rPr>
              <w:t xml:space="preserve">Снижение уровня качества жизни. Увеличение смертности</w:t>
            </w:r>
          </w:p>
        </w:tc>
      </w:tr>
      <w:tr>
        <w:tblPrEx>
          <w:tblBorders>
            <w:insideH w:val="nil"/>
          </w:tblBorders>
        </w:tblPrEx>
        <w:tc>
          <w:tcPr>
            <w:tcW w:w="850" w:type="dxa"/>
            <w:tcBorders>
              <w:bottom w:val="nil"/>
            </w:tcBorders>
          </w:tcPr>
          <w:p>
            <w:pPr>
              <w:pStyle w:val="0"/>
              <w:jc w:val="both"/>
            </w:pPr>
            <w:r>
              <w:rPr>
                <w:sz w:val="20"/>
              </w:rPr>
              <w:t xml:space="preserve">2.16</w:t>
            </w:r>
          </w:p>
        </w:tc>
        <w:tc>
          <w:tcPr>
            <w:tcW w:w="1644" w:type="dxa"/>
            <w:tcBorders>
              <w:bottom w:val="nil"/>
            </w:tcBorders>
          </w:tcPr>
          <w:p>
            <w:pPr>
              <w:pStyle w:val="0"/>
              <w:jc w:val="center"/>
            </w:pPr>
            <w:r>
              <w:rPr>
                <w:sz w:val="20"/>
              </w:rPr>
              <w:t xml:space="preserve">69 9 07 00200</w:t>
            </w:r>
          </w:p>
        </w:tc>
        <w:tc>
          <w:tcPr>
            <w:tcW w:w="2267" w:type="dxa"/>
            <w:tcBorders>
              <w:bottom w:val="nil"/>
            </w:tcBorders>
          </w:tcPr>
          <w:p>
            <w:pPr>
              <w:pStyle w:val="0"/>
              <w:jc w:val="both"/>
            </w:pPr>
            <w:r>
              <w:rPr>
                <w:sz w:val="20"/>
              </w:rPr>
              <w:t xml:space="preserve">Финансовое обеспечение мероприятий по погашению кредиторской задолженности Департамента здравоохранения города Севастополя и медицинских учреждений, подведомственных Департаменту</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Погашение кредиторской задолженности медицинских учреждений, подведомственных Департаменту здравоохранения города Севастополя</w:t>
            </w:r>
          </w:p>
        </w:tc>
        <w:tc>
          <w:tcPr>
            <w:tcW w:w="2551" w:type="dxa"/>
            <w:tcBorders>
              <w:bottom w:val="nil"/>
            </w:tcBorders>
          </w:tcPr>
          <w:p>
            <w:pPr>
              <w:pStyle w:val="0"/>
              <w:jc w:val="both"/>
            </w:pPr>
            <w:r>
              <w:rPr>
                <w:sz w:val="20"/>
              </w:rPr>
              <w:t xml:space="preserve">Рост кредиторской задолженности медицинских учреждений, подведомственных Департаменту здравоохранения города Севастополя</w:t>
            </w:r>
          </w:p>
        </w:tc>
      </w:tr>
      <w:tr>
        <w:tblPrEx>
          <w:tblBorders>
            <w:insideH w:val="nil"/>
          </w:tblBorders>
        </w:tblPrEx>
        <w:tc>
          <w:tcPr>
            <w:gridSpan w:val="8"/>
            <w:tcW w:w="13602" w:type="dxa"/>
            <w:tcBorders>
              <w:top w:val="nil"/>
            </w:tcBorders>
          </w:tcPr>
          <w:p>
            <w:pPr>
              <w:pStyle w:val="0"/>
              <w:jc w:val="both"/>
            </w:pPr>
            <w:r>
              <w:rPr>
                <w:sz w:val="20"/>
              </w:rPr>
              <w:t xml:space="preserve">(п. 2.16 введен </w:t>
            </w:r>
            <w:hyperlink w:history="0" r:id="rId349"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14.04.2022 N 152-ПП)</w:t>
            </w:r>
          </w:p>
        </w:tc>
      </w:tr>
      <w:tr>
        <w:tblPrEx>
          <w:tblBorders>
            <w:insideH w:val="nil"/>
          </w:tblBorders>
        </w:tblPrEx>
        <w:tc>
          <w:tcPr>
            <w:tcW w:w="850" w:type="dxa"/>
            <w:tcBorders>
              <w:bottom w:val="nil"/>
            </w:tcBorders>
          </w:tcPr>
          <w:p>
            <w:pPr>
              <w:pStyle w:val="0"/>
              <w:jc w:val="both"/>
            </w:pPr>
            <w:r>
              <w:rPr>
                <w:sz w:val="20"/>
              </w:rPr>
              <w:t xml:space="preserve">2.17</w:t>
            </w:r>
          </w:p>
        </w:tc>
        <w:tc>
          <w:tcPr>
            <w:tcW w:w="1644" w:type="dxa"/>
            <w:tcBorders>
              <w:bottom w:val="nil"/>
            </w:tcBorders>
          </w:tcPr>
          <w:p>
            <w:pPr>
              <w:pStyle w:val="0"/>
              <w:jc w:val="center"/>
            </w:pPr>
            <w:r>
              <w:rPr>
                <w:sz w:val="20"/>
              </w:rPr>
              <w:t xml:space="preserve">07 2 01 М7101,</w:t>
            </w:r>
          </w:p>
          <w:p>
            <w:pPr>
              <w:pStyle w:val="0"/>
              <w:jc w:val="center"/>
            </w:pPr>
            <w:r>
              <w:rPr>
                <w:sz w:val="20"/>
              </w:rPr>
              <w:t xml:space="preserve">07 2 01 М8101</w:t>
            </w:r>
          </w:p>
        </w:tc>
        <w:tc>
          <w:tcPr>
            <w:tcW w:w="2267" w:type="dxa"/>
            <w:tcBorders>
              <w:bottom w:val="nil"/>
            </w:tcBorders>
          </w:tcPr>
          <w:p>
            <w:pPr>
              <w:pStyle w:val="0"/>
              <w:jc w:val="both"/>
            </w:pPr>
            <w:r>
              <w:rPr>
                <w:sz w:val="20"/>
              </w:rPr>
              <w:t xml:space="preserve">Мероприятия в рамках сотрудничества с Правительством Москвы в целях развития специализированной медицинской помощи</w:t>
            </w:r>
          </w:p>
        </w:tc>
        <w:tc>
          <w:tcPr>
            <w:tcW w:w="1927" w:type="dxa"/>
            <w:tcBorders>
              <w:bottom w:val="nil"/>
            </w:tcBorders>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Повышение качества и доступности специализированной, в том числе высокотехнологичной, медицинской помощи, снижение смертности населения города Севастополя</w:t>
            </w:r>
          </w:p>
        </w:tc>
        <w:tc>
          <w:tcPr>
            <w:tcW w:w="2551" w:type="dxa"/>
            <w:tcBorders>
              <w:bottom w:val="nil"/>
            </w:tcBorders>
          </w:tcPr>
          <w:p>
            <w:pPr>
              <w:pStyle w:val="0"/>
              <w:jc w:val="both"/>
            </w:pPr>
            <w:r>
              <w:rPr>
                <w:sz w:val="20"/>
              </w:rPr>
              <w:t xml:space="preserve">Снижение качества и доступности специализированной, в том числе высокотехнологичной, медицинской помощи, повышение смертности населения города Севастополя</w:t>
            </w:r>
          </w:p>
        </w:tc>
      </w:tr>
      <w:tr>
        <w:tblPrEx>
          <w:tblBorders>
            <w:insideH w:val="nil"/>
          </w:tblBorders>
        </w:tblPrEx>
        <w:tc>
          <w:tcPr>
            <w:gridSpan w:val="8"/>
            <w:tcW w:w="13602" w:type="dxa"/>
            <w:tcBorders>
              <w:top w:val="nil"/>
            </w:tcBorders>
          </w:tcPr>
          <w:p>
            <w:pPr>
              <w:pStyle w:val="0"/>
              <w:jc w:val="both"/>
            </w:pPr>
            <w:r>
              <w:rPr>
                <w:sz w:val="20"/>
              </w:rPr>
              <w:t xml:space="preserve">(п. 2.17 введен </w:t>
            </w:r>
            <w:hyperlink w:history="0" r:id="rId350"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26.05.2022 N 224-ПП)</w:t>
            </w:r>
          </w:p>
        </w:tc>
      </w:tr>
      <w:tr>
        <w:tblPrEx>
          <w:tblBorders>
            <w:insideH w:val="nil"/>
          </w:tblBorders>
        </w:tblPrEx>
        <w:tc>
          <w:tcPr>
            <w:tcW w:w="850" w:type="dxa"/>
            <w:tcBorders>
              <w:bottom w:val="nil"/>
            </w:tcBorders>
          </w:tcPr>
          <w:p>
            <w:pPr>
              <w:pStyle w:val="0"/>
              <w:jc w:val="both"/>
            </w:pPr>
            <w:r>
              <w:rPr>
                <w:sz w:val="20"/>
              </w:rPr>
              <w:t xml:space="preserve">2.18</w:t>
            </w:r>
          </w:p>
        </w:tc>
        <w:tc>
          <w:tcPr>
            <w:tcW w:w="1644" w:type="dxa"/>
            <w:tcBorders>
              <w:bottom w:val="nil"/>
            </w:tcBorders>
          </w:tcPr>
          <w:p>
            <w:pPr>
              <w:pStyle w:val="0"/>
              <w:jc w:val="center"/>
            </w:pPr>
            <w:r>
              <w:rPr>
                <w:sz w:val="20"/>
              </w:rPr>
              <w:t xml:space="preserve">07 2 01 М8102</w:t>
            </w:r>
          </w:p>
        </w:tc>
        <w:tc>
          <w:tcPr>
            <w:tcW w:w="2267" w:type="dxa"/>
            <w:tcBorders>
              <w:bottom w:val="nil"/>
            </w:tcBorders>
          </w:tcPr>
          <w:p>
            <w:pPr>
              <w:pStyle w:val="0"/>
              <w:jc w:val="both"/>
            </w:pPr>
            <w:r>
              <w:rPr>
                <w:sz w:val="20"/>
              </w:rPr>
              <w:t xml:space="preserve">Мероприятия в рамках сотрудничества с Правительством Москвы в целях улучшения материально-технического состояния отдельных учреждений в сфере здравоохранения</w:t>
            </w:r>
          </w:p>
        </w:tc>
        <w:tc>
          <w:tcPr>
            <w:tcW w:w="1927" w:type="dxa"/>
            <w:tcBorders>
              <w:bottom w:val="nil"/>
            </w:tcBorders>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Повышение качества и доступности медицинской помощи, снижение смертности населения,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доступности медицинской помощи, увеличение смертности населения,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(п. 2.18 введен </w:t>
            </w:r>
            <w:hyperlink w:history="0" r:id="rId351"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26.05.2022 N 224-ПП;</w:t>
            </w:r>
          </w:p>
          <w:p>
            <w:pPr>
              <w:pStyle w:val="0"/>
              <w:jc w:val="both"/>
            </w:pPr>
            <w:r>
              <w:rPr>
                <w:sz w:val="20"/>
              </w:rPr>
              <w:t xml:space="preserve">в ред. </w:t>
            </w:r>
            <w:hyperlink w:history="0" r:id="rId352"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10.11.2022 N 561-ПП)</w:t>
            </w:r>
          </w:p>
        </w:tc>
      </w:tr>
      <w:tr>
        <w:tblPrEx>
          <w:tblBorders>
            <w:insideH w:val="nil"/>
          </w:tblBorders>
        </w:tblPrEx>
        <w:tc>
          <w:tcPr>
            <w:tcW w:w="850" w:type="dxa"/>
            <w:tcBorders>
              <w:bottom w:val="nil"/>
            </w:tcBorders>
          </w:tcPr>
          <w:p>
            <w:pPr>
              <w:pStyle w:val="0"/>
              <w:jc w:val="both"/>
            </w:pPr>
            <w:r>
              <w:rPr>
                <w:sz w:val="20"/>
              </w:rPr>
              <w:t xml:space="preserve">2.19</w:t>
            </w:r>
          </w:p>
        </w:tc>
        <w:tc>
          <w:tcPr>
            <w:tcW w:w="1644" w:type="dxa"/>
            <w:tcBorders>
              <w:bottom w:val="nil"/>
            </w:tcBorders>
          </w:tcPr>
          <w:p>
            <w:pPr>
              <w:pStyle w:val="0"/>
              <w:jc w:val="center"/>
            </w:pPr>
            <w:r>
              <w:rPr>
                <w:sz w:val="20"/>
              </w:rPr>
              <w:t xml:space="preserve">07 2 04 М3970</w:t>
            </w:r>
          </w:p>
        </w:tc>
        <w:tc>
          <w:tcPr>
            <w:tcW w:w="2267" w:type="dxa"/>
            <w:tcBorders>
              <w:bottom w:val="nil"/>
            </w:tcBorders>
          </w:tcPr>
          <w:p>
            <w:pPr>
              <w:pStyle w:val="0"/>
              <w:jc w:val="both"/>
            </w:pPr>
            <w:r>
              <w:rPr>
                <w:sz w:val="20"/>
              </w:rPr>
              <w:t xml:space="preserve">Строительство и реконструкция объектов здравоохранения в рамках сотрудничества с Правительством Москвы</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Повышение качества и доступности медицинской помощи, снижение смертности населения,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доступности медицинской помощи, увеличение смертности населения,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(п. 2.19 введен </w:t>
            </w:r>
            <w:hyperlink w:history="0" r:id="rId353"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26.05.2022 N 224-ПП;</w:t>
            </w:r>
          </w:p>
          <w:p>
            <w:pPr>
              <w:pStyle w:val="0"/>
              <w:jc w:val="both"/>
            </w:pPr>
            <w:r>
              <w:rPr>
                <w:sz w:val="20"/>
              </w:rPr>
              <w:t xml:space="preserve">в ред. Постановлений Правительства Севастополя от 10.11.2022 </w:t>
            </w:r>
            <w:hyperlink w:history="0" r:id="rId354"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561-ПП</w:t>
              </w:r>
            </w:hyperlink>
            <w:r>
              <w:rPr>
                <w:sz w:val="20"/>
              </w:rPr>
              <w:t xml:space="preserve">,</w:t>
            </w:r>
          </w:p>
          <w:p>
            <w:pPr>
              <w:pStyle w:val="0"/>
              <w:jc w:val="both"/>
            </w:pPr>
            <w:r>
              <w:rPr>
                <w:sz w:val="20"/>
              </w:rPr>
              <w:t xml:space="preserve">от 27.04.2023 </w:t>
            </w:r>
            <w:hyperlink w:history="0" r:id="rId35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2.19.1</w:t>
            </w:r>
          </w:p>
        </w:tc>
        <w:tc>
          <w:tcPr>
            <w:tcW w:w="1644" w:type="dxa"/>
            <w:tcBorders>
              <w:bottom w:val="nil"/>
            </w:tcBorders>
          </w:tcPr>
          <w:p>
            <w:pPr>
              <w:pStyle w:val="0"/>
              <w:jc w:val="center"/>
            </w:pPr>
            <w:r>
              <w:rPr>
                <w:sz w:val="20"/>
              </w:rPr>
              <w:t xml:space="preserve">07 2 04 М3970</w:t>
            </w:r>
          </w:p>
        </w:tc>
        <w:tc>
          <w:tcPr>
            <w:tcW w:w="2267" w:type="dxa"/>
            <w:tcBorders>
              <w:bottom w:val="nil"/>
            </w:tcBorders>
          </w:tcPr>
          <w:p>
            <w:pPr>
              <w:pStyle w:val="0"/>
              <w:jc w:val="both"/>
            </w:pPr>
            <w:r>
              <w:rPr>
                <w:sz w:val="20"/>
              </w:rPr>
              <w:t xml:space="preserve">Строительство подстанции N 2 ГБУЗС "Севастопольский центр экстренной медицинской помощи и медицины катастроф", пр-т Генерала Острякова</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Повышение качества и доступности медицинской помощи, снижение смертности населения,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доступности медицинской помощи, увеличение смертности населения,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(п. 2.19.1 введен </w:t>
            </w:r>
            <w:hyperlink w:history="0" r:id="rId35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2.19.2</w:t>
            </w:r>
          </w:p>
        </w:tc>
        <w:tc>
          <w:tcPr>
            <w:tcW w:w="1644" w:type="dxa"/>
            <w:tcBorders>
              <w:bottom w:val="nil"/>
            </w:tcBorders>
          </w:tcPr>
          <w:p>
            <w:pPr>
              <w:pStyle w:val="0"/>
              <w:jc w:val="center"/>
            </w:pPr>
            <w:r>
              <w:rPr>
                <w:sz w:val="20"/>
              </w:rPr>
              <w:t xml:space="preserve">07 2 04 М3970</w:t>
            </w:r>
          </w:p>
        </w:tc>
        <w:tc>
          <w:tcPr>
            <w:tcW w:w="2267" w:type="dxa"/>
            <w:tcBorders>
              <w:bottom w:val="nil"/>
            </w:tcBorders>
          </w:tcPr>
          <w:p>
            <w:pPr>
              <w:pStyle w:val="0"/>
              <w:jc w:val="both"/>
            </w:pPr>
            <w:r>
              <w:rPr>
                <w:sz w:val="20"/>
              </w:rPr>
              <w:t xml:space="preserve">Строительство подстанции N 10 ГБУЗС "Севастопольский центр экстренной медицинской помощи и медицины катастроф", Фиолентовское шоссе</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Повышение качества и доступности медицинской помощи, снижение смертности населения,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доступности медицинской помощи, увеличение смертности населения,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(п. 2.19.2 введен </w:t>
            </w:r>
            <w:hyperlink w:history="0" r:id="rId35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2.19.3</w:t>
            </w:r>
          </w:p>
        </w:tc>
        <w:tc>
          <w:tcPr>
            <w:tcW w:w="1644" w:type="dxa"/>
            <w:tcBorders>
              <w:bottom w:val="nil"/>
            </w:tcBorders>
          </w:tcPr>
          <w:p>
            <w:pPr>
              <w:pStyle w:val="0"/>
              <w:jc w:val="center"/>
            </w:pPr>
            <w:r>
              <w:rPr>
                <w:sz w:val="20"/>
              </w:rPr>
              <w:t xml:space="preserve">07 2 04 М3970</w:t>
            </w:r>
          </w:p>
        </w:tc>
        <w:tc>
          <w:tcPr>
            <w:tcW w:w="2267" w:type="dxa"/>
            <w:tcBorders>
              <w:bottom w:val="nil"/>
            </w:tcBorders>
          </w:tcPr>
          <w:p>
            <w:pPr>
              <w:pStyle w:val="0"/>
              <w:jc w:val="both"/>
            </w:pPr>
            <w:r>
              <w:rPr>
                <w:sz w:val="20"/>
              </w:rPr>
              <w:t xml:space="preserve">ГБУЗС "Севастопольская городская психиатрическая больница", строительство 2-х палатных корпусов на 220 коек</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Повышение качества и доступности медицинской помощи, снижение смертности населения,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доступности медицинской помощи, увеличение смертности населения,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(п. 2.19.3 введен </w:t>
            </w:r>
            <w:hyperlink w:history="0" r:id="rId35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2.20</w:t>
            </w:r>
          </w:p>
        </w:tc>
        <w:tc>
          <w:tcPr>
            <w:tcW w:w="1644" w:type="dxa"/>
            <w:tcBorders>
              <w:bottom w:val="nil"/>
            </w:tcBorders>
          </w:tcPr>
          <w:p>
            <w:pPr>
              <w:pStyle w:val="0"/>
              <w:jc w:val="center"/>
            </w:pPr>
            <w:r>
              <w:rPr>
                <w:sz w:val="20"/>
              </w:rPr>
              <w:t xml:space="preserve">07 2 07 5422F</w:t>
            </w:r>
          </w:p>
        </w:tc>
        <w:tc>
          <w:tcPr>
            <w:tcW w:w="2267" w:type="dxa"/>
            <w:tcBorders>
              <w:bottom w:val="nil"/>
            </w:tcBorders>
          </w:tcPr>
          <w:p>
            <w:pPr>
              <w:pStyle w:val="0"/>
              <w:jc w:val="both"/>
            </w:pPr>
            <w:r>
              <w:rPr>
                <w:sz w:val="20"/>
              </w:rPr>
              <w:t xml:space="preserve">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по проведению указанным лицам профилактических прививок, включенных в календарь профилактических прививок по эпидемическим показаниям, за счет средств резервного фонда Правительства Российской Федерации</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Повышение качества и доступности специализированной медицинской помощи, снижение смертности населения,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доступности специализированной медицинской помощи, увеличение смертности населения,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(п. 2.20 введен </w:t>
            </w:r>
            <w:hyperlink w:history="0" r:id="rId359" w:tooltip="Постановление Правительства Севастополя от 15.09.2022 N 42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15.09.2022 N 422-ПП;</w:t>
            </w:r>
          </w:p>
          <w:p>
            <w:pPr>
              <w:pStyle w:val="0"/>
              <w:jc w:val="both"/>
            </w:pPr>
            <w:r>
              <w:rPr>
                <w:sz w:val="20"/>
              </w:rPr>
              <w:t xml:space="preserve">в ред. </w:t>
            </w:r>
            <w:hyperlink w:history="0" r:id="rId360"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10.11.2022 N 561-ПП)</w:t>
            </w:r>
          </w:p>
        </w:tc>
      </w:tr>
      <w:tr>
        <w:tblPrEx>
          <w:tblBorders>
            <w:insideH w:val="nil"/>
          </w:tblBorders>
        </w:tblPrEx>
        <w:tc>
          <w:tcPr>
            <w:tcW w:w="850" w:type="dxa"/>
            <w:tcBorders>
              <w:bottom w:val="nil"/>
            </w:tcBorders>
          </w:tcPr>
          <w:p>
            <w:pPr>
              <w:pStyle w:val="0"/>
              <w:jc w:val="both"/>
            </w:pPr>
            <w:r>
              <w:rPr>
                <w:sz w:val="20"/>
              </w:rPr>
              <w:t xml:space="preserve">2.21</w:t>
            </w:r>
          </w:p>
        </w:tc>
        <w:tc>
          <w:tcPr>
            <w:tcW w:w="1644" w:type="dxa"/>
            <w:tcBorders>
              <w:bottom w:val="nil"/>
            </w:tcBorders>
          </w:tcPr>
          <w:p>
            <w:pPr>
              <w:pStyle w:val="0"/>
              <w:jc w:val="center"/>
            </w:pPr>
            <w:r>
              <w:rPr>
                <w:sz w:val="20"/>
              </w:rPr>
              <w:t xml:space="preserve">07 2 01 00205</w:t>
            </w:r>
          </w:p>
        </w:tc>
        <w:tc>
          <w:tcPr>
            <w:tcW w:w="2267" w:type="dxa"/>
            <w:tcBorders>
              <w:bottom w:val="nil"/>
            </w:tcBorders>
          </w:tcPr>
          <w:p>
            <w:pPr>
              <w:pStyle w:val="0"/>
              <w:jc w:val="both"/>
            </w:pPr>
            <w:r>
              <w:rPr>
                <w:sz w:val="20"/>
              </w:rPr>
              <w:t xml:space="preserve">Расходы для оплаты налога на имущество государственных учреждений, подведомственных Департаменту здравоохранения города Севастополя</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Реализация налогового законодательства города Севастополя</w:t>
            </w:r>
          </w:p>
        </w:tc>
        <w:tc>
          <w:tcPr>
            <w:tcW w:w="2551" w:type="dxa"/>
            <w:tcBorders>
              <w:bottom w:val="nil"/>
            </w:tcBorders>
          </w:tcPr>
          <w:p>
            <w:pPr>
              <w:pStyle w:val="0"/>
              <w:jc w:val="both"/>
            </w:pPr>
            <w:r>
              <w:rPr>
                <w:sz w:val="20"/>
              </w:rPr>
              <w:t xml:space="preserve">Возникновение кредиторской задолженности по платежам в бюджетную систему Российской Федерации</w:t>
            </w:r>
          </w:p>
        </w:tc>
      </w:tr>
      <w:tr>
        <w:tblPrEx>
          <w:tblBorders>
            <w:insideH w:val="nil"/>
          </w:tblBorders>
        </w:tblPrEx>
        <w:tc>
          <w:tcPr>
            <w:gridSpan w:val="8"/>
            <w:tcW w:w="13602" w:type="dxa"/>
            <w:tcBorders>
              <w:top w:val="nil"/>
            </w:tcBorders>
          </w:tcPr>
          <w:p>
            <w:pPr>
              <w:pStyle w:val="0"/>
              <w:jc w:val="both"/>
            </w:pPr>
            <w:r>
              <w:rPr>
                <w:sz w:val="20"/>
              </w:rPr>
              <w:t xml:space="preserve">(п. 2.21 введен </w:t>
            </w:r>
            <w:hyperlink w:history="0" r:id="rId361"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10.11.2022 N 561-ПП)</w:t>
            </w:r>
          </w:p>
        </w:tc>
      </w:tr>
      <w:tr>
        <w:tblPrEx>
          <w:tblBorders>
            <w:insideH w:val="nil"/>
          </w:tblBorders>
        </w:tblPrEx>
        <w:tc>
          <w:tcPr>
            <w:tcW w:w="850" w:type="dxa"/>
            <w:tcBorders>
              <w:bottom w:val="nil"/>
            </w:tcBorders>
          </w:tcPr>
          <w:p>
            <w:pPr>
              <w:pStyle w:val="0"/>
              <w:jc w:val="both"/>
            </w:pPr>
            <w:r>
              <w:rPr>
                <w:sz w:val="20"/>
              </w:rPr>
              <w:t xml:space="preserve">2.22</w:t>
            </w:r>
          </w:p>
        </w:tc>
        <w:tc>
          <w:tcPr>
            <w:tcW w:w="1644" w:type="dxa"/>
            <w:tcBorders>
              <w:bottom w:val="nil"/>
            </w:tcBorders>
          </w:tcPr>
          <w:p>
            <w:pPr>
              <w:pStyle w:val="0"/>
              <w:jc w:val="center"/>
            </w:pPr>
            <w:r>
              <w:rPr>
                <w:sz w:val="20"/>
              </w:rPr>
              <w:t xml:space="preserve">07 2 07 5П08Ф</w:t>
            </w:r>
          </w:p>
        </w:tc>
        <w:tc>
          <w:tcPr>
            <w:tcW w:w="2267" w:type="dxa"/>
            <w:tcBorders>
              <w:bottom w:val="nil"/>
            </w:tcBorders>
          </w:tcPr>
          <w:p>
            <w:pPr>
              <w:pStyle w:val="0"/>
              <w:jc w:val="both"/>
            </w:pPr>
            <w:r>
              <w:rPr>
                <w:sz w:val="20"/>
              </w:rPr>
              <w:t xml:space="preserve">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362"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Реализация </w:t>
            </w:r>
            <w:hyperlink w:history="0" r:id="rId363"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Указа</w:t>
              </w:r>
            </w:hyperlink>
            <w:r>
              <w:rPr>
                <w:sz w:val="20"/>
              </w:rPr>
              <w:t xml:space="preserve"> Президента Российской Федерации от 07.05.2012 N 597 "О мероприятиях по реализации государственной социальной политики"</w:t>
            </w:r>
          </w:p>
        </w:tc>
        <w:tc>
          <w:tcPr>
            <w:tcW w:w="2551" w:type="dxa"/>
            <w:tcBorders>
              <w:bottom w:val="nil"/>
            </w:tcBorders>
          </w:tcPr>
          <w:p>
            <w:pPr>
              <w:pStyle w:val="0"/>
              <w:jc w:val="both"/>
            </w:pPr>
            <w:r>
              <w:rPr>
                <w:sz w:val="20"/>
              </w:rPr>
              <w:t xml:space="preserve">Недостижение показателей по оплате труда отдельных категорий медицинских работников, установленных </w:t>
            </w:r>
            <w:hyperlink w:history="0" r:id="rId364"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w:t>
            </w:r>
          </w:p>
        </w:tc>
      </w:tr>
      <w:tr>
        <w:tblPrEx>
          <w:tblBorders>
            <w:insideH w:val="nil"/>
          </w:tblBorders>
        </w:tblPrEx>
        <w:tc>
          <w:tcPr>
            <w:gridSpan w:val="8"/>
            <w:tcW w:w="13602" w:type="dxa"/>
            <w:tcBorders>
              <w:top w:val="nil"/>
            </w:tcBorders>
          </w:tcPr>
          <w:p>
            <w:pPr>
              <w:pStyle w:val="0"/>
              <w:jc w:val="both"/>
            </w:pPr>
            <w:r>
              <w:rPr>
                <w:sz w:val="20"/>
              </w:rPr>
              <w:t xml:space="preserve">(п. 2.22 введен </w:t>
            </w:r>
            <w:hyperlink w:history="0" r:id="rId365" w:tooltip="Постановление Правительства Севастополя от 26.12.2022 N 70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26.12.2022 N 702-ПП)</w:t>
            </w:r>
          </w:p>
        </w:tc>
      </w:tr>
      <w:tr>
        <w:tblPrEx>
          <w:tblBorders>
            <w:insideH w:val="nil"/>
          </w:tblBorders>
        </w:tblPrEx>
        <w:tc>
          <w:tcPr>
            <w:tcW w:w="850" w:type="dxa"/>
            <w:tcBorders>
              <w:bottom w:val="nil"/>
            </w:tcBorders>
          </w:tcPr>
          <w:p>
            <w:pPr>
              <w:pStyle w:val="0"/>
              <w:jc w:val="both"/>
            </w:pPr>
            <w:r>
              <w:rPr>
                <w:sz w:val="20"/>
              </w:rPr>
              <w:t xml:space="preserve">2.23</w:t>
            </w:r>
          </w:p>
        </w:tc>
        <w:tc>
          <w:tcPr>
            <w:tcW w:w="1644" w:type="dxa"/>
            <w:tcBorders>
              <w:bottom w:val="nil"/>
            </w:tcBorders>
          </w:tcPr>
          <w:p>
            <w:pPr>
              <w:pStyle w:val="0"/>
              <w:jc w:val="center"/>
            </w:pPr>
            <w:r>
              <w:rPr>
                <w:sz w:val="20"/>
              </w:rPr>
              <w:t xml:space="preserve">07 2 1Т 00130</w:t>
            </w:r>
          </w:p>
        </w:tc>
        <w:tc>
          <w:tcPr>
            <w:tcW w:w="2267" w:type="dxa"/>
            <w:tcBorders>
              <w:bottom w:val="nil"/>
            </w:tcBorders>
          </w:tcPr>
          <w:p>
            <w:pPr>
              <w:pStyle w:val="0"/>
              <w:jc w:val="both"/>
            </w:pPr>
            <w:r>
              <w:rPr>
                <w:sz w:val="20"/>
              </w:rPr>
              <w:t xml:space="preserve">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предоставляющих специализированную медицинскую помощь в условиях дневного стационара</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2.23 введен </w:t>
            </w:r>
            <w:hyperlink w:history="0" r:id="rId366"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blPrEx>
          <w:tblBorders>
            <w:insideH w:val="nil"/>
          </w:tblBorders>
        </w:tblPrEx>
        <w:tc>
          <w:tcPr>
            <w:tcW w:w="850" w:type="dxa"/>
            <w:tcBorders>
              <w:bottom w:val="nil"/>
            </w:tcBorders>
          </w:tcPr>
          <w:p>
            <w:pPr>
              <w:pStyle w:val="0"/>
              <w:jc w:val="both"/>
            </w:pPr>
            <w:r>
              <w:rPr>
                <w:sz w:val="20"/>
              </w:rPr>
              <w:t xml:space="preserve">2.24</w:t>
            </w:r>
          </w:p>
        </w:tc>
        <w:tc>
          <w:tcPr>
            <w:tcW w:w="1644" w:type="dxa"/>
            <w:tcBorders>
              <w:bottom w:val="nil"/>
            </w:tcBorders>
          </w:tcPr>
          <w:p>
            <w:pPr>
              <w:pStyle w:val="0"/>
              <w:jc w:val="center"/>
            </w:pPr>
            <w:r>
              <w:rPr>
                <w:sz w:val="20"/>
              </w:rPr>
              <w:t xml:space="preserve">07 2 1Т 00140</w:t>
            </w:r>
          </w:p>
        </w:tc>
        <w:tc>
          <w:tcPr>
            <w:tcW w:w="2267" w:type="dxa"/>
            <w:tcBorders>
              <w:bottom w:val="nil"/>
            </w:tcBorders>
          </w:tcPr>
          <w:p>
            <w:pPr>
              <w:pStyle w:val="0"/>
              <w:jc w:val="both"/>
            </w:pPr>
            <w:r>
              <w:rPr>
                <w:sz w:val="20"/>
              </w:rPr>
              <w:t xml:space="preserve">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предоставляющих скорую, в том числе скорую специализированную, медицинскую помощь, медицинскую эвакуацию</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2.24 введен </w:t>
            </w:r>
            <w:hyperlink w:history="0" r:id="rId367"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blPrEx>
          <w:tblBorders>
            <w:insideH w:val="nil"/>
          </w:tblBorders>
        </w:tblPrEx>
        <w:tc>
          <w:tcPr>
            <w:tcW w:w="850" w:type="dxa"/>
            <w:tcBorders>
              <w:bottom w:val="nil"/>
            </w:tcBorders>
          </w:tcPr>
          <w:p>
            <w:pPr>
              <w:pStyle w:val="0"/>
              <w:jc w:val="both"/>
            </w:pPr>
            <w:r>
              <w:rPr>
                <w:sz w:val="20"/>
              </w:rPr>
              <w:t xml:space="preserve">2.25</w:t>
            </w:r>
          </w:p>
        </w:tc>
        <w:tc>
          <w:tcPr>
            <w:tcW w:w="1644" w:type="dxa"/>
            <w:tcBorders>
              <w:bottom w:val="nil"/>
            </w:tcBorders>
          </w:tcPr>
          <w:p>
            <w:pPr>
              <w:pStyle w:val="0"/>
              <w:jc w:val="center"/>
            </w:pPr>
            <w:r>
              <w:rPr>
                <w:sz w:val="20"/>
              </w:rPr>
              <w:t xml:space="preserve">07 2 1Т 00150</w:t>
            </w:r>
          </w:p>
        </w:tc>
        <w:tc>
          <w:tcPr>
            <w:tcW w:w="2267" w:type="dxa"/>
            <w:tcBorders>
              <w:bottom w:val="nil"/>
            </w:tcBorders>
          </w:tcPr>
          <w:p>
            <w:pPr>
              <w:pStyle w:val="0"/>
              <w:jc w:val="both"/>
            </w:pPr>
            <w:r>
              <w:rPr>
                <w:sz w:val="20"/>
              </w:rPr>
              <w:t xml:space="preserve">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службы крови</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2.25 введен </w:t>
            </w:r>
            <w:hyperlink w:history="0" r:id="rId368"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blPrEx>
          <w:tblBorders>
            <w:insideH w:val="nil"/>
          </w:tblBorders>
        </w:tblPrEx>
        <w:tc>
          <w:tcPr>
            <w:tcW w:w="850" w:type="dxa"/>
            <w:tcBorders>
              <w:bottom w:val="nil"/>
            </w:tcBorders>
          </w:tcPr>
          <w:p>
            <w:pPr>
              <w:pStyle w:val="0"/>
              <w:jc w:val="both"/>
            </w:pPr>
            <w:r>
              <w:rPr>
                <w:sz w:val="20"/>
              </w:rPr>
              <w:t xml:space="preserve">2.26</w:t>
            </w:r>
          </w:p>
        </w:tc>
        <w:tc>
          <w:tcPr>
            <w:tcW w:w="1644" w:type="dxa"/>
            <w:tcBorders>
              <w:bottom w:val="nil"/>
            </w:tcBorders>
          </w:tcPr>
          <w:p>
            <w:pPr>
              <w:pStyle w:val="0"/>
              <w:jc w:val="center"/>
            </w:pPr>
            <w:r>
              <w:rPr>
                <w:sz w:val="20"/>
              </w:rPr>
              <w:t xml:space="preserve">07 2 1Т 00160</w:t>
            </w:r>
          </w:p>
        </w:tc>
        <w:tc>
          <w:tcPr>
            <w:tcW w:w="2267" w:type="dxa"/>
            <w:tcBorders>
              <w:bottom w:val="nil"/>
            </w:tcBorders>
          </w:tcPr>
          <w:p>
            <w:pPr>
              <w:pStyle w:val="0"/>
              <w:jc w:val="both"/>
            </w:pPr>
            <w:r>
              <w:rPr>
                <w:sz w:val="20"/>
              </w:rPr>
              <w:t xml:space="preserve">Оказание государственными учреждениями здравоохранения государственных услуг, выполнение работ, финансовое обеспечение деятельности прочих государственных учреждений, предоставляющих специализированную, в том числе высокотехнологичную, медицинскую помощь</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2.26 введен </w:t>
            </w:r>
            <w:hyperlink w:history="0" r:id="rId369"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blPrEx>
          <w:tblBorders>
            <w:insideH w:val="nil"/>
          </w:tblBorders>
        </w:tblPrEx>
        <w:tc>
          <w:tcPr>
            <w:tcW w:w="850" w:type="dxa"/>
            <w:tcBorders>
              <w:bottom w:val="nil"/>
            </w:tcBorders>
          </w:tcPr>
          <w:p>
            <w:pPr>
              <w:pStyle w:val="0"/>
              <w:jc w:val="both"/>
            </w:pPr>
            <w:r>
              <w:rPr>
                <w:sz w:val="20"/>
              </w:rPr>
              <w:t xml:space="preserve">2.27</w:t>
            </w:r>
          </w:p>
        </w:tc>
        <w:tc>
          <w:tcPr>
            <w:tcW w:w="1644" w:type="dxa"/>
            <w:tcBorders>
              <w:bottom w:val="nil"/>
            </w:tcBorders>
          </w:tcPr>
          <w:p>
            <w:pPr>
              <w:pStyle w:val="0"/>
              <w:jc w:val="center"/>
            </w:pPr>
            <w:r>
              <w:rPr>
                <w:sz w:val="20"/>
              </w:rPr>
              <w:t xml:space="preserve">07 2 01 00206</w:t>
            </w:r>
          </w:p>
        </w:tc>
        <w:tc>
          <w:tcPr>
            <w:tcW w:w="2267" w:type="dxa"/>
            <w:tcBorders>
              <w:bottom w:val="nil"/>
            </w:tcBorders>
          </w:tcPr>
          <w:p>
            <w:pPr>
              <w:pStyle w:val="0"/>
              <w:jc w:val="both"/>
            </w:pPr>
            <w:r>
              <w:rPr>
                <w:sz w:val="20"/>
              </w:rPr>
              <w:t xml:space="preserve">Компенсация расходов на оплату стоимости проезда гражданам, проживающим на территории города Севастополя, направляемым для медицинской консультации, обследования, лечения в другие регионы Российской Федерации, а также стоимости проезда сопровождающих их лиц</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Увеличение доступности медицинской помощи при направлении пациентов для медицинской консультации, обследования, лечения в другие регионы Российской Федерации. 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2.27 введен </w:t>
            </w:r>
            <w:hyperlink w:history="0" r:id="rId370"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blPrEx>
          <w:tblBorders>
            <w:insideH w:val="nil"/>
          </w:tblBorders>
        </w:tblPrEx>
        <w:tc>
          <w:tcPr>
            <w:tcW w:w="850" w:type="dxa"/>
            <w:tcBorders>
              <w:bottom w:val="nil"/>
            </w:tcBorders>
          </w:tcPr>
          <w:p>
            <w:pPr>
              <w:pStyle w:val="0"/>
              <w:jc w:val="both"/>
            </w:pPr>
            <w:r>
              <w:rPr>
                <w:sz w:val="20"/>
              </w:rPr>
              <w:t xml:space="preserve">2.28</w:t>
            </w:r>
          </w:p>
        </w:tc>
        <w:tc>
          <w:tcPr>
            <w:tcW w:w="1644" w:type="dxa"/>
            <w:tcBorders>
              <w:bottom w:val="nil"/>
            </w:tcBorders>
          </w:tcPr>
          <w:p>
            <w:pPr>
              <w:pStyle w:val="0"/>
              <w:jc w:val="center"/>
            </w:pPr>
            <w:r>
              <w:rPr>
                <w:sz w:val="20"/>
              </w:rPr>
              <w:t xml:space="preserve">07 2 04 00400</w:t>
            </w:r>
          </w:p>
        </w:tc>
        <w:tc>
          <w:tcPr>
            <w:tcW w:w="2267" w:type="dxa"/>
            <w:tcBorders>
              <w:bottom w:val="nil"/>
            </w:tcBorders>
          </w:tcPr>
          <w:p>
            <w:pPr>
              <w:pStyle w:val="0"/>
              <w:jc w:val="both"/>
            </w:pPr>
            <w:r>
              <w:rPr>
                <w:sz w:val="20"/>
              </w:rPr>
              <w:t xml:space="preserve">Инженерно-техническое обеспечение медицинского кластера в г. Севастополе</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Рост удовлетворенности населения медицинской помощью. Рост доли отделений медицинских организаций, соответствующих порядкам оказания медицинской помощи, прошедших лицензирование</w:t>
            </w:r>
          </w:p>
        </w:tc>
        <w:tc>
          <w:tcPr>
            <w:tcW w:w="2551" w:type="dxa"/>
            <w:tcBorders>
              <w:bottom w:val="nil"/>
            </w:tcBorders>
          </w:tcPr>
          <w:p>
            <w:pPr>
              <w:pStyle w:val="0"/>
              <w:jc w:val="both"/>
            </w:pPr>
            <w:r>
              <w:rPr>
                <w:sz w:val="20"/>
              </w:rPr>
              <w:t xml:space="preserve">Снижение удовлетворенности населения медицинской помощью. Снижение доли отделений медицинских организаций, соответствующих порядкам оказания медицинской помощи, прошедших лицензирование</w:t>
            </w:r>
          </w:p>
        </w:tc>
      </w:tr>
      <w:tr>
        <w:tblPrEx>
          <w:tblBorders>
            <w:insideH w:val="nil"/>
          </w:tblBorders>
        </w:tblPrEx>
        <w:tc>
          <w:tcPr>
            <w:gridSpan w:val="8"/>
            <w:tcW w:w="13602" w:type="dxa"/>
            <w:tcBorders>
              <w:top w:val="nil"/>
            </w:tcBorders>
          </w:tcPr>
          <w:p>
            <w:pPr>
              <w:pStyle w:val="0"/>
              <w:jc w:val="both"/>
            </w:pPr>
            <w:r>
              <w:rPr>
                <w:sz w:val="20"/>
              </w:rPr>
              <w:t xml:space="preserve">(п. 2.28 введен </w:t>
            </w:r>
            <w:hyperlink w:history="0" r:id="rId371"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blPrEx>
          <w:tblBorders>
            <w:insideH w:val="nil"/>
          </w:tblBorders>
        </w:tblPrEx>
        <w:tc>
          <w:tcPr>
            <w:tcW w:w="850" w:type="dxa"/>
            <w:tcBorders>
              <w:bottom w:val="nil"/>
            </w:tcBorders>
          </w:tcPr>
          <w:p>
            <w:pPr>
              <w:pStyle w:val="0"/>
              <w:jc w:val="both"/>
            </w:pPr>
            <w:r>
              <w:rPr>
                <w:sz w:val="20"/>
              </w:rPr>
              <w:t xml:space="preserve">2.29</w:t>
            </w:r>
          </w:p>
        </w:tc>
        <w:tc>
          <w:tcPr>
            <w:tcW w:w="1644" w:type="dxa"/>
            <w:tcBorders>
              <w:bottom w:val="nil"/>
            </w:tcBorders>
          </w:tcPr>
          <w:p>
            <w:pPr>
              <w:pStyle w:val="0"/>
              <w:jc w:val="center"/>
            </w:pPr>
            <w:r>
              <w:rPr>
                <w:sz w:val="20"/>
              </w:rPr>
              <w:t xml:space="preserve">07 2 08 79200</w:t>
            </w:r>
          </w:p>
        </w:tc>
        <w:tc>
          <w:tcPr>
            <w:tcW w:w="2267" w:type="dxa"/>
            <w:tcBorders>
              <w:bottom w:val="nil"/>
            </w:tcBorders>
          </w:tcPr>
          <w:p>
            <w:pPr>
              <w:pStyle w:val="0"/>
              <w:jc w:val="both"/>
            </w:pPr>
            <w:r>
              <w:rPr>
                <w:sz w:val="20"/>
              </w:rPr>
              <w:t xml:space="preserve">Дополнительное финансовое обеспечение реализации территориальной программы государственных гарантий в части базовой программы обязательного медицинского страхования</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2.29 в ред. </w:t>
            </w:r>
            <w:hyperlink w:history="0" r:id="rId37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2.30</w:t>
            </w:r>
          </w:p>
        </w:tc>
        <w:tc>
          <w:tcPr>
            <w:tcW w:w="1644" w:type="dxa"/>
            <w:tcBorders>
              <w:bottom w:val="nil"/>
            </w:tcBorders>
          </w:tcPr>
          <w:p>
            <w:pPr>
              <w:pStyle w:val="0"/>
              <w:jc w:val="center"/>
            </w:pPr>
            <w:r>
              <w:rPr>
                <w:sz w:val="20"/>
              </w:rPr>
              <w:t xml:space="preserve">07 2 07 54060</w:t>
            </w:r>
          </w:p>
        </w:tc>
        <w:tc>
          <w:tcPr>
            <w:tcW w:w="2267" w:type="dxa"/>
            <w:tcBorders>
              <w:bottom w:val="nil"/>
            </w:tcBorders>
          </w:tcPr>
          <w:p>
            <w:pPr>
              <w:pStyle w:val="0"/>
              <w:jc w:val="both"/>
            </w:pPr>
            <w:r>
              <w:rPr>
                <w:sz w:val="20"/>
              </w:rPr>
              <w:t xml:space="preserve">Оказание специализированной медицинской помощи в стационарных условиях подведомственными Департаменту здравоохранения города Севастополя учреждениями здравоохранения</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2.30 введен </w:t>
            </w:r>
            <w:hyperlink w:history="0" r:id="rId373"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28.07.2023 N 358-ПП)</w:t>
            </w:r>
          </w:p>
        </w:tc>
      </w:tr>
      <w:tr>
        <w:tblPrEx>
          <w:tblBorders>
            <w:insideH w:val="nil"/>
          </w:tblBorders>
        </w:tblPrEx>
        <w:tc>
          <w:tcPr>
            <w:tcW w:w="850" w:type="dxa"/>
            <w:tcBorders>
              <w:bottom w:val="nil"/>
            </w:tcBorders>
          </w:tcPr>
          <w:p>
            <w:pPr>
              <w:pStyle w:val="0"/>
              <w:jc w:val="both"/>
            </w:pPr>
            <w:r>
              <w:rPr>
                <w:sz w:val="20"/>
              </w:rPr>
              <w:t xml:space="preserve">2.31</w:t>
            </w:r>
          </w:p>
        </w:tc>
        <w:tc>
          <w:tcPr>
            <w:tcW w:w="1644" w:type="dxa"/>
            <w:tcBorders>
              <w:bottom w:val="nil"/>
            </w:tcBorders>
          </w:tcPr>
          <w:p>
            <w:pPr>
              <w:pStyle w:val="0"/>
              <w:jc w:val="center"/>
            </w:pPr>
            <w:r>
              <w:rPr>
                <w:sz w:val="20"/>
              </w:rPr>
              <w:t xml:space="preserve">07 2</w:t>
            </w:r>
          </w:p>
        </w:tc>
        <w:tc>
          <w:tcPr>
            <w:tcW w:w="2267" w:type="dxa"/>
            <w:tcBorders>
              <w:bottom w:val="nil"/>
            </w:tcBorders>
          </w:tcPr>
          <w:p>
            <w:pPr>
              <w:pStyle w:val="0"/>
              <w:jc w:val="both"/>
            </w:pPr>
            <w:r>
              <w:rPr>
                <w:sz w:val="20"/>
              </w:rPr>
              <w:t xml:space="preserve">Реализация регионального проекта "Борьба с сахарным диабетом"</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2024</w:t>
            </w:r>
          </w:p>
        </w:tc>
        <w:tc>
          <w:tcPr>
            <w:tcW w:w="2721" w:type="dxa"/>
            <w:tcBorders>
              <w:bottom w:val="nil"/>
            </w:tcBorders>
          </w:tcPr>
          <w:p>
            <w:pPr>
              <w:pStyle w:val="0"/>
              <w:jc w:val="both"/>
            </w:pPr>
            <w:r>
              <w:rPr>
                <w:sz w:val="20"/>
              </w:rPr>
              <w:t xml:space="preserve">Снижение смертности от сахарного диабета.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сахарного диабета.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2.31 введен </w:t>
            </w:r>
            <w:hyperlink w:history="0" r:id="rId374"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03.11.2023 N 506-ПП)</w:t>
            </w:r>
          </w:p>
        </w:tc>
      </w:tr>
      <w:tr>
        <w:tc>
          <w:tcPr>
            <w:tcW w:w="850" w:type="dxa"/>
          </w:tcPr>
          <w:p>
            <w:pPr>
              <w:pStyle w:val="0"/>
              <w:outlineLvl w:val="3"/>
              <w:jc w:val="both"/>
            </w:pPr>
            <w:r>
              <w:rPr>
                <w:sz w:val="20"/>
              </w:rPr>
              <w:t xml:space="preserve">3</w:t>
            </w:r>
          </w:p>
        </w:tc>
        <w:tc>
          <w:tcPr>
            <w:tcW w:w="1644" w:type="dxa"/>
          </w:tcPr>
          <w:p>
            <w:pPr>
              <w:pStyle w:val="0"/>
              <w:jc w:val="center"/>
            </w:pPr>
            <w:r>
              <w:rPr>
                <w:sz w:val="20"/>
              </w:rPr>
              <w:t xml:space="preserve">07.3.00.00000</w:t>
            </w:r>
          </w:p>
        </w:tc>
        <w:tc>
          <w:tcPr>
            <w:gridSpan w:val="6"/>
            <w:tcW w:w="11108" w:type="dxa"/>
          </w:tcPr>
          <w:p>
            <w:pPr>
              <w:pStyle w:val="0"/>
              <w:jc w:val="center"/>
            </w:pPr>
            <w:r>
              <w:rPr>
                <w:sz w:val="20"/>
              </w:rPr>
              <w:t xml:space="preserve">Подпрограмма 3 "Охрана здоровья матери и ребенка"</w:t>
            </w:r>
          </w:p>
        </w:tc>
      </w:tr>
      <w:tr>
        <w:tblPrEx>
          <w:tblBorders>
            <w:insideH w:val="nil"/>
          </w:tblBorders>
        </w:tblPrEx>
        <w:tc>
          <w:tcPr>
            <w:tcW w:w="850" w:type="dxa"/>
            <w:tcBorders>
              <w:bottom w:val="nil"/>
            </w:tcBorders>
          </w:tcPr>
          <w:p>
            <w:pPr>
              <w:pStyle w:val="0"/>
              <w:jc w:val="both"/>
            </w:pPr>
            <w:r>
              <w:rPr>
                <w:sz w:val="20"/>
              </w:rPr>
              <w:t xml:space="preserve">3.1</w:t>
            </w:r>
          </w:p>
        </w:tc>
        <w:tc>
          <w:tcPr>
            <w:tcW w:w="1644" w:type="dxa"/>
            <w:tcBorders>
              <w:bottom w:val="nil"/>
            </w:tcBorders>
          </w:tcPr>
          <w:p>
            <w:pPr>
              <w:pStyle w:val="0"/>
              <w:jc w:val="center"/>
            </w:pPr>
            <w:r>
              <w:rPr>
                <w:sz w:val="20"/>
              </w:rPr>
              <w:t xml:space="preserve">07 3 1Т 00100, 07 3 1Т 00110</w:t>
            </w:r>
          </w:p>
        </w:tc>
        <w:tc>
          <w:tcPr>
            <w:tcW w:w="2267" w:type="dxa"/>
            <w:tcBorders>
              <w:bottom w:val="nil"/>
            </w:tcBorders>
          </w:tcPr>
          <w:p>
            <w:pPr>
              <w:pStyle w:val="0"/>
              <w:jc w:val="both"/>
            </w:pPr>
            <w:r>
              <w:rPr>
                <w:sz w:val="20"/>
              </w:rPr>
              <w:t xml:space="preserve">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казенных учреждений в области охраны здоровья матери и ребенка</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Снижение смертности детей от 0 до 17 лет. Увеличение доли отделений медицинских организаций, соответствующих порядкам оказания медицинской помощи, прошедших лицензирование. Снижение степени износа основных фондов. Снижение материнской смертности. Снижение ранней неонатальной смертности. Рост выживаемости детей, имевших при рождении очень низкую и экстремально низкую массу тела, в акушерском стационаре</w:t>
            </w:r>
          </w:p>
        </w:tc>
        <w:tc>
          <w:tcPr>
            <w:tcW w:w="2551" w:type="dxa"/>
            <w:tcBorders>
              <w:bottom w:val="nil"/>
            </w:tcBorders>
          </w:tcPr>
          <w:p>
            <w:pPr>
              <w:pStyle w:val="0"/>
              <w:jc w:val="both"/>
            </w:pPr>
            <w:r>
              <w:rPr>
                <w:sz w:val="20"/>
              </w:rPr>
              <w:t xml:space="preserve">Рост смертности детей от 0 до 17 лет. Уменьшение доли отделений медицинских организаций, соответствующих порядкам оказания медицинской помощи, прошедших лицензирование. Увеличение степени износа основных фондов. Рост материнской смертности. Рост ранней неонатальной смертности. Уменьшение выживаемости детей, имевших при рождении очень низкую и экстремально низкую массу тела, в акушерском стационаре</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7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850" w:type="dxa"/>
          </w:tcPr>
          <w:p>
            <w:pPr>
              <w:pStyle w:val="0"/>
              <w:jc w:val="both"/>
            </w:pPr>
            <w:r>
              <w:rPr>
                <w:sz w:val="20"/>
              </w:rPr>
              <w:t xml:space="preserve">3.2</w:t>
            </w:r>
          </w:p>
        </w:tc>
        <w:tc>
          <w:tcPr>
            <w:tcW w:w="1644" w:type="dxa"/>
          </w:tcPr>
          <w:p>
            <w:pPr>
              <w:pStyle w:val="0"/>
              <w:jc w:val="center"/>
            </w:pPr>
            <w:r>
              <w:rPr>
                <w:sz w:val="20"/>
              </w:rPr>
              <w:t xml:space="preserve">07 3 01 00201</w:t>
            </w:r>
          </w:p>
        </w:tc>
        <w:tc>
          <w:tcPr>
            <w:tcW w:w="2267" w:type="dxa"/>
          </w:tcPr>
          <w:p>
            <w:pPr>
              <w:pStyle w:val="0"/>
              <w:jc w:val="both"/>
            </w:pPr>
            <w:r>
              <w:rPr>
                <w:sz w:val="20"/>
              </w:rPr>
              <w:t xml:space="preserve">Мероприятие по обеспечению детей, находящихся на диспансерном учете в ГБУЗС "Севастопольский противотуберкулезный диспансер", путевками для санаторно-курортного лечения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Снижение смертности от туберкулеза. Снижение смертности детей в возрасте от 0 до 17 лет</w:t>
            </w:r>
          </w:p>
        </w:tc>
        <w:tc>
          <w:tcPr>
            <w:tcW w:w="2551" w:type="dxa"/>
          </w:tcPr>
          <w:p>
            <w:pPr>
              <w:pStyle w:val="0"/>
              <w:jc w:val="both"/>
            </w:pPr>
            <w:r>
              <w:rPr>
                <w:sz w:val="20"/>
              </w:rPr>
              <w:t xml:space="preserve">Увеличение смертности детей в возрасте 0 до 17 лет. Рост смертности от туберкулеза</w:t>
            </w:r>
          </w:p>
        </w:tc>
      </w:tr>
      <w:tr>
        <w:tblPrEx>
          <w:tblBorders>
            <w:insideH w:val="nil"/>
          </w:tblBorders>
        </w:tblPrEx>
        <w:tc>
          <w:tcPr>
            <w:tcW w:w="850" w:type="dxa"/>
            <w:tcBorders>
              <w:bottom w:val="nil"/>
            </w:tcBorders>
          </w:tcPr>
          <w:p>
            <w:pPr>
              <w:pStyle w:val="0"/>
              <w:jc w:val="both"/>
            </w:pPr>
            <w:r>
              <w:rPr>
                <w:sz w:val="20"/>
              </w:rPr>
              <w:t xml:space="preserve">3.3</w:t>
            </w:r>
          </w:p>
        </w:tc>
        <w:tc>
          <w:tcPr>
            <w:tcW w:w="1644" w:type="dxa"/>
            <w:tcBorders>
              <w:bottom w:val="nil"/>
            </w:tcBorders>
          </w:tcPr>
          <w:p>
            <w:pPr>
              <w:pStyle w:val="0"/>
              <w:jc w:val="center"/>
            </w:pPr>
            <w:r>
              <w:rPr>
                <w:sz w:val="20"/>
              </w:rPr>
              <w:t xml:space="preserve">07 3 01 00202,</w:t>
            </w:r>
          </w:p>
          <w:p>
            <w:pPr>
              <w:pStyle w:val="0"/>
              <w:jc w:val="center"/>
            </w:pPr>
            <w:r>
              <w:rPr>
                <w:sz w:val="20"/>
              </w:rPr>
              <w:t xml:space="preserve">92 0 00 00870</w:t>
            </w:r>
          </w:p>
        </w:tc>
        <w:tc>
          <w:tcPr>
            <w:tcW w:w="2267" w:type="dxa"/>
            <w:tcBorders>
              <w:bottom w:val="nil"/>
            </w:tcBorders>
          </w:tcPr>
          <w:p>
            <w:pPr>
              <w:pStyle w:val="0"/>
              <w:jc w:val="both"/>
            </w:pPr>
            <w:r>
              <w:rPr>
                <w:sz w:val="20"/>
              </w:rPr>
              <w:t xml:space="preserve">Обеспечение полноценным питанием беременных женщин, кормящих матерей, а также детей в возрасте до трех лет</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Снижение риска невынашивания детей, снижение младенческой смертности в регионе, снижение заболеваемости среди беременных женщин и детей в возрасте до трех лет, улучшение демографической ситуации в Севастополе, повышение удовлетворенности населения качеством медицинской помощи</w:t>
            </w:r>
          </w:p>
        </w:tc>
        <w:tc>
          <w:tcPr>
            <w:tcW w:w="2551" w:type="dxa"/>
            <w:tcBorders>
              <w:bottom w:val="nil"/>
            </w:tcBorders>
          </w:tcPr>
          <w:p>
            <w:pPr>
              <w:pStyle w:val="0"/>
              <w:jc w:val="both"/>
            </w:pPr>
            <w:r>
              <w:rPr>
                <w:sz w:val="20"/>
              </w:rPr>
              <w:t xml:space="preserve">Повышение риска невынашивания детей, рост младенческой смертности в регионе, увеличение заболеваемости среди беременных женщин и детей в возрасте до трех лет, ухудшение демографической ситуации в Севастополе, падение удовлетворенности населения качеством медицинской помощи</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376"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08.12.2022 </w:t>
            </w:r>
            <w:hyperlink w:history="0" r:id="rId377"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638-ПП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3.4</w:t>
            </w:r>
          </w:p>
        </w:tc>
        <w:tc>
          <w:tcPr>
            <w:tcW w:w="1644" w:type="dxa"/>
            <w:tcBorders>
              <w:bottom w:val="nil"/>
            </w:tcBorders>
          </w:tcPr>
          <w:p>
            <w:pPr>
              <w:pStyle w:val="0"/>
              <w:jc w:val="center"/>
            </w:pPr>
            <w:r>
              <w:rPr>
                <w:sz w:val="20"/>
              </w:rPr>
              <w:t xml:space="preserve">07 3 01 00203</w:t>
            </w:r>
          </w:p>
        </w:tc>
        <w:tc>
          <w:tcPr>
            <w:tcW w:w="2267" w:type="dxa"/>
            <w:tcBorders>
              <w:bottom w:val="nil"/>
            </w:tcBorders>
          </w:tcPr>
          <w:p>
            <w:pPr>
              <w:pStyle w:val="0"/>
              <w:jc w:val="both"/>
            </w:pPr>
            <w:r>
              <w:rPr>
                <w:sz w:val="20"/>
              </w:rPr>
              <w:t xml:space="preserve">Предоставление подарочного комплекта "Подарок новорожденному" в городе Севастополе</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Рост удовлетворенности населения при предоставлении мер социальной поддержки</w:t>
            </w:r>
          </w:p>
        </w:tc>
        <w:tc>
          <w:tcPr>
            <w:tcW w:w="2551" w:type="dxa"/>
            <w:tcBorders>
              <w:bottom w:val="nil"/>
            </w:tcBorders>
          </w:tcPr>
          <w:p>
            <w:pPr>
              <w:pStyle w:val="0"/>
              <w:jc w:val="both"/>
            </w:pPr>
            <w:r>
              <w:rPr>
                <w:sz w:val="20"/>
              </w:rPr>
              <w:t xml:space="preserve">Снижение удовлетворенности населения</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7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3.5</w:t>
            </w:r>
          </w:p>
        </w:tc>
        <w:tc>
          <w:tcPr>
            <w:tcW w:w="1644" w:type="dxa"/>
            <w:tcBorders>
              <w:bottom w:val="nil"/>
            </w:tcBorders>
          </w:tcPr>
          <w:p>
            <w:pPr>
              <w:pStyle w:val="0"/>
              <w:jc w:val="center"/>
            </w:pPr>
            <w:r>
              <w:rPr>
                <w:sz w:val="20"/>
              </w:rPr>
              <w:t xml:space="preserve">07 3 01 М7100,</w:t>
            </w:r>
          </w:p>
          <w:p>
            <w:pPr>
              <w:pStyle w:val="0"/>
              <w:jc w:val="center"/>
            </w:pPr>
            <w:r>
              <w:rPr>
                <w:sz w:val="20"/>
              </w:rPr>
              <w:t xml:space="preserve">07 3 01 М8100</w:t>
            </w:r>
          </w:p>
        </w:tc>
        <w:tc>
          <w:tcPr>
            <w:tcW w:w="2267" w:type="dxa"/>
            <w:tcBorders>
              <w:bottom w:val="nil"/>
            </w:tcBorders>
          </w:tcPr>
          <w:p>
            <w:pPr>
              <w:pStyle w:val="0"/>
              <w:jc w:val="both"/>
            </w:pPr>
            <w:r>
              <w:rPr>
                <w:sz w:val="20"/>
              </w:rPr>
              <w:t xml:space="preserve">Мероприятия в рамках сотрудничества с Правительством Москвы в целях охраны здоровья матери и ребенка</w:t>
            </w:r>
          </w:p>
        </w:tc>
        <w:tc>
          <w:tcPr>
            <w:tcW w:w="1927" w:type="dxa"/>
            <w:tcBorders>
              <w:bottom w:val="nil"/>
            </w:tcBorders>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Рост удовлетворенности населения медицинской помощью. Снижение степени износа основных фондов</w:t>
            </w:r>
          </w:p>
        </w:tc>
        <w:tc>
          <w:tcPr>
            <w:tcW w:w="2551" w:type="dxa"/>
            <w:tcBorders>
              <w:bottom w:val="nil"/>
            </w:tcBorders>
          </w:tcPr>
          <w:p>
            <w:pPr>
              <w:pStyle w:val="0"/>
              <w:jc w:val="both"/>
            </w:pPr>
            <w:r>
              <w:rPr>
                <w:sz w:val="20"/>
              </w:rPr>
              <w:t xml:space="preserve">Снижение удовлетворенности населения медицинской помощью. Увеличение степени износа основных фондов</w:t>
            </w:r>
          </w:p>
        </w:tc>
      </w:tr>
      <w:tr>
        <w:tblPrEx>
          <w:tblBorders>
            <w:insideH w:val="nil"/>
          </w:tblBorders>
        </w:tblPrEx>
        <w:tc>
          <w:tcPr>
            <w:gridSpan w:val="8"/>
            <w:tcW w:w="13602" w:type="dxa"/>
            <w:tcBorders>
              <w:top w:val="nil"/>
            </w:tcBorders>
          </w:tcPr>
          <w:p>
            <w:pPr>
              <w:pStyle w:val="0"/>
              <w:jc w:val="both"/>
            </w:pPr>
            <w:r>
              <w:rPr>
                <w:sz w:val="20"/>
              </w:rPr>
              <w:t xml:space="preserve">(п. 3.5 введен </w:t>
            </w:r>
            <w:hyperlink w:history="0" r:id="rId379"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26.05.2022 N 224-ПП)</w:t>
            </w:r>
          </w:p>
        </w:tc>
      </w:tr>
      <w:tr>
        <w:tblPrEx>
          <w:tblBorders>
            <w:insideH w:val="nil"/>
          </w:tblBorders>
        </w:tblPrEx>
        <w:tc>
          <w:tcPr>
            <w:tcW w:w="850" w:type="dxa"/>
            <w:tcBorders>
              <w:bottom w:val="nil"/>
            </w:tcBorders>
          </w:tcPr>
          <w:p>
            <w:pPr>
              <w:pStyle w:val="0"/>
              <w:jc w:val="both"/>
            </w:pPr>
            <w:r>
              <w:rPr>
                <w:sz w:val="20"/>
              </w:rPr>
              <w:t xml:space="preserve">3.6</w:t>
            </w:r>
          </w:p>
        </w:tc>
        <w:tc>
          <w:tcPr>
            <w:tcW w:w="1644" w:type="dxa"/>
            <w:tcBorders>
              <w:bottom w:val="nil"/>
            </w:tcBorders>
          </w:tcPr>
          <w:p>
            <w:pPr>
              <w:pStyle w:val="0"/>
              <w:jc w:val="center"/>
            </w:pPr>
            <w:r>
              <w:rPr>
                <w:sz w:val="20"/>
              </w:rPr>
              <w:t xml:space="preserve">07 3 02 5422F</w:t>
            </w:r>
          </w:p>
        </w:tc>
        <w:tc>
          <w:tcPr>
            <w:tcW w:w="2267" w:type="dxa"/>
            <w:tcBorders>
              <w:bottom w:val="nil"/>
            </w:tcBorders>
          </w:tcPr>
          <w:p>
            <w:pPr>
              <w:pStyle w:val="0"/>
              <w:jc w:val="both"/>
            </w:pPr>
            <w:r>
              <w:rPr>
                <w:sz w:val="20"/>
              </w:rPr>
              <w:t xml:space="preserve">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по проведению указанным лицам профилактических прививок, включенных в календарь профилактических прививок по эпидемическим показаниям, за счет средств резервного фонда Правительства Российской Федерации</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Рост удовлетворенности населения медицинской помощью. Снижение степени износа основных фондов</w:t>
            </w:r>
          </w:p>
        </w:tc>
        <w:tc>
          <w:tcPr>
            <w:tcW w:w="2551" w:type="dxa"/>
            <w:tcBorders>
              <w:bottom w:val="nil"/>
            </w:tcBorders>
          </w:tcPr>
          <w:p>
            <w:pPr>
              <w:pStyle w:val="0"/>
              <w:jc w:val="both"/>
            </w:pPr>
            <w:r>
              <w:rPr>
                <w:sz w:val="20"/>
              </w:rPr>
              <w:t xml:space="preserve">Снижение удовлетворенности населения медицинской помощью. Увеличение степени износа основных фондов</w:t>
            </w:r>
          </w:p>
        </w:tc>
      </w:tr>
      <w:tr>
        <w:tblPrEx>
          <w:tblBorders>
            <w:insideH w:val="nil"/>
          </w:tblBorders>
        </w:tblPrEx>
        <w:tc>
          <w:tcPr>
            <w:gridSpan w:val="8"/>
            <w:tcW w:w="13602" w:type="dxa"/>
            <w:tcBorders>
              <w:top w:val="nil"/>
            </w:tcBorders>
          </w:tcPr>
          <w:p>
            <w:pPr>
              <w:pStyle w:val="0"/>
              <w:jc w:val="both"/>
            </w:pPr>
            <w:r>
              <w:rPr>
                <w:sz w:val="20"/>
              </w:rPr>
              <w:t xml:space="preserve">(п. 3.6 введен </w:t>
            </w:r>
            <w:hyperlink w:history="0" r:id="rId380" w:tooltip="Постановление Правительства Севастополя от 15.09.2022 N 42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15.09.2022 N 422-ПП)</w:t>
            </w:r>
          </w:p>
        </w:tc>
      </w:tr>
      <w:tr>
        <w:tblPrEx>
          <w:tblBorders>
            <w:insideH w:val="nil"/>
          </w:tblBorders>
        </w:tblPrEx>
        <w:tc>
          <w:tcPr>
            <w:tcW w:w="850" w:type="dxa"/>
            <w:tcBorders>
              <w:bottom w:val="nil"/>
            </w:tcBorders>
          </w:tcPr>
          <w:p>
            <w:pPr>
              <w:pStyle w:val="0"/>
              <w:jc w:val="both"/>
            </w:pPr>
            <w:r>
              <w:rPr>
                <w:sz w:val="20"/>
              </w:rPr>
              <w:t xml:space="preserve">3.7</w:t>
            </w:r>
          </w:p>
        </w:tc>
        <w:tc>
          <w:tcPr>
            <w:tcW w:w="1644" w:type="dxa"/>
            <w:tcBorders>
              <w:bottom w:val="nil"/>
            </w:tcBorders>
          </w:tcPr>
          <w:p>
            <w:pPr>
              <w:pStyle w:val="0"/>
              <w:jc w:val="center"/>
            </w:pPr>
            <w:r>
              <w:rPr>
                <w:sz w:val="20"/>
              </w:rPr>
              <w:t xml:space="preserve">07 3 01 00204</w:t>
            </w:r>
          </w:p>
        </w:tc>
        <w:tc>
          <w:tcPr>
            <w:tcW w:w="2267" w:type="dxa"/>
            <w:tcBorders>
              <w:bottom w:val="nil"/>
            </w:tcBorders>
          </w:tcPr>
          <w:p>
            <w:pPr>
              <w:pStyle w:val="0"/>
              <w:jc w:val="both"/>
            </w:pPr>
            <w:r>
              <w:rPr>
                <w:sz w:val="20"/>
              </w:rPr>
              <w:t xml:space="preserve">Расходы для оплаты налога на имущество государственных учреждений, подведомственных Департаменту здравоохранения города Севастополя</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Реализация налогового законодательства города Севастополя</w:t>
            </w:r>
          </w:p>
        </w:tc>
        <w:tc>
          <w:tcPr>
            <w:tcW w:w="2551" w:type="dxa"/>
            <w:tcBorders>
              <w:bottom w:val="nil"/>
            </w:tcBorders>
          </w:tcPr>
          <w:p>
            <w:pPr>
              <w:pStyle w:val="0"/>
              <w:jc w:val="both"/>
            </w:pPr>
            <w:r>
              <w:rPr>
                <w:sz w:val="20"/>
              </w:rPr>
              <w:t xml:space="preserve">Возникновение кредиторской задолженности по платежам в бюджетную систему Российской Федерации</w:t>
            </w:r>
          </w:p>
        </w:tc>
      </w:tr>
      <w:tr>
        <w:tblPrEx>
          <w:tblBorders>
            <w:insideH w:val="nil"/>
          </w:tblBorders>
        </w:tblPrEx>
        <w:tc>
          <w:tcPr>
            <w:gridSpan w:val="8"/>
            <w:tcW w:w="13602" w:type="dxa"/>
            <w:tcBorders>
              <w:top w:val="nil"/>
            </w:tcBorders>
          </w:tcPr>
          <w:p>
            <w:pPr>
              <w:pStyle w:val="0"/>
              <w:jc w:val="both"/>
            </w:pPr>
            <w:r>
              <w:rPr>
                <w:sz w:val="20"/>
              </w:rPr>
              <w:t xml:space="preserve">(п. 3.7 введен </w:t>
            </w:r>
            <w:hyperlink w:history="0" r:id="rId381"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10.11.2022 N 561-ПП)</w:t>
            </w:r>
          </w:p>
        </w:tc>
      </w:tr>
      <w:tr>
        <w:tblPrEx>
          <w:tblBorders>
            <w:insideH w:val="nil"/>
          </w:tblBorders>
        </w:tblPrEx>
        <w:tc>
          <w:tcPr>
            <w:tcW w:w="850" w:type="dxa"/>
            <w:tcBorders>
              <w:bottom w:val="nil"/>
            </w:tcBorders>
          </w:tcPr>
          <w:p>
            <w:pPr>
              <w:pStyle w:val="0"/>
              <w:jc w:val="both"/>
            </w:pPr>
            <w:r>
              <w:rPr>
                <w:sz w:val="20"/>
              </w:rPr>
              <w:t xml:space="preserve">3.8</w:t>
            </w:r>
          </w:p>
        </w:tc>
        <w:tc>
          <w:tcPr>
            <w:tcW w:w="1644" w:type="dxa"/>
            <w:tcBorders>
              <w:bottom w:val="nil"/>
            </w:tcBorders>
          </w:tcPr>
          <w:p>
            <w:pPr>
              <w:pStyle w:val="0"/>
              <w:jc w:val="center"/>
            </w:pPr>
            <w:r>
              <w:rPr>
                <w:sz w:val="20"/>
              </w:rPr>
              <w:t xml:space="preserve">07 3 02 5П08Ф</w:t>
            </w:r>
          </w:p>
        </w:tc>
        <w:tc>
          <w:tcPr>
            <w:tcW w:w="2267" w:type="dxa"/>
            <w:tcBorders>
              <w:bottom w:val="nil"/>
            </w:tcBorders>
          </w:tcPr>
          <w:p>
            <w:pPr>
              <w:pStyle w:val="0"/>
              <w:jc w:val="both"/>
            </w:pPr>
            <w:r>
              <w:rPr>
                <w:sz w:val="20"/>
              </w:rPr>
              <w:t xml:space="preserve">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382"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2022</w:t>
            </w:r>
          </w:p>
        </w:tc>
        <w:tc>
          <w:tcPr>
            <w:tcW w:w="2721" w:type="dxa"/>
            <w:tcBorders>
              <w:bottom w:val="nil"/>
            </w:tcBorders>
          </w:tcPr>
          <w:p>
            <w:pPr>
              <w:pStyle w:val="0"/>
              <w:jc w:val="both"/>
            </w:pPr>
            <w:r>
              <w:rPr>
                <w:sz w:val="20"/>
              </w:rPr>
              <w:t xml:space="preserve">Реализация </w:t>
            </w:r>
            <w:hyperlink w:history="0" r:id="rId383"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Указа</w:t>
              </w:r>
            </w:hyperlink>
            <w:r>
              <w:rPr>
                <w:sz w:val="20"/>
              </w:rPr>
              <w:t xml:space="preserve"> Президента Российской Федерации от 07.05.2012 N 597 "О мероприятиях по реализации государственной социальной политики"</w:t>
            </w:r>
          </w:p>
        </w:tc>
        <w:tc>
          <w:tcPr>
            <w:tcW w:w="2551" w:type="dxa"/>
            <w:tcBorders>
              <w:bottom w:val="nil"/>
            </w:tcBorders>
          </w:tcPr>
          <w:p>
            <w:pPr>
              <w:pStyle w:val="0"/>
              <w:jc w:val="both"/>
            </w:pPr>
            <w:r>
              <w:rPr>
                <w:sz w:val="20"/>
              </w:rPr>
              <w:t xml:space="preserve">Недостижение показателей по оплате труда отдельных категорий медицинских работников, установленных </w:t>
            </w:r>
            <w:hyperlink w:history="0" r:id="rId384"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w:t>
            </w:r>
          </w:p>
        </w:tc>
      </w:tr>
      <w:tr>
        <w:tblPrEx>
          <w:tblBorders>
            <w:insideH w:val="nil"/>
          </w:tblBorders>
        </w:tblPrEx>
        <w:tc>
          <w:tcPr>
            <w:gridSpan w:val="8"/>
            <w:tcW w:w="13602" w:type="dxa"/>
            <w:tcBorders>
              <w:top w:val="nil"/>
            </w:tcBorders>
          </w:tcPr>
          <w:p>
            <w:pPr>
              <w:pStyle w:val="0"/>
              <w:jc w:val="both"/>
            </w:pPr>
            <w:r>
              <w:rPr>
                <w:sz w:val="20"/>
              </w:rPr>
              <w:t xml:space="preserve">(п. 3.8 введен </w:t>
            </w:r>
            <w:hyperlink w:history="0" r:id="rId385" w:tooltip="Постановление Правительства Севастополя от 26.12.2022 N 70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26.12.2022 N 702-ПП)</w:t>
            </w:r>
          </w:p>
        </w:tc>
      </w:tr>
      <w:tr>
        <w:tblPrEx>
          <w:tblBorders>
            <w:insideH w:val="nil"/>
          </w:tblBorders>
        </w:tblPrEx>
        <w:tc>
          <w:tcPr>
            <w:tcW w:w="850" w:type="dxa"/>
            <w:tcBorders>
              <w:bottom w:val="nil"/>
            </w:tcBorders>
          </w:tcPr>
          <w:p>
            <w:pPr>
              <w:pStyle w:val="0"/>
              <w:jc w:val="both"/>
            </w:pPr>
            <w:r>
              <w:rPr>
                <w:sz w:val="20"/>
              </w:rPr>
              <w:t xml:space="preserve">3.9</w:t>
            </w:r>
          </w:p>
        </w:tc>
        <w:tc>
          <w:tcPr>
            <w:tcW w:w="1644" w:type="dxa"/>
            <w:tcBorders>
              <w:bottom w:val="nil"/>
            </w:tcBorders>
          </w:tcPr>
          <w:p>
            <w:pPr>
              <w:pStyle w:val="0"/>
              <w:jc w:val="center"/>
            </w:pPr>
            <w:r>
              <w:rPr>
                <w:sz w:val="20"/>
              </w:rPr>
              <w:t xml:space="preserve">07 3 02 R3850</w:t>
            </w:r>
          </w:p>
        </w:tc>
        <w:tc>
          <w:tcPr>
            <w:tcW w:w="2267" w:type="dxa"/>
            <w:tcBorders>
              <w:bottom w:val="nil"/>
            </w:tcBorders>
          </w:tcPr>
          <w:p>
            <w:pPr>
              <w:pStyle w:val="0"/>
              <w:jc w:val="both"/>
            </w:pPr>
            <w:r>
              <w:rPr>
                <w:sz w:val="20"/>
              </w:rPr>
              <w:t xml:space="preserve">Проведение массового обследования новорожденных на врожденные и (или) наследственные заболевания (расширенный неонатальный скрининг)</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Увеличение количества исследований новорожденных на врожденные и (или) наследственные заболевания. Снижение инвалидизации. 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3.9 введен </w:t>
            </w:r>
            <w:hyperlink w:history="0" r:id="rId386"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blPrEx>
          <w:tblBorders>
            <w:insideH w:val="nil"/>
          </w:tblBorders>
        </w:tblPrEx>
        <w:tc>
          <w:tcPr>
            <w:tcW w:w="850" w:type="dxa"/>
            <w:tcBorders>
              <w:bottom w:val="nil"/>
            </w:tcBorders>
          </w:tcPr>
          <w:p>
            <w:pPr>
              <w:pStyle w:val="0"/>
              <w:jc w:val="both"/>
            </w:pPr>
            <w:r>
              <w:rPr>
                <w:sz w:val="20"/>
              </w:rPr>
              <w:t xml:space="preserve">3.10</w:t>
            </w:r>
          </w:p>
        </w:tc>
        <w:tc>
          <w:tcPr>
            <w:tcW w:w="1644" w:type="dxa"/>
            <w:tcBorders>
              <w:bottom w:val="nil"/>
            </w:tcBorders>
          </w:tcPr>
          <w:p>
            <w:pPr>
              <w:pStyle w:val="0"/>
              <w:jc w:val="center"/>
            </w:pPr>
            <w:r>
              <w:rPr>
                <w:sz w:val="20"/>
              </w:rPr>
              <w:t xml:space="preserve">07 3 1Т 00120</w:t>
            </w:r>
          </w:p>
        </w:tc>
        <w:tc>
          <w:tcPr>
            <w:tcW w:w="2267" w:type="dxa"/>
            <w:tcBorders>
              <w:bottom w:val="nil"/>
            </w:tcBorders>
          </w:tcPr>
          <w:p>
            <w:pPr>
              <w:pStyle w:val="0"/>
              <w:jc w:val="both"/>
            </w:pPr>
            <w:r>
              <w:rPr>
                <w:sz w:val="20"/>
              </w:rPr>
              <w:t xml:space="preserve">Оказание государственными учреждениями здравоохранения государственных услуг, выполнение работ в области охраны здоровья матери и ребенка в стационарных условиях</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3.10 введен </w:t>
            </w:r>
            <w:hyperlink w:history="0" r:id="rId387"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blPrEx>
          <w:tblBorders>
            <w:insideH w:val="nil"/>
          </w:tblBorders>
        </w:tblPrEx>
        <w:tc>
          <w:tcPr>
            <w:tcW w:w="850" w:type="dxa"/>
            <w:tcBorders>
              <w:bottom w:val="nil"/>
            </w:tcBorders>
          </w:tcPr>
          <w:p>
            <w:pPr>
              <w:pStyle w:val="0"/>
              <w:jc w:val="both"/>
            </w:pPr>
            <w:r>
              <w:rPr>
                <w:sz w:val="20"/>
              </w:rPr>
              <w:t xml:space="preserve">3.11</w:t>
            </w:r>
          </w:p>
        </w:tc>
        <w:tc>
          <w:tcPr>
            <w:tcW w:w="1644" w:type="dxa"/>
            <w:tcBorders>
              <w:bottom w:val="nil"/>
            </w:tcBorders>
          </w:tcPr>
          <w:p>
            <w:pPr>
              <w:pStyle w:val="0"/>
              <w:jc w:val="center"/>
            </w:pPr>
            <w:r>
              <w:rPr>
                <w:sz w:val="20"/>
              </w:rPr>
              <w:t xml:space="preserve">07 3 1Т 00130</w:t>
            </w:r>
          </w:p>
        </w:tc>
        <w:tc>
          <w:tcPr>
            <w:tcW w:w="2267" w:type="dxa"/>
            <w:tcBorders>
              <w:bottom w:val="nil"/>
            </w:tcBorders>
          </w:tcPr>
          <w:p>
            <w:pPr>
              <w:pStyle w:val="0"/>
              <w:jc w:val="both"/>
            </w:pPr>
            <w:r>
              <w:rPr>
                <w:sz w:val="20"/>
              </w:rPr>
              <w:t xml:space="preserve">Оказание государственными учреждениями здравоохранения государственных услуг, выполнение работ в области охраны здоровья матери и ребенка в условиях дневного стационара</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3.11 введен </w:t>
            </w:r>
            <w:hyperlink w:history="0" r:id="rId388"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blPrEx>
          <w:tblBorders>
            <w:insideH w:val="nil"/>
          </w:tblBorders>
        </w:tblPrEx>
        <w:tc>
          <w:tcPr>
            <w:tcW w:w="850" w:type="dxa"/>
            <w:tcBorders>
              <w:bottom w:val="nil"/>
            </w:tcBorders>
          </w:tcPr>
          <w:p>
            <w:pPr>
              <w:pStyle w:val="0"/>
              <w:jc w:val="both"/>
            </w:pPr>
            <w:r>
              <w:rPr>
                <w:sz w:val="20"/>
              </w:rPr>
              <w:t xml:space="preserve">3.12</w:t>
            </w:r>
          </w:p>
        </w:tc>
        <w:tc>
          <w:tcPr>
            <w:tcW w:w="1644" w:type="dxa"/>
            <w:tcBorders>
              <w:bottom w:val="nil"/>
            </w:tcBorders>
          </w:tcPr>
          <w:p>
            <w:pPr>
              <w:pStyle w:val="0"/>
              <w:jc w:val="center"/>
            </w:pPr>
            <w:r>
              <w:rPr>
                <w:sz w:val="20"/>
              </w:rPr>
              <w:t xml:space="preserve">07 3 1Т 00140</w:t>
            </w:r>
          </w:p>
        </w:tc>
        <w:tc>
          <w:tcPr>
            <w:tcW w:w="2267" w:type="dxa"/>
            <w:tcBorders>
              <w:bottom w:val="nil"/>
            </w:tcBorders>
          </w:tcPr>
          <w:p>
            <w:pPr>
              <w:pStyle w:val="0"/>
              <w:jc w:val="both"/>
            </w:pPr>
            <w:r>
              <w:rPr>
                <w:sz w:val="20"/>
              </w:rPr>
              <w:t xml:space="preserve">Оказание прочими государственными учреждениями здравоохранения государственных услуг, выполнение работ, финансовое обеспечение деятельности государственных казенных учреждений в области охраны здоровья матери и ребенка</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3.12 введен </w:t>
            </w:r>
            <w:hyperlink w:history="0" r:id="rId389"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c>
          <w:tcPr>
            <w:tcW w:w="850" w:type="dxa"/>
          </w:tcPr>
          <w:p>
            <w:pPr>
              <w:pStyle w:val="0"/>
              <w:outlineLvl w:val="3"/>
              <w:jc w:val="both"/>
            </w:pPr>
            <w:r>
              <w:rPr>
                <w:sz w:val="20"/>
              </w:rPr>
              <w:t xml:space="preserve">4</w:t>
            </w:r>
          </w:p>
        </w:tc>
        <w:tc>
          <w:tcPr>
            <w:tcW w:w="1644" w:type="dxa"/>
          </w:tcPr>
          <w:p>
            <w:pPr>
              <w:pStyle w:val="0"/>
              <w:jc w:val="center"/>
            </w:pPr>
            <w:r>
              <w:rPr>
                <w:sz w:val="20"/>
              </w:rPr>
              <w:t xml:space="preserve">07.4.00.00000</w:t>
            </w:r>
          </w:p>
        </w:tc>
        <w:tc>
          <w:tcPr>
            <w:gridSpan w:val="6"/>
            <w:tcW w:w="11108" w:type="dxa"/>
          </w:tcPr>
          <w:p>
            <w:pPr>
              <w:pStyle w:val="0"/>
              <w:jc w:val="center"/>
            </w:pPr>
            <w:r>
              <w:rPr>
                <w:sz w:val="20"/>
              </w:rPr>
              <w:t xml:space="preserve">Подпрограмма 4 "Развитие медицинской реабилитации"</w:t>
            </w:r>
          </w:p>
        </w:tc>
      </w:tr>
      <w:tr>
        <w:tblPrEx>
          <w:tblBorders>
            <w:insideH w:val="nil"/>
          </w:tblBorders>
        </w:tblPrEx>
        <w:tc>
          <w:tcPr>
            <w:tcW w:w="850" w:type="dxa"/>
            <w:tcBorders>
              <w:bottom w:val="nil"/>
            </w:tcBorders>
          </w:tcPr>
          <w:p>
            <w:pPr>
              <w:pStyle w:val="0"/>
              <w:jc w:val="both"/>
            </w:pPr>
            <w:r>
              <w:rPr>
                <w:sz w:val="20"/>
              </w:rPr>
              <w:t xml:space="preserve">4.1</w:t>
            </w:r>
          </w:p>
        </w:tc>
        <w:tc>
          <w:tcPr>
            <w:tcW w:w="1644" w:type="dxa"/>
            <w:tcBorders>
              <w:bottom w:val="nil"/>
            </w:tcBorders>
          </w:tcPr>
          <w:p>
            <w:pPr>
              <w:pStyle w:val="0"/>
              <w:jc w:val="center"/>
            </w:pPr>
            <w:r>
              <w:rPr>
                <w:sz w:val="20"/>
              </w:rPr>
              <w:t xml:space="preserve">07 4 01 R7520</w:t>
            </w:r>
          </w:p>
        </w:tc>
        <w:tc>
          <w:tcPr>
            <w:tcW w:w="2267" w:type="dxa"/>
            <w:tcBorders>
              <w:bottom w:val="nil"/>
            </w:tcBorders>
          </w:tcPr>
          <w:p>
            <w:pPr>
              <w:pStyle w:val="0"/>
              <w:jc w:val="both"/>
            </w:pPr>
            <w:r>
              <w:rPr>
                <w:sz w:val="20"/>
              </w:rPr>
              <w:t xml:space="preserve">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2030</w:t>
            </w:r>
          </w:p>
        </w:tc>
        <w:tc>
          <w:tcPr>
            <w:tcW w:w="2721" w:type="dxa"/>
            <w:tcBorders>
              <w:bottom w:val="nil"/>
            </w:tcBorders>
          </w:tcPr>
          <w:p>
            <w:pPr>
              <w:pStyle w:val="0"/>
              <w:jc w:val="both"/>
            </w:pPr>
            <w:r>
              <w:rPr>
                <w:sz w:val="20"/>
              </w:rPr>
              <w:t xml:space="preserve">Повышение качества и доступности медицинской помощи, снижение смертности населения, увеличение удовлетворенности населения региональной властью</w:t>
            </w:r>
          </w:p>
        </w:tc>
        <w:tc>
          <w:tcPr>
            <w:tcW w:w="2551" w:type="dxa"/>
            <w:tcBorders>
              <w:bottom w:val="nil"/>
            </w:tcBorders>
          </w:tcPr>
          <w:p>
            <w:pPr>
              <w:pStyle w:val="0"/>
              <w:jc w:val="both"/>
            </w:pPr>
            <w:r>
              <w:rPr>
                <w:sz w:val="20"/>
              </w:rPr>
              <w:t xml:space="preserve">Снижение доступности медицинской помощи, увеличение смертности населения, рост числа обращений в исполнительные органы города Севастополя с жалобами на систему здравоохранения</w:t>
            </w:r>
          </w:p>
        </w:tc>
      </w:tr>
      <w:tr>
        <w:tblPrEx>
          <w:tblBorders>
            <w:insideH w:val="nil"/>
          </w:tblBorders>
        </w:tblPrEx>
        <w:tc>
          <w:tcPr>
            <w:gridSpan w:val="8"/>
            <w:tcW w:w="13602" w:type="dxa"/>
            <w:tcBorders>
              <w:top w:val="nil"/>
            </w:tcBorders>
          </w:tcPr>
          <w:p>
            <w:pPr>
              <w:pStyle w:val="0"/>
              <w:jc w:val="both"/>
            </w:pPr>
            <w:r>
              <w:rPr>
                <w:sz w:val="20"/>
              </w:rPr>
              <w:t xml:space="preserve">(п. 4.1 введен </w:t>
            </w:r>
            <w:hyperlink w:history="0" r:id="rId390"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26.05.2022 N 224-ПП;</w:t>
            </w:r>
          </w:p>
          <w:p>
            <w:pPr>
              <w:pStyle w:val="0"/>
              <w:jc w:val="both"/>
            </w:pPr>
            <w:r>
              <w:rPr>
                <w:sz w:val="20"/>
              </w:rPr>
              <w:t xml:space="preserve">в ред. Постановлений Правительства Севастополя от 10.11.2022 </w:t>
            </w:r>
            <w:hyperlink w:history="0" r:id="rId391"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561-ПП</w:t>
              </w:r>
            </w:hyperlink>
            <w:r>
              <w:rPr>
                <w:sz w:val="20"/>
              </w:rPr>
              <w:t xml:space="preserve">,</w:t>
            </w:r>
          </w:p>
          <w:p>
            <w:pPr>
              <w:pStyle w:val="0"/>
              <w:jc w:val="both"/>
            </w:pPr>
            <w:r>
              <w:rPr>
                <w:sz w:val="20"/>
              </w:rPr>
              <w:t xml:space="preserve">от 27.04.2023 </w:t>
            </w:r>
            <w:hyperlink w:history="0" r:id="rId39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c>
          <w:tcPr>
            <w:tcW w:w="850" w:type="dxa"/>
          </w:tcPr>
          <w:p>
            <w:pPr>
              <w:pStyle w:val="0"/>
              <w:outlineLvl w:val="3"/>
              <w:jc w:val="both"/>
            </w:pPr>
            <w:r>
              <w:rPr>
                <w:sz w:val="20"/>
              </w:rPr>
              <w:t xml:space="preserve">5</w:t>
            </w:r>
          </w:p>
        </w:tc>
        <w:tc>
          <w:tcPr>
            <w:tcW w:w="1644" w:type="dxa"/>
          </w:tcPr>
          <w:p>
            <w:pPr>
              <w:pStyle w:val="0"/>
              <w:jc w:val="center"/>
            </w:pPr>
            <w:r>
              <w:rPr>
                <w:sz w:val="20"/>
              </w:rPr>
              <w:t xml:space="preserve">07.5.00.00000</w:t>
            </w:r>
          </w:p>
        </w:tc>
        <w:tc>
          <w:tcPr>
            <w:gridSpan w:val="6"/>
            <w:tcW w:w="11108" w:type="dxa"/>
          </w:tcPr>
          <w:p>
            <w:pPr>
              <w:pStyle w:val="0"/>
              <w:jc w:val="center"/>
            </w:pPr>
            <w:r>
              <w:rPr>
                <w:sz w:val="20"/>
              </w:rPr>
              <w:t xml:space="preserve">Подпрограмма 5 "Экспертиза и контрольно-надзорные функции в сфере здравоохранения"</w:t>
            </w:r>
          </w:p>
        </w:tc>
      </w:tr>
      <w:tr>
        <w:tc>
          <w:tcPr>
            <w:tcW w:w="850" w:type="dxa"/>
          </w:tcPr>
          <w:p>
            <w:pPr>
              <w:pStyle w:val="0"/>
              <w:outlineLvl w:val="3"/>
              <w:jc w:val="both"/>
            </w:pPr>
            <w:r>
              <w:rPr>
                <w:sz w:val="20"/>
              </w:rPr>
              <w:t xml:space="preserve">6</w:t>
            </w:r>
          </w:p>
        </w:tc>
        <w:tc>
          <w:tcPr>
            <w:tcW w:w="1644" w:type="dxa"/>
          </w:tcPr>
          <w:p>
            <w:pPr>
              <w:pStyle w:val="0"/>
              <w:jc w:val="center"/>
            </w:pPr>
            <w:r>
              <w:rPr>
                <w:sz w:val="20"/>
              </w:rPr>
              <w:t xml:space="preserve">07.6.00.00000</w:t>
            </w:r>
          </w:p>
        </w:tc>
        <w:tc>
          <w:tcPr>
            <w:gridSpan w:val="6"/>
            <w:tcW w:w="11108" w:type="dxa"/>
          </w:tcPr>
          <w:p>
            <w:pPr>
              <w:pStyle w:val="0"/>
              <w:jc w:val="center"/>
            </w:pPr>
            <w:r>
              <w:rPr>
                <w:sz w:val="20"/>
              </w:rPr>
              <w:t xml:space="preserve">Подпрограмма 6 "Развитие информатизации и обеспечение комплексной безопасности объектов здравоохранения"</w:t>
            </w:r>
          </w:p>
        </w:tc>
      </w:tr>
      <w:tr>
        <w:tc>
          <w:tcPr>
            <w:tcW w:w="850" w:type="dxa"/>
          </w:tcPr>
          <w:p>
            <w:pPr>
              <w:pStyle w:val="0"/>
              <w:jc w:val="both"/>
            </w:pPr>
            <w:r>
              <w:rPr>
                <w:sz w:val="20"/>
              </w:rPr>
              <w:t xml:space="preserve">6.1</w:t>
            </w:r>
          </w:p>
        </w:tc>
        <w:tc>
          <w:tcPr>
            <w:tcW w:w="1644" w:type="dxa"/>
          </w:tcPr>
          <w:p>
            <w:pPr>
              <w:pStyle w:val="0"/>
              <w:jc w:val="center"/>
            </w:pPr>
            <w:r>
              <w:rPr>
                <w:sz w:val="20"/>
              </w:rPr>
              <w:t xml:space="preserve">07 6 1Т 00100</w:t>
            </w:r>
          </w:p>
        </w:tc>
        <w:tc>
          <w:tcPr>
            <w:tcW w:w="2267" w:type="dxa"/>
          </w:tcPr>
          <w:p>
            <w:pPr>
              <w:pStyle w:val="0"/>
              <w:jc w:val="both"/>
            </w:pPr>
            <w:r>
              <w:rPr>
                <w:sz w:val="20"/>
              </w:rPr>
              <w:t xml:space="preserve">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казенных учреждений</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доли отчетной медицинской документации, представленной в электронном виде в соответствии с едиными стандартами</w:t>
            </w:r>
          </w:p>
        </w:tc>
        <w:tc>
          <w:tcPr>
            <w:tcW w:w="2551" w:type="dxa"/>
          </w:tcPr>
          <w:p>
            <w:pPr>
              <w:pStyle w:val="0"/>
              <w:jc w:val="both"/>
            </w:pPr>
            <w:r>
              <w:rPr>
                <w:sz w:val="20"/>
              </w:rPr>
              <w:t xml:space="preserve">Снижение доли отчетной медицинской документации, представленной в электронном виде в соответствии с едиными стандартами</w:t>
            </w:r>
          </w:p>
        </w:tc>
      </w:tr>
      <w:tr>
        <w:tc>
          <w:tcPr>
            <w:tcW w:w="850" w:type="dxa"/>
          </w:tcPr>
          <w:p>
            <w:pPr>
              <w:pStyle w:val="0"/>
              <w:jc w:val="both"/>
            </w:pPr>
            <w:r>
              <w:rPr>
                <w:sz w:val="20"/>
              </w:rPr>
              <w:t xml:space="preserve">6.2</w:t>
            </w:r>
          </w:p>
        </w:tc>
        <w:tc>
          <w:tcPr>
            <w:tcW w:w="1644" w:type="dxa"/>
          </w:tcPr>
          <w:p>
            <w:pPr>
              <w:pStyle w:val="0"/>
              <w:jc w:val="center"/>
            </w:pPr>
            <w:r>
              <w:rPr>
                <w:sz w:val="20"/>
              </w:rPr>
              <w:t xml:space="preserve">07 6 01 00201</w:t>
            </w:r>
          </w:p>
        </w:tc>
        <w:tc>
          <w:tcPr>
            <w:tcW w:w="2267" w:type="dxa"/>
          </w:tcPr>
          <w:p>
            <w:pPr>
              <w:pStyle w:val="0"/>
              <w:jc w:val="both"/>
            </w:pPr>
            <w:r>
              <w:rPr>
                <w:sz w:val="20"/>
              </w:rPr>
              <w:t xml:space="preserve">Информатизация здравоохранения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доли отчетной медицинской документации, представленной в электронном виде в соответствии с едиными стандартами</w:t>
            </w:r>
          </w:p>
        </w:tc>
        <w:tc>
          <w:tcPr>
            <w:tcW w:w="2551" w:type="dxa"/>
          </w:tcPr>
          <w:p>
            <w:pPr>
              <w:pStyle w:val="0"/>
              <w:jc w:val="both"/>
            </w:pPr>
            <w:r>
              <w:rPr>
                <w:sz w:val="20"/>
              </w:rPr>
              <w:t xml:space="preserve">Снижение доли отчетной медицинской документации, представленной в электронном виде в соответствии с едиными стандартами</w:t>
            </w:r>
          </w:p>
        </w:tc>
      </w:tr>
      <w:tr>
        <w:tc>
          <w:tcPr>
            <w:tcW w:w="850" w:type="dxa"/>
          </w:tcPr>
          <w:p>
            <w:pPr>
              <w:pStyle w:val="0"/>
              <w:outlineLvl w:val="3"/>
              <w:jc w:val="both"/>
            </w:pPr>
            <w:r>
              <w:rPr>
                <w:sz w:val="20"/>
              </w:rPr>
              <w:t xml:space="preserve">7</w:t>
            </w:r>
          </w:p>
        </w:tc>
        <w:tc>
          <w:tcPr>
            <w:tcW w:w="1644" w:type="dxa"/>
          </w:tcPr>
          <w:p>
            <w:pPr>
              <w:pStyle w:val="0"/>
              <w:jc w:val="center"/>
            </w:pPr>
            <w:r>
              <w:rPr>
                <w:sz w:val="20"/>
              </w:rPr>
              <w:t xml:space="preserve">07.7.00.00000</w:t>
            </w:r>
          </w:p>
        </w:tc>
        <w:tc>
          <w:tcPr>
            <w:gridSpan w:val="6"/>
            <w:tcW w:w="11108" w:type="dxa"/>
          </w:tcPr>
          <w:p>
            <w:pPr>
              <w:pStyle w:val="0"/>
              <w:jc w:val="center"/>
            </w:pPr>
            <w:r>
              <w:rPr>
                <w:sz w:val="20"/>
              </w:rPr>
              <w:t xml:space="preserve">Подпрограмма 7 "Кадровое обеспечение системы здравоохранения"</w:t>
            </w:r>
          </w:p>
        </w:tc>
      </w:tr>
      <w:tr>
        <w:tc>
          <w:tcPr>
            <w:tcW w:w="850" w:type="dxa"/>
          </w:tcPr>
          <w:p>
            <w:pPr>
              <w:pStyle w:val="0"/>
              <w:jc w:val="both"/>
            </w:pPr>
            <w:r>
              <w:rPr>
                <w:sz w:val="20"/>
              </w:rPr>
              <w:t xml:space="preserve">7.1</w:t>
            </w:r>
          </w:p>
        </w:tc>
        <w:tc>
          <w:tcPr>
            <w:tcW w:w="1644" w:type="dxa"/>
          </w:tcPr>
          <w:p>
            <w:pPr>
              <w:pStyle w:val="0"/>
              <w:jc w:val="center"/>
            </w:pPr>
            <w:r>
              <w:rPr>
                <w:sz w:val="20"/>
              </w:rPr>
              <w:t xml:space="preserve">07 7 01 R1380</w:t>
            </w:r>
          </w:p>
        </w:tc>
        <w:tc>
          <w:tcPr>
            <w:tcW w:w="2267" w:type="dxa"/>
          </w:tcPr>
          <w:p>
            <w:pPr>
              <w:pStyle w:val="0"/>
              <w:jc w:val="both"/>
            </w:pPr>
            <w:r>
              <w:rPr>
                <w:sz w:val="20"/>
              </w:rPr>
              <w:t xml:space="preserve">Осуществление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Рост обеспеченности населения врачами в сельской местности. Рост обеспеченности населения средним медицинским персоналом в сельской местности</w:t>
            </w:r>
          </w:p>
        </w:tc>
        <w:tc>
          <w:tcPr>
            <w:tcW w:w="2551" w:type="dxa"/>
          </w:tcPr>
          <w:p>
            <w:pPr>
              <w:pStyle w:val="0"/>
              <w:jc w:val="both"/>
            </w:pPr>
            <w:r>
              <w:rPr>
                <w:sz w:val="20"/>
              </w:rPr>
              <w:t xml:space="preserve">Снижение обеспеченности населения врачами в сельской местности. Снижение обеспеченности населения средним медицинским персоналом в сельской местности</w:t>
            </w:r>
          </w:p>
        </w:tc>
      </w:tr>
      <w:tr>
        <w:tc>
          <w:tcPr>
            <w:tcW w:w="850" w:type="dxa"/>
          </w:tcPr>
          <w:p>
            <w:pPr>
              <w:pStyle w:val="0"/>
              <w:jc w:val="both"/>
            </w:pPr>
            <w:r>
              <w:rPr>
                <w:sz w:val="20"/>
              </w:rPr>
              <w:t xml:space="preserve">7.2</w:t>
            </w:r>
          </w:p>
        </w:tc>
        <w:tc>
          <w:tcPr>
            <w:tcW w:w="1644" w:type="dxa"/>
          </w:tcPr>
          <w:p>
            <w:pPr>
              <w:pStyle w:val="0"/>
              <w:jc w:val="center"/>
            </w:pPr>
            <w:r>
              <w:rPr>
                <w:sz w:val="20"/>
              </w:rPr>
              <w:t xml:space="preserve">07 7 01 00201</w:t>
            </w:r>
          </w:p>
        </w:tc>
        <w:tc>
          <w:tcPr>
            <w:tcW w:w="2267" w:type="dxa"/>
          </w:tcPr>
          <w:p>
            <w:pPr>
              <w:pStyle w:val="0"/>
              <w:jc w:val="both"/>
            </w:pPr>
            <w:r>
              <w:rPr>
                <w:sz w:val="20"/>
              </w:rPr>
              <w:t xml:space="preserve">Оплата профессиональной переподготовки и повышения квалификации врачей в государственных образовательных учреждениях высшего и дополнительного профессионального образования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доли лиц, допущенных к осуществлению медицинской и фармацевтической деятельности через процедуру аккредитации, в общем числе лиц, допущенных к осуществлению медицинской и фармацевтической деятельности</w:t>
            </w:r>
          </w:p>
        </w:tc>
        <w:tc>
          <w:tcPr>
            <w:tcW w:w="2551" w:type="dxa"/>
          </w:tcPr>
          <w:p>
            <w:pPr>
              <w:pStyle w:val="0"/>
              <w:jc w:val="both"/>
            </w:pPr>
            <w:r>
              <w:rPr>
                <w:sz w:val="20"/>
              </w:rPr>
              <w:t xml:space="preserve">Снижение доли лиц, допущенных к осуществлению медицинской и фармацевтической деятельности через процедуру аккредитации, в общем числе лиц, допущенных к осуществлению медицинской и фармацевтической деятельности</w:t>
            </w:r>
          </w:p>
        </w:tc>
      </w:tr>
      <w:tr>
        <w:tc>
          <w:tcPr>
            <w:tcW w:w="850" w:type="dxa"/>
          </w:tcPr>
          <w:p>
            <w:pPr>
              <w:pStyle w:val="0"/>
              <w:jc w:val="both"/>
            </w:pPr>
            <w:r>
              <w:rPr>
                <w:sz w:val="20"/>
              </w:rPr>
              <w:t xml:space="preserve">7.3</w:t>
            </w:r>
          </w:p>
        </w:tc>
        <w:tc>
          <w:tcPr>
            <w:tcW w:w="1644" w:type="dxa"/>
          </w:tcPr>
          <w:p>
            <w:pPr>
              <w:pStyle w:val="0"/>
              <w:jc w:val="center"/>
            </w:pPr>
            <w:r>
              <w:rPr>
                <w:sz w:val="20"/>
              </w:rPr>
              <w:t xml:space="preserve">07 7 01 00202</w:t>
            </w:r>
          </w:p>
        </w:tc>
        <w:tc>
          <w:tcPr>
            <w:tcW w:w="2267" w:type="dxa"/>
          </w:tcPr>
          <w:p>
            <w:pPr>
              <w:pStyle w:val="0"/>
              <w:jc w:val="both"/>
            </w:pPr>
            <w:r>
              <w:rPr>
                <w:sz w:val="20"/>
              </w:rPr>
              <w:t xml:space="preserve">Предоставление мер социальной поддержки студентам, ординаторам, обучающимся в образовательных организациях высшего образования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доли лиц, допущенных к осуществлению медицинской и фармацевтической деятельности через процедуру аккредитации, в общем числе лиц, допущенных к осуществлению медицинской и фармацевтической деятельности</w:t>
            </w:r>
          </w:p>
        </w:tc>
        <w:tc>
          <w:tcPr>
            <w:tcW w:w="2551" w:type="dxa"/>
          </w:tcPr>
          <w:p>
            <w:pPr>
              <w:pStyle w:val="0"/>
              <w:jc w:val="both"/>
            </w:pPr>
            <w:r>
              <w:rPr>
                <w:sz w:val="20"/>
              </w:rPr>
              <w:t xml:space="preserve">Снижение доли лиц, допущенных к осуществлению медицинской и фармацевтической деятельности через процедуру аккредитации, в общем числе лиц, допущенных к осуществлению медицинской и фармацевтической деятельности</w:t>
            </w:r>
          </w:p>
        </w:tc>
      </w:tr>
      <w:tr>
        <w:tc>
          <w:tcPr>
            <w:tcW w:w="850" w:type="dxa"/>
          </w:tcPr>
          <w:p>
            <w:pPr>
              <w:pStyle w:val="0"/>
              <w:jc w:val="both"/>
            </w:pPr>
            <w:r>
              <w:rPr>
                <w:sz w:val="20"/>
              </w:rPr>
              <w:t xml:space="preserve">7.4</w:t>
            </w:r>
          </w:p>
        </w:tc>
        <w:tc>
          <w:tcPr>
            <w:tcW w:w="1644" w:type="dxa"/>
          </w:tcPr>
          <w:p>
            <w:pPr>
              <w:pStyle w:val="0"/>
              <w:jc w:val="center"/>
            </w:pPr>
            <w:r>
              <w:rPr>
                <w:sz w:val="20"/>
              </w:rPr>
              <w:t xml:space="preserve">07 7 01 00203</w:t>
            </w:r>
          </w:p>
        </w:tc>
        <w:tc>
          <w:tcPr>
            <w:tcW w:w="2267" w:type="dxa"/>
          </w:tcPr>
          <w:p>
            <w:pPr>
              <w:pStyle w:val="0"/>
              <w:jc w:val="both"/>
            </w:pPr>
            <w:r>
              <w:rPr>
                <w:sz w:val="20"/>
              </w:rPr>
              <w:t xml:space="preserve">Оплата профессиональной переподготовки и повышения квалификации специалистов со средним медицинским и фармацевтическим образованием</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доли лиц, допущенных к осуществлению медицинской и фармацевтической деятельности через процедуру аккредитации, в общем числе лиц, допущенных к осуществлению медицинской и фармацевтической деятельности</w:t>
            </w:r>
          </w:p>
        </w:tc>
        <w:tc>
          <w:tcPr>
            <w:tcW w:w="2551" w:type="dxa"/>
          </w:tcPr>
          <w:p>
            <w:pPr>
              <w:pStyle w:val="0"/>
              <w:jc w:val="both"/>
            </w:pPr>
            <w:r>
              <w:rPr>
                <w:sz w:val="20"/>
              </w:rPr>
              <w:t xml:space="preserve">Снижение доли лиц, допущенных к осуществлению медицинской и фармацевтической деятельности через процедуру аккредитации, в общем числе лиц, допущенных к осуществлению медицинской и фармацевтической деятельности</w:t>
            </w:r>
          </w:p>
        </w:tc>
      </w:tr>
      <w:tr>
        <w:tc>
          <w:tcPr>
            <w:tcW w:w="850" w:type="dxa"/>
          </w:tcPr>
          <w:p>
            <w:pPr>
              <w:pStyle w:val="0"/>
              <w:jc w:val="both"/>
            </w:pPr>
            <w:r>
              <w:rPr>
                <w:sz w:val="20"/>
              </w:rPr>
              <w:t xml:space="preserve">7.5</w:t>
            </w:r>
          </w:p>
        </w:tc>
        <w:tc>
          <w:tcPr>
            <w:tcW w:w="1644" w:type="dxa"/>
          </w:tcPr>
          <w:p>
            <w:pPr>
              <w:pStyle w:val="0"/>
              <w:jc w:val="center"/>
            </w:pPr>
            <w:r>
              <w:rPr>
                <w:sz w:val="20"/>
              </w:rPr>
              <w:t xml:space="preserve">07 7 01 00204</w:t>
            </w:r>
          </w:p>
        </w:tc>
        <w:tc>
          <w:tcPr>
            <w:tcW w:w="2267" w:type="dxa"/>
          </w:tcPr>
          <w:p>
            <w:pPr>
              <w:pStyle w:val="0"/>
              <w:jc w:val="both"/>
            </w:pPr>
            <w:r>
              <w:rPr>
                <w:sz w:val="20"/>
              </w:rPr>
              <w:t xml:space="preserve">Единовременные выплаты медицинским работникам, прибывшим на работу в медицинские организации государственной системы здравоохранения города Севастополя из других субъектов Российской Федерации</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Рост обеспеченности населения врачами. Рост обеспеченности населения средним медицинским персоналом</w:t>
            </w:r>
          </w:p>
        </w:tc>
        <w:tc>
          <w:tcPr>
            <w:tcW w:w="2551" w:type="dxa"/>
          </w:tcPr>
          <w:p>
            <w:pPr>
              <w:pStyle w:val="0"/>
              <w:jc w:val="both"/>
            </w:pPr>
            <w:r>
              <w:rPr>
                <w:sz w:val="20"/>
              </w:rPr>
              <w:t xml:space="preserve">Снижение обеспеченности населения врачами. Снижение обеспеченности населения средним медицинским персоналом</w:t>
            </w:r>
          </w:p>
        </w:tc>
      </w:tr>
      <w:tr>
        <w:tc>
          <w:tcPr>
            <w:tcW w:w="850" w:type="dxa"/>
          </w:tcPr>
          <w:p>
            <w:pPr>
              <w:pStyle w:val="0"/>
              <w:jc w:val="both"/>
            </w:pPr>
            <w:r>
              <w:rPr>
                <w:sz w:val="20"/>
              </w:rPr>
              <w:t xml:space="preserve">7.6</w:t>
            </w:r>
          </w:p>
        </w:tc>
        <w:tc>
          <w:tcPr>
            <w:tcW w:w="1644" w:type="dxa"/>
          </w:tcPr>
          <w:p>
            <w:pPr>
              <w:pStyle w:val="0"/>
              <w:jc w:val="center"/>
            </w:pPr>
            <w:r>
              <w:rPr>
                <w:sz w:val="20"/>
              </w:rPr>
              <w:t xml:space="preserve">07 7 01 00205</w:t>
            </w:r>
          </w:p>
        </w:tc>
        <w:tc>
          <w:tcPr>
            <w:tcW w:w="2267" w:type="dxa"/>
          </w:tcPr>
          <w:p>
            <w:pPr>
              <w:pStyle w:val="0"/>
              <w:jc w:val="both"/>
            </w:pPr>
            <w:r>
              <w:rPr>
                <w:sz w:val="20"/>
              </w:rPr>
              <w:t xml:space="preserve">Региональные доплаты врачам и специалистам со средним медицинским и фармацевтическим образованием</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Рост обеспеченности населения врачами. Рост обеспеченности населения средним медицинским персоналом</w:t>
            </w:r>
          </w:p>
        </w:tc>
        <w:tc>
          <w:tcPr>
            <w:tcW w:w="2551" w:type="dxa"/>
          </w:tcPr>
          <w:p>
            <w:pPr>
              <w:pStyle w:val="0"/>
              <w:jc w:val="both"/>
            </w:pPr>
            <w:r>
              <w:rPr>
                <w:sz w:val="20"/>
              </w:rPr>
              <w:t xml:space="preserve">Снижение обеспеченности населения врачами. Снижение обеспеченности населения средним медицинским персоналом</w:t>
            </w:r>
          </w:p>
        </w:tc>
      </w:tr>
      <w:tr>
        <w:tc>
          <w:tcPr>
            <w:tcW w:w="850" w:type="dxa"/>
          </w:tcPr>
          <w:p>
            <w:pPr>
              <w:pStyle w:val="0"/>
              <w:jc w:val="both"/>
            </w:pPr>
            <w:r>
              <w:rPr>
                <w:sz w:val="20"/>
              </w:rPr>
              <w:t xml:space="preserve">7.7</w:t>
            </w:r>
          </w:p>
        </w:tc>
        <w:tc>
          <w:tcPr>
            <w:tcW w:w="1644" w:type="dxa"/>
          </w:tcPr>
          <w:p>
            <w:pPr>
              <w:pStyle w:val="0"/>
              <w:jc w:val="center"/>
            </w:pPr>
            <w:r>
              <w:rPr>
                <w:sz w:val="20"/>
              </w:rPr>
              <w:t xml:space="preserve">07 7 01 00206</w:t>
            </w:r>
          </w:p>
        </w:tc>
        <w:tc>
          <w:tcPr>
            <w:tcW w:w="2267" w:type="dxa"/>
          </w:tcPr>
          <w:p>
            <w:pPr>
              <w:pStyle w:val="0"/>
              <w:jc w:val="both"/>
            </w:pPr>
            <w:r>
              <w:rPr>
                <w:sz w:val="20"/>
              </w:rPr>
              <w:t xml:space="preserve">Выплата денежных премий победителям конкурсов "Лучший врач года", "Лучший специалист со средним медицинским и фармацевтическим образованием"</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Рост обеспеченности населения врачами. Рост обеспеченности населения средним медицинским персоналом</w:t>
            </w:r>
          </w:p>
        </w:tc>
        <w:tc>
          <w:tcPr>
            <w:tcW w:w="2551" w:type="dxa"/>
          </w:tcPr>
          <w:p>
            <w:pPr>
              <w:pStyle w:val="0"/>
              <w:jc w:val="both"/>
            </w:pPr>
            <w:r>
              <w:rPr>
                <w:sz w:val="20"/>
              </w:rPr>
              <w:t xml:space="preserve">Снижение обеспеченности населения врачами. Снижение обеспеченности населения средним медицинским персоналом</w:t>
            </w:r>
          </w:p>
        </w:tc>
      </w:tr>
      <w:tr>
        <w:tc>
          <w:tcPr>
            <w:tcW w:w="850" w:type="dxa"/>
          </w:tcPr>
          <w:p>
            <w:pPr>
              <w:pStyle w:val="0"/>
              <w:jc w:val="both"/>
            </w:pPr>
            <w:r>
              <w:rPr>
                <w:sz w:val="20"/>
              </w:rPr>
              <w:t xml:space="preserve">7.8</w:t>
            </w:r>
          </w:p>
        </w:tc>
        <w:tc>
          <w:tcPr>
            <w:tcW w:w="1644" w:type="dxa"/>
          </w:tcPr>
          <w:p>
            <w:pPr>
              <w:pStyle w:val="0"/>
              <w:jc w:val="center"/>
            </w:pPr>
            <w:r>
              <w:rPr>
                <w:sz w:val="20"/>
              </w:rPr>
              <w:t xml:space="preserve">07 7 01 00207</w:t>
            </w:r>
          </w:p>
        </w:tc>
        <w:tc>
          <w:tcPr>
            <w:tcW w:w="2267" w:type="dxa"/>
          </w:tcPr>
          <w:p>
            <w:pPr>
              <w:pStyle w:val="0"/>
              <w:jc w:val="both"/>
            </w:pPr>
            <w:r>
              <w:rPr>
                <w:sz w:val="20"/>
              </w:rPr>
              <w:t xml:space="preserve">Предоставление дополнительных мер социальной поддержки молодым специалистам из числа медицинских работников, впервые приступивших к работе по специальности в государственных медицинских учреждениях города Севастополя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Рост обеспеченности населения врачами. Рост обеспеченности населения средним медицинским персоналом</w:t>
            </w:r>
          </w:p>
        </w:tc>
        <w:tc>
          <w:tcPr>
            <w:tcW w:w="2551" w:type="dxa"/>
          </w:tcPr>
          <w:p>
            <w:pPr>
              <w:pStyle w:val="0"/>
              <w:jc w:val="both"/>
            </w:pPr>
            <w:r>
              <w:rPr>
                <w:sz w:val="20"/>
              </w:rPr>
              <w:t xml:space="preserve">Снижение обеспеченности населения врачами. Снижение обеспеченности населения средним медицинским персоналом</w:t>
            </w:r>
          </w:p>
        </w:tc>
      </w:tr>
      <w:tr>
        <w:tc>
          <w:tcPr>
            <w:tcW w:w="850" w:type="dxa"/>
          </w:tcPr>
          <w:p>
            <w:pPr>
              <w:pStyle w:val="0"/>
              <w:jc w:val="both"/>
            </w:pPr>
            <w:r>
              <w:rPr>
                <w:sz w:val="20"/>
              </w:rPr>
              <w:t xml:space="preserve">7.9</w:t>
            </w:r>
          </w:p>
        </w:tc>
        <w:tc>
          <w:tcPr>
            <w:tcW w:w="1644" w:type="dxa"/>
          </w:tcPr>
          <w:p>
            <w:pPr>
              <w:pStyle w:val="0"/>
              <w:jc w:val="center"/>
            </w:pPr>
            <w:r>
              <w:rPr>
                <w:sz w:val="20"/>
              </w:rPr>
              <w:t xml:space="preserve">07 7 01 00208</w:t>
            </w:r>
          </w:p>
        </w:tc>
        <w:tc>
          <w:tcPr>
            <w:tcW w:w="2267" w:type="dxa"/>
          </w:tcPr>
          <w:p>
            <w:pPr>
              <w:pStyle w:val="0"/>
              <w:jc w:val="both"/>
            </w:pPr>
            <w:r>
              <w:rPr>
                <w:sz w:val="20"/>
              </w:rPr>
              <w:t xml:space="preserve">Возмещение расходов на наем жилых помещений отдельным категориям работников учреждений здравоохранения, подведомственных Департаменту здравоохранения города Севастополя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Рост обеспеченности населения врачами. Рост обеспеченности населения средним медицинским персоналом</w:t>
            </w:r>
          </w:p>
        </w:tc>
        <w:tc>
          <w:tcPr>
            <w:tcW w:w="2551" w:type="dxa"/>
          </w:tcPr>
          <w:p>
            <w:pPr>
              <w:pStyle w:val="0"/>
              <w:jc w:val="both"/>
            </w:pPr>
            <w:r>
              <w:rPr>
                <w:sz w:val="20"/>
              </w:rPr>
              <w:t xml:space="preserve">Снижение обеспеченности населения врачами. Снижение обеспеченности населения средним медицинским персоналом</w:t>
            </w:r>
          </w:p>
        </w:tc>
      </w:tr>
      <w:tr>
        <w:tc>
          <w:tcPr>
            <w:tcW w:w="850" w:type="dxa"/>
          </w:tcPr>
          <w:p>
            <w:pPr>
              <w:pStyle w:val="0"/>
              <w:jc w:val="both"/>
            </w:pPr>
            <w:r>
              <w:rPr>
                <w:sz w:val="20"/>
              </w:rPr>
              <w:t xml:space="preserve">7.10</w:t>
            </w:r>
          </w:p>
        </w:tc>
        <w:tc>
          <w:tcPr>
            <w:tcW w:w="1644" w:type="dxa"/>
          </w:tcPr>
          <w:p>
            <w:pPr>
              <w:pStyle w:val="0"/>
              <w:jc w:val="center"/>
            </w:pPr>
            <w:r>
              <w:rPr>
                <w:sz w:val="20"/>
              </w:rPr>
              <w:t xml:space="preserve">07 7 01 00209</w:t>
            </w:r>
          </w:p>
        </w:tc>
        <w:tc>
          <w:tcPr>
            <w:tcW w:w="2267" w:type="dxa"/>
          </w:tcPr>
          <w:p>
            <w:pPr>
              <w:pStyle w:val="0"/>
              <w:jc w:val="both"/>
            </w:pPr>
            <w:r>
              <w:rPr>
                <w:sz w:val="20"/>
              </w:rPr>
              <w:t xml:space="preserve">Стимулирование главных внештатных специалистов Департамента здравоохранения города Севастополя за счет средств бюджета города Севастополя</w:t>
            </w:r>
          </w:p>
        </w:tc>
        <w:tc>
          <w:tcPr>
            <w:tcW w:w="1927" w:type="dxa"/>
          </w:tcPr>
          <w:p>
            <w:pPr>
              <w:pStyle w:val="0"/>
              <w:jc w:val="both"/>
            </w:pPr>
            <w:r>
              <w:rPr>
                <w:sz w:val="20"/>
              </w:rPr>
              <w:t xml:space="preserve">Департамент здравоохранения города Севастополя</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Рост обеспеченности населения врачами. Рост обеспеченности населения средним медицинским персоналом</w:t>
            </w:r>
          </w:p>
        </w:tc>
        <w:tc>
          <w:tcPr>
            <w:tcW w:w="2551" w:type="dxa"/>
          </w:tcPr>
          <w:p>
            <w:pPr>
              <w:pStyle w:val="0"/>
              <w:jc w:val="both"/>
            </w:pPr>
            <w:r>
              <w:rPr>
                <w:sz w:val="20"/>
              </w:rPr>
              <w:t xml:space="preserve">Снижение обеспеченности населения врачами. Снижение обеспеченности населения средним медицинским персоналом</w:t>
            </w:r>
          </w:p>
        </w:tc>
      </w:tr>
      <w:tr>
        <w:tc>
          <w:tcPr>
            <w:tcW w:w="850" w:type="dxa"/>
          </w:tcPr>
          <w:p>
            <w:pPr>
              <w:pStyle w:val="0"/>
              <w:jc w:val="both"/>
            </w:pPr>
            <w:r>
              <w:rPr>
                <w:sz w:val="20"/>
              </w:rPr>
              <w:t xml:space="preserve">7.11</w:t>
            </w:r>
          </w:p>
        </w:tc>
        <w:tc>
          <w:tcPr>
            <w:tcW w:w="1644" w:type="dxa"/>
          </w:tcPr>
          <w:p>
            <w:pPr>
              <w:pStyle w:val="0"/>
              <w:jc w:val="center"/>
            </w:pPr>
            <w:r>
              <w:rPr>
                <w:sz w:val="20"/>
              </w:rPr>
              <w:t xml:space="preserve">07 7 01 00210</w:t>
            </w:r>
          </w:p>
        </w:tc>
        <w:tc>
          <w:tcPr>
            <w:tcW w:w="2267" w:type="dxa"/>
          </w:tcPr>
          <w:p>
            <w:pPr>
              <w:pStyle w:val="0"/>
              <w:jc w:val="both"/>
            </w:pPr>
            <w:r>
              <w:rPr>
                <w:sz w:val="20"/>
              </w:rPr>
              <w:t xml:space="preserve">Мера дополнительной поддержки студентов, обучающихся по целевому набору в образовательных организациях среднего профессионального образования</w:t>
            </w:r>
          </w:p>
        </w:tc>
        <w:tc>
          <w:tcPr>
            <w:tcW w:w="1927" w:type="dxa"/>
          </w:tcPr>
          <w:p>
            <w:pPr>
              <w:pStyle w:val="0"/>
              <w:jc w:val="both"/>
            </w:pPr>
            <w:r>
              <w:rPr>
                <w:sz w:val="20"/>
              </w:rPr>
              <w:t xml:space="preserve">Департамент здравоохранения города Севастополя, СГБОУПО "Севастопольский медицинский колледж имени Жени Дерюгиной"</w:t>
            </w:r>
          </w:p>
        </w:tc>
        <w:tc>
          <w:tcPr>
            <w:tcW w:w="821" w:type="dxa"/>
          </w:tcPr>
          <w:p>
            <w:pPr>
              <w:pStyle w:val="0"/>
              <w:jc w:val="both"/>
            </w:pPr>
            <w:r>
              <w:rPr>
                <w:sz w:val="20"/>
              </w:rPr>
              <w:t xml:space="preserve">2022</w:t>
            </w:r>
          </w:p>
        </w:tc>
        <w:tc>
          <w:tcPr>
            <w:tcW w:w="821" w:type="dxa"/>
          </w:tcPr>
          <w:p>
            <w:pPr>
              <w:pStyle w:val="0"/>
              <w:jc w:val="both"/>
            </w:pPr>
            <w:r>
              <w:rPr>
                <w:sz w:val="20"/>
              </w:rPr>
              <w:t xml:space="preserve">2030</w:t>
            </w:r>
          </w:p>
        </w:tc>
        <w:tc>
          <w:tcPr>
            <w:tcW w:w="2721" w:type="dxa"/>
          </w:tcPr>
          <w:p>
            <w:pPr>
              <w:pStyle w:val="0"/>
              <w:jc w:val="both"/>
            </w:pPr>
            <w:r>
              <w:rPr>
                <w:sz w:val="20"/>
              </w:rPr>
              <w:t xml:space="preserve">Увеличение доли лиц, допущенных к осуществлению медицинской и фармацевтической деятельности через процедуру аккредитации, в общем числе лиц, допущенных к осуществлению медицинской и фармацевтической деятельности</w:t>
            </w:r>
          </w:p>
        </w:tc>
        <w:tc>
          <w:tcPr>
            <w:tcW w:w="2551" w:type="dxa"/>
          </w:tcPr>
          <w:p>
            <w:pPr>
              <w:pStyle w:val="0"/>
              <w:jc w:val="both"/>
            </w:pPr>
            <w:r>
              <w:rPr>
                <w:sz w:val="20"/>
              </w:rPr>
              <w:t xml:space="preserve">Снижение доли лиц, допущенных к осуществлению медицинской и фармацевтической деятельности через процедуру аккредитации, в общем числе лиц, допущенных к осуществлению медицинской и фармацевтической деятельности</w:t>
            </w:r>
          </w:p>
        </w:tc>
      </w:tr>
      <w:tr>
        <w:tblPrEx>
          <w:tblBorders>
            <w:insideH w:val="nil"/>
          </w:tblBorders>
        </w:tblPrEx>
        <w:tc>
          <w:tcPr>
            <w:tcW w:w="850" w:type="dxa"/>
            <w:tcBorders>
              <w:bottom w:val="nil"/>
            </w:tcBorders>
          </w:tcPr>
          <w:p>
            <w:pPr>
              <w:pStyle w:val="0"/>
              <w:jc w:val="both"/>
            </w:pPr>
            <w:r>
              <w:rPr>
                <w:sz w:val="20"/>
              </w:rPr>
              <w:t xml:space="preserve">7.12</w:t>
            </w:r>
          </w:p>
        </w:tc>
        <w:tc>
          <w:tcPr>
            <w:tcW w:w="1644" w:type="dxa"/>
            <w:tcBorders>
              <w:bottom w:val="nil"/>
            </w:tcBorders>
          </w:tcPr>
          <w:p>
            <w:pPr>
              <w:pStyle w:val="0"/>
              <w:jc w:val="center"/>
            </w:pPr>
            <w:r>
              <w:rPr>
                <w:sz w:val="20"/>
              </w:rPr>
              <w:t xml:space="preserve">07 7 01 00211</w:t>
            </w:r>
          </w:p>
        </w:tc>
        <w:tc>
          <w:tcPr>
            <w:tcW w:w="2267" w:type="dxa"/>
            <w:tcBorders>
              <w:bottom w:val="nil"/>
            </w:tcBorders>
          </w:tcPr>
          <w:p>
            <w:pPr>
              <w:pStyle w:val="0"/>
              <w:jc w:val="both"/>
            </w:pPr>
            <w:r>
              <w:rPr>
                <w:sz w:val="20"/>
              </w:rPr>
              <w:t xml:space="preserve">Предоставление гранта в форме субсидии Федеральному государственному автономному образовательному учреждению высшего образования "Севастопольский государственный университет" на целевое обучение студентов для обучения высшего образования по медицинским специальностям в целях обеспечения кадрами государственных учреждений здравоохранения города Севастополя</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Рост обеспеченности населения врачами</w:t>
            </w:r>
          </w:p>
        </w:tc>
        <w:tc>
          <w:tcPr>
            <w:tcW w:w="2551" w:type="dxa"/>
            <w:tcBorders>
              <w:bottom w:val="nil"/>
            </w:tcBorders>
          </w:tcPr>
          <w:p>
            <w:pPr>
              <w:pStyle w:val="0"/>
              <w:jc w:val="both"/>
            </w:pPr>
            <w:r>
              <w:rPr>
                <w:sz w:val="20"/>
              </w:rPr>
              <w:t xml:space="preserve">Снижение обеспеченности населения врачами</w:t>
            </w:r>
          </w:p>
        </w:tc>
      </w:tr>
      <w:tr>
        <w:tblPrEx>
          <w:tblBorders>
            <w:insideH w:val="nil"/>
          </w:tblBorders>
        </w:tblPrEx>
        <w:tc>
          <w:tcPr>
            <w:gridSpan w:val="8"/>
            <w:tcW w:w="13602" w:type="dxa"/>
            <w:tcBorders>
              <w:top w:val="nil"/>
            </w:tcBorders>
          </w:tcPr>
          <w:p>
            <w:pPr>
              <w:pStyle w:val="0"/>
              <w:jc w:val="both"/>
            </w:pPr>
            <w:r>
              <w:rPr>
                <w:sz w:val="20"/>
              </w:rPr>
              <w:t xml:space="preserve">(п. 7.12 введен </w:t>
            </w:r>
            <w:hyperlink w:history="0" r:id="rId393"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02.03.2023 N 108-ПП)</w:t>
            </w:r>
          </w:p>
        </w:tc>
      </w:tr>
      <w:tr>
        <w:tblPrEx>
          <w:tblBorders>
            <w:insideH w:val="nil"/>
          </w:tblBorders>
        </w:tblPrEx>
        <w:tc>
          <w:tcPr>
            <w:tcW w:w="850" w:type="dxa"/>
            <w:tcBorders>
              <w:bottom w:val="nil"/>
            </w:tcBorders>
          </w:tcPr>
          <w:p>
            <w:pPr>
              <w:pStyle w:val="0"/>
              <w:jc w:val="both"/>
            </w:pPr>
            <w:r>
              <w:rPr>
                <w:sz w:val="20"/>
              </w:rPr>
              <w:t xml:space="preserve">7.13</w:t>
            </w:r>
          </w:p>
        </w:tc>
        <w:tc>
          <w:tcPr>
            <w:tcW w:w="1644" w:type="dxa"/>
            <w:tcBorders>
              <w:bottom w:val="nil"/>
            </w:tcBorders>
          </w:tcPr>
          <w:p>
            <w:pPr>
              <w:pStyle w:val="0"/>
              <w:jc w:val="center"/>
            </w:pPr>
            <w:r>
              <w:rPr>
                <w:sz w:val="20"/>
              </w:rPr>
              <w:t xml:space="preserve">07 7 01 00212</w:t>
            </w:r>
          </w:p>
        </w:tc>
        <w:tc>
          <w:tcPr>
            <w:tcW w:w="2267" w:type="dxa"/>
            <w:tcBorders>
              <w:bottom w:val="nil"/>
            </w:tcBorders>
          </w:tcPr>
          <w:p>
            <w:pPr>
              <w:pStyle w:val="0"/>
              <w:jc w:val="both"/>
            </w:pPr>
            <w:r>
              <w:rPr>
                <w:sz w:val="20"/>
              </w:rPr>
              <w:t xml:space="preserve">Предоставление дополнительных мер социальной поддержки в виде специальной социальной выплаты отдельным категориям медицинских работников медицинских организаций, входящих в государственную систему здравоохранения города Севастополя</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2023</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Рост обеспеченности медицинскими кадрами, оказывающими первичную медико-санитарную и скорую медицинскую помощь, не входящую в систему обязательного медицинского страхования</w:t>
            </w:r>
          </w:p>
        </w:tc>
        <w:tc>
          <w:tcPr>
            <w:tcW w:w="2551" w:type="dxa"/>
            <w:tcBorders>
              <w:bottom w:val="nil"/>
            </w:tcBorders>
          </w:tcPr>
          <w:p>
            <w:pPr>
              <w:pStyle w:val="0"/>
              <w:jc w:val="both"/>
            </w:pPr>
            <w:r>
              <w:rPr>
                <w:sz w:val="20"/>
              </w:rPr>
              <w:t xml:space="preserve">Снижение обеспеченности медицинскими кадрами, оказывающими первичную медико-санитарную и скорую медицинскую помощь, не входящую в систему обязательного медицинского страхования</w:t>
            </w:r>
          </w:p>
        </w:tc>
      </w:tr>
      <w:tr>
        <w:tblPrEx>
          <w:tblBorders>
            <w:insideH w:val="nil"/>
          </w:tblBorders>
        </w:tblPrEx>
        <w:tc>
          <w:tcPr>
            <w:gridSpan w:val="8"/>
            <w:tcW w:w="13602" w:type="dxa"/>
            <w:tcBorders>
              <w:top w:val="nil"/>
            </w:tcBorders>
          </w:tcPr>
          <w:p>
            <w:pPr>
              <w:pStyle w:val="0"/>
              <w:jc w:val="both"/>
            </w:pPr>
            <w:r>
              <w:rPr>
                <w:sz w:val="20"/>
              </w:rPr>
              <w:t xml:space="preserve">(п. 7.13 введен </w:t>
            </w:r>
            <w:hyperlink w:history="0" r:id="rId39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tc>
      </w:tr>
      <w:tr>
        <w:tc>
          <w:tcPr>
            <w:tcW w:w="850" w:type="dxa"/>
          </w:tcPr>
          <w:p>
            <w:pPr>
              <w:pStyle w:val="0"/>
              <w:outlineLvl w:val="3"/>
              <w:jc w:val="both"/>
            </w:pPr>
            <w:r>
              <w:rPr>
                <w:sz w:val="20"/>
              </w:rPr>
              <w:t xml:space="preserve">8</w:t>
            </w:r>
          </w:p>
        </w:tc>
        <w:tc>
          <w:tcPr>
            <w:tcW w:w="1644" w:type="dxa"/>
          </w:tcPr>
          <w:p>
            <w:pPr>
              <w:pStyle w:val="0"/>
              <w:jc w:val="center"/>
            </w:pPr>
            <w:r>
              <w:rPr>
                <w:sz w:val="20"/>
              </w:rPr>
              <w:t xml:space="preserve">07.8.00.00000</w:t>
            </w:r>
          </w:p>
        </w:tc>
        <w:tc>
          <w:tcPr>
            <w:gridSpan w:val="6"/>
            <w:tcW w:w="11108" w:type="dxa"/>
          </w:tcPr>
          <w:p>
            <w:pPr>
              <w:pStyle w:val="0"/>
              <w:jc w:val="center"/>
            </w:pPr>
            <w:r>
              <w:rPr>
                <w:sz w:val="20"/>
              </w:rPr>
              <w:t xml:space="preserve">Подпрограмма 8 "Реализация региональных проектов в рамках национальных проектов в сфере здравоохранения"</w:t>
            </w:r>
          </w:p>
        </w:tc>
      </w:tr>
      <w:tr>
        <w:tblPrEx>
          <w:tblBorders>
            <w:insideH w:val="nil"/>
          </w:tblBorders>
        </w:tblPrEx>
        <w:tc>
          <w:tcPr>
            <w:tcW w:w="850" w:type="dxa"/>
            <w:tcBorders>
              <w:bottom w:val="nil"/>
            </w:tcBorders>
          </w:tcPr>
          <w:p>
            <w:pPr>
              <w:pStyle w:val="0"/>
              <w:jc w:val="both"/>
            </w:pPr>
            <w:r>
              <w:rPr>
                <w:sz w:val="20"/>
              </w:rPr>
              <w:t xml:space="preserve">8.1</w:t>
            </w:r>
          </w:p>
        </w:tc>
        <w:tc>
          <w:tcPr>
            <w:tcW w:w="1644" w:type="dxa"/>
            <w:tcBorders>
              <w:bottom w:val="nil"/>
            </w:tcBorders>
          </w:tcPr>
          <w:p>
            <w:pPr>
              <w:pStyle w:val="0"/>
              <w:jc w:val="center"/>
            </w:pPr>
            <w:r>
              <w:rPr>
                <w:sz w:val="20"/>
              </w:rPr>
            </w:r>
          </w:p>
        </w:tc>
        <w:tc>
          <w:tcPr>
            <w:tcW w:w="2267" w:type="dxa"/>
            <w:tcBorders>
              <w:bottom w:val="nil"/>
            </w:tcBorders>
          </w:tcPr>
          <w:p>
            <w:pPr>
              <w:pStyle w:val="0"/>
              <w:jc w:val="both"/>
            </w:pPr>
            <w:r>
              <w:rPr>
                <w:sz w:val="20"/>
              </w:rPr>
              <w:t xml:space="preserve">Реализация регионального проекта "Разработка и реализация программы системной поддержки и повышения качества жизни граждан старшего поколения" в рамках национального проекта "Демография" в части здравоохранения</w:t>
            </w:r>
          </w:p>
        </w:tc>
        <w:tc>
          <w:tcPr>
            <w:tcW w:w="1927" w:type="dxa"/>
            <w:tcBorders>
              <w:bottom w:val="nil"/>
            </w:tcBorders>
          </w:tcPr>
          <w:p>
            <w:pPr>
              <w:pStyle w:val="0"/>
              <w:jc w:val="both"/>
            </w:pPr>
            <w:r>
              <w:rPr>
                <w:sz w:val="20"/>
              </w:rPr>
              <w:t xml:space="preserve">Департамент здравоохранения города Севастополя, ГКУС "Медицинский склад N 1043"</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2025</w:t>
            </w:r>
          </w:p>
        </w:tc>
        <w:tc>
          <w:tcPr>
            <w:tcW w:w="2721" w:type="dxa"/>
            <w:tcBorders>
              <w:bottom w:val="nil"/>
            </w:tcBorders>
          </w:tcPr>
          <w:p>
            <w:pPr>
              <w:pStyle w:val="0"/>
              <w:jc w:val="both"/>
            </w:pPr>
            <w:r>
              <w:rPr>
                <w:sz w:val="20"/>
              </w:rPr>
              <w:t xml:space="preserve">Увеличение ожидаемой продолжительности здоровой жизни населения города Севастополя</w:t>
            </w:r>
          </w:p>
        </w:tc>
        <w:tc>
          <w:tcPr>
            <w:tcW w:w="2551" w:type="dxa"/>
            <w:tcBorders>
              <w:bottom w:val="nil"/>
            </w:tcBorders>
          </w:tcPr>
          <w:p>
            <w:pPr>
              <w:pStyle w:val="0"/>
              <w:jc w:val="both"/>
            </w:pPr>
            <w:r>
              <w:rPr>
                <w:sz w:val="20"/>
              </w:rPr>
              <w:t xml:space="preserve">Снижение ожидаемой продолжительности здоровой жизни населения города Севастополя</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9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8.1.1</w:t>
            </w:r>
          </w:p>
        </w:tc>
        <w:tc>
          <w:tcPr>
            <w:tcW w:w="1644" w:type="dxa"/>
            <w:tcBorders>
              <w:bottom w:val="nil"/>
            </w:tcBorders>
          </w:tcPr>
          <w:p>
            <w:pPr>
              <w:pStyle w:val="0"/>
              <w:jc w:val="center"/>
            </w:pPr>
            <w:r>
              <w:rPr>
                <w:sz w:val="20"/>
              </w:rPr>
              <w:t xml:space="preserve">07 8 P3 54680</w:t>
            </w:r>
          </w:p>
        </w:tc>
        <w:tc>
          <w:tcPr>
            <w:tcW w:w="2267" w:type="dxa"/>
            <w:tcBorders>
              <w:bottom w:val="nil"/>
            </w:tcBorders>
          </w:tcPr>
          <w:p>
            <w:pPr>
              <w:pStyle w:val="0"/>
              <w:jc w:val="both"/>
            </w:pPr>
            <w:r>
              <w:rPr>
                <w:sz w:val="20"/>
              </w:rPr>
              <w:t xml:space="preserve">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1927" w:type="dxa"/>
            <w:tcBorders>
              <w:bottom w:val="nil"/>
            </w:tcBorders>
          </w:tcPr>
          <w:p>
            <w:pPr>
              <w:pStyle w:val="0"/>
              <w:jc w:val="both"/>
            </w:pPr>
            <w:r>
              <w:rPr>
                <w:sz w:val="20"/>
              </w:rPr>
              <w:t xml:space="preserve">Департамент здравоохранения города Севастополя, ГКУС "Медицинский склад N 1043"</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2025</w:t>
            </w:r>
          </w:p>
        </w:tc>
        <w:tc>
          <w:tcPr>
            <w:tcW w:w="2721" w:type="dxa"/>
            <w:tcBorders>
              <w:bottom w:val="nil"/>
            </w:tcBorders>
          </w:tcPr>
          <w:p>
            <w:pPr>
              <w:pStyle w:val="0"/>
              <w:jc w:val="both"/>
            </w:pPr>
            <w:r>
              <w:rPr>
                <w:sz w:val="20"/>
              </w:rPr>
              <w:t xml:space="preserve">Снижение смертности от пневмоний</w:t>
            </w:r>
          </w:p>
        </w:tc>
        <w:tc>
          <w:tcPr>
            <w:tcW w:w="2551" w:type="dxa"/>
            <w:tcBorders>
              <w:bottom w:val="nil"/>
            </w:tcBorders>
          </w:tcPr>
          <w:p>
            <w:pPr>
              <w:pStyle w:val="0"/>
              <w:jc w:val="both"/>
            </w:pPr>
            <w:r>
              <w:rPr>
                <w:sz w:val="20"/>
              </w:rPr>
              <w:t xml:space="preserve">Повышение смертности от пневмоний</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9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850" w:type="dxa"/>
          </w:tcPr>
          <w:p>
            <w:pPr>
              <w:pStyle w:val="0"/>
              <w:jc w:val="both"/>
            </w:pPr>
            <w:r>
              <w:rPr>
                <w:sz w:val="20"/>
              </w:rPr>
              <w:t xml:space="preserve">8.2</w:t>
            </w:r>
          </w:p>
        </w:tc>
        <w:tc>
          <w:tcPr>
            <w:tcW w:w="1644" w:type="dxa"/>
          </w:tcPr>
          <w:p>
            <w:pPr>
              <w:pStyle w:val="0"/>
              <w:jc w:val="center"/>
            </w:pPr>
            <w:r>
              <w:rPr>
                <w:sz w:val="20"/>
              </w:rPr>
            </w:r>
          </w:p>
        </w:tc>
        <w:tc>
          <w:tcPr>
            <w:tcW w:w="2267" w:type="dxa"/>
          </w:tcPr>
          <w:p>
            <w:pPr>
              <w:pStyle w:val="0"/>
              <w:jc w:val="both"/>
            </w:pPr>
            <w:r>
              <w:rPr>
                <w:sz w:val="20"/>
              </w:rPr>
              <w:t xml:space="preserve">Реализация регионального проекта "Развитие системы оказания первичной медико-санитарной помощи" в рамках национального проекта "Здравоохранение"</w:t>
            </w:r>
          </w:p>
        </w:tc>
        <w:tc>
          <w:tcPr>
            <w:tcW w:w="1927" w:type="dxa"/>
          </w:tcPr>
          <w:p>
            <w:pPr>
              <w:pStyle w:val="0"/>
              <w:jc w:val="both"/>
            </w:pPr>
            <w:r>
              <w:rPr>
                <w:sz w:val="20"/>
              </w:rPr>
              <w:t xml:space="preserve">Департамент здравоохранения города Севастополя, ГКУС "Медицинский склад N 1043"</w:t>
            </w:r>
          </w:p>
        </w:tc>
        <w:tc>
          <w:tcPr>
            <w:tcW w:w="821" w:type="dxa"/>
          </w:tcPr>
          <w:p>
            <w:pPr>
              <w:pStyle w:val="0"/>
              <w:jc w:val="both"/>
            </w:pPr>
            <w:r>
              <w:rPr>
                <w:sz w:val="20"/>
              </w:rPr>
              <w:t xml:space="preserve">2022</w:t>
            </w:r>
          </w:p>
        </w:tc>
        <w:tc>
          <w:tcPr>
            <w:tcW w:w="821" w:type="dxa"/>
          </w:tcPr>
          <w:p>
            <w:pPr>
              <w:pStyle w:val="0"/>
              <w:jc w:val="both"/>
            </w:pPr>
            <w:r>
              <w:rPr>
                <w:sz w:val="20"/>
              </w:rPr>
              <w:t xml:space="preserve">2024</w:t>
            </w:r>
          </w:p>
        </w:tc>
        <w:tc>
          <w:tcPr>
            <w:tcW w:w="2721" w:type="dxa"/>
          </w:tcPr>
          <w:p>
            <w:pPr>
              <w:pStyle w:val="0"/>
              <w:jc w:val="both"/>
            </w:pPr>
            <w:r>
              <w:rPr>
                <w:sz w:val="20"/>
              </w:rPr>
              <w:t xml:space="preserve">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 обеспечение охвата всех граждан профилактическими медицинскими осмотрами не реже одного раза в год; 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 формирование системы защиты прав пациентов</w:t>
            </w:r>
          </w:p>
        </w:tc>
        <w:tc>
          <w:tcPr>
            <w:tcW w:w="2551" w:type="dxa"/>
          </w:tcPr>
          <w:p>
            <w:pPr>
              <w:pStyle w:val="0"/>
              <w:jc w:val="both"/>
            </w:pPr>
            <w:r>
              <w:rPr>
                <w:sz w:val="20"/>
              </w:rPr>
              <w:t xml:space="preserve">Снижение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 невозможность обеспечить всех граждан профилактическими медицинскими осмотрами один раз в год; увеличение времени ожидания в очереди при обращении граждан в медицинские организации, сложность процедуры записи на прием к врачу</w:t>
            </w:r>
          </w:p>
        </w:tc>
      </w:tr>
      <w:tr>
        <w:tc>
          <w:tcPr>
            <w:tcW w:w="850" w:type="dxa"/>
          </w:tcPr>
          <w:p>
            <w:pPr>
              <w:pStyle w:val="0"/>
              <w:jc w:val="both"/>
            </w:pPr>
            <w:r>
              <w:rPr>
                <w:sz w:val="20"/>
              </w:rPr>
              <w:t xml:space="preserve">8.2.1</w:t>
            </w:r>
          </w:p>
        </w:tc>
        <w:tc>
          <w:tcPr>
            <w:tcW w:w="1644" w:type="dxa"/>
          </w:tcPr>
          <w:p>
            <w:pPr>
              <w:pStyle w:val="0"/>
              <w:jc w:val="center"/>
            </w:pPr>
            <w:r>
              <w:rPr>
                <w:sz w:val="20"/>
              </w:rPr>
              <w:t xml:space="preserve">07 8 N1 55540</w:t>
            </w:r>
          </w:p>
        </w:tc>
        <w:tc>
          <w:tcPr>
            <w:tcW w:w="2267" w:type="dxa"/>
          </w:tcPr>
          <w:p>
            <w:pPr>
              <w:pStyle w:val="0"/>
              <w:jc w:val="both"/>
            </w:pPr>
            <w:r>
              <w:rPr>
                <w:sz w:val="20"/>
              </w:rPr>
              <w:t xml:space="preserve">Мероприятия по обеспечению закупки авиационных работ органами государственной власти города Севастополя в целях оказания медицинской помощи</w:t>
            </w:r>
          </w:p>
        </w:tc>
        <w:tc>
          <w:tcPr>
            <w:tcW w:w="1927" w:type="dxa"/>
          </w:tcPr>
          <w:p>
            <w:pPr>
              <w:pStyle w:val="0"/>
              <w:jc w:val="both"/>
            </w:pPr>
            <w:r>
              <w:rPr>
                <w:sz w:val="20"/>
              </w:rPr>
              <w:t xml:space="preserve">Департамент здравоохранения города Севастополя, ГКУС "Медицинский склад N 1043"</w:t>
            </w:r>
          </w:p>
        </w:tc>
        <w:tc>
          <w:tcPr>
            <w:tcW w:w="821" w:type="dxa"/>
          </w:tcPr>
          <w:p>
            <w:pPr>
              <w:pStyle w:val="0"/>
              <w:jc w:val="both"/>
            </w:pPr>
            <w:r>
              <w:rPr>
                <w:sz w:val="20"/>
              </w:rPr>
              <w:t xml:space="preserve">2022</w:t>
            </w:r>
          </w:p>
        </w:tc>
        <w:tc>
          <w:tcPr>
            <w:tcW w:w="821" w:type="dxa"/>
          </w:tcPr>
          <w:p>
            <w:pPr>
              <w:pStyle w:val="0"/>
              <w:jc w:val="both"/>
            </w:pPr>
            <w:r>
              <w:rPr>
                <w:sz w:val="20"/>
              </w:rPr>
              <w:t xml:space="preserve">2024</w:t>
            </w:r>
          </w:p>
        </w:tc>
        <w:tc>
          <w:tcPr>
            <w:tcW w:w="2721" w:type="dxa"/>
          </w:tcPr>
          <w:p>
            <w:pPr>
              <w:pStyle w:val="0"/>
              <w:jc w:val="both"/>
            </w:pPr>
            <w:r>
              <w:rPr>
                <w:sz w:val="20"/>
              </w:rPr>
              <w:t xml:space="preserve">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 обеспечение охвата всех граждан профилактическими медицинскими осмотрами не реже одного раза в год; 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 формирование системы защиты прав пациентов</w:t>
            </w:r>
          </w:p>
        </w:tc>
        <w:tc>
          <w:tcPr>
            <w:tcW w:w="2551" w:type="dxa"/>
          </w:tcPr>
          <w:p>
            <w:pPr>
              <w:pStyle w:val="0"/>
              <w:jc w:val="both"/>
            </w:pPr>
            <w:r>
              <w:rPr>
                <w:sz w:val="20"/>
              </w:rPr>
              <w:t xml:space="preserve">Снижение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 невозможность обеспечить всех граждан профилактическими медицинскими осмотрами один раз в год; увеличение времени ожидания в очереди при обращении граждан в медицинские организации, сложность процедуры записи на прием к врачу</w:t>
            </w:r>
          </w:p>
        </w:tc>
      </w:tr>
      <w:tr>
        <w:tblPrEx>
          <w:tblBorders>
            <w:insideH w:val="nil"/>
          </w:tblBorders>
        </w:tblPrEx>
        <w:tc>
          <w:tcPr>
            <w:tcW w:w="850" w:type="dxa"/>
            <w:tcBorders>
              <w:bottom w:val="nil"/>
            </w:tcBorders>
          </w:tcPr>
          <w:p>
            <w:pPr>
              <w:pStyle w:val="0"/>
              <w:jc w:val="both"/>
            </w:pPr>
            <w:r>
              <w:rPr>
                <w:sz w:val="20"/>
              </w:rPr>
              <w:t xml:space="preserve">8.3</w:t>
            </w:r>
          </w:p>
        </w:tc>
        <w:tc>
          <w:tcPr>
            <w:tcW w:w="1644" w:type="dxa"/>
            <w:tcBorders>
              <w:bottom w:val="nil"/>
            </w:tcBorders>
          </w:tcPr>
          <w:p>
            <w:pPr>
              <w:pStyle w:val="0"/>
              <w:jc w:val="center"/>
            </w:pPr>
            <w:r>
              <w:rPr>
                <w:sz w:val="20"/>
              </w:rPr>
            </w:r>
          </w:p>
        </w:tc>
        <w:tc>
          <w:tcPr>
            <w:tcW w:w="2267" w:type="dxa"/>
            <w:tcBorders>
              <w:bottom w:val="nil"/>
            </w:tcBorders>
          </w:tcPr>
          <w:p>
            <w:pPr>
              <w:pStyle w:val="0"/>
              <w:jc w:val="both"/>
            </w:pPr>
            <w:r>
              <w:rPr>
                <w:sz w:val="20"/>
              </w:rPr>
              <w:t xml:space="preserve">Реализация регионального проекта "Борьба с сердечно-сосудистыми заболеваниями" в рамках национального проекта "Здравоохранение"</w:t>
            </w:r>
          </w:p>
        </w:tc>
        <w:tc>
          <w:tcPr>
            <w:tcW w:w="1927" w:type="dxa"/>
            <w:tcBorders>
              <w:bottom w:val="nil"/>
            </w:tcBorders>
          </w:tcPr>
          <w:p>
            <w:pPr>
              <w:pStyle w:val="0"/>
              <w:jc w:val="both"/>
            </w:pPr>
            <w:r>
              <w:rPr>
                <w:sz w:val="20"/>
              </w:rPr>
              <w:t xml:space="preserve">Департамент здравоохранения города Севастополя, ГКУС "Медицинский склад N 1043"</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2025</w:t>
            </w:r>
          </w:p>
        </w:tc>
        <w:tc>
          <w:tcPr>
            <w:tcW w:w="2721" w:type="dxa"/>
            <w:tcBorders>
              <w:bottom w:val="nil"/>
            </w:tcBorders>
          </w:tcPr>
          <w:p>
            <w:pPr>
              <w:pStyle w:val="0"/>
              <w:jc w:val="both"/>
            </w:pPr>
            <w:r>
              <w:rPr>
                <w:sz w:val="20"/>
              </w:rPr>
              <w:t xml:space="preserve">Снижение смертности от болезней системы кровообращения</w:t>
            </w:r>
          </w:p>
        </w:tc>
        <w:tc>
          <w:tcPr>
            <w:tcW w:w="2551" w:type="dxa"/>
            <w:tcBorders>
              <w:bottom w:val="nil"/>
            </w:tcBorders>
          </w:tcPr>
          <w:p>
            <w:pPr>
              <w:pStyle w:val="0"/>
              <w:jc w:val="both"/>
            </w:pPr>
            <w:r>
              <w:rPr>
                <w:sz w:val="20"/>
              </w:rPr>
              <w:t xml:space="preserve">Повышение смертности от болезней системы кровообращения</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9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850" w:type="dxa"/>
          </w:tcPr>
          <w:p>
            <w:pPr>
              <w:pStyle w:val="0"/>
              <w:jc w:val="both"/>
            </w:pPr>
            <w:r>
              <w:rPr>
                <w:sz w:val="20"/>
              </w:rPr>
              <w:t xml:space="preserve">8.3.1</w:t>
            </w:r>
          </w:p>
        </w:tc>
        <w:tc>
          <w:tcPr>
            <w:tcW w:w="1644" w:type="dxa"/>
          </w:tcPr>
          <w:p>
            <w:pPr>
              <w:pStyle w:val="0"/>
              <w:jc w:val="center"/>
            </w:pPr>
            <w:r>
              <w:rPr>
                <w:sz w:val="20"/>
              </w:rPr>
              <w:t xml:space="preserve">07 8 N2 51920</w:t>
            </w:r>
          </w:p>
        </w:tc>
        <w:tc>
          <w:tcPr>
            <w:tcW w:w="2267" w:type="dxa"/>
          </w:tcPr>
          <w:p>
            <w:pPr>
              <w:pStyle w:val="0"/>
              <w:jc w:val="both"/>
            </w:pPr>
            <w:r>
              <w:rPr>
                <w:sz w:val="20"/>
              </w:rPr>
              <w:t xml:space="preserve">Оснащение оборудованием региональных сосудистых центров и первичных сосудистых отделений</w:t>
            </w:r>
          </w:p>
        </w:tc>
        <w:tc>
          <w:tcPr>
            <w:tcW w:w="1927" w:type="dxa"/>
          </w:tcPr>
          <w:p>
            <w:pPr>
              <w:pStyle w:val="0"/>
              <w:jc w:val="both"/>
            </w:pPr>
            <w:r>
              <w:rPr>
                <w:sz w:val="20"/>
              </w:rPr>
              <w:t xml:space="preserve">Департамент здравоохранения города Севастополя, ГКУС "Медицинский склад N 1043"</w:t>
            </w:r>
          </w:p>
        </w:tc>
        <w:tc>
          <w:tcPr>
            <w:tcW w:w="821" w:type="dxa"/>
          </w:tcPr>
          <w:p>
            <w:pPr>
              <w:pStyle w:val="0"/>
              <w:jc w:val="both"/>
            </w:pPr>
            <w:r>
              <w:rPr>
                <w:sz w:val="20"/>
              </w:rPr>
              <w:t xml:space="preserve">2022</w:t>
            </w:r>
          </w:p>
        </w:tc>
        <w:tc>
          <w:tcPr>
            <w:tcW w:w="821" w:type="dxa"/>
          </w:tcPr>
          <w:p>
            <w:pPr>
              <w:pStyle w:val="0"/>
              <w:jc w:val="both"/>
            </w:pPr>
            <w:r>
              <w:rPr>
                <w:sz w:val="20"/>
              </w:rPr>
              <w:t xml:space="preserve">2024</w:t>
            </w:r>
          </w:p>
        </w:tc>
        <w:tc>
          <w:tcPr>
            <w:tcW w:w="2721" w:type="dxa"/>
          </w:tcPr>
          <w:p>
            <w:pPr>
              <w:pStyle w:val="0"/>
              <w:jc w:val="both"/>
            </w:pPr>
            <w:r>
              <w:rPr>
                <w:sz w:val="20"/>
              </w:rPr>
              <w:t xml:space="preserve">Снижение смертности от сердечно-сосудистых заболеваний, от болезней системы кровообращения. Увеличение ожидаемой продолжительности здоровой жизни населения города Севастополя</w:t>
            </w:r>
          </w:p>
        </w:tc>
        <w:tc>
          <w:tcPr>
            <w:tcW w:w="2551" w:type="dxa"/>
          </w:tcPr>
          <w:p>
            <w:pPr>
              <w:pStyle w:val="0"/>
              <w:jc w:val="both"/>
            </w:pPr>
            <w:r>
              <w:rPr>
                <w:sz w:val="20"/>
              </w:rPr>
              <w:t xml:space="preserve">Повышение смертности от сердечно-сосудистых заболеваний, от болезней системы кровообращения</w:t>
            </w:r>
          </w:p>
        </w:tc>
      </w:tr>
      <w:tr>
        <w:tblPrEx>
          <w:tblBorders>
            <w:insideH w:val="nil"/>
          </w:tblBorders>
        </w:tblPrEx>
        <w:tc>
          <w:tcPr>
            <w:tcW w:w="850" w:type="dxa"/>
            <w:tcBorders>
              <w:bottom w:val="nil"/>
            </w:tcBorders>
          </w:tcPr>
          <w:p>
            <w:pPr>
              <w:pStyle w:val="0"/>
              <w:jc w:val="both"/>
            </w:pPr>
            <w:r>
              <w:rPr>
                <w:sz w:val="20"/>
              </w:rPr>
              <w:t xml:space="preserve">8.3.2</w:t>
            </w:r>
          </w:p>
        </w:tc>
        <w:tc>
          <w:tcPr>
            <w:tcW w:w="1644" w:type="dxa"/>
            <w:tcBorders>
              <w:bottom w:val="nil"/>
            </w:tcBorders>
          </w:tcPr>
          <w:p>
            <w:pPr>
              <w:pStyle w:val="0"/>
              <w:jc w:val="center"/>
            </w:pPr>
            <w:r>
              <w:rPr>
                <w:sz w:val="20"/>
              </w:rPr>
              <w:t xml:space="preserve">07 8 N2 55860</w:t>
            </w:r>
          </w:p>
        </w:tc>
        <w:tc>
          <w:tcPr>
            <w:tcW w:w="2267" w:type="dxa"/>
            <w:tcBorders>
              <w:bottom w:val="nil"/>
            </w:tcBorders>
          </w:tcPr>
          <w:p>
            <w:pPr>
              <w:pStyle w:val="0"/>
              <w:jc w:val="both"/>
            </w:pPr>
            <w:r>
              <w:rPr>
                <w:sz w:val="20"/>
              </w:rPr>
              <w:t xml:space="preserve">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1927" w:type="dxa"/>
            <w:tcBorders>
              <w:bottom w:val="nil"/>
            </w:tcBorders>
          </w:tcPr>
          <w:p>
            <w:pPr>
              <w:pStyle w:val="0"/>
              <w:jc w:val="both"/>
            </w:pPr>
            <w:r>
              <w:rPr>
                <w:sz w:val="20"/>
              </w:rPr>
              <w:t xml:space="preserve">Департамент здравоохранения города Севастополя, ГКУС "Медицинский склад N 1043"</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2025</w:t>
            </w:r>
          </w:p>
        </w:tc>
        <w:tc>
          <w:tcPr>
            <w:tcW w:w="2721" w:type="dxa"/>
            <w:tcBorders>
              <w:bottom w:val="nil"/>
            </w:tcBorders>
          </w:tcPr>
          <w:p>
            <w:pPr>
              <w:pStyle w:val="0"/>
              <w:jc w:val="both"/>
            </w:pPr>
            <w:r>
              <w:rPr>
                <w:sz w:val="20"/>
              </w:rPr>
              <w:t xml:space="preserve">Снижение смертности от сердечно-сосудистых заболеваний, от болезней системы кровообращения. Увеличение ожидаемой продолжительности здоровой жизни населения города Севастополя</w:t>
            </w:r>
          </w:p>
        </w:tc>
        <w:tc>
          <w:tcPr>
            <w:tcW w:w="2551" w:type="dxa"/>
            <w:tcBorders>
              <w:bottom w:val="nil"/>
            </w:tcBorders>
          </w:tcPr>
          <w:p>
            <w:pPr>
              <w:pStyle w:val="0"/>
              <w:jc w:val="both"/>
            </w:pPr>
            <w:r>
              <w:rPr>
                <w:sz w:val="20"/>
              </w:rPr>
              <w:t xml:space="preserve">Повышение смертности от сердечно-сосудистых заболеваний, от болезней системы кровообращения</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9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850" w:type="dxa"/>
          </w:tcPr>
          <w:p>
            <w:pPr>
              <w:pStyle w:val="0"/>
              <w:jc w:val="both"/>
            </w:pPr>
            <w:r>
              <w:rPr>
                <w:sz w:val="20"/>
              </w:rPr>
              <w:t xml:space="preserve">8.4</w:t>
            </w:r>
          </w:p>
        </w:tc>
        <w:tc>
          <w:tcPr>
            <w:tcW w:w="1644" w:type="dxa"/>
          </w:tcPr>
          <w:p>
            <w:pPr>
              <w:pStyle w:val="0"/>
              <w:jc w:val="center"/>
            </w:pPr>
            <w:r>
              <w:rPr>
                <w:sz w:val="20"/>
              </w:rPr>
              <w:t xml:space="preserve">07 8 N3 51900</w:t>
            </w:r>
          </w:p>
        </w:tc>
        <w:tc>
          <w:tcPr>
            <w:tcW w:w="2267" w:type="dxa"/>
          </w:tcPr>
          <w:p>
            <w:pPr>
              <w:pStyle w:val="0"/>
              <w:jc w:val="both"/>
            </w:pPr>
            <w:r>
              <w:rPr>
                <w:sz w:val="20"/>
              </w:rPr>
              <w:t xml:space="preserve">Реализация регионального проекта "Борьба с онкологическими заболеваниями" в рамках национального проекта "Здравоохранение"</w:t>
            </w:r>
          </w:p>
        </w:tc>
        <w:tc>
          <w:tcPr>
            <w:tcW w:w="1927" w:type="dxa"/>
          </w:tcPr>
          <w:p>
            <w:pPr>
              <w:pStyle w:val="0"/>
              <w:jc w:val="both"/>
            </w:pPr>
            <w:r>
              <w:rPr>
                <w:sz w:val="20"/>
              </w:rPr>
              <w:t xml:space="preserve">Департамент здравоохранения города Севастополя, ГКУС "Медицинский склад N 1043"</w:t>
            </w:r>
          </w:p>
        </w:tc>
        <w:tc>
          <w:tcPr>
            <w:tcW w:w="821" w:type="dxa"/>
          </w:tcPr>
          <w:p>
            <w:pPr>
              <w:pStyle w:val="0"/>
              <w:jc w:val="both"/>
            </w:pPr>
            <w:r>
              <w:rPr>
                <w:sz w:val="20"/>
              </w:rPr>
              <w:t xml:space="preserve">2022</w:t>
            </w:r>
          </w:p>
        </w:tc>
        <w:tc>
          <w:tcPr>
            <w:tcW w:w="821" w:type="dxa"/>
          </w:tcPr>
          <w:p>
            <w:pPr>
              <w:pStyle w:val="0"/>
              <w:jc w:val="both"/>
            </w:pPr>
            <w:r>
              <w:rPr>
                <w:sz w:val="20"/>
              </w:rPr>
              <w:t xml:space="preserve">2024</w:t>
            </w:r>
          </w:p>
        </w:tc>
        <w:tc>
          <w:tcPr>
            <w:tcW w:w="2721" w:type="dxa"/>
          </w:tcPr>
          <w:p>
            <w:pPr>
              <w:pStyle w:val="0"/>
              <w:jc w:val="both"/>
            </w:pPr>
            <w:r>
              <w:rPr>
                <w:sz w:val="20"/>
              </w:rPr>
              <w:t xml:space="preserve">Снижение смертности от злокачественных новообразований</w:t>
            </w:r>
          </w:p>
        </w:tc>
        <w:tc>
          <w:tcPr>
            <w:tcW w:w="2551" w:type="dxa"/>
          </w:tcPr>
          <w:p>
            <w:pPr>
              <w:pStyle w:val="0"/>
              <w:jc w:val="both"/>
            </w:pPr>
            <w:r>
              <w:rPr>
                <w:sz w:val="20"/>
              </w:rPr>
              <w:t xml:space="preserve">Повышение смертности от злокачественных новообразований</w:t>
            </w:r>
          </w:p>
        </w:tc>
      </w:tr>
      <w:tr>
        <w:tc>
          <w:tcPr>
            <w:tcW w:w="850" w:type="dxa"/>
          </w:tcPr>
          <w:p>
            <w:pPr>
              <w:pStyle w:val="0"/>
              <w:jc w:val="both"/>
            </w:pPr>
            <w:r>
              <w:rPr>
                <w:sz w:val="20"/>
              </w:rPr>
              <w:t xml:space="preserve">8.5</w:t>
            </w:r>
          </w:p>
        </w:tc>
        <w:tc>
          <w:tcPr>
            <w:tcW w:w="1644" w:type="dxa"/>
          </w:tcPr>
          <w:p>
            <w:pPr>
              <w:pStyle w:val="0"/>
              <w:jc w:val="center"/>
            </w:pPr>
            <w:r>
              <w:rPr>
                <w:sz w:val="20"/>
              </w:rPr>
              <w:t xml:space="preserve">07 8 N7 51140</w:t>
            </w:r>
          </w:p>
        </w:tc>
        <w:tc>
          <w:tcPr>
            <w:tcW w:w="2267" w:type="dxa"/>
          </w:tcPr>
          <w:p>
            <w:pPr>
              <w:pStyle w:val="0"/>
              <w:jc w:val="both"/>
            </w:pPr>
            <w:r>
              <w:rPr>
                <w:sz w:val="20"/>
              </w:rPr>
              <w:t xml:space="preserve">Реализация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в рамках национального проекта "Здравоохранение"</w:t>
            </w:r>
          </w:p>
        </w:tc>
        <w:tc>
          <w:tcPr>
            <w:tcW w:w="1927" w:type="dxa"/>
          </w:tcPr>
          <w:p>
            <w:pPr>
              <w:pStyle w:val="0"/>
              <w:jc w:val="both"/>
            </w:pPr>
            <w:r>
              <w:rPr>
                <w:sz w:val="20"/>
              </w:rPr>
              <w:t xml:space="preserve">Департамент здравоохранения города Севастополя, ГКУС "Медицинский склад N 1043"</w:t>
            </w:r>
          </w:p>
        </w:tc>
        <w:tc>
          <w:tcPr>
            <w:tcW w:w="821" w:type="dxa"/>
          </w:tcPr>
          <w:p>
            <w:pPr>
              <w:pStyle w:val="0"/>
              <w:jc w:val="both"/>
            </w:pPr>
            <w:r>
              <w:rPr>
                <w:sz w:val="20"/>
              </w:rPr>
              <w:t xml:space="preserve">2022</w:t>
            </w:r>
          </w:p>
        </w:tc>
        <w:tc>
          <w:tcPr>
            <w:tcW w:w="821" w:type="dxa"/>
          </w:tcPr>
          <w:p>
            <w:pPr>
              <w:pStyle w:val="0"/>
              <w:jc w:val="both"/>
            </w:pPr>
            <w:r>
              <w:rPr>
                <w:sz w:val="20"/>
              </w:rPr>
              <w:t xml:space="preserve">2024</w:t>
            </w:r>
          </w:p>
        </w:tc>
        <w:tc>
          <w:tcPr>
            <w:tcW w:w="2721" w:type="dxa"/>
          </w:tcPr>
          <w:p>
            <w:pPr>
              <w:pStyle w:val="0"/>
              <w:jc w:val="both"/>
            </w:pPr>
            <w:r>
              <w:rPr>
                <w:sz w:val="20"/>
              </w:rPr>
              <w:t xml:space="preserve">Повышение эффективности функционирования системы здравоохранения за счет создания единого цифрового контура здравоохранения и организации механизмов информационного взаимодействия медицинских организаций государственной и муниципальной систем здравоохранения на основе единой государственной информационной системы в сфере здравоохранения (ЕГИСЗ), реализации электронных услуг (сервисов) в личном кабинете пациента "Мое здоровье" на Едином портале государственных и муниципальных услуг (ЕПГУ), доступном для всех граждан Российской Федерации</w:t>
            </w:r>
          </w:p>
        </w:tc>
        <w:tc>
          <w:tcPr>
            <w:tcW w:w="2551" w:type="dxa"/>
          </w:tcPr>
          <w:p>
            <w:pPr>
              <w:pStyle w:val="0"/>
              <w:jc w:val="both"/>
            </w:pPr>
            <w:r>
              <w:rPr>
                <w:sz w:val="20"/>
              </w:rPr>
              <w:t xml:space="preserve">Снижение эффективности функционирования системы здравоохранения, отсутствие возможности реализации электронных услуг (сервисов) в личном кабинете пациента "Мое здоровье" на Едином портале государственных и муниципальных услуг (ЕПГУ)</w:t>
            </w:r>
          </w:p>
        </w:tc>
      </w:tr>
      <w:tr>
        <w:tblPrEx>
          <w:tblBorders>
            <w:insideH w:val="nil"/>
          </w:tblBorders>
        </w:tblPrEx>
        <w:tc>
          <w:tcPr>
            <w:tcW w:w="850" w:type="dxa"/>
            <w:tcBorders>
              <w:bottom w:val="nil"/>
            </w:tcBorders>
          </w:tcPr>
          <w:p>
            <w:pPr>
              <w:pStyle w:val="0"/>
              <w:jc w:val="both"/>
            </w:pPr>
            <w:r>
              <w:rPr>
                <w:sz w:val="20"/>
              </w:rPr>
              <w:t xml:space="preserve">8.6</w:t>
            </w:r>
          </w:p>
        </w:tc>
        <w:tc>
          <w:tcPr>
            <w:tcW w:w="1644" w:type="dxa"/>
            <w:tcBorders>
              <w:bottom w:val="nil"/>
            </w:tcBorders>
          </w:tcPr>
          <w:p>
            <w:pPr>
              <w:pStyle w:val="0"/>
              <w:jc w:val="center"/>
            </w:pPr>
            <w:r>
              <w:rPr>
                <w:sz w:val="20"/>
              </w:rPr>
            </w:r>
          </w:p>
        </w:tc>
        <w:tc>
          <w:tcPr>
            <w:tcW w:w="2267" w:type="dxa"/>
            <w:tcBorders>
              <w:bottom w:val="nil"/>
            </w:tcBorders>
          </w:tcPr>
          <w:p>
            <w:pPr>
              <w:pStyle w:val="0"/>
              <w:jc w:val="both"/>
            </w:pPr>
            <w:r>
              <w:rPr>
                <w:sz w:val="20"/>
              </w:rPr>
              <w:t xml:space="preserve">Реализация регионального проекта модернизации первичного звена здравоохранения города Севастополя</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2026</w:t>
            </w:r>
          </w:p>
        </w:tc>
        <w:tc>
          <w:tcPr>
            <w:tcW w:w="2721" w:type="dxa"/>
            <w:tcBorders>
              <w:bottom w:val="nil"/>
            </w:tcBorders>
          </w:tcPr>
          <w:p>
            <w:pPr>
              <w:pStyle w:val="0"/>
              <w:jc w:val="both"/>
            </w:pPr>
            <w:r>
              <w:rPr>
                <w:sz w:val="20"/>
              </w:rPr>
              <w:t xml:space="preserve">Снижение смертности от всех причин. Снижение смертности лиц трудоспособного возраста.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смертности от всех причин. Увеличение смертности лиц трудоспособного возраста. 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399"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8.6.1</w:t>
            </w:r>
          </w:p>
        </w:tc>
        <w:tc>
          <w:tcPr>
            <w:tcW w:w="1644" w:type="dxa"/>
            <w:tcBorders>
              <w:bottom w:val="nil"/>
            </w:tcBorders>
          </w:tcPr>
          <w:p>
            <w:pPr>
              <w:pStyle w:val="0"/>
              <w:jc w:val="center"/>
            </w:pPr>
            <w:r>
              <w:rPr>
                <w:sz w:val="20"/>
              </w:rPr>
            </w:r>
          </w:p>
        </w:tc>
        <w:tc>
          <w:tcPr>
            <w:tcW w:w="2267" w:type="dxa"/>
            <w:tcBorders>
              <w:bottom w:val="nil"/>
            </w:tcBorders>
          </w:tcPr>
          <w:p>
            <w:pPr>
              <w:pStyle w:val="0"/>
              <w:jc w:val="both"/>
            </w:pPr>
            <w:r>
              <w:rPr>
                <w:sz w:val="20"/>
              </w:rPr>
              <w:t xml:space="preserve">Строительство новых объектов</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2026</w:t>
            </w:r>
          </w:p>
        </w:tc>
        <w:tc>
          <w:tcPr>
            <w:tcW w:w="2721" w:type="dxa"/>
            <w:tcBorders>
              <w:bottom w:val="nil"/>
            </w:tcBorders>
          </w:tcPr>
          <w:p>
            <w:pPr>
              <w:pStyle w:val="0"/>
              <w:jc w:val="both"/>
            </w:pPr>
            <w:r>
              <w:rPr>
                <w:sz w:val="20"/>
              </w:rPr>
              <w:t xml:space="preserve">В связи с износом основных фондов приведение в соответствие оснащения санитарным нормам и правилам. Увеличение доступности и качества оказания медицинской помощи</w:t>
            </w:r>
          </w:p>
        </w:tc>
        <w:tc>
          <w:tcPr>
            <w:tcW w:w="2551" w:type="dxa"/>
            <w:tcBorders>
              <w:bottom w:val="nil"/>
            </w:tcBorders>
          </w:tcPr>
          <w:p>
            <w:pPr>
              <w:pStyle w:val="0"/>
              <w:jc w:val="both"/>
            </w:pPr>
            <w:r>
              <w:rPr>
                <w:sz w:val="20"/>
              </w:rPr>
              <w:t xml:space="preserve">Снижение доступности и качества оказания медицинской помощи</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40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8.6.1.1</w:t>
            </w:r>
          </w:p>
        </w:tc>
        <w:tc>
          <w:tcPr>
            <w:tcW w:w="1644" w:type="dxa"/>
            <w:tcBorders>
              <w:bottom w:val="nil"/>
            </w:tcBorders>
          </w:tcPr>
          <w:p>
            <w:pPr>
              <w:pStyle w:val="0"/>
              <w:jc w:val="center"/>
            </w:pPr>
            <w:r>
              <w:rPr>
                <w:sz w:val="20"/>
              </w:rPr>
              <w:t xml:space="preserve">07 8 N9 53650,</w:t>
            </w:r>
          </w:p>
          <w:p>
            <w:pPr>
              <w:pStyle w:val="0"/>
              <w:jc w:val="center"/>
            </w:pPr>
            <w:r>
              <w:rPr>
                <w:sz w:val="20"/>
              </w:rPr>
              <w:t xml:space="preserve">07 8 N9 5365Z</w:t>
            </w:r>
          </w:p>
        </w:tc>
        <w:tc>
          <w:tcPr>
            <w:tcW w:w="2267" w:type="dxa"/>
            <w:tcBorders>
              <w:bottom w:val="nil"/>
            </w:tcBorders>
          </w:tcPr>
          <w:p>
            <w:pPr>
              <w:pStyle w:val="0"/>
              <w:jc w:val="both"/>
            </w:pPr>
            <w:r>
              <w:rPr>
                <w:sz w:val="20"/>
              </w:rPr>
              <w:t xml:space="preserve">Поликлиника ГБУЗС "Городская больница N 1 им. Н.И. Пирогова" на 400 посещений в смену</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2025</w:t>
            </w:r>
          </w:p>
        </w:tc>
        <w:tc>
          <w:tcPr>
            <w:tcW w:w="2721" w:type="dxa"/>
            <w:tcBorders>
              <w:bottom w:val="nil"/>
            </w:tcBorders>
          </w:tcPr>
          <w:p>
            <w:pPr>
              <w:pStyle w:val="0"/>
              <w:jc w:val="both"/>
            </w:pPr>
            <w:r>
              <w:rPr>
                <w:sz w:val="20"/>
              </w:rPr>
              <w:t xml:space="preserve">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Увеличение доступности и качества оказания медицинской помощи</w:t>
            </w:r>
          </w:p>
        </w:tc>
        <w:tc>
          <w:tcPr>
            <w:tcW w:w="2551" w:type="dxa"/>
            <w:tcBorders>
              <w:bottom w:val="nil"/>
            </w:tcBorders>
          </w:tcPr>
          <w:p>
            <w:pPr>
              <w:pStyle w:val="0"/>
              <w:jc w:val="both"/>
            </w:pPr>
            <w:r>
              <w:rPr>
                <w:sz w:val="20"/>
              </w:rPr>
              <w:t xml:space="preserve">Снижение доступности и качества оказания медицинской помощи</w:t>
            </w:r>
          </w:p>
        </w:tc>
      </w:tr>
      <w:tr>
        <w:tblPrEx>
          <w:tblBorders>
            <w:insideH w:val="nil"/>
          </w:tblBorders>
        </w:tblPrEx>
        <w:tc>
          <w:tcPr>
            <w:gridSpan w:val="8"/>
            <w:tcW w:w="13602" w:type="dxa"/>
            <w:tcBorders>
              <w:top w:val="nil"/>
            </w:tcBorders>
          </w:tcPr>
          <w:p>
            <w:pPr>
              <w:pStyle w:val="0"/>
              <w:jc w:val="both"/>
            </w:pPr>
            <w:r>
              <w:rPr>
                <w:sz w:val="20"/>
              </w:rPr>
              <w:t xml:space="preserve">(п. 8.6.1.1 в ред. </w:t>
            </w:r>
            <w:hyperlink w:history="0" r:id="rId401"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14.04.2022 N 152-ПП)</w:t>
            </w:r>
          </w:p>
        </w:tc>
      </w:tr>
      <w:tr>
        <w:tblPrEx>
          <w:tblBorders>
            <w:insideH w:val="nil"/>
          </w:tblBorders>
        </w:tblPrEx>
        <w:tc>
          <w:tcPr>
            <w:tcW w:w="850" w:type="dxa"/>
            <w:tcBorders>
              <w:bottom w:val="nil"/>
            </w:tcBorders>
          </w:tcPr>
          <w:p>
            <w:pPr>
              <w:pStyle w:val="0"/>
              <w:jc w:val="both"/>
            </w:pPr>
            <w:r>
              <w:rPr>
                <w:sz w:val="20"/>
              </w:rPr>
              <w:t xml:space="preserve">8.6.1.2</w:t>
            </w:r>
          </w:p>
        </w:tc>
        <w:tc>
          <w:tcPr>
            <w:tcW w:w="1644" w:type="dxa"/>
            <w:tcBorders>
              <w:bottom w:val="nil"/>
            </w:tcBorders>
          </w:tcPr>
          <w:p>
            <w:pPr>
              <w:pStyle w:val="0"/>
              <w:jc w:val="center"/>
            </w:pPr>
            <w:r>
              <w:rPr>
                <w:sz w:val="20"/>
              </w:rPr>
              <w:t xml:space="preserve">07 8 N9 53650,</w:t>
            </w:r>
          </w:p>
          <w:p>
            <w:pPr>
              <w:pStyle w:val="0"/>
              <w:jc w:val="center"/>
            </w:pPr>
            <w:r>
              <w:rPr>
                <w:sz w:val="20"/>
              </w:rPr>
              <w:t xml:space="preserve">07 8 N9 5365Z</w:t>
            </w:r>
          </w:p>
        </w:tc>
        <w:tc>
          <w:tcPr>
            <w:tcW w:w="2267" w:type="dxa"/>
            <w:tcBorders>
              <w:bottom w:val="nil"/>
            </w:tcBorders>
          </w:tcPr>
          <w:p>
            <w:pPr>
              <w:pStyle w:val="0"/>
              <w:jc w:val="both"/>
            </w:pPr>
            <w:r>
              <w:rPr>
                <w:sz w:val="20"/>
              </w:rPr>
              <w:t xml:space="preserve">Врачебная амбулатория ГБУЗС "Городская больница N 1 им. Н.И. Пирогова" на 100 посещений в смену</w:t>
            </w:r>
          </w:p>
        </w:tc>
        <w:tc>
          <w:tcPr>
            <w:tcW w:w="1927" w:type="dxa"/>
            <w:tcBorders>
              <w:bottom w:val="nil"/>
            </w:tcBorders>
          </w:tcPr>
          <w:p>
            <w:pPr>
              <w:pStyle w:val="0"/>
              <w:jc w:val="both"/>
            </w:pPr>
            <w:r>
              <w:rPr>
                <w:sz w:val="20"/>
              </w:rPr>
              <w:t xml:space="preserve">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2026</w:t>
            </w:r>
          </w:p>
        </w:tc>
        <w:tc>
          <w:tcPr>
            <w:tcW w:w="2721" w:type="dxa"/>
            <w:tcBorders>
              <w:bottom w:val="nil"/>
            </w:tcBorders>
          </w:tcPr>
          <w:p>
            <w:pPr>
              <w:pStyle w:val="0"/>
              <w:jc w:val="both"/>
            </w:pPr>
            <w:r>
              <w:rPr>
                <w:sz w:val="20"/>
              </w:rPr>
              <w:t xml:space="preserve">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Увеличение доступности и качества оказания медицинской помощи</w:t>
            </w:r>
          </w:p>
        </w:tc>
        <w:tc>
          <w:tcPr>
            <w:tcW w:w="2551" w:type="dxa"/>
            <w:tcBorders>
              <w:bottom w:val="nil"/>
            </w:tcBorders>
          </w:tcPr>
          <w:p>
            <w:pPr>
              <w:pStyle w:val="0"/>
              <w:jc w:val="both"/>
            </w:pPr>
            <w:r>
              <w:rPr>
                <w:sz w:val="20"/>
              </w:rPr>
              <w:t xml:space="preserve">Снижение доступности и качества оказания медицинской помощи</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402"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27.04.2023 </w:t>
            </w:r>
            <w:hyperlink w:history="0" r:id="rId40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8.6.2</w:t>
            </w:r>
          </w:p>
        </w:tc>
        <w:tc>
          <w:tcPr>
            <w:tcW w:w="1644" w:type="dxa"/>
            <w:tcBorders>
              <w:bottom w:val="nil"/>
            </w:tcBorders>
          </w:tcPr>
          <w:p>
            <w:pPr>
              <w:pStyle w:val="0"/>
              <w:jc w:val="center"/>
            </w:pPr>
            <w:r>
              <w:rPr>
                <w:sz w:val="20"/>
              </w:rPr>
              <w:t xml:space="preserve">07 8 N9 53650</w:t>
            </w:r>
          </w:p>
        </w:tc>
        <w:tc>
          <w:tcPr>
            <w:tcW w:w="2267" w:type="dxa"/>
            <w:tcBorders>
              <w:bottom w:val="nil"/>
            </w:tcBorders>
          </w:tcPr>
          <w:p>
            <w:pPr>
              <w:pStyle w:val="0"/>
              <w:jc w:val="both"/>
            </w:pPr>
            <w:r>
              <w:rPr>
                <w:sz w:val="20"/>
              </w:rPr>
              <w:t xml:space="preserve">Приобретение/замена медицинского оборудования</w:t>
            </w:r>
          </w:p>
        </w:tc>
        <w:tc>
          <w:tcPr>
            <w:tcW w:w="1927" w:type="dxa"/>
            <w:tcBorders>
              <w:bottom w:val="nil"/>
            </w:tcBorders>
          </w:tcPr>
          <w:p>
            <w:pPr>
              <w:pStyle w:val="0"/>
              <w:jc w:val="both"/>
            </w:pPr>
            <w:r>
              <w:rPr>
                <w:sz w:val="20"/>
              </w:rPr>
              <w:t xml:space="preserve">Департамент здравоохранения города Севастополя</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2025</w:t>
            </w:r>
          </w:p>
        </w:tc>
        <w:tc>
          <w:tcPr>
            <w:tcW w:w="2721" w:type="dxa"/>
            <w:tcBorders>
              <w:bottom w:val="nil"/>
            </w:tcBorders>
          </w:tcPr>
          <w:p>
            <w:pPr>
              <w:pStyle w:val="0"/>
              <w:jc w:val="both"/>
            </w:pPr>
            <w:r>
              <w:rPr>
                <w:sz w:val="20"/>
              </w:rPr>
              <w:t xml:space="preserve">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Снижение удовлетворенности населения медицинской помощью</w:t>
            </w:r>
          </w:p>
        </w:tc>
      </w:tr>
      <w:tr>
        <w:tblPrEx>
          <w:tblBorders>
            <w:insideH w:val="nil"/>
          </w:tblBorders>
        </w:tblPrEx>
        <w:tc>
          <w:tcPr>
            <w:gridSpan w:val="8"/>
            <w:tcW w:w="13602" w:type="dxa"/>
            <w:tcBorders>
              <w:top w:val="nil"/>
            </w:tcBorders>
          </w:tcPr>
          <w:p>
            <w:pPr>
              <w:pStyle w:val="0"/>
              <w:jc w:val="both"/>
            </w:pPr>
            <w:r>
              <w:rPr>
                <w:sz w:val="20"/>
              </w:rPr>
              <w:t xml:space="preserve">(п. 8.6.2 в ред. </w:t>
            </w:r>
            <w:hyperlink w:history="0" r:id="rId404"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14.04.2022 N 152-ПП)</w:t>
            </w:r>
          </w:p>
        </w:tc>
      </w:tr>
      <w:tr>
        <w:tblPrEx>
          <w:tblBorders>
            <w:insideH w:val="nil"/>
          </w:tblBorders>
        </w:tblPrEx>
        <w:tc>
          <w:tcPr>
            <w:tcW w:w="850" w:type="dxa"/>
            <w:tcBorders>
              <w:bottom w:val="nil"/>
            </w:tcBorders>
          </w:tcPr>
          <w:p>
            <w:pPr>
              <w:pStyle w:val="0"/>
              <w:outlineLvl w:val="3"/>
              <w:jc w:val="both"/>
            </w:pPr>
            <w:r>
              <w:rPr>
                <w:sz w:val="20"/>
              </w:rPr>
              <w:t xml:space="preserve">9</w:t>
            </w:r>
          </w:p>
        </w:tc>
        <w:tc>
          <w:tcPr>
            <w:tcW w:w="1644" w:type="dxa"/>
            <w:tcBorders>
              <w:bottom w:val="nil"/>
            </w:tcBorders>
          </w:tcPr>
          <w:p>
            <w:pPr>
              <w:pStyle w:val="0"/>
              <w:jc w:val="center"/>
            </w:pPr>
            <w:r>
              <w:rPr>
                <w:sz w:val="20"/>
              </w:rPr>
            </w:r>
          </w:p>
        </w:tc>
        <w:tc>
          <w:tcPr>
            <w:gridSpan w:val="6"/>
            <w:tcW w:w="11108" w:type="dxa"/>
            <w:tcBorders>
              <w:bottom w:val="nil"/>
            </w:tcBorders>
          </w:tcPr>
          <w:p>
            <w:pPr>
              <w:pStyle w:val="0"/>
              <w:jc w:val="center"/>
            </w:pPr>
            <w:r>
              <w:rPr>
                <w:sz w:val="20"/>
              </w:rPr>
              <w:t xml:space="preserve">Подпрограмма 9 "Приведение учреждений, подведомственных Департаменту здравоохранения города Севастополя, к стандартам оснащения"</w:t>
            </w:r>
          </w:p>
        </w:tc>
      </w:tr>
      <w:tr>
        <w:tblPrEx>
          <w:tblBorders>
            <w:insideH w:val="nil"/>
          </w:tblBorders>
        </w:tblPrEx>
        <w:tc>
          <w:tcPr>
            <w:gridSpan w:val="8"/>
            <w:tcW w:w="13602" w:type="dxa"/>
            <w:tcBorders>
              <w:top w:val="nil"/>
            </w:tcBorders>
          </w:tcPr>
          <w:p>
            <w:pPr>
              <w:pStyle w:val="0"/>
              <w:jc w:val="both"/>
            </w:pPr>
            <w:r>
              <w:rPr>
                <w:sz w:val="20"/>
              </w:rPr>
              <w:t xml:space="preserve">(в ред. </w:t>
            </w:r>
            <w:hyperlink w:history="0" r:id="rId40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blPrEx>
          <w:tblBorders>
            <w:insideH w:val="nil"/>
          </w:tblBorders>
        </w:tblPrEx>
        <w:tc>
          <w:tcPr>
            <w:tcW w:w="850" w:type="dxa"/>
            <w:tcBorders>
              <w:bottom w:val="nil"/>
            </w:tcBorders>
          </w:tcPr>
          <w:p>
            <w:pPr>
              <w:pStyle w:val="0"/>
              <w:jc w:val="both"/>
            </w:pPr>
            <w:r>
              <w:rPr>
                <w:sz w:val="20"/>
              </w:rPr>
              <w:t xml:space="preserve">9.1</w:t>
            </w:r>
          </w:p>
        </w:tc>
        <w:tc>
          <w:tcPr>
            <w:tcW w:w="1644" w:type="dxa"/>
            <w:tcBorders>
              <w:bottom w:val="nil"/>
            </w:tcBorders>
          </w:tcPr>
          <w:p>
            <w:pPr>
              <w:pStyle w:val="0"/>
              <w:jc w:val="center"/>
            </w:pPr>
            <w:r>
              <w:rPr>
                <w:sz w:val="20"/>
              </w:rPr>
              <w:t xml:space="preserve">07 9 01 М3971, 07 9 01 М3981, 07 9 01 М3901, 07 9 01 М3991</w:t>
            </w:r>
          </w:p>
        </w:tc>
        <w:tc>
          <w:tcPr>
            <w:tcW w:w="2267" w:type="dxa"/>
            <w:tcBorders>
              <w:bottom w:val="nil"/>
            </w:tcBorders>
          </w:tcPr>
          <w:p>
            <w:pPr>
              <w:pStyle w:val="0"/>
              <w:jc w:val="both"/>
            </w:pPr>
            <w:r>
              <w:rPr>
                <w:sz w:val="20"/>
              </w:rPr>
              <w:t xml:space="preserve">Мероприятия, необходимые для приведения учреждений первичной медико-санитарной помощи к стандартам оснащения</w:t>
            </w:r>
          </w:p>
        </w:tc>
        <w:tc>
          <w:tcPr>
            <w:tcW w:w="1927" w:type="dxa"/>
            <w:tcBorders>
              <w:bottom w:val="nil"/>
            </w:tcBorders>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Увеличение доли отделений медицинских организаций, соответствующих порядкам оказания медицинской помощи. Снижение степени износа основных фондов. Улучшение качества медицинских услуг.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степени износа основных фондов, снижение удовлетворенности населения медицинской помощью. Несоответствие отделений порядкам оказания медицинской помощи</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406"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26.05.2022 </w:t>
            </w:r>
            <w:hyperlink w:history="0" r:id="rId407"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224-ПП</w:t>
              </w:r>
            </w:hyperlink>
            <w:r>
              <w:rPr>
                <w:sz w:val="20"/>
              </w:rPr>
              <w:t xml:space="preserve">, от 27.04.2023 </w:t>
            </w:r>
            <w:hyperlink w:history="0" r:id="rId40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9.2</w:t>
            </w:r>
          </w:p>
        </w:tc>
        <w:tc>
          <w:tcPr>
            <w:tcW w:w="1644" w:type="dxa"/>
            <w:tcBorders>
              <w:bottom w:val="nil"/>
            </w:tcBorders>
          </w:tcPr>
          <w:p>
            <w:pPr>
              <w:pStyle w:val="0"/>
              <w:jc w:val="center"/>
            </w:pPr>
            <w:r>
              <w:rPr>
                <w:sz w:val="20"/>
              </w:rPr>
              <w:t xml:space="preserve">07 9 01 М3902, 07 9 01 М3972, 07 9 01 М3982, 07 9 01 М3992</w:t>
            </w:r>
          </w:p>
        </w:tc>
        <w:tc>
          <w:tcPr>
            <w:tcW w:w="2267" w:type="dxa"/>
            <w:tcBorders>
              <w:bottom w:val="nil"/>
            </w:tcBorders>
          </w:tcPr>
          <w:p>
            <w:pPr>
              <w:pStyle w:val="0"/>
              <w:jc w:val="both"/>
            </w:pPr>
            <w:r>
              <w:rPr>
                <w:sz w:val="20"/>
              </w:rPr>
              <w:t xml:space="preserve">Мероприятия, необходимые для приведения учреждений, оказывающих специализированную и скорую медицинскую помощь, к стандартам оснащения</w:t>
            </w:r>
          </w:p>
        </w:tc>
        <w:tc>
          <w:tcPr>
            <w:tcW w:w="1927" w:type="dxa"/>
            <w:tcBorders>
              <w:bottom w:val="nil"/>
            </w:tcBorders>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Увеличение доли отделений медицинских организаций, соответствующих порядкам оказания медицинской помощи. Снижение степени износа основных фондов. Улучшение качества медицинских услуг. Увеличение удовлетворенности населения медицинской помощью. Снижение смертности</w:t>
            </w:r>
          </w:p>
        </w:tc>
        <w:tc>
          <w:tcPr>
            <w:tcW w:w="2551" w:type="dxa"/>
            <w:tcBorders>
              <w:bottom w:val="nil"/>
            </w:tcBorders>
          </w:tcPr>
          <w:p>
            <w:pPr>
              <w:pStyle w:val="0"/>
              <w:jc w:val="both"/>
            </w:pPr>
            <w:r>
              <w:rPr>
                <w:sz w:val="20"/>
              </w:rPr>
              <w:t xml:space="preserve">Увеличение степени износа основных фондов, снижение удовлетворенности населения медицинской помощью. Несоответствие отделений порядкам оказания медицинской помощи. Увеличение смертности</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409"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26.05.2022 </w:t>
            </w:r>
            <w:hyperlink w:history="0" r:id="rId410"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224-ПП</w:t>
              </w:r>
            </w:hyperlink>
            <w:r>
              <w:rPr>
                <w:sz w:val="20"/>
              </w:rPr>
              <w:t xml:space="preserve">, от 27.04.2023 </w:t>
            </w:r>
            <w:hyperlink w:history="0" r:id="rId411"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9.3</w:t>
            </w:r>
          </w:p>
        </w:tc>
        <w:tc>
          <w:tcPr>
            <w:tcW w:w="1644" w:type="dxa"/>
            <w:tcBorders>
              <w:bottom w:val="nil"/>
            </w:tcBorders>
          </w:tcPr>
          <w:p>
            <w:pPr>
              <w:pStyle w:val="0"/>
              <w:jc w:val="center"/>
            </w:pPr>
            <w:r>
              <w:rPr>
                <w:sz w:val="20"/>
              </w:rPr>
              <w:t xml:space="preserve">07 9 01 М3903, 07 9 01 М3973, 07 9 01 М3983, 07 9 01 М3993</w:t>
            </w:r>
          </w:p>
        </w:tc>
        <w:tc>
          <w:tcPr>
            <w:tcW w:w="2267" w:type="dxa"/>
            <w:tcBorders>
              <w:bottom w:val="nil"/>
            </w:tcBorders>
          </w:tcPr>
          <w:p>
            <w:pPr>
              <w:pStyle w:val="0"/>
              <w:jc w:val="both"/>
            </w:pPr>
            <w:r>
              <w:rPr>
                <w:sz w:val="20"/>
              </w:rPr>
              <w:t xml:space="preserve">Мероприятия, необходимые для приведения учреждений охраны здоровья матери и ребенка к стандартам оснащения</w:t>
            </w:r>
          </w:p>
        </w:tc>
        <w:tc>
          <w:tcPr>
            <w:tcW w:w="1927" w:type="dxa"/>
            <w:tcBorders>
              <w:bottom w:val="nil"/>
            </w:tcBorders>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Снижение смертности детей от 0 до 17 лет. Увеличение доли отделений медицинских организаций, соответствующих порядкам оказания медицинской помощи. Снижение степени износа основных фондов. Снижение материнской смертности. Снижение ранней неонатальной смертности. Рост выживаемости детей, имевших при рождении очень низкую и экстремально низкую массу тела, в акушерском стационаре</w:t>
            </w:r>
          </w:p>
        </w:tc>
        <w:tc>
          <w:tcPr>
            <w:tcW w:w="2551" w:type="dxa"/>
            <w:tcBorders>
              <w:bottom w:val="nil"/>
            </w:tcBorders>
          </w:tcPr>
          <w:p>
            <w:pPr>
              <w:pStyle w:val="0"/>
              <w:jc w:val="both"/>
            </w:pPr>
            <w:r>
              <w:rPr>
                <w:sz w:val="20"/>
              </w:rPr>
              <w:t xml:space="preserve">Рост смертности детей от 0 до 17 лет. Уменьшение доли отделений медицинских организаций, соответствующих порядкам оказания медицинской помощи. Увеличение степени износа основных фондов. Рост материнской смертности. Рост ранней неонатальной смертности. Уменьшение выживаемости детей, имевших при рождении очень низкую и экстремально низкую массу тела, в акушерском стационаре</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412"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26.05.2022 </w:t>
            </w:r>
            <w:hyperlink w:history="0" r:id="rId413"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224-ПП</w:t>
              </w:r>
            </w:hyperlink>
            <w:r>
              <w:rPr>
                <w:sz w:val="20"/>
              </w:rPr>
              <w:t xml:space="preserve">, от 27.04.2023 </w:t>
            </w:r>
            <w:hyperlink w:history="0" r:id="rId41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9.4</w:t>
            </w:r>
          </w:p>
        </w:tc>
        <w:tc>
          <w:tcPr>
            <w:tcW w:w="1644" w:type="dxa"/>
            <w:tcBorders>
              <w:bottom w:val="nil"/>
            </w:tcBorders>
          </w:tcPr>
          <w:p>
            <w:pPr>
              <w:pStyle w:val="0"/>
              <w:jc w:val="center"/>
            </w:pPr>
            <w:r>
              <w:rPr>
                <w:sz w:val="20"/>
              </w:rPr>
              <w:t xml:space="preserve">07 9 01 М3904, 07 9 01 М3974, 07 9 01 М3984, 07 9 01 М3994</w:t>
            </w:r>
          </w:p>
        </w:tc>
        <w:tc>
          <w:tcPr>
            <w:tcW w:w="2267" w:type="dxa"/>
            <w:tcBorders>
              <w:bottom w:val="nil"/>
            </w:tcBorders>
          </w:tcPr>
          <w:p>
            <w:pPr>
              <w:pStyle w:val="0"/>
              <w:jc w:val="both"/>
            </w:pPr>
            <w:r>
              <w:rPr>
                <w:sz w:val="20"/>
              </w:rPr>
              <w:t xml:space="preserve">Мероприятия, необходимые для приведения прочих учреждений, подведомственных Департаменту здравоохранения города Севастополя, к стандартам оснащения</w:t>
            </w:r>
          </w:p>
        </w:tc>
        <w:tc>
          <w:tcPr>
            <w:tcW w:w="1927" w:type="dxa"/>
            <w:tcBorders>
              <w:bottom w:val="nil"/>
            </w:tcBorders>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Увеличение доли отделений медицинских организаций, соответствующих порядкам оказания медицинской помощи. Снижение степени износа основных фондов. Улучшение качества медицинских услуг. Увеличение удовлетворенности населения медицинской помощью</w:t>
            </w:r>
          </w:p>
        </w:tc>
        <w:tc>
          <w:tcPr>
            <w:tcW w:w="2551" w:type="dxa"/>
            <w:tcBorders>
              <w:bottom w:val="nil"/>
            </w:tcBorders>
          </w:tcPr>
          <w:p>
            <w:pPr>
              <w:pStyle w:val="0"/>
              <w:jc w:val="both"/>
            </w:pPr>
            <w:r>
              <w:rPr>
                <w:sz w:val="20"/>
              </w:rPr>
              <w:t xml:space="preserve">Увеличение степени износа основных фондов, снижение удовлетворенности населения медицинской помощью. Несоответствие отделений порядкам оказания медицинской помощи</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415"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26.05.2022 </w:t>
            </w:r>
            <w:hyperlink w:history="0" r:id="rId416"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224-ПП</w:t>
              </w:r>
            </w:hyperlink>
            <w:r>
              <w:rPr>
                <w:sz w:val="20"/>
              </w:rPr>
              <w:t xml:space="preserve">, от 27.04.2023 </w:t>
            </w:r>
            <w:hyperlink w:history="0" r:id="rId41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9.5</w:t>
            </w:r>
          </w:p>
        </w:tc>
        <w:tc>
          <w:tcPr>
            <w:tcW w:w="1644" w:type="dxa"/>
            <w:tcBorders>
              <w:bottom w:val="nil"/>
            </w:tcBorders>
          </w:tcPr>
          <w:p>
            <w:pPr>
              <w:pStyle w:val="0"/>
              <w:jc w:val="center"/>
            </w:pPr>
            <w:r>
              <w:rPr>
                <w:sz w:val="20"/>
              </w:rPr>
              <w:t xml:space="preserve">07 9 01 М3985, 07 9 01 М3905, 07 9 01 М3975</w:t>
            </w:r>
          </w:p>
        </w:tc>
        <w:tc>
          <w:tcPr>
            <w:tcW w:w="2267" w:type="dxa"/>
            <w:tcBorders>
              <w:bottom w:val="nil"/>
            </w:tcBorders>
          </w:tcPr>
          <w:p>
            <w:pPr>
              <w:pStyle w:val="0"/>
              <w:jc w:val="both"/>
            </w:pPr>
            <w:r>
              <w:rPr>
                <w:sz w:val="20"/>
              </w:rPr>
              <w:t xml:space="preserve">Мероприятия по комплексной безопасности (противодействие ЧС, антитеррористические мероприятия, охрана, повышение энергоэффективности медицинских учреждений, установка систем пожарной безопасности, доступная среда для маломобильных групп населения и пр.) учреждений, подведомственных Департаменту здравоохранения города Севастополя</w:t>
            </w:r>
          </w:p>
        </w:tc>
        <w:tc>
          <w:tcPr>
            <w:tcW w:w="1927" w:type="dxa"/>
            <w:tcBorders>
              <w:bottom w:val="nil"/>
            </w:tcBorders>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821" w:type="dxa"/>
            <w:tcBorders>
              <w:bottom w:val="nil"/>
            </w:tcBorders>
          </w:tcPr>
          <w:p>
            <w:pPr>
              <w:pStyle w:val="0"/>
              <w:jc w:val="both"/>
            </w:pPr>
            <w:r>
              <w:rPr>
                <w:sz w:val="20"/>
              </w:rPr>
              <w:t xml:space="preserve">2022</w:t>
            </w:r>
          </w:p>
        </w:tc>
        <w:tc>
          <w:tcPr>
            <w:tcW w:w="821" w:type="dxa"/>
            <w:tcBorders>
              <w:bottom w:val="nil"/>
            </w:tcBorders>
          </w:tcPr>
          <w:p>
            <w:pPr>
              <w:pStyle w:val="0"/>
              <w:jc w:val="both"/>
            </w:pPr>
            <w:r>
              <w:rPr>
                <w:sz w:val="20"/>
              </w:rPr>
              <w:t xml:space="preserve">2023</w:t>
            </w:r>
          </w:p>
        </w:tc>
        <w:tc>
          <w:tcPr>
            <w:tcW w:w="2721" w:type="dxa"/>
            <w:tcBorders>
              <w:bottom w:val="nil"/>
            </w:tcBorders>
          </w:tcPr>
          <w:p>
            <w:pPr>
              <w:pStyle w:val="0"/>
              <w:jc w:val="both"/>
            </w:pPr>
            <w:r>
              <w:rPr>
                <w:sz w:val="20"/>
              </w:rPr>
              <w:t xml:space="preserve">Рост обеспеченности государственных учреждений здравоохранения системами комплексной безопасности</w:t>
            </w:r>
          </w:p>
        </w:tc>
        <w:tc>
          <w:tcPr>
            <w:tcW w:w="2551" w:type="dxa"/>
            <w:tcBorders>
              <w:bottom w:val="nil"/>
            </w:tcBorders>
          </w:tcPr>
          <w:p>
            <w:pPr>
              <w:pStyle w:val="0"/>
              <w:jc w:val="both"/>
            </w:pPr>
            <w:r>
              <w:rPr>
                <w:sz w:val="20"/>
              </w:rPr>
              <w:t xml:space="preserve">Снижение обеспеченности государственных учреждений здравоохранения системами комплексной безопасности</w:t>
            </w:r>
          </w:p>
        </w:tc>
      </w:tr>
      <w:tr>
        <w:tblPrEx>
          <w:tblBorders>
            <w:insideH w:val="nil"/>
          </w:tblBorders>
        </w:tblPrEx>
        <w:tc>
          <w:tcPr>
            <w:gridSpan w:val="8"/>
            <w:tcW w:w="13602" w:type="dxa"/>
            <w:tcBorders>
              <w:top w:val="nil"/>
            </w:tcBorders>
          </w:tcPr>
          <w:p>
            <w:pPr>
              <w:pStyle w:val="0"/>
              <w:jc w:val="both"/>
            </w:pPr>
            <w:r>
              <w:rPr>
                <w:sz w:val="20"/>
              </w:rPr>
              <w:t xml:space="preserve">(в ред. Постановлений Правительства Севастополя от 14.04.2022 </w:t>
            </w:r>
            <w:hyperlink w:history="0" r:id="rId418" w:tooltip="Постановление Правительства Севастополя от 14.04.2022 N 152-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152-ПП</w:t>
              </w:r>
            </w:hyperlink>
            <w:r>
              <w:rPr>
                <w:sz w:val="20"/>
              </w:rPr>
              <w:t xml:space="preserve">,</w:t>
            </w:r>
          </w:p>
          <w:p>
            <w:pPr>
              <w:pStyle w:val="0"/>
              <w:jc w:val="both"/>
            </w:pPr>
            <w:r>
              <w:rPr>
                <w:sz w:val="20"/>
              </w:rPr>
              <w:t xml:space="preserve">от 26.05.2022 </w:t>
            </w:r>
            <w:hyperlink w:history="0" r:id="rId419"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224-ПП</w:t>
              </w:r>
            </w:hyperlink>
            <w:r>
              <w:rPr>
                <w:sz w:val="20"/>
              </w:rPr>
              <w:t xml:space="preserve">, от 27.04.2023 </w:t>
            </w:r>
            <w:hyperlink w:history="0" r:id="rId42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rPr>
              <w:t xml:space="preserve">)</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3</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bookmarkStart w:id="5791" w:name="P5791"/>
    <w:bookmarkEnd w:id="5791"/>
    <w:p>
      <w:pPr>
        <w:pStyle w:val="2"/>
        <w:jc w:val="center"/>
      </w:pPr>
      <w:r>
        <w:rPr>
          <w:sz w:val="20"/>
        </w:rPr>
        <w:t xml:space="preserve">Перечень мер правового регулирования в сфере реализации</w:t>
      </w:r>
    </w:p>
    <w:p>
      <w:pPr>
        <w:pStyle w:val="2"/>
        <w:jc w:val="center"/>
      </w:pPr>
      <w:r>
        <w:rPr>
          <w:sz w:val="20"/>
        </w:rPr>
        <w:t xml:space="preserve">государственной программы города Севастополя "Развитие</w:t>
      </w:r>
    </w:p>
    <w:p>
      <w:pPr>
        <w:pStyle w:val="2"/>
        <w:jc w:val="center"/>
      </w:pPr>
      <w:r>
        <w:rPr>
          <w:sz w:val="20"/>
        </w:rPr>
        <w:t xml:space="preserve">здравоохранения в городе Севастополе"</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1870"/>
        <w:gridCol w:w="3231"/>
        <w:gridCol w:w="1870"/>
        <w:gridCol w:w="1417"/>
      </w:tblGrid>
      <w:tr>
        <w:tc>
          <w:tcPr>
            <w:tcW w:w="680" w:type="dxa"/>
          </w:tcPr>
          <w:p>
            <w:pPr>
              <w:pStyle w:val="0"/>
              <w:jc w:val="center"/>
            </w:pPr>
            <w:r>
              <w:rPr>
                <w:sz w:val="20"/>
              </w:rPr>
              <w:t xml:space="preserve">N п/п</w:t>
            </w:r>
          </w:p>
        </w:tc>
        <w:tc>
          <w:tcPr>
            <w:tcW w:w="1870" w:type="dxa"/>
          </w:tcPr>
          <w:p>
            <w:pPr>
              <w:pStyle w:val="0"/>
              <w:jc w:val="center"/>
            </w:pPr>
            <w:r>
              <w:rPr>
                <w:sz w:val="20"/>
              </w:rPr>
              <w:t xml:space="preserve">Вид нормативного правового акта</w:t>
            </w:r>
          </w:p>
        </w:tc>
        <w:tc>
          <w:tcPr>
            <w:tcW w:w="3231" w:type="dxa"/>
          </w:tcPr>
          <w:p>
            <w:pPr>
              <w:pStyle w:val="0"/>
              <w:jc w:val="center"/>
            </w:pPr>
            <w:r>
              <w:rPr>
                <w:sz w:val="20"/>
              </w:rPr>
              <w:t xml:space="preserve">Основные положения нормативного правового акта</w:t>
            </w:r>
          </w:p>
        </w:tc>
        <w:tc>
          <w:tcPr>
            <w:tcW w:w="1870" w:type="dxa"/>
          </w:tcPr>
          <w:p>
            <w:pPr>
              <w:pStyle w:val="0"/>
              <w:jc w:val="center"/>
            </w:pPr>
            <w:r>
              <w:rPr>
                <w:sz w:val="20"/>
              </w:rPr>
              <w:t xml:space="preserve">Ответственный исполнитель и соисполнители</w:t>
            </w:r>
          </w:p>
        </w:tc>
        <w:tc>
          <w:tcPr>
            <w:tcW w:w="1417" w:type="dxa"/>
          </w:tcPr>
          <w:p>
            <w:pPr>
              <w:pStyle w:val="0"/>
              <w:jc w:val="center"/>
            </w:pPr>
            <w:r>
              <w:rPr>
                <w:sz w:val="20"/>
              </w:rPr>
              <w:t xml:space="preserve">Ожидаемые сроки принятия</w:t>
            </w:r>
          </w:p>
        </w:tc>
      </w:tr>
      <w:tr>
        <w:tc>
          <w:tcPr>
            <w:tcW w:w="680" w:type="dxa"/>
          </w:tcPr>
          <w:p>
            <w:pPr>
              <w:pStyle w:val="0"/>
              <w:jc w:val="both"/>
            </w:pPr>
            <w:r>
              <w:rPr>
                <w:sz w:val="20"/>
              </w:rPr>
              <w:t xml:space="preserve">1.1.</w:t>
            </w:r>
          </w:p>
        </w:tc>
        <w:tc>
          <w:tcPr>
            <w:tcW w:w="1870" w:type="dxa"/>
          </w:tcPr>
          <w:p>
            <w:pPr>
              <w:pStyle w:val="0"/>
              <w:jc w:val="both"/>
            </w:pPr>
            <w:r>
              <w:rPr>
                <w:sz w:val="20"/>
              </w:rPr>
              <w:t xml:space="preserve">Постановление Правительства Севастополя</w:t>
            </w:r>
          </w:p>
        </w:tc>
        <w:tc>
          <w:tcPr>
            <w:tcW w:w="3231" w:type="dxa"/>
          </w:tcPr>
          <w:p>
            <w:pPr>
              <w:pStyle w:val="0"/>
              <w:jc w:val="both"/>
            </w:pPr>
            <w:r>
              <w:rPr>
                <w:sz w:val="20"/>
              </w:rPr>
              <w:t xml:space="preserve">О внесении изменений в </w:t>
            </w:r>
            <w:hyperlink w:history="0" r:id="rId421" w:tooltip="Постановление Правительства Севастополя от 06.04.2017 N 282-ПП (ред. от 10.08.2021) &quot;Об утверждении Перечня видов выплат стимулирующего характера и Порядка установления выплат стимулирующего характера в государственных учреждениях города Севастополя&quot; {КонсультантПлюс}">
              <w:r>
                <w:rPr>
                  <w:sz w:val="20"/>
                  <w:color w:val="0000ff"/>
                </w:rPr>
                <w:t xml:space="preserve">постановление</w:t>
              </w:r>
            </w:hyperlink>
            <w:r>
              <w:rPr>
                <w:sz w:val="20"/>
              </w:rPr>
              <w:t xml:space="preserve"> Правительства Севастополя от 06.04.2017 N 282-ПП "Об утверждении Перечня видов выплат стимулирующего характера и Порядка установления выплат стимулирующего характера в государственных учреждениях города Севастополя"</w:t>
            </w:r>
          </w:p>
        </w:tc>
        <w:tc>
          <w:tcPr>
            <w:tcW w:w="1870" w:type="dxa"/>
          </w:tcPr>
          <w:p>
            <w:pPr>
              <w:pStyle w:val="0"/>
              <w:jc w:val="both"/>
            </w:pPr>
            <w:r>
              <w:rPr>
                <w:sz w:val="20"/>
              </w:rPr>
              <w:t xml:space="preserve">Департамент здравоохранения города Севастополя</w:t>
            </w:r>
          </w:p>
        </w:tc>
        <w:tc>
          <w:tcPr>
            <w:tcW w:w="1417" w:type="dxa"/>
          </w:tcPr>
          <w:p>
            <w:pPr>
              <w:pStyle w:val="0"/>
              <w:jc w:val="both"/>
            </w:pPr>
            <w:r>
              <w:rPr>
                <w:sz w:val="20"/>
              </w:rPr>
              <w:t xml:space="preserve">2022 год</w:t>
            </w:r>
          </w:p>
        </w:tc>
      </w:tr>
      <w:tr>
        <w:tc>
          <w:tcPr>
            <w:tcW w:w="680" w:type="dxa"/>
          </w:tcPr>
          <w:p>
            <w:pPr>
              <w:pStyle w:val="0"/>
              <w:jc w:val="both"/>
            </w:pPr>
            <w:r>
              <w:rPr>
                <w:sz w:val="20"/>
              </w:rPr>
              <w:t xml:space="preserve">1.2.</w:t>
            </w:r>
          </w:p>
        </w:tc>
        <w:tc>
          <w:tcPr>
            <w:tcW w:w="1870" w:type="dxa"/>
          </w:tcPr>
          <w:p>
            <w:pPr>
              <w:pStyle w:val="0"/>
              <w:jc w:val="both"/>
            </w:pPr>
            <w:r>
              <w:rPr>
                <w:sz w:val="20"/>
              </w:rPr>
              <w:t xml:space="preserve">Постановление Правительства Севастополя</w:t>
            </w:r>
          </w:p>
        </w:tc>
        <w:tc>
          <w:tcPr>
            <w:tcW w:w="3231" w:type="dxa"/>
          </w:tcPr>
          <w:p>
            <w:pPr>
              <w:pStyle w:val="0"/>
              <w:jc w:val="both"/>
            </w:pPr>
            <w:r>
              <w:rPr>
                <w:sz w:val="20"/>
              </w:rPr>
              <w:t xml:space="preserve">О внесении изменений в </w:t>
            </w:r>
            <w:hyperlink w:history="0" r:id="rId422" w:tooltip="Постановление Правительства Севастополя от 06.04.2017 N 283-ПП (ред. от 10.08.2021) &quot;Об утверждении Перечня видов выплат компенсационного характера и Порядка установления выплат компенсационного характера в государственных учреждениях города Севастополя&quot; {КонсультантПлюс}">
              <w:r>
                <w:rPr>
                  <w:sz w:val="20"/>
                  <w:color w:val="0000ff"/>
                </w:rPr>
                <w:t xml:space="preserve">постановление</w:t>
              </w:r>
            </w:hyperlink>
            <w:r>
              <w:rPr>
                <w:sz w:val="20"/>
              </w:rPr>
              <w:t xml:space="preserve"> Правительства Севастополя от 06.04.2017 N 283-ПП "Об утверждении Перечня видов выплат компенсационного характера и Порядка установления выплат компенсационного характера в государственных учреждениях города Севастополя"</w:t>
            </w:r>
          </w:p>
        </w:tc>
        <w:tc>
          <w:tcPr>
            <w:tcW w:w="1870" w:type="dxa"/>
          </w:tcPr>
          <w:p>
            <w:pPr>
              <w:pStyle w:val="0"/>
              <w:jc w:val="both"/>
            </w:pPr>
            <w:r>
              <w:rPr>
                <w:sz w:val="20"/>
              </w:rPr>
              <w:t xml:space="preserve">Департамент здравоохранения города Севастополя</w:t>
            </w:r>
          </w:p>
        </w:tc>
        <w:tc>
          <w:tcPr>
            <w:tcW w:w="1417" w:type="dxa"/>
          </w:tcPr>
          <w:p>
            <w:pPr>
              <w:pStyle w:val="0"/>
              <w:jc w:val="both"/>
            </w:pPr>
            <w:r>
              <w:rPr>
                <w:sz w:val="20"/>
              </w:rPr>
              <w:t xml:space="preserve">2022 год</w:t>
            </w:r>
          </w:p>
        </w:tc>
      </w:tr>
    </w:tbl>
    <w:p>
      <w:pPr>
        <w:pStyle w:val="0"/>
        <w:jc w:val="both"/>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N 4</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bookmarkStart w:id="5821" w:name="P5821"/>
    <w:bookmarkEnd w:id="5821"/>
    <w:p>
      <w:pPr>
        <w:pStyle w:val="2"/>
        <w:jc w:val="center"/>
      </w:pPr>
      <w:r>
        <w:rPr>
          <w:sz w:val="20"/>
        </w:rPr>
        <w:t xml:space="preserve">Финансовое обеспечение реализации государственной программы</w:t>
      </w:r>
    </w:p>
    <w:p>
      <w:pPr>
        <w:pStyle w:val="2"/>
        <w:jc w:val="center"/>
      </w:pPr>
      <w:r>
        <w:rPr>
          <w:sz w:val="20"/>
        </w:rPr>
        <w:t xml:space="preserve">города Севастополя "Развитие здравоохранения в городе</w:t>
      </w:r>
    </w:p>
    <w:p>
      <w:pPr>
        <w:pStyle w:val="2"/>
        <w:jc w:val="center"/>
      </w:pPr>
      <w:r>
        <w:rPr>
          <w:sz w:val="20"/>
        </w:rPr>
        <w:t xml:space="preserve">Севастополе" по источникам финансирования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Севастополя от 02.03.2023 </w:t>
            </w:r>
            <w:hyperlink w:history="0" r:id="rId423"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108-ПП</w:t>
              </w:r>
            </w:hyperlink>
            <w:r>
              <w:rPr>
                <w:sz w:val="20"/>
                <w:color w:val="392c69"/>
              </w:rPr>
              <w:t xml:space="preserve">,</w:t>
            </w:r>
          </w:p>
          <w:p>
            <w:pPr>
              <w:pStyle w:val="0"/>
              <w:jc w:val="center"/>
            </w:pPr>
            <w:r>
              <w:rPr>
                <w:sz w:val="20"/>
                <w:color w:val="392c69"/>
              </w:rPr>
              <w:t xml:space="preserve">от 27.04.2023 </w:t>
            </w:r>
            <w:hyperlink w:history="0" r:id="rId42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color w:val="392c69"/>
              </w:rPr>
              <w:t xml:space="preserve">, от 28.07.2023 </w:t>
            </w:r>
            <w:hyperlink w:history="0" r:id="rId425"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358-ПП</w:t>
              </w:r>
            </w:hyperlink>
            <w:r>
              <w:rPr>
                <w:sz w:val="20"/>
                <w:color w:val="392c69"/>
              </w:rPr>
              <w:t xml:space="preserve">, от 16.10.2023 </w:t>
            </w:r>
            <w:hyperlink w:history="0" r:id="rId42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470-ПП</w:t>
              </w:r>
            </w:hyperlink>
            <w:r>
              <w:rPr>
                <w:sz w:val="20"/>
                <w:color w:val="392c69"/>
              </w:rPr>
              <w:t xml:space="preserve">,</w:t>
            </w:r>
          </w:p>
          <w:p>
            <w:pPr>
              <w:pStyle w:val="0"/>
              <w:jc w:val="center"/>
            </w:pPr>
            <w:r>
              <w:rPr>
                <w:sz w:val="20"/>
                <w:color w:val="392c69"/>
              </w:rPr>
              <w:t xml:space="preserve">от 03.11.2023 </w:t>
            </w:r>
            <w:hyperlink w:history="0" r:id="rId427"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506-ПП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58"/>
        <w:gridCol w:w="2041"/>
        <w:gridCol w:w="2494"/>
        <w:gridCol w:w="1417"/>
        <w:gridCol w:w="1417"/>
        <w:gridCol w:w="1417"/>
        <w:gridCol w:w="1474"/>
        <w:gridCol w:w="1531"/>
        <w:gridCol w:w="1474"/>
        <w:gridCol w:w="1361"/>
        <w:gridCol w:w="1361"/>
        <w:gridCol w:w="1361"/>
        <w:gridCol w:w="1531"/>
      </w:tblGrid>
      <w:tr>
        <w:tc>
          <w:tcPr>
            <w:tcW w:w="3458" w:type="dxa"/>
            <w:vMerge w:val="restart"/>
          </w:tcPr>
          <w:p>
            <w:pPr>
              <w:pStyle w:val="0"/>
              <w:jc w:val="center"/>
            </w:pPr>
            <w:r>
              <w:rPr>
                <w:sz w:val="20"/>
              </w:rPr>
              <w:t xml:space="preserve">Наименование государственной программы, подпрограммы, основных мероприятий, мероприятий</w:t>
            </w:r>
          </w:p>
        </w:tc>
        <w:tc>
          <w:tcPr>
            <w:tcW w:w="2041" w:type="dxa"/>
            <w:vMerge w:val="restart"/>
          </w:tcPr>
          <w:p>
            <w:pPr>
              <w:pStyle w:val="0"/>
              <w:jc w:val="center"/>
            </w:pPr>
            <w:r>
              <w:rPr>
                <w:sz w:val="20"/>
              </w:rPr>
              <w:t xml:space="preserve">Ответственный исполнитель, соисполнитель, участник</w:t>
            </w:r>
          </w:p>
        </w:tc>
        <w:tc>
          <w:tcPr>
            <w:tcW w:w="2494" w:type="dxa"/>
            <w:vMerge w:val="restart"/>
          </w:tcPr>
          <w:p>
            <w:pPr>
              <w:pStyle w:val="0"/>
              <w:jc w:val="center"/>
            </w:pPr>
            <w:r>
              <w:rPr>
                <w:sz w:val="20"/>
              </w:rPr>
              <w:t xml:space="preserve">Источники финансирования</w:t>
            </w:r>
          </w:p>
        </w:tc>
        <w:tc>
          <w:tcPr>
            <w:gridSpan w:val="10"/>
            <w:tcW w:w="14344" w:type="dxa"/>
          </w:tcPr>
          <w:p>
            <w:pPr>
              <w:pStyle w:val="0"/>
              <w:jc w:val="center"/>
            </w:pPr>
            <w:r>
              <w:rPr>
                <w:sz w:val="20"/>
              </w:rPr>
              <w:t xml:space="preserve">План финансирования Программы (тыс. рублей)</w:t>
            </w:r>
          </w:p>
        </w:tc>
      </w:tr>
      <w:tr>
        <w:tc>
          <w:tcPr>
            <w:vMerge w:val="continue"/>
          </w:tcPr>
          <w:p/>
        </w:tc>
        <w:tc>
          <w:tcPr>
            <w:vMerge w:val="continue"/>
          </w:tcPr>
          <w:p/>
        </w:tc>
        <w:tc>
          <w:tcPr>
            <w:vMerge w:val="continue"/>
          </w:tcPr>
          <w:p/>
        </w:tc>
        <w:tc>
          <w:tcPr>
            <w:tcW w:w="1417" w:type="dxa"/>
          </w:tcPr>
          <w:p>
            <w:pPr>
              <w:pStyle w:val="0"/>
              <w:jc w:val="center"/>
            </w:pPr>
            <w:r>
              <w:rPr>
                <w:sz w:val="20"/>
              </w:rPr>
              <w:t xml:space="preserve">2022 год</w:t>
            </w:r>
          </w:p>
        </w:tc>
        <w:tc>
          <w:tcPr>
            <w:tcW w:w="1417" w:type="dxa"/>
          </w:tcPr>
          <w:p>
            <w:pPr>
              <w:pStyle w:val="0"/>
              <w:jc w:val="center"/>
            </w:pPr>
            <w:r>
              <w:rPr>
                <w:sz w:val="20"/>
              </w:rPr>
              <w:t xml:space="preserve">2023 год</w:t>
            </w:r>
          </w:p>
        </w:tc>
        <w:tc>
          <w:tcPr>
            <w:tcW w:w="1417" w:type="dxa"/>
          </w:tcPr>
          <w:p>
            <w:pPr>
              <w:pStyle w:val="0"/>
              <w:jc w:val="center"/>
            </w:pPr>
            <w:r>
              <w:rPr>
                <w:sz w:val="20"/>
              </w:rPr>
              <w:t xml:space="preserve">2024 год</w:t>
            </w:r>
          </w:p>
        </w:tc>
        <w:tc>
          <w:tcPr>
            <w:tcW w:w="1474" w:type="dxa"/>
          </w:tcPr>
          <w:p>
            <w:pPr>
              <w:pStyle w:val="0"/>
              <w:jc w:val="center"/>
            </w:pPr>
            <w:r>
              <w:rPr>
                <w:sz w:val="20"/>
              </w:rPr>
              <w:t xml:space="preserve">2025 год</w:t>
            </w:r>
          </w:p>
        </w:tc>
        <w:tc>
          <w:tcPr>
            <w:tcW w:w="1531" w:type="dxa"/>
          </w:tcPr>
          <w:p>
            <w:pPr>
              <w:pStyle w:val="0"/>
              <w:jc w:val="center"/>
            </w:pPr>
            <w:r>
              <w:rPr>
                <w:sz w:val="20"/>
              </w:rPr>
              <w:t xml:space="preserve">2026 год</w:t>
            </w:r>
          </w:p>
        </w:tc>
        <w:tc>
          <w:tcPr>
            <w:tcW w:w="1474" w:type="dxa"/>
          </w:tcPr>
          <w:p>
            <w:pPr>
              <w:pStyle w:val="0"/>
              <w:jc w:val="center"/>
            </w:pPr>
            <w:r>
              <w:rPr>
                <w:sz w:val="20"/>
              </w:rPr>
              <w:t xml:space="preserve">2027 год</w:t>
            </w:r>
          </w:p>
        </w:tc>
        <w:tc>
          <w:tcPr>
            <w:tcW w:w="1361" w:type="dxa"/>
          </w:tcPr>
          <w:p>
            <w:pPr>
              <w:pStyle w:val="0"/>
              <w:jc w:val="center"/>
            </w:pPr>
            <w:r>
              <w:rPr>
                <w:sz w:val="20"/>
              </w:rPr>
              <w:t xml:space="preserve">2028 год</w:t>
            </w:r>
          </w:p>
        </w:tc>
        <w:tc>
          <w:tcPr>
            <w:tcW w:w="1361" w:type="dxa"/>
          </w:tcPr>
          <w:p>
            <w:pPr>
              <w:pStyle w:val="0"/>
              <w:jc w:val="center"/>
            </w:pPr>
            <w:r>
              <w:rPr>
                <w:sz w:val="20"/>
              </w:rPr>
              <w:t xml:space="preserve">2029 год</w:t>
            </w:r>
          </w:p>
        </w:tc>
        <w:tc>
          <w:tcPr>
            <w:tcW w:w="1361" w:type="dxa"/>
          </w:tcPr>
          <w:p>
            <w:pPr>
              <w:pStyle w:val="0"/>
              <w:jc w:val="center"/>
            </w:pPr>
            <w:r>
              <w:rPr>
                <w:sz w:val="20"/>
              </w:rPr>
              <w:t xml:space="preserve">2030 год</w:t>
            </w:r>
          </w:p>
        </w:tc>
        <w:tc>
          <w:tcPr>
            <w:tcW w:w="1531" w:type="dxa"/>
          </w:tcPr>
          <w:p>
            <w:pPr>
              <w:pStyle w:val="0"/>
              <w:jc w:val="center"/>
            </w:pPr>
            <w:r>
              <w:rPr>
                <w:sz w:val="20"/>
              </w:rPr>
              <w:t xml:space="preserve">Всего</w:t>
            </w:r>
          </w:p>
        </w:tc>
      </w:tr>
      <w:tr>
        <w:tc>
          <w:tcPr>
            <w:tcW w:w="3458" w:type="dxa"/>
          </w:tcPr>
          <w:p>
            <w:pPr>
              <w:pStyle w:val="0"/>
              <w:jc w:val="center"/>
            </w:pPr>
            <w:r>
              <w:rPr>
                <w:sz w:val="20"/>
              </w:rPr>
              <w:t xml:space="preserve">1</w:t>
            </w:r>
          </w:p>
        </w:tc>
        <w:tc>
          <w:tcPr>
            <w:tcW w:w="2041" w:type="dxa"/>
          </w:tcPr>
          <w:p>
            <w:pPr>
              <w:pStyle w:val="0"/>
              <w:jc w:val="center"/>
            </w:pPr>
            <w:r>
              <w:rPr>
                <w:sz w:val="20"/>
              </w:rPr>
              <w:t xml:space="preserve">2</w:t>
            </w:r>
          </w:p>
        </w:tc>
        <w:tc>
          <w:tcPr>
            <w:tcW w:w="2494" w:type="dxa"/>
          </w:tcPr>
          <w:p>
            <w:pPr>
              <w:pStyle w:val="0"/>
              <w:jc w:val="center"/>
            </w:pPr>
            <w:r>
              <w:rPr>
                <w:sz w:val="20"/>
              </w:rPr>
              <w:t xml:space="preserve">3</w:t>
            </w:r>
          </w:p>
        </w:tc>
        <w:tc>
          <w:tcPr>
            <w:tcW w:w="1417" w:type="dxa"/>
          </w:tcPr>
          <w:p>
            <w:pPr>
              <w:pStyle w:val="0"/>
              <w:jc w:val="center"/>
            </w:pPr>
            <w:r>
              <w:rPr>
                <w:sz w:val="20"/>
              </w:rPr>
              <w:t xml:space="preserve">4</w:t>
            </w:r>
          </w:p>
        </w:tc>
        <w:tc>
          <w:tcPr>
            <w:tcW w:w="1417" w:type="dxa"/>
          </w:tcPr>
          <w:p>
            <w:pPr>
              <w:pStyle w:val="0"/>
              <w:jc w:val="center"/>
            </w:pPr>
            <w:r>
              <w:rPr>
                <w:sz w:val="20"/>
              </w:rPr>
              <w:t xml:space="preserve">5</w:t>
            </w:r>
          </w:p>
        </w:tc>
        <w:tc>
          <w:tcPr>
            <w:tcW w:w="1417" w:type="dxa"/>
          </w:tcPr>
          <w:p>
            <w:pPr>
              <w:pStyle w:val="0"/>
              <w:jc w:val="center"/>
            </w:pPr>
            <w:r>
              <w:rPr>
                <w:sz w:val="20"/>
              </w:rPr>
              <w:t xml:space="preserve">6</w:t>
            </w:r>
          </w:p>
        </w:tc>
        <w:tc>
          <w:tcPr>
            <w:tcW w:w="1474" w:type="dxa"/>
          </w:tcPr>
          <w:p>
            <w:pPr>
              <w:pStyle w:val="0"/>
              <w:jc w:val="center"/>
            </w:pPr>
            <w:r>
              <w:rPr>
                <w:sz w:val="20"/>
              </w:rPr>
              <w:t xml:space="preserve">7</w:t>
            </w:r>
          </w:p>
        </w:tc>
        <w:tc>
          <w:tcPr>
            <w:tcW w:w="1531" w:type="dxa"/>
          </w:tcPr>
          <w:p>
            <w:pPr>
              <w:pStyle w:val="0"/>
              <w:jc w:val="center"/>
            </w:pPr>
            <w:r>
              <w:rPr>
                <w:sz w:val="20"/>
              </w:rPr>
              <w:t xml:space="preserve">8</w:t>
            </w:r>
          </w:p>
        </w:tc>
        <w:tc>
          <w:tcPr>
            <w:tcW w:w="1474" w:type="dxa"/>
          </w:tcPr>
          <w:p>
            <w:pPr>
              <w:pStyle w:val="0"/>
              <w:jc w:val="center"/>
            </w:pPr>
            <w:r>
              <w:rPr>
                <w:sz w:val="20"/>
              </w:rPr>
              <w:t xml:space="preserve">9</w:t>
            </w:r>
          </w:p>
        </w:tc>
        <w:tc>
          <w:tcPr>
            <w:tcW w:w="1361" w:type="dxa"/>
          </w:tcPr>
          <w:p>
            <w:pPr>
              <w:pStyle w:val="0"/>
              <w:jc w:val="center"/>
            </w:pPr>
            <w:r>
              <w:rPr>
                <w:sz w:val="20"/>
              </w:rPr>
              <w:t xml:space="preserve">10</w:t>
            </w:r>
          </w:p>
        </w:tc>
        <w:tc>
          <w:tcPr>
            <w:tcW w:w="1361" w:type="dxa"/>
          </w:tcPr>
          <w:p>
            <w:pPr>
              <w:pStyle w:val="0"/>
              <w:jc w:val="center"/>
            </w:pPr>
            <w:r>
              <w:rPr>
                <w:sz w:val="20"/>
              </w:rPr>
              <w:t xml:space="preserve">11</w:t>
            </w:r>
          </w:p>
        </w:tc>
        <w:tc>
          <w:tcPr>
            <w:tcW w:w="1361" w:type="dxa"/>
          </w:tcPr>
          <w:p>
            <w:pPr>
              <w:pStyle w:val="0"/>
              <w:jc w:val="center"/>
            </w:pPr>
            <w:r>
              <w:rPr>
                <w:sz w:val="20"/>
              </w:rPr>
              <w:t xml:space="preserve">12</w:t>
            </w:r>
          </w:p>
        </w:tc>
        <w:tc>
          <w:tcPr>
            <w:tcW w:w="1531" w:type="dxa"/>
          </w:tcPr>
          <w:p>
            <w:pPr>
              <w:pStyle w:val="0"/>
              <w:jc w:val="center"/>
            </w:pPr>
            <w:r>
              <w:rPr>
                <w:sz w:val="20"/>
              </w:rPr>
              <w:t xml:space="preserve">13</w:t>
            </w:r>
          </w:p>
        </w:tc>
      </w:tr>
      <w:tr>
        <w:tc>
          <w:tcPr>
            <w:tcW w:w="3458" w:type="dxa"/>
            <w:tcBorders>
              <w:bottom w:val="nil"/>
            </w:tcBorders>
            <w:vMerge w:val="restart"/>
          </w:tcPr>
          <w:p>
            <w:pPr>
              <w:pStyle w:val="0"/>
              <w:jc w:val="both"/>
            </w:pPr>
            <w:r>
              <w:rPr>
                <w:sz w:val="20"/>
              </w:rPr>
              <w:t xml:space="preserve">Всего, в том числе по Программе</w:t>
            </w:r>
          </w:p>
        </w:tc>
        <w:tc>
          <w:tcPr>
            <w:tcW w:w="2041" w:type="dxa"/>
            <w:tcBorders>
              <w:bottom w:val="nil"/>
            </w:tcBorders>
            <w:vMerge w:val="restart"/>
          </w:tcPr>
          <w:p>
            <w:pPr>
              <w:pStyle w:val="0"/>
              <w:jc w:val="both"/>
            </w:pPr>
            <w:r>
              <w:rPr>
                <w:sz w:val="20"/>
              </w:rPr>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9752975,5</w:t>
            </w:r>
          </w:p>
        </w:tc>
        <w:tc>
          <w:tcPr>
            <w:tcW w:w="1417" w:type="dxa"/>
          </w:tcPr>
          <w:p>
            <w:pPr>
              <w:pStyle w:val="0"/>
              <w:jc w:val="center"/>
            </w:pPr>
            <w:r>
              <w:rPr>
                <w:sz w:val="20"/>
              </w:rPr>
              <w:t xml:space="preserve">12306216,8</w:t>
            </w:r>
          </w:p>
        </w:tc>
        <w:tc>
          <w:tcPr>
            <w:tcW w:w="1417" w:type="dxa"/>
          </w:tcPr>
          <w:p>
            <w:pPr>
              <w:pStyle w:val="0"/>
              <w:jc w:val="center"/>
            </w:pPr>
            <w:r>
              <w:rPr>
                <w:sz w:val="20"/>
              </w:rPr>
              <w:t xml:space="preserve">7523480,6</w:t>
            </w:r>
          </w:p>
        </w:tc>
        <w:tc>
          <w:tcPr>
            <w:tcW w:w="1474" w:type="dxa"/>
          </w:tcPr>
          <w:p>
            <w:pPr>
              <w:pStyle w:val="0"/>
              <w:jc w:val="center"/>
            </w:pPr>
            <w:r>
              <w:rPr>
                <w:sz w:val="20"/>
              </w:rPr>
              <w:t xml:space="preserve">11252611,6</w:t>
            </w:r>
          </w:p>
        </w:tc>
        <w:tc>
          <w:tcPr>
            <w:tcW w:w="1531" w:type="dxa"/>
          </w:tcPr>
          <w:p>
            <w:pPr>
              <w:pStyle w:val="0"/>
              <w:jc w:val="center"/>
            </w:pPr>
            <w:r>
              <w:rPr>
                <w:sz w:val="20"/>
              </w:rPr>
              <w:t xml:space="preserve">15215225,9</w:t>
            </w:r>
          </w:p>
        </w:tc>
        <w:tc>
          <w:tcPr>
            <w:tcW w:w="1474" w:type="dxa"/>
          </w:tcPr>
          <w:p>
            <w:pPr>
              <w:pStyle w:val="0"/>
              <w:jc w:val="center"/>
            </w:pPr>
            <w:r>
              <w:rPr>
                <w:sz w:val="20"/>
              </w:rPr>
              <w:t xml:space="preserve">11280076,3</w:t>
            </w:r>
          </w:p>
        </w:tc>
        <w:tc>
          <w:tcPr>
            <w:tcW w:w="1361" w:type="dxa"/>
          </w:tcPr>
          <w:p>
            <w:pPr>
              <w:pStyle w:val="0"/>
              <w:jc w:val="center"/>
            </w:pPr>
            <w:r>
              <w:rPr>
                <w:sz w:val="20"/>
              </w:rPr>
              <w:t xml:space="preserve">6939795,1</w:t>
            </w:r>
          </w:p>
        </w:tc>
        <w:tc>
          <w:tcPr>
            <w:tcW w:w="1361" w:type="dxa"/>
          </w:tcPr>
          <w:p>
            <w:pPr>
              <w:pStyle w:val="0"/>
              <w:jc w:val="center"/>
            </w:pPr>
            <w:r>
              <w:rPr>
                <w:sz w:val="20"/>
              </w:rPr>
              <w:t xml:space="preserve">7133004,6</w:t>
            </w:r>
          </w:p>
        </w:tc>
        <w:tc>
          <w:tcPr>
            <w:tcW w:w="1361" w:type="dxa"/>
          </w:tcPr>
          <w:p>
            <w:pPr>
              <w:pStyle w:val="0"/>
              <w:jc w:val="center"/>
            </w:pPr>
            <w:r>
              <w:rPr>
                <w:sz w:val="20"/>
              </w:rPr>
              <w:t xml:space="preserve">7331624,1</w:t>
            </w:r>
          </w:p>
        </w:tc>
        <w:tc>
          <w:tcPr>
            <w:tcW w:w="1531" w:type="dxa"/>
          </w:tcPr>
          <w:p>
            <w:pPr>
              <w:pStyle w:val="0"/>
              <w:jc w:val="center"/>
            </w:pPr>
            <w:r>
              <w:rPr>
                <w:sz w:val="20"/>
              </w:rPr>
              <w:t xml:space="preserve">88735010,5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422373,6</w:t>
            </w:r>
          </w:p>
        </w:tc>
        <w:tc>
          <w:tcPr>
            <w:tcW w:w="1417" w:type="dxa"/>
          </w:tcPr>
          <w:p>
            <w:pPr>
              <w:pStyle w:val="0"/>
              <w:jc w:val="center"/>
            </w:pPr>
            <w:r>
              <w:rPr>
                <w:sz w:val="20"/>
              </w:rPr>
              <w:t xml:space="preserve">1688686,8</w:t>
            </w:r>
          </w:p>
        </w:tc>
        <w:tc>
          <w:tcPr>
            <w:tcW w:w="1417" w:type="dxa"/>
          </w:tcPr>
          <w:p>
            <w:pPr>
              <w:pStyle w:val="0"/>
              <w:jc w:val="center"/>
            </w:pPr>
            <w:r>
              <w:rPr>
                <w:sz w:val="20"/>
              </w:rPr>
              <w:t xml:space="preserve">1103068,9</w:t>
            </w:r>
          </w:p>
        </w:tc>
        <w:tc>
          <w:tcPr>
            <w:tcW w:w="1474" w:type="dxa"/>
          </w:tcPr>
          <w:p>
            <w:pPr>
              <w:pStyle w:val="0"/>
              <w:jc w:val="center"/>
            </w:pPr>
            <w:r>
              <w:rPr>
                <w:sz w:val="20"/>
              </w:rPr>
              <w:t xml:space="preserve">4120591,8</w:t>
            </w:r>
          </w:p>
        </w:tc>
        <w:tc>
          <w:tcPr>
            <w:tcW w:w="1531" w:type="dxa"/>
          </w:tcPr>
          <w:p>
            <w:pPr>
              <w:pStyle w:val="0"/>
              <w:jc w:val="center"/>
            </w:pPr>
            <w:r>
              <w:rPr>
                <w:sz w:val="20"/>
              </w:rPr>
              <w:t xml:space="preserve">7877478,6</w:t>
            </w:r>
          </w:p>
        </w:tc>
        <w:tc>
          <w:tcPr>
            <w:tcW w:w="1474" w:type="dxa"/>
          </w:tcPr>
          <w:p>
            <w:pPr>
              <w:pStyle w:val="0"/>
              <w:jc w:val="center"/>
            </w:pPr>
            <w:r>
              <w:rPr>
                <w:sz w:val="20"/>
              </w:rPr>
              <w:t xml:space="preserve">4036988,0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19249187,7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1056532,7</w:t>
            </w:r>
          </w:p>
        </w:tc>
        <w:tc>
          <w:tcPr>
            <w:tcW w:w="1417" w:type="dxa"/>
          </w:tcPr>
          <w:p>
            <w:pPr>
              <w:pStyle w:val="0"/>
              <w:jc w:val="center"/>
            </w:pPr>
            <w:r>
              <w:rPr>
                <w:sz w:val="20"/>
              </w:rPr>
              <w:t xml:space="preserve">843372,9</w:t>
            </w:r>
          </w:p>
        </w:tc>
        <w:tc>
          <w:tcPr>
            <w:tcW w:w="1417" w:type="dxa"/>
          </w:tcPr>
          <w:p>
            <w:pPr>
              <w:pStyle w:val="0"/>
              <w:jc w:val="center"/>
            </w:pPr>
            <w:r>
              <w:rPr>
                <w:sz w:val="20"/>
              </w:rPr>
              <w:t xml:space="preserve">806013,0</w:t>
            </w:r>
          </w:p>
        </w:tc>
        <w:tc>
          <w:tcPr>
            <w:tcW w:w="1474" w:type="dxa"/>
          </w:tcPr>
          <w:p>
            <w:pPr>
              <w:pStyle w:val="0"/>
              <w:jc w:val="center"/>
            </w:pPr>
            <w:r>
              <w:rPr>
                <w:sz w:val="20"/>
              </w:rPr>
              <w:t xml:space="preserve">822812,9</w:t>
            </w:r>
          </w:p>
        </w:tc>
        <w:tc>
          <w:tcPr>
            <w:tcW w:w="1531" w:type="dxa"/>
          </w:tcPr>
          <w:p>
            <w:pPr>
              <w:pStyle w:val="0"/>
              <w:jc w:val="center"/>
            </w:pPr>
            <w:r>
              <w:rPr>
                <w:sz w:val="20"/>
              </w:rPr>
              <w:t xml:space="preserve">403682,6</w:t>
            </w:r>
          </w:p>
        </w:tc>
        <w:tc>
          <w:tcPr>
            <w:tcW w:w="1474" w:type="dxa"/>
          </w:tcPr>
          <w:p>
            <w:pPr>
              <w:pStyle w:val="0"/>
              <w:jc w:val="center"/>
            </w:pPr>
            <w:r>
              <w:rPr>
                <w:sz w:val="20"/>
              </w:rPr>
              <w:t xml:space="preserve">416182,4</w:t>
            </w:r>
          </w:p>
        </w:tc>
        <w:tc>
          <w:tcPr>
            <w:tcW w:w="1361" w:type="dxa"/>
          </w:tcPr>
          <w:p>
            <w:pPr>
              <w:pStyle w:val="0"/>
              <w:jc w:val="center"/>
            </w:pPr>
            <w:r>
              <w:rPr>
                <w:sz w:val="20"/>
              </w:rPr>
              <w:t xml:space="preserve">428238,2</w:t>
            </w:r>
          </w:p>
        </w:tc>
        <w:tc>
          <w:tcPr>
            <w:tcW w:w="1361" w:type="dxa"/>
          </w:tcPr>
          <w:p>
            <w:pPr>
              <w:pStyle w:val="0"/>
              <w:jc w:val="center"/>
            </w:pPr>
            <w:r>
              <w:rPr>
                <w:sz w:val="20"/>
              </w:rPr>
              <w:t xml:space="preserve">440215,7</w:t>
            </w:r>
          </w:p>
        </w:tc>
        <w:tc>
          <w:tcPr>
            <w:tcW w:w="1361" w:type="dxa"/>
          </w:tcPr>
          <w:p>
            <w:pPr>
              <w:pStyle w:val="0"/>
              <w:jc w:val="center"/>
            </w:pPr>
            <w:r>
              <w:rPr>
                <w:sz w:val="20"/>
              </w:rPr>
              <w:t xml:space="preserve">452528,7</w:t>
            </w:r>
          </w:p>
        </w:tc>
        <w:tc>
          <w:tcPr>
            <w:tcW w:w="1531" w:type="dxa"/>
          </w:tcPr>
          <w:p>
            <w:pPr>
              <w:pStyle w:val="0"/>
              <w:jc w:val="center"/>
            </w:pPr>
            <w:r>
              <w:rPr>
                <w:sz w:val="20"/>
              </w:rPr>
              <w:t xml:space="preserve">5669579,1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5282688,2</w:t>
            </w:r>
          </w:p>
        </w:tc>
        <w:tc>
          <w:tcPr>
            <w:tcW w:w="1417" w:type="dxa"/>
          </w:tcPr>
          <w:p>
            <w:pPr>
              <w:pStyle w:val="0"/>
              <w:jc w:val="center"/>
            </w:pPr>
            <w:r>
              <w:rPr>
                <w:sz w:val="20"/>
              </w:rPr>
              <w:t xml:space="preserve">6633862,2</w:t>
            </w:r>
          </w:p>
        </w:tc>
        <w:tc>
          <w:tcPr>
            <w:tcW w:w="1417" w:type="dxa"/>
          </w:tcPr>
          <w:p>
            <w:pPr>
              <w:pStyle w:val="0"/>
              <w:jc w:val="center"/>
            </w:pPr>
            <w:r>
              <w:rPr>
                <w:sz w:val="20"/>
              </w:rPr>
              <w:t xml:space="preserve">5614398,7</w:t>
            </w:r>
          </w:p>
        </w:tc>
        <w:tc>
          <w:tcPr>
            <w:tcW w:w="1474" w:type="dxa"/>
          </w:tcPr>
          <w:p>
            <w:pPr>
              <w:pStyle w:val="0"/>
              <w:jc w:val="center"/>
            </w:pPr>
            <w:r>
              <w:rPr>
                <w:sz w:val="20"/>
              </w:rPr>
              <w:t xml:space="preserve">6309206,9</w:t>
            </w:r>
          </w:p>
        </w:tc>
        <w:tc>
          <w:tcPr>
            <w:tcW w:w="1531" w:type="dxa"/>
          </w:tcPr>
          <w:p>
            <w:pPr>
              <w:pStyle w:val="0"/>
              <w:jc w:val="center"/>
            </w:pPr>
            <w:r>
              <w:rPr>
                <w:sz w:val="20"/>
              </w:rPr>
              <w:t xml:space="preserve">6934064,7</w:t>
            </w:r>
          </w:p>
        </w:tc>
        <w:tc>
          <w:tcPr>
            <w:tcW w:w="1474" w:type="dxa"/>
          </w:tcPr>
          <w:p>
            <w:pPr>
              <w:pStyle w:val="0"/>
              <w:jc w:val="center"/>
            </w:pPr>
            <w:r>
              <w:rPr>
                <w:sz w:val="20"/>
              </w:rPr>
              <w:t xml:space="preserve">6826905,9</w:t>
            </w:r>
          </w:p>
        </w:tc>
        <w:tc>
          <w:tcPr>
            <w:tcW w:w="1361" w:type="dxa"/>
          </w:tcPr>
          <w:p>
            <w:pPr>
              <w:pStyle w:val="0"/>
              <w:jc w:val="center"/>
            </w:pPr>
            <w:r>
              <w:rPr>
                <w:sz w:val="20"/>
              </w:rPr>
              <w:t xml:space="preserve">6511556,9</w:t>
            </w:r>
          </w:p>
        </w:tc>
        <w:tc>
          <w:tcPr>
            <w:tcW w:w="1361" w:type="dxa"/>
          </w:tcPr>
          <w:p>
            <w:pPr>
              <w:pStyle w:val="0"/>
              <w:jc w:val="center"/>
            </w:pPr>
            <w:r>
              <w:rPr>
                <w:sz w:val="20"/>
              </w:rPr>
              <w:t xml:space="preserve">6692788,9</w:t>
            </w:r>
          </w:p>
        </w:tc>
        <w:tc>
          <w:tcPr>
            <w:tcW w:w="1361" w:type="dxa"/>
          </w:tcPr>
          <w:p>
            <w:pPr>
              <w:pStyle w:val="0"/>
              <w:jc w:val="center"/>
            </w:pPr>
            <w:r>
              <w:rPr>
                <w:sz w:val="20"/>
              </w:rPr>
              <w:t xml:space="preserve">6879095,4</w:t>
            </w:r>
          </w:p>
        </w:tc>
        <w:tc>
          <w:tcPr>
            <w:tcW w:w="1531" w:type="dxa"/>
          </w:tcPr>
          <w:p>
            <w:pPr>
              <w:pStyle w:val="0"/>
              <w:jc w:val="center"/>
            </w:pPr>
            <w:r>
              <w:rPr>
                <w:sz w:val="20"/>
              </w:rPr>
              <w:t xml:space="preserve">57684567,8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22221,7</w:t>
            </w:r>
          </w:p>
        </w:tc>
        <w:tc>
          <w:tcPr>
            <w:tcW w:w="1417" w:type="dxa"/>
          </w:tcPr>
          <w:p>
            <w:pPr>
              <w:pStyle w:val="0"/>
              <w:jc w:val="center"/>
            </w:pPr>
            <w:r>
              <w:rPr>
                <w:sz w:val="20"/>
              </w:rPr>
              <w:t xml:space="preserve">88874,5</w:t>
            </w:r>
          </w:p>
        </w:tc>
        <w:tc>
          <w:tcPr>
            <w:tcW w:w="1417" w:type="dxa"/>
          </w:tcPr>
          <w:p>
            <w:pPr>
              <w:pStyle w:val="0"/>
              <w:jc w:val="center"/>
            </w:pPr>
            <w:r>
              <w:rPr>
                <w:sz w:val="20"/>
              </w:rPr>
              <w:t xml:space="preserve">58055,3</w:t>
            </w:r>
          </w:p>
        </w:tc>
        <w:tc>
          <w:tcPr>
            <w:tcW w:w="1474" w:type="dxa"/>
          </w:tcPr>
          <w:p>
            <w:pPr>
              <w:pStyle w:val="0"/>
              <w:jc w:val="center"/>
            </w:pPr>
            <w:r>
              <w:rPr>
                <w:sz w:val="20"/>
              </w:rPr>
              <w:t xml:space="preserve">310154,1</w:t>
            </w:r>
          </w:p>
        </w:tc>
        <w:tc>
          <w:tcPr>
            <w:tcW w:w="1531" w:type="dxa"/>
          </w:tcPr>
          <w:p>
            <w:pPr>
              <w:pStyle w:val="0"/>
              <w:jc w:val="center"/>
            </w:pPr>
            <w:r>
              <w:rPr>
                <w:sz w:val="20"/>
              </w:rPr>
              <w:t xml:space="preserve">592927,7</w:t>
            </w:r>
          </w:p>
        </w:tc>
        <w:tc>
          <w:tcPr>
            <w:tcW w:w="1474" w:type="dxa"/>
          </w:tcPr>
          <w:p>
            <w:pPr>
              <w:pStyle w:val="0"/>
              <w:jc w:val="center"/>
            </w:pPr>
            <w:r>
              <w:rPr>
                <w:sz w:val="20"/>
              </w:rPr>
              <w:t xml:space="preserve">303850,0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1376083,3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14975,3</w:t>
            </w:r>
          </w:p>
        </w:tc>
        <w:tc>
          <w:tcPr>
            <w:tcW w:w="1417" w:type="dxa"/>
          </w:tcPr>
          <w:p>
            <w:pPr>
              <w:pStyle w:val="0"/>
              <w:jc w:val="center"/>
            </w:pPr>
            <w:r>
              <w:rPr>
                <w:sz w:val="20"/>
              </w:rPr>
              <w:t xml:space="preserve">11151,4</w:t>
            </w:r>
          </w:p>
        </w:tc>
        <w:tc>
          <w:tcPr>
            <w:tcW w:w="1417" w:type="dxa"/>
          </w:tcPr>
          <w:p>
            <w:pPr>
              <w:pStyle w:val="0"/>
              <w:jc w:val="center"/>
            </w:pPr>
            <w:r>
              <w:rPr>
                <w:sz w:val="20"/>
              </w:rPr>
              <w:t xml:space="preserve">1361,2</w:t>
            </w:r>
          </w:p>
        </w:tc>
        <w:tc>
          <w:tcPr>
            <w:tcW w:w="1474" w:type="dxa"/>
          </w:tcPr>
          <w:p>
            <w:pPr>
              <w:pStyle w:val="0"/>
              <w:jc w:val="center"/>
            </w:pPr>
            <w:r>
              <w:rPr>
                <w:sz w:val="20"/>
              </w:rPr>
              <w:t xml:space="preserve">44505,5</w:t>
            </w:r>
          </w:p>
        </w:tc>
        <w:tc>
          <w:tcPr>
            <w:tcW w:w="1531" w:type="dxa"/>
          </w:tcPr>
          <w:p>
            <w:pPr>
              <w:pStyle w:val="0"/>
              <w:jc w:val="center"/>
            </w:pPr>
            <w:r>
              <w:rPr>
                <w:sz w:val="20"/>
              </w:rPr>
              <w:t xml:space="preserve">201126,6</w:t>
            </w:r>
          </w:p>
        </w:tc>
        <w:tc>
          <w:tcPr>
            <w:tcW w:w="1474" w:type="dxa"/>
          </w:tcPr>
          <w:p>
            <w:pPr>
              <w:pStyle w:val="0"/>
              <w:jc w:val="center"/>
            </w:pPr>
            <w:r>
              <w:rPr>
                <w:sz w:val="20"/>
              </w:rPr>
              <w:t xml:space="preserve">33571,8</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306691,8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 в том числе:</w:t>
            </w:r>
          </w:p>
        </w:tc>
        <w:tc>
          <w:tcPr>
            <w:tcW w:w="1417" w:type="dxa"/>
          </w:tcPr>
          <w:p>
            <w:pPr>
              <w:pStyle w:val="0"/>
              <w:jc w:val="center"/>
            </w:pPr>
            <w:r>
              <w:rPr>
                <w:sz w:val="20"/>
              </w:rPr>
              <w:t xml:space="preserve">2991381,0</w:t>
            </w:r>
          </w:p>
        </w:tc>
        <w:tc>
          <w:tcPr>
            <w:tcW w:w="1417" w:type="dxa"/>
          </w:tcPr>
          <w:p>
            <w:pPr>
              <w:pStyle w:val="0"/>
              <w:jc w:val="center"/>
            </w:pPr>
            <w:r>
              <w:rPr>
                <w:sz w:val="20"/>
              </w:rPr>
              <w:t xml:space="preserve">3140294,9</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6131675,9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1837106,7</w:t>
            </w:r>
          </w:p>
        </w:tc>
        <w:tc>
          <w:tcPr>
            <w:tcW w:w="1417" w:type="dxa"/>
          </w:tcPr>
          <w:p>
            <w:pPr>
              <w:pStyle w:val="0"/>
              <w:jc w:val="center"/>
            </w:pPr>
            <w:r>
              <w:rPr>
                <w:sz w:val="20"/>
              </w:rPr>
              <w:t xml:space="preserve">2188023,5</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4025130,2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1154274,3</w:t>
            </w:r>
          </w:p>
        </w:tc>
        <w:tc>
          <w:tcPr>
            <w:tcW w:w="1417" w:type="dxa"/>
          </w:tcPr>
          <w:p>
            <w:pPr>
              <w:pStyle w:val="0"/>
              <w:jc w:val="center"/>
            </w:pPr>
            <w:r>
              <w:rPr>
                <w:sz w:val="20"/>
              </w:rPr>
              <w:t xml:space="preserve">952271,4</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2106545,7</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28"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tc>
      </w:tr>
      <w:tr>
        <w:tc>
          <w:tcPr>
            <w:gridSpan w:val="13"/>
            <w:tcW w:w="22337" w:type="dxa"/>
          </w:tcPr>
          <w:p>
            <w:pPr>
              <w:pStyle w:val="0"/>
              <w:outlineLvl w:val="2"/>
              <w:jc w:val="center"/>
            </w:pPr>
            <w:r>
              <w:rPr>
                <w:sz w:val="20"/>
              </w:rPr>
              <w:t xml:space="preserve">Подпрограмма 1 "Профилактика заболеваний и формирование здорового образа жизни. Развитие первичной медико-санитарной помощи"</w:t>
            </w:r>
          </w:p>
        </w:tc>
      </w:tr>
      <w:tr>
        <w:tc>
          <w:tcPr>
            <w:tcW w:w="3458" w:type="dxa"/>
            <w:tcBorders>
              <w:bottom w:val="nil"/>
            </w:tcBorders>
            <w:vMerge w:val="restart"/>
          </w:tcPr>
          <w:p>
            <w:pPr>
              <w:pStyle w:val="0"/>
              <w:jc w:val="both"/>
            </w:pPr>
            <w:r>
              <w:rPr>
                <w:sz w:val="20"/>
              </w:rPr>
              <w:t xml:space="preserve">1.1. Оказание первичной медико-санитарной помощи государственными учреждениями здравоохранения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185721,0</w:t>
            </w:r>
          </w:p>
        </w:tc>
        <w:tc>
          <w:tcPr>
            <w:tcW w:w="1417" w:type="dxa"/>
          </w:tcPr>
          <w:p>
            <w:pPr>
              <w:pStyle w:val="0"/>
              <w:jc w:val="center"/>
            </w:pPr>
            <w:r>
              <w:rPr>
                <w:sz w:val="20"/>
              </w:rPr>
              <w:t xml:space="preserve">393188,1</w:t>
            </w:r>
          </w:p>
        </w:tc>
        <w:tc>
          <w:tcPr>
            <w:tcW w:w="1417" w:type="dxa"/>
          </w:tcPr>
          <w:p>
            <w:pPr>
              <w:pStyle w:val="0"/>
              <w:jc w:val="center"/>
            </w:pPr>
            <w:r>
              <w:rPr>
                <w:sz w:val="20"/>
              </w:rPr>
              <w:t xml:space="preserve">325805,0</w:t>
            </w:r>
          </w:p>
        </w:tc>
        <w:tc>
          <w:tcPr>
            <w:tcW w:w="1474" w:type="dxa"/>
          </w:tcPr>
          <w:p>
            <w:pPr>
              <w:pStyle w:val="0"/>
              <w:jc w:val="center"/>
            </w:pPr>
            <w:r>
              <w:rPr>
                <w:sz w:val="20"/>
              </w:rPr>
              <w:t xml:space="preserve">404268,4</w:t>
            </w:r>
          </w:p>
        </w:tc>
        <w:tc>
          <w:tcPr>
            <w:tcW w:w="1531" w:type="dxa"/>
          </w:tcPr>
          <w:p>
            <w:pPr>
              <w:pStyle w:val="0"/>
              <w:jc w:val="center"/>
            </w:pPr>
            <w:r>
              <w:rPr>
                <w:sz w:val="20"/>
              </w:rPr>
              <w:t xml:space="preserve">417609,3</w:t>
            </w:r>
          </w:p>
        </w:tc>
        <w:tc>
          <w:tcPr>
            <w:tcW w:w="1474" w:type="dxa"/>
          </w:tcPr>
          <w:p>
            <w:pPr>
              <w:pStyle w:val="0"/>
              <w:jc w:val="center"/>
            </w:pPr>
            <w:r>
              <w:rPr>
                <w:sz w:val="20"/>
              </w:rPr>
              <w:t xml:space="preserve">430555,2</w:t>
            </w:r>
          </w:p>
        </w:tc>
        <w:tc>
          <w:tcPr>
            <w:tcW w:w="1361" w:type="dxa"/>
          </w:tcPr>
          <w:p>
            <w:pPr>
              <w:pStyle w:val="0"/>
              <w:jc w:val="center"/>
            </w:pPr>
            <w:r>
              <w:rPr>
                <w:sz w:val="20"/>
              </w:rPr>
              <w:t xml:space="preserve">443041,3</w:t>
            </w:r>
          </w:p>
        </w:tc>
        <w:tc>
          <w:tcPr>
            <w:tcW w:w="1361" w:type="dxa"/>
          </w:tcPr>
          <w:p>
            <w:pPr>
              <w:pStyle w:val="0"/>
              <w:jc w:val="center"/>
            </w:pPr>
            <w:r>
              <w:rPr>
                <w:sz w:val="20"/>
              </w:rPr>
              <w:t xml:space="preserve">455446,5</w:t>
            </w:r>
          </w:p>
        </w:tc>
        <w:tc>
          <w:tcPr>
            <w:tcW w:w="1361" w:type="dxa"/>
          </w:tcPr>
          <w:p>
            <w:pPr>
              <w:pStyle w:val="0"/>
              <w:jc w:val="center"/>
            </w:pPr>
            <w:r>
              <w:rPr>
                <w:sz w:val="20"/>
              </w:rPr>
              <w:t xml:space="preserve">468199,0</w:t>
            </w:r>
          </w:p>
        </w:tc>
        <w:tc>
          <w:tcPr>
            <w:tcW w:w="1531" w:type="dxa"/>
          </w:tcPr>
          <w:p>
            <w:pPr>
              <w:pStyle w:val="0"/>
              <w:jc w:val="center"/>
            </w:pPr>
            <w:r>
              <w:rPr>
                <w:sz w:val="20"/>
              </w:rPr>
              <w:t xml:space="preserve">3523833,8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185721,0</w:t>
            </w:r>
          </w:p>
        </w:tc>
        <w:tc>
          <w:tcPr>
            <w:tcW w:w="1417" w:type="dxa"/>
          </w:tcPr>
          <w:p>
            <w:pPr>
              <w:pStyle w:val="0"/>
              <w:jc w:val="center"/>
            </w:pPr>
            <w:r>
              <w:rPr>
                <w:sz w:val="20"/>
              </w:rPr>
              <w:t xml:space="preserve">393188,1</w:t>
            </w:r>
          </w:p>
        </w:tc>
        <w:tc>
          <w:tcPr>
            <w:tcW w:w="1417" w:type="dxa"/>
          </w:tcPr>
          <w:p>
            <w:pPr>
              <w:pStyle w:val="0"/>
              <w:jc w:val="center"/>
            </w:pPr>
            <w:r>
              <w:rPr>
                <w:sz w:val="20"/>
              </w:rPr>
              <w:t xml:space="preserve">325805,0</w:t>
            </w:r>
          </w:p>
        </w:tc>
        <w:tc>
          <w:tcPr>
            <w:tcW w:w="1474" w:type="dxa"/>
          </w:tcPr>
          <w:p>
            <w:pPr>
              <w:pStyle w:val="0"/>
              <w:jc w:val="center"/>
            </w:pPr>
            <w:r>
              <w:rPr>
                <w:sz w:val="20"/>
              </w:rPr>
              <w:t xml:space="preserve">404268,4</w:t>
            </w:r>
          </w:p>
        </w:tc>
        <w:tc>
          <w:tcPr>
            <w:tcW w:w="1531" w:type="dxa"/>
          </w:tcPr>
          <w:p>
            <w:pPr>
              <w:pStyle w:val="0"/>
              <w:jc w:val="center"/>
            </w:pPr>
            <w:r>
              <w:rPr>
                <w:sz w:val="20"/>
              </w:rPr>
              <w:t xml:space="preserve">417609,3</w:t>
            </w:r>
          </w:p>
        </w:tc>
        <w:tc>
          <w:tcPr>
            <w:tcW w:w="1474" w:type="dxa"/>
          </w:tcPr>
          <w:p>
            <w:pPr>
              <w:pStyle w:val="0"/>
              <w:jc w:val="center"/>
            </w:pPr>
            <w:r>
              <w:rPr>
                <w:sz w:val="20"/>
              </w:rPr>
              <w:t xml:space="preserve">430555,2</w:t>
            </w:r>
          </w:p>
        </w:tc>
        <w:tc>
          <w:tcPr>
            <w:tcW w:w="1361" w:type="dxa"/>
          </w:tcPr>
          <w:p>
            <w:pPr>
              <w:pStyle w:val="0"/>
              <w:jc w:val="center"/>
            </w:pPr>
            <w:r>
              <w:rPr>
                <w:sz w:val="20"/>
              </w:rPr>
              <w:t xml:space="preserve">443041,3</w:t>
            </w:r>
          </w:p>
        </w:tc>
        <w:tc>
          <w:tcPr>
            <w:tcW w:w="1361" w:type="dxa"/>
          </w:tcPr>
          <w:p>
            <w:pPr>
              <w:pStyle w:val="0"/>
              <w:jc w:val="center"/>
            </w:pPr>
            <w:r>
              <w:rPr>
                <w:sz w:val="20"/>
              </w:rPr>
              <w:t xml:space="preserve">455446,5</w:t>
            </w:r>
          </w:p>
        </w:tc>
        <w:tc>
          <w:tcPr>
            <w:tcW w:w="1361" w:type="dxa"/>
          </w:tcPr>
          <w:p>
            <w:pPr>
              <w:pStyle w:val="0"/>
              <w:jc w:val="center"/>
            </w:pPr>
            <w:r>
              <w:rPr>
                <w:sz w:val="20"/>
              </w:rPr>
              <w:t xml:space="preserve">468199,0</w:t>
            </w:r>
          </w:p>
        </w:tc>
        <w:tc>
          <w:tcPr>
            <w:tcW w:w="1531" w:type="dxa"/>
          </w:tcPr>
          <w:p>
            <w:pPr>
              <w:pStyle w:val="0"/>
              <w:jc w:val="center"/>
            </w:pPr>
            <w:r>
              <w:rPr>
                <w:sz w:val="20"/>
              </w:rPr>
              <w:t xml:space="preserve">3523833,8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29"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1.2. Оказание паллиативной медицинской помощи в амбулаторных условиях государственными учреждениями здравоохранения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6172,5</w:t>
            </w:r>
          </w:p>
        </w:tc>
        <w:tc>
          <w:tcPr>
            <w:tcW w:w="1417" w:type="dxa"/>
          </w:tcPr>
          <w:p>
            <w:pPr>
              <w:pStyle w:val="0"/>
              <w:jc w:val="center"/>
            </w:pPr>
            <w:r>
              <w:rPr>
                <w:sz w:val="20"/>
              </w:rPr>
              <w:t xml:space="preserve">7988,0</w:t>
            </w:r>
          </w:p>
        </w:tc>
        <w:tc>
          <w:tcPr>
            <w:tcW w:w="1417" w:type="dxa"/>
          </w:tcPr>
          <w:p>
            <w:pPr>
              <w:pStyle w:val="0"/>
              <w:jc w:val="center"/>
            </w:pPr>
            <w:r>
              <w:rPr>
                <w:sz w:val="20"/>
              </w:rPr>
              <w:t xml:space="preserve">8355,7</w:t>
            </w:r>
          </w:p>
        </w:tc>
        <w:tc>
          <w:tcPr>
            <w:tcW w:w="1474" w:type="dxa"/>
          </w:tcPr>
          <w:p>
            <w:pPr>
              <w:pStyle w:val="0"/>
              <w:jc w:val="center"/>
            </w:pPr>
            <w:r>
              <w:rPr>
                <w:sz w:val="20"/>
              </w:rPr>
              <w:t xml:space="preserve">8819,6</w:t>
            </w:r>
          </w:p>
        </w:tc>
        <w:tc>
          <w:tcPr>
            <w:tcW w:w="1531" w:type="dxa"/>
          </w:tcPr>
          <w:p>
            <w:pPr>
              <w:pStyle w:val="0"/>
              <w:jc w:val="center"/>
            </w:pPr>
            <w:r>
              <w:rPr>
                <w:sz w:val="20"/>
              </w:rPr>
              <w:t xml:space="preserve">9110,6</w:t>
            </w:r>
          </w:p>
        </w:tc>
        <w:tc>
          <w:tcPr>
            <w:tcW w:w="1474" w:type="dxa"/>
          </w:tcPr>
          <w:p>
            <w:pPr>
              <w:pStyle w:val="0"/>
              <w:jc w:val="center"/>
            </w:pPr>
            <w:r>
              <w:rPr>
                <w:sz w:val="20"/>
              </w:rPr>
              <w:t xml:space="preserve">9393,0</w:t>
            </w:r>
          </w:p>
        </w:tc>
        <w:tc>
          <w:tcPr>
            <w:tcW w:w="1361" w:type="dxa"/>
          </w:tcPr>
          <w:p>
            <w:pPr>
              <w:pStyle w:val="0"/>
              <w:jc w:val="center"/>
            </w:pPr>
            <w:r>
              <w:rPr>
                <w:sz w:val="20"/>
              </w:rPr>
              <w:t xml:space="preserve">9665,4</w:t>
            </w:r>
          </w:p>
        </w:tc>
        <w:tc>
          <w:tcPr>
            <w:tcW w:w="1361" w:type="dxa"/>
          </w:tcPr>
          <w:p>
            <w:pPr>
              <w:pStyle w:val="0"/>
              <w:jc w:val="center"/>
            </w:pPr>
            <w:r>
              <w:rPr>
                <w:sz w:val="20"/>
              </w:rPr>
              <w:t xml:space="preserve">9936,0</w:t>
            </w:r>
          </w:p>
        </w:tc>
        <w:tc>
          <w:tcPr>
            <w:tcW w:w="1361" w:type="dxa"/>
          </w:tcPr>
          <w:p>
            <w:pPr>
              <w:pStyle w:val="0"/>
              <w:jc w:val="center"/>
            </w:pPr>
            <w:r>
              <w:rPr>
                <w:sz w:val="20"/>
              </w:rPr>
              <w:t xml:space="preserve">10214,2</w:t>
            </w:r>
          </w:p>
        </w:tc>
        <w:tc>
          <w:tcPr>
            <w:tcW w:w="1531" w:type="dxa"/>
          </w:tcPr>
          <w:p>
            <w:pPr>
              <w:pStyle w:val="0"/>
              <w:jc w:val="center"/>
            </w:pPr>
            <w:r>
              <w:rPr>
                <w:sz w:val="20"/>
              </w:rPr>
              <w:t xml:space="preserve">79655,0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6172,5</w:t>
            </w:r>
          </w:p>
        </w:tc>
        <w:tc>
          <w:tcPr>
            <w:tcW w:w="1417" w:type="dxa"/>
          </w:tcPr>
          <w:p>
            <w:pPr>
              <w:pStyle w:val="0"/>
              <w:jc w:val="center"/>
            </w:pPr>
            <w:r>
              <w:rPr>
                <w:sz w:val="20"/>
              </w:rPr>
              <w:t xml:space="preserve">7988,0</w:t>
            </w:r>
          </w:p>
        </w:tc>
        <w:tc>
          <w:tcPr>
            <w:tcW w:w="1417" w:type="dxa"/>
          </w:tcPr>
          <w:p>
            <w:pPr>
              <w:pStyle w:val="0"/>
              <w:jc w:val="center"/>
            </w:pPr>
            <w:r>
              <w:rPr>
                <w:sz w:val="20"/>
              </w:rPr>
              <w:t xml:space="preserve">8355,7</w:t>
            </w:r>
          </w:p>
        </w:tc>
        <w:tc>
          <w:tcPr>
            <w:tcW w:w="1474" w:type="dxa"/>
          </w:tcPr>
          <w:p>
            <w:pPr>
              <w:pStyle w:val="0"/>
              <w:jc w:val="center"/>
            </w:pPr>
            <w:r>
              <w:rPr>
                <w:sz w:val="20"/>
              </w:rPr>
              <w:t xml:space="preserve">8819,6</w:t>
            </w:r>
          </w:p>
        </w:tc>
        <w:tc>
          <w:tcPr>
            <w:tcW w:w="1531" w:type="dxa"/>
          </w:tcPr>
          <w:p>
            <w:pPr>
              <w:pStyle w:val="0"/>
              <w:jc w:val="center"/>
            </w:pPr>
            <w:r>
              <w:rPr>
                <w:sz w:val="20"/>
              </w:rPr>
              <w:t xml:space="preserve">9110,6</w:t>
            </w:r>
          </w:p>
        </w:tc>
        <w:tc>
          <w:tcPr>
            <w:tcW w:w="1474" w:type="dxa"/>
          </w:tcPr>
          <w:p>
            <w:pPr>
              <w:pStyle w:val="0"/>
              <w:jc w:val="center"/>
            </w:pPr>
            <w:r>
              <w:rPr>
                <w:sz w:val="20"/>
              </w:rPr>
              <w:t xml:space="preserve">9393,0</w:t>
            </w:r>
          </w:p>
        </w:tc>
        <w:tc>
          <w:tcPr>
            <w:tcW w:w="1361" w:type="dxa"/>
          </w:tcPr>
          <w:p>
            <w:pPr>
              <w:pStyle w:val="0"/>
              <w:jc w:val="center"/>
            </w:pPr>
            <w:r>
              <w:rPr>
                <w:sz w:val="20"/>
              </w:rPr>
              <w:t xml:space="preserve">9665,4</w:t>
            </w:r>
          </w:p>
        </w:tc>
        <w:tc>
          <w:tcPr>
            <w:tcW w:w="1361" w:type="dxa"/>
          </w:tcPr>
          <w:p>
            <w:pPr>
              <w:pStyle w:val="0"/>
              <w:jc w:val="center"/>
            </w:pPr>
            <w:r>
              <w:rPr>
                <w:sz w:val="20"/>
              </w:rPr>
              <w:t xml:space="preserve">9936,0</w:t>
            </w:r>
          </w:p>
        </w:tc>
        <w:tc>
          <w:tcPr>
            <w:tcW w:w="1361" w:type="dxa"/>
          </w:tcPr>
          <w:p>
            <w:pPr>
              <w:pStyle w:val="0"/>
              <w:jc w:val="center"/>
            </w:pPr>
            <w:r>
              <w:rPr>
                <w:sz w:val="20"/>
              </w:rPr>
              <w:t xml:space="preserve">10214,2</w:t>
            </w:r>
          </w:p>
        </w:tc>
        <w:tc>
          <w:tcPr>
            <w:tcW w:w="1531" w:type="dxa"/>
          </w:tcPr>
          <w:p>
            <w:pPr>
              <w:pStyle w:val="0"/>
              <w:jc w:val="center"/>
            </w:pPr>
            <w:r>
              <w:rPr>
                <w:sz w:val="20"/>
              </w:rPr>
              <w:t xml:space="preserve">79655,0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30"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vMerge w:val="restart"/>
          </w:tcPr>
          <w:p>
            <w:pPr>
              <w:pStyle w:val="0"/>
              <w:jc w:val="both"/>
            </w:pPr>
            <w:r>
              <w:rPr>
                <w:sz w:val="20"/>
              </w:rPr>
              <w:t xml:space="preserve">1.3. Профилактика инфекционных заболеваний</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112848,1</w:t>
            </w:r>
          </w:p>
        </w:tc>
        <w:tc>
          <w:tcPr>
            <w:tcW w:w="1417" w:type="dxa"/>
          </w:tcPr>
          <w:p>
            <w:pPr>
              <w:pStyle w:val="0"/>
              <w:jc w:val="center"/>
            </w:pPr>
            <w:r>
              <w:rPr>
                <w:sz w:val="20"/>
              </w:rPr>
              <w:t xml:space="preserve">212276,6</w:t>
            </w:r>
          </w:p>
        </w:tc>
        <w:tc>
          <w:tcPr>
            <w:tcW w:w="1417" w:type="dxa"/>
          </w:tcPr>
          <w:p>
            <w:pPr>
              <w:pStyle w:val="0"/>
              <w:jc w:val="center"/>
            </w:pPr>
            <w:r>
              <w:rPr>
                <w:sz w:val="20"/>
              </w:rPr>
              <w:t xml:space="preserve">185120,0</w:t>
            </w:r>
          </w:p>
        </w:tc>
        <w:tc>
          <w:tcPr>
            <w:tcW w:w="1474" w:type="dxa"/>
          </w:tcPr>
          <w:p>
            <w:pPr>
              <w:pStyle w:val="0"/>
              <w:jc w:val="center"/>
            </w:pPr>
            <w:r>
              <w:rPr>
                <w:sz w:val="20"/>
              </w:rPr>
              <w:t xml:space="preserve">192524,8</w:t>
            </w:r>
          </w:p>
        </w:tc>
        <w:tc>
          <w:tcPr>
            <w:tcW w:w="1531" w:type="dxa"/>
          </w:tcPr>
          <w:p>
            <w:pPr>
              <w:pStyle w:val="0"/>
              <w:jc w:val="center"/>
            </w:pPr>
            <w:r>
              <w:rPr>
                <w:sz w:val="20"/>
              </w:rPr>
              <w:t xml:space="preserve">198878,1</w:t>
            </w:r>
          </w:p>
        </w:tc>
        <w:tc>
          <w:tcPr>
            <w:tcW w:w="1474" w:type="dxa"/>
          </w:tcPr>
          <w:p>
            <w:pPr>
              <w:pStyle w:val="0"/>
              <w:jc w:val="center"/>
            </w:pPr>
            <w:r>
              <w:rPr>
                <w:sz w:val="20"/>
              </w:rPr>
              <w:t xml:space="preserve">205043,3</w:t>
            </w:r>
          </w:p>
        </w:tc>
        <w:tc>
          <w:tcPr>
            <w:tcW w:w="1361" w:type="dxa"/>
          </w:tcPr>
          <w:p>
            <w:pPr>
              <w:pStyle w:val="0"/>
              <w:jc w:val="center"/>
            </w:pPr>
            <w:r>
              <w:rPr>
                <w:sz w:val="20"/>
              </w:rPr>
              <w:t xml:space="preserve">210989,6</w:t>
            </w:r>
          </w:p>
        </w:tc>
        <w:tc>
          <w:tcPr>
            <w:tcW w:w="1361" w:type="dxa"/>
          </w:tcPr>
          <w:p>
            <w:pPr>
              <w:pStyle w:val="0"/>
              <w:jc w:val="center"/>
            </w:pPr>
            <w:r>
              <w:rPr>
                <w:sz w:val="20"/>
              </w:rPr>
              <w:t xml:space="preserve">216897,3</w:t>
            </w:r>
          </w:p>
        </w:tc>
        <w:tc>
          <w:tcPr>
            <w:tcW w:w="1361" w:type="dxa"/>
          </w:tcPr>
          <w:p>
            <w:pPr>
              <w:pStyle w:val="0"/>
              <w:jc w:val="center"/>
            </w:pPr>
            <w:r>
              <w:rPr>
                <w:sz w:val="20"/>
              </w:rPr>
              <w:t xml:space="preserve">222970,4</w:t>
            </w:r>
          </w:p>
        </w:tc>
        <w:tc>
          <w:tcPr>
            <w:tcW w:w="1531" w:type="dxa"/>
          </w:tcPr>
          <w:p>
            <w:pPr>
              <w:pStyle w:val="0"/>
              <w:jc w:val="center"/>
            </w:pPr>
            <w:r>
              <w:rPr>
                <w:sz w:val="20"/>
              </w:rPr>
              <w:t xml:space="preserve">1757548,2</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112848,1</w:t>
            </w:r>
          </w:p>
        </w:tc>
        <w:tc>
          <w:tcPr>
            <w:tcW w:w="1417" w:type="dxa"/>
          </w:tcPr>
          <w:p>
            <w:pPr>
              <w:pStyle w:val="0"/>
              <w:jc w:val="center"/>
            </w:pPr>
            <w:r>
              <w:rPr>
                <w:sz w:val="20"/>
              </w:rPr>
              <w:t xml:space="preserve">212276,6</w:t>
            </w:r>
          </w:p>
        </w:tc>
        <w:tc>
          <w:tcPr>
            <w:tcW w:w="1417" w:type="dxa"/>
          </w:tcPr>
          <w:p>
            <w:pPr>
              <w:pStyle w:val="0"/>
              <w:jc w:val="center"/>
            </w:pPr>
            <w:r>
              <w:rPr>
                <w:sz w:val="20"/>
              </w:rPr>
              <w:t xml:space="preserve">185120,0</w:t>
            </w:r>
          </w:p>
        </w:tc>
        <w:tc>
          <w:tcPr>
            <w:tcW w:w="1474" w:type="dxa"/>
          </w:tcPr>
          <w:p>
            <w:pPr>
              <w:pStyle w:val="0"/>
              <w:jc w:val="center"/>
            </w:pPr>
            <w:r>
              <w:rPr>
                <w:sz w:val="20"/>
              </w:rPr>
              <w:t xml:space="preserve">192524,8</w:t>
            </w:r>
          </w:p>
        </w:tc>
        <w:tc>
          <w:tcPr>
            <w:tcW w:w="1531" w:type="dxa"/>
          </w:tcPr>
          <w:p>
            <w:pPr>
              <w:pStyle w:val="0"/>
              <w:jc w:val="center"/>
            </w:pPr>
            <w:r>
              <w:rPr>
                <w:sz w:val="20"/>
              </w:rPr>
              <w:t xml:space="preserve">198878,1</w:t>
            </w:r>
          </w:p>
        </w:tc>
        <w:tc>
          <w:tcPr>
            <w:tcW w:w="1474" w:type="dxa"/>
          </w:tcPr>
          <w:p>
            <w:pPr>
              <w:pStyle w:val="0"/>
              <w:jc w:val="center"/>
            </w:pPr>
            <w:r>
              <w:rPr>
                <w:sz w:val="20"/>
              </w:rPr>
              <w:t xml:space="preserve">205043,3</w:t>
            </w:r>
          </w:p>
        </w:tc>
        <w:tc>
          <w:tcPr>
            <w:tcW w:w="1361" w:type="dxa"/>
          </w:tcPr>
          <w:p>
            <w:pPr>
              <w:pStyle w:val="0"/>
              <w:jc w:val="center"/>
            </w:pPr>
            <w:r>
              <w:rPr>
                <w:sz w:val="20"/>
              </w:rPr>
              <w:t xml:space="preserve">210989,6</w:t>
            </w:r>
          </w:p>
        </w:tc>
        <w:tc>
          <w:tcPr>
            <w:tcW w:w="1361" w:type="dxa"/>
          </w:tcPr>
          <w:p>
            <w:pPr>
              <w:pStyle w:val="0"/>
              <w:jc w:val="center"/>
            </w:pPr>
            <w:r>
              <w:rPr>
                <w:sz w:val="20"/>
              </w:rPr>
              <w:t xml:space="preserve">216897,3</w:t>
            </w:r>
          </w:p>
        </w:tc>
        <w:tc>
          <w:tcPr>
            <w:tcW w:w="1361" w:type="dxa"/>
          </w:tcPr>
          <w:p>
            <w:pPr>
              <w:pStyle w:val="0"/>
              <w:jc w:val="center"/>
            </w:pPr>
            <w:r>
              <w:rPr>
                <w:sz w:val="20"/>
              </w:rPr>
              <w:t xml:space="preserve">222970,4</w:t>
            </w:r>
          </w:p>
        </w:tc>
        <w:tc>
          <w:tcPr>
            <w:tcW w:w="1531" w:type="dxa"/>
          </w:tcPr>
          <w:p>
            <w:pPr>
              <w:pStyle w:val="0"/>
              <w:jc w:val="center"/>
            </w:pPr>
            <w:r>
              <w:rPr>
                <w:sz w:val="20"/>
              </w:rPr>
              <w:t xml:space="preserve">1757548,2</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1.4. Лекарственное обеспечение отдельных категорий граждан</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1224096,9</w:t>
            </w:r>
          </w:p>
        </w:tc>
        <w:tc>
          <w:tcPr>
            <w:tcW w:w="1417" w:type="dxa"/>
          </w:tcPr>
          <w:p>
            <w:pPr>
              <w:pStyle w:val="0"/>
              <w:jc w:val="center"/>
            </w:pPr>
            <w:r>
              <w:rPr>
                <w:sz w:val="20"/>
              </w:rPr>
              <w:t xml:space="preserve">1505135,0</w:t>
            </w:r>
          </w:p>
        </w:tc>
        <w:tc>
          <w:tcPr>
            <w:tcW w:w="1417" w:type="dxa"/>
          </w:tcPr>
          <w:p>
            <w:pPr>
              <w:pStyle w:val="0"/>
              <w:jc w:val="center"/>
            </w:pPr>
            <w:r>
              <w:rPr>
                <w:sz w:val="20"/>
              </w:rPr>
              <w:t xml:space="preserve">1543496,2</w:t>
            </w:r>
          </w:p>
        </w:tc>
        <w:tc>
          <w:tcPr>
            <w:tcW w:w="1474" w:type="dxa"/>
          </w:tcPr>
          <w:p>
            <w:pPr>
              <w:pStyle w:val="0"/>
              <w:jc w:val="center"/>
            </w:pPr>
            <w:r>
              <w:rPr>
                <w:sz w:val="20"/>
              </w:rPr>
              <w:t xml:space="preserve">1600471,2</w:t>
            </w:r>
          </w:p>
        </w:tc>
        <w:tc>
          <w:tcPr>
            <w:tcW w:w="1531" w:type="dxa"/>
          </w:tcPr>
          <w:p>
            <w:pPr>
              <w:pStyle w:val="0"/>
              <w:jc w:val="center"/>
            </w:pPr>
            <w:r>
              <w:rPr>
                <w:sz w:val="20"/>
              </w:rPr>
              <w:t xml:space="preserve">1653286,8</w:t>
            </w:r>
          </w:p>
        </w:tc>
        <w:tc>
          <w:tcPr>
            <w:tcW w:w="1474" w:type="dxa"/>
          </w:tcPr>
          <w:p>
            <w:pPr>
              <w:pStyle w:val="0"/>
              <w:jc w:val="center"/>
            </w:pPr>
            <w:r>
              <w:rPr>
                <w:sz w:val="20"/>
              </w:rPr>
              <w:t xml:space="preserve">1704538,8</w:t>
            </w:r>
          </w:p>
        </w:tc>
        <w:tc>
          <w:tcPr>
            <w:tcW w:w="1361" w:type="dxa"/>
          </w:tcPr>
          <w:p>
            <w:pPr>
              <w:pStyle w:val="0"/>
              <w:jc w:val="center"/>
            </w:pPr>
            <w:r>
              <w:rPr>
                <w:sz w:val="20"/>
              </w:rPr>
              <w:t xml:space="preserve">1753970,4</w:t>
            </w:r>
          </w:p>
        </w:tc>
        <w:tc>
          <w:tcPr>
            <w:tcW w:w="1361" w:type="dxa"/>
          </w:tcPr>
          <w:p>
            <w:pPr>
              <w:pStyle w:val="0"/>
              <w:jc w:val="center"/>
            </w:pPr>
            <w:r>
              <w:rPr>
                <w:sz w:val="20"/>
              </w:rPr>
              <w:t xml:space="preserve">1803081,6</w:t>
            </w:r>
          </w:p>
        </w:tc>
        <w:tc>
          <w:tcPr>
            <w:tcW w:w="1361" w:type="dxa"/>
          </w:tcPr>
          <w:p>
            <w:pPr>
              <w:pStyle w:val="0"/>
              <w:jc w:val="center"/>
            </w:pPr>
            <w:r>
              <w:rPr>
                <w:sz w:val="20"/>
              </w:rPr>
              <w:t xml:space="preserve">1853567,8</w:t>
            </w:r>
          </w:p>
        </w:tc>
        <w:tc>
          <w:tcPr>
            <w:tcW w:w="1531" w:type="dxa"/>
          </w:tcPr>
          <w:p>
            <w:pPr>
              <w:pStyle w:val="0"/>
              <w:jc w:val="center"/>
            </w:pPr>
            <w:r>
              <w:rPr>
                <w:sz w:val="20"/>
              </w:rPr>
              <w:t xml:space="preserve">14641644,7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167823,2</w:t>
            </w:r>
          </w:p>
        </w:tc>
        <w:tc>
          <w:tcPr>
            <w:tcW w:w="1417" w:type="dxa"/>
          </w:tcPr>
          <w:p>
            <w:pPr>
              <w:pStyle w:val="0"/>
              <w:jc w:val="center"/>
            </w:pPr>
            <w:r>
              <w:rPr>
                <w:sz w:val="20"/>
              </w:rPr>
              <w:t xml:space="preserve">183731,4</w:t>
            </w:r>
          </w:p>
        </w:tc>
        <w:tc>
          <w:tcPr>
            <w:tcW w:w="1417" w:type="dxa"/>
          </w:tcPr>
          <w:p>
            <w:pPr>
              <w:pStyle w:val="0"/>
              <w:jc w:val="center"/>
            </w:pPr>
            <w:r>
              <w:rPr>
                <w:sz w:val="20"/>
              </w:rPr>
              <w:t xml:space="preserve">187869,8</w:t>
            </w:r>
          </w:p>
        </w:tc>
        <w:tc>
          <w:tcPr>
            <w:tcW w:w="1474" w:type="dxa"/>
          </w:tcPr>
          <w:p>
            <w:pPr>
              <w:pStyle w:val="0"/>
              <w:jc w:val="center"/>
            </w:pPr>
            <w:r>
              <w:rPr>
                <w:sz w:val="20"/>
              </w:rPr>
              <w:t xml:space="preserve">192619,7</w:t>
            </w:r>
          </w:p>
        </w:tc>
        <w:tc>
          <w:tcPr>
            <w:tcW w:w="1531" w:type="dxa"/>
          </w:tcPr>
          <w:p>
            <w:pPr>
              <w:pStyle w:val="0"/>
              <w:jc w:val="center"/>
            </w:pPr>
            <w:r>
              <w:rPr>
                <w:sz w:val="20"/>
              </w:rPr>
              <w:t xml:space="preserve">198976,2</w:t>
            </w:r>
          </w:p>
        </w:tc>
        <w:tc>
          <w:tcPr>
            <w:tcW w:w="1474" w:type="dxa"/>
          </w:tcPr>
          <w:p>
            <w:pPr>
              <w:pStyle w:val="0"/>
              <w:jc w:val="center"/>
            </w:pPr>
            <w:r>
              <w:rPr>
                <w:sz w:val="20"/>
              </w:rPr>
              <w:t xml:space="preserve">205144,5</w:t>
            </w:r>
          </w:p>
        </w:tc>
        <w:tc>
          <w:tcPr>
            <w:tcW w:w="1361" w:type="dxa"/>
          </w:tcPr>
          <w:p>
            <w:pPr>
              <w:pStyle w:val="0"/>
              <w:jc w:val="center"/>
            </w:pPr>
            <w:r>
              <w:rPr>
                <w:sz w:val="20"/>
              </w:rPr>
              <w:t xml:space="preserve">211093,7</w:t>
            </w:r>
          </w:p>
        </w:tc>
        <w:tc>
          <w:tcPr>
            <w:tcW w:w="1361" w:type="dxa"/>
          </w:tcPr>
          <w:p>
            <w:pPr>
              <w:pStyle w:val="0"/>
              <w:jc w:val="center"/>
            </w:pPr>
            <w:r>
              <w:rPr>
                <w:sz w:val="20"/>
              </w:rPr>
              <w:t xml:space="preserve">217004,3</w:t>
            </w:r>
          </w:p>
        </w:tc>
        <w:tc>
          <w:tcPr>
            <w:tcW w:w="1361" w:type="dxa"/>
          </w:tcPr>
          <w:p>
            <w:pPr>
              <w:pStyle w:val="0"/>
              <w:jc w:val="center"/>
            </w:pPr>
            <w:r>
              <w:rPr>
                <w:sz w:val="20"/>
              </w:rPr>
              <w:t xml:space="preserve">223080,4</w:t>
            </w:r>
          </w:p>
        </w:tc>
        <w:tc>
          <w:tcPr>
            <w:tcW w:w="1531" w:type="dxa"/>
          </w:tcPr>
          <w:p>
            <w:pPr>
              <w:pStyle w:val="0"/>
              <w:jc w:val="center"/>
            </w:pPr>
            <w:r>
              <w:rPr>
                <w:sz w:val="20"/>
              </w:rPr>
              <w:t xml:space="preserve">1787343,2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1056273,7</w:t>
            </w:r>
          </w:p>
        </w:tc>
        <w:tc>
          <w:tcPr>
            <w:tcW w:w="1417" w:type="dxa"/>
          </w:tcPr>
          <w:p>
            <w:pPr>
              <w:pStyle w:val="0"/>
              <w:jc w:val="center"/>
            </w:pPr>
            <w:r>
              <w:rPr>
                <w:sz w:val="20"/>
              </w:rPr>
              <w:t xml:space="preserve">1321403,6</w:t>
            </w:r>
          </w:p>
        </w:tc>
        <w:tc>
          <w:tcPr>
            <w:tcW w:w="1417" w:type="dxa"/>
          </w:tcPr>
          <w:p>
            <w:pPr>
              <w:pStyle w:val="0"/>
              <w:jc w:val="center"/>
            </w:pPr>
            <w:r>
              <w:rPr>
                <w:sz w:val="20"/>
              </w:rPr>
              <w:t xml:space="preserve">1355626,4</w:t>
            </w:r>
          </w:p>
        </w:tc>
        <w:tc>
          <w:tcPr>
            <w:tcW w:w="1474" w:type="dxa"/>
          </w:tcPr>
          <w:p>
            <w:pPr>
              <w:pStyle w:val="0"/>
              <w:jc w:val="center"/>
            </w:pPr>
            <w:r>
              <w:rPr>
                <w:sz w:val="20"/>
              </w:rPr>
              <w:t xml:space="preserve">1407851,5</w:t>
            </w:r>
          </w:p>
        </w:tc>
        <w:tc>
          <w:tcPr>
            <w:tcW w:w="1531" w:type="dxa"/>
          </w:tcPr>
          <w:p>
            <w:pPr>
              <w:pStyle w:val="0"/>
              <w:jc w:val="center"/>
            </w:pPr>
            <w:r>
              <w:rPr>
                <w:sz w:val="20"/>
              </w:rPr>
              <w:t xml:space="preserve">1454310,6</w:t>
            </w:r>
          </w:p>
        </w:tc>
        <w:tc>
          <w:tcPr>
            <w:tcW w:w="1474" w:type="dxa"/>
          </w:tcPr>
          <w:p>
            <w:pPr>
              <w:pStyle w:val="0"/>
              <w:jc w:val="center"/>
            </w:pPr>
            <w:r>
              <w:rPr>
                <w:sz w:val="20"/>
              </w:rPr>
              <w:t xml:space="preserve">1499394,3</w:t>
            </w:r>
          </w:p>
        </w:tc>
        <w:tc>
          <w:tcPr>
            <w:tcW w:w="1361" w:type="dxa"/>
          </w:tcPr>
          <w:p>
            <w:pPr>
              <w:pStyle w:val="0"/>
              <w:jc w:val="center"/>
            </w:pPr>
            <w:r>
              <w:rPr>
                <w:sz w:val="20"/>
              </w:rPr>
              <w:t xml:space="preserve">1542876,7</w:t>
            </w:r>
          </w:p>
        </w:tc>
        <w:tc>
          <w:tcPr>
            <w:tcW w:w="1361" w:type="dxa"/>
          </w:tcPr>
          <w:p>
            <w:pPr>
              <w:pStyle w:val="0"/>
              <w:jc w:val="center"/>
            </w:pPr>
            <w:r>
              <w:rPr>
                <w:sz w:val="20"/>
              </w:rPr>
              <w:t xml:space="preserve">1586077,3</w:t>
            </w:r>
          </w:p>
        </w:tc>
        <w:tc>
          <w:tcPr>
            <w:tcW w:w="1361" w:type="dxa"/>
          </w:tcPr>
          <w:p>
            <w:pPr>
              <w:pStyle w:val="0"/>
              <w:jc w:val="center"/>
            </w:pPr>
            <w:r>
              <w:rPr>
                <w:sz w:val="20"/>
              </w:rPr>
              <w:t xml:space="preserve">1630487,4</w:t>
            </w:r>
          </w:p>
        </w:tc>
        <w:tc>
          <w:tcPr>
            <w:tcW w:w="1531" w:type="dxa"/>
          </w:tcPr>
          <w:p>
            <w:pPr>
              <w:pStyle w:val="0"/>
              <w:jc w:val="center"/>
            </w:pPr>
            <w:r>
              <w:rPr>
                <w:sz w:val="20"/>
              </w:rPr>
              <w:t xml:space="preserve">12854301,5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31"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1.4.1. Лекарственное обеспечение граждан, страдающих спинальной мышечной атрофией</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45220,5</w:t>
            </w:r>
          </w:p>
        </w:tc>
        <w:tc>
          <w:tcPr>
            <w:tcW w:w="1417" w:type="dxa"/>
          </w:tcPr>
          <w:p>
            <w:pPr>
              <w:pStyle w:val="0"/>
              <w:jc w:val="center"/>
            </w:pPr>
            <w:r>
              <w:rPr>
                <w:sz w:val="20"/>
              </w:rPr>
              <w:t xml:space="preserve">50873,1</w:t>
            </w:r>
          </w:p>
        </w:tc>
        <w:tc>
          <w:tcPr>
            <w:tcW w:w="1417" w:type="dxa"/>
          </w:tcPr>
          <w:p>
            <w:pPr>
              <w:pStyle w:val="0"/>
              <w:jc w:val="center"/>
            </w:pPr>
            <w:r>
              <w:rPr>
                <w:sz w:val="20"/>
              </w:rPr>
              <w:t xml:space="preserve">140826,4</w:t>
            </w:r>
          </w:p>
        </w:tc>
        <w:tc>
          <w:tcPr>
            <w:tcW w:w="1474" w:type="dxa"/>
          </w:tcPr>
          <w:p>
            <w:pPr>
              <w:pStyle w:val="0"/>
              <w:jc w:val="center"/>
            </w:pPr>
            <w:r>
              <w:rPr>
                <w:sz w:val="20"/>
              </w:rPr>
              <w:t xml:space="preserve">146459,5</w:t>
            </w:r>
          </w:p>
        </w:tc>
        <w:tc>
          <w:tcPr>
            <w:tcW w:w="1531" w:type="dxa"/>
          </w:tcPr>
          <w:p>
            <w:pPr>
              <w:pStyle w:val="0"/>
              <w:jc w:val="center"/>
            </w:pPr>
            <w:r>
              <w:rPr>
                <w:sz w:val="20"/>
              </w:rPr>
              <w:t xml:space="preserve">151292,7</w:t>
            </w:r>
          </w:p>
        </w:tc>
        <w:tc>
          <w:tcPr>
            <w:tcW w:w="1474" w:type="dxa"/>
          </w:tcPr>
          <w:p>
            <w:pPr>
              <w:pStyle w:val="0"/>
              <w:jc w:val="center"/>
            </w:pPr>
            <w:r>
              <w:rPr>
                <w:sz w:val="20"/>
              </w:rPr>
              <w:t xml:space="preserve">155982,8</w:t>
            </w:r>
          </w:p>
        </w:tc>
        <w:tc>
          <w:tcPr>
            <w:tcW w:w="1361" w:type="dxa"/>
          </w:tcPr>
          <w:p>
            <w:pPr>
              <w:pStyle w:val="0"/>
              <w:jc w:val="center"/>
            </w:pPr>
            <w:r>
              <w:rPr>
                <w:sz w:val="20"/>
              </w:rPr>
              <w:t xml:space="preserve">160506,3</w:t>
            </w:r>
          </w:p>
        </w:tc>
        <w:tc>
          <w:tcPr>
            <w:tcW w:w="1361" w:type="dxa"/>
          </w:tcPr>
          <w:p>
            <w:pPr>
              <w:pStyle w:val="0"/>
              <w:jc w:val="center"/>
            </w:pPr>
            <w:r>
              <w:rPr>
                <w:sz w:val="20"/>
              </w:rPr>
              <w:t xml:space="preserve">165000,5</w:t>
            </w:r>
          </w:p>
        </w:tc>
        <w:tc>
          <w:tcPr>
            <w:tcW w:w="1361" w:type="dxa"/>
          </w:tcPr>
          <w:p>
            <w:pPr>
              <w:pStyle w:val="0"/>
              <w:jc w:val="center"/>
            </w:pPr>
            <w:r>
              <w:rPr>
                <w:sz w:val="20"/>
              </w:rPr>
              <w:t xml:space="preserve">169620,5</w:t>
            </w:r>
          </w:p>
        </w:tc>
        <w:tc>
          <w:tcPr>
            <w:tcW w:w="1531" w:type="dxa"/>
          </w:tcPr>
          <w:p>
            <w:pPr>
              <w:pStyle w:val="0"/>
              <w:jc w:val="center"/>
            </w:pPr>
            <w:r>
              <w:rPr>
                <w:sz w:val="20"/>
              </w:rPr>
              <w:t xml:space="preserve">1185782,3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45220,5</w:t>
            </w:r>
          </w:p>
        </w:tc>
        <w:tc>
          <w:tcPr>
            <w:tcW w:w="1417" w:type="dxa"/>
          </w:tcPr>
          <w:p>
            <w:pPr>
              <w:pStyle w:val="0"/>
              <w:jc w:val="center"/>
            </w:pPr>
            <w:r>
              <w:rPr>
                <w:sz w:val="20"/>
              </w:rPr>
              <w:t xml:space="preserve">50873,1</w:t>
            </w:r>
          </w:p>
        </w:tc>
        <w:tc>
          <w:tcPr>
            <w:tcW w:w="1417" w:type="dxa"/>
          </w:tcPr>
          <w:p>
            <w:pPr>
              <w:pStyle w:val="0"/>
              <w:jc w:val="center"/>
            </w:pPr>
            <w:r>
              <w:rPr>
                <w:sz w:val="20"/>
              </w:rPr>
              <w:t xml:space="preserve">140826,4</w:t>
            </w:r>
          </w:p>
        </w:tc>
        <w:tc>
          <w:tcPr>
            <w:tcW w:w="1474" w:type="dxa"/>
          </w:tcPr>
          <w:p>
            <w:pPr>
              <w:pStyle w:val="0"/>
              <w:jc w:val="center"/>
            </w:pPr>
            <w:r>
              <w:rPr>
                <w:sz w:val="20"/>
              </w:rPr>
              <w:t xml:space="preserve">146459,5</w:t>
            </w:r>
          </w:p>
        </w:tc>
        <w:tc>
          <w:tcPr>
            <w:tcW w:w="1531" w:type="dxa"/>
          </w:tcPr>
          <w:p>
            <w:pPr>
              <w:pStyle w:val="0"/>
              <w:jc w:val="center"/>
            </w:pPr>
            <w:r>
              <w:rPr>
                <w:sz w:val="20"/>
              </w:rPr>
              <w:t xml:space="preserve">151292,7</w:t>
            </w:r>
          </w:p>
        </w:tc>
        <w:tc>
          <w:tcPr>
            <w:tcW w:w="1474" w:type="dxa"/>
          </w:tcPr>
          <w:p>
            <w:pPr>
              <w:pStyle w:val="0"/>
              <w:jc w:val="center"/>
            </w:pPr>
            <w:r>
              <w:rPr>
                <w:sz w:val="20"/>
              </w:rPr>
              <w:t xml:space="preserve">155982,8</w:t>
            </w:r>
          </w:p>
        </w:tc>
        <w:tc>
          <w:tcPr>
            <w:tcW w:w="1361" w:type="dxa"/>
          </w:tcPr>
          <w:p>
            <w:pPr>
              <w:pStyle w:val="0"/>
              <w:jc w:val="center"/>
            </w:pPr>
            <w:r>
              <w:rPr>
                <w:sz w:val="20"/>
              </w:rPr>
              <w:t xml:space="preserve">160506,3</w:t>
            </w:r>
          </w:p>
        </w:tc>
        <w:tc>
          <w:tcPr>
            <w:tcW w:w="1361" w:type="dxa"/>
          </w:tcPr>
          <w:p>
            <w:pPr>
              <w:pStyle w:val="0"/>
              <w:jc w:val="center"/>
            </w:pPr>
            <w:r>
              <w:rPr>
                <w:sz w:val="20"/>
              </w:rPr>
              <w:t xml:space="preserve">165000,5</w:t>
            </w:r>
          </w:p>
        </w:tc>
        <w:tc>
          <w:tcPr>
            <w:tcW w:w="1361" w:type="dxa"/>
          </w:tcPr>
          <w:p>
            <w:pPr>
              <w:pStyle w:val="0"/>
              <w:jc w:val="center"/>
            </w:pPr>
            <w:r>
              <w:rPr>
                <w:sz w:val="20"/>
              </w:rPr>
              <w:t xml:space="preserve">169620,5</w:t>
            </w:r>
          </w:p>
        </w:tc>
        <w:tc>
          <w:tcPr>
            <w:tcW w:w="1531" w:type="dxa"/>
          </w:tcPr>
          <w:p>
            <w:pPr>
              <w:pStyle w:val="0"/>
              <w:jc w:val="center"/>
            </w:pPr>
            <w:r>
              <w:rPr>
                <w:sz w:val="20"/>
              </w:rPr>
              <w:t xml:space="preserve">1185782,3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32"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3458" w:type="dxa"/>
            <w:tcBorders>
              <w:bottom w:val="nil"/>
            </w:tcBorders>
            <w:vMerge w:val="restart"/>
          </w:tcPr>
          <w:p>
            <w:pPr>
              <w:pStyle w:val="0"/>
              <w:jc w:val="both"/>
            </w:pPr>
            <w:r>
              <w:rPr>
                <w:sz w:val="20"/>
              </w:rPr>
              <w:t xml:space="preserve">1.4.2. Обеспечение отдельных категорий граждан, проживающих в городе Севастополе, бесплатными лекарственными препаратами, медицинскими изделиями и специализированными продуктами лечебного питания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1011053,2</w:t>
            </w:r>
          </w:p>
        </w:tc>
        <w:tc>
          <w:tcPr>
            <w:tcW w:w="1417" w:type="dxa"/>
          </w:tcPr>
          <w:p>
            <w:pPr>
              <w:pStyle w:val="0"/>
              <w:jc w:val="center"/>
            </w:pPr>
            <w:r>
              <w:rPr>
                <w:sz w:val="20"/>
              </w:rPr>
              <w:t xml:space="preserve">1270530,5</w:t>
            </w:r>
          </w:p>
        </w:tc>
        <w:tc>
          <w:tcPr>
            <w:tcW w:w="1417" w:type="dxa"/>
          </w:tcPr>
          <w:p>
            <w:pPr>
              <w:pStyle w:val="0"/>
              <w:jc w:val="center"/>
            </w:pPr>
            <w:r>
              <w:rPr>
                <w:sz w:val="20"/>
              </w:rPr>
              <w:t xml:space="preserve">1164800,0</w:t>
            </w:r>
          </w:p>
        </w:tc>
        <w:tc>
          <w:tcPr>
            <w:tcW w:w="1474" w:type="dxa"/>
          </w:tcPr>
          <w:p>
            <w:pPr>
              <w:pStyle w:val="0"/>
              <w:jc w:val="center"/>
            </w:pPr>
            <w:r>
              <w:rPr>
                <w:sz w:val="20"/>
              </w:rPr>
              <w:t xml:space="preserve">1211392,0</w:t>
            </w:r>
          </w:p>
        </w:tc>
        <w:tc>
          <w:tcPr>
            <w:tcW w:w="1531" w:type="dxa"/>
          </w:tcPr>
          <w:p>
            <w:pPr>
              <w:pStyle w:val="0"/>
              <w:jc w:val="center"/>
            </w:pPr>
            <w:r>
              <w:rPr>
                <w:sz w:val="20"/>
              </w:rPr>
              <w:t xml:space="preserve">1251367,9</w:t>
            </w:r>
          </w:p>
        </w:tc>
        <w:tc>
          <w:tcPr>
            <w:tcW w:w="1474" w:type="dxa"/>
          </w:tcPr>
          <w:p>
            <w:pPr>
              <w:pStyle w:val="0"/>
              <w:jc w:val="center"/>
            </w:pPr>
            <w:r>
              <w:rPr>
                <w:sz w:val="20"/>
              </w:rPr>
              <w:t xml:space="preserve">1290160,3</w:t>
            </w:r>
          </w:p>
        </w:tc>
        <w:tc>
          <w:tcPr>
            <w:tcW w:w="1361" w:type="dxa"/>
          </w:tcPr>
          <w:p>
            <w:pPr>
              <w:pStyle w:val="0"/>
              <w:jc w:val="center"/>
            </w:pPr>
            <w:r>
              <w:rPr>
                <w:sz w:val="20"/>
              </w:rPr>
              <w:t xml:space="preserve">1327574,9</w:t>
            </w:r>
          </w:p>
        </w:tc>
        <w:tc>
          <w:tcPr>
            <w:tcW w:w="1361" w:type="dxa"/>
          </w:tcPr>
          <w:p>
            <w:pPr>
              <w:pStyle w:val="0"/>
              <w:jc w:val="center"/>
            </w:pPr>
            <w:r>
              <w:rPr>
                <w:sz w:val="20"/>
              </w:rPr>
              <w:t xml:space="preserve">1364747,0</w:t>
            </w:r>
          </w:p>
        </w:tc>
        <w:tc>
          <w:tcPr>
            <w:tcW w:w="1361" w:type="dxa"/>
          </w:tcPr>
          <w:p>
            <w:pPr>
              <w:pStyle w:val="0"/>
              <w:jc w:val="center"/>
            </w:pPr>
            <w:r>
              <w:rPr>
                <w:sz w:val="20"/>
              </w:rPr>
              <w:t xml:space="preserve">1402959,9</w:t>
            </w:r>
          </w:p>
        </w:tc>
        <w:tc>
          <w:tcPr>
            <w:tcW w:w="1531" w:type="dxa"/>
          </w:tcPr>
          <w:p>
            <w:pPr>
              <w:pStyle w:val="0"/>
              <w:jc w:val="center"/>
            </w:pPr>
            <w:r>
              <w:rPr>
                <w:sz w:val="20"/>
              </w:rPr>
              <w:t xml:space="preserve">11294585,7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1011053,2</w:t>
            </w:r>
          </w:p>
        </w:tc>
        <w:tc>
          <w:tcPr>
            <w:tcW w:w="1417" w:type="dxa"/>
          </w:tcPr>
          <w:p>
            <w:pPr>
              <w:pStyle w:val="0"/>
              <w:jc w:val="center"/>
            </w:pPr>
            <w:r>
              <w:rPr>
                <w:sz w:val="20"/>
              </w:rPr>
              <w:t xml:space="preserve">1270530,5</w:t>
            </w:r>
          </w:p>
        </w:tc>
        <w:tc>
          <w:tcPr>
            <w:tcW w:w="1417" w:type="dxa"/>
          </w:tcPr>
          <w:p>
            <w:pPr>
              <w:pStyle w:val="0"/>
              <w:jc w:val="center"/>
            </w:pPr>
            <w:r>
              <w:rPr>
                <w:sz w:val="20"/>
              </w:rPr>
              <w:t xml:space="preserve">1164800,0</w:t>
            </w:r>
          </w:p>
        </w:tc>
        <w:tc>
          <w:tcPr>
            <w:tcW w:w="1474" w:type="dxa"/>
          </w:tcPr>
          <w:p>
            <w:pPr>
              <w:pStyle w:val="0"/>
              <w:jc w:val="center"/>
            </w:pPr>
            <w:r>
              <w:rPr>
                <w:sz w:val="20"/>
              </w:rPr>
              <w:t xml:space="preserve">1211392,0</w:t>
            </w:r>
          </w:p>
        </w:tc>
        <w:tc>
          <w:tcPr>
            <w:tcW w:w="1531" w:type="dxa"/>
          </w:tcPr>
          <w:p>
            <w:pPr>
              <w:pStyle w:val="0"/>
              <w:jc w:val="center"/>
            </w:pPr>
            <w:r>
              <w:rPr>
                <w:sz w:val="20"/>
              </w:rPr>
              <w:t xml:space="preserve">1251367,9</w:t>
            </w:r>
          </w:p>
        </w:tc>
        <w:tc>
          <w:tcPr>
            <w:tcW w:w="1474" w:type="dxa"/>
          </w:tcPr>
          <w:p>
            <w:pPr>
              <w:pStyle w:val="0"/>
              <w:jc w:val="center"/>
            </w:pPr>
            <w:r>
              <w:rPr>
                <w:sz w:val="20"/>
              </w:rPr>
              <w:t xml:space="preserve">1290160,3</w:t>
            </w:r>
          </w:p>
        </w:tc>
        <w:tc>
          <w:tcPr>
            <w:tcW w:w="1361" w:type="dxa"/>
          </w:tcPr>
          <w:p>
            <w:pPr>
              <w:pStyle w:val="0"/>
              <w:jc w:val="center"/>
            </w:pPr>
            <w:r>
              <w:rPr>
                <w:sz w:val="20"/>
              </w:rPr>
              <w:t xml:space="preserve">1327574,9</w:t>
            </w:r>
          </w:p>
        </w:tc>
        <w:tc>
          <w:tcPr>
            <w:tcW w:w="1361" w:type="dxa"/>
          </w:tcPr>
          <w:p>
            <w:pPr>
              <w:pStyle w:val="0"/>
              <w:jc w:val="center"/>
            </w:pPr>
            <w:r>
              <w:rPr>
                <w:sz w:val="20"/>
              </w:rPr>
              <w:t xml:space="preserve">1364747,0</w:t>
            </w:r>
          </w:p>
        </w:tc>
        <w:tc>
          <w:tcPr>
            <w:tcW w:w="1361" w:type="dxa"/>
          </w:tcPr>
          <w:p>
            <w:pPr>
              <w:pStyle w:val="0"/>
              <w:jc w:val="center"/>
            </w:pPr>
            <w:r>
              <w:rPr>
                <w:sz w:val="20"/>
              </w:rPr>
              <w:t xml:space="preserve">1402959,9</w:t>
            </w:r>
          </w:p>
        </w:tc>
        <w:tc>
          <w:tcPr>
            <w:tcW w:w="1531" w:type="dxa"/>
          </w:tcPr>
          <w:p>
            <w:pPr>
              <w:pStyle w:val="0"/>
              <w:jc w:val="center"/>
            </w:pPr>
            <w:r>
              <w:rPr>
                <w:sz w:val="20"/>
              </w:rPr>
              <w:t xml:space="preserve">11294585,7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33"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1.4.3. Обеспечение отдельных категорий граждан, проживающих в городе Севастополе, лекарственными средствами с 50-процентной скидкой</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50000,0</w:t>
            </w:r>
          </w:p>
        </w:tc>
        <w:tc>
          <w:tcPr>
            <w:tcW w:w="1474" w:type="dxa"/>
          </w:tcPr>
          <w:p>
            <w:pPr>
              <w:pStyle w:val="0"/>
              <w:jc w:val="center"/>
            </w:pPr>
            <w:r>
              <w:rPr>
                <w:sz w:val="20"/>
              </w:rPr>
              <w:t xml:space="preserve">50000,0</w:t>
            </w:r>
          </w:p>
        </w:tc>
        <w:tc>
          <w:tcPr>
            <w:tcW w:w="1531" w:type="dxa"/>
          </w:tcPr>
          <w:p>
            <w:pPr>
              <w:pStyle w:val="0"/>
              <w:jc w:val="center"/>
            </w:pPr>
            <w:r>
              <w:rPr>
                <w:sz w:val="20"/>
              </w:rPr>
              <w:t xml:space="preserve">51650,0</w:t>
            </w:r>
          </w:p>
        </w:tc>
        <w:tc>
          <w:tcPr>
            <w:tcW w:w="1474" w:type="dxa"/>
          </w:tcPr>
          <w:p>
            <w:pPr>
              <w:pStyle w:val="0"/>
              <w:jc w:val="center"/>
            </w:pPr>
            <w:r>
              <w:rPr>
                <w:sz w:val="20"/>
              </w:rPr>
              <w:t xml:space="preserve">53251,2</w:t>
            </w:r>
          </w:p>
        </w:tc>
        <w:tc>
          <w:tcPr>
            <w:tcW w:w="1361" w:type="dxa"/>
          </w:tcPr>
          <w:p>
            <w:pPr>
              <w:pStyle w:val="0"/>
              <w:jc w:val="center"/>
            </w:pPr>
            <w:r>
              <w:rPr>
                <w:sz w:val="20"/>
              </w:rPr>
              <w:t xml:space="preserve">54795,5</w:t>
            </w:r>
          </w:p>
        </w:tc>
        <w:tc>
          <w:tcPr>
            <w:tcW w:w="1361" w:type="dxa"/>
          </w:tcPr>
          <w:p>
            <w:pPr>
              <w:pStyle w:val="0"/>
              <w:jc w:val="center"/>
            </w:pPr>
            <w:r>
              <w:rPr>
                <w:sz w:val="20"/>
              </w:rPr>
              <w:t xml:space="preserve">56329,8</w:t>
            </w:r>
          </w:p>
        </w:tc>
        <w:tc>
          <w:tcPr>
            <w:tcW w:w="1361" w:type="dxa"/>
          </w:tcPr>
          <w:p>
            <w:pPr>
              <w:pStyle w:val="0"/>
              <w:jc w:val="center"/>
            </w:pPr>
            <w:r>
              <w:rPr>
                <w:sz w:val="20"/>
              </w:rPr>
              <w:t xml:space="preserve">57907,0</w:t>
            </w:r>
          </w:p>
        </w:tc>
        <w:tc>
          <w:tcPr>
            <w:tcW w:w="1531" w:type="dxa"/>
          </w:tcPr>
          <w:p>
            <w:pPr>
              <w:pStyle w:val="0"/>
              <w:jc w:val="center"/>
            </w:pPr>
            <w:r>
              <w:rPr>
                <w:sz w:val="20"/>
              </w:rPr>
              <w:t xml:space="preserve">373933,5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50000,0</w:t>
            </w:r>
          </w:p>
        </w:tc>
        <w:tc>
          <w:tcPr>
            <w:tcW w:w="1474" w:type="dxa"/>
          </w:tcPr>
          <w:p>
            <w:pPr>
              <w:pStyle w:val="0"/>
              <w:jc w:val="center"/>
            </w:pPr>
            <w:r>
              <w:rPr>
                <w:sz w:val="20"/>
              </w:rPr>
              <w:t xml:space="preserve">50000,0</w:t>
            </w:r>
          </w:p>
        </w:tc>
        <w:tc>
          <w:tcPr>
            <w:tcW w:w="1531" w:type="dxa"/>
          </w:tcPr>
          <w:p>
            <w:pPr>
              <w:pStyle w:val="0"/>
              <w:jc w:val="center"/>
            </w:pPr>
            <w:r>
              <w:rPr>
                <w:sz w:val="20"/>
              </w:rPr>
              <w:t xml:space="preserve">51650,0</w:t>
            </w:r>
          </w:p>
        </w:tc>
        <w:tc>
          <w:tcPr>
            <w:tcW w:w="1474" w:type="dxa"/>
          </w:tcPr>
          <w:p>
            <w:pPr>
              <w:pStyle w:val="0"/>
              <w:jc w:val="center"/>
            </w:pPr>
            <w:r>
              <w:rPr>
                <w:sz w:val="20"/>
              </w:rPr>
              <w:t xml:space="preserve">53251,2</w:t>
            </w:r>
          </w:p>
        </w:tc>
        <w:tc>
          <w:tcPr>
            <w:tcW w:w="1361" w:type="dxa"/>
          </w:tcPr>
          <w:p>
            <w:pPr>
              <w:pStyle w:val="0"/>
              <w:jc w:val="center"/>
            </w:pPr>
            <w:r>
              <w:rPr>
                <w:sz w:val="20"/>
              </w:rPr>
              <w:t xml:space="preserve">54795,5</w:t>
            </w:r>
          </w:p>
        </w:tc>
        <w:tc>
          <w:tcPr>
            <w:tcW w:w="1361" w:type="dxa"/>
          </w:tcPr>
          <w:p>
            <w:pPr>
              <w:pStyle w:val="0"/>
              <w:jc w:val="center"/>
            </w:pPr>
            <w:r>
              <w:rPr>
                <w:sz w:val="20"/>
              </w:rPr>
              <w:t xml:space="preserve">56329,8</w:t>
            </w:r>
          </w:p>
        </w:tc>
        <w:tc>
          <w:tcPr>
            <w:tcW w:w="1361" w:type="dxa"/>
          </w:tcPr>
          <w:p>
            <w:pPr>
              <w:pStyle w:val="0"/>
              <w:jc w:val="center"/>
            </w:pPr>
            <w:r>
              <w:rPr>
                <w:sz w:val="20"/>
              </w:rPr>
              <w:t xml:space="preserve">57907,0</w:t>
            </w:r>
          </w:p>
        </w:tc>
        <w:tc>
          <w:tcPr>
            <w:tcW w:w="1531" w:type="dxa"/>
          </w:tcPr>
          <w:p>
            <w:pPr>
              <w:pStyle w:val="0"/>
              <w:jc w:val="center"/>
            </w:pPr>
            <w:r>
              <w:rPr>
                <w:sz w:val="20"/>
              </w:rPr>
              <w:t xml:space="preserve">373933,5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34"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1.4.4. Лекарственное обеспечение федеральных льготополучателей</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167823,2</w:t>
            </w:r>
          </w:p>
        </w:tc>
        <w:tc>
          <w:tcPr>
            <w:tcW w:w="1417" w:type="dxa"/>
          </w:tcPr>
          <w:p>
            <w:pPr>
              <w:pStyle w:val="0"/>
              <w:jc w:val="center"/>
            </w:pPr>
            <w:r>
              <w:rPr>
                <w:sz w:val="20"/>
              </w:rPr>
              <w:t xml:space="preserve">183731,4</w:t>
            </w:r>
          </w:p>
        </w:tc>
        <w:tc>
          <w:tcPr>
            <w:tcW w:w="1417" w:type="dxa"/>
          </w:tcPr>
          <w:p>
            <w:pPr>
              <w:pStyle w:val="0"/>
              <w:jc w:val="center"/>
            </w:pPr>
            <w:r>
              <w:rPr>
                <w:sz w:val="20"/>
              </w:rPr>
              <w:t xml:space="preserve">187869,8</w:t>
            </w:r>
          </w:p>
        </w:tc>
        <w:tc>
          <w:tcPr>
            <w:tcW w:w="1474" w:type="dxa"/>
          </w:tcPr>
          <w:p>
            <w:pPr>
              <w:pStyle w:val="0"/>
              <w:jc w:val="center"/>
            </w:pPr>
            <w:r>
              <w:rPr>
                <w:sz w:val="20"/>
              </w:rPr>
              <w:t xml:space="preserve">192619,7</w:t>
            </w:r>
          </w:p>
        </w:tc>
        <w:tc>
          <w:tcPr>
            <w:tcW w:w="1531" w:type="dxa"/>
          </w:tcPr>
          <w:p>
            <w:pPr>
              <w:pStyle w:val="0"/>
              <w:jc w:val="center"/>
            </w:pPr>
            <w:r>
              <w:rPr>
                <w:sz w:val="20"/>
              </w:rPr>
              <w:t xml:space="preserve">198976,2</w:t>
            </w:r>
          </w:p>
        </w:tc>
        <w:tc>
          <w:tcPr>
            <w:tcW w:w="1474" w:type="dxa"/>
          </w:tcPr>
          <w:p>
            <w:pPr>
              <w:pStyle w:val="0"/>
              <w:jc w:val="center"/>
            </w:pPr>
            <w:r>
              <w:rPr>
                <w:sz w:val="20"/>
              </w:rPr>
              <w:t xml:space="preserve">205144,5</w:t>
            </w:r>
          </w:p>
        </w:tc>
        <w:tc>
          <w:tcPr>
            <w:tcW w:w="1361" w:type="dxa"/>
          </w:tcPr>
          <w:p>
            <w:pPr>
              <w:pStyle w:val="0"/>
              <w:jc w:val="center"/>
            </w:pPr>
            <w:r>
              <w:rPr>
                <w:sz w:val="20"/>
              </w:rPr>
              <w:t xml:space="preserve">211093,7</w:t>
            </w:r>
          </w:p>
        </w:tc>
        <w:tc>
          <w:tcPr>
            <w:tcW w:w="1361" w:type="dxa"/>
          </w:tcPr>
          <w:p>
            <w:pPr>
              <w:pStyle w:val="0"/>
              <w:jc w:val="center"/>
            </w:pPr>
            <w:r>
              <w:rPr>
                <w:sz w:val="20"/>
              </w:rPr>
              <w:t xml:space="preserve">217004,3</w:t>
            </w:r>
          </w:p>
        </w:tc>
        <w:tc>
          <w:tcPr>
            <w:tcW w:w="1361" w:type="dxa"/>
          </w:tcPr>
          <w:p>
            <w:pPr>
              <w:pStyle w:val="0"/>
              <w:jc w:val="center"/>
            </w:pPr>
            <w:r>
              <w:rPr>
                <w:sz w:val="20"/>
              </w:rPr>
              <w:t xml:space="preserve">223080,4</w:t>
            </w:r>
          </w:p>
        </w:tc>
        <w:tc>
          <w:tcPr>
            <w:tcW w:w="1531" w:type="dxa"/>
          </w:tcPr>
          <w:p>
            <w:pPr>
              <w:pStyle w:val="0"/>
              <w:jc w:val="center"/>
            </w:pPr>
            <w:r>
              <w:rPr>
                <w:sz w:val="20"/>
              </w:rPr>
              <w:t xml:space="preserve">1787343,2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167823,2</w:t>
            </w:r>
          </w:p>
        </w:tc>
        <w:tc>
          <w:tcPr>
            <w:tcW w:w="1417" w:type="dxa"/>
          </w:tcPr>
          <w:p>
            <w:pPr>
              <w:pStyle w:val="0"/>
              <w:jc w:val="center"/>
            </w:pPr>
            <w:r>
              <w:rPr>
                <w:sz w:val="20"/>
              </w:rPr>
              <w:t xml:space="preserve">183731,4</w:t>
            </w:r>
          </w:p>
        </w:tc>
        <w:tc>
          <w:tcPr>
            <w:tcW w:w="1417" w:type="dxa"/>
          </w:tcPr>
          <w:p>
            <w:pPr>
              <w:pStyle w:val="0"/>
              <w:jc w:val="center"/>
            </w:pPr>
            <w:r>
              <w:rPr>
                <w:sz w:val="20"/>
              </w:rPr>
              <w:t xml:space="preserve">187869,8</w:t>
            </w:r>
          </w:p>
        </w:tc>
        <w:tc>
          <w:tcPr>
            <w:tcW w:w="1474" w:type="dxa"/>
          </w:tcPr>
          <w:p>
            <w:pPr>
              <w:pStyle w:val="0"/>
              <w:jc w:val="center"/>
            </w:pPr>
            <w:r>
              <w:rPr>
                <w:sz w:val="20"/>
              </w:rPr>
              <w:t xml:space="preserve">192619,7</w:t>
            </w:r>
          </w:p>
        </w:tc>
        <w:tc>
          <w:tcPr>
            <w:tcW w:w="1531" w:type="dxa"/>
          </w:tcPr>
          <w:p>
            <w:pPr>
              <w:pStyle w:val="0"/>
              <w:jc w:val="center"/>
            </w:pPr>
            <w:r>
              <w:rPr>
                <w:sz w:val="20"/>
              </w:rPr>
              <w:t xml:space="preserve">198976,2</w:t>
            </w:r>
          </w:p>
        </w:tc>
        <w:tc>
          <w:tcPr>
            <w:tcW w:w="1474" w:type="dxa"/>
          </w:tcPr>
          <w:p>
            <w:pPr>
              <w:pStyle w:val="0"/>
              <w:jc w:val="center"/>
            </w:pPr>
            <w:r>
              <w:rPr>
                <w:sz w:val="20"/>
              </w:rPr>
              <w:t xml:space="preserve">205144,5</w:t>
            </w:r>
          </w:p>
        </w:tc>
        <w:tc>
          <w:tcPr>
            <w:tcW w:w="1361" w:type="dxa"/>
          </w:tcPr>
          <w:p>
            <w:pPr>
              <w:pStyle w:val="0"/>
              <w:jc w:val="center"/>
            </w:pPr>
            <w:r>
              <w:rPr>
                <w:sz w:val="20"/>
              </w:rPr>
              <w:t xml:space="preserve">211093,7</w:t>
            </w:r>
          </w:p>
        </w:tc>
        <w:tc>
          <w:tcPr>
            <w:tcW w:w="1361" w:type="dxa"/>
          </w:tcPr>
          <w:p>
            <w:pPr>
              <w:pStyle w:val="0"/>
              <w:jc w:val="center"/>
            </w:pPr>
            <w:r>
              <w:rPr>
                <w:sz w:val="20"/>
              </w:rPr>
              <w:t xml:space="preserve">217004,3</w:t>
            </w:r>
          </w:p>
        </w:tc>
        <w:tc>
          <w:tcPr>
            <w:tcW w:w="1361" w:type="dxa"/>
          </w:tcPr>
          <w:p>
            <w:pPr>
              <w:pStyle w:val="0"/>
              <w:jc w:val="center"/>
            </w:pPr>
            <w:r>
              <w:rPr>
                <w:sz w:val="20"/>
              </w:rPr>
              <w:t xml:space="preserve">223080,4</w:t>
            </w:r>
          </w:p>
        </w:tc>
        <w:tc>
          <w:tcPr>
            <w:tcW w:w="1531" w:type="dxa"/>
          </w:tcPr>
          <w:p>
            <w:pPr>
              <w:pStyle w:val="0"/>
              <w:jc w:val="center"/>
            </w:pPr>
            <w:r>
              <w:rPr>
                <w:sz w:val="20"/>
              </w:rPr>
              <w:t xml:space="preserve">1787343,2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35"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3458" w:type="dxa"/>
            <w:tcBorders>
              <w:bottom w:val="nil"/>
            </w:tcBorders>
            <w:vMerge w:val="restart"/>
          </w:tcPr>
          <w:p>
            <w:pPr>
              <w:pStyle w:val="0"/>
              <w:jc w:val="both"/>
            </w:pPr>
            <w:r>
              <w:rPr>
                <w:sz w:val="20"/>
              </w:rPr>
              <w:t xml:space="preserve">1.5. Строительство поликлиники на 320 посещений в смену в микрорайоне "Казачья Бухта", г. Севастополь</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115912,0</w:t>
            </w:r>
          </w:p>
        </w:tc>
        <w:tc>
          <w:tcPr>
            <w:tcW w:w="1417" w:type="dxa"/>
          </w:tcPr>
          <w:p>
            <w:pPr>
              <w:pStyle w:val="0"/>
              <w:jc w:val="center"/>
            </w:pPr>
            <w:r>
              <w:rPr>
                <w:sz w:val="20"/>
              </w:rPr>
              <w:t xml:space="preserve">74891,0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190803,0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110121,0 &lt;1&gt;</w:t>
            </w:r>
          </w:p>
        </w:tc>
        <w:tc>
          <w:tcPr>
            <w:tcW w:w="1417" w:type="dxa"/>
          </w:tcPr>
          <w:p>
            <w:pPr>
              <w:pStyle w:val="0"/>
              <w:jc w:val="center"/>
            </w:pPr>
            <w:r>
              <w:rPr>
                <w:sz w:val="20"/>
              </w:rPr>
              <w:t xml:space="preserve">71148,2 &lt;15&gt;</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181269,2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5791,0</w:t>
            </w:r>
          </w:p>
        </w:tc>
        <w:tc>
          <w:tcPr>
            <w:tcW w:w="1417" w:type="dxa"/>
          </w:tcPr>
          <w:p>
            <w:pPr>
              <w:pStyle w:val="0"/>
              <w:jc w:val="center"/>
            </w:pPr>
            <w:r>
              <w:rPr>
                <w:sz w:val="20"/>
              </w:rPr>
              <w:t xml:space="preserve">3742,8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9533,8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5791,0 &lt;1&gt;</w:t>
            </w:r>
          </w:p>
        </w:tc>
        <w:tc>
          <w:tcPr>
            <w:tcW w:w="1417" w:type="dxa"/>
          </w:tcPr>
          <w:p>
            <w:pPr>
              <w:pStyle w:val="0"/>
              <w:jc w:val="center"/>
            </w:pPr>
            <w:r>
              <w:rPr>
                <w:sz w:val="20"/>
              </w:rPr>
              <w:t xml:space="preserve">3742,8 &lt;15&gt;</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9533,8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3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1.6. Иные мероприятия, направленные на развитие здравоохранения в г. Севастополе, в том числе:</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100010,0</w:t>
            </w:r>
          </w:p>
        </w:tc>
        <w:tc>
          <w:tcPr>
            <w:tcW w:w="1417" w:type="dxa"/>
          </w:tcPr>
          <w:p>
            <w:pPr>
              <w:pStyle w:val="0"/>
              <w:jc w:val="center"/>
            </w:pPr>
            <w:r>
              <w:rPr>
                <w:sz w:val="20"/>
              </w:rPr>
              <w:t xml:space="preserve">146278,5</w:t>
            </w:r>
          </w:p>
        </w:tc>
        <w:tc>
          <w:tcPr>
            <w:tcW w:w="1417" w:type="dxa"/>
          </w:tcPr>
          <w:p>
            <w:pPr>
              <w:pStyle w:val="0"/>
              <w:jc w:val="center"/>
            </w:pPr>
            <w:r>
              <w:rPr>
                <w:sz w:val="20"/>
              </w:rPr>
              <w:t xml:space="preserve">100000,0</w:t>
            </w:r>
          </w:p>
        </w:tc>
        <w:tc>
          <w:tcPr>
            <w:tcW w:w="1474" w:type="dxa"/>
          </w:tcPr>
          <w:p>
            <w:pPr>
              <w:pStyle w:val="0"/>
              <w:jc w:val="center"/>
            </w:pPr>
            <w:r>
              <w:rPr>
                <w:sz w:val="20"/>
              </w:rPr>
              <w:t xml:space="preserve">0,0</w:t>
            </w:r>
          </w:p>
        </w:tc>
        <w:tc>
          <w:tcPr>
            <w:tcW w:w="1531" w:type="dxa"/>
          </w:tcPr>
          <w:p>
            <w:pPr>
              <w:pStyle w:val="0"/>
              <w:jc w:val="center"/>
            </w:pPr>
            <w:r>
              <w:rPr>
                <w:sz w:val="20"/>
              </w:rPr>
              <w:t xml:space="preserve">23600,0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369888,5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95010,0</w:t>
            </w:r>
          </w:p>
        </w:tc>
        <w:tc>
          <w:tcPr>
            <w:tcW w:w="1417" w:type="dxa"/>
          </w:tcPr>
          <w:p>
            <w:pPr>
              <w:pStyle w:val="0"/>
              <w:jc w:val="center"/>
            </w:pPr>
            <w:r>
              <w:rPr>
                <w:sz w:val="20"/>
              </w:rPr>
              <w:t xml:space="preserve">138968,5</w:t>
            </w:r>
          </w:p>
        </w:tc>
        <w:tc>
          <w:tcPr>
            <w:tcW w:w="1417" w:type="dxa"/>
          </w:tcPr>
          <w:p>
            <w:pPr>
              <w:pStyle w:val="0"/>
              <w:jc w:val="center"/>
            </w:pPr>
            <w:r>
              <w:rPr>
                <w:sz w:val="20"/>
              </w:rPr>
              <w:t xml:space="preserve">95000,0</w:t>
            </w:r>
          </w:p>
        </w:tc>
        <w:tc>
          <w:tcPr>
            <w:tcW w:w="1474" w:type="dxa"/>
          </w:tcPr>
          <w:p>
            <w:pPr>
              <w:pStyle w:val="0"/>
              <w:jc w:val="center"/>
            </w:pPr>
            <w:r>
              <w:rPr>
                <w:sz w:val="20"/>
              </w:rPr>
              <w:t xml:space="preserve">0,0</w:t>
            </w:r>
          </w:p>
        </w:tc>
        <w:tc>
          <w:tcPr>
            <w:tcW w:w="1531" w:type="dxa"/>
          </w:tcPr>
          <w:p>
            <w:pPr>
              <w:pStyle w:val="0"/>
              <w:jc w:val="center"/>
            </w:pPr>
            <w:r>
              <w:rPr>
                <w:sz w:val="20"/>
              </w:rPr>
              <w:t xml:space="preserve">21948,0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350926,5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5000,0</w:t>
            </w:r>
          </w:p>
        </w:tc>
        <w:tc>
          <w:tcPr>
            <w:tcW w:w="1417" w:type="dxa"/>
          </w:tcPr>
          <w:p>
            <w:pPr>
              <w:pStyle w:val="0"/>
              <w:jc w:val="center"/>
            </w:pPr>
            <w:r>
              <w:rPr>
                <w:sz w:val="20"/>
              </w:rPr>
              <w:t xml:space="preserve">7310,0</w:t>
            </w:r>
          </w:p>
        </w:tc>
        <w:tc>
          <w:tcPr>
            <w:tcW w:w="1417" w:type="dxa"/>
          </w:tcPr>
          <w:p>
            <w:pPr>
              <w:pStyle w:val="0"/>
              <w:jc w:val="center"/>
            </w:pPr>
            <w:r>
              <w:rPr>
                <w:sz w:val="20"/>
              </w:rPr>
              <w:t xml:space="preserve">5000,0</w:t>
            </w:r>
          </w:p>
        </w:tc>
        <w:tc>
          <w:tcPr>
            <w:tcW w:w="1474" w:type="dxa"/>
          </w:tcPr>
          <w:p>
            <w:pPr>
              <w:pStyle w:val="0"/>
              <w:jc w:val="center"/>
            </w:pPr>
            <w:r>
              <w:rPr>
                <w:sz w:val="20"/>
              </w:rPr>
              <w:t xml:space="preserve">0,0</w:t>
            </w:r>
          </w:p>
        </w:tc>
        <w:tc>
          <w:tcPr>
            <w:tcW w:w="1531" w:type="dxa"/>
          </w:tcPr>
          <w:p>
            <w:pPr>
              <w:pStyle w:val="0"/>
              <w:jc w:val="center"/>
            </w:pPr>
            <w:r>
              <w:rPr>
                <w:sz w:val="20"/>
              </w:rPr>
              <w:t xml:space="preserve">1652,0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18962,0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5000,0</w:t>
            </w:r>
          </w:p>
        </w:tc>
        <w:tc>
          <w:tcPr>
            <w:tcW w:w="1417" w:type="dxa"/>
          </w:tcPr>
          <w:p>
            <w:pPr>
              <w:pStyle w:val="0"/>
              <w:jc w:val="center"/>
            </w:pPr>
            <w:r>
              <w:rPr>
                <w:sz w:val="20"/>
              </w:rPr>
              <w:t xml:space="preserve">7310,0</w:t>
            </w:r>
          </w:p>
        </w:tc>
        <w:tc>
          <w:tcPr>
            <w:tcW w:w="1417" w:type="dxa"/>
          </w:tcPr>
          <w:p>
            <w:pPr>
              <w:pStyle w:val="0"/>
              <w:jc w:val="center"/>
            </w:pPr>
            <w:r>
              <w:rPr>
                <w:sz w:val="20"/>
              </w:rPr>
              <w:t xml:space="preserve">5000,0</w:t>
            </w:r>
          </w:p>
        </w:tc>
        <w:tc>
          <w:tcPr>
            <w:tcW w:w="1474" w:type="dxa"/>
          </w:tcPr>
          <w:p>
            <w:pPr>
              <w:pStyle w:val="0"/>
              <w:jc w:val="center"/>
            </w:pPr>
            <w:r>
              <w:rPr>
                <w:sz w:val="20"/>
              </w:rPr>
              <w:t xml:space="preserve">0,0</w:t>
            </w:r>
          </w:p>
        </w:tc>
        <w:tc>
          <w:tcPr>
            <w:tcW w:w="1531" w:type="dxa"/>
          </w:tcPr>
          <w:p>
            <w:pPr>
              <w:pStyle w:val="0"/>
              <w:jc w:val="center"/>
            </w:pPr>
            <w:r>
              <w:rPr>
                <w:sz w:val="20"/>
              </w:rPr>
              <w:t xml:space="preserve">1652,0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18962,0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37"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3458" w:type="dxa"/>
            <w:tcBorders>
              <w:bottom w:val="nil"/>
            </w:tcBorders>
            <w:vMerge w:val="restart"/>
          </w:tcPr>
          <w:p>
            <w:pPr>
              <w:pStyle w:val="0"/>
              <w:jc w:val="both"/>
            </w:pPr>
            <w:r>
              <w:rPr>
                <w:sz w:val="20"/>
              </w:rPr>
              <w:t xml:space="preserve">1.6.1. Строительство амбулаторно-поликлинического учреждения на 320 посещений в смену, пр-т Генерала Острякова</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23600,0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23600,0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21948,0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21948,0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1652,0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1652,0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1652,0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1652,0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3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1.6.2. Строительство детской поликлиники на 100 посещений в смену на Корабельной стороне</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100010,0</w:t>
            </w:r>
          </w:p>
        </w:tc>
        <w:tc>
          <w:tcPr>
            <w:tcW w:w="1417" w:type="dxa"/>
          </w:tcPr>
          <w:p>
            <w:pPr>
              <w:pStyle w:val="0"/>
              <w:jc w:val="center"/>
            </w:pPr>
            <w:r>
              <w:rPr>
                <w:sz w:val="20"/>
              </w:rPr>
              <w:t xml:space="preserve">146278,5</w:t>
            </w:r>
          </w:p>
        </w:tc>
        <w:tc>
          <w:tcPr>
            <w:tcW w:w="1417" w:type="dxa"/>
          </w:tcPr>
          <w:p>
            <w:pPr>
              <w:pStyle w:val="0"/>
              <w:jc w:val="center"/>
            </w:pPr>
            <w:r>
              <w:rPr>
                <w:sz w:val="20"/>
              </w:rPr>
              <w:t xml:space="preserve">100000,0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346288,5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95010,0</w:t>
            </w:r>
          </w:p>
        </w:tc>
        <w:tc>
          <w:tcPr>
            <w:tcW w:w="1417" w:type="dxa"/>
          </w:tcPr>
          <w:p>
            <w:pPr>
              <w:pStyle w:val="0"/>
              <w:jc w:val="center"/>
            </w:pPr>
            <w:r>
              <w:rPr>
                <w:sz w:val="20"/>
              </w:rPr>
              <w:t xml:space="preserve">138968,5</w:t>
            </w:r>
          </w:p>
        </w:tc>
        <w:tc>
          <w:tcPr>
            <w:tcW w:w="1417" w:type="dxa"/>
          </w:tcPr>
          <w:p>
            <w:pPr>
              <w:pStyle w:val="0"/>
              <w:jc w:val="center"/>
            </w:pPr>
            <w:r>
              <w:rPr>
                <w:sz w:val="20"/>
              </w:rPr>
              <w:t xml:space="preserve">95000,0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328978,5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5000,0</w:t>
            </w:r>
          </w:p>
        </w:tc>
        <w:tc>
          <w:tcPr>
            <w:tcW w:w="1417" w:type="dxa"/>
          </w:tcPr>
          <w:p>
            <w:pPr>
              <w:pStyle w:val="0"/>
              <w:jc w:val="center"/>
            </w:pPr>
            <w:r>
              <w:rPr>
                <w:sz w:val="20"/>
              </w:rPr>
              <w:t xml:space="preserve">7310,0</w:t>
            </w:r>
          </w:p>
        </w:tc>
        <w:tc>
          <w:tcPr>
            <w:tcW w:w="1417" w:type="dxa"/>
          </w:tcPr>
          <w:p>
            <w:pPr>
              <w:pStyle w:val="0"/>
              <w:jc w:val="center"/>
            </w:pPr>
            <w:r>
              <w:rPr>
                <w:sz w:val="20"/>
              </w:rPr>
              <w:t xml:space="preserve">5000,0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17310,0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5000,0</w:t>
            </w:r>
          </w:p>
        </w:tc>
        <w:tc>
          <w:tcPr>
            <w:tcW w:w="1417" w:type="dxa"/>
          </w:tcPr>
          <w:p>
            <w:pPr>
              <w:pStyle w:val="0"/>
              <w:jc w:val="center"/>
            </w:pPr>
            <w:r>
              <w:rPr>
                <w:sz w:val="20"/>
              </w:rPr>
              <w:t xml:space="preserve">7310,0</w:t>
            </w:r>
          </w:p>
        </w:tc>
        <w:tc>
          <w:tcPr>
            <w:tcW w:w="1417" w:type="dxa"/>
          </w:tcPr>
          <w:p>
            <w:pPr>
              <w:pStyle w:val="0"/>
              <w:jc w:val="center"/>
            </w:pPr>
            <w:r>
              <w:rPr>
                <w:sz w:val="20"/>
              </w:rPr>
              <w:t xml:space="preserve">5000,0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17310,0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39"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3458" w:type="dxa"/>
            <w:vMerge w:val="restart"/>
          </w:tcPr>
          <w:p>
            <w:pPr>
              <w:pStyle w:val="0"/>
              <w:jc w:val="both"/>
            </w:pPr>
            <w:r>
              <w:rPr>
                <w:sz w:val="20"/>
              </w:rPr>
              <w:t xml:space="preserve">1.7. Предоставление отдельным категориям граждан, проживающих в городе Севастополе, мер социальной поддержки по бесплатному изготовлению и ремонту зубных протезов</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7510,6</w:t>
            </w:r>
          </w:p>
        </w:tc>
        <w:tc>
          <w:tcPr>
            <w:tcW w:w="1417" w:type="dxa"/>
          </w:tcPr>
          <w:p>
            <w:pPr>
              <w:pStyle w:val="0"/>
              <w:jc w:val="center"/>
            </w:pPr>
            <w:r>
              <w:rPr>
                <w:sz w:val="20"/>
              </w:rPr>
              <w:t xml:space="preserve">7510,3</w:t>
            </w:r>
          </w:p>
        </w:tc>
        <w:tc>
          <w:tcPr>
            <w:tcW w:w="1417" w:type="dxa"/>
          </w:tcPr>
          <w:p>
            <w:pPr>
              <w:pStyle w:val="0"/>
              <w:jc w:val="center"/>
            </w:pPr>
            <w:r>
              <w:rPr>
                <w:sz w:val="20"/>
              </w:rPr>
              <w:t xml:space="preserve">6350,0</w:t>
            </w:r>
          </w:p>
        </w:tc>
        <w:tc>
          <w:tcPr>
            <w:tcW w:w="1474" w:type="dxa"/>
          </w:tcPr>
          <w:p>
            <w:pPr>
              <w:pStyle w:val="0"/>
              <w:jc w:val="center"/>
            </w:pPr>
            <w:r>
              <w:rPr>
                <w:sz w:val="20"/>
              </w:rPr>
              <w:t xml:space="preserve">6565,9</w:t>
            </w:r>
          </w:p>
        </w:tc>
        <w:tc>
          <w:tcPr>
            <w:tcW w:w="1531" w:type="dxa"/>
          </w:tcPr>
          <w:p>
            <w:pPr>
              <w:pStyle w:val="0"/>
              <w:jc w:val="center"/>
            </w:pPr>
            <w:r>
              <w:rPr>
                <w:sz w:val="20"/>
              </w:rPr>
              <w:t xml:space="preserve">6782,6</w:t>
            </w:r>
          </w:p>
        </w:tc>
        <w:tc>
          <w:tcPr>
            <w:tcW w:w="1474" w:type="dxa"/>
          </w:tcPr>
          <w:p>
            <w:pPr>
              <w:pStyle w:val="0"/>
              <w:jc w:val="center"/>
            </w:pPr>
            <w:r>
              <w:rPr>
                <w:sz w:val="20"/>
              </w:rPr>
              <w:t xml:space="preserve">6992,9</w:t>
            </w:r>
          </w:p>
        </w:tc>
        <w:tc>
          <w:tcPr>
            <w:tcW w:w="1361" w:type="dxa"/>
          </w:tcPr>
          <w:p>
            <w:pPr>
              <w:pStyle w:val="0"/>
              <w:jc w:val="center"/>
            </w:pPr>
            <w:r>
              <w:rPr>
                <w:sz w:val="20"/>
              </w:rPr>
              <w:t xml:space="preserve">7195,7</w:t>
            </w:r>
          </w:p>
        </w:tc>
        <w:tc>
          <w:tcPr>
            <w:tcW w:w="1361" w:type="dxa"/>
          </w:tcPr>
          <w:p>
            <w:pPr>
              <w:pStyle w:val="0"/>
              <w:jc w:val="center"/>
            </w:pPr>
            <w:r>
              <w:rPr>
                <w:sz w:val="20"/>
              </w:rPr>
              <w:t xml:space="preserve">7397,2</w:t>
            </w:r>
          </w:p>
        </w:tc>
        <w:tc>
          <w:tcPr>
            <w:tcW w:w="1361" w:type="dxa"/>
          </w:tcPr>
          <w:p>
            <w:pPr>
              <w:pStyle w:val="0"/>
              <w:jc w:val="center"/>
            </w:pPr>
            <w:r>
              <w:rPr>
                <w:sz w:val="20"/>
              </w:rPr>
              <w:t xml:space="preserve">7604,3</w:t>
            </w:r>
          </w:p>
        </w:tc>
        <w:tc>
          <w:tcPr>
            <w:tcW w:w="1531" w:type="dxa"/>
          </w:tcPr>
          <w:p>
            <w:pPr>
              <w:pStyle w:val="0"/>
              <w:jc w:val="center"/>
            </w:pPr>
            <w:r>
              <w:rPr>
                <w:sz w:val="20"/>
              </w:rPr>
              <w:t xml:space="preserve">63909,5</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7510,6</w:t>
            </w:r>
          </w:p>
        </w:tc>
        <w:tc>
          <w:tcPr>
            <w:tcW w:w="1417" w:type="dxa"/>
          </w:tcPr>
          <w:p>
            <w:pPr>
              <w:pStyle w:val="0"/>
              <w:jc w:val="center"/>
            </w:pPr>
            <w:r>
              <w:rPr>
                <w:sz w:val="20"/>
              </w:rPr>
              <w:t xml:space="preserve">7510,3</w:t>
            </w:r>
          </w:p>
        </w:tc>
        <w:tc>
          <w:tcPr>
            <w:tcW w:w="1417" w:type="dxa"/>
          </w:tcPr>
          <w:p>
            <w:pPr>
              <w:pStyle w:val="0"/>
              <w:jc w:val="center"/>
            </w:pPr>
            <w:r>
              <w:rPr>
                <w:sz w:val="20"/>
              </w:rPr>
              <w:t xml:space="preserve">6350,0</w:t>
            </w:r>
          </w:p>
        </w:tc>
        <w:tc>
          <w:tcPr>
            <w:tcW w:w="1474" w:type="dxa"/>
          </w:tcPr>
          <w:p>
            <w:pPr>
              <w:pStyle w:val="0"/>
              <w:jc w:val="center"/>
            </w:pPr>
            <w:r>
              <w:rPr>
                <w:sz w:val="20"/>
              </w:rPr>
              <w:t xml:space="preserve">6565,9</w:t>
            </w:r>
          </w:p>
        </w:tc>
        <w:tc>
          <w:tcPr>
            <w:tcW w:w="1531" w:type="dxa"/>
          </w:tcPr>
          <w:p>
            <w:pPr>
              <w:pStyle w:val="0"/>
              <w:jc w:val="center"/>
            </w:pPr>
            <w:r>
              <w:rPr>
                <w:sz w:val="20"/>
              </w:rPr>
              <w:t xml:space="preserve">6782,6</w:t>
            </w:r>
          </w:p>
        </w:tc>
        <w:tc>
          <w:tcPr>
            <w:tcW w:w="1474" w:type="dxa"/>
          </w:tcPr>
          <w:p>
            <w:pPr>
              <w:pStyle w:val="0"/>
              <w:jc w:val="center"/>
            </w:pPr>
            <w:r>
              <w:rPr>
                <w:sz w:val="20"/>
              </w:rPr>
              <w:t xml:space="preserve">6992,9</w:t>
            </w:r>
          </w:p>
        </w:tc>
        <w:tc>
          <w:tcPr>
            <w:tcW w:w="1361" w:type="dxa"/>
          </w:tcPr>
          <w:p>
            <w:pPr>
              <w:pStyle w:val="0"/>
              <w:jc w:val="center"/>
            </w:pPr>
            <w:r>
              <w:rPr>
                <w:sz w:val="20"/>
              </w:rPr>
              <w:t xml:space="preserve">7195,7</w:t>
            </w:r>
          </w:p>
        </w:tc>
        <w:tc>
          <w:tcPr>
            <w:tcW w:w="1361" w:type="dxa"/>
          </w:tcPr>
          <w:p>
            <w:pPr>
              <w:pStyle w:val="0"/>
              <w:jc w:val="center"/>
            </w:pPr>
            <w:r>
              <w:rPr>
                <w:sz w:val="20"/>
              </w:rPr>
              <w:t xml:space="preserve">7397,2</w:t>
            </w:r>
          </w:p>
        </w:tc>
        <w:tc>
          <w:tcPr>
            <w:tcW w:w="1361" w:type="dxa"/>
          </w:tcPr>
          <w:p>
            <w:pPr>
              <w:pStyle w:val="0"/>
              <w:jc w:val="center"/>
            </w:pPr>
            <w:r>
              <w:rPr>
                <w:sz w:val="20"/>
              </w:rPr>
              <w:t xml:space="preserve">7604,3</w:t>
            </w:r>
          </w:p>
        </w:tc>
        <w:tc>
          <w:tcPr>
            <w:tcW w:w="1531" w:type="dxa"/>
          </w:tcPr>
          <w:p>
            <w:pPr>
              <w:pStyle w:val="0"/>
              <w:jc w:val="center"/>
            </w:pPr>
            <w:r>
              <w:rPr>
                <w:sz w:val="20"/>
              </w:rPr>
              <w:t xml:space="preserve">63909,5</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1.8.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IV типов, апластической анемией неуточненной, наследственным дефицитом факторов I (фибриногена), VII (лабильного), X (Стюарта - Прауэра), лиц после трансплантации органов и (или) тканей</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968,1</w:t>
            </w:r>
          </w:p>
        </w:tc>
        <w:tc>
          <w:tcPr>
            <w:tcW w:w="1417" w:type="dxa"/>
          </w:tcPr>
          <w:p>
            <w:pPr>
              <w:pStyle w:val="0"/>
              <w:jc w:val="center"/>
            </w:pPr>
            <w:r>
              <w:rPr>
                <w:sz w:val="20"/>
              </w:rPr>
              <w:t xml:space="preserve">998,3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1966,4</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968,1</w:t>
            </w:r>
          </w:p>
        </w:tc>
        <w:tc>
          <w:tcPr>
            <w:tcW w:w="1417" w:type="dxa"/>
          </w:tcPr>
          <w:p>
            <w:pPr>
              <w:pStyle w:val="0"/>
              <w:jc w:val="center"/>
            </w:pPr>
            <w:r>
              <w:rPr>
                <w:sz w:val="20"/>
              </w:rPr>
              <w:t xml:space="preserve">998,3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1966,4</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1.9. Мероприятия по закупке противовирусных лекарственных препаратов, предназначенных для лечения пациентов, страдающих хроническими вирусными гепатитами B и C</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14931,7</w:t>
            </w:r>
          </w:p>
        </w:tc>
        <w:tc>
          <w:tcPr>
            <w:tcW w:w="1417" w:type="dxa"/>
          </w:tcPr>
          <w:p>
            <w:pPr>
              <w:pStyle w:val="0"/>
              <w:jc w:val="center"/>
            </w:pPr>
            <w:r>
              <w:rPr>
                <w:sz w:val="20"/>
              </w:rPr>
              <w:t xml:space="preserve">17341,8</w:t>
            </w:r>
          </w:p>
        </w:tc>
        <w:tc>
          <w:tcPr>
            <w:tcW w:w="1417" w:type="dxa"/>
          </w:tcPr>
          <w:p>
            <w:pPr>
              <w:pStyle w:val="0"/>
              <w:jc w:val="center"/>
            </w:pPr>
            <w:r>
              <w:rPr>
                <w:sz w:val="20"/>
              </w:rPr>
              <w:t xml:space="preserve">20926,1</w:t>
            </w:r>
          </w:p>
        </w:tc>
        <w:tc>
          <w:tcPr>
            <w:tcW w:w="1474" w:type="dxa"/>
          </w:tcPr>
          <w:p>
            <w:pPr>
              <w:pStyle w:val="0"/>
              <w:jc w:val="center"/>
            </w:pPr>
            <w:r>
              <w:rPr>
                <w:sz w:val="20"/>
              </w:rPr>
              <w:t xml:space="preserve">34272,0</w:t>
            </w:r>
          </w:p>
        </w:tc>
        <w:tc>
          <w:tcPr>
            <w:tcW w:w="1531" w:type="dxa"/>
          </w:tcPr>
          <w:p>
            <w:pPr>
              <w:pStyle w:val="0"/>
              <w:jc w:val="center"/>
            </w:pPr>
            <w:r>
              <w:rPr>
                <w:sz w:val="20"/>
              </w:rPr>
              <w:t xml:space="preserve">35403,0</w:t>
            </w:r>
          </w:p>
        </w:tc>
        <w:tc>
          <w:tcPr>
            <w:tcW w:w="1474" w:type="dxa"/>
          </w:tcPr>
          <w:p>
            <w:pPr>
              <w:pStyle w:val="0"/>
              <w:jc w:val="center"/>
            </w:pPr>
            <w:r>
              <w:rPr>
                <w:sz w:val="20"/>
              </w:rPr>
              <w:t xml:space="preserve">36500,5</w:t>
            </w:r>
          </w:p>
        </w:tc>
        <w:tc>
          <w:tcPr>
            <w:tcW w:w="1361" w:type="dxa"/>
          </w:tcPr>
          <w:p>
            <w:pPr>
              <w:pStyle w:val="0"/>
              <w:jc w:val="center"/>
            </w:pPr>
            <w:r>
              <w:rPr>
                <w:sz w:val="20"/>
              </w:rPr>
              <w:t xml:space="preserve">37559,0</w:t>
            </w:r>
          </w:p>
        </w:tc>
        <w:tc>
          <w:tcPr>
            <w:tcW w:w="1361" w:type="dxa"/>
          </w:tcPr>
          <w:p>
            <w:pPr>
              <w:pStyle w:val="0"/>
              <w:jc w:val="center"/>
            </w:pPr>
            <w:r>
              <w:rPr>
                <w:sz w:val="20"/>
              </w:rPr>
              <w:t xml:space="preserve">38610,7</w:t>
            </w:r>
          </w:p>
        </w:tc>
        <w:tc>
          <w:tcPr>
            <w:tcW w:w="1361" w:type="dxa"/>
          </w:tcPr>
          <w:p>
            <w:pPr>
              <w:pStyle w:val="0"/>
              <w:jc w:val="center"/>
            </w:pPr>
            <w:r>
              <w:rPr>
                <w:sz w:val="20"/>
              </w:rPr>
              <w:t xml:space="preserve">39691,8</w:t>
            </w:r>
          </w:p>
        </w:tc>
        <w:tc>
          <w:tcPr>
            <w:tcW w:w="1531" w:type="dxa"/>
          </w:tcPr>
          <w:p>
            <w:pPr>
              <w:pStyle w:val="0"/>
              <w:jc w:val="center"/>
            </w:pPr>
            <w:r>
              <w:rPr>
                <w:sz w:val="20"/>
              </w:rPr>
              <w:t xml:space="preserve">275236,6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14931,7</w:t>
            </w:r>
          </w:p>
        </w:tc>
        <w:tc>
          <w:tcPr>
            <w:tcW w:w="1417" w:type="dxa"/>
          </w:tcPr>
          <w:p>
            <w:pPr>
              <w:pStyle w:val="0"/>
              <w:jc w:val="center"/>
            </w:pPr>
            <w:r>
              <w:rPr>
                <w:sz w:val="20"/>
              </w:rPr>
              <w:t xml:space="preserve">17341,8</w:t>
            </w:r>
          </w:p>
        </w:tc>
        <w:tc>
          <w:tcPr>
            <w:tcW w:w="1417" w:type="dxa"/>
          </w:tcPr>
          <w:p>
            <w:pPr>
              <w:pStyle w:val="0"/>
              <w:jc w:val="center"/>
            </w:pPr>
            <w:r>
              <w:rPr>
                <w:sz w:val="20"/>
              </w:rPr>
              <w:t xml:space="preserve">20926,1</w:t>
            </w:r>
          </w:p>
        </w:tc>
        <w:tc>
          <w:tcPr>
            <w:tcW w:w="1474" w:type="dxa"/>
          </w:tcPr>
          <w:p>
            <w:pPr>
              <w:pStyle w:val="0"/>
              <w:jc w:val="center"/>
            </w:pPr>
            <w:r>
              <w:rPr>
                <w:sz w:val="20"/>
              </w:rPr>
              <w:t xml:space="preserve">34272,0</w:t>
            </w:r>
          </w:p>
        </w:tc>
        <w:tc>
          <w:tcPr>
            <w:tcW w:w="1531" w:type="dxa"/>
          </w:tcPr>
          <w:p>
            <w:pPr>
              <w:pStyle w:val="0"/>
              <w:jc w:val="center"/>
            </w:pPr>
            <w:r>
              <w:rPr>
                <w:sz w:val="20"/>
              </w:rPr>
              <w:t xml:space="preserve">35403,0</w:t>
            </w:r>
          </w:p>
        </w:tc>
        <w:tc>
          <w:tcPr>
            <w:tcW w:w="1474" w:type="dxa"/>
          </w:tcPr>
          <w:p>
            <w:pPr>
              <w:pStyle w:val="0"/>
              <w:jc w:val="center"/>
            </w:pPr>
            <w:r>
              <w:rPr>
                <w:sz w:val="20"/>
              </w:rPr>
              <w:t xml:space="preserve">36500,5</w:t>
            </w:r>
          </w:p>
        </w:tc>
        <w:tc>
          <w:tcPr>
            <w:tcW w:w="1361" w:type="dxa"/>
          </w:tcPr>
          <w:p>
            <w:pPr>
              <w:pStyle w:val="0"/>
              <w:jc w:val="center"/>
            </w:pPr>
            <w:r>
              <w:rPr>
                <w:sz w:val="20"/>
              </w:rPr>
              <w:t xml:space="preserve">37559,0</w:t>
            </w:r>
          </w:p>
        </w:tc>
        <w:tc>
          <w:tcPr>
            <w:tcW w:w="1361" w:type="dxa"/>
          </w:tcPr>
          <w:p>
            <w:pPr>
              <w:pStyle w:val="0"/>
              <w:jc w:val="center"/>
            </w:pPr>
            <w:r>
              <w:rPr>
                <w:sz w:val="20"/>
              </w:rPr>
              <w:t xml:space="preserve">38610,7</w:t>
            </w:r>
          </w:p>
        </w:tc>
        <w:tc>
          <w:tcPr>
            <w:tcW w:w="1361" w:type="dxa"/>
          </w:tcPr>
          <w:p>
            <w:pPr>
              <w:pStyle w:val="0"/>
              <w:jc w:val="center"/>
            </w:pPr>
            <w:r>
              <w:rPr>
                <w:sz w:val="20"/>
              </w:rPr>
              <w:t xml:space="preserve">39691,8</w:t>
            </w:r>
          </w:p>
        </w:tc>
        <w:tc>
          <w:tcPr>
            <w:tcW w:w="1531" w:type="dxa"/>
          </w:tcPr>
          <w:p>
            <w:pPr>
              <w:pStyle w:val="0"/>
              <w:jc w:val="center"/>
            </w:pPr>
            <w:r>
              <w:rPr>
                <w:sz w:val="20"/>
              </w:rPr>
              <w:t xml:space="preserve">275236,6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40"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vMerge w:val="restart"/>
          </w:tcPr>
          <w:p>
            <w:pPr>
              <w:pStyle w:val="0"/>
              <w:jc w:val="both"/>
            </w:pPr>
            <w:r>
              <w:rPr>
                <w:sz w:val="20"/>
              </w:rPr>
              <w:t xml:space="preserve">1.10. Финансовое обеспечение мероприятий по приобретению лекарственных препаратов для лечения пациентов с новой коронавирусной инфекцией (COVID-19), получающих медицинскую помощь в амбулаторных условиях</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16969,6</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16969,6</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16969,6</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16969,6</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1.11. Дополнительное финансовое обеспечение оказания первичной медико-санитарной помощи лицам, застрахованным по обязательному медицинскому страхованию, в том числе с заболеванием и (или) подозрением на заболевание новой коронавирусной инфекцией (COVID-19), в рамках реализации территориальных программ обязательного медицинского страхования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18922,4</w:t>
            </w:r>
          </w:p>
        </w:tc>
        <w:tc>
          <w:tcPr>
            <w:tcW w:w="1417" w:type="dxa"/>
          </w:tcPr>
          <w:p>
            <w:pPr>
              <w:pStyle w:val="0"/>
              <w:jc w:val="center"/>
            </w:pPr>
            <w:r>
              <w:rPr>
                <w:sz w:val="20"/>
              </w:rPr>
              <w:t xml:space="preserve">11003,2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29925,6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18922,4</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18922,4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11003,2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11003,2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41"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vMerge w:val="restart"/>
          </w:tcPr>
          <w:p>
            <w:pPr>
              <w:pStyle w:val="0"/>
              <w:jc w:val="both"/>
            </w:pPr>
            <w:r>
              <w:rPr>
                <w:sz w:val="20"/>
              </w:rPr>
              <w:t xml:space="preserve">1.12. Финансовое обеспечение оплаты труда медицинских работников, оказывающих консультативную медицинскую помощь с применением телемедицинских технологий гражданам с подтвержденным диагнозом новой коронавирусной инфекции COVID-19, а также с признаками или подтвержденным диагнозом внебольничной пневмонии, острой респираторной вирусной инфекции, гриппа, получающим медицинскую помощь в амбулаторных условиях (на дому)</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1621,2</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1621,2</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1473,8</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1473,8</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147,4</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147,4</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1.13. Мероприятия в рамках сотрудничества с Правительством Москвы в целях развития первичной медико-санитарной помощи</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42396,0 &lt;2&gt;</w:t>
            </w:r>
          </w:p>
        </w:tc>
        <w:tc>
          <w:tcPr>
            <w:tcW w:w="1417" w:type="dxa"/>
          </w:tcPr>
          <w:p>
            <w:pPr>
              <w:pStyle w:val="0"/>
              <w:jc w:val="center"/>
            </w:pPr>
            <w:r>
              <w:rPr>
                <w:sz w:val="20"/>
              </w:rPr>
              <w:t xml:space="preserve">38275,2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80671,2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42396,0</w:t>
            </w:r>
          </w:p>
        </w:tc>
        <w:tc>
          <w:tcPr>
            <w:tcW w:w="1417" w:type="dxa"/>
          </w:tcPr>
          <w:p>
            <w:pPr>
              <w:pStyle w:val="0"/>
              <w:jc w:val="center"/>
            </w:pPr>
            <w:r>
              <w:rPr>
                <w:sz w:val="20"/>
              </w:rPr>
              <w:t xml:space="preserve">38275,2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80671,2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38120,0 &lt;2&gt;</w:t>
            </w:r>
          </w:p>
        </w:tc>
        <w:tc>
          <w:tcPr>
            <w:tcW w:w="1417" w:type="dxa"/>
          </w:tcPr>
          <w:p>
            <w:pPr>
              <w:pStyle w:val="0"/>
              <w:jc w:val="center"/>
            </w:pPr>
            <w:r>
              <w:rPr>
                <w:sz w:val="20"/>
              </w:rPr>
              <w:t xml:space="preserve">33999,2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72119,2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4276,0</w:t>
            </w:r>
          </w:p>
        </w:tc>
        <w:tc>
          <w:tcPr>
            <w:tcW w:w="1417" w:type="dxa"/>
          </w:tcPr>
          <w:p>
            <w:pPr>
              <w:pStyle w:val="0"/>
              <w:jc w:val="center"/>
            </w:pPr>
            <w:r>
              <w:rPr>
                <w:sz w:val="20"/>
              </w:rPr>
              <w:t xml:space="preserve">4276,0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8552,0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4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vMerge w:val="restart"/>
          </w:tcPr>
          <w:p>
            <w:pPr>
              <w:pStyle w:val="0"/>
              <w:jc w:val="both"/>
            </w:pPr>
            <w:r>
              <w:rPr>
                <w:sz w:val="20"/>
              </w:rPr>
              <w:t xml:space="preserve">1.14. Мероприятие по обеспечению вакцинации против коронавирусной инфекции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690,0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690,0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690,0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690,0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1.15. 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по проведению указанным лицам профилактических прививок, включенных в </w:t>
            </w:r>
            <w:hyperlink w:history="0" r:id="rId443"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календарь</w:t>
              </w:r>
            </w:hyperlink>
            <w:r>
              <w:rPr>
                <w:sz w:val="20"/>
              </w:rPr>
              <w:t xml:space="preserve"> профилактических прививок по эпидемическим показаниям, за счет средств резервного фонда Правительства Российской Федерации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968,2</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968,2</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968,2</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968,2</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1.16. Расходы для оплаты налога на имущество государственных учреждений, подведомственных Департаменту здравоохранения города Севастополя</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1.17. 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444"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49025,0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49025,0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49025,0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49025,0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Итого по </w:t>
            </w:r>
            <w:hyperlink w:history="0" w:anchor="P594" w:tooltip="ПОДПРОГРАММА 1">
              <w:r>
                <w:rPr>
                  <w:sz w:val="20"/>
                  <w:color w:val="0000ff"/>
                </w:rPr>
                <w:t xml:space="preserve">подпрограмме 1</w:t>
              </w:r>
            </w:hyperlink>
          </w:p>
        </w:tc>
        <w:tc>
          <w:tcPr>
            <w:tcW w:w="2041" w:type="dxa"/>
            <w:tcBorders>
              <w:bottom w:val="nil"/>
            </w:tcBorders>
            <w:vMerge w:val="restart"/>
          </w:tcPr>
          <w:p>
            <w:pPr>
              <w:pStyle w:val="0"/>
            </w:pPr>
            <w:r>
              <w:rPr>
                <w:sz w:val="20"/>
              </w:rPr>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1898763,3</w:t>
            </w:r>
          </w:p>
        </w:tc>
        <w:tc>
          <w:tcPr>
            <w:tcW w:w="1417" w:type="dxa"/>
          </w:tcPr>
          <w:p>
            <w:pPr>
              <w:pStyle w:val="0"/>
              <w:jc w:val="center"/>
            </w:pPr>
            <w:r>
              <w:rPr>
                <w:sz w:val="20"/>
              </w:rPr>
              <w:t xml:space="preserve">2414886,0</w:t>
            </w:r>
          </w:p>
        </w:tc>
        <w:tc>
          <w:tcPr>
            <w:tcW w:w="1417" w:type="dxa"/>
          </w:tcPr>
          <w:p>
            <w:pPr>
              <w:pStyle w:val="0"/>
              <w:jc w:val="center"/>
            </w:pPr>
            <w:r>
              <w:rPr>
                <w:sz w:val="20"/>
              </w:rPr>
              <w:t xml:space="preserve">2190053,0</w:t>
            </w:r>
          </w:p>
        </w:tc>
        <w:tc>
          <w:tcPr>
            <w:tcW w:w="1474" w:type="dxa"/>
          </w:tcPr>
          <w:p>
            <w:pPr>
              <w:pStyle w:val="0"/>
              <w:jc w:val="center"/>
            </w:pPr>
            <w:r>
              <w:rPr>
                <w:sz w:val="20"/>
              </w:rPr>
              <w:t xml:space="preserve">2246921,9</w:t>
            </w:r>
          </w:p>
        </w:tc>
        <w:tc>
          <w:tcPr>
            <w:tcW w:w="1531" w:type="dxa"/>
          </w:tcPr>
          <w:p>
            <w:pPr>
              <w:pStyle w:val="0"/>
              <w:jc w:val="center"/>
            </w:pPr>
            <w:r>
              <w:rPr>
                <w:sz w:val="20"/>
              </w:rPr>
              <w:t xml:space="preserve">2344670,4</w:t>
            </w:r>
          </w:p>
        </w:tc>
        <w:tc>
          <w:tcPr>
            <w:tcW w:w="1474" w:type="dxa"/>
          </w:tcPr>
          <w:p>
            <w:pPr>
              <w:pStyle w:val="0"/>
              <w:jc w:val="center"/>
            </w:pPr>
            <w:r>
              <w:rPr>
                <w:sz w:val="20"/>
              </w:rPr>
              <w:t xml:space="preserve">2393023,7</w:t>
            </w:r>
          </w:p>
        </w:tc>
        <w:tc>
          <w:tcPr>
            <w:tcW w:w="1361" w:type="dxa"/>
          </w:tcPr>
          <w:p>
            <w:pPr>
              <w:pStyle w:val="0"/>
              <w:jc w:val="center"/>
            </w:pPr>
            <w:r>
              <w:rPr>
                <w:sz w:val="20"/>
              </w:rPr>
              <w:t xml:space="preserve">2462421,4</w:t>
            </w:r>
          </w:p>
        </w:tc>
        <w:tc>
          <w:tcPr>
            <w:tcW w:w="1361" w:type="dxa"/>
          </w:tcPr>
          <w:p>
            <w:pPr>
              <w:pStyle w:val="0"/>
              <w:jc w:val="center"/>
            </w:pPr>
            <w:r>
              <w:rPr>
                <w:sz w:val="20"/>
              </w:rPr>
              <w:t xml:space="preserve">2531369,3</w:t>
            </w:r>
          </w:p>
        </w:tc>
        <w:tc>
          <w:tcPr>
            <w:tcW w:w="1361" w:type="dxa"/>
          </w:tcPr>
          <w:p>
            <w:pPr>
              <w:pStyle w:val="0"/>
              <w:jc w:val="center"/>
            </w:pPr>
            <w:r>
              <w:rPr>
                <w:sz w:val="20"/>
              </w:rPr>
              <w:t xml:space="preserve">2602247,5</w:t>
            </w:r>
          </w:p>
        </w:tc>
        <w:tc>
          <w:tcPr>
            <w:tcW w:w="1531" w:type="dxa"/>
          </w:tcPr>
          <w:p>
            <w:pPr>
              <w:pStyle w:val="0"/>
              <w:jc w:val="center"/>
            </w:pPr>
            <w:r>
              <w:rPr>
                <w:sz w:val="20"/>
              </w:rPr>
              <w:t xml:space="preserve">21084356,5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205131,0</w:t>
            </w:r>
          </w:p>
        </w:tc>
        <w:tc>
          <w:tcPr>
            <w:tcW w:w="1417" w:type="dxa"/>
          </w:tcPr>
          <w:p>
            <w:pPr>
              <w:pStyle w:val="0"/>
              <w:jc w:val="center"/>
            </w:pPr>
            <w:r>
              <w:rPr>
                <w:sz w:val="20"/>
              </w:rPr>
              <w:t xml:space="preserve">210116,7</w:t>
            </w:r>
          </w:p>
        </w:tc>
        <w:tc>
          <w:tcPr>
            <w:tcW w:w="1417" w:type="dxa"/>
          </w:tcPr>
          <w:p>
            <w:pPr>
              <w:pStyle w:val="0"/>
              <w:jc w:val="center"/>
            </w:pPr>
            <w:r>
              <w:rPr>
                <w:sz w:val="20"/>
              </w:rPr>
              <w:t xml:space="preserve">95000,0</w:t>
            </w:r>
          </w:p>
        </w:tc>
        <w:tc>
          <w:tcPr>
            <w:tcW w:w="1474" w:type="dxa"/>
          </w:tcPr>
          <w:p>
            <w:pPr>
              <w:pStyle w:val="0"/>
              <w:jc w:val="center"/>
            </w:pPr>
            <w:r>
              <w:rPr>
                <w:sz w:val="20"/>
              </w:rPr>
              <w:t xml:space="preserve">0,0</w:t>
            </w:r>
          </w:p>
        </w:tc>
        <w:tc>
          <w:tcPr>
            <w:tcW w:w="1531" w:type="dxa"/>
          </w:tcPr>
          <w:p>
            <w:pPr>
              <w:pStyle w:val="0"/>
              <w:jc w:val="center"/>
            </w:pPr>
            <w:r>
              <w:rPr>
                <w:sz w:val="20"/>
              </w:rPr>
              <w:t xml:space="preserve">21948,0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532195,7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256150,3</w:t>
            </w:r>
          </w:p>
        </w:tc>
        <w:tc>
          <w:tcPr>
            <w:tcW w:w="1417" w:type="dxa"/>
          </w:tcPr>
          <w:p>
            <w:pPr>
              <w:pStyle w:val="0"/>
              <w:jc w:val="center"/>
            </w:pPr>
            <w:r>
              <w:rPr>
                <w:sz w:val="20"/>
              </w:rPr>
              <w:t xml:space="preserve">184729,7</w:t>
            </w:r>
          </w:p>
        </w:tc>
        <w:tc>
          <w:tcPr>
            <w:tcW w:w="1417" w:type="dxa"/>
          </w:tcPr>
          <w:p>
            <w:pPr>
              <w:pStyle w:val="0"/>
              <w:jc w:val="center"/>
            </w:pPr>
            <w:r>
              <w:rPr>
                <w:sz w:val="20"/>
              </w:rPr>
              <w:t xml:space="preserve">187869,8</w:t>
            </w:r>
          </w:p>
        </w:tc>
        <w:tc>
          <w:tcPr>
            <w:tcW w:w="1474" w:type="dxa"/>
          </w:tcPr>
          <w:p>
            <w:pPr>
              <w:pStyle w:val="0"/>
              <w:jc w:val="center"/>
            </w:pPr>
            <w:r>
              <w:rPr>
                <w:sz w:val="20"/>
              </w:rPr>
              <w:t xml:space="preserve">192619,7</w:t>
            </w:r>
          </w:p>
        </w:tc>
        <w:tc>
          <w:tcPr>
            <w:tcW w:w="1531" w:type="dxa"/>
          </w:tcPr>
          <w:p>
            <w:pPr>
              <w:pStyle w:val="0"/>
              <w:jc w:val="center"/>
            </w:pPr>
            <w:r>
              <w:rPr>
                <w:sz w:val="20"/>
              </w:rPr>
              <w:t xml:space="preserve">198976,2</w:t>
            </w:r>
          </w:p>
        </w:tc>
        <w:tc>
          <w:tcPr>
            <w:tcW w:w="1474" w:type="dxa"/>
          </w:tcPr>
          <w:p>
            <w:pPr>
              <w:pStyle w:val="0"/>
              <w:jc w:val="center"/>
            </w:pPr>
            <w:r>
              <w:rPr>
                <w:sz w:val="20"/>
              </w:rPr>
              <w:t xml:space="preserve">205144,5</w:t>
            </w:r>
          </w:p>
        </w:tc>
        <w:tc>
          <w:tcPr>
            <w:tcW w:w="1361" w:type="dxa"/>
          </w:tcPr>
          <w:p>
            <w:pPr>
              <w:pStyle w:val="0"/>
              <w:jc w:val="center"/>
            </w:pPr>
            <w:r>
              <w:rPr>
                <w:sz w:val="20"/>
              </w:rPr>
              <w:t xml:space="preserve">211093,7</w:t>
            </w:r>
          </w:p>
        </w:tc>
        <w:tc>
          <w:tcPr>
            <w:tcW w:w="1361" w:type="dxa"/>
          </w:tcPr>
          <w:p>
            <w:pPr>
              <w:pStyle w:val="0"/>
              <w:jc w:val="center"/>
            </w:pPr>
            <w:r>
              <w:rPr>
                <w:sz w:val="20"/>
              </w:rPr>
              <w:t xml:space="preserve">217004,3</w:t>
            </w:r>
          </w:p>
        </w:tc>
        <w:tc>
          <w:tcPr>
            <w:tcW w:w="1361" w:type="dxa"/>
          </w:tcPr>
          <w:p>
            <w:pPr>
              <w:pStyle w:val="0"/>
              <w:jc w:val="center"/>
            </w:pPr>
            <w:r>
              <w:rPr>
                <w:sz w:val="20"/>
              </w:rPr>
              <w:t xml:space="preserve">223080,4</w:t>
            </w:r>
          </w:p>
        </w:tc>
        <w:tc>
          <w:tcPr>
            <w:tcW w:w="1531" w:type="dxa"/>
          </w:tcPr>
          <w:p>
            <w:pPr>
              <w:pStyle w:val="0"/>
              <w:jc w:val="center"/>
            </w:pPr>
            <w:r>
              <w:rPr>
                <w:sz w:val="20"/>
              </w:rPr>
              <w:t xml:space="preserve">1876668,6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1395086,0</w:t>
            </w:r>
          </w:p>
        </w:tc>
        <w:tc>
          <w:tcPr>
            <w:tcW w:w="1417" w:type="dxa"/>
          </w:tcPr>
          <w:p>
            <w:pPr>
              <w:pStyle w:val="0"/>
              <w:jc w:val="center"/>
            </w:pPr>
            <w:r>
              <w:rPr>
                <w:sz w:val="20"/>
              </w:rPr>
              <w:t xml:space="preserve">1981764,4</w:t>
            </w:r>
          </w:p>
        </w:tc>
        <w:tc>
          <w:tcPr>
            <w:tcW w:w="1417" w:type="dxa"/>
          </w:tcPr>
          <w:p>
            <w:pPr>
              <w:pStyle w:val="0"/>
              <w:jc w:val="center"/>
            </w:pPr>
            <w:r>
              <w:rPr>
                <w:sz w:val="20"/>
              </w:rPr>
              <w:t xml:space="preserve">1907183,2</w:t>
            </w:r>
          </w:p>
        </w:tc>
        <w:tc>
          <w:tcPr>
            <w:tcW w:w="1474" w:type="dxa"/>
          </w:tcPr>
          <w:p>
            <w:pPr>
              <w:pStyle w:val="0"/>
              <w:jc w:val="center"/>
            </w:pPr>
            <w:r>
              <w:rPr>
                <w:sz w:val="20"/>
              </w:rPr>
              <w:t xml:space="preserve">2054302,2</w:t>
            </w:r>
          </w:p>
        </w:tc>
        <w:tc>
          <w:tcPr>
            <w:tcW w:w="1531" w:type="dxa"/>
          </w:tcPr>
          <w:p>
            <w:pPr>
              <w:pStyle w:val="0"/>
              <w:jc w:val="center"/>
            </w:pPr>
            <w:r>
              <w:rPr>
                <w:sz w:val="20"/>
              </w:rPr>
              <w:t xml:space="preserve">2123746,2</w:t>
            </w:r>
          </w:p>
        </w:tc>
        <w:tc>
          <w:tcPr>
            <w:tcW w:w="1474" w:type="dxa"/>
          </w:tcPr>
          <w:p>
            <w:pPr>
              <w:pStyle w:val="0"/>
              <w:jc w:val="center"/>
            </w:pPr>
            <w:r>
              <w:rPr>
                <w:sz w:val="20"/>
              </w:rPr>
              <w:t xml:space="preserve">2187879,2</w:t>
            </w:r>
          </w:p>
        </w:tc>
        <w:tc>
          <w:tcPr>
            <w:tcW w:w="1361" w:type="dxa"/>
          </w:tcPr>
          <w:p>
            <w:pPr>
              <w:pStyle w:val="0"/>
              <w:jc w:val="center"/>
            </w:pPr>
            <w:r>
              <w:rPr>
                <w:sz w:val="20"/>
              </w:rPr>
              <w:t xml:space="preserve">2251327,7</w:t>
            </w:r>
          </w:p>
        </w:tc>
        <w:tc>
          <w:tcPr>
            <w:tcW w:w="1361" w:type="dxa"/>
          </w:tcPr>
          <w:p>
            <w:pPr>
              <w:pStyle w:val="0"/>
              <w:jc w:val="center"/>
            </w:pPr>
            <w:r>
              <w:rPr>
                <w:sz w:val="20"/>
              </w:rPr>
              <w:t xml:space="preserve">2314365,0</w:t>
            </w:r>
          </w:p>
        </w:tc>
        <w:tc>
          <w:tcPr>
            <w:tcW w:w="1361" w:type="dxa"/>
          </w:tcPr>
          <w:p>
            <w:pPr>
              <w:pStyle w:val="0"/>
              <w:jc w:val="center"/>
            </w:pPr>
            <w:r>
              <w:rPr>
                <w:sz w:val="20"/>
              </w:rPr>
              <w:t xml:space="preserve">2379167,1</w:t>
            </w:r>
          </w:p>
        </w:tc>
        <w:tc>
          <w:tcPr>
            <w:tcW w:w="1531" w:type="dxa"/>
          </w:tcPr>
          <w:p>
            <w:pPr>
              <w:pStyle w:val="0"/>
              <w:jc w:val="center"/>
            </w:pPr>
            <w:r>
              <w:rPr>
                <w:sz w:val="20"/>
              </w:rPr>
              <w:t xml:space="preserve">18594821,0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10791,0</w:t>
            </w:r>
          </w:p>
        </w:tc>
        <w:tc>
          <w:tcPr>
            <w:tcW w:w="1417" w:type="dxa"/>
          </w:tcPr>
          <w:p>
            <w:pPr>
              <w:pStyle w:val="0"/>
              <w:jc w:val="center"/>
            </w:pPr>
            <w:r>
              <w:rPr>
                <w:sz w:val="20"/>
              </w:rPr>
              <w:t xml:space="preserve">11052,8</w:t>
            </w:r>
          </w:p>
        </w:tc>
        <w:tc>
          <w:tcPr>
            <w:tcW w:w="1417" w:type="dxa"/>
          </w:tcPr>
          <w:p>
            <w:pPr>
              <w:pStyle w:val="0"/>
              <w:jc w:val="center"/>
            </w:pPr>
            <w:r>
              <w:rPr>
                <w:sz w:val="20"/>
              </w:rPr>
              <w:t xml:space="preserve">5000,0</w:t>
            </w:r>
          </w:p>
        </w:tc>
        <w:tc>
          <w:tcPr>
            <w:tcW w:w="1474" w:type="dxa"/>
          </w:tcPr>
          <w:p>
            <w:pPr>
              <w:pStyle w:val="0"/>
              <w:jc w:val="center"/>
            </w:pPr>
            <w:r>
              <w:rPr>
                <w:sz w:val="20"/>
              </w:rPr>
              <w:t xml:space="preserve">0,0</w:t>
            </w:r>
          </w:p>
        </w:tc>
        <w:tc>
          <w:tcPr>
            <w:tcW w:w="1531" w:type="dxa"/>
          </w:tcPr>
          <w:p>
            <w:pPr>
              <w:pStyle w:val="0"/>
              <w:jc w:val="center"/>
            </w:pPr>
            <w:r>
              <w:rPr>
                <w:sz w:val="20"/>
              </w:rPr>
              <w:t xml:space="preserve">1652,0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28495,8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 в том числе:</w:t>
            </w:r>
          </w:p>
        </w:tc>
        <w:tc>
          <w:tcPr>
            <w:tcW w:w="1417" w:type="dxa"/>
          </w:tcPr>
          <w:p>
            <w:pPr>
              <w:pStyle w:val="0"/>
              <w:jc w:val="center"/>
            </w:pPr>
            <w:r>
              <w:rPr>
                <w:sz w:val="20"/>
              </w:rPr>
              <w:t xml:space="preserve">42396,0</w:t>
            </w:r>
          </w:p>
        </w:tc>
        <w:tc>
          <w:tcPr>
            <w:tcW w:w="1417" w:type="dxa"/>
          </w:tcPr>
          <w:p>
            <w:pPr>
              <w:pStyle w:val="0"/>
              <w:jc w:val="center"/>
            </w:pPr>
            <w:r>
              <w:rPr>
                <w:sz w:val="20"/>
              </w:rPr>
              <w:t xml:space="preserve">38275,2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80671,2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38120,0</w:t>
            </w:r>
          </w:p>
        </w:tc>
        <w:tc>
          <w:tcPr>
            <w:tcW w:w="1417" w:type="dxa"/>
          </w:tcPr>
          <w:p>
            <w:pPr>
              <w:pStyle w:val="0"/>
              <w:jc w:val="center"/>
            </w:pPr>
            <w:r>
              <w:rPr>
                <w:sz w:val="20"/>
              </w:rPr>
              <w:t xml:space="preserve">33999,2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72119,2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4276,0</w:t>
            </w:r>
          </w:p>
        </w:tc>
        <w:tc>
          <w:tcPr>
            <w:tcW w:w="1417" w:type="dxa"/>
          </w:tcPr>
          <w:p>
            <w:pPr>
              <w:pStyle w:val="0"/>
              <w:jc w:val="center"/>
            </w:pPr>
            <w:r>
              <w:rPr>
                <w:sz w:val="20"/>
              </w:rPr>
              <w:t xml:space="preserve">4276,0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8552,0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45"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gridSpan w:val="13"/>
            <w:tcW w:w="22337" w:type="dxa"/>
          </w:tcPr>
          <w:p>
            <w:pPr>
              <w:pStyle w:val="0"/>
              <w:outlineLvl w:val="2"/>
              <w:jc w:val="center"/>
            </w:pPr>
            <w:r>
              <w:rPr>
                <w:sz w:val="20"/>
              </w:rPr>
              <w:t xml:space="preserve">Подпрограмма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tc>
          <w:tcPr>
            <w:tcW w:w="3458" w:type="dxa"/>
            <w:vMerge w:val="restart"/>
          </w:tcPr>
          <w:p>
            <w:pPr>
              <w:pStyle w:val="0"/>
              <w:jc w:val="both"/>
            </w:pPr>
            <w:r>
              <w:rPr>
                <w:sz w:val="20"/>
              </w:rPr>
              <w:t xml:space="preserve">2.1.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предоставляющих специализированную, в том числе высокотехнологичную, медицинскую помощь, скорую, в том числе скорую специализированную, медицинскую помощь, медицинскую эвакуацию</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932604,2</w:t>
            </w:r>
          </w:p>
        </w:tc>
        <w:tc>
          <w:tcPr>
            <w:tcW w:w="1417" w:type="dxa"/>
          </w:tcPr>
          <w:p>
            <w:pPr>
              <w:pStyle w:val="0"/>
              <w:jc w:val="center"/>
            </w:pPr>
            <w:r>
              <w:rPr>
                <w:sz w:val="20"/>
              </w:rPr>
              <w:t xml:space="preserve">706003,9</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1638608,1</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932604,2</w:t>
            </w:r>
          </w:p>
        </w:tc>
        <w:tc>
          <w:tcPr>
            <w:tcW w:w="1417" w:type="dxa"/>
          </w:tcPr>
          <w:p>
            <w:pPr>
              <w:pStyle w:val="0"/>
              <w:jc w:val="center"/>
            </w:pPr>
            <w:r>
              <w:rPr>
                <w:sz w:val="20"/>
              </w:rPr>
              <w:t xml:space="preserve">706003,9</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1638608,1</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2.2. Оказание паллиативной медицинской помощи государственными учреждениями здравоохранения в стационарных условиях</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75236,9</w:t>
            </w:r>
          </w:p>
        </w:tc>
        <w:tc>
          <w:tcPr>
            <w:tcW w:w="1417" w:type="dxa"/>
          </w:tcPr>
          <w:p>
            <w:pPr>
              <w:pStyle w:val="0"/>
              <w:jc w:val="center"/>
            </w:pPr>
            <w:r>
              <w:rPr>
                <w:sz w:val="20"/>
              </w:rPr>
              <w:t xml:space="preserve">72763,2</w:t>
            </w:r>
          </w:p>
        </w:tc>
        <w:tc>
          <w:tcPr>
            <w:tcW w:w="1417" w:type="dxa"/>
          </w:tcPr>
          <w:p>
            <w:pPr>
              <w:pStyle w:val="0"/>
              <w:jc w:val="center"/>
            </w:pPr>
            <w:r>
              <w:rPr>
                <w:sz w:val="20"/>
              </w:rPr>
              <w:t xml:space="preserve">61325,8</w:t>
            </w:r>
          </w:p>
        </w:tc>
        <w:tc>
          <w:tcPr>
            <w:tcW w:w="1474" w:type="dxa"/>
          </w:tcPr>
          <w:p>
            <w:pPr>
              <w:pStyle w:val="0"/>
              <w:jc w:val="center"/>
            </w:pPr>
            <w:r>
              <w:rPr>
                <w:sz w:val="20"/>
              </w:rPr>
              <w:t xml:space="preserve">64725,8</w:t>
            </w:r>
          </w:p>
        </w:tc>
        <w:tc>
          <w:tcPr>
            <w:tcW w:w="1531" w:type="dxa"/>
          </w:tcPr>
          <w:p>
            <w:pPr>
              <w:pStyle w:val="0"/>
              <w:jc w:val="center"/>
            </w:pPr>
            <w:r>
              <w:rPr>
                <w:sz w:val="20"/>
              </w:rPr>
              <w:t xml:space="preserve">66861,8</w:t>
            </w:r>
          </w:p>
        </w:tc>
        <w:tc>
          <w:tcPr>
            <w:tcW w:w="1474" w:type="dxa"/>
          </w:tcPr>
          <w:p>
            <w:pPr>
              <w:pStyle w:val="0"/>
              <w:jc w:val="center"/>
            </w:pPr>
            <w:r>
              <w:rPr>
                <w:sz w:val="20"/>
              </w:rPr>
              <w:t xml:space="preserve">68934,5</w:t>
            </w:r>
          </w:p>
        </w:tc>
        <w:tc>
          <w:tcPr>
            <w:tcW w:w="1361" w:type="dxa"/>
          </w:tcPr>
          <w:p>
            <w:pPr>
              <w:pStyle w:val="0"/>
              <w:jc w:val="center"/>
            </w:pPr>
            <w:r>
              <w:rPr>
                <w:sz w:val="20"/>
              </w:rPr>
              <w:t xml:space="preserve">70933,6</w:t>
            </w:r>
          </w:p>
        </w:tc>
        <w:tc>
          <w:tcPr>
            <w:tcW w:w="1361" w:type="dxa"/>
          </w:tcPr>
          <w:p>
            <w:pPr>
              <w:pStyle w:val="0"/>
              <w:jc w:val="center"/>
            </w:pPr>
            <w:r>
              <w:rPr>
                <w:sz w:val="20"/>
              </w:rPr>
              <w:t xml:space="preserve">72919,7</w:t>
            </w:r>
          </w:p>
        </w:tc>
        <w:tc>
          <w:tcPr>
            <w:tcW w:w="1361" w:type="dxa"/>
          </w:tcPr>
          <w:p>
            <w:pPr>
              <w:pStyle w:val="0"/>
              <w:jc w:val="center"/>
            </w:pPr>
            <w:r>
              <w:rPr>
                <w:sz w:val="20"/>
              </w:rPr>
              <w:t xml:space="preserve">74961,5</w:t>
            </w:r>
          </w:p>
        </w:tc>
        <w:tc>
          <w:tcPr>
            <w:tcW w:w="1531" w:type="dxa"/>
          </w:tcPr>
          <w:p>
            <w:pPr>
              <w:pStyle w:val="0"/>
              <w:jc w:val="center"/>
            </w:pPr>
            <w:r>
              <w:rPr>
                <w:sz w:val="20"/>
              </w:rPr>
              <w:t xml:space="preserve">628662,8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75236,9</w:t>
            </w:r>
          </w:p>
        </w:tc>
        <w:tc>
          <w:tcPr>
            <w:tcW w:w="1417" w:type="dxa"/>
          </w:tcPr>
          <w:p>
            <w:pPr>
              <w:pStyle w:val="0"/>
              <w:jc w:val="center"/>
            </w:pPr>
            <w:r>
              <w:rPr>
                <w:sz w:val="20"/>
              </w:rPr>
              <w:t xml:space="preserve">72763,2</w:t>
            </w:r>
          </w:p>
        </w:tc>
        <w:tc>
          <w:tcPr>
            <w:tcW w:w="1417" w:type="dxa"/>
          </w:tcPr>
          <w:p>
            <w:pPr>
              <w:pStyle w:val="0"/>
              <w:jc w:val="center"/>
            </w:pPr>
            <w:r>
              <w:rPr>
                <w:sz w:val="20"/>
              </w:rPr>
              <w:t xml:space="preserve">61325,8</w:t>
            </w:r>
          </w:p>
        </w:tc>
        <w:tc>
          <w:tcPr>
            <w:tcW w:w="1474" w:type="dxa"/>
          </w:tcPr>
          <w:p>
            <w:pPr>
              <w:pStyle w:val="0"/>
              <w:jc w:val="center"/>
            </w:pPr>
            <w:r>
              <w:rPr>
                <w:sz w:val="20"/>
              </w:rPr>
              <w:t xml:space="preserve">64725,8</w:t>
            </w:r>
          </w:p>
        </w:tc>
        <w:tc>
          <w:tcPr>
            <w:tcW w:w="1531" w:type="dxa"/>
          </w:tcPr>
          <w:p>
            <w:pPr>
              <w:pStyle w:val="0"/>
              <w:jc w:val="center"/>
            </w:pPr>
            <w:r>
              <w:rPr>
                <w:sz w:val="20"/>
              </w:rPr>
              <w:t xml:space="preserve">66861,8</w:t>
            </w:r>
          </w:p>
        </w:tc>
        <w:tc>
          <w:tcPr>
            <w:tcW w:w="1474" w:type="dxa"/>
          </w:tcPr>
          <w:p>
            <w:pPr>
              <w:pStyle w:val="0"/>
              <w:jc w:val="center"/>
            </w:pPr>
            <w:r>
              <w:rPr>
                <w:sz w:val="20"/>
              </w:rPr>
              <w:t xml:space="preserve">68934,5</w:t>
            </w:r>
          </w:p>
        </w:tc>
        <w:tc>
          <w:tcPr>
            <w:tcW w:w="1361" w:type="dxa"/>
          </w:tcPr>
          <w:p>
            <w:pPr>
              <w:pStyle w:val="0"/>
              <w:jc w:val="center"/>
            </w:pPr>
            <w:r>
              <w:rPr>
                <w:sz w:val="20"/>
              </w:rPr>
              <w:t xml:space="preserve">70933,6</w:t>
            </w:r>
          </w:p>
        </w:tc>
        <w:tc>
          <w:tcPr>
            <w:tcW w:w="1361" w:type="dxa"/>
          </w:tcPr>
          <w:p>
            <w:pPr>
              <w:pStyle w:val="0"/>
              <w:jc w:val="center"/>
            </w:pPr>
            <w:r>
              <w:rPr>
                <w:sz w:val="20"/>
              </w:rPr>
              <w:t xml:space="preserve">72919,7</w:t>
            </w:r>
          </w:p>
        </w:tc>
        <w:tc>
          <w:tcPr>
            <w:tcW w:w="1361" w:type="dxa"/>
          </w:tcPr>
          <w:p>
            <w:pPr>
              <w:pStyle w:val="0"/>
              <w:jc w:val="center"/>
            </w:pPr>
            <w:r>
              <w:rPr>
                <w:sz w:val="20"/>
              </w:rPr>
              <w:t xml:space="preserve">74961,5</w:t>
            </w:r>
          </w:p>
        </w:tc>
        <w:tc>
          <w:tcPr>
            <w:tcW w:w="1531" w:type="dxa"/>
          </w:tcPr>
          <w:p>
            <w:pPr>
              <w:pStyle w:val="0"/>
              <w:jc w:val="center"/>
            </w:pPr>
            <w:r>
              <w:rPr>
                <w:sz w:val="20"/>
              </w:rPr>
              <w:t xml:space="preserve">628662,8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4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2.3. Многопрофильный лечебно-диагностический корпус онкологического диспансера, г. Севастополь</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28213,3</w:t>
            </w:r>
          </w:p>
        </w:tc>
        <w:tc>
          <w:tcPr>
            <w:tcW w:w="1417" w:type="dxa"/>
          </w:tcPr>
          <w:p>
            <w:pPr>
              <w:pStyle w:val="0"/>
              <w:jc w:val="center"/>
            </w:pPr>
            <w:r>
              <w:rPr>
                <w:sz w:val="20"/>
              </w:rPr>
              <w:t xml:space="preserve">836578,2</w:t>
            </w:r>
          </w:p>
        </w:tc>
        <w:tc>
          <w:tcPr>
            <w:tcW w:w="1417" w:type="dxa"/>
          </w:tcPr>
          <w:p>
            <w:pPr>
              <w:pStyle w:val="0"/>
              <w:jc w:val="center"/>
            </w:pPr>
            <w:r>
              <w:rPr>
                <w:sz w:val="20"/>
              </w:rPr>
              <w:t xml:space="preserve">636686,7</w:t>
            </w:r>
          </w:p>
        </w:tc>
        <w:tc>
          <w:tcPr>
            <w:tcW w:w="1474" w:type="dxa"/>
          </w:tcPr>
          <w:p>
            <w:pPr>
              <w:pStyle w:val="0"/>
              <w:jc w:val="center"/>
            </w:pPr>
            <w:r>
              <w:rPr>
                <w:sz w:val="20"/>
              </w:rPr>
              <w:t xml:space="preserve">3684179,0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5185657,2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26803,0</w:t>
            </w:r>
          </w:p>
        </w:tc>
        <w:tc>
          <w:tcPr>
            <w:tcW w:w="1417" w:type="dxa"/>
          </w:tcPr>
          <w:p>
            <w:pPr>
              <w:pStyle w:val="0"/>
              <w:jc w:val="center"/>
            </w:pPr>
            <w:r>
              <w:rPr>
                <w:sz w:val="20"/>
              </w:rPr>
              <w:t xml:space="preserve">794748,5</w:t>
            </w:r>
          </w:p>
        </w:tc>
        <w:tc>
          <w:tcPr>
            <w:tcW w:w="1417" w:type="dxa"/>
          </w:tcPr>
          <w:p>
            <w:pPr>
              <w:pStyle w:val="0"/>
              <w:jc w:val="center"/>
            </w:pPr>
            <w:r>
              <w:rPr>
                <w:sz w:val="20"/>
              </w:rPr>
              <w:t xml:space="preserve">604853,5</w:t>
            </w:r>
          </w:p>
        </w:tc>
        <w:tc>
          <w:tcPr>
            <w:tcW w:w="1474" w:type="dxa"/>
          </w:tcPr>
          <w:p>
            <w:pPr>
              <w:pStyle w:val="0"/>
              <w:jc w:val="center"/>
            </w:pPr>
            <w:r>
              <w:rPr>
                <w:sz w:val="20"/>
              </w:rPr>
              <w:t xml:space="preserve">3426283,0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4852688,0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1410,3</w:t>
            </w:r>
          </w:p>
        </w:tc>
        <w:tc>
          <w:tcPr>
            <w:tcW w:w="1417" w:type="dxa"/>
          </w:tcPr>
          <w:p>
            <w:pPr>
              <w:pStyle w:val="0"/>
              <w:jc w:val="center"/>
            </w:pPr>
            <w:r>
              <w:rPr>
                <w:sz w:val="20"/>
              </w:rPr>
              <w:t xml:space="preserve">41829,7</w:t>
            </w:r>
          </w:p>
        </w:tc>
        <w:tc>
          <w:tcPr>
            <w:tcW w:w="1417" w:type="dxa"/>
          </w:tcPr>
          <w:p>
            <w:pPr>
              <w:pStyle w:val="0"/>
              <w:jc w:val="center"/>
            </w:pPr>
            <w:r>
              <w:rPr>
                <w:sz w:val="20"/>
              </w:rPr>
              <w:t xml:space="preserve">31833,2</w:t>
            </w:r>
          </w:p>
        </w:tc>
        <w:tc>
          <w:tcPr>
            <w:tcW w:w="1474" w:type="dxa"/>
          </w:tcPr>
          <w:p>
            <w:pPr>
              <w:pStyle w:val="0"/>
              <w:jc w:val="center"/>
            </w:pPr>
            <w:r>
              <w:rPr>
                <w:sz w:val="20"/>
              </w:rPr>
              <w:t xml:space="preserve">257896,0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332969,2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1410,3</w:t>
            </w:r>
          </w:p>
        </w:tc>
        <w:tc>
          <w:tcPr>
            <w:tcW w:w="1417" w:type="dxa"/>
          </w:tcPr>
          <w:p>
            <w:pPr>
              <w:pStyle w:val="0"/>
              <w:jc w:val="center"/>
            </w:pPr>
            <w:r>
              <w:rPr>
                <w:sz w:val="20"/>
              </w:rPr>
              <w:t xml:space="preserve">41829,7</w:t>
            </w:r>
          </w:p>
        </w:tc>
        <w:tc>
          <w:tcPr>
            <w:tcW w:w="1417" w:type="dxa"/>
          </w:tcPr>
          <w:p>
            <w:pPr>
              <w:pStyle w:val="0"/>
              <w:jc w:val="center"/>
            </w:pPr>
            <w:r>
              <w:rPr>
                <w:sz w:val="20"/>
              </w:rPr>
              <w:t xml:space="preserve">31833,2</w:t>
            </w:r>
          </w:p>
        </w:tc>
        <w:tc>
          <w:tcPr>
            <w:tcW w:w="1474" w:type="dxa"/>
          </w:tcPr>
          <w:p>
            <w:pPr>
              <w:pStyle w:val="0"/>
              <w:jc w:val="center"/>
            </w:pPr>
            <w:r>
              <w:rPr>
                <w:sz w:val="20"/>
              </w:rPr>
              <w:t xml:space="preserve">257896,0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332969,2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47"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3458" w:type="dxa"/>
            <w:tcBorders>
              <w:bottom w:val="nil"/>
            </w:tcBorders>
            <w:vMerge w:val="restart"/>
          </w:tcPr>
          <w:p>
            <w:pPr>
              <w:pStyle w:val="0"/>
              <w:jc w:val="both"/>
            </w:pPr>
            <w:r>
              <w:rPr>
                <w:sz w:val="20"/>
              </w:rPr>
              <w:t xml:space="preserve">2.4. Севастопольская больница скорой медицинской помощи</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64363,0</w:t>
            </w:r>
          </w:p>
        </w:tc>
        <w:tc>
          <w:tcPr>
            <w:tcW w:w="1417" w:type="dxa"/>
          </w:tcPr>
          <w:p>
            <w:pPr>
              <w:pStyle w:val="0"/>
              <w:jc w:val="center"/>
            </w:pPr>
            <w:r>
              <w:rPr>
                <w:sz w:val="20"/>
              </w:rPr>
              <w:t xml:space="preserve">624795,2</w:t>
            </w:r>
          </w:p>
        </w:tc>
        <w:tc>
          <w:tcPr>
            <w:tcW w:w="1417" w:type="dxa"/>
          </w:tcPr>
          <w:p>
            <w:pPr>
              <w:pStyle w:val="0"/>
              <w:jc w:val="center"/>
            </w:pPr>
            <w:r>
              <w:rPr>
                <w:sz w:val="20"/>
              </w:rPr>
              <w:t xml:space="preserve">391781,5</w:t>
            </w:r>
          </w:p>
        </w:tc>
        <w:tc>
          <w:tcPr>
            <w:tcW w:w="1474" w:type="dxa"/>
          </w:tcPr>
          <w:p>
            <w:pPr>
              <w:pStyle w:val="0"/>
              <w:jc w:val="center"/>
            </w:pPr>
            <w:r>
              <w:rPr>
                <w:sz w:val="20"/>
              </w:rPr>
              <w:t xml:space="preserve">456517,1</w:t>
            </w:r>
          </w:p>
        </w:tc>
        <w:tc>
          <w:tcPr>
            <w:tcW w:w="1531" w:type="dxa"/>
          </w:tcPr>
          <w:p>
            <w:pPr>
              <w:pStyle w:val="0"/>
              <w:jc w:val="center"/>
            </w:pPr>
            <w:r>
              <w:rPr>
                <w:sz w:val="20"/>
              </w:rPr>
              <w:t xml:space="preserve">7257086,1</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8794542,9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61145,0</w:t>
            </w:r>
          </w:p>
        </w:tc>
        <w:tc>
          <w:tcPr>
            <w:tcW w:w="1417" w:type="dxa"/>
          </w:tcPr>
          <w:p>
            <w:pPr>
              <w:pStyle w:val="0"/>
              <w:jc w:val="center"/>
            </w:pPr>
            <w:r>
              <w:rPr>
                <w:sz w:val="20"/>
              </w:rPr>
              <w:t xml:space="preserve">593554,9</w:t>
            </w:r>
          </w:p>
        </w:tc>
        <w:tc>
          <w:tcPr>
            <w:tcW w:w="1417" w:type="dxa"/>
          </w:tcPr>
          <w:p>
            <w:pPr>
              <w:pStyle w:val="0"/>
              <w:jc w:val="center"/>
            </w:pPr>
            <w:r>
              <w:rPr>
                <w:sz w:val="20"/>
              </w:rPr>
              <w:t xml:space="preserve">372192,4</w:t>
            </w:r>
          </w:p>
        </w:tc>
        <w:tc>
          <w:tcPr>
            <w:tcW w:w="1474" w:type="dxa"/>
          </w:tcPr>
          <w:p>
            <w:pPr>
              <w:pStyle w:val="0"/>
              <w:jc w:val="center"/>
            </w:pPr>
            <w:r>
              <w:rPr>
                <w:sz w:val="20"/>
              </w:rPr>
              <w:t xml:space="preserve">424558,6</w:t>
            </w:r>
          </w:p>
        </w:tc>
        <w:tc>
          <w:tcPr>
            <w:tcW w:w="1531" w:type="dxa"/>
          </w:tcPr>
          <w:p>
            <w:pPr>
              <w:pStyle w:val="0"/>
              <w:jc w:val="center"/>
            </w:pPr>
            <w:r>
              <w:rPr>
                <w:sz w:val="20"/>
              </w:rPr>
              <w:t xml:space="preserve">6749090,2</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8200541,1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3218,0</w:t>
            </w:r>
          </w:p>
        </w:tc>
        <w:tc>
          <w:tcPr>
            <w:tcW w:w="1417" w:type="dxa"/>
          </w:tcPr>
          <w:p>
            <w:pPr>
              <w:pStyle w:val="0"/>
              <w:jc w:val="center"/>
            </w:pPr>
            <w:r>
              <w:rPr>
                <w:sz w:val="20"/>
              </w:rPr>
              <w:t xml:space="preserve">31240,3</w:t>
            </w:r>
          </w:p>
        </w:tc>
        <w:tc>
          <w:tcPr>
            <w:tcW w:w="1417" w:type="dxa"/>
          </w:tcPr>
          <w:p>
            <w:pPr>
              <w:pStyle w:val="0"/>
              <w:jc w:val="center"/>
            </w:pPr>
            <w:r>
              <w:rPr>
                <w:sz w:val="20"/>
              </w:rPr>
              <w:t xml:space="preserve">19589,1</w:t>
            </w:r>
          </w:p>
        </w:tc>
        <w:tc>
          <w:tcPr>
            <w:tcW w:w="1474" w:type="dxa"/>
          </w:tcPr>
          <w:p>
            <w:pPr>
              <w:pStyle w:val="0"/>
              <w:jc w:val="center"/>
            </w:pPr>
            <w:r>
              <w:rPr>
                <w:sz w:val="20"/>
              </w:rPr>
              <w:t xml:space="preserve">31958,5</w:t>
            </w:r>
          </w:p>
        </w:tc>
        <w:tc>
          <w:tcPr>
            <w:tcW w:w="1531" w:type="dxa"/>
          </w:tcPr>
          <w:p>
            <w:pPr>
              <w:pStyle w:val="0"/>
              <w:jc w:val="center"/>
            </w:pPr>
            <w:r>
              <w:rPr>
                <w:sz w:val="20"/>
              </w:rPr>
              <w:t xml:space="preserve">507995,9</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594001,8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3218,0</w:t>
            </w:r>
          </w:p>
        </w:tc>
        <w:tc>
          <w:tcPr>
            <w:tcW w:w="1417" w:type="dxa"/>
          </w:tcPr>
          <w:p>
            <w:pPr>
              <w:pStyle w:val="0"/>
              <w:jc w:val="center"/>
            </w:pPr>
            <w:r>
              <w:rPr>
                <w:sz w:val="20"/>
              </w:rPr>
              <w:t xml:space="preserve">31240,3</w:t>
            </w:r>
          </w:p>
        </w:tc>
        <w:tc>
          <w:tcPr>
            <w:tcW w:w="1417" w:type="dxa"/>
          </w:tcPr>
          <w:p>
            <w:pPr>
              <w:pStyle w:val="0"/>
              <w:jc w:val="center"/>
            </w:pPr>
            <w:r>
              <w:rPr>
                <w:sz w:val="20"/>
              </w:rPr>
              <w:t xml:space="preserve">19589,1</w:t>
            </w:r>
          </w:p>
        </w:tc>
        <w:tc>
          <w:tcPr>
            <w:tcW w:w="1474" w:type="dxa"/>
          </w:tcPr>
          <w:p>
            <w:pPr>
              <w:pStyle w:val="0"/>
              <w:jc w:val="center"/>
            </w:pPr>
            <w:r>
              <w:rPr>
                <w:sz w:val="20"/>
              </w:rPr>
              <w:t xml:space="preserve">31958,5</w:t>
            </w:r>
          </w:p>
        </w:tc>
        <w:tc>
          <w:tcPr>
            <w:tcW w:w="1531" w:type="dxa"/>
          </w:tcPr>
          <w:p>
            <w:pPr>
              <w:pStyle w:val="0"/>
              <w:jc w:val="center"/>
            </w:pPr>
            <w:r>
              <w:rPr>
                <w:sz w:val="20"/>
              </w:rPr>
              <w:t xml:space="preserve">507995,9</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594001,8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48"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vMerge w:val="restart"/>
          </w:tcPr>
          <w:p>
            <w:pPr>
              <w:pStyle w:val="0"/>
              <w:jc w:val="both"/>
            </w:pPr>
            <w:r>
              <w:rPr>
                <w:sz w:val="20"/>
              </w:rPr>
              <w:t xml:space="preserve">2.5. Строительство городской инфекционной больницы на 200 коек, г. Севастополь</w:t>
            </w:r>
          </w:p>
        </w:tc>
        <w:tc>
          <w:tcPr>
            <w:tcW w:w="2041" w:type="dxa"/>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80000,0</w:t>
            </w:r>
          </w:p>
        </w:tc>
        <w:tc>
          <w:tcPr>
            <w:tcW w:w="1474" w:type="dxa"/>
          </w:tcPr>
          <w:p>
            <w:pPr>
              <w:pStyle w:val="0"/>
              <w:jc w:val="center"/>
            </w:pPr>
            <w:r>
              <w:rPr>
                <w:sz w:val="20"/>
              </w:rPr>
              <w:t xml:space="preserve">3291114,0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3371114,0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74400,0</w:t>
            </w:r>
          </w:p>
        </w:tc>
        <w:tc>
          <w:tcPr>
            <w:tcW w:w="1474" w:type="dxa"/>
          </w:tcPr>
          <w:p>
            <w:pPr>
              <w:pStyle w:val="0"/>
              <w:jc w:val="center"/>
            </w:pPr>
            <w:r>
              <w:rPr>
                <w:sz w:val="20"/>
              </w:rPr>
              <w:t xml:space="preserve">3060740,0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3135140,0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5600,0</w:t>
            </w:r>
          </w:p>
        </w:tc>
        <w:tc>
          <w:tcPr>
            <w:tcW w:w="1474" w:type="dxa"/>
          </w:tcPr>
          <w:p>
            <w:pPr>
              <w:pStyle w:val="0"/>
              <w:jc w:val="center"/>
            </w:pPr>
            <w:r>
              <w:rPr>
                <w:sz w:val="20"/>
              </w:rPr>
              <w:t xml:space="preserve">230374,0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235974,0</w:t>
            </w:r>
          </w:p>
        </w:tc>
      </w:tr>
      <w:tr>
        <w:tc>
          <w:tcPr>
            <w:vMerge w:val="continue"/>
          </w:tcPr>
          <w:p/>
        </w:tc>
        <w:tc>
          <w:tcPr>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5600,0</w:t>
            </w:r>
          </w:p>
        </w:tc>
        <w:tc>
          <w:tcPr>
            <w:tcW w:w="1474" w:type="dxa"/>
          </w:tcPr>
          <w:p>
            <w:pPr>
              <w:pStyle w:val="0"/>
              <w:jc w:val="center"/>
            </w:pPr>
            <w:r>
              <w:rPr>
                <w:sz w:val="20"/>
              </w:rPr>
              <w:t xml:space="preserve">230374,0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235974,0</w:t>
            </w:r>
          </w:p>
        </w:tc>
      </w:tr>
      <w:tr>
        <w:tc>
          <w:tcPr>
            <w:vMerge w:val="continue"/>
          </w:tcPr>
          <w:p/>
        </w:tc>
        <w:tc>
          <w:tcPr>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2.6. Оказание высокотехнологичной медицинской помощи, не включенной в базовую программу обязательного медицинского страхования</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178161,3</w:t>
            </w:r>
          </w:p>
        </w:tc>
        <w:tc>
          <w:tcPr>
            <w:tcW w:w="1417" w:type="dxa"/>
          </w:tcPr>
          <w:p>
            <w:pPr>
              <w:pStyle w:val="0"/>
              <w:jc w:val="center"/>
            </w:pPr>
            <w:r>
              <w:rPr>
                <w:sz w:val="20"/>
              </w:rPr>
              <w:t xml:space="preserve">175627,2</w:t>
            </w:r>
          </w:p>
        </w:tc>
        <w:tc>
          <w:tcPr>
            <w:tcW w:w="1417" w:type="dxa"/>
          </w:tcPr>
          <w:p>
            <w:pPr>
              <w:pStyle w:val="0"/>
              <w:jc w:val="center"/>
            </w:pPr>
            <w:r>
              <w:rPr>
                <w:sz w:val="20"/>
              </w:rPr>
              <w:t xml:space="preserve">175627,2</w:t>
            </w:r>
          </w:p>
        </w:tc>
        <w:tc>
          <w:tcPr>
            <w:tcW w:w="1474" w:type="dxa"/>
          </w:tcPr>
          <w:p>
            <w:pPr>
              <w:pStyle w:val="0"/>
              <w:jc w:val="center"/>
            </w:pPr>
            <w:r>
              <w:rPr>
                <w:sz w:val="20"/>
              </w:rPr>
              <w:t xml:space="preserve">175114,4</w:t>
            </w:r>
          </w:p>
        </w:tc>
        <w:tc>
          <w:tcPr>
            <w:tcW w:w="1531" w:type="dxa"/>
          </w:tcPr>
          <w:p>
            <w:pPr>
              <w:pStyle w:val="0"/>
              <w:jc w:val="center"/>
            </w:pPr>
            <w:r>
              <w:rPr>
                <w:sz w:val="20"/>
              </w:rPr>
              <w:t xml:space="preserve">180893,2</w:t>
            </w:r>
          </w:p>
        </w:tc>
        <w:tc>
          <w:tcPr>
            <w:tcW w:w="1474" w:type="dxa"/>
          </w:tcPr>
          <w:p>
            <w:pPr>
              <w:pStyle w:val="0"/>
              <w:jc w:val="center"/>
            </w:pPr>
            <w:r>
              <w:rPr>
                <w:sz w:val="20"/>
              </w:rPr>
              <w:t xml:space="preserve">186500,9</w:t>
            </w:r>
          </w:p>
        </w:tc>
        <w:tc>
          <w:tcPr>
            <w:tcW w:w="1361" w:type="dxa"/>
          </w:tcPr>
          <w:p>
            <w:pPr>
              <w:pStyle w:val="0"/>
              <w:jc w:val="center"/>
            </w:pPr>
            <w:r>
              <w:rPr>
                <w:sz w:val="20"/>
              </w:rPr>
              <w:t xml:space="preserve">191909,4</w:t>
            </w:r>
          </w:p>
        </w:tc>
        <w:tc>
          <w:tcPr>
            <w:tcW w:w="1361" w:type="dxa"/>
          </w:tcPr>
          <w:p>
            <w:pPr>
              <w:pStyle w:val="0"/>
              <w:jc w:val="center"/>
            </w:pPr>
            <w:r>
              <w:rPr>
                <w:sz w:val="20"/>
              </w:rPr>
              <w:t xml:space="preserve">197282,9</w:t>
            </w:r>
          </w:p>
        </w:tc>
        <w:tc>
          <w:tcPr>
            <w:tcW w:w="1361" w:type="dxa"/>
          </w:tcPr>
          <w:p>
            <w:pPr>
              <w:pStyle w:val="0"/>
              <w:jc w:val="center"/>
            </w:pPr>
            <w:r>
              <w:rPr>
                <w:sz w:val="20"/>
              </w:rPr>
              <w:t xml:space="preserve">202806,8</w:t>
            </w:r>
          </w:p>
        </w:tc>
        <w:tc>
          <w:tcPr>
            <w:tcW w:w="1531" w:type="dxa"/>
          </w:tcPr>
          <w:p>
            <w:pPr>
              <w:pStyle w:val="0"/>
              <w:jc w:val="center"/>
            </w:pPr>
            <w:r>
              <w:rPr>
                <w:sz w:val="20"/>
              </w:rPr>
              <w:t xml:space="preserve">1663923,3</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35249,7</w:t>
            </w:r>
          </w:p>
        </w:tc>
        <w:tc>
          <w:tcPr>
            <w:tcW w:w="1417" w:type="dxa"/>
          </w:tcPr>
          <w:p>
            <w:pPr>
              <w:pStyle w:val="0"/>
              <w:jc w:val="center"/>
            </w:pPr>
            <w:r>
              <w:rPr>
                <w:sz w:val="20"/>
              </w:rPr>
              <w:t xml:space="preserve">32715,6</w:t>
            </w:r>
          </w:p>
        </w:tc>
        <w:tc>
          <w:tcPr>
            <w:tcW w:w="1417" w:type="dxa"/>
          </w:tcPr>
          <w:p>
            <w:pPr>
              <w:pStyle w:val="0"/>
              <w:jc w:val="center"/>
            </w:pPr>
            <w:r>
              <w:rPr>
                <w:sz w:val="20"/>
              </w:rPr>
              <w:t xml:space="preserve">32715,6</w:t>
            </w:r>
          </w:p>
        </w:tc>
        <w:tc>
          <w:tcPr>
            <w:tcW w:w="1474" w:type="dxa"/>
          </w:tcPr>
          <w:p>
            <w:pPr>
              <w:pStyle w:val="0"/>
              <w:jc w:val="center"/>
            </w:pPr>
            <w:r>
              <w:rPr>
                <w:sz w:val="20"/>
              </w:rPr>
              <w:t xml:space="preserve">32202,8</w:t>
            </w:r>
          </w:p>
        </w:tc>
        <w:tc>
          <w:tcPr>
            <w:tcW w:w="1531" w:type="dxa"/>
          </w:tcPr>
          <w:p>
            <w:pPr>
              <w:pStyle w:val="0"/>
              <w:jc w:val="center"/>
            </w:pPr>
            <w:r>
              <w:rPr>
                <w:sz w:val="20"/>
              </w:rPr>
              <w:t xml:space="preserve">33265,5</w:t>
            </w:r>
          </w:p>
        </w:tc>
        <w:tc>
          <w:tcPr>
            <w:tcW w:w="1474" w:type="dxa"/>
          </w:tcPr>
          <w:p>
            <w:pPr>
              <w:pStyle w:val="0"/>
              <w:jc w:val="center"/>
            </w:pPr>
            <w:r>
              <w:rPr>
                <w:sz w:val="20"/>
              </w:rPr>
              <w:t xml:space="preserve">34296,7</w:t>
            </w:r>
          </w:p>
        </w:tc>
        <w:tc>
          <w:tcPr>
            <w:tcW w:w="1361" w:type="dxa"/>
          </w:tcPr>
          <w:p>
            <w:pPr>
              <w:pStyle w:val="0"/>
              <w:jc w:val="center"/>
            </w:pPr>
            <w:r>
              <w:rPr>
                <w:sz w:val="20"/>
              </w:rPr>
              <w:t xml:space="preserve">35291,3</w:t>
            </w:r>
          </w:p>
        </w:tc>
        <w:tc>
          <w:tcPr>
            <w:tcW w:w="1361" w:type="dxa"/>
          </w:tcPr>
          <w:p>
            <w:pPr>
              <w:pStyle w:val="0"/>
              <w:jc w:val="center"/>
            </w:pPr>
            <w:r>
              <w:rPr>
                <w:sz w:val="20"/>
              </w:rPr>
              <w:t xml:space="preserve">36279,5</w:t>
            </w:r>
          </w:p>
        </w:tc>
        <w:tc>
          <w:tcPr>
            <w:tcW w:w="1361" w:type="dxa"/>
          </w:tcPr>
          <w:p>
            <w:pPr>
              <w:pStyle w:val="0"/>
              <w:jc w:val="center"/>
            </w:pPr>
            <w:r>
              <w:rPr>
                <w:sz w:val="20"/>
              </w:rPr>
              <w:t xml:space="preserve">37295,3</w:t>
            </w:r>
          </w:p>
        </w:tc>
        <w:tc>
          <w:tcPr>
            <w:tcW w:w="1531" w:type="dxa"/>
          </w:tcPr>
          <w:p>
            <w:pPr>
              <w:pStyle w:val="0"/>
              <w:jc w:val="center"/>
            </w:pPr>
            <w:r>
              <w:rPr>
                <w:sz w:val="20"/>
              </w:rPr>
              <w:t xml:space="preserve">309312,0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142911,6</w:t>
            </w:r>
          </w:p>
        </w:tc>
        <w:tc>
          <w:tcPr>
            <w:tcW w:w="1417" w:type="dxa"/>
          </w:tcPr>
          <w:p>
            <w:pPr>
              <w:pStyle w:val="0"/>
              <w:jc w:val="center"/>
            </w:pPr>
            <w:r>
              <w:rPr>
                <w:sz w:val="20"/>
              </w:rPr>
              <w:t xml:space="preserve">142911,6</w:t>
            </w:r>
          </w:p>
        </w:tc>
        <w:tc>
          <w:tcPr>
            <w:tcW w:w="1417" w:type="dxa"/>
          </w:tcPr>
          <w:p>
            <w:pPr>
              <w:pStyle w:val="0"/>
              <w:jc w:val="center"/>
            </w:pPr>
            <w:r>
              <w:rPr>
                <w:sz w:val="20"/>
              </w:rPr>
              <w:t xml:space="preserve">142911,6</w:t>
            </w:r>
          </w:p>
        </w:tc>
        <w:tc>
          <w:tcPr>
            <w:tcW w:w="1474" w:type="dxa"/>
          </w:tcPr>
          <w:p>
            <w:pPr>
              <w:pStyle w:val="0"/>
              <w:jc w:val="center"/>
            </w:pPr>
            <w:r>
              <w:rPr>
                <w:sz w:val="20"/>
              </w:rPr>
              <w:t xml:space="preserve">142911,6</w:t>
            </w:r>
          </w:p>
        </w:tc>
        <w:tc>
          <w:tcPr>
            <w:tcW w:w="1531" w:type="dxa"/>
          </w:tcPr>
          <w:p>
            <w:pPr>
              <w:pStyle w:val="0"/>
              <w:jc w:val="center"/>
            </w:pPr>
            <w:r>
              <w:rPr>
                <w:sz w:val="20"/>
              </w:rPr>
              <w:t xml:space="preserve">147627,7</w:t>
            </w:r>
          </w:p>
        </w:tc>
        <w:tc>
          <w:tcPr>
            <w:tcW w:w="1474" w:type="dxa"/>
          </w:tcPr>
          <w:p>
            <w:pPr>
              <w:pStyle w:val="0"/>
              <w:jc w:val="center"/>
            </w:pPr>
            <w:r>
              <w:rPr>
                <w:sz w:val="20"/>
              </w:rPr>
              <w:t xml:space="preserve">152204,2</w:t>
            </w:r>
          </w:p>
        </w:tc>
        <w:tc>
          <w:tcPr>
            <w:tcW w:w="1361" w:type="dxa"/>
          </w:tcPr>
          <w:p>
            <w:pPr>
              <w:pStyle w:val="0"/>
              <w:jc w:val="center"/>
            </w:pPr>
            <w:r>
              <w:rPr>
                <w:sz w:val="20"/>
              </w:rPr>
              <w:t xml:space="preserve">156618,1</w:t>
            </w:r>
          </w:p>
        </w:tc>
        <w:tc>
          <w:tcPr>
            <w:tcW w:w="1361" w:type="dxa"/>
          </w:tcPr>
          <w:p>
            <w:pPr>
              <w:pStyle w:val="0"/>
              <w:jc w:val="center"/>
            </w:pPr>
            <w:r>
              <w:rPr>
                <w:sz w:val="20"/>
              </w:rPr>
              <w:t xml:space="preserve">161003,4</w:t>
            </w:r>
          </w:p>
        </w:tc>
        <w:tc>
          <w:tcPr>
            <w:tcW w:w="1361" w:type="dxa"/>
          </w:tcPr>
          <w:p>
            <w:pPr>
              <w:pStyle w:val="0"/>
              <w:jc w:val="center"/>
            </w:pPr>
            <w:r>
              <w:rPr>
                <w:sz w:val="20"/>
              </w:rPr>
              <w:t xml:space="preserve">165511,5</w:t>
            </w:r>
          </w:p>
        </w:tc>
        <w:tc>
          <w:tcPr>
            <w:tcW w:w="1531" w:type="dxa"/>
          </w:tcPr>
          <w:p>
            <w:pPr>
              <w:pStyle w:val="0"/>
              <w:jc w:val="center"/>
            </w:pPr>
            <w:r>
              <w:rPr>
                <w:sz w:val="20"/>
              </w:rPr>
              <w:t xml:space="preserve">1354611,3</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2.7. Медицинское обеспечение массовых городских мероприятий</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2812,1</w:t>
            </w:r>
          </w:p>
        </w:tc>
        <w:tc>
          <w:tcPr>
            <w:tcW w:w="1417" w:type="dxa"/>
          </w:tcPr>
          <w:p>
            <w:pPr>
              <w:pStyle w:val="0"/>
              <w:jc w:val="center"/>
            </w:pPr>
            <w:r>
              <w:rPr>
                <w:sz w:val="20"/>
              </w:rPr>
              <w:t xml:space="preserve">2978,2</w:t>
            </w:r>
          </w:p>
        </w:tc>
        <w:tc>
          <w:tcPr>
            <w:tcW w:w="1417" w:type="dxa"/>
          </w:tcPr>
          <w:p>
            <w:pPr>
              <w:pStyle w:val="0"/>
              <w:jc w:val="center"/>
            </w:pPr>
            <w:r>
              <w:rPr>
                <w:sz w:val="20"/>
              </w:rPr>
              <w:t xml:space="preserve">3097,3</w:t>
            </w:r>
          </w:p>
        </w:tc>
        <w:tc>
          <w:tcPr>
            <w:tcW w:w="1474" w:type="dxa"/>
          </w:tcPr>
          <w:p>
            <w:pPr>
              <w:pStyle w:val="0"/>
              <w:jc w:val="center"/>
            </w:pPr>
            <w:r>
              <w:rPr>
                <w:sz w:val="20"/>
              </w:rPr>
              <w:t xml:space="preserve">3221,2</w:t>
            </w:r>
          </w:p>
        </w:tc>
        <w:tc>
          <w:tcPr>
            <w:tcW w:w="1531" w:type="dxa"/>
          </w:tcPr>
          <w:p>
            <w:pPr>
              <w:pStyle w:val="0"/>
              <w:jc w:val="center"/>
            </w:pPr>
            <w:r>
              <w:rPr>
                <w:sz w:val="20"/>
              </w:rPr>
              <w:t xml:space="preserve">3327,5</w:t>
            </w:r>
          </w:p>
        </w:tc>
        <w:tc>
          <w:tcPr>
            <w:tcW w:w="1474" w:type="dxa"/>
          </w:tcPr>
          <w:p>
            <w:pPr>
              <w:pStyle w:val="0"/>
              <w:jc w:val="center"/>
            </w:pPr>
            <w:r>
              <w:rPr>
                <w:sz w:val="20"/>
              </w:rPr>
              <w:t xml:space="preserve">3430,7</w:t>
            </w:r>
          </w:p>
        </w:tc>
        <w:tc>
          <w:tcPr>
            <w:tcW w:w="1361" w:type="dxa"/>
          </w:tcPr>
          <w:p>
            <w:pPr>
              <w:pStyle w:val="0"/>
              <w:jc w:val="center"/>
            </w:pPr>
            <w:r>
              <w:rPr>
                <w:sz w:val="20"/>
              </w:rPr>
              <w:t xml:space="preserve">3530,2</w:t>
            </w:r>
          </w:p>
        </w:tc>
        <w:tc>
          <w:tcPr>
            <w:tcW w:w="1361" w:type="dxa"/>
          </w:tcPr>
          <w:p>
            <w:pPr>
              <w:pStyle w:val="0"/>
              <w:jc w:val="center"/>
            </w:pPr>
            <w:r>
              <w:rPr>
                <w:sz w:val="20"/>
              </w:rPr>
              <w:t xml:space="preserve">3629,0</w:t>
            </w:r>
          </w:p>
        </w:tc>
        <w:tc>
          <w:tcPr>
            <w:tcW w:w="1361" w:type="dxa"/>
          </w:tcPr>
          <w:p>
            <w:pPr>
              <w:pStyle w:val="0"/>
              <w:jc w:val="center"/>
            </w:pPr>
            <w:r>
              <w:rPr>
                <w:sz w:val="20"/>
              </w:rPr>
              <w:t xml:space="preserve">3730,6</w:t>
            </w:r>
          </w:p>
        </w:tc>
        <w:tc>
          <w:tcPr>
            <w:tcW w:w="1531" w:type="dxa"/>
          </w:tcPr>
          <w:p>
            <w:pPr>
              <w:pStyle w:val="0"/>
              <w:jc w:val="center"/>
            </w:pPr>
            <w:r>
              <w:rPr>
                <w:sz w:val="20"/>
              </w:rPr>
              <w:t xml:space="preserve">29756,8</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2812,1</w:t>
            </w:r>
          </w:p>
        </w:tc>
        <w:tc>
          <w:tcPr>
            <w:tcW w:w="1417" w:type="dxa"/>
          </w:tcPr>
          <w:p>
            <w:pPr>
              <w:pStyle w:val="0"/>
              <w:jc w:val="center"/>
            </w:pPr>
            <w:r>
              <w:rPr>
                <w:sz w:val="20"/>
              </w:rPr>
              <w:t xml:space="preserve">2978,2</w:t>
            </w:r>
          </w:p>
        </w:tc>
        <w:tc>
          <w:tcPr>
            <w:tcW w:w="1417" w:type="dxa"/>
          </w:tcPr>
          <w:p>
            <w:pPr>
              <w:pStyle w:val="0"/>
              <w:jc w:val="center"/>
            </w:pPr>
            <w:r>
              <w:rPr>
                <w:sz w:val="20"/>
              </w:rPr>
              <w:t xml:space="preserve">3097,3</w:t>
            </w:r>
          </w:p>
        </w:tc>
        <w:tc>
          <w:tcPr>
            <w:tcW w:w="1474" w:type="dxa"/>
          </w:tcPr>
          <w:p>
            <w:pPr>
              <w:pStyle w:val="0"/>
              <w:jc w:val="center"/>
            </w:pPr>
            <w:r>
              <w:rPr>
                <w:sz w:val="20"/>
              </w:rPr>
              <w:t xml:space="preserve">3221,2</w:t>
            </w:r>
          </w:p>
        </w:tc>
        <w:tc>
          <w:tcPr>
            <w:tcW w:w="1531" w:type="dxa"/>
          </w:tcPr>
          <w:p>
            <w:pPr>
              <w:pStyle w:val="0"/>
              <w:jc w:val="center"/>
            </w:pPr>
            <w:r>
              <w:rPr>
                <w:sz w:val="20"/>
              </w:rPr>
              <w:t xml:space="preserve">3327,5</w:t>
            </w:r>
          </w:p>
        </w:tc>
        <w:tc>
          <w:tcPr>
            <w:tcW w:w="1474" w:type="dxa"/>
          </w:tcPr>
          <w:p>
            <w:pPr>
              <w:pStyle w:val="0"/>
              <w:jc w:val="center"/>
            </w:pPr>
            <w:r>
              <w:rPr>
                <w:sz w:val="20"/>
              </w:rPr>
              <w:t xml:space="preserve">3430,7</w:t>
            </w:r>
          </w:p>
        </w:tc>
        <w:tc>
          <w:tcPr>
            <w:tcW w:w="1361" w:type="dxa"/>
          </w:tcPr>
          <w:p>
            <w:pPr>
              <w:pStyle w:val="0"/>
              <w:jc w:val="center"/>
            </w:pPr>
            <w:r>
              <w:rPr>
                <w:sz w:val="20"/>
              </w:rPr>
              <w:t xml:space="preserve">3530,2</w:t>
            </w:r>
          </w:p>
        </w:tc>
        <w:tc>
          <w:tcPr>
            <w:tcW w:w="1361" w:type="dxa"/>
          </w:tcPr>
          <w:p>
            <w:pPr>
              <w:pStyle w:val="0"/>
              <w:jc w:val="center"/>
            </w:pPr>
            <w:r>
              <w:rPr>
                <w:sz w:val="20"/>
              </w:rPr>
              <w:t xml:space="preserve">3629,0</w:t>
            </w:r>
          </w:p>
        </w:tc>
        <w:tc>
          <w:tcPr>
            <w:tcW w:w="1361" w:type="dxa"/>
          </w:tcPr>
          <w:p>
            <w:pPr>
              <w:pStyle w:val="0"/>
              <w:jc w:val="center"/>
            </w:pPr>
            <w:r>
              <w:rPr>
                <w:sz w:val="20"/>
              </w:rPr>
              <w:t xml:space="preserve">3730,6</w:t>
            </w:r>
          </w:p>
        </w:tc>
        <w:tc>
          <w:tcPr>
            <w:tcW w:w="1531" w:type="dxa"/>
          </w:tcPr>
          <w:p>
            <w:pPr>
              <w:pStyle w:val="0"/>
              <w:jc w:val="center"/>
            </w:pPr>
            <w:r>
              <w:rPr>
                <w:sz w:val="20"/>
              </w:rPr>
              <w:t xml:space="preserve">29756,8</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2.8. Иные мероприятия, направленные на развитие здравоохранения в г. Севастополе, в том числе:</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136097,0</w:t>
            </w:r>
          </w:p>
        </w:tc>
        <w:tc>
          <w:tcPr>
            <w:tcW w:w="1417" w:type="dxa"/>
          </w:tcPr>
          <w:p>
            <w:pPr>
              <w:pStyle w:val="0"/>
              <w:jc w:val="center"/>
            </w:pPr>
            <w:r>
              <w:rPr>
                <w:sz w:val="20"/>
              </w:rPr>
              <w:t xml:space="preserve">95018,4</w:t>
            </w:r>
          </w:p>
        </w:tc>
        <w:tc>
          <w:tcPr>
            <w:tcW w:w="1417" w:type="dxa"/>
          </w:tcPr>
          <w:p>
            <w:pPr>
              <w:pStyle w:val="0"/>
              <w:jc w:val="center"/>
            </w:pPr>
            <w:r>
              <w:rPr>
                <w:sz w:val="20"/>
              </w:rPr>
              <w:t xml:space="preserve">32656,0</w:t>
            </w:r>
          </w:p>
        </w:tc>
        <w:tc>
          <w:tcPr>
            <w:tcW w:w="1474" w:type="dxa"/>
          </w:tcPr>
          <w:p>
            <w:pPr>
              <w:pStyle w:val="0"/>
              <w:jc w:val="center"/>
            </w:pPr>
            <w:r>
              <w:rPr>
                <w:sz w:val="20"/>
              </w:rPr>
              <w:t xml:space="preserve">290049,8</w:t>
            </w:r>
          </w:p>
        </w:tc>
        <w:tc>
          <w:tcPr>
            <w:tcW w:w="1531" w:type="dxa"/>
          </w:tcPr>
          <w:p>
            <w:pPr>
              <w:pStyle w:val="0"/>
              <w:jc w:val="center"/>
            </w:pPr>
            <w:r>
              <w:rPr>
                <w:sz w:val="20"/>
              </w:rPr>
              <w:t xml:space="preserve">1109720,2</w:t>
            </w:r>
          </w:p>
        </w:tc>
        <w:tc>
          <w:tcPr>
            <w:tcW w:w="1474" w:type="dxa"/>
          </w:tcPr>
          <w:p>
            <w:pPr>
              <w:pStyle w:val="0"/>
              <w:jc w:val="center"/>
            </w:pPr>
            <w:r>
              <w:rPr>
                <w:sz w:val="20"/>
              </w:rPr>
              <w:t xml:space="preserve">1083295,8</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2746837,2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129294,6</w:t>
            </w:r>
          </w:p>
        </w:tc>
        <w:tc>
          <w:tcPr>
            <w:tcW w:w="1417" w:type="dxa"/>
          </w:tcPr>
          <w:p>
            <w:pPr>
              <w:pStyle w:val="0"/>
              <w:jc w:val="center"/>
            </w:pPr>
            <w:r>
              <w:rPr>
                <w:sz w:val="20"/>
              </w:rPr>
              <w:t xml:space="preserve">90266,7</w:t>
            </w:r>
          </w:p>
        </w:tc>
        <w:tc>
          <w:tcPr>
            <w:tcW w:w="1417" w:type="dxa"/>
          </w:tcPr>
          <w:p>
            <w:pPr>
              <w:pStyle w:val="0"/>
              <w:jc w:val="center"/>
            </w:pPr>
            <w:r>
              <w:rPr>
                <w:sz w:val="20"/>
              </w:rPr>
              <w:t xml:space="preserve">31023,0</w:t>
            </w:r>
          </w:p>
        </w:tc>
        <w:tc>
          <w:tcPr>
            <w:tcW w:w="1474" w:type="dxa"/>
          </w:tcPr>
          <w:p>
            <w:pPr>
              <w:pStyle w:val="0"/>
              <w:jc w:val="center"/>
            </w:pPr>
            <w:r>
              <w:rPr>
                <w:sz w:val="20"/>
              </w:rPr>
              <w:t xml:space="preserve">269750,2</w:t>
            </w:r>
          </w:p>
        </w:tc>
        <w:tc>
          <w:tcPr>
            <w:tcW w:w="1531" w:type="dxa"/>
          </w:tcPr>
          <w:p>
            <w:pPr>
              <w:pStyle w:val="0"/>
              <w:jc w:val="center"/>
            </w:pPr>
            <w:r>
              <w:rPr>
                <w:sz w:val="20"/>
              </w:rPr>
              <w:t xml:space="preserve">1032040,4</w:t>
            </w:r>
          </w:p>
        </w:tc>
        <w:tc>
          <w:tcPr>
            <w:tcW w:w="1474" w:type="dxa"/>
          </w:tcPr>
          <w:p>
            <w:pPr>
              <w:pStyle w:val="0"/>
              <w:jc w:val="center"/>
            </w:pPr>
            <w:r>
              <w:rPr>
                <w:sz w:val="20"/>
              </w:rPr>
              <w:t xml:space="preserve">976248,0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2528622,9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6802,4</w:t>
            </w:r>
          </w:p>
        </w:tc>
        <w:tc>
          <w:tcPr>
            <w:tcW w:w="1417" w:type="dxa"/>
          </w:tcPr>
          <w:p>
            <w:pPr>
              <w:pStyle w:val="0"/>
              <w:jc w:val="center"/>
            </w:pPr>
            <w:r>
              <w:rPr>
                <w:sz w:val="20"/>
              </w:rPr>
              <w:t xml:space="preserve">4751,7</w:t>
            </w:r>
          </w:p>
        </w:tc>
        <w:tc>
          <w:tcPr>
            <w:tcW w:w="1417" w:type="dxa"/>
          </w:tcPr>
          <w:p>
            <w:pPr>
              <w:pStyle w:val="0"/>
              <w:jc w:val="center"/>
            </w:pPr>
            <w:r>
              <w:rPr>
                <w:sz w:val="20"/>
              </w:rPr>
              <w:t xml:space="preserve">1633,0</w:t>
            </w:r>
          </w:p>
        </w:tc>
        <w:tc>
          <w:tcPr>
            <w:tcW w:w="1474" w:type="dxa"/>
          </w:tcPr>
          <w:p>
            <w:pPr>
              <w:pStyle w:val="0"/>
              <w:jc w:val="center"/>
            </w:pPr>
            <w:r>
              <w:rPr>
                <w:sz w:val="20"/>
              </w:rPr>
              <w:t xml:space="preserve">20299,6</w:t>
            </w:r>
          </w:p>
        </w:tc>
        <w:tc>
          <w:tcPr>
            <w:tcW w:w="1531" w:type="dxa"/>
          </w:tcPr>
          <w:p>
            <w:pPr>
              <w:pStyle w:val="0"/>
              <w:jc w:val="center"/>
            </w:pPr>
            <w:r>
              <w:rPr>
                <w:sz w:val="20"/>
              </w:rPr>
              <w:t xml:space="preserve">77679,8</w:t>
            </w:r>
          </w:p>
        </w:tc>
        <w:tc>
          <w:tcPr>
            <w:tcW w:w="1474" w:type="dxa"/>
          </w:tcPr>
          <w:p>
            <w:pPr>
              <w:pStyle w:val="0"/>
              <w:jc w:val="center"/>
            </w:pPr>
            <w:r>
              <w:rPr>
                <w:sz w:val="20"/>
              </w:rPr>
              <w:t xml:space="preserve">107047,8</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218214,3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6802,4</w:t>
            </w:r>
          </w:p>
        </w:tc>
        <w:tc>
          <w:tcPr>
            <w:tcW w:w="1417" w:type="dxa"/>
          </w:tcPr>
          <w:p>
            <w:pPr>
              <w:pStyle w:val="0"/>
              <w:jc w:val="center"/>
            </w:pPr>
            <w:r>
              <w:rPr>
                <w:sz w:val="20"/>
              </w:rPr>
              <w:t xml:space="preserve">4751,7</w:t>
            </w:r>
          </w:p>
        </w:tc>
        <w:tc>
          <w:tcPr>
            <w:tcW w:w="1417" w:type="dxa"/>
          </w:tcPr>
          <w:p>
            <w:pPr>
              <w:pStyle w:val="0"/>
              <w:jc w:val="center"/>
            </w:pPr>
            <w:r>
              <w:rPr>
                <w:sz w:val="20"/>
              </w:rPr>
              <w:t xml:space="preserve">1633,0</w:t>
            </w:r>
          </w:p>
        </w:tc>
        <w:tc>
          <w:tcPr>
            <w:tcW w:w="1474" w:type="dxa"/>
          </w:tcPr>
          <w:p>
            <w:pPr>
              <w:pStyle w:val="0"/>
              <w:jc w:val="center"/>
            </w:pPr>
            <w:r>
              <w:rPr>
                <w:sz w:val="20"/>
              </w:rPr>
              <w:t xml:space="preserve">20299,6</w:t>
            </w:r>
          </w:p>
        </w:tc>
        <w:tc>
          <w:tcPr>
            <w:tcW w:w="1531" w:type="dxa"/>
          </w:tcPr>
          <w:p>
            <w:pPr>
              <w:pStyle w:val="0"/>
              <w:jc w:val="center"/>
            </w:pPr>
            <w:r>
              <w:rPr>
                <w:sz w:val="20"/>
              </w:rPr>
              <w:t xml:space="preserve">77679,8</w:t>
            </w:r>
          </w:p>
        </w:tc>
        <w:tc>
          <w:tcPr>
            <w:tcW w:w="1474" w:type="dxa"/>
          </w:tcPr>
          <w:p>
            <w:pPr>
              <w:pStyle w:val="0"/>
              <w:jc w:val="center"/>
            </w:pPr>
            <w:r>
              <w:rPr>
                <w:sz w:val="20"/>
              </w:rPr>
              <w:t xml:space="preserve">73476,0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184642,5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33571,8</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33571,8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49"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2.8.1. Строительство подстанции N 1 ГБУЗС "Севастопольский центр экстренной медицинской помощи и медицины катастроф", пр-т Победы</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76197,0</w:t>
            </w:r>
          </w:p>
        </w:tc>
        <w:tc>
          <w:tcPr>
            <w:tcW w:w="1417" w:type="dxa"/>
          </w:tcPr>
          <w:p>
            <w:pPr>
              <w:pStyle w:val="0"/>
              <w:jc w:val="center"/>
            </w:pPr>
            <w:r>
              <w:rPr>
                <w:sz w:val="20"/>
              </w:rPr>
              <w:t xml:space="preserve">91000,0</w:t>
            </w:r>
          </w:p>
        </w:tc>
        <w:tc>
          <w:tcPr>
            <w:tcW w:w="1417" w:type="dxa"/>
          </w:tcPr>
          <w:p>
            <w:pPr>
              <w:pStyle w:val="0"/>
              <w:jc w:val="center"/>
            </w:pPr>
            <w:r>
              <w:rPr>
                <w:sz w:val="20"/>
              </w:rPr>
              <w:t xml:space="preserve">32656,0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33571,8</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233424,8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72389,6</w:t>
            </w:r>
          </w:p>
        </w:tc>
        <w:tc>
          <w:tcPr>
            <w:tcW w:w="1417" w:type="dxa"/>
          </w:tcPr>
          <w:p>
            <w:pPr>
              <w:pStyle w:val="0"/>
              <w:jc w:val="center"/>
            </w:pPr>
            <w:r>
              <w:rPr>
                <w:sz w:val="20"/>
              </w:rPr>
              <w:t xml:space="preserve">86449,3</w:t>
            </w:r>
          </w:p>
        </w:tc>
        <w:tc>
          <w:tcPr>
            <w:tcW w:w="1417" w:type="dxa"/>
          </w:tcPr>
          <w:p>
            <w:pPr>
              <w:pStyle w:val="0"/>
              <w:jc w:val="center"/>
            </w:pPr>
            <w:r>
              <w:rPr>
                <w:sz w:val="20"/>
              </w:rPr>
              <w:t xml:space="preserve">31023,0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189861,9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3807,4</w:t>
            </w:r>
          </w:p>
        </w:tc>
        <w:tc>
          <w:tcPr>
            <w:tcW w:w="1417" w:type="dxa"/>
          </w:tcPr>
          <w:p>
            <w:pPr>
              <w:pStyle w:val="0"/>
              <w:jc w:val="center"/>
            </w:pPr>
            <w:r>
              <w:rPr>
                <w:sz w:val="20"/>
              </w:rPr>
              <w:t xml:space="preserve">4550,7</w:t>
            </w:r>
          </w:p>
        </w:tc>
        <w:tc>
          <w:tcPr>
            <w:tcW w:w="1417" w:type="dxa"/>
          </w:tcPr>
          <w:p>
            <w:pPr>
              <w:pStyle w:val="0"/>
              <w:jc w:val="center"/>
            </w:pPr>
            <w:r>
              <w:rPr>
                <w:sz w:val="20"/>
              </w:rPr>
              <w:t xml:space="preserve">1633,0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33571,8</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43562,9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3807,4</w:t>
            </w:r>
          </w:p>
        </w:tc>
        <w:tc>
          <w:tcPr>
            <w:tcW w:w="1417" w:type="dxa"/>
          </w:tcPr>
          <w:p>
            <w:pPr>
              <w:pStyle w:val="0"/>
              <w:jc w:val="center"/>
            </w:pPr>
            <w:r>
              <w:rPr>
                <w:sz w:val="20"/>
              </w:rPr>
              <w:t xml:space="preserve">4550,7</w:t>
            </w:r>
          </w:p>
        </w:tc>
        <w:tc>
          <w:tcPr>
            <w:tcW w:w="1417" w:type="dxa"/>
          </w:tcPr>
          <w:p>
            <w:pPr>
              <w:pStyle w:val="0"/>
              <w:jc w:val="center"/>
            </w:pPr>
            <w:r>
              <w:rPr>
                <w:sz w:val="20"/>
              </w:rPr>
              <w:t xml:space="preserve">1633,0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9991,1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33571,8</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33571,8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50"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2.8.2. ГБУЗС "Городская больница N 4", строительство палатного корпуса на 140 коек</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59900,0</w:t>
            </w:r>
          </w:p>
        </w:tc>
        <w:tc>
          <w:tcPr>
            <w:tcW w:w="1417" w:type="dxa"/>
          </w:tcPr>
          <w:p>
            <w:pPr>
              <w:pStyle w:val="0"/>
              <w:jc w:val="center"/>
            </w:pPr>
            <w:r>
              <w:rPr>
                <w:sz w:val="20"/>
              </w:rPr>
              <w:t xml:space="preserve">4018,4</w:t>
            </w:r>
          </w:p>
        </w:tc>
        <w:tc>
          <w:tcPr>
            <w:tcW w:w="1417" w:type="dxa"/>
          </w:tcPr>
          <w:p>
            <w:pPr>
              <w:pStyle w:val="0"/>
              <w:jc w:val="center"/>
            </w:pPr>
            <w:r>
              <w:rPr>
                <w:sz w:val="20"/>
              </w:rPr>
              <w:t xml:space="preserve">0,0</w:t>
            </w:r>
          </w:p>
        </w:tc>
        <w:tc>
          <w:tcPr>
            <w:tcW w:w="1474" w:type="dxa"/>
          </w:tcPr>
          <w:p>
            <w:pPr>
              <w:pStyle w:val="0"/>
              <w:jc w:val="center"/>
            </w:pPr>
            <w:r>
              <w:rPr>
                <w:sz w:val="20"/>
              </w:rPr>
              <w:t xml:space="preserve">290049,8</w:t>
            </w:r>
          </w:p>
        </w:tc>
        <w:tc>
          <w:tcPr>
            <w:tcW w:w="1531" w:type="dxa"/>
          </w:tcPr>
          <w:p>
            <w:pPr>
              <w:pStyle w:val="0"/>
              <w:jc w:val="center"/>
            </w:pPr>
            <w:r>
              <w:rPr>
                <w:sz w:val="20"/>
              </w:rPr>
              <w:t xml:space="preserve">1109720,2</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1463688,4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56905,0</w:t>
            </w:r>
          </w:p>
        </w:tc>
        <w:tc>
          <w:tcPr>
            <w:tcW w:w="1417" w:type="dxa"/>
          </w:tcPr>
          <w:p>
            <w:pPr>
              <w:pStyle w:val="0"/>
              <w:jc w:val="center"/>
            </w:pPr>
            <w:r>
              <w:rPr>
                <w:sz w:val="20"/>
              </w:rPr>
              <w:t xml:space="preserve">3817,4</w:t>
            </w:r>
          </w:p>
        </w:tc>
        <w:tc>
          <w:tcPr>
            <w:tcW w:w="1417" w:type="dxa"/>
          </w:tcPr>
          <w:p>
            <w:pPr>
              <w:pStyle w:val="0"/>
              <w:jc w:val="center"/>
            </w:pPr>
            <w:r>
              <w:rPr>
                <w:sz w:val="20"/>
              </w:rPr>
              <w:t xml:space="preserve">0,0</w:t>
            </w:r>
          </w:p>
        </w:tc>
        <w:tc>
          <w:tcPr>
            <w:tcW w:w="1474" w:type="dxa"/>
          </w:tcPr>
          <w:p>
            <w:pPr>
              <w:pStyle w:val="0"/>
              <w:jc w:val="center"/>
            </w:pPr>
            <w:r>
              <w:rPr>
                <w:sz w:val="20"/>
              </w:rPr>
              <w:t xml:space="preserve">269750,2</w:t>
            </w:r>
          </w:p>
        </w:tc>
        <w:tc>
          <w:tcPr>
            <w:tcW w:w="1531" w:type="dxa"/>
          </w:tcPr>
          <w:p>
            <w:pPr>
              <w:pStyle w:val="0"/>
              <w:jc w:val="center"/>
            </w:pPr>
            <w:r>
              <w:rPr>
                <w:sz w:val="20"/>
              </w:rPr>
              <w:t xml:space="preserve">1032040,4</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1362513,0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2995,0</w:t>
            </w:r>
          </w:p>
        </w:tc>
        <w:tc>
          <w:tcPr>
            <w:tcW w:w="1417" w:type="dxa"/>
          </w:tcPr>
          <w:p>
            <w:pPr>
              <w:pStyle w:val="0"/>
              <w:jc w:val="center"/>
            </w:pPr>
            <w:r>
              <w:rPr>
                <w:sz w:val="20"/>
              </w:rPr>
              <w:t xml:space="preserve">201,0</w:t>
            </w:r>
          </w:p>
        </w:tc>
        <w:tc>
          <w:tcPr>
            <w:tcW w:w="1417" w:type="dxa"/>
          </w:tcPr>
          <w:p>
            <w:pPr>
              <w:pStyle w:val="0"/>
              <w:jc w:val="center"/>
            </w:pPr>
            <w:r>
              <w:rPr>
                <w:sz w:val="20"/>
              </w:rPr>
              <w:t xml:space="preserve">0,0</w:t>
            </w:r>
          </w:p>
        </w:tc>
        <w:tc>
          <w:tcPr>
            <w:tcW w:w="1474" w:type="dxa"/>
          </w:tcPr>
          <w:p>
            <w:pPr>
              <w:pStyle w:val="0"/>
              <w:jc w:val="center"/>
            </w:pPr>
            <w:r>
              <w:rPr>
                <w:sz w:val="20"/>
              </w:rPr>
              <w:t xml:space="preserve">20299,6</w:t>
            </w:r>
          </w:p>
        </w:tc>
        <w:tc>
          <w:tcPr>
            <w:tcW w:w="1531" w:type="dxa"/>
          </w:tcPr>
          <w:p>
            <w:pPr>
              <w:pStyle w:val="0"/>
              <w:jc w:val="center"/>
            </w:pPr>
            <w:r>
              <w:rPr>
                <w:sz w:val="20"/>
              </w:rPr>
              <w:t xml:space="preserve">77679,8</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101175,4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2995,0</w:t>
            </w:r>
          </w:p>
        </w:tc>
        <w:tc>
          <w:tcPr>
            <w:tcW w:w="1417" w:type="dxa"/>
          </w:tcPr>
          <w:p>
            <w:pPr>
              <w:pStyle w:val="0"/>
              <w:jc w:val="center"/>
            </w:pPr>
            <w:r>
              <w:rPr>
                <w:sz w:val="20"/>
              </w:rPr>
              <w:t xml:space="preserve">201,0</w:t>
            </w:r>
          </w:p>
        </w:tc>
        <w:tc>
          <w:tcPr>
            <w:tcW w:w="1417" w:type="dxa"/>
          </w:tcPr>
          <w:p>
            <w:pPr>
              <w:pStyle w:val="0"/>
              <w:jc w:val="center"/>
            </w:pPr>
            <w:r>
              <w:rPr>
                <w:sz w:val="20"/>
              </w:rPr>
              <w:t xml:space="preserve">0,0</w:t>
            </w:r>
          </w:p>
        </w:tc>
        <w:tc>
          <w:tcPr>
            <w:tcW w:w="1474" w:type="dxa"/>
          </w:tcPr>
          <w:p>
            <w:pPr>
              <w:pStyle w:val="0"/>
              <w:jc w:val="center"/>
            </w:pPr>
            <w:r>
              <w:rPr>
                <w:sz w:val="20"/>
              </w:rPr>
              <w:t xml:space="preserve">20299,6</w:t>
            </w:r>
          </w:p>
        </w:tc>
        <w:tc>
          <w:tcPr>
            <w:tcW w:w="1531" w:type="dxa"/>
          </w:tcPr>
          <w:p>
            <w:pPr>
              <w:pStyle w:val="0"/>
              <w:jc w:val="center"/>
            </w:pPr>
            <w:r>
              <w:rPr>
                <w:sz w:val="20"/>
              </w:rPr>
              <w:t xml:space="preserve">77679,8</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101175,4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51"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3458" w:type="dxa"/>
            <w:vMerge w:val="restart"/>
          </w:tcPr>
          <w:p>
            <w:pPr>
              <w:pStyle w:val="0"/>
              <w:jc w:val="both"/>
            </w:pPr>
            <w:r>
              <w:rPr>
                <w:sz w:val="20"/>
              </w:rPr>
              <w:t xml:space="preserve">2.8.3. Строительство подстанции N 2 ГБУЗС "Севастопольский центр экстренной медицинской помощи и медицины катастроф", пр-т Генерала Острякова</w:t>
            </w:r>
          </w:p>
        </w:tc>
        <w:tc>
          <w:tcPr>
            <w:tcW w:w="2041" w:type="dxa"/>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 &lt;4&gt;</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0,0 &lt;4&gt;</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2.8.4. Строительство подстанции N 10 ГБУЗС "Севастопольский центр экстренной медицинской помощи и медицины катастроф", Фиолентовское шоссе</w:t>
            </w:r>
          </w:p>
        </w:tc>
        <w:tc>
          <w:tcPr>
            <w:tcW w:w="2041" w:type="dxa"/>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 &lt;5&gt;</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0,0 &lt;5&gt;</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2.8.5. Строительство патолого-анатомического корпуса ГБУЗС "Городская больница N 1 им. Н.И. Пирогова"</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1049724,0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1049724,0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976248,0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976248,0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73476,0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73476,0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73476,0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73476,0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52"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3458" w:type="dxa"/>
            <w:vMerge w:val="restart"/>
          </w:tcPr>
          <w:p>
            <w:pPr>
              <w:pStyle w:val="0"/>
              <w:jc w:val="both"/>
            </w:pPr>
            <w:r>
              <w:rPr>
                <w:sz w:val="20"/>
              </w:rPr>
              <w:t xml:space="preserve">2.9. Развитие паллиативной медицинской помощи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15790,1</w:t>
            </w:r>
          </w:p>
        </w:tc>
        <w:tc>
          <w:tcPr>
            <w:tcW w:w="1417" w:type="dxa"/>
          </w:tcPr>
          <w:p>
            <w:pPr>
              <w:pStyle w:val="0"/>
              <w:jc w:val="center"/>
            </w:pPr>
            <w:r>
              <w:rPr>
                <w:sz w:val="20"/>
              </w:rPr>
              <w:t xml:space="preserve">15714,4</w:t>
            </w:r>
          </w:p>
        </w:tc>
        <w:tc>
          <w:tcPr>
            <w:tcW w:w="1417" w:type="dxa"/>
          </w:tcPr>
          <w:p>
            <w:pPr>
              <w:pStyle w:val="0"/>
              <w:jc w:val="center"/>
            </w:pPr>
            <w:r>
              <w:rPr>
                <w:sz w:val="20"/>
              </w:rPr>
              <w:t xml:space="preserve">15714,4</w:t>
            </w:r>
          </w:p>
        </w:tc>
        <w:tc>
          <w:tcPr>
            <w:tcW w:w="1474" w:type="dxa"/>
          </w:tcPr>
          <w:p>
            <w:pPr>
              <w:pStyle w:val="0"/>
              <w:jc w:val="center"/>
            </w:pPr>
            <w:r>
              <w:rPr>
                <w:sz w:val="20"/>
              </w:rPr>
              <w:t xml:space="preserve">15748,2</w:t>
            </w:r>
          </w:p>
        </w:tc>
        <w:tc>
          <w:tcPr>
            <w:tcW w:w="1531" w:type="dxa"/>
          </w:tcPr>
          <w:p>
            <w:pPr>
              <w:pStyle w:val="0"/>
              <w:jc w:val="center"/>
            </w:pPr>
            <w:r>
              <w:rPr>
                <w:sz w:val="20"/>
              </w:rPr>
              <w:t xml:space="preserve">16267,9</w:t>
            </w:r>
          </w:p>
        </w:tc>
        <w:tc>
          <w:tcPr>
            <w:tcW w:w="1474" w:type="dxa"/>
          </w:tcPr>
          <w:p>
            <w:pPr>
              <w:pStyle w:val="0"/>
              <w:jc w:val="center"/>
            </w:pPr>
            <w:r>
              <w:rPr>
                <w:sz w:val="20"/>
              </w:rPr>
              <w:t xml:space="preserve">16772,2</w:t>
            </w:r>
          </w:p>
        </w:tc>
        <w:tc>
          <w:tcPr>
            <w:tcW w:w="1361" w:type="dxa"/>
          </w:tcPr>
          <w:p>
            <w:pPr>
              <w:pStyle w:val="0"/>
              <w:jc w:val="center"/>
            </w:pPr>
            <w:r>
              <w:rPr>
                <w:sz w:val="20"/>
              </w:rPr>
              <w:t xml:space="preserve">17258,5</w:t>
            </w:r>
          </w:p>
        </w:tc>
        <w:tc>
          <w:tcPr>
            <w:tcW w:w="1361" w:type="dxa"/>
          </w:tcPr>
          <w:p>
            <w:pPr>
              <w:pStyle w:val="0"/>
              <w:jc w:val="center"/>
            </w:pPr>
            <w:r>
              <w:rPr>
                <w:sz w:val="20"/>
              </w:rPr>
              <w:t xml:space="preserve">17741,7</w:t>
            </w:r>
          </w:p>
        </w:tc>
        <w:tc>
          <w:tcPr>
            <w:tcW w:w="1361" w:type="dxa"/>
          </w:tcPr>
          <w:p>
            <w:pPr>
              <w:pStyle w:val="0"/>
              <w:jc w:val="center"/>
            </w:pPr>
            <w:r>
              <w:rPr>
                <w:sz w:val="20"/>
              </w:rPr>
              <w:t xml:space="preserve">18238,5</w:t>
            </w:r>
          </w:p>
        </w:tc>
        <w:tc>
          <w:tcPr>
            <w:tcW w:w="1531" w:type="dxa"/>
          </w:tcPr>
          <w:p>
            <w:pPr>
              <w:pStyle w:val="0"/>
              <w:jc w:val="center"/>
            </w:pPr>
            <w:r>
              <w:rPr>
                <w:sz w:val="20"/>
              </w:rPr>
              <w:t xml:space="preserve">149245,9</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15000,6</w:t>
            </w:r>
          </w:p>
        </w:tc>
        <w:tc>
          <w:tcPr>
            <w:tcW w:w="1417" w:type="dxa"/>
          </w:tcPr>
          <w:p>
            <w:pPr>
              <w:pStyle w:val="0"/>
              <w:jc w:val="center"/>
            </w:pPr>
            <w:r>
              <w:rPr>
                <w:sz w:val="20"/>
              </w:rPr>
              <w:t xml:space="preserve">14928,7</w:t>
            </w:r>
          </w:p>
        </w:tc>
        <w:tc>
          <w:tcPr>
            <w:tcW w:w="1417" w:type="dxa"/>
          </w:tcPr>
          <w:p>
            <w:pPr>
              <w:pStyle w:val="0"/>
              <w:jc w:val="center"/>
            </w:pPr>
            <w:r>
              <w:rPr>
                <w:sz w:val="20"/>
              </w:rPr>
              <w:t xml:space="preserve">14928,7</w:t>
            </w:r>
          </w:p>
        </w:tc>
        <w:tc>
          <w:tcPr>
            <w:tcW w:w="1474" w:type="dxa"/>
          </w:tcPr>
          <w:p>
            <w:pPr>
              <w:pStyle w:val="0"/>
              <w:jc w:val="center"/>
            </w:pPr>
            <w:r>
              <w:rPr>
                <w:sz w:val="20"/>
              </w:rPr>
              <w:t xml:space="preserve">14645,8</w:t>
            </w:r>
          </w:p>
        </w:tc>
        <w:tc>
          <w:tcPr>
            <w:tcW w:w="1531" w:type="dxa"/>
          </w:tcPr>
          <w:p>
            <w:pPr>
              <w:pStyle w:val="0"/>
              <w:jc w:val="center"/>
            </w:pPr>
            <w:r>
              <w:rPr>
                <w:sz w:val="20"/>
              </w:rPr>
              <w:t xml:space="preserve">15129,1</w:t>
            </w:r>
          </w:p>
        </w:tc>
        <w:tc>
          <w:tcPr>
            <w:tcW w:w="1474" w:type="dxa"/>
          </w:tcPr>
          <w:p>
            <w:pPr>
              <w:pStyle w:val="0"/>
              <w:jc w:val="center"/>
            </w:pPr>
            <w:r>
              <w:rPr>
                <w:sz w:val="20"/>
              </w:rPr>
              <w:t xml:space="preserve">15598,1</w:t>
            </w:r>
          </w:p>
        </w:tc>
        <w:tc>
          <w:tcPr>
            <w:tcW w:w="1361" w:type="dxa"/>
          </w:tcPr>
          <w:p>
            <w:pPr>
              <w:pStyle w:val="0"/>
              <w:jc w:val="center"/>
            </w:pPr>
            <w:r>
              <w:rPr>
                <w:sz w:val="20"/>
              </w:rPr>
              <w:t xml:space="preserve">16050,4</w:t>
            </w:r>
          </w:p>
        </w:tc>
        <w:tc>
          <w:tcPr>
            <w:tcW w:w="1361" w:type="dxa"/>
          </w:tcPr>
          <w:p>
            <w:pPr>
              <w:pStyle w:val="0"/>
              <w:jc w:val="center"/>
            </w:pPr>
            <w:r>
              <w:rPr>
                <w:sz w:val="20"/>
              </w:rPr>
              <w:t xml:space="preserve">16499,8</w:t>
            </w:r>
          </w:p>
        </w:tc>
        <w:tc>
          <w:tcPr>
            <w:tcW w:w="1361" w:type="dxa"/>
          </w:tcPr>
          <w:p>
            <w:pPr>
              <w:pStyle w:val="0"/>
              <w:jc w:val="center"/>
            </w:pPr>
            <w:r>
              <w:rPr>
                <w:sz w:val="20"/>
              </w:rPr>
              <w:t xml:space="preserve">16961,8</w:t>
            </w:r>
          </w:p>
        </w:tc>
        <w:tc>
          <w:tcPr>
            <w:tcW w:w="1531" w:type="dxa"/>
          </w:tcPr>
          <w:p>
            <w:pPr>
              <w:pStyle w:val="0"/>
              <w:jc w:val="center"/>
            </w:pPr>
            <w:r>
              <w:rPr>
                <w:sz w:val="20"/>
              </w:rPr>
              <w:t xml:space="preserve">139743,0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789,5</w:t>
            </w:r>
          </w:p>
        </w:tc>
        <w:tc>
          <w:tcPr>
            <w:tcW w:w="1417" w:type="dxa"/>
          </w:tcPr>
          <w:p>
            <w:pPr>
              <w:pStyle w:val="0"/>
              <w:jc w:val="center"/>
            </w:pPr>
            <w:r>
              <w:rPr>
                <w:sz w:val="20"/>
              </w:rPr>
              <w:t xml:space="preserve">785,7</w:t>
            </w:r>
          </w:p>
        </w:tc>
        <w:tc>
          <w:tcPr>
            <w:tcW w:w="1417" w:type="dxa"/>
          </w:tcPr>
          <w:p>
            <w:pPr>
              <w:pStyle w:val="0"/>
              <w:jc w:val="center"/>
            </w:pPr>
            <w:r>
              <w:rPr>
                <w:sz w:val="20"/>
              </w:rPr>
              <w:t xml:space="preserve">785,7</w:t>
            </w:r>
          </w:p>
        </w:tc>
        <w:tc>
          <w:tcPr>
            <w:tcW w:w="1474" w:type="dxa"/>
          </w:tcPr>
          <w:p>
            <w:pPr>
              <w:pStyle w:val="0"/>
              <w:jc w:val="center"/>
            </w:pPr>
            <w:r>
              <w:rPr>
                <w:sz w:val="20"/>
              </w:rPr>
              <w:t xml:space="preserve">1102,4</w:t>
            </w:r>
          </w:p>
        </w:tc>
        <w:tc>
          <w:tcPr>
            <w:tcW w:w="1531" w:type="dxa"/>
          </w:tcPr>
          <w:p>
            <w:pPr>
              <w:pStyle w:val="0"/>
              <w:jc w:val="center"/>
            </w:pPr>
            <w:r>
              <w:rPr>
                <w:sz w:val="20"/>
              </w:rPr>
              <w:t xml:space="preserve">1138,8</w:t>
            </w:r>
          </w:p>
        </w:tc>
        <w:tc>
          <w:tcPr>
            <w:tcW w:w="1474" w:type="dxa"/>
          </w:tcPr>
          <w:p>
            <w:pPr>
              <w:pStyle w:val="0"/>
              <w:jc w:val="center"/>
            </w:pPr>
            <w:r>
              <w:rPr>
                <w:sz w:val="20"/>
              </w:rPr>
              <w:t xml:space="preserve">1174,1</w:t>
            </w:r>
          </w:p>
        </w:tc>
        <w:tc>
          <w:tcPr>
            <w:tcW w:w="1361" w:type="dxa"/>
          </w:tcPr>
          <w:p>
            <w:pPr>
              <w:pStyle w:val="0"/>
              <w:jc w:val="center"/>
            </w:pPr>
            <w:r>
              <w:rPr>
                <w:sz w:val="20"/>
              </w:rPr>
              <w:t xml:space="preserve">1208,1</w:t>
            </w:r>
          </w:p>
        </w:tc>
        <w:tc>
          <w:tcPr>
            <w:tcW w:w="1361" w:type="dxa"/>
          </w:tcPr>
          <w:p>
            <w:pPr>
              <w:pStyle w:val="0"/>
              <w:jc w:val="center"/>
            </w:pPr>
            <w:r>
              <w:rPr>
                <w:sz w:val="20"/>
              </w:rPr>
              <w:t xml:space="preserve">1241,9</w:t>
            </w:r>
          </w:p>
        </w:tc>
        <w:tc>
          <w:tcPr>
            <w:tcW w:w="1361" w:type="dxa"/>
          </w:tcPr>
          <w:p>
            <w:pPr>
              <w:pStyle w:val="0"/>
              <w:jc w:val="center"/>
            </w:pPr>
            <w:r>
              <w:rPr>
                <w:sz w:val="20"/>
              </w:rPr>
              <w:t xml:space="preserve">1276,7</w:t>
            </w:r>
          </w:p>
        </w:tc>
        <w:tc>
          <w:tcPr>
            <w:tcW w:w="1531" w:type="dxa"/>
          </w:tcPr>
          <w:p>
            <w:pPr>
              <w:pStyle w:val="0"/>
              <w:jc w:val="center"/>
            </w:pPr>
            <w:r>
              <w:rPr>
                <w:sz w:val="20"/>
              </w:rPr>
              <w:t xml:space="preserve">9502,9</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2.10. Обязательное медицинское страхование неработающего населения города Севастополя</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2168386,4</w:t>
            </w:r>
          </w:p>
        </w:tc>
        <w:tc>
          <w:tcPr>
            <w:tcW w:w="1417" w:type="dxa"/>
          </w:tcPr>
          <w:p>
            <w:pPr>
              <w:pStyle w:val="0"/>
              <w:jc w:val="center"/>
            </w:pPr>
            <w:r>
              <w:rPr>
                <w:sz w:val="20"/>
              </w:rPr>
              <w:t xml:space="preserve">2303438,9</w:t>
            </w:r>
          </w:p>
        </w:tc>
        <w:tc>
          <w:tcPr>
            <w:tcW w:w="1417" w:type="dxa"/>
          </w:tcPr>
          <w:p>
            <w:pPr>
              <w:pStyle w:val="0"/>
              <w:jc w:val="center"/>
            </w:pPr>
            <w:r>
              <w:rPr>
                <w:sz w:val="20"/>
              </w:rPr>
              <w:t xml:space="preserve">2472077,4</w:t>
            </w:r>
          </w:p>
        </w:tc>
        <w:tc>
          <w:tcPr>
            <w:tcW w:w="1474" w:type="dxa"/>
          </w:tcPr>
          <w:p>
            <w:pPr>
              <w:pStyle w:val="0"/>
              <w:jc w:val="center"/>
            </w:pPr>
            <w:r>
              <w:rPr>
                <w:sz w:val="20"/>
              </w:rPr>
              <w:t xml:space="preserve">2635647,1</w:t>
            </w:r>
          </w:p>
        </w:tc>
        <w:tc>
          <w:tcPr>
            <w:tcW w:w="1531" w:type="dxa"/>
          </w:tcPr>
          <w:p>
            <w:pPr>
              <w:pStyle w:val="0"/>
              <w:jc w:val="center"/>
            </w:pPr>
            <w:r>
              <w:rPr>
                <w:sz w:val="20"/>
              </w:rPr>
              <w:t xml:space="preserve">2722623,5</w:t>
            </w:r>
          </w:p>
        </w:tc>
        <w:tc>
          <w:tcPr>
            <w:tcW w:w="1474" w:type="dxa"/>
          </w:tcPr>
          <w:p>
            <w:pPr>
              <w:pStyle w:val="0"/>
              <w:jc w:val="center"/>
            </w:pPr>
            <w:r>
              <w:rPr>
                <w:sz w:val="20"/>
              </w:rPr>
              <w:t xml:space="preserve">2807024,8</w:t>
            </w:r>
          </w:p>
        </w:tc>
        <w:tc>
          <w:tcPr>
            <w:tcW w:w="1361" w:type="dxa"/>
          </w:tcPr>
          <w:p>
            <w:pPr>
              <w:pStyle w:val="0"/>
              <w:jc w:val="center"/>
            </w:pPr>
            <w:r>
              <w:rPr>
                <w:sz w:val="20"/>
              </w:rPr>
              <w:t xml:space="preserve">2888428,5</w:t>
            </w:r>
          </w:p>
        </w:tc>
        <w:tc>
          <w:tcPr>
            <w:tcW w:w="1361" w:type="dxa"/>
          </w:tcPr>
          <w:p>
            <w:pPr>
              <w:pStyle w:val="0"/>
              <w:jc w:val="center"/>
            </w:pPr>
            <w:r>
              <w:rPr>
                <w:sz w:val="20"/>
              </w:rPr>
              <w:t xml:space="preserve">2969304,5</w:t>
            </w:r>
          </w:p>
        </w:tc>
        <w:tc>
          <w:tcPr>
            <w:tcW w:w="1361" w:type="dxa"/>
          </w:tcPr>
          <w:p>
            <w:pPr>
              <w:pStyle w:val="0"/>
              <w:jc w:val="center"/>
            </w:pPr>
            <w:r>
              <w:rPr>
                <w:sz w:val="20"/>
              </w:rPr>
              <w:t xml:space="preserve">3052445,0</w:t>
            </w:r>
          </w:p>
        </w:tc>
        <w:tc>
          <w:tcPr>
            <w:tcW w:w="1531" w:type="dxa"/>
          </w:tcPr>
          <w:p>
            <w:pPr>
              <w:pStyle w:val="0"/>
              <w:jc w:val="center"/>
            </w:pPr>
            <w:r>
              <w:rPr>
                <w:sz w:val="20"/>
              </w:rPr>
              <w:t xml:space="preserve">24019376,1</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2168386,4</w:t>
            </w:r>
          </w:p>
        </w:tc>
        <w:tc>
          <w:tcPr>
            <w:tcW w:w="1417" w:type="dxa"/>
          </w:tcPr>
          <w:p>
            <w:pPr>
              <w:pStyle w:val="0"/>
              <w:jc w:val="center"/>
            </w:pPr>
            <w:r>
              <w:rPr>
                <w:sz w:val="20"/>
              </w:rPr>
              <w:t xml:space="preserve">2303438,9</w:t>
            </w:r>
          </w:p>
        </w:tc>
        <w:tc>
          <w:tcPr>
            <w:tcW w:w="1417" w:type="dxa"/>
          </w:tcPr>
          <w:p>
            <w:pPr>
              <w:pStyle w:val="0"/>
              <w:jc w:val="center"/>
            </w:pPr>
            <w:r>
              <w:rPr>
                <w:sz w:val="20"/>
              </w:rPr>
              <w:t xml:space="preserve">2472077,4</w:t>
            </w:r>
          </w:p>
        </w:tc>
        <w:tc>
          <w:tcPr>
            <w:tcW w:w="1474" w:type="dxa"/>
          </w:tcPr>
          <w:p>
            <w:pPr>
              <w:pStyle w:val="0"/>
              <w:jc w:val="center"/>
            </w:pPr>
            <w:r>
              <w:rPr>
                <w:sz w:val="20"/>
              </w:rPr>
              <w:t xml:space="preserve">2635647,1</w:t>
            </w:r>
          </w:p>
        </w:tc>
        <w:tc>
          <w:tcPr>
            <w:tcW w:w="1531" w:type="dxa"/>
          </w:tcPr>
          <w:p>
            <w:pPr>
              <w:pStyle w:val="0"/>
              <w:jc w:val="center"/>
            </w:pPr>
            <w:r>
              <w:rPr>
                <w:sz w:val="20"/>
              </w:rPr>
              <w:t xml:space="preserve">2722623,5</w:t>
            </w:r>
          </w:p>
        </w:tc>
        <w:tc>
          <w:tcPr>
            <w:tcW w:w="1474" w:type="dxa"/>
          </w:tcPr>
          <w:p>
            <w:pPr>
              <w:pStyle w:val="0"/>
              <w:jc w:val="center"/>
            </w:pPr>
            <w:r>
              <w:rPr>
                <w:sz w:val="20"/>
              </w:rPr>
              <w:t xml:space="preserve">2807024,8</w:t>
            </w:r>
          </w:p>
        </w:tc>
        <w:tc>
          <w:tcPr>
            <w:tcW w:w="1361" w:type="dxa"/>
          </w:tcPr>
          <w:p>
            <w:pPr>
              <w:pStyle w:val="0"/>
              <w:jc w:val="center"/>
            </w:pPr>
            <w:r>
              <w:rPr>
                <w:sz w:val="20"/>
              </w:rPr>
              <w:t xml:space="preserve">2888428,5</w:t>
            </w:r>
          </w:p>
        </w:tc>
        <w:tc>
          <w:tcPr>
            <w:tcW w:w="1361" w:type="dxa"/>
          </w:tcPr>
          <w:p>
            <w:pPr>
              <w:pStyle w:val="0"/>
              <w:jc w:val="center"/>
            </w:pPr>
            <w:r>
              <w:rPr>
                <w:sz w:val="20"/>
              </w:rPr>
              <w:t xml:space="preserve">2969304,5</w:t>
            </w:r>
          </w:p>
        </w:tc>
        <w:tc>
          <w:tcPr>
            <w:tcW w:w="1361" w:type="dxa"/>
          </w:tcPr>
          <w:p>
            <w:pPr>
              <w:pStyle w:val="0"/>
              <w:jc w:val="center"/>
            </w:pPr>
            <w:r>
              <w:rPr>
                <w:sz w:val="20"/>
              </w:rPr>
              <w:t xml:space="preserve">3052445,0</w:t>
            </w:r>
          </w:p>
        </w:tc>
        <w:tc>
          <w:tcPr>
            <w:tcW w:w="1531" w:type="dxa"/>
          </w:tcPr>
          <w:p>
            <w:pPr>
              <w:pStyle w:val="0"/>
              <w:jc w:val="center"/>
            </w:pPr>
            <w:r>
              <w:rPr>
                <w:sz w:val="20"/>
              </w:rPr>
              <w:t xml:space="preserve">24019376,1</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2.11. Реализация мероприятий по предупреждению и борьбе с социально значимыми инфекционными заболеваниями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7290,1</w:t>
            </w:r>
          </w:p>
        </w:tc>
        <w:tc>
          <w:tcPr>
            <w:tcW w:w="1417" w:type="dxa"/>
          </w:tcPr>
          <w:p>
            <w:pPr>
              <w:pStyle w:val="0"/>
              <w:jc w:val="center"/>
            </w:pPr>
            <w:r>
              <w:rPr>
                <w:sz w:val="20"/>
              </w:rPr>
              <w:t xml:space="preserve">8090,3</w:t>
            </w:r>
          </w:p>
        </w:tc>
        <w:tc>
          <w:tcPr>
            <w:tcW w:w="1417" w:type="dxa"/>
          </w:tcPr>
          <w:p>
            <w:pPr>
              <w:pStyle w:val="0"/>
              <w:jc w:val="center"/>
            </w:pPr>
            <w:r>
              <w:rPr>
                <w:sz w:val="20"/>
              </w:rPr>
              <w:t xml:space="preserve">8090,3</w:t>
            </w:r>
          </w:p>
        </w:tc>
        <w:tc>
          <w:tcPr>
            <w:tcW w:w="1474" w:type="dxa"/>
          </w:tcPr>
          <w:p>
            <w:pPr>
              <w:pStyle w:val="0"/>
              <w:jc w:val="center"/>
            </w:pPr>
            <w:r>
              <w:rPr>
                <w:sz w:val="20"/>
              </w:rPr>
              <w:t xml:space="preserve">8171,2</w:t>
            </w:r>
          </w:p>
        </w:tc>
        <w:tc>
          <w:tcPr>
            <w:tcW w:w="1531" w:type="dxa"/>
          </w:tcPr>
          <w:p>
            <w:pPr>
              <w:pStyle w:val="0"/>
              <w:jc w:val="center"/>
            </w:pPr>
            <w:r>
              <w:rPr>
                <w:sz w:val="20"/>
              </w:rPr>
              <w:t xml:space="preserve">8440,9</w:t>
            </w:r>
          </w:p>
        </w:tc>
        <w:tc>
          <w:tcPr>
            <w:tcW w:w="1474" w:type="dxa"/>
          </w:tcPr>
          <w:p>
            <w:pPr>
              <w:pStyle w:val="0"/>
              <w:jc w:val="center"/>
            </w:pPr>
            <w:r>
              <w:rPr>
                <w:sz w:val="20"/>
              </w:rPr>
              <w:t xml:space="preserve">8702,6</w:t>
            </w:r>
          </w:p>
        </w:tc>
        <w:tc>
          <w:tcPr>
            <w:tcW w:w="1361" w:type="dxa"/>
          </w:tcPr>
          <w:p>
            <w:pPr>
              <w:pStyle w:val="0"/>
              <w:jc w:val="center"/>
            </w:pPr>
            <w:r>
              <w:rPr>
                <w:sz w:val="20"/>
              </w:rPr>
              <w:t xml:space="preserve">8955,0</w:t>
            </w:r>
          </w:p>
        </w:tc>
        <w:tc>
          <w:tcPr>
            <w:tcW w:w="1361" w:type="dxa"/>
          </w:tcPr>
          <w:p>
            <w:pPr>
              <w:pStyle w:val="0"/>
              <w:jc w:val="center"/>
            </w:pPr>
            <w:r>
              <w:rPr>
                <w:sz w:val="20"/>
              </w:rPr>
              <w:t xml:space="preserve">9205,6</w:t>
            </w:r>
          </w:p>
        </w:tc>
        <w:tc>
          <w:tcPr>
            <w:tcW w:w="1361" w:type="dxa"/>
          </w:tcPr>
          <w:p>
            <w:pPr>
              <w:pStyle w:val="0"/>
              <w:jc w:val="center"/>
            </w:pPr>
            <w:r>
              <w:rPr>
                <w:sz w:val="20"/>
              </w:rPr>
              <w:t xml:space="preserve">9463,4</w:t>
            </w:r>
          </w:p>
        </w:tc>
        <w:tc>
          <w:tcPr>
            <w:tcW w:w="1531" w:type="dxa"/>
          </w:tcPr>
          <w:p>
            <w:pPr>
              <w:pStyle w:val="0"/>
              <w:jc w:val="center"/>
            </w:pPr>
            <w:r>
              <w:rPr>
                <w:sz w:val="20"/>
              </w:rPr>
              <w:t xml:space="preserve">76409,4</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6925,6</w:t>
            </w:r>
          </w:p>
        </w:tc>
        <w:tc>
          <w:tcPr>
            <w:tcW w:w="1417" w:type="dxa"/>
          </w:tcPr>
          <w:p>
            <w:pPr>
              <w:pStyle w:val="0"/>
              <w:jc w:val="center"/>
            </w:pPr>
            <w:r>
              <w:rPr>
                <w:sz w:val="20"/>
              </w:rPr>
              <w:t xml:space="preserve">7685,8</w:t>
            </w:r>
          </w:p>
        </w:tc>
        <w:tc>
          <w:tcPr>
            <w:tcW w:w="1417" w:type="dxa"/>
          </w:tcPr>
          <w:p>
            <w:pPr>
              <w:pStyle w:val="0"/>
              <w:jc w:val="center"/>
            </w:pPr>
            <w:r>
              <w:rPr>
                <w:sz w:val="20"/>
              </w:rPr>
              <w:t xml:space="preserve">7685,8</w:t>
            </w:r>
          </w:p>
        </w:tc>
        <w:tc>
          <w:tcPr>
            <w:tcW w:w="1474" w:type="dxa"/>
          </w:tcPr>
          <w:p>
            <w:pPr>
              <w:pStyle w:val="0"/>
              <w:jc w:val="center"/>
            </w:pPr>
            <w:r>
              <w:rPr>
                <w:sz w:val="20"/>
              </w:rPr>
              <w:t xml:space="preserve">7599,2</w:t>
            </w:r>
          </w:p>
        </w:tc>
        <w:tc>
          <w:tcPr>
            <w:tcW w:w="1531" w:type="dxa"/>
          </w:tcPr>
          <w:p>
            <w:pPr>
              <w:pStyle w:val="0"/>
              <w:jc w:val="center"/>
            </w:pPr>
            <w:r>
              <w:rPr>
                <w:sz w:val="20"/>
              </w:rPr>
              <w:t xml:space="preserve">7850,0</w:t>
            </w:r>
          </w:p>
        </w:tc>
        <w:tc>
          <w:tcPr>
            <w:tcW w:w="1474" w:type="dxa"/>
          </w:tcPr>
          <w:p>
            <w:pPr>
              <w:pStyle w:val="0"/>
              <w:jc w:val="center"/>
            </w:pPr>
            <w:r>
              <w:rPr>
                <w:sz w:val="20"/>
              </w:rPr>
              <w:t xml:space="preserve">8093,4</w:t>
            </w:r>
          </w:p>
        </w:tc>
        <w:tc>
          <w:tcPr>
            <w:tcW w:w="1361" w:type="dxa"/>
          </w:tcPr>
          <w:p>
            <w:pPr>
              <w:pStyle w:val="0"/>
              <w:jc w:val="center"/>
            </w:pPr>
            <w:r>
              <w:rPr>
                <w:sz w:val="20"/>
              </w:rPr>
              <w:t xml:space="preserve">8328,1</w:t>
            </w:r>
          </w:p>
        </w:tc>
        <w:tc>
          <w:tcPr>
            <w:tcW w:w="1361" w:type="dxa"/>
          </w:tcPr>
          <w:p>
            <w:pPr>
              <w:pStyle w:val="0"/>
              <w:jc w:val="center"/>
            </w:pPr>
            <w:r>
              <w:rPr>
                <w:sz w:val="20"/>
              </w:rPr>
              <w:t xml:space="preserve">8561,2</w:t>
            </w:r>
          </w:p>
        </w:tc>
        <w:tc>
          <w:tcPr>
            <w:tcW w:w="1361" w:type="dxa"/>
          </w:tcPr>
          <w:p>
            <w:pPr>
              <w:pStyle w:val="0"/>
              <w:jc w:val="center"/>
            </w:pPr>
            <w:r>
              <w:rPr>
                <w:sz w:val="20"/>
              </w:rPr>
              <w:t xml:space="preserve">8800,9</w:t>
            </w:r>
          </w:p>
        </w:tc>
        <w:tc>
          <w:tcPr>
            <w:tcW w:w="1531" w:type="dxa"/>
          </w:tcPr>
          <w:p>
            <w:pPr>
              <w:pStyle w:val="0"/>
              <w:jc w:val="center"/>
            </w:pPr>
            <w:r>
              <w:rPr>
                <w:sz w:val="20"/>
              </w:rPr>
              <w:t xml:space="preserve">71530,0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364,5</w:t>
            </w:r>
          </w:p>
        </w:tc>
        <w:tc>
          <w:tcPr>
            <w:tcW w:w="1417" w:type="dxa"/>
          </w:tcPr>
          <w:p>
            <w:pPr>
              <w:pStyle w:val="0"/>
              <w:jc w:val="center"/>
            </w:pPr>
            <w:r>
              <w:rPr>
                <w:sz w:val="20"/>
              </w:rPr>
              <w:t xml:space="preserve">404,5</w:t>
            </w:r>
          </w:p>
        </w:tc>
        <w:tc>
          <w:tcPr>
            <w:tcW w:w="1417" w:type="dxa"/>
          </w:tcPr>
          <w:p>
            <w:pPr>
              <w:pStyle w:val="0"/>
              <w:jc w:val="center"/>
            </w:pPr>
            <w:r>
              <w:rPr>
                <w:sz w:val="20"/>
              </w:rPr>
              <w:t xml:space="preserve">404,5</w:t>
            </w:r>
          </w:p>
        </w:tc>
        <w:tc>
          <w:tcPr>
            <w:tcW w:w="1474" w:type="dxa"/>
          </w:tcPr>
          <w:p>
            <w:pPr>
              <w:pStyle w:val="0"/>
              <w:jc w:val="center"/>
            </w:pPr>
            <w:r>
              <w:rPr>
                <w:sz w:val="20"/>
              </w:rPr>
              <w:t xml:space="preserve">572,0</w:t>
            </w:r>
          </w:p>
        </w:tc>
        <w:tc>
          <w:tcPr>
            <w:tcW w:w="1531" w:type="dxa"/>
          </w:tcPr>
          <w:p>
            <w:pPr>
              <w:pStyle w:val="0"/>
              <w:jc w:val="center"/>
            </w:pPr>
            <w:r>
              <w:rPr>
                <w:sz w:val="20"/>
              </w:rPr>
              <w:t xml:space="preserve">590,9</w:t>
            </w:r>
          </w:p>
        </w:tc>
        <w:tc>
          <w:tcPr>
            <w:tcW w:w="1474" w:type="dxa"/>
          </w:tcPr>
          <w:p>
            <w:pPr>
              <w:pStyle w:val="0"/>
              <w:jc w:val="center"/>
            </w:pPr>
            <w:r>
              <w:rPr>
                <w:sz w:val="20"/>
              </w:rPr>
              <w:t xml:space="preserve">609,2</w:t>
            </w:r>
          </w:p>
        </w:tc>
        <w:tc>
          <w:tcPr>
            <w:tcW w:w="1361" w:type="dxa"/>
          </w:tcPr>
          <w:p>
            <w:pPr>
              <w:pStyle w:val="0"/>
              <w:jc w:val="center"/>
            </w:pPr>
            <w:r>
              <w:rPr>
                <w:sz w:val="20"/>
              </w:rPr>
              <w:t xml:space="preserve">626,9</w:t>
            </w:r>
          </w:p>
        </w:tc>
        <w:tc>
          <w:tcPr>
            <w:tcW w:w="1361" w:type="dxa"/>
          </w:tcPr>
          <w:p>
            <w:pPr>
              <w:pStyle w:val="0"/>
              <w:jc w:val="center"/>
            </w:pPr>
            <w:r>
              <w:rPr>
                <w:sz w:val="20"/>
              </w:rPr>
              <w:t xml:space="preserve">644,4</w:t>
            </w:r>
          </w:p>
        </w:tc>
        <w:tc>
          <w:tcPr>
            <w:tcW w:w="1361" w:type="dxa"/>
          </w:tcPr>
          <w:p>
            <w:pPr>
              <w:pStyle w:val="0"/>
              <w:jc w:val="center"/>
            </w:pPr>
            <w:r>
              <w:rPr>
                <w:sz w:val="20"/>
              </w:rPr>
              <w:t xml:space="preserve">662,5</w:t>
            </w:r>
          </w:p>
        </w:tc>
        <w:tc>
          <w:tcPr>
            <w:tcW w:w="1531" w:type="dxa"/>
          </w:tcPr>
          <w:p>
            <w:pPr>
              <w:pStyle w:val="0"/>
              <w:jc w:val="center"/>
            </w:pPr>
            <w:r>
              <w:rPr>
                <w:sz w:val="20"/>
              </w:rPr>
              <w:t xml:space="preserve">4879,4</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2.11.1. Финансовое обеспечение реализации мероприятий по профилактике ВИЧ-инфекции и гепатитов B и C, в том числе с привлечением к реализации указанных мероприятий социально ориентированных некоммерческих организаций</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958,6</w:t>
            </w:r>
          </w:p>
        </w:tc>
        <w:tc>
          <w:tcPr>
            <w:tcW w:w="1417" w:type="dxa"/>
          </w:tcPr>
          <w:p>
            <w:pPr>
              <w:pStyle w:val="0"/>
              <w:jc w:val="center"/>
            </w:pPr>
            <w:r>
              <w:rPr>
                <w:sz w:val="20"/>
              </w:rPr>
              <w:t xml:space="preserve">958,6</w:t>
            </w:r>
          </w:p>
        </w:tc>
        <w:tc>
          <w:tcPr>
            <w:tcW w:w="1417" w:type="dxa"/>
          </w:tcPr>
          <w:p>
            <w:pPr>
              <w:pStyle w:val="0"/>
              <w:jc w:val="center"/>
            </w:pPr>
            <w:r>
              <w:rPr>
                <w:sz w:val="20"/>
              </w:rPr>
              <w:t xml:space="preserve">958,6</w:t>
            </w:r>
          </w:p>
        </w:tc>
        <w:tc>
          <w:tcPr>
            <w:tcW w:w="1474" w:type="dxa"/>
          </w:tcPr>
          <w:p>
            <w:pPr>
              <w:pStyle w:val="0"/>
              <w:jc w:val="center"/>
            </w:pPr>
            <w:r>
              <w:rPr>
                <w:sz w:val="20"/>
              </w:rPr>
              <w:t xml:space="preserve">979,3</w:t>
            </w:r>
          </w:p>
        </w:tc>
        <w:tc>
          <w:tcPr>
            <w:tcW w:w="1531" w:type="dxa"/>
          </w:tcPr>
          <w:p>
            <w:pPr>
              <w:pStyle w:val="0"/>
              <w:jc w:val="center"/>
            </w:pPr>
            <w:r>
              <w:rPr>
                <w:sz w:val="20"/>
              </w:rPr>
              <w:t xml:space="preserve">1011,7</w:t>
            </w:r>
          </w:p>
        </w:tc>
        <w:tc>
          <w:tcPr>
            <w:tcW w:w="1474" w:type="dxa"/>
          </w:tcPr>
          <w:p>
            <w:pPr>
              <w:pStyle w:val="0"/>
              <w:jc w:val="center"/>
            </w:pPr>
            <w:r>
              <w:rPr>
                <w:sz w:val="20"/>
              </w:rPr>
              <w:t xml:space="preserve">1043,1</w:t>
            </w:r>
          </w:p>
        </w:tc>
        <w:tc>
          <w:tcPr>
            <w:tcW w:w="1361" w:type="dxa"/>
          </w:tcPr>
          <w:p>
            <w:pPr>
              <w:pStyle w:val="0"/>
              <w:jc w:val="center"/>
            </w:pPr>
            <w:r>
              <w:rPr>
                <w:sz w:val="20"/>
              </w:rPr>
              <w:t xml:space="preserve">1073,3</w:t>
            </w:r>
          </w:p>
        </w:tc>
        <w:tc>
          <w:tcPr>
            <w:tcW w:w="1361" w:type="dxa"/>
          </w:tcPr>
          <w:p>
            <w:pPr>
              <w:pStyle w:val="0"/>
              <w:jc w:val="center"/>
            </w:pPr>
            <w:r>
              <w:rPr>
                <w:sz w:val="20"/>
              </w:rPr>
              <w:t xml:space="preserve">1103,3</w:t>
            </w:r>
          </w:p>
        </w:tc>
        <w:tc>
          <w:tcPr>
            <w:tcW w:w="1361" w:type="dxa"/>
          </w:tcPr>
          <w:p>
            <w:pPr>
              <w:pStyle w:val="0"/>
              <w:jc w:val="center"/>
            </w:pPr>
            <w:r>
              <w:rPr>
                <w:sz w:val="20"/>
              </w:rPr>
              <w:t xml:space="preserve">1134,2</w:t>
            </w:r>
          </w:p>
        </w:tc>
        <w:tc>
          <w:tcPr>
            <w:tcW w:w="1531" w:type="dxa"/>
          </w:tcPr>
          <w:p>
            <w:pPr>
              <w:pStyle w:val="0"/>
              <w:jc w:val="center"/>
            </w:pPr>
            <w:r>
              <w:rPr>
                <w:sz w:val="20"/>
              </w:rPr>
              <w:t xml:space="preserve">9220,7</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910,7</w:t>
            </w:r>
          </w:p>
        </w:tc>
        <w:tc>
          <w:tcPr>
            <w:tcW w:w="1417" w:type="dxa"/>
          </w:tcPr>
          <w:p>
            <w:pPr>
              <w:pStyle w:val="0"/>
              <w:jc w:val="center"/>
            </w:pPr>
            <w:r>
              <w:rPr>
                <w:sz w:val="20"/>
              </w:rPr>
              <w:t xml:space="preserve">910,7</w:t>
            </w:r>
          </w:p>
        </w:tc>
        <w:tc>
          <w:tcPr>
            <w:tcW w:w="1417" w:type="dxa"/>
          </w:tcPr>
          <w:p>
            <w:pPr>
              <w:pStyle w:val="0"/>
              <w:jc w:val="center"/>
            </w:pPr>
            <w:r>
              <w:rPr>
                <w:sz w:val="20"/>
              </w:rPr>
              <w:t xml:space="preserve">910,7</w:t>
            </w:r>
          </w:p>
        </w:tc>
        <w:tc>
          <w:tcPr>
            <w:tcW w:w="1474" w:type="dxa"/>
          </w:tcPr>
          <w:p>
            <w:pPr>
              <w:pStyle w:val="0"/>
              <w:jc w:val="center"/>
            </w:pPr>
            <w:r>
              <w:rPr>
                <w:sz w:val="20"/>
              </w:rPr>
              <w:t xml:space="preserve">910,7</w:t>
            </w:r>
          </w:p>
        </w:tc>
        <w:tc>
          <w:tcPr>
            <w:tcW w:w="1531" w:type="dxa"/>
          </w:tcPr>
          <w:p>
            <w:pPr>
              <w:pStyle w:val="0"/>
              <w:jc w:val="center"/>
            </w:pPr>
            <w:r>
              <w:rPr>
                <w:sz w:val="20"/>
              </w:rPr>
              <w:t xml:space="preserve">940,8</w:t>
            </w:r>
          </w:p>
        </w:tc>
        <w:tc>
          <w:tcPr>
            <w:tcW w:w="1474" w:type="dxa"/>
          </w:tcPr>
          <w:p>
            <w:pPr>
              <w:pStyle w:val="0"/>
              <w:jc w:val="center"/>
            </w:pPr>
            <w:r>
              <w:rPr>
                <w:sz w:val="20"/>
              </w:rPr>
              <w:t xml:space="preserve">970,0</w:t>
            </w:r>
          </w:p>
        </w:tc>
        <w:tc>
          <w:tcPr>
            <w:tcW w:w="1361" w:type="dxa"/>
          </w:tcPr>
          <w:p>
            <w:pPr>
              <w:pStyle w:val="0"/>
              <w:jc w:val="center"/>
            </w:pPr>
            <w:r>
              <w:rPr>
                <w:sz w:val="20"/>
              </w:rPr>
              <w:t xml:space="preserve">998,1</w:t>
            </w:r>
          </w:p>
        </w:tc>
        <w:tc>
          <w:tcPr>
            <w:tcW w:w="1361" w:type="dxa"/>
          </w:tcPr>
          <w:p>
            <w:pPr>
              <w:pStyle w:val="0"/>
              <w:jc w:val="center"/>
            </w:pPr>
            <w:r>
              <w:rPr>
                <w:sz w:val="20"/>
              </w:rPr>
              <w:t xml:space="preserve">1026,0</w:t>
            </w:r>
          </w:p>
        </w:tc>
        <w:tc>
          <w:tcPr>
            <w:tcW w:w="1361" w:type="dxa"/>
          </w:tcPr>
          <w:p>
            <w:pPr>
              <w:pStyle w:val="0"/>
              <w:jc w:val="center"/>
            </w:pPr>
            <w:r>
              <w:rPr>
                <w:sz w:val="20"/>
              </w:rPr>
              <w:t xml:space="preserve">1054,7</w:t>
            </w:r>
          </w:p>
        </w:tc>
        <w:tc>
          <w:tcPr>
            <w:tcW w:w="1531" w:type="dxa"/>
          </w:tcPr>
          <w:p>
            <w:pPr>
              <w:pStyle w:val="0"/>
              <w:jc w:val="center"/>
            </w:pPr>
            <w:r>
              <w:rPr>
                <w:sz w:val="20"/>
              </w:rPr>
              <w:t xml:space="preserve">8632,4</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47,9</w:t>
            </w:r>
          </w:p>
        </w:tc>
        <w:tc>
          <w:tcPr>
            <w:tcW w:w="1417" w:type="dxa"/>
          </w:tcPr>
          <w:p>
            <w:pPr>
              <w:pStyle w:val="0"/>
              <w:jc w:val="center"/>
            </w:pPr>
            <w:r>
              <w:rPr>
                <w:sz w:val="20"/>
              </w:rPr>
              <w:t xml:space="preserve">47,9</w:t>
            </w:r>
          </w:p>
        </w:tc>
        <w:tc>
          <w:tcPr>
            <w:tcW w:w="1417" w:type="dxa"/>
          </w:tcPr>
          <w:p>
            <w:pPr>
              <w:pStyle w:val="0"/>
              <w:jc w:val="center"/>
            </w:pPr>
            <w:r>
              <w:rPr>
                <w:sz w:val="20"/>
              </w:rPr>
              <w:t xml:space="preserve">47,9</w:t>
            </w:r>
          </w:p>
        </w:tc>
        <w:tc>
          <w:tcPr>
            <w:tcW w:w="1474" w:type="dxa"/>
          </w:tcPr>
          <w:p>
            <w:pPr>
              <w:pStyle w:val="0"/>
              <w:jc w:val="center"/>
            </w:pPr>
            <w:r>
              <w:rPr>
                <w:sz w:val="20"/>
              </w:rPr>
              <w:t xml:space="preserve">68,6</w:t>
            </w:r>
          </w:p>
        </w:tc>
        <w:tc>
          <w:tcPr>
            <w:tcW w:w="1531" w:type="dxa"/>
          </w:tcPr>
          <w:p>
            <w:pPr>
              <w:pStyle w:val="0"/>
              <w:jc w:val="center"/>
            </w:pPr>
            <w:r>
              <w:rPr>
                <w:sz w:val="20"/>
              </w:rPr>
              <w:t xml:space="preserve">70,9</w:t>
            </w:r>
          </w:p>
        </w:tc>
        <w:tc>
          <w:tcPr>
            <w:tcW w:w="1474" w:type="dxa"/>
          </w:tcPr>
          <w:p>
            <w:pPr>
              <w:pStyle w:val="0"/>
              <w:jc w:val="center"/>
            </w:pPr>
            <w:r>
              <w:rPr>
                <w:sz w:val="20"/>
              </w:rPr>
              <w:t xml:space="preserve">73,1</w:t>
            </w:r>
          </w:p>
        </w:tc>
        <w:tc>
          <w:tcPr>
            <w:tcW w:w="1361" w:type="dxa"/>
          </w:tcPr>
          <w:p>
            <w:pPr>
              <w:pStyle w:val="0"/>
              <w:jc w:val="center"/>
            </w:pPr>
            <w:r>
              <w:rPr>
                <w:sz w:val="20"/>
              </w:rPr>
              <w:t xml:space="preserve">75,2</w:t>
            </w:r>
          </w:p>
        </w:tc>
        <w:tc>
          <w:tcPr>
            <w:tcW w:w="1361" w:type="dxa"/>
          </w:tcPr>
          <w:p>
            <w:pPr>
              <w:pStyle w:val="0"/>
              <w:jc w:val="center"/>
            </w:pPr>
            <w:r>
              <w:rPr>
                <w:sz w:val="20"/>
              </w:rPr>
              <w:t xml:space="preserve">77,3</w:t>
            </w:r>
          </w:p>
        </w:tc>
        <w:tc>
          <w:tcPr>
            <w:tcW w:w="1361" w:type="dxa"/>
          </w:tcPr>
          <w:p>
            <w:pPr>
              <w:pStyle w:val="0"/>
              <w:jc w:val="center"/>
            </w:pPr>
            <w:r>
              <w:rPr>
                <w:sz w:val="20"/>
              </w:rPr>
              <w:t xml:space="preserve">79,5</w:t>
            </w:r>
          </w:p>
        </w:tc>
        <w:tc>
          <w:tcPr>
            <w:tcW w:w="1531" w:type="dxa"/>
          </w:tcPr>
          <w:p>
            <w:pPr>
              <w:pStyle w:val="0"/>
              <w:jc w:val="center"/>
            </w:pPr>
            <w:r>
              <w:rPr>
                <w:sz w:val="20"/>
              </w:rPr>
              <w:t xml:space="preserve">588,3</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2.11.2. Финансовое обеспечение закупок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w:t>
            </w:r>
            <w:hyperlink w:history="0" r:id="rId453" w:tooltip="Приказ Минздрава России от 15.11.2012 N 932н (ред. от 19.05.2023) &quot;Об утверждении Порядка оказания медицинской помощи больным туберкулезом&quot; (Зарегистрировано в Минюсте России 07.03.2013 N 27557) {КонсультантПлюс}">
              <w:r>
                <w:rPr>
                  <w:sz w:val="20"/>
                  <w:color w:val="0000ff"/>
                </w:rPr>
                <w:t xml:space="preserve">порядком</w:t>
              </w:r>
            </w:hyperlink>
            <w:r>
              <w:rPr>
                <w:sz w:val="20"/>
              </w:rPr>
              <w:t xml:space="preserve"> оказания медицинской помощи больным туберкулезом</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2521,4</w:t>
            </w:r>
          </w:p>
        </w:tc>
        <w:tc>
          <w:tcPr>
            <w:tcW w:w="1417" w:type="dxa"/>
          </w:tcPr>
          <w:p>
            <w:pPr>
              <w:pStyle w:val="0"/>
              <w:jc w:val="center"/>
            </w:pPr>
            <w:r>
              <w:rPr>
                <w:sz w:val="20"/>
              </w:rPr>
              <w:t xml:space="preserve">2521,4</w:t>
            </w:r>
          </w:p>
        </w:tc>
        <w:tc>
          <w:tcPr>
            <w:tcW w:w="1417" w:type="dxa"/>
          </w:tcPr>
          <w:p>
            <w:pPr>
              <w:pStyle w:val="0"/>
              <w:jc w:val="center"/>
            </w:pPr>
            <w:r>
              <w:rPr>
                <w:sz w:val="20"/>
              </w:rPr>
              <w:t xml:space="preserve">2521,4</w:t>
            </w:r>
          </w:p>
        </w:tc>
        <w:tc>
          <w:tcPr>
            <w:tcW w:w="1474" w:type="dxa"/>
          </w:tcPr>
          <w:p>
            <w:pPr>
              <w:pStyle w:val="0"/>
              <w:jc w:val="center"/>
            </w:pPr>
            <w:r>
              <w:rPr>
                <w:sz w:val="20"/>
              </w:rPr>
              <w:t xml:space="preserve">2575,6</w:t>
            </w:r>
          </w:p>
        </w:tc>
        <w:tc>
          <w:tcPr>
            <w:tcW w:w="1531" w:type="dxa"/>
          </w:tcPr>
          <w:p>
            <w:pPr>
              <w:pStyle w:val="0"/>
              <w:jc w:val="center"/>
            </w:pPr>
            <w:r>
              <w:rPr>
                <w:sz w:val="20"/>
              </w:rPr>
              <w:t xml:space="preserve">2660,5</w:t>
            </w:r>
          </w:p>
        </w:tc>
        <w:tc>
          <w:tcPr>
            <w:tcW w:w="1474" w:type="dxa"/>
          </w:tcPr>
          <w:p>
            <w:pPr>
              <w:pStyle w:val="0"/>
              <w:jc w:val="center"/>
            </w:pPr>
            <w:r>
              <w:rPr>
                <w:sz w:val="20"/>
              </w:rPr>
              <w:t xml:space="preserve">2743,0</w:t>
            </w:r>
          </w:p>
        </w:tc>
        <w:tc>
          <w:tcPr>
            <w:tcW w:w="1361" w:type="dxa"/>
          </w:tcPr>
          <w:p>
            <w:pPr>
              <w:pStyle w:val="0"/>
              <w:jc w:val="center"/>
            </w:pPr>
            <w:r>
              <w:rPr>
                <w:sz w:val="20"/>
              </w:rPr>
              <w:t xml:space="preserve">2822,6</w:t>
            </w:r>
          </w:p>
        </w:tc>
        <w:tc>
          <w:tcPr>
            <w:tcW w:w="1361" w:type="dxa"/>
          </w:tcPr>
          <w:p>
            <w:pPr>
              <w:pStyle w:val="0"/>
              <w:jc w:val="center"/>
            </w:pPr>
            <w:r>
              <w:rPr>
                <w:sz w:val="20"/>
              </w:rPr>
              <w:t xml:space="preserve">2901,6</w:t>
            </w:r>
          </w:p>
        </w:tc>
        <w:tc>
          <w:tcPr>
            <w:tcW w:w="1361" w:type="dxa"/>
          </w:tcPr>
          <w:p>
            <w:pPr>
              <w:pStyle w:val="0"/>
              <w:jc w:val="center"/>
            </w:pPr>
            <w:r>
              <w:rPr>
                <w:sz w:val="20"/>
              </w:rPr>
              <w:t xml:space="preserve">2982,9</w:t>
            </w:r>
          </w:p>
        </w:tc>
        <w:tc>
          <w:tcPr>
            <w:tcW w:w="1531" w:type="dxa"/>
          </w:tcPr>
          <w:p>
            <w:pPr>
              <w:pStyle w:val="0"/>
              <w:jc w:val="center"/>
            </w:pPr>
            <w:r>
              <w:rPr>
                <w:sz w:val="20"/>
              </w:rPr>
              <w:t xml:space="preserve">24250,4</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2395,3</w:t>
            </w:r>
          </w:p>
        </w:tc>
        <w:tc>
          <w:tcPr>
            <w:tcW w:w="1417" w:type="dxa"/>
          </w:tcPr>
          <w:p>
            <w:pPr>
              <w:pStyle w:val="0"/>
              <w:jc w:val="center"/>
            </w:pPr>
            <w:r>
              <w:rPr>
                <w:sz w:val="20"/>
              </w:rPr>
              <w:t xml:space="preserve">2395,3</w:t>
            </w:r>
          </w:p>
        </w:tc>
        <w:tc>
          <w:tcPr>
            <w:tcW w:w="1417" w:type="dxa"/>
          </w:tcPr>
          <w:p>
            <w:pPr>
              <w:pStyle w:val="0"/>
              <w:jc w:val="center"/>
            </w:pPr>
            <w:r>
              <w:rPr>
                <w:sz w:val="20"/>
              </w:rPr>
              <w:t xml:space="preserve">2395,3</w:t>
            </w:r>
          </w:p>
        </w:tc>
        <w:tc>
          <w:tcPr>
            <w:tcW w:w="1474" w:type="dxa"/>
          </w:tcPr>
          <w:p>
            <w:pPr>
              <w:pStyle w:val="0"/>
              <w:jc w:val="center"/>
            </w:pPr>
            <w:r>
              <w:rPr>
                <w:sz w:val="20"/>
              </w:rPr>
              <w:t xml:space="preserve">2395,3</w:t>
            </w:r>
          </w:p>
        </w:tc>
        <w:tc>
          <w:tcPr>
            <w:tcW w:w="1531" w:type="dxa"/>
          </w:tcPr>
          <w:p>
            <w:pPr>
              <w:pStyle w:val="0"/>
              <w:jc w:val="center"/>
            </w:pPr>
            <w:r>
              <w:rPr>
                <w:sz w:val="20"/>
              </w:rPr>
              <w:t xml:space="preserve">2474,3</w:t>
            </w:r>
          </w:p>
        </w:tc>
        <w:tc>
          <w:tcPr>
            <w:tcW w:w="1474" w:type="dxa"/>
          </w:tcPr>
          <w:p>
            <w:pPr>
              <w:pStyle w:val="0"/>
              <w:jc w:val="center"/>
            </w:pPr>
            <w:r>
              <w:rPr>
                <w:sz w:val="20"/>
              </w:rPr>
              <w:t xml:space="preserve">2551,0</w:t>
            </w:r>
          </w:p>
        </w:tc>
        <w:tc>
          <w:tcPr>
            <w:tcW w:w="1361" w:type="dxa"/>
          </w:tcPr>
          <w:p>
            <w:pPr>
              <w:pStyle w:val="0"/>
              <w:jc w:val="center"/>
            </w:pPr>
            <w:r>
              <w:rPr>
                <w:sz w:val="20"/>
              </w:rPr>
              <w:t xml:space="preserve">2625,0</w:t>
            </w:r>
          </w:p>
        </w:tc>
        <w:tc>
          <w:tcPr>
            <w:tcW w:w="1361" w:type="dxa"/>
          </w:tcPr>
          <w:p>
            <w:pPr>
              <w:pStyle w:val="0"/>
              <w:jc w:val="center"/>
            </w:pPr>
            <w:r>
              <w:rPr>
                <w:sz w:val="20"/>
              </w:rPr>
              <w:t xml:space="preserve">2698,5</w:t>
            </w:r>
          </w:p>
        </w:tc>
        <w:tc>
          <w:tcPr>
            <w:tcW w:w="1361" w:type="dxa"/>
          </w:tcPr>
          <w:p>
            <w:pPr>
              <w:pStyle w:val="0"/>
              <w:jc w:val="center"/>
            </w:pPr>
            <w:r>
              <w:rPr>
                <w:sz w:val="20"/>
              </w:rPr>
              <w:t xml:space="preserve">2774,1</w:t>
            </w:r>
          </w:p>
        </w:tc>
        <w:tc>
          <w:tcPr>
            <w:tcW w:w="1531" w:type="dxa"/>
          </w:tcPr>
          <w:p>
            <w:pPr>
              <w:pStyle w:val="0"/>
              <w:jc w:val="center"/>
            </w:pPr>
            <w:r>
              <w:rPr>
                <w:sz w:val="20"/>
              </w:rPr>
              <w:t xml:space="preserve">22704,1</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126,1</w:t>
            </w:r>
          </w:p>
        </w:tc>
        <w:tc>
          <w:tcPr>
            <w:tcW w:w="1417" w:type="dxa"/>
          </w:tcPr>
          <w:p>
            <w:pPr>
              <w:pStyle w:val="0"/>
              <w:jc w:val="center"/>
            </w:pPr>
            <w:r>
              <w:rPr>
                <w:sz w:val="20"/>
              </w:rPr>
              <w:t xml:space="preserve">126,1</w:t>
            </w:r>
          </w:p>
        </w:tc>
        <w:tc>
          <w:tcPr>
            <w:tcW w:w="1417" w:type="dxa"/>
          </w:tcPr>
          <w:p>
            <w:pPr>
              <w:pStyle w:val="0"/>
              <w:jc w:val="center"/>
            </w:pPr>
            <w:r>
              <w:rPr>
                <w:sz w:val="20"/>
              </w:rPr>
              <w:t xml:space="preserve">126,1</w:t>
            </w:r>
          </w:p>
        </w:tc>
        <w:tc>
          <w:tcPr>
            <w:tcW w:w="1474" w:type="dxa"/>
          </w:tcPr>
          <w:p>
            <w:pPr>
              <w:pStyle w:val="0"/>
              <w:jc w:val="center"/>
            </w:pPr>
            <w:r>
              <w:rPr>
                <w:sz w:val="20"/>
              </w:rPr>
              <w:t xml:space="preserve">180,3</w:t>
            </w:r>
          </w:p>
        </w:tc>
        <w:tc>
          <w:tcPr>
            <w:tcW w:w="1531" w:type="dxa"/>
          </w:tcPr>
          <w:p>
            <w:pPr>
              <w:pStyle w:val="0"/>
              <w:jc w:val="center"/>
            </w:pPr>
            <w:r>
              <w:rPr>
                <w:sz w:val="20"/>
              </w:rPr>
              <w:t xml:space="preserve">186,2</w:t>
            </w:r>
          </w:p>
        </w:tc>
        <w:tc>
          <w:tcPr>
            <w:tcW w:w="1474" w:type="dxa"/>
          </w:tcPr>
          <w:p>
            <w:pPr>
              <w:pStyle w:val="0"/>
              <w:jc w:val="center"/>
            </w:pPr>
            <w:r>
              <w:rPr>
                <w:sz w:val="20"/>
              </w:rPr>
              <w:t xml:space="preserve">192,0</w:t>
            </w:r>
          </w:p>
        </w:tc>
        <w:tc>
          <w:tcPr>
            <w:tcW w:w="1361" w:type="dxa"/>
          </w:tcPr>
          <w:p>
            <w:pPr>
              <w:pStyle w:val="0"/>
              <w:jc w:val="center"/>
            </w:pPr>
            <w:r>
              <w:rPr>
                <w:sz w:val="20"/>
              </w:rPr>
              <w:t xml:space="preserve">197,6</w:t>
            </w:r>
          </w:p>
        </w:tc>
        <w:tc>
          <w:tcPr>
            <w:tcW w:w="1361" w:type="dxa"/>
          </w:tcPr>
          <w:p>
            <w:pPr>
              <w:pStyle w:val="0"/>
              <w:jc w:val="center"/>
            </w:pPr>
            <w:r>
              <w:rPr>
                <w:sz w:val="20"/>
              </w:rPr>
              <w:t xml:space="preserve">203,1</w:t>
            </w:r>
          </w:p>
        </w:tc>
        <w:tc>
          <w:tcPr>
            <w:tcW w:w="1361" w:type="dxa"/>
          </w:tcPr>
          <w:p>
            <w:pPr>
              <w:pStyle w:val="0"/>
              <w:jc w:val="center"/>
            </w:pPr>
            <w:r>
              <w:rPr>
                <w:sz w:val="20"/>
              </w:rPr>
              <w:t xml:space="preserve">208,8</w:t>
            </w:r>
          </w:p>
        </w:tc>
        <w:tc>
          <w:tcPr>
            <w:tcW w:w="1531" w:type="dxa"/>
          </w:tcPr>
          <w:p>
            <w:pPr>
              <w:pStyle w:val="0"/>
              <w:jc w:val="center"/>
            </w:pPr>
            <w:r>
              <w:rPr>
                <w:sz w:val="20"/>
              </w:rPr>
              <w:t xml:space="preserve">1546,3</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2.11.3. Финансовое обеспечение закупок диагностических средств для выявления и мониторинга лечения лиц, инфицированных вирусом иммунодефицита человека, в том числе в сочетании с вирусами гепатитов B и (или) C</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3810,1</w:t>
            </w:r>
          </w:p>
        </w:tc>
        <w:tc>
          <w:tcPr>
            <w:tcW w:w="1417" w:type="dxa"/>
          </w:tcPr>
          <w:p>
            <w:pPr>
              <w:pStyle w:val="0"/>
              <w:jc w:val="center"/>
            </w:pPr>
            <w:r>
              <w:rPr>
                <w:sz w:val="20"/>
              </w:rPr>
              <w:t xml:space="preserve">4610,3</w:t>
            </w:r>
          </w:p>
        </w:tc>
        <w:tc>
          <w:tcPr>
            <w:tcW w:w="1417" w:type="dxa"/>
          </w:tcPr>
          <w:p>
            <w:pPr>
              <w:pStyle w:val="0"/>
              <w:jc w:val="center"/>
            </w:pPr>
            <w:r>
              <w:rPr>
                <w:sz w:val="20"/>
              </w:rPr>
              <w:t xml:space="preserve">4610,3</w:t>
            </w:r>
          </w:p>
        </w:tc>
        <w:tc>
          <w:tcPr>
            <w:tcW w:w="1474" w:type="dxa"/>
          </w:tcPr>
          <w:p>
            <w:pPr>
              <w:pStyle w:val="0"/>
              <w:jc w:val="center"/>
            </w:pPr>
            <w:r>
              <w:rPr>
                <w:sz w:val="20"/>
              </w:rPr>
              <w:t xml:space="preserve">4616,3</w:t>
            </w:r>
          </w:p>
        </w:tc>
        <w:tc>
          <w:tcPr>
            <w:tcW w:w="1531" w:type="dxa"/>
          </w:tcPr>
          <w:p>
            <w:pPr>
              <w:pStyle w:val="0"/>
              <w:jc w:val="center"/>
            </w:pPr>
            <w:r>
              <w:rPr>
                <w:sz w:val="20"/>
              </w:rPr>
              <w:t xml:space="preserve">4768,7</w:t>
            </w:r>
          </w:p>
        </w:tc>
        <w:tc>
          <w:tcPr>
            <w:tcW w:w="1474" w:type="dxa"/>
          </w:tcPr>
          <w:p>
            <w:pPr>
              <w:pStyle w:val="0"/>
              <w:jc w:val="center"/>
            </w:pPr>
            <w:r>
              <w:rPr>
                <w:sz w:val="20"/>
              </w:rPr>
              <w:t xml:space="preserve">4916,5</w:t>
            </w:r>
          </w:p>
        </w:tc>
        <w:tc>
          <w:tcPr>
            <w:tcW w:w="1361" w:type="dxa"/>
          </w:tcPr>
          <w:p>
            <w:pPr>
              <w:pStyle w:val="0"/>
              <w:jc w:val="center"/>
            </w:pPr>
            <w:r>
              <w:rPr>
                <w:sz w:val="20"/>
              </w:rPr>
              <w:t xml:space="preserve">5059,1</w:t>
            </w:r>
          </w:p>
        </w:tc>
        <w:tc>
          <w:tcPr>
            <w:tcW w:w="1361" w:type="dxa"/>
          </w:tcPr>
          <w:p>
            <w:pPr>
              <w:pStyle w:val="0"/>
              <w:jc w:val="center"/>
            </w:pPr>
            <w:r>
              <w:rPr>
                <w:sz w:val="20"/>
              </w:rPr>
              <w:t xml:space="preserve">5200,7</w:t>
            </w:r>
          </w:p>
        </w:tc>
        <w:tc>
          <w:tcPr>
            <w:tcW w:w="1361" w:type="dxa"/>
          </w:tcPr>
          <w:p>
            <w:pPr>
              <w:pStyle w:val="0"/>
              <w:jc w:val="center"/>
            </w:pPr>
            <w:r>
              <w:rPr>
                <w:sz w:val="20"/>
              </w:rPr>
              <w:t xml:space="preserve">5346,3</w:t>
            </w:r>
          </w:p>
        </w:tc>
        <w:tc>
          <w:tcPr>
            <w:tcW w:w="1531" w:type="dxa"/>
          </w:tcPr>
          <w:p>
            <w:pPr>
              <w:pStyle w:val="0"/>
              <w:jc w:val="center"/>
            </w:pPr>
            <w:r>
              <w:rPr>
                <w:sz w:val="20"/>
              </w:rPr>
              <w:t xml:space="preserve">42938,3</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3619,6</w:t>
            </w:r>
          </w:p>
        </w:tc>
        <w:tc>
          <w:tcPr>
            <w:tcW w:w="1417" w:type="dxa"/>
          </w:tcPr>
          <w:p>
            <w:pPr>
              <w:pStyle w:val="0"/>
              <w:jc w:val="center"/>
            </w:pPr>
            <w:r>
              <w:rPr>
                <w:sz w:val="20"/>
              </w:rPr>
              <w:t xml:space="preserve">4379,8</w:t>
            </w:r>
          </w:p>
        </w:tc>
        <w:tc>
          <w:tcPr>
            <w:tcW w:w="1417" w:type="dxa"/>
          </w:tcPr>
          <w:p>
            <w:pPr>
              <w:pStyle w:val="0"/>
              <w:jc w:val="center"/>
            </w:pPr>
            <w:r>
              <w:rPr>
                <w:sz w:val="20"/>
              </w:rPr>
              <w:t xml:space="preserve">4379,8</w:t>
            </w:r>
          </w:p>
        </w:tc>
        <w:tc>
          <w:tcPr>
            <w:tcW w:w="1474" w:type="dxa"/>
          </w:tcPr>
          <w:p>
            <w:pPr>
              <w:pStyle w:val="0"/>
              <w:jc w:val="center"/>
            </w:pPr>
            <w:r>
              <w:rPr>
                <w:sz w:val="20"/>
              </w:rPr>
              <w:t xml:space="preserve">4293,2</w:t>
            </w:r>
          </w:p>
        </w:tc>
        <w:tc>
          <w:tcPr>
            <w:tcW w:w="1531" w:type="dxa"/>
          </w:tcPr>
          <w:p>
            <w:pPr>
              <w:pStyle w:val="0"/>
              <w:jc w:val="center"/>
            </w:pPr>
            <w:r>
              <w:rPr>
                <w:sz w:val="20"/>
              </w:rPr>
              <w:t xml:space="preserve">4434,9</w:t>
            </w:r>
          </w:p>
        </w:tc>
        <w:tc>
          <w:tcPr>
            <w:tcW w:w="1474" w:type="dxa"/>
          </w:tcPr>
          <w:p>
            <w:pPr>
              <w:pStyle w:val="0"/>
              <w:jc w:val="center"/>
            </w:pPr>
            <w:r>
              <w:rPr>
                <w:sz w:val="20"/>
              </w:rPr>
              <w:t xml:space="preserve">4572,4</w:t>
            </w:r>
          </w:p>
        </w:tc>
        <w:tc>
          <w:tcPr>
            <w:tcW w:w="1361" w:type="dxa"/>
          </w:tcPr>
          <w:p>
            <w:pPr>
              <w:pStyle w:val="0"/>
              <w:jc w:val="center"/>
            </w:pPr>
            <w:r>
              <w:rPr>
                <w:sz w:val="20"/>
              </w:rPr>
              <w:t xml:space="preserve">4705,0</w:t>
            </w:r>
          </w:p>
        </w:tc>
        <w:tc>
          <w:tcPr>
            <w:tcW w:w="1361" w:type="dxa"/>
          </w:tcPr>
          <w:p>
            <w:pPr>
              <w:pStyle w:val="0"/>
              <w:jc w:val="center"/>
            </w:pPr>
            <w:r>
              <w:rPr>
                <w:sz w:val="20"/>
              </w:rPr>
              <w:t xml:space="preserve">4836,7</w:t>
            </w:r>
          </w:p>
        </w:tc>
        <w:tc>
          <w:tcPr>
            <w:tcW w:w="1361" w:type="dxa"/>
          </w:tcPr>
          <w:p>
            <w:pPr>
              <w:pStyle w:val="0"/>
              <w:jc w:val="center"/>
            </w:pPr>
            <w:r>
              <w:rPr>
                <w:sz w:val="20"/>
              </w:rPr>
              <w:t xml:space="preserve">4972,1</w:t>
            </w:r>
          </w:p>
        </w:tc>
        <w:tc>
          <w:tcPr>
            <w:tcW w:w="1531" w:type="dxa"/>
          </w:tcPr>
          <w:p>
            <w:pPr>
              <w:pStyle w:val="0"/>
              <w:jc w:val="center"/>
            </w:pPr>
            <w:r>
              <w:rPr>
                <w:sz w:val="20"/>
              </w:rPr>
              <w:t xml:space="preserve">40193,5</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190,5</w:t>
            </w:r>
          </w:p>
        </w:tc>
        <w:tc>
          <w:tcPr>
            <w:tcW w:w="1417" w:type="dxa"/>
          </w:tcPr>
          <w:p>
            <w:pPr>
              <w:pStyle w:val="0"/>
              <w:jc w:val="center"/>
            </w:pPr>
            <w:r>
              <w:rPr>
                <w:sz w:val="20"/>
              </w:rPr>
              <w:t xml:space="preserve">230,5</w:t>
            </w:r>
          </w:p>
        </w:tc>
        <w:tc>
          <w:tcPr>
            <w:tcW w:w="1417" w:type="dxa"/>
          </w:tcPr>
          <w:p>
            <w:pPr>
              <w:pStyle w:val="0"/>
              <w:jc w:val="center"/>
            </w:pPr>
            <w:r>
              <w:rPr>
                <w:sz w:val="20"/>
              </w:rPr>
              <w:t xml:space="preserve">230,5</w:t>
            </w:r>
          </w:p>
        </w:tc>
        <w:tc>
          <w:tcPr>
            <w:tcW w:w="1474" w:type="dxa"/>
          </w:tcPr>
          <w:p>
            <w:pPr>
              <w:pStyle w:val="0"/>
              <w:jc w:val="center"/>
            </w:pPr>
            <w:r>
              <w:rPr>
                <w:sz w:val="20"/>
              </w:rPr>
              <w:t xml:space="preserve">323,1</w:t>
            </w:r>
          </w:p>
        </w:tc>
        <w:tc>
          <w:tcPr>
            <w:tcW w:w="1531" w:type="dxa"/>
          </w:tcPr>
          <w:p>
            <w:pPr>
              <w:pStyle w:val="0"/>
              <w:jc w:val="center"/>
            </w:pPr>
            <w:r>
              <w:rPr>
                <w:sz w:val="20"/>
              </w:rPr>
              <w:t xml:space="preserve">333,8</w:t>
            </w:r>
          </w:p>
        </w:tc>
        <w:tc>
          <w:tcPr>
            <w:tcW w:w="1474" w:type="dxa"/>
          </w:tcPr>
          <w:p>
            <w:pPr>
              <w:pStyle w:val="0"/>
              <w:jc w:val="center"/>
            </w:pPr>
            <w:r>
              <w:rPr>
                <w:sz w:val="20"/>
              </w:rPr>
              <w:t xml:space="preserve">344,1</w:t>
            </w:r>
          </w:p>
        </w:tc>
        <w:tc>
          <w:tcPr>
            <w:tcW w:w="1361" w:type="dxa"/>
          </w:tcPr>
          <w:p>
            <w:pPr>
              <w:pStyle w:val="0"/>
              <w:jc w:val="center"/>
            </w:pPr>
            <w:r>
              <w:rPr>
                <w:sz w:val="20"/>
              </w:rPr>
              <w:t xml:space="preserve">354,1</w:t>
            </w:r>
          </w:p>
        </w:tc>
        <w:tc>
          <w:tcPr>
            <w:tcW w:w="1361" w:type="dxa"/>
          </w:tcPr>
          <w:p>
            <w:pPr>
              <w:pStyle w:val="0"/>
              <w:jc w:val="center"/>
            </w:pPr>
            <w:r>
              <w:rPr>
                <w:sz w:val="20"/>
              </w:rPr>
              <w:t xml:space="preserve">364,0</w:t>
            </w:r>
          </w:p>
        </w:tc>
        <w:tc>
          <w:tcPr>
            <w:tcW w:w="1361" w:type="dxa"/>
          </w:tcPr>
          <w:p>
            <w:pPr>
              <w:pStyle w:val="0"/>
              <w:jc w:val="center"/>
            </w:pPr>
            <w:r>
              <w:rPr>
                <w:sz w:val="20"/>
              </w:rPr>
              <w:t xml:space="preserve">374,2</w:t>
            </w:r>
          </w:p>
        </w:tc>
        <w:tc>
          <w:tcPr>
            <w:tcW w:w="1531" w:type="dxa"/>
          </w:tcPr>
          <w:p>
            <w:pPr>
              <w:pStyle w:val="0"/>
              <w:jc w:val="center"/>
            </w:pPr>
            <w:r>
              <w:rPr>
                <w:sz w:val="20"/>
              </w:rPr>
              <w:t xml:space="preserve">2744,8</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2.12. Реализация региональной программы "Развитие службы крови в городе Севастополе"</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45556,7</w:t>
            </w:r>
          </w:p>
        </w:tc>
        <w:tc>
          <w:tcPr>
            <w:tcW w:w="1417" w:type="dxa"/>
          </w:tcPr>
          <w:p>
            <w:pPr>
              <w:pStyle w:val="0"/>
              <w:jc w:val="center"/>
            </w:pPr>
            <w:r>
              <w:rPr>
                <w:sz w:val="20"/>
              </w:rPr>
              <w:t xml:space="preserve">38092,1</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83648,8</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42324,6</w:t>
            </w:r>
          </w:p>
        </w:tc>
        <w:tc>
          <w:tcPr>
            <w:tcW w:w="1417" w:type="dxa"/>
          </w:tcPr>
          <w:p>
            <w:pPr>
              <w:pStyle w:val="0"/>
              <w:jc w:val="center"/>
            </w:pPr>
            <w:r>
              <w:rPr>
                <w:sz w:val="20"/>
              </w:rPr>
              <w:t xml:space="preserve">38092,1</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80416,7</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3232,1</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3232,1</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2.13. Мероприятия по медицинской эвакуации и транспортировке пациентов</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967,9</w:t>
            </w:r>
          </w:p>
        </w:tc>
        <w:tc>
          <w:tcPr>
            <w:tcW w:w="1417" w:type="dxa"/>
          </w:tcPr>
          <w:p>
            <w:pPr>
              <w:pStyle w:val="0"/>
              <w:jc w:val="center"/>
            </w:pPr>
            <w:r>
              <w:rPr>
                <w:sz w:val="20"/>
              </w:rPr>
              <w:t xml:space="preserve">3300,0</w:t>
            </w:r>
          </w:p>
        </w:tc>
        <w:tc>
          <w:tcPr>
            <w:tcW w:w="1417" w:type="dxa"/>
          </w:tcPr>
          <w:p>
            <w:pPr>
              <w:pStyle w:val="0"/>
              <w:jc w:val="center"/>
            </w:pPr>
            <w:r>
              <w:rPr>
                <w:sz w:val="20"/>
              </w:rPr>
              <w:t xml:space="preserve">8480,3</w:t>
            </w:r>
          </w:p>
        </w:tc>
        <w:tc>
          <w:tcPr>
            <w:tcW w:w="1474" w:type="dxa"/>
          </w:tcPr>
          <w:p>
            <w:pPr>
              <w:pStyle w:val="0"/>
              <w:jc w:val="center"/>
            </w:pPr>
            <w:r>
              <w:rPr>
                <w:sz w:val="20"/>
              </w:rPr>
              <w:t xml:space="preserve">5592,9</w:t>
            </w:r>
          </w:p>
        </w:tc>
        <w:tc>
          <w:tcPr>
            <w:tcW w:w="1531" w:type="dxa"/>
          </w:tcPr>
          <w:p>
            <w:pPr>
              <w:pStyle w:val="0"/>
              <w:jc w:val="center"/>
            </w:pPr>
            <w:r>
              <w:rPr>
                <w:sz w:val="20"/>
              </w:rPr>
              <w:t xml:space="preserve">5777,5</w:t>
            </w:r>
          </w:p>
        </w:tc>
        <w:tc>
          <w:tcPr>
            <w:tcW w:w="1474" w:type="dxa"/>
          </w:tcPr>
          <w:p>
            <w:pPr>
              <w:pStyle w:val="0"/>
              <w:jc w:val="center"/>
            </w:pPr>
            <w:r>
              <w:rPr>
                <w:sz w:val="20"/>
              </w:rPr>
              <w:t xml:space="preserve">5956,6</w:t>
            </w:r>
          </w:p>
        </w:tc>
        <w:tc>
          <w:tcPr>
            <w:tcW w:w="1361" w:type="dxa"/>
          </w:tcPr>
          <w:p>
            <w:pPr>
              <w:pStyle w:val="0"/>
              <w:jc w:val="center"/>
            </w:pPr>
            <w:r>
              <w:rPr>
                <w:sz w:val="20"/>
              </w:rPr>
              <w:t xml:space="preserve">6129,3</w:t>
            </w:r>
          </w:p>
        </w:tc>
        <w:tc>
          <w:tcPr>
            <w:tcW w:w="1361" w:type="dxa"/>
          </w:tcPr>
          <w:p>
            <w:pPr>
              <w:pStyle w:val="0"/>
              <w:jc w:val="center"/>
            </w:pPr>
            <w:r>
              <w:rPr>
                <w:sz w:val="20"/>
              </w:rPr>
              <w:t xml:space="preserve">6300,9</w:t>
            </w:r>
          </w:p>
        </w:tc>
        <w:tc>
          <w:tcPr>
            <w:tcW w:w="1361" w:type="dxa"/>
          </w:tcPr>
          <w:p>
            <w:pPr>
              <w:pStyle w:val="0"/>
              <w:jc w:val="center"/>
            </w:pPr>
            <w:r>
              <w:rPr>
                <w:sz w:val="20"/>
              </w:rPr>
              <w:t xml:space="preserve">6477,3</w:t>
            </w:r>
          </w:p>
        </w:tc>
        <w:tc>
          <w:tcPr>
            <w:tcW w:w="1531" w:type="dxa"/>
          </w:tcPr>
          <w:p>
            <w:pPr>
              <w:pStyle w:val="0"/>
              <w:jc w:val="center"/>
            </w:pPr>
            <w:r>
              <w:rPr>
                <w:sz w:val="20"/>
              </w:rPr>
              <w:t xml:space="preserve">48982,7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967,9</w:t>
            </w:r>
          </w:p>
        </w:tc>
        <w:tc>
          <w:tcPr>
            <w:tcW w:w="1417" w:type="dxa"/>
          </w:tcPr>
          <w:p>
            <w:pPr>
              <w:pStyle w:val="0"/>
              <w:jc w:val="center"/>
            </w:pPr>
            <w:r>
              <w:rPr>
                <w:sz w:val="20"/>
              </w:rPr>
              <w:t xml:space="preserve">3300,0</w:t>
            </w:r>
          </w:p>
        </w:tc>
        <w:tc>
          <w:tcPr>
            <w:tcW w:w="1417" w:type="dxa"/>
          </w:tcPr>
          <w:p>
            <w:pPr>
              <w:pStyle w:val="0"/>
              <w:jc w:val="center"/>
            </w:pPr>
            <w:r>
              <w:rPr>
                <w:sz w:val="20"/>
              </w:rPr>
              <w:t xml:space="preserve">8480,3</w:t>
            </w:r>
          </w:p>
        </w:tc>
        <w:tc>
          <w:tcPr>
            <w:tcW w:w="1474" w:type="dxa"/>
          </w:tcPr>
          <w:p>
            <w:pPr>
              <w:pStyle w:val="0"/>
              <w:jc w:val="center"/>
            </w:pPr>
            <w:r>
              <w:rPr>
                <w:sz w:val="20"/>
              </w:rPr>
              <w:t xml:space="preserve">5592,9</w:t>
            </w:r>
          </w:p>
        </w:tc>
        <w:tc>
          <w:tcPr>
            <w:tcW w:w="1531" w:type="dxa"/>
          </w:tcPr>
          <w:p>
            <w:pPr>
              <w:pStyle w:val="0"/>
              <w:jc w:val="center"/>
            </w:pPr>
            <w:r>
              <w:rPr>
                <w:sz w:val="20"/>
              </w:rPr>
              <w:t xml:space="preserve">5777,5</w:t>
            </w:r>
          </w:p>
        </w:tc>
        <w:tc>
          <w:tcPr>
            <w:tcW w:w="1474" w:type="dxa"/>
          </w:tcPr>
          <w:p>
            <w:pPr>
              <w:pStyle w:val="0"/>
              <w:jc w:val="center"/>
            </w:pPr>
            <w:r>
              <w:rPr>
                <w:sz w:val="20"/>
              </w:rPr>
              <w:t xml:space="preserve">5956,6</w:t>
            </w:r>
          </w:p>
        </w:tc>
        <w:tc>
          <w:tcPr>
            <w:tcW w:w="1361" w:type="dxa"/>
          </w:tcPr>
          <w:p>
            <w:pPr>
              <w:pStyle w:val="0"/>
              <w:jc w:val="center"/>
            </w:pPr>
            <w:r>
              <w:rPr>
                <w:sz w:val="20"/>
              </w:rPr>
              <w:t xml:space="preserve">6129,3</w:t>
            </w:r>
          </w:p>
        </w:tc>
        <w:tc>
          <w:tcPr>
            <w:tcW w:w="1361" w:type="dxa"/>
          </w:tcPr>
          <w:p>
            <w:pPr>
              <w:pStyle w:val="0"/>
              <w:jc w:val="center"/>
            </w:pPr>
            <w:r>
              <w:rPr>
                <w:sz w:val="20"/>
              </w:rPr>
              <w:t xml:space="preserve">6300,9</w:t>
            </w:r>
          </w:p>
        </w:tc>
        <w:tc>
          <w:tcPr>
            <w:tcW w:w="1361" w:type="dxa"/>
          </w:tcPr>
          <w:p>
            <w:pPr>
              <w:pStyle w:val="0"/>
              <w:jc w:val="center"/>
            </w:pPr>
            <w:r>
              <w:rPr>
                <w:sz w:val="20"/>
              </w:rPr>
              <w:t xml:space="preserve">6477,3</w:t>
            </w:r>
          </w:p>
        </w:tc>
        <w:tc>
          <w:tcPr>
            <w:tcW w:w="1531" w:type="dxa"/>
          </w:tcPr>
          <w:p>
            <w:pPr>
              <w:pStyle w:val="0"/>
              <w:jc w:val="center"/>
            </w:pPr>
            <w:r>
              <w:rPr>
                <w:sz w:val="20"/>
              </w:rPr>
              <w:t xml:space="preserve">48982,7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54"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2.14. Предоставление мер социальной поддержки гражданам, больным туберкулезом, проживающим в городе Севастополе</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1575,0</w:t>
            </w:r>
          </w:p>
        </w:tc>
        <w:tc>
          <w:tcPr>
            <w:tcW w:w="1417" w:type="dxa"/>
          </w:tcPr>
          <w:p>
            <w:pPr>
              <w:pStyle w:val="0"/>
              <w:jc w:val="center"/>
            </w:pPr>
            <w:r>
              <w:rPr>
                <w:sz w:val="20"/>
              </w:rPr>
              <w:t xml:space="preserve">1391,7</w:t>
            </w:r>
          </w:p>
        </w:tc>
        <w:tc>
          <w:tcPr>
            <w:tcW w:w="1417" w:type="dxa"/>
          </w:tcPr>
          <w:p>
            <w:pPr>
              <w:pStyle w:val="0"/>
              <w:jc w:val="center"/>
            </w:pPr>
            <w:r>
              <w:rPr>
                <w:sz w:val="20"/>
              </w:rPr>
              <w:t xml:space="preserve">1638,6</w:t>
            </w:r>
          </w:p>
        </w:tc>
        <w:tc>
          <w:tcPr>
            <w:tcW w:w="1474" w:type="dxa"/>
          </w:tcPr>
          <w:p>
            <w:pPr>
              <w:pStyle w:val="0"/>
              <w:jc w:val="center"/>
            </w:pPr>
            <w:r>
              <w:rPr>
                <w:sz w:val="20"/>
              </w:rPr>
              <w:t xml:space="preserve">1704,1</w:t>
            </w:r>
          </w:p>
        </w:tc>
        <w:tc>
          <w:tcPr>
            <w:tcW w:w="1531" w:type="dxa"/>
          </w:tcPr>
          <w:p>
            <w:pPr>
              <w:pStyle w:val="0"/>
              <w:jc w:val="center"/>
            </w:pPr>
            <w:r>
              <w:rPr>
                <w:sz w:val="20"/>
              </w:rPr>
              <w:t xml:space="preserve">1760,3</w:t>
            </w:r>
          </w:p>
        </w:tc>
        <w:tc>
          <w:tcPr>
            <w:tcW w:w="1474" w:type="dxa"/>
          </w:tcPr>
          <w:p>
            <w:pPr>
              <w:pStyle w:val="0"/>
              <w:jc w:val="center"/>
            </w:pPr>
            <w:r>
              <w:rPr>
                <w:sz w:val="20"/>
              </w:rPr>
              <w:t xml:space="preserve">1814,9</w:t>
            </w:r>
          </w:p>
        </w:tc>
        <w:tc>
          <w:tcPr>
            <w:tcW w:w="1361" w:type="dxa"/>
          </w:tcPr>
          <w:p>
            <w:pPr>
              <w:pStyle w:val="0"/>
              <w:jc w:val="center"/>
            </w:pPr>
            <w:r>
              <w:rPr>
                <w:sz w:val="20"/>
              </w:rPr>
              <w:t xml:space="preserve">1867,5</w:t>
            </w:r>
          </w:p>
        </w:tc>
        <w:tc>
          <w:tcPr>
            <w:tcW w:w="1361" w:type="dxa"/>
          </w:tcPr>
          <w:p>
            <w:pPr>
              <w:pStyle w:val="0"/>
              <w:jc w:val="center"/>
            </w:pPr>
            <w:r>
              <w:rPr>
                <w:sz w:val="20"/>
              </w:rPr>
              <w:t xml:space="preserve">1919,8</w:t>
            </w:r>
          </w:p>
        </w:tc>
        <w:tc>
          <w:tcPr>
            <w:tcW w:w="1361" w:type="dxa"/>
          </w:tcPr>
          <w:p>
            <w:pPr>
              <w:pStyle w:val="0"/>
              <w:jc w:val="center"/>
            </w:pPr>
            <w:r>
              <w:rPr>
                <w:sz w:val="20"/>
              </w:rPr>
              <w:t xml:space="preserve">1973,6</w:t>
            </w:r>
          </w:p>
        </w:tc>
        <w:tc>
          <w:tcPr>
            <w:tcW w:w="1531" w:type="dxa"/>
          </w:tcPr>
          <w:p>
            <w:pPr>
              <w:pStyle w:val="0"/>
              <w:jc w:val="center"/>
            </w:pPr>
            <w:r>
              <w:rPr>
                <w:sz w:val="20"/>
              </w:rPr>
              <w:t xml:space="preserve">15645,5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1575,0</w:t>
            </w:r>
          </w:p>
        </w:tc>
        <w:tc>
          <w:tcPr>
            <w:tcW w:w="1417" w:type="dxa"/>
          </w:tcPr>
          <w:p>
            <w:pPr>
              <w:pStyle w:val="0"/>
              <w:jc w:val="center"/>
            </w:pPr>
            <w:r>
              <w:rPr>
                <w:sz w:val="20"/>
              </w:rPr>
              <w:t xml:space="preserve">1391,7</w:t>
            </w:r>
          </w:p>
        </w:tc>
        <w:tc>
          <w:tcPr>
            <w:tcW w:w="1417" w:type="dxa"/>
          </w:tcPr>
          <w:p>
            <w:pPr>
              <w:pStyle w:val="0"/>
              <w:jc w:val="center"/>
            </w:pPr>
            <w:r>
              <w:rPr>
                <w:sz w:val="20"/>
              </w:rPr>
              <w:t xml:space="preserve">1638,6</w:t>
            </w:r>
          </w:p>
        </w:tc>
        <w:tc>
          <w:tcPr>
            <w:tcW w:w="1474" w:type="dxa"/>
          </w:tcPr>
          <w:p>
            <w:pPr>
              <w:pStyle w:val="0"/>
              <w:jc w:val="center"/>
            </w:pPr>
            <w:r>
              <w:rPr>
                <w:sz w:val="20"/>
              </w:rPr>
              <w:t xml:space="preserve">1704,1</w:t>
            </w:r>
          </w:p>
        </w:tc>
        <w:tc>
          <w:tcPr>
            <w:tcW w:w="1531" w:type="dxa"/>
          </w:tcPr>
          <w:p>
            <w:pPr>
              <w:pStyle w:val="0"/>
              <w:jc w:val="center"/>
            </w:pPr>
            <w:r>
              <w:rPr>
                <w:sz w:val="20"/>
              </w:rPr>
              <w:t xml:space="preserve">1760,3</w:t>
            </w:r>
          </w:p>
        </w:tc>
        <w:tc>
          <w:tcPr>
            <w:tcW w:w="1474" w:type="dxa"/>
          </w:tcPr>
          <w:p>
            <w:pPr>
              <w:pStyle w:val="0"/>
              <w:jc w:val="center"/>
            </w:pPr>
            <w:r>
              <w:rPr>
                <w:sz w:val="20"/>
              </w:rPr>
              <w:t xml:space="preserve">1814,9</w:t>
            </w:r>
          </w:p>
        </w:tc>
        <w:tc>
          <w:tcPr>
            <w:tcW w:w="1361" w:type="dxa"/>
          </w:tcPr>
          <w:p>
            <w:pPr>
              <w:pStyle w:val="0"/>
              <w:jc w:val="center"/>
            </w:pPr>
            <w:r>
              <w:rPr>
                <w:sz w:val="20"/>
              </w:rPr>
              <w:t xml:space="preserve">1867,5</w:t>
            </w:r>
          </w:p>
        </w:tc>
        <w:tc>
          <w:tcPr>
            <w:tcW w:w="1361" w:type="dxa"/>
          </w:tcPr>
          <w:p>
            <w:pPr>
              <w:pStyle w:val="0"/>
              <w:jc w:val="center"/>
            </w:pPr>
            <w:r>
              <w:rPr>
                <w:sz w:val="20"/>
              </w:rPr>
              <w:t xml:space="preserve">1919,8</w:t>
            </w:r>
          </w:p>
        </w:tc>
        <w:tc>
          <w:tcPr>
            <w:tcW w:w="1361" w:type="dxa"/>
          </w:tcPr>
          <w:p>
            <w:pPr>
              <w:pStyle w:val="0"/>
              <w:jc w:val="center"/>
            </w:pPr>
            <w:r>
              <w:rPr>
                <w:sz w:val="20"/>
              </w:rPr>
              <w:t xml:space="preserve">1973,6</w:t>
            </w:r>
          </w:p>
        </w:tc>
        <w:tc>
          <w:tcPr>
            <w:tcW w:w="1531" w:type="dxa"/>
          </w:tcPr>
          <w:p>
            <w:pPr>
              <w:pStyle w:val="0"/>
              <w:jc w:val="center"/>
            </w:pPr>
            <w:r>
              <w:rPr>
                <w:sz w:val="20"/>
              </w:rPr>
              <w:t xml:space="preserve">15645,5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55"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2.15. Мероприятия по обеспечению специализированными продуктами лечебного питания пациентов с диагнозом "Фенилкетонурия"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783,1</w:t>
            </w:r>
          </w:p>
        </w:tc>
        <w:tc>
          <w:tcPr>
            <w:tcW w:w="1417" w:type="dxa"/>
          </w:tcPr>
          <w:p>
            <w:pPr>
              <w:pStyle w:val="0"/>
              <w:jc w:val="center"/>
            </w:pPr>
            <w:r>
              <w:rPr>
                <w:sz w:val="20"/>
              </w:rPr>
              <w:t xml:space="preserve">1057,2</w:t>
            </w:r>
          </w:p>
        </w:tc>
        <w:tc>
          <w:tcPr>
            <w:tcW w:w="1417" w:type="dxa"/>
          </w:tcPr>
          <w:p>
            <w:pPr>
              <w:pStyle w:val="0"/>
              <w:jc w:val="center"/>
            </w:pPr>
            <w:r>
              <w:rPr>
                <w:sz w:val="20"/>
              </w:rPr>
              <w:t xml:space="preserve">1099,8</w:t>
            </w:r>
          </w:p>
        </w:tc>
        <w:tc>
          <w:tcPr>
            <w:tcW w:w="1474" w:type="dxa"/>
          </w:tcPr>
          <w:p>
            <w:pPr>
              <w:pStyle w:val="0"/>
              <w:jc w:val="center"/>
            </w:pPr>
            <w:r>
              <w:rPr>
                <w:sz w:val="20"/>
              </w:rPr>
              <w:t xml:space="preserve">1143,8</w:t>
            </w:r>
          </w:p>
        </w:tc>
        <w:tc>
          <w:tcPr>
            <w:tcW w:w="1531" w:type="dxa"/>
          </w:tcPr>
          <w:p>
            <w:pPr>
              <w:pStyle w:val="0"/>
              <w:jc w:val="center"/>
            </w:pPr>
            <w:r>
              <w:rPr>
                <w:sz w:val="20"/>
              </w:rPr>
              <w:t xml:space="preserve">1181,5</w:t>
            </w:r>
          </w:p>
        </w:tc>
        <w:tc>
          <w:tcPr>
            <w:tcW w:w="1474" w:type="dxa"/>
          </w:tcPr>
          <w:p>
            <w:pPr>
              <w:pStyle w:val="0"/>
              <w:jc w:val="center"/>
            </w:pPr>
            <w:r>
              <w:rPr>
                <w:sz w:val="20"/>
              </w:rPr>
              <w:t xml:space="preserve">1218,1</w:t>
            </w:r>
          </w:p>
        </w:tc>
        <w:tc>
          <w:tcPr>
            <w:tcW w:w="1361" w:type="dxa"/>
          </w:tcPr>
          <w:p>
            <w:pPr>
              <w:pStyle w:val="0"/>
              <w:jc w:val="center"/>
            </w:pPr>
            <w:r>
              <w:rPr>
                <w:sz w:val="20"/>
              </w:rPr>
              <w:t xml:space="preserve">1253,4</w:t>
            </w:r>
          </w:p>
        </w:tc>
        <w:tc>
          <w:tcPr>
            <w:tcW w:w="1361" w:type="dxa"/>
          </w:tcPr>
          <w:p>
            <w:pPr>
              <w:pStyle w:val="0"/>
              <w:jc w:val="center"/>
            </w:pPr>
            <w:r>
              <w:rPr>
                <w:sz w:val="20"/>
              </w:rPr>
              <w:t xml:space="preserve">1288,5</w:t>
            </w:r>
          </w:p>
        </w:tc>
        <w:tc>
          <w:tcPr>
            <w:tcW w:w="1361" w:type="dxa"/>
          </w:tcPr>
          <w:p>
            <w:pPr>
              <w:pStyle w:val="0"/>
              <w:jc w:val="center"/>
            </w:pPr>
            <w:r>
              <w:rPr>
                <w:sz w:val="20"/>
              </w:rPr>
              <w:t xml:space="preserve">1324,6</w:t>
            </w:r>
          </w:p>
        </w:tc>
        <w:tc>
          <w:tcPr>
            <w:tcW w:w="1531" w:type="dxa"/>
          </w:tcPr>
          <w:p>
            <w:pPr>
              <w:pStyle w:val="0"/>
              <w:jc w:val="center"/>
            </w:pPr>
            <w:r>
              <w:rPr>
                <w:sz w:val="20"/>
              </w:rPr>
              <w:t xml:space="preserve">10350,0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783,1</w:t>
            </w:r>
          </w:p>
        </w:tc>
        <w:tc>
          <w:tcPr>
            <w:tcW w:w="1417" w:type="dxa"/>
          </w:tcPr>
          <w:p>
            <w:pPr>
              <w:pStyle w:val="0"/>
              <w:jc w:val="center"/>
            </w:pPr>
            <w:r>
              <w:rPr>
                <w:sz w:val="20"/>
              </w:rPr>
              <w:t xml:space="preserve">1057,2</w:t>
            </w:r>
          </w:p>
        </w:tc>
        <w:tc>
          <w:tcPr>
            <w:tcW w:w="1417" w:type="dxa"/>
          </w:tcPr>
          <w:p>
            <w:pPr>
              <w:pStyle w:val="0"/>
              <w:jc w:val="center"/>
            </w:pPr>
            <w:r>
              <w:rPr>
                <w:sz w:val="20"/>
              </w:rPr>
              <w:t xml:space="preserve">1099,8</w:t>
            </w:r>
          </w:p>
        </w:tc>
        <w:tc>
          <w:tcPr>
            <w:tcW w:w="1474" w:type="dxa"/>
          </w:tcPr>
          <w:p>
            <w:pPr>
              <w:pStyle w:val="0"/>
              <w:jc w:val="center"/>
            </w:pPr>
            <w:r>
              <w:rPr>
                <w:sz w:val="20"/>
              </w:rPr>
              <w:t xml:space="preserve">1143,8</w:t>
            </w:r>
          </w:p>
        </w:tc>
        <w:tc>
          <w:tcPr>
            <w:tcW w:w="1531" w:type="dxa"/>
          </w:tcPr>
          <w:p>
            <w:pPr>
              <w:pStyle w:val="0"/>
              <w:jc w:val="center"/>
            </w:pPr>
            <w:r>
              <w:rPr>
                <w:sz w:val="20"/>
              </w:rPr>
              <w:t xml:space="preserve">1181,5</w:t>
            </w:r>
          </w:p>
        </w:tc>
        <w:tc>
          <w:tcPr>
            <w:tcW w:w="1474" w:type="dxa"/>
          </w:tcPr>
          <w:p>
            <w:pPr>
              <w:pStyle w:val="0"/>
              <w:jc w:val="center"/>
            </w:pPr>
            <w:r>
              <w:rPr>
                <w:sz w:val="20"/>
              </w:rPr>
              <w:t xml:space="preserve">1218,1</w:t>
            </w:r>
          </w:p>
        </w:tc>
        <w:tc>
          <w:tcPr>
            <w:tcW w:w="1361" w:type="dxa"/>
          </w:tcPr>
          <w:p>
            <w:pPr>
              <w:pStyle w:val="0"/>
              <w:jc w:val="center"/>
            </w:pPr>
            <w:r>
              <w:rPr>
                <w:sz w:val="20"/>
              </w:rPr>
              <w:t xml:space="preserve">1253,4</w:t>
            </w:r>
          </w:p>
        </w:tc>
        <w:tc>
          <w:tcPr>
            <w:tcW w:w="1361" w:type="dxa"/>
          </w:tcPr>
          <w:p>
            <w:pPr>
              <w:pStyle w:val="0"/>
              <w:jc w:val="center"/>
            </w:pPr>
            <w:r>
              <w:rPr>
                <w:sz w:val="20"/>
              </w:rPr>
              <w:t xml:space="preserve">1288,5</w:t>
            </w:r>
          </w:p>
        </w:tc>
        <w:tc>
          <w:tcPr>
            <w:tcW w:w="1361" w:type="dxa"/>
          </w:tcPr>
          <w:p>
            <w:pPr>
              <w:pStyle w:val="0"/>
              <w:jc w:val="center"/>
            </w:pPr>
            <w:r>
              <w:rPr>
                <w:sz w:val="20"/>
              </w:rPr>
              <w:t xml:space="preserve">1324,6</w:t>
            </w:r>
          </w:p>
        </w:tc>
        <w:tc>
          <w:tcPr>
            <w:tcW w:w="1531" w:type="dxa"/>
          </w:tcPr>
          <w:p>
            <w:pPr>
              <w:pStyle w:val="0"/>
              <w:jc w:val="center"/>
            </w:pPr>
            <w:r>
              <w:rPr>
                <w:sz w:val="20"/>
              </w:rPr>
              <w:t xml:space="preserve">10350,0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5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2.16. Финансовое обеспечение мероприятий по погашению кредиторской задолженности Департамента здравоохранения города Севастополя и медицинских учреждений, подведомственных Департаменту</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1000,0</w:t>
            </w:r>
          </w:p>
        </w:tc>
        <w:tc>
          <w:tcPr>
            <w:tcW w:w="1417" w:type="dxa"/>
          </w:tcPr>
          <w:p>
            <w:pPr>
              <w:pStyle w:val="0"/>
              <w:jc w:val="center"/>
            </w:pPr>
            <w:r>
              <w:rPr>
                <w:sz w:val="20"/>
              </w:rPr>
              <w:t xml:space="preserve">711,3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1711,3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1000,0</w:t>
            </w:r>
          </w:p>
        </w:tc>
        <w:tc>
          <w:tcPr>
            <w:tcW w:w="1417" w:type="dxa"/>
          </w:tcPr>
          <w:p>
            <w:pPr>
              <w:pStyle w:val="0"/>
              <w:jc w:val="center"/>
            </w:pPr>
            <w:r>
              <w:rPr>
                <w:sz w:val="20"/>
              </w:rPr>
              <w:t xml:space="preserve">711,3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1711,3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57"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3458" w:type="dxa"/>
            <w:tcBorders>
              <w:bottom w:val="nil"/>
            </w:tcBorders>
            <w:vMerge w:val="restart"/>
          </w:tcPr>
          <w:p>
            <w:pPr>
              <w:pStyle w:val="0"/>
              <w:jc w:val="both"/>
            </w:pPr>
            <w:r>
              <w:rPr>
                <w:sz w:val="20"/>
              </w:rPr>
              <w:t xml:space="preserve">2.17. Мероприятия в рамках сотрудничества с Правительством Москвы в целях развития специализированной медицинской помощи</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161657,7 &lt;6&gt;</w:t>
            </w:r>
          </w:p>
        </w:tc>
        <w:tc>
          <w:tcPr>
            <w:tcW w:w="1417" w:type="dxa"/>
          </w:tcPr>
          <w:p>
            <w:pPr>
              <w:pStyle w:val="0"/>
              <w:jc w:val="center"/>
            </w:pPr>
            <w:r>
              <w:rPr>
                <w:sz w:val="20"/>
              </w:rPr>
              <w:t xml:space="preserve">55348,5</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217006,2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161657,7</w:t>
            </w:r>
          </w:p>
        </w:tc>
        <w:tc>
          <w:tcPr>
            <w:tcW w:w="1417" w:type="dxa"/>
          </w:tcPr>
          <w:p>
            <w:pPr>
              <w:pStyle w:val="0"/>
              <w:jc w:val="center"/>
            </w:pPr>
            <w:r>
              <w:rPr>
                <w:sz w:val="20"/>
              </w:rPr>
              <w:t xml:space="preserve">55348,5</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217006,2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159635,4 &lt;6&gt;</w:t>
            </w:r>
          </w:p>
        </w:tc>
        <w:tc>
          <w:tcPr>
            <w:tcW w:w="1417" w:type="dxa"/>
          </w:tcPr>
          <w:p>
            <w:pPr>
              <w:pStyle w:val="0"/>
              <w:jc w:val="center"/>
            </w:pPr>
            <w:r>
              <w:rPr>
                <w:sz w:val="20"/>
              </w:rPr>
              <w:t xml:space="preserve">53326,2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212961,6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2022,3 &lt;6&gt;</w:t>
            </w:r>
          </w:p>
        </w:tc>
        <w:tc>
          <w:tcPr>
            <w:tcW w:w="1417" w:type="dxa"/>
          </w:tcPr>
          <w:p>
            <w:pPr>
              <w:pStyle w:val="0"/>
              <w:jc w:val="center"/>
            </w:pPr>
            <w:r>
              <w:rPr>
                <w:sz w:val="20"/>
              </w:rPr>
              <w:t xml:space="preserve">2022,3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4044,6</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5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2.18. Мероприятия в рамках сотрудничества с Правительством Москвы в целях улучшения материально-технического состояния отдельных учреждений в сфере здравоохранения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5083,7 &lt;7&gt;</w:t>
            </w:r>
          </w:p>
        </w:tc>
        <w:tc>
          <w:tcPr>
            <w:tcW w:w="1417" w:type="dxa"/>
          </w:tcPr>
          <w:p>
            <w:pPr>
              <w:pStyle w:val="0"/>
              <w:jc w:val="center"/>
            </w:pPr>
            <w:r>
              <w:rPr>
                <w:sz w:val="20"/>
              </w:rPr>
              <w:t xml:space="preserve">25,0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5108,7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5083,7</w:t>
            </w:r>
          </w:p>
        </w:tc>
        <w:tc>
          <w:tcPr>
            <w:tcW w:w="1417" w:type="dxa"/>
          </w:tcPr>
          <w:p>
            <w:pPr>
              <w:pStyle w:val="0"/>
              <w:jc w:val="center"/>
            </w:pPr>
            <w:r>
              <w:rPr>
                <w:sz w:val="20"/>
              </w:rPr>
              <w:t xml:space="preserve">25,0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5108,7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5058,7 &lt;7&gt;</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5058,7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25,0 &lt;7&gt;</w:t>
            </w:r>
          </w:p>
        </w:tc>
        <w:tc>
          <w:tcPr>
            <w:tcW w:w="1417" w:type="dxa"/>
          </w:tcPr>
          <w:p>
            <w:pPr>
              <w:pStyle w:val="0"/>
              <w:jc w:val="center"/>
            </w:pPr>
            <w:r>
              <w:rPr>
                <w:sz w:val="20"/>
              </w:rPr>
              <w:t xml:space="preserve">25,0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59"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2.19. Строительство и реконструкция объектов здравоохранения в рамках сотрудничества с Правительством Москвы</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82879,8</w:t>
            </w:r>
          </w:p>
        </w:tc>
        <w:tc>
          <w:tcPr>
            <w:tcW w:w="1417" w:type="dxa"/>
          </w:tcPr>
          <w:p>
            <w:pPr>
              <w:pStyle w:val="0"/>
              <w:jc w:val="center"/>
            </w:pPr>
            <w:r>
              <w:rPr>
                <w:sz w:val="20"/>
              </w:rPr>
              <w:t xml:space="preserve">32203,8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115083,6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82879,8</w:t>
            </w:r>
          </w:p>
        </w:tc>
        <w:tc>
          <w:tcPr>
            <w:tcW w:w="1417" w:type="dxa"/>
          </w:tcPr>
          <w:p>
            <w:pPr>
              <w:pStyle w:val="0"/>
              <w:jc w:val="center"/>
            </w:pPr>
            <w:r>
              <w:rPr>
                <w:sz w:val="20"/>
              </w:rPr>
              <w:t xml:space="preserve">32203,8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115083,6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82879,8</w:t>
            </w:r>
          </w:p>
        </w:tc>
        <w:tc>
          <w:tcPr>
            <w:tcW w:w="1417" w:type="dxa"/>
          </w:tcPr>
          <w:p>
            <w:pPr>
              <w:pStyle w:val="0"/>
              <w:jc w:val="center"/>
            </w:pPr>
            <w:r>
              <w:rPr>
                <w:sz w:val="20"/>
              </w:rPr>
              <w:t xml:space="preserve">32203,8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115083,6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60"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tc>
      </w:tr>
      <w:tr>
        <w:tc>
          <w:tcPr>
            <w:tcW w:w="3458" w:type="dxa"/>
            <w:tcBorders>
              <w:bottom w:val="nil"/>
            </w:tcBorders>
            <w:vMerge w:val="restart"/>
          </w:tcPr>
          <w:p>
            <w:pPr>
              <w:pStyle w:val="0"/>
              <w:jc w:val="both"/>
            </w:pPr>
            <w:r>
              <w:rPr>
                <w:sz w:val="20"/>
              </w:rPr>
              <w:t xml:space="preserve">2.19.1. Строительство подстанции N 2 ГБУЗС "Севастопольский центр экстренной медицинской помощи и медицины катастроф", пр-т Генерала Острякова</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9230,0</w:t>
            </w:r>
          </w:p>
        </w:tc>
        <w:tc>
          <w:tcPr>
            <w:tcW w:w="1417" w:type="dxa"/>
          </w:tcPr>
          <w:p>
            <w:pPr>
              <w:pStyle w:val="0"/>
              <w:jc w:val="center"/>
            </w:pPr>
            <w:r>
              <w:rPr>
                <w:sz w:val="20"/>
              </w:rPr>
              <w:t xml:space="preserve">7528,8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16758,8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9230,0</w:t>
            </w:r>
          </w:p>
        </w:tc>
        <w:tc>
          <w:tcPr>
            <w:tcW w:w="1417" w:type="dxa"/>
          </w:tcPr>
          <w:p>
            <w:pPr>
              <w:pStyle w:val="0"/>
              <w:jc w:val="center"/>
            </w:pPr>
            <w:r>
              <w:rPr>
                <w:sz w:val="20"/>
              </w:rPr>
              <w:t xml:space="preserve">7528,8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16758,8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9230,0</w:t>
            </w:r>
          </w:p>
        </w:tc>
        <w:tc>
          <w:tcPr>
            <w:tcW w:w="1417" w:type="dxa"/>
          </w:tcPr>
          <w:p>
            <w:pPr>
              <w:pStyle w:val="0"/>
              <w:jc w:val="center"/>
            </w:pPr>
            <w:r>
              <w:rPr>
                <w:sz w:val="20"/>
              </w:rPr>
              <w:t xml:space="preserve">7528,8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16758,8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61"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tc>
      </w:tr>
      <w:tr>
        <w:tc>
          <w:tcPr>
            <w:tcW w:w="3458" w:type="dxa"/>
            <w:tcBorders>
              <w:bottom w:val="nil"/>
            </w:tcBorders>
            <w:vMerge w:val="restart"/>
          </w:tcPr>
          <w:p>
            <w:pPr>
              <w:pStyle w:val="0"/>
              <w:jc w:val="both"/>
            </w:pPr>
            <w:r>
              <w:rPr>
                <w:sz w:val="20"/>
              </w:rPr>
              <w:t xml:space="preserve">2.19.2. Строительство подстанции N 10 ГБУЗС "Севастопольский центр экстренной медицинской помощи и медицины катастроф", Фиолентовское шоссе</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56149,8</w:t>
            </w:r>
          </w:p>
        </w:tc>
        <w:tc>
          <w:tcPr>
            <w:tcW w:w="1417" w:type="dxa"/>
          </w:tcPr>
          <w:p>
            <w:pPr>
              <w:pStyle w:val="0"/>
              <w:jc w:val="center"/>
            </w:pPr>
            <w:r>
              <w:rPr>
                <w:sz w:val="20"/>
              </w:rPr>
              <w:t xml:space="preserve">7175,0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63324,8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56149,8</w:t>
            </w:r>
          </w:p>
        </w:tc>
        <w:tc>
          <w:tcPr>
            <w:tcW w:w="1417" w:type="dxa"/>
          </w:tcPr>
          <w:p>
            <w:pPr>
              <w:pStyle w:val="0"/>
              <w:jc w:val="center"/>
            </w:pPr>
            <w:r>
              <w:rPr>
                <w:sz w:val="20"/>
              </w:rPr>
              <w:t xml:space="preserve">7175,0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63324,8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56149,8</w:t>
            </w:r>
          </w:p>
        </w:tc>
        <w:tc>
          <w:tcPr>
            <w:tcW w:w="1417" w:type="dxa"/>
          </w:tcPr>
          <w:p>
            <w:pPr>
              <w:pStyle w:val="0"/>
              <w:jc w:val="center"/>
            </w:pPr>
            <w:r>
              <w:rPr>
                <w:sz w:val="20"/>
              </w:rPr>
              <w:t xml:space="preserve">7175,0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63324,8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6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tc>
      </w:tr>
      <w:tr>
        <w:tc>
          <w:tcPr>
            <w:tcW w:w="3458" w:type="dxa"/>
            <w:tcBorders>
              <w:bottom w:val="nil"/>
            </w:tcBorders>
            <w:vMerge w:val="restart"/>
          </w:tcPr>
          <w:p>
            <w:pPr>
              <w:pStyle w:val="0"/>
              <w:jc w:val="both"/>
            </w:pPr>
            <w:r>
              <w:rPr>
                <w:sz w:val="20"/>
              </w:rPr>
              <w:t xml:space="preserve">2.19.3. ГБУЗС "Севастопольская городская психиатрическая больница", строительство 2-х палатных корпусов на 220 коек</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17500,0</w:t>
            </w:r>
          </w:p>
        </w:tc>
        <w:tc>
          <w:tcPr>
            <w:tcW w:w="1417" w:type="dxa"/>
          </w:tcPr>
          <w:p>
            <w:pPr>
              <w:pStyle w:val="0"/>
              <w:jc w:val="center"/>
            </w:pPr>
            <w:r>
              <w:rPr>
                <w:sz w:val="20"/>
              </w:rPr>
              <w:t xml:space="preserve">17500,0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35000,0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17500,0</w:t>
            </w:r>
          </w:p>
        </w:tc>
        <w:tc>
          <w:tcPr>
            <w:tcW w:w="1417" w:type="dxa"/>
          </w:tcPr>
          <w:p>
            <w:pPr>
              <w:pStyle w:val="0"/>
              <w:jc w:val="center"/>
            </w:pPr>
            <w:r>
              <w:rPr>
                <w:sz w:val="20"/>
              </w:rPr>
              <w:t xml:space="preserve">17500,0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35000,0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17500,0</w:t>
            </w:r>
          </w:p>
        </w:tc>
        <w:tc>
          <w:tcPr>
            <w:tcW w:w="1417" w:type="dxa"/>
          </w:tcPr>
          <w:p>
            <w:pPr>
              <w:pStyle w:val="0"/>
              <w:jc w:val="center"/>
            </w:pPr>
            <w:r>
              <w:rPr>
                <w:sz w:val="20"/>
              </w:rPr>
              <w:t xml:space="preserve">17500,0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35000,0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6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vMerge w:val="restart"/>
          </w:tcPr>
          <w:p>
            <w:pPr>
              <w:pStyle w:val="0"/>
              <w:jc w:val="both"/>
            </w:pPr>
            <w:r>
              <w:rPr>
                <w:sz w:val="20"/>
              </w:rPr>
              <w:t xml:space="preserve">2.20. 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по проведению указанным лицам профилактических прививок, включенных в </w:t>
            </w:r>
            <w:hyperlink w:history="0" r:id="rId464"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календарь</w:t>
              </w:r>
            </w:hyperlink>
            <w:r>
              <w:rPr>
                <w:sz w:val="20"/>
              </w:rPr>
              <w:t xml:space="preserve"> профилактических прививок по эпидемическим показаниям, за счет средств резервного фонда Правительства Российской Федерации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7523,6</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7523,6</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7523,6</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7523,6</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2.21. Расходы для оплаты налога на имущество государственных учреждений, подведомственных Департаменту здравоохранения города Севастополя</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2.22. 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465"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54344,0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54344,0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54344,0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54344,0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2.23.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предоставляющих специализированную медицинскую помощь в условиях дневного стационара</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963,2</w:t>
            </w:r>
          </w:p>
        </w:tc>
        <w:tc>
          <w:tcPr>
            <w:tcW w:w="1417" w:type="dxa"/>
          </w:tcPr>
          <w:p>
            <w:pPr>
              <w:pStyle w:val="0"/>
              <w:jc w:val="center"/>
            </w:pPr>
            <w:r>
              <w:rPr>
                <w:sz w:val="20"/>
              </w:rPr>
              <w:t xml:space="preserve">1022,6</w:t>
            </w:r>
          </w:p>
        </w:tc>
        <w:tc>
          <w:tcPr>
            <w:tcW w:w="1474" w:type="dxa"/>
          </w:tcPr>
          <w:p>
            <w:pPr>
              <w:pStyle w:val="0"/>
              <w:jc w:val="center"/>
            </w:pPr>
            <w:r>
              <w:rPr>
                <w:sz w:val="20"/>
              </w:rPr>
              <w:t xml:space="preserve">1079,7</w:t>
            </w:r>
          </w:p>
        </w:tc>
        <w:tc>
          <w:tcPr>
            <w:tcW w:w="1531" w:type="dxa"/>
          </w:tcPr>
          <w:p>
            <w:pPr>
              <w:pStyle w:val="0"/>
              <w:jc w:val="center"/>
            </w:pPr>
            <w:r>
              <w:rPr>
                <w:sz w:val="20"/>
              </w:rPr>
              <w:t xml:space="preserve">1115,3</w:t>
            </w:r>
          </w:p>
        </w:tc>
        <w:tc>
          <w:tcPr>
            <w:tcW w:w="1474" w:type="dxa"/>
          </w:tcPr>
          <w:p>
            <w:pPr>
              <w:pStyle w:val="0"/>
              <w:jc w:val="center"/>
            </w:pPr>
            <w:r>
              <w:rPr>
                <w:sz w:val="20"/>
              </w:rPr>
              <w:t xml:space="preserve">1149,9</w:t>
            </w:r>
          </w:p>
        </w:tc>
        <w:tc>
          <w:tcPr>
            <w:tcW w:w="1361" w:type="dxa"/>
          </w:tcPr>
          <w:p>
            <w:pPr>
              <w:pStyle w:val="0"/>
              <w:jc w:val="center"/>
            </w:pPr>
            <w:r>
              <w:rPr>
                <w:sz w:val="20"/>
              </w:rPr>
              <w:t xml:space="preserve">1183,2</w:t>
            </w:r>
          </w:p>
        </w:tc>
        <w:tc>
          <w:tcPr>
            <w:tcW w:w="1361" w:type="dxa"/>
          </w:tcPr>
          <w:p>
            <w:pPr>
              <w:pStyle w:val="0"/>
              <w:jc w:val="center"/>
            </w:pPr>
            <w:r>
              <w:rPr>
                <w:sz w:val="20"/>
              </w:rPr>
              <w:t xml:space="preserve">1216,3</w:t>
            </w:r>
          </w:p>
        </w:tc>
        <w:tc>
          <w:tcPr>
            <w:tcW w:w="1361" w:type="dxa"/>
          </w:tcPr>
          <w:p>
            <w:pPr>
              <w:pStyle w:val="0"/>
              <w:jc w:val="center"/>
            </w:pPr>
            <w:r>
              <w:rPr>
                <w:sz w:val="20"/>
              </w:rPr>
              <w:t xml:space="preserve">1250,4</w:t>
            </w:r>
          </w:p>
        </w:tc>
        <w:tc>
          <w:tcPr>
            <w:tcW w:w="1531" w:type="dxa"/>
          </w:tcPr>
          <w:p>
            <w:pPr>
              <w:pStyle w:val="0"/>
              <w:jc w:val="center"/>
            </w:pPr>
            <w:r>
              <w:rPr>
                <w:sz w:val="20"/>
              </w:rPr>
              <w:t xml:space="preserve">8980,6</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963,2</w:t>
            </w:r>
          </w:p>
        </w:tc>
        <w:tc>
          <w:tcPr>
            <w:tcW w:w="1417" w:type="dxa"/>
          </w:tcPr>
          <w:p>
            <w:pPr>
              <w:pStyle w:val="0"/>
              <w:jc w:val="center"/>
            </w:pPr>
            <w:r>
              <w:rPr>
                <w:sz w:val="20"/>
              </w:rPr>
              <w:t xml:space="preserve">1022,6</w:t>
            </w:r>
          </w:p>
        </w:tc>
        <w:tc>
          <w:tcPr>
            <w:tcW w:w="1474" w:type="dxa"/>
          </w:tcPr>
          <w:p>
            <w:pPr>
              <w:pStyle w:val="0"/>
              <w:jc w:val="center"/>
            </w:pPr>
            <w:r>
              <w:rPr>
                <w:sz w:val="20"/>
              </w:rPr>
              <w:t xml:space="preserve">1079,7</w:t>
            </w:r>
          </w:p>
        </w:tc>
        <w:tc>
          <w:tcPr>
            <w:tcW w:w="1531" w:type="dxa"/>
          </w:tcPr>
          <w:p>
            <w:pPr>
              <w:pStyle w:val="0"/>
              <w:jc w:val="center"/>
            </w:pPr>
            <w:r>
              <w:rPr>
                <w:sz w:val="20"/>
              </w:rPr>
              <w:t xml:space="preserve">1115,3</w:t>
            </w:r>
          </w:p>
        </w:tc>
        <w:tc>
          <w:tcPr>
            <w:tcW w:w="1474" w:type="dxa"/>
          </w:tcPr>
          <w:p>
            <w:pPr>
              <w:pStyle w:val="0"/>
              <w:jc w:val="center"/>
            </w:pPr>
            <w:r>
              <w:rPr>
                <w:sz w:val="20"/>
              </w:rPr>
              <w:t xml:space="preserve">1149,9</w:t>
            </w:r>
          </w:p>
        </w:tc>
        <w:tc>
          <w:tcPr>
            <w:tcW w:w="1361" w:type="dxa"/>
          </w:tcPr>
          <w:p>
            <w:pPr>
              <w:pStyle w:val="0"/>
              <w:jc w:val="center"/>
            </w:pPr>
            <w:r>
              <w:rPr>
                <w:sz w:val="20"/>
              </w:rPr>
              <w:t xml:space="preserve">1183,2</w:t>
            </w:r>
          </w:p>
        </w:tc>
        <w:tc>
          <w:tcPr>
            <w:tcW w:w="1361" w:type="dxa"/>
          </w:tcPr>
          <w:p>
            <w:pPr>
              <w:pStyle w:val="0"/>
              <w:jc w:val="center"/>
            </w:pPr>
            <w:r>
              <w:rPr>
                <w:sz w:val="20"/>
              </w:rPr>
              <w:t xml:space="preserve">1216,3</w:t>
            </w:r>
          </w:p>
        </w:tc>
        <w:tc>
          <w:tcPr>
            <w:tcW w:w="1361" w:type="dxa"/>
          </w:tcPr>
          <w:p>
            <w:pPr>
              <w:pStyle w:val="0"/>
              <w:jc w:val="center"/>
            </w:pPr>
            <w:r>
              <w:rPr>
                <w:sz w:val="20"/>
              </w:rPr>
              <w:t xml:space="preserve">1250,4</w:t>
            </w:r>
          </w:p>
        </w:tc>
        <w:tc>
          <w:tcPr>
            <w:tcW w:w="1531" w:type="dxa"/>
          </w:tcPr>
          <w:p>
            <w:pPr>
              <w:pStyle w:val="0"/>
              <w:jc w:val="center"/>
            </w:pPr>
            <w:r>
              <w:rPr>
                <w:sz w:val="20"/>
              </w:rPr>
              <w:t xml:space="preserve">8980,6</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2.24.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предоставляющих скорую, в том числе скорую специализированную, медицинскую помощь, медицинскую эвакуацию</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66242,2</w:t>
            </w:r>
          </w:p>
        </w:tc>
        <w:tc>
          <w:tcPr>
            <w:tcW w:w="1417" w:type="dxa"/>
          </w:tcPr>
          <w:p>
            <w:pPr>
              <w:pStyle w:val="0"/>
              <w:jc w:val="center"/>
            </w:pPr>
            <w:r>
              <w:rPr>
                <w:sz w:val="20"/>
              </w:rPr>
              <w:t xml:space="preserve">70531,4</w:t>
            </w:r>
          </w:p>
        </w:tc>
        <w:tc>
          <w:tcPr>
            <w:tcW w:w="1474" w:type="dxa"/>
          </w:tcPr>
          <w:p>
            <w:pPr>
              <w:pStyle w:val="0"/>
              <w:jc w:val="center"/>
            </w:pPr>
            <w:r>
              <w:rPr>
                <w:sz w:val="20"/>
              </w:rPr>
              <w:t xml:space="preserve">74632,0</w:t>
            </w:r>
          </w:p>
        </w:tc>
        <w:tc>
          <w:tcPr>
            <w:tcW w:w="1531" w:type="dxa"/>
          </w:tcPr>
          <w:p>
            <w:pPr>
              <w:pStyle w:val="0"/>
              <w:jc w:val="center"/>
            </w:pPr>
            <w:r>
              <w:rPr>
                <w:sz w:val="20"/>
              </w:rPr>
              <w:t xml:space="preserve">77094,9</w:t>
            </w:r>
          </w:p>
        </w:tc>
        <w:tc>
          <w:tcPr>
            <w:tcW w:w="1474" w:type="dxa"/>
          </w:tcPr>
          <w:p>
            <w:pPr>
              <w:pStyle w:val="0"/>
              <w:jc w:val="center"/>
            </w:pPr>
            <w:r>
              <w:rPr>
                <w:sz w:val="20"/>
              </w:rPr>
              <w:t xml:space="preserve">79484,8</w:t>
            </w:r>
          </w:p>
        </w:tc>
        <w:tc>
          <w:tcPr>
            <w:tcW w:w="1361" w:type="dxa"/>
          </w:tcPr>
          <w:p>
            <w:pPr>
              <w:pStyle w:val="0"/>
              <w:jc w:val="center"/>
            </w:pPr>
            <w:r>
              <w:rPr>
                <w:sz w:val="20"/>
              </w:rPr>
              <w:t xml:space="preserve">81789,9</w:t>
            </w:r>
          </w:p>
        </w:tc>
        <w:tc>
          <w:tcPr>
            <w:tcW w:w="1361" w:type="dxa"/>
          </w:tcPr>
          <w:p>
            <w:pPr>
              <w:pStyle w:val="0"/>
              <w:jc w:val="center"/>
            </w:pPr>
            <w:r>
              <w:rPr>
                <w:sz w:val="20"/>
              </w:rPr>
              <w:t xml:space="preserve">84080,0</w:t>
            </w:r>
          </w:p>
        </w:tc>
        <w:tc>
          <w:tcPr>
            <w:tcW w:w="1361" w:type="dxa"/>
          </w:tcPr>
          <w:p>
            <w:pPr>
              <w:pStyle w:val="0"/>
              <w:jc w:val="center"/>
            </w:pPr>
            <w:r>
              <w:rPr>
                <w:sz w:val="20"/>
              </w:rPr>
              <w:t xml:space="preserve">86434,2</w:t>
            </w:r>
          </w:p>
        </w:tc>
        <w:tc>
          <w:tcPr>
            <w:tcW w:w="1531" w:type="dxa"/>
          </w:tcPr>
          <w:p>
            <w:pPr>
              <w:pStyle w:val="0"/>
              <w:jc w:val="center"/>
            </w:pPr>
            <w:r>
              <w:rPr>
                <w:sz w:val="20"/>
              </w:rPr>
              <w:t xml:space="preserve">620289,4</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66242,2</w:t>
            </w:r>
          </w:p>
        </w:tc>
        <w:tc>
          <w:tcPr>
            <w:tcW w:w="1417" w:type="dxa"/>
          </w:tcPr>
          <w:p>
            <w:pPr>
              <w:pStyle w:val="0"/>
              <w:jc w:val="center"/>
            </w:pPr>
            <w:r>
              <w:rPr>
                <w:sz w:val="20"/>
              </w:rPr>
              <w:t xml:space="preserve">70531,4</w:t>
            </w:r>
          </w:p>
        </w:tc>
        <w:tc>
          <w:tcPr>
            <w:tcW w:w="1474" w:type="dxa"/>
          </w:tcPr>
          <w:p>
            <w:pPr>
              <w:pStyle w:val="0"/>
              <w:jc w:val="center"/>
            </w:pPr>
            <w:r>
              <w:rPr>
                <w:sz w:val="20"/>
              </w:rPr>
              <w:t xml:space="preserve">74632,0</w:t>
            </w:r>
          </w:p>
        </w:tc>
        <w:tc>
          <w:tcPr>
            <w:tcW w:w="1531" w:type="dxa"/>
          </w:tcPr>
          <w:p>
            <w:pPr>
              <w:pStyle w:val="0"/>
              <w:jc w:val="center"/>
            </w:pPr>
            <w:r>
              <w:rPr>
                <w:sz w:val="20"/>
              </w:rPr>
              <w:t xml:space="preserve">77094,9</w:t>
            </w:r>
          </w:p>
        </w:tc>
        <w:tc>
          <w:tcPr>
            <w:tcW w:w="1474" w:type="dxa"/>
          </w:tcPr>
          <w:p>
            <w:pPr>
              <w:pStyle w:val="0"/>
              <w:jc w:val="center"/>
            </w:pPr>
            <w:r>
              <w:rPr>
                <w:sz w:val="20"/>
              </w:rPr>
              <w:t xml:space="preserve">79484,8</w:t>
            </w:r>
          </w:p>
        </w:tc>
        <w:tc>
          <w:tcPr>
            <w:tcW w:w="1361" w:type="dxa"/>
          </w:tcPr>
          <w:p>
            <w:pPr>
              <w:pStyle w:val="0"/>
              <w:jc w:val="center"/>
            </w:pPr>
            <w:r>
              <w:rPr>
                <w:sz w:val="20"/>
              </w:rPr>
              <w:t xml:space="preserve">81789,9</w:t>
            </w:r>
          </w:p>
        </w:tc>
        <w:tc>
          <w:tcPr>
            <w:tcW w:w="1361" w:type="dxa"/>
          </w:tcPr>
          <w:p>
            <w:pPr>
              <w:pStyle w:val="0"/>
              <w:jc w:val="center"/>
            </w:pPr>
            <w:r>
              <w:rPr>
                <w:sz w:val="20"/>
              </w:rPr>
              <w:t xml:space="preserve">84080,0</w:t>
            </w:r>
          </w:p>
        </w:tc>
        <w:tc>
          <w:tcPr>
            <w:tcW w:w="1361" w:type="dxa"/>
          </w:tcPr>
          <w:p>
            <w:pPr>
              <w:pStyle w:val="0"/>
              <w:jc w:val="center"/>
            </w:pPr>
            <w:r>
              <w:rPr>
                <w:sz w:val="20"/>
              </w:rPr>
              <w:t xml:space="preserve">86434,2</w:t>
            </w:r>
          </w:p>
        </w:tc>
        <w:tc>
          <w:tcPr>
            <w:tcW w:w="1531" w:type="dxa"/>
          </w:tcPr>
          <w:p>
            <w:pPr>
              <w:pStyle w:val="0"/>
              <w:jc w:val="center"/>
            </w:pPr>
            <w:r>
              <w:rPr>
                <w:sz w:val="20"/>
              </w:rPr>
              <w:t xml:space="preserve">620289,4</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2.25.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учреждений службы крови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147668,8</w:t>
            </w:r>
          </w:p>
        </w:tc>
        <w:tc>
          <w:tcPr>
            <w:tcW w:w="1417" w:type="dxa"/>
          </w:tcPr>
          <w:p>
            <w:pPr>
              <w:pStyle w:val="0"/>
              <w:jc w:val="center"/>
            </w:pPr>
            <w:r>
              <w:rPr>
                <w:sz w:val="20"/>
              </w:rPr>
              <w:t xml:space="preserve">156395,6</w:t>
            </w:r>
          </w:p>
        </w:tc>
        <w:tc>
          <w:tcPr>
            <w:tcW w:w="1474" w:type="dxa"/>
          </w:tcPr>
          <w:p>
            <w:pPr>
              <w:pStyle w:val="0"/>
              <w:jc w:val="center"/>
            </w:pPr>
            <w:r>
              <w:rPr>
                <w:sz w:val="20"/>
              </w:rPr>
              <w:t xml:space="preserve">164851,0</w:t>
            </w:r>
          </w:p>
        </w:tc>
        <w:tc>
          <w:tcPr>
            <w:tcW w:w="1531" w:type="dxa"/>
          </w:tcPr>
          <w:p>
            <w:pPr>
              <w:pStyle w:val="0"/>
              <w:jc w:val="center"/>
            </w:pPr>
            <w:r>
              <w:rPr>
                <w:sz w:val="20"/>
              </w:rPr>
              <w:t xml:space="preserve">170291,1</w:t>
            </w:r>
          </w:p>
        </w:tc>
        <w:tc>
          <w:tcPr>
            <w:tcW w:w="1474" w:type="dxa"/>
          </w:tcPr>
          <w:p>
            <w:pPr>
              <w:pStyle w:val="0"/>
              <w:jc w:val="center"/>
            </w:pPr>
            <w:r>
              <w:rPr>
                <w:sz w:val="20"/>
              </w:rPr>
              <w:t xml:space="preserve">175570,1</w:t>
            </w:r>
          </w:p>
        </w:tc>
        <w:tc>
          <w:tcPr>
            <w:tcW w:w="1361" w:type="dxa"/>
          </w:tcPr>
          <w:p>
            <w:pPr>
              <w:pStyle w:val="0"/>
              <w:jc w:val="center"/>
            </w:pPr>
            <w:r>
              <w:rPr>
                <w:sz w:val="20"/>
              </w:rPr>
              <w:t xml:space="preserve">180661,6</w:t>
            </w:r>
          </w:p>
        </w:tc>
        <w:tc>
          <w:tcPr>
            <w:tcW w:w="1361" w:type="dxa"/>
          </w:tcPr>
          <w:p>
            <w:pPr>
              <w:pStyle w:val="0"/>
              <w:jc w:val="center"/>
            </w:pPr>
            <w:r>
              <w:rPr>
                <w:sz w:val="20"/>
              </w:rPr>
              <w:t xml:space="preserve">185720,1</w:t>
            </w:r>
          </w:p>
        </w:tc>
        <w:tc>
          <w:tcPr>
            <w:tcW w:w="1361" w:type="dxa"/>
          </w:tcPr>
          <w:p>
            <w:pPr>
              <w:pStyle w:val="0"/>
              <w:jc w:val="center"/>
            </w:pPr>
            <w:r>
              <w:rPr>
                <w:sz w:val="20"/>
              </w:rPr>
              <w:t xml:space="preserve">190920,3</w:t>
            </w:r>
          </w:p>
        </w:tc>
        <w:tc>
          <w:tcPr>
            <w:tcW w:w="1531" w:type="dxa"/>
          </w:tcPr>
          <w:p>
            <w:pPr>
              <w:pStyle w:val="0"/>
              <w:jc w:val="center"/>
            </w:pPr>
            <w:r>
              <w:rPr>
                <w:sz w:val="20"/>
              </w:rPr>
              <w:t xml:space="preserve">1372078,6</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147668,8</w:t>
            </w:r>
          </w:p>
        </w:tc>
        <w:tc>
          <w:tcPr>
            <w:tcW w:w="1417" w:type="dxa"/>
          </w:tcPr>
          <w:p>
            <w:pPr>
              <w:pStyle w:val="0"/>
              <w:jc w:val="center"/>
            </w:pPr>
            <w:r>
              <w:rPr>
                <w:sz w:val="20"/>
              </w:rPr>
              <w:t xml:space="preserve">156395,6</w:t>
            </w:r>
          </w:p>
        </w:tc>
        <w:tc>
          <w:tcPr>
            <w:tcW w:w="1474" w:type="dxa"/>
          </w:tcPr>
          <w:p>
            <w:pPr>
              <w:pStyle w:val="0"/>
              <w:jc w:val="center"/>
            </w:pPr>
            <w:r>
              <w:rPr>
                <w:sz w:val="20"/>
              </w:rPr>
              <w:t xml:space="preserve">164851,0</w:t>
            </w:r>
          </w:p>
        </w:tc>
        <w:tc>
          <w:tcPr>
            <w:tcW w:w="1531" w:type="dxa"/>
          </w:tcPr>
          <w:p>
            <w:pPr>
              <w:pStyle w:val="0"/>
              <w:jc w:val="center"/>
            </w:pPr>
            <w:r>
              <w:rPr>
                <w:sz w:val="20"/>
              </w:rPr>
              <w:t xml:space="preserve">170291,1</w:t>
            </w:r>
          </w:p>
        </w:tc>
        <w:tc>
          <w:tcPr>
            <w:tcW w:w="1474" w:type="dxa"/>
          </w:tcPr>
          <w:p>
            <w:pPr>
              <w:pStyle w:val="0"/>
              <w:jc w:val="center"/>
            </w:pPr>
            <w:r>
              <w:rPr>
                <w:sz w:val="20"/>
              </w:rPr>
              <w:t xml:space="preserve">175570,1</w:t>
            </w:r>
          </w:p>
        </w:tc>
        <w:tc>
          <w:tcPr>
            <w:tcW w:w="1361" w:type="dxa"/>
          </w:tcPr>
          <w:p>
            <w:pPr>
              <w:pStyle w:val="0"/>
              <w:jc w:val="center"/>
            </w:pPr>
            <w:r>
              <w:rPr>
                <w:sz w:val="20"/>
              </w:rPr>
              <w:t xml:space="preserve">180661,6</w:t>
            </w:r>
          </w:p>
        </w:tc>
        <w:tc>
          <w:tcPr>
            <w:tcW w:w="1361" w:type="dxa"/>
          </w:tcPr>
          <w:p>
            <w:pPr>
              <w:pStyle w:val="0"/>
              <w:jc w:val="center"/>
            </w:pPr>
            <w:r>
              <w:rPr>
                <w:sz w:val="20"/>
              </w:rPr>
              <w:t xml:space="preserve">185720,1</w:t>
            </w:r>
          </w:p>
        </w:tc>
        <w:tc>
          <w:tcPr>
            <w:tcW w:w="1361" w:type="dxa"/>
          </w:tcPr>
          <w:p>
            <w:pPr>
              <w:pStyle w:val="0"/>
              <w:jc w:val="center"/>
            </w:pPr>
            <w:r>
              <w:rPr>
                <w:sz w:val="20"/>
              </w:rPr>
              <w:t xml:space="preserve">190920,3</w:t>
            </w:r>
          </w:p>
        </w:tc>
        <w:tc>
          <w:tcPr>
            <w:tcW w:w="1531" w:type="dxa"/>
          </w:tcPr>
          <w:p>
            <w:pPr>
              <w:pStyle w:val="0"/>
              <w:jc w:val="center"/>
            </w:pPr>
            <w:r>
              <w:rPr>
                <w:sz w:val="20"/>
              </w:rPr>
              <w:t xml:space="preserve">1372078,6</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2.26. Оказание государственными учреждениями здравоохранения государственных услуг, выполнение работ, финансовое обеспечение деятельности прочих государственных учреждений, предоставляющих специализированную, в том числе высокотехнологичную, медицинскую помощь</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186898,6</w:t>
            </w:r>
          </w:p>
        </w:tc>
        <w:tc>
          <w:tcPr>
            <w:tcW w:w="1417" w:type="dxa"/>
          </w:tcPr>
          <w:p>
            <w:pPr>
              <w:pStyle w:val="0"/>
              <w:jc w:val="center"/>
            </w:pPr>
            <w:r>
              <w:rPr>
                <w:sz w:val="20"/>
              </w:rPr>
              <w:t xml:space="preserve">199122,4</w:t>
            </w:r>
          </w:p>
        </w:tc>
        <w:tc>
          <w:tcPr>
            <w:tcW w:w="1474" w:type="dxa"/>
          </w:tcPr>
          <w:p>
            <w:pPr>
              <w:pStyle w:val="0"/>
              <w:jc w:val="center"/>
            </w:pPr>
            <w:r>
              <w:rPr>
                <w:sz w:val="20"/>
              </w:rPr>
              <w:t xml:space="preserve">210791,5</w:t>
            </w:r>
          </w:p>
        </w:tc>
        <w:tc>
          <w:tcPr>
            <w:tcW w:w="1531" w:type="dxa"/>
          </w:tcPr>
          <w:p>
            <w:pPr>
              <w:pStyle w:val="0"/>
              <w:jc w:val="center"/>
            </w:pPr>
            <w:r>
              <w:rPr>
                <w:sz w:val="20"/>
              </w:rPr>
              <w:t xml:space="preserve">217747,6</w:t>
            </w:r>
          </w:p>
        </w:tc>
        <w:tc>
          <w:tcPr>
            <w:tcW w:w="1474" w:type="dxa"/>
          </w:tcPr>
          <w:p>
            <w:pPr>
              <w:pStyle w:val="0"/>
              <w:jc w:val="center"/>
            </w:pPr>
            <w:r>
              <w:rPr>
                <w:sz w:val="20"/>
              </w:rPr>
              <w:t xml:space="preserve">224497,8</w:t>
            </w:r>
          </w:p>
        </w:tc>
        <w:tc>
          <w:tcPr>
            <w:tcW w:w="1361" w:type="dxa"/>
          </w:tcPr>
          <w:p>
            <w:pPr>
              <w:pStyle w:val="0"/>
              <w:jc w:val="center"/>
            </w:pPr>
            <w:r>
              <w:rPr>
                <w:sz w:val="20"/>
              </w:rPr>
              <w:t xml:space="preserve">231008,2</w:t>
            </w:r>
          </w:p>
        </w:tc>
        <w:tc>
          <w:tcPr>
            <w:tcW w:w="1361" w:type="dxa"/>
          </w:tcPr>
          <w:p>
            <w:pPr>
              <w:pStyle w:val="0"/>
              <w:jc w:val="center"/>
            </w:pPr>
            <w:r>
              <w:rPr>
                <w:sz w:val="20"/>
              </w:rPr>
              <w:t xml:space="preserve">237476,4</w:t>
            </w:r>
          </w:p>
        </w:tc>
        <w:tc>
          <w:tcPr>
            <w:tcW w:w="1361" w:type="dxa"/>
          </w:tcPr>
          <w:p>
            <w:pPr>
              <w:pStyle w:val="0"/>
              <w:jc w:val="center"/>
            </w:pPr>
            <w:r>
              <w:rPr>
                <w:sz w:val="20"/>
              </w:rPr>
              <w:t xml:space="preserve">244125,7</w:t>
            </w:r>
          </w:p>
        </w:tc>
        <w:tc>
          <w:tcPr>
            <w:tcW w:w="1531" w:type="dxa"/>
          </w:tcPr>
          <w:p>
            <w:pPr>
              <w:pStyle w:val="0"/>
              <w:jc w:val="center"/>
            </w:pPr>
            <w:r>
              <w:rPr>
                <w:sz w:val="20"/>
              </w:rPr>
              <w:t xml:space="preserve">1751668,2</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186898,6</w:t>
            </w:r>
          </w:p>
        </w:tc>
        <w:tc>
          <w:tcPr>
            <w:tcW w:w="1417" w:type="dxa"/>
          </w:tcPr>
          <w:p>
            <w:pPr>
              <w:pStyle w:val="0"/>
              <w:jc w:val="center"/>
            </w:pPr>
            <w:r>
              <w:rPr>
                <w:sz w:val="20"/>
              </w:rPr>
              <w:t xml:space="preserve">199122,4</w:t>
            </w:r>
          </w:p>
        </w:tc>
        <w:tc>
          <w:tcPr>
            <w:tcW w:w="1474" w:type="dxa"/>
          </w:tcPr>
          <w:p>
            <w:pPr>
              <w:pStyle w:val="0"/>
              <w:jc w:val="center"/>
            </w:pPr>
            <w:r>
              <w:rPr>
                <w:sz w:val="20"/>
              </w:rPr>
              <w:t xml:space="preserve">210791,5</w:t>
            </w:r>
          </w:p>
        </w:tc>
        <w:tc>
          <w:tcPr>
            <w:tcW w:w="1531" w:type="dxa"/>
          </w:tcPr>
          <w:p>
            <w:pPr>
              <w:pStyle w:val="0"/>
              <w:jc w:val="center"/>
            </w:pPr>
            <w:r>
              <w:rPr>
                <w:sz w:val="20"/>
              </w:rPr>
              <w:t xml:space="preserve">217747,6</w:t>
            </w:r>
          </w:p>
        </w:tc>
        <w:tc>
          <w:tcPr>
            <w:tcW w:w="1474" w:type="dxa"/>
          </w:tcPr>
          <w:p>
            <w:pPr>
              <w:pStyle w:val="0"/>
              <w:jc w:val="center"/>
            </w:pPr>
            <w:r>
              <w:rPr>
                <w:sz w:val="20"/>
              </w:rPr>
              <w:t xml:space="preserve">224497,8</w:t>
            </w:r>
          </w:p>
        </w:tc>
        <w:tc>
          <w:tcPr>
            <w:tcW w:w="1361" w:type="dxa"/>
          </w:tcPr>
          <w:p>
            <w:pPr>
              <w:pStyle w:val="0"/>
              <w:jc w:val="center"/>
            </w:pPr>
            <w:r>
              <w:rPr>
                <w:sz w:val="20"/>
              </w:rPr>
              <w:t xml:space="preserve">231008,2</w:t>
            </w:r>
          </w:p>
        </w:tc>
        <w:tc>
          <w:tcPr>
            <w:tcW w:w="1361" w:type="dxa"/>
          </w:tcPr>
          <w:p>
            <w:pPr>
              <w:pStyle w:val="0"/>
              <w:jc w:val="center"/>
            </w:pPr>
            <w:r>
              <w:rPr>
                <w:sz w:val="20"/>
              </w:rPr>
              <w:t xml:space="preserve">237476,4</w:t>
            </w:r>
          </w:p>
        </w:tc>
        <w:tc>
          <w:tcPr>
            <w:tcW w:w="1361" w:type="dxa"/>
          </w:tcPr>
          <w:p>
            <w:pPr>
              <w:pStyle w:val="0"/>
              <w:jc w:val="center"/>
            </w:pPr>
            <w:r>
              <w:rPr>
                <w:sz w:val="20"/>
              </w:rPr>
              <w:t xml:space="preserve">244125,7</w:t>
            </w:r>
          </w:p>
        </w:tc>
        <w:tc>
          <w:tcPr>
            <w:tcW w:w="1531" w:type="dxa"/>
          </w:tcPr>
          <w:p>
            <w:pPr>
              <w:pStyle w:val="0"/>
              <w:jc w:val="center"/>
            </w:pPr>
            <w:r>
              <w:rPr>
                <w:sz w:val="20"/>
              </w:rPr>
              <w:t xml:space="preserve">1751668,2</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2.27. Компенсация расходов на оплату стоимости проезда гражданам, проживающим на территории города Севастополя, направляемым для медицинской консультации, обследования, лечения в другие субъекты Российской Федерации, а также стоимости проезда сопровождающих их лиц</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500,0</w:t>
            </w:r>
          </w:p>
        </w:tc>
        <w:tc>
          <w:tcPr>
            <w:tcW w:w="1417" w:type="dxa"/>
          </w:tcPr>
          <w:p>
            <w:pPr>
              <w:pStyle w:val="0"/>
              <w:jc w:val="center"/>
            </w:pPr>
            <w:r>
              <w:rPr>
                <w:sz w:val="20"/>
              </w:rPr>
              <w:t xml:space="preserve">10004,1</w:t>
            </w:r>
          </w:p>
        </w:tc>
        <w:tc>
          <w:tcPr>
            <w:tcW w:w="1474" w:type="dxa"/>
          </w:tcPr>
          <w:p>
            <w:pPr>
              <w:pStyle w:val="0"/>
              <w:jc w:val="center"/>
            </w:pPr>
            <w:r>
              <w:rPr>
                <w:sz w:val="20"/>
              </w:rPr>
              <w:t xml:space="preserve">10004,1</w:t>
            </w:r>
          </w:p>
        </w:tc>
        <w:tc>
          <w:tcPr>
            <w:tcW w:w="1531" w:type="dxa"/>
          </w:tcPr>
          <w:p>
            <w:pPr>
              <w:pStyle w:val="0"/>
              <w:jc w:val="center"/>
            </w:pPr>
            <w:r>
              <w:rPr>
                <w:sz w:val="20"/>
              </w:rPr>
              <w:t xml:space="preserve">10334,2</w:t>
            </w:r>
          </w:p>
        </w:tc>
        <w:tc>
          <w:tcPr>
            <w:tcW w:w="1474" w:type="dxa"/>
          </w:tcPr>
          <w:p>
            <w:pPr>
              <w:pStyle w:val="0"/>
              <w:jc w:val="center"/>
            </w:pPr>
            <w:r>
              <w:rPr>
                <w:sz w:val="20"/>
              </w:rPr>
              <w:t xml:space="preserve">10654,6</w:t>
            </w:r>
          </w:p>
        </w:tc>
        <w:tc>
          <w:tcPr>
            <w:tcW w:w="1361" w:type="dxa"/>
          </w:tcPr>
          <w:p>
            <w:pPr>
              <w:pStyle w:val="0"/>
              <w:jc w:val="center"/>
            </w:pPr>
            <w:r>
              <w:rPr>
                <w:sz w:val="20"/>
              </w:rPr>
              <w:t xml:space="preserve">10963,6</w:t>
            </w:r>
          </w:p>
        </w:tc>
        <w:tc>
          <w:tcPr>
            <w:tcW w:w="1361" w:type="dxa"/>
          </w:tcPr>
          <w:p>
            <w:pPr>
              <w:pStyle w:val="0"/>
              <w:jc w:val="center"/>
            </w:pPr>
            <w:r>
              <w:rPr>
                <w:sz w:val="20"/>
              </w:rPr>
              <w:t xml:space="preserve">11270,6</w:t>
            </w:r>
          </w:p>
        </w:tc>
        <w:tc>
          <w:tcPr>
            <w:tcW w:w="1361" w:type="dxa"/>
          </w:tcPr>
          <w:p>
            <w:pPr>
              <w:pStyle w:val="0"/>
              <w:jc w:val="center"/>
            </w:pPr>
            <w:r>
              <w:rPr>
                <w:sz w:val="20"/>
              </w:rPr>
              <w:t xml:space="preserve">11586,2</w:t>
            </w:r>
          </w:p>
        </w:tc>
        <w:tc>
          <w:tcPr>
            <w:tcW w:w="1531" w:type="dxa"/>
          </w:tcPr>
          <w:p>
            <w:pPr>
              <w:pStyle w:val="0"/>
              <w:jc w:val="center"/>
            </w:pPr>
            <w:r>
              <w:rPr>
                <w:sz w:val="20"/>
              </w:rPr>
              <w:t xml:space="preserve">75317,4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500,0</w:t>
            </w:r>
          </w:p>
        </w:tc>
        <w:tc>
          <w:tcPr>
            <w:tcW w:w="1417" w:type="dxa"/>
          </w:tcPr>
          <w:p>
            <w:pPr>
              <w:pStyle w:val="0"/>
              <w:jc w:val="center"/>
            </w:pPr>
            <w:r>
              <w:rPr>
                <w:sz w:val="20"/>
              </w:rPr>
              <w:t xml:space="preserve">10004,1</w:t>
            </w:r>
          </w:p>
        </w:tc>
        <w:tc>
          <w:tcPr>
            <w:tcW w:w="1474" w:type="dxa"/>
          </w:tcPr>
          <w:p>
            <w:pPr>
              <w:pStyle w:val="0"/>
              <w:jc w:val="center"/>
            </w:pPr>
            <w:r>
              <w:rPr>
                <w:sz w:val="20"/>
              </w:rPr>
              <w:t xml:space="preserve">10004,1</w:t>
            </w:r>
          </w:p>
        </w:tc>
        <w:tc>
          <w:tcPr>
            <w:tcW w:w="1531" w:type="dxa"/>
          </w:tcPr>
          <w:p>
            <w:pPr>
              <w:pStyle w:val="0"/>
              <w:jc w:val="center"/>
            </w:pPr>
            <w:r>
              <w:rPr>
                <w:sz w:val="20"/>
              </w:rPr>
              <w:t xml:space="preserve">10334,2</w:t>
            </w:r>
          </w:p>
        </w:tc>
        <w:tc>
          <w:tcPr>
            <w:tcW w:w="1474" w:type="dxa"/>
          </w:tcPr>
          <w:p>
            <w:pPr>
              <w:pStyle w:val="0"/>
              <w:jc w:val="center"/>
            </w:pPr>
            <w:r>
              <w:rPr>
                <w:sz w:val="20"/>
              </w:rPr>
              <w:t xml:space="preserve">10654,6</w:t>
            </w:r>
          </w:p>
        </w:tc>
        <w:tc>
          <w:tcPr>
            <w:tcW w:w="1361" w:type="dxa"/>
          </w:tcPr>
          <w:p>
            <w:pPr>
              <w:pStyle w:val="0"/>
              <w:jc w:val="center"/>
            </w:pPr>
            <w:r>
              <w:rPr>
                <w:sz w:val="20"/>
              </w:rPr>
              <w:t xml:space="preserve">10963,6</w:t>
            </w:r>
          </w:p>
        </w:tc>
        <w:tc>
          <w:tcPr>
            <w:tcW w:w="1361" w:type="dxa"/>
          </w:tcPr>
          <w:p>
            <w:pPr>
              <w:pStyle w:val="0"/>
              <w:jc w:val="center"/>
            </w:pPr>
            <w:r>
              <w:rPr>
                <w:sz w:val="20"/>
              </w:rPr>
              <w:t xml:space="preserve">11270,6</w:t>
            </w:r>
          </w:p>
        </w:tc>
        <w:tc>
          <w:tcPr>
            <w:tcW w:w="1361" w:type="dxa"/>
          </w:tcPr>
          <w:p>
            <w:pPr>
              <w:pStyle w:val="0"/>
              <w:jc w:val="center"/>
            </w:pPr>
            <w:r>
              <w:rPr>
                <w:sz w:val="20"/>
              </w:rPr>
              <w:t xml:space="preserve">11586,2</w:t>
            </w:r>
          </w:p>
        </w:tc>
        <w:tc>
          <w:tcPr>
            <w:tcW w:w="1531" w:type="dxa"/>
          </w:tcPr>
          <w:p>
            <w:pPr>
              <w:pStyle w:val="0"/>
              <w:jc w:val="center"/>
            </w:pPr>
            <w:r>
              <w:rPr>
                <w:sz w:val="20"/>
              </w:rPr>
              <w:t xml:space="preserve">75317,4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6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vMerge w:val="restart"/>
          </w:tcPr>
          <w:p>
            <w:pPr>
              <w:pStyle w:val="0"/>
              <w:jc w:val="both"/>
            </w:pPr>
            <w:r>
              <w:rPr>
                <w:sz w:val="20"/>
              </w:rPr>
              <w:t xml:space="preserve">2.28. Инженерно-техническое обеспечение медицинского кластера в г. Севастополе</w:t>
            </w:r>
          </w:p>
        </w:tc>
        <w:tc>
          <w:tcPr>
            <w:tcW w:w="2041" w:type="dxa"/>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8638,8</w:t>
            </w:r>
          </w:p>
        </w:tc>
        <w:tc>
          <w:tcPr>
            <w:tcW w:w="1417" w:type="dxa"/>
          </w:tcPr>
          <w:p>
            <w:pPr>
              <w:pStyle w:val="0"/>
              <w:jc w:val="center"/>
            </w:pPr>
            <w:r>
              <w:rPr>
                <w:sz w:val="20"/>
              </w:rPr>
              <w:t xml:space="preserve">1361,2</w:t>
            </w:r>
          </w:p>
        </w:tc>
        <w:tc>
          <w:tcPr>
            <w:tcW w:w="1474" w:type="dxa"/>
          </w:tcPr>
          <w:p>
            <w:pPr>
              <w:pStyle w:val="0"/>
              <w:jc w:val="center"/>
            </w:pPr>
            <w:r>
              <w:rPr>
                <w:sz w:val="20"/>
              </w:rPr>
              <w:t xml:space="preserve">44505,5</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54505,5</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8638,8</w:t>
            </w:r>
          </w:p>
        </w:tc>
        <w:tc>
          <w:tcPr>
            <w:tcW w:w="1417" w:type="dxa"/>
          </w:tcPr>
          <w:p>
            <w:pPr>
              <w:pStyle w:val="0"/>
              <w:jc w:val="center"/>
            </w:pPr>
            <w:r>
              <w:rPr>
                <w:sz w:val="20"/>
              </w:rPr>
              <w:t xml:space="preserve">1361,2</w:t>
            </w:r>
          </w:p>
        </w:tc>
        <w:tc>
          <w:tcPr>
            <w:tcW w:w="1474" w:type="dxa"/>
          </w:tcPr>
          <w:p>
            <w:pPr>
              <w:pStyle w:val="0"/>
              <w:jc w:val="center"/>
            </w:pPr>
            <w:r>
              <w:rPr>
                <w:sz w:val="20"/>
              </w:rPr>
              <w:t xml:space="preserve">44505,5</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54505,5</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2.29. Дополнительное финансовое обеспечение реализации территориальной программы государственных гарантий бесплатного оказания гражданам медицинской помощи в городе Севастополе в части базовой программы обязательного медицинского страхования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303000,0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303000,0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303000,0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303000,0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6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2.30. Оказание специализированной медицинской помощи в стационарных условиях подведомственными Департаменту здравоохранения города Севастополя учреждениями здравоохранения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40011,7</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40011,7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40011,7</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40011,7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(абзац введен </w:t>
            </w:r>
            <w:hyperlink w:history="0" r:id="rId468"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28.07.2023 N 358-ПП)</w:t>
            </w:r>
          </w:p>
        </w:tc>
      </w:tr>
      <w:tr>
        <w:tc>
          <w:tcPr>
            <w:tcW w:w="3458" w:type="dxa"/>
            <w:tcBorders>
              <w:bottom w:val="nil"/>
            </w:tcBorders>
            <w:vMerge w:val="restart"/>
          </w:tcPr>
          <w:p>
            <w:pPr>
              <w:pStyle w:val="0"/>
              <w:jc w:val="both"/>
            </w:pPr>
            <w:r>
              <w:rPr>
                <w:sz w:val="20"/>
              </w:rPr>
              <w:t xml:space="preserve">2.31. Реализация регионального проекта "Борьба с сахарным диабетом"</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9992,9</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9992,9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9992,9</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9992,9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(абзац введен </w:t>
            </w:r>
            <w:hyperlink w:history="0" r:id="rId469"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03.11.2023 N 506-ПП)</w:t>
            </w:r>
          </w:p>
        </w:tc>
      </w:tr>
      <w:tr>
        <w:tc>
          <w:tcPr>
            <w:tcW w:w="3458" w:type="dxa"/>
            <w:tcBorders>
              <w:bottom w:val="nil"/>
            </w:tcBorders>
            <w:vMerge w:val="restart"/>
          </w:tcPr>
          <w:p>
            <w:pPr>
              <w:pStyle w:val="0"/>
              <w:jc w:val="both"/>
            </w:pPr>
            <w:r>
              <w:rPr>
                <w:sz w:val="20"/>
              </w:rPr>
              <w:t xml:space="preserve">Итого по </w:t>
            </w:r>
            <w:hyperlink w:history="0" w:anchor="P968" w:tooltip="ПОДПРОГРАММА 2">
              <w:r>
                <w:rPr>
                  <w:sz w:val="20"/>
                  <w:color w:val="0000ff"/>
                </w:rPr>
                <w:t xml:space="preserve">подпрограмме 2</w:t>
              </w:r>
            </w:hyperlink>
          </w:p>
        </w:tc>
        <w:tc>
          <w:tcPr>
            <w:tcW w:w="2041" w:type="dxa"/>
            <w:tcBorders>
              <w:bottom w:val="nil"/>
            </w:tcBorders>
            <w:vMerge w:val="restart"/>
          </w:tcPr>
          <w:p>
            <w:pPr>
              <w:pStyle w:val="0"/>
              <w:jc w:val="both"/>
            </w:pPr>
            <w:r>
              <w:rPr>
                <w:sz w:val="20"/>
              </w:rPr>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3970325,9</w:t>
            </w:r>
          </w:p>
        </w:tc>
        <w:tc>
          <w:tcPr>
            <w:tcW w:w="1417" w:type="dxa"/>
          </w:tcPr>
          <w:p>
            <w:pPr>
              <w:pStyle w:val="0"/>
              <w:jc w:val="center"/>
            </w:pPr>
            <w:r>
              <w:rPr>
                <w:sz w:val="20"/>
              </w:rPr>
              <w:t xml:space="preserve">5737053,7</w:t>
            </w:r>
          </w:p>
        </w:tc>
        <w:tc>
          <w:tcPr>
            <w:tcW w:w="1417" w:type="dxa"/>
          </w:tcPr>
          <w:p>
            <w:pPr>
              <w:pStyle w:val="0"/>
              <w:jc w:val="center"/>
            </w:pPr>
            <w:r>
              <w:rPr>
                <w:sz w:val="20"/>
              </w:rPr>
              <w:t xml:space="preserve">4246712,6</w:t>
            </w:r>
          </w:p>
        </w:tc>
        <w:tc>
          <w:tcPr>
            <w:tcW w:w="1474" w:type="dxa"/>
          </w:tcPr>
          <w:p>
            <w:pPr>
              <w:pStyle w:val="0"/>
              <w:jc w:val="center"/>
            </w:pPr>
            <w:r>
              <w:rPr>
                <w:sz w:val="20"/>
              </w:rPr>
              <w:t xml:space="preserve">7847678,4</w:t>
            </w:r>
          </w:p>
        </w:tc>
        <w:tc>
          <w:tcPr>
            <w:tcW w:w="1531" w:type="dxa"/>
          </w:tcPr>
          <w:p>
            <w:pPr>
              <w:pStyle w:val="0"/>
              <w:jc w:val="center"/>
            </w:pPr>
            <w:r>
              <w:rPr>
                <w:sz w:val="20"/>
              </w:rPr>
              <w:t xml:space="preserve">11930523,5</w:t>
            </w:r>
          </w:p>
        </w:tc>
        <w:tc>
          <w:tcPr>
            <w:tcW w:w="1474" w:type="dxa"/>
          </w:tcPr>
          <w:p>
            <w:pPr>
              <w:pStyle w:val="0"/>
              <w:jc w:val="center"/>
            </w:pPr>
            <w:r>
              <w:rPr>
                <w:sz w:val="20"/>
              </w:rPr>
              <w:t xml:space="preserve">7966122,3</w:t>
            </w:r>
          </w:p>
        </w:tc>
        <w:tc>
          <w:tcPr>
            <w:tcW w:w="1361" w:type="dxa"/>
          </w:tcPr>
          <w:p>
            <w:pPr>
              <w:pStyle w:val="0"/>
              <w:jc w:val="center"/>
            </w:pPr>
            <w:r>
              <w:rPr>
                <w:sz w:val="20"/>
              </w:rPr>
              <w:t xml:space="preserve">3695871,9</w:t>
            </w:r>
          </w:p>
        </w:tc>
        <w:tc>
          <w:tcPr>
            <w:tcW w:w="1361" w:type="dxa"/>
          </w:tcPr>
          <w:p>
            <w:pPr>
              <w:pStyle w:val="0"/>
              <w:jc w:val="center"/>
            </w:pPr>
            <w:r>
              <w:rPr>
                <w:sz w:val="20"/>
              </w:rPr>
              <w:t xml:space="preserve">3799356,0</w:t>
            </w:r>
          </w:p>
        </w:tc>
        <w:tc>
          <w:tcPr>
            <w:tcW w:w="1361" w:type="dxa"/>
          </w:tcPr>
          <w:p>
            <w:pPr>
              <w:pStyle w:val="0"/>
              <w:jc w:val="center"/>
            </w:pPr>
            <w:r>
              <w:rPr>
                <w:sz w:val="20"/>
              </w:rPr>
              <w:t xml:space="preserve">3905738,1</w:t>
            </w:r>
          </w:p>
        </w:tc>
        <w:tc>
          <w:tcPr>
            <w:tcW w:w="1531" w:type="dxa"/>
          </w:tcPr>
          <w:p>
            <w:pPr>
              <w:pStyle w:val="0"/>
              <w:jc w:val="center"/>
            </w:pPr>
            <w:r>
              <w:rPr>
                <w:sz w:val="20"/>
              </w:rPr>
              <w:t xml:space="preserve">53099382,4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217242,6</w:t>
            </w:r>
          </w:p>
        </w:tc>
        <w:tc>
          <w:tcPr>
            <w:tcW w:w="1417" w:type="dxa"/>
          </w:tcPr>
          <w:p>
            <w:pPr>
              <w:pStyle w:val="0"/>
              <w:jc w:val="center"/>
            </w:pPr>
            <w:r>
              <w:rPr>
                <w:sz w:val="20"/>
              </w:rPr>
              <w:t xml:space="preserve">1478570,1</w:t>
            </w:r>
          </w:p>
        </w:tc>
        <w:tc>
          <w:tcPr>
            <w:tcW w:w="1417" w:type="dxa"/>
          </w:tcPr>
          <w:p>
            <w:pPr>
              <w:pStyle w:val="0"/>
              <w:jc w:val="center"/>
            </w:pPr>
            <w:r>
              <w:rPr>
                <w:sz w:val="20"/>
              </w:rPr>
              <w:t xml:space="preserve">1008068,9</w:t>
            </w:r>
          </w:p>
        </w:tc>
        <w:tc>
          <w:tcPr>
            <w:tcW w:w="1474" w:type="dxa"/>
          </w:tcPr>
          <w:p>
            <w:pPr>
              <w:pStyle w:val="0"/>
              <w:jc w:val="center"/>
            </w:pPr>
            <w:r>
              <w:rPr>
                <w:sz w:val="20"/>
              </w:rPr>
              <w:t xml:space="preserve">4120591,8</w:t>
            </w:r>
          </w:p>
        </w:tc>
        <w:tc>
          <w:tcPr>
            <w:tcW w:w="1531" w:type="dxa"/>
          </w:tcPr>
          <w:p>
            <w:pPr>
              <w:pStyle w:val="0"/>
              <w:jc w:val="center"/>
            </w:pPr>
            <w:r>
              <w:rPr>
                <w:sz w:val="20"/>
              </w:rPr>
              <w:t xml:space="preserve">7855530,6</w:t>
            </w:r>
          </w:p>
        </w:tc>
        <w:tc>
          <w:tcPr>
            <w:tcW w:w="1474" w:type="dxa"/>
          </w:tcPr>
          <w:p>
            <w:pPr>
              <w:pStyle w:val="0"/>
              <w:jc w:val="center"/>
            </w:pPr>
            <w:r>
              <w:rPr>
                <w:sz w:val="20"/>
              </w:rPr>
              <w:t xml:space="preserve">4036988,0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18716992,0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161368,1</w:t>
            </w:r>
          </w:p>
        </w:tc>
        <w:tc>
          <w:tcPr>
            <w:tcW w:w="1417" w:type="dxa"/>
          </w:tcPr>
          <w:p>
            <w:pPr>
              <w:pStyle w:val="0"/>
              <w:jc w:val="center"/>
            </w:pPr>
            <w:r>
              <w:rPr>
                <w:sz w:val="20"/>
              </w:rPr>
              <w:t xml:space="preserve">143426,8</w:t>
            </w:r>
          </w:p>
        </w:tc>
        <w:tc>
          <w:tcPr>
            <w:tcW w:w="1417" w:type="dxa"/>
          </w:tcPr>
          <w:p>
            <w:pPr>
              <w:pStyle w:val="0"/>
              <w:jc w:val="center"/>
            </w:pPr>
            <w:r>
              <w:rPr>
                <w:sz w:val="20"/>
              </w:rPr>
              <w:t xml:space="preserve">55330,1</w:t>
            </w:r>
          </w:p>
        </w:tc>
        <w:tc>
          <w:tcPr>
            <w:tcW w:w="1474" w:type="dxa"/>
          </w:tcPr>
          <w:p>
            <w:pPr>
              <w:pStyle w:val="0"/>
              <w:jc w:val="center"/>
            </w:pPr>
            <w:r>
              <w:rPr>
                <w:sz w:val="20"/>
              </w:rPr>
              <w:t xml:space="preserve">54447,8</w:t>
            </w:r>
          </w:p>
        </w:tc>
        <w:tc>
          <w:tcPr>
            <w:tcW w:w="1531" w:type="dxa"/>
          </w:tcPr>
          <w:p>
            <w:pPr>
              <w:pStyle w:val="0"/>
              <w:jc w:val="center"/>
            </w:pPr>
            <w:r>
              <w:rPr>
                <w:sz w:val="20"/>
              </w:rPr>
              <w:t xml:space="preserve">56244,6</w:t>
            </w:r>
          </w:p>
        </w:tc>
        <w:tc>
          <w:tcPr>
            <w:tcW w:w="1474" w:type="dxa"/>
          </w:tcPr>
          <w:p>
            <w:pPr>
              <w:pStyle w:val="0"/>
              <w:jc w:val="center"/>
            </w:pPr>
            <w:r>
              <w:rPr>
                <w:sz w:val="20"/>
              </w:rPr>
              <w:t xml:space="preserve">57988,2</w:t>
            </w:r>
          </w:p>
        </w:tc>
        <w:tc>
          <w:tcPr>
            <w:tcW w:w="1361" w:type="dxa"/>
          </w:tcPr>
          <w:p>
            <w:pPr>
              <w:pStyle w:val="0"/>
              <w:jc w:val="center"/>
            </w:pPr>
            <w:r>
              <w:rPr>
                <w:sz w:val="20"/>
              </w:rPr>
              <w:t xml:space="preserve">59669,8</w:t>
            </w:r>
          </w:p>
        </w:tc>
        <w:tc>
          <w:tcPr>
            <w:tcW w:w="1361" w:type="dxa"/>
          </w:tcPr>
          <w:p>
            <w:pPr>
              <w:pStyle w:val="0"/>
              <w:jc w:val="center"/>
            </w:pPr>
            <w:r>
              <w:rPr>
                <w:sz w:val="20"/>
              </w:rPr>
              <w:t xml:space="preserve">61340,5</w:t>
            </w:r>
          </w:p>
        </w:tc>
        <w:tc>
          <w:tcPr>
            <w:tcW w:w="1361" w:type="dxa"/>
          </w:tcPr>
          <w:p>
            <w:pPr>
              <w:pStyle w:val="0"/>
              <w:jc w:val="center"/>
            </w:pPr>
            <w:r>
              <w:rPr>
                <w:sz w:val="20"/>
              </w:rPr>
              <w:t xml:space="preserve">63058,0</w:t>
            </w:r>
          </w:p>
        </w:tc>
        <w:tc>
          <w:tcPr>
            <w:tcW w:w="1531" w:type="dxa"/>
          </w:tcPr>
          <w:p>
            <w:pPr>
              <w:pStyle w:val="0"/>
              <w:jc w:val="center"/>
            </w:pPr>
            <w:r>
              <w:rPr>
                <w:sz w:val="20"/>
              </w:rPr>
              <w:t xml:space="preserve">712873,9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3342094,0</w:t>
            </w:r>
          </w:p>
        </w:tc>
        <w:tc>
          <w:tcPr>
            <w:tcW w:w="1417" w:type="dxa"/>
          </w:tcPr>
          <w:p>
            <w:pPr>
              <w:pStyle w:val="0"/>
              <w:jc w:val="center"/>
            </w:pPr>
            <w:r>
              <w:rPr>
                <w:sz w:val="20"/>
              </w:rPr>
              <w:t xml:space="preserve">4027479,5</w:t>
            </w:r>
          </w:p>
        </w:tc>
        <w:tc>
          <w:tcPr>
            <w:tcW w:w="1417" w:type="dxa"/>
          </w:tcPr>
          <w:p>
            <w:pPr>
              <w:pStyle w:val="0"/>
              <w:jc w:val="center"/>
            </w:pPr>
            <w:r>
              <w:rPr>
                <w:sz w:val="20"/>
              </w:rPr>
              <w:t xml:space="preserve">3183313,6</w:t>
            </w:r>
          </w:p>
        </w:tc>
        <w:tc>
          <w:tcPr>
            <w:tcW w:w="1474" w:type="dxa"/>
          </w:tcPr>
          <w:p>
            <w:pPr>
              <w:pStyle w:val="0"/>
              <w:jc w:val="center"/>
            </w:pPr>
            <w:r>
              <w:rPr>
                <w:sz w:val="20"/>
              </w:rPr>
              <w:t xml:space="preserve">3672638,8</w:t>
            </w:r>
          </w:p>
        </w:tc>
        <w:tc>
          <w:tcPr>
            <w:tcW w:w="1531" w:type="dxa"/>
          </w:tcPr>
          <w:p>
            <w:pPr>
              <w:pStyle w:val="0"/>
              <w:jc w:val="center"/>
            </w:pPr>
            <w:r>
              <w:rPr>
                <w:sz w:val="20"/>
              </w:rPr>
              <w:t xml:space="preserve">4018748,3</w:t>
            </w:r>
          </w:p>
        </w:tc>
        <w:tc>
          <w:tcPr>
            <w:tcW w:w="1474" w:type="dxa"/>
          </w:tcPr>
          <w:p>
            <w:pPr>
              <w:pStyle w:val="0"/>
              <w:jc w:val="center"/>
            </w:pPr>
            <w:r>
              <w:rPr>
                <w:sz w:val="20"/>
              </w:rPr>
              <w:t xml:space="preserve">3871146,1</w:t>
            </w:r>
          </w:p>
        </w:tc>
        <w:tc>
          <w:tcPr>
            <w:tcW w:w="1361" w:type="dxa"/>
          </w:tcPr>
          <w:p>
            <w:pPr>
              <w:pStyle w:val="0"/>
              <w:jc w:val="center"/>
            </w:pPr>
            <w:r>
              <w:rPr>
                <w:sz w:val="20"/>
              </w:rPr>
              <w:t xml:space="preserve">3636202,1</w:t>
            </w:r>
          </w:p>
        </w:tc>
        <w:tc>
          <w:tcPr>
            <w:tcW w:w="1361" w:type="dxa"/>
          </w:tcPr>
          <w:p>
            <w:pPr>
              <w:pStyle w:val="0"/>
              <w:jc w:val="center"/>
            </w:pPr>
            <w:r>
              <w:rPr>
                <w:sz w:val="20"/>
              </w:rPr>
              <w:t xml:space="preserve">3738015,5</w:t>
            </w:r>
          </w:p>
        </w:tc>
        <w:tc>
          <w:tcPr>
            <w:tcW w:w="1361" w:type="dxa"/>
          </w:tcPr>
          <w:p>
            <w:pPr>
              <w:pStyle w:val="0"/>
              <w:jc w:val="center"/>
            </w:pPr>
            <w:r>
              <w:rPr>
                <w:sz w:val="20"/>
              </w:rPr>
              <w:t xml:space="preserve">3842680,1</w:t>
            </w:r>
          </w:p>
        </w:tc>
        <w:tc>
          <w:tcPr>
            <w:tcW w:w="1531" w:type="dxa"/>
          </w:tcPr>
          <w:p>
            <w:pPr>
              <w:pStyle w:val="0"/>
              <w:jc w:val="center"/>
            </w:pPr>
            <w:r>
              <w:rPr>
                <w:sz w:val="20"/>
              </w:rPr>
              <w:t xml:space="preserve">33332318,0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 (5%)</w:t>
            </w:r>
          </w:p>
        </w:tc>
        <w:tc>
          <w:tcPr>
            <w:tcW w:w="1417" w:type="dxa"/>
          </w:tcPr>
          <w:p>
            <w:pPr>
              <w:pStyle w:val="0"/>
              <w:jc w:val="center"/>
            </w:pPr>
            <w:r>
              <w:rPr>
                <w:sz w:val="20"/>
              </w:rPr>
              <w:t xml:space="preserve">11430,7</w:t>
            </w:r>
          </w:p>
        </w:tc>
        <w:tc>
          <w:tcPr>
            <w:tcW w:w="1417" w:type="dxa"/>
          </w:tcPr>
          <w:p>
            <w:pPr>
              <w:pStyle w:val="0"/>
              <w:jc w:val="center"/>
            </w:pPr>
            <w:r>
              <w:rPr>
                <w:sz w:val="20"/>
              </w:rPr>
              <w:t xml:space="preserve">77821,7</w:t>
            </w:r>
          </w:p>
        </w:tc>
        <w:tc>
          <w:tcPr>
            <w:tcW w:w="1417" w:type="dxa"/>
          </w:tcPr>
          <w:p>
            <w:pPr>
              <w:pStyle w:val="0"/>
              <w:jc w:val="center"/>
            </w:pPr>
            <w:r>
              <w:rPr>
                <w:sz w:val="20"/>
              </w:rPr>
              <w:t xml:space="preserve">53055,3</w:t>
            </w:r>
          </w:p>
        </w:tc>
        <w:tc>
          <w:tcPr>
            <w:tcW w:w="1474" w:type="dxa"/>
          </w:tcPr>
          <w:p>
            <w:pPr>
              <w:pStyle w:val="0"/>
              <w:jc w:val="center"/>
            </w:pPr>
            <w:r>
              <w:rPr>
                <w:sz w:val="20"/>
              </w:rPr>
              <w:t xml:space="preserve">310154,1</w:t>
            </w:r>
          </w:p>
        </w:tc>
        <w:tc>
          <w:tcPr>
            <w:tcW w:w="1531" w:type="dxa"/>
          </w:tcPr>
          <w:p>
            <w:pPr>
              <w:pStyle w:val="0"/>
              <w:jc w:val="center"/>
            </w:pPr>
            <w:r>
              <w:rPr>
                <w:sz w:val="20"/>
              </w:rPr>
              <w:t xml:space="preserve">591275,7</w:t>
            </w:r>
          </w:p>
        </w:tc>
        <w:tc>
          <w:tcPr>
            <w:tcW w:w="1474" w:type="dxa"/>
          </w:tcPr>
          <w:p>
            <w:pPr>
              <w:pStyle w:val="0"/>
              <w:jc w:val="center"/>
            </w:pPr>
            <w:r>
              <w:rPr>
                <w:sz w:val="20"/>
              </w:rPr>
              <w:t xml:space="preserve">303850,0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1347587,5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8638,8</w:t>
            </w:r>
          </w:p>
        </w:tc>
        <w:tc>
          <w:tcPr>
            <w:tcW w:w="1417" w:type="dxa"/>
          </w:tcPr>
          <w:p>
            <w:pPr>
              <w:pStyle w:val="0"/>
              <w:jc w:val="center"/>
            </w:pPr>
            <w:r>
              <w:rPr>
                <w:sz w:val="20"/>
              </w:rPr>
              <w:t xml:space="preserve">1361,2</w:t>
            </w:r>
          </w:p>
        </w:tc>
        <w:tc>
          <w:tcPr>
            <w:tcW w:w="1474" w:type="dxa"/>
          </w:tcPr>
          <w:p>
            <w:pPr>
              <w:pStyle w:val="0"/>
              <w:jc w:val="center"/>
            </w:pPr>
            <w:r>
              <w:rPr>
                <w:sz w:val="20"/>
              </w:rPr>
              <w:t xml:space="preserve">44505,5</w:t>
            </w:r>
          </w:p>
        </w:tc>
        <w:tc>
          <w:tcPr>
            <w:tcW w:w="1531" w:type="dxa"/>
          </w:tcPr>
          <w:p>
            <w:pPr>
              <w:pStyle w:val="0"/>
              <w:jc w:val="center"/>
            </w:pPr>
            <w:r>
              <w:rPr>
                <w:sz w:val="20"/>
              </w:rPr>
              <w:t xml:space="preserve">0,0</w:t>
            </w:r>
          </w:p>
        </w:tc>
        <w:tc>
          <w:tcPr>
            <w:tcW w:w="1474" w:type="dxa"/>
          </w:tcPr>
          <w:p>
            <w:pPr>
              <w:pStyle w:val="0"/>
              <w:jc w:val="center"/>
            </w:pPr>
            <w:r>
              <w:rPr>
                <w:sz w:val="20"/>
              </w:rPr>
              <w:t xml:space="preserve">33571,8</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88077,3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 в том числе:</w:t>
            </w:r>
          </w:p>
        </w:tc>
        <w:tc>
          <w:tcPr>
            <w:tcW w:w="1417" w:type="dxa"/>
          </w:tcPr>
          <w:p>
            <w:pPr>
              <w:pStyle w:val="0"/>
              <w:jc w:val="center"/>
            </w:pPr>
            <w:r>
              <w:rPr>
                <w:sz w:val="20"/>
              </w:rPr>
              <w:t xml:space="preserve">249621,2</w:t>
            </w:r>
          </w:p>
        </w:tc>
        <w:tc>
          <w:tcPr>
            <w:tcW w:w="1417" w:type="dxa"/>
          </w:tcPr>
          <w:p>
            <w:pPr>
              <w:pStyle w:val="0"/>
              <w:jc w:val="center"/>
            </w:pPr>
            <w:r>
              <w:rPr>
                <w:sz w:val="20"/>
              </w:rPr>
              <w:t xml:space="preserve">87577,3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337198,5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247573,9</w:t>
            </w:r>
          </w:p>
        </w:tc>
        <w:tc>
          <w:tcPr>
            <w:tcW w:w="1417" w:type="dxa"/>
          </w:tcPr>
          <w:p>
            <w:pPr>
              <w:pStyle w:val="0"/>
              <w:jc w:val="center"/>
            </w:pPr>
            <w:r>
              <w:rPr>
                <w:sz w:val="20"/>
              </w:rPr>
              <w:t xml:space="preserve">85530,0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333103,9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2047,3</w:t>
            </w:r>
          </w:p>
        </w:tc>
        <w:tc>
          <w:tcPr>
            <w:tcW w:w="1417" w:type="dxa"/>
          </w:tcPr>
          <w:p>
            <w:pPr>
              <w:pStyle w:val="0"/>
              <w:jc w:val="center"/>
            </w:pPr>
            <w:r>
              <w:rPr>
                <w:sz w:val="20"/>
              </w:rPr>
              <w:t xml:space="preserve">2047,3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4094,6</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70"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tc>
      </w:tr>
      <w:tr>
        <w:tc>
          <w:tcPr>
            <w:gridSpan w:val="13"/>
            <w:tcW w:w="22337" w:type="dxa"/>
          </w:tcPr>
          <w:p>
            <w:pPr>
              <w:pStyle w:val="0"/>
              <w:outlineLvl w:val="2"/>
              <w:jc w:val="center"/>
            </w:pPr>
            <w:r>
              <w:rPr>
                <w:sz w:val="20"/>
              </w:rPr>
              <w:t xml:space="preserve">Подпрограмма 3 "Охрана здоровья матери и ребенка"</w:t>
            </w:r>
          </w:p>
        </w:tc>
      </w:tr>
      <w:tr>
        <w:tc>
          <w:tcPr>
            <w:tcW w:w="3458" w:type="dxa"/>
            <w:tcBorders>
              <w:bottom w:val="nil"/>
            </w:tcBorders>
            <w:vMerge w:val="restart"/>
          </w:tcPr>
          <w:p>
            <w:pPr>
              <w:pStyle w:val="0"/>
              <w:jc w:val="both"/>
            </w:pPr>
            <w:r>
              <w:rPr>
                <w:sz w:val="20"/>
              </w:rPr>
              <w:t xml:space="preserve">3.1.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казенных учреждений в области охраны здоровья матери и ребенка</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146896,6</w:t>
            </w:r>
          </w:p>
        </w:tc>
        <w:tc>
          <w:tcPr>
            <w:tcW w:w="1417" w:type="dxa"/>
          </w:tcPr>
          <w:p>
            <w:pPr>
              <w:pStyle w:val="0"/>
              <w:jc w:val="center"/>
            </w:pPr>
            <w:r>
              <w:rPr>
                <w:sz w:val="20"/>
              </w:rPr>
              <w:t xml:space="preserve">20584,0</w:t>
            </w:r>
          </w:p>
        </w:tc>
        <w:tc>
          <w:tcPr>
            <w:tcW w:w="1417" w:type="dxa"/>
          </w:tcPr>
          <w:p>
            <w:pPr>
              <w:pStyle w:val="0"/>
              <w:jc w:val="center"/>
            </w:pPr>
            <w:r>
              <w:rPr>
                <w:sz w:val="20"/>
              </w:rPr>
              <w:t xml:space="preserve">19302,5</w:t>
            </w:r>
          </w:p>
        </w:tc>
        <w:tc>
          <w:tcPr>
            <w:tcW w:w="1474" w:type="dxa"/>
          </w:tcPr>
          <w:p>
            <w:pPr>
              <w:pStyle w:val="0"/>
              <w:jc w:val="center"/>
            </w:pPr>
            <w:r>
              <w:rPr>
                <w:sz w:val="20"/>
              </w:rPr>
              <w:t xml:space="preserve">20430,8</w:t>
            </w:r>
          </w:p>
        </w:tc>
        <w:tc>
          <w:tcPr>
            <w:tcW w:w="1531" w:type="dxa"/>
          </w:tcPr>
          <w:p>
            <w:pPr>
              <w:pStyle w:val="0"/>
              <w:jc w:val="center"/>
            </w:pPr>
            <w:r>
              <w:rPr>
                <w:sz w:val="20"/>
              </w:rPr>
              <w:t xml:space="preserve">21105,0</w:t>
            </w:r>
          </w:p>
        </w:tc>
        <w:tc>
          <w:tcPr>
            <w:tcW w:w="1474" w:type="dxa"/>
          </w:tcPr>
          <w:p>
            <w:pPr>
              <w:pStyle w:val="0"/>
              <w:jc w:val="center"/>
            </w:pPr>
            <w:r>
              <w:rPr>
                <w:sz w:val="20"/>
              </w:rPr>
              <w:t xml:space="preserve">21759,3</w:t>
            </w:r>
          </w:p>
        </w:tc>
        <w:tc>
          <w:tcPr>
            <w:tcW w:w="1361" w:type="dxa"/>
          </w:tcPr>
          <w:p>
            <w:pPr>
              <w:pStyle w:val="0"/>
              <w:jc w:val="center"/>
            </w:pPr>
            <w:r>
              <w:rPr>
                <w:sz w:val="20"/>
              </w:rPr>
              <w:t xml:space="preserve">22390,3</w:t>
            </w:r>
          </w:p>
        </w:tc>
        <w:tc>
          <w:tcPr>
            <w:tcW w:w="1361" w:type="dxa"/>
          </w:tcPr>
          <w:p>
            <w:pPr>
              <w:pStyle w:val="0"/>
              <w:jc w:val="center"/>
            </w:pPr>
            <w:r>
              <w:rPr>
                <w:sz w:val="20"/>
              </w:rPr>
              <w:t xml:space="preserve">23017,2</w:t>
            </w:r>
          </w:p>
        </w:tc>
        <w:tc>
          <w:tcPr>
            <w:tcW w:w="1361" w:type="dxa"/>
          </w:tcPr>
          <w:p>
            <w:pPr>
              <w:pStyle w:val="0"/>
              <w:jc w:val="center"/>
            </w:pPr>
            <w:r>
              <w:rPr>
                <w:sz w:val="20"/>
              </w:rPr>
              <w:t xml:space="preserve">23661,7</w:t>
            </w:r>
          </w:p>
        </w:tc>
        <w:tc>
          <w:tcPr>
            <w:tcW w:w="1531" w:type="dxa"/>
          </w:tcPr>
          <w:p>
            <w:pPr>
              <w:pStyle w:val="0"/>
              <w:jc w:val="center"/>
            </w:pPr>
            <w:r>
              <w:rPr>
                <w:sz w:val="20"/>
              </w:rPr>
              <w:t xml:space="preserve">319147,4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146896,6</w:t>
            </w:r>
          </w:p>
        </w:tc>
        <w:tc>
          <w:tcPr>
            <w:tcW w:w="1417" w:type="dxa"/>
          </w:tcPr>
          <w:p>
            <w:pPr>
              <w:pStyle w:val="0"/>
              <w:jc w:val="center"/>
            </w:pPr>
            <w:r>
              <w:rPr>
                <w:sz w:val="20"/>
              </w:rPr>
              <w:t xml:space="preserve">20584,0</w:t>
            </w:r>
          </w:p>
        </w:tc>
        <w:tc>
          <w:tcPr>
            <w:tcW w:w="1417" w:type="dxa"/>
          </w:tcPr>
          <w:p>
            <w:pPr>
              <w:pStyle w:val="0"/>
              <w:jc w:val="center"/>
            </w:pPr>
            <w:r>
              <w:rPr>
                <w:sz w:val="20"/>
              </w:rPr>
              <w:t xml:space="preserve">19302,5</w:t>
            </w:r>
          </w:p>
        </w:tc>
        <w:tc>
          <w:tcPr>
            <w:tcW w:w="1474" w:type="dxa"/>
          </w:tcPr>
          <w:p>
            <w:pPr>
              <w:pStyle w:val="0"/>
              <w:jc w:val="center"/>
            </w:pPr>
            <w:r>
              <w:rPr>
                <w:sz w:val="20"/>
              </w:rPr>
              <w:t xml:space="preserve">20430,8</w:t>
            </w:r>
          </w:p>
        </w:tc>
        <w:tc>
          <w:tcPr>
            <w:tcW w:w="1531" w:type="dxa"/>
          </w:tcPr>
          <w:p>
            <w:pPr>
              <w:pStyle w:val="0"/>
              <w:jc w:val="center"/>
            </w:pPr>
            <w:r>
              <w:rPr>
                <w:sz w:val="20"/>
              </w:rPr>
              <w:t xml:space="preserve">21105,0</w:t>
            </w:r>
          </w:p>
        </w:tc>
        <w:tc>
          <w:tcPr>
            <w:tcW w:w="1474" w:type="dxa"/>
          </w:tcPr>
          <w:p>
            <w:pPr>
              <w:pStyle w:val="0"/>
              <w:jc w:val="center"/>
            </w:pPr>
            <w:r>
              <w:rPr>
                <w:sz w:val="20"/>
              </w:rPr>
              <w:t xml:space="preserve">21759,3</w:t>
            </w:r>
          </w:p>
        </w:tc>
        <w:tc>
          <w:tcPr>
            <w:tcW w:w="1361" w:type="dxa"/>
          </w:tcPr>
          <w:p>
            <w:pPr>
              <w:pStyle w:val="0"/>
              <w:jc w:val="center"/>
            </w:pPr>
            <w:r>
              <w:rPr>
                <w:sz w:val="20"/>
              </w:rPr>
              <w:t xml:space="preserve">22390,3</w:t>
            </w:r>
          </w:p>
        </w:tc>
        <w:tc>
          <w:tcPr>
            <w:tcW w:w="1361" w:type="dxa"/>
          </w:tcPr>
          <w:p>
            <w:pPr>
              <w:pStyle w:val="0"/>
              <w:jc w:val="center"/>
            </w:pPr>
            <w:r>
              <w:rPr>
                <w:sz w:val="20"/>
              </w:rPr>
              <w:t xml:space="preserve">23017,2</w:t>
            </w:r>
          </w:p>
        </w:tc>
        <w:tc>
          <w:tcPr>
            <w:tcW w:w="1361" w:type="dxa"/>
          </w:tcPr>
          <w:p>
            <w:pPr>
              <w:pStyle w:val="0"/>
              <w:jc w:val="center"/>
            </w:pPr>
            <w:r>
              <w:rPr>
                <w:sz w:val="20"/>
              </w:rPr>
              <w:t xml:space="preserve">23661,7</w:t>
            </w:r>
          </w:p>
        </w:tc>
        <w:tc>
          <w:tcPr>
            <w:tcW w:w="1531" w:type="dxa"/>
          </w:tcPr>
          <w:p>
            <w:pPr>
              <w:pStyle w:val="0"/>
              <w:jc w:val="center"/>
            </w:pPr>
            <w:r>
              <w:rPr>
                <w:sz w:val="20"/>
              </w:rPr>
              <w:t xml:space="preserve">319147,4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71"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3.2. Мероприятие по обеспечению детей, состоящих на диспансерном учете в ГБУЗС "Севастопольский противотуберкулезный диспансер", путевками для санаторно-курортного лечения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1203,8</w:t>
            </w:r>
          </w:p>
        </w:tc>
        <w:tc>
          <w:tcPr>
            <w:tcW w:w="1417" w:type="dxa"/>
          </w:tcPr>
          <w:p>
            <w:pPr>
              <w:pStyle w:val="0"/>
              <w:jc w:val="center"/>
            </w:pPr>
            <w:r>
              <w:rPr>
                <w:sz w:val="20"/>
              </w:rPr>
              <w:t xml:space="preserve">1241,6</w:t>
            </w:r>
          </w:p>
        </w:tc>
        <w:tc>
          <w:tcPr>
            <w:tcW w:w="1417" w:type="dxa"/>
          </w:tcPr>
          <w:p>
            <w:pPr>
              <w:pStyle w:val="0"/>
              <w:jc w:val="center"/>
            </w:pPr>
            <w:r>
              <w:rPr>
                <w:sz w:val="20"/>
              </w:rPr>
              <w:t xml:space="preserve">1366,6</w:t>
            </w:r>
          </w:p>
        </w:tc>
        <w:tc>
          <w:tcPr>
            <w:tcW w:w="1474" w:type="dxa"/>
          </w:tcPr>
          <w:p>
            <w:pPr>
              <w:pStyle w:val="0"/>
              <w:jc w:val="center"/>
            </w:pPr>
            <w:r>
              <w:rPr>
                <w:sz w:val="20"/>
              </w:rPr>
              <w:t xml:space="preserve">1421,3</w:t>
            </w:r>
          </w:p>
        </w:tc>
        <w:tc>
          <w:tcPr>
            <w:tcW w:w="1531" w:type="dxa"/>
          </w:tcPr>
          <w:p>
            <w:pPr>
              <w:pStyle w:val="0"/>
              <w:jc w:val="center"/>
            </w:pPr>
            <w:r>
              <w:rPr>
                <w:sz w:val="20"/>
              </w:rPr>
              <w:t xml:space="preserve">1468,2</w:t>
            </w:r>
          </w:p>
        </w:tc>
        <w:tc>
          <w:tcPr>
            <w:tcW w:w="1474" w:type="dxa"/>
          </w:tcPr>
          <w:p>
            <w:pPr>
              <w:pStyle w:val="0"/>
              <w:jc w:val="center"/>
            </w:pPr>
            <w:r>
              <w:rPr>
                <w:sz w:val="20"/>
              </w:rPr>
              <w:t xml:space="preserve">1513,7</w:t>
            </w:r>
          </w:p>
        </w:tc>
        <w:tc>
          <w:tcPr>
            <w:tcW w:w="1361" w:type="dxa"/>
          </w:tcPr>
          <w:p>
            <w:pPr>
              <w:pStyle w:val="0"/>
              <w:jc w:val="center"/>
            </w:pPr>
            <w:r>
              <w:rPr>
                <w:sz w:val="20"/>
              </w:rPr>
              <w:t xml:space="preserve">1557,6</w:t>
            </w:r>
          </w:p>
        </w:tc>
        <w:tc>
          <w:tcPr>
            <w:tcW w:w="1361" w:type="dxa"/>
          </w:tcPr>
          <w:p>
            <w:pPr>
              <w:pStyle w:val="0"/>
              <w:jc w:val="center"/>
            </w:pPr>
            <w:r>
              <w:rPr>
                <w:sz w:val="20"/>
              </w:rPr>
              <w:t xml:space="preserve">1601,2</w:t>
            </w:r>
          </w:p>
        </w:tc>
        <w:tc>
          <w:tcPr>
            <w:tcW w:w="1361" w:type="dxa"/>
          </w:tcPr>
          <w:p>
            <w:pPr>
              <w:pStyle w:val="0"/>
              <w:jc w:val="center"/>
            </w:pPr>
            <w:r>
              <w:rPr>
                <w:sz w:val="20"/>
              </w:rPr>
              <w:t xml:space="preserve">1646,0</w:t>
            </w:r>
          </w:p>
        </w:tc>
        <w:tc>
          <w:tcPr>
            <w:tcW w:w="1531" w:type="dxa"/>
          </w:tcPr>
          <w:p>
            <w:pPr>
              <w:pStyle w:val="0"/>
              <w:jc w:val="center"/>
            </w:pPr>
            <w:r>
              <w:rPr>
                <w:sz w:val="20"/>
              </w:rPr>
              <w:t xml:space="preserve">13020,0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1203,8</w:t>
            </w:r>
          </w:p>
        </w:tc>
        <w:tc>
          <w:tcPr>
            <w:tcW w:w="1417" w:type="dxa"/>
          </w:tcPr>
          <w:p>
            <w:pPr>
              <w:pStyle w:val="0"/>
              <w:jc w:val="center"/>
            </w:pPr>
            <w:r>
              <w:rPr>
                <w:sz w:val="20"/>
              </w:rPr>
              <w:t xml:space="preserve">1241,6</w:t>
            </w:r>
          </w:p>
        </w:tc>
        <w:tc>
          <w:tcPr>
            <w:tcW w:w="1417" w:type="dxa"/>
          </w:tcPr>
          <w:p>
            <w:pPr>
              <w:pStyle w:val="0"/>
              <w:jc w:val="center"/>
            </w:pPr>
            <w:r>
              <w:rPr>
                <w:sz w:val="20"/>
              </w:rPr>
              <w:t xml:space="preserve">1366,6</w:t>
            </w:r>
          </w:p>
        </w:tc>
        <w:tc>
          <w:tcPr>
            <w:tcW w:w="1474" w:type="dxa"/>
          </w:tcPr>
          <w:p>
            <w:pPr>
              <w:pStyle w:val="0"/>
              <w:jc w:val="center"/>
            </w:pPr>
            <w:r>
              <w:rPr>
                <w:sz w:val="20"/>
              </w:rPr>
              <w:t xml:space="preserve">1421,3</w:t>
            </w:r>
          </w:p>
        </w:tc>
        <w:tc>
          <w:tcPr>
            <w:tcW w:w="1531" w:type="dxa"/>
          </w:tcPr>
          <w:p>
            <w:pPr>
              <w:pStyle w:val="0"/>
              <w:jc w:val="center"/>
            </w:pPr>
            <w:r>
              <w:rPr>
                <w:sz w:val="20"/>
              </w:rPr>
              <w:t xml:space="preserve">1468,2</w:t>
            </w:r>
          </w:p>
        </w:tc>
        <w:tc>
          <w:tcPr>
            <w:tcW w:w="1474" w:type="dxa"/>
          </w:tcPr>
          <w:p>
            <w:pPr>
              <w:pStyle w:val="0"/>
              <w:jc w:val="center"/>
            </w:pPr>
            <w:r>
              <w:rPr>
                <w:sz w:val="20"/>
              </w:rPr>
              <w:t xml:space="preserve">1513,7</w:t>
            </w:r>
          </w:p>
        </w:tc>
        <w:tc>
          <w:tcPr>
            <w:tcW w:w="1361" w:type="dxa"/>
          </w:tcPr>
          <w:p>
            <w:pPr>
              <w:pStyle w:val="0"/>
              <w:jc w:val="center"/>
            </w:pPr>
            <w:r>
              <w:rPr>
                <w:sz w:val="20"/>
              </w:rPr>
              <w:t xml:space="preserve">1557,6</w:t>
            </w:r>
          </w:p>
        </w:tc>
        <w:tc>
          <w:tcPr>
            <w:tcW w:w="1361" w:type="dxa"/>
          </w:tcPr>
          <w:p>
            <w:pPr>
              <w:pStyle w:val="0"/>
              <w:jc w:val="center"/>
            </w:pPr>
            <w:r>
              <w:rPr>
                <w:sz w:val="20"/>
              </w:rPr>
              <w:t xml:space="preserve">1601,2</w:t>
            </w:r>
          </w:p>
        </w:tc>
        <w:tc>
          <w:tcPr>
            <w:tcW w:w="1361" w:type="dxa"/>
          </w:tcPr>
          <w:p>
            <w:pPr>
              <w:pStyle w:val="0"/>
              <w:jc w:val="center"/>
            </w:pPr>
            <w:r>
              <w:rPr>
                <w:sz w:val="20"/>
              </w:rPr>
              <w:t xml:space="preserve">1646,0</w:t>
            </w:r>
          </w:p>
        </w:tc>
        <w:tc>
          <w:tcPr>
            <w:tcW w:w="1531" w:type="dxa"/>
          </w:tcPr>
          <w:p>
            <w:pPr>
              <w:pStyle w:val="0"/>
              <w:jc w:val="center"/>
            </w:pPr>
            <w:r>
              <w:rPr>
                <w:sz w:val="20"/>
              </w:rPr>
              <w:t xml:space="preserve">13020,0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72"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3.3. Обеспечение полноценным питанием беременных женщин, кормящих матерей, а также детей в возрасте до трех лет</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106135,1</w:t>
            </w:r>
          </w:p>
        </w:tc>
        <w:tc>
          <w:tcPr>
            <w:tcW w:w="1417" w:type="dxa"/>
          </w:tcPr>
          <w:p>
            <w:pPr>
              <w:pStyle w:val="0"/>
              <w:jc w:val="center"/>
            </w:pPr>
            <w:r>
              <w:rPr>
                <w:sz w:val="20"/>
              </w:rPr>
              <w:t xml:space="preserve">130169,3</w:t>
            </w:r>
          </w:p>
        </w:tc>
        <w:tc>
          <w:tcPr>
            <w:tcW w:w="1417" w:type="dxa"/>
          </w:tcPr>
          <w:p>
            <w:pPr>
              <w:pStyle w:val="0"/>
              <w:jc w:val="center"/>
            </w:pPr>
            <w:r>
              <w:rPr>
                <w:sz w:val="20"/>
              </w:rPr>
              <w:t xml:space="preserve">146692,7</w:t>
            </w:r>
          </w:p>
        </w:tc>
        <w:tc>
          <w:tcPr>
            <w:tcW w:w="1474" w:type="dxa"/>
          </w:tcPr>
          <w:p>
            <w:pPr>
              <w:pStyle w:val="0"/>
              <w:jc w:val="center"/>
            </w:pPr>
            <w:r>
              <w:rPr>
                <w:sz w:val="20"/>
              </w:rPr>
              <w:t xml:space="preserve">152525,7</w:t>
            </w:r>
          </w:p>
        </w:tc>
        <w:tc>
          <w:tcPr>
            <w:tcW w:w="1531" w:type="dxa"/>
          </w:tcPr>
          <w:p>
            <w:pPr>
              <w:pStyle w:val="0"/>
              <w:jc w:val="center"/>
            </w:pPr>
            <w:r>
              <w:rPr>
                <w:sz w:val="20"/>
              </w:rPr>
              <w:t xml:space="preserve">157559,0</w:t>
            </w:r>
          </w:p>
        </w:tc>
        <w:tc>
          <w:tcPr>
            <w:tcW w:w="1474" w:type="dxa"/>
          </w:tcPr>
          <w:p>
            <w:pPr>
              <w:pStyle w:val="0"/>
              <w:jc w:val="center"/>
            </w:pPr>
            <w:r>
              <w:rPr>
                <w:sz w:val="20"/>
              </w:rPr>
              <w:t xml:space="preserve">162443,3</w:t>
            </w:r>
          </w:p>
        </w:tc>
        <w:tc>
          <w:tcPr>
            <w:tcW w:w="1361" w:type="dxa"/>
          </w:tcPr>
          <w:p>
            <w:pPr>
              <w:pStyle w:val="0"/>
              <w:jc w:val="center"/>
            </w:pPr>
            <w:r>
              <w:rPr>
                <w:sz w:val="20"/>
              </w:rPr>
              <w:t xml:space="preserve">167154,2</w:t>
            </w:r>
          </w:p>
        </w:tc>
        <w:tc>
          <w:tcPr>
            <w:tcW w:w="1361" w:type="dxa"/>
          </w:tcPr>
          <w:p>
            <w:pPr>
              <w:pStyle w:val="0"/>
              <w:jc w:val="center"/>
            </w:pPr>
            <w:r>
              <w:rPr>
                <w:sz w:val="20"/>
              </w:rPr>
              <w:t xml:space="preserve">171834,5</w:t>
            </w:r>
          </w:p>
        </w:tc>
        <w:tc>
          <w:tcPr>
            <w:tcW w:w="1361" w:type="dxa"/>
          </w:tcPr>
          <w:p>
            <w:pPr>
              <w:pStyle w:val="0"/>
              <w:jc w:val="center"/>
            </w:pPr>
            <w:r>
              <w:rPr>
                <w:sz w:val="20"/>
              </w:rPr>
              <w:t xml:space="preserve">176645,9</w:t>
            </w:r>
          </w:p>
        </w:tc>
        <w:tc>
          <w:tcPr>
            <w:tcW w:w="1531" w:type="dxa"/>
          </w:tcPr>
          <w:p>
            <w:pPr>
              <w:pStyle w:val="0"/>
              <w:jc w:val="center"/>
            </w:pPr>
            <w:r>
              <w:rPr>
                <w:sz w:val="20"/>
              </w:rPr>
              <w:t xml:space="preserve">1371159,7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106135,1</w:t>
            </w:r>
          </w:p>
        </w:tc>
        <w:tc>
          <w:tcPr>
            <w:tcW w:w="1417" w:type="dxa"/>
          </w:tcPr>
          <w:p>
            <w:pPr>
              <w:pStyle w:val="0"/>
              <w:jc w:val="center"/>
            </w:pPr>
            <w:r>
              <w:rPr>
                <w:sz w:val="20"/>
              </w:rPr>
              <w:t xml:space="preserve">130169,3</w:t>
            </w:r>
          </w:p>
        </w:tc>
        <w:tc>
          <w:tcPr>
            <w:tcW w:w="1417" w:type="dxa"/>
          </w:tcPr>
          <w:p>
            <w:pPr>
              <w:pStyle w:val="0"/>
              <w:jc w:val="center"/>
            </w:pPr>
            <w:r>
              <w:rPr>
                <w:sz w:val="20"/>
              </w:rPr>
              <w:t xml:space="preserve">146692,7</w:t>
            </w:r>
          </w:p>
        </w:tc>
        <w:tc>
          <w:tcPr>
            <w:tcW w:w="1474" w:type="dxa"/>
          </w:tcPr>
          <w:p>
            <w:pPr>
              <w:pStyle w:val="0"/>
              <w:jc w:val="center"/>
            </w:pPr>
            <w:r>
              <w:rPr>
                <w:sz w:val="20"/>
              </w:rPr>
              <w:t xml:space="preserve">152525,7</w:t>
            </w:r>
          </w:p>
        </w:tc>
        <w:tc>
          <w:tcPr>
            <w:tcW w:w="1531" w:type="dxa"/>
          </w:tcPr>
          <w:p>
            <w:pPr>
              <w:pStyle w:val="0"/>
              <w:jc w:val="center"/>
            </w:pPr>
            <w:r>
              <w:rPr>
                <w:sz w:val="20"/>
              </w:rPr>
              <w:t xml:space="preserve">157559,0</w:t>
            </w:r>
          </w:p>
        </w:tc>
        <w:tc>
          <w:tcPr>
            <w:tcW w:w="1474" w:type="dxa"/>
          </w:tcPr>
          <w:p>
            <w:pPr>
              <w:pStyle w:val="0"/>
              <w:jc w:val="center"/>
            </w:pPr>
            <w:r>
              <w:rPr>
                <w:sz w:val="20"/>
              </w:rPr>
              <w:t xml:space="preserve">162443,3</w:t>
            </w:r>
          </w:p>
        </w:tc>
        <w:tc>
          <w:tcPr>
            <w:tcW w:w="1361" w:type="dxa"/>
          </w:tcPr>
          <w:p>
            <w:pPr>
              <w:pStyle w:val="0"/>
              <w:jc w:val="center"/>
            </w:pPr>
            <w:r>
              <w:rPr>
                <w:sz w:val="20"/>
              </w:rPr>
              <w:t xml:space="preserve">167154,2</w:t>
            </w:r>
          </w:p>
        </w:tc>
        <w:tc>
          <w:tcPr>
            <w:tcW w:w="1361" w:type="dxa"/>
          </w:tcPr>
          <w:p>
            <w:pPr>
              <w:pStyle w:val="0"/>
              <w:jc w:val="center"/>
            </w:pPr>
            <w:r>
              <w:rPr>
                <w:sz w:val="20"/>
              </w:rPr>
              <w:t xml:space="preserve">171834,5</w:t>
            </w:r>
          </w:p>
        </w:tc>
        <w:tc>
          <w:tcPr>
            <w:tcW w:w="1361" w:type="dxa"/>
          </w:tcPr>
          <w:p>
            <w:pPr>
              <w:pStyle w:val="0"/>
              <w:jc w:val="center"/>
            </w:pPr>
            <w:r>
              <w:rPr>
                <w:sz w:val="20"/>
              </w:rPr>
              <w:t xml:space="preserve">176645,9</w:t>
            </w:r>
          </w:p>
        </w:tc>
        <w:tc>
          <w:tcPr>
            <w:tcW w:w="1531" w:type="dxa"/>
          </w:tcPr>
          <w:p>
            <w:pPr>
              <w:pStyle w:val="0"/>
              <w:jc w:val="center"/>
            </w:pPr>
            <w:r>
              <w:rPr>
                <w:sz w:val="20"/>
              </w:rPr>
              <w:t xml:space="preserve">1371159,7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73"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3.4. Предоставление подарочного комплекта "Подарок новорожденному" в городе Севастополе</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18561,8</w:t>
            </w:r>
          </w:p>
        </w:tc>
        <w:tc>
          <w:tcPr>
            <w:tcW w:w="1417" w:type="dxa"/>
          </w:tcPr>
          <w:p>
            <w:pPr>
              <w:pStyle w:val="0"/>
              <w:jc w:val="center"/>
            </w:pPr>
            <w:r>
              <w:rPr>
                <w:sz w:val="20"/>
              </w:rPr>
              <w:t xml:space="preserve">16891,1</w:t>
            </w:r>
          </w:p>
        </w:tc>
        <w:tc>
          <w:tcPr>
            <w:tcW w:w="1417" w:type="dxa"/>
          </w:tcPr>
          <w:p>
            <w:pPr>
              <w:pStyle w:val="0"/>
              <w:jc w:val="center"/>
            </w:pPr>
            <w:r>
              <w:rPr>
                <w:sz w:val="20"/>
              </w:rPr>
              <w:t xml:space="preserve">24597,2</w:t>
            </w:r>
          </w:p>
        </w:tc>
        <w:tc>
          <w:tcPr>
            <w:tcW w:w="1474" w:type="dxa"/>
          </w:tcPr>
          <w:p>
            <w:pPr>
              <w:pStyle w:val="0"/>
              <w:jc w:val="center"/>
            </w:pPr>
            <w:r>
              <w:rPr>
                <w:sz w:val="20"/>
              </w:rPr>
              <w:t xml:space="preserve">25581,1</w:t>
            </w:r>
          </w:p>
        </w:tc>
        <w:tc>
          <w:tcPr>
            <w:tcW w:w="1531" w:type="dxa"/>
          </w:tcPr>
          <w:p>
            <w:pPr>
              <w:pStyle w:val="0"/>
              <w:jc w:val="center"/>
            </w:pPr>
            <w:r>
              <w:rPr>
                <w:sz w:val="20"/>
              </w:rPr>
              <w:t xml:space="preserve">26425,3</w:t>
            </w:r>
          </w:p>
        </w:tc>
        <w:tc>
          <w:tcPr>
            <w:tcW w:w="1474" w:type="dxa"/>
          </w:tcPr>
          <w:p>
            <w:pPr>
              <w:pStyle w:val="0"/>
              <w:jc w:val="center"/>
            </w:pPr>
            <w:r>
              <w:rPr>
                <w:sz w:val="20"/>
              </w:rPr>
              <w:t xml:space="preserve">27244,5</w:t>
            </w:r>
          </w:p>
        </w:tc>
        <w:tc>
          <w:tcPr>
            <w:tcW w:w="1361" w:type="dxa"/>
          </w:tcPr>
          <w:p>
            <w:pPr>
              <w:pStyle w:val="0"/>
              <w:jc w:val="center"/>
            </w:pPr>
            <w:r>
              <w:rPr>
                <w:sz w:val="20"/>
              </w:rPr>
              <w:t xml:space="preserve">28034,6</w:t>
            </w:r>
          </w:p>
        </w:tc>
        <w:tc>
          <w:tcPr>
            <w:tcW w:w="1361" w:type="dxa"/>
          </w:tcPr>
          <w:p>
            <w:pPr>
              <w:pStyle w:val="0"/>
              <w:jc w:val="center"/>
            </w:pPr>
            <w:r>
              <w:rPr>
                <w:sz w:val="20"/>
              </w:rPr>
              <w:t xml:space="preserve">28819,6</w:t>
            </w:r>
          </w:p>
        </w:tc>
        <w:tc>
          <w:tcPr>
            <w:tcW w:w="1361" w:type="dxa"/>
          </w:tcPr>
          <w:p>
            <w:pPr>
              <w:pStyle w:val="0"/>
              <w:jc w:val="center"/>
            </w:pPr>
            <w:r>
              <w:rPr>
                <w:sz w:val="20"/>
              </w:rPr>
              <w:t xml:space="preserve">29626,5</w:t>
            </w:r>
          </w:p>
        </w:tc>
        <w:tc>
          <w:tcPr>
            <w:tcW w:w="1531" w:type="dxa"/>
          </w:tcPr>
          <w:p>
            <w:pPr>
              <w:pStyle w:val="0"/>
              <w:jc w:val="center"/>
            </w:pPr>
            <w:r>
              <w:rPr>
                <w:sz w:val="20"/>
              </w:rPr>
              <w:t xml:space="preserve">225781,7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18561,8</w:t>
            </w:r>
          </w:p>
        </w:tc>
        <w:tc>
          <w:tcPr>
            <w:tcW w:w="1417" w:type="dxa"/>
          </w:tcPr>
          <w:p>
            <w:pPr>
              <w:pStyle w:val="0"/>
              <w:jc w:val="center"/>
            </w:pPr>
            <w:r>
              <w:rPr>
                <w:sz w:val="20"/>
              </w:rPr>
              <w:t xml:space="preserve">16891,1</w:t>
            </w:r>
          </w:p>
        </w:tc>
        <w:tc>
          <w:tcPr>
            <w:tcW w:w="1417" w:type="dxa"/>
          </w:tcPr>
          <w:p>
            <w:pPr>
              <w:pStyle w:val="0"/>
              <w:jc w:val="center"/>
            </w:pPr>
            <w:r>
              <w:rPr>
                <w:sz w:val="20"/>
              </w:rPr>
              <w:t xml:space="preserve">24597,2</w:t>
            </w:r>
          </w:p>
        </w:tc>
        <w:tc>
          <w:tcPr>
            <w:tcW w:w="1474" w:type="dxa"/>
          </w:tcPr>
          <w:p>
            <w:pPr>
              <w:pStyle w:val="0"/>
              <w:jc w:val="center"/>
            </w:pPr>
            <w:r>
              <w:rPr>
                <w:sz w:val="20"/>
              </w:rPr>
              <w:t xml:space="preserve">25581,1</w:t>
            </w:r>
          </w:p>
        </w:tc>
        <w:tc>
          <w:tcPr>
            <w:tcW w:w="1531" w:type="dxa"/>
          </w:tcPr>
          <w:p>
            <w:pPr>
              <w:pStyle w:val="0"/>
              <w:jc w:val="center"/>
            </w:pPr>
            <w:r>
              <w:rPr>
                <w:sz w:val="20"/>
              </w:rPr>
              <w:t xml:space="preserve">26425,3</w:t>
            </w:r>
          </w:p>
        </w:tc>
        <w:tc>
          <w:tcPr>
            <w:tcW w:w="1474" w:type="dxa"/>
          </w:tcPr>
          <w:p>
            <w:pPr>
              <w:pStyle w:val="0"/>
              <w:jc w:val="center"/>
            </w:pPr>
            <w:r>
              <w:rPr>
                <w:sz w:val="20"/>
              </w:rPr>
              <w:t xml:space="preserve">27244,5</w:t>
            </w:r>
          </w:p>
        </w:tc>
        <w:tc>
          <w:tcPr>
            <w:tcW w:w="1361" w:type="dxa"/>
          </w:tcPr>
          <w:p>
            <w:pPr>
              <w:pStyle w:val="0"/>
              <w:jc w:val="center"/>
            </w:pPr>
            <w:r>
              <w:rPr>
                <w:sz w:val="20"/>
              </w:rPr>
              <w:t xml:space="preserve">28034,6</w:t>
            </w:r>
          </w:p>
        </w:tc>
        <w:tc>
          <w:tcPr>
            <w:tcW w:w="1361" w:type="dxa"/>
          </w:tcPr>
          <w:p>
            <w:pPr>
              <w:pStyle w:val="0"/>
              <w:jc w:val="center"/>
            </w:pPr>
            <w:r>
              <w:rPr>
                <w:sz w:val="20"/>
              </w:rPr>
              <w:t xml:space="preserve">28819,6</w:t>
            </w:r>
          </w:p>
        </w:tc>
        <w:tc>
          <w:tcPr>
            <w:tcW w:w="1361" w:type="dxa"/>
          </w:tcPr>
          <w:p>
            <w:pPr>
              <w:pStyle w:val="0"/>
              <w:jc w:val="center"/>
            </w:pPr>
            <w:r>
              <w:rPr>
                <w:sz w:val="20"/>
              </w:rPr>
              <w:t xml:space="preserve">29626,5</w:t>
            </w:r>
          </w:p>
        </w:tc>
        <w:tc>
          <w:tcPr>
            <w:tcW w:w="1531" w:type="dxa"/>
          </w:tcPr>
          <w:p>
            <w:pPr>
              <w:pStyle w:val="0"/>
              <w:jc w:val="center"/>
            </w:pPr>
            <w:r>
              <w:rPr>
                <w:sz w:val="20"/>
              </w:rPr>
              <w:t xml:space="preserve">225781,7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74"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3.5. Мероприятия в рамках сотрудничества с Правительством Москвы в целях охраны здоровья матери и ребенка</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60073,7</w:t>
            </w:r>
          </w:p>
        </w:tc>
        <w:tc>
          <w:tcPr>
            <w:tcW w:w="1417" w:type="dxa"/>
          </w:tcPr>
          <w:p>
            <w:pPr>
              <w:pStyle w:val="0"/>
              <w:jc w:val="center"/>
            </w:pPr>
            <w:r>
              <w:rPr>
                <w:sz w:val="20"/>
              </w:rPr>
              <w:t xml:space="preserve">38994,1</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99067,8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60073,7</w:t>
            </w:r>
          </w:p>
        </w:tc>
        <w:tc>
          <w:tcPr>
            <w:tcW w:w="1417" w:type="dxa"/>
          </w:tcPr>
          <w:p>
            <w:pPr>
              <w:pStyle w:val="0"/>
              <w:jc w:val="center"/>
            </w:pPr>
            <w:r>
              <w:rPr>
                <w:sz w:val="20"/>
              </w:rPr>
              <w:t xml:space="preserve">38994,1</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99067,8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46697,3</w:t>
            </w:r>
          </w:p>
        </w:tc>
        <w:tc>
          <w:tcPr>
            <w:tcW w:w="1417" w:type="dxa"/>
          </w:tcPr>
          <w:p>
            <w:pPr>
              <w:pStyle w:val="0"/>
              <w:jc w:val="center"/>
            </w:pPr>
            <w:r>
              <w:rPr>
                <w:sz w:val="20"/>
              </w:rPr>
              <w:t xml:space="preserve">25617,8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72315,1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13376,4</w:t>
            </w:r>
          </w:p>
        </w:tc>
        <w:tc>
          <w:tcPr>
            <w:tcW w:w="1417" w:type="dxa"/>
          </w:tcPr>
          <w:p>
            <w:pPr>
              <w:pStyle w:val="0"/>
              <w:jc w:val="center"/>
            </w:pPr>
            <w:r>
              <w:rPr>
                <w:sz w:val="20"/>
              </w:rPr>
              <w:t xml:space="preserve">13376,3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26752,7</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7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vMerge w:val="restart"/>
          </w:tcPr>
          <w:p>
            <w:pPr>
              <w:pStyle w:val="0"/>
              <w:jc w:val="both"/>
            </w:pPr>
            <w:r>
              <w:rPr>
                <w:sz w:val="20"/>
              </w:rPr>
              <w:t xml:space="preserve">3.6. 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по проведению указанным лицам профилактических прививок, включенных в </w:t>
            </w:r>
            <w:hyperlink w:history="0" r:id="rId476"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календарь</w:t>
              </w:r>
            </w:hyperlink>
            <w:r>
              <w:rPr>
                <w:sz w:val="20"/>
              </w:rPr>
              <w:t xml:space="preserve"> профилактических прививок по эпидемическим показаниям, за счет средств резервного фонда Правительства Российской Федерации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488,3</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488,3</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488,3</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488,3</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3.7. Расходы для оплаты налога на имущество государственных учреждений, подведомственных Департаменту здравоохранения города Севастополя</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3.8. 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477"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42211,6</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42211,6</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42211,6</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42211,6</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3.9. Проведение массового обследования новорожденных на врожденные и (или) наследственные заболевания (расширенный неонатальный скрининг)</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9782,3</w:t>
            </w:r>
          </w:p>
        </w:tc>
        <w:tc>
          <w:tcPr>
            <w:tcW w:w="1417" w:type="dxa"/>
          </w:tcPr>
          <w:p>
            <w:pPr>
              <w:pStyle w:val="0"/>
              <w:jc w:val="center"/>
            </w:pPr>
            <w:r>
              <w:rPr>
                <w:sz w:val="20"/>
              </w:rPr>
              <w:t xml:space="preserve">9822,5</w:t>
            </w:r>
          </w:p>
        </w:tc>
        <w:tc>
          <w:tcPr>
            <w:tcW w:w="1474" w:type="dxa"/>
          </w:tcPr>
          <w:p>
            <w:pPr>
              <w:pStyle w:val="0"/>
              <w:jc w:val="center"/>
            </w:pPr>
            <w:r>
              <w:rPr>
                <w:sz w:val="20"/>
              </w:rPr>
              <w:t xml:space="preserve">9830,5</w:t>
            </w:r>
          </w:p>
        </w:tc>
        <w:tc>
          <w:tcPr>
            <w:tcW w:w="1531" w:type="dxa"/>
          </w:tcPr>
          <w:p>
            <w:pPr>
              <w:pStyle w:val="0"/>
              <w:jc w:val="center"/>
            </w:pPr>
            <w:r>
              <w:rPr>
                <w:sz w:val="20"/>
              </w:rPr>
              <w:t xml:space="preserve">10154,9</w:t>
            </w:r>
          </w:p>
        </w:tc>
        <w:tc>
          <w:tcPr>
            <w:tcW w:w="1474" w:type="dxa"/>
          </w:tcPr>
          <w:p>
            <w:pPr>
              <w:pStyle w:val="0"/>
              <w:jc w:val="center"/>
            </w:pPr>
            <w:r>
              <w:rPr>
                <w:sz w:val="20"/>
              </w:rPr>
              <w:t xml:space="preserve">10469,7</w:t>
            </w:r>
          </w:p>
        </w:tc>
        <w:tc>
          <w:tcPr>
            <w:tcW w:w="1361" w:type="dxa"/>
          </w:tcPr>
          <w:p>
            <w:pPr>
              <w:pStyle w:val="0"/>
              <w:jc w:val="center"/>
            </w:pPr>
            <w:r>
              <w:rPr>
                <w:sz w:val="20"/>
              </w:rPr>
              <w:t xml:space="preserve">10773,4</w:t>
            </w:r>
          </w:p>
        </w:tc>
        <w:tc>
          <w:tcPr>
            <w:tcW w:w="1361" w:type="dxa"/>
          </w:tcPr>
          <w:p>
            <w:pPr>
              <w:pStyle w:val="0"/>
              <w:jc w:val="center"/>
            </w:pPr>
            <w:r>
              <w:rPr>
                <w:sz w:val="20"/>
              </w:rPr>
              <w:t xml:space="preserve">11075,0</w:t>
            </w:r>
          </w:p>
        </w:tc>
        <w:tc>
          <w:tcPr>
            <w:tcW w:w="1361" w:type="dxa"/>
          </w:tcPr>
          <w:p>
            <w:pPr>
              <w:pStyle w:val="0"/>
              <w:jc w:val="center"/>
            </w:pPr>
            <w:r>
              <w:rPr>
                <w:sz w:val="20"/>
              </w:rPr>
              <w:t xml:space="preserve">11385,1</w:t>
            </w:r>
          </w:p>
        </w:tc>
        <w:tc>
          <w:tcPr>
            <w:tcW w:w="1531" w:type="dxa"/>
          </w:tcPr>
          <w:p>
            <w:pPr>
              <w:pStyle w:val="0"/>
              <w:jc w:val="center"/>
            </w:pPr>
            <w:r>
              <w:rPr>
                <w:sz w:val="20"/>
              </w:rPr>
              <w:t xml:space="preserve">83293,4</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9293,2</w:t>
            </w:r>
          </w:p>
        </w:tc>
        <w:tc>
          <w:tcPr>
            <w:tcW w:w="1417" w:type="dxa"/>
          </w:tcPr>
          <w:p>
            <w:pPr>
              <w:pStyle w:val="0"/>
              <w:jc w:val="center"/>
            </w:pPr>
            <w:r>
              <w:rPr>
                <w:sz w:val="20"/>
              </w:rPr>
              <w:t xml:space="preserve">9331,4</w:t>
            </w:r>
          </w:p>
        </w:tc>
        <w:tc>
          <w:tcPr>
            <w:tcW w:w="1474" w:type="dxa"/>
          </w:tcPr>
          <w:p>
            <w:pPr>
              <w:pStyle w:val="0"/>
              <w:jc w:val="center"/>
            </w:pPr>
            <w:r>
              <w:rPr>
                <w:sz w:val="20"/>
              </w:rPr>
              <w:t xml:space="preserve">9142,4</w:t>
            </w:r>
          </w:p>
        </w:tc>
        <w:tc>
          <w:tcPr>
            <w:tcW w:w="1531" w:type="dxa"/>
          </w:tcPr>
          <w:p>
            <w:pPr>
              <w:pStyle w:val="0"/>
              <w:jc w:val="center"/>
            </w:pPr>
            <w:r>
              <w:rPr>
                <w:sz w:val="20"/>
              </w:rPr>
              <w:t xml:space="preserve">9444,1</w:t>
            </w:r>
          </w:p>
        </w:tc>
        <w:tc>
          <w:tcPr>
            <w:tcW w:w="1474" w:type="dxa"/>
          </w:tcPr>
          <w:p>
            <w:pPr>
              <w:pStyle w:val="0"/>
              <w:jc w:val="center"/>
            </w:pPr>
            <w:r>
              <w:rPr>
                <w:sz w:val="20"/>
              </w:rPr>
              <w:t xml:space="preserve">9736,9</w:t>
            </w:r>
          </w:p>
        </w:tc>
        <w:tc>
          <w:tcPr>
            <w:tcW w:w="1361" w:type="dxa"/>
          </w:tcPr>
          <w:p>
            <w:pPr>
              <w:pStyle w:val="0"/>
              <w:jc w:val="center"/>
            </w:pPr>
            <w:r>
              <w:rPr>
                <w:sz w:val="20"/>
              </w:rPr>
              <w:t xml:space="preserve">10019,3</w:t>
            </w:r>
          </w:p>
        </w:tc>
        <w:tc>
          <w:tcPr>
            <w:tcW w:w="1361" w:type="dxa"/>
          </w:tcPr>
          <w:p>
            <w:pPr>
              <w:pStyle w:val="0"/>
              <w:jc w:val="center"/>
            </w:pPr>
            <w:r>
              <w:rPr>
                <w:sz w:val="20"/>
              </w:rPr>
              <w:t xml:space="preserve">10299,8</w:t>
            </w:r>
          </w:p>
        </w:tc>
        <w:tc>
          <w:tcPr>
            <w:tcW w:w="1361" w:type="dxa"/>
          </w:tcPr>
          <w:p>
            <w:pPr>
              <w:pStyle w:val="0"/>
              <w:jc w:val="center"/>
            </w:pPr>
            <w:r>
              <w:rPr>
                <w:sz w:val="20"/>
              </w:rPr>
              <w:t xml:space="preserve">10588,2</w:t>
            </w:r>
          </w:p>
        </w:tc>
        <w:tc>
          <w:tcPr>
            <w:tcW w:w="1531" w:type="dxa"/>
          </w:tcPr>
          <w:p>
            <w:pPr>
              <w:pStyle w:val="0"/>
              <w:jc w:val="center"/>
            </w:pPr>
            <w:r>
              <w:rPr>
                <w:sz w:val="20"/>
              </w:rPr>
              <w:t xml:space="preserve">77855,3</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489,1</w:t>
            </w:r>
          </w:p>
        </w:tc>
        <w:tc>
          <w:tcPr>
            <w:tcW w:w="1417" w:type="dxa"/>
          </w:tcPr>
          <w:p>
            <w:pPr>
              <w:pStyle w:val="0"/>
              <w:jc w:val="center"/>
            </w:pPr>
            <w:r>
              <w:rPr>
                <w:sz w:val="20"/>
              </w:rPr>
              <w:t xml:space="preserve">491,1</w:t>
            </w:r>
          </w:p>
        </w:tc>
        <w:tc>
          <w:tcPr>
            <w:tcW w:w="1474" w:type="dxa"/>
          </w:tcPr>
          <w:p>
            <w:pPr>
              <w:pStyle w:val="0"/>
              <w:jc w:val="center"/>
            </w:pPr>
            <w:r>
              <w:rPr>
                <w:sz w:val="20"/>
              </w:rPr>
              <w:t xml:space="preserve">688,1</w:t>
            </w:r>
          </w:p>
        </w:tc>
        <w:tc>
          <w:tcPr>
            <w:tcW w:w="1531" w:type="dxa"/>
          </w:tcPr>
          <w:p>
            <w:pPr>
              <w:pStyle w:val="0"/>
              <w:jc w:val="center"/>
            </w:pPr>
            <w:r>
              <w:rPr>
                <w:sz w:val="20"/>
              </w:rPr>
              <w:t xml:space="preserve">710,8</w:t>
            </w:r>
          </w:p>
        </w:tc>
        <w:tc>
          <w:tcPr>
            <w:tcW w:w="1474" w:type="dxa"/>
          </w:tcPr>
          <w:p>
            <w:pPr>
              <w:pStyle w:val="0"/>
              <w:jc w:val="center"/>
            </w:pPr>
            <w:r>
              <w:rPr>
                <w:sz w:val="20"/>
              </w:rPr>
              <w:t xml:space="preserve">732,8</w:t>
            </w:r>
          </w:p>
        </w:tc>
        <w:tc>
          <w:tcPr>
            <w:tcW w:w="1361" w:type="dxa"/>
          </w:tcPr>
          <w:p>
            <w:pPr>
              <w:pStyle w:val="0"/>
              <w:jc w:val="center"/>
            </w:pPr>
            <w:r>
              <w:rPr>
                <w:sz w:val="20"/>
              </w:rPr>
              <w:t xml:space="preserve">754,1</w:t>
            </w:r>
          </w:p>
        </w:tc>
        <w:tc>
          <w:tcPr>
            <w:tcW w:w="1361" w:type="dxa"/>
          </w:tcPr>
          <w:p>
            <w:pPr>
              <w:pStyle w:val="0"/>
              <w:jc w:val="center"/>
            </w:pPr>
            <w:r>
              <w:rPr>
                <w:sz w:val="20"/>
              </w:rPr>
              <w:t xml:space="preserve">775,2</w:t>
            </w:r>
          </w:p>
        </w:tc>
        <w:tc>
          <w:tcPr>
            <w:tcW w:w="1361" w:type="dxa"/>
          </w:tcPr>
          <w:p>
            <w:pPr>
              <w:pStyle w:val="0"/>
              <w:jc w:val="center"/>
            </w:pPr>
            <w:r>
              <w:rPr>
                <w:sz w:val="20"/>
              </w:rPr>
              <w:t xml:space="preserve">796,9</w:t>
            </w:r>
          </w:p>
        </w:tc>
        <w:tc>
          <w:tcPr>
            <w:tcW w:w="1531" w:type="dxa"/>
          </w:tcPr>
          <w:p>
            <w:pPr>
              <w:pStyle w:val="0"/>
              <w:jc w:val="center"/>
            </w:pPr>
            <w:r>
              <w:rPr>
                <w:sz w:val="20"/>
              </w:rPr>
              <w:t xml:space="preserve">5438,1</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3.10. Оказание государственными учреждениями здравоохранения государственных услуг, выполнение работ в области охраны здоровья матери и ребенка в стационарных условиях</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8605,5</w:t>
            </w:r>
          </w:p>
        </w:tc>
        <w:tc>
          <w:tcPr>
            <w:tcW w:w="1417" w:type="dxa"/>
          </w:tcPr>
          <w:p>
            <w:pPr>
              <w:pStyle w:val="0"/>
              <w:jc w:val="center"/>
            </w:pPr>
            <w:r>
              <w:rPr>
                <w:sz w:val="20"/>
              </w:rPr>
              <w:t xml:space="preserve">7398,8</w:t>
            </w:r>
          </w:p>
        </w:tc>
        <w:tc>
          <w:tcPr>
            <w:tcW w:w="1474" w:type="dxa"/>
          </w:tcPr>
          <w:p>
            <w:pPr>
              <w:pStyle w:val="0"/>
              <w:jc w:val="center"/>
            </w:pPr>
            <w:r>
              <w:rPr>
                <w:sz w:val="20"/>
              </w:rPr>
              <w:t xml:space="preserve">7811,6</w:t>
            </w:r>
          </w:p>
        </w:tc>
        <w:tc>
          <w:tcPr>
            <w:tcW w:w="1531" w:type="dxa"/>
          </w:tcPr>
          <w:p>
            <w:pPr>
              <w:pStyle w:val="0"/>
              <w:jc w:val="center"/>
            </w:pPr>
            <w:r>
              <w:rPr>
                <w:sz w:val="20"/>
              </w:rPr>
              <w:t xml:space="preserve">8069,4</w:t>
            </w:r>
          </w:p>
        </w:tc>
        <w:tc>
          <w:tcPr>
            <w:tcW w:w="1474" w:type="dxa"/>
          </w:tcPr>
          <w:p>
            <w:pPr>
              <w:pStyle w:val="0"/>
              <w:jc w:val="center"/>
            </w:pPr>
            <w:r>
              <w:rPr>
                <w:sz w:val="20"/>
              </w:rPr>
              <w:t xml:space="preserve">8319,6</w:t>
            </w:r>
          </w:p>
        </w:tc>
        <w:tc>
          <w:tcPr>
            <w:tcW w:w="1361" w:type="dxa"/>
          </w:tcPr>
          <w:p>
            <w:pPr>
              <w:pStyle w:val="0"/>
              <w:jc w:val="center"/>
            </w:pPr>
            <w:r>
              <w:rPr>
                <w:sz w:val="20"/>
              </w:rPr>
              <w:t xml:space="preserve">8560,9</w:t>
            </w:r>
          </w:p>
        </w:tc>
        <w:tc>
          <w:tcPr>
            <w:tcW w:w="1361" w:type="dxa"/>
          </w:tcPr>
          <w:p>
            <w:pPr>
              <w:pStyle w:val="0"/>
              <w:jc w:val="center"/>
            </w:pPr>
            <w:r>
              <w:rPr>
                <w:sz w:val="20"/>
              </w:rPr>
              <w:t xml:space="preserve">8800,6</w:t>
            </w:r>
          </w:p>
        </w:tc>
        <w:tc>
          <w:tcPr>
            <w:tcW w:w="1361" w:type="dxa"/>
          </w:tcPr>
          <w:p>
            <w:pPr>
              <w:pStyle w:val="0"/>
              <w:jc w:val="center"/>
            </w:pPr>
            <w:r>
              <w:rPr>
                <w:sz w:val="20"/>
              </w:rPr>
              <w:t xml:space="preserve">9047,0</w:t>
            </w:r>
          </w:p>
        </w:tc>
        <w:tc>
          <w:tcPr>
            <w:tcW w:w="1531" w:type="dxa"/>
          </w:tcPr>
          <w:p>
            <w:pPr>
              <w:pStyle w:val="0"/>
              <w:jc w:val="center"/>
            </w:pPr>
            <w:r>
              <w:rPr>
                <w:sz w:val="20"/>
              </w:rPr>
              <w:t xml:space="preserve">66613,4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8605,5</w:t>
            </w:r>
          </w:p>
        </w:tc>
        <w:tc>
          <w:tcPr>
            <w:tcW w:w="1417" w:type="dxa"/>
          </w:tcPr>
          <w:p>
            <w:pPr>
              <w:pStyle w:val="0"/>
              <w:jc w:val="center"/>
            </w:pPr>
            <w:r>
              <w:rPr>
                <w:sz w:val="20"/>
              </w:rPr>
              <w:t xml:space="preserve">7398,8</w:t>
            </w:r>
          </w:p>
        </w:tc>
        <w:tc>
          <w:tcPr>
            <w:tcW w:w="1474" w:type="dxa"/>
          </w:tcPr>
          <w:p>
            <w:pPr>
              <w:pStyle w:val="0"/>
              <w:jc w:val="center"/>
            </w:pPr>
            <w:r>
              <w:rPr>
                <w:sz w:val="20"/>
              </w:rPr>
              <w:t xml:space="preserve">7811,6</w:t>
            </w:r>
          </w:p>
        </w:tc>
        <w:tc>
          <w:tcPr>
            <w:tcW w:w="1531" w:type="dxa"/>
          </w:tcPr>
          <w:p>
            <w:pPr>
              <w:pStyle w:val="0"/>
              <w:jc w:val="center"/>
            </w:pPr>
            <w:r>
              <w:rPr>
                <w:sz w:val="20"/>
              </w:rPr>
              <w:t xml:space="preserve">8069,4</w:t>
            </w:r>
          </w:p>
        </w:tc>
        <w:tc>
          <w:tcPr>
            <w:tcW w:w="1474" w:type="dxa"/>
          </w:tcPr>
          <w:p>
            <w:pPr>
              <w:pStyle w:val="0"/>
              <w:jc w:val="center"/>
            </w:pPr>
            <w:r>
              <w:rPr>
                <w:sz w:val="20"/>
              </w:rPr>
              <w:t xml:space="preserve">8319,6</w:t>
            </w:r>
          </w:p>
        </w:tc>
        <w:tc>
          <w:tcPr>
            <w:tcW w:w="1361" w:type="dxa"/>
          </w:tcPr>
          <w:p>
            <w:pPr>
              <w:pStyle w:val="0"/>
              <w:jc w:val="center"/>
            </w:pPr>
            <w:r>
              <w:rPr>
                <w:sz w:val="20"/>
              </w:rPr>
              <w:t xml:space="preserve">8560,9</w:t>
            </w:r>
          </w:p>
        </w:tc>
        <w:tc>
          <w:tcPr>
            <w:tcW w:w="1361" w:type="dxa"/>
          </w:tcPr>
          <w:p>
            <w:pPr>
              <w:pStyle w:val="0"/>
              <w:jc w:val="center"/>
            </w:pPr>
            <w:r>
              <w:rPr>
                <w:sz w:val="20"/>
              </w:rPr>
              <w:t xml:space="preserve">8800,6</w:t>
            </w:r>
          </w:p>
        </w:tc>
        <w:tc>
          <w:tcPr>
            <w:tcW w:w="1361" w:type="dxa"/>
          </w:tcPr>
          <w:p>
            <w:pPr>
              <w:pStyle w:val="0"/>
              <w:jc w:val="center"/>
            </w:pPr>
            <w:r>
              <w:rPr>
                <w:sz w:val="20"/>
              </w:rPr>
              <w:t xml:space="preserve">9047,0</w:t>
            </w:r>
          </w:p>
        </w:tc>
        <w:tc>
          <w:tcPr>
            <w:tcW w:w="1531" w:type="dxa"/>
          </w:tcPr>
          <w:p>
            <w:pPr>
              <w:pStyle w:val="0"/>
              <w:jc w:val="center"/>
            </w:pPr>
            <w:r>
              <w:rPr>
                <w:sz w:val="20"/>
              </w:rPr>
              <w:t xml:space="preserve">66613,4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78"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vMerge w:val="restart"/>
          </w:tcPr>
          <w:p>
            <w:pPr>
              <w:pStyle w:val="0"/>
              <w:jc w:val="both"/>
            </w:pPr>
            <w:r>
              <w:rPr>
                <w:sz w:val="20"/>
              </w:rPr>
              <w:t xml:space="preserve">3.11. Оказание государственными учреждениями здравоохранения государственных услуг, выполнение работ в области охраны здоровья матери и ребенка в условиях дневного стационара</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14570,4</w:t>
            </w:r>
          </w:p>
        </w:tc>
        <w:tc>
          <w:tcPr>
            <w:tcW w:w="1417" w:type="dxa"/>
          </w:tcPr>
          <w:p>
            <w:pPr>
              <w:pStyle w:val="0"/>
              <w:jc w:val="center"/>
            </w:pPr>
            <w:r>
              <w:rPr>
                <w:sz w:val="20"/>
              </w:rPr>
              <w:t xml:space="preserve">15541,0</w:t>
            </w:r>
          </w:p>
        </w:tc>
        <w:tc>
          <w:tcPr>
            <w:tcW w:w="1474" w:type="dxa"/>
          </w:tcPr>
          <w:p>
            <w:pPr>
              <w:pStyle w:val="0"/>
              <w:jc w:val="center"/>
            </w:pPr>
            <w:r>
              <w:rPr>
                <w:sz w:val="20"/>
              </w:rPr>
              <w:t xml:space="preserve">16465,6</w:t>
            </w:r>
          </w:p>
        </w:tc>
        <w:tc>
          <w:tcPr>
            <w:tcW w:w="1531" w:type="dxa"/>
          </w:tcPr>
          <w:p>
            <w:pPr>
              <w:pStyle w:val="0"/>
              <w:jc w:val="center"/>
            </w:pPr>
            <w:r>
              <w:rPr>
                <w:sz w:val="20"/>
              </w:rPr>
              <w:t xml:space="preserve">17009,0</w:t>
            </w:r>
          </w:p>
        </w:tc>
        <w:tc>
          <w:tcPr>
            <w:tcW w:w="1474" w:type="dxa"/>
          </w:tcPr>
          <w:p>
            <w:pPr>
              <w:pStyle w:val="0"/>
              <w:jc w:val="center"/>
            </w:pPr>
            <w:r>
              <w:rPr>
                <w:sz w:val="20"/>
              </w:rPr>
              <w:t xml:space="preserve">17536,3</w:t>
            </w:r>
          </w:p>
        </w:tc>
        <w:tc>
          <w:tcPr>
            <w:tcW w:w="1361" w:type="dxa"/>
          </w:tcPr>
          <w:p>
            <w:pPr>
              <w:pStyle w:val="0"/>
              <w:jc w:val="center"/>
            </w:pPr>
            <w:r>
              <w:rPr>
                <w:sz w:val="20"/>
              </w:rPr>
              <w:t xml:space="preserve">18044,9</w:t>
            </w:r>
          </w:p>
        </w:tc>
        <w:tc>
          <w:tcPr>
            <w:tcW w:w="1361" w:type="dxa"/>
          </w:tcPr>
          <w:p>
            <w:pPr>
              <w:pStyle w:val="0"/>
              <w:jc w:val="center"/>
            </w:pPr>
            <w:r>
              <w:rPr>
                <w:sz w:val="20"/>
              </w:rPr>
              <w:t xml:space="preserve">18550,2</w:t>
            </w:r>
          </w:p>
        </w:tc>
        <w:tc>
          <w:tcPr>
            <w:tcW w:w="1361" w:type="dxa"/>
          </w:tcPr>
          <w:p>
            <w:pPr>
              <w:pStyle w:val="0"/>
              <w:jc w:val="center"/>
            </w:pPr>
            <w:r>
              <w:rPr>
                <w:sz w:val="20"/>
              </w:rPr>
              <w:t xml:space="preserve">19069,6</w:t>
            </w:r>
          </w:p>
        </w:tc>
        <w:tc>
          <w:tcPr>
            <w:tcW w:w="1531" w:type="dxa"/>
          </w:tcPr>
          <w:p>
            <w:pPr>
              <w:pStyle w:val="0"/>
              <w:jc w:val="center"/>
            </w:pPr>
            <w:r>
              <w:rPr>
                <w:sz w:val="20"/>
              </w:rPr>
              <w:t xml:space="preserve">136787,0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14570,4</w:t>
            </w:r>
          </w:p>
        </w:tc>
        <w:tc>
          <w:tcPr>
            <w:tcW w:w="1417" w:type="dxa"/>
          </w:tcPr>
          <w:p>
            <w:pPr>
              <w:pStyle w:val="0"/>
              <w:jc w:val="center"/>
            </w:pPr>
            <w:r>
              <w:rPr>
                <w:sz w:val="20"/>
              </w:rPr>
              <w:t xml:space="preserve">15541,0</w:t>
            </w:r>
          </w:p>
        </w:tc>
        <w:tc>
          <w:tcPr>
            <w:tcW w:w="1474" w:type="dxa"/>
          </w:tcPr>
          <w:p>
            <w:pPr>
              <w:pStyle w:val="0"/>
              <w:jc w:val="center"/>
            </w:pPr>
            <w:r>
              <w:rPr>
                <w:sz w:val="20"/>
              </w:rPr>
              <w:t xml:space="preserve">16465,6</w:t>
            </w:r>
          </w:p>
        </w:tc>
        <w:tc>
          <w:tcPr>
            <w:tcW w:w="1531" w:type="dxa"/>
          </w:tcPr>
          <w:p>
            <w:pPr>
              <w:pStyle w:val="0"/>
              <w:jc w:val="center"/>
            </w:pPr>
            <w:r>
              <w:rPr>
                <w:sz w:val="20"/>
              </w:rPr>
              <w:t xml:space="preserve">17009,0</w:t>
            </w:r>
          </w:p>
        </w:tc>
        <w:tc>
          <w:tcPr>
            <w:tcW w:w="1474" w:type="dxa"/>
          </w:tcPr>
          <w:p>
            <w:pPr>
              <w:pStyle w:val="0"/>
              <w:jc w:val="center"/>
            </w:pPr>
            <w:r>
              <w:rPr>
                <w:sz w:val="20"/>
              </w:rPr>
              <w:t xml:space="preserve">17536,3</w:t>
            </w:r>
          </w:p>
        </w:tc>
        <w:tc>
          <w:tcPr>
            <w:tcW w:w="1361" w:type="dxa"/>
          </w:tcPr>
          <w:p>
            <w:pPr>
              <w:pStyle w:val="0"/>
              <w:jc w:val="center"/>
            </w:pPr>
            <w:r>
              <w:rPr>
                <w:sz w:val="20"/>
              </w:rPr>
              <w:t xml:space="preserve">18044,9</w:t>
            </w:r>
          </w:p>
        </w:tc>
        <w:tc>
          <w:tcPr>
            <w:tcW w:w="1361" w:type="dxa"/>
          </w:tcPr>
          <w:p>
            <w:pPr>
              <w:pStyle w:val="0"/>
              <w:jc w:val="center"/>
            </w:pPr>
            <w:r>
              <w:rPr>
                <w:sz w:val="20"/>
              </w:rPr>
              <w:t xml:space="preserve">18550,2</w:t>
            </w:r>
          </w:p>
        </w:tc>
        <w:tc>
          <w:tcPr>
            <w:tcW w:w="1361" w:type="dxa"/>
          </w:tcPr>
          <w:p>
            <w:pPr>
              <w:pStyle w:val="0"/>
              <w:jc w:val="center"/>
            </w:pPr>
            <w:r>
              <w:rPr>
                <w:sz w:val="20"/>
              </w:rPr>
              <w:t xml:space="preserve">19069,6</w:t>
            </w:r>
          </w:p>
        </w:tc>
        <w:tc>
          <w:tcPr>
            <w:tcW w:w="1531" w:type="dxa"/>
          </w:tcPr>
          <w:p>
            <w:pPr>
              <w:pStyle w:val="0"/>
              <w:jc w:val="center"/>
            </w:pPr>
            <w:r>
              <w:rPr>
                <w:sz w:val="20"/>
              </w:rPr>
              <w:t xml:space="preserve">136787,0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3.12. Оказание прочими государственными учреждениями здравоохранения государственных услуг, выполнение работ, финансовое обеспечение деятельности государственных казенных учреждений в области охраны здоровья матери и ребенка</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123819,3</w:t>
            </w:r>
          </w:p>
        </w:tc>
        <w:tc>
          <w:tcPr>
            <w:tcW w:w="1417" w:type="dxa"/>
          </w:tcPr>
          <w:p>
            <w:pPr>
              <w:pStyle w:val="0"/>
              <w:jc w:val="center"/>
            </w:pPr>
            <w:r>
              <w:rPr>
                <w:sz w:val="20"/>
              </w:rPr>
              <w:t xml:space="preserve">131571,8</w:t>
            </w:r>
          </w:p>
        </w:tc>
        <w:tc>
          <w:tcPr>
            <w:tcW w:w="1474" w:type="dxa"/>
          </w:tcPr>
          <w:p>
            <w:pPr>
              <w:pStyle w:val="0"/>
              <w:jc w:val="center"/>
            </w:pPr>
            <w:r>
              <w:rPr>
                <w:sz w:val="20"/>
              </w:rPr>
              <w:t xml:space="preserve">139201,5</w:t>
            </w:r>
          </w:p>
        </w:tc>
        <w:tc>
          <w:tcPr>
            <w:tcW w:w="1531" w:type="dxa"/>
          </w:tcPr>
          <w:p>
            <w:pPr>
              <w:pStyle w:val="0"/>
              <w:jc w:val="center"/>
            </w:pPr>
            <w:r>
              <w:rPr>
                <w:sz w:val="20"/>
              </w:rPr>
              <w:t xml:space="preserve">143795,1</w:t>
            </w:r>
          </w:p>
        </w:tc>
        <w:tc>
          <w:tcPr>
            <w:tcW w:w="1474" w:type="dxa"/>
          </w:tcPr>
          <w:p>
            <w:pPr>
              <w:pStyle w:val="0"/>
              <w:jc w:val="center"/>
            </w:pPr>
            <w:r>
              <w:rPr>
                <w:sz w:val="20"/>
              </w:rPr>
              <w:t xml:space="preserve">148252,7</w:t>
            </w:r>
          </w:p>
        </w:tc>
        <w:tc>
          <w:tcPr>
            <w:tcW w:w="1361" w:type="dxa"/>
          </w:tcPr>
          <w:p>
            <w:pPr>
              <w:pStyle w:val="0"/>
              <w:jc w:val="center"/>
            </w:pPr>
            <w:r>
              <w:rPr>
                <w:sz w:val="20"/>
              </w:rPr>
              <w:t xml:space="preserve">152552,0</w:t>
            </w:r>
          </w:p>
        </w:tc>
        <w:tc>
          <w:tcPr>
            <w:tcW w:w="1361" w:type="dxa"/>
          </w:tcPr>
          <w:p>
            <w:pPr>
              <w:pStyle w:val="0"/>
              <w:jc w:val="center"/>
            </w:pPr>
            <w:r>
              <w:rPr>
                <w:sz w:val="20"/>
              </w:rPr>
              <w:t xml:space="preserve">156823,5</w:t>
            </w:r>
          </w:p>
        </w:tc>
        <w:tc>
          <w:tcPr>
            <w:tcW w:w="1361" w:type="dxa"/>
          </w:tcPr>
          <w:p>
            <w:pPr>
              <w:pStyle w:val="0"/>
              <w:jc w:val="center"/>
            </w:pPr>
            <w:r>
              <w:rPr>
                <w:sz w:val="20"/>
              </w:rPr>
              <w:t xml:space="preserve">161214,6</w:t>
            </w:r>
          </w:p>
        </w:tc>
        <w:tc>
          <w:tcPr>
            <w:tcW w:w="1531" w:type="dxa"/>
          </w:tcPr>
          <w:p>
            <w:pPr>
              <w:pStyle w:val="0"/>
              <w:jc w:val="center"/>
            </w:pPr>
            <w:r>
              <w:rPr>
                <w:sz w:val="20"/>
              </w:rPr>
              <w:t xml:space="preserve">1157230,5</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123819,3</w:t>
            </w:r>
          </w:p>
        </w:tc>
        <w:tc>
          <w:tcPr>
            <w:tcW w:w="1417" w:type="dxa"/>
          </w:tcPr>
          <w:p>
            <w:pPr>
              <w:pStyle w:val="0"/>
              <w:jc w:val="center"/>
            </w:pPr>
            <w:r>
              <w:rPr>
                <w:sz w:val="20"/>
              </w:rPr>
              <w:t xml:space="preserve">131571,8</w:t>
            </w:r>
          </w:p>
        </w:tc>
        <w:tc>
          <w:tcPr>
            <w:tcW w:w="1474" w:type="dxa"/>
          </w:tcPr>
          <w:p>
            <w:pPr>
              <w:pStyle w:val="0"/>
              <w:jc w:val="center"/>
            </w:pPr>
            <w:r>
              <w:rPr>
                <w:sz w:val="20"/>
              </w:rPr>
              <w:t xml:space="preserve">139201,5</w:t>
            </w:r>
          </w:p>
        </w:tc>
        <w:tc>
          <w:tcPr>
            <w:tcW w:w="1531" w:type="dxa"/>
          </w:tcPr>
          <w:p>
            <w:pPr>
              <w:pStyle w:val="0"/>
              <w:jc w:val="center"/>
            </w:pPr>
            <w:r>
              <w:rPr>
                <w:sz w:val="20"/>
              </w:rPr>
              <w:t xml:space="preserve">143795,1</w:t>
            </w:r>
          </w:p>
        </w:tc>
        <w:tc>
          <w:tcPr>
            <w:tcW w:w="1474" w:type="dxa"/>
          </w:tcPr>
          <w:p>
            <w:pPr>
              <w:pStyle w:val="0"/>
              <w:jc w:val="center"/>
            </w:pPr>
            <w:r>
              <w:rPr>
                <w:sz w:val="20"/>
              </w:rPr>
              <w:t xml:space="preserve">148252,7</w:t>
            </w:r>
          </w:p>
        </w:tc>
        <w:tc>
          <w:tcPr>
            <w:tcW w:w="1361" w:type="dxa"/>
          </w:tcPr>
          <w:p>
            <w:pPr>
              <w:pStyle w:val="0"/>
              <w:jc w:val="center"/>
            </w:pPr>
            <w:r>
              <w:rPr>
                <w:sz w:val="20"/>
              </w:rPr>
              <w:t xml:space="preserve">152552,0</w:t>
            </w:r>
          </w:p>
        </w:tc>
        <w:tc>
          <w:tcPr>
            <w:tcW w:w="1361" w:type="dxa"/>
          </w:tcPr>
          <w:p>
            <w:pPr>
              <w:pStyle w:val="0"/>
              <w:jc w:val="center"/>
            </w:pPr>
            <w:r>
              <w:rPr>
                <w:sz w:val="20"/>
              </w:rPr>
              <w:t xml:space="preserve">156823,5</w:t>
            </w:r>
          </w:p>
        </w:tc>
        <w:tc>
          <w:tcPr>
            <w:tcW w:w="1361" w:type="dxa"/>
          </w:tcPr>
          <w:p>
            <w:pPr>
              <w:pStyle w:val="0"/>
              <w:jc w:val="center"/>
            </w:pPr>
            <w:r>
              <w:rPr>
                <w:sz w:val="20"/>
              </w:rPr>
              <w:t xml:space="preserve">161214,6</w:t>
            </w:r>
          </w:p>
        </w:tc>
        <w:tc>
          <w:tcPr>
            <w:tcW w:w="1531" w:type="dxa"/>
          </w:tcPr>
          <w:p>
            <w:pPr>
              <w:pStyle w:val="0"/>
              <w:jc w:val="center"/>
            </w:pPr>
            <w:r>
              <w:rPr>
                <w:sz w:val="20"/>
              </w:rPr>
              <w:t xml:space="preserve">1157230,5</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Итого по </w:t>
            </w:r>
            <w:hyperlink w:history="0" w:anchor="P1229" w:tooltip="ПОДПРОГРАММА 3">
              <w:r>
                <w:rPr>
                  <w:sz w:val="20"/>
                  <w:color w:val="0000ff"/>
                </w:rPr>
                <w:t xml:space="preserve">подпрограмме 3</w:t>
              </w:r>
            </w:hyperlink>
          </w:p>
        </w:tc>
        <w:tc>
          <w:tcPr>
            <w:tcW w:w="2041" w:type="dxa"/>
            <w:tcBorders>
              <w:bottom w:val="nil"/>
            </w:tcBorders>
            <w:vMerge w:val="restart"/>
          </w:tcPr>
          <w:p>
            <w:pPr>
              <w:pStyle w:val="0"/>
            </w:pPr>
            <w:r>
              <w:rPr>
                <w:sz w:val="20"/>
              </w:rPr>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375570,9</w:t>
            </w:r>
          </w:p>
        </w:tc>
        <w:tc>
          <w:tcPr>
            <w:tcW w:w="1417" w:type="dxa"/>
          </w:tcPr>
          <w:p>
            <w:pPr>
              <w:pStyle w:val="0"/>
              <w:jc w:val="center"/>
            </w:pPr>
            <w:r>
              <w:rPr>
                <w:sz w:val="20"/>
              </w:rPr>
              <w:t xml:space="preserve">364657,6</w:t>
            </w:r>
          </w:p>
        </w:tc>
        <w:tc>
          <w:tcPr>
            <w:tcW w:w="1417" w:type="dxa"/>
          </w:tcPr>
          <w:p>
            <w:pPr>
              <w:pStyle w:val="0"/>
              <w:jc w:val="center"/>
            </w:pPr>
            <w:r>
              <w:rPr>
                <w:sz w:val="20"/>
              </w:rPr>
              <w:t xml:space="preserve">356293,1</w:t>
            </w:r>
          </w:p>
        </w:tc>
        <w:tc>
          <w:tcPr>
            <w:tcW w:w="1474" w:type="dxa"/>
          </w:tcPr>
          <w:p>
            <w:pPr>
              <w:pStyle w:val="0"/>
              <w:jc w:val="center"/>
            </w:pPr>
            <w:r>
              <w:rPr>
                <w:sz w:val="20"/>
              </w:rPr>
              <w:t xml:space="preserve">373268,1</w:t>
            </w:r>
          </w:p>
        </w:tc>
        <w:tc>
          <w:tcPr>
            <w:tcW w:w="1531" w:type="dxa"/>
          </w:tcPr>
          <w:p>
            <w:pPr>
              <w:pStyle w:val="0"/>
              <w:jc w:val="center"/>
            </w:pPr>
            <w:r>
              <w:rPr>
                <w:sz w:val="20"/>
              </w:rPr>
              <w:t xml:space="preserve">385585,9</w:t>
            </w:r>
          </w:p>
        </w:tc>
        <w:tc>
          <w:tcPr>
            <w:tcW w:w="1474" w:type="dxa"/>
          </w:tcPr>
          <w:p>
            <w:pPr>
              <w:pStyle w:val="0"/>
              <w:jc w:val="center"/>
            </w:pPr>
            <w:r>
              <w:rPr>
                <w:sz w:val="20"/>
              </w:rPr>
              <w:t xml:space="preserve">397539,1</w:t>
            </w:r>
          </w:p>
        </w:tc>
        <w:tc>
          <w:tcPr>
            <w:tcW w:w="1361" w:type="dxa"/>
          </w:tcPr>
          <w:p>
            <w:pPr>
              <w:pStyle w:val="0"/>
              <w:jc w:val="center"/>
            </w:pPr>
            <w:r>
              <w:rPr>
                <w:sz w:val="20"/>
              </w:rPr>
              <w:t xml:space="preserve">409067,9</w:t>
            </w:r>
          </w:p>
        </w:tc>
        <w:tc>
          <w:tcPr>
            <w:tcW w:w="1361" w:type="dxa"/>
          </w:tcPr>
          <w:p>
            <w:pPr>
              <w:pStyle w:val="0"/>
              <w:jc w:val="center"/>
            </w:pPr>
            <w:r>
              <w:rPr>
                <w:sz w:val="20"/>
              </w:rPr>
              <w:t xml:space="preserve">420521,8</w:t>
            </w:r>
          </w:p>
        </w:tc>
        <w:tc>
          <w:tcPr>
            <w:tcW w:w="1361" w:type="dxa"/>
          </w:tcPr>
          <w:p>
            <w:pPr>
              <w:pStyle w:val="0"/>
              <w:jc w:val="center"/>
            </w:pPr>
            <w:r>
              <w:rPr>
                <w:sz w:val="20"/>
              </w:rPr>
              <w:t xml:space="preserve">432296,4</w:t>
            </w:r>
          </w:p>
        </w:tc>
        <w:tc>
          <w:tcPr>
            <w:tcW w:w="1531" w:type="dxa"/>
          </w:tcPr>
          <w:p>
            <w:pPr>
              <w:pStyle w:val="0"/>
              <w:jc w:val="center"/>
            </w:pPr>
            <w:r>
              <w:rPr>
                <w:sz w:val="20"/>
              </w:rPr>
              <w:t xml:space="preserve">3514800,8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42699,9</w:t>
            </w:r>
          </w:p>
        </w:tc>
        <w:tc>
          <w:tcPr>
            <w:tcW w:w="1417" w:type="dxa"/>
          </w:tcPr>
          <w:p>
            <w:pPr>
              <w:pStyle w:val="0"/>
              <w:jc w:val="center"/>
            </w:pPr>
            <w:r>
              <w:rPr>
                <w:sz w:val="20"/>
              </w:rPr>
              <w:t xml:space="preserve">9293,2</w:t>
            </w:r>
          </w:p>
        </w:tc>
        <w:tc>
          <w:tcPr>
            <w:tcW w:w="1417" w:type="dxa"/>
          </w:tcPr>
          <w:p>
            <w:pPr>
              <w:pStyle w:val="0"/>
              <w:jc w:val="center"/>
            </w:pPr>
            <w:r>
              <w:rPr>
                <w:sz w:val="20"/>
              </w:rPr>
              <w:t xml:space="preserve">9331,4</w:t>
            </w:r>
          </w:p>
        </w:tc>
        <w:tc>
          <w:tcPr>
            <w:tcW w:w="1474" w:type="dxa"/>
          </w:tcPr>
          <w:p>
            <w:pPr>
              <w:pStyle w:val="0"/>
              <w:jc w:val="center"/>
            </w:pPr>
            <w:r>
              <w:rPr>
                <w:sz w:val="20"/>
              </w:rPr>
              <w:t xml:space="preserve">9142,4</w:t>
            </w:r>
          </w:p>
        </w:tc>
        <w:tc>
          <w:tcPr>
            <w:tcW w:w="1531" w:type="dxa"/>
          </w:tcPr>
          <w:p>
            <w:pPr>
              <w:pStyle w:val="0"/>
              <w:jc w:val="center"/>
            </w:pPr>
            <w:r>
              <w:rPr>
                <w:sz w:val="20"/>
              </w:rPr>
              <w:t xml:space="preserve">9444,1</w:t>
            </w:r>
          </w:p>
        </w:tc>
        <w:tc>
          <w:tcPr>
            <w:tcW w:w="1474" w:type="dxa"/>
          </w:tcPr>
          <w:p>
            <w:pPr>
              <w:pStyle w:val="0"/>
              <w:jc w:val="center"/>
            </w:pPr>
            <w:r>
              <w:rPr>
                <w:sz w:val="20"/>
              </w:rPr>
              <w:t xml:space="preserve">9736,9</w:t>
            </w:r>
          </w:p>
        </w:tc>
        <w:tc>
          <w:tcPr>
            <w:tcW w:w="1361" w:type="dxa"/>
          </w:tcPr>
          <w:p>
            <w:pPr>
              <w:pStyle w:val="0"/>
              <w:jc w:val="center"/>
            </w:pPr>
            <w:r>
              <w:rPr>
                <w:sz w:val="20"/>
              </w:rPr>
              <w:t xml:space="preserve">10019,3</w:t>
            </w:r>
          </w:p>
        </w:tc>
        <w:tc>
          <w:tcPr>
            <w:tcW w:w="1361" w:type="dxa"/>
          </w:tcPr>
          <w:p>
            <w:pPr>
              <w:pStyle w:val="0"/>
              <w:jc w:val="center"/>
            </w:pPr>
            <w:r>
              <w:rPr>
                <w:sz w:val="20"/>
              </w:rPr>
              <w:t xml:space="preserve">10299,8</w:t>
            </w:r>
          </w:p>
        </w:tc>
        <w:tc>
          <w:tcPr>
            <w:tcW w:w="1361" w:type="dxa"/>
          </w:tcPr>
          <w:p>
            <w:pPr>
              <w:pStyle w:val="0"/>
              <w:jc w:val="center"/>
            </w:pPr>
            <w:r>
              <w:rPr>
                <w:sz w:val="20"/>
              </w:rPr>
              <w:t xml:space="preserve">10588,2</w:t>
            </w:r>
          </w:p>
        </w:tc>
        <w:tc>
          <w:tcPr>
            <w:tcW w:w="1531" w:type="dxa"/>
          </w:tcPr>
          <w:p>
            <w:pPr>
              <w:pStyle w:val="0"/>
              <w:jc w:val="center"/>
            </w:pPr>
            <w:r>
              <w:rPr>
                <w:sz w:val="20"/>
              </w:rPr>
              <w:t xml:space="preserve">120555,2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272797,3</w:t>
            </w:r>
          </w:p>
        </w:tc>
        <w:tc>
          <w:tcPr>
            <w:tcW w:w="1417" w:type="dxa"/>
          </w:tcPr>
          <w:p>
            <w:pPr>
              <w:pStyle w:val="0"/>
              <w:jc w:val="center"/>
            </w:pPr>
            <w:r>
              <w:rPr>
                <w:sz w:val="20"/>
              </w:rPr>
              <w:t xml:space="preserve">316370,3</w:t>
            </w:r>
          </w:p>
        </w:tc>
        <w:tc>
          <w:tcPr>
            <w:tcW w:w="1417" w:type="dxa"/>
          </w:tcPr>
          <w:p>
            <w:pPr>
              <w:pStyle w:val="0"/>
              <w:jc w:val="center"/>
            </w:pPr>
            <w:r>
              <w:rPr>
                <w:sz w:val="20"/>
              </w:rPr>
              <w:t xml:space="preserve">346961,7</w:t>
            </w:r>
          </w:p>
        </w:tc>
        <w:tc>
          <w:tcPr>
            <w:tcW w:w="1474" w:type="dxa"/>
          </w:tcPr>
          <w:p>
            <w:pPr>
              <w:pStyle w:val="0"/>
              <w:jc w:val="center"/>
            </w:pPr>
            <w:r>
              <w:rPr>
                <w:sz w:val="20"/>
              </w:rPr>
              <w:t xml:space="preserve">364125,7</w:t>
            </w:r>
          </w:p>
        </w:tc>
        <w:tc>
          <w:tcPr>
            <w:tcW w:w="1531" w:type="dxa"/>
          </w:tcPr>
          <w:p>
            <w:pPr>
              <w:pStyle w:val="0"/>
              <w:jc w:val="center"/>
            </w:pPr>
            <w:r>
              <w:rPr>
                <w:sz w:val="20"/>
              </w:rPr>
              <w:t xml:space="preserve">376141,8</w:t>
            </w:r>
          </w:p>
        </w:tc>
        <w:tc>
          <w:tcPr>
            <w:tcW w:w="1474" w:type="dxa"/>
          </w:tcPr>
          <w:p>
            <w:pPr>
              <w:pStyle w:val="0"/>
              <w:jc w:val="center"/>
            </w:pPr>
            <w:r>
              <w:rPr>
                <w:sz w:val="20"/>
              </w:rPr>
              <w:t xml:space="preserve">387802,2</w:t>
            </w:r>
          </w:p>
        </w:tc>
        <w:tc>
          <w:tcPr>
            <w:tcW w:w="1361" w:type="dxa"/>
          </w:tcPr>
          <w:p>
            <w:pPr>
              <w:pStyle w:val="0"/>
              <w:jc w:val="center"/>
            </w:pPr>
            <w:r>
              <w:rPr>
                <w:sz w:val="20"/>
              </w:rPr>
              <w:t xml:space="preserve">399048,6</w:t>
            </w:r>
          </w:p>
        </w:tc>
        <w:tc>
          <w:tcPr>
            <w:tcW w:w="1361" w:type="dxa"/>
          </w:tcPr>
          <w:p>
            <w:pPr>
              <w:pStyle w:val="0"/>
              <w:jc w:val="center"/>
            </w:pPr>
            <w:r>
              <w:rPr>
                <w:sz w:val="20"/>
              </w:rPr>
              <w:t xml:space="preserve">410222,0</w:t>
            </w:r>
          </w:p>
        </w:tc>
        <w:tc>
          <w:tcPr>
            <w:tcW w:w="1361" w:type="dxa"/>
          </w:tcPr>
          <w:p>
            <w:pPr>
              <w:pStyle w:val="0"/>
              <w:jc w:val="center"/>
            </w:pPr>
            <w:r>
              <w:rPr>
                <w:sz w:val="20"/>
              </w:rPr>
              <w:t xml:space="preserve">421708,2</w:t>
            </w:r>
          </w:p>
        </w:tc>
        <w:tc>
          <w:tcPr>
            <w:tcW w:w="1531" w:type="dxa"/>
          </w:tcPr>
          <w:p>
            <w:pPr>
              <w:pStyle w:val="0"/>
              <w:jc w:val="center"/>
            </w:pPr>
            <w:r>
              <w:rPr>
                <w:sz w:val="20"/>
              </w:rPr>
              <w:t xml:space="preserve">3295177,8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 в том числе:</w:t>
            </w:r>
          </w:p>
        </w:tc>
        <w:tc>
          <w:tcPr>
            <w:tcW w:w="1417" w:type="dxa"/>
          </w:tcPr>
          <w:p>
            <w:pPr>
              <w:pStyle w:val="0"/>
              <w:jc w:val="center"/>
            </w:pPr>
            <w:r>
              <w:rPr>
                <w:sz w:val="20"/>
              </w:rPr>
              <w:t xml:space="preserve">60073,7</w:t>
            </w:r>
          </w:p>
        </w:tc>
        <w:tc>
          <w:tcPr>
            <w:tcW w:w="1417" w:type="dxa"/>
          </w:tcPr>
          <w:p>
            <w:pPr>
              <w:pStyle w:val="0"/>
              <w:jc w:val="center"/>
            </w:pPr>
            <w:r>
              <w:rPr>
                <w:sz w:val="20"/>
              </w:rPr>
              <w:t xml:space="preserve">38994,1</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99067,8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46697,3</w:t>
            </w:r>
          </w:p>
        </w:tc>
        <w:tc>
          <w:tcPr>
            <w:tcW w:w="1417" w:type="dxa"/>
          </w:tcPr>
          <w:p>
            <w:pPr>
              <w:pStyle w:val="0"/>
              <w:jc w:val="center"/>
            </w:pPr>
            <w:r>
              <w:rPr>
                <w:sz w:val="20"/>
              </w:rPr>
              <w:t xml:space="preserve">25617,8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72315,1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13376,4</w:t>
            </w:r>
          </w:p>
        </w:tc>
        <w:tc>
          <w:tcPr>
            <w:tcW w:w="1417" w:type="dxa"/>
          </w:tcPr>
          <w:p>
            <w:pPr>
              <w:pStyle w:val="0"/>
              <w:jc w:val="center"/>
            </w:pPr>
            <w:r>
              <w:rPr>
                <w:sz w:val="20"/>
              </w:rPr>
              <w:t xml:space="preserve">13376,3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26752,7</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79"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gridSpan w:val="13"/>
            <w:tcW w:w="22337" w:type="dxa"/>
          </w:tcPr>
          <w:p>
            <w:pPr>
              <w:pStyle w:val="0"/>
              <w:outlineLvl w:val="2"/>
              <w:jc w:val="center"/>
            </w:pPr>
            <w:r>
              <w:rPr>
                <w:sz w:val="20"/>
              </w:rPr>
              <w:t xml:space="preserve">Подпрограмма 4 "Развитие медицинской реабилитации"</w:t>
            </w:r>
          </w:p>
        </w:tc>
      </w:tr>
      <w:tr>
        <w:tc>
          <w:tcPr>
            <w:tcW w:w="3458" w:type="dxa"/>
            <w:tcBorders>
              <w:bottom w:val="nil"/>
            </w:tcBorders>
            <w:vMerge w:val="restart"/>
          </w:tcPr>
          <w:p>
            <w:pPr>
              <w:pStyle w:val="0"/>
              <w:jc w:val="both"/>
            </w:pPr>
            <w:r>
              <w:rPr>
                <w:sz w:val="20"/>
              </w:rPr>
              <w:t xml:space="preserve">4.1. 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 взрослых и детей</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72380,8</w:t>
            </w:r>
          </w:p>
        </w:tc>
        <w:tc>
          <w:tcPr>
            <w:tcW w:w="1417" w:type="dxa"/>
          </w:tcPr>
          <w:p>
            <w:pPr>
              <w:pStyle w:val="0"/>
              <w:jc w:val="center"/>
            </w:pPr>
            <w:r>
              <w:rPr>
                <w:sz w:val="20"/>
              </w:rPr>
              <w:t xml:space="preserve">116526,9</w:t>
            </w:r>
          </w:p>
        </w:tc>
        <w:tc>
          <w:tcPr>
            <w:tcW w:w="1417" w:type="dxa"/>
          </w:tcPr>
          <w:p>
            <w:pPr>
              <w:pStyle w:val="0"/>
              <w:jc w:val="center"/>
            </w:pPr>
            <w:r>
              <w:rPr>
                <w:sz w:val="20"/>
              </w:rPr>
              <w:t xml:space="preserve">144218,1</w:t>
            </w:r>
          </w:p>
        </w:tc>
        <w:tc>
          <w:tcPr>
            <w:tcW w:w="1474" w:type="dxa"/>
          </w:tcPr>
          <w:p>
            <w:pPr>
              <w:pStyle w:val="0"/>
              <w:jc w:val="center"/>
            </w:pPr>
            <w:r>
              <w:rPr>
                <w:sz w:val="20"/>
              </w:rPr>
              <w:t xml:space="preserve">144222,0</w:t>
            </w:r>
          </w:p>
        </w:tc>
        <w:tc>
          <w:tcPr>
            <w:tcW w:w="1531" w:type="dxa"/>
          </w:tcPr>
          <w:p>
            <w:pPr>
              <w:pStyle w:val="0"/>
              <w:jc w:val="center"/>
            </w:pPr>
            <w:r>
              <w:rPr>
                <w:sz w:val="20"/>
              </w:rPr>
              <w:t xml:space="preserve">148981,4</w:t>
            </w:r>
          </w:p>
        </w:tc>
        <w:tc>
          <w:tcPr>
            <w:tcW w:w="1474" w:type="dxa"/>
          </w:tcPr>
          <w:p>
            <w:pPr>
              <w:pStyle w:val="0"/>
              <w:jc w:val="center"/>
            </w:pPr>
            <w:r>
              <w:rPr>
                <w:sz w:val="20"/>
              </w:rPr>
              <w:t xml:space="preserve">153599,8</w:t>
            </w:r>
          </w:p>
        </w:tc>
        <w:tc>
          <w:tcPr>
            <w:tcW w:w="1361" w:type="dxa"/>
          </w:tcPr>
          <w:p>
            <w:pPr>
              <w:pStyle w:val="0"/>
              <w:jc w:val="center"/>
            </w:pPr>
            <w:r>
              <w:rPr>
                <w:sz w:val="20"/>
              </w:rPr>
              <w:t xml:space="preserve">158054,2</w:t>
            </w:r>
          </w:p>
        </w:tc>
        <w:tc>
          <w:tcPr>
            <w:tcW w:w="1361" w:type="dxa"/>
          </w:tcPr>
          <w:p>
            <w:pPr>
              <w:pStyle w:val="0"/>
              <w:jc w:val="center"/>
            </w:pPr>
            <w:r>
              <w:rPr>
                <w:sz w:val="20"/>
              </w:rPr>
              <w:t xml:space="preserve">162479,7</w:t>
            </w:r>
          </w:p>
        </w:tc>
        <w:tc>
          <w:tcPr>
            <w:tcW w:w="1361" w:type="dxa"/>
          </w:tcPr>
          <w:p>
            <w:pPr>
              <w:pStyle w:val="0"/>
              <w:jc w:val="center"/>
            </w:pPr>
            <w:r>
              <w:rPr>
                <w:sz w:val="20"/>
              </w:rPr>
              <w:t xml:space="preserve">167029,2</w:t>
            </w:r>
          </w:p>
        </w:tc>
        <w:tc>
          <w:tcPr>
            <w:tcW w:w="1531" w:type="dxa"/>
          </w:tcPr>
          <w:p>
            <w:pPr>
              <w:pStyle w:val="0"/>
              <w:jc w:val="center"/>
            </w:pPr>
            <w:r>
              <w:rPr>
                <w:sz w:val="20"/>
              </w:rPr>
              <w:t xml:space="preserve">1267492,1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68761,8</w:t>
            </w:r>
          </w:p>
        </w:tc>
        <w:tc>
          <w:tcPr>
            <w:tcW w:w="1417" w:type="dxa"/>
          </w:tcPr>
          <w:p>
            <w:pPr>
              <w:pStyle w:val="0"/>
              <w:jc w:val="center"/>
            </w:pPr>
            <w:r>
              <w:rPr>
                <w:sz w:val="20"/>
              </w:rPr>
              <w:t xml:space="preserve">110700,5</w:t>
            </w:r>
          </w:p>
        </w:tc>
        <w:tc>
          <w:tcPr>
            <w:tcW w:w="1417" w:type="dxa"/>
          </w:tcPr>
          <w:p>
            <w:pPr>
              <w:pStyle w:val="0"/>
              <w:jc w:val="center"/>
            </w:pPr>
            <w:r>
              <w:rPr>
                <w:sz w:val="20"/>
              </w:rPr>
              <w:t xml:space="preserve">137007,2</w:t>
            </w:r>
          </w:p>
        </w:tc>
        <w:tc>
          <w:tcPr>
            <w:tcW w:w="1474" w:type="dxa"/>
          </w:tcPr>
          <w:p>
            <w:pPr>
              <w:pStyle w:val="0"/>
              <w:jc w:val="center"/>
            </w:pPr>
            <w:r>
              <w:rPr>
                <w:sz w:val="20"/>
              </w:rPr>
              <w:t xml:space="preserve">134126,5</w:t>
            </w:r>
          </w:p>
        </w:tc>
        <w:tc>
          <w:tcPr>
            <w:tcW w:w="1531" w:type="dxa"/>
          </w:tcPr>
          <w:p>
            <w:pPr>
              <w:pStyle w:val="0"/>
              <w:jc w:val="center"/>
            </w:pPr>
            <w:r>
              <w:rPr>
                <w:sz w:val="20"/>
              </w:rPr>
              <w:t xml:space="preserve">138552,7</w:t>
            </w:r>
          </w:p>
        </w:tc>
        <w:tc>
          <w:tcPr>
            <w:tcW w:w="1474" w:type="dxa"/>
          </w:tcPr>
          <w:p>
            <w:pPr>
              <w:pStyle w:val="0"/>
              <w:jc w:val="center"/>
            </w:pPr>
            <w:r>
              <w:rPr>
                <w:sz w:val="20"/>
              </w:rPr>
              <w:t xml:space="preserve">142847,8</w:t>
            </w:r>
          </w:p>
        </w:tc>
        <w:tc>
          <w:tcPr>
            <w:tcW w:w="1361" w:type="dxa"/>
          </w:tcPr>
          <w:p>
            <w:pPr>
              <w:pStyle w:val="0"/>
              <w:jc w:val="center"/>
            </w:pPr>
            <w:r>
              <w:rPr>
                <w:sz w:val="20"/>
              </w:rPr>
              <w:t xml:space="preserve">146990,4</w:t>
            </w:r>
          </w:p>
        </w:tc>
        <w:tc>
          <w:tcPr>
            <w:tcW w:w="1361" w:type="dxa"/>
          </w:tcPr>
          <w:p>
            <w:pPr>
              <w:pStyle w:val="0"/>
              <w:jc w:val="center"/>
            </w:pPr>
            <w:r>
              <w:rPr>
                <w:sz w:val="20"/>
              </w:rPr>
              <w:t xml:space="preserve">151106,1</w:t>
            </w:r>
          </w:p>
        </w:tc>
        <w:tc>
          <w:tcPr>
            <w:tcW w:w="1361" w:type="dxa"/>
          </w:tcPr>
          <w:p>
            <w:pPr>
              <w:pStyle w:val="0"/>
              <w:jc w:val="center"/>
            </w:pPr>
            <w:r>
              <w:rPr>
                <w:sz w:val="20"/>
              </w:rPr>
              <w:t xml:space="preserve">155337,1</w:t>
            </w:r>
          </w:p>
        </w:tc>
        <w:tc>
          <w:tcPr>
            <w:tcW w:w="1531" w:type="dxa"/>
          </w:tcPr>
          <w:p>
            <w:pPr>
              <w:pStyle w:val="0"/>
              <w:jc w:val="center"/>
            </w:pPr>
            <w:r>
              <w:rPr>
                <w:sz w:val="20"/>
              </w:rPr>
              <w:t xml:space="preserve">1185430,1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3619,0</w:t>
            </w:r>
          </w:p>
        </w:tc>
        <w:tc>
          <w:tcPr>
            <w:tcW w:w="1417" w:type="dxa"/>
          </w:tcPr>
          <w:p>
            <w:pPr>
              <w:pStyle w:val="0"/>
              <w:jc w:val="center"/>
            </w:pPr>
            <w:r>
              <w:rPr>
                <w:sz w:val="20"/>
              </w:rPr>
              <w:t xml:space="preserve">5826,4</w:t>
            </w:r>
          </w:p>
        </w:tc>
        <w:tc>
          <w:tcPr>
            <w:tcW w:w="1417" w:type="dxa"/>
          </w:tcPr>
          <w:p>
            <w:pPr>
              <w:pStyle w:val="0"/>
              <w:jc w:val="center"/>
            </w:pPr>
            <w:r>
              <w:rPr>
                <w:sz w:val="20"/>
              </w:rPr>
              <w:t xml:space="preserve">7210,9</w:t>
            </w:r>
          </w:p>
        </w:tc>
        <w:tc>
          <w:tcPr>
            <w:tcW w:w="1474" w:type="dxa"/>
          </w:tcPr>
          <w:p>
            <w:pPr>
              <w:pStyle w:val="0"/>
              <w:jc w:val="center"/>
            </w:pPr>
            <w:r>
              <w:rPr>
                <w:sz w:val="20"/>
              </w:rPr>
              <w:t xml:space="preserve">10095,5</w:t>
            </w:r>
          </w:p>
        </w:tc>
        <w:tc>
          <w:tcPr>
            <w:tcW w:w="1531" w:type="dxa"/>
          </w:tcPr>
          <w:p>
            <w:pPr>
              <w:pStyle w:val="0"/>
              <w:jc w:val="center"/>
            </w:pPr>
            <w:r>
              <w:rPr>
                <w:sz w:val="20"/>
              </w:rPr>
              <w:t xml:space="preserve">10428,7</w:t>
            </w:r>
          </w:p>
        </w:tc>
        <w:tc>
          <w:tcPr>
            <w:tcW w:w="1474" w:type="dxa"/>
          </w:tcPr>
          <w:p>
            <w:pPr>
              <w:pStyle w:val="0"/>
              <w:jc w:val="center"/>
            </w:pPr>
            <w:r>
              <w:rPr>
                <w:sz w:val="20"/>
              </w:rPr>
              <w:t xml:space="preserve">10752,0</w:t>
            </w:r>
          </w:p>
        </w:tc>
        <w:tc>
          <w:tcPr>
            <w:tcW w:w="1361" w:type="dxa"/>
          </w:tcPr>
          <w:p>
            <w:pPr>
              <w:pStyle w:val="0"/>
              <w:jc w:val="center"/>
            </w:pPr>
            <w:r>
              <w:rPr>
                <w:sz w:val="20"/>
              </w:rPr>
              <w:t xml:space="preserve">11063,8</w:t>
            </w:r>
          </w:p>
        </w:tc>
        <w:tc>
          <w:tcPr>
            <w:tcW w:w="1361" w:type="dxa"/>
          </w:tcPr>
          <w:p>
            <w:pPr>
              <w:pStyle w:val="0"/>
              <w:jc w:val="center"/>
            </w:pPr>
            <w:r>
              <w:rPr>
                <w:sz w:val="20"/>
              </w:rPr>
              <w:t xml:space="preserve">11373,6</w:t>
            </w:r>
          </w:p>
        </w:tc>
        <w:tc>
          <w:tcPr>
            <w:tcW w:w="1361" w:type="dxa"/>
          </w:tcPr>
          <w:p>
            <w:pPr>
              <w:pStyle w:val="0"/>
              <w:jc w:val="center"/>
            </w:pPr>
            <w:r>
              <w:rPr>
                <w:sz w:val="20"/>
              </w:rPr>
              <w:t xml:space="preserve">11692,1</w:t>
            </w:r>
          </w:p>
        </w:tc>
        <w:tc>
          <w:tcPr>
            <w:tcW w:w="1531" w:type="dxa"/>
          </w:tcPr>
          <w:p>
            <w:pPr>
              <w:pStyle w:val="0"/>
              <w:jc w:val="center"/>
            </w:pPr>
            <w:r>
              <w:rPr>
                <w:sz w:val="20"/>
              </w:rPr>
              <w:t xml:space="preserve">82062,0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8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Итого по </w:t>
            </w:r>
            <w:hyperlink w:history="0" w:anchor="P1487" w:tooltip="ПОДПРОГРАММА 4">
              <w:r>
                <w:rPr>
                  <w:sz w:val="20"/>
                  <w:color w:val="0000ff"/>
                </w:rPr>
                <w:t xml:space="preserve">подпрограмме 4</w:t>
              </w:r>
            </w:hyperlink>
          </w:p>
        </w:tc>
        <w:tc>
          <w:tcPr>
            <w:tcW w:w="2041" w:type="dxa"/>
            <w:tcBorders>
              <w:bottom w:val="nil"/>
            </w:tcBorders>
            <w:vMerge w:val="restart"/>
          </w:tcPr>
          <w:p>
            <w:pPr>
              <w:pStyle w:val="0"/>
              <w:jc w:val="both"/>
            </w:pPr>
            <w:r>
              <w:rPr>
                <w:sz w:val="20"/>
              </w:rPr>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72380,8</w:t>
            </w:r>
          </w:p>
        </w:tc>
        <w:tc>
          <w:tcPr>
            <w:tcW w:w="1417" w:type="dxa"/>
          </w:tcPr>
          <w:p>
            <w:pPr>
              <w:pStyle w:val="0"/>
              <w:jc w:val="center"/>
            </w:pPr>
            <w:r>
              <w:rPr>
                <w:sz w:val="20"/>
              </w:rPr>
              <w:t xml:space="preserve">116526,9</w:t>
            </w:r>
          </w:p>
        </w:tc>
        <w:tc>
          <w:tcPr>
            <w:tcW w:w="1417" w:type="dxa"/>
          </w:tcPr>
          <w:p>
            <w:pPr>
              <w:pStyle w:val="0"/>
              <w:jc w:val="center"/>
            </w:pPr>
            <w:r>
              <w:rPr>
                <w:sz w:val="20"/>
              </w:rPr>
              <w:t xml:space="preserve">144218,1</w:t>
            </w:r>
          </w:p>
        </w:tc>
        <w:tc>
          <w:tcPr>
            <w:tcW w:w="1474" w:type="dxa"/>
          </w:tcPr>
          <w:p>
            <w:pPr>
              <w:pStyle w:val="0"/>
              <w:jc w:val="center"/>
            </w:pPr>
            <w:r>
              <w:rPr>
                <w:sz w:val="20"/>
              </w:rPr>
              <w:t xml:space="preserve">144222,0</w:t>
            </w:r>
          </w:p>
        </w:tc>
        <w:tc>
          <w:tcPr>
            <w:tcW w:w="1531" w:type="dxa"/>
          </w:tcPr>
          <w:p>
            <w:pPr>
              <w:pStyle w:val="0"/>
              <w:jc w:val="center"/>
            </w:pPr>
            <w:r>
              <w:rPr>
                <w:sz w:val="20"/>
              </w:rPr>
              <w:t xml:space="preserve">148981,4</w:t>
            </w:r>
          </w:p>
        </w:tc>
        <w:tc>
          <w:tcPr>
            <w:tcW w:w="1474" w:type="dxa"/>
          </w:tcPr>
          <w:p>
            <w:pPr>
              <w:pStyle w:val="0"/>
              <w:jc w:val="center"/>
            </w:pPr>
            <w:r>
              <w:rPr>
                <w:sz w:val="20"/>
              </w:rPr>
              <w:t xml:space="preserve">153599,8</w:t>
            </w:r>
          </w:p>
        </w:tc>
        <w:tc>
          <w:tcPr>
            <w:tcW w:w="1361" w:type="dxa"/>
          </w:tcPr>
          <w:p>
            <w:pPr>
              <w:pStyle w:val="0"/>
              <w:jc w:val="center"/>
            </w:pPr>
            <w:r>
              <w:rPr>
                <w:sz w:val="20"/>
              </w:rPr>
              <w:t xml:space="preserve">158054,2</w:t>
            </w:r>
          </w:p>
        </w:tc>
        <w:tc>
          <w:tcPr>
            <w:tcW w:w="1361" w:type="dxa"/>
          </w:tcPr>
          <w:p>
            <w:pPr>
              <w:pStyle w:val="0"/>
              <w:jc w:val="center"/>
            </w:pPr>
            <w:r>
              <w:rPr>
                <w:sz w:val="20"/>
              </w:rPr>
              <w:t xml:space="preserve">162479,7</w:t>
            </w:r>
          </w:p>
        </w:tc>
        <w:tc>
          <w:tcPr>
            <w:tcW w:w="1361" w:type="dxa"/>
          </w:tcPr>
          <w:p>
            <w:pPr>
              <w:pStyle w:val="0"/>
              <w:jc w:val="center"/>
            </w:pPr>
            <w:r>
              <w:rPr>
                <w:sz w:val="20"/>
              </w:rPr>
              <w:t xml:space="preserve">167029,2</w:t>
            </w:r>
          </w:p>
        </w:tc>
        <w:tc>
          <w:tcPr>
            <w:tcW w:w="1531" w:type="dxa"/>
          </w:tcPr>
          <w:p>
            <w:pPr>
              <w:pStyle w:val="0"/>
              <w:jc w:val="center"/>
            </w:pPr>
            <w:r>
              <w:rPr>
                <w:sz w:val="20"/>
              </w:rPr>
              <w:t xml:space="preserve">1267492,1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68761,8</w:t>
            </w:r>
          </w:p>
        </w:tc>
        <w:tc>
          <w:tcPr>
            <w:tcW w:w="1417" w:type="dxa"/>
          </w:tcPr>
          <w:p>
            <w:pPr>
              <w:pStyle w:val="0"/>
              <w:jc w:val="center"/>
            </w:pPr>
            <w:r>
              <w:rPr>
                <w:sz w:val="20"/>
              </w:rPr>
              <w:t xml:space="preserve">110700,5</w:t>
            </w:r>
          </w:p>
        </w:tc>
        <w:tc>
          <w:tcPr>
            <w:tcW w:w="1417" w:type="dxa"/>
          </w:tcPr>
          <w:p>
            <w:pPr>
              <w:pStyle w:val="0"/>
              <w:jc w:val="center"/>
            </w:pPr>
            <w:r>
              <w:rPr>
                <w:sz w:val="20"/>
              </w:rPr>
              <w:t xml:space="preserve">137007,2</w:t>
            </w:r>
          </w:p>
        </w:tc>
        <w:tc>
          <w:tcPr>
            <w:tcW w:w="1474" w:type="dxa"/>
          </w:tcPr>
          <w:p>
            <w:pPr>
              <w:pStyle w:val="0"/>
              <w:jc w:val="center"/>
            </w:pPr>
            <w:r>
              <w:rPr>
                <w:sz w:val="20"/>
              </w:rPr>
              <w:t xml:space="preserve">134126,5</w:t>
            </w:r>
          </w:p>
        </w:tc>
        <w:tc>
          <w:tcPr>
            <w:tcW w:w="1531" w:type="dxa"/>
          </w:tcPr>
          <w:p>
            <w:pPr>
              <w:pStyle w:val="0"/>
              <w:jc w:val="center"/>
            </w:pPr>
            <w:r>
              <w:rPr>
                <w:sz w:val="20"/>
              </w:rPr>
              <w:t xml:space="preserve">138552,7</w:t>
            </w:r>
          </w:p>
        </w:tc>
        <w:tc>
          <w:tcPr>
            <w:tcW w:w="1474" w:type="dxa"/>
          </w:tcPr>
          <w:p>
            <w:pPr>
              <w:pStyle w:val="0"/>
              <w:jc w:val="center"/>
            </w:pPr>
            <w:r>
              <w:rPr>
                <w:sz w:val="20"/>
              </w:rPr>
              <w:t xml:space="preserve">142847,8</w:t>
            </w:r>
          </w:p>
        </w:tc>
        <w:tc>
          <w:tcPr>
            <w:tcW w:w="1361" w:type="dxa"/>
          </w:tcPr>
          <w:p>
            <w:pPr>
              <w:pStyle w:val="0"/>
              <w:jc w:val="center"/>
            </w:pPr>
            <w:r>
              <w:rPr>
                <w:sz w:val="20"/>
              </w:rPr>
              <w:t xml:space="preserve">146990,4</w:t>
            </w:r>
          </w:p>
        </w:tc>
        <w:tc>
          <w:tcPr>
            <w:tcW w:w="1361" w:type="dxa"/>
          </w:tcPr>
          <w:p>
            <w:pPr>
              <w:pStyle w:val="0"/>
              <w:jc w:val="center"/>
            </w:pPr>
            <w:r>
              <w:rPr>
                <w:sz w:val="20"/>
              </w:rPr>
              <w:t xml:space="preserve">151106,1</w:t>
            </w:r>
          </w:p>
        </w:tc>
        <w:tc>
          <w:tcPr>
            <w:tcW w:w="1361" w:type="dxa"/>
          </w:tcPr>
          <w:p>
            <w:pPr>
              <w:pStyle w:val="0"/>
              <w:jc w:val="center"/>
            </w:pPr>
            <w:r>
              <w:rPr>
                <w:sz w:val="20"/>
              </w:rPr>
              <w:t xml:space="preserve">155337,1</w:t>
            </w:r>
          </w:p>
        </w:tc>
        <w:tc>
          <w:tcPr>
            <w:tcW w:w="1531" w:type="dxa"/>
          </w:tcPr>
          <w:p>
            <w:pPr>
              <w:pStyle w:val="0"/>
              <w:jc w:val="center"/>
            </w:pPr>
            <w:r>
              <w:rPr>
                <w:sz w:val="20"/>
              </w:rPr>
              <w:t xml:space="preserve">1185430,1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3619,0</w:t>
            </w:r>
          </w:p>
        </w:tc>
        <w:tc>
          <w:tcPr>
            <w:tcW w:w="1417" w:type="dxa"/>
          </w:tcPr>
          <w:p>
            <w:pPr>
              <w:pStyle w:val="0"/>
              <w:jc w:val="center"/>
            </w:pPr>
            <w:r>
              <w:rPr>
                <w:sz w:val="20"/>
              </w:rPr>
              <w:t xml:space="preserve">5826,4</w:t>
            </w:r>
          </w:p>
        </w:tc>
        <w:tc>
          <w:tcPr>
            <w:tcW w:w="1417" w:type="dxa"/>
          </w:tcPr>
          <w:p>
            <w:pPr>
              <w:pStyle w:val="0"/>
              <w:jc w:val="center"/>
            </w:pPr>
            <w:r>
              <w:rPr>
                <w:sz w:val="20"/>
              </w:rPr>
              <w:t xml:space="preserve">7210,9</w:t>
            </w:r>
          </w:p>
        </w:tc>
        <w:tc>
          <w:tcPr>
            <w:tcW w:w="1474" w:type="dxa"/>
          </w:tcPr>
          <w:p>
            <w:pPr>
              <w:pStyle w:val="0"/>
              <w:jc w:val="center"/>
            </w:pPr>
            <w:r>
              <w:rPr>
                <w:sz w:val="20"/>
              </w:rPr>
              <w:t xml:space="preserve">10095,5</w:t>
            </w:r>
          </w:p>
        </w:tc>
        <w:tc>
          <w:tcPr>
            <w:tcW w:w="1531" w:type="dxa"/>
          </w:tcPr>
          <w:p>
            <w:pPr>
              <w:pStyle w:val="0"/>
              <w:jc w:val="center"/>
            </w:pPr>
            <w:r>
              <w:rPr>
                <w:sz w:val="20"/>
              </w:rPr>
              <w:t xml:space="preserve">10428,7</w:t>
            </w:r>
          </w:p>
        </w:tc>
        <w:tc>
          <w:tcPr>
            <w:tcW w:w="1474" w:type="dxa"/>
          </w:tcPr>
          <w:p>
            <w:pPr>
              <w:pStyle w:val="0"/>
              <w:jc w:val="center"/>
            </w:pPr>
            <w:r>
              <w:rPr>
                <w:sz w:val="20"/>
              </w:rPr>
              <w:t xml:space="preserve">10752,0</w:t>
            </w:r>
          </w:p>
        </w:tc>
        <w:tc>
          <w:tcPr>
            <w:tcW w:w="1361" w:type="dxa"/>
          </w:tcPr>
          <w:p>
            <w:pPr>
              <w:pStyle w:val="0"/>
              <w:jc w:val="center"/>
            </w:pPr>
            <w:r>
              <w:rPr>
                <w:sz w:val="20"/>
              </w:rPr>
              <w:t xml:space="preserve">11063,8</w:t>
            </w:r>
          </w:p>
        </w:tc>
        <w:tc>
          <w:tcPr>
            <w:tcW w:w="1361" w:type="dxa"/>
          </w:tcPr>
          <w:p>
            <w:pPr>
              <w:pStyle w:val="0"/>
              <w:jc w:val="center"/>
            </w:pPr>
            <w:r>
              <w:rPr>
                <w:sz w:val="20"/>
              </w:rPr>
              <w:t xml:space="preserve">11373,6</w:t>
            </w:r>
          </w:p>
        </w:tc>
        <w:tc>
          <w:tcPr>
            <w:tcW w:w="1361" w:type="dxa"/>
          </w:tcPr>
          <w:p>
            <w:pPr>
              <w:pStyle w:val="0"/>
              <w:jc w:val="center"/>
            </w:pPr>
            <w:r>
              <w:rPr>
                <w:sz w:val="20"/>
              </w:rPr>
              <w:t xml:space="preserve">11692,1</w:t>
            </w:r>
          </w:p>
        </w:tc>
        <w:tc>
          <w:tcPr>
            <w:tcW w:w="1531" w:type="dxa"/>
          </w:tcPr>
          <w:p>
            <w:pPr>
              <w:pStyle w:val="0"/>
              <w:jc w:val="center"/>
            </w:pPr>
            <w:r>
              <w:rPr>
                <w:sz w:val="20"/>
              </w:rPr>
              <w:t xml:space="preserve">82062,0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81"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gridSpan w:val="13"/>
            <w:tcW w:w="22337" w:type="dxa"/>
          </w:tcPr>
          <w:p>
            <w:pPr>
              <w:pStyle w:val="0"/>
              <w:outlineLvl w:val="2"/>
              <w:jc w:val="center"/>
            </w:pPr>
            <w:r>
              <w:rPr>
                <w:sz w:val="20"/>
              </w:rPr>
              <w:t xml:space="preserve">Подпрограмма 6 "Развитие информатизации и комплексной безопасности объектов здравоохранения"</w:t>
            </w:r>
          </w:p>
        </w:tc>
      </w:tr>
      <w:tr>
        <w:tc>
          <w:tcPr>
            <w:tcW w:w="3458" w:type="dxa"/>
            <w:vMerge w:val="restart"/>
          </w:tcPr>
          <w:p>
            <w:pPr>
              <w:pStyle w:val="0"/>
              <w:jc w:val="both"/>
            </w:pPr>
            <w:r>
              <w:rPr>
                <w:sz w:val="20"/>
              </w:rPr>
              <w:t xml:space="preserve">6.1. Оказание государственными учреждениями здравоохранения государственных услуг, выполнение работ, финансовое обеспечение деятельности государственных казенных учреждений</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126215,0</w:t>
            </w:r>
          </w:p>
        </w:tc>
        <w:tc>
          <w:tcPr>
            <w:tcW w:w="1417" w:type="dxa"/>
          </w:tcPr>
          <w:p>
            <w:pPr>
              <w:pStyle w:val="0"/>
              <w:jc w:val="center"/>
            </w:pPr>
            <w:r>
              <w:rPr>
                <w:sz w:val="20"/>
              </w:rPr>
              <w:t xml:space="preserve">129558,8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255773,8</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126215,0</w:t>
            </w:r>
          </w:p>
        </w:tc>
        <w:tc>
          <w:tcPr>
            <w:tcW w:w="1417" w:type="dxa"/>
          </w:tcPr>
          <w:p>
            <w:pPr>
              <w:pStyle w:val="0"/>
              <w:jc w:val="center"/>
            </w:pPr>
            <w:r>
              <w:rPr>
                <w:sz w:val="20"/>
              </w:rPr>
              <w:t xml:space="preserve">129558,8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255773,8</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6.2. Информатизация в здравоохранении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20664,3</w:t>
            </w:r>
          </w:p>
        </w:tc>
        <w:tc>
          <w:tcPr>
            <w:tcW w:w="1417" w:type="dxa"/>
          </w:tcPr>
          <w:p>
            <w:pPr>
              <w:pStyle w:val="0"/>
              <w:jc w:val="center"/>
            </w:pPr>
            <w:r>
              <w:rPr>
                <w:sz w:val="20"/>
              </w:rPr>
              <w:t xml:space="preserve">21278,0</w:t>
            </w:r>
          </w:p>
        </w:tc>
        <w:tc>
          <w:tcPr>
            <w:tcW w:w="1417" w:type="dxa"/>
          </w:tcPr>
          <w:p>
            <w:pPr>
              <w:pStyle w:val="0"/>
              <w:jc w:val="center"/>
            </w:pPr>
            <w:r>
              <w:rPr>
                <w:sz w:val="20"/>
              </w:rPr>
              <w:t xml:space="preserve">0,0</w:t>
            </w:r>
          </w:p>
        </w:tc>
        <w:tc>
          <w:tcPr>
            <w:tcW w:w="1474" w:type="dxa"/>
          </w:tcPr>
          <w:p>
            <w:pPr>
              <w:pStyle w:val="0"/>
              <w:jc w:val="center"/>
            </w:pPr>
            <w:r>
              <w:rPr>
                <w:sz w:val="20"/>
              </w:rPr>
              <w:t xml:space="preserve">45143,4</w:t>
            </w:r>
          </w:p>
        </w:tc>
        <w:tc>
          <w:tcPr>
            <w:tcW w:w="1531" w:type="dxa"/>
          </w:tcPr>
          <w:p>
            <w:pPr>
              <w:pStyle w:val="0"/>
              <w:jc w:val="center"/>
            </w:pPr>
            <w:r>
              <w:rPr>
                <w:sz w:val="20"/>
              </w:rPr>
              <w:t xml:space="preserve">46633,1</w:t>
            </w:r>
          </w:p>
        </w:tc>
        <w:tc>
          <w:tcPr>
            <w:tcW w:w="1474" w:type="dxa"/>
          </w:tcPr>
          <w:p>
            <w:pPr>
              <w:pStyle w:val="0"/>
              <w:jc w:val="center"/>
            </w:pPr>
            <w:r>
              <w:rPr>
                <w:sz w:val="20"/>
              </w:rPr>
              <w:t xml:space="preserve">48078,7</w:t>
            </w:r>
          </w:p>
        </w:tc>
        <w:tc>
          <w:tcPr>
            <w:tcW w:w="1361" w:type="dxa"/>
          </w:tcPr>
          <w:p>
            <w:pPr>
              <w:pStyle w:val="0"/>
              <w:jc w:val="center"/>
            </w:pPr>
            <w:r>
              <w:rPr>
                <w:sz w:val="20"/>
              </w:rPr>
              <w:t xml:space="preserve">49473,0</w:t>
            </w:r>
          </w:p>
        </w:tc>
        <w:tc>
          <w:tcPr>
            <w:tcW w:w="1361" w:type="dxa"/>
          </w:tcPr>
          <w:p>
            <w:pPr>
              <w:pStyle w:val="0"/>
              <w:jc w:val="center"/>
            </w:pPr>
            <w:r>
              <w:rPr>
                <w:sz w:val="20"/>
              </w:rPr>
              <w:t xml:space="preserve">50858,2</w:t>
            </w:r>
          </w:p>
        </w:tc>
        <w:tc>
          <w:tcPr>
            <w:tcW w:w="1361" w:type="dxa"/>
          </w:tcPr>
          <w:p>
            <w:pPr>
              <w:pStyle w:val="0"/>
              <w:jc w:val="center"/>
            </w:pPr>
            <w:r>
              <w:rPr>
                <w:sz w:val="20"/>
              </w:rPr>
              <w:t xml:space="preserve">52282,2</w:t>
            </w:r>
          </w:p>
        </w:tc>
        <w:tc>
          <w:tcPr>
            <w:tcW w:w="1531" w:type="dxa"/>
          </w:tcPr>
          <w:p>
            <w:pPr>
              <w:pStyle w:val="0"/>
              <w:jc w:val="center"/>
            </w:pPr>
            <w:r>
              <w:rPr>
                <w:sz w:val="20"/>
              </w:rPr>
              <w:t xml:space="preserve">334410,9</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20664,3</w:t>
            </w:r>
          </w:p>
        </w:tc>
        <w:tc>
          <w:tcPr>
            <w:tcW w:w="1417" w:type="dxa"/>
          </w:tcPr>
          <w:p>
            <w:pPr>
              <w:pStyle w:val="0"/>
              <w:jc w:val="center"/>
            </w:pPr>
            <w:r>
              <w:rPr>
                <w:sz w:val="20"/>
              </w:rPr>
              <w:t xml:space="preserve">21278,0</w:t>
            </w:r>
          </w:p>
        </w:tc>
        <w:tc>
          <w:tcPr>
            <w:tcW w:w="1417" w:type="dxa"/>
          </w:tcPr>
          <w:p>
            <w:pPr>
              <w:pStyle w:val="0"/>
              <w:jc w:val="center"/>
            </w:pPr>
            <w:r>
              <w:rPr>
                <w:sz w:val="20"/>
              </w:rPr>
              <w:t xml:space="preserve">0,0</w:t>
            </w:r>
          </w:p>
        </w:tc>
        <w:tc>
          <w:tcPr>
            <w:tcW w:w="1474" w:type="dxa"/>
          </w:tcPr>
          <w:p>
            <w:pPr>
              <w:pStyle w:val="0"/>
              <w:jc w:val="center"/>
            </w:pPr>
            <w:r>
              <w:rPr>
                <w:sz w:val="20"/>
              </w:rPr>
              <w:t xml:space="preserve">45143,4</w:t>
            </w:r>
          </w:p>
        </w:tc>
        <w:tc>
          <w:tcPr>
            <w:tcW w:w="1531" w:type="dxa"/>
          </w:tcPr>
          <w:p>
            <w:pPr>
              <w:pStyle w:val="0"/>
              <w:jc w:val="center"/>
            </w:pPr>
            <w:r>
              <w:rPr>
                <w:sz w:val="20"/>
              </w:rPr>
              <w:t xml:space="preserve">46633,1</w:t>
            </w:r>
          </w:p>
        </w:tc>
        <w:tc>
          <w:tcPr>
            <w:tcW w:w="1474" w:type="dxa"/>
          </w:tcPr>
          <w:p>
            <w:pPr>
              <w:pStyle w:val="0"/>
              <w:jc w:val="center"/>
            </w:pPr>
            <w:r>
              <w:rPr>
                <w:sz w:val="20"/>
              </w:rPr>
              <w:t xml:space="preserve">48078,7</w:t>
            </w:r>
          </w:p>
        </w:tc>
        <w:tc>
          <w:tcPr>
            <w:tcW w:w="1361" w:type="dxa"/>
          </w:tcPr>
          <w:p>
            <w:pPr>
              <w:pStyle w:val="0"/>
              <w:jc w:val="center"/>
            </w:pPr>
            <w:r>
              <w:rPr>
                <w:sz w:val="20"/>
              </w:rPr>
              <w:t xml:space="preserve">49473,0</w:t>
            </w:r>
          </w:p>
        </w:tc>
        <w:tc>
          <w:tcPr>
            <w:tcW w:w="1361" w:type="dxa"/>
          </w:tcPr>
          <w:p>
            <w:pPr>
              <w:pStyle w:val="0"/>
              <w:jc w:val="center"/>
            </w:pPr>
            <w:r>
              <w:rPr>
                <w:sz w:val="20"/>
              </w:rPr>
              <w:t xml:space="preserve">50858,2</w:t>
            </w:r>
          </w:p>
        </w:tc>
        <w:tc>
          <w:tcPr>
            <w:tcW w:w="1361" w:type="dxa"/>
          </w:tcPr>
          <w:p>
            <w:pPr>
              <w:pStyle w:val="0"/>
              <w:jc w:val="center"/>
            </w:pPr>
            <w:r>
              <w:rPr>
                <w:sz w:val="20"/>
              </w:rPr>
              <w:t xml:space="preserve">52282,2</w:t>
            </w:r>
          </w:p>
        </w:tc>
        <w:tc>
          <w:tcPr>
            <w:tcW w:w="1531" w:type="dxa"/>
          </w:tcPr>
          <w:p>
            <w:pPr>
              <w:pStyle w:val="0"/>
              <w:jc w:val="center"/>
            </w:pPr>
            <w:r>
              <w:rPr>
                <w:sz w:val="20"/>
              </w:rPr>
              <w:t xml:space="preserve">334410,9</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Итого по </w:t>
            </w:r>
            <w:hyperlink w:history="0" w:anchor="P1903" w:tooltip="ПОДПРОГРАММА 6">
              <w:r>
                <w:rPr>
                  <w:sz w:val="20"/>
                  <w:color w:val="0000ff"/>
                </w:rPr>
                <w:t xml:space="preserve">подпрограмме 6</w:t>
              </w:r>
            </w:hyperlink>
          </w:p>
        </w:tc>
        <w:tc>
          <w:tcPr>
            <w:tcW w:w="2041" w:type="dxa"/>
            <w:vMerge w:val="restart"/>
          </w:tcPr>
          <w:p>
            <w:pPr>
              <w:pStyle w:val="0"/>
              <w:jc w:val="both"/>
            </w:pPr>
            <w:r>
              <w:rPr>
                <w:sz w:val="20"/>
              </w:rPr>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146879,3</w:t>
            </w:r>
          </w:p>
        </w:tc>
        <w:tc>
          <w:tcPr>
            <w:tcW w:w="1417" w:type="dxa"/>
          </w:tcPr>
          <w:p>
            <w:pPr>
              <w:pStyle w:val="0"/>
              <w:jc w:val="center"/>
            </w:pPr>
            <w:r>
              <w:rPr>
                <w:sz w:val="20"/>
              </w:rPr>
              <w:t xml:space="preserve">150836,8</w:t>
            </w:r>
          </w:p>
        </w:tc>
        <w:tc>
          <w:tcPr>
            <w:tcW w:w="1417" w:type="dxa"/>
          </w:tcPr>
          <w:p>
            <w:pPr>
              <w:pStyle w:val="0"/>
              <w:jc w:val="center"/>
            </w:pPr>
            <w:r>
              <w:rPr>
                <w:sz w:val="20"/>
              </w:rPr>
              <w:t xml:space="preserve">0,0</w:t>
            </w:r>
          </w:p>
        </w:tc>
        <w:tc>
          <w:tcPr>
            <w:tcW w:w="1474" w:type="dxa"/>
          </w:tcPr>
          <w:p>
            <w:pPr>
              <w:pStyle w:val="0"/>
              <w:jc w:val="center"/>
            </w:pPr>
            <w:r>
              <w:rPr>
                <w:sz w:val="20"/>
              </w:rPr>
              <w:t xml:space="preserve">45143,4</w:t>
            </w:r>
          </w:p>
        </w:tc>
        <w:tc>
          <w:tcPr>
            <w:tcW w:w="1531" w:type="dxa"/>
          </w:tcPr>
          <w:p>
            <w:pPr>
              <w:pStyle w:val="0"/>
              <w:jc w:val="center"/>
            </w:pPr>
            <w:r>
              <w:rPr>
                <w:sz w:val="20"/>
              </w:rPr>
              <w:t xml:space="preserve">46633,1</w:t>
            </w:r>
          </w:p>
        </w:tc>
        <w:tc>
          <w:tcPr>
            <w:tcW w:w="1474" w:type="dxa"/>
          </w:tcPr>
          <w:p>
            <w:pPr>
              <w:pStyle w:val="0"/>
              <w:jc w:val="center"/>
            </w:pPr>
            <w:r>
              <w:rPr>
                <w:sz w:val="20"/>
              </w:rPr>
              <w:t xml:space="preserve">48078,7</w:t>
            </w:r>
          </w:p>
        </w:tc>
        <w:tc>
          <w:tcPr>
            <w:tcW w:w="1361" w:type="dxa"/>
          </w:tcPr>
          <w:p>
            <w:pPr>
              <w:pStyle w:val="0"/>
              <w:jc w:val="center"/>
            </w:pPr>
            <w:r>
              <w:rPr>
                <w:sz w:val="20"/>
              </w:rPr>
              <w:t xml:space="preserve">49473,0</w:t>
            </w:r>
          </w:p>
        </w:tc>
        <w:tc>
          <w:tcPr>
            <w:tcW w:w="1361" w:type="dxa"/>
          </w:tcPr>
          <w:p>
            <w:pPr>
              <w:pStyle w:val="0"/>
              <w:jc w:val="center"/>
            </w:pPr>
            <w:r>
              <w:rPr>
                <w:sz w:val="20"/>
              </w:rPr>
              <w:t xml:space="preserve">50858,2</w:t>
            </w:r>
          </w:p>
        </w:tc>
        <w:tc>
          <w:tcPr>
            <w:tcW w:w="1361" w:type="dxa"/>
          </w:tcPr>
          <w:p>
            <w:pPr>
              <w:pStyle w:val="0"/>
              <w:jc w:val="center"/>
            </w:pPr>
            <w:r>
              <w:rPr>
                <w:sz w:val="20"/>
              </w:rPr>
              <w:t xml:space="preserve">52282,2</w:t>
            </w:r>
          </w:p>
        </w:tc>
        <w:tc>
          <w:tcPr>
            <w:tcW w:w="1531" w:type="dxa"/>
          </w:tcPr>
          <w:p>
            <w:pPr>
              <w:pStyle w:val="0"/>
              <w:jc w:val="center"/>
            </w:pPr>
            <w:r>
              <w:rPr>
                <w:sz w:val="20"/>
              </w:rPr>
              <w:t xml:space="preserve">590184,7</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146879,3</w:t>
            </w:r>
          </w:p>
        </w:tc>
        <w:tc>
          <w:tcPr>
            <w:tcW w:w="1417" w:type="dxa"/>
          </w:tcPr>
          <w:p>
            <w:pPr>
              <w:pStyle w:val="0"/>
              <w:jc w:val="center"/>
            </w:pPr>
            <w:r>
              <w:rPr>
                <w:sz w:val="20"/>
              </w:rPr>
              <w:t xml:space="preserve">150836,8</w:t>
            </w:r>
          </w:p>
        </w:tc>
        <w:tc>
          <w:tcPr>
            <w:tcW w:w="1417" w:type="dxa"/>
          </w:tcPr>
          <w:p>
            <w:pPr>
              <w:pStyle w:val="0"/>
              <w:jc w:val="center"/>
            </w:pPr>
            <w:r>
              <w:rPr>
                <w:sz w:val="20"/>
              </w:rPr>
              <w:t xml:space="preserve">0,0</w:t>
            </w:r>
          </w:p>
        </w:tc>
        <w:tc>
          <w:tcPr>
            <w:tcW w:w="1474" w:type="dxa"/>
          </w:tcPr>
          <w:p>
            <w:pPr>
              <w:pStyle w:val="0"/>
              <w:jc w:val="center"/>
            </w:pPr>
            <w:r>
              <w:rPr>
                <w:sz w:val="20"/>
              </w:rPr>
              <w:t xml:space="preserve">45143,4</w:t>
            </w:r>
          </w:p>
        </w:tc>
        <w:tc>
          <w:tcPr>
            <w:tcW w:w="1531" w:type="dxa"/>
          </w:tcPr>
          <w:p>
            <w:pPr>
              <w:pStyle w:val="0"/>
              <w:jc w:val="center"/>
            </w:pPr>
            <w:r>
              <w:rPr>
                <w:sz w:val="20"/>
              </w:rPr>
              <w:t xml:space="preserve">46633,1</w:t>
            </w:r>
          </w:p>
        </w:tc>
        <w:tc>
          <w:tcPr>
            <w:tcW w:w="1474" w:type="dxa"/>
          </w:tcPr>
          <w:p>
            <w:pPr>
              <w:pStyle w:val="0"/>
              <w:jc w:val="center"/>
            </w:pPr>
            <w:r>
              <w:rPr>
                <w:sz w:val="20"/>
              </w:rPr>
              <w:t xml:space="preserve">48078,7</w:t>
            </w:r>
          </w:p>
        </w:tc>
        <w:tc>
          <w:tcPr>
            <w:tcW w:w="1361" w:type="dxa"/>
          </w:tcPr>
          <w:p>
            <w:pPr>
              <w:pStyle w:val="0"/>
              <w:jc w:val="center"/>
            </w:pPr>
            <w:r>
              <w:rPr>
                <w:sz w:val="20"/>
              </w:rPr>
              <w:t xml:space="preserve">49473,0</w:t>
            </w:r>
          </w:p>
        </w:tc>
        <w:tc>
          <w:tcPr>
            <w:tcW w:w="1361" w:type="dxa"/>
          </w:tcPr>
          <w:p>
            <w:pPr>
              <w:pStyle w:val="0"/>
              <w:jc w:val="center"/>
            </w:pPr>
            <w:r>
              <w:rPr>
                <w:sz w:val="20"/>
              </w:rPr>
              <w:t xml:space="preserve">50858,2</w:t>
            </w:r>
          </w:p>
        </w:tc>
        <w:tc>
          <w:tcPr>
            <w:tcW w:w="1361" w:type="dxa"/>
          </w:tcPr>
          <w:p>
            <w:pPr>
              <w:pStyle w:val="0"/>
              <w:jc w:val="center"/>
            </w:pPr>
            <w:r>
              <w:rPr>
                <w:sz w:val="20"/>
              </w:rPr>
              <w:t xml:space="preserve">52282,2</w:t>
            </w:r>
          </w:p>
        </w:tc>
        <w:tc>
          <w:tcPr>
            <w:tcW w:w="1531" w:type="dxa"/>
          </w:tcPr>
          <w:p>
            <w:pPr>
              <w:pStyle w:val="0"/>
              <w:jc w:val="center"/>
            </w:pPr>
            <w:r>
              <w:rPr>
                <w:sz w:val="20"/>
              </w:rPr>
              <w:t xml:space="preserve">590184,7</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gridSpan w:val="13"/>
            <w:tcW w:w="22337" w:type="dxa"/>
          </w:tcPr>
          <w:p>
            <w:pPr>
              <w:pStyle w:val="0"/>
              <w:outlineLvl w:val="2"/>
              <w:jc w:val="center"/>
            </w:pPr>
            <w:r>
              <w:rPr>
                <w:sz w:val="20"/>
              </w:rPr>
              <w:t xml:space="preserve">Подпрограмма 7 "Кадровое обеспечение системы здравоохранения"</w:t>
            </w:r>
          </w:p>
        </w:tc>
      </w:tr>
      <w:tr>
        <w:tc>
          <w:tcPr>
            <w:tcW w:w="3458" w:type="dxa"/>
            <w:vMerge w:val="restart"/>
          </w:tcPr>
          <w:p>
            <w:pPr>
              <w:pStyle w:val="0"/>
              <w:jc w:val="both"/>
            </w:pPr>
            <w:r>
              <w:rPr>
                <w:sz w:val="20"/>
              </w:rPr>
              <w:t xml:space="preserve">7.1. Осуществление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3500,0</w:t>
            </w:r>
          </w:p>
        </w:tc>
        <w:tc>
          <w:tcPr>
            <w:tcW w:w="1417" w:type="dxa"/>
          </w:tcPr>
          <w:p>
            <w:pPr>
              <w:pStyle w:val="0"/>
              <w:jc w:val="center"/>
            </w:pPr>
            <w:r>
              <w:rPr>
                <w:sz w:val="20"/>
              </w:rPr>
              <w:t xml:space="preserve">2500,0</w:t>
            </w:r>
          </w:p>
        </w:tc>
        <w:tc>
          <w:tcPr>
            <w:tcW w:w="1417" w:type="dxa"/>
          </w:tcPr>
          <w:p>
            <w:pPr>
              <w:pStyle w:val="0"/>
              <w:jc w:val="center"/>
            </w:pPr>
            <w:r>
              <w:rPr>
                <w:sz w:val="20"/>
              </w:rPr>
              <w:t xml:space="preserve">500,0</w:t>
            </w:r>
          </w:p>
        </w:tc>
        <w:tc>
          <w:tcPr>
            <w:tcW w:w="1474" w:type="dxa"/>
          </w:tcPr>
          <w:p>
            <w:pPr>
              <w:pStyle w:val="0"/>
              <w:jc w:val="center"/>
            </w:pPr>
            <w:r>
              <w:rPr>
                <w:sz w:val="20"/>
              </w:rPr>
              <w:t xml:space="preserve">500,0</w:t>
            </w:r>
          </w:p>
        </w:tc>
        <w:tc>
          <w:tcPr>
            <w:tcW w:w="1531" w:type="dxa"/>
          </w:tcPr>
          <w:p>
            <w:pPr>
              <w:pStyle w:val="0"/>
              <w:jc w:val="center"/>
            </w:pPr>
            <w:r>
              <w:rPr>
                <w:sz w:val="20"/>
              </w:rPr>
              <w:t xml:space="preserve">500,0</w:t>
            </w:r>
          </w:p>
        </w:tc>
        <w:tc>
          <w:tcPr>
            <w:tcW w:w="1474" w:type="dxa"/>
          </w:tcPr>
          <w:p>
            <w:pPr>
              <w:pStyle w:val="0"/>
              <w:jc w:val="center"/>
            </w:pPr>
            <w:r>
              <w:rPr>
                <w:sz w:val="20"/>
              </w:rPr>
              <w:t xml:space="preserve">500,0</w:t>
            </w:r>
          </w:p>
        </w:tc>
        <w:tc>
          <w:tcPr>
            <w:tcW w:w="1361" w:type="dxa"/>
          </w:tcPr>
          <w:p>
            <w:pPr>
              <w:pStyle w:val="0"/>
              <w:jc w:val="center"/>
            </w:pPr>
            <w:r>
              <w:rPr>
                <w:sz w:val="20"/>
              </w:rPr>
              <w:t xml:space="preserve">500,0</w:t>
            </w:r>
          </w:p>
        </w:tc>
        <w:tc>
          <w:tcPr>
            <w:tcW w:w="1361" w:type="dxa"/>
          </w:tcPr>
          <w:p>
            <w:pPr>
              <w:pStyle w:val="0"/>
              <w:jc w:val="center"/>
            </w:pPr>
            <w:r>
              <w:rPr>
                <w:sz w:val="20"/>
              </w:rPr>
              <w:t xml:space="preserve">500,0</w:t>
            </w:r>
          </w:p>
        </w:tc>
        <w:tc>
          <w:tcPr>
            <w:tcW w:w="1361" w:type="dxa"/>
          </w:tcPr>
          <w:p>
            <w:pPr>
              <w:pStyle w:val="0"/>
              <w:jc w:val="center"/>
            </w:pPr>
            <w:r>
              <w:rPr>
                <w:sz w:val="20"/>
              </w:rPr>
              <w:t xml:space="preserve">500,0</w:t>
            </w:r>
          </w:p>
        </w:tc>
        <w:tc>
          <w:tcPr>
            <w:tcW w:w="1531" w:type="dxa"/>
          </w:tcPr>
          <w:p>
            <w:pPr>
              <w:pStyle w:val="0"/>
              <w:jc w:val="center"/>
            </w:pPr>
            <w:r>
              <w:rPr>
                <w:sz w:val="20"/>
              </w:rPr>
              <w:t xml:space="preserve">9500,0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3325,0</w:t>
            </w:r>
          </w:p>
        </w:tc>
        <w:tc>
          <w:tcPr>
            <w:tcW w:w="1417" w:type="dxa"/>
          </w:tcPr>
          <w:p>
            <w:pPr>
              <w:pStyle w:val="0"/>
              <w:jc w:val="center"/>
            </w:pPr>
            <w:r>
              <w:rPr>
                <w:sz w:val="20"/>
              </w:rPr>
              <w:t xml:space="preserve">2375,0</w:t>
            </w:r>
          </w:p>
        </w:tc>
        <w:tc>
          <w:tcPr>
            <w:tcW w:w="1417" w:type="dxa"/>
          </w:tcPr>
          <w:p>
            <w:pPr>
              <w:pStyle w:val="0"/>
              <w:jc w:val="center"/>
            </w:pPr>
            <w:r>
              <w:rPr>
                <w:sz w:val="20"/>
              </w:rPr>
              <w:t xml:space="preserve">475,0</w:t>
            </w:r>
          </w:p>
        </w:tc>
        <w:tc>
          <w:tcPr>
            <w:tcW w:w="1474" w:type="dxa"/>
          </w:tcPr>
          <w:p>
            <w:pPr>
              <w:pStyle w:val="0"/>
              <w:jc w:val="center"/>
            </w:pPr>
            <w:r>
              <w:rPr>
                <w:sz w:val="20"/>
              </w:rPr>
              <w:t xml:space="preserve">465,0</w:t>
            </w:r>
          </w:p>
        </w:tc>
        <w:tc>
          <w:tcPr>
            <w:tcW w:w="1531" w:type="dxa"/>
          </w:tcPr>
          <w:p>
            <w:pPr>
              <w:pStyle w:val="0"/>
              <w:jc w:val="center"/>
            </w:pPr>
            <w:r>
              <w:rPr>
                <w:sz w:val="20"/>
              </w:rPr>
              <w:t xml:space="preserve">465,0</w:t>
            </w:r>
          </w:p>
        </w:tc>
        <w:tc>
          <w:tcPr>
            <w:tcW w:w="1474" w:type="dxa"/>
          </w:tcPr>
          <w:p>
            <w:pPr>
              <w:pStyle w:val="0"/>
              <w:jc w:val="center"/>
            </w:pPr>
            <w:r>
              <w:rPr>
                <w:sz w:val="20"/>
              </w:rPr>
              <w:t xml:space="preserve">465,0</w:t>
            </w:r>
          </w:p>
        </w:tc>
        <w:tc>
          <w:tcPr>
            <w:tcW w:w="1361" w:type="dxa"/>
          </w:tcPr>
          <w:p>
            <w:pPr>
              <w:pStyle w:val="0"/>
              <w:jc w:val="center"/>
            </w:pPr>
            <w:r>
              <w:rPr>
                <w:sz w:val="20"/>
              </w:rPr>
              <w:t xml:space="preserve">465,0</w:t>
            </w:r>
          </w:p>
        </w:tc>
        <w:tc>
          <w:tcPr>
            <w:tcW w:w="1361" w:type="dxa"/>
          </w:tcPr>
          <w:p>
            <w:pPr>
              <w:pStyle w:val="0"/>
              <w:jc w:val="center"/>
            </w:pPr>
            <w:r>
              <w:rPr>
                <w:sz w:val="20"/>
              </w:rPr>
              <w:t xml:space="preserve">465,0</w:t>
            </w:r>
          </w:p>
        </w:tc>
        <w:tc>
          <w:tcPr>
            <w:tcW w:w="1361" w:type="dxa"/>
          </w:tcPr>
          <w:p>
            <w:pPr>
              <w:pStyle w:val="0"/>
              <w:jc w:val="center"/>
            </w:pPr>
            <w:r>
              <w:rPr>
                <w:sz w:val="20"/>
              </w:rPr>
              <w:t xml:space="preserve">465,0</w:t>
            </w:r>
          </w:p>
        </w:tc>
        <w:tc>
          <w:tcPr>
            <w:tcW w:w="1531" w:type="dxa"/>
          </w:tcPr>
          <w:p>
            <w:pPr>
              <w:pStyle w:val="0"/>
              <w:jc w:val="center"/>
            </w:pPr>
            <w:r>
              <w:rPr>
                <w:sz w:val="20"/>
              </w:rPr>
              <w:t xml:space="preserve">8965,0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175,0</w:t>
            </w:r>
          </w:p>
        </w:tc>
        <w:tc>
          <w:tcPr>
            <w:tcW w:w="1417" w:type="dxa"/>
          </w:tcPr>
          <w:p>
            <w:pPr>
              <w:pStyle w:val="0"/>
              <w:jc w:val="center"/>
            </w:pPr>
            <w:r>
              <w:rPr>
                <w:sz w:val="20"/>
              </w:rPr>
              <w:t xml:space="preserve">125,0</w:t>
            </w:r>
          </w:p>
        </w:tc>
        <w:tc>
          <w:tcPr>
            <w:tcW w:w="1417" w:type="dxa"/>
          </w:tcPr>
          <w:p>
            <w:pPr>
              <w:pStyle w:val="0"/>
              <w:jc w:val="center"/>
            </w:pPr>
            <w:r>
              <w:rPr>
                <w:sz w:val="20"/>
              </w:rPr>
              <w:t xml:space="preserve">25,0</w:t>
            </w:r>
          </w:p>
        </w:tc>
        <w:tc>
          <w:tcPr>
            <w:tcW w:w="1474" w:type="dxa"/>
          </w:tcPr>
          <w:p>
            <w:pPr>
              <w:pStyle w:val="0"/>
              <w:jc w:val="center"/>
            </w:pPr>
            <w:r>
              <w:rPr>
                <w:sz w:val="20"/>
              </w:rPr>
              <w:t xml:space="preserve">35,0</w:t>
            </w:r>
          </w:p>
        </w:tc>
        <w:tc>
          <w:tcPr>
            <w:tcW w:w="1531" w:type="dxa"/>
          </w:tcPr>
          <w:p>
            <w:pPr>
              <w:pStyle w:val="0"/>
              <w:jc w:val="center"/>
            </w:pPr>
            <w:r>
              <w:rPr>
                <w:sz w:val="20"/>
              </w:rPr>
              <w:t xml:space="preserve">35,0</w:t>
            </w:r>
          </w:p>
        </w:tc>
        <w:tc>
          <w:tcPr>
            <w:tcW w:w="1474" w:type="dxa"/>
          </w:tcPr>
          <w:p>
            <w:pPr>
              <w:pStyle w:val="0"/>
              <w:jc w:val="center"/>
            </w:pPr>
            <w:r>
              <w:rPr>
                <w:sz w:val="20"/>
              </w:rPr>
              <w:t xml:space="preserve">35,0</w:t>
            </w:r>
          </w:p>
        </w:tc>
        <w:tc>
          <w:tcPr>
            <w:tcW w:w="1361" w:type="dxa"/>
          </w:tcPr>
          <w:p>
            <w:pPr>
              <w:pStyle w:val="0"/>
              <w:jc w:val="center"/>
            </w:pPr>
            <w:r>
              <w:rPr>
                <w:sz w:val="20"/>
              </w:rPr>
              <w:t xml:space="preserve">35,0</w:t>
            </w:r>
          </w:p>
        </w:tc>
        <w:tc>
          <w:tcPr>
            <w:tcW w:w="1361" w:type="dxa"/>
          </w:tcPr>
          <w:p>
            <w:pPr>
              <w:pStyle w:val="0"/>
              <w:jc w:val="center"/>
            </w:pPr>
            <w:r>
              <w:rPr>
                <w:sz w:val="20"/>
              </w:rPr>
              <w:t xml:space="preserve">35,0</w:t>
            </w:r>
          </w:p>
        </w:tc>
        <w:tc>
          <w:tcPr>
            <w:tcW w:w="1361" w:type="dxa"/>
          </w:tcPr>
          <w:p>
            <w:pPr>
              <w:pStyle w:val="0"/>
              <w:jc w:val="center"/>
            </w:pPr>
            <w:r>
              <w:rPr>
                <w:sz w:val="20"/>
              </w:rPr>
              <w:t xml:space="preserve">35,0</w:t>
            </w:r>
          </w:p>
        </w:tc>
        <w:tc>
          <w:tcPr>
            <w:tcW w:w="1531" w:type="dxa"/>
          </w:tcPr>
          <w:p>
            <w:pPr>
              <w:pStyle w:val="0"/>
              <w:jc w:val="center"/>
            </w:pPr>
            <w:r>
              <w:rPr>
                <w:sz w:val="20"/>
              </w:rPr>
              <w:t xml:space="preserve">535,0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7.2. Оплата профессиональной переподготовки и повышения квалификации врачей в государственных образовательных организациях высшего и дополнительного профессионального образования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1282,6</w:t>
            </w:r>
          </w:p>
        </w:tc>
        <w:tc>
          <w:tcPr>
            <w:tcW w:w="1417" w:type="dxa"/>
          </w:tcPr>
          <w:p>
            <w:pPr>
              <w:pStyle w:val="0"/>
              <w:jc w:val="center"/>
            </w:pPr>
            <w:r>
              <w:rPr>
                <w:sz w:val="20"/>
              </w:rPr>
              <w:t xml:space="preserve">5624,7</w:t>
            </w:r>
          </w:p>
        </w:tc>
        <w:tc>
          <w:tcPr>
            <w:tcW w:w="1417" w:type="dxa"/>
          </w:tcPr>
          <w:p>
            <w:pPr>
              <w:pStyle w:val="0"/>
              <w:jc w:val="center"/>
            </w:pPr>
            <w:r>
              <w:rPr>
                <w:sz w:val="20"/>
              </w:rPr>
              <w:t xml:space="preserve">6597,7</w:t>
            </w:r>
          </w:p>
        </w:tc>
        <w:tc>
          <w:tcPr>
            <w:tcW w:w="1474" w:type="dxa"/>
          </w:tcPr>
          <w:p>
            <w:pPr>
              <w:pStyle w:val="0"/>
              <w:jc w:val="center"/>
            </w:pPr>
            <w:r>
              <w:rPr>
                <w:sz w:val="20"/>
              </w:rPr>
              <w:t xml:space="preserve">5904,0</w:t>
            </w:r>
          </w:p>
        </w:tc>
        <w:tc>
          <w:tcPr>
            <w:tcW w:w="1531" w:type="dxa"/>
          </w:tcPr>
          <w:p>
            <w:pPr>
              <w:pStyle w:val="0"/>
              <w:jc w:val="center"/>
            </w:pPr>
            <w:r>
              <w:rPr>
                <w:sz w:val="20"/>
              </w:rPr>
              <w:t xml:space="preserve">6098,8</w:t>
            </w:r>
          </w:p>
        </w:tc>
        <w:tc>
          <w:tcPr>
            <w:tcW w:w="1474" w:type="dxa"/>
          </w:tcPr>
          <w:p>
            <w:pPr>
              <w:pStyle w:val="0"/>
              <w:jc w:val="center"/>
            </w:pPr>
            <w:r>
              <w:rPr>
                <w:sz w:val="20"/>
              </w:rPr>
              <w:t xml:space="preserve">6287,9</w:t>
            </w:r>
          </w:p>
        </w:tc>
        <w:tc>
          <w:tcPr>
            <w:tcW w:w="1361" w:type="dxa"/>
          </w:tcPr>
          <w:p>
            <w:pPr>
              <w:pStyle w:val="0"/>
              <w:jc w:val="center"/>
            </w:pPr>
            <w:r>
              <w:rPr>
                <w:sz w:val="20"/>
              </w:rPr>
              <w:t xml:space="preserve">6470,2</w:t>
            </w:r>
          </w:p>
        </w:tc>
        <w:tc>
          <w:tcPr>
            <w:tcW w:w="1361" w:type="dxa"/>
          </w:tcPr>
          <w:p>
            <w:pPr>
              <w:pStyle w:val="0"/>
              <w:jc w:val="center"/>
            </w:pPr>
            <w:r>
              <w:rPr>
                <w:sz w:val="20"/>
              </w:rPr>
              <w:t xml:space="preserve">6651,4</w:t>
            </w:r>
          </w:p>
        </w:tc>
        <w:tc>
          <w:tcPr>
            <w:tcW w:w="1361" w:type="dxa"/>
          </w:tcPr>
          <w:p>
            <w:pPr>
              <w:pStyle w:val="0"/>
              <w:jc w:val="center"/>
            </w:pPr>
            <w:r>
              <w:rPr>
                <w:sz w:val="20"/>
              </w:rPr>
              <w:t xml:space="preserve">6837,6</w:t>
            </w:r>
          </w:p>
        </w:tc>
        <w:tc>
          <w:tcPr>
            <w:tcW w:w="1531" w:type="dxa"/>
          </w:tcPr>
          <w:p>
            <w:pPr>
              <w:pStyle w:val="0"/>
              <w:jc w:val="center"/>
            </w:pPr>
            <w:r>
              <w:rPr>
                <w:sz w:val="20"/>
              </w:rPr>
              <w:t xml:space="preserve">51754,9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1282,6</w:t>
            </w:r>
          </w:p>
        </w:tc>
        <w:tc>
          <w:tcPr>
            <w:tcW w:w="1417" w:type="dxa"/>
          </w:tcPr>
          <w:p>
            <w:pPr>
              <w:pStyle w:val="0"/>
              <w:jc w:val="center"/>
            </w:pPr>
            <w:r>
              <w:rPr>
                <w:sz w:val="20"/>
              </w:rPr>
              <w:t xml:space="preserve">5624,7</w:t>
            </w:r>
          </w:p>
        </w:tc>
        <w:tc>
          <w:tcPr>
            <w:tcW w:w="1417" w:type="dxa"/>
          </w:tcPr>
          <w:p>
            <w:pPr>
              <w:pStyle w:val="0"/>
              <w:jc w:val="center"/>
            </w:pPr>
            <w:r>
              <w:rPr>
                <w:sz w:val="20"/>
              </w:rPr>
              <w:t xml:space="preserve">6597,7</w:t>
            </w:r>
          </w:p>
        </w:tc>
        <w:tc>
          <w:tcPr>
            <w:tcW w:w="1474" w:type="dxa"/>
          </w:tcPr>
          <w:p>
            <w:pPr>
              <w:pStyle w:val="0"/>
              <w:jc w:val="center"/>
            </w:pPr>
            <w:r>
              <w:rPr>
                <w:sz w:val="20"/>
              </w:rPr>
              <w:t xml:space="preserve">5904,0</w:t>
            </w:r>
          </w:p>
        </w:tc>
        <w:tc>
          <w:tcPr>
            <w:tcW w:w="1531" w:type="dxa"/>
          </w:tcPr>
          <w:p>
            <w:pPr>
              <w:pStyle w:val="0"/>
              <w:jc w:val="center"/>
            </w:pPr>
            <w:r>
              <w:rPr>
                <w:sz w:val="20"/>
              </w:rPr>
              <w:t xml:space="preserve">6098,8</w:t>
            </w:r>
          </w:p>
        </w:tc>
        <w:tc>
          <w:tcPr>
            <w:tcW w:w="1474" w:type="dxa"/>
          </w:tcPr>
          <w:p>
            <w:pPr>
              <w:pStyle w:val="0"/>
              <w:jc w:val="center"/>
            </w:pPr>
            <w:r>
              <w:rPr>
                <w:sz w:val="20"/>
              </w:rPr>
              <w:t xml:space="preserve">6287,9</w:t>
            </w:r>
          </w:p>
        </w:tc>
        <w:tc>
          <w:tcPr>
            <w:tcW w:w="1361" w:type="dxa"/>
          </w:tcPr>
          <w:p>
            <w:pPr>
              <w:pStyle w:val="0"/>
              <w:jc w:val="center"/>
            </w:pPr>
            <w:r>
              <w:rPr>
                <w:sz w:val="20"/>
              </w:rPr>
              <w:t xml:space="preserve">6470,2</w:t>
            </w:r>
          </w:p>
        </w:tc>
        <w:tc>
          <w:tcPr>
            <w:tcW w:w="1361" w:type="dxa"/>
          </w:tcPr>
          <w:p>
            <w:pPr>
              <w:pStyle w:val="0"/>
              <w:jc w:val="center"/>
            </w:pPr>
            <w:r>
              <w:rPr>
                <w:sz w:val="20"/>
              </w:rPr>
              <w:t xml:space="preserve">6651,4</w:t>
            </w:r>
          </w:p>
        </w:tc>
        <w:tc>
          <w:tcPr>
            <w:tcW w:w="1361" w:type="dxa"/>
          </w:tcPr>
          <w:p>
            <w:pPr>
              <w:pStyle w:val="0"/>
              <w:jc w:val="center"/>
            </w:pPr>
            <w:r>
              <w:rPr>
                <w:sz w:val="20"/>
              </w:rPr>
              <w:t xml:space="preserve">6837,6</w:t>
            </w:r>
          </w:p>
        </w:tc>
        <w:tc>
          <w:tcPr>
            <w:tcW w:w="1531" w:type="dxa"/>
          </w:tcPr>
          <w:p>
            <w:pPr>
              <w:pStyle w:val="0"/>
              <w:jc w:val="center"/>
            </w:pPr>
            <w:r>
              <w:rPr>
                <w:sz w:val="20"/>
              </w:rPr>
              <w:t xml:space="preserve">51754,9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82"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vMerge w:val="restart"/>
          </w:tcPr>
          <w:p>
            <w:pPr>
              <w:pStyle w:val="0"/>
              <w:jc w:val="both"/>
            </w:pPr>
            <w:r>
              <w:rPr>
                <w:sz w:val="20"/>
              </w:rPr>
              <w:t xml:space="preserve">7.3. Предоставление мер социальной поддержки студентам, ординаторам, обучающимся в образовательных организациях высшего образования</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5242,0</w:t>
            </w:r>
          </w:p>
        </w:tc>
        <w:tc>
          <w:tcPr>
            <w:tcW w:w="1417" w:type="dxa"/>
          </w:tcPr>
          <w:p>
            <w:pPr>
              <w:pStyle w:val="0"/>
              <w:jc w:val="center"/>
            </w:pPr>
            <w:r>
              <w:rPr>
                <w:sz w:val="20"/>
              </w:rPr>
              <w:t xml:space="preserve">6024,7</w:t>
            </w:r>
          </w:p>
        </w:tc>
        <w:tc>
          <w:tcPr>
            <w:tcW w:w="1417" w:type="dxa"/>
          </w:tcPr>
          <w:p>
            <w:pPr>
              <w:pStyle w:val="0"/>
              <w:jc w:val="center"/>
            </w:pPr>
            <w:r>
              <w:rPr>
                <w:sz w:val="20"/>
              </w:rPr>
              <w:t xml:space="preserve">6703,0</w:t>
            </w:r>
          </w:p>
        </w:tc>
        <w:tc>
          <w:tcPr>
            <w:tcW w:w="1474" w:type="dxa"/>
          </w:tcPr>
          <w:p>
            <w:pPr>
              <w:pStyle w:val="0"/>
              <w:jc w:val="center"/>
            </w:pPr>
            <w:r>
              <w:rPr>
                <w:sz w:val="20"/>
              </w:rPr>
              <w:t xml:space="preserve">6729,7</w:t>
            </w:r>
          </w:p>
        </w:tc>
        <w:tc>
          <w:tcPr>
            <w:tcW w:w="1531" w:type="dxa"/>
          </w:tcPr>
          <w:p>
            <w:pPr>
              <w:pStyle w:val="0"/>
              <w:jc w:val="center"/>
            </w:pPr>
            <w:r>
              <w:rPr>
                <w:sz w:val="20"/>
              </w:rPr>
              <w:t xml:space="preserve">6951,8</w:t>
            </w:r>
          </w:p>
        </w:tc>
        <w:tc>
          <w:tcPr>
            <w:tcW w:w="1474" w:type="dxa"/>
          </w:tcPr>
          <w:p>
            <w:pPr>
              <w:pStyle w:val="0"/>
              <w:jc w:val="center"/>
            </w:pPr>
            <w:r>
              <w:rPr>
                <w:sz w:val="20"/>
              </w:rPr>
              <w:t xml:space="preserve">7167,3</w:t>
            </w:r>
          </w:p>
        </w:tc>
        <w:tc>
          <w:tcPr>
            <w:tcW w:w="1361" w:type="dxa"/>
          </w:tcPr>
          <w:p>
            <w:pPr>
              <w:pStyle w:val="0"/>
              <w:jc w:val="center"/>
            </w:pPr>
            <w:r>
              <w:rPr>
                <w:sz w:val="20"/>
              </w:rPr>
              <w:t xml:space="preserve">7375,2</w:t>
            </w:r>
          </w:p>
        </w:tc>
        <w:tc>
          <w:tcPr>
            <w:tcW w:w="1361" w:type="dxa"/>
          </w:tcPr>
          <w:p>
            <w:pPr>
              <w:pStyle w:val="0"/>
              <w:jc w:val="center"/>
            </w:pPr>
            <w:r>
              <w:rPr>
                <w:sz w:val="20"/>
              </w:rPr>
              <w:t xml:space="preserve">7581,7</w:t>
            </w:r>
          </w:p>
        </w:tc>
        <w:tc>
          <w:tcPr>
            <w:tcW w:w="1361" w:type="dxa"/>
          </w:tcPr>
          <w:p>
            <w:pPr>
              <w:pStyle w:val="0"/>
              <w:jc w:val="center"/>
            </w:pPr>
            <w:r>
              <w:rPr>
                <w:sz w:val="20"/>
              </w:rPr>
              <w:t xml:space="preserve">7794,0</w:t>
            </w:r>
          </w:p>
        </w:tc>
        <w:tc>
          <w:tcPr>
            <w:tcW w:w="1531" w:type="dxa"/>
          </w:tcPr>
          <w:p>
            <w:pPr>
              <w:pStyle w:val="0"/>
              <w:jc w:val="center"/>
            </w:pPr>
            <w:r>
              <w:rPr>
                <w:sz w:val="20"/>
              </w:rPr>
              <w:t xml:space="preserve">61569,4</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5242,0</w:t>
            </w:r>
          </w:p>
        </w:tc>
        <w:tc>
          <w:tcPr>
            <w:tcW w:w="1417" w:type="dxa"/>
          </w:tcPr>
          <w:p>
            <w:pPr>
              <w:pStyle w:val="0"/>
              <w:jc w:val="center"/>
            </w:pPr>
            <w:r>
              <w:rPr>
                <w:sz w:val="20"/>
              </w:rPr>
              <w:t xml:space="preserve">6024,7</w:t>
            </w:r>
          </w:p>
        </w:tc>
        <w:tc>
          <w:tcPr>
            <w:tcW w:w="1417" w:type="dxa"/>
          </w:tcPr>
          <w:p>
            <w:pPr>
              <w:pStyle w:val="0"/>
              <w:jc w:val="center"/>
            </w:pPr>
            <w:r>
              <w:rPr>
                <w:sz w:val="20"/>
              </w:rPr>
              <w:t xml:space="preserve">6703,0</w:t>
            </w:r>
          </w:p>
        </w:tc>
        <w:tc>
          <w:tcPr>
            <w:tcW w:w="1474" w:type="dxa"/>
          </w:tcPr>
          <w:p>
            <w:pPr>
              <w:pStyle w:val="0"/>
              <w:jc w:val="center"/>
            </w:pPr>
            <w:r>
              <w:rPr>
                <w:sz w:val="20"/>
              </w:rPr>
              <w:t xml:space="preserve">6729,7</w:t>
            </w:r>
          </w:p>
        </w:tc>
        <w:tc>
          <w:tcPr>
            <w:tcW w:w="1531" w:type="dxa"/>
          </w:tcPr>
          <w:p>
            <w:pPr>
              <w:pStyle w:val="0"/>
              <w:jc w:val="center"/>
            </w:pPr>
            <w:r>
              <w:rPr>
                <w:sz w:val="20"/>
              </w:rPr>
              <w:t xml:space="preserve">6951,8</w:t>
            </w:r>
          </w:p>
        </w:tc>
        <w:tc>
          <w:tcPr>
            <w:tcW w:w="1474" w:type="dxa"/>
          </w:tcPr>
          <w:p>
            <w:pPr>
              <w:pStyle w:val="0"/>
              <w:jc w:val="center"/>
            </w:pPr>
            <w:r>
              <w:rPr>
                <w:sz w:val="20"/>
              </w:rPr>
              <w:t xml:space="preserve">7167,3</w:t>
            </w:r>
          </w:p>
        </w:tc>
        <w:tc>
          <w:tcPr>
            <w:tcW w:w="1361" w:type="dxa"/>
          </w:tcPr>
          <w:p>
            <w:pPr>
              <w:pStyle w:val="0"/>
              <w:jc w:val="center"/>
            </w:pPr>
            <w:r>
              <w:rPr>
                <w:sz w:val="20"/>
              </w:rPr>
              <w:t xml:space="preserve">7375,2</w:t>
            </w:r>
          </w:p>
        </w:tc>
        <w:tc>
          <w:tcPr>
            <w:tcW w:w="1361" w:type="dxa"/>
          </w:tcPr>
          <w:p>
            <w:pPr>
              <w:pStyle w:val="0"/>
              <w:jc w:val="center"/>
            </w:pPr>
            <w:r>
              <w:rPr>
                <w:sz w:val="20"/>
              </w:rPr>
              <w:t xml:space="preserve">7581,7</w:t>
            </w:r>
          </w:p>
        </w:tc>
        <w:tc>
          <w:tcPr>
            <w:tcW w:w="1361" w:type="dxa"/>
          </w:tcPr>
          <w:p>
            <w:pPr>
              <w:pStyle w:val="0"/>
              <w:jc w:val="center"/>
            </w:pPr>
            <w:r>
              <w:rPr>
                <w:sz w:val="20"/>
              </w:rPr>
              <w:t xml:space="preserve">7794,0</w:t>
            </w:r>
          </w:p>
        </w:tc>
        <w:tc>
          <w:tcPr>
            <w:tcW w:w="1531" w:type="dxa"/>
          </w:tcPr>
          <w:p>
            <w:pPr>
              <w:pStyle w:val="0"/>
              <w:jc w:val="center"/>
            </w:pPr>
            <w:r>
              <w:rPr>
                <w:sz w:val="20"/>
              </w:rPr>
              <w:t xml:space="preserve">61569,4</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7.4. Оплата профессиональной переподготовки и повышения квалификации специалистов со средним медицинским и фармацевтическим образованием</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1078,8</w:t>
            </w:r>
          </w:p>
        </w:tc>
        <w:tc>
          <w:tcPr>
            <w:tcW w:w="1417" w:type="dxa"/>
          </w:tcPr>
          <w:p>
            <w:pPr>
              <w:pStyle w:val="0"/>
              <w:jc w:val="center"/>
            </w:pPr>
            <w:r>
              <w:rPr>
                <w:sz w:val="20"/>
              </w:rPr>
              <w:t xml:space="preserve">3994,4</w:t>
            </w:r>
          </w:p>
        </w:tc>
        <w:tc>
          <w:tcPr>
            <w:tcW w:w="1417" w:type="dxa"/>
          </w:tcPr>
          <w:p>
            <w:pPr>
              <w:pStyle w:val="0"/>
              <w:jc w:val="center"/>
            </w:pPr>
            <w:r>
              <w:rPr>
                <w:sz w:val="20"/>
              </w:rPr>
              <w:t xml:space="preserve">4472,7</w:t>
            </w:r>
          </w:p>
        </w:tc>
        <w:tc>
          <w:tcPr>
            <w:tcW w:w="1474" w:type="dxa"/>
          </w:tcPr>
          <w:p>
            <w:pPr>
              <w:pStyle w:val="0"/>
              <w:jc w:val="center"/>
            </w:pPr>
            <w:r>
              <w:rPr>
                <w:sz w:val="20"/>
              </w:rPr>
              <w:t xml:space="preserve">4264,4</w:t>
            </w:r>
          </w:p>
        </w:tc>
        <w:tc>
          <w:tcPr>
            <w:tcW w:w="1531" w:type="dxa"/>
          </w:tcPr>
          <w:p>
            <w:pPr>
              <w:pStyle w:val="0"/>
              <w:jc w:val="center"/>
            </w:pPr>
            <w:r>
              <w:rPr>
                <w:sz w:val="20"/>
              </w:rPr>
              <w:t xml:space="preserve">4405,1</w:t>
            </w:r>
          </w:p>
        </w:tc>
        <w:tc>
          <w:tcPr>
            <w:tcW w:w="1474" w:type="dxa"/>
          </w:tcPr>
          <w:p>
            <w:pPr>
              <w:pStyle w:val="0"/>
              <w:jc w:val="center"/>
            </w:pPr>
            <w:r>
              <w:rPr>
                <w:sz w:val="20"/>
              </w:rPr>
              <w:t xml:space="preserve">4541,7</w:t>
            </w:r>
          </w:p>
        </w:tc>
        <w:tc>
          <w:tcPr>
            <w:tcW w:w="1361" w:type="dxa"/>
          </w:tcPr>
          <w:p>
            <w:pPr>
              <w:pStyle w:val="0"/>
              <w:jc w:val="center"/>
            </w:pPr>
            <w:r>
              <w:rPr>
                <w:sz w:val="20"/>
              </w:rPr>
              <w:t xml:space="preserve">4673,4</w:t>
            </w:r>
          </w:p>
        </w:tc>
        <w:tc>
          <w:tcPr>
            <w:tcW w:w="1361" w:type="dxa"/>
          </w:tcPr>
          <w:p>
            <w:pPr>
              <w:pStyle w:val="0"/>
              <w:jc w:val="center"/>
            </w:pPr>
            <w:r>
              <w:rPr>
                <w:sz w:val="20"/>
              </w:rPr>
              <w:t xml:space="preserve">4804,3</w:t>
            </w:r>
          </w:p>
        </w:tc>
        <w:tc>
          <w:tcPr>
            <w:tcW w:w="1361" w:type="dxa"/>
          </w:tcPr>
          <w:p>
            <w:pPr>
              <w:pStyle w:val="0"/>
              <w:jc w:val="center"/>
            </w:pPr>
            <w:r>
              <w:rPr>
                <w:sz w:val="20"/>
              </w:rPr>
              <w:t xml:space="preserve">4938,8</w:t>
            </w:r>
          </w:p>
        </w:tc>
        <w:tc>
          <w:tcPr>
            <w:tcW w:w="1531" w:type="dxa"/>
          </w:tcPr>
          <w:p>
            <w:pPr>
              <w:pStyle w:val="0"/>
              <w:jc w:val="center"/>
            </w:pPr>
            <w:r>
              <w:rPr>
                <w:sz w:val="20"/>
              </w:rPr>
              <w:t xml:space="preserve">37173,6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1078,8</w:t>
            </w:r>
          </w:p>
        </w:tc>
        <w:tc>
          <w:tcPr>
            <w:tcW w:w="1417" w:type="dxa"/>
          </w:tcPr>
          <w:p>
            <w:pPr>
              <w:pStyle w:val="0"/>
              <w:jc w:val="center"/>
            </w:pPr>
            <w:r>
              <w:rPr>
                <w:sz w:val="20"/>
              </w:rPr>
              <w:t xml:space="preserve">3994,4</w:t>
            </w:r>
          </w:p>
        </w:tc>
        <w:tc>
          <w:tcPr>
            <w:tcW w:w="1417" w:type="dxa"/>
          </w:tcPr>
          <w:p>
            <w:pPr>
              <w:pStyle w:val="0"/>
              <w:jc w:val="center"/>
            </w:pPr>
            <w:r>
              <w:rPr>
                <w:sz w:val="20"/>
              </w:rPr>
              <w:t xml:space="preserve">4472,7</w:t>
            </w:r>
          </w:p>
        </w:tc>
        <w:tc>
          <w:tcPr>
            <w:tcW w:w="1474" w:type="dxa"/>
          </w:tcPr>
          <w:p>
            <w:pPr>
              <w:pStyle w:val="0"/>
              <w:jc w:val="center"/>
            </w:pPr>
            <w:r>
              <w:rPr>
                <w:sz w:val="20"/>
              </w:rPr>
              <w:t xml:space="preserve">4264,4</w:t>
            </w:r>
          </w:p>
        </w:tc>
        <w:tc>
          <w:tcPr>
            <w:tcW w:w="1531" w:type="dxa"/>
          </w:tcPr>
          <w:p>
            <w:pPr>
              <w:pStyle w:val="0"/>
              <w:jc w:val="center"/>
            </w:pPr>
            <w:r>
              <w:rPr>
                <w:sz w:val="20"/>
              </w:rPr>
              <w:t xml:space="preserve">4405,1</w:t>
            </w:r>
          </w:p>
        </w:tc>
        <w:tc>
          <w:tcPr>
            <w:tcW w:w="1474" w:type="dxa"/>
          </w:tcPr>
          <w:p>
            <w:pPr>
              <w:pStyle w:val="0"/>
              <w:jc w:val="center"/>
            </w:pPr>
            <w:r>
              <w:rPr>
                <w:sz w:val="20"/>
              </w:rPr>
              <w:t xml:space="preserve">4541,7</w:t>
            </w:r>
          </w:p>
        </w:tc>
        <w:tc>
          <w:tcPr>
            <w:tcW w:w="1361" w:type="dxa"/>
          </w:tcPr>
          <w:p>
            <w:pPr>
              <w:pStyle w:val="0"/>
              <w:jc w:val="center"/>
            </w:pPr>
            <w:r>
              <w:rPr>
                <w:sz w:val="20"/>
              </w:rPr>
              <w:t xml:space="preserve">4673,4</w:t>
            </w:r>
          </w:p>
        </w:tc>
        <w:tc>
          <w:tcPr>
            <w:tcW w:w="1361" w:type="dxa"/>
          </w:tcPr>
          <w:p>
            <w:pPr>
              <w:pStyle w:val="0"/>
              <w:jc w:val="center"/>
            </w:pPr>
            <w:r>
              <w:rPr>
                <w:sz w:val="20"/>
              </w:rPr>
              <w:t xml:space="preserve">4804,3</w:t>
            </w:r>
          </w:p>
        </w:tc>
        <w:tc>
          <w:tcPr>
            <w:tcW w:w="1361" w:type="dxa"/>
          </w:tcPr>
          <w:p>
            <w:pPr>
              <w:pStyle w:val="0"/>
              <w:jc w:val="center"/>
            </w:pPr>
            <w:r>
              <w:rPr>
                <w:sz w:val="20"/>
              </w:rPr>
              <w:t xml:space="preserve">4938,8</w:t>
            </w:r>
          </w:p>
        </w:tc>
        <w:tc>
          <w:tcPr>
            <w:tcW w:w="1531" w:type="dxa"/>
          </w:tcPr>
          <w:p>
            <w:pPr>
              <w:pStyle w:val="0"/>
              <w:jc w:val="center"/>
            </w:pPr>
            <w:r>
              <w:rPr>
                <w:sz w:val="20"/>
              </w:rPr>
              <w:t xml:space="preserve">37173,6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83"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vMerge w:val="restart"/>
          </w:tcPr>
          <w:p>
            <w:pPr>
              <w:pStyle w:val="0"/>
              <w:jc w:val="both"/>
            </w:pPr>
            <w:r>
              <w:rPr>
                <w:sz w:val="20"/>
              </w:rPr>
              <w:t xml:space="preserve">7.5. Единовременные выплаты медицинским работникам, прибывшим на работу в медицинские организации государственной системы здравоохранения города Севастополя из других субъектов Российской Федерации</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19000,0</w:t>
            </w:r>
          </w:p>
        </w:tc>
        <w:tc>
          <w:tcPr>
            <w:tcW w:w="1417" w:type="dxa"/>
          </w:tcPr>
          <w:p>
            <w:pPr>
              <w:pStyle w:val="0"/>
              <w:jc w:val="center"/>
            </w:pPr>
            <w:r>
              <w:rPr>
                <w:sz w:val="20"/>
              </w:rPr>
              <w:t xml:space="preserve">30500,0</w:t>
            </w:r>
          </w:p>
        </w:tc>
        <w:tc>
          <w:tcPr>
            <w:tcW w:w="1417" w:type="dxa"/>
          </w:tcPr>
          <w:p>
            <w:pPr>
              <w:pStyle w:val="0"/>
              <w:jc w:val="center"/>
            </w:pPr>
            <w:r>
              <w:rPr>
                <w:sz w:val="20"/>
              </w:rPr>
              <w:t xml:space="preserve">46000,0</w:t>
            </w:r>
          </w:p>
        </w:tc>
        <w:tc>
          <w:tcPr>
            <w:tcW w:w="1474" w:type="dxa"/>
          </w:tcPr>
          <w:p>
            <w:pPr>
              <w:pStyle w:val="0"/>
              <w:jc w:val="center"/>
            </w:pPr>
            <w:r>
              <w:rPr>
                <w:sz w:val="20"/>
              </w:rPr>
              <w:t xml:space="preserve">37000,0</w:t>
            </w:r>
          </w:p>
        </w:tc>
        <w:tc>
          <w:tcPr>
            <w:tcW w:w="1531" w:type="dxa"/>
          </w:tcPr>
          <w:p>
            <w:pPr>
              <w:pStyle w:val="0"/>
              <w:jc w:val="center"/>
            </w:pPr>
            <w:r>
              <w:rPr>
                <w:sz w:val="20"/>
              </w:rPr>
              <w:t xml:space="preserve">37000,0</w:t>
            </w:r>
          </w:p>
        </w:tc>
        <w:tc>
          <w:tcPr>
            <w:tcW w:w="1474" w:type="dxa"/>
          </w:tcPr>
          <w:p>
            <w:pPr>
              <w:pStyle w:val="0"/>
              <w:jc w:val="center"/>
            </w:pPr>
            <w:r>
              <w:rPr>
                <w:sz w:val="20"/>
              </w:rPr>
              <w:t xml:space="preserve">37000,0</w:t>
            </w:r>
          </w:p>
        </w:tc>
        <w:tc>
          <w:tcPr>
            <w:tcW w:w="1361" w:type="dxa"/>
          </w:tcPr>
          <w:p>
            <w:pPr>
              <w:pStyle w:val="0"/>
              <w:jc w:val="center"/>
            </w:pPr>
            <w:r>
              <w:rPr>
                <w:sz w:val="20"/>
              </w:rPr>
              <w:t xml:space="preserve">37000,0</w:t>
            </w:r>
          </w:p>
        </w:tc>
        <w:tc>
          <w:tcPr>
            <w:tcW w:w="1361" w:type="dxa"/>
          </w:tcPr>
          <w:p>
            <w:pPr>
              <w:pStyle w:val="0"/>
              <w:jc w:val="center"/>
            </w:pPr>
            <w:r>
              <w:rPr>
                <w:sz w:val="20"/>
              </w:rPr>
              <w:t xml:space="preserve">37000,0</w:t>
            </w:r>
          </w:p>
        </w:tc>
        <w:tc>
          <w:tcPr>
            <w:tcW w:w="1361" w:type="dxa"/>
          </w:tcPr>
          <w:p>
            <w:pPr>
              <w:pStyle w:val="0"/>
              <w:jc w:val="center"/>
            </w:pPr>
            <w:r>
              <w:rPr>
                <w:sz w:val="20"/>
              </w:rPr>
              <w:t xml:space="preserve">37000,0</w:t>
            </w:r>
          </w:p>
        </w:tc>
        <w:tc>
          <w:tcPr>
            <w:tcW w:w="1531" w:type="dxa"/>
          </w:tcPr>
          <w:p>
            <w:pPr>
              <w:pStyle w:val="0"/>
              <w:jc w:val="center"/>
            </w:pPr>
            <w:r>
              <w:rPr>
                <w:sz w:val="20"/>
              </w:rPr>
              <w:t xml:space="preserve">317500,0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19000,0</w:t>
            </w:r>
          </w:p>
        </w:tc>
        <w:tc>
          <w:tcPr>
            <w:tcW w:w="1417" w:type="dxa"/>
          </w:tcPr>
          <w:p>
            <w:pPr>
              <w:pStyle w:val="0"/>
              <w:jc w:val="center"/>
            </w:pPr>
            <w:r>
              <w:rPr>
                <w:sz w:val="20"/>
              </w:rPr>
              <w:t xml:space="preserve">30500,0</w:t>
            </w:r>
          </w:p>
        </w:tc>
        <w:tc>
          <w:tcPr>
            <w:tcW w:w="1417" w:type="dxa"/>
          </w:tcPr>
          <w:p>
            <w:pPr>
              <w:pStyle w:val="0"/>
              <w:jc w:val="center"/>
            </w:pPr>
            <w:r>
              <w:rPr>
                <w:sz w:val="20"/>
              </w:rPr>
              <w:t xml:space="preserve">46000,0</w:t>
            </w:r>
          </w:p>
        </w:tc>
        <w:tc>
          <w:tcPr>
            <w:tcW w:w="1474" w:type="dxa"/>
          </w:tcPr>
          <w:p>
            <w:pPr>
              <w:pStyle w:val="0"/>
              <w:jc w:val="center"/>
            </w:pPr>
            <w:r>
              <w:rPr>
                <w:sz w:val="20"/>
              </w:rPr>
              <w:t xml:space="preserve">37000,0</w:t>
            </w:r>
          </w:p>
        </w:tc>
        <w:tc>
          <w:tcPr>
            <w:tcW w:w="1531" w:type="dxa"/>
          </w:tcPr>
          <w:p>
            <w:pPr>
              <w:pStyle w:val="0"/>
              <w:jc w:val="center"/>
            </w:pPr>
            <w:r>
              <w:rPr>
                <w:sz w:val="20"/>
              </w:rPr>
              <w:t xml:space="preserve">37000,0</w:t>
            </w:r>
          </w:p>
        </w:tc>
        <w:tc>
          <w:tcPr>
            <w:tcW w:w="1474" w:type="dxa"/>
          </w:tcPr>
          <w:p>
            <w:pPr>
              <w:pStyle w:val="0"/>
              <w:jc w:val="center"/>
            </w:pPr>
            <w:r>
              <w:rPr>
                <w:sz w:val="20"/>
              </w:rPr>
              <w:t xml:space="preserve">37000,0</w:t>
            </w:r>
          </w:p>
        </w:tc>
        <w:tc>
          <w:tcPr>
            <w:tcW w:w="1361" w:type="dxa"/>
          </w:tcPr>
          <w:p>
            <w:pPr>
              <w:pStyle w:val="0"/>
              <w:jc w:val="center"/>
            </w:pPr>
            <w:r>
              <w:rPr>
                <w:sz w:val="20"/>
              </w:rPr>
              <w:t xml:space="preserve">37000,0</w:t>
            </w:r>
          </w:p>
        </w:tc>
        <w:tc>
          <w:tcPr>
            <w:tcW w:w="1361" w:type="dxa"/>
          </w:tcPr>
          <w:p>
            <w:pPr>
              <w:pStyle w:val="0"/>
              <w:jc w:val="center"/>
            </w:pPr>
            <w:r>
              <w:rPr>
                <w:sz w:val="20"/>
              </w:rPr>
              <w:t xml:space="preserve">37000,0</w:t>
            </w:r>
          </w:p>
        </w:tc>
        <w:tc>
          <w:tcPr>
            <w:tcW w:w="1361" w:type="dxa"/>
          </w:tcPr>
          <w:p>
            <w:pPr>
              <w:pStyle w:val="0"/>
              <w:jc w:val="center"/>
            </w:pPr>
            <w:r>
              <w:rPr>
                <w:sz w:val="20"/>
              </w:rPr>
              <w:t xml:space="preserve">37000,0</w:t>
            </w:r>
          </w:p>
        </w:tc>
        <w:tc>
          <w:tcPr>
            <w:tcW w:w="1531" w:type="dxa"/>
          </w:tcPr>
          <w:p>
            <w:pPr>
              <w:pStyle w:val="0"/>
              <w:jc w:val="center"/>
            </w:pPr>
            <w:r>
              <w:rPr>
                <w:sz w:val="20"/>
              </w:rPr>
              <w:t xml:space="preserve">317500,0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7.6. Региональные доплаты врачам и специалистам со средним медицинским и фармацевтическим образованием</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26566,9</w:t>
            </w:r>
          </w:p>
        </w:tc>
        <w:tc>
          <w:tcPr>
            <w:tcW w:w="1417" w:type="dxa"/>
          </w:tcPr>
          <w:p>
            <w:pPr>
              <w:pStyle w:val="0"/>
              <w:jc w:val="center"/>
            </w:pPr>
            <w:r>
              <w:rPr>
                <w:sz w:val="20"/>
              </w:rPr>
              <w:t xml:space="preserve">26184,7</w:t>
            </w:r>
          </w:p>
        </w:tc>
        <w:tc>
          <w:tcPr>
            <w:tcW w:w="1417" w:type="dxa"/>
          </w:tcPr>
          <w:p>
            <w:pPr>
              <w:pStyle w:val="0"/>
              <w:jc w:val="center"/>
            </w:pPr>
            <w:r>
              <w:rPr>
                <w:sz w:val="20"/>
              </w:rPr>
              <w:t xml:space="preserve">36193,0</w:t>
            </w:r>
          </w:p>
        </w:tc>
        <w:tc>
          <w:tcPr>
            <w:tcW w:w="1474" w:type="dxa"/>
          </w:tcPr>
          <w:p>
            <w:pPr>
              <w:pStyle w:val="0"/>
              <w:jc w:val="center"/>
            </w:pPr>
            <w:r>
              <w:rPr>
                <w:sz w:val="20"/>
              </w:rPr>
              <w:t xml:space="preserve">37028,9</w:t>
            </w:r>
          </w:p>
        </w:tc>
        <w:tc>
          <w:tcPr>
            <w:tcW w:w="1531" w:type="dxa"/>
          </w:tcPr>
          <w:p>
            <w:pPr>
              <w:pStyle w:val="0"/>
              <w:jc w:val="center"/>
            </w:pPr>
            <w:r>
              <w:rPr>
                <w:sz w:val="20"/>
              </w:rPr>
              <w:t xml:space="preserve">38250,9</w:t>
            </w:r>
          </w:p>
        </w:tc>
        <w:tc>
          <w:tcPr>
            <w:tcW w:w="1474" w:type="dxa"/>
          </w:tcPr>
          <w:p>
            <w:pPr>
              <w:pStyle w:val="0"/>
              <w:jc w:val="center"/>
            </w:pPr>
            <w:r>
              <w:rPr>
                <w:sz w:val="20"/>
              </w:rPr>
              <w:t xml:space="preserve">39436,7</w:t>
            </w:r>
          </w:p>
        </w:tc>
        <w:tc>
          <w:tcPr>
            <w:tcW w:w="1361" w:type="dxa"/>
          </w:tcPr>
          <w:p>
            <w:pPr>
              <w:pStyle w:val="0"/>
              <w:jc w:val="center"/>
            </w:pPr>
            <w:r>
              <w:rPr>
                <w:sz w:val="20"/>
              </w:rPr>
              <w:t xml:space="preserve">40580,4</w:t>
            </w:r>
          </w:p>
        </w:tc>
        <w:tc>
          <w:tcPr>
            <w:tcW w:w="1361" w:type="dxa"/>
          </w:tcPr>
          <w:p>
            <w:pPr>
              <w:pStyle w:val="0"/>
              <w:jc w:val="center"/>
            </w:pPr>
            <w:r>
              <w:rPr>
                <w:sz w:val="20"/>
              </w:rPr>
              <w:t xml:space="preserve">41716,7</w:t>
            </w:r>
          </w:p>
        </w:tc>
        <w:tc>
          <w:tcPr>
            <w:tcW w:w="1361" w:type="dxa"/>
          </w:tcPr>
          <w:p>
            <w:pPr>
              <w:pStyle w:val="0"/>
              <w:jc w:val="center"/>
            </w:pPr>
            <w:r>
              <w:rPr>
                <w:sz w:val="20"/>
              </w:rPr>
              <w:t xml:space="preserve">42884,8</w:t>
            </w:r>
          </w:p>
        </w:tc>
        <w:tc>
          <w:tcPr>
            <w:tcW w:w="1531" w:type="dxa"/>
          </w:tcPr>
          <w:p>
            <w:pPr>
              <w:pStyle w:val="0"/>
              <w:jc w:val="center"/>
            </w:pPr>
            <w:r>
              <w:rPr>
                <w:sz w:val="20"/>
              </w:rPr>
              <w:t xml:space="preserve">328843,0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26566,9</w:t>
            </w:r>
          </w:p>
        </w:tc>
        <w:tc>
          <w:tcPr>
            <w:tcW w:w="1417" w:type="dxa"/>
          </w:tcPr>
          <w:p>
            <w:pPr>
              <w:pStyle w:val="0"/>
              <w:jc w:val="center"/>
            </w:pPr>
            <w:r>
              <w:rPr>
                <w:sz w:val="20"/>
              </w:rPr>
              <w:t xml:space="preserve">26184,7</w:t>
            </w:r>
          </w:p>
        </w:tc>
        <w:tc>
          <w:tcPr>
            <w:tcW w:w="1417" w:type="dxa"/>
          </w:tcPr>
          <w:p>
            <w:pPr>
              <w:pStyle w:val="0"/>
              <w:jc w:val="center"/>
            </w:pPr>
            <w:r>
              <w:rPr>
                <w:sz w:val="20"/>
              </w:rPr>
              <w:t xml:space="preserve">36193,0</w:t>
            </w:r>
          </w:p>
        </w:tc>
        <w:tc>
          <w:tcPr>
            <w:tcW w:w="1474" w:type="dxa"/>
          </w:tcPr>
          <w:p>
            <w:pPr>
              <w:pStyle w:val="0"/>
              <w:jc w:val="center"/>
            </w:pPr>
            <w:r>
              <w:rPr>
                <w:sz w:val="20"/>
              </w:rPr>
              <w:t xml:space="preserve">37028,9</w:t>
            </w:r>
          </w:p>
        </w:tc>
        <w:tc>
          <w:tcPr>
            <w:tcW w:w="1531" w:type="dxa"/>
          </w:tcPr>
          <w:p>
            <w:pPr>
              <w:pStyle w:val="0"/>
              <w:jc w:val="center"/>
            </w:pPr>
            <w:r>
              <w:rPr>
                <w:sz w:val="20"/>
              </w:rPr>
              <w:t xml:space="preserve">38250,9</w:t>
            </w:r>
          </w:p>
        </w:tc>
        <w:tc>
          <w:tcPr>
            <w:tcW w:w="1474" w:type="dxa"/>
          </w:tcPr>
          <w:p>
            <w:pPr>
              <w:pStyle w:val="0"/>
              <w:jc w:val="center"/>
            </w:pPr>
            <w:r>
              <w:rPr>
                <w:sz w:val="20"/>
              </w:rPr>
              <w:t xml:space="preserve">39436,7</w:t>
            </w:r>
          </w:p>
        </w:tc>
        <w:tc>
          <w:tcPr>
            <w:tcW w:w="1361" w:type="dxa"/>
          </w:tcPr>
          <w:p>
            <w:pPr>
              <w:pStyle w:val="0"/>
              <w:jc w:val="center"/>
            </w:pPr>
            <w:r>
              <w:rPr>
                <w:sz w:val="20"/>
              </w:rPr>
              <w:t xml:space="preserve">40580,4</w:t>
            </w:r>
          </w:p>
        </w:tc>
        <w:tc>
          <w:tcPr>
            <w:tcW w:w="1361" w:type="dxa"/>
          </w:tcPr>
          <w:p>
            <w:pPr>
              <w:pStyle w:val="0"/>
              <w:jc w:val="center"/>
            </w:pPr>
            <w:r>
              <w:rPr>
                <w:sz w:val="20"/>
              </w:rPr>
              <w:t xml:space="preserve">41716,7</w:t>
            </w:r>
          </w:p>
        </w:tc>
        <w:tc>
          <w:tcPr>
            <w:tcW w:w="1361" w:type="dxa"/>
          </w:tcPr>
          <w:p>
            <w:pPr>
              <w:pStyle w:val="0"/>
              <w:jc w:val="center"/>
            </w:pPr>
            <w:r>
              <w:rPr>
                <w:sz w:val="20"/>
              </w:rPr>
              <w:t xml:space="preserve">42884,8</w:t>
            </w:r>
          </w:p>
        </w:tc>
        <w:tc>
          <w:tcPr>
            <w:tcW w:w="1531" w:type="dxa"/>
          </w:tcPr>
          <w:p>
            <w:pPr>
              <w:pStyle w:val="0"/>
              <w:jc w:val="center"/>
            </w:pPr>
            <w:r>
              <w:rPr>
                <w:sz w:val="20"/>
              </w:rPr>
              <w:t xml:space="preserve">328843,0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84"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7.7. Выплата денежных премий победителям конкурсов "Лучший врач года", "Лучший специалист со средним медицинским и фармацевтическим образованием"</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1257,0</w:t>
            </w:r>
          </w:p>
        </w:tc>
        <w:tc>
          <w:tcPr>
            <w:tcW w:w="1417" w:type="dxa"/>
          </w:tcPr>
          <w:p>
            <w:pPr>
              <w:pStyle w:val="0"/>
              <w:jc w:val="center"/>
            </w:pPr>
            <w:r>
              <w:rPr>
                <w:sz w:val="20"/>
              </w:rPr>
              <w:t xml:space="preserve">1770,0</w:t>
            </w:r>
          </w:p>
        </w:tc>
        <w:tc>
          <w:tcPr>
            <w:tcW w:w="1417" w:type="dxa"/>
          </w:tcPr>
          <w:p>
            <w:pPr>
              <w:pStyle w:val="0"/>
              <w:jc w:val="center"/>
            </w:pPr>
            <w:r>
              <w:rPr>
                <w:sz w:val="20"/>
              </w:rPr>
              <w:t xml:space="preserve">1950,0</w:t>
            </w:r>
          </w:p>
        </w:tc>
        <w:tc>
          <w:tcPr>
            <w:tcW w:w="1474" w:type="dxa"/>
          </w:tcPr>
          <w:p>
            <w:pPr>
              <w:pStyle w:val="0"/>
              <w:jc w:val="center"/>
            </w:pPr>
            <w:r>
              <w:rPr>
                <w:sz w:val="20"/>
              </w:rPr>
              <w:t xml:space="preserve">1950,0</w:t>
            </w:r>
          </w:p>
        </w:tc>
        <w:tc>
          <w:tcPr>
            <w:tcW w:w="1531" w:type="dxa"/>
          </w:tcPr>
          <w:p>
            <w:pPr>
              <w:pStyle w:val="0"/>
              <w:jc w:val="center"/>
            </w:pPr>
            <w:r>
              <w:rPr>
                <w:sz w:val="20"/>
              </w:rPr>
              <w:t xml:space="preserve">1950,0</w:t>
            </w:r>
          </w:p>
        </w:tc>
        <w:tc>
          <w:tcPr>
            <w:tcW w:w="1474" w:type="dxa"/>
          </w:tcPr>
          <w:p>
            <w:pPr>
              <w:pStyle w:val="0"/>
              <w:jc w:val="center"/>
            </w:pPr>
            <w:r>
              <w:rPr>
                <w:sz w:val="20"/>
              </w:rPr>
              <w:t xml:space="preserve">1950,0</w:t>
            </w:r>
          </w:p>
        </w:tc>
        <w:tc>
          <w:tcPr>
            <w:tcW w:w="1361" w:type="dxa"/>
          </w:tcPr>
          <w:p>
            <w:pPr>
              <w:pStyle w:val="0"/>
              <w:jc w:val="center"/>
            </w:pPr>
            <w:r>
              <w:rPr>
                <w:sz w:val="20"/>
              </w:rPr>
              <w:t xml:space="preserve">1950,0</w:t>
            </w:r>
          </w:p>
        </w:tc>
        <w:tc>
          <w:tcPr>
            <w:tcW w:w="1361" w:type="dxa"/>
          </w:tcPr>
          <w:p>
            <w:pPr>
              <w:pStyle w:val="0"/>
              <w:jc w:val="center"/>
            </w:pPr>
            <w:r>
              <w:rPr>
                <w:sz w:val="20"/>
              </w:rPr>
              <w:t xml:space="preserve">1950,0</w:t>
            </w:r>
          </w:p>
        </w:tc>
        <w:tc>
          <w:tcPr>
            <w:tcW w:w="1361" w:type="dxa"/>
          </w:tcPr>
          <w:p>
            <w:pPr>
              <w:pStyle w:val="0"/>
              <w:jc w:val="center"/>
            </w:pPr>
            <w:r>
              <w:rPr>
                <w:sz w:val="20"/>
              </w:rPr>
              <w:t xml:space="preserve">1950,0</w:t>
            </w:r>
          </w:p>
        </w:tc>
        <w:tc>
          <w:tcPr>
            <w:tcW w:w="1531" w:type="dxa"/>
          </w:tcPr>
          <w:p>
            <w:pPr>
              <w:pStyle w:val="0"/>
              <w:jc w:val="center"/>
            </w:pPr>
            <w:r>
              <w:rPr>
                <w:sz w:val="20"/>
              </w:rPr>
              <w:t xml:space="preserve">16677,0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1257,0</w:t>
            </w:r>
          </w:p>
        </w:tc>
        <w:tc>
          <w:tcPr>
            <w:tcW w:w="1417" w:type="dxa"/>
          </w:tcPr>
          <w:p>
            <w:pPr>
              <w:pStyle w:val="0"/>
              <w:jc w:val="center"/>
            </w:pPr>
            <w:r>
              <w:rPr>
                <w:sz w:val="20"/>
              </w:rPr>
              <w:t xml:space="preserve">1770,0</w:t>
            </w:r>
          </w:p>
        </w:tc>
        <w:tc>
          <w:tcPr>
            <w:tcW w:w="1417" w:type="dxa"/>
          </w:tcPr>
          <w:p>
            <w:pPr>
              <w:pStyle w:val="0"/>
              <w:jc w:val="center"/>
            </w:pPr>
            <w:r>
              <w:rPr>
                <w:sz w:val="20"/>
              </w:rPr>
              <w:t xml:space="preserve">1950,0</w:t>
            </w:r>
          </w:p>
        </w:tc>
        <w:tc>
          <w:tcPr>
            <w:tcW w:w="1474" w:type="dxa"/>
          </w:tcPr>
          <w:p>
            <w:pPr>
              <w:pStyle w:val="0"/>
              <w:jc w:val="center"/>
            </w:pPr>
            <w:r>
              <w:rPr>
                <w:sz w:val="20"/>
              </w:rPr>
              <w:t xml:space="preserve">1950,0</w:t>
            </w:r>
          </w:p>
        </w:tc>
        <w:tc>
          <w:tcPr>
            <w:tcW w:w="1531" w:type="dxa"/>
          </w:tcPr>
          <w:p>
            <w:pPr>
              <w:pStyle w:val="0"/>
              <w:jc w:val="center"/>
            </w:pPr>
            <w:r>
              <w:rPr>
                <w:sz w:val="20"/>
              </w:rPr>
              <w:t xml:space="preserve">1950,0</w:t>
            </w:r>
          </w:p>
        </w:tc>
        <w:tc>
          <w:tcPr>
            <w:tcW w:w="1474" w:type="dxa"/>
          </w:tcPr>
          <w:p>
            <w:pPr>
              <w:pStyle w:val="0"/>
              <w:jc w:val="center"/>
            </w:pPr>
            <w:r>
              <w:rPr>
                <w:sz w:val="20"/>
              </w:rPr>
              <w:t xml:space="preserve">1950,0</w:t>
            </w:r>
          </w:p>
        </w:tc>
        <w:tc>
          <w:tcPr>
            <w:tcW w:w="1361" w:type="dxa"/>
          </w:tcPr>
          <w:p>
            <w:pPr>
              <w:pStyle w:val="0"/>
              <w:jc w:val="center"/>
            </w:pPr>
            <w:r>
              <w:rPr>
                <w:sz w:val="20"/>
              </w:rPr>
              <w:t xml:space="preserve">1950,0</w:t>
            </w:r>
          </w:p>
        </w:tc>
        <w:tc>
          <w:tcPr>
            <w:tcW w:w="1361" w:type="dxa"/>
          </w:tcPr>
          <w:p>
            <w:pPr>
              <w:pStyle w:val="0"/>
              <w:jc w:val="center"/>
            </w:pPr>
            <w:r>
              <w:rPr>
                <w:sz w:val="20"/>
              </w:rPr>
              <w:t xml:space="preserve">1950,0</w:t>
            </w:r>
          </w:p>
        </w:tc>
        <w:tc>
          <w:tcPr>
            <w:tcW w:w="1361" w:type="dxa"/>
          </w:tcPr>
          <w:p>
            <w:pPr>
              <w:pStyle w:val="0"/>
              <w:jc w:val="center"/>
            </w:pPr>
            <w:r>
              <w:rPr>
                <w:sz w:val="20"/>
              </w:rPr>
              <w:t xml:space="preserve">1950,0</w:t>
            </w:r>
          </w:p>
        </w:tc>
        <w:tc>
          <w:tcPr>
            <w:tcW w:w="1531" w:type="dxa"/>
          </w:tcPr>
          <w:p>
            <w:pPr>
              <w:pStyle w:val="0"/>
              <w:jc w:val="center"/>
            </w:pPr>
            <w:r>
              <w:rPr>
                <w:sz w:val="20"/>
              </w:rPr>
              <w:t xml:space="preserve">16677,0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85"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7.8. Предоставление дополнительных мер социальной поддержки молодым специалистам из числа медицинских работников, впервые приступивших к работе по специальности в государственных медицинских учреждениях города Севастополя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8177,1</w:t>
            </w:r>
          </w:p>
        </w:tc>
        <w:tc>
          <w:tcPr>
            <w:tcW w:w="1417" w:type="dxa"/>
          </w:tcPr>
          <w:p>
            <w:pPr>
              <w:pStyle w:val="0"/>
              <w:jc w:val="center"/>
            </w:pPr>
            <w:r>
              <w:rPr>
                <w:sz w:val="20"/>
              </w:rPr>
              <w:t xml:space="preserve">10451,2</w:t>
            </w:r>
          </w:p>
        </w:tc>
        <w:tc>
          <w:tcPr>
            <w:tcW w:w="1417" w:type="dxa"/>
          </w:tcPr>
          <w:p>
            <w:pPr>
              <w:pStyle w:val="0"/>
              <w:jc w:val="center"/>
            </w:pPr>
            <w:r>
              <w:rPr>
                <w:sz w:val="20"/>
              </w:rPr>
              <w:t xml:space="preserve">13440,0</w:t>
            </w:r>
          </w:p>
        </w:tc>
        <w:tc>
          <w:tcPr>
            <w:tcW w:w="1474" w:type="dxa"/>
          </w:tcPr>
          <w:p>
            <w:pPr>
              <w:pStyle w:val="0"/>
              <w:jc w:val="center"/>
            </w:pPr>
            <w:r>
              <w:rPr>
                <w:sz w:val="20"/>
              </w:rPr>
              <w:t xml:space="preserve">13572,0</w:t>
            </w:r>
          </w:p>
        </w:tc>
        <w:tc>
          <w:tcPr>
            <w:tcW w:w="1531" w:type="dxa"/>
          </w:tcPr>
          <w:p>
            <w:pPr>
              <w:pStyle w:val="0"/>
              <w:jc w:val="center"/>
            </w:pPr>
            <w:r>
              <w:rPr>
                <w:sz w:val="20"/>
              </w:rPr>
              <w:t xml:space="preserve">14019,9</w:t>
            </w:r>
          </w:p>
        </w:tc>
        <w:tc>
          <w:tcPr>
            <w:tcW w:w="1474" w:type="dxa"/>
          </w:tcPr>
          <w:p>
            <w:pPr>
              <w:pStyle w:val="0"/>
              <w:jc w:val="center"/>
            </w:pPr>
            <w:r>
              <w:rPr>
                <w:sz w:val="20"/>
              </w:rPr>
              <w:t xml:space="preserve">14454,5</w:t>
            </w:r>
          </w:p>
        </w:tc>
        <w:tc>
          <w:tcPr>
            <w:tcW w:w="1361" w:type="dxa"/>
          </w:tcPr>
          <w:p>
            <w:pPr>
              <w:pStyle w:val="0"/>
              <w:jc w:val="center"/>
            </w:pPr>
            <w:r>
              <w:rPr>
                <w:sz w:val="20"/>
              </w:rPr>
              <w:t xml:space="preserve">14873,7</w:t>
            </w:r>
          </w:p>
        </w:tc>
        <w:tc>
          <w:tcPr>
            <w:tcW w:w="1361" w:type="dxa"/>
          </w:tcPr>
          <w:p>
            <w:pPr>
              <w:pStyle w:val="0"/>
              <w:jc w:val="center"/>
            </w:pPr>
            <w:r>
              <w:rPr>
                <w:sz w:val="20"/>
              </w:rPr>
              <w:t xml:space="preserve">15290,2</w:t>
            </w:r>
          </w:p>
        </w:tc>
        <w:tc>
          <w:tcPr>
            <w:tcW w:w="1361" w:type="dxa"/>
          </w:tcPr>
          <w:p>
            <w:pPr>
              <w:pStyle w:val="0"/>
              <w:jc w:val="center"/>
            </w:pPr>
            <w:r>
              <w:rPr>
                <w:sz w:val="20"/>
              </w:rPr>
              <w:t xml:space="preserve">15718,3</w:t>
            </w:r>
          </w:p>
        </w:tc>
        <w:tc>
          <w:tcPr>
            <w:tcW w:w="1531" w:type="dxa"/>
          </w:tcPr>
          <w:p>
            <w:pPr>
              <w:pStyle w:val="0"/>
              <w:jc w:val="center"/>
            </w:pPr>
            <w:r>
              <w:rPr>
                <w:sz w:val="20"/>
              </w:rPr>
              <w:t xml:space="preserve">119996,9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8177,1</w:t>
            </w:r>
          </w:p>
        </w:tc>
        <w:tc>
          <w:tcPr>
            <w:tcW w:w="1417" w:type="dxa"/>
          </w:tcPr>
          <w:p>
            <w:pPr>
              <w:pStyle w:val="0"/>
              <w:jc w:val="center"/>
            </w:pPr>
            <w:r>
              <w:rPr>
                <w:sz w:val="20"/>
              </w:rPr>
              <w:t xml:space="preserve">10451,2</w:t>
            </w:r>
          </w:p>
        </w:tc>
        <w:tc>
          <w:tcPr>
            <w:tcW w:w="1417" w:type="dxa"/>
          </w:tcPr>
          <w:p>
            <w:pPr>
              <w:pStyle w:val="0"/>
              <w:jc w:val="center"/>
            </w:pPr>
            <w:r>
              <w:rPr>
                <w:sz w:val="20"/>
              </w:rPr>
              <w:t xml:space="preserve">13440,0</w:t>
            </w:r>
          </w:p>
        </w:tc>
        <w:tc>
          <w:tcPr>
            <w:tcW w:w="1474" w:type="dxa"/>
          </w:tcPr>
          <w:p>
            <w:pPr>
              <w:pStyle w:val="0"/>
              <w:jc w:val="center"/>
            </w:pPr>
            <w:r>
              <w:rPr>
                <w:sz w:val="20"/>
              </w:rPr>
              <w:t xml:space="preserve">13572,0</w:t>
            </w:r>
          </w:p>
        </w:tc>
        <w:tc>
          <w:tcPr>
            <w:tcW w:w="1531" w:type="dxa"/>
          </w:tcPr>
          <w:p>
            <w:pPr>
              <w:pStyle w:val="0"/>
              <w:jc w:val="center"/>
            </w:pPr>
            <w:r>
              <w:rPr>
                <w:sz w:val="20"/>
              </w:rPr>
              <w:t xml:space="preserve">14019,9</w:t>
            </w:r>
          </w:p>
        </w:tc>
        <w:tc>
          <w:tcPr>
            <w:tcW w:w="1474" w:type="dxa"/>
          </w:tcPr>
          <w:p>
            <w:pPr>
              <w:pStyle w:val="0"/>
              <w:jc w:val="center"/>
            </w:pPr>
            <w:r>
              <w:rPr>
                <w:sz w:val="20"/>
              </w:rPr>
              <w:t xml:space="preserve">14454,5</w:t>
            </w:r>
          </w:p>
        </w:tc>
        <w:tc>
          <w:tcPr>
            <w:tcW w:w="1361" w:type="dxa"/>
          </w:tcPr>
          <w:p>
            <w:pPr>
              <w:pStyle w:val="0"/>
              <w:jc w:val="center"/>
            </w:pPr>
            <w:r>
              <w:rPr>
                <w:sz w:val="20"/>
              </w:rPr>
              <w:t xml:space="preserve">14873,7</w:t>
            </w:r>
          </w:p>
        </w:tc>
        <w:tc>
          <w:tcPr>
            <w:tcW w:w="1361" w:type="dxa"/>
          </w:tcPr>
          <w:p>
            <w:pPr>
              <w:pStyle w:val="0"/>
              <w:jc w:val="center"/>
            </w:pPr>
            <w:r>
              <w:rPr>
                <w:sz w:val="20"/>
              </w:rPr>
              <w:t xml:space="preserve">15290,2</w:t>
            </w:r>
          </w:p>
        </w:tc>
        <w:tc>
          <w:tcPr>
            <w:tcW w:w="1361" w:type="dxa"/>
          </w:tcPr>
          <w:p>
            <w:pPr>
              <w:pStyle w:val="0"/>
              <w:jc w:val="center"/>
            </w:pPr>
            <w:r>
              <w:rPr>
                <w:sz w:val="20"/>
              </w:rPr>
              <w:t xml:space="preserve">15718,3</w:t>
            </w:r>
          </w:p>
        </w:tc>
        <w:tc>
          <w:tcPr>
            <w:tcW w:w="1531" w:type="dxa"/>
          </w:tcPr>
          <w:p>
            <w:pPr>
              <w:pStyle w:val="0"/>
              <w:jc w:val="center"/>
            </w:pPr>
            <w:r>
              <w:rPr>
                <w:sz w:val="20"/>
              </w:rPr>
              <w:t xml:space="preserve">119996,9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8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7.9. Возмещение расходов на наем жилых помещений отдельным категориям работников учреждений здравоохранения, подведомственных Департаменту здравоохранения города Севастополя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29936,3</w:t>
            </w:r>
          </w:p>
        </w:tc>
        <w:tc>
          <w:tcPr>
            <w:tcW w:w="1417" w:type="dxa"/>
          </w:tcPr>
          <w:p>
            <w:pPr>
              <w:pStyle w:val="0"/>
              <w:jc w:val="center"/>
            </w:pPr>
            <w:r>
              <w:rPr>
                <w:sz w:val="20"/>
              </w:rPr>
              <w:t xml:space="preserve">29040,7</w:t>
            </w:r>
          </w:p>
        </w:tc>
        <w:tc>
          <w:tcPr>
            <w:tcW w:w="1417" w:type="dxa"/>
          </w:tcPr>
          <w:p>
            <w:pPr>
              <w:pStyle w:val="0"/>
              <w:jc w:val="center"/>
            </w:pPr>
            <w:r>
              <w:rPr>
                <w:sz w:val="20"/>
              </w:rPr>
              <w:t xml:space="preserve">34200,0</w:t>
            </w:r>
          </w:p>
        </w:tc>
        <w:tc>
          <w:tcPr>
            <w:tcW w:w="1474" w:type="dxa"/>
          </w:tcPr>
          <w:p>
            <w:pPr>
              <w:pStyle w:val="0"/>
              <w:jc w:val="center"/>
            </w:pPr>
            <w:r>
              <w:rPr>
                <w:sz w:val="20"/>
              </w:rPr>
              <w:t xml:space="preserve">34920,0</w:t>
            </w:r>
          </w:p>
        </w:tc>
        <w:tc>
          <w:tcPr>
            <w:tcW w:w="1531" w:type="dxa"/>
          </w:tcPr>
          <w:p>
            <w:pPr>
              <w:pStyle w:val="0"/>
              <w:jc w:val="center"/>
            </w:pPr>
            <w:r>
              <w:rPr>
                <w:sz w:val="20"/>
              </w:rPr>
              <w:t xml:space="preserve">36072,4</w:t>
            </w:r>
          </w:p>
        </w:tc>
        <w:tc>
          <w:tcPr>
            <w:tcW w:w="1474" w:type="dxa"/>
          </w:tcPr>
          <w:p>
            <w:pPr>
              <w:pStyle w:val="0"/>
              <w:jc w:val="center"/>
            </w:pPr>
            <w:r>
              <w:rPr>
                <w:sz w:val="20"/>
              </w:rPr>
              <w:t xml:space="preserve">37190,6</w:t>
            </w:r>
          </w:p>
        </w:tc>
        <w:tc>
          <w:tcPr>
            <w:tcW w:w="1361" w:type="dxa"/>
          </w:tcPr>
          <w:p>
            <w:pPr>
              <w:pStyle w:val="0"/>
              <w:jc w:val="center"/>
            </w:pPr>
            <w:r>
              <w:rPr>
                <w:sz w:val="20"/>
              </w:rPr>
              <w:t xml:space="preserve">38269,1</w:t>
            </w:r>
          </w:p>
        </w:tc>
        <w:tc>
          <w:tcPr>
            <w:tcW w:w="1361" w:type="dxa"/>
          </w:tcPr>
          <w:p>
            <w:pPr>
              <w:pStyle w:val="0"/>
              <w:jc w:val="center"/>
            </w:pPr>
            <w:r>
              <w:rPr>
                <w:sz w:val="20"/>
              </w:rPr>
              <w:t xml:space="preserve">39340,6</w:t>
            </w:r>
          </w:p>
        </w:tc>
        <w:tc>
          <w:tcPr>
            <w:tcW w:w="1361" w:type="dxa"/>
          </w:tcPr>
          <w:p>
            <w:pPr>
              <w:pStyle w:val="0"/>
              <w:jc w:val="center"/>
            </w:pPr>
            <w:r>
              <w:rPr>
                <w:sz w:val="20"/>
              </w:rPr>
              <w:t xml:space="preserve">40442,1</w:t>
            </w:r>
          </w:p>
        </w:tc>
        <w:tc>
          <w:tcPr>
            <w:tcW w:w="1531" w:type="dxa"/>
          </w:tcPr>
          <w:p>
            <w:pPr>
              <w:pStyle w:val="0"/>
              <w:jc w:val="center"/>
            </w:pPr>
            <w:r>
              <w:rPr>
                <w:sz w:val="20"/>
              </w:rPr>
              <w:t xml:space="preserve">319411,8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29936,3</w:t>
            </w:r>
          </w:p>
        </w:tc>
        <w:tc>
          <w:tcPr>
            <w:tcW w:w="1417" w:type="dxa"/>
          </w:tcPr>
          <w:p>
            <w:pPr>
              <w:pStyle w:val="0"/>
              <w:jc w:val="center"/>
            </w:pPr>
            <w:r>
              <w:rPr>
                <w:sz w:val="20"/>
              </w:rPr>
              <w:t xml:space="preserve">29040,7</w:t>
            </w:r>
          </w:p>
        </w:tc>
        <w:tc>
          <w:tcPr>
            <w:tcW w:w="1417" w:type="dxa"/>
          </w:tcPr>
          <w:p>
            <w:pPr>
              <w:pStyle w:val="0"/>
              <w:jc w:val="center"/>
            </w:pPr>
            <w:r>
              <w:rPr>
                <w:sz w:val="20"/>
              </w:rPr>
              <w:t xml:space="preserve">34200,0</w:t>
            </w:r>
          </w:p>
        </w:tc>
        <w:tc>
          <w:tcPr>
            <w:tcW w:w="1474" w:type="dxa"/>
          </w:tcPr>
          <w:p>
            <w:pPr>
              <w:pStyle w:val="0"/>
              <w:jc w:val="center"/>
            </w:pPr>
            <w:r>
              <w:rPr>
                <w:sz w:val="20"/>
              </w:rPr>
              <w:t xml:space="preserve">34920,0</w:t>
            </w:r>
          </w:p>
        </w:tc>
        <w:tc>
          <w:tcPr>
            <w:tcW w:w="1531" w:type="dxa"/>
          </w:tcPr>
          <w:p>
            <w:pPr>
              <w:pStyle w:val="0"/>
              <w:jc w:val="center"/>
            </w:pPr>
            <w:r>
              <w:rPr>
                <w:sz w:val="20"/>
              </w:rPr>
              <w:t xml:space="preserve">36072,4</w:t>
            </w:r>
          </w:p>
        </w:tc>
        <w:tc>
          <w:tcPr>
            <w:tcW w:w="1474" w:type="dxa"/>
          </w:tcPr>
          <w:p>
            <w:pPr>
              <w:pStyle w:val="0"/>
              <w:jc w:val="center"/>
            </w:pPr>
            <w:r>
              <w:rPr>
                <w:sz w:val="20"/>
              </w:rPr>
              <w:t xml:space="preserve">37190,6</w:t>
            </w:r>
          </w:p>
        </w:tc>
        <w:tc>
          <w:tcPr>
            <w:tcW w:w="1361" w:type="dxa"/>
          </w:tcPr>
          <w:p>
            <w:pPr>
              <w:pStyle w:val="0"/>
              <w:jc w:val="center"/>
            </w:pPr>
            <w:r>
              <w:rPr>
                <w:sz w:val="20"/>
              </w:rPr>
              <w:t xml:space="preserve">38269,1</w:t>
            </w:r>
          </w:p>
        </w:tc>
        <w:tc>
          <w:tcPr>
            <w:tcW w:w="1361" w:type="dxa"/>
          </w:tcPr>
          <w:p>
            <w:pPr>
              <w:pStyle w:val="0"/>
              <w:jc w:val="center"/>
            </w:pPr>
            <w:r>
              <w:rPr>
                <w:sz w:val="20"/>
              </w:rPr>
              <w:t xml:space="preserve">39340,6</w:t>
            </w:r>
          </w:p>
        </w:tc>
        <w:tc>
          <w:tcPr>
            <w:tcW w:w="1361" w:type="dxa"/>
          </w:tcPr>
          <w:p>
            <w:pPr>
              <w:pStyle w:val="0"/>
              <w:jc w:val="center"/>
            </w:pPr>
            <w:r>
              <w:rPr>
                <w:sz w:val="20"/>
              </w:rPr>
              <w:t xml:space="preserve">40442,1</w:t>
            </w:r>
          </w:p>
        </w:tc>
        <w:tc>
          <w:tcPr>
            <w:tcW w:w="1531" w:type="dxa"/>
          </w:tcPr>
          <w:p>
            <w:pPr>
              <w:pStyle w:val="0"/>
              <w:jc w:val="center"/>
            </w:pPr>
            <w:r>
              <w:rPr>
                <w:sz w:val="20"/>
              </w:rPr>
              <w:t xml:space="preserve">319411,8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87"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7.10. Стимулирование главных внештатных специалистов Департамента здравоохранения города Севастополя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6117,0</w:t>
            </w:r>
          </w:p>
        </w:tc>
        <w:tc>
          <w:tcPr>
            <w:tcW w:w="1417" w:type="dxa"/>
          </w:tcPr>
          <w:p>
            <w:pPr>
              <w:pStyle w:val="0"/>
              <w:jc w:val="center"/>
            </w:pPr>
            <w:r>
              <w:rPr>
                <w:sz w:val="20"/>
              </w:rPr>
              <w:t xml:space="preserve">11413,4</w:t>
            </w:r>
          </w:p>
        </w:tc>
        <w:tc>
          <w:tcPr>
            <w:tcW w:w="1417" w:type="dxa"/>
          </w:tcPr>
          <w:p>
            <w:pPr>
              <w:pStyle w:val="0"/>
              <w:jc w:val="center"/>
            </w:pPr>
            <w:r>
              <w:rPr>
                <w:sz w:val="20"/>
              </w:rPr>
              <w:t xml:space="preserve">11079,2</w:t>
            </w:r>
          </w:p>
        </w:tc>
        <w:tc>
          <w:tcPr>
            <w:tcW w:w="1474" w:type="dxa"/>
          </w:tcPr>
          <w:p>
            <w:pPr>
              <w:pStyle w:val="0"/>
              <w:jc w:val="center"/>
            </w:pPr>
            <w:r>
              <w:rPr>
                <w:sz w:val="20"/>
              </w:rPr>
              <w:t xml:space="preserve">11079,2</w:t>
            </w:r>
          </w:p>
        </w:tc>
        <w:tc>
          <w:tcPr>
            <w:tcW w:w="1531" w:type="dxa"/>
          </w:tcPr>
          <w:p>
            <w:pPr>
              <w:pStyle w:val="0"/>
              <w:jc w:val="center"/>
            </w:pPr>
            <w:r>
              <w:rPr>
                <w:sz w:val="20"/>
              </w:rPr>
              <w:t xml:space="preserve">11444,8</w:t>
            </w:r>
          </w:p>
        </w:tc>
        <w:tc>
          <w:tcPr>
            <w:tcW w:w="1474" w:type="dxa"/>
          </w:tcPr>
          <w:p>
            <w:pPr>
              <w:pStyle w:val="0"/>
              <w:jc w:val="center"/>
            </w:pPr>
            <w:r>
              <w:rPr>
                <w:sz w:val="20"/>
              </w:rPr>
              <w:t xml:space="preserve">11799,6</w:t>
            </w:r>
          </w:p>
        </w:tc>
        <w:tc>
          <w:tcPr>
            <w:tcW w:w="1361" w:type="dxa"/>
          </w:tcPr>
          <w:p>
            <w:pPr>
              <w:pStyle w:val="0"/>
              <w:jc w:val="center"/>
            </w:pPr>
            <w:r>
              <w:rPr>
                <w:sz w:val="20"/>
              </w:rPr>
              <w:t xml:space="preserve">12141,8</w:t>
            </w:r>
          </w:p>
        </w:tc>
        <w:tc>
          <w:tcPr>
            <w:tcW w:w="1361" w:type="dxa"/>
          </w:tcPr>
          <w:p>
            <w:pPr>
              <w:pStyle w:val="0"/>
              <w:jc w:val="center"/>
            </w:pPr>
            <w:r>
              <w:rPr>
                <w:sz w:val="20"/>
              </w:rPr>
              <w:t xml:space="preserve">12481,8</w:t>
            </w:r>
          </w:p>
        </w:tc>
        <w:tc>
          <w:tcPr>
            <w:tcW w:w="1361" w:type="dxa"/>
          </w:tcPr>
          <w:p>
            <w:pPr>
              <w:pStyle w:val="0"/>
              <w:jc w:val="center"/>
            </w:pPr>
            <w:r>
              <w:rPr>
                <w:sz w:val="20"/>
              </w:rPr>
              <w:t xml:space="preserve">12831,3</w:t>
            </w:r>
          </w:p>
        </w:tc>
        <w:tc>
          <w:tcPr>
            <w:tcW w:w="1531" w:type="dxa"/>
          </w:tcPr>
          <w:p>
            <w:pPr>
              <w:pStyle w:val="0"/>
              <w:jc w:val="center"/>
            </w:pPr>
            <w:r>
              <w:rPr>
                <w:sz w:val="20"/>
              </w:rPr>
              <w:t xml:space="preserve">100388,1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6117,0</w:t>
            </w:r>
          </w:p>
        </w:tc>
        <w:tc>
          <w:tcPr>
            <w:tcW w:w="1417" w:type="dxa"/>
          </w:tcPr>
          <w:p>
            <w:pPr>
              <w:pStyle w:val="0"/>
              <w:jc w:val="center"/>
            </w:pPr>
            <w:r>
              <w:rPr>
                <w:sz w:val="20"/>
              </w:rPr>
              <w:t xml:space="preserve">11413,4</w:t>
            </w:r>
          </w:p>
        </w:tc>
        <w:tc>
          <w:tcPr>
            <w:tcW w:w="1417" w:type="dxa"/>
          </w:tcPr>
          <w:p>
            <w:pPr>
              <w:pStyle w:val="0"/>
              <w:jc w:val="center"/>
            </w:pPr>
            <w:r>
              <w:rPr>
                <w:sz w:val="20"/>
              </w:rPr>
              <w:t xml:space="preserve">11079,2</w:t>
            </w:r>
          </w:p>
        </w:tc>
        <w:tc>
          <w:tcPr>
            <w:tcW w:w="1474" w:type="dxa"/>
          </w:tcPr>
          <w:p>
            <w:pPr>
              <w:pStyle w:val="0"/>
              <w:jc w:val="center"/>
            </w:pPr>
            <w:r>
              <w:rPr>
                <w:sz w:val="20"/>
              </w:rPr>
              <w:t xml:space="preserve">11079,2</w:t>
            </w:r>
          </w:p>
        </w:tc>
        <w:tc>
          <w:tcPr>
            <w:tcW w:w="1531" w:type="dxa"/>
          </w:tcPr>
          <w:p>
            <w:pPr>
              <w:pStyle w:val="0"/>
              <w:jc w:val="center"/>
            </w:pPr>
            <w:r>
              <w:rPr>
                <w:sz w:val="20"/>
              </w:rPr>
              <w:t xml:space="preserve">11444,8</w:t>
            </w:r>
          </w:p>
        </w:tc>
        <w:tc>
          <w:tcPr>
            <w:tcW w:w="1474" w:type="dxa"/>
          </w:tcPr>
          <w:p>
            <w:pPr>
              <w:pStyle w:val="0"/>
              <w:jc w:val="center"/>
            </w:pPr>
            <w:r>
              <w:rPr>
                <w:sz w:val="20"/>
              </w:rPr>
              <w:t xml:space="preserve">11799,6</w:t>
            </w:r>
          </w:p>
        </w:tc>
        <w:tc>
          <w:tcPr>
            <w:tcW w:w="1361" w:type="dxa"/>
          </w:tcPr>
          <w:p>
            <w:pPr>
              <w:pStyle w:val="0"/>
              <w:jc w:val="center"/>
            </w:pPr>
            <w:r>
              <w:rPr>
                <w:sz w:val="20"/>
              </w:rPr>
              <w:t xml:space="preserve">12141,8</w:t>
            </w:r>
          </w:p>
        </w:tc>
        <w:tc>
          <w:tcPr>
            <w:tcW w:w="1361" w:type="dxa"/>
          </w:tcPr>
          <w:p>
            <w:pPr>
              <w:pStyle w:val="0"/>
              <w:jc w:val="center"/>
            </w:pPr>
            <w:r>
              <w:rPr>
                <w:sz w:val="20"/>
              </w:rPr>
              <w:t xml:space="preserve">12481,8</w:t>
            </w:r>
          </w:p>
        </w:tc>
        <w:tc>
          <w:tcPr>
            <w:tcW w:w="1361" w:type="dxa"/>
          </w:tcPr>
          <w:p>
            <w:pPr>
              <w:pStyle w:val="0"/>
              <w:jc w:val="center"/>
            </w:pPr>
            <w:r>
              <w:rPr>
                <w:sz w:val="20"/>
              </w:rPr>
              <w:t xml:space="preserve">12831,3</w:t>
            </w:r>
          </w:p>
        </w:tc>
        <w:tc>
          <w:tcPr>
            <w:tcW w:w="1531" w:type="dxa"/>
          </w:tcPr>
          <w:p>
            <w:pPr>
              <w:pStyle w:val="0"/>
              <w:jc w:val="center"/>
            </w:pPr>
            <w:r>
              <w:rPr>
                <w:sz w:val="20"/>
              </w:rPr>
              <w:t xml:space="preserve">100388,1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88"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7.11. Мера дополнительной поддержки студентов, обучающихся по целевому набору в образовательных организациях среднего профессионального образования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1627,5</w:t>
            </w:r>
          </w:p>
        </w:tc>
        <w:tc>
          <w:tcPr>
            <w:tcW w:w="1417" w:type="dxa"/>
          </w:tcPr>
          <w:p>
            <w:pPr>
              <w:pStyle w:val="0"/>
              <w:jc w:val="center"/>
            </w:pPr>
            <w:r>
              <w:rPr>
                <w:sz w:val="20"/>
              </w:rPr>
              <w:t xml:space="preserve">1346,5</w:t>
            </w:r>
          </w:p>
        </w:tc>
        <w:tc>
          <w:tcPr>
            <w:tcW w:w="1417" w:type="dxa"/>
          </w:tcPr>
          <w:p>
            <w:pPr>
              <w:pStyle w:val="0"/>
              <w:jc w:val="center"/>
            </w:pPr>
            <w:r>
              <w:rPr>
                <w:sz w:val="20"/>
              </w:rPr>
              <w:t xml:space="preserve">1483,0</w:t>
            </w:r>
          </w:p>
        </w:tc>
        <w:tc>
          <w:tcPr>
            <w:tcW w:w="1474" w:type="dxa"/>
          </w:tcPr>
          <w:p>
            <w:pPr>
              <w:pStyle w:val="0"/>
              <w:jc w:val="center"/>
            </w:pPr>
            <w:r>
              <w:rPr>
                <w:sz w:val="20"/>
              </w:rPr>
              <w:t xml:space="preserve">979,0</w:t>
            </w:r>
          </w:p>
        </w:tc>
        <w:tc>
          <w:tcPr>
            <w:tcW w:w="1531" w:type="dxa"/>
          </w:tcPr>
          <w:p>
            <w:pPr>
              <w:pStyle w:val="0"/>
              <w:jc w:val="center"/>
            </w:pPr>
            <w:r>
              <w:rPr>
                <w:sz w:val="20"/>
              </w:rPr>
              <w:t xml:space="preserve">1011,3</w:t>
            </w:r>
          </w:p>
        </w:tc>
        <w:tc>
          <w:tcPr>
            <w:tcW w:w="1474" w:type="dxa"/>
          </w:tcPr>
          <w:p>
            <w:pPr>
              <w:pStyle w:val="0"/>
              <w:jc w:val="center"/>
            </w:pPr>
            <w:r>
              <w:rPr>
                <w:sz w:val="20"/>
              </w:rPr>
              <w:t xml:space="preserve">1042,7</w:t>
            </w:r>
          </w:p>
        </w:tc>
        <w:tc>
          <w:tcPr>
            <w:tcW w:w="1361" w:type="dxa"/>
          </w:tcPr>
          <w:p>
            <w:pPr>
              <w:pStyle w:val="0"/>
              <w:jc w:val="center"/>
            </w:pPr>
            <w:r>
              <w:rPr>
                <w:sz w:val="20"/>
              </w:rPr>
              <w:t xml:space="preserve">1072,9</w:t>
            </w:r>
          </w:p>
        </w:tc>
        <w:tc>
          <w:tcPr>
            <w:tcW w:w="1361" w:type="dxa"/>
          </w:tcPr>
          <w:p>
            <w:pPr>
              <w:pStyle w:val="0"/>
              <w:jc w:val="center"/>
            </w:pPr>
            <w:r>
              <w:rPr>
                <w:sz w:val="20"/>
              </w:rPr>
              <w:t xml:space="preserve">1102,9</w:t>
            </w:r>
          </w:p>
        </w:tc>
        <w:tc>
          <w:tcPr>
            <w:tcW w:w="1361" w:type="dxa"/>
          </w:tcPr>
          <w:p>
            <w:pPr>
              <w:pStyle w:val="0"/>
              <w:jc w:val="center"/>
            </w:pPr>
            <w:r>
              <w:rPr>
                <w:sz w:val="20"/>
              </w:rPr>
              <w:t xml:space="preserve">1133,8</w:t>
            </w:r>
          </w:p>
        </w:tc>
        <w:tc>
          <w:tcPr>
            <w:tcW w:w="1531" w:type="dxa"/>
          </w:tcPr>
          <w:p>
            <w:pPr>
              <w:pStyle w:val="0"/>
              <w:jc w:val="center"/>
            </w:pPr>
            <w:r>
              <w:rPr>
                <w:sz w:val="20"/>
              </w:rPr>
              <w:t xml:space="preserve">10799,6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1627,5</w:t>
            </w:r>
          </w:p>
        </w:tc>
        <w:tc>
          <w:tcPr>
            <w:tcW w:w="1417" w:type="dxa"/>
          </w:tcPr>
          <w:p>
            <w:pPr>
              <w:pStyle w:val="0"/>
              <w:jc w:val="center"/>
            </w:pPr>
            <w:r>
              <w:rPr>
                <w:sz w:val="20"/>
              </w:rPr>
              <w:t xml:space="preserve">1346,5</w:t>
            </w:r>
          </w:p>
        </w:tc>
        <w:tc>
          <w:tcPr>
            <w:tcW w:w="1417" w:type="dxa"/>
          </w:tcPr>
          <w:p>
            <w:pPr>
              <w:pStyle w:val="0"/>
              <w:jc w:val="center"/>
            </w:pPr>
            <w:r>
              <w:rPr>
                <w:sz w:val="20"/>
              </w:rPr>
              <w:t xml:space="preserve">1483,0</w:t>
            </w:r>
          </w:p>
        </w:tc>
        <w:tc>
          <w:tcPr>
            <w:tcW w:w="1474" w:type="dxa"/>
          </w:tcPr>
          <w:p>
            <w:pPr>
              <w:pStyle w:val="0"/>
              <w:jc w:val="center"/>
            </w:pPr>
            <w:r>
              <w:rPr>
                <w:sz w:val="20"/>
              </w:rPr>
              <w:t xml:space="preserve">979,0</w:t>
            </w:r>
          </w:p>
        </w:tc>
        <w:tc>
          <w:tcPr>
            <w:tcW w:w="1531" w:type="dxa"/>
          </w:tcPr>
          <w:p>
            <w:pPr>
              <w:pStyle w:val="0"/>
              <w:jc w:val="center"/>
            </w:pPr>
            <w:r>
              <w:rPr>
                <w:sz w:val="20"/>
              </w:rPr>
              <w:t xml:space="preserve">1011,3</w:t>
            </w:r>
          </w:p>
        </w:tc>
        <w:tc>
          <w:tcPr>
            <w:tcW w:w="1474" w:type="dxa"/>
          </w:tcPr>
          <w:p>
            <w:pPr>
              <w:pStyle w:val="0"/>
              <w:jc w:val="center"/>
            </w:pPr>
            <w:r>
              <w:rPr>
                <w:sz w:val="20"/>
              </w:rPr>
              <w:t xml:space="preserve">1042,7</w:t>
            </w:r>
          </w:p>
        </w:tc>
        <w:tc>
          <w:tcPr>
            <w:tcW w:w="1361" w:type="dxa"/>
          </w:tcPr>
          <w:p>
            <w:pPr>
              <w:pStyle w:val="0"/>
              <w:jc w:val="center"/>
            </w:pPr>
            <w:r>
              <w:rPr>
                <w:sz w:val="20"/>
              </w:rPr>
              <w:t xml:space="preserve">1072,9</w:t>
            </w:r>
          </w:p>
        </w:tc>
        <w:tc>
          <w:tcPr>
            <w:tcW w:w="1361" w:type="dxa"/>
          </w:tcPr>
          <w:p>
            <w:pPr>
              <w:pStyle w:val="0"/>
              <w:jc w:val="center"/>
            </w:pPr>
            <w:r>
              <w:rPr>
                <w:sz w:val="20"/>
              </w:rPr>
              <w:t xml:space="preserve">1102,9</w:t>
            </w:r>
          </w:p>
        </w:tc>
        <w:tc>
          <w:tcPr>
            <w:tcW w:w="1361" w:type="dxa"/>
          </w:tcPr>
          <w:p>
            <w:pPr>
              <w:pStyle w:val="0"/>
              <w:jc w:val="center"/>
            </w:pPr>
            <w:r>
              <w:rPr>
                <w:sz w:val="20"/>
              </w:rPr>
              <w:t xml:space="preserve">1133,8</w:t>
            </w:r>
          </w:p>
        </w:tc>
        <w:tc>
          <w:tcPr>
            <w:tcW w:w="1531" w:type="dxa"/>
          </w:tcPr>
          <w:p>
            <w:pPr>
              <w:pStyle w:val="0"/>
              <w:jc w:val="center"/>
            </w:pPr>
            <w:r>
              <w:rPr>
                <w:sz w:val="20"/>
              </w:rPr>
              <w:t xml:space="preserve">10799,6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89"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vMerge w:val="restart"/>
          </w:tcPr>
          <w:p>
            <w:pPr>
              <w:pStyle w:val="0"/>
              <w:jc w:val="both"/>
            </w:pPr>
            <w:r>
              <w:rPr>
                <w:sz w:val="20"/>
              </w:rPr>
              <w:t xml:space="preserve">7.12. Предоставление гранта в форме субсидии федеральному государственному автономному образовательному учреждению высшего образования "Севастопольский государственный университет" на целевое обучение студентов для получения высшего образования по медицинским специальностям в целях обеспечения кадрами государственных учреждений здравоохранения города Севастополя</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5000,0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5000,0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5000,0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5000,0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7.13. Предоставление дополнительных мер социальной поддержки в виде специальной социальной выплаты отдельным категориям медицинских работников медицинских организаций, входящих в государственную систему здравоохранения города Севастополя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10936,1</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10936,1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10936,1</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10936,1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90"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3458" w:type="dxa"/>
            <w:tcBorders>
              <w:bottom w:val="nil"/>
            </w:tcBorders>
            <w:vMerge w:val="restart"/>
          </w:tcPr>
          <w:p>
            <w:pPr>
              <w:pStyle w:val="0"/>
              <w:jc w:val="both"/>
            </w:pPr>
            <w:r>
              <w:rPr>
                <w:sz w:val="20"/>
              </w:rPr>
              <w:t xml:space="preserve">Итого по </w:t>
            </w:r>
            <w:hyperlink w:history="0" w:anchor="P2108" w:tooltip="ПОДПРОГРАММА 7">
              <w:r>
                <w:rPr>
                  <w:sz w:val="20"/>
                  <w:color w:val="0000ff"/>
                </w:rPr>
                <w:t xml:space="preserve">подпрограмме 7</w:t>
              </w:r>
            </w:hyperlink>
          </w:p>
        </w:tc>
        <w:tc>
          <w:tcPr>
            <w:tcW w:w="2041" w:type="dxa"/>
            <w:tcBorders>
              <w:bottom w:val="nil"/>
            </w:tcBorders>
            <w:vMerge w:val="restart"/>
          </w:tcPr>
          <w:p>
            <w:pPr>
              <w:pStyle w:val="0"/>
            </w:pPr>
            <w:r>
              <w:rPr>
                <w:sz w:val="20"/>
              </w:rPr>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103785,2</w:t>
            </w:r>
          </w:p>
        </w:tc>
        <w:tc>
          <w:tcPr>
            <w:tcW w:w="1417" w:type="dxa"/>
          </w:tcPr>
          <w:p>
            <w:pPr>
              <w:pStyle w:val="0"/>
              <w:jc w:val="center"/>
            </w:pPr>
            <w:r>
              <w:rPr>
                <w:sz w:val="20"/>
              </w:rPr>
              <w:t xml:space="preserve">144786,4</w:t>
            </w:r>
          </w:p>
        </w:tc>
        <w:tc>
          <w:tcPr>
            <w:tcW w:w="1417" w:type="dxa"/>
          </w:tcPr>
          <w:p>
            <w:pPr>
              <w:pStyle w:val="0"/>
              <w:jc w:val="center"/>
            </w:pPr>
            <w:r>
              <w:rPr>
                <w:sz w:val="20"/>
              </w:rPr>
              <w:t xml:space="preserve">162618,6</w:t>
            </w:r>
          </w:p>
        </w:tc>
        <w:tc>
          <w:tcPr>
            <w:tcW w:w="1474" w:type="dxa"/>
          </w:tcPr>
          <w:p>
            <w:pPr>
              <w:pStyle w:val="0"/>
              <w:jc w:val="center"/>
            </w:pPr>
            <w:r>
              <w:rPr>
                <w:sz w:val="20"/>
              </w:rPr>
              <w:t xml:space="preserve">153927,2</w:t>
            </w:r>
          </w:p>
        </w:tc>
        <w:tc>
          <w:tcPr>
            <w:tcW w:w="1531" w:type="dxa"/>
          </w:tcPr>
          <w:p>
            <w:pPr>
              <w:pStyle w:val="0"/>
              <w:jc w:val="center"/>
            </w:pPr>
            <w:r>
              <w:rPr>
                <w:sz w:val="20"/>
              </w:rPr>
              <w:t xml:space="preserve">157705,0</w:t>
            </w:r>
          </w:p>
        </w:tc>
        <w:tc>
          <w:tcPr>
            <w:tcW w:w="1474" w:type="dxa"/>
          </w:tcPr>
          <w:p>
            <w:pPr>
              <w:pStyle w:val="0"/>
              <w:jc w:val="center"/>
            </w:pPr>
            <w:r>
              <w:rPr>
                <w:sz w:val="20"/>
              </w:rPr>
              <w:t xml:space="preserve">161371,0</w:t>
            </w:r>
          </w:p>
        </w:tc>
        <w:tc>
          <w:tcPr>
            <w:tcW w:w="1361" w:type="dxa"/>
          </w:tcPr>
          <w:p>
            <w:pPr>
              <w:pStyle w:val="0"/>
              <w:jc w:val="center"/>
            </w:pPr>
            <w:r>
              <w:rPr>
                <w:sz w:val="20"/>
              </w:rPr>
              <w:t xml:space="preserve">164906,7</w:t>
            </w:r>
          </w:p>
        </w:tc>
        <w:tc>
          <w:tcPr>
            <w:tcW w:w="1361" w:type="dxa"/>
          </w:tcPr>
          <w:p>
            <w:pPr>
              <w:pStyle w:val="0"/>
              <w:jc w:val="center"/>
            </w:pPr>
            <w:r>
              <w:rPr>
                <w:sz w:val="20"/>
              </w:rPr>
              <w:t xml:space="preserve">168419,6</w:t>
            </w:r>
          </w:p>
        </w:tc>
        <w:tc>
          <w:tcPr>
            <w:tcW w:w="1361" w:type="dxa"/>
          </w:tcPr>
          <w:p>
            <w:pPr>
              <w:pStyle w:val="0"/>
              <w:jc w:val="center"/>
            </w:pPr>
            <w:r>
              <w:rPr>
                <w:sz w:val="20"/>
              </w:rPr>
              <w:t xml:space="preserve">172030,7</w:t>
            </w:r>
          </w:p>
        </w:tc>
        <w:tc>
          <w:tcPr>
            <w:tcW w:w="1531" w:type="dxa"/>
          </w:tcPr>
          <w:p>
            <w:pPr>
              <w:pStyle w:val="0"/>
              <w:jc w:val="center"/>
            </w:pPr>
            <w:r>
              <w:rPr>
                <w:sz w:val="20"/>
              </w:rPr>
              <w:t xml:space="preserve">1389550,4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3325,0</w:t>
            </w:r>
          </w:p>
        </w:tc>
        <w:tc>
          <w:tcPr>
            <w:tcW w:w="1417" w:type="dxa"/>
          </w:tcPr>
          <w:p>
            <w:pPr>
              <w:pStyle w:val="0"/>
              <w:jc w:val="center"/>
            </w:pPr>
            <w:r>
              <w:rPr>
                <w:sz w:val="20"/>
              </w:rPr>
              <w:t xml:space="preserve">2375,0</w:t>
            </w:r>
          </w:p>
        </w:tc>
        <w:tc>
          <w:tcPr>
            <w:tcW w:w="1417" w:type="dxa"/>
          </w:tcPr>
          <w:p>
            <w:pPr>
              <w:pStyle w:val="0"/>
              <w:jc w:val="center"/>
            </w:pPr>
            <w:r>
              <w:rPr>
                <w:sz w:val="20"/>
              </w:rPr>
              <w:t xml:space="preserve">475,0</w:t>
            </w:r>
          </w:p>
        </w:tc>
        <w:tc>
          <w:tcPr>
            <w:tcW w:w="1474" w:type="dxa"/>
          </w:tcPr>
          <w:p>
            <w:pPr>
              <w:pStyle w:val="0"/>
              <w:jc w:val="center"/>
            </w:pPr>
            <w:r>
              <w:rPr>
                <w:sz w:val="20"/>
              </w:rPr>
              <w:t xml:space="preserve">465,0</w:t>
            </w:r>
          </w:p>
        </w:tc>
        <w:tc>
          <w:tcPr>
            <w:tcW w:w="1531" w:type="dxa"/>
          </w:tcPr>
          <w:p>
            <w:pPr>
              <w:pStyle w:val="0"/>
              <w:jc w:val="center"/>
            </w:pPr>
            <w:r>
              <w:rPr>
                <w:sz w:val="20"/>
              </w:rPr>
              <w:t xml:space="preserve">465,0</w:t>
            </w:r>
          </w:p>
        </w:tc>
        <w:tc>
          <w:tcPr>
            <w:tcW w:w="1474" w:type="dxa"/>
          </w:tcPr>
          <w:p>
            <w:pPr>
              <w:pStyle w:val="0"/>
              <w:jc w:val="center"/>
            </w:pPr>
            <w:r>
              <w:rPr>
                <w:sz w:val="20"/>
              </w:rPr>
              <w:t xml:space="preserve">465,0</w:t>
            </w:r>
          </w:p>
        </w:tc>
        <w:tc>
          <w:tcPr>
            <w:tcW w:w="1361" w:type="dxa"/>
          </w:tcPr>
          <w:p>
            <w:pPr>
              <w:pStyle w:val="0"/>
              <w:jc w:val="center"/>
            </w:pPr>
            <w:r>
              <w:rPr>
                <w:sz w:val="20"/>
              </w:rPr>
              <w:t xml:space="preserve">465,0</w:t>
            </w:r>
          </w:p>
        </w:tc>
        <w:tc>
          <w:tcPr>
            <w:tcW w:w="1361" w:type="dxa"/>
          </w:tcPr>
          <w:p>
            <w:pPr>
              <w:pStyle w:val="0"/>
              <w:jc w:val="center"/>
            </w:pPr>
            <w:r>
              <w:rPr>
                <w:sz w:val="20"/>
              </w:rPr>
              <w:t xml:space="preserve">465,0</w:t>
            </w:r>
          </w:p>
        </w:tc>
        <w:tc>
          <w:tcPr>
            <w:tcW w:w="1361" w:type="dxa"/>
          </w:tcPr>
          <w:p>
            <w:pPr>
              <w:pStyle w:val="0"/>
              <w:jc w:val="center"/>
            </w:pPr>
            <w:r>
              <w:rPr>
                <w:sz w:val="20"/>
              </w:rPr>
              <w:t xml:space="preserve">465,0</w:t>
            </w:r>
          </w:p>
        </w:tc>
        <w:tc>
          <w:tcPr>
            <w:tcW w:w="1531" w:type="dxa"/>
          </w:tcPr>
          <w:p>
            <w:pPr>
              <w:pStyle w:val="0"/>
              <w:jc w:val="center"/>
            </w:pPr>
            <w:r>
              <w:rPr>
                <w:sz w:val="20"/>
              </w:rPr>
              <w:t xml:space="preserve">8965,0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100460,2</w:t>
            </w:r>
          </w:p>
        </w:tc>
        <w:tc>
          <w:tcPr>
            <w:tcW w:w="1417" w:type="dxa"/>
          </w:tcPr>
          <w:p>
            <w:pPr>
              <w:pStyle w:val="0"/>
              <w:jc w:val="center"/>
            </w:pPr>
            <w:r>
              <w:rPr>
                <w:sz w:val="20"/>
              </w:rPr>
              <w:t xml:space="preserve">142411,4</w:t>
            </w:r>
          </w:p>
        </w:tc>
        <w:tc>
          <w:tcPr>
            <w:tcW w:w="1417" w:type="dxa"/>
          </w:tcPr>
          <w:p>
            <w:pPr>
              <w:pStyle w:val="0"/>
              <w:jc w:val="center"/>
            </w:pPr>
            <w:r>
              <w:rPr>
                <w:sz w:val="20"/>
              </w:rPr>
              <w:t xml:space="preserve">162143,6</w:t>
            </w:r>
          </w:p>
        </w:tc>
        <w:tc>
          <w:tcPr>
            <w:tcW w:w="1474" w:type="dxa"/>
          </w:tcPr>
          <w:p>
            <w:pPr>
              <w:pStyle w:val="0"/>
              <w:jc w:val="center"/>
            </w:pPr>
            <w:r>
              <w:rPr>
                <w:sz w:val="20"/>
              </w:rPr>
              <w:t xml:space="preserve">153462,2</w:t>
            </w:r>
          </w:p>
        </w:tc>
        <w:tc>
          <w:tcPr>
            <w:tcW w:w="1531" w:type="dxa"/>
          </w:tcPr>
          <w:p>
            <w:pPr>
              <w:pStyle w:val="0"/>
              <w:jc w:val="center"/>
            </w:pPr>
            <w:r>
              <w:rPr>
                <w:sz w:val="20"/>
              </w:rPr>
              <w:t xml:space="preserve">157240,0</w:t>
            </w:r>
          </w:p>
        </w:tc>
        <w:tc>
          <w:tcPr>
            <w:tcW w:w="1474" w:type="dxa"/>
          </w:tcPr>
          <w:p>
            <w:pPr>
              <w:pStyle w:val="0"/>
              <w:jc w:val="center"/>
            </w:pPr>
            <w:r>
              <w:rPr>
                <w:sz w:val="20"/>
              </w:rPr>
              <w:t xml:space="preserve">160906,0</w:t>
            </w:r>
          </w:p>
        </w:tc>
        <w:tc>
          <w:tcPr>
            <w:tcW w:w="1361" w:type="dxa"/>
          </w:tcPr>
          <w:p>
            <w:pPr>
              <w:pStyle w:val="0"/>
              <w:jc w:val="center"/>
            </w:pPr>
            <w:r>
              <w:rPr>
                <w:sz w:val="20"/>
              </w:rPr>
              <w:t xml:space="preserve">164441,7</w:t>
            </w:r>
          </w:p>
        </w:tc>
        <w:tc>
          <w:tcPr>
            <w:tcW w:w="1361" w:type="dxa"/>
          </w:tcPr>
          <w:p>
            <w:pPr>
              <w:pStyle w:val="0"/>
              <w:jc w:val="center"/>
            </w:pPr>
            <w:r>
              <w:rPr>
                <w:sz w:val="20"/>
              </w:rPr>
              <w:t xml:space="preserve">167954,6</w:t>
            </w:r>
          </w:p>
        </w:tc>
        <w:tc>
          <w:tcPr>
            <w:tcW w:w="1361" w:type="dxa"/>
          </w:tcPr>
          <w:p>
            <w:pPr>
              <w:pStyle w:val="0"/>
              <w:jc w:val="center"/>
            </w:pPr>
            <w:r>
              <w:rPr>
                <w:sz w:val="20"/>
              </w:rPr>
              <w:t xml:space="preserve">171565,7</w:t>
            </w:r>
          </w:p>
        </w:tc>
        <w:tc>
          <w:tcPr>
            <w:tcW w:w="1531" w:type="dxa"/>
          </w:tcPr>
          <w:p>
            <w:pPr>
              <w:pStyle w:val="0"/>
              <w:jc w:val="center"/>
            </w:pPr>
            <w:r>
              <w:rPr>
                <w:sz w:val="20"/>
              </w:rPr>
              <w:t xml:space="preserve">1380585,4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91"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gridSpan w:val="13"/>
            <w:tcW w:w="22337" w:type="dxa"/>
          </w:tcPr>
          <w:p>
            <w:pPr>
              <w:pStyle w:val="0"/>
              <w:outlineLvl w:val="2"/>
              <w:jc w:val="center"/>
            </w:pPr>
            <w:r>
              <w:rPr>
                <w:sz w:val="20"/>
              </w:rPr>
              <w:t xml:space="preserve">Подпрограмма 8 "Реализация региональных проектов в рамках национальных проектов в сфере здравоохранения"</w:t>
            </w:r>
          </w:p>
        </w:tc>
      </w:tr>
      <w:tr>
        <w:tc>
          <w:tcPr>
            <w:tcW w:w="3458" w:type="dxa"/>
            <w:vMerge w:val="restart"/>
          </w:tcPr>
          <w:p>
            <w:pPr>
              <w:pStyle w:val="0"/>
              <w:jc w:val="both"/>
            </w:pPr>
            <w:r>
              <w:rPr>
                <w:sz w:val="20"/>
              </w:rPr>
              <w:t xml:space="preserve">8.1. Реализация регионального проекта "Разработка и реализация программы системной поддержки и повышения качества жизни граждан старшего поколения" в рамках национального проекта "Демография" в части здравоохранения</w:t>
            </w:r>
          </w:p>
        </w:tc>
        <w:tc>
          <w:tcPr>
            <w:tcW w:w="2041" w:type="dxa"/>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20,6</w:t>
            </w:r>
          </w:p>
        </w:tc>
        <w:tc>
          <w:tcPr>
            <w:tcW w:w="1417" w:type="dxa"/>
          </w:tcPr>
          <w:p>
            <w:pPr>
              <w:pStyle w:val="0"/>
              <w:jc w:val="center"/>
            </w:pPr>
            <w:r>
              <w:rPr>
                <w:sz w:val="20"/>
              </w:rPr>
              <w:t xml:space="preserve">22,2</w:t>
            </w:r>
          </w:p>
        </w:tc>
        <w:tc>
          <w:tcPr>
            <w:tcW w:w="1417" w:type="dxa"/>
          </w:tcPr>
          <w:p>
            <w:pPr>
              <w:pStyle w:val="0"/>
              <w:jc w:val="center"/>
            </w:pPr>
            <w:r>
              <w:rPr>
                <w:sz w:val="20"/>
              </w:rPr>
              <w:t xml:space="preserve">24,6</w:t>
            </w:r>
          </w:p>
        </w:tc>
        <w:tc>
          <w:tcPr>
            <w:tcW w:w="1474" w:type="dxa"/>
          </w:tcPr>
          <w:p>
            <w:pPr>
              <w:pStyle w:val="0"/>
              <w:jc w:val="center"/>
            </w:pPr>
            <w:r>
              <w:rPr>
                <w:sz w:val="20"/>
              </w:rPr>
              <w:t xml:space="preserve">24,6</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92,0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20,4</w:t>
            </w:r>
          </w:p>
        </w:tc>
        <w:tc>
          <w:tcPr>
            <w:tcW w:w="1417" w:type="dxa"/>
          </w:tcPr>
          <w:p>
            <w:pPr>
              <w:pStyle w:val="0"/>
              <w:jc w:val="center"/>
            </w:pPr>
            <w:r>
              <w:rPr>
                <w:sz w:val="20"/>
              </w:rPr>
              <w:t xml:space="preserve">22,0</w:t>
            </w:r>
          </w:p>
        </w:tc>
        <w:tc>
          <w:tcPr>
            <w:tcW w:w="1417" w:type="dxa"/>
          </w:tcPr>
          <w:p>
            <w:pPr>
              <w:pStyle w:val="0"/>
              <w:jc w:val="center"/>
            </w:pPr>
            <w:r>
              <w:rPr>
                <w:sz w:val="20"/>
              </w:rPr>
              <w:t xml:space="preserve">24,4</w:t>
            </w:r>
          </w:p>
        </w:tc>
        <w:tc>
          <w:tcPr>
            <w:tcW w:w="1474" w:type="dxa"/>
          </w:tcPr>
          <w:p>
            <w:pPr>
              <w:pStyle w:val="0"/>
              <w:jc w:val="center"/>
            </w:pPr>
            <w:r>
              <w:rPr>
                <w:sz w:val="20"/>
              </w:rPr>
              <w:t xml:space="preserve">24,4</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91,2</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0,2</w:t>
            </w:r>
          </w:p>
        </w:tc>
        <w:tc>
          <w:tcPr>
            <w:tcW w:w="1417" w:type="dxa"/>
          </w:tcPr>
          <w:p>
            <w:pPr>
              <w:pStyle w:val="0"/>
              <w:jc w:val="center"/>
            </w:pPr>
            <w:r>
              <w:rPr>
                <w:sz w:val="20"/>
              </w:rPr>
              <w:t xml:space="preserve">0,2</w:t>
            </w:r>
          </w:p>
        </w:tc>
        <w:tc>
          <w:tcPr>
            <w:tcW w:w="1417" w:type="dxa"/>
          </w:tcPr>
          <w:p>
            <w:pPr>
              <w:pStyle w:val="0"/>
              <w:jc w:val="center"/>
            </w:pPr>
            <w:r>
              <w:rPr>
                <w:sz w:val="20"/>
              </w:rPr>
              <w:t xml:space="preserve">0,2</w:t>
            </w:r>
          </w:p>
        </w:tc>
        <w:tc>
          <w:tcPr>
            <w:tcW w:w="1474" w:type="dxa"/>
          </w:tcPr>
          <w:p>
            <w:pPr>
              <w:pStyle w:val="0"/>
              <w:jc w:val="center"/>
            </w:pPr>
            <w:r>
              <w:rPr>
                <w:sz w:val="20"/>
              </w:rPr>
              <w:t xml:space="preserve">0,2</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0,8</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8.1.1.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2041" w:type="dxa"/>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20,6</w:t>
            </w:r>
          </w:p>
        </w:tc>
        <w:tc>
          <w:tcPr>
            <w:tcW w:w="1417" w:type="dxa"/>
          </w:tcPr>
          <w:p>
            <w:pPr>
              <w:pStyle w:val="0"/>
              <w:jc w:val="center"/>
            </w:pPr>
            <w:r>
              <w:rPr>
                <w:sz w:val="20"/>
              </w:rPr>
              <w:t xml:space="preserve">22,2</w:t>
            </w:r>
          </w:p>
        </w:tc>
        <w:tc>
          <w:tcPr>
            <w:tcW w:w="1417" w:type="dxa"/>
          </w:tcPr>
          <w:p>
            <w:pPr>
              <w:pStyle w:val="0"/>
              <w:jc w:val="center"/>
            </w:pPr>
            <w:r>
              <w:rPr>
                <w:sz w:val="20"/>
              </w:rPr>
              <w:t xml:space="preserve">24,6</w:t>
            </w:r>
          </w:p>
        </w:tc>
        <w:tc>
          <w:tcPr>
            <w:tcW w:w="1474" w:type="dxa"/>
          </w:tcPr>
          <w:p>
            <w:pPr>
              <w:pStyle w:val="0"/>
              <w:jc w:val="center"/>
            </w:pPr>
            <w:r>
              <w:rPr>
                <w:sz w:val="20"/>
              </w:rPr>
              <w:t xml:space="preserve">24,6</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92,0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20,4</w:t>
            </w:r>
          </w:p>
        </w:tc>
        <w:tc>
          <w:tcPr>
            <w:tcW w:w="1417" w:type="dxa"/>
          </w:tcPr>
          <w:p>
            <w:pPr>
              <w:pStyle w:val="0"/>
              <w:jc w:val="center"/>
            </w:pPr>
            <w:r>
              <w:rPr>
                <w:sz w:val="20"/>
              </w:rPr>
              <w:t xml:space="preserve">22,0</w:t>
            </w:r>
          </w:p>
        </w:tc>
        <w:tc>
          <w:tcPr>
            <w:tcW w:w="1417" w:type="dxa"/>
          </w:tcPr>
          <w:p>
            <w:pPr>
              <w:pStyle w:val="0"/>
              <w:jc w:val="center"/>
            </w:pPr>
            <w:r>
              <w:rPr>
                <w:sz w:val="20"/>
              </w:rPr>
              <w:t xml:space="preserve">24,4</w:t>
            </w:r>
          </w:p>
        </w:tc>
        <w:tc>
          <w:tcPr>
            <w:tcW w:w="1474" w:type="dxa"/>
          </w:tcPr>
          <w:p>
            <w:pPr>
              <w:pStyle w:val="0"/>
              <w:jc w:val="center"/>
            </w:pPr>
            <w:r>
              <w:rPr>
                <w:sz w:val="20"/>
              </w:rPr>
              <w:t xml:space="preserve">24,4</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91,2</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0,2</w:t>
            </w:r>
          </w:p>
        </w:tc>
        <w:tc>
          <w:tcPr>
            <w:tcW w:w="1417" w:type="dxa"/>
          </w:tcPr>
          <w:p>
            <w:pPr>
              <w:pStyle w:val="0"/>
              <w:jc w:val="center"/>
            </w:pPr>
            <w:r>
              <w:rPr>
                <w:sz w:val="20"/>
              </w:rPr>
              <w:t xml:space="preserve">0,2</w:t>
            </w:r>
          </w:p>
        </w:tc>
        <w:tc>
          <w:tcPr>
            <w:tcW w:w="1417" w:type="dxa"/>
          </w:tcPr>
          <w:p>
            <w:pPr>
              <w:pStyle w:val="0"/>
              <w:jc w:val="center"/>
            </w:pPr>
            <w:r>
              <w:rPr>
                <w:sz w:val="20"/>
              </w:rPr>
              <w:t xml:space="preserve">0,2</w:t>
            </w:r>
          </w:p>
        </w:tc>
        <w:tc>
          <w:tcPr>
            <w:tcW w:w="1474" w:type="dxa"/>
          </w:tcPr>
          <w:p>
            <w:pPr>
              <w:pStyle w:val="0"/>
              <w:jc w:val="center"/>
            </w:pPr>
            <w:r>
              <w:rPr>
                <w:sz w:val="20"/>
              </w:rPr>
              <w:t xml:space="preserve">0,2</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0,8</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8.2. Реализация регионального проекта "Развитие системы оказания первичной медико-санитарной помощи" в рамках национального проекта "Здравоохранение"</w:t>
            </w:r>
          </w:p>
        </w:tc>
        <w:tc>
          <w:tcPr>
            <w:tcW w:w="2041" w:type="dxa"/>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vMerge w:val="restart"/>
          </w:tcPr>
          <w:p>
            <w:pPr>
              <w:pStyle w:val="0"/>
              <w:jc w:val="both"/>
            </w:pPr>
            <w:r>
              <w:rPr>
                <w:sz w:val="20"/>
              </w:rPr>
              <w:t xml:space="preserve">8.2.1. Мероприятия по обеспечению закупки авиационных работ органами государственной власти города Севастополя в целях оказания медицинской помощи</w:t>
            </w:r>
          </w:p>
        </w:tc>
        <w:tc>
          <w:tcPr>
            <w:tcW w:w="2041" w:type="dxa"/>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8.3. Реализация регионального проекта "Борьба с сердечно-сосудистыми заболеваниями" в рамках национального проекта "Здравоохранение"</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114167,0</w:t>
            </w:r>
          </w:p>
        </w:tc>
        <w:tc>
          <w:tcPr>
            <w:tcW w:w="1417" w:type="dxa"/>
          </w:tcPr>
          <w:p>
            <w:pPr>
              <w:pStyle w:val="0"/>
              <w:jc w:val="center"/>
            </w:pPr>
            <w:r>
              <w:rPr>
                <w:sz w:val="20"/>
              </w:rPr>
              <w:t xml:space="preserve">60860,7</w:t>
            </w:r>
          </w:p>
        </w:tc>
        <w:tc>
          <w:tcPr>
            <w:tcW w:w="1417" w:type="dxa"/>
          </w:tcPr>
          <w:p>
            <w:pPr>
              <w:pStyle w:val="0"/>
              <w:jc w:val="center"/>
            </w:pPr>
            <w:r>
              <w:rPr>
                <w:sz w:val="20"/>
              </w:rPr>
              <w:t xml:space="preserve">93813,3</w:t>
            </w:r>
          </w:p>
        </w:tc>
        <w:tc>
          <w:tcPr>
            <w:tcW w:w="1474" w:type="dxa"/>
          </w:tcPr>
          <w:p>
            <w:pPr>
              <w:pStyle w:val="0"/>
              <w:jc w:val="center"/>
            </w:pPr>
            <w:r>
              <w:rPr>
                <w:sz w:val="20"/>
              </w:rPr>
              <w:t xml:space="preserve">40284,4</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309125,4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113732,6</w:t>
            </w:r>
          </w:p>
        </w:tc>
        <w:tc>
          <w:tcPr>
            <w:tcW w:w="1417" w:type="dxa"/>
          </w:tcPr>
          <w:p>
            <w:pPr>
              <w:pStyle w:val="0"/>
              <w:jc w:val="center"/>
            </w:pPr>
            <w:r>
              <w:rPr>
                <w:sz w:val="20"/>
              </w:rPr>
              <w:t xml:space="preserve">60528,6</w:t>
            </w:r>
          </w:p>
        </w:tc>
        <w:tc>
          <w:tcPr>
            <w:tcW w:w="1417" w:type="dxa"/>
          </w:tcPr>
          <w:p>
            <w:pPr>
              <w:pStyle w:val="0"/>
              <w:jc w:val="center"/>
            </w:pPr>
            <w:r>
              <w:rPr>
                <w:sz w:val="20"/>
              </w:rPr>
              <w:t xml:space="preserve">92875,2</w:t>
            </w:r>
          </w:p>
        </w:tc>
        <w:tc>
          <w:tcPr>
            <w:tcW w:w="1474" w:type="dxa"/>
          </w:tcPr>
          <w:p>
            <w:pPr>
              <w:pStyle w:val="0"/>
              <w:jc w:val="center"/>
            </w:pPr>
            <w:r>
              <w:rPr>
                <w:sz w:val="20"/>
              </w:rPr>
              <w:t xml:space="preserve">39881,6</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307018,0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434,4</w:t>
            </w:r>
          </w:p>
        </w:tc>
        <w:tc>
          <w:tcPr>
            <w:tcW w:w="1417" w:type="dxa"/>
          </w:tcPr>
          <w:p>
            <w:pPr>
              <w:pStyle w:val="0"/>
              <w:jc w:val="center"/>
            </w:pPr>
            <w:r>
              <w:rPr>
                <w:sz w:val="20"/>
              </w:rPr>
              <w:t xml:space="preserve">332,1</w:t>
            </w:r>
          </w:p>
        </w:tc>
        <w:tc>
          <w:tcPr>
            <w:tcW w:w="1417" w:type="dxa"/>
          </w:tcPr>
          <w:p>
            <w:pPr>
              <w:pStyle w:val="0"/>
              <w:jc w:val="center"/>
            </w:pPr>
            <w:r>
              <w:rPr>
                <w:sz w:val="20"/>
              </w:rPr>
              <w:t xml:space="preserve">938,1</w:t>
            </w:r>
          </w:p>
        </w:tc>
        <w:tc>
          <w:tcPr>
            <w:tcW w:w="1474" w:type="dxa"/>
          </w:tcPr>
          <w:p>
            <w:pPr>
              <w:pStyle w:val="0"/>
              <w:jc w:val="center"/>
            </w:pPr>
            <w:r>
              <w:rPr>
                <w:sz w:val="20"/>
              </w:rPr>
              <w:t xml:space="preserve">402,8</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2107,4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92"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3458" w:type="dxa"/>
            <w:tcBorders>
              <w:bottom w:val="nil"/>
            </w:tcBorders>
            <w:vMerge w:val="restart"/>
          </w:tcPr>
          <w:p>
            <w:pPr>
              <w:pStyle w:val="0"/>
              <w:jc w:val="both"/>
            </w:pPr>
            <w:r>
              <w:rPr>
                <w:sz w:val="20"/>
              </w:rPr>
              <w:t xml:space="preserve">8.3.1. Оснащение оборудованием региональных сосудистых центров и первичных сосудистых отделений</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70725,0</w:t>
            </w:r>
          </w:p>
        </w:tc>
        <w:tc>
          <w:tcPr>
            <w:tcW w:w="1417" w:type="dxa"/>
          </w:tcPr>
          <w:p>
            <w:pPr>
              <w:pStyle w:val="0"/>
              <w:jc w:val="center"/>
            </w:pPr>
            <w:r>
              <w:rPr>
                <w:sz w:val="20"/>
              </w:rPr>
              <w:t xml:space="preserve">27647,0</w:t>
            </w:r>
          </w:p>
        </w:tc>
        <w:tc>
          <w:tcPr>
            <w:tcW w:w="1417" w:type="dxa"/>
          </w:tcPr>
          <w:p>
            <w:pPr>
              <w:pStyle w:val="0"/>
              <w:jc w:val="center"/>
            </w:pPr>
            <w:r>
              <w:rPr>
                <w:sz w:val="20"/>
              </w:rPr>
              <w:t xml:space="preserve">53528,9</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151900,9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70725,0</w:t>
            </w:r>
          </w:p>
        </w:tc>
        <w:tc>
          <w:tcPr>
            <w:tcW w:w="1417" w:type="dxa"/>
          </w:tcPr>
          <w:p>
            <w:pPr>
              <w:pStyle w:val="0"/>
              <w:jc w:val="center"/>
            </w:pPr>
            <w:r>
              <w:rPr>
                <w:sz w:val="20"/>
              </w:rPr>
              <w:t xml:space="preserve">27647,0</w:t>
            </w:r>
          </w:p>
        </w:tc>
        <w:tc>
          <w:tcPr>
            <w:tcW w:w="1417" w:type="dxa"/>
          </w:tcPr>
          <w:p>
            <w:pPr>
              <w:pStyle w:val="0"/>
              <w:jc w:val="center"/>
            </w:pPr>
            <w:r>
              <w:rPr>
                <w:sz w:val="20"/>
              </w:rPr>
              <w:t xml:space="preserve">52993,6</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151365,6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535,3</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535,3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93"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3458" w:type="dxa"/>
            <w:tcBorders>
              <w:bottom w:val="nil"/>
            </w:tcBorders>
            <w:vMerge w:val="restart"/>
          </w:tcPr>
          <w:p>
            <w:pPr>
              <w:pStyle w:val="0"/>
              <w:jc w:val="both"/>
            </w:pPr>
            <w:r>
              <w:rPr>
                <w:sz w:val="20"/>
              </w:rPr>
              <w:t xml:space="preserve">8.3.2.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43442,0</w:t>
            </w:r>
          </w:p>
        </w:tc>
        <w:tc>
          <w:tcPr>
            <w:tcW w:w="1417" w:type="dxa"/>
          </w:tcPr>
          <w:p>
            <w:pPr>
              <w:pStyle w:val="0"/>
              <w:jc w:val="center"/>
            </w:pPr>
            <w:r>
              <w:rPr>
                <w:sz w:val="20"/>
              </w:rPr>
              <w:t xml:space="preserve">33213,7</w:t>
            </w:r>
          </w:p>
        </w:tc>
        <w:tc>
          <w:tcPr>
            <w:tcW w:w="1417" w:type="dxa"/>
          </w:tcPr>
          <w:p>
            <w:pPr>
              <w:pStyle w:val="0"/>
              <w:jc w:val="center"/>
            </w:pPr>
            <w:r>
              <w:rPr>
                <w:sz w:val="20"/>
              </w:rPr>
              <w:t xml:space="preserve">40284,4</w:t>
            </w:r>
          </w:p>
        </w:tc>
        <w:tc>
          <w:tcPr>
            <w:tcW w:w="1474" w:type="dxa"/>
          </w:tcPr>
          <w:p>
            <w:pPr>
              <w:pStyle w:val="0"/>
              <w:jc w:val="center"/>
            </w:pPr>
            <w:r>
              <w:rPr>
                <w:sz w:val="20"/>
              </w:rPr>
              <w:t xml:space="preserve">40284,4</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157224,5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43007,6</w:t>
            </w:r>
          </w:p>
        </w:tc>
        <w:tc>
          <w:tcPr>
            <w:tcW w:w="1417" w:type="dxa"/>
          </w:tcPr>
          <w:p>
            <w:pPr>
              <w:pStyle w:val="0"/>
              <w:jc w:val="center"/>
            </w:pPr>
            <w:r>
              <w:rPr>
                <w:sz w:val="20"/>
              </w:rPr>
              <w:t xml:space="preserve">32881,6</w:t>
            </w:r>
          </w:p>
        </w:tc>
        <w:tc>
          <w:tcPr>
            <w:tcW w:w="1417" w:type="dxa"/>
          </w:tcPr>
          <w:p>
            <w:pPr>
              <w:pStyle w:val="0"/>
              <w:jc w:val="center"/>
            </w:pPr>
            <w:r>
              <w:rPr>
                <w:sz w:val="20"/>
              </w:rPr>
              <w:t xml:space="preserve">39881,6</w:t>
            </w:r>
          </w:p>
        </w:tc>
        <w:tc>
          <w:tcPr>
            <w:tcW w:w="1474" w:type="dxa"/>
          </w:tcPr>
          <w:p>
            <w:pPr>
              <w:pStyle w:val="0"/>
              <w:jc w:val="center"/>
            </w:pPr>
            <w:r>
              <w:rPr>
                <w:sz w:val="20"/>
              </w:rPr>
              <w:t xml:space="preserve">39881,6</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155652,4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434,4</w:t>
            </w:r>
          </w:p>
        </w:tc>
        <w:tc>
          <w:tcPr>
            <w:tcW w:w="1417" w:type="dxa"/>
          </w:tcPr>
          <w:p>
            <w:pPr>
              <w:pStyle w:val="0"/>
              <w:jc w:val="center"/>
            </w:pPr>
            <w:r>
              <w:rPr>
                <w:sz w:val="20"/>
              </w:rPr>
              <w:t xml:space="preserve">332,1</w:t>
            </w:r>
          </w:p>
        </w:tc>
        <w:tc>
          <w:tcPr>
            <w:tcW w:w="1417" w:type="dxa"/>
          </w:tcPr>
          <w:p>
            <w:pPr>
              <w:pStyle w:val="0"/>
              <w:jc w:val="center"/>
            </w:pPr>
            <w:r>
              <w:rPr>
                <w:sz w:val="20"/>
              </w:rPr>
              <w:t xml:space="preserve">402,8</w:t>
            </w:r>
          </w:p>
        </w:tc>
        <w:tc>
          <w:tcPr>
            <w:tcW w:w="1474" w:type="dxa"/>
          </w:tcPr>
          <w:p>
            <w:pPr>
              <w:pStyle w:val="0"/>
              <w:jc w:val="center"/>
            </w:pPr>
            <w:r>
              <w:rPr>
                <w:sz w:val="20"/>
              </w:rPr>
              <w:t xml:space="preserve">402,8</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1572,1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9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8.4. Реализация регионального проекта "Борьба с онкологическими заболеваниями" в рамках национального проекта "Здравоохранение"</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117558,2</w:t>
            </w:r>
          </w:p>
        </w:tc>
        <w:tc>
          <w:tcPr>
            <w:tcW w:w="1417" w:type="dxa"/>
          </w:tcPr>
          <w:p>
            <w:pPr>
              <w:pStyle w:val="0"/>
              <w:jc w:val="center"/>
            </w:pPr>
            <w:r>
              <w:rPr>
                <w:sz w:val="20"/>
              </w:rPr>
              <w:t xml:space="preserve">40766,7</w:t>
            </w:r>
          </w:p>
        </w:tc>
        <w:tc>
          <w:tcPr>
            <w:tcW w:w="1417" w:type="dxa"/>
          </w:tcPr>
          <w:p>
            <w:pPr>
              <w:pStyle w:val="0"/>
              <w:jc w:val="center"/>
            </w:pPr>
            <w:r>
              <w:rPr>
                <w:sz w:val="20"/>
              </w:rPr>
              <w:t xml:space="preserve">29522,1</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187847,0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117558,2</w:t>
            </w:r>
          </w:p>
        </w:tc>
        <w:tc>
          <w:tcPr>
            <w:tcW w:w="1417" w:type="dxa"/>
          </w:tcPr>
          <w:p>
            <w:pPr>
              <w:pStyle w:val="0"/>
              <w:jc w:val="center"/>
            </w:pPr>
            <w:r>
              <w:rPr>
                <w:sz w:val="20"/>
              </w:rPr>
              <w:t xml:space="preserve">40766,7</w:t>
            </w:r>
          </w:p>
        </w:tc>
        <w:tc>
          <w:tcPr>
            <w:tcW w:w="1417" w:type="dxa"/>
          </w:tcPr>
          <w:p>
            <w:pPr>
              <w:pStyle w:val="0"/>
              <w:jc w:val="center"/>
            </w:pPr>
            <w:r>
              <w:rPr>
                <w:sz w:val="20"/>
              </w:rPr>
              <w:t xml:space="preserve">29226,9</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187551,8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295,2</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295,2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9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vMerge w:val="restart"/>
          </w:tcPr>
          <w:p>
            <w:pPr>
              <w:pStyle w:val="0"/>
              <w:jc w:val="both"/>
            </w:pPr>
            <w:r>
              <w:rPr>
                <w:sz w:val="20"/>
              </w:rPr>
              <w:t xml:space="preserve">8.5. Реализация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в рамках национального проекта "Здравоохранение"</w:t>
            </w:r>
          </w:p>
        </w:tc>
        <w:tc>
          <w:tcPr>
            <w:tcW w:w="2041" w:type="dxa"/>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31831,1</w:t>
            </w:r>
          </w:p>
        </w:tc>
        <w:tc>
          <w:tcPr>
            <w:tcW w:w="1417" w:type="dxa"/>
          </w:tcPr>
          <w:p>
            <w:pPr>
              <w:pStyle w:val="0"/>
              <w:jc w:val="center"/>
            </w:pPr>
            <w:r>
              <w:rPr>
                <w:sz w:val="20"/>
              </w:rPr>
              <w:t xml:space="preserve">30431,1</w:t>
            </w:r>
          </w:p>
        </w:tc>
        <w:tc>
          <w:tcPr>
            <w:tcW w:w="1417" w:type="dxa"/>
          </w:tcPr>
          <w:p>
            <w:pPr>
              <w:pStyle w:val="0"/>
              <w:jc w:val="center"/>
            </w:pPr>
            <w:r>
              <w:rPr>
                <w:sz w:val="20"/>
              </w:rPr>
              <w:t xml:space="preserve">32797,4</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95059,6</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31512,8</w:t>
            </w:r>
          </w:p>
        </w:tc>
        <w:tc>
          <w:tcPr>
            <w:tcW w:w="1417" w:type="dxa"/>
          </w:tcPr>
          <w:p>
            <w:pPr>
              <w:pStyle w:val="0"/>
              <w:jc w:val="center"/>
            </w:pPr>
            <w:r>
              <w:rPr>
                <w:sz w:val="20"/>
              </w:rPr>
              <w:t xml:space="preserve">30126,8</w:t>
            </w:r>
          </w:p>
        </w:tc>
        <w:tc>
          <w:tcPr>
            <w:tcW w:w="1417" w:type="dxa"/>
          </w:tcPr>
          <w:p>
            <w:pPr>
              <w:pStyle w:val="0"/>
              <w:jc w:val="center"/>
            </w:pPr>
            <w:r>
              <w:rPr>
                <w:sz w:val="20"/>
              </w:rPr>
              <w:t xml:space="preserve">32469,4</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94109,0</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318,3</w:t>
            </w:r>
          </w:p>
        </w:tc>
        <w:tc>
          <w:tcPr>
            <w:tcW w:w="1417" w:type="dxa"/>
          </w:tcPr>
          <w:p>
            <w:pPr>
              <w:pStyle w:val="0"/>
              <w:jc w:val="center"/>
            </w:pPr>
            <w:r>
              <w:rPr>
                <w:sz w:val="20"/>
              </w:rPr>
              <w:t xml:space="preserve">304,3</w:t>
            </w:r>
          </w:p>
        </w:tc>
        <w:tc>
          <w:tcPr>
            <w:tcW w:w="1417" w:type="dxa"/>
          </w:tcPr>
          <w:p>
            <w:pPr>
              <w:pStyle w:val="0"/>
              <w:jc w:val="center"/>
            </w:pPr>
            <w:r>
              <w:rPr>
                <w:sz w:val="20"/>
              </w:rPr>
              <w:t xml:space="preserve">328,0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950,6</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8.6. Реализация регионального проекта "Модернизация первичного звена здравоохранения Российской Федерации"</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282403,1</w:t>
            </w:r>
          </w:p>
        </w:tc>
        <w:tc>
          <w:tcPr>
            <w:tcW w:w="1417" w:type="dxa"/>
          </w:tcPr>
          <w:p>
            <w:pPr>
              <w:pStyle w:val="0"/>
              <w:jc w:val="center"/>
            </w:pPr>
            <w:r>
              <w:rPr>
                <w:sz w:val="20"/>
              </w:rPr>
              <w:t xml:space="preserve">269940,4</w:t>
            </w:r>
          </w:p>
        </w:tc>
        <w:tc>
          <w:tcPr>
            <w:tcW w:w="1417" w:type="dxa"/>
          </w:tcPr>
          <w:p>
            <w:pPr>
              <w:pStyle w:val="0"/>
              <w:jc w:val="center"/>
            </w:pPr>
            <w:r>
              <w:rPr>
                <w:sz w:val="20"/>
              </w:rPr>
              <w:t xml:space="preserve">267427,8</w:t>
            </w:r>
          </w:p>
        </w:tc>
        <w:tc>
          <w:tcPr>
            <w:tcW w:w="1474" w:type="dxa"/>
          </w:tcPr>
          <w:p>
            <w:pPr>
              <w:pStyle w:val="0"/>
              <w:jc w:val="center"/>
            </w:pPr>
            <w:r>
              <w:rPr>
                <w:sz w:val="20"/>
              </w:rPr>
              <w:t xml:space="preserve">401141,6</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1422039,5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261403,6</w:t>
            </w:r>
          </w:p>
        </w:tc>
        <w:tc>
          <w:tcPr>
            <w:tcW w:w="1417" w:type="dxa"/>
          </w:tcPr>
          <w:p>
            <w:pPr>
              <w:pStyle w:val="0"/>
              <w:jc w:val="center"/>
            </w:pPr>
            <w:r>
              <w:rPr>
                <w:sz w:val="20"/>
              </w:rPr>
              <w:t xml:space="preserve">261403,6</w:t>
            </w:r>
          </w:p>
        </w:tc>
        <w:tc>
          <w:tcPr>
            <w:tcW w:w="1417" w:type="dxa"/>
          </w:tcPr>
          <w:p>
            <w:pPr>
              <w:pStyle w:val="0"/>
              <w:jc w:val="center"/>
            </w:pPr>
            <w:r>
              <w:rPr>
                <w:sz w:val="20"/>
              </w:rPr>
              <w:t xml:space="preserve">261403,6</w:t>
            </w:r>
          </w:p>
        </w:tc>
        <w:tc>
          <w:tcPr>
            <w:tcW w:w="1474" w:type="dxa"/>
          </w:tcPr>
          <w:p>
            <w:pPr>
              <w:pStyle w:val="0"/>
              <w:jc w:val="center"/>
            </w:pPr>
            <w:r>
              <w:rPr>
                <w:sz w:val="20"/>
              </w:rPr>
              <w:t xml:space="preserve">392105,5</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1176316,3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20999,5</w:t>
            </w:r>
          </w:p>
        </w:tc>
        <w:tc>
          <w:tcPr>
            <w:tcW w:w="1417" w:type="dxa"/>
          </w:tcPr>
          <w:p>
            <w:pPr>
              <w:pStyle w:val="0"/>
              <w:jc w:val="center"/>
            </w:pPr>
            <w:r>
              <w:rPr>
                <w:sz w:val="20"/>
              </w:rPr>
              <w:t xml:space="preserve">8536,8</w:t>
            </w:r>
          </w:p>
        </w:tc>
        <w:tc>
          <w:tcPr>
            <w:tcW w:w="1417" w:type="dxa"/>
          </w:tcPr>
          <w:p>
            <w:pPr>
              <w:pStyle w:val="0"/>
              <w:jc w:val="center"/>
            </w:pPr>
            <w:r>
              <w:rPr>
                <w:sz w:val="20"/>
              </w:rPr>
              <w:t xml:space="preserve">6024,2</w:t>
            </w:r>
          </w:p>
        </w:tc>
        <w:tc>
          <w:tcPr>
            <w:tcW w:w="1474" w:type="dxa"/>
          </w:tcPr>
          <w:p>
            <w:pPr>
              <w:pStyle w:val="0"/>
              <w:jc w:val="center"/>
            </w:pPr>
            <w:r>
              <w:rPr>
                <w:sz w:val="20"/>
              </w:rPr>
              <w:t xml:space="preserve">9036,1</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245723,2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w:t>
            </w:r>
          </w:p>
        </w:tc>
        <w:tc>
          <w:tcPr>
            <w:tcW w:w="1417" w:type="dxa"/>
          </w:tcPr>
          <w:p>
            <w:pPr>
              <w:pStyle w:val="0"/>
              <w:jc w:val="center"/>
            </w:pPr>
            <w:r>
              <w:rPr>
                <w:sz w:val="20"/>
              </w:rPr>
              <w:t xml:space="preserve">6024,2</w:t>
            </w:r>
          </w:p>
        </w:tc>
        <w:tc>
          <w:tcPr>
            <w:tcW w:w="1417" w:type="dxa"/>
          </w:tcPr>
          <w:p>
            <w:pPr>
              <w:pStyle w:val="0"/>
              <w:jc w:val="center"/>
            </w:pPr>
            <w:r>
              <w:rPr>
                <w:sz w:val="20"/>
              </w:rPr>
              <w:t xml:space="preserve">6024,2</w:t>
            </w:r>
          </w:p>
        </w:tc>
        <w:tc>
          <w:tcPr>
            <w:tcW w:w="1417" w:type="dxa"/>
          </w:tcPr>
          <w:p>
            <w:pPr>
              <w:pStyle w:val="0"/>
              <w:jc w:val="center"/>
            </w:pPr>
            <w:r>
              <w:rPr>
                <w:sz w:val="20"/>
              </w:rPr>
              <w:t xml:space="preserve">6024,2</w:t>
            </w:r>
          </w:p>
        </w:tc>
        <w:tc>
          <w:tcPr>
            <w:tcW w:w="1474" w:type="dxa"/>
          </w:tcPr>
          <w:p>
            <w:pPr>
              <w:pStyle w:val="0"/>
              <w:jc w:val="center"/>
            </w:pPr>
            <w:r>
              <w:rPr>
                <w:sz w:val="20"/>
              </w:rPr>
              <w:t xml:space="preserve">9036,1</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27108,7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14975,3</w:t>
            </w:r>
          </w:p>
        </w:tc>
        <w:tc>
          <w:tcPr>
            <w:tcW w:w="1417" w:type="dxa"/>
          </w:tcPr>
          <w:p>
            <w:pPr>
              <w:pStyle w:val="0"/>
              <w:jc w:val="center"/>
            </w:pPr>
            <w:r>
              <w:rPr>
                <w:sz w:val="20"/>
              </w:rPr>
              <w:t xml:space="preserve">2512,6</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218614,5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9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8.6.1. Строительство новых объектов</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212403,1</w:t>
            </w:r>
          </w:p>
        </w:tc>
        <w:tc>
          <w:tcPr>
            <w:tcW w:w="1417" w:type="dxa"/>
          </w:tcPr>
          <w:p>
            <w:pPr>
              <w:pStyle w:val="0"/>
              <w:jc w:val="center"/>
            </w:pPr>
            <w:r>
              <w:rPr>
                <w:sz w:val="20"/>
              </w:rPr>
              <w:t xml:space="preserve">269940,4</w:t>
            </w:r>
          </w:p>
        </w:tc>
        <w:tc>
          <w:tcPr>
            <w:tcW w:w="1417" w:type="dxa"/>
          </w:tcPr>
          <w:p>
            <w:pPr>
              <w:pStyle w:val="0"/>
              <w:jc w:val="center"/>
            </w:pPr>
            <w:r>
              <w:rPr>
                <w:sz w:val="20"/>
              </w:rPr>
              <w:t xml:space="preserve">267427,8</w:t>
            </w:r>
          </w:p>
        </w:tc>
        <w:tc>
          <w:tcPr>
            <w:tcW w:w="1474" w:type="dxa"/>
          </w:tcPr>
          <w:p>
            <w:pPr>
              <w:pStyle w:val="0"/>
              <w:jc w:val="center"/>
            </w:pPr>
            <w:r>
              <w:rPr>
                <w:sz w:val="20"/>
              </w:rPr>
              <w:t xml:space="preserve">341141,6</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1292039,5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192980,5</w:t>
            </w:r>
          </w:p>
        </w:tc>
        <w:tc>
          <w:tcPr>
            <w:tcW w:w="1417" w:type="dxa"/>
          </w:tcPr>
          <w:p>
            <w:pPr>
              <w:pStyle w:val="0"/>
              <w:jc w:val="center"/>
            </w:pPr>
            <w:r>
              <w:rPr>
                <w:sz w:val="20"/>
              </w:rPr>
              <w:t xml:space="preserve">261403,6</w:t>
            </w:r>
          </w:p>
        </w:tc>
        <w:tc>
          <w:tcPr>
            <w:tcW w:w="1417" w:type="dxa"/>
          </w:tcPr>
          <w:p>
            <w:pPr>
              <w:pStyle w:val="0"/>
              <w:jc w:val="center"/>
            </w:pPr>
            <w:r>
              <w:rPr>
                <w:sz w:val="20"/>
              </w:rPr>
              <w:t xml:space="preserve">261403,6</w:t>
            </w:r>
          </w:p>
        </w:tc>
        <w:tc>
          <w:tcPr>
            <w:tcW w:w="1474" w:type="dxa"/>
          </w:tcPr>
          <w:p>
            <w:pPr>
              <w:pStyle w:val="0"/>
              <w:jc w:val="center"/>
            </w:pPr>
            <w:r>
              <w:rPr>
                <w:sz w:val="20"/>
              </w:rPr>
              <w:t xml:space="preserve">333457,0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1049244,7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19422,6</w:t>
            </w:r>
          </w:p>
        </w:tc>
        <w:tc>
          <w:tcPr>
            <w:tcW w:w="1417" w:type="dxa"/>
          </w:tcPr>
          <w:p>
            <w:pPr>
              <w:pStyle w:val="0"/>
              <w:jc w:val="center"/>
            </w:pPr>
            <w:r>
              <w:rPr>
                <w:sz w:val="20"/>
              </w:rPr>
              <w:t xml:space="preserve">8536,8</w:t>
            </w:r>
          </w:p>
        </w:tc>
        <w:tc>
          <w:tcPr>
            <w:tcW w:w="1417" w:type="dxa"/>
          </w:tcPr>
          <w:p>
            <w:pPr>
              <w:pStyle w:val="0"/>
              <w:jc w:val="center"/>
            </w:pPr>
            <w:r>
              <w:rPr>
                <w:sz w:val="20"/>
              </w:rPr>
              <w:t xml:space="preserve">6024,2</w:t>
            </w:r>
          </w:p>
        </w:tc>
        <w:tc>
          <w:tcPr>
            <w:tcW w:w="1474" w:type="dxa"/>
          </w:tcPr>
          <w:p>
            <w:pPr>
              <w:pStyle w:val="0"/>
              <w:jc w:val="center"/>
            </w:pPr>
            <w:r>
              <w:rPr>
                <w:sz w:val="20"/>
              </w:rPr>
              <w:t xml:space="preserve">7684,6</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242794,8</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w:t>
            </w:r>
          </w:p>
        </w:tc>
        <w:tc>
          <w:tcPr>
            <w:tcW w:w="1417" w:type="dxa"/>
          </w:tcPr>
          <w:p>
            <w:pPr>
              <w:pStyle w:val="0"/>
              <w:jc w:val="center"/>
            </w:pPr>
            <w:r>
              <w:rPr>
                <w:sz w:val="20"/>
              </w:rPr>
              <w:t xml:space="preserve">4447,3</w:t>
            </w:r>
          </w:p>
        </w:tc>
        <w:tc>
          <w:tcPr>
            <w:tcW w:w="1417" w:type="dxa"/>
          </w:tcPr>
          <w:p>
            <w:pPr>
              <w:pStyle w:val="0"/>
              <w:jc w:val="center"/>
            </w:pPr>
            <w:r>
              <w:rPr>
                <w:sz w:val="20"/>
              </w:rPr>
              <w:t xml:space="preserve">6024,2</w:t>
            </w:r>
          </w:p>
        </w:tc>
        <w:tc>
          <w:tcPr>
            <w:tcW w:w="1417" w:type="dxa"/>
          </w:tcPr>
          <w:p>
            <w:pPr>
              <w:pStyle w:val="0"/>
              <w:jc w:val="center"/>
            </w:pPr>
            <w:r>
              <w:rPr>
                <w:sz w:val="20"/>
              </w:rPr>
              <w:t xml:space="preserve">6024,2</w:t>
            </w:r>
          </w:p>
        </w:tc>
        <w:tc>
          <w:tcPr>
            <w:tcW w:w="1474" w:type="dxa"/>
          </w:tcPr>
          <w:p>
            <w:pPr>
              <w:pStyle w:val="0"/>
              <w:jc w:val="center"/>
            </w:pPr>
            <w:r>
              <w:rPr>
                <w:sz w:val="20"/>
              </w:rPr>
              <w:t xml:space="preserve">7684,6</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24180,3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14975,3</w:t>
            </w:r>
          </w:p>
        </w:tc>
        <w:tc>
          <w:tcPr>
            <w:tcW w:w="1417" w:type="dxa"/>
          </w:tcPr>
          <w:p>
            <w:pPr>
              <w:pStyle w:val="0"/>
              <w:jc w:val="center"/>
            </w:pPr>
            <w:r>
              <w:rPr>
                <w:sz w:val="20"/>
              </w:rPr>
              <w:t xml:space="preserve">2512,6</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218614,5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9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8.6.1.1. Поликлиника ГБУЗС "Городская больница N 1 им. Н.И. Пирогова" на 400 посещений в смену</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126138,4</w:t>
            </w:r>
          </w:p>
        </w:tc>
        <w:tc>
          <w:tcPr>
            <w:tcW w:w="1417" w:type="dxa"/>
          </w:tcPr>
          <w:p>
            <w:pPr>
              <w:pStyle w:val="0"/>
              <w:jc w:val="center"/>
            </w:pPr>
            <w:r>
              <w:rPr>
                <w:sz w:val="20"/>
              </w:rPr>
              <w:t xml:space="preserve">208889,3</w:t>
            </w:r>
          </w:p>
        </w:tc>
        <w:tc>
          <w:tcPr>
            <w:tcW w:w="1417" w:type="dxa"/>
          </w:tcPr>
          <w:p>
            <w:pPr>
              <w:pStyle w:val="0"/>
              <w:jc w:val="center"/>
            </w:pPr>
            <w:r>
              <w:rPr>
                <w:sz w:val="20"/>
              </w:rPr>
              <w:t xml:space="preserve">267427,8</w:t>
            </w:r>
          </w:p>
        </w:tc>
        <w:tc>
          <w:tcPr>
            <w:tcW w:w="1474" w:type="dxa"/>
          </w:tcPr>
          <w:p>
            <w:pPr>
              <w:pStyle w:val="0"/>
              <w:jc w:val="center"/>
            </w:pPr>
            <w:r>
              <w:rPr>
                <w:sz w:val="20"/>
              </w:rPr>
              <w:t xml:space="preserve">341141,6</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943597,1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114782,6</w:t>
            </w:r>
          </w:p>
        </w:tc>
        <w:tc>
          <w:tcPr>
            <w:tcW w:w="1417" w:type="dxa"/>
          </w:tcPr>
          <w:p>
            <w:pPr>
              <w:pStyle w:val="0"/>
              <w:jc w:val="center"/>
            </w:pPr>
            <w:r>
              <w:rPr>
                <w:sz w:val="20"/>
              </w:rPr>
              <w:t xml:space="preserve">202755,2</w:t>
            </w:r>
          </w:p>
        </w:tc>
        <w:tc>
          <w:tcPr>
            <w:tcW w:w="1417" w:type="dxa"/>
          </w:tcPr>
          <w:p>
            <w:pPr>
              <w:pStyle w:val="0"/>
              <w:jc w:val="center"/>
            </w:pPr>
            <w:r>
              <w:rPr>
                <w:sz w:val="20"/>
              </w:rPr>
              <w:t xml:space="preserve">261403,6</w:t>
            </w:r>
          </w:p>
        </w:tc>
        <w:tc>
          <w:tcPr>
            <w:tcW w:w="1474" w:type="dxa"/>
          </w:tcPr>
          <w:p>
            <w:pPr>
              <w:pStyle w:val="0"/>
              <w:jc w:val="center"/>
            </w:pPr>
            <w:r>
              <w:rPr>
                <w:sz w:val="20"/>
              </w:rPr>
              <w:t xml:space="preserve">333457,0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912398,4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11355,8</w:t>
            </w:r>
          </w:p>
        </w:tc>
        <w:tc>
          <w:tcPr>
            <w:tcW w:w="1417" w:type="dxa"/>
          </w:tcPr>
          <w:p>
            <w:pPr>
              <w:pStyle w:val="0"/>
              <w:jc w:val="center"/>
            </w:pPr>
            <w:r>
              <w:rPr>
                <w:sz w:val="20"/>
              </w:rPr>
              <w:t xml:space="preserve">6134,1</w:t>
            </w:r>
          </w:p>
        </w:tc>
        <w:tc>
          <w:tcPr>
            <w:tcW w:w="1417" w:type="dxa"/>
          </w:tcPr>
          <w:p>
            <w:pPr>
              <w:pStyle w:val="0"/>
              <w:jc w:val="center"/>
            </w:pPr>
            <w:r>
              <w:rPr>
                <w:sz w:val="20"/>
              </w:rPr>
              <w:t xml:space="preserve">6024,2</w:t>
            </w:r>
          </w:p>
        </w:tc>
        <w:tc>
          <w:tcPr>
            <w:tcW w:w="1474" w:type="dxa"/>
          </w:tcPr>
          <w:p>
            <w:pPr>
              <w:pStyle w:val="0"/>
              <w:jc w:val="center"/>
            </w:pPr>
            <w:r>
              <w:rPr>
                <w:sz w:val="20"/>
              </w:rPr>
              <w:t xml:space="preserve">7684,6</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31198,7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w:t>
            </w:r>
          </w:p>
        </w:tc>
        <w:tc>
          <w:tcPr>
            <w:tcW w:w="1417" w:type="dxa"/>
          </w:tcPr>
          <w:p>
            <w:pPr>
              <w:pStyle w:val="0"/>
              <w:jc w:val="center"/>
            </w:pPr>
            <w:r>
              <w:rPr>
                <w:sz w:val="20"/>
              </w:rPr>
              <w:t xml:space="preserve">2645,2</w:t>
            </w:r>
          </w:p>
        </w:tc>
        <w:tc>
          <w:tcPr>
            <w:tcW w:w="1417" w:type="dxa"/>
          </w:tcPr>
          <w:p>
            <w:pPr>
              <w:pStyle w:val="0"/>
              <w:jc w:val="center"/>
            </w:pPr>
            <w:r>
              <w:rPr>
                <w:sz w:val="20"/>
              </w:rPr>
              <w:t xml:space="preserve">4672,6</w:t>
            </w:r>
          </w:p>
        </w:tc>
        <w:tc>
          <w:tcPr>
            <w:tcW w:w="1417" w:type="dxa"/>
          </w:tcPr>
          <w:p>
            <w:pPr>
              <w:pStyle w:val="0"/>
              <w:jc w:val="center"/>
            </w:pPr>
            <w:r>
              <w:rPr>
                <w:sz w:val="20"/>
              </w:rPr>
              <w:t xml:space="preserve">6024,2</w:t>
            </w:r>
          </w:p>
        </w:tc>
        <w:tc>
          <w:tcPr>
            <w:tcW w:w="1474" w:type="dxa"/>
          </w:tcPr>
          <w:p>
            <w:pPr>
              <w:pStyle w:val="0"/>
              <w:jc w:val="center"/>
            </w:pPr>
            <w:r>
              <w:rPr>
                <w:sz w:val="20"/>
              </w:rPr>
              <w:t xml:space="preserve">7684,6</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21026,6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8710,6</w:t>
            </w:r>
          </w:p>
        </w:tc>
        <w:tc>
          <w:tcPr>
            <w:tcW w:w="1417" w:type="dxa"/>
          </w:tcPr>
          <w:p>
            <w:pPr>
              <w:pStyle w:val="0"/>
              <w:jc w:val="center"/>
            </w:pPr>
            <w:r>
              <w:rPr>
                <w:sz w:val="20"/>
              </w:rPr>
              <w:t xml:space="preserve">1461,5</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10172,1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9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8.6.1.2. Врачебная амбулатория ГБУЗС "Городская больница N 1 им. Н.И. Пирогова" на 100 посещений в смену</w:t>
            </w:r>
          </w:p>
        </w:tc>
        <w:tc>
          <w:tcPr>
            <w:tcW w:w="2041" w:type="dxa"/>
            <w:tcBorders>
              <w:bottom w:val="nil"/>
            </w:tcBorders>
            <w:vMerge w:val="restart"/>
          </w:tcPr>
          <w:p>
            <w:pPr>
              <w:pStyle w:val="0"/>
              <w:jc w:val="both"/>
            </w:pPr>
            <w:r>
              <w:rPr>
                <w:sz w:val="20"/>
              </w:rPr>
              <w:t xml:space="preserve">Департамент капитального строительства города Севастополя, ГКУГС "ЕДКС"</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86264,7</w:t>
            </w:r>
          </w:p>
        </w:tc>
        <w:tc>
          <w:tcPr>
            <w:tcW w:w="1417" w:type="dxa"/>
          </w:tcPr>
          <w:p>
            <w:pPr>
              <w:pStyle w:val="0"/>
              <w:jc w:val="center"/>
            </w:pPr>
            <w:r>
              <w:rPr>
                <w:sz w:val="20"/>
              </w:rPr>
              <w:t xml:space="preserve">61051,1</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348442,4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78197,9</w:t>
            </w:r>
          </w:p>
        </w:tc>
        <w:tc>
          <w:tcPr>
            <w:tcW w:w="1417" w:type="dxa"/>
          </w:tcPr>
          <w:p>
            <w:pPr>
              <w:pStyle w:val="0"/>
              <w:jc w:val="center"/>
            </w:pPr>
            <w:r>
              <w:rPr>
                <w:sz w:val="20"/>
              </w:rPr>
              <w:t xml:space="preserve">58648,4</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136846,3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8066,8</w:t>
            </w:r>
          </w:p>
        </w:tc>
        <w:tc>
          <w:tcPr>
            <w:tcW w:w="1417" w:type="dxa"/>
          </w:tcPr>
          <w:p>
            <w:pPr>
              <w:pStyle w:val="0"/>
              <w:jc w:val="center"/>
            </w:pPr>
            <w:r>
              <w:rPr>
                <w:sz w:val="20"/>
              </w:rPr>
              <w:t xml:space="preserve">2402,7</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211596,1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w:t>
            </w:r>
          </w:p>
        </w:tc>
        <w:tc>
          <w:tcPr>
            <w:tcW w:w="1417" w:type="dxa"/>
          </w:tcPr>
          <w:p>
            <w:pPr>
              <w:pStyle w:val="0"/>
              <w:jc w:val="center"/>
            </w:pPr>
            <w:r>
              <w:rPr>
                <w:sz w:val="20"/>
              </w:rPr>
              <w:t xml:space="preserve">1802,1</w:t>
            </w:r>
          </w:p>
        </w:tc>
        <w:tc>
          <w:tcPr>
            <w:tcW w:w="1417" w:type="dxa"/>
          </w:tcPr>
          <w:p>
            <w:pPr>
              <w:pStyle w:val="0"/>
              <w:jc w:val="center"/>
            </w:pPr>
            <w:r>
              <w:rPr>
                <w:sz w:val="20"/>
              </w:rPr>
              <w:t xml:space="preserve">1351,6</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3153,7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6264,7</w:t>
            </w:r>
          </w:p>
        </w:tc>
        <w:tc>
          <w:tcPr>
            <w:tcW w:w="1417" w:type="dxa"/>
          </w:tcPr>
          <w:p>
            <w:pPr>
              <w:pStyle w:val="0"/>
              <w:jc w:val="center"/>
            </w:pPr>
            <w:r>
              <w:rPr>
                <w:sz w:val="20"/>
              </w:rPr>
              <w:t xml:space="preserve">1051,1</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208442,4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499"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vMerge w:val="restart"/>
          </w:tcPr>
          <w:p>
            <w:pPr>
              <w:pStyle w:val="0"/>
              <w:jc w:val="both"/>
            </w:pPr>
            <w:r>
              <w:rPr>
                <w:sz w:val="20"/>
              </w:rPr>
              <w:t xml:space="preserve">8.6.2. Приобретение/замена медицинского оборудования</w:t>
            </w:r>
          </w:p>
        </w:tc>
        <w:tc>
          <w:tcPr>
            <w:tcW w:w="2041" w:type="dxa"/>
            <w:vMerge w:val="restart"/>
          </w:tcPr>
          <w:p>
            <w:pPr>
              <w:pStyle w:val="0"/>
              <w:jc w:val="both"/>
            </w:pPr>
            <w:r>
              <w:rPr>
                <w:sz w:val="20"/>
              </w:rPr>
              <w:t xml:space="preserve">Департамент здравоохранения города Севастополя</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70000,0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60000,0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130000,0</w:t>
            </w:r>
          </w:p>
        </w:tc>
      </w:tr>
      <w:tr>
        <w:tc>
          <w:tcPr>
            <w:vMerge w:val="continue"/>
          </w:tcPr>
          <w:p/>
        </w:tc>
        <w:tc>
          <w:tcPr>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68423,1</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58648,5</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127071,6</w:t>
            </w:r>
          </w:p>
        </w:tc>
      </w:tr>
      <w:tr>
        <w:tc>
          <w:tcPr>
            <w:vMerge w:val="continue"/>
          </w:tcPr>
          <w:p/>
        </w:tc>
        <w:tc>
          <w:tcPr>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1576,9</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1351,5</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2928,4</w:t>
            </w:r>
          </w:p>
        </w:tc>
      </w:tr>
      <w:tr>
        <w:tc>
          <w:tcPr>
            <w:vMerge w:val="continue"/>
          </w:tcPr>
          <w:p/>
        </w:tc>
        <w:tc>
          <w:tcPr>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tcW w:w="2494" w:type="dxa"/>
          </w:tcPr>
          <w:p>
            <w:pPr>
              <w:pStyle w:val="0"/>
              <w:jc w:val="both"/>
            </w:pPr>
            <w:r>
              <w:rPr>
                <w:sz w:val="20"/>
              </w:rPr>
              <w:t xml:space="preserve">внебюджетные средства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W w:w="3458" w:type="dxa"/>
            <w:tcBorders>
              <w:bottom w:val="nil"/>
            </w:tcBorders>
            <w:vMerge w:val="restart"/>
          </w:tcPr>
          <w:p>
            <w:pPr>
              <w:pStyle w:val="0"/>
              <w:jc w:val="both"/>
            </w:pPr>
            <w:r>
              <w:rPr>
                <w:sz w:val="20"/>
              </w:rPr>
              <w:t xml:space="preserve">Итого по </w:t>
            </w:r>
            <w:hyperlink w:history="0" w:anchor="P2340" w:tooltip="ПОДПРОГРАММА 8">
              <w:r>
                <w:rPr>
                  <w:sz w:val="20"/>
                  <w:color w:val="0000ff"/>
                </w:rPr>
                <w:t xml:space="preserve">подпрограмме 8</w:t>
              </w:r>
            </w:hyperlink>
          </w:p>
        </w:tc>
        <w:tc>
          <w:tcPr>
            <w:tcW w:w="2041" w:type="dxa"/>
            <w:tcBorders>
              <w:bottom w:val="nil"/>
            </w:tcBorders>
            <w:vMerge w:val="restart"/>
          </w:tcPr>
          <w:p>
            <w:pPr>
              <w:pStyle w:val="0"/>
              <w:jc w:val="both"/>
            </w:pPr>
            <w:r>
              <w:rPr>
                <w:sz w:val="20"/>
              </w:rPr>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545980,0</w:t>
            </w:r>
          </w:p>
        </w:tc>
        <w:tc>
          <w:tcPr>
            <w:tcW w:w="1417" w:type="dxa"/>
          </w:tcPr>
          <w:p>
            <w:pPr>
              <w:pStyle w:val="0"/>
              <w:jc w:val="center"/>
            </w:pPr>
            <w:r>
              <w:rPr>
                <w:sz w:val="20"/>
              </w:rPr>
              <w:t xml:space="preserve">402021,1</w:t>
            </w:r>
          </w:p>
        </w:tc>
        <w:tc>
          <w:tcPr>
            <w:tcW w:w="1417" w:type="dxa"/>
          </w:tcPr>
          <w:p>
            <w:pPr>
              <w:pStyle w:val="0"/>
              <w:jc w:val="center"/>
            </w:pPr>
            <w:r>
              <w:rPr>
                <w:sz w:val="20"/>
              </w:rPr>
              <w:t xml:space="preserve">423585,2</w:t>
            </w:r>
          </w:p>
        </w:tc>
        <w:tc>
          <w:tcPr>
            <w:tcW w:w="1474" w:type="dxa"/>
          </w:tcPr>
          <w:p>
            <w:pPr>
              <w:pStyle w:val="0"/>
              <w:jc w:val="center"/>
            </w:pPr>
            <w:r>
              <w:rPr>
                <w:sz w:val="20"/>
              </w:rPr>
              <w:t xml:space="preserve">441450,6</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2014163,5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524227,6</w:t>
            </w:r>
          </w:p>
        </w:tc>
        <w:tc>
          <w:tcPr>
            <w:tcW w:w="1417" w:type="dxa"/>
          </w:tcPr>
          <w:p>
            <w:pPr>
              <w:pStyle w:val="0"/>
              <w:jc w:val="center"/>
            </w:pPr>
            <w:r>
              <w:rPr>
                <w:sz w:val="20"/>
              </w:rPr>
              <w:t xml:space="preserve">392847,7</w:t>
            </w:r>
          </w:p>
        </w:tc>
        <w:tc>
          <w:tcPr>
            <w:tcW w:w="1417" w:type="dxa"/>
          </w:tcPr>
          <w:p>
            <w:pPr>
              <w:pStyle w:val="0"/>
              <w:jc w:val="center"/>
            </w:pPr>
            <w:r>
              <w:rPr>
                <w:sz w:val="20"/>
              </w:rPr>
              <w:t xml:space="preserve">415999,5</w:t>
            </w:r>
          </w:p>
        </w:tc>
        <w:tc>
          <w:tcPr>
            <w:tcW w:w="1474" w:type="dxa"/>
          </w:tcPr>
          <w:p>
            <w:pPr>
              <w:pStyle w:val="0"/>
              <w:jc w:val="center"/>
            </w:pPr>
            <w:r>
              <w:rPr>
                <w:sz w:val="20"/>
              </w:rPr>
              <w:t xml:space="preserve">432011,5</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1765086,3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21752,4</w:t>
            </w:r>
          </w:p>
        </w:tc>
        <w:tc>
          <w:tcPr>
            <w:tcW w:w="1417" w:type="dxa"/>
          </w:tcPr>
          <w:p>
            <w:pPr>
              <w:pStyle w:val="0"/>
              <w:jc w:val="center"/>
            </w:pPr>
            <w:r>
              <w:rPr>
                <w:sz w:val="20"/>
              </w:rPr>
              <w:t xml:space="preserve">9173,4</w:t>
            </w:r>
          </w:p>
        </w:tc>
        <w:tc>
          <w:tcPr>
            <w:tcW w:w="1417" w:type="dxa"/>
          </w:tcPr>
          <w:p>
            <w:pPr>
              <w:pStyle w:val="0"/>
              <w:jc w:val="center"/>
            </w:pPr>
            <w:r>
              <w:rPr>
                <w:sz w:val="20"/>
              </w:rPr>
              <w:t xml:space="preserve">7585,7</w:t>
            </w:r>
          </w:p>
        </w:tc>
        <w:tc>
          <w:tcPr>
            <w:tcW w:w="1474" w:type="dxa"/>
          </w:tcPr>
          <w:p>
            <w:pPr>
              <w:pStyle w:val="0"/>
              <w:jc w:val="center"/>
            </w:pPr>
            <w:r>
              <w:rPr>
                <w:sz w:val="20"/>
              </w:rPr>
              <w:t xml:space="preserve">9439,1</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249077,2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установленного уровня софинансирования</w:t>
            </w:r>
          </w:p>
        </w:tc>
        <w:tc>
          <w:tcPr>
            <w:tcW w:w="1417" w:type="dxa"/>
          </w:tcPr>
          <w:p>
            <w:pPr>
              <w:pStyle w:val="0"/>
              <w:jc w:val="center"/>
            </w:pPr>
            <w:r>
              <w:rPr>
                <w:sz w:val="20"/>
              </w:rPr>
              <w:t xml:space="preserve">6024,2</w:t>
            </w:r>
          </w:p>
        </w:tc>
        <w:tc>
          <w:tcPr>
            <w:tcW w:w="1417" w:type="dxa"/>
          </w:tcPr>
          <w:p>
            <w:pPr>
              <w:pStyle w:val="0"/>
              <w:jc w:val="center"/>
            </w:pPr>
            <w:r>
              <w:rPr>
                <w:sz w:val="20"/>
              </w:rPr>
              <w:t xml:space="preserve">6024,2</w:t>
            </w:r>
          </w:p>
        </w:tc>
        <w:tc>
          <w:tcPr>
            <w:tcW w:w="1417" w:type="dxa"/>
          </w:tcPr>
          <w:p>
            <w:pPr>
              <w:pStyle w:val="0"/>
              <w:jc w:val="center"/>
            </w:pPr>
            <w:r>
              <w:rPr>
                <w:sz w:val="20"/>
              </w:rPr>
              <w:t xml:space="preserve">6024,2</w:t>
            </w:r>
          </w:p>
        </w:tc>
        <w:tc>
          <w:tcPr>
            <w:tcW w:w="1474" w:type="dxa"/>
          </w:tcPr>
          <w:p>
            <w:pPr>
              <w:pStyle w:val="0"/>
              <w:jc w:val="center"/>
            </w:pPr>
            <w:r>
              <w:rPr>
                <w:sz w:val="20"/>
              </w:rPr>
              <w:t xml:space="preserve">9036,1</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27108,7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14975,3</w:t>
            </w:r>
          </w:p>
        </w:tc>
        <w:tc>
          <w:tcPr>
            <w:tcW w:w="1417" w:type="dxa"/>
          </w:tcPr>
          <w:p>
            <w:pPr>
              <w:pStyle w:val="0"/>
              <w:jc w:val="center"/>
            </w:pPr>
            <w:r>
              <w:rPr>
                <w:sz w:val="20"/>
              </w:rPr>
              <w:t xml:space="preserve">2512,6</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201126,6</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218614,5</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500"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gridSpan w:val="13"/>
            <w:tcW w:w="22337" w:type="dxa"/>
          </w:tcPr>
          <w:p>
            <w:pPr>
              <w:pStyle w:val="0"/>
              <w:outlineLvl w:val="2"/>
              <w:jc w:val="center"/>
            </w:pPr>
            <w:r>
              <w:rPr>
                <w:sz w:val="20"/>
              </w:rPr>
              <w:t xml:space="preserve">Подпрограмма 9 "Приведение учреждений, подведомственных Департаменту здравоохранения города Севастополя, к стандартам оснащения"</w:t>
            </w:r>
          </w:p>
        </w:tc>
      </w:tr>
      <w:tr>
        <w:tc>
          <w:tcPr>
            <w:tcW w:w="3458" w:type="dxa"/>
            <w:tcBorders>
              <w:bottom w:val="nil"/>
            </w:tcBorders>
            <w:vMerge w:val="restart"/>
          </w:tcPr>
          <w:p>
            <w:pPr>
              <w:pStyle w:val="0"/>
              <w:jc w:val="both"/>
            </w:pPr>
            <w:r>
              <w:rPr>
                <w:sz w:val="20"/>
              </w:rPr>
              <w:t xml:space="preserve">9.1. Мероприятия, необходимые для приведения учреждений первичной медико-санитарной помощи к стандартам оснащения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488189,4 &lt;10&gt;</w:t>
            </w:r>
          </w:p>
        </w:tc>
        <w:tc>
          <w:tcPr>
            <w:tcW w:w="1417" w:type="dxa"/>
          </w:tcPr>
          <w:p>
            <w:pPr>
              <w:pStyle w:val="0"/>
              <w:jc w:val="center"/>
            </w:pPr>
            <w:r>
              <w:rPr>
                <w:sz w:val="20"/>
              </w:rPr>
              <w:t xml:space="preserve">384226,2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872415,6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 в том числе:</w:t>
            </w:r>
          </w:p>
        </w:tc>
        <w:tc>
          <w:tcPr>
            <w:tcW w:w="1417" w:type="dxa"/>
          </w:tcPr>
          <w:p>
            <w:pPr>
              <w:pStyle w:val="0"/>
              <w:jc w:val="center"/>
            </w:pPr>
            <w:r>
              <w:rPr>
                <w:sz w:val="20"/>
              </w:rPr>
              <w:t xml:space="preserve">488189,4</w:t>
            </w:r>
          </w:p>
        </w:tc>
        <w:tc>
          <w:tcPr>
            <w:tcW w:w="1417" w:type="dxa"/>
          </w:tcPr>
          <w:p>
            <w:pPr>
              <w:pStyle w:val="0"/>
              <w:jc w:val="center"/>
            </w:pPr>
            <w:r>
              <w:rPr>
                <w:sz w:val="20"/>
              </w:rPr>
              <w:t xml:space="preserve">384226,2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872415,6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286838,7 &lt;10&gt;</w:t>
            </w:r>
          </w:p>
        </w:tc>
        <w:tc>
          <w:tcPr>
            <w:tcW w:w="1417" w:type="dxa"/>
          </w:tcPr>
          <w:p>
            <w:pPr>
              <w:pStyle w:val="0"/>
              <w:jc w:val="center"/>
            </w:pPr>
            <w:r>
              <w:rPr>
                <w:sz w:val="20"/>
              </w:rPr>
              <w:t xml:space="preserve">239338,3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526177,0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201350,7 &lt;10&gt;</w:t>
            </w:r>
          </w:p>
        </w:tc>
        <w:tc>
          <w:tcPr>
            <w:tcW w:w="1417" w:type="dxa"/>
          </w:tcPr>
          <w:p>
            <w:pPr>
              <w:pStyle w:val="0"/>
              <w:jc w:val="center"/>
            </w:pPr>
            <w:r>
              <w:rPr>
                <w:sz w:val="20"/>
              </w:rPr>
              <w:t xml:space="preserve">144887,9</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346238,6</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501"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9.2. Мероприятия, необходимые для приведения учреждений, оказывающих специализированную и скорую медицинскую помощь, к стандартам оснащения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1200783,6</w:t>
            </w:r>
          </w:p>
        </w:tc>
        <w:tc>
          <w:tcPr>
            <w:tcW w:w="1417" w:type="dxa"/>
          </w:tcPr>
          <w:p>
            <w:pPr>
              <w:pStyle w:val="0"/>
              <w:jc w:val="center"/>
            </w:pPr>
            <w:r>
              <w:rPr>
                <w:sz w:val="20"/>
              </w:rPr>
              <w:t xml:space="preserve">1634476,3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160341,7</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2995601,6</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160341,7</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160341,7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 в том числе:</w:t>
            </w:r>
          </w:p>
        </w:tc>
        <w:tc>
          <w:tcPr>
            <w:tcW w:w="1417" w:type="dxa"/>
          </w:tcPr>
          <w:p>
            <w:pPr>
              <w:pStyle w:val="0"/>
              <w:jc w:val="center"/>
            </w:pPr>
            <w:r>
              <w:rPr>
                <w:sz w:val="20"/>
              </w:rPr>
              <w:t xml:space="preserve">1200783,6</w:t>
            </w:r>
          </w:p>
        </w:tc>
        <w:tc>
          <w:tcPr>
            <w:tcW w:w="1417" w:type="dxa"/>
          </w:tcPr>
          <w:p>
            <w:pPr>
              <w:pStyle w:val="0"/>
              <w:jc w:val="center"/>
            </w:pPr>
            <w:r>
              <w:rPr>
                <w:sz w:val="20"/>
              </w:rPr>
              <w:t xml:space="preserve">1634476,3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2835259,9</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737311,4</w:t>
            </w:r>
          </w:p>
        </w:tc>
        <w:tc>
          <w:tcPr>
            <w:tcW w:w="1417" w:type="dxa"/>
          </w:tcPr>
          <w:p>
            <w:pPr>
              <w:pStyle w:val="0"/>
              <w:jc w:val="center"/>
            </w:pPr>
            <w:r>
              <w:rPr>
                <w:sz w:val="20"/>
              </w:rPr>
              <w:t xml:space="preserve">1207148,9</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1944460,3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463472,2</w:t>
            </w:r>
          </w:p>
        </w:tc>
        <w:tc>
          <w:tcPr>
            <w:tcW w:w="1417" w:type="dxa"/>
          </w:tcPr>
          <w:p>
            <w:pPr>
              <w:pStyle w:val="0"/>
              <w:jc w:val="center"/>
            </w:pPr>
            <w:r>
              <w:rPr>
                <w:sz w:val="20"/>
              </w:rPr>
              <w:t xml:space="preserve">427327,4</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890799,6</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502"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tc>
      </w:tr>
      <w:tr>
        <w:tc>
          <w:tcPr>
            <w:tcW w:w="3458" w:type="dxa"/>
            <w:tcBorders>
              <w:bottom w:val="nil"/>
            </w:tcBorders>
            <w:vMerge w:val="restart"/>
          </w:tcPr>
          <w:p>
            <w:pPr>
              <w:pStyle w:val="0"/>
              <w:jc w:val="both"/>
            </w:pPr>
            <w:r>
              <w:rPr>
                <w:sz w:val="20"/>
              </w:rPr>
              <w:t xml:space="preserve">9.3. Мероприятия, необходимые для приведения учреждений охраны здоровья матери и ребенка к стандартам оснащения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519389,6 &lt;12&gt;</w:t>
            </w:r>
          </w:p>
        </w:tc>
        <w:tc>
          <w:tcPr>
            <w:tcW w:w="1417" w:type="dxa"/>
          </w:tcPr>
          <w:p>
            <w:pPr>
              <w:pStyle w:val="0"/>
              <w:jc w:val="center"/>
            </w:pPr>
            <w:r>
              <w:rPr>
                <w:sz w:val="20"/>
              </w:rPr>
              <w:t xml:space="preserve">646408,4</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1165798,0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 в том числе:</w:t>
            </w:r>
          </w:p>
        </w:tc>
        <w:tc>
          <w:tcPr>
            <w:tcW w:w="1417" w:type="dxa"/>
          </w:tcPr>
          <w:p>
            <w:pPr>
              <w:pStyle w:val="0"/>
              <w:jc w:val="center"/>
            </w:pPr>
            <w:r>
              <w:rPr>
                <w:sz w:val="20"/>
              </w:rPr>
              <w:t xml:space="preserve">519389,6</w:t>
            </w:r>
          </w:p>
        </w:tc>
        <w:tc>
          <w:tcPr>
            <w:tcW w:w="1417" w:type="dxa"/>
          </w:tcPr>
          <w:p>
            <w:pPr>
              <w:pStyle w:val="0"/>
              <w:jc w:val="center"/>
            </w:pPr>
            <w:r>
              <w:rPr>
                <w:sz w:val="20"/>
              </w:rPr>
              <w:t xml:space="preserve">646408,4</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1165798,0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295376,1 &lt;12&gt;</w:t>
            </w:r>
          </w:p>
        </w:tc>
        <w:tc>
          <w:tcPr>
            <w:tcW w:w="1417" w:type="dxa"/>
          </w:tcPr>
          <w:p>
            <w:pPr>
              <w:pStyle w:val="0"/>
              <w:jc w:val="center"/>
            </w:pPr>
            <w:r>
              <w:rPr>
                <w:sz w:val="20"/>
              </w:rPr>
              <w:t xml:space="preserve">463739,2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759115,3</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224013,5 &lt;12&gt;</w:t>
            </w:r>
          </w:p>
        </w:tc>
        <w:tc>
          <w:tcPr>
            <w:tcW w:w="1417" w:type="dxa"/>
          </w:tcPr>
          <w:p>
            <w:pPr>
              <w:pStyle w:val="0"/>
              <w:jc w:val="center"/>
            </w:pPr>
            <w:r>
              <w:rPr>
                <w:sz w:val="20"/>
              </w:rPr>
              <w:t xml:space="preserve">182669,2</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406682,7</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50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9.4. Мероприятия, необходимые для приведения прочих учреждений, подведомственных Департаменту здравоохранения города Севастополя, к стандартам оснащения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186729,2 &lt;13&gt;</w:t>
            </w:r>
          </w:p>
        </w:tc>
        <w:tc>
          <w:tcPr>
            <w:tcW w:w="1417" w:type="dxa"/>
          </w:tcPr>
          <w:p>
            <w:pPr>
              <w:pStyle w:val="0"/>
              <w:jc w:val="center"/>
            </w:pPr>
            <w:r>
              <w:rPr>
                <w:sz w:val="20"/>
              </w:rPr>
              <w:t xml:space="preserve">134190,0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320919,2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 в том числе:</w:t>
            </w:r>
          </w:p>
        </w:tc>
        <w:tc>
          <w:tcPr>
            <w:tcW w:w="1417" w:type="dxa"/>
          </w:tcPr>
          <w:p>
            <w:pPr>
              <w:pStyle w:val="0"/>
              <w:jc w:val="center"/>
            </w:pPr>
            <w:r>
              <w:rPr>
                <w:sz w:val="20"/>
              </w:rPr>
              <w:t xml:space="preserve">186729,2</w:t>
            </w:r>
          </w:p>
        </w:tc>
        <w:tc>
          <w:tcPr>
            <w:tcW w:w="1417" w:type="dxa"/>
          </w:tcPr>
          <w:p>
            <w:pPr>
              <w:pStyle w:val="0"/>
              <w:jc w:val="center"/>
            </w:pPr>
            <w:r>
              <w:rPr>
                <w:sz w:val="20"/>
              </w:rPr>
              <w:t xml:space="preserve">134190,0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320919,2</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185189,3 &lt;13&gt;</w:t>
            </w:r>
          </w:p>
        </w:tc>
        <w:tc>
          <w:tcPr>
            <w:tcW w:w="1417" w:type="dxa"/>
          </w:tcPr>
          <w:p>
            <w:pPr>
              <w:pStyle w:val="0"/>
              <w:jc w:val="center"/>
            </w:pPr>
            <w:r>
              <w:rPr>
                <w:sz w:val="20"/>
              </w:rPr>
              <w:t xml:space="preserve">132650,1</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317839,4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1539,9 &lt;13&gt;</w:t>
            </w:r>
          </w:p>
        </w:tc>
        <w:tc>
          <w:tcPr>
            <w:tcW w:w="1417" w:type="dxa"/>
          </w:tcPr>
          <w:p>
            <w:pPr>
              <w:pStyle w:val="0"/>
              <w:jc w:val="center"/>
            </w:pPr>
            <w:r>
              <w:rPr>
                <w:sz w:val="20"/>
              </w:rPr>
              <w:t xml:space="preserve">1539,9</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3079,8</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50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9.5. Мероприятия по комплексной безопасности (информатизация здравоохранения, противодействие ЧС, антитеррористические мероприятия, охрана, повышение энергоэффективности медицинских учреждений, установка систем пожарной безопасности, доступная среда для маломобильных групп населения и пр.) учреждений, подведомственных Департаменту здравоохранения города Севастополя</w:t>
            </w:r>
          </w:p>
        </w:tc>
        <w:tc>
          <w:tcPr>
            <w:tcW w:w="2041" w:type="dxa"/>
            <w:tcBorders>
              <w:bottom w:val="nil"/>
            </w:tcBorders>
            <w:vMerge w:val="restart"/>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ГКУГС "ЕДКС", ГКУС "Медицинский склад N 1043"</w:t>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244198,3 &lt;14&gt;</w:t>
            </w:r>
          </w:p>
        </w:tc>
        <w:tc>
          <w:tcPr>
            <w:tcW w:w="1417" w:type="dxa"/>
          </w:tcPr>
          <w:p>
            <w:pPr>
              <w:pStyle w:val="0"/>
              <w:jc w:val="center"/>
            </w:pPr>
            <w:r>
              <w:rPr>
                <w:sz w:val="20"/>
              </w:rPr>
              <w:t xml:space="preserve">176147,4</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420345,7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 в том числе:</w:t>
            </w:r>
          </w:p>
        </w:tc>
        <w:tc>
          <w:tcPr>
            <w:tcW w:w="1417" w:type="dxa"/>
          </w:tcPr>
          <w:p>
            <w:pPr>
              <w:pStyle w:val="0"/>
              <w:jc w:val="center"/>
            </w:pPr>
            <w:r>
              <w:rPr>
                <w:sz w:val="20"/>
              </w:rPr>
              <w:t xml:space="preserve">244198,3</w:t>
            </w:r>
          </w:p>
        </w:tc>
        <w:tc>
          <w:tcPr>
            <w:tcW w:w="1417" w:type="dxa"/>
          </w:tcPr>
          <w:p>
            <w:pPr>
              <w:pStyle w:val="0"/>
              <w:jc w:val="center"/>
            </w:pPr>
            <w:r>
              <w:rPr>
                <w:sz w:val="20"/>
              </w:rPr>
              <w:t xml:space="preserve">176147,4</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420345,7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0,0 &lt;14&gt;</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244198,3 &lt;14&gt;</w:t>
            </w:r>
          </w:p>
        </w:tc>
        <w:tc>
          <w:tcPr>
            <w:tcW w:w="1417" w:type="dxa"/>
          </w:tcPr>
          <w:p>
            <w:pPr>
              <w:pStyle w:val="0"/>
              <w:jc w:val="center"/>
            </w:pPr>
            <w:r>
              <w:rPr>
                <w:sz w:val="20"/>
              </w:rPr>
              <w:t xml:space="preserve">176147,4</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420345,7</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50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3458" w:type="dxa"/>
            <w:tcBorders>
              <w:bottom w:val="nil"/>
            </w:tcBorders>
            <w:vMerge w:val="restart"/>
          </w:tcPr>
          <w:p>
            <w:pPr>
              <w:pStyle w:val="0"/>
              <w:jc w:val="both"/>
            </w:pPr>
            <w:r>
              <w:rPr>
                <w:sz w:val="20"/>
              </w:rPr>
              <w:t xml:space="preserve">Итого по </w:t>
            </w:r>
            <w:hyperlink w:history="0" w:anchor="P2692" w:tooltip="ПОДПРОГРАММА 9">
              <w:r>
                <w:rPr>
                  <w:sz w:val="20"/>
                  <w:color w:val="0000ff"/>
                </w:rPr>
                <w:t xml:space="preserve">подпрограмме 9</w:t>
              </w:r>
            </w:hyperlink>
          </w:p>
        </w:tc>
        <w:tc>
          <w:tcPr>
            <w:tcW w:w="2041" w:type="dxa"/>
            <w:tcBorders>
              <w:bottom w:val="nil"/>
            </w:tcBorders>
            <w:vMerge w:val="restart"/>
          </w:tcPr>
          <w:p>
            <w:pPr>
              <w:pStyle w:val="0"/>
              <w:jc w:val="both"/>
            </w:pPr>
            <w:r>
              <w:rPr>
                <w:sz w:val="20"/>
              </w:rPr>
            </w:r>
          </w:p>
        </w:tc>
        <w:tc>
          <w:tcPr>
            <w:tcW w:w="2494" w:type="dxa"/>
          </w:tcPr>
          <w:p>
            <w:pPr>
              <w:pStyle w:val="0"/>
              <w:jc w:val="both"/>
            </w:pPr>
            <w:r>
              <w:rPr>
                <w:sz w:val="20"/>
              </w:rPr>
              <w:t xml:space="preserve">Всего, в том числе:</w:t>
            </w:r>
          </w:p>
        </w:tc>
        <w:tc>
          <w:tcPr>
            <w:tcW w:w="1417" w:type="dxa"/>
          </w:tcPr>
          <w:p>
            <w:pPr>
              <w:pStyle w:val="0"/>
              <w:jc w:val="center"/>
            </w:pPr>
            <w:r>
              <w:rPr>
                <w:sz w:val="20"/>
              </w:rPr>
              <w:t xml:space="preserve">2639290,1</w:t>
            </w:r>
          </w:p>
        </w:tc>
        <w:tc>
          <w:tcPr>
            <w:tcW w:w="1417" w:type="dxa"/>
          </w:tcPr>
          <w:p>
            <w:pPr>
              <w:pStyle w:val="0"/>
              <w:jc w:val="center"/>
            </w:pPr>
            <w:r>
              <w:rPr>
                <w:sz w:val="20"/>
              </w:rPr>
              <w:t xml:space="preserve">2975448,3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160341,7</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5775080,1</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(ФЦП)</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федеральный бюджет (другие источники)</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 города Севастополя, в том числе:</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160341,7</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160341,7</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в размере сверх установленного уровня софинансирования</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бюджеты других субъектов РФ (город Москва), в том числе:</w:t>
            </w:r>
          </w:p>
        </w:tc>
        <w:tc>
          <w:tcPr>
            <w:tcW w:w="1417" w:type="dxa"/>
          </w:tcPr>
          <w:p>
            <w:pPr>
              <w:pStyle w:val="0"/>
              <w:jc w:val="center"/>
            </w:pPr>
            <w:r>
              <w:rPr>
                <w:sz w:val="20"/>
              </w:rPr>
              <w:t xml:space="preserve">2639290,1</w:t>
            </w:r>
          </w:p>
        </w:tc>
        <w:tc>
          <w:tcPr>
            <w:tcW w:w="1417" w:type="dxa"/>
          </w:tcPr>
          <w:p>
            <w:pPr>
              <w:pStyle w:val="0"/>
              <w:jc w:val="center"/>
            </w:pPr>
            <w:r>
              <w:rPr>
                <w:sz w:val="20"/>
              </w:rPr>
              <w:t xml:space="preserve">2975448,3</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5614738,4</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капитального строительства города Севастополя, ГКУГС "ЕДКС"</w:t>
            </w:r>
          </w:p>
        </w:tc>
        <w:tc>
          <w:tcPr>
            <w:tcW w:w="1417" w:type="dxa"/>
          </w:tcPr>
          <w:p>
            <w:pPr>
              <w:pStyle w:val="0"/>
              <w:jc w:val="center"/>
            </w:pPr>
            <w:r>
              <w:rPr>
                <w:sz w:val="20"/>
              </w:rPr>
              <w:t xml:space="preserve">1504715,5</w:t>
            </w:r>
          </w:p>
        </w:tc>
        <w:tc>
          <w:tcPr>
            <w:tcW w:w="1417" w:type="dxa"/>
          </w:tcPr>
          <w:p>
            <w:pPr>
              <w:pStyle w:val="0"/>
              <w:jc w:val="center"/>
            </w:pPr>
            <w:r>
              <w:rPr>
                <w:sz w:val="20"/>
              </w:rPr>
              <w:t xml:space="preserve">2042876,5</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3547592,0</w:t>
            </w:r>
          </w:p>
        </w:tc>
      </w:tr>
      <w:tr>
        <w:tc>
          <w:tcPr>
            <w:tcBorders>
              <w:bottom w:val="nil"/>
            </w:tcBorders>
            <w:vMerge w:val="continue"/>
          </w:tcPr>
          <w:p/>
        </w:tc>
        <w:tc>
          <w:tcPr>
            <w:tcBorders>
              <w:bottom w:val="nil"/>
            </w:tcBorders>
            <w:vMerge w:val="continue"/>
          </w:tcPr>
          <w:p/>
        </w:tc>
        <w:tc>
          <w:tcPr>
            <w:tcW w:w="2494" w:type="dxa"/>
          </w:tcPr>
          <w:p>
            <w:pPr>
              <w:pStyle w:val="0"/>
              <w:jc w:val="both"/>
            </w:pPr>
            <w:r>
              <w:rPr>
                <w:sz w:val="20"/>
              </w:rPr>
              <w:t xml:space="preserve">Департамент здравоохранения города Севастополя</w:t>
            </w:r>
          </w:p>
        </w:tc>
        <w:tc>
          <w:tcPr>
            <w:tcW w:w="1417" w:type="dxa"/>
          </w:tcPr>
          <w:p>
            <w:pPr>
              <w:pStyle w:val="0"/>
              <w:jc w:val="center"/>
            </w:pPr>
            <w:r>
              <w:rPr>
                <w:sz w:val="20"/>
              </w:rPr>
              <w:t xml:space="preserve">1134574,6</w:t>
            </w:r>
          </w:p>
        </w:tc>
        <w:tc>
          <w:tcPr>
            <w:tcW w:w="1417" w:type="dxa"/>
          </w:tcPr>
          <w:p>
            <w:pPr>
              <w:pStyle w:val="0"/>
              <w:jc w:val="center"/>
            </w:pPr>
            <w:r>
              <w:rPr>
                <w:sz w:val="20"/>
              </w:rPr>
              <w:t xml:space="preserve">932571,8</w:t>
            </w:r>
          </w:p>
        </w:tc>
        <w:tc>
          <w:tcPr>
            <w:tcW w:w="1417" w:type="dxa"/>
          </w:tcPr>
          <w:p>
            <w:pPr>
              <w:pStyle w:val="0"/>
              <w:jc w:val="center"/>
            </w:pPr>
            <w:r>
              <w:rPr>
                <w:sz w:val="20"/>
              </w:rPr>
              <w:t xml:space="preserve">0,0</w:t>
            </w:r>
          </w:p>
        </w:tc>
        <w:tc>
          <w:tcPr>
            <w:tcW w:w="1474" w:type="dxa"/>
          </w:tcPr>
          <w:p>
            <w:pPr>
              <w:pStyle w:val="0"/>
              <w:jc w:val="center"/>
            </w:pPr>
            <w:r>
              <w:rPr>
                <w:sz w:val="20"/>
              </w:rPr>
              <w:t xml:space="preserve">0,0</w:t>
            </w:r>
          </w:p>
        </w:tc>
        <w:tc>
          <w:tcPr>
            <w:tcW w:w="1531" w:type="dxa"/>
          </w:tcPr>
          <w:p>
            <w:pPr>
              <w:pStyle w:val="0"/>
              <w:jc w:val="center"/>
            </w:pPr>
            <w:r>
              <w:rPr>
                <w:sz w:val="20"/>
              </w:rPr>
              <w:t xml:space="preserve">0,0</w:t>
            </w:r>
          </w:p>
        </w:tc>
        <w:tc>
          <w:tcPr>
            <w:tcW w:w="1474"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531" w:type="dxa"/>
          </w:tcPr>
          <w:p>
            <w:pPr>
              <w:pStyle w:val="0"/>
              <w:jc w:val="center"/>
            </w:pPr>
            <w:r>
              <w:rPr>
                <w:sz w:val="20"/>
              </w:rPr>
              <w:t xml:space="preserve">2067146,4</w:t>
            </w:r>
          </w:p>
        </w:tc>
      </w:tr>
      <w:tr>
        <w:tblPrEx>
          <w:tblBorders>
            <w:insideH w:val="nil"/>
          </w:tblBorders>
        </w:tblPrEx>
        <w:tc>
          <w:tcPr>
            <w:tcBorders>
              <w:bottom w:val="nil"/>
            </w:tcBorders>
            <w:vMerge w:val="continue"/>
          </w:tcPr>
          <w:p/>
        </w:tc>
        <w:tc>
          <w:tcPr>
            <w:tcBorders>
              <w:bottom w:val="nil"/>
            </w:tcBorders>
            <w:vMerge w:val="continue"/>
          </w:tcPr>
          <w:p/>
        </w:tc>
        <w:tc>
          <w:tcPr>
            <w:tcW w:w="2494" w:type="dxa"/>
            <w:tcBorders>
              <w:bottom w:val="nil"/>
            </w:tcBorders>
          </w:tcPr>
          <w:p>
            <w:pPr>
              <w:pStyle w:val="0"/>
              <w:jc w:val="both"/>
            </w:pPr>
            <w:r>
              <w:rPr>
                <w:sz w:val="20"/>
              </w:rPr>
              <w:t xml:space="preserve">внебюджетные средства</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3"/>
            <w:tcW w:w="22337" w:type="dxa"/>
            <w:tcBorders>
              <w:top w:val="nil"/>
            </w:tcBorders>
          </w:tcPr>
          <w:p>
            <w:pPr>
              <w:pStyle w:val="0"/>
              <w:jc w:val="both"/>
            </w:pPr>
            <w:r>
              <w:rPr>
                <w:sz w:val="20"/>
              </w:rPr>
              <w:t xml:space="preserve">(в ред. </w:t>
            </w:r>
            <w:hyperlink w:history="0" r:id="rId506"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Без учета средств в размере 55910,6 тыс. руб., в том числе восстановленные средства 2021 года - 55910,6 тыс. руб. (федеральный бюджет - 53116,2 тыс. руб., бюджет города Севастополя - 2794,4 тыс. руб.).</w:t>
      </w:r>
    </w:p>
    <w:p>
      <w:pPr>
        <w:pStyle w:val="0"/>
        <w:spacing w:before="200" w:line-rule="auto"/>
        <w:ind w:firstLine="540"/>
        <w:jc w:val="both"/>
      </w:pPr>
      <w:r>
        <w:rPr>
          <w:sz w:val="20"/>
        </w:rPr>
        <w:t xml:space="preserve">&lt;2&gt; С учетом восстановленных средств бюджета города Москвы в размере 49090,3 тыс. руб. (Департамент капитального строительства города Севастополя - 38120,0 тыс. руб., Департамент здравоохранения города Севастополя - 10970,3 тыс. руб.).</w:t>
      </w:r>
    </w:p>
    <w:p>
      <w:pPr>
        <w:pStyle w:val="0"/>
        <w:spacing w:before="200" w:line-rule="auto"/>
        <w:ind w:firstLine="540"/>
        <w:jc w:val="both"/>
      </w:pPr>
      <w:r>
        <w:rPr>
          <w:sz w:val="20"/>
        </w:rPr>
        <w:t xml:space="preserve">&lt;3&gt; Без учета средств в размере 42410,8 тыс. руб., в том числе восстановленные средства 2021 года - 42410,8 тыс. руб. (федеральный бюджет - 40288,7 тыс. руб., бюджет города Севастополя - 2122,1 тыс. руб.).</w:t>
      </w:r>
    </w:p>
    <w:p>
      <w:pPr>
        <w:pStyle w:val="0"/>
        <w:spacing w:before="200" w:line-rule="auto"/>
        <w:ind w:firstLine="540"/>
        <w:jc w:val="both"/>
      </w:pPr>
      <w:r>
        <w:rPr>
          <w:sz w:val="20"/>
        </w:rPr>
        <w:t xml:space="preserve">&lt;4&gt; Без учета средств в размере 31006,7 тыс. руб., в том числе восстановленные средства 2019 - 2020 годов - 31006,7 тыс. руб. (федеральный бюджет - 29456,2 тыс. руб., бюджет города Севастополя - 1550,5 тыс. руб.).</w:t>
      </w:r>
    </w:p>
    <w:p>
      <w:pPr>
        <w:pStyle w:val="0"/>
        <w:spacing w:before="200" w:line-rule="auto"/>
        <w:ind w:firstLine="540"/>
        <w:jc w:val="both"/>
      </w:pPr>
      <w:r>
        <w:rPr>
          <w:sz w:val="20"/>
        </w:rPr>
        <w:t xml:space="preserve">&lt;5&gt; Без учета средств в размере 39,27 тыс. руб., в том числе восстановленные средства 2020 года - 39,27 тыс. руб. (федеральный бюджет - 37,3 тыс. руб., бюджет города Севастополя - 1,97 тыс. руб.).</w:t>
      </w:r>
    </w:p>
    <w:p>
      <w:pPr>
        <w:pStyle w:val="0"/>
        <w:spacing w:before="200" w:line-rule="auto"/>
        <w:ind w:firstLine="540"/>
        <w:jc w:val="both"/>
      </w:pPr>
      <w:r>
        <w:rPr>
          <w:sz w:val="20"/>
        </w:rPr>
        <w:t xml:space="preserve">&lt;6&gt; С учетом восстановленных средств бюджета города Москвы в размере 161429,5 тыс. руб. (Департамент капитального строительства города Севастополя - 159635,4 тыс. руб., Департамент здравоохранения города Севастополя - 1794,1 тыс. руб.).</w:t>
      </w:r>
    </w:p>
    <w:p>
      <w:pPr>
        <w:pStyle w:val="0"/>
        <w:spacing w:before="200" w:line-rule="auto"/>
        <w:ind w:firstLine="540"/>
        <w:jc w:val="both"/>
      </w:pPr>
      <w:r>
        <w:rPr>
          <w:sz w:val="20"/>
        </w:rPr>
        <w:t xml:space="preserve">&lt;7&gt; С учетом восстановленных средств бюджета города Москвы в размере 11430,1 тыс. руб. (Департамент капитального строительства города Севастополя - 5058,7 тыс. руб., Департамент здравоохранения города Севастополя - 6371,4 тыс. руб.).</w:t>
      </w:r>
    </w:p>
    <w:p>
      <w:pPr>
        <w:pStyle w:val="0"/>
        <w:spacing w:before="200" w:line-rule="auto"/>
        <w:ind w:firstLine="540"/>
        <w:jc w:val="both"/>
      </w:pPr>
      <w:r>
        <w:rPr>
          <w:sz w:val="20"/>
        </w:rPr>
        <w:t xml:space="preserve">&lt;8&gt; С учетом восстановленных средств бюджета города Москвы в размере 4880,8 тыс. руб. (Департамент капитального строительства города Севастополя - 4880,8 тыс. руб., Департамент здравоохранения города Севастополя - 0,0 тыс. руб.).</w:t>
      </w:r>
    </w:p>
    <w:p>
      <w:pPr>
        <w:pStyle w:val="0"/>
        <w:spacing w:before="200" w:line-rule="auto"/>
        <w:ind w:firstLine="540"/>
        <w:jc w:val="both"/>
      </w:pPr>
      <w:r>
        <w:rPr>
          <w:sz w:val="20"/>
        </w:rPr>
        <w:t xml:space="preserve">&lt;9&gt; С учетом восстановленных средств бюджета города Москвы в размере 47261,3 тыс. руб. (Департамент капитального строительства города Севастополя - 46697,4 тыс. руб., Департамент здравоохранения города Севастополя - 563,9 тыс. руб.).</w:t>
      </w:r>
    </w:p>
    <w:p>
      <w:pPr>
        <w:pStyle w:val="0"/>
        <w:spacing w:before="200" w:line-rule="auto"/>
        <w:ind w:firstLine="540"/>
        <w:jc w:val="both"/>
      </w:pPr>
      <w:r>
        <w:rPr>
          <w:sz w:val="20"/>
        </w:rPr>
        <w:t xml:space="preserve">&lt;10&gt; С учетом восстановленных средств бюджета города Москвы в размере 111635,6 тыс. руб. (Департамент капитального строительства города Севастополя - 94543,9 тыс. руб., Департамент здравоохранения города Севастополя - 17091,7 тыс. руб.).</w:t>
      </w:r>
    </w:p>
    <w:p>
      <w:pPr>
        <w:pStyle w:val="0"/>
        <w:spacing w:before="200" w:line-rule="auto"/>
        <w:ind w:firstLine="540"/>
        <w:jc w:val="both"/>
      </w:pPr>
      <w:r>
        <w:rPr>
          <w:sz w:val="20"/>
        </w:rPr>
        <w:t xml:space="preserve">&lt;11&gt; С учетом восстановленных средств бюджета города Москвы в размере 87874,3 тыс. руб. (Департамент капитального строительства города Севастополя - 82460,1 тыс. руб., Департамент здравоохранения города Севастополя - 5414,2 тыс. руб.).</w:t>
      </w:r>
    </w:p>
    <w:p>
      <w:pPr>
        <w:pStyle w:val="0"/>
        <w:spacing w:before="200" w:line-rule="auto"/>
        <w:ind w:firstLine="540"/>
        <w:jc w:val="both"/>
      </w:pPr>
      <w:r>
        <w:rPr>
          <w:sz w:val="20"/>
        </w:rPr>
        <w:t xml:space="preserve">&lt;12&gt; С учетом восстановленных средств бюджета города Москвы в размере 27908,5 тыс. руб. (Департамент капитального строительства города Севастополя - 24249,1 тыс. руб., Департамент здравоохранения города Севастополя - 3659,4 тыс. руб.).</w:t>
      </w:r>
    </w:p>
    <w:p>
      <w:pPr>
        <w:pStyle w:val="0"/>
        <w:spacing w:before="200" w:line-rule="auto"/>
        <w:ind w:firstLine="540"/>
        <w:jc w:val="both"/>
      </w:pPr>
      <w:r>
        <w:rPr>
          <w:sz w:val="20"/>
        </w:rPr>
        <w:t xml:space="preserve">&lt;13&gt; С учетом восстановленных средств бюджета города Москвы в размере 41180,8 тыс. руб. (Департамент капитального строительства города Севастополя - 41180,8 тыс. руб., Департамент здравоохранения города Севастополя - 0,0 тыс. руб.).</w:t>
      </w:r>
    </w:p>
    <w:p>
      <w:pPr>
        <w:pStyle w:val="0"/>
        <w:spacing w:before="200" w:line-rule="auto"/>
        <w:ind w:firstLine="540"/>
        <w:jc w:val="both"/>
      </w:pPr>
      <w:r>
        <w:rPr>
          <w:sz w:val="20"/>
        </w:rPr>
        <w:t xml:space="preserve">&lt;14&gt; С учетом восстановленных средств бюджета города Москвы в размере 147026,0 тыс. руб. (Департамент капитального строительства города Севастополя - 0,0 тыс. руб., Департамент здравоохранения города Севастополя - 147026,0 тыс. руб.).</w:t>
      </w:r>
    </w:p>
    <w:p>
      <w:pPr>
        <w:pStyle w:val="0"/>
        <w:spacing w:before="200" w:line-rule="auto"/>
        <w:ind w:firstLine="540"/>
        <w:jc w:val="both"/>
      </w:pPr>
      <w:r>
        <w:rPr>
          <w:sz w:val="20"/>
        </w:rPr>
        <w:t xml:space="preserve">&lt;15&gt; С учетом средств в размере 45913,0 тыс. руб., в том числе восстановленные средства 2022 года - 45913,0 тыс. руб. (федеральный бюджет - 43619,2 тыс. руб., бюджет города Севастополя - 2293,8 тыс. руб.).</w:t>
      </w:r>
    </w:p>
    <w:p>
      <w:pPr>
        <w:pStyle w:val="0"/>
        <w:jc w:val="both"/>
      </w:pPr>
      <w:r>
        <w:rPr>
          <w:sz w:val="20"/>
        </w:rPr>
        <w:t xml:space="preserve">(сноска введена </w:t>
      </w:r>
      <w:hyperlink w:history="0" r:id="rId50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spacing w:before="200" w:line-rule="auto"/>
        <w:ind w:firstLine="540"/>
        <w:jc w:val="both"/>
      </w:pPr>
      <w:r>
        <w:rPr>
          <w:sz w:val="20"/>
        </w:rPr>
        <w:t xml:space="preserve">&lt;16&gt; С учетом средств в размере 598,5 тыс. руб., в том числе восстановленные средства 2022 года - 598,5 тыс. руб. (федеральный бюджет - 568,5 тыс. руб., бюджет города Севастополя - 30,0 тыс. руб.).</w:t>
      </w:r>
    </w:p>
    <w:p>
      <w:pPr>
        <w:pStyle w:val="0"/>
        <w:jc w:val="both"/>
      </w:pPr>
      <w:r>
        <w:rPr>
          <w:sz w:val="20"/>
        </w:rPr>
        <w:t xml:space="preserve">(сноска введена </w:t>
      </w:r>
      <w:hyperlink w:history="0" r:id="rId50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spacing w:before="200" w:line-rule="auto"/>
        <w:ind w:firstLine="540"/>
        <w:jc w:val="both"/>
      </w:pPr>
      <w:r>
        <w:rPr>
          <w:sz w:val="20"/>
        </w:rPr>
        <w:t xml:space="preserve">&lt;17&gt; С учетом средств в размере 564,2 тыс. руб., в том числе восстановленные средства 2022 года - 564,2 тыс. руб. (федеральный бюджет - 536,0 тыс. руб., бюджет города Севастополя - 28,2 тыс. руб.).</w:t>
      </w:r>
    </w:p>
    <w:p>
      <w:pPr>
        <w:pStyle w:val="0"/>
        <w:jc w:val="both"/>
      </w:pPr>
      <w:r>
        <w:rPr>
          <w:sz w:val="20"/>
        </w:rPr>
        <w:t xml:space="preserve">(сноска введена </w:t>
      </w:r>
      <w:hyperlink w:history="0" r:id="rId509"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spacing w:before="200" w:line-rule="auto"/>
        <w:ind w:firstLine="540"/>
        <w:jc w:val="both"/>
      </w:pPr>
      <w:r>
        <w:rPr>
          <w:sz w:val="20"/>
        </w:rPr>
        <w:t xml:space="preserve">&lt;18&gt; С учетом средств в размере 1816,1 тыс. руб., в том числе восстановленные средства 2022 года - 1816,1 тыс. руб. (федеральный бюджет - 1725,3 тыс. руб., бюджет города Севастополя - 90,8 тыс. руб.).</w:t>
      </w:r>
    </w:p>
    <w:p>
      <w:pPr>
        <w:pStyle w:val="0"/>
        <w:jc w:val="both"/>
      </w:pPr>
      <w:r>
        <w:rPr>
          <w:sz w:val="20"/>
        </w:rPr>
        <w:t xml:space="preserve">(сноска введена </w:t>
      </w:r>
      <w:hyperlink w:history="0" r:id="rId51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spacing w:before="200" w:line-rule="auto"/>
        <w:ind w:firstLine="540"/>
        <w:jc w:val="both"/>
      </w:pPr>
      <w:r>
        <w:rPr>
          <w:sz w:val="20"/>
        </w:rPr>
        <w:t xml:space="preserve">&lt;19&gt; С учетом средств в размере 91000,0 тыс. руб., в том числе восстановленные средства 2022 года - 91000,0 тыс. руб. (федеральный бюджет - 86449,3 тыс. руб., бюджет города Севастополя - 4550,7 тыс. руб.).</w:t>
      </w:r>
    </w:p>
    <w:p>
      <w:pPr>
        <w:pStyle w:val="0"/>
        <w:jc w:val="both"/>
      </w:pPr>
      <w:r>
        <w:rPr>
          <w:sz w:val="20"/>
        </w:rPr>
        <w:t xml:space="preserve">(сноска введена </w:t>
      </w:r>
      <w:hyperlink w:history="0" r:id="rId511"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spacing w:before="200" w:line-rule="auto"/>
        <w:ind w:firstLine="540"/>
        <w:jc w:val="both"/>
      </w:pPr>
      <w:r>
        <w:rPr>
          <w:sz w:val="20"/>
        </w:rPr>
        <w:t xml:space="preserve">&lt;20&gt; С учетом средств в размере 4018,4 тыс. руб., в том числе восстановленные средства 2022 года - 4018,4 тыс. руб. (федеральный бюджет - 3817,4 тыс. руб., бюджет города Севастополя - 201,0 тыс. руб.).</w:t>
      </w:r>
    </w:p>
    <w:p>
      <w:pPr>
        <w:pStyle w:val="0"/>
        <w:jc w:val="both"/>
      </w:pPr>
      <w:r>
        <w:rPr>
          <w:sz w:val="20"/>
        </w:rPr>
        <w:t xml:space="preserve">(сноска введена </w:t>
      </w:r>
      <w:hyperlink w:history="0" r:id="rId51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ind w:firstLine="540"/>
        <w:jc w:val="both"/>
      </w:pPr>
      <w:r>
        <w:rPr>
          <w:sz w:val="20"/>
        </w:rPr>
      </w:r>
    </w:p>
    <w:p>
      <w:pPr>
        <w:pStyle w:val="0"/>
        <w:outlineLvl w:val="1"/>
        <w:jc w:val="right"/>
      </w:pPr>
      <w:r>
        <w:rPr>
          <w:sz w:val="20"/>
        </w:rPr>
        <w:t xml:space="preserve">Приложение N 5</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p>
      <w:pPr>
        <w:pStyle w:val="2"/>
        <w:jc w:val="center"/>
      </w:pPr>
      <w:r>
        <w:rPr>
          <w:sz w:val="20"/>
        </w:rPr>
        <w:t xml:space="preserve">Финансовое обеспечение мероприятий государственной программы</w:t>
      </w:r>
    </w:p>
    <w:p>
      <w:pPr>
        <w:pStyle w:val="2"/>
        <w:jc w:val="center"/>
      </w:pPr>
      <w:r>
        <w:rPr>
          <w:sz w:val="20"/>
        </w:rPr>
        <w:t xml:space="preserve">города Севастополя "Развитие здравоохранения в городе</w:t>
      </w:r>
    </w:p>
    <w:p>
      <w:pPr>
        <w:pStyle w:val="2"/>
        <w:jc w:val="center"/>
      </w:pPr>
      <w:r>
        <w:rPr>
          <w:sz w:val="20"/>
        </w:rPr>
        <w:t xml:space="preserve">Севастополе", реализуемых с привлечением средств</w:t>
      </w:r>
    </w:p>
    <w:p>
      <w:pPr>
        <w:pStyle w:val="2"/>
        <w:jc w:val="center"/>
      </w:pPr>
      <w:r>
        <w:rPr>
          <w:sz w:val="20"/>
        </w:rPr>
        <w:t xml:space="preserve">федерального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Севастополя от 02.03.2023 </w:t>
            </w:r>
            <w:hyperlink w:history="0" r:id="rId513"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108-ПП</w:t>
              </w:r>
            </w:hyperlink>
            <w:r>
              <w:rPr>
                <w:sz w:val="20"/>
                <w:color w:val="392c69"/>
              </w:rPr>
              <w:t xml:space="preserve">,</w:t>
            </w:r>
          </w:p>
          <w:p>
            <w:pPr>
              <w:pStyle w:val="0"/>
              <w:jc w:val="center"/>
            </w:pPr>
            <w:r>
              <w:rPr>
                <w:sz w:val="20"/>
                <w:color w:val="392c69"/>
              </w:rPr>
              <w:t xml:space="preserve">от 27.04.2023 </w:t>
            </w:r>
            <w:hyperlink w:history="0" r:id="rId51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219-ПП</w:t>
              </w:r>
            </w:hyperlink>
            <w:r>
              <w:rPr>
                <w:sz w:val="20"/>
                <w:color w:val="392c69"/>
              </w:rPr>
              <w:t xml:space="preserve">, от 28.07.2023 </w:t>
            </w:r>
            <w:hyperlink w:history="0" r:id="rId515"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358-ПП</w:t>
              </w:r>
            </w:hyperlink>
            <w:r>
              <w:rPr>
                <w:sz w:val="20"/>
                <w:color w:val="392c69"/>
              </w:rPr>
              <w:t xml:space="preserve">, от 16.10.2023 </w:t>
            </w:r>
            <w:hyperlink w:history="0" r:id="rId516"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470-ПП</w:t>
              </w:r>
            </w:hyperlink>
            <w:r>
              <w:rPr>
                <w:sz w:val="20"/>
                <w:color w:val="392c69"/>
              </w:rPr>
              <w:t xml:space="preserve">,</w:t>
            </w:r>
          </w:p>
          <w:p>
            <w:pPr>
              <w:pStyle w:val="0"/>
              <w:jc w:val="center"/>
            </w:pPr>
            <w:r>
              <w:rPr>
                <w:sz w:val="20"/>
                <w:color w:val="392c69"/>
              </w:rPr>
              <w:t xml:space="preserve">от 03.11.2023 </w:t>
            </w:r>
            <w:hyperlink w:history="0" r:id="rId517"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506-ПП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2040"/>
        <w:gridCol w:w="1928"/>
        <w:gridCol w:w="2211"/>
        <w:gridCol w:w="1361"/>
        <w:gridCol w:w="1361"/>
        <w:gridCol w:w="1474"/>
        <w:gridCol w:w="1417"/>
        <w:gridCol w:w="1361"/>
        <w:gridCol w:w="1361"/>
        <w:gridCol w:w="1247"/>
        <w:gridCol w:w="1247"/>
        <w:gridCol w:w="1304"/>
        <w:gridCol w:w="1531"/>
      </w:tblGrid>
      <w:tr>
        <w:tc>
          <w:tcPr>
            <w:tcW w:w="2778" w:type="dxa"/>
            <w:vMerge w:val="restart"/>
          </w:tcPr>
          <w:p>
            <w:pPr>
              <w:pStyle w:val="0"/>
              <w:jc w:val="center"/>
            </w:pPr>
            <w:r>
              <w:rPr>
                <w:sz w:val="20"/>
              </w:rPr>
              <w:t xml:space="preserve">Наименование государственной программы, подпрограммы, основных мероприятий, мероприятий</w:t>
            </w:r>
          </w:p>
        </w:tc>
        <w:tc>
          <w:tcPr>
            <w:tcW w:w="2040" w:type="dxa"/>
            <w:vMerge w:val="restart"/>
          </w:tcPr>
          <w:p>
            <w:pPr>
              <w:pStyle w:val="0"/>
              <w:jc w:val="center"/>
            </w:pPr>
            <w:r>
              <w:rPr>
                <w:sz w:val="20"/>
              </w:rPr>
              <w:t xml:space="preserve">Наименование федеральной целевой, государственной программы Российской Федерации, непрограммного мероприятия бюджета Российской Федерации</w:t>
            </w:r>
          </w:p>
        </w:tc>
        <w:tc>
          <w:tcPr>
            <w:tcW w:w="1928" w:type="dxa"/>
            <w:vMerge w:val="restart"/>
          </w:tcPr>
          <w:p>
            <w:pPr>
              <w:pStyle w:val="0"/>
              <w:jc w:val="center"/>
            </w:pPr>
            <w:r>
              <w:rPr>
                <w:sz w:val="20"/>
              </w:rPr>
              <w:t xml:space="preserve">Главный распорядитель бюджетных средств</w:t>
            </w:r>
          </w:p>
        </w:tc>
        <w:tc>
          <w:tcPr>
            <w:tcW w:w="2211" w:type="dxa"/>
            <w:vMerge w:val="restart"/>
          </w:tcPr>
          <w:p>
            <w:pPr>
              <w:pStyle w:val="0"/>
              <w:jc w:val="center"/>
            </w:pPr>
            <w:r>
              <w:rPr>
                <w:sz w:val="20"/>
              </w:rPr>
              <w:t xml:space="preserve">Источники финансирования</w:t>
            </w:r>
          </w:p>
        </w:tc>
        <w:tc>
          <w:tcPr>
            <w:gridSpan w:val="10"/>
            <w:tcW w:w="13664" w:type="dxa"/>
          </w:tcPr>
          <w:p>
            <w:pPr>
              <w:pStyle w:val="0"/>
              <w:jc w:val="center"/>
            </w:pPr>
            <w:r>
              <w:rPr>
                <w:sz w:val="20"/>
              </w:rPr>
              <w:t xml:space="preserve">План финансирования Программы (тыс. рублей)</w:t>
            </w:r>
          </w:p>
        </w:tc>
      </w:tr>
      <w:tr>
        <w:tc>
          <w:tcPr>
            <w:vMerge w:val="continue"/>
          </w:tcPr>
          <w:p/>
        </w:tc>
        <w:tc>
          <w:tcPr>
            <w:vMerge w:val="continue"/>
          </w:tcPr>
          <w:p/>
        </w:tc>
        <w:tc>
          <w:tcPr>
            <w:vMerge w:val="continue"/>
          </w:tcPr>
          <w:p/>
        </w:tc>
        <w:tc>
          <w:tcPr>
            <w:vMerge w:val="continue"/>
          </w:tcPr>
          <w:p/>
        </w:tc>
        <w:tc>
          <w:tcPr>
            <w:tcW w:w="1361" w:type="dxa"/>
          </w:tcPr>
          <w:p>
            <w:pPr>
              <w:pStyle w:val="0"/>
              <w:jc w:val="center"/>
            </w:pPr>
            <w:r>
              <w:rPr>
                <w:sz w:val="20"/>
              </w:rPr>
              <w:t xml:space="preserve">2022 год</w:t>
            </w:r>
          </w:p>
        </w:tc>
        <w:tc>
          <w:tcPr>
            <w:tcW w:w="1361" w:type="dxa"/>
          </w:tcPr>
          <w:p>
            <w:pPr>
              <w:pStyle w:val="0"/>
              <w:jc w:val="center"/>
            </w:pPr>
            <w:r>
              <w:rPr>
                <w:sz w:val="20"/>
              </w:rPr>
              <w:t xml:space="preserve">2023 год</w:t>
            </w:r>
          </w:p>
        </w:tc>
        <w:tc>
          <w:tcPr>
            <w:tcW w:w="1474" w:type="dxa"/>
          </w:tcPr>
          <w:p>
            <w:pPr>
              <w:pStyle w:val="0"/>
              <w:jc w:val="center"/>
            </w:pPr>
            <w:r>
              <w:rPr>
                <w:sz w:val="20"/>
              </w:rPr>
              <w:t xml:space="preserve">2024 год</w:t>
            </w:r>
          </w:p>
        </w:tc>
        <w:tc>
          <w:tcPr>
            <w:tcW w:w="1417" w:type="dxa"/>
          </w:tcPr>
          <w:p>
            <w:pPr>
              <w:pStyle w:val="0"/>
              <w:jc w:val="center"/>
            </w:pPr>
            <w:r>
              <w:rPr>
                <w:sz w:val="20"/>
              </w:rPr>
              <w:t xml:space="preserve">2025 год</w:t>
            </w:r>
          </w:p>
        </w:tc>
        <w:tc>
          <w:tcPr>
            <w:tcW w:w="1361" w:type="dxa"/>
          </w:tcPr>
          <w:p>
            <w:pPr>
              <w:pStyle w:val="0"/>
              <w:jc w:val="center"/>
            </w:pPr>
            <w:r>
              <w:rPr>
                <w:sz w:val="20"/>
              </w:rPr>
              <w:t xml:space="preserve">2026 год</w:t>
            </w:r>
          </w:p>
        </w:tc>
        <w:tc>
          <w:tcPr>
            <w:tcW w:w="1361" w:type="dxa"/>
          </w:tcPr>
          <w:p>
            <w:pPr>
              <w:pStyle w:val="0"/>
              <w:jc w:val="center"/>
            </w:pPr>
            <w:r>
              <w:rPr>
                <w:sz w:val="20"/>
              </w:rPr>
              <w:t xml:space="preserve">2027 год</w:t>
            </w:r>
          </w:p>
        </w:tc>
        <w:tc>
          <w:tcPr>
            <w:tcW w:w="1247" w:type="dxa"/>
          </w:tcPr>
          <w:p>
            <w:pPr>
              <w:pStyle w:val="0"/>
              <w:jc w:val="center"/>
            </w:pPr>
            <w:r>
              <w:rPr>
                <w:sz w:val="20"/>
              </w:rPr>
              <w:t xml:space="preserve">2028 год</w:t>
            </w:r>
          </w:p>
        </w:tc>
        <w:tc>
          <w:tcPr>
            <w:tcW w:w="1247" w:type="dxa"/>
          </w:tcPr>
          <w:p>
            <w:pPr>
              <w:pStyle w:val="0"/>
              <w:jc w:val="center"/>
            </w:pPr>
            <w:r>
              <w:rPr>
                <w:sz w:val="20"/>
              </w:rPr>
              <w:t xml:space="preserve">2029 год</w:t>
            </w:r>
          </w:p>
        </w:tc>
        <w:tc>
          <w:tcPr>
            <w:tcW w:w="1304" w:type="dxa"/>
          </w:tcPr>
          <w:p>
            <w:pPr>
              <w:pStyle w:val="0"/>
              <w:jc w:val="center"/>
            </w:pPr>
            <w:r>
              <w:rPr>
                <w:sz w:val="20"/>
              </w:rPr>
              <w:t xml:space="preserve">2030 год</w:t>
            </w:r>
          </w:p>
        </w:tc>
        <w:tc>
          <w:tcPr>
            <w:tcW w:w="1531" w:type="dxa"/>
          </w:tcPr>
          <w:p>
            <w:pPr>
              <w:pStyle w:val="0"/>
              <w:jc w:val="center"/>
            </w:pPr>
            <w:r>
              <w:rPr>
                <w:sz w:val="20"/>
              </w:rPr>
              <w:t xml:space="preserve">Всего</w:t>
            </w:r>
          </w:p>
        </w:tc>
      </w:tr>
      <w:tr>
        <w:tc>
          <w:tcPr>
            <w:tcW w:w="2778" w:type="dxa"/>
          </w:tcPr>
          <w:p>
            <w:pPr>
              <w:pStyle w:val="0"/>
              <w:jc w:val="center"/>
            </w:pPr>
            <w:r>
              <w:rPr>
                <w:sz w:val="20"/>
              </w:rPr>
              <w:t xml:space="preserve">1</w:t>
            </w:r>
          </w:p>
        </w:tc>
        <w:tc>
          <w:tcPr>
            <w:tcW w:w="2040" w:type="dxa"/>
          </w:tcPr>
          <w:p>
            <w:pPr>
              <w:pStyle w:val="0"/>
              <w:jc w:val="center"/>
            </w:pPr>
            <w:r>
              <w:rPr>
                <w:sz w:val="20"/>
              </w:rPr>
              <w:t xml:space="preserve">2</w:t>
            </w:r>
          </w:p>
        </w:tc>
        <w:tc>
          <w:tcPr>
            <w:tcW w:w="1928" w:type="dxa"/>
          </w:tcPr>
          <w:p>
            <w:pPr>
              <w:pStyle w:val="0"/>
              <w:jc w:val="center"/>
            </w:pPr>
            <w:r>
              <w:rPr>
                <w:sz w:val="20"/>
              </w:rPr>
              <w:t xml:space="preserve">3</w:t>
            </w:r>
          </w:p>
        </w:tc>
        <w:tc>
          <w:tcPr>
            <w:tcW w:w="2211" w:type="dxa"/>
          </w:tcPr>
          <w:p>
            <w:pPr>
              <w:pStyle w:val="0"/>
              <w:jc w:val="center"/>
            </w:pPr>
            <w:r>
              <w:rPr>
                <w:sz w:val="20"/>
              </w:rPr>
              <w:t xml:space="preserve">4</w:t>
            </w:r>
          </w:p>
        </w:tc>
        <w:tc>
          <w:tcPr>
            <w:tcW w:w="1361" w:type="dxa"/>
          </w:tcPr>
          <w:p>
            <w:pPr>
              <w:pStyle w:val="0"/>
              <w:jc w:val="center"/>
            </w:pPr>
            <w:r>
              <w:rPr>
                <w:sz w:val="20"/>
              </w:rPr>
              <w:t xml:space="preserve">5</w:t>
            </w:r>
          </w:p>
        </w:tc>
        <w:tc>
          <w:tcPr>
            <w:tcW w:w="1361" w:type="dxa"/>
          </w:tcPr>
          <w:p>
            <w:pPr>
              <w:pStyle w:val="0"/>
              <w:jc w:val="center"/>
            </w:pPr>
            <w:r>
              <w:rPr>
                <w:sz w:val="20"/>
              </w:rPr>
              <w:t xml:space="preserve">6</w:t>
            </w:r>
          </w:p>
        </w:tc>
        <w:tc>
          <w:tcPr>
            <w:tcW w:w="1474" w:type="dxa"/>
          </w:tcPr>
          <w:p>
            <w:pPr>
              <w:pStyle w:val="0"/>
              <w:jc w:val="center"/>
            </w:pPr>
            <w:r>
              <w:rPr>
                <w:sz w:val="20"/>
              </w:rPr>
              <w:t xml:space="preserve">7</w:t>
            </w:r>
          </w:p>
        </w:tc>
        <w:tc>
          <w:tcPr>
            <w:tcW w:w="1417" w:type="dxa"/>
          </w:tcPr>
          <w:p>
            <w:pPr>
              <w:pStyle w:val="0"/>
              <w:jc w:val="center"/>
            </w:pPr>
            <w:r>
              <w:rPr>
                <w:sz w:val="20"/>
              </w:rPr>
              <w:t xml:space="preserve">8</w:t>
            </w:r>
          </w:p>
        </w:tc>
        <w:tc>
          <w:tcPr>
            <w:tcW w:w="1361" w:type="dxa"/>
          </w:tcPr>
          <w:p>
            <w:pPr>
              <w:pStyle w:val="0"/>
              <w:jc w:val="center"/>
            </w:pPr>
            <w:r>
              <w:rPr>
                <w:sz w:val="20"/>
              </w:rPr>
              <w:t xml:space="preserve">9</w:t>
            </w:r>
          </w:p>
        </w:tc>
        <w:tc>
          <w:tcPr>
            <w:tcW w:w="1361" w:type="dxa"/>
          </w:tcPr>
          <w:p>
            <w:pPr>
              <w:pStyle w:val="0"/>
              <w:jc w:val="center"/>
            </w:pPr>
            <w:r>
              <w:rPr>
                <w:sz w:val="20"/>
              </w:rPr>
              <w:t xml:space="preserve">10</w:t>
            </w:r>
          </w:p>
        </w:tc>
        <w:tc>
          <w:tcPr>
            <w:tcW w:w="1247" w:type="dxa"/>
          </w:tcPr>
          <w:p>
            <w:pPr>
              <w:pStyle w:val="0"/>
              <w:jc w:val="center"/>
            </w:pPr>
            <w:r>
              <w:rPr>
                <w:sz w:val="20"/>
              </w:rPr>
              <w:t xml:space="preserve">11</w:t>
            </w:r>
          </w:p>
        </w:tc>
        <w:tc>
          <w:tcPr>
            <w:tcW w:w="1247" w:type="dxa"/>
          </w:tcPr>
          <w:p>
            <w:pPr>
              <w:pStyle w:val="0"/>
              <w:jc w:val="center"/>
            </w:pPr>
            <w:r>
              <w:rPr>
                <w:sz w:val="20"/>
              </w:rPr>
              <w:t xml:space="preserve">12</w:t>
            </w:r>
          </w:p>
        </w:tc>
        <w:tc>
          <w:tcPr>
            <w:tcW w:w="1304" w:type="dxa"/>
          </w:tcPr>
          <w:p>
            <w:pPr>
              <w:pStyle w:val="0"/>
              <w:jc w:val="center"/>
            </w:pPr>
            <w:r>
              <w:rPr>
                <w:sz w:val="20"/>
              </w:rPr>
              <w:t xml:space="preserve">13</w:t>
            </w:r>
          </w:p>
        </w:tc>
        <w:tc>
          <w:tcPr>
            <w:tcW w:w="1531" w:type="dxa"/>
          </w:tcPr>
          <w:p>
            <w:pPr>
              <w:pStyle w:val="0"/>
              <w:jc w:val="center"/>
            </w:pPr>
            <w:r>
              <w:rPr>
                <w:sz w:val="20"/>
              </w:rPr>
              <w:t xml:space="preserve">14</w:t>
            </w:r>
          </w:p>
        </w:tc>
      </w:tr>
      <w:tr>
        <w:tc>
          <w:tcPr>
            <w:tcW w:w="2778" w:type="dxa"/>
            <w:tcBorders>
              <w:bottom w:val="nil"/>
            </w:tcBorders>
            <w:vMerge w:val="restart"/>
          </w:tcPr>
          <w:p>
            <w:pPr>
              <w:pStyle w:val="0"/>
              <w:jc w:val="both"/>
            </w:pPr>
            <w:r>
              <w:rPr>
                <w:sz w:val="20"/>
              </w:rPr>
              <w:t xml:space="preserve">Всего по Программе</w:t>
            </w:r>
          </w:p>
        </w:tc>
        <w:tc>
          <w:tcPr>
            <w:tcW w:w="2040" w:type="dxa"/>
            <w:tcBorders>
              <w:bottom w:val="nil"/>
            </w:tcBorders>
            <w:vMerge w:val="restart"/>
          </w:tcPr>
          <w:p>
            <w:pPr>
              <w:pStyle w:val="0"/>
              <w:jc w:val="both"/>
            </w:pPr>
            <w:r>
              <w:rPr>
                <w:sz w:val="20"/>
              </w:rPr>
            </w:r>
          </w:p>
        </w:tc>
        <w:tc>
          <w:tcPr>
            <w:tcW w:w="1928" w:type="dxa"/>
            <w:tcBorders>
              <w:bottom w:val="nil"/>
            </w:tcBorders>
            <w:vMerge w:val="restart"/>
          </w:tcPr>
          <w:p>
            <w:pPr>
              <w:pStyle w:val="0"/>
              <w:jc w:val="both"/>
            </w:pPr>
            <w:r>
              <w:rPr>
                <w:sz w:val="20"/>
              </w:rPr>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1674119,5</w:t>
            </w:r>
          </w:p>
        </w:tc>
        <w:tc>
          <w:tcPr>
            <w:tcW w:w="1361" w:type="dxa"/>
          </w:tcPr>
          <w:p>
            <w:pPr>
              <w:pStyle w:val="0"/>
              <w:jc w:val="center"/>
            </w:pPr>
            <w:r>
              <w:rPr>
                <w:sz w:val="20"/>
              </w:rPr>
              <w:t xml:space="preserve">2791653,1</w:t>
            </w:r>
          </w:p>
        </w:tc>
        <w:tc>
          <w:tcPr>
            <w:tcW w:w="1474" w:type="dxa"/>
          </w:tcPr>
          <w:p>
            <w:pPr>
              <w:pStyle w:val="0"/>
              <w:jc w:val="center"/>
            </w:pPr>
            <w:r>
              <w:rPr>
                <w:sz w:val="20"/>
              </w:rPr>
              <w:t xml:space="preserve">2126551,7</w:t>
            </w:r>
          </w:p>
        </w:tc>
        <w:tc>
          <w:tcPr>
            <w:tcW w:w="1417" w:type="dxa"/>
          </w:tcPr>
          <w:p>
            <w:pPr>
              <w:pStyle w:val="0"/>
              <w:jc w:val="center"/>
            </w:pPr>
            <w:r>
              <w:rPr>
                <w:sz w:val="20"/>
              </w:rPr>
              <w:t xml:space="preserve">5418402,5</w:t>
            </w:r>
          </w:p>
        </w:tc>
        <w:tc>
          <w:tcPr>
            <w:tcW w:w="1361" w:type="dxa"/>
          </w:tcPr>
          <w:p>
            <w:pPr>
              <w:pStyle w:val="0"/>
              <w:jc w:val="center"/>
            </w:pPr>
            <w:r>
              <w:rPr>
                <w:sz w:val="20"/>
              </w:rPr>
              <w:t xml:space="preserve">9235747,4</w:t>
            </w:r>
          </w:p>
        </w:tc>
        <w:tc>
          <w:tcPr>
            <w:tcW w:w="1361" w:type="dxa"/>
          </w:tcPr>
          <w:p>
            <w:pPr>
              <w:pStyle w:val="0"/>
              <w:jc w:val="center"/>
            </w:pPr>
            <w:r>
              <w:rPr>
                <w:sz w:val="20"/>
              </w:rPr>
              <w:t xml:space="preserve">4956099,5</w:t>
            </w:r>
          </w:p>
        </w:tc>
        <w:tc>
          <w:tcPr>
            <w:tcW w:w="1247" w:type="dxa"/>
          </w:tcPr>
          <w:p>
            <w:pPr>
              <w:pStyle w:val="0"/>
              <w:jc w:val="center"/>
            </w:pPr>
            <w:r>
              <w:rPr>
                <w:sz w:val="20"/>
              </w:rPr>
              <w:t xml:space="preserve">598544,2</w:t>
            </w:r>
          </w:p>
        </w:tc>
        <w:tc>
          <w:tcPr>
            <w:tcW w:w="1247" w:type="dxa"/>
          </w:tcPr>
          <w:p>
            <w:pPr>
              <w:pStyle w:val="0"/>
              <w:jc w:val="center"/>
            </w:pPr>
            <w:r>
              <w:rPr>
                <w:sz w:val="20"/>
              </w:rPr>
              <w:t xml:space="preserve">615289,2</w:t>
            </w:r>
          </w:p>
        </w:tc>
        <w:tc>
          <w:tcPr>
            <w:tcW w:w="1304" w:type="dxa"/>
          </w:tcPr>
          <w:p>
            <w:pPr>
              <w:pStyle w:val="0"/>
              <w:jc w:val="center"/>
            </w:pPr>
            <w:r>
              <w:rPr>
                <w:sz w:val="20"/>
              </w:rPr>
              <w:t xml:space="preserve">632503,4</w:t>
            </w:r>
          </w:p>
        </w:tc>
        <w:tc>
          <w:tcPr>
            <w:tcW w:w="1531" w:type="dxa"/>
          </w:tcPr>
          <w:p>
            <w:pPr>
              <w:pStyle w:val="0"/>
              <w:jc w:val="center"/>
            </w:pPr>
            <w:r>
              <w:rPr>
                <w:sz w:val="20"/>
              </w:rPr>
              <w:t xml:space="preserve">28048910,5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422373,6</w:t>
            </w:r>
          </w:p>
        </w:tc>
        <w:tc>
          <w:tcPr>
            <w:tcW w:w="1361" w:type="dxa"/>
          </w:tcPr>
          <w:p>
            <w:pPr>
              <w:pStyle w:val="0"/>
              <w:jc w:val="center"/>
            </w:pPr>
            <w:r>
              <w:rPr>
                <w:sz w:val="20"/>
              </w:rPr>
              <w:t xml:space="preserve">1688686,8</w:t>
            </w:r>
          </w:p>
        </w:tc>
        <w:tc>
          <w:tcPr>
            <w:tcW w:w="1474" w:type="dxa"/>
          </w:tcPr>
          <w:p>
            <w:pPr>
              <w:pStyle w:val="0"/>
              <w:jc w:val="center"/>
            </w:pPr>
            <w:r>
              <w:rPr>
                <w:sz w:val="20"/>
              </w:rPr>
              <w:t xml:space="preserve">1103068,9</w:t>
            </w:r>
          </w:p>
        </w:tc>
        <w:tc>
          <w:tcPr>
            <w:tcW w:w="1417" w:type="dxa"/>
          </w:tcPr>
          <w:p>
            <w:pPr>
              <w:pStyle w:val="0"/>
              <w:jc w:val="center"/>
            </w:pPr>
            <w:r>
              <w:rPr>
                <w:sz w:val="20"/>
              </w:rPr>
              <w:t xml:space="preserve">4120591,8</w:t>
            </w:r>
          </w:p>
        </w:tc>
        <w:tc>
          <w:tcPr>
            <w:tcW w:w="1361" w:type="dxa"/>
          </w:tcPr>
          <w:p>
            <w:pPr>
              <w:pStyle w:val="0"/>
              <w:jc w:val="center"/>
            </w:pPr>
            <w:r>
              <w:rPr>
                <w:sz w:val="20"/>
              </w:rPr>
              <w:t xml:space="preserve">7877478,6</w:t>
            </w:r>
          </w:p>
        </w:tc>
        <w:tc>
          <w:tcPr>
            <w:tcW w:w="1361" w:type="dxa"/>
          </w:tcPr>
          <w:p>
            <w:pPr>
              <w:pStyle w:val="0"/>
              <w:jc w:val="center"/>
            </w:pPr>
            <w:r>
              <w:rPr>
                <w:sz w:val="20"/>
              </w:rPr>
              <w:t xml:space="preserve">4036988,0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19249187,7</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1056532,7</w:t>
            </w:r>
          </w:p>
        </w:tc>
        <w:tc>
          <w:tcPr>
            <w:tcW w:w="1361" w:type="dxa"/>
          </w:tcPr>
          <w:p>
            <w:pPr>
              <w:pStyle w:val="0"/>
              <w:jc w:val="center"/>
            </w:pPr>
            <w:r>
              <w:rPr>
                <w:sz w:val="20"/>
              </w:rPr>
              <w:t xml:space="preserve">843372,9</w:t>
            </w:r>
          </w:p>
        </w:tc>
        <w:tc>
          <w:tcPr>
            <w:tcW w:w="1474" w:type="dxa"/>
          </w:tcPr>
          <w:p>
            <w:pPr>
              <w:pStyle w:val="0"/>
              <w:jc w:val="center"/>
            </w:pPr>
            <w:r>
              <w:rPr>
                <w:sz w:val="20"/>
              </w:rPr>
              <w:t xml:space="preserve">806013,0</w:t>
            </w:r>
          </w:p>
        </w:tc>
        <w:tc>
          <w:tcPr>
            <w:tcW w:w="1417" w:type="dxa"/>
          </w:tcPr>
          <w:p>
            <w:pPr>
              <w:pStyle w:val="0"/>
              <w:jc w:val="center"/>
            </w:pPr>
            <w:r>
              <w:rPr>
                <w:sz w:val="20"/>
              </w:rPr>
              <w:t xml:space="preserve">822812,9</w:t>
            </w:r>
          </w:p>
        </w:tc>
        <w:tc>
          <w:tcPr>
            <w:tcW w:w="1361" w:type="dxa"/>
          </w:tcPr>
          <w:p>
            <w:pPr>
              <w:pStyle w:val="0"/>
              <w:jc w:val="center"/>
            </w:pPr>
            <w:r>
              <w:rPr>
                <w:sz w:val="20"/>
              </w:rPr>
              <w:t xml:space="preserve">403682,6</w:t>
            </w:r>
          </w:p>
        </w:tc>
        <w:tc>
          <w:tcPr>
            <w:tcW w:w="1361" w:type="dxa"/>
          </w:tcPr>
          <w:p>
            <w:pPr>
              <w:pStyle w:val="0"/>
              <w:jc w:val="center"/>
            </w:pPr>
            <w:r>
              <w:rPr>
                <w:sz w:val="20"/>
              </w:rPr>
              <w:t xml:space="preserve">416182,4</w:t>
            </w:r>
          </w:p>
        </w:tc>
        <w:tc>
          <w:tcPr>
            <w:tcW w:w="1247" w:type="dxa"/>
          </w:tcPr>
          <w:p>
            <w:pPr>
              <w:pStyle w:val="0"/>
              <w:jc w:val="center"/>
            </w:pPr>
            <w:r>
              <w:rPr>
                <w:sz w:val="20"/>
              </w:rPr>
              <w:t xml:space="preserve">428238,2</w:t>
            </w:r>
          </w:p>
        </w:tc>
        <w:tc>
          <w:tcPr>
            <w:tcW w:w="1247" w:type="dxa"/>
          </w:tcPr>
          <w:p>
            <w:pPr>
              <w:pStyle w:val="0"/>
              <w:jc w:val="center"/>
            </w:pPr>
            <w:r>
              <w:rPr>
                <w:sz w:val="20"/>
              </w:rPr>
              <w:t xml:space="preserve">440215,7</w:t>
            </w:r>
          </w:p>
        </w:tc>
        <w:tc>
          <w:tcPr>
            <w:tcW w:w="1304" w:type="dxa"/>
          </w:tcPr>
          <w:p>
            <w:pPr>
              <w:pStyle w:val="0"/>
              <w:jc w:val="center"/>
            </w:pPr>
            <w:r>
              <w:rPr>
                <w:sz w:val="20"/>
              </w:rPr>
              <w:t xml:space="preserve">452528,7</w:t>
            </w:r>
          </w:p>
        </w:tc>
        <w:tc>
          <w:tcPr>
            <w:tcW w:w="1531" w:type="dxa"/>
          </w:tcPr>
          <w:p>
            <w:pPr>
              <w:pStyle w:val="0"/>
              <w:jc w:val="center"/>
            </w:pPr>
            <w:r>
              <w:rPr>
                <w:sz w:val="20"/>
              </w:rPr>
              <w:t xml:space="preserve">5669579,1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195213,2</w:t>
            </w:r>
          </w:p>
        </w:tc>
        <w:tc>
          <w:tcPr>
            <w:tcW w:w="1361" w:type="dxa"/>
          </w:tcPr>
          <w:p>
            <w:pPr>
              <w:pStyle w:val="0"/>
              <w:jc w:val="center"/>
            </w:pPr>
            <w:r>
              <w:rPr>
                <w:sz w:val="20"/>
              </w:rPr>
              <w:t xml:space="preserve">259593,4</w:t>
            </w:r>
          </w:p>
        </w:tc>
        <w:tc>
          <w:tcPr>
            <w:tcW w:w="1474" w:type="dxa"/>
          </w:tcPr>
          <w:p>
            <w:pPr>
              <w:pStyle w:val="0"/>
              <w:jc w:val="center"/>
            </w:pPr>
            <w:r>
              <w:rPr>
                <w:sz w:val="20"/>
              </w:rPr>
              <w:t xml:space="preserve">217469,8</w:t>
            </w:r>
          </w:p>
        </w:tc>
        <w:tc>
          <w:tcPr>
            <w:tcW w:w="1417" w:type="dxa"/>
          </w:tcPr>
          <w:p>
            <w:pPr>
              <w:pStyle w:val="0"/>
              <w:jc w:val="center"/>
            </w:pPr>
            <w:r>
              <w:rPr>
                <w:sz w:val="20"/>
              </w:rPr>
              <w:t xml:space="preserve">474997,8</w:t>
            </w:r>
          </w:p>
        </w:tc>
        <w:tc>
          <w:tcPr>
            <w:tcW w:w="1361" w:type="dxa"/>
          </w:tcPr>
          <w:p>
            <w:pPr>
              <w:pStyle w:val="0"/>
              <w:jc w:val="center"/>
            </w:pPr>
            <w:r>
              <w:rPr>
                <w:sz w:val="20"/>
              </w:rPr>
              <w:t xml:space="preserve">954586,2</w:t>
            </w:r>
          </w:p>
        </w:tc>
        <w:tc>
          <w:tcPr>
            <w:tcW w:w="1361" w:type="dxa"/>
          </w:tcPr>
          <w:p>
            <w:pPr>
              <w:pStyle w:val="0"/>
              <w:jc w:val="center"/>
            </w:pPr>
            <w:r>
              <w:rPr>
                <w:sz w:val="20"/>
              </w:rPr>
              <w:t xml:space="preserve">502929,1</w:t>
            </w:r>
          </w:p>
        </w:tc>
        <w:tc>
          <w:tcPr>
            <w:tcW w:w="1247" w:type="dxa"/>
          </w:tcPr>
          <w:p>
            <w:pPr>
              <w:pStyle w:val="0"/>
              <w:jc w:val="center"/>
            </w:pPr>
            <w:r>
              <w:rPr>
                <w:sz w:val="20"/>
              </w:rPr>
              <w:t xml:space="preserve">170306,0</w:t>
            </w:r>
          </w:p>
        </w:tc>
        <w:tc>
          <w:tcPr>
            <w:tcW w:w="1247" w:type="dxa"/>
          </w:tcPr>
          <w:p>
            <w:pPr>
              <w:pStyle w:val="0"/>
              <w:jc w:val="center"/>
            </w:pPr>
            <w:r>
              <w:rPr>
                <w:sz w:val="20"/>
              </w:rPr>
              <w:t xml:space="preserve">175073,5</w:t>
            </w:r>
          </w:p>
        </w:tc>
        <w:tc>
          <w:tcPr>
            <w:tcW w:w="1304" w:type="dxa"/>
          </w:tcPr>
          <w:p>
            <w:pPr>
              <w:pStyle w:val="0"/>
              <w:jc w:val="center"/>
            </w:pPr>
            <w:r>
              <w:rPr>
                <w:sz w:val="20"/>
              </w:rPr>
              <w:t xml:space="preserve">179974,7</w:t>
            </w:r>
          </w:p>
        </w:tc>
        <w:tc>
          <w:tcPr>
            <w:tcW w:w="1531" w:type="dxa"/>
          </w:tcPr>
          <w:p>
            <w:pPr>
              <w:pStyle w:val="0"/>
              <w:jc w:val="center"/>
            </w:pPr>
            <w:r>
              <w:rPr>
                <w:sz w:val="20"/>
              </w:rPr>
              <w:t xml:space="preserve">3130143,7</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22221,7</w:t>
            </w:r>
          </w:p>
        </w:tc>
        <w:tc>
          <w:tcPr>
            <w:tcW w:w="1361" w:type="dxa"/>
          </w:tcPr>
          <w:p>
            <w:pPr>
              <w:pStyle w:val="0"/>
              <w:jc w:val="center"/>
            </w:pPr>
            <w:r>
              <w:rPr>
                <w:sz w:val="20"/>
              </w:rPr>
              <w:t xml:space="preserve">88874,5</w:t>
            </w:r>
          </w:p>
        </w:tc>
        <w:tc>
          <w:tcPr>
            <w:tcW w:w="1474" w:type="dxa"/>
          </w:tcPr>
          <w:p>
            <w:pPr>
              <w:pStyle w:val="0"/>
              <w:jc w:val="center"/>
            </w:pPr>
            <w:r>
              <w:rPr>
                <w:sz w:val="20"/>
              </w:rPr>
              <w:t xml:space="preserve">58055,3</w:t>
            </w:r>
          </w:p>
        </w:tc>
        <w:tc>
          <w:tcPr>
            <w:tcW w:w="1417" w:type="dxa"/>
          </w:tcPr>
          <w:p>
            <w:pPr>
              <w:pStyle w:val="0"/>
              <w:jc w:val="center"/>
            </w:pPr>
            <w:r>
              <w:rPr>
                <w:sz w:val="20"/>
              </w:rPr>
              <w:t xml:space="preserve">310154,1</w:t>
            </w:r>
          </w:p>
        </w:tc>
        <w:tc>
          <w:tcPr>
            <w:tcW w:w="1361" w:type="dxa"/>
          </w:tcPr>
          <w:p>
            <w:pPr>
              <w:pStyle w:val="0"/>
              <w:jc w:val="center"/>
            </w:pPr>
            <w:r>
              <w:rPr>
                <w:sz w:val="20"/>
              </w:rPr>
              <w:t xml:space="preserve">592927,7</w:t>
            </w:r>
          </w:p>
        </w:tc>
        <w:tc>
          <w:tcPr>
            <w:tcW w:w="1361" w:type="dxa"/>
          </w:tcPr>
          <w:p>
            <w:pPr>
              <w:pStyle w:val="0"/>
              <w:jc w:val="center"/>
            </w:pPr>
            <w:r>
              <w:rPr>
                <w:sz w:val="20"/>
              </w:rPr>
              <w:t xml:space="preserve">303850,0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1376083,3</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33571,8</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33571,8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18"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tc>
      </w:tr>
      <w:tr>
        <w:tc>
          <w:tcPr>
            <w:gridSpan w:val="14"/>
            <w:tcW w:w="22621" w:type="dxa"/>
          </w:tcPr>
          <w:p>
            <w:pPr>
              <w:pStyle w:val="0"/>
              <w:outlineLvl w:val="2"/>
              <w:jc w:val="center"/>
            </w:pPr>
            <w:r>
              <w:rPr>
                <w:sz w:val="20"/>
              </w:rPr>
              <w:t xml:space="preserve">Подпрограмма 1 "Профилактика заболеваний и формирование здорового образа жизни. Развитие первичной медико-санитарной помощи"</w:t>
            </w:r>
          </w:p>
        </w:tc>
      </w:tr>
      <w:tr>
        <w:tc>
          <w:tcPr>
            <w:tcW w:w="2778" w:type="dxa"/>
            <w:tcBorders>
              <w:bottom w:val="nil"/>
            </w:tcBorders>
            <w:vMerge w:val="restart"/>
          </w:tcPr>
          <w:p>
            <w:pPr>
              <w:pStyle w:val="0"/>
              <w:jc w:val="both"/>
            </w:pPr>
            <w:r>
              <w:rPr>
                <w:sz w:val="20"/>
              </w:rPr>
              <w:t xml:space="preserve">1.4.4. Лекарственное обеспечение федеральных льготополучателей</w:t>
            </w:r>
          </w:p>
        </w:tc>
        <w:tc>
          <w:tcPr>
            <w:tcW w:w="2040" w:type="dxa"/>
            <w:tcBorders>
              <w:bottom w:val="nil"/>
            </w:tcBorders>
            <w:vMerge w:val="restart"/>
          </w:tcPr>
          <w:p>
            <w:pPr>
              <w:pStyle w:val="0"/>
              <w:jc w:val="both"/>
            </w:pPr>
            <w:r>
              <w:rPr>
                <w:sz w:val="20"/>
              </w:rPr>
              <w:t xml:space="preserve">Государственная </w:t>
            </w:r>
            <w:hyperlink w:history="0" r:id="rId519"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167823,2</w:t>
            </w:r>
          </w:p>
        </w:tc>
        <w:tc>
          <w:tcPr>
            <w:tcW w:w="1361" w:type="dxa"/>
          </w:tcPr>
          <w:p>
            <w:pPr>
              <w:pStyle w:val="0"/>
              <w:jc w:val="center"/>
            </w:pPr>
            <w:r>
              <w:rPr>
                <w:sz w:val="20"/>
              </w:rPr>
              <w:t xml:space="preserve">183731,4</w:t>
            </w:r>
          </w:p>
        </w:tc>
        <w:tc>
          <w:tcPr>
            <w:tcW w:w="1474" w:type="dxa"/>
          </w:tcPr>
          <w:p>
            <w:pPr>
              <w:pStyle w:val="0"/>
              <w:jc w:val="center"/>
            </w:pPr>
            <w:r>
              <w:rPr>
                <w:sz w:val="20"/>
              </w:rPr>
              <w:t xml:space="preserve">187869,8</w:t>
            </w:r>
          </w:p>
        </w:tc>
        <w:tc>
          <w:tcPr>
            <w:tcW w:w="1417" w:type="dxa"/>
          </w:tcPr>
          <w:p>
            <w:pPr>
              <w:pStyle w:val="0"/>
              <w:jc w:val="center"/>
            </w:pPr>
            <w:r>
              <w:rPr>
                <w:sz w:val="20"/>
              </w:rPr>
              <w:t xml:space="preserve">192619,7</w:t>
            </w:r>
          </w:p>
        </w:tc>
        <w:tc>
          <w:tcPr>
            <w:tcW w:w="1361" w:type="dxa"/>
          </w:tcPr>
          <w:p>
            <w:pPr>
              <w:pStyle w:val="0"/>
              <w:jc w:val="center"/>
            </w:pPr>
            <w:r>
              <w:rPr>
                <w:sz w:val="20"/>
              </w:rPr>
              <w:t xml:space="preserve">198976,2</w:t>
            </w:r>
          </w:p>
        </w:tc>
        <w:tc>
          <w:tcPr>
            <w:tcW w:w="1361" w:type="dxa"/>
          </w:tcPr>
          <w:p>
            <w:pPr>
              <w:pStyle w:val="0"/>
              <w:jc w:val="center"/>
            </w:pPr>
            <w:r>
              <w:rPr>
                <w:sz w:val="20"/>
              </w:rPr>
              <w:t xml:space="preserve">205144,5</w:t>
            </w:r>
          </w:p>
        </w:tc>
        <w:tc>
          <w:tcPr>
            <w:tcW w:w="1247" w:type="dxa"/>
          </w:tcPr>
          <w:p>
            <w:pPr>
              <w:pStyle w:val="0"/>
              <w:jc w:val="center"/>
            </w:pPr>
            <w:r>
              <w:rPr>
                <w:sz w:val="20"/>
              </w:rPr>
              <w:t xml:space="preserve">211093,7</w:t>
            </w:r>
          </w:p>
        </w:tc>
        <w:tc>
          <w:tcPr>
            <w:tcW w:w="1247" w:type="dxa"/>
          </w:tcPr>
          <w:p>
            <w:pPr>
              <w:pStyle w:val="0"/>
              <w:jc w:val="center"/>
            </w:pPr>
            <w:r>
              <w:rPr>
                <w:sz w:val="20"/>
              </w:rPr>
              <w:t xml:space="preserve">217004,3</w:t>
            </w:r>
          </w:p>
        </w:tc>
        <w:tc>
          <w:tcPr>
            <w:tcW w:w="1304" w:type="dxa"/>
          </w:tcPr>
          <w:p>
            <w:pPr>
              <w:pStyle w:val="0"/>
              <w:jc w:val="center"/>
            </w:pPr>
            <w:r>
              <w:rPr>
                <w:sz w:val="20"/>
              </w:rPr>
              <w:t xml:space="preserve">223080,4</w:t>
            </w:r>
          </w:p>
        </w:tc>
        <w:tc>
          <w:tcPr>
            <w:tcW w:w="1531" w:type="dxa"/>
          </w:tcPr>
          <w:p>
            <w:pPr>
              <w:pStyle w:val="0"/>
              <w:jc w:val="center"/>
            </w:pPr>
            <w:r>
              <w:rPr>
                <w:sz w:val="20"/>
              </w:rPr>
              <w:t xml:space="preserve">1787343,2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167823,2</w:t>
            </w:r>
          </w:p>
        </w:tc>
        <w:tc>
          <w:tcPr>
            <w:tcW w:w="1361" w:type="dxa"/>
          </w:tcPr>
          <w:p>
            <w:pPr>
              <w:pStyle w:val="0"/>
              <w:jc w:val="center"/>
            </w:pPr>
            <w:r>
              <w:rPr>
                <w:sz w:val="20"/>
              </w:rPr>
              <w:t xml:space="preserve">183731,4</w:t>
            </w:r>
          </w:p>
        </w:tc>
        <w:tc>
          <w:tcPr>
            <w:tcW w:w="1474" w:type="dxa"/>
          </w:tcPr>
          <w:p>
            <w:pPr>
              <w:pStyle w:val="0"/>
              <w:jc w:val="center"/>
            </w:pPr>
            <w:r>
              <w:rPr>
                <w:sz w:val="20"/>
              </w:rPr>
              <w:t xml:space="preserve">187869,8</w:t>
            </w:r>
          </w:p>
        </w:tc>
        <w:tc>
          <w:tcPr>
            <w:tcW w:w="1417" w:type="dxa"/>
          </w:tcPr>
          <w:p>
            <w:pPr>
              <w:pStyle w:val="0"/>
              <w:jc w:val="center"/>
            </w:pPr>
            <w:r>
              <w:rPr>
                <w:sz w:val="20"/>
              </w:rPr>
              <w:t xml:space="preserve">192619,7</w:t>
            </w:r>
          </w:p>
        </w:tc>
        <w:tc>
          <w:tcPr>
            <w:tcW w:w="1361" w:type="dxa"/>
          </w:tcPr>
          <w:p>
            <w:pPr>
              <w:pStyle w:val="0"/>
              <w:jc w:val="center"/>
            </w:pPr>
            <w:r>
              <w:rPr>
                <w:sz w:val="20"/>
              </w:rPr>
              <w:t xml:space="preserve">198976,2</w:t>
            </w:r>
          </w:p>
        </w:tc>
        <w:tc>
          <w:tcPr>
            <w:tcW w:w="1361" w:type="dxa"/>
          </w:tcPr>
          <w:p>
            <w:pPr>
              <w:pStyle w:val="0"/>
              <w:jc w:val="center"/>
            </w:pPr>
            <w:r>
              <w:rPr>
                <w:sz w:val="20"/>
              </w:rPr>
              <w:t xml:space="preserve">205144,5</w:t>
            </w:r>
          </w:p>
        </w:tc>
        <w:tc>
          <w:tcPr>
            <w:tcW w:w="1247" w:type="dxa"/>
          </w:tcPr>
          <w:p>
            <w:pPr>
              <w:pStyle w:val="0"/>
              <w:jc w:val="center"/>
            </w:pPr>
            <w:r>
              <w:rPr>
                <w:sz w:val="20"/>
              </w:rPr>
              <w:t xml:space="preserve">211093,7</w:t>
            </w:r>
          </w:p>
        </w:tc>
        <w:tc>
          <w:tcPr>
            <w:tcW w:w="1247" w:type="dxa"/>
          </w:tcPr>
          <w:p>
            <w:pPr>
              <w:pStyle w:val="0"/>
              <w:jc w:val="center"/>
            </w:pPr>
            <w:r>
              <w:rPr>
                <w:sz w:val="20"/>
              </w:rPr>
              <w:t xml:space="preserve">217004,3</w:t>
            </w:r>
          </w:p>
        </w:tc>
        <w:tc>
          <w:tcPr>
            <w:tcW w:w="1304" w:type="dxa"/>
          </w:tcPr>
          <w:p>
            <w:pPr>
              <w:pStyle w:val="0"/>
              <w:jc w:val="center"/>
            </w:pPr>
            <w:r>
              <w:rPr>
                <w:sz w:val="20"/>
              </w:rPr>
              <w:t xml:space="preserve">223080,4</w:t>
            </w:r>
          </w:p>
        </w:tc>
        <w:tc>
          <w:tcPr>
            <w:tcW w:w="1531" w:type="dxa"/>
          </w:tcPr>
          <w:p>
            <w:pPr>
              <w:pStyle w:val="0"/>
              <w:jc w:val="center"/>
            </w:pPr>
            <w:r>
              <w:rPr>
                <w:sz w:val="20"/>
              </w:rPr>
              <w:t xml:space="preserve">1787343,2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20"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2778" w:type="dxa"/>
            <w:tcBorders>
              <w:bottom w:val="nil"/>
            </w:tcBorders>
            <w:vMerge w:val="restart"/>
          </w:tcPr>
          <w:p>
            <w:pPr>
              <w:pStyle w:val="0"/>
              <w:jc w:val="both"/>
            </w:pPr>
            <w:r>
              <w:rPr>
                <w:sz w:val="20"/>
              </w:rPr>
              <w:t xml:space="preserve">1.5. Строительство поликлиники на 320 посещений в смену в микрорайоне "Казачья Бухта", г. Севастополь</w:t>
            </w:r>
          </w:p>
        </w:tc>
        <w:tc>
          <w:tcPr>
            <w:tcW w:w="2040" w:type="dxa"/>
            <w:tcBorders>
              <w:bottom w:val="nil"/>
            </w:tcBorders>
            <w:vMerge w:val="restart"/>
          </w:tcPr>
          <w:p>
            <w:pPr>
              <w:pStyle w:val="0"/>
              <w:jc w:val="both"/>
            </w:pPr>
            <w:r>
              <w:rPr>
                <w:sz w:val="20"/>
              </w:rPr>
              <w:t xml:space="preserve">Государственная </w:t>
            </w:r>
            <w:hyperlink w:history="0" r:id="rId521"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115912,0</w:t>
            </w:r>
          </w:p>
        </w:tc>
        <w:tc>
          <w:tcPr>
            <w:tcW w:w="1361" w:type="dxa"/>
          </w:tcPr>
          <w:p>
            <w:pPr>
              <w:pStyle w:val="0"/>
              <w:jc w:val="center"/>
            </w:pPr>
            <w:r>
              <w:rPr>
                <w:sz w:val="20"/>
              </w:rPr>
              <w:t xml:space="preserve">74891,0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190803,0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110121,0 &lt;1&gt;</w:t>
            </w:r>
          </w:p>
        </w:tc>
        <w:tc>
          <w:tcPr>
            <w:tcW w:w="1361" w:type="dxa"/>
          </w:tcPr>
          <w:p>
            <w:pPr>
              <w:pStyle w:val="0"/>
              <w:jc w:val="center"/>
            </w:pPr>
            <w:r>
              <w:rPr>
                <w:sz w:val="20"/>
              </w:rPr>
              <w:t xml:space="preserve">71148,2 &lt;5&gt;</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181269,2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5791,0</w:t>
            </w:r>
          </w:p>
        </w:tc>
        <w:tc>
          <w:tcPr>
            <w:tcW w:w="1361" w:type="dxa"/>
          </w:tcPr>
          <w:p>
            <w:pPr>
              <w:pStyle w:val="0"/>
              <w:jc w:val="center"/>
            </w:pPr>
            <w:r>
              <w:rPr>
                <w:sz w:val="20"/>
              </w:rPr>
              <w:t xml:space="preserve">3742,8</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9533,8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5791,0 &lt;1&gt;</w:t>
            </w:r>
          </w:p>
        </w:tc>
        <w:tc>
          <w:tcPr>
            <w:tcW w:w="1361" w:type="dxa"/>
          </w:tcPr>
          <w:p>
            <w:pPr>
              <w:pStyle w:val="0"/>
              <w:jc w:val="center"/>
            </w:pPr>
            <w:r>
              <w:rPr>
                <w:sz w:val="20"/>
              </w:rPr>
              <w:t xml:space="preserve">3742,8 &lt;5&gt;</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9533,8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2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2778" w:type="dxa"/>
            <w:tcBorders>
              <w:bottom w:val="nil"/>
            </w:tcBorders>
            <w:vMerge w:val="restart"/>
          </w:tcPr>
          <w:p>
            <w:pPr>
              <w:pStyle w:val="0"/>
              <w:jc w:val="both"/>
            </w:pPr>
            <w:r>
              <w:rPr>
                <w:sz w:val="20"/>
              </w:rPr>
              <w:t xml:space="preserve">1.6. Иные мероприятия, направленные на развитие здравоохранения в г. Севастополе, в том числе:</w:t>
            </w:r>
          </w:p>
        </w:tc>
        <w:tc>
          <w:tcPr>
            <w:tcW w:w="2040" w:type="dxa"/>
            <w:tcBorders>
              <w:bottom w:val="nil"/>
            </w:tcBorders>
            <w:vMerge w:val="restart"/>
          </w:tcPr>
          <w:p>
            <w:pPr>
              <w:pStyle w:val="0"/>
              <w:jc w:val="both"/>
            </w:pPr>
            <w:r>
              <w:rPr>
                <w:sz w:val="20"/>
              </w:rPr>
              <w:t xml:space="preserve">Государственная </w:t>
            </w:r>
            <w:hyperlink w:history="0" r:id="rId523"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100010,0</w:t>
            </w:r>
          </w:p>
        </w:tc>
        <w:tc>
          <w:tcPr>
            <w:tcW w:w="1361" w:type="dxa"/>
          </w:tcPr>
          <w:p>
            <w:pPr>
              <w:pStyle w:val="0"/>
              <w:jc w:val="center"/>
            </w:pPr>
            <w:r>
              <w:rPr>
                <w:sz w:val="20"/>
              </w:rPr>
              <w:t xml:space="preserve">146278,5</w:t>
            </w:r>
          </w:p>
        </w:tc>
        <w:tc>
          <w:tcPr>
            <w:tcW w:w="1474" w:type="dxa"/>
          </w:tcPr>
          <w:p>
            <w:pPr>
              <w:pStyle w:val="0"/>
              <w:jc w:val="center"/>
            </w:pPr>
            <w:r>
              <w:rPr>
                <w:sz w:val="20"/>
              </w:rPr>
              <w:t xml:space="preserve">100000,0</w:t>
            </w:r>
          </w:p>
        </w:tc>
        <w:tc>
          <w:tcPr>
            <w:tcW w:w="1417" w:type="dxa"/>
          </w:tcPr>
          <w:p>
            <w:pPr>
              <w:pStyle w:val="0"/>
              <w:jc w:val="center"/>
            </w:pPr>
            <w:r>
              <w:rPr>
                <w:sz w:val="20"/>
              </w:rPr>
              <w:t xml:space="preserve">0,0</w:t>
            </w:r>
          </w:p>
        </w:tc>
        <w:tc>
          <w:tcPr>
            <w:tcW w:w="1361" w:type="dxa"/>
          </w:tcPr>
          <w:p>
            <w:pPr>
              <w:pStyle w:val="0"/>
              <w:jc w:val="center"/>
            </w:pPr>
            <w:r>
              <w:rPr>
                <w:sz w:val="20"/>
              </w:rPr>
              <w:t xml:space="preserve">23600,0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369888,5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95010,0</w:t>
            </w:r>
          </w:p>
        </w:tc>
        <w:tc>
          <w:tcPr>
            <w:tcW w:w="1361" w:type="dxa"/>
          </w:tcPr>
          <w:p>
            <w:pPr>
              <w:pStyle w:val="0"/>
              <w:jc w:val="center"/>
            </w:pPr>
            <w:r>
              <w:rPr>
                <w:sz w:val="20"/>
              </w:rPr>
              <w:t xml:space="preserve">138968,5</w:t>
            </w:r>
          </w:p>
        </w:tc>
        <w:tc>
          <w:tcPr>
            <w:tcW w:w="1474" w:type="dxa"/>
          </w:tcPr>
          <w:p>
            <w:pPr>
              <w:pStyle w:val="0"/>
              <w:jc w:val="center"/>
            </w:pPr>
            <w:r>
              <w:rPr>
                <w:sz w:val="20"/>
              </w:rPr>
              <w:t xml:space="preserve">95000,0</w:t>
            </w:r>
          </w:p>
        </w:tc>
        <w:tc>
          <w:tcPr>
            <w:tcW w:w="1417" w:type="dxa"/>
          </w:tcPr>
          <w:p>
            <w:pPr>
              <w:pStyle w:val="0"/>
              <w:jc w:val="center"/>
            </w:pPr>
            <w:r>
              <w:rPr>
                <w:sz w:val="20"/>
              </w:rPr>
              <w:t xml:space="preserve">0,0</w:t>
            </w:r>
          </w:p>
        </w:tc>
        <w:tc>
          <w:tcPr>
            <w:tcW w:w="1361" w:type="dxa"/>
          </w:tcPr>
          <w:p>
            <w:pPr>
              <w:pStyle w:val="0"/>
              <w:jc w:val="center"/>
            </w:pPr>
            <w:r>
              <w:rPr>
                <w:sz w:val="20"/>
              </w:rPr>
              <w:t xml:space="preserve">21948,0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350926,5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5000,0</w:t>
            </w:r>
          </w:p>
        </w:tc>
        <w:tc>
          <w:tcPr>
            <w:tcW w:w="1361" w:type="dxa"/>
          </w:tcPr>
          <w:p>
            <w:pPr>
              <w:pStyle w:val="0"/>
              <w:jc w:val="center"/>
            </w:pPr>
            <w:r>
              <w:rPr>
                <w:sz w:val="20"/>
              </w:rPr>
              <w:t xml:space="preserve">7310,0</w:t>
            </w:r>
          </w:p>
        </w:tc>
        <w:tc>
          <w:tcPr>
            <w:tcW w:w="1474" w:type="dxa"/>
          </w:tcPr>
          <w:p>
            <w:pPr>
              <w:pStyle w:val="0"/>
              <w:jc w:val="center"/>
            </w:pPr>
            <w:r>
              <w:rPr>
                <w:sz w:val="20"/>
              </w:rPr>
              <w:t xml:space="preserve">5000,0</w:t>
            </w:r>
          </w:p>
        </w:tc>
        <w:tc>
          <w:tcPr>
            <w:tcW w:w="1417" w:type="dxa"/>
          </w:tcPr>
          <w:p>
            <w:pPr>
              <w:pStyle w:val="0"/>
              <w:jc w:val="center"/>
            </w:pPr>
            <w:r>
              <w:rPr>
                <w:sz w:val="20"/>
              </w:rPr>
              <w:t xml:space="preserve">0,0</w:t>
            </w:r>
          </w:p>
        </w:tc>
        <w:tc>
          <w:tcPr>
            <w:tcW w:w="1361" w:type="dxa"/>
          </w:tcPr>
          <w:p>
            <w:pPr>
              <w:pStyle w:val="0"/>
              <w:jc w:val="center"/>
            </w:pPr>
            <w:r>
              <w:rPr>
                <w:sz w:val="20"/>
              </w:rPr>
              <w:t xml:space="preserve">1652,0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18962,0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5000,0</w:t>
            </w:r>
          </w:p>
        </w:tc>
        <w:tc>
          <w:tcPr>
            <w:tcW w:w="1361" w:type="dxa"/>
          </w:tcPr>
          <w:p>
            <w:pPr>
              <w:pStyle w:val="0"/>
              <w:jc w:val="center"/>
            </w:pPr>
            <w:r>
              <w:rPr>
                <w:sz w:val="20"/>
              </w:rPr>
              <w:t xml:space="preserve">7310,0</w:t>
            </w:r>
          </w:p>
        </w:tc>
        <w:tc>
          <w:tcPr>
            <w:tcW w:w="1474" w:type="dxa"/>
          </w:tcPr>
          <w:p>
            <w:pPr>
              <w:pStyle w:val="0"/>
              <w:jc w:val="center"/>
            </w:pPr>
            <w:r>
              <w:rPr>
                <w:sz w:val="20"/>
              </w:rPr>
              <w:t xml:space="preserve">5000,0</w:t>
            </w:r>
          </w:p>
        </w:tc>
        <w:tc>
          <w:tcPr>
            <w:tcW w:w="1417" w:type="dxa"/>
          </w:tcPr>
          <w:p>
            <w:pPr>
              <w:pStyle w:val="0"/>
              <w:jc w:val="center"/>
            </w:pPr>
            <w:r>
              <w:rPr>
                <w:sz w:val="20"/>
              </w:rPr>
              <w:t xml:space="preserve">0,0</w:t>
            </w:r>
          </w:p>
        </w:tc>
        <w:tc>
          <w:tcPr>
            <w:tcW w:w="1361" w:type="dxa"/>
          </w:tcPr>
          <w:p>
            <w:pPr>
              <w:pStyle w:val="0"/>
              <w:jc w:val="center"/>
            </w:pPr>
            <w:r>
              <w:rPr>
                <w:sz w:val="20"/>
              </w:rPr>
              <w:t xml:space="preserve">1652,0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18962,0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24"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2778" w:type="dxa"/>
            <w:vMerge w:val="restart"/>
          </w:tcPr>
          <w:p>
            <w:pPr>
              <w:pStyle w:val="0"/>
              <w:jc w:val="both"/>
            </w:pPr>
            <w:r>
              <w:rPr>
                <w:sz w:val="20"/>
              </w:rPr>
              <w:t xml:space="preserve">1.6.1. Строительство амбулаторно-поликлинического учреждения на 320 посещений в смену, пр-т Генерала Острякова</w:t>
            </w:r>
          </w:p>
        </w:tc>
        <w:tc>
          <w:tcPr>
            <w:tcW w:w="2040" w:type="dxa"/>
            <w:vMerge w:val="restart"/>
          </w:tcPr>
          <w:p>
            <w:pPr>
              <w:pStyle w:val="0"/>
              <w:jc w:val="both"/>
            </w:pPr>
            <w:r>
              <w:rPr>
                <w:sz w:val="20"/>
              </w:rPr>
              <w:t xml:space="preserve">Государственная </w:t>
            </w:r>
            <w:hyperlink w:history="0" r:id="rId525"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23600,0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23600,0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21948,0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21948,0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1652,0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1652,0</w:t>
            </w:r>
          </w:p>
        </w:tc>
      </w:tr>
      <w:tr>
        <w:tc>
          <w:tcPr>
            <w:vMerge w:val="continue"/>
          </w:tcPr>
          <w:p/>
        </w:tc>
        <w:tc>
          <w:tcPr>
            <w:vMerge w:val="continue"/>
          </w:tcPr>
          <w:p/>
        </w:tc>
        <w:tc>
          <w:tcPr>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1652,0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1652,0</w:t>
            </w:r>
          </w:p>
        </w:tc>
      </w:tr>
      <w:tr>
        <w:tc>
          <w:tcPr>
            <w:vMerge w:val="continue"/>
          </w:tcPr>
          <w:p/>
        </w:tc>
        <w:tc>
          <w:tcPr>
            <w:vMerge w:val="continue"/>
          </w:tcPr>
          <w:p/>
        </w:tc>
        <w:tc>
          <w:tcPr>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tcBorders>
              <w:bottom w:val="nil"/>
            </w:tcBorders>
            <w:vMerge w:val="restart"/>
          </w:tcPr>
          <w:p>
            <w:pPr>
              <w:pStyle w:val="0"/>
              <w:jc w:val="both"/>
            </w:pPr>
            <w:r>
              <w:rPr>
                <w:sz w:val="20"/>
              </w:rPr>
              <w:t xml:space="preserve">1.6.2. Строительство детской поликлиники на 100 посещений в смену на Корабельной стороне</w:t>
            </w:r>
          </w:p>
        </w:tc>
        <w:tc>
          <w:tcPr>
            <w:tcW w:w="2040" w:type="dxa"/>
            <w:tcBorders>
              <w:bottom w:val="nil"/>
            </w:tcBorders>
            <w:vMerge w:val="restart"/>
          </w:tcPr>
          <w:p>
            <w:pPr>
              <w:pStyle w:val="0"/>
              <w:jc w:val="both"/>
            </w:pPr>
            <w:r>
              <w:rPr>
                <w:sz w:val="20"/>
              </w:rPr>
              <w:t xml:space="preserve">Государственная </w:t>
            </w:r>
            <w:hyperlink w:history="0" r:id="rId526"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100010,0</w:t>
            </w:r>
          </w:p>
        </w:tc>
        <w:tc>
          <w:tcPr>
            <w:tcW w:w="1361" w:type="dxa"/>
          </w:tcPr>
          <w:p>
            <w:pPr>
              <w:pStyle w:val="0"/>
              <w:jc w:val="center"/>
            </w:pPr>
            <w:r>
              <w:rPr>
                <w:sz w:val="20"/>
              </w:rPr>
              <w:t xml:space="preserve">146278,5</w:t>
            </w:r>
          </w:p>
        </w:tc>
        <w:tc>
          <w:tcPr>
            <w:tcW w:w="1474" w:type="dxa"/>
          </w:tcPr>
          <w:p>
            <w:pPr>
              <w:pStyle w:val="0"/>
              <w:jc w:val="center"/>
            </w:pPr>
            <w:r>
              <w:rPr>
                <w:sz w:val="20"/>
              </w:rPr>
              <w:t xml:space="preserve">100000,0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346288,5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95010,0</w:t>
            </w:r>
          </w:p>
        </w:tc>
        <w:tc>
          <w:tcPr>
            <w:tcW w:w="1361" w:type="dxa"/>
          </w:tcPr>
          <w:p>
            <w:pPr>
              <w:pStyle w:val="0"/>
              <w:jc w:val="center"/>
            </w:pPr>
            <w:r>
              <w:rPr>
                <w:sz w:val="20"/>
              </w:rPr>
              <w:t xml:space="preserve">138968,5</w:t>
            </w:r>
          </w:p>
        </w:tc>
        <w:tc>
          <w:tcPr>
            <w:tcW w:w="1474" w:type="dxa"/>
          </w:tcPr>
          <w:p>
            <w:pPr>
              <w:pStyle w:val="0"/>
              <w:jc w:val="center"/>
            </w:pPr>
            <w:r>
              <w:rPr>
                <w:sz w:val="20"/>
              </w:rPr>
              <w:t xml:space="preserve">95000,0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328978,5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5000,0</w:t>
            </w:r>
          </w:p>
        </w:tc>
        <w:tc>
          <w:tcPr>
            <w:tcW w:w="1361" w:type="dxa"/>
          </w:tcPr>
          <w:p>
            <w:pPr>
              <w:pStyle w:val="0"/>
              <w:jc w:val="center"/>
            </w:pPr>
            <w:r>
              <w:rPr>
                <w:sz w:val="20"/>
              </w:rPr>
              <w:t xml:space="preserve">7310,0</w:t>
            </w:r>
          </w:p>
        </w:tc>
        <w:tc>
          <w:tcPr>
            <w:tcW w:w="1474" w:type="dxa"/>
          </w:tcPr>
          <w:p>
            <w:pPr>
              <w:pStyle w:val="0"/>
              <w:jc w:val="center"/>
            </w:pPr>
            <w:r>
              <w:rPr>
                <w:sz w:val="20"/>
              </w:rPr>
              <w:t xml:space="preserve">5000,0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17310,0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5000,0</w:t>
            </w:r>
          </w:p>
        </w:tc>
        <w:tc>
          <w:tcPr>
            <w:tcW w:w="1361" w:type="dxa"/>
          </w:tcPr>
          <w:p>
            <w:pPr>
              <w:pStyle w:val="0"/>
              <w:jc w:val="center"/>
            </w:pPr>
            <w:r>
              <w:rPr>
                <w:sz w:val="20"/>
              </w:rPr>
              <w:t xml:space="preserve">7310,0</w:t>
            </w:r>
          </w:p>
        </w:tc>
        <w:tc>
          <w:tcPr>
            <w:tcW w:w="1474" w:type="dxa"/>
          </w:tcPr>
          <w:p>
            <w:pPr>
              <w:pStyle w:val="0"/>
              <w:jc w:val="center"/>
            </w:pPr>
            <w:r>
              <w:rPr>
                <w:sz w:val="20"/>
              </w:rPr>
              <w:t xml:space="preserve">5000,0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17310,0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27"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2778" w:type="dxa"/>
            <w:vMerge w:val="restart"/>
          </w:tcPr>
          <w:p>
            <w:pPr>
              <w:pStyle w:val="0"/>
              <w:jc w:val="both"/>
            </w:pPr>
            <w:r>
              <w:rPr>
                <w:sz w:val="20"/>
              </w:rPr>
              <w:t xml:space="preserve">1.8. Организационные мероприятия, связанные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IV типов, апластической анемией неуточненной, наследственным дефицитом факторов I (фибриногена), VII (лабильного), X (Стюарта - Прауэра), лиц после трансплантации органов и (или) тканей</w:t>
            </w:r>
          </w:p>
        </w:tc>
        <w:tc>
          <w:tcPr>
            <w:tcW w:w="2040" w:type="dxa"/>
            <w:vMerge w:val="restart"/>
          </w:tcPr>
          <w:p>
            <w:pPr>
              <w:pStyle w:val="0"/>
              <w:jc w:val="both"/>
            </w:pPr>
            <w:r>
              <w:rPr>
                <w:sz w:val="20"/>
              </w:rPr>
              <w:t xml:space="preserve">Государственная </w:t>
            </w:r>
            <w:hyperlink w:history="0" r:id="rId528"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968,1</w:t>
            </w:r>
          </w:p>
        </w:tc>
        <w:tc>
          <w:tcPr>
            <w:tcW w:w="1361" w:type="dxa"/>
          </w:tcPr>
          <w:p>
            <w:pPr>
              <w:pStyle w:val="0"/>
              <w:jc w:val="center"/>
            </w:pPr>
            <w:r>
              <w:rPr>
                <w:sz w:val="20"/>
              </w:rPr>
              <w:t xml:space="preserve">998,3</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1966,4</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968,1</w:t>
            </w:r>
          </w:p>
        </w:tc>
        <w:tc>
          <w:tcPr>
            <w:tcW w:w="1361" w:type="dxa"/>
          </w:tcPr>
          <w:p>
            <w:pPr>
              <w:pStyle w:val="0"/>
              <w:jc w:val="center"/>
            </w:pPr>
            <w:r>
              <w:rPr>
                <w:sz w:val="20"/>
              </w:rPr>
              <w:t xml:space="preserve">998,3</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1966,4</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1.10. Финансовое обеспечение мероприятий по приобретению лекарственных препаратов для лечения пациентов с новой коронавирусной инфекцией (COVID-19), получающих медицинскую помощь в амбулаторных условиях</w:t>
            </w:r>
          </w:p>
        </w:tc>
        <w:tc>
          <w:tcPr>
            <w:tcW w:w="2040" w:type="dxa"/>
            <w:vMerge w:val="restart"/>
          </w:tcPr>
          <w:p>
            <w:pPr>
              <w:pStyle w:val="0"/>
              <w:jc w:val="both"/>
            </w:pPr>
            <w:r>
              <w:rPr>
                <w:sz w:val="20"/>
              </w:rPr>
              <w:t xml:space="preserve">Государственная </w:t>
            </w:r>
            <w:hyperlink w:history="0" r:id="rId529"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16969,6</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16969,6</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16969,6</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16969,6</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tcBorders>
              <w:bottom w:val="nil"/>
            </w:tcBorders>
            <w:vMerge w:val="restart"/>
          </w:tcPr>
          <w:p>
            <w:pPr>
              <w:pStyle w:val="0"/>
              <w:jc w:val="both"/>
            </w:pPr>
            <w:r>
              <w:rPr>
                <w:sz w:val="20"/>
              </w:rPr>
              <w:t xml:space="preserve">1.11. Дополнительное финансовое обеспечение оказания первичной медико-санитарной помощи лицам, застрахованным по обязательному медицинскому страхованию, в том числе с заболеванием и (или) подозрением на заболевание новой коронавирусной инфекцией (COVID-19), в рамках реализации территориальных программ обязательного медицинского страхования</w:t>
            </w:r>
          </w:p>
        </w:tc>
        <w:tc>
          <w:tcPr>
            <w:tcW w:w="2040" w:type="dxa"/>
            <w:tcBorders>
              <w:bottom w:val="nil"/>
            </w:tcBorders>
            <w:vMerge w:val="restart"/>
          </w:tcPr>
          <w:p>
            <w:pPr>
              <w:pStyle w:val="0"/>
              <w:jc w:val="both"/>
            </w:pPr>
            <w:r>
              <w:rPr>
                <w:sz w:val="20"/>
              </w:rPr>
              <w:t xml:space="preserve">Государственная </w:t>
            </w:r>
            <w:hyperlink w:history="0" r:id="rId530"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18922,4</w:t>
            </w:r>
          </w:p>
        </w:tc>
        <w:tc>
          <w:tcPr>
            <w:tcW w:w="1361" w:type="dxa"/>
          </w:tcPr>
          <w:p>
            <w:pPr>
              <w:pStyle w:val="0"/>
              <w:jc w:val="center"/>
            </w:pPr>
            <w:r>
              <w:rPr>
                <w:sz w:val="20"/>
              </w:rPr>
              <w:t xml:space="preserve">11003,2</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29925,6</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18922,4</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18922,4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11003,2</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11003,2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31"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2778" w:type="dxa"/>
            <w:vMerge w:val="restart"/>
          </w:tcPr>
          <w:p>
            <w:pPr>
              <w:pStyle w:val="0"/>
              <w:jc w:val="both"/>
            </w:pPr>
            <w:r>
              <w:rPr>
                <w:sz w:val="20"/>
              </w:rPr>
              <w:t xml:space="preserve">1.12. Финансовое обеспечение оплаты труда медицинских работников, оказывающих консультативную медицинскую помощь с применением телемедицинских технологий гражданам с подтвержденным диагнозом новой коронавирусной инфекции (COVID-19), а также с признаками или подтвержденным диагнозом внебольничной пневмонии, острой респираторной вирусной инфекции, гриппа, получающим медицинскую помощь в амбулаторных условиях (на дому)</w:t>
            </w:r>
          </w:p>
        </w:tc>
        <w:tc>
          <w:tcPr>
            <w:tcW w:w="2040" w:type="dxa"/>
            <w:vMerge w:val="restart"/>
          </w:tcPr>
          <w:p>
            <w:pPr>
              <w:pStyle w:val="0"/>
              <w:jc w:val="both"/>
            </w:pPr>
            <w:r>
              <w:rPr>
                <w:sz w:val="20"/>
              </w:rPr>
              <w:t xml:space="preserve">Государственная </w:t>
            </w:r>
            <w:hyperlink w:history="0" r:id="rId532"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1621,2</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1621,2</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1473,8</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1473,8</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147,4</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147,4</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1.15. 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по проведению указанным лицам профилактических прививок, включенных в </w:t>
            </w:r>
            <w:hyperlink w:history="0" r:id="rId533"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календарь</w:t>
              </w:r>
            </w:hyperlink>
            <w:r>
              <w:rPr>
                <w:sz w:val="20"/>
              </w:rPr>
              <w:t xml:space="preserve"> профилактических прививок по эпидемическим показаниям, за счет средств резервного фонда Правительства Российской Федерации</w:t>
            </w:r>
          </w:p>
        </w:tc>
        <w:tc>
          <w:tcPr>
            <w:tcW w:w="2040" w:type="dxa"/>
            <w:vMerge w:val="restart"/>
          </w:tcPr>
          <w:p>
            <w:pPr>
              <w:pStyle w:val="0"/>
              <w:jc w:val="both"/>
            </w:pPr>
            <w:r>
              <w:rPr>
                <w:sz w:val="20"/>
              </w:rPr>
              <w:t xml:space="preserve">Государственная </w:t>
            </w:r>
            <w:hyperlink w:history="0" r:id="rId534"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968,2</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968,2</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968,2</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968,2</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1.17. 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535"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tc>
        <w:tc>
          <w:tcPr>
            <w:tcW w:w="2040" w:type="dxa"/>
            <w:vMerge w:val="restart"/>
          </w:tcPr>
          <w:p>
            <w:pPr>
              <w:pStyle w:val="0"/>
              <w:jc w:val="both"/>
            </w:pPr>
            <w:r>
              <w:rPr>
                <w:sz w:val="20"/>
              </w:rPr>
              <w:t xml:space="preserve">Государственная </w:t>
            </w:r>
            <w:hyperlink w:history="0" r:id="rId536"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49025,0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49025,0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49025,0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49025,0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tcBorders>
              <w:bottom w:val="nil"/>
            </w:tcBorders>
            <w:vMerge w:val="restart"/>
          </w:tcPr>
          <w:p>
            <w:pPr>
              <w:pStyle w:val="0"/>
              <w:jc w:val="both"/>
            </w:pPr>
            <w:r>
              <w:rPr>
                <w:sz w:val="20"/>
              </w:rPr>
              <w:t xml:space="preserve">Итого по </w:t>
            </w:r>
            <w:hyperlink w:history="0" w:anchor="P594" w:tooltip="ПОДПРОГРАММА 1">
              <w:r>
                <w:rPr>
                  <w:sz w:val="20"/>
                  <w:color w:val="0000ff"/>
                </w:rPr>
                <w:t xml:space="preserve">подпрограмме 1</w:t>
              </w:r>
            </w:hyperlink>
          </w:p>
        </w:tc>
        <w:tc>
          <w:tcPr>
            <w:tcW w:w="2040" w:type="dxa"/>
            <w:tcBorders>
              <w:bottom w:val="nil"/>
            </w:tcBorders>
            <w:vMerge w:val="restart"/>
          </w:tcPr>
          <w:p>
            <w:pPr>
              <w:pStyle w:val="0"/>
            </w:pPr>
            <w:r>
              <w:rPr>
                <w:sz w:val="20"/>
              </w:rPr>
            </w:r>
          </w:p>
        </w:tc>
        <w:tc>
          <w:tcPr>
            <w:tcW w:w="1928" w:type="dxa"/>
            <w:tcBorders>
              <w:bottom w:val="nil"/>
            </w:tcBorders>
            <w:vMerge w:val="restart"/>
          </w:tcPr>
          <w:p>
            <w:pPr>
              <w:pStyle w:val="0"/>
            </w:pPr>
            <w:r>
              <w:rPr>
                <w:sz w:val="20"/>
              </w:rPr>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472219,7</w:t>
            </w:r>
          </w:p>
        </w:tc>
        <w:tc>
          <w:tcPr>
            <w:tcW w:w="1361" w:type="dxa"/>
          </w:tcPr>
          <w:p>
            <w:pPr>
              <w:pStyle w:val="0"/>
              <w:jc w:val="center"/>
            </w:pPr>
            <w:r>
              <w:rPr>
                <w:sz w:val="20"/>
              </w:rPr>
              <w:t xml:space="preserve">416902,4</w:t>
            </w:r>
          </w:p>
        </w:tc>
        <w:tc>
          <w:tcPr>
            <w:tcW w:w="1474" w:type="dxa"/>
          </w:tcPr>
          <w:p>
            <w:pPr>
              <w:pStyle w:val="0"/>
              <w:jc w:val="center"/>
            </w:pPr>
            <w:r>
              <w:rPr>
                <w:sz w:val="20"/>
              </w:rPr>
              <w:t xml:space="preserve">287869,8</w:t>
            </w:r>
          </w:p>
        </w:tc>
        <w:tc>
          <w:tcPr>
            <w:tcW w:w="1417" w:type="dxa"/>
          </w:tcPr>
          <w:p>
            <w:pPr>
              <w:pStyle w:val="0"/>
              <w:jc w:val="center"/>
            </w:pPr>
            <w:r>
              <w:rPr>
                <w:sz w:val="20"/>
              </w:rPr>
              <w:t xml:space="preserve">192619,7</w:t>
            </w:r>
          </w:p>
        </w:tc>
        <w:tc>
          <w:tcPr>
            <w:tcW w:w="1361" w:type="dxa"/>
          </w:tcPr>
          <w:p>
            <w:pPr>
              <w:pStyle w:val="0"/>
              <w:jc w:val="center"/>
            </w:pPr>
            <w:r>
              <w:rPr>
                <w:sz w:val="20"/>
              </w:rPr>
              <w:t xml:space="preserve">222576,2</w:t>
            </w:r>
          </w:p>
        </w:tc>
        <w:tc>
          <w:tcPr>
            <w:tcW w:w="1361" w:type="dxa"/>
          </w:tcPr>
          <w:p>
            <w:pPr>
              <w:pStyle w:val="0"/>
              <w:jc w:val="center"/>
            </w:pPr>
            <w:r>
              <w:rPr>
                <w:sz w:val="20"/>
              </w:rPr>
              <w:t xml:space="preserve">205144,5</w:t>
            </w:r>
          </w:p>
        </w:tc>
        <w:tc>
          <w:tcPr>
            <w:tcW w:w="1247" w:type="dxa"/>
          </w:tcPr>
          <w:p>
            <w:pPr>
              <w:pStyle w:val="0"/>
              <w:jc w:val="center"/>
            </w:pPr>
            <w:r>
              <w:rPr>
                <w:sz w:val="20"/>
              </w:rPr>
              <w:t xml:space="preserve">211093,7</w:t>
            </w:r>
          </w:p>
        </w:tc>
        <w:tc>
          <w:tcPr>
            <w:tcW w:w="1247" w:type="dxa"/>
          </w:tcPr>
          <w:p>
            <w:pPr>
              <w:pStyle w:val="0"/>
              <w:jc w:val="center"/>
            </w:pPr>
            <w:r>
              <w:rPr>
                <w:sz w:val="20"/>
              </w:rPr>
              <w:t xml:space="preserve">217004,3</w:t>
            </w:r>
          </w:p>
        </w:tc>
        <w:tc>
          <w:tcPr>
            <w:tcW w:w="1304" w:type="dxa"/>
          </w:tcPr>
          <w:p>
            <w:pPr>
              <w:pStyle w:val="0"/>
              <w:jc w:val="center"/>
            </w:pPr>
            <w:r>
              <w:rPr>
                <w:sz w:val="20"/>
              </w:rPr>
              <w:t xml:space="preserve">223080,4</w:t>
            </w:r>
          </w:p>
        </w:tc>
        <w:tc>
          <w:tcPr>
            <w:tcW w:w="1531" w:type="dxa"/>
          </w:tcPr>
          <w:p>
            <w:pPr>
              <w:pStyle w:val="0"/>
              <w:jc w:val="center"/>
            </w:pPr>
            <w:r>
              <w:rPr>
                <w:sz w:val="20"/>
              </w:rPr>
              <w:t xml:space="preserve">2448510,7</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205131,0</w:t>
            </w:r>
          </w:p>
        </w:tc>
        <w:tc>
          <w:tcPr>
            <w:tcW w:w="1361" w:type="dxa"/>
          </w:tcPr>
          <w:p>
            <w:pPr>
              <w:pStyle w:val="0"/>
              <w:jc w:val="center"/>
            </w:pPr>
            <w:r>
              <w:rPr>
                <w:sz w:val="20"/>
              </w:rPr>
              <w:t xml:space="preserve">210116,7</w:t>
            </w:r>
          </w:p>
        </w:tc>
        <w:tc>
          <w:tcPr>
            <w:tcW w:w="1474" w:type="dxa"/>
          </w:tcPr>
          <w:p>
            <w:pPr>
              <w:pStyle w:val="0"/>
              <w:jc w:val="center"/>
            </w:pPr>
            <w:r>
              <w:rPr>
                <w:sz w:val="20"/>
              </w:rPr>
              <w:t xml:space="preserve">95000,0</w:t>
            </w:r>
          </w:p>
        </w:tc>
        <w:tc>
          <w:tcPr>
            <w:tcW w:w="1417" w:type="dxa"/>
          </w:tcPr>
          <w:p>
            <w:pPr>
              <w:pStyle w:val="0"/>
              <w:jc w:val="center"/>
            </w:pPr>
            <w:r>
              <w:rPr>
                <w:sz w:val="20"/>
              </w:rPr>
              <w:t xml:space="preserve">0,0</w:t>
            </w:r>
          </w:p>
        </w:tc>
        <w:tc>
          <w:tcPr>
            <w:tcW w:w="1361" w:type="dxa"/>
          </w:tcPr>
          <w:p>
            <w:pPr>
              <w:pStyle w:val="0"/>
              <w:jc w:val="center"/>
            </w:pPr>
            <w:r>
              <w:rPr>
                <w:sz w:val="20"/>
              </w:rPr>
              <w:t xml:space="preserve">21948,0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532195,7</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256150,3</w:t>
            </w:r>
          </w:p>
        </w:tc>
        <w:tc>
          <w:tcPr>
            <w:tcW w:w="1361" w:type="dxa"/>
          </w:tcPr>
          <w:p>
            <w:pPr>
              <w:pStyle w:val="0"/>
              <w:jc w:val="center"/>
            </w:pPr>
            <w:r>
              <w:rPr>
                <w:sz w:val="20"/>
              </w:rPr>
              <w:t xml:space="preserve">184729,7</w:t>
            </w:r>
          </w:p>
        </w:tc>
        <w:tc>
          <w:tcPr>
            <w:tcW w:w="1474" w:type="dxa"/>
          </w:tcPr>
          <w:p>
            <w:pPr>
              <w:pStyle w:val="0"/>
              <w:jc w:val="center"/>
            </w:pPr>
            <w:r>
              <w:rPr>
                <w:sz w:val="20"/>
              </w:rPr>
              <w:t xml:space="preserve">187869,8</w:t>
            </w:r>
          </w:p>
        </w:tc>
        <w:tc>
          <w:tcPr>
            <w:tcW w:w="1417" w:type="dxa"/>
          </w:tcPr>
          <w:p>
            <w:pPr>
              <w:pStyle w:val="0"/>
              <w:jc w:val="center"/>
            </w:pPr>
            <w:r>
              <w:rPr>
                <w:sz w:val="20"/>
              </w:rPr>
              <w:t xml:space="preserve">192619,7</w:t>
            </w:r>
          </w:p>
        </w:tc>
        <w:tc>
          <w:tcPr>
            <w:tcW w:w="1361" w:type="dxa"/>
          </w:tcPr>
          <w:p>
            <w:pPr>
              <w:pStyle w:val="0"/>
              <w:jc w:val="center"/>
            </w:pPr>
            <w:r>
              <w:rPr>
                <w:sz w:val="20"/>
              </w:rPr>
              <w:t xml:space="preserve">198976,2</w:t>
            </w:r>
          </w:p>
        </w:tc>
        <w:tc>
          <w:tcPr>
            <w:tcW w:w="1361" w:type="dxa"/>
          </w:tcPr>
          <w:p>
            <w:pPr>
              <w:pStyle w:val="0"/>
              <w:jc w:val="center"/>
            </w:pPr>
            <w:r>
              <w:rPr>
                <w:sz w:val="20"/>
              </w:rPr>
              <w:t xml:space="preserve">205144,5</w:t>
            </w:r>
          </w:p>
        </w:tc>
        <w:tc>
          <w:tcPr>
            <w:tcW w:w="1247" w:type="dxa"/>
          </w:tcPr>
          <w:p>
            <w:pPr>
              <w:pStyle w:val="0"/>
              <w:jc w:val="center"/>
            </w:pPr>
            <w:r>
              <w:rPr>
                <w:sz w:val="20"/>
              </w:rPr>
              <w:t xml:space="preserve">211093,7</w:t>
            </w:r>
          </w:p>
        </w:tc>
        <w:tc>
          <w:tcPr>
            <w:tcW w:w="1247" w:type="dxa"/>
          </w:tcPr>
          <w:p>
            <w:pPr>
              <w:pStyle w:val="0"/>
              <w:jc w:val="center"/>
            </w:pPr>
            <w:r>
              <w:rPr>
                <w:sz w:val="20"/>
              </w:rPr>
              <w:t xml:space="preserve">217004,3</w:t>
            </w:r>
          </w:p>
        </w:tc>
        <w:tc>
          <w:tcPr>
            <w:tcW w:w="1304" w:type="dxa"/>
          </w:tcPr>
          <w:p>
            <w:pPr>
              <w:pStyle w:val="0"/>
              <w:jc w:val="center"/>
            </w:pPr>
            <w:r>
              <w:rPr>
                <w:sz w:val="20"/>
              </w:rPr>
              <w:t xml:space="preserve">223080,4</w:t>
            </w:r>
          </w:p>
        </w:tc>
        <w:tc>
          <w:tcPr>
            <w:tcW w:w="1531" w:type="dxa"/>
          </w:tcPr>
          <w:p>
            <w:pPr>
              <w:pStyle w:val="0"/>
              <w:jc w:val="center"/>
            </w:pPr>
            <w:r>
              <w:rPr>
                <w:sz w:val="20"/>
              </w:rPr>
              <w:t xml:space="preserve">1876668,6</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10938,4</w:t>
            </w:r>
          </w:p>
        </w:tc>
        <w:tc>
          <w:tcPr>
            <w:tcW w:w="1361" w:type="dxa"/>
          </w:tcPr>
          <w:p>
            <w:pPr>
              <w:pStyle w:val="0"/>
              <w:jc w:val="center"/>
            </w:pPr>
            <w:r>
              <w:rPr>
                <w:sz w:val="20"/>
              </w:rPr>
              <w:t xml:space="preserve">22056,0</w:t>
            </w:r>
          </w:p>
        </w:tc>
        <w:tc>
          <w:tcPr>
            <w:tcW w:w="1474" w:type="dxa"/>
          </w:tcPr>
          <w:p>
            <w:pPr>
              <w:pStyle w:val="0"/>
              <w:jc w:val="center"/>
            </w:pPr>
            <w:r>
              <w:rPr>
                <w:sz w:val="20"/>
              </w:rPr>
              <w:t xml:space="preserve">5000,0</w:t>
            </w:r>
          </w:p>
        </w:tc>
        <w:tc>
          <w:tcPr>
            <w:tcW w:w="1417" w:type="dxa"/>
          </w:tcPr>
          <w:p>
            <w:pPr>
              <w:pStyle w:val="0"/>
              <w:jc w:val="center"/>
            </w:pPr>
            <w:r>
              <w:rPr>
                <w:sz w:val="20"/>
              </w:rPr>
              <w:t xml:space="preserve">0,0</w:t>
            </w:r>
          </w:p>
        </w:tc>
        <w:tc>
          <w:tcPr>
            <w:tcW w:w="1361" w:type="dxa"/>
          </w:tcPr>
          <w:p>
            <w:pPr>
              <w:pStyle w:val="0"/>
              <w:jc w:val="center"/>
            </w:pPr>
            <w:r>
              <w:rPr>
                <w:sz w:val="20"/>
              </w:rPr>
              <w:t xml:space="preserve">1652,0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39646,4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10791,0</w:t>
            </w:r>
          </w:p>
        </w:tc>
        <w:tc>
          <w:tcPr>
            <w:tcW w:w="1361" w:type="dxa"/>
          </w:tcPr>
          <w:p>
            <w:pPr>
              <w:pStyle w:val="0"/>
              <w:jc w:val="center"/>
            </w:pPr>
            <w:r>
              <w:rPr>
                <w:sz w:val="20"/>
              </w:rPr>
              <w:t xml:space="preserve">11052,8</w:t>
            </w:r>
          </w:p>
        </w:tc>
        <w:tc>
          <w:tcPr>
            <w:tcW w:w="1474" w:type="dxa"/>
          </w:tcPr>
          <w:p>
            <w:pPr>
              <w:pStyle w:val="0"/>
              <w:jc w:val="center"/>
            </w:pPr>
            <w:r>
              <w:rPr>
                <w:sz w:val="20"/>
              </w:rPr>
              <w:t xml:space="preserve">5000,0</w:t>
            </w:r>
          </w:p>
        </w:tc>
        <w:tc>
          <w:tcPr>
            <w:tcW w:w="1417" w:type="dxa"/>
          </w:tcPr>
          <w:p>
            <w:pPr>
              <w:pStyle w:val="0"/>
              <w:jc w:val="center"/>
            </w:pPr>
            <w:r>
              <w:rPr>
                <w:sz w:val="20"/>
              </w:rPr>
              <w:t xml:space="preserve">0,0</w:t>
            </w:r>
          </w:p>
        </w:tc>
        <w:tc>
          <w:tcPr>
            <w:tcW w:w="1361" w:type="dxa"/>
          </w:tcPr>
          <w:p>
            <w:pPr>
              <w:pStyle w:val="0"/>
              <w:jc w:val="center"/>
            </w:pPr>
            <w:r>
              <w:rPr>
                <w:sz w:val="20"/>
              </w:rPr>
              <w:t xml:space="preserve">1652,0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28495,8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37"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gridSpan w:val="14"/>
            <w:tcW w:w="22621" w:type="dxa"/>
          </w:tcPr>
          <w:p>
            <w:pPr>
              <w:pStyle w:val="0"/>
              <w:outlineLvl w:val="2"/>
              <w:jc w:val="center"/>
            </w:pPr>
            <w:r>
              <w:rPr>
                <w:sz w:val="20"/>
              </w:rPr>
              <w:t xml:space="preserve">Подпрограмма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tc>
          <w:tcPr>
            <w:tcW w:w="2778" w:type="dxa"/>
            <w:tcBorders>
              <w:bottom w:val="nil"/>
            </w:tcBorders>
            <w:vMerge w:val="restart"/>
          </w:tcPr>
          <w:p>
            <w:pPr>
              <w:pStyle w:val="0"/>
              <w:jc w:val="both"/>
            </w:pPr>
            <w:r>
              <w:rPr>
                <w:sz w:val="20"/>
              </w:rPr>
              <w:t xml:space="preserve">2.3. Многопрофильный лечебно-диагностический корпус онкологического диспансера, г. Севастополь</w:t>
            </w:r>
          </w:p>
        </w:tc>
        <w:tc>
          <w:tcPr>
            <w:tcW w:w="2040" w:type="dxa"/>
            <w:tcBorders>
              <w:bottom w:val="nil"/>
            </w:tcBorders>
            <w:vMerge w:val="restart"/>
          </w:tcPr>
          <w:p>
            <w:pPr>
              <w:pStyle w:val="0"/>
              <w:jc w:val="both"/>
            </w:pPr>
            <w:r>
              <w:rPr>
                <w:sz w:val="20"/>
              </w:rPr>
              <w:t xml:space="preserve">Государственная </w:t>
            </w:r>
            <w:hyperlink w:history="0" r:id="rId538"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28213,3</w:t>
            </w:r>
          </w:p>
        </w:tc>
        <w:tc>
          <w:tcPr>
            <w:tcW w:w="1361" w:type="dxa"/>
          </w:tcPr>
          <w:p>
            <w:pPr>
              <w:pStyle w:val="0"/>
              <w:jc w:val="center"/>
            </w:pPr>
            <w:r>
              <w:rPr>
                <w:sz w:val="20"/>
              </w:rPr>
              <w:t xml:space="preserve">836578,2</w:t>
            </w:r>
          </w:p>
        </w:tc>
        <w:tc>
          <w:tcPr>
            <w:tcW w:w="1474" w:type="dxa"/>
          </w:tcPr>
          <w:p>
            <w:pPr>
              <w:pStyle w:val="0"/>
              <w:jc w:val="center"/>
            </w:pPr>
            <w:r>
              <w:rPr>
                <w:sz w:val="20"/>
              </w:rPr>
              <w:t xml:space="preserve">636686,7</w:t>
            </w:r>
          </w:p>
        </w:tc>
        <w:tc>
          <w:tcPr>
            <w:tcW w:w="1417" w:type="dxa"/>
          </w:tcPr>
          <w:p>
            <w:pPr>
              <w:pStyle w:val="0"/>
              <w:jc w:val="center"/>
            </w:pPr>
            <w:r>
              <w:rPr>
                <w:sz w:val="20"/>
              </w:rPr>
              <w:t xml:space="preserve">3684179,0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5185657,2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26803,0</w:t>
            </w:r>
          </w:p>
        </w:tc>
        <w:tc>
          <w:tcPr>
            <w:tcW w:w="1361" w:type="dxa"/>
          </w:tcPr>
          <w:p>
            <w:pPr>
              <w:pStyle w:val="0"/>
              <w:jc w:val="center"/>
            </w:pPr>
            <w:r>
              <w:rPr>
                <w:sz w:val="20"/>
              </w:rPr>
              <w:t xml:space="preserve">794748,5</w:t>
            </w:r>
          </w:p>
        </w:tc>
        <w:tc>
          <w:tcPr>
            <w:tcW w:w="1474" w:type="dxa"/>
          </w:tcPr>
          <w:p>
            <w:pPr>
              <w:pStyle w:val="0"/>
              <w:jc w:val="center"/>
            </w:pPr>
            <w:r>
              <w:rPr>
                <w:sz w:val="20"/>
              </w:rPr>
              <w:t xml:space="preserve">604853,5</w:t>
            </w:r>
          </w:p>
        </w:tc>
        <w:tc>
          <w:tcPr>
            <w:tcW w:w="1417" w:type="dxa"/>
          </w:tcPr>
          <w:p>
            <w:pPr>
              <w:pStyle w:val="0"/>
              <w:jc w:val="center"/>
            </w:pPr>
            <w:r>
              <w:rPr>
                <w:sz w:val="20"/>
              </w:rPr>
              <w:t xml:space="preserve">3426283,0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4852688,0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1410,3</w:t>
            </w:r>
          </w:p>
        </w:tc>
        <w:tc>
          <w:tcPr>
            <w:tcW w:w="1361" w:type="dxa"/>
          </w:tcPr>
          <w:p>
            <w:pPr>
              <w:pStyle w:val="0"/>
              <w:jc w:val="center"/>
            </w:pPr>
            <w:r>
              <w:rPr>
                <w:sz w:val="20"/>
              </w:rPr>
              <w:t xml:space="preserve">41829,7</w:t>
            </w:r>
          </w:p>
        </w:tc>
        <w:tc>
          <w:tcPr>
            <w:tcW w:w="1474" w:type="dxa"/>
          </w:tcPr>
          <w:p>
            <w:pPr>
              <w:pStyle w:val="0"/>
              <w:jc w:val="center"/>
            </w:pPr>
            <w:r>
              <w:rPr>
                <w:sz w:val="20"/>
              </w:rPr>
              <w:t xml:space="preserve">31833,2</w:t>
            </w:r>
          </w:p>
        </w:tc>
        <w:tc>
          <w:tcPr>
            <w:tcW w:w="1417" w:type="dxa"/>
          </w:tcPr>
          <w:p>
            <w:pPr>
              <w:pStyle w:val="0"/>
              <w:jc w:val="center"/>
            </w:pPr>
            <w:r>
              <w:rPr>
                <w:sz w:val="20"/>
              </w:rPr>
              <w:t xml:space="preserve">257896,0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332969,2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1410,3</w:t>
            </w:r>
          </w:p>
        </w:tc>
        <w:tc>
          <w:tcPr>
            <w:tcW w:w="1361" w:type="dxa"/>
          </w:tcPr>
          <w:p>
            <w:pPr>
              <w:pStyle w:val="0"/>
              <w:jc w:val="center"/>
            </w:pPr>
            <w:r>
              <w:rPr>
                <w:sz w:val="20"/>
              </w:rPr>
              <w:t xml:space="preserve">41829,7</w:t>
            </w:r>
          </w:p>
        </w:tc>
        <w:tc>
          <w:tcPr>
            <w:tcW w:w="1474" w:type="dxa"/>
          </w:tcPr>
          <w:p>
            <w:pPr>
              <w:pStyle w:val="0"/>
              <w:jc w:val="center"/>
            </w:pPr>
            <w:r>
              <w:rPr>
                <w:sz w:val="20"/>
              </w:rPr>
              <w:t xml:space="preserve">31833,2</w:t>
            </w:r>
          </w:p>
        </w:tc>
        <w:tc>
          <w:tcPr>
            <w:tcW w:w="1417" w:type="dxa"/>
          </w:tcPr>
          <w:p>
            <w:pPr>
              <w:pStyle w:val="0"/>
              <w:jc w:val="center"/>
            </w:pPr>
            <w:r>
              <w:rPr>
                <w:sz w:val="20"/>
              </w:rPr>
              <w:t xml:space="preserve">257896,0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332969,2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39"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2778" w:type="dxa"/>
            <w:tcBorders>
              <w:bottom w:val="nil"/>
            </w:tcBorders>
            <w:vMerge w:val="restart"/>
          </w:tcPr>
          <w:p>
            <w:pPr>
              <w:pStyle w:val="0"/>
              <w:jc w:val="both"/>
            </w:pPr>
            <w:r>
              <w:rPr>
                <w:sz w:val="20"/>
              </w:rPr>
              <w:t xml:space="preserve">2.4. Севастопольская больница скорой медицинской помощи</w:t>
            </w:r>
          </w:p>
        </w:tc>
        <w:tc>
          <w:tcPr>
            <w:tcW w:w="2040" w:type="dxa"/>
            <w:tcBorders>
              <w:bottom w:val="nil"/>
            </w:tcBorders>
            <w:vMerge w:val="restart"/>
          </w:tcPr>
          <w:p>
            <w:pPr>
              <w:pStyle w:val="0"/>
              <w:jc w:val="both"/>
            </w:pPr>
            <w:r>
              <w:rPr>
                <w:sz w:val="20"/>
              </w:rPr>
              <w:t xml:space="preserve">Государственная </w:t>
            </w:r>
            <w:hyperlink w:history="0" r:id="rId540"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64363,0</w:t>
            </w:r>
          </w:p>
        </w:tc>
        <w:tc>
          <w:tcPr>
            <w:tcW w:w="1361" w:type="dxa"/>
          </w:tcPr>
          <w:p>
            <w:pPr>
              <w:pStyle w:val="0"/>
              <w:jc w:val="center"/>
            </w:pPr>
            <w:r>
              <w:rPr>
                <w:sz w:val="20"/>
              </w:rPr>
              <w:t xml:space="preserve">624795,2</w:t>
            </w:r>
          </w:p>
        </w:tc>
        <w:tc>
          <w:tcPr>
            <w:tcW w:w="1474" w:type="dxa"/>
          </w:tcPr>
          <w:p>
            <w:pPr>
              <w:pStyle w:val="0"/>
              <w:jc w:val="center"/>
            </w:pPr>
            <w:r>
              <w:rPr>
                <w:sz w:val="20"/>
              </w:rPr>
              <w:t xml:space="preserve">391781,5</w:t>
            </w:r>
          </w:p>
        </w:tc>
        <w:tc>
          <w:tcPr>
            <w:tcW w:w="1417" w:type="dxa"/>
          </w:tcPr>
          <w:p>
            <w:pPr>
              <w:pStyle w:val="0"/>
              <w:jc w:val="center"/>
            </w:pPr>
            <w:r>
              <w:rPr>
                <w:sz w:val="20"/>
              </w:rPr>
              <w:t xml:space="preserve">456517,1</w:t>
            </w:r>
          </w:p>
        </w:tc>
        <w:tc>
          <w:tcPr>
            <w:tcW w:w="1361" w:type="dxa"/>
          </w:tcPr>
          <w:p>
            <w:pPr>
              <w:pStyle w:val="0"/>
              <w:jc w:val="center"/>
            </w:pPr>
            <w:r>
              <w:rPr>
                <w:sz w:val="20"/>
              </w:rPr>
              <w:t xml:space="preserve">7257086,1</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8794542,9</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61145,0</w:t>
            </w:r>
          </w:p>
        </w:tc>
        <w:tc>
          <w:tcPr>
            <w:tcW w:w="1361" w:type="dxa"/>
          </w:tcPr>
          <w:p>
            <w:pPr>
              <w:pStyle w:val="0"/>
              <w:jc w:val="center"/>
            </w:pPr>
            <w:r>
              <w:rPr>
                <w:sz w:val="20"/>
              </w:rPr>
              <w:t xml:space="preserve">593554,9</w:t>
            </w:r>
          </w:p>
        </w:tc>
        <w:tc>
          <w:tcPr>
            <w:tcW w:w="1474" w:type="dxa"/>
          </w:tcPr>
          <w:p>
            <w:pPr>
              <w:pStyle w:val="0"/>
              <w:jc w:val="center"/>
            </w:pPr>
            <w:r>
              <w:rPr>
                <w:sz w:val="20"/>
              </w:rPr>
              <w:t xml:space="preserve">372192,4</w:t>
            </w:r>
          </w:p>
        </w:tc>
        <w:tc>
          <w:tcPr>
            <w:tcW w:w="1417" w:type="dxa"/>
          </w:tcPr>
          <w:p>
            <w:pPr>
              <w:pStyle w:val="0"/>
              <w:jc w:val="center"/>
            </w:pPr>
            <w:r>
              <w:rPr>
                <w:sz w:val="20"/>
              </w:rPr>
              <w:t xml:space="preserve">424558,6</w:t>
            </w:r>
          </w:p>
        </w:tc>
        <w:tc>
          <w:tcPr>
            <w:tcW w:w="1361" w:type="dxa"/>
          </w:tcPr>
          <w:p>
            <w:pPr>
              <w:pStyle w:val="0"/>
              <w:jc w:val="center"/>
            </w:pPr>
            <w:r>
              <w:rPr>
                <w:sz w:val="20"/>
              </w:rPr>
              <w:t xml:space="preserve">6749090,2</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8200541,1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3218,0</w:t>
            </w:r>
          </w:p>
        </w:tc>
        <w:tc>
          <w:tcPr>
            <w:tcW w:w="1361" w:type="dxa"/>
          </w:tcPr>
          <w:p>
            <w:pPr>
              <w:pStyle w:val="0"/>
              <w:jc w:val="center"/>
            </w:pPr>
            <w:r>
              <w:rPr>
                <w:sz w:val="20"/>
              </w:rPr>
              <w:t xml:space="preserve">31240,3</w:t>
            </w:r>
          </w:p>
        </w:tc>
        <w:tc>
          <w:tcPr>
            <w:tcW w:w="1474" w:type="dxa"/>
          </w:tcPr>
          <w:p>
            <w:pPr>
              <w:pStyle w:val="0"/>
              <w:jc w:val="center"/>
            </w:pPr>
            <w:r>
              <w:rPr>
                <w:sz w:val="20"/>
              </w:rPr>
              <w:t xml:space="preserve">19589,1</w:t>
            </w:r>
          </w:p>
        </w:tc>
        <w:tc>
          <w:tcPr>
            <w:tcW w:w="1417" w:type="dxa"/>
          </w:tcPr>
          <w:p>
            <w:pPr>
              <w:pStyle w:val="0"/>
              <w:jc w:val="center"/>
            </w:pPr>
            <w:r>
              <w:rPr>
                <w:sz w:val="20"/>
              </w:rPr>
              <w:t xml:space="preserve">31958,5</w:t>
            </w:r>
          </w:p>
        </w:tc>
        <w:tc>
          <w:tcPr>
            <w:tcW w:w="1361" w:type="dxa"/>
          </w:tcPr>
          <w:p>
            <w:pPr>
              <w:pStyle w:val="0"/>
              <w:jc w:val="center"/>
            </w:pPr>
            <w:r>
              <w:rPr>
                <w:sz w:val="20"/>
              </w:rPr>
              <w:t xml:space="preserve">507995,9</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594001,8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3218,0</w:t>
            </w:r>
          </w:p>
        </w:tc>
        <w:tc>
          <w:tcPr>
            <w:tcW w:w="1361" w:type="dxa"/>
          </w:tcPr>
          <w:p>
            <w:pPr>
              <w:pStyle w:val="0"/>
              <w:jc w:val="center"/>
            </w:pPr>
            <w:r>
              <w:rPr>
                <w:sz w:val="20"/>
              </w:rPr>
              <w:t xml:space="preserve">31240,3</w:t>
            </w:r>
          </w:p>
        </w:tc>
        <w:tc>
          <w:tcPr>
            <w:tcW w:w="1474" w:type="dxa"/>
          </w:tcPr>
          <w:p>
            <w:pPr>
              <w:pStyle w:val="0"/>
              <w:jc w:val="center"/>
            </w:pPr>
            <w:r>
              <w:rPr>
                <w:sz w:val="20"/>
              </w:rPr>
              <w:t xml:space="preserve">19589,1</w:t>
            </w:r>
          </w:p>
        </w:tc>
        <w:tc>
          <w:tcPr>
            <w:tcW w:w="1417" w:type="dxa"/>
          </w:tcPr>
          <w:p>
            <w:pPr>
              <w:pStyle w:val="0"/>
              <w:jc w:val="center"/>
            </w:pPr>
            <w:r>
              <w:rPr>
                <w:sz w:val="20"/>
              </w:rPr>
              <w:t xml:space="preserve">31958,5</w:t>
            </w:r>
          </w:p>
        </w:tc>
        <w:tc>
          <w:tcPr>
            <w:tcW w:w="1361" w:type="dxa"/>
          </w:tcPr>
          <w:p>
            <w:pPr>
              <w:pStyle w:val="0"/>
              <w:jc w:val="center"/>
            </w:pPr>
            <w:r>
              <w:rPr>
                <w:sz w:val="20"/>
              </w:rPr>
              <w:t xml:space="preserve">507995,9</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594001,8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41"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2778" w:type="dxa"/>
            <w:vMerge w:val="restart"/>
          </w:tcPr>
          <w:p>
            <w:pPr>
              <w:pStyle w:val="0"/>
              <w:jc w:val="both"/>
            </w:pPr>
            <w:r>
              <w:rPr>
                <w:sz w:val="20"/>
              </w:rPr>
              <w:t xml:space="preserve">2.5. Строительство городской инфекционной больницы на 200 коек, г. Севастополь</w:t>
            </w:r>
          </w:p>
        </w:tc>
        <w:tc>
          <w:tcPr>
            <w:tcW w:w="2040" w:type="dxa"/>
            <w:vMerge w:val="restart"/>
          </w:tcPr>
          <w:p>
            <w:pPr>
              <w:pStyle w:val="0"/>
              <w:jc w:val="both"/>
            </w:pPr>
            <w:r>
              <w:rPr>
                <w:sz w:val="20"/>
              </w:rPr>
              <w:t xml:space="preserve">Государственная </w:t>
            </w:r>
            <w:hyperlink w:history="0" r:id="rId542"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80000,0</w:t>
            </w:r>
          </w:p>
        </w:tc>
        <w:tc>
          <w:tcPr>
            <w:tcW w:w="1361" w:type="dxa"/>
          </w:tcPr>
          <w:p>
            <w:pPr>
              <w:pStyle w:val="0"/>
              <w:jc w:val="center"/>
            </w:pPr>
            <w:r>
              <w:rPr>
                <w:sz w:val="20"/>
              </w:rPr>
              <w:t xml:space="preserve">3291114,0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3371114,0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74400,0</w:t>
            </w:r>
          </w:p>
        </w:tc>
        <w:tc>
          <w:tcPr>
            <w:tcW w:w="1361" w:type="dxa"/>
          </w:tcPr>
          <w:p>
            <w:pPr>
              <w:pStyle w:val="0"/>
              <w:jc w:val="center"/>
            </w:pPr>
            <w:r>
              <w:rPr>
                <w:sz w:val="20"/>
              </w:rPr>
              <w:t xml:space="preserve">3060740,0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3135140,0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5600,0</w:t>
            </w:r>
          </w:p>
        </w:tc>
        <w:tc>
          <w:tcPr>
            <w:tcW w:w="1361" w:type="dxa"/>
          </w:tcPr>
          <w:p>
            <w:pPr>
              <w:pStyle w:val="0"/>
              <w:jc w:val="center"/>
            </w:pPr>
            <w:r>
              <w:rPr>
                <w:sz w:val="20"/>
              </w:rPr>
              <w:t xml:space="preserve">230374,0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235974,0</w:t>
            </w:r>
          </w:p>
        </w:tc>
      </w:tr>
      <w:tr>
        <w:tc>
          <w:tcPr>
            <w:vMerge w:val="continue"/>
          </w:tcPr>
          <w:p/>
        </w:tc>
        <w:tc>
          <w:tcPr>
            <w:vMerge w:val="continue"/>
          </w:tcPr>
          <w:p/>
        </w:tc>
        <w:tc>
          <w:tcPr>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5600,0</w:t>
            </w:r>
          </w:p>
        </w:tc>
        <w:tc>
          <w:tcPr>
            <w:tcW w:w="1361" w:type="dxa"/>
          </w:tcPr>
          <w:p>
            <w:pPr>
              <w:pStyle w:val="0"/>
              <w:jc w:val="center"/>
            </w:pPr>
            <w:r>
              <w:rPr>
                <w:sz w:val="20"/>
              </w:rPr>
              <w:t xml:space="preserve">230374,0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235974,0</w:t>
            </w:r>
          </w:p>
        </w:tc>
      </w:tr>
      <w:tr>
        <w:tc>
          <w:tcPr>
            <w:vMerge w:val="continue"/>
          </w:tcPr>
          <w:p/>
        </w:tc>
        <w:tc>
          <w:tcPr>
            <w:vMerge w:val="continue"/>
          </w:tcPr>
          <w:p/>
        </w:tc>
        <w:tc>
          <w:tcPr>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2.6. Оказание высокотехнологичной медицинской помощи, не включенной в базовую программу обязательного медицинского страхования</w:t>
            </w:r>
          </w:p>
        </w:tc>
        <w:tc>
          <w:tcPr>
            <w:tcW w:w="2040" w:type="dxa"/>
            <w:vMerge w:val="restart"/>
          </w:tcPr>
          <w:p>
            <w:pPr>
              <w:pStyle w:val="0"/>
              <w:jc w:val="both"/>
            </w:pPr>
            <w:r>
              <w:rPr>
                <w:sz w:val="20"/>
              </w:rPr>
              <w:t xml:space="preserve">Государственная </w:t>
            </w:r>
            <w:hyperlink w:history="0" r:id="rId543"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178161,3</w:t>
            </w:r>
          </w:p>
        </w:tc>
        <w:tc>
          <w:tcPr>
            <w:tcW w:w="1361" w:type="dxa"/>
          </w:tcPr>
          <w:p>
            <w:pPr>
              <w:pStyle w:val="0"/>
              <w:jc w:val="center"/>
            </w:pPr>
            <w:r>
              <w:rPr>
                <w:sz w:val="20"/>
              </w:rPr>
              <w:t xml:space="preserve">175627,2</w:t>
            </w:r>
          </w:p>
        </w:tc>
        <w:tc>
          <w:tcPr>
            <w:tcW w:w="1474" w:type="dxa"/>
          </w:tcPr>
          <w:p>
            <w:pPr>
              <w:pStyle w:val="0"/>
              <w:jc w:val="center"/>
            </w:pPr>
            <w:r>
              <w:rPr>
                <w:sz w:val="20"/>
              </w:rPr>
              <w:t xml:space="preserve">175627,2</w:t>
            </w:r>
          </w:p>
        </w:tc>
        <w:tc>
          <w:tcPr>
            <w:tcW w:w="1417" w:type="dxa"/>
          </w:tcPr>
          <w:p>
            <w:pPr>
              <w:pStyle w:val="0"/>
              <w:jc w:val="center"/>
            </w:pPr>
            <w:r>
              <w:rPr>
                <w:sz w:val="20"/>
              </w:rPr>
              <w:t xml:space="preserve">175114,4</w:t>
            </w:r>
          </w:p>
        </w:tc>
        <w:tc>
          <w:tcPr>
            <w:tcW w:w="1361" w:type="dxa"/>
          </w:tcPr>
          <w:p>
            <w:pPr>
              <w:pStyle w:val="0"/>
              <w:jc w:val="center"/>
            </w:pPr>
            <w:r>
              <w:rPr>
                <w:sz w:val="20"/>
              </w:rPr>
              <w:t xml:space="preserve">180893,2</w:t>
            </w:r>
          </w:p>
        </w:tc>
        <w:tc>
          <w:tcPr>
            <w:tcW w:w="1361" w:type="dxa"/>
          </w:tcPr>
          <w:p>
            <w:pPr>
              <w:pStyle w:val="0"/>
              <w:jc w:val="center"/>
            </w:pPr>
            <w:r>
              <w:rPr>
                <w:sz w:val="20"/>
              </w:rPr>
              <w:t xml:space="preserve">186500,9</w:t>
            </w:r>
          </w:p>
        </w:tc>
        <w:tc>
          <w:tcPr>
            <w:tcW w:w="1247" w:type="dxa"/>
          </w:tcPr>
          <w:p>
            <w:pPr>
              <w:pStyle w:val="0"/>
              <w:jc w:val="center"/>
            </w:pPr>
            <w:r>
              <w:rPr>
                <w:sz w:val="20"/>
              </w:rPr>
              <w:t xml:space="preserve">191909,4</w:t>
            </w:r>
          </w:p>
        </w:tc>
        <w:tc>
          <w:tcPr>
            <w:tcW w:w="1247" w:type="dxa"/>
          </w:tcPr>
          <w:p>
            <w:pPr>
              <w:pStyle w:val="0"/>
              <w:jc w:val="center"/>
            </w:pPr>
            <w:r>
              <w:rPr>
                <w:sz w:val="20"/>
              </w:rPr>
              <w:t xml:space="preserve">197282,9</w:t>
            </w:r>
          </w:p>
        </w:tc>
        <w:tc>
          <w:tcPr>
            <w:tcW w:w="1304" w:type="dxa"/>
          </w:tcPr>
          <w:p>
            <w:pPr>
              <w:pStyle w:val="0"/>
              <w:jc w:val="center"/>
            </w:pPr>
            <w:r>
              <w:rPr>
                <w:sz w:val="20"/>
              </w:rPr>
              <w:t xml:space="preserve">202806,8</w:t>
            </w:r>
          </w:p>
        </w:tc>
        <w:tc>
          <w:tcPr>
            <w:tcW w:w="1531" w:type="dxa"/>
          </w:tcPr>
          <w:p>
            <w:pPr>
              <w:pStyle w:val="0"/>
              <w:jc w:val="center"/>
            </w:pPr>
            <w:r>
              <w:rPr>
                <w:sz w:val="20"/>
              </w:rPr>
              <w:t xml:space="preserve">1663923,3</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35249,7</w:t>
            </w:r>
          </w:p>
        </w:tc>
        <w:tc>
          <w:tcPr>
            <w:tcW w:w="1361" w:type="dxa"/>
          </w:tcPr>
          <w:p>
            <w:pPr>
              <w:pStyle w:val="0"/>
              <w:jc w:val="center"/>
            </w:pPr>
            <w:r>
              <w:rPr>
                <w:sz w:val="20"/>
              </w:rPr>
              <w:t xml:space="preserve">32715,6</w:t>
            </w:r>
          </w:p>
        </w:tc>
        <w:tc>
          <w:tcPr>
            <w:tcW w:w="1474" w:type="dxa"/>
          </w:tcPr>
          <w:p>
            <w:pPr>
              <w:pStyle w:val="0"/>
              <w:jc w:val="center"/>
            </w:pPr>
            <w:r>
              <w:rPr>
                <w:sz w:val="20"/>
              </w:rPr>
              <w:t xml:space="preserve">32715,6</w:t>
            </w:r>
          </w:p>
        </w:tc>
        <w:tc>
          <w:tcPr>
            <w:tcW w:w="1417" w:type="dxa"/>
          </w:tcPr>
          <w:p>
            <w:pPr>
              <w:pStyle w:val="0"/>
              <w:jc w:val="center"/>
            </w:pPr>
            <w:r>
              <w:rPr>
                <w:sz w:val="20"/>
              </w:rPr>
              <w:t xml:space="preserve">32202,8</w:t>
            </w:r>
          </w:p>
        </w:tc>
        <w:tc>
          <w:tcPr>
            <w:tcW w:w="1361" w:type="dxa"/>
          </w:tcPr>
          <w:p>
            <w:pPr>
              <w:pStyle w:val="0"/>
              <w:jc w:val="center"/>
            </w:pPr>
            <w:r>
              <w:rPr>
                <w:sz w:val="20"/>
              </w:rPr>
              <w:t xml:space="preserve">33265,5</w:t>
            </w:r>
          </w:p>
        </w:tc>
        <w:tc>
          <w:tcPr>
            <w:tcW w:w="1361" w:type="dxa"/>
          </w:tcPr>
          <w:p>
            <w:pPr>
              <w:pStyle w:val="0"/>
              <w:jc w:val="center"/>
            </w:pPr>
            <w:r>
              <w:rPr>
                <w:sz w:val="20"/>
              </w:rPr>
              <w:t xml:space="preserve">34296,7</w:t>
            </w:r>
          </w:p>
        </w:tc>
        <w:tc>
          <w:tcPr>
            <w:tcW w:w="1247" w:type="dxa"/>
          </w:tcPr>
          <w:p>
            <w:pPr>
              <w:pStyle w:val="0"/>
              <w:jc w:val="center"/>
            </w:pPr>
            <w:r>
              <w:rPr>
                <w:sz w:val="20"/>
              </w:rPr>
              <w:t xml:space="preserve">35291,3</w:t>
            </w:r>
          </w:p>
        </w:tc>
        <w:tc>
          <w:tcPr>
            <w:tcW w:w="1247" w:type="dxa"/>
          </w:tcPr>
          <w:p>
            <w:pPr>
              <w:pStyle w:val="0"/>
              <w:jc w:val="center"/>
            </w:pPr>
            <w:r>
              <w:rPr>
                <w:sz w:val="20"/>
              </w:rPr>
              <w:t xml:space="preserve">36279,5</w:t>
            </w:r>
          </w:p>
        </w:tc>
        <w:tc>
          <w:tcPr>
            <w:tcW w:w="1304" w:type="dxa"/>
          </w:tcPr>
          <w:p>
            <w:pPr>
              <w:pStyle w:val="0"/>
              <w:jc w:val="center"/>
            </w:pPr>
            <w:r>
              <w:rPr>
                <w:sz w:val="20"/>
              </w:rPr>
              <w:t xml:space="preserve">37295,3</w:t>
            </w:r>
          </w:p>
        </w:tc>
        <w:tc>
          <w:tcPr>
            <w:tcW w:w="1531" w:type="dxa"/>
          </w:tcPr>
          <w:p>
            <w:pPr>
              <w:pStyle w:val="0"/>
              <w:jc w:val="center"/>
            </w:pPr>
            <w:r>
              <w:rPr>
                <w:sz w:val="20"/>
              </w:rPr>
              <w:t xml:space="preserve">309312,0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142911,6</w:t>
            </w:r>
          </w:p>
        </w:tc>
        <w:tc>
          <w:tcPr>
            <w:tcW w:w="1361" w:type="dxa"/>
          </w:tcPr>
          <w:p>
            <w:pPr>
              <w:pStyle w:val="0"/>
              <w:jc w:val="center"/>
            </w:pPr>
            <w:r>
              <w:rPr>
                <w:sz w:val="20"/>
              </w:rPr>
              <w:t xml:space="preserve">142911,6</w:t>
            </w:r>
          </w:p>
        </w:tc>
        <w:tc>
          <w:tcPr>
            <w:tcW w:w="1474" w:type="dxa"/>
          </w:tcPr>
          <w:p>
            <w:pPr>
              <w:pStyle w:val="0"/>
              <w:jc w:val="center"/>
            </w:pPr>
            <w:r>
              <w:rPr>
                <w:sz w:val="20"/>
              </w:rPr>
              <w:t xml:space="preserve">142911,6</w:t>
            </w:r>
          </w:p>
        </w:tc>
        <w:tc>
          <w:tcPr>
            <w:tcW w:w="1417" w:type="dxa"/>
          </w:tcPr>
          <w:p>
            <w:pPr>
              <w:pStyle w:val="0"/>
              <w:jc w:val="center"/>
            </w:pPr>
            <w:r>
              <w:rPr>
                <w:sz w:val="20"/>
              </w:rPr>
              <w:t xml:space="preserve">142911,6</w:t>
            </w:r>
          </w:p>
        </w:tc>
        <w:tc>
          <w:tcPr>
            <w:tcW w:w="1361" w:type="dxa"/>
          </w:tcPr>
          <w:p>
            <w:pPr>
              <w:pStyle w:val="0"/>
              <w:jc w:val="center"/>
            </w:pPr>
            <w:r>
              <w:rPr>
                <w:sz w:val="20"/>
              </w:rPr>
              <w:t xml:space="preserve">147627,7</w:t>
            </w:r>
          </w:p>
        </w:tc>
        <w:tc>
          <w:tcPr>
            <w:tcW w:w="1361" w:type="dxa"/>
          </w:tcPr>
          <w:p>
            <w:pPr>
              <w:pStyle w:val="0"/>
              <w:jc w:val="center"/>
            </w:pPr>
            <w:r>
              <w:rPr>
                <w:sz w:val="20"/>
              </w:rPr>
              <w:t xml:space="preserve">152204,2</w:t>
            </w:r>
          </w:p>
        </w:tc>
        <w:tc>
          <w:tcPr>
            <w:tcW w:w="1247" w:type="dxa"/>
          </w:tcPr>
          <w:p>
            <w:pPr>
              <w:pStyle w:val="0"/>
              <w:jc w:val="center"/>
            </w:pPr>
            <w:r>
              <w:rPr>
                <w:sz w:val="20"/>
              </w:rPr>
              <w:t xml:space="preserve">156618,1</w:t>
            </w:r>
          </w:p>
        </w:tc>
        <w:tc>
          <w:tcPr>
            <w:tcW w:w="1247" w:type="dxa"/>
          </w:tcPr>
          <w:p>
            <w:pPr>
              <w:pStyle w:val="0"/>
              <w:jc w:val="center"/>
            </w:pPr>
            <w:r>
              <w:rPr>
                <w:sz w:val="20"/>
              </w:rPr>
              <w:t xml:space="preserve">161003,4</w:t>
            </w:r>
          </w:p>
        </w:tc>
        <w:tc>
          <w:tcPr>
            <w:tcW w:w="1304" w:type="dxa"/>
          </w:tcPr>
          <w:p>
            <w:pPr>
              <w:pStyle w:val="0"/>
              <w:jc w:val="center"/>
            </w:pPr>
            <w:r>
              <w:rPr>
                <w:sz w:val="20"/>
              </w:rPr>
              <w:t xml:space="preserve">165511,5</w:t>
            </w:r>
          </w:p>
        </w:tc>
        <w:tc>
          <w:tcPr>
            <w:tcW w:w="1531" w:type="dxa"/>
          </w:tcPr>
          <w:p>
            <w:pPr>
              <w:pStyle w:val="0"/>
              <w:jc w:val="center"/>
            </w:pPr>
            <w:r>
              <w:rPr>
                <w:sz w:val="20"/>
              </w:rPr>
              <w:t xml:space="preserve">1354611,3</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tcBorders>
              <w:bottom w:val="nil"/>
            </w:tcBorders>
            <w:vMerge w:val="restart"/>
          </w:tcPr>
          <w:p>
            <w:pPr>
              <w:pStyle w:val="0"/>
              <w:jc w:val="both"/>
            </w:pPr>
            <w:r>
              <w:rPr>
                <w:sz w:val="20"/>
              </w:rPr>
              <w:t xml:space="preserve">2.8. Иные мероприятия, направленные на развитие здравоохранения в г. Севастополе, в том числе:</w:t>
            </w:r>
          </w:p>
        </w:tc>
        <w:tc>
          <w:tcPr>
            <w:tcW w:w="2040" w:type="dxa"/>
            <w:tcBorders>
              <w:bottom w:val="nil"/>
            </w:tcBorders>
            <w:vMerge w:val="restart"/>
          </w:tcPr>
          <w:p>
            <w:pPr>
              <w:pStyle w:val="0"/>
              <w:jc w:val="both"/>
            </w:pPr>
            <w:r>
              <w:rPr>
                <w:sz w:val="20"/>
              </w:rPr>
              <w:t xml:space="preserve">Государственная </w:t>
            </w:r>
            <w:hyperlink w:history="0" r:id="rId544"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136097,0</w:t>
            </w:r>
          </w:p>
        </w:tc>
        <w:tc>
          <w:tcPr>
            <w:tcW w:w="1361" w:type="dxa"/>
          </w:tcPr>
          <w:p>
            <w:pPr>
              <w:pStyle w:val="0"/>
              <w:jc w:val="center"/>
            </w:pPr>
            <w:r>
              <w:rPr>
                <w:sz w:val="20"/>
              </w:rPr>
              <w:t xml:space="preserve">95018,4</w:t>
            </w:r>
          </w:p>
        </w:tc>
        <w:tc>
          <w:tcPr>
            <w:tcW w:w="1474" w:type="dxa"/>
          </w:tcPr>
          <w:p>
            <w:pPr>
              <w:pStyle w:val="0"/>
              <w:jc w:val="center"/>
            </w:pPr>
            <w:r>
              <w:rPr>
                <w:sz w:val="20"/>
              </w:rPr>
              <w:t xml:space="preserve">32656,0</w:t>
            </w:r>
          </w:p>
        </w:tc>
        <w:tc>
          <w:tcPr>
            <w:tcW w:w="1417" w:type="dxa"/>
          </w:tcPr>
          <w:p>
            <w:pPr>
              <w:pStyle w:val="0"/>
              <w:jc w:val="center"/>
            </w:pPr>
            <w:r>
              <w:rPr>
                <w:sz w:val="20"/>
              </w:rPr>
              <w:t xml:space="preserve">290049,8</w:t>
            </w:r>
          </w:p>
        </w:tc>
        <w:tc>
          <w:tcPr>
            <w:tcW w:w="1361" w:type="dxa"/>
          </w:tcPr>
          <w:p>
            <w:pPr>
              <w:pStyle w:val="0"/>
              <w:jc w:val="center"/>
            </w:pPr>
            <w:r>
              <w:rPr>
                <w:sz w:val="20"/>
              </w:rPr>
              <w:t xml:space="preserve">1109720,2</w:t>
            </w:r>
          </w:p>
        </w:tc>
        <w:tc>
          <w:tcPr>
            <w:tcW w:w="1361" w:type="dxa"/>
          </w:tcPr>
          <w:p>
            <w:pPr>
              <w:pStyle w:val="0"/>
              <w:jc w:val="center"/>
            </w:pPr>
            <w:r>
              <w:rPr>
                <w:sz w:val="20"/>
              </w:rPr>
              <w:t xml:space="preserve">1083295,8</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2746837,2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129294,6</w:t>
            </w:r>
          </w:p>
        </w:tc>
        <w:tc>
          <w:tcPr>
            <w:tcW w:w="1361" w:type="dxa"/>
          </w:tcPr>
          <w:p>
            <w:pPr>
              <w:pStyle w:val="0"/>
              <w:jc w:val="center"/>
            </w:pPr>
            <w:r>
              <w:rPr>
                <w:sz w:val="20"/>
              </w:rPr>
              <w:t xml:space="preserve">90266,7</w:t>
            </w:r>
          </w:p>
        </w:tc>
        <w:tc>
          <w:tcPr>
            <w:tcW w:w="1474" w:type="dxa"/>
          </w:tcPr>
          <w:p>
            <w:pPr>
              <w:pStyle w:val="0"/>
              <w:jc w:val="center"/>
            </w:pPr>
            <w:r>
              <w:rPr>
                <w:sz w:val="20"/>
              </w:rPr>
              <w:t xml:space="preserve">31023,0</w:t>
            </w:r>
          </w:p>
        </w:tc>
        <w:tc>
          <w:tcPr>
            <w:tcW w:w="1417" w:type="dxa"/>
          </w:tcPr>
          <w:p>
            <w:pPr>
              <w:pStyle w:val="0"/>
              <w:jc w:val="center"/>
            </w:pPr>
            <w:r>
              <w:rPr>
                <w:sz w:val="20"/>
              </w:rPr>
              <w:t xml:space="preserve">269750,2</w:t>
            </w:r>
          </w:p>
        </w:tc>
        <w:tc>
          <w:tcPr>
            <w:tcW w:w="1361" w:type="dxa"/>
          </w:tcPr>
          <w:p>
            <w:pPr>
              <w:pStyle w:val="0"/>
              <w:jc w:val="center"/>
            </w:pPr>
            <w:r>
              <w:rPr>
                <w:sz w:val="20"/>
              </w:rPr>
              <w:t xml:space="preserve">1032040,4</w:t>
            </w:r>
          </w:p>
        </w:tc>
        <w:tc>
          <w:tcPr>
            <w:tcW w:w="1361" w:type="dxa"/>
          </w:tcPr>
          <w:p>
            <w:pPr>
              <w:pStyle w:val="0"/>
              <w:jc w:val="center"/>
            </w:pPr>
            <w:r>
              <w:rPr>
                <w:sz w:val="20"/>
              </w:rPr>
              <w:t xml:space="preserve">976248,0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2528622,9</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6802,4</w:t>
            </w:r>
          </w:p>
        </w:tc>
        <w:tc>
          <w:tcPr>
            <w:tcW w:w="1361" w:type="dxa"/>
          </w:tcPr>
          <w:p>
            <w:pPr>
              <w:pStyle w:val="0"/>
              <w:jc w:val="center"/>
            </w:pPr>
            <w:r>
              <w:rPr>
                <w:sz w:val="20"/>
              </w:rPr>
              <w:t xml:space="preserve">4751,7</w:t>
            </w:r>
          </w:p>
        </w:tc>
        <w:tc>
          <w:tcPr>
            <w:tcW w:w="1474" w:type="dxa"/>
          </w:tcPr>
          <w:p>
            <w:pPr>
              <w:pStyle w:val="0"/>
              <w:jc w:val="center"/>
            </w:pPr>
            <w:r>
              <w:rPr>
                <w:sz w:val="20"/>
              </w:rPr>
              <w:t xml:space="preserve">1633,0</w:t>
            </w:r>
          </w:p>
        </w:tc>
        <w:tc>
          <w:tcPr>
            <w:tcW w:w="1417" w:type="dxa"/>
          </w:tcPr>
          <w:p>
            <w:pPr>
              <w:pStyle w:val="0"/>
              <w:jc w:val="center"/>
            </w:pPr>
            <w:r>
              <w:rPr>
                <w:sz w:val="20"/>
              </w:rPr>
              <w:t xml:space="preserve">20299,6</w:t>
            </w:r>
          </w:p>
        </w:tc>
        <w:tc>
          <w:tcPr>
            <w:tcW w:w="1361" w:type="dxa"/>
          </w:tcPr>
          <w:p>
            <w:pPr>
              <w:pStyle w:val="0"/>
              <w:jc w:val="center"/>
            </w:pPr>
            <w:r>
              <w:rPr>
                <w:sz w:val="20"/>
              </w:rPr>
              <w:t xml:space="preserve">77679,8</w:t>
            </w:r>
          </w:p>
        </w:tc>
        <w:tc>
          <w:tcPr>
            <w:tcW w:w="1361" w:type="dxa"/>
          </w:tcPr>
          <w:p>
            <w:pPr>
              <w:pStyle w:val="0"/>
              <w:jc w:val="center"/>
            </w:pPr>
            <w:r>
              <w:rPr>
                <w:sz w:val="20"/>
              </w:rPr>
              <w:t xml:space="preserve">107047,8</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218214,3</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6802,4</w:t>
            </w:r>
          </w:p>
        </w:tc>
        <w:tc>
          <w:tcPr>
            <w:tcW w:w="1361" w:type="dxa"/>
          </w:tcPr>
          <w:p>
            <w:pPr>
              <w:pStyle w:val="0"/>
              <w:jc w:val="center"/>
            </w:pPr>
            <w:r>
              <w:rPr>
                <w:sz w:val="20"/>
              </w:rPr>
              <w:t xml:space="preserve">4751,7</w:t>
            </w:r>
          </w:p>
        </w:tc>
        <w:tc>
          <w:tcPr>
            <w:tcW w:w="1474" w:type="dxa"/>
          </w:tcPr>
          <w:p>
            <w:pPr>
              <w:pStyle w:val="0"/>
              <w:jc w:val="center"/>
            </w:pPr>
            <w:r>
              <w:rPr>
                <w:sz w:val="20"/>
              </w:rPr>
              <w:t xml:space="preserve">1633,0</w:t>
            </w:r>
          </w:p>
        </w:tc>
        <w:tc>
          <w:tcPr>
            <w:tcW w:w="1417" w:type="dxa"/>
          </w:tcPr>
          <w:p>
            <w:pPr>
              <w:pStyle w:val="0"/>
              <w:jc w:val="center"/>
            </w:pPr>
            <w:r>
              <w:rPr>
                <w:sz w:val="20"/>
              </w:rPr>
              <w:t xml:space="preserve">20299,6</w:t>
            </w:r>
          </w:p>
        </w:tc>
        <w:tc>
          <w:tcPr>
            <w:tcW w:w="1361" w:type="dxa"/>
          </w:tcPr>
          <w:p>
            <w:pPr>
              <w:pStyle w:val="0"/>
              <w:jc w:val="center"/>
            </w:pPr>
            <w:r>
              <w:rPr>
                <w:sz w:val="20"/>
              </w:rPr>
              <w:t xml:space="preserve">77679,8</w:t>
            </w:r>
          </w:p>
        </w:tc>
        <w:tc>
          <w:tcPr>
            <w:tcW w:w="1361" w:type="dxa"/>
          </w:tcPr>
          <w:p>
            <w:pPr>
              <w:pStyle w:val="0"/>
              <w:jc w:val="center"/>
            </w:pPr>
            <w:r>
              <w:rPr>
                <w:sz w:val="20"/>
              </w:rPr>
              <w:t xml:space="preserve">73476,0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184642,5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33571,8</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33571,8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45"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2778" w:type="dxa"/>
            <w:tcBorders>
              <w:bottom w:val="nil"/>
            </w:tcBorders>
            <w:vMerge w:val="restart"/>
          </w:tcPr>
          <w:p>
            <w:pPr>
              <w:pStyle w:val="0"/>
              <w:jc w:val="both"/>
            </w:pPr>
            <w:r>
              <w:rPr>
                <w:sz w:val="20"/>
              </w:rPr>
              <w:t xml:space="preserve">2.8.1. Строительство подстанции N 1 ГБУЗС "Севастопольский центр экстренной медицинской помощи и медицины катастроф", пр-т Победы</w:t>
            </w:r>
          </w:p>
        </w:tc>
        <w:tc>
          <w:tcPr>
            <w:tcW w:w="2040" w:type="dxa"/>
            <w:tcBorders>
              <w:bottom w:val="nil"/>
            </w:tcBorders>
            <w:vMerge w:val="restart"/>
          </w:tcPr>
          <w:p>
            <w:pPr>
              <w:pStyle w:val="0"/>
              <w:jc w:val="both"/>
            </w:pPr>
            <w:r>
              <w:rPr>
                <w:sz w:val="20"/>
              </w:rPr>
              <w:t xml:space="preserve">Государственная </w:t>
            </w:r>
            <w:hyperlink w:history="0" r:id="rId546"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76197,0</w:t>
            </w:r>
          </w:p>
        </w:tc>
        <w:tc>
          <w:tcPr>
            <w:tcW w:w="1361" w:type="dxa"/>
          </w:tcPr>
          <w:p>
            <w:pPr>
              <w:pStyle w:val="0"/>
              <w:jc w:val="center"/>
            </w:pPr>
            <w:r>
              <w:rPr>
                <w:sz w:val="20"/>
              </w:rPr>
              <w:t xml:space="preserve">91000,0</w:t>
            </w:r>
          </w:p>
        </w:tc>
        <w:tc>
          <w:tcPr>
            <w:tcW w:w="1474" w:type="dxa"/>
          </w:tcPr>
          <w:p>
            <w:pPr>
              <w:pStyle w:val="0"/>
              <w:jc w:val="center"/>
            </w:pPr>
            <w:r>
              <w:rPr>
                <w:sz w:val="20"/>
              </w:rPr>
              <w:t xml:space="preserve">32656,0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33571,8</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233424,8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72389,6</w:t>
            </w:r>
          </w:p>
        </w:tc>
        <w:tc>
          <w:tcPr>
            <w:tcW w:w="1361" w:type="dxa"/>
          </w:tcPr>
          <w:p>
            <w:pPr>
              <w:pStyle w:val="0"/>
              <w:jc w:val="center"/>
            </w:pPr>
            <w:r>
              <w:rPr>
                <w:sz w:val="20"/>
              </w:rPr>
              <w:t xml:space="preserve">86449,3</w:t>
            </w:r>
          </w:p>
        </w:tc>
        <w:tc>
          <w:tcPr>
            <w:tcW w:w="1474" w:type="dxa"/>
          </w:tcPr>
          <w:p>
            <w:pPr>
              <w:pStyle w:val="0"/>
              <w:jc w:val="center"/>
            </w:pPr>
            <w:r>
              <w:rPr>
                <w:sz w:val="20"/>
              </w:rPr>
              <w:t xml:space="preserve">31023,0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189861,9</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3807,4</w:t>
            </w:r>
          </w:p>
        </w:tc>
        <w:tc>
          <w:tcPr>
            <w:tcW w:w="1361" w:type="dxa"/>
          </w:tcPr>
          <w:p>
            <w:pPr>
              <w:pStyle w:val="0"/>
              <w:jc w:val="center"/>
            </w:pPr>
            <w:r>
              <w:rPr>
                <w:sz w:val="20"/>
              </w:rPr>
              <w:t xml:space="preserve">4550,7</w:t>
            </w:r>
          </w:p>
        </w:tc>
        <w:tc>
          <w:tcPr>
            <w:tcW w:w="1474" w:type="dxa"/>
          </w:tcPr>
          <w:p>
            <w:pPr>
              <w:pStyle w:val="0"/>
              <w:jc w:val="center"/>
            </w:pPr>
            <w:r>
              <w:rPr>
                <w:sz w:val="20"/>
              </w:rPr>
              <w:t xml:space="preserve">1633,0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33571,8</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43562,9</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3807,4</w:t>
            </w:r>
          </w:p>
        </w:tc>
        <w:tc>
          <w:tcPr>
            <w:tcW w:w="1361" w:type="dxa"/>
          </w:tcPr>
          <w:p>
            <w:pPr>
              <w:pStyle w:val="0"/>
              <w:jc w:val="center"/>
            </w:pPr>
            <w:r>
              <w:rPr>
                <w:sz w:val="20"/>
              </w:rPr>
              <w:t xml:space="preserve">4550,7</w:t>
            </w:r>
          </w:p>
        </w:tc>
        <w:tc>
          <w:tcPr>
            <w:tcW w:w="1474" w:type="dxa"/>
          </w:tcPr>
          <w:p>
            <w:pPr>
              <w:pStyle w:val="0"/>
              <w:jc w:val="center"/>
            </w:pPr>
            <w:r>
              <w:rPr>
                <w:sz w:val="20"/>
              </w:rPr>
              <w:t xml:space="preserve">1633,0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9991,1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33571,8</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33571,8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47" w:tooltip="Постановление Правительства Севастополя от 16.10.2023 N 470-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16.10.2023 N 470-ПП)</w:t>
            </w:r>
          </w:p>
        </w:tc>
      </w:tr>
      <w:tr>
        <w:tc>
          <w:tcPr>
            <w:tcW w:w="2778" w:type="dxa"/>
            <w:tcBorders>
              <w:bottom w:val="nil"/>
            </w:tcBorders>
            <w:vMerge w:val="restart"/>
          </w:tcPr>
          <w:p>
            <w:pPr>
              <w:pStyle w:val="0"/>
              <w:jc w:val="both"/>
            </w:pPr>
            <w:r>
              <w:rPr>
                <w:sz w:val="20"/>
              </w:rPr>
              <w:t xml:space="preserve">2.8.2. ГБУЗС "Городская больница N 4", строительство палатного корпуса на 140 коек</w:t>
            </w:r>
          </w:p>
        </w:tc>
        <w:tc>
          <w:tcPr>
            <w:tcW w:w="2040" w:type="dxa"/>
            <w:tcBorders>
              <w:bottom w:val="nil"/>
            </w:tcBorders>
            <w:vMerge w:val="restart"/>
          </w:tcPr>
          <w:p>
            <w:pPr>
              <w:pStyle w:val="0"/>
              <w:jc w:val="both"/>
            </w:pPr>
            <w:r>
              <w:rPr>
                <w:sz w:val="20"/>
              </w:rPr>
              <w:t xml:space="preserve">Государственная </w:t>
            </w:r>
            <w:hyperlink w:history="0" r:id="rId548"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59900,0</w:t>
            </w:r>
          </w:p>
        </w:tc>
        <w:tc>
          <w:tcPr>
            <w:tcW w:w="1361" w:type="dxa"/>
          </w:tcPr>
          <w:p>
            <w:pPr>
              <w:pStyle w:val="0"/>
              <w:jc w:val="center"/>
            </w:pPr>
            <w:r>
              <w:rPr>
                <w:sz w:val="20"/>
              </w:rPr>
              <w:t xml:space="preserve">4018,4</w:t>
            </w:r>
          </w:p>
        </w:tc>
        <w:tc>
          <w:tcPr>
            <w:tcW w:w="1474" w:type="dxa"/>
          </w:tcPr>
          <w:p>
            <w:pPr>
              <w:pStyle w:val="0"/>
              <w:jc w:val="center"/>
            </w:pPr>
            <w:r>
              <w:rPr>
                <w:sz w:val="20"/>
              </w:rPr>
              <w:t xml:space="preserve">0,0</w:t>
            </w:r>
          </w:p>
        </w:tc>
        <w:tc>
          <w:tcPr>
            <w:tcW w:w="1417" w:type="dxa"/>
          </w:tcPr>
          <w:p>
            <w:pPr>
              <w:pStyle w:val="0"/>
              <w:jc w:val="center"/>
            </w:pPr>
            <w:r>
              <w:rPr>
                <w:sz w:val="20"/>
              </w:rPr>
              <w:t xml:space="preserve">290049,8</w:t>
            </w:r>
          </w:p>
        </w:tc>
        <w:tc>
          <w:tcPr>
            <w:tcW w:w="1361" w:type="dxa"/>
          </w:tcPr>
          <w:p>
            <w:pPr>
              <w:pStyle w:val="0"/>
              <w:jc w:val="center"/>
            </w:pPr>
            <w:r>
              <w:rPr>
                <w:sz w:val="20"/>
              </w:rPr>
              <w:t xml:space="preserve">1109720,2</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1463688,4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56905,0</w:t>
            </w:r>
          </w:p>
        </w:tc>
        <w:tc>
          <w:tcPr>
            <w:tcW w:w="1361" w:type="dxa"/>
          </w:tcPr>
          <w:p>
            <w:pPr>
              <w:pStyle w:val="0"/>
              <w:jc w:val="center"/>
            </w:pPr>
            <w:r>
              <w:rPr>
                <w:sz w:val="20"/>
              </w:rPr>
              <w:t xml:space="preserve">3817,4</w:t>
            </w:r>
          </w:p>
        </w:tc>
        <w:tc>
          <w:tcPr>
            <w:tcW w:w="1474" w:type="dxa"/>
          </w:tcPr>
          <w:p>
            <w:pPr>
              <w:pStyle w:val="0"/>
              <w:jc w:val="center"/>
            </w:pPr>
            <w:r>
              <w:rPr>
                <w:sz w:val="20"/>
              </w:rPr>
              <w:t xml:space="preserve">0,0</w:t>
            </w:r>
          </w:p>
        </w:tc>
        <w:tc>
          <w:tcPr>
            <w:tcW w:w="1417" w:type="dxa"/>
          </w:tcPr>
          <w:p>
            <w:pPr>
              <w:pStyle w:val="0"/>
              <w:jc w:val="center"/>
            </w:pPr>
            <w:r>
              <w:rPr>
                <w:sz w:val="20"/>
              </w:rPr>
              <w:t xml:space="preserve">269750,2</w:t>
            </w:r>
          </w:p>
        </w:tc>
        <w:tc>
          <w:tcPr>
            <w:tcW w:w="1361" w:type="dxa"/>
          </w:tcPr>
          <w:p>
            <w:pPr>
              <w:pStyle w:val="0"/>
              <w:jc w:val="center"/>
            </w:pPr>
            <w:r>
              <w:rPr>
                <w:sz w:val="20"/>
              </w:rPr>
              <w:t xml:space="preserve">1032040,4</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1362513,0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2995,0</w:t>
            </w:r>
          </w:p>
        </w:tc>
        <w:tc>
          <w:tcPr>
            <w:tcW w:w="1361" w:type="dxa"/>
          </w:tcPr>
          <w:p>
            <w:pPr>
              <w:pStyle w:val="0"/>
              <w:jc w:val="center"/>
            </w:pPr>
            <w:r>
              <w:rPr>
                <w:sz w:val="20"/>
              </w:rPr>
              <w:t xml:space="preserve">201,0</w:t>
            </w:r>
          </w:p>
        </w:tc>
        <w:tc>
          <w:tcPr>
            <w:tcW w:w="1474" w:type="dxa"/>
          </w:tcPr>
          <w:p>
            <w:pPr>
              <w:pStyle w:val="0"/>
              <w:jc w:val="center"/>
            </w:pPr>
            <w:r>
              <w:rPr>
                <w:sz w:val="20"/>
              </w:rPr>
              <w:t xml:space="preserve">0,0</w:t>
            </w:r>
          </w:p>
        </w:tc>
        <w:tc>
          <w:tcPr>
            <w:tcW w:w="1417" w:type="dxa"/>
          </w:tcPr>
          <w:p>
            <w:pPr>
              <w:pStyle w:val="0"/>
              <w:jc w:val="center"/>
            </w:pPr>
            <w:r>
              <w:rPr>
                <w:sz w:val="20"/>
              </w:rPr>
              <w:t xml:space="preserve">20299,6</w:t>
            </w:r>
          </w:p>
        </w:tc>
        <w:tc>
          <w:tcPr>
            <w:tcW w:w="1361" w:type="dxa"/>
          </w:tcPr>
          <w:p>
            <w:pPr>
              <w:pStyle w:val="0"/>
              <w:jc w:val="center"/>
            </w:pPr>
            <w:r>
              <w:rPr>
                <w:sz w:val="20"/>
              </w:rPr>
              <w:t xml:space="preserve">77679,8</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101175,4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2995,0</w:t>
            </w:r>
          </w:p>
        </w:tc>
        <w:tc>
          <w:tcPr>
            <w:tcW w:w="1361" w:type="dxa"/>
          </w:tcPr>
          <w:p>
            <w:pPr>
              <w:pStyle w:val="0"/>
              <w:jc w:val="center"/>
            </w:pPr>
            <w:r>
              <w:rPr>
                <w:sz w:val="20"/>
              </w:rPr>
              <w:t xml:space="preserve">201,0</w:t>
            </w:r>
          </w:p>
        </w:tc>
        <w:tc>
          <w:tcPr>
            <w:tcW w:w="1474" w:type="dxa"/>
          </w:tcPr>
          <w:p>
            <w:pPr>
              <w:pStyle w:val="0"/>
              <w:jc w:val="center"/>
            </w:pPr>
            <w:r>
              <w:rPr>
                <w:sz w:val="20"/>
              </w:rPr>
              <w:t xml:space="preserve">0,0</w:t>
            </w:r>
          </w:p>
        </w:tc>
        <w:tc>
          <w:tcPr>
            <w:tcW w:w="1417" w:type="dxa"/>
          </w:tcPr>
          <w:p>
            <w:pPr>
              <w:pStyle w:val="0"/>
              <w:jc w:val="center"/>
            </w:pPr>
            <w:r>
              <w:rPr>
                <w:sz w:val="20"/>
              </w:rPr>
              <w:t xml:space="preserve">20299,6</w:t>
            </w:r>
          </w:p>
        </w:tc>
        <w:tc>
          <w:tcPr>
            <w:tcW w:w="1361" w:type="dxa"/>
          </w:tcPr>
          <w:p>
            <w:pPr>
              <w:pStyle w:val="0"/>
              <w:jc w:val="center"/>
            </w:pPr>
            <w:r>
              <w:rPr>
                <w:sz w:val="20"/>
              </w:rPr>
              <w:t xml:space="preserve">77679,8</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101175,4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49"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2778" w:type="dxa"/>
            <w:vMerge w:val="restart"/>
          </w:tcPr>
          <w:p>
            <w:pPr>
              <w:pStyle w:val="0"/>
              <w:jc w:val="both"/>
            </w:pPr>
            <w:r>
              <w:rPr>
                <w:sz w:val="20"/>
              </w:rPr>
              <w:t xml:space="preserve">2.8.3. Строительство подстанции N 2 ГБУЗС "Севастопольский центр экстренной медицинской помощи и медицины катастроф", пр-т Генерала Острякова</w:t>
            </w:r>
          </w:p>
        </w:tc>
        <w:tc>
          <w:tcPr>
            <w:tcW w:w="2040" w:type="dxa"/>
            <w:vMerge w:val="restart"/>
          </w:tcPr>
          <w:p>
            <w:pPr>
              <w:pStyle w:val="0"/>
              <w:jc w:val="both"/>
            </w:pPr>
            <w:r>
              <w:rPr>
                <w:sz w:val="20"/>
              </w:rPr>
              <w:t xml:space="preserve">Государственная </w:t>
            </w:r>
            <w:hyperlink w:history="0" r:id="rId550"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 &lt;3&gt;</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0,0 &lt;3&gt;</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2.8.4. Строительство подстанции N 10 ГБУЗС "Севастопольский центр экстренной медицинской помощи и медицины катастроф", Фиолентовское шоссе</w:t>
            </w:r>
          </w:p>
        </w:tc>
        <w:tc>
          <w:tcPr>
            <w:tcW w:w="2040" w:type="dxa"/>
            <w:vMerge w:val="restart"/>
          </w:tcPr>
          <w:p>
            <w:pPr>
              <w:pStyle w:val="0"/>
              <w:jc w:val="both"/>
            </w:pPr>
            <w:r>
              <w:rPr>
                <w:sz w:val="20"/>
              </w:rPr>
              <w:t xml:space="preserve">Государственная </w:t>
            </w:r>
            <w:hyperlink w:history="0" r:id="rId551"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 &lt;4&gt;</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0,0 &lt;4&gt;</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tcBorders>
              <w:bottom w:val="nil"/>
            </w:tcBorders>
            <w:vMerge w:val="restart"/>
          </w:tcPr>
          <w:p>
            <w:pPr>
              <w:pStyle w:val="0"/>
              <w:jc w:val="both"/>
            </w:pPr>
            <w:r>
              <w:rPr>
                <w:sz w:val="20"/>
              </w:rPr>
              <w:t xml:space="preserve">2.8.5. Строительство патолого-анатомического корпуса ГБУЗС "Городская больница N 1 им. Н.И. Пирогова"</w:t>
            </w:r>
          </w:p>
        </w:tc>
        <w:tc>
          <w:tcPr>
            <w:tcW w:w="2040" w:type="dxa"/>
            <w:tcBorders>
              <w:bottom w:val="nil"/>
            </w:tcBorders>
            <w:vMerge w:val="restart"/>
          </w:tcPr>
          <w:p>
            <w:pPr>
              <w:pStyle w:val="0"/>
              <w:jc w:val="both"/>
            </w:pPr>
            <w:r>
              <w:rPr>
                <w:sz w:val="20"/>
              </w:rPr>
              <w:t xml:space="preserve">Государственная </w:t>
            </w:r>
            <w:hyperlink w:history="0" r:id="rId552"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программа</w:t>
              </w:r>
            </w:hyperlink>
            <w:r>
              <w:rPr>
                <w:sz w:val="20"/>
              </w:rPr>
              <w:t xml:space="preserve"> Российской Федерации "Социально-экономическое развитие Республики Крым и г. Севастополя"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1049724,0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1049724,0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976248,0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976248,0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73476,0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73476,0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73476,0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73476,0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53"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2778" w:type="dxa"/>
            <w:vMerge w:val="restart"/>
          </w:tcPr>
          <w:p>
            <w:pPr>
              <w:pStyle w:val="0"/>
              <w:jc w:val="both"/>
            </w:pPr>
            <w:r>
              <w:rPr>
                <w:sz w:val="20"/>
              </w:rPr>
              <w:t xml:space="preserve">2.9. Развитие паллиативной медицинской помощи</w:t>
            </w:r>
          </w:p>
        </w:tc>
        <w:tc>
          <w:tcPr>
            <w:tcW w:w="2040" w:type="dxa"/>
            <w:vMerge w:val="restart"/>
          </w:tcPr>
          <w:p>
            <w:pPr>
              <w:pStyle w:val="0"/>
              <w:jc w:val="both"/>
            </w:pPr>
            <w:r>
              <w:rPr>
                <w:sz w:val="20"/>
              </w:rPr>
              <w:t xml:space="preserve">Государственная </w:t>
            </w:r>
            <w:hyperlink w:history="0" r:id="rId554"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15790,1</w:t>
            </w:r>
          </w:p>
        </w:tc>
        <w:tc>
          <w:tcPr>
            <w:tcW w:w="1361" w:type="dxa"/>
          </w:tcPr>
          <w:p>
            <w:pPr>
              <w:pStyle w:val="0"/>
              <w:jc w:val="center"/>
            </w:pPr>
            <w:r>
              <w:rPr>
                <w:sz w:val="20"/>
              </w:rPr>
              <w:t xml:space="preserve">15714,4</w:t>
            </w:r>
          </w:p>
        </w:tc>
        <w:tc>
          <w:tcPr>
            <w:tcW w:w="1474" w:type="dxa"/>
          </w:tcPr>
          <w:p>
            <w:pPr>
              <w:pStyle w:val="0"/>
              <w:jc w:val="center"/>
            </w:pPr>
            <w:r>
              <w:rPr>
                <w:sz w:val="20"/>
              </w:rPr>
              <w:t xml:space="preserve">15714,4</w:t>
            </w:r>
          </w:p>
        </w:tc>
        <w:tc>
          <w:tcPr>
            <w:tcW w:w="1417" w:type="dxa"/>
          </w:tcPr>
          <w:p>
            <w:pPr>
              <w:pStyle w:val="0"/>
              <w:jc w:val="center"/>
            </w:pPr>
            <w:r>
              <w:rPr>
                <w:sz w:val="20"/>
              </w:rPr>
              <w:t xml:space="preserve">15748,2</w:t>
            </w:r>
          </w:p>
        </w:tc>
        <w:tc>
          <w:tcPr>
            <w:tcW w:w="1361" w:type="dxa"/>
          </w:tcPr>
          <w:p>
            <w:pPr>
              <w:pStyle w:val="0"/>
              <w:jc w:val="center"/>
            </w:pPr>
            <w:r>
              <w:rPr>
                <w:sz w:val="20"/>
              </w:rPr>
              <w:t xml:space="preserve">16267,9</w:t>
            </w:r>
          </w:p>
        </w:tc>
        <w:tc>
          <w:tcPr>
            <w:tcW w:w="1361" w:type="dxa"/>
          </w:tcPr>
          <w:p>
            <w:pPr>
              <w:pStyle w:val="0"/>
              <w:jc w:val="center"/>
            </w:pPr>
            <w:r>
              <w:rPr>
                <w:sz w:val="20"/>
              </w:rPr>
              <w:t xml:space="preserve">16772,2</w:t>
            </w:r>
          </w:p>
        </w:tc>
        <w:tc>
          <w:tcPr>
            <w:tcW w:w="1247" w:type="dxa"/>
          </w:tcPr>
          <w:p>
            <w:pPr>
              <w:pStyle w:val="0"/>
              <w:jc w:val="center"/>
            </w:pPr>
            <w:r>
              <w:rPr>
                <w:sz w:val="20"/>
              </w:rPr>
              <w:t xml:space="preserve">17258,5</w:t>
            </w:r>
          </w:p>
        </w:tc>
        <w:tc>
          <w:tcPr>
            <w:tcW w:w="1247" w:type="dxa"/>
          </w:tcPr>
          <w:p>
            <w:pPr>
              <w:pStyle w:val="0"/>
              <w:jc w:val="center"/>
            </w:pPr>
            <w:r>
              <w:rPr>
                <w:sz w:val="20"/>
              </w:rPr>
              <w:t xml:space="preserve">17741,7</w:t>
            </w:r>
          </w:p>
        </w:tc>
        <w:tc>
          <w:tcPr>
            <w:tcW w:w="1304" w:type="dxa"/>
          </w:tcPr>
          <w:p>
            <w:pPr>
              <w:pStyle w:val="0"/>
              <w:jc w:val="center"/>
            </w:pPr>
            <w:r>
              <w:rPr>
                <w:sz w:val="20"/>
              </w:rPr>
              <w:t xml:space="preserve">18238,5</w:t>
            </w:r>
          </w:p>
        </w:tc>
        <w:tc>
          <w:tcPr>
            <w:tcW w:w="1531" w:type="dxa"/>
          </w:tcPr>
          <w:p>
            <w:pPr>
              <w:pStyle w:val="0"/>
              <w:jc w:val="center"/>
            </w:pPr>
            <w:r>
              <w:rPr>
                <w:sz w:val="20"/>
              </w:rPr>
              <w:t xml:space="preserve">149245,9</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15000,6</w:t>
            </w:r>
          </w:p>
        </w:tc>
        <w:tc>
          <w:tcPr>
            <w:tcW w:w="1361" w:type="dxa"/>
          </w:tcPr>
          <w:p>
            <w:pPr>
              <w:pStyle w:val="0"/>
              <w:jc w:val="center"/>
            </w:pPr>
            <w:r>
              <w:rPr>
                <w:sz w:val="20"/>
              </w:rPr>
              <w:t xml:space="preserve">14928,7</w:t>
            </w:r>
          </w:p>
        </w:tc>
        <w:tc>
          <w:tcPr>
            <w:tcW w:w="1474" w:type="dxa"/>
          </w:tcPr>
          <w:p>
            <w:pPr>
              <w:pStyle w:val="0"/>
              <w:jc w:val="center"/>
            </w:pPr>
            <w:r>
              <w:rPr>
                <w:sz w:val="20"/>
              </w:rPr>
              <w:t xml:space="preserve">14928,7</w:t>
            </w:r>
          </w:p>
        </w:tc>
        <w:tc>
          <w:tcPr>
            <w:tcW w:w="1417" w:type="dxa"/>
          </w:tcPr>
          <w:p>
            <w:pPr>
              <w:pStyle w:val="0"/>
              <w:jc w:val="center"/>
            </w:pPr>
            <w:r>
              <w:rPr>
                <w:sz w:val="20"/>
              </w:rPr>
              <w:t xml:space="preserve">14645,8</w:t>
            </w:r>
          </w:p>
        </w:tc>
        <w:tc>
          <w:tcPr>
            <w:tcW w:w="1361" w:type="dxa"/>
          </w:tcPr>
          <w:p>
            <w:pPr>
              <w:pStyle w:val="0"/>
              <w:jc w:val="center"/>
            </w:pPr>
            <w:r>
              <w:rPr>
                <w:sz w:val="20"/>
              </w:rPr>
              <w:t xml:space="preserve">15129,1</w:t>
            </w:r>
          </w:p>
        </w:tc>
        <w:tc>
          <w:tcPr>
            <w:tcW w:w="1361" w:type="dxa"/>
          </w:tcPr>
          <w:p>
            <w:pPr>
              <w:pStyle w:val="0"/>
              <w:jc w:val="center"/>
            </w:pPr>
            <w:r>
              <w:rPr>
                <w:sz w:val="20"/>
              </w:rPr>
              <w:t xml:space="preserve">15598,1</w:t>
            </w:r>
          </w:p>
        </w:tc>
        <w:tc>
          <w:tcPr>
            <w:tcW w:w="1247" w:type="dxa"/>
          </w:tcPr>
          <w:p>
            <w:pPr>
              <w:pStyle w:val="0"/>
              <w:jc w:val="center"/>
            </w:pPr>
            <w:r>
              <w:rPr>
                <w:sz w:val="20"/>
              </w:rPr>
              <w:t xml:space="preserve">16050,4</w:t>
            </w:r>
          </w:p>
        </w:tc>
        <w:tc>
          <w:tcPr>
            <w:tcW w:w="1247" w:type="dxa"/>
          </w:tcPr>
          <w:p>
            <w:pPr>
              <w:pStyle w:val="0"/>
              <w:jc w:val="center"/>
            </w:pPr>
            <w:r>
              <w:rPr>
                <w:sz w:val="20"/>
              </w:rPr>
              <w:t xml:space="preserve">16499,8</w:t>
            </w:r>
          </w:p>
        </w:tc>
        <w:tc>
          <w:tcPr>
            <w:tcW w:w="1304" w:type="dxa"/>
          </w:tcPr>
          <w:p>
            <w:pPr>
              <w:pStyle w:val="0"/>
              <w:jc w:val="center"/>
            </w:pPr>
            <w:r>
              <w:rPr>
                <w:sz w:val="20"/>
              </w:rPr>
              <w:t xml:space="preserve">16961,8</w:t>
            </w:r>
          </w:p>
        </w:tc>
        <w:tc>
          <w:tcPr>
            <w:tcW w:w="1531" w:type="dxa"/>
          </w:tcPr>
          <w:p>
            <w:pPr>
              <w:pStyle w:val="0"/>
              <w:jc w:val="center"/>
            </w:pPr>
            <w:r>
              <w:rPr>
                <w:sz w:val="20"/>
              </w:rPr>
              <w:t xml:space="preserve">139743,0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789,5</w:t>
            </w:r>
          </w:p>
        </w:tc>
        <w:tc>
          <w:tcPr>
            <w:tcW w:w="1361" w:type="dxa"/>
          </w:tcPr>
          <w:p>
            <w:pPr>
              <w:pStyle w:val="0"/>
              <w:jc w:val="center"/>
            </w:pPr>
            <w:r>
              <w:rPr>
                <w:sz w:val="20"/>
              </w:rPr>
              <w:t xml:space="preserve">785,7</w:t>
            </w:r>
          </w:p>
        </w:tc>
        <w:tc>
          <w:tcPr>
            <w:tcW w:w="1474" w:type="dxa"/>
          </w:tcPr>
          <w:p>
            <w:pPr>
              <w:pStyle w:val="0"/>
              <w:jc w:val="center"/>
            </w:pPr>
            <w:r>
              <w:rPr>
                <w:sz w:val="20"/>
              </w:rPr>
              <w:t xml:space="preserve">785,7</w:t>
            </w:r>
          </w:p>
        </w:tc>
        <w:tc>
          <w:tcPr>
            <w:tcW w:w="1417" w:type="dxa"/>
          </w:tcPr>
          <w:p>
            <w:pPr>
              <w:pStyle w:val="0"/>
              <w:jc w:val="center"/>
            </w:pPr>
            <w:r>
              <w:rPr>
                <w:sz w:val="20"/>
              </w:rPr>
              <w:t xml:space="preserve">1102,4</w:t>
            </w:r>
          </w:p>
        </w:tc>
        <w:tc>
          <w:tcPr>
            <w:tcW w:w="1361" w:type="dxa"/>
          </w:tcPr>
          <w:p>
            <w:pPr>
              <w:pStyle w:val="0"/>
              <w:jc w:val="center"/>
            </w:pPr>
            <w:r>
              <w:rPr>
                <w:sz w:val="20"/>
              </w:rPr>
              <w:t xml:space="preserve">1138,8</w:t>
            </w:r>
          </w:p>
        </w:tc>
        <w:tc>
          <w:tcPr>
            <w:tcW w:w="1361" w:type="dxa"/>
          </w:tcPr>
          <w:p>
            <w:pPr>
              <w:pStyle w:val="0"/>
              <w:jc w:val="center"/>
            </w:pPr>
            <w:r>
              <w:rPr>
                <w:sz w:val="20"/>
              </w:rPr>
              <w:t xml:space="preserve">1174,1</w:t>
            </w:r>
          </w:p>
        </w:tc>
        <w:tc>
          <w:tcPr>
            <w:tcW w:w="1247" w:type="dxa"/>
          </w:tcPr>
          <w:p>
            <w:pPr>
              <w:pStyle w:val="0"/>
              <w:jc w:val="center"/>
            </w:pPr>
            <w:r>
              <w:rPr>
                <w:sz w:val="20"/>
              </w:rPr>
              <w:t xml:space="preserve">1208,1</w:t>
            </w:r>
          </w:p>
        </w:tc>
        <w:tc>
          <w:tcPr>
            <w:tcW w:w="1247" w:type="dxa"/>
          </w:tcPr>
          <w:p>
            <w:pPr>
              <w:pStyle w:val="0"/>
              <w:jc w:val="center"/>
            </w:pPr>
            <w:r>
              <w:rPr>
                <w:sz w:val="20"/>
              </w:rPr>
              <w:t xml:space="preserve">1241,9</w:t>
            </w:r>
          </w:p>
        </w:tc>
        <w:tc>
          <w:tcPr>
            <w:tcW w:w="1304" w:type="dxa"/>
          </w:tcPr>
          <w:p>
            <w:pPr>
              <w:pStyle w:val="0"/>
              <w:jc w:val="center"/>
            </w:pPr>
            <w:r>
              <w:rPr>
                <w:sz w:val="20"/>
              </w:rPr>
              <w:t xml:space="preserve">1276,7</w:t>
            </w:r>
          </w:p>
        </w:tc>
        <w:tc>
          <w:tcPr>
            <w:tcW w:w="1531" w:type="dxa"/>
          </w:tcPr>
          <w:p>
            <w:pPr>
              <w:pStyle w:val="0"/>
              <w:jc w:val="center"/>
            </w:pPr>
            <w:r>
              <w:rPr>
                <w:sz w:val="20"/>
              </w:rPr>
              <w:t xml:space="preserve">9502,9</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2.11. Реализация мероприятий по предупреждению и борьбе с социально значимыми инфекционными заболеваниями</w:t>
            </w:r>
          </w:p>
        </w:tc>
        <w:tc>
          <w:tcPr>
            <w:tcW w:w="2040" w:type="dxa"/>
            <w:vMerge w:val="restart"/>
          </w:tcPr>
          <w:p>
            <w:pPr>
              <w:pStyle w:val="0"/>
              <w:jc w:val="both"/>
            </w:pPr>
            <w:r>
              <w:rPr>
                <w:sz w:val="20"/>
              </w:rPr>
              <w:t xml:space="preserve">Государственная </w:t>
            </w:r>
            <w:hyperlink w:history="0" r:id="rId555"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7290,1</w:t>
            </w:r>
          </w:p>
        </w:tc>
        <w:tc>
          <w:tcPr>
            <w:tcW w:w="1361" w:type="dxa"/>
          </w:tcPr>
          <w:p>
            <w:pPr>
              <w:pStyle w:val="0"/>
              <w:jc w:val="center"/>
            </w:pPr>
            <w:r>
              <w:rPr>
                <w:sz w:val="20"/>
              </w:rPr>
              <w:t xml:space="preserve">8090,3</w:t>
            </w:r>
          </w:p>
        </w:tc>
        <w:tc>
          <w:tcPr>
            <w:tcW w:w="1474" w:type="dxa"/>
          </w:tcPr>
          <w:p>
            <w:pPr>
              <w:pStyle w:val="0"/>
              <w:jc w:val="center"/>
            </w:pPr>
            <w:r>
              <w:rPr>
                <w:sz w:val="20"/>
              </w:rPr>
              <w:t xml:space="preserve">8090,3</w:t>
            </w:r>
          </w:p>
        </w:tc>
        <w:tc>
          <w:tcPr>
            <w:tcW w:w="1417" w:type="dxa"/>
          </w:tcPr>
          <w:p>
            <w:pPr>
              <w:pStyle w:val="0"/>
              <w:jc w:val="center"/>
            </w:pPr>
            <w:r>
              <w:rPr>
                <w:sz w:val="20"/>
              </w:rPr>
              <w:t xml:space="preserve">8171,2</w:t>
            </w:r>
          </w:p>
        </w:tc>
        <w:tc>
          <w:tcPr>
            <w:tcW w:w="1361" w:type="dxa"/>
          </w:tcPr>
          <w:p>
            <w:pPr>
              <w:pStyle w:val="0"/>
              <w:jc w:val="center"/>
            </w:pPr>
            <w:r>
              <w:rPr>
                <w:sz w:val="20"/>
              </w:rPr>
              <w:t xml:space="preserve">8440,9</w:t>
            </w:r>
          </w:p>
        </w:tc>
        <w:tc>
          <w:tcPr>
            <w:tcW w:w="1361" w:type="dxa"/>
          </w:tcPr>
          <w:p>
            <w:pPr>
              <w:pStyle w:val="0"/>
              <w:jc w:val="center"/>
            </w:pPr>
            <w:r>
              <w:rPr>
                <w:sz w:val="20"/>
              </w:rPr>
              <w:t xml:space="preserve">8702,6</w:t>
            </w:r>
          </w:p>
        </w:tc>
        <w:tc>
          <w:tcPr>
            <w:tcW w:w="1247" w:type="dxa"/>
          </w:tcPr>
          <w:p>
            <w:pPr>
              <w:pStyle w:val="0"/>
              <w:jc w:val="center"/>
            </w:pPr>
            <w:r>
              <w:rPr>
                <w:sz w:val="20"/>
              </w:rPr>
              <w:t xml:space="preserve">8955,0</w:t>
            </w:r>
          </w:p>
        </w:tc>
        <w:tc>
          <w:tcPr>
            <w:tcW w:w="1247" w:type="dxa"/>
          </w:tcPr>
          <w:p>
            <w:pPr>
              <w:pStyle w:val="0"/>
              <w:jc w:val="center"/>
            </w:pPr>
            <w:r>
              <w:rPr>
                <w:sz w:val="20"/>
              </w:rPr>
              <w:t xml:space="preserve">9205,6</w:t>
            </w:r>
          </w:p>
        </w:tc>
        <w:tc>
          <w:tcPr>
            <w:tcW w:w="1304" w:type="dxa"/>
          </w:tcPr>
          <w:p>
            <w:pPr>
              <w:pStyle w:val="0"/>
              <w:jc w:val="center"/>
            </w:pPr>
            <w:r>
              <w:rPr>
                <w:sz w:val="20"/>
              </w:rPr>
              <w:t xml:space="preserve">9463,4</w:t>
            </w:r>
          </w:p>
        </w:tc>
        <w:tc>
          <w:tcPr>
            <w:tcW w:w="1531" w:type="dxa"/>
          </w:tcPr>
          <w:p>
            <w:pPr>
              <w:pStyle w:val="0"/>
              <w:jc w:val="center"/>
            </w:pPr>
            <w:r>
              <w:rPr>
                <w:sz w:val="20"/>
              </w:rPr>
              <w:t xml:space="preserve">76409,4</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6925,6</w:t>
            </w:r>
          </w:p>
        </w:tc>
        <w:tc>
          <w:tcPr>
            <w:tcW w:w="1361" w:type="dxa"/>
          </w:tcPr>
          <w:p>
            <w:pPr>
              <w:pStyle w:val="0"/>
              <w:jc w:val="center"/>
            </w:pPr>
            <w:r>
              <w:rPr>
                <w:sz w:val="20"/>
              </w:rPr>
              <w:t xml:space="preserve">7685,8</w:t>
            </w:r>
          </w:p>
        </w:tc>
        <w:tc>
          <w:tcPr>
            <w:tcW w:w="1474" w:type="dxa"/>
          </w:tcPr>
          <w:p>
            <w:pPr>
              <w:pStyle w:val="0"/>
              <w:jc w:val="center"/>
            </w:pPr>
            <w:r>
              <w:rPr>
                <w:sz w:val="20"/>
              </w:rPr>
              <w:t xml:space="preserve">7685,8</w:t>
            </w:r>
          </w:p>
        </w:tc>
        <w:tc>
          <w:tcPr>
            <w:tcW w:w="1417" w:type="dxa"/>
          </w:tcPr>
          <w:p>
            <w:pPr>
              <w:pStyle w:val="0"/>
              <w:jc w:val="center"/>
            </w:pPr>
            <w:r>
              <w:rPr>
                <w:sz w:val="20"/>
              </w:rPr>
              <w:t xml:space="preserve">7599,2</w:t>
            </w:r>
          </w:p>
        </w:tc>
        <w:tc>
          <w:tcPr>
            <w:tcW w:w="1361" w:type="dxa"/>
          </w:tcPr>
          <w:p>
            <w:pPr>
              <w:pStyle w:val="0"/>
              <w:jc w:val="center"/>
            </w:pPr>
            <w:r>
              <w:rPr>
                <w:sz w:val="20"/>
              </w:rPr>
              <w:t xml:space="preserve">7850,0</w:t>
            </w:r>
          </w:p>
        </w:tc>
        <w:tc>
          <w:tcPr>
            <w:tcW w:w="1361" w:type="dxa"/>
          </w:tcPr>
          <w:p>
            <w:pPr>
              <w:pStyle w:val="0"/>
              <w:jc w:val="center"/>
            </w:pPr>
            <w:r>
              <w:rPr>
                <w:sz w:val="20"/>
              </w:rPr>
              <w:t xml:space="preserve">8093,4</w:t>
            </w:r>
          </w:p>
        </w:tc>
        <w:tc>
          <w:tcPr>
            <w:tcW w:w="1247" w:type="dxa"/>
          </w:tcPr>
          <w:p>
            <w:pPr>
              <w:pStyle w:val="0"/>
              <w:jc w:val="center"/>
            </w:pPr>
            <w:r>
              <w:rPr>
                <w:sz w:val="20"/>
              </w:rPr>
              <w:t xml:space="preserve">8328,1</w:t>
            </w:r>
          </w:p>
        </w:tc>
        <w:tc>
          <w:tcPr>
            <w:tcW w:w="1247" w:type="dxa"/>
          </w:tcPr>
          <w:p>
            <w:pPr>
              <w:pStyle w:val="0"/>
              <w:jc w:val="center"/>
            </w:pPr>
            <w:r>
              <w:rPr>
                <w:sz w:val="20"/>
              </w:rPr>
              <w:t xml:space="preserve">8561,2</w:t>
            </w:r>
          </w:p>
        </w:tc>
        <w:tc>
          <w:tcPr>
            <w:tcW w:w="1304" w:type="dxa"/>
          </w:tcPr>
          <w:p>
            <w:pPr>
              <w:pStyle w:val="0"/>
              <w:jc w:val="center"/>
            </w:pPr>
            <w:r>
              <w:rPr>
                <w:sz w:val="20"/>
              </w:rPr>
              <w:t xml:space="preserve">8800,9</w:t>
            </w:r>
          </w:p>
        </w:tc>
        <w:tc>
          <w:tcPr>
            <w:tcW w:w="1531" w:type="dxa"/>
          </w:tcPr>
          <w:p>
            <w:pPr>
              <w:pStyle w:val="0"/>
              <w:jc w:val="center"/>
            </w:pPr>
            <w:r>
              <w:rPr>
                <w:sz w:val="20"/>
              </w:rPr>
              <w:t xml:space="preserve">71530,0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364,5</w:t>
            </w:r>
          </w:p>
        </w:tc>
        <w:tc>
          <w:tcPr>
            <w:tcW w:w="1361" w:type="dxa"/>
          </w:tcPr>
          <w:p>
            <w:pPr>
              <w:pStyle w:val="0"/>
              <w:jc w:val="center"/>
            </w:pPr>
            <w:r>
              <w:rPr>
                <w:sz w:val="20"/>
              </w:rPr>
              <w:t xml:space="preserve">404,5</w:t>
            </w:r>
          </w:p>
        </w:tc>
        <w:tc>
          <w:tcPr>
            <w:tcW w:w="1474" w:type="dxa"/>
          </w:tcPr>
          <w:p>
            <w:pPr>
              <w:pStyle w:val="0"/>
              <w:jc w:val="center"/>
            </w:pPr>
            <w:r>
              <w:rPr>
                <w:sz w:val="20"/>
              </w:rPr>
              <w:t xml:space="preserve">404,5</w:t>
            </w:r>
          </w:p>
        </w:tc>
        <w:tc>
          <w:tcPr>
            <w:tcW w:w="1417" w:type="dxa"/>
          </w:tcPr>
          <w:p>
            <w:pPr>
              <w:pStyle w:val="0"/>
              <w:jc w:val="center"/>
            </w:pPr>
            <w:r>
              <w:rPr>
                <w:sz w:val="20"/>
              </w:rPr>
              <w:t xml:space="preserve">572,0</w:t>
            </w:r>
          </w:p>
        </w:tc>
        <w:tc>
          <w:tcPr>
            <w:tcW w:w="1361" w:type="dxa"/>
          </w:tcPr>
          <w:p>
            <w:pPr>
              <w:pStyle w:val="0"/>
              <w:jc w:val="center"/>
            </w:pPr>
            <w:r>
              <w:rPr>
                <w:sz w:val="20"/>
              </w:rPr>
              <w:t xml:space="preserve">590,9</w:t>
            </w:r>
          </w:p>
        </w:tc>
        <w:tc>
          <w:tcPr>
            <w:tcW w:w="1361" w:type="dxa"/>
          </w:tcPr>
          <w:p>
            <w:pPr>
              <w:pStyle w:val="0"/>
              <w:jc w:val="center"/>
            </w:pPr>
            <w:r>
              <w:rPr>
                <w:sz w:val="20"/>
              </w:rPr>
              <w:t xml:space="preserve">609,2</w:t>
            </w:r>
          </w:p>
        </w:tc>
        <w:tc>
          <w:tcPr>
            <w:tcW w:w="1247" w:type="dxa"/>
          </w:tcPr>
          <w:p>
            <w:pPr>
              <w:pStyle w:val="0"/>
              <w:jc w:val="center"/>
            </w:pPr>
            <w:r>
              <w:rPr>
                <w:sz w:val="20"/>
              </w:rPr>
              <w:t xml:space="preserve">626,9</w:t>
            </w:r>
          </w:p>
        </w:tc>
        <w:tc>
          <w:tcPr>
            <w:tcW w:w="1247" w:type="dxa"/>
          </w:tcPr>
          <w:p>
            <w:pPr>
              <w:pStyle w:val="0"/>
              <w:jc w:val="center"/>
            </w:pPr>
            <w:r>
              <w:rPr>
                <w:sz w:val="20"/>
              </w:rPr>
              <w:t xml:space="preserve">644,4</w:t>
            </w:r>
          </w:p>
        </w:tc>
        <w:tc>
          <w:tcPr>
            <w:tcW w:w="1304" w:type="dxa"/>
          </w:tcPr>
          <w:p>
            <w:pPr>
              <w:pStyle w:val="0"/>
              <w:jc w:val="center"/>
            </w:pPr>
            <w:r>
              <w:rPr>
                <w:sz w:val="20"/>
              </w:rPr>
              <w:t xml:space="preserve">662,5</w:t>
            </w:r>
          </w:p>
        </w:tc>
        <w:tc>
          <w:tcPr>
            <w:tcW w:w="1531" w:type="dxa"/>
          </w:tcPr>
          <w:p>
            <w:pPr>
              <w:pStyle w:val="0"/>
              <w:jc w:val="center"/>
            </w:pPr>
            <w:r>
              <w:rPr>
                <w:sz w:val="20"/>
              </w:rPr>
              <w:t xml:space="preserve">4879,4</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2.11.1. Финансовое обеспечение реализации мероприятий по профилактике ВИЧ-инфекции и гепатитов B и C, в том числе с привлечением к реализации указанных мероприятий социально ориентированных некоммерческих организаций</w:t>
            </w:r>
          </w:p>
        </w:tc>
        <w:tc>
          <w:tcPr>
            <w:tcW w:w="2040" w:type="dxa"/>
            <w:vMerge w:val="restart"/>
          </w:tcPr>
          <w:p>
            <w:pPr>
              <w:pStyle w:val="0"/>
              <w:jc w:val="both"/>
            </w:pPr>
            <w:r>
              <w:rPr>
                <w:sz w:val="20"/>
              </w:rPr>
              <w:t xml:space="preserve">Государственная </w:t>
            </w:r>
            <w:hyperlink w:history="0" r:id="rId556"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958,6</w:t>
            </w:r>
          </w:p>
        </w:tc>
        <w:tc>
          <w:tcPr>
            <w:tcW w:w="1361" w:type="dxa"/>
          </w:tcPr>
          <w:p>
            <w:pPr>
              <w:pStyle w:val="0"/>
              <w:jc w:val="center"/>
            </w:pPr>
            <w:r>
              <w:rPr>
                <w:sz w:val="20"/>
              </w:rPr>
              <w:t xml:space="preserve">958,6</w:t>
            </w:r>
          </w:p>
        </w:tc>
        <w:tc>
          <w:tcPr>
            <w:tcW w:w="1474" w:type="dxa"/>
          </w:tcPr>
          <w:p>
            <w:pPr>
              <w:pStyle w:val="0"/>
              <w:jc w:val="center"/>
            </w:pPr>
            <w:r>
              <w:rPr>
                <w:sz w:val="20"/>
              </w:rPr>
              <w:t xml:space="preserve">958,6</w:t>
            </w:r>
          </w:p>
        </w:tc>
        <w:tc>
          <w:tcPr>
            <w:tcW w:w="1417" w:type="dxa"/>
          </w:tcPr>
          <w:p>
            <w:pPr>
              <w:pStyle w:val="0"/>
              <w:jc w:val="center"/>
            </w:pPr>
            <w:r>
              <w:rPr>
                <w:sz w:val="20"/>
              </w:rPr>
              <w:t xml:space="preserve">979,3</w:t>
            </w:r>
          </w:p>
        </w:tc>
        <w:tc>
          <w:tcPr>
            <w:tcW w:w="1361" w:type="dxa"/>
          </w:tcPr>
          <w:p>
            <w:pPr>
              <w:pStyle w:val="0"/>
              <w:jc w:val="center"/>
            </w:pPr>
            <w:r>
              <w:rPr>
                <w:sz w:val="20"/>
              </w:rPr>
              <w:t xml:space="preserve">1011,7</w:t>
            </w:r>
          </w:p>
        </w:tc>
        <w:tc>
          <w:tcPr>
            <w:tcW w:w="1361" w:type="dxa"/>
          </w:tcPr>
          <w:p>
            <w:pPr>
              <w:pStyle w:val="0"/>
              <w:jc w:val="center"/>
            </w:pPr>
            <w:r>
              <w:rPr>
                <w:sz w:val="20"/>
              </w:rPr>
              <w:t xml:space="preserve">1043,1</w:t>
            </w:r>
          </w:p>
        </w:tc>
        <w:tc>
          <w:tcPr>
            <w:tcW w:w="1247" w:type="dxa"/>
          </w:tcPr>
          <w:p>
            <w:pPr>
              <w:pStyle w:val="0"/>
              <w:jc w:val="center"/>
            </w:pPr>
            <w:r>
              <w:rPr>
                <w:sz w:val="20"/>
              </w:rPr>
              <w:t xml:space="preserve">1073,3</w:t>
            </w:r>
          </w:p>
        </w:tc>
        <w:tc>
          <w:tcPr>
            <w:tcW w:w="1247" w:type="dxa"/>
          </w:tcPr>
          <w:p>
            <w:pPr>
              <w:pStyle w:val="0"/>
              <w:jc w:val="center"/>
            </w:pPr>
            <w:r>
              <w:rPr>
                <w:sz w:val="20"/>
              </w:rPr>
              <w:t xml:space="preserve">1103,3</w:t>
            </w:r>
          </w:p>
        </w:tc>
        <w:tc>
          <w:tcPr>
            <w:tcW w:w="1304" w:type="dxa"/>
          </w:tcPr>
          <w:p>
            <w:pPr>
              <w:pStyle w:val="0"/>
              <w:jc w:val="center"/>
            </w:pPr>
            <w:r>
              <w:rPr>
                <w:sz w:val="20"/>
              </w:rPr>
              <w:t xml:space="preserve">1134,2</w:t>
            </w:r>
          </w:p>
        </w:tc>
        <w:tc>
          <w:tcPr>
            <w:tcW w:w="1531" w:type="dxa"/>
          </w:tcPr>
          <w:p>
            <w:pPr>
              <w:pStyle w:val="0"/>
              <w:jc w:val="center"/>
            </w:pPr>
            <w:r>
              <w:rPr>
                <w:sz w:val="20"/>
              </w:rPr>
              <w:t xml:space="preserve">9220,7</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910,7</w:t>
            </w:r>
          </w:p>
        </w:tc>
        <w:tc>
          <w:tcPr>
            <w:tcW w:w="1361" w:type="dxa"/>
          </w:tcPr>
          <w:p>
            <w:pPr>
              <w:pStyle w:val="0"/>
              <w:jc w:val="center"/>
            </w:pPr>
            <w:r>
              <w:rPr>
                <w:sz w:val="20"/>
              </w:rPr>
              <w:t xml:space="preserve">910,7</w:t>
            </w:r>
          </w:p>
        </w:tc>
        <w:tc>
          <w:tcPr>
            <w:tcW w:w="1474" w:type="dxa"/>
          </w:tcPr>
          <w:p>
            <w:pPr>
              <w:pStyle w:val="0"/>
              <w:jc w:val="center"/>
            </w:pPr>
            <w:r>
              <w:rPr>
                <w:sz w:val="20"/>
              </w:rPr>
              <w:t xml:space="preserve">910,7</w:t>
            </w:r>
          </w:p>
        </w:tc>
        <w:tc>
          <w:tcPr>
            <w:tcW w:w="1417" w:type="dxa"/>
          </w:tcPr>
          <w:p>
            <w:pPr>
              <w:pStyle w:val="0"/>
              <w:jc w:val="center"/>
            </w:pPr>
            <w:r>
              <w:rPr>
                <w:sz w:val="20"/>
              </w:rPr>
              <w:t xml:space="preserve">910,7</w:t>
            </w:r>
          </w:p>
        </w:tc>
        <w:tc>
          <w:tcPr>
            <w:tcW w:w="1361" w:type="dxa"/>
          </w:tcPr>
          <w:p>
            <w:pPr>
              <w:pStyle w:val="0"/>
              <w:jc w:val="center"/>
            </w:pPr>
            <w:r>
              <w:rPr>
                <w:sz w:val="20"/>
              </w:rPr>
              <w:t xml:space="preserve">940,8</w:t>
            </w:r>
          </w:p>
        </w:tc>
        <w:tc>
          <w:tcPr>
            <w:tcW w:w="1361" w:type="dxa"/>
          </w:tcPr>
          <w:p>
            <w:pPr>
              <w:pStyle w:val="0"/>
              <w:jc w:val="center"/>
            </w:pPr>
            <w:r>
              <w:rPr>
                <w:sz w:val="20"/>
              </w:rPr>
              <w:t xml:space="preserve">970,0</w:t>
            </w:r>
          </w:p>
        </w:tc>
        <w:tc>
          <w:tcPr>
            <w:tcW w:w="1247" w:type="dxa"/>
          </w:tcPr>
          <w:p>
            <w:pPr>
              <w:pStyle w:val="0"/>
              <w:jc w:val="center"/>
            </w:pPr>
            <w:r>
              <w:rPr>
                <w:sz w:val="20"/>
              </w:rPr>
              <w:t xml:space="preserve">998,1</w:t>
            </w:r>
          </w:p>
        </w:tc>
        <w:tc>
          <w:tcPr>
            <w:tcW w:w="1247" w:type="dxa"/>
          </w:tcPr>
          <w:p>
            <w:pPr>
              <w:pStyle w:val="0"/>
              <w:jc w:val="center"/>
            </w:pPr>
            <w:r>
              <w:rPr>
                <w:sz w:val="20"/>
              </w:rPr>
              <w:t xml:space="preserve">1026,0</w:t>
            </w:r>
          </w:p>
        </w:tc>
        <w:tc>
          <w:tcPr>
            <w:tcW w:w="1304" w:type="dxa"/>
          </w:tcPr>
          <w:p>
            <w:pPr>
              <w:pStyle w:val="0"/>
              <w:jc w:val="center"/>
            </w:pPr>
            <w:r>
              <w:rPr>
                <w:sz w:val="20"/>
              </w:rPr>
              <w:t xml:space="preserve">1054,7</w:t>
            </w:r>
          </w:p>
        </w:tc>
        <w:tc>
          <w:tcPr>
            <w:tcW w:w="1531" w:type="dxa"/>
          </w:tcPr>
          <w:p>
            <w:pPr>
              <w:pStyle w:val="0"/>
              <w:jc w:val="center"/>
            </w:pPr>
            <w:r>
              <w:rPr>
                <w:sz w:val="20"/>
              </w:rPr>
              <w:t xml:space="preserve">8632,4</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47,9</w:t>
            </w:r>
          </w:p>
        </w:tc>
        <w:tc>
          <w:tcPr>
            <w:tcW w:w="1361" w:type="dxa"/>
          </w:tcPr>
          <w:p>
            <w:pPr>
              <w:pStyle w:val="0"/>
              <w:jc w:val="center"/>
            </w:pPr>
            <w:r>
              <w:rPr>
                <w:sz w:val="20"/>
              </w:rPr>
              <w:t xml:space="preserve">47,9</w:t>
            </w:r>
          </w:p>
        </w:tc>
        <w:tc>
          <w:tcPr>
            <w:tcW w:w="1474" w:type="dxa"/>
          </w:tcPr>
          <w:p>
            <w:pPr>
              <w:pStyle w:val="0"/>
              <w:jc w:val="center"/>
            </w:pPr>
            <w:r>
              <w:rPr>
                <w:sz w:val="20"/>
              </w:rPr>
              <w:t xml:space="preserve">47,9</w:t>
            </w:r>
          </w:p>
        </w:tc>
        <w:tc>
          <w:tcPr>
            <w:tcW w:w="1417" w:type="dxa"/>
          </w:tcPr>
          <w:p>
            <w:pPr>
              <w:pStyle w:val="0"/>
              <w:jc w:val="center"/>
            </w:pPr>
            <w:r>
              <w:rPr>
                <w:sz w:val="20"/>
              </w:rPr>
              <w:t xml:space="preserve">68,6</w:t>
            </w:r>
          </w:p>
        </w:tc>
        <w:tc>
          <w:tcPr>
            <w:tcW w:w="1361" w:type="dxa"/>
          </w:tcPr>
          <w:p>
            <w:pPr>
              <w:pStyle w:val="0"/>
              <w:jc w:val="center"/>
            </w:pPr>
            <w:r>
              <w:rPr>
                <w:sz w:val="20"/>
              </w:rPr>
              <w:t xml:space="preserve">70,9</w:t>
            </w:r>
          </w:p>
        </w:tc>
        <w:tc>
          <w:tcPr>
            <w:tcW w:w="1361" w:type="dxa"/>
          </w:tcPr>
          <w:p>
            <w:pPr>
              <w:pStyle w:val="0"/>
              <w:jc w:val="center"/>
            </w:pPr>
            <w:r>
              <w:rPr>
                <w:sz w:val="20"/>
              </w:rPr>
              <w:t xml:space="preserve">73,1</w:t>
            </w:r>
          </w:p>
        </w:tc>
        <w:tc>
          <w:tcPr>
            <w:tcW w:w="1247" w:type="dxa"/>
          </w:tcPr>
          <w:p>
            <w:pPr>
              <w:pStyle w:val="0"/>
              <w:jc w:val="center"/>
            </w:pPr>
            <w:r>
              <w:rPr>
                <w:sz w:val="20"/>
              </w:rPr>
              <w:t xml:space="preserve">75,2</w:t>
            </w:r>
          </w:p>
        </w:tc>
        <w:tc>
          <w:tcPr>
            <w:tcW w:w="1247" w:type="dxa"/>
          </w:tcPr>
          <w:p>
            <w:pPr>
              <w:pStyle w:val="0"/>
              <w:jc w:val="center"/>
            </w:pPr>
            <w:r>
              <w:rPr>
                <w:sz w:val="20"/>
              </w:rPr>
              <w:t xml:space="preserve">77,3</w:t>
            </w:r>
          </w:p>
        </w:tc>
        <w:tc>
          <w:tcPr>
            <w:tcW w:w="1304" w:type="dxa"/>
          </w:tcPr>
          <w:p>
            <w:pPr>
              <w:pStyle w:val="0"/>
              <w:jc w:val="center"/>
            </w:pPr>
            <w:r>
              <w:rPr>
                <w:sz w:val="20"/>
              </w:rPr>
              <w:t xml:space="preserve">79,5</w:t>
            </w:r>
          </w:p>
        </w:tc>
        <w:tc>
          <w:tcPr>
            <w:tcW w:w="1531" w:type="dxa"/>
          </w:tcPr>
          <w:p>
            <w:pPr>
              <w:pStyle w:val="0"/>
              <w:jc w:val="center"/>
            </w:pPr>
            <w:r>
              <w:rPr>
                <w:sz w:val="20"/>
              </w:rPr>
              <w:t xml:space="preserve">588,3</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2.11.2. Финансовое обеспечение закупок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w:t>
            </w:r>
            <w:hyperlink w:history="0" r:id="rId557" w:tooltip="Приказ Минздрава России от 15.11.2012 N 932н (ред. от 19.05.2023) &quot;Об утверждении Порядка оказания медицинской помощи больным туберкулезом&quot; (Зарегистрировано в Минюсте России 07.03.2013 N 27557) {КонсультантПлюс}">
              <w:r>
                <w:rPr>
                  <w:sz w:val="20"/>
                  <w:color w:val="0000ff"/>
                </w:rPr>
                <w:t xml:space="preserve">порядком</w:t>
              </w:r>
            </w:hyperlink>
            <w:r>
              <w:rPr>
                <w:sz w:val="20"/>
              </w:rPr>
              <w:t xml:space="preserve"> оказания медицинской помощи больным туберкулезом</w:t>
            </w:r>
          </w:p>
        </w:tc>
        <w:tc>
          <w:tcPr>
            <w:tcW w:w="2040" w:type="dxa"/>
            <w:vMerge w:val="restart"/>
          </w:tcPr>
          <w:p>
            <w:pPr>
              <w:pStyle w:val="0"/>
              <w:jc w:val="both"/>
            </w:pPr>
            <w:r>
              <w:rPr>
                <w:sz w:val="20"/>
              </w:rPr>
              <w:t xml:space="preserve">Государственная </w:t>
            </w:r>
            <w:hyperlink w:history="0" r:id="rId558"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2521,4</w:t>
            </w:r>
          </w:p>
        </w:tc>
        <w:tc>
          <w:tcPr>
            <w:tcW w:w="1361" w:type="dxa"/>
          </w:tcPr>
          <w:p>
            <w:pPr>
              <w:pStyle w:val="0"/>
              <w:jc w:val="center"/>
            </w:pPr>
            <w:r>
              <w:rPr>
                <w:sz w:val="20"/>
              </w:rPr>
              <w:t xml:space="preserve">2521,4</w:t>
            </w:r>
          </w:p>
        </w:tc>
        <w:tc>
          <w:tcPr>
            <w:tcW w:w="1474" w:type="dxa"/>
          </w:tcPr>
          <w:p>
            <w:pPr>
              <w:pStyle w:val="0"/>
              <w:jc w:val="center"/>
            </w:pPr>
            <w:r>
              <w:rPr>
                <w:sz w:val="20"/>
              </w:rPr>
              <w:t xml:space="preserve">2521,4</w:t>
            </w:r>
          </w:p>
        </w:tc>
        <w:tc>
          <w:tcPr>
            <w:tcW w:w="1417" w:type="dxa"/>
          </w:tcPr>
          <w:p>
            <w:pPr>
              <w:pStyle w:val="0"/>
              <w:jc w:val="center"/>
            </w:pPr>
            <w:r>
              <w:rPr>
                <w:sz w:val="20"/>
              </w:rPr>
              <w:t xml:space="preserve">2575,6</w:t>
            </w:r>
          </w:p>
        </w:tc>
        <w:tc>
          <w:tcPr>
            <w:tcW w:w="1361" w:type="dxa"/>
          </w:tcPr>
          <w:p>
            <w:pPr>
              <w:pStyle w:val="0"/>
              <w:jc w:val="center"/>
            </w:pPr>
            <w:r>
              <w:rPr>
                <w:sz w:val="20"/>
              </w:rPr>
              <w:t xml:space="preserve">2660,5</w:t>
            </w:r>
          </w:p>
        </w:tc>
        <w:tc>
          <w:tcPr>
            <w:tcW w:w="1361" w:type="dxa"/>
          </w:tcPr>
          <w:p>
            <w:pPr>
              <w:pStyle w:val="0"/>
              <w:jc w:val="center"/>
            </w:pPr>
            <w:r>
              <w:rPr>
                <w:sz w:val="20"/>
              </w:rPr>
              <w:t xml:space="preserve">2743,0</w:t>
            </w:r>
          </w:p>
        </w:tc>
        <w:tc>
          <w:tcPr>
            <w:tcW w:w="1247" w:type="dxa"/>
          </w:tcPr>
          <w:p>
            <w:pPr>
              <w:pStyle w:val="0"/>
              <w:jc w:val="center"/>
            </w:pPr>
            <w:r>
              <w:rPr>
                <w:sz w:val="20"/>
              </w:rPr>
              <w:t xml:space="preserve">2822,6</w:t>
            </w:r>
          </w:p>
        </w:tc>
        <w:tc>
          <w:tcPr>
            <w:tcW w:w="1247" w:type="dxa"/>
          </w:tcPr>
          <w:p>
            <w:pPr>
              <w:pStyle w:val="0"/>
              <w:jc w:val="center"/>
            </w:pPr>
            <w:r>
              <w:rPr>
                <w:sz w:val="20"/>
              </w:rPr>
              <w:t xml:space="preserve">2901,6</w:t>
            </w:r>
          </w:p>
        </w:tc>
        <w:tc>
          <w:tcPr>
            <w:tcW w:w="1304" w:type="dxa"/>
          </w:tcPr>
          <w:p>
            <w:pPr>
              <w:pStyle w:val="0"/>
              <w:jc w:val="center"/>
            </w:pPr>
            <w:r>
              <w:rPr>
                <w:sz w:val="20"/>
              </w:rPr>
              <w:t xml:space="preserve">2982,9</w:t>
            </w:r>
          </w:p>
        </w:tc>
        <w:tc>
          <w:tcPr>
            <w:tcW w:w="1531" w:type="dxa"/>
          </w:tcPr>
          <w:p>
            <w:pPr>
              <w:pStyle w:val="0"/>
              <w:jc w:val="center"/>
            </w:pPr>
            <w:r>
              <w:rPr>
                <w:sz w:val="20"/>
              </w:rPr>
              <w:t xml:space="preserve">24250,4</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2395,3</w:t>
            </w:r>
          </w:p>
        </w:tc>
        <w:tc>
          <w:tcPr>
            <w:tcW w:w="1361" w:type="dxa"/>
          </w:tcPr>
          <w:p>
            <w:pPr>
              <w:pStyle w:val="0"/>
              <w:jc w:val="center"/>
            </w:pPr>
            <w:r>
              <w:rPr>
                <w:sz w:val="20"/>
              </w:rPr>
              <w:t xml:space="preserve">2395,3</w:t>
            </w:r>
          </w:p>
        </w:tc>
        <w:tc>
          <w:tcPr>
            <w:tcW w:w="1474" w:type="dxa"/>
          </w:tcPr>
          <w:p>
            <w:pPr>
              <w:pStyle w:val="0"/>
              <w:jc w:val="center"/>
            </w:pPr>
            <w:r>
              <w:rPr>
                <w:sz w:val="20"/>
              </w:rPr>
              <w:t xml:space="preserve">2395,3</w:t>
            </w:r>
          </w:p>
        </w:tc>
        <w:tc>
          <w:tcPr>
            <w:tcW w:w="1417" w:type="dxa"/>
          </w:tcPr>
          <w:p>
            <w:pPr>
              <w:pStyle w:val="0"/>
              <w:jc w:val="center"/>
            </w:pPr>
            <w:r>
              <w:rPr>
                <w:sz w:val="20"/>
              </w:rPr>
              <w:t xml:space="preserve">2395,3</w:t>
            </w:r>
          </w:p>
        </w:tc>
        <w:tc>
          <w:tcPr>
            <w:tcW w:w="1361" w:type="dxa"/>
          </w:tcPr>
          <w:p>
            <w:pPr>
              <w:pStyle w:val="0"/>
              <w:jc w:val="center"/>
            </w:pPr>
            <w:r>
              <w:rPr>
                <w:sz w:val="20"/>
              </w:rPr>
              <w:t xml:space="preserve">2474,3</w:t>
            </w:r>
          </w:p>
        </w:tc>
        <w:tc>
          <w:tcPr>
            <w:tcW w:w="1361" w:type="dxa"/>
          </w:tcPr>
          <w:p>
            <w:pPr>
              <w:pStyle w:val="0"/>
              <w:jc w:val="center"/>
            </w:pPr>
            <w:r>
              <w:rPr>
                <w:sz w:val="20"/>
              </w:rPr>
              <w:t xml:space="preserve">2551,0</w:t>
            </w:r>
          </w:p>
        </w:tc>
        <w:tc>
          <w:tcPr>
            <w:tcW w:w="1247" w:type="dxa"/>
          </w:tcPr>
          <w:p>
            <w:pPr>
              <w:pStyle w:val="0"/>
              <w:jc w:val="center"/>
            </w:pPr>
            <w:r>
              <w:rPr>
                <w:sz w:val="20"/>
              </w:rPr>
              <w:t xml:space="preserve">2625,0</w:t>
            </w:r>
          </w:p>
        </w:tc>
        <w:tc>
          <w:tcPr>
            <w:tcW w:w="1247" w:type="dxa"/>
          </w:tcPr>
          <w:p>
            <w:pPr>
              <w:pStyle w:val="0"/>
              <w:jc w:val="center"/>
            </w:pPr>
            <w:r>
              <w:rPr>
                <w:sz w:val="20"/>
              </w:rPr>
              <w:t xml:space="preserve">2698,5</w:t>
            </w:r>
          </w:p>
        </w:tc>
        <w:tc>
          <w:tcPr>
            <w:tcW w:w="1304" w:type="dxa"/>
          </w:tcPr>
          <w:p>
            <w:pPr>
              <w:pStyle w:val="0"/>
              <w:jc w:val="center"/>
            </w:pPr>
            <w:r>
              <w:rPr>
                <w:sz w:val="20"/>
              </w:rPr>
              <w:t xml:space="preserve">2774,1</w:t>
            </w:r>
          </w:p>
        </w:tc>
        <w:tc>
          <w:tcPr>
            <w:tcW w:w="1531" w:type="dxa"/>
          </w:tcPr>
          <w:p>
            <w:pPr>
              <w:pStyle w:val="0"/>
              <w:jc w:val="center"/>
            </w:pPr>
            <w:r>
              <w:rPr>
                <w:sz w:val="20"/>
              </w:rPr>
              <w:t xml:space="preserve">22704,1</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126,1</w:t>
            </w:r>
          </w:p>
        </w:tc>
        <w:tc>
          <w:tcPr>
            <w:tcW w:w="1361" w:type="dxa"/>
          </w:tcPr>
          <w:p>
            <w:pPr>
              <w:pStyle w:val="0"/>
              <w:jc w:val="center"/>
            </w:pPr>
            <w:r>
              <w:rPr>
                <w:sz w:val="20"/>
              </w:rPr>
              <w:t xml:space="preserve">126,1</w:t>
            </w:r>
          </w:p>
        </w:tc>
        <w:tc>
          <w:tcPr>
            <w:tcW w:w="1474" w:type="dxa"/>
          </w:tcPr>
          <w:p>
            <w:pPr>
              <w:pStyle w:val="0"/>
              <w:jc w:val="center"/>
            </w:pPr>
            <w:r>
              <w:rPr>
                <w:sz w:val="20"/>
              </w:rPr>
              <w:t xml:space="preserve">126,1</w:t>
            </w:r>
          </w:p>
        </w:tc>
        <w:tc>
          <w:tcPr>
            <w:tcW w:w="1417" w:type="dxa"/>
          </w:tcPr>
          <w:p>
            <w:pPr>
              <w:pStyle w:val="0"/>
              <w:jc w:val="center"/>
            </w:pPr>
            <w:r>
              <w:rPr>
                <w:sz w:val="20"/>
              </w:rPr>
              <w:t xml:space="preserve">180,3</w:t>
            </w:r>
          </w:p>
        </w:tc>
        <w:tc>
          <w:tcPr>
            <w:tcW w:w="1361" w:type="dxa"/>
          </w:tcPr>
          <w:p>
            <w:pPr>
              <w:pStyle w:val="0"/>
              <w:jc w:val="center"/>
            </w:pPr>
            <w:r>
              <w:rPr>
                <w:sz w:val="20"/>
              </w:rPr>
              <w:t xml:space="preserve">186,2</w:t>
            </w:r>
          </w:p>
        </w:tc>
        <w:tc>
          <w:tcPr>
            <w:tcW w:w="1361" w:type="dxa"/>
          </w:tcPr>
          <w:p>
            <w:pPr>
              <w:pStyle w:val="0"/>
              <w:jc w:val="center"/>
            </w:pPr>
            <w:r>
              <w:rPr>
                <w:sz w:val="20"/>
              </w:rPr>
              <w:t xml:space="preserve">192,0</w:t>
            </w:r>
          </w:p>
        </w:tc>
        <w:tc>
          <w:tcPr>
            <w:tcW w:w="1247" w:type="dxa"/>
          </w:tcPr>
          <w:p>
            <w:pPr>
              <w:pStyle w:val="0"/>
              <w:jc w:val="center"/>
            </w:pPr>
            <w:r>
              <w:rPr>
                <w:sz w:val="20"/>
              </w:rPr>
              <w:t xml:space="preserve">197,6</w:t>
            </w:r>
          </w:p>
        </w:tc>
        <w:tc>
          <w:tcPr>
            <w:tcW w:w="1247" w:type="dxa"/>
          </w:tcPr>
          <w:p>
            <w:pPr>
              <w:pStyle w:val="0"/>
              <w:jc w:val="center"/>
            </w:pPr>
            <w:r>
              <w:rPr>
                <w:sz w:val="20"/>
              </w:rPr>
              <w:t xml:space="preserve">203,1</w:t>
            </w:r>
          </w:p>
        </w:tc>
        <w:tc>
          <w:tcPr>
            <w:tcW w:w="1304" w:type="dxa"/>
          </w:tcPr>
          <w:p>
            <w:pPr>
              <w:pStyle w:val="0"/>
              <w:jc w:val="center"/>
            </w:pPr>
            <w:r>
              <w:rPr>
                <w:sz w:val="20"/>
              </w:rPr>
              <w:t xml:space="preserve">208,8</w:t>
            </w:r>
          </w:p>
        </w:tc>
        <w:tc>
          <w:tcPr>
            <w:tcW w:w="1531" w:type="dxa"/>
          </w:tcPr>
          <w:p>
            <w:pPr>
              <w:pStyle w:val="0"/>
              <w:jc w:val="center"/>
            </w:pPr>
            <w:r>
              <w:rPr>
                <w:sz w:val="20"/>
              </w:rPr>
              <w:t xml:space="preserve">1546,3</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2.11.3. Финансовое обеспечение закупок диагностических средств для выявления и мониторинга лечения лиц, инфицированных вирусом иммунодефицита человека, в том числе в сочетании с вирусами гепатитов B и (или) C</w:t>
            </w:r>
          </w:p>
        </w:tc>
        <w:tc>
          <w:tcPr>
            <w:tcW w:w="2040" w:type="dxa"/>
            <w:vMerge w:val="restart"/>
          </w:tcPr>
          <w:p>
            <w:pPr>
              <w:pStyle w:val="0"/>
              <w:jc w:val="both"/>
            </w:pPr>
            <w:r>
              <w:rPr>
                <w:sz w:val="20"/>
              </w:rPr>
              <w:t xml:space="preserve">Государственная </w:t>
            </w:r>
            <w:hyperlink w:history="0" r:id="rId559"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3810,1</w:t>
            </w:r>
          </w:p>
        </w:tc>
        <w:tc>
          <w:tcPr>
            <w:tcW w:w="1361" w:type="dxa"/>
          </w:tcPr>
          <w:p>
            <w:pPr>
              <w:pStyle w:val="0"/>
              <w:jc w:val="center"/>
            </w:pPr>
            <w:r>
              <w:rPr>
                <w:sz w:val="20"/>
              </w:rPr>
              <w:t xml:space="preserve">4610,3</w:t>
            </w:r>
          </w:p>
        </w:tc>
        <w:tc>
          <w:tcPr>
            <w:tcW w:w="1474" w:type="dxa"/>
          </w:tcPr>
          <w:p>
            <w:pPr>
              <w:pStyle w:val="0"/>
              <w:jc w:val="center"/>
            </w:pPr>
            <w:r>
              <w:rPr>
                <w:sz w:val="20"/>
              </w:rPr>
              <w:t xml:space="preserve">4610,3</w:t>
            </w:r>
          </w:p>
        </w:tc>
        <w:tc>
          <w:tcPr>
            <w:tcW w:w="1417" w:type="dxa"/>
          </w:tcPr>
          <w:p>
            <w:pPr>
              <w:pStyle w:val="0"/>
              <w:jc w:val="center"/>
            </w:pPr>
            <w:r>
              <w:rPr>
                <w:sz w:val="20"/>
              </w:rPr>
              <w:t xml:space="preserve">4616,3</w:t>
            </w:r>
          </w:p>
        </w:tc>
        <w:tc>
          <w:tcPr>
            <w:tcW w:w="1361" w:type="dxa"/>
          </w:tcPr>
          <w:p>
            <w:pPr>
              <w:pStyle w:val="0"/>
              <w:jc w:val="center"/>
            </w:pPr>
            <w:r>
              <w:rPr>
                <w:sz w:val="20"/>
              </w:rPr>
              <w:t xml:space="preserve">4768,7</w:t>
            </w:r>
          </w:p>
        </w:tc>
        <w:tc>
          <w:tcPr>
            <w:tcW w:w="1361" w:type="dxa"/>
          </w:tcPr>
          <w:p>
            <w:pPr>
              <w:pStyle w:val="0"/>
              <w:jc w:val="center"/>
            </w:pPr>
            <w:r>
              <w:rPr>
                <w:sz w:val="20"/>
              </w:rPr>
              <w:t xml:space="preserve">4916,5</w:t>
            </w:r>
          </w:p>
        </w:tc>
        <w:tc>
          <w:tcPr>
            <w:tcW w:w="1247" w:type="dxa"/>
          </w:tcPr>
          <w:p>
            <w:pPr>
              <w:pStyle w:val="0"/>
              <w:jc w:val="center"/>
            </w:pPr>
            <w:r>
              <w:rPr>
                <w:sz w:val="20"/>
              </w:rPr>
              <w:t xml:space="preserve">5059,1</w:t>
            </w:r>
          </w:p>
        </w:tc>
        <w:tc>
          <w:tcPr>
            <w:tcW w:w="1247" w:type="dxa"/>
          </w:tcPr>
          <w:p>
            <w:pPr>
              <w:pStyle w:val="0"/>
              <w:jc w:val="center"/>
            </w:pPr>
            <w:r>
              <w:rPr>
                <w:sz w:val="20"/>
              </w:rPr>
              <w:t xml:space="preserve">5200,7</w:t>
            </w:r>
          </w:p>
        </w:tc>
        <w:tc>
          <w:tcPr>
            <w:tcW w:w="1304" w:type="dxa"/>
          </w:tcPr>
          <w:p>
            <w:pPr>
              <w:pStyle w:val="0"/>
              <w:jc w:val="center"/>
            </w:pPr>
            <w:r>
              <w:rPr>
                <w:sz w:val="20"/>
              </w:rPr>
              <w:t xml:space="preserve">5346,3</w:t>
            </w:r>
          </w:p>
        </w:tc>
        <w:tc>
          <w:tcPr>
            <w:tcW w:w="1531" w:type="dxa"/>
          </w:tcPr>
          <w:p>
            <w:pPr>
              <w:pStyle w:val="0"/>
              <w:jc w:val="center"/>
            </w:pPr>
            <w:r>
              <w:rPr>
                <w:sz w:val="20"/>
              </w:rPr>
              <w:t xml:space="preserve">42938,3</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3619,6</w:t>
            </w:r>
          </w:p>
        </w:tc>
        <w:tc>
          <w:tcPr>
            <w:tcW w:w="1361" w:type="dxa"/>
          </w:tcPr>
          <w:p>
            <w:pPr>
              <w:pStyle w:val="0"/>
              <w:jc w:val="center"/>
            </w:pPr>
            <w:r>
              <w:rPr>
                <w:sz w:val="20"/>
              </w:rPr>
              <w:t xml:space="preserve">4379,8</w:t>
            </w:r>
          </w:p>
        </w:tc>
        <w:tc>
          <w:tcPr>
            <w:tcW w:w="1474" w:type="dxa"/>
          </w:tcPr>
          <w:p>
            <w:pPr>
              <w:pStyle w:val="0"/>
              <w:jc w:val="center"/>
            </w:pPr>
            <w:r>
              <w:rPr>
                <w:sz w:val="20"/>
              </w:rPr>
              <w:t xml:space="preserve">4379,8</w:t>
            </w:r>
          </w:p>
        </w:tc>
        <w:tc>
          <w:tcPr>
            <w:tcW w:w="1417" w:type="dxa"/>
          </w:tcPr>
          <w:p>
            <w:pPr>
              <w:pStyle w:val="0"/>
              <w:jc w:val="center"/>
            </w:pPr>
            <w:r>
              <w:rPr>
                <w:sz w:val="20"/>
              </w:rPr>
              <w:t xml:space="preserve">4293,2</w:t>
            </w:r>
          </w:p>
        </w:tc>
        <w:tc>
          <w:tcPr>
            <w:tcW w:w="1361" w:type="dxa"/>
          </w:tcPr>
          <w:p>
            <w:pPr>
              <w:pStyle w:val="0"/>
              <w:jc w:val="center"/>
            </w:pPr>
            <w:r>
              <w:rPr>
                <w:sz w:val="20"/>
              </w:rPr>
              <w:t xml:space="preserve">4434,9</w:t>
            </w:r>
          </w:p>
        </w:tc>
        <w:tc>
          <w:tcPr>
            <w:tcW w:w="1361" w:type="dxa"/>
          </w:tcPr>
          <w:p>
            <w:pPr>
              <w:pStyle w:val="0"/>
              <w:jc w:val="center"/>
            </w:pPr>
            <w:r>
              <w:rPr>
                <w:sz w:val="20"/>
              </w:rPr>
              <w:t xml:space="preserve">4572,4</w:t>
            </w:r>
          </w:p>
        </w:tc>
        <w:tc>
          <w:tcPr>
            <w:tcW w:w="1247" w:type="dxa"/>
          </w:tcPr>
          <w:p>
            <w:pPr>
              <w:pStyle w:val="0"/>
              <w:jc w:val="center"/>
            </w:pPr>
            <w:r>
              <w:rPr>
                <w:sz w:val="20"/>
              </w:rPr>
              <w:t xml:space="preserve">4705,0</w:t>
            </w:r>
          </w:p>
        </w:tc>
        <w:tc>
          <w:tcPr>
            <w:tcW w:w="1247" w:type="dxa"/>
          </w:tcPr>
          <w:p>
            <w:pPr>
              <w:pStyle w:val="0"/>
              <w:jc w:val="center"/>
            </w:pPr>
            <w:r>
              <w:rPr>
                <w:sz w:val="20"/>
              </w:rPr>
              <w:t xml:space="preserve">4836,7</w:t>
            </w:r>
          </w:p>
        </w:tc>
        <w:tc>
          <w:tcPr>
            <w:tcW w:w="1304" w:type="dxa"/>
          </w:tcPr>
          <w:p>
            <w:pPr>
              <w:pStyle w:val="0"/>
              <w:jc w:val="center"/>
            </w:pPr>
            <w:r>
              <w:rPr>
                <w:sz w:val="20"/>
              </w:rPr>
              <w:t xml:space="preserve">4972,1</w:t>
            </w:r>
          </w:p>
        </w:tc>
        <w:tc>
          <w:tcPr>
            <w:tcW w:w="1531" w:type="dxa"/>
          </w:tcPr>
          <w:p>
            <w:pPr>
              <w:pStyle w:val="0"/>
              <w:jc w:val="center"/>
            </w:pPr>
            <w:r>
              <w:rPr>
                <w:sz w:val="20"/>
              </w:rPr>
              <w:t xml:space="preserve">40193,5</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190,5</w:t>
            </w:r>
          </w:p>
        </w:tc>
        <w:tc>
          <w:tcPr>
            <w:tcW w:w="1361" w:type="dxa"/>
          </w:tcPr>
          <w:p>
            <w:pPr>
              <w:pStyle w:val="0"/>
              <w:jc w:val="center"/>
            </w:pPr>
            <w:r>
              <w:rPr>
                <w:sz w:val="20"/>
              </w:rPr>
              <w:t xml:space="preserve">230,5</w:t>
            </w:r>
          </w:p>
        </w:tc>
        <w:tc>
          <w:tcPr>
            <w:tcW w:w="1474" w:type="dxa"/>
          </w:tcPr>
          <w:p>
            <w:pPr>
              <w:pStyle w:val="0"/>
              <w:jc w:val="center"/>
            </w:pPr>
            <w:r>
              <w:rPr>
                <w:sz w:val="20"/>
              </w:rPr>
              <w:t xml:space="preserve">230,5</w:t>
            </w:r>
          </w:p>
        </w:tc>
        <w:tc>
          <w:tcPr>
            <w:tcW w:w="1417" w:type="dxa"/>
          </w:tcPr>
          <w:p>
            <w:pPr>
              <w:pStyle w:val="0"/>
              <w:jc w:val="center"/>
            </w:pPr>
            <w:r>
              <w:rPr>
                <w:sz w:val="20"/>
              </w:rPr>
              <w:t xml:space="preserve">323,1</w:t>
            </w:r>
          </w:p>
        </w:tc>
        <w:tc>
          <w:tcPr>
            <w:tcW w:w="1361" w:type="dxa"/>
          </w:tcPr>
          <w:p>
            <w:pPr>
              <w:pStyle w:val="0"/>
              <w:jc w:val="center"/>
            </w:pPr>
            <w:r>
              <w:rPr>
                <w:sz w:val="20"/>
              </w:rPr>
              <w:t xml:space="preserve">333,8</w:t>
            </w:r>
          </w:p>
        </w:tc>
        <w:tc>
          <w:tcPr>
            <w:tcW w:w="1361" w:type="dxa"/>
          </w:tcPr>
          <w:p>
            <w:pPr>
              <w:pStyle w:val="0"/>
              <w:jc w:val="center"/>
            </w:pPr>
            <w:r>
              <w:rPr>
                <w:sz w:val="20"/>
              </w:rPr>
              <w:t xml:space="preserve">344,1</w:t>
            </w:r>
          </w:p>
        </w:tc>
        <w:tc>
          <w:tcPr>
            <w:tcW w:w="1247" w:type="dxa"/>
          </w:tcPr>
          <w:p>
            <w:pPr>
              <w:pStyle w:val="0"/>
              <w:jc w:val="center"/>
            </w:pPr>
            <w:r>
              <w:rPr>
                <w:sz w:val="20"/>
              </w:rPr>
              <w:t xml:space="preserve">354,1</w:t>
            </w:r>
          </w:p>
        </w:tc>
        <w:tc>
          <w:tcPr>
            <w:tcW w:w="1247" w:type="dxa"/>
          </w:tcPr>
          <w:p>
            <w:pPr>
              <w:pStyle w:val="0"/>
              <w:jc w:val="center"/>
            </w:pPr>
            <w:r>
              <w:rPr>
                <w:sz w:val="20"/>
              </w:rPr>
              <w:t xml:space="preserve">364,0</w:t>
            </w:r>
          </w:p>
        </w:tc>
        <w:tc>
          <w:tcPr>
            <w:tcW w:w="1304" w:type="dxa"/>
          </w:tcPr>
          <w:p>
            <w:pPr>
              <w:pStyle w:val="0"/>
              <w:jc w:val="center"/>
            </w:pPr>
            <w:r>
              <w:rPr>
                <w:sz w:val="20"/>
              </w:rPr>
              <w:t xml:space="preserve">374,2</w:t>
            </w:r>
          </w:p>
        </w:tc>
        <w:tc>
          <w:tcPr>
            <w:tcW w:w="1531" w:type="dxa"/>
          </w:tcPr>
          <w:p>
            <w:pPr>
              <w:pStyle w:val="0"/>
              <w:jc w:val="center"/>
            </w:pPr>
            <w:r>
              <w:rPr>
                <w:sz w:val="20"/>
              </w:rPr>
              <w:t xml:space="preserve">2744,8</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2.12. Реализация региональной программы "Развитие службы крови в городе Севастополе"</w:t>
            </w:r>
          </w:p>
        </w:tc>
        <w:tc>
          <w:tcPr>
            <w:tcW w:w="2040" w:type="dxa"/>
            <w:vMerge w:val="restart"/>
          </w:tcPr>
          <w:p>
            <w:pPr>
              <w:pStyle w:val="0"/>
              <w:jc w:val="both"/>
            </w:pPr>
            <w:r>
              <w:rPr>
                <w:sz w:val="20"/>
              </w:rPr>
              <w:t xml:space="preserve">Государственная </w:t>
            </w:r>
            <w:hyperlink w:history="0" r:id="rId560"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45556,7</w:t>
            </w:r>
          </w:p>
        </w:tc>
        <w:tc>
          <w:tcPr>
            <w:tcW w:w="1361" w:type="dxa"/>
          </w:tcPr>
          <w:p>
            <w:pPr>
              <w:pStyle w:val="0"/>
              <w:jc w:val="center"/>
            </w:pPr>
            <w:r>
              <w:rPr>
                <w:sz w:val="20"/>
              </w:rPr>
              <w:t xml:space="preserve">38092,1</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83648,8</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42324,6</w:t>
            </w:r>
          </w:p>
        </w:tc>
        <w:tc>
          <w:tcPr>
            <w:tcW w:w="1361" w:type="dxa"/>
          </w:tcPr>
          <w:p>
            <w:pPr>
              <w:pStyle w:val="0"/>
              <w:jc w:val="center"/>
            </w:pPr>
            <w:r>
              <w:rPr>
                <w:sz w:val="20"/>
              </w:rPr>
              <w:t xml:space="preserve">38092,1</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80416,7</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3232,1</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3232,1</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2.20. 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по проведению указанным лицам профилактических прививок, включенных в </w:t>
            </w:r>
            <w:hyperlink w:history="0" r:id="rId561"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календарь</w:t>
              </w:r>
            </w:hyperlink>
            <w:r>
              <w:rPr>
                <w:sz w:val="20"/>
              </w:rPr>
              <w:t xml:space="preserve"> профилактических прививок по эпидемическим показаниям, за счет средств резервного фонда Правительства Российской Федерации</w:t>
            </w:r>
          </w:p>
        </w:tc>
        <w:tc>
          <w:tcPr>
            <w:tcW w:w="2040" w:type="dxa"/>
            <w:vMerge w:val="restart"/>
          </w:tcPr>
          <w:p>
            <w:pPr>
              <w:pStyle w:val="0"/>
              <w:jc w:val="both"/>
            </w:pPr>
            <w:r>
              <w:rPr>
                <w:sz w:val="20"/>
              </w:rPr>
              <w:t xml:space="preserve">Государственная </w:t>
            </w:r>
            <w:hyperlink w:history="0" r:id="rId562"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7523,6</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7523,6</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7523,6</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7523,6</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2.22. 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563"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tc>
        <w:tc>
          <w:tcPr>
            <w:tcW w:w="2040" w:type="dxa"/>
            <w:vMerge w:val="restart"/>
          </w:tcPr>
          <w:p>
            <w:pPr>
              <w:pStyle w:val="0"/>
              <w:jc w:val="both"/>
            </w:pPr>
            <w:r>
              <w:rPr>
                <w:sz w:val="20"/>
              </w:rPr>
              <w:t xml:space="preserve">Государственная </w:t>
            </w:r>
            <w:hyperlink w:history="0" r:id="rId564"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54344,0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54344,0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54344,0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54344,0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tcBorders>
              <w:bottom w:val="nil"/>
            </w:tcBorders>
            <w:vMerge w:val="restart"/>
          </w:tcPr>
          <w:p>
            <w:pPr>
              <w:pStyle w:val="0"/>
              <w:jc w:val="both"/>
            </w:pPr>
            <w:r>
              <w:rPr>
                <w:sz w:val="20"/>
              </w:rPr>
              <w:t xml:space="preserve">2.30. Оказание специализированной медицинской помощи в стационарных условиях подведомственными Департаменту здравоохранения города Севастополя учреждениями здравоохранения</w:t>
            </w:r>
          </w:p>
        </w:tc>
        <w:tc>
          <w:tcPr>
            <w:tcW w:w="2040" w:type="dxa"/>
            <w:tcBorders>
              <w:bottom w:val="nil"/>
            </w:tcBorders>
            <w:vMerge w:val="restart"/>
          </w:tcPr>
          <w:p>
            <w:pPr>
              <w:pStyle w:val="0"/>
              <w:jc w:val="both"/>
            </w:pPr>
            <w:r>
              <w:rPr>
                <w:sz w:val="20"/>
              </w:rPr>
              <w:t xml:space="preserve">Государственная </w:t>
            </w:r>
            <w:hyperlink w:history="0" r:id="rId565"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40011,7</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40011,7</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40011,7</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40011,7</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(абзац введен </w:t>
            </w:r>
            <w:hyperlink w:history="0" r:id="rId566"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28.07.2023 N 358-ПП)</w:t>
            </w:r>
          </w:p>
        </w:tc>
      </w:tr>
      <w:tr>
        <w:tc>
          <w:tcPr>
            <w:tcW w:w="2778" w:type="dxa"/>
            <w:tcBorders>
              <w:bottom w:val="nil"/>
            </w:tcBorders>
            <w:vMerge w:val="restart"/>
          </w:tcPr>
          <w:p>
            <w:pPr>
              <w:pStyle w:val="0"/>
              <w:jc w:val="both"/>
            </w:pPr>
            <w:r>
              <w:rPr>
                <w:sz w:val="20"/>
              </w:rPr>
              <w:t xml:space="preserve">2.31. Реализация регионального проекта "Борьба с сахарным диабетом"</w:t>
            </w:r>
          </w:p>
        </w:tc>
        <w:tc>
          <w:tcPr>
            <w:tcW w:w="2040" w:type="dxa"/>
            <w:tcBorders>
              <w:bottom w:val="nil"/>
            </w:tcBorders>
            <w:vMerge w:val="restart"/>
          </w:tcPr>
          <w:p>
            <w:pPr>
              <w:pStyle w:val="0"/>
              <w:jc w:val="both"/>
            </w:pPr>
            <w:r>
              <w:rPr>
                <w:sz w:val="20"/>
              </w:rPr>
              <w:t xml:space="preserve">Государственная </w:t>
            </w:r>
            <w:hyperlink w:history="0" r:id="rId567"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9992,9</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9992,9</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9992,9</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9992,9</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(абзац введен </w:t>
            </w:r>
            <w:hyperlink w:history="0" r:id="rId568"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03.11.2023 N 506-ПП)</w:t>
            </w:r>
          </w:p>
        </w:tc>
      </w:tr>
      <w:tr>
        <w:tc>
          <w:tcPr>
            <w:tcW w:w="2778" w:type="dxa"/>
            <w:tcBorders>
              <w:bottom w:val="nil"/>
            </w:tcBorders>
            <w:vMerge w:val="restart"/>
          </w:tcPr>
          <w:p>
            <w:pPr>
              <w:pStyle w:val="0"/>
              <w:jc w:val="both"/>
            </w:pPr>
            <w:r>
              <w:rPr>
                <w:sz w:val="20"/>
              </w:rPr>
              <w:t xml:space="preserve">Итого по </w:t>
            </w:r>
            <w:hyperlink w:history="0" w:anchor="P968" w:tooltip="ПОДПРОГРАММА 2">
              <w:r>
                <w:rPr>
                  <w:sz w:val="20"/>
                  <w:color w:val="0000ff"/>
                </w:rPr>
                <w:t xml:space="preserve">подпрограмме 2</w:t>
              </w:r>
            </w:hyperlink>
          </w:p>
        </w:tc>
        <w:tc>
          <w:tcPr>
            <w:tcW w:w="2040" w:type="dxa"/>
            <w:tcBorders>
              <w:bottom w:val="nil"/>
            </w:tcBorders>
            <w:vMerge w:val="restart"/>
          </w:tcPr>
          <w:p>
            <w:pPr>
              <w:pStyle w:val="0"/>
              <w:jc w:val="both"/>
            </w:pPr>
            <w:r>
              <w:rPr>
                <w:sz w:val="20"/>
              </w:rPr>
            </w:r>
          </w:p>
        </w:tc>
        <w:tc>
          <w:tcPr>
            <w:tcW w:w="1928" w:type="dxa"/>
            <w:tcBorders>
              <w:bottom w:val="nil"/>
            </w:tcBorders>
            <w:vMerge w:val="restart"/>
          </w:tcPr>
          <w:p>
            <w:pPr>
              <w:pStyle w:val="0"/>
              <w:jc w:val="both"/>
            </w:pPr>
            <w:r>
              <w:rPr>
                <w:sz w:val="20"/>
              </w:rPr>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537339,1</w:t>
            </w:r>
          </w:p>
        </w:tc>
        <w:tc>
          <w:tcPr>
            <w:tcW w:w="1361" w:type="dxa"/>
          </w:tcPr>
          <w:p>
            <w:pPr>
              <w:pStyle w:val="0"/>
              <w:jc w:val="center"/>
            </w:pPr>
            <w:r>
              <w:rPr>
                <w:sz w:val="20"/>
              </w:rPr>
              <w:t xml:space="preserve">1843920,4</w:t>
            </w:r>
          </w:p>
        </w:tc>
        <w:tc>
          <w:tcPr>
            <w:tcW w:w="1474" w:type="dxa"/>
          </w:tcPr>
          <w:p>
            <w:pPr>
              <w:pStyle w:val="0"/>
              <w:jc w:val="center"/>
            </w:pPr>
            <w:r>
              <w:rPr>
                <w:sz w:val="20"/>
              </w:rPr>
              <w:t xml:space="preserve">1260556,1</w:t>
            </w:r>
          </w:p>
        </w:tc>
        <w:tc>
          <w:tcPr>
            <w:tcW w:w="1417" w:type="dxa"/>
          </w:tcPr>
          <w:p>
            <w:pPr>
              <w:pStyle w:val="0"/>
              <w:jc w:val="center"/>
            </w:pPr>
            <w:r>
              <w:rPr>
                <w:sz w:val="20"/>
              </w:rPr>
              <w:t xml:space="preserve">4629779,7</w:t>
            </w:r>
          </w:p>
        </w:tc>
        <w:tc>
          <w:tcPr>
            <w:tcW w:w="1361" w:type="dxa"/>
          </w:tcPr>
          <w:p>
            <w:pPr>
              <w:pStyle w:val="0"/>
              <w:jc w:val="center"/>
            </w:pPr>
            <w:r>
              <w:rPr>
                <w:sz w:val="20"/>
              </w:rPr>
              <w:t xml:space="preserve">8652408,3</w:t>
            </w:r>
          </w:p>
        </w:tc>
        <w:tc>
          <w:tcPr>
            <w:tcW w:w="1361" w:type="dxa"/>
          </w:tcPr>
          <w:p>
            <w:pPr>
              <w:pStyle w:val="0"/>
              <w:jc w:val="center"/>
            </w:pPr>
            <w:r>
              <w:rPr>
                <w:sz w:val="20"/>
              </w:rPr>
              <w:t xml:space="preserve">4586385,5</w:t>
            </w:r>
          </w:p>
        </w:tc>
        <w:tc>
          <w:tcPr>
            <w:tcW w:w="1247" w:type="dxa"/>
          </w:tcPr>
          <w:p>
            <w:pPr>
              <w:pStyle w:val="0"/>
              <w:jc w:val="center"/>
            </w:pPr>
            <w:r>
              <w:rPr>
                <w:sz w:val="20"/>
              </w:rPr>
              <w:t xml:space="preserve">218122,9</w:t>
            </w:r>
          </w:p>
        </w:tc>
        <w:tc>
          <w:tcPr>
            <w:tcW w:w="1247" w:type="dxa"/>
          </w:tcPr>
          <w:p>
            <w:pPr>
              <w:pStyle w:val="0"/>
              <w:jc w:val="center"/>
            </w:pPr>
            <w:r>
              <w:rPr>
                <w:sz w:val="20"/>
              </w:rPr>
              <w:t xml:space="preserve">224230,2</w:t>
            </w:r>
          </w:p>
        </w:tc>
        <w:tc>
          <w:tcPr>
            <w:tcW w:w="1304" w:type="dxa"/>
          </w:tcPr>
          <w:p>
            <w:pPr>
              <w:pStyle w:val="0"/>
              <w:jc w:val="center"/>
            </w:pPr>
            <w:r>
              <w:rPr>
                <w:sz w:val="20"/>
              </w:rPr>
              <w:t xml:space="preserve">230508,7</w:t>
            </w:r>
          </w:p>
        </w:tc>
        <w:tc>
          <w:tcPr>
            <w:tcW w:w="1531" w:type="dxa"/>
          </w:tcPr>
          <w:p>
            <w:pPr>
              <w:pStyle w:val="0"/>
              <w:jc w:val="center"/>
            </w:pPr>
            <w:r>
              <w:rPr>
                <w:sz w:val="20"/>
              </w:rPr>
              <w:t xml:space="preserve">22183250,9</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217242,6</w:t>
            </w:r>
          </w:p>
        </w:tc>
        <w:tc>
          <w:tcPr>
            <w:tcW w:w="1361" w:type="dxa"/>
          </w:tcPr>
          <w:p>
            <w:pPr>
              <w:pStyle w:val="0"/>
              <w:jc w:val="center"/>
            </w:pPr>
            <w:r>
              <w:rPr>
                <w:sz w:val="20"/>
              </w:rPr>
              <w:t xml:space="preserve">1478570,1</w:t>
            </w:r>
          </w:p>
        </w:tc>
        <w:tc>
          <w:tcPr>
            <w:tcW w:w="1474" w:type="dxa"/>
          </w:tcPr>
          <w:p>
            <w:pPr>
              <w:pStyle w:val="0"/>
              <w:jc w:val="center"/>
            </w:pPr>
            <w:r>
              <w:rPr>
                <w:sz w:val="20"/>
              </w:rPr>
              <w:t xml:space="preserve">1008068,9</w:t>
            </w:r>
          </w:p>
        </w:tc>
        <w:tc>
          <w:tcPr>
            <w:tcW w:w="1417" w:type="dxa"/>
          </w:tcPr>
          <w:p>
            <w:pPr>
              <w:pStyle w:val="0"/>
              <w:jc w:val="center"/>
            </w:pPr>
            <w:r>
              <w:rPr>
                <w:sz w:val="20"/>
              </w:rPr>
              <w:t xml:space="preserve">4120591,8</w:t>
            </w:r>
          </w:p>
        </w:tc>
        <w:tc>
          <w:tcPr>
            <w:tcW w:w="1361" w:type="dxa"/>
          </w:tcPr>
          <w:p>
            <w:pPr>
              <w:pStyle w:val="0"/>
              <w:jc w:val="center"/>
            </w:pPr>
            <w:r>
              <w:rPr>
                <w:sz w:val="20"/>
              </w:rPr>
              <w:t xml:space="preserve">7855530,6</w:t>
            </w:r>
          </w:p>
        </w:tc>
        <w:tc>
          <w:tcPr>
            <w:tcW w:w="1361" w:type="dxa"/>
          </w:tcPr>
          <w:p>
            <w:pPr>
              <w:pStyle w:val="0"/>
              <w:jc w:val="center"/>
            </w:pPr>
            <w:r>
              <w:rPr>
                <w:sz w:val="20"/>
              </w:rPr>
              <w:t xml:space="preserve">4036988,0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18716992,0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161368,1</w:t>
            </w:r>
          </w:p>
        </w:tc>
        <w:tc>
          <w:tcPr>
            <w:tcW w:w="1361" w:type="dxa"/>
          </w:tcPr>
          <w:p>
            <w:pPr>
              <w:pStyle w:val="0"/>
              <w:jc w:val="center"/>
            </w:pPr>
            <w:r>
              <w:rPr>
                <w:sz w:val="20"/>
              </w:rPr>
              <w:t xml:space="preserve">143426,8</w:t>
            </w:r>
          </w:p>
        </w:tc>
        <w:tc>
          <w:tcPr>
            <w:tcW w:w="1474" w:type="dxa"/>
          </w:tcPr>
          <w:p>
            <w:pPr>
              <w:pStyle w:val="0"/>
              <w:jc w:val="center"/>
            </w:pPr>
            <w:r>
              <w:rPr>
                <w:sz w:val="20"/>
              </w:rPr>
              <w:t xml:space="preserve">55330,1</w:t>
            </w:r>
          </w:p>
        </w:tc>
        <w:tc>
          <w:tcPr>
            <w:tcW w:w="1417" w:type="dxa"/>
          </w:tcPr>
          <w:p>
            <w:pPr>
              <w:pStyle w:val="0"/>
              <w:jc w:val="center"/>
            </w:pPr>
            <w:r>
              <w:rPr>
                <w:sz w:val="20"/>
              </w:rPr>
              <w:t xml:space="preserve">54447,8</w:t>
            </w:r>
          </w:p>
        </w:tc>
        <w:tc>
          <w:tcPr>
            <w:tcW w:w="1361" w:type="dxa"/>
          </w:tcPr>
          <w:p>
            <w:pPr>
              <w:pStyle w:val="0"/>
              <w:jc w:val="center"/>
            </w:pPr>
            <w:r>
              <w:rPr>
                <w:sz w:val="20"/>
              </w:rPr>
              <w:t xml:space="preserve">56244,6</w:t>
            </w:r>
          </w:p>
        </w:tc>
        <w:tc>
          <w:tcPr>
            <w:tcW w:w="1361" w:type="dxa"/>
          </w:tcPr>
          <w:p>
            <w:pPr>
              <w:pStyle w:val="0"/>
              <w:jc w:val="center"/>
            </w:pPr>
            <w:r>
              <w:rPr>
                <w:sz w:val="20"/>
              </w:rPr>
              <w:t xml:space="preserve">57988,2</w:t>
            </w:r>
          </w:p>
        </w:tc>
        <w:tc>
          <w:tcPr>
            <w:tcW w:w="1247" w:type="dxa"/>
          </w:tcPr>
          <w:p>
            <w:pPr>
              <w:pStyle w:val="0"/>
              <w:jc w:val="center"/>
            </w:pPr>
            <w:r>
              <w:rPr>
                <w:sz w:val="20"/>
              </w:rPr>
              <w:t xml:space="preserve">59669,8</w:t>
            </w:r>
          </w:p>
        </w:tc>
        <w:tc>
          <w:tcPr>
            <w:tcW w:w="1247" w:type="dxa"/>
          </w:tcPr>
          <w:p>
            <w:pPr>
              <w:pStyle w:val="0"/>
              <w:jc w:val="center"/>
            </w:pPr>
            <w:r>
              <w:rPr>
                <w:sz w:val="20"/>
              </w:rPr>
              <w:t xml:space="preserve">61340,5</w:t>
            </w:r>
          </w:p>
        </w:tc>
        <w:tc>
          <w:tcPr>
            <w:tcW w:w="1304" w:type="dxa"/>
          </w:tcPr>
          <w:p>
            <w:pPr>
              <w:pStyle w:val="0"/>
              <w:jc w:val="center"/>
            </w:pPr>
            <w:r>
              <w:rPr>
                <w:sz w:val="20"/>
              </w:rPr>
              <w:t xml:space="preserve">63058,0</w:t>
            </w:r>
          </w:p>
        </w:tc>
        <w:tc>
          <w:tcPr>
            <w:tcW w:w="1531" w:type="dxa"/>
          </w:tcPr>
          <w:p>
            <w:pPr>
              <w:pStyle w:val="0"/>
              <w:jc w:val="center"/>
            </w:pPr>
            <w:r>
              <w:rPr>
                <w:sz w:val="20"/>
              </w:rPr>
              <w:t xml:space="preserve">712873,9</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 в том числе:</w:t>
            </w:r>
          </w:p>
        </w:tc>
        <w:tc>
          <w:tcPr>
            <w:tcW w:w="1361" w:type="dxa"/>
          </w:tcPr>
          <w:p>
            <w:pPr>
              <w:pStyle w:val="0"/>
              <w:jc w:val="center"/>
            </w:pPr>
            <w:r>
              <w:rPr>
                <w:sz w:val="20"/>
              </w:rPr>
              <w:t xml:space="preserve">158728,4</w:t>
            </w:r>
          </w:p>
        </w:tc>
        <w:tc>
          <w:tcPr>
            <w:tcW w:w="1361" w:type="dxa"/>
          </w:tcPr>
          <w:p>
            <w:pPr>
              <w:pStyle w:val="0"/>
              <w:jc w:val="center"/>
            </w:pPr>
            <w:r>
              <w:rPr>
                <w:sz w:val="20"/>
              </w:rPr>
              <w:t xml:space="preserve">221923,5</w:t>
            </w:r>
          </w:p>
        </w:tc>
        <w:tc>
          <w:tcPr>
            <w:tcW w:w="1474" w:type="dxa"/>
          </w:tcPr>
          <w:p>
            <w:pPr>
              <w:pStyle w:val="0"/>
              <w:jc w:val="center"/>
            </w:pPr>
            <w:r>
              <w:rPr>
                <w:sz w:val="20"/>
              </w:rPr>
              <w:t xml:space="preserve">197157,1</w:t>
            </w:r>
          </w:p>
        </w:tc>
        <w:tc>
          <w:tcPr>
            <w:tcW w:w="1417" w:type="dxa"/>
          </w:tcPr>
          <w:p>
            <w:pPr>
              <w:pStyle w:val="0"/>
              <w:jc w:val="center"/>
            </w:pPr>
            <w:r>
              <w:rPr>
                <w:sz w:val="20"/>
              </w:rPr>
              <w:t xml:space="preserve">454740,1</w:t>
            </w:r>
          </w:p>
        </w:tc>
        <w:tc>
          <w:tcPr>
            <w:tcW w:w="1361" w:type="dxa"/>
          </w:tcPr>
          <w:p>
            <w:pPr>
              <w:pStyle w:val="0"/>
              <w:jc w:val="center"/>
            </w:pPr>
            <w:r>
              <w:rPr>
                <w:sz w:val="20"/>
              </w:rPr>
              <w:t xml:space="preserve">740633,1</w:t>
            </w:r>
          </w:p>
        </w:tc>
        <w:tc>
          <w:tcPr>
            <w:tcW w:w="1361" w:type="dxa"/>
          </w:tcPr>
          <w:p>
            <w:pPr>
              <w:pStyle w:val="0"/>
              <w:jc w:val="center"/>
            </w:pPr>
            <w:r>
              <w:rPr>
                <w:sz w:val="20"/>
              </w:rPr>
              <w:t xml:space="preserve">491409,3</w:t>
            </w:r>
          </w:p>
        </w:tc>
        <w:tc>
          <w:tcPr>
            <w:tcW w:w="1247" w:type="dxa"/>
          </w:tcPr>
          <w:p>
            <w:pPr>
              <w:pStyle w:val="0"/>
              <w:jc w:val="center"/>
            </w:pPr>
            <w:r>
              <w:rPr>
                <w:sz w:val="20"/>
              </w:rPr>
              <w:t xml:space="preserve">158453,1</w:t>
            </w:r>
          </w:p>
        </w:tc>
        <w:tc>
          <w:tcPr>
            <w:tcW w:w="1247" w:type="dxa"/>
          </w:tcPr>
          <w:p>
            <w:pPr>
              <w:pStyle w:val="0"/>
              <w:jc w:val="center"/>
            </w:pPr>
            <w:r>
              <w:rPr>
                <w:sz w:val="20"/>
              </w:rPr>
              <w:t xml:space="preserve">162889,7</w:t>
            </w:r>
          </w:p>
        </w:tc>
        <w:tc>
          <w:tcPr>
            <w:tcW w:w="1304" w:type="dxa"/>
          </w:tcPr>
          <w:p>
            <w:pPr>
              <w:pStyle w:val="0"/>
              <w:jc w:val="center"/>
            </w:pPr>
            <w:r>
              <w:rPr>
                <w:sz w:val="20"/>
              </w:rPr>
              <w:t xml:space="preserve">167450,7</w:t>
            </w:r>
          </w:p>
        </w:tc>
        <w:tc>
          <w:tcPr>
            <w:tcW w:w="1531" w:type="dxa"/>
          </w:tcPr>
          <w:p>
            <w:pPr>
              <w:pStyle w:val="0"/>
              <w:jc w:val="center"/>
            </w:pPr>
            <w:r>
              <w:rPr>
                <w:sz w:val="20"/>
              </w:rPr>
              <w:t xml:space="preserve">2753385,0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 (5%)</w:t>
            </w:r>
          </w:p>
        </w:tc>
        <w:tc>
          <w:tcPr>
            <w:tcW w:w="1361" w:type="dxa"/>
          </w:tcPr>
          <w:p>
            <w:pPr>
              <w:pStyle w:val="0"/>
              <w:jc w:val="center"/>
            </w:pPr>
            <w:r>
              <w:rPr>
                <w:sz w:val="20"/>
              </w:rPr>
              <w:t xml:space="preserve">11430,7</w:t>
            </w:r>
          </w:p>
        </w:tc>
        <w:tc>
          <w:tcPr>
            <w:tcW w:w="1361" w:type="dxa"/>
          </w:tcPr>
          <w:p>
            <w:pPr>
              <w:pStyle w:val="0"/>
              <w:jc w:val="center"/>
            </w:pPr>
            <w:r>
              <w:rPr>
                <w:sz w:val="20"/>
              </w:rPr>
              <w:t xml:space="preserve">77821,7</w:t>
            </w:r>
          </w:p>
        </w:tc>
        <w:tc>
          <w:tcPr>
            <w:tcW w:w="1474" w:type="dxa"/>
          </w:tcPr>
          <w:p>
            <w:pPr>
              <w:pStyle w:val="0"/>
              <w:jc w:val="center"/>
            </w:pPr>
            <w:r>
              <w:rPr>
                <w:sz w:val="20"/>
              </w:rPr>
              <w:t xml:space="preserve">53055,3</w:t>
            </w:r>
          </w:p>
        </w:tc>
        <w:tc>
          <w:tcPr>
            <w:tcW w:w="1417" w:type="dxa"/>
          </w:tcPr>
          <w:p>
            <w:pPr>
              <w:pStyle w:val="0"/>
              <w:jc w:val="center"/>
            </w:pPr>
            <w:r>
              <w:rPr>
                <w:sz w:val="20"/>
              </w:rPr>
              <w:t xml:space="preserve">310154,1</w:t>
            </w:r>
          </w:p>
        </w:tc>
        <w:tc>
          <w:tcPr>
            <w:tcW w:w="1361" w:type="dxa"/>
          </w:tcPr>
          <w:p>
            <w:pPr>
              <w:pStyle w:val="0"/>
              <w:jc w:val="center"/>
            </w:pPr>
            <w:r>
              <w:rPr>
                <w:sz w:val="20"/>
              </w:rPr>
              <w:t xml:space="preserve">591275,7</w:t>
            </w:r>
          </w:p>
        </w:tc>
        <w:tc>
          <w:tcPr>
            <w:tcW w:w="1361" w:type="dxa"/>
          </w:tcPr>
          <w:p>
            <w:pPr>
              <w:pStyle w:val="0"/>
              <w:jc w:val="center"/>
            </w:pPr>
            <w:r>
              <w:rPr>
                <w:sz w:val="20"/>
              </w:rPr>
              <w:t xml:space="preserve">303850,0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1347587,5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33571,8</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33571,8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69" w:tooltip="Постановление Правительства Севастополя от 03.11.2023 N 506-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03.11.2023 N 506-ПП)</w:t>
            </w:r>
          </w:p>
        </w:tc>
      </w:tr>
      <w:tr>
        <w:tc>
          <w:tcPr>
            <w:gridSpan w:val="14"/>
            <w:tcW w:w="22621" w:type="dxa"/>
          </w:tcPr>
          <w:p>
            <w:pPr>
              <w:pStyle w:val="0"/>
              <w:outlineLvl w:val="2"/>
              <w:jc w:val="center"/>
            </w:pPr>
            <w:r>
              <w:rPr>
                <w:sz w:val="20"/>
              </w:rPr>
              <w:t xml:space="preserve">Подпрограмма 3 "Охрана здоровья матери и ребенка"</w:t>
            </w:r>
          </w:p>
        </w:tc>
      </w:tr>
      <w:tr>
        <w:tc>
          <w:tcPr>
            <w:tcW w:w="2778" w:type="dxa"/>
            <w:vMerge w:val="restart"/>
          </w:tcPr>
          <w:p>
            <w:pPr>
              <w:pStyle w:val="0"/>
              <w:jc w:val="both"/>
            </w:pPr>
            <w:r>
              <w:rPr>
                <w:sz w:val="20"/>
              </w:rPr>
              <w:t xml:space="preserve">3.6. Компенсация расходов, связанных с оказанием медицинскими организациями, подведомственными Департаменту здравоохранения города Севастополя,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по проведению указанным лицам профилактических прививок, включенных в </w:t>
            </w:r>
            <w:hyperlink w:history="0" r:id="rId570"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календарь</w:t>
              </w:r>
            </w:hyperlink>
            <w:r>
              <w:rPr>
                <w:sz w:val="20"/>
              </w:rPr>
              <w:t xml:space="preserve"> профилактических прививок по эпидемическим показаниям, за счет средств резервного фонда Правительства Российской Федерации</w:t>
            </w:r>
          </w:p>
        </w:tc>
        <w:tc>
          <w:tcPr>
            <w:tcW w:w="2040" w:type="dxa"/>
            <w:vMerge w:val="restart"/>
          </w:tcPr>
          <w:p>
            <w:pPr>
              <w:pStyle w:val="0"/>
              <w:jc w:val="both"/>
            </w:pPr>
            <w:r>
              <w:rPr>
                <w:sz w:val="20"/>
              </w:rPr>
              <w:t xml:space="preserve">Государственная </w:t>
            </w:r>
            <w:hyperlink w:history="0" r:id="rId571"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488,3</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488,3</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488,3</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488,3</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3.8. Мероприятия, направленные на обеспечение оплаты труда и начислений на выплаты по оплате труда отдельных категорий медицинских работников, определенных </w:t>
            </w:r>
            <w:hyperlink w:history="0" r:id="rId572"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07.05.2012 N 597 "О мероприятиях по реализации государственной социальной политики", за счет средств резервного фонда Правительства Российской Федерации</w:t>
            </w:r>
          </w:p>
        </w:tc>
        <w:tc>
          <w:tcPr>
            <w:tcW w:w="2040" w:type="dxa"/>
            <w:vMerge w:val="restart"/>
          </w:tcPr>
          <w:p>
            <w:pPr>
              <w:pStyle w:val="0"/>
              <w:jc w:val="both"/>
            </w:pPr>
            <w:r>
              <w:rPr>
                <w:sz w:val="20"/>
              </w:rPr>
              <w:t xml:space="preserve">Государственная </w:t>
            </w:r>
            <w:hyperlink w:history="0" r:id="rId573"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42211,6</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42211,6</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42211,6</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42211,6</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3.9. Проведение массового обследования новорожденных на врожденные и (или) наследственные заболевания (расширенный неонатальный скрининг)</w:t>
            </w:r>
          </w:p>
        </w:tc>
        <w:tc>
          <w:tcPr>
            <w:tcW w:w="2040" w:type="dxa"/>
            <w:vMerge w:val="restart"/>
          </w:tcPr>
          <w:p>
            <w:pPr>
              <w:pStyle w:val="0"/>
              <w:jc w:val="both"/>
            </w:pPr>
            <w:r>
              <w:rPr>
                <w:sz w:val="20"/>
              </w:rPr>
              <w:t xml:space="preserve">Государственная </w:t>
            </w:r>
            <w:hyperlink w:history="0" r:id="rId574"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0,0</w:t>
            </w:r>
          </w:p>
        </w:tc>
        <w:tc>
          <w:tcPr>
            <w:tcW w:w="1361" w:type="dxa"/>
          </w:tcPr>
          <w:p>
            <w:pPr>
              <w:pStyle w:val="0"/>
              <w:jc w:val="center"/>
            </w:pPr>
            <w:r>
              <w:rPr>
                <w:sz w:val="20"/>
              </w:rPr>
              <w:t xml:space="preserve">9782,3</w:t>
            </w:r>
          </w:p>
        </w:tc>
        <w:tc>
          <w:tcPr>
            <w:tcW w:w="1474" w:type="dxa"/>
          </w:tcPr>
          <w:p>
            <w:pPr>
              <w:pStyle w:val="0"/>
              <w:jc w:val="center"/>
            </w:pPr>
            <w:r>
              <w:rPr>
                <w:sz w:val="20"/>
              </w:rPr>
              <w:t xml:space="preserve">9822,5</w:t>
            </w:r>
          </w:p>
        </w:tc>
        <w:tc>
          <w:tcPr>
            <w:tcW w:w="1417" w:type="dxa"/>
          </w:tcPr>
          <w:p>
            <w:pPr>
              <w:pStyle w:val="0"/>
              <w:jc w:val="center"/>
            </w:pPr>
            <w:r>
              <w:rPr>
                <w:sz w:val="20"/>
              </w:rPr>
              <w:t xml:space="preserve">9830,5</w:t>
            </w:r>
          </w:p>
        </w:tc>
        <w:tc>
          <w:tcPr>
            <w:tcW w:w="1361" w:type="dxa"/>
          </w:tcPr>
          <w:p>
            <w:pPr>
              <w:pStyle w:val="0"/>
              <w:jc w:val="center"/>
            </w:pPr>
            <w:r>
              <w:rPr>
                <w:sz w:val="20"/>
              </w:rPr>
              <w:t xml:space="preserve">10154,9</w:t>
            </w:r>
          </w:p>
        </w:tc>
        <w:tc>
          <w:tcPr>
            <w:tcW w:w="1361" w:type="dxa"/>
          </w:tcPr>
          <w:p>
            <w:pPr>
              <w:pStyle w:val="0"/>
              <w:jc w:val="center"/>
            </w:pPr>
            <w:r>
              <w:rPr>
                <w:sz w:val="20"/>
              </w:rPr>
              <w:t xml:space="preserve">10469,7</w:t>
            </w:r>
          </w:p>
        </w:tc>
        <w:tc>
          <w:tcPr>
            <w:tcW w:w="1247" w:type="dxa"/>
          </w:tcPr>
          <w:p>
            <w:pPr>
              <w:pStyle w:val="0"/>
              <w:jc w:val="center"/>
            </w:pPr>
            <w:r>
              <w:rPr>
                <w:sz w:val="20"/>
              </w:rPr>
              <w:t xml:space="preserve">10773,4</w:t>
            </w:r>
          </w:p>
        </w:tc>
        <w:tc>
          <w:tcPr>
            <w:tcW w:w="1247" w:type="dxa"/>
          </w:tcPr>
          <w:p>
            <w:pPr>
              <w:pStyle w:val="0"/>
              <w:jc w:val="center"/>
            </w:pPr>
            <w:r>
              <w:rPr>
                <w:sz w:val="20"/>
              </w:rPr>
              <w:t xml:space="preserve">11075,0</w:t>
            </w:r>
          </w:p>
        </w:tc>
        <w:tc>
          <w:tcPr>
            <w:tcW w:w="1304" w:type="dxa"/>
          </w:tcPr>
          <w:p>
            <w:pPr>
              <w:pStyle w:val="0"/>
              <w:jc w:val="center"/>
            </w:pPr>
            <w:r>
              <w:rPr>
                <w:sz w:val="20"/>
              </w:rPr>
              <w:t xml:space="preserve">11385,1</w:t>
            </w:r>
          </w:p>
        </w:tc>
        <w:tc>
          <w:tcPr>
            <w:tcW w:w="1531" w:type="dxa"/>
          </w:tcPr>
          <w:p>
            <w:pPr>
              <w:pStyle w:val="0"/>
              <w:jc w:val="center"/>
            </w:pPr>
            <w:r>
              <w:rPr>
                <w:sz w:val="20"/>
              </w:rPr>
              <w:t xml:space="preserve">83293,4</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0,0</w:t>
            </w:r>
          </w:p>
        </w:tc>
        <w:tc>
          <w:tcPr>
            <w:tcW w:w="1361" w:type="dxa"/>
          </w:tcPr>
          <w:p>
            <w:pPr>
              <w:pStyle w:val="0"/>
              <w:jc w:val="center"/>
            </w:pPr>
            <w:r>
              <w:rPr>
                <w:sz w:val="20"/>
              </w:rPr>
              <w:t xml:space="preserve">9293,2</w:t>
            </w:r>
          </w:p>
        </w:tc>
        <w:tc>
          <w:tcPr>
            <w:tcW w:w="1474" w:type="dxa"/>
          </w:tcPr>
          <w:p>
            <w:pPr>
              <w:pStyle w:val="0"/>
              <w:jc w:val="center"/>
            </w:pPr>
            <w:r>
              <w:rPr>
                <w:sz w:val="20"/>
              </w:rPr>
              <w:t xml:space="preserve">9331,4</w:t>
            </w:r>
          </w:p>
        </w:tc>
        <w:tc>
          <w:tcPr>
            <w:tcW w:w="1417" w:type="dxa"/>
          </w:tcPr>
          <w:p>
            <w:pPr>
              <w:pStyle w:val="0"/>
              <w:jc w:val="center"/>
            </w:pPr>
            <w:r>
              <w:rPr>
                <w:sz w:val="20"/>
              </w:rPr>
              <w:t xml:space="preserve">9142,4</w:t>
            </w:r>
          </w:p>
        </w:tc>
        <w:tc>
          <w:tcPr>
            <w:tcW w:w="1361" w:type="dxa"/>
          </w:tcPr>
          <w:p>
            <w:pPr>
              <w:pStyle w:val="0"/>
              <w:jc w:val="center"/>
            </w:pPr>
            <w:r>
              <w:rPr>
                <w:sz w:val="20"/>
              </w:rPr>
              <w:t xml:space="preserve">9444,1</w:t>
            </w:r>
          </w:p>
        </w:tc>
        <w:tc>
          <w:tcPr>
            <w:tcW w:w="1361" w:type="dxa"/>
          </w:tcPr>
          <w:p>
            <w:pPr>
              <w:pStyle w:val="0"/>
              <w:jc w:val="center"/>
            </w:pPr>
            <w:r>
              <w:rPr>
                <w:sz w:val="20"/>
              </w:rPr>
              <w:t xml:space="preserve">9736,9</w:t>
            </w:r>
          </w:p>
        </w:tc>
        <w:tc>
          <w:tcPr>
            <w:tcW w:w="1247" w:type="dxa"/>
          </w:tcPr>
          <w:p>
            <w:pPr>
              <w:pStyle w:val="0"/>
              <w:jc w:val="center"/>
            </w:pPr>
            <w:r>
              <w:rPr>
                <w:sz w:val="20"/>
              </w:rPr>
              <w:t xml:space="preserve">10019,3</w:t>
            </w:r>
          </w:p>
        </w:tc>
        <w:tc>
          <w:tcPr>
            <w:tcW w:w="1247" w:type="dxa"/>
          </w:tcPr>
          <w:p>
            <w:pPr>
              <w:pStyle w:val="0"/>
              <w:jc w:val="center"/>
            </w:pPr>
            <w:r>
              <w:rPr>
                <w:sz w:val="20"/>
              </w:rPr>
              <w:t xml:space="preserve">10299,8</w:t>
            </w:r>
          </w:p>
        </w:tc>
        <w:tc>
          <w:tcPr>
            <w:tcW w:w="1304" w:type="dxa"/>
          </w:tcPr>
          <w:p>
            <w:pPr>
              <w:pStyle w:val="0"/>
              <w:jc w:val="center"/>
            </w:pPr>
            <w:r>
              <w:rPr>
                <w:sz w:val="20"/>
              </w:rPr>
              <w:t xml:space="preserve">10588,2</w:t>
            </w:r>
          </w:p>
        </w:tc>
        <w:tc>
          <w:tcPr>
            <w:tcW w:w="1531" w:type="dxa"/>
          </w:tcPr>
          <w:p>
            <w:pPr>
              <w:pStyle w:val="0"/>
              <w:jc w:val="center"/>
            </w:pPr>
            <w:r>
              <w:rPr>
                <w:sz w:val="20"/>
              </w:rPr>
              <w:t xml:space="preserve">77855,3</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489,1</w:t>
            </w:r>
          </w:p>
        </w:tc>
        <w:tc>
          <w:tcPr>
            <w:tcW w:w="1474" w:type="dxa"/>
          </w:tcPr>
          <w:p>
            <w:pPr>
              <w:pStyle w:val="0"/>
              <w:jc w:val="center"/>
            </w:pPr>
            <w:r>
              <w:rPr>
                <w:sz w:val="20"/>
              </w:rPr>
              <w:t xml:space="preserve">491,1</w:t>
            </w:r>
          </w:p>
        </w:tc>
        <w:tc>
          <w:tcPr>
            <w:tcW w:w="1417" w:type="dxa"/>
          </w:tcPr>
          <w:p>
            <w:pPr>
              <w:pStyle w:val="0"/>
              <w:jc w:val="center"/>
            </w:pPr>
            <w:r>
              <w:rPr>
                <w:sz w:val="20"/>
              </w:rPr>
              <w:t xml:space="preserve">688,1</w:t>
            </w:r>
          </w:p>
        </w:tc>
        <w:tc>
          <w:tcPr>
            <w:tcW w:w="1361" w:type="dxa"/>
          </w:tcPr>
          <w:p>
            <w:pPr>
              <w:pStyle w:val="0"/>
              <w:jc w:val="center"/>
            </w:pPr>
            <w:r>
              <w:rPr>
                <w:sz w:val="20"/>
              </w:rPr>
              <w:t xml:space="preserve">710,8</w:t>
            </w:r>
          </w:p>
        </w:tc>
        <w:tc>
          <w:tcPr>
            <w:tcW w:w="1361" w:type="dxa"/>
          </w:tcPr>
          <w:p>
            <w:pPr>
              <w:pStyle w:val="0"/>
              <w:jc w:val="center"/>
            </w:pPr>
            <w:r>
              <w:rPr>
                <w:sz w:val="20"/>
              </w:rPr>
              <w:t xml:space="preserve">732,8</w:t>
            </w:r>
          </w:p>
        </w:tc>
        <w:tc>
          <w:tcPr>
            <w:tcW w:w="1247" w:type="dxa"/>
          </w:tcPr>
          <w:p>
            <w:pPr>
              <w:pStyle w:val="0"/>
              <w:jc w:val="center"/>
            </w:pPr>
            <w:r>
              <w:rPr>
                <w:sz w:val="20"/>
              </w:rPr>
              <w:t xml:space="preserve">754,1</w:t>
            </w:r>
          </w:p>
        </w:tc>
        <w:tc>
          <w:tcPr>
            <w:tcW w:w="1247" w:type="dxa"/>
          </w:tcPr>
          <w:p>
            <w:pPr>
              <w:pStyle w:val="0"/>
              <w:jc w:val="center"/>
            </w:pPr>
            <w:r>
              <w:rPr>
                <w:sz w:val="20"/>
              </w:rPr>
              <w:t xml:space="preserve">775,2</w:t>
            </w:r>
          </w:p>
        </w:tc>
        <w:tc>
          <w:tcPr>
            <w:tcW w:w="1304" w:type="dxa"/>
          </w:tcPr>
          <w:p>
            <w:pPr>
              <w:pStyle w:val="0"/>
              <w:jc w:val="center"/>
            </w:pPr>
            <w:r>
              <w:rPr>
                <w:sz w:val="20"/>
              </w:rPr>
              <w:t xml:space="preserve">796,9</w:t>
            </w:r>
          </w:p>
        </w:tc>
        <w:tc>
          <w:tcPr>
            <w:tcW w:w="1531" w:type="dxa"/>
          </w:tcPr>
          <w:p>
            <w:pPr>
              <w:pStyle w:val="0"/>
              <w:jc w:val="center"/>
            </w:pPr>
            <w:r>
              <w:rPr>
                <w:sz w:val="20"/>
              </w:rPr>
              <w:t xml:space="preserve">5438,1</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Итого по </w:t>
            </w:r>
            <w:hyperlink w:history="0" w:anchor="P1229" w:tooltip="ПОДПРОГРАММА 3">
              <w:r>
                <w:rPr>
                  <w:sz w:val="20"/>
                  <w:color w:val="0000ff"/>
                </w:rPr>
                <w:t xml:space="preserve">подпрограмме 3</w:t>
              </w:r>
            </w:hyperlink>
          </w:p>
        </w:tc>
        <w:tc>
          <w:tcPr>
            <w:tcW w:w="2040" w:type="dxa"/>
            <w:vMerge w:val="restart"/>
          </w:tcPr>
          <w:p>
            <w:pPr>
              <w:pStyle w:val="0"/>
              <w:jc w:val="both"/>
            </w:pPr>
            <w:r>
              <w:rPr>
                <w:sz w:val="20"/>
              </w:rPr>
            </w:r>
          </w:p>
        </w:tc>
        <w:tc>
          <w:tcPr>
            <w:tcW w:w="1928" w:type="dxa"/>
            <w:vMerge w:val="restart"/>
          </w:tcPr>
          <w:p>
            <w:pPr>
              <w:pStyle w:val="0"/>
              <w:jc w:val="both"/>
            </w:pPr>
            <w:r>
              <w:rPr>
                <w:sz w:val="20"/>
              </w:rPr>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42699,9</w:t>
            </w:r>
          </w:p>
        </w:tc>
        <w:tc>
          <w:tcPr>
            <w:tcW w:w="1361" w:type="dxa"/>
          </w:tcPr>
          <w:p>
            <w:pPr>
              <w:pStyle w:val="0"/>
              <w:jc w:val="center"/>
            </w:pPr>
            <w:r>
              <w:rPr>
                <w:sz w:val="20"/>
              </w:rPr>
              <w:t xml:space="preserve">9782,3</w:t>
            </w:r>
          </w:p>
        </w:tc>
        <w:tc>
          <w:tcPr>
            <w:tcW w:w="1474" w:type="dxa"/>
          </w:tcPr>
          <w:p>
            <w:pPr>
              <w:pStyle w:val="0"/>
              <w:jc w:val="center"/>
            </w:pPr>
            <w:r>
              <w:rPr>
                <w:sz w:val="20"/>
              </w:rPr>
              <w:t xml:space="preserve">9822,5</w:t>
            </w:r>
          </w:p>
        </w:tc>
        <w:tc>
          <w:tcPr>
            <w:tcW w:w="1417" w:type="dxa"/>
          </w:tcPr>
          <w:p>
            <w:pPr>
              <w:pStyle w:val="0"/>
              <w:jc w:val="center"/>
            </w:pPr>
            <w:r>
              <w:rPr>
                <w:sz w:val="20"/>
              </w:rPr>
              <w:t xml:space="preserve">9830,5</w:t>
            </w:r>
          </w:p>
        </w:tc>
        <w:tc>
          <w:tcPr>
            <w:tcW w:w="1361" w:type="dxa"/>
          </w:tcPr>
          <w:p>
            <w:pPr>
              <w:pStyle w:val="0"/>
              <w:jc w:val="center"/>
            </w:pPr>
            <w:r>
              <w:rPr>
                <w:sz w:val="20"/>
              </w:rPr>
              <w:t xml:space="preserve">10154,9</w:t>
            </w:r>
          </w:p>
        </w:tc>
        <w:tc>
          <w:tcPr>
            <w:tcW w:w="1361" w:type="dxa"/>
          </w:tcPr>
          <w:p>
            <w:pPr>
              <w:pStyle w:val="0"/>
              <w:jc w:val="center"/>
            </w:pPr>
            <w:r>
              <w:rPr>
                <w:sz w:val="20"/>
              </w:rPr>
              <w:t xml:space="preserve">10469,7</w:t>
            </w:r>
          </w:p>
        </w:tc>
        <w:tc>
          <w:tcPr>
            <w:tcW w:w="1247" w:type="dxa"/>
          </w:tcPr>
          <w:p>
            <w:pPr>
              <w:pStyle w:val="0"/>
              <w:jc w:val="center"/>
            </w:pPr>
            <w:r>
              <w:rPr>
                <w:sz w:val="20"/>
              </w:rPr>
              <w:t xml:space="preserve">10773,4</w:t>
            </w:r>
          </w:p>
        </w:tc>
        <w:tc>
          <w:tcPr>
            <w:tcW w:w="1247" w:type="dxa"/>
          </w:tcPr>
          <w:p>
            <w:pPr>
              <w:pStyle w:val="0"/>
              <w:jc w:val="center"/>
            </w:pPr>
            <w:r>
              <w:rPr>
                <w:sz w:val="20"/>
              </w:rPr>
              <w:t xml:space="preserve">11075,0</w:t>
            </w:r>
          </w:p>
        </w:tc>
        <w:tc>
          <w:tcPr>
            <w:tcW w:w="1304" w:type="dxa"/>
          </w:tcPr>
          <w:p>
            <w:pPr>
              <w:pStyle w:val="0"/>
              <w:jc w:val="center"/>
            </w:pPr>
            <w:r>
              <w:rPr>
                <w:sz w:val="20"/>
              </w:rPr>
              <w:t xml:space="preserve">11385,1</w:t>
            </w:r>
          </w:p>
        </w:tc>
        <w:tc>
          <w:tcPr>
            <w:tcW w:w="1531" w:type="dxa"/>
          </w:tcPr>
          <w:p>
            <w:pPr>
              <w:pStyle w:val="0"/>
              <w:jc w:val="center"/>
            </w:pPr>
            <w:r>
              <w:rPr>
                <w:sz w:val="20"/>
              </w:rPr>
              <w:t xml:space="preserve">125993,3</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42699,9</w:t>
            </w:r>
          </w:p>
        </w:tc>
        <w:tc>
          <w:tcPr>
            <w:tcW w:w="1361" w:type="dxa"/>
          </w:tcPr>
          <w:p>
            <w:pPr>
              <w:pStyle w:val="0"/>
              <w:jc w:val="center"/>
            </w:pPr>
            <w:r>
              <w:rPr>
                <w:sz w:val="20"/>
              </w:rPr>
              <w:t xml:space="preserve">9293,2</w:t>
            </w:r>
          </w:p>
        </w:tc>
        <w:tc>
          <w:tcPr>
            <w:tcW w:w="1474" w:type="dxa"/>
          </w:tcPr>
          <w:p>
            <w:pPr>
              <w:pStyle w:val="0"/>
              <w:jc w:val="center"/>
            </w:pPr>
            <w:r>
              <w:rPr>
                <w:sz w:val="20"/>
              </w:rPr>
              <w:t xml:space="preserve">9331,4</w:t>
            </w:r>
          </w:p>
        </w:tc>
        <w:tc>
          <w:tcPr>
            <w:tcW w:w="1417" w:type="dxa"/>
          </w:tcPr>
          <w:p>
            <w:pPr>
              <w:pStyle w:val="0"/>
              <w:jc w:val="center"/>
            </w:pPr>
            <w:r>
              <w:rPr>
                <w:sz w:val="20"/>
              </w:rPr>
              <w:t xml:space="preserve">9142,4</w:t>
            </w:r>
          </w:p>
        </w:tc>
        <w:tc>
          <w:tcPr>
            <w:tcW w:w="1361" w:type="dxa"/>
          </w:tcPr>
          <w:p>
            <w:pPr>
              <w:pStyle w:val="0"/>
              <w:jc w:val="center"/>
            </w:pPr>
            <w:r>
              <w:rPr>
                <w:sz w:val="20"/>
              </w:rPr>
              <w:t xml:space="preserve">9444,1</w:t>
            </w:r>
          </w:p>
        </w:tc>
        <w:tc>
          <w:tcPr>
            <w:tcW w:w="1361" w:type="dxa"/>
          </w:tcPr>
          <w:p>
            <w:pPr>
              <w:pStyle w:val="0"/>
              <w:jc w:val="center"/>
            </w:pPr>
            <w:r>
              <w:rPr>
                <w:sz w:val="20"/>
              </w:rPr>
              <w:t xml:space="preserve">9736,9</w:t>
            </w:r>
          </w:p>
        </w:tc>
        <w:tc>
          <w:tcPr>
            <w:tcW w:w="1247" w:type="dxa"/>
          </w:tcPr>
          <w:p>
            <w:pPr>
              <w:pStyle w:val="0"/>
              <w:jc w:val="center"/>
            </w:pPr>
            <w:r>
              <w:rPr>
                <w:sz w:val="20"/>
              </w:rPr>
              <w:t xml:space="preserve">10019,3</w:t>
            </w:r>
          </w:p>
        </w:tc>
        <w:tc>
          <w:tcPr>
            <w:tcW w:w="1247" w:type="dxa"/>
          </w:tcPr>
          <w:p>
            <w:pPr>
              <w:pStyle w:val="0"/>
              <w:jc w:val="center"/>
            </w:pPr>
            <w:r>
              <w:rPr>
                <w:sz w:val="20"/>
              </w:rPr>
              <w:t xml:space="preserve">10299,8</w:t>
            </w:r>
          </w:p>
        </w:tc>
        <w:tc>
          <w:tcPr>
            <w:tcW w:w="1304" w:type="dxa"/>
          </w:tcPr>
          <w:p>
            <w:pPr>
              <w:pStyle w:val="0"/>
              <w:jc w:val="center"/>
            </w:pPr>
            <w:r>
              <w:rPr>
                <w:sz w:val="20"/>
              </w:rPr>
              <w:t xml:space="preserve">10588,2</w:t>
            </w:r>
          </w:p>
        </w:tc>
        <w:tc>
          <w:tcPr>
            <w:tcW w:w="1531" w:type="dxa"/>
          </w:tcPr>
          <w:p>
            <w:pPr>
              <w:pStyle w:val="0"/>
              <w:jc w:val="center"/>
            </w:pPr>
            <w:r>
              <w:rPr>
                <w:sz w:val="20"/>
              </w:rPr>
              <w:t xml:space="preserve">120555,2</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489,1</w:t>
            </w:r>
          </w:p>
        </w:tc>
        <w:tc>
          <w:tcPr>
            <w:tcW w:w="1474" w:type="dxa"/>
          </w:tcPr>
          <w:p>
            <w:pPr>
              <w:pStyle w:val="0"/>
              <w:jc w:val="center"/>
            </w:pPr>
            <w:r>
              <w:rPr>
                <w:sz w:val="20"/>
              </w:rPr>
              <w:t xml:space="preserve">491,1</w:t>
            </w:r>
          </w:p>
        </w:tc>
        <w:tc>
          <w:tcPr>
            <w:tcW w:w="1417" w:type="dxa"/>
          </w:tcPr>
          <w:p>
            <w:pPr>
              <w:pStyle w:val="0"/>
              <w:jc w:val="center"/>
            </w:pPr>
            <w:r>
              <w:rPr>
                <w:sz w:val="20"/>
              </w:rPr>
              <w:t xml:space="preserve">688,1</w:t>
            </w:r>
          </w:p>
        </w:tc>
        <w:tc>
          <w:tcPr>
            <w:tcW w:w="1361" w:type="dxa"/>
          </w:tcPr>
          <w:p>
            <w:pPr>
              <w:pStyle w:val="0"/>
              <w:jc w:val="center"/>
            </w:pPr>
            <w:r>
              <w:rPr>
                <w:sz w:val="20"/>
              </w:rPr>
              <w:t xml:space="preserve">710,8</w:t>
            </w:r>
          </w:p>
        </w:tc>
        <w:tc>
          <w:tcPr>
            <w:tcW w:w="1361" w:type="dxa"/>
          </w:tcPr>
          <w:p>
            <w:pPr>
              <w:pStyle w:val="0"/>
              <w:jc w:val="center"/>
            </w:pPr>
            <w:r>
              <w:rPr>
                <w:sz w:val="20"/>
              </w:rPr>
              <w:t xml:space="preserve">732,8</w:t>
            </w:r>
          </w:p>
        </w:tc>
        <w:tc>
          <w:tcPr>
            <w:tcW w:w="1247" w:type="dxa"/>
          </w:tcPr>
          <w:p>
            <w:pPr>
              <w:pStyle w:val="0"/>
              <w:jc w:val="center"/>
            </w:pPr>
            <w:r>
              <w:rPr>
                <w:sz w:val="20"/>
              </w:rPr>
              <w:t xml:space="preserve">754,1</w:t>
            </w:r>
          </w:p>
        </w:tc>
        <w:tc>
          <w:tcPr>
            <w:tcW w:w="1247" w:type="dxa"/>
          </w:tcPr>
          <w:p>
            <w:pPr>
              <w:pStyle w:val="0"/>
              <w:jc w:val="center"/>
            </w:pPr>
            <w:r>
              <w:rPr>
                <w:sz w:val="20"/>
              </w:rPr>
              <w:t xml:space="preserve">775,2</w:t>
            </w:r>
          </w:p>
        </w:tc>
        <w:tc>
          <w:tcPr>
            <w:tcW w:w="1304" w:type="dxa"/>
          </w:tcPr>
          <w:p>
            <w:pPr>
              <w:pStyle w:val="0"/>
              <w:jc w:val="center"/>
            </w:pPr>
            <w:r>
              <w:rPr>
                <w:sz w:val="20"/>
              </w:rPr>
              <w:t xml:space="preserve">796,9</w:t>
            </w:r>
          </w:p>
        </w:tc>
        <w:tc>
          <w:tcPr>
            <w:tcW w:w="1531" w:type="dxa"/>
          </w:tcPr>
          <w:p>
            <w:pPr>
              <w:pStyle w:val="0"/>
              <w:jc w:val="center"/>
            </w:pPr>
            <w:r>
              <w:rPr>
                <w:sz w:val="20"/>
              </w:rPr>
              <w:t xml:space="preserve">5438,1</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gridSpan w:val="14"/>
            <w:tcW w:w="22621" w:type="dxa"/>
          </w:tcPr>
          <w:p>
            <w:pPr>
              <w:pStyle w:val="0"/>
              <w:outlineLvl w:val="2"/>
              <w:jc w:val="center"/>
            </w:pPr>
            <w:r>
              <w:rPr>
                <w:sz w:val="20"/>
              </w:rPr>
              <w:t xml:space="preserve">Подпрограмма 4 "Развитие медицинской реабилитации"</w:t>
            </w:r>
          </w:p>
        </w:tc>
      </w:tr>
      <w:tr>
        <w:tc>
          <w:tcPr>
            <w:tcW w:w="2778" w:type="dxa"/>
            <w:tcBorders>
              <w:bottom w:val="nil"/>
            </w:tcBorders>
            <w:vMerge w:val="restart"/>
          </w:tcPr>
          <w:p>
            <w:pPr>
              <w:pStyle w:val="0"/>
              <w:jc w:val="both"/>
            </w:pPr>
            <w:r>
              <w:rPr>
                <w:sz w:val="20"/>
              </w:rPr>
              <w:t xml:space="preserve">4.1. 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w:t>
            </w:r>
          </w:p>
        </w:tc>
        <w:tc>
          <w:tcPr>
            <w:tcW w:w="2040" w:type="dxa"/>
            <w:tcBorders>
              <w:bottom w:val="nil"/>
            </w:tcBorders>
            <w:vMerge w:val="restart"/>
          </w:tcPr>
          <w:p>
            <w:pPr>
              <w:pStyle w:val="0"/>
              <w:jc w:val="both"/>
            </w:pPr>
            <w:r>
              <w:rPr>
                <w:sz w:val="20"/>
              </w:rPr>
              <w:t xml:space="preserve">Государственная </w:t>
            </w:r>
            <w:hyperlink w:history="0" r:id="rId575"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72380,8</w:t>
            </w:r>
          </w:p>
        </w:tc>
        <w:tc>
          <w:tcPr>
            <w:tcW w:w="1361" w:type="dxa"/>
          </w:tcPr>
          <w:p>
            <w:pPr>
              <w:pStyle w:val="0"/>
              <w:jc w:val="center"/>
            </w:pPr>
            <w:r>
              <w:rPr>
                <w:sz w:val="20"/>
              </w:rPr>
              <w:t xml:space="preserve">116526,9</w:t>
            </w:r>
          </w:p>
        </w:tc>
        <w:tc>
          <w:tcPr>
            <w:tcW w:w="1474" w:type="dxa"/>
          </w:tcPr>
          <w:p>
            <w:pPr>
              <w:pStyle w:val="0"/>
              <w:jc w:val="center"/>
            </w:pPr>
            <w:r>
              <w:rPr>
                <w:sz w:val="20"/>
              </w:rPr>
              <w:t xml:space="preserve">144218,1</w:t>
            </w:r>
          </w:p>
        </w:tc>
        <w:tc>
          <w:tcPr>
            <w:tcW w:w="1417" w:type="dxa"/>
          </w:tcPr>
          <w:p>
            <w:pPr>
              <w:pStyle w:val="0"/>
              <w:jc w:val="center"/>
            </w:pPr>
            <w:r>
              <w:rPr>
                <w:sz w:val="20"/>
              </w:rPr>
              <w:t xml:space="preserve">144222,0</w:t>
            </w:r>
          </w:p>
        </w:tc>
        <w:tc>
          <w:tcPr>
            <w:tcW w:w="1361" w:type="dxa"/>
          </w:tcPr>
          <w:p>
            <w:pPr>
              <w:pStyle w:val="0"/>
              <w:jc w:val="center"/>
            </w:pPr>
            <w:r>
              <w:rPr>
                <w:sz w:val="20"/>
              </w:rPr>
              <w:t xml:space="preserve">148981,4</w:t>
            </w:r>
          </w:p>
        </w:tc>
        <w:tc>
          <w:tcPr>
            <w:tcW w:w="1361" w:type="dxa"/>
          </w:tcPr>
          <w:p>
            <w:pPr>
              <w:pStyle w:val="0"/>
              <w:jc w:val="center"/>
            </w:pPr>
            <w:r>
              <w:rPr>
                <w:sz w:val="20"/>
              </w:rPr>
              <w:t xml:space="preserve">153599,8</w:t>
            </w:r>
          </w:p>
        </w:tc>
        <w:tc>
          <w:tcPr>
            <w:tcW w:w="1247" w:type="dxa"/>
          </w:tcPr>
          <w:p>
            <w:pPr>
              <w:pStyle w:val="0"/>
              <w:jc w:val="center"/>
            </w:pPr>
            <w:r>
              <w:rPr>
                <w:sz w:val="20"/>
              </w:rPr>
              <w:t xml:space="preserve">158054,2</w:t>
            </w:r>
          </w:p>
        </w:tc>
        <w:tc>
          <w:tcPr>
            <w:tcW w:w="1247" w:type="dxa"/>
          </w:tcPr>
          <w:p>
            <w:pPr>
              <w:pStyle w:val="0"/>
              <w:jc w:val="center"/>
            </w:pPr>
            <w:r>
              <w:rPr>
                <w:sz w:val="20"/>
              </w:rPr>
              <w:t xml:space="preserve">162479,7</w:t>
            </w:r>
          </w:p>
        </w:tc>
        <w:tc>
          <w:tcPr>
            <w:tcW w:w="1304" w:type="dxa"/>
          </w:tcPr>
          <w:p>
            <w:pPr>
              <w:pStyle w:val="0"/>
              <w:jc w:val="center"/>
            </w:pPr>
            <w:r>
              <w:rPr>
                <w:sz w:val="20"/>
              </w:rPr>
              <w:t xml:space="preserve">167029,2</w:t>
            </w:r>
          </w:p>
        </w:tc>
        <w:tc>
          <w:tcPr>
            <w:tcW w:w="1531" w:type="dxa"/>
          </w:tcPr>
          <w:p>
            <w:pPr>
              <w:pStyle w:val="0"/>
              <w:jc w:val="center"/>
            </w:pPr>
            <w:r>
              <w:rPr>
                <w:sz w:val="20"/>
              </w:rPr>
              <w:t xml:space="preserve">1267492,1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68761,8</w:t>
            </w:r>
          </w:p>
        </w:tc>
        <w:tc>
          <w:tcPr>
            <w:tcW w:w="1361" w:type="dxa"/>
          </w:tcPr>
          <w:p>
            <w:pPr>
              <w:pStyle w:val="0"/>
              <w:jc w:val="center"/>
            </w:pPr>
            <w:r>
              <w:rPr>
                <w:sz w:val="20"/>
              </w:rPr>
              <w:t xml:space="preserve">110700,5</w:t>
            </w:r>
          </w:p>
        </w:tc>
        <w:tc>
          <w:tcPr>
            <w:tcW w:w="1474" w:type="dxa"/>
          </w:tcPr>
          <w:p>
            <w:pPr>
              <w:pStyle w:val="0"/>
              <w:jc w:val="center"/>
            </w:pPr>
            <w:r>
              <w:rPr>
                <w:sz w:val="20"/>
              </w:rPr>
              <w:t xml:space="preserve">137007,2</w:t>
            </w:r>
          </w:p>
        </w:tc>
        <w:tc>
          <w:tcPr>
            <w:tcW w:w="1417" w:type="dxa"/>
          </w:tcPr>
          <w:p>
            <w:pPr>
              <w:pStyle w:val="0"/>
              <w:jc w:val="center"/>
            </w:pPr>
            <w:r>
              <w:rPr>
                <w:sz w:val="20"/>
              </w:rPr>
              <w:t xml:space="preserve">134126,5</w:t>
            </w:r>
          </w:p>
        </w:tc>
        <w:tc>
          <w:tcPr>
            <w:tcW w:w="1361" w:type="dxa"/>
          </w:tcPr>
          <w:p>
            <w:pPr>
              <w:pStyle w:val="0"/>
              <w:jc w:val="center"/>
            </w:pPr>
            <w:r>
              <w:rPr>
                <w:sz w:val="20"/>
              </w:rPr>
              <w:t xml:space="preserve">138552,7</w:t>
            </w:r>
          </w:p>
        </w:tc>
        <w:tc>
          <w:tcPr>
            <w:tcW w:w="1361" w:type="dxa"/>
          </w:tcPr>
          <w:p>
            <w:pPr>
              <w:pStyle w:val="0"/>
              <w:jc w:val="center"/>
            </w:pPr>
            <w:r>
              <w:rPr>
                <w:sz w:val="20"/>
              </w:rPr>
              <w:t xml:space="preserve">142847,8</w:t>
            </w:r>
          </w:p>
        </w:tc>
        <w:tc>
          <w:tcPr>
            <w:tcW w:w="1247" w:type="dxa"/>
          </w:tcPr>
          <w:p>
            <w:pPr>
              <w:pStyle w:val="0"/>
              <w:jc w:val="center"/>
            </w:pPr>
            <w:r>
              <w:rPr>
                <w:sz w:val="20"/>
              </w:rPr>
              <w:t xml:space="preserve">146990,4</w:t>
            </w:r>
          </w:p>
        </w:tc>
        <w:tc>
          <w:tcPr>
            <w:tcW w:w="1247" w:type="dxa"/>
          </w:tcPr>
          <w:p>
            <w:pPr>
              <w:pStyle w:val="0"/>
              <w:jc w:val="center"/>
            </w:pPr>
            <w:r>
              <w:rPr>
                <w:sz w:val="20"/>
              </w:rPr>
              <w:t xml:space="preserve">151106,1</w:t>
            </w:r>
          </w:p>
        </w:tc>
        <w:tc>
          <w:tcPr>
            <w:tcW w:w="1304" w:type="dxa"/>
          </w:tcPr>
          <w:p>
            <w:pPr>
              <w:pStyle w:val="0"/>
              <w:jc w:val="center"/>
            </w:pPr>
            <w:r>
              <w:rPr>
                <w:sz w:val="20"/>
              </w:rPr>
              <w:t xml:space="preserve">155337,1</w:t>
            </w:r>
          </w:p>
        </w:tc>
        <w:tc>
          <w:tcPr>
            <w:tcW w:w="1531" w:type="dxa"/>
          </w:tcPr>
          <w:p>
            <w:pPr>
              <w:pStyle w:val="0"/>
              <w:jc w:val="center"/>
            </w:pPr>
            <w:r>
              <w:rPr>
                <w:sz w:val="20"/>
              </w:rPr>
              <w:t xml:space="preserve">1185430,1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3619,0</w:t>
            </w:r>
          </w:p>
        </w:tc>
        <w:tc>
          <w:tcPr>
            <w:tcW w:w="1361" w:type="dxa"/>
          </w:tcPr>
          <w:p>
            <w:pPr>
              <w:pStyle w:val="0"/>
              <w:jc w:val="center"/>
            </w:pPr>
            <w:r>
              <w:rPr>
                <w:sz w:val="20"/>
              </w:rPr>
              <w:t xml:space="preserve">5826,4</w:t>
            </w:r>
          </w:p>
        </w:tc>
        <w:tc>
          <w:tcPr>
            <w:tcW w:w="1474" w:type="dxa"/>
          </w:tcPr>
          <w:p>
            <w:pPr>
              <w:pStyle w:val="0"/>
              <w:jc w:val="center"/>
            </w:pPr>
            <w:r>
              <w:rPr>
                <w:sz w:val="20"/>
              </w:rPr>
              <w:t xml:space="preserve">7210,9</w:t>
            </w:r>
          </w:p>
        </w:tc>
        <w:tc>
          <w:tcPr>
            <w:tcW w:w="1417" w:type="dxa"/>
          </w:tcPr>
          <w:p>
            <w:pPr>
              <w:pStyle w:val="0"/>
              <w:jc w:val="center"/>
            </w:pPr>
            <w:r>
              <w:rPr>
                <w:sz w:val="20"/>
              </w:rPr>
              <w:t xml:space="preserve">10095,5</w:t>
            </w:r>
          </w:p>
        </w:tc>
        <w:tc>
          <w:tcPr>
            <w:tcW w:w="1361" w:type="dxa"/>
          </w:tcPr>
          <w:p>
            <w:pPr>
              <w:pStyle w:val="0"/>
              <w:jc w:val="center"/>
            </w:pPr>
            <w:r>
              <w:rPr>
                <w:sz w:val="20"/>
              </w:rPr>
              <w:t xml:space="preserve">10428,7</w:t>
            </w:r>
          </w:p>
        </w:tc>
        <w:tc>
          <w:tcPr>
            <w:tcW w:w="1361" w:type="dxa"/>
          </w:tcPr>
          <w:p>
            <w:pPr>
              <w:pStyle w:val="0"/>
              <w:jc w:val="center"/>
            </w:pPr>
            <w:r>
              <w:rPr>
                <w:sz w:val="20"/>
              </w:rPr>
              <w:t xml:space="preserve">10752,0</w:t>
            </w:r>
          </w:p>
        </w:tc>
        <w:tc>
          <w:tcPr>
            <w:tcW w:w="1247" w:type="dxa"/>
          </w:tcPr>
          <w:p>
            <w:pPr>
              <w:pStyle w:val="0"/>
              <w:jc w:val="center"/>
            </w:pPr>
            <w:r>
              <w:rPr>
                <w:sz w:val="20"/>
              </w:rPr>
              <w:t xml:space="preserve">11063,8</w:t>
            </w:r>
          </w:p>
        </w:tc>
        <w:tc>
          <w:tcPr>
            <w:tcW w:w="1247" w:type="dxa"/>
          </w:tcPr>
          <w:p>
            <w:pPr>
              <w:pStyle w:val="0"/>
              <w:jc w:val="center"/>
            </w:pPr>
            <w:r>
              <w:rPr>
                <w:sz w:val="20"/>
              </w:rPr>
              <w:t xml:space="preserve">11373,6</w:t>
            </w:r>
          </w:p>
        </w:tc>
        <w:tc>
          <w:tcPr>
            <w:tcW w:w="1304" w:type="dxa"/>
          </w:tcPr>
          <w:p>
            <w:pPr>
              <w:pStyle w:val="0"/>
              <w:jc w:val="center"/>
            </w:pPr>
            <w:r>
              <w:rPr>
                <w:sz w:val="20"/>
              </w:rPr>
              <w:t xml:space="preserve">11692,1</w:t>
            </w:r>
          </w:p>
        </w:tc>
        <w:tc>
          <w:tcPr>
            <w:tcW w:w="1531" w:type="dxa"/>
          </w:tcPr>
          <w:p>
            <w:pPr>
              <w:pStyle w:val="0"/>
              <w:jc w:val="center"/>
            </w:pPr>
            <w:r>
              <w:rPr>
                <w:sz w:val="20"/>
              </w:rPr>
              <w:t xml:space="preserve">82062,0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7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2778" w:type="dxa"/>
            <w:tcBorders>
              <w:bottom w:val="nil"/>
            </w:tcBorders>
            <w:vMerge w:val="restart"/>
          </w:tcPr>
          <w:p>
            <w:pPr>
              <w:pStyle w:val="0"/>
              <w:jc w:val="both"/>
            </w:pPr>
            <w:r>
              <w:rPr>
                <w:sz w:val="20"/>
              </w:rPr>
              <w:t xml:space="preserve">Итого по </w:t>
            </w:r>
            <w:hyperlink w:history="0" w:anchor="P1487" w:tooltip="ПОДПРОГРАММА 4">
              <w:r>
                <w:rPr>
                  <w:sz w:val="20"/>
                  <w:color w:val="0000ff"/>
                </w:rPr>
                <w:t xml:space="preserve">подпрограмме 4</w:t>
              </w:r>
            </w:hyperlink>
          </w:p>
        </w:tc>
        <w:tc>
          <w:tcPr>
            <w:tcW w:w="2040" w:type="dxa"/>
            <w:tcBorders>
              <w:bottom w:val="nil"/>
            </w:tcBorders>
            <w:vMerge w:val="restart"/>
          </w:tcPr>
          <w:p>
            <w:pPr>
              <w:pStyle w:val="0"/>
              <w:jc w:val="both"/>
            </w:pPr>
            <w:r>
              <w:rPr>
                <w:sz w:val="20"/>
              </w:rPr>
            </w:r>
          </w:p>
        </w:tc>
        <w:tc>
          <w:tcPr>
            <w:tcW w:w="1928" w:type="dxa"/>
            <w:tcBorders>
              <w:bottom w:val="nil"/>
            </w:tcBorders>
            <w:vMerge w:val="restart"/>
          </w:tcPr>
          <w:p>
            <w:pPr>
              <w:pStyle w:val="0"/>
              <w:jc w:val="both"/>
            </w:pPr>
            <w:r>
              <w:rPr>
                <w:sz w:val="20"/>
              </w:rPr>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72380,8</w:t>
            </w:r>
          </w:p>
        </w:tc>
        <w:tc>
          <w:tcPr>
            <w:tcW w:w="1361" w:type="dxa"/>
          </w:tcPr>
          <w:p>
            <w:pPr>
              <w:pStyle w:val="0"/>
              <w:jc w:val="center"/>
            </w:pPr>
            <w:r>
              <w:rPr>
                <w:sz w:val="20"/>
              </w:rPr>
              <w:t xml:space="preserve">116526,9</w:t>
            </w:r>
          </w:p>
        </w:tc>
        <w:tc>
          <w:tcPr>
            <w:tcW w:w="1474" w:type="dxa"/>
          </w:tcPr>
          <w:p>
            <w:pPr>
              <w:pStyle w:val="0"/>
              <w:jc w:val="center"/>
            </w:pPr>
            <w:r>
              <w:rPr>
                <w:sz w:val="20"/>
              </w:rPr>
              <w:t xml:space="preserve">144218,1</w:t>
            </w:r>
          </w:p>
        </w:tc>
        <w:tc>
          <w:tcPr>
            <w:tcW w:w="1417" w:type="dxa"/>
          </w:tcPr>
          <w:p>
            <w:pPr>
              <w:pStyle w:val="0"/>
              <w:jc w:val="center"/>
            </w:pPr>
            <w:r>
              <w:rPr>
                <w:sz w:val="20"/>
              </w:rPr>
              <w:t xml:space="preserve">144222,0</w:t>
            </w:r>
          </w:p>
        </w:tc>
        <w:tc>
          <w:tcPr>
            <w:tcW w:w="1361" w:type="dxa"/>
          </w:tcPr>
          <w:p>
            <w:pPr>
              <w:pStyle w:val="0"/>
              <w:jc w:val="center"/>
            </w:pPr>
            <w:r>
              <w:rPr>
                <w:sz w:val="20"/>
              </w:rPr>
              <w:t xml:space="preserve">148981,4</w:t>
            </w:r>
          </w:p>
        </w:tc>
        <w:tc>
          <w:tcPr>
            <w:tcW w:w="1361" w:type="dxa"/>
          </w:tcPr>
          <w:p>
            <w:pPr>
              <w:pStyle w:val="0"/>
              <w:jc w:val="center"/>
            </w:pPr>
            <w:r>
              <w:rPr>
                <w:sz w:val="20"/>
              </w:rPr>
              <w:t xml:space="preserve">153599,8</w:t>
            </w:r>
          </w:p>
        </w:tc>
        <w:tc>
          <w:tcPr>
            <w:tcW w:w="1247" w:type="dxa"/>
          </w:tcPr>
          <w:p>
            <w:pPr>
              <w:pStyle w:val="0"/>
              <w:jc w:val="center"/>
            </w:pPr>
            <w:r>
              <w:rPr>
                <w:sz w:val="20"/>
              </w:rPr>
              <w:t xml:space="preserve">158054,2</w:t>
            </w:r>
          </w:p>
        </w:tc>
        <w:tc>
          <w:tcPr>
            <w:tcW w:w="1247" w:type="dxa"/>
          </w:tcPr>
          <w:p>
            <w:pPr>
              <w:pStyle w:val="0"/>
              <w:jc w:val="center"/>
            </w:pPr>
            <w:r>
              <w:rPr>
                <w:sz w:val="20"/>
              </w:rPr>
              <w:t xml:space="preserve">162479,7</w:t>
            </w:r>
          </w:p>
        </w:tc>
        <w:tc>
          <w:tcPr>
            <w:tcW w:w="1304" w:type="dxa"/>
          </w:tcPr>
          <w:p>
            <w:pPr>
              <w:pStyle w:val="0"/>
              <w:jc w:val="center"/>
            </w:pPr>
            <w:r>
              <w:rPr>
                <w:sz w:val="20"/>
              </w:rPr>
              <w:t xml:space="preserve">167029,2</w:t>
            </w:r>
          </w:p>
        </w:tc>
        <w:tc>
          <w:tcPr>
            <w:tcW w:w="1531" w:type="dxa"/>
          </w:tcPr>
          <w:p>
            <w:pPr>
              <w:pStyle w:val="0"/>
              <w:jc w:val="center"/>
            </w:pPr>
            <w:r>
              <w:rPr>
                <w:sz w:val="20"/>
              </w:rPr>
              <w:t xml:space="preserve">1267492,1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68761,8</w:t>
            </w:r>
          </w:p>
        </w:tc>
        <w:tc>
          <w:tcPr>
            <w:tcW w:w="1361" w:type="dxa"/>
          </w:tcPr>
          <w:p>
            <w:pPr>
              <w:pStyle w:val="0"/>
              <w:jc w:val="center"/>
            </w:pPr>
            <w:r>
              <w:rPr>
                <w:sz w:val="20"/>
              </w:rPr>
              <w:t xml:space="preserve">110700,5</w:t>
            </w:r>
          </w:p>
        </w:tc>
        <w:tc>
          <w:tcPr>
            <w:tcW w:w="1474" w:type="dxa"/>
          </w:tcPr>
          <w:p>
            <w:pPr>
              <w:pStyle w:val="0"/>
              <w:jc w:val="center"/>
            </w:pPr>
            <w:r>
              <w:rPr>
                <w:sz w:val="20"/>
              </w:rPr>
              <w:t xml:space="preserve">137007,2</w:t>
            </w:r>
          </w:p>
        </w:tc>
        <w:tc>
          <w:tcPr>
            <w:tcW w:w="1417" w:type="dxa"/>
          </w:tcPr>
          <w:p>
            <w:pPr>
              <w:pStyle w:val="0"/>
              <w:jc w:val="center"/>
            </w:pPr>
            <w:r>
              <w:rPr>
                <w:sz w:val="20"/>
              </w:rPr>
              <w:t xml:space="preserve">134126,5</w:t>
            </w:r>
          </w:p>
        </w:tc>
        <w:tc>
          <w:tcPr>
            <w:tcW w:w="1361" w:type="dxa"/>
          </w:tcPr>
          <w:p>
            <w:pPr>
              <w:pStyle w:val="0"/>
              <w:jc w:val="center"/>
            </w:pPr>
            <w:r>
              <w:rPr>
                <w:sz w:val="20"/>
              </w:rPr>
              <w:t xml:space="preserve">138552,7</w:t>
            </w:r>
          </w:p>
        </w:tc>
        <w:tc>
          <w:tcPr>
            <w:tcW w:w="1361" w:type="dxa"/>
          </w:tcPr>
          <w:p>
            <w:pPr>
              <w:pStyle w:val="0"/>
              <w:jc w:val="center"/>
            </w:pPr>
            <w:r>
              <w:rPr>
                <w:sz w:val="20"/>
              </w:rPr>
              <w:t xml:space="preserve">142847,8</w:t>
            </w:r>
          </w:p>
        </w:tc>
        <w:tc>
          <w:tcPr>
            <w:tcW w:w="1247" w:type="dxa"/>
          </w:tcPr>
          <w:p>
            <w:pPr>
              <w:pStyle w:val="0"/>
              <w:jc w:val="center"/>
            </w:pPr>
            <w:r>
              <w:rPr>
                <w:sz w:val="20"/>
              </w:rPr>
              <w:t xml:space="preserve">146990,4</w:t>
            </w:r>
          </w:p>
        </w:tc>
        <w:tc>
          <w:tcPr>
            <w:tcW w:w="1247" w:type="dxa"/>
          </w:tcPr>
          <w:p>
            <w:pPr>
              <w:pStyle w:val="0"/>
              <w:jc w:val="center"/>
            </w:pPr>
            <w:r>
              <w:rPr>
                <w:sz w:val="20"/>
              </w:rPr>
              <w:t xml:space="preserve">151106,1</w:t>
            </w:r>
          </w:p>
        </w:tc>
        <w:tc>
          <w:tcPr>
            <w:tcW w:w="1304" w:type="dxa"/>
          </w:tcPr>
          <w:p>
            <w:pPr>
              <w:pStyle w:val="0"/>
              <w:jc w:val="center"/>
            </w:pPr>
            <w:r>
              <w:rPr>
                <w:sz w:val="20"/>
              </w:rPr>
              <w:t xml:space="preserve">155337,1</w:t>
            </w:r>
          </w:p>
        </w:tc>
        <w:tc>
          <w:tcPr>
            <w:tcW w:w="1531" w:type="dxa"/>
          </w:tcPr>
          <w:p>
            <w:pPr>
              <w:pStyle w:val="0"/>
              <w:jc w:val="center"/>
            </w:pPr>
            <w:r>
              <w:rPr>
                <w:sz w:val="20"/>
              </w:rPr>
              <w:t xml:space="preserve">1185430,1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3619,0</w:t>
            </w:r>
          </w:p>
        </w:tc>
        <w:tc>
          <w:tcPr>
            <w:tcW w:w="1361" w:type="dxa"/>
          </w:tcPr>
          <w:p>
            <w:pPr>
              <w:pStyle w:val="0"/>
              <w:jc w:val="center"/>
            </w:pPr>
            <w:r>
              <w:rPr>
                <w:sz w:val="20"/>
              </w:rPr>
              <w:t xml:space="preserve">5826,4</w:t>
            </w:r>
          </w:p>
        </w:tc>
        <w:tc>
          <w:tcPr>
            <w:tcW w:w="1474" w:type="dxa"/>
          </w:tcPr>
          <w:p>
            <w:pPr>
              <w:pStyle w:val="0"/>
              <w:jc w:val="center"/>
            </w:pPr>
            <w:r>
              <w:rPr>
                <w:sz w:val="20"/>
              </w:rPr>
              <w:t xml:space="preserve">7210,9</w:t>
            </w:r>
          </w:p>
        </w:tc>
        <w:tc>
          <w:tcPr>
            <w:tcW w:w="1417" w:type="dxa"/>
          </w:tcPr>
          <w:p>
            <w:pPr>
              <w:pStyle w:val="0"/>
              <w:jc w:val="center"/>
            </w:pPr>
            <w:r>
              <w:rPr>
                <w:sz w:val="20"/>
              </w:rPr>
              <w:t xml:space="preserve">10095,5</w:t>
            </w:r>
          </w:p>
        </w:tc>
        <w:tc>
          <w:tcPr>
            <w:tcW w:w="1361" w:type="dxa"/>
          </w:tcPr>
          <w:p>
            <w:pPr>
              <w:pStyle w:val="0"/>
              <w:jc w:val="center"/>
            </w:pPr>
            <w:r>
              <w:rPr>
                <w:sz w:val="20"/>
              </w:rPr>
              <w:t xml:space="preserve">10428,7</w:t>
            </w:r>
          </w:p>
        </w:tc>
        <w:tc>
          <w:tcPr>
            <w:tcW w:w="1361" w:type="dxa"/>
          </w:tcPr>
          <w:p>
            <w:pPr>
              <w:pStyle w:val="0"/>
              <w:jc w:val="center"/>
            </w:pPr>
            <w:r>
              <w:rPr>
                <w:sz w:val="20"/>
              </w:rPr>
              <w:t xml:space="preserve">10752,0</w:t>
            </w:r>
          </w:p>
        </w:tc>
        <w:tc>
          <w:tcPr>
            <w:tcW w:w="1247" w:type="dxa"/>
          </w:tcPr>
          <w:p>
            <w:pPr>
              <w:pStyle w:val="0"/>
              <w:jc w:val="center"/>
            </w:pPr>
            <w:r>
              <w:rPr>
                <w:sz w:val="20"/>
              </w:rPr>
              <w:t xml:space="preserve">11063,8</w:t>
            </w:r>
          </w:p>
        </w:tc>
        <w:tc>
          <w:tcPr>
            <w:tcW w:w="1247" w:type="dxa"/>
          </w:tcPr>
          <w:p>
            <w:pPr>
              <w:pStyle w:val="0"/>
              <w:jc w:val="center"/>
            </w:pPr>
            <w:r>
              <w:rPr>
                <w:sz w:val="20"/>
              </w:rPr>
              <w:t xml:space="preserve">11373,6</w:t>
            </w:r>
          </w:p>
        </w:tc>
        <w:tc>
          <w:tcPr>
            <w:tcW w:w="1304" w:type="dxa"/>
          </w:tcPr>
          <w:p>
            <w:pPr>
              <w:pStyle w:val="0"/>
              <w:jc w:val="center"/>
            </w:pPr>
            <w:r>
              <w:rPr>
                <w:sz w:val="20"/>
              </w:rPr>
              <w:t xml:space="preserve">11692,1</w:t>
            </w:r>
          </w:p>
        </w:tc>
        <w:tc>
          <w:tcPr>
            <w:tcW w:w="1531" w:type="dxa"/>
          </w:tcPr>
          <w:p>
            <w:pPr>
              <w:pStyle w:val="0"/>
              <w:jc w:val="center"/>
            </w:pPr>
            <w:r>
              <w:rPr>
                <w:sz w:val="20"/>
              </w:rPr>
              <w:t xml:space="preserve">82062,0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7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gridSpan w:val="14"/>
            <w:tcW w:w="22621" w:type="dxa"/>
          </w:tcPr>
          <w:p>
            <w:pPr>
              <w:pStyle w:val="0"/>
              <w:outlineLvl w:val="2"/>
              <w:jc w:val="center"/>
            </w:pPr>
            <w:r>
              <w:rPr>
                <w:sz w:val="20"/>
              </w:rPr>
              <w:t xml:space="preserve">Подпрограмма 7 "Кадровое обеспечение системы здравоохранения"</w:t>
            </w:r>
          </w:p>
        </w:tc>
      </w:tr>
      <w:tr>
        <w:tc>
          <w:tcPr>
            <w:tcW w:w="2778" w:type="dxa"/>
            <w:vMerge w:val="restart"/>
          </w:tcPr>
          <w:p>
            <w:pPr>
              <w:pStyle w:val="0"/>
              <w:jc w:val="both"/>
            </w:pPr>
            <w:r>
              <w:rPr>
                <w:sz w:val="20"/>
              </w:rPr>
              <w:t xml:space="preserve">7.1. Осуществление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2040" w:type="dxa"/>
            <w:vMerge w:val="restart"/>
          </w:tcPr>
          <w:p>
            <w:pPr>
              <w:pStyle w:val="0"/>
              <w:jc w:val="both"/>
            </w:pPr>
            <w:r>
              <w:rPr>
                <w:sz w:val="20"/>
              </w:rPr>
              <w:t xml:space="preserve">Государственная </w:t>
            </w:r>
            <w:hyperlink w:history="0" r:id="rId578"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3500,0</w:t>
            </w:r>
          </w:p>
        </w:tc>
        <w:tc>
          <w:tcPr>
            <w:tcW w:w="1361" w:type="dxa"/>
          </w:tcPr>
          <w:p>
            <w:pPr>
              <w:pStyle w:val="0"/>
              <w:jc w:val="center"/>
            </w:pPr>
            <w:r>
              <w:rPr>
                <w:sz w:val="20"/>
              </w:rPr>
              <w:t xml:space="preserve">2500,0</w:t>
            </w:r>
          </w:p>
        </w:tc>
        <w:tc>
          <w:tcPr>
            <w:tcW w:w="1474" w:type="dxa"/>
          </w:tcPr>
          <w:p>
            <w:pPr>
              <w:pStyle w:val="0"/>
              <w:jc w:val="center"/>
            </w:pPr>
            <w:r>
              <w:rPr>
                <w:sz w:val="20"/>
              </w:rPr>
              <w:t xml:space="preserve">500,0</w:t>
            </w:r>
          </w:p>
        </w:tc>
        <w:tc>
          <w:tcPr>
            <w:tcW w:w="1417" w:type="dxa"/>
          </w:tcPr>
          <w:p>
            <w:pPr>
              <w:pStyle w:val="0"/>
              <w:jc w:val="center"/>
            </w:pPr>
            <w:r>
              <w:rPr>
                <w:sz w:val="20"/>
              </w:rPr>
              <w:t xml:space="preserve">500,0</w:t>
            </w:r>
          </w:p>
        </w:tc>
        <w:tc>
          <w:tcPr>
            <w:tcW w:w="1361" w:type="dxa"/>
          </w:tcPr>
          <w:p>
            <w:pPr>
              <w:pStyle w:val="0"/>
              <w:jc w:val="center"/>
            </w:pPr>
            <w:r>
              <w:rPr>
                <w:sz w:val="20"/>
              </w:rPr>
              <w:t xml:space="preserve">500,0</w:t>
            </w:r>
          </w:p>
        </w:tc>
        <w:tc>
          <w:tcPr>
            <w:tcW w:w="1361" w:type="dxa"/>
          </w:tcPr>
          <w:p>
            <w:pPr>
              <w:pStyle w:val="0"/>
              <w:jc w:val="center"/>
            </w:pPr>
            <w:r>
              <w:rPr>
                <w:sz w:val="20"/>
              </w:rPr>
              <w:t xml:space="preserve">500,0</w:t>
            </w:r>
          </w:p>
        </w:tc>
        <w:tc>
          <w:tcPr>
            <w:tcW w:w="1247" w:type="dxa"/>
          </w:tcPr>
          <w:p>
            <w:pPr>
              <w:pStyle w:val="0"/>
              <w:jc w:val="center"/>
            </w:pPr>
            <w:r>
              <w:rPr>
                <w:sz w:val="20"/>
              </w:rPr>
              <w:t xml:space="preserve">500,0</w:t>
            </w:r>
          </w:p>
        </w:tc>
        <w:tc>
          <w:tcPr>
            <w:tcW w:w="1247" w:type="dxa"/>
          </w:tcPr>
          <w:p>
            <w:pPr>
              <w:pStyle w:val="0"/>
              <w:jc w:val="center"/>
            </w:pPr>
            <w:r>
              <w:rPr>
                <w:sz w:val="20"/>
              </w:rPr>
              <w:t xml:space="preserve">500,0</w:t>
            </w:r>
          </w:p>
        </w:tc>
        <w:tc>
          <w:tcPr>
            <w:tcW w:w="1304" w:type="dxa"/>
          </w:tcPr>
          <w:p>
            <w:pPr>
              <w:pStyle w:val="0"/>
              <w:jc w:val="center"/>
            </w:pPr>
            <w:r>
              <w:rPr>
                <w:sz w:val="20"/>
              </w:rPr>
              <w:t xml:space="preserve">500,0</w:t>
            </w:r>
          </w:p>
        </w:tc>
        <w:tc>
          <w:tcPr>
            <w:tcW w:w="1531" w:type="dxa"/>
          </w:tcPr>
          <w:p>
            <w:pPr>
              <w:pStyle w:val="0"/>
              <w:jc w:val="center"/>
            </w:pPr>
            <w:r>
              <w:rPr>
                <w:sz w:val="20"/>
              </w:rPr>
              <w:t xml:space="preserve">9500,0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3325,0</w:t>
            </w:r>
          </w:p>
        </w:tc>
        <w:tc>
          <w:tcPr>
            <w:tcW w:w="1361" w:type="dxa"/>
          </w:tcPr>
          <w:p>
            <w:pPr>
              <w:pStyle w:val="0"/>
              <w:jc w:val="center"/>
            </w:pPr>
            <w:r>
              <w:rPr>
                <w:sz w:val="20"/>
              </w:rPr>
              <w:t xml:space="preserve">2375,0</w:t>
            </w:r>
          </w:p>
        </w:tc>
        <w:tc>
          <w:tcPr>
            <w:tcW w:w="1474" w:type="dxa"/>
          </w:tcPr>
          <w:p>
            <w:pPr>
              <w:pStyle w:val="0"/>
              <w:jc w:val="center"/>
            </w:pPr>
            <w:r>
              <w:rPr>
                <w:sz w:val="20"/>
              </w:rPr>
              <w:t xml:space="preserve">475,0</w:t>
            </w:r>
          </w:p>
        </w:tc>
        <w:tc>
          <w:tcPr>
            <w:tcW w:w="1417" w:type="dxa"/>
          </w:tcPr>
          <w:p>
            <w:pPr>
              <w:pStyle w:val="0"/>
              <w:jc w:val="center"/>
            </w:pPr>
            <w:r>
              <w:rPr>
                <w:sz w:val="20"/>
              </w:rPr>
              <w:t xml:space="preserve">465,0</w:t>
            </w:r>
          </w:p>
        </w:tc>
        <w:tc>
          <w:tcPr>
            <w:tcW w:w="1361" w:type="dxa"/>
          </w:tcPr>
          <w:p>
            <w:pPr>
              <w:pStyle w:val="0"/>
              <w:jc w:val="center"/>
            </w:pPr>
            <w:r>
              <w:rPr>
                <w:sz w:val="20"/>
              </w:rPr>
              <w:t xml:space="preserve">465,0</w:t>
            </w:r>
          </w:p>
        </w:tc>
        <w:tc>
          <w:tcPr>
            <w:tcW w:w="1361" w:type="dxa"/>
          </w:tcPr>
          <w:p>
            <w:pPr>
              <w:pStyle w:val="0"/>
              <w:jc w:val="center"/>
            </w:pPr>
            <w:r>
              <w:rPr>
                <w:sz w:val="20"/>
              </w:rPr>
              <w:t xml:space="preserve">465,0</w:t>
            </w:r>
          </w:p>
        </w:tc>
        <w:tc>
          <w:tcPr>
            <w:tcW w:w="1247" w:type="dxa"/>
          </w:tcPr>
          <w:p>
            <w:pPr>
              <w:pStyle w:val="0"/>
              <w:jc w:val="center"/>
            </w:pPr>
            <w:r>
              <w:rPr>
                <w:sz w:val="20"/>
              </w:rPr>
              <w:t xml:space="preserve">465,0</w:t>
            </w:r>
          </w:p>
        </w:tc>
        <w:tc>
          <w:tcPr>
            <w:tcW w:w="1247" w:type="dxa"/>
          </w:tcPr>
          <w:p>
            <w:pPr>
              <w:pStyle w:val="0"/>
              <w:jc w:val="center"/>
            </w:pPr>
            <w:r>
              <w:rPr>
                <w:sz w:val="20"/>
              </w:rPr>
              <w:t xml:space="preserve">465,0</w:t>
            </w:r>
          </w:p>
        </w:tc>
        <w:tc>
          <w:tcPr>
            <w:tcW w:w="1304" w:type="dxa"/>
          </w:tcPr>
          <w:p>
            <w:pPr>
              <w:pStyle w:val="0"/>
              <w:jc w:val="center"/>
            </w:pPr>
            <w:r>
              <w:rPr>
                <w:sz w:val="20"/>
              </w:rPr>
              <w:t xml:space="preserve">465,0</w:t>
            </w:r>
          </w:p>
        </w:tc>
        <w:tc>
          <w:tcPr>
            <w:tcW w:w="1531" w:type="dxa"/>
          </w:tcPr>
          <w:p>
            <w:pPr>
              <w:pStyle w:val="0"/>
              <w:jc w:val="center"/>
            </w:pPr>
            <w:r>
              <w:rPr>
                <w:sz w:val="20"/>
              </w:rPr>
              <w:t xml:space="preserve">8965,0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175,0</w:t>
            </w:r>
          </w:p>
        </w:tc>
        <w:tc>
          <w:tcPr>
            <w:tcW w:w="1361" w:type="dxa"/>
          </w:tcPr>
          <w:p>
            <w:pPr>
              <w:pStyle w:val="0"/>
              <w:jc w:val="center"/>
            </w:pPr>
            <w:r>
              <w:rPr>
                <w:sz w:val="20"/>
              </w:rPr>
              <w:t xml:space="preserve">125,0</w:t>
            </w:r>
          </w:p>
        </w:tc>
        <w:tc>
          <w:tcPr>
            <w:tcW w:w="1474" w:type="dxa"/>
          </w:tcPr>
          <w:p>
            <w:pPr>
              <w:pStyle w:val="0"/>
              <w:jc w:val="center"/>
            </w:pPr>
            <w:r>
              <w:rPr>
                <w:sz w:val="20"/>
              </w:rPr>
              <w:t xml:space="preserve">25,0</w:t>
            </w:r>
          </w:p>
        </w:tc>
        <w:tc>
          <w:tcPr>
            <w:tcW w:w="1417" w:type="dxa"/>
          </w:tcPr>
          <w:p>
            <w:pPr>
              <w:pStyle w:val="0"/>
              <w:jc w:val="center"/>
            </w:pPr>
            <w:r>
              <w:rPr>
                <w:sz w:val="20"/>
              </w:rPr>
              <w:t xml:space="preserve">35,0</w:t>
            </w:r>
          </w:p>
        </w:tc>
        <w:tc>
          <w:tcPr>
            <w:tcW w:w="1361" w:type="dxa"/>
          </w:tcPr>
          <w:p>
            <w:pPr>
              <w:pStyle w:val="0"/>
              <w:jc w:val="center"/>
            </w:pPr>
            <w:r>
              <w:rPr>
                <w:sz w:val="20"/>
              </w:rPr>
              <w:t xml:space="preserve">35,0</w:t>
            </w:r>
          </w:p>
        </w:tc>
        <w:tc>
          <w:tcPr>
            <w:tcW w:w="1361" w:type="dxa"/>
          </w:tcPr>
          <w:p>
            <w:pPr>
              <w:pStyle w:val="0"/>
              <w:jc w:val="center"/>
            </w:pPr>
            <w:r>
              <w:rPr>
                <w:sz w:val="20"/>
              </w:rPr>
              <w:t xml:space="preserve">35,0</w:t>
            </w:r>
          </w:p>
        </w:tc>
        <w:tc>
          <w:tcPr>
            <w:tcW w:w="1247" w:type="dxa"/>
          </w:tcPr>
          <w:p>
            <w:pPr>
              <w:pStyle w:val="0"/>
              <w:jc w:val="center"/>
            </w:pPr>
            <w:r>
              <w:rPr>
                <w:sz w:val="20"/>
              </w:rPr>
              <w:t xml:space="preserve">35,0</w:t>
            </w:r>
          </w:p>
        </w:tc>
        <w:tc>
          <w:tcPr>
            <w:tcW w:w="1247" w:type="dxa"/>
          </w:tcPr>
          <w:p>
            <w:pPr>
              <w:pStyle w:val="0"/>
              <w:jc w:val="center"/>
            </w:pPr>
            <w:r>
              <w:rPr>
                <w:sz w:val="20"/>
              </w:rPr>
              <w:t xml:space="preserve">35,0</w:t>
            </w:r>
          </w:p>
        </w:tc>
        <w:tc>
          <w:tcPr>
            <w:tcW w:w="1304" w:type="dxa"/>
          </w:tcPr>
          <w:p>
            <w:pPr>
              <w:pStyle w:val="0"/>
              <w:jc w:val="center"/>
            </w:pPr>
            <w:r>
              <w:rPr>
                <w:sz w:val="20"/>
              </w:rPr>
              <w:t xml:space="preserve">35,0</w:t>
            </w:r>
          </w:p>
        </w:tc>
        <w:tc>
          <w:tcPr>
            <w:tcW w:w="1531" w:type="dxa"/>
          </w:tcPr>
          <w:p>
            <w:pPr>
              <w:pStyle w:val="0"/>
              <w:jc w:val="center"/>
            </w:pPr>
            <w:r>
              <w:rPr>
                <w:sz w:val="20"/>
              </w:rPr>
              <w:t xml:space="preserve">535,0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Итого по </w:t>
            </w:r>
            <w:hyperlink w:history="0" w:anchor="P2108" w:tooltip="ПОДПРОГРАММА 7">
              <w:r>
                <w:rPr>
                  <w:sz w:val="20"/>
                  <w:color w:val="0000ff"/>
                </w:rPr>
                <w:t xml:space="preserve">подпрограмме 7</w:t>
              </w:r>
            </w:hyperlink>
          </w:p>
        </w:tc>
        <w:tc>
          <w:tcPr>
            <w:tcW w:w="2040" w:type="dxa"/>
            <w:vMerge w:val="restart"/>
          </w:tcPr>
          <w:p>
            <w:pPr>
              <w:pStyle w:val="0"/>
              <w:jc w:val="both"/>
            </w:pPr>
            <w:r>
              <w:rPr>
                <w:sz w:val="20"/>
              </w:rPr>
            </w:r>
          </w:p>
        </w:tc>
        <w:tc>
          <w:tcPr>
            <w:tcW w:w="1928" w:type="dxa"/>
            <w:vMerge w:val="restart"/>
          </w:tcPr>
          <w:p>
            <w:pPr>
              <w:pStyle w:val="0"/>
              <w:jc w:val="both"/>
            </w:pPr>
            <w:r>
              <w:rPr>
                <w:sz w:val="20"/>
              </w:rPr>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3500,0</w:t>
            </w:r>
          </w:p>
        </w:tc>
        <w:tc>
          <w:tcPr>
            <w:tcW w:w="1361" w:type="dxa"/>
          </w:tcPr>
          <w:p>
            <w:pPr>
              <w:pStyle w:val="0"/>
              <w:jc w:val="center"/>
            </w:pPr>
            <w:r>
              <w:rPr>
                <w:sz w:val="20"/>
              </w:rPr>
              <w:t xml:space="preserve">2500,0</w:t>
            </w:r>
          </w:p>
        </w:tc>
        <w:tc>
          <w:tcPr>
            <w:tcW w:w="1474" w:type="dxa"/>
          </w:tcPr>
          <w:p>
            <w:pPr>
              <w:pStyle w:val="0"/>
              <w:jc w:val="center"/>
            </w:pPr>
            <w:r>
              <w:rPr>
                <w:sz w:val="20"/>
              </w:rPr>
              <w:t xml:space="preserve">500,0</w:t>
            </w:r>
          </w:p>
        </w:tc>
        <w:tc>
          <w:tcPr>
            <w:tcW w:w="1417" w:type="dxa"/>
          </w:tcPr>
          <w:p>
            <w:pPr>
              <w:pStyle w:val="0"/>
              <w:jc w:val="center"/>
            </w:pPr>
            <w:r>
              <w:rPr>
                <w:sz w:val="20"/>
              </w:rPr>
              <w:t xml:space="preserve">500,0</w:t>
            </w:r>
          </w:p>
        </w:tc>
        <w:tc>
          <w:tcPr>
            <w:tcW w:w="1361" w:type="dxa"/>
          </w:tcPr>
          <w:p>
            <w:pPr>
              <w:pStyle w:val="0"/>
              <w:jc w:val="center"/>
            </w:pPr>
            <w:r>
              <w:rPr>
                <w:sz w:val="20"/>
              </w:rPr>
              <w:t xml:space="preserve">500,0</w:t>
            </w:r>
          </w:p>
        </w:tc>
        <w:tc>
          <w:tcPr>
            <w:tcW w:w="1361" w:type="dxa"/>
          </w:tcPr>
          <w:p>
            <w:pPr>
              <w:pStyle w:val="0"/>
              <w:jc w:val="center"/>
            </w:pPr>
            <w:r>
              <w:rPr>
                <w:sz w:val="20"/>
              </w:rPr>
              <w:t xml:space="preserve">500,0</w:t>
            </w:r>
          </w:p>
        </w:tc>
        <w:tc>
          <w:tcPr>
            <w:tcW w:w="1247" w:type="dxa"/>
          </w:tcPr>
          <w:p>
            <w:pPr>
              <w:pStyle w:val="0"/>
              <w:jc w:val="center"/>
            </w:pPr>
            <w:r>
              <w:rPr>
                <w:sz w:val="20"/>
              </w:rPr>
              <w:t xml:space="preserve">500,0</w:t>
            </w:r>
          </w:p>
        </w:tc>
        <w:tc>
          <w:tcPr>
            <w:tcW w:w="1247" w:type="dxa"/>
          </w:tcPr>
          <w:p>
            <w:pPr>
              <w:pStyle w:val="0"/>
              <w:jc w:val="center"/>
            </w:pPr>
            <w:r>
              <w:rPr>
                <w:sz w:val="20"/>
              </w:rPr>
              <w:t xml:space="preserve">500,0</w:t>
            </w:r>
          </w:p>
        </w:tc>
        <w:tc>
          <w:tcPr>
            <w:tcW w:w="1304" w:type="dxa"/>
          </w:tcPr>
          <w:p>
            <w:pPr>
              <w:pStyle w:val="0"/>
              <w:jc w:val="center"/>
            </w:pPr>
            <w:r>
              <w:rPr>
                <w:sz w:val="20"/>
              </w:rPr>
              <w:t xml:space="preserve">500,0</w:t>
            </w:r>
          </w:p>
        </w:tc>
        <w:tc>
          <w:tcPr>
            <w:tcW w:w="1531" w:type="dxa"/>
          </w:tcPr>
          <w:p>
            <w:pPr>
              <w:pStyle w:val="0"/>
              <w:jc w:val="center"/>
            </w:pPr>
            <w:r>
              <w:rPr>
                <w:sz w:val="20"/>
              </w:rPr>
              <w:t xml:space="preserve">9500,0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3325,0</w:t>
            </w:r>
          </w:p>
        </w:tc>
        <w:tc>
          <w:tcPr>
            <w:tcW w:w="1361" w:type="dxa"/>
          </w:tcPr>
          <w:p>
            <w:pPr>
              <w:pStyle w:val="0"/>
              <w:jc w:val="center"/>
            </w:pPr>
            <w:r>
              <w:rPr>
                <w:sz w:val="20"/>
              </w:rPr>
              <w:t xml:space="preserve">2375,0</w:t>
            </w:r>
          </w:p>
        </w:tc>
        <w:tc>
          <w:tcPr>
            <w:tcW w:w="1474" w:type="dxa"/>
          </w:tcPr>
          <w:p>
            <w:pPr>
              <w:pStyle w:val="0"/>
              <w:jc w:val="center"/>
            </w:pPr>
            <w:r>
              <w:rPr>
                <w:sz w:val="20"/>
              </w:rPr>
              <w:t xml:space="preserve">475,0</w:t>
            </w:r>
          </w:p>
        </w:tc>
        <w:tc>
          <w:tcPr>
            <w:tcW w:w="1417" w:type="dxa"/>
          </w:tcPr>
          <w:p>
            <w:pPr>
              <w:pStyle w:val="0"/>
              <w:jc w:val="center"/>
            </w:pPr>
            <w:r>
              <w:rPr>
                <w:sz w:val="20"/>
              </w:rPr>
              <w:t xml:space="preserve">465,0</w:t>
            </w:r>
          </w:p>
        </w:tc>
        <w:tc>
          <w:tcPr>
            <w:tcW w:w="1361" w:type="dxa"/>
          </w:tcPr>
          <w:p>
            <w:pPr>
              <w:pStyle w:val="0"/>
              <w:jc w:val="center"/>
            </w:pPr>
            <w:r>
              <w:rPr>
                <w:sz w:val="20"/>
              </w:rPr>
              <w:t xml:space="preserve">465,0</w:t>
            </w:r>
          </w:p>
        </w:tc>
        <w:tc>
          <w:tcPr>
            <w:tcW w:w="1361" w:type="dxa"/>
          </w:tcPr>
          <w:p>
            <w:pPr>
              <w:pStyle w:val="0"/>
              <w:jc w:val="center"/>
            </w:pPr>
            <w:r>
              <w:rPr>
                <w:sz w:val="20"/>
              </w:rPr>
              <w:t xml:space="preserve">465,0</w:t>
            </w:r>
          </w:p>
        </w:tc>
        <w:tc>
          <w:tcPr>
            <w:tcW w:w="1247" w:type="dxa"/>
          </w:tcPr>
          <w:p>
            <w:pPr>
              <w:pStyle w:val="0"/>
              <w:jc w:val="center"/>
            </w:pPr>
            <w:r>
              <w:rPr>
                <w:sz w:val="20"/>
              </w:rPr>
              <w:t xml:space="preserve">465,0</w:t>
            </w:r>
          </w:p>
        </w:tc>
        <w:tc>
          <w:tcPr>
            <w:tcW w:w="1247" w:type="dxa"/>
          </w:tcPr>
          <w:p>
            <w:pPr>
              <w:pStyle w:val="0"/>
              <w:jc w:val="center"/>
            </w:pPr>
            <w:r>
              <w:rPr>
                <w:sz w:val="20"/>
              </w:rPr>
              <w:t xml:space="preserve">465,0</w:t>
            </w:r>
          </w:p>
        </w:tc>
        <w:tc>
          <w:tcPr>
            <w:tcW w:w="1304" w:type="dxa"/>
          </w:tcPr>
          <w:p>
            <w:pPr>
              <w:pStyle w:val="0"/>
              <w:jc w:val="center"/>
            </w:pPr>
            <w:r>
              <w:rPr>
                <w:sz w:val="20"/>
              </w:rPr>
              <w:t xml:space="preserve">465,0</w:t>
            </w:r>
          </w:p>
        </w:tc>
        <w:tc>
          <w:tcPr>
            <w:tcW w:w="1531" w:type="dxa"/>
          </w:tcPr>
          <w:p>
            <w:pPr>
              <w:pStyle w:val="0"/>
              <w:jc w:val="center"/>
            </w:pPr>
            <w:r>
              <w:rPr>
                <w:sz w:val="20"/>
              </w:rPr>
              <w:t xml:space="preserve">8965,0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175,0</w:t>
            </w:r>
          </w:p>
        </w:tc>
        <w:tc>
          <w:tcPr>
            <w:tcW w:w="1361" w:type="dxa"/>
          </w:tcPr>
          <w:p>
            <w:pPr>
              <w:pStyle w:val="0"/>
              <w:jc w:val="center"/>
            </w:pPr>
            <w:r>
              <w:rPr>
                <w:sz w:val="20"/>
              </w:rPr>
              <w:t xml:space="preserve">125,0</w:t>
            </w:r>
          </w:p>
        </w:tc>
        <w:tc>
          <w:tcPr>
            <w:tcW w:w="1474" w:type="dxa"/>
          </w:tcPr>
          <w:p>
            <w:pPr>
              <w:pStyle w:val="0"/>
              <w:jc w:val="center"/>
            </w:pPr>
            <w:r>
              <w:rPr>
                <w:sz w:val="20"/>
              </w:rPr>
              <w:t xml:space="preserve">25,0</w:t>
            </w:r>
          </w:p>
        </w:tc>
        <w:tc>
          <w:tcPr>
            <w:tcW w:w="1417" w:type="dxa"/>
          </w:tcPr>
          <w:p>
            <w:pPr>
              <w:pStyle w:val="0"/>
              <w:jc w:val="center"/>
            </w:pPr>
            <w:r>
              <w:rPr>
                <w:sz w:val="20"/>
              </w:rPr>
              <w:t xml:space="preserve">35,0</w:t>
            </w:r>
          </w:p>
        </w:tc>
        <w:tc>
          <w:tcPr>
            <w:tcW w:w="1361" w:type="dxa"/>
          </w:tcPr>
          <w:p>
            <w:pPr>
              <w:pStyle w:val="0"/>
              <w:jc w:val="center"/>
            </w:pPr>
            <w:r>
              <w:rPr>
                <w:sz w:val="20"/>
              </w:rPr>
              <w:t xml:space="preserve">35,0</w:t>
            </w:r>
          </w:p>
        </w:tc>
        <w:tc>
          <w:tcPr>
            <w:tcW w:w="1361" w:type="dxa"/>
          </w:tcPr>
          <w:p>
            <w:pPr>
              <w:pStyle w:val="0"/>
              <w:jc w:val="center"/>
            </w:pPr>
            <w:r>
              <w:rPr>
                <w:sz w:val="20"/>
              </w:rPr>
              <w:t xml:space="preserve">35,0</w:t>
            </w:r>
          </w:p>
        </w:tc>
        <w:tc>
          <w:tcPr>
            <w:tcW w:w="1247" w:type="dxa"/>
          </w:tcPr>
          <w:p>
            <w:pPr>
              <w:pStyle w:val="0"/>
              <w:jc w:val="center"/>
            </w:pPr>
            <w:r>
              <w:rPr>
                <w:sz w:val="20"/>
              </w:rPr>
              <w:t xml:space="preserve">35,0</w:t>
            </w:r>
          </w:p>
        </w:tc>
        <w:tc>
          <w:tcPr>
            <w:tcW w:w="1247" w:type="dxa"/>
          </w:tcPr>
          <w:p>
            <w:pPr>
              <w:pStyle w:val="0"/>
              <w:jc w:val="center"/>
            </w:pPr>
            <w:r>
              <w:rPr>
                <w:sz w:val="20"/>
              </w:rPr>
              <w:t xml:space="preserve">35,0</w:t>
            </w:r>
          </w:p>
        </w:tc>
        <w:tc>
          <w:tcPr>
            <w:tcW w:w="1304" w:type="dxa"/>
          </w:tcPr>
          <w:p>
            <w:pPr>
              <w:pStyle w:val="0"/>
              <w:jc w:val="center"/>
            </w:pPr>
            <w:r>
              <w:rPr>
                <w:sz w:val="20"/>
              </w:rPr>
              <w:t xml:space="preserve">35,0</w:t>
            </w:r>
          </w:p>
        </w:tc>
        <w:tc>
          <w:tcPr>
            <w:tcW w:w="1531" w:type="dxa"/>
          </w:tcPr>
          <w:p>
            <w:pPr>
              <w:pStyle w:val="0"/>
              <w:jc w:val="center"/>
            </w:pPr>
            <w:r>
              <w:rPr>
                <w:sz w:val="20"/>
              </w:rPr>
              <w:t xml:space="preserve">535,0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gridSpan w:val="14"/>
            <w:tcW w:w="22621" w:type="dxa"/>
          </w:tcPr>
          <w:p>
            <w:pPr>
              <w:pStyle w:val="0"/>
              <w:outlineLvl w:val="2"/>
              <w:jc w:val="center"/>
            </w:pPr>
            <w:r>
              <w:rPr>
                <w:sz w:val="20"/>
              </w:rPr>
              <w:t xml:space="preserve">Подпрограмма 8 "Реализация региональных проектов в рамках национальных проектов в сфере здравоохранения"</w:t>
            </w:r>
          </w:p>
        </w:tc>
      </w:tr>
      <w:tr>
        <w:tc>
          <w:tcPr>
            <w:tcW w:w="2778" w:type="dxa"/>
            <w:vMerge w:val="restart"/>
          </w:tcPr>
          <w:p>
            <w:pPr>
              <w:pStyle w:val="0"/>
              <w:jc w:val="both"/>
            </w:pPr>
            <w:r>
              <w:rPr>
                <w:sz w:val="20"/>
              </w:rPr>
              <w:t xml:space="preserve">8.1. Реализация регионального проекта "Разработка и реализация программы системной поддержки и повышения качества жизни граждан старшего поколения" в рамках национального проекта "Демография" в части здравоохранения</w:t>
            </w:r>
          </w:p>
        </w:tc>
        <w:tc>
          <w:tcPr>
            <w:tcW w:w="2040" w:type="dxa"/>
            <w:vMerge w:val="restart"/>
          </w:tcPr>
          <w:p>
            <w:pPr>
              <w:pStyle w:val="0"/>
              <w:jc w:val="both"/>
            </w:pPr>
            <w:r>
              <w:rPr>
                <w:sz w:val="20"/>
              </w:rPr>
              <w:t xml:space="preserve">Государственная </w:t>
            </w:r>
            <w:hyperlink w:history="0" r:id="rId579"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20,6</w:t>
            </w:r>
          </w:p>
        </w:tc>
        <w:tc>
          <w:tcPr>
            <w:tcW w:w="1361" w:type="dxa"/>
          </w:tcPr>
          <w:p>
            <w:pPr>
              <w:pStyle w:val="0"/>
              <w:jc w:val="center"/>
            </w:pPr>
            <w:r>
              <w:rPr>
                <w:sz w:val="20"/>
              </w:rPr>
              <w:t xml:space="preserve">22,2</w:t>
            </w:r>
          </w:p>
        </w:tc>
        <w:tc>
          <w:tcPr>
            <w:tcW w:w="1474" w:type="dxa"/>
          </w:tcPr>
          <w:p>
            <w:pPr>
              <w:pStyle w:val="0"/>
              <w:jc w:val="center"/>
            </w:pPr>
            <w:r>
              <w:rPr>
                <w:sz w:val="20"/>
              </w:rPr>
              <w:t xml:space="preserve">24,6</w:t>
            </w:r>
          </w:p>
        </w:tc>
        <w:tc>
          <w:tcPr>
            <w:tcW w:w="1417" w:type="dxa"/>
          </w:tcPr>
          <w:p>
            <w:pPr>
              <w:pStyle w:val="0"/>
              <w:jc w:val="center"/>
            </w:pPr>
            <w:r>
              <w:rPr>
                <w:sz w:val="20"/>
              </w:rPr>
              <w:t xml:space="preserve">24,6</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92,0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20,4</w:t>
            </w:r>
          </w:p>
        </w:tc>
        <w:tc>
          <w:tcPr>
            <w:tcW w:w="1361" w:type="dxa"/>
          </w:tcPr>
          <w:p>
            <w:pPr>
              <w:pStyle w:val="0"/>
              <w:jc w:val="center"/>
            </w:pPr>
            <w:r>
              <w:rPr>
                <w:sz w:val="20"/>
              </w:rPr>
              <w:t xml:space="preserve">22,0</w:t>
            </w:r>
          </w:p>
        </w:tc>
        <w:tc>
          <w:tcPr>
            <w:tcW w:w="1474" w:type="dxa"/>
          </w:tcPr>
          <w:p>
            <w:pPr>
              <w:pStyle w:val="0"/>
              <w:jc w:val="center"/>
            </w:pPr>
            <w:r>
              <w:rPr>
                <w:sz w:val="20"/>
              </w:rPr>
              <w:t xml:space="preserve">24,4</w:t>
            </w:r>
          </w:p>
        </w:tc>
        <w:tc>
          <w:tcPr>
            <w:tcW w:w="1417" w:type="dxa"/>
          </w:tcPr>
          <w:p>
            <w:pPr>
              <w:pStyle w:val="0"/>
              <w:jc w:val="center"/>
            </w:pPr>
            <w:r>
              <w:rPr>
                <w:sz w:val="20"/>
              </w:rPr>
              <w:t xml:space="preserve">24,4</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91,2</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0,2</w:t>
            </w:r>
          </w:p>
        </w:tc>
        <w:tc>
          <w:tcPr>
            <w:tcW w:w="1361" w:type="dxa"/>
          </w:tcPr>
          <w:p>
            <w:pPr>
              <w:pStyle w:val="0"/>
              <w:jc w:val="center"/>
            </w:pPr>
            <w:r>
              <w:rPr>
                <w:sz w:val="20"/>
              </w:rPr>
              <w:t xml:space="preserve">0,2</w:t>
            </w:r>
          </w:p>
        </w:tc>
        <w:tc>
          <w:tcPr>
            <w:tcW w:w="1474" w:type="dxa"/>
          </w:tcPr>
          <w:p>
            <w:pPr>
              <w:pStyle w:val="0"/>
              <w:jc w:val="center"/>
            </w:pPr>
            <w:r>
              <w:rPr>
                <w:sz w:val="20"/>
              </w:rPr>
              <w:t xml:space="preserve">0,2</w:t>
            </w:r>
          </w:p>
        </w:tc>
        <w:tc>
          <w:tcPr>
            <w:tcW w:w="1417" w:type="dxa"/>
          </w:tcPr>
          <w:p>
            <w:pPr>
              <w:pStyle w:val="0"/>
              <w:jc w:val="center"/>
            </w:pPr>
            <w:r>
              <w:rPr>
                <w:sz w:val="20"/>
              </w:rPr>
              <w:t xml:space="preserve">0,2</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0,8</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vMerge w:val="restart"/>
          </w:tcPr>
          <w:p>
            <w:pPr>
              <w:pStyle w:val="0"/>
              <w:jc w:val="both"/>
            </w:pPr>
            <w:r>
              <w:rPr>
                <w:sz w:val="20"/>
              </w:rPr>
              <w:t xml:space="preserve">8.1.1. Проведение вакцинации против пневмококковой инфекции граждан старшего трудоспособного возраста из групп риска, проживающих в организациях социального обслуживания</w:t>
            </w:r>
          </w:p>
        </w:tc>
        <w:tc>
          <w:tcPr>
            <w:tcW w:w="2040" w:type="dxa"/>
            <w:vMerge w:val="restart"/>
          </w:tcPr>
          <w:p>
            <w:pPr>
              <w:pStyle w:val="0"/>
              <w:jc w:val="both"/>
            </w:pPr>
            <w:r>
              <w:rPr>
                <w:sz w:val="20"/>
              </w:rPr>
              <w:t xml:space="preserve">Государственная </w:t>
            </w:r>
            <w:hyperlink w:history="0" r:id="rId580"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20,6</w:t>
            </w:r>
          </w:p>
        </w:tc>
        <w:tc>
          <w:tcPr>
            <w:tcW w:w="1361" w:type="dxa"/>
          </w:tcPr>
          <w:p>
            <w:pPr>
              <w:pStyle w:val="0"/>
              <w:jc w:val="center"/>
            </w:pPr>
            <w:r>
              <w:rPr>
                <w:sz w:val="20"/>
              </w:rPr>
              <w:t xml:space="preserve">22,2</w:t>
            </w:r>
          </w:p>
        </w:tc>
        <w:tc>
          <w:tcPr>
            <w:tcW w:w="1474" w:type="dxa"/>
          </w:tcPr>
          <w:p>
            <w:pPr>
              <w:pStyle w:val="0"/>
              <w:jc w:val="center"/>
            </w:pPr>
            <w:r>
              <w:rPr>
                <w:sz w:val="20"/>
              </w:rPr>
              <w:t xml:space="preserve">24,6</w:t>
            </w:r>
          </w:p>
        </w:tc>
        <w:tc>
          <w:tcPr>
            <w:tcW w:w="1417" w:type="dxa"/>
          </w:tcPr>
          <w:p>
            <w:pPr>
              <w:pStyle w:val="0"/>
              <w:jc w:val="center"/>
            </w:pPr>
            <w:r>
              <w:rPr>
                <w:sz w:val="20"/>
              </w:rPr>
              <w:t xml:space="preserve">24,6</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92,0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20,4</w:t>
            </w:r>
          </w:p>
        </w:tc>
        <w:tc>
          <w:tcPr>
            <w:tcW w:w="1361" w:type="dxa"/>
          </w:tcPr>
          <w:p>
            <w:pPr>
              <w:pStyle w:val="0"/>
              <w:jc w:val="center"/>
            </w:pPr>
            <w:r>
              <w:rPr>
                <w:sz w:val="20"/>
              </w:rPr>
              <w:t xml:space="preserve">22,0</w:t>
            </w:r>
          </w:p>
        </w:tc>
        <w:tc>
          <w:tcPr>
            <w:tcW w:w="1474" w:type="dxa"/>
          </w:tcPr>
          <w:p>
            <w:pPr>
              <w:pStyle w:val="0"/>
              <w:jc w:val="center"/>
            </w:pPr>
            <w:r>
              <w:rPr>
                <w:sz w:val="20"/>
              </w:rPr>
              <w:t xml:space="preserve">24,4</w:t>
            </w:r>
          </w:p>
        </w:tc>
        <w:tc>
          <w:tcPr>
            <w:tcW w:w="1417" w:type="dxa"/>
          </w:tcPr>
          <w:p>
            <w:pPr>
              <w:pStyle w:val="0"/>
              <w:jc w:val="center"/>
            </w:pPr>
            <w:r>
              <w:rPr>
                <w:sz w:val="20"/>
              </w:rPr>
              <w:t xml:space="preserve">24,4</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91,2</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0,2</w:t>
            </w:r>
          </w:p>
        </w:tc>
        <w:tc>
          <w:tcPr>
            <w:tcW w:w="1361" w:type="dxa"/>
          </w:tcPr>
          <w:p>
            <w:pPr>
              <w:pStyle w:val="0"/>
              <w:jc w:val="center"/>
            </w:pPr>
            <w:r>
              <w:rPr>
                <w:sz w:val="20"/>
              </w:rPr>
              <w:t xml:space="preserve">0,2</w:t>
            </w:r>
          </w:p>
        </w:tc>
        <w:tc>
          <w:tcPr>
            <w:tcW w:w="1474" w:type="dxa"/>
          </w:tcPr>
          <w:p>
            <w:pPr>
              <w:pStyle w:val="0"/>
              <w:jc w:val="center"/>
            </w:pPr>
            <w:r>
              <w:rPr>
                <w:sz w:val="20"/>
              </w:rPr>
              <w:t xml:space="preserve">0,2</w:t>
            </w:r>
          </w:p>
        </w:tc>
        <w:tc>
          <w:tcPr>
            <w:tcW w:w="1417" w:type="dxa"/>
          </w:tcPr>
          <w:p>
            <w:pPr>
              <w:pStyle w:val="0"/>
              <w:jc w:val="center"/>
            </w:pPr>
            <w:r>
              <w:rPr>
                <w:sz w:val="20"/>
              </w:rPr>
              <w:t xml:space="preserve">0,2</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0,8</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tcBorders>
              <w:bottom w:val="nil"/>
            </w:tcBorders>
            <w:vMerge w:val="restart"/>
          </w:tcPr>
          <w:p>
            <w:pPr>
              <w:pStyle w:val="0"/>
              <w:jc w:val="both"/>
            </w:pPr>
            <w:r>
              <w:rPr>
                <w:sz w:val="20"/>
              </w:rPr>
              <w:t xml:space="preserve">8.3. Реализация регионального проекта "Борьба с сердечно-сосудистыми заболеваниями" в рамках национального проекта "Здравоохранение"</w:t>
            </w:r>
          </w:p>
        </w:tc>
        <w:tc>
          <w:tcPr>
            <w:tcW w:w="2040" w:type="dxa"/>
            <w:tcBorders>
              <w:bottom w:val="nil"/>
            </w:tcBorders>
            <w:vMerge w:val="restart"/>
          </w:tcPr>
          <w:p>
            <w:pPr>
              <w:pStyle w:val="0"/>
              <w:jc w:val="both"/>
            </w:pPr>
            <w:r>
              <w:rPr>
                <w:sz w:val="20"/>
              </w:rPr>
              <w:t xml:space="preserve">Государственная </w:t>
            </w:r>
            <w:hyperlink w:history="0" r:id="rId581"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114167,0</w:t>
            </w:r>
          </w:p>
        </w:tc>
        <w:tc>
          <w:tcPr>
            <w:tcW w:w="1361" w:type="dxa"/>
          </w:tcPr>
          <w:p>
            <w:pPr>
              <w:pStyle w:val="0"/>
              <w:jc w:val="center"/>
            </w:pPr>
            <w:r>
              <w:rPr>
                <w:sz w:val="20"/>
              </w:rPr>
              <w:t xml:space="preserve">60860,7</w:t>
            </w:r>
          </w:p>
        </w:tc>
        <w:tc>
          <w:tcPr>
            <w:tcW w:w="1474" w:type="dxa"/>
          </w:tcPr>
          <w:p>
            <w:pPr>
              <w:pStyle w:val="0"/>
              <w:jc w:val="center"/>
            </w:pPr>
            <w:r>
              <w:rPr>
                <w:sz w:val="20"/>
              </w:rPr>
              <w:t xml:space="preserve">93813,3</w:t>
            </w:r>
          </w:p>
        </w:tc>
        <w:tc>
          <w:tcPr>
            <w:tcW w:w="1417" w:type="dxa"/>
          </w:tcPr>
          <w:p>
            <w:pPr>
              <w:pStyle w:val="0"/>
              <w:jc w:val="center"/>
            </w:pPr>
            <w:r>
              <w:rPr>
                <w:sz w:val="20"/>
              </w:rPr>
              <w:t xml:space="preserve">40284,4</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309125,4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113732,6</w:t>
            </w:r>
          </w:p>
        </w:tc>
        <w:tc>
          <w:tcPr>
            <w:tcW w:w="1361" w:type="dxa"/>
          </w:tcPr>
          <w:p>
            <w:pPr>
              <w:pStyle w:val="0"/>
              <w:jc w:val="center"/>
            </w:pPr>
            <w:r>
              <w:rPr>
                <w:sz w:val="20"/>
              </w:rPr>
              <w:t xml:space="preserve">60528,6</w:t>
            </w:r>
          </w:p>
        </w:tc>
        <w:tc>
          <w:tcPr>
            <w:tcW w:w="1474" w:type="dxa"/>
          </w:tcPr>
          <w:p>
            <w:pPr>
              <w:pStyle w:val="0"/>
              <w:jc w:val="center"/>
            </w:pPr>
            <w:r>
              <w:rPr>
                <w:sz w:val="20"/>
              </w:rPr>
              <w:t xml:space="preserve">92875,2</w:t>
            </w:r>
          </w:p>
        </w:tc>
        <w:tc>
          <w:tcPr>
            <w:tcW w:w="1417" w:type="dxa"/>
          </w:tcPr>
          <w:p>
            <w:pPr>
              <w:pStyle w:val="0"/>
              <w:jc w:val="center"/>
            </w:pPr>
            <w:r>
              <w:rPr>
                <w:sz w:val="20"/>
              </w:rPr>
              <w:t xml:space="preserve">39881,6</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307018,0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434,4</w:t>
            </w:r>
          </w:p>
        </w:tc>
        <w:tc>
          <w:tcPr>
            <w:tcW w:w="1361" w:type="dxa"/>
          </w:tcPr>
          <w:p>
            <w:pPr>
              <w:pStyle w:val="0"/>
              <w:jc w:val="center"/>
            </w:pPr>
            <w:r>
              <w:rPr>
                <w:sz w:val="20"/>
              </w:rPr>
              <w:t xml:space="preserve">332,1</w:t>
            </w:r>
          </w:p>
        </w:tc>
        <w:tc>
          <w:tcPr>
            <w:tcW w:w="1474" w:type="dxa"/>
          </w:tcPr>
          <w:p>
            <w:pPr>
              <w:pStyle w:val="0"/>
              <w:jc w:val="center"/>
            </w:pPr>
            <w:r>
              <w:rPr>
                <w:sz w:val="20"/>
              </w:rPr>
              <w:t xml:space="preserve">938,1</w:t>
            </w:r>
          </w:p>
        </w:tc>
        <w:tc>
          <w:tcPr>
            <w:tcW w:w="1417" w:type="dxa"/>
          </w:tcPr>
          <w:p>
            <w:pPr>
              <w:pStyle w:val="0"/>
              <w:jc w:val="center"/>
            </w:pPr>
            <w:r>
              <w:rPr>
                <w:sz w:val="20"/>
              </w:rPr>
              <w:t xml:space="preserve">402,8</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2107,4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82"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2778" w:type="dxa"/>
            <w:tcBorders>
              <w:bottom w:val="nil"/>
            </w:tcBorders>
            <w:vMerge w:val="restart"/>
          </w:tcPr>
          <w:p>
            <w:pPr>
              <w:pStyle w:val="0"/>
              <w:jc w:val="both"/>
            </w:pPr>
            <w:r>
              <w:rPr>
                <w:sz w:val="20"/>
              </w:rPr>
              <w:t xml:space="preserve">8.3.1. Оснащение оборудованием региональных сосудистых центров и первичных сосудистых отделений</w:t>
            </w:r>
          </w:p>
        </w:tc>
        <w:tc>
          <w:tcPr>
            <w:tcW w:w="2040" w:type="dxa"/>
            <w:tcBorders>
              <w:bottom w:val="nil"/>
            </w:tcBorders>
            <w:vMerge w:val="restart"/>
          </w:tcPr>
          <w:p>
            <w:pPr>
              <w:pStyle w:val="0"/>
              <w:jc w:val="both"/>
            </w:pPr>
            <w:r>
              <w:rPr>
                <w:sz w:val="20"/>
              </w:rPr>
              <w:t xml:space="preserve">Государственная </w:t>
            </w:r>
            <w:hyperlink w:history="0" r:id="rId583"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70725,0</w:t>
            </w:r>
          </w:p>
        </w:tc>
        <w:tc>
          <w:tcPr>
            <w:tcW w:w="1361" w:type="dxa"/>
          </w:tcPr>
          <w:p>
            <w:pPr>
              <w:pStyle w:val="0"/>
              <w:jc w:val="center"/>
            </w:pPr>
            <w:r>
              <w:rPr>
                <w:sz w:val="20"/>
              </w:rPr>
              <w:t xml:space="preserve">27647,0</w:t>
            </w:r>
          </w:p>
        </w:tc>
        <w:tc>
          <w:tcPr>
            <w:tcW w:w="1474" w:type="dxa"/>
          </w:tcPr>
          <w:p>
            <w:pPr>
              <w:pStyle w:val="0"/>
              <w:jc w:val="center"/>
            </w:pPr>
            <w:r>
              <w:rPr>
                <w:sz w:val="20"/>
              </w:rPr>
              <w:t xml:space="preserve">53528,9</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151900,9</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70725,0</w:t>
            </w:r>
          </w:p>
        </w:tc>
        <w:tc>
          <w:tcPr>
            <w:tcW w:w="1361" w:type="dxa"/>
          </w:tcPr>
          <w:p>
            <w:pPr>
              <w:pStyle w:val="0"/>
              <w:jc w:val="center"/>
            </w:pPr>
            <w:r>
              <w:rPr>
                <w:sz w:val="20"/>
              </w:rPr>
              <w:t xml:space="preserve">27647,0</w:t>
            </w:r>
          </w:p>
        </w:tc>
        <w:tc>
          <w:tcPr>
            <w:tcW w:w="1474" w:type="dxa"/>
          </w:tcPr>
          <w:p>
            <w:pPr>
              <w:pStyle w:val="0"/>
              <w:jc w:val="center"/>
            </w:pPr>
            <w:r>
              <w:rPr>
                <w:sz w:val="20"/>
              </w:rPr>
              <w:t xml:space="preserve">52993,6</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151365,6</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535,3</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535,3</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84"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r>
        <w:tc>
          <w:tcPr>
            <w:tcW w:w="2778" w:type="dxa"/>
            <w:tcBorders>
              <w:bottom w:val="nil"/>
            </w:tcBorders>
            <w:vMerge w:val="restart"/>
          </w:tcPr>
          <w:p>
            <w:pPr>
              <w:pStyle w:val="0"/>
              <w:jc w:val="both"/>
            </w:pPr>
            <w:r>
              <w:rPr>
                <w:sz w:val="20"/>
              </w:rPr>
              <w:t xml:space="preserve">8.3.2.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2040" w:type="dxa"/>
            <w:tcBorders>
              <w:bottom w:val="nil"/>
            </w:tcBorders>
            <w:vMerge w:val="restart"/>
          </w:tcPr>
          <w:p>
            <w:pPr>
              <w:pStyle w:val="0"/>
              <w:jc w:val="both"/>
            </w:pPr>
            <w:r>
              <w:rPr>
                <w:sz w:val="20"/>
              </w:rPr>
              <w:t xml:space="preserve">Государственная </w:t>
            </w:r>
            <w:hyperlink w:history="0" r:id="rId585"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43442,0</w:t>
            </w:r>
          </w:p>
        </w:tc>
        <w:tc>
          <w:tcPr>
            <w:tcW w:w="1361" w:type="dxa"/>
          </w:tcPr>
          <w:p>
            <w:pPr>
              <w:pStyle w:val="0"/>
              <w:jc w:val="center"/>
            </w:pPr>
            <w:r>
              <w:rPr>
                <w:sz w:val="20"/>
              </w:rPr>
              <w:t xml:space="preserve">33213,7</w:t>
            </w:r>
          </w:p>
        </w:tc>
        <w:tc>
          <w:tcPr>
            <w:tcW w:w="1474" w:type="dxa"/>
          </w:tcPr>
          <w:p>
            <w:pPr>
              <w:pStyle w:val="0"/>
              <w:jc w:val="center"/>
            </w:pPr>
            <w:r>
              <w:rPr>
                <w:sz w:val="20"/>
              </w:rPr>
              <w:t xml:space="preserve">40284,4</w:t>
            </w:r>
          </w:p>
        </w:tc>
        <w:tc>
          <w:tcPr>
            <w:tcW w:w="1417" w:type="dxa"/>
          </w:tcPr>
          <w:p>
            <w:pPr>
              <w:pStyle w:val="0"/>
              <w:jc w:val="center"/>
            </w:pPr>
            <w:r>
              <w:rPr>
                <w:sz w:val="20"/>
              </w:rPr>
              <w:t xml:space="preserve">40284,4</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157224,5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43007,6</w:t>
            </w:r>
          </w:p>
        </w:tc>
        <w:tc>
          <w:tcPr>
            <w:tcW w:w="1361" w:type="dxa"/>
          </w:tcPr>
          <w:p>
            <w:pPr>
              <w:pStyle w:val="0"/>
              <w:jc w:val="center"/>
            </w:pPr>
            <w:r>
              <w:rPr>
                <w:sz w:val="20"/>
              </w:rPr>
              <w:t xml:space="preserve">32881,6</w:t>
            </w:r>
          </w:p>
        </w:tc>
        <w:tc>
          <w:tcPr>
            <w:tcW w:w="1474" w:type="dxa"/>
          </w:tcPr>
          <w:p>
            <w:pPr>
              <w:pStyle w:val="0"/>
              <w:jc w:val="center"/>
            </w:pPr>
            <w:r>
              <w:rPr>
                <w:sz w:val="20"/>
              </w:rPr>
              <w:t xml:space="preserve">39881,6</w:t>
            </w:r>
          </w:p>
        </w:tc>
        <w:tc>
          <w:tcPr>
            <w:tcW w:w="1417" w:type="dxa"/>
          </w:tcPr>
          <w:p>
            <w:pPr>
              <w:pStyle w:val="0"/>
              <w:jc w:val="center"/>
            </w:pPr>
            <w:r>
              <w:rPr>
                <w:sz w:val="20"/>
              </w:rPr>
              <w:t xml:space="preserve">39881,6</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155652,4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434,4</w:t>
            </w:r>
          </w:p>
        </w:tc>
        <w:tc>
          <w:tcPr>
            <w:tcW w:w="1361" w:type="dxa"/>
          </w:tcPr>
          <w:p>
            <w:pPr>
              <w:pStyle w:val="0"/>
              <w:jc w:val="center"/>
            </w:pPr>
            <w:r>
              <w:rPr>
                <w:sz w:val="20"/>
              </w:rPr>
              <w:t xml:space="preserve">332,1</w:t>
            </w:r>
          </w:p>
        </w:tc>
        <w:tc>
          <w:tcPr>
            <w:tcW w:w="1474" w:type="dxa"/>
          </w:tcPr>
          <w:p>
            <w:pPr>
              <w:pStyle w:val="0"/>
              <w:jc w:val="center"/>
            </w:pPr>
            <w:r>
              <w:rPr>
                <w:sz w:val="20"/>
              </w:rPr>
              <w:t xml:space="preserve">402,8</w:t>
            </w:r>
          </w:p>
        </w:tc>
        <w:tc>
          <w:tcPr>
            <w:tcW w:w="1417" w:type="dxa"/>
          </w:tcPr>
          <w:p>
            <w:pPr>
              <w:pStyle w:val="0"/>
              <w:jc w:val="center"/>
            </w:pPr>
            <w:r>
              <w:rPr>
                <w:sz w:val="20"/>
              </w:rPr>
              <w:t xml:space="preserve">402,8</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1572,1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86"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2778" w:type="dxa"/>
            <w:tcBorders>
              <w:bottom w:val="nil"/>
            </w:tcBorders>
            <w:vMerge w:val="restart"/>
          </w:tcPr>
          <w:p>
            <w:pPr>
              <w:pStyle w:val="0"/>
              <w:jc w:val="both"/>
            </w:pPr>
            <w:r>
              <w:rPr>
                <w:sz w:val="20"/>
              </w:rPr>
              <w:t xml:space="preserve">8.4. Реализация регионального проекта "Борьба с онкологическими заболеваниями" в рамках национального проекта "Здравоохранение"</w:t>
            </w:r>
          </w:p>
        </w:tc>
        <w:tc>
          <w:tcPr>
            <w:tcW w:w="2040" w:type="dxa"/>
            <w:tcBorders>
              <w:bottom w:val="nil"/>
            </w:tcBorders>
            <w:vMerge w:val="restart"/>
          </w:tcPr>
          <w:p>
            <w:pPr>
              <w:pStyle w:val="0"/>
              <w:jc w:val="both"/>
            </w:pPr>
            <w:r>
              <w:rPr>
                <w:sz w:val="20"/>
              </w:rPr>
              <w:t xml:space="preserve">Государственная </w:t>
            </w:r>
            <w:hyperlink w:history="0" r:id="rId587"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здравоохранения города Севастополя, ГКУС "Медицинский склад N 1043"</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117558,2</w:t>
            </w:r>
          </w:p>
        </w:tc>
        <w:tc>
          <w:tcPr>
            <w:tcW w:w="1361" w:type="dxa"/>
          </w:tcPr>
          <w:p>
            <w:pPr>
              <w:pStyle w:val="0"/>
              <w:jc w:val="center"/>
            </w:pPr>
            <w:r>
              <w:rPr>
                <w:sz w:val="20"/>
              </w:rPr>
              <w:t xml:space="preserve">40766,7</w:t>
            </w:r>
          </w:p>
        </w:tc>
        <w:tc>
          <w:tcPr>
            <w:tcW w:w="1474" w:type="dxa"/>
          </w:tcPr>
          <w:p>
            <w:pPr>
              <w:pStyle w:val="0"/>
              <w:jc w:val="center"/>
            </w:pPr>
            <w:r>
              <w:rPr>
                <w:sz w:val="20"/>
              </w:rPr>
              <w:t xml:space="preserve">29522,1</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187847,0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117558,2</w:t>
            </w:r>
          </w:p>
        </w:tc>
        <w:tc>
          <w:tcPr>
            <w:tcW w:w="1361" w:type="dxa"/>
          </w:tcPr>
          <w:p>
            <w:pPr>
              <w:pStyle w:val="0"/>
              <w:jc w:val="center"/>
            </w:pPr>
            <w:r>
              <w:rPr>
                <w:sz w:val="20"/>
              </w:rPr>
              <w:t xml:space="preserve">40766,7</w:t>
            </w:r>
          </w:p>
        </w:tc>
        <w:tc>
          <w:tcPr>
            <w:tcW w:w="1474" w:type="dxa"/>
          </w:tcPr>
          <w:p>
            <w:pPr>
              <w:pStyle w:val="0"/>
              <w:jc w:val="center"/>
            </w:pPr>
            <w:r>
              <w:rPr>
                <w:sz w:val="20"/>
              </w:rPr>
              <w:t xml:space="preserve">29226,9</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187551,8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295,2</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295,2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РФ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88"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2778" w:type="dxa"/>
            <w:vMerge w:val="restart"/>
          </w:tcPr>
          <w:p>
            <w:pPr>
              <w:pStyle w:val="0"/>
              <w:jc w:val="both"/>
            </w:pPr>
            <w:r>
              <w:rPr>
                <w:sz w:val="20"/>
              </w:rPr>
              <w:t xml:space="preserve">8.5. Реализация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в рамках национального проекта "Здравоохранение"</w:t>
            </w:r>
          </w:p>
        </w:tc>
        <w:tc>
          <w:tcPr>
            <w:tcW w:w="2040" w:type="dxa"/>
            <w:vMerge w:val="restart"/>
          </w:tcPr>
          <w:p>
            <w:pPr>
              <w:pStyle w:val="0"/>
              <w:jc w:val="both"/>
            </w:pPr>
            <w:r>
              <w:rPr>
                <w:sz w:val="20"/>
              </w:rPr>
              <w:t xml:space="preserve">Государственная </w:t>
            </w:r>
            <w:hyperlink w:history="0" r:id="rId589"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капитального строительства города Севастополя, 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31831,1</w:t>
            </w:r>
          </w:p>
        </w:tc>
        <w:tc>
          <w:tcPr>
            <w:tcW w:w="1361" w:type="dxa"/>
          </w:tcPr>
          <w:p>
            <w:pPr>
              <w:pStyle w:val="0"/>
              <w:jc w:val="center"/>
            </w:pPr>
            <w:r>
              <w:rPr>
                <w:sz w:val="20"/>
              </w:rPr>
              <w:t xml:space="preserve">30431,1</w:t>
            </w:r>
          </w:p>
        </w:tc>
        <w:tc>
          <w:tcPr>
            <w:tcW w:w="1474" w:type="dxa"/>
          </w:tcPr>
          <w:p>
            <w:pPr>
              <w:pStyle w:val="0"/>
              <w:jc w:val="center"/>
            </w:pPr>
            <w:r>
              <w:rPr>
                <w:sz w:val="20"/>
              </w:rPr>
              <w:t xml:space="preserve">32797,4</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95059,6</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31512,8</w:t>
            </w:r>
          </w:p>
        </w:tc>
        <w:tc>
          <w:tcPr>
            <w:tcW w:w="1361" w:type="dxa"/>
          </w:tcPr>
          <w:p>
            <w:pPr>
              <w:pStyle w:val="0"/>
              <w:jc w:val="center"/>
            </w:pPr>
            <w:r>
              <w:rPr>
                <w:sz w:val="20"/>
              </w:rPr>
              <w:t xml:space="preserve">30126,8</w:t>
            </w:r>
          </w:p>
        </w:tc>
        <w:tc>
          <w:tcPr>
            <w:tcW w:w="1474" w:type="dxa"/>
          </w:tcPr>
          <w:p>
            <w:pPr>
              <w:pStyle w:val="0"/>
              <w:jc w:val="center"/>
            </w:pPr>
            <w:r>
              <w:rPr>
                <w:sz w:val="20"/>
              </w:rPr>
              <w:t xml:space="preserve">32469,4</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94109,0</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318,3</w:t>
            </w:r>
          </w:p>
        </w:tc>
        <w:tc>
          <w:tcPr>
            <w:tcW w:w="1361" w:type="dxa"/>
          </w:tcPr>
          <w:p>
            <w:pPr>
              <w:pStyle w:val="0"/>
              <w:jc w:val="center"/>
            </w:pPr>
            <w:r>
              <w:rPr>
                <w:sz w:val="20"/>
              </w:rPr>
              <w:t xml:space="preserve">304,3</w:t>
            </w:r>
          </w:p>
        </w:tc>
        <w:tc>
          <w:tcPr>
            <w:tcW w:w="1474" w:type="dxa"/>
          </w:tcPr>
          <w:p>
            <w:pPr>
              <w:pStyle w:val="0"/>
              <w:jc w:val="center"/>
            </w:pPr>
            <w:r>
              <w:rPr>
                <w:sz w:val="20"/>
              </w:rPr>
              <w:t xml:space="preserve">328,0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950,6</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tcBorders>
              <w:bottom w:val="nil"/>
            </w:tcBorders>
            <w:vMerge w:val="restart"/>
          </w:tcPr>
          <w:p>
            <w:pPr>
              <w:pStyle w:val="0"/>
              <w:jc w:val="both"/>
            </w:pPr>
            <w:r>
              <w:rPr>
                <w:sz w:val="20"/>
              </w:rPr>
              <w:t xml:space="preserve">8.6. Реализация регионального проекта "Модернизация первичного звена здравоохранения Российской Федерации (город федерального значения Севастополь)"</w:t>
            </w:r>
          </w:p>
        </w:tc>
        <w:tc>
          <w:tcPr>
            <w:tcW w:w="2040" w:type="dxa"/>
            <w:tcBorders>
              <w:bottom w:val="nil"/>
            </w:tcBorders>
            <w:vMerge w:val="restart"/>
          </w:tcPr>
          <w:p>
            <w:pPr>
              <w:pStyle w:val="0"/>
              <w:jc w:val="both"/>
            </w:pPr>
            <w:r>
              <w:rPr>
                <w:sz w:val="20"/>
              </w:rPr>
              <w:t xml:space="preserve">Государственная </w:t>
            </w:r>
            <w:hyperlink w:history="0" r:id="rId590"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 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282403,1</w:t>
            </w:r>
          </w:p>
        </w:tc>
        <w:tc>
          <w:tcPr>
            <w:tcW w:w="1361" w:type="dxa"/>
          </w:tcPr>
          <w:p>
            <w:pPr>
              <w:pStyle w:val="0"/>
              <w:jc w:val="center"/>
            </w:pPr>
            <w:r>
              <w:rPr>
                <w:sz w:val="20"/>
              </w:rPr>
              <w:t xml:space="preserve">269940,4</w:t>
            </w:r>
          </w:p>
        </w:tc>
        <w:tc>
          <w:tcPr>
            <w:tcW w:w="1474" w:type="dxa"/>
          </w:tcPr>
          <w:p>
            <w:pPr>
              <w:pStyle w:val="0"/>
              <w:jc w:val="center"/>
            </w:pPr>
            <w:r>
              <w:rPr>
                <w:sz w:val="20"/>
              </w:rPr>
              <w:t xml:space="preserve">267427,8</w:t>
            </w:r>
          </w:p>
        </w:tc>
        <w:tc>
          <w:tcPr>
            <w:tcW w:w="1417" w:type="dxa"/>
          </w:tcPr>
          <w:p>
            <w:pPr>
              <w:pStyle w:val="0"/>
              <w:jc w:val="center"/>
            </w:pPr>
            <w:r>
              <w:rPr>
                <w:sz w:val="20"/>
              </w:rPr>
              <w:t xml:space="preserve">401141,6</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1422039,5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261403,6</w:t>
            </w:r>
          </w:p>
        </w:tc>
        <w:tc>
          <w:tcPr>
            <w:tcW w:w="1361" w:type="dxa"/>
          </w:tcPr>
          <w:p>
            <w:pPr>
              <w:pStyle w:val="0"/>
              <w:jc w:val="center"/>
            </w:pPr>
            <w:r>
              <w:rPr>
                <w:sz w:val="20"/>
              </w:rPr>
              <w:t xml:space="preserve">261403,6</w:t>
            </w:r>
          </w:p>
        </w:tc>
        <w:tc>
          <w:tcPr>
            <w:tcW w:w="1474" w:type="dxa"/>
          </w:tcPr>
          <w:p>
            <w:pPr>
              <w:pStyle w:val="0"/>
              <w:jc w:val="center"/>
            </w:pPr>
            <w:r>
              <w:rPr>
                <w:sz w:val="20"/>
              </w:rPr>
              <w:t xml:space="preserve">261403,6</w:t>
            </w:r>
          </w:p>
        </w:tc>
        <w:tc>
          <w:tcPr>
            <w:tcW w:w="1417" w:type="dxa"/>
          </w:tcPr>
          <w:p>
            <w:pPr>
              <w:pStyle w:val="0"/>
              <w:jc w:val="center"/>
            </w:pPr>
            <w:r>
              <w:rPr>
                <w:sz w:val="20"/>
              </w:rPr>
              <w:t xml:space="preserve">392105,5</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1176316,3</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20999,5</w:t>
            </w:r>
          </w:p>
        </w:tc>
        <w:tc>
          <w:tcPr>
            <w:tcW w:w="1361" w:type="dxa"/>
          </w:tcPr>
          <w:p>
            <w:pPr>
              <w:pStyle w:val="0"/>
              <w:jc w:val="center"/>
            </w:pPr>
            <w:r>
              <w:rPr>
                <w:sz w:val="20"/>
              </w:rPr>
              <w:t xml:space="preserve">8536,8</w:t>
            </w:r>
          </w:p>
        </w:tc>
        <w:tc>
          <w:tcPr>
            <w:tcW w:w="1474" w:type="dxa"/>
          </w:tcPr>
          <w:p>
            <w:pPr>
              <w:pStyle w:val="0"/>
              <w:jc w:val="center"/>
            </w:pPr>
            <w:r>
              <w:rPr>
                <w:sz w:val="20"/>
              </w:rPr>
              <w:t xml:space="preserve">6024,2</w:t>
            </w:r>
          </w:p>
        </w:tc>
        <w:tc>
          <w:tcPr>
            <w:tcW w:w="1417" w:type="dxa"/>
          </w:tcPr>
          <w:p>
            <w:pPr>
              <w:pStyle w:val="0"/>
              <w:jc w:val="center"/>
            </w:pPr>
            <w:r>
              <w:rPr>
                <w:sz w:val="20"/>
              </w:rPr>
              <w:t xml:space="preserve">9036,1</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245723,2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w:t>
            </w:r>
          </w:p>
        </w:tc>
        <w:tc>
          <w:tcPr>
            <w:tcW w:w="1361" w:type="dxa"/>
          </w:tcPr>
          <w:p>
            <w:pPr>
              <w:pStyle w:val="0"/>
              <w:jc w:val="center"/>
            </w:pPr>
            <w:r>
              <w:rPr>
                <w:sz w:val="20"/>
              </w:rPr>
              <w:t xml:space="preserve">6024,2</w:t>
            </w:r>
          </w:p>
        </w:tc>
        <w:tc>
          <w:tcPr>
            <w:tcW w:w="1361" w:type="dxa"/>
          </w:tcPr>
          <w:p>
            <w:pPr>
              <w:pStyle w:val="0"/>
              <w:jc w:val="center"/>
            </w:pPr>
            <w:r>
              <w:rPr>
                <w:sz w:val="20"/>
              </w:rPr>
              <w:t xml:space="preserve">6024,2</w:t>
            </w:r>
          </w:p>
        </w:tc>
        <w:tc>
          <w:tcPr>
            <w:tcW w:w="1474" w:type="dxa"/>
          </w:tcPr>
          <w:p>
            <w:pPr>
              <w:pStyle w:val="0"/>
              <w:jc w:val="center"/>
            </w:pPr>
            <w:r>
              <w:rPr>
                <w:sz w:val="20"/>
              </w:rPr>
              <w:t xml:space="preserve">6024,2</w:t>
            </w:r>
          </w:p>
        </w:tc>
        <w:tc>
          <w:tcPr>
            <w:tcW w:w="1417" w:type="dxa"/>
          </w:tcPr>
          <w:p>
            <w:pPr>
              <w:pStyle w:val="0"/>
              <w:jc w:val="center"/>
            </w:pPr>
            <w:r>
              <w:rPr>
                <w:sz w:val="20"/>
              </w:rPr>
              <w:t xml:space="preserve">9036,1</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27108,7</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14975,3</w:t>
            </w:r>
          </w:p>
        </w:tc>
        <w:tc>
          <w:tcPr>
            <w:tcW w:w="1361" w:type="dxa"/>
          </w:tcPr>
          <w:p>
            <w:pPr>
              <w:pStyle w:val="0"/>
              <w:jc w:val="center"/>
            </w:pPr>
            <w:r>
              <w:rPr>
                <w:sz w:val="20"/>
              </w:rPr>
              <w:t xml:space="preserve">2512,6</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218614,5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91"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2778" w:type="dxa"/>
            <w:tcBorders>
              <w:bottom w:val="nil"/>
            </w:tcBorders>
            <w:vMerge w:val="restart"/>
          </w:tcPr>
          <w:p>
            <w:pPr>
              <w:pStyle w:val="0"/>
              <w:jc w:val="both"/>
            </w:pPr>
            <w:r>
              <w:rPr>
                <w:sz w:val="20"/>
              </w:rPr>
              <w:t xml:space="preserve">8.6.1. Строительство новых объектов</w:t>
            </w:r>
          </w:p>
        </w:tc>
        <w:tc>
          <w:tcPr>
            <w:tcW w:w="2040" w:type="dxa"/>
            <w:tcBorders>
              <w:bottom w:val="nil"/>
            </w:tcBorders>
            <w:vMerge w:val="restart"/>
          </w:tcPr>
          <w:p>
            <w:pPr>
              <w:pStyle w:val="0"/>
              <w:jc w:val="both"/>
            </w:pPr>
            <w:r>
              <w:rPr>
                <w:sz w:val="20"/>
              </w:rPr>
              <w:t xml:space="preserve">Государственная </w:t>
            </w:r>
            <w:hyperlink w:history="0" r:id="rId592"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212403,1</w:t>
            </w:r>
          </w:p>
        </w:tc>
        <w:tc>
          <w:tcPr>
            <w:tcW w:w="1361" w:type="dxa"/>
          </w:tcPr>
          <w:p>
            <w:pPr>
              <w:pStyle w:val="0"/>
              <w:jc w:val="center"/>
            </w:pPr>
            <w:r>
              <w:rPr>
                <w:sz w:val="20"/>
              </w:rPr>
              <w:t xml:space="preserve">269940,4</w:t>
            </w:r>
          </w:p>
        </w:tc>
        <w:tc>
          <w:tcPr>
            <w:tcW w:w="1474" w:type="dxa"/>
          </w:tcPr>
          <w:p>
            <w:pPr>
              <w:pStyle w:val="0"/>
              <w:jc w:val="center"/>
            </w:pPr>
            <w:r>
              <w:rPr>
                <w:sz w:val="20"/>
              </w:rPr>
              <w:t xml:space="preserve">267427,8</w:t>
            </w:r>
          </w:p>
        </w:tc>
        <w:tc>
          <w:tcPr>
            <w:tcW w:w="1417" w:type="dxa"/>
          </w:tcPr>
          <w:p>
            <w:pPr>
              <w:pStyle w:val="0"/>
              <w:jc w:val="center"/>
            </w:pPr>
            <w:r>
              <w:rPr>
                <w:sz w:val="20"/>
              </w:rPr>
              <w:t xml:space="preserve">341141,6</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1292039,5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192980,5</w:t>
            </w:r>
          </w:p>
        </w:tc>
        <w:tc>
          <w:tcPr>
            <w:tcW w:w="1361" w:type="dxa"/>
          </w:tcPr>
          <w:p>
            <w:pPr>
              <w:pStyle w:val="0"/>
              <w:jc w:val="center"/>
            </w:pPr>
            <w:r>
              <w:rPr>
                <w:sz w:val="20"/>
              </w:rPr>
              <w:t xml:space="preserve">261403,6</w:t>
            </w:r>
          </w:p>
        </w:tc>
        <w:tc>
          <w:tcPr>
            <w:tcW w:w="1474" w:type="dxa"/>
          </w:tcPr>
          <w:p>
            <w:pPr>
              <w:pStyle w:val="0"/>
              <w:jc w:val="center"/>
            </w:pPr>
            <w:r>
              <w:rPr>
                <w:sz w:val="20"/>
              </w:rPr>
              <w:t xml:space="preserve">261403,6</w:t>
            </w:r>
          </w:p>
        </w:tc>
        <w:tc>
          <w:tcPr>
            <w:tcW w:w="1417" w:type="dxa"/>
          </w:tcPr>
          <w:p>
            <w:pPr>
              <w:pStyle w:val="0"/>
              <w:jc w:val="center"/>
            </w:pPr>
            <w:r>
              <w:rPr>
                <w:sz w:val="20"/>
              </w:rPr>
              <w:t xml:space="preserve">333457,0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1049244,7</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19422,6</w:t>
            </w:r>
          </w:p>
        </w:tc>
        <w:tc>
          <w:tcPr>
            <w:tcW w:w="1361" w:type="dxa"/>
          </w:tcPr>
          <w:p>
            <w:pPr>
              <w:pStyle w:val="0"/>
              <w:jc w:val="center"/>
            </w:pPr>
            <w:r>
              <w:rPr>
                <w:sz w:val="20"/>
              </w:rPr>
              <w:t xml:space="preserve">8536,8</w:t>
            </w:r>
          </w:p>
        </w:tc>
        <w:tc>
          <w:tcPr>
            <w:tcW w:w="1474" w:type="dxa"/>
          </w:tcPr>
          <w:p>
            <w:pPr>
              <w:pStyle w:val="0"/>
              <w:jc w:val="center"/>
            </w:pPr>
            <w:r>
              <w:rPr>
                <w:sz w:val="20"/>
              </w:rPr>
              <w:t xml:space="preserve">6024,2</w:t>
            </w:r>
          </w:p>
        </w:tc>
        <w:tc>
          <w:tcPr>
            <w:tcW w:w="1417" w:type="dxa"/>
          </w:tcPr>
          <w:p>
            <w:pPr>
              <w:pStyle w:val="0"/>
              <w:jc w:val="center"/>
            </w:pPr>
            <w:r>
              <w:rPr>
                <w:sz w:val="20"/>
              </w:rPr>
              <w:t xml:space="preserve">7684,6</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242794,8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w:t>
            </w:r>
          </w:p>
        </w:tc>
        <w:tc>
          <w:tcPr>
            <w:tcW w:w="1361" w:type="dxa"/>
          </w:tcPr>
          <w:p>
            <w:pPr>
              <w:pStyle w:val="0"/>
              <w:jc w:val="center"/>
            </w:pPr>
            <w:r>
              <w:rPr>
                <w:sz w:val="20"/>
              </w:rPr>
              <w:t xml:space="preserve">4447,3</w:t>
            </w:r>
          </w:p>
        </w:tc>
        <w:tc>
          <w:tcPr>
            <w:tcW w:w="1361" w:type="dxa"/>
          </w:tcPr>
          <w:p>
            <w:pPr>
              <w:pStyle w:val="0"/>
              <w:jc w:val="center"/>
            </w:pPr>
            <w:r>
              <w:rPr>
                <w:sz w:val="20"/>
              </w:rPr>
              <w:t xml:space="preserve">6024,2</w:t>
            </w:r>
          </w:p>
        </w:tc>
        <w:tc>
          <w:tcPr>
            <w:tcW w:w="1474" w:type="dxa"/>
          </w:tcPr>
          <w:p>
            <w:pPr>
              <w:pStyle w:val="0"/>
              <w:jc w:val="center"/>
            </w:pPr>
            <w:r>
              <w:rPr>
                <w:sz w:val="20"/>
              </w:rPr>
              <w:t xml:space="preserve">6024,2</w:t>
            </w:r>
          </w:p>
        </w:tc>
        <w:tc>
          <w:tcPr>
            <w:tcW w:w="1417" w:type="dxa"/>
          </w:tcPr>
          <w:p>
            <w:pPr>
              <w:pStyle w:val="0"/>
              <w:jc w:val="center"/>
            </w:pPr>
            <w:r>
              <w:rPr>
                <w:sz w:val="20"/>
              </w:rPr>
              <w:t xml:space="preserve">7684,6</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24180,3</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14975,3</w:t>
            </w:r>
          </w:p>
        </w:tc>
        <w:tc>
          <w:tcPr>
            <w:tcW w:w="1361" w:type="dxa"/>
          </w:tcPr>
          <w:p>
            <w:pPr>
              <w:pStyle w:val="0"/>
              <w:jc w:val="center"/>
            </w:pPr>
            <w:r>
              <w:rPr>
                <w:sz w:val="20"/>
              </w:rPr>
              <w:t xml:space="preserve">2512,6</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218614,5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9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2778" w:type="dxa"/>
            <w:tcBorders>
              <w:bottom w:val="nil"/>
            </w:tcBorders>
            <w:vMerge w:val="restart"/>
          </w:tcPr>
          <w:p>
            <w:pPr>
              <w:pStyle w:val="0"/>
              <w:jc w:val="both"/>
            </w:pPr>
            <w:r>
              <w:rPr>
                <w:sz w:val="20"/>
              </w:rPr>
              <w:t xml:space="preserve">8.6.1.1. Поликлиника ГБУЗС "Городская больница N 1 им. Н.И. Пирогова" на 400 посещений в смену</w:t>
            </w:r>
          </w:p>
        </w:tc>
        <w:tc>
          <w:tcPr>
            <w:tcW w:w="2040" w:type="dxa"/>
            <w:tcBorders>
              <w:bottom w:val="nil"/>
            </w:tcBorders>
            <w:vMerge w:val="restart"/>
          </w:tcPr>
          <w:p>
            <w:pPr>
              <w:pStyle w:val="0"/>
              <w:jc w:val="both"/>
            </w:pPr>
            <w:r>
              <w:rPr>
                <w:sz w:val="20"/>
              </w:rPr>
              <w:t xml:space="preserve">Государственная </w:t>
            </w:r>
            <w:hyperlink w:history="0" r:id="rId594"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126138,4</w:t>
            </w:r>
          </w:p>
        </w:tc>
        <w:tc>
          <w:tcPr>
            <w:tcW w:w="1361" w:type="dxa"/>
          </w:tcPr>
          <w:p>
            <w:pPr>
              <w:pStyle w:val="0"/>
              <w:jc w:val="center"/>
            </w:pPr>
            <w:r>
              <w:rPr>
                <w:sz w:val="20"/>
              </w:rPr>
              <w:t xml:space="preserve">208889,3</w:t>
            </w:r>
          </w:p>
        </w:tc>
        <w:tc>
          <w:tcPr>
            <w:tcW w:w="1474" w:type="dxa"/>
          </w:tcPr>
          <w:p>
            <w:pPr>
              <w:pStyle w:val="0"/>
              <w:jc w:val="center"/>
            </w:pPr>
            <w:r>
              <w:rPr>
                <w:sz w:val="20"/>
              </w:rPr>
              <w:t xml:space="preserve">267427,8</w:t>
            </w:r>
          </w:p>
        </w:tc>
        <w:tc>
          <w:tcPr>
            <w:tcW w:w="1417" w:type="dxa"/>
          </w:tcPr>
          <w:p>
            <w:pPr>
              <w:pStyle w:val="0"/>
              <w:jc w:val="center"/>
            </w:pPr>
            <w:r>
              <w:rPr>
                <w:sz w:val="20"/>
              </w:rPr>
              <w:t xml:space="preserve">341141,6</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943597,1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114782,6</w:t>
            </w:r>
          </w:p>
        </w:tc>
        <w:tc>
          <w:tcPr>
            <w:tcW w:w="1361" w:type="dxa"/>
          </w:tcPr>
          <w:p>
            <w:pPr>
              <w:pStyle w:val="0"/>
              <w:jc w:val="center"/>
            </w:pPr>
            <w:r>
              <w:rPr>
                <w:sz w:val="20"/>
              </w:rPr>
              <w:t xml:space="preserve">202755,2</w:t>
            </w:r>
          </w:p>
        </w:tc>
        <w:tc>
          <w:tcPr>
            <w:tcW w:w="1474" w:type="dxa"/>
          </w:tcPr>
          <w:p>
            <w:pPr>
              <w:pStyle w:val="0"/>
              <w:jc w:val="center"/>
            </w:pPr>
            <w:r>
              <w:rPr>
                <w:sz w:val="20"/>
              </w:rPr>
              <w:t xml:space="preserve">261403,6</w:t>
            </w:r>
          </w:p>
        </w:tc>
        <w:tc>
          <w:tcPr>
            <w:tcW w:w="1417" w:type="dxa"/>
          </w:tcPr>
          <w:p>
            <w:pPr>
              <w:pStyle w:val="0"/>
              <w:jc w:val="center"/>
            </w:pPr>
            <w:r>
              <w:rPr>
                <w:sz w:val="20"/>
              </w:rPr>
              <w:t xml:space="preserve">333457,0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912398,4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11355,8</w:t>
            </w:r>
          </w:p>
        </w:tc>
        <w:tc>
          <w:tcPr>
            <w:tcW w:w="1361" w:type="dxa"/>
          </w:tcPr>
          <w:p>
            <w:pPr>
              <w:pStyle w:val="0"/>
              <w:jc w:val="center"/>
            </w:pPr>
            <w:r>
              <w:rPr>
                <w:sz w:val="20"/>
              </w:rPr>
              <w:t xml:space="preserve">6134,1</w:t>
            </w:r>
          </w:p>
        </w:tc>
        <w:tc>
          <w:tcPr>
            <w:tcW w:w="1474" w:type="dxa"/>
          </w:tcPr>
          <w:p>
            <w:pPr>
              <w:pStyle w:val="0"/>
              <w:jc w:val="center"/>
            </w:pPr>
            <w:r>
              <w:rPr>
                <w:sz w:val="20"/>
              </w:rPr>
              <w:t xml:space="preserve">6024,2</w:t>
            </w:r>
          </w:p>
        </w:tc>
        <w:tc>
          <w:tcPr>
            <w:tcW w:w="1417" w:type="dxa"/>
          </w:tcPr>
          <w:p>
            <w:pPr>
              <w:pStyle w:val="0"/>
              <w:jc w:val="center"/>
            </w:pPr>
            <w:r>
              <w:rPr>
                <w:sz w:val="20"/>
              </w:rPr>
              <w:t xml:space="preserve">7684,6</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31198,7</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w:t>
            </w:r>
          </w:p>
        </w:tc>
        <w:tc>
          <w:tcPr>
            <w:tcW w:w="1361" w:type="dxa"/>
          </w:tcPr>
          <w:p>
            <w:pPr>
              <w:pStyle w:val="0"/>
              <w:jc w:val="center"/>
            </w:pPr>
            <w:r>
              <w:rPr>
                <w:sz w:val="20"/>
              </w:rPr>
              <w:t xml:space="preserve">2645,2</w:t>
            </w:r>
          </w:p>
        </w:tc>
        <w:tc>
          <w:tcPr>
            <w:tcW w:w="1361" w:type="dxa"/>
          </w:tcPr>
          <w:p>
            <w:pPr>
              <w:pStyle w:val="0"/>
              <w:jc w:val="center"/>
            </w:pPr>
            <w:r>
              <w:rPr>
                <w:sz w:val="20"/>
              </w:rPr>
              <w:t xml:space="preserve">4672,6</w:t>
            </w:r>
          </w:p>
        </w:tc>
        <w:tc>
          <w:tcPr>
            <w:tcW w:w="1474" w:type="dxa"/>
          </w:tcPr>
          <w:p>
            <w:pPr>
              <w:pStyle w:val="0"/>
              <w:jc w:val="center"/>
            </w:pPr>
            <w:r>
              <w:rPr>
                <w:sz w:val="20"/>
              </w:rPr>
              <w:t xml:space="preserve">6024,2</w:t>
            </w:r>
          </w:p>
        </w:tc>
        <w:tc>
          <w:tcPr>
            <w:tcW w:w="1417" w:type="dxa"/>
          </w:tcPr>
          <w:p>
            <w:pPr>
              <w:pStyle w:val="0"/>
              <w:jc w:val="center"/>
            </w:pPr>
            <w:r>
              <w:rPr>
                <w:sz w:val="20"/>
              </w:rPr>
              <w:t xml:space="preserve">7684,6</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21026,6</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8710,6</w:t>
            </w:r>
          </w:p>
        </w:tc>
        <w:tc>
          <w:tcPr>
            <w:tcW w:w="1361" w:type="dxa"/>
          </w:tcPr>
          <w:p>
            <w:pPr>
              <w:pStyle w:val="0"/>
              <w:jc w:val="center"/>
            </w:pPr>
            <w:r>
              <w:rPr>
                <w:sz w:val="20"/>
              </w:rPr>
              <w:t xml:space="preserve">1461,5</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10172,1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9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2778" w:type="dxa"/>
            <w:tcBorders>
              <w:bottom w:val="nil"/>
            </w:tcBorders>
            <w:vMerge w:val="restart"/>
          </w:tcPr>
          <w:p>
            <w:pPr>
              <w:pStyle w:val="0"/>
              <w:jc w:val="both"/>
            </w:pPr>
            <w:r>
              <w:rPr>
                <w:sz w:val="20"/>
              </w:rPr>
              <w:t xml:space="preserve">8.6.1.2. Врачебная амбулатория ГБУЗС "Городская больница N 1 им. Н.И. Пирогова" на 100 посещений в смену</w:t>
            </w:r>
          </w:p>
        </w:tc>
        <w:tc>
          <w:tcPr>
            <w:tcW w:w="2040" w:type="dxa"/>
            <w:tcBorders>
              <w:bottom w:val="nil"/>
            </w:tcBorders>
            <w:vMerge w:val="restart"/>
          </w:tcPr>
          <w:p>
            <w:pPr>
              <w:pStyle w:val="0"/>
              <w:jc w:val="both"/>
            </w:pPr>
            <w:r>
              <w:rPr>
                <w:sz w:val="20"/>
              </w:rPr>
              <w:t xml:space="preserve">Государственная </w:t>
            </w:r>
            <w:hyperlink w:history="0" r:id="rId596"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tcBorders>
              <w:bottom w:val="nil"/>
            </w:tcBorders>
            <w:vMerge w:val="restart"/>
          </w:tcPr>
          <w:p>
            <w:pPr>
              <w:pStyle w:val="0"/>
              <w:jc w:val="both"/>
            </w:pPr>
            <w:r>
              <w:rPr>
                <w:sz w:val="20"/>
              </w:rPr>
              <w:t xml:space="preserve">Департамент капитального строительства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86264,7</w:t>
            </w:r>
          </w:p>
        </w:tc>
        <w:tc>
          <w:tcPr>
            <w:tcW w:w="1361" w:type="dxa"/>
          </w:tcPr>
          <w:p>
            <w:pPr>
              <w:pStyle w:val="0"/>
              <w:jc w:val="center"/>
            </w:pPr>
            <w:r>
              <w:rPr>
                <w:sz w:val="20"/>
              </w:rPr>
              <w:t xml:space="preserve">61051,1</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348442,4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78197,9</w:t>
            </w:r>
          </w:p>
        </w:tc>
        <w:tc>
          <w:tcPr>
            <w:tcW w:w="1361" w:type="dxa"/>
          </w:tcPr>
          <w:p>
            <w:pPr>
              <w:pStyle w:val="0"/>
              <w:jc w:val="center"/>
            </w:pPr>
            <w:r>
              <w:rPr>
                <w:sz w:val="20"/>
              </w:rPr>
              <w:t xml:space="preserve">58648,4</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136846,3</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8066,8</w:t>
            </w:r>
          </w:p>
        </w:tc>
        <w:tc>
          <w:tcPr>
            <w:tcW w:w="1361" w:type="dxa"/>
          </w:tcPr>
          <w:p>
            <w:pPr>
              <w:pStyle w:val="0"/>
              <w:jc w:val="center"/>
            </w:pPr>
            <w:r>
              <w:rPr>
                <w:sz w:val="20"/>
              </w:rPr>
              <w:t xml:space="preserve">2402,7</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211596,1</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установленного уровня софинансирования</w:t>
            </w:r>
          </w:p>
        </w:tc>
        <w:tc>
          <w:tcPr>
            <w:tcW w:w="1361" w:type="dxa"/>
          </w:tcPr>
          <w:p>
            <w:pPr>
              <w:pStyle w:val="0"/>
              <w:jc w:val="center"/>
            </w:pPr>
            <w:r>
              <w:rPr>
                <w:sz w:val="20"/>
              </w:rPr>
              <w:t xml:space="preserve">1802,1</w:t>
            </w:r>
          </w:p>
        </w:tc>
        <w:tc>
          <w:tcPr>
            <w:tcW w:w="1361" w:type="dxa"/>
          </w:tcPr>
          <w:p>
            <w:pPr>
              <w:pStyle w:val="0"/>
              <w:jc w:val="center"/>
            </w:pPr>
            <w:r>
              <w:rPr>
                <w:sz w:val="20"/>
              </w:rPr>
              <w:t xml:space="preserve">1351,6</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3153,7</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в размере сверх установленного уровня софинансирования</w:t>
            </w:r>
          </w:p>
        </w:tc>
        <w:tc>
          <w:tcPr>
            <w:tcW w:w="1361" w:type="dxa"/>
          </w:tcPr>
          <w:p>
            <w:pPr>
              <w:pStyle w:val="0"/>
              <w:jc w:val="center"/>
            </w:pPr>
            <w:r>
              <w:rPr>
                <w:sz w:val="20"/>
              </w:rPr>
              <w:t xml:space="preserve">6264,7</w:t>
            </w:r>
          </w:p>
        </w:tc>
        <w:tc>
          <w:tcPr>
            <w:tcW w:w="1361" w:type="dxa"/>
          </w:tcPr>
          <w:p>
            <w:pPr>
              <w:pStyle w:val="0"/>
              <w:jc w:val="center"/>
            </w:pPr>
            <w:r>
              <w:rPr>
                <w:sz w:val="20"/>
              </w:rPr>
              <w:t xml:space="preserve">1051,1</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208442,4</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97"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27.04.2023 N 219-ПП)</w:t>
            </w:r>
          </w:p>
        </w:tc>
      </w:tr>
      <w:tr>
        <w:tc>
          <w:tcPr>
            <w:tcW w:w="2778" w:type="dxa"/>
            <w:vMerge w:val="restart"/>
          </w:tcPr>
          <w:p>
            <w:pPr>
              <w:pStyle w:val="0"/>
              <w:jc w:val="both"/>
            </w:pPr>
            <w:r>
              <w:rPr>
                <w:sz w:val="20"/>
              </w:rPr>
              <w:t xml:space="preserve">8.6.2. Приобретение/ замена медицинского оборудования</w:t>
            </w:r>
          </w:p>
        </w:tc>
        <w:tc>
          <w:tcPr>
            <w:tcW w:w="2040" w:type="dxa"/>
            <w:vMerge w:val="restart"/>
          </w:tcPr>
          <w:p>
            <w:pPr>
              <w:pStyle w:val="0"/>
              <w:jc w:val="both"/>
            </w:pPr>
            <w:r>
              <w:rPr>
                <w:sz w:val="20"/>
              </w:rPr>
              <w:t xml:space="preserve">Государственная </w:t>
            </w:r>
            <w:hyperlink w:history="0" r:id="rId598"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программа</w:t>
              </w:r>
            </w:hyperlink>
            <w:r>
              <w:rPr>
                <w:sz w:val="20"/>
              </w:rPr>
              <w:t xml:space="preserve"> Российской Федерации "Развитие здравоохранения"</w:t>
            </w:r>
          </w:p>
        </w:tc>
        <w:tc>
          <w:tcPr>
            <w:tcW w:w="1928" w:type="dxa"/>
            <w:vMerge w:val="restart"/>
          </w:tcPr>
          <w:p>
            <w:pPr>
              <w:pStyle w:val="0"/>
              <w:jc w:val="both"/>
            </w:pPr>
            <w:r>
              <w:rPr>
                <w:sz w:val="20"/>
              </w:rPr>
              <w:t xml:space="preserve">Департамент здравоохранения города Севастополя</w:t>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70000,0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60000,0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130000,0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68423,1</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58648,5</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127071,6</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1576,9</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1351,5</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2928,4</w:t>
            </w:r>
          </w:p>
        </w:tc>
      </w:tr>
      <w:tr>
        <w:tc>
          <w:tcPr>
            <w:vMerge w:val="continue"/>
          </w:tcPr>
          <w:p/>
        </w:tc>
        <w:tc>
          <w:tcPr>
            <w:vMerge w:val="continue"/>
          </w:tcPr>
          <w:p/>
        </w:tc>
        <w:tc>
          <w:tcPr>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vMerge w:val="continue"/>
          </w:tcPr>
          <w:p/>
        </w:tc>
        <w:tc>
          <w:tcPr>
            <w:vMerge w:val="continue"/>
          </w:tcPr>
          <w:p/>
        </w:tc>
        <w:tc>
          <w:tcPr>
            <w:vMerge w:val="continue"/>
          </w:tcPr>
          <w:p/>
        </w:tc>
        <w:tc>
          <w:tcPr>
            <w:tcW w:w="2211" w:type="dxa"/>
          </w:tcPr>
          <w:p>
            <w:pPr>
              <w:pStyle w:val="0"/>
              <w:jc w:val="both"/>
            </w:pPr>
            <w:r>
              <w:rPr>
                <w:sz w:val="20"/>
              </w:rPr>
              <w:t xml:space="preserve">внебюджетные средства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W w:w="2778" w:type="dxa"/>
            <w:tcBorders>
              <w:bottom w:val="nil"/>
            </w:tcBorders>
            <w:vMerge w:val="restart"/>
          </w:tcPr>
          <w:p>
            <w:pPr>
              <w:pStyle w:val="0"/>
              <w:jc w:val="both"/>
            </w:pPr>
            <w:r>
              <w:rPr>
                <w:sz w:val="20"/>
              </w:rPr>
              <w:t xml:space="preserve">Итого по </w:t>
            </w:r>
            <w:hyperlink w:history="0" w:anchor="P2340" w:tooltip="ПОДПРОГРАММА 8">
              <w:r>
                <w:rPr>
                  <w:sz w:val="20"/>
                  <w:color w:val="0000ff"/>
                </w:rPr>
                <w:t xml:space="preserve">подпрограмме 8</w:t>
              </w:r>
            </w:hyperlink>
          </w:p>
        </w:tc>
        <w:tc>
          <w:tcPr>
            <w:tcW w:w="2040" w:type="dxa"/>
            <w:tcBorders>
              <w:bottom w:val="nil"/>
            </w:tcBorders>
            <w:vMerge w:val="restart"/>
          </w:tcPr>
          <w:p>
            <w:pPr>
              <w:pStyle w:val="0"/>
              <w:jc w:val="both"/>
            </w:pPr>
            <w:r>
              <w:rPr>
                <w:sz w:val="20"/>
              </w:rPr>
            </w:r>
          </w:p>
        </w:tc>
        <w:tc>
          <w:tcPr>
            <w:tcW w:w="1928" w:type="dxa"/>
            <w:tcBorders>
              <w:bottom w:val="nil"/>
            </w:tcBorders>
            <w:vMerge w:val="restart"/>
          </w:tcPr>
          <w:p>
            <w:pPr>
              <w:pStyle w:val="0"/>
              <w:jc w:val="both"/>
            </w:pPr>
            <w:r>
              <w:rPr>
                <w:sz w:val="20"/>
              </w:rPr>
            </w:r>
          </w:p>
        </w:tc>
        <w:tc>
          <w:tcPr>
            <w:tcW w:w="2211" w:type="dxa"/>
          </w:tcPr>
          <w:p>
            <w:pPr>
              <w:pStyle w:val="0"/>
              <w:jc w:val="both"/>
            </w:pPr>
            <w:r>
              <w:rPr>
                <w:sz w:val="20"/>
              </w:rPr>
              <w:t xml:space="preserve">Всего, в том числе:</w:t>
            </w:r>
          </w:p>
        </w:tc>
        <w:tc>
          <w:tcPr>
            <w:tcW w:w="1361" w:type="dxa"/>
          </w:tcPr>
          <w:p>
            <w:pPr>
              <w:pStyle w:val="0"/>
              <w:jc w:val="center"/>
            </w:pPr>
            <w:r>
              <w:rPr>
                <w:sz w:val="20"/>
              </w:rPr>
              <w:t xml:space="preserve">545980,0</w:t>
            </w:r>
          </w:p>
        </w:tc>
        <w:tc>
          <w:tcPr>
            <w:tcW w:w="1361" w:type="dxa"/>
          </w:tcPr>
          <w:p>
            <w:pPr>
              <w:pStyle w:val="0"/>
              <w:jc w:val="center"/>
            </w:pPr>
            <w:r>
              <w:rPr>
                <w:sz w:val="20"/>
              </w:rPr>
              <w:t xml:space="preserve">402021,1</w:t>
            </w:r>
          </w:p>
        </w:tc>
        <w:tc>
          <w:tcPr>
            <w:tcW w:w="1474" w:type="dxa"/>
          </w:tcPr>
          <w:p>
            <w:pPr>
              <w:pStyle w:val="0"/>
              <w:jc w:val="center"/>
            </w:pPr>
            <w:r>
              <w:rPr>
                <w:sz w:val="20"/>
              </w:rPr>
              <w:t xml:space="preserve">423585,2</w:t>
            </w:r>
          </w:p>
        </w:tc>
        <w:tc>
          <w:tcPr>
            <w:tcW w:w="1417" w:type="dxa"/>
          </w:tcPr>
          <w:p>
            <w:pPr>
              <w:pStyle w:val="0"/>
              <w:jc w:val="center"/>
            </w:pPr>
            <w:r>
              <w:rPr>
                <w:sz w:val="20"/>
              </w:rPr>
              <w:t xml:space="preserve">441450,6</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2014163,5</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(ФЦП)</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федеральный бюджет (другие источники)</w:t>
            </w:r>
          </w:p>
        </w:tc>
        <w:tc>
          <w:tcPr>
            <w:tcW w:w="1361" w:type="dxa"/>
          </w:tcPr>
          <w:p>
            <w:pPr>
              <w:pStyle w:val="0"/>
              <w:jc w:val="center"/>
            </w:pPr>
            <w:r>
              <w:rPr>
                <w:sz w:val="20"/>
              </w:rPr>
              <w:t xml:space="preserve">524227,6</w:t>
            </w:r>
          </w:p>
        </w:tc>
        <w:tc>
          <w:tcPr>
            <w:tcW w:w="1361" w:type="dxa"/>
          </w:tcPr>
          <w:p>
            <w:pPr>
              <w:pStyle w:val="0"/>
              <w:jc w:val="center"/>
            </w:pPr>
            <w:r>
              <w:rPr>
                <w:sz w:val="20"/>
              </w:rPr>
              <w:t xml:space="preserve">392847,7</w:t>
            </w:r>
          </w:p>
        </w:tc>
        <w:tc>
          <w:tcPr>
            <w:tcW w:w="1474" w:type="dxa"/>
          </w:tcPr>
          <w:p>
            <w:pPr>
              <w:pStyle w:val="0"/>
              <w:jc w:val="center"/>
            </w:pPr>
            <w:r>
              <w:rPr>
                <w:sz w:val="20"/>
              </w:rPr>
              <w:t xml:space="preserve">415999,5</w:t>
            </w:r>
          </w:p>
        </w:tc>
        <w:tc>
          <w:tcPr>
            <w:tcW w:w="1417" w:type="dxa"/>
          </w:tcPr>
          <w:p>
            <w:pPr>
              <w:pStyle w:val="0"/>
              <w:jc w:val="center"/>
            </w:pPr>
            <w:r>
              <w:rPr>
                <w:sz w:val="20"/>
              </w:rPr>
              <w:t xml:space="preserve">432011,5</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1765086,3</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 города Севастополя</w:t>
            </w:r>
          </w:p>
        </w:tc>
        <w:tc>
          <w:tcPr>
            <w:tcW w:w="1361" w:type="dxa"/>
          </w:tcPr>
          <w:p>
            <w:pPr>
              <w:pStyle w:val="0"/>
              <w:jc w:val="center"/>
            </w:pPr>
            <w:r>
              <w:rPr>
                <w:sz w:val="20"/>
              </w:rPr>
              <w:t xml:space="preserve">21752,4</w:t>
            </w:r>
          </w:p>
        </w:tc>
        <w:tc>
          <w:tcPr>
            <w:tcW w:w="1361" w:type="dxa"/>
          </w:tcPr>
          <w:p>
            <w:pPr>
              <w:pStyle w:val="0"/>
              <w:jc w:val="center"/>
            </w:pPr>
            <w:r>
              <w:rPr>
                <w:sz w:val="20"/>
              </w:rPr>
              <w:t xml:space="preserve">9173,4</w:t>
            </w:r>
          </w:p>
        </w:tc>
        <w:tc>
          <w:tcPr>
            <w:tcW w:w="1474" w:type="dxa"/>
          </w:tcPr>
          <w:p>
            <w:pPr>
              <w:pStyle w:val="0"/>
              <w:jc w:val="center"/>
            </w:pPr>
            <w:r>
              <w:rPr>
                <w:sz w:val="20"/>
              </w:rPr>
              <w:t xml:space="preserve">7585,7</w:t>
            </w:r>
          </w:p>
        </w:tc>
        <w:tc>
          <w:tcPr>
            <w:tcW w:w="1417" w:type="dxa"/>
          </w:tcPr>
          <w:p>
            <w:pPr>
              <w:pStyle w:val="0"/>
              <w:jc w:val="center"/>
            </w:pPr>
            <w:r>
              <w:rPr>
                <w:sz w:val="20"/>
              </w:rPr>
              <w:t xml:space="preserve">9439,1</w:t>
            </w:r>
          </w:p>
        </w:tc>
        <w:tc>
          <w:tcPr>
            <w:tcW w:w="1361" w:type="dxa"/>
          </w:tcPr>
          <w:p>
            <w:pPr>
              <w:pStyle w:val="0"/>
              <w:jc w:val="center"/>
            </w:pPr>
            <w:r>
              <w:rPr>
                <w:sz w:val="20"/>
              </w:rPr>
              <w:t xml:space="preserve">201126,6</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249077,2</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Pr>
          <w:p>
            <w:pPr>
              <w:pStyle w:val="0"/>
              <w:jc w:val="both"/>
            </w:pPr>
            <w:r>
              <w:rPr>
                <w:sz w:val="20"/>
              </w:rPr>
              <w:t xml:space="preserve">бюджеты других субъектов Российской Федерации (город Москва)</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0,0</w:t>
            </w:r>
          </w:p>
        </w:tc>
        <w:tc>
          <w:tcPr>
            <w:tcW w:w="1417" w:type="dxa"/>
          </w:tcPr>
          <w:p>
            <w:pPr>
              <w:pStyle w:val="0"/>
              <w:jc w:val="center"/>
            </w:pPr>
            <w:r>
              <w:rPr>
                <w:sz w:val="20"/>
              </w:rPr>
              <w:t xml:space="preserve">0,0</w:t>
            </w:r>
          </w:p>
        </w:tc>
        <w:tc>
          <w:tcPr>
            <w:tcW w:w="1361" w:type="dxa"/>
          </w:tcPr>
          <w:p>
            <w:pPr>
              <w:pStyle w:val="0"/>
              <w:jc w:val="center"/>
            </w:pPr>
            <w:r>
              <w:rPr>
                <w:sz w:val="20"/>
              </w:rPr>
              <w:t xml:space="preserve">0,0</w:t>
            </w:r>
          </w:p>
        </w:tc>
        <w:tc>
          <w:tcPr>
            <w:tcW w:w="1361" w:type="dxa"/>
          </w:tcPr>
          <w:p>
            <w:pPr>
              <w:pStyle w:val="0"/>
              <w:jc w:val="center"/>
            </w:pPr>
            <w:r>
              <w:rPr>
                <w:sz w:val="20"/>
              </w:rPr>
              <w:t xml:space="preserve">0,0</w:t>
            </w:r>
          </w:p>
        </w:tc>
        <w:tc>
          <w:tcPr>
            <w:tcW w:w="1247" w:type="dxa"/>
          </w:tcPr>
          <w:p>
            <w:pPr>
              <w:pStyle w:val="0"/>
              <w:jc w:val="center"/>
            </w:pPr>
            <w:r>
              <w:rPr>
                <w:sz w:val="20"/>
              </w:rPr>
              <w:t xml:space="preserve">0,0</w:t>
            </w:r>
          </w:p>
        </w:tc>
        <w:tc>
          <w:tcPr>
            <w:tcW w:w="1247" w:type="dxa"/>
          </w:tcPr>
          <w:p>
            <w:pPr>
              <w:pStyle w:val="0"/>
              <w:jc w:val="center"/>
            </w:pPr>
            <w:r>
              <w:rPr>
                <w:sz w:val="20"/>
              </w:rPr>
              <w:t xml:space="preserve">0,0</w:t>
            </w:r>
          </w:p>
        </w:tc>
        <w:tc>
          <w:tcPr>
            <w:tcW w:w="1304" w:type="dxa"/>
          </w:tcPr>
          <w:p>
            <w:pPr>
              <w:pStyle w:val="0"/>
              <w:jc w:val="center"/>
            </w:pPr>
            <w:r>
              <w:rPr>
                <w:sz w:val="20"/>
              </w:rPr>
              <w:t xml:space="preserve">0,0</w:t>
            </w:r>
          </w:p>
        </w:tc>
        <w:tc>
          <w:tcPr>
            <w:tcW w:w="1531" w:type="dxa"/>
          </w:tcPr>
          <w:p>
            <w:pPr>
              <w:pStyle w:val="0"/>
              <w:jc w:val="center"/>
            </w:pPr>
            <w:r>
              <w:rPr>
                <w:sz w:val="20"/>
              </w:rPr>
              <w:t xml:space="preserve">0,0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211" w:type="dxa"/>
            <w:tcBorders>
              <w:bottom w:val="nil"/>
            </w:tcBorders>
          </w:tcPr>
          <w:p>
            <w:pPr>
              <w:pStyle w:val="0"/>
              <w:jc w:val="both"/>
            </w:pPr>
            <w:r>
              <w:rPr>
                <w:sz w:val="20"/>
              </w:rPr>
              <w:t xml:space="preserve">внебюджетные средства</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474" w:type="dxa"/>
            <w:tcBorders>
              <w:bottom w:val="nil"/>
            </w:tcBorders>
          </w:tcPr>
          <w:p>
            <w:pPr>
              <w:pStyle w:val="0"/>
              <w:jc w:val="center"/>
            </w:pPr>
            <w:r>
              <w:rPr>
                <w:sz w:val="20"/>
              </w:rPr>
              <w:t xml:space="preserve">0,0</w:t>
            </w:r>
          </w:p>
        </w:tc>
        <w:tc>
          <w:tcPr>
            <w:tcW w:w="1417"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361"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247" w:type="dxa"/>
            <w:tcBorders>
              <w:bottom w:val="nil"/>
            </w:tcBorders>
          </w:tcPr>
          <w:p>
            <w:pPr>
              <w:pStyle w:val="0"/>
              <w:jc w:val="center"/>
            </w:pPr>
            <w:r>
              <w:rPr>
                <w:sz w:val="20"/>
              </w:rPr>
              <w:t xml:space="preserve">0,0</w:t>
            </w:r>
          </w:p>
        </w:tc>
        <w:tc>
          <w:tcPr>
            <w:tcW w:w="1304" w:type="dxa"/>
            <w:tcBorders>
              <w:bottom w:val="nil"/>
            </w:tcBorders>
          </w:tcPr>
          <w:p>
            <w:pPr>
              <w:pStyle w:val="0"/>
              <w:jc w:val="center"/>
            </w:pPr>
            <w:r>
              <w:rPr>
                <w:sz w:val="20"/>
              </w:rPr>
              <w:t xml:space="preserve">0,0</w:t>
            </w:r>
          </w:p>
        </w:tc>
        <w:tc>
          <w:tcPr>
            <w:tcW w:w="1531" w:type="dxa"/>
            <w:tcBorders>
              <w:bottom w:val="nil"/>
            </w:tcBorders>
          </w:tcPr>
          <w:p>
            <w:pPr>
              <w:pStyle w:val="0"/>
              <w:jc w:val="center"/>
            </w:pPr>
            <w:r>
              <w:rPr>
                <w:sz w:val="20"/>
              </w:rPr>
              <w:t xml:space="preserve">0,0</w:t>
            </w:r>
          </w:p>
        </w:tc>
      </w:tr>
      <w:tr>
        <w:tblPrEx>
          <w:tblBorders>
            <w:insideH w:val="nil"/>
          </w:tblBorders>
        </w:tblPrEx>
        <w:tc>
          <w:tcPr>
            <w:gridSpan w:val="14"/>
            <w:tcW w:w="22621" w:type="dxa"/>
            <w:tcBorders>
              <w:top w:val="nil"/>
            </w:tcBorders>
          </w:tcPr>
          <w:p>
            <w:pPr>
              <w:pStyle w:val="0"/>
              <w:jc w:val="both"/>
            </w:pPr>
            <w:r>
              <w:rPr>
                <w:sz w:val="20"/>
              </w:rPr>
              <w:t xml:space="preserve">(в ред. </w:t>
            </w:r>
            <w:hyperlink w:history="0" r:id="rId599"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28.07.2023 N 358-ПП)</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Без учета средств в размере 55910,6 тыс. руб., в том числе восстановленные средства 2021 года - 55910,6 тыс. руб. (федеральный бюджет - 53116,2 тыс. руб., бюджет города Севастополя - 2794,4 тыс. руб.).</w:t>
      </w:r>
    </w:p>
    <w:p>
      <w:pPr>
        <w:pStyle w:val="0"/>
        <w:spacing w:before="200" w:line-rule="auto"/>
        <w:ind w:firstLine="540"/>
        <w:jc w:val="both"/>
      </w:pPr>
      <w:r>
        <w:rPr>
          <w:sz w:val="20"/>
        </w:rPr>
        <w:t xml:space="preserve">&lt;2&gt; Без учета средств в размере 42410,8 тыс. руб., в том числе восстановленные средства 2021 года - 42410,8 тыс. руб. (федеральный бюджет - 40288,7 тыс. руб., бюджет города Севастополя - 2122,1 тыс. руб.).</w:t>
      </w:r>
    </w:p>
    <w:p>
      <w:pPr>
        <w:pStyle w:val="0"/>
        <w:spacing w:before="200" w:line-rule="auto"/>
        <w:ind w:firstLine="540"/>
        <w:jc w:val="both"/>
      </w:pPr>
      <w:r>
        <w:rPr>
          <w:sz w:val="20"/>
        </w:rPr>
        <w:t xml:space="preserve">&lt;3&gt; Без учета средств в размере 31006,7 тыс. руб., в том числе восстановленные средства 2019 - 2020 годов - 31006,7 тыс. руб. (федеральный бюджет - 29456,2 тыс. руб., бюджет города Севастополя - 1550,5 тыс. руб.).</w:t>
      </w:r>
    </w:p>
    <w:p>
      <w:pPr>
        <w:pStyle w:val="0"/>
        <w:spacing w:before="200" w:line-rule="auto"/>
        <w:ind w:firstLine="540"/>
        <w:jc w:val="both"/>
      </w:pPr>
      <w:r>
        <w:rPr>
          <w:sz w:val="20"/>
        </w:rPr>
        <w:t xml:space="preserve">&lt;4&gt; Без учета средств в размере 39,27 тыс. руб., в том числе восстановленные средства 2020 года - 39,27 тыс. руб. (федеральный бюджет - 37,3 тыс. руб., бюджет города Севастополя - 1,97 тыс. руб.).</w:t>
      </w:r>
    </w:p>
    <w:p>
      <w:pPr>
        <w:pStyle w:val="0"/>
        <w:spacing w:before="200" w:line-rule="auto"/>
        <w:ind w:firstLine="540"/>
        <w:jc w:val="both"/>
      </w:pPr>
      <w:r>
        <w:rPr>
          <w:sz w:val="20"/>
        </w:rPr>
        <w:t xml:space="preserve">&lt;5&gt; С учетом средств в размере 45913,0 тыс. руб., в том числе восстановленные средства 2022 года - 45913,0 тыс. руб. (федеральный бюджет - 43619,2 тыс. руб., бюджет города Севастополя - 2293,8 тыс. руб.).</w:t>
      </w:r>
    </w:p>
    <w:p>
      <w:pPr>
        <w:pStyle w:val="0"/>
        <w:jc w:val="both"/>
      </w:pPr>
      <w:r>
        <w:rPr>
          <w:sz w:val="20"/>
        </w:rPr>
        <w:t xml:space="preserve">(сноска введена </w:t>
      </w:r>
      <w:hyperlink w:history="0" r:id="rId600"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spacing w:before="200" w:line-rule="auto"/>
        <w:ind w:firstLine="540"/>
        <w:jc w:val="both"/>
      </w:pPr>
      <w:r>
        <w:rPr>
          <w:sz w:val="20"/>
        </w:rPr>
        <w:t xml:space="preserve">&lt;6&gt; С учетом средств в размере 598,5 тыс. руб., в том числе восстановленные средства 2022 года - 598,5 тыс. руб. (федеральный бюджет - 568,5 тыс. руб., бюджет города Севастополя - 30,0 тыс. руб.).</w:t>
      </w:r>
    </w:p>
    <w:p>
      <w:pPr>
        <w:pStyle w:val="0"/>
        <w:jc w:val="both"/>
      </w:pPr>
      <w:r>
        <w:rPr>
          <w:sz w:val="20"/>
        </w:rPr>
        <w:t xml:space="preserve">(сноска введена </w:t>
      </w:r>
      <w:hyperlink w:history="0" r:id="rId601"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spacing w:before="200" w:line-rule="auto"/>
        <w:ind w:firstLine="540"/>
        <w:jc w:val="both"/>
      </w:pPr>
      <w:r>
        <w:rPr>
          <w:sz w:val="20"/>
        </w:rPr>
        <w:t xml:space="preserve">&lt;7&gt; С учетом средств в размере 564,2 тыс. руб., в том числе восстановленные средства 2022 года - 564,2 тыс. руб. (федеральный бюджет - 536,0 тыс. руб., бюджет города Севастополя - 28,2 тыс. руб.).</w:t>
      </w:r>
    </w:p>
    <w:p>
      <w:pPr>
        <w:pStyle w:val="0"/>
        <w:jc w:val="both"/>
      </w:pPr>
      <w:r>
        <w:rPr>
          <w:sz w:val="20"/>
        </w:rPr>
        <w:t xml:space="preserve">(сноска введена </w:t>
      </w:r>
      <w:hyperlink w:history="0" r:id="rId602"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spacing w:before="200" w:line-rule="auto"/>
        <w:ind w:firstLine="540"/>
        <w:jc w:val="both"/>
      </w:pPr>
      <w:r>
        <w:rPr>
          <w:sz w:val="20"/>
        </w:rPr>
        <w:t xml:space="preserve">&lt;8&gt; С учетом средств в размере 1816,1 тыс. руб., в том числе восстановленные средства 2022 года - 1816,1 тыс. руб. (федеральный бюджет - 1725,3 тыс. руб., бюджет города Севастополя - 90,8 тыс. руб.).</w:t>
      </w:r>
    </w:p>
    <w:p>
      <w:pPr>
        <w:pStyle w:val="0"/>
        <w:jc w:val="both"/>
      </w:pPr>
      <w:r>
        <w:rPr>
          <w:sz w:val="20"/>
        </w:rPr>
        <w:t xml:space="preserve">(сноска введена </w:t>
      </w:r>
      <w:hyperlink w:history="0" r:id="rId603"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spacing w:before="200" w:line-rule="auto"/>
        <w:ind w:firstLine="540"/>
        <w:jc w:val="both"/>
      </w:pPr>
      <w:r>
        <w:rPr>
          <w:sz w:val="20"/>
        </w:rPr>
        <w:t xml:space="preserve">&lt;9&gt; С учетом средств в размере 91000,0 тыс. руб., в том числе восстановленные средства 2022 года - 91000,0 тыс. руб. (федеральный бюджет - 86449,3 тыс. руб., бюджет города Севастополя - 4550,7 тыс. руб.).</w:t>
      </w:r>
    </w:p>
    <w:p>
      <w:pPr>
        <w:pStyle w:val="0"/>
        <w:jc w:val="both"/>
      </w:pPr>
      <w:r>
        <w:rPr>
          <w:sz w:val="20"/>
        </w:rPr>
        <w:t xml:space="preserve">(сноска введена </w:t>
      </w:r>
      <w:hyperlink w:history="0" r:id="rId604"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spacing w:before="200" w:line-rule="auto"/>
        <w:ind w:firstLine="540"/>
        <w:jc w:val="both"/>
      </w:pPr>
      <w:r>
        <w:rPr>
          <w:sz w:val="20"/>
        </w:rPr>
        <w:t xml:space="preserve">&lt;10&gt; С учетом средств в размере 4018,4 тыс. руб., в том числе восстановленные средства 2022 года - 4018,4 тыс. руб. (федеральный бюджет - 3817,4 тыс. руб., бюджет города Севастополя - 201,0 тыс. руб.).</w:t>
      </w:r>
    </w:p>
    <w:p>
      <w:pPr>
        <w:pStyle w:val="0"/>
        <w:jc w:val="both"/>
      </w:pPr>
      <w:r>
        <w:rPr>
          <w:sz w:val="20"/>
        </w:rPr>
        <w:t xml:space="preserve">(сноска введена </w:t>
      </w:r>
      <w:hyperlink w:history="0" r:id="rId605" w:tooltip="Постановление Правительства Севастополя от 27.04.2023 N 219-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27.04.2023 N 219-ПП)</w:t>
      </w:r>
    </w:p>
    <w:p>
      <w:pPr>
        <w:pStyle w:val="0"/>
        <w:ind w:firstLine="540"/>
        <w:jc w:val="both"/>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6</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p>
      <w:pPr>
        <w:pStyle w:val="2"/>
        <w:jc w:val="center"/>
      </w:pPr>
      <w:r>
        <w:rPr>
          <w:sz w:val="20"/>
        </w:rPr>
        <w:t xml:space="preserve">Региональная программа города Севастополя "Развитие детского</w:t>
      </w:r>
    </w:p>
    <w:p>
      <w:pPr>
        <w:pStyle w:val="2"/>
        <w:jc w:val="center"/>
      </w:pPr>
      <w:r>
        <w:rPr>
          <w:sz w:val="20"/>
        </w:rPr>
        <w:t xml:space="preserve">здравоохранения, включая создание современной инфраструктуры</w:t>
      </w:r>
    </w:p>
    <w:p>
      <w:pPr>
        <w:pStyle w:val="2"/>
        <w:jc w:val="center"/>
      </w:pPr>
      <w:r>
        <w:rPr>
          <w:sz w:val="20"/>
        </w:rPr>
        <w:t xml:space="preserve">оказания медицинской помощи детям"</w:t>
      </w:r>
    </w:p>
    <w:p>
      <w:pPr>
        <w:pStyle w:val="0"/>
      </w:pPr>
      <w:r>
        <w:rPr>
          <w:sz w:val="20"/>
        </w:rPr>
      </w:r>
    </w:p>
    <w:p>
      <w:pPr>
        <w:pStyle w:val="0"/>
        <w:ind w:firstLine="540"/>
        <w:jc w:val="both"/>
      </w:pPr>
      <w:r>
        <w:rPr>
          <w:sz w:val="20"/>
        </w:rPr>
        <w:t xml:space="preserve">Региональная программа города Севастополя "Развитие детского здравоохранения, включая создание современной инфраструктуры оказания медицинской помощи детям" создана на основе паспорта регионального сегмента федерального проекта "Развитие детского здравоохранения, включая мероприятия по созданию современной инфраструктуры оказания медицинской помощи детям" и направлена на достижение целевого показателя национального проекта - снижение младенческой смертности по Российской Федерации в 2024 году до 4,5 на 1000 родившихся живыми.</w:t>
      </w:r>
    </w:p>
    <w:p>
      <w:pPr>
        <w:pStyle w:val="0"/>
        <w:spacing w:before="200" w:line-rule="auto"/>
        <w:ind w:firstLine="540"/>
        <w:jc w:val="both"/>
      </w:pPr>
      <w:r>
        <w:rPr>
          <w:sz w:val="20"/>
        </w:rPr>
        <w:t xml:space="preserve">Региональная программа города Севастополя "Развитие детского здравоохранения, включая создание современной инфраструктуры оказания медицинской помощи детям" (далее - Региональная программа) направлена на повышение качества и доступности медицинской помощи детям, развитие профилактического направления в педиатрии, внедрение современных профилактических технологий, формирование здорового образа жизни у детей и подростков, развитие медицины в образовательных учреждениях, улучшение материально-технической базы детских поликлиник и детских поликлинических отделений медицинских организаций, подведомственных Департаменту здравоохранения города Севастополя, путем оснащения новым медицинским оборудованием, повышение квалификации кадров, внедрение клинических рекомендаций, совершенствование ранней диагностики заболеваний органов репродуктивной сферы у детей. Реализация мероприятий Региональной программы позволит повысить качество оказания первичной медико-санитарной помощи детям, улучшить их репродуктивное здоровье. Оснащение детских поликлиник и детских поликлинических отделений современным оборудованием, создание в них организационно-планировочных решений внутренних пространств, обеспечивающих комфортность пребывания детей, приведут к снижению длительности ожидания осмотров врачами-специалистами и диагностических обследований детей, упростят процедуру записи к врачу, создадут систему понятной навигации. Не менее 95% детских поликлиник и детских поликлинических отделений медицинских организаций, подведомственных Департаменту здравоохранения города Севастополя, будут соответствовать современным требованиям, реализовывать организационно-планировочные решения внутренних пространств в соответствии с </w:t>
      </w:r>
      <w:hyperlink w:history="0" r:id="rId606"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приказом</w:t>
        </w:r>
      </w:hyperlink>
      <w:r>
        <w:rPr>
          <w:sz w:val="20"/>
        </w:rPr>
        <w:t xml:space="preserve"> Минздрава России от 07.03.2018 N 92н, направленные на создание условий для внедрения принципов бережливого производства и комфортного пребывания детей и их родителей при оказании первичной медико-санитарной помощи.</w:t>
      </w:r>
    </w:p>
    <w:p>
      <w:pPr>
        <w:pStyle w:val="0"/>
        <w:spacing w:before="200" w:line-rule="auto"/>
        <w:ind w:firstLine="540"/>
        <w:jc w:val="both"/>
      </w:pPr>
      <w:r>
        <w:rPr>
          <w:sz w:val="20"/>
        </w:rPr>
        <w:t xml:space="preserve">Совершенствование условий оказания амбулаторной помощи приведет к повышению охвата профилактическими осмотрами, в том числе направленными на предотвращение нарушений репродуктивной сферы. Индикаторы Региональной программы, характеризующие долю детей с впервые выявленными заболеваниями, взятых под диспансерное наблюдение, отражают качество проведения лечебно-профилактических мероприятий. При этом выбраны наиболее распространенные так называемые "школьно обусловленные" заболевания: костно-мышечной системы, заболевания органов зрения, а также впервые в жизни установленные заболевания органов пищеварения, кровообращения и заболевания эндокринной системы, нарушения обмена веществ. Также запланировано увеличение до 51% доли посещений детьми медицинских организаций с профилактическими целями. Развитие профилактического направления в педиатрии будет достигнуто расширением комплекса мероприятий, обеспечивающих развитие и воспитание здорового ребенка, предупреждение заболеваний и инвалидизации детей.</w:t>
      </w:r>
    </w:p>
    <w:p>
      <w:pPr>
        <w:pStyle w:val="0"/>
        <w:spacing w:before="200" w:line-rule="auto"/>
        <w:ind w:firstLine="540"/>
        <w:jc w:val="both"/>
      </w:pPr>
      <w:r>
        <w:rPr>
          <w:sz w:val="20"/>
        </w:rPr>
        <w:t xml:space="preserve">Дооснащение детских поликлиник и детских поликлинических отделений медицинских организаций города Севастополя медицинским оборудованием и изделиями медицинского назначения с целью приведения их в соответствие требованиям </w:t>
      </w:r>
      <w:hyperlink w:history="0" r:id="rId607"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 а также укрепление материально-технической базы здравоохранения города Севастополя за счет строительства новых объектов позволят повысить доступность и качество медицинской помощи детям всех возрастных групп, улучшить демографическую ситуацию и создать условия для стабильного экономического роста.</w:t>
      </w:r>
    </w:p>
    <w:p>
      <w:pPr>
        <w:pStyle w:val="0"/>
        <w:spacing w:before="200" w:line-rule="auto"/>
        <w:ind w:firstLine="540"/>
        <w:jc w:val="both"/>
      </w:pPr>
      <w:r>
        <w:rPr>
          <w:sz w:val="20"/>
        </w:rPr>
        <w:t xml:space="preserve">Реализация Региональной программы носит межведомственный и системный характер, обеспечивая достижение целевого показателя федерального проекта - снижение младенческой смертности в городе Севастополе до 2,9 на 1000 родившихся живыми, и опосредованно влияет на достижение других целевых показателей национального проекта "Здравоохранение". Региональная программа непосредственно взаимодействует с проектом "Борьба с онкологическими заболеваниями", что позволит создать условия для оказания медицинской помощи детям с онкологическими заболеваниями.</w:t>
      </w:r>
    </w:p>
    <w:p>
      <w:pPr>
        <w:pStyle w:val="0"/>
        <w:spacing w:before="200" w:line-rule="auto"/>
        <w:ind w:firstLine="540"/>
        <w:jc w:val="both"/>
      </w:pPr>
      <w:r>
        <w:rPr>
          <w:sz w:val="20"/>
        </w:rPr>
        <w:t xml:space="preserve">Исполнители: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909"/>
        <w:gridCol w:w="2154"/>
        <w:gridCol w:w="3402"/>
      </w:tblGrid>
      <w:tr>
        <w:tc>
          <w:tcPr>
            <w:tcW w:w="567" w:type="dxa"/>
          </w:tcPr>
          <w:p>
            <w:pPr>
              <w:pStyle w:val="0"/>
              <w:jc w:val="center"/>
            </w:pPr>
            <w:r>
              <w:rPr>
                <w:sz w:val="20"/>
              </w:rPr>
              <w:t xml:space="preserve">N п/п</w:t>
            </w:r>
          </w:p>
        </w:tc>
        <w:tc>
          <w:tcPr>
            <w:tcW w:w="2909" w:type="dxa"/>
          </w:tcPr>
          <w:p>
            <w:pPr>
              <w:pStyle w:val="0"/>
              <w:jc w:val="center"/>
            </w:pPr>
            <w:r>
              <w:rPr>
                <w:sz w:val="20"/>
              </w:rPr>
              <w:t xml:space="preserve">Направление программы</w:t>
            </w:r>
          </w:p>
        </w:tc>
        <w:tc>
          <w:tcPr>
            <w:tcW w:w="2154" w:type="dxa"/>
          </w:tcPr>
          <w:p>
            <w:pPr>
              <w:pStyle w:val="0"/>
              <w:jc w:val="center"/>
            </w:pPr>
            <w:r>
              <w:rPr>
                <w:sz w:val="20"/>
              </w:rPr>
              <w:t xml:space="preserve">ФИО</w:t>
            </w:r>
          </w:p>
        </w:tc>
        <w:tc>
          <w:tcPr>
            <w:tcW w:w="3402" w:type="dxa"/>
          </w:tcPr>
          <w:p>
            <w:pPr>
              <w:pStyle w:val="0"/>
              <w:jc w:val="center"/>
            </w:pPr>
            <w:r>
              <w:rPr>
                <w:sz w:val="20"/>
              </w:rPr>
              <w:t xml:space="preserve">Должность</w:t>
            </w:r>
          </w:p>
        </w:tc>
      </w:tr>
      <w:tr>
        <w:tc>
          <w:tcPr>
            <w:tcW w:w="567" w:type="dxa"/>
            <w:vMerge w:val="restart"/>
          </w:tcPr>
          <w:p>
            <w:pPr>
              <w:pStyle w:val="0"/>
              <w:jc w:val="both"/>
            </w:pPr>
            <w:r>
              <w:rPr>
                <w:sz w:val="20"/>
              </w:rPr>
              <w:t xml:space="preserve">1</w:t>
            </w:r>
          </w:p>
        </w:tc>
        <w:tc>
          <w:tcPr>
            <w:tcW w:w="2909" w:type="dxa"/>
            <w:vMerge w:val="restart"/>
          </w:tcPr>
          <w:p>
            <w:pPr>
              <w:pStyle w:val="0"/>
              <w:jc w:val="both"/>
            </w:pPr>
            <w:r>
              <w:rPr>
                <w:sz w:val="20"/>
              </w:rPr>
              <w:t xml:space="preserve">Общие организационные мероприятия по программе</w:t>
            </w:r>
          </w:p>
        </w:tc>
        <w:tc>
          <w:tcPr>
            <w:tcW w:w="2154" w:type="dxa"/>
          </w:tcPr>
          <w:p>
            <w:pPr>
              <w:pStyle w:val="0"/>
              <w:jc w:val="both"/>
            </w:pPr>
            <w:r>
              <w:rPr>
                <w:sz w:val="20"/>
              </w:rPr>
              <w:t xml:space="preserve">В.С. Денисов</w:t>
            </w:r>
          </w:p>
        </w:tc>
        <w:tc>
          <w:tcPr>
            <w:tcW w:w="3402" w:type="dxa"/>
          </w:tcPr>
          <w:p>
            <w:pPr>
              <w:pStyle w:val="0"/>
              <w:jc w:val="both"/>
            </w:pPr>
            <w:r>
              <w:rPr>
                <w:sz w:val="20"/>
              </w:rPr>
              <w:t xml:space="preserve">Директор Департамента здравоохранения города Севастополя - член Правительства Севастополя</w:t>
            </w:r>
          </w:p>
        </w:tc>
      </w:tr>
      <w:tr>
        <w:tc>
          <w:tcPr>
            <w:vMerge w:val="continue"/>
          </w:tcPr>
          <w:p/>
        </w:tc>
        <w:tc>
          <w:tcPr>
            <w:vMerge w:val="continue"/>
          </w:tcPr>
          <w:p/>
        </w:tc>
        <w:tc>
          <w:tcPr>
            <w:tcW w:w="2154" w:type="dxa"/>
          </w:tcPr>
          <w:p>
            <w:pPr>
              <w:pStyle w:val="0"/>
              <w:jc w:val="both"/>
            </w:pPr>
            <w:r>
              <w:rPr>
                <w:sz w:val="20"/>
              </w:rPr>
              <w:t xml:space="preserve">А.В. Солдатова</w:t>
            </w:r>
          </w:p>
        </w:tc>
        <w:tc>
          <w:tcPr>
            <w:tcW w:w="3402" w:type="dxa"/>
          </w:tcPr>
          <w:p>
            <w:pPr>
              <w:pStyle w:val="0"/>
              <w:jc w:val="both"/>
            </w:pPr>
            <w:r>
              <w:rPr>
                <w:sz w:val="20"/>
              </w:rPr>
              <w:t xml:space="preserve">Первый заместитель директора Департамента здравоохранения города Севастополя</w:t>
            </w:r>
          </w:p>
        </w:tc>
      </w:tr>
      <w:tr>
        <w:tc>
          <w:tcPr>
            <w:tcW w:w="567" w:type="dxa"/>
            <w:vMerge w:val="restart"/>
          </w:tcPr>
          <w:p>
            <w:pPr>
              <w:pStyle w:val="0"/>
              <w:jc w:val="both"/>
            </w:pPr>
            <w:r>
              <w:rPr>
                <w:sz w:val="20"/>
              </w:rPr>
              <w:t xml:space="preserve">2</w:t>
            </w:r>
          </w:p>
        </w:tc>
        <w:tc>
          <w:tcPr>
            <w:tcW w:w="2909" w:type="dxa"/>
            <w:vMerge w:val="restart"/>
          </w:tcPr>
          <w:p>
            <w:pPr>
              <w:pStyle w:val="0"/>
              <w:jc w:val="both"/>
            </w:pPr>
            <w:r>
              <w:rPr>
                <w:sz w:val="20"/>
              </w:rPr>
              <w:t xml:space="preserve">Обучение в симуляционных центрах специалистов в области перинатологии, неонатологии и педиатрии</w:t>
            </w:r>
          </w:p>
        </w:tc>
        <w:tc>
          <w:tcPr>
            <w:tcW w:w="2154" w:type="dxa"/>
          </w:tcPr>
          <w:p>
            <w:pPr>
              <w:pStyle w:val="0"/>
              <w:jc w:val="both"/>
            </w:pPr>
            <w:r>
              <w:rPr>
                <w:sz w:val="20"/>
              </w:rPr>
              <w:t xml:space="preserve">А.В. Солдатова</w:t>
            </w:r>
          </w:p>
        </w:tc>
        <w:tc>
          <w:tcPr>
            <w:tcW w:w="3402" w:type="dxa"/>
          </w:tcPr>
          <w:p>
            <w:pPr>
              <w:pStyle w:val="0"/>
              <w:jc w:val="both"/>
            </w:pPr>
            <w:r>
              <w:rPr>
                <w:sz w:val="20"/>
              </w:rPr>
              <w:t xml:space="preserve">Первый заместитель директора Департамента здравоохранения города Севастополя</w:t>
            </w:r>
          </w:p>
        </w:tc>
      </w:tr>
      <w:tr>
        <w:tc>
          <w:tcPr>
            <w:vMerge w:val="continue"/>
          </w:tcPr>
          <w:p/>
        </w:tc>
        <w:tc>
          <w:tcPr>
            <w:vMerge w:val="continue"/>
          </w:tcPr>
          <w:p/>
        </w:tc>
        <w:tc>
          <w:tcPr>
            <w:tcW w:w="2154" w:type="dxa"/>
          </w:tcPr>
          <w:p>
            <w:pPr>
              <w:pStyle w:val="0"/>
              <w:jc w:val="both"/>
            </w:pPr>
            <w:r>
              <w:rPr>
                <w:sz w:val="20"/>
              </w:rPr>
              <w:t xml:space="preserve">О.В. Поданева</w:t>
            </w:r>
          </w:p>
        </w:tc>
        <w:tc>
          <w:tcPr>
            <w:tcW w:w="3402" w:type="dxa"/>
          </w:tcPr>
          <w:p>
            <w:pPr>
              <w:pStyle w:val="0"/>
              <w:jc w:val="both"/>
            </w:pPr>
            <w:r>
              <w:rPr>
                <w:sz w:val="20"/>
              </w:rPr>
              <w:t xml:space="preserve">Начальник отдела кадровой работы Организационно-правового управления Департамента здравоохранения города Севастополя</w:t>
            </w:r>
          </w:p>
        </w:tc>
      </w:tr>
      <w:tr>
        <w:tc>
          <w:tcPr>
            <w:vMerge w:val="continue"/>
          </w:tcPr>
          <w:p/>
        </w:tc>
        <w:tc>
          <w:tcPr>
            <w:vMerge w:val="continue"/>
          </w:tcPr>
          <w:p/>
        </w:tc>
        <w:tc>
          <w:tcPr>
            <w:tcW w:w="2154" w:type="dxa"/>
          </w:tcPr>
          <w:p>
            <w:pPr>
              <w:pStyle w:val="0"/>
              <w:jc w:val="both"/>
            </w:pPr>
            <w:r>
              <w:rPr>
                <w:sz w:val="20"/>
              </w:rPr>
              <w:t xml:space="preserve">Е.С. Большакова</w:t>
            </w:r>
          </w:p>
        </w:tc>
        <w:tc>
          <w:tcPr>
            <w:tcW w:w="3402" w:type="dxa"/>
          </w:tcPr>
          <w:p>
            <w:pPr>
              <w:pStyle w:val="0"/>
              <w:jc w:val="both"/>
            </w:pPr>
            <w:r>
              <w:rPr>
                <w:sz w:val="20"/>
              </w:rPr>
              <w:t xml:space="preserve">Главный врач ГБУЗС "ГБ N 5"</w:t>
            </w:r>
          </w:p>
        </w:tc>
      </w:tr>
      <w:tr>
        <w:tc>
          <w:tcPr>
            <w:vMerge w:val="continue"/>
          </w:tcPr>
          <w:p/>
        </w:tc>
        <w:tc>
          <w:tcPr>
            <w:vMerge w:val="continue"/>
          </w:tcPr>
          <w:p/>
        </w:tc>
        <w:tc>
          <w:tcPr>
            <w:tcW w:w="2154" w:type="dxa"/>
          </w:tcPr>
          <w:p>
            <w:pPr>
              <w:pStyle w:val="0"/>
              <w:jc w:val="both"/>
            </w:pPr>
            <w:r>
              <w:rPr>
                <w:sz w:val="20"/>
              </w:rPr>
              <w:t xml:space="preserve">В.Г. Гавриляк</w:t>
            </w:r>
          </w:p>
        </w:tc>
        <w:tc>
          <w:tcPr>
            <w:tcW w:w="3402" w:type="dxa"/>
          </w:tcPr>
          <w:p>
            <w:pPr>
              <w:pStyle w:val="0"/>
              <w:jc w:val="both"/>
            </w:pPr>
            <w:r>
              <w:rPr>
                <w:sz w:val="20"/>
              </w:rPr>
              <w:t xml:space="preserve">Главный врач ГБУЗС "Городская больница N 4"</w:t>
            </w:r>
          </w:p>
        </w:tc>
      </w:tr>
      <w:tr>
        <w:tc>
          <w:tcPr>
            <w:vMerge w:val="continue"/>
          </w:tcPr>
          <w:p/>
        </w:tc>
        <w:tc>
          <w:tcPr>
            <w:vMerge w:val="continue"/>
          </w:tcPr>
          <w:p/>
        </w:tc>
        <w:tc>
          <w:tcPr>
            <w:tcW w:w="2154" w:type="dxa"/>
          </w:tcPr>
          <w:p>
            <w:pPr>
              <w:pStyle w:val="0"/>
              <w:jc w:val="both"/>
            </w:pPr>
            <w:r>
              <w:rPr>
                <w:sz w:val="20"/>
              </w:rPr>
              <w:t xml:space="preserve">Е.В. Волкова</w:t>
            </w:r>
          </w:p>
        </w:tc>
        <w:tc>
          <w:tcPr>
            <w:tcW w:w="3402" w:type="dxa"/>
          </w:tcPr>
          <w:p>
            <w:pPr>
              <w:pStyle w:val="0"/>
              <w:jc w:val="both"/>
            </w:pPr>
            <w:r>
              <w:rPr>
                <w:sz w:val="20"/>
              </w:rPr>
              <w:t xml:space="preserve">Главный врач ГБУЗС "Городская больница N 9"</w:t>
            </w:r>
          </w:p>
        </w:tc>
      </w:tr>
      <w:tr>
        <w:tc>
          <w:tcPr>
            <w:tcW w:w="567" w:type="dxa"/>
            <w:vMerge w:val="restart"/>
          </w:tcPr>
          <w:p>
            <w:pPr>
              <w:pStyle w:val="0"/>
              <w:jc w:val="both"/>
            </w:pPr>
            <w:r>
              <w:rPr>
                <w:sz w:val="20"/>
              </w:rPr>
              <w:t xml:space="preserve">3</w:t>
            </w:r>
          </w:p>
        </w:tc>
        <w:tc>
          <w:tcPr>
            <w:tcW w:w="2909" w:type="dxa"/>
            <w:vMerge w:val="restart"/>
          </w:tcPr>
          <w:p>
            <w:pPr>
              <w:pStyle w:val="0"/>
              <w:jc w:val="both"/>
            </w:pPr>
            <w:r>
              <w:rPr>
                <w:sz w:val="20"/>
              </w:rPr>
              <w:t xml:space="preserve">Дооснащение детских поликлиник/детских поликлинических отделений медицинских организаций медицинскими изделиями в соответствии с требованиями </w:t>
            </w:r>
            <w:hyperlink w:history="0" r:id="rId608"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 "Об утверждении Положения об организации оказания первичной медико-санитарной помощи детям"</w:t>
            </w:r>
          </w:p>
        </w:tc>
        <w:tc>
          <w:tcPr>
            <w:tcW w:w="2154" w:type="dxa"/>
          </w:tcPr>
          <w:p>
            <w:pPr>
              <w:pStyle w:val="0"/>
              <w:jc w:val="both"/>
            </w:pPr>
            <w:r>
              <w:rPr>
                <w:sz w:val="20"/>
              </w:rPr>
              <w:t xml:space="preserve">А.В. Солдатова</w:t>
            </w:r>
          </w:p>
        </w:tc>
        <w:tc>
          <w:tcPr>
            <w:tcW w:w="3402" w:type="dxa"/>
          </w:tcPr>
          <w:p>
            <w:pPr>
              <w:pStyle w:val="0"/>
              <w:jc w:val="both"/>
            </w:pPr>
            <w:r>
              <w:rPr>
                <w:sz w:val="20"/>
              </w:rPr>
              <w:t xml:space="preserve">Первый заместитель директора Департамента здравоохранения города Севастополя</w:t>
            </w:r>
          </w:p>
        </w:tc>
      </w:tr>
      <w:tr>
        <w:tc>
          <w:tcPr>
            <w:vMerge w:val="continue"/>
          </w:tcPr>
          <w:p/>
        </w:tc>
        <w:tc>
          <w:tcPr>
            <w:vMerge w:val="continue"/>
          </w:tcPr>
          <w:p/>
        </w:tc>
        <w:tc>
          <w:tcPr>
            <w:tcW w:w="2154" w:type="dxa"/>
          </w:tcPr>
          <w:p>
            <w:pPr>
              <w:pStyle w:val="0"/>
              <w:jc w:val="both"/>
            </w:pPr>
            <w:r>
              <w:rPr>
                <w:sz w:val="20"/>
              </w:rPr>
              <w:t xml:space="preserve">А.И. Сирявин</w:t>
            </w:r>
          </w:p>
        </w:tc>
        <w:tc>
          <w:tcPr>
            <w:tcW w:w="3402" w:type="dxa"/>
          </w:tcPr>
          <w:p>
            <w:pPr>
              <w:pStyle w:val="0"/>
              <w:jc w:val="both"/>
            </w:pPr>
            <w:r>
              <w:rPr>
                <w:sz w:val="20"/>
              </w:rPr>
              <w:t xml:space="preserve">Директор ГБУЗС "Медицинский информационно-аналитический центр"</w:t>
            </w:r>
          </w:p>
        </w:tc>
      </w:tr>
      <w:tr>
        <w:tc>
          <w:tcPr>
            <w:vMerge w:val="continue"/>
          </w:tcPr>
          <w:p/>
        </w:tc>
        <w:tc>
          <w:tcPr>
            <w:vMerge w:val="continue"/>
          </w:tcPr>
          <w:p/>
        </w:tc>
        <w:tc>
          <w:tcPr>
            <w:tcW w:w="2154" w:type="dxa"/>
          </w:tcPr>
          <w:p>
            <w:pPr>
              <w:pStyle w:val="0"/>
              <w:jc w:val="both"/>
            </w:pPr>
            <w:r>
              <w:rPr>
                <w:sz w:val="20"/>
              </w:rPr>
              <w:t xml:space="preserve">Е.С. Большакова</w:t>
            </w:r>
          </w:p>
        </w:tc>
        <w:tc>
          <w:tcPr>
            <w:tcW w:w="3402" w:type="dxa"/>
          </w:tcPr>
          <w:p>
            <w:pPr>
              <w:pStyle w:val="0"/>
              <w:jc w:val="both"/>
            </w:pPr>
            <w:r>
              <w:rPr>
                <w:sz w:val="20"/>
              </w:rPr>
              <w:t xml:space="preserve">Главный врач ГБУЗС "ГБ N 5"</w:t>
            </w:r>
          </w:p>
        </w:tc>
      </w:tr>
      <w:tr>
        <w:tc>
          <w:tcPr>
            <w:vMerge w:val="continue"/>
          </w:tcPr>
          <w:p/>
        </w:tc>
        <w:tc>
          <w:tcPr>
            <w:vMerge w:val="continue"/>
          </w:tcPr>
          <w:p/>
        </w:tc>
        <w:tc>
          <w:tcPr>
            <w:tcW w:w="2154" w:type="dxa"/>
          </w:tcPr>
          <w:p>
            <w:pPr>
              <w:pStyle w:val="0"/>
              <w:jc w:val="both"/>
            </w:pPr>
            <w:r>
              <w:rPr>
                <w:sz w:val="20"/>
              </w:rPr>
              <w:t xml:space="preserve">В.Г. Гавриляк</w:t>
            </w:r>
          </w:p>
        </w:tc>
        <w:tc>
          <w:tcPr>
            <w:tcW w:w="3402" w:type="dxa"/>
          </w:tcPr>
          <w:p>
            <w:pPr>
              <w:pStyle w:val="0"/>
              <w:jc w:val="both"/>
            </w:pPr>
            <w:r>
              <w:rPr>
                <w:sz w:val="20"/>
              </w:rPr>
              <w:t xml:space="preserve">Главный врач ГБУЗС "Городская больница N 4"</w:t>
            </w:r>
          </w:p>
        </w:tc>
      </w:tr>
      <w:tr>
        <w:tc>
          <w:tcPr>
            <w:vMerge w:val="continue"/>
          </w:tcPr>
          <w:p/>
        </w:tc>
        <w:tc>
          <w:tcPr>
            <w:vMerge w:val="continue"/>
          </w:tcPr>
          <w:p/>
        </w:tc>
        <w:tc>
          <w:tcPr>
            <w:tcW w:w="2154" w:type="dxa"/>
          </w:tcPr>
          <w:p>
            <w:pPr>
              <w:pStyle w:val="0"/>
              <w:jc w:val="both"/>
            </w:pPr>
            <w:r>
              <w:rPr>
                <w:sz w:val="20"/>
              </w:rPr>
              <w:t xml:space="preserve">Е.В. Волкова</w:t>
            </w:r>
          </w:p>
        </w:tc>
        <w:tc>
          <w:tcPr>
            <w:tcW w:w="3402" w:type="dxa"/>
          </w:tcPr>
          <w:p>
            <w:pPr>
              <w:pStyle w:val="0"/>
              <w:jc w:val="both"/>
            </w:pPr>
            <w:r>
              <w:rPr>
                <w:sz w:val="20"/>
              </w:rPr>
              <w:t xml:space="preserve">Главный врач ГБУЗС "Городская больница N 9"</w:t>
            </w:r>
          </w:p>
        </w:tc>
      </w:tr>
      <w:tr>
        <w:tc>
          <w:tcPr>
            <w:tcW w:w="567" w:type="dxa"/>
            <w:vMerge w:val="restart"/>
          </w:tcPr>
          <w:p>
            <w:pPr>
              <w:pStyle w:val="0"/>
              <w:jc w:val="both"/>
            </w:pPr>
            <w:r>
              <w:rPr>
                <w:sz w:val="20"/>
              </w:rPr>
              <w:t xml:space="preserve">4</w:t>
            </w:r>
          </w:p>
        </w:tc>
        <w:tc>
          <w:tcPr>
            <w:tcW w:w="2909" w:type="dxa"/>
            <w:vMerge w:val="restart"/>
          </w:tcPr>
          <w:p>
            <w:pPr>
              <w:pStyle w:val="0"/>
              <w:jc w:val="both"/>
            </w:pPr>
            <w:r>
              <w:rPr>
                <w:sz w:val="20"/>
              </w:rPr>
              <w:t xml:space="preserve">Реализация в детских поликлиниках/детских поликлинических отделениях медицинских организаций организационно-планировочных решений внутренних пространств, обеспечивающих комфортность пребывания детей, в соответствии с </w:t>
            </w:r>
            <w:hyperlink w:history="0" r:id="rId609"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приказом</w:t>
              </w:r>
            </w:hyperlink>
            <w:r>
              <w:rPr>
                <w:sz w:val="20"/>
              </w:rPr>
              <w:t xml:space="preserve"> Минздрава России от 07.03.2018 N 92н "Об утверждении Положения об организации оказания первичной медико-санитарной помощи детям"</w:t>
            </w:r>
          </w:p>
        </w:tc>
        <w:tc>
          <w:tcPr>
            <w:tcW w:w="2154" w:type="dxa"/>
          </w:tcPr>
          <w:p>
            <w:pPr>
              <w:pStyle w:val="0"/>
              <w:jc w:val="both"/>
            </w:pPr>
            <w:r>
              <w:rPr>
                <w:sz w:val="20"/>
              </w:rPr>
              <w:t xml:space="preserve">Е.С. Большакова</w:t>
            </w:r>
          </w:p>
        </w:tc>
        <w:tc>
          <w:tcPr>
            <w:tcW w:w="3402" w:type="dxa"/>
          </w:tcPr>
          <w:p>
            <w:pPr>
              <w:pStyle w:val="0"/>
              <w:jc w:val="both"/>
            </w:pPr>
            <w:r>
              <w:rPr>
                <w:sz w:val="20"/>
              </w:rPr>
              <w:t xml:space="preserve">Главный врач ГБУЗС "ГБ N 5"</w:t>
            </w:r>
          </w:p>
        </w:tc>
      </w:tr>
      <w:tr>
        <w:tc>
          <w:tcPr>
            <w:vMerge w:val="continue"/>
          </w:tcPr>
          <w:p/>
        </w:tc>
        <w:tc>
          <w:tcPr>
            <w:vMerge w:val="continue"/>
          </w:tcPr>
          <w:p/>
        </w:tc>
        <w:tc>
          <w:tcPr>
            <w:tcW w:w="2154" w:type="dxa"/>
          </w:tcPr>
          <w:p>
            <w:pPr>
              <w:pStyle w:val="0"/>
              <w:jc w:val="both"/>
            </w:pPr>
            <w:r>
              <w:rPr>
                <w:sz w:val="20"/>
              </w:rPr>
              <w:t xml:space="preserve">В.Г. Гавриляк</w:t>
            </w:r>
          </w:p>
        </w:tc>
        <w:tc>
          <w:tcPr>
            <w:tcW w:w="3402" w:type="dxa"/>
          </w:tcPr>
          <w:p>
            <w:pPr>
              <w:pStyle w:val="0"/>
              <w:jc w:val="both"/>
            </w:pPr>
            <w:r>
              <w:rPr>
                <w:sz w:val="20"/>
              </w:rPr>
              <w:t xml:space="preserve">Главный врач ГБУЗС "Городская больница N 4"</w:t>
            </w:r>
          </w:p>
        </w:tc>
      </w:tr>
      <w:tr>
        <w:tc>
          <w:tcPr>
            <w:vMerge w:val="continue"/>
          </w:tcPr>
          <w:p/>
        </w:tc>
        <w:tc>
          <w:tcPr>
            <w:vMerge w:val="continue"/>
          </w:tcPr>
          <w:p/>
        </w:tc>
        <w:tc>
          <w:tcPr>
            <w:tcW w:w="2154" w:type="dxa"/>
          </w:tcPr>
          <w:p>
            <w:pPr>
              <w:pStyle w:val="0"/>
              <w:jc w:val="both"/>
            </w:pPr>
            <w:r>
              <w:rPr>
                <w:sz w:val="20"/>
              </w:rPr>
              <w:t xml:space="preserve">Е.В. Волкова</w:t>
            </w:r>
          </w:p>
        </w:tc>
        <w:tc>
          <w:tcPr>
            <w:tcW w:w="3402" w:type="dxa"/>
          </w:tcPr>
          <w:p>
            <w:pPr>
              <w:pStyle w:val="0"/>
              <w:jc w:val="both"/>
            </w:pPr>
            <w:r>
              <w:rPr>
                <w:sz w:val="20"/>
              </w:rPr>
              <w:t xml:space="preserve">Главный врач ГБУЗС "Городская больница N 9"</w:t>
            </w:r>
          </w:p>
        </w:tc>
      </w:tr>
      <w:tr>
        <w:tc>
          <w:tcPr>
            <w:tcW w:w="567" w:type="dxa"/>
            <w:vMerge w:val="restart"/>
          </w:tcPr>
          <w:p>
            <w:pPr>
              <w:pStyle w:val="0"/>
              <w:jc w:val="both"/>
            </w:pPr>
            <w:r>
              <w:rPr>
                <w:sz w:val="20"/>
              </w:rPr>
              <w:t xml:space="preserve">5</w:t>
            </w:r>
          </w:p>
        </w:tc>
        <w:tc>
          <w:tcPr>
            <w:tcW w:w="2909" w:type="dxa"/>
            <w:vMerge w:val="restart"/>
          </w:tcPr>
          <w:p>
            <w:pPr>
              <w:pStyle w:val="0"/>
              <w:jc w:val="both"/>
            </w:pPr>
            <w:r>
              <w:rPr>
                <w:sz w:val="20"/>
              </w:rPr>
              <w:t xml:space="preserve">Увеличение охвата профилактическими медицинскими осмотрами детей в возрасте 15 17 лет в рамках реализации </w:t>
            </w:r>
            <w:hyperlink w:history="0" r:id="rId610"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ннолетнего&quot;, &quot;Порядком заполнения и сроки представления формы статистической отчетности N 030-ПО/о-17 &quot;Сведения о профилактических медицинских осмотрах несовершеннолетних&quot;) (Зарегистрировано в Минюсте России 18.08.2017 N 47855) {КонсультантПлюс}">
              <w:r>
                <w:rPr>
                  <w:sz w:val="20"/>
                  <w:color w:val="0000ff"/>
                </w:rPr>
                <w:t xml:space="preserve">приказа</w:t>
              </w:r>
            </w:hyperlink>
            <w:r>
              <w:rPr>
                <w:sz w:val="20"/>
              </w:rPr>
              <w:t xml:space="preserve"> Минздрава России от 10.08.2017 N 514н "О Порядке проведения профилактических медицинских осмотров несовершеннолетних": девочек - врачами - акушерами-гинекологами; мальчиков - врачами - детскими урологами-андрологами</w:t>
            </w:r>
          </w:p>
        </w:tc>
        <w:tc>
          <w:tcPr>
            <w:tcW w:w="2154" w:type="dxa"/>
          </w:tcPr>
          <w:p>
            <w:pPr>
              <w:pStyle w:val="0"/>
              <w:jc w:val="both"/>
            </w:pPr>
            <w:r>
              <w:rPr>
                <w:sz w:val="20"/>
              </w:rPr>
              <w:t xml:space="preserve">Е.С. Большакова</w:t>
            </w:r>
          </w:p>
        </w:tc>
        <w:tc>
          <w:tcPr>
            <w:tcW w:w="3402" w:type="dxa"/>
          </w:tcPr>
          <w:p>
            <w:pPr>
              <w:pStyle w:val="0"/>
              <w:jc w:val="both"/>
            </w:pPr>
            <w:r>
              <w:rPr>
                <w:sz w:val="20"/>
              </w:rPr>
              <w:t xml:space="preserve">Главный врач ГБУЗС "ГБ N 5"</w:t>
            </w:r>
          </w:p>
        </w:tc>
      </w:tr>
      <w:tr>
        <w:tc>
          <w:tcPr>
            <w:vMerge w:val="continue"/>
          </w:tcPr>
          <w:p/>
        </w:tc>
        <w:tc>
          <w:tcPr>
            <w:vMerge w:val="continue"/>
          </w:tcPr>
          <w:p/>
        </w:tc>
        <w:tc>
          <w:tcPr>
            <w:tcW w:w="2154" w:type="dxa"/>
          </w:tcPr>
          <w:p>
            <w:pPr>
              <w:pStyle w:val="0"/>
              <w:jc w:val="both"/>
            </w:pPr>
            <w:r>
              <w:rPr>
                <w:sz w:val="20"/>
              </w:rPr>
              <w:t xml:space="preserve">В.Г. Гавриляк</w:t>
            </w:r>
          </w:p>
        </w:tc>
        <w:tc>
          <w:tcPr>
            <w:tcW w:w="3402" w:type="dxa"/>
          </w:tcPr>
          <w:p>
            <w:pPr>
              <w:pStyle w:val="0"/>
              <w:jc w:val="both"/>
            </w:pPr>
            <w:r>
              <w:rPr>
                <w:sz w:val="20"/>
              </w:rPr>
              <w:t xml:space="preserve">Главный врач ГБУЗС "Городская больница N 4"</w:t>
            </w:r>
          </w:p>
        </w:tc>
      </w:tr>
      <w:tr>
        <w:tc>
          <w:tcPr>
            <w:vMerge w:val="continue"/>
          </w:tcPr>
          <w:p/>
        </w:tc>
        <w:tc>
          <w:tcPr>
            <w:vMerge w:val="continue"/>
          </w:tcPr>
          <w:p/>
        </w:tc>
        <w:tc>
          <w:tcPr>
            <w:tcW w:w="2154" w:type="dxa"/>
          </w:tcPr>
          <w:p>
            <w:pPr>
              <w:pStyle w:val="0"/>
              <w:jc w:val="both"/>
            </w:pPr>
            <w:r>
              <w:rPr>
                <w:sz w:val="20"/>
              </w:rPr>
              <w:t xml:space="preserve">Е.В. Волкова</w:t>
            </w:r>
          </w:p>
        </w:tc>
        <w:tc>
          <w:tcPr>
            <w:tcW w:w="3402" w:type="dxa"/>
          </w:tcPr>
          <w:p>
            <w:pPr>
              <w:pStyle w:val="0"/>
              <w:jc w:val="both"/>
            </w:pPr>
            <w:r>
              <w:rPr>
                <w:sz w:val="20"/>
              </w:rPr>
              <w:t xml:space="preserve">Главный врач ГБУЗС "Городская больница N 9"</w:t>
            </w:r>
          </w:p>
        </w:tc>
      </w:tr>
      <w:tr>
        <w:tc>
          <w:tcPr>
            <w:tcW w:w="567" w:type="dxa"/>
            <w:vMerge w:val="restart"/>
          </w:tcPr>
          <w:p>
            <w:pPr>
              <w:pStyle w:val="0"/>
              <w:jc w:val="both"/>
            </w:pPr>
            <w:r>
              <w:rPr>
                <w:sz w:val="20"/>
              </w:rPr>
              <w:t xml:space="preserve">6</w:t>
            </w:r>
          </w:p>
        </w:tc>
        <w:tc>
          <w:tcPr>
            <w:tcW w:w="2909" w:type="dxa"/>
            <w:vMerge w:val="restart"/>
          </w:tcPr>
          <w:p>
            <w:pPr>
              <w:pStyle w:val="0"/>
              <w:jc w:val="both"/>
            </w:pPr>
            <w:r>
              <w:rPr>
                <w:sz w:val="20"/>
              </w:rPr>
              <w:t xml:space="preserve">Оказание медицинской помощи женщинам в период беременности, родов и в послеродовой период, в том числе за счет средств родовых сертификатов</w:t>
            </w:r>
          </w:p>
        </w:tc>
        <w:tc>
          <w:tcPr>
            <w:tcW w:w="2154" w:type="dxa"/>
          </w:tcPr>
          <w:p>
            <w:pPr>
              <w:pStyle w:val="0"/>
              <w:jc w:val="both"/>
            </w:pPr>
            <w:r>
              <w:rPr>
                <w:sz w:val="20"/>
              </w:rPr>
              <w:t xml:space="preserve">А.В. Солдатова</w:t>
            </w:r>
          </w:p>
        </w:tc>
        <w:tc>
          <w:tcPr>
            <w:tcW w:w="3402" w:type="dxa"/>
          </w:tcPr>
          <w:p>
            <w:pPr>
              <w:pStyle w:val="0"/>
              <w:jc w:val="both"/>
            </w:pPr>
            <w:r>
              <w:rPr>
                <w:sz w:val="20"/>
              </w:rPr>
              <w:t xml:space="preserve">Первый заместитель директора Департамента здравоохранения города Севастополя</w:t>
            </w:r>
          </w:p>
        </w:tc>
      </w:tr>
      <w:tr>
        <w:tc>
          <w:tcPr>
            <w:vMerge w:val="continue"/>
          </w:tcPr>
          <w:p/>
        </w:tc>
        <w:tc>
          <w:tcPr>
            <w:vMerge w:val="continue"/>
          </w:tcPr>
          <w:p/>
        </w:tc>
        <w:tc>
          <w:tcPr>
            <w:tcW w:w="2154" w:type="dxa"/>
          </w:tcPr>
          <w:p>
            <w:pPr>
              <w:pStyle w:val="0"/>
              <w:jc w:val="both"/>
            </w:pPr>
            <w:r>
              <w:rPr>
                <w:sz w:val="20"/>
              </w:rPr>
              <w:t xml:space="preserve">А.А. Коситченков</w:t>
            </w:r>
          </w:p>
        </w:tc>
        <w:tc>
          <w:tcPr>
            <w:tcW w:w="3402" w:type="dxa"/>
          </w:tcPr>
          <w:p>
            <w:pPr>
              <w:pStyle w:val="0"/>
              <w:jc w:val="both"/>
            </w:pPr>
            <w:r>
              <w:rPr>
                <w:sz w:val="20"/>
              </w:rPr>
              <w:t xml:space="preserve">Главный врач ГБУЗС "Городская больница N 1 им. Н.И. Пирогова"</w:t>
            </w:r>
          </w:p>
        </w:tc>
      </w:tr>
      <w:tr>
        <w:tc>
          <w:tcPr>
            <w:vMerge w:val="continue"/>
          </w:tcPr>
          <w:p/>
        </w:tc>
        <w:tc>
          <w:tcPr>
            <w:vMerge w:val="continue"/>
          </w:tcPr>
          <w:p/>
        </w:tc>
        <w:tc>
          <w:tcPr>
            <w:tcW w:w="2154" w:type="dxa"/>
          </w:tcPr>
          <w:p>
            <w:pPr>
              <w:pStyle w:val="0"/>
              <w:jc w:val="both"/>
            </w:pPr>
            <w:r>
              <w:rPr>
                <w:sz w:val="20"/>
              </w:rPr>
              <w:t xml:space="preserve">В.Г. Гавриляк</w:t>
            </w:r>
          </w:p>
        </w:tc>
        <w:tc>
          <w:tcPr>
            <w:tcW w:w="3402" w:type="dxa"/>
          </w:tcPr>
          <w:p>
            <w:pPr>
              <w:pStyle w:val="0"/>
              <w:jc w:val="both"/>
            </w:pPr>
            <w:r>
              <w:rPr>
                <w:sz w:val="20"/>
              </w:rPr>
              <w:t xml:space="preserve">Главный врач ГБУЗС "Городская больница N 4"</w:t>
            </w:r>
          </w:p>
        </w:tc>
      </w:tr>
      <w:tr>
        <w:tc>
          <w:tcPr>
            <w:vMerge w:val="continue"/>
          </w:tcPr>
          <w:p/>
        </w:tc>
        <w:tc>
          <w:tcPr>
            <w:vMerge w:val="continue"/>
          </w:tcPr>
          <w:p/>
        </w:tc>
        <w:tc>
          <w:tcPr>
            <w:tcW w:w="2154" w:type="dxa"/>
          </w:tcPr>
          <w:p>
            <w:pPr>
              <w:pStyle w:val="0"/>
              <w:jc w:val="both"/>
            </w:pPr>
            <w:r>
              <w:rPr>
                <w:sz w:val="20"/>
              </w:rPr>
              <w:t xml:space="preserve">Е.В. Волкова</w:t>
            </w:r>
          </w:p>
        </w:tc>
        <w:tc>
          <w:tcPr>
            <w:tcW w:w="3402" w:type="dxa"/>
          </w:tcPr>
          <w:p>
            <w:pPr>
              <w:pStyle w:val="0"/>
              <w:jc w:val="both"/>
            </w:pPr>
            <w:r>
              <w:rPr>
                <w:sz w:val="20"/>
              </w:rPr>
              <w:t xml:space="preserve">Главный врач ГБУЗС "Городская больница N 9"</w:t>
            </w:r>
          </w:p>
        </w:tc>
      </w:tr>
    </w:tbl>
    <w:p>
      <w:pPr>
        <w:pStyle w:val="0"/>
        <w:jc w:val="both"/>
      </w:pPr>
      <w:r>
        <w:rPr>
          <w:sz w:val="20"/>
        </w:rPr>
      </w:r>
    </w:p>
    <w:p>
      <w:pPr>
        <w:pStyle w:val="0"/>
        <w:ind w:firstLine="540"/>
        <w:jc w:val="both"/>
      </w:pPr>
      <w:r>
        <w:rPr>
          <w:sz w:val="20"/>
        </w:rPr>
        <w:t xml:space="preserve">Участники проекта: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909"/>
        <w:gridCol w:w="2154"/>
        <w:gridCol w:w="3402"/>
      </w:tblGrid>
      <w:tr>
        <w:tc>
          <w:tcPr>
            <w:tcW w:w="567" w:type="dxa"/>
          </w:tcPr>
          <w:p>
            <w:pPr>
              <w:pStyle w:val="0"/>
              <w:jc w:val="center"/>
            </w:pPr>
            <w:r>
              <w:rPr>
                <w:sz w:val="20"/>
              </w:rPr>
              <w:t xml:space="preserve">N п/п</w:t>
            </w:r>
          </w:p>
        </w:tc>
        <w:tc>
          <w:tcPr>
            <w:tcW w:w="2909" w:type="dxa"/>
          </w:tcPr>
          <w:p>
            <w:pPr>
              <w:pStyle w:val="0"/>
              <w:jc w:val="center"/>
            </w:pPr>
            <w:r>
              <w:rPr>
                <w:sz w:val="20"/>
              </w:rPr>
              <w:t xml:space="preserve">Министерства и ведомства</w:t>
            </w:r>
          </w:p>
        </w:tc>
        <w:tc>
          <w:tcPr>
            <w:tcW w:w="2154" w:type="dxa"/>
          </w:tcPr>
          <w:p>
            <w:pPr>
              <w:pStyle w:val="0"/>
              <w:jc w:val="center"/>
            </w:pPr>
            <w:r>
              <w:rPr>
                <w:sz w:val="20"/>
              </w:rPr>
              <w:t xml:space="preserve">ФИО</w:t>
            </w:r>
          </w:p>
        </w:tc>
        <w:tc>
          <w:tcPr>
            <w:tcW w:w="3402" w:type="dxa"/>
          </w:tcPr>
          <w:p>
            <w:pPr>
              <w:pStyle w:val="0"/>
              <w:jc w:val="center"/>
            </w:pPr>
            <w:r>
              <w:rPr>
                <w:sz w:val="20"/>
              </w:rPr>
              <w:t xml:space="preserve">Должность</w:t>
            </w:r>
          </w:p>
        </w:tc>
      </w:tr>
      <w:tr>
        <w:tc>
          <w:tcPr>
            <w:tcW w:w="567" w:type="dxa"/>
          </w:tcPr>
          <w:p>
            <w:pPr>
              <w:pStyle w:val="0"/>
              <w:jc w:val="both"/>
            </w:pPr>
            <w:r>
              <w:rPr>
                <w:sz w:val="20"/>
              </w:rPr>
              <w:t xml:space="preserve">1</w:t>
            </w:r>
          </w:p>
        </w:tc>
        <w:tc>
          <w:tcPr>
            <w:tcW w:w="2909" w:type="dxa"/>
          </w:tcPr>
          <w:p>
            <w:pPr>
              <w:pStyle w:val="0"/>
              <w:jc w:val="both"/>
            </w:pPr>
            <w:r>
              <w:rPr>
                <w:sz w:val="20"/>
              </w:rPr>
              <w:t xml:space="preserve">Территориальный фонд обязательного медицинского страхования города Севастополя</w:t>
            </w:r>
          </w:p>
        </w:tc>
        <w:tc>
          <w:tcPr>
            <w:tcW w:w="2154" w:type="dxa"/>
          </w:tcPr>
          <w:p>
            <w:pPr>
              <w:pStyle w:val="0"/>
              <w:jc w:val="both"/>
            </w:pPr>
            <w:r>
              <w:rPr>
                <w:sz w:val="20"/>
              </w:rPr>
              <w:t xml:space="preserve">Т.Ю. Гроздова</w:t>
            </w:r>
          </w:p>
        </w:tc>
        <w:tc>
          <w:tcPr>
            <w:tcW w:w="3402" w:type="dxa"/>
          </w:tcPr>
          <w:p>
            <w:pPr>
              <w:pStyle w:val="0"/>
              <w:jc w:val="both"/>
            </w:pPr>
            <w:r>
              <w:rPr>
                <w:sz w:val="20"/>
              </w:rPr>
              <w:t xml:space="preserve">Директор Территориального фонда обязательного медицинского страхования города Севастополя</w:t>
            </w:r>
          </w:p>
        </w:tc>
      </w:tr>
      <w:tr>
        <w:tc>
          <w:tcPr>
            <w:tcW w:w="567" w:type="dxa"/>
          </w:tcPr>
          <w:p>
            <w:pPr>
              <w:pStyle w:val="0"/>
              <w:jc w:val="both"/>
            </w:pPr>
            <w:r>
              <w:rPr>
                <w:sz w:val="20"/>
              </w:rPr>
              <w:t xml:space="preserve">2</w:t>
            </w:r>
          </w:p>
        </w:tc>
        <w:tc>
          <w:tcPr>
            <w:tcW w:w="2909" w:type="dxa"/>
          </w:tcPr>
          <w:p>
            <w:pPr>
              <w:pStyle w:val="0"/>
              <w:jc w:val="both"/>
            </w:pPr>
            <w:r>
              <w:rPr>
                <w:sz w:val="20"/>
              </w:rPr>
              <w:t xml:space="preserve">Департамент финансов города Севастополя</w:t>
            </w:r>
          </w:p>
        </w:tc>
        <w:tc>
          <w:tcPr>
            <w:tcW w:w="2154" w:type="dxa"/>
          </w:tcPr>
          <w:p>
            <w:pPr>
              <w:pStyle w:val="0"/>
              <w:jc w:val="both"/>
            </w:pPr>
            <w:r>
              <w:rPr>
                <w:sz w:val="20"/>
              </w:rPr>
              <w:t xml:space="preserve">В.Б. Горощенко</w:t>
            </w:r>
          </w:p>
        </w:tc>
        <w:tc>
          <w:tcPr>
            <w:tcW w:w="3402" w:type="dxa"/>
          </w:tcPr>
          <w:p>
            <w:pPr>
              <w:pStyle w:val="0"/>
              <w:jc w:val="both"/>
            </w:pPr>
            <w:r>
              <w:rPr>
                <w:sz w:val="20"/>
              </w:rPr>
              <w:t xml:space="preserve">Исполняющий обязанности директора Департамента финансов города Севастополя</w:t>
            </w:r>
          </w:p>
        </w:tc>
      </w:tr>
      <w:tr>
        <w:tc>
          <w:tcPr>
            <w:tcW w:w="567" w:type="dxa"/>
          </w:tcPr>
          <w:p>
            <w:pPr>
              <w:pStyle w:val="0"/>
              <w:jc w:val="both"/>
            </w:pPr>
            <w:r>
              <w:rPr>
                <w:sz w:val="20"/>
              </w:rPr>
              <w:t xml:space="preserve">3</w:t>
            </w:r>
          </w:p>
        </w:tc>
        <w:tc>
          <w:tcPr>
            <w:tcW w:w="2909" w:type="dxa"/>
          </w:tcPr>
          <w:p>
            <w:pPr>
              <w:pStyle w:val="0"/>
              <w:jc w:val="both"/>
            </w:pPr>
            <w:r>
              <w:rPr>
                <w:sz w:val="20"/>
              </w:rPr>
              <w:t xml:space="preserve">Департамент капитального строительства города Севастополя</w:t>
            </w:r>
          </w:p>
        </w:tc>
        <w:tc>
          <w:tcPr>
            <w:tcW w:w="2154" w:type="dxa"/>
          </w:tcPr>
          <w:p>
            <w:pPr>
              <w:pStyle w:val="0"/>
              <w:jc w:val="both"/>
            </w:pPr>
            <w:r>
              <w:rPr>
                <w:sz w:val="20"/>
              </w:rPr>
              <w:t xml:space="preserve">И.Ю. Гапицонов</w:t>
            </w:r>
          </w:p>
        </w:tc>
        <w:tc>
          <w:tcPr>
            <w:tcW w:w="3402" w:type="dxa"/>
          </w:tcPr>
          <w:p>
            <w:pPr>
              <w:pStyle w:val="0"/>
              <w:jc w:val="both"/>
            </w:pPr>
            <w:r>
              <w:rPr>
                <w:sz w:val="20"/>
              </w:rPr>
              <w:t xml:space="preserve">Директор Департамента капитального строительства города Севастополя - член Правительства Севастополя</w:t>
            </w:r>
          </w:p>
        </w:tc>
      </w:tr>
      <w:tr>
        <w:tc>
          <w:tcPr>
            <w:tcW w:w="567" w:type="dxa"/>
          </w:tcPr>
          <w:p>
            <w:pPr>
              <w:pStyle w:val="0"/>
              <w:jc w:val="both"/>
            </w:pPr>
            <w:r>
              <w:rPr>
                <w:sz w:val="20"/>
              </w:rPr>
              <w:t xml:space="preserve">4</w:t>
            </w:r>
          </w:p>
        </w:tc>
        <w:tc>
          <w:tcPr>
            <w:tcW w:w="2909" w:type="dxa"/>
          </w:tcPr>
          <w:p>
            <w:pPr>
              <w:pStyle w:val="0"/>
              <w:jc w:val="both"/>
            </w:pPr>
            <w:r>
              <w:rPr>
                <w:sz w:val="20"/>
              </w:rPr>
              <w:t xml:space="preserve">Департамент образования и науки города Севастополя</w:t>
            </w:r>
          </w:p>
        </w:tc>
        <w:tc>
          <w:tcPr>
            <w:tcW w:w="2154" w:type="dxa"/>
          </w:tcPr>
          <w:p>
            <w:pPr>
              <w:pStyle w:val="0"/>
              <w:jc w:val="both"/>
            </w:pPr>
            <w:r>
              <w:rPr>
                <w:sz w:val="20"/>
              </w:rPr>
              <w:t xml:space="preserve">Е.Н. Богомолова</w:t>
            </w:r>
          </w:p>
        </w:tc>
        <w:tc>
          <w:tcPr>
            <w:tcW w:w="3402" w:type="dxa"/>
          </w:tcPr>
          <w:p>
            <w:pPr>
              <w:pStyle w:val="0"/>
              <w:jc w:val="both"/>
            </w:pPr>
            <w:r>
              <w:rPr>
                <w:sz w:val="20"/>
              </w:rPr>
              <w:t xml:space="preserve">Директор Департамента образования и науки города Севастополя - член Правительства Севастополя</w:t>
            </w:r>
          </w:p>
        </w:tc>
      </w:tr>
    </w:tbl>
    <w:p>
      <w:pPr>
        <w:pStyle w:val="0"/>
        <w:jc w:val="both"/>
      </w:pPr>
      <w:r>
        <w:rPr>
          <w:sz w:val="20"/>
        </w:rPr>
      </w:r>
    </w:p>
    <w:p>
      <w:pPr>
        <w:pStyle w:val="0"/>
        <w:ind w:firstLine="540"/>
        <w:jc w:val="both"/>
      </w:pPr>
      <w:r>
        <w:rPr>
          <w:sz w:val="20"/>
        </w:rPr>
        <w:t xml:space="preserve">Сроки и этапы реализации. Региональная программа реализуется в 2019 - 2024 годах, разбивается на 6 этапов по годам:</w:t>
      </w:r>
    </w:p>
    <w:p>
      <w:pPr>
        <w:pStyle w:val="0"/>
        <w:spacing w:before="200" w:line-rule="auto"/>
        <w:ind w:firstLine="540"/>
        <w:jc w:val="both"/>
      </w:pPr>
      <w:r>
        <w:rPr>
          <w:sz w:val="20"/>
        </w:rPr>
        <w:t xml:space="preserve">1-й этап - 01.07.2019 - 31.12.2019;</w:t>
      </w:r>
    </w:p>
    <w:p>
      <w:pPr>
        <w:pStyle w:val="0"/>
        <w:spacing w:before="200" w:line-rule="auto"/>
        <w:ind w:firstLine="540"/>
        <w:jc w:val="both"/>
      </w:pPr>
      <w:r>
        <w:rPr>
          <w:sz w:val="20"/>
        </w:rPr>
        <w:t xml:space="preserve">2-й этап - 01.01.2020 - 31.12.2020;</w:t>
      </w:r>
    </w:p>
    <w:p>
      <w:pPr>
        <w:pStyle w:val="0"/>
        <w:spacing w:before="200" w:line-rule="auto"/>
        <w:ind w:firstLine="540"/>
        <w:jc w:val="both"/>
      </w:pPr>
      <w:r>
        <w:rPr>
          <w:sz w:val="20"/>
        </w:rPr>
        <w:t xml:space="preserve">3-й этап - 01.01.2021 - 31.12.2021;</w:t>
      </w:r>
    </w:p>
    <w:p>
      <w:pPr>
        <w:pStyle w:val="0"/>
        <w:spacing w:before="200" w:line-rule="auto"/>
        <w:ind w:firstLine="540"/>
        <w:jc w:val="both"/>
      </w:pPr>
      <w:r>
        <w:rPr>
          <w:sz w:val="20"/>
        </w:rPr>
        <w:t xml:space="preserve">4-й этап - 01.01.2022 - 31.12.2022;</w:t>
      </w:r>
    </w:p>
    <w:p>
      <w:pPr>
        <w:pStyle w:val="0"/>
        <w:spacing w:before="200" w:line-rule="auto"/>
        <w:ind w:firstLine="540"/>
        <w:jc w:val="both"/>
      </w:pPr>
      <w:r>
        <w:rPr>
          <w:sz w:val="20"/>
        </w:rPr>
        <w:t xml:space="preserve">5-й этап - 01.01.2023 - 31.12.2023;</w:t>
      </w:r>
    </w:p>
    <w:p>
      <w:pPr>
        <w:pStyle w:val="0"/>
        <w:spacing w:before="200" w:line-rule="auto"/>
        <w:ind w:firstLine="540"/>
        <w:jc w:val="both"/>
      </w:pPr>
      <w:r>
        <w:rPr>
          <w:sz w:val="20"/>
        </w:rPr>
        <w:t xml:space="preserve">6-й этап - 01.01.2024 - 31.12.2024.</w:t>
      </w:r>
    </w:p>
    <w:p>
      <w:pPr>
        <w:pStyle w:val="0"/>
        <w:spacing w:before="200" w:line-rule="auto"/>
        <w:ind w:firstLine="540"/>
        <w:jc w:val="both"/>
      </w:pPr>
      <w:r>
        <w:rPr>
          <w:sz w:val="20"/>
        </w:rPr>
        <w:t xml:space="preserve">Цель Региональной программы - снижение младенческой смертности в городе федерального значения Севастополе до 3,1 на 1000 родившихся живыми путем совершенствования оказания первичной медико-санитарной помощи, специализированной, в том числе высокотехнологичной, медицинской помощи детям, повышения доступности и качества медицинской помощи на всех этапах ее оказания, а также профилактики заболеваемости.</w:t>
      </w:r>
    </w:p>
    <w:p>
      <w:pPr>
        <w:pStyle w:val="0"/>
        <w:spacing w:before="200" w:line-rule="auto"/>
        <w:ind w:firstLine="540"/>
        <w:jc w:val="both"/>
      </w:pPr>
      <w:r>
        <w:rPr>
          <w:sz w:val="20"/>
        </w:rPr>
        <w:t xml:space="preserve">Задачи Региональной программы:</w:t>
      </w:r>
    </w:p>
    <w:p>
      <w:pPr>
        <w:pStyle w:val="0"/>
        <w:spacing w:before="200" w:line-rule="auto"/>
        <w:ind w:firstLine="540"/>
        <w:jc w:val="both"/>
      </w:pPr>
      <w:r>
        <w:rPr>
          <w:sz w:val="20"/>
        </w:rPr>
        <w:t xml:space="preserve">Снижение младенческой смертности к 2024 году до 3,1 на 1000 родившихся живыми будет достигнуто путем:</w:t>
      </w:r>
    </w:p>
    <w:p>
      <w:pPr>
        <w:pStyle w:val="0"/>
        <w:spacing w:before="200" w:line-rule="auto"/>
        <w:ind w:firstLine="540"/>
        <w:jc w:val="both"/>
      </w:pPr>
      <w:r>
        <w:rPr>
          <w:sz w:val="20"/>
        </w:rPr>
        <w:t xml:space="preserve">соблюдения маршрутизации беременных женщин при оказании медицинской помощи;</w:t>
      </w:r>
    </w:p>
    <w:p>
      <w:pPr>
        <w:pStyle w:val="0"/>
        <w:spacing w:before="200" w:line-rule="auto"/>
        <w:ind w:firstLine="540"/>
        <w:jc w:val="both"/>
      </w:pPr>
      <w:r>
        <w:rPr>
          <w:sz w:val="20"/>
        </w:rPr>
        <w:t xml:space="preserve">обеспечения кадрами медицинских организаций, оказывающих медицинскую помощь детям и женщинам в период беременности, родов и послеродовом периоде, новорожденным, детям первого года жизни, повышения квалификации специалистов в области перинатологии, неонатологии и педиатрии, в том числе в симуляционных центрах;</w:t>
      </w:r>
    </w:p>
    <w:p>
      <w:pPr>
        <w:pStyle w:val="0"/>
        <w:spacing w:before="200" w:line-rule="auto"/>
        <w:ind w:firstLine="540"/>
        <w:jc w:val="both"/>
      </w:pPr>
      <w:r>
        <w:rPr>
          <w:sz w:val="20"/>
        </w:rPr>
        <w:t xml:space="preserve">внедрения в практику клинических рекомендаций (протоколов лечения) при оказании медицинской помощи женщинам в период беременности, родов и в послеродовом периоде, новорожденным и детям первого года жизни;</w:t>
      </w:r>
    </w:p>
    <w:p>
      <w:pPr>
        <w:pStyle w:val="0"/>
        <w:spacing w:before="200" w:line-rule="auto"/>
        <w:ind w:firstLine="540"/>
        <w:jc w:val="both"/>
      </w:pPr>
      <w:r>
        <w:rPr>
          <w:sz w:val="20"/>
        </w:rPr>
        <w:t xml:space="preserve">внедрения в работу учреждений родовспоможения проведения телемедицинских консультаций с перинатальным центром ГБУЗ РК "Республиканская клиническая больница имени Н.А. Семашко";</w:t>
      </w:r>
    </w:p>
    <w:p>
      <w:pPr>
        <w:pStyle w:val="0"/>
        <w:spacing w:before="200" w:line-rule="auto"/>
        <w:ind w:firstLine="540"/>
        <w:jc w:val="both"/>
      </w:pPr>
      <w:r>
        <w:rPr>
          <w:sz w:val="20"/>
        </w:rPr>
        <w:t xml:space="preserve">проведения телемедицинских консультаций медицинских организаций с научными медицинскими исследовательскими центрами;</w:t>
      </w:r>
    </w:p>
    <w:p>
      <w:pPr>
        <w:pStyle w:val="0"/>
        <w:spacing w:before="200" w:line-rule="auto"/>
        <w:ind w:firstLine="540"/>
        <w:jc w:val="both"/>
      </w:pPr>
      <w:r>
        <w:rPr>
          <w:sz w:val="20"/>
        </w:rPr>
        <w:t xml:space="preserve">улучшения материально-технической базы учреждений родовспоможения, оказания медицинской помощи женщинам в период беременности, родов и в послеродовой период, в том числе за счет средств родовых сертификатов;</w:t>
      </w:r>
    </w:p>
    <w:p>
      <w:pPr>
        <w:pStyle w:val="0"/>
        <w:spacing w:before="200" w:line-rule="auto"/>
        <w:ind w:firstLine="540"/>
        <w:jc w:val="both"/>
      </w:pPr>
      <w:r>
        <w:rPr>
          <w:sz w:val="20"/>
        </w:rPr>
        <w:t xml:space="preserve">совершенствования работы медико-генетической консультации Государственного бюджетного учреждения здравоохранения Севастополя "Городская больница N 5 - "Центр охраны здоровья матери и ребенка" в целях своевременного и качественного проведения первого и второго скринингов беременным женщинам;</w:t>
      </w:r>
    </w:p>
    <w:p>
      <w:pPr>
        <w:pStyle w:val="0"/>
        <w:spacing w:before="200" w:line-rule="auto"/>
        <w:ind w:firstLine="540"/>
        <w:jc w:val="both"/>
      </w:pPr>
      <w:r>
        <w:rPr>
          <w:sz w:val="20"/>
        </w:rPr>
        <w:t xml:space="preserve">улучшения льготного лекарственного обеспечения женщин в период беременности, родов и в послеродовом периоде при отдельных заболеваниях;</w:t>
      </w:r>
    </w:p>
    <w:p>
      <w:pPr>
        <w:pStyle w:val="0"/>
        <w:spacing w:before="200" w:line-rule="auto"/>
        <w:ind w:firstLine="540"/>
        <w:jc w:val="both"/>
      </w:pPr>
      <w:r>
        <w:rPr>
          <w:sz w:val="20"/>
        </w:rPr>
        <w:t xml:space="preserve">совершенствования технологий выхаживания новорожденных с экстремально низкой и очень низкой массой тела при рождении.</w:t>
      </w:r>
    </w:p>
    <w:p>
      <w:pPr>
        <w:pStyle w:val="0"/>
        <w:spacing w:before="200" w:line-rule="auto"/>
        <w:ind w:firstLine="540"/>
        <w:jc w:val="both"/>
      </w:pPr>
      <w:r>
        <w:rPr>
          <w:sz w:val="20"/>
        </w:rPr>
        <w:t xml:space="preserve">Индикатор "Снижение смертности детей в возрасте 0 - 4 года к 2024 году до 4,0 на 1000 родившихся живыми" будет достигнут путем:</w:t>
      </w:r>
    </w:p>
    <w:p>
      <w:pPr>
        <w:pStyle w:val="0"/>
        <w:spacing w:before="200" w:line-rule="auto"/>
        <w:ind w:firstLine="540"/>
        <w:jc w:val="both"/>
      </w:pPr>
      <w:r>
        <w:rPr>
          <w:sz w:val="20"/>
        </w:rPr>
        <w:t xml:space="preserve">соблюдения маршрутизации детей при оказании медицинской помощи;</w:t>
      </w:r>
    </w:p>
    <w:p>
      <w:pPr>
        <w:pStyle w:val="0"/>
        <w:spacing w:before="200" w:line-rule="auto"/>
        <w:ind w:firstLine="540"/>
        <w:jc w:val="both"/>
      </w:pPr>
      <w:r>
        <w:rPr>
          <w:sz w:val="20"/>
        </w:rPr>
        <w:t xml:space="preserve">обеспечения кадрами медицинских организаций, оказывающих медицинскую помощь детям, повышения квалификации специалистов в области педиатрии, в том числе в симуляционных центрах;</w:t>
      </w:r>
    </w:p>
    <w:p>
      <w:pPr>
        <w:pStyle w:val="0"/>
        <w:spacing w:before="200" w:line-rule="auto"/>
        <w:ind w:firstLine="540"/>
        <w:jc w:val="both"/>
      </w:pPr>
      <w:r>
        <w:rPr>
          <w:sz w:val="20"/>
        </w:rPr>
        <w:t xml:space="preserve">внедрения в практику клинических рекомендаций (протоколов лечения) при оказании медицинской помощи детям;</w:t>
      </w:r>
    </w:p>
    <w:p>
      <w:pPr>
        <w:pStyle w:val="0"/>
        <w:spacing w:before="200" w:line-rule="auto"/>
        <w:ind w:firstLine="540"/>
        <w:jc w:val="both"/>
      </w:pPr>
      <w:r>
        <w:rPr>
          <w:sz w:val="20"/>
        </w:rPr>
        <w:t xml:space="preserve">внедрения в практику медицинских организаций проведения телемедицинских консультаций с ГБУЗ Республики Крым "Республиканская клиническая больница имени Н.А. Семашко", ФГБУ "Республиканская детская клиническая больница" МЗ РФ, Морозовской ДГКБ, с научными медицинскими исследовательскими центрами;</w:t>
      </w:r>
    </w:p>
    <w:p>
      <w:pPr>
        <w:pStyle w:val="0"/>
        <w:spacing w:before="200" w:line-rule="auto"/>
        <w:ind w:firstLine="540"/>
        <w:jc w:val="both"/>
      </w:pPr>
      <w:r>
        <w:rPr>
          <w:sz w:val="20"/>
        </w:rPr>
        <w:t xml:space="preserve">улучшения материально-технической базы детских поликлиник и детских поликлинических отделений медицинских организаций города Севастополя путем дооснащения медицинскими изделиями для оказания медицинской помощи детям;</w:t>
      </w:r>
    </w:p>
    <w:p>
      <w:pPr>
        <w:pStyle w:val="0"/>
        <w:spacing w:before="200" w:line-rule="auto"/>
        <w:ind w:firstLine="540"/>
        <w:jc w:val="both"/>
      </w:pPr>
      <w:r>
        <w:rPr>
          <w:sz w:val="20"/>
        </w:rPr>
        <w:t xml:space="preserve">улучшения материально-технической базы учреждений родовспоможения, оказания медицинской помощи женщинам в период беременности, родов и в послеродовой период, в том числе за счет средств родовых сертификатов;</w:t>
      </w:r>
    </w:p>
    <w:p>
      <w:pPr>
        <w:pStyle w:val="0"/>
        <w:spacing w:before="200" w:line-rule="auto"/>
        <w:ind w:firstLine="540"/>
        <w:jc w:val="both"/>
      </w:pPr>
      <w:r>
        <w:rPr>
          <w:sz w:val="20"/>
        </w:rPr>
        <w:t xml:space="preserve">совершенствования организации оказания специализированной, в том числе высокотехнологичной, медицинской помощи детям;</w:t>
      </w:r>
    </w:p>
    <w:p>
      <w:pPr>
        <w:pStyle w:val="0"/>
        <w:spacing w:before="200" w:line-rule="auto"/>
        <w:ind w:firstLine="540"/>
        <w:jc w:val="both"/>
      </w:pPr>
      <w:r>
        <w:rPr>
          <w:sz w:val="20"/>
        </w:rPr>
        <w:t xml:space="preserve">развития профилактической направленности педиатрической службы.</w:t>
      </w:r>
    </w:p>
    <w:p>
      <w:pPr>
        <w:pStyle w:val="0"/>
        <w:spacing w:before="200" w:line-rule="auto"/>
        <w:ind w:firstLine="540"/>
        <w:jc w:val="both"/>
      </w:pPr>
      <w:r>
        <w:rPr>
          <w:sz w:val="20"/>
        </w:rPr>
        <w:t xml:space="preserve">Индикатор "Снижение смертности детей в возрасте 0 - 17 лет к 2024 году до 39,9 на 100000 детей соответствующего возраста" будет достигнут путем:</w:t>
      </w:r>
    </w:p>
    <w:p>
      <w:pPr>
        <w:pStyle w:val="0"/>
        <w:spacing w:before="200" w:line-rule="auto"/>
        <w:ind w:firstLine="540"/>
        <w:jc w:val="both"/>
      </w:pPr>
      <w:r>
        <w:rPr>
          <w:sz w:val="20"/>
        </w:rPr>
        <w:t xml:space="preserve">улучшения качества и доступности медицинской помощи за счет дооснащения медицинскими изделиями детских поликлиник и детских поликлинических отделений медицинских организаций, подведомственных Департаменту здравоохранения города Севастополя, и реализации организационно-планировочных решений внутренних пространств, обеспечивающих комфортность пребывания детей;</w:t>
      </w:r>
    </w:p>
    <w:p>
      <w:pPr>
        <w:pStyle w:val="0"/>
        <w:spacing w:before="200" w:line-rule="auto"/>
        <w:ind w:firstLine="540"/>
        <w:jc w:val="both"/>
      </w:pPr>
      <w:r>
        <w:rPr>
          <w:sz w:val="20"/>
        </w:rPr>
        <w:t xml:space="preserve">развития профилактической направленности педиатрической службы;</w:t>
      </w:r>
    </w:p>
    <w:p>
      <w:pPr>
        <w:pStyle w:val="0"/>
        <w:spacing w:before="200" w:line-rule="auto"/>
        <w:ind w:firstLine="540"/>
        <w:jc w:val="both"/>
      </w:pPr>
      <w:r>
        <w:rPr>
          <w:sz w:val="20"/>
        </w:rPr>
        <w:t xml:space="preserve">обеспечения кадрами медицинских организаций, оказывающих медицинскую помощь детям;</w:t>
      </w:r>
    </w:p>
    <w:p>
      <w:pPr>
        <w:pStyle w:val="0"/>
        <w:spacing w:before="200" w:line-rule="auto"/>
        <w:ind w:firstLine="540"/>
        <w:jc w:val="both"/>
      </w:pPr>
      <w:r>
        <w:rPr>
          <w:sz w:val="20"/>
        </w:rPr>
        <w:t xml:space="preserve">реализации мероприятий по профилактике суицидов, алкоголизма и наркомании среди подростков;</w:t>
      </w:r>
    </w:p>
    <w:p>
      <w:pPr>
        <w:pStyle w:val="0"/>
        <w:spacing w:before="200" w:line-rule="auto"/>
        <w:ind w:firstLine="540"/>
        <w:jc w:val="both"/>
      </w:pPr>
      <w:r>
        <w:rPr>
          <w:sz w:val="20"/>
        </w:rPr>
        <w:t xml:space="preserve">проведения информационно-коммуникационной кампании по формированию здорового образа жизни у детей, подростков, родителей (иных законных представителей);</w:t>
      </w:r>
    </w:p>
    <w:p>
      <w:pPr>
        <w:pStyle w:val="0"/>
        <w:spacing w:before="200" w:line-rule="auto"/>
        <w:ind w:firstLine="540"/>
        <w:jc w:val="both"/>
      </w:pPr>
      <w:r>
        <w:rPr>
          <w:sz w:val="20"/>
        </w:rPr>
        <w:t xml:space="preserve">внедрения технологий "бережливого производства", направленных на создание понятной навигации, снижение длительности ожидания осмотров врачами-специалистами и диагностических обследований детей, снижение времени ожидания оказания медицинской помощи.</w:t>
      </w:r>
    </w:p>
    <w:p>
      <w:pPr>
        <w:pStyle w:val="0"/>
        <w:spacing w:before="200" w:line-rule="auto"/>
        <w:ind w:firstLine="540"/>
        <w:jc w:val="both"/>
      </w:pPr>
      <w:r>
        <w:rPr>
          <w:sz w:val="20"/>
        </w:rPr>
        <w:t xml:space="preserve">Индикатор "Увеличение доли посещений детьми медицинских организаций с профилактическими целями к 2024 году до 51,0%" будет достигнут путем:</w:t>
      </w:r>
    </w:p>
    <w:p>
      <w:pPr>
        <w:pStyle w:val="0"/>
        <w:spacing w:before="200" w:line-rule="auto"/>
        <w:ind w:firstLine="540"/>
        <w:jc w:val="both"/>
      </w:pPr>
      <w:r>
        <w:rPr>
          <w:sz w:val="20"/>
        </w:rPr>
        <w:t xml:space="preserve">улучшения качества и доступности медицинской помощи за счет дооснащения медицинскими изделиями детских поликлиник и детских поликлинических отделений медицинских организаций, подведомственных Департаменту здравоохранения города Севастополя, и реализации организационно-планировочных решений внутренних пространств, обеспечивающих комфортность пребывания детей;</w:t>
      </w:r>
    </w:p>
    <w:p>
      <w:pPr>
        <w:pStyle w:val="0"/>
        <w:spacing w:before="200" w:line-rule="auto"/>
        <w:ind w:firstLine="540"/>
        <w:jc w:val="both"/>
      </w:pPr>
      <w:r>
        <w:rPr>
          <w:sz w:val="20"/>
        </w:rPr>
        <w:t xml:space="preserve">развития профилактической направленности педиатрической службы;</w:t>
      </w:r>
    </w:p>
    <w:p>
      <w:pPr>
        <w:pStyle w:val="0"/>
        <w:spacing w:before="200" w:line-rule="auto"/>
        <w:ind w:firstLine="540"/>
        <w:jc w:val="both"/>
      </w:pPr>
      <w:r>
        <w:rPr>
          <w:sz w:val="20"/>
        </w:rPr>
        <w:t xml:space="preserve">обеспечения кадрами медицинских организаций, оказывающих медицинскую помощь детям;</w:t>
      </w:r>
    </w:p>
    <w:p>
      <w:pPr>
        <w:pStyle w:val="0"/>
        <w:spacing w:before="200" w:line-rule="auto"/>
        <w:ind w:firstLine="540"/>
        <w:jc w:val="both"/>
      </w:pPr>
      <w:r>
        <w:rPr>
          <w:sz w:val="20"/>
        </w:rPr>
        <w:t xml:space="preserve">проведения информационно-коммуникационной кампании по формированию здорового образа жизни у детей, подростков, родителей (иных законных представителей);</w:t>
      </w:r>
    </w:p>
    <w:p>
      <w:pPr>
        <w:pStyle w:val="0"/>
        <w:spacing w:before="200" w:line-rule="auto"/>
        <w:ind w:firstLine="540"/>
        <w:jc w:val="both"/>
      </w:pPr>
      <w:r>
        <w:rPr>
          <w:sz w:val="20"/>
        </w:rPr>
        <w:t xml:space="preserve">внедрения технологий "бережливого производства", направленных на создание понятной навигации, снижение длительности ожидания осмотров врачами-специалистами и диагностических обследований детей, снижение времени ожидания оказания медицинской помощи.</w:t>
      </w:r>
    </w:p>
    <w:p>
      <w:pPr>
        <w:pStyle w:val="0"/>
        <w:spacing w:before="200" w:line-rule="auto"/>
        <w:ind w:firstLine="540"/>
        <w:jc w:val="both"/>
      </w:pPr>
      <w:r>
        <w:rPr>
          <w:sz w:val="20"/>
        </w:rPr>
        <w:t xml:space="preserve">Индикатор "Увеличение доли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 болезней глаза и его придаточного аппарата, болезней органов пищеварения, болезней органов кровообращения, болезней эндокринной системы, расстройств питания и нарушения обмена веществ к 2024 году до 90,0%" будет достигнут путем:</w:t>
      </w:r>
    </w:p>
    <w:p>
      <w:pPr>
        <w:pStyle w:val="0"/>
        <w:spacing w:before="200" w:line-rule="auto"/>
        <w:ind w:firstLine="540"/>
        <w:jc w:val="both"/>
      </w:pPr>
      <w:r>
        <w:rPr>
          <w:sz w:val="20"/>
        </w:rPr>
        <w:t xml:space="preserve">улучшения качества и доступности медицинской помощи за счет дооснащения медицинскими изделиями детских поликлиник и детских поликлинических отделений медицинских организаций, подведомственных Департаменту здравоохранения города Севастополя, и реализации организационно-планировочных решений внутренних пространств, обеспечивающих комфортность пребывания детей;</w:t>
      </w:r>
    </w:p>
    <w:p>
      <w:pPr>
        <w:pStyle w:val="0"/>
        <w:spacing w:before="200" w:line-rule="auto"/>
        <w:ind w:firstLine="540"/>
        <w:jc w:val="both"/>
      </w:pPr>
      <w:r>
        <w:rPr>
          <w:sz w:val="20"/>
        </w:rPr>
        <w:t xml:space="preserve">внедрения технологий "бережливого производства", направленных на создание понятной навигации, снижение длительности ожидания осмотров врачами-специалистами и диагностических обследований детей, снижение времени ожидания оказания медицинской помощи;</w:t>
      </w:r>
    </w:p>
    <w:p>
      <w:pPr>
        <w:pStyle w:val="0"/>
        <w:spacing w:before="200" w:line-rule="auto"/>
        <w:ind w:firstLine="540"/>
        <w:jc w:val="both"/>
      </w:pPr>
      <w:r>
        <w:rPr>
          <w:sz w:val="20"/>
        </w:rPr>
        <w:t xml:space="preserve">обеспечения кадрами медицинских организаций, оказывающих медицинскую помощь детям;</w:t>
      </w:r>
    </w:p>
    <w:p>
      <w:pPr>
        <w:pStyle w:val="0"/>
        <w:spacing w:before="200" w:line-rule="auto"/>
        <w:ind w:firstLine="540"/>
        <w:jc w:val="both"/>
      </w:pPr>
      <w:r>
        <w:rPr>
          <w:sz w:val="20"/>
        </w:rPr>
        <w:t xml:space="preserve">внедрения стационарозамещающих технологий в амбулаторном звене (закупка медицинских изделий, предназначенных для лечения и реабилитации, позволит увеличить возможности использования стационарозамещающих технологий, увеличение коечного фонда коек дневного пребывания позволит снизить уровень госпитализации на круглосуточные койки и увеличить охват детского населения лечением в условиях дневных стационаров);</w:t>
      </w:r>
    </w:p>
    <w:p>
      <w:pPr>
        <w:pStyle w:val="0"/>
        <w:spacing w:before="200" w:line-rule="auto"/>
        <w:ind w:firstLine="540"/>
        <w:jc w:val="both"/>
      </w:pPr>
      <w:r>
        <w:rPr>
          <w:sz w:val="20"/>
        </w:rPr>
        <w:t xml:space="preserve">развития "школьной медицины".</w:t>
      </w:r>
    </w:p>
    <w:p>
      <w:pPr>
        <w:pStyle w:val="0"/>
        <w:ind w:firstLine="540"/>
        <w:jc w:val="both"/>
      </w:pPr>
      <w:r>
        <w:rPr>
          <w:sz w:val="20"/>
        </w:rPr>
      </w:r>
    </w:p>
    <w:p>
      <w:pPr>
        <w:pStyle w:val="2"/>
        <w:outlineLvl w:val="2"/>
        <w:jc w:val="center"/>
      </w:pPr>
      <w:r>
        <w:rPr>
          <w:sz w:val="20"/>
        </w:rPr>
        <w:t xml:space="preserve">Характеристика службы медицинской помощи детям</w:t>
      </w:r>
    </w:p>
    <w:p>
      <w:pPr>
        <w:pStyle w:val="2"/>
        <w:jc w:val="center"/>
      </w:pPr>
      <w:r>
        <w:rPr>
          <w:sz w:val="20"/>
        </w:rPr>
        <w:t xml:space="preserve">и родовспоможения региона</w:t>
      </w:r>
    </w:p>
    <w:p>
      <w:pPr>
        <w:pStyle w:val="0"/>
        <w:ind w:firstLine="540"/>
        <w:jc w:val="both"/>
      </w:pPr>
      <w:r>
        <w:rPr>
          <w:sz w:val="20"/>
        </w:rPr>
      </w:r>
    </w:p>
    <w:p>
      <w:pPr>
        <w:pStyle w:val="0"/>
        <w:ind w:firstLine="540"/>
        <w:jc w:val="both"/>
      </w:pPr>
      <w:r>
        <w:rPr>
          <w:sz w:val="20"/>
        </w:rPr>
        <w:t xml:space="preserve">В городе Севастополе создана инфраструктура медицинских организаций, которые оказывают детскому населению первичную и специализированную медико-санитарную помощь в амбулаторных условиях, специализированную, в том числе высокотехнологичную, медицинскую помощь в условиях стационара.</w:t>
      </w:r>
    </w:p>
    <w:p>
      <w:pPr>
        <w:pStyle w:val="0"/>
        <w:spacing w:before="200" w:line-rule="auto"/>
        <w:ind w:firstLine="540"/>
        <w:jc w:val="both"/>
      </w:pPr>
      <w:r>
        <w:rPr>
          <w:sz w:val="20"/>
        </w:rPr>
        <w:t xml:space="preserve">Медицинское обеспечение детей в городе Севастополе осуществляется государственными учреждениями здравоохранения на амбулаторно-поликлиническом этапе по 28 специальностям, в стационарных учреждениях здравоохранения - по 25 специальностям.</w:t>
      </w:r>
    </w:p>
    <w:p>
      <w:pPr>
        <w:pStyle w:val="0"/>
        <w:spacing w:before="200" w:line-rule="auto"/>
        <w:ind w:firstLine="540"/>
        <w:jc w:val="both"/>
      </w:pPr>
      <w:r>
        <w:rPr>
          <w:sz w:val="20"/>
        </w:rPr>
        <w:t xml:space="preserve">Первичная медико-санитарная и специализированная медицинская помощь детскому населению в городе Севастополе оказывается одной самостоятельной поликлиникой ГБУЗС "Детская поликлиника N 2", шестью поликлиническими подразделениями для детского населения в следующих организациях: ГБУЗС "Городская больница N 4", ГБУЗС "ГБ N 5", ГБУЗС "Городская больница N 9", ГБУЗС "Севастопольская психиатрическая больница", ГБУЗС "Севастопольский противотуберкулезный диспансер", ГБУЗС "Стоматологическая поликлиника N 1".</w:t>
      </w:r>
    </w:p>
    <w:p>
      <w:pPr>
        <w:pStyle w:val="0"/>
        <w:spacing w:before="200" w:line-rule="auto"/>
        <w:ind w:firstLine="540"/>
        <w:jc w:val="both"/>
      </w:pPr>
      <w:r>
        <w:rPr>
          <w:sz w:val="20"/>
        </w:rPr>
        <w:t xml:space="preserve">Основным учреждением, оказывающим медицинскую помощь детскому населению, является ГБУЗС "ГБ N 5". Данное учреждение оказывает первичную специализированную медико-санитарную помощь, специализированную, включая высокотехнологичную, медицинскую помощь, направленную на лечение, диагностику и профилактику заболеваний в рамках территориальной программы государственных гарантий бесплатного оказания медицинской помощи гражданам г. Севастополя.</w:t>
      </w:r>
    </w:p>
    <w:p>
      <w:pPr>
        <w:pStyle w:val="0"/>
        <w:spacing w:before="200" w:line-rule="auto"/>
        <w:ind w:firstLine="540"/>
        <w:jc w:val="both"/>
      </w:pPr>
      <w:r>
        <w:rPr>
          <w:sz w:val="20"/>
        </w:rPr>
        <w:t xml:space="preserve">В структуру ГБУЗС "ГБ N 5" входят следующие структурные подразделения общей площадью 38114,53 кв. м, расположенные на земельных участках площадью 11,203 га.</w:t>
      </w:r>
    </w:p>
    <w:p>
      <w:pPr>
        <w:pStyle w:val="0"/>
        <w:spacing w:before="200" w:line-rule="auto"/>
        <w:ind w:firstLine="540"/>
        <w:jc w:val="both"/>
      </w:pPr>
      <w:r>
        <w:rPr>
          <w:sz w:val="20"/>
        </w:rPr>
        <w:t xml:space="preserve">1. Детская многопрофильная больница на 266 коек расположена по адресу: г. Севастополь, пр-т Генерала Острякова, 211в. Оказывает специализированную медицинскую помощь детскому населению г. Севастополя по следующим профилям коек:</w:t>
      </w:r>
    </w:p>
    <w:p>
      <w:pPr>
        <w:pStyle w:val="0"/>
        <w:spacing w:before="200" w:line-rule="auto"/>
        <w:ind w:firstLine="540"/>
        <w:jc w:val="both"/>
      </w:pPr>
      <w:r>
        <w:rPr>
          <w:sz w:val="20"/>
        </w:rPr>
        <w:t xml:space="preserve">- хирургические для детей;</w:t>
      </w:r>
    </w:p>
    <w:p>
      <w:pPr>
        <w:pStyle w:val="0"/>
        <w:spacing w:before="200" w:line-rule="auto"/>
        <w:ind w:firstLine="540"/>
        <w:jc w:val="both"/>
      </w:pPr>
      <w:r>
        <w:rPr>
          <w:sz w:val="20"/>
        </w:rPr>
        <w:t xml:space="preserve">- гнойная хирургия;</w:t>
      </w:r>
    </w:p>
    <w:p>
      <w:pPr>
        <w:pStyle w:val="0"/>
        <w:spacing w:before="200" w:line-rule="auto"/>
        <w:ind w:firstLine="540"/>
        <w:jc w:val="both"/>
      </w:pPr>
      <w:r>
        <w:rPr>
          <w:sz w:val="20"/>
        </w:rPr>
        <w:t xml:space="preserve">- челюстно-лицевые;</w:t>
      </w:r>
    </w:p>
    <w:p>
      <w:pPr>
        <w:pStyle w:val="0"/>
        <w:spacing w:before="200" w:line-rule="auto"/>
        <w:ind w:firstLine="540"/>
        <w:jc w:val="both"/>
      </w:pPr>
      <w:r>
        <w:rPr>
          <w:sz w:val="20"/>
        </w:rPr>
        <w:t xml:space="preserve">- уроандрологические для детей;</w:t>
      </w:r>
    </w:p>
    <w:p>
      <w:pPr>
        <w:pStyle w:val="0"/>
        <w:spacing w:before="200" w:line-rule="auto"/>
        <w:ind w:firstLine="540"/>
        <w:jc w:val="both"/>
      </w:pPr>
      <w:r>
        <w:rPr>
          <w:sz w:val="20"/>
        </w:rPr>
        <w:t xml:space="preserve">- травматологические;</w:t>
      </w:r>
    </w:p>
    <w:p>
      <w:pPr>
        <w:pStyle w:val="0"/>
        <w:spacing w:before="200" w:line-rule="auto"/>
        <w:ind w:firstLine="540"/>
        <w:jc w:val="both"/>
      </w:pPr>
      <w:r>
        <w:rPr>
          <w:sz w:val="20"/>
        </w:rPr>
        <w:t xml:space="preserve">- ортопедические;</w:t>
      </w:r>
    </w:p>
    <w:p>
      <w:pPr>
        <w:pStyle w:val="0"/>
        <w:spacing w:before="200" w:line-rule="auto"/>
        <w:ind w:firstLine="540"/>
        <w:jc w:val="both"/>
      </w:pPr>
      <w:r>
        <w:rPr>
          <w:sz w:val="20"/>
        </w:rPr>
        <w:t xml:space="preserve">- ожоговые;</w:t>
      </w:r>
    </w:p>
    <w:p>
      <w:pPr>
        <w:pStyle w:val="0"/>
        <w:spacing w:before="200" w:line-rule="auto"/>
        <w:ind w:firstLine="540"/>
        <w:jc w:val="both"/>
      </w:pPr>
      <w:r>
        <w:rPr>
          <w:sz w:val="20"/>
        </w:rPr>
        <w:t xml:space="preserve">- нейрохирургические;</w:t>
      </w:r>
    </w:p>
    <w:p>
      <w:pPr>
        <w:pStyle w:val="0"/>
        <w:spacing w:before="200" w:line-rule="auto"/>
        <w:ind w:firstLine="540"/>
        <w:jc w:val="both"/>
      </w:pPr>
      <w:r>
        <w:rPr>
          <w:sz w:val="20"/>
        </w:rPr>
        <w:t xml:space="preserve">- кардиологические для детей;</w:t>
      </w:r>
    </w:p>
    <w:p>
      <w:pPr>
        <w:pStyle w:val="0"/>
        <w:spacing w:before="200" w:line-rule="auto"/>
        <w:ind w:firstLine="540"/>
        <w:jc w:val="both"/>
      </w:pPr>
      <w:r>
        <w:rPr>
          <w:sz w:val="20"/>
        </w:rPr>
        <w:t xml:space="preserve">- гастроэнтерологические;</w:t>
      </w:r>
    </w:p>
    <w:p>
      <w:pPr>
        <w:pStyle w:val="0"/>
        <w:spacing w:before="200" w:line-rule="auto"/>
        <w:ind w:firstLine="540"/>
        <w:jc w:val="both"/>
      </w:pPr>
      <w:r>
        <w:rPr>
          <w:sz w:val="20"/>
        </w:rPr>
        <w:t xml:space="preserve">- гематологические;</w:t>
      </w:r>
    </w:p>
    <w:p>
      <w:pPr>
        <w:pStyle w:val="0"/>
        <w:spacing w:before="200" w:line-rule="auto"/>
        <w:ind w:firstLine="540"/>
        <w:jc w:val="both"/>
      </w:pPr>
      <w:r>
        <w:rPr>
          <w:sz w:val="20"/>
        </w:rPr>
        <w:t xml:space="preserve">- педиатрические соматические;</w:t>
      </w:r>
    </w:p>
    <w:p>
      <w:pPr>
        <w:pStyle w:val="0"/>
        <w:spacing w:before="200" w:line-rule="auto"/>
        <w:ind w:firstLine="540"/>
        <w:jc w:val="both"/>
      </w:pPr>
      <w:r>
        <w:rPr>
          <w:sz w:val="20"/>
        </w:rPr>
        <w:t xml:space="preserve">- пульмонологические;</w:t>
      </w:r>
    </w:p>
    <w:p>
      <w:pPr>
        <w:pStyle w:val="0"/>
        <w:spacing w:before="200" w:line-rule="auto"/>
        <w:ind w:firstLine="540"/>
        <w:jc w:val="both"/>
      </w:pPr>
      <w:r>
        <w:rPr>
          <w:sz w:val="20"/>
        </w:rPr>
        <w:t xml:space="preserve">- аллергологические;</w:t>
      </w:r>
    </w:p>
    <w:p>
      <w:pPr>
        <w:pStyle w:val="0"/>
        <w:spacing w:before="200" w:line-rule="auto"/>
        <w:ind w:firstLine="540"/>
        <w:jc w:val="both"/>
      </w:pPr>
      <w:r>
        <w:rPr>
          <w:sz w:val="20"/>
        </w:rPr>
        <w:t xml:space="preserve">- нефрологические;</w:t>
      </w:r>
    </w:p>
    <w:p>
      <w:pPr>
        <w:pStyle w:val="0"/>
        <w:spacing w:before="200" w:line-rule="auto"/>
        <w:ind w:firstLine="540"/>
        <w:jc w:val="both"/>
      </w:pPr>
      <w:r>
        <w:rPr>
          <w:sz w:val="20"/>
        </w:rPr>
        <w:t xml:space="preserve">- эндокринологические для детей;</w:t>
      </w:r>
    </w:p>
    <w:p>
      <w:pPr>
        <w:pStyle w:val="0"/>
        <w:spacing w:before="200" w:line-rule="auto"/>
        <w:ind w:firstLine="540"/>
        <w:jc w:val="both"/>
      </w:pPr>
      <w:r>
        <w:rPr>
          <w:sz w:val="20"/>
        </w:rPr>
        <w:t xml:space="preserve">- паллиативные;</w:t>
      </w:r>
    </w:p>
    <w:p>
      <w:pPr>
        <w:pStyle w:val="0"/>
        <w:spacing w:before="200" w:line-rule="auto"/>
        <w:ind w:firstLine="540"/>
        <w:jc w:val="both"/>
      </w:pPr>
      <w:r>
        <w:rPr>
          <w:sz w:val="20"/>
        </w:rPr>
        <w:t xml:space="preserve">- неврологические;</w:t>
      </w:r>
    </w:p>
    <w:p>
      <w:pPr>
        <w:pStyle w:val="0"/>
        <w:spacing w:before="200" w:line-rule="auto"/>
        <w:ind w:firstLine="540"/>
        <w:jc w:val="both"/>
      </w:pPr>
      <w:r>
        <w:rPr>
          <w:sz w:val="20"/>
        </w:rPr>
        <w:t xml:space="preserve">- оториноларингологические;</w:t>
      </w:r>
    </w:p>
    <w:p>
      <w:pPr>
        <w:pStyle w:val="0"/>
        <w:spacing w:before="200" w:line-rule="auto"/>
        <w:ind w:firstLine="540"/>
        <w:jc w:val="both"/>
      </w:pPr>
      <w:r>
        <w:rPr>
          <w:sz w:val="20"/>
        </w:rPr>
        <w:t xml:space="preserve">- офтальмологические;</w:t>
      </w:r>
    </w:p>
    <w:p>
      <w:pPr>
        <w:pStyle w:val="0"/>
        <w:spacing w:before="200" w:line-rule="auto"/>
        <w:ind w:firstLine="540"/>
        <w:jc w:val="both"/>
      </w:pPr>
      <w:r>
        <w:rPr>
          <w:sz w:val="20"/>
        </w:rPr>
        <w:t xml:space="preserve">- патологии новорожденных и недоношенных детей;</w:t>
      </w:r>
    </w:p>
    <w:p>
      <w:pPr>
        <w:pStyle w:val="0"/>
        <w:spacing w:before="200" w:line-rule="auto"/>
        <w:ind w:firstLine="540"/>
        <w:jc w:val="both"/>
      </w:pPr>
      <w:r>
        <w:rPr>
          <w:sz w:val="20"/>
        </w:rPr>
        <w:t xml:space="preserve">- реанимационные;</w:t>
      </w:r>
    </w:p>
    <w:p>
      <w:pPr>
        <w:pStyle w:val="0"/>
        <w:spacing w:before="200" w:line-rule="auto"/>
        <w:ind w:firstLine="540"/>
        <w:jc w:val="both"/>
      </w:pPr>
      <w:r>
        <w:rPr>
          <w:sz w:val="20"/>
        </w:rPr>
        <w:t xml:space="preserve">- реанимационные для новорожденных;</w:t>
      </w:r>
    </w:p>
    <w:p>
      <w:pPr>
        <w:pStyle w:val="0"/>
        <w:spacing w:before="200" w:line-rule="auto"/>
        <w:ind w:firstLine="540"/>
        <w:jc w:val="both"/>
      </w:pPr>
      <w:r>
        <w:rPr>
          <w:sz w:val="20"/>
        </w:rPr>
        <w:t xml:space="preserve">- гинекологические.</w:t>
      </w:r>
    </w:p>
    <w:p>
      <w:pPr>
        <w:pStyle w:val="0"/>
        <w:spacing w:before="200" w:line-rule="auto"/>
        <w:ind w:firstLine="540"/>
        <w:jc w:val="both"/>
      </w:pPr>
      <w:r>
        <w:rPr>
          <w:sz w:val="20"/>
        </w:rPr>
        <w:t xml:space="preserve">Дневной стационар включает в себя 42 койки, работающие в две смены в стационарных условиях.</w:t>
      </w:r>
    </w:p>
    <w:p>
      <w:pPr>
        <w:pStyle w:val="0"/>
        <w:spacing w:before="200" w:line-rule="auto"/>
        <w:ind w:firstLine="540"/>
        <w:jc w:val="both"/>
      </w:pPr>
      <w:r>
        <w:rPr>
          <w:sz w:val="20"/>
        </w:rPr>
        <w:t xml:space="preserve">2. Родильный дом N 2 на 147 коек, расположенный по адресу: г. Севастополь, пр-т Генерала Острякова, 211в. Оказывает специализированную медицинскую помощь взрослому населению по профилю "акушерство и гинекология" по четырем профилям коек:</w:t>
      </w:r>
    </w:p>
    <w:p>
      <w:pPr>
        <w:pStyle w:val="0"/>
        <w:spacing w:before="200" w:line-rule="auto"/>
        <w:ind w:firstLine="540"/>
        <w:jc w:val="both"/>
      </w:pPr>
      <w:r>
        <w:rPr>
          <w:sz w:val="20"/>
        </w:rPr>
        <w:t xml:space="preserve">- для беременных и рожениц;</w:t>
      </w:r>
    </w:p>
    <w:p>
      <w:pPr>
        <w:pStyle w:val="0"/>
        <w:spacing w:before="200" w:line-rule="auto"/>
        <w:ind w:firstLine="540"/>
        <w:jc w:val="both"/>
      </w:pPr>
      <w:r>
        <w:rPr>
          <w:sz w:val="20"/>
        </w:rPr>
        <w:t xml:space="preserve">- патология беременных;</w:t>
      </w:r>
    </w:p>
    <w:p>
      <w:pPr>
        <w:pStyle w:val="0"/>
        <w:spacing w:before="200" w:line-rule="auto"/>
        <w:ind w:firstLine="540"/>
        <w:jc w:val="both"/>
      </w:pPr>
      <w:r>
        <w:rPr>
          <w:sz w:val="20"/>
        </w:rPr>
        <w:t xml:space="preserve">- гинекологические;</w:t>
      </w:r>
    </w:p>
    <w:p>
      <w:pPr>
        <w:pStyle w:val="0"/>
        <w:spacing w:before="200" w:line-rule="auto"/>
        <w:ind w:firstLine="540"/>
        <w:jc w:val="both"/>
      </w:pPr>
      <w:r>
        <w:rPr>
          <w:sz w:val="20"/>
        </w:rPr>
        <w:t xml:space="preserve">- реанимационные.</w:t>
      </w:r>
    </w:p>
    <w:p>
      <w:pPr>
        <w:pStyle w:val="0"/>
        <w:spacing w:before="200" w:line-rule="auto"/>
        <w:ind w:firstLine="540"/>
        <w:jc w:val="both"/>
      </w:pPr>
      <w:r>
        <w:rPr>
          <w:sz w:val="20"/>
        </w:rPr>
        <w:t xml:space="preserve">3. Консультативно-диагностический центр, имеющий в своем составе консультативную поликлинику, оказывающую специализированную медико-санитарную помощь в амбулаторных условиях по 21 специальности. Работает дневной стационар на 15 коек по педиатрическому профилю в две смены. Мощность - 300 посещений в смену. Специалисты, оказывающие медицинскую помощь в консультативной поликлинике:</w:t>
      </w:r>
    </w:p>
    <w:p>
      <w:pPr>
        <w:pStyle w:val="0"/>
        <w:spacing w:before="200" w:line-rule="auto"/>
        <w:ind w:firstLine="540"/>
        <w:jc w:val="both"/>
      </w:pPr>
      <w:r>
        <w:rPr>
          <w:sz w:val="20"/>
        </w:rPr>
        <w:t xml:space="preserve">- кардиолог;</w:t>
      </w:r>
    </w:p>
    <w:p>
      <w:pPr>
        <w:pStyle w:val="0"/>
        <w:spacing w:before="200" w:line-rule="auto"/>
        <w:ind w:firstLine="540"/>
        <w:jc w:val="both"/>
      </w:pPr>
      <w:r>
        <w:rPr>
          <w:sz w:val="20"/>
        </w:rPr>
        <w:t xml:space="preserve">- гастроэнтеролог;</w:t>
      </w:r>
    </w:p>
    <w:p>
      <w:pPr>
        <w:pStyle w:val="0"/>
        <w:spacing w:before="200" w:line-rule="auto"/>
        <w:ind w:firstLine="540"/>
        <w:jc w:val="both"/>
      </w:pPr>
      <w:r>
        <w:rPr>
          <w:sz w:val="20"/>
        </w:rPr>
        <w:t xml:space="preserve">- травматолог-ортопед;</w:t>
      </w:r>
    </w:p>
    <w:p>
      <w:pPr>
        <w:pStyle w:val="0"/>
        <w:spacing w:before="200" w:line-rule="auto"/>
        <w:ind w:firstLine="540"/>
        <w:jc w:val="both"/>
      </w:pPr>
      <w:r>
        <w:rPr>
          <w:sz w:val="20"/>
        </w:rPr>
        <w:t xml:space="preserve">- пульмонолог;</w:t>
      </w:r>
    </w:p>
    <w:p>
      <w:pPr>
        <w:pStyle w:val="0"/>
        <w:spacing w:before="200" w:line-rule="auto"/>
        <w:ind w:firstLine="540"/>
        <w:jc w:val="both"/>
      </w:pPr>
      <w:r>
        <w:rPr>
          <w:sz w:val="20"/>
        </w:rPr>
        <w:t xml:space="preserve">- офтальмолог;</w:t>
      </w:r>
    </w:p>
    <w:p>
      <w:pPr>
        <w:pStyle w:val="0"/>
        <w:spacing w:before="200" w:line-rule="auto"/>
        <w:ind w:firstLine="540"/>
        <w:jc w:val="both"/>
      </w:pPr>
      <w:r>
        <w:rPr>
          <w:sz w:val="20"/>
        </w:rPr>
        <w:t xml:space="preserve">- эндокринолог;</w:t>
      </w:r>
    </w:p>
    <w:p>
      <w:pPr>
        <w:pStyle w:val="0"/>
        <w:spacing w:before="200" w:line-rule="auto"/>
        <w:ind w:firstLine="540"/>
        <w:jc w:val="both"/>
      </w:pPr>
      <w:r>
        <w:rPr>
          <w:sz w:val="20"/>
        </w:rPr>
        <w:t xml:space="preserve">- нефролог;</w:t>
      </w:r>
    </w:p>
    <w:p>
      <w:pPr>
        <w:pStyle w:val="0"/>
        <w:spacing w:before="200" w:line-rule="auto"/>
        <w:ind w:firstLine="540"/>
        <w:jc w:val="both"/>
      </w:pPr>
      <w:r>
        <w:rPr>
          <w:sz w:val="20"/>
        </w:rPr>
        <w:t xml:space="preserve">- невролог;</w:t>
      </w:r>
    </w:p>
    <w:p>
      <w:pPr>
        <w:pStyle w:val="0"/>
        <w:spacing w:before="200" w:line-rule="auto"/>
        <w:ind w:firstLine="540"/>
        <w:jc w:val="both"/>
      </w:pPr>
      <w:r>
        <w:rPr>
          <w:sz w:val="20"/>
        </w:rPr>
        <w:t xml:space="preserve">- аллерголог-иммунолог;</w:t>
      </w:r>
    </w:p>
    <w:p>
      <w:pPr>
        <w:pStyle w:val="0"/>
        <w:spacing w:before="200" w:line-rule="auto"/>
        <w:ind w:firstLine="540"/>
        <w:jc w:val="both"/>
      </w:pPr>
      <w:r>
        <w:rPr>
          <w:sz w:val="20"/>
        </w:rPr>
        <w:t xml:space="preserve">- уролог;</w:t>
      </w:r>
    </w:p>
    <w:p>
      <w:pPr>
        <w:pStyle w:val="0"/>
        <w:spacing w:before="200" w:line-rule="auto"/>
        <w:ind w:firstLine="540"/>
        <w:jc w:val="both"/>
      </w:pPr>
      <w:r>
        <w:rPr>
          <w:sz w:val="20"/>
        </w:rPr>
        <w:t xml:space="preserve">- хирург;</w:t>
      </w:r>
    </w:p>
    <w:p>
      <w:pPr>
        <w:pStyle w:val="0"/>
        <w:spacing w:before="200" w:line-rule="auto"/>
        <w:ind w:firstLine="540"/>
        <w:jc w:val="both"/>
      </w:pPr>
      <w:r>
        <w:rPr>
          <w:sz w:val="20"/>
        </w:rPr>
        <w:t xml:space="preserve">- оториноларинголог;</w:t>
      </w:r>
    </w:p>
    <w:p>
      <w:pPr>
        <w:pStyle w:val="0"/>
        <w:spacing w:before="200" w:line-rule="auto"/>
        <w:ind w:firstLine="540"/>
        <w:jc w:val="both"/>
      </w:pPr>
      <w:r>
        <w:rPr>
          <w:sz w:val="20"/>
        </w:rPr>
        <w:t xml:space="preserve">- гематолог;</w:t>
      </w:r>
    </w:p>
    <w:p>
      <w:pPr>
        <w:pStyle w:val="0"/>
        <w:spacing w:before="200" w:line-rule="auto"/>
        <w:ind w:firstLine="540"/>
        <w:jc w:val="both"/>
      </w:pPr>
      <w:r>
        <w:rPr>
          <w:sz w:val="20"/>
        </w:rPr>
        <w:t xml:space="preserve">- гинеколог;</w:t>
      </w:r>
    </w:p>
    <w:p>
      <w:pPr>
        <w:pStyle w:val="0"/>
        <w:spacing w:before="200" w:line-rule="auto"/>
        <w:ind w:firstLine="540"/>
        <w:jc w:val="both"/>
      </w:pPr>
      <w:r>
        <w:rPr>
          <w:sz w:val="20"/>
        </w:rPr>
        <w:t xml:space="preserve">- дерматолог;</w:t>
      </w:r>
    </w:p>
    <w:p>
      <w:pPr>
        <w:pStyle w:val="0"/>
        <w:spacing w:before="200" w:line-rule="auto"/>
        <w:ind w:firstLine="540"/>
        <w:jc w:val="both"/>
      </w:pPr>
      <w:r>
        <w:rPr>
          <w:sz w:val="20"/>
        </w:rPr>
        <w:t xml:space="preserve">- психолог;</w:t>
      </w:r>
    </w:p>
    <w:p>
      <w:pPr>
        <w:pStyle w:val="0"/>
        <w:spacing w:before="200" w:line-rule="auto"/>
        <w:ind w:firstLine="540"/>
        <w:jc w:val="both"/>
      </w:pPr>
      <w:r>
        <w:rPr>
          <w:sz w:val="20"/>
        </w:rPr>
        <w:t xml:space="preserve">- нейрохирург;</w:t>
      </w:r>
    </w:p>
    <w:p>
      <w:pPr>
        <w:pStyle w:val="0"/>
        <w:spacing w:before="200" w:line-rule="auto"/>
        <w:ind w:firstLine="540"/>
        <w:jc w:val="both"/>
      </w:pPr>
      <w:r>
        <w:rPr>
          <w:sz w:val="20"/>
        </w:rPr>
        <w:t xml:space="preserve">- генетик (отделение медико-генетической консультации);</w:t>
      </w:r>
    </w:p>
    <w:p>
      <w:pPr>
        <w:pStyle w:val="0"/>
        <w:spacing w:before="200" w:line-rule="auto"/>
        <w:ind w:firstLine="540"/>
        <w:jc w:val="both"/>
      </w:pPr>
      <w:r>
        <w:rPr>
          <w:sz w:val="20"/>
        </w:rPr>
        <w:t xml:space="preserve">- сурдолог (сурдологический кабинет);</w:t>
      </w:r>
    </w:p>
    <w:p>
      <w:pPr>
        <w:pStyle w:val="0"/>
        <w:spacing w:before="200" w:line-rule="auto"/>
        <w:ind w:firstLine="540"/>
        <w:jc w:val="both"/>
      </w:pPr>
      <w:r>
        <w:rPr>
          <w:sz w:val="20"/>
        </w:rPr>
        <w:t xml:space="preserve">- педиатр (кабинет катамнеза);</w:t>
      </w:r>
    </w:p>
    <w:p>
      <w:pPr>
        <w:pStyle w:val="0"/>
        <w:spacing w:before="200" w:line-rule="auto"/>
        <w:ind w:firstLine="540"/>
        <w:jc w:val="both"/>
      </w:pPr>
      <w:r>
        <w:rPr>
          <w:sz w:val="20"/>
        </w:rPr>
        <w:t xml:space="preserve">- врач ультразвуковой диагностики.</w:t>
      </w:r>
    </w:p>
    <w:p>
      <w:pPr>
        <w:pStyle w:val="0"/>
        <w:spacing w:before="200" w:line-rule="auto"/>
        <w:ind w:firstLine="540"/>
        <w:jc w:val="both"/>
      </w:pPr>
      <w:r>
        <w:rPr>
          <w:sz w:val="20"/>
        </w:rPr>
        <w:t xml:space="preserve">4. Центр охраны здоровья семьи и репродукции оказывает специализированную медико-санитарную помощь в амбулаторных условиях, направленную на сохранение репродуктивного здоровья. Мощность - 80 посещений в смену.</w:t>
      </w:r>
    </w:p>
    <w:p>
      <w:pPr>
        <w:pStyle w:val="0"/>
        <w:spacing w:before="200" w:line-rule="auto"/>
        <w:ind w:firstLine="540"/>
        <w:jc w:val="both"/>
      </w:pPr>
      <w:r>
        <w:rPr>
          <w:sz w:val="20"/>
        </w:rPr>
        <w:t xml:space="preserve">Также в структуру больницы входит медико-генетическая консультация с генетической лабораторией, клинико-диагностическая лаборатория, бактериологическая лаборатория и централизованная стерилизационная.</w:t>
      </w:r>
    </w:p>
    <w:p>
      <w:pPr>
        <w:pStyle w:val="0"/>
        <w:spacing w:before="200" w:line-rule="auto"/>
        <w:ind w:firstLine="540"/>
        <w:jc w:val="both"/>
      </w:pPr>
      <w:r>
        <w:rPr>
          <w:sz w:val="20"/>
        </w:rPr>
        <w:t xml:space="preserve">5. Амбулаторно-поликлиническая помощь детскому населению:</w:t>
      </w:r>
    </w:p>
    <w:p>
      <w:pPr>
        <w:pStyle w:val="0"/>
        <w:spacing w:before="200" w:line-rule="auto"/>
        <w:ind w:firstLine="540"/>
        <w:jc w:val="both"/>
      </w:pPr>
      <w:r>
        <w:rPr>
          <w:sz w:val="20"/>
        </w:rPr>
        <w:t xml:space="preserve">- поликлиника N 1 ГБУЗС "ГБ N 5":</w:t>
      </w:r>
    </w:p>
    <w:p>
      <w:pPr>
        <w:pStyle w:val="0"/>
        <w:spacing w:before="200" w:line-rule="auto"/>
        <w:ind w:firstLine="540"/>
        <w:jc w:val="both"/>
      </w:pPr>
      <w:r>
        <w:rPr>
          <w:sz w:val="20"/>
        </w:rPr>
        <w:t xml:space="preserve">1-е педиатрическое отделение;</w:t>
      </w:r>
    </w:p>
    <w:p>
      <w:pPr>
        <w:pStyle w:val="0"/>
        <w:spacing w:before="200" w:line-rule="auto"/>
        <w:ind w:firstLine="540"/>
        <w:jc w:val="both"/>
      </w:pPr>
      <w:r>
        <w:rPr>
          <w:sz w:val="20"/>
        </w:rPr>
        <w:t xml:space="preserve">2-е педиатрическое отделение;</w:t>
      </w:r>
    </w:p>
    <w:p>
      <w:pPr>
        <w:pStyle w:val="0"/>
        <w:spacing w:before="200" w:line-rule="auto"/>
        <w:ind w:firstLine="540"/>
        <w:jc w:val="both"/>
      </w:pPr>
      <w:r>
        <w:rPr>
          <w:sz w:val="20"/>
        </w:rPr>
        <w:t xml:space="preserve">3-е педиатрическое отделение;</w:t>
      </w:r>
    </w:p>
    <w:p>
      <w:pPr>
        <w:pStyle w:val="0"/>
        <w:spacing w:before="200" w:line-rule="auto"/>
        <w:ind w:firstLine="540"/>
        <w:jc w:val="both"/>
      </w:pPr>
      <w:r>
        <w:rPr>
          <w:sz w:val="20"/>
        </w:rPr>
        <w:t xml:space="preserve">4-е педиатрическое отделение;</w:t>
      </w:r>
    </w:p>
    <w:p>
      <w:pPr>
        <w:pStyle w:val="0"/>
        <w:spacing w:before="200" w:line-rule="auto"/>
        <w:ind w:firstLine="540"/>
        <w:jc w:val="both"/>
      </w:pPr>
      <w:r>
        <w:rPr>
          <w:sz w:val="20"/>
        </w:rPr>
        <w:t xml:space="preserve">- поликлиника N 2 ГБУЗС "ГБ N 5":</w:t>
      </w:r>
    </w:p>
    <w:p>
      <w:pPr>
        <w:pStyle w:val="0"/>
        <w:spacing w:before="200" w:line-rule="auto"/>
        <w:ind w:firstLine="540"/>
        <w:jc w:val="both"/>
      </w:pPr>
      <w:r>
        <w:rPr>
          <w:sz w:val="20"/>
        </w:rPr>
        <w:t xml:space="preserve">1-е педиатрическое отделение;</w:t>
      </w:r>
    </w:p>
    <w:p>
      <w:pPr>
        <w:pStyle w:val="0"/>
        <w:spacing w:before="200" w:line-rule="auto"/>
        <w:ind w:firstLine="540"/>
        <w:jc w:val="both"/>
      </w:pPr>
      <w:r>
        <w:rPr>
          <w:sz w:val="20"/>
        </w:rPr>
        <w:t xml:space="preserve">2-е педиатрическое отделение;</w:t>
      </w:r>
    </w:p>
    <w:p>
      <w:pPr>
        <w:pStyle w:val="0"/>
        <w:spacing w:before="200" w:line-rule="auto"/>
        <w:ind w:firstLine="540"/>
        <w:jc w:val="both"/>
      </w:pPr>
      <w:r>
        <w:rPr>
          <w:sz w:val="20"/>
        </w:rPr>
        <w:t xml:space="preserve">3-е педиатрическое отделение;</w:t>
      </w:r>
    </w:p>
    <w:p>
      <w:pPr>
        <w:pStyle w:val="0"/>
        <w:spacing w:before="200" w:line-rule="auto"/>
        <w:ind w:firstLine="540"/>
        <w:jc w:val="both"/>
      </w:pPr>
      <w:r>
        <w:rPr>
          <w:sz w:val="20"/>
        </w:rPr>
        <w:t xml:space="preserve">4-е педиатрическое отделение;</w:t>
      </w:r>
    </w:p>
    <w:p>
      <w:pPr>
        <w:pStyle w:val="0"/>
        <w:spacing w:before="200" w:line-rule="auto"/>
        <w:ind w:firstLine="540"/>
        <w:jc w:val="both"/>
      </w:pPr>
      <w:r>
        <w:rPr>
          <w:sz w:val="20"/>
        </w:rPr>
        <w:t xml:space="preserve">- поликлиника для детского населения ГБУЗС "Городская больница N 4";</w:t>
      </w:r>
    </w:p>
    <w:p>
      <w:pPr>
        <w:pStyle w:val="0"/>
        <w:spacing w:before="200" w:line-rule="auto"/>
        <w:ind w:firstLine="540"/>
        <w:jc w:val="both"/>
      </w:pPr>
      <w:r>
        <w:rPr>
          <w:sz w:val="20"/>
        </w:rPr>
        <w:t xml:space="preserve">- поликлиника для детского населения ГБУЗС "Городская больница N 9".</w:t>
      </w:r>
    </w:p>
    <w:p>
      <w:pPr>
        <w:pStyle w:val="0"/>
        <w:ind w:firstLine="540"/>
        <w:jc w:val="both"/>
      </w:pPr>
      <w:r>
        <w:rPr>
          <w:sz w:val="20"/>
        </w:rPr>
      </w:r>
    </w:p>
    <w:p>
      <w:pPr>
        <w:pStyle w:val="2"/>
        <w:outlineLvl w:val="2"/>
        <w:jc w:val="center"/>
      </w:pPr>
      <w:r>
        <w:rPr>
          <w:sz w:val="20"/>
        </w:rPr>
        <w:t xml:space="preserve">Общие демографические показатели</w:t>
      </w:r>
    </w:p>
    <w:p>
      <w:pPr>
        <w:pStyle w:val="0"/>
        <w:jc w:val="center"/>
      </w:pPr>
      <w:r>
        <w:rPr>
          <w:sz w:val="20"/>
        </w:rPr>
      </w:r>
    </w:p>
    <w:p>
      <w:pPr>
        <w:pStyle w:val="0"/>
        <w:ind w:firstLine="540"/>
        <w:jc w:val="both"/>
      </w:pPr>
      <w:r>
        <w:rPr>
          <w:sz w:val="20"/>
        </w:rPr>
        <w:t xml:space="preserve">В г. Севастополе предварительное население на 1 января 2021 г. составило 513149 человек, в том числе 476938 человек - городское население (92,95%), а 36211 человек - сельское (7,05%). В 2020 году численность постоянно проживающих жителей Севастополя составляла 449138 человек, рост численности населения составил 64011 человек.</w:t>
      </w:r>
    </w:p>
    <w:p>
      <w:pPr>
        <w:pStyle w:val="0"/>
        <w:spacing w:before="200" w:line-rule="auto"/>
        <w:ind w:firstLine="540"/>
        <w:jc w:val="both"/>
      </w:pPr>
      <w:r>
        <w:rPr>
          <w:sz w:val="20"/>
        </w:rPr>
        <w:t xml:space="preserve">Подробно численность детского населения представлена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03"/>
        <w:gridCol w:w="1814"/>
        <w:gridCol w:w="2324"/>
        <w:gridCol w:w="1814"/>
        <w:gridCol w:w="1814"/>
      </w:tblGrid>
      <w:tr>
        <w:tc>
          <w:tcPr>
            <w:tcW w:w="1303" w:type="dxa"/>
          </w:tcPr>
          <w:p>
            <w:pPr>
              <w:pStyle w:val="0"/>
              <w:jc w:val="center"/>
            </w:pPr>
            <w:r>
              <w:rPr>
                <w:sz w:val="20"/>
              </w:rPr>
              <w:t xml:space="preserve">Возраст</w:t>
            </w:r>
          </w:p>
        </w:tc>
        <w:tc>
          <w:tcPr>
            <w:tcW w:w="1814" w:type="dxa"/>
          </w:tcPr>
          <w:p>
            <w:pPr>
              <w:pStyle w:val="0"/>
              <w:jc w:val="center"/>
            </w:pPr>
            <w:r>
              <w:rPr>
                <w:sz w:val="20"/>
              </w:rPr>
              <w:t xml:space="preserve">Год рождения</w:t>
            </w:r>
          </w:p>
        </w:tc>
        <w:tc>
          <w:tcPr>
            <w:tcW w:w="2324" w:type="dxa"/>
          </w:tcPr>
          <w:p>
            <w:pPr>
              <w:pStyle w:val="0"/>
              <w:jc w:val="center"/>
            </w:pPr>
            <w:r>
              <w:rPr>
                <w:sz w:val="20"/>
              </w:rPr>
              <w:t xml:space="preserve">Численность детского населения, всего (чел.)</w:t>
            </w:r>
          </w:p>
        </w:tc>
        <w:tc>
          <w:tcPr>
            <w:tcW w:w="1814" w:type="dxa"/>
          </w:tcPr>
          <w:p>
            <w:pPr>
              <w:pStyle w:val="0"/>
              <w:jc w:val="center"/>
            </w:pPr>
            <w:r>
              <w:rPr>
                <w:sz w:val="20"/>
              </w:rPr>
              <w:t xml:space="preserve">Из них девочек</w:t>
            </w:r>
          </w:p>
        </w:tc>
        <w:tc>
          <w:tcPr>
            <w:tcW w:w="1814" w:type="dxa"/>
          </w:tcPr>
          <w:p>
            <w:pPr>
              <w:pStyle w:val="0"/>
              <w:jc w:val="center"/>
            </w:pPr>
            <w:r>
              <w:rPr>
                <w:sz w:val="20"/>
              </w:rPr>
              <w:t xml:space="preserve">Из них мальчиков</w:t>
            </w:r>
          </w:p>
        </w:tc>
      </w:tr>
      <w:tr>
        <w:tc>
          <w:tcPr>
            <w:tcW w:w="1303" w:type="dxa"/>
          </w:tcPr>
          <w:p>
            <w:pPr>
              <w:pStyle w:val="0"/>
              <w:jc w:val="center"/>
            </w:pPr>
            <w:r>
              <w:rPr>
                <w:sz w:val="20"/>
              </w:rPr>
              <w:t xml:space="preserve">0</w:t>
            </w:r>
          </w:p>
        </w:tc>
        <w:tc>
          <w:tcPr>
            <w:tcW w:w="1814" w:type="dxa"/>
          </w:tcPr>
          <w:p>
            <w:pPr>
              <w:pStyle w:val="0"/>
              <w:jc w:val="center"/>
            </w:pPr>
            <w:r>
              <w:rPr>
                <w:sz w:val="20"/>
              </w:rPr>
              <w:t xml:space="preserve">2019</w:t>
            </w:r>
          </w:p>
        </w:tc>
        <w:tc>
          <w:tcPr>
            <w:tcW w:w="2324" w:type="dxa"/>
          </w:tcPr>
          <w:p>
            <w:pPr>
              <w:pStyle w:val="0"/>
              <w:jc w:val="center"/>
            </w:pPr>
            <w:r>
              <w:rPr>
                <w:sz w:val="20"/>
              </w:rPr>
              <w:t xml:space="preserve">4329</w:t>
            </w:r>
          </w:p>
        </w:tc>
        <w:tc>
          <w:tcPr>
            <w:tcW w:w="1814" w:type="dxa"/>
          </w:tcPr>
          <w:p>
            <w:pPr>
              <w:pStyle w:val="0"/>
              <w:jc w:val="center"/>
            </w:pPr>
            <w:r>
              <w:rPr>
                <w:sz w:val="20"/>
              </w:rPr>
              <w:t xml:space="preserve">2140</w:t>
            </w:r>
          </w:p>
        </w:tc>
        <w:tc>
          <w:tcPr>
            <w:tcW w:w="1814" w:type="dxa"/>
          </w:tcPr>
          <w:p>
            <w:pPr>
              <w:pStyle w:val="0"/>
              <w:jc w:val="center"/>
            </w:pPr>
            <w:r>
              <w:rPr>
                <w:sz w:val="20"/>
              </w:rPr>
              <w:t xml:space="preserve">2189</w:t>
            </w:r>
          </w:p>
        </w:tc>
      </w:tr>
      <w:tr>
        <w:tc>
          <w:tcPr>
            <w:tcW w:w="1303" w:type="dxa"/>
          </w:tcPr>
          <w:p>
            <w:pPr>
              <w:pStyle w:val="0"/>
              <w:jc w:val="center"/>
            </w:pPr>
            <w:r>
              <w:rPr>
                <w:sz w:val="20"/>
              </w:rPr>
              <w:t xml:space="preserve">1</w:t>
            </w:r>
          </w:p>
        </w:tc>
        <w:tc>
          <w:tcPr>
            <w:tcW w:w="1814" w:type="dxa"/>
          </w:tcPr>
          <w:p>
            <w:pPr>
              <w:pStyle w:val="0"/>
              <w:jc w:val="center"/>
            </w:pPr>
            <w:r>
              <w:rPr>
                <w:sz w:val="20"/>
              </w:rPr>
              <w:t xml:space="preserve">2018</w:t>
            </w:r>
          </w:p>
        </w:tc>
        <w:tc>
          <w:tcPr>
            <w:tcW w:w="2324" w:type="dxa"/>
          </w:tcPr>
          <w:p>
            <w:pPr>
              <w:pStyle w:val="0"/>
              <w:jc w:val="center"/>
            </w:pPr>
            <w:r>
              <w:rPr>
                <w:sz w:val="20"/>
              </w:rPr>
              <w:t xml:space="preserve">4568</w:t>
            </w:r>
          </w:p>
        </w:tc>
        <w:tc>
          <w:tcPr>
            <w:tcW w:w="1814" w:type="dxa"/>
          </w:tcPr>
          <w:p>
            <w:pPr>
              <w:pStyle w:val="0"/>
              <w:jc w:val="center"/>
            </w:pPr>
            <w:r>
              <w:rPr>
                <w:sz w:val="20"/>
              </w:rPr>
              <w:t xml:space="preserve">2191</w:t>
            </w:r>
          </w:p>
        </w:tc>
        <w:tc>
          <w:tcPr>
            <w:tcW w:w="1814" w:type="dxa"/>
          </w:tcPr>
          <w:p>
            <w:pPr>
              <w:pStyle w:val="0"/>
              <w:jc w:val="center"/>
            </w:pPr>
            <w:r>
              <w:rPr>
                <w:sz w:val="20"/>
              </w:rPr>
              <w:t xml:space="preserve">2377</w:t>
            </w:r>
          </w:p>
        </w:tc>
      </w:tr>
      <w:tr>
        <w:tc>
          <w:tcPr>
            <w:tcW w:w="1303" w:type="dxa"/>
          </w:tcPr>
          <w:p>
            <w:pPr>
              <w:pStyle w:val="0"/>
              <w:jc w:val="center"/>
            </w:pPr>
            <w:r>
              <w:rPr>
                <w:sz w:val="20"/>
              </w:rPr>
              <w:t xml:space="preserve">2</w:t>
            </w:r>
          </w:p>
        </w:tc>
        <w:tc>
          <w:tcPr>
            <w:tcW w:w="1814" w:type="dxa"/>
          </w:tcPr>
          <w:p>
            <w:pPr>
              <w:pStyle w:val="0"/>
              <w:jc w:val="center"/>
            </w:pPr>
            <w:r>
              <w:rPr>
                <w:sz w:val="20"/>
              </w:rPr>
              <w:t xml:space="preserve">2017</w:t>
            </w:r>
          </w:p>
        </w:tc>
        <w:tc>
          <w:tcPr>
            <w:tcW w:w="2324" w:type="dxa"/>
          </w:tcPr>
          <w:p>
            <w:pPr>
              <w:pStyle w:val="0"/>
              <w:jc w:val="center"/>
            </w:pPr>
            <w:r>
              <w:rPr>
                <w:sz w:val="20"/>
              </w:rPr>
              <w:t xml:space="preserve">5026</w:t>
            </w:r>
          </w:p>
        </w:tc>
        <w:tc>
          <w:tcPr>
            <w:tcW w:w="1814" w:type="dxa"/>
          </w:tcPr>
          <w:p>
            <w:pPr>
              <w:pStyle w:val="0"/>
              <w:jc w:val="center"/>
            </w:pPr>
            <w:r>
              <w:rPr>
                <w:sz w:val="20"/>
              </w:rPr>
              <w:t xml:space="preserve">2418</w:t>
            </w:r>
          </w:p>
        </w:tc>
        <w:tc>
          <w:tcPr>
            <w:tcW w:w="1814" w:type="dxa"/>
          </w:tcPr>
          <w:p>
            <w:pPr>
              <w:pStyle w:val="0"/>
              <w:jc w:val="center"/>
            </w:pPr>
            <w:r>
              <w:rPr>
                <w:sz w:val="20"/>
              </w:rPr>
              <w:t xml:space="preserve">2608</w:t>
            </w:r>
          </w:p>
        </w:tc>
      </w:tr>
      <w:tr>
        <w:tc>
          <w:tcPr>
            <w:tcW w:w="1303" w:type="dxa"/>
          </w:tcPr>
          <w:p>
            <w:pPr>
              <w:pStyle w:val="0"/>
              <w:jc w:val="center"/>
            </w:pPr>
            <w:r>
              <w:rPr>
                <w:sz w:val="20"/>
              </w:rPr>
              <w:t xml:space="preserve">3</w:t>
            </w:r>
          </w:p>
        </w:tc>
        <w:tc>
          <w:tcPr>
            <w:tcW w:w="1814" w:type="dxa"/>
          </w:tcPr>
          <w:p>
            <w:pPr>
              <w:pStyle w:val="0"/>
              <w:jc w:val="center"/>
            </w:pPr>
            <w:r>
              <w:rPr>
                <w:sz w:val="20"/>
              </w:rPr>
              <w:t xml:space="preserve">2016</w:t>
            </w:r>
          </w:p>
        </w:tc>
        <w:tc>
          <w:tcPr>
            <w:tcW w:w="2324" w:type="dxa"/>
          </w:tcPr>
          <w:p>
            <w:pPr>
              <w:pStyle w:val="0"/>
              <w:jc w:val="center"/>
            </w:pPr>
            <w:r>
              <w:rPr>
                <w:sz w:val="20"/>
              </w:rPr>
              <w:t xml:space="preserve">5700</w:t>
            </w:r>
          </w:p>
        </w:tc>
        <w:tc>
          <w:tcPr>
            <w:tcW w:w="1814" w:type="dxa"/>
          </w:tcPr>
          <w:p>
            <w:pPr>
              <w:pStyle w:val="0"/>
              <w:jc w:val="center"/>
            </w:pPr>
            <w:r>
              <w:rPr>
                <w:sz w:val="20"/>
              </w:rPr>
              <w:t xml:space="preserve">2791</w:t>
            </w:r>
          </w:p>
        </w:tc>
        <w:tc>
          <w:tcPr>
            <w:tcW w:w="1814" w:type="dxa"/>
          </w:tcPr>
          <w:p>
            <w:pPr>
              <w:pStyle w:val="0"/>
              <w:jc w:val="center"/>
            </w:pPr>
            <w:r>
              <w:rPr>
                <w:sz w:val="20"/>
              </w:rPr>
              <w:t xml:space="preserve">2909</w:t>
            </w:r>
          </w:p>
        </w:tc>
      </w:tr>
      <w:tr>
        <w:tc>
          <w:tcPr>
            <w:tcW w:w="1303" w:type="dxa"/>
          </w:tcPr>
          <w:p>
            <w:pPr>
              <w:pStyle w:val="0"/>
              <w:jc w:val="center"/>
            </w:pPr>
            <w:r>
              <w:rPr>
                <w:sz w:val="20"/>
              </w:rPr>
              <w:t xml:space="preserve">4</w:t>
            </w:r>
          </w:p>
        </w:tc>
        <w:tc>
          <w:tcPr>
            <w:tcW w:w="1814" w:type="dxa"/>
          </w:tcPr>
          <w:p>
            <w:pPr>
              <w:pStyle w:val="0"/>
              <w:jc w:val="center"/>
            </w:pPr>
            <w:r>
              <w:rPr>
                <w:sz w:val="20"/>
              </w:rPr>
              <w:t xml:space="preserve">2015</w:t>
            </w:r>
          </w:p>
        </w:tc>
        <w:tc>
          <w:tcPr>
            <w:tcW w:w="2324" w:type="dxa"/>
          </w:tcPr>
          <w:p>
            <w:pPr>
              <w:pStyle w:val="0"/>
              <w:jc w:val="center"/>
            </w:pPr>
            <w:r>
              <w:rPr>
                <w:sz w:val="20"/>
              </w:rPr>
              <w:t xml:space="preserve">5940</w:t>
            </w:r>
          </w:p>
        </w:tc>
        <w:tc>
          <w:tcPr>
            <w:tcW w:w="1814" w:type="dxa"/>
          </w:tcPr>
          <w:p>
            <w:pPr>
              <w:pStyle w:val="0"/>
              <w:jc w:val="center"/>
            </w:pPr>
            <w:r>
              <w:rPr>
                <w:sz w:val="20"/>
              </w:rPr>
              <w:t xml:space="preserve">2923</w:t>
            </w:r>
          </w:p>
        </w:tc>
        <w:tc>
          <w:tcPr>
            <w:tcW w:w="1814" w:type="dxa"/>
          </w:tcPr>
          <w:p>
            <w:pPr>
              <w:pStyle w:val="0"/>
              <w:jc w:val="center"/>
            </w:pPr>
            <w:r>
              <w:rPr>
                <w:sz w:val="20"/>
              </w:rPr>
              <w:t xml:space="preserve">3017</w:t>
            </w:r>
          </w:p>
        </w:tc>
      </w:tr>
      <w:tr>
        <w:tc>
          <w:tcPr>
            <w:tcW w:w="1303" w:type="dxa"/>
          </w:tcPr>
          <w:p>
            <w:pPr>
              <w:pStyle w:val="0"/>
              <w:jc w:val="center"/>
            </w:pPr>
            <w:r>
              <w:rPr>
                <w:sz w:val="20"/>
              </w:rPr>
              <w:t xml:space="preserve">5</w:t>
            </w:r>
          </w:p>
        </w:tc>
        <w:tc>
          <w:tcPr>
            <w:tcW w:w="1814" w:type="dxa"/>
          </w:tcPr>
          <w:p>
            <w:pPr>
              <w:pStyle w:val="0"/>
              <w:jc w:val="center"/>
            </w:pPr>
            <w:r>
              <w:rPr>
                <w:sz w:val="20"/>
              </w:rPr>
              <w:t xml:space="preserve">2014</w:t>
            </w:r>
          </w:p>
        </w:tc>
        <w:tc>
          <w:tcPr>
            <w:tcW w:w="2324" w:type="dxa"/>
          </w:tcPr>
          <w:p>
            <w:pPr>
              <w:pStyle w:val="0"/>
              <w:jc w:val="center"/>
            </w:pPr>
            <w:r>
              <w:rPr>
                <w:sz w:val="20"/>
              </w:rPr>
              <w:t xml:space="preserve">5094</w:t>
            </w:r>
          </w:p>
        </w:tc>
        <w:tc>
          <w:tcPr>
            <w:tcW w:w="1814" w:type="dxa"/>
          </w:tcPr>
          <w:p>
            <w:pPr>
              <w:pStyle w:val="0"/>
              <w:jc w:val="center"/>
            </w:pPr>
            <w:r>
              <w:rPr>
                <w:sz w:val="20"/>
              </w:rPr>
              <w:t xml:space="preserve">2402</w:t>
            </w:r>
          </w:p>
        </w:tc>
        <w:tc>
          <w:tcPr>
            <w:tcW w:w="1814" w:type="dxa"/>
          </w:tcPr>
          <w:p>
            <w:pPr>
              <w:pStyle w:val="0"/>
              <w:jc w:val="center"/>
            </w:pPr>
            <w:r>
              <w:rPr>
                <w:sz w:val="20"/>
              </w:rPr>
              <w:t xml:space="preserve">2692</w:t>
            </w:r>
          </w:p>
        </w:tc>
      </w:tr>
      <w:tr>
        <w:tc>
          <w:tcPr>
            <w:tcW w:w="1303" w:type="dxa"/>
          </w:tcPr>
          <w:p>
            <w:pPr>
              <w:pStyle w:val="0"/>
              <w:jc w:val="center"/>
            </w:pPr>
            <w:r>
              <w:rPr>
                <w:sz w:val="20"/>
              </w:rPr>
              <w:t xml:space="preserve">6</w:t>
            </w:r>
          </w:p>
        </w:tc>
        <w:tc>
          <w:tcPr>
            <w:tcW w:w="1814" w:type="dxa"/>
          </w:tcPr>
          <w:p>
            <w:pPr>
              <w:pStyle w:val="0"/>
              <w:jc w:val="center"/>
            </w:pPr>
            <w:r>
              <w:rPr>
                <w:sz w:val="20"/>
              </w:rPr>
              <w:t xml:space="preserve">2013</w:t>
            </w:r>
          </w:p>
        </w:tc>
        <w:tc>
          <w:tcPr>
            <w:tcW w:w="2324" w:type="dxa"/>
          </w:tcPr>
          <w:p>
            <w:pPr>
              <w:pStyle w:val="0"/>
              <w:jc w:val="center"/>
            </w:pPr>
            <w:r>
              <w:rPr>
                <w:sz w:val="20"/>
              </w:rPr>
              <w:t xml:space="preserve">5106</w:t>
            </w:r>
          </w:p>
        </w:tc>
        <w:tc>
          <w:tcPr>
            <w:tcW w:w="1814" w:type="dxa"/>
          </w:tcPr>
          <w:p>
            <w:pPr>
              <w:pStyle w:val="0"/>
              <w:jc w:val="center"/>
            </w:pPr>
            <w:r>
              <w:rPr>
                <w:sz w:val="20"/>
              </w:rPr>
              <w:t xml:space="preserve">2456</w:t>
            </w:r>
          </w:p>
        </w:tc>
        <w:tc>
          <w:tcPr>
            <w:tcW w:w="1814" w:type="dxa"/>
          </w:tcPr>
          <w:p>
            <w:pPr>
              <w:pStyle w:val="0"/>
              <w:jc w:val="center"/>
            </w:pPr>
            <w:r>
              <w:rPr>
                <w:sz w:val="20"/>
              </w:rPr>
              <w:t xml:space="preserve">2650</w:t>
            </w:r>
          </w:p>
        </w:tc>
      </w:tr>
      <w:tr>
        <w:tc>
          <w:tcPr>
            <w:tcW w:w="1303" w:type="dxa"/>
          </w:tcPr>
          <w:p>
            <w:pPr>
              <w:pStyle w:val="0"/>
              <w:jc w:val="center"/>
            </w:pPr>
            <w:r>
              <w:rPr>
                <w:sz w:val="20"/>
              </w:rPr>
              <w:t xml:space="preserve">7</w:t>
            </w:r>
          </w:p>
        </w:tc>
        <w:tc>
          <w:tcPr>
            <w:tcW w:w="1814" w:type="dxa"/>
          </w:tcPr>
          <w:p>
            <w:pPr>
              <w:pStyle w:val="0"/>
              <w:jc w:val="center"/>
            </w:pPr>
            <w:r>
              <w:rPr>
                <w:sz w:val="20"/>
              </w:rPr>
              <w:t xml:space="preserve">2012</w:t>
            </w:r>
          </w:p>
        </w:tc>
        <w:tc>
          <w:tcPr>
            <w:tcW w:w="2324" w:type="dxa"/>
          </w:tcPr>
          <w:p>
            <w:pPr>
              <w:pStyle w:val="0"/>
              <w:jc w:val="center"/>
            </w:pPr>
            <w:r>
              <w:rPr>
                <w:sz w:val="20"/>
              </w:rPr>
              <w:t xml:space="preserve">5278</w:t>
            </w:r>
          </w:p>
        </w:tc>
        <w:tc>
          <w:tcPr>
            <w:tcW w:w="1814" w:type="dxa"/>
          </w:tcPr>
          <w:p>
            <w:pPr>
              <w:pStyle w:val="0"/>
              <w:jc w:val="center"/>
            </w:pPr>
            <w:r>
              <w:rPr>
                <w:sz w:val="20"/>
              </w:rPr>
              <w:t xml:space="preserve">2556</w:t>
            </w:r>
          </w:p>
        </w:tc>
        <w:tc>
          <w:tcPr>
            <w:tcW w:w="1814" w:type="dxa"/>
          </w:tcPr>
          <w:p>
            <w:pPr>
              <w:pStyle w:val="0"/>
              <w:jc w:val="center"/>
            </w:pPr>
            <w:r>
              <w:rPr>
                <w:sz w:val="20"/>
              </w:rPr>
              <w:t xml:space="preserve">2722</w:t>
            </w:r>
          </w:p>
        </w:tc>
      </w:tr>
      <w:tr>
        <w:tc>
          <w:tcPr>
            <w:tcW w:w="1303" w:type="dxa"/>
          </w:tcPr>
          <w:p>
            <w:pPr>
              <w:pStyle w:val="0"/>
              <w:jc w:val="center"/>
            </w:pPr>
            <w:r>
              <w:rPr>
                <w:sz w:val="20"/>
              </w:rPr>
              <w:t xml:space="preserve">8</w:t>
            </w:r>
          </w:p>
        </w:tc>
        <w:tc>
          <w:tcPr>
            <w:tcW w:w="1814" w:type="dxa"/>
          </w:tcPr>
          <w:p>
            <w:pPr>
              <w:pStyle w:val="0"/>
              <w:jc w:val="center"/>
            </w:pPr>
            <w:r>
              <w:rPr>
                <w:sz w:val="20"/>
              </w:rPr>
              <w:t xml:space="preserve">2011</w:t>
            </w:r>
          </w:p>
        </w:tc>
        <w:tc>
          <w:tcPr>
            <w:tcW w:w="2324" w:type="dxa"/>
          </w:tcPr>
          <w:p>
            <w:pPr>
              <w:pStyle w:val="0"/>
              <w:jc w:val="center"/>
            </w:pPr>
            <w:r>
              <w:rPr>
                <w:sz w:val="20"/>
              </w:rPr>
              <w:t xml:space="preserve">4986</w:t>
            </w:r>
          </w:p>
        </w:tc>
        <w:tc>
          <w:tcPr>
            <w:tcW w:w="1814" w:type="dxa"/>
          </w:tcPr>
          <w:p>
            <w:pPr>
              <w:pStyle w:val="0"/>
              <w:jc w:val="center"/>
            </w:pPr>
            <w:r>
              <w:rPr>
                <w:sz w:val="20"/>
              </w:rPr>
              <w:t xml:space="preserve">2602</w:t>
            </w:r>
          </w:p>
        </w:tc>
        <w:tc>
          <w:tcPr>
            <w:tcW w:w="1814" w:type="dxa"/>
          </w:tcPr>
          <w:p>
            <w:pPr>
              <w:pStyle w:val="0"/>
              <w:jc w:val="center"/>
            </w:pPr>
            <w:r>
              <w:rPr>
                <w:sz w:val="20"/>
              </w:rPr>
              <w:t xml:space="preserve">2384</w:t>
            </w:r>
          </w:p>
        </w:tc>
      </w:tr>
      <w:tr>
        <w:tc>
          <w:tcPr>
            <w:tcW w:w="1303" w:type="dxa"/>
          </w:tcPr>
          <w:p>
            <w:pPr>
              <w:pStyle w:val="0"/>
              <w:jc w:val="center"/>
            </w:pPr>
            <w:r>
              <w:rPr>
                <w:sz w:val="20"/>
              </w:rPr>
              <w:t xml:space="preserve">9</w:t>
            </w:r>
          </w:p>
        </w:tc>
        <w:tc>
          <w:tcPr>
            <w:tcW w:w="1814" w:type="dxa"/>
          </w:tcPr>
          <w:p>
            <w:pPr>
              <w:pStyle w:val="0"/>
              <w:jc w:val="center"/>
            </w:pPr>
            <w:r>
              <w:rPr>
                <w:sz w:val="20"/>
              </w:rPr>
              <w:t xml:space="preserve">2010</w:t>
            </w:r>
          </w:p>
        </w:tc>
        <w:tc>
          <w:tcPr>
            <w:tcW w:w="2324" w:type="dxa"/>
          </w:tcPr>
          <w:p>
            <w:pPr>
              <w:pStyle w:val="0"/>
              <w:jc w:val="center"/>
            </w:pPr>
            <w:r>
              <w:rPr>
                <w:sz w:val="20"/>
              </w:rPr>
              <w:t xml:space="preserve">4852</w:t>
            </w:r>
          </w:p>
        </w:tc>
        <w:tc>
          <w:tcPr>
            <w:tcW w:w="1814" w:type="dxa"/>
          </w:tcPr>
          <w:p>
            <w:pPr>
              <w:pStyle w:val="0"/>
              <w:jc w:val="center"/>
            </w:pPr>
            <w:r>
              <w:rPr>
                <w:sz w:val="20"/>
              </w:rPr>
              <w:t xml:space="preserve">2513</w:t>
            </w:r>
          </w:p>
        </w:tc>
        <w:tc>
          <w:tcPr>
            <w:tcW w:w="1814" w:type="dxa"/>
          </w:tcPr>
          <w:p>
            <w:pPr>
              <w:pStyle w:val="0"/>
              <w:jc w:val="center"/>
            </w:pPr>
            <w:r>
              <w:rPr>
                <w:sz w:val="20"/>
              </w:rPr>
              <w:t xml:space="preserve">2339</w:t>
            </w:r>
          </w:p>
        </w:tc>
      </w:tr>
      <w:tr>
        <w:tc>
          <w:tcPr>
            <w:tcW w:w="1303" w:type="dxa"/>
          </w:tcPr>
          <w:p>
            <w:pPr>
              <w:pStyle w:val="0"/>
              <w:jc w:val="center"/>
            </w:pPr>
            <w:r>
              <w:rPr>
                <w:sz w:val="20"/>
              </w:rPr>
              <w:t xml:space="preserve">10</w:t>
            </w:r>
          </w:p>
        </w:tc>
        <w:tc>
          <w:tcPr>
            <w:tcW w:w="1814" w:type="dxa"/>
          </w:tcPr>
          <w:p>
            <w:pPr>
              <w:pStyle w:val="0"/>
              <w:jc w:val="center"/>
            </w:pPr>
            <w:r>
              <w:rPr>
                <w:sz w:val="20"/>
              </w:rPr>
              <w:t xml:space="preserve">2009</w:t>
            </w:r>
          </w:p>
        </w:tc>
        <w:tc>
          <w:tcPr>
            <w:tcW w:w="2324" w:type="dxa"/>
          </w:tcPr>
          <w:p>
            <w:pPr>
              <w:pStyle w:val="0"/>
              <w:jc w:val="center"/>
            </w:pPr>
            <w:r>
              <w:rPr>
                <w:sz w:val="20"/>
              </w:rPr>
              <w:t xml:space="preserve">5023</w:t>
            </w:r>
          </w:p>
        </w:tc>
        <w:tc>
          <w:tcPr>
            <w:tcW w:w="1814" w:type="dxa"/>
          </w:tcPr>
          <w:p>
            <w:pPr>
              <w:pStyle w:val="0"/>
              <w:jc w:val="center"/>
            </w:pPr>
            <w:r>
              <w:rPr>
                <w:sz w:val="20"/>
              </w:rPr>
              <w:t xml:space="preserve">2428</w:t>
            </w:r>
          </w:p>
        </w:tc>
        <w:tc>
          <w:tcPr>
            <w:tcW w:w="1814" w:type="dxa"/>
          </w:tcPr>
          <w:p>
            <w:pPr>
              <w:pStyle w:val="0"/>
              <w:jc w:val="center"/>
            </w:pPr>
            <w:r>
              <w:rPr>
                <w:sz w:val="20"/>
              </w:rPr>
              <w:t xml:space="preserve">2595</w:t>
            </w:r>
          </w:p>
        </w:tc>
      </w:tr>
      <w:tr>
        <w:tc>
          <w:tcPr>
            <w:tcW w:w="1303" w:type="dxa"/>
          </w:tcPr>
          <w:p>
            <w:pPr>
              <w:pStyle w:val="0"/>
              <w:jc w:val="center"/>
            </w:pPr>
            <w:r>
              <w:rPr>
                <w:sz w:val="20"/>
              </w:rPr>
              <w:t xml:space="preserve">11</w:t>
            </w:r>
          </w:p>
        </w:tc>
        <w:tc>
          <w:tcPr>
            <w:tcW w:w="1814" w:type="dxa"/>
          </w:tcPr>
          <w:p>
            <w:pPr>
              <w:pStyle w:val="0"/>
              <w:jc w:val="center"/>
            </w:pPr>
            <w:r>
              <w:rPr>
                <w:sz w:val="20"/>
              </w:rPr>
              <w:t xml:space="preserve">2008</w:t>
            </w:r>
          </w:p>
        </w:tc>
        <w:tc>
          <w:tcPr>
            <w:tcW w:w="2324" w:type="dxa"/>
          </w:tcPr>
          <w:p>
            <w:pPr>
              <w:pStyle w:val="0"/>
              <w:jc w:val="center"/>
            </w:pPr>
            <w:r>
              <w:rPr>
                <w:sz w:val="20"/>
              </w:rPr>
              <w:t xml:space="preserve">4817</w:t>
            </w:r>
          </w:p>
        </w:tc>
        <w:tc>
          <w:tcPr>
            <w:tcW w:w="1814" w:type="dxa"/>
          </w:tcPr>
          <w:p>
            <w:pPr>
              <w:pStyle w:val="0"/>
              <w:jc w:val="center"/>
            </w:pPr>
            <w:r>
              <w:rPr>
                <w:sz w:val="20"/>
              </w:rPr>
              <w:t xml:space="preserve">2346</w:t>
            </w:r>
          </w:p>
        </w:tc>
        <w:tc>
          <w:tcPr>
            <w:tcW w:w="1814" w:type="dxa"/>
          </w:tcPr>
          <w:p>
            <w:pPr>
              <w:pStyle w:val="0"/>
              <w:jc w:val="center"/>
            </w:pPr>
            <w:r>
              <w:rPr>
                <w:sz w:val="20"/>
              </w:rPr>
              <w:t xml:space="preserve">2471</w:t>
            </w:r>
          </w:p>
        </w:tc>
      </w:tr>
      <w:tr>
        <w:tc>
          <w:tcPr>
            <w:tcW w:w="1303" w:type="dxa"/>
          </w:tcPr>
          <w:p>
            <w:pPr>
              <w:pStyle w:val="0"/>
              <w:jc w:val="center"/>
            </w:pPr>
            <w:r>
              <w:rPr>
                <w:sz w:val="20"/>
              </w:rPr>
              <w:t xml:space="preserve">12</w:t>
            </w:r>
          </w:p>
        </w:tc>
        <w:tc>
          <w:tcPr>
            <w:tcW w:w="1814" w:type="dxa"/>
          </w:tcPr>
          <w:p>
            <w:pPr>
              <w:pStyle w:val="0"/>
              <w:jc w:val="center"/>
            </w:pPr>
            <w:r>
              <w:rPr>
                <w:sz w:val="20"/>
              </w:rPr>
              <w:t xml:space="preserve">2007</w:t>
            </w:r>
          </w:p>
        </w:tc>
        <w:tc>
          <w:tcPr>
            <w:tcW w:w="2324" w:type="dxa"/>
          </w:tcPr>
          <w:p>
            <w:pPr>
              <w:pStyle w:val="0"/>
              <w:jc w:val="center"/>
            </w:pPr>
            <w:r>
              <w:rPr>
                <w:sz w:val="20"/>
              </w:rPr>
              <w:t xml:space="preserve">4662</w:t>
            </w:r>
          </w:p>
        </w:tc>
        <w:tc>
          <w:tcPr>
            <w:tcW w:w="1814" w:type="dxa"/>
          </w:tcPr>
          <w:p>
            <w:pPr>
              <w:pStyle w:val="0"/>
              <w:jc w:val="center"/>
            </w:pPr>
            <w:r>
              <w:rPr>
                <w:sz w:val="20"/>
              </w:rPr>
              <w:t xml:space="preserve">2339</w:t>
            </w:r>
          </w:p>
        </w:tc>
        <w:tc>
          <w:tcPr>
            <w:tcW w:w="1814" w:type="dxa"/>
          </w:tcPr>
          <w:p>
            <w:pPr>
              <w:pStyle w:val="0"/>
              <w:jc w:val="center"/>
            </w:pPr>
            <w:r>
              <w:rPr>
                <w:sz w:val="20"/>
              </w:rPr>
              <w:t xml:space="preserve">2323</w:t>
            </w:r>
          </w:p>
        </w:tc>
      </w:tr>
      <w:tr>
        <w:tc>
          <w:tcPr>
            <w:tcW w:w="1303" w:type="dxa"/>
          </w:tcPr>
          <w:p>
            <w:pPr>
              <w:pStyle w:val="0"/>
              <w:jc w:val="center"/>
            </w:pPr>
            <w:r>
              <w:rPr>
                <w:sz w:val="20"/>
              </w:rPr>
              <w:t xml:space="preserve">13</w:t>
            </w:r>
          </w:p>
        </w:tc>
        <w:tc>
          <w:tcPr>
            <w:tcW w:w="1814" w:type="dxa"/>
          </w:tcPr>
          <w:p>
            <w:pPr>
              <w:pStyle w:val="0"/>
              <w:jc w:val="center"/>
            </w:pPr>
            <w:r>
              <w:rPr>
                <w:sz w:val="20"/>
              </w:rPr>
              <w:t xml:space="preserve">2006</w:t>
            </w:r>
          </w:p>
        </w:tc>
        <w:tc>
          <w:tcPr>
            <w:tcW w:w="2324" w:type="dxa"/>
          </w:tcPr>
          <w:p>
            <w:pPr>
              <w:pStyle w:val="0"/>
              <w:jc w:val="center"/>
            </w:pPr>
            <w:r>
              <w:rPr>
                <w:sz w:val="20"/>
              </w:rPr>
              <w:t xml:space="preserve">4324</w:t>
            </w:r>
          </w:p>
        </w:tc>
        <w:tc>
          <w:tcPr>
            <w:tcW w:w="1814" w:type="dxa"/>
          </w:tcPr>
          <w:p>
            <w:pPr>
              <w:pStyle w:val="0"/>
              <w:jc w:val="center"/>
            </w:pPr>
            <w:r>
              <w:rPr>
                <w:sz w:val="20"/>
              </w:rPr>
              <w:t xml:space="preserve">2158</w:t>
            </w:r>
          </w:p>
        </w:tc>
        <w:tc>
          <w:tcPr>
            <w:tcW w:w="1814" w:type="dxa"/>
          </w:tcPr>
          <w:p>
            <w:pPr>
              <w:pStyle w:val="0"/>
              <w:jc w:val="center"/>
            </w:pPr>
            <w:r>
              <w:rPr>
                <w:sz w:val="20"/>
              </w:rPr>
              <w:t xml:space="preserve">2166</w:t>
            </w:r>
          </w:p>
        </w:tc>
      </w:tr>
      <w:tr>
        <w:tc>
          <w:tcPr>
            <w:tcW w:w="1303" w:type="dxa"/>
          </w:tcPr>
          <w:p>
            <w:pPr>
              <w:pStyle w:val="0"/>
              <w:jc w:val="center"/>
            </w:pPr>
            <w:r>
              <w:rPr>
                <w:sz w:val="20"/>
              </w:rPr>
              <w:t xml:space="preserve">14</w:t>
            </w:r>
          </w:p>
        </w:tc>
        <w:tc>
          <w:tcPr>
            <w:tcW w:w="1814" w:type="dxa"/>
          </w:tcPr>
          <w:p>
            <w:pPr>
              <w:pStyle w:val="0"/>
              <w:jc w:val="center"/>
            </w:pPr>
            <w:r>
              <w:rPr>
                <w:sz w:val="20"/>
              </w:rPr>
              <w:t xml:space="preserve">2005</w:t>
            </w:r>
          </w:p>
        </w:tc>
        <w:tc>
          <w:tcPr>
            <w:tcW w:w="2324" w:type="dxa"/>
          </w:tcPr>
          <w:p>
            <w:pPr>
              <w:pStyle w:val="0"/>
              <w:jc w:val="center"/>
            </w:pPr>
            <w:r>
              <w:rPr>
                <w:sz w:val="20"/>
              </w:rPr>
              <w:t xml:space="preserve">4050</w:t>
            </w:r>
          </w:p>
        </w:tc>
        <w:tc>
          <w:tcPr>
            <w:tcW w:w="1814" w:type="dxa"/>
          </w:tcPr>
          <w:p>
            <w:pPr>
              <w:pStyle w:val="0"/>
              <w:jc w:val="center"/>
            </w:pPr>
            <w:r>
              <w:rPr>
                <w:sz w:val="20"/>
              </w:rPr>
              <w:t xml:space="preserve">1969</w:t>
            </w:r>
          </w:p>
        </w:tc>
        <w:tc>
          <w:tcPr>
            <w:tcW w:w="1814" w:type="dxa"/>
          </w:tcPr>
          <w:p>
            <w:pPr>
              <w:pStyle w:val="0"/>
              <w:jc w:val="center"/>
            </w:pPr>
            <w:r>
              <w:rPr>
                <w:sz w:val="20"/>
              </w:rPr>
              <w:t xml:space="preserve">2081</w:t>
            </w:r>
          </w:p>
        </w:tc>
      </w:tr>
      <w:tr>
        <w:tc>
          <w:tcPr>
            <w:tcW w:w="1303" w:type="dxa"/>
          </w:tcPr>
          <w:p>
            <w:pPr>
              <w:pStyle w:val="0"/>
              <w:jc w:val="center"/>
            </w:pPr>
            <w:r>
              <w:rPr>
                <w:sz w:val="20"/>
              </w:rPr>
              <w:t xml:space="preserve">15</w:t>
            </w:r>
          </w:p>
        </w:tc>
        <w:tc>
          <w:tcPr>
            <w:tcW w:w="1814" w:type="dxa"/>
          </w:tcPr>
          <w:p>
            <w:pPr>
              <w:pStyle w:val="0"/>
              <w:jc w:val="center"/>
            </w:pPr>
            <w:r>
              <w:rPr>
                <w:sz w:val="20"/>
              </w:rPr>
              <w:t xml:space="preserve">2004</w:t>
            </w:r>
          </w:p>
        </w:tc>
        <w:tc>
          <w:tcPr>
            <w:tcW w:w="2324" w:type="dxa"/>
          </w:tcPr>
          <w:p>
            <w:pPr>
              <w:pStyle w:val="0"/>
              <w:jc w:val="center"/>
            </w:pPr>
            <w:r>
              <w:rPr>
                <w:sz w:val="20"/>
              </w:rPr>
              <w:t xml:space="preserve">4352</w:t>
            </w:r>
          </w:p>
        </w:tc>
        <w:tc>
          <w:tcPr>
            <w:tcW w:w="1814" w:type="dxa"/>
          </w:tcPr>
          <w:p>
            <w:pPr>
              <w:pStyle w:val="0"/>
              <w:jc w:val="center"/>
            </w:pPr>
            <w:r>
              <w:rPr>
                <w:sz w:val="20"/>
              </w:rPr>
              <w:t xml:space="preserve">2135</w:t>
            </w:r>
          </w:p>
        </w:tc>
        <w:tc>
          <w:tcPr>
            <w:tcW w:w="1814" w:type="dxa"/>
          </w:tcPr>
          <w:p>
            <w:pPr>
              <w:pStyle w:val="0"/>
              <w:jc w:val="center"/>
            </w:pPr>
            <w:r>
              <w:rPr>
                <w:sz w:val="20"/>
              </w:rPr>
              <w:t xml:space="preserve">2217</w:t>
            </w:r>
          </w:p>
        </w:tc>
      </w:tr>
      <w:tr>
        <w:tc>
          <w:tcPr>
            <w:tcW w:w="1303" w:type="dxa"/>
          </w:tcPr>
          <w:p>
            <w:pPr>
              <w:pStyle w:val="0"/>
              <w:jc w:val="center"/>
            </w:pPr>
            <w:r>
              <w:rPr>
                <w:sz w:val="20"/>
              </w:rPr>
              <w:t xml:space="preserve">16</w:t>
            </w:r>
          </w:p>
        </w:tc>
        <w:tc>
          <w:tcPr>
            <w:tcW w:w="1814" w:type="dxa"/>
          </w:tcPr>
          <w:p>
            <w:pPr>
              <w:pStyle w:val="0"/>
              <w:jc w:val="center"/>
            </w:pPr>
            <w:r>
              <w:rPr>
                <w:sz w:val="20"/>
              </w:rPr>
              <w:t xml:space="preserve">2003</w:t>
            </w:r>
          </w:p>
        </w:tc>
        <w:tc>
          <w:tcPr>
            <w:tcW w:w="2324" w:type="dxa"/>
          </w:tcPr>
          <w:p>
            <w:pPr>
              <w:pStyle w:val="0"/>
              <w:jc w:val="center"/>
            </w:pPr>
            <w:r>
              <w:rPr>
                <w:sz w:val="20"/>
              </w:rPr>
              <w:t xml:space="preserve">3953</w:t>
            </w:r>
          </w:p>
        </w:tc>
        <w:tc>
          <w:tcPr>
            <w:tcW w:w="1814" w:type="dxa"/>
          </w:tcPr>
          <w:p>
            <w:pPr>
              <w:pStyle w:val="0"/>
              <w:jc w:val="center"/>
            </w:pPr>
            <w:r>
              <w:rPr>
                <w:sz w:val="20"/>
              </w:rPr>
              <w:t xml:space="preserve">1878</w:t>
            </w:r>
          </w:p>
        </w:tc>
        <w:tc>
          <w:tcPr>
            <w:tcW w:w="1814" w:type="dxa"/>
          </w:tcPr>
          <w:p>
            <w:pPr>
              <w:pStyle w:val="0"/>
              <w:jc w:val="center"/>
            </w:pPr>
            <w:r>
              <w:rPr>
                <w:sz w:val="20"/>
              </w:rPr>
              <w:t xml:space="preserve">2075</w:t>
            </w:r>
          </w:p>
        </w:tc>
      </w:tr>
      <w:tr>
        <w:tc>
          <w:tcPr>
            <w:tcW w:w="1303" w:type="dxa"/>
          </w:tcPr>
          <w:p>
            <w:pPr>
              <w:pStyle w:val="0"/>
              <w:jc w:val="center"/>
            </w:pPr>
            <w:r>
              <w:rPr>
                <w:sz w:val="20"/>
              </w:rPr>
              <w:t xml:space="preserve">17</w:t>
            </w:r>
          </w:p>
        </w:tc>
        <w:tc>
          <w:tcPr>
            <w:tcW w:w="1814" w:type="dxa"/>
          </w:tcPr>
          <w:p>
            <w:pPr>
              <w:pStyle w:val="0"/>
              <w:jc w:val="center"/>
            </w:pPr>
            <w:r>
              <w:rPr>
                <w:sz w:val="20"/>
              </w:rPr>
              <w:t xml:space="preserve">2002</w:t>
            </w:r>
          </w:p>
        </w:tc>
        <w:tc>
          <w:tcPr>
            <w:tcW w:w="2324" w:type="dxa"/>
          </w:tcPr>
          <w:p>
            <w:pPr>
              <w:pStyle w:val="0"/>
              <w:jc w:val="center"/>
            </w:pPr>
            <w:r>
              <w:rPr>
                <w:sz w:val="20"/>
              </w:rPr>
              <w:t xml:space="preserve">3763</w:t>
            </w:r>
          </w:p>
        </w:tc>
        <w:tc>
          <w:tcPr>
            <w:tcW w:w="1814" w:type="dxa"/>
          </w:tcPr>
          <w:p>
            <w:pPr>
              <w:pStyle w:val="0"/>
              <w:jc w:val="center"/>
            </w:pPr>
            <w:r>
              <w:rPr>
                <w:sz w:val="20"/>
              </w:rPr>
              <w:t xml:space="preserve">1827</w:t>
            </w:r>
          </w:p>
        </w:tc>
        <w:tc>
          <w:tcPr>
            <w:tcW w:w="1814" w:type="dxa"/>
          </w:tcPr>
          <w:p>
            <w:pPr>
              <w:pStyle w:val="0"/>
              <w:jc w:val="center"/>
            </w:pPr>
            <w:r>
              <w:rPr>
                <w:sz w:val="20"/>
              </w:rPr>
              <w:t xml:space="preserve">1936</w:t>
            </w:r>
          </w:p>
        </w:tc>
      </w:tr>
      <w:tr>
        <w:tc>
          <w:tcPr>
            <w:gridSpan w:val="2"/>
            <w:tcW w:w="3117" w:type="dxa"/>
          </w:tcPr>
          <w:p>
            <w:pPr>
              <w:pStyle w:val="0"/>
              <w:jc w:val="center"/>
            </w:pPr>
            <w:r>
              <w:rPr>
                <w:sz w:val="20"/>
              </w:rPr>
              <w:t xml:space="preserve">ИТОГО</w:t>
            </w:r>
          </w:p>
        </w:tc>
        <w:tc>
          <w:tcPr>
            <w:tcW w:w="2324" w:type="dxa"/>
          </w:tcPr>
          <w:p>
            <w:pPr>
              <w:pStyle w:val="0"/>
              <w:jc w:val="center"/>
            </w:pPr>
            <w:r>
              <w:rPr>
                <w:sz w:val="20"/>
              </w:rPr>
              <w:t xml:space="preserve">85823</w:t>
            </w:r>
          </w:p>
        </w:tc>
        <w:tc>
          <w:tcPr>
            <w:tcW w:w="1814" w:type="dxa"/>
          </w:tcPr>
          <w:p>
            <w:pPr>
              <w:pStyle w:val="0"/>
              <w:jc w:val="center"/>
            </w:pPr>
            <w:r>
              <w:rPr>
                <w:sz w:val="20"/>
              </w:rPr>
              <w:t xml:space="preserve">42072</w:t>
            </w:r>
          </w:p>
        </w:tc>
        <w:tc>
          <w:tcPr>
            <w:tcW w:w="1814" w:type="dxa"/>
          </w:tcPr>
          <w:p>
            <w:pPr>
              <w:pStyle w:val="0"/>
              <w:jc w:val="center"/>
            </w:pPr>
            <w:r>
              <w:rPr>
                <w:sz w:val="20"/>
              </w:rPr>
              <w:t xml:space="preserve">43751</w:t>
            </w:r>
          </w:p>
        </w:tc>
      </w:tr>
    </w:tbl>
    <w:p>
      <w:pPr>
        <w:pStyle w:val="0"/>
        <w:ind w:firstLine="540"/>
        <w:jc w:val="both"/>
      </w:pPr>
      <w:r>
        <w:rPr>
          <w:sz w:val="20"/>
        </w:rPr>
      </w:r>
    </w:p>
    <w:p>
      <w:pPr>
        <w:pStyle w:val="0"/>
        <w:ind w:firstLine="540"/>
        <w:jc w:val="both"/>
      </w:pPr>
      <w:r>
        <w:rPr>
          <w:sz w:val="20"/>
        </w:rPr>
        <w:t xml:space="preserve">Миграционный прирост населения составил 7935 человек (на 1993 человека больше по сравнению с 2019 годом (5942 чел.)). Рост миграционного прироста произошел за счет увеличения числа прибывших. Прибыло в город из других регионов РФ, стран СНГ и других стран 20704 человека, что на 3026 человек больше, чем за аналогичный период 2019 года (17678 человек), а выбыло 12769 человек (на 1033 человека больше), в 2019 году за аналогичный период выбыло 11736 человек.</w:t>
      </w:r>
    </w:p>
    <w:p>
      <w:pPr>
        <w:pStyle w:val="0"/>
        <w:spacing w:before="200" w:line-rule="auto"/>
        <w:ind w:firstLine="540"/>
        <w:jc w:val="both"/>
      </w:pPr>
      <w:r>
        <w:rPr>
          <w:sz w:val="20"/>
        </w:rPr>
        <w:t xml:space="preserve">Демографические показатели: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134"/>
        <w:gridCol w:w="1134"/>
        <w:gridCol w:w="1134"/>
        <w:gridCol w:w="1134"/>
        <w:gridCol w:w="1134"/>
      </w:tblGrid>
      <w:tr>
        <w:tc>
          <w:tcPr>
            <w:tcW w:w="3402" w:type="dxa"/>
          </w:tcPr>
          <w:p>
            <w:pPr>
              <w:pStyle w:val="0"/>
              <w:jc w:val="center"/>
            </w:pPr>
            <w:r>
              <w:rPr>
                <w:sz w:val="20"/>
              </w:rPr>
              <w:t xml:space="preserve">Показатель</w:t>
            </w:r>
          </w:p>
        </w:tc>
        <w:tc>
          <w:tcPr>
            <w:tcW w:w="1134" w:type="dxa"/>
          </w:tcPr>
          <w:p>
            <w:pPr>
              <w:pStyle w:val="0"/>
              <w:jc w:val="center"/>
            </w:pPr>
            <w:r>
              <w:rPr>
                <w:sz w:val="20"/>
              </w:rPr>
              <w:t xml:space="preserve">2016 г.</w:t>
            </w:r>
          </w:p>
        </w:tc>
        <w:tc>
          <w:tcPr>
            <w:tcW w:w="1134" w:type="dxa"/>
          </w:tcPr>
          <w:p>
            <w:pPr>
              <w:pStyle w:val="0"/>
              <w:jc w:val="center"/>
            </w:pPr>
            <w:r>
              <w:rPr>
                <w:sz w:val="20"/>
              </w:rPr>
              <w:t xml:space="preserve">2017 г.</w:t>
            </w:r>
          </w:p>
        </w:tc>
        <w:tc>
          <w:tcPr>
            <w:tcW w:w="1134" w:type="dxa"/>
          </w:tcPr>
          <w:p>
            <w:pPr>
              <w:pStyle w:val="0"/>
              <w:jc w:val="center"/>
            </w:pPr>
            <w:r>
              <w:rPr>
                <w:sz w:val="20"/>
              </w:rPr>
              <w:t xml:space="preserve">2018 г.</w:t>
            </w:r>
          </w:p>
        </w:tc>
        <w:tc>
          <w:tcPr>
            <w:tcW w:w="1134" w:type="dxa"/>
          </w:tcPr>
          <w:p>
            <w:pPr>
              <w:pStyle w:val="0"/>
              <w:jc w:val="center"/>
            </w:pPr>
            <w:r>
              <w:rPr>
                <w:sz w:val="20"/>
              </w:rPr>
              <w:t xml:space="preserve">2019 г.</w:t>
            </w:r>
          </w:p>
        </w:tc>
        <w:tc>
          <w:tcPr>
            <w:tcW w:w="1134" w:type="dxa"/>
          </w:tcPr>
          <w:p>
            <w:pPr>
              <w:pStyle w:val="0"/>
              <w:jc w:val="center"/>
            </w:pPr>
            <w:r>
              <w:rPr>
                <w:sz w:val="20"/>
              </w:rPr>
              <w:t xml:space="preserve">2020 г.</w:t>
            </w:r>
          </w:p>
        </w:tc>
      </w:tr>
      <w:tr>
        <w:tc>
          <w:tcPr>
            <w:tcW w:w="3402" w:type="dxa"/>
          </w:tcPr>
          <w:p>
            <w:pPr>
              <w:pStyle w:val="0"/>
              <w:jc w:val="both"/>
            </w:pPr>
            <w:r>
              <w:rPr>
                <w:sz w:val="20"/>
              </w:rPr>
              <w:t xml:space="preserve">Количество рожденных живыми</w:t>
            </w:r>
          </w:p>
        </w:tc>
        <w:tc>
          <w:tcPr>
            <w:tcW w:w="1134" w:type="dxa"/>
          </w:tcPr>
          <w:p>
            <w:pPr>
              <w:pStyle w:val="0"/>
              <w:jc w:val="center"/>
            </w:pPr>
            <w:r>
              <w:rPr>
                <w:sz w:val="20"/>
              </w:rPr>
              <w:t xml:space="preserve">5351</w:t>
            </w:r>
          </w:p>
        </w:tc>
        <w:tc>
          <w:tcPr>
            <w:tcW w:w="1134" w:type="dxa"/>
          </w:tcPr>
          <w:p>
            <w:pPr>
              <w:pStyle w:val="0"/>
              <w:jc w:val="center"/>
            </w:pPr>
            <w:r>
              <w:rPr>
                <w:sz w:val="20"/>
              </w:rPr>
              <w:t xml:space="preserve">4843</w:t>
            </w:r>
          </w:p>
        </w:tc>
        <w:tc>
          <w:tcPr>
            <w:tcW w:w="1134" w:type="dxa"/>
          </w:tcPr>
          <w:p>
            <w:pPr>
              <w:pStyle w:val="0"/>
              <w:jc w:val="center"/>
            </w:pPr>
            <w:r>
              <w:rPr>
                <w:sz w:val="20"/>
              </w:rPr>
              <w:t xml:space="preserve">4494</w:t>
            </w:r>
          </w:p>
        </w:tc>
        <w:tc>
          <w:tcPr>
            <w:tcW w:w="1134" w:type="dxa"/>
          </w:tcPr>
          <w:p>
            <w:pPr>
              <w:pStyle w:val="0"/>
              <w:jc w:val="center"/>
            </w:pPr>
            <w:r>
              <w:rPr>
                <w:sz w:val="20"/>
              </w:rPr>
              <w:t xml:space="preserve">4267</w:t>
            </w:r>
          </w:p>
        </w:tc>
        <w:tc>
          <w:tcPr>
            <w:tcW w:w="1134" w:type="dxa"/>
          </w:tcPr>
          <w:p>
            <w:pPr>
              <w:pStyle w:val="0"/>
              <w:jc w:val="center"/>
            </w:pPr>
            <w:r>
              <w:rPr>
                <w:sz w:val="20"/>
              </w:rPr>
              <w:t xml:space="preserve">4225</w:t>
            </w:r>
          </w:p>
        </w:tc>
      </w:tr>
      <w:tr>
        <w:tc>
          <w:tcPr>
            <w:tcW w:w="3402" w:type="dxa"/>
          </w:tcPr>
          <w:p>
            <w:pPr>
              <w:pStyle w:val="0"/>
              <w:jc w:val="both"/>
            </w:pPr>
            <w:r>
              <w:rPr>
                <w:sz w:val="20"/>
              </w:rPr>
              <w:t xml:space="preserve">Количество умерших</w:t>
            </w:r>
          </w:p>
        </w:tc>
        <w:tc>
          <w:tcPr>
            <w:tcW w:w="1134" w:type="dxa"/>
          </w:tcPr>
          <w:p>
            <w:pPr>
              <w:pStyle w:val="0"/>
              <w:jc w:val="center"/>
            </w:pPr>
            <w:r>
              <w:rPr>
                <w:sz w:val="20"/>
              </w:rPr>
              <w:t xml:space="preserve">5881</w:t>
            </w:r>
          </w:p>
        </w:tc>
        <w:tc>
          <w:tcPr>
            <w:tcW w:w="1134" w:type="dxa"/>
          </w:tcPr>
          <w:p>
            <w:pPr>
              <w:pStyle w:val="0"/>
              <w:jc w:val="center"/>
            </w:pPr>
            <w:r>
              <w:rPr>
                <w:sz w:val="20"/>
              </w:rPr>
              <w:t xml:space="preserve">5659</w:t>
            </w:r>
          </w:p>
        </w:tc>
        <w:tc>
          <w:tcPr>
            <w:tcW w:w="1134" w:type="dxa"/>
          </w:tcPr>
          <w:p>
            <w:pPr>
              <w:pStyle w:val="0"/>
              <w:jc w:val="center"/>
            </w:pPr>
            <w:r>
              <w:rPr>
                <w:sz w:val="20"/>
              </w:rPr>
              <w:t xml:space="preserve">5633</w:t>
            </w:r>
          </w:p>
        </w:tc>
        <w:tc>
          <w:tcPr>
            <w:tcW w:w="1134" w:type="dxa"/>
          </w:tcPr>
          <w:p>
            <w:pPr>
              <w:pStyle w:val="0"/>
              <w:jc w:val="center"/>
            </w:pPr>
            <w:r>
              <w:rPr>
                <w:sz w:val="20"/>
              </w:rPr>
              <w:t xml:space="preserve">5815</w:t>
            </w:r>
          </w:p>
        </w:tc>
        <w:tc>
          <w:tcPr>
            <w:tcW w:w="1134" w:type="dxa"/>
          </w:tcPr>
          <w:p>
            <w:pPr>
              <w:pStyle w:val="0"/>
              <w:jc w:val="center"/>
            </w:pPr>
            <w:r>
              <w:rPr>
                <w:sz w:val="20"/>
              </w:rPr>
              <w:t xml:space="preserve">6246</w:t>
            </w:r>
          </w:p>
        </w:tc>
      </w:tr>
      <w:tr>
        <w:tc>
          <w:tcPr>
            <w:tcW w:w="3402" w:type="dxa"/>
          </w:tcPr>
          <w:p>
            <w:pPr>
              <w:pStyle w:val="0"/>
              <w:jc w:val="both"/>
            </w:pPr>
            <w:r>
              <w:rPr>
                <w:sz w:val="20"/>
              </w:rPr>
              <w:t xml:space="preserve">Разница "родившиеся - умершие"</w:t>
            </w:r>
          </w:p>
        </w:tc>
        <w:tc>
          <w:tcPr>
            <w:tcW w:w="1134" w:type="dxa"/>
          </w:tcPr>
          <w:p>
            <w:pPr>
              <w:pStyle w:val="0"/>
              <w:jc w:val="center"/>
            </w:pPr>
            <w:r>
              <w:rPr>
                <w:sz w:val="20"/>
              </w:rPr>
              <w:t xml:space="preserve">-530</w:t>
            </w:r>
          </w:p>
        </w:tc>
        <w:tc>
          <w:tcPr>
            <w:tcW w:w="1134" w:type="dxa"/>
          </w:tcPr>
          <w:p>
            <w:pPr>
              <w:pStyle w:val="0"/>
              <w:jc w:val="center"/>
            </w:pPr>
            <w:r>
              <w:rPr>
                <w:sz w:val="20"/>
              </w:rPr>
              <w:t xml:space="preserve">-816</w:t>
            </w:r>
          </w:p>
        </w:tc>
        <w:tc>
          <w:tcPr>
            <w:tcW w:w="1134" w:type="dxa"/>
          </w:tcPr>
          <w:p>
            <w:pPr>
              <w:pStyle w:val="0"/>
              <w:jc w:val="center"/>
            </w:pPr>
            <w:r>
              <w:rPr>
                <w:sz w:val="20"/>
              </w:rPr>
              <w:t xml:space="preserve">-1139</w:t>
            </w:r>
          </w:p>
        </w:tc>
        <w:tc>
          <w:tcPr>
            <w:tcW w:w="1134" w:type="dxa"/>
          </w:tcPr>
          <w:p>
            <w:pPr>
              <w:pStyle w:val="0"/>
              <w:jc w:val="center"/>
            </w:pPr>
            <w:r>
              <w:rPr>
                <w:sz w:val="20"/>
              </w:rPr>
              <w:t xml:space="preserve">-1548</w:t>
            </w:r>
          </w:p>
        </w:tc>
        <w:tc>
          <w:tcPr>
            <w:tcW w:w="1134" w:type="dxa"/>
          </w:tcPr>
          <w:p>
            <w:pPr>
              <w:pStyle w:val="0"/>
              <w:jc w:val="center"/>
            </w:pPr>
            <w:r>
              <w:rPr>
                <w:sz w:val="20"/>
              </w:rPr>
              <w:t xml:space="preserve">-2021</w:t>
            </w:r>
          </w:p>
        </w:tc>
      </w:tr>
      <w:tr>
        <w:tc>
          <w:tcPr>
            <w:tcW w:w="3402" w:type="dxa"/>
          </w:tcPr>
          <w:p>
            <w:pPr>
              <w:pStyle w:val="0"/>
              <w:jc w:val="both"/>
            </w:pPr>
            <w:r>
              <w:rPr>
                <w:sz w:val="20"/>
              </w:rPr>
              <w:t xml:space="preserve">Рождаемость (на 1000 населения)</w:t>
            </w:r>
          </w:p>
        </w:tc>
        <w:tc>
          <w:tcPr>
            <w:tcW w:w="1134" w:type="dxa"/>
          </w:tcPr>
          <w:p>
            <w:pPr>
              <w:pStyle w:val="0"/>
              <w:jc w:val="center"/>
            </w:pPr>
            <w:r>
              <w:rPr>
                <w:sz w:val="20"/>
              </w:rPr>
              <w:t xml:space="preserve">12,86</w:t>
            </w:r>
          </w:p>
        </w:tc>
        <w:tc>
          <w:tcPr>
            <w:tcW w:w="1134" w:type="dxa"/>
          </w:tcPr>
          <w:p>
            <w:pPr>
              <w:pStyle w:val="0"/>
              <w:jc w:val="center"/>
            </w:pPr>
            <w:r>
              <w:rPr>
                <w:sz w:val="20"/>
              </w:rPr>
              <w:t xml:space="preserve">11,31</w:t>
            </w:r>
          </w:p>
        </w:tc>
        <w:tc>
          <w:tcPr>
            <w:tcW w:w="1134" w:type="dxa"/>
          </w:tcPr>
          <w:p>
            <w:pPr>
              <w:pStyle w:val="0"/>
              <w:jc w:val="center"/>
            </w:pPr>
            <w:r>
              <w:rPr>
                <w:sz w:val="20"/>
              </w:rPr>
              <w:t xml:space="preserve">10,30</w:t>
            </w:r>
          </w:p>
        </w:tc>
        <w:tc>
          <w:tcPr>
            <w:tcW w:w="1134" w:type="dxa"/>
          </w:tcPr>
          <w:p>
            <w:pPr>
              <w:pStyle w:val="0"/>
              <w:jc w:val="center"/>
            </w:pPr>
            <w:r>
              <w:rPr>
                <w:sz w:val="20"/>
              </w:rPr>
              <w:t xml:space="preserve">9,46</w:t>
            </w:r>
          </w:p>
        </w:tc>
        <w:tc>
          <w:tcPr>
            <w:tcW w:w="1134" w:type="dxa"/>
          </w:tcPr>
          <w:p>
            <w:pPr>
              <w:pStyle w:val="0"/>
              <w:jc w:val="center"/>
            </w:pPr>
            <w:r>
              <w:rPr>
                <w:sz w:val="20"/>
              </w:rPr>
              <w:t xml:space="preserve">9,43</w:t>
            </w:r>
          </w:p>
        </w:tc>
      </w:tr>
      <w:tr>
        <w:tc>
          <w:tcPr>
            <w:tcW w:w="3402" w:type="dxa"/>
          </w:tcPr>
          <w:p>
            <w:pPr>
              <w:pStyle w:val="0"/>
              <w:jc w:val="both"/>
            </w:pPr>
            <w:r>
              <w:rPr>
                <w:sz w:val="20"/>
              </w:rPr>
              <w:t xml:space="preserve">Смертность (на 1000 населения)</w:t>
            </w:r>
          </w:p>
        </w:tc>
        <w:tc>
          <w:tcPr>
            <w:tcW w:w="1134" w:type="dxa"/>
          </w:tcPr>
          <w:p>
            <w:pPr>
              <w:pStyle w:val="0"/>
              <w:jc w:val="center"/>
            </w:pPr>
            <w:r>
              <w:rPr>
                <w:sz w:val="20"/>
              </w:rPr>
              <w:t xml:space="preserve">14,14</w:t>
            </w:r>
          </w:p>
        </w:tc>
        <w:tc>
          <w:tcPr>
            <w:tcW w:w="1134" w:type="dxa"/>
          </w:tcPr>
          <w:p>
            <w:pPr>
              <w:pStyle w:val="0"/>
              <w:jc w:val="center"/>
            </w:pPr>
            <w:r>
              <w:rPr>
                <w:sz w:val="20"/>
              </w:rPr>
              <w:t xml:space="preserve">13,21</w:t>
            </w:r>
          </w:p>
        </w:tc>
        <w:tc>
          <w:tcPr>
            <w:tcW w:w="1134" w:type="dxa"/>
          </w:tcPr>
          <w:p>
            <w:pPr>
              <w:pStyle w:val="0"/>
              <w:jc w:val="center"/>
            </w:pPr>
            <w:r>
              <w:rPr>
                <w:sz w:val="20"/>
              </w:rPr>
              <w:t xml:space="preserve">12,92</w:t>
            </w:r>
          </w:p>
        </w:tc>
        <w:tc>
          <w:tcPr>
            <w:tcW w:w="1134" w:type="dxa"/>
          </w:tcPr>
          <w:p>
            <w:pPr>
              <w:pStyle w:val="0"/>
              <w:jc w:val="center"/>
            </w:pPr>
            <w:r>
              <w:rPr>
                <w:sz w:val="20"/>
              </w:rPr>
              <w:t xml:space="preserve">13,14</w:t>
            </w:r>
          </w:p>
        </w:tc>
        <w:tc>
          <w:tcPr>
            <w:tcW w:w="1134" w:type="dxa"/>
          </w:tcPr>
          <w:p>
            <w:pPr>
              <w:pStyle w:val="0"/>
              <w:jc w:val="center"/>
            </w:pPr>
            <w:r>
              <w:rPr>
                <w:sz w:val="20"/>
              </w:rPr>
              <w:t xml:space="preserve">13,94</w:t>
            </w:r>
          </w:p>
        </w:tc>
      </w:tr>
      <w:tr>
        <w:tc>
          <w:tcPr>
            <w:tcW w:w="3402" w:type="dxa"/>
          </w:tcPr>
          <w:p>
            <w:pPr>
              <w:pStyle w:val="0"/>
              <w:jc w:val="both"/>
            </w:pPr>
            <w:r>
              <w:rPr>
                <w:sz w:val="20"/>
              </w:rPr>
              <w:t xml:space="preserve">Естественная убыль населения (на 1000 населения)</w:t>
            </w:r>
          </w:p>
        </w:tc>
        <w:tc>
          <w:tcPr>
            <w:tcW w:w="1134" w:type="dxa"/>
          </w:tcPr>
          <w:p>
            <w:pPr>
              <w:pStyle w:val="0"/>
              <w:jc w:val="center"/>
            </w:pPr>
            <w:r>
              <w:rPr>
                <w:sz w:val="20"/>
              </w:rPr>
              <w:t xml:space="preserve">-1,27</w:t>
            </w:r>
          </w:p>
        </w:tc>
        <w:tc>
          <w:tcPr>
            <w:tcW w:w="1134" w:type="dxa"/>
          </w:tcPr>
          <w:p>
            <w:pPr>
              <w:pStyle w:val="0"/>
              <w:jc w:val="center"/>
            </w:pPr>
            <w:r>
              <w:rPr>
                <w:sz w:val="20"/>
              </w:rPr>
              <w:t xml:space="preserve">-1,91</w:t>
            </w:r>
          </w:p>
        </w:tc>
        <w:tc>
          <w:tcPr>
            <w:tcW w:w="1134" w:type="dxa"/>
          </w:tcPr>
          <w:p>
            <w:pPr>
              <w:pStyle w:val="0"/>
              <w:jc w:val="center"/>
            </w:pPr>
            <w:r>
              <w:rPr>
                <w:sz w:val="20"/>
              </w:rPr>
              <w:t xml:space="preserve">-2,61</w:t>
            </w:r>
          </w:p>
        </w:tc>
        <w:tc>
          <w:tcPr>
            <w:tcW w:w="1134" w:type="dxa"/>
          </w:tcPr>
          <w:p>
            <w:pPr>
              <w:pStyle w:val="0"/>
              <w:jc w:val="center"/>
            </w:pPr>
            <w:r>
              <w:rPr>
                <w:sz w:val="20"/>
              </w:rPr>
              <w:t xml:space="preserve">-3,5</w:t>
            </w:r>
          </w:p>
        </w:tc>
        <w:tc>
          <w:tcPr>
            <w:tcW w:w="1134" w:type="dxa"/>
          </w:tcPr>
          <w:p>
            <w:pPr>
              <w:pStyle w:val="0"/>
              <w:jc w:val="center"/>
            </w:pPr>
            <w:r>
              <w:rPr>
                <w:sz w:val="20"/>
              </w:rPr>
              <w:t xml:space="preserve">-4,51</w:t>
            </w:r>
          </w:p>
        </w:tc>
      </w:tr>
      <w:tr>
        <w:tc>
          <w:tcPr>
            <w:tcW w:w="3402" w:type="dxa"/>
          </w:tcPr>
          <w:p>
            <w:pPr>
              <w:pStyle w:val="0"/>
              <w:jc w:val="both"/>
            </w:pPr>
            <w:r>
              <w:rPr>
                <w:sz w:val="20"/>
              </w:rPr>
              <w:t xml:space="preserve">Материнская смертность (на 100 тыс. рожденных живыми)</w:t>
            </w:r>
          </w:p>
        </w:tc>
        <w:tc>
          <w:tcPr>
            <w:tcW w:w="1134" w:type="dxa"/>
          </w:tcPr>
          <w:p>
            <w:pPr>
              <w:pStyle w:val="0"/>
              <w:jc w:val="center"/>
            </w:pPr>
            <w:r>
              <w:rPr>
                <w:sz w:val="20"/>
              </w:rPr>
              <w:t xml:space="preserve">0</w:t>
            </w:r>
          </w:p>
        </w:tc>
        <w:tc>
          <w:tcPr>
            <w:tcW w:w="1134" w:type="dxa"/>
          </w:tcPr>
          <w:p>
            <w:pPr>
              <w:pStyle w:val="0"/>
              <w:jc w:val="center"/>
            </w:pPr>
            <w:r>
              <w:rPr>
                <w:sz w:val="20"/>
              </w:rPr>
              <w:t xml:space="preserve">20,65</w:t>
            </w:r>
          </w:p>
        </w:tc>
        <w:tc>
          <w:tcPr>
            <w:tcW w:w="1134" w:type="dxa"/>
          </w:tcPr>
          <w:p>
            <w:pPr>
              <w:pStyle w:val="0"/>
              <w:jc w:val="center"/>
            </w:pPr>
            <w:r>
              <w:rPr>
                <w:sz w:val="20"/>
              </w:rPr>
              <w:t xml:space="preserve">22,25</w:t>
            </w:r>
          </w:p>
        </w:tc>
        <w:tc>
          <w:tcPr>
            <w:tcW w:w="1134" w:type="dxa"/>
          </w:tcPr>
          <w:p>
            <w:pPr>
              <w:pStyle w:val="0"/>
              <w:jc w:val="center"/>
            </w:pPr>
            <w:r>
              <w:rPr>
                <w:sz w:val="20"/>
              </w:rPr>
              <w:t xml:space="preserve">0</w:t>
            </w:r>
          </w:p>
        </w:tc>
        <w:tc>
          <w:tcPr>
            <w:tcW w:w="1134" w:type="dxa"/>
          </w:tcPr>
          <w:p>
            <w:pPr>
              <w:pStyle w:val="0"/>
              <w:jc w:val="center"/>
            </w:pPr>
            <w:r>
              <w:rPr>
                <w:sz w:val="20"/>
              </w:rPr>
              <w:t xml:space="preserve">0</w:t>
            </w:r>
          </w:p>
        </w:tc>
      </w:tr>
    </w:tbl>
    <w:p>
      <w:pPr>
        <w:pStyle w:val="0"/>
        <w:jc w:val="both"/>
      </w:pPr>
      <w:r>
        <w:rPr>
          <w:sz w:val="20"/>
        </w:rPr>
      </w:r>
    </w:p>
    <w:p>
      <w:pPr>
        <w:pStyle w:val="0"/>
        <w:ind w:firstLine="540"/>
        <w:jc w:val="both"/>
      </w:pPr>
      <w:r>
        <w:rPr>
          <w:sz w:val="20"/>
        </w:rPr>
        <w:t xml:space="preserve">Предварительно родилось живыми за январь - декабрь 2020 г. 4225 детей, что на 42 меньше, чем в 2019 году (4267 детей). Коэффициент рождаемости за январь - декабрь 2020 г. был равен 9,43 (в 2019 году - 9,64, снижение показателя рождаемости на 2,24%).</w:t>
      </w:r>
    </w:p>
    <w:p>
      <w:pPr>
        <w:pStyle w:val="0"/>
        <w:spacing w:before="200" w:line-rule="auto"/>
        <w:ind w:firstLine="540"/>
        <w:jc w:val="both"/>
      </w:pPr>
      <w:r>
        <w:rPr>
          <w:sz w:val="20"/>
        </w:rPr>
        <w:t xml:space="preserve">Аналогичный показатель в РФ за январь - декабрь 2020 г. составил 9,8; в Южном федеральном округе - 9,5; Республике Крым - 9,9; Москве - 9,8; Санкт-Петербурге - 10,3.</w:t>
      </w:r>
    </w:p>
    <w:p>
      <w:pPr>
        <w:pStyle w:val="0"/>
        <w:spacing w:before="200" w:line-rule="auto"/>
        <w:ind w:firstLine="540"/>
        <w:jc w:val="both"/>
      </w:pPr>
      <w:r>
        <w:rPr>
          <w:sz w:val="20"/>
        </w:rPr>
        <w:t xml:space="preserve">Предварительная младенческая смертность по территории на 1000 родившихся живыми за январь - декабрь 2020 г. составила 3,5, что выше на 2,94% аналогичного показателя за 2019 г. (3,4 на 1000 родившихся живыми). Всего за январь - декабрь 2020 г. умерло 15 детей в возрасте до года, в 2019 году было также зарегистрировано 15 случаев младенческой смертности.</w:t>
      </w:r>
    </w:p>
    <w:p>
      <w:pPr>
        <w:pStyle w:val="0"/>
        <w:spacing w:before="200" w:line-rule="auto"/>
        <w:ind w:firstLine="540"/>
        <w:jc w:val="both"/>
      </w:pPr>
      <w:r>
        <w:rPr>
          <w:sz w:val="20"/>
        </w:rPr>
        <w:t xml:space="preserve">Аналогичный показатель в РФ за январь - декабрь 2020 г. составил 4,5; в Южном федеральном округе - 4,6; Республике Крым - 5,4; Москве - 3,5; Санкт-Петербурге - 3,3.</w:t>
      </w:r>
    </w:p>
    <w:p>
      <w:pPr>
        <w:pStyle w:val="0"/>
        <w:spacing w:before="200" w:line-rule="auto"/>
        <w:ind w:firstLine="540"/>
        <w:jc w:val="both"/>
      </w:pPr>
      <w:r>
        <w:rPr>
          <w:sz w:val="20"/>
        </w:rPr>
        <w:t xml:space="preserve">Предварительный показатель ранней детской смертности (0 - 4 года) за январь - декабрь 2020 г. составил 66,50 на 100000 детей соответствующего возраста (17 случаев), или 4,02 на 1000 детей, родившихся живыми (в том числе 15 случаев младенческой смерти), что ниже аналогичного показателя 2019 года на 13,83%, или три случая детской смерти (77,17 на 100000 детей (20 случаев детской смерти), или 4,69 на 1000 детей, родившихся живыми).</w:t>
      </w:r>
    </w:p>
    <w:p>
      <w:pPr>
        <w:pStyle w:val="0"/>
        <w:spacing w:before="200" w:line-rule="auto"/>
        <w:ind w:firstLine="540"/>
        <w:jc w:val="both"/>
      </w:pPr>
      <w:r>
        <w:rPr>
          <w:sz w:val="20"/>
        </w:rPr>
        <w:t xml:space="preserve">Предварительная общая детская смертность (0 - 17 лет) за январь - декабрь 2020 г. составила 0,40% от всех умерших, или 29,13 на 100000 детей (25 случаев детской смерти), что ниже аналогичного показателя 2019 года на 28,50%, или девять случаев смерти детей (40,74 на 100000 детей, или 34 случая детской смертности в 2019 году).</w:t>
      </w:r>
    </w:p>
    <w:p>
      <w:pPr>
        <w:pStyle w:val="0"/>
        <w:spacing w:before="200" w:line-rule="auto"/>
        <w:ind w:firstLine="540"/>
        <w:jc w:val="both"/>
      </w:pPr>
      <w:r>
        <w:rPr>
          <w:sz w:val="20"/>
        </w:rPr>
        <w:t xml:space="preserve">В январе - декабре 2020 г. зарегистрировано 25 случаев смерти детей: 15 детей до года и один ребенок двух лет - от врожденных пороков развития, один ребенок до года - от тяжелой асфиксии при рождении, один ребенок восьми месяцев - от других поражений легких, один ребенок одного года и четырех месяцев - от других уточненных поражений ЦНС, один ребенок восьми лет - от ЗНО, острого лимфобластного лейкоза, один ребенок 10 лет - от ЗНО длинных костей нижней конечности и один ребенок - от ЗНО, выходящего за пределы одной и более вышеуказанных локализации головного мозга, один ребенок 11 лет - от отравления и воздействия других неуточненных химических ядовитых веществ с неопределенными намерениями, четыре ребенка 14 лет - от падения, прыжка или сталкивания с высоты с неопределенными намерениями, от отравления и воздействия других неуточненных химических и ядовитых веществ с неопределенными намерениями в неуточненном месте и от отравления и воздействия наркотиков и психодислептиков (галлюциногенов), не классифицированных в других рубриках, с неопределенными намерениями в неуточненном месте.</w:t>
      </w:r>
    </w:p>
    <w:p>
      <w:pPr>
        <w:pStyle w:val="0"/>
        <w:spacing w:before="200" w:line-rule="auto"/>
        <w:ind w:firstLine="540"/>
        <w:jc w:val="both"/>
      </w:pPr>
      <w:r>
        <w:rPr>
          <w:sz w:val="20"/>
        </w:rPr>
        <w:t xml:space="preserve">Материнская смерть в январе - декабре 2020 г. не регистрировалась, так же как и в аналогичном периоде 2019 года.</w:t>
      </w:r>
    </w:p>
    <w:p>
      <w:pPr>
        <w:pStyle w:val="0"/>
        <w:spacing w:before="200" w:line-rule="auto"/>
        <w:ind w:firstLine="540"/>
        <w:jc w:val="both"/>
      </w:pPr>
      <w:r>
        <w:rPr>
          <w:sz w:val="20"/>
        </w:rPr>
        <w:t xml:space="preserve">Показатели детской смертности: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49"/>
        <w:gridCol w:w="963"/>
        <w:gridCol w:w="963"/>
        <w:gridCol w:w="963"/>
        <w:gridCol w:w="1531"/>
      </w:tblGrid>
      <w:tr>
        <w:tc>
          <w:tcPr>
            <w:tcW w:w="4649" w:type="dxa"/>
            <w:vMerge w:val="restart"/>
          </w:tcPr>
          <w:p>
            <w:pPr>
              <w:pStyle w:val="0"/>
              <w:jc w:val="center"/>
            </w:pPr>
            <w:r>
              <w:rPr>
                <w:sz w:val="20"/>
              </w:rPr>
              <w:t xml:space="preserve">Наименование показателя</w:t>
            </w:r>
          </w:p>
        </w:tc>
        <w:tc>
          <w:tcPr>
            <w:gridSpan w:val="3"/>
            <w:tcW w:w="2889" w:type="dxa"/>
          </w:tcPr>
          <w:p>
            <w:pPr>
              <w:pStyle w:val="0"/>
              <w:jc w:val="center"/>
            </w:pPr>
            <w:r>
              <w:rPr>
                <w:sz w:val="20"/>
              </w:rPr>
              <w:t xml:space="preserve">Итого за 12 месяцев</w:t>
            </w:r>
          </w:p>
        </w:tc>
        <w:tc>
          <w:tcPr>
            <w:tcW w:w="1531" w:type="dxa"/>
            <w:vMerge w:val="restart"/>
          </w:tcPr>
          <w:p>
            <w:pPr>
              <w:pStyle w:val="0"/>
              <w:jc w:val="center"/>
            </w:pPr>
            <w:r>
              <w:rPr>
                <w:sz w:val="20"/>
              </w:rPr>
              <w:t xml:space="preserve">Динамика 2020 г. к 2019 г., в абс. числ. и в %</w:t>
            </w:r>
          </w:p>
        </w:tc>
      </w:tr>
      <w:tr>
        <w:tc>
          <w:tcPr>
            <w:vMerge w:val="continue"/>
          </w:tcPr>
          <w:p/>
        </w:tc>
        <w:tc>
          <w:tcPr>
            <w:tcW w:w="963" w:type="dxa"/>
          </w:tcPr>
          <w:p>
            <w:pPr>
              <w:pStyle w:val="0"/>
              <w:jc w:val="center"/>
            </w:pPr>
            <w:r>
              <w:rPr>
                <w:sz w:val="20"/>
              </w:rPr>
              <w:t xml:space="preserve">2018 г.</w:t>
            </w:r>
          </w:p>
        </w:tc>
        <w:tc>
          <w:tcPr>
            <w:tcW w:w="963" w:type="dxa"/>
          </w:tcPr>
          <w:p>
            <w:pPr>
              <w:pStyle w:val="0"/>
              <w:jc w:val="center"/>
            </w:pPr>
            <w:r>
              <w:rPr>
                <w:sz w:val="20"/>
              </w:rPr>
              <w:t xml:space="preserve">2019 г.</w:t>
            </w:r>
          </w:p>
        </w:tc>
        <w:tc>
          <w:tcPr>
            <w:tcW w:w="963" w:type="dxa"/>
          </w:tcPr>
          <w:p>
            <w:pPr>
              <w:pStyle w:val="0"/>
              <w:jc w:val="center"/>
            </w:pPr>
            <w:r>
              <w:rPr>
                <w:sz w:val="20"/>
              </w:rPr>
              <w:t xml:space="preserve">2020 г.</w:t>
            </w:r>
          </w:p>
        </w:tc>
        <w:tc>
          <w:tcPr>
            <w:vMerge w:val="continue"/>
          </w:tcPr>
          <w:p/>
        </w:tc>
      </w:tr>
      <w:tr>
        <w:tc>
          <w:tcPr>
            <w:tcW w:w="4649" w:type="dxa"/>
          </w:tcPr>
          <w:p>
            <w:pPr>
              <w:pStyle w:val="0"/>
              <w:jc w:val="both"/>
            </w:pPr>
            <w:r>
              <w:rPr>
                <w:sz w:val="20"/>
              </w:rPr>
              <w:t xml:space="preserve">Умерло детей до 1 года - всего</w:t>
            </w:r>
          </w:p>
        </w:tc>
        <w:tc>
          <w:tcPr>
            <w:tcW w:w="963" w:type="dxa"/>
          </w:tcPr>
          <w:p>
            <w:pPr>
              <w:pStyle w:val="0"/>
              <w:jc w:val="center"/>
            </w:pPr>
            <w:r>
              <w:rPr>
                <w:sz w:val="20"/>
              </w:rPr>
              <w:t xml:space="preserve">13</w:t>
            </w:r>
          </w:p>
        </w:tc>
        <w:tc>
          <w:tcPr>
            <w:tcW w:w="963" w:type="dxa"/>
          </w:tcPr>
          <w:p>
            <w:pPr>
              <w:pStyle w:val="0"/>
              <w:jc w:val="center"/>
            </w:pPr>
            <w:r>
              <w:rPr>
                <w:sz w:val="20"/>
              </w:rPr>
              <w:t xml:space="preserve">15</w:t>
            </w:r>
          </w:p>
        </w:tc>
        <w:tc>
          <w:tcPr>
            <w:tcW w:w="963" w:type="dxa"/>
          </w:tcPr>
          <w:p>
            <w:pPr>
              <w:pStyle w:val="0"/>
              <w:jc w:val="center"/>
            </w:pPr>
            <w:r>
              <w:rPr>
                <w:sz w:val="20"/>
              </w:rPr>
              <w:t xml:space="preserve">15</w:t>
            </w:r>
          </w:p>
        </w:tc>
        <w:tc>
          <w:tcPr>
            <w:tcW w:w="1531" w:type="dxa"/>
          </w:tcPr>
          <w:p>
            <w:pPr>
              <w:pStyle w:val="0"/>
              <w:jc w:val="center"/>
            </w:pPr>
            <w:r>
              <w:rPr>
                <w:sz w:val="20"/>
              </w:rPr>
              <w:t xml:space="preserve">0,00</w:t>
            </w:r>
          </w:p>
        </w:tc>
      </w:tr>
      <w:tr>
        <w:tc>
          <w:tcPr>
            <w:tcW w:w="4649" w:type="dxa"/>
          </w:tcPr>
          <w:p>
            <w:pPr>
              <w:pStyle w:val="0"/>
              <w:jc w:val="both"/>
            </w:pPr>
            <w:r>
              <w:rPr>
                <w:sz w:val="20"/>
              </w:rPr>
              <w:t xml:space="preserve">в том числе: от 0 до 6-ти суток (ранний неонатальный период)</w:t>
            </w:r>
          </w:p>
        </w:tc>
        <w:tc>
          <w:tcPr>
            <w:tcW w:w="963" w:type="dxa"/>
          </w:tcPr>
          <w:p>
            <w:pPr>
              <w:pStyle w:val="0"/>
              <w:jc w:val="center"/>
            </w:pPr>
            <w:r>
              <w:rPr>
                <w:sz w:val="20"/>
              </w:rPr>
              <w:t xml:space="preserve">2</w:t>
            </w:r>
          </w:p>
        </w:tc>
        <w:tc>
          <w:tcPr>
            <w:tcW w:w="963" w:type="dxa"/>
          </w:tcPr>
          <w:p>
            <w:pPr>
              <w:pStyle w:val="0"/>
              <w:jc w:val="center"/>
            </w:pPr>
            <w:r>
              <w:rPr>
                <w:sz w:val="20"/>
              </w:rPr>
              <w:t xml:space="preserve">2</w:t>
            </w:r>
          </w:p>
        </w:tc>
        <w:tc>
          <w:tcPr>
            <w:tcW w:w="963" w:type="dxa"/>
          </w:tcPr>
          <w:p>
            <w:pPr>
              <w:pStyle w:val="0"/>
              <w:jc w:val="center"/>
            </w:pPr>
            <w:r>
              <w:rPr>
                <w:sz w:val="20"/>
              </w:rPr>
              <w:t xml:space="preserve">7</w:t>
            </w:r>
          </w:p>
        </w:tc>
        <w:tc>
          <w:tcPr>
            <w:tcW w:w="1531" w:type="dxa"/>
          </w:tcPr>
          <w:p>
            <w:pPr>
              <w:pStyle w:val="0"/>
              <w:jc w:val="center"/>
            </w:pPr>
            <w:r>
              <w:rPr>
                <w:sz w:val="20"/>
              </w:rPr>
              <w:t xml:space="preserve">5</w:t>
            </w:r>
          </w:p>
        </w:tc>
      </w:tr>
      <w:tr>
        <w:tc>
          <w:tcPr>
            <w:tcW w:w="4649" w:type="dxa"/>
          </w:tcPr>
          <w:p>
            <w:pPr>
              <w:pStyle w:val="0"/>
              <w:jc w:val="both"/>
            </w:pPr>
            <w:r>
              <w:rPr>
                <w:sz w:val="20"/>
              </w:rPr>
              <w:t xml:space="preserve">от 7 до 27 суток (поздний неонатальный период)</w:t>
            </w:r>
          </w:p>
        </w:tc>
        <w:tc>
          <w:tcPr>
            <w:tcW w:w="963" w:type="dxa"/>
          </w:tcPr>
          <w:p>
            <w:pPr>
              <w:pStyle w:val="0"/>
              <w:jc w:val="center"/>
            </w:pPr>
            <w:r>
              <w:rPr>
                <w:sz w:val="20"/>
              </w:rPr>
              <w:t xml:space="preserve">4</w:t>
            </w:r>
          </w:p>
        </w:tc>
        <w:tc>
          <w:tcPr>
            <w:tcW w:w="963" w:type="dxa"/>
          </w:tcPr>
          <w:p>
            <w:pPr>
              <w:pStyle w:val="0"/>
              <w:jc w:val="center"/>
            </w:pPr>
            <w:r>
              <w:rPr>
                <w:sz w:val="20"/>
              </w:rPr>
              <w:t xml:space="preserve">4</w:t>
            </w:r>
          </w:p>
        </w:tc>
        <w:tc>
          <w:tcPr>
            <w:tcW w:w="963" w:type="dxa"/>
          </w:tcPr>
          <w:p>
            <w:pPr>
              <w:pStyle w:val="0"/>
              <w:jc w:val="center"/>
            </w:pPr>
            <w:r>
              <w:rPr>
                <w:sz w:val="20"/>
              </w:rPr>
              <w:t xml:space="preserve">4</w:t>
            </w:r>
          </w:p>
        </w:tc>
        <w:tc>
          <w:tcPr>
            <w:tcW w:w="1531" w:type="dxa"/>
          </w:tcPr>
          <w:p>
            <w:pPr>
              <w:pStyle w:val="0"/>
              <w:jc w:val="center"/>
            </w:pPr>
            <w:r>
              <w:rPr>
                <w:sz w:val="20"/>
              </w:rPr>
              <w:t xml:space="preserve">0</w:t>
            </w:r>
          </w:p>
        </w:tc>
      </w:tr>
      <w:tr>
        <w:tc>
          <w:tcPr>
            <w:tcW w:w="4649" w:type="dxa"/>
          </w:tcPr>
          <w:p>
            <w:pPr>
              <w:pStyle w:val="0"/>
              <w:jc w:val="both"/>
            </w:pPr>
            <w:r>
              <w:rPr>
                <w:sz w:val="20"/>
              </w:rPr>
              <w:t xml:space="preserve">всего 0 до 28 суток (неонатальный период)</w:t>
            </w:r>
          </w:p>
        </w:tc>
        <w:tc>
          <w:tcPr>
            <w:tcW w:w="963" w:type="dxa"/>
          </w:tcPr>
          <w:p>
            <w:pPr>
              <w:pStyle w:val="0"/>
              <w:jc w:val="center"/>
            </w:pPr>
            <w:r>
              <w:rPr>
                <w:sz w:val="20"/>
              </w:rPr>
              <w:t xml:space="preserve">6</w:t>
            </w:r>
          </w:p>
        </w:tc>
        <w:tc>
          <w:tcPr>
            <w:tcW w:w="963" w:type="dxa"/>
          </w:tcPr>
          <w:p>
            <w:pPr>
              <w:pStyle w:val="0"/>
              <w:jc w:val="center"/>
            </w:pPr>
            <w:r>
              <w:rPr>
                <w:sz w:val="20"/>
              </w:rPr>
              <w:t xml:space="preserve">6</w:t>
            </w:r>
          </w:p>
        </w:tc>
        <w:tc>
          <w:tcPr>
            <w:tcW w:w="963" w:type="dxa"/>
          </w:tcPr>
          <w:p>
            <w:pPr>
              <w:pStyle w:val="0"/>
              <w:jc w:val="center"/>
            </w:pPr>
            <w:r>
              <w:rPr>
                <w:sz w:val="20"/>
              </w:rPr>
              <w:t xml:space="preserve">11</w:t>
            </w:r>
          </w:p>
        </w:tc>
        <w:tc>
          <w:tcPr>
            <w:tcW w:w="1531" w:type="dxa"/>
          </w:tcPr>
          <w:p>
            <w:pPr>
              <w:pStyle w:val="0"/>
              <w:jc w:val="center"/>
            </w:pPr>
            <w:r>
              <w:rPr>
                <w:sz w:val="20"/>
              </w:rPr>
              <w:t xml:space="preserve">5</w:t>
            </w:r>
          </w:p>
        </w:tc>
      </w:tr>
      <w:tr>
        <w:tc>
          <w:tcPr>
            <w:tcW w:w="4649" w:type="dxa"/>
          </w:tcPr>
          <w:p>
            <w:pPr>
              <w:pStyle w:val="0"/>
              <w:jc w:val="both"/>
            </w:pPr>
            <w:r>
              <w:rPr>
                <w:sz w:val="20"/>
              </w:rPr>
              <w:t xml:space="preserve">от 1 мес. до 1 года (постнеонатальный период)</w:t>
            </w:r>
          </w:p>
        </w:tc>
        <w:tc>
          <w:tcPr>
            <w:tcW w:w="963" w:type="dxa"/>
          </w:tcPr>
          <w:p>
            <w:pPr>
              <w:pStyle w:val="0"/>
              <w:jc w:val="center"/>
            </w:pPr>
            <w:r>
              <w:rPr>
                <w:sz w:val="20"/>
              </w:rPr>
              <w:t xml:space="preserve">7</w:t>
            </w:r>
          </w:p>
        </w:tc>
        <w:tc>
          <w:tcPr>
            <w:tcW w:w="963" w:type="dxa"/>
          </w:tcPr>
          <w:p>
            <w:pPr>
              <w:pStyle w:val="0"/>
              <w:jc w:val="center"/>
            </w:pPr>
            <w:r>
              <w:rPr>
                <w:sz w:val="20"/>
              </w:rPr>
              <w:t xml:space="preserve">9</w:t>
            </w:r>
          </w:p>
        </w:tc>
        <w:tc>
          <w:tcPr>
            <w:tcW w:w="963" w:type="dxa"/>
          </w:tcPr>
          <w:p>
            <w:pPr>
              <w:pStyle w:val="0"/>
              <w:jc w:val="center"/>
            </w:pPr>
            <w:r>
              <w:rPr>
                <w:sz w:val="20"/>
              </w:rPr>
              <w:t xml:space="preserve">4</w:t>
            </w:r>
          </w:p>
        </w:tc>
        <w:tc>
          <w:tcPr>
            <w:tcW w:w="1531" w:type="dxa"/>
          </w:tcPr>
          <w:p>
            <w:pPr>
              <w:pStyle w:val="0"/>
              <w:jc w:val="center"/>
            </w:pPr>
            <w:r>
              <w:rPr>
                <w:sz w:val="20"/>
              </w:rPr>
              <w:t xml:space="preserve">-5</w:t>
            </w:r>
          </w:p>
        </w:tc>
      </w:tr>
      <w:tr>
        <w:tc>
          <w:tcPr>
            <w:tcW w:w="4649" w:type="dxa"/>
          </w:tcPr>
          <w:p>
            <w:pPr>
              <w:pStyle w:val="0"/>
              <w:jc w:val="both"/>
            </w:pPr>
            <w:r>
              <w:rPr>
                <w:sz w:val="20"/>
              </w:rPr>
              <w:t xml:space="preserve">Младенческая смертность на 1000 родившихся живыми</w:t>
            </w:r>
          </w:p>
        </w:tc>
        <w:tc>
          <w:tcPr>
            <w:tcW w:w="963" w:type="dxa"/>
          </w:tcPr>
          <w:p>
            <w:pPr>
              <w:pStyle w:val="0"/>
              <w:jc w:val="center"/>
            </w:pPr>
            <w:r>
              <w:rPr>
                <w:sz w:val="20"/>
              </w:rPr>
              <w:t xml:space="preserve">2,9</w:t>
            </w:r>
          </w:p>
        </w:tc>
        <w:tc>
          <w:tcPr>
            <w:tcW w:w="963" w:type="dxa"/>
          </w:tcPr>
          <w:p>
            <w:pPr>
              <w:pStyle w:val="0"/>
              <w:jc w:val="center"/>
            </w:pPr>
            <w:r>
              <w:rPr>
                <w:sz w:val="20"/>
              </w:rPr>
              <w:t xml:space="preserve">3,4</w:t>
            </w:r>
          </w:p>
        </w:tc>
        <w:tc>
          <w:tcPr>
            <w:tcW w:w="963" w:type="dxa"/>
          </w:tcPr>
          <w:p>
            <w:pPr>
              <w:pStyle w:val="0"/>
              <w:jc w:val="center"/>
            </w:pPr>
            <w:r>
              <w:rPr>
                <w:sz w:val="20"/>
              </w:rPr>
              <w:t xml:space="preserve">3,5</w:t>
            </w:r>
          </w:p>
        </w:tc>
        <w:tc>
          <w:tcPr>
            <w:tcW w:w="1531" w:type="dxa"/>
          </w:tcPr>
          <w:p>
            <w:pPr>
              <w:pStyle w:val="0"/>
              <w:jc w:val="center"/>
            </w:pPr>
            <w:r>
              <w:rPr>
                <w:sz w:val="20"/>
              </w:rPr>
              <w:t xml:space="preserve">2,94</w:t>
            </w:r>
          </w:p>
        </w:tc>
      </w:tr>
      <w:tr>
        <w:tc>
          <w:tcPr>
            <w:tcW w:w="4649" w:type="dxa"/>
          </w:tcPr>
          <w:p>
            <w:pPr>
              <w:pStyle w:val="0"/>
              <w:jc w:val="both"/>
            </w:pPr>
            <w:r>
              <w:rPr>
                <w:sz w:val="20"/>
              </w:rPr>
              <w:t xml:space="preserve">Ранняя неонатальная смертность на 1000 родившихся живыми</w:t>
            </w:r>
          </w:p>
        </w:tc>
        <w:tc>
          <w:tcPr>
            <w:tcW w:w="963" w:type="dxa"/>
          </w:tcPr>
          <w:p>
            <w:pPr>
              <w:pStyle w:val="0"/>
              <w:jc w:val="center"/>
            </w:pPr>
            <w:r>
              <w:rPr>
                <w:sz w:val="20"/>
              </w:rPr>
              <w:t xml:space="preserve">0,46</w:t>
            </w:r>
          </w:p>
        </w:tc>
        <w:tc>
          <w:tcPr>
            <w:tcW w:w="963" w:type="dxa"/>
          </w:tcPr>
          <w:p>
            <w:pPr>
              <w:pStyle w:val="0"/>
              <w:jc w:val="center"/>
            </w:pPr>
            <w:r>
              <w:rPr>
                <w:sz w:val="20"/>
              </w:rPr>
              <w:t xml:space="preserve">0,47</w:t>
            </w:r>
          </w:p>
        </w:tc>
        <w:tc>
          <w:tcPr>
            <w:tcW w:w="963" w:type="dxa"/>
          </w:tcPr>
          <w:p>
            <w:pPr>
              <w:pStyle w:val="0"/>
              <w:jc w:val="center"/>
            </w:pPr>
            <w:r>
              <w:rPr>
                <w:sz w:val="20"/>
              </w:rPr>
              <w:t xml:space="preserve">1,66</w:t>
            </w:r>
          </w:p>
        </w:tc>
        <w:tc>
          <w:tcPr>
            <w:tcW w:w="1531" w:type="dxa"/>
          </w:tcPr>
          <w:p>
            <w:pPr>
              <w:pStyle w:val="0"/>
              <w:jc w:val="center"/>
            </w:pPr>
            <w:r>
              <w:rPr>
                <w:sz w:val="20"/>
              </w:rPr>
              <w:t xml:space="preserve">253,19</w:t>
            </w:r>
          </w:p>
        </w:tc>
      </w:tr>
      <w:tr>
        <w:tc>
          <w:tcPr>
            <w:tcW w:w="4649" w:type="dxa"/>
          </w:tcPr>
          <w:p>
            <w:pPr>
              <w:pStyle w:val="0"/>
              <w:jc w:val="both"/>
            </w:pPr>
            <w:r>
              <w:rPr>
                <w:sz w:val="20"/>
              </w:rPr>
              <w:t xml:space="preserve">Поздняя неонатальная смертность на 1000 родившихся живыми</w:t>
            </w:r>
          </w:p>
        </w:tc>
        <w:tc>
          <w:tcPr>
            <w:tcW w:w="963" w:type="dxa"/>
          </w:tcPr>
          <w:p>
            <w:pPr>
              <w:pStyle w:val="0"/>
              <w:jc w:val="center"/>
            </w:pPr>
            <w:r>
              <w:rPr>
                <w:sz w:val="20"/>
              </w:rPr>
              <w:t xml:space="preserve">0,92</w:t>
            </w:r>
          </w:p>
        </w:tc>
        <w:tc>
          <w:tcPr>
            <w:tcW w:w="963" w:type="dxa"/>
          </w:tcPr>
          <w:p>
            <w:pPr>
              <w:pStyle w:val="0"/>
              <w:jc w:val="center"/>
            </w:pPr>
            <w:r>
              <w:rPr>
                <w:sz w:val="20"/>
              </w:rPr>
              <w:t xml:space="preserve">0,94</w:t>
            </w:r>
          </w:p>
        </w:tc>
        <w:tc>
          <w:tcPr>
            <w:tcW w:w="963" w:type="dxa"/>
          </w:tcPr>
          <w:p>
            <w:pPr>
              <w:pStyle w:val="0"/>
              <w:jc w:val="center"/>
            </w:pPr>
            <w:r>
              <w:rPr>
                <w:sz w:val="20"/>
              </w:rPr>
              <w:t xml:space="preserve">0,95</w:t>
            </w:r>
          </w:p>
        </w:tc>
        <w:tc>
          <w:tcPr>
            <w:tcW w:w="1531" w:type="dxa"/>
          </w:tcPr>
          <w:p>
            <w:pPr>
              <w:pStyle w:val="0"/>
              <w:jc w:val="center"/>
            </w:pPr>
            <w:r>
              <w:rPr>
                <w:sz w:val="20"/>
              </w:rPr>
              <w:t xml:space="preserve">1,06</w:t>
            </w:r>
          </w:p>
        </w:tc>
      </w:tr>
      <w:tr>
        <w:tc>
          <w:tcPr>
            <w:tcW w:w="4649" w:type="dxa"/>
          </w:tcPr>
          <w:p>
            <w:pPr>
              <w:pStyle w:val="0"/>
              <w:jc w:val="both"/>
            </w:pPr>
            <w:r>
              <w:rPr>
                <w:sz w:val="20"/>
              </w:rPr>
              <w:t xml:space="preserve">Неонатальная смертность на 1000 родившихся живыми</w:t>
            </w:r>
          </w:p>
        </w:tc>
        <w:tc>
          <w:tcPr>
            <w:tcW w:w="963" w:type="dxa"/>
          </w:tcPr>
          <w:p>
            <w:pPr>
              <w:pStyle w:val="0"/>
              <w:jc w:val="center"/>
            </w:pPr>
            <w:r>
              <w:rPr>
                <w:sz w:val="20"/>
              </w:rPr>
              <w:t xml:space="preserve">1,37</w:t>
            </w:r>
          </w:p>
        </w:tc>
        <w:tc>
          <w:tcPr>
            <w:tcW w:w="963" w:type="dxa"/>
          </w:tcPr>
          <w:p>
            <w:pPr>
              <w:pStyle w:val="0"/>
              <w:jc w:val="center"/>
            </w:pPr>
            <w:r>
              <w:rPr>
                <w:sz w:val="20"/>
              </w:rPr>
              <w:t xml:space="preserve">1,41</w:t>
            </w:r>
          </w:p>
        </w:tc>
        <w:tc>
          <w:tcPr>
            <w:tcW w:w="963" w:type="dxa"/>
          </w:tcPr>
          <w:p>
            <w:pPr>
              <w:pStyle w:val="0"/>
              <w:jc w:val="center"/>
            </w:pPr>
            <w:r>
              <w:rPr>
                <w:sz w:val="20"/>
              </w:rPr>
              <w:t xml:space="preserve">2,60</w:t>
            </w:r>
          </w:p>
        </w:tc>
        <w:tc>
          <w:tcPr>
            <w:tcW w:w="1531" w:type="dxa"/>
          </w:tcPr>
          <w:p>
            <w:pPr>
              <w:pStyle w:val="0"/>
              <w:jc w:val="center"/>
            </w:pPr>
            <w:r>
              <w:rPr>
                <w:sz w:val="20"/>
              </w:rPr>
              <w:t xml:space="preserve">84,40</w:t>
            </w:r>
          </w:p>
        </w:tc>
      </w:tr>
      <w:tr>
        <w:tc>
          <w:tcPr>
            <w:tcW w:w="4649" w:type="dxa"/>
          </w:tcPr>
          <w:p>
            <w:pPr>
              <w:pStyle w:val="0"/>
              <w:jc w:val="both"/>
            </w:pPr>
            <w:r>
              <w:rPr>
                <w:sz w:val="20"/>
              </w:rPr>
              <w:t xml:space="preserve">Постнеонатальная смертность на 1000 родившихся живыми</w:t>
            </w:r>
          </w:p>
        </w:tc>
        <w:tc>
          <w:tcPr>
            <w:tcW w:w="963" w:type="dxa"/>
          </w:tcPr>
          <w:p>
            <w:pPr>
              <w:pStyle w:val="0"/>
              <w:jc w:val="center"/>
            </w:pPr>
            <w:r>
              <w:rPr>
                <w:sz w:val="20"/>
              </w:rPr>
              <w:t xml:space="preserve">1,53</w:t>
            </w:r>
          </w:p>
        </w:tc>
        <w:tc>
          <w:tcPr>
            <w:tcW w:w="963" w:type="dxa"/>
          </w:tcPr>
          <w:p>
            <w:pPr>
              <w:pStyle w:val="0"/>
              <w:jc w:val="center"/>
            </w:pPr>
            <w:r>
              <w:rPr>
                <w:sz w:val="20"/>
              </w:rPr>
              <w:t xml:space="preserve">1,99</w:t>
            </w:r>
          </w:p>
        </w:tc>
        <w:tc>
          <w:tcPr>
            <w:tcW w:w="963" w:type="dxa"/>
          </w:tcPr>
          <w:p>
            <w:pPr>
              <w:pStyle w:val="0"/>
              <w:jc w:val="center"/>
            </w:pPr>
            <w:r>
              <w:rPr>
                <w:sz w:val="20"/>
              </w:rPr>
              <w:t xml:space="preserve">1,00</w:t>
            </w:r>
          </w:p>
        </w:tc>
        <w:tc>
          <w:tcPr>
            <w:tcW w:w="1531" w:type="dxa"/>
          </w:tcPr>
          <w:p>
            <w:pPr>
              <w:pStyle w:val="0"/>
              <w:jc w:val="center"/>
            </w:pPr>
            <w:r>
              <w:rPr>
                <w:sz w:val="20"/>
              </w:rPr>
              <w:t xml:space="preserve">-49,75</w:t>
            </w:r>
          </w:p>
        </w:tc>
      </w:tr>
      <w:tr>
        <w:tc>
          <w:tcPr>
            <w:tcW w:w="4649" w:type="dxa"/>
          </w:tcPr>
          <w:p>
            <w:pPr>
              <w:pStyle w:val="0"/>
              <w:jc w:val="both"/>
            </w:pPr>
            <w:r>
              <w:rPr>
                <w:sz w:val="20"/>
              </w:rPr>
              <w:t xml:space="preserve">Родилось живыми</w:t>
            </w:r>
          </w:p>
        </w:tc>
        <w:tc>
          <w:tcPr>
            <w:tcW w:w="963" w:type="dxa"/>
          </w:tcPr>
          <w:p>
            <w:pPr>
              <w:pStyle w:val="0"/>
              <w:jc w:val="center"/>
            </w:pPr>
            <w:r>
              <w:rPr>
                <w:sz w:val="20"/>
              </w:rPr>
              <w:t xml:space="preserve">4366</w:t>
            </w:r>
          </w:p>
        </w:tc>
        <w:tc>
          <w:tcPr>
            <w:tcW w:w="963" w:type="dxa"/>
          </w:tcPr>
          <w:p>
            <w:pPr>
              <w:pStyle w:val="0"/>
              <w:jc w:val="center"/>
            </w:pPr>
            <w:r>
              <w:rPr>
                <w:sz w:val="20"/>
              </w:rPr>
              <w:t xml:space="preserve">4267</w:t>
            </w:r>
          </w:p>
        </w:tc>
        <w:tc>
          <w:tcPr>
            <w:tcW w:w="963" w:type="dxa"/>
          </w:tcPr>
          <w:p>
            <w:pPr>
              <w:pStyle w:val="0"/>
              <w:jc w:val="center"/>
            </w:pPr>
            <w:r>
              <w:rPr>
                <w:sz w:val="20"/>
              </w:rPr>
              <w:t xml:space="preserve">4225</w:t>
            </w:r>
          </w:p>
        </w:tc>
        <w:tc>
          <w:tcPr>
            <w:tcW w:w="1531" w:type="dxa"/>
          </w:tcPr>
          <w:p>
            <w:pPr>
              <w:pStyle w:val="0"/>
              <w:jc w:val="center"/>
            </w:pPr>
            <w:r>
              <w:rPr>
                <w:sz w:val="20"/>
              </w:rPr>
              <w:t xml:space="preserve">-42</w:t>
            </w:r>
          </w:p>
        </w:tc>
      </w:tr>
      <w:tr>
        <w:tc>
          <w:tcPr>
            <w:tcW w:w="4649" w:type="dxa"/>
          </w:tcPr>
          <w:p>
            <w:pPr>
              <w:pStyle w:val="0"/>
              <w:jc w:val="both"/>
            </w:pPr>
            <w:r>
              <w:rPr>
                <w:sz w:val="20"/>
              </w:rPr>
              <w:t xml:space="preserve">Среднемесячное число родившихся</w:t>
            </w:r>
          </w:p>
        </w:tc>
        <w:tc>
          <w:tcPr>
            <w:tcW w:w="963" w:type="dxa"/>
          </w:tcPr>
          <w:p>
            <w:pPr>
              <w:pStyle w:val="0"/>
              <w:jc w:val="center"/>
            </w:pPr>
            <w:r>
              <w:rPr>
                <w:sz w:val="20"/>
              </w:rPr>
              <w:t xml:space="preserve">4538</w:t>
            </w:r>
          </w:p>
        </w:tc>
        <w:tc>
          <w:tcPr>
            <w:tcW w:w="963" w:type="dxa"/>
          </w:tcPr>
          <w:p>
            <w:pPr>
              <w:pStyle w:val="0"/>
              <w:jc w:val="center"/>
            </w:pPr>
            <w:r>
              <w:rPr>
                <w:sz w:val="20"/>
              </w:rPr>
              <w:t xml:space="preserve">4386</w:t>
            </w:r>
          </w:p>
        </w:tc>
        <w:tc>
          <w:tcPr>
            <w:tcW w:w="963" w:type="dxa"/>
          </w:tcPr>
          <w:p>
            <w:pPr>
              <w:pStyle w:val="0"/>
              <w:jc w:val="center"/>
            </w:pPr>
            <w:r>
              <w:rPr>
                <w:sz w:val="20"/>
              </w:rPr>
              <w:t xml:space="preserve">4202</w:t>
            </w:r>
          </w:p>
        </w:tc>
        <w:tc>
          <w:tcPr>
            <w:tcW w:w="1531" w:type="dxa"/>
          </w:tcPr>
          <w:p>
            <w:pPr>
              <w:pStyle w:val="0"/>
              <w:jc w:val="center"/>
            </w:pPr>
            <w:r>
              <w:rPr>
                <w:sz w:val="20"/>
              </w:rPr>
              <w:t xml:space="preserve">-184</w:t>
            </w:r>
          </w:p>
        </w:tc>
      </w:tr>
      <w:tr>
        <w:tc>
          <w:tcPr>
            <w:tcW w:w="4649" w:type="dxa"/>
          </w:tcPr>
          <w:p>
            <w:pPr>
              <w:pStyle w:val="0"/>
              <w:jc w:val="both"/>
            </w:pPr>
            <w:r>
              <w:rPr>
                <w:sz w:val="20"/>
              </w:rPr>
              <w:t xml:space="preserve">Родилось мертвыми</w:t>
            </w:r>
          </w:p>
        </w:tc>
        <w:tc>
          <w:tcPr>
            <w:tcW w:w="963" w:type="dxa"/>
          </w:tcPr>
          <w:p>
            <w:pPr>
              <w:pStyle w:val="0"/>
              <w:jc w:val="center"/>
            </w:pPr>
            <w:r>
              <w:rPr>
                <w:sz w:val="20"/>
              </w:rPr>
              <w:t xml:space="preserve">19</w:t>
            </w:r>
          </w:p>
        </w:tc>
        <w:tc>
          <w:tcPr>
            <w:tcW w:w="963" w:type="dxa"/>
          </w:tcPr>
          <w:p>
            <w:pPr>
              <w:pStyle w:val="0"/>
              <w:jc w:val="center"/>
            </w:pPr>
            <w:r>
              <w:rPr>
                <w:sz w:val="20"/>
              </w:rPr>
              <w:t xml:space="preserve">18</w:t>
            </w:r>
          </w:p>
        </w:tc>
        <w:tc>
          <w:tcPr>
            <w:tcW w:w="963" w:type="dxa"/>
          </w:tcPr>
          <w:p>
            <w:pPr>
              <w:pStyle w:val="0"/>
              <w:jc w:val="center"/>
            </w:pPr>
            <w:r>
              <w:rPr>
                <w:sz w:val="20"/>
              </w:rPr>
              <w:t xml:space="preserve">23</w:t>
            </w:r>
          </w:p>
        </w:tc>
        <w:tc>
          <w:tcPr>
            <w:tcW w:w="1531" w:type="dxa"/>
          </w:tcPr>
          <w:p>
            <w:pPr>
              <w:pStyle w:val="0"/>
              <w:jc w:val="center"/>
            </w:pPr>
            <w:r>
              <w:rPr>
                <w:sz w:val="20"/>
              </w:rPr>
              <w:t xml:space="preserve">5</w:t>
            </w:r>
          </w:p>
        </w:tc>
      </w:tr>
      <w:tr>
        <w:tc>
          <w:tcPr>
            <w:tcW w:w="4649" w:type="dxa"/>
          </w:tcPr>
          <w:p>
            <w:pPr>
              <w:pStyle w:val="0"/>
              <w:jc w:val="both"/>
            </w:pPr>
            <w:r>
              <w:rPr>
                <w:sz w:val="20"/>
              </w:rPr>
              <w:t xml:space="preserve">Мертворождаемость на 1000 родившихся живыми и мертвыми</w:t>
            </w:r>
          </w:p>
        </w:tc>
        <w:tc>
          <w:tcPr>
            <w:tcW w:w="963" w:type="dxa"/>
          </w:tcPr>
          <w:p>
            <w:pPr>
              <w:pStyle w:val="0"/>
              <w:jc w:val="center"/>
            </w:pPr>
            <w:r>
              <w:rPr>
                <w:sz w:val="20"/>
              </w:rPr>
              <w:t xml:space="preserve">4,33</w:t>
            </w:r>
          </w:p>
        </w:tc>
        <w:tc>
          <w:tcPr>
            <w:tcW w:w="963" w:type="dxa"/>
          </w:tcPr>
          <w:p>
            <w:pPr>
              <w:pStyle w:val="0"/>
              <w:jc w:val="center"/>
            </w:pPr>
            <w:r>
              <w:rPr>
                <w:sz w:val="20"/>
              </w:rPr>
              <w:t xml:space="preserve">4,20</w:t>
            </w:r>
          </w:p>
        </w:tc>
        <w:tc>
          <w:tcPr>
            <w:tcW w:w="963" w:type="dxa"/>
          </w:tcPr>
          <w:p>
            <w:pPr>
              <w:pStyle w:val="0"/>
              <w:jc w:val="center"/>
            </w:pPr>
            <w:r>
              <w:rPr>
                <w:sz w:val="20"/>
              </w:rPr>
              <w:t xml:space="preserve">5,41</w:t>
            </w:r>
          </w:p>
        </w:tc>
        <w:tc>
          <w:tcPr>
            <w:tcW w:w="1531" w:type="dxa"/>
          </w:tcPr>
          <w:p>
            <w:pPr>
              <w:pStyle w:val="0"/>
              <w:jc w:val="center"/>
            </w:pPr>
            <w:r>
              <w:rPr>
                <w:sz w:val="20"/>
              </w:rPr>
              <w:t xml:space="preserve">28,81</w:t>
            </w:r>
          </w:p>
        </w:tc>
      </w:tr>
      <w:tr>
        <w:tc>
          <w:tcPr>
            <w:tcW w:w="4649" w:type="dxa"/>
          </w:tcPr>
          <w:p>
            <w:pPr>
              <w:pStyle w:val="0"/>
              <w:jc w:val="both"/>
            </w:pPr>
            <w:r>
              <w:rPr>
                <w:sz w:val="20"/>
              </w:rPr>
              <w:t xml:space="preserve">Перинатальная смертность на 1000 родившихся живыми (от 22-й недели беременности до 6 суток после рождения)</w:t>
            </w:r>
          </w:p>
        </w:tc>
        <w:tc>
          <w:tcPr>
            <w:tcW w:w="963" w:type="dxa"/>
          </w:tcPr>
          <w:p>
            <w:pPr>
              <w:pStyle w:val="0"/>
              <w:jc w:val="center"/>
            </w:pPr>
            <w:r>
              <w:rPr>
                <w:sz w:val="20"/>
              </w:rPr>
              <w:t xml:space="preserve">4,79</w:t>
            </w:r>
          </w:p>
        </w:tc>
        <w:tc>
          <w:tcPr>
            <w:tcW w:w="963" w:type="dxa"/>
          </w:tcPr>
          <w:p>
            <w:pPr>
              <w:pStyle w:val="0"/>
              <w:jc w:val="center"/>
            </w:pPr>
            <w:r>
              <w:rPr>
                <w:sz w:val="20"/>
              </w:rPr>
              <w:t xml:space="preserve">4,67</w:t>
            </w:r>
          </w:p>
        </w:tc>
        <w:tc>
          <w:tcPr>
            <w:tcW w:w="963" w:type="dxa"/>
          </w:tcPr>
          <w:p>
            <w:pPr>
              <w:pStyle w:val="0"/>
              <w:jc w:val="center"/>
            </w:pPr>
            <w:r>
              <w:rPr>
                <w:sz w:val="20"/>
              </w:rPr>
              <w:t xml:space="preserve">7,06</w:t>
            </w:r>
          </w:p>
        </w:tc>
        <w:tc>
          <w:tcPr>
            <w:tcW w:w="1531" w:type="dxa"/>
          </w:tcPr>
          <w:p>
            <w:pPr>
              <w:pStyle w:val="0"/>
              <w:jc w:val="center"/>
            </w:pPr>
            <w:r>
              <w:rPr>
                <w:sz w:val="20"/>
              </w:rPr>
              <w:t xml:space="preserve">51,18</w:t>
            </w:r>
          </w:p>
        </w:tc>
      </w:tr>
      <w:tr>
        <w:tc>
          <w:tcPr>
            <w:tcW w:w="4649" w:type="dxa"/>
          </w:tcPr>
          <w:p>
            <w:pPr>
              <w:pStyle w:val="0"/>
              <w:jc w:val="both"/>
            </w:pPr>
            <w:r>
              <w:rPr>
                <w:sz w:val="20"/>
              </w:rPr>
              <w:t xml:space="preserve">Умерло детей 2-го года жизни</w:t>
            </w:r>
          </w:p>
        </w:tc>
        <w:tc>
          <w:tcPr>
            <w:tcW w:w="963" w:type="dxa"/>
          </w:tcPr>
          <w:p>
            <w:pPr>
              <w:pStyle w:val="0"/>
              <w:jc w:val="center"/>
            </w:pPr>
            <w:r>
              <w:rPr>
                <w:sz w:val="20"/>
              </w:rPr>
              <w:t xml:space="preserve">1</w:t>
            </w:r>
          </w:p>
        </w:tc>
        <w:tc>
          <w:tcPr>
            <w:tcW w:w="963" w:type="dxa"/>
          </w:tcPr>
          <w:p>
            <w:pPr>
              <w:pStyle w:val="0"/>
              <w:jc w:val="center"/>
            </w:pPr>
            <w:r>
              <w:rPr>
                <w:sz w:val="20"/>
              </w:rPr>
              <w:t xml:space="preserve">0</w:t>
            </w:r>
          </w:p>
        </w:tc>
        <w:tc>
          <w:tcPr>
            <w:tcW w:w="963" w:type="dxa"/>
          </w:tcPr>
          <w:p>
            <w:pPr>
              <w:pStyle w:val="0"/>
              <w:jc w:val="center"/>
            </w:pPr>
            <w:r>
              <w:rPr>
                <w:sz w:val="20"/>
              </w:rPr>
              <w:t xml:space="preserve">1</w:t>
            </w:r>
          </w:p>
        </w:tc>
        <w:tc>
          <w:tcPr>
            <w:tcW w:w="1531" w:type="dxa"/>
          </w:tcPr>
          <w:p>
            <w:pPr>
              <w:pStyle w:val="0"/>
              <w:jc w:val="center"/>
            </w:pPr>
            <w:r>
              <w:rPr>
                <w:sz w:val="20"/>
              </w:rPr>
              <w:t xml:space="preserve">1</w:t>
            </w:r>
          </w:p>
        </w:tc>
      </w:tr>
      <w:tr>
        <w:tc>
          <w:tcPr>
            <w:tcW w:w="4649" w:type="dxa"/>
          </w:tcPr>
          <w:p>
            <w:pPr>
              <w:pStyle w:val="0"/>
              <w:jc w:val="both"/>
            </w:pPr>
            <w:r>
              <w:rPr>
                <w:sz w:val="20"/>
              </w:rPr>
              <w:t xml:space="preserve">Детей 2-го года жизни</w:t>
            </w:r>
          </w:p>
        </w:tc>
        <w:tc>
          <w:tcPr>
            <w:tcW w:w="963" w:type="dxa"/>
          </w:tcPr>
          <w:p>
            <w:pPr>
              <w:pStyle w:val="0"/>
              <w:jc w:val="center"/>
            </w:pPr>
            <w:r>
              <w:rPr>
                <w:sz w:val="20"/>
              </w:rPr>
              <w:t xml:space="preserve">4879</w:t>
            </w:r>
          </w:p>
        </w:tc>
        <w:tc>
          <w:tcPr>
            <w:tcW w:w="963" w:type="dxa"/>
          </w:tcPr>
          <w:p>
            <w:pPr>
              <w:pStyle w:val="0"/>
              <w:jc w:val="center"/>
            </w:pPr>
            <w:r>
              <w:rPr>
                <w:sz w:val="20"/>
              </w:rPr>
              <w:t xml:space="preserve">4497</w:t>
            </w:r>
          </w:p>
        </w:tc>
        <w:tc>
          <w:tcPr>
            <w:tcW w:w="963" w:type="dxa"/>
          </w:tcPr>
          <w:p>
            <w:pPr>
              <w:pStyle w:val="0"/>
              <w:jc w:val="center"/>
            </w:pPr>
            <w:r>
              <w:rPr>
                <w:sz w:val="20"/>
              </w:rPr>
              <w:t xml:space="preserve">4329</w:t>
            </w:r>
          </w:p>
        </w:tc>
        <w:tc>
          <w:tcPr>
            <w:tcW w:w="1531" w:type="dxa"/>
          </w:tcPr>
          <w:p>
            <w:pPr>
              <w:pStyle w:val="0"/>
              <w:jc w:val="center"/>
            </w:pPr>
            <w:r>
              <w:rPr>
                <w:sz w:val="20"/>
              </w:rPr>
              <w:t xml:space="preserve">-168</w:t>
            </w:r>
          </w:p>
        </w:tc>
      </w:tr>
      <w:tr>
        <w:tc>
          <w:tcPr>
            <w:tcW w:w="4649" w:type="dxa"/>
          </w:tcPr>
          <w:p>
            <w:pPr>
              <w:pStyle w:val="0"/>
              <w:jc w:val="both"/>
            </w:pPr>
            <w:r>
              <w:rPr>
                <w:sz w:val="20"/>
              </w:rPr>
              <w:t xml:space="preserve">Смертность детей 2-го года жизни на 100000 детей соответствующего возраста</w:t>
            </w:r>
          </w:p>
        </w:tc>
        <w:tc>
          <w:tcPr>
            <w:tcW w:w="963" w:type="dxa"/>
          </w:tcPr>
          <w:p>
            <w:pPr>
              <w:pStyle w:val="0"/>
              <w:jc w:val="center"/>
            </w:pPr>
            <w:r>
              <w:rPr>
                <w:sz w:val="20"/>
              </w:rPr>
              <w:t xml:space="preserve">20,50</w:t>
            </w:r>
          </w:p>
        </w:tc>
        <w:tc>
          <w:tcPr>
            <w:tcW w:w="963" w:type="dxa"/>
          </w:tcPr>
          <w:p>
            <w:pPr>
              <w:pStyle w:val="0"/>
              <w:jc w:val="center"/>
            </w:pPr>
            <w:r>
              <w:rPr>
                <w:sz w:val="20"/>
              </w:rPr>
              <w:t xml:space="preserve">0,00</w:t>
            </w:r>
          </w:p>
        </w:tc>
        <w:tc>
          <w:tcPr>
            <w:tcW w:w="963" w:type="dxa"/>
          </w:tcPr>
          <w:p>
            <w:pPr>
              <w:pStyle w:val="0"/>
              <w:jc w:val="center"/>
            </w:pPr>
            <w:r>
              <w:rPr>
                <w:sz w:val="20"/>
              </w:rPr>
              <w:t xml:space="preserve">23,10</w:t>
            </w:r>
          </w:p>
        </w:tc>
        <w:tc>
          <w:tcPr>
            <w:tcW w:w="1531" w:type="dxa"/>
          </w:tcPr>
          <w:p>
            <w:pPr>
              <w:pStyle w:val="0"/>
              <w:jc w:val="center"/>
            </w:pPr>
            <w:r>
              <w:rPr>
                <w:sz w:val="20"/>
              </w:rPr>
            </w:r>
          </w:p>
        </w:tc>
      </w:tr>
      <w:tr>
        <w:tc>
          <w:tcPr>
            <w:tcW w:w="4649" w:type="dxa"/>
          </w:tcPr>
          <w:p>
            <w:pPr>
              <w:pStyle w:val="0"/>
              <w:jc w:val="both"/>
            </w:pPr>
            <w:r>
              <w:rPr>
                <w:sz w:val="20"/>
              </w:rPr>
              <w:t xml:space="preserve">Умерло детей от 0 до 4 лет включительно</w:t>
            </w:r>
          </w:p>
        </w:tc>
        <w:tc>
          <w:tcPr>
            <w:tcW w:w="963" w:type="dxa"/>
          </w:tcPr>
          <w:p>
            <w:pPr>
              <w:pStyle w:val="0"/>
              <w:jc w:val="center"/>
            </w:pPr>
            <w:r>
              <w:rPr>
                <w:sz w:val="20"/>
              </w:rPr>
              <w:t xml:space="preserve">19</w:t>
            </w:r>
          </w:p>
        </w:tc>
        <w:tc>
          <w:tcPr>
            <w:tcW w:w="963" w:type="dxa"/>
          </w:tcPr>
          <w:p>
            <w:pPr>
              <w:pStyle w:val="0"/>
              <w:jc w:val="center"/>
            </w:pPr>
            <w:r>
              <w:rPr>
                <w:sz w:val="20"/>
              </w:rPr>
              <w:t xml:space="preserve">20</w:t>
            </w:r>
          </w:p>
        </w:tc>
        <w:tc>
          <w:tcPr>
            <w:tcW w:w="963" w:type="dxa"/>
          </w:tcPr>
          <w:p>
            <w:pPr>
              <w:pStyle w:val="0"/>
              <w:jc w:val="center"/>
            </w:pPr>
            <w:r>
              <w:rPr>
                <w:sz w:val="20"/>
              </w:rPr>
              <w:t xml:space="preserve">17</w:t>
            </w:r>
          </w:p>
        </w:tc>
        <w:tc>
          <w:tcPr>
            <w:tcW w:w="1531" w:type="dxa"/>
          </w:tcPr>
          <w:p>
            <w:pPr>
              <w:pStyle w:val="0"/>
              <w:jc w:val="center"/>
            </w:pPr>
            <w:r>
              <w:rPr>
                <w:sz w:val="20"/>
              </w:rPr>
              <w:t xml:space="preserve">-3</w:t>
            </w:r>
          </w:p>
        </w:tc>
      </w:tr>
      <w:tr>
        <w:tc>
          <w:tcPr>
            <w:tcW w:w="4649" w:type="dxa"/>
          </w:tcPr>
          <w:p>
            <w:pPr>
              <w:pStyle w:val="0"/>
              <w:jc w:val="both"/>
            </w:pPr>
            <w:r>
              <w:rPr>
                <w:sz w:val="20"/>
              </w:rPr>
              <w:t xml:space="preserve">Детей от 0 до 4 лет включительно</w:t>
            </w:r>
          </w:p>
        </w:tc>
        <w:tc>
          <w:tcPr>
            <w:tcW w:w="963" w:type="dxa"/>
          </w:tcPr>
          <w:p>
            <w:pPr>
              <w:pStyle w:val="0"/>
              <w:jc w:val="center"/>
            </w:pPr>
            <w:r>
              <w:rPr>
                <w:sz w:val="20"/>
              </w:rPr>
              <w:t xml:space="preserve">25893</w:t>
            </w:r>
          </w:p>
        </w:tc>
        <w:tc>
          <w:tcPr>
            <w:tcW w:w="963" w:type="dxa"/>
          </w:tcPr>
          <w:p>
            <w:pPr>
              <w:pStyle w:val="0"/>
              <w:jc w:val="center"/>
            </w:pPr>
            <w:r>
              <w:rPr>
                <w:sz w:val="20"/>
              </w:rPr>
              <w:t xml:space="preserve">25917</w:t>
            </w:r>
          </w:p>
        </w:tc>
        <w:tc>
          <w:tcPr>
            <w:tcW w:w="963" w:type="dxa"/>
          </w:tcPr>
          <w:p>
            <w:pPr>
              <w:pStyle w:val="0"/>
              <w:jc w:val="center"/>
            </w:pPr>
            <w:r>
              <w:rPr>
                <w:sz w:val="20"/>
              </w:rPr>
              <w:t xml:space="preserve">25563</w:t>
            </w:r>
          </w:p>
        </w:tc>
        <w:tc>
          <w:tcPr>
            <w:tcW w:w="1531" w:type="dxa"/>
          </w:tcPr>
          <w:p>
            <w:pPr>
              <w:pStyle w:val="0"/>
              <w:jc w:val="center"/>
            </w:pPr>
            <w:r>
              <w:rPr>
                <w:sz w:val="20"/>
              </w:rPr>
              <w:t xml:space="preserve">-354</w:t>
            </w:r>
          </w:p>
        </w:tc>
      </w:tr>
      <w:tr>
        <w:tc>
          <w:tcPr>
            <w:tcW w:w="4649" w:type="dxa"/>
          </w:tcPr>
          <w:p>
            <w:pPr>
              <w:pStyle w:val="0"/>
              <w:jc w:val="both"/>
            </w:pPr>
            <w:r>
              <w:rPr>
                <w:sz w:val="20"/>
              </w:rPr>
              <w:t xml:space="preserve">Смертность детей от 0 до 4 лет вкл. на 100000 детей соответствующего возраста</w:t>
            </w:r>
          </w:p>
        </w:tc>
        <w:tc>
          <w:tcPr>
            <w:tcW w:w="963" w:type="dxa"/>
          </w:tcPr>
          <w:p>
            <w:pPr>
              <w:pStyle w:val="0"/>
              <w:jc w:val="center"/>
            </w:pPr>
            <w:r>
              <w:rPr>
                <w:sz w:val="20"/>
              </w:rPr>
              <w:t xml:space="preserve">73,38</w:t>
            </w:r>
          </w:p>
        </w:tc>
        <w:tc>
          <w:tcPr>
            <w:tcW w:w="963" w:type="dxa"/>
          </w:tcPr>
          <w:p>
            <w:pPr>
              <w:pStyle w:val="0"/>
              <w:jc w:val="center"/>
            </w:pPr>
            <w:r>
              <w:rPr>
                <w:sz w:val="20"/>
              </w:rPr>
              <w:t xml:space="preserve">77,17</w:t>
            </w:r>
          </w:p>
        </w:tc>
        <w:tc>
          <w:tcPr>
            <w:tcW w:w="963" w:type="dxa"/>
          </w:tcPr>
          <w:p>
            <w:pPr>
              <w:pStyle w:val="0"/>
              <w:jc w:val="center"/>
            </w:pPr>
            <w:r>
              <w:rPr>
                <w:sz w:val="20"/>
              </w:rPr>
              <w:t xml:space="preserve">66,50</w:t>
            </w:r>
          </w:p>
        </w:tc>
        <w:tc>
          <w:tcPr>
            <w:tcW w:w="1531" w:type="dxa"/>
          </w:tcPr>
          <w:p>
            <w:pPr>
              <w:pStyle w:val="0"/>
              <w:jc w:val="center"/>
            </w:pPr>
            <w:r>
              <w:rPr>
                <w:sz w:val="20"/>
              </w:rPr>
              <w:t xml:space="preserve">-13,83</w:t>
            </w:r>
          </w:p>
        </w:tc>
      </w:tr>
      <w:tr>
        <w:tc>
          <w:tcPr>
            <w:tcW w:w="4649" w:type="dxa"/>
          </w:tcPr>
          <w:p>
            <w:pPr>
              <w:pStyle w:val="0"/>
              <w:jc w:val="both"/>
            </w:pPr>
            <w:r>
              <w:rPr>
                <w:sz w:val="20"/>
              </w:rPr>
              <w:t xml:space="preserve">Смертность детей в возрасте 0 - 4 года на 1000 родившихся живыми</w:t>
            </w:r>
          </w:p>
        </w:tc>
        <w:tc>
          <w:tcPr>
            <w:tcW w:w="963" w:type="dxa"/>
          </w:tcPr>
          <w:p>
            <w:pPr>
              <w:pStyle w:val="0"/>
              <w:jc w:val="center"/>
            </w:pPr>
            <w:r>
              <w:rPr>
                <w:sz w:val="20"/>
              </w:rPr>
              <w:t xml:space="preserve">4,35</w:t>
            </w:r>
          </w:p>
        </w:tc>
        <w:tc>
          <w:tcPr>
            <w:tcW w:w="963" w:type="dxa"/>
          </w:tcPr>
          <w:p>
            <w:pPr>
              <w:pStyle w:val="0"/>
              <w:jc w:val="center"/>
            </w:pPr>
            <w:r>
              <w:rPr>
                <w:sz w:val="20"/>
              </w:rPr>
              <w:t xml:space="preserve">4,69</w:t>
            </w:r>
          </w:p>
        </w:tc>
        <w:tc>
          <w:tcPr>
            <w:tcW w:w="963" w:type="dxa"/>
          </w:tcPr>
          <w:p>
            <w:pPr>
              <w:pStyle w:val="0"/>
              <w:jc w:val="center"/>
            </w:pPr>
            <w:r>
              <w:rPr>
                <w:sz w:val="20"/>
              </w:rPr>
              <w:t xml:space="preserve">4,02</w:t>
            </w:r>
          </w:p>
        </w:tc>
        <w:tc>
          <w:tcPr>
            <w:tcW w:w="1531" w:type="dxa"/>
          </w:tcPr>
          <w:p>
            <w:pPr>
              <w:pStyle w:val="0"/>
              <w:jc w:val="center"/>
            </w:pPr>
            <w:r>
              <w:rPr>
                <w:sz w:val="20"/>
              </w:rPr>
              <w:t xml:space="preserve">-14,29</w:t>
            </w:r>
          </w:p>
        </w:tc>
      </w:tr>
      <w:tr>
        <w:tc>
          <w:tcPr>
            <w:tcW w:w="4649" w:type="dxa"/>
          </w:tcPr>
          <w:p>
            <w:pPr>
              <w:pStyle w:val="0"/>
              <w:jc w:val="both"/>
            </w:pPr>
            <w:r>
              <w:rPr>
                <w:sz w:val="20"/>
              </w:rPr>
              <w:t xml:space="preserve">Умерло детей от 0 до 17 лет включительно</w:t>
            </w:r>
          </w:p>
        </w:tc>
        <w:tc>
          <w:tcPr>
            <w:tcW w:w="963" w:type="dxa"/>
          </w:tcPr>
          <w:p>
            <w:pPr>
              <w:pStyle w:val="0"/>
              <w:jc w:val="center"/>
            </w:pPr>
            <w:r>
              <w:rPr>
                <w:sz w:val="20"/>
              </w:rPr>
              <w:t xml:space="preserve">25</w:t>
            </w:r>
          </w:p>
        </w:tc>
        <w:tc>
          <w:tcPr>
            <w:tcW w:w="963" w:type="dxa"/>
          </w:tcPr>
          <w:p>
            <w:pPr>
              <w:pStyle w:val="0"/>
              <w:jc w:val="center"/>
            </w:pPr>
            <w:r>
              <w:rPr>
                <w:sz w:val="20"/>
              </w:rPr>
              <w:t xml:space="preserve">34</w:t>
            </w:r>
          </w:p>
        </w:tc>
        <w:tc>
          <w:tcPr>
            <w:tcW w:w="963" w:type="dxa"/>
          </w:tcPr>
          <w:p>
            <w:pPr>
              <w:pStyle w:val="0"/>
              <w:jc w:val="center"/>
            </w:pPr>
            <w:r>
              <w:rPr>
                <w:sz w:val="20"/>
              </w:rPr>
              <w:t xml:space="preserve">25</w:t>
            </w:r>
          </w:p>
        </w:tc>
        <w:tc>
          <w:tcPr>
            <w:tcW w:w="1531" w:type="dxa"/>
          </w:tcPr>
          <w:p>
            <w:pPr>
              <w:pStyle w:val="0"/>
              <w:jc w:val="center"/>
            </w:pPr>
            <w:r>
              <w:rPr>
                <w:sz w:val="20"/>
              </w:rPr>
              <w:t xml:space="preserve">-9</w:t>
            </w:r>
          </w:p>
        </w:tc>
      </w:tr>
      <w:tr>
        <w:tc>
          <w:tcPr>
            <w:tcW w:w="4649" w:type="dxa"/>
          </w:tcPr>
          <w:p>
            <w:pPr>
              <w:pStyle w:val="0"/>
              <w:jc w:val="both"/>
            </w:pPr>
            <w:r>
              <w:rPr>
                <w:sz w:val="20"/>
              </w:rPr>
              <w:t xml:space="preserve">Детей от 0 до 17 лет включительно</w:t>
            </w:r>
          </w:p>
        </w:tc>
        <w:tc>
          <w:tcPr>
            <w:tcW w:w="963" w:type="dxa"/>
          </w:tcPr>
          <w:p>
            <w:pPr>
              <w:pStyle w:val="0"/>
              <w:jc w:val="center"/>
            </w:pPr>
            <w:r>
              <w:rPr>
                <w:sz w:val="20"/>
              </w:rPr>
              <w:t xml:space="preserve">80984</w:t>
            </w:r>
          </w:p>
        </w:tc>
        <w:tc>
          <w:tcPr>
            <w:tcW w:w="963" w:type="dxa"/>
          </w:tcPr>
          <w:p>
            <w:pPr>
              <w:pStyle w:val="0"/>
              <w:jc w:val="center"/>
            </w:pPr>
            <w:r>
              <w:rPr>
                <w:sz w:val="20"/>
              </w:rPr>
              <w:t xml:space="preserve">83464</w:t>
            </w:r>
          </w:p>
        </w:tc>
        <w:tc>
          <w:tcPr>
            <w:tcW w:w="963" w:type="dxa"/>
          </w:tcPr>
          <w:p>
            <w:pPr>
              <w:pStyle w:val="0"/>
              <w:jc w:val="center"/>
            </w:pPr>
            <w:r>
              <w:rPr>
                <w:sz w:val="20"/>
              </w:rPr>
              <w:t xml:space="preserve">85823</w:t>
            </w:r>
          </w:p>
        </w:tc>
        <w:tc>
          <w:tcPr>
            <w:tcW w:w="1531" w:type="dxa"/>
          </w:tcPr>
          <w:p>
            <w:pPr>
              <w:pStyle w:val="0"/>
              <w:jc w:val="center"/>
            </w:pPr>
            <w:r>
              <w:rPr>
                <w:sz w:val="20"/>
              </w:rPr>
              <w:t xml:space="preserve">2359</w:t>
            </w:r>
          </w:p>
        </w:tc>
      </w:tr>
      <w:tr>
        <w:tc>
          <w:tcPr>
            <w:tcW w:w="4649" w:type="dxa"/>
          </w:tcPr>
          <w:p>
            <w:pPr>
              <w:pStyle w:val="0"/>
              <w:jc w:val="both"/>
            </w:pPr>
            <w:r>
              <w:rPr>
                <w:sz w:val="20"/>
              </w:rPr>
              <w:t xml:space="preserve">Смертность детей от 0 до 17 лет включительно на 100000 детей соответствующего возраста</w:t>
            </w:r>
          </w:p>
        </w:tc>
        <w:tc>
          <w:tcPr>
            <w:tcW w:w="963" w:type="dxa"/>
          </w:tcPr>
          <w:p>
            <w:pPr>
              <w:pStyle w:val="0"/>
              <w:jc w:val="center"/>
            </w:pPr>
            <w:r>
              <w:rPr>
                <w:sz w:val="20"/>
              </w:rPr>
              <w:t xml:space="preserve">30,87</w:t>
            </w:r>
          </w:p>
        </w:tc>
        <w:tc>
          <w:tcPr>
            <w:tcW w:w="963" w:type="dxa"/>
          </w:tcPr>
          <w:p>
            <w:pPr>
              <w:pStyle w:val="0"/>
              <w:jc w:val="center"/>
            </w:pPr>
            <w:r>
              <w:rPr>
                <w:sz w:val="20"/>
              </w:rPr>
              <w:t xml:space="preserve">40,74</w:t>
            </w:r>
          </w:p>
        </w:tc>
        <w:tc>
          <w:tcPr>
            <w:tcW w:w="963" w:type="dxa"/>
          </w:tcPr>
          <w:p>
            <w:pPr>
              <w:pStyle w:val="0"/>
              <w:jc w:val="center"/>
            </w:pPr>
            <w:r>
              <w:rPr>
                <w:sz w:val="20"/>
              </w:rPr>
              <w:t xml:space="preserve">29,13</w:t>
            </w:r>
          </w:p>
        </w:tc>
        <w:tc>
          <w:tcPr>
            <w:tcW w:w="1531" w:type="dxa"/>
          </w:tcPr>
          <w:p>
            <w:pPr>
              <w:pStyle w:val="0"/>
              <w:jc w:val="center"/>
            </w:pPr>
            <w:r>
              <w:rPr>
                <w:sz w:val="20"/>
              </w:rPr>
              <w:t xml:space="preserve">-28,50</w:t>
            </w:r>
          </w:p>
        </w:tc>
      </w:tr>
      <w:tr>
        <w:tc>
          <w:tcPr>
            <w:tcW w:w="4649" w:type="dxa"/>
          </w:tcPr>
          <w:p>
            <w:pPr>
              <w:pStyle w:val="0"/>
              <w:jc w:val="both"/>
            </w:pPr>
            <w:r>
              <w:rPr>
                <w:sz w:val="20"/>
              </w:rPr>
              <w:t xml:space="preserve">Умерло детей от 1 до 17 лет включительно</w:t>
            </w:r>
          </w:p>
        </w:tc>
        <w:tc>
          <w:tcPr>
            <w:tcW w:w="963" w:type="dxa"/>
          </w:tcPr>
          <w:p>
            <w:pPr>
              <w:pStyle w:val="0"/>
              <w:jc w:val="center"/>
            </w:pPr>
            <w:r>
              <w:rPr>
                <w:sz w:val="20"/>
              </w:rPr>
              <w:t xml:space="preserve">12</w:t>
            </w:r>
          </w:p>
        </w:tc>
        <w:tc>
          <w:tcPr>
            <w:tcW w:w="963" w:type="dxa"/>
          </w:tcPr>
          <w:p>
            <w:pPr>
              <w:pStyle w:val="0"/>
              <w:jc w:val="center"/>
            </w:pPr>
            <w:r>
              <w:rPr>
                <w:sz w:val="20"/>
              </w:rPr>
              <w:t xml:space="preserve">19</w:t>
            </w:r>
          </w:p>
        </w:tc>
        <w:tc>
          <w:tcPr>
            <w:tcW w:w="963" w:type="dxa"/>
          </w:tcPr>
          <w:p>
            <w:pPr>
              <w:pStyle w:val="0"/>
              <w:jc w:val="center"/>
            </w:pPr>
            <w:r>
              <w:rPr>
                <w:sz w:val="20"/>
              </w:rPr>
              <w:t xml:space="preserve">10</w:t>
            </w:r>
          </w:p>
        </w:tc>
        <w:tc>
          <w:tcPr>
            <w:tcW w:w="1531" w:type="dxa"/>
          </w:tcPr>
          <w:p>
            <w:pPr>
              <w:pStyle w:val="0"/>
              <w:jc w:val="center"/>
            </w:pPr>
            <w:r>
              <w:rPr>
                <w:sz w:val="20"/>
              </w:rPr>
              <w:t xml:space="preserve">-9</w:t>
            </w:r>
          </w:p>
        </w:tc>
      </w:tr>
      <w:tr>
        <w:tc>
          <w:tcPr>
            <w:tcW w:w="4649" w:type="dxa"/>
          </w:tcPr>
          <w:p>
            <w:pPr>
              <w:pStyle w:val="0"/>
              <w:jc w:val="both"/>
            </w:pPr>
            <w:r>
              <w:rPr>
                <w:sz w:val="20"/>
              </w:rPr>
              <w:t xml:space="preserve">Детей от 1 до 17 лет включительно</w:t>
            </w:r>
          </w:p>
        </w:tc>
        <w:tc>
          <w:tcPr>
            <w:tcW w:w="963" w:type="dxa"/>
          </w:tcPr>
          <w:p>
            <w:pPr>
              <w:pStyle w:val="0"/>
              <w:jc w:val="center"/>
            </w:pPr>
            <w:r>
              <w:rPr>
                <w:sz w:val="20"/>
              </w:rPr>
              <w:t xml:space="preserve">76105</w:t>
            </w:r>
          </w:p>
        </w:tc>
        <w:tc>
          <w:tcPr>
            <w:tcW w:w="963" w:type="dxa"/>
          </w:tcPr>
          <w:p>
            <w:pPr>
              <w:pStyle w:val="0"/>
              <w:jc w:val="center"/>
            </w:pPr>
            <w:r>
              <w:rPr>
                <w:sz w:val="20"/>
              </w:rPr>
              <w:t xml:space="preserve">78968</w:t>
            </w:r>
          </w:p>
        </w:tc>
        <w:tc>
          <w:tcPr>
            <w:tcW w:w="963" w:type="dxa"/>
          </w:tcPr>
          <w:p>
            <w:pPr>
              <w:pStyle w:val="0"/>
              <w:jc w:val="center"/>
            </w:pPr>
            <w:r>
              <w:rPr>
                <w:sz w:val="20"/>
              </w:rPr>
              <w:t xml:space="preserve">81494</w:t>
            </w:r>
          </w:p>
        </w:tc>
        <w:tc>
          <w:tcPr>
            <w:tcW w:w="1531" w:type="dxa"/>
          </w:tcPr>
          <w:p>
            <w:pPr>
              <w:pStyle w:val="0"/>
              <w:jc w:val="center"/>
            </w:pPr>
            <w:r>
              <w:rPr>
                <w:sz w:val="20"/>
              </w:rPr>
              <w:t xml:space="preserve">2526</w:t>
            </w:r>
          </w:p>
        </w:tc>
      </w:tr>
      <w:tr>
        <w:tc>
          <w:tcPr>
            <w:tcW w:w="4649" w:type="dxa"/>
          </w:tcPr>
          <w:p>
            <w:pPr>
              <w:pStyle w:val="0"/>
              <w:jc w:val="both"/>
            </w:pPr>
            <w:r>
              <w:rPr>
                <w:sz w:val="20"/>
              </w:rPr>
              <w:t xml:space="preserve">Смертность детей от 1 до 17 лет включительно на 100000 детей соответствующего возраста</w:t>
            </w:r>
          </w:p>
        </w:tc>
        <w:tc>
          <w:tcPr>
            <w:tcW w:w="963" w:type="dxa"/>
          </w:tcPr>
          <w:p>
            <w:pPr>
              <w:pStyle w:val="0"/>
              <w:jc w:val="center"/>
            </w:pPr>
            <w:r>
              <w:rPr>
                <w:sz w:val="20"/>
              </w:rPr>
              <w:t xml:space="preserve">15,77</w:t>
            </w:r>
          </w:p>
        </w:tc>
        <w:tc>
          <w:tcPr>
            <w:tcW w:w="963" w:type="dxa"/>
          </w:tcPr>
          <w:p>
            <w:pPr>
              <w:pStyle w:val="0"/>
              <w:jc w:val="center"/>
            </w:pPr>
            <w:r>
              <w:rPr>
                <w:sz w:val="20"/>
              </w:rPr>
              <w:t xml:space="preserve">24,06</w:t>
            </w:r>
          </w:p>
        </w:tc>
        <w:tc>
          <w:tcPr>
            <w:tcW w:w="963" w:type="dxa"/>
          </w:tcPr>
          <w:p>
            <w:pPr>
              <w:pStyle w:val="0"/>
              <w:jc w:val="center"/>
            </w:pPr>
            <w:r>
              <w:rPr>
                <w:sz w:val="20"/>
              </w:rPr>
              <w:t xml:space="preserve">12,27</w:t>
            </w:r>
          </w:p>
        </w:tc>
        <w:tc>
          <w:tcPr>
            <w:tcW w:w="1531" w:type="dxa"/>
          </w:tcPr>
          <w:p>
            <w:pPr>
              <w:pStyle w:val="0"/>
              <w:jc w:val="center"/>
            </w:pPr>
            <w:r>
              <w:rPr>
                <w:sz w:val="20"/>
              </w:rPr>
              <w:t xml:space="preserve">-49,00</w:t>
            </w:r>
          </w:p>
        </w:tc>
      </w:tr>
    </w:tbl>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2"/>
        <w:gridCol w:w="1701"/>
        <w:gridCol w:w="2268"/>
      </w:tblGrid>
      <w:tr>
        <w:tc>
          <w:tcPr>
            <w:gridSpan w:val="3"/>
            <w:tcW w:w="9071" w:type="dxa"/>
          </w:tcPr>
          <w:p>
            <w:pPr>
              <w:pStyle w:val="0"/>
              <w:jc w:val="center"/>
            </w:pPr>
            <w:r>
              <w:rPr>
                <w:sz w:val="20"/>
              </w:rPr>
              <w:t xml:space="preserve">Причины младенческой смертности по городу Севастополю за январь - декабрь 2018 - 2020 гг. (на 10000 родившихся живыми)</w:t>
            </w:r>
          </w:p>
        </w:tc>
      </w:tr>
      <w:tr>
        <w:tc>
          <w:tcPr>
            <w:tcW w:w="5102" w:type="dxa"/>
            <w:vMerge w:val="restart"/>
          </w:tcPr>
          <w:p>
            <w:pPr>
              <w:pStyle w:val="0"/>
              <w:jc w:val="center"/>
            </w:pPr>
            <w:r>
              <w:rPr>
                <w:sz w:val="20"/>
              </w:rPr>
            </w:r>
          </w:p>
        </w:tc>
        <w:tc>
          <w:tcPr>
            <w:tcW w:w="1701" w:type="dxa"/>
          </w:tcPr>
          <w:p>
            <w:pPr>
              <w:pStyle w:val="0"/>
              <w:jc w:val="center"/>
            </w:pPr>
            <w:r>
              <w:rPr>
                <w:sz w:val="20"/>
              </w:rPr>
            </w:r>
          </w:p>
        </w:tc>
        <w:tc>
          <w:tcPr>
            <w:tcW w:w="2268" w:type="dxa"/>
            <w:vMerge w:val="restart"/>
          </w:tcPr>
          <w:p>
            <w:pPr>
              <w:pStyle w:val="0"/>
              <w:jc w:val="center"/>
            </w:pPr>
            <w:r>
              <w:rPr>
                <w:sz w:val="20"/>
              </w:rPr>
              <w:t xml:space="preserve">Показатель 2020 г.</w:t>
            </w:r>
          </w:p>
        </w:tc>
      </w:tr>
      <w:tr>
        <w:tc>
          <w:tcPr>
            <w:vMerge w:val="continue"/>
          </w:tcPr>
          <w:p/>
        </w:tc>
        <w:tc>
          <w:tcPr>
            <w:tcW w:w="1701" w:type="dxa"/>
          </w:tcPr>
          <w:p>
            <w:pPr>
              <w:pStyle w:val="0"/>
              <w:jc w:val="center"/>
            </w:pPr>
            <w:r>
              <w:rPr>
                <w:sz w:val="20"/>
              </w:rPr>
              <w:t xml:space="preserve">2020 г.</w:t>
            </w:r>
          </w:p>
        </w:tc>
        <w:tc>
          <w:tcPr>
            <w:vMerge w:val="continue"/>
          </w:tcPr>
          <w:p/>
        </w:tc>
      </w:tr>
      <w:tr>
        <w:tc>
          <w:tcPr>
            <w:tcW w:w="5102" w:type="dxa"/>
          </w:tcPr>
          <w:p>
            <w:pPr>
              <w:pStyle w:val="0"/>
              <w:jc w:val="both"/>
            </w:pPr>
            <w:r>
              <w:rPr>
                <w:sz w:val="20"/>
              </w:rPr>
              <w:t xml:space="preserve">Число родившихся живыми</w:t>
            </w:r>
          </w:p>
        </w:tc>
        <w:tc>
          <w:tcPr>
            <w:tcW w:w="1701" w:type="dxa"/>
          </w:tcPr>
          <w:p>
            <w:pPr>
              <w:pStyle w:val="0"/>
              <w:jc w:val="center"/>
            </w:pPr>
            <w:r>
              <w:rPr>
                <w:sz w:val="20"/>
              </w:rPr>
              <w:t xml:space="preserve">4225</w:t>
            </w:r>
          </w:p>
        </w:tc>
        <w:tc>
          <w:tcPr>
            <w:tcW w:w="2268" w:type="dxa"/>
          </w:tcPr>
          <w:p>
            <w:pPr>
              <w:pStyle w:val="0"/>
              <w:jc w:val="center"/>
            </w:pPr>
            <w:r>
              <w:rPr>
                <w:sz w:val="20"/>
              </w:rPr>
            </w:r>
          </w:p>
        </w:tc>
      </w:tr>
      <w:tr>
        <w:tc>
          <w:tcPr>
            <w:tcW w:w="5102" w:type="dxa"/>
          </w:tcPr>
          <w:p>
            <w:pPr>
              <w:pStyle w:val="0"/>
              <w:jc w:val="both"/>
            </w:pPr>
            <w:r>
              <w:rPr>
                <w:sz w:val="20"/>
              </w:rPr>
              <w:t xml:space="preserve">Все причины</w:t>
            </w:r>
          </w:p>
        </w:tc>
        <w:tc>
          <w:tcPr>
            <w:tcW w:w="1701" w:type="dxa"/>
          </w:tcPr>
          <w:p>
            <w:pPr>
              <w:pStyle w:val="0"/>
              <w:jc w:val="center"/>
            </w:pPr>
            <w:r>
              <w:rPr>
                <w:sz w:val="20"/>
              </w:rPr>
              <w:t xml:space="preserve">15</w:t>
            </w:r>
          </w:p>
        </w:tc>
        <w:tc>
          <w:tcPr>
            <w:tcW w:w="2268" w:type="dxa"/>
          </w:tcPr>
          <w:p>
            <w:pPr>
              <w:pStyle w:val="0"/>
              <w:jc w:val="center"/>
            </w:pPr>
            <w:r>
              <w:rPr>
                <w:sz w:val="20"/>
              </w:rPr>
              <w:t xml:space="preserve">35,50</w:t>
            </w:r>
          </w:p>
        </w:tc>
      </w:tr>
      <w:tr>
        <w:tc>
          <w:tcPr>
            <w:tcW w:w="5102" w:type="dxa"/>
          </w:tcPr>
          <w:p>
            <w:pPr>
              <w:pStyle w:val="0"/>
              <w:jc w:val="both"/>
            </w:pPr>
            <w:r>
              <w:rPr>
                <w:sz w:val="20"/>
              </w:rPr>
              <w:t xml:space="preserve">Инфекционные и паразитарные болезни</w:t>
            </w:r>
          </w:p>
        </w:tc>
        <w:tc>
          <w:tcPr>
            <w:tcW w:w="1701" w:type="dxa"/>
          </w:tcPr>
          <w:p>
            <w:pPr>
              <w:pStyle w:val="0"/>
              <w:jc w:val="center"/>
            </w:pPr>
            <w:r>
              <w:rPr>
                <w:sz w:val="20"/>
              </w:rPr>
              <w:t xml:space="preserve">0</w:t>
            </w:r>
          </w:p>
        </w:tc>
        <w:tc>
          <w:tcPr>
            <w:tcW w:w="2268" w:type="dxa"/>
          </w:tcPr>
          <w:p>
            <w:pPr>
              <w:pStyle w:val="0"/>
              <w:jc w:val="center"/>
            </w:pPr>
            <w:r>
              <w:rPr>
                <w:sz w:val="20"/>
              </w:rPr>
              <w:t xml:space="preserve">0,00</w:t>
            </w:r>
          </w:p>
        </w:tc>
      </w:tr>
      <w:tr>
        <w:tc>
          <w:tcPr>
            <w:tcW w:w="5102" w:type="dxa"/>
          </w:tcPr>
          <w:p>
            <w:pPr>
              <w:pStyle w:val="0"/>
              <w:jc w:val="both"/>
            </w:pPr>
            <w:r>
              <w:rPr>
                <w:sz w:val="20"/>
              </w:rPr>
              <w:t xml:space="preserve">из них: кишечные инфекции</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менингококковая инфекция</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септицемия</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Новообразования</w:t>
            </w:r>
          </w:p>
        </w:tc>
        <w:tc>
          <w:tcPr>
            <w:tcW w:w="1701" w:type="dxa"/>
          </w:tcPr>
          <w:p>
            <w:pPr>
              <w:pStyle w:val="0"/>
              <w:jc w:val="center"/>
            </w:pPr>
            <w:r>
              <w:rPr>
                <w:sz w:val="20"/>
              </w:rPr>
              <w:t xml:space="preserve">0</w:t>
            </w:r>
          </w:p>
        </w:tc>
        <w:tc>
          <w:tcPr>
            <w:tcW w:w="2268" w:type="dxa"/>
          </w:tcPr>
          <w:p>
            <w:pPr>
              <w:pStyle w:val="0"/>
              <w:jc w:val="center"/>
            </w:pPr>
            <w:r>
              <w:rPr>
                <w:sz w:val="20"/>
              </w:rPr>
              <w:t xml:space="preserve">0,00</w:t>
            </w:r>
          </w:p>
        </w:tc>
      </w:tr>
      <w:tr>
        <w:tc>
          <w:tcPr>
            <w:tcW w:w="5102" w:type="dxa"/>
          </w:tcPr>
          <w:p>
            <w:pPr>
              <w:pStyle w:val="0"/>
              <w:jc w:val="both"/>
            </w:pPr>
            <w:r>
              <w:rPr>
                <w:sz w:val="20"/>
              </w:rPr>
              <w:t xml:space="preserve">из них: злокачественные новообразования</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другие новообразования</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Болезни крови и кроветворных органов</w:t>
            </w:r>
          </w:p>
        </w:tc>
        <w:tc>
          <w:tcPr>
            <w:tcW w:w="1701" w:type="dxa"/>
          </w:tcPr>
          <w:p>
            <w:pPr>
              <w:pStyle w:val="0"/>
              <w:jc w:val="center"/>
            </w:pPr>
            <w:r>
              <w:rPr>
                <w:sz w:val="20"/>
              </w:rPr>
              <w:t xml:space="preserve">0</w:t>
            </w:r>
          </w:p>
        </w:tc>
        <w:tc>
          <w:tcPr>
            <w:tcW w:w="2268" w:type="dxa"/>
          </w:tcPr>
          <w:p>
            <w:pPr>
              <w:pStyle w:val="0"/>
              <w:jc w:val="center"/>
            </w:pPr>
            <w:r>
              <w:rPr>
                <w:sz w:val="20"/>
              </w:rPr>
              <w:t xml:space="preserve">0,00</w:t>
            </w:r>
          </w:p>
        </w:tc>
      </w:tr>
      <w:tr>
        <w:tc>
          <w:tcPr>
            <w:tcW w:w="5102" w:type="dxa"/>
          </w:tcPr>
          <w:p>
            <w:pPr>
              <w:pStyle w:val="0"/>
              <w:jc w:val="both"/>
            </w:pPr>
            <w:r>
              <w:rPr>
                <w:sz w:val="20"/>
              </w:rPr>
              <w:t xml:space="preserve">Болезни эндокринной системы</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Болезни нервной системы</w:t>
            </w:r>
          </w:p>
        </w:tc>
        <w:tc>
          <w:tcPr>
            <w:tcW w:w="1701" w:type="dxa"/>
          </w:tcPr>
          <w:p>
            <w:pPr>
              <w:pStyle w:val="0"/>
              <w:jc w:val="center"/>
            </w:pPr>
            <w:r>
              <w:rPr>
                <w:sz w:val="20"/>
              </w:rPr>
              <w:t xml:space="preserve">1</w:t>
            </w:r>
          </w:p>
        </w:tc>
        <w:tc>
          <w:tcPr>
            <w:tcW w:w="2268" w:type="dxa"/>
          </w:tcPr>
          <w:p>
            <w:pPr>
              <w:pStyle w:val="0"/>
              <w:jc w:val="center"/>
            </w:pPr>
            <w:r>
              <w:rPr>
                <w:sz w:val="20"/>
              </w:rPr>
              <w:t xml:space="preserve">2,37</w:t>
            </w:r>
          </w:p>
        </w:tc>
      </w:tr>
      <w:tr>
        <w:tc>
          <w:tcPr>
            <w:tcW w:w="5102" w:type="dxa"/>
          </w:tcPr>
          <w:p>
            <w:pPr>
              <w:pStyle w:val="0"/>
              <w:jc w:val="both"/>
            </w:pPr>
            <w:r>
              <w:rPr>
                <w:sz w:val="20"/>
              </w:rPr>
              <w:t xml:space="preserve">из них: менингит</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Болезни сосцевидного отростка</w:t>
            </w:r>
          </w:p>
        </w:tc>
        <w:tc>
          <w:tcPr>
            <w:tcW w:w="1701" w:type="dxa"/>
          </w:tcPr>
          <w:p>
            <w:pPr>
              <w:pStyle w:val="0"/>
              <w:jc w:val="center"/>
            </w:pPr>
            <w:r>
              <w:rPr>
                <w:sz w:val="20"/>
              </w:rPr>
              <w:t xml:space="preserve">0</w:t>
            </w:r>
          </w:p>
        </w:tc>
        <w:tc>
          <w:tcPr>
            <w:tcW w:w="2268" w:type="dxa"/>
          </w:tcPr>
          <w:p>
            <w:pPr>
              <w:pStyle w:val="0"/>
              <w:jc w:val="center"/>
            </w:pPr>
            <w:r>
              <w:rPr>
                <w:sz w:val="20"/>
              </w:rPr>
              <w:t xml:space="preserve">0,00</w:t>
            </w:r>
          </w:p>
        </w:tc>
      </w:tr>
      <w:tr>
        <w:tc>
          <w:tcPr>
            <w:tcW w:w="5102" w:type="dxa"/>
          </w:tcPr>
          <w:p>
            <w:pPr>
              <w:pStyle w:val="0"/>
              <w:jc w:val="both"/>
            </w:pPr>
            <w:r>
              <w:rPr>
                <w:sz w:val="20"/>
              </w:rPr>
              <w:t xml:space="preserve">Болезни системы кровообращения</w:t>
            </w:r>
          </w:p>
        </w:tc>
        <w:tc>
          <w:tcPr>
            <w:tcW w:w="1701" w:type="dxa"/>
          </w:tcPr>
          <w:p>
            <w:pPr>
              <w:pStyle w:val="0"/>
              <w:jc w:val="center"/>
            </w:pPr>
            <w:r>
              <w:rPr>
                <w:sz w:val="20"/>
              </w:rPr>
              <w:t xml:space="preserve">0</w:t>
            </w:r>
          </w:p>
        </w:tc>
        <w:tc>
          <w:tcPr>
            <w:tcW w:w="2268" w:type="dxa"/>
          </w:tcPr>
          <w:p>
            <w:pPr>
              <w:pStyle w:val="0"/>
              <w:jc w:val="center"/>
            </w:pPr>
            <w:r>
              <w:rPr>
                <w:sz w:val="20"/>
              </w:rPr>
              <w:t xml:space="preserve">0,00</w:t>
            </w:r>
          </w:p>
        </w:tc>
      </w:tr>
      <w:tr>
        <w:tc>
          <w:tcPr>
            <w:tcW w:w="5102" w:type="dxa"/>
          </w:tcPr>
          <w:p>
            <w:pPr>
              <w:pStyle w:val="0"/>
              <w:jc w:val="both"/>
            </w:pPr>
            <w:r>
              <w:rPr>
                <w:sz w:val="20"/>
              </w:rPr>
              <w:t xml:space="preserve">Болезни органов дыхания</w:t>
            </w:r>
          </w:p>
        </w:tc>
        <w:tc>
          <w:tcPr>
            <w:tcW w:w="1701" w:type="dxa"/>
          </w:tcPr>
          <w:p>
            <w:pPr>
              <w:pStyle w:val="0"/>
              <w:jc w:val="center"/>
            </w:pPr>
            <w:r>
              <w:rPr>
                <w:sz w:val="20"/>
              </w:rPr>
              <w:t xml:space="preserve">1</w:t>
            </w:r>
          </w:p>
        </w:tc>
        <w:tc>
          <w:tcPr>
            <w:tcW w:w="2268" w:type="dxa"/>
          </w:tcPr>
          <w:p>
            <w:pPr>
              <w:pStyle w:val="0"/>
              <w:jc w:val="center"/>
            </w:pPr>
            <w:r>
              <w:rPr>
                <w:sz w:val="20"/>
              </w:rPr>
              <w:t xml:space="preserve">2,37</w:t>
            </w:r>
          </w:p>
        </w:tc>
      </w:tr>
      <w:tr>
        <w:tc>
          <w:tcPr>
            <w:tcW w:w="5102" w:type="dxa"/>
          </w:tcPr>
          <w:p>
            <w:pPr>
              <w:pStyle w:val="0"/>
              <w:jc w:val="both"/>
            </w:pPr>
            <w:r>
              <w:rPr>
                <w:sz w:val="20"/>
              </w:rPr>
              <w:t xml:space="preserve">из них: пневмония</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другие острые респираторные инфекции</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Болезни органов пищеварения</w:t>
            </w:r>
          </w:p>
        </w:tc>
        <w:tc>
          <w:tcPr>
            <w:tcW w:w="1701" w:type="dxa"/>
          </w:tcPr>
          <w:p>
            <w:pPr>
              <w:pStyle w:val="0"/>
              <w:jc w:val="center"/>
            </w:pPr>
            <w:r>
              <w:rPr>
                <w:sz w:val="20"/>
              </w:rPr>
              <w:t xml:space="preserve">0</w:t>
            </w:r>
          </w:p>
        </w:tc>
        <w:tc>
          <w:tcPr>
            <w:tcW w:w="2268" w:type="dxa"/>
          </w:tcPr>
          <w:p>
            <w:pPr>
              <w:pStyle w:val="0"/>
              <w:jc w:val="center"/>
            </w:pPr>
            <w:r>
              <w:rPr>
                <w:sz w:val="20"/>
              </w:rPr>
              <w:t xml:space="preserve">0,00</w:t>
            </w:r>
          </w:p>
        </w:tc>
      </w:tr>
      <w:tr>
        <w:tc>
          <w:tcPr>
            <w:tcW w:w="5102" w:type="dxa"/>
          </w:tcPr>
          <w:p>
            <w:pPr>
              <w:pStyle w:val="0"/>
              <w:jc w:val="both"/>
            </w:pPr>
            <w:r>
              <w:rPr>
                <w:sz w:val="20"/>
              </w:rPr>
              <w:t xml:space="preserve">Болезни мочеполовой системы</w:t>
            </w:r>
          </w:p>
        </w:tc>
        <w:tc>
          <w:tcPr>
            <w:tcW w:w="1701" w:type="dxa"/>
          </w:tcPr>
          <w:p>
            <w:pPr>
              <w:pStyle w:val="0"/>
              <w:jc w:val="center"/>
            </w:pPr>
            <w:r>
              <w:rPr>
                <w:sz w:val="20"/>
              </w:rPr>
              <w:t xml:space="preserve">0</w:t>
            </w:r>
          </w:p>
        </w:tc>
        <w:tc>
          <w:tcPr>
            <w:tcW w:w="2268" w:type="dxa"/>
          </w:tcPr>
          <w:p>
            <w:pPr>
              <w:pStyle w:val="0"/>
              <w:jc w:val="center"/>
            </w:pPr>
            <w:r>
              <w:rPr>
                <w:sz w:val="20"/>
              </w:rPr>
              <w:t xml:space="preserve">0,00</w:t>
            </w:r>
          </w:p>
        </w:tc>
      </w:tr>
      <w:tr>
        <w:tc>
          <w:tcPr>
            <w:tcW w:w="5102" w:type="dxa"/>
          </w:tcPr>
          <w:p>
            <w:pPr>
              <w:pStyle w:val="0"/>
              <w:jc w:val="both"/>
            </w:pPr>
            <w:r>
              <w:rPr>
                <w:sz w:val="20"/>
              </w:rPr>
              <w:t xml:space="preserve">Отдельные состояния перинатального периода</w:t>
            </w:r>
          </w:p>
        </w:tc>
        <w:tc>
          <w:tcPr>
            <w:tcW w:w="1701" w:type="dxa"/>
          </w:tcPr>
          <w:p>
            <w:pPr>
              <w:pStyle w:val="0"/>
              <w:jc w:val="center"/>
            </w:pPr>
            <w:r>
              <w:rPr>
                <w:sz w:val="20"/>
              </w:rPr>
              <w:t xml:space="preserve">10</w:t>
            </w:r>
          </w:p>
        </w:tc>
        <w:tc>
          <w:tcPr>
            <w:tcW w:w="2268" w:type="dxa"/>
          </w:tcPr>
          <w:p>
            <w:pPr>
              <w:pStyle w:val="0"/>
              <w:jc w:val="center"/>
            </w:pPr>
            <w:r>
              <w:rPr>
                <w:sz w:val="20"/>
              </w:rPr>
              <w:t xml:space="preserve">23,67</w:t>
            </w:r>
          </w:p>
        </w:tc>
      </w:tr>
      <w:tr>
        <w:tc>
          <w:tcPr>
            <w:tcW w:w="5102" w:type="dxa"/>
          </w:tcPr>
          <w:p>
            <w:pPr>
              <w:pStyle w:val="0"/>
              <w:jc w:val="both"/>
            </w:pPr>
            <w:r>
              <w:rPr>
                <w:sz w:val="20"/>
              </w:rPr>
              <w:t xml:space="preserve">из них: родовая травма</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дыхательные и сердечно-сосудистые нарушения</w:t>
            </w:r>
          </w:p>
        </w:tc>
        <w:tc>
          <w:tcPr>
            <w:tcW w:w="1701" w:type="dxa"/>
          </w:tcPr>
          <w:p>
            <w:pPr>
              <w:pStyle w:val="0"/>
              <w:jc w:val="center"/>
            </w:pPr>
            <w:r>
              <w:rPr>
                <w:sz w:val="20"/>
              </w:rPr>
              <w:t xml:space="preserve">6</w:t>
            </w:r>
          </w:p>
        </w:tc>
        <w:tc>
          <w:tcPr>
            <w:tcW w:w="2268" w:type="dxa"/>
          </w:tcPr>
          <w:p>
            <w:pPr>
              <w:pStyle w:val="0"/>
              <w:jc w:val="center"/>
            </w:pPr>
            <w:r>
              <w:rPr>
                <w:sz w:val="20"/>
              </w:rPr>
              <w:t xml:space="preserve">14,20</w:t>
            </w:r>
          </w:p>
        </w:tc>
      </w:tr>
      <w:tr>
        <w:tc>
          <w:tcPr>
            <w:tcW w:w="5102" w:type="dxa"/>
          </w:tcPr>
          <w:p>
            <w:pPr>
              <w:pStyle w:val="0"/>
              <w:jc w:val="both"/>
            </w:pPr>
            <w:r>
              <w:rPr>
                <w:sz w:val="20"/>
              </w:rPr>
              <w:t xml:space="preserve">инфекции, специфические для перинатального периода</w:t>
            </w:r>
          </w:p>
        </w:tc>
        <w:tc>
          <w:tcPr>
            <w:tcW w:w="1701" w:type="dxa"/>
          </w:tcPr>
          <w:p>
            <w:pPr>
              <w:pStyle w:val="0"/>
              <w:jc w:val="center"/>
            </w:pPr>
            <w:r>
              <w:rPr>
                <w:sz w:val="20"/>
              </w:rPr>
              <w:t xml:space="preserve">1</w:t>
            </w:r>
          </w:p>
        </w:tc>
        <w:tc>
          <w:tcPr>
            <w:tcW w:w="2268" w:type="dxa"/>
          </w:tcPr>
          <w:p>
            <w:pPr>
              <w:pStyle w:val="0"/>
              <w:jc w:val="center"/>
            </w:pPr>
            <w:r>
              <w:rPr>
                <w:sz w:val="20"/>
              </w:rPr>
              <w:t xml:space="preserve">2,37</w:t>
            </w:r>
          </w:p>
        </w:tc>
      </w:tr>
      <w:tr>
        <w:tc>
          <w:tcPr>
            <w:tcW w:w="5102" w:type="dxa"/>
          </w:tcPr>
          <w:p>
            <w:pPr>
              <w:pStyle w:val="0"/>
              <w:jc w:val="both"/>
            </w:pPr>
            <w:r>
              <w:rPr>
                <w:sz w:val="20"/>
              </w:rPr>
              <w:t xml:space="preserve">геморрагические и гематологические нарушения</w:t>
            </w:r>
          </w:p>
        </w:tc>
        <w:tc>
          <w:tcPr>
            <w:tcW w:w="1701" w:type="dxa"/>
          </w:tcPr>
          <w:p>
            <w:pPr>
              <w:pStyle w:val="0"/>
              <w:jc w:val="center"/>
            </w:pPr>
            <w:r>
              <w:rPr>
                <w:sz w:val="20"/>
              </w:rPr>
              <w:t xml:space="preserve">1</w:t>
            </w:r>
          </w:p>
        </w:tc>
        <w:tc>
          <w:tcPr>
            <w:tcW w:w="2268" w:type="dxa"/>
          </w:tcPr>
          <w:p>
            <w:pPr>
              <w:pStyle w:val="0"/>
              <w:jc w:val="center"/>
            </w:pPr>
            <w:r>
              <w:rPr>
                <w:sz w:val="20"/>
              </w:rPr>
              <w:t xml:space="preserve">2,37</w:t>
            </w:r>
          </w:p>
        </w:tc>
      </w:tr>
      <w:tr>
        <w:tc>
          <w:tcPr>
            <w:tcW w:w="5102" w:type="dxa"/>
          </w:tcPr>
          <w:p>
            <w:pPr>
              <w:pStyle w:val="0"/>
              <w:jc w:val="both"/>
            </w:pPr>
            <w:r>
              <w:rPr>
                <w:sz w:val="20"/>
              </w:rPr>
              <w:t xml:space="preserve">преходящие эндокринные нарушения</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расстройства системы пищеварения</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состояния, вовлек. наружные покровы</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другие нарушения перинатального период</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Врожденные пороки развития</w:t>
            </w:r>
          </w:p>
        </w:tc>
        <w:tc>
          <w:tcPr>
            <w:tcW w:w="1701" w:type="dxa"/>
          </w:tcPr>
          <w:p>
            <w:pPr>
              <w:pStyle w:val="0"/>
              <w:jc w:val="center"/>
            </w:pPr>
            <w:r>
              <w:rPr>
                <w:sz w:val="20"/>
              </w:rPr>
              <w:t xml:space="preserve">1</w:t>
            </w:r>
          </w:p>
        </w:tc>
        <w:tc>
          <w:tcPr>
            <w:tcW w:w="2268" w:type="dxa"/>
          </w:tcPr>
          <w:p>
            <w:pPr>
              <w:pStyle w:val="0"/>
              <w:jc w:val="center"/>
            </w:pPr>
            <w:r>
              <w:rPr>
                <w:sz w:val="20"/>
              </w:rPr>
              <w:t xml:space="preserve">2,37</w:t>
            </w:r>
          </w:p>
        </w:tc>
      </w:tr>
      <w:tr>
        <w:tc>
          <w:tcPr>
            <w:tcW w:w="5102" w:type="dxa"/>
          </w:tcPr>
          <w:p>
            <w:pPr>
              <w:pStyle w:val="0"/>
              <w:jc w:val="both"/>
            </w:pPr>
            <w:r>
              <w:rPr>
                <w:sz w:val="20"/>
              </w:rPr>
              <w:t xml:space="preserve">из них: врожд. аномалии нервной системы</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врожд. аномалии глаза, уха, лица и шеи</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врожд. аномалии сист. кровообращения</w:t>
            </w:r>
          </w:p>
        </w:tc>
        <w:tc>
          <w:tcPr>
            <w:tcW w:w="1701" w:type="dxa"/>
          </w:tcPr>
          <w:p>
            <w:pPr>
              <w:pStyle w:val="0"/>
              <w:jc w:val="center"/>
            </w:pPr>
            <w:r>
              <w:rPr>
                <w:sz w:val="20"/>
              </w:rPr>
              <w:t xml:space="preserve">1</w:t>
            </w:r>
          </w:p>
        </w:tc>
        <w:tc>
          <w:tcPr>
            <w:tcW w:w="2268" w:type="dxa"/>
          </w:tcPr>
          <w:p>
            <w:pPr>
              <w:pStyle w:val="0"/>
              <w:jc w:val="center"/>
            </w:pPr>
            <w:r>
              <w:rPr>
                <w:sz w:val="20"/>
              </w:rPr>
              <w:t xml:space="preserve">2,37</w:t>
            </w:r>
          </w:p>
        </w:tc>
      </w:tr>
      <w:tr>
        <w:tc>
          <w:tcPr>
            <w:tcW w:w="5102" w:type="dxa"/>
          </w:tcPr>
          <w:p>
            <w:pPr>
              <w:pStyle w:val="0"/>
              <w:jc w:val="both"/>
            </w:pPr>
            <w:r>
              <w:rPr>
                <w:sz w:val="20"/>
              </w:rPr>
              <w:t xml:space="preserve">врожденные аномалии органов дыхания</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расщелина губы и неба</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другие аномалии органов пищеварения</w:t>
            </w:r>
          </w:p>
        </w:tc>
        <w:tc>
          <w:tcPr>
            <w:tcW w:w="1701" w:type="dxa"/>
          </w:tcPr>
          <w:p>
            <w:pPr>
              <w:pStyle w:val="0"/>
              <w:jc w:val="center"/>
            </w:pPr>
            <w:r>
              <w:rPr>
                <w:sz w:val="20"/>
              </w:rPr>
              <w:t xml:space="preserve">0</w:t>
            </w:r>
          </w:p>
        </w:tc>
        <w:tc>
          <w:tcPr>
            <w:tcW w:w="2268" w:type="dxa"/>
          </w:tcPr>
          <w:p>
            <w:pPr>
              <w:pStyle w:val="0"/>
              <w:jc w:val="center"/>
            </w:pPr>
            <w:r>
              <w:rPr>
                <w:sz w:val="20"/>
              </w:rPr>
              <w:t xml:space="preserve">0,00</w:t>
            </w:r>
          </w:p>
        </w:tc>
      </w:tr>
      <w:tr>
        <w:tc>
          <w:tcPr>
            <w:tcW w:w="5102" w:type="dxa"/>
          </w:tcPr>
          <w:p>
            <w:pPr>
              <w:pStyle w:val="0"/>
              <w:jc w:val="both"/>
            </w:pPr>
            <w:r>
              <w:rPr>
                <w:sz w:val="20"/>
              </w:rPr>
              <w:t xml:space="preserve">врожденные аномалии половых органов</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врожденные аномалии мочевой системы</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врожд. аномалии костно-мышечной сист.</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другие врожденные аномалии</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хромосомные аномалии</w:t>
            </w:r>
          </w:p>
        </w:tc>
        <w:tc>
          <w:tcPr>
            <w:tcW w:w="1701" w:type="dxa"/>
          </w:tcPr>
          <w:p>
            <w:pPr>
              <w:pStyle w:val="0"/>
              <w:jc w:val="center"/>
            </w:pPr>
            <w:r>
              <w:rPr>
                <w:sz w:val="20"/>
              </w:rPr>
            </w:r>
          </w:p>
        </w:tc>
        <w:tc>
          <w:tcPr>
            <w:tcW w:w="2268" w:type="dxa"/>
          </w:tcPr>
          <w:p>
            <w:pPr>
              <w:pStyle w:val="0"/>
              <w:jc w:val="center"/>
            </w:pPr>
            <w:r>
              <w:rPr>
                <w:sz w:val="20"/>
              </w:rPr>
              <w:t xml:space="preserve">0,00</w:t>
            </w:r>
          </w:p>
        </w:tc>
      </w:tr>
      <w:tr>
        <w:tc>
          <w:tcPr>
            <w:tcW w:w="5102" w:type="dxa"/>
          </w:tcPr>
          <w:p>
            <w:pPr>
              <w:pStyle w:val="0"/>
              <w:jc w:val="both"/>
            </w:pPr>
            <w:r>
              <w:rPr>
                <w:sz w:val="20"/>
              </w:rPr>
              <w:t xml:space="preserve">Синдромы, признаки и отклонения от нормы</w:t>
            </w:r>
          </w:p>
        </w:tc>
        <w:tc>
          <w:tcPr>
            <w:tcW w:w="1701" w:type="dxa"/>
          </w:tcPr>
          <w:p>
            <w:pPr>
              <w:pStyle w:val="0"/>
              <w:jc w:val="center"/>
            </w:pPr>
            <w:r>
              <w:rPr>
                <w:sz w:val="20"/>
              </w:rPr>
              <w:t xml:space="preserve">2</w:t>
            </w:r>
          </w:p>
        </w:tc>
        <w:tc>
          <w:tcPr>
            <w:tcW w:w="2268" w:type="dxa"/>
          </w:tcPr>
          <w:p>
            <w:pPr>
              <w:pStyle w:val="0"/>
              <w:jc w:val="center"/>
            </w:pPr>
            <w:r>
              <w:rPr>
                <w:sz w:val="20"/>
              </w:rPr>
              <w:t xml:space="preserve">4,73</w:t>
            </w:r>
          </w:p>
        </w:tc>
      </w:tr>
      <w:tr>
        <w:tc>
          <w:tcPr>
            <w:tcW w:w="5102" w:type="dxa"/>
          </w:tcPr>
          <w:p>
            <w:pPr>
              <w:pStyle w:val="0"/>
              <w:jc w:val="both"/>
            </w:pPr>
            <w:r>
              <w:rPr>
                <w:sz w:val="20"/>
              </w:rPr>
              <w:t xml:space="preserve">из них: синдром внезапной смерти</w:t>
            </w:r>
          </w:p>
        </w:tc>
        <w:tc>
          <w:tcPr>
            <w:tcW w:w="1701" w:type="dxa"/>
          </w:tcPr>
          <w:p>
            <w:pPr>
              <w:pStyle w:val="0"/>
              <w:jc w:val="center"/>
            </w:pPr>
            <w:r>
              <w:rPr>
                <w:sz w:val="20"/>
              </w:rPr>
              <w:t xml:space="preserve">2</w:t>
            </w:r>
          </w:p>
        </w:tc>
        <w:tc>
          <w:tcPr>
            <w:tcW w:w="2268" w:type="dxa"/>
          </w:tcPr>
          <w:p>
            <w:pPr>
              <w:pStyle w:val="0"/>
              <w:jc w:val="center"/>
            </w:pPr>
            <w:r>
              <w:rPr>
                <w:sz w:val="20"/>
              </w:rPr>
              <w:t xml:space="preserve">4,73</w:t>
            </w:r>
          </w:p>
        </w:tc>
      </w:tr>
      <w:tr>
        <w:tc>
          <w:tcPr>
            <w:tcW w:w="5102" w:type="dxa"/>
          </w:tcPr>
          <w:p>
            <w:pPr>
              <w:pStyle w:val="0"/>
              <w:jc w:val="both"/>
            </w:pPr>
            <w:r>
              <w:rPr>
                <w:sz w:val="20"/>
              </w:rPr>
              <w:t xml:space="preserve">Травмы и отравления</w:t>
            </w:r>
          </w:p>
        </w:tc>
        <w:tc>
          <w:tcPr>
            <w:tcW w:w="1701" w:type="dxa"/>
          </w:tcPr>
          <w:p>
            <w:pPr>
              <w:pStyle w:val="0"/>
              <w:jc w:val="center"/>
            </w:pPr>
            <w:r>
              <w:rPr>
                <w:sz w:val="20"/>
              </w:rPr>
              <w:t xml:space="preserve">0</w:t>
            </w:r>
          </w:p>
        </w:tc>
        <w:tc>
          <w:tcPr>
            <w:tcW w:w="2268" w:type="dxa"/>
          </w:tcPr>
          <w:p>
            <w:pPr>
              <w:pStyle w:val="0"/>
              <w:jc w:val="center"/>
            </w:pPr>
            <w:r>
              <w:rPr>
                <w:sz w:val="20"/>
              </w:rPr>
              <w:t xml:space="preserve">0,00</w:t>
            </w:r>
          </w:p>
        </w:tc>
      </w:tr>
    </w:tbl>
    <w:p>
      <w:pPr>
        <w:pStyle w:val="0"/>
      </w:pPr>
      <w:r>
        <w:rPr>
          <w:sz w:val="20"/>
        </w:rPr>
      </w:r>
    </w:p>
    <w:p>
      <w:pPr>
        <w:pStyle w:val="0"/>
        <w:jc w:val="center"/>
      </w:pPr>
      <w:r>
        <w:rPr>
          <w:sz w:val="20"/>
        </w:rPr>
        <w:t xml:space="preserve">Состояние здоровья детского населения</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8"/>
        <w:gridCol w:w="5499"/>
        <w:gridCol w:w="1501"/>
        <w:gridCol w:w="1501"/>
      </w:tblGrid>
      <w:tr>
        <w:tc>
          <w:tcPr>
            <w:tcW w:w="568" w:type="dxa"/>
          </w:tcPr>
          <w:p>
            <w:pPr>
              <w:pStyle w:val="0"/>
              <w:jc w:val="center"/>
            </w:pPr>
            <w:r>
              <w:rPr>
                <w:sz w:val="20"/>
              </w:rPr>
              <w:t xml:space="preserve">N п/п</w:t>
            </w:r>
          </w:p>
        </w:tc>
        <w:tc>
          <w:tcPr>
            <w:tcW w:w="5499" w:type="dxa"/>
          </w:tcPr>
          <w:p>
            <w:pPr>
              <w:pStyle w:val="0"/>
              <w:jc w:val="center"/>
            </w:pPr>
            <w:r>
              <w:rPr>
                <w:sz w:val="20"/>
              </w:rPr>
              <w:t xml:space="preserve">Показатель</w:t>
            </w:r>
          </w:p>
        </w:tc>
        <w:tc>
          <w:tcPr>
            <w:tcW w:w="1501" w:type="dxa"/>
          </w:tcPr>
          <w:p>
            <w:pPr>
              <w:pStyle w:val="0"/>
              <w:jc w:val="center"/>
            </w:pPr>
            <w:r>
              <w:rPr>
                <w:sz w:val="20"/>
              </w:rPr>
              <w:t xml:space="preserve">2019 г.</w:t>
            </w:r>
          </w:p>
        </w:tc>
        <w:tc>
          <w:tcPr>
            <w:tcW w:w="1501" w:type="dxa"/>
          </w:tcPr>
          <w:p>
            <w:pPr>
              <w:pStyle w:val="0"/>
              <w:jc w:val="center"/>
            </w:pPr>
            <w:r>
              <w:rPr>
                <w:sz w:val="20"/>
              </w:rPr>
              <w:t xml:space="preserve">2020 г.</w:t>
            </w:r>
          </w:p>
        </w:tc>
      </w:tr>
      <w:tr>
        <w:tc>
          <w:tcPr>
            <w:tcW w:w="568" w:type="dxa"/>
          </w:tcPr>
          <w:p>
            <w:pPr>
              <w:pStyle w:val="0"/>
              <w:jc w:val="both"/>
            </w:pPr>
            <w:r>
              <w:rPr>
                <w:sz w:val="20"/>
              </w:rPr>
              <w:t xml:space="preserve">6.1.</w:t>
            </w:r>
          </w:p>
        </w:tc>
        <w:tc>
          <w:tcPr>
            <w:tcW w:w="5499" w:type="dxa"/>
          </w:tcPr>
          <w:p>
            <w:pPr>
              <w:pStyle w:val="0"/>
              <w:jc w:val="both"/>
            </w:pPr>
            <w:r>
              <w:rPr>
                <w:sz w:val="20"/>
              </w:rPr>
              <w:t xml:space="preserve">Распределение по группам здоровья (%):</w:t>
            </w:r>
          </w:p>
        </w:tc>
        <w:tc>
          <w:tcPr>
            <w:tcW w:w="1501" w:type="dxa"/>
          </w:tcPr>
          <w:p>
            <w:pPr>
              <w:pStyle w:val="0"/>
              <w:jc w:val="center"/>
            </w:pPr>
            <w:r>
              <w:rPr>
                <w:sz w:val="20"/>
              </w:rPr>
            </w:r>
          </w:p>
        </w:tc>
        <w:tc>
          <w:tcPr>
            <w:tcW w:w="1501" w:type="dxa"/>
          </w:tcPr>
          <w:p>
            <w:pPr>
              <w:pStyle w:val="0"/>
              <w:jc w:val="center"/>
            </w:pPr>
            <w:r>
              <w:rPr>
                <w:sz w:val="20"/>
              </w:rPr>
            </w:r>
          </w:p>
        </w:tc>
      </w:tr>
      <w:tr>
        <w:tc>
          <w:tcPr>
            <w:tcW w:w="568" w:type="dxa"/>
          </w:tcPr>
          <w:p>
            <w:pPr>
              <w:pStyle w:val="0"/>
              <w:jc w:val="both"/>
            </w:pPr>
            <w:r>
              <w:rPr>
                <w:sz w:val="20"/>
              </w:rPr>
            </w:r>
          </w:p>
        </w:tc>
        <w:tc>
          <w:tcPr>
            <w:tcW w:w="5499" w:type="dxa"/>
          </w:tcPr>
          <w:p>
            <w:pPr>
              <w:pStyle w:val="0"/>
              <w:jc w:val="both"/>
            </w:pPr>
            <w:r>
              <w:rPr>
                <w:sz w:val="20"/>
              </w:rPr>
              <w:t xml:space="preserve">I</w:t>
            </w:r>
          </w:p>
        </w:tc>
        <w:tc>
          <w:tcPr>
            <w:tcW w:w="1501" w:type="dxa"/>
          </w:tcPr>
          <w:p>
            <w:pPr>
              <w:pStyle w:val="0"/>
              <w:jc w:val="center"/>
            </w:pPr>
            <w:r>
              <w:rPr>
                <w:sz w:val="20"/>
              </w:rPr>
              <w:t xml:space="preserve">44%</w:t>
            </w:r>
          </w:p>
        </w:tc>
        <w:tc>
          <w:tcPr>
            <w:tcW w:w="1501" w:type="dxa"/>
          </w:tcPr>
          <w:p>
            <w:pPr>
              <w:pStyle w:val="0"/>
              <w:jc w:val="center"/>
            </w:pPr>
            <w:r>
              <w:rPr>
                <w:sz w:val="20"/>
              </w:rPr>
              <w:t xml:space="preserve">43,7%</w:t>
            </w:r>
          </w:p>
        </w:tc>
      </w:tr>
      <w:tr>
        <w:tc>
          <w:tcPr>
            <w:tcW w:w="568" w:type="dxa"/>
          </w:tcPr>
          <w:p>
            <w:pPr>
              <w:pStyle w:val="0"/>
              <w:jc w:val="both"/>
            </w:pPr>
            <w:r>
              <w:rPr>
                <w:sz w:val="20"/>
              </w:rPr>
            </w:r>
          </w:p>
        </w:tc>
        <w:tc>
          <w:tcPr>
            <w:tcW w:w="5499" w:type="dxa"/>
          </w:tcPr>
          <w:p>
            <w:pPr>
              <w:pStyle w:val="0"/>
              <w:jc w:val="both"/>
            </w:pPr>
            <w:r>
              <w:rPr>
                <w:sz w:val="20"/>
              </w:rPr>
              <w:t xml:space="preserve">II</w:t>
            </w:r>
          </w:p>
        </w:tc>
        <w:tc>
          <w:tcPr>
            <w:tcW w:w="1501" w:type="dxa"/>
          </w:tcPr>
          <w:p>
            <w:pPr>
              <w:pStyle w:val="0"/>
              <w:jc w:val="center"/>
            </w:pPr>
            <w:r>
              <w:rPr>
                <w:sz w:val="20"/>
              </w:rPr>
              <w:t xml:space="preserve">61,5%</w:t>
            </w:r>
          </w:p>
        </w:tc>
        <w:tc>
          <w:tcPr>
            <w:tcW w:w="1501" w:type="dxa"/>
          </w:tcPr>
          <w:p>
            <w:pPr>
              <w:pStyle w:val="0"/>
              <w:jc w:val="center"/>
            </w:pPr>
            <w:r>
              <w:rPr>
                <w:sz w:val="20"/>
              </w:rPr>
              <w:t xml:space="preserve">62,08%</w:t>
            </w:r>
          </w:p>
        </w:tc>
      </w:tr>
      <w:tr>
        <w:tc>
          <w:tcPr>
            <w:tcW w:w="568" w:type="dxa"/>
          </w:tcPr>
          <w:p>
            <w:pPr>
              <w:pStyle w:val="0"/>
              <w:jc w:val="both"/>
            </w:pPr>
            <w:r>
              <w:rPr>
                <w:sz w:val="20"/>
              </w:rPr>
            </w:r>
          </w:p>
        </w:tc>
        <w:tc>
          <w:tcPr>
            <w:tcW w:w="5499" w:type="dxa"/>
          </w:tcPr>
          <w:p>
            <w:pPr>
              <w:pStyle w:val="0"/>
              <w:jc w:val="both"/>
            </w:pPr>
            <w:r>
              <w:rPr>
                <w:sz w:val="20"/>
              </w:rPr>
              <w:t xml:space="preserve">III</w:t>
            </w:r>
          </w:p>
        </w:tc>
        <w:tc>
          <w:tcPr>
            <w:tcW w:w="1501" w:type="dxa"/>
          </w:tcPr>
          <w:p>
            <w:pPr>
              <w:pStyle w:val="0"/>
              <w:jc w:val="center"/>
            </w:pPr>
            <w:r>
              <w:rPr>
                <w:sz w:val="20"/>
              </w:rPr>
              <w:t xml:space="preserve">3,9%</w:t>
            </w:r>
          </w:p>
        </w:tc>
        <w:tc>
          <w:tcPr>
            <w:tcW w:w="1501" w:type="dxa"/>
          </w:tcPr>
          <w:p>
            <w:pPr>
              <w:pStyle w:val="0"/>
              <w:jc w:val="center"/>
            </w:pPr>
            <w:r>
              <w:rPr>
                <w:sz w:val="20"/>
              </w:rPr>
              <w:t xml:space="preserve">3,90%</w:t>
            </w:r>
          </w:p>
        </w:tc>
      </w:tr>
      <w:tr>
        <w:tc>
          <w:tcPr>
            <w:tcW w:w="568" w:type="dxa"/>
          </w:tcPr>
          <w:p>
            <w:pPr>
              <w:pStyle w:val="0"/>
              <w:jc w:val="both"/>
            </w:pPr>
            <w:r>
              <w:rPr>
                <w:sz w:val="20"/>
              </w:rPr>
            </w:r>
          </w:p>
        </w:tc>
        <w:tc>
          <w:tcPr>
            <w:tcW w:w="5499" w:type="dxa"/>
          </w:tcPr>
          <w:p>
            <w:pPr>
              <w:pStyle w:val="0"/>
              <w:jc w:val="both"/>
            </w:pPr>
            <w:r>
              <w:rPr>
                <w:sz w:val="20"/>
              </w:rPr>
              <w:t xml:space="preserve">IV</w:t>
            </w:r>
          </w:p>
        </w:tc>
        <w:tc>
          <w:tcPr>
            <w:tcW w:w="1501" w:type="dxa"/>
          </w:tcPr>
          <w:p>
            <w:pPr>
              <w:pStyle w:val="0"/>
              <w:jc w:val="center"/>
            </w:pPr>
            <w:r>
              <w:rPr>
                <w:sz w:val="20"/>
              </w:rPr>
              <w:t xml:space="preserve">0,25%</w:t>
            </w:r>
          </w:p>
        </w:tc>
        <w:tc>
          <w:tcPr>
            <w:tcW w:w="1501" w:type="dxa"/>
          </w:tcPr>
          <w:p>
            <w:pPr>
              <w:pStyle w:val="0"/>
              <w:jc w:val="center"/>
            </w:pPr>
            <w:r>
              <w:rPr>
                <w:sz w:val="20"/>
              </w:rPr>
              <w:t xml:space="preserve">0,17%</w:t>
            </w:r>
          </w:p>
        </w:tc>
      </w:tr>
      <w:tr>
        <w:tc>
          <w:tcPr>
            <w:tcW w:w="568" w:type="dxa"/>
          </w:tcPr>
          <w:p>
            <w:pPr>
              <w:pStyle w:val="0"/>
              <w:jc w:val="both"/>
            </w:pPr>
            <w:r>
              <w:rPr>
                <w:sz w:val="20"/>
              </w:rPr>
            </w:r>
          </w:p>
        </w:tc>
        <w:tc>
          <w:tcPr>
            <w:tcW w:w="5499" w:type="dxa"/>
          </w:tcPr>
          <w:p>
            <w:pPr>
              <w:pStyle w:val="0"/>
              <w:jc w:val="both"/>
            </w:pPr>
            <w:r>
              <w:rPr>
                <w:sz w:val="20"/>
              </w:rPr>
              <w:t xml:space="preserve">V</w:t>
            </w:r>
          </w:p>
        </w:tc>
        <w:tc>
          <w:tcPr>
            <w:tcW w:w="1501" w:type="dxa"/>
          </w:tcPr>
          <w:p>
            <w:pPr>
              <w:pStyle w:val="0"/>
              <w:jc w:val="center"/>
            </w:pPr>
            <w:r>
              <w:rPr>
                <w:sz w:val="20"/>
              </w:rPr>
              <w:t xml:space="preserve">3%</w:t>
            </w:r>
          </w:p>
        </w:tc>
        <w:tc>
          <w:tcPr>
            <w:tcW w:w="1501" w:type="dxa"/>
          </w:tcPr>
          <w:p>
            <w:pPr>
              <w:pStyle w:val="0"/>
              <w:jc w:val="center"/>
            </w:pPr>
            <w:r>
              <w:rPr>
                <w:sz w:val="20"/>
              </w:rPr>
              <w:t xml:space="preserve">0,79%</w:t>
            </w:r>
          </w:p>
        </w:tc>
      </w:tr>
      <w:tr>
        <w:tc>
          <w:tcPr>
            <w:tcW w:w="568" w:type="dxa"/>
          </w:tcPr>
          <w:p>
            <w:pPr>
              <w:pStyle w:val="0"/>
              <w:jc w:val="both"/>
            </w:pPr>
            <w:r>
              <w:rPr>
                <w:sz w:val="20"/>
              </w:rPr>
              <w:t xml:space="preserve">6.2</w:t>
            </w:r>
          </w:p>
        </w:tc>
        <w:tc>
          <w:tcPr>
            <w:tcW w:w="5499" w:type="dxa"/>
          </w:tcPr>
          <w:p>
            <w:pPr>
              <w:pStyle w:val="0"/>
              <w:jc w:val="both"/>
            </w:pPr>
            <w:r>
              <w:rPr>
                <w:sz w:val="20"/>
              </w:rPr>
              <w:t xml:space="preserve">Общая заболеваемость в возрасте 0 - 17 лет (на 100 тыс. населения соотв. возраста), в том числе:</w:t>
            </w:r>
          </w:p>
        </w:tc>
        <w:tc>
          <w:tcPr>
            <w:tcW w:w="1501" w:type="dxa"/>
          </w:tcPr>
          <w:p>
            <w:pPr>
              <w:pStyle w:val="0"/>
              <w:jc w:val="center"/>
            </w:pPr>
            <w:r>
              <w:rPr>
                <w:sz w:val="20"/>
              </w:rPr>
            </w:r>
          </w:p>
        </w:tc>
        <w:tc>
          <w:tcPr>
            <w:tcW w:w="1501" w:type="dxa"/>
          </w:tcPr>
          <w:p>
            <w:pPr>
              <w:pStyle w:val="0"/>
              <w:jc w:val="center"/>
            </w:pPr>
            <w:r>
              <w:rPr>
                <w:sz w:val="20"/>
              </w:rPr>
            </w:r>
          </w:p>
        </w:tc>
      </w:tr>
      <w:tr>
        <w:tc>
          <w:tcPr>
            <w:tcW w:w="568" w:type="dxa"/>
          </w:tcPr>
          <w:p>
            <w:pPr>
              <w:pStyle w:val="0"/>
              <w:jc w:val="both"/>
            </w:pPr>
            <w:r>
              <w:rPr>
                <w:sz w:val="20"/>
              </w:rPr>
            </w:r>
          </w:p>
        </w:tc>
        <w:tc>
          <w:tcPr>
            <w:tcW w:w="5499" w:type="dxa"/>
          </w:tcPr>
          <w:p>
            <w:pPr>
              <w:pStyle w:val="0"/>
              <w:jc w:val="both"/>
            </w:pPr>
            <w:r>
              <w:rPr>
                <w:sz w:val="20"/>
              </w:rPr>
              <w:t xml:space="preserve">0 - 17 лет</w:t>
            </w:r>
          </w:p>
        </w:tc>
        <w:tc>
          <w:tcPr>
            <w:tcW w:w="1501" w:type="dxa"/>
          </w:tcPr>
          <w:p>
            <w:pPr>
              <w:pStyle w:val="0"/>
              <w:jc w:val="center"/>
            </w:pPr>
            <w:r>
              <w:rPr>
                <w:sz w:val="20"/>
              </w:rPr>
              <w:t xml:space="preserve">159559/1911</w:t>
            </w:r>
          </w:p>
        </w:tc>
        <w:tc>
          <w:tcPr>
            <w:tcW w:w="1501" w:type="dxa"/>
          </w:tcPr>
          <w:p>
            <w:pPr>
              <w:pStyle w:val="0"/>
              <w:jc w:val="center"/>
            </w:pPr>
            <w:r>
              <w:rPr>
                <w:sz w:val="20"/>
              </w:rPr>
              <w:t xml:space="preserve">151117/1760</w:t>
            </w:r>
          </w:p>
        </w:tc>
      </w:tr>
      <w:tr>
        <w:tc>
          <w:tcPr>
            <w:tcW w:w="568" w:type="dxa"/>
          </w:tcPr>
          <w:p>
            <w:pPr>
              <w:pStyle w:val="0"/>
              <w:jc w:val="both"/>
            </w:pPr>
            <w:r>
              <w:rPr>
                <w:sz w:val="20"/>
              </w:rPr>
            </w:r>
          </w:p>
        </w:tc>
        <w:tc>
          <w:tcPr>
            <w:tcW w:w="5499" w:type="dxa"/>
          </w:tcPr>
          <w:p>
            <w:pPr>
              <w:pStyle w:val="0"/>
              <w:jc w:val="both"/>
            </w:pPr>
            <w:r>
              <w:rPr>
                <w:sz w:val="20"/>
              </w:rPr>
              <w:t xml:space="preserve">0 - 14 лет</w:t>
            </w:r>
          </w:p>
        </w:tc>
        <w:tc>
          <w:tcPr>
            <w:tcW w:w="1501" w:type="dxa"/>
          </w:tcPr>
          <w:p>
            <w:pPr>
              <w:pStyle w:val="0"/>
              <w:jc w:val="center"/>
            </w:pPr>
            <w:r>
              <w:rPr>
                <w:sz w:val="20"/>
              </w:rPr>
              <w:t xml:space="preserve">140739/1938</w:t>
            </w:r>
          </w:p>
        </w:tc>
        <w:tc>
          <w:tcPr>
            <w:tcW w:w="1501" w:type="dxa"/>
          </w:tcPr>
          <w:p>
            <w:pPr>
              <w:pStyle w:val="0"/>
              <w:jc w:val="center"/>
            </w:pPr>
            <w:r>
              <w:rPr>
                <w:sz w:val="20"/>
              </w:rPr>
              <w:t xml:space="preserve">129646/1757</w:t>
            </w:r>
          </w:p>
        </w:tc>
      </w:tr>
      <w:tr>
        <w:tc>
          <w:tcPr>
            <w:tcW w:w="568" w:type="dxa"/>
          </w:tcPr>
          <w:p>
            <w:pPr>
              <w:pStyle w:val="0"/>
              <w:jc w:val="both"/>
            </w:pPr>
            <w:r>
              <w:rPr>
                <w:sz w:val="20"/>
              </w:rPr>
            </w:r>
          </w:p>
        </w:tc>
        <w:tc>
          <w:tcPr>
            <w:tcW w:w="5499" w:type="dxa"/>
          </w:tcPr>
          <w:p>
            <w:pPr>
              <w:pStyle w:val="0"/>
              <w:jc w:val="both"/>
            </w:pPr>
            <w:r>
              <w:rPr>
                <w:sz w:val="20"/>
              </w:rPr>
              <w:t xml:space="preserve">15 - 17 лет</w:t>
            </w:r>
          </w:p>
        </w:tc>
        <w:tc>
          <w:tcPr>
            <w:tcW w:w="1501" w:type="dxa"/>
          </w:tcPr>
          <w:p>
            <w:pPr>
              <w:pStyle w:val="0"/>
              <w:jc w:val="center"/>
            </w:pPr>
            <w:r>
              <w:rPr>
                <w:sz w:val="20"/>
              </w:rPr>
              <w:t xml:space="preserve">18820/1727</w:t>
            </w:r>
          </w:p>
        </w:tc>
        <w:tc>
          <w:tcPr>
            <w:tcW w:w="1501" w:type="dxa"/>
          </w:tcPr>
          <w:p>
            <w:pPr>
              <w:pStyle w:val="0"/>
              <w:jc w:val="center"/>
            </w:pPr>
            <w:r>
              <w:rPr>
                <w:sz w:val="20"/>
              </w:rPr>
              <w:t xml:space="preserve">21471/1779</w:t>
            </w:r>
          </w:p>
        </w:tc>
      </w:tr>
      <w:tr>
        <w:tc>
          <w:tcPr>
            <w:tcW w:w="568" w:type="dxa"/>
          </w:tcPr>
          <w:p>
            <w:pPr>
              <w:pStyle w:val="0"/>
              <w:jc w:val="both"/>
            </w:pPr>
            <w:r>
              <w:rPr>
                <w:sz w:val="20"/>
              </w:rPr>
              <w:t xml:space="preserve">6.3</w:t>
            </w:r>
          </w:p>
        </w:tc>
        <w:tc>
          <w:tcPr>
            <w:tcW w:w="5499" w:type="dxa"/>
          </w:tcPr>
          <w:p>
            <w:pPr>
              <w:pStyle w:val="0"/>
              <w:jc w:val="both"/>
            </w:pPr>
            <w:r>
              <w:rPr>
                <w:sz w:val="20"/>
              </w:rPr>
              <w:t xml:space="preserve">Первичная заболеваемость в возрасте 0 - 17 лет (на 100 тыс. населения соотв. возраста), в том числе:</w:t>
            </w:r>
          </w:p>
        </w:tc>
        <w:tc>
          <w:tcPr>
            <w:tcW w:w="1501" w:type="dxa"/>
          </w:tcPr>
          <w:p>
            <w:pPr>
              <w:pStyle w:val="0"/>
              <w:jc w:val="center"/>
            </w:pPr>
            <w:r>
              <w:rPr>
                <w:sz w:val="20"/>
              </w:rPr>
            </w:r>
          </w:p>
        </w:tc>
        <w:tc>
          <w:tcPr>
            <w:tcW w:w="1501" w:type="dxa"/>
          </w:tcPr>
          <w:p>
            <w:pPr>
              <w:pStyle w:val="0"/>
              <w:jc w:val="center"/>
            </w:pPr>
            <w:r>
              <w:rPr>
                <w:sz w:val="20"/>
              </w:rPr>
            </w:r>
          </w:p>
        </w:tc>
      </w:tr>
      <w:tr>
        <w:tc>
          <w:tcPr>
            <w:tcW w:w="568" w:type="dxa"/>
          </w:tcPr>
          <w:p>
            <w:pPr>
              <w:pStyle w:val="0"/>
              <w:jc w:val="both"/>
            </w:pPr>
            <w:r>
              <w:rPr>
                <w:sz w:val="20"/>
              </w:rPr>
            </w:r>
          </w:p>
        </w:tc>
        <w:tc>
          <w:tcPr>
            <w:tcW w:w="5499" w:type="dxa"/>
          </w:tcPr>
          <w:p>
            <w:pPr>
              <w:pStyle w:val="0"/>
              <w:jc w:val="both"/>
            </w:pPr>
            <w:r>
              <w:rPr>
                <w:sz w:val="20"/>
              </w:rPr>
              <w:t xml:space="preserve">0 - 17 лет</w:t>
            </w:r>
          </w:p>
        </w:tc>
        <w:tc>
          <w:tcPr>
            <w:tcW w:w="1501" w:type="dxa"/>
          </w:tcPr>
          <w:p>
            <w:pPr>
              <w:pStyle w:val="0"/>
              <w:jc w:val="center"/>
            </w:pPr>
            <w:r>
              <w:rPr>
                <w:sz w:val="20"/>
              </w:rPr>
              <w:t xml:space="preserve">132473/1586</w:t>
            </w:r>
          </w:p>
        </w:tc>
        <w:tc>
          <w:tcPr>
            <w:tcW w:w="1501" w:type="dxa"/>
          </w:tcPr>
          <w:p>
            <w:pPr>
              <w:pStyle w:val="0"/>
              <w:jc w:val="center"/>
            </w:pPr>
            <w:r>
              <w:rPr>
                <w:sz w:val="20"/>
              </w:rPr>
              <w:t xml:space="preserve">121376/1414</w:t>
            </w:r>
          </w:p>
        </w:tc>
      </w:tr>
      <w:tr>
        <w:tc>
          <w:tcPr>
            <w:tcW w:w="568" w:type="dxa"/>
          </w:tcPr>
          <w:p>
            <w:pPr>
              <w:pStyle w:val="0"/>
              <w:jc w:val="both"/>
            </w:pPr>
            <w:r>
              <w:rPr>
                <w:sz w:val="20"/>
              </w:rPr>
            </w:r>
          </w:p>
        </w:tc>
        <w:tc>
          <w:tcPr>
            <w:tcW w:w="5499" w:type="dxa"/>
          </w:tcPr>
          <w:p>
            <w:pPr>
              <w:pStyle w:val="0"/>
              <w:jc w:val="both"/>
            </w:pPr>
            <w:r>
              <w:rPr>
                <w:sz w:val="20"/>
              </w:rPr>
              <w:t xml:space="preserve">0 - 14 лет</w:t>
            </w:r>
          </w:p>
        </w:tc>
        <w:tc>
          <w:tcPr>
            <w:tcW w:w="1501" w:type="dxa"/>
          </w:tcPr>
          <w:p>
            <w:pPr>
              <w:pStyle w:val="0"/>
              <w:jc w:val="center"/>
            </w:pPr>
            <w:r>
              <w:rPr>
                <w:sz w:val="20"/>
              </w:rPr>
              <w:t xml:space="preserve">119586/1647</w:t>
            </w:r>
          </w:p>
        </w:tc>
        <w:tc>
          <w:tcPr>
            <w:tcW w:w="1501" w:type="dxa"/>
          </w:tcPr>
          <w:p>
            <w:pPr>
              <w:pStyle w:val="0"/>
              <w:jc w:val="center"/>
            </w:pPr>
            <w:r>
              <w:rPr>
                <w:sz w:val="20"/>
              </w:rPr>
              <w:t xml:space="preserve">106018/1437</w:t>
            </w:r>
          </w:p>
        </w:tc>
      </w:tr>
      <w:tr>
        <w:tc>
          <w:tcPr>
            <w:tcW w:w="568" w:type="dxa"/>
          </w:tcPr>
          <w:p>
            <w:pPr>
              <w:pStyle w:val="0"/>
              <w:jc w:val="both"/>
            </w:pPr>
            <w:r>
              <w:rPr>
                <w:sz w:val="20"/>
              </w:rPr>
            </w:r>
          </w:p>
        </w:tc>
        <w:tc>
          <w:tcPr>
            <w:tcW w:w="5499" w:type="dxa"/>
          </w:tcPr>
          <w:p>
            <w:pPr>
              <w:pStyle w:val="0"/>
              <w:jc w:val="both"/>
            </w:pPr>
            <w:r>
              <w:rPr>
                <w:sz w:val="20"/>
              </w:rPr>
              <w:t xml:space="preserve">15 - 17 лет</w:t>
            </w:r>
          </w:p>
        </w:tc>
        <w:tc>
          <w:tcPr>
            <w:tcW w:w="1501" w:type="dxa"/>
          </w:tcPr>
          <w:p>
            <w:pPr>
              <w:pStyle w:val="0"/>
              <w:jc w:val="center"/>
            </w:pPr>
            <w:r>
              <w:rPr>
                <w:sz w:val="20"/>
              </w:rPr>
              <w:t xml:space="preserve">12887/1182</w:t>
            </w:r>
          </w:p>
        </w:tc>
        <w:tc>
          <w:tcPr>
            <w:tcW w:w="1501" w:type="dxa"/>
          </w:tcPr>
          <w:p>
            <w:pPr>
              <w:pStyle w:val="0"/>
              <w:jc w:val="center"/>
            </w:pPr>
            <w:r>
              <w:rPr>
                <w:sz w:val="20"/>
              </w:rPr>
              <w:t xml:space="preserve">15358/1274</w:t>
            </w:r>
          </w:p>
        </w:tc>
      </w:tr>
      <w:tr>
        <w:tc>
          <w:tcPr>
            <w:tcW w:w="568" w:type="dxa"/>
          </w:tcPr>
          <w:p>
            <w:pPr>
              <w:pStyle w:val="0"/>
              <w:jc w:val="both"/>
            </w:pPr>
            <w:r>
              <w:rPr>
                <w:sz w:val="20"/>
              </w:rPr>
              <w:t xml:space="preserve">6.4</w:t>
            </w:r>
          </w:p>
        </w:tc>
        <w:tc>
          <w:tcPr>
            <w:tcW w:w="5499" w:type="dxa"/>
          </w:tcPr>
          <w:p>
            <w:pPr>
              <w:pStyle w:val="0"/>
              <w:jc w:val="both"/>
            </w:pPr>
            <w:r>
              <w:rPr>
                <w:sz w:val="20"/>
              </w:rPr>
              <w:t xml:space="preserve">Инвалидность в возрасте 0 - 17 лет (на 10 тыс. населения соотв. возраста), общая/первичная, в том числе:</w:t>
            </w:r>
          </w:p>
        </w:tc>
        <w:tc>
          <w:tcPr>
            <w:tcW w:w="1501" w:type="dxa"/>
          </w:tcPr>
          <w:p>
            <w:pPr>
              <w:pStyle w:val="0"/>
              <w:jc w:val="center"/>
            </w:pPr>
            <w:r>
              <w:rPr>
                <w:sz w:val="20"/>
              </w:rPr>
              <w:t xml:space="preserve">1504/193</w:t>
            </w:r>
          </w:p>
        </w:tc>
        <w:tc>
          <w:tcPr>
            <w:tcW w:w="1501" w:type="dxa"/>
          </w:tcPr>
          <w:p>
            <w:pPr>
              <w:pStyle w:val="0"/>
              <w:jc w:val="center"/>
            </w:pPr>
            <w:r>
              <w:rPr>
                <w:sz w:val="20"/>
              </w:rPr>
              <w:t xml:space="preserve">1618/182</w:t>
            </w:r>
          </w:p>
        </w:tc>
      </w:tr>
      <w:tr>
        <w:tc>
          <w:tcPr>
            <w:tcW w:w="568" w:type="dxa"/>
          </w:tcPr>
          <w:p>
            <w:pPr>
              <w:pStyle w:val="0"/>
              <w:jc w:val="both"/>
            </w:pPr>
            <w:r>
              <w:rPr>
                <w:sz w:val="20"/>
              </w:rPr>
              <w:t xml:space="preserve">6.5</w:t>
            </w:r>
          </w:p>
        </w:tc>
        <w:tc>
          <w:tcPr>
            <w:tcW w:w="5499" w:type="dxa"/>
          </w:tcPr>
          <w:p>
            <w:pPr>
              <w:pStyle w:val="0"/>
              <w:jc w:val="both"/>
            </w:pPr>
            <w:r>
              <w:rPr>
                <w:sz w:val="20"/>
              </w:rPr>
              <w:t xml:space="preserve">Доля посещений детьми медицинских организаций с профилактическими целями, %</w:t>
            </w:r>
          </w:p>
        </w:tc>
        <w:tc>
          <w:tcPr>
            <w:tcW w:w="1501" w:type="dxa"/>
          </w:tcPr>
          <w:p>
            <w:pPr>
              <w:pStyle w:val="0"/>
              <w:jc w:val="center"/>
            </w:pPr>
            <w:r>
              <w:rPr>
                <w:sz w:val="20"/>
              </w:rPr>
              <w:t xml:space="preserve">46%</w:t>
            </w:r>
          </w:p>
        </w:tc>
        <w:tc>
          <w:tcPr>
            <w:tcW w:w="1501" w:type="dxa"/>
          </w:tcPr>
          <w:p>
            <w:pPr>
              <w:pStyle w:val="0"/>
              <w:jc w:val="center"/>
            </w:pPr>
            <w:r>
              <w:rPr>
                <w:sz w:val="20"/>
              </w:rPr>
              <w:t xml:space="preserve">55,9%</w:t>
            </w:r>
          </w:p>
        </w:tc>
      </w:tr>
      <w:tr>
        <w:tc>
          <w:tcPr>
            <w:tcW w:w="568" w:type="dxa"/>
          </w:tcPr>
          <w:p>
            <w:pPr>
              <w:pStyle w:val="0"/>
              <w:jc w:val="both"/>
            </w:pPr>
            <w:r>
              <w:rPr>
                <w:sz w:val="20"/>
              </w:rPr>
              <w:t xml:space="preserve">6.6</w:t>
            </w:r>
          </w:p>
        </w:tc>
        <w:tc>
          <w:tcPr>
            <w:tcW w:w="5499"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w:t>
            </w:r>
          </w:p>
        </w:tc>
        <w:tc>
          <w:tcPr>
            <w:tcW w:w="1501" w:type="dxa"/>
          </w:tcPr>
          <w:p>
            <w:pPr>
              <w:pStyle w:val="0"/>
              <w:jc w:val="center"/>
            </w:pPr>
            <w:r>
              <w:rPr>
                <w:sz w:val="20"/>
              </w:rPr>
            </w:r>
          </w:p>
        </w:tc>
        <w:tc>
          <w:tcPr>
            <w:tcW w:w="1501" w:type="dxa"/>
          </w:tcPr>
          <w:p>
            <w:pPr>
              <w:pStyle w:val="0"/>
              <w:jc w:val="center"/>
            </w:pPr>
            <w:r>
              <w:rPr>
                <w:sz w:val="20"/>
              </w:rPr>
            </w:r>
          </w:p>
        </w:tc>
      </w:tr>
      <w:tr>
        <w:tc>
          <w:tcPr>
            <w:tcW w:w="568" w:type="dxa"/>
          </w:tcPr>
          <w:p>
            <w:pPr>
              <w:pStyle w:val="0"/>
              <w:jc w:val="both"/>
            </w:pPr>
            <w:r>
              <w:rPr>
                <w:sz w:val="20"/>
              </w:rPr>
            </w:r>
          </w:p>
        </w:tc>
        <w:tc>
          <w:tcPr>
            <w:tcW w:w="5499" w:type="dxa"/>
          </w:tcPr>
          <w:p>
            <w:pPr>
              <w:pStyle w:val="0"/>
              <w:jc w:val="both"/>
            </w:pPr>
            <w:r>
              <w:rPr>
                <w:sz w:val="20"/>
              </w:rPr>
              <w:t xml:space="preserve">болезней костно-мышечной системы и соединительной ткани (%)</w:t>
            </w:r>
          </w:p>
        </w:tc>
        <w:tc>
          <w:tcPr>
            <w:tcW w:w="1501" w:type="dxa"/>
          </w:tcPr>
          <w:p>
            <w:pPr>
              <w:pStyle w:val="0"/>
              <w:jc w:val="center"/>
            </w:pPr>
            <w:r>
              <w:rPr>
                <w:sz w:val="20"/>
              </w:rPr>
              <w:t xml:space="preserve">3,3</w:t>
            </w:r>
          </w:p>
        </w:tc>
        <w:tc>
          <w:tcPr>
            <w:tcW w:w="1501" w:type="dxa"/>
          </w:tcPr>
          <w:p>
            <w:pPr>
              <w:pStyle w:val="0"/>
              <w:jc w:val="center"/>
            </w:pPr>
            <w:r>
              <w:rPr>
                <w:sz w:val="20"/>
              </w:rPr>
              <w:t xml:space="preserve">11,6</w:t>
            </w:r>
          </w:p>
        </w:tc>
      </w:tr>
      <w:tr>
        <w:tc>
          <w:tcPr>
            <w:tcW w:w="568" w:type="dxa"/>
          </w:tcPr>
          <w:p>
            <w:pPr>
              <w:pStyle w:val="0"/>
              <w:jc w:val="both"/>
            </w:pPr>
            <w:r>
              <w:rPr>
                <w:sz w:val="20"/>
              </w:rPr>
            </w:r>
          </w:p>
        </w:tc>
        <w:tc>
          <w:tcPr>
            <w:tcW w:w="5499" w:type="dxa"/>
          </w:tcPr>
          <w:p>
            <w:pPr>
              <w:pStyle w:val="0"/>
              <w:jc w:val="both"/>
            </w:pPr>
            <w:r>
              <w:rPr>
                <w:sz w:val="20"/>
              </w:rPr>
              <w:t xml:space="preserve">болезней глаза и его придаточного аппарата (%)</w:t>
            </w:r>
          </w:p>
        </w:tc>
        <w:tc>
          <w:tcPr>
            <w:tcW w:w="1501" w:type="dxa"/>
          </w:tcPr>
          <w:p>
            <w:pPr>
              <w:pStyle w:val="0"/>
              <w:jc w:val="center"/>
            </w:pPr>
            <w:r>
              <w:rPr>
                <w:sz w:val="20"/>
              </w:rPr>
              <w:t xml:space="preserve">2</w:t>
            </w:r>
          </w:p>
        </w:tc>
        <w:tc>
          <w:tcPr>
            <w:tcW w:w="1501" w:type="dxa"/>
          </w:tcPr>
          <w:p>
            <w:pPr>
              <w:pStyle w:val="0"/>
              <w:jc w:val="center"/>
            </w:pPr>
            <w:r>
              <w:rPr>
                <w:sz w:val="20"/>
              </w:rPr>
              <w:t xml:space="preserve">26,9</w:t>
            </w:r>
          </w:p>
        </w:tc>
      </w:tr>
      <w:tr>
        <w:tc>
          <w:tcPr>
            <w:tcW w:w="568" w:type="dxa"/>
          </w:tcPr>
          <w:p>
            <w:pPr>
              <w:pStyle w:val="0"/>
              <w:jc w:val="both"/>
            </w:pPr>
            <w:r>
              <w:rPr>
                <w:sz w:val="20"/>
              </w:rPr>
            </w:r>
          </w:p>
        </w:tc>
        <w:tc>
          <w:tcPr>
            <w:tcW w:w="5499" w:type="dxa"/>
          </w:tcPr>
          <w:p>
            <w:pPr>
              <w:pStyle w:val="0"/>
              <w:jc w:val="both"/>
            </w:pPr>
            <w:r>
              <w:rPr>
                <w:sz w:val="20"/>
              </w:rPr>
              <w:t xml:space="preserve">болезней органов пищеварения (%)</w:t>
            </w:r>
          </w:p>
        </w:tc>
        <w:tc>
          <w:tcPr>
            <w:tcW w:w="1501" w:type="dxa"/>
          </w:tcPr>
          <w:p>
            <w:pPr>
              <w:pStyle w:val="0"/>
              <w:jc w:val="center"/>
            </w:pPr>
            <w:r>
              <w:rPr>
                <w:sz w:val="20"/>
              </w:rPr>
              <w:t xml:space="preserve">8,3</w:t>
            </w:r>
          </w:p>
        </w:tc>
        <w:tc>
          <w:tcPr>
            <w:tcW w:w="1501" w:type="dxa"/>
          </w:tcPr>
          <w:p>
            <w:pPr>
              <w:pStyle w:val="0"/>
              <w:jc w:val="center"/>
            </w:pPr>
            <w:r>
              <w:rPr>
                <w:sz w:val="20"/>
              </w:rPr>
              <w:t xml:space="preserve">26,04</w:t>
            </w:r>
          </w:p>
        </w:tc>
      </w:tr>
      <w:tr>
        <w:tc>
          <w:tcPr>
            <w:tcW w:w="568" w:type="dxa"/>
          </w:tcPr>
          <w:p>
            <w:pPr>
              <w:pStyle w:val="0"/>
              <w:jc w:val="both"/>
            </w:pPr>
            <w:r>
              <w:rPr>
                <w:sz w:val="20"/>
              </w:rPr>
            </w:r>
          </w:p>
        </w:tc>
        <w:tc>
          <w:tcPr>
            <w:tcW w:w="5499" w:type="dxa"/>
          </w:tcPr>
          <w:p>
            <w:pPr>
              <w:pStyle w:val="0"/>
              <w:jc w:val="both"/>
            </w:pPr>
            <w:r>
              <w:rPr>
                <w:sz w:val="20"/>
              </w:rPr>
              <w:t xml:space="preserve">болезней системы кровообращения (%)</w:t>
            </w:r>
          </w:p>
        </w:tc>
        <w:tc>
          <w:tcPr>
            <w:tcW w:w="1501" w:type="dxa"/>
          </w:tcPr>
          <w:p>
            <w:pPr>
              <w:pStyle w:val="0"/>
              <w:jc w:val="center"/>
            </w:pPr>
            <w:r>
              <w:rPr>
                <w:sz w:val="20"/>
              </w:rPr>
              <w:t xml:space="preserve">1,4</w:t>
            </w:r>
          </w:p>
        </w:tc>
        <w:tc>
          <w:tcPr>
            <w:tcW w:w="1501" w:type="dxa"/>
          </w:tcPr>
          <w:p>
            <w:pPr>
              <w:pStyle w:val="0"/>
              <w:jc w:val="center"/>
            </w:pPr>
            <w:r>
              <w:rPr>
                <w:sz w:val="20"/>
              </w:rPr>
              <w:t xml:space="preserve">48,7</w:t>
            </w:r>
          </w:p>
        </w:tc>
      </w:tr>
      <w:tr>
        <w:tc>
          <w:tcPr>
            <w:tcW w:w="568" w:type="dxa"/>
          </w:tcPr>
          <w:p>
            <w:pPr>
              <w:pStyle w:val="0"/>
              <w:jc w:val="both"/>
            </w:pPr>
            <w:r>
              <w:rPr>
                <w:sz w:val="20"/>
              </w:rPr>
            </w:r>
          </w:p>
        </w:tc>
        <w:tc>
          <w:tcPr>
            <w:tcW w:w="5499" w:type="dxa"/>
          </w:tcPr>
          <w:p>
            <w:pPr>
              <w:pStyle w:val="0"/>
              <w:jc w:val="both"/>
            </w:pPr>
            <w:r>
              <w:rPr>
                <w:sz w:val="20"/>
              </w:rPr>
              <w:t xml:space="preserve">болезней эндокринной системы, расстройств питания и нарушения обмена веществ (%)</w:t>
            </w:r>
          </w:p>
        </w:tc>
        <w:tc>
          <w:tcPr>
            <w:tcW w:w="1501" w:type="dxa"/>
          </w:tcPr>
          <w:p>
            <w:pPr>
              <w:pStyle w:val="0"/>
              <w:jc w:val="center"/>
            </w:pPr>
            <w:r>
              <w:rPr>
                <w:sz w:val="20"/>
              </w:rPr>
              <w:t xml:space="preserve">6,5</w:t>
            </w:r>
          </w:p>
        </w:tc>
        <w:tc>
          <w:tcPr>
            <w:tcW w:w="1501" w:type="dxa"/>
          </w:tcPr>
          <w:p>
            <w:pPr>
              <w:pStyle w:val="0"/>
              <w:jc w:val="center"/>
            </w:pPr>
            <w:r>
              <w:rPr>
                <w:sz w:val="20"/>
              </w:rPr>
              <w:t xml:space="preserve">46,02</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428"/>
        <w:gridCol w:w="1701"/>
        <w:gridCol w:w="1644"/>
        <w:gridCol w:w="850"/>
        <w:gridCol w:w="1304"/>
        <w:gridCol w:w="1275"/>
      </w:tblGrid>
      <w:tr>
        <w:tc>
          <w:tcPr>
            <w:tcW w:w="850" w:type="dxa"/>
          </w:tcPr>
          <w:p>
            <w:pPr>
              <w:pStyle w:val="0"/>
              <w:jc w:val="center"/>
            </w:pPr>
            <w:r>
              <w:rPr>
                <w:sz w:val="20"/>
              </w:rPr>
              <w:t xml:space="preserve">Год</w:t>
            </w:r>
          </w:p>
        </w:tc>
        <w:tc>
          <w:tcPr>
            <w:tcW w:w="1428" w:type="dxa"/>
          </w:tcPr>
          <w:p>
            <w:pPr>
              <w:pStyle w:val="0"/>
              <w:jc w:val="center"/>
            </w:pPr>
            <w:r>
              <w:rPr>
                <w:sz w:val="20"/>
              </w:rPr>
              <w:t xml:space="preserve">Количество детей</w:t>
            </w:r>
          </w:p>
        </w:tc>
        <w:tc>
          <w:tcPr>
            <w:tcW w:w="1701" w:type="dxa"/>
          </w:tcPr>
          <w:p>
            <w:pPr>
              <w:pStyle w:val="0"/>
              <w:jc w:val="center"/>
            </w:pPr>
            <w:r>
              <w:rPr>
                <w:sz w:val="20"/>
              </w:rPr>
              <w:t xml:space="preserve">Общая заболеваемость</w:t>
            </w:r>
          </w:p>
        </w:tc>
        <w:tc>
          <w:tcPr>
            <w:tcW w:w="1644" w:type="dxa"/>
          </w:tcPr>
          <w:p>
            <w:pPr>
              <w:pStyle w:val="0"/>
              <w:jc w:val="center"/>
            </w:pPr>
            <w:r>
              <w:rPr>
                <w:sz w:val="20"/>
              </w:rPr>
              <w:t xml:space="preserve">Состоит на диспансерном учете</w:t>
            </w:r>
          </w:p>
        </w:tc>
        <w:tc>
          <w:tcPr>
            <w:tcW w:w="850" w:type="dxa"/>
          </w:tcPr>
          <w:p>
            <w:pPr>
              <w:pStyle w:val="0"/>
              <w:jc w:val="center"/>
            </w:pPr>
            <w:r>
              <w:rPr>
                <w:sz w:val="20"/>
              </w:rPr>
              <w:t xml:space="preserve">Онко</w:t>
            </w:r>
          </w:p>
        </w:tc>
        <w:tc>
          <w:tcPr>
            <w:tcW w:w="1304" w:type="dxa"/>
          </w:tcPr>
          <w:p>
            <w:pPr>
              <w:pStyle w:val="0"/>
              <w:jc w:val="center"/>
            </w:pPr>
            <w:r>
              <w:rPr>
                <w:sz w:val="20"/>
              </w:rPr>
              <w:t xml:space="preserve">Паллиативная помощь</w:t>
            </w:r>
          </w:p>
        </w:tc>
        <w:tc>
          <w:tcPr>
            <w:tcW w:w="1275" w:type="dxa"/>
          </w:tcPr>
          <w:p>
            <w:pPr>
              <w:pStyle w:val="0"/>
              <w:jc w:val="center"/>
            </w:pPr>
            <w:r>
              <w:rPr>
                <w:sz w:val="20"/>
              </w:rPr>
              <w:t xml:space="preserve">Дети-инвалиды</w:t>
            </w:r>
          </w:p>
        </w:tc>
      </w:tr>
      <w:tr>
        <w:tc>
          <w:tcPr>
            <w:tcW w:w="850" w:type="dxa"/>
          </w:tcPr>
          <w:p>
            <w:pPr>
              <w:pStyle w:val="0"/>
              <w:jc w:val="center"/>
            </w:pPr>
            <w:r>
              <w:rPr>
                <w:sz w:val="20"/>
              </w:rPr>
              <w:t xml:space="preserve">2018</w:t>
            </w:r>
          </w:p>
        </w:tc>
        <w:tc>
          <w:tcPr>
            <w:tcW w:w="1428" w:type="dxa"/>
          </w:tcPr>
          <w:p>
            <w:pPr>
              <w:pStyle w:val="0"/>
              <w:jc w:val="center"/>
            </w:pPr>
            <w:r>
              <w:rPr>
                <w:sz w:val="20"/>
              </w:rPr>
              <w:t xml:space="preserve">80984</w:t>
            </w:r>
          </w:p>
        </w:tc>
        <w:tc>
          <w:tcPr>
            <w:tcW w:w="1701" w:type="dxa"/>
          </w:tcPr>
          <w:p>
            <w:pPr>
              <w:pStyle w:val="0"/>
              <w:jc w:val="center"/>
            </w:pPr>
            <w:r>
              <w:rPr>
                <w:sz w:val="20"/>
              </w:rPr>
              <w:t xml:space="preserve">125363</w:t>
            </w:r>
          </w:p>
        </w:tc>
        <w:tc>
          <w:tcPr>
            <w:tcW w:w="1644" w:type="dxa"/>
          </w:tcPr>
          <w:p>
            <w:pPr>
              <w:pStyle w:val="0"/>
              <w:jc w:val="center"/>
            </w:pPr>
            <w:r>
              <w:rPr>
                <w:sz w:val="20"/>
              </w:rPr>
              <w:t xml:space="preserve">10374</w:t>
            </w:r>
          </w:p>
        </w:tc>
        <w:tc>
          <w:tcPr>
            <w:tcW w:w="850" w:type="dxa"/>
          </w:tcPr>
          <w:p>
            <w:pPr>
              <w:pStyle w:val="0"/>
              <w:jc w:val="center"/>
            </w:pPr>
            <w:r>
              <w:rPr>
                <w:sz w:val="20"/>
              </w:rPr>
              <w:t xml:space="preserve">73</w:t>
            </w:r>
          </w:p>
        </w:tc>
        <w:tc>
          <w:tcPr>
            <w:tcW w:w="1304" w:type="dxa"/>
          </w:tcPr>
          <w:p>
            <w:pPr>
              <w:pStyle w:val="0"/>
              <w:jc w:val="center"/>
            </w:pPr>
            <w:r>
              <w:rPr>
                <w:sz w:val="20"/>
              </w:rPr>
              <w:t xml:space="preserve">3</w:t>
            </w:r>
          </w:p>
        </w:tc>
        <w:tc>
          <w:tcPr>
            <w:tcW w:w="1275" w:type="dxa"/>
          </w:tcPr>
          <w:p>
            <w:pPr>
              <w:pStyle w:val="0"/>
              <w:jc w:val="center"/>
            </w:pPr>
            <w:r>
              <w:rPr>
                <w:sz w:val="20"/>
              </w:rPr>
              <w:t xml:space="preserve">1457</w:t>
            </w:r>
          </w:p>
        </w:tc>
      </w:tr>
      <w:tr>
        <w:tc>
          <w:tcPr>
            <w:tcW w:w="850" w:type="dxa"/>
          </w:tcPr>
          <w:p>
            <w:pPr>
              <w:pStyle w:val="0"/>
              <w:jc w:val="center"/>
            </w:pPr>
            <w:r>
              <w:rPr>
                <w:sz w:val="20"/>
              </w:rPr>
              <w:t xml:space="preserve">2019</w:t>
            </w:r>
          </w:p>
        </w:tc>
        <w:tc>
          <w:tcPr>
            <w:tcW w:w="1428" w:type="dxa"/>
          </w:tcPr>
          <w:p>
            <w:pPr>
              <w:pStyle w:val="0"/>
              <w:jc w:val="center"/>
            </w:pPr>
            <w:r>
              <w:rPr>
                <w:sz w:val="20"/>
              </w:rPr>
              <w:t xml:space="preserve">83464</w:t>
            </w:r>
          </w:p>
        </w:tc>
        <w:tc>
          <w:tcPr>
            <w:tcW w:w="1701" w:type="dxa"/>
          </w:tcPr>
          <w:p>
            <w:pPr>
              <w:pStyle w:val="0"/>
              <w:jc w:val="center"/>
            </w:pPr>
            <w:r>
              <w:rPr>
                <w:sz w:val="20"/>
              </w:rPr>
              <w:t xml:space="preserve">159559</w:t>
            </w:r>
          </w:p>
        </w:tc>
        <w:tc>
          <w:tcPr>
            <w:tcW w:w="1644" w:type="dxa"/>
          </w:tcPr>
          <w:p>
            <w:pPr>
              <w:pStyle w:val="0"/>
              <w:jc w:val="center"/>
            </w:pPr>
            <w:r>
              <w:rPr>
                <w:sz w:val="20"/>
              </w:rPr>
              <w:t xml:space="preserve">10537</w:t>
            </w:r>
          </w:p>
        </w:tc>
        <w:tc>
          <w:tcPr>
            <w:tcW w:w="850" w:type="dxa"/>
          </w:tcPr>
          <w:p>
            <w:pPr>
              <w:pStyle w:val="0"/>
              <w:jc w:val="center"/>
            </w:pPr>
            <w:r>
              <w:rPr>
                <w:sz w:val="20"/>
              </w:rPr>
              <w:t xml:space="preserve">73</w:t>
            </w:r>
          </w:p>
        </w:tc>
        <w:tc>
          <w:tcPr>
            <w:tcW w:w="1304" w:type="dxa"/>
          </w:tcPr>
          <w:p>
            <w:pPr>
              <w:pStyle w:val="0"/>
              <w:jc w:val="center"/>
            </w:pPr>
            <w:r>
              <w:rPr>
                <w:sz w:val="20"/>
              </w:rPr>
              <w:t xml:space="preserve">28</w:t>
            </w:r>
          </w:p>
        </w:tc>
        <w:tc>
          <w:tcPr>
            <w:tcW w:w="1275" w:type="dxa"/>
          </w:tcPr>
          <w:p>
            <w:pPr>
              <w:pStyle w:val="0"/>
              <w:jc w:val="center"/>
            </w:pPr>
            <w:r>
              <w:rPr>
                <w:sz w:val="20"/>
              </w:rPr>
              <w:t xml:space="preserve">1504</w:t>
            </w:r>
          </w:p>
        </w:tc>
      </w:tr>
      <w:tr>
        <w:tc>
          <w:tcPr>
            <w:tcW w:w="850" w:type="dxa"/>
          </w:tcPr>
          <w:p>
            <w:pPr>
              <w:pStyle w:val="0"/>
              <w:jc w:val="center"/>
            </w:pPr>
            <w:r>
              <w:rPr>
                <w:sz w:val="20"/>
              </w:rPr>
              <w:t xml:space="preserve">2020</w:t>
            </w:r>
          </w:p>
        </w:tc>
        <w:tc>
          <w:tcPr>
            <w:tcW w:w="1428" w:type="dxa"/>
          </w:tcPr>
          <w:p>
            <w:pPr>
              <w:pStyle w:val="0"/>
              <w:jc w:val="center"/>
            </w:pPr>
            <w:r>
              <w:rPr>
                <w:sz w:val="20"/>
              </w:rPr>
              <w:t xml:space="preserve">85823</w:t>
            </w:r>
          </w:p>
        </w:tc>
        <w:tc>
          <w:tcPr>
            <w:tcW w:w="1701" w:type="dxa"/>
          </w:tcPr>
          <w:p>
            <w:pPr>
              <w:pStyle w:val="0"/>
              <w:jc w:val="center"/>
            </w:pPr>
            <w:r>
              <w:rPr>
                <w:sz w:val="20"/>
              </w:rPr>
              <w:t xml:space="preserve">151118</w:t>
            </w:r>
          </w:p>
        </w:tc>
        <w:tc>
          <w:tcPr>
            <w:tcW w:w="1644" w:type="dxa"/>
          </w:tcPr>
          <w:p>
            <w:pPr>
              <w:pStyle w:val="0"/>
              <w:jc w:val="center"/>
            </w:pPr>
            <w:r>
              <w:rPr>
                <w:sz w:val="20"/>
              </w:rPr>
              <w:t xml:space="preserve">13467</w:t>
            </w:r>
          </w:p>
        </w:tc>
        <w:tc>
          <w:tcPr>
            <w:tcW w:w="850" w:type="dxa"/>
          </w:tcPr>
          <w:p>
            <w:pPr>
              <w:pStyle w:val="0"/>
              <w:jc w:val="center"/>
            </w:pPr>
            <w:r>
              <w:rPr>
                <w:sz w:val="20"/>
              </w:rPr>
              <w:t xml:space="preserve">74</w:t>
            </w:r>
          </w:p>
        </w:tc>
        <w:tc>
          <w:tcPr>
            <w:tcW w:w="1304" w:type="dxa"/>
          </w:tcPr>
          <w:p>
            <w:pPr>
              <w:pStyle w:val="0"/>
              <w:jc w:val="center"/>
            </w:pPr>
            <w:r>
              <w:rPr>
                <w:sz w:val="20"/>
              </w:rPr>
              <w:t xml:space="preserve">43</w:t>
            </w:r>
          </w:p>
        </w:tc>
        <w:tc>
          <w:tcPr>
            <w:tcW w:w="1275" w:type="dxa"/>
          </w:tcPr>
          <w:p>
            <w:pPr>
              <w:pStyle w:val="0"/>
              <w:jc w:val="center"/>
            </w:pPr>
            <w:r>
              <w:rPr>
                <w:sz w:val="20"/>
              </w:rPr>
              <w:t xml:space="preserve">1643</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604"/>
        <w:gridCol w:w="1191"/>
        <w:gridCol w:w="1077"/>
        <w:gridCol w:w="1077"/>
        <w:gridCol w:w="1077"/>
        <w:gridCol w:w="1077"/>
        <w:gridCol w:w="1111"/>
      </w:tblGrid>
      <w:tr>
        <w:tc>
          <w:tcPr>
            <w:tcW w:w="850" w:type="dxa"/>
          </w:tcPr>
          <w:p>
            <w:pPr>
              <w:pStyle w:val="0"/>
              <w:jc w:val="center"/>
            </w:pPr>
            <w:r>
              <w:rPr>
                <w:sz w:val="20"/>
              </w:rPr>
              <w:t xml:space="preserve">Год</w:t>
            </w:r>
          </w:p>
        </w:tc>
        <w:tc>
          <w:tcPr>
            <w:tcW w:w="1604" w:type="dxa"/>
          </w:tcPr>
          <w:p>
            <w:pPr>
              <w:pStyle w:val="0"/>
              <w:jc w:val="center"/>
            </w:pPr>
            <w:r>
              <w:rPr>
                <w:sz w:val="20"/>
              </w:rPr>
              <w:t xml:space="preserve">Профосмотры, чел.</w:t>
            </w:r>
          </w:p>
        </w:tc>
        <w:tc>
          <w:tcPr>
            <w:tcW w:w="1191" w:type="dxa"/>
          </w:tcPr>
          <w:p>
            <w:pPr>
              <w:pStyle w:val="0"/>
              <w:jc w:val="center"/>
            </w:pPr>
            <w:r>
              <w:rPr>
                <w:sz w:val="20"/>
              </w:rPr>
              <w:t xml:space="preserve">% выполнения плана</w:t>
            </w:r>
          </w:p>
        </w:tc>
        <w:tc>
          <w:tcPr>
            <w:tcW w:w="1077" w:type="dxa"/>
          </w:tcPr>
          <w:p>
            <w:pPr>
              <w:pStyle w:val="0"/>
              <w:jc w:val="center"/>
            </w:pPr>
            <w:r>
              <w:rPr>
                <w:sz w:val="20"/>
              </w:rPr>
              <w:t xml:space="preserve">Группа здоровья 1</w:t>
            </w:r>
          </w:p>
        </w:tc>
        <w:tc>
          <w:tcPr>
            <w:tcW w:w="1077" w:type="dxa"/>
          </w:tcPr>
          <w:p>
            <w:pPr>
              <w:pStyle w:val="0"/>
              <w:jc w:val="center"/>
            </w:pPr>
            <w:r>
              <w:rPr>
                <w:sz w:val="20"/>
              </w:rPr>
              <w:t xml:space="preserve">Группа здоровья 2</w:t>
            </w:r>
          </w:p>
        </w:tc>
        <w:tc>
          <w:tcPr>
            <w:tcW w:w="1077" w:type="dxa"/>
          </w:tcPr>
          <w:p>
            <w:pPr>
              <w:pStyle w:val="0"/>
              <w:jc w:val="center"/>
            </w:pPr>
            <w:r>
              <w:rPr>
                <w:sz w:val="20"/>
              </w:rPr>
              <w:t xml:space="preserve">Группа здоровья 3</w:t>
            </w:r>
          </w:p>
        </w:tc>
        <w:tc>
          <w:tcPr>
            <w:tcW w:w="1077" w:type="dxa"/>
          </w:tcPr>
          <w:p>
            <w:pPr>
              <w:pStyle w:val="0"/>
              <w:jc w:val="center"/>
            </w:pPr>
            <w:r>
              <w:rPr>
                <w:sz w:val="20"/>
              </w:rPr>
              <w:t xml:space="preserve">Группа здоровья 4</w:t>
            </w:r>
          </w:p>
        </w:tc>
        <w:tc>
          <w:tcPr>
            <w:tcW w:w="1111" w:type="dxa"/>
          </w:tcPr>
          <w:p>
            <w:pPr>
              <w:pStyle w:val="0"/>
              <w:jc w:val="center"/>
            </w:pPr>
            <w:r>
              <w:rPr>
                <w:sz w:val="20"/>
              </w:rPr>
              <w:t xml:space="preserve">Группа здоровья 5</w:t>
            </w:r>
          </w:p>
        </w:tc>
      </w:tr>
      <w:tr>
        <w:tc>
          <w:tcPr>
            <w:tcW w:w="850" w:type="dxa"/>
          </w:tcPr>
          <w:p>
            <w:pPr>
              <w:pStyle w:val="0"/>
              <w:jc w:val="center"/>
            </w:pPr>
            <w:r>
              <w:rPr>
                <w:sz w:val="20"/>
              </w:rPr>
              <w:t xml:space="preserve">2018</w:t>
            </w:r>
          </w:p>
        </w:tc>
        <w:tc>
          <w:tcPr>
            <w:tcW w:w="1604" w:type="dxa"/>
          </w:tcPr>
          <w:p>
            <w:pPr>
              <w:pStyle w:val="0"/>
              <w:jc w:val="center"/>
            </w:pPr>
            <w:r>
              <w:rPr>
                <w:sz w:val="20"/>
              </w:rPr>
              <w:t xml:space="preserve">67169</w:t>
            </w:r>
          </w:p>
        </w:tc>
        <w:tc>
          <w:tcPr>
            <w:tcW w:w="1191" w:type="dxa"/>
          </w:tcPr>
          <w:p>
            <w:pPr>
              <w:pStyle w:val="0"/>
              <w:jc w:val="center"/>
            </w:pPr>
            <w:r>
              <w:rPr>
                <w:sz w:val="20"/>
              </w:rPr>
              <w:t xml:space="preserve">81,8%</w:t>
            </w:r>
          </w:p>
        </w:tc>
        <w:tc>
          <w:tcPr>
            <w:tcW w:w="1077" w:type="dxa"/>
          </w:tcPr>
          <w:p>
            <w:pPr>
              <w:pStyle w:val="0"/>
              <w:jc w:val="center"/>
            </w:pPr>
            <w:r>
              <w:rPr>
                <w:sz w:val="20"/>
              </w:rPr>
              <w:t xml:space="preserve">27870</w:t>
            </w:r>
          </w:p>
        </w:tc>
        <w:tc>
          <w:tcPr>
            <w:tcW w:w="1077" w:type="dxa"/>
          </w:tcPr>
          <w:p>
            <w:pPr>
              <w:pStyle w:val="0"/>
              <w:jc w:val="center"/>
            </w:pPr>
            <w:r>
              <w:rPr>
                <w:sz w:val="20"/>
              </w:rPr>
              <w:t xml:space="preserve">33867</w:t>
            </w:r>
          </w:p>
        </w:tc>
        <w:tc>
          <w:tcPr>
            <w:tcW w:w="1077" w:type="dxa"/>
          </w:tcPr>
          <w:p>
            <w:pPr>
              <w:pStyle w:val="0"/>
              <w:jc w:val="center"/>
            </w:pPr>
            <w:r>
              <w:rPr>
                <w:sz w:val="20"/>
              </w:rPr>
              <w:t xml:space="preserve">3787</w:t>
            </w:r>
          </w:p>
        </w:tc>
        <w:tc>
          <w:tcPr>
            <w:tcW w:w="1077" w:type="dxa"/>
          </w:tcPr>
          <w:p>
            <w:pPr>
              <w:pStyle w:val="0"/>
              <w:jc w:val="center"/>
            </w:pPr>
            <w:r>
              <w:rPr>
                <w:sz w:val="20"/>
              </w:rPr>
              <w:t xml:space="preserve">228</w:t>
            </w:r>
          </w:p>
        </w:tc>
        <w:tc>
          <w:tcPr>
            <w:tcW w:w="1111" w:type="dxa"/>
          </w:tcPr>
          <w:p>
            <w:pPr>
              <w:pStyle w:val="0"/>
              <w:jc w:val="center"/>
            </w:pPr>
            <w:r>
              <w:rPr>
                <w:sz w:val="20"/>
              </w:rPr>
              <w:t xml:space="preserve">1457</w:t>
            </w:r>
          </w:p>
        </w:tc>
      </w:tr>
      <w:tr>
        <w:tc>
          <w:tcPr>
            <w:tcW w:w="850" w:type="dxa"/>
          </w:tcPr>
          <w:p>
            <w:pPr>
              <w:pStyle w:val="0"/>
              <w:jc w:val="center"/>
            </w:pPr>
            <w:r>
              <w:rPr>
                <w:sz w:val="20"/>
              </w:rPr>
              <w:t xml:space="preserve">2019</w:t>
            </w:r>
          </w:p>
        </w:tc>
        <w:tc>
          <w:tcPr>
            <w:tcW w:w="1604" w:type="dxa"/>
          </w:tcPr>
          <w:p>
            <w:pPr>
              <w:pStyle w:val="0"/>
              <w:jc w:val="center"/>
            </w:pPr>
            <w:r>
              <w:rPr>
                <w:sz w:val="20"/>
              </w:rPr>
              <w:t xml:space="preserve">51763</w:t>
            </w:r>
          </w:p>
        </w:tc>
        <w:tc>
          <w:tcPr>
            <w:tcW w:w="1191" w:type="dxa"/>
          </w:tcPr>
          <w:p>
            <w:pPr>
              <w:pStyle w:val="0"/>
              <w:jc w:val="center"/>
            </w:pPr>
            <w:r>
              <w:rPr>
                <w:sz w:val="20"/>
              </w:rPr>
              <w:t xml:space="preserve">62,2%</w:t>
            </w:r>
          </w:p>
        </w:tc>
        <w:tc>
          <w:tcPr>
            <w:tcW w:w="1077" w:type="dxa"/>
          </w:tcPr>
          <w:p>
            <w:pPr>
              <w:pStyle w:val="0"/>
              <w:jc w:val="center"/>
            </w:pPr>
            <w:r>
              <w:rPr>
                <w:sz w:val="20"/>
              </w:rPr>
              <w:t xml:space="preserve">20210</w:t>
            </w:r>
          </w:p>
        </w:tc>
        <w:tc>
          <w:tcPr>
            <w:tcW w:w="1077" w:type="dxa"/>
          </w:tcPr>
          <w:p>
            <w:pPr>
              <w:pStyle w:val="0"/>
              <w:jc w:val="center"/>
            </w:pPr>
            <w:r>
              <w:rPr>
                <w:sz w:val="20"/>
              </w:rPr>
              <w:t xml:space="preserve">28255</w:t>
            </w:r>
          </w:p>
        </w:tc>
        <w:tc>
          <w:tcPr>
            <w:tcW w:w="1077" w:type="dxa"/>
          </w:tcPr>
          <w:p>
            <w:pPr>
              <w:pStyle w:val="0"/>
              <w:jc w:val="center"/>
            </w:pPr>
            <w:r>
              <w:rPr>
                <w:sz w:val="20"/>
              </w:rPr>
              <w:t xml:space="preserve">1769</w:t>
            </w:r>
          </w:p>
        </w:tc>
        <w:tc>
          <w:tcPr>
            <w:tcW w:w="1077" w:type="dxa"/>
          </w:tcPr>
          <w:p>
            <w:pPr>
              <w:pStyle w:val="0"/>
              <w:jc w:val="center"/>
            </w:pPr>
            <w:r>
              <w:rPr>
                <w:sz w:val="20"/>
              </w:rPr>
              <w:t xml:space="preserve">118</w:t>
            </w:r>
          </w:p>
        </w:tc>
        <w:tc>
          <w:tcPr>
            <w:tcW w:w="1111" w:type="dxa"/>
          </w:tcPr>
          <w:p>
            <w:pPr>
              <w:pStyle w:val="0"/>
              <w:jc w:val="center"/>
            </w:pPr>
            <w:r>
              <w:rPr>
                <w:sz w:val="20"/>
              </w:rPr>
              <w:t xml:space="preserve">1411</w:t>
            </w:r>
          </w:p>
        </w:tc>
      </w:tr>
      <w:tr>
        <w:tc>
          <w:tcPr>
            <w:tcW w:w="850" w:type="dxa"/>
          </w:tcPr>
          <w:p>
            <w:pPr>
              <w:pStyle w:val="0"/>
              <w:jc w:val="center"/>
            </w:pPr>
            <w:r>
              <w:rPr>
                <w:sz w:val="20"/>
              </w:rPr>
              <w:t xml:space="preserve">2020</w:t>
            </w:r>
          </w:p>
        </w:tc>
        <w:tc>
          <w:tcPr>
            <w:tcW w:w="1604" w:type="dxa"/>
          </w:tcPr>
          <w:p>
            <w:pPr>
              <w:pStyle w:val="0"/>
              <w:jc w:val="center"/>
            </w:pPr>
            <w:r>
              <w:rPr>
                <w:sz w:val="20"/>
              </w:rPr>
              <w:t xml:space="preserve">21443</w:t>
            </w:r>
          </w:p>
        </w:tc>
        <w:tc>
          <w:tcPr>
            <w:tcW w:w="1191" w:type="dxa"/>
          </w:tcPr>
          <w:p>
            <w:pPr>
              <w:pStyle w:val="0"/>
              <w:jc w:val="center"/>
            </w:pPr>
            <w:r>
              <w:rPr>
                <w:sz w:val="20"/>
              </w:rPr>
              <w:t xml:space="preserve">24,42%</w:t>
            </w:r>
          </w:p>
        </w:tc>
        <w:tc>
          <w:tcPr>
            <w:tcW w:w="1077" w:type="dxa"/>
          </w:tcPr>
          <w:p>
            <w:pPr>
              <w:pStyle w:val="0"/>
              <w:jc w:val="center"/>
            </w:pPr>
            <w:r>
              <w:rPr>
                <w:sz w:val="20"/>
              </w:rPr>
              <w:t xml:space="preserve">6844</w:t>
            </w:r>
          </w:p>
        </w:tc>
        <w:tc>
          <w:tcPr>
            <w:tcW w:w="1077" w:type="dxa"/>
          </w:tcPr>
          <w:p>
            <w:pPr>
              <w:pStyle w:val="0"/>
              <w:jc w:val="center"/>
            </w:pPr>
            <w:r>
              <w:rPr>
                <w:sz w:val="20"/>
              </w:rPr>
              <w:t xml:space="preserve">9712</w:t>
            </w:r>
          </w:p>
        </w:tc>
        <w:tc>
          <w:tcPr>
            <w:tcW w:w="1077" w:type="dxa"/>
          </w:tcPr>
          <w:p>
            <w:pPr>
              <w:pStyle w:val="0"/>
              <w:jc w:val="center"/>
            </w:pPr>
            <w:r>
              <w:rPr>
                <w:sz w:val="20"/>
              </w:rPr>
              <w:t xml:space="preserve">611</w:t>
            </w:r>
          </w:p>
        </w:tc>
        <w:tc>
          <w:tcPr>
            <w:tcW w:w="1077" w:type="dxa"/>
          </w:tcPr>
          <w:p>
            <w:pPr>
              <w:pStyle w:val="0"/>
              <w:jc w:val="center"/>
            </w:pPr>
            <w:r>
              <w:rPr>
                <w:sz w:val="20"/>
              </w:rPr>
              <w:t xml:space="preserve">28</w:t>
            </w:r>
          </w:p>
        </w:tc>
        <w:tc>
          <w:tcPr>
            <w:tcW w:w="1111" w:type="dxa"/>
          </w:tcPr>
          <w:p>
            <w:pPr>
              <w:pStyle w:val="0"/>
              <w:jc w:val="center"/>
            </w:pPr>
            <w:r>
              <w:rPr>
                <w:sz w:val="20"/>
              </w:rPr>
              <w:t xml:space="preserve">125</w:t>
            </w:r>
          </w:p>
        </w:tc>
      </w:tr>
    </w:tbl>
    <w:p>
      <w:pPr>
        <w:pStyle w:val="0"/>
      </w:pPr>
      <w:r>
        <w:rPr>
          <w:sz w:val="20"/>
        </w:rPr>
      </w:r>
    </w:p>
    <w:p>
      <w:pPr>
        <w:pStyle w:val="0"/>
        <w:ind w:firstLine="540"/>
        <w:jc w:val="both"/>
      </w:pPr>
      <w:r>
        <w:rPr>
          <w:sz w:val="20"/>
        </w:rPr>
        <w:t xml:space="preserve">Количество прикрепленного детского населения, подлежащего профилактическим медицинским осмотрам в 2020 г., составляет 86089 человек. Число несовершеннолетних детей, прошедших профилактические осмотры, составило 21443 чел., что составило 24,42% от годового плана. 11 детей по итогам профилактического осмотра направлены на углубленное обследование к врачам-специалистам (II этап профилактического осмотра).</w:t>
      </w:r>
    </w:p>
    <w:p>
      <w:pPr>
        <w:pStyle w:val="0"/>
        <w:spacing w:before="200" w:line-rule="auto"/>
        <w:ind w:firstLine="540"/>
        <w:jc w:val="both"/>
      </w:pPr>
      <w:r>
        <w:rPr>
          <w:sz w:val="20"/>
        </w:rPr>
        <w:t xml:space="preserve">Проведение диспансеризации детей-сирот, детей, находящихся в трудной жизненной ситуации, пребывающих в стационарных учреждениях, осуществляется в соответствии с </w:t>
      </w:r>
      <w:hyperlink w:history="0" r:id="rId611" w:tooltip="Приказ Минздрава России от 15.02.2013 N 72н (ред. от 19.11.2020) &quot;О проведении диспансеризации пребывающих в стационарных учреждениях детей-сирот и детей, находящихся в трудной жизненной ситуации&quot; (вместе с &quot;Порядком проведения диспансеризации пребывающих в стационарных учреждениях детей-сирот и детей, находящихся в трудной жизненной ситуации&quot;) (Зарегистрировано в Минюсте России 02.04.2013 N 27964) {КонсультантПлюс}">
        <w:r>
          <w:rPr>
            <w:sz w:val="20"/>
            <w:color w:val="0000ff"/>
          </w:rPr>
          <w:t xml:space="preserve">приказом</w:t>
        </w:r>
      </w:hyperlink>
      <w:r>
        <w:rPr>
          <w:sz w:val="20"/>
        </w:rPr>
        <w:t xml:space="preserve"> МЗ РФ от 15.02.2013 N 72н. Диспансеризация детей-сирот и детей, оставшихся без попечения родителей, осуществляется в соответствии с </w:t>
      </w:r>
      <w:hyperlink w:history="0" r:id="rId612" w:tooltip="Приказ Минздрава России от 11.04.2013 N 216н (ред. от 19.11.2020) &quot;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quot; (Зарегистрировано в Минюсте России 21.05.2013 N 28454) ------------ Утратил силу или отменен {КонсультантПлюс}">
        <w:r>
          <w:rPr>
            <w:sz w:val="20"/>
            <w:color w:val="0000ff"/>
          </w:rPr>
          <w:t xml:space="preserve">приказом</w:t>
        </w:r>
      </w:hyperlink>
      <w:r>
        <w:rPr>
          <w:sz w:val="20"/>
        </w:rPr>
        <w:t xml:space="preserve"> МЗ РФ от 11.04.2013 N 216н. Диспансеризация детей-сирот проводится организованно в условиях детских поликлиник с формированием индивидуальных маршрутных листов диспансеризации несовершеннолетних.</w:t>
      </w:r>
    </w:p>
    <w:p>
      <w:pPr>
        <w:pStyle w:val="0"/>
        <w:spacing w:before="200" w:line-rule="auto"/>
        <w:ind w:firstLine="540"/>
        <w:jc w:val="both"/>
      </w:pPr>
      <w:r>
        <w:rPr>
          <w:sz w:val="20"/>
        </w:rPr>
        <w:t xml:space="preserve">Количество детей-сирот и детей, оставшихся без попечения родителей, в 2020 г. составляет 573 человека. Количество детей, пребывающих в стационарных учреждениях для детей-сирот и детей, находящихся в трудной жизненной ситуации, составляет 63 человека. За 2020 г. проведена диспансеризация:</w:t>
      </w:r>
    </w:p>
    <w:p>
      <w:pPr>
        <w:pStyle w:val="0"/>
        <w:spacing w:before="200" w:line-rule="auto"/>
        <w:ind w:firstLine="540"/>
        <w:jc w:val="both"/>
      </w:pPr>
      <w:r>
        <w:rPr>
          <w:sz w:val="20"/>
        </w:rPr>
        <w:t xml:space="preserve">- детям-сиротам и детям, оставшимся без попечения родителей, в количестве 126 человек, что составляет 21,99% от годового плана;</w:t>
      </w:r>
    </w:p>
    <w:p>
      <w:pPr>
        <w:pStyle w:val="0"/>
        <w:spacing w:before="200" w:line-rule="auto"/>
        <w:ind w:firstLine="540"/>
        <w:jc w:val="both"/>
      </w:pPr>
      <w:r>
        <w:rPr>
          <w:sz w:val="20"/>
        </w:rPr>
        <w:t xml:space="preserve">- детям, пребывающим в стационарных учреждениях для детей-сирот, в количестве 22 человек, что составляет 34,92% от годового плана.</w:t>
      </w:r>
    </w:p>
    <w:p>
      <w:pPr>
        <w:pStyle w:val="0"/>
        <w:spacing w:before="200" w:line-rule="auto"/>
        <w:ind w:firstLine="540"/>
        <w:jc w:val="both"/>
      </w:pPr>
      <w:r>
        <w:rPr>
          <w:sz w:val="20"/>
        </w:rPr>
        <w:t xml:space="preserve">В связи с карантинными мероприятиями по нераспространению новой коронавирусной инфекции проведение медицинских профилактических осмотров, диспансеризации детей-сирот приостановлено до настоящего времени.</w:t>
      </w:r>
    </w:p>
    <w:p>
      <w:pPr>
        <w:pStyle w:val="0"/>
        <w:spacing w:before="200" w:line-rule="auto"/>
        <w:ind w:firstLine="540"/>
        <w:jc w:val="both"/>
      </w:pPr>
      <w:r>
        <w:rPr>
          <w:sz w:val="20"/>
        </w:rPr>
        <w:t xml:space="preserve">В ГБУЗС "Городская больница N 5 - "ЦОЗМиР" функционируют две паллиативные койки на базе детского стационара. Обучен и приступил к работе врач по оказанию паллиативной помощи детям в г. Севастополе. Сформирован регистр детей, которым оказывается паллиативная помощь.</w:t>
      </w:r>
    </w:p>
    <w:p>
      <w:pPr>
        <w:pStyle w:val="0"/>
        <w:spacing w:before="200" w:line-rule="auto"/>
        <w:ind w:firstLine="540"/>
        <w:jc w:val="both"/>
      </w:pPr>
      <w:r>
        <w:rPr>
          <w:sz w:val="20"/>
        </w:rPr>
        <w:t xml:space="preserve">Паллиативная помощь на амбулаторно-поликлиническом этапе осуществляется также врачами-педиатрами, прошедшими обучение по оказанию паллиативной помощи и имеющими соответствующие сертификаты.</w:t>
      </w:r>
    </w:p>
    <w:p>
      <w:pPr>
        <w:pStyle w:val="0"/>
        <w:spacing w:before="200" w:line-rule="auto"/>
        <w:ind w:firstLine="540"/>
        <w:jc w:val="both"/>
      </w:pPr>
      <w:r>
        <w:rPr>
          <w:sz w:val="20"/>
        </w:rPr>
        <w:t xml:space="preserve">В 2020 году количество детей, находящихся под диспансерным наблюдением, составляет 15,69% от общего количества детей и увеличилось на 3,07% в сравнении с 2019 г. Увеличивается количество детей, нуждающихся в паллиативной помощи.</w:t>
      </w:r>
    </w:p>
    <w:p>
      <w:pPr>
        <w:pStyle w:val="0"/>
        <w:ind w:firstLine="540"/>
        <w:jc w:val="both"/>
      </w:pPr>
      <w:r>
        <w:rPr>
          <w:sz w:val="20"/>
        </w:rPr>
      </w:r>
    </w:p>
    <w:p>
      <w:pPr>
        <w:pStyle w:val="2"/>
        <w:outlineLvl w:val="2"/>
        <w:jc w:val="center"/>
      </w:pPr>
      <w:r>
        <w:rPr>
          <w:sz w:val="20"/>
        </w:rPr>
        <w:t xml:space="preserve">Лекарственное обеспечение женщин и детей</w:t>
      </w:r>
    </w:p>
    <w:p>
      <w:pPr>
        <w:pStyle w:val="0"/>
        <w:jc w:val="center"/>
      </w:pPr>
      <w:r>
        <w:rPr>
          <w:sz w:val="20"/>
        </w:rPr>
      </w:r>
    </w:p>
    <w:p>
      <w:pPr>
        <w:pStyle w:val="0"/>
        <w:ind w:firstLine="540"/>
        <w:jc w:val="both"/>
      </w:pPr>
      <w:r>
        <w:rPr>
          <w:sz w:val="20"/>
        </w:rPr>
        <w:t xml:space="preserve">Обеспечение льготными лекарственными препаратами детей из многодетных семей в возрасте до 6 лет осуществляется в соответствии с </w:t>
      </w:r>
      <w:hyperlink w:history="0" r:id="rId613" w:tooltip="Постановление Правительства РФ от 30.07.1994 N 890 (ред. от 14.02.2002) &quot;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quot; {КонсультантПлюс}">
        <w:r>
          <w:rPr>
            <w:sz w:val="20"/>
            <w:color w:val="0000ff"/>
          </w:rPr>
          <w:t xml:space="preserve">постановлением</w:t>
        </w:r>
      </w:hyperlink>
      <w:r>
        <w:rPr>
          <w:sz w:val="20"/>
        </w:rPr>
        <w:t xml:space="preserve"> Правительства Российской Федерации от 30.07.1994 N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Количество детей в возрасте от 0 до 3 лет, прикрепленных к детским поликлиникам, подведомственным Департаменту здравоохранения города Севастополя, на 01.01.2021 составило 20213 человек. Количество детей до 6 лет из многодетных семей на 01.01.2021 составило 728 человек.</w:t>
      </w:r>
    </w:p>
    <w:p>
      <w:pPr>
        <w:pStyle w:val="0"/>
        <w:spacing w:before="200" w:line-rule="auto"/>
        <w:ind w:firstLine="540"/>
        <w:jc w:val="both"/>
      </w:pPr>
      <w:r>
        <w:rPr>
          <w:sz w:val="20"/>
        </w:rPr>
        <w:t xml:space="preserve">Количество детей в возрасте от 0 до 3-х лет, внесенных в регистр льготных категорий, по состоянию на 01.01.2021 составило 12024 человека. Случаи отказа в выписке рецептов на льготные лекарственные препараты детям в возрасте от 0 до 3 лет и детям до 6 лет из многодетных семей в городе Севастополе отсутствуют.</w:t>
      </w:r>
    </w:p>
    <w:p>
      <w:pPr>
        <w:pStyle w:val="0"/>
        <w:spacing w:before="200" w:line-rule="auto"/>
        <w:ind w:firstLine="540"/>
        <w:jc w:val="both"/>
      </w:pPr>
      <w:r>
        <w:rPr>
          <w:sz w:val="20"/>
        </w:rPr>
        <w:t xml:space="preserve">Денежные средства на закупку лекарственных препаратов для детей первых трех лет жизни, а также детей из многодетных семей в возрасте до 6 лет выделяются из регионального бюджета города Севастополя без разбивки по категориям льготников.</w:t>
      </w:r>
    </w:p>
    <w:p>
      <w:pPr>
        <w:pStyle w:val="0"/>
        <w:spacing w:before="200" w:line-rule="auto"/>
        <w:ind w:firstLine="540"/>
        <w:jc w:val="both"/>
      </w:pPr>
      <w:r>
        <w:rPr>
          <w:sz w:val="20"/>
        </w:rPr>
        <w:t xml:space="preserve">Обеспечение лекарственными препаратами отдельных категорий граждан осуществляется в соответствии с Федеральным </w:t>
      </w:r>
      <w:hyperlink w:history="0" r:id="rId614" w:tooltip="Федеральный закон от 17.07.1999 N 178-ФЗ (ред. от 24.07.2023) &quot;О государственной социальной помощи&quot; {КонсультантПлюс}">
        <w:r>
          <w:rPr>
            <w:sz w:val="20"/>
            <w:color w:val="0000ff"/>
          </w:rPr>
          <w:t xml:space="preserve">законом</w:t>
        </w:r>
      </w:hyperlink>
      <w:r>
        <w:rPr>
          <w:sz w:val="20"/>
        </w:rPr>
        <w:t xml:space="preserve"> от 17.07.1999 N 178-ФЗ "О государственной социальной помощи", </w:t>
      </w:r>
      <w:hyperlink w:history="0" r:id="rId615" w:tooltip="Постановление Правительства РФ от 30.07.1994 N 890 (ред. от 14.02.2002) &quot;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quot; {КонсультантПлюс}">
        <w:r>
          <w:rPr>
            <w:sz w:val="20"/>
            <w:color w:val="0000ff"/>
          </w:rPr>
          <w:t xml:space="preserve">постановлением</w:t>
        </w:r>
      </w:hyperlink>
      <w:r>
        <w:rPr>
          <w:sz w:val="20"/>
        </w:rPr>
        <w:t xml:space="preserve"> Правительства Российской Федерации от 30.07.1994 N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и </w:t>
      </w:r>
      <w:hyperlink w:history="0" r:id="rId616" w:tooltip="Закон города Севастополя от 01.12.2015 N 209-ЗС &quot;О дополнительном лекарственном обеспечении льготных категорий граждан города Севастополя&quot; (принят Законодательным Собранием г. Севастополя 24.11.2015) {КонсультантПлюс}">
        <w:r>
          <w:rPr>
            <w:sz w:val="20"/>
            <w:color w:val="0000ff"/>
          </w:rPr>
          <w:t xml:space="preserve">Законом</w:t>
        </w:r>
      </w:hyperlink>
      <w:r>
        <w:rPr>
          <w:sz w:val="20"/>
        </w:rPr>
        <w:t xml:space="preserve"> города Севастополя от 01.12.2015 N 209-ЗС "О дополнительном лекарственном обеспечении льготных категорий граждан города Севастополя", а также в рамках территориальной программы государственных гарантий бесплатного оказания гражданам медицинской помощи.</w:t>
      </w:r>
    </w:p>
    <w:p>
      <w:pPr>
        <w:pStyle w:val="0"/>
        <w:spacing w:before="200" w:line-rule="auto"/>
        <w:ind w:firstLine="540"/>
        <w:jc w:val="both"/>
      </w:pPr>
      <w:r>
        <w:rPr>
          <w:sz w:val="20"/>
        </w:rPr>
        <w:t xml:space="preserve">В 2020 году детское население обеспечено льготными лекарственными препаратами на сумму 129621603,28 рубля в соответствии со следующими категориями:</w:t>
      </w:r>
    </w:p>
    <w:p>
      <w:pPr>
        <w:pStyle w:val="0"/>
        <w:ind w:firstLine="540"/>
        <w:jc w:val="both"/>
      </w:pPr>
      <w:r>
        <w:rPr>
          <w:sz w:val="20"/>
        </w:rPr>
      </w:r>
    </w:p>
    <w:p>
      <w:pPr>
        <w:pStyle w:val="0"/>
        <w:jc w:val="center"/>
      </w:pPr>
      <w:r>
        <w:rPr>
          <w:sz w:val="20"/>
        </w:rPr>
        <w:t xml:space="preserve">Региональная льгота (дети до 3 лет, дети до 6 лет</w:t>
      </w:r>
    </w:p>
    <w:p>
      <w:pPr>
        <w:pStyle w:val="0"/>
        <w:jc w:val="center"/>
      </w:pPr>
      <w:r>
        <w:rPr>
          <w:sz w:val="20"/>
        </w:rPr>
        <w:t xml:space="preserve">из многодетных семей, дети, имеющие</w:t>
      </w:r>
    </w:p>
    <w:p>
      <w:pPr>
        <w:pStyle w:val="0"/>
        <w:jc w:val="center"/>
      </w:pPr>
      <w:r>
        <w:rPr>
          <w:sz w:val="20"/>
        </w:rPr>
        <w:t xml:space="preserve">определенные заболевания)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040"/>
        <w:gridCol w:w="2040"/>
        <w:gridCol w:w="2040"/>
        <w:gridCol w:w="2040"/>
      </w:tblGrid>
      <w:tr>
        <w:tc>
          <w:tcPr>
            <w:tcW w:w="907" w:type="dxa"/>
          </w:tcPr>
          <w:p>
            <w:pPr>
              <w:pStyle w:val="0"/>
              <w:jc w:val="center"/>
            </w:pPr>
            <w:r>
              <w:rPr>
                <w:sz w:val="20"/>
              </w:rPr>
              <w:t xml:space="preserve">Год</w:t>
            </w:r>
          </w:p>
        </w:tc>
        <w:tc>
          <w:tcPr>
            <w:tcW w:w="2040" w:type="dxa"/>
          </w:tcPr>
          <w:p>
            <w:pPr>
              <w:pStyle w:val="0"/>
              <w:jc w:val="center"/>
            </w:pPr>
            <w:r>
              <w:rPr>
                <w:sz w:val="20"/>
              </w:rPr>
              <w:t xml:space="preserve">Всего подлежит</w:t>
            </w:r>
          </w:p>
        </w:tc>
        <w:tc>
          <w:tcPr>
            <w:tcW w:w="2040" w:type="dxa"/>
          </w:tcPr>
          <w:p>
            <w:pPr>
              <w:pStyle w:val="0"/>
              <w:jc w:val="center"/>
            </w:pPr>
            <w:r>
              <w:rPr>
                <w:sz w:val="20"/>
              </w:rPr>
              <w:t xml:space="preserve">Выписано рецептов</w:t>
            </w:r>
          </w:p>
        </w:tc>
        <w:tc>
          <w:tcPr>
            <w:tcW w:w="2040" w:type="dxa"/>
          </w:tcPr>
          <w:p>
            <w:pPr>
              <w:pStyle w:val="0"/>
              <w:jc w:val="center"/>
            </w:pPr>
            <w:r>
              <w:rPr>
                <w:sz w:val="20"/>
              </w:rPr>
              <w:t xml:space="preserve">Получившие льготу (чел.)</w:t>
            </w:r>
          </w:p>
        </w:tc>
        <w:tc>
          <w:tcPr>
            <w:tcW w:w="2040" w:type="dxa"/>
          </w:tcPr>
          <w:p>
            <w:pPr>
              <w:pStyle w:val="0"/>
              <w:jc w:val="center"/>
            </w:pPr>
            <w:r>
              <w:rPr>
                <w:sz w:val="20"/>
              </w:rPr>
              <w:t xml:space="preserve">Сумма (руб.)</w:t>
            </w:r>
          </w:p>
        </w:tc>
      </w:tr>
      <w:tr>
        <w:tc>
          <w:tcPr>
            <w:tcW w:w="907" w:type="dxa"/>
          </w:tcPr>
          <w:p>
            <w:pPr>
              <w:pStyle w:val="0"/>
              <w:jc w:val="center"/>
            </w:pPr>
            <w:r>
              <w:rPr>
                <w:sz w:val="20"/>
              </w:rPr>
              <w:t xml:space="preserve">2018</w:t>
            </w:r>
          </w:p>
        </w:tc>
        <w:tc>
          <w:tcPr>
            <w:tcW w:w="2040" w:type="dxa"/>
          </w:tcPr>
          <w:p>
            <w:pPr>
              <w:pStyle w:val="0"/>
              <w:jc w:val="center"/>
            </w:pPr>
            <w:r>
              <w:rPr>
                <w:sz w:val="20"/>
              </w:rPr>
              <w:t xml:space="preserve">13378</w:t>
            </w:r>
          </w:p>
        </w:tc>
        <w:tc>
          <w:tcPr>
            <w:tcW w:w="2040" w:type="dxa"/>
          </w:tcPr>
          <w:p>
            <w:pPr>
              <w:pStyle w:val="0"/>
              <w:jc w:val="center"/>
            </w:pPr>
            <w:r>
              <w:rPr>
                <w:sz w:val="20"/>
              </w:rPr>
              <w:t xml:space="preserve">5890</w:t>
            </w:r>
          </w:p>
        </w:tc>
        <w:tc>
          <w:tcPr>
            <w:tcW w:w="2040" w:type="dxa"/>
          </w:tcPr>
          <w:p>
            <w:pPr>
              <w:pStyle w:val="0"/>
              <w:jc w:val="center"/>
            </w:pPr>
            <w:r>
              <w:rPr>
                <w:sz w:val="20"/>
              </w:rPr>
              <w:t xml:space="preserve">1760</w:t>
            </w:r>
          </w:p>
        </w:tc>
        <w:tc>
          <w:tcPr>
            <w:tcW w:w="2040" w:type="dxa"/>
          </w:tcPr>
          <w:p>
            <w:pPr>
              <w:pStyle w:val="0"/>
              <w:jc w:val="center"/>
            </w:pPr>
            <w:r>
              <w:rPr>
                <w:sz w:val="20"/>
              </w:rPr>
              <w:t xml:space="preserve">951524,6</w:t>
            </w:r>
          </w:p>
        </w:tc>
      </w:tr>
      <w:tr>
        <w:tc>
          <w:tcPr>
            <w:tcW w:w="907" w:type="dxa"/>
          </w:tcPr>
          <w:p>
            <w:pPr>
              <w:pStyle w:val="0"/>
              <w:jc w:val="center"/>
            </w:pPr>
            <w:r>
              <w:rPr>
                <w:sz w:val="20"/>
              </w:rPr>
              <w:t xml:space="preserve">2019</w:t>
            </w:r>
          </w:p>
        </w:tc>
        <w:tc>
          <w:tcPr>
            <w:tcW w:w="2040" w:type="dxa"/>
          </w:tcPr>
          <w:p>
            <w:pPr>
              <w:pStyle w:val="0"/>
              <w:jc w:val="center"/>
            </w:pPr>
            <w:r>
              <w:rPr>
                <w:sz w:val="20"/>
              </w:rPr>
              <w:t xml:space="preserve">15503</w:t>
            </w:r>
          </w:p>
        </w:tc>
        <w:tc>
          <w:tcPr>
            <w:tcW w:w="2040" w:type="dxa"/>
          </w:tcPr>
          <w:p>
            <w:pPr>
              <w:pStyle w:val="0"/>
              <w:jc w:val="center"/>
            </w:pPr>
            <w:r>
              <w:rPr>
                <w:sz w:val="20"/>
              </w:rPr>
              <w:t xml:space="preserve">7078</w:t>
            </w:r>
          </w:p>
        </w:tc>
        <w:tc>
          <w:tcPr>
            <w:tcW w:w="2040" w:type="dxa"/>
          </w:tcPr>
          <w:p>
            <w:pPr>
              <w:pStyle w:val="0"/>
              <w:jc w:val="center"/>
            </w:pPr>
            <w:r>
              <w:rPr>
                <w:sz w:val="20"/>
              </w:rPr>
              <w:t xml:space="preserve">2020</w:t>
            </w:r>
          </w:p>
        </w:tc>
        <w:tc>
          <w:tcPr>
            <w:tcW w:w="2040" w:type="dxa"/>
          </w:tcPr>
          <w:p>
            <w:pPr>
              <w:pStyle w:val="0"/>
              <w:jc w:val="center"/>
            </w:pPr>
            <w:r>
              <w:rPr>
                <w:sz w:val="20"/>
              </w:rPr>
              <w:t xml:space="preserve">1320776,76</w:t>
            </w:r>
          </w:p>
        </w:tc>
      </w:tr>
      <w:tr>
        <w:tc>
          <w:tcPr>
            <w:tcW w:w="907" w:type="dxa"/>
          </w:tcPr>
          <w:p>
            <w:pPr>
              <w:pStyle w:val="0"/>
              <w:jc w:val="center"/>
            </w:pPr>
            <w:r>
              <w:rPr>
                <w:sz w:val="20"/>
              </w:rPr>
              <w:t xml:space="preserve">2020</w:t>
            </w:r>
          </w:p>
        </w:tc>
        <w:tc>
          <w:tcPr>
            <w:tcW w:w="2040" w:type="dxa"/>
          </w:tcPr>
          <w:p>
            <w:pPr>
              <w:pStyle w:val="0"/>
              <w:jc w:val="center"/>
            </w:pPr>
            <w:r>
              <w:rPr>
                <w:sz w:val="20"/>
              </w:rPr>
              <w:t xml:space="preserve">17645</w:t>
            </w:r>
          </w:p>
        </w:tc>
        <w:tc>
          <w:tcPr>
            <w:tcW w:w="2040" w:type="dxa"/>
          </w:tcPr>
          <w:p>
            <w:pPr>
              <w:pStyle w:val="0"/>
              <w:jc w:val="center"/>
            </w:pPr>
            <w:r>
              <w:rPr>
                <w:sz w:val="20"/>
              </w:rPr>
              <w:t xml:space="preserve">6604</w:t>
            </w:r>
          </w:p>
        </w:tc>
        <w:tc>
          <w:tcPr>
            <w:tcW w:w="2040" w:type="dxa"/>
          </w:tcPr>
          <w:p>
            <w:pPr>
              <w:pStyle w:val="0"/>
              <w:jc w:val="center"/>
            </w:pPr>
            <w:r>
              <w:rPr>
                <w:sz w:val="20"/>
              </w:rPr>
              <w:t xml:space="preserve">1880</w:t>
            </w:r>
          </w:p>
        </w:tc>
        <w:tc>
          <w:tcPr>
            <w:tcW w:w="2040" w:type="dxa"/>
          </w:tcPr>
          <w:p>
            <w:pPr>
              <w:pStyle w:val="0"/>
              <w:jc w:val="center"/>
            </w:pPr>
            <w:r>
              <w:rPr>
                <w:sz w:val="20"/>
              </w:rPr>
              <w:t xml:space="preserve">40411620,57</w:t>
            </w:r>
          </w:p>
        </w:tc>
      </w:tr>
    </w:tbl>
    <w:p>
      <w:pPr>
        <w:pStyle w:val="0"/>
      </w:pPr>
      <w:r>
        <w:rPr>
          <w:sz w:val="20"/>
        </w:rPr>
      </w:r>
    </w:p>
    <w:p>
      <w:pPr>
        <w:pStyle w:val="0"/>
        <w:jc w:val="center"/>
      </w:pPr>
      <w:r>
        <w:rPr>
          <w:sz w:val="20"/>
        </w:rPr>
        <w:t xml:space="preserve">Федеральная льгота (дети-инвалиды)</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040"/>
        <w:gridCol w:w="2040"/>
        <w:gridCol w:w="2040"/>
        <w:gridCol w:w="2040"/>
      </w:tblGrid>
      <w:tr>
        <w:tc>
          <w:tcPr>
            <w:tcW w:w="907" w:type="dxa"/>
          </w:tcPr>
          <w:p>
            <w:pPr>
              <w:pStyle w:val="0"/>
              <w:jc w:val="center"/>
            </w:pPr>
            <w:r>
              <w:rPr>
                <w:sz w:val="20"/>
              </w:rPr>
              <w:t xml:space="preserve">Год</w:t>
            </w:r>
          </w:p>
        </w:tc>
        <w:tc>
          <w:tcPr>
            <w:tcW w:w="2040" w:type="dxa"/>
          </w:tcPr>
          <w:p>
            <w:pPr>
              <w:pStyle w:val="0"/>
              <w:jc w:val="center"/>
            </w:pPr>
            <w:r>
              <w:rPr>
                <w:sz w:val="20"/>
              </w:rPr>
              <w:t xml:space="preserve">Всего детей-инвалидов</w:t>
            </w:r>
          </w:p>
        </w:tc>
        <w:tc>
          <w:tcPr>
            <w:tcW w:w="2040" w:type="dxa"/>
          </w:tcPr>
          <w:p>
            <w:pPr>
              <w:pStyle w:val="0"/>
              <w:jc w:val="center"/>
            </w:pPr>
            <w:r>
              <w:rPr>
                <w:sz w:val="20"/>
              </w:rPr>
              <w:t xml:space="preserve">Выписано рецептов</w:t>
            </w:r>
          </w:p>
        </w:tc>
        <w:tc>
          <w:tcPr>
            <w:tcW w:w="2040" w:type="dxa"/>
          </w:tcPr>
          <w:p>
            <w:pPr>
              <w:pStyle w:val="0"/>
              <w:jc w:val="center"/>
            </w:pPr>
            <w:r>
              <w:rPr>
                <w:sz w:val="20"/>
              </w:rPr>
              <w:t xml:space="preserve">Получившие льготу (чел.)</w:t>
            </w:r>
          </w:p>
        </w:tc>
        <w:tc>
          <w:tcPr>
            <w:tcW w:w="2040" w:type="dxa"/>
          </w:tcPr>
          <w:p>
            <w:pPr>
              <w:pStyle w:val="0"/>
              <w:jc w:val="center"/>
            </w:pPr>
            <w:r>
              <w:rPr>
                <w:sz w:val="20"/>
              </w:rPr>
              <w:t xml:space="preserve">Сумма (руб.)</w:t>
            </w:r>
          </w:p>
        </w:tc>
      </w:tr>
      <w:tr>
        <w:tc>
          <w:tcPr>
            <w:tcW w:w="907" w:type="dxa"/>
          </w:tcPr>
          <w:p>
            <w:pPr>
              <w:pStyle w:val="0"/>
              <w:jc w:val="center"/>
            </w:pPr>
            <w:r>
              <w:rPr>
                <w:sz w:val="20"/>
              </w:rPr>
              <w:t xml:space="preserve">2018</w:t>
            </w:r>
          </w:p>
        </w:tc>
        <w:tc>
          <w:tcPr>
            <w:tcW w:w="2040" w:type="dxa"/>
          </w:tcPr>
          <w:p>
            <w:pPr>
              <w:pStyle w:val="0"/>
              <w:jc w:val="center"/>
            </w:pPr>
            <w:r>
              <w:rPr>
                <w:sz w:val="20"/>
              </w:rPr>
              <w:t xml:space="preserve">1457</w:t>
            </w:r>
          </w:p>
        </w:tc>
        <w:tc>
          <w:tcPr>
            <w:tcW w:w="2040" w:type="dxa"/>
          </w:tcPr>
          <w:p>
            <w:pPr>
              <w:pStyle w:val="0"/>
              <w:jc w:val="center"/>
            </w:pPr>
            <w:r>
              <w:rPr>
                <w:sz w:val="20"/>
              </w:rPr>
              <w:t xml:space="preserve">1849</w:t>
            </w:r>
          </w:p>
        </w:tc>
        <w:tc>
          <w:tcPr>
            <w:tcW w:w="2040" w:type="dxa"/>
          </w:tcPr>
          <w:p>
            <w:pPr>
              <w:pStyle w:val="0"/>
              <w:jc w:val="center"/>
            </w:pPr>
            <w:r>
              <w:rPr>
                <w:sz w:val="20"/>
              </w:rPr>
              <w:t xml:space="preserve">212</w:t>
            </w:r>
          </w:p>
        </w:tc>
        <w:tc>
          <w:tcPr>
            <w:tcW w:w="2040" w:type="dxa"/>
          </w:tcPr>
          <w:p>
            <w:pPr>
              <w:pStyle w:val="0"/>
              <w:jc w:val="center"/>
            </w:pPr>
            <w:r>
              <w:rPr>
                <w:sz w:val="20"/>
              </w:rPr>
              <w:t xml:space="preserve">15243486,27</w:t>
            </w:r>
          </w:p>
        </w:tc>
      </w:tr>
      <w:tr>
        <w:tc>
          <w:tcPr>
            <w:tcW w:w="907" w:type="dxa"/>
          </w:tcPr>
          <w:p>
            <w:pPr>
              <w:pStyle w:val="0"/>
              <w:jc w:val="center"/>
            </w:pPr>
            <w:r>
              <w:rPr>
                <w:sz w:val="20"/>
              </w:rPr>
              <w:t xml:space="preserve">2019</w:t>
            </w:r>
          </w:p>
        </w:tc>
        <w:tc>
          <w:tcPr>
            <w:tcW w:w="2040" w:type="dxa"/>
          </w:tcPr>
          <w:p>
            <w:pPr>
              <w:pStyle w:val="0"/>
              <w:jc w:val="center"/>
            </w:pPr>
            <w:r>
              <w:rPr>
                <w:sz w:val="20"/>
              </w:rPr>
              <w:t xml:space="preserve">1411</w:t>
            </w:r>
          </w:p>
        </w:tc>
        <w:tc>
          <w:tcPr>
            <w:tcW w:w="2040" w:type="dxa"/>
          </w:tcPr>
          <w:p>
            <w:pPr>
              <w:pStyle w:val="0"/>
              <w:jc w:val="center"/>
            </w:pPr>
            <w:r>
              <w:rPr>
                <w:sz w:val="20"/>
              </w:rPr>
              <w:t xml:space="preserve">2251</w:t>
            </w:r>
          </w:p>
        </w:tc>
        <w:tc>
          <w:tcPr>
            <w:tcW w:w="2040" w:type="dxa"/>
          </w:tcPr>
          <w:p>
            <w:pPr>
              <w:pStyle w:val="0"/>
              <w:jc w:val="center"/>
            </w:pPr>
            <w:r>
              <w:rPr>
                <w:sz w:val="20"/>
              </w:rPr>
              <w:t xml:space="preserve">197</w:t>
            </w:r>
          </w:p>
        </w:tc>
        <w:tc>
          <w:tcPr>
            <w:tcW w:w="2040" w:type="dxa"/>
          </w:tcPr>
          <w:p>
            <w:pPr>
              <w:pStyle w:val="0"/>
              <w:jc w:val="center"/>
            </w:pPr>
            <w:r>
              <w:rPr>
                <w:sz w:val="20"/>
              </w:rPr>
              <w:t xml:space="preserve">16377172,81</w:t>
            </w:r>
          </w:p>
        </w:tc>
      </w:tr>
      <w:tr>
        <w:tc>
          <w:tcPr>
            <w:tcW w:w="907" w:type="dxa"/>
          </w:tcPr>
          <w:p>
            <w:pPr>
              <w:pStyle w:val="0"/>
              <w:jc w:val="center"/>
            </w:pPr>
            <w:r>
              <w:rPr>
                <w:sz w:val="20"/>
              </w:rPr>
              <w:t xml:space="preserve">2020</w:t>
            </w:r>
          </w:p>
        </w:tc>
        <w:tc>
          <w:tcPr>
            <w:tcW w:w="2040" w:type="dxa"/>
          </w:tcPr>
          <w:p>
            <w:pPr>
              <w:pStyle w:val="0"/>
              <w:jc w:val="center"/>
            </w:pPr>
            <w:r>
              <w:rPr>
                <w:sz w:val="20"/>
              </w:rPr>
              <w:t xml:space="preserve">1618</w:t>
            </w:r>
          </w:p>
        </w:tc>
        <w:tc>
          <w:tcPr>
            <w:tcW w:w="2040" w:type="dxa"/>
          </w:tcPr>
          <w:p>
            <w:pPr>
              <w:pStyle w:val="0"/>
              <w:jc w:val="center"/>
            </w:pPr>
            <w:r>
              <w:rPr>
                <w:sz w:val="20"/>
              </w:rPr>
              <w:t xml:space="preserve">2500</w:t>
            </w:r>
          </w:p>
        </w:tc>
        <w:tc>
          <w:tcPr>
            <w:tcW w:w="2040" w:type="dxa"/>
          </w:tcPr>
          <w:p>
            <w:pPr>
              <w:pStyle w:val="0"/>
              <w:jc w:val="center"/>
            </w:pPr>
            <w:r>
              <w:rPr>
                <w:sz w:val="20"/>
              </w:rPr>
              <w:t xml:space="preserve">231</w:t>
            </w:r>
          </w:p>
        </w:tc>
        <w:tc>
          <w:tcPr>
            <w:tcW w:w="2040" w:type="dxa"/>
          </w:tcPr>
          <w:p>
            <w:pPr>
              <w:pStyle w:val="0"/>
              <w:jc w:val="center"/>
            </w:pPr>
            <w:r>
              <w:rPr>
                <w:sz w:val="20"/>
              </w:rPr>
              <w:t xml:space="preserve">21987624,34</w:t>
            </w:r>
          </w:p>
        </w:tc>
      </w:tr>
    </w:tbl>
    <w:p>
      <w:pPr>
        <w:pStyle w:val="0"/>
      </w:pPr>
      <w:r>
        <w:rPr>
          <w:sz w:val="20"/>
        </w:rPr>
      </w:r>
    </w:p>
    <w:p>
      <w:pPr>
        <w:pStyle w:val="0"/>
        <w:jc w:val="center"/>
      </w:pPr>
      <w:r>
        <w:rPr>
          <w:sz w:val="20"/>
        </w:rPr>
        <w:t xml:space="preserve">Категория 14 высокозатратных нозологий</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040"/>
        <w:gridCol w:w="2040"/>
        <w:gridCol w:w="2040"/>
        <w:gridCol w:w="2040"/>
      </w:tblGrid>
      <w:tr>
        <w:tc>
          <w:tcPr>
            <w:tcW w:w="907" w:type="dxa"/>
          </w:tcPr>
          <w:p>
            <w:pPr>
              <w:pStyle w:val="0"/>
              <w:jc w:val="center"/>
            </w:pPr>
            <w:r>
              <w:rPr>
                <w:sz w:val="20"/>
              </w:rPr>
              <w:t xml:space="preserve">Год</w:t>
            </w:r>
          </w:p>
        </w:tc>
        <w:tc>
          <w:tcPr>
            <w:tcW w:w="2040" w:type="dxa"/>
          </w:tcPr>
          <w:p>
            <w:pPr>
              <w:pStyle w:val="0"/>
              <w:jc w:val="center"/>
            </w:pPr>
            <w:r>
              <w:rPr>
                <w:sz w:val="20"/>
              </w:rPr>
              <w:t xml:space="preserve">Всего детей</w:t>
            </w:r>
          </w:p>
        </w:tc>
        <w:tc>
          <w:tcPr>
            <w:tcW w:w="2040" w:type="dxa"/>
          </w:tcPr>
          <w:p>
            <w:pPr>
              <w:pStyle w:val="0"/>
              <w:jc w:val="center"/>
            </w:pPr>
            <w:r>
              <w:rPr>
                <w:sz w:val="20"/>
              </w:rPr>
              <w:t xml:space="preserve">Выписано рецептов</w:t>
            </w:r>
          </w:p>
        </w:tc>
        <w:tc>
          <w:tcPr>
            <w:tcW w:w="2040" w:type="dxa"/>
          </w:tcPr>
          <w:p>
            <w:pPr>
              <w:pStyle w:val="0"/>
              <w:jc w:val="center"/>
            </w:pPr>
            <w:r>
              <w:rPr>
                <w:sz w:val="20"/>
              </w:rPr>
              <w:t xml:space="preserve">Получившие льготу (чел.)</w:t>
            </w:r>
          </w:p>
        </w:tc>
        <w:tc>
          <w:tcPr>
            <w:tcW w:w="2040" w:type="dxa"/>
          </w:tcPr>
          <w:p>
            <w:pPr>
              <w:pStyle w:val="0"/>
              <w:jc w:val="center"/>
            </w:pPr>
            <w:r>
              <w:rPr>
                <w:sz w:val="20"/>
              </w:rPr>
              <w:t xml:space="preserve">Сумма (руб.)</w:t>
            </w:r>
          </w:p>
        </w:tc>
      </w:tr>
      <w:tr>
        <w:tc>
          <w:tcPr>
            <w:tcW w:w="907" w:type="dxa"/>
          </w:tcPr>
          <w:p>
            <w:pPr>
              <w:pStyle w:val="0"/>
              <w:jc w:val="center"/>
            </w:pPr>
            <w:r>
              <w:rPr>
                <w:sz w:val="20"/>
              </w:rPr>
              <w:t xml:space="preserve">2018</w:t>
            </w:r>
          </w:p>
        </w:tc>
        <w:tc>
          <w:tcPr>
            <w:tcW w:w="2040" w:type="dxa"/>
          </w:tcPr>
          <w:p>
            <w:pPr>
              <w:pStyle w:val="0"/>
              <w:jc w:val="center"/>
            </w:pPr>
            <w:r>
              <w:rPr>
                <w:sz w:val="20"/>
              </w:rPr>
              <w:t xml:space="preserve">38</w:t>
            </w:r>
          </w:p>
        </w:tc>
        <w:tc>
          <w:tcPr>
            <w:tcW w:w="2040" w:type="dxa"/>
          </w:tcPr>
          <w:p>
            <w:pPr>
              <w:pStyle w:val="0"/>
              <w:jc w:val="center"/>
            </w:pPr>
            <w:r>
              <w:rPr>
                <w:sz w:val="20"/>
              </w:rPr>
              <w:t xml:space="preserve">240</w:t>
            </w:r>
          </w:p>
        </w:tc>
        <w:tc>
          <w:tcPr>
            <w:tcW w:w="2040" w:type="dxa"/>
          </w:tcPr>
          <w:p>
            <w:pPr>
              <w:pStyle w:val="0"/>
              <w:jc w:val="center"/>
            </w:pPr>
            <w:r>
              <w:rPr>
                <w:sz w:val="20"/>
              </w:rPr>
              <w:t xml:space="preserve">23</w:t>
            </w:r>
          </w:p>
        </w:tc>
        <w:tc>
          <w:tcPr>
            <w:tcW w:w="2040" w:type="dxa"/>
          </w:tcPr>
          <w:p>
            <w:pPr>
              <w:pStyle w:val="0"/>
              <w:jc w:val="center"/>
            </w:pPr>
            <w:r>
              <w:rPr>
                <w:sz w:val="20"/>
              </w:rPr>
              <w:t xml:space="preserve">11604073,64</w:t>
            </w:r>
          </w:p>
        </w:tc>
      </w:tr>
      <w:tr>
        <w:tc>
          <w:tcPr>
            <w:tcW w:w="907" w:type="dxa"/>
          </w:tcPr>
          <w:p>
            <w:pPr>
              <w:pStyle w:val="0"/>
              <w:jc w:val="center"/>
            </w:pPr>
            <w:r>
              <w:rPr>
                <w:sz w:val="20"/>
              </w:rPr>
              <w:t xml:space="preserve">2019</w:t>
            </w:r>
          </w:p>
        </w:tc>
        <w:tc>
          <w:tcPr>
            <w:tcW w:w="2040" w:type="dxa"/>
          </w:tcPr>
          <w:p>
            <w:pPr>
              <w:pStyle w:val="0"/>
              <w:jc w:val="center"/>
            </w:pPr>
            <w:r>
              <w:rPr>
                <w:sz w:val="20"/>
              </w:rPr>
              <w:t xml:space="preserve">45</w:t>
            </w:r>
          </w:p>
        </w:tc>
        <w:tc>
          <w:tcPr>
            <w:tcW w:w="2040" w:type="dxa"/>
          </w:tcPr>
          <w:p>
            <w:pPr>
              <w:pStyle w:val="0"/>
              <w:jc w:val="center"/>
            </w:pPr>
            <w:r>
              <w:rPr>
                <w:sz w:val="20"/>
              </w:rPr>
              <w:t xml:space="preserve">217</w:t>
            </w:r>
          </w:p>
        </w:tc>
        <w:tc>
          <w:tcPr>
            <w:tcW w:w="2040" w:type="dxa"/>
          </w:tcPr>
          <w:p>
            <w:pPr>
              <w:pStyle w:val="0"/>
              <w:jc w:val="center"/>
            </w:pPr>
            <w:r>
              <w:rPr>
                <w:sz w:val="20"/>
              </w:rPr>
              <w:t xml:space="preserve">22</w:t>
            </w:r>
          </w:p>
        </w:tc>
        <w:tc>
          <w:tcPr>
            <w:tcW w:w="2040" w:type="dxa"/>
          </w:tcPr>
          <w:p>
            <w:pPr>
              <w:pStyle w:val="0"/>
              <w:jc w:val="center"/>
            </w:pPr>
            <w:r>
              <w:rPr>
                <w:sz w:val="20"/>
              </w:rPr>
              <w:t xml:space="preserve">9269081,63</w:t>
            </w:r>
          </w:p>
        </w:tc>
      </w:tr>
      <w:tr>
        <w:tc>
          <w:tcPr>
            <w:tcW w:w="907" w:type="dxa"/>
          </w:tcPr>
          <w:p>
            <w:pPr>
              <w:pStyle w:val="0"/>
              <w:jc w:val="center"/>
            </w:pPr>
            <w:r>
              <w:rPr>
                <w:sz w:val="20"/>
              </w:rPr>
              <w:t xml:space="preserve">2020</w:t>
            </w:r>
          </w:p>
        </w:tc>
        <w:tc>
          <w:tcPr>
            <w:tcW w:w="2040" w:type="dxa"/>
          </w:tcPr>
          <w:p>
            <w:pPr>
              <w:pStyle w:val="0"/>
              <w:jc w:val="center"/>
            </w:pPr>
            <w:r>
              <w:rPr>
                <w:sz w:val="20"/>
              </w:rPr>
              <w:t xml:space="preserve">52</w:t>
            </w:r>
          </w:p>
        </w:tc>
        <w:tc>
          <w:tcPr>
            <w:tcW w:w="2040" w:type="dxa"/>
          </w:tcPr>
          <w:p>
            <w:pPr>
              <w:pStyle w:val="0"/>
              <w:jc w:val="center"/>
            </w:pPr>
            <w:r>
              <w:rPr>
                <w:sz w:val="20"/>
              </w:rPr>
              <w:t xml:space="preserve">227</w:t>
            </w:r>
          </w:p>
        </w:tc>
        <w:tc>
          <w:tcPr>
            <w:tcW w:w="2040" w:type="dxa"/>
          </w:tcPr>
          <w:p>
            <w:pPr>
              <w:pStyle w:val="0"/>
              <w:jc w:val="center"/>
            </w:pPr>
            <w:r>
              <w:rPr>
                <w:sz w:val="20"/>
              </w:rPr>
              <w:t xml:space="preserve">27</w:t>
            </w:r>
          </w:p>
        </w:tc>
        <w:tc>
          <w:tcPr>
            <w:tcW w:w="2040" w:type="dxa"/>
          </w:tcPr>
          <w:p>
            <w:pPr>
              <w:pStyle w:val="0"/>
              <w:jc w:val="center"/>
            </w:pPr>
            <w:r>
              <w:rPr>
                <w:sz w:val="20"/>
              </w:rPr>
              <w:t xml:space="preserve">12456242,66</w:t>
            </w:r>
          </w:p>
        </w:tc>
      </w:tr>
    </w:tbl>
    <w:p>
      <w:pPr>
        <w:pStyle w:val="0"/>
      </w:pPr>
      <w:r>
        <w:rPr>
          <w:sz w:val="20"/>
        </w:rPr>
      </w:r>
    </w:p>
    <w:p>
      <w:pPr>
        <w:pStyle w:val="0"/>
        <w:ind w:firstLine="540"/>
        <w:jc w:val="both"/>
      </w:pPr>
      <w:r>
        <w:rPr>
          <w:sz w:val="20"/>
        </w:rPr>
        <w:t xml:space="preserve">Вывод: сравнительный анализ лекарственного обеспечения детей показывает положительную динамику в сторону увеличения денежных средств, затраченных на обеспечение лекарственными препаратами, изделиями медицинского назначения и продуктами лечебного питания.</w:t>
      </w:r>
    </w:p>
    <w:p>
      <w:pPr>
        <w:pStyle w:val="0"/>
        <w:spacing w:before="200" w:line-rule="auto"/>
        <w:ind w:firstLine="540"/>
        <w:jc w:val="both"/>
      </w:pPr>
      <w:r>
        <w:rPr>
          <w:sz w:val="20"/>
        </w:rPr>
        <w:t xml:space="preserve">Орфанных больных:</w:t>
      </w:r>
    </w:p>
    <w:p>
      <w:pPr>
        <w:pStyle w:val="0"/>
        <w:spacing w:before="200" w:line-rule="auto"/>
        <w:ind w:firstLine="540"/>
        <w:jc w:val="both"/>
      </w:pPr>
      <w:r>
        <w:rPr>
          <w:sz w:val="20"/>
        </w:rPr>
        <w:t xml:space="preserve">2019 г. - 24 человека;</w:t>
      </w:r>
    </w:p>
    <w:p>
      <w:pPr>
        <w:pStyle w:val="0"/>
        <w:spacing w:before="200" w:line-rule="auto"/>
        <w:ind w:firstLine="540"/>
        <w:jc w:val="both"/>
      </w:pPr>
      <w:r>
        <w:rPr>
          <w:sz w:val="20"/>
        </w:rPr>
        <w:t xml:space="preserve">2020 г. - 24 человека.</w:t>
      </w:r>
    </w:p>
    <w:p>
      <w:pPr>
        <w:pStyle w:val="0"/>
        <w:spacing w:before="200" w:line-rule="auto"/>
        <w:ind w:firstLine="540"/>
        <w:jc w:val="both"/>
      </w:pPr>
      <w:r>
        <w:rPr>
          <w:sz w:val="20"/>
        </w:rPr>
        <w:t xml:space="preserve">Паллиативных больных:</w:t>
      </w:r>
    </w:p>
    <w:p>
      <w:pPr>
        <w:pStyle w:val="0"/>
        <w:spacing w:before="200" w:line-rule="auto"/>
        <w:ind w:firstLine="540"/>
        <w:jc w:val="both"/>
      </w:pPr>
      <w:r>
        <w:rPr>
          <w:sz w:val="20"/>
        </w:rPr>
        <w:t xml:space="preserve">2018 г. - 1 человек;</w:t>
      </w:r>
    </w:p>
    <w:p>
      <w:pPr>
        <w:pStyle w:val="0"/>
        <w:spacing w:before="200" w:line-rule="auto"/>
        <w:ind w:firstLine="540"/>
        <w:jc w:val="both"/>
      </w:pPr>
      <w:r>
        <w:rPr>
          <w:sz w:val="20"/>
        </w:rPr>
        <w:t xml:space="preserve">2019 г. - 28 человек;</w:t>
      </w:r>
    </w:p>
    <w:p>
      <w:pPr>
        <w:pStyle w:val="0"/>
        <w:spacing w:before="200" w:line-rule="auto"/>
        <w:ind w:firstLine="540"/>
        <w:jc w:val="both"/>
      </w:pPr>
      <w:r>
        <w:rPr>
          <w:sz w:val="20"/>
        </w:rPr>
        <w:t xml:space="preserve">2020 г. - 42 человека.</w:t>
      </w:r>
    </w:p>
    <w:p>
      <w:pPr>
        <w:pStyle w:val="0"/>
        <w:spacing w:before="200" w:line-rule="auto"/>
        <w:ind w:firstLine="540"/>
        <w:jc w:val="both"/>
      </w:pPr>
      <w:r>
        <w:rPr>
          <w:sz w:val="20"/>
        </w:rPr>
        <w:t xml:space="preserve">Вывод: сравнительный анализ лекарственного обеспечения детей показывает положительную динамику в обеспечении лекарственными препаратами, изделиями медицинского назначения и продуктами лечебного питания. Количество детей в категории 14 ВЗН увеличивается из года в год.</w:t>
      </w:r>
    </w:p>
    <w:p>
      <w:pPr>
        <w:pStyle w:val="0"/>
      </w:pPr>
      <w:r>
        <w:rPr>
          <w:sz w:val="20"/>
        </w:rPr>
      </w:r>
    </w:p>
    <w:p>
      <w:pPr>
        <w:pStyle w:val="2"/>
        <w:outlineLvl w:val="2"/>
        <w:jc w:val="center"/>
      </w:pPr>
      <w:r>
        <w:rPr>
          <w:sz w:val="20"/>
        </w:rPr>
        <w:t xml:space="preserve">Состояние питания детей</w:t>
      </w:r>
    </w:p>
    <w:p>
      <w:pPr>
        <w:pStyle w:val="0"/>
        <w:jc w:val="both"/>
      </w:pPr>
      <w:r>
        <w:rPr>
          <w:sz w:val="20"/>
        </w:rPr>
      </w:r>
    </w:p>
    <w:p>
      <w:pPr>
        <w:pStyle w:val="0"/>
        <w:ind w:firstLine="540"/>
        <w:jc w:val="both"/>
      </w:pPr>
      <w:r>
        <w:rPr>
          <w:sz w:val="20"/>
        </w:rPr>
        <w:t xml:space="preserve">Согласно </w:t>
      </w:r>
      <w:hyperlink w:history="0" r:id="rId617" w:tooltip="Постановление Правительства Севастополя от 14.08.2020 N 423-ПП &quot;О порядке обеспечения полноценным питанием беременных женщин, кормящих матерей, детей по заключению врачей в городе Севастополе&quot; (вместе с &quot;Перечнем медицинских показаний, при наличии которых осуществляется обеспечение полноценным питанием беременных женщин, кормящих матерей, детей в возрасте до трех лет&quot;, &quot;Нормами обеспечения полноценным питанием&quot;) {КонсультантПлюс}">
        <w:r>
          <w:rPr>
            <w:sz w:val="20"/>
            <w:color w:val="0000ff"/>
          </w:rPr>
          <w:t xml:space="preserve">постановлению</w:t>
        </w:r>
      </w:hyperlink>
      <w:r>
        <w:rPr>
          <w:sz w:val="20"/>
        </w:rPr>
        <w:t xml:space="preserve"> Правительства Севастополя от 14.08.2020 N 423-ПП "О порядке обеспечения полноценным питанием беременных женщин, кормящих матерей, детей по заключению врачей в городе Севастополе" в детских поликлиниках организован отпуск полноценного питания детям до трех лет по рецепту врача. Количество детей, получивших льготное питание по назначению врача, представлено в таблице:</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721"/>
        <w:gridCol w:w="2721"/>
        <w:gridCol w:w="2721"/>
      </w:tblGrid>
      <w:tr>
        <w:tc>
          <w:tcPr>
            <w:tcW w:w="907" w:type="dxa"/>
          </w:tcPr>
          <w:p>
            <w:pPr>
              <w:pStyle w:val="0"/>
              <w:jc w:val="center"/>
            </w:pPr>
            <w:r>
              <w:rPr>
                <w:sz w:val="20"/>
              </w:rPr>
              <w:t xml:space="preserve">Год</w:t>
            </w:r>
          </w:p>
        </w:tc>
        <w:tc>
          <w:tcPr>
            <w:tcW w:w="2721" w:type="dxa"/>
          </w:tcPr>
          <w:p>
            <w:pPr>
              <w:pStyle w:val="0"/>
              <w:jc w:val="center"/>
            </w:pPr>
            <w:r>
              <w:rPr>
                <w:sz w:val="20"/>
              </w:rPr>
              <w:t xml:space="preserve">Количество детей от 0 до 3 лет</w:t>
            </w:r>
          </w:p>
        </w:tc>
        <w:tc>
          <w:tcPr>
            <w:tcW w:w="2721" w:type="dxa"/>
          </w:tcPr>
          <w:p>
            <w:pPr>
              <w:pStyle w:val="0"/>
              <w:jc w:val="center"/>
            </w:pPr>
            <w:r>
              <w:rPr>
                <w:sz w:val="20"/>
              </w:rPr>
              <w:t xml:space="preserve">Количество детей, получивших льготное питание</w:t>
            </w:r>
          </w:p>
        </w:tc>
        <w:tc>
          <w:tcPr>
            <w:tcW w:w="2721" w:type="dxa"/>
          </w:tcPr>
          <w:p>
            <w:pPr>
              <w:pStyle w:val="0"/>
              <w:jc w:val="center"/>
            </w:pPr>
            <w:r>
              <w:rPr>
                <w:sz w:val="20"/>
              </w:rPr>
              <w:t xml:space="preserve">Из них детей до 1 года</w:t>
            </w:r>
          </w:p>
        </w:tc>
      </w:tr>
      <w:tr>
        <w:tc>
          <w:tcPr>
            <w:tcW w:w="907" w:type="dxa"/>
          </w:tcPr>
          <w:p>
            <w:pPr>
              <w:pStyle w:val="0"/>
              <w:jc w:val="center"/>
            </w:pPr>
            <w:r>
              <w:rPr>
                <w:sz w:val="20"/>
              </w:rPr>
              <w:t xml:space="preserve">2018</w:t>
            </w:r>
          </w:p>
        </w:tc>
        <w:tc>
          <w:tcPr>
            <w:tcW w:w="2721" w:type="dxa"/>
          </w:tcPr>
          <w:p>
            <w:pPr>
              <w:pStyle w:val="0"/>
              <w:jc w:val="center"/>
            </w:pPr>
            <w:r>
              <w:rPr>
                <w:sz w:val="20"/>
              </w:rPr>
              <w:t xml:space="preserve">19456</w:t>
            </w:r>
          </w:p>
        </w:tc>
        <w:tc>
          <w:tcPr>
            <w:tcW w:w="2721" w:type="dxa"/>
          </w:tcPr>
          <w:p>
            <w:pPr>
              <w:pStyle w:val="0"/>
              <w:jc w:val="center"/>
            </w:pPr>
            <w:r>
              <w:rPr>
                <w:sz w:val="20"/>
              </w:rPr>
              <w:t xml:space="preserve">795</w:t>
            </w:r>
          </w:p>
        </w:tc>
        <w:tc>
          <w:tcPr>
            <w:tcW w:w="2721" w:type="dxa"/>
          </w:tcPr>
          <w:p>
            <w:pPr>
              <w:pStyle w:val="0"/>
              <w:jc w:val="center"/>
            </w:pPr>
            <w:r>
              <w:rPr>
                <w:sz w:val="20"/>
              </w:rPr>
              <w:t xml:space="preserve">276</w:t>
            </w:r>
          </w:p>
        </w:tc>
      </w:tr>
      <w:tr>
        <w:tc>
          <w:tcPr>
            <w:tcW w:w="907" w:type="dxa"/>
          </w:tcPr>
          <w:p>
            <w:pPr>
              <w:pStyle w:val="0"/>
              <w:jc w:val="center"/>
            </w:pPr>
            <w:r>
              <w:rPr>
                <w:sz w:val="20"/>
              </w:rPr>
              <w:t xml:space="preserve">2019</w:t>
            </w:r>
          </w:p>
        </w:tc>
        <w:tc>
          <w:tcPr>
            <w:tcW w:w="2721" w:type="dxa"/>
          </w:tcPr>
          <w:p>
            <w:pPr>
              <w:pStyle w:val="0"/>
              <w:jc w:val="center"/>
            </w:pPr>
            <w:r>
              <w:rPr>
                <w:sz w:val="20"/>
              </w:rPr>
              <w:t xml:space="preserve">19623</w:t>
            </w:r>
          </w:p>
        </w:tc>
        <w:tc>
          <w:tcPr>
            <w:tcW w:w="2721" w:type="dxa"/>
          </w:tcPr>
          <w:p>
            <w:pPr>
              <w:pStyle w:val="0"/>
              <w:jc w:val="center"/>
            </w:pPr>
            <w:r>
              <w:rPr>
                <w:sz w:val="20"/>
              </w:rPr>
              <w:t xml:space="preserve">789</w:t>
            </w:r>
          </w:p>
        </w:tc>
        <w:tc>
          <w:tcPr>
            <w:tcW w:w="2721" w:type="dxa"/>
          </w:tcPr>
          <w:p>
            <w:pPr>
              <w:pStyle w:val="0"/>
              <w:jc w:val="center"/>
            </w:pPr>
            <w:r>
              <w:rPr>
                <w:sz w:val="20"/>
              </w:rPr>
              <w:t xml:space="preserve">283</w:t>
            </w:r>
          </w:p>
        </w:tc>
      </w:tr>
      <w:tr>
        <w:tc>
          <w:tcPr>
            <w:tcW w:w="907" w:type="dxa"/>
          </w:tcPr>
          <w:p>
            <w:pPr>
              <w:pStyle w:val="0"/>
              <w:jc w:val="center"/>
            </w:pPr>
            <w:r>
              <w:rPr>
                <w:sz w:val="20"/>
              </w:rPr>
              <w:t xml:space="preserve">2020</w:t>
            </w:r>
          </w:p>
        </w:tc>
        <w:tc>
          <w:tcPr>
            <w:tcW w:w="2721" w:type="dxa"/>
          </w:tcPr>
          <w:p>
            <w:pPr>
              <w:pStyle w:val="0"/>
              <w:jc w:val="center"/>
            </w:pPr>
            <w:r>
              <w:rPr>
                <w:sz w:val="20"/>
              </w:rPr>
              <w:t xml:space="preserve">20014</w:t>
            </w:r>
          </w:p>
        </w:tc>
        <w:tc>
          <w:tcPr>
            <w:tcW w:w="2721" w:type="dxa"/>
          </w:tcPr>
          <w:p>
            <w:pPr>
              <w:pStyle w:val="0"/>
              <w:jc w:val="center"/>
            </w:pPr>
            <w:r>
              <w:rPr>
                <w:sz w:val="20"/>
              </w:rPr>
              <w:t xml:space="preserve">812</w:t>
            </w:r>
          </w:p>
        </w:tc>
        <w:tc>
          <w:tcPr>
            <w:tcW w:w="2721" w:type="dxa"/>
          </w:tcPr>
          <w:p>
            <w:pPr>
              <w:pStyle w:val="0"/>
              <w:jc w:val="center"/>
            </w:pPr>
            <w:r>
              <w:rPr>
                <w:sz w:val="20"/>
              </w:rPr>
              <w:t xml:space="preserve">305</w:t>
            </w:r>
          </w:p>
        </w:tc>
      </w:tr>
    </w:tbl>
    <w:p>
      <w:pPr>
        <w:pStyle w:val="0"/>
      </w:pPr>
      <w:r>
        <w:rPr>
          <w:sz w:val="20"/>
        </w:rPr>
      </w:r>
    </w:p>
    <w:p>
      <w:pPr>
        <w:pStyle w:val="0"/>
        <w:ind w:firstLine="540"/>
        <w:jc w:val="both"/>
      </w:pPr>
      <w:r>
        <w:rPr>
          <w:sz w:val="20"/>
        </w:rPr>
        <w:t xml:space="preserve">В течение трех лет количество детей, получающих льготное питание по заключению врача, увеличивается ежегодно на 1%.</w:t>
      </w:r>
    </w:p>
    <w:p>
      <w:pPr>
        <w:pStyle w:val="0"/>
      </w:pPr>
      <w:r>
        <w:rPr>
          <w:sz w:val="20"/>
        </w:rPr>
      </w:r>
    </w:p>
    <w:p>
      <w:pPr>
        <w:pStyle w:val="0"/>
        <w:jc w:val="center"/>
      </w:pPr>
      <w:r>
        <w:rPr>
          <w:sz w:val="20"/>
        </w:rPr>
        <w:t xml:space="preserve">Молочная кухня</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75"/>
        <w:gridCol w:w="851"/>
        <w:gridCol w:w="850"/>
        <w:gridCol w:w="1191"/>
        <w:gridCol w:w="1210"/>
        <w:gridCol w:w="1020"/>
        <w:gridCol w:w="1191"/>
        <w:gridCol w:w="1247"/>
        <w:gridCol w:w="1247"/>
        <w:gridCol w:w="1304"/>
      </w:tblGrid>
      <w:tr>
        <w:tc>
          <w:tcPr>
            <w:tcW w:w="675" w:type="dxa"/>
          </w:tcPr>
          <w:p>
            <w:pPr>
              <w:pStyle w:val="0"/>
              <w:jc w:val="center"/>
            </w:pPr>
            <w:r>
              <w:rPr>
                <w:sz w:val="20"/>
              </w:rPr>
              <w:t xml:space="preserve">Год</w:t>
            </w:r>
          </w:p>
        </w:tc>
        <w:tc>
          <w:tcPr>
            <w:tcW w:w="851" w:type="dxa"/>
          </w:tcPr>
          <w:p>
            <w:pPr>
              <w:pStyle w:val="0"/>
              <w:jc w:val="center"/>
            </w:pPr>
            <w:r>
              <w:rPr>
                <w:sz w:val="20"/>
              </w:rPr>
              <w:t xml:space="preserve">Всего детей</w:t>
            </w:r>
          </w:p>
        </w:tc>
        <w:tc>
          <w:tcPr>
            <w:tcW w:w="850" w:type="dxa"/>
          </w:tcPr>
          <w:p>
            <w:pPr>
              <w:pStyle w:val="0"/>
              <w:jc w:val="center"/>
            </w:pPr>
            <w:r>
              <w:rPr>
                <w:sz w:val="20"/>
              </w:rPr>
              <w:t xml:space="preserve">Из них: с 6 до 12 мес.</w:t>
            </w:r>
          </w:p>
        </w:tc>
        <w:tc>
          <w:tcPr>
            <w:tcW w:w="1191" w:type="dxa"/>
          </w:tcPr>
          <w:p>
            <w:pPr>
              <w:pStyle w:val="0"/>
              <w:jc w:val="center"/>
            </w:pPr>
            <w:r>
              <w:rPr>
                <w:sz w:val="20"/>
              </w:rPr>
              <w:t xml:space="preserve">Дети из многодетных и малоимущих семей от 0 до 2 лет</w:t>
            </w:r>
          </w:p>
        </w:tc>
        <w:tc>
          <w:tcPr>
            <w:tcW w:w="1210" w:type="dxa"/>
          </w:tcPr>
          <w:p>
            <w:pPr>
              <w:pStyle w:val="0"/>
              <w:jc w:val="center"/>
            </w:pPr>
            <w:r>
              <w:rPr>
                <w:sz w:val="20"/>
              </w:rPr>
              <w:t xml:space="preserve">Дети из многодетных и малоимущих семей от 2 лет до 3 лет</w:t>
            </w:r>
          </w:p>
        </w:tc>
        <w:tc>
          <w:tcPr>
            <w:tcW w:w="1020" w:type="dxa"/>
          </w:tcPr>
          <w:p>
            <w:pPr>
              <w:pStyle w:val="0"/>
              <w:jc w:val="center"/>
            </w:pPr>
            <w:r>
              <w:rPr>
                <w:sz w:val="20"/>
              </w:rPr>
              <w:t xml:space="preserve">Из них: дети-инвалиды</w:t>
            </w:r>
          </w:p>
        </w:tc>
        <w:tc>
          <w:tcPr>
            <w:tcW w:w="1191" w:type="dxa"/>
          </w:tcPr>
          <w:p>
            <w:pPr>
              <w:pStyle w:val="0"/>
              <w:jc w:val="center"/>
            </w:pPr>
            <w:r>
              <w:rPr>
                <w:sz w:val="20"/>
              </w:rPr>
              <w:t xml:space="preserve">Общая сумма финансирования (руб.)</w:t>
            </w:r>
          </w:p>
        </w:tc>
        <w:tc>
          <w:tcPr>
            <w:tcW w:w="1247" w:type="dxa"/>
          </w:tcPr>
          <w:p>
            <w:pPr>
              <w:pStyle w:val="0"/>
              <w:jc w:val="center"/>
            </w:pPr>
            <w:r>
              <w:rPr>
                <w:sz w:val="20"/>
              </w:rPr>
              <w:t xml:space="preserve">Продукция - творог, выдано, вес (кг)</w:t>
            </w:r>
          </w:p>
        </w:tc>
        <w:tc>
          <w:tcPr>
            <w:tcW w:w="1247" w:type="dxa"/>
          </w:tcPr>
          <w:p>
            <w:pPr>
              <w:pStyle w:val="0"/>
              <w:jc w:val="center"/>
            </w:pPr>
            <w:r>
              <w:rPr>
                <w:sz w:val="20"/>
              </w:rPr>
              <w:t xml:space="preserve">Продукция - кефир, выдано, вес (кг)</w:t>
            </w:r>
          </w:p>
        </w:tc>
        <w:tc>
          <w:tcPr>
            <w:tcW w:w="1304" w:type="dxa"/>
          </w:tcPr>
          <w:p>
            <w:pPr>
              <w:pStyle w:val="0"/>
              <w:jc w:val="center"/>
            </w:pPr>
            <w:r>
              <w:rPr>
                <w:sz w:val="20"/>
              </w:rPr>
              <w:t xml:space="preserve">Продукция - молоко, выдано, вес (кг)</w:t>
            </w:r>
          </w:p>
        </w:tc>
      </w:tr>
      <w:tr>
        <w:tc>
          <w:tcPr>
            <w:tcW w:w="675" w:type="dxa"/>
          </w:tcPr>
          <w:p>
            <w:pPr>
              <w:pStyle w:val="0"/>
              <w:jc w:val="center"/>
            </w:pPr>
            <w:r>
              <w:rPr>
                <w:sz w:val="20"/>
              </w:rPr>
              <w:t xml:space="preserve">2020</w:t>
            </w:r>
          </w:p>
        </w:tc>
        <w:tc>
          <w:tcPr>
            <w:tcW w:w="851" w:type="dxa"/>
          </w:tcPr>
          <w:p>
            <w:pPr>
              <w:pStyle w:val="0"/>
              <w:jc w:val="center"/>
            </w:pPr>
            <w:r>
              <w:rPr>
                <w:sz w:val="20"/>
              </w:rPr>
              <w:t xml:space="preserve">3145</w:t>
            </w:r>
          </w:p>
        </w:tc>
        <w:tc>
          <w:tcPr>
            <w:tcW w:w="850" w:type="dxa"/>
          </w:tcPr>
          <w:p>
            <w:pPr>
              <w:pStyle w:val="0"/>
              <w:jc w:val="center"/>
            </w:pPr>
            <w:r>
              <w:rPr>
                <w:sz w:val="20"/>
              </w:rPr>
              <w:t xml:space="preserve">1333</w:t>
            </w:r>
          </w:p>
        </w:tc>
        <w:tc>
          <w:tcPr>
            <w:tcW w:w="1191" w:type="dxa"/>
          </w:tcPr>
          <w:p>
            <w:pPr>
              <w:pStyle w:val="0"/>
              <w:jc w:val="center"/>
            </w:pPr>
            <w:r>
              <w:rPr>
                <w:sz w:val="20"/>
              </w:rPr>
              <w:t xml:space="preserve">931</w:t>
            </w:r>
          </w:p>
        </w:tc>
        <w:tc>
          <w:tcPr>
            <w:tcW w:w="1210" w:type="dxa"/>
          </w:tcPr>
          <w:p>
            <w:pPr>
              <w:pStyle w:val="0"/>
              <w:jc w:val="center"/>
            </w:pPr>
            <w:r>
              <w:rPr>
                <w:sz w:val="20"/>
              </w:rPr>
              <w:t xml:space="preserve">881</w:t>
            </w:r>
          </w:p>
        </w:tc>
        <w:tc>
          <w:tcPr>
            <w:tcW w:w="1020" w:type="dxa"/>
          </w:tcPr>
          <w:p>
            <w:pPr>
              <w:pStyle w:val="0"/>
              <w:jc w:val="center"/>
            </w:pPr>
            <w:r>
              <w:rPr>
                <w:sz w:val="20"/>
              </w:rPr>
              <w:t xml:space="preserve">69</w:t>
            </w:r>
          </w:p>
        </w:tc>
        <w:tc>
          <w:tcPr>
            <w:tcW w:w="1191" w:type="dxa"/>
          </w:tcPr>
          <w:p>
            <w:pPr>
              <w:pStyle w:val="0"/>
              <w:jc w:val="center"/>
            </w:pPr>
            <w:r>
              <w:rPr>
                <w:sz w:val="20"/>
              </w:rPr>
              <w:t xml:space="preserve">32590200</w:t>
            </w:r>
          </w:p>
        </w:tc>
        <w:tc>
          <w:tcPr>
            <w:tcW w:w="1247" w:type="dxa"/>
          </w:tcPr>
          <w:p>
            <w:pPr>
              <w:pStyle w:val="0"/>
              <w:jc w:val="center"/>
            </w:pPr>
            <w:r>
              <w:rPr>
                <w:sz w:val="20"/>
              </w:rPr>
              <w:t xml:space="preserve">2751 кг 350 гр.</w:t>
            </w:r>
          </w:p>
        </w:tc>
        <w:tc>
          <w:tcPr>
            <w:tcW w:w="1247" w:type="dxa"/>
          </w:tcPr>
          <w:p>
            <w:pPr>
              <w:pStyle w:val="0"/>
              <w:jc w:val="center"/>
            </w:pPr>
            <w:r>
              <w:rPr>
                <w:sz w:val="20"/>
              </w:rPr>
              <w:t xml:space="preserve">11158 кг</w:t>
            </w:r>
          </w:p>
        </w:tc>
        <w:tc>
          <w:tcPr>
            <w:tcW w:w="1304" w:type="dxa"/>
          </w:tcPr>
          <w:p>
            <w:pPr>
              <w:pStyle w:val="0"/>
              <w:jc w:val="center"/>
            </w:pPr>
            <w:r>
              <w:rPr>
                <w:sz w:val="20"/>
              </w:rPr>
              <w:t xml:space="preserve">17969 кг 800 гр.</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Согласно </w:t>
      </w:r>
      <w:hyperlink w:history="0" r:id="rId618" w:tooltip="&quot;Перечень поручений по итогам встречи с представителями общественности Крыма и Севастополя&quot; (утв. Президентом РФ 18.03.2020 N Пр-794) {КонсультантПлюс}">
        <w:r>
          <w:rPr>
            <w:sz w:val="20"/>
            <w:color w:val="0000ff"/>
          </w:rPr>
          <w:t xml:space="preserve">перечню</w:t>
        </w:r>
      </w:hyperlink>
      <w:r>
        <w:rPr>
          <w:sz w:val="20"/>
        </w:rPr>
        <w:t xml:space="preserve"> поручений Президента Российской Федерации от 09.05.2020 N Пр-794 о возобновлении в городе Севастополе работы молочных кухонь, на основании </w:t>
      </w:r>
      <w:hyperlink w:history="0" r:id="rId619" w:tooltip="Приказ Департамента здравоохранения г. Севастополя от 24.08.2020 N 906 (ред. от 15.07.2021) &quot;О порядке обеспечения полноценным питанием беременных женщин, кормящих матерей, детей по заключению врачей в городе Севастополе&quot; (вместе с &quot;Порядком обеспечения полноценным питанием беременных женщин, кормящих матерей, детей в возрасте до трех лет по заключению врачей в городе Севастополе&quot;, &quot;Порядком обеспечения полноценным питанием отдельных категорий детей по заключению врачей в городе Севастополе&quot;, &quot;Перечнем пунк {КонсультантПлюс}">
        <w:r>
          <w:rPr>
            <w:sz w:val="20"/>
            <w:color w:val="0000ff"/>
          </w:rPr>
          <w:t xml:space="preserve">приказа</w:t>
        </w:r>
      </w:hyperlink>
      <w:r>
        <w:rPr>
          <w:sz w:val="20"/>
        </w:rPr>
        <w:t xml:space="preserve"> Департамента здравоохранения города Севастополя от 24.08.2020 N 906 "О порядке обеспечения полноценным питанием беременных женщин, кормящих матерей, детей по заключению врача в городе Севастополе" были проведены следующие мероприятия по повышению доступности продукции молочных кухонь детям города Севастополя:</w:t>
      </w:r>
    </w:p>
    <w:p>
      <w:pPr>
        <w:pStyle w:val="0"/>
        <w:spacing w:before="200" w:line-rule="auto"/>
        <w:ind w:firstLine="540"/>
        <w:jc w:val="both"/>
      </w:pPr>
      <w:r>
        <w:rPr>
          <w:sz w:val="20"/>
        </w:rPr>
        <w:t xml:space="preserve">1. С 01.09.2020 произведено открытие четырех государственных пунктов выдачи полноценного детского молочного питания, 20 коммерческих пунктов отпуска на базе торговой сети "Милка" - Торговый дом "Михалин".</w:t>
      </w:r>
    </w:p>
    <w:p>
      <w:pPr>
        <w:pStyle w:val="0"/>
        <w:spacing w:before="200" w:line-rule="auto"/>
        <w:ind w:firstLine="540"/>
        <w:jc w:val="both"/>
      </w:pPr>
      <w:r>
        <w:rPr>
          <w:sz w:val="20"/>
        </w:rPr>
        <w:t xml:space="preserve">2. Получено четыре специализированных транспортных средства для перевозки молочной продукции, в т.ч. в сельскую зону города Севастополя.</w:t>
      </w:r>
    </w:p>
    <w:p>
      <w:pPr>
        <w:pStyle w:val="0"/>
        <w:spacing w:before="200" w:line-rule="auto"/>
        <w:ind w:firstLine="540"/>
        <w:jc w:val="both"/>
      </w:pPr>
      <w:r>
        <w:rPr>
          <w:sz w:val="20"/>
        </w:rPr>
        <w:t xml:space="preserve">3. С 23 ноября осуществляется доставка полноценного детского питания в отдаленной сельской местности города Севастополя - восемь населенных пунктов по графику.</w:t>
      </w:r>
    </w:p>
    <w:p>
      <w:pPr>
        <w:pStyle w:val="0"/>
        <w:spacing w:before="200" w:line-rule="auto"/>
        <w:ind w:firstLine="540"/>
        <w:jc w:val="both"/>
      </w:pPr>
      <w:r>
        <w:rPr>
          <w:sz w:val="20"/>
        </w:rPr>
        <w:t xml:space="preserve">4. Сформировано шесть категорий детей, имеющих право на получение бесплатной молочной продукции:</w:t>
      </w:r>
    </w:p>
    <w:p>
      <w:pPr>
        <w:pStyle w:val="0"/>
        <w:spacing w:before="200" w:line-rule="auto"/>
        <w:ind w:firstLine="540"/>
        <w:jc w:val="both"/>
      </w:pPr>
      <w:r>
        <w:rPr>
          <w:sz w:val="20"/>
        </w:rPr>
        <w:t xml:space="preserve">К1 - дети в возрасте шести и семи месяцев (из многодетных и малоимущих семей, дети-инвалиды);</w:t>
      </w:r>
    </w:p>
    <w:p>
      <w:pPr>
        <w:pStyle w:val="0"/>
        <w:spacing w:before="200" w:line-rule="auto"/>
        <w:ind w:firstLine="540"/>
        <w:jc w:val="both"/>
      </w:pPr>
      <w:r>
        <w:rPr>
          <w:sz w:val="20"/>
        </w:rPr>
        <w:t xml:space="preserve">К2 - дети от восьми до двенадцати месяцев (из многодетных и малоимущих семей, дети-инвалиды);</w:t>
      </w:r>
    </w:p>
    <w:p>
      <w:pPr>
        <w:pStyle w:val="0"/>
        <w:spacing w:before="200" w:line-rule="auto"/>
        <w:ind w:firstLine="540"/>
        <w:jc w:val="both"/>
      </w:pPr>
      <w:r>
        <w:rPr>
          <w:sz w:val="20"/>
        </w:rPr>
        <w:t xml:space="preserve">К3 - дети от 13 месяцев до 24 месяцев (из многодетных и малоимущих семей, дети-инвалиды);</w:t>
      </w:r>
    </w:p>
    <w:p>
      <w:pPr>
        <w:pStyle w:val="0"/>
        <w:spacing w:before="200" w:line-rule="auto"/>
        <w:ind w:firstLine="540"/>
        <w:jc w:val="both"/>
      </w:pPr>
      <w:r>
        <w:rPr>
          <w:sz w:val="20"/>
        </w:rPr>
        <w:t xml:space="preserve">К4 - дети от 25 месяцев до 36 месяцев (из многодетных и малоимущих семей, дети-инвалиды);</w:t>
      </w:r>
    </w:p>
    <w:p>
      <w:pPr>
        <w:pStyle w:val="0"/>
        <w:spacing w:before="200" w:line-rule="auto"/>
        <w:ind w:firstLine="540"/>
        <w:jc w:val="both"/>
      </w:pPr>
      <w:r>
        <w:rPr>
          <w:sz w:val="20"/>
        </w:rPr>
        <w:t xml:space="preserve">К5 - дети в возрасте шести и семи месяцев;</w:t>
      </w:r>
    </w:p>
    <w:p>
      <w:pPr>
        <w:pStyle w:val="0"/>
        <w:spacing w:before="200" w:line-rule="auto"/>
        <w:ind w:firstLine="540"/>
        <w:jc w:val="both"/>
      </w:pPr>
      <w:r>
        <w:rPr>
          <w:sz w:val="20"/>
        </w:rPr>
        <w:t xml:space="preserve">К6 - дети в возрасте от восьми до 12 месяцев.</w:t>
      </w:r>
    </w:p>
    <w:p>
      <w:pPr>
        <w:pStyle w:val="0"/>
      </w:pPr>
      <w:r>
        <w:rPr>
          <w:sz w:val="20"/>
        </w:rPr>
      </w:r>
    </w:p>
    <w:p>
      <w:pPr>
        <w:pStyle w:val="2"/>
        <w:outlineLvl w:val="2"/>
        <w:jc w:val="center"/>
      </w:pPr>
      <w:r>
        <w:rPr>
          <w:sz w:val="20"/>
        </w:rPr>
        <w:t xml:space="preserve">Перспективы развития службы помощи матерям и детям,</w:t>
      </w:r>
    </w:p>
    <w:p>
      <w:pPr>
        <w:pStyle w:val="2"/>
        <w:jc w:val="center"/>
      </w:pPr>
      <w:r>
        <w:rPr>
          <w:sz w:val="20"/>
        </w:rPr>
        <w:t xml:space="preserve">ожидаемые результаты Региональной программы</w:t>
      </w:r>
    </w:p>
    <w:p>
      <w:pPr>
        <w:pStyle w:val="0"/>
        <w:ind w:firstLine="540"/>
        <w:jc w:val="both"/>
      </w:pPr>
      <w:r>
        <w:rPr>
          <w:sz w:val="20"/>
        </w:rPr>
      </w:r>
    </w:p>
    <w:p>
      <w:pPr>
        <w:pStyle w:val="0"/>
        <w:ind w:firstLine="540"/>
        <w:jc w:val="both"/>
      </w:pPr>
      <w:r>
        <w:rPr>
          <w:sz w:val="20"/>
        </w:rPr>
        <w:t xml:space="preserve">По данным Территориального фонда органа Федеральной службы государственной статистики по Республике Крым и г. Севастополю общая численность детского населения, постоянно проживающего на территории города, по состоянию на 01.01.2018 составляет 80984 человека от 0 до 17 лет включительно, в том числе детей 0 - 15 лет - 70453 чел. (из них до 1 года - 4879 чел.), подростков 15 - 17 лет - 14194 чел.</w:t>
      </w:r>
    </w:p>
    <w:p>
      <w:pPr>
        <w:pStyle w:val="0"/>
        <w:spacing w:before="200" w:line-rule="auto"/>
        <w:ind w:firstLine="540"/>
        <w:jc w:val="both"/>
      </w:pPr>
      <w:r>
        <w:rPr>
          <w:sz w:val="20"/>
        </w:rPr>
        <w:t xml:space="preserve">За январь - декабрь 2018 г. родилось живыми 4500 детей, что на 343 меньше, чем в 2017 году (4433 детей). Коэффициент рождаемости за январь - декабрь 2018 г. был равен 10,32 (в 2017 году - 11,31) - снижение показателя рождаемости на 8,74%.</w:t>
      </w:r>
    </w:p>
    <w:p>
      <w:pPr>
        <w:pStyle w:val="0"/>
        <w:spacing w:before="200" w:line-rule="auto"/>
        <w:ind w:firstLine="540"/>
        <w:jc w:val="both"/>
      </w:pPr>
      <w:r>
        <w:rPr>
          <w:sz w:val="20"/>
        </w:rPr>
        <w:t xml:space="preserve">Аналогичный показатель в Российской Федерации за январь - октябрь 2018 г. составил 11,1; в Южном федеральном округе (ЮФО) - 10,6; Республике Крым - 10,7; городе федерального значения Москве - 10,6; городе федерального значения Санкт-Петербурге - 12,1.</w:t>
      </w:r>
    </w:p>
    <w:p>
      <w:pPr>
        <w:pStyle w:val="0"/>
        <w:spacing w:before="200" w:line-rule="auto"/>
        <w:ind w:firstLine="540"/>
        <w:jc w:val="both"/>
      </w:pPr>
      <w:r>
        <w:rPr>
          <w:sz w:val="20"/>
        </w:rPr>
        <w:t xml:space="preserve">По уровню показателя рождаемости (от максимального к минимальному) город Севастополь в октябре занимает 53-е место среди 87 субъектов Российской Федерации (в 2017 году - 44-е место).</w:t>
      </w:r>
    </w:p>
    <w:p>
      <w:pPr>
        <w:pStyle w:val="0"/>
        <w:spacing w:before="200" w:line-rule="auto"/>
        <w:ind w:firstLine="540"/>
        <w:jc w:val="both"/>
      </w:pPr>
      <w:r>
        <w:rPr>
          <w:sz w:val="20"/>
        </w:rPr>
        <w:t xml:space="preserve">Суммарный коэффициент рождаемости (число детей, рожденных одной женщиной на протяжении всего репродуктивного периода (15 - 49 лет)), в 2018 году прогнозируется на уровне 1,634 (в 2017 году - 1,557).</w:t>
      </w:r>
    </w:p>
    <w:p>
      <w:pPr>
        <w:pStyle w:val="0"/>
        <w:spacing w:before="200" w:line-rule="auto"/>
        <w:ind w:firstLine="540"/>
        <w:jc w:val="both"/>
      </w:pPr>
      <w:r>
        <w:rPr>
          <w:sz w:val="20"/>
        </w:rPr>
        <w:t xml:space="preserve">Ожидаемая продолжительность жизни при рождении в 2018 году - 72,02 (73,37 года - аналогичный показатель за 2017 год).</w:t>
      </w:r>
    </w:p>
    <w:p>
      <w:pPr>
        <w:pStyle w:val="0"/>
        <w:spacing w:before="200" w:line-rule="auto"/>
        <w:ind w:firstLine="540"/>
        <w:jc w:val="both"/>
      </w:pPr>
      <w:r>
        <w:rPr>
          <w:sz w:val="20"/>
        </w:rPr>
        <w:t xml:space="preserve">В соответствии с </w:t>
      </w:r>
      <w:hyperlink w:history="0" r:id="rId620" w:tooltip="Указ Президента РФ от 07.05.2012 N 606 (ред. от 13.01.2023) &quot;О мерах по реализации демографической политики Российской Федерации&quot; {КонсультантПлюс}">
        <w:r>
          <w:rPr>
            <w:sz w:val="20"/>
            <w:color w:val="0000ff"/>
          </w:rPr>
          <w:t xml:space="preserve">Указом</w:t>
        </w:r>
      </w:hyperlink>
      <w:r>
        <w:rPr>
          <w:sz w:val="20"/>
        </w:rPr>
        <w:t xml:space="preserve"> Президента Российской Федерации от 07.05.2012 N 606 "О мерах по реализации демографической политики Российской Федерации" к 2018 году показатель суммарного коэффициента рождаемости должен составить 1,753, а ожидаемая продолжительность жизни - 74 года.</w:t>
      </w:r>
    </w:p>
    <w:p>
      <w:pPr>
        <w:pStyle w:val="0"/>
        <w:spacing w:before="200" w:line-rule="auto"/>
        <w:ind w:firstLine="540"/>
        <w:jc w:val="both"/>
      </w:pPr>
      <w:r>
        <w:rPr>
          <w:sz w:val="20"/>
        </w:rPr>
        <w:t xml:space="preserve">Показатель младенческой смертности на территории города Севастополя на 1 тыс. родившихся живыми за январь - декабрь 2018 г. составил 2,80, что ниже на 32,06% аналогичного показателя за 2017 год (3,84). Всего за январь - ноябрь 2018 г. умерло 13 детей до одного года (18 - в 2017 г.).</w:t>
      </w:r>
    </w:p>
    <w:p>
      <w:pPr>
        <w:pStyle w:val="0"/>
        <w:spacing w:before="200" w:line-rule="auto"/>
        <w:ind w:firstLine="540"/>
        <w:jc w:val="both"/>
      </w:pPr>
      <w:r>
        <w:rPr>
          <w:sz w:val="20"/>
        </w:rPr>
        <w:t xml:space="preserve">Аналогичный показатель в Российской Федерации за январь - октябрь 2018 г. составил 5,0; в Южном федеральном округе (ЮФО) - 4,6; Республике Крым - 3,3; городе федерального значения Москве - 5,6; городе федерального значения Санкт-Петербурге - 4,0.</w:t>
      </w:r>
    </w:p>
    <w:p>
      <w:pPr>
        <w:pStyle w:val="0"/>
        <w:spacing w:before="200" w:line-rule="auto"/>
        <w:ind w:firstLine="540"/>
        <w:jc w:val="both"/>
      </w:pPr>
      <w:r>
        <w:rPr>
          <w:sz w:val="20"/>
        </w:rPr>
        <w:t xml:space="preserve">По уровню показателя младенческой смертности (от минимального к максимальному) город Севастополь занимает 6-е место среди 87 субъектов Российской Федерации (за 10 месяцев 2017 года - 9-е место).</w:t>
      </w:r>
    </w:p>
    <w:p>
      <w:pPr>
        <w:pStyle w:val="0"/>
        <w:spacing w:before="200" w:line-rule="auto"/>
        <w:ind w:firstLine="540"/>
        <w:jc w:val="both"/>
      </w:pPr>
      <w:r>
        <w:rPr>
          <w:sz w:val="20"/>
        </w:rPr>
        <w:t xml:space="preserve">В соответствии с </w:t>
      </w:r>
      <w:hyperlink w:history="0" r:id="rId621" w:tooltip="Указ Президента РФ от 07.05.2012 N 598 &quot;О совершенствовании государственной политики в сфере здравоохранения&quot; {КонсультантПлюс}">
        <w:r>
          <w:rPr>
            <w:sz w:val="20"/>
            <w:color w:val="0000ff"/>
          </w:rPr>
          <w:t xml:space="preserve">Указом</w:t>
        </w:r>
      </w:hyperlink>
      <w:r>
        <w:rPr>
          <w:sz w:val="20"/>
        </w:rPr>
        <w:t xml:space="preserve"> Президента Российской Федерации от 07.05.2012 N 598 "О совершенствовании государственной политики в сфере здравоохранения" к 2018 году показатель младенческой смертности не должен превышать 7,5 случая на 1 тыс. родившихся живыми.</w:t>
      </w:r>
    </w:p>
    <w:p>
      <w:pPr>
        <w:pStyle w:val="0"/>
        <w:spacing w:before="200" w:line-rule="auto"/>
        <w:ind w:firstLine="540"/>
        <w:jc w:val="both"/>
      </w:pPr>
      <w:r>
        <w:rPr>
          <w:sz w:val="20"/>
        </w:rPr>
        <w:t xml:space="preserve">Показатель детской смертности (0 - 17 лет) за январь - декабрь 2018 г. составил 30,87 на 100 тыс. детей (25 случаев), что ниже аналогичного показателя 2017 года на 29,68 (41,31 на 100 тыс. детей, или 32 случая детской смерти).</w:t>
      </w:r>
    </w:p>
    <w:p>
      <w:pPr>
        <w:pStyle w:val="0"/>
        <w:spacing w:before="200" w:line-rule="auto"/>
        <w:ind w:firstLine="540"/>
        <w:jc w:val="both"/>
      </w:pPr>
      <w:r>
        <w:rPr>
          <w:sz w:val="20"/>
        </w:rPr>
        <w:t xml:space="preserve">Материнская смертность: в октябре 2018 г. имел место один случай материнской смерти, показатель за 11 месяцев 2018 г. составил 24,03 на 100 тыс. детей, рожденных живыми, за аналогичный период 2017 года также был зарегистрирован один случай материнской смертности (22,56 на 100 тыс. детей, рожденных живыми). В связи с уменьшением количества рожденных детей при одинаковом количестве умерших показатель материнской смертности за 10 месяцев 2018 г. выше на 6,54%, чем в 2017 году.</w:t>
      </w:r>
    </w:p>
    <w:p>
      <w:pPr>
        <w:pStyle w:val="0"/>
        <w:spacing w:before="200" w:line-rule="auto"/>
        <w:ind w:firstLine="540"/>
        <w:jc w:val="both"/>
      </w:pPr>
      <w:r>
        <w:rPr>
          <w:sz w:val="20"/>
        </w:rPr>
        <w:t xml:space="preserve">В последние годы в городе Севастополе сложилась напряженная демографическая ситуация. На протяжении последних лет показатель смертности превышает показатель рождаемости. В ближайшие пять лет демографические вызовы усилят свое влияние на здравоохранение города Севастополя. Снижается количество родов при ухудшении репродуктивной функции населения. Возникает необходимость профилирования роддомов как роддома третьего уровня и центра репродукции с консультативно-диагностическим центром для беременных.</w:t>
      </w:r>
    </w:p>
    <w:p>
      <w:pPr>
        <w:pStyle w:val="0"/>
        <w:spacing w:before="200" w:line-rule="auto"/>
        <w:ind w:firstLine="540"/>
        <w:jc w:val="both"/>
      </w:pPr>
      <w:r>
        <w:rPr>
          <w:sz w:val="20"/>
        </w:rPr>
        <w:t xml:space="preserve">Разрозненность юридического подчинения городской педиатрии ослабляет ее эффективность, что и вызывает необходимость создания единой педиатрической сети. Ощущается недостаток стационарозамещающих технологий, низкая доступность медицинской помощи у врачей-специалистов.</w:t>
      </w:r>
    </w:p>
    <w:p>
      <w:pPr>
        <w:pStyle w:val="0"/>
        <w:spacing w:before="200" w:line-rule="auto"/>
        <w:ind w:firstLine="540"/>
        <w:jc w:val="both"/>
      </w:pPr>
      <w:r>
        <w:rPr>
          <w:sz w:val="20"/>
        </w:rPr>
        <w:t xml:space="preserve">Общими проблемами являются структурная и кадровая проблемы несбалансированности педиатрической службы, низкий уровень технической оснащенности, высокая степень износа зданий, низкая информатизация, недостаточный уровень квалификации врачей, неэффективная система обратной связи от пациентов.</w:t>
      </w:r>
    </w:p>
    <w:p>
      <w:pPr>
        <w:pStyle w:val="0"/>
        <w:spacing w:before="200" w:line-rule="auto"/>
        <w:ind w:firstLine="540"/>
        <w:jc w:val="both"/>
      </w:pPr>
      <w:r>
        <w:rPr>
          <w:sz w:val="20"/>
        </w:rPr>
        <w:t xml:space="preserve">Приоритетами региональной политики являются сохранение и укрепление здоровья детей. Предлагаемая трехуровневая модель системы организации помощи детям предполагает сохранение и укрепление имеющейся материально-технической базы стационара, дальнейшее развитие детских поликлиник в составе амбулаторно-поликлинического центра, в котором будет доступен весь спектр специализированной медицинской помощи. Важная роль принадлежит филиалам детских поликлиник, которые оказывают первичную медико-санитарную помощь в максимально приближенных к населению помещениях. Дооснащение детских поликлиник планируется проводить в рамках реализации федерального проекта "Развитие детского здравоохранения, включая создание современной инфраструктуры детям" в рамках национального проекта "Здравоохранение".</w:t>
      </w:r>
    </w:p>
    <w:p>
      <w:pPr>
        <w:pStyle w:val="0"/>
        <w:spacing w:before="200" w:line-rule="auto"/>
        <w:ind w:firstLine="540"/>
        <w:jc w:val="both"/>
      </w:pPr>
      <w:r>
        <w:rPr>
          <w:sz w:val="20"/>
        </w:rPr>
        <w:t xml:space="preserve">Развитие медицинской реабилитации как системы мероприятий по снижению смертности и инвалидизации детского населения.</w:t>
      </w:r>
    </w:p>
    <w:p>
      <w:pPr>
        <w:pStyle w:val="0"/>
        <w:spacing w:before="200" w:line-rule="auto"/>
        <w:ind w:firstLine="540"/>
        <w:jc w:val="both"/>
      </w:pPr>
      <w:r>
        <w:rPr>
          <w:sz w:val="20"/>
        </w:rPr>
        <w:t xml:space="preserve">Обеспечение доступности и повышение качества помощи по медицинской реабилитации в условиях трехуровневой системы оказания медицинской помощи:</w:t>
      </w:r>
    </w:p>
    <w:p>
      <w:pPr>
        <w:pStyle w:val="0"/>
        <w:spacing w:before="200" w:line-rule="auto"/>
        <w:ind w:firstLine="540"/>
        <w:jc w:val="both"/>
      </w:pPr>
      <w:r>
        <w:rPr>
          <w:sz w:val="20"/>
        </w:rPr>
        <w:t xml:space="preserve">- организация этапности медицинской помощи по медицинской реабилитации в отделениях реанимации, специализированных отделениях по профилю оказываемой помощи в соответствии с </w:t>
      </w:r>
      <w:hyperlink w:history="0" r:id="rId622" w:tooltip="Приказ Минздрава России от 29.12.2012 N 1705н &quot;О порядке организации медицинской реабилитации&quot; (Зарегистрировано в Минюсте России 22.02.2013 N 27276) ------------ Утратил силу или отменен {КонсультантПлюс}">
        <w:r>
          <w:rPr>
            <w:sz w:val="20"/>
            <w:color w:val="0000ff"/>
          </w:rPr>
          <w:t xml:space="preserve">приказом</w:t>
        </w:r>
      </w:hyperlink>
      <w:r>
        <w:rPr>
          <w:sz w:val="20"/>
        </w:rPr>
        <w:t xml:space="preserve"> Министерства здравоохранения Российской Федерации от 29.12.2012 N 1705н "О Порядке организации медицинской реабилитации";</w:t>
      </w:r>
    </w:p>
    <w:p>
      <w:pPr>
        <w:pStyle w:val="0"/>
        <w:spacing w:before="200" w:line-rule="auto"/>
        <w:ind w:firstLine="540"/>
        <w:jc w:val="both"/>
      </w:pPr>
      <w:r>
        <w:rPr>
          <w:sz w:val="20"/>
        </w:rPr>
        <w:t xml:space="preserve">- организация кабинетов (отделений) медицинской реабилитации в детских поликлиниках (поликлинических отделениях);</w:t>
      </w:r>
    </w:p>
    <w:p>
      <w:pPr>
        <w:pStyle w:val="0"/>
        <w:spacing w:before="200" w:line-rule="auto"/>
        <w:ind w:firstLine="540"/>
        <w:jc w:val="both"/>
      </w:pPr>
      <w:r>
        <w:rPr>
          <w:sz w:val="20"/>
        </w:rPr>
        <w:t xml:space="preserve">- организация, оснащение, подготовка кадров для мультидисциплинарных реабилитационных бригад, повышение профессиональной квалификации специалистов по медицинской реабилитации;</w:t>
      </w:r>
    </w:p>
    <w:p>
      <w:pPr>
        <w:pStyle w:val="0"/>
        <w:spacing w:before="200" w:line-rule="auto"/>
        <w:ind w:firstLine="540"/>
        <w:jc w:val="both"/>
      </w:pPr>
      <w:r>
        <w:rPr>
          <w:sz w:val="20"/>
        </w:rPr>
        <w:t xml:space="preserve">- внедрение новых технологий реабилитации и мониторинга ее эффективности, охват реабилитационной помощью детей-инвалидов - 85%.</w:t>
      </w:r>
    </w:p>
    <w:p>
      <w:pPr>
        <w:pStyle w:val="0"/>
        <w:spacing w:before="200" w:line-rule="auto"/>
        <w:ind w:firstLine="540"/>
        <w:jc w:val="both"/>
      </w:pPr>
      <w:r>
        <w:rPr>
          <w:sz w:val="20"/>
        </w:rPr>
        <w:t xml:space="preserve">Создание мультидисциплинарной команды специалистов Детского центра медицинской реабилитации (далее - Центр) и отделений детской ортопедии и травматологии, педиатрии, детской неврологии для II этапа реабилитации с учетом шкалы реабилитационной маршрутизации (ШРМ).</w:t>
      </w:r>
    </w:p>
    <w:p>
      <w:pPr>
        <w:pStyle w:val="0"/>
        <w:spacing w:before="200" w:line-rule="auto"/>
        <w:ind w:firstLine="540"/>
        <w:jc w:val="both"/>
      </w:pPr>
      <w:r>
        <w:rPr>
          <w:sz w:val="20"/>
        </w:rPr>
        <w:t xml:space="preserve">Продолжить укрепление материально-технической базы Центра.</w:t>
      </w:r>
    </w:p>
    <w:p>
      <w:pPr>
        <w:pStyle w:val="0"/>
        <w:spacing w:before="200" w:line-rule="auto"/>
        <w:ind w:firstLine="540"/>
        <w:jc w:val="both"/>
      </w:pPr>
      <w:r>
        <w:rPr>
          <w:sz w:val="20"/>
        </w:rPr>
        <w:t xml:space="preserve">Ожидаемые результаты реорганизации педиатрической службы:</w:t>
      </w:r>
    </w:p>
    <w:p>
      <w:pPr>
        <w:pStyle w:val="0"/>
        <w:spacing w:before="200" w:line-rule="auto"/>
        <w:ind w:firstLine="540"/>
        <w:jc w:val="both"/>
      </w:pPr>
      <w:r>
        <w:rPr>
          <w:sz w:val="20"/>
        </w:rPr>
        <w:t xml:space="preserve">- обеспечение равного доступа к качественной медицинской помощи в единой педиатрической сети путем создания поликлинических объединений и трехуровневой системы помощи;</w:t>
      </w:r>
    </w:p>
    <w:p>
      <w:pPr>
        <w:pStyle w:val="0"/>
        <w:spacing w:before="200" w:line-rule="auto"/>
        <w:ind w:firstLine="540"/>
        <w:jc w:val="both"/>
      </w:pPr>
      <w:r>
        <w:rPr>
          <w:sz w:val="20"/>
        </w:rPr>
        <w:t xml:space="preserve">- эффективное использование человеческих ресурсов, сохранение и укрепление медицинского и кадрового состава;</w:t>
      </w:r>
    </w:p>
    <w:p>
      <w:pPr>
        <w:pStyle w:val="0"/>
        <w:spacing w:before="200" w:line-rule="auto"/>
        <w:ind w:firstLine="540"/>
        <w:jc w:val="both"/>
      </w:pPr>
      <w:r>
        <w:rPr>
          <w:sz w:val="20"/>
        </w:rPr>
        <w:t xml:space="preserve">- постоянное совершенствование применяемых медицинских технологий;</w:t>
      </w:r>
    </w:p>
    <w:p>
      <w:pPr>
        <w:pStyle w:val="0"/>
        <w:spacing w:before="200" w:line-rule="auto"/>
        <w:ind w:firstLine="540"/>
        <w:jc w:val="both"/>
      </w:pPr>
      <w:r>
        <w:rPr>
          <w:sz w:val="20"/>
        </w:rPr>
        <w:t xml:space="preserve">- организация системы ротации специалистов в единой педиатрической службе;</w:t>
      </w:r>
    </w:p>
    <w:p>
      <w:pPr>
        <w:pStyle w:val="0"/>
        <w:spacing w:before="200" w:line-rule="auto"/>
        <w:ind w:firstLine="540"/>
        <w:jc w:val="both"/>
      </w:pPr>
      <w:r>
        <w:rPr>
          <w:sz w:val="20"/>
        </w:rPr>
        <w:t xml:space="preserve">- создание единого информационного ресурса для врачей - акушеров-гинекологов и педиатров, содержащего клинические и методические рекомендации;</w:t>
      </w:r>
    </w:p>
    <w:p>
      <w:pPr>
        <w:pStyle w:val="0"/>
        <w:spacing w:before="200" w:line-rule="auto"/>
        <w:ind w:firstLine="540"/>
        <w:jc w:val="both"/>
      </w:pPr>
      <w:r>
        <w:rPr>
          <w:sz w:val="20"/>
        </w:rPr>
        <w:t xml:space="preserve">- создание единого информационного пространства в системе здравоохранения города Севастополя.</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1644"/>
        <w:gridCol w:w="1133"/>
        <w:gridCol w:w="1247"/>
        <w:gridCol w:w="865"/>
        <w:gridCol w:w="865"/>
        <w:gridCol w:w="865"/>
        <w:gridCol w:w="865"/>
        <w:gridCol w:w="865"/>
        <w:gridCol w:w="867"/>
      </w:tblGrid>
      <w:tr>
        <w:tc>
          <w:tcPr>
            <w:tcW w:w="4365" w:type="dxa"/>
            <w:vMerge w:val="restart"/>
          </w:tcPr>
          <w:p>
            <w:pPr>
              <w:pStyle w:val="0"/>
              <w:jc w:val="center"/>
            </w:pPr>
            <w:r>
              <w:rPr>
                <w:sz w:val="20"/>
              </w:rPr>
              <w:t xml:space="preserve">Наименование показателя</w:t>
            </w:r>
          </w:p>
        </w:tc>
        <w:tc>
          <w:tcPr>
            <w:tcW w:w="1644" w:type="dxa"/>
            <w:vMerge w:val="restart"/>
          </w:tcPr>
          <w:p>
            <w:pPr>
              <w:pStyle w:val="0"/>
              <w:jc w:val="center"/>
            </w:pPr>
            <w:r>
              <w:rPr>
                <w:sz w:val="20"/>
              </w:rPr>
              <w:t xml:space="preserve">Единица измерения</w:t>
            </w:r>
          </w:p>
        </w:tc>
        <w:tc>
          <w:tcPr>
            <w:gridSpan w:val="2"/>
            <w:tcW w:w="2380" w:type="dxa"/>
          </w:tcPr>
          <w:p>
            <w:pPr>
              <w:pStyle w:val="0"/>
              <w:jc w:val="center"/>
            </w:pPr>
            <w:r>
              <w:rPr>
                <w:sz w:val="20"/>
              </w:rPr>
              <w:t xml:space="preserve">Базовое значение</w:t>
            </w:r>
          </w:p>
        </w:tc>
        <w:tc>
          <w:tcPr>
            <w:gridSpan w:val="6"/>
            <w:tcW w:w="5192" w:type="dxa"/>
          </w:tcPr>
          <w:p>
            <w:pPr>
              <w:pStyle w:val="0"/>
              <w:jc w:val="center"/>
            </w:pPr>
            <w:r>
              <w:rPr>
                <w:sz w:val="20"/>
              </w:rPr>
              <w:t xml:space="preserve">Значения показателей по годам реализации проекта</w:t>
            </w:r>
          </w:p>
        </w:tc>
      </w:tr>
      <w:tr>
        <w:tc>
          <w:tcPr>
            <w:vMerge w:val="continue"/>
          </w:tcPr>
          <w:p/>
        </w:tc>
        <w:tc>
          <w:tcPr>
            <w:vMerge w:val="continue"/>
          </w:tcPr>
          <w:p/>
        </w:tc>
        <w:tc>
          <w:tcPr>
            <w:tcW w:w="1133" w:type="dxa"/>
          </w:tcPr>
          <w:p>
            <w:pPr>
              <w:pStyle w:val="0"/>
              <w:jc w:val="center"/>
            </w:pPr>
            <w:r>
              <w:rPr>
                <w:sz w:val="20"/>
              </w:rPr>
              <w:t xml:space="preserve">значение</w:t>
            </w:r>
          </w:p>
        </w:tc>
        <w:tc>
          <w:tcPr>
            <w:tcW w:w="1247" w:type="dxa"/>
          </w:tcPr>
          <w:p>
            <w:pPr>
              <w:pStyle w:val="0"/>
              <w:jc w:val="center"/>
            </w:pPr>
            <w:r>
              <w:rPr>
                <w:sz w:val="20"/>
              </w:rPr>
              <w:t xml:space="preserve">дата расчета (мм.гг)</w:t>
            </w:r>
          </w:p>
        </w:tc>
        <w:tc>
          <w:tcPr>
            <w:tcW w:w="865" w:type="dxa"/>
          </w:tcPr>
          <w:p>
            <w:pPr>
              <w:pStyle w:val="0"/>
              <w:jc w:val="center"/>
            </w:pPr>
            <w:r>
              <w:rPr>
                <w:sz w:val="20"/>
              </w:rPr>
              <w:t xml:space="preserve">2019 г.</w:t>
            </w:r>
          </w:p>
        </w:tc>
        <w:tc>
          <w:tcPr>
            <w:tcW w:w="865" w:type="dxa"/>
          </w:tcPr>
          <w:p>
            <w:pPr>
              <w:pStyle w:val="0"/>
              <w:jc w:val="center"/>
            </w:pPr>
            <w:r>
              <w:rPr>
                <w:sz w:val="20"/>
              </w:rPr>
              <w:t xml:space="preserve">2020 г.</w:t>
            </w:r>
          </w:p>
        </w:tc>
        <w:tc>
          <w:tcPr>
            <w:tcW w:w="865" w:type="dxa"/>
          </w:tcPr>
          <w:p>
            <w:pPr>
              <w:pStyle w:val="0"/>
              <w:jc w:val="center"/>
            </w:pPr>
            <w:r>
              <w:rPr>
                <w:sz w:val="20"/>
              </w:rPr>
              <w:t xml:space="preserve">2021 г.</w:t>
            </w:r>
          </w:p>
        </w:tc>
        <w:tc>
          <w:tcPr>
            <w:tcW w:w="865" w:type="dxa"/>
          </w:tcPr>
          <w:p>
            <w:pPr>
              <w:pStyle w:val="0"/>
              <w:jc w:val="center"/>
            </w:pPr>
            <w:r>
              <w:rPr>
                <w:sz w:val="20"/>
              </w:rPr>
              <w:t xml:space="preserve">2022 г.</w:t>
            </w:r>
          </w:p>
        </w:tc>
        <w:tc>
          <w:tcPr>
            <w:tcW w:w="865" w:type="dxa"/>
          </w:tcPr>
          <w:p>
            <w:pPr>
              <w:pStyle w:val="0"/>
              <w:jc w:val="center"/>
            </w:pPr>
            <w:r>
              <w:rPr>
                <w:sz w:val="20"/>
              </w:rPr>
              <w:t xml:space="preserve">2023 г.</w:t>
            </w:r>
          </w:p>
        </w:tc>
        <w:tc>
          <w:tcPr>
            <w:tcW w:w="867" w:type="dxa"/>
          </w:tcPr>
          <w:p>
            <w:pPr>
              <w:pStyle w:val="0"/>
              <w:jc w:val="center"/>
            </w:pPr>
            <w:r>
              <w:rPr>
                <w:sz w:val="20"/>
              </w:rPr>
              <w:t xml:space="preserve">2024 г.</w:t>
            </w:r>
          </w:p>
        </w:tc>
      </w:tr>
      <w:tr>
        <w:tc>
          <w:tcPr>
            <w:tcW w:w="4365" w:type="dxa"/>
          </w:tcPr>
          <w:p>
            <w:pPr>
              <w:pStyle w:val="0"/>
              <w:jc w:val="both"/>
            </w:pPr>
            <w:r>
              <w:rPr>
                <w:sz w:val="20"/>
              </w:rPr>
              <w:t xml:space="preserve">Снижение младенческой смертности (до 4,5 случая на 1 тыс. родившихся детей)</w:t>
            </w:r>
          </w:p>
        </w:tc>
        <w:tc>
          <w:tcPr>
            <w:tcW w:w="1644" w:type="dxa"/>
          </w:tcPr>
          <w:p>
            <w:pPr>
              <w:pStyle w:val="0"/>
              <w:jc w:val="both"/>
            </w:pPr>
            <w:r>
              <w:rPr>
                <w:sz w:val="20"/>
              </w:rPr>
              <w:t xml:space="preserve">Промилле (0,1 процента)</w:t>
            </w:r>
          </w:p>
        </w:tc>
        <w:tc>
          <w:tcPr>
            <w:tcW w:w="1133" w:type="dxa"/>
          </w:tcPr>
          <w:p>
            <w:pPr>
              <w:pStyle w:val="0"/>
              <w:jc w:val="center"/>
            </w:pPr>
            <w:r>
              <w:rPr>
                <w:sz w:val="20"/>
              </w:rPr>
              <w:t xml:space="preserve">4</w:t>
            </w:r>
          </w:p>
        </w:tc>
        <w:tc>
          <w:tcPr>
            <w:tcW w:w="1247" w:type="dxa"/>
          </w:tcPr>
          <w:p>
            <w:pPr>
              <w:pStyle w:val="0"/>
              <w:jc w:val="center"/>
            </w:pPr>
            <w:r>
              <w:rPr>
                <w:sz w:val="20"/>
              </w:rPr>
              <w:t xml:space="preserve">12.17</w:t>
            </w:r>
          </w:p>
        </w:tc>
        <w:tc>
          <w:tcPr>
            <w:tcW w:w="865" w:type="dxa"/>
          </w:tcPr>
          <w:p>
            <w:pPr>
              <w:pStyle w:val="0"/>
              <w:jc w:val="center"/>
            </w:pPr>
            <w:r>
              <w:rPr>
                <w:sz w:val="20"/>
              </w:rPr>
              <w:t xml:space="preserve">3,8</w:t>
            </w:r>
          </w:p>
        </w:tc>
        <w:tc>
          <w:tcPr>
            <w:tcW w:w="865" w:type="dxa"/>
          </w:tcPr>
          <w:p>
            <w:pPr>
              <w:pStyle w:val="0"/>
              <w:jc w:val="center"/>
            </w:pPr>
            <w:r>
              <w:rPr>
                <w:sz w:val="20"/>
              </w:rPr>
              <w:t xml:space="preserve">3,7</w:t>
            </w:r>
          </w:p>
        </w:tc>
        <w:tc>
          <w:tcPr>
            <w:tcW w:w="865" w:type="dxa"/>
          </w:tcPr>
          <w:p>
            <w:pPr>
              <w:pStyle w:val="0"/>
              <w:jc w:val="center"/>
            </w:pPr>
            <w:r>
              <w:rPr>
                <w:sz w:val="20"/>
              </w:rPr>
              <w:t xml:space="preserve">3,4</w:t>
            </w:r>
          </w:p>
        </w:tc>
        <w:tc>
          <w:tcPr>
            <w:tcW w:w="865" w:type="dxa"/>
          </w:tcPr>
          <w:p>
            <w:pPr>
              <w:pStyle w:val="0"/>
              <w:jc w:val="center"/>
            </w:pPr>
            <w:r>
              <w:rPr>
                <w:sz w:val="20"/>
              </w:rPr>
              <w:t xml:space="preserve">3,3</w:t>
            </w:r>
          </w:p>
        </w:tc>
        <w:tc>
          <w:tcPr>
            <w:tcW w:w="865" w:type="dxa"/>
          </w:tcPr>
          <w:p>
            <w:pPr>
              <w:pStyle w:val="0"/>
              <w:jc w:val="center"/>
            </w:pPr>
            <w:r>
              <w:rPr>
                <w:sz w:val="20"/>
              </w:rPr>
              <w:t xml:space="preserve">3,2</w:t>
            </w:r>
          </w:p>
        </w:tc>
        <w:tc>
          <w:tcPr>
            <w:tcW w:w="867" w:type="dxa"/>
          </w:tcPr>
          <w:p>
            <w:pPr>
              <w:pStyle w:val="0"/>
              <w:jc w:val="center"/>
            </w:pPr>
            <w:r>
              <w:rPr>
                <w:sz w:val="20"/>
              </w:rPr>
              <w:t xml:space="preserve">3,1</w:t>
            </w:r>
          </w:p>
        </w:tc>
      </w:tr>
      <w:tr>
        <w:tc>
          <w:tcPr>
            <w:tcW w:w="4365" w:type="dxa"/>
          </w:tcPr>
          <w:p>
            <w:pPr>
              <w:pStyle w:val="0"/>
              <w:jc w:val="both"/>
            </w:pPr>
            <w:r>
              <w:rPr>
                <w:sz w:val="20"/>
              </w:rPr>
              <w:t xml:space="preserve">Смертность детей в возрасте 0 - 4 года на 1 тыс. родившихся живыми</w:t>
            </w:r>
          </w:p>
        </w:tc>
        <w:tc>
          <w:tcPr>
            <w:tcW w:w="1644" w:type="dxa"/>
          </w:tcPr>
          <w:p>
            <w:pPr>
              <w:pStyle w:val="0"/>
              <w:jc w:val="both"/>
            </w:pPr>
            <w:r>
              <w:rPr>
                <w:sz w:val="20"/>
              </w:rPr>
              <w:t xml:space="preserve">Промилле (0,1 процента)</w:t>
            </w:r>
          </w:p>
        </w:tc>
        <w:tc>
          <w:tcPr>
            <w:tcW w:w="1133" w:type="dxa"/>
          </w:tcPr>
          <w:p>
            <w:pPr>
              <w:pStyle w:val="0"/>
              <w:jc w:val="center"/>
            </w:pPr>
            <w:r>
              <w:rPr>
                <w:sz w:val="20"/>
              </w:rPr>
              <w:t xml:space="preserve">4,5</w:t>
            </w:r>
          </w:p>
        </w:tc>
        <w:tc>
          <w:tcPr>
            <w:tcW w:w="1247" w:type="dxa"/>
          </w:tcPr>
          <w:p>
            <w:pPr>
              <w:pStyle w:val="0"/>
              <w:jc w:val="center"/>
            </w:pPr>
            <w:r>
              <w:rPr>
                <w:sz w:val="20"/>
              </w:rPr>
              <w:t xml:space="preserve">12.17</w:t>
            </w:r>
          </w:p>
        </w:tc>
        <w:tc>
          <w:tcPr>
            <w:tcW w:w="865" w:type="dxa"/>
          </w:tcPr>
          <w:p>
            <w:pPr>
              <w:pStyle w:val="0"/>
              <w:jc w:val="center"/>
            </w:pPr>
            <w:r>
              <w:rPr>
                <w:sz w:val="20"/>
              </w:rPr>
              <w:t xml:space="preserve">4,5</w:t>
            </w:r>
          </w:p>
        </w:tc>
        <w:tc>
          <w:tcPr>
            <w:tcW w:w="865" w:type="dxa"/>
          </w:tcPr>
          <w:p>
            <w:pPr>
              <w:pStyle w:val="0"/>
              <w:jc w:val="center"/>
            </w:pPr>
            <w:r>
              <w:rPr>
                <w:sz w:val="20"/>
              </w:rPr>
              <w:t xml:space="preserve">4,5</w:t>
            </w:r>
          </w:p>
        </w:tc>
        <w:tc>
          <w:tcPr>
            <w:tcW w:w="865" w:type="dxa"/>
          </w:tcPr>
          <w:p>
            <w:pPr>
              <w:pStyle w:val="0"/>
              <w:jc w:val="center"/>
            </w:pPr>
            <w:r>
              <w:rPr>
                <w:sz w:val="20"/>
              </w:rPr>
              <w:t xml:space="preserve">4,4</w:t>
            </w:r>
          </w:p>
        </w:tc>
        <w:tc>
          <w:tcPr>
            <w:tcW w:w="865" w:type="dxa"/>
          </w:tcPr>
          <w:p>
            <w:pPr>
              <w:pStyle w:val="0"/>
              <w:jc w:val="center"/>
            </w:pPr>
            <w:r>
              <w:rPr>
                <w:sz w:val="20"/>
              </w:rPr>
              <w:t xml:space="preserve">4,3</w:t>
            </w:r>
          </w:p>
        </w:tc>
        <w:tc>
          <w:tcPr>
            <w:tcW w:w="865" w:type="dxa"/>
          </w:tcPr>
          <w:p>
            <w:pPr>
              <w:pStyle w:val="0"/>
              <w:jc w:val="center"/>
            </w:pPr>
            <w:r>
              <w:rPr>
                <w:sz w:val="20"/>
              </w:rPr>
              <w:t xml:space="preserve">4,2</w:t>
            </w:r>
          </w:p>
        </w:tc>
        <w:tc>
          <w:tcPr>
            <w:tcW w:w="867" w:type="dxa"/>
          </w:tcPr>
          <w:p>
            <w:pPr>
              <w:pStyle w:val="0"/>
              <w:jc w:val="center"/>
            </w:pPr>
            <w:r>
              <w:rPr>
                <w:sz w:val="20"/>
              </w:rPr>
              <w:t xml:space="preserve">4</w:t>
            </w:r>
          </w:p>
        </w:tc>
      </w:tr>
      <w:tr>
        <w:tc>
          <w:tcPr>
            <w:tcW w:w="4365" w:type="dxa"/>
          </w:tcPr>
          <w:p>
            <w:pPr>
              <w:pStyle w:val="0"/>
              <w:jc w:val="both"/>
            </w:pPr>
            <w:r>
              <w:rPr>
                <w:sz w:val="20"/>
              </w:rPr>
              <w:t xml:space="preserve">Смертность детей в возрасте 0 - 17 лет на 100 тыс. детей соответствующего возраста</w:t>
            </w:r>
          </w:p>
        </w:tc>
        <w:tc>
          <w:tcPr>
            <w:tcW w:w="1644" w:type="dxa"/>
          </w:tcPr>
          <w:p>
            <w:pPr>
              <w:pStyle w:val="0"/>
              <w:jc w:val="both"/>
            </w:pPr>
            <w:r>
              <w:rPr>
                <w:sz w:val="20"/>
              </w:rPr>
              <w:t xml:space="preserve">Число случаев на 100 тыс. детей соответствующего возраста</w:t>
            </w:r>
          </w:p>
        </w:tc>
        <w:tc>
          <w:tcPr>
            <w:tcW w:w="1133" w:type="dxa"/>
          </w:tcPr>
          <w:p>
            <w:pPr>
              <w:pStyle w:val="0"/>
              <w:jc w:val="center"/>
            </w:pPr>
            <w:r>
              <w:rPr>
                <w:sz w:val="20"/>
              </w:rPr>
              <w:t xml:space="preserve">42,9</w:t>
            </w:r>
          </w:p>
        </w:tc>
        <w:tc>
          <w:tcPr>
            <w:tcW w:w="1247" w:type="dxa"/>
          </w:tcPr>
          <w:p>
            <w:pPr>
              <w:pStyle w:val="0"/>
              <w:jc w:val="center"/>
            </w:pPr>
            <w:r>
              <w:rPr>
                <w:sz w:val="20"/>
              </w:rPr>
              <w:t xml:space="preserve">12.17</w:t>
            </w:r>
          </w:p>
        </w:tc>
        <w:tc>
          <w:tcPr>
            <w:tcW w:w="865" w:type="dxa"/>
          </w:tcPr>
          <w:p>
            <w:pPr>
              <w:pStyle w:val="0"/>
              <w:jc w:val="center"/>
            </w:pPr>
            <w:r>
              <w:rPr>
                <w:sz w:val="20"/>
              </w:rPr>
              <w:t xml:space="preserve">42,9</w:t>
            </w:r>
          </w:p>
        </w:tc>
        <w:tc>
          <w:tcPr>
            <w:tcW w:w="865" w:type="dxa"/>
          </w:tcPr>
          <w:p>
            <w:pPr>
              <w:pStyle w:val="0"/>
              <w:jc w:val="center"/>
            </w:pPr>
            <w:r>
              <w:rPr>
                <w:sz w:val="20"/>
              </w:rPr>
              <w:t xml:space="preserve">42,9</w:t>
            </w:r>
          </w:p>
        </w:tc>
        <w:tc>
          <w:tcPr>
            <w:tcW w:w="865" w:type="dxa"/>
          </w:tcPr>
          <w:p>
            <w:pPr>
              <w:pStyle w:val="0"/>
              <w:jc w:val="center"/>
            </w:pPr>
            <w:r>
              <w:rPr>
                <w:sz w:val="20"/>
              </w:rPr>
              <w:t xml:space="preserve">40,2</w:t>
            </w:r>
          </w:p>
        </w:tc>
        <w:tc>
          <w:tcPr>
            <w:tcW w:w="865" w:type="dxa"/>
          </w:tcPr>
          <w:p>
            <w:pPr>
              <w:pStyle w:val="0"/>
              <w:jc w:val="center"/>
            </w:pPr>
            <w:r>
              <w:rPr>
                <w:sz w:val="20"/>
              </w:rPr>
              <w:t xml:space="preserve">40,1</w:t>
            </w:r>
          </w:p>
        </w:tc>
        <w:tc>
          <w:tcPr>
            <w:tcW w:w="865" w:type="dxa"/>
          </w:tcPr>
          <w:p>
            <w:pPr>
              <w:pStyle w:val="0"/>
              <w:jc w:val="center"/>
            </w:pPr>
            <w:r>
              <w:rPr>
                <w:sz w:val="20"/>
              </w:rPr>
              <w:t xml:space="preserve">40,0</w:t>
            </w:r>
          </w:p>
        </w:tc>
        <w:tc>
          <w:tcPr>
            <w:tcW w:w="867" w:type="dxa"/>
          </w:tcPr>
          <w:p>
            <w:pPr>
              <w:pStyle w:val="0"/>
              <w:jc w:val="center"/>
            </w:pPr>
            <w:r>
              <w:rPr>
                <w:sz w:val="20"/>
              </w:rPr>
              <w:t xml:space="preserve">39,9</w:t>
            </w:r>
          </w:p>
        </w:tc>
      </w:tr>
      <w:tr>
        <w:tc>
          <w:tcPr>
            <w:tcW w:w="4365" w:type="dxa"/>
          </w:tcPr>
          <w:p>
            <w:pPr>
              <w:pStyle w:val="0"/>
              <w:jc w:val="both"/>
            </w:pPr>
            <w:r>
              <w:rPr>
                <w:sz w:val="20"/>
              </w:rPr>
              <w:t xml:space="preserve">Доля посещений детьми медицинских организаций с профилактическими целями</w:t>
            </w:r>
          </w:p>
        </w:tc>
        <w:tc>
          <w:tcPr>
            <w:tcW w:w="1644" w:type="dxa"/>
          </w:tcPr>
          <w:p>
            <w:pPr>
              <w:pStyle w:val="0"/>
              <w:jc w:val="both"/>
            </w:pPr>
            <w:r>
              <w:rPr>
                <w:sz w:val="20"/>
              </w:rPr>
              <w:t xml:space="preserve">Процент</w:t>
            </w:r>
          </w:p>
        </w:tc>
        <w:tc>
          <w:tcPr>
            <w:tcW w:w="1133" w:type="dxa"/>
          </w:tcPr>
          <w:p>
            <w:pPr>
              <w:pStyle w:val="0"/>
              <w:jc w:val="center"/>
            </w:pPr>
            <w:r>
              <w:rPr>
                <w:sz w:val="20"/>
              </w:rPr>
              <w:t xml:space="preserve">47,8</w:t>
            </w:r>
          </w:p>
        </w:tc>
        <w:tc>
          <w:tcPr>
            <w:tcW w:w="1247" w:type="dxa"/>
          </w:tcPr>
          <w:p>
            <w:pPr>
              <w:pStyle w:val="0"/>
              <w:jc w:val="center"/>
            </w:pPr>
            <w:r>
              <w:rPr>
                <w:sz w:val="20"/>
              </w:rPr>
              <w:t xml:space="preserve">12.17</w:t>
            </w:r>
          </w:p>
        </w:tc>
        <w:tc>
          <w:tcPr>
            <w:tcW w:w="865" w:type="dxa"/>
          </w:tcPr>
          <w:p>
            <w:pPr>
              <w:pStyle w:val="0"/>
              <w:jc w:val="center"/>
            </w:pPr>
            <w:r>
              <w:rPr>
                <w:sz w:val="20"/>
              </w:rPr>
              <w:t xml:space="preserve">48,5</w:t>
            </w:r>
          </w:p>
        </w:tc>
        <w:tc>
          <w:tcPr>
            <w:tcW w:w="865" w:type="dxa"/>
          </w:tcPr>
          <w:p>
            <w:pPr>
              <w:pStyle w:val="0"/>
              <w:jc w:val="center"/>
            </w:pPr>
            <w:r>
              <w:rPr>
                <w:sz w:val="20"/>
              </w:rPr>
              <w:t xml:space="preserve">49</w:t>
            </w:r>
          </w:p>
        </w:tc>
        <w:tc>
          <w:tcPr>
            <w:tcW w:w="865" w:type="dxa"/>
          </w:tcPr>
          <w:p>
            <w:pPr>
              <w:pStyle w:val="0"/>
              <w:jc w:val="center"/>
            </w:pPr>
            <w:r>
              <w:rPr>
                <w:sz w:val="20"/>
              </w:rPr>
              <w:t xml:space="preserve">49,5</w:t>
            </w:r>
          </w:p>
        </w:tc>
        <w:tc>
          <w:tcPr>
            <w:tcW w:w="865" w:type="dxa"/>
          </w:tcPr>
          <w:p>
            <w:pPr>
              <w:pStyle w:val="0"/>
              <w:jc w:val="center"/>
            </w:pPr>
            <w:r>
              <w:rPr>
                <w:sz w:val="20"/>
              </w:rPr>
              <w:t xml:space="preserve">50</w:t>
            </w:r>
          </w:p>
        </w:tc>
        <w:tc>
          <w:tcPr>
            <w:tcW w:w="865" w:type="dxa"/>
          </w:tcPr>
          <w:p>
            <w:pPr>
              <w:pStyle w:val="0"/>
              <w:jc w:val="center"/>
            </w:pPr>
            <w:r>
              <w:rPr>
                <w:sz w:val="20"/>
              </w:rPr>
              <w:t xml:space="preserve">50</w:t>
            </w:r>
          </w:p>
        </w:tc>
        <w:tc>
          <w:tcPr>
            <w:tcW w:w="867" w:type="dxa"/>
          </w:tcPr>
          <w:p>
            <w:pPr>
              <w:pStyle w:val="0"/>
              <w:jc w:val="center"/>
            </w:pPr>
            <w:r>
              <w:rPr>
                <w:sz w:val="20"/>
              </w:rPr>
              <w:t xml:space="preserve">51</w:t>
            </w:r>
          </w:p>
        </w:tc>
      </w:tr>
      <w:tr>
        <w:tc>
          <w:tcPr>
            <w:tcW w:w="4365"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w:t>
            </w:r>
          </w:p>
        </w:tc>
        <w:tc>
          <w:tcPr>
            <w:tcW w:w="1644" w:type="dxa"/>
          </w:tcPr>
          <w:p>
            <w:pPr>
              <w:pStyle w:val="0"/>
              <w:jc w:val="both"/>
            </w:pPr>
            <w:r>
              <w:rPr>
                <w:sz w:val="20"/>
              </w:rPr>
              <w:t xml:space="preserve">Процент</w:t>
            </w:r>
          </w:p>
        </w:tc>
        <w:tc>
          <w:tcPr>
            <w:tcW w:w="1133" w:type="dxa"/>
          </w:tcPr>
          <w:p>
            <w:pPr>
              <w:pStyle w:val="0"/>
              <w:jc w:val="center"/>
            </w:pPr>
            <w:r>
              <w:rPr>
                <w:sz w:val="20"/>
              </w:rPr>
              <w:t xml:space="preserve">3,4</w:t>
            </w:r>
          </w:p>
        </w:tc>
        <w:tc>
          <w:tcPr>
            <w:tcW w:w="1247" w:type="dxa"/>
          </w:tcPr>
          <w:p>
            <w:pPr>
              <w:pStyle w:val="0"/>
              <w:jc w:val="center"/>
            </w:pPr>
            <w:r>
              <w:rPr>
                <w:sz w:val="20"/>
              </w:rPr>
              <w:t xml:space="preserve">12.17</w:t>
            </w:r>
          </w:p>
        </w:tc>
        <w:tc>
          <w:tcPr>
            <w:tcW w:w="865" w:type="dxa"/>
          </w:tcPr>
          <w:p>
            <w:pPr>
              <w:pStyle w:val="0"/>
              <w:jc w:val="center"/>
            </w:pPr>
            <w:r>
              <w:rPr>
                <w:sz w:val="20"/>
              </w:rPr>
              <w:t xml:space="preserve">30</w:t>
            </w:r>
          </w:p>
        </w:tc>
        <w:tc>
          <w:tcPr>
            <w:tcW w:w="865" w:type="dxa"/>
          </w:tcPr>
          <w:p>
            <w:pPr>
              <w:pStyle w:val="0"/>
              <w:jc w:val="center"/>
            </w:pPr>
            <w:r>
              <w:rPr>
                <w:sz w:val="20"/>
              </w:rPr>
              <w:t xml:space="preserve">50</w:t>
            </w:r>
          </w:p>
        </w:tc>
        <w:tc>
          <w:tcPr>
            <w:tcW w:w="865" w:type="dxa"/>
          </w:tcPr>
          <w:p>
            <w:pPr>
              <w:pStyle w:val="0"/>
              <w:jc w:val="center"/>
            </w:pPr>
            <w:r>
              <w:rPr>
                <w:sz w:val="20"/>
              </w:rPr>
              <w:t xml:space="preserve">60</w:t>
            </w:r>
          </w:p>
        </w:tc>
        <w:tc>
          <w:tcPr>
            <w:tcW w:w="865" w:type="dxa"/>
          </w:tcPr>
          <w:p>
            <w:pPr>
              <w:pStyle w:val="0"/>
              <w:jc w:val="center"/>
            </w:pPr>
            <w:r>
              <w:rPr>
                <w:sz w:val="20"/>
              </w:rPr>
              <w:t xml:space="preserve">70</w:t>
            </w:r>
          </w:p>
        </w:tc>
        <w:tc>
          <w:tcPr>
            <w:tcW w:w="865" w:type="dxa"/>
          </w:tcPr>
          <w:p>
            <w:pPr>
              <w:pStyle w:val="0"/>
              <w:jc w:val="center"/>
            </w:pPr>
            <w:r>
              <w:rPr>
                <w:sz w:val="20"/>
              </w:rPr>
              <w:t xml:space="preserve">80</w:t>
            </w:r>
          </w:p>
        </w:tc>
        <w:tc>
          <w:tcPr>
            <w:tcW w:w="867" w:type="dxa"/>
          </w:tcPr>
          <w:p>
            <w:pPr>
              <w:pStyle w:val="0"/>
              <w:jc w:val="center"/>
            </w:pPr>
            <w:r>
              <w:rPr>
                <w:sz w:val="20"/>
              </w:rPr>
              <w:t xml:space="preserve">90</w:t>
            </w:r>
          </w:p>
        </w:tc>
      </w:tr>
      <w:tr>
        <w:tc>
          <w:tcPr>
            <w:tcW w:w="4365"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w:t>
            </w:r>
          </w:p>
        </w:tc>
        <w:tc>
          <w:tcPr>
            <w:tcW w:w="1644" w:type="dxa"/>
          </w:tcPr>
          <w:p>
            <w:pPr>
              <w:pStyle w:val="0"/>
              <w:jc w:val="both"/>
            </w:pPr>
            <w:r>
              <w:rPr>
                <w:sz w:val="20"/>
              </w:rPr>
              <w:t xml:space="preserve">Процент</w:t>
            </w:r>
          </w:p>
        </w:tc>
        <w:tc>
          <w:tcPr>
            <w:tcW w:w="1133" w:type="dxa"/>
          </w:tcPr>
          <w:p>
            <w:pPr>
              <w:pStyle w:val="0"/>
              <w:jc w:val="center"/>
            </w:pPr>
            <w:r>
              <w:rPr>
                <w:sz w:val="20"/>
              </w:rPr>
              <w:t xml:space="preserve">4,2</w:t>
            </w:r>
          </w:p>
        </w:tc>
        <w:tc>
          <w:tcPr>
            <w:tcW w:w="1247" w:type="dxa"/>
          </w:tcPr>
          <w:p>
            <w:pPr>
              <w:pStyle w:val="0"/>
              <w:jc w:val="center"/>
            </w:pPr>
            <w:r>
              <w:rPr>
                <w:sz w:val="20"/>
              </w:rPr>
              <w:t xml:space="preserve">12.17</w:t>
            </w:r>
          </w:p>
        </w:tc>
        <w:tc>
          <w:tcPr>
            <w:tcW w:w="865" w:type="dxa"/>
          </w:tcPr>
          <w:p>
            <w:pPr>
              <w:pStyle w:val="0"/>
              <w:jc w:val="center"/>
            </w:pPr>
            <w:r>
              <w:rPr>
                <w:sz w:val="20"/>
              </w:rPr>
              <w:t xml:space="preserve">20</w:t>
            </w:r>
          </w:p>
        </w:tc>
        <w:tc>
          <w:tcPr>
            <w:tcW w:w="865" w:type="dxa"/>
          </w:tcPr>
          <w:p>
            <w:pPr>
              <w:pStyle w:val="0"/>
              <w:jc w:val="center"/>
            </w:pPr>
            <w:r>
              <w:rPr>
                <w:sz w:val="20"/>
              </w:rPr>
              <w:t xml:space="preserve">50</w:t>
            </w:r>
          </w:p>
        </w:tc>
        <w:tc>
          <w:tcPr>
            <w:tcW w:w="865" w:type="dxa"/>
          </w:tcPr>
          <w:p>
            <w:pPr>
              <w:pStyle w:val="0"/>
              <w:jc w:val="center"/>
            </w:pPr>
            <w:r>
              <w:rPr>
                <w:sz w:val="20"/>
              </w:rPr>
              <w:t xml:space="preserve">60</w:t>
            </w:r>
          </w:p>
        </w:tc>
        <w:tc>
          <w:tcPr>
            <w:tcW w:w="865" w:type="dxa"/>
          </w:tcPr>
          <w:p>
            <w:pPr>
              <w:pStyle w:val="0"/>
              <w:jc w:val="center"/>
            </w:pPr>
            <w:r>
              <w:rPr>
                <w:sz w:val="20"/>
              </w:rPr>
              <w:t xml:space="preserve">70</w:t>
            </w:r>
          </w:p>
        </w:tc>
        <w:tc>
          <w:tcPr>
            <w:tcW w:w="865" w:type="dxa"/>
          </w:tcPr>
          <w:p>
            <w:pPr>
              <w:pStyle w:val="0"/>
              <w:jc w:val="center"/>
            </w:pPr>
            <w:r>
              <w:rPr>
                <w:sz w:val="20"/>
              </w:rPr>
              <w:t xml:space="preserve">80</w:t>
            </w:r>
          </w:p>
        </w:tc>
        <w:tc>
          <w:tcPr>
            <w:tcW w:w="867" w:type="dxa"/>
          </w:tcPr>
          <w:p>
            <w:pPr>
              <w:pStyle w:val="0"/>
              <w:jc w:val="center"/>
            </w:pPr>
            <w:r>
              <w:rPr>
                <w:sz w:val="20"/>
              </w:rPr>
              <w:t xml:space="preserve">90</w:t>
            </w:r>
          </w:p>
        </w:tc>
      </w:tr>
      <w:tr>
        <w:tc>
          <w:tcPr>
            <w:tcW w:w="4365"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органов пищеварения</w:t>
            </w:r>
          </w:p>
        </w:tc>
        <w:tc>
          <w:tcPr>
            <w:tcW w:w="1644" w:type="dxa"/>
          </w:tcPr>
          <w:p>
            <w:pPr>
              <w:pStyle w:val="0"/>
              <w:jc w:val="both"/>
            </w:pPr>
            <w:r>
              <w:rPr>
                <w:sz w:val="20"/>
              </w:rPr>
              <w:t xml:space="preserve">Процент</w:t>
            </w:r>
          </w:p>
        </w:tc>
        <w:tc>
          <w:tcPr>
            <w:tcW w:w="1133" w:type="dxa"/>
          </w:tcPr>
          <w:p>
            <w:pPr>
              <w:pStyle w:val="0"/>
              <w:jc w:val="center"/>
            </w:pPr>
            <w:r>
              <w:rPr>
                <w:sz w:val="20"/>
              </w:rPr>
              <w:t xml:space="preserve">16,4</w:t>
            </w:r>
          </w:p>
        </w:tc>
        <w:tc>
          <w:tcPr>
            <w:tcW w:w="1247" w:type="dxa"/>
          </w:tcPr>
          <w:p>
            <w:pPr>
              <w:pStyle w:val="0"/>
              <w:jc w:val="center"/>
            </w:pPr>
            <w:r>
              <w:rPr>
                <w:sz w:val="20"/>
              </w:rPr>
              <w:t xml:space="preserve">12.17</w:t>
            </w:r>
          </w:p>
        </w:tc>
        <w:tc>
          <w:tcPr>
            <w:tcW w:w="865" w:type="dxa"/>
          </w:tcPr>
          <w:p>
            <w:pPr>
              <w:pStyle w:val="0"/>
              <w:jc w:val="center"/>
            </w:pPr>
            <w:r>
              <w:rPr>
                <w:sz w:val="20"/>
              </w:rPr>
              <w:t xml:space="preserve">30</w:t>
            </w:r>
          </w:p>
        </w:tc>
        <w:tc>
          <w:tcPr>
            <w:tcW w:w="865" w:type="dxa"/>
          </w:tcPr>
          <w:p>
            <w:pPr>
              <w:pStyle w:val="0"/>
              <w:jc w:val="center"/>
            </w:pPr>
            <w:r>
              <w:rPr>
                <w:sz w:val="20"/>
              </w:rPr>
              <w:t xml:space="preserve">50</w:t>
            </w:r>
          </w:p>
        </w:tc>
        <w:tc>
          <w:tcPr>
            <w:tcW w:w="865" w:type="dxa"/>
          </w:tcPr>
          <w:p>
            <w:pPr>
              <w:pStyle w:val="0"/>
              <w:jc w:val="center"/>
            </w:pPr>
            <w:r>
              <w:rPr>
                <w:sz w:val="20"/>
              </w:rPr>
              <w:t xml:space="preserve">60</w:t>
            </w:r>
          </w:p>
        </w:tc>
        <w:tc>
          <w:tcPr>
            <w:tcW w:w="865" w:type="dxa"/>
          </w:tcPr>
          <w:p>
            <w:pPr>
              <w:pStyle w:val="0"/>
              <w:jc w:val="center"/>
            </w:pPr>
            <w:r>
              <w:rPr>
                <w:sz w:val="20"/>
              </w:rPr>
              <w:t xml:space="preserve">70</w:t>
            </w:r>
          </w:p>
        </w:tc>
        <w:tc>
          <w:tcPr>
            <w:tcW w:w="865" w:type="dxa"/>
          </w:tcPr>
          <w:p>
            <w:pPr>
              <w:pStyle w:val="0"/>
              <w:jc w:val="center"/>
            </w:pPr>
            <w:r>
              <w:rPr>
                <w:sz w:val="20"/>
              </w:rPr>
              <w:t xml:space="preserve">80</w:t>
            </w:r>
          </w:p>
        </w:tc>
        <w:tc>
          <w:tcPr>
            <w:tcW w:w="867" w:type="dxa"/>
          </w:tcPr>
          <w:p>
            <w:pPr>
              <w:pStyle w:val="0"/>
              <w:jc w:val="center"/>
            </w:pPr>
            <w:r>
              <w:rPr>
                <w:sz w:val="20"/>
              </w:rPr>
              <w:t xml:space="preserve">90</w:t>
            </w:r>
          </w:p>
        </w:tc>
      </w:tr>
      <w:tr>
        <w:tc>
          <w:tcPr>
            <w:tcW w:w="4365"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системы кровообращения</w:t>
            </w:r>
          </w:p>
        </w:tc>
        <w:tc>
          <w:tcPr>
            <w:tcW w:w="1644" w:type="dxa"/>
          </w:tcPr>
          <w:p>
            <w:pPr>
              <w:pStyle w:val="0"/>
              <w:jc w:val="both"/>
            </w:pPr>
            <w:r>
              <w:rPr>
                <w:sz w:val="20"/>
              </w:rPr>
              <w:t xml:space="preserve">Процент</w:t>
            </w:r>
          </w:p>
        </w:tc>
        <w:tc>
          <w:tcPr>
            <w:tcW w:w="1133" w:type="dxa"/>
          </w:tcPr>
          <w:p>
            <w:pPr>
              <w:pStyle w:val="0"/>
              <w:jc w:val="center"/>
            </w:pPr>
            <w:r>
              <w:rPr>
                <w:sz w:val="20"/>
              </w:rPr>
              <w:t xml:space="preserve">17,5</w:t>
            </w:r>
          </w:p>
        </w:tc>
        <w:tc>
          <w:tcPr>
            <w:tcW w:w="1247" w:type="dxa"/>
          </w:tcPr>
          <w:p>
            <w:pPr>
              <w:pStyle w:val="0"/>
              <w:jc w:val="center"/>
            </w:pPr>
            <w:r>
              <w:rPr>
                <w:sz w:val="20"/>
              </w:rPr>
              <w:t xml:space="preserve">12.17</w:t>
            </w:r>
          </w:p>
        </w:tc>
        <w:tc>
          <w:tcPr>
            <w:tcW w:w="865" w:type="dxa"/>
          </w:tcPr>
          <w:p>
            <w:pPr>
              <w:pStyle w:val="0"/>
              <w:jc w:val="center"/>
            </w:pPr>
            <w:r>
              <w:rPr>
                <w:sz w:val="20"/>
              </w:rPr>
              <w:t xml:space="preserve">30</w:t>
            </w:r>
          </w:p>
        </w:tc>
        <w:tc>
          <w:tcPr>
            <w:tcW w:w="865" w:type="dxa"/>
          </w:tcPr>
          <w:p>
            <w:pPr>
              <w:pStyle w:val="0"/>
              <w:jc w:val="center"/>
            </w:pPr>
            <w:r>
              <w:rPr>
                <w:sz w:val="20"/>
              </w:rPr>
              <w:t xml:space="preserve">50</w:t>
            </w:r>
          </w:p>
        </w:tc>
        <w:tc>
          <w:tcPr>
            <w:tcW w:w="865" w:type="dxa"/>
          </w:tcPr>
          <w:p>
            <w:pPr>
              <w:pStyle w:val="0"/>
              <w:jc w:val="center"/>
            </w:pPr>
            <w:r>
              <w:rPr>
                <w:sz w:val="20"/>
              </w:rPr>
              <w:t xml:space="preserve">60</w:t>
            </w:r>
          </w:p>
        </w:tc>
        <w:tc>
          <w:tcPr>
            <w:tcW w:w="865" w:type="dxa"/>
          </w:tcPr>
          <w:p>
            <w:pPr>
              <w:pStyle w:val="0"/>
              <w:jc w:val="center"/>
            </w:pPr>
            <w:r>
              <w:rPr>
                <w:sz w:val="20"/>
              </w:rPr>
              <w:t xml:space="preserve">70</w:t>
            </w:r>
          </w:p>
        </w:tc>
        <w:tc>
          <w:tcPr>
            <w:tcW w:w="865" w:type="dxa"/>
          </w:tcPr>
          <w:p>
            <w:pPr>
              <w:pStyle w:val="0"/>
              <w:jc w:val="center"/>
            </w:pPr>
            <w:r>
              <w:rPr>
                <w:sz w:val="20"/>
              </w:rPr>
              <w:t xml:space="preserve">80</w:t>
            </w:r>
          </w:p>
        </w:tc>
        <w:tc>
          <w:tcPr>
            <w:tcW w:w="867" w:type="dxa"/>
          </w:tcPr>
          <w:p>
            <w:pPr>
              <w:pStyle w:val="0"/>
              <w:jc w:val="center"/>
            </w:pPr>
            <w:r>
              <w:rPr>
                <w:sz w:val="20"/>
              </w:rPr>
              <w:t xml:space="preserve">90</w:t>
            </w:r>
          </w:p>
        </w:tc>
      </w:tr>
      <w:tr>
        <w:tc>
          <w:tcPr>
            <w:tcW w:w="4365"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w:t>
            </w:r>
          </w:p>
        </w:tc>
        <w:tc>
          <w:tcPr>
            <w:tcW w:w="1644" w:type="dxa"/>
          </w:tcPr>
          <w:p>
            <w:pPr>
              <w:pStyle w:val="0"/>
              <w:jc w:val="both"/>
            </w:pPr>
            <w:r>
              <w:rPr>
                <w:sz w:val="20"/>
              </w:rPr>
              <w:t xml:space="preserve">Процент</w:t>
            </w:r>
          </w:p>
        </w:tc>
        <w:tc>
          <w:tcPr>
            <w:tcW w:w="1133" w:type="dxa"/>
          </w:tcPr>
          <w:p>
            <w:pPr>
              <w:pStyle w:val="0"/>
              <w:jc w:val="center"/>
            </w:pPr>
            <w:r>
              <w:rPr>
                <w:sz w:val="20"/>
              </w:rPr>
              <w:t xml:space="preserve">16,8</w:t>
            </w:r>
          </w:p>
        </w:tc>
        <w:tc>
          <w:tcPr>
            <w:tcW w:w="1247" w:type="dxa"/>
          </w:tcPr>
          <w:p>
            <w:pPr>
              <w:pStyle w:val="0"/>
              <w:jc w:val="center"/>
            </w:pPr>
            <w:r>
              <w:rPr>
                <w:sz w:val="20"/>
              </w:rPr>
              <w:t xml:space="preserve">12.17</w:t>
            </w:r>
          </w:p>
        </w:tc>
        <w:tc>
          <w:tcPr>
            <w:tcW w:w="865" w:type="dxa"/>
          </w:tcPr>
          <w:p>
            <w:pPr>
              <w:pStyle w:val="0"/>
              <w:jc w:val="center"/>
            </w:pPr>
            <w:r>
              <w:rPr>
                <w:sz w:val="20"/>
              </w:rPr>
              <w:t xml:space="preserve">30</w:t>
            </w:r>
          </w:p>
        </w:tc>
        <w:tc>
          <w:tcPr>
            <w:tcW w:w="865" w:type="dxa"/>
          </w:tcPr>
          <w:p>
            <w:pPr>
              <w:pStyle w:val="0"/>
              <w:jc w:val="center"/>
            </w:pPr>
            <w:r>
              <w:rPr>
                <w:sz w:val="20"/>
              </w:rPr>
              <w:t xml:space="preserve">50</w:t>
            </w:r>
          </w:p>
        </w:tc>
        <w:tc>
          <w:tcPr>
            <w:tcW w:w="865" w:type="dxa"/>
          </w:tcPr>
          <w:p>
            <w:pPr>
              <w:pStyle w:val="0"/>
              <w:jc w:val="center"/>
            </w:pPr>
            <w:r>
              <w:rPr>
                <w:sz w:val="20"/>
              </w:rPr>
              <w:t xml:space="preserve">60</w:t>
            </w:r>
          </w:p>
        </w:tc>
        <w:tc>
          <w:tcPr>
            <w:tcW w:w="865" w:type="dxa"/>
          </w:tcPr>
          <w:p>
            <w:pPr>
              <w:pStyle w:val="0"/>
              <w:jc w:val="center"/>
            </w:pPr>
            <w:r>
              <w:rPr>
                <w:sz w:val="20"/>
              </w:rPr>
              <w:t xml:space="preserve">70</w:t>
            </w:r>
          </w:p>
        </w:tc>
        <w:tc>
          <w:tcPr>
            <w:tcW w:w="865" w:type="dxa"/>
          </w:tcPr>
          <w:p>
            <w:pPr>
              <w:pStyle w:val="0"/>
              <w:jc w:val="center"/>
            </w:pPr>
            <w:r>
              <w:rPr>
                <w:sz w:val="20"/>
              </w:rPr>
              <w:t xml:space="preserve">80</w:t>
            </w:r>
          </w:p>
        </w:tc>
        <w:tc>
          <w:tcPr>
            <w:tcW w:w="867" w:type="dxa"/>
          </w:tcPr>
          <w:p>
            <w:pPr>
              <w:pStyle w:val="0"/>
              <w:jc w:val="center"/>
            </w:pPr>
            <w:r>
              <w:rPr>
                <w:sz w:val="20"/>
              </w:rPr>
              <w:t xml:space="preserve">90</w:t>
            </w:r>
          </w:p>
        </w:tc>
      </w:tr>
    </w:tbl>
    <w:p>
      <w:pPr>
        <w:pStyle w:val="0"/>
      </w:pPr>
      <w:r>
        <w:rPr>
          <w:sz w:val="20"/>
        </w:rPr>
      </w:r>
    </w:p>
    <w:p>
      <w:pPr>
        <w:pStyle w:val="0"/>
        <w:jc w:val="center"/>
      </w:pPr>
      <w:r>
        <w:rPr>
          <w:sz w:val="20"/>
        </w:rPr>
        <w:t xml:space="preserve">Программные мероприятия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3685"/>
        <w:gridCol w:w="1388"/>
        <w:gridCol w:w="1388"/>
        <w:gridCol w:w="1077"/>
        <w:gridCol w:w="3231"/>
      </w:tblGrid>
      <w:tr>
        <w:tc>
          <w:tcPr>
            <w:tcW w:w="850" w:type="dxa"/>
            <w:vMerge w:val="restart"/>
          </w:tcPr>
          <w:p>
            <w:pPr>
              <w:pStyle w:val="0"/>
              <w:jc w:val="center"/>
            </w:pPr>
            <w:r>
              <w:rPr>
                <w:sz w:val="20"/>
              </w:rPr>
              <w:t xml:space="preserve">N п/п</w:t>
            </w:r>
          </w:p>
        </w:tc>
        <w:tc>
          <w:tcPr>
            <w:tcW w:w="3685" w:type="dxa"/>
            <w:vMerge w:val="restart"/>
          </w:tcPr>
          <w:p>
            <w:pPr>
              <w:pStyle w:val="0"/>
              <w:jc w:val="center"/>
            </w:pPr>
            <w:r>
              <w:rPr>
                <w:sz w:val="20"/>
              </w:rPr>
              <w:t xml:space="preserve">Наименование результата, мероприятия, контрольной точки</w:t>
            </w:r>
          </w:p>
        </w:tc>
        <w:tc>
          <w:tcPr>
            <w:gridSpan w:val="2"/>
            <w:tcW w:w="2776" w:type="dxa"/>
          </w:tcPr>
          <w:p>
            <w:pPr>
              <w:pStyle w:val="0"/>
              <w:jc w:val="center"/>
            </w:pPr>
            <w:r>
              <w:rPr>
                <w:sz w:val="20"/>
              </w:rPr>
              <w:t xml:space="preserve">Сроки реализации</w:t>
            </w:r>
          </w:p>
        </w:tc>
        <w:tc>
          <w:tcPr>
            <w:tcW w:w="1077" w:type="dxa"/>
            <w:vMerge w:val="restart"/>
          </w:tcPr>
          <w:p>
            <w:pPr>
              <w:pStyle w:val="0"/>
              <w:jc w:val="center"/>
            </w:pPr>
            <w:r>
              <w:rPr>
                <w:sz w:val="20"/>
              </w:rPr>
              <w:t xml:space="preserve">Ответственный исполнитель</w:t>
            </w:r>
          </w:p>
        </w:tc>
        <w:tc>
          <w:tcPr>
            <w:tcW w:w="3231" w:type="dxa"/>
            <w:vMerge w:val="restart"/>
          </w:tcPr>
          <w:p>
            <w:pPr>
              <w:pStyle w:val="0"/>
              <w:jc w:val="center"/>
            </w:pPr>
            <w:r>
              <w:rPr>
                <w:sz w:val="20"/>
              </w:rPr>
              <w:t xml:space="preserve">Характеристика результата</w:t>
            </w:r>
          </w:p>
        </w:tc>
      </w:tr>
      <w:tr>
        <w:tc>
          <w:tcPr>
            <w:vMerge w:val="continue"/>
          </w:tcPr>
          <w:p/>
        </w:tc>
        <w:tc>
          <w:tcPr>
            <w:vMerge w:val="continue"/>
          </w:tcPr>
          <w:p/>
        </w:tc>
        <w:tc>
          <w:tcPr>
            <w:tcW w:w="1388" w:type="dxa"/>
          </w:tcPr>
          <w:p>
            <w:pPr>
              <w:pStyle w:val="0"/>
              <w:jc w:val="center"/>
            </w:pPr>
            <w:r>
              <w:rPr>
                <w:sz w:val="20"/>
              </w:rPr>
              <w:t xml:space="preserve">начало</w:t>
            </w:r>
          </w:p>
        </w:tc>
        <w:tc>
          <w:tcPr>
            <w:tcW w:w="1388" w:type="dxa"/>
          </w:tcPr>
          <w:p>
            <w:pPr>
              <w:pStyle w:val="0"/>
              <w:jc w:val="center"/>
            </w:pPr>
            <w:r>
              <w:rPr>
                <w:sz w:val="20"/>
              </w:rPr>
              <w:t xml:space="preserve">окончание</w:t>
            </w:r>
          </w:p>
        </w:tc>
        <w:tc>
          <w:tcPr>
            <w:vMerge w:val="continue"/>
          </w:tcPr>
          <w:p/>
        </w:tc>
        <w:tc>
          <w:tcPr>
            <w:vMerge w:val="continue"/>
          </w:tcPr>
          <w:p/>
        </w:tc>
      </w:tr>
      <w:tr>
        <w:tc>
          <w:tcPr>
            <w:tcW w:w="850" w:type="dxa"/>
          </w:tcPr>
          <w:p>
            <w:pPr>
              <w:pStyle w:val="0"/>
              <w:jc w:val="both"/>
            </w:pPr>
            <w:r>
              <w:rPr>
                <w:sz w:val="20"/>
              </w:rPr>
              <w:t xml:space="preserve">1</w:t>
            </w:r>
          </w:p>
        </w:tc>
        <w:tc>
          <w:tcPr>
            <w:tcW w:w="3685" w:type="dxa"/>
          </w:tcPr>
          <w:p>
            <w:pPr>
              <w:pStyle w:val="0"/>
              <w:jc w:val="both"/>
            </w:pPr>
            <w:r>
              <w:rPr>
                <w:sz w:val="20"/>
              </w:rPr>
              <w:t xml:space="preserve">Развитие материально-технической базы детских поликлиник и детских поликлинических отделений медицинских организаций г. Севастополя</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Улучшение качества и доступности медицинской помощи детям</w:t>
            </w:r>
          </w:p>
        </w:tc>
      </w:tr>
      <w:tr>
        <w:tc>
          <w:tcPr>
            <w:tcW w:w="850" w:type="dxa"/>
          </w:tcPr>
          <w:p>
            <w:pPr>
              <w:pStyle w:val="0"/>
              <w:jc w:val="both"/>
            </w:pPr>
            <w:r>
              <w:rPr>
                <w:sz w:val="20"/>
              </w:rPr>
              <w:t xml:space="preserve">1.1</w:t>
            </w:r>
          </w:p>
        </w:tc>
        <w:tc>
          <w:tcPr>
            <w:tcW w:w="3685" w:type="dxa"/>
          </w:tcPr>
          <w:p>
            <w:pPr>
              <w:pStyle w:val="0"/>
              <w:jc w:val="both"/>
            </w:pPr>
            <w:r>
              <w:rPr>
                <w:sz w:val="20"/>
              </w:rPr>
              <w:t xml:space="preserve">Оснащение детских поликлиник и поликлинических отделений, организационно-технические решения согласно требованиям </w:t>
            </w:r>
            <w:hyperlink w:history="0" r:id="rId623"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Доклад в Минздрав РФ.</w:t>
            </w:r>
          </w:p>
          <w:p>
            <w:pPr>
              <w:pStyle w:val="0"/>
              <w:jc w:val="both"/>
            </w:pPr>
            <w:r>
              <w:rPr>
                <w:sz w:val="20"/>
              </w:rPr>
              <w:t xml:space="preserve">Оснащение не менее 95% детских поликлиник и поликлинических отделений, организационно-технические решения согласно требованиям </w:t>
            </w:r>
            <w:hyperlink w:history="0" r:id="rId624"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w:t>
            </w:r>
          </w:p>
        </w:tc>
      </w:tr>
      <w:tr>
        <w:tc>
          <w:tcPr>
            <w:tcW w:w="850" w:type="dxa"/>
          </w:tcPr>
          <w:p>
            <w:pPr>
              <w:pStyle w:val="0"/>
              <w:jc w:val="both"/>
            </w:pPr>
            <w:r>
              <w:rPr>
                <w:sz w:val="20"/>
              </w:rPr>
              <w:t xml:space="preserve">1.1.2</w:t>
            </w:r>
          </w:p>
        </w:tc>
        <w:tc>
          <w:tcPr>
            <w:tcW w:w="3685" w:type="dxa"/>
          </w:tcPr>
          <w:p>
            <w:pPr>
              <w:pStyle w:val="0"/>
              <w:jc w:val="both"/>
            </w:pPr>
            <w:r>
              <w:rPr>
                <w:sz w:val="20"/>
              </w:rPr>
              <w:t xml:space="preserve">Дооснащение 95% детских поликлиник и поликлинических отделений, ГБУЗС "ГБ N 5": Детской поликлиники N 1, Детской поликлиники N 2</w:t>
            </w:r>
          </w:p>
        </w:tc>
        <w:tc>
          <w:tcPr>
            <w:tcW w:w="1388" w:type="dxa"/>
          </w:tcPr>
          <w:p>
            <w:pPr>
              <w:pStyle w:val="0"/>
              <w:jc w:val="both"/>
            </w:pPr>
            <w:r>
              <w:rPr>
                <w:sz w:val="20"/>
              </w:rPr>
              <w:t xml:space="preserve">01.01.2021</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Оснащено не менее 95% поликлиник и поликлинических отделений</w:t>
            </w:r>
          </w:p>
        </w:tc>
      </w:tr>
      <w:tr>
        <w:tc>
          <w:tcPr>
            <w:tcW w:w="850" w:type="dxa"/>
          </w:tcPr>
          <w:p>
            <w:pPr>
              <w:pStyle w:val="0"/>
              <w:jc w:val="both"/>
            </w:pPr>
            <w:r>
              <w:rPr>
                <w:sz w:val="20"/>
              </w:rPr>
              <w:t xml:space="preserve">1.2</w:t>
            </w:r>
          </w:p>
        </w:tc>
        <w:tc>
          <w:tcPr>
            <w:tcW w:w="3685" w:type="dxa"/>
          </w:tcPr>
          <w:p>
            <w:pPr>
              <w:pStyle w:val="0"/>
              <w:jc w:val="both"/>
            </w:pPr>
            <w:r>
              <w:rPr>
                <w:sz w:val="20"/>
              </w:rPr>
              <w:t xml:space="preserve">Капитальные и текущие ремонты детских поликлиник и поликлинических отделений</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31.12.2022</w:t>
            </w:r>
          </w:p>
        </w:tc>
        <w:tc>
          <w:tcPr>
            <w:tcW w:w="1077" w:type="dxa"/>
          </w:tcPr>
          <w:p>
            <w:pPr>
              <w:pStyle w:val="0"/>
              <w:jc w:val="both"/>
            </w:pPr>
            <w:r>
              <w:rPr>
                <w:sz w:val="20"/>
              </w:rPr>
              <w:t xml:space="preserve">ДЗГС</w:t>
            </w:r>
          </w:p>
        </w:tc>
        <w:tc>
          <w:tcPr>
            <w:tcW w:w="3231" w:type="dxa"/>
          </w:tcPr>
          <w:p>
            <w:pPr>
              <w:pStyle w:val="0"/>
              <w:jc w:val="both"/>
            </w:pPr>
            <w:r>
              <w:rPr>
                <w:sz w:val="20"/>
              </w:rPr>
              <w:t xml:space="preserve">Проведены капитальные ремонты и ремонтно-реставрационные работы в трех детских поликлиниках</w:t>
            </w:r>
          </w:p>
        </w:tc>
      </w:tr>
      <w:tr>
        <w:tc>
          <w:tcPr>
            <w:tcW w:w="850" w:type="dxa"/>
          </w:tcPr>
          <w:p>
            <w:pPr>
              <w:pStyle w:val="0"/>
              <w:jc w:val="both"/>
            </w:pPr>
            <w:r>
              <w:rPr>
                <w:sz w:val="20"/>
              </w:rPr>
              <w:t xml:space="preserve">1.2.1</w:t>
            </w:r>
          </w:p>
        </w:tc>
        <w:tc>
          <w:tcPr>
            <w:tcW w:w="3685" w:type="dxa"/>
          </w:tcPr>
          <w:p>
            <w:pPr>
              <w:pStyle w:val="0"/>
              <w:jc w:val="both"/>
            </w:pPr>
            <w:r>
              <w:rPr>
                <w:sz w:val="20"/>
              </w:rPr>
              <w:t xml:space="preserve">Ремонтно-реставрационные работы детской поликлиники ГБУЗС ГБ N 2, ул. Ленина, 20</w:t>
            </w:r>
          </w:p>
        </w:tc>
        <w:tc>
          <w:tcPr>
            <w:tcW w:w="1388" w:type="dxa"/>
          </w:tcPr>
          <w:p>
            <w:pPr>
              <w:pStyle w:val="0"/>
              <w:jc w:val="both"/>
            </w:pPr>
            <w:r>
              <w:rPr>
                <w:sz w:val="20"/>
              </w:rPr>
              <w:t xml:space="preserve">01.07.2019</w:t>
            </w:r>
          </w:p>
        </w:tc>
        <w:tc>
          <w:tcPr>
            <w:tcW w:w="1388" w:type="dxa"/>
          </w:tcPr>
          <w:p>
            <w:pPr>
              <w:pStyle w:val="0"/>
              <w:jc w:val="both"/>
            </w:pPr>
            <w:r>
              <w:rPr>
                <w:sz w:val="20"/>
              </w:rPr>
              <w:t xml:space="preserve">30.03.2021</w:t>
            </w:r>
          </w:p>
        </w:tc>
        <w:tc>
          <w:tcPr>
            <w:tcW w:w="1077" w:type="dxa"/>
          </w:tcPr>
          <w:p>
            <w:pPr>
              <w:pStyle w:val="0"/>
              <w:jc w:val="both"/>
            </w:pPr>
            <w:r>
              <w:rPr>
                <w:sz w:val="20"/>
              </w:rPr>
              <w:t xml:space="preserve">ДЗГС</w:t>
            </w:r>
          </w:p>
        </w:tc>
        <w:tc>
          <w:tcPr>
            <w:tcW w:w="3231" w:type="dxa"/>
          </w:tcPr>
          <w:p>
            <w:pPr>
              <w:pStyle w:val="0"/>
              <w:jc w:val="both"/>
            </w:pPr>
            <w:r>
              <w:rPr>
                <w:sz w:val="20"/>
              </w:rPr>
              <w:t xml:space="preserve">Акт ввода в эксплуатацию</w:t>
            </w:r>
          </w:p>
        </w:tc>
      </w:tr>
      <w:tr>
        <w:tc>
          <w:tcPr>
            <w:tcW w:w="850" w:type="dxa"/>
          </w:tcPr>
          <w:p>
            <w:pPr>
              <w:pStyle w:val="0"/>
              <w:jc w:val="both"/>
            </w:pPr>
            <w:r>
              <w:rPr>
                <w:sz w:val="20"/>
              </w:rPr>
              <w:t xml:space="preserve">1.2.2</w:t>
            </w:r>
          </w:p>
        </w:tc>
        <w:tc>
          <w:tcPr>
            <w:tcW w:w="3685" w:type="dxa"/>
          </w:tcPr>
          <w:p>
            <w:pPr>
              <w:pStyle w:val="0"/>
              <w:jc w:val="both"/>
            </w:pPr>
            <w:r>
              <w:rPr>
                <w:sz w:val="20"/>
              </w:rPr>
              <w:t xml:space="preserve">Капитальный ремонт детской поликлиники ГБУЗС ГБ N 2 (пр-т Генерала Острякова, 37)</w:t>
            </w:r>
          </w:p>
        </w:tc>
        <w:tc>
          <w:tcPr>
            <w:tcW w:w="1388" w:type="dxa"/>
          </w:tcPr>
          <w:p>
            <w:pPr>
              <w:pStyle w:val="0"/>
              <w:jc w:val="both"/>
            </w:pPr>
            <w:r>
              <w:rPr>
                <w:sz w:val="20"/>
              </w:rPr>
              <w:t xml:space="preserve">01.01.2021</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Акт ввода в эксплуатацию</w:t>
            </w:r>
          </w:p>
        </w:tc>
      </w:tr>
      <w:tr>
        <w:tc>
          <w:tcPr>
            <w:tcW w:w="850" w:type="dxa"/>
          </w:tcPr>
          <w:p>
            <w:pPr>
              <w:pStyle w:val="0"/>
              <w:jc w:val="both"/>
            </w:pPr>
            <w:r>
              <w:rPr>
                <w:sz w:val="20"/>
              </w:rPr>
              <w:t xml:space="preserve">1.3</w:t>
            </w:r>
          </w:p>
        </w:tc>
        <w:tc>
          <w:tcPr>
            <w:tcW w:w="3685" w:type="dxa"/>
          </w:tcPr>
          <w:p>
            <w:pPr>
              <w:pStyle w:val="0"/>
              <w:jc w:val="both"/>
            </w:pPr>
            <w:r>
              <w:rPr>
                <w:sz w:val="20"/>
              </w:rPr>
              <w:t xml:space="preserve">Строительство детских поликлиник</w:t>
            </w:r>
          </w:p>
        </w:tc>
        <w:tc>
          <w:tcPr>
            <w:tcW w:w="1388" w:type="dxa"/>
          </w:tcPr>
          <w:p>
            <w:pPr>
              <w:pStyle w:val="0"/>
              <w:jc w:val="both"/>
            </w:pPr>
            <w:r>
              <w:rPr>
                <w:sz w:val="20"/>
              </w:rPr>
              <w:t xml:space="preserve">01.01.2020</w:t>
            </w:r>
          </w:p>
        </w:tc>
        <w:tc>
          <w:tcPr>
            <w:tcW w:w="1388" w:type="dxa"/>
          </w:tcPr>
          <w:p>
            <w:pPr>
              <w:pStyle w:val="0"/>
              <w:jc w:val="both"/>
            </w:pPr>
            <w:r>
              <w:rPr>
                <w:sz w:val="20"/>
              </w:rPr>
              <w:t xml:space="preserve">31.12.2023</w:t>
            </w:r>
          </w:p>
        </w:tc>
        <w:tc>
          <w:tcPr>
            <w:tcW w:w="1077" w:type="dxa"/>
          </w:tcPr>
          <w:p>
            <w:pPr>
              <w:pStyle w:val="0"/>
              <w:jc w:val="both"/>
            </w:pPr>
            <w:r>
              <w:rPr>
                <w:sz w:val="20"/>
              </w:rPr>
              <w:t xml:space="preserve">ДКСГС</w:t>
            </w:r>
          </w:p>
          <w:p>
            <w:pPr>
              <w:pStyle w:val="0"/>
              <w:jc w:val="both"/>
            </w:pPr>
            <w:r>
              <w:rPr>
                <w:sz w:val="20"/>
              </w:rPr>
              <w:t xml:space="preserve">ДЗГС</w:t>
            </w:r>
          </w:p>
        </w:tc>
        <w:tc>
          <w:tcPr>
            <w:tcW w:w="3231" w:type="dxa"/>
          </w:tcPr>
          <w:p>
            <w:pPr>
              <w:pStyle w:val="0"/>
              <w:jc w:val="both"/>
            </w:pPr>
            <w:r>
              <w:rPr>
                <w:sz w:val="20"/>
              </w:rPr>
              <w:t xml:space="preserve">Доклад в МЗ РФ</w:t>
            </w:r>
          </w:p>
          <w:p>
            <w:pPr>
              <w:pStyle w:val="0"/>
              <w:jc w:val="both"/>
            </w:pPr>
            <w:r>
              <w:rPr>
                <w:sz w:val="20"/>
              </w:rPr>
              <w:t xml:space="preserve">Построено 3 детские поликлиники</w:t>
            </w:r>
          </w:p>
        </w:tc>
      </w:tr>
      <w:tr>
        <w:tc>
          <w:tcPr>
            <w:tcW w:w="850" w:type="dxa"/>
          </w:tcPr>
          <w:p>
            <w:pPr>
              <w:pStyle w:val="0"/>
              <w:jc w:val="both"/>
            </w:pPr>
            <w:r>
              <w:rPr>
                <w:sz w:val="20"/>
              </w:rPr>
              <w:t xml:space="preserve">1.3.1</w:t>
            </w:r>
          </w:p>
        </w:tc>
        <w:tc>
          <w:tcPr>
            <w:tcW w:w="3685" w:type="dxa"/>
          </w:tcPr>
          <w:p>
            <w:pPr>
              <w:pStyle w:val="0"/>
              <w:jc w:val="both"/>
            </w:pPr>
            <w:r>
              <w:rPr>
                <w:sz w:val="20"/>
              </w:rPr>
              <w:t xml:space="preserve">Проведение ПИР и строительство поликлиники на 320 посещений в смену в микрорайоне "Казачья бухта", г. Севастополь, с детским поликлиническим отделением</w:t>
            </w:r>
          </w:p>
        </w:tc>
        <w:tc>
          <w:tcPr>
            <w:tcW w:w="1388" w:type="dxa"/>
          </w:tcPr>
          <w:p>
            <w:pPr>
              <w:pStyle w:val="0"/>
              <w:jc w:val="both"/>
            </w:pPr>
            <w:r>
              <w:rPr>
                <w:sz w:val="20"/>
              </w:rPr>
              <w:t xml:space="preserve">01.01.2020</w:t>
            </w:r>
          </w:p>
        </w:tc>
        <w:tc>
          <w:tcPr>
            <w:tcW w:w="1388" w:type="dxa"/>
          </w:tcPr>
          <w:p>
            <w:pPr>
              <w:pStyle w:val="0"/>
              <w:jc w:val="both"/>
            </w:pPr>
            <w:r>
              <w:rPr>
                <w:sz w:val="20"/>
              </w:rPr>
              <w:t xml:space="preserve">30.03.2021</w:t>
            </w:r>
          </w:p>
        </w:tc>
        <w:tc>
          <w:tcPr>
            <w:tcW w:w="1077" w:type="dxa"/>
          </w:tcPr>
          <w:p>
            <w:pPr>
              <w:pStyle w:val="0"/>
              <w:jc w:val="both"/>
            </w:pPr>
            <w:r>
              <w:rPr>
                <w:sz w:val="20"/>
              </w:rPr>
              <w:t xml:space="preserve">ДКСГС</w:t>
            </w:r>
          </w:p>
          <w:p>
            <w:pPr>
              <w:pStyle w:val="0"/>
              <w:jc w:val="both"/>
            </w:pPr>
            <w:r>
              <w:rPr>
                <w:sz w:val="20"/>
              </w:rPr>
              <w:t xml:space="preserve">ДЗГС</w:t>
            </w:r>
          </w:p>
        </w:tc>
        <w:tc>
          <w:tcPr>
            <w:tcW w:w="3231" w:type="dxa"/>
          </w:tcPr>
          <w:p>
            <w:pPr>
              <w:pStyle w:val="0"/>
              <w:jc w:val="both"/>
            </w:pPr>
            <w:r>
              <w:rPr>
                <w:sz w:val="20"/>
              </w:rPr>
              <w:t xml:space="preserve">Утвержденная ПСД</w:t>
            </w:r>
          </w:p>
        </w:tc>
      </w:tr>
      <w:tr>
        <w:tc>
          <w:tcPr>
            <w:tcW w:w="850" w:type="dxa"/>
          </w:tcPr>
          <w:p>
            <w:pPr>
              <w:pStyle w:val="0"/>
              <w:jc w:val="both"/>
            </w:pPr>
            <w:r>
              <w:rPr>
                <w:sz w:val="20"/>
              </w:rPr>
              <w:t xml:space="preserve">1.3.2</w:t>
            </w:r>
          </w:p>
        </w:tc>
        <w:tc>
          <w:tcPr>
            <w:tcW w:w="3685" w:type="dxa"/>
          </w:tcPr>
          <w:p>
            <w:pPr>
              <w:pStyle w:val="0"/>
              <w:jc w:val="both"/>
            </w:pPr>
            <w:r>
              <w:rPr>
                <w:sz w:val="20"/>
              </w:rPr>
              <w:t xml:space="preserve">Построена поликлиника на 320 посещений в смену в микрорайоне "Казачья бухта", г. Севастополь, с детским поликлиническим отделением</w:t>
            </w:r>
          </w:p>
        </w:tc>
        <w:tc>
          <w:tcPr>
            <w:tcW w:w="1388" w:type="dxa"/>
          </w:tcPr>
          <w:p>
            <w:pPr>
              <w:pStyle w:val="0"/>
              <w:jc w:val="both"/>
            </w:pPr>
            <w:r>
              <w:rPr>
                <w:sz w:val="20"/>
              </w:rPr>
              <w:t xml:space="preserve">01.04.2021</w:t>
            </w:r>
          </w:p>
        </w:tc>
        <w:tc>
          <w:tcPr>
            <w:tcW w:w="1388" w:type="dxa"/>
          </w:tcPr>
          <w:p>
            <w:pPr>
              <w:pStyle w:val="0"/>
              <w:jc w:val="both"/>
            </w:pPr>
            <w:r>
              <w:rPr>
                <w:sz w:val="20"/>
              </w:rPr>
              <w:t xml:space="preserve">30.11.2021</w:t>
            </w:r>
          </w:p>
        </w:tc>
        <w:tc>
          <w:tcPr>
            <w:tcW w:w="1077" w:type="dxa"/>
          </w:tcPr>
          <w:p>
            <w:pPr>
              <w:pStyle w:val="0"/>
              <w:jc w:val="both"/>
            </w:pPr>
            <w:r>
              <w:rPr>
                <w:sz w:val="20"/>
              </w:rPr>
              <w:t xml:space="preserve">ДКСГС</w:t>
            </w:r>
          </w:p>
        </w:tc>
        <w:tc>
          <w:tcPr>
            <w:tcW w:w="3231" w:type="dxa"/>
          </w:tcPr>
          <w:p>
            <w:pPr>
              <w:pStyle w:val="0"/>
              <w:jc w:val="both"/>
            </w:pPr>
            <w:r>
              <w:rPr>
                <w:sz w:val="20"/>
              </w:rPr>
            </w:r>
          </w:p>
        </w:tc>
      </w:tr>
      <w:tr>
        <w:tc>
          <w:tcPr>
            <w:tcW w:w="850" w:type="dxa"/>
          </w:tcPr>
          <w:p>
            <w:pPr>
              <w:pStyle w:val="0"/>
              <w:jc w:val="both"/>
            </w:pPr>
            <w:r>
              <w:rPr>
                <w:sz w:val="20"/>
              </w:rPr>
              <w:t xml:space="preserve">1.3.3</w:t>
            </w:r>
          </w:p>
        </w:tc>
        <w:tc>
          <w:tcPr>
            <w:tcW w:w="3685" w:type="dxa"/>
          </w:tcPr>
          <w:p>
            <w:pPr>
              <w:pStyle w:val="0"/>
              <w:jc w:val="both"/>
            </w:pPr>
            <w:r>
              <w:rPr>
                <w:sz w:val="20"/>
              </w:rPr>
              <w:t xml:space="preserve">Введена в эксплуатацию поликлиника на 320 посещений в смену в микрорайоне "Казачья бухта", г. Севастополь, с детским поликлиническим отделением</w:t>
            </w:r>
          </w:p>
        </w:tc>
        <w:tc>
          <w:tcPr>
            <w:tcW w:w="1388" w:type="dxa"/>
          </w:tcPr>
          <w:p>
            <w:pPr>
              <w:pStyle w:val="0"/>
              <w:jc w:val="both"/>
            </w:pPr>
            <w:r>
              <w:rPr>
                <w:sz w:val="20"/>
              </w:rPr>
              <w:t xml:space="preserve">01.12.2021</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Доклад в МЗ РФ</w:t>
            </w:r>
          </w:p>
          <w:p>
            <w:pPr>
              <w:pStyle w:val="0"/>
              <w:jc w:val="both"/>
            </w:pPr>
            <w:r>
              <w:rPr>
                <w:sz w:val="20"/>
              </w:rPr>
              <w:t xml:space="preserve">Акт ввода в эксплуатацию</w:t>
            </w:r>
          </w:p>
        </w:tc>
      </w:tr>
      <w:tr>
        <w:tc>
          <w:tcPr>
            <w:tcW w:w="850" w:type="dxa"/>
          </w:tcPr>
          <w:p>
            <w:pPr>
              <w:pStyle w:val="0"/>
              <w:jc w:val="both"/>
            </w:pPr>
            <w:r>
              <w:rPr>
                <w:sz w:val="20"/>
              </w:rPr>
              <w:t xml:space="preserve">1.3.4</w:t>
            </w:r>
          </w:p>
        </w:tc>
        <w:tc>
          <w:tcPr>
            <w:tcW w:w="3685" w:type="dxa"/>
          </w:tcPr>
          <w:p>
            <w:pPr>
              <w:pStyle w:val="0"/>
              <w:jc w:val="both"/>
            </w:pPr>
            <w:r>
              <w:rPr>
                <w:sz w:val="20"/>
              </w:rPr>
              <w:t xml:space="preserve">Построено амбулаторно-поликлиническое учреждение на 320 посещений в смену с детским поликлиническим отделением, пр-т Генерала Острякова, 211а</w:t>
            </w:r>
          </w:p>
        </w:tc>
        <w:tc>
          <w:tcPr>
            <w:tcW w:w="1388" w:type="dxa"/>
          </w:tcPr>
          <w:p>
            <w:pPr>
              <w:pStyle w:val="0"/>
              <w:jc w:val="both"/>
            </w:pPr>
            <w:r>
              <w:rPr>
                <w:sz w:val="20"/>
              </w:rPr>
              <w:t xml:space="preserve">01.01.2021</w:t>
            </w:r>
          </w:p>
        </w:tc>
        <w:tc>
          <w:tcPr>
            <w:tcW w:w="1388" w:type="dxa"/>
          </w:tcPr>
          <w:p>
            <w:pPr>
              <w:pStyle w:val="0"/>
              <w:jc w:val="both"/>
            </w:pPr>
            <w:r>
              <w:rPr>
                <w:sz w:val="20"/>
              </w:rPr>
              <w:t xml:space="preserve">30.11.2022</w:t>
            </w:r>
          </w:p>
        </w:tc>
        <w:tc>
          <w:tcPr>
            <w:tcW w:w="1077" w:type="dxa"/>
          </w:tcPr>
          <w:p>
            <w:pPr>
              <w:pStyle w:val="0"/>
              <w:jc w:val="both"/>
            </w:pPr>
            <w:r>
              <w:rPr>
                <w:sz w:val="20"/>
              </w:rPr>
              <w:t xml:space="preserve">ДКСГС</w:t>
            </w:r>
          </w:p>
          <w:p>
            <w:pPr>
              <w:pStyle w:val="0"/>
              <w:jc w:val="both"/>
            </w:pPr>
            <w:r>
              <w:rPr>
                <w:sz w:val="20"/>
              </w:rPr>
              <w:t xml:space="preserve">ДЗГС</w:t>
            </w:r>
          </w:p>
        </w:tc>
        <w:tc>
          <w:tcPr>
            <w:tcW w:w="3231" w:type="dxa"/>
          </w:tcPr>
          <w:p>
            <w:pPr>
              <w:pStyle w:val="0"/>
              <w:jc w:val="both"/>
            </w:pPr>
            <w:r>
              <w:rPr>
                <w:sz w:val="20"/>
              </w:rPr>
              <w:t xml:space="preserve">Доклад в МЗ РФ</w:t>
            </w:r>
          </w:p>
          <w:p>
            <w:pPr>
              <w:pStyle w:val="0"/>
              <w:jc w:val="both"/>
            </w:pPr>
            <w:r>
              <w:rPr>
                <w:sz w:val="20"/>
              </w:rPr>
              <w:t xml:space="preserve">Акт ввода в эксплуатацию</w:t>
            </w:r>
          </w:p>
        </w:tc>
      </w:tr>
      <w:tr>
        <w:tc>
          <w:tcPr>
            <w:tcW w:w="850" w:type="dxa"/>
          </w:tcPr>
          <w:p>
            <w:pPr>
              <w:pStyle w:val="0"/>
              <w:jc w:val="both"/>
            </w:pPr>
            <w:r>
              <w:rPr>
                <w:sz w:val="20"/>
              </w:rPr>
              <w:t xml:space="preserve">1.3.5</w:t>
            </w:r>
          </w:p>
        </w:tc>
        <w:tc>
          <w:tcPr>
            <w:tcW w:w="3685" w:type="dxa"/>
          </w:tcPr>
          <w:p>
            <w:pPr>
              <w:pStyle w:val="0"/>
              <w:jc w:val="both"/>
            </w:pPr>
            <w:r>
              <w:rPr>
                <w:sz w:val="20"/>
              </w:rPr>
              <w:t xml:space="preserve">Введено в эксплуатацию амбулаторно-поликлиническое учреждение на 320 посещений в смену с детским поликлиническим отделением, пр-т Генерала Острякова, 211а</w:t>
            </w:r>
          </w:p>
        </w:tc>
        <w:tc>
          <w:tcPr>
            <w:tcW w:w="1388" w:type="dxa"/>
          </w:tcPr>
          <w:p>
            <w:pPr>
              <w:pStyle w:val="0"/>
              <w:jc w:val="both"/>
            </w:pPr>
            <w:r>
              <w:rPr>
                <w:sz w:val="20"/>
              </w:rPr>
              <w:t xml:space="preserve">01.12.2022</w:t>
            </w:r>
          </w:p>
        </w:tc>
        <w:tc>
          <w:tcPr>
            <w:tcW w:w="1388" w:type="dxa"/>
          </w:tcPr>
          <w:p>
            <w:pPr>
              <w:pStyle w:val="0"/>
              <w:jc w:val="both"/>
            </w:pPr>
            <w:r>
              <w:rPr>
                <w:sz w:val="20"/>
              </w:rPr>
              <w:t xml:space="preserve">31.12.2022</w:t>
            </w:r>
          </w:p>
        </w:tc>
        <w:tc>
          <w:tcPr>
            <w:tcW w:w="1077" w:type="dxa"/>
          </w:tcPr>
          <w:p>
            <w:pPr>
              <w:pStyle w:val="0"/>
              <w:jc w:val="both"/>
            </w:pPr>
            <w:r>
              <w:rPr>
                <w:sz w:val="20"/>
              </w:rPr>
              <w:t xml:space="preserve">ДКСГС</w:t>
            </w:r>
          </w:p>
          <w:p>
            <w:pPr>
              <w:pStyle w:val="0"/>
              <w:jc w:val="both"/>
            </w:pPr>
            <w:r>
              <w:rPr>
                <w:sz w:val="20"/>
              </w:rPr>
              <w:t xml:space="preserve">ДЗГС</w:t>
            </w:r>
          </w:p>
        </w:tc>
        <w:tc>
          <w:tcPr>
            <w:tcW w:w="3231" w:type="dxa"/>
          </w:tcPr>
          <w:p>
            <w:pPr>
              <w:pStyle w:val="0"/>
              <w:jc w:val="both"/>
            </w:pPr>
            <w:r>
              <w:rPr>
                <w:sz w:val="20"/>
              </w:rPr>
              <w:t xml:space="preserve">Доклад в МЗ РФ</w:t>
            </w:r>
          </w:p>
          <w:p>
            <w:pPr>
              <w:pStyle w:val="0"/>
              <w:jc w:val="both"/>
            </w:pPr>
            <w:r>
              <w:rPr>
                <w:sz w:val="20"/>
              </w:rPr>
              <w:t xml:space="preserve">Акт ввода в эксплуатацию</w:t>
            </w:r>
          </w:p>
        </w:tc>
      </w:tr>
      <w:tr>
        <w:tc>
          <w:tcPr>
            <w:tcW w:w="850" w:type="dxa"/>
          </w:tcPr>
          <w:p>
            <w:pPr>
              <w:pStyle w:val="0"/>
              <w:jc w:val="both"/>
            </w:pPr>
            <w:r>
              <w:rPr>
                <w:sz w:val="20"/>
              </w:rPr>
              <w:t xml:space="preserve">1.3.6</w:t>
            </w:r>
          </w:p>
        </w:tc>
        <w:tc>
          <w:tcPr>
            <w:tcW w:w="3685" w:type="dxa"/>
          </w:tcPr>
          <w:p>
            <w:pPr>
              <w:pStyle w:val="0"/>
              <w:jc w:val="both"/>
            </w:pPr>
            <w:r>
              <w:rPr>
                <w:sz w:val="20"/>
              </w:rPr>
              <w:t xml:space="preserve">Построена детская поликлиника на 200 посещений в смену в микрорайоне Стрелецкая бухта</w:t>
            </w:r>
          </w:p>
        </w:tc>
        <w:tc>
          <w:tcPr>
            <w:tcW w:w="1388" w:type="dxa"/>
          </w:tcPr>
          <w:p>
            <w:pPr>
              <w:pStyle w:val="0"/>
              <w:jc w:val="both"/>
            </w:pPr>
            <w:r>
              <w:rPr>
                <w:sz w:val="20"/>
              </w:rPr>
              <w:t xml:space="preserve">01.01.2022</w:t>
            </w:r>
          </w:p>
        </w:tc>
        <w:tc>
          <w:tcPr>
            <w:tcW w:w="1388" w:type="dxa"/>
          </w:tcPr>
          <w:p>
            <w:pPr>
              <w:pStyle w:val="0"/>
              <w:jc w:val="both"/>
            </w:pPr>
            <w:r>
              <w:rPr>
                <w:sz w:val="20"/>
              </w:rPr>
              <w:t xml:space="preserve">30.11.2023</w:t>
            </w:r>
          </w:p>
        </w:tc>
        <w:tc>
          <w:tcPr>
            <w:tcW w:w="1077" w:type="dxa"/>
          </w:tcPr>
          <w:p>
            <w:pPr>
              <w:pStyle w:val="0"/>
              <w:jc w:val="both"/>
            </w:pPr>
            <w:r>
              <w:rPr>
                <w:sz w:val="20"/>
              </w:rPr>
              <w:t xml:space="preserve">ДКСГС</w:t>
            </w:r>
          </w:p>
          <w:p>
            <w:pPr>
              <w:pStyle w:val="0"/>
              <w:jc w:val="both"/>
            </w:pPr>
            <w:r>
              <w:rPr>
                <w:sz w:val="20"/>
              </w:rPr>
              <w:t xml:space="preserve">ДЗГС</w:t>
            </w:r>
          </w:p>
        </w:tc>
        <w:tc>
          <w:tcPr>
            <w:tcW w:w="3231" w:type="dxa"/>
          </w:tcPr>
          <w:p>
            <w:pPr>
              <w:pStyle w:val="0"/>
              <w:jc w:val="both"/>
            </w:pPr>
            <w:r>
              <w:rPr>
                <w:sz w:val="20"/>
              </w:rPr>
              <w:t xml:space="preserve">Доклад в МЗ РФ</w:t>
            </w:r>
          </w:p>
          <w:p>
            <w:pPr>
              <w:pStyle w:val="0"/>
              <w:jc w:val="both"/>
            </w:pPr>
            <w:r>
              <w:rPr>
                <w:sz w:val="20"/>
              </w:rPr>
              <w:t xml:space="preserve">Акт ввода в эксплуатацию</w:t>
            </w:r>
          </w:p>
        </w:tc>
      </w:tr>
      <w:tr>
        <w:tc>
          <w:tcPr>
            <w:tcW w:w="850" w:type="dxa"/>
          </w:tcPr>
          <w:p>
            <w:pPr>
              <w:pStyle w:val="0"/>
              <w:jc w:val="both"/>
            </w:pPr>
            <w:r>
              <w:rPr>
                <w:sz w:val="20"/>
              </w:rPr>
              <w:t xml:space="preserve">1.3.7</w:t>
            </w:r>
          </w:p>
        </w:tc>
        <w:tc>
          <w:tcPr>
            <w:tcW w:w="3685" w:type="dxa"/>
          </w:tcPr>
          <w:p>
            <w:pPr>
              <w:pStyle w:val="0"/>
              <w:jc w:val="both"/>
            </w:pPr>
            <w:r>
              <w:rPr>
                <w:sz w:val="20"/>
              </w:rPr>
              <w:t xml:space="preserve">Введена в эксплуатацию детская поликлиника на 200 посещений в смену в микрорайоне Стрелецкая бухта</w:t>
            </w:r>
          </w:p>
        </w:tc>
        <w:tc>
          <w:tcPr>
            <w:tcW w:w="1388" w:type="dxa"/>
          </w:tcPr>
          <w:p>
            <w:pPr>
              <w:pStyle w:val="0"/>
              <w:jc w:val="both"/>
            </w:pPr>
            <w:r>
              <w:rPr>
                <w:sz w:val="20"/>
              </w:rPr>
              <w:t xml:space="preserve">01.12.2023</w:t>
            </w:r>
          </w:p>
        </w:tc>
        <w:tc>
          <w:tcPr>
            <w:tcW w:w="1388" w:type="dxa"/>
          </w:tcPr>
          <w:p>
            <w:pPr>
              <w:pStyle w:val="0"/>
              <w:jc w:val="both"/>
            </w:pPr>
            <w:r>
              <w:rPr>
                <w:sz w:val="20"/>
              </w:rPr>
              <w:t xml:space="preserve">31.12.2023</w:t>
            </w:r>
          </w:p>
        </w:tc>
        <w:tc>
          <w:tcPr>
            <w:tcW w:w="1077" w:type="dxa"/>
          </w:tcPr>
          <w:p>
            <w:pPr>
              <w:pStyle w:val="0"/>
              <w:jc w:val="both"/>
            </w:pPr>
            <w:r>
              <w:rPr>
                <w:sz w:val="20"/>
              </w:rPr>
              <w:t xml:space="preserve">ДКСГС</w:t>
            </w:r>
          </w:p>
          <w:p>
            <w:pPr>
              <w:pStyle w:val="0"/>
              <w:jc w:val="both"/>
            </w:pPr>
            <w:r>
              <w:rPr>
                <w:sz w:val="20"/>
              </w:rPr>
              <w:t xml:space="preserve">ДЗГС</w:t>
            </w:r>
          </w:p>
        </w:tc>
        <w:tc>
          <w:tcPr>
            <w:tcW w:w="3231" w:type="dxa"/>
          </w:tcPr>
          <w:p>
            <w:pPr>
              <w:pStyle w:val="0"/>
              <w:jc w:val="both"/>
            </w:pPr>
            <w:r>
              <w:rPr>
                <w:sz w:val="20"/>
              </w:rPr>
              <w:t xml:space="preserve">Доклад в МЗ РФ</w:t>
            </w:r>
          </w:p>
          <w:p>
            <w:pPr>
              <w:pStyle w:val="0"/>
              <w:jc w:val="both"/>
            </w:pPr>
            <w:r>
              <w:rPr>
                <w:sz w:val="20"/>
              </w:rPr>
              <w:t xml:space="preserve">Акт ввода в эксплуатацию</w:t>
            </w:r>
          </w:p>
        </w:tc>
      </w:tr>
      <w:tr>
        <w:tc>
          <w:tcPr>
            <w:tcW w:w="850" w:type="dxa"/>
          </w:tcPr>
          <w:p>
            <w:pPr>
              <w:pStyle w:val="0"/>
              <w:jc w:val="both"/>
            </w:pPr>
            <w:r>
              <w:rPr>
                <w:sz w:val="20"/>
              </w:rPr>
              <w:t xml:space="preserve">1.3.8</w:t>
            </w:r>
          </w:p>
        </w:tc>
        <w:tc>
          <w:tcPr>
            <w:tcW w:w="3685" w:type="dxa"/>
          </w:tcPr>
          <w:p>
            <w:pPr>
              <w:pStyle w:val="0"/>
              <w:jc w:val="both"/>
            </w:pPr>
            <w:r>
              <w:rPr>
                <w:sz w:val="20"/>
              </w:rPr>
              <w:t xml:space="preserve">Разработана и утверждена проектно-сметная документация поликлиники на 100 посещений в смену детской поликлиники N 1 ГБУЗС "Городская больница N 3 им. Даши Севастопольской"</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31.12.2020</w:t>
            </w:r>
          </w:p>
        </w:tc>
        <w:tc>
          <w:tcPr>
            <w:tcW w:w="1077" w:type="dxa"/>
          </w:tcPr>
          <w:p>
            <w:pPr>
              <w:pStyle w:val="0"/>
              <w:jc w:val="both"/>
            </w:pPr>
            <w:r>
              <w:rPr>
                <w:sz w:val="20"/>
              </w:rPr>
              <w:t xml:space="preserve">ДКСГС</w:t>
            </w:r>
          </w:p>
          <w:p>
            <w:pPr>
              <w:pStyle w:val="0"/>
              <w:jc w:val="both"/>
            </w:pPr>
            <w:r>
              <w:rPr>
                <w:sz w:val="20"/>
              </w:rPr>
              <w:t xml:space="preserve">ДЗГС</w:t>
            </w:r>
          </w:p>
        </w:tc>
        <w:tc>
          <w:tcPr>
            <w:tcW w:w="3231" w:type="dxa"/>
          </w:tcPr>
          <w:p>
            <w:pPr>
              <w:pStyle w:val="0"/>
              <w:jc w:val="both"/>
            </w:pPr>
            <w:r>
              <w:rPr>
                <w:sz w:val="20"/>
              </w:rPr>
              <w:t xml:space="preserve">Утвержденная ПСД</w:t>
            </w:r>
          </w:p>
        </w:tc>
      </w:tr>
      <w:tr>
        <w:tc>
          <w:tcPr>
            <w:tcW w:w="850" w:type="dxa"/>
          </w:tcPr>
          <w:p>
            <w:pPr>
              <w:pStyle w:val="0"/>
              <w:jc w:val="both"/>
            </w:pPr>
            <w:r>
              <w:rPr>
                <w:sz w:val="20"/>
              </w:rPr>
              <w:t xml:space="preserve">1.3.9</w:t>
            </w:r>
          </w:p>
        </w:tc>
        <w:tc>
          <w:tcPr>
            <w:tcW w:w="3685" w:type="dxa"/>
          </w:tcPr>
          <w:p>
            <w:pPr>
              <w:pStyle w:val="0"/>
              <w:jc w:val="both"/>
            </w:pPr>
            <w:r>
              <w:rPr>
                <w:sz w:val="20"/>
              </w:rPr>
              <w:t xml:space="preserve">Построена поликлиника на 100 посещений в смену детской поликлиники N 1 ГБУЗС "Городская больница N 3 им. Даши Севастопольской"</w:t>
            </w:r>
          </w:p>
        </w:tc>
        <w:tc>
          <w:tcPr>
            <w:tcW w:w="1388" w:type="dxa"/>
          </w:tcPr>
          <w:p>
            <w:pPr>
              <w:pStyle w:val="0"/>
              <w:jc w:val="both"/>
            </w:pPr>
            <w:r>
              <w:rPr>
                <w:sz w:val="20"/>
              </w:rPr>
              <w:t xml:space="preserve">01.01.2020</w:t>
            </w:r>
          </w:p>
        </w:tc>
        <w:tc>
          <w:tcPr>
            <w:tcW w:w="1388" w:type="dxa"/>
          </w:tcPr>
          <w:p>
            <w:pPr>
              <w:pStyle w:val="0"/>
              <w:jc w:val="both"/>
            </w:pPr>
            <w:r>
              <w:rPr>
                <w:sz w:val="20"/>
              </w:rPr>
              <w:t xml:space="preserve">31.12.2022</w:t>
            </w:r>
          </w:p>
        </w:tc>
        <w:tc>
          <w:tcPr>
            <w:tcW w:w="1077" w:type="dxa"/>
          </w:tcPr>
          <w:p>
            <w:pPr>
              <w:pStyle w:val="0"/>
              <w:jc w:val="both"/>
            </w:pPr>
            <w:r>
              <w:rPr>
                <w:sz w:val="20"/>
              </w:rPr>
              <w:t xml:space="preserve">ДКСГС</w:t>
            </w:r>
          </w:p>
        </w:tc>
        <w:tc>
          <w:tcPr>
            <w:tcW w:w="3231" w:type="dxa"/>
          </w:tcPr>
          <w:p>
            <w:pPr>
              <w:pStyle w:val="0"/>
              <w:jc w:val="both"/>
            </w:pPr>
            <w:r>
              <w:rPr>
                <w:sz w:val="20"/>
              </w:rPr>
              <w:t xml:space="preserve">Доклад в МЗ РФ</w:t>
            </w:r>
          </w:p>
          <w:p>
            <w:pPr>
              <w:pStyle w:val="0"/>
              <w:jc w:val="both"/>
            </w:pPr>
            <w:r>
              <w:rPr>
                <w:sz w:val="20"/>
              </w:rPr>
              <w:t xml:space="preserve">Акт ввода в эксплуатацию</w:t>
            </w:r>
          </w:p>
        </w:tc>
      </w:tr>
      <w:tr>
        <w:tc>
          <w:tcPr>
            <w:tcW w:w="850" w:type="dxa"/>
          </w:tcPr>
          <w:p>
            <w:pPr>
              <w:pStyle w:val="0"/>
              <w:jc w:val="both"/>
            </w:pPr>
            <w:r>
              <w:rPr>
                <w:sz w:val="20"/>
              </w:rPr>
              <w:t xml:space="preserve">1.3.10</w:t>
            </w:r>
          </w:p>
        </w:tc>
        <w:tc>
          <w:tcPr>
            <w:tcW w:w="3685" w:type="dxa"/>
          </w:tcPr>
          <w:p>
            <w:pPr>
              <w:pStyle w:val="0"/>
              <w:jc w:val="both"/>
            </w:pPr>
            <w:r>
              <w:rPr>
                <w:sz w:val="20"/>
              </w:rPr>
              <w:t xml:space="preserve">Введена в эксплуатацию поликлиника на 100 посещений в смену детской поликлиники N 1 ГБУЗС "Городская больница N 3 им. Даши Севастопольской"</w:t>
            </w:r>
          </w:p>
        </w:tc>
        <w:tc>
          <w:tcPr>
            <w:tcW w:w="1388" w:type="dxa"/>
          </w:tcPr>
          <w:p>
            <w:pPr>
              <w:pStyle w:val="0"/>
              <w:jc w:val="both"/>
            </w:pPr>
            <w:r>
              <w:rPr>
                <w:sz w:val="20"/>
              </w:rPr>
              <w:t xml:space="preserve">01.01.2023</w:t>
            </w:r>
          </w:p>
        </w:tc>
        <w:tc>
          <w:tcPr>
            <w:tcW w:w="1388" w:type="dxa"/>
          </w:tcPr>
          <w:p>
            <w:pPr>
              <w:pStyle w:val="0"/>
              <w:jc w:val="both"/>
            </w:pPr>
            <w:r>
              <w:rPr>
                <w:sz w:val="20"/>
              </w:rPr>
              <w:t xml:space="preserve">31.12.2023</w:t>
            </w:r>
          </w:p>
        </w:tc>
        <w:tc>
          <w:tcPr>
            <w:tcW w:w="1077" w:type="dxa"/>
          </w:tcPr>
          <w:p>
            <w:pPr>
              <w:pStyle w:val="0"/>
              <w:jc w:val="both"/>
            </w:pPr>
            <w:r>
              <w:rPr>
                <w:sz w:val="20"/>
              </w:rPr>
              <w:t xml:space="preserve">ДКСГС</w:t>
            </w:r>
          </w:p>
          <w:p>
            <w:pPr>
              <w:pStyle w:val="0"/>
              <w:jc w:val="both"/>
            </w:pPr>
            <w:r>
              <w:rPr>
                <w:sz w:val="20"/>
              </w:rPr>
              <w:t xml:space="preserve">ДЗГС</w:t>
            </w:r>
          </w:p>
        </w:tc>
        <w:tc>
          <w:tcPr>
            <w:tcW w:w="3231" w:type="dxa"/>
          </w:tcPr>
          <w:p>
            <w:pPr>
              <w:pStyle w:val="0"/>
              <w:jc w:val="both"/>
            </w:pPr>
            <w:r>
              <w:rPr>
                <w:sz w:val="20"/>
              </w:rPr>
              <w:t xml:space="preserve">Доклад в МЗ РФ</w:t>
            </w:r>
          </w:p>
          <w:p>
            <w:pPr>
              <w:pStyle w:val="0"/>
              <w:jc w:val="both"/>
            </w:pPr>
            <w:r>
              <w:rPr>
                <w:sz w:val="20"/>
              </w:rPr>
              <w:t xml:space="preserve">Акт ввода в эксплуатацию</w:t>
            </w:r>
          </w:p>
        </w:tc>
      </w:tr>
      <w:tr>
        <w:tc>
          <w:tcPr>
            <w:tcW w:w="850" w:type="dxa"/>
          </w:tcPr>
          <w:p>
            <w:pPr>
              <w:pStyle w:val="0"/>
              <w:jc w:val="both"/>
            </w:pPr>
            <w:r>
              <w:rPr>
                <w:sz w:val="20"/>
              </w:rPr>
              <w:t xml:space="preserve">2</w:t>
            </w:r>
          </w:p>
        </w:tc>
        <w:tc>
          <w:tcPr>
            <w:tcW w:w="3685" w:type="dxa"/>
          </w:tcPr>
          <w:p>
            <w:pPr>
              <w:pStyle w:val="0"/>
              <w:jc w:val="both"/>
            </w:pPr>
            <w:r>
              <w:rPr>
                <w:sz w:val="20"/>
              </w:rPr>
              <w:t xml:space="preserve">Развитие ранней диагностики заболеваний органов репродуктивной сферы у детей в возрасте 15 - 17 лет в рамках проведения профилактических осмотров</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31.12.2024</w:t>
            </w:r>
          </w:p>
        </w:tc>
        <w:tc>
          <w:tcPr>
            <w:tcW w:w="1077" w:type="dxa"/>
          </w:tcPr>
          <w:p>
            <w:pPr>
              <w:pStyle w:val="0"/>
              <w:jc w:val="both"/>
            </w:pPr>
            <w:r>
              <w:rPr>
                <w:sz w:val="20"/>
              </w:rPr>
              <w:t xml:space="preserve">ДЗГС</w:t>
            </w:r>
          </w:p>
        </w:tc>
        <w:tc>
          <w:tcPr>
            <w:tcW w:w="3231" w:type="dxa"/>
          </w:tcPr>
          <w:p>
            <w:pPr>
              <w:pStyle w:val="0"/>
              <w:jc w:val="both"/>
            </w:pPr>
            <w:r>
              <w:rPr>
                <w:sz w:val="20"/>
              </w:rPr>
              <w:t xml:space="preserve">Доклад в МЗ РФ</w:t>
            </w:r>
          </w:p>
        </w:tc>
      </w:tr>
      <w:tr>
        <w:tc>
          <w:tcPr>
            <w:tcW w:w="850" w:type="dxa"/>
          </w:tcPr>
          <w:p>
            <w:pPr>
              <w:pStyle w:val="0"/>
              <w:jc w:val="both"/>
            </w:pPr>
            <w:r>
              <w:rPr>
                <w:sz w:val="20"/>
              </w:rPr>
              <w:t xml:space="preserve">2.1</w:t>
            </w:r>
          </w:p>
        </w:tc>
        <w:tc>
          <w:tcPr>
            <w:tcW w:w="3685" w:type="dxa"/>
          </w:tcPr>
          <w:p>
            <w:pPr>
              <w:pStyle w:val="0"/>
              <w:jc w:val="both"/>
            </w:pPr>
            <w:r>
              <w:rPr>
                <w:sz w:val="20"/>
              </w:rPr>
              <w:t xml:space="preserve">Повышение охвата профилактическими осмотрами детей в возрасте 15 - 17 лет врачами-гинекологами и урологами-андрологами. В 2017 году осмотрено 5488 (63%)</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31.12.2024</w:t>
            </w:r>
          </w:p>
        </w:tc>
        <w:tc>
          <w:tcPr>
            <w:tcW w:w="1077" w:type="dxa"/>
          </w:tcPr>
          <w:p>
            <w:pPr>
              <w:pStyle w:val="0"/>
              <w:jc w:val="both"/>
            </w:pPr>
            <w:r>
              <w:rPr>
                <w:sz w:val="20"/>
              </w:rPr>
              <w:t xml:space="preserve">ДЗГС</w:t>
            </w:r>
          </w:p>
        </w:tc>
        <w:tc>
          <w:tcPr>
            <w:tcW w:w="3231" w:type="dxa"/>
          </w:tcPr>
          <w:p>
            <w:pPr>
              <w:pStyle w:val="0"/>
              <w:jc w:val="both"/>
            </w:pPr>
            <w:r>
              <w:rPr>
                <w:sz w:val="20"/>
              </w:rPr>
              <w:t xml:space="preserve">Доклад в МЗ РФ</w:t>
            </w:r>
          </w:p>
        </w:tc>
      </w:tr>
      <w:tr>
        <w:tc>
          <w:tcPr>
            <w:tcW w:w="850" w:type="dxa"/>
          </w:tcPr>
          <w:p>
            <w:pPr>
              <w:pStyle w:val="0"/>
              <w:jc w:val="both"/>
            </w:pPr>
            <w:r>
              <w:rPr>
                <w:sz w:val="20"/>
              </w:rPr>
              <w:t xml:space="preserve">2.1.3</w:t>
            </w:r>
          </w:p>
        </w:tc>
        <w:tc>
          <w:tcPr>
            <w:tcW w:w="3685" w:type="dxa"/>
          </w:tcPr>
          <w:p>
            <w:pPr>
              <w:pStyle w:val="0"/>
              <w:jc w:val="both"/>
            </w:pPr>
            <w:r>
              <w:rPr>
                <w:sz w:val="20"/>
              </w:rPr>
              <w:t xml:space="preserve">Повышение охвата детей в возрасте 15 - 17 лет профилактическими осмотрами врачами-гинекологами на 500 девочек и урологами-андрологами на 500 мальчиков</w:t>
            </w:r>
          </w:p>
        </w:tc>
        <w:tc>
          <w:tcPr>
            <w:tcW w:w="1388" w:type="dxa"/>
          </w:tcPr>
          <w:p>
            <w:pPr>
              <w:pStyle w:val="0"/>
              <w:jc w:val="both"/>
            </w:pPr>
            <w:r>
              <w:rPr>
                <w:sz w:val="20"/>
              </w:rPr>
              <w:t xml:space="preserve">01.01.2021</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Охват профилактическими осмотрами гинекологами и урологами-андрологами с учетом недовыполнения плана в 2020, в 2021 году планируется осмотреть: девочек - 2684, мальчиков - 2864</w:t>
            </w:r>
          </w:p>
        </w:tc>
      </w:tr>
      <w:tr>
        <w:tc>
          <w:tcPr>
            <w:tcW w:w="850" w:type="dxa"/>
          </w:tcPr>
          <w:p>
            <w:pPr>
              <w:pStyle w:val="0"/>
              <w:jc w:val="both"/>
            </w:pPr>
            <w:r>
              <w:rPr>
                <w:sz w:val="20"/>
              </w:rPr>
              <w:t xml:space="preserve">2.2</w:t>
            </w:r>
          </w:p>
        </w:tc>
        <w:tc>
          <w:tcPr>
            <w:tcW w:w="3685" w:type="dxa"/>
          </w:tcPr>
          <w:p>
            <w:pPr>
              <w:pStyle w:val="0"/>
              <w:jc w:val="both"/>
            </w:pPr>
            <w:r>
              <w:rPr>
                <w:sz w:val="20"/>
              </w:rPr>
              <w:t xml:space="preserve">Информационно-коммуникационная кампания по вопросам охраны репродуктивного здоровья подростков</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31.12.2024</w:t>
            </w:r>
          </w:p>
        </w:tc>
        <w:tc>
          <w:tcPr>
            <w:tcW w:w="1077" w:type="dxa"/>
          </w:tcPr>
          <w:p>
            <w:pPr>
              <w:pStyle w:val="0"/>
              <w:jc w:val="both"/>
            </w:pPr>
            <w:r>
              <w:rPr>
                <w:sz w:val="20"/>
              </w:rPr>
              <w:t xml:space="preserve">ДЗГС</w:t>
            </w:r>
          </w:p>
        </w:tc>
        <w:tc>
          <w:tcPr>
            <w:tcW w:w="3231" w:type="dxa"/>
          </w:tcPr>
          <w:p>
            <w:pPr>
              <w:pStyle w:val="0"/>
              <w:jc w:val="both"/>
            </w:pPr>
            <w:r>
              <w:rPr>
                <w:sz w:val="20"/>
              </w:rPr>
              <w:t xml:space="preserve">Повышение уровня информированности граждан о важности охраны репродуктивного здоровья на 5%</w:t>
            </w:r>
          </w:p>
        </w:tc>
      </w:tr>
      <w:tr>
        <w:tc>
          <w:tcPr>
            <w:tcW w:w="850" w:type="dxa"/>
          </w:tcPr>
          <w:p>
            <w:pPr>
              <w:pStyle w:val="0"/>
              <w:jc w:val="both"/>
            </w:pPr>
            <w:r>
              <w:rPr>
                <w:sz w:val="20"/>
              </w:rPr>
              <w:t xml:space="preserve">2.2.3</w:t>
            </w:r>
          </w:p>
        </w:tc>
        <w:tc>
          <w:tcPr>
            <w:tcW w:w="3685" w:type="dxa"/>
          </w:tcPr>
          <w:p>
            <w:pPr>
              <w:pStyle w:val="0"/>
              <w:jc w:val="both"/>
            </w:pPr>
            <w:r>
              <w:rPr>
                <w:sz w:val="20"/>
              </w:rPr>
              <w:t xml:space="preserve">Прочитано не менее 50 лекций по вопросам охраны семейных ценностей</w:t>
            </w:r>
          </w:p>
        </w:tc>
        <w:tc>
          <w:tcPr>
            <w:tcW w:w="1388" w:type="dxa"/>
          </w:tcPr>
          <w:p>
            <w:pPr>
              <w:pStyle w:val="0"/>
              <w:jc w:val="both"/>
            </w:pPr>
            <w:r>
              <w:rPr>
                <w:sz w:val="20"/>
              </w:rPr>
              <w:t xml:space="preserve">01.01.2021</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Повышение уровня информированности граждан о важности охраны репродуктивного здоровья на 5%</w:t>
            </w:r>
          </w:p>
        </w:tc>
      </w:tr>
      <w:tr>
        <w:tc>
          <w:tcPr>
            <w:tcW w:w="850" w:type="dxa"/>
          </w:tcPr>
          <w:p>
            <w:pPr>
              <w:pStyle w:val="0"/>
              <w:jc w:val="both"/>
            </w:pPr>
            <w:r>
              <w:rPr>
                <w:sz w:val="20"/>
              </w:rPr>
              <w:t xml:space="preserve">3</w:t>
            </w:r>
          </w:p>
        </w:tc>
        <w:tc>
          <w:tcPr>
            <w:tcW w:w="3685" w:type="dxa"/>
          </w:tcPr>
          <w:p>
            <w:pPr>
              <w:pStyle w:val="0"/>
              <w:jc w:val="both"/>
            </w:pPr>
            <w:r>
              <w:rPr>
                <w:sz w:val="20"/>
              </w:rPr>
              <w:t xml:space="preserve">Развитие материально-технической базы ГБУЗС "ГБ N 5"</w:t>
            </w:r>
          </w:p>
        </w:tc>
        <w:tc>
          <w:tcPr>
            <w:tcW w:w="1388" w:type="dxa"/>
          </w:tcPr>
          <w:p>
            <w:pPr>
              <w:pStyle w:val="0"/>
              <w:jc w:val="both"/>
            </w:pPr>
            <w:r>
              <w:rPr>
                <w:sz w:val="20"/>
              </w:rPr>
              <w:t xml:space="preserve">2019</w:t>
            </w:r>
          </w:p>
        </w:tc>
        <w:tc>
          <w:tcPr>
            <w:tcW w:w="1388" w:type="dxa"/>
          </w:tcPr>
          <w:p>
            <w:pPr>
              <w:pStyle w:val="0"/>
              <w:jc w:val="both"/>
            </w:pPr>
            <w:r>
              <w:rPr>
                <w:sz w:val="20"/>
              </w:rPr>
              <w:t xml:space="preserve">2021</w:t>
            </w:r>
          </w:p>
        </w:tc>
        <w:tc>
          <w:tcPr>
            <w:tcW w:w="1077" w:type="dxa"/>
          </w:tcPr>
          <w:p>
            <w:pPr>
              <w:pStyle w:val="0"/>
              <w:jc w:val="both"/>
            </w:pPr>
            <w:r>
              <w:rPr>
                <w:sz w:val="20"/>
              </w:rPr>
              <w:t xml:space="preserve">ДЗГС</w:t>
            </w:r>
          </w:p>
        </w:tc>
        <w:tc>
          <w:tcPr>
            <w:tcW w:w="3231" w:type="dxa"/>
          </w:tcPr>
          <w:p>
            <w:pPr>
              <w:pStyle w:val="0"/>
              <w:jc w:val="both"/>
            </w:pPr>
            <w:r>
              <w:rPr>
                <w:sz w:val="20"/>
              </w:rPr>
              <w:t xml:space="preserve">Дооснащение ГБУЗС "ГБ N 5" медицинским оборудованием и проведение капитальных и текущих ремонтов</w:t>
            </w:r>
          </w:p>
        </w:tc>
      </w:tr>
      <w:tr>
        <w:tc>
          <w:tcPr>
            <w:tcW w:w="850" w:type="dxa"/>
          </w:tcPr>
          <w:p>
            <w:pPr>
              <w:pStyle w:val="0"/>
              <w:jc w:val="both"/>
            </w:pPr>
            <w:r>
              <w:rPr>
                <w:sz w:val="20"/>
              </w:rPr>
              <w:t xml:space="preserve">3.1</w:t>
            </w:r>
          </w:p>
        </w:tc>
        <w:tc>
          <w:tcPr>
            <w:tcW w:w="3685" w:type="dxa"/>
          </w:tcPr>
          <w:p>
            <w:pPr>
              <w:pStyle w:val="0"/>
              <w:jc w:val="both"/>
            </w:pPr>
            <w:r>
              <w:rPr>
                <w:sz w:val="20"/>
              </w:rPr>
              <w:t xml:space="preserve">Развитие материально-технической базы ГБУЗС "ГБ N 5"</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Дооснащение ГБУЗС "ГБ N 5" медицинским оборудованием и проведение капитальных и текущих ремонтов</w:t>
            </w:r>
          </w:p>
        </w:tc>
      </w:tr>
      <w:tr>
        <w:tc>
          <w:tcPr>
            <w:tcW w:w="850" w:type="dxa"/>
          </w:tcPr>
          <w:p>
            <w:pPr>
              <w:pStyle w:val="0"/>
              <w:jc w:val="both"/>
            </w:pPr>
            <w:r>
              <w:rPr>
                <w:sz w:val="20"/>
              </w:rPr>
              <w:t xml:space="preserve">3.1.1</w:t>
            </w:r>
          </w:p>
        </w:tc>
        <w:tc>
          <w:tcPr>
            <w:tcW w:w="3685" w:type="dxa"/>
          </w:tcPr>
          <w:p>
            <w:pPr>
              <w:pStyle w:val="0"/>
              <w:jc w:val="both"/>
            </w:pPr>
            <w:r>
              <w:rPr>
                <w:sz w:val="20"/>
              </w:rPr>
              <w:t xml:space="preserve">Разработка ПСД и проведение капитального ремонта главного корпуса детской больницы, проведение капитального ремонта вспомогательных зданий и помещений стационара (пищеблока, бактериологической лаборатории, аптеки, подземного перехода, лифтов, патолого-анатомического отделения детской больницы)</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Акты ввода в эксплуатацию</w:t>
            </w:r>
          </w:p>
        </w:tc>
      </w:tr>
      <w:tr>
        <w:tc>
          <w:tcPr>
            <w:tcW w:w="850" w:type="dxa"/>
          </w:tcPr>
          <w:p>
            <w:pPr>
              <w:pStyle w:val="0"/>
              <w:jc w:val="both"/>
            </w:pPr>
            <w:r>
              <w:rPr>
                <w:sz w:val="20"/>
              </w:rPr>
              <w:t xml:space="preserve">3.1.2</w:t>
            </w:r>
          </w:p>
        </w:tc>
        <w:tc>
          <w:tcPr>
            <w:tcW w:w="3685" w:type="dxa"/>
          </w:tcPr>
          <w:p>
            <w:pPr>
              <w:pStyle w:val="0"/>
              <w:jc w:val="both"/>
            </w:pPr>
            <w:r>
              <w:rPr>
                <w:sz w:val="20"/>
              </w:rPr>
              <w:t xml:space="preserve">Проведение капитального ремонта отделения патологии новорожденных и недоношенных новорожденных детской больницы</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Акт ввода в эксплуатацию</w:t>
            </w:r>
          </w:p>
        </w:tc>
      </w:tr>
      <w:tr>
        <w:tc>
          <w:tcPr>
            <w:tcW w:w="850" w:type="dxa"/>
          </w:tcPr>
          <w:p>
            <w:pPr>
              <w:pStyle w:val="0"/>
              <w:jc w:val="both"/>
            </w:pPr>
            <w:r>
              <w:rPr>
                <w:sz w:val="20"/>
              </w:rPr>
              <w:t xml:space="preserve">3.2</w:t>
            </w:r>
          </w:p>
        </w:tc>
        <w:tc>
          <w:tcPr>
            <w:tcW w:w="3685" w:type="dxa"/>
          </w:tcPr>
          <w:p>
            <w:pPr>
              <w:pStyle w:val="0"/>
              <w:jc w:val="both"/>
            </w:pPr>
            <w:r>
              <w:rPr>
                <w:sz w:val="20"/>
              </w:rPr>
              <w:t xml:space="preserve">Комплексное оснащение медицинским оборудованием и изделиями медицинского назначения с целью приведения медицинской организации в соответствие порядкам оказания медицинской помощи</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Оснащение ГБУЗС "ГБ N 5" медицинским оборудованием согласно требованиям </w:t>
            </w:r>
            <w:hyperlink w:history="0" r:id="rId625"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w:t>
            </w:r>
          </w:p>
        </w:tc>
      </w:tr>
      <w:tr>
        <w:tc>
          <w:tcPr>
            <w:tcW w:w="850" w:type="dxa"/>
          </w:tcPr>
          <w:p>
            <w:pPr>
              <w:pStyle w:val="0"/>
              <w:jc w:val="both"/>
            </w:pPr>
            <w:r>
              <w:rPr>
                <w:sz w:val="20"/>
              </w:rPr>
              <w:t xml:space="preserve">3.2.1</w:t>
            </w:r>
          </w:p>
        </w:tc>
        <w:tc>
          <w:tcPr>
            <w:tcW w:w="3685" w:type="dxa"/>
          </w:tcPr>
          <w:p>
            <w:pPr>
              <w:pStyle w:val="0"/>
              <w:jc w:val="both"/>
            </w:pPr>
            <w:r>
              <w:rPr>
                <w:sz w:val="20"/>
              </w:rPr>
              <w:t xml:space="preserve">Закуплено в ГБУЗС" ГБ N 5" не менее 10 единиц медицинского оборудования и изделий медицинского назначения</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31.12.2019</w:t>
            </w:r>
          </w:p>
        </w:tc>
        <w:tc>
          <w:tcPr>
            <w:tcW w:w="1077" w:type="dxa"/>
          </w:tcPr>
          <w:p>
            <w:pPr>
              <w:pStyle w:val="0"/>
              <w:jc w:val="both"/>
            </w:pPr>
            <w:r>
              <w:rPr>
                <w:sz w:val="20"/>
              </w:rPr>
              <w:t xml:space="preserve">ДЗГС</w:t>
            </w:r>
          </w:p>
        </w:tc>
        <w:tc>
          <w:tcPr>
            <w:tcW w:w="3231" w:type="dxa"/>
          </w:tcPr>
          <w:p>
            <w:pPr>
              <w:pStyle w:val="0"/>
              <w:jc w:val="both"/>
            </w:pPr>
            <w:r>
              <w:rPr>
                <w:sz w:val="20"/>
              </w:rPr>
              <w:t xml:space="preserve">Оснащение ГБУЗС "ГБ N 5" медицинским оборудованием согласно требованиям </w:t>
            </w:r>
            <w:hyperlink w:history="0" r:id="rId626"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w:t>
            </w:r>
          </w:p>
        </w:tc>
      </w:tr>
      <w:tr>
        <w:tc>
          <w:tcPr>
            <w:tcW w:w="850" w:type="dxa"/>
          </w:tcPr>
          <w:p>
            <w:pPr>
              <w:pStyle w:val="0"/>
              <w:jc w:val="both"/>
            </w:pPr>
            <w:r>
              <w:rPr>
                <w:sz w:val="20"/>
              </w:rPr>
              <w:t xml:space="preserve">3.2.2</w:t>
            </w:r>
          </w:p>
        </w:tc>
        <w:tc>
          <w:tcPr>
            <w:tcW w:w="3685" w:type="dxa"/>
          </w:tcPr>
          <w:p>
            <w:pPr>
              <w:pStyle w:val="0"/>
              <w:jc w:val="both"/>
            </w:pPr>
            <w:r>
              <w:rPr>
                <w:sz w:val="20"/>
              </w:rPr>
              <w:t xml:space="preserve">Закуплено в ГБУЗС "ГБ N 5" не менее трех единиц медицинского оборудования</w:t>
            </w:r>
          </w:p>
        </w:tc>
        <w:tc>
          <w:tcPr>
            <w:tcW w:w="1388" w:type="dxa"/>
          </w:tcPr>
          <w:p>
            <w:pPr>
              <w:pStyle w:val="0"/>
              <w:jc w:val="both"/>
            </w:pPr>
            <w:r>
              <w:rPr>
                <w:sz w:val="20"/>
              </w:rPr>
              <w:t xml:space="preserve">01.01.2020</w:t>
            </w:r>
          </w:p>
        </w:tc>
        <w:tc>
          <w:tcPr>
            <w:tcW w:w="1388" w:type="dxa"/>
          </w:tcPr>
          <w:p>
            <w:pPr>
              <w:pStyle w:val="0"/>
              <w:jc w:val="both"/>
            </w:pPr>
            <w:r>
              <w:rPr>
                <w:sz w:val="20"/>
              </w:rPr>
              <w:t xml:space="preserve">31.12.2020</w:t>
            </w:r>
          </w:p>
        </w:tc>
        <w:tc>
          <w:tcPr>
            <w:tcW w:w="1077" w:type="dxa"/>
          </w:tcPr>
          <w:p>
            <w:pPr>
              <w:pStyle w:val="0"/>
              <w:jc w:val="both"/>
            </w:pPr>
            <w:r>
              <w:rPr>
                <w:sz w:val="20"/>
              </w:rPr>
              <w:t xml:space="preserve">ДЗГС</w:t>
            </w:r>
          </w:p>
        </w:tc>
        <w:tc>
          <w:tcPr>
            <w:tcW w:w="3231" w:type="dxa"/>
          </w:tcPr>
          <w:p>
            <w:pPr>
              <w:pStyle w:val="0"/>
              <w:jc w:val="both"/>
            </w:pPr>
            <w:r>
              <w:rPr>
                <w:sz w:val="20"/>
              </w:rPr>
              <w:t xml:space="preserve">Оснащение ГБУЗС "ГБ N 5" медицинским оборудованием согласно требованиям </w:t>
            </w:r>
            <w:hyperlink w:history="0" r:id="rId627"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w:t>
            </w:r>
          </w:p>
        </w:tc>
      </w:tr>
      <w:tr>
        <w:tc>
          <w:tcPr>
            <w:tcW w:w="850" w:type="dxa"/>
          </w:tcPr>
          <w:p>
            <w:pPr>
              <w:pStyle w:val="0"/>
              <w:jc w:val="both"/>
            </w:pPr>
            <w:r>
              <w:rPr>
                <w:sz w:val="20"/>
              </w:rPr>
              <w:t xml:space="preserve">3.2.3</w:t>
            </w:r>
          </w:p>
        </w:tc>
        <w:tc>
          <w:tcPr>
            <w:tcW w:w="3685" w:type="dxa"/>
          </w:tcPr>
          <w:p>
            <w:pPr>
              <w:pStyle w:val="0"/>
              <w:jc w:val="both"/>
            </w:pPr>
            <w:r>
              <w:rPr>
                <w:sz w:val="20"/>
              </w:rPr>
              <w:t xml:space="preserve">Закуплено в ГБУЗС "ГБ N 5" медицинского оборудования, изделий медицинского назначения, мебели</w:t>
            </w:r>
          </w:p>
        </w:tc>
        <w:tc>
          <w:tcPr>
            <w:tcW w:w="1388" w:type="dxa"/>
          </w:tcPr>
          <w:p>
            <w:pPr>
              <w:pStyle w:val="0"/>
              <w:jc w:val="both"/>
            </w:pPr>
            <w:r>
              <w:rPr>
                <w:sz w:val="20"/>
              </w:rPr>
              <w:t xml:space="preserve">01.01.2021</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Оснащение ГБУЗС "ГБ N 5" медицинским оборудованием согласно требованиям </w:t>
            </w:r>
            <w:hyperlink w:history="0" r:id="rId628"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 на сумму 700 млн рублей</w:t>
            </w:r>
          </w:p>
        </w:tc>
      </w:tr>
      <w:tr>
        <w:tc>
          <w:tcPr>
            <w:tcW w:w="850" w:type="dxa"/>
          </w:tcPr>
          <w:p>
            <w:pPr>
              <w:pStyle w:val="0"/>
              <w:jc w:val="both"/>
            </w:pPr>
            <w:r>
              <w:rPr>
                <w:sz w:val="20"/>
              </w:rPr>
              <w:t xml:space="preserve">4</w:t>
            </w:r>
          </w:p>
        </w:tc>
        <w:tc>
          <w:tcPr>
            <w:tcW w:w="3685" w:type="dxa"/>
          </w:tcPr>
          <w:p>
            <w:pPr>
              <w:pStyle w:val="0"/>
              <w:jc w:val="both"/>
            </w:pPr>
            <w:r>
              <w:rPr>
                <w:sz w:val="20"/>
              </w:rPr>
              <w:t xml:space="preserve">Повышение квалификации медицинских работников в области перинатологии, неонатологии и педиатрии в симуляционных центрах</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31.12.2024</w:t>
            </w:r>
          </w:p>
        </w:tc>
        <w:tc>
          <w:tcPr>
            <w:tcW w:w="1077" w:type="dxa"/>
          </w:tcPr>
          <w:p>
            <w:pPr>
              <w:pStyle w:val="0"/>
              <w:jc w:val="both"/>
            </w:pPr>
            <w:r>
              <w:rPr>
                <w:sz w:val="20"/>
              </w:rPr>
              <w:t xml:space="preserve">ДЗГС</w:t>
            </w:r>
          </w:p>
        </w:tc>
        <w:tc>
          <w:tcPr>
            <w:tcW w:w="3231" w:type="dxa"/>
          </w:tcPr>
          <w:p>
            <w:pPr>
              <w:pStyle w:val="0"/>
              <w:jc w:val="both"/>
            </w:pPr>
            <w:r>
              <w:rPr>
                <w:sz w:val="20"/>
              </w:rPr>
              <w:t xml:space="preserve">Повышение квалификации не менее 95% медицинских работников в области неонатологии и педиатрии в федеральных симуляционных центрах</w:t>
            </w:r>
          </w:p>
        </w:tc>
      </w:tr>
      <w:tr>
        <w:tc>
          <w:tcPr>
            <w:tcW w:w="850" w:type="dxa"/>
          </w:tcPr>
          <w:p>
            <w:pPr>
              <w:pStyle w:val="0"/>
              <w:jc w:val="both"/>
            </w:pPr>
            <w:r>
              <w:rPr>
                <w:sz w:val="20"/>
              </w:rPr>
              <w:t xml:space="preserve">4.1</w:t>
            </w:r>
          </w:p>
        </w:tc>
        <w:tc>
          <w:tcPr>
            <w:tcW w:w="3685" w:type="dxa"/>
          </w:tcPr>
          <w:p>
            <w:pPr>
              <w:pStyle w:val="0"/>
              <w:jc w:val="both"/>
            </w:pPr>
            <w:r>
              <w:rPr>
                <w:sz w:val="20"/>
              </w:rPr>
              <w:t xml:space="preserve">Повышение квалификации не менее 95% медицинских работников в области неонатологии и педиатрии в федеральных симуляционных центрах (общее число медицинских работников в области неонатологии и педиатрии - не менее 160 человек)</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31.12.2024</w:t>
            </w:r>
          </w:p>
        </w:tc>
        <w:tc>
          <w:tcPr>
            <w:tcW w:w="1077" w:type="dxa"/>
          </w:tcPr>
          <w:p>
            <w:pPr>
              <w:pStyle w:val="0"/>
              <w:jc w:val="both"/>
            </w:pPr>
            <w:r>
              <w:rPr>
                <w:sz w:val="20"/>
              </w:rPr>
              <w:t xml:space="preserve">ДЗГС</w:t>
            </w:r>
          </w:p>
        </w:tc>
        <w:tc>
          <w:tcPr>
            <w:tcW w:w="3231" w:type="dxa"/>
          </w:tcPr>
          <w:p>
            <w:pPr>
              <w:pStyle w:val="0"/>
              <w:jc w:val="both"/>
            </w:pPr>
            <w:r>
              <w:rPr>
                <w:sz w:val="20"/>
              </w:rPr>
              <w:t xml:space="preserve">Повышение квалификации не менее 95% медицинских работников в области неонатологии и педиатрии в федеральных симуляционных центрах</w:t>
            </w:r>
          </w:p>
        </w:tc>
      </w:tr>
      <w:tr>
        <w:tc>
          <w:tcPr>
            <w:tcW w:w="850" w:type="dxa"/>
          </w:tcPr>
          <w:p>
            <w:pPr>
              <w:pStyle w:val="0"/>
              <w:jc w:val="both"/>
            </w:pPr>
            <w:r>
              <w:rPr>
                <w:sz w:val="20"/>
              </w:rPr>
              <w:t xml:space="preserve">4.1.3</w:t>
            </w:r>
          </w:p>
        </w:tc>
        <w:tc>
          <w:tcPr>
            <w:tcW w:w="3685" w:type="dxa"/>
          </w:tcPr>
          <w:p>
            <w:pPr>
              <w:pStyle w:val="0"/>
              <w:jc w:val="both"/>
            </w:pPr>
            <w:r>
              <w:rPr>
                <w:sz w:val="20"/>
              </w:rPr>
              <w:t xml:space="preserve">Повышение квалификации 27 медицинских работников в области неонатологии и педиатрии в федеральных симуляционных центрах</w:t>
            </w:r>
          </w:p>
        </w:tc>
        <w:tc>
          <w:tcPr>
            <w:tcW w:w="1388" w:type="dxa"/>
          </w:tcPr>
          <w:p>
            <w:pPr>
              <w:pStyle w:val="0"/>
              <w:jc w:val="both"/>
            </w:pPr>
            <w:r>
              <w:rPr>
                <w:sz w:val="20"/>
              </w:rPr>
              <w:t xml:space="preserve">01.01.2021</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Повышение квалификации - 2 врачей анестезиологии и реанимации, 6 врачей-неонатологов, 5 врачей - акушеров-гинекологов в федеральных симуляционных центрах</w:t>
            </w:r>
          </w:p>
        </w:tc>
      </w:tr>
      <w:tr>
        <w:tc>
          <w:tcPr>
            <w:tcW w:w="850" w:type="dxa"/>
          </w:tcPr>
          <w:p>
            <w:pPr>
              <w:pStyle w:val="0"/>
              <w:jc w:val="both"/>
            </w:pPr>
            <w:r>
              <w:rPr>
                <w:sz w:val="20"/>
              </w:rPr>
              <w:t xml:space="preserve">5</w:t>
            </w:r>
          </w:p>
        </w:tc>
        <w:tc>
          <w:tcPr>
            <w:tcW w:w="3685" w:type="dxa"/>
          </w:tcPr>
          <w:p>
            <w:pPr>
              <w:pStyle w:val="0"/>
              <w:jc w:val="both"/>
            </w:pPr>
            <w:r>
              <w:rPr>
                <w:sz w:val="20"/>
              </w:rPr>
              <w:t xml:space="preserve">Развитие материально-технической базы медицинских организаций города Севастополя, оказывающих помощь женщинам в период беременности, родов и послеродовом периоде и новорожденным</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31.12.2024</w:t>
            </w:r>
          </w:p>
        </w:tc>
        <w:tc>
          <w:tcPr>
            <w:tcW w:w="1077" w:type="dxa"/>
          </w:tcPr>
          <w:p>
            <w:pPr>
              <w:pStyle w:val="0"/>
              <w:jc w:val="both"/>
            </w:pPr>
            <w:r>
              <w:rPr>
                <w:sz w:val="20"/>
              </w:rPr>
              <w:t xml:space="preserve">ДЗГС</w:t>
            </w:r>
          </w:p>
        </w:tc>
        <w:tc>
          <w:tcPr>
            <w:tcW w:w="3231" w:type="dxa"/>
          </w:tcPr>
          <w:p>
            <w:pPr>
              <w:pStyle w:val="0"/>
              <w:jc w:val="both"/>
            </w:pPr>
            <w:r>
              <w:rPr>
                <w:sz w:val="20"/>
              </w:rPr>
              <w:t xml:space="preserve">Доклад в Минздрав России.</w:t>
            </w:r>
          </w:p>
          <w:p>
            <w:pPr>
              <w:pStyle w:val="0"/>
              <w:jc w:val="both"/>
            </w:pPr>
            <w:r>
              <w:rPr>
                <w:sz w:val="20"/>
              </w:rPr>
              <w:t xml:space="preserve">Дооснащение медицинских организаций города Севастополя, оказывающих помощь во время беременности, родов, в послеродовом периоде и новорожденным, медицинским оборудованием за счет родовых сертификатов</w:t>
            </w:r>
          </w:p>
        </w:tc>
      </w:tr>
      <w:tr>
        <w:tc>
          <w:tcPr>
            <w:tcW w:w="850" w:type="dxa"/>
          </w:tcPr>
          <w:p>
            <w:pPr>
              <w:pStyle w:val="0"/>
              <w:jc w:val="both"/>
            </w:pPr>
            <w:r>
              <w:rPr>
                <w:sz w:val="20"/>
              </w:rPr>
              <w:t xml:space="preserve">5.1</w:t>
            </w:r>
          </w:p>
        </w:tc>
        <w:tc>
          <w:tcPr>
            <w:tcW w:w="3685" w:type="dxa"/>
          </w:tcPr>
          <w:p>
            <w:pPr>
              <w:pStyle w:val="0"/>
              <w:jc w:val="both"/>
            </w:pPr>
            <w:r>
              <w:rPr>
                <w:sz w:val="20"/>
              </w:rPr>
              <w:t xml:space="preserve">Дооснащение медицинских организаций города Севастополя, оказывающих помощь во время беременности, родов, в послеродовом периоде и новорожденным, медицинским оборудованием за счет родовых сертификатов</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31.12.2024</w:t>
            </w:r>
          </w:p>
        </w:tc>
        <w:tc>
          <w:tcPr>
            <w:tcW w:w="1077" w:type="dxa"/>
          </w:tcPr>
          <w:p>
            <w:pPr>
              <w:pStyle w:val="0"/>
              <w:jc w:val="both"/>
            </w:pPr>
            <w:r>
              <w:rPr>
                <w:sz w:val="20"/>
              </w:rPr>
              <w:t xml:space="preserve">ДЗГС</w:t>
            </w:r>
          </w:p>
        </w:tc>
        <w:tc>
          <w:tcPr>
            <w:tcW w:w="3231" w:type="dxa"/>
          </w:tcPr>
          <w:p>
            <w:pPr>
              <w:pStyle w:val="0"/>
              <w:jc w:val="both"/>
            </w:pPr>
            <w:r>
              <w:rPr>
                <w:sz w:val="20"/>
              </w:rPr>
              <w:t xml:space="preserve">Дооснащение медицинских организаций города Севастополя, оказывающих помощь во время беременности, родов, в послеродовом периоде и новорожденным, медицинским оборудованием за счет родовых сертификатов</w:t>
            </w:r>
          </w:p>
        </w:tc>
      </w:tr>
      <w:tr>
        <w:tc>
          <w:tcPr>
            <w:tcW w:w="850" w:type="dxa"/>
          </w:tcPr>
          <w:p>
            <w:pPr>
              <w:pStyle w:val="0"/>
              <w:jc w:val="both"/>
            </w:pPr>
            <w:r>
              <w:rPr>
                <w:sz w:val="20"/>
              </w:rPr>
              <w:t xml:space="preserve">5.1.1</w:t>
            </w:r>
          </w:p>
        </w:tc>
        <w:tc>
          <w:tcPr>
            <w:tcW w:w="3685" w:type="dxa"/>
          </w:tcPr>
          <w:p>
            <w:pPr>
              <w:pStyle w:val="0"/>
              <w:jc w:val="both"/>
            </w:pPr>
            <w:r>
              <w:rPr>
                <w:sz w:val="20"/>
              </w:rPr>
              <w:t xml:space="preserve">Освоение средств от оплаты родовых сертификатов не менее 50% за истекший календарный год</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31.12.2024</w:t>
            </w:r>
          </w:p>
        </w:tc>
        <w:tc>
          <w:tcPr>
            <w:tcW w:w="1077" w:type="dxa"/>
          </w:tcPr>
          <w:p>
            <w:pPr>
              <w:pStyle w:val="0"/>
              <w:jc w:val="both"/>
            </w:pPr>
            <w:r>
              <w:rPr>
                <w:sz w:val="20"/>
              </w:rPr>
              <w:t xml:space="preserve">ДЗГС</w:t>
            </w:r>
          </w:p>
        </w:tc>
        <w:tc>
          <w:tcPr>
            <w:tcW w:w="3231" w:type="dxa"/>
          </w:tcPr>
          <w:p>
            <w:pPr>
              <w:pStyle w:val="0"/>
              <w:jc w:val="both"/>
            </w:pPr>
            <w:r>
              <w:rPr>
                <w:sz w:val="20"/>
              </w:rPr>
              <w:t xml:space="preserve">Произведено освоение средств от оплаты родовых сертификатов не менее 50% за истекший календарный год</w:t>
            </w:r>
          </w:p>
        </w:tc>
      </w:tr>
      <w:tr>
        <w:tc>
          <w:tcPr>
            <w:tcW w:w="850" w:type="dxa"/>
          </w:tcPr>
          <w:p>
            <w:pPr>
              <w:pStyle w:val="0"/>
              <w:jc w:val="both"/>
            </w:pPr>
            <w:r>
              <w:rPr>
                <w:sz w:val="20"/>
              </w:rPr>
              <w:t xml:space="preserve">6</w:t>
            </w:r>
          </w:p>
        </w:tc>
        <w:tc>
          <w:tcPr>
            <w:tcW w:w="3685" w:type="dxa"/>
          </w:tcPr>
          <w:p>
            <w:pPr>
              <w:pStyle w:val="0"/>
              <w:jc w:val="both"/>
            </w:pPr>
            <w:r>
              <w:rPr>
                <w:sz w:val="20"/>
              </w:rPr>
              <w:t xml:space="preserve">Развитие профилактических мероприятий в педиатрии</w:t>
            </w:r>
          </w:p>
        </w:tc>
        <w:tc>
          <w:tcPr>
            <w:tcW w:w="1388" w:type="dxa"/>
          </w:tcPr>
          <w:p>
            <w:pPr>
              <w:pStyle w:val="0"/>
              <w:jc w:val="both"/>
            </w:pPr>
            <w:r>
              <w:rPr>
                <w:sz w:val="20"/>
              </w:rPr>
              <w:t xml:space="preserve">01.07.2019</w:t>
            </w:r>
          </w:p>
        </w:tc>
        <w:tc>
          <w:tcPr>
            <w:tcW w:w="1388" w:type="dxa"/>
          </w:tcPr>
          <w:p>
            <w:pPr>
              <w:pStyle w:val="0"/>
              <w:jc w:val="both"/>
            </w:pPr>
            <w:r>
              <w:rPr>
                <w:sz w:val="20"/>
              </w:rPr>
              <w:t xml:space="preserve">31.12.2024</w:t>
            </w:r>
          </w:p>
        </w:tc>
        <w:tc>
          <w:tcPr>
            <w:tcW w:w="1077" w:type="dxa"/>
          </w:tcPr>
          <w:p>
            <w:pPr>
              <w:pStyle w:val="0"/>
              <w:jc w:val="both"/>
            </w:pPr>
            <w:r>
              <w:rPr>
                <w:sz w:val="20"/>
              </w:rPr>
              <w:t xml:space="preserve">ДЗГС</w:t>
            </w:r>
          </w:p>
        </w:tc>
        <w:tc>
          <w:tcPr>
            <w:tcW w:w="3231" w:type="dxa"/>
          </w:tcPr>
          <w:p>
            <w:pPr>
              <w:pStyle w:val="0"/>
              <w:jc w:val="both"/>
            </w:pPr>
            <w:r>
              <w:rPr>
                <w:sz w:val="20"/>
              </w:rPr>
              <w:t xml:space="preserve">Доклад в Минздрав России.</w:t>
            </w:r>
          </w:p>
          <w:p>
            <w:pPr>
              <w:pStyle w:val="0"/>
              <w:jc w:val="both"/>
            </w:pPr>
            <w:r>
              <w:rPr>
                <w:sz w:val="20"/>
              </w:rPr>
              <w:t xml:space="preserve">Развитие профилактических мероприятий в педиатрии</w:t>
            </w:r>
          </w:p>
        </w:tc>
      </w:tr>
      <w:tr>
        <w:tc>
          <w:tcPr>
            <w:tcW w:w="850" w:type="dxa"/>
          </w:tcPr>
          <w:p>
            <w:pPr>
              <w:pStyle w:val="0"/>
              <w:jc w:val="both"/>
            </w:pPr>
            <w:r>
              <w:rPr>
                <w:sz w:val="20"/>
              </w:rPr>
              <w:t xml:space="preserve">6.1.2</w:t>
            </w:r>
          </w:p>
        </w:tc>
        <w:tc>
          <w:tcPr>
            <w:tcW w:w="3685" w:type="dxa"/>
          </w:tcPr>
          <w:p>
            <w:pPr>
              <w:pStyle w:val="0"/>
              <w:jc w:val="both"/>
            </w:pPr>
            <w:r>
              <w:rPr>
                <w:sz w:val="20"/>
              </w:rPr>
              <w:t xml:space="preserve">Открыто 5 кабинетов медицинской профилактики и 3 кабинета медико-социальной помощи</w:t>
            </w:r>
          </w:p>
        </w:tc>
        <w:tc>
          <w:tcPr>
            <w:tcW w:w="1388" w:type="dxa"/>
          </w:tcPr>
          <w:p>
            <w:pPr>
              <w:pStyle w:val="0"/>
              <w:jc w:val="both"/>
            </w:pPr>
            <w:r>
              <w:rPr>
                <w:sz w:val="20"/>
              </w:rPr>
              <w:t xml:space="preserve">01.01.2020</w:t>
            </w:r>
          </w:p>
        </w:tc>
        <w:tc>
          <w:tcPr>
            <w:tcW w:w="1388" w:type="dxa"/>
          </w:tcPr>
          <w:p>
            <w:pPr>
              <w:pStyle w:val="0"/>
              <w:jc w:val="both"/>
            </w:pPr>
            <w:r>
              <w:rPr>
                <w:sz w:val="20"/>
              </w:rPr>
              <w:t xml:space="preserve">31.12.2020</w:t>
            </w:r>
          </w:p>
        </w:tc>
        <w:tc>
          <w:tcPr>
            <w:tcW w:w="1077" w:type="dxa"/>
          </w:tcPr>
          <w:p>
            <w:pPr>
              <w:pStyle w:val="0"/>
              <w:jc w:val="both"/>
            </w:pPr>
            <w:r>
              <w:rPr>
                <w:sz w:val="20"/>
              </w:rPr>
              <w:t xml:space="preserve">ДЗГС</w:t>
            </w:r>
          </w:p>
        </w:tc>
        <w:tc>
          <w:tcPr>
            <w:tcW w:w="3231" w:type="dxa"/>
          </w:tcPr>
          <w:p>
            <w:pPr>
              <w:pStyle w:val="0"/>
              <w:jc w:val="both"/>
            </w:pPr>
            <w:r>
              <w:rPr>
                <w:sz w:val="20"/>
              </w:rPr>
              <w:t xml:space="preserve">Открыто не менее трех кабинетов медицинской профилактики и кабинетов медико-социальной помощи</w:t>
            </w:r>
          </w:p>
        </w:tc>
      </w:tr>
      <w:tr>
        <w:tc>
          <w:tcPr>
            <w:tcW w:w="850" w:type="dxa"/>
          </w:tcPr>
          <w:p>
            <w:pPr>
              <w:pStyle w:val="0"/>
              <w:jc w:val="both"/>
            </w:pPr>
            <w:r>
              <w:rPr>
                <w:sz w:val="20"/>
              </w:rPr>
              <w:t xml:space="preserve">6.1.3</w:t>
            </w:r>
          </w:p>
        </w:tc>
        <w:tc>
          <w:tcPr>
            <w:tcW w:w="3685" w:type="dxa"/>
          </w:tcPr>
          <w:p>
            <w:pPr>
              <w:pStyle w:val="0"/>
              <w:jc w:val="both"/>
            </w:pPr>
            <w:r>
              <w:rPr>
                <w:sz w:val="20"/>
              </w:rPr>
              <w:t xml:space="preserve">Открыто 2 кабинета медицинской профилактики и 3 кабинета медико-социальной помощи</w:t>
            </w:r>
          </w:p>
        </w:tc>
        <w:tc>
          <w:tcPr>
            <w:tcW w:w="1388" w:type="dxa"/>
          </w:tcPr>
          <w:p>
            <w:pPr>
              <w:pStyle w:val="0"/>
              <w:jc w:val="both"/>
            </w:pPr>
            <w:r>
              <w:rPr>
                <w:sz w:val="20"/>
              </w:rPr>
              <w:t xml:space="preserve">01.01.2021</w:t>
            </w:r>
          </w:p>
        </w:tc>
        <w:tc>
          <w:tcPr>
            <w:tcW w:w="1388" w:type="dxa"/>
          </w:tcPr>
          <w:p>
            <w:pPr>
              <w:pStyle w:val="0"/>
              <w:jc w:val="both"/>
            </w:pPr>
            <w:r>
              <w:rPr>
                <w:sz w:val="20"/>
              </w:rPr>
              <w:t xml:space="preserve">31.12.2021</w:t>
            </w:r>
          </w:p>
        </w:tc>
        <w:tc>
          <w:tcPr>
            <w:tcW w:w="1077" w:type="dxa"/>
          </w:tcPr>
          <w:p>
            <w:pPr>
              <w:pStyle w:val="0"/>
              <w:jc w:val="both"/>
            </w:pPr>
            <w:r>
              <w:rPr>
                <w:sz w:val="20"/>
              </w:rPr>
              <w:t xml:space="preserve">ДЗГС</w:t>
            </w:r>
          </w:p>
        </w:tc>
        <w:tc>
          <w:tcPr>
            <w:tcW w:w="3231" w:type="dxa"/>
          </w:tcPr>
          <w:p>
            <w:pPr>
              <w:pStyle w:val="0"/>
              <w:jc w:val="both"/>
            </w:pPr>
            <w:r>
              <w:rPr>
                <w:sz w:val="20"/>
              </w:rPr>
              <w:t xml:space="preserve">Открыто не менее трех кабинетов медицинской профилактики и кабинетов медико-социальной помощи</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2"/>
        <w:outlineLvl w:val="2"/>
        <w:jc w:val="center"/>
      </w:pPr>
      <w:r>
        <w:rPr>
          <w:sz w:val="20"/>
        </w:rPr>
        <w:t xml:space="preserve">Взаимодействие с другими региональными проектами</w:t>
      </w:r>
    </w:p>
    <w:p>
      <w:pPr>
        <w:pStyle w:val="0"/>
        <w:jc w:val="center"/>
      </w:pPr>
      <w:r>
        <w:rPr>
          <w:sz w:val="20"/>
        </w:rPr>
      </w:r>
    </w:p>
    <w:p>
      <w:pPr>
        <w:pStyle w:val="0"/>
        <w:ind w:firstLine="540"/>
        <w:jc w:val="both"/>
      </w:pPr>
      <w:r>
        <w:rPr>
          <w:sz w:val="20"/>
        </w:rPr>
        <w:t xml:space="preserve">На решение задач Программы также направлены мероприятия, которые реализуются в рамках других региональных сегментов федеральных проектов национального проекта "Здравоохранение".</w:t>
      </w:r>
    </w:p>
    <w:p>
      <w:pPr>
        <w:pStyle w:val="0"/>
        <w:spacing w:before="200" w:line-rule="auto"/>
        <w:ind w:firstLine="540"/>
        <w:jc w:val="both"/>
      </w:pPr>
      <w:r>
        <w:rPr>
          <w:sz w:val="20"/>
        </w:rPr>
        <w:t xml:space="preserve">Оснащение детских поликлиник и детских поликлинических отделений современным оборудованием позволит обеспечить своевременность и комфортность прохождения диагностических процедур, а реализация регионального проекта "Борьба с онкологическими заболеваниями" - организовать информационно-коммуникационную кампанию, направленную на раннее выявление онкологических заболеваний, финансово обеспечить оказание медицинской помощи детям с онкологическими заболеваниями в соответствии с клиническими рекомендациями (протоколами лечения).</w:t>
      </w:r>
    </w:p>
    <w:p>
      <w:pPr>
        <w:pStyle w:val="0"/>
        <w:spacing w:before="200" w:line-rule="auto"/>
        <w:ind w:firstLine="540"/>
        <w:jc w:val="both"/>
      </w:pPr>
      <w:r>
        <w:rPr>
          <w:sz w:val="20"/>
        </w:rPr>
        <w:t xml:space="preserve">Мероприятия по обучению врачей-неонатологов, врачей - акушеров-гинекологов, врачей-онкологов, врачей-нейрохирургов, врачей - анестезиологов-реаниматологов, врачей-патологоанатомов по программам повышения квалификации и профессиональной переподготовки будут осуществляться в рамках регионального проекта "Обеспечение медицинских организаций системы здравоохранения квалифицированными кадрами".</w:t>
      </w:r>
    </w:p>
    <w:p>
      <w:pPr>
        <w:pStyle w:val="0"/>
        <w:spacing w:before="200" w:line-rule="auto"/>
        <w:ind w:firstLine="540"/>
        <w:jc w:val="both"/>
      </w:pPr>
      <w:r>
        <w:rPr>
          <w:sz w:val="20"/>
        </w:rPr>
        <w:t xml:space="preserve">Формирование механизмов взаимодействия медицинских организаций на основе региональной государственной информационной системы в сфере здравоохранения в результате реализации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функционирование на ее платформе централизованных систем обеспечат преемственность оказания медицинской помощи детям, маршрутизацию пациентов и мониторинг оказания медицинской помощи по отдельным профилям заболеваний, организацию телемедицинских консультаций, автоматизированную диспетчеризацию санитарного транспорта и управление льготным лекарственным обеспечением, создадут условия для использования гражданами электронных услуг и сервисов в сфере здравоохранения, в том числе запись на прием к врачу (вызов врача на дом), диспансеризацию (профилактические осмотры), доступ к своим электронным медицинским документам.</w:t>
      </w:r>
    </w:p>
    <w:p>
      <w:pPr>
        <w:pStyle w:val="0"/>
        <w:spacing w:before="200" w:line-rule="auto"/>
        <w:ind w:firstLine="540"/>
        <w:jc w:val="both"/>
      </w:pPr>
      <w:r>
        <w:rPr>
          <w:sz w:val="20"/>
        </w:rPr>
        <w:t xml:space="preserve">Региональный проект "Финансовая поддержка семей при рождении детей" национального проекта "Демография" направлен на повышение доступности и качества оказания медицинской помощи женщинам фертильного возраста, улучшение ранней диагностики заболеваний, в том числе репродуктивной системы, организацию обязательного доабортного консультирования специалистами кризисных центров и кабинетов медико-социальной помощи беременных женщин, формирование позитивного настроя беременной женщины на рождение ребенка, совершенствование работы кризисных центров и кабинетов медико-социальной помощи с беременными женщинами, в том числе по межведомственному взаимодействию в работе с беременными, находящимися в трудной жизненной ситуации, оказание женщинам своевременной психологической и социальной помощи, увеличение объемов оказания медицинской помощи по лечению бесплодия с использованием вспомогательных репродуктивных технологий (ЭКО) в целях повышения рождаемости, увеличение количества рожденных детей.</w:t>
      </w:r>
    </w:p>
    <w:p>
      <w:pPr>
        <w:pStyle w:val="0"/>
        <w:ind w:firstLine="540"/>
        <w:jc w:val="both"/>
      </w:pPr>
      <w:r>
        <w:rPr>
          <w:sz w:val="20"/>
        </w:rPr>
      </w:r>
    </w:p>
    <w:p>
      <w:pPr>
        <w:pStyle w:val="2"/>
        <w:outlineLvl w:val="2"/>
        <w:jc w:val="center"/>
      </w:pPr>
      <w:r>
        <w:rPr>
          <w:sz w:val="20"/>
        </w:rPr>
        <w:t xml:space="preserve">Оценка социально-экономической эффективности реализации</w:t>
      </w:r>
    </w:p>
    <w:p>
      <w:pPr>
        <w:pStyle w:val="2"/>
        <w:jc w:val="center"/>
      </w:pPr>
      <w:r>
        <w:rPr>
          <w:sz w:val="20"/>
        </w:rPr>
        <w:t xml:space="preserve">Региональной программы</w:t>
      </w:r>
    </w:p>
    <w:p>
      <w:pPr>
        <w:pStyle w:val="0"/>
        <w:jc w:val="center"/>
      </w:pPr>
      <w:r>
        <w:rPr>
          <w:sz w:val="20"/>
        </w:rPr>
      </w:r>
    </w:p>
    <w:p>
      <w:pPr>
        <w:pStyle w:val="0"/>
        <w:ind w:firstLine="540"/>
        <w:jc w:val="both"/>
      </w:pPr>
      <w:r>
        <w:rPr>
          <w:sz w:val="20"/>
        </w:rPr>
        <w:t xml:space="preserve">Предполагается, что общий экономический эффект от реализации мероприятий Региональной программы будет достигнут за счет снижения заболеваемости, инвалидности и смертности детского населения, а в последующем - населения в целом.</w:t>
      </w:r>
    </w:p>
    <w:p>
      <w:pPr>
        <w:pStyle w:val="0"/>
        <w:spacing w:before="200" w:line-rule="auto"/>
        <w:ind w:firstLine="540"/>
        <w:jc w:val="both"/>
      </w:pPr>
      <w:r>
        <w:rPr>
          <w:sz w:val="20"/>
        </w:rPr>
        <w:t xml:space="preserve">Социальная эффективность реализации мероприятий Региональной программы будет выражена в повышении доступности и качества оказания первичной медико-санитарной помощи детям. Оснащение детских поликлиник и детских поликлинических отделений современным оборудованием, создание в них организационно-планировочных решений внутренних пространств, обеспечивающих комфортность пребывания детей, приведут к снижению длительности ожидания осмотров врачами-специалистами и диагностических обследований детей, упростят процедуру записи к врачу. Совершенствование условий оказания амбулаторной помощи приведет к повышению охвата профилактическими осмотрами, в том числе направленными на предотвращение нарушений репродуктивной сферы. Показателем качества лечебно-профилактических мероприятий будет достижение индикаторов Региональной программы, характеризующих долю детей с впервые выявленными заболеваниями, взятых под диспансерное наблюдение.</w:t>
      </w:r>
    </w:p>
    <w:p>
      <w:pPr>
        <w:pStyle w:val="0"/>
        <w:spacing w:before="200" w:line-rule="auto"/>
        <w:ind w:firstLine="540"/>
        <w:jc w:val="both"/>
      </w:pPr>
      <w:r>
        <w:rPr>
          <w:sz w:val="20"/>
        </w:rPr>
        <w:t xml:space="preserve">Информационно-коммуникационная кампания, а также работа межведомственной комиссии позволят уменьшить влияние внешних факторов на подростковую и детскую заболеваемость, дадут мотивацию к ведению здорового образа жизни среди детей и подростков.</w:t>
      </w:r>
    </w:p>
    <w:p>
      <w:pPr>
        <w:pStyle w:val="0"/>
        <w:spacing w:before="200" w:line-rule="auto"/>
        <w:ind w:firstLine="540"/>
        <w:jc w:val="both"/>
      </w:pPr>
      <w:r>
        <w:rPr>
          <w:sz w:val="20"/>
        </w:rPr>
        <w:t xml:space="preserve">Дооснащение медицинских организаций, оказывающих помощь женщинам во время беременности, родов, в послеродовом периоде и новорожденным, медицинским оборудованием за счет родовых сертификатов позволит улучшить материально-техническую базу учреждений родовспоможения.</w:t>
      </w:r>
    </w:p>
    <w:p>
      <w:pPr>
        <w:pStyle w:val="0"/>
        <w:spacing w:before="200" w:line-rule="auto"/>
        <w:ind w:firstLine="540"/>
        <w:jc w:val="both"/>
      </w:pPr>
      <w:r>
        <w:rPr>
          <w:sz w:val="20"/>
        </w:rPr>
        <w:t xml:space="preserve">Таким образом, Региональная программа позволит повысить доступность и качество медицинской помощи детям всех возрастных групп и беременным женщинам, будет способствовать улучшению показателей здоровья населения, формированию основ здорового образа жизни, снижению социальной и психологической напряженности в обществе.</w:t>
      </w:r>
    </w:p>
    <w:p>
      <w:pPr>
        <w:pStyle w:val="0"/>
        <w:spacing w:before="200" w:line-rule="auto"/>
        <w:ind w:firstLine="540"/>
        <w:jc w:val="both"/>
      </w:pPr>
      <w:r>
        <w:rPr>
          <w:sz w:val="20"/>
        </w:rPr>
        <w:t xml:space="preserve">Одновременно мероприятия проекта направлены и на совершенствование организации медицинской помощи детям в части внедрения принципов бережливого производства, а значит - на сокращение очередей, существенное улучшение логистики передвижения пациентов внутри поликлиник, создание архитектурно-планировочных решений, обеспечивающих комфортное пребывание детей и их семей в медицинских организациях.</w:t>
      </w:r>
    </w:p>
    <w:p>
      <w:pPr>
        <w:pStyle w:val="0"/>
        <w:spacing w:before="200" w:line-rule="auto"/>
        <w:ind w:firstLine="540"/>
        <w:jc w:val="both"/>
      </w:pPr>
      <w:r>
        <w:rPr>
          <w:sz w:val="20"/>
        </w:rPr>
        <w:t xml:space="preserve">Использование программно-целевого метода дает возможность последовательно осуществлять меры по улучшению условий оказания медицинской помощи детям на территории города Севастополя.</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7</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p>
      <w:pPr>
        <w:pStyle w:val="2"/>
        <w:jc w:val="center"/>
      </w:pPr>
      <w:r>
        <w:rPr>
          <w:sz w:val="20"/>
        </w:rPr>
        <w:t xml:space="preserve">Региональная программа города Севастополя</w:t>
      </w:r>
    </w:p>
    <w:p>
      <w:pPr>
        <w:pStyle w:val="2"/>
        <w:jc w:val="center"/>
      </w:pPr>
      <w:r>
        <w:rPr>
          <w:sz w:val="20"/>
        </w:rPr>
        <w:t xml:space="preserve">"Борьба с сердечно-сосудистыми заболеваниями"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629" w:tooltip="Постановление Правительства Севастополя от 08.06.2023 N 27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08.06.2023 N 271-ПП)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2"/>
        <w:jc w:val="center"/>
      </w:pPr>
      <w:r>
        <w:rPr>
          <w:sz w:val="20"/>
        </w:rPr>
        <w:t xml:space="preserve">1. Общая характеристика субъекта Российской Федерации</w:t>
      </w:r>
    </w:p>
    <w:p>
      <w:pPr>
        <w:pStyle w:val="0"/>
        <w:ind w:firstLine="540"/>
        <w:jc w:val="both"/>
      </w:pPr>
      <w:r>
        <w:rPr>
          <w:sz w:val="20"/>
        </w:rPr>
      </w:r>
    </w:p>
    <w:p>
      <w:pPr>
        <w:pStyle w:val="2"/>
        <w:outlineLvl w:val="3"/>
        <w:jc w:val="center"/>
      </w:pPr>
      <w:r>
        <w:rPr>
          <w:sz w:val="20"/>
        </w:rPr>
        <w:t xml:space="preserve">1.1. Анализ социально-экономической ситуации в субъекте</w:t>
      </w:r>
    </w:p>
    <w:p>
      <w:pPr>
        <w:pStyle w:val="2"/>
        <w:jc w:val="center"/>
      </w:pPr>
      <w:r>
        <w:rPr>
          <w:sz w:val="20"/>
        </w:rPr>
        <w:t xml:space="preserve">Российской Федерации</w:t>
      </w:r>
    </w:p>
    <w:p>
      <w:pPr>
        <w:pStyle w:val="0"/>
        <w:jc w:val="center"/>
      </w:pPr>
      <w:r>
        <w:rPr>
          <w:sz w:val="20"/>
        </w:rPr>
      </w:r>
    </w:p>
    <w:p>
      <w:pPr>
        <w:pStyle w:val="0"/>
        <w:ind w:firstLine="540"/>
        <w:jc w:val="both"/>
      </w:pPr>
      <w:r>
        <w:rPr>
          <w:sz w:val="20"/>
        </w:rPr>
        <w:t xml:space="preserve">Общая площадь территории города Севастополя составляет 1,08 тыс. кв. км, в том числе к ней относится более 30 бухт с общей площадью акватории в 216,0 кв. км. Протяженность территории города Севастополя с запада на восток - 43 км, с севера на юг - 50 км. Город Севастополь расположен в юго-западной части Крыма на Гераклейском полуострове. Исторический центр города расположен на южной стороне Севастопольской бухты.</w:t>
      </w:r>
    </w:p>
    <w:p>
      <w:pPr>
        <w:pStyle w:val="0"/>
        <w:spacing w:before="200" w:line-rule="auto"/>
        <w:ind w:firstLine="540"/>
        <w:jc w:val="both"/>
      </w:pPr>
      <w:r>
        <w:rPr>
          <w:sz w:val="20"/>
        </w:rPr>
        <w:t xml:space="preserve">На северо-востоке его земли граничат с Бахчисарайским районом, на юго-востоке - с Большой Ялтой. С запада на юг город омывают воды Черного моря.</w:t>
      </w:r>
    </w:p>
    <w:p>
      <w:pPr>
        <w:pStyle w:val="0"/>
        <w:spacing w:before="200" w:line-rule="auto"/>
        <w:ind w:firstLine="540"/>
        <w:jc w:val="both"/>
      </w:pPr>
      <w:r>
        <w:rPr>
          <w:sz w:val="20"/>
        </w:rPr>
        <w:t xml:space="preserve">Территория города федерального значения Севастополя граничит со следующими административными единицами Республики Крым: на северо-востоке - с Бахчисарайским районом, на юго-востоке - с территорией городского округа Ялта; общая длина сухопутных границ составляет 106 км.</w:t>
      </w:r>
    </w:p>
    <w:p>
      <w:pPr>
        <w:pStyle w:val="0"/>
        <w:spacing w:before="200" w:line-rule="auto"/>
        <w:ind w:firstLine="540"/>
        <w:jc w:val="both"/>
      </w:pPr>
      <w:r>
        <w:rPr>
          <w:sz w:val="20"/>
        </w:rPr>
        <w:t xml:space="preserve">На западе и юге территория Севастопольского региона ограничена береговой линией Черного моря, общая протяженность которой составляет 152 км.</w:t>
      </w:r>
    </w:p>
    <w:p>
      <w:pPr>
        <w:pStyle w:val="0"/>
        <w:ind w:firstLine="540"/>
        <w:jc w:val="both"/>
      </w:pPr>
      <w:r>
        <w:rPr>
          <w:sz w:val="20"/>
        </w:rPr>
      </w:r>
    </w:p>
    <w:p>
      <w:pPr>
        <w:pStyle w:val="2"/>
        <w:outlineLvl w:val="2"/>
        <w:jc w:val="center"/>
      </w:pPr>
      <w:r>
        <w:rPr>
          <w:sz w:val="20"/>
        </w:rPr>
        <w:t xml:space="preserve">2. Демографическая ситуация по субъекту</w:t>
      </w:r>
    </w:p>
    <w:p>
      <w:pPr>
        <w:pStyle w:val="2"/>
        <w:jc w:val="center"/>
      </w:pPr>
      <w:r>
        <w:rPr>
          <w:sz w:val="20"/>
        </w:rPr>
        <w:t xml:space="preserve">Российской Федерации, показатели миграции,</w:t>
      </w:r>
    </w:p>
    <w:p>
      <w:pPr>
        <w:pStyle w:val="2"/>
        <w:jc w:val="center"/>
      </w:pPr>
      <w:r>
        <w:rPr>
          <w:sz w:val="20"/>
        </w:rPr>
        <w:t xml:space="preserve">рождаемости и смертности</w:t>
      </w:r>
    </w:p>
    <w:p>
      <w:pPr>
        <w:pStyle w:val="0"/>
        <w:ind w:firstLine="540"/>
        <w:jc w:val="both"/>
      </w:pPr>
      <w:r>
        <w:rPr>
          <w:sz w:val="20"/>
        </w:rPr>
      </w:r>
    </w:p>
    <w:p>
      <w:pPr>
        <w:pStyle w:val="0"/>
        <w:ind w:firstLine="540"/>
        <w:jc w:val="both"/>
      </w:pPr>
      <w:r>
        <w:rPr>
          <w:sz w:val="20"/>
        </w:rPr>
        <w:t xml:space="preserve">Предварительная численность населения города Севастополя на 1 января 2023 г. по данным Росстата составила 556304 чел. По сравнению с 01.01.2022 рост населения составил 26421 чел. (численность населения на 01.01.2022 составляла 529883 чел.).</w:t>
      </w:r>
    </w:p>
    <w:p>
      <w:pPr>
        <w:pStyle w:val="0"/>
        <w:spacing w:before="200" w:line-rule="auto"/>
        <w:ind w:firstLine="540"/>
        <w:jc w:val="both"/>
      </w:pPr>
      <w:r>
        <w:rPr>
          <w:sz w:val="20"/>
        </w:rPr>
        <w:t xml:space="preserve">Родилось за 2022 г. 3988 детей - на 246 меньше, чем в 2021 г. (4234). Коэффициент рождаемости за 2022 г. составил 7,7 (в 2021 году 8,3 - снижение показателя рождаемости составило 8,10%).</w:t>
      </w:r>
    </w:p>
    <w:p>
      <w:pPr>
        <w:pStyle w:val="0"/>
        <w:spacing w:before="200" w:line-rule="auto"/>
        <w:ind w:firstLine="540"/>
        <w:jc w:val="both"/>
      </w:pPr>
      <w:r>
        <w:rPr>
          <w:sz w:val="20"/>
        </w:rPr>
        <w:t xml:space="preserve">От всех причин умерло за 2022 г. 6205 чел., что на 1419 смертей меньше, чем в 2021 г. (7624). Коэффициент общей смертности на 1000 населения за 2022 г. равен 11,9. Аналогичный показатель общей смертности в Российской Федерации (далее - РФ) за 2022 г. составил 13,1; в Южном федеральном округе (далее - ЮФО) - 14,1. Следовательно, уровень общей смертности в Севастополе ниже среднероссийского.</w:t>
      </w:r>
    </w:p>
    <w:p>
      <w:pPr>
        <w:pStyle w:val="0"/>
        <w:spacing w:before="200" w:line-rule="auto"/>
        <w:ind w:firstLine="540"/>
        <w:jc w:val="both"/>
      </w:pPr>
      <w:r>
        <w:rPr>
          <w:sz w:val="20"/>
        </w:rPr>
        <w:t xml:space="preserve">Коэффициент младенческой смертности в 2022 г. составил 4,0 на 100 тыс. детей соответствующего возраста, или 16 детей, что на 14,89% меньше, чем в 2021 г. (4,7 на 1000 родившихся живыми, или 20 детей). Аналогичный показатель в РФ за 2022 г. составил 4,5, в ЮФО - 4,6.</w:t>
      </w:r>
    </w:p>
    <w:p>
      <w:pPr>
        <w:pStyle w:val="0"/>
        <w:spacing w:before="200" w:line-rule="auto"/>
        <w:ind w:firstLine="540"/>
        <w:jc w:val="both"/>
      </w:pPr>
      <w:r>
        <w:rPr>
          <w:sz w:val="20"/>
        </w:rPr>
        <w:t xml:space="preserve">На первом месте среди причин смертности остаются болезни системы кровообращения (далее - БСК), от которых умерло 2839 чел. (45% от всех умерших), что на 356 умерших меньше, чем в 2021 г. (3195 чел.). Показатель смертности от БСК за 2022 г. на 100 тыс. населения составил 544,97 (в 2021 г. - 628,57). Аналогичный показатель смертности от БСК в РФ за 2022 г. составил 567 на 100 тыс. населения.</w:t>
      </w:r>
    </w:p>
    <w:p>
      <w:pPr>
        <w:pStyle w:val="0"/>
        <w:spacing w:before="200" w:line-rule="auto"/>
        <w:ind w:firstLine="540"/>
        <w:jc w:val="both"/>
      </w:pPr>
      <w:r>
        <w:rPr>
          <w:sz w:val="20"/>
        </w:rPr>
        <w:t xml:space="preserve">В основном от БСК умирали лица старше трудоспособного возраста. Доля трудоспособных граждан, умерших от БСК, составила 11,59%. Показатель смертности от БСК в 2022 г. на 100 тыс. населения трудоспособного возраста увеличился и составил 107,73 (329 чел.), в 2021 г. - 101,78 (297 чел.).</w:t>
      </w:r>
    </w:p>
    <w:p>
      <w:pPr>
        <w:pStyle w:val="0"/>
        <w:spacing w:before="200" w:line-rule="auto"/>
        <w:ind w:firstLine="540"/>
        <w:jc w:val="both"/>
      </w:pPr>
      <w:r>
        <w:rPr>
          <w:sz w:val="20"/>
        </w:rPr>
        <w:t xml:space="preserve">Второе место среди причин смертности в 2022 г. заняли новообразования, от которых умерло 1048 чел., или 201,17 на 100 тыс. населения (16,89% от всех умерших). Это на 3 случая меньше, чем в 2021 г. (1045 умерших, показатель составил 205,59). Из всех случаев смерти от новообразований 1033 чел. умерло от злокачественных новообразований (далее - ЗНО). Количество умерших от ЗНО увеличилось на 2 чел., коэффициент смертности составил 198,29 на 100 тыс. населения (в 2021 г. - 202,83, или 1031 чел.).</w:t>
      </w:r>
    </w:p>
    <w:p>
      <w:pPr>
        <w:pStyle w:val="0"/>
        <w:spacing w:before="200" w:line-rule="auto"/>
        <w:ind w:firstLine="540"/>
        <w:jc w:val="both"/>
      </w:pPr>
      <w:r>
        <w:rPr>
          <w:sz w:val="20"/>
        </w:rPr>
        <w:t xml:space="preserve">Доля умерших в трудоспособном возрасте от всех умерших от ЗНО составила 19,26% (199 из 1033 чел.). Показатель смертности в трудоспособном возрасте от ЗНО составил 65,16 на 100 тыс. трудоспособного населения (в 2021 г. показатель составлял 59,97, или 175 чел.).</w:t>
      </w:r>
    </w:p>
    <w:p>
      <w:pPr>
        <w:pStyle w:val="0"/>
        <w:spacing w:before="200" w:line-rule="auto"/>
        <w:ind w:firstLine="540"/>
        <w:jc w:val="both"/>
      </w:pPr>
      <w:r>
        <w:rPr>
          <w:sz w:val="20"/>
        </w:rPr>
        <w:t xml:space="preserve">Третье место среди причин смертности заняла смертность от COVID-19 (вирус идентифицирован). В 2022 г. умерло 722 чел. (138,359 на 100 тыс. населения). За 2021 г. умерло 1747 чел. (343,70 на 100 тыс. населения). Доля в структуре смертности (от всех умерших) - 11,64%. Показатель смертности граждан от COVID-19 в трудоспособном возрасте составил 23,58 (72 случая).</w:t>
      </w:r>
    </w:p>
    <w:p>
      <w:pPr>
        <w:pStyle w:val="0"/>
        <w:spacing w:before="200" w:line-rule="auto"/>
        <w:ind w:firstLine="540"/>
        <w:jc w:val="both"/>
      </w:pPr>
      <w:r>
        <w:rPr>
          <w:sz w:val="20"/>
        </w:rPr>
        <w:t xml:space="preserve">Смертность от внешних причин за 2022 г. составила 7,88% от всех смертей - погибли 489 чел. Коэффициент смертности от внешних причин на 100 тыс. населения составил 93,87, что на 63 случая выше, чем в 2021 г. (показатель 83,81, или 426 случаев). При анализе структуры смертей от внешних причин имеет место рост количества смертей (+82 случая) вследствие повреждений с неопределенными намерениями, от которых погибло 434 чел.</w:t>
      </w:r>
    </w:p>
    <w:p>
      <w:pPr>
        <w:pStyle w:val="0"/>
        <w:spacing w:before="200" w:line-rule="auto"/>
        <w:ind w:firstLine="540"/>
        <w:jc w:val="both"/>
      </w:pPr>
      <w:r>
        <w:rPr>
          <w:sz w:val="20"/>
        </w:rPr>
        <w:t xml:space="preserve">Смертей от самоубийств в 2022 г. не зарегистрировано. В 2021 г. зарегистрировано 10 случаев смерти (1,97 на 100 тыс. населения).</w:t>
      </w:r>
    </w:p>
    <w:p>
      <w:pPr>
        <w:pStyle w:val="0"/>
        <w:spacing w:before="200" w:line-rule="auto"/>
        <w:ind w:firstLine="540"/>
        <w:jc w:val="both"/>
      </w:pPr>
      <w:r>
        <w:rPr>
          <w:sz w:val="20"/>
        </w:rPr>
        <w:t xml:space="preserve">От всех видов транспортных несчастных случаев (в том числе ДТП) в 2021 г. погибло 28 чел., что составляет 5,73% от всей группы внешних причин (5,37 на 100 тыс. населения). В 2021 г. погибли 32 чел. (показатель составлял 6,30 на 100 тыс. населения).</w:t>
      </w:r>
    </w:p>
    <w:p>
      <w:pPr>
        <w:pStyle w:val="0"/>
        <w:spacing w:before="200" w:line-rule="auto"/>
        <w:ind w:firstLine="540"/>
        <w:jc w:val="both"/>
      </w:pPr>
      <w:r>
        <w:rPr>
          <w:sz w:val="20"/>
        </w:rPr>
        <w:t xml:space="preserve">Смертность от болезней органов пищеварения составила 373 случая смерти, или 6,01% в структуре общей смертности. Показатель смертности от заболеваний органов пищеварения на 100 тыс. населения равен 71,60, что на 9 случаев больше, чем в 2021 г. (показатель составлял 71,61, или 364 случая). Доля умерших от заболеваний органов пищеварения в трудоспособном возрасте составила 41,02% (153 чел. из 373 умерших). Показатель смертности в трудоспособном возрасте на 100 тыс. населения трудоспособного возраста составил 50,1 (в 2021 г. - 47,98, или 140 чел., рост - 13 случаев).</w:t>
      </w:r>
    </w:p>
    <w:p>
      <w:pPr>
        <w:pStyle w:val="0"/>
        <w:spacing w:before="200" w:line-rule="auto"/>
        <w:ind w:firstLine="540"/>
        <w:jc w:val="both"/>
      </w:pPr>
      <w:r>
        <w:rPr>
          <w:sz w:val="20"/>
        </w:rPr>
        <w:t xml:space="preserve">От болезней органов дыхания за 2022 г. умерло 123 чел., доля составляет 1,98%. Показатель смертности на 100 тыс. населения составил 23,61, что на 76 случаев ниже, чем в 2021 г. (199 смертей, или 39,15 на 100 тыс. населения). Смертность от болезней органов дыхания в трудоспособном возрасте составила 10,81 на 100 тыс. населения (33 случая из 123 смертей), в 2021 г. - 9,94 на 100 тыс. населения (29 случаев).</w:t>
      </w:r>
    </w:p>
    <w:p>
      <w:pPr>
        <w:pStyle w:val="0"/>
        <w:spacing w:before="200" w:line-rule="auto"/>
        <w:ind w:firstLine="540"/>
        <w:jc w:val="both"/>
      </w:pPr>
      <w:r>
        <w:rPr>
          <w:sz w:val="20"/>
        </w:rPr>
        <w:t xml:space="preserve">Показатель смертности от инфекционных заболеваний в 2022 г. составил 20,35 на 100 тыс. населения, что на 38,07% ниже показателя 2021 г. (32,85 на 100 тыс. населения). За 2022 г. от ВИЧ-инфекции умер 81 чел., показатель составляет 15,55 на 100 тыс. населения. За 2021 г. умерло 123 чел., показатель был равен 24,20, доля умерших в трудоспособном возрасте составила 92,59% (75 случаев). Смертность от туберкулеза за 2022 г. составила 15 случаев, или 2,88 на 100 тыс. населения. Смертность от туберкулеза в трудоспособном возрасте в 2022 г. составила 3,60, или 11 случаев, в 2021 г. - 9,60, или 28 случаев.</w:t>
      </w:r>
    </w:p>
    <w:p>
      <w:pPr>
        <w:pStyle w:val="0"/>
        <w:spacing w:before="200" w:line-rule="auto"/>
        <w:ind w:firstLine="540"/>
        <w:jc w:val="both"/>
      </w:pPr>
      <w:r>
        <w:rPr>
          <w:sz w:val="20"/>
        </w:rPr>
        <w:t xml:space="preserve">Смерти регистрировались в основном среди пациентов старших возрастных групп. 89,6% из общего числа умерших - пациенты старше 60 лет, имевшие два и более сопутствующих заболевания, усугубивших течение основной патологии. Среди сопутствующих заболеваний преобладали БСК, цереброваскулярные болезни, болезни эндокринной системы, заболевания пищеварительной системы, заболевания дыхательной системы, заболевания почек и мочеполовой системы, новообразования.</w:t>
      </w:r>
    </w:p>
    <w:p>
      <w:pPr>
        <w:pStyle w:val="0"/>
        <w:spacing w:before="200" w:line-rule="auto"/>
        <w:ind w:firstLine="540"/>
        <w:jc w:val="both"/>
      </w:pPr>
      <w:r>
        <w:rPr>
          <w:sz w:val="20"/>
        </w:rPr>
        <w:t xml:space="preserve">Сопутствующие заболевания среди пациентов с летальным исходом:</w:t>
      </w:r>
    </w:p>
    <w:p>
      <w:pPr>
        <w:pStyle w:val="0"/>
        <w:spacing w:before="200" w:line-rule="auto"/>
        <w:ind w:firstLine="540"/>
        <w:jc w:val="both"/>
      </w:pPr>
      <w:r>
        <w:rPr>
          <w:sz w:val="20"/>
        </w:rPr>
        <w:t xml:space="preserve">- 55,82% - заболевания сердечно сосудистой системы (средний возраст - 79 лет);</w:t>
      </w:r>
    </w:p>
    <w:p>
      <w:pPr>
        <w:pStyle w:val="0"/>
        <w:spacing w:before="200" w:line-rule="auto"/>
        <w:ind w:firstLine="540"/>
        <w:jc w:val="both"/>
      </w:pPr>
      <w:r>
        <w:rPr>
          <w:sz w:val="20"/>
        </w:rPr>
        <w:t xml:space="preserve">- 5,96% - заболевания эндокринной системы (средний возраст - 76 лет);</w:t>
      </w:r>
    </w:p>
    <w:p>
      <w:pPr>
        <w:pStyle w:val="0"/>
        <w:spacing w:before="200" w:line-rule="auto"/>
        <w:ind w:firstLine="540"/>
        <w:jc w:val="both"/>
      </w:pPr>
      <w:r>
        <w:rPr>
          <w:sz w:val="20"/>
        </w:rPr>
        <w:t xml:space="preserve">- 13,85% - цереброваскулярные болезни (средний возраст - 79 лет);</w:t>
      </w:r>
    </w:p>
    <w:p>
      <w:pPr>
        <w:pStyle w:val="0"/>
        <w:spacing w:before="200" w:line-rule="auto"/>
        <w:ind w:firstLine="540"/>
        <w:jc w:val="both"/>
      </w:pPr>
      <w:r>
        <w:rPr>
          <w:sz w:val="20"/>
        </w:rPr>
        <w:t xml:space="preserve">- 1,66% - заболевания почек и мочеполовой системы (средний возраст - 77 лет);</w:t>
      </w:r>
    </w:p>
    <w:p>
      <w:pPr>
        <w:pStyle w:val="0"/>
        <w:spacing w:before="200" w:line-rule="auto"/>
        <w:ind w:firstLine="540"/>
        <w:jc w:val="both"/>
      </w:pPr>
      <w:r>
        <w:rPr>
          <w:sz w:val="20"/>
        </w:rPr>
        <w:t xml:space="preserve">- 1,39% - заболевания дыхательной системы (средний возраст - 74 года);</w:t>
      </w:r>
    </w:p>
    <w:p>
      <w:pPr>
        <w:pStyle w:val="0"/>
        <w:spacing w:before="200" w:line-rule="auto"/>
        <w:ind w:firstLine="540"/>
        <w:jc w:val="both"/>
      </w:pPr>
      <w:r>
        <w:rPr>
          <w:sz w:val="20"/>
        </w:rPr>
        <w:t xml:space="preserve">- 6,79% - новообразования (средний возраст - 71 год);</w:t>
      </w:r>
    </w:p>
    <w:p>
      <w:pPr>
        <w:pStyle w:val="0"/>
        <w:spacing w:before="200" w:line-rule="auto"/>
        <w:ind w:firstLine="540"/>
        <w:jc w:val="both"/>
      </w:pPr>
      <w:r>
        <w:rPr>
          <w:sz w:val="20"/>
        </w:rPr>
        <w:t xml:space="preserve">- 4,85% - заболевания пищеварительной системы (средний возраст - 66 лет),</w:t>
      </w:r>
    </w:p>
    <w:p>
      <w:pPr>
        <w:pStyle w:val="0"/>
        <w:spacing w:before="200" w:line-rule="auto"/>
        <w:ind w:firstLine="540"/>
        <w:jc w:val="both"/>
      </w:pPr>
      <w:r>
        <w:rPr>
          <w:sz w:val="20"/>
        </w:rPr>
        <w:t xml:space="preserve">- 2,35% - болезнь, вызванная ВИЧ (средний возраст - 46 лет),</w:t>
      </w:r>
    </w:p>
    <w:p>
      <w:pPr>
        <w:pStyle w:val="0"/>
        <w:spacing w:before="200" w:line-rule="auto"/>
        <w:ind w:firstLine="540"/>
        <w:jc w:val="both"/>
      </w:pPr>
      <w:r>
        <w:rPr>
          <w:sz w:val="20"/>
        </w:rPr>
        <w:t xml:space="preserve">- 7,33% - заболевания других органов и систем (средний возраст - 56 лет). Заболеваемость и смертность в разрезе внутригородских муниципальных образований, а также в разрезе типа местности (село/город) оценить не представляется возможным вследствие наличия централизованной системы здравоохранения в городе Севастополе и отсутствия соответствующей статистической информации.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4"/>
        <w:gridCol w:w="907"/>
        <w:gridCol w:w="1020"/>
        <w:gridCol w:w="907"/>
        <w:gridCol w:w="1020"/>
        <w:gridCol w:w="963"/>
        <w:gridCol w:w="1247"/>
      </w:tblGrid>
      <w:tr>
        <w:tc>
          <w:tcPr>
            <w:tcW w:w="3004" w:type="dxa"/>
            <w:vMerge w:val="restart"/>
          </w:tcPr>
          <w:p>
            <w:pPr>
              <w:pStyle w:val="0"/>
              <w:jc w:val="center"/>
            </w:pPr>
            <w:r>
              <w:rPr>
                <w:sz w:val="20"/>
              </w:rPr>
              <w:t xml:space="preserve">Код МКБ-10 (из формы 106/У-08 медиц. свидетельства о смерти, пункт 10, графа B основной причины смерти). В соответствии со свидетельствами, выписанными в АПУ</w:t>
            </w:r>
          </w:p>
        </w:tc>
        <w:tc>
          <w:tcPr>
            <w:gridSpan w:val="6"/>
            <w:tcW w:w="6064" w:type="dxa"/>
          </w:tcPr>
          <w:p>
            <w:pPr>
              <w:pStyle w:val="0"/>
              <w:jc w:val="center"/>
            </w:pPr>
            <w:r>
              <w:rPr>
                <w:sz w:val="20"/>
              </w:rPr>
              <w:t xml:space="preserve">Умерло всего за отчетный период</w:t>
            </w:r>
          </w:p>
        </w:tc>
      </w:tr>
      <w:tr>
        <w:tc>
          <w:tcPr>
            <w:vMerge w:val="continue"/>
          </w:tcPr>
          <w:p/>
        </w:tc>
        <w:tc>
          <w:tcPr>
            <w:gridSpan w:val="2"/>
            <w:tcW w:w="1927" w:type="dxa"/>
          </w:tcPr>
          <w:p>
            <w:pPr>
              <w:pStyle w:val="0"/>
              <w:jc w:val="center"/>
            </w:pPr>
            <w:r>
              <w:rPr>
                <w:sz w:val="20"/>
              </w:rPr>
              <w:t xml:space="preserve">2021</w:t>
            </w:r>
          </w:p>
        </w:tc>
        <w:tc>
          <w:tcPr>
            <w:gridSpan w:val="2"/>
            <w:tcW w:w="1927" w:type="dxa"/>
          </w:tcPr>
          <w:p>
            <w:pPr>
              <w:pStyle w:val="0"/>
              <w:jc w:val="center"/>
            </w:pPr>
            <w:r>
              <w:rPr>
                <w:sz w:val="20"/>
              </w:rPr>
              <w:t xml:space="preserve">2022</w:t>
            </w:r>
          </w:p>
        </w:tc>
        <w:tc>
          <w:tcPr>
            <w:tcW w:w="963" w:type="dxa"/>
            <w:vMerge w:val="restart"/>
          </w:tcPr>
          <w:p>
            <w:pPr>
              <w:pStyle w:val="0"/>
              <w:jc w:val="center"/>
            </w:pPr>
            <w:r>
              <w:rPr>
                <w:sz w:val="20"/>
              </w:rPr>
              <w:t xml:space="preserve">Динамика в %, 22/21</w:t>
            </w:r>
          </w:p>
        </w:tc>
        <w:tc>
          <w:tcPr>
            <w:tcW w:w="1247" w:type="dxa"/>
            <w:vMerge w:val="restart"/>
          </w:tcPr>
          <w:p>
            <w:pPr>
              <w:pStyle w:val="0"/>
              <w:jc w:val="center"/>
            </w:pPr>
            <w:r>
              <w:rPr>
                <w:sz w:val="20"/>
              </w:rPr>
              <w:t xml:space="preserve">Динамика коэф. умерших в %, 22/21</w:t>
            </w:r>
          </w:p>
        </w:tc>
      </w:tr>
      <w:tr>
        <w:tc>
          <w:tcPr>
            <w:vMerge w:val="continue"/>
          </w:tcPr>
          <w:p/>
        </w:tc>
        <w:tc>
          <w:tcPr>
            <w:tcW w:w="907" w:type="dxa"/>
          </w:tcPr>
          <w:p>
            <w:pPr>
              <w:pStyle w:val="0"/>
              <w:jc w:val="center"/>
            </w:pPr>
            <w:r>
              <w:rPr>
                <w:sz w:val="20"/>
              </w:rPr>
              <w:t xml:space="preserve">Всего, 2021</w:t>
            </w:r>
          </w:p>
        </w:tc>
        <w:tc>
          <w:tcPr>
            <w:tcW w:w="1020" w:type="dxa"/>
          </w:tcPr>
          <w:p>
            <w:pPr>
              <w:pStyle w:val="0"/>
              <w:jc w:val="center"/>
            </w:pPr>
            <w:r>
              <w:rPr>
                <w:sz w:val="20"/>
              </w:rPr>
              <w:t xml:space="preserve">На 100 тыс. населения, 2021</w:t>
            </w:r>
          </w:p>
        </w:tc>
        <w:tc>
          <w:tcPr>
            <w:tcW w:w="907" w:type="dxa"/>
          </w:tcPr>
          <w:p>
            <w:pPr>
              <w:pStyle w:val="0"/>
              <w:jc w:val="center"/>
            </w:pPr>
            <w:r>
              <w:rPr>
                <w:sz w:val="20"/>
              </w:rPr>
              <w:t xml:space="preserve">Всего, 2022</w:t>
            </w:r>
          </w:p>
        </w:tc>
        <w:tc>
          <w:tcPr>
            <w:tcW w:w="1020" w:type="dxa"/>
          </w:tcPr>
          <w:p>
            <w:pPr>
              <w:pStyle w:val="0"/>
              <w:jc w:val="center"/>
            </w:pPr>
            <w:r>
              <w:rPr>
                <w:sz w:val="20"/>
              </w:rPr>
              <w:t xml:space="preserve">На 100 тыс. населения, 2022</w:t>
            </w:r>
          </w:p>
        </w:tc>
        <w:tc>
          <w:tcPr>
            <w:vMerge w:val="continue"/>
          </w:tcPr>
          <w:p/>
        </w:tc>
        <w:tc>
          <w:tcPr>
            <w:vMerge w:val="continue"/>
          </w:tcPr>
          <w:p/>
        </w:tc>
      </w:tr>
      <w:tr>
        <w:tc>
          <w:tcPr>
            <w:tcW w:w="3004" w:type="dxa"/>
          </w:tcPr>
          <w:p>
            <w:pPr>
              <w:pStyle w:val="0"/>
              <w:jc w:val="both"/>
            </w:pPr>
            <w:r>
              <w:rPr>
                <w:sz w:val="20"/>
              </w:rPr>
              <w:t xml:space="preserve">I00 - I99 (болезни системы кровообращения)</w:t>
            </w:r>
          </w:p>
        </w:tc>
        <w:tc>
          <w:tcPr>
            <w:tcW w:w="907" w:type="dxa"/>
          </w:tcPr>
          <w:p>
            <w:pPr>
              <w:pStyle w:val="0"/>
              <w:jc w:val="center"/>
            </w:pPr>
            <w:r>
              <w:rPr>
                <w:sz w:val="20"/>
              </w:rPr>
              <w:t xml:space="preserve">3195</w:t>
            </w:r>
          </w:p>
        </w:tc>
        <w:tc>
          <w:tcPr>
            <w:tcW w:w="1020" w:type="dxa"/>
          </w:tcPr>
          <w:p>
            <w:pPr>
              <w:pStyle w:val="0"/>
              <w:jc w:val="center"/>
            </w:pPr>
            <w:r>
              <w:rPr>
                <w:sz w:val="20"/>
              </w:rPr>
              <w:t xml:space="preserve">628,57</w:t>
            </w:r>
          </w:p>
        </w:tc>
        <w:tc>
          <w:tcPr>
            <w:tcW w:w="907" w:type="dxa"/>
          </w:tcPr>
          <w:p>
            <w:pPr>
              <w:pStyle w:val="0"/>
              <w:jc w:val="center"/>
            </w:pPr>
            <w:r>
              <w:rPr>
                <w:sz w:val="20"/>
              </w:rPr>
              <w:t xml:space="preserve">2839</w:t>
            </w:r>
          </w:p>
        </w:tc>
        <w:tc>
          <w:tcPr>
            <w:tcW w:w="1020" w:type="dxa"/>
          </w:tcPr>
          <w:p>
            <w:pPr>
              <w:pStyle w:val="0"/>
              <w:jc w:val="center"/>
            </w:pPr>
            <w:r>
              <w:rPr>
                <w:sz w:val="20"/>
              </w:rPr>
              <w:t xml:space="preserve">544,97</w:t>
            </w:r>
          </w:p>
        </w:tc>
        <w:tc>
          <w:tcPr>
            <w:tcW w:w="963" w:type="dxa"/>
          </w:tcPr>
          <w:p>
            <w:pPr>
              <w:pStyle w:val="0"/>
              <w:jc w:val="center"/>
            </w:pPr>
            <w:r>
              <w:rPr>
                <w:sz w:val="20"/>
              </w:rPr>
              <w:t xml:space="preserve">-11,14</w:t>
            </w:r>
          </w:p>
        </w:tc>
        <w:tc>
          <w:tcPr>
            <w:tcW w:w="1247" w:type="dxa"/>
          </w:tcPr>
          <w:p>
            <w:pPr>
              <w:pStyle w:val="0"/>
              <w:jc w:val="center"/>
            </w:pPr>
            <w:r>
              <w:rPr>
                <w:sz w:val="20"/>
              </w:rPr>
              <w:t xml:space="preserve">-13,30</w:t>
            </w:r>
          </w:p>
        </w:tc>
      </w:tr>
      <w:tr>
        <w:tc>
          <w:tcPr>
            <w:tcW w:w="3004" w:type="dxa"/>
          </w:tcPr>
          <w:p>
            <w:pPr>
              <w:pStyle w:val="0"/>
              <w:jc w:val="both"/>
            </w:pPr>
            <w:r>
              <w:rPr>
                <w:sz w:val="20"/>
              </w:rPr>
              <w:t xml:space="preserve">в т.ч. гипертоническая болезнь (I10 - I13)</w:t>
            </w:r>
          </w:p>
        </w:tc>
        <w:tc>
          <w:tcPr>
            <w:tcW w:w="907" w:type="dxa"/>
          </w:tcPr>
          <w:p>
            <w:pPr>
              <w:pStyle w:val="0"/>
              <w:jc w:val="center"/>
            </w:pPr>
            <w:r>
              <w:rPr>
                <w:sz w:val="20"/>
              </w:rPr>
              <w:t xml:space="preserve">124</w:t>
            </w:r>
          </w:p>
        </w:tc>
        <w:tc>
          <w:tcPr>
            <w:tcW w:w="1020" w:type="dxa"/>
          </w:tcPr>
          <w:p>
            <w:pPr>
              <w:pStyle w:val="0"/>
              <w:jc w:val="center"/>
            </w:pPr>
            <w:r>
              <w:rPr>
                <w:sz w:val="20"/>
              </w:rPr>
              <w:t xml:space="preserve">24,40</w:t>
            </w:r>
          </w:p>
        </w:tc>
        <w:tc>
          <w:tcPr>
            <w:tcW w:w="907" w:type="dxa"/>
          </w:tcPr>
          <w:p>
            <w:pPr>
              <w:pStyle w:val="0"/>
              <w:jc w:val="center"/>
            </w:pPr>
            <w:r>
              <w:rPr>
                <w:sz w:val="20"/>
              </w:rPr>
              <w:t xml:space="preserve">0</w:t>
            </w:r>
          </w:p>
        </w:tc>
        <w:tc>
          <w:tcPr>
            <w:tcW w:w="1020" w:type="dxa"/>
          </w:tcPr>
          <w:p>
            <w:pPr>
              <w:pStyle w:val="0"/>
              <w:jc w:val="center"/>
            </w:pPr>
            <w:r>
              <w:rPr>
                <w:sz w:val="20"/>
              </w:rPr>
              <w:t xml:space="preserve">0,00</w:t>
            </w:r>
          </w:p>
        </w:tc>
        <w:tc>
          <w:tcPr>
            <w:tcW w:w="963" w:type="dxa"/>
          </w:tcPr>
          <w:p>
            <w:pPr>
              <w:pStyle w:val="0"/>
              <w:jc w:val="center"/>
            </w:pPr>
            <w:r>
              <w:rPr>
                <w:sz w:val="20"/>
              </w:rPr>
              <w:t xml:space="preserve">-100,00</w:t>
            </w:r>
          </w:p>
        </w:tc>
        <w:tc>
          <w:tcPr>
            <w:tcW w:w="1247" w:type="dxa"/>
          </w:tcPr>
          <w:p>
            <w:pPr>
              <w:pStyle w:val="0"/>
              <w:jc w:val="center"/>
            </w:pPr>
            <w:r>
              <w:rPr>
                <w:sz w:val="20"/>
              </w:rPr>
              <w:t xml:space="preserve">-100,00</w:t>
            </w:r>
          </w:p>
        </w:tc>
      </w:tr>
      <w:tr>
        <w:tc>
          <w:tcPr>
            <w:tcW w:w="3004" w:type="dxa"/>
          </w:tcPr>
          <w:p>
            <w:pPr>
              <w:pStyle w:val="0"/>
              <w:jc w:val="both"/>
            </w:pPr>
            <w:r>
              <w:rPr>
                <w:sz w:val="20"/>
              </w:rPr>
              <w:t xml:space="preserve">в т.ч. ишемическая болезнь сердца (I20 (0 - 9) - I25 (0 - 9))</w:t>
            </w:r>
          </w:p>
        </w:tc>
        <w:tc>
          <w:tcPr>
            <w:tcW w:w="907" w:type="dxa"/>
          </w:tcPr>
          <w:p>
            <w:pPr>
              <w:pStyle w:val="0"/>
              <w:jc w:val="center"/>
            </w:pPr>
            <w:r>
              <w:rPr>
                <w:sz w:val="20"/>
              </w:rPr>
              <w:t xml:space="preserve">1291</w:t>
            </w:r>
          </w:p>
        </w:tc>
        <w:tc>
          <w:tcPr>
            <w:tcW w:w="1020" w:type="dxa"/>
          </w:tcPr>
          <w:p>
            <w:pPr>
              <w:pStyle w:val="0"/>
              <w:jc w:val="center"/>
            </w:pPr>
            <w:r>
              <w:rPr>
                <w:sz w:val="20"/>
              </w:rPr>
              <w:t xml:space="preserve">253,99</w:t>
            </w:r>
          </w:p>
        </w:tc>
        <w:tc>
          <w:tcPr>
            <w:tcW w:w="907" w:type="dxa"/>
          </w:tcPr>
          <w:p>
            <w:pPr>
              <w:pStyle w:val="0"/>
              <w:jc w:val="center"/>
            </w:pPr>
            <w:r>
              <w:rPr>
                <w:sz w:val="20"/>
              </w:rPr>
              <w:t xml:space="preserve">1239</w:t>
            </w:r>
          </w:p>
        </w:tc>
        <w:tc>
          <w:tcPr>
            <w:tcW w:w="1020" w:type="dxa"/>
          </w:tcPr>
          <w:p>
            <w:pPr>
              <w:pStyle w:val="0"/>
              <w:jc w:val="center"/>
            </w:pPr>
            <w:r>
              <w:rPr>
                <w:sz w:val="20"/>
              </w:rPr>
              <w:t xml:space="preserve">237,84</w:t>
            </w:r>
          </w:p>
        </w:tc>
        <w:tc>
          <w:tcPr>
            <w:tcW w:w="963" w:type="dxa"/>
          </w:tcPr>
          <w:p>
            <w:pPr>
              <w:pStyle w:val="0"/>
              <w:jc w:val="center"/>
            </w:pPr>
            <w:r>
              <w:rPr>
                <w:sz w:val="20"/>
              </w:rPr>
              <w:t xml:space="preserve">-4,03</w:t>
            </w:r>
          </w:p>
        </w:tc>
        <w:tc>
          <w:tcPr>
            <w:tcW w:w="1247" w:type="dxa"/>
          </w:tcPr>
          <w:p>
            <w:pPr>
              <w:pStyle w:val="0"/>
              <w:jc w:val="center"/>
            </w:pPr>
            <w:r>
              <w:rPr>
                <w:sz w:val="20"/>
              </w:rPr>
              <w:t xml:space="preserve">-6,36</w:t>
            </w:r>
          </w:p>
        </w:tc>
      </w:tr>
      <w:tr>
        <w:tc>
          <w:tcPr>
            <w:tcW w:w="3004" w:type="dxa"/>
          </w:tcPr>
          <w:p>
            <w:pPr>
              <w:pStyle w:val="0"/>
              <w:jc w:val="both"/>
            </w:pPr>
            <w:r>
              <w:rPr>
                <w:sz w:val="20"/>
              </w:rPr>
              <w:t xml:space="preserve">из них острый инфаркт миокарда (I21 (0 - 9))</w:t>
            </w:r>
          </w:p>
        </w:tc>
        <w:tc>
          <w:tcPr>
            <w:tcW w:w="907" w:type="dxa"/>
          </w:tcPr>
          <w:p>
            <w:pPr>
              <w:pStyle w:val="0"/>
              <w:jc w:val="center"/>
            </w:pPr>
            <w:r>
              <w:rPr>
                <w:sz w:val="20"/>
              </w:rPr>
              <w:t xml:space="preserve">131</w:t>
            </w:r>
          </w:p>
        </w:tc>
        <w:tc>
          <w:tcPr>
            <w:tcW w:w="1020" w:type="dxa"/>
          </w:tcPr>
          <w:p>
            <w:pPr>
              <w:pStyle w:val="0"/>
              <w:jc w:val="center"/>
            </w:pPr>
            <w:r>
              <w:rPr>
                <w:sz w:val="20"/>
              </w:rPr>
              <w:t xml:space="preserve">25,77</w:t>
            </w:r>
          </w:p>
        </w:tc>
        <w:tc>
          <w:tcPr>
            <w:tcW w:w="907" w:type="dxa"/>
          </w:tcPr>
          <w:p>
            <w:pPr>
              <w:pStyle w:val="0"/>
              <w:jc w:val="center"/>
            </w:pPr>
            <w:r>
              <w:rPr>
                <w:sz w:val="20"/>
              </w:rPr>
              <w:t xml:space="preserve">120</w:t>
            </w:r>
          </w:p>
        </w:tc>
        <w:tc>
          <w:tcPr>
            <w:tcW w:w="1020" w:type="dxa"/>
          </w:tcPr>
          <w:p>
            <w:pPr>
              <w:pStyle w:val="0"/>
              <w:jc w:val="center"/>
            </w:pPr>
            <w:r>
              <w:rPr>
                <w:sz w:val="20"/>
              </w:rPr>
              <w:t xml:space="preserve">23,03</w:t>
            </w:r>
          </w:p>
        </w:tc>
        <w:tc>
          <w:tcPr>
            <w:tcW w:w="963" w:type="dxa"/>
          </w:tcPr>
          <w:p>
            <w:pPr>
              <w:pStyle w:val="0"/>
              <w:jc w:val="center"/>
            </w:pPr>
            <w:r>
              <w:rPr>
                <w:sz w:val="20"/>
              </w:rPr>
              <w:t xml:space="preserve">-8,40</w:t>
            </w:r>
          </w:p>
        </w:tc>
        <w:tc>
          <w:tcPr>
            <w:tcW w:w="1247" w:type="dxa"/>
          </w:tcPr>
          <w:p>
            <w:pPr>
              <w:pStyle w:val="0"/>
              <w:jc w:val="center"/>
            </w:pPr>
            <w:r>
              <w:rPr>
                <w:sz w:val="20"/>
              </w:rPr>
              <w:t xml:space="preserve">-10,62</w:t>
            </w:r>
          </w:p>
        </w:tc>
      </w:tr>
      <w:tr>
        <w:tc>
          <w:tcPr>
            <w:tcW w:w="3004" w:type="dxa"/>
          </w:tcPr>
          <w:p>
            <w:pPr>
              <w:pStyle w:val="0"/>
              <w:jc w:val="both"/>
            </w:pPr>
            <w:r>
              <w:rPr>
                <w:sz w:val="20"/>
              </w:rPr>
              <w:t xml:space="preserve">из них повторный инфаркт миокарда (I22 (0 - 9))</w:t>
            </w:r>
          </w:p>
        </w:tc>
        <w:tc>
          <w:tcPr>
            <w:tcW w:w="907" w:type="dxa"/>
          </w:tcPr>
          <w:p>
            <w:pPr>
              <w:pStyle w:val="0"/>
              <w:jc w:val="center"/>
            </w:pPr>
            <w:r>
              <w:rPr>
                <w:sz w:val="20"/>
              </w:rPr>
              <w:t xml:space="preserve">2</w:t>
            </w:r>
          </w:p>
        </w:tc>
        <w:tc>
          <w:tcPr>
            <w:tcW w:w="1020" w:type="dxa"/>
          </w:tcPr>
          <w:p>
            <w:pPr>
              <w:pStyle w:val="0"/>
              <w:jc w:val="center"/>
            </w:pPr>
            <w:r>
              <w:rPr>
                <w:sz w:val="20"/>
              </w:rPr>
              <w:t xml:space="preserve">0,39</w:t>
            </w:r>
          </w:p>
        </w:tc>
        <w:tc>
          <w:tcPr>
            <w:tcW w:w="907" w:type="dxa"/>
          </w:tcPr>
          <w:p>
            <w:pPr>
              <w:pStyle w:val="0"/>
              <w:jc w:val="center"/>
            </w:pPr>
            <w:r>
              <w:rPr>
                <w:sz w:val="20"/>
              </w:rPr>
              <w:t xml:space="preserve">0</w:t>
            </w:r>
          </w:p>
        </w:tc>
        <w:tc>
          <w:tcPr>
            <w:tcW w:w="1020" w:type="dxa"/>
          </w:tcPr>
          <w:p>
            <w:pPr>
              <w:pStyle w:val="0"/>
              <w:jc w:val="center"/>
            </w:pPr>
            <w:r>
              <w:rPr>
                <w:sz w:val="20"/>
              </w:rPr>
              <w:t xml:space="preserve">0,00</w:t>
            </w:r>
          </w:p>
        </w:tc>
        <w:tc>
          <w:tcPr>
            <w:tcW w:w="963" w:type="dxa"/>
          </w:tcPr>
          <w:p>
            <w:pPr>
              <w:pStyle w:val="0"/>
              <w:jc w:val="center"/>
            </w:pPr>
            <w:r>
              <w:rPr>
                <w:sz w:val="20"/>
              </w:rPr>
              <w:t xml:space="preserve">-100,00</w:t>
            </w:r>
          </w:p>
        </w:tc>
        <w:tc>
          <w:tcPr>
            <w:tcW w:w="1247" w:type="dxa"/>
          </w:tcPr>
          <w:p>
            <w:pPr>
              <w:pStyle w:val="0"/>
              <w:jc w:val="center"/>
            </w:pPr>
            <w:r>
              <w:rPr>
                <w:sz w:val="20"/>
              </w:rPr>
              <w:t xml:space="preserve">-100,00</w:t>
            </w:r>
          </w:p>
        </w:tc>
      </w:tr>
      <w:tr>
        <w:tc>
          <w:tcPr>
            <w:tcW w:w="3004" w:type="dxa"/>
          </w:tcPr>
          <w:p>
            <w:pPr>
              <w:pStyle w:val="0"/>
              <w:jc w:val="both"/>
            </w:pPr>
            <w:r>
              <w:rPr>
                <w:sz w:val="20"/>
              </w:rPr>
              <w:t xml:space="preserve">из них другие и неуточненные формы острой ишемической б-ни сердца (ОКС) (I24.8 - I24.9)</w:t>
            </w:r>
          </w:p>
        </w:tc>
        <w:tc>
          <w:tcPr>
            <w:tcW w:w="907" w:type="dxa"/>
          </w:tcPr>
          <w:p>
            <w:pPr>
              <w:pStyle w:val="0"/>
              <w:jc w:val="center"/>
            </w:pPr>
            <w:r>
              <w:rPr>
                <w:sz w:val="20"/>
              </w:rPr>
              <w:t xml:space="preserve">26</w:t>
            </w:r>
          </w:p>
        </w:tc>
        <w:tc>
          <w:tcPr>
            <w:tcW w:w="1020" w:type="dxa"/>
          </w:tcPr>
          <w:p>
            <w:pPr>
              <w:pStyle w:val="0"/>
              <w:jc w:val="center"/>
            </w:pPr>
            <w:r>
              <w:rPr>
                <w:sz w:val="20"/>
              </w:rPr>
              <w:t xml:space="preserve">5,12</w:t>
            </w:r>
          </w:p>
        </w:tc>
        <w:tc>
          <w:tcPr>
            <w:tcW w:w="907" w:type="dxa"/>
          </w:tcPr>
          <w:p>
            <w:pPr>
              <w:pStyle w:val="0"/>
              <w:jc w:val="center"/>
            </w:pPr>
            <w:r>
              <w:rPr>
                <w:sz w:val="20"/>
              </w:rPr>
              <w:t xml:space="preserve">6</w:t>
            </w:r>
          </w:p>
        </w:tc>
        <w:tc>
          <w:tcPr>
            <w:tcW w:w="1020" w:type="dxa"/>
          </w:tcPr>
          <w:p>
            <w:pPr>
              <w:pStyle w:val="0"/>
              <w:jc w:val="center"/>
            </w:pPr>
            <w:r>
              <w:rPr>
                <w:sz w:val="20"/>
              </w:rPr>
              <w:t xml:space="preserve">1,15</w:t>
            </w:r>
          </w:p>
        </w:tc>
        <w:tc>
          <w:tcPr>
            <w:tcW w:w="963" w:type="dxa"/>
          </w:tcPr>
          <w:p>
            <w:pPr>
              <w:pStyle w:val="0"/>
              <w:jc w:val="center"/>
            </w:pPr>
            <w:r>
              <w:rPr>
                <w:sz w:val="20"/>
              </w:rPr>
              <w:t xml:space="preserve">-76,92</w:t>
            </w:r>
          </w:p>
        </w:tc>
        <w:tc>
          <w:tcPr>
            <w:tcW w:w="1247" w:type="dxa"/>
          </w:tcPr>
          <w:p>
            <w:pPr>
              <w:pStyle w:val="0"/>
              <w:jc w:val="center"/>
            </w:pPr>
            <w:r>
              <w:rPr>
                <w:sz w:val="20"/>
              </w:rPr>
              <w:t xml:space="preserve">-77,48</w:t>
            </w:r>
          </w:p>
        </w:tc>
      </w:tr>
      <w:tr>
        <w:tc>
          <w:tcPr>
            <w:tcW w:w="3004" w:type="dxa"/>
          </w:tcPr>
          <w:p>
            <w:pPr>
              <w:pStyle w:val="0"/>
              <w:jc w:val="both"/>
            </w:pPr>
            <w:r>
              <w:rPr>
                <w:sz w:val="20"/>
              </w:rPr>
              <w:t xml:space="preserve">в т.ч. алкогольная кардиомиопатия (I42.6)</w:t>
            </w:r>
          </w:p>
        </w:tc>
        <w:tc>
          <w:tcPr>
            <w:tcW w:w="907" w:type="dxa"/>
          </w:tcPr>
          <w:p>
            <w:pPr>
              <w:pStyle w:val="0"/>
              <w:jc w:val="center"/>
            </w:pPr>
            <w:r>
              <w:rPr>
                <w:sz w:val="20"/>
              </w:rPr>
              <w:t xml:space="preserve">68</w:t>
            </w:r>
          </w:p>
        </w:tc>
        <w:tc>
          <w:tcPr>
            <w:tcW w:w="1020" w:type="dxa"/>
          </w:tcPr>
          <w:p>
            <w:pPr>
              <w:pStyle w:val="0"/>
              <w:jc w:val="center"/>
            </w:pPr>
            <w:r>
              <w:rPr>
                <w:sz w:val="20"/>
              </w:rPr>
              <w:t xml:space="preserve">13,38</w:t>
            </w:r>
          </w:p>
        </w:tc>
        <w:tc>
          <w:tcPr>
            <w:tcW w:w="907" w:type="dxa"/>
          </w:tcPr>
          <w:p>
            <w:pPr>
              <w:pStyle w:val="0"/>
              <w:jc w:val="center"/>
            </w:pPr>
            <w:r>
              <w:rPr>
                <w:sz w:val="20"/>
              </w:rPr>
              <w:t xml:space="preserve">59</w:t>
            </w:r>
          </w:p>
        </w:tc>
        <w:tc>
          <w:tcPr>
            <w:tcW w:w="1020" w:type="dxa"/>
          </w:tcPr>
          <w:p>
            <w:pPr>
              <w:pStyle w:val="0"/>
              <w:jc w:val="center"/>
            </w:pPr>
            <w:r>
              <w:rPr>
                <w:sz w:val="20"/>
              </w:rPr>
              <w:t xml:space="preserve">11,33</w:t>
            </w:r>
          </w:p>
        </w:tc>
        <w:tc>
          <w:tcPr>
            <w:tcW w:w="963" w:type="dxa"/>
          </w:tcPr>
          <w:p>
            <w:pPr>
              <w:pStyle w:val="0"/>
              <w:jc w:val="center"/>
            </w:pPr>
            <w:r>
              <w:rPr>
                <w:sz w:val="20"/>
              </w:rPr>
              <w:t xml:space="preserve">-13,24</w:t>
            </w:r>
          </w:p>
        </w:tc>
        <w:tc>
          <w:tcPr>
            <w:tcW w:w="1247" w:type="dxa"/>
          </w:tcPr>
          <w:p>
            <w:pPr>
              <w:pStyle w:val="0"/>
              <w:jc w:val="center"/>
            </w:pPr>
            <w:r>
              <w:rPr>
                <w:sz w:val="20"/>
              </w:rPr>
              <w:t xml:space="preserve">-15,34</w:t>
            </w:r>
          </w:p>
        </w:tc>
      </w:tr>
      <w:tr>
        <w:tc>
          <w:tcPr>
            <w:tcW w:w="3004" w:type="dxa"/>
          </w:tcPr>
          <w:p>
            <w:pPr>
              <w:pStyle w:val="0"/>
              <w:jc w:val="both"/>
            </w:pPr>
            <w:r>
              <w:rPr>
                <w:sz w:val="20"/>
              </w:rPr>
              <w:t xml:space="preserve">в т.ч. кардиомиопатия неуточненная (I42.9)</w:t>
            </w:r>
          </w:p>
        </w:tc>
        <w:tc>
          <w:tcPr>
            <w:tcW w:w="907" w:type="dxa"/>
          </w:tcPr>
          <w:p>
            <w:pPr>
              <w:pStyle w:val="0"/>
              <w:jc w:val="center"/>
            </w:pPr>
            <w:r>
              <w:rPr>
                <w:sz w:val="20"/>
              </w:rPr>
              <w:t xml:space="preserve">6</w:t>
            </w:r>
          </w:p>
        </w:tc>
        <w:tc>
          <w:tcPr>
            <w:tcW w:w="1020" w:type="dxa"/>
          </w:tcPr>
          <w:p>
            <w:pPr>
              <w:pStyle w:val="0"/>
              <w:jc w:val="center"/>
            </w:pPr>
            <w:r>
              <w:rPr>
                <w:sz w:val="20"/>
              </w:rPr>
              <w:t xml:space="preserve">1,18</w:t>
            </w:r>
          </w:p>
        </w:tc>
        <w:tc>
          <w:tcPr>
            <w:tcW w:w="907" w:type="dxa"/>
          </w:tcPr>
          <w:p>
            <w:pPr>
              <w:pStyle w:val="0"/>
              <w:jc w:val="center"/>
            </w:pPr>
            <w:r>
              <w:rPr>
                <w:sz w:val="20"/>
              </w:rPr>
              <w:t xml:space="preserve">4</w:t>
            </w:r>
          </w:p>
        </w:tc>
        <w:tc>
          <w:tcPr>
            <w:tcW w:w="1020" w:type="dxa"/>
          </w:tcPr>
          <w:p>
            <w:pPr>
              <w:pStyle w:val="0"/>
              <w:jc w:val="center"/>
            </w:pPr>
            <w:r>
              <w:rPr>
                <w:sz w:val="20"/>
              </w:rPr>
              <w:t xml:space="preserve">0,77</w:t>
            </w:r>
          </w:p>
        </w:tc>
        <w:tc>
          <w:tcPr>
            <w:tcW w:w="963" w:type="dxa"/>
          </w:tcPr>
          <w:p>
            <w:pPr>
              <w:pStyle w:val="0"/>
              <w:jc w:val="center"/>
            </w:pPr>
            <w:r>
              <w:rPr>
                <w:sz w:val="20"/>
              </w:rPr>
              <w:t xml:space="preserve">-33,33</w:t>
            </w:r>
          </w:p>
        </w:tc>
        <w:tc>
          <w:tcPr>
            <w:tcW w:w="1247" w:type="dxa"/>
          </w:tcPr>
          <w:p>
            <w:pPr>
              <w:pStyle w:val="0"/>
              <w:jc w:val="center"/>
            </w:pPr>
            <w:r>
              <w:rPr>
                <w:sz w:val="20"/>
              </w:rPr>
              <w:t xml:space="preserve">-34,95</w:t>
            </w:r>
          </w:p>
        </w:tc>
      </w:tr>
      <w:tr>
        <w:tc>
          <w:tcPr>
            <w:tcW w:w="3004" w:type="dxa"/>
          </w:tcPr>
          <w:p>
            <w:pPr>
              <w:pStyle w:val="0"/>
              <w:jc w:val="both"/>
            </w:pPr>
            <w:r>
              <w:rPr>
                <w:sz w:val="20"/>
              </w:rPr>
              <w:t xml:space="preserve">в т.ч. другие болезни сердца (I30 - I52)</w:t>
            </w:r>
          </w:p>
        </w:tc>
        <w:tc>
          <w:tcPr>
            <w:tcW w:w="907" w:type="dxa"/>
          </w:tcPr>
          <w:p>
            <w:pPr>
              <w:pStyle w:val="0"/>
              <w:jc w:val="center"/>
            </w:pPr>
            <w:r>
              <w:rPr>
                <w:sz w:val="20"/>
              </w:rPr>
              <w:t xml:space="preserve">49</w:t>
            </w:r>
          </w:p>
        </w:tc>
        <w:tc>
          <w:tcPr>
            <w:tcW w:w="1020" w:type="dxa"/>
          </w:tcPr>
          <w:p>
            <w:pPr>
              <w:pStyle w:val="0"/>
              <w:jc w:val="center"/>
            </w:pPr>
            <w:r>
              <w:rPr>
                <w:sz w:val="20"/>
              </w:rPr>
              <w:t xml:space="preserve">9,64</w:t>
            </w:r>
          </w:p>
        </w:tc>
        <w:tc>
          <w:tcPr>
            <w:tcW w:w="907" w:type="dxa"/>
          </w:tcPr>
          <w:p>
            <w:pPr>
              <w:pStyle w:val="0"/>
              <w:jc w:val="center"/>
            </w:pPr>
            <w:r>
              <w:rPr>
                <w:sz w:val="20"/>
              </w:rPr>
              <w:t xml:space="preserve">39</w:t>
            </w:r>
          </w:p>
        </w:tc>
        <w:tc>
          <w:tcPr>
            <w:tcW w:w="1020" w:type="dxa"/>
          </w:tcPr>
          <w:p>
            <w:pPr>
              <w:pStyle w:val="0"/>
              <w:jc w:val="center"/>
            </w:pPr>
            <w:r>
              <w:rPr>
                <w:sz w:val="20"/>
              </w:rPr>
              <w:t xml:space="preserve">7,49</w:t>
            </w:r>
          </w:p>
        </w:tc>
        <w:tc>
          <w:tcPr>
            <w:tcW w:w="963" w:type="dxa"/>
          </w:tcPr>
          <w:p>
            <w:pPr>
              <w:pStyle w:val="0"/>
              <w:jc w:val="center"/>
            </w:pPr>
            <w:r>
              <w:rPr>
                <w:sz w:val="20"/>
              </w:rPr>
              <w:t xml:space="preserve">-20,41</w:t>
            </w:r>
          </w:p>
        </w:tc>
        <w:tc>
          <w:tcPr>
            <w:tcW w:w="1247" w:type="dxa"/>
          </w:tcPr>
          <w:p>
            <w:pPr>
              <w:pStyle w:val="0"/>
              <w:jc w:val="center"/>
            </w:pPr>
            <w:r>
              <w:rPr>
                <w:sz w:val="20"/>
              </w:rPr>
              <w:t xml:space="preserve">-22,34</w:t>
            </w:r>
          </w:p>
        </w:tc>
      </w:tr>
      <w:tr>
        <w:tc>
          <w:tcPr>
            <w:tcW w:w="3004" w:type="dxa"/>
          </w:tcPr>
          <w:p>
            <w:pPr>
              <w:pStyle w:val="0"/>
              <w:jc w:val="both"/>
            </w:pPr>
            <w:r>
              <w:rPr>
                <w:sz w:val="20"/>
              </w:rPr>
              <w:t xml:space="preserve">в т.ч. цереброваскулярные болезни (I60 (0 - 9) - I69 (0 - 9))</w:t>
            </w:r>
          </w:p>
        </w:tc>
        <w:tc>
          <w:tcPr>
            <w:tcW w:w="907" w:type="dxa"/>
          </w:tcPr>
          <w:p>
            <w:pPr>
              <w:pStyle w:val="0"/>
              <w:jc w:val="center"/>
            </w:pPr>
            <w:r>
              <w:rPr>
                <w:sz w:val="20"/>
              </w:rPr>
              <w:t xml:space="preserve">1493</w:t>
            </w:r>
          </w:p>
        </w:tc>
        <w:tc>
          <w:tcPr>
            <w:tcW w:w="1020" w:type="dxa"/>
          </w:tcPr>
          <w:p>
            <w:pPr>
              <w:pStyle w:val="0"/>
              <w:jc w:val="center"/>
            </w:pPr>
            <w:r>
              <w:rPr>
                <w:sz w:val="20"/>
              </w:rPr>
              <w:t xml:space="preserve">293,73</w:t>
            </w:r>
          </w:p>
        </w:tc>
        <w:tc>
          <w:tcPr>
            <w:tcW w:w="907" w:type="dxa"/>
          </w:tcPr>
          <w:p>
            <w:pPr>
              <w:pStyle w:val="0"/>
              <w:jc w:val="center"/>
            </w:pPr>
            <w:r>
              <w:rPr>
                <w:sz w:val="20"/>
              </w:rPr>
              <w:t xml:space="preserve">1389</w:t>
            </w:r>
          </w:p>
        </w:tc>
        <w:tc>
          <w:tcPr>
            <w:tcW w:w="1020" w:type="dxa"/>
          </w:tcPr>
          <w:p>
            <w:pPr>
              <w:pStyle w:val="0"/>
              <w:jc w:val="center"/>
            </w:pPr>
            <w:r>
              <w:rPr>
                <w:sz w:val="20"/>
              </w:rPr>
              <w:t xml:space="preserve">266,63</w:t>
            </w:r>
          </w:p>
        </w:tc>
        <w:tc>
          <w:tcPr>
            <w:tcW w:w="963" w:type="dxa"/>
          </w:tcPr>
          <w:p>
            <w:pPr>
              <w:pStyle w:val="0"/>
              <w:jc w:val="center"/>
            </w:pPr>
            <w:r>
              <w:rPr>
                <w:sz w:val="20"/>
              </w:rPr>
              <w:t xml:space="preserve">-6,97</w:t>
            </w:r>
          </w:p>
        </w:tc>
        <w:tc>
          <w:tcPr>
            <w:tcW w:w="1247" w:type="dxa"/>
          </w:tcPr>
          <w:p>
            <w:pPr>
              <w:pStyle w:val="0"/>
              <w:jc w:val="center"/>
            </w:pPr>
            <w:r>
              <w:rPr>
                <w:sz w:val="20"/>
              </w:rPr>
              <w:t xml:space="preserve">-9,23</w:t>
            </w:r>
          </w:p>
        </w:tc>
      </w:tr>
      <w:tr>
        <w:tc>
          <w:tcPr>
            <w:tcW w:w="3004" w:type="dxa"/>
          </w:tcPr>
          <w:p>
            <w:pPr>
              <w:pStyle w:val="0"/>
              <w:jc w:val="both"/>
            </w:pPr>
            <w:r>
              <w:rPr>
                <w:sz w:val="20"/>
              </w:rPr>
              <w:t xml:space="preserve">из них (в том числе) острое нарушение мозгового кровообращения (I60 (0 - 9) - I64 (0 - 9)), всего</w:t>
            </w:r>
          </w:p>
        </w:tc>
        <w:tc>
          <w:tcPr>
            <w:tcW w:w="907" w:type="dxa"/>
          </w:tcPr>
          <w:p>
            <w:pPr>
              <w:pStyle w:val="0"/>
              <w:jc w:val="center"/>
            </w:pPr>
            <w:r>
              <w:rPr>
                <w:sz w:val="20"/>
              </w:rPr>
              <w:t xml:space="preserve">387</w:t>
            </w:r>
          </w:p>
        </w:tc>
        <w:tc>
          <w:tcPr>
            <w:tcW w:w="1020" w:type="dxa"/>
          </w:tcPr>
          <w:p>
            <w:pPr>
              <w:pStyle w:val="0"/>
              <w:jc w:val="center"/>
            </w:pPr>
            <w:r>
              <w:rPr>
                <w:sz w:val="20"/>
              </w:rPr>
              <w:t xml:space="preserve">76,14</w:t>
            </w:r>
          </w:p>
        </w:tc>
        <w:tc>
          <w:tcPr>
            <w:tcW w:w="907" w:type="dxa"/>
          </w:tcPr>
          <w:p>
            <w:pPr>
              <w:pStyle w:val="0"/>
              <w:jc w:val="center"/>
            </w:pPr>
            <w:r>
              <w:rPr>
                <w:sz w:val="20"/>
              </w:rPr>
              <w:t xml:space="preserve">334</w:t>
            </w:r>
          </w:p>
        </w:tc>
        <w:tc>
          <w:tcPr>
            <w:tcW w:w="1020" w:type="dxa"/>
          </w:tcPr>
          <w:p>
            <w:pPr>
              <w:pStyle w:val="0"/>
              <w:jc w:val="center"/>
            </w:pPr>
            <w:r>
              <w:rPr>
                <w:sz w:val="20"/>
              </w:rPr>
              <w:t xml:space="preserve">64,11</w:t>
            </w:r>
          </w:p>
        </w:tc>
        <w:tc>
          <w:tcPr>
            <w:tcW w:w="963" w:type="dxa"/>
          </w:tcPr>
          <w:p>
            <w:pPr>
              <w:pStyle w:val="0"/>
              <w:jc w:val="center"/>
            </w:pPr>
            <w:r>
              <w:rPr>
                <w:sz w:val="20"/>
              </w:rPr>
              <w:t xml:space="preserve">-13,70</w:t>
            </w:r>
          </w:p>
        </w:tc>
        <w:tc>
          <w:tcPr>
            <w:tcW w:w="1247" w:type="dxa"/>
          </w:tcPr>
          <w:p>
            <w:pPr>
              <w:pStyle w:val="0"/>
              <w:jc w:val="center"/>
            </w:pPr>
            <w:r>
              <w:rPr>
                <w:sz w:val="20"/>
              </w:rPr>
              <w:t xml:space="preserve">-15,79</w:t>
            </w:r>
          </w:p>
        </w:tc>
      </w:tr>
      <w:tr>
        <w:tc>
          <w:tcPr>
            <w:tcW w:w="3004" w:type="dxa"/>
          </w:tcPr>
          <w:p>
            <w:pPr>
              <w:pStyle w:val="0"/>
              <w:jc w:val="both"/>
            </w:pPr>
            <w:r>
              <w:rPr>
                <w:sz w:val="20"/>
              </w:rPr>
              <w:t xml:space="preserve">из них с ишемическим инсультом, I63 - 64</w:t>
            </w:r>
          </w:p>
        </w:tc>
        <w:tc>
          <w:tcPr>
            <w:tcW w:w="907" w:type="dxa"/>
          </w:tcPr>
          <w:p>
            <w:pPr>
              <w:pStyle w:val="0"/>
              <w:jc w:val="center"/>
            </w:pPr>
            <w:r>
              <w:rPr>
                <w:sz w:val="20"/>
              </w:rPr>
              <w:t xml:space="preserve">246</w:t>
            </w:r>
          </w:p>
        </w:tc>
        <w:tc>
          <w:tcPr>
            <w:tcW w:w="1020" w:type="dxa"/>
          </w:tcPr>
          <w:p>
            <w:pPr>
              <w:pStyle w:val="0"/>
              <w:jc w:val="center"/>
            </w:pPr>
            <w:r>
              <w:rPr>
                <w:sz w:val="20"/>
              </w:rPr>
              <w:t xml:space="preserve">48,40</w:t>
            </w:r>
          </w:p>
        </w:tc>
        <w:tc>
          <w:tcPr>
            <w:tcW w:w="907" w:type="dxa"/>
          </w:tcPr>
          <w:p>
            <w:pPr>
              <w:pStyle w:val="0"/>
              <w:jc w:val="center"/>
            </w:pPr>
            <w:r>
              <w:rPr>
                <w:sz w:val="20"/>
              </w:rPr>
              <w:t xml:space="preserve">197</w:t>
            </w:r>
          </w:p>
        </w:tc>
        <w:tc>
          <w:tcPr>
            <w:tcW w:w="1020" w:type="dxa"/>
          </w:tcPr>
          <w:p>
            <w:pPr>
              <w:pStyle w:val="0"/>
              <w:jc w:val="center"/>
            </w:pPr>
            <w:r>
              <w:rPr>
                <w:sz w:val="20"/>
              </w:rPr>
              <w:t xml:space="preserve">37,82</w:t>
            </w:r>
          </w:p>
        </w:tc>
        <w:tc>
          <w:tcPr>
            <w:tcW w:w="963" w:type="dxa"/>
          </w:tcPr>
          <w:p>
            <w:pPr>
              <w:pStyle w:val="0"/>
              <w:jc w:val="center"/>
            </w:pPr>
            <w:r>
              <w:rPr>
                <w:sz w:val="20"/>
              </w:rPr>
              <w:t xml:space="preserve">-19,92</w:t>
            </w:r>
          </w:p>
        </w:tc>
        <w:tc>
          <w:tcPr>
            <w:tcW w:w="1247" w:type="dxa"/>
          </w:tcPr>
          <w:p>
            <w:pPr>
              <w:pStyle w:val="0"/>
              <w:jc w:val="center"/>
            </w:pPr>
            <w:r>
              <w:rPr>
                <w:sz w:val="20"/>
              </w:rPr>
              <w:t xml:space="preserve">-21,86</w:t>
            </w:r>
          </w:p>
        </w:tc>
      </w:tr>
      <w:tr>
        <w:tc>
          <w:tcPr>
            <w:tcW w:w="3004" w:type="dxa"/>
          </w:tcPr>
          <w:p>
            <w:pPr>
              <w:pStyle w:val="0"/>
              <w:jc w:val="both"/>
            </w:pPr>
            <w:r>
              <w:rPr>
                <w:sz w:val="20"/>
              </w:rPr>
              <w:t xml:space="preserve">из них с геморрагическим инсультом, I60 - 62</w:t>
            </w:r>
          </w:p>
        </w:tc>
        <w:tc>
          <w:tcPr>
            <w:tcW w:w="907" w:type="dxa"/>
          </w:tcPr>
          <w:p>
            <w:pPr>
              <w:pStyle w:val="0"/>
              <w:jc w:val="center"/>
            </w:pPr>
            <w:r>
              <w:rPr>
                <w:sz w:val="20"/>
              </w:rPr>
              <w:t xml:space="preserve">141</w:t>
            </w:r>
          </w:p>
        </w:tc>
        <w:tc>
          <w:tcPr>
            <w:tcW w:w="1020" w:type="dxa"/>
          </w:tcPr>
          <w:p>
            <w:pPr>
              <w:pStyle w:val="0"/>
              <w:jc w:val="center"/>
            </w:pPr>
            <w:r>
              <w:rPr>
                <w:sz w:val="20"/>
              </w:rPr>
              <w:t xml:space="preserve">27,74</w:t>
            </w:r>
          </w:p>
        </w:tc>
        <w:tc>
          <w:tcPr>
            <w:tcW w:w="907" w:type="dxa"/>
          </w:tcPr>
          <w:p>
            <w:pPr>
              <w:pStyle w:val="0"/>
              <w:jc w:val="center"/>
            </w:pPr>
            <w:r>
              <w:rPr>
                <w:sz w:val="20"/>
              </w:rPr>
              <w:t xml:space="preserve">137</w:t>
            </w:r>
          </w:p>
        </w:tc>
        <w:tc>
          <w:tcPr>
            <w:tcW w:w="1020" w:type="dxa"/>
          </w:tcPr>
          <w:p>
            <w:pPr>
              <w:pStyle w:val="0"/>
              <w:jc w:val="center"/>
            </w:pPr>
            <w:r>
              <w:rPr>
                <w:sz w:val="20"/>
              </w:rPr>
              <w:t xml:space="preserve">26,30</w:t>
            </w:r>
          </w:p>
        </w:tc>
        <w:tc>
          <w:tcPr>
            <w:tcW w:w="963" w:type="dxa"/>
          </w:tcPr>
          <w:p>
            <w:pPr>
              <w:pStyle w:val="0"/>
              <w:jc w:val="center"/>
            </w:pPr>
            <w:r>
              <w:rPr>
                <w:sz w:val="20"/>
              </w:rPr>
              <w:t xml:space="preserve">-2,84</w:t>
            </w:r>
          </w:p>
        </w:tc>
        <w:tc>
          <w:tcPr>
            <w:tcW w:w="1247" w:type="dxa"/>
          </w:tcPr>
          <w:p>
            <w:pPr>
              <w:pStyle w:val="0"/>
              <w:jc w:val="center"/>
            </w:pPr>
            <w:r>
              <w:rPr>
                <w:sz w:val="20"/>
              </w:rPr>
              <w:t xml:space="preserve">-5,20</w:t>
            </w:r>
          </w:p>
        </w:tc>
      </w:tr>
      <w:tr>
        <w:tc>
          <w:tcPr>
            <w:tcW w:w="3004" w:type="dxa"/>
          </w:tcPr>
          <w:p>
            <w:pPr>
              <w:pStyle w:val="0"/>
              <w:jc w:val="both"/>
            </w:pPr>
            <w:r>
              <w:rPr>
                <w:sz w:val="20"/>
              </w:rPr>
              <w:t xml:space="preserve">из них последствия цереброваскулярных болезней (I69)</w:t>
            </w:r>
          </w:p>
        </w:tc>
        <w:tc>
          <w:tcPr>
            <w:tcW w:w="907" w:type="dxa"/>
          </w:tcPr>
          <w:p>
            <w:pPr>
              <w:pStyle w:val="0"/>
              <w:jc w:val="center"/>
            </w:pPr>
            <w:r>
              <w:rPr>
                <w:sz w:val="20"/>
              </w:rPr>
              <w:t xml:space="preserve">167</w:t>
            </w:r>
          </w:p>
        </w:tc>
        <w:tc>
          <w:tcPr>
            <w:tcW w:w="1020" w:type="dxa"/>
          </w:tcPr>
          <w:p>
            <w:pPr>
              <w:pStyle w:val="0"/>
              <w:jc w:val="center"/>
            </w:pPr>
            <w:r>
              <w:rPr>
                <w:sz w:val="20"/>
              </w:rPr>
              <w:t xml:space="preserve">32,85</w:t>
            </w:r>
          </w:p>
        </w:tc>
        <w:tc>
          <w:tcPr>
            <w:tcW w:w="907" w:type="dxa"/>
          </w:tcPr>
          <w:p>
            <w:pPr>
              <w:pStyle w:val="0"/>
              <w:jc w:val="center"/>
            </w:pPr>
            <w:r>
              <w:rPr>
                <w:sz w:val="20"/>
              </w:rPr>
              <w:t xml:space="preserve">153</w:t>
            </w:r>
          </w:p>
        </w:tc>
        <w:tc>
          <w:tcPr>
            <w:tcW w:w="1020" w:type="dxa"/>
          </w:tcPr>
          <w:p>
            <w:pPr>
              <w:pStyle w:val="0"/>
              <w:jc w:val="center"/>
            </w:pPr>
            <w:r>
              <w:rPr>
                <w:sz w:val="20"/>
              </w:rPr>
              <w:t xml:space="preserve">29,37</w:t>
            </w:r>
          </w:p>
        </w:tc>
        <w:tc>
          <w:tcPr>
            <w:tcW w:w="963" w:type="dxa"/>
          </w:tcPr>
          <w:p>
            <w:pPr>
              <w:pStyle w:val="0"/>
              <w:jc w:val="center"/>
            </w:pPr>
            <w:r>
              <w:rPr>
                <w:sz w:val="20"/>
              </w:rPr>
              <w:t xml:space="preserve">-8,38</w:t>
            </w:r>
          </w:p>
        </w:tc>
        <w:tc>
          <w:tcPr>
            <w:tcW w:w="1247" w:type="dxa"/>
          </w:tcPr>
          <w:p>
            <w:pPr>
              <w:pStyle w:val="0"/>
              <w:jc w:val="center"/>
            </w:pPr>
            <w:r>
              <w:rPr>
                <w:sz w:val="20"/>
              </w:rPr>
              <w:t xml:space="preserve">-10,61</w:t>
            </w:r>
          </w:p>
        </w:tc>
      </w:tr>
      <w:tr>
        <w:tc>
          <w:tcPr>
            <w:tcW w:w="3004" w:type="dxa"/>
          </w:tcPr>
          <w:p>
            <w:pPr>
              <w:pStyle w:val="0"/>
              <w:jc w:val="both"/>
            </w:pPr>
            <w:r>
              <w:rPr>
                <w:sz w:val="20"/>
              </w:rPr>
              <w:t xml:space="preserve">в т.ч. атеросклероз (I70)</w:t>
            </w:r>
          </w:p>
        </w:tc>
        <w:tc>
          <w:tcPr>
            <w:tcW w:w="907" w:type="dxa"/>
          </w:tcPr>
          <w:p>
            <w:pPr>
              <w:pStyle w:val="0"/>
              <w:jc w:val="center"/>
            </w:pPr>
            <w:r>
              <w:rPr>
                <w:sz w:val="20"/>
              </w:rPr>
              <w:t xml:space="preserve">45</w:t>
            </w:r>
          </w:p>
        </w:tc>
        <w:tc>
          <w:tcPr>
            <w:tcW w:w="1020" w:type="dxa"/>
          </w:tcPr>
          <w:p>
            <w:pPr>
              <w:pStyle w:val="0"/>
              <w:jc w:val="center"/>
            </w:pPr>
            <w:r>
              <w:rPr>
                <w:sz w:val="20"/>
              </w:rPr>
              <w:t xml:space="preserve">8,85</w:t>
            </w:r>
          </w:p>
        </w:tc>
        <w:tc>
          <w:tcPr>
            <w:tcW w:w="907" w:type="dxa"/>
          </w:tcPr>
          <w:p>
            <w:pPr>
              <w:pStyle w:val="0"/>
              <w:jc w:val="center"/>
            </w:pPr>
            <w:r>
              <w:rPr>
                <w:sz w:val="20"/>
              </w:rPr>
              <w:t xml:space="preserve">26</w:t>
            </w:r>
          </w:p>
        </w:tc>
        <w:tc>
          <w:tcPr>
            <w:tcW w:w="1020" w:type="dxa"/>
          </w:tcPr>
          <w:p>
            <w:pPr>
              <w:pStyle w:val="0"/>
              <w:jc w:val="center"/>
            </w:pPr>
            <w:r>
              <w:rPr>
                <w:sz w:val="20"/>
              </w:rPr>
              <w:t xml:space="preserve">4,99</w:t>
            </w:r>
          </w:p>
        </w:tc>
        <w:tc>
          <w:tcPr>
            <w:tcW w:w="963" w:type="dxa"/>
          </w:tcPr>
          <w:p>
            <w:pPr>
              <w:pStyle w:val="0"/>
              <w:jc w:val="center"/>
            </w:pPr>
            <w:r>
              <w:rPr>
                <w:sz w:val="20"/>
              </w:rPr>
              <w:t xml:space="preserve">-42,22</w:t>
            </w:r>
          </w:p>
        </w:tc>
        <w:tc>
          <w:tcPr>
            <w:tcW w:w="1247" w:type="dxa"/>
          </w:tcPr>
          <w:p>
            <w:pPr>
              <w:pStyle w:val="0"/>
              <w:jc w:val="center"/>
            </w:pPr>
            <w:r>
              <w:rPr>
                <w:sz w:val="20"/>
              </w:rPr>
              <w:t xml:space="preserve">-43,63</w:t>
            </w:r>
          </w:p>
        </w:tc>
      </w:tr>
      <w:tr>
        <w:tc>
          <w:tcPr>
            <w:tcW w:w="3004" w:type="dxa"/>
          </w:tcPr>
          <w:p>
            <w:pPr>
              <w:pStyle w:val="0"/>
              <w:jc w:val="both"/>
            </w:pPr>
            <w:r>
              <w:rPr>
                <w:sz w:val="20"/>
              </w:rPr>
              <w:t xml:space="preserve">в т.ч. другие болезни артерий, артериол, капилляров (I77 - I78)</w:t>
            </w:r>
          </w:p>
        </w:tc>
        <w:tc>
          <w:tcPr>
            <w:tcW w:w="907" w:type="dxa"/>
          </w:tcPr>
          <w:p>
            <w:pPr>
              <w:pStyle w:val="0"/>
              <w:jc w:val="center"/>
            </w:pPr>
            <w:r>
              <w:rPr>
                <w:sz w:val="20"/>
              </w:rPr>
              <w:t xml:space="preserve">0</w:t>
            </w:r>
          </w:p>
        </w:tc>
        <w:tc>
          <w:tcPr>
            <w:tcW w:w="1020" w:type="dxa"/>
          </w:tcPr>
          <w:p>
            <w:pPr>
              <w:pStyle w:val="0"/>
              <w:jc w:val="center"/>
            </w:pPr>
            <w:r>
              <w:rPr>
                <w:sz w:val="20"/>
              </w:rPr>
              <w:t xml:space="preserve">0,00</w:t>
            </w:r>
          </w:p>
        </w:tc>
        <w:tc>
          <w:tcPr>
            <w:tcW w:w="907" w:type="dxa"/>
          </w:tcPr>
          <w:p>
            <w:pPr>
              <w:pStyle w:val="0"/>
              <w:jc w:val="center"/>
            </w:pPr>
            <w:r>
              <w:rPr>
                <w:sz w:val="20"/>
              </w:rPr>
              <w:t xml:space="preserve">0</w:t>
            </w:r>
          </w:p>
        </w:tc>
        <w:tc>
          <w:tcPr>
            <w:tcW w:w="1020" w:type="dxa"/>
          </w:tcPr>
          <w:p>
            <w:pPr>
              <w:pStyle w:val="0"/>
              <w:jc w:val="center"/>
            </w:pPr>
            <w:r>
              <w:rPr>
                <w:sz w:val="20"/>
              </w:rPr>
              <w:t xml:space="preserve">0,00</w:t>
            </w:r>
          </w:p>
        </w:tc>
        <w:tc>
          <w:tcPr>
            <w:tcW w:w="963" w:type="dxa"/>
          </w:tcPr>
          <w:p>
            <w:pPr>
              <w:pStyle w:val="0"/>
              <w:jc w:val="center"/>
            </w:pPr>
            <w:r>
              <w:rPr>
                <w:sz w:val="20"/>
              </w:rPr>
              <w:t xml:space="preserve">0,00</w:t>
            </w:r>
          </w:p>
        </w:tc>
        <w:tc>
          <w:tcPr>
            <w:tcW w:w="1247" w:type="dxa"/>
          </w:tcPr>
          <w:p>
            <w:pPr>
              <w:pStyle w:val="0"/>
              <w:jc w:val="center"/>
            </w:pPr>
            <w:r>
              <w:rPr>
                <w:sz w:val="20"/>
              </w:rPr>
              <w:t xml:space="preserve">0,00</w:t>
            </w:r>
          </w:p>
        </w:tc>
      </w:tr>
      <w:tr>
        <w:tc>
          <w:tcPr>
            <w:tcW w:w="3004" w:type="dxa"/>
          </w:tcPr>
          <w:p>
            <w:pPr>
              <w:pStyle w:val="0"/>
              <w:jc w:val="both"/>
            </w:pPr>
            <w:r>
              <w:rPr>
                <w:sz w:val="20"/>
              </w:rPr>
              <w:t xml:space="preserve">в т.ч. болезни вен (I80 - I89)</w:t>
            </w:r>
          </w:p>
        </w:tc>
        <w:tc>
          <w:tcPr>
            <w:tcW w:w="907" w:type="dxa"/>
          </w:tcPr>
          <w:p>
            <w:pPr>
              <w:pStyle w:val="0"/>
              <w:jc w:val="center"/>
            </w:pPr>
            <w:r>
              <w:rPr>
                <w:sz w:val="20"/>
              </w:rPr>
              <w:t xml:space="preserve">44</w:t>
            </w:r>
          </w:p>
        </w:tc>
        <w:tc>
          <w:tcPr>
            <w:tcW w:w="1020" w:type="dxa"/>
          </w:tcPr>
          <w:p>
            <w:pPr>
              <w:pStyle w:val="0"/>
              <w:jc w:val="center"/>
            </w:pPr>
            <w:r>
              <w:rPr>
                <w:sz w:val="20"/>
              </w:rPr>
              <w:t xml:space="preserve">8,66</w:t>
            </w:r>
          </w:p>
        </w:tc>
        <w:tc>
          <w:tcPr>
            <w:tcW w:w="907" w:type="dxa"/>
          </w:tcPr>
          <w:p>
            <w:pPr>
              <w:pStyle w:val="0"/>
              <w:jc w:val="center"/>
            </w:pPr>
            <w:r>
              <w:rPr>
                <w:sz w:val="20"/>
              </w:rPr>
              <w:t xml:space="preserve">19</w:t>
            </w:r>
          </w:p>
        </w:tc>
        <w:tc>
          <w:tcPr>
            <w:tcW w:w="1020" w:type="dxa"/>
          </w:tcPr>
          <w:p>
            <w:pPr>
              <w:pStyle w:val="0"/>
              <w:jc w:val="center"/>
            </w:pPr>
            <w:r>
              <w:rPr>
                <w:sz w:val="20"/>
              </w:rPr>
              <w:t xml:space="preserve">3,65</w:t>
            </w:r>
          </w:p>
        </w:tc>
        <w:tc>
          <w:tcPr>
            <w:tcW w:w="963" w:type="dxa"/>
          </w:tcPr>
          <w:p>
            <w:pPr>
              <w:pStyle w:val="0"/>
              <w:jc w:val="center"/>
            </w:pPr>
            <w:r>
              <w:rPr>
                <w:sz w:val="20"/>
              </w:rPr>
              <w:t xml:space="preserve">-56,82</w:t>
            </w:r>
          </w:p>
        </w:tc>
        <w:tc>
          <w:tcPr>
            <w:tcW w:w="1247" w:type="dxa"/>
          </w:tcPr>
          <w:p>
            <w:pPr>
              <w:pStyle w:val="0"/>
              <w:jc w:val="center"/>
            </w:pPr>
            <w:r>
              <w:rPr>
                <w:sz w:val="20"/>
              </w:rPr>
              <w:t xml:space="preserve">-57,87</w:t>
            </w:r>
          </w:p>
        </w:tc>
      </w:tr>
    </w:tbl>
    <w:p>
      <w:pPr>
        <w:pStyle w:val="0"/>
        <w:ind w:firstLine="540"/>
        <w:jc w:val="both"/>
      </w:pPr>
      <w:r>
        <w:rPr>
          <w:sz w:val="20"/>
        </w:rPr>
      </w:r>
    </w:p>
    <w:p>
      <w:pPr>
        <w:pStyle w:val="2"/>
        <w:outlineLvl w:val="2"/>
        <w:jc w:val="center"/>
      </w:pPr>
      <w:r>
        <w:rPr>
          <w:sz w:val="20"/>
        </w:rPr>
        <w:t xml:space="preserve">3. Анализ текущего состояния оказания помощи больным</w:t>
      </w:r>
    </w:p>
    <w:p>
      <w:pPr>
        <w:pStyle w:val="2"/>
        <w:jc w:val="center"/>
      </w:pPr>
      <w:r>
        <w:rPr>
          <w:sz w:val="20"/>
        </w:rPr>
        <w:t xml:space="preserve">с сердечно-сосудистыми заболеваниями</w:t>
      </w:r>
    </w:p>
    <w:p>
      <w:pPr>
        <w:pStyle w:val="0"/>
        <w:ind w:firstLine="540"/>
        <w:jc w:val="both"/>
      </w:pPr>
      <w:r>
        <w:rPr>
          <w:sz w:val="20"/>
        </w:rPr>
      </w:r>
    </w:p>
    <w:p>
      <w:pPr>
        <w:pStyle w:val="2"/>
        <w:outlineLvl w:val="3"/>
        <w:jc w:val="center"/>
      </w:pPr>
      <w:r>
        <w:rPr>
          <w:sz w:val="20"/>
        </w:rPr>
        <w:t xml:space="preserve">3.1. Анализ смертности от сердечно-сосудистых заболеваний.</w:t>
      </w:r>
    </w:p>
    <w:p>
      <w:pPr>
        <w:pStyle w:val="2"/>
        <w:jc w:val="center"/>
      </w:pPr>
      <w:r>
        <w:rPr>
          <w:sz w:val="20"/>
        </w:rPr>
        <w:t xml:space="preserve">Численность, структура населения региона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685"/>
        <w:gridCol w:w="1412"/>
        <w:gridCol w:w="1843"/>
        <w:gridCol w:w="1559"/>
      </w:tblGrid>
      <w:tr>
        <w:tc>
          <w:tcPr>
            <w:tcW w:w="567" w:type="dxa"/>
            <w:vMerge w:val="restart"/>
          </w:tcPr>
          <w:p>
            <w:pPr>
              <w:pStyle w:val="0"/>
              <w:jc w:val="center"/>
            </w:pPr>
            <w:r>
              <w:rPr>
                <w:sz w:val="20"/>
              </w:rPr>
              <w:t xml:space="preserve">N п/п</w:t>
            </w:r>
          </w:p>
        </w:tc>
        <w:tc>
          <w:tcPr>
            <w:tcW w:w="3685" w:type="dxa"/>
            <w:vMerge w:val="restart"/>
          </w:tcPr>
          <w:p>
            <w:pPr>
              <w:pStyle w:val="0"/>
              <w:jc w:val="center"/>
            </w:pPr>
            <w:r>
              <w:rPr>
                <w:sz w:val="20"/>
              </w:rPr>
              <w:t xml:space="preserve">Муниципальный район, городской округ</w:t>
            </w:r>
          </w:p>
        </w:tc>
        <w:tc>
          <w:tcPr>
            <w:gridSpan w:val="3"/>
            <w:tcW w:w="4814" w:type="dxa"/>
          </w:tcPr>
          <w:p>
            <w:pPr>
              <w:pStyle w:val="0"/>
              <w:jc w:val="center"/>
            </w:pPr>
            <w:r>
              <w:rPr>
                <w:sz w:val="20"/>
              </w:rPr>
              <w:t xml:space="preserve">Численность населения на 1 января 2022 г. (данные Росстата), чел.</w:t>
            </w:r>
          </w:p>
        </w:tc>
      </w:tr>
      <w:tr>
        <w:tc>
          <w:tcPr>
            <w:vMerge w:val="continue"/>
          </w:tcPr>
          <w:p/>
        </w:tc>
        <w:tc>
          <w:tcPr>
            <w:vMerge w:val="continue"/>
          </w:tcPr>
          <w:p/>
        </w:tc>
        <w:tc>
          <w:tcPr>
            <w:tcW w:w="1412" w:type="dxa"/>
          </w:tcPr>
          <w:p>
            <w:pPr>
              <w:pStyle w:val="0"/>
              <w:jc w:val="center"/>
            </w:pPr>
            <w:r>
              <w:rPr>
                <w:sz w:val="20"/>
              </w:rPr>
              <w:t xml:space="preserve">всего</w:t>
            </w:r>
          </w:p>
        </w:tc>
        <w:tc>
          <w:tcPr>
            <w:tcW w:w="1843" w:type="dxa"/>
          </w:tcPr>
          <w:p>
            <w:pPr>
              <w:pStyle w:val="0"/>
              <w:jc w:val="center"/>
            </w:pPr>
            <w:r>
              <w:rPr>
                <w:sz w:val="20"/>
              </w:rPr>
              <w:t xml:space="preserve">городское</w:t>
            </w:r>
          </w:p>
        </w:tc>
        <w:tc>
          <w:tcPr>
            <w:tcW w:w="1559" w:type="dxa"/>
          </w:tcPr>
          <w:p>
            <w:pPr>
              <w:pStyle w:val="0"/>
              <w:jc w:val="center"/>
            </w:pPr>
            <w:r>
              <w:rPr>
                <w:sz w:val="20"/>
              </w:rPr>
              <w:t xml:space="preserve">сельское</w:t>
            </w:r>
          </w:p>
        </w:tc>
      </w:tr>
      <w:tr>
        <w:tc>
          <w:tcPr>
            <w:tcW w:w="567" w:type="dxa"/>
          </w:tcPr>
          <w:p>
            <w:pPr>
              <w:pStyle w:val="0"/>
              <w:jc w:val="center"/>
            </w:pPr>
            <w:r>
              <w:rPr>
                <w:sz w:val="20"/>
              </w:rPr>
              <w:t xml:space="preserve">1</w:t>
            </w:r>
          </w:p>
        </w:tc>
        <w:tc>
          <w:tcPr>
            <w:tcW w:w="3685" w:type="dxa"/>
          </w:tcPr>
          <w:p>
            <w:pPr>
              <w:pStyle w:val="0"/>
              <w:jc w:val="center"/>
            </w:pPr>
            <w:r>
              <w:rPr>
                <w:sz w:val="20"/>
              </w:rPr>
              <w:t xml:space="preserve">2</w:t>
            </w:r>
          </w:p>
        </w:tc>
        <w:tc>
          <w:tcPr>
            <w:tcW w:w="1412" w:type="dxa"/>
          </w:tcPr>
          <w:p>
            <w:pPr>
              <w:pStyle w:val="0"/>
              <w:jc w:val="center"/>
            </w:pPr>
            <w:r>
              <w:rPr>
                <w:sz w:val="20"/>
              </w:rPr>
              <w:t xml:space="preserve">3</w:t>
            </w:r>
          </w:p>
        </w:tc>
        <w:tc>
          <w:tcPr>
            <w:tcW w:w="1843" w:type="dxa"/>
          </w:tcPr>
          <w:p>
            <w:pPr>
              <w:pStyle w:val="0"/>
              <w:jc w:val="center"/>
            </w:pPr>
            <w:r>
              <w:rPr>
                <w:sz w:val="20"/>
              </w:rPr>
              <w:t xml:space="preserve">4</w:t>
            </w:r>
          </w:p>
        </w:tc>
        <w:tc>
          <w:tcPr>
            <w:tcW w:w="1559" w:type="dxa"/>
          </w:tcPr>
          <w:p>
            <w:pPr>
              <w:pStyle w:val="0"/>
              <w:jc w:val="center"/>
            </w:pPr>
            <w:r>
              <w:rPr>
                <w:sz w:val="20"/>
              </w:rPr>
              <w:t xml:space="preserve">5</w:t>
            </w:r>
          </w:p>
        </w:tc>
      </w:tr>
      <w:tr>
        <w:tc>
          <w:tcPr>
            <w:tcW w:w="567" w:type="dxa"/>
          </w:tcPr>
          <w:p>
            <w:pPr>
              <w:pStyle w:val="0"/>
              <w:jc w:val="both"/>
            </w:pPr>
            <w:r>
              <w:rPr>
                <w:sz w:val="20"/>
              </w:rPr>
            </w:r>
          </w:p>
        </w:tc>
        <w:tc>
          <w:tcPr>
            <w:tcW w:w="3685" w:type="dxa"/>
          </w:tcPr>
          <w:p>
            <w:pPr>
              <w:pStyle w:val="0"/>
              <w:jc w:val="both"/>
            </w:pPr>
            <w:r>
              <w:rPr>
                <w:sz w:val="20"/>
              </w:rPr>
              <w:t xml:space="preserve">Всего</w:t>
            </w:r>
          </w:p>
        </w:tc>
        <w:tc>
          <w:tcPr>
            <w:tcW w:w="1412" w:type="dxa"/>
          </w:tcPr>
          <w:p>
            <w:pPr>
              <w:pStyle w:val="0"/>
              <w:jc w:val="center"/>
            </w:pPr>
            <w:r>
              <w:rPr>
                <w:sz w:val="20"/>
              </w:rPr>
              <w:t xml:space="preserve">509992</w:t>
            </w:r>
          </w:p>
        </w:tc>
        <w:tc>
          <w:tcPr>
            <w:tcW w:w="1843" w:type="dxa"/>
          </w:tcPr>
          <w:p>
            <w:pPr>
              <w:pStyle w:val="0"/>
              <w:jc w:val="center"/>
            </w:pPr>
            <w:r>
              <w:rPr>
                <w:sz w:val="20"/>
              </w:rPr>
              <w:t xml:space="preserve">479394</w:t>
            </w:r>
          </w:p>
        </w:tc>
        <w:tc>
          <w:tcPr>
            <w:tcW w:w="1559" w:type="dxa"/>
          </w:tcPr>
          <w:p>
            <w:pPr>
              <w:pStyle w:val="0"/>
              <w:jc w:val="center"/>
            </w:pPr>
            <w:r>
              <w:rPr>
                <w:sz w:val="20"/>
              </w:rPr>
              <w:t xml:space="preserve">30598</w:t>
            </w:r>
          </w:p>
        </w:tc>
      </w:tr>
      <w:tr>
        <w:tc>
          <w:tcPr>
            <w:tcW w:w="567" w:type="dxa"/>
          </w:tcPr>
          <w:p>
            <w:pPr>
              <w:pStyle w:val="0"/>
              <w:jc w:val="both"/>
            </w:pPr>
            <w:r>
              <w:rPr>
                <w:sz w:val="20"/>
              </w:rPr>
              <w:t xml:space="preserve">1</w:t>
            </w:r>
          </w:p>
        </w:tc>
        <w:tc>
          <w:tcPr>
            <w:tcW w:w="3685" w:type="dxa"/>
          </w:tcPr>
          <w:p>
            <w:pPr>
              <w:pStyle w:val="0"/>
              <w:jc w:val="both"/>
            </w:pPr>
            <w:r>
              <w:rPr>
                <w:sz w:val="20"/>
              </w:rPr>
              <w:t xml:space="preserve">Андреевский муниципальный округ</w:t>
            </w:r>
          </w:p>
        </w:tc>
        <w:tc>
          <w:tcPr>
            <w:tcW w:w="1412" w:type="dxa"/>
          </w:tcPr>
          <w:p>
            <w:pPr>
              <w:pStyle w:val="0"/>
              <w:jc w:val="center"/>
            </w:pPr>
            <w:r>
              <w:rPr>
                <w:sz w:val="20"/>
              </w:rPr>
              <w:t xml:space="preserve">3126</w:t>
            </w:r>
          </w:p>
        </w:tc>
        <w:tc>
          <w:tcPr>
            <w:tcW w:w="1843" w:type="dxa"/>
          </w:tcPr>
          <w:p>
            <w:pPr>
              <w:pStyle w:val="0"/>
              <w:jc w:val="center"/>
            </w:pPr>
            <w:r>
              <w:rPr>
                <w:sz w:val="20"/>
              </w:rPr>
              <w:t xml:space="preserve">-</w:t>
            </w:r>
          </w:p>
        </w:tc>
        <w:tc>
          <w:tcPr>
            <w:tcW w:w="1559" w:type="dxa"/>
          </w:tcPr>
          <w:p>
            <w:pPr>
              <w:pStyle w:val="0"/>
              <w:jc w:val="center"/>
            </w:pPr>
            <w:r>
              <w:rPr>
                <w:sz w:val="20"/>
              </w:rPr>
              <w:t xml:space="preserve">3126</w:t>
            </w:r>
          </w:p>
        </w:tc>
      </w:tr>
      <w:tr>
        <w:tc>
          <w:tcPr>
            <w:tcW w:w="567" w:type="dxa"/>
          </w:tcPr>
          <w:p>
            <w:pPr>
              <w:pStyle w:val="0"/>
              <w:jc w:val="both"/>
            </w:pPr>
            <w:r>
              <w:rPr>
                <w:sz w:val="20"/>
              </w:rPr>
              <w:t xml:space="preserve">2</w:t>
            </w:r>
          </w:p>
        </w:tc>
        <w:tc>
          <w:tcPr>
            <w:tcW w:w="3685" w:type="dxa"/>
          </w:tcPr>
          <w:p>
            <w:pPr>
              <w:pStyle w:val="0"/>
              <w:jc w:val="both"/>
            </w:pPr>
            <w:r>
              <w:rPr>
                <w:sz w:val="20"/>
              </w:rPr>
              <w:t xml:space="preserve">Балаклавский муниципальный округ</w:t>
            </w:r>
          </w:p>
        </w:tc>
        <w:tc>
          <w:tcPr>
            <w:tcW w:w="1412" w:type="dxa"/>
          </w:tcPr>
          <w:p>
            <w:pPr>
              <w:pStyle w:val="0"/>
              <w:jc w:val="center"/>
            </w:pPr>
            <w:r>
              <w:rPr>
                <w:sz w:val="20"/>
              </w:rPr>
              <w:t xml:space="preserve">43501</w:t>
            </w:r>
          </w:p>
        </w:tc>
        <w:tc>
          <w:tcPr>
            <w:tcW w:w="1843" w:type="dxa"/>
          </w:tcPr>
          <w:p>
            <w:pPr>
              <w:pStyle w:val="0"/>
              <w:jc w:val="center"/>
            </w:pPr>
            <w:r>
              <w:rPr>
                <w:sz w:val="20"/>
              </w:rPr>
              <w:t xml:space="preserve">34427</w:t>
            </w:r>
          </w:p>
        </w:tc>
        <w:tc>
          <w:tcPr>
            <w:tcW w:w="1559" w:type="dxa"/>
          </w:tcPr>
          <w:p>
            <w:pPr>
              <w:pStyle w:val="0"/>
              <w:jc w:val="center"/>
            </w:pPr>
            <w:r>
              <w:rPr>
                <w:sz w:val="20"/>
              </w:rPr>
              <w:t xml:space="preserve">9074</w:t>
            </w:r>
          </w:p>
        </w:tc>
      </w:tr>
      <w:tr>
        <w:tc>
          <w:tcPr>
            <w:tcW w:w="567" w:type="dxa"/>
          </w:tcPr>
          <w:p>
            <w:pPr>
              <w:pStyle w:val="0"/>
              <w:jc w:val="both"/>
            </w:pPr>
            <w:r>
              <w:rPr>
                <w:sz w:val="20"/>
              </w:rPr>
              <w:t xml:space="preserve">3</w:t>
            </w:r>
          </w:p>
        </w:tc>
        <w:tc>
          <w:tcPr>
            <w:tcW w:w="3685" w:type="dxa"/>
          </w:tcPr>
          <w:p>
            <w:pPr>
              <w:pStyle w:val="0"/>
              <w:jc w:val="both"/>
            </w:pPr>
            <w:r>
              <w:rPr>
                <w:sz w:val="20"/>
              </w:rPr>
              <w:t xml:space="preserve">Балаклава</w:t>
            </w:r>
          </w:p>
        </w:tc>
        <w:tc>
          <w:tcPr>
            <w:tcW w:w="1412" w:type="dxa"/>
          </w:tcPr>
          <w:p>
            <w:pPr>
              <w:pStyle w:val="0"/>
              <w:jc w:val="center"/>
            </w:pPr>
            <w:r>
              <w:rPr>
                <w:sz w:val="20"/>
              </w:rPr>
              <w:t xml:space="preserve">34427</w:t>
            </w:r>
          </w:p>
        </w:tc>
        <w:tc>
          <w:tcPr>
            <w:tcW w:w="1843" w:type="dxa"/>
          </w:tcPr>
          <w:p>
            <w:pPr>
              <w:pStyle w:val="0"/>
              <w:jc w:val="center"/>
            </w:pPr>
            <w:r>
              <w:rPr>
                <w:sz w:val="20"/>
              </w:rPr>
              <w:t xml:space="preserve">34427</w:t>
            </w:r>
          </w:p>
        </w:tc>
        <w:tc>
          <w:tcPr>
            <w:tcW w:w="1559" w:type="dxa"/>
          </w:tcPr>
          <w:p>
            <w:pPr>
              <w:pStyle w:val="0"/>
              <w:jc w:val="center"/>
            </w:pPr>
            <w:r>
              <w:rPr>
                <w:sz w:val="20"/>
              </w:rPr>
              <w:t xml:space="preserve">-</w:t>
            </w:r>
          </w:p>
        </w:tc>
      </w:tr>
      <w:tr>
        <w:tc>
          <w:tcPr>
            <w:tcW w:w="567" w:type="dxa"/>
          </w:tcPr>
          <w:p>
            <w:pPr>
              <w:pStyle w:val="0"/>
              <w:jc w:val="both"/>
            </w:pPr>
            <w:r>
              <w:rPr>
                <w:sz w:val="20"/>
              </w:rPr>
              <w:t xml:space="preserve">4</w:t>
            </w:r>
          </w:p>
        </w:tc>
        <w:tc>
          <w:tcPr>
            <w:tcW w:w="3685" w:type="dxa"/>
          </w:tcPr>
          <w:p>
            <w:pPr>
              <w:pStyle w:val="0"/>
              <w:jc w:val="both"/>
            </w:pPr>
            <w:r>
              <w:rPr>
                <w:sz w:val="20"/>
              </w:rPr>
              <w:t xml:space="preserve">Верхнесадовский муниципальный округ</w:t>
            </w:r>
          </w:p>
        </w:tc>
        <w:tc>
          <w:tcPr>
            <w:tcW w:w="1412" w:type="dxa"/>
          </w:tcPr>
          <w:p>
            <w:pPr>
              <w:pStyle w:val="0"/>
              <w:jc w:val="center"/>
            </w:pPr>
            <w:r>
              <w:rPr>
                <w:sz w:val="20"/>
              </w:rPr>
              <w:t xml:space="preserve">5553</w:t>
            </w:r>
          </w:p>
        </w:tc>
        <w:tc>
          <w:tcPr>
            <w:tcW w:w="1843" w:type="dxa"/>
          </w:tcPr>
          <w:p>
            <w:pPr>
              <w:pStyle w:val="0"/>
              <w:jc w:val="center"/>
            </w:pPr>
            <w:r>
              <w:rPr>
                <w:sz w:val="20"/>
              </w:rPr>
              <w:t xml:space="preserve">-</w:t>
            </w:r>
          </w:p>
        </w:tc>
        <w:tc>
          <w:tcPr>
            <w:tcW w:w="1559" w:type="dxa"/>
          </w:tcPr>
          <w:p>
            <w:pPr>
              <w:pStyle w:val="0"/>
              <w:jc w:val="center"/>
            </w:pPr>
            <w:r>
              <w:rPr>
                <w:sz w:val="20"/>
              </w:rPr>
              <w:t xml:space="preserve">5553</w:t>
            </w:r>
          </w:p>
        </w:tc>
      </w:tr>
      <w:tr>
        <w:tc>
          <w:tcPr>
            <w:tcW w:w="567" w:type="dxa"/>
          </w:tcPr>
          <w:p>
            <w:pPr>
              <w:pStyle w:val="0"/>
              <w:jc w:val="both"/>
            </w:pPr>
            <w:r>
              <w:rPr>
                <w:sz w:val="20"/>
              </w:rPr>
              <w:t xml:space="preserve">5</w:t>
            </w:r>
          </w:p>
        </w:tc>
        <w:tc>
          <w:tcPr>
            <w:tcW w:w="3685" w:type="dxa"/>
          </w:tcPr>
          <w:p>
            <w:pPr>
              <w:pStyle w:val="0"/>
              <w:jc w:val="both"/>
            </w:pPr>
            <w:r>
              <w:rPr>
                <w:sz w:val="20"/>
              </w:rPr>
              <w:t xml:space="preserve">Гагаринский муниципальный округ</w:t>
            </w:r>
          </w:p>
        </w:tc>
        <w:tc>
          <w:tcPr>
            <w:tcW w:w="1412" w:type="dxa"/>
          </w:tcPr>
          <w:p>
            <w:pPr>
              <w:pStyle w:val="0"/>
              <w:jc w:val="center"/>
            </w:pPr>
            <w:r>
              <w:rPr>
                <w:sz w:val="20"/>
              </w:rPr>
              <w:t xml:space="preserve">180612</w:t>
            </w:r>
          </w:p>
        </w:tc>
        <w:tc>
          <w:tcPr>
            <w:tcW w:w="1843" w:type="dxa"/>
          </w:tcPr>
          <w:p>
            <w:pPr>
              <w:pStyle w:val="0"/>
              <w:jc w:val="center"/>
            </w:pPr>
            <w:r>
              <w:rPr>
                <w:sz w:val="20"/>
              </w:rPr>
              <w:t xml:space="preserve">180612</w:t>
            </w:r>
          </w:p>
        </w:tc>
        <w:tc>
          <w:tcPr>
            <w:tcW w:w="1559" w:type="dxa"/>
          </w:tcPr>
          <w:p>
            <w:pPr>
              <w:pStyle w:val="0"/>
              <w:jc w:val="center"/>
            </w:pPr>
            <w:r>
              <w:rPr>
                <w:sz w:val="20"/>
              </w:rPr>
              <w:t xml:space="preserve">-</w:t>
            </w:r>
          </w:p>
        </w:tc>
      </w:tr>
      <w:tr>
        <w:tc>
          <w:tcPr>
            <w:tcW w:w="567" w:type="dxa"/>
          </w:tcPr>
          <w:p>
            <w:pPr>
              <w:pStyle w:val="0"/>
              <w:jc w:val="both"/>
            </w:pPr>
            <w:r>
              <w:rPr>
                <w:sz w:val="20"/>
              </w:rPr>
              <w:t xml:space="preserve">6</w:t>
            </w:r>
          </w:p>
        </w:tc>
        <w:tc>
          <w:tcPr>
            <w:tcW w:w="3685" w:type="dxa"/>
          </w:tcPr>
          <w:p>
            <w:pPr>
              <w:pStyle w:val="0"/>
              <w:jc w:val="both"/>
            </w:pPr>
            <w:r>
              <w:rPr>
                <w:sz w:val="20"/>
              </w:rPr>
              <w:t xml:space="preserve">Внутригородское муниципальное образование города Севастополя город Инкерман</w:t>
            </w:r>
          </w:p>
        </w:tc>
        <w:tc>
          <w:tcPr>
            <w:tcW w:w="1412" w:type="dxa"/>
          </w:tcPr>
          <w:p>
            <w:pPr>
              <w:pStyle w:val="0"/>
              <w:jc w:val="center"/>
            </w:pPr>
            <w:r>
              <w:rPr>
                <w:sz w:val="20"/>
              </w:rPr>
              <w:t xml:space="preserve">10027</w:t>
            </w:r>
          </w:p>
        </w:tc>
        <w:tc>
          <w:tcPr>
            <w:tcW w:w="1843" w:type="dxa"/>
          </w:tcPr>
          <w:p>
            <w:pPr>
              <w:pStyle w:val="0"/>
              <w:jc w:val="center"/>
            </w:pPr>
            <w:r>
              <w:rPr>
                <w:sz w:val="20"/>
              </w:rPr>
              <w:t xml:space="preserve">10027</w:t>
            </w:r>
          </w:p>
        </w:tc>
        <w:tc>
          <w:tcPr>
            <w:tcW w:w="1559" w:type="dxa"/>
          </w:tcPr>
          <w:p>
            <w:pPr>
              <w:pStyle w:val="0"/>
              <w:jc w:val="center"/>
            </w:pPr>
            <w:r>
              <w:rPr>
                <w:sz w:val="20"/>
              </w:rPr>
              <w:t xml:space="preserve">-</w:t>
            </w:r>
          </w:p>
        </w:tc>
      </w:tr>
      <w:tr>
        <w:tc>
          <w:tcPr>
            <w:tcW w:w="567" w:type="dxa"/>
          </w:tcPr>
          <w:p>
            <w:pPr>
              <w:pStyle w:val="0"/>
              <w:jc w:val="both"/>
            </w:pPr>
            <w:r>
              <w:rPr>
                <w:sz w:val="20"/>
              </w:rPr>
              <w:t xml:space="preserve">7</w:t>
            </w:r>
          </w:p>
        </w:tc>
        <w:tc>
          <w:tcPr>
            <w:tcW w:w="3685" w:type="dxa"/>
          </w:tcPr>
          <w:p>
            <w:pPr>
              <w:pStyle w:val="0"/>
              <w:jc w:val="both"/>
            </w:pPr>
            <w:r>
              <w:rPr>
                <w:sz w:val="20"/>
              </w:rPr>
              <w:t xml:space="preserve">Внутригородское муниципальное образование города Севастополя город Инкерман</w:t>
            </w:r>
          </w:p>
        </w:tc>
        <w:tc>
          <w:tcPr>
            <w:tcW w:w="1412" w:type="dxa"/>
          </w:tcPr>
          <w:p>
            <w:pPr>
              <w:pStyle w:val="0"/>
              <w:jc w:val="center"/>
            </w:pPr>
            <w:r>
              <w:rPr>
                <w:sz w:val="20"/>
              </w:rPr>
              <w:t xml:space="preserve">10027</w:t>
            </w:r>
          </w:p>
        </w:tc>
        <w:tc>
          <w:tcPr>
            <w:tcW w:w="1843" w:type="dxa"/>
          </w:tcPr>
          <w:p>
            <w:pPr>
              <w:pStyle w:val="0"/>
              <w:jc w:val="center"/>
            </w:pPr>
            <w:r>
              <w:rPr>
                <w:sz w:val="20"/>
              </w:rPr>
              <w:t xml:space="preserve">10027</w:t>
            </w:r>
          </w:p>
        </w:tc>
        <w:tc>
          <w:tcPr>
            <w:tcW w:w="1559" w:type="dxa"/>
          </w:tcPr>
          <w:p>
            <w:pPr>
              <w:pStyle w:val="0"/>
              <w:jc w:val="center"/>
            </w:pPr>
            <w:r>
              <w:rPr>
                <w:sz w:val="20"/>
              </w:rPr>
              <w:t xml:space="preserve">-</w:t>
            </w:r>
          </w:p>
        </w:tc>
      </w:tr>
      <w:tr>
        <w:tc>
          <w:tcPr>
            <w:tcW w:w="567" w:type="dxa"/>
          </w:tcPr>
          <w:p>
            <w:pPr>
              <w:pStyle w:val="0"/>
              <w:jc w:val="both"/>
            </w:pPr>
            <w:r>
              <w:rPr>
                <w:sz w:val="20"/>
              </w:rPr>
              <w:t xml:space="preserve">8</w:t>
            </w:r>
          </w:p>
        </w:tc>
        <w:tc>
          <w:tcPr>
            <w:tcW w:w="3685" w:type="dxa"/>
          </w:tcPr>
          <w:p>
            <w:pPr>
              <w:pStyle w:val="0"/>
              <w:jc w:val="both"/>
            </w:pPr>
            <w:r>
              <w:rPr>
                <w:sz w:val="20"/>
              </w:rPr>
              <w:t xml:space="preserve">Качинский муниципальный округ</w:t>
            </w:r>
          </w:p>
        </w:tc>
        <w:tc>
          <w:tcPr>
            <w:tcW w:w="1412" w:type="dxa"/>
          </w:tcPr>
          <w:p>
            <w:pPr>
              <w:pStyle w:val="0"/>
              <w:jc w:val="center"/>
            </w:pPr>
            <w:r>
              <w:rPr>
                <w:sz w:val="20"/>
              </w:rPr>
              <w:t xml:space="preserve">9006</w:t>
            </w:r>
          </w:p>
        </w:tc>
        <w:tc>
          <w:tcPr>
            <w:tcW w:w="1843" w:type="dxa"/>
          </w:tcPr>
          <w:p>
            <w:pPr>
              <w:pStyle w:val="0"/>
              <w:jc w:val="center"/>
            </w:pPr>
            <w:r>
              <w:rPr>
                <w:sz w:val="20"/>
              </w:rPr>
              <w:t xml:space="preserve">5018</w:t>
            </w:r>
          </w:p>
        </w:tc>
        <w:tc>
          <w:tcPr>
            <w:tcW w:w="1559" w:type="dxa"/>
          </w:tcPr>
          <w:p>
            <w:pPr>
              <w:pStyle w:val="0"/>
              <w:jc w:val="center"/>
            </w:pPr>
            <w:r>
              <w:rPr>
                <w:sz w:val="20"/>
              </w:rPr>
              <w:t xml:space="preserve">3988</w:t>
            </w:r>
          </w:p>
        </w:tc>
      </w:tr>
      <w:tr>
        <w:tc>
          <w:tcPr>
            <w:tcW w:w="567" w:type="dxa"/>
          </w:tcPr>
          <w:p>
            <w:pPr>
              <w:pStyle w:val="0"/>
              <w:jc w:val="both"/>
            </w:pPr>
            <w:r>
              <w:rPr>
                <w:sz w:val="20"/>
              </w:rPr>
              <w:t xml:space="preserve">9</w:t>
            </w:r>
          </w:p>
        </w:tc>
        <w:tc>
          <w:tcPr>
            <w:tcW w:w="3685" w:type="dxa"/>
          </w:tcPr>
          <w:p>
            <w:pPr>
              <w:pStyle w:val="0"/>
              <w:jc w:val="both"/>
            </w:pPr>
            <w:r>
              <w:rPr>
                <w:sz w:val="20"/>
              </w:rPr>
              <w:t xml:space="preserve">Поселок Кача</w:t>
            </w:r>
          </w:p>
        </w:tc>
        <w:tc>
          <w:tcPr>
            <w:tcW w:w="1412" w:type="dxa"/>
          </w:tcPr>
          <w:p>
            <w:pPr>
              <w:pStyle w:val="0"/>
              <w:jc w:val="center"/>
            </w:pPr>
            <w:r>
              <w:rPr>
                <w:sz w:val="20"/>
              </w:rPr>
              <w:t xml:space="preserve">5018</w:t>
            </w:r>
          </w:p>
        </w:tc>
        <w:tc>
          <w:tcPr>
            <w:tcW w:w="1843" w:type="dxa"/>
          </w:tcPr>
          <w:p>
            <w:pPr>
              <w:pStyle w:val="0"/>
              <w:jc w:val="center"/>
            </w:pPr>
            <w:r>
              <w:rPr>
                <w:sz w:val="20"/>
              </w:rPr>
              <w:t xml:space="preserve">5017</w:t>
            </w:r>
          </w:p>
        </w:tc>
        <w:tc>
          <w:tcPr>
            <w:tcW w:w="1559" w:type="dxa"/>
          </w:tcPr>
          <w:p>
            <w:pPr>
              <w:pStyle w:val="0"/>
              <w:jc w:val="center"/>
            </w:pPr>
            <w:r>
              <w:rPr>
                <w:sz w:val="20"/>
              </w:rPr>
              <w:t xml:space="preserve">-</w:t>
            </w:r>
          </w:p>
        </w:tc>
      </w:tr>
      <w:tr>
        <w:tc>
          <w:tcPr>
            <w:tcW w:w="567" w:type="dxa"/>
          </w:tcPr>
          <w:p>
            <w:pPr>
              <w:pStyle w:val="0"/>
              <w:jc w:val="both"/>
            </w:pPr>
            <w:r>
              <w:rPr>
                <w:sz w:val="20"/>
              </w:rPr>
              <w:t xml:space="preserve">10</w:t>
            </w:r>
          </w:p>
        </w:tc>
        <w:tc>
          <w:tcPr>
            <w:tcW w:w="3685" w:type="dxa"/>
          </w:tcPr>
          <w:p>
            <w:pPr>
              <w:pStyle w:val="0"/>
              <w:jc w:val="both"/>
            </w:pPr>
            <w:r>
              <w:rPr>
                <w:sz w:val="20"/>
              </w:rPr>
              <w:t xml:space="preserve">Ленинский муниципальный округ</w:t>
            </w:r>
          </w:p>
        </w:tc>
        <w:tc>
          <w:tcPr>
            <w:tcW w:w="1412" w:type="dxa"/>
          </w:tcPr>
          <w:p>
            <w:pPr>
              <w:pStyle w:val="0"/>
              <w:jc w:val="center"/>
            </w:pPr>
            <w:r>
              <w:rPr>
                <w:sz w:val="20"/>
              </w:rPr>
              <w:t xml:space="preserve">132878</w:t>
            </w:r>
          </w:p>
        </w:tc>
        <w:tc>
          <w:tcPr>
            <w:tcW w:w="1843" w:type="dxa"/>
          </w:tcPr>
          <w:p>
            <w:pPr>
              <w:pStyle w:val="0"/>
              <w:jc w:val="center"/>
            </w:pPr>
            <w:r>
              <w:rPr>
                <w:sz w:val="20"/>
              </w:rPr>
              <w:t xml:space="preserve">132878</w:t>
            </w:r>
          </w:p>
        </w:tc>
        <w:tc>
          <w:tcPr>
            <w:tcW w:w="1559" w:type="dxa"/>
          </w:tcPr>
          <w:p>
            <w:pPr>
              <w:pStyle w:val="0"/>
              <w:jc w:val="center"/>
            </w:pPr>
            <w:r>
              <w:rPr>
                <w:sz w:val="20"/>
              </w:rPr>
              <w:t xml:space="preserve">-</w:t>
            </w:r>
          </w:p>
        </w:tc>
      </w:tr>
      <w:tr>
        <w:tc>
          <w:tcPr>
            <w:tcW w:w="567" w:type="dxa"/>
          </w:tcPr>
          <w:p>
            <w:pPr>
              <w:pStyle w:val="0"/>
              <w:jc w:val="both"/>
            </w:pPr>
            <w:r>
              <w:rPr>
                <w:sz w:val="20"/>
              </w:rPr>
              <w:t xml:space="preserve">11</w:t>
            </w:r>
          </w:p>
        </w:tc>
        <w:tc>
          <w:tcPr>
            <w:tcW w:w="3685" w:type="dxa"/>
          </w:tcPr>
          <w:p>
            <w:pPr>
              <w:pStyle w:val="0"/>
              <w:jc w:val="both"/>
            </w:pPr>
            <w:r>
              <w:rPr>
                <w:sz w:val="20"/>
              </w:rPr>
              <w:t xml:space="preserve">Нахимовский муниципальный округ</w:t>
            </w:r>
          </w:p>
        </w:tc>
        <w:tc>
          <w:tcPr>
            <w:tcW w:w="1412" w:type="dxa"/>
          </w:tcPr>
          <w:p>
            <w:pPr>
              <w:pStyle w:val="0"/>
              <w:jc w:val="center"/>
            </w:pPr>
            <w:r>
              <w:rPr>
                <w:sz w:val="20"/>
              </w:rPr>
              <w:t xml:space="preserve">116432</w:t>
            </w:r>
          </w:p>
        </w:tc>
        <w:tc>
          <w:tcPr>
            <w:tcW w:w="1843" w:type="dxa"/>
          </w:tcPr>
          <w:p>
            <w:pPr>
              <w:pStyle w:val="0"/>
              <w:jc w:val="center"/>
            </w:pPr>
            <w:r>
              <w:rPr>
                <w:sz w:val="20"/>
              </w:rPr>
              <w:t xml:space="preserve">116432</w:t>
            </w:r>
          </w:p>
        </w:tc>
        <w:tc>
          <w:tcPr>
            <w:tcW w:w="1559" w:type="dxa"/>
          </w:tcPr>
          <w:p>
            <w:pPr>
              <w:pStyle w:val="0"/>
              <w:jc w:val="center"/>
            </w:pPr>
            <w:r>
              <w:rPr>
                <w:sz w:val="20"/>
              </w:rPr>
              <w:t xml:space="preserve">-</w:t>
            </w:r>
          </w:p>
        </w:tc>
      </w:tr>
      <w:tr>
        <w:tc>
          <w:tcPr>
            <w:tcW w:w="567" w:type="dxa"/>
          </w:tcPr>
          <w:p>
            <w:pPr>
              <w:pStyle w:val="0"/>
              <w:jc w:val="both"/>
            </w:pPr>
            <w:r>
              <w:rPr>
                <w:sz w:val="20"/>
              </w:rPr>
              <w:t xml:space="preserve">12</w:t>
            </w:r>
          </w:p>
        </w:tc>
        <w:tc>
          <w:tcPr>
            <w:tcW w:w="3685" w:type="dxa"/>
          </w:tcPr>
          <w:p>
            <w:pPr>
              <w:pStyle w:val="0"/>
              <w:jc w:val="both"/>
            </w:pPr>
            <w:r>
              <w:rPr>
                <w:sz w:val="20"/>
              </w:rPr>
              <w:t xml:space="preserve">Орлиновский муниципальный округ</w:t>
            </w:r>
          </w:p>
        </w:tc>
        <w:tc>
          <w:tcPr>
            <w:tcW w:w="1412" w:type="dxa"/>
          </w:tcPr>
          <w:p>
            <w:pPr>
              <w:pStyle w:val="0"/>
              <w:jc w:val="center"/>
            </w:pPr>
            <w:r>
              <w:rPr>
                <w:sz w:val="20"/>
              </w:rPr>
              <w:t xml:space="preserve">6383</w:t>
            </w:r>
          </w:p>
        </w:tc>
        <w:tc>
          <w:tcPr>
            <w:tcW w:w="1843" w:type="dxa"/>
          </w:tcPr>
          <w:p>
            <w:pPr>
              <w:pStyle w:val="0"/>
              <w:jc w:val="center"/>
            </w:pPr>
            <w:r>
              <w:rPr>
                <w:sz w:val="20"/>
              </w:rPr>
              <w:t xml:space="preserve">-</w:t>
            </w:r>
          </w:p>
        </w:tc>
        <w:tc>
          <w:tcPr>
            <w:tcW w:w="1559" w:type="dxa"/>
          </w:tcPr>
          <w:p>
            <w:pPr>
              <w:pStyle w:val="0"/>
              <w:jc w:val="center"/>
            </w:pPr>
            <w:r>
              <w:rPr>
                <w:sz w:val="20"/>
              </w:rPr>
              <w:t xml:space="preserve">6383</w:t>
            </w:r>
          </w:p>
        </w:tc>
      </w:tr>
      <w:tr>
        <w:tc>
          <w:tcPr>
            <w:tcW w:w="567" w:type="dxa"/>
          </w:tcPr>
          <w:p>
            <w:pPr>
              <w:pStyle w:val="0"/>
              <w:jc w:val="both"/>
            </w:pPr>
            <w:r>
              <w:rPr>
                <w:sz w:val="20"/>
              </w:rPr>
              <w:t xml:space="preserve">13</w:t>
            </w:r>
          </w:p>
        </w:tc>
        <w:tc>
          <w:tcPr>
            <w:tcW w:w="3685" w:type="dxa"/>
          </w:tcPr>
          <w:p>
            <w:pPr>
              <w:pStyle w:val="0"/>
              <w:jc w:val="both"/>
            </w:pPr>
            <w:r>
              <w:rPr>
                <w:sz w:val="20"/>
              </w:rPr>
              <w:t xml:space="preserve">Терновский муниципальный округ</w:t>
            </w:r>
          </w:p>
        </w:tc>
        <w:tc>
          <w:tcPr>
            <w:tcW w:w="1412" w:type="dxa"/>
          </w:tcPr>
          <w:p>
            <w:pPr>
              <w:pStyle w:val="0"/>
              <w:jc w:val="center"/>
            </w:pPr>
            <w:r>
              <w:rPr>
                <w:sz w:val="20"/>
              </w:rPr>
              <w:t xml:space="preserve">2474</w:t>
            </w:r>
          </w:p>
        </w:tc>
        <w:tc>
          <w:tcPr>
            <w:tcW w:w="1843" w:type="dxa"/>
          </w:tcPr>
          <w:p>
            <w:pPr>
              <w:pStyle w:val="0"/>
              <w:jc w:val="center"/>
            </w:pPr>
            <w:r>
              <w:rPr>
                <w:sz w:val="20"/>
              </w:rPr>
              <w:t xml:space="preserve">-</w:t>
            </w:r>
          </w:p>
        </w:tc>
        <w:tc>
          <w:tcPr>
            <w:tcW w:w="1559" w:type="dxa"/>
          </w:tcPr>
          <w:p>
            <w:pPr>
              <w:pStyle w:val="0"/>
              <w:jc w:val="center"/>
            </w:pPr>
            <w:r>
              <w:rPr>
                <w:sz w:val="20"/>
              </w:rPr>
              <w:t xml:space="preserve">2474</w:t>
            </w:r>
          </w:p>
        </w:tc>
      </w:tr>
      <w:tr>
        <w:tc>
          <w:tcPr>
            <w:tcW w:w="567" w:type="dxa"/>
          </w:tcPr>
          <w:p>
            <w:pPr>
              <w:pStyle w:val="0"/>
              <w:jc w:val="both"/>
            </w:pPr>
            <w:r>
              <w:rPr>
                <w:sz w:val="20"/>
              </w:rPr>
            </w:r>
          </w:p>
        </w:tc>
        <w:tc>
          <w:tcPr>
            <w:tcW w:w="3685" w:type="dxa"/>
          </w:tcPr>
          <w:p>
            <w:pPr>
              <w:pStyle w:val="0"/>
              <w:jc w:val="both"/>
            </w:pPr>
            <w:r>
              <w:rPr>
                <w:sz w:val="20"/>
              </w:rPr>
              <w:t xml:space="preserve">ИТОГО по г. Севастополю</w:t>
            </w:r>
          </w:p>
        </w:tc>
        <w:tc>
          <w:tcPr>
            <w:tcW w:w="1412" w:type="dxa"/>
          </w:tcPr>
          <w:p>
            <w:pPr>
              <w:pStyle w:val="0"/>
              <w:jc w:val="center"/>
            </w:pPr>
            <w:r>
              <w:rPr>
                <w:sz w:val="20"/>
              </w:rPr>
              <w:t xml:space="preserve">509992</w:t>
            </w:r>
          </w:p>
        </w:tc>
        <w:tc>
          <w:tcPr>
            <w:tcW w:w="1843" w:type="dxa"/>
          </w:tcPr>
          <w:p>
            <w:pPr>
              <w:pStyle w:val="0"/>
              <w:jc w:val="center"/>
            </w:pPr>
            <w:r>
              <w:rPr>
                <w:sz w:val="20"/>
              </w:rPr>
              <w:t xml:space="preserve">479394</w:t>
            </w:r>
          </w:p>
        </w:tc>
        <w:tc>
          <w:tcPr>
            <w:tcW w:w="1559" w:type="dxa"/>
          </w:tcPr>
          <w:p>
            <w:pPr>
              <w:pStyle w:val="0"/>
              <w:jc w:val="center"/>
            </w:pPr>
            <w:r>
              <w:rPr>
                <w:sz w:val="20"/>
              </w:rPr>
              <w:t xml:space="preserve">30598</w:t>
            </w:r>
          </w:p>
        </w:tc>
      </w:tr>
    </w:tbl>
    <w:p>
      <w:pPr>
        <w:pStyle w:val="0"/>
        <w:ind w:firstLine="540"/>
        <w:jc w:val="both"/>
      </w:pPr>
      <w:r>
        <w:rPr>
          <w:sz w:val="20"/>
        </w:rPr>
      </w:r>
    </w:p>
    <w:p>
      <w:pPr>
        <w:pStyle w:val="0"/>
        <w:ind w:firstLine="540"/>
        <w:jc w:val="both"/>
      </w:pPr>
      <w:r>
        <w:rPr>
          <w:sz w:val="20"/>
        </w:rPr>
        <w:t xml:space="preserve">Естественный прирост (убыль) за январь - декабрь 2022 г. составил (-4,3) на 1000 населения, а за аналогичный период 2021 года - (-6,67). Разница между родившимися и умершими составляет в январе - декабре 2022 г. минус 2217 чел. (в аналогичном периоде 2021 г. - минус 3390 чел.).</w:t>
      </w:r>
    </w:p>
    <w:p>
      <w:pPr>
        <w:pStyle w:val="0"/>
        <w:spacing w:before="200" w:line-rule="auto"/>
        <w:ind w:firstLine="540"/>
        <w:jc w:val="both"/>
      </w:pPr>
      <w:r>
        <w:rPr>
          <w:sz w:val="20"/>
        </w:rPr>
        <w:t xml:space="preserve">На первом месте среди причин смертности - болезни системы кровообращения, от которых умерло 2839 чел. (45,75% от всех умерших), что на 356 умерших меньше чем за январь - декабрь 2021 г. (3195 чел.). Показатель смертности за январь - декабрь 2022 г. на 100 тыс. населения в сравнении с аналогичным периодом 2021 года снизился и составил 544,97 (2021 г. - 628,57).</w:t>
      </w:r>
    </w:p>
    <w:p>
      <w:pPr>
        <w:pStyle w:val="0"/>
        <w:spacing w:before="200" w:line-rule="auto"/>
        <w:ind w:firstLine="540"/>
        <w:jc w:val="both"/>
      </w:pPr>
      <w:r>
        <w:rPr>
          <w:sz w:val="20"/>
        </w:rPr>
        <w:t xml:space="preserve">Самую значимую долю в структуре смертности от болезней системы кровообращения занимают смерти второй группы: заболевания ишемической болезни сердца (доля - 43,64%), что составляет 1239 чел., или 237,84 на 100000 населения, а также группа цереброваскулярных болезней (48,93%) - 1389 человек, или 266,63 на 100000 населения.</w:t>
      </w:r>
    </w:p>
    <w:p>
      <w:pPr>
        <w:pStyle w:val="0"/>
        <w:spacing w:before="200" w:line-rule="auto"/>
        <w:ind w:firstLine="540"/>
        <w:jc w:val="both"/>
      </w:pPr>
      <w:r>
        <w:rPr>
          <w:sz w:val="20"/>
        </w:rPr>
        <w:t xml:space="preserve">В основном от БСК умирали лица старше трудоспособного возраста. Доля трудоспособных, умерших от БСК, - 11,59%. Показатель смертности трудоспособных от болезней системы кровообращения на 100 тыс. населения трудоспособного возраста составил 107,73 (или 329 чел.), в январе - декабре 2021 г. - 101,78, или 297 чел.</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964"/>
        <w:gridCol w:w="964"/>
        <w:gridCol w:w="907"/>
        <w:gridCol w:w="964"/>
        <w:gridCol w:w="964"/>
        <w:gridCol w:w="964"/>
        <w:gridCol w:w="964"/>
        <w:gridCol w:w="964"/>
        <w:gridCol w:w="964"/>
      </w:tblGrid>
      <w:tr>
        <w:tc>
          <w:tcPr>
            <w:tcW w:w="1134" w:type="dxa"/>
          </w:tcPr>
          <w:p>
            <w:pPr>
              <w:pStyle w:val="0"/>
              <w:jc w:val="center"/>
            </w:pPr>
            <w:r>
              <w:rPr>
                <w:sz w:val="20"/>
              </w:rPr>
              <w:t xml:space="preserve">Наименование</w:t>
            </w:r>
          </w:p>
        </w:tc>
        <w:tc>
          <w:tcPr>
            <w:tcW w:w="964" w:type="dxa"/>
          </w:tcPr>
          <w:p>
            <w:pPr>
              <w:pStyle w:val="0"/>
              <w:jc w:val="center"/>
            </w:pPr>
            <w:r>
              <w:rPr>
                <w:sz w:val="20"/>
              </w:rPr>
              <w:t xml:space="preserve">2014, абс. ч.</w:t>
            </w:r>
          </w:p>
        </w:tc>
        <w:tc>
          <w:tcPr>
            <w:tcW w:w="964" w:type="dxa"/>
          </w:tcPr>
          <w:p>
            <w:pPr>
              <w:pStyle w:val="0"/>
              <w:jc w:val="center"/>
            </w:pPr>
            <w:r>
              <w:rPr>
                <w:sz w:val="20"/>
              </w:rPr>
              <w:t xml:space="preserve">2015, абс. ч.</w:t>
            </w:r>
          </w:p>
        </w:tc>
        <w:tc>
          <w:tcPr>
            <w:tcW w:w="907" w:type="dxa"/>
          </w:tcPr>
          <w:p>
            <w:pPr>
              <w:pStyle w:val="0"/>
              <w:jc w:val="center"/>
            </w:pPr>
            <w:r>
              <w:rPr>
                <w:sz w:val="20"/>
              </w:rPr>
              <w:t xml:space="preserve">2016, абс. ч.</w:t>
            </w:r>
          </w:p>
        </w:tc>
        <w:tc>
          <w:tcPr>
            <w:tcW w:w="964" w:type="dxa"/>
          </w:tcPr>
          <w:p>
            <w:pPr>
              <w:pStyle w:val="0"/>
              <w:jc w:val="center"/>
            </w:pPr>
            <w:r>
              <w:rPr>
                <w:sz w:val="20"/>
              </w:rPr>
              <w:t xml:space="preserve">2017, абс. ч.</w:t>
            </w:r>
          </w:p>
        </w:tc>
        <w:tc>
          <w:tcPr>
            <w:tcW w:w="964" w:type="dxa"/>
          </w:tcPr>
          <w:p>
            <w:pPr>
              <w:pStyle w:val="0"/>
              <w:jc w:val="center"/>
            </w:pPr>
            <w:r>
              <w:rPr>
                <w:sz w:val="20"/>
              </w:rPr>
              <w:t xml:space="preserve">2018, абс. ч.</w:t>
            </w:r>
          </w:p>
        </w:tc>
        <w:tc>
          <w:tcPr>
            <w:tcW w:w="964" w:type="dxa"/>
          </w:tcPr>
          <w:p>
            <w:pPr>
              <w:pStyle w:val="0"/>
              <w:jc w:val="center"/>
            </w:pPr>
            <w:r>
              <w:rPr>
                <w:sz w:val="20"/>
              </w:rPr>
              <w:t xml:space="preserve">2019, абс. ч.</w:t>
            </w:r>
          </w:p>
        </w:tc>
        <w:tc>
          <w:tcPr>
            <w:tcW w:w="964" w:type="dxa"/>
          </w:tcPr>
          <w:p>
            <w:pPr>
              <w:pStyle w:val="0"/>
              <w:jc w:val="center"/>
            </w:pPr>
            <w:r>
              <w:rPr>
                <w:sz w:val="20"/>
              </w:rPr>
              <w:t xml:space="preserve">2020, абс. ч.</w:t>
            </w:r>
          </w:p>
        </w:tc>
        <w:tc>
          <w:tcPr>
            <w:tcW w:w="964" w:type="dxa"/>
          </w:tcPr>
          <w:p>
            <w:pPr>
              <w:pStyle w:val="0"/>
              <w:jc w:val="center"/>
            </w:pPr>
            <w:r>
              <w:rPr>
                <w:sz w:val="20"/>
              </w:rPr>
              <w:t xml:space="preserve">2021, абс. ч.</w:t>
            </w:r>
          </w:p>
        </w:tc>
        <w:tc>
          <w:tcPr>
            <w:tcW w:w="964" w:type="dxa"/>
          </w:tcPr>
          <w:p>
            <w:pPr>
              <w:pStyle w:val="0"/>
              <w:jc w:val="center"/>
            </w:pPr>
            <w:r>
              <w:rPr>
                <w:sz w:val="20"/>
              </w:rPr>
              <w:t xml:space="preserve">2022, абс. ч.</w:t>
            </w:r>
          </w:p>
        </w:tc>
      </w:tr>
      <w:tr>
        <w:tc>
          <w:tcPr>
            <w:tcW w:w="1134" w:type="dxa"/>
          </w:tcPr>
          <w:p>
            <w:pPr>
              <w:pStyle w:val="0"/>
              <w:jc w:val="both"/>
            </w:pPr>
            <w:r>
              <w:rPr>
                <w:sz w:val="20"/>
              </w:rPr>
              <w:t xml:space="preserve">БСК</w:t>
            </w:r>
          </w:p>
        </w:tc>
        <w:tc>
          <w:tcPr>
            <w:tcW w:w="964" w:type="dxa"/>
          </w:tcPr>
          <w:p>
            <w:pPr>
              <w:pStyle w:val="0"/>
              <w:jc w:val="center"/>
            </w:pPr>
            <w:r>
              <w:rPr>
                <w:sz w:val="20"/>
              </w:rPr>
              <w:t xml:space="preserve">3307</w:t>
            </w:r>
          </w:p>
        </w:tc>
        <w:tc>
          <w:tcPr>
            <w:tcW w:w="964" w:type="dxa"/>
          </w:tcPr>
          <w:p>
            <w:pPr>
              <w:pStyle w:val="0"/>
              <w:jc w:val="center"/>
            </w:pPr>
            <w:r>
              <w:rPr>
                <w:sz w:val="20"/>
              </w:rPr>
              <w:t xml:space="preserve">3553</w:t>
            </w:r>
          </w:p>
        </w:tc>
        <w:tc>
          <w:tcPr>
            <w:tcW w:w="907" w:type="dxa"/>
          </w:tcPr>
          <w:p>
            <w:pPr>
              <w:pStyle w:val="0"/>
              <w:jc w:val="center"/>
            </w:pPr>
            <w:r>
              <w:rPr>
                <w:sz w:val="20"/>
              </w:rPr>
              <w:t xml:space="preserve">3525</w:t>
            </w:r>
          </w:p>
        </w:tc>
        <w:tc>
          <w:tcPr>
            <w:tcW w:w="964" w:type="dxa"/>
          </w:tcPr>
          <w:p>
            <w:pPr>
              <w:pStyle w:val="0"/>
              <w:jc w:val="center"/>
            </w:pPr>
            <w:r>
              <w:rPr>
                <w:sz w:val="20"/>
              </w:rPr>
              <w:t xml:space="preserve">3353</w:t>
            </w:r>
          </w:p>
        </w:tc>
        <w:tc>
          <w:tcPr>
            <w:tcW w:w="964" w:type="dxa"/>
          </w:tcPr>
          <w:p>
            <w:pPr>
              <w:pStyle w:val="0"/>
              <w:jc w:val="center"/>
            </w:pPr>
            <w:r>
              <w:rPr>
                <w:sz w:val="20"/>
              </w:rPr>
              <w:t xml:space="preserve">3338</w:t>
            </w:r>
          </w:p>
        </w:tc>
        <w:tc>
          <w:tcPr>
            <w:tcW w:w="964" w:type="dxa"/>
          </w:tcPr>
          <w:p>
            <w:pPr>
              <w:pStyle w:val="0"/>
              <w:jc w:val="center"/>
            </w:pPr>
            <w:r>
              <w:rPr>
                <w:sz w:val="20"/>
              </w:rPr>
              <w:t xml:space="preserve">3296</w:t>
            </w:r>
          </w:p>
        </w:tc>
        <w:tc>
          <w:tcPr>
            <w:tcW w:w="964" w:type="dxa"/>
          </w:tcPr>
          <w:p>
            <w:pPr>
              <w:pStyle w:val="0"/>
              <w:jc w:val="center"/>
            </w:pPr>
            <w:r>
              <w:rPr>
                <w:sz w:val="20"/>
              </w:rPr>
              <w:t xml:space="preserve">3427</w:t>
            </w:r>
          </w:p>
        </w:tc>
        <w:tc>
          <w:tcPr>
            <w:tcW w:w="964" w:type="dxa"/>
          </w:tcPr>
          <w:p>
            <w:pPr>
              <w:pStyle w:val="0"/>
              <w:jc w:val="center"/>
            </w:pPr>
            <w:r>
              <w:rPr>
                <w:sz w:val="20"/>
              </w:rPr>
              <w:t xml:space="preserve">3195</w:t>
            </w:r>
          </w:p>
        </w:tc>
        <w:tc>
          <w:tcPr>
            <w:tcW w:w="964" w:type="dxa"/>
          </w:tcPr>
          <w:p>
            <w:pPr>
              <w:pStyle w:val="0"/>
              <w:jc w:val="center"/>
            </w:pPr>
            <w:r>
              <w:rPr>
                <w:sz w:val="20"/>
              </w:rPr>
              <w:t xml:space="preserve">2839</w:t>
            </w:r>
          </w:p>
        </w:tc>
      </w:tr>
      <w:tr>
        <w:tc>
          <w:tcPr>
            <w:tcW w:w="1134" w:type="dxa"/>
          </w:tcPr>
          <w:p>
            <w:pPr>
              <w:pStyle w:val="0"/>
              <w:jc w:val="both"/>
            </w:pPr>
            <w:r>
              <w:rPr>
                <w:sz w:val="20"/>
              </w:rPr>
              <w:t xml:space="preserve">ИБС</w:t>
            </w:r>
          </w:p>
        </w:tc>
        <w:tc>
          <w:tcPr>
            <w:tcW w:w="964" w:type="dxa"/>
          </w:tcPr>
          <w:p>
            <w:pPr>
              <w:pStyle w:val="0"/>
              <w:jc w:val="center"/>
            </w:pPr>
            <w:r>
              <w:rPr>
                <w:sz w:val="20"/>
              </w:rPr>
              <w:t xml:space="preserve">1518</w:t>
            </w:r>
          </w:p>
        </w:tc>
        <w:tc>
          <w:tcPr>
            <w:tcW w:w="964" w:type="dxa"/>
          </w:tcPr>
          <w:p>
            <w:pPr>
              <w:pStyle w:val="0"/>
              <w:jc w:val="center"/>
            </w:pPr>
            <w:r>
              <w:rPr>
                <w:sz w:val="20"/>
              </w:rPr>
              <w:t xml:space="preserve">1818</w:t>
            </w:r>
          </w:p>
        </w:tc>
        <w:tc>
          <w:tcPr>
            <w:tcW w:w="907" w:type="dxa"/>
          </w:tcPr>
          <w:p>
            <w:pPr>
              <w:pStyle w:val="0"/>
              <w:jc w:val="center"/>
            </w:pPr>
            <w:r>
              <w:rPr>
                <w:sz w:val="20"/>
              </w:rPr>
              <w:t xml:space="preserve">1880</w:t>
            </w:r>
          </w:p>
        </w:tc>
        <w:tc>
          <w:tcPr>
            <w:tcW w:w="964" w:type="dxa"/>
          </w:tcPr>
          <w:p>
            <w:pPr>
              <w:pStyle w:val="0"/>
              <w:jc w:val="center"/>
            </w:pPr>
            <w:r>
              <w:rPr>
                <w:sz w:val="20"/>
              </w:rPr>
              <w:t xml:space="preserve">1555</w:t>
            </w:r>
          </w:p>
        </w:tc>
        <w:tc>
          <w:tcPr>
            <w:tcW w:w="964" w:type="dxa"/>
          </w:tcPr>
          <w:p>
            <w:pPr>
              <w:pStyle w:val="0"/>
              <w:jc w:val="center"/>
            </w:pPr>
            <w:r>
              <w:rPr>
                <w:sz w:val="20"/>
              </w:rPr>
              <w:t xml:space="preserve">1545</w:t>
            </w:r>
          </w:p>
        </w:tc>
        <w:tc>
          <w:tcPr>
            <w:tcW w:w="964" w:type="dxa"/>
          </w:tcPr>
          <w:p>
            <w:pPr>
              <w:pStyle w:val="0"/>
              <w:jc w:val="center"/>
            </w:pPr>
            <w:r>
              <w:rPr>
                <w:sz w:val="20"/>
              </w:rPr>
              <w:t xml:space="preserve">1436</w:t>
            </w:r>
          </w:p>
        </w:tc>
        <w:tc>
          <w:tcPr>
            <w:tcW w:w="964" w:type="dxa"/>
          </w:tcPr>
          <w:p>
            <w:pPr>
              <w:pStyle w:val="0"/>
              <w:jc w:val="center"/>
            </w:pPr>
            <w:r>
              <w:rPr>
                <w:sz w:val="20"/>
              </w:rPr>
              <w:t xml:space="preserve">1392</w:t>
            </w:r>
          </w:p>
        </w:tc>
        <w:tc>
          <w:tcPr>
            <w:tcW w:w="964" w:type="dxa"/>
          </w:tcPr>
          <w:p>
            <w:pPr>
              <w:pStyle w:val="0"/>
              <w:jc w:val="center"/>
            </w:pPr>
            <w:r>
              <w:rPr>
                <w:sz w:val="20"/>
              </w:rPr>
              <w:t xml:space="preserve">1291</w:t>
            </w:r>
          </w:p>
        </w:tc>
        <w:tc>
          <w:tcPr>
            <w:tcW w:w="964" w:type="dxa"/>
          </w:tcPr>
          <w:p>
            <w:pPr>
              <w:pStyle w:val="0"/>
              <w:jc w:val="center"/>
            </w:pPr>
            <w:r>
              <w:rPr>
                <w:sz w:val="20"/>
              </w:rPr>
              <w:t xml:space="preserve">1239</w:t>
            </w:r>
          </w:p>
        </w:tc>
      </w:tr>
      <w:tr>
        <w:tc>
          <w:tcPr>
            <w:tcW w:w="1134" w:type="dxa"/>
          </w:tcPr>
          <w:p>
            <w:pPr>
              <w:pStyle w:val="0"/>
              <w:jc w:val="both"/>
            </w:pPr>
            <w:r>
              <w:rPr>
                <w:sz w:val="20"/>
              </w:rPr>
              <w:t xml:space="preserve">ОИМ</w:t>
            </w:r>
          </w:p>
        </w:tc>
        <w:tc>
          <w:tcPr>
            <w:tcW w:w="964" w:type="dxa"/>
          </w:tcPr>
          <w:p>
            <w:pPr>
              <w:pStyle w:val="0"/>
              <w:jc w:val="center"/>
            </w:pPr>
            <w:r>
              <w:rPr>
                <w:sz w:val="20"/>
              </w:rPr>
              <w:t xml:space="preserve">158</w:t>
            </w:r>
          </w:p>
        </w:tc>
        <w:tc>
          <w:tcPr>
            <w:tcW w:w="964" w:type="dxa"/>
          </w:tcPr>
          <w:p>
            <w:pPr>
              <w:pStyle w:val="0"/>
              <w:jc w:val="center"/>
            </w:pPr>
            <w:r>
              <w:rPr>
                <w:sz w:val="20"/>
              </w:rPr>
              <w:t xml:space="preserve">125</w:t>
            </w:r>
          </w:p>
        </w:tc>
        <w:tc>
          <w:tcPr>
            <w:tcW w:w="907" w:type="dxa"/>
          </w:tcPr>
          <w:p>
            <w:pPr>
              <w:pStyle w:val="0"/>
              <w:jc w:val="center"/>
            </w:pPr>
            <w:r>
              <w:rPr>
                <w:sz w:val="20"/>
              </w:rPr>
              <w:t xml:space="preserve">155</w:t>
            </w:r>
          </w:p>
        </w:tc>
        <w:tc>
          <w:tcPr>
            <w:tcW w:w="964" w:type="dxa"/>
          </w:tcPr>
          <w:p>
            <w:pPr>
              <w:pStyle w:val="0"/>
              <w:jc w:val="center"/>
            </w:pPr>
            <w:r>
              <w:rPr>
                <w:sz w:val="20"/>
              </w:rPr>
              <w:t xml:space="preserve">149</w:t>
            </w:r>
          </w:p>
        </w:tc>
        <w:tc>
          <w:tcPr>
            <w:tcW w:w="964" w:type="dxa"/>
          </w:tcPr>
          <w:p>
            <w:pPr>
              <w:pStyle w:val="0"/>
              <w:jc w:val="center"/>
            </w:pPr>
            <w:r>
              <w:rPr>
                <w:sz w:val="20"/>
              </w:rPr>
              <w:t xml:space="preserve">141</w:t>
            </w:r>
          </w:p>
        </w:tc>
        <w:tc>
          <w:tcPr>
            <w:tcW w:w="964" w:type="dxa"/>
          </w:tcPr>
          <w:p>
            <w:pPr>
              <w:pStyle w:val="0"/>
              <w:jc w:val="center"/>
            </w:pPr>
            <w:r>
              <w:rPr>
                <w:sz w:val="20"/>
              </w:rPr>
              <w:t xml:space="preserve">118</w:t>
            </w:r>
          </w:p>
        </w:tc>
        <w:tc>
          <w:tcPr>
            <w:tcW w:w="964" w:type="dxa"/>
          </w:tcPr>
          <w:p>
            <w:pPr>
              <w:pStyle w:val="0"/>
              <w:jc w:val="center"/>
            </w:pPr>
            <w:r>
              <w:rPr>
                <w:sz w:val="20"/>
              </w:rPr>
              <w:t xml:space="preserve">129</w:t>
            </w:r>
          </w:p>
        </w:tc>
        <w:tc>
          <w:tcPr>
            <w:tcW w:w="964" w:type="dxa"/>
          </w:tcPr>
          <w:p>
            <w:pPr>
              <w:pStyle w:val="0"/>
              <w:jc w:val="center"/>
            </w:pPr>
            <w:r>
              <w:rPr>
                <w:sz w:val="20"/>
              </w:rPr>
              <w:t xml:space="preserve">131</w:t>
            </w:r>
          </w:p>
        </w:tc>
        <w:tc>
          <w:tcPr>
            <w:tcW w:w="964" w:type="dxa"/>
          </w:tcPr>
          <w:p>
            <w:pPr>
              <w:pStyle w:val="0"/>
              <w:jc w:val="center"/>
            </w:pPr>
            <w:r>
              <w:rPr>
                <w:sz w:val="20"/>
              </w:rPr>
              <w:t xml:space="preserve">120</w:t>
            </w:r>
          </w:p>
        </w:tc>
      </w:tr>
      <w:tr>
        <w:tc>
          <w:tcPr>
            <w:tcW w:w="1134" w:type="dxa"/>
          </w:tcPr>
          <w:p>
            <w:pPr>
              <w:pStyle w:val="0"/>
              <w:jc w:val="both"/>
            </w:pPr>
            <w:r>
              <w:rPr>
                <w:sz w:val="20"/>
              </w:rPr>
            </w:r>
          </w:p>
        </w:tc>
        <w:tc>
          <w:tcPr>
            <w:tcW w:w="964" w:type="dxa"/>
          </w:tcPr>
          <w:p>
            <w:pPr>
              <w:pStyle w:val="0"/>
              <w:jc w:val="center"/>
            </w:pPr>
            <w:r>
              <w:rPr>
                <w:sz w:val="20"/>
              </w:rPr>
              <w:t xml:space="preserve">2014, на 100 тыс.</w:t>
            </w:r>
          </w:p>
        </w:tc>
        <w:tc>
          <w:tcPr>
            <w:tcW w:w="964" w:type="dxa"/>
          </w:tcPr>
          <w:p>
            <w:pPr>
              <w:pStyle w:val="0"/>
              <w:jc w:val="center"/>
            </w:pPr>
            <w:r>
              <w:rPr>
                <w:sz w:val="20"/>
              </w:rPr>
              <w:t xml:space="preserve">2015, на 100 тыс.</w:t>
            </w:r>
          </w:p>
        </w:tc>
        <w:tc>
          <w:tcPr>
            <w:tcW w:w="907" w:type="dxa"/>
          </w:tcPr>
          <w:p>
            <w:pPr>
              <w:pStyle w:val="0"/>
              <w:jc w:val="center"/>
            </w:pPr>
            <w:r>
              <w:rPr>
                <w:sz w:val="20"/>
              </w:rPr>
              <w:t xml:space="preserve">2016, на 100 тыс.</w:t>
            </w:r>
          </w:p>
        </w:tc>
        <w:tc>
          <w:tcPr>
            <w:tcW w:w="964" w:type="dxa"/>
          </w:tcPr>
          <w:p>
            <w:pPr>
              <w:pStyle w:val="0"/>
              <w:jc w:val="center"/>
            </w:pPr>
            <w:r>
              <w:rPr>
                <w:sz w:val="20"/>
              </w:rPr>
              <w:t xml:space="preserve">2017, на 100 тыс.</w:t>
            </w:r>
          </w:p>
        </w:tc>
        <w:tc>
          <w:tcPr>
            <w:tcW w:w="964" w:type="dxa"/>
          </w:tcPr>
          <w:p>
            <w:pPr>
              <w:pStyle w:val="0"/>
              <w:jc w:val="center"/>
            </w:pPr>
            <w:r>
              <w:rPr>
                <w:sz w:val="20"/>
              </w:rPr>
              <w:t xml:space="preserve">2018, на 100 тыс.</w:t>
            </w:r>
          </w:p>
        </w:tc>
        <w:tc>
          <w:tcPr>
            <w:tcW w:w="964" w:type="dxa"/>
          </w:tcPr>
          <w:p>
            <w:pPr>
              <w:pStyle w:val="0"/>
              <w:jc w:val="center"/>
            </w:pPr>
            <w:r>
              <w:rPr>
                <w:sz w:val="20"/>
              </w:rPr>
              <w:t xml:space="preserve">2019, на 100 тыс.</w:t>
            </w:r>
          </w:p>
        </w:tc>
        <w:tc>
          <w:tcPr>
            <w:tcW w:w="964" w:type="dxa"/>
          </w:tcPr>
          <w:p>
            <w:pPr>
              <w:pStyle w:val="0"/>
              <w:jc w:val="center"/>
            </w:pPr>
            <w:r>
              <w:rPr>
                <w:sz w:val="20"/>
              </w:rPr>
              <w:t xml:space="preserve">2020, на 100 тыс.</w:t>
            </w:r>
          </w:p>
        </w:tc>
        <w:tc>
          <w:tcPr>
            <w:tcW w:w="964" w:type="dxa"/>
          </w:tcPr>
          <w:p>
            <w:pPr>
              <w:pStyle w:val="0"/>
              <w:jc w:val="center"/>
            </w:pPr>
            <w:r>
              <w:rPr>
                <w:sz w:val="20"/>
              </w:rPr>
              <w:t xml:space="preserve">2021, на 100 тыс.</w:t>
            </w:r>
          </w:p>
        </w:tc>
        <w:tc>
          <w:tcPr>
            <w:tcW w:w="964" w:type="dxa"/>
          </w:tcPr>
          <w:p>
            <w:pPr>
              <w:pStyle w:val="0"/>
              <w:jc w:val="center"/>
            </w:pPr>
            <w:r>
              <w:rPr>
                <w:sz w:val="20"/>
              </w:rPr>
              <w:t xml:space="preserve">2022, на 100 тыс.</w:t>
            </w:r>
          </w:p>
        </w:tc>
      </w:tr>
      <w:tr>
        <w:tc>
          <w:tcPr>
            <w:tcW w:w="1134" w:type="dxa"/>
          </w:tcPr>
          <w:p>
            <w:pPr>
              <w:pStyle w:val="0"/>
              <w:jc w:val="both"/>
            </w:pPr>
            <w:r>
              <w:rPr>
                <w:sz w:val="20"/>
              </w:rPr>
              <w:t xml:space="preserve">БСК</w:t>
            </w:r>
          </w:p>
        </w:tc>
        <w:tc>
          <w:tcPr>
            <w:tcW w:w="964" w:type="dxa"/>
          </w:tcPr>
          <w:p>
            <w:pPr>
              <w:pStyle w:val="0"/>
              <w:jc w:val="center"/>
            </w:pPr>
            <w:r>
              <w:rPr>
                <w:sz w:val="20"/>
              </w:rPr>
              <w:t xml:space="preserve">855,69</w:t>
            </w:r>
          </w:p>
        </w:tc>
        <w:tc>
          <w:tcPr>
            <w:tcW w:w="964" w:type="dxa"/>
          </w:tcPr>
          <w:p>
            <w:pPr>
              <w:pStyle w:val="0"/>
              <w:jc w:val="center"/>
            </w:pPr>
            <w:r>
              <w:rPr>
                <w:sz w:val="20"/>
              </w:rPr>
              <w:t xml:space="preserve">871,65</w:t>
            </w:r>
          </w:p>
        </w:tc>
        <w:tc>
          <w:tcPr>
            <w:tcW w:w="907" w:type="dxa"/>
          </w:tcPr>
          <w:p>
            <w:pPr>
              <w:pStyle w:val="0"/>
              <w:jc w:val="center"/>
            </w:pPr>
            <w:r>
              <w:rPr>
                <w:sz w:val="20"/>
              </w:rPr>
              <w:t xml:space="preserve">834,30</w:t>
            </w:r>
          </w:p>
        </w:tc>
        <w:tc>
          <w:tcPr>
            <w:tcW w:w="964" w:type="dxa"/>
          </w:tcPr>
          <w:p>
            <w:pPr>
              <w:pStyle w:val="0"/>
              <w:jc w:val="center"/>
            </w:pPr>
            <w:r>
              <w:rPr>
                <w:sz w:val="20"/>
              </w:rPr>
              <w:t xml:space="preserve">782,78</w:t>
            </w:r>
          </w:p>
        </w:tc>
        <w:tc>
          <w:tcPr>
            <w:tcW w:w="964" w:type="dxa"/>
          </w:tcPr>
          <w:p>
            <w:pPr>
              <w:pStyle w:val="0"/>
              <w:jc w:val="center"/>
            </w:pPr>
            <w:r>
              <w:rPr>
                <w:sz w:val="20"/>
              </w:rPr>
              <w:t xml:space="preserve">765,41</w:t>
            </w:r>
          </w:p>
        </w:tc>
        <w:tc>
          <w:tcPr>
            <w:tcW w:w="964" w:type="dxa"/>
          </w:tcPr>
          <w:p>
            <w:pPr>
              <w:pStyle w:val="0"/>
              <w:jc w:val="center"/>
            </w:pPr>
            <w:r>
              <w:rPr>
                <w:sz w:val="20"/>
              </w:rPr>
              <w:t xml:space="preserve">744,96</w:t>
            </w:r>
          </w:p>
        </w:tc>
        <w:tc>
          <w:tcPr>
            <w:tcW w:w="964" w:type="dxa"/>
          </w:tcPr>
          <w:p>
            <w:pPr>
              <w:pStyle w:val="0"/>
              <w:jc w:val="center"/>
            </w:pPr>
            <w:r>
              <w:rPr>
                <w:sz w:val="20"/>
              </w:rPr>
              <w:t xml:space="preserve">764,74</w:t>
            </w:r>
          </w:p>
        </w:tc>
        <w:tc>
          <w:tcPr>
            <w:tcW w:w="964" w:type="dxa"/>
          </w:tcPr>
          <w:p>
            <w:pPr>
              <w:pStyle w:val="0"/>
              <w:jc w:val="center"/>
            </w:pPr>
            <w:r>
              <w:rPr>
                <w:sz w:val="20"/>
              </w:rPr>
              <w:t xml:space="preserve">628,57</w:t>
            </w:r>
          </w:p>
        </w:tc>
        <w:tc>
          <w:tcPr>
            <w:tcW w:w="964" w:type="dxa"/>
          </w:tcPr>
          <w:p>
            <w:pPr>
              <w:pStyle w:val="0"/>
              <w:jc w:val="center"/>
            </w:pPr>
            <w:r>
              <w:rPr>
                <w:sz w:val="20"/>
              </w:rPr>
              <w:t xml:space="preserve">544,97</w:t>
            </w:r>
          </w:p>
        </w:tc>
      </w:tr>
      <w:tr>
        <w:tc>
          <w:tcPr>
            <w:tcW w:w="1134" w:type="dxa"/>
          </w:tcPr>
          <w:p>
            <w:pPr>
              <w:pStyle w:val="0"/>
              <w:jc w:val="both"/>
            </w:pPr>
            <w:r>
              <w:rPr>
                <w:sz w:val="20"/>
              </w:rPr>
              <w:t xml:space="preserve">ИБС</w:t>
            </w:r>
          </w:p>
        </w:tc>
        <w:tc>
          <w:tcPr>
            <w:tcW w:w="964" w:type="dxa"/>
          </w:tcPr>
          <w:p>
            <w:pPr>
              <w:pStyle w:val="0"/>
              <w:jc w:val="center"/>
            </w:pPr>
            <w:r>
              <w:rPr>
                <w:sz w:val="20"/>
              </w:rPr>
              <w:t xml:space="preserve">392,78</w:t>
            </w:r>
          </w:p>
        </w:tc>
        <w:tc>
          <w:tcPr>
            <w:tcW w:w="964" w:type="dxa"/>
          </w:tcPr>
          <w:p>
            <w:pPr>
              <w:pStyle w:val="0"/>
              <w:jc w:val="center"/>
            </w:pPr>
            <w:r>
              <w:rPr>
                <w:sz w:val="20"/>
              </w:rPr>
              <w:t xml:space="preserve">446,06</w:t>
            </w:r>
          </w:p>
        </w:tc>
        <w:tc>
          <w:tcPr>
            <w:tcW w:w="907" w:type="dxa"/>
          </w:tcPr>
          <w:p>
            <w:pPr>
              <w:pStyle w:val="0"/>
              <w:jc w:val="center"/>
            </w:pPr>
            <w:r>
              <w:rPr>
                <w:sz w:val="20"/>
              </w:rPr>
              <w:t xml:space="preserve">444,96</w:t>
            </w:r>
          </w:p>
        </w:tc>
        <w:tc>
          <w:tcPr>
            <w:tcW w:w="964" w:type="dxa"/>
          </w:tcPr>
          <w:p>
            <w:pPr>
              <w:pStyle w:val="0"/>
              <w:jc w:val="center"/>
            </w:pPr>
            <w:r>
              <w:rPr>
                <w:sz w:val="20"/>
              </w:rPr>
              <w:t xml:space="preserve">363,03</w:t>
            </w:r>
          </w:p>
        </w:tc>
        <w:tc>
          <w:tcPr>
            <w:tcW w:w="964" w:type="dxa"/>
          </w:tcPr>
          <w:p>
            <w:pPr>
              <w:pStyle w:val="0"/>
              <w:jc w:val="center"/>
            </w:pPr>
            <w:r>
              <w:rPr>
                <w:sz w:val="20"/>
              </w:rPr>
              <w:t xml:space="preserve">354,27</w:t>
            </w:r>
          </w:p>
        </w:tc>
        <w:tc>
          <w:tcPr>
            <w:tcW w:w="964" w:type="dxa"/>
          </w:tcPr>
          <w:p>
            <w:pPr>
              <w:pStyle w:val="0"/>
              <w:jc w:val="center"/>
            </w:pPr>
            <w:r>
              <w:rPr>
                <w:sz w:val="20"/>
              </w:rPr>
              <w:t xml:space="preserve">324,27</w:t>
            </w:r>
          </w:p>
        </w:tc>
        <w:tc>
          <w:tcPr>
            <w:tcW w:w="964" w:type="dxa"/>
          </w:tcPr>
          <w:p>
            <w:pPr>
              <w:pStyle w:val="0"/>
              <w:jc w:val="center"/>
            </w:pPr>
            <w:r>
              <w:rPr>
                <w:sz w:val="20"/>
              </w:rPr>
              <w:t xml:space="preserve">310,63</w:t>
            </w:r>
          </w:p>
        </w:tc>
        <w:tc>
          <w:tcPr>
            <w:tcW w:w="964" w:type="dxa"/>
          </w:tcPr>
          <w:p>
            <w:pPr>
              <w:pStyle w:val="0"/>
              <w:jc w:val="center"/>
            </w:pPr>
            <w:r>
              <w:rPr>
                <w:sz w:val="20"/>
              </w:rPr>
              <w:t xml:space="preserve">253,99</w:t>
            </w:r>
          </w:p>
        </w:tc>
        <w:tc>
          <w:tcPr>
            <w:tcW w:w="964" w:type="dxa"/>
          </w:tcPr>
          <w:p>
            <w:pPr>
              <w:pStyle w:val="0"/>
              <w:jc w:val="center"/>
            </w:pPr>
            <w:r>
              <w:rPr>
                <w:sz w:val="20"/>
              </w:rPr>
              <w:t xml:space="preserve">237,84</w:t>
            </w:r>
          </w:p>
        </w:tc>
      </w:tr>
      <w:tr>
        <w:tc>
          <w:tcPr>
            <w:tcW w:w="1134" w:type="dxa"/>
          </w:tcPr>
          <w:p>
            <w:pPr>
              <w:pStyle w:val="0"/>
              <w:jc w:val="both"/>
            </w:pPr>
            <w:r>
              <w:rPr>
                <w:sz w:val="20"/>
              </w:rPr>
              <w:t xml:space="preserve">ОИМ</w:t>
            </w:r>
          </w:p>
        </w:tc>
        <w:tc>
          <w:tcPr>
            <w:tcW w:w="964" w:type="dxa"/>
          </w:tcPr>
          <w:p>
            <w:pPr>
              <w:pStyle w:val="0"/>
              <w:jc w:val="center"/>
            </w:pPr>
            <w:r>
              <w:rPr>
                <w:sz w:val="20"/>
              </w:rPr>
              <w:t xml:space="preserve">40,88</w:t>
            </w:r>
          </w:p>
        </w:tc>
        <w:tc>
          <w:tcPr>
            <w:tcW w:w="964" w:type="dxa"/>
          </w:tcPr>
          <w:p>
            <w:pPr>
              <w:pStyle w:val="0"/>
              <w:jc w:val="center"/>
            </w:pPr>
            <w:r>
              <w:rPr>
                <w:sz w:val="20"/>
              </w:rPr>
              <w:t xml:space="preserve">30,67</w:t>
            </w:r>
          </w:p>
        </w:tc>
        <w:tc>
          <w:tcPr>
            <w:tcW w:w="907" w:type="dxa"/>
          </w:tcPr>
          <w:p>
            <w:pPr>
              <w:pStyle w:val="0"/>
              <w:jc w:val="center"/>
            </w:pPr>
            <w:r>
              <w:rPr>
                <w:sz w:val="20"/>
              </w:rPr>
              <w:t xml:space="preserve">36,69</w:t>
            </w:r>
          </w:p>
        </w:tc>
        <w:tc>
          <w:tcPr>
            <w:tcW w:w="964" w:type="dxa"/>
          </w:tcPr>
          <w:p>
            <w:pPr>
              <w:pStyle w:val="0"/>
              <w:jc w:val="center"/>
            </w:pPr>
            <w:r>
              <w:rPr>
                <w:sz w:val="20"/>
              </w:rPr>
              <w:t xml:space="preserve">34,79</w:t>
            </w:r>
          </w:p>
        </w:tc>
        <w:tc>
          <w:tcPr>
            <w:tcW w:w="964" w:type="dxa"/>
          </w:tcPr>
          <w:p>
            <w:pPr>
              <w:pStyle w:val="0"/>
              <w:jc w:val="center"/>
            </w:pPr>
            <w:r>
              <w:rPr>
                <w:sz w:val="20"/>
              </w:rPr>
              <w:t xml:space="preserve">32,34</w:t>
            </w:r>
          </w:p>
        </w:tc>
        <w:tc>
          <w:tcPr>
            <w:tcW w:w="964" w:type="dxa"/>
          </w:tcPr>
          <w:p>
            <w:pPr>
              <w:pStyle w:val="0"/>
              <w:jc w:val="center"/>
            </w:pPr>
            <w:r>
              <w:rPr>
                <w:sz w:val="20"/>
              </w:rPr>
              <w:t xml:space="preserve">28,79</w:t>
            </w:r>
          </w:p>
        </w:tc>
        <w:tc>
          <w:tcPr>
            <w:tcW w:w="964" w:type="dxa"/>
          </w:tcPr>
          <w:p>
            <w:pPr>
              <w:pStyle w:val="0"/>
              <w:jc w:val="center"/>
            </w:pPr>
            <w:r>
              <w:rPr>
                <w:sz w:val="20"/>
              </w:rPr>
              <w:t xml:space="preserve">26,67</w:t>
            </w:r>
          </w:p>
        </w:tc>
        <w:tc>
          <w:tcPr>
            <w:tcW w:w="964" w:type="dxa"/>
          </w:tcPr>
          <w:p>
            <w:pPr>
              <w:pStyle w:val="0"/>
              <w:jc w:val="center"/>
            </w:pPr>
            <w:r>
              <w:rPr>
                <w:sz w:val="20"/>
              </w:rPr>
              <w:t xml:space="preserve">25,77</w:t>
            </w:r>
          </w:p>
        </w:tc>
        <w:tc>
          <w:tcPr>
            <w:tcW w:w="964" w:type="dxa"/>
          </w:tcPr>
          <w:p>
            <w:pPr>
              <w:pStyle w:val="0"/>
              <w:jc w:val="center"/>
            </w:pPr>
            <w:r>
              <w:rPr>
                <w:sz w:val="20"/>
              </w:rPr>
              <w:t xml:space="preserve">23,03</w:t>
            </w:r>
          </w:p>
        </w:tc>
      </w:tr>
    </w:tbl>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7"/>
        <w:gridCol w:w="1077"/>
        <w:gridCol w:w="1077"/>
        <w:gridCol w:w="1077"/>
        <w:gridCol w:w="1077"/>
        <w:gridCol w:w="1077"/>
        <w:gridCol w:w="1077"/>
      </w:tblGrid>
      <w:tr>
        <w:tc>
          <w:tcPr>
            <w:tcW w:w="2607" w:type="dxa"/>
          </w:tcPr>
          <w:p>
            <w:pPr>
              <w:pStyle w:val="0"/>
              <w:jc w:val="center"/>
            </w:pPr>
            <w:r>
              <w:rPr>
                <w:sz w:val="20"/>
              </w:rPr>
              <w:t xml:space="preserve">ИНСУЛЬТЫ</w:t>
            </w:r>
          </w:p>
        </w:tc>
        <w:tc>
          <w:tcPr>
            <w:tcW w:w="1077" w:type="dxa"/>
          </w:tcPr>
          <w:p>
            <w:pPr>
              <w:pStyle w:val="0"/>
              <w:jc w:val="center"/>
            </w:pPr>
            <w:r>
              <w:rPr>
                <w:sz w:val="20"/>
              </w:rPr>
              <w:t xml:space="preserve">ИТОГО 2018 год</w:t>
            </w:r>
          </w:p>
        </w:tc>
        <w:tc>
          <w:tcPr>
            <w:tcW w:w="1077" w:type="dxa"/>
          </w:tcPr>
          <w:p>
            <w:pPr>
              <w:pStyle w:val="0"/>
              <w:jc w:val="center"/>
            </w:pPr>
            <w:r>
              <w:rPr>
                <w:sz w:val="20"/>
              </w:rPr>
              <w:t xml:space="preserve">ИТОГО 2017 год</w:t>
            </w:r>
          </w:p>
        </w:tc>
        <w:tc>
          <w:tcPr>
            <w:tcW w:w="1077" w:type="dxa"/>
          </w:tcPr>
          <w:p>
            <w:pPr>
              <w:pStyle w:val="0"/>
              <w:jc w:val="center"/>
            </w:pPr>
            <w:r>
              <w:rPr>
                <w:sz w:val="20"/>
              </w:rPr>
              <w:t xml:space="preserve">ИТОГО 2019 год</w:t>
            </w:r>
          </w:p>
        </w:tc>
        <w:tc>
          <w:tcPr>
            <w:tcW w:w="1077" w:type="dxa"/>
          </w:tcPr>
          <w:p>
            <w:pPr>
              <w:pStyle w:val="0"/>
              <w:jc w:val="center"/>
            </w:pPr>
            <w:r>
              <w:rPr>
                <w:sz w:val="20"/>
              </w:rPr>
              <w:t xml:space="preserve">ИТОГО 2020 год</w:t>
            </w:r>
          </w:p>
        </w:tc>
        <w:tc>
          <w:tcPr>
            <w:tcW w:w="1077" w:type="dxa"/>
          </w:tcPr>
          <w:p>
            <w:pPr>
              <w:pStyle w:val="0"/>
              <w:jc w:val="center"/>
            </w:pPr>
            <w:r>
              <w:rPr>
                <w:sz w:val="20"/>
              </w:rPr>
              <w:t xml:space="preserve">ИТОГО 2021 год</w:t>
            </w:r>
          </w:p>
        </w:tc>
        <w:tc>
          <w:tcPr>
            <w:tcW w:w="1077" w:type="dxa"/>
          </w:tcPr>
          <w:p>
            <w:pPr>
              <w:pStyle w:val="0"/>
              <w:jc w:val="center"/>
            </w:pPr>
            <w:r>
              <w:rPr>
                <w:sz w:val="20"/>
              </w:rPr>
              <w:t xml:space="preserve">ИТОГО 2022 год</w:t>
            </w:r>
          </w:p>
        </w:tc>
      </w:tr>
      <w:tr>
        <w:tc>
          <w:tcPr>
            <w:tcW w:w="2607" w:type="dxa"/>
          </w:tcPr>
          <w:p>
            <w:pPr>
              <w:pStyle w:val="0"/>
              <w:jc w:val="both"/>
            </w:pPr>
            <w:r>
              <w:rPr>
                <w:sz w:val="20"/>
              </w:rPr>
              <w:t xml:space="preserve">Количество ОНМК, всего</w:t>
            </w:r>
          </w:p>
        </w:tc>
        <w:tc>
          <w:tcPr>
            <w:tcW w:w="1077" w:type="dxa"/>
          </w:tcPr>
          <w:p>
            <w:pPr>
              <w:pStyle w:val="0"/>
              <w:jc w:val="center"/>
            </w:pPr>
            <w:r>
              <w:rPr>
                <w:sz w:val="20"/>
              </w:rPr>
              <w:t xml:space="preserve">1793</w:t>
            </w:r>
          </w:p>
        </w:tc>
        <w:tc>
          <w:tcPr>
            <w:tcW w:w="1077" w:type="dxa"/>
          </w:tcPr>
          <w:p>
            <w:pPr>
              <w:pStyle w:val="0"/>
              <w:jc w:val="center"/>
            </w:pPr>
            <w:r>
              <w:rPr>
                <w:sz w:val="20"/>
              </w:rPr>
              <w:t xml:space="preserve">1982</w:t>
            </w:r>
          </w:p>
        </w:tc>
        <w:tc>
          <w:tcPr>
            <w:tcW w:w="1077" w:type="dxa"/>
          </w:tcPr>
          <w:p>
            <w:pPr>
              <w:pStyle w:val="0"/>
              <w:jc w:val="center"/>
            </w:pPr>
            <w:r>
              <w:rPr>
                <w:sz w:val="20"/>
              </w:rPr>
              <w:t xml:space="preserve">1006</w:t>
            </w:r>
          </w:p>
        </w:tc>
        <w:tc>
          <w:tcPr>
            <w:tcW w:w="1077" w:type="dxa"/>
          </w:tcPr>
          <w:p>
            <w:pPr>
              <w:pStyle w:val="0"/>
              <w:jc w:val="center"/>
            </w:pPr>
            <w:r>
              <w:rPr>
                <w:sz w:val="20"/>
              </w:rPr>
              <w:t xml:space="preserve">1965</w:t>
            </w:r>
          </w:p>
        </w:tc>
        <w:tc>
          <w:tcPr>
            <w:tcW w:w="1077" w:type="dxa"/>
          </w:tcPr>
          <w:p>
            <w:pPr>
              <w:pStyle w:val="0"/>
              <w:jc w:val="center"/>
            </w:pPr>
            <w:r>
              <w:rPr>
                <w:sz w:val="20"/>
              </w:rPr>
              <w:t xml:space="preserve">1541</w:t>
            </w:r>
          </w:p>
        </w:tc>
        <w:tc>
          <w:tcPr>
            <w:tcW w:w="1077" w:type="dxa"/>
          </w:tcPr>
          <w:p>
            <w:pPr>
              <w:pStyle w:val="0"/>
              <w:jc w:val="center"/>
            </w:pPr>
            <w:r>
              <w:rPr>
                <w:sz w:val="20"/>
              </w:rPr>
              <w:t xml:space="preserve">1493</w:t>
            </w:r>
          </w:p>
        </w:tc>
      </w:tr>
      <w:tr>
        <w:tc>
          <w:tcPr>
            <w:tcW w:w="2607" w:type="dxa"/>
          </w:tcPr>
          <w:p>
            <w:pPr>
              <w:pStyle w:val="0"/>
              <w:jc w:val="both"/>
            </w:pPr>
            <w:r>
              <w:rPr>
                <w:sz w:val="20"/>
              </w:rPr>
              <w:t xml:space="preserve">в том числе ишемических (ИИ)</w:t>
            </w:r>
          </w:p>
        </w:tc>
        <w:tc>
          <w:tcPr>
            <w:tcW w:w="1077" w:type="dxa"/>
          </w:tcPr>
          <w:p>
            <w:pPr>
              <w:pStyle w:val="0"/>
              <w:jc w:val="center"/>
            </w:pPr>
            <w:r>
              <w:rPr>
                <w:sz w:val="20"/>
              </w:rPr>
              <w:t xml:space="preserve">1633</w:t>
            </w:r>
          </w:p>
        </w:tc>
        <w:tc>
          <w:tcPr>
            <w:tcW w:w="1077" w:type="dxa"/>
          </w:tcPr>
          <w:p>
            <w:pPr>
              <w:pStyle w:val="0"/>
              <w:jc w:val="center"/>
            </w:pPr>
            <w:r>
              <w:rPr>
                <w:sz w:val="20"/>
              </w:rPr>
              <w:t xml:space="preserve">1812</w:t>
            </w:r>
          </w:p>
        </w:tc>
        <w:tc>
          <w:tcPr>
            <w:tcW w:w="1077" w:type="dxa"/>
          </w:tcPr>
          <w:p>
            <w:pPr>
              <w:pStyle w:val="0"/>
              <w:jc w:val="center"/>
            </w:pPr>
            <w:r>
              <w:rPr>
                <w:sz w:val="20"/>
              </w:rPr>
              <w:t xml:space="preserve">842</w:t>
            </w:r>
          </w:p>
        </w:tc>
        <w:tc>
          <w:tcPr>
            <w:tcW w:w="1077" w:type="dxa"/>
          </w:tcPr>
          <w:p>
            <w:pPr>
              <w:pStyle w:val="0"/>
              <w:jc w:val="center"/>
            </w:pPr>
            <w:r>
              <w:rPr>
                <w:sz w:val="20"/>
              </w:rPr>
              <w:t xml:space="preserve">1711</w:t>
            </w:r>
          </w:p>
        </w:tc>
        <w:tc>
          <w:tcPr>
            <w:tcW w:w="1077" w:type="dxa"/>
          </w:tcPr>
          <w:p>
            <w:pPr>
              <w:pStyle w:val="0"/>
              <w:jc w:val="center"/>
            </w:pPr>
            <w:r>
              <w:rPr>
                <w:sz w:val="20"/>
              </w:rPr>
              <w:t xml:space="preserve">1283</w:t>
            </w:r>
          </w:p>
        </w:tc>
        <w:tc>
          <w:tcPr>
            <w:tcW w:w="1077" w:type="dxa"/>
          </w:tcPr>
          <w:p>
            <w:pPr>
              <w:pStyle w:val="0"/>
              <w:jc w:val="center"/>
            </w:pPr>
            <w:r>
              <w:rPr>
                <w:sz w:val="20"/>
              </w:rPr>
              <w:t xml:space="preserve">1237</w:t>
            </w:r>
          </w:p>
        </w:tc>
      </w:tr>
      <w:tr>
        <w:tc>
          <w:tcPr>
            <w:tcW w:w="2607" w:type="dxa"/>
          </w:tcPr>
          <w:p>
            <w:pPr>
              <w:pStyle w:val="0"/>
              <w:jc w:val="both"/>
            </w:pPr>
            <w:r>
              <w:rPr>
                <w:sz w:val="20"/>
              </w:rPr>
              <w:t xml:space="preserve">в том числе геморрагических (ГИ)</w:t>
            </w:r>
          </w:p>
        </w:tc>
        <w:tc>
          <w:tcPr>
            <w:tcW w:w="1077" w:type="dxa"/>
          </w:tcPr>
          <w:p>
            <w:pPr>
              <w:pStyle w:val="0"/>
              <w:jc w:val="center"/>
            </w:pPr>
            <w:r>
              <w:rPr>
                <w:sz w:val="20"/>
              </w:rPr>
              <w:t xml:space="preserve">160</w:t>
            </w:r>
          </w:p>
        </w:tc>
        <w:tc>
          <w:tcPr>
            <w:tcW w:w="1077" w:type="dxa"/>
          </w:tcPr>
          <w:p>
            <w:pPr>
              <w:pStyle w:val="0"/>
              <w:jc w:val="center"/>
            </w:pPr>
            <w:r>
              <w:rPr>
                <w:sz w:val="20"/>
              </w:rPr>
              <w:t xml:space="preserve">170</w:t>
            </w:r>
          </w:p>
        </w:tc>
        <w:tc>
          <w:tcPr>
            <w:tcW w:w="1077" w:type="dxa"/>
          </w:tcPr>
          <w:p>
            <w:pPr>
              <w:pStyle w:val="0"/>
              <w:jc w:val="center"/>
            </w:pPr>
            <w:r>
              <w:rPr>
                <w:sz w:val="20"/>
              </w:rPr>
              <w:t xml:space="preserve">160</w:t>
            </w:r>
          </w:p>
        </w:tc>
        <w:tc>
          <w:tcPr>
            <w:tcW w:w="1077" w:type="dxa"/>
          </w:tcPr>
          <w:p>
            <w:pPr>
              <w:pStyle w:val="0"/>
              <w:jc w:val="center"/>
            </w:pPr>
            <w:r>
              <w:rPr>
                <w:sz w:val="20"/>
              </w:rPr>
              <w:t xml:space="preserve">194</w:t>
            </w:r>
          </w:p>
        </w:tc>
        <w:tc>
          <w:tcPr>
            <w:tcW w:w="1077" w:type="dxa"/>
          </w:tcPr>
          <w:p>
            <w:pPr>
              <w:pStyle w:val="0"/>
              <w:jc w:val="center"/>
            </w:pPr>
            <w:r>
              <w:rPr>
                <w:sz w:val="20"/>
              </w:rPr>
              <w:t xml:space="preserve">258</w:t>
            </w:r>
          </w:p>
        </w:tc>
        <w:tc>
          <w:tcPr>
            <w:tcW w:w="1077" w:type="dxa"/>
          </w:tcPr>
          <w:p>
            <w:pPr>
              <w:pStyle w:val="0"/>
              <w:jc w:val="center"/>
            </w:pPr>
            <w:r>
              <w:rPr>
                <w:sz w:val="20"/>
              </w:rPr>
              <w:t xml:space="preserve">256</w:t>
            </w:r>
          </w:p>
        </w:tc>
      </w:tr>
      <w:tr>
        <w:tc>
          <w:tcPr>
            <w:tcW w:w="2607" w:type="dxa"/>
          </w:tcPr>
          <w:p>
            <w:pPr>
              <w:pStyle w:val="0"/>
              <w:jc w:val="both"/>
            </w:pPr>
            <w:r>
              <w:rPr>
                <w:sz w:val="20"/>
              </w:rPr>
              <w:t xml:space="preserve">Госпитализировано с ОНМК, всего</w:t>
            </w:r>
          </w:p>
        </w:tc>
        <w:tc>
          <w:tcPr>
            <w:tcW w:w="1077" w:type="dxa"/>
          </w:tcPr>
          <w:p>
            <w:pPr>
              <w:pStyle w:val="0"/>
              <w:jc w:val="center"/>
            </w:pPr>
            <w:r>
              <w:rPr>
                <w:sz w:val="20"/>
              </w:rPr>
              <w:t xml:space="preserve">1793</w:t>
            </w:r>
          </w:p>
        </w:tc>
        <w:tc>
          <w:tcPr>
            <w:tcW w:w="1077" w:type="dxa"/>
          </w:tcPr>
          <w:p>
            <w:pPr>
              <w:pStyle w:val="0"/>
              <w:jc w:val="center"/>
            </w:pPr>
            <w:r>
              <w:rPr>
                <w:sz w:val="20"/>
              </w:rPr>
              <w:t xml:space="preserve">1982</w:t>
            </w:r>
          </w:p>
        </w:tc>
        <w:tc>
          <w:tcPr>
            <w:tcW w:w="1077" w:type="dxa"/>
          </w:tcPr>
          <w:p>
            <w:pPr>
              <w:pStyle w:val="0"/>
              <w:jc w:val="center"/>
            </w:pPr>
            <w:r>
              <w:rPr>
                <w:sz w:val="20"/>
              </w:rPr>
              <w:t xml:space="preserve">1006</w:t>
            </w:r>
          </w:p>
        </w:tc>
        <w:tc>
          <w:tcPr>
            <w:tcW w:w="1077" w:type="dxa"/>
          </w:tcPr>
          <w:p>
            <w:pPr>
              <w:pStyle w:val="0"/>
              <w:jc w:val="center"/>
            </w:pPr>
            <w:r>
              <w:rPr>
                <w:sz w:val="20"/>
              </w:rPr>
              <w:t xml:space="preserve">1965</w:t>
            </w:r>
          </w:p>
        </w:tc>
        <w:tc>
          <w:tcPr>
            <w:tcW w:w="1077" w:type="dxa"/>
          </w:tcPr>
          <w:p>
            <w:pPr>
              <w:pStyle w:val="0"/>
              <w:jc w:val="center"/>
            </w:pPr>
            <w:r>
              <w:rPr>
                <w:sz w:val="20"/>
              </w:rPr>
              <w:t xml:space="preserve">1541</w:t>
            </w:r>
          </w:p>
        </w:tc>
        <w:tc>
          <w:tcPr>
            <w:tcW w:w="1077" w:type="dxa"/>
          </w:tcPr>
          <w:p>
            <w:pPr>
              <w:pStyle w:val="0"/>
              <w:jc w:val="center"/>
            </w:pPr>
            <w:r>
              <w:rPr>
                <w:sz w:val="20"/>
              </w:rPr>
              <w:t xml:space="preserve">1493</w:t>
            </w:r>
          </w:p>
        </w:tc>
      </w:tr>
      <w:tr>
        <w:tc>
          <w:tcPr>
            <w:tcW w:w="2607" w:type="dxa"/>
          </w:tcPr>
          <w:p>
            <w:pPr>
              <w:pStyle w:val="0"/>
              <w:jc w:val="both"/>
            </w:pPr>
            <w:r>
              <w:rPr>
                <w:sz w:val="20"/>
              </w:rPr>
              <w:t xml:space="preserve">Госпитализировано с ОНМК в терапевтическом окне (4,5 ч.)</w:t>
            </w:r>
          </w:p>
        </w:tc>
        <w:tc>
          <w:tcPr>
            <w:tcW w:w="1077" w:type="dxa"/>
          </w:tcPr>
          <w:p>
            <w:pPr>
              <w:pStyle w:val="0"/>
              <w:jc w:val="center"/>
            </w:pPr>
            <w:r>
              <w:rPr>
                <w:sz w:val="20"/>
              </w:rPr>
              <w:t xml:space="preserve">325</w:t>
            </w:r>
          </w:p>
        </w:tc>
        <w:tc>
          <w:tcPr>
            <w:tcW w:w="1077" w:type="dxa"/>
          </w:tcPr>
          <w:p>
            <w:pPr>
              <w:pStyle w:val="0"/>
              <w:jc w:val="center"/>
            </w:pPr>
            <w:r>
              <w:rPr>
                <w:sz w:val="20"/>
              </w:rPr>
              <w:t xml:space="preserve">293</w:t>
            </w:r>
          </w:p>
        </w:tc>
        <w:tc>
          <w:tcPr>
            <w:tcW w:w="1077" w:type="dxa"/>
          </w:tcPr>
          <w:p>
            <w:pPr>
              <w:pStyle w:val="0"/>
              <w:jc w:val="center"/>
            </w:pPr>
            <w:r>
              <w:rPr>
                <w:sz w:val="20"/>
              </w:rPr>
              <w:t xml:space="preserve">198</w:t>
            </w:r>
          </w:p>
        </w:tc>
        <w:tc>
          <w:tcPr>
            <w:tcW w:w="1077" w:type="dxa"/>
          </w:tcPr>
          <w:p>
            <w:pPr>
              <w:pStyle w:val="0"/>
              <w:jc w:val="center"/>
            </w:pPr>
            <w:r>
              <w:rPr>
                <w:sz w:val="20"/>
              </w:rPr>
              <w:t xml:space="preserve">388</w:t>
            </w:r>
          </w:p>
        </w:tc>
        <w:tc>
          <w:tcPr>
            <w:tcW w:w="1077" w:type="dxa"/>
          </w:tcPr>
          <w:p>
            <w:pPr>
              <w:pStyle w:val="0"/>
              <w:jc w:val="center"/>
            </w:pPr>
            <w:r>
              <w:rPr>
                <w:sz w:val="20"/>
              </w:rPr>
              <w:t xml:space="preserve">359</w:t>
            </w:r>
          </w:p>
        </w:tc>
        <w:tc>
          <w:tcPr>
            <w:tcW w:w="1077" w:type="dxa"/>
          </w:tcPr>
          <w:p>
            <w:pPr>
              <w:pStyle w:val="0"/>
              <w:jc w:val="center"/>
            </w:pPr>
            <w:r>
              <w:rPr>
                <w:sz w:val="20"/>
              </w:rPr>
              <w:t xml:space="preserve">628</w:t>
            </w:r>
          </w:p>
        </w:tc>
      </w:tr>
      <w:tr>
        <w:tc>
          <w:tcPr>
            <w:tcW w:w="2607" w:type="dxa"/>
          </w:tcPr>
          <w:p>
            <w:pPr>
              <w:pStyle w:val="0"/>
              <w:jc w:val="both"/>
            </w:pPr>
            <w:r>
              <w:rPr>
                <w:sz w:val="20"/>
              </w:rPr>
              <w:t xml:space="preserve">из них пациентов с ИИ в терапевтическом окне (до 4,5 ч.)</w:t>
            </w:r>
          </w:p>
        </w:tc>
        <w:tc>
          <w:tcPr>
            <w:tcW w:w="1077" w:type="dxa"/>
          </w:tcPr>
          <w:p>
            <w:pPr>
              <w:pStyle w:val="0"/>
              <w:jc w:val="center"/>
            </w:pPr>
            <w:r>
              <w:rPr>
                <w:sz w:val="20"/>
              </w:rPr>
              <w:t xml:space="preserve">290</w:t>
            </w:r>
          </w:p>
        </w:tc>
        <w:tc>
          <w:tcPr>
            <w:tcW w:w="1077" w:type="dxa"/>
          </w:tcPr>
          <w:p>
            <w:pPr>
              <w:pStyle w:val="0"/>
              <w:jc w:val="center"/>
            </w:pPr>
            <w:r>
              <w:rPr>
                <w:sz w:val="20"/>
              </w:rPr>
              <w:t xml:space="preserve">264</w:t>
            </w:r>
          </w:p>
        </w:tc>
        <w:tc>
          <w:tcPr>
            <w:tcW w:w="1077" w:type="dxa"/>
          </w:tcPr>
          <w:p>
            <w:pPr>
              <w:pStyle w:val="0"/>
              <w:jc w:val="center"/>
            </w:pPr>
            <w:r>
              <w:rPr>
                <w:sz w:val="20"/>
              </w:rPr>
              <w:t xml:space="preserve">164</w:t>
            </w:r>
          </w:p>
        </w:tc>
        <w:tc>
          <w:tcPr>
            <w:tcW w:w="1077" w:type="dxa"/>
          </w:tcPr>
          <w:p>
            <w:pPr>
              <w:pStyle w:val="0"/>
              <w:jc w:val="center"/>
            </w:pPr>
            <w:r>
              <w:rPr>
                <w:sz w:val="20"/>
              </w:rPr>
              <w:t xml:space="preserve">300</w:t>
            </w:r>
          </w:p>
        </w:tc>
        <w:tc>
          <w:tcPr>
            <w:tcW w:w="1077" w:type="dxa"/>
          </w:tcPr>
          <w:p>
            <w:pPr>
              <w:pStyle w:val="0"/>
              <w:jc w:val="center"/>
            </w:pPr>
            <w:r>
              <w:rPr>
                <w:sz w:val="20"/>
              </w:rPr>
              <w:t xml:space="preserve">254</w:t>
            </w:r>
          </w:p>
        </w:tc>
        <w:tc>
          <w:tcPr>
            <w:tcW w:w="1077" w:type="dxa"/>
          </w:tcPr>
          <w:p>
            <w:pPr>
              <w:pStyle w:val="0"/>
              <w:jc w:val="center"/>
            </w:pPr>
            <w:r>
              <w:rPr>
                <w:sz w:val="20"/>
              </w:rPr>
              <w:t xml:space="preserve">293</w:t>
            </w:r>
          </w:p>
        </w:tc>
      </w:tr>
      <w:tr>
        <w:tc>
          <w:tcPr>
            <w:tcW w:w="2607" w:type="dxa"/>
          </w:tcPr>
          <w:p>
            <w:pPr>
              <w:pStyle w:val="0"/>
              <w:jc w:val="both"/>
            </w:pPr>
            <w:r>
              <w:rPr>
                <w:sz w:val="20"/>
              </w:rPr>
              <w:t xml:space="preserve">Выполнено КТ при инсульте у госпитализированных</w:t>
            </w:r>
          </w:p>
        </w:tc>
        <w:tc>
          <w:tcPr>
            <w:tcW w:w="1077" w:type="dxa"/>
          </w:tcPr>
          <w:p>
            <w:pPr>
              <w:pStyle w:val="0"/>
              <w:jc w:val="center"/>
            </w:pPr>
            <w:r>
              <w:rPr>
                <w:sz w:val="20"/>
              </w:rPr>
              <w:t xml:space="preserve">1790</w:t>
            </w:r>
          </w:p>
        </w:tc>
        <w:tc>
          <w:tcPr>
            <w:tcW w:w="1077" w:type="dxa"/>
          </w:tcPr>
          <w:p>
            <w:pPr>
              <w:pStyle w:val="0"/>
              <w:jc w:val="center"/>
            </w:pPr>
            <w:r>
              <w:rPr>
                <w:sz w:val="20"/>
              </w:rPr>
              <w:t xml:space="preserve">1807</w:t>
            </w:r>
          </w:p>
        </w:tc>
        <w:tc>
          <w:tcPr>
            <w:tcW w:w="1077" w:type="dxa"/>
          </w:tcPr>
          <w:p>
            <w:pPr>
              <w:pStyle w:val="0"/>
              <w:jc w:val="center"/>
            </w:pPr>
            <w:r>
              <w:rPr>
                <w:sz w:val="20"/>
              </w:rPr>
              <w:t xml:space="preserve">1006</w:t>
            </w:r>
          </w:p>
        </w:tc>
        <w:tc>
          <w:tcPr>
            <w:tcW w:w="1077" w:type="dxa"/>
          </w:tcPr>
          <w:p>
            <w:pPr>
              <w:pStyle w:val="0"/>
              <w:jc w:val="center"/>
            </w:pPr>
            <w:r>
              <w:rPr>
                <w:sz w:val="20"/>
              </w:rPr>
              <w:t xml:space="preserve">1965</w:t>
            </w:r>
          </w:p>
        </w:tc>
        <w:tc>
          <w:tcPr>
            <w:tcW w:w="1077" w:type="dxa"/>
          </w:tcPr>
          <w:p>
            <w:pPr>
              <w:pStyle w:val="0"/>
              <w:jc w:val="center"/>
            </w:pPr>
            <w:r>
              <w:rPr>
                <w:sz w:val="20"/>
              </w:rPr>
              <w:t xml:space="preserve">1541</w:t>
            </w:r>
          </w:p>
        </w:tc>
        <w:tc>
          <w:tcPr>
            <w:tcW w:w="1077" w:type="dxa"/>
          </w:tcPr>
          <w:p>
            <w:pPr>
              <w:pStyle w:val="0"/>
              <w:jc w:val="center"/>
            </w:pPr>
            <w:r>
              <w:rPr>
                <w:sz w:val="20"/>
              </w:rPr>
              <w:t xml:space="preserve">1493</w:t>
            </w:r>
          </w:p>
        </w:tc>
      </w:tr>
      <w:tr>
        <w:tc>
          <w:tcPr>
            <w:tcW w:w="2607" w:type="dxa"/>
          </w:tcPr>
          <w:p>
            <w:pPr>
              <w:pStyle w:val="0"/>
              <w:jc w:val="both"/>
            </w:pPr>
            <w:r>
              <w:rPr>
                <w:sz w:val="20"/>
              </w:rPr>
              <w:t xml:space="preserve">Число тромболизисов при ИИ</w:t>
            </w:r>
          </w:p>
        </w:tc>
        <w:tc>
          <w:tcPr>
            <w:tcW w:w="1077" w:type="dxa"/>
          </w:tcPr>
          <w:p>
            <w:pPr>
              <w:pStyle w:val="0"/>
              <w:jc w:val="center"/>
            </w:pPr>
            <w:r>
              <w:rPr>
                <w:sz w:val="20"/>
              </w:rPr>
              <w:t xml:space="preserve">147</w:t>
            </w:r>
          </w:p>
        </w:tc>
        <w:tc>
          <w:tcPr>
            <w:tcW w:w="1077" w:type="dxa"/>
          </w:tcPr>
          <w:p>
            <w:pPr>
              <w:pStyle w:val="0"/>
              <w:jc w:val="center"/>
            </w:pPr>
            <w:r>
              <w:rPr>
                <w:sz w:val="20"/>
              </w:rPr>
              <w:t xml:space="preserve">127</w:t>
            </w:r>
          </w:p>
        </w:tc>
        <w:tc>
          <w:tcPr>
            <w:tcW w:w="1077" w:type="dxa"/>
          </w:tcPr>
          <w:p>
            <w:pPr>
              <w:pStyle w:val="0"/>
              <w:jc w:val="center"/>
            </w:pPr>
            <w:r>
              <w:rPr>
                <w:sz w:val="20"/>
              </w:rPr>
              <w:t xml:space="preserve">105</w:t>
            </w:r>
          </w:p>
        </w:tc>
        <w:tc>
          <w:tcPr>
            <w:tcW w:w="1077" w:type="dxa"/>
          </w:tcPr>
          <w:p>
            <w:pPr>
              <w:pStyle w:val="0"/>
              <w:jc w:val="center"/>
            </w:pPr>
            <w:r>
              <w:rPr>
                <w:sz w:val="20"/>
              </w:rPr>
              <w:t xml:space="preserve">202</w:t>
            </w:r>
          </w:p>
        </w:tc>
        <w:tc>
          <w:tcPr>
            <w:tcW w:w="1077" w:type="dxa"/>
          </w:tcPr>
          <w:p>
            <w:pPr>
              <w:pStyle w:val="0"/>
              <w:jc w:val="center"/>
            </w:pPr>
            <w:r>
              <w:rPr>
                <w:sz w:val="20"/>
              </w:rPr>
              <w:t xml:space="preserve">172</w:t>
            </w:r>
          </w:p>
        </w:tc>
        <w:tc>
          <w:tcPr>
            <w:tcW w:w="1077" w:type="dxa"/>
          </w:tcPr>
          <w:p>
            <w:pPr>
              <w:pStyle w:val="0"/>
              <w:jc w:val="center"/>
            </w:pPr>
            <w:r>
              <w:rPr>
                <w:sz w:val="20"/>
              </w:rPr>
              <w:t xml:space="preserve">181</w:t>
            </w:r>
          </w:p>
        </w:tc>
      </w:tr>
      <w:tr>
        <w:tc>
          <w:tcPr>
            <w:tcW w:w="2607" w:type="dxa"/>
          </w:tcPr>
          <w:p>
            <w:pPr>
              <w:pStyle w:val="0"/>
              <w:jc w:val="both"/>
            </w:pPr>
            <w:r>
              <w:rPr>
                <w:sz w:val="20"/>
              </w:rPr>
              <w:t xml:space="preserve">число выездов СМП, в том числе при ОНМК</w:t>
            </w:r>
          </w:p>
        </w:tc>
        <w:tc>
          <w:tcPr>
            <w:tcW w:w="1077" w:type="dxa"/>
          </w:tcPr>
          <w:p>
            <w:pPr>
              <w:pStyle w:val="0"/>
              <w:jc w:val="center"/>
            </w:pPr>
            <w:r>
              <w:rPr>
                <w:sz w:val="20"/>
              </w:rPr>
              <w:t xml:space="preserve">3405</w:t>
            </w:r>
          </w:p>
        </w:tc>
        <w:tc>
          <w:tcPr>
            <w:tcW w:w="1077" w:type="dxa"/>
          </w:tcPr>
          <w:p>
            <w:pPr>
              <w:pStyle w:val="0"/>
              <w:jc w:val="center"/>
            </w:pPr>
            <w:r>
              <w:rPr>
                <w:sz w:val="20"/>
              </w:rPr>
              <w:t xml:space="preserve">3179</w:t>
            </w:r>
          </w:p>
        </w:tc>
        <w:tc>
          <w:tcPr>
            <w:tcW w:w="1077" w:type="dxa"/>
          </w:tcPr>
          <w:p>
            <w:pPr>
              <w:pStyle w:val="0"/>
              <w:jc w:val="center"/>
            </w:pPr>
            <w:r>
              <w:rPr>
                <w:sz w:val="20"/>
              </w:rPr>
              <w:t xml:space="preserve">3044</w:t>
            </w:r>
          </w:p>
        </w:tc>
        <w:tc>
          <w:tcPr>
            <w:tcW w:w="1077" w:type="dxa"/>
          </w:tcPr>
          <w:p>
            <w:pPr>
              <w:pStyle w:val="0"/>
              <w:jc w:val="center"/>
            </w:pPr>
            <w:r>
              <w:rPr>
                <w:sz w:val="20"/>
              </w:rPr>
              <w:t xml:space="preserve">3035</w:t>
            </w:r>
          </w:p>
        </w:tc>
        <w:tc>
          <w:tcPr>
            <w:tcW w:w="1077" w:type="dxa"/>
          </w:tcPr>
          <w:p>
            <w:pPr>
              <w:pStyle w:val="0"/>
              <w:jc w:val="center"/>
            </w:pPr>
            <w:r>
              <w:rPr>
                <w:sz w:val="20"/>
              </w:rPr>
              <w:t xml:space="preserve">4134</w:t>
            </w:r>
          </w:p>
        </w:tc>
        <w:tc>
          <w:tcPr>
            <w:tcW w:w="1077" w:type="dxa"/>
          </w:tcPr>
          <w:p>
            <w:pPr>
              <w:pStyle w:val="0"/>
              <w:jc w:val="center"/>
            </w:pPr>
            <w:r>
              <w:rPr>
                <w:sz w:val="20"/>
              </w:rPr>
              <w:t xml:space="preserve">3657</w:t>
            </w:r>
          </w:p>
        </w:tc>
      </w:tr>
    </w:tbl>
    <w:p>
      <w:pPr>
        <w:pStyle w:val="0"/>
        <w:ind w:firstLine="540"/>
        <w:jc w:val="both"/>
      </w:pPr>
      <w:r>
        <w:rPr>
          <w:sz w:val="20"/>
        </w:rPr>
      </w:r>
    </w:p>
    <w:p>
      <w:pPr>
        <w:pStyle w:val="0"/>
        <w:ind w:firstLine="540"/>
        <w:jc w:val="both"/>
      </w:pPr>
      <w:r>
        <w:rPr>
          <w:sz w:val="20"/>
        </w:rPr>
        <w:t xml:space="preserve">В целом за последние пять лет отмечается снижение показателя смертности как от болезней БСК (на 19,71%), так и от ИБС и инфаркта миокарда (на 30,14% и 25,93% соответственно).</w:t>
      </w:r>
    </w:p>
    <w:p>
      <w:pPr>
        <w:pStyle w:val="0"/>
        <w:ind w:firstLine="540"/>
        <w:jc w:val="both"/>
      </w:pPr>
      <w:r>
        <w:rPr>
          <w:sz w:val="20"/>
        </w:rPr>
      </w:r>
    </w:p>
    <w:p>
      <w:pPr>
        <w:pStyle w:val="2"/>
        <w:outlineLvl w:val="3"/>
        <w:jc w:val="center"/>
      </w:pPr>
      <w:r>
        <w:rPr>
          <w:sz w:val="20"/>
        </w:rPr>
        <w:t xml:space="preserve">3.2. Анализ заболеваемости болезнями системы кровообращения</w:t>
      </w:r>
    </w:p>
    <w:p>
      <w:pPr>
        <w:pStyle w:val="0"/>
        <w:ind w:firstLine="540"/>
        <w:jc w:val="both"/>
      </w:pPr>
      <w:r>
        <w:rPr>
          <w:sz w:val="20"/>
        </w:rPr>
      </w:r>
    </w:p>
    <w:p>
      <w:pPr>
        <w:pStyle w:val="0"/>
        <w:jc w:val="center"/>
      </w:pPr>
      <w:r>
        <w:rPr>
          <w:sz w:val="20"/>
        </w:rPr>
        <w:t xml:space="preserve">Первичная заболеваемость</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134"/>
        <w:gridCol w:w="1134"/>
        <w:gridCol w:w="1134"/>
        <w:gridCol w:w="1134"/>
        <w:gridCol w:w="1134"/>
        <w:gridCol w:w="1077"/>
      </w:tblGrid>
      <w:tr>
        <w:tc>
          <w:tcPr>
            <w:gridSpan w:val="7"/>
            <w:tcW w:w="9071" w:type="dxa"/>
          </w:tcPr>
          <w:p>
            <w:pPr>
              <w:pStyle w:val="0"/>
              <w:jc w:val="center"/>
            </w:pPr>
            <w:r>
              <w:rPr>
                <w:sz w:val="20"/>
              </w:rPr>
              <w:t xml:space="preserve">Впервые в жизни выявленные заболевания</w:t>
            </w:r>
          </w:p>
        </w:tc>
      </w:tr>
      <w:tr>
        <w:tc>
          <w:tcPr>
            <w:gridSpan w:val="7"/>
            <w:tcW w:w="9071" w:type="dxa"/>
          </w:tcPr>
          <w:p>
            <w:pPr>
              <w:pStyle w:val="0"/>
              <w:jc w:val="center"/>
            </w:pPr>
            <w:r>
              <w:rPr>
                <w:sz w:val="20"/>
              </w:rPr>
              <w:t xml:space="preserve">в абсолютных числах</w:t>
            </w:r>
          </w:p>
        </w:tc>
      </w:tr>
      <w:tr>
        <w:tc>
          <w:tcPr>
            <w:tcW w:w="2324" w:type="dxa"/>
          </w:tcPr>
          <w:p>
            <w:pPr>
              <w:pStyle w:val="0"/>
              <w:jc w:val="center"/>
            </w:pPr>
            <w:r>
              <w:rPr>
                <w:sz w:val="20"/>
              </w:rPr>
            </w:r>
          </w:p>
        </w:tc>
        <w:tc>
          <w:tcPr>
            <w:tcW w:w="1134" w:type="dxa"/>
          </w:tcPr>
          <w:p>
            <w:pPr>
              <w:pStyle w:val="0"/>
              <w:jc w:val="center"/>
            </w:pPr>
            <w:r>
              <w:rPr>
                <w:sz w:val="20"/>
              </w:rPr>
              <w:t xml:space="preserve">2017 г.</w:t>
            </w:r>
          </w:p>
        </w:tc>
        <w:tc>
          <w:tcPr>
            <w:tcW w:w="1134" w:type="dxa"/>
          </w:tcPr>
          <w:p>
            <w:pPr>
              <w:pStyle w:val="0"/>
              <w:jc w:val="center"/>
            </w:pPr>
            <w:r>
              <w:rPr>
                <w:sz w:val="20"/>
              </w:rPr>
              <w:t xml:space="preserve">2018 г.</w:t>
            </w:r>
          </w:p>
        </w:tc>
        <w:tc>
          <w:tcPr>
            <w:tcW w:w="1134" w:type="dxa"/>
          </w:tcPr>
          <w:p>
            <w:pPr>
              <w:pStyle w:val="0"/>
              <w:jc w:val="center"/>
            </w:pPr>
            <w:r>
              <w:rPr>
                <w:sz w:val="20"/>
              </w:rPr>
              <w:t xml:space="preserve">2019 г.</w:t>
            </w:r>
          </w:p>
        </w:tc>
        <w:tc>
          <w:tcPr>
            <w:tcW w:w="1134" w:type="dxa"/>
          </w:tcPr>
          <w:p>
            <w:pPr>
              <w:pStyle w:val="0"/>
              <w:jc w:val="center"/>
            </w:pPr>
            <w:r>
              <w:rPr>
                <w:sz w:val="20"/>
              </w:rPr>
              <w:t xml:space="preserve">2020 г.</w:t>
            </w:r>
          </w:p>
        </w:tc>
        <w:tc>
          <w:tcPr>
            <w:tcW w:w="1134" w:type="dxa"/>
          </w:tcPr>
          <w:p>
            <w:pPr>
              <w:pStyle w:val="0"/>
              <w:jc w:val="center"/>
            </w:pPr>
            <w:r>
              <w:rPr>
                <w:sz w:val="20"/>
              </w:rPr>
              <w:t xml:space="preserve">2021 г.</w:t>
            </w:r>
          </w:p>
        </w:tc>
        <w:tc>
          <w:tcPr>
            <w:tcW w:w="1077" w:type="dxa"/>
          </w:tcPr>
          <w:p>
            <w:pPr>
              <w:pStyle w:val="0"/>
              <w:jc w:val="center"/>
            </w:pPr>
            <w:r>
              <w:rPr>
                <w:sz w:val="20"/>
              </w:rPr>
              <w:t xml:space="preserve">2022 г.</w:t>
            </w:r>
          </w:p>
        </w:tc>
      </w:tr>
      <w:tr>
        <w:tc>
          <w:tcPr>
            <w:tcW w:w="2324" w:type="dxa"/>
          </w:tcPr>
          <w:p>
            <w:pPr>
              <w:pStyle w:val="0"/>
              <w:jc w:val="both"/>
            </w:pPr>
            <w:r>
              <w:rPr>
                <w:sz w:val="20"/>
              </w:rPr>
              <w:t xml:space="preserve">Всего заболеваний</w:t>
            </w:r>
          </w:p>
        </w:tc>
        <w:tc>
          <w:tcPr>
            <w:tcW w:w="1134" w:type="dxa"/>
          </w:tcPr>
          <w:p>
            <w:pPr>
              <w:pStyle w:val="0"/>
              <w:jc w:val="center"/>
            </w:pPr>
            <w:r>
              <w:rPr>
                <w:sz w:val="20"/>
              </w:rPr>
              <w:t xml:space="preserve">230172</w:t>
            </w:r>
          </w:p>
        </w:tc>
        <w:tc>
          <w:tcPr>
            <w:tcW w:w="1134" w:type="dxa"/>
          </w:tcPr>
          <w:p>
            <w:pPr>
              <w:pStyle w:val="0"/>
              <w:jc w:val="center"/>
            </w:pPr>
            <w:r>
              <w:rPr>
                <w:sz w:val="20"/>
              </w:rPr>
              <w:t xml:space="preserve">215914</w:t>
            </w:r>
          </w:p>
        </w:tc>
        <w:tc>
          <w:tcPr>
            <w:tcW w:w="1134" w:type="dxa"/>
          </w:tcPr>
          <w:p>
            <w:pPr>
              <w:pStyle w:val="0"/>
              <w:jc w:val="center"/>
            </w:pPr>
            <w:r>
              <w:rPr>
                <w:sz w:val="20"/>
              </w:rPr>
              <w:t xml:space="preserve">251885</w:t>
            </w:r>
          </w:p>
        </w:tc>
        <w:tc>
          <w:tcPr>
            <w:tcW w:w="1134" w:type="dxa"/>
          </w:tcPr>
          <w:p>
            <w:pPr>
              <w:pStyle w:val="0"/>
              <w:jc w:val="center"/>
            </w:pPr>
            <w:r>
              <w:rPr>
                <w:sz w:val="20"/>
              </w:rPr>
              <w:t xml:space="preserve">232861</w:t>
            </w:r>
          </w:p>
        </w:tc>
        <w:tc>
          <w:tcPr>
            <w:tcW w:w="1134" w:type="dxa"/>
          </w:tcPr>
          <w:p>
            <w:pPr>
              <w:pStyle w:val="0"/>
              <w:jc w:val="center"/>
            </w:pPr>
            <w:r>
              <w:rPr>
                <w:sz w:val="20"/>
              </w:rPr>
              <w:t xml:space="preserve">329281</w:t>
            </w:r>
          </w:p>
        </w:tc>
        <w:tc>
          <w:tcPr>
            <w:tcW w:w="1077" w:type="dxa"/>
          </w:tcPr>
          <w:p>
            <w:pPr>
              <w:pStyle w:val="0"/>
              <w:jc w:val="center"/>
            </w:pPr>
            <w:r>
              <w:rPr>
                <w:sz w:val="20"/>
              </w:rPr>
              <w:t xml:space="preserve">338617</w:t>
            </w:r>
          </w:p>
        </w:tc>
      </w:tr>
      <w:tr>
        <w:tc>
          <w:tcPr>
            <w:tcW w:w="2324" w:type="dxa"/>
          </w:tcPr>
          <w:p>
            <w:pPr>
              <w:pStyle w:val="0"/>
              <w:jc w:val="both"/>
            </w:pPr>
            <w:r>
              <w:rPr>
                <w:sz w:val="20"/>
              </w:rPr>
              <w:t xml:space="preserve">Болезни системы кровообращения</w:t>
            </w:r>
          </w:p>
        </w:tc>
        <w:tc>
          <w:tcPr>
            <w:tcW w:w="1134" w:type="dxa"/>
          </w:tcPr>
          <w:p>
            <w:pPr>
              <w:pStyle w:val="0"/>
              <w:jc w:val="center"/>
            </w:pPr>
            <w:r>
              <w:rPr>
                <w:sz w:val="20"/>
              </w:rPr>
              <w:t xml:space="preserve">6325</w:t>
            </w:r>
          </w:p>
        </w:tc>
        <w:tc>
          <w:tcPr>
            <w:tcW w:w="1134" w:type="dxa"/>
          </w:tcPr>
          <w:p>
            <w:pPr>
              <w:pStyle w:val="0"/>
              <w:jc w:val="center"/>
            </w:pPr>
            <w:r>
              <w:rPr>
                <w:sz w:val="20"/>
              </w:rPr>
              <w:t xml:space="preserve">7543</w:t>
            </w:r>
          </w:p>
        </w:tc>
        <w:tc>
          <w:tcPr>
            <w:tcW w:w="1134" w:type="dxa"/>
          </w:tcPr>
          <w:p>
            <w:pPr>
              <w:pStyle w:val="0"/>
              <w:jc w:val="center"/>
            </w:pPr>
            <w:r>
              <w:rPr>
                <w:sz w:val="20"/>
              </w:rPr>
              <w:t xml:space="preserve">8196</w:t>
            </w:r>
          </w:p>
        </w:tc>
        <w:tc>
          <w:tcPr>
            <w:tcW w:w="1134" w:type="dxa"/>
          </w:tcPr>
          <w:p>
            <w:pPr>
              <w:pStyle w:val="0"/>
              <w:jc w:val="center"/>
            </w:pPr>
            <w:r>
              <w:rPr>
                <w:sz w:val="20"/>
              </w:rPr>
              <w:t xml:space="preserve">6689</w:t>
            </w:r>
          </w:p>
        </w:tc>
        <w:tc>
          <w:tcPr>
            <w:tcW w:w="1134" w:type="dxa"/>
          </w:tcPr>
          <w:p>
            <w:pPr>
              <w:pStyle w:val="0"/>
              <w:jc w:val="center"/>
            </w:pPr>
            <w:r>
              <w:rPr>
                <w:sz w:val="20"/>
              </w:rPr>
              <w:t xml:space="preserve">8152</w:t>
            </w:r>
          </w:p>
        </w:tc>
        <w:tc>
          <w:tcPr>
            <w:tcW w:w="1077" w:type="dxa"/>
          </w:tcPr>
          <w:p>
            <w:pPr>
              <w:pStyle w:val="0"/>
              <w:jc w:val="center"/>
            </w:pPr>
            <w:r>
              <w:rPr>
                <w:sz w:val="20"/>
              </w:rPr>
              <w:t xml:space="preserve">19345</w:t>
            </w:r>
          </w:p>
        </w:tc>
      </w:tr>
      <w:tr>
        <w:tc>
          <w:tcPr>
            <w:tcW w:w="2324" w:type="dxa"/>
          </w:tcPr>
          <w:p>
            <w:pPr>
              <w:pStyle w:val="0"/>
              <w:jc w:val="both"/>
            </w:pPr>
            <w:r>
              <w:rPr>
                <w:sz w:val="20"/>
              </w:rPr>
              <w:t xml:space="preserve">в т.ч. ишемическая болезнь сердца</w:t>
            </w:r>
          </w:p>
        </w:tc>
        <w:tc>
          <w:tcPr>
            <w:tcW w:w="1134" w:type="dxa"/>
          </w:tcPr>
          <w:p>
            <w:pPr>
              <w:pStyle w:val="0"/>
              <w:jc w:val="center"/>
            </w:pPr>
            <w:r>
              <w:rPr>
                <w:sz w:val="20"/>
              </w:rPr>
              <w:t xml:space="preserve">1808</w:t>
            </w:r>
          </w:p>
        </w:tc>
        <w:tc>
          <w:tcPr>
            <w:tcW w:w="1134" w:type="dxa"/>
          </w:tcPr>
          <w:p>
            <w:pPr>
              <w:pStyle w:val="0"/>
              <w:jc w:val="center"/>
            </w:pPr>
            <w:r>
              <w:rPr>
                <w:sz w:val="20"/>
              </w:rPr>
              <w:t xml:space="preserve">2456</w:t>
            </w:r>
          </w:p>
        </w:tc>
        <w:tc>
          <w:tcPr>
            <w:tcW w:w="1134" w:type="dxa"/>
          </w:tcPr>
          <w:p>
            <w:pPr>
              <w:pStyle w:val="0"/>
              <w:jc w:val="center"/>
            </w:pPr>
            <w:r>
              <w:rPr>
                <w:sz w:val="20"/>
              </w:rPr>
              <w:t xml:space="preserve">2415</w:t>
            </w:r>
          </w:p>
        </w:tc>
        <w:tc>
          <w:tcPr>
            <w:tcW w:w="1134" w:type="dxa"/>
          </w:tcPr>
          <w:p>
            <w:pPr>
              <w:pStyle w:val="0"/>
              <w:jc w:val="center"/>
            </w:pPr>
            <w:r>
              <w:rPr>
                <w:sz w:val="20"/>
              </w:rPr>
              <w:t xml:space="preserve">1717</w:t>
            </w:r>
          </w:p>
        </w:tc>
        <w:tc>
          <w:tcPr>
            <w:tcW w:w="1134" w:type="dxa"/>
          </w:tcPr>
          <w:p>
            <w:pPr>
              <w:pStyle w:val="0"/>
              <w:jc w:val="center"/>
            </w:pPr>
            <w:r>
              <w:rPr>
                <w:sz w:val="20"/>
              </w:rPr>
              <w:t xml:space="preserve">1814</w:t>
            </w:r>
          </w:p>
        </w:tc>
        <w:tc>
          <w:tcPr>
            <w:tcW w:w="1077" w:type="dxa"/>
          </w:tcPr>
          <w:p>
            <w:pPr>
              <w:pStyle w:val="0"/>
              <w:jc w:val="center"/>
            </w:pPr>
            <w:r>
              <w:rPr>
                <w:sz w:val="20"/>
              </w:rPr>
              <w:t xml:space="preserve">7357</w:t>
            </w:r>
          </w:p>
        </w:tc>
      </w:tr>
      <w:tr>
        <w:tc>
          <w:tcPr>
            <w:tcW w:w="2324" w:type="dxa"/>
          </w:tcPr>
          <w:p>
            <w:pPr>
              <w:pStyle w:val="0"/>
              <w:jc w:val="both"/>
            </w:pPr>
            <w:r>
              <w:rPr>
                <w:sz w:val="20"/>
              </w:rPr>
              <w:t xml:space="preserve">из нее: острый инфаркт миокарда</w:t>
            </w:r>
          </w:p>
        </w:tc>
        <w:tc>
          <w:tcPr>
            <w:tcW w:w="1134" w:type="dxa"/>
          </w:tcPr>
          <w:p>
            <w:pPr>
              <w:pStyle w:val="0"/>
              <w:jc w:val="center"/>
            </w:pPr>
            <w:r>
              <w:rPr>
                <w:sz w:val="20"/>
              </w:rPr>
              <w:t xml:space="preserve">424</w:t>
            </w:r>
          </w:p>
        </w:tc>
        <w:tc>
          <w:tcPr>
            <w:tcW w:w="1134" w:type="dxa"/>
          </w:tcPr>
          <w:p>
            <w:pPr>
              <w:pStyle w:val="0"/>
              <w:jc w:val="center"/>
            </w:pPr>
            <w:r>
              <w:rPr>
                <w:sz w:val="20"/>
              </w:rPr>
              <w:t xml:space="preserve">538</w:t>
            </w:r>
          </w:p>
        </w:tc>
        <w:tc>
          <w:tcPr>
            <w:tcW w:w="1134" w:type="dxa"/>
          </w:tcPr>
          <w:p>
            <w:pPr>
              <w:pStyle w:val="0"/>
              <w:jc w:val="center"/>
            </w:pPr>
            <w:r>
              <w:rPr>
                <w:sz w:val="20"/>
              </w:rPr>
              <w:t xml:space="preserve">551</w:t>
            </w:r>
          </w:p>
        </w:tc>
        <w:tc>
          <w:tcPr>
            <w:tcW w:w="1134" w:type="dxa"/>
          </w:tcPr>
          <w:p>
            <w:pPr>
              <w:pStyle w:val="0"/>
              <w:jc w:val="center"/>
            </w:pPr>
            <w:r>
              <w:rPr>
                <w:sz w:val="20"/>
              </w:rPr>
              <w:t xml:space="preserve">577</w:t>
            </w:r>
          </w:p>
        </w:tc>
        <w:tc>
          <w:tcPr>
            <w:tcW w:w="1134" w:type="dxa"/>
          </w:tcPr>
          <w:p>
            <w:pPr>
              <w:pStyle w:val="0"/>
              <w:jc w:val="center"/>
            </w:pPr>
            <w:r>
              <w:rPr>
                <w:sz w:val="20"/>
              </w:rPr>
              <w:t xml:space="preserve">505</w:t>
            </w:r>
          </w:p>
        </w:tc>
        <w:tc>
          <w:tcPr>
            <w:tcW w:w="1077" w:type="dxa"/>
          </w:tcPr>
          <w:p>
            <w:pPr>
              <w:pStyle w:val="0"/>
              <w:jc w:val="center"/>
            </w:pPr>
            <w:r>
              <w:rPr>
                <w:sz w:val="20"/>
              </w:rPr>
              <w:t xml:space="preserve">601</w:t>
            </w:r>
          </w:p>
        </w:tc>
      </w:tr>
      <w:tr>
        <w:tc>
          <w:tcPr>
            <w:tcW w:w="2324" w:type="dxa"/>
          </w:tcPr>
          <w:p>
            <w:pPr>
              <w:pStyle w:val="0"/>
              <w:jc w:val="both"/>
            </w:pPr>
            <w:r>
              <w:rPr>
                <w:sz w:val="20"/>
              </w:rPr>
              <w:t xml:space="preserve">цереброваскулярные болезни</w:t>
            </w:r>
          </w:p>
        </w:tc>
        <w:tc>
          <w:tcPr>
            <w:tcW w:w="1134" w:type="dxa"/>
          </w:tcPr>
          <w:p>
            <w:pPr>
              <w:pStyle w:val="0"/>
              <w:jc w:val="center"/>
            </w:pPr>
            <w:r>
              <w:rPr>
                <w:sz w:val="20"/>
              </w:rPr>
              <w:t xml:space="preserve">2198</w:t>
            </w:r>
          </w:p>
        </w:tc>
        <w:tc>
          <w:tcPr>
            <w:tcW w:w="1134" w:type="dxa"/>
          </w:tcPr>
          <w:p>
            <w:pPr>
              <w:pStyle w:val="0"/>
              <w:jc w:val="center"/>
            </w:pPr>
            <w:r>
              <w:rPr>
                <w:sz w:val="20"/>
              </w:rPr>
              <w:t xml:space="preserve">2380</w:t>
            </w:r>
          </w:p>
        </w:tc>
        <w:tc>
          <w:tcPr>
            <w:tcW w:w="1134" w:type="dxa"/>
          </w:tcPr>
          <w:p>
            <w:pPr>
              <w:pStyle w:val="0"/>
              <w:jc w:val="center"/>
            </w:pPr>
            <w:r>
              <w:rPr>
                <w:sz w:val="20"/>
              </w:rPr>
              <w:t xml:space="preserve">2495</w:t>
            </w:r>
          </w:p>
        </w:tc>
        <w:tc>
          <w:tcPr>
            <w:tcW w:w="1134" w:type="dxa"/>
          </w:tcPr>
          <w:p>
            <w:pPr>
              <w:pStyle w:val="0"/>
              <w:jc w:val="center"/>
            </w:pPr>
            <w:r>
              <w:rPr>
                <w:sz w:val="20"/>
              </w:rPr>
              <w:t xml:space="preserve">2338</w:t>
            </w:r>
          </w:p>
        </w:tc>
        <w:tc>
          <w:tcPr>
            <w:tcW w:w="1134" w:type="dxa"/>
          </w:tcPr>
          <w:p>
            <w:pPr>
              <w:pStyle w:val="0"/>
              <w:jc w:val="center"/>
            </w:pPr>
            <w:r>
              <w:rPr>
                <w:sz w:val="20"/>
              </w:rPr>
              <w:t xml:space="preserve">2839</w:t>
            </w:r>
          </w:p>
        </w:tc>
        <w:tc>
          <w:tcPr>
            <w:tcW w:w="1077" w:type="dxa"/>
          </w:tcPr>
          <w:p>
            <w:pPr>
              <w:pStyle w:val="0"/>
              <w:jc w:val="center"/>
            </w:pPr>
            <w:r>
              <w:rPr>
                <w:sz w:val="20"/>
              </w:rPr>
              <w:t xml:space="preserve">3096</w:t>
            </w:r>
          </w:p>
        </w:tc>
      </w:tr>
      <w:tr>
        <w:tc>
          <w:tcPr>
            <w:tcW w:w="2324" w:type="dxa"/>
          </w:tcPr>
          <w:p>
            <w:pPr>
              <w:pStyle w:val="0"/>
              <w:jc w:val="both"/>
            </w:pPr>
            <w:r>
              <w:rPr>
                <w:sz w:val="20"/>
              </w:rPr>
              <w:t xml:space="preserve">из них: инсульты</w:t>
            </w:r>
          </w:p>
        </w:tc>
        <w:tc>
          <w:tcPr>
            <w:tcW w:w="1134" w:type="dxa"/>
          </w:tcPr>
          <w:p>
            <w:pPr>
              <w:pStyle w:val="0"/>
              <w:jc w:val="center"/>
            </w:pPr>
            <w:r>
              <w:rPr>
                <w:sz w:val="20"/>
              </w:rPr>
              <w:t xml:space="preserve">1473</w:t>
            </w:r>
          </w:p>
        </w:tc>
        <w:tc>
          <w:tcPr>
            <w:tcW w:w="1134" w:type="dxa"/>
          </w:tcPr>
          <w:p>
            <w:pPr>
              <w:pStyle w:val="0"/>
              <w:jc w:val="center"/>
            </w:pPr>
            <w:r>
              <w:rPr>
                <w:sz w:val="20"/>
              </w:rPr>
              <w:t xml:space="preserve">1436</w:t>
            </w:r>
          </w:p>
        </w:tc>
        <w:tc>
          <w:tcPr>
            <w:tcW w:w="1134" w:type="dxa"/>
          </w:tcPr>
          <w:p>
            <w:pPr>
              <w:pStyle w:val="0"/>
              <w:jc w:val="center"/>
            </w:pPr>
            <w:r>
              <w:rPr>
                <w:sz w:val="20"/>
              </w:rPr>
              <w:t xml:space="preserve">1500</w:t>
            </w:r>
          </w:p>
        </w:tc>
        <w:tc>
          <w:tcPr>
            <w:tcW w:w="1134" w:type="dxa"/>
          </w:tcPr>
          <w:p>
            <w:pPr>
              <w:pStyle w:val="0"/>
              <w:jc w:val="center"/>
            </w:pPr>
            <w:r>
              <w:rPr>
                <w:sz w:val="20"/>
              </w:rPr>
              <w:t xml:space="preserve">1739</w:t>
            </w:r>
          </w:p>
        </w:tc>
        <w:tc>
          <w:tcPr>
            <w:tcW w:w="1134" w:type="dxa"/>
          </w:tcPr>
          <w:p>
            <w:pPr>
              <w:pStyle w:val="0"/>
              <w:jc w:val="center"/>
            </w:pPr>
            <w:r>
              <w:rPr>
                <w:sz w:val="20"/>
              </w:rPr>
              <w:t xml:space="preserve">1541</w:t>
            </w:r>
          </w:p>
        </w:tc>
        <w:tc>
          <w:tcPr>
            <w:tcW w:w="1077" w:type="dxa"/>
          </w:tcPr>
          <w:p>
            <w:pPr>
              <w:pStyle w:val="0"/>
              <w:jc w:val="center"/>
            </w:pPr>
            <w:r>
              <w:rPr>
                <w:sz w:val="20"/>
              </w:rPr>
              <w:t xml:space="preserve">1493</w:t>
            </w:r>
          </w:p>
        </w:tc>
      </w:tr>
      <w:tr>
        <w:tc>
          <w:tcPr>
            <w:gridSpan w:val="6"/>
            <w:tcW w:w="7994" w:type="dxa"/>
          </w:tcPr>
          <w:p>
            <w:pPr>
              <w:pStyle w:val="0"/>
              <w:jc w:val="center"/>
            </w:pPr>
            <w:r>
              <w:rPr>
                <w:sz w:val="20"/>
              </w:rPr>
              <w:t xml:space="preserve">На 100000 человек</w:t>
            </w:r>
          </w:p>
        </w:tc>
        <w:tc>
          <w:tcPr>
            <w:tcW w:w="1077" w:type="dxa"/>
          </w:tcPr>
          <w:p>
            <w:pPr>
              <w:pStyle w:val="0"/>
              <w:jc w:val="center"/>
            </w:pPr>
            <w:r>
              <w:rPr>
                <w:sz w:val="20"/>
              </w:rPr>
            </w:r>
          </w:p>
        </w:tc>
      </w:tr>
      <w:tr>
        <w:tc>
          <w:tcPr>
            <w:tcW w:w="2324" w:type="dxa"/>
          </w:tcPr>
          <w:p>
            <w:pPr>
              <w:pStyle w:val="0"/>
              <w:jc w:val="both"/>
            </w:pPr>
            <w:r>
              <w:rPr>
                <w:sz w:val="20"/>
              </w:rPr>
            </w:r>
          </w:p>
        </w:tc>
        <w:tc>
          <w:tcPr>
            <w:tcW w:w="1134" w:type="dxa"/>
          </w:tcPr>
          <w:p>
            <w:pPr>
              <w:pStyle w:val="0"/>
              <w:jc w:val="center"/>
            </w:pPr>
            <w:r>
              <w:rPr>
                <w:sz w:val="20"/>
              </w:rPr>
              <w:t xml:space="preserve">2017 г.</w:t>
            </w:r>
          </w:p>
        </w:tc>
        <w:tc>
          <w:tcPr>
            <w:tcW w:w="1134" w:type="dxa"/>
          </w:tcPr>
          <w:p>
            <w:pPr>
              <w:pStyle w:val="0"/>
              <w:jc w:val="center"/>
            </w:pPr>
            <w:r>
              <w:rPr>
                <w:sz w:val="20"/>
              </w:rPr>
              <w:t xml:space="preserve">2018 г.</w:t>
            </w:r>
          </w:p>
        </w:tc>
        <w:tc>
          <w:tcPr>
            <w:tcW w:w="1134" w:type="dxa"/>
          </w:tcPr>
          <w:p>
            <w:pPr>
              <w:pStyle w:val="0"/>
              <w:jc w:val="center"/>
            </w:pPr>
            <w:r>
              <w:rPr>
                <w:sz w:val="20"/>
              </w:rPr>
              <w:t xml:space="preserve">2019 г.</w:t>
            </w:r>
          </w:p>
        </w:tc>
        <w:tc>
          <w:tcPr>
            <w:tcW w:w="1134" w:type="dxa"/>
          </w:tcPr>
          <w:p>
            <w:pPr>
              <w:pStyle w:val="0"/>
              <w:jc w:val="center"/>
            </w:pPr>
            <w:r>
              <w:rPr>
                <w:sz w:val="20"/>
              </w:rPr>
              <w:t xml:space="preserve">2020 г.</w:t>
            </w:r>
          </w:p>
        </w:tc>
        <w:tc>
          <w:tcPr>
            <w:tcW w:w="1134" w:type="dxa"/>
          </w:tcPr>
          <w:p>
            <w:pPr>
              <w:pStyle w:val="0"/>
              <w:jc w:val="center"/>
            </w:pPr>
            <w:r>
              <w:rPr>
                <w:sz w:val="20"/>
              </w:rPr>
              <w:t xml:space="preserve">2021 г.</w:t>
            </w:r>
          </w:p>
        </w:tc>
        <w:tc>
          <w:tcPr>
            <w:tcW w:w="1077" w:type="dxa"/>
          </w:tcPr>
          <w:p>
            <w:pPr>
              <w:pStyle w:val="0"/>
              <w:jc w:val="center"/>
            </w:pPr>
            <w:r>
              <w:rPr>
                <w:sz w:val="20"/>
              </w:rPr>
              <w:t xml:space="preserve">2022 г.</w:t>
            </w:r>
          </w:p>
        </w:tc>
      </w:tr>
      <w:tr>
        <w:tc>
          <w:tcPr>
            <w:tcW w:w="2324" w:type="dxa"/>
          </w:tcPr>
          <w:p>
            <w:pPr>
              <w:pStyle w:val="0"/>
              <w:jc w:val="both"/>
            </w:pPr>
            <w:r>
              <w:rPr>
                <w:sz w:val="20"/>
              </w:rPr>
              <w:t xml:space="preserve">Всего заболеваний</w:t>
            </w:r>
          </w:p>
        </w:tc>
        <w:tc>
          <w:tcPr>
            <w:tcW w:w="1134" w:type="dxa"/>
          </w:tcPr>
          <w:p>
            <w:pPr>
              <w:pStyle w:val="0"/>
              <w:jc w:val="center"/>
            </w:pPr>
            <w:r>
              <w:rPr>
                <w:sz w:val="20"/>
              </w:rPr>
              <w:t xml:space="preserve">53684,1</w:t>
            </w:r>
          </w:p>
        </w:tc>
        <w:tc>
          <w:tcPr>
            <w:tcW w:w="1134" w:type="dxa"/>
          </w:tcPr>
          <w:p>
            <w:pPr>
              <w:pStyle w:val="0"/>
              <w:jc w:val="center"/>
            </w:pPr>
            <w:r>
              <w:rPr>
                <w:sz w:val="20"/>
              </w:rPr>
              <w:t xml:space="preserve">49445,6</w:t>
            </w:r>
          </w:p>
        </w:tc>
        <w:tc>
          <w:tcPr>
            <w:tcW w:w="1134" w:type="dxa"/>
          </w:tcPr>
          <w:p>
            <w:pPr>
              <w:pStyle w:val="0"/>
              <w:jc w:val="center"/>
            </w:pPr>
            <w:r>
              <w:rPr>
                <w:sz w:val="20"/>
              </w:rPr>
              <w:t xml:space="preserve">56831,7</w:t>
            </w:r>
          </w:p>
        </w:tc>
        <w:tc>
          <w:tcPr>
            <w:tcW w:w="1134" w:type="dxa"/>
          </w:tcPr>
          <w:p>
            <w:pPr>
              <w:pStyle w:val="0"/>
              <w:jc w:val="center"/>
            </w:pPr>
            <w:r>
              <w:rPr>
                <w:sz w:val="20"/>
              </w:rPr>
              <w:t xml:space="preserve">51846,2</w:t>
            </w:r>
          </w:p>
        </w:tc>
        <w:tc>
          <w:tcPr>
            <w:tcW w:w="1134" w:type="dxa"/>
          </w:tcPr>
          <w:p>
            <w:pPr>
              <w:pStyle w:val="0"/>
              <w:jc w:val="center"/>
            </w:pPr>
            <w:r>
              <w:rPr>
                <w:sz w:val="20"/>
              </w:rPr>
              <w:t xml:space="preserve">64565,9</w:t>
            </w:r>
          </w:p>
        </w:tc>
        <w:tc>
          <w:tcPr>
            <w:tcW w:w="1077" w:type="dxa"/>
          </w:tcPr>
          <w:p>
            <w:pPr>
              <w:pStyle w:val="0"/>
              <w:jc w:val="center"/>
            </w:pPr>
            <w:r>
              <w:rPr>
                <w:sz w:val="20"/>
              </w:rPr>
              <w:t xml:space="preserve">64862,1</w:t>
            </w:r>
          </w:p>
        </w:tc>
      </w:tr>
      <w:tr>
        <w:tc>
          <w:tcPr>
            <w:tcW w:w="2324" w:type="dxa"/>
          </w:tcPr>
          <w:p>
            <w:pPr>
              <w:pStyle w:val="0"/>
              <w:jc w:val="both"/>
            </w:pPr>
            <w:r>
              <w:rPr>
                <w:sz w:val="20"/>
              </w:rPr>
              <w:t xml:space="preserve">Болезни системы кровообращения</w:t>
            </w:r>
          </w:p>
        </w:tc>
        <w:tc>
          <w:tcPr>
            <w:tcW w:w="1134" w:type="dxa"/>
          </w:tcPr>
          <w:p>
            <w:pPr>
              <w:pStyle w:val="0"/>
              <w:jc w:val="center"/>
            </w:pPr>
            <w:r>
              <w:rPr>
                <w:sz w:val="20"/>
              </w:rPr>
              <w:t xml:space="preserve">1475,2</w:t>
            </w:r>
          </w:p>
        </w:tc>
        <w:tc>
          <w:tcPr>
            <w:tcW w:w="1134" w:type="dxa"/>
          </w:tcPr>
          <w:p>
            <w:pPr>
              <w:pStyle w:val="0"/>
              <w:jc w:val="center"/>
            </w:pPr>
            <w:r>
              <w:rPr>
                <w:sz w:val="20"/>
              </w:rPr>
              <w:t xml:space="preserve">1727,4</w:t>
            </w:r>
          </w:p>
        </w:tc>
        <w:tc>
          <w:tcPr>
            <w:tcW w:w="1134" w:type="dxa"/>
          </w:tcPr>
          <w:p>
            <w:pPr>
              <w:pStyle w:val="0"/>
              <w:jc w:val="center"/>
            </w:pPr>
            <w:r>
              <w:rPr>
                <w:sz w:val="20"/>
              </w:rPr>
              <w:t xml:space="preserve">1849,2</w:t>
            </w:r>
          </w:p>
        </w:tc>
        <w:tc>
          <w:tcPr>
            <w:tcW w:w="1134" w:type="dxa"/>
          </w:tcPr>
          <w:p>
            <w:pPr>
              <w:pStyle w:val="0"/>
              <w:jc w:val="center"/>
            </w:pPr>
            <w:r>
              <w:rPr>
                <w:sz w:val="20"/>
              </w:rPr>
              <w:t xml:space="preserve">1489,3</w:t>
            </w:r>
          </w:p>
        </w:tc>
        <w:tc>
          <w:tcPr>
            <w:tcW w:w="1134" w:type="dxa"/>
          </w:tcPr>
          <w:p>
            <w:pPr>
              <w:pStyle w:val="0"/>
              <w:jc w:val="center"/>
            </w:pPr>
            <w:r>
              <w:rPr>
                <w:sz w:val="20"/>
              </w:rPr>
              <w:t xml:space="preserve">1598,5</w:t>
            </w:r>
          </w:p>
        </w:tc>
        <w:tc>
          <w:tcPr>
            <w:tcW w:w="1077" w:type="dxa"/>
          </w:tcPr>
          <w:p>
            <w:pPr>
              <w:pStyle w:val="0"/>
              <w:jc w:val="center"/>
            </w:pPr>
            <w:r>
              <w:rPr>
                <w:sz w:val="20"/>
              </w:rPr>
              <w:t xml:space="preserve">3705,5</w:t>
            </w:r>
          </w:p>
        </w:tc>
      </w:tr>
      <w:tr>
        <w:tc>
          <w:tcPr>
            <w:tcW w:w="2324" w:type="dxa"/>
          </w:tcPr>
          <w:p>
            <w:pPr>
              <w:pStyle w:val="0"/>
              <w:jc w:val="both"/>
            </w:pPr>
            <w:r>
              <w:rPr>
                <w:sz w:val="20"/>
              </w:rPr>
              <w:t xml:space="preserve">в т.ч. ишемическая болезнь сердца</w:t>
            </w:r>
          </w:p>
        </w:tc>
        <w:tc>
          <w:tcPr>
            <w:tcW w:w="1134" w:type="dxa"/>
          </w:tcPr>
          <w:p>
            <w:pPr>
              <w:pStyle w:val="0"/>
              <w:jc w:val="center"/>
            </w:pPr>
            <w:r>
              <w:rPr>
                <w:sz w:val="20"/>
              </w:rPr>
              <w:t xml:space="preserve">421,7</w:t>
            </w:r>
          </w:p>
        </w:tc>
        <w:tc>
          <w:tcPr>
            <w:tcW w:w="1134" w:type="dxa"/>
          </w:tcPr>
          <w:p>
            <w:pPr>
              <w:pStyle w:val="0"/>
              <w:jc w:val="center"/>
            </w:pPr>
            <w:r>
              <w:rPr>
                <w:sz w:val="20"/>
              </w:rPr>
              <w:t xml:space="preserve">562,4</w:t>
            </w:r>
          </w:p>
        </w:tc>
        <w:tc>
          <w:tcPr>
            <w:tcW w:w="1134" w:type="dxa"/>
          </w:tcPr>
          <w:p>
            <w:pPr>
              <w:pStyle w:val="0"/>
              <w:jc w:val="center"/>
            </w:pPr>
            <w:r>
              <w:rPr>
                <w:sz w:val="20"/>
              </w:rPr>
              <w:t xml:space="preserve">544,9</w:t>
            </w:r>
          </w:p>
        </w:tc>
        <w:tc>
          <w:tcPr>
            <w:tcW w:w="1134" w:type="dxa"/>
          </w:tcPr>
          <w:p>
            <w:pPr>
              <w:pStyle w:val="0"/>
              <w:jc w:val="center"/>
            </w:pPr>
            <w:r>
              <w:rPr>
                <w:sz w:val="20"/>
              </w:rPr>
              <w:t xml:space="preserve">382,3</w:t>
            </w:r>
          </w:p>
        </w:tc>
        <w:tc>
          <w:tcPr>
            <w:tcW w:w="1134" w:type="dxa"/>
          </w:tcPr>
          <w:p>
            <w:pPr>
              <w:pStyle w:val="0"/>
              <w:jc w:val="center"/>
            </w:pPr>
            <w:r>
              <w:rPr>
                <w:sz w:val="20"/>
              </w:rPr>
              <w:t xml:space="preserve">355,7</w:t>
            </w:r>
          </w:p>
        </w:tc>
        <w:tc>
          <w:tcPr>
            <w:tcW w:w="1077" w:type="dxa"/>
          </w:tcPr>
          <w:p>
            <w:pPr>
              <w:pStyle w:val="0"/>
              <w:jc w:val="center"/>
            </w:pPr>
            <w:r>
              <w:rPr>
                <w:sz w:val="20"/>
              </w:rPr>
              <w:t xml:space="preserve">1409,2</w:t>
            </w:r>
          </w:p>
        </w:tc>
      </w:tr>
      <w:tr>
        <w:tc>
          <w:tcPr>
            <w:tcW w:w="2324" w:type="dxa"/>
          </w:tcPr>
          <w:p>
            <w:pPr>
              <w:pStyle w:val="0"/>
              <w:jc w:val="both"/>
            </w:pPr>
            <w:r>
              <w:rPr>
                <w:sz w:val="20"/>
              </w:rPr>
              <w:t xml:space="preserve">из нее: острый инфаркт миокарда</w:t>
            </w:r>
          </w:p>
        </w:tc>
        <w:tc>
          <w:tcPr>
            <w:tcW w:w="1134" w:type="dxa"/>
          </w:tcPr>
          <w:p>
            <w:pPr>
              <w:pStyle w:val="0"/>
              <w:jc w:val="center"/>
            </w:pPr>
            <w:r>
              <w:rPr>
                <w:sz w:val="20"/>
              </w:rPr>
              <w:t xml:space="preserve">98,9</w:t>
            </w:r>
          </w:p>
        </w:tc>
        <w:tc>
          <w:tcPr>
            <w:tcW w:w="1134" w:type="dxa"/>
          </w:tcPr>
          <w:p>
            <w:pPr>
              <w:pStyle w:val="0"/>
              <w:jc w:val="center"/>
            </w:pPr>
            <w:r>
              <w:rPr>
                <w:sz w:val="20"/>
              </w:rPr>
              <w:t xml:space="preserve">123,2</w:t>
            </w:r>
          </w:p>
        </w:tc>
        <w:tc>
          <w:tcPr>
            <w:tcW w:w="1134" w:type="dxa"/>
          </w:tcPr>
          <w:p>
            <w:pPr>
              <w:pStyle w:val="0"/>
              <w:jc w:val="center"/>
            </w:pPr>
            <w:r>
              <w:rPr>
                <w:sz w:val="20"/>
              </w:rPr>
              <w:t xml:space="preserve">124,3</w:t>
            </w:r>
          </w:p>
        </w:tc>
        <w:tc>
          <w:tcPr>
            <w:tcW w:w="1134" w:type="dxa"/>
          </w:tcPr>
          <w:p>
            <w:pPr>
              <w:pStyle w:val="0"/>
              <w:jc w:val="center"/>
            </w:pPr>
            <w:r>
              <w:rPr>
                <w:sz w:val="20"/>
              </w:rPr>
              <w:t xml:space="preserve">128,5</w:t>
            </w:r>
          </w:p>
        </w:tc>
        <w:tc>
          <w:tcPr>
            <w:tcW w:w="1134" w:type="dxa"/>
          </w:tcPr>
          <w:p>
            <w:pPr>
              <w:pStyle w:val="0"/>
              <w:jc w:val="center"/>
            </w:pPr>
            <w:r>
              <w:rPr>
                <w:sz w:val="20"/>
              </w:rPr>
              <w:t xml:space="preserve">99,0</w:t>
            </w:r>
          </w:p>
        </w:tc>
        <w:tc>
          <w:tcPr>
            <w:tcW w:w="1077" w:type="dxa"/>
          </w:tcPr>
          <w:p>
            <w:pPr>
              <w:pStyle w:val="0"/>
              <w:jc w:val="center"/>
            </w:pPr>
            <w:r>
              <w:rPr>
                <w:sz w:val="20"/>
              </w:rPr>
              <w:t xml:space="preserve">115,1</w:t>
            </w:r>
          </w:p>
        </w:tc>
      </w:tr>
      <w:tr>
        <w:tc>
          <w:tcPr>
            <w:tcW w:w="2324" w:type="dxa"/>
          </w:tcPr>
          <w:p>
            <w:pPr>
              <w:pStyle w:val="0"/>
              <w:jc w:val="both"/>
            </w:pPr>
            <w:r>
              <w:rPr>
                <w:sz w:val="20"/>
              </w:rPr>
              <w:t xml:space="preserve">цереброваскулярные болезни</w:t>
            </w:r>
          </w:p>
        </w:tc>
        <w:tc>
          <w:tcPr>
            <w:tcW w:w="1134" w:type="dxa"/>
          </w:tcPr>
          <w:p>
            <w:pPr>
              <w:pStyle w:val="0"/>
              <w:jc w:val="center"/>
            </w:pPr>
            <w:r>
              <w:rPr>
                <w:sz w:val="20"/>
              </w:rPr>
              <w:t xml:space="preserve">512,6</w:t>
            </w:r>
          </w:p>
        </w:tc>
        <w:tc>
          <w:tcPr>
            <w:tcW w:w="1134" w:type="dxa"/>
          </w:tcPr>
          <w:p>
            <w:pPr>
              <w:pStyle w:val="0"/>
              <w:jc w:val="center"/>
            </w:pPr>
            <w:r>
              <w:rPr>
                <w:sz w:val="20"/>
              </w:rPr>
              <w:t xml:space="preserve">545,0</w:t>
            </w:r>
          </w:p>
        </w:tc>
        <w:tc>
          <w:tcPr>
            <w:tcW w:w="1134" w:type="dxa"/>
          </w:tcPr>
          <w:p>
            <w:pPr>
              <w:pStyle w:val="0"/>
              <w:jc w:val="center"/>
            </w:pPr>
            <w:r>
              <w:rPr>
                <w:sz w:val="20"/>
              </w:rPr>
              <w:t xml:space="preserve">562,9</w:t>
            </w:r>
          </w:p>
        </w:tc>
        <w:tc>
          <w:tcPr>
            <w:tcW w:w="1134" w:type="dxa"/>
          </w:tcPr>
          <w:p>
            <w:pPr>
              <w:pStyle w:val="0"/>
              <w:jc w:val="center"/>
            </w:pPr>
            <w:r>
              <w:rPr>
                <w:sz w:val="20"/>
              </w:rPr>
              <w:t xml:space="preserve">520,6</w:t>
            </w:r>
          </w:p>
        </w:tc>
        <w:tc>
          <w:tcPr>
            <w:tcW w:w="1134" w:type="dxa"/>
          </w:tcPr>
          <w:p>
            <w:pPr>
              <w:pStyle w:val="0"/>
              <w:jc w:val="center"/>
            </w:pPr>
            <w:r>
              <w:rPr>
                <w:sz w:val="20"/>
              </w:rPr>
              <w:t xml:space="preserve">556,7</w:t>
            </w:r>
          </w:p>
        </w:tc>
        <w:tc>
          <w:tcPr>
            <w:tcW w:w="1077" w:type="dxa"/>
          </w:tcPr>
          <w:p>
            <w:pPr>
              <w:pStyle w:val="0"/>
              <w:jc w:val="center"/>
            </w:pPr>
            <w:r>
              <w:rPr>
                <w:sz w:val="20"/>
              </w:rPr>
              <w:t xml:space="preserve">593,0</w:t>
            </w:r>
          </w:p>
        </w:tc>
      </w:tr>
      <w:tr>
        <w:tc>
          <w:tcPr>
            <w:tcW w:w="2324" w:type="dxa"/>
          </w:tcPr>
          <w:p>
            <w:pPr>
              <w:pStyle w:val="0"/>
              <w:jc w:val="both"/>
            </w:pPr>
            <w:r>
              <w:rPr>
                <w:sz w:val="20"/>
              </w:rPr>
              <w:t xml:space="preserve">из них: инсульты</w:t>
            </w:r>
          </w:p>
        </w:tc>
        <w:tc>
          <w:tcPr>
            <w:tcW w:w="1134" w:type="dxa"/>
          </w:tcPr>
          <w:p>
            <w:pPr>
              <w:pStyle w:val="0"/>
              <w:jc w:val="center"/>
            </w:pPr>
            <w:r>
              <w:rPr>
                <w:sz w:val="20"/>
              </w:rPr>
              <w:t xml:space="preserve">343,6</w:t>
            </w:r>
          </w:p>
        </w:tc>
        <w:tc>
          <w:tcPr>
            <w:tcW w:w="1134" w:type="dxa"/>
          </w:tcPr>
          <w:p>
            <w:pPr>
              <w:pStyle w:val="0"/>
              <w:jc w:val="center"/>
            </w:pPr>
            <w:r>
              <w:rPr>
                <w:sz w:val="20"/>
              </w:rPr>
              <w:t xml:space="preserve">328,9</w:t>
            </w:r>
          </w:p>
        </w:tc>
        <w:tc>
          <w:tcPr>
            <w:tcW w:w="1134" w:type="dxa"/>
          </w:tcPr>
          <w:p>
            <w:pPr>
              <w:pStyle w:val="0"/>
              <w:jc w:val="center"/>
            </w:pPr>
            <w:r>
              <w:rPr>
                <w:sz w:val="20"/>
              </w:rPr>
              <w:t xml:space="preserve">338,4</w:t>
            </w:r>
          </w:p>
        </w:tc>
        <w:tc>
          <w:tcPr>
            <w:tcW w:w="1134" w:type="dxa"/>
          </w:tcPr>
          <w:p>
            <w:pPr>
              <w:pStyle w:val="0"/>
              <w:jc w:val="center"/>
            </w:pPr>
            <w:r>
              <w:rPr>
                <w:sz w:val="20"/>
              </w:rPr>
              <w:t xml:space="preserve">387,2</w:t>
            </w:r>
          </w:p>
        </w:tc>
        <w:tc>
          <w:tcPr>
            <w:tcW w:w="1134" w:type="dxa"/>
          </w:tcPr>
          <w:p>
            <w:pPr>
              <w:pStyle w:val="0"/>
              <w:jc w:val="center"/>
            </w:pPr>
            <w:r>
              <w:rPr>
                <w:sz w:val="20"/>
              </w:rPr>
              <w:t xml:space="preserve">302,2</w:t>
            </w:r>
          </w:p>
        </w:tc>
        <w:tc>
          <w:tcPr>
            <w:tcW w:w="1077" w:type="dxa"/>
          </w:tcPr>
          <w:p>
            <w:pPr>
              <w:pStyle w:val="0"/>
              <w:jc w:val="center"/>
            </w:pPr>
            <w:r>
              <w:rPr>
                <w:sz w:val="20"/>
              </w:rPr>
              <w:t xml:space="preserve">286,0</w:t>
            </w:r>
          </w:p>
        </w:tc>
      </w:tr>
    </w:tbl>
    <w:p>
      <w:pPr>
        <w:pStyle w:val="0"/>
        <w:ind w:firstLine="540"/>
        <w:jc w:val="both"/>
      </w:pPr>
      <w:r>
        <w:rPr>
          <w:sz w:val="20"/>
        </w:rPr>
      </w:r>
    </w:p>
    <w:p>
      <w:pPr>
        <w:pStyle w:val="0"/>
        <w:ind w:firstLine="540"/>
        <w:jc w:val="both"/>
      </w:pPr>
      <w:r>
        <w:rPr>
          <w:sz w:val="20"/>
        </w:rPr>
        <w:t xml:space="preserve">Первичная заболеваемость населения: за пять лет максимальный рост заболеваемости отмечался в 2022 году - 338617 зарегистрированных впервые в жизни заболеваний, в 2021 году количество зарегистрированных заболеваний было меньше, чем в 2022 году, на 9608 заболеваний (или на 2,9%), что объясняется увеличением количества населения и заболеваемостью новой коронавирусной инфекцией, показатель заболеваемости увеличился на 0,5%.</w:t>
      </w:r>
    </w:p>
    <w:p>
      <w:pPr>
        <w:pStyle w:val="0"/>
        <w:spacing w:before="200" w:line-rule="auto"/>
        <w:ind w:firstLine="540"/>
        <w:jc w:val="both"/>
      </w:pPr>
      <w:r>
        <w:rPr>
          <w:sz w:val="20"/>
        </w:rPr>
        <w:t xml:space="preserve">Отмечается увеличение числа зарегистрированных случаев острого инфаркта миокарда на 96 случаев (или на 19,0%), показатель заболеваемости вырос на 16,3% по сравнению с 2021 годом. Снизилось количество зарегистрированных случаев инсультов на 48, или на 3,2%, показатель заболеваемости снизился на 5,4%.</w:t>
      </w:r>
    </w:p>
    <w:p>
      <w:pPr>
        <w:pStyle w:val="0"/>
        <w:ind w:firstLine="540"/>
        <w:jc w:val="both"/>
      </w:pPr>
      <w:r>
        <w:rPr>
          <w:sz w:val="20"/>
        </w:rPr>
      </w:r>
    </w:p>
    <w:p>
      <w:pPr>
        <w:pStyle w:val="2"/>
        <w:outlineLvl w:val="2"/>
        <w:jc w:val="center"/>
      </w:pPr>
      <w:r>
        <w:rPr>
          <w:sz w:val="20"/>
        </w:rPr>
        <w:t xml:space="preserve">4. Ресурсы инфраструктуры службы</w:t>
      </w:r>
    </w:p>
    <w:p>
      <w:pPr>
        <w:pStyle w:val="0"/>
        <w:jc w:val="center"/>
      </w:pPr>
      <w:r>
        <w:rPr>
          <w:sz w:val="20"/>
        </w:rPr>
      </w:r>
    </w:p>
    <w:p>
      <w:pPr>
        <w:pStyle w:val="0"/>
        <w:outlineLvl w:val="3"/>
        <w:ind w:firstLine="540"/>
        <w:jc w:val="both"/>
      </w:pPr>
      <w:r>
        <w:rPr>
          <w:sz w:val="20"/>
        </w:rPr>
        <w:t xml:space="preserve">4.1. В городе Севастополе в структуре службы, задействованной в выявлении, диагностике и оказании специализированной медицинской помощи пациентам с заболеваниями системы кровообращения, работают следующие учреждения здравоохранения, подведомственные Департаменту здравоохранения города Севастополя:</w:t>
      </w:r>
    </w:p>
    <w:p>
      <w:pPr>
        <w:pStyle w:val="0"/>
        <w:ind w:firstLine="540"/>
        <w:jc w:val="both"/>
      </w:pPr>
      <w:r>
        <w:rPr>
          <w:sz w:val="20"/>
        </w:rPr>
      </w:r>
    </w:p>
    <w:p>
      <w:pPr>
        <w:pStyle w:val="0"/>
        <w:ind w:firstLine="540"/>
        <w:jc w:val="both"/>
      </w:pPr>
      <w:r>
        <w:rPr>
          <w:sz w:val="20"/>
        </w:rPr>
        <w:t xml:space="preserve">ГБУЗС "Городская больница N 1 им. Н.И. Пирогова";</w:t>
      </w:r>
    </w:p>
    <w:p>
      <w:pPr>
        <w:pStyle w:val="0"/>
        <w:spacing w:before="200" w:line-rule="auto"/>
        <w:ind w:firstLine="540"/>
        <w:jc w:val="both"/>
      </w:pPr>
      <w:r>
        <w:rPr>
          <w:sz w:val="20"/>
        </w:rPr>
        <w:t xml:space="preserve">ГБУЗС "Городская больница N 4";</w:t>
      </w:r>
    </w:p>
    <w:p>
      <w:pPr>
        <w:pStyle w:val="0"/>
        <w:spacing w:before="200" w:line-rule="auto"/>
        <w:ind w:firstLine="540"/>
        <w:jc w:val="both"/>
      </w:pPr>
      <w:r>
        <w:rPr>
          <w:sz w:val="20"/>
        </w:rPr>
        <w:t xml:space="preserve">ГБУЗС "Городская больница N 9".</w:t>
      </w:r>
    </w:p>
    <w:p>
      <w:pPr>
        <w:pStyle w:val="0"/>
        <w:spacing w:before="200" w:line-rule="auto"/>
        <w:ind w:firstLine="540"/>
        <w:jc w:val="both"/>
      </w:pPr>
      <w:r>
        <w:rPr>
          <w:sz w:val="20"/>
        </w:rPr>
        <w:t xml:space="preserve">ГБУЗС "Центр экстренной медицинской помощи и медицины катастроф" представлен станциями скорой медицинской помощи.</w:t>
      </w:r>
    </w:p>
    <w:p>
      <w:pPr>
        <w:pStyle w:val="0"/>
        <w:spacing w:before="200" w:line-rule="auto"/>
        <w:ind w:firstLine="540"/>
        <w:jc w:val="both"/>
      </w:pPr>
      <w:r>
        <w:rPr>
          <w:sz w:val="20"/>
        </w:rPr>
        <w:t xml:space="preserve">В городе Севастополе функционирует один региональный сосудистый центр (далее - РСЦ), который был открыт в декабре 2016 г. и является структурным подразделением ГБУЗС "Городская больница N 1 им. Н.И. Пирогова". Особенностью города Севастополя является отсутствие первично-сосудистого отделения (далее - ПСО) в связи с "малым плечом" доезда бригад скорой медицинской помощи.</w:t>
      </w:r>
    </w:p>
    <w:p>
      <w:pPr>
        <w:pStyle w:val="0"/>
        <w:spacing w:before="200" w:line-rule="auto"/>
        <w:ind w:firstLine="540"/>
        <w:jc w:val="both"/>
      </w:pPr>
      <w:r>
        <w:rPr>
          <w:sz w:val="20"/>
        </w:rPr>
        <w:t xml:space="preserve">РСЦ состоит из:</w:t>
      </w:r>
    </w:p>
    <w:p>
      <w:pPr>
        <w:pStyle w:val="0"/>
        <w:spacing w:before="200" w:line-rule="auto"/>
        <w:ind w:firstLine="540"/>
        <w:jc w:val="both"/>
      </w:pPr>
      <w:r>
        <w:rPr>
          <w:sz w:val="20"/>
        </w:rPr>
        <w:t xml:space="preserve">- приемного отделения с постом, двумя смотровыми и процедурным кабинетом;</w:t>
      </w:r>
    </w:p>
    <w:p>
      <w:pPr>
        <w:pStyle w:val="0"/>
        <w:spacing w:before="200" w:line-rule="auto"/>
        <w:ind w:firstLine="540"/>
        <w:jc w:val="both"/>
      </w:pPr>
      <w:r>
        <w:rPr>
          <w:sz w:val="20"/>
        </w:rPr>
        <w:t xml:space="preserve">- отделения анестезиологии и реанимации на 12 коек с противошоковой палатой;</w:t>
      </w:r>
    </w:p>
    <w:p>
      <w:pPr>
        <w:pStyle w:val="0"/>
        <w:spacing w:before="200" w:line-rule="auto"/>
        <w:ind w:firstLine="540"/>
        <w:jc w:val="both"/>
      </w:pPr>
      <w:r>
        <w:rPr>
          <w:sz w:val="20"/>
        </w:rPr>
        <w:t xml:space="preserve">- отделения сердечно-сосудистой хирургии на 28 коек, из которых 5 - сосудистой хирургии, 13 - кардиохирургического профиля;</w:t>
      </w:r>
    </w:p>
    <w:p>
      <w:pPr>
        <w:pStyle w:val="0"/>
        <w:spacing w:before="200" w:line-rule="auto"/>
        <w:ind w:firstLine="540"/>
        <w:jc w:val="both"/>
      </w:pPr>
      <w:r>
        <w:rPr>
          <w:sz w:val="20"/>
        </w:rPr>
        <w:t xml:space="preserve">- отделения нейрохирургии на 30 коек;</w:t>
      </w:r>
    </w:p>
    <w:p>
      <w:pPr>
        <w:pStyle w:val="0"/>
        <w:spacing w:before="200" w:line-rule="auto"/>
        <w:ind w:firstLine="540"/>
        <w:jc w:val="both"/>
      </w:pPr>
      <w:r>
        <w:rPr>
          <w:sz w:val="20"/>
        </w:rPr>
        <w:t xml:space="preserve">- отделения неврологии на 73 койки, из которых 60 - коек для больных с ОНМК, 7 - неврологических коек и 6 - коек палаты интенсивной терапии (далее - ПИТ);</w:t>
      </w:r>
    </w:p>
    <w:p>
      <w:pPr>
        <w:pStyle w:val="0"/>
        <w:spacing w:before="200" w:line-rule="auto"/>
        <w:ind w:firstLine="540"/>
        <w:jc w:val="both"/>
      </w:pPr>
      <w:r>
        <w:rPr>
          <w:sz w:val="20"/>
        </w:rPr>
        <w:t xml:space="preserve">- отделения рентгенохирургических методов диагностики и лечения;</w:t>
      </w:r>
    </w:p>
    <w:p>
      <w:pPr>
        <w:pStyle w:val="0"/>
        <w:spacing w:before="200" w:line-rule="auto"/>
        <w:ind w:firstLine="540"/>
        <w:jc w:val="both"/>
      </w:pPr>
      <w:r>
        <w:rPr>
          <w:sz w:val="20"/>
        </w:rPr>
        <w:t xml:space="preserve">- операционного блока из трех операционных с круглосуточным режимом работы;</w:t>
      </w:r>
    </w:p>
    <w:p>
      <w:pPr>
        <w:pStyle w:val="0"/>
        <w:spacing w:before="200" w:line-rule="auto"/>
        <w:ind w:firstLine="540"/>
        <w:jc w:val="both"/>
      </w:pPr>
      <w:r>
        <w:rPr>
          <w:sz w:val="20"/>
        </w:rPr>
        <w:t xml:space="preserve">- диагностической лаборатории с экспресс-методами диагностики в круглосуточном режиме работы;</w:t>
      </w:r>
    </w:p>
    <w:p>
      <w:pPr>
        <w:pStyle w:val="0"/>
        <w:spacing w:before="200" w:line-rule="auto"/>
        <w:ind w:firstLine="540"/>
        <w:jc w:val="both"/>
      </w:pPr>
      <w:r>
        <w:rPr>
          <w:sz w:val="20"/>
        </w:rPr>
        <w:t xml:space="preserve">- кабинетов УЗИ-диагностики, Rg-диагностики и компьютерной томографии.</w:t>
      </w:r>
    </w:p>
    <w:p>
      <w:pPr>
        <w:pStyle w:val="0"/>
        <w:spacing w:before="200" w:line-rule="auto"/>
        <w:ind w:firstLine="540"/>
        <w:jc w:val="both"/>
      </w:pPr>
      <w:r>
        <w:rPr>
          <w:sz w:val="20"/>
        </w:rPr>
        <w:t xml:space="preserve">В данных медицинских организациях функционируют структурные подразделения, осуществляющие деятельность по следующим профилям.</w:t>
      </w:r>
    </w:p>
    <w:p>
      <w:pPr>
        <w:pStyle w:val="0"/>
        <w:spacing w:before="200" w:line-rule="auto"/>
        <w:ind w:firstLine="540"/>
        <w:jc w:val="both"/>
      </w:pPr>
      <w:r>
        <w:rPr>
          <w:sz w:val="20"/>
        </w:rPr>
        <w:t xml:space="preserve">Кардиологическая помощь взрослому населению оказывается:</w:t>
      </w:r>
    </w:p>
    <w:p>
      <w:pPr>
        <w:pStyle w:val="0"/>
        <w:spacing w:before="200" w:line-rule="auto"/>
        <w:ind w:firstLine="540"/>
        <w:jc w:val="both"/>
      </w:pPr>
      <w:r>
        <w:rPr>
          <w:sz w:val="20"/>
        </w:rPr>
        <w:t xml:space="preserve">1. Службой скорой медицинской помощи, имеющей в составе девять подстанций, расположенных в разных районах города, с учетом обеспечения 20-минутного доезда на экстренный вызов (ежесуточно дежурит от 24 до 30 бригад).</w:t>
      </w:r>
    </w:p>
    <w:p>
      <w:pPr>
        <w:pStyle w:val="0"/>
        <w:spacing w:before="200" w:line-rule="auto"/>
        <w:ind w:firstLine="540"/>
        <w:jc w:val="both"/>
      </w:pPr>
      <w:r>
        <w:rPr>
          <w:sz w:val="20"/>
        </w:rPr>
        <w:t xml:space="preserve">2. В поликлиниках трех городских больниц. В состав ГБУЗС "Городская больница N 1 им. Н.И. Пирогова" входят семь поликлиник и амбулатория семейной медицины, в ГБУЗС "Городская больница N 4" входит одна поликлиника, в ГБУЗС "Городская больница N 9" входят две поликлиники.</w:t>
      </w:r>
    </w:p>
    <w:p>
      <w:pPr>
        <w:pStyle w:val="0"/>
        <w:spacing w:before="200" w:line-rule="auto"/>
        <w:ind w:firstLine="540"/>
        <w:jc w:val="both"/>
      </w:pPr>
      <w:r>
        <w:rPr>
          <w:sz w:val="20"/>
        </w:rPr>
        <w:t xml:space="preserve">3. На койках общетерапевтического профиля круглосуточного и дневного стационаров городских больниц: в ГБУЗС "Городская больница N 1 им. Н.И. Пирогова" - на 112 койках, ГБУЗС "Городская больница N 4" - на 64 койках, ГБУЗС "Городская больница N 9" - на 44 и 11 койках соответственно.</w:t>
      </w:r>
    </w:p>
    <w:p>
      <w:pPr>
        <w:pStyle w:val="0"/>
        <w:spacing w:before="200" w:line-rule="auto"/>
        <w:ind w:firstLine="540"/>
        <w:jc w:val="both"/>
      </w:pPr>
      <w:r>
        <w:rPr>
          <w:sz w:val="20"/>
        </w:rPr>
        <w:t xml:space="preserve">4. На девяти койках кардиологического дневного стационара при амбулатории семейной медицины ГБУЗС "Городская больница N 1 им. Н.И. Пирогова".</w:t>
      </w:r>
    </w:p>
    <w:p>
      <w:pPr>
        <w:pStyle w:val="0"/>
        <w:spacing w:before="200" w:line-rule="auto"/>
        <w:ind w:firstLine="540"/>
        <w:jc w:val="both"/>
      </w:pPr>
      <w:r>
        <w:rPr>
          <w:sz w:val="20"/>
        </w:rPr>
        <w:t xml:space="preserve">5. В специализированном кардиологическом отделении стационара ГБУЗС "Городская больница N 1 им. Н.И. Пирогова". Мощность отделения - 86 коек, включая шесть коек ПИТ.</w:t>
      </w:r>
    </w:p>
    <w:p>
      <w:pPr>
        <w:pStyle w:val="0"/>
        <w:spacing w:before="200" w:line-rule="auto"/>
        <w:ind w:firstLine="540"/>
        <w:jc w:val="both"/>
      </w:pPr>
      <w:r>
        <w:rPr>
          <w:sz w:val="20"/>
        </w:rPr>
        <w:t xml:space="preserve">6. В отделении кардиохирургии РСЦ (в состав отделения входят 15 кардиологических (инфарктных) коек, 13 - кардиохирургических, 5 - сосудистых и 12 коек ПИТ).</w:t>
      </w:r>
    </w:p>
    <w:p>
      <w:pPr>
        <w:pStyle w:val="0"/>
        <w:spacing w:before="200" w:line-rule="auto"/>
        <w:ind w:firstLine="540"/>
        <w:jc w:val="both"/>
      </w:pPr>
      <w:r>
        <w:rPr>
          <w:sz w:val="20"/>
        </w:rPr>
        <w:t xml:space="preserve">7. Пациенты, доставленные скорой медицинской помощью с ОКС в тяжелом состоянии в ГБУЗС "Городская больница N 1 им. Н.И. Пирогова", вначале осматриваются в противошоковой палате РСЦ после проведенного ЧКВ, при необходимости дальше госпитализируются в ОАР РСЦ. Данное отделение развернуто на 12 коек и является единственным отделением в городе Севастополе, оказывающим помощь пациентам в тяжелом состоянии с ОКС, ОНМК или тяжелыми нарушениями ритма и проводимости. Обеспеченность на 10 тыс. населения реанимационными койками составляет 0,27.</w:t>
      </w:r>
    </w:p>
    <w:p>
      <w:pPr>
        <w:pStyle w:val="0"/>
        <w:spacing w:before="200" w:line-rule="auto"/>
        <w:ind w:firstLine="540"/>
        <w:jc w:val="both"/>
      </w:pPr>
      <w:r>
        <w:rPr>
          <w:sz w:val="20"/>
        </w:rPr>
        <w:t xml:space="preserve">8. В настоящее время стресс-эхокардиография с физической нагрузкой с использованием велоэргометра проводится на базе Регионального сосудистого центра ГБУЗС "Городская больница N 1 им. Н.И. Пирогова". Проведение стресс-эхокардиографии в амбулаторном звене в настоящее время не представляется возможным в связи с отсутствием соответствующих условий и оснащения.</w:t>
      </w:r>
    </w:p>
    <w:p>
      <w:pPr>
        <w:pStyle w:val="0"/>
        <w:spacing w:before="200" w:line-rule="auto"/>
        <w:ind w:firstLine="540"/>
        <w:jc w:val="both"/>
      </w:pPr>
      <w:r>
        <w:rPr>
          <w:sz w:val="20"/>
        </w:rPr>
        <w:t xml:space="preserve">Таким образом, общее число кардиологических коек в регионе - 125.</w:t>
      </w:r>
    </w:p>
    <w:p>
      <w:pPr>
        <w:pStyle w:val="0"/>
        <w:spacing w:before="200" w:line-rule="auto"/>
        <w:ind w:firstLine="540"/>
        <w:jc w:val="both"/>
      </w:pPr>
      <w:r>
        <w:rPr>
          <w:sz w:val="20"/>
        </w:rPr>
        <w:t xml:space="preserve">Общее число коек ПИТ кардиологического профиля в городе Севастополе - 12.</w:t>
      </w:r>
    </w:p>
    <w:p>
      <w:pPr>
        <w:pStyle w:val="0"/>
        <w:spacing w:before="200" w:line-rule="auto"/>
        <w:ind w:firstLine="540"/>
        <w:jc w:val="both"/>
      </w:pPr>
      <w:r>
        <w:rPr>
          <w:sz w:val="20"/>
        </w:rPr>
        <w:t xml:space="preserve">Кардиологическое отделение ГБУЗС "Городская больница N 1 им. Н.И. Пирогова" основано в 1973 году как специализированное отделение для оказания помощи больным с острым инфарктом миокарда. Мощность отделения - 86 коек, включая шесть коек ПИТ. Работа отделения, штатное расписание, оснащение организованы в соответствии с </w:t>
      </w:r>
      <w:hyperlink w:history="0" r:id="rId630" w:tooltip="Приказ Минздрава России от 15.11.2012 N 918н (ред. от 21.02.2020) &quot;Об утверждении порядка оказания медицинской помощи больным с сердечно-сосудистыми заболеваниями&quot; (Зарегистрировано в Минюсте России 29.12.2012 N 26483) {КонсультантПлюс}">
        <w:r>
          <w:rPr>
            <w:sz w:val="20"/>
            <w:color w:val="0000ff"/>
          </w:rPr>
          <w:t xml:space="preserve">приказом</w:t>
        </w:r>
      </w:hyperlink>
      <w:r>
        <w:rPr>
          <w:sz w:val="20"/>
        </w:rPr>
        <w:t xml:space="preserve"> Министерства здравоохранения Российской Федерации от 15.11.2012 N 918н "Об утверждении Порядка оказания медицинской помощи больным с сердечно-сосудистыми заболеваниями". Отделение оказывает медицинскую помощь больным с патологией сердечно-сосудистой системы в экстренной, неотложной и плановой формах.</w:t>
      </w:r>
    </w:p>
    <w:p>
      <w:pPr>
        <w:pStyle w:val="0"/>
        <w:spacing w:before="200" w:line-rule="auto"/>
        <w:ind w:firstLine="540"/>
        <w:jc w:val="both"/>
      </w:pPr>
      <w:r>
        <w:rPr>
          <w:sz w:val="20"/>
        </w:rPr>
        <w:t xml:space="preserve">Отделение осуществляет следующие функции:</w:t>
      </w:r>
    </w:p>
    <w:p>
      <w:pPr>
        <w:pStyle w:val="0"/>
        <w:spacing w:before="200" w:line-rule="auto"/>
        <w:ind w:firstLine="540"/>
        <w:jc w:val="both"/>
      </w:pPr>
      <w:r>
        <w:rPr>
          <w:sz w:val="20"/>
        </w:rPr>
        <w:t xml:space="preserve">1. Оказание специализированной медицинской помощи больным:</w:t>
      </w:r>
    </w:p>
    <w:p>
      <w:pPr>
        <w:pStyle w:val="0"/>
        <w:spacing w:before="200" w:line-rule="auto"/>
        <w:ind w:firstLine="540"/>
        <w:jc w:val="both"/>
      </w:pPr>
      <w:r>
        <w:rPr>
          <w:sz w:val="20"/>
        </w:rPr>
        <w:t xml:space="preserve">а) острым коронарным синдромом (с подъемом и без подъема сегмента ST, острый инфаркт миокарда и нестабильная стенокардия);</w:t>
      </w:r>
    </w:p>
    <w:p>
      <w:pPr>
        <w:pStyle w:val="0"/>
        <w:spacing w:before="200" w:line-rule="auto"/>
        <w:ind w:firstLine="540"/>
        <w:jc w:val="both"/>
      </w:pPr>
      <w:r>
        <w:rPr>
          <w:sz w:val="20"/>
        </w:rPr>
        <w:t xml:space="preserve">б) нарушением ритма и проводимости сердца, сопровождающимся нестабильной гемодинамикой и (или) прогрессированием коронарной, и (или) сердечной, и (или) церебральной сосудистой недостаточности;</w:t>
      </w:r>
    </w:p>
    <w:p>
      <w:pPr>
        <w:pStyle w:val="0"/>
        <w:spacing w:before="200" w:line-rule="auto"/>
        <w:ind w:firstLine="540"/>
        <w:jc w:val="both"/>
      </w:pPr>
      <w:r>
        <w:rPr>
          <w:sz w:val="20"/>
        </w:rPr>
        <w:t xml:space="preserve">в) острой сердечной недостаточностью (кардиогенный шок, сердечная астма, отек легких, сосудистый коллапс);</w:t>
      </w:r>
    </w:p>
    <w:p>
      <w:pPr>
        <w:pStyle w:val="0"/>
        <w:spacing w:before="200" w:line-rule="auto"/>
        <w:ind w:firstLine="540"/>
        <w:jc w:val="both"/>
      </w:pPr>
      <w:r>
        <w:rPr>
          <w:sz w:val="20"/>
        </w:rPr>
        <w:t xml:space="preserve">г) синкопальными состояниями аритмической, сосудистой или неясной природы; другими формами острой сердечной недостаточности;</w:t>
      </w:r>
    </w:p>
    <w:p>
      <w:pPr>
        <w:pStyle w:val="0"/>
        <w:spacing w:before="200" w:line-rule="auto"/>
        <w:ind w:firstLine="540"/>
        <w:jc w:val="both"/>
      </w:pPr>
      <w:r>
        <w:rPr>
          <w:sz w:val="20"/>
        </w:rPr>
        <w:t xml:space="preserve">д) хроническими формами ишемической болезни сердца в случае утяжеления ее течения или требующими подготовки к проведению эндоваскулярных методов диагностики и лечения, а также требующими диагностических услуг, которые могут быть выполнены только в стационарных условиях;</w:t>
      </w:r>
    </w:p>
    <w:p>
      <w:pPr>
        <w:pStyle w:val="0"/>
        <w:spacing w:before="200" w:line-rule="auto"/>
        <w:ind w:firstLine="540"/>
        <w:jc w:val="both"/>
      </w:pPr>
      <w:r>
        <w:rPr>
          <w:sz w:val="20"/>
        </w:rPr>
        <w:t xml:space="preserve">е) острым и хроническим миокардитом в период обострения;</w:t>
      </w:r>
    </w:p>
    <w:p>
      <w:pPr>
        <w:pStyle w:val="0"/>
        <w:spacing w:before="200" w:line-rule="auto"/>
        <w:ind w:firstLine="540"/>
        <w:jc w:val="both"/>
      </w:pPr>
      <w:r>
        <w:rPr>
          <w:sz w:val="20"/>
        </w:rPr>
        <w:t xml:space="preserve">ж) кардиомиопатиями, требующими выполнения лечебно-диагностических процедур в стационарных условиях;</w:t>
      </w:r>
    </w:p>
    <w:p>
      <w:pPr>
        <w:pStyle w:val="0"/>
        <w:spacing w:before="200" w:line-rule="auto"/>
        <w:ind w:firstLine="540"/>
        <w:jc w:val="both"/>
      </w:pPr>
      <w:r>
        <w:rPr>
          <w:sz w:val="20"/>
        </w:rPr>
        <w:t xml:space="preserve">з) гипертоническим кризом, в том числе осложненным острой сердечной недостаточностью, нарушениями ритма и проводимости сердца, энцефалопатией, продолжающимся носовым кровотечением;</w:t>
      </w:r>
    </w:p>
    <w:p>
      <w:pPr>
        <w:pStyle w:val="0"/>
        <w:spacing w:before="200" w:line-rule="auto"/>
        <w:ind w:firstLine="540"/>
        <w:jc w:val="both"/>
      </w:pPr>
      <w:r>
        <w:rPr>
          <w:sz w:val="20"/>
        </w:rPr>
        <w:t xml:space="preserve">и) легочной гипертензией в период декомпенсации или требующей выполнения диагностических процедур в стационарных условиях;</w:t>
      </w:r>
    </w:p>
    <w:p>
      <w:pPr>
        <w:pStyle w:val="0"/>
        <w:spacing w:before="200" w:line-rule="auto"/>
        <w:ind w:firstLine="540"/>
        <w:jc w:val="both"/>
      </w:pPr>
      <w:r>
        <w:rPr>
          <w:sz w:val="20"/>
        </w:rPr>
        <w:t xml:space="preserve">к) нарушениями сердечного ритма и проводимости, требующими проведения диагностических и лечебных процедур в стационарных условиях;</w:t>
      </w:r>
    </w:p>
    <w:p>
      <w:pPr>
        <w:pStyle w:val="0"/>
        <w:spacing w:before="200" w:line-rule="auto"/>
        <w:ind w:firstLine="540"/>
        <w:jc w:val="both"/>
      </w:pPr>
      <w:r>
        <w:rPr>
          <w:sz w:val="20"/>
        </w:rPr>
        <w:t xml:space="preserve">л) хронической сердечной недостаточностью в стадии декомпенсации;</w:t>
      </w:r>
    </w:p>
    <w:p>
      <w:pPr>
        <w:pStyle w:val="0"/>
        <w:spacing w:before="200" w:line-rule="auto"/>
        <w:ind w:firstLine="540"/>
        <w:jc w:val="both"/>
      </w:pPr>
      <w:r>
        <w:rPr>
          <w:sz w:val="20"/>
        </w:rPr>
        <w:t xml:space="preserve">м) перикардитом;</w:t>
      </w:r>
    </w:p>
    <w:p>
      <w:pPr>
        <w:pStyle w:val="0"/>
        <w:spacing w:before="200" w:line-rule="auto"/>
        <w:ind w:firstLine="540"/>
        <w:jc w:val="both"/>
      </w:pPr>
      <w:r>
        <w:rPr>
          <w:sz w:val="20"/>
        </w:rPr>
        <w:t xml:space="preserve">н) инфекционным эндокардитом, в том числе требующим продолжения лечения после оказания высокотехнологичной медицинской помощи;</w:t>
      </w:r>
    </w:p>
    <w:p>
      <w:pPr>
        <w:pStyle w:val="0"/>
        <w:spacing w:before="200" w:line-rule="auto"/>
        <w:ind w:firstLine="540"/>
        <w:jc w:val="both"/>
      </w:pPr>
      <w:r>
        <w:rPr>
          <w:sz w:val="20"/>
        </w:rPr>
        <w:t xml:space="preserve">о) требующим продолжения лечения после перенесенных оперативных вмешательств на сердце;</w:t>
      </w:r>
    </w:p>
    <w:p>
      <w:pPr>
        <w:pStyle w:val="0"/>
        <w:spacing w:before="200" w:line-rule="auto"/>
        <w:ind w:firstLine="540"/>
        <w:jc w:val="both"/>
      </w:pPr>
      <w:r>
        <w:rPr>
          <w:sz w:val="20"/>
        </w:rPr>
        <w:t xml:space="preserve">п) нуждающимся в продолжении лечения после перевода из РСЦ.</w:t>
      </w:r>
    </w:p>
    <w:p>
      <w:pPr>
        <w:pStyle w:val="0"/>
        <w:spacing w:before="200" w:line-rule="auto"/>
        <w:ind w:firstLine="540"/>
        <w:jc w:val="both"/>
      </w:pPr>
      <w:r>
        <w:rPr>
          <w:sz w:val="20"/>
        </w:rPr>
        <w:t xml:space="preserve">2. Проведение первого этапа медицинской реабилитации пациентов.</w:t>
      </w:r>
    </w:p>
    <w:p>
      <w:pPr>
        <w:pStyle w:val="0"/>
        <w:spacing w:before="200" w:line-rule="auto"/>
        <w:ind w:firstLine="540"/>
        <w:jc w:val="both"/>
      </w:pPr>
      <w:r>
        <w:rPr>
          <w:sz w:val="20"/>
        </w:rPr>
        <w:t xml:space="preserve">3. Оказание консультативной помощи врачам других подразделений медицинской организации по вопросам профилактики, диагностики и лечения сердечно-сосудистых заболеваний.</w:t>
      </w:r>
    </w:p>
    <w:p>
      <w:pPr>
        <w:pStyle w:val="0"/>
        <w:spacing w:before="200" w:line-rule="auto"/>
        <w:ind w:firstLine="540"/>
        <w:jc w:val="both"/>
      </w:pPr>
      <w:r>
        <w:rPr>
          <w:sz w:val="20"/>
        </w:rPr>
        <w:t xml:space="preserve">4. Разработка мер повышения качества лечебно-диагностической работы в отделении.</w:t>
      </w:r>
    </w:p>
    <w:p>
      <w:pPr>
        <w:pStyle w:val="0"/>
        <w:spacing w:before="200" w:line-rule="auto"/>
        <w:ind w:firstLine="540"/>
        <w:jc w:val="both"/>
      </w:pPr>
      <w:r>
        <w:rPr>
          <w:sz w:val="20"/>
        </w:rPr>
        <w:t xml:space="preserve">5. Снижение больничной летальности от сердечно-сосудистых заболеваний.</w:t>
      </w:r>
    </w:p>
    <w:p>
      <w:pPr>
        <w:pStyle w:val="0"/>
        <w:spacing w:before="200" w:line-rule="auto"/>
        <w:ind w:firstLine="540"/>
        <w:jc w:val="both"/>
      </w:pPr>
      <w:r>
        <w:rPr>
          <w:sz w:val="20"/>
        </w:rPr>
        <w:t xml:space="preserve">6. Освоение и внедрение в практику новых эффективных методов профилактики, диагностики, лечения и реабилитации пациентов.</w:t>
      </w:r>
    </w:p>
    <w:p>
      <w:pPr>
        <w:pStyle w:val="0"/>
        <w:spacing w:before="200" w:line-rule="auto"/>
        <w:ind w:firstLine="540"/>
        <w:jc w:val="both"/>
      </w:pPr>
      <w:r>
        <w:rPr>
          <w:sz w:val="20"/>
        </w:rPr>
        <w:t xml:space="preserve">7. Проведение просветительской работы с больными по вопросам профилактики сердечно-сосудистых заболеваний.</w:t>
      </w:r>
    </w:p>
    <w:p>
      <w:pPr>
        <w:pStyle w:val="0"/>
        <w:spacing w:before="200" w:line-rule="auto"/>
        <w:ind w:firstLine="540"/>
        <w:jc w:val="both"/>
      </w:pPr>
      <w:r>
        <w:rPr>
          <w:sz w:val="20"/>
        </w:rPr>
        <w:t xml:space="preserve">8. Проведение экспертизы временной нетрудоспособности.</w:t>
      </w:r>
    </w:p>
    <w:p>
      <w:pPr>
        <w:pStyle w:val="0"/>
        <w:spacing w:before="200" w:line-rule="auto"/>
        <w:ind w:firstLine="540"/>
        <w:jc w:val="both"/>
      </w:pPr>
      <w:r>
        <w:rPr>
          <w:sz w:val="20"/>
        </w:rPr>
        <w:t xml:space="preserve">9. Обеспечение преемственности с другими медицинскими организациями при оказании медицинской помощи больным.</w:t>
      </w:r>
    </w:p>
    <w:p>
      <w:pPr>
        <w:pStyle w:val="0"/>
        <w:spacing w:before="200" w:line-rule="auto"/>
        <w:ind w:firstLine="540"/>
        <w:jc w:val="both"/>
      </w:pPr>
      <w:r>
        <w:rPr>
          <w:sz w:val="20"/>
        </w:rPr>
        <w:t xml:space="preserve">Кардиохирургическое отделение является структурным подразделением РСЦ ГБУЗС "Городская больница N 1 им. Н.И. Пирогова" и представлено 36-коечным многопрофильным отделением. Расположено на втором этаже четырехэтажного корпуса РСЦ. Является базовым, многопрофильным городским отделением, оказывающим специализированную, в том числе высокотехнологичную, медицинскую помощь пациентам с острым коронарным синдромом как в экстренном, так и в плановом порядке, а также взрослому населению города Севастополя с кардиохирургической патологией на основе стандартов и клинических рекомендаций.</w:t>
      </w:r>
    </w:p>
    <w:p>
      <w:pPr>
        <w:pStyle w:val="0"/>
        <w:spacing w:before="200" w:line-rule="auto"/>
        <w:ind w:firstLine="540"/>
        <w:jc w:val="both"/>
      </w:pPr>
      <w:r>
        <w:rPr>
          <w:sz w:val="20"/>
        </w:rPr>
        <w:t xml:space="preserve">В своей работе отделение кардиохирургии функционально взаимодействует со всеми отделениями (терапевтического и хирургического профиля) РСЦ и стационара ГБУЗС "Городская больница N 1 им. Н.И. Пирогова", клинической лабораторией, рентгенологическим отделением, ОАРИТ и наиболее тесно - с отделением рентген-эндоваскулярных методов диагностики и лечения (которое не располагает своим коечным фондом). Из 36 коек отделения кардиохирургии выделено:</w:t>
      </w:r>
    </w:p>
    <w:p>
      <w:pPr>
        <w:pStyle w:val="0"/>
        <w:spacing w:before="200" w:line-rule="auto"/>
        <w:ind w:firstLine="540"/>
        <w:jc w:val="both"/>
      </w:pPr>
      <w:r>
        <w:rPr>
          <w:sz w:val="20"/>
        </w:rPr>
        <w:t xml:space="preserve">- 15 коек для больных кардиологического профиля, на которых оказывается помощь больным с острой формой ИБС: острый коронарный синдром (включает в себя нестабильную стенокардию), острый инфаркт миокарда (с зубцом/без зубца Q), а также больным со стабильной формой ИБС (стабильной стенокардией напряжения);</w:t>
      </w:r>
    </w:p>
    <w:p>
      <w:pPr>
        <w:pStyle w:val="0"/>
        <w:spacing w:before="200" w:line-rule="auto"/>
        <w:ind w:firstLine="540"/>
        <w:jc w:val="both"/>
      </w:pPr>
      <w:r>
        <w:rPr>
          <w:sz w:val="20"/>
        </w:rPr>
        <w:t xml:space="preserve">- 12 коек для больных кардиохирургического профиля, где лечатся пациенты с нарушением сердечного ритма и проводимости: атриовентрикулярные блокады второй и третьей степени, синоатриальные блокады, пациенты с синдромом слабости синусового узла, фибрилляцией предсердий различных форм, пароксизмальными формами тахикардий;</w:t>
      </w:r>
    </w:p>
    <w:p>
      <w:pPr>
        <w:pStyle w:val="0"/>
        <w:spacing w:before="200" w:line-rule="auto"/>
        <w:ind w:firstLine="540"/>
        <w:jc w:val="both"/>
      </w:pPr>
      <w:r>
        <w:rPr>
          <w:sz w:val="20"/>
        </w:rPr>
        <w:t xml:space="preserve">- 5 коек сосудистого профиля для хирургического лечения больных с атеросклерозом артерий нижних конечностей, болезнями вен, лимфатических сосудов и лимфатических узлов, цереброваскулярными болезнями;</w:t>
      </w:r>
    </w:p>
    <w:p>
      <w:pPr>
        <w:pStyle w:val="0"/>
        <w:spacing w:before="200" w:line-rule="auto"/>
        <w:ind w:firstLine="540"/>
        <w:jc w:val="both"/>
      </w:pPr>
      <w:r>
        <w:rPr>
          <w:sz w:val="20"/>
        </w:rPr>
        <w:t xml:space="preserve">- ПИТ, рассчитанная на 12 коек.</w:t>
      </w:r>
    </w:p>
    <w:p>
      <w:pPr>
        <w:pStyle w:val="0"/>
        <w:ind w:firstLine="540"/>
        <w:jc w:val="both"/>
      </w:pPr>
      <w:r>
        <w:rPr>
          <w:sz w:val="20"/>
        </w:rPr>
      </w:r>
    </w:p>
    <w:p>
      <w:pPr>
        <w:pStyle w:val="0"/>
        <w:jc w:val="center"/>
      </w:pPr>
      <w:r>
        <w:rPr>
          <w:sz w:val="20"/>
        </w:rPr>
        <w:t xml:space="preserve">Маршрутизация пациентов</w:t>
      </w:r>
    </w:p>
    <w:p>
      <w:pPr>
        <w:pStyle w:val="0"/>
        <w:jc w:val="center"/>
      </w:pPr>
      <w:r>
        <w:rPr>
          <w:sz w:val="20"/>
        </w:rPr>
      </w:r>
    </w:p>
    <w:p>
      <w:pPr>
        <w:pStyle w:val="0"/>
        <w:ind w:firstLine="540"/>
        <w:jc w:val="both"/>
      </w:pPr>
      <w:r>
        <w:rPr>
          <w:sz w:val="20"/>
        </w:rPr>
        <w:t xml:space="preserve">Маршрутизация пациентов с острой кардиальной патологией осуществляется в режиме "24/7" по СМП в приемный покой РСЦ.</w:t>
      </w:r>
    </w:p>
    <w:p>
      <w:pPr>
        <w:pStyle w:val="0"/>
        <w:ind w:firstLine="540"/>
        <w:jc w:val="both"/>
      </w:pPr>
      <w:r>
        <w:rPr>
          <w:sz w:val="20"/>
        </w:rPr>
      </w:r>
    </w:p>
    <w:p>
      <w:pPr>
        <w:pStyle w:val="0"/>
        <w:jc w:val="center"/>
      </w:pPr>
      <w:r>
        <w:rPr>
          <w:sz w:val="20"/>
        </w:rPr>
        <w:t xml:space="preserve">Схема маршрутизации больных с ОКС:</w:t>
      </w:r>
    </w:p>
    <w:p>
      <w:pPr>
        <w:pStyle w:val="0"/>
        <w:jc w:val="center"/>
      </w:pPr>
      <w:r>
        <w:rPr>
          <w:sz w:val="20"/>
        </w:rPr>
      </w:r>
    </w:p>
    <w:p>
      <w:pPr>
        <w:pStyle w:val="0"/>
        <w:jc w:val="center"/>
      </w:pPr>
      <w:r>
        <w:rPr>
          <w:position w:val="-259"/>
        </w:rPr>
        <w:drawing>
          <wp:inline distT="0" distB="0" distL="0" distR="0">
            <wp:extent cx="2877820" cy="3426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a:extLst>
                        <a:ext uri="{28A0092B-C50C-407E-A947-70E740481C1C}">
                          <a14:useLocalDpi xmlns:a14="http://schemas.microsoft.com/office/drawing/2010/main" val="0"/>
                        </a:ext>
                      </a:extLst>
                    </a:blip>
                    <a:srcRect/>
                    <a:stretch>
                      <a:fillRect/>
                    </a:stretch>
                  </pic:blipFill>
                  <pic:spPr bwMode="auto">
                    <a:xfrm>
                      <a:off x="0" y="0"/>
                      <a:ext cx="2877820" cy="342646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Маршрут пациента: адрес, населенный пункт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СМП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приемное отделение РСЦ ГБУЗС "Городская больница N 1 им. Н.И. Пирогова"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реанимация, операционная, отделение кардиохирургии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по окончании стационарного лечения - наблюдение сосудистого хирурга/кардиолога поликлиники по месту проживания и (или) реабилитация в специализированных медицинских и санаторно-курортных организациях.</w:t>
      </w:r>
    </w:p>
    <w:p>
      <w:pPr>
        <w:pStyle w:val="0"/>
        <w:spacing w:before="200" w:line-rule="auto"/>
        <w:ind w:firstLine="540"/>
        <w:jc w:val="both"/>
      </w:pPr>
      <w:r>
        <w:rPr>
          <w:sz w:val="20"/>
        </w:rPr>
        <w:t xml:space="preserve">В случае необходимости в отделении кардиохирургии проводятся операции экстренного АКШ больному с ОКС, находящемуся на лечении в РСЦ, на основании решения консилиума в составе:</w:t>
      </w:r>
    </w:p>
    <w:p>
      <w:pPr>
        <w:pStyle w:val="0"/>
        <w:spacing w:before="200" w:line-rule="auto"/>
        <w:ind w:firstLine="540"/>
        <w:jc w:val="both"/>
      </w:pPr>
      <w:r>
        <w:rPr>
          <w:sz w:val="20"/>
        </w:rPr>
        <w:t xml:space="preserve">- главный внештатный специалист - сердечно-сосудистый хирург Департамента здравоохранения города Севастополя;</w:t>
      </w:r>
    </w:p>
    <w:p>
      <w:pPr>
        <w:pStyle w:val="0"/>
        <w:spacing w:before="200" w:line-rule="auto"/>
        <w:ind w:firstLine="540"/>
        <w:jc w:val="both"/>
      </w:pPr>
      <w:r>
        <w:rPr>
          <w:sz w:val="20"/>
        </w:rPr>
        <w:t xml:space="preserve">- главный внештатный специалист по рентген-эндоваскулярной диагностике и лечению Департамента здравоохранения города Севастополя;</w:t>
      </w:r>
    </w:p>
    <w:p>
      <w:pPr>
        <w:pStyle w:val="0"/>
        <w:spacing w:before="200" w:line-rule="auto"/>
        <w:ind w:firstLine="540"/>
        <w:jc w:val="both"/>
      </w:pPr>
      <w:r>
        <w:rPr>
          <w:sz w:val="20"/>
        </w:rPr>
        <w:t xml:space="preserve">- заместитель главного врача по лечебной работе ГБУЗС "Городская больница N 1 им. Н.И. Пирогова";</w:t>
      </w:r>
    </w:p>
    <w:p>
      <w:pPr>
        <w:pStyle w:val="0"/>
        <w:spacing w:before="200" w:line-rule="auto"/>
        <w:ind w:firstLine="540"/>
        <w:jc w:val="both"/>
      </w:pPr>
      <w:r>
        <w:rPr>
          <w:sz w:val="20"/>
        </w:rPr>
        <w:t xml:space="preserve">- заведующий кардиохирургическим отделением РСЦ;</w:t>
      </w:r>
    </w:p>
    <w:p>
      <w:pPr>
        <w:pStyle w:val="0"/>
        <w:spacing w:before="200" w:line-rule="auto"/>
        <w:ind w:firstLine="540"/>
        <w:jc w:val="both"/>
      </w:pPr>
      <w:r>
        <w:rPr>
          <w:sz w:val="20"/>
        </w:rPr>
        <w:t xml:space="preserve">- лечащий врач (кардиолог).</w:t>
      </w:r>
    </w:p>
    <w:p>
      <w:pPr>
        <w:pStyle w:val="0"/>
        <w:ind w:firstLine="540"/>
        <w:jc w:val="both"/>
      </w:pPr>
      <w:r>
        <w:rPr>
          <w:sz w:val="20"/>
        </w:rPr>
      </w:r>
    </w:p>
    <w:p>
      <w:pPr>
        <w:pStyle w:val="0"/>
        <w:jc w:val="center"/>
      </w:pPr>
      <w:r>
        <w:rPr>
          <w:position w:val="-398"/>
        </w:rPr>
        <w:drawing>
          <wp:inline distT="0" distB="0" distL="0" distR="0">
            <wp:extent cx="5041900" cy="5187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5041900" cy="518795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Маршрутизация пациента для оказания ВМП: консультативный прием главного внештатного специалиста, сердечно-сосудистого хирурга/главного кардиолога Департамента здравоохранения города Севастополя в поликлинике N 1 ГБУЗС "Городская больница N 1 им. Н.И. Пирогова" - один раз в неделю.</w:t>
      </w:r>
    </w:p>
    <w:p>
      <w:pPr>
        <w:pStyle w:val="0"/>
        <w:spacing w:before="200" w:line-rule="auto"/>
        <w:ind w:firstLine="540"/>
        <w:jc w:val="both"/>
      </w:pPr>
      <w:r>
        <w:rPr>
          <w:sz w:val="20"/>
        </w:rPr>
        <w:t xml:space="preserve">Неврологическая помощь взрослому населению оказывается:</w:t>
      </w:r>
    </w:p>
    <w:p>
      <w:pPr>
        <w:pStyle w:val="0"/>
        <w:spacing w:before="200" w:line-rule="auto"/>
        <w:ind w:firstLine="540"/>
        <w:jc w:val="both"/>
      </w:pPr>
      <w:r>
        <w:rPr>
          <w:sz w:val="20"/>
        </w:rPr>
        <w:t xml:space="preserve">1. Бригадами СМП из девяти подстанций, расположенных в разных районах города, с учетом обеспечения 20-минутного доезда на экстренный вызов (ежесуточно дежурит от 24 до 26 бригад). Приказом Департамента здравоохранения города Севастополя утвержден Контрольный лист принятия решения врачебно-фельдшерской бригадой скорой медицинской помощи о проведении больному с острым коронарным синдромом тромболитической терапии для упрощения принятия решения о необходимости проведения тромболитической терапии на уровне скорой медицинской помощи.</w:t>
      </w:r>
    </w:p>
    <w:p>
      <w:pPr>
        <w:pStyle w:val="0"/>
        <w:spacing w:before="200" w:line-rule="auto"/>
        <w:ind w:firstLine="540"/>
        <w:jc w:val="both"/>
      </w:pPr>
      <w:r>
        <w:rPr>
          <w:sz w:val="20"/>
        </w:rPr>
        <w:t xml:space="preserve">2. Амбулаторно-поликлиническим звеном, представленным во всех поликлиниках города в виде амбулаторно-поликлинического приема и лечения пациентов.</w:t>
      </w:r>
    </w:p>
    <w:p>
      <w:pPr>
        <w:pStyle w:val="0"/>
        <w:spacing w:before="200" w:line-rule="auto"/>
        <w:ind w:firstLine="540"/>
        <w:jc w:val="both"/>
      </w:pPr>
      <w:r>
        <w:rPr>
          <w:sz w:val="20"/>
        </w:rPr>
        <w:t xml:space="preserve">3. В дневных стационарах, открытых в следующих учреждениях:</w:t>
      </w:r>
    </w:p>
    <w:p>
      <w:pPr>
        <w:pStyle w:val="0"/>
        <w:spacing w:before="200" w:line-rule="auto"/>
        <w:ind w:firstLine="540"/>
        <w:jc w:val="both"/>
      </w:pPr>
      <w:r>
        <w:rPr>
          <w:sz w:val="20"/>
        </w:rPr>
        <w:t xml:space="preserve">3.1. В поликлиниках N 1, 2, 4, 5 ГБУЗС "Городская больница N 1 им. Н.И. Пирогова" - 42 койки, работа в две смены.</w:t>
      </w:r>
    </w:p>
    <w:p>
      <w:pPr>
        <w:pStyle w:val="0"/>
        <w:spacing w:before="200" w:line-rule="auto"/>
        <w:ind w:firstLine="540"/>
        <w:jc w:val="both"/>
      </w:pPr>
      <w:r>
        <w:rPr>
          <w:sz w:val="20"/>
        </w:rPr>
        <w:t xml:space="preserve">3.2. В ГБУЗ N 4 - 15 коек, работа в две смены.</w:t>
      </w:r>
    </w:p>
    <w:p>
      <w:pPr>
        <w:pStyle w:val="0"/>
        <w:spacing w:before="200" w:line-rule="auto"/>
        <w:ind w:firstLine="540"/>
        <w:jc w:val="both"/>
      </w:pPr>
      <w:r>
        <w:rPr>
          <w:sz w:val="20"/>
        </w:rPr>
        <w:t xml:space="preserve">4. В неврологическом отделении в составе РСЦ многопрофильной больницы ГБУЗС "Городская больница N 1 им. Н.И. Пирогова" с ПИТ на 29 коек (в т.ч. 22 койки - неврологические для пациентов с ОНМК; из них неврологических коек интенсивной терапии - 6, в т.ч. неврологических коек - 7).</w:t>
      </w:r>
    </w:p>
    <w:p>
      <w:pPr>
        <w:pStyle w:val="0"/>
        <w:spacing w:before="200" w:line-rule="auto"/>
        <w:ind w:firstLine="540"/>
        <w:jc w:val="both"/>
      </w:pPr>
      <w:r>
        <w:rPr>
          <w:sz w:val="20"/>
        </w:rPr>
        <w:t xml:space="preserve">5. Пациенты, доставленные СМП с подозрением на ОНМК в тяжелом состоянии в ГБУЗС "Городская больница N 1 им. Н.И. Пирогова", осматриваются в противошоковой палате РСЦ и госпитализируются в ОАР РСЦ. Отделение развернуто на 12 коек и является единственным отделением в городе Севастополе, оказывающим помощь пациентам в тяжелом состоянии с ОКС и ОНМК.</w:t>
      </w:r>
    </w:p>
    <w:p>
      <w:pPr>
        <w:pStyle w:val="0"/>
        <w:spacing w:before="200" w:line-rule="auto"/>
        <w:ind w:firstLine="540"/>
        <w:jc w:val="both"/>
      </w:pPr>
      <w:r>
        <w:rPr>
          <w:sz w:val="20"/>
        </w:rPr>
        <w:t xml:space="preserve">В настоящее время общее количество коек неврологических отделений в круглосуточном режиме работы составляет 88 (в 2021 г. - 88), дневных неврологических стационаров - 57 с учетом режима работы в две смены.</w:t>
      </w:r>
    </w:p>
    <w:p>
      <w:pPr>
        <w:pStyle w:val="0"/>
        <w:spacing w:before="200" w:line-rule="auto"/>
        <w:ind w:firstLine="540"/>
        <w:jc w:val="both"/>
      </w:pPr>
      <w:r>
        <w:rPr>
          <w:sz w:val="20"/>
        </w:rPr>
        <w:t xml:space="preserve">Увеличение количества специализированных коек дневного и круглосуточного стационара позволило повысить доступность специализированной неврологической помощи для населения города.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1133"/>
        <w:gridCol w:w="1077"/>
        <w:gridCol w:w="1077"/>
        <w:gridCol w:w="1077"/>
        <w:gridCol w:w="1020"/>
      </w:tblGrid>
      <w:tr>
        <w:tc>
          <w:tcPr>
            <w:tcW w:w="3685" w:type="dxa"/>
          </w:tcPr>
          <w:p>
            <w:pPr>
              <w:pStyle w:val="0"/>
              <w:jc w:val="center"/>
            </w:pPr>
            <w:r>
              <w:rPr>
                <w:sz w:val="20"/>
              </w:rPr>
              <w:t xml:space="preserve">Профиль коек/число коек по типам медицинских организаций</w:t>
            </w:r>
          </w:p>
        </w:tc>
        <w:tc>
          <w:tcPr>
            <w:tcW w:w="1133" w:type="dxa"/>
          </w:tcPr>
          <w:p>
            <w:pPr>
              <w:pStyle w:val="0"/>
              <w:jc w:val="center"/>
            </w:pPr>
            <w:r>
              <w:rPr>
                <w:sz w:val="20"/>
              </w:rPr>
              <w:t xml:space="preserve">2018 г.</w:t>
            </w:r>
          </w:p>
        </w:tc>
        <w:tc>
          <w:tcPr>
            <w:tcW w:w="1077" w:type="dxa"/>
          </w:tcPr>
          <w:p>
            <w:pPr>
              <w:pStyle w:val="0"/>
              <w:jc w:val="center"/>
            </w:pPr>
            <w:r>
              <w:rPr>
                <w:sz w:val="20"/>
              </w:rPr>
              <w:t xml:space="preserve">2019 г.</w:t>
            </w:r>
          </w:p>
        </w:tc>
        <w:tc>
          <w:tcPr>
            <w:tcW w:w="1077" w:type="dxa"/>
          </w:tcPr>
          <w:p>
            <w:pPr>
              <w:pStyle w:val="0"/>
              <w:jc w:val="center"/>
            </w:pPr>
            <w:r>
              <w:rPr>
                <w:sz w:val="20"/>
              </w:rPr>
              <w:t xml:space="preserve">2020 г.</w:t>
            </w:r>
          </w:p>
        </w:tc>
        <w:tc>
          <w:tcPr>
            <w:tcW w:w="1077" w:type="dxa"/>
          </w:tcPr>
          <w:p>
            <w:pPr>
              <w:pStyle w:val="0"/>
              <w:jc w:val="center"/>
            </w:pPr>
            <w:r>
              <w:rPr>
                <w:sz w:val="20"/>
              </w:rPr>
              <w:t xml:space="preserve">2021 г.</w:t>
            </w:r>
          </w:p>
        </w:tc>
        <w:tc>
          <w:tcPr>
            <w:tcW w:w="1020" w:type="dxa"/>
          </w:tcPr>
          <w:p>
            <w:pPr>
              <w:pStyle w:val="0"/>
              <w:jc w:val="center"/>
            </w:pPr>
            <w:r>
              <w:rPr>
                <w:sz w:val="20"/>
              </w:rPr>
              <w:t xml:space="preserve">2022 г.</w:t>
            </w:r>
          </w:p>
        </w:tc>
      </w:tr>
      <w:tr>
        <w:tc>
          <w:tcPr>
            <w:tcW w:w="3685" w:type="dxa"/>
          </w:tcPr>
          <w:p>
            <w:pPr>
              <w:pStyle w:val="0"/>
              <w:jc w:val="both"/>
            </w:pPr>
            <w:r>
              <w:rPr>
                <w:sz w:val="20"/>
              </w:rPr>
              <w:t xml:space="preserve">неврологические для взрослых (круглосуточный стационар)</w:t>
            </w:r>
          </w:p>
        </w:tc>
        <w:tc>
          <w:tcPr>
            <w:tcW w:w="1133" w:type="dxa"/>
          </w:tcPr>
          <w:p>
            <w:pPr>
              <w:pStyle w:val="0"/>
              <w:jc w:val="center"/>
            </w:pPr>
            <w:r>
              <w:rPr>
                <w:sz w:val="20"/>
              </w:rPr>
              <w:t xml:space="preserve">103</w:t>
            </w:r>
          </w:p>
        </w:tc>
        <w:tc>
          <w:tcPr>
            <w:tcW w:w="1077" w:type="dxa"/>
          </w:tcPr>
          <w:p>
            <w:pPr>
              <w:pStyle w:val="0"/>
              <w:jc w:val="center"/>
            </w:pPr>
            <w:r>
              <w:rPr>
                <w:sz w:val="20"/>
              </w:rPr>
              <w:t xml:space="preserve">108</w:t>
            </w:r>
          </w:p>
        </w:tc>
        <w:tc>
          <w:tcPr>
            <w:tcW w:w="1077" w:type="dxa"/>
          </w:tcPr>
          <w:p>
            <w:pPr>
              <w:pStyle w:val="0"/>
              <w:jc w:val="center"/>
            </w:pPr>
            <w:r>
              <w:rPr>
                <w:sz w:val="20"/>
              </w:rPr>
              <w:t xml:space="preserve">83</w:t>
            </w:r>
          </w:p>
        </w:tc>
        <w:tc>
          <w:tcPr>
            <w:tcW w:w="1077" w:type="dxa"/>
          </w:tcPr>
          <w:p>
            <w:pPr>
              <w:pStyle w:val="0"/>
              <w:jc w:val="center"/>
            </w:pPr>
            <w:r>
              <w:rPr>
                <w:sz w:val="20"/>
              </w:rPr>
              <w:t xml:space="preserve">88</w:t>
            </w:r>
          </w:p>
        </w:tc>
        <w:tc>
          <w:tcPr>
            <w:tcW w:w="1020" w:type="dxa"/>
          </w:tcPr>
          <w:p>
            <w:pPr>
              <w:pStyle w:val="0"/>
              <w:jc w:val="center"/>
            </w:pPr>
            <w:r>
              <w:rPr>
                <w:sz w:val="20"/>
              </w:rPr>
              <w:t xml:space="preserve">73</w:t>
            </w:r>
          </w:p>
        </w:tc>
      </w:tr>
      <w:tr>
        <w:tc>
          <w:tcPr>
            <w:tcW w:w="3685" w:type="dxa"/>
          </w:tcPr>
          <w:p>
            <w:pPr>
              <w:pStyle w:val="0"/>
              <w:jc w:val="both"/>
            </w:pPr>
            <w:r>
              <w:rPr>
                <w:sz w:val="20"/>
              </w:rPr>
              <w:t xml:space="preserve">из них:</w:t>
            </w:r>
          </w:p>
          <w:p>
            <w:pPr>
              <w:pStyle w:val="0"/>
              <w:jc w:val="both"/>
            </w:pPr>
            <w:r>
              <w:rPr>
                <w:sz w:val="20"/>
              </w:rPr>
              <w:t xml:space="preserve">неврологические для больных с острыми нарушениями мозгового кровообращения</w:t>
            </w:r>
          </w:p>
        </w:tc>
        <w:tc>
          <w:tcPr>
            <w:tcW w:w="1133" w:type="dxa"/>
          </w:tcPr>
          <w:p>
            <w:pPr>
              <w:pStyle w:val="0"/>
              <w:jc w:val="center"/>
            </w:pPr>
            <w:r>
              <w:rPr>
                <w:sz w:val="20"/>
              </w:rPr>
              <w:t xml:space="preserve">60</w:t>
            </w:r>
          </w:p>
        </w:tc>
        <w:tc>
          <w:tcPr>
            <w:tcW w:w="1077" w:type="dxa"/>
          </w:tcPr>
          <w:p>
            <w:pPr>
              <w:pStyle w:val="0"/>
              <w:jc w:val="center"/>
            </w:pPr>
            <w:r>
              <w:rPr>
                <w:sz w:val="20"/>
              </w:rPr>
              <w:t xml:space="preserve">60</w:t>
            </w:r>
          </w:p>
        </w:tc>
        <w:tc>
          <w:tcPr>
            <w:tcW w:w="1077" w:type="dxa"/>
          </w:tcPr>
          <w:p>
            <w:pPr>
              <w:pStyle w:val="0"/>
              <w:jc w:val="center"/>
            </w:pPr>
            <w:r>
              <w:rPr>
                <w:sz w:val="20"/>
              </w:rPr>
              <w:t xml:space="preserve">60</w:t>
            </w:r>
          </w:p>
        </w:tc>
        <w:tc>
          <w:tcPr>
            <w:tcW w:w="1077" w:type="dxa"/>
          </w:tcPr>
          <w:p>
            <w:pPr>
              <w:pStyle w:val="0"/>
              <w:jc w:val="center"/>
            </w:pPr>
            <w:r>
              <w:rPr>
                <w:sz w:val="20"/>
              </w:rPr>
              <w:t xml:space="preserve">60</w:t>
            </w:r>
          </w:p>
        </w:tc>
        <w:tc>
          <w:tcPr>
            <w:tcW w:w="1020" w:type="dxa"/>
          </w:tcPr>
          <w:p>
            <w:pPr>
              <w:pStyle w:val="0"/>
              <w:jc w:val="center"/>
            </w:pPr>
            <w:r>
              <w:rPr>
                <w:sz w:val="20"/>
              </w:rPr>
              <w:t xml:space="preserve">60</w:t>
            </w:r>
          </w:p>
        </w:tc>
      </w:tr>
      <w:tr>
        <w:tc>
          <w:tcPr>
            <w:tcW w:w="3685" w:type="dxa"/>
          </w:tcPr>
          <w:p>
            <w:pPr>
              <w:pStyle w:val="0"/>
              <w:jc w:val="both"/>
            </w:pPr>
            <w:r>
              <w:rPr>
                <w:sz w:val="20"/>
              </w:rPr>
              <w:t xml:space="preserve">неврологические интенсивной терапии</w:t>
            </w:r>
          </w:p>
        </w:tc>
        <w:tc>
          <w:tcPr>
            <w:tcW w:w="1133" w:type="dxa"/>
          </w:tcPr>
          <w:p>
            <w:pPr>
              <w:pStyle w:val="0"/>
              <w:jc w:val="center"/>
            </w:pPr>
            <w:r>
              <w:rPr>
                <w:sz w:val="20"/>
              </w:rPr>
              <w:t xml:space="preserve">6</w:t>
            </w:r>
          </w:p>
        </w:tc>
        <w:tc>
          <w:tcPr>
            <w:tcW w:w="1077" w:type="dxa"/>
          </w:tcPr>
          <w:p>
            <w:pPr>
              <w:pStyle w:val="0"/>
              <w:jc w:val="center"/>
            </w:pPr>
            <w:r>
              <w:rPr>
                <w:sz w:val="20"/>
              </w:rPr>
              <w:t xml:space="preserve">6</w:t>
            </w:r>
          </w:p>
        </w:tc>
        <w:tc>
          <w:tcPr>
            <w:tcW w:w="1077" w:type="dxa"/>
          </w:tcPr>
          <w:p>
            <w:pPr>
              <w:pStyle w:val="0"/>
              <w:jc w:val="center"/>
            </w:pPr>
            <w:r>
              <w:rPr>
                <w:sz w:val="20"/>
              </w:rPr>
              <w:t xml:space="preserve">6</w:t>
            </w:r>
          </w:p>
        </w:tc>
        <w:tc>
          <w:tcPr>
            <w:tcW w:w="1077" w:type="dxa"/>
          </w:tcPr>
          <w:p>
            <w:pPr>
              <w:pStyle w:val="0"/>
              <w:jc w:val="center"/>
            </w:pPr>
            <w:r>
              <w:rPr>
                <w:sz w:val="20"/>
              </w:rPr>
              <w:t xml:space="preserve">6</w:t>
            </w:r>
          </w:p>
        </w:tc>
        <w:tc>
          <w:tcPr>
            <w:tcW w:w="1020" w:type="dxa"/>
          </w:tcPr>
          <w:p>
            <w:pPr>
              <w:pStyle w:val="0"/>
              <w:jc w:val="center"/>
            </w:pPr>
            <w:r>
              <w:rPr>
                <w:sz w:val="20"/>
              </w:rPr>
              <w:t xml:space="preserve">6</w:t>
            </w:r>
          </w:p>
        </w:tc>
      </w:tr>
      <w:tr>
        <w:tc>
          <w:tcPr>
            <w:tcW w:w="3685" w:type="dxa"/>
          </w:tcPr>
          <w:p>
            <w:pPr>
              <w:pStyle w:val="0"/>
              <w:jc w:val="both"/>
            </w:pPr>
            <w:r>
              <w:rPr>
                <w:sz w:val="20"/>
              </w:rPr>
              <w:t xml:space="preserve">неврологические для взрослых (дневной стационар в две смены)</w:t>
            </w:r>
          </w:p>
        </w:tc>
        <w:tc>
          <w:tcPr>
            <w:tcW w:w="1133" w:type="dxa"/>
          </w:tcPr>
          <w:p>
            <w:pPr>
              <w:pStyle w:val="0"/>
              <w:jc w:val="center"/>
            </w:pPr>
            <w:r>
              <w:rPr>
                <w:sz w:val="20"/>
              </w:rPr>
              <w:t xml:space="preserve">42</w:t>
            </w:r>
          </w:p>
        </w:tc>
        <w:tc>
          <w:tcPr>
            <w:tcW w:w="1077" w:type="dxa"/>
          </w:tcPr>
          <w:p>
            <w:pPr>
              <w:pStyle w:val="0"/>
              <w:jc w:val="center"/>
            </w:pPr>
            <w:r>
              <w:rPr>
                <w:sz w:val="20"/>
              </w:rPr>
              <w:t xml:space="preserve">42</w:t>
            </w:r>
          </w:p>
        </w:tc>
        <w:tc>
          <w:tcPr>
            <w:tcW w:w="1077" w:type="dxa"/>
          </w:tcPr>
          <w:p>
            <w:pPr>
              <w:pStyle w:val="0"/>
              <w:jc w:val="center"/>
            </w:pPr>
            <w:r>
              <w:rPr>
                <w:sz w:val="20"/>
              </w:rPr>
              <w:t xml:space="preserve">57</w:t>
            </w:r>
          </w:p>
        </w:tc>
        <w:tc>
          <w:tcPr>
            <w:tcW w:w="1077" w:type="dxa"/>
          </w:tcPr>
          <w:p>
            <w:pPr>
              <w:pStyle w:val="0"/>
              <w:jc w:val="center"/>
            </w:pPr>
            <w:r>
              <w:rPr>
                <w:sz w:val="20"/>
              </w:rPr>
              <w:t xml:space="preserve">57</w:t>
            </w:r>
          </w:p>
        </w:tc>
        <w:tc>
          <w:tcPr>
            <w:tcW w:w="1020" w:type="dxa"/>
          </w:tcPr>
          <w:p>
            <w:pPr>
              <w:pStyle w:val="0"/>
              <w:jc w:val="center"/>
            </w:pPr>
            <w:r>
              <w:rPr>
                <w:sz w:val="20"/>
              </w:rPr>
              <w:t xml:space="preserve">57</w:t>
            </w:r>
          </w:p>
        </w:tc>
      </w:tr>
    </w:tbl>
    <w:p>
      <w:pPr>
        <w:pStyle w:val="0"/>
        <w:jc w:val="both"/>
      </w:pPr>
      <w:r>
        <w:rPr>
          <w:sz w:val="20"/>
        </w:rPr>
      </w:r>
    </w:p>
    <w:p>
      <w:pPr>
        <w:pStyle w:val="0"/>
        <w:ind w:firstLine="540"/>
        <w:jc w:val="both"/>
      </w:pPr>
      <w:r>
        <w:rPr>
          <w:sz w:val="20"/>
        </w:rPr>
        <w:t xml:space="preserve">В результате работы амбулаторно-поликлинического звена было зарегистрировано заболеваний нервной системы (всего) 8521, из них впервые выявлено 1224 заболевания и состоит на "Д"-учете 2563 пациента, в том числе с такими тяжелыми формами, как воспалительные болезни ЦНС - четыре чел., демиелинизирующие болезни центральной нервной системы - 218 чел., миастения - 71 чел.</w:t>
      </w:r>
    </w:p>
    <w:p>
      <w:pPr>
        <w:pStyle w:val="0"/>
        <w:spacing w:before="200" w:line-rule="auto"/>
        <w:ind w:firstLine="540"/>
        <w:jc w:val="both"/>
      </w:pPr>
      <w:r>
        <w:rPr>
          <w:sz w:val="20"/>
        </w:rPr>
        <w:t xml:space="preserve">Нейрохирургическое отделение РСЦ представлено 22-коечным многопрофильным нейрохирургическим отделением в составе РСЦ ГБУЗС "Городская больница N 1 им. Н.И. Пирогова", расположенным на втором этаже четырехэтажного корпуса, где размещен РСЦ.</w:t>
      </w:r>
    </w:p>
    <w:p>
      <w:pPr>
        <w:pStyle w:val="0"/>
        <w:spacing w:before="200" w:line-rule="auto"/>
        <w:ind w:firstLine="540"/>
        <w:jc w:val="both"/>
      </w:pPr>
      <w:r>
        <w:rPr>
          <w:sz w:val="20"/>
        </w:rPr>
        <w:t xml:space="preserve">Отделение нейрохирургии ГБУЗС "Городская больница N 1 им. Н.И. Пирогова" является базовым, многопрофильным городским отделением, оказывающим специализированную, в том числе специализированную и высокотехнологическую, помощь пациентам с ОНМК; специализированную и высокотехнологичную нейрохирургическую помощь как в экстренном, так и в плановом порядке взрослому населению города Севастополя с нейрохирургической патологией на основе стандартов и клинических рекомендаций.</w:t>
      </w:r>
    </w:p>
    <w:p>
      <w:pPr>
        <w:pStyle w:val="0"/>
        <w:spacing w:before="200" w:line-rule="auto"/>
        <w:ind w:firstLine="540"/>
        <w:jc w:val="both"/>
      </w:pPr>
      <w:r>
        <w:rPr>
          <w:sz w:val="20"/>
        </w:rPr>
        <w:t xml:space="preserve">В своей работе отделение нейрохирургии функционально взаимодействует со всеми отделениями (терапевтического и хирургического профиля) ГБУЗС "Городская больница N 1 им. Н.И. Пирогова", клинической лабораторией, рентгенологическим отделением, ОАРИТ.</w:t>
      </w:r>
    </w:p>
    <w:p>
      <w:pPr>
        <w:pStyle w:val="0"/>
        <w:spacing w:before="200" w:line-rule="auto"/>
        <w:ind w:firstLine="540"/>
        <w:jc w:val="both"/>
      </w:pPr>
      <w:r>
        <w:rPr>
          <w:sz w:val="20"/>
        </w:rPr>
        <w:t xml:space="preserve">Отделение расположено на втором этаже четырехэтажного корпуса РСЦ. Пациенты размещены в палатах согласно СанПиН. В операционном блоке отделение представлено двумя операционными: операционной для проведения операций на головном мозге (плановых и ургентных), операционной для проведения оперативных вмешательств на позвоночнике и периферической нервной системе.</w:t>
      </w:r>
    </w:p>
    <w:p>
      <w:pPr>
        <w:pStyle w:val="0"/>
        <w:spacing w:before="200" w:line-rule="auto"/>
        <w:ind w:firstLine="540"/>
        <w:jc w:val="both"/>
      </w:pPr>
      <w:r>
        <w:rPr>
          <w:sz w:val="20"/>
        </w:rPr>
        <w:t xml:space="preserve">Маршрутизация пациентов с нейрохирургической патологией осуществляется согласно регламентирующим документам Министерства здравоохранения Российской Федерации и Департамента здравоохранения города Севастополя.</w:t>
      </w:r>
    </w:p>
    <w:p>
      <w:pPr>
        <w:pStyle w:val="0"/>
        <w:spacing w:before="200" w:line-rule="auto"/>
        <w:ind w:firstLine="540"/>
        <w:jc w:val="both"/>
      </w:pPr>
      <w:r>
        <w:rPr>
          <w:sz w:val="20"/>
        </w:rPr>
        <w:t xml:space="preserve">С ноября 2015 г. организован консультативный прием врача-нейрохирурга на базе 1-й поликлиники ГБУЗС "Городская больница N 1 им. Н.И. Пирогова" на 12 посещений в смену. Прием осуществляет врач-нейрохирург. Наличие поликлинического приема позволило упорядочить маршрутизацию пациентов, улучшить "отбор" пациентов для плановой госпитализации и оперативного лечения. Однако зачастую отмечается "задержка" пациентов, отобранных для плановой госпитализации, из-за долгого обследования на амбулаторном этапе.</w:t>
      </w:r>
    </w:p>
    <w:p>
      <w:pPr>
        <w:pStyle w:val="0"/>
        <w:spacing w:before="200" w:line-rule="auto"/>
        <w:ind w:firstLine="540"/>
        <w:jc w:val="both"/>
      </w:pPr>
      <w:r>
        <w:rPr>
          <w:sz w:val="20"/>
        </w:rPr>
        <w:t xml:space="preserve">Плановая помощь. Поликлиника N 1 ГБУЗС "Городская больница N 1 им. Н.И. Пирогова": самостоятельное обращение больного по направлению, выданному в установленном порядке фельдшером, врачом-терапевтом участковым, врачом общей практики (семейным врачом), врачом-неврологом, врачами других специальностей медицинской организации, оказывающей первичную медико-санитарную помощь. При наличии показаний к стационарному лечению производится госпитализация для проведения консервативной терапии или оперативного лечения. Сроки лечения определены на основе стандартов медицинской помощи. После окончания срока оказания медицинской помощи в стационарных условиях нейрохирургического отделения дальнейшая тактика лечения определяется консилиумом врачей, по медицинским показаниям пациенты направляются для проведения реабилитационных мероприятий в специализированные медицинские и санаторно-курортные организации.</w:t>
      </w:r>
    </w:p>
    <w:p>
      <w:pPr>
        <w:pStyle w:val="0"/>
        <w:spacing w:before="200" w:line-rule="auto"/>
        <w:ind w:firstLine="540"/>
        <w:jc w:val="both"/>
      </w:pPr>
      <w:r>
        <w:rPr>
          <w:sz w:val="20"/>
        </w:rPr>
        <w:t xml:space="preserve">Маршрут: врач-терапевт участковый, врач общей практики (семейный врач), врач-невролог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нейрохирург поликлиники, главный внештатный специалист Департамента здравоохранения города Севастополя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при наличии показаний - стационарное лечение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по окончании стационарного лечения - наблюдение невролога поликлиники по месту проживания и (или) реабилитация в специализированных медицинских и санаторно-курортных организациях.</w:t>
      </w:r>
    </w:p>
    <w:p>
      <w:pPr>
        <w:pStyle w:val="0"/>
        <w:spacing w:before="200" w:line-rule="auto"/>
        <w:ind w:firstLine="540"/>
        <w:jc w:val="both"/>
      </w:pPr>
      <w:r>
        <w:rPr>
          <w:sz w:val="20"/>
        </w:rPr>
        <w:t xml:space="preserve">Экстренная и неотложная помощь: охват населения - город Севастополь. Границы: пос. Кача (северо-запад), с. Верхнесадовое (север), с. Терновка (северо-восток), пгт Форос (восток). К 2024 году планируется изменение маршрутизации экстренных и плановых пациентов в связи со строительством больницы скорой медицинской помощи в рамках федеральной целевой </w:t>
      </w:r>
      <w:hyperlink w:history="0" r:id="rId635" w:tooltip="Постановление Правительства РФ от 11.08.2014 N 790 (ред. от 30.12.2021) &quot;Об утверждении федеральной целевой программы &quot;Социально-экономическое развитие Республики Крым и г. Севастополя до 2025 года&quot; {КонсультантПлюс}">
        <w:r>
          <w:rPr>
            <w:sz w:val="20"/>
            <w:color w:val="0000ff"/>
          </w:rPr>
          <w:t xml:space="preserve">программы</w:t>
        </w:r>
      </w:hyperlink>
      <w:r>
        <w:rPr>
          <w:sz w:val="20"/>
        </w:rPr>
        <w:t xml:space="preserve"> "Социально-экономическое развитие Республики Крым и г. Севастополя до 2025 года".</w:t>
      </w:r>
    </w:p>
    <w:p>
      <w:pPr>
        <w:pStyle w:val="0"/>
        <w:spacing w:before="200" w:line-rule="auto"/>
        <w:ind w:firstLine="540"/>
        <w:jc w:val="both"/>
      </w:pPr>
      <w:r>
        <w:rPr>
          <w:sz w:val="20"/>
        </w:rPr>
        <w:t xml:space="preserve">Маршрут пациента: адрес, населенный пункт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СМП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приемное отделение ГБУЗС "Городская больница N 1 им. Н.И. Пирогова"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реанимация, операционная, отделение нейрохирургии </w:t>
      </w: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sz w:val="20"/>
        </w:rPr>
        <w:t xml:space="preserve"> по окончании стационарного лечения - наблюдение невролога поликлиники по месту проживания и (или) реабилитация в специализированных медицинских и санаторно-курортных организациях.</w:t>
      </w:r>
    </w:p>
    <w:p>
      <w:pPr>
        <w:pStyle w:val="0"/>
        <w:spacing w:before="200" w:line-rule="auto"/>
        <w:ind w:firstLine="540"/>
        <w:jc w:val="both"/>
      </w:pPr>
      <w:r>
        <w:rPr>
          <w:sz w:val="20"/>
        </w:rPr>
        <w:t xml:space="preserve">Маршрутизация пациента для оказания ВМП: консультативный прием главного внештатного специалиста-нейрохирурга Департамента здравоохранения города Севастополя в поликлинике N 1 ГБУЗС "Городская больница N 1 им. Н.И. Пирогова" один раз в неделю (понедельник каждого месяца, с 10:00 до 11:30); консультативный прием главным внештатным специалистом - нейрохирургом Департамента здравоохранения города Севастополя пациентов, находящихся на лечении в стационарах ГБУЗС "Городская больница N 1 им. Н.И. Пирогова", других медицинских организациях города Севастополя.</w:t>
      </w:r>
    </w:p>
    <w:p>
      <w:pPr>
        <w:pStyle w:val="0"/>
        <w:ind w:firstLine="540"/>
        <w:jc w:val="both"/>
      </w:pPr>
      <w:r>
        <w:rPr>
          <w:sz w:val="20"/>
        </w:rPr>
      </w:r>
    </w:p>
    <w:p>
      <w:pPr>
        <w:pStyle w:val="2"/>
        <w:outlineLvl w:val="3"/>
        <w:jc w:val="center"/>
      </w:pPr>
      <w:r>
        <w:rPr>
          <w:sz w:val="20"/>
        </w:rPr>
        <w:t xml:space="preserve">4.2. Кадровый состав отделений РСЦ</w:t>
      </w:r>
    </w:p>
    <w:p>
      <w:pPr>
        <w:pStyle w:val="0"/>
        <w:jc w:val="center"/>
      </w:pPr>
      <w:r>
        <w:rPr>
          <w:sz w:val="20"/>
        </w:rPr>
      </w:r>
    </w:p>
    <w:p>
      <w:pPr>
        <w:pStyle w:val="2"/>
        <w:outlineLvl w:val="4"/>
        <w:jc w:val="center"/>
      </w:pPr>
      <w:r>
        <w:rPr>
          <w:sz w:val="20"/>
        </w:rPr>
        <w:t xml:space="preserve">4.2.1. Отделение анестезиологии и реанимации</w:t>
      </w:r>
    </w:p>
    <w:p>
      <w:pPr>
        <w:pStyle w:val="0"/>
        <w:ind w:firstLine="540"/>
        <w:jc w:val="both"/>
      </w:pPr>
      <w:r>
        <w:rPr>
          <w:sz w:val="20"/>
        </w:rPr>
      </w:r>
    </w:p>
    <w:p>
      <w:pPr>
        <w:pStyle w:val="0"/>
        <w:ind w:firstLine="540"/>
        <w:jc w:val="both"/>
      </w:pPr>
      <w:r>
        <w:rPr>
          <w:sz w:val="20"/>
        </w:rPr>
        <w:t xml:space="preserve">Все врачи и медицинские сестры ОАР РСЦ работают на 1,5 ставки. Круглосуточные дежурства осуществляются двумя врачами - анестезиологами-реаниматологами, и два анестезиолога-реаниматолога обеспечивают проведение плановых и экстренных операций. То же самое касается среднего и младшего медицинского персонала.</w:t>
      </w:r>
    </w:p>
    <w:p>
      <w:pPr>
        <w:pStyle w:val="0"/>
        <w:ind w:firstLine="540"/>
        <w:jc w:val="both"/>
      </w:pPr>
      <w:r>
        <w:rPr>
          <w:sz w:val="20"/>
        </w:rPr>
      </w:r>
    </w:p>
    <w:p>
      <w:pPr>
        <w:pStyle w:val="0"/>
        <w:jc w:val="center"/>
      </w:pPr>
      <w:r>
        <w:rPr>
          <w:sz w:val="20"/>
        </w:rPr>
        <w:t xml:space="preserve">Текущее штатное расписание, укомплектованность врачебным,</w:t>
      </w:r>
    </w:p>
    <w:p>
      <w:pPr>
        <w:pStyle w:val="0"/>
        <w:jc w:val="center"/>
      </w:pPr>
      <w:r>
        <w:rPr>
          <w:sz w:val="20"/>
        </w:rPr>
        <w:t xml:space="preserve">средним и младшим медицинским персоналом</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871"/>
        <w:gridCol w:w="1587"/>
        <w:gridCol w:w="1587"/>
        <w:gridCol w:w="1644"/>
      </w:tblGrid>
      <w:tr>
        <w:tc>
          <w:tcPr>
            <w:tcW w:w="2381" w:type="dxa"/>
          </w:tcPr>
          <w:p>
            <w:pPr>
              <w:pStyle w:val="0"/>
              <w:jc w:val="center"/>
            </w:pPr>
            <w:r>
              <w:rPr>
                <w:sz w:val="20"/>
              </w:rPr>
            </w:r>
          </w:p>
        </w:tc>
        <w:tc>
          <w:tcPr>
            <w:tcW w:w="1871" w:type="dxa"/>
          </w:tcPr>
          <w:p>
            <w:pPr>
              <w:pStyle w:val="0"/>
              <w:jc w:val="center"/>
            </w:pPr>
            <w:r>
              <w:rPr>
                <w:sz w:val="20"/>
              </w:rPr>
              <w:t xml:space="preserve">Рекомендовано приказом, ставок</w:t>
            </w:r>
          </w:p>
        </w:tc>
        <w:tc>
          <w:tcPr>
            <w:tcW w:w="1587" w:type="dxa"/>
          </w:tcPr>
          <w:p>
            <w:pPr>
              <w:pStyle w:val="0"/>
              <w:jc w:val="center"/>
            </w:pPr>
            <w:r>
              <w:rPr>
                <w:sz w:val="20"/>
              </w:rPr>
              <w:t xml:space="preserve">Утверждено, ставок</w:t>
            </w:r>
          </w:p>
        </w:tc>
        <w:tc>
          <w:tcPr>
            <w:tcW w:w="1587" w:type="dxa"/>
          </w:tcPr>
          <w:p>
            <w:pPr>
              <w:pStyle w:val="0"/>
              <w:jc w:val="center"/>
            </w:pPr>
            <w:r>
              <w:rPr>
                <w:sz w:val="20"/>
              </w:rPr>
              <w:t xml:space="preserve">Количество сотрудников, ед.</w:t>
            </w:r>
          </w:p>
        </w:tc>
        <w:tc>
          <w:tcPr>
            <w:tcW w:w="1644" w:type="dxa"/>
          </w:tcPr>
          <w:p>
            <w:pPr>
              <w:pStyle w:val="0"/>
              <w:jc w:val="center"/>
            </w:pPr>
            <w:r>
              <w:rPr>
                <w:sz w:val="20"/>
              </w:rPr>
              <w:t xml:space="preserve">Дефицит сотрудников, ед.</w:t>
            </w:r>
          </w:p>
        </w:tc>
      </w:tr>
      <w:tr>
        <w:tc>
          <w:tcPr>
            <w:tcW w:w="2381" w:type="dxa"/>
          </w:tcPr>
          <w:p>
            <w:pPr>
              <w:pStyle w:val="0"/>
              <w:jc w:val="both"/>
            </w:pPr>
            <w:r>
              <w:rPr>
                <w:sz w:val="20"/>
              </w:rPr>
              <w:t xml:space="preserve">Врачи</w:t>
            </w:r>
          </w:p>
        </w:tc>
        <w:tc>
          <w:tcPr>
            <w:tcW w:w="1871" w:type="dxa"/>
          </w:tcPr>
          <w:p>
            <w:pPr>
              <w:pStyle w:val="0"/>
              <w:jc w:val="center"/>
            </w:pPr>
            <w:r>
              <w:rPr>
                <w:sz w:val="20"/>
              </w:rPr>
              <w:t xml:space="preserve">32,84</w:t>
            </w:r>
          </w:p>
        </w:tc>
        <w:tc>
          <w:tcPr>
            <w:tcW w:w="1587" w:type="dxa"/>
          </w:tcPr>
          <w:p>
            <w:pPr>
              <w:pStyle w:val="0"/>
              <w:jc w:val="center"/>
            </w:pPr>
            <w:r>
              <w:rPr>
                <w:sz w:val="20"/>
              </w:rPr>
              <w:t xml:space="preserve">16,5</w:t>
            </w:r>
          </w:p>
        </w:tc>
        <w:tc>
          <w:tcPr>
            <w:tcW w:w="1587" w:type="dxa"/>
          </w:tcPr>
          <w:p>
            <w:pPr>
              <w:pStyle w:val="0"/>
              <w:jc w:val="center"/>
            </w:pPr>
            <w:r>
              <w:rPr>
                <w:sz w:val="20"/>
              </w:rPr>
              <w:t xml:space="preserve">12</w:t>
            </w:r>
          </w:p>
        </w:tc>
        <w:tc>
          <w:tcPr>
            <w:tcW w:w="1644" w:type="dxa"/>
          </w:tcPr>
          <w:p>
            <w:pPr>
              <w:pStyle w:val="0"/>
              <w:jc w:val="center"/>
            </w:pPr>
            <w:r>
              <w:rPr>
                <w:sz w:val="20"/>
              </w:rPr>
              <w:t xml:space="preserve">8</w:t>
            </w:r>
          </w:p>
        </w:tc>
      </w:tr>
      <w:tr>
        <w:tc>
          <w:tcPr>
            <w:tcW w:w="2381" w:type="dxa"/>
          </w:tcPr>
          <w:p>
            <w:pPr>
              <w:pStyle w:val="0"/>
              <w:jc w:val="both"/>
            </w:pPr>
            <w:r>
              <w:rPr>
                <w:sz w:val="20"/>
              </w:rPr>
              <w:t xml:space="preserve">Средний медицинский персонал</w:t>
            </w:r>
          </w:p>
        </w:tc>
        <w:tc>
          <w:tcPr>
            <w:tcW w:w="1871" w:type="dxa"/>
          </w:tcPr>
          <w:p>
            <w:pPr>
              <w:pStyle w:val="0"/>
              <w:jc w:val="center"/>
            </w:pPr>
            <w:r>
              <w:rPr>
                <w:sz w:val="20"/>
              </w:rPr>
              <w:t xml:space="preserve">38,75</w:t>
            </w:r>
          </w:p>
        </w:tc>
        <w:tc>
          <w:tcPr>
            <w:tcW w:w="1587" w:type="dxa"/>
          </w:tcPr>
          <w:p>
            <w:pPr>
              <w:pStyle w:val="0"/>
              <w:jc w:val="center"/>
            </w:pPr>
            <w:r>
              <w:rPr>
                <w:sz w:val="20"/>
              </w:rPr>
              <w:t xml:space="preserve">19,5</w:t>
            </w:r>
          </w:p>
        </w:tc>
        <w:tc>
          <w:tcPr>
            <w:tcW w:w="1587" w:type="dxa"/>
          </w:tcPr>
          <w:p>
            <w:pPr>
              <w:pStyle w:val="0"/>
              <w:jc w:val="center"/>
            </w:pPr>
            <w:r>
              <w:rPr>
                <w:sz w:val="20"/>
              </w:rPr>
              <w:t xml:space="preserve">14,5</w:t>
            </w:r>
          </w:p>
        </w:tc>
        <w:tc>
          <w:tcPr>
            <w:tcW w:w="1644" w:type="dxa"/>
          </w:tcPr>
          <w:p>
            <w:pPr>
              <w:pStyle w:val="0"/>
              <w:jc w:val="center"/>
            </w:pPr>
            <w:r>
              <w:rPr>
                <w:sz w:val="20"/>
              </w:rPr>
              <w:t xml:space="preserve">14</w:t>
            </w:r>
          </w:p>
        </w:tc>
      </w:tr>
      <w:tr>
        <w:tc>
          <w:tcPr>
            <w:tcW w:w="2381" w:type="dxa"/>
          </w:tcPr>
          <w:p>
            <w:pPr>
              <w:pStyle w:val="0"/>
              <w:jc w:val="both"/>
            </w:pPr>
            <w:r>
              <w:rPr>
                <w:sz w:val="20"/>
              </w:rPr>
              <w:t xml:space="preserve">Младший медицинский персонал</w:t>
            </w:r>
          </w:p>
        </w:tc>
        <w:tc>
          <w:tcPr>
            <w:tcW w:w="1871" w:type="dxa"/>
          </w:tcPr>
          <w:p>
            <w:pPr>
              <w:pStyle w:val="0"/>
              <w:jc w:val="center"/>
            </w:pPr>
            <w:r>
              <w:rPr>
                <w:sz w:val="20"/>
              </w:rPr>
              <w:t xml:space="preserve">28,5</w:t>
            </w:r>
          </w:p>
        </w:tc>
        <w:tc>
          <w:tcPr>
            <w:tcW w:w="1587" w:type="dxa"/>
          </w:tcPr>
          <w:p>
            <w:pPr>
              <w:pStyle w:val="0"/>
              <w:jc w:val="center"/>
            </w:pPr>
            <w:r>
              <w:rPr>
                <w:sz w:val="20"/>
              </w:rPr>
              <w:t xml:space="preserve">21</w:t>
            </w:r>
          </w:p>
        </w:tc>
        <w:tc>
          <w:tcPr>
            <w:tcW w:w="1587" w:type="dxa"/>
          </w:tcPr>
          <w:p>
            <w:pPr>
              <w:pStyle w:val="0"/>
              <w:jc w:val="center"/>
            </w:pPr>
            <w:r>
              <w:rPr>
                <w:sz w:val="20"/>
              </w:rPr>
              <w:t xml:space="preserve">15</w:t>
            </w:r>
          </w:p>
        </w:tc>
        <w:tc>
          <w:tcPr>
            <w:tcW w:w="1644" w:type="dxa"/>
          </w:tcPr>
          <w:p>
            <w:pPr>
              <w:pStyle w:val="0"/>
              <w:jc w:val="center"/>
            </w:pPr>
            <w:r>
              <w:rPr>
                <w:sz w:val="20"/>
              </w:rPr>
              <w:t xml:space="preserve">7</w:t>
            </w:r>
          </w:p>
        </w:tc>
      </w:tr>
    </w:tbl>
    <w:p>
      <w:pPr>
        <w:pStyle w:val="0"/>
        <w:ind w:firstLine="540"/>
        <w:jc w:val="both"/>
      </w:pPr>
      <w:r>
        <w:rPr>
          <w:sz w:val="20"/>
        </w:rPr>
      </w:r>
    </w:p>
    <w:p>
      <w:pPr>
        <w:pStyle w:val="2"/>
        <w:outlineLvl w:val="4"/>
        <w:jc w:val="center"/>
      </w:pPr>
      <w:r>
        <w:rPr>
          <w:sz w:val="20"/>
        </w:rPr>
        <w:t xml:space="preserve">4.2.2. Отделение кардиохирургии</w:t>
      </w:r>
    </w:p>
    <w:p>
      <w:pPr>
        <w:pStyle w:val="0"/>
        <w:jc w:val="center"/>
      </w:pPr>
      <w:r>
        <w:rPr>
          <w:sz w:val="20"/>
        </w:rPr>
      </w:r>
    </w:p>
    <w:p>
      <w:pPr>
        <w:pStyle w:val="0"/>
        <w:ind w:firstLine="540"/>
        <w:jc w:val="both"/>
      </w:pPr>
      <w:r>
        <w:rPr>
          <w:sz w:val="20"/>
        </w:rPr>
        <w:t xml:space="preserve">Штатное расписание соответствует </w:t>
      </w:r>
      <w:hyperlink w:history="0" r:id="rId636" w:tooltip="Приказ Минздрава России от 15.11.2012 N 918н (ред. от 21.02.2020) &quot;Об утверждении порядка оказания медицинской помощи больным с сердечно-сосудистыми заболеваниями&quot; (Зарегистрировано в Минюсте России 29.12.2012 N 26483) {КонсультантПлюс}">
        <w:r>
          <w:rPr>
            <w:sz w:val="20"/>
            <w:color w:val="0000ff"/>
          </w:rPr>
          <w:t xml:space="preserve">приказу</w:t>
        </w:r>
      </w:hyperlink>
      <w:r>
        <w:rPr>
          <w:sz w:val="20"/>
        </w:rPr>
        <w:t xml:space="preserve"> Министерства здравоохранения Российской Федерации от 15.11.2012 N 918н "Об утверждении Порядка оказания медицинской помощи взрослому населению по профилю "кардиохирургия". В настоящее время в отделении имеется одна ставка заведующего отделением, 7,25 ставки врача-кардиолога, 5,25 ставки врача - анестезиолога-реаниматолога, 5,75 ставки врача - сердечно-сосудистого хирурга.</w:t>
      </w:r>
    </w:p>
    <w:p>
      <w:pPr>
        <w:pStyle w:val="0"/>
        <w:spacing w:before="200" w:line-rule="auto"/>
        <w:ind w:firstLine="540"/>
        <w:jc w:val="both"/>
      </w:pPr>
      <w:r>
        <w:rPr>
          <w:sz w:val="20"/>
        </w:rPr>
        <w:t xml:space="preserve">Занятость физическими лицами составляет 6,25 врача-кардиолога, 4,25 анестезиолога-реаниматолога, 3,5 сердечно-сосудистого хирурга.</w:t>
      </w:r>
    </w:p>
    <w:p>
      <w:pPr>
        <w:pStyle w:val="0"/>
        <w:ind w:firstLine="540"/>
        <w:jc w:val="both"/>
      </w:pPr>
      <w:r>
        <w:rPr>
          <w:sz w:val="20"/>
        </w:rPr>
      </w:r>
    </w:p>
    <w:p>
      <w:pPr>
        <w:pStyle w:val="0"/>
        <w:jc w:val="center"/>
      </w:pPr>
      <w:r>
        <w:rPr>
          <w:sz w:val="20"/>
        </w:rPr>
        <w:t xml:space="preserve">Фактические и рекомендуемые штатные нормативы отделения</w:t>
      </w:r>
    </w:p>
    <w:p>
      <w:pPr>
        <w:pStyle w:val="0"/>
        <w:jc w:val="center"/>
      </w:pPr>
      <w:r>
        <w:rPr>
          <w:sz w:val="20"/>
        </w:rPr>
        <w:t xml:space="preserve">кардиохирургии РСЦ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1928"/>
        <w:gridCol w:w="1871"/>
        <w:gridCol w:w="1757"/>
      </w:tblGrid>
      <w:tr>
        <w:tc>
          <w:tcPr>
            <w:tcW w:w="3515" w:type="dxa"/>
          </w:tcPr>
          <w:p>
            <w:pPr>
              <w:pStyle w:val="0"/>
              <w:jc w:val="center"/>
            </w:pPr>
            <w:r>
              <w:rPr>
                <w:sz w:val="20"/>
              </w:rPr>
              <w:t xml:space="preserve">Должность (специальность, профессия)</w:t>
            </w:r>
          </w:p>
        </w:tc>
        <w:tc>
          <w:tcPr>
            <w:tcW w:w="1928" w:type="dxa"/>
          </w:tcPr>
          <w:p>
            <w:pPr>
              <w:pStyle w:val="0"/>
              <w:jc w:val="center"/>
            </w:pPr>
            <w:r>
              <w:rPr>
                <w:sz w:val="20"/>
              </w:rPr>
              <w:t xml:space="preserve">Количество имеющихся штатных должностей</w:t>
            </w:r>
          </w:p>
        </w:tc>
        <w:tc>
          <w:tcPr>
            <w:tcW w:w="1871" w:type="dxa"/>
          </w:tcPr>
          <w:p>
            <w:pPr>
              <w:pStyle w:val="0"/>
              <w:jc w:val="center"/>
            </w:pPr>
            <w:r>
              <w:rPr>
                <w:sz w:val="20"/>
              </w:rPr>
              <w:t xml:space="preserve">Рекомендуемое количество штатных должностей</w:t>
            </w:r>
          </w:p>
        </w:tc>
        <w:tc>
          <w:tcPr>
            <w:tcW w:w="1757" w:type="dxa"/>
          </w:tcPr>
          <w:p>
            <w:pPr>
              <w:pStyle w:val="0"/>
              <w:jc w:val="center"/>
            </w:pPr>
            <w:r>
              <w:rPr>
                <w:sz w:val="20"/>
              </w:rPr>
              <w:t xml:space="preserve">Необходимое количество штатных должностей</w:t>
            </w:r>
          </w:p>
        </w:tc>
      </w:tr>
      <w:tr>
        <w:tc>
          <w:tcPr>
            <w:tcW w:w="3515" w:type="dxa"/>
          </w:tcPr>
          <w:p>
            <w:pPr>
              <w:pStyle w:val="0"/>
              <w:jc w:val="both"/>
            </w:pPr>
            <w:r>
              <w:rPr>
                <w:sz w:val="20"/>
              </w:rPr>
              <w:t xml:space="preserve">Заведующий отделением кардиохирургии</w:t>
            </w:r>
          </w:p>
        </w:tc>
        <w:tc>
          <w:tcPr>
            <w:tcW w:w="1928" w:type="dxa"/>
          </w:tcPr>
          <w:p>
            <w:pPr>
              <w:pStyle w:val="0"/>
              <w:jc w:val="center"/>
            </w:pPr>
            <w:r>
              <w:rPr>
                <w:sz w:val="20"/>
              </w:rPr>
              <w:t xml:space="preserve">1,0</w:t>
            </w:r>
          </w:p>
        </w:tc>
        <w:tc>
          <w:tcPr>
            <w:tcW w:w="1871" w:type="dxa"/>
          </w:tcPr>
          <w:p>
            <w:pPr>
              <w:pStyle w:val="0"/>
              <w:jc w:val="center"/>
            </w:pPr>
            <w:r>
              <w:rPr>
                <w:sz w:val="20"/>
              </w:rPr>
              <w:t xml:space="preserve">1,0</w:t>
            </w:r>
          </w:p>
        </w:tc>
        <w:tc>
          <w:tcPr>
            <w:tcW w:w="1757" w:type="dxa"/>
          </w:tcPr>
          <w:p>
            <w:pPr>
              <w:pStyle w:val="0"/>
              <w:jc w:val="center"/>
            </w:pPr>
            <w:r>
              <w:rPr>
                <w:sz w:val="20"/>
              </w:rPr>
              <w:t xml:space="preserve">0</w:t>
            </w:r>
          </w:p>
        </w:tc>
      </w:tr>
      <w:tr>
        <w:tc>
          <w:tcPr>
            <w:tcW w:w="3515" w:type="dxa"/>
          </w:tcPr>
          <w:p>
            <w:pPr>
              <w:pStyle w:val="0"/>
              <w:jc w:val="both"/>
            </w:pPr>
            <w:r>
              <w:rPr>
                <w:sz w:val="20"/>
              </w:rPr>
              <w:t xml:space="preserve">Старшая медицинская сестра</w:t>
            </w:r>
          </w:p>
        </w:tc>
        <w:tc>
          <w:tcPr>
            <w:tcW w:w="1928" w:type="dxa"/>
          </w:tcPr>
          <w:p>
            <w:pPr>
              <w:pStyle w:val="0"/>
              <w:jc w:val="center"/>
            </w:pPr>
            <w:r>
              <w:rPr>
                <w:sz w:val="20"/>
              </w:rPr>
              <w:t xml:space="preserve">1,0</w:t>
            </w:r>
          </w:p>
        </w:tc>
        <w:tc>
          <w:tcPr>
            <w:tcW w:w="1871" w:type="dxa"/>
          </w:tcPr>
          <w:p>
            <w:pPr>
              <w:pStyle w:val="0"/>
              <w:jc w:val="center"/>
            </w:pPr>
            <w:r>
              <w:rPr>
                <w:sz w:val="20"/>
              </w:rPr>
              <w:t xml:space="preserve">1,0</w:t>
            </w:r>
          </w:p>
        </w:tc>
        <w:tc>
          <w:tcPr>
            <w:tcW w:w="1757" w:type="dxa"/>
          </w:tcPr>
          <w:p>
            <w:pPr>
              <w:pStyle w:val="0"/>
              <w:jc w:val="center"/>
            </w:pPr>
            <w:r>
              <w:rPr>
                <w:sz w:val="20"/>
              </w:rPr>
              <w:t xml:space="preserve">0</w:t>
            </w:r>
          </w:p>
        </w:tc>
      </w:tr>
      <w:tr>
        <w:tc>
          <w:tcPr>
            <w:tcW w:w="3515" w:type="dxa"/>
          </w:tcPr>
          <w:p>
            <w:pPr>
              <w:pStyle w:val="0"/>
              <w:jc w:val="both"/>
            </w:pPr>
            <w:r>
              <w:rPr>
                <w:sz w:val="20"/>
              </w:rPr>
              <w:t xml:space="preserve">Сестра-хозяйка</w:t>
            </w:r>
          </w:p>
        </w:tc>
        <w:tc>
          <w:tcPr>
            <w:tcW w:w="1928" w:type="dxa"/>
          </w:tcPr>
          <w:p>
            <w:pPr>
              <w:pStyle w:val="0"/>
              <w:jc w:val="center"/>
            </w:pPr>
            <w:r>
              <w:rPr>
                <w:sz w:val="20"/>
              </w:rPr>
              <w:t xml:space="preserve">1,0</w:t>
            </w:r>
          </w:p>
        </w:tc>
        <w:tc>
          <w:tcPr>
            <w:tcW w:w="1871" w:type="dxa"/>
          </w:tcPr>
          <w:p>
            <w:pPr>
              <w:pStyle w:val="0"/>
              <w:jc w:val="center"/>
            </w:pPr>
            <w:r>
              <w:rPr>
                <w:sz w:val="20"/>
              </w:rPr>
              <w:t xml:space="preserve">1,0</w:t>
            </w:r>
          </w:p>
        </w:tc>
        <w:tc>
          <w:tcPr>
            <w:tcW w:w="1757" w:type="dxa"/>
          </w:tcPr>
          <w:p>
            <w:pPr>
              <w:pStyle w:val="0"/>
              <w:jc w:val="center"/>
            </w:pPr>
            <w:r>
              <w:rPr>
                <w:sz w:val="20"/>
              </w:rPr>
              <w:t xml:space="preserve">0</w:t>
            </w:r>
          </w:p>
        </w:tc>
      </w:tr>
      <w:tr>
        <w:tc>
          <w:tcPr>
            <w:tcW w:w="3515" w:type="dxa"/>
          </w:tcPr>
          <w:p>
            <w:pPr>
              <w:pStyle w:val="0"/>
              <w:jc w:val="both"/>
            </w:pPr>
            <w:r>
              <w:rPr>
                <w:sz w:val="20"/>
              </w:rPr>
              <w:t xml:space="preserve">Врач - сердечно-сосудистый хирург</w:t>
            </w:r>
          </w:p>
        </w:tc>
        <w:tc>
          <w:tcPr>
            <w:tcW w:w="1928" w:type="dxa"/>
          </w:tcPr>
          <w:p>
            <w:pPr>
              <w:pStyle w:val="0"/>
              <w:jc w:val="center"/>
            </w:pPr>
            <w:r>
              <w:rPr>
                <w:sz w:val="20"/>
              </w:rPr>
              <w:t xml:space="preserve">5,75</w:t>
            </w:r>
          </w:p>
        </w:tc>
        <w:tc>
          <w:tcPr>
            <w:tcW w:w="1871" w:type="dxa"/>
          </w:tcPr>
          <w:p>
            <w:pPr>
              <w:pStyle w:val="0"/>
              <w:jc w:val="center"/>
            </w:pPr>
            <w:r>
              <w:rPr>
                <w:sz w:val="20"/>
              </w:rPr>
              <w:t xml:space="preserve">5,75</w:t>
            </w:r>
          </w:p>
        </w:tc>
        <w:tc>
          <w:tcPr>
            <w:tcW w:w="1757" w:type="dxa"/>
          </w:tcPr>
          <w:p>
            <w:pPr>
              <w:pStyle w:val="0"/>
              <w:jc w:val="center"/>
            </w:pPr>
            <w:r>
              <w:rPr>
                <w:sz w:val="20"/>
              </w:rPr>
              <w:t xml:space="preserve">0</w:t>
            </w:r>
          </w:p>
        </w:tc>
      </w:tr>
      <w:tr>
        <w:tc>
          <w:tcPr>
            <w:tcW w:w="3515" w:type="dxa"/>
          </w:tcPr>
          <w:p>
            <w:pPr>
              <w:pStyle w:val="0"/>
              <w:jc w:val="both"/>
            </w:pPr>
            <w:r>
              <w:rPr>
                <w:sz w:val="20"/>
              </w:rPr>
              <w:t xml:space="preserve">Врач-кардиолог</w:t>
            </w:r>
          </w:p>
        </w:tc>
        <w:tc>
          <w:tcPr>
            <w:tcW w:w="1928" w:type="dxa"/>
          </w:tcPr>
          <w:p>
            <w:pPr>
              <w:pStyle w:val="0"/>
              <w:jc w:val="center"/>
            </w:pPr>
            <w:r>
              <w:rPr>
                <w:sz w:val="20"/>
              </w:rPr>
              <w:t xml:space="preserve">7,25</w:t>
            </w:r>
          </w:p>
        </w:tc>
        <w:tc>
          <w:tcPr>
            <w:tcW w:w="1871" w:type="dxa"/>
          </w:tcPr>
          <w:p>
            <w:pPr>
              <w:pStyle w:val="0"/>
              <w:jc w:val="center"/>
            </w:pPr>
            <w:r>
              <w:rPr>
                <w:sz w:val="20"/>
              </w:rPr>
              <w:t xml:space="preserve">9,5</w:t>
            </w:r>
          </w:p>
        </w:tc>
        <w:tc>
          <w:tcPr>
            <w:tcW w:w="1757" w:type="dxa"/>
          </w:tcPr>
          <w:p>
            <w:pPr>
              <w:pStyle w:val="0"/>
              <w:jc w:val="center"/>
            </w:pPr>
            <w:r>
              <w:rPr>
                <w:sz w:val="20"/>
              </w:rPr>
              <w:t xml:space="preserve">2,25</w:t>
            </w:r>
          </w:p>
        </w:tc>
      </w:tr>
      <w:tr>
        <w:tc>
          <w:tcPr>
            <w:tcW w:w="3515" w:type="dxa"/>
          </w:tcPr>
          <w:p>
            <w:pPr>
              <w:pStyle w:val="0"/>
              <w:jc w:val="both"/>
            </w:pPr>
            <w:r>
              <w:rPr>
                <w:sz w:val="20"/>
              </w:rPr>
              <w:t xml:space="preserve">Врач - анестезиолог-реаниматолог</w:t>
            </w:r>
          </w:p>
        </w:tc>
        <w:tc>
          <w:tcPr>
            <w:tcW w:w="1928" w:type="dxa"/>
          </w:tcPr>
          <w:p>
            <w:pPr>
              <w:pStyle w:val="0"/>
              <w:jc w:val="center"/>
            </w:pPr>
            <w:r>
              <w:rPr>
                <w:sz w:val="20"/>
              </w:rPr>
              <w:t xml:space="preserve">5,25</w:t>
            </w:r>
          </w:p>
        </w:tc>
        <w:tc>
          <w:tcPr>
            <w:tcW w:w="1871" w:type="dxa"/>
          </w:tcPr>
          <w:p>
            <w:pPr>
              <w:pStyle w:val="0"/>
              <w:jc w:val="center"/>
            </w:pPr>
            <w:r>
              <w:rPr>
                <w:sz w:val="20"/>
              </w:rPr>
              <w:t xml:space="preserve">5,25</w:t>
            </w:r>
          </w:p>
        </w:tc>
        <w:tc>
          <w:tcPr>
            <w:tcW w:w="1757" w:type="dxa"/>
          </w:tcPr>
          <w:p>
            <w:pPr>
              <w:pStyle w:val="0"/>
              <w:jc w:val="center"/>
            </w:pPr>
            <w:r>
              <w:rPr>
                <w:sz w:val="20"/>
              </w:rPr>
              <w:t xml:space="preserve">0</w:t>
            </w:r>
          </w:p>
        </w:tc>
      </w:tr>
      <w:tr>
        <w:tc>
          <w:tcPr>
            <w:tcW w:w="3515" w:type="dxa"/>
          </w:tcPr>
          <w:p>
            <w:pPr>
              <w:pStyle w:val="0"/>
              <w:jc w:val="both"/>
            </w:pPr>
            <w:r>
              <w:rPr>
                <w:sz w:val="20"/>
              </w:rPr>
              <w:t xml:space="preserve">Врач ультразвуковой диагностики</w:t>
            </w:r>
          </w:p>
        </w:tc>
        <w:tc>
          <w:tcPr>
            <w:tcW w:w="1928" w:type="dxa"/>
          </w:tcPr>
          <w:p>
            <w:pPr>
              <w:pStyle w:val="0"/>
              <w:jc w:val="center"/>
            </w:pPr>
            <w:r>
              <w:rPr>
                <w:sz w:val="20"/>
              </w:rPr>
              <w:t xml:space="preserve">1,0</w:t>
            </w:r>
          </w:p>
        </w:tc>
        <w:tc>
          <w:tcPr>
            <w:tcW w:w="1871" w:type="dxa"/>
          </w:tcPr>
          <w:p>
            <w:pPr>
              <w:pStyle w:val="0"/>
              <w:jc w:val="center"/>
            </w:pPr>
            <w:r>
              <w:rPr>
                <w:sz w:val="20"/>
              </w:rPr>
              <w:t xml:space="preserve">1,0</w:t>
            </w:r>
          </w:p>
        </w:tc>
        <w:tc>
          <w:tcPr>
            <w:tcW w:w="1757" w:type="dxa"/>
          </w:tcPr>
          <w:p>
            <w:pPr>
              <w:pStyle w:val="0"/>
              <w:jc w:val="center"/>
            </w:pPr>
            <w:r>
              <w:rPr>
                <w:sz w:val="20"/>
              </w:rPr>
              <w:t xml:space="preserve">0</w:t>
            </w:r>
          </w:p>
        </w:tc>
      </w:tr>
      <w:tr>
        <w:tc>
          <w:tcPr>
            <w:tcW w:w="3515" w:type="dxa"/>
          </w:tcPr>
          <w:p>
            <w:pPr>
              <w:pStyle w:val="0"/>
              <w:jc w:val="both"/>
            </w:pPr>
            <w:r>
              <w:rPr>
                <w:sz w:val="20"/>
              </w:rPr>
              <w:t xml:space="preserve">Врач функциональной диагностики</w:t>
            </w:r>
          </w:p>
        </w:tc>
        <w:tc>
          <w:tcPr>
            <w:tcW w:w="1928" w:type="dxa"/>
          </w:tcPr>
          <w:p>
            <w:pPr>
              <w:pStyle w:val="0"/>
              <w:jc w:val="center"/>
            </w:pPr>
            <w:r>
              <w:rPr>
                <w:sz w:val="20"/>
              </w:rPr>
              <w:t xml:space="preserve">0</w:t>
            </w:r>
          </w:p>
        </w:tc>
        <w:tc>
          <w:tcPr>
            <w:tcW w:w="1871" w:type="dxa"/>
          </w:tcPr>
          <w:p>
            <w:pPr>
              <w:pStyle w:val="0"/>
              <w:jc w:val="center"/>
            </w:pPr>
            <w:r>
              <w:rPr>
                <w:sz w:val="20"/>
              </w:rPr>
              <w:t xml:space="preserve">1,0</w:t>
            </w:r>
          </w:p>
        </w:tc>
        <w:tc>
          <w:tcPr>
            <w:tcW w:w="1757" w:type="dxa"/>
          </w:tcPr>
          <w:p>
            <w:pPr>
              <w:pStyle w:val="0"/>
              <w:jc w:val="center"/>
            </w:pPr>
            <w:r>
              <w:rPr>
                <w:sz w:val="20"/>
              </w:rPr>
              <w:t xml:space="preserve">1,0</w:t>
            </w:r>
          </w:p>
        </w:tc>
      </w:tr>
      <w:tr>
        <w:tc>
          <w:tcPr>
            <w:tcW w:w="3515" w:type="dxa"/>
          </w:tcPr>
          <w:p>
            <w:pPr>
              <w:pStyle w:val="0"/>
              <w:jc w:val="both"/>
            </w:pPr>
            <w:r>
              <w:rPr>
                <w:sz w:val="20"/>
              </w:rPr>
              <w:t xml:space="preserve">Врач по ЛФК</w:t>
            </w:r>
          </w:p>
        </w:tc>
        <w:tc>
          <w:tcPr>
            <w:tcW w:w="1928" w:type="dxa"/>
          </w:tcPr>
          <w:p>
            <w:pPr>
              <w:pStyle w:val="0"/>
              <w:jc w:val="center"/>
            </w:pPr>
            <w:r>
              <w:rPr>
                <w:sz w:val="20"/>
              </w:rPr>
              <w:t xml:space="preserve">0</w:t>
            </w:r>
          </w:p>
        </w:tc>
        <w:tc>
          <w:tcPr>
            <w:tcW w:w="1871" w:type="dxa"/>
          </w:tcPr>
          <w:p>
            <w:pPr>
              <w:pStyle w:val="0"/>
              <w:jc w:val="center"/>
            </w:pPr>
            <w:r>
              <w:rPr>
                <w:sz w:val="20"/>
              </w:rPr>
              <w:t xml:space="preserve">0,25</w:t>
            </w:r>
          </w:p>
        </w:tc>
        <w:tc>
          <w:tcPr>
            <w:tcW w:w="1757" w:type="dxa"/>
          </w:tcPr>
          <w:p>
            <w:pPr>
              <w:pStyle w:val="0"/>
              <w:jc w:val="center"/>
            </w:pPr>
            <w:r>
              <w:rPr>
                <w:sz w:val="20"/>
              </w:rPr>
              <w:t xml:space="preserve">0,25</w:t>
            </w:r>
          </w:p>
        </w:tc>
      </w:tr>
      <w:tr>
        <w:tc>
          <w:tcPr>
            <w:tcW w:w="3515" w:type="dxa"/>
          </w:tcPr>
          <w:p>
            <w:pPr>
              <w:pStyle w:val="0"/>
              <w:jc w:val="both"/>
            </w:pPr>
            <w:r>
              <w:rPr>
                <w:sz w:val="20"/>
              </w:rPr>
              <w:t xml:space="preserve">Инструктор по ЛФК</w:t>
            </w:r>
          </w:p>
        </w:tc>
        <w:tc>
          <w:tcPr>
            <w:tcW w:w="1928" w:type="dxa"/>
          </w:tcPr>
          <w:p>
            <w:pPr>
              <w:pStyle w:val="0"/>
              <w:jc w:val="center"/>
            </w:pPr>
            <w:r>
              <w:rPr>
                <w:sz w:val="20"/>
              </w:rPr>
              <w:t xml:space="preserve">0</w:t>
            </w:r>
          </w:p>
        </w:tc>
        <w:tc>
          <w:tcPr>
            <w:tcW w:w="1871" w:type="dxa"/>
          </w:tcPr>
          <w:p>
            <w:pPr>
              <w:pStyle w:val="0"/>
              <w:jc w:val="center"/>
            </w:pPr>
            <w:r>
              <w:rPr>
                <w:sz w:val="20"/>
              </w:rPr>
              <w:t xml:space="preserve">0,25</w:t>
            </w:r>
          </w:p>
        </w:tc>
        <w:tc>
          <w:tcPr>
            <w:tcW w:w="1757" w:type="dxa"/>
          </w:tcPr>
          <w:p>
            <w:pPr>
              <w:pStyle w:val="0"/>
              <w:jc w:val="center"/>
            </w:pPr>
            <w:r>
              <w:rPr>
                <w:sz w:val="20"/>
              </w:rPr>
              <w:t xml:space="preserve">0,25</w:t>
            </w:r>
          </w:p>
        </w:tc>
      </w:tr>
      <w:tr>
        <w:tc>
          <w:tcPr>
            <w:tcW w:w="3515" w:type="dxa"/>
          </w:tcPr>
          <w:p>
            <w:pPr>
              <w:pStyle w:val="0"/>
              <w:jc w:val="both"/>
            </w:pPr>
            <w:r>
              <w:rPr>
                <w:sz w:val="20"/>
              </w:rPr>
              <w:t xml:space="preserve">Медицинский психолог</w:t>
            </w:r>
          </w:p>
        </w:tc>
        <w:tc>
          <w:tcPr>
            <w:tcW w:w="1928" w:type="dxa"/>
          </w:tcPr>
          <w:p>
            <w:pPr>
              <w:pStyle w:val="0"/>
              <w:jc w:val="center"/>
            </w:pPr>
            <w:r>
              <w:rPr>
                <w:sz w:val="20"/>
              </w:rPr>
              <w:t xml:space="preserve">0</w:t>
            </w:r>
          </w:p>
        </w:tc>
        <w:tc>
          <w:tcPr>
            <w:tcW w:w="1871" w:type="dxa"/>
          </w:tcPr>
          <w:p>
            <w:pPr>
              <w:pStyle w:val="0"/>
              <w:jc w:val="center"/>
            </w:pPr>
            <w:r>
              <w:rPr>
                <w:sz w:val="20"/>
              </w:rPr>
              <w:t xml:space="preserve">0,25</w:t>
            </w:r>
          </w:p>
        </w:tc>
        <w:tc>
          <w:tcPr>
            <w:tcW w:w="1757" w:type="dxa"/>
          </w:tcPr>
          <w:p>
            <w:pPr>
              <w:pStyle w:val="0"/>
              <w:jc w:val="center"/>
            </w:pPr>
            <w:r>
              <w:rPr>
                <w:sz w:val="20"/>
              </w:rPr>
              <w:t xml:space="preserve">0,25</w:t>
            </w:r>
          </w:p>
        </w:tc>
      </w:tr>
      <w:tr>
        <w:tc>
          <w:tcPr>
            <w:tcW w:w="3515" w:type="dxa"/>
          </w:tcPr>
          <w:p>
            <w:pPr>
              <w:pStyle w:val="0"/>
              <w:jc w:val="both"/>
            </w:pPr>
            <w:r>
              <w:rPr>
                <w:sz w:val="20"/>
              </w:rPr>
              <w:t xml:space="preserve">М/с врача ультразвуковой диагностики</w:t>
            </w:r>
          </w:p>
        </w:tc>
        <w:tc>
          <w:tcPr>
            <w:tcW w:w="1928" w:type="dxa"/>
          </w:tcPr>
          <w:p>
            <w:pPr>
              <w:pStyle w:val="0"/>
              <w:jc w:val="center"/>
            </w:pPr>
            <w:r>
              <w:rPr>
                <w:sz w:val="20"/>
              </w:rPr>
              <w:t xml:space="preserve">0</w:t>
            </w:r>
          </w:p>
        </w:tc>
        <w:tc>
          <w:tcPr>
            <w:tcW w:w="1871" w:type="dxa"/>
          </w:tcPr>
          <w:p>
            <w:pPr>
              <w:pStyle w:val="0"/>
              <w:jc w:val="center"/>
            </w:pPr>
            <w:r>
              <w:rPr>
                <w:sz w:val="20"/>
              </w:rPr>
              <w:t xml:space="preserve">1,0</w:t>
            </w:r>
          </w:p>
        </w:tc>
        <w:tc>
          <w:tcPr>
            <w:tcW w:w="1757" w:type="dxa"/>
          </w:tcPr>
          <w:p>
            <w:pPr>
              <w:pStyle w:val="0"/>
              <w:jc w:val="center"/>
            </w:pPr>
            <w:r>
              <w:rPr>
                <w:sz w:val="20"/>
              </w:rPr>
              <w:t xml:space="preserve">1,0</w:t>
            </w:r>
          </w:p>
        </w:tc>
      </w:tr>
      <w:tr>
        <w:tc>
          <w:tcPr>
            <w:tcW w:w="3515" w:type="dxa"/>
          </w:tcPr>
          <w:p>
            <w:pPr>
              <w:pStyle w:val="0"/>
              <w:jc w:val="both"/>
            </w:pPr>
            <w:r>
              <w:rPr>
                <w:sz w:val="20"/>
              </w:rPr>
              <w:t xml:space="preserve">М/с врача функциональной диагностики</w:t>
            </w:r>
          </w:p>
        </w:tc>
        <w:tc>
          <w:tcPr>
            <w:tcW w:w="1928" w:type="dxa"/>
          </w:tcPr>
          <w:p>
            <w:pPr>
              <w:pStyle w:val="0"/>
              <w:jc w:val="center"/>
            </w:pPr>
            <w:r>
              <w:rPr>
                <w:sz w:val="20"/>
              </w:rPr>
              <w:t xml:space="preserve">0</w:t>
            </w:r>
          </w:p>
        </w:tc>
        <w:tc>
          <w:tcPr>
            <w:tcW w:w="1871" w:type="dxa"/>
          </w:tcPr>
          <w:p>
            <w:pPr>
              <w:pStyle w:val="0"/>
              <w:jc w:val="center"/>
            </w:pPr>
            <w:r>
              <w:rPr>
                <w:sz w:val="20"/>
              </w:rPr>
              <w:t xml:space="preserve">1,0</w:t>
            </w:r>
          </w:p>
        </w:tc>
        <w:tc>
          <w:tcPr>
            <w:tcW w:w="1757" w:type="dxa"/>
          </w:tcPr>
          <w:p>
            <w:pPr>
              <w:pStyle w:val="0"/>
              <w:jc w:val="center"/>
            </w:pPr>
            <w:r>
              <w:rPr>
                <w:sz w:val="20"/>
              </w:rPr>
              <w:t xml:space="preserve">1,0</w:t>
            </w:r>
          </w:p>
        </w:tc>
      </w:tr>
      <w:tr>
        <w:tc>
          <w:tcPr>
            <w:tcW w:w="3515" w:type="dxa"/>
          </w:tcPr>
          <w:p>
            <w:pPr>
              <w:pStyle w:val="0"/>
              <w:jc w:val="both"/>
            </w:pPr>
            <w:r>
              <w:rPr>
                <w:sz w:val="20"/>
              </w:rPr>
              <w:t xml:space="preserve">Медицинская сестра палатная</w:t>
            </w:r>
          </w:p>
        </w:tc>
        <w:tc>
          <w:tcPr>
            <w:tcW w:w="1928" w:type="dxa"/>
          </w:tcPr>
          <w:p>
            <w:pPr>
              <w:pStyle w:val="0"/>
              <w:jc w:val="center"/>
            </w:pPr>
            <w:r>
              <w:rPr>
                <w:sz w:val="20"/>
              </w:rPr>
              <w:t xml:space="preserve">9,5</w:t>
            </w:r>
          </w:p>
        </w:tc>
        <w:tc>
          <w:tcPr>
            <w:tcW w:w="1871" w:type="dxa"/>
          </w:tcPr>
          <w:p>
            <w:pPr>
              <w:pStyle w:val="0"/>
              <w:jc w:val="center"/>
            </w:pPr>
            <w:r>
              <w:rPr>
                <w:sz w:val="20"/>
              </w:rPr>
              <w:t xml:space="preserve">9,5</w:t>
            </w:r>
          </w:p>
        </w:tc>
        <w:tc>
          <w:tcPr>
            <w:tcW w:w="1757" w:type="dxa"/>
          </w:tcPr>
          <w:p>
            <w:pPr>
              <w:pStyle w:val="0"/>
              <w:jc w:val="center"/>
            </w:pPr>
            <w:r>
              <w:rPr>
                <w:sz w:val="20"/>
              </w:rPr>
              <w:t xml:space="preserve">0</w:t>
            </w:r>
          </w:p>
        </w:tc>
      </w:tr>
      <w:tr>
        <w:tc>
          <w:tcPr>
            <w:tcW w:w="3515" w:type="dxa"/>
          </w:tcPr>
          <w:p>
            <w:pPr>
              <w:pStyle w:val="0"/>
              <w:jc w:val="both"/>
            </w:pPr>
            <w:r>
              <w:rPr>
                <w:sz w:val="20"/>
              </w:rPr>
              <w:t xml:space="preserve">Медицинская сестра ПИТ на 6 коек</w:t>
            </w:r>
          </w:p>
        </w:tc>
        <w:tc>
          <w:tcPr>
            <w:tcW w:w="1928" w:type="dxa"/>
          </w:tcPr>
          <w:p>
            <w:pPr>
              <w:pStyle w:val="0"/>
              <w:jc w:val="center"/>
            </w:pPr>
            <w:r>
              <w:rPr>
                <w:sz w:val="20"/>
              </w:rPr>
              <w:t xml:space="preserve">7,75</w:t>
            </w:r>
          </w:p>
        </w:tc>
        <w:tc>
          <w:tcPr>
            <w:tcW w:w="1871" w:type="dxa"/>
          </w:tcPr>
          <w:p>
            <w:pPr>
              <w:pStyle w:val="0"/>
              <w:jc w:val="center"/>
            </w:pPr>
            <w:r>
              <w:rPr>
                <w:sz w:val="20"/>
              </w:rPr>
              <w:t xml:space="preserve">7,75</w:t>
            </w:r>
          </w:p>
        </w:tc>
        <w:tc>
          <w:tcPr>
            <w:tcW w:w="1757" w:type="dxa"/>
          </w:tcPr>
          <w:p>
            <w:pPr>
              <w:pStyle w:val="0"/>
              <w:jc w:val="center"/>
            </w:pPr>
            <w:r>
              <w:rPr>
                <w:sz w:val="20"/>
              </w:rPr>
              <w:t xml:space="preserve">0</w:t>
            </w:r>
          </w:p>
        </w:tc>
      </w:tr>
      <w:tr>
        <w:tc>
          <w:tcPr>
            <w:tcW w:w="3515" w:type="dxa"/>
          </w:tcPr>
          <w:p>
            <w:pPr>
              <w:pStyle w:val="0"/>
              <w:jc w:val="both"/>
            </w:pPr>
            <w:r>
              <w:rPr>
                <w:sz w:val="20"/>
              </w:rPr>
              <w:t xml:space="preserve">Медицинская сестра процедурная</w:t>
            </w:r>
          </w:p>
        </w:tc>
        <w:tc>
          <w:tcPr>
            <w:tcW w:w="1928" w:type="dxa"/>
          </w:tcPr>
          <w:p>
            <w:pPr>
              <w:pStyle w:val="0"/>
              <w:jc w:val="center"/>
            </w:pPr>
            <w:r>
              <w:rPr>
                <w:sz w:val="20"/>
              </w:rPr>
              <w:t xml:space="preserve">2,0</w:t>
            </w:r>
          </w:p>
        </w:tc>
        <w:tc>
          <w:tcPr>
            <w:tcW w:w="1871" w:type="dxa"/>
          </w:tcPr>
          <w:p>
            <w:pPr>
              <w:pStyle w:val="0"/>
              <w:jc w:val="center"/>
            </w:pPr>
            <w:r>
              <w:rPr>
                <w:sz w:val="20"/>
              </w:rPr>
              <w:t xml:space="preserve">2,0</w:t>
            </w:r>
          </w:p>
        </w:tc>
        <w:tc>
          <w:tcPr>
            <w:tcW w:w="1757" w:type="dxa"/>
          </w:tcPr>
          <w:p>
            <w:pPr>
              <w:pStyle w:val="0"/>
              <w:jc w:val="center"/>
            </w:pPr>
            <w:r>
              <w:rPr>
                <w:sz w:val="20"/>
              </w:rPr>
              <w:t xml:space="preserve">0</w:t>
            </w:r>
          </w:p>
        </w:tc>
      </w:tr>
      <w:tr>
        <w:tc>
          <w:tcPr>
            <w:tcW w:w="3515" w:type="dxa"/>
          </w:tcPr>
          <w:p>
            <w:pPr>
              <w:pStyle w:val="0"/>
              <w:jc w:val="both"/>
            </w:pPr>
            <w:r>
              <w:rPr>
                <w:sz w:val="20"/>
              </w:rPr>
              <w:t xml:space="preserve">Медицинская сестра перевязочная</w:t>
            </w:r>
          </w:p>
        </w:tc>
        <w:tc>
          <w:tcPr>
            <w:tcW w:w="1928" w:type="dxa"/>
          </w:tcPr>
          <w:p>
            <w:pPr>
              <w:pStyle w:val="0"/>
              <w:jc w:val="center"/>
            </w:pPr>
            <w:r>
              <w:rPr>
                <w:sz w:val="20"/>
              </w:rPr>
              <w:t xml:space="preserve">1,0</w:t>
            </w:r>
          </w:p>
        </w:tc>
        <w:tc>
          <w:tcPr>
            <w:tcW w:w="1871" w:type="dxa"/>
          </w:tcPr>
          <w:p>
            <w:pPr>
              <w:pStyle w:val="0"/>
              <w:jc w:val="center"/>
            </w:pPr>
            <w:r>
              <w:rPr>
                <w:sz w:val="20"/>
              </w:rPr>
              <w:t xml:space="preserve">1,0</w:t>
            </w:r>
          </w:p>
        </w:tc>
        <w:tc>
          <w:tcPr>
            <w:tcW w:w="1757" w:type="dxa"/>
          </w:tcPr>
          <w:p>
            <w:pPr>
              <w:pStyle w:val="0"/>
              <w:jc w:val="center"/>
            </w:pPr>
            <w:r>
              <w:rPr>
                <w:sz w:val="20"/>
              </w:rPr>
              <w:t xml:space="preserve">0</w:t>
            </w:r>
          </w:p>
        </w:tc>
      </w:tr>
      <w:tr>
        <w:tc>
          <w:tcPr>
            <w:tcW w:w="3515" w:type="dxa"/>
          </w:tcPr>
          <w:p>
            <w:pPr>
              <w:pStyle w:val="0"/>
              <w:jc w:val="both"/>
            </w:pPr>
            <w:r>
              <w:rPr>
                <w:sz w:val="20"/>
              </w:rPr>
              <w:t xml:space="preserve">Санитарка палатная отделения</w:t>
            </w:r>
          </w:p>
        </w:tc>
        <w:tc>
          <w:tcPr>
            <w:tcW w:w="1928" w:type="dxa"/>
          </w:tcPr>
          <w:p>
            <w:pPr>
              <w:pStyle w:val="0"/>
              <w:jc w:val="center"/>
            </w:pPr>
            <w:r>
              <w:rPr>
                <w:sz w:val="20"/>
              </w:rPr>
              <w:t xml:space="preserve">4,75</w:t>
            </w:r>
          </w:p>
        </w:tc>
        <w:tc>
          <w:tcPr>
            <w:tcW w:w="1871" w:type="dxa"/>
          </w:tcPr>
          <w:p>
            <w:pPr>
              <w:pStyle w:val="0"/>
              <w:jc w:val="center"/>
            </w:pPr>
            <w:r>
              <w:rPr>
                <w:sz w:val="20"/>
              </w:rPr>
              <w:t xml:space="preserve">9,5</w:t>
            </w:r>
          </w:p>
        </w:tc>
        <w:tc>
          <w:tcPr>
            <w:tcW w:w="1757" w:type="dxa"/>
          </w:tcPr>
          <w:p>
            <w:pPr>
              <w:pStyle w:val="0"/>
              <w:jc w:val="center"/>
            </w:pPr>
            <w:r>
              <w:rPr>
                <w:sz w:val="20"/>
              </w:rPr>
              <w:t xml:space="preserve">4,75</w:t>
            </w:r>
          </w:p>
        </w:tc>
      </w:tr>
      <w:tr>
        <w:tc>
          <w:tcPr>
            <w:tcW w:w="3515" w:type="dxa"/>
          </w:tcPr>
          <w:p>
            <w:pPr>
              <w:pStyle w:val="0"/>
              <w:jc w:val="both"/>
            </w:pPr>
            <w:r>
              <w:rPr>
                <w:sz w:val="20"/>
              </w:rPr>
              <w:t xml:space="preserve">Санитарка ПИТ на 6 коек</w:t>
            </w:r>
          </w:p>
        </w:tc>
        <w:tc>
          <w:tcPr>
            <w:tcW w:w="1928" w:type="dxa"/>
          </w:tcPr>
          <w:p>
            <w:pPr>
              <w:pStyle w:val="0"/>
              <w:jc w:val="center"/>
            </w:pPr>
            <w:r>
              <w:rPr>
                <w:sz w:val="20"/>
              </w:rPr>
              <w:t xml:space="preserve">4,75</w:t>
            </w:r>
          </w:p>
        </w:tc>
        <w:tc>
          <w:tcPr>
            <w:tcW w:w="1871" w:type="dxa"/>
          </w:tcPr>
          <w:p>
            <w:pPr>
              <w:pStyle w:val="0"/>
              <w:jc w:val="center"/>
            </w:pPr>
            <w:r>
              <w:rPr>
                <w:sz w:val="20"/>
              </w:rPr>
              <w:t xml:space="preserve">4,75</w:t>
            </w:r>
          </w:p>
        </w:tc>
        <w:tc>
          <w:tcPr>
            <w:tcW w:w="1757" w:type="dxa"/>
          </w:tcPr>
          <w:p>
            <w:pPr>
              <w:pStyle w:val="0"/>
              <w:jc w:val="center"/>
            </w:pPr>
            <w:r>
              <w:rPr>
                <w:sz w:val="20"/>
              </w:rPr>
              <w:t xml:space="preserve">0</w:t>
            </w:r>
          </w:p>
        </w:tc>
      </w:tr>
      <w:tr>
        <w:tc>
          <w:tcPr>
            <w:tcW w:w="3515" w:type="dxa"/>
          </w:tcPr>
          <w:p>
            <w:pPr>
              <w:pStyle w:val="0"/>
              <w:jc w:val="both"/>
            </w:pPr>
            <w:r>
              <w:rPr>
                <w:sz w:val="20"/>
              </w:rPr>
              <w:t xml:space="preserve">Санитарка для уборки помещений</w:t>
            </w:r>
          </w:p>
        </w:tc>
        <w:tc>
          <w:tcPr>
            <w:tcW w:w="1928" w:type="dxa"/>
          </w:tcPr>
          <w:p>
            <w:pPr>
              <w:pStyle w:val="0"/>
              <w:jc w:val="center"/>
            </w:pPr>
            <w:r>
              <w:rPr>
                <w:sz w:val="20"/>
              </w:rPr>
              <w:t xml:space="preserve">1,0</w:t>
            </w:r>
          </w:p>
        </w:tc>
        <w:tc>
          <w:tcPr>
            <w:tcW w:w="1871" w:type="dxa"/>
          </w:tcPr>
          <w:p>
            <w:pPr>
              <w:pStyle w:val="0"/>
              <w:jc w:val="center"/>
            </w:pPr>
            <w:r>
              <w:rPr>
                <w:sz w:val="20"/>
              </w:rPr>
              <w:t xml:space="preserve">2,0</w:t>
            </w:r>
          </w:p>
        </w:tc>
        <w:tc>
          <w:tcPr>
            <w:tcW w:w="1757" w:type="dxa"/>
          </w:tcPr>
          <w:p>
            <w:pPr>
              <w:pStyle w:val="0"/>
              <w:jc w:val="center"/>
            </w:pPr>
            <w:r>
              <w:rPr>
                <w:sz w:val="20"/>
              </w:rPr>
              <w:t xml:space="preserve">1,0</w:t>
            </w:r>
          </w:p>
        </w:tc>
      </w:tr>
      <w:tr>
        <w:tc>
          <w:tcPr>
            <w:tcW w:w="3515" w:type="dxa"/>
          </w:tcPr>
          <w:p>
            <w:pPr>
              <w:pStyle w:val="0"/>
              <w:jc w:val="both"/>
            </w:pPr>
            <w:r>
              <w:rPr>
                <w:sz w:val="20"/>
              </w:rPr>
              <w:t xml:space="preserve">Санитарка для работы в буфете</w:t>
            </w:r>
          </w:p>
        </w:tc>
        <w:tc>
          <w:tcPr>
            <w:tcW w:w="1928" w:type="dxa"/>
          </w:tcPr>
          <w:p>
            <w:pPr>
              <w:pStyle w:val="0"/>
              <w:jc w:val="center"/>
            </w:pPr>
            <w:r>
              <w:rPr>
                <w:sz w:val="20"/>
              </w:rPr>
              <w:t xml:space="preserve">1,0</w:t>
            </w:r>
          </w:p>
        </w:tc>
        <w:tc>
          <w:tcPr>
            <w:tcW w:w="1871" w:type="dxa"/>
          </w:tcPr>
          <w:p>
            <w:pPr>
              <w:pStyle w:val="0"/>
              <w:jc w:val="center"/>
            </w:pPr>
            <w:r>
              <w:rPr>
                <w:sz w:val="20"/>
              </w:rPr>
              <w:t xml:space="preserve">2,0</w:t>
            </w:r>
          </w:p>
        </w:tc>
        <w:tc>
          <w:tcPr>
            <w:tcW w:w="1757" w:type="dxa"/>
          </w:tcPr>
          <w:p>
            <w:pPr>
              <w:pStyle w:val="0"/>
              <w:jc w:val="center"/>
            </w:pPr>
            <w:r>
              <w:rPr>
                <w:sz w:val="20"/>
              </w:rPr>
              <w:t xml:space="preserve">1,0</w:t>
            </w:r>
          </w:p>
        </w:tc>
      </w:tr>
      <w:tr>
        <w:tc>
          <w:tcPr>
            <w:tcW w:w="3515" w:type="dxa"/>
          </w:tcPr>
          <w:p>
            <w:pPr>
              <w:pStyle w:val="0"/>
              <w:jc w:val="both"/>
            </w:pPr>
            <w:r>
              <w:rPr>
                <w:sz w:val="20"/>
              </w:rPr>
              <w:t xml:space="preserve">Младшая медицинская сестра по уходу за больными в ПИТ на 6 коек</w:t>
            </w:r>
          </w:p>
        </w:tc>
        <w:tc>
          <w:tcPr>
            <w:tcW w:w="1928" w:type="dxa"/>
          </w:tcPr>
          <w:p>
            <w:pPr>
              <w:pStyle w:val="0"/>
              <w:jc w:val="center"/>
            </w:pPr>
            <w:r>
              <w:rPr>
                <w:sz w:val="20"/>
              </w:rPr>
              <w:t xml:space="preserve">4,75</w:t>
            </w:r>
          </w:p>
        </w:tc>
        <w:tc>
          <w:tcPr>
            <w:tcW w:w="1871" w:type="dxa"/>
          </w:tcPr>
          <w:p>
            <w:pPr>
              <w:pStyle w:val="0"/>
              <w:jc w:val="center"/>
            </w:pPr>
            <w:r>
              <w:rPr>
                <w:sz w:val="20"/>
              </w:rPr>
              <w:t xml:space="preserve">4.75</w:t>
            </w:r>
          </w:p>
        </w:tc>
        <w:tc>
          <w:tcPr>
            <w:tcW w:w="1757" w:type="dxa"/>
          </w:tcPr>
          <w:p>
            <w:pPr>
              <w:pStyle w:val="0"/>
              <w:jc w:val="center"/>
            </w:pPr>
            <w:r>
              <w:rPr>
                <w:sz w:val="20"/>
              </w:rPr>
              <w:t xml:space="preserve">0</w:t>
            </w:r>
          </w:p>
        </w:tc>
      </w:tr>
      <w:tr>
        <w:tc>
          <w:tcPr>
            <w:tcW w:w="3515" w:type="dxa"/>
          </w:tcPr>
          <w:p>
            <w:pPr>
              <w:pStyle w:val="0"/>
              <w:jc w:val="both"/>
            </w:pPr>
            <w:r>
              <w:rPr>
                <w:sz w:val="20"/>
              </w:rPr>
              <w:t xml:space="preserve">ВСЕГО</w:t>
            </w:r>
          </w:p>
        </w:tc>
        <w:tc>
          <w:tcPr>
            <w:tcW w:w="1928" w:type="dxa"/>
          </w:tcPr>
          <w:p>
            <w:pPr>
              <w:pStyle w:val="0"/>
              <w:jc w:val="center"/>
            </w:pPr>
            <w:r>
              <w:rPr>
                <w:sz w:val="20"/>
              </w:rPr>
              <w:t xml:space="preserve">58,75</w:t>
            </w:r>
          </w:p>
        </w:tc>
        <w:tc>
          <w:tcPr>
            <w:tcW w:w="1871" w:type="dxa"/>
          </w:tcPr>
          <w:p>
            <w:pPr>
              <w:pStyle w:val="0"/>
              <w:jc w:val="center"/>
            </w:pPr>
            <w:r>
              <w:rPr>
                <w:sz w:val="20"/>
              </w:rPr>
              <w:t xml:space="preserve">71,5</w:t>
            </w:r>
          </w:p>
        </w:tc>
        <w:tc>
          <w:tcPr>
            <w:tcW w:w="1757" w:type="dxa"/>
          </w:tcPr>
          <w:p>
            <w:pPr>
              <w:pStyle w:val="0"/>
              <w:jc w:val="center"/>
            </w:pPr>
            <w:r>
              <w:rPr>
                <w:sz w:val="20"/>
              </w:rPr>
              <w:t xml:space="preserve">12,75</w:t>
            </w:r>
          </w:p>
        </w:tc>
      </w:tr>
    </w:tbl>
    <w:p>
      <w:pPr>
        <w:pStyle w:val="0"/>
        <w:ind w:firstLine="540"/>
        <w:jc w:val="both"/>
      </w:pPr>
      <w:r>
        <w:rPr>
          <w:sz w:val="20"/>
        </w:rPr>
      </w:r>
    </w:p>
    <w:p>
      <w:pPr>
        <w:pStyle w:val="0"/>
        <w:ind w:firstLine="540"/>
        <w:jc w:val="both"/>
      </w:pPr>
      <w:r>
        <w:rPr>
          <w:sz w:val="20"/>
        </w:rPr>
        <w:t xml:space="preserve">Общее количество врачей-кардиологов в субъекте - 24 (0,5 на 10 тыс. населения). Число врачей-кардиологов в подразделениях, оказывающих медицинскую помощь в амбулаторных условиях, составляет 10 физических лиц при числе штатных должностей - 13, укомплектованность составляет 76,9%. Число врачей-кардиологов в подразделениях, оказывающих медицинскую помощь в стационарных условиях, составляет 14 физических лиц при числе штатных должностей - 18,5 (укомплектованность - 75,6%).</w:t>
      </w:r>
    </w:p>
    <w:p>
      <w:pPr>
        <w:pStyle w:val="0"/>
        <w:jc w:val="center"/>
      </w:pPr>
      <w:r>
        <w:rPr>
          <w:sz w:val="20"/>
        </w:rPr>
      </w:r>
    </w:p>
    <w:p>
      <w:pPr>
        <w:pStyle w:val="2"/>
        <w:outlineLvl w:val="4"/>
        <w:jc w:val="center"/>
      </w:pPr>
      <w:r>
        <w:rPr>
          <w:sz w:val="20"/>
        </w:rPr>
        <w:t xml:space="preserve">4.2.3. Отделение нейрохирургии</w:t>
      </w:r>
    </w:p>
    <w:p>
      <w:pPr>
        <w:pStyle w:val="0"/>
        <w:jc w:val="center"/>
      </w:pPr>
      <w:r>
        <w:rPr>
          <w:sz w:val="20"/>
        </w:rPr>
      </w:r>
    </w:p>
    <w:p>
      <w:pPr>
        <w:pStyle w:val="0"/>
        <w:ind w:firstLine="540"/>
        <w:jc w:val="both"/>
      </w:pPr>
      <w:r>
        <w:rPr>
          <w:sz w:val="20"/>
        </w:rPr>
        <w:t xml:space="preserve">Штатное расписание не соответствует </w:t>
      </w:r>
      <w:hyperlink w:history="0" r:id="rId637" w:tooltip="Приказ Минздрава России от 15.11.2012 N 931н &quot;Об утверждении Порядка оказания медицинской помощи взрослому населению по профилю &quot;нейрохирургия&quot; (Зарегистрировано в Минюсте России 05.03.2013 N 27500) {КонсультантПлюс}">
        <w:r>
          <w:rPr>
            <w:sz w:val="20"/>
            <w:color w:val="0000ff"/>
          </w:rPr>
          <w:t xml:space="preserve">приказу</w:t>
        </w:r>
      </w:hyperlink>
      <w:r>
        <w:rPr>
          <w:sz w:val="20"/>
        </w:rPr>
        <w:t xml:space="preserve"> Министерства здравоохранения Российской Федерации от 15.11.2012 N 931н "Об утверждении Порядка оказания медицинской помощи взрослому населению по профилю "нейрохирургия". В настоящее время в отделении имеется одна ставка заведующего отделением и восемь ставок врачей-нейрохирургов. Занятость физическими лицами составляет восемь врачей (88,8%) (из них: один кандидат медицинских наук, три врача с высшей квалификационной категорией, три врача с 1-й квалификационной категорией, два врача со 2-й квалификационной категорией, один врач-нейрохирург) и 12 медицинских сестер. Для обеспечения эффективной специализированной нейрохирургической помощи в круглосуточном режиме целесообразно введение 3,5 - 4,75 ставки врача-нейрохирурга.</w:t>
      </w:r>
    </w:p>
    <w:p>
      <w:pPr>
        <w:pStyle w:val="0"/>
        <w:ind w:firstLine="540"/>
        <w:jc w:val="both"/>
      </w:pPr>
      <w:r>
        <w:rPr>
          <w:sz w:val="20"/>
        </w:rPr>
      </w:r>
    </w:p>
    <w:p>
      <w:pPr>
        <w:pStyle w:val="0"/>
        <w:jc w:val="center"/>
      </w:pPr>
      <w:r>
        <w:rPr>
          <w:sz w:val="20"/>
        </w:rPr>
        <w:t xml:space="preserve">Рекомендуемые штатные нормативы</w:t>
      </w:r>
    </w:p>
    <w:p>
      <w:pPr>
        <w:pStyle w:val="0"/>
        <w:jc w:val="center"/>
      </w:pPr>
      <w:r>
        <w:rPr>
          <w:sz w:val="20"/>
        </w:rPr>
        <w:t xml:space="preserve">нейрохирургического отделения:</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005"/>
        <w:gridCol w:w="3685"/>
        <w:gridCol w:w="1814"/>
      </w:tblGrid>
      <w:tr>
        <w:tc>
          <w:tcPr>
            <w:tcW w:w="567" w:type="dxa"/>
          </w:tcPr>
          <w:p>
            <w:pPr>
              <w:pStyle w:val="0"/>
              <w:jc w:val="center"/>
            </w:pPr>
            <w:r>
              <w:rPr>
                <w:sz w:val="20"/>
              </w:rPr>
              <w:t xml:space="preserve">N п/п</w:t>
            </w:r>
          </w:p>
        </w:tc>
        <w:tc>
          <w:tcPr>
            <w:tcW w:w="3005" w:type="dxa"/>
          </w:tcPr>
          <w:p>
            <w:pPr>
              <w:pStyle w:val="0"/>
              <w:jc w:val="center"/>
            </w:pPr>
            <w:r>
              <w:rPr>
                <w:sz w:val="20"/>
              </w:rPr>
              <w:t xml:space="preserve">Наименование должности</w:t>
            </w:r>
          </w:p>
        </w:tc>
        <w:tc>
          <w:tcPr>
            <w:tcW w:w="3685" w:type="dxa"/>
          </w:tcPr>
          <w:p>
            <w:pPr>
              <w:pStyle w:val="0"/>
              <w:jc w:val="center"/>
            </w:pPr>
            <w:r>
              <w:rPr>
                <w:sz w:val="20"/>
              </w:rPr>
              <w:t xml:space="preserve">Количество должностей (из расчета на 30 коек)</w:t>
            </w:r>
          </w:p>
        </w:tc>
        <w:tc>
          <w:tcPr>
            <w:tcW w:w="1814" w:type="dxa"/>
          </w:tcPr>
          <w:p>
            <w:pPr>
              <w:pStyle w:val="0"/>
              <w:jc w:val="center"/>
            </w:pPr>
            <w:r>
              <w:rPr>
                <w:sz w:val="20"/>
              </w:rPr>
              <w:t xml:space="preserve">Занято ставок</w:t>
            </w:r>
          </w:p>
        </w:tc>
      </w:tr>
      <w:tr>
        <w:tc>
          <w:tcPr>
            <w:tcW w:w="567" w:type="dxa"/>
          </w:tcPr>
          <w:p>
            <w:pPr>
              <w:pStyle w:val="0"/>
              <w:jc w:val="both"/>
            </w:pPr>
            <w:r>
              <w:rPr>
                <w:sz w:val="20"/>
              </w:rPr>
              <w:t xml:space="preserve">1</w:t>
            </w:r>
          </w:p>
        </w:tc>
        <w:tc>
          <w:tcPr>
            <w:tcW w:w="3005" w:type="dxa"/>
          </w:tcPr>
          <w:p>
            <w:pPr>
              <w:pStyle w:val="0"/>
              <w:jc w:val="both"/>
            </w:pPr>
            <w:r>
              <w:rPr>
                <w:sz w:val="20"/>
              </w:rPr>
              <w:t xml:space="preserve">Заведующий нейрохирургическим отделением - врач-нейрохирург</w:t>
            </w:r>
          </w:p>
        </w:tc>
        <w:tc>
          <w:tcPr>
            <w:tcW w:w="3685" w:type="dxa"/>
          </w:tcPr>
          <w:p>
            <w:pPr>
              <w:pStyle w:val="0"/>
              <w:jc w:val="center"/>
            </w:pPr>
            <w:r>
              <w:rPr>
                <w:sz w:val="20"/>
              </w:rPr>
              <w:t xml:space="preserve">1</w:t>
            </w:r>
          </w:p>
        </w:tc>
        <w:tc>
          <w:tcPr>
            <w:tcW w:w="1814" w:type="dxa"/>
          </w:tcPr>
          <w:p>
            <w:pPr>
              <w:pStyle w:val="0"/>
              <w:jc w:val="center"/>
            </w:pPr>
            <w:r>
              <w:rPr>
                <w:sz w:val="20"/>
              </w:rPr>
              <w:t xml:space="preserve">1</w:t>
            </w:r>
          </w:p>
        </w:tc>
      </w:tr>
      <w:tr>
        <w:tc>
          <w:tcPr>
            <w:tcW w:w="567" w:type="dxa"/>
          </w:tcPr>
          <w:p>
            <w:pPr>
              <w:pStyle w:val="0"/>
              <w:jc w:val="both"/>
            </w:pPr>
            <w:r>
              <w:rPr>
                <w:sz w:val="20"/>
              </w:rPr>
              <w:t xml:space="preserve">2</w:t>
            </w:r>
          </w:p>
        </w:tc>
        <w:tc>
          <w:tcPr>
            <w:tcW w:w="3005" w:type="dxa"/>
          </w:tcPr>
          <w:p>
            <w:pPr>
              <w:pStyle w:val="0"/>
              <w:jc w:val="both"/>
            </w:pPr>
            <w:r>
              <w:rPr>
                <w:sz w:val="20"/>
              </w:rPr>
              <w:t xml:space="preserve">Врач-нейрохирург</w:t>
            </w:r>
          </w:p>
        </w:tc>
        <w:tc>
          <w:tcPr>
            <w:tcW w:w="3685" w:type="dxa"/>
          </w:tcPr>
          <w:p>
            <w:pPr>
              <w:pStyle w:val="0"/>
              <w:jc w:val="both"/>
            </w:pPr>
            <w:r>
              <w:rPr>
                <w:sz w:val="20"/>
              </w:rPr>
              <w:t xml:space="preserve">4,75 ставки на 10 коек (для обеспечения круглосуточной работы); 5,14 - на шесть коек (для обеспечения круглосуточной работы в палате (блоке) реанимации и ПИТ)</w:t>
            </w:r>
          </w:p>
        </w:tc>
        <w:tc>
          <w:tcPr>
            <w:tcW w:w="1814" w:type="dxa"/>
          </w:tcPr>
          <w:p>
            <w:pPr>
              <w:pStyle w:val="0"/>
              <w:jc w:val="center"/>
            </w:pPr>
            <w:r>
              <w:rPr>
                <w:sz w:val="20"/>
              </w:rPr>
              <w:t xml:space="preserve">9</w:t>
            </w:r>
          </w:p>
        </w:tc>
      </w:tr>
      <w:tr>
        <w:tc>
          <w:tcPr>
            <w:tcW w:w="567" w:type="dxa"/>
          </w:tcPr>
          <w:p>
            <w:pPr>
              <w:pStyle w:val="0"/>
              <w:jc w:val="both"/>
            </w:pPr>
            <w:r>
              <w:rPr>
                <w:sz w:val="20"/>
              </w:rPr>
              <w:t xml:space="preserve">3</w:t>
            </w:r>
          </w:p>
        </w:tc>
        <w:tc>
          <w:tcPr>
            <w:tcW w:w="3005" w:type="dxa"/>
          </w:tcPr>
          <w:p>
            <w:pPr>
              <w:pStyle w:val="0"/>
              <w:jc w:val="both"/>
            </w:pPr>
            <w:r>
              <w:rPr>
                <w:sz w:val="20"/>
              </w:rPr>
              <w:t xml:space="preserve">Врач-невролог</w:t>
            </w:r>
          </w:p>
        </w:tc>
        <w:tc>
          <w:tcPr>
            <w:tcW w:w="3685" w:type="dxa"/>
          </w:tcPr>
          <w:p>
            <w:pPr>
              <w:pStyle w:val="0"/>
              <w:jc w:val="both"/>
            </w:pPr>
            <w:r>
              <w:rPr>
                <w:sz w:val="20"/>
              </w:rPr>
              <w:t xml:space="preserve">4,75 ставки (для обеспечения круглосуточной работы)</w:t>
            </w:r>
          </w:p>
        </w:tc>
        <w:tc>
          <w:tcPr>
            <w:tcW w:w="1814" w:type="dxa"/>
          </w:tcPr>
          <w:p>
            <w:pPr>
              <w:pStyle w:val="0"/>
              <w:jc w:val="center"/>
            </w:pPr>
            <w:r>
              <w:rPr>
                <w:sz w:val="20"/>
              </w:rPr>
              <w:t xml:space="preserve">0</w:t>
            </w:r>
          </w:p>
        </w:tc>
      </w:tr>
      <w:tr>
        <w:tc>
          <w:tcPr>
            <w:tcW w:w="567" w:type="dxa"/>
          </w:tcPr>
          <w:p>
            <w:pPr>
              <w:pStyle w:val="0"/>
              <w:jc w:val="both"/>
            </w:pPr>
            <w:r>
              <w:rPr>
                <w:sz w:val="20"/>
              </w:rPr>
              <w:t xml:space="preserve">4</w:t>
            </w:r>
          </w:p>
        </w:tc>
        <w:tc>
          <w:tcPr>
            <w:tcW w:w="3005" w:type="dxa"/>
          </w:tcPr>
          <w:p>
            <w:pPr>
              <w:pStyle w:val="0"/>
              <w:jc w:val="both"/>
            </w:pPr>
            <w:r>
              <w:rPr>
                <w:sz w:val="20"/>
              </w:rPr>
              <w:t xml:space="preserve">Врач-офтальмолог</w:t>
            </w:r>
          </w:p>
        </w:tc>
        <w:tc>
          <w:tcPr>
            <w:tcW w:w="3685" w:type="dxa"/>
          </w:tcPr>
          <w:p>
            <w:pPr>
              <w:pStyle w:val="0"/>
              <w:jc w:val="center"/>
            </w:pPr>
            <w:r>
              <w:rPr>
                <w:sz w:val="20"/>
              </w:rPr>
              <w:t xml:space="preserve">0,5</w:t>
            </w:r>
          </w:p>
        </w:tc>
        <w:tc>
          <w:tcPr>
            <w:tcW w:w="1814" w:type="dxa"/>
          </w:tcPr>
          <w:p>
            <w:pPr>
              <w:pStyle w:val="0"/>
              <w:jc w:val="center"/>
            </w:pPr>
            <w:r>
              <w:rPr>
                <w:sz w:val="20"/>
              </w:rPr>
              <w:t xml:space="preserve">0</w:t>
            </w:r>
          </w:p>
        </w:tc>
      </w:tr>
      <w:tr>
        <w:tc>
          <w:tcPr>
            <w:tcW w:w="567" w:type="dxa"/>
          </w:tcPr>
          <w:p>
            <w:pPr>
              <w:pStyle w:val="0"/>
              <w:jc w:val="both"/>
            </w:pPr>
            <w:r>
              <w:rPr>
                <w:sz w:val="20"/>
              </w:rPr>
              <w:t xml:space="preserve">5</w:t>
            </w:r>
          </w:p>
        </w:tc>
        <w:tc>
          <w:tcPr>
            <w:tcW w:w="3005" w:type="dxa"/>
          </w:tcPr>
          <w:p>
            <w:pPr>
              <w:pStyle w:val="0"/>
              <w:jc w:val="both"/>
            </w:pPr>
            <w:r>
              <w:rPr>
                <w:sz w:val="20"/>
              </w:rPr>
              <w:t xml:space="preserve">Врач-оториноларинголог</w:t>
            </w:r>
          </w:p>
        </w:tc>
        <w:tc>
          <w:tcPr>
            <w:tcW w:w="3685" w:type="dxa"/>
          </w:tcPr>
          <w:p>
            <w:pPr>
              <w:pStyle w:val="0"/>
              <w:jc w:val="center"/>
            </w:pPr>
            <w:r>
              <w:rPr>
                <w:sz w:val="20"/>
              </w:rPr>
              <w:t xml:space="preserve">0,5</w:t>
            </w:r>
          </w:p>
        </w:tc>
        <w:tc>
          <w:tcPr>
            <w:tcW w:w="1814" w:type="dxa"/>
          </w:tcPr>
          <w:p>
            <w:pPr>
              <w:pStyle w:val="0"/>
              <w:jc w:val="center"/>
            </w:pPr>
            <w:r>
              <w:rPr>
                <w:sz w:val="20"/>
              </w:rPr>
              <w:t xml:space="preserve">0</w:t>
            </w:r>
          </w:p>
        </w:tc>
      </w:tr>
      <w:tr>
        <w:tc>
          <w:tcPr>
            <w:tcW w:w="567" w:type="dxa"/>
          </w:tcPr>
          <w:p>
            <w:pPr>
              <w:pStyle w:val="0"/>
              <w:jc w:val="both"/>
            </w:pPr>
            <w:r>
              <w:rPr>
                <w:sz w:val="20"/>
              </w:rPr>
              <w:t xml:space="preserve">6</w:t>
            </w:r>
          </w:p>
        </w:tc>
        <w:tc>
          <w:tcPr>
            <w:tcW w:w="3005" w:type="dxa"/>
          </w:tcPr>
          <w:p>
            <w:pPr>
              <w:pStyle w:val="0"/>
              <w:jc w:val="both"/>
            </w:pPr>
            <w:r>
              <w:rPr>
                <w:sz w:val="20"/>
              </w:rPr>
              <w:t xml:space="preserve">Врач-физиотерапевт</w:t>
            </w:r>
          </w:p>
        </w:tc>
        <w:tc>
          <w:tcPr>
            <w:tcW w:w="3685" w:type="dxa"/>
          </w:tcPr>
          <w:p>
            <w:pPr>
              <w:pStyle w:val="0"/>
              <w:jc w:val="center"/>
            </w:pPr>
            <w:r>
              <w:rPr>
                <w:sz w:val="20"/>
              </w:rPr>
              <w:t xml:space="preserve">0,5</w:t>
            </w:r>
          </w:p>
        </w:tc>
        <w:tc>
          <w:tcPr>
            <w:tcW w:w="1814" w:type="dxa"/>
          </w:tcPr>
          <w:p>
            <w:pPr>
              <w:pStyle w:val="0"/>
              <w:jc w:val="center"/>
            </w:pPr>
            <w:r>
              <w:rPr>
                <w:sz w:val="20"/>
              </w:rPr>
              <w:t xml:space="preserve">0</w:t>
            </w:r>
          </w:p>
        </w:tc>
      </w:tr>
      <w:tr>
        <w:tc>
          <w:tcPr>
            <w:tcW w:w="567" w:type="dxa"/>
          </w:tcPr>
          <w:p>
            <w:pPr>
              <w:pStyle w:val="0"/>
              <w:jc w:val="both"/>
            </w:pPr>
            <w:r>
              <w:rPr>
                <w:sz w:val="20"/>
              </w:rPr>
              <w:t xml:space="preserve">7</w:t>
            </w:r>
          </w:p>
        </w:tc>
        <w:tc>
          <w:tcPr>
            <w:tcW w:w="3005" w:type="dxa"/>
          </w:tcPr>
          <w:p>
            <w:pPr>
              <w:pStyle w:val="0"/>
              <w:jc w:val="both"/>
            </w:pPr>
            <w:r>
              <w:rPr>
                <w:sz w:val="20"/>
              </w:rPr>
              <w:t xml:space="preserve">Врач функциональной диагностики</w:t>
            </w:r>
          </w:p>
        </w:tc>
        <w:tc>
          <w:tcPr>
            <w:tcW w:w="3685" w:type="dxa"/>
          </w:tcPr>
          <w:p>
            <w:pPr>
              <w:pStyle w:val="0"/>
              <w:jc w:val="both"/>
            </w:pPr>
            <w:r>
              <w:rPr>
                <w:sz w:val="20"/>
              </w:rPr>
              <w:t xml:space="preserve">устанавливается в соответствии с порядком и нормами соответствующего структурного подразделения</w:t>
            </w:r>
          </w:p>
        </w:tc>
        <w:tc>
          <w:tcPr>
            <w:tcW w:w="1814" w:type="dxa"/>
          </w:tcPr>
          <w:p>
            <w:pPr>
              <w:pStyle w:val="0"/>
              <w:jc w:val="center"/>
            </w:pPr>
            <w:r>
              <w:rPr>
                <w:sz w:val="20"/>
              </w:rPr>
              <w:t xml:space="preserve">0</w:t>
            </w:r>
          </w:p>
        </w:tc>
      </w:tr>
      <w:tr>
        <w:tc>
          <w:tcPr>
            <w:tcW w:w="567" w:type="dxa"/>
          </w:tcPr>
          <w:p>
            <w:pPr>
              <w:pStyle w:val="0"/>
              <w:jc w:val="both"/>
            </w:pPr>
            <w:r>
              <w:rPr>
                <w:sz w:val="20"/>
              </w:rPr>
              <w:t xml:space="preserve">8</w:t>
            </w:r>
          </w:p>
        </w:tc>
        <w:tc>
          <w:tcPr>
            <w:tcW w:w="3005" w:type="dxa"/>
          </w:tcPr>
          <w:p>
            <w:pPr>
              <w:pStyle w:val="0"/>
              <w:jc w:val="both"/>
            </w:pPr>
            <w:r>
              <w:rPr>
                <w:sz w:val="20"/>
              </w:rPr>
              <w:t xml:space="preserve">Врач-педиатр</w:t>
            </w:r>
          </w:p>
        </w:tc>
        <w:tc>
          <w:tcPr>
            <w:tcW w:w="3685" w:type="dxa"/>
          </w:tcPr>
          <w:p>
            <w:pPr>
              <w:pStyle w:val="0"/>
              <w:jc w:val="center"/>
            </w:pPr>
            <w:r>
              <w:rPr>
                <w:sz w:val="20"/>
              </w:rPr>
              <w:t xml:space="preserve">0,5</w:t>
            </w:r>
          </w:p>
        </w:tc>
        <w:tc>
          <w:tcPr>
            <w:tcW w:w="1814" w:type="dxa"/>
          </w:tcPr>
          <w:p>
            <w:pPr>
              <w:pStyle w:val="0"/>
              <w:jc w:val="center"/>
            </w:pPr>
            <w:r>
              <w:rPr>
                <w:sz w:val="20"/>
              </w:rPr>
              <w:t xml:space="preserve">0</w:t>
            </w:r>
          </w:p>
        </w:tc>
      </w:tr>
      <w:tr>
        <w:tc>
          <w:tcPr>
            <w:tcW w:w="567" w:type="dxa"/>
          </w:tcPr>
          <w:p>
            <w:pPr>
              <w:pStyle w:val="0"/>
              <w:jc w:val="both"/>
            </w:pPr>
            <w:r>
              <w:rPr>
                <w:sz w:val="20"/>
              </w:rPr>
              <w:t xml:space="preserve">9</w:t>
            </w:r>
          </w:p>
        </w:tc>
        <w:tc>
          <w:tcPr>
            <w:tcW w:w="3005" w:type="dxa"/>
          </w:tcPr>
          <w:p>
            <w:pPr>
              <w:pStyle w:val="0"/>
              <w:jc w:val="both"/>
            </w:pPr>
            <w:r>
              <w:rPr>
                <w:sz w:val="20"/>
              </w:rPr>
              <w:t xml:space="preserve">Врач-уролог</w:t>
            </w:r>
          </w:p>
        </w:tc>
        <w:tc>
          <w:tcPr>
            <w:tcW w:w="3685" w:type="dxa"/>
          </w:tcPr>
          <w:p>
            <w:pPr>
              <w:pStyle w:val="0"/>
              <w:jc w:val="center"/>
            </w:pPr>
            <w:r>
              <w:rPr>
                <w:sz w:val="20"/>
              </w:rPr>
              <w:t xml:space="preserve">0,5</w:t>
            </w:r>
          </w:p>
        </w:tc>
        <w:tc>
          <w:tcPr>
            <w:tcW w:w="1814" w:type="dxa"/>
          </w:tcPr>
          <w:p>
            <w:pPr>
              <w:pStyle w:val="0"/>
              <w:jc w:val="center"/>
            </w:pPr>
            <w:r>
              <w:rPr>
                <w:sz w:val="20"/>
              </w:rPr>
              <w:t xml:space="preserve">0</w:t>
            </w:r>
          </w:p>
        </w:tc>
      </w:tr>
      <w:tr>
        <w:tc>
          <w:tcPr>
            <w:tcW w:w="567" w:type="dxa"/>
          </w:tcPr>
          <w:p>
            <w:pPr>
              <w:pStyle w:val="0"/>
              <w:jc w:val="both"/>
            </w:pPr>
            <w:r>
              <w:rPr>
                <w:sz w:val="20"/>
              </w:rPr>
              <w:t xml:space="preserve">10</w:t>
            </w:r>
          </w:p>
        </w:tc>
        <w:tc>
          <w:tcPr>
            <w:tcW w:w="3005" w:type="dxa"/>
          </w:tcPr>
          <w:p>
            <w:pPr>
              <w:pStyle w:val="0"/>
              <w:jc w:val="both"/>
            </w:pPr>
            <w:r>
              <w:rPr>
                <w:sz w:val="20"/>
              </w:rPr>
              <w:t xml:space="preserve">Врач по лечебной физкультуре</w:t>
            </w:r>
          </w:p>
        </w:tc>
        <w:tc>
          <w:tcPr>
            <w:tcW w:w="3685" w:type="dxa"/>
          </w:tcPr>
          <w:p>
            <w:pPr>
              <w:pStyle w:val="0"/>
              <w:jc w:val="center"/>
            </w:pPr>
            <w:r>
              <w:rPr>
                <w:sz w:val="20"/>
              </w:rPr>
              <w:t xml:space="preserve">1</w:t>
            </w:r>
          </w:p>
        </w:tc>
        <w:tc>
          <w:tcPr>
            <w:tcW w:w="1814" w:type="dxa"/>
          </w:tcPr>
          <w:p>
            <w:pPr>
              <w:pStyle w:val="0"/>
              <w:jc w:val="center"/>
            </w:pPr>
            <w:r>
              <w:rPr>
                <w:sz w:val="20"/>
              </w:rPr>
              <w:t xml:space="preserve">0</w:t>
            </w:r>
          </w:p>
        </w:tc>
      </w:tr>
      <w:tr>
        <w:tc>
          <w:tcPr>
            <w:tcW w:w="567" w:type="dxa"/>
          </w:tcPr>
          <w:p>
            <w:pPr>
              <w:pStyle w:val="0"/>
              <w:jc w:val="both"/>
            </w:pPr>
            <w:r>
              <w:rPr>
                <w:sz w:val="20"/>
              </w:rPr>
              <w:t xml:space="preserve">11</w:t>
            </w:r>
          </w:p>
        </w:tc>
        <w:tc>
          <w:tcPr>
            <w:tcW w:w="3005" w:type="dxa"/>
          </w:tcPr>
          <w:p>
            <w:pPr>
              <w:pStyle w:val="0"/>
              <w:jc w:val="both"/>
            </w:pPr>
            <w:r>
              <w:rPr>
                <w:sz w:val="20"/>
              </w:rPr>
              <w:t xml:space="preserve">Инструктор-методист по лечебной физкультуре</w:t>
            </w:r>
          </w:p>
        </w:tc>
        <w:tc>
          <w:tcPr>
            <w:tcW w:w="3685" w:type="dxa"/>
          </w:tcPr>
          <w:p>
            <w:pPr>
              <w:pStyle w:val="0"/>
              <w:jc w:val="center"/>
            </w:pPr>
            <w:r>
              <w:rPr>
                <w:sz w:val="20"/>
              </w:rPr>
              <w:t xml:space="preserve">2</w:t>
            </w:r>
          </w:p>
        </w:tc>
        <w:tc>
          <w:tcPr>
            <w:tcW w:w="1814" w:type="dxa"/>
          </w:tcPr>
          <w:p>
            <w:pPr>
              <w:pStyle w:val="0"/>
              <w:jc w:val="center"/>
            </w:pPr>
            <w:r>
              <w:rPr>
                <w:sz w:val="20"/>
              </w:rPr>
              <w:t xml:space="preserve">0</w:t>
            </w:r>
          </w:p>
        </w:tc>
      </w:tr>
      <w:tr>
        <w:tc>
          <w:tcPr>
            <w:tcW w:w="567" w:type="dxa"/>
          </w:tcPr>
          <w:p>
            <w:pPr>
              <w:pStyle w:val="0"/>
              <w:jc w:val="both"/>
            </w:pPr>
            <w:r>
              <w:rPr>
                <w:sz w:val="20"/>
              </w:rPr>
              <w:t xml:space="preserve">12</w:t>
            </w:r>
          </w:p>
        </w:tc>
        <w:tc>
          <w:tcPr>
            <w:tcW w:w="3005" w:type="dxa"/>
          </w:tcPr>
          <w:p>
            <w:pPr>
              <w:pStyle w:val="0"/>
              <w:jc w:val="both"/>
            </w:pPr>
            <w:r>
              <w:rPr>
                <w:sz w:val="20"/>
              </w:rPr>
              <w:t xml:space="preserve">Логопед</w:t>
            </w:r>
          </w:p>
        </w:tc>
        <w:tc>
          <w:tcPr>
            <w:tcW w:w="3685" w:type="dxa"/>
          </w:tcPr>
          <w:p>
            <w:pPr>
              <w:pStyle w:val="0"/>
              <w:jc w:val="center"/>
            </w:pPr>
            <w:r>
              <w:rPr>
                <w:sz w:val="20"/>
              </w:rPr>
              <w:t xml:space="preserve">2</w:t>
            </w:r>
          </w:p>
        </w:tc>
        <w:tc>
          <w:tcPr>
            <w:tcW w:w="1814" w:type="dxa"/>
          </w:tcPr>
          <w:p>
            <w:pPr>
              <w:pStyle w:val="0"/>
              <w:jc w:val="center"/>
            </w:pPr>
            <w:r>
              <w:rPr>
                <w:sz w:val="20"/>
              </w:rPr>
              <w:t xml:space="preserve">0</w:t>
            </w:r>
          </w:p>
        </w:tc>
      </w:tr>
      <w:tr>
        <w:tc>
          <w:tcPr>
            <w:tcW w:w="567" w:type="dxa"/>
          </w:tcPr>
          <w:p>
            <w:pPr>
              <w:pStyle w:val="0"/>
              <w:jc w:val="both"/>
            </w:pPr>
            <w:r>
              <w:rPr>
                <w:sz w:val="20"/>
              </w:rPr>
              <w:t xml:space="preserve">13</w:t>
            </w:r>
          </w:p>
        </w:tc>
        <w:tc>
          <w:tcPr>
            <w:tcW w:w="3005" w:type="dxa"/>
          </w:tcPr>
          <w:p>
            <w:pPr>
              <w:pStyle w:val="0"/>
              <w:jc w:val="both"/>
            </w:pPr>
            <w:r>
              <w:rPr>
                <w:sz w:val="20"/>
              </w:rPr>
              <w:t xml:space="preserve">Медицинский психолог</w:t>
            </w:r>
          </w:p>
        </w:tc>
        <w:tc>
          <w:tcPr>
            <w:tcW w:w="3685" w:type="dxa"/>
          </w:tcPr>
          <w:p>
            <w:pPr>
              <w:pStyle w:val="0"/>
              <w:jc w:val="center"/>
            </w:pPr>
            <w:r>
              <w:rPr>
                <w:sz w:val="20"/>
              </w:rPr>
              <w:t xml:space="preserve">0,5</w:t>
            </w:r>
          </w:p>
        </w:tc>
        <w:tc>
          <w:tcPr>
            <w:tcW w:w="1814" w:type="dxa"/>
          </w:tcPr>
          <w:p>
            <w:pPr>
              <w:pStyle w:val="0"/>
              <w:jc w:val="center"/>
            </w:pPr>
            <w:r>
              <w:rPr>
                <w:sz w:val="20"/>
              </w:rPr>
              <w:t xml:space="preserve">0</w:t>
            </w:r>
          </w:p>
        </w:tc>
      </w:tr>
      <w:tr>
        <w:tc>
          <w:tcPr>
            <w:tcW w:w="567" w:type="dxa"/>
          </w:tcPr>
          <w:p>
            <w:pPr>
              <w:pStyle w:val="0"/>
              <w:jc w:val="both"/>
            </w:pPr>
            <w:r>
              <w:rPr>
                <w:sz w:val="20"/>
              </w:rPr>
              <w:t xml:space="preserve">14</w:t>
            </w:r>
          </w:p>
        </w:tc>
        <w:tc>
          <w:tcPr>
            <w:tcW w:w="3005" w:type="dxa"/>
          </w:tcPr>
          <w:p>
            <w:pPr>
              <w:pStyle w:val="0"/>
              <w:jc w:val="both"/>
            </w:pPr>
            <w:r>
              <w:rPr>
                <w:sz w:val="20"/>
              </w:rPr>
              <w:t xml:space="preserve">Старшая медицинская сестра</w:t>
            </w:r>
          </w:p>
        </w:tc>
        <w:tc>
          <w:tcPr>
            <w:tcW w:w="3685" w:type="dxa"/>
          </w:tcPr>
          <w:p>
            <w:pPr>
              <w:pStyle w:val="0"/>
              <w:jc w:val="center"/>
            </w:pPr>
            <w:r>
              <w:rPr>
                <w:sz w:val="20"/>
              </w:rPr>
              <w:t xml:space="preserve">1</w:t>
            </w:r>
          </w:p>
        </w:tc>
        <w:tc>
          <w:tcPr>
            <w:tcW w:w="1814" w:type="dxa"/>
          </w:tcPr>
          <w:p>
            <w:pPr>
              <w:pStyle w:val="0"/>
              <w:jc w:val="center"/>
            </w:pPr>
            <w:r>
              <w:rPr>
                <w:sz w:val="20"/>
              </w:rPr>
              <w:t xml:space="preserve">1</w:t>
            </w:r>
          </w:p>
        </w:tc>
      </w:tr>
      <w:tr>
        <w:tc>
          <w:tcPr>
            <w:tcW w:w="567" w:type="dxa"/>
          </w:tcPr>
          <w:p>
            <w:pPr>
              <w:pStyle w:val="0"/>
              <w:jc w:val="both"/>
            </w:pPr>
            <w:r>
              <w:rPr>
                <w:sz w:val="20"/>
              </w:rPr>
              <w:t xml:space="preserve">15</w:t>
            </w:r>
          </w:p>
        </w:tc>
        <w:tc>
          <w:tcPr>
            <w:tcW w:w="3005" w:type="dxa"/>
          </w:tcPr>
          <w:p>
            <w:pPr>
              <w:pStyle w:val="0"/>
              <w:jc w:val="both"/>
            </w:pPr>
            <w:r>
              <w:rPr>
                <w:sz w:val="20"/>
              </w:rPr>
              <w:t xml:space="preserve">Операционная медицинская сестра</w:t>
            </w:r>
          </w:p>
        </w:tc>
        <w:tc>
          <w:tcPr>
            <w:tcW w:w="3685" w:type="dxa"/>
          </w:tcPr>
          <w:p>
            <w:pPr>
              <w:pStyle w:val="0"/>
              <w:jc w:val="center"/>
            </w:pPr>
            <w:r>
              <w:rPr>
                <w:sz w:val="20"/>
              </w:rPr>
              <w:t xml:space="preserve">6</w:t>
            </w:r>
          </w:p>
        </w:tc>
        <w:tc>
          <w:tcPr>
            <w:tcW w:w="1814" w:type="dxa"/>
          </w:tcPr>
          <w:p>
            <w:pPr>
              <w:pStyle w:val="0"/>
              <w:jc w:val="center"/>
            </w:pPr>
            <w:r>
              <w:rPr>
                <w:sz w:val="20"/>
              </w:rPr>
              <w:t xml:space="preserve">0</w:t>
            </w:r>
          </w:p>
        </w:tc>
      </w:tr>
      <w:tr>
        <w:tc>
          <w:tcPr>
            <w:tcW w:w="567" w:type="dxa"/>
          </w:tcPr>
          <w:p>
            <w:pPr>
              <w:pStyle w:val="0"/>
              <w:jc w:val="both"/>
            </w:pPr>
            <w:r>
              <w:rPr>
                <w:sz w:val="20"/>
              </w:rPr>
              <w:t xml:space="preserve">16</w:t>
            </w:r>
          </w:p>
        </w:tc>
        <w:tc>
          <w:tcPr>
            <w:tcW w:w="3005" w:type="dxa"/>
          </w:tcPr>
          <w:p>
            <w:pPr>
              <w:pStyle w:val="0"/>
              <w:jc w:val="both"/>
            </w:pPr>
            <w:r>
              <w:rPr>
                <w:sz w:val="20"/>
              </w:rPr>
              <w:t xml:space="preserve">Медицинская сестра палатная (постовая)</w:t>
            </w:r>
          </w:p>
        </w:tc>
        <w:tc>
          <w:tcPr>
            <w:tcW w:w="3685" w:type="dxa"/>
          </w:tcPr>
          <w:p>
            <w:pPr>
              <w:pStyle w:val="0"/>
              <w:jc w:val="both"/>
            </w:pPr>
            <w:r>
              <w:rPr>
                <w:sz w:val="20"/>
              </w:rPr>
              <w:t xml:space="preserve">1 на 15 коек; 1 на 6 коек (для обеспечения круглосуточной работы в палате (блоке) реанимации и ПИТ)</w:t>
            </w:r>
          </w:p>
        </w:tc>
        <w:tc>
          <w:tcPr>
            <w:tcW w:w="1814" w:type="dxa"/>
          </w:tcPr>
          <w:p>
            <w:pPr>
              <w:pStyle w:val="0"/>
              <w:jc w:val="center"/>
            </w:pPr>
            <w:r>
              <w:rPr>
                <w:sz w:val="20"/>
              </w:rPr>
              <w:t xml:space="preserve">10,5</w:t>
            </w:r>
          </w:p>
        </w:tc>
      </w:tr>
      <w:tr>
        <w:tc>
          <w:tcPr>
            <w:tcW w:w="567" w:type="dxa"/>
          </w:tcPr>
          <w:p>
            <w:pPr>
              <w:pStyle w:val="0"/>
              <w:jc w:val="both"/>
            </w:pPr>
            <w:r>
              <w:rPr>
                <w:sz w:val="20"/>
              </w:rPr>
              <w:t xml:space="preserve">17</w:t>
            </w:r>
          </w:p>
        </w:tc>
        <w:tc>
          <w:tcPr>
            <w:tcW w:w="3005" w:type="dxa"/>
          </w:tcPr>
          <w:p>
            <w:pPr>
              <w:pStyle w:val="0"/>
              <w:jc w:val="both"/>
            </w:pPr>
            <w:r>
              <w:rPr>
                <w:sz w:val="20"/>
              </w:rPr>
              <w:t xml:space="preserve">Медицинская сестра процедурной</w:t>
            </w:r>
          </w:p>
        </w:tc>
        <w:tc>
          <w:tcPr>
            <w:tcW w:w="3685" w:type="dxa"/>
          </w:tcPr>
          <w:p>
            <w:pPr>
              <w:pStyle w:val="0"/>
              <w:jc w:val="both"/>
            </w:pPr>
            <w:r>
              <w:rPr>
                <w:sz w:val="20"/>
              </w:rPr>
              <w:t xml:space="preserve">1 в смену</w:t>
            </w:r>
          </w:p>
        </w:tc>
        <w:tc>
          <w:tcPr>
            <w:tcW w:w="1814" w:type="dxa"/>
          </w:tcPr>
          <w:p>
            <w:pPr>
              <w:pStyle w:val="0"/>
              <w:jc w:val="center"/>
            </w:pPr>
            <w:r>
              <w:rPr>
                <w:sz w:val="20"/>
              </w:rPr>
              <w:t xml:space="preserve">2</w:t>
            </w:r>
          </w:p>
        </w:tc>
      </w:tr>
      <w:tr>
        <w:tc>
          <w:tcPr>
            <w:tcW w:w="567" w:type="dxa"/>
          </w:tcPr>
          <w:p>
            <w:pPr>
              <w:pStyle w:val="0"/>
              <w:jc w:val="both"/>
            </w:pPr>
            <w:r>
              <w:rPr>
                <w:sz w:val="20"/>
              </w:rPr>
              <w:t xml:space="preserve">18</w:t>
            </w:r>
          </w:p>
        </w:tc>
        <w:tc>
          <w:tcPr>
            <w:tcW w:w="3005" w:type="dxa"/>
          </w:tcPr>
          <w:p>
            <w:pPr>
              <w:pStyle w:val="0"/>
              <w:jc w:val="both"/>
            </w:pPr>
            <w:r>
              <w:rPr>
                <w:sz w:val="20"/>
              </w:rPr>
              <w:t xml:space="preserve">Медицинская сестра перевязочной</w:t>
            </w:r>
          </w:p>
        </w:tc>
        <w:tc>
          <w:tcPr>
            <w:tcW w:w="3685" w:type="dxa"/>
          </w:tcPr>
          <w:p>
            <w:pPr>
              <w:pStyle w:val="0"/>
              <w:jc w:val="both"/>
            </w:pPr>
            <w:r>
              <w:rPr>
                <w:sz w:val="20"/>
              </w:rPr>
              <w:t xml:space="preserve">1 в смену</w:t>
            </w:r>
          </w:p>
        </w:tc>
        <w:tc>
          <w:tcPr>
            <w:tcW w:w="1814" w:type="dxa"/>
          </w:tcPr>
          <w:p>
            <w:pPr>
              <w:pStyle w:val="0"/>
              <w:jc w:val="center"/>
            </w:pPr>
            <w:r>
              <w:rPr>
                <w:sz w:val="20"/>
              </w:rPr>
              <w:t xml:space="preserve">2</w:t>
            </w:r>
          </w:p>
        </w:tc>
      </w:tr>
      <w:tr>
        <w:tc>
          <w:tcPr>
            <w:tcW w:w="567" w:type="dxa"/>
          </w:tcPr>
          <w:p>
            <w:pPr>
              <w:pStyle w:val="0"/>
              <w:jc w:val="both"/>
            </w:pPr>
            <w:r>
              <w:rPr>
                <w:sz w:val="20"/>
              </w:rPr>
              <w:t xml:space="preserve">19</w:t>
            </w:r>
          </w:p>
        </w:tc>
        <w:tc>
          <w:tcPr>
            <w:tcW w:w="3005" w:type="dxa"/>
          </w:tcPr>
          <w:p>
            <w:pPr>
              <w:pStyle w:val="0"/>
              <w:jc w:val="both"/>
            </w:pPr>
            <w:r>
              <w:rPr>
                <w:sz w:val="20"/>
              </w:rPr>
              <w:t xml:space="preserve">Медицинская сестра по массажу</w:t>
            </w:r>
          </w:p>
        </w:tc>
        <w:tc>
          <w:tcPr>
            <w:tcW w:w="3685" w:type="dxa"/>
          </w:tcPr>
          <w:p>
            <w:pPr>
              <w:pStyle w:val="0"/>
              <w:jc w:val="both"/>
            </w:pPr>
            <w:r>
              <w:rPr>
                <w:sz w:val="20"/>
              </w:rPr>
              <w:t xml:space="preserve">устанавливается в соответствии с порядком и нормами соответствующего структурного подразделения</w:t>
            </w:r>
          </w:p>
        </w:tc>
        <w:tc>
          <w:tcPr>
            <w:tcW w:w="1814" w:type="dxa"/>
          </w:tcPr>
          <w:p>
            <w:pPr>
              <w:pStyle w:val="0"/>
              <w:jc w:val="center"/>
            </w:pPr>
            <w:r>
              <w:rPr>
                <w:sz w:val="20"/>
              </w:rPr>
              <w:t xml:space="preserve">0</w:t>
            </w:r>
          </w:p>
        </w:tc>
      </w:tr>
      <w:tr>
        <w:tc>
          <w:tcPr>
            <w:tcW w:w="567" w:type="dxa"/>
          </w:tcPr>
          <w:p>
            <w:pPr>
              <w:pStyle w:val="0"/>
              <w:jc w:val="both"/>
            </w:pPr>
            <w:r>
              <w:rPr>
                <w:sz w:val="20"/>
              </w:rPr>
              <w:t xml:space="preserve">20</w:t>
            </w:r>
          </w:p>
        </w:tc>
        <w:tc>
          <w:tcPr>
            <w:tcW w:w="3005" w:type="dxa"/>
          </w:tcPr>
          <w:p>
            <w:pPr>
              <w:pStyle w:val="0"/>
              <w:jc w:val="both"/>
            </w:pPr>
            <w:r>
              <w:rPr>
                <w:sz w:val="20"/>
              </w:rPr>
              <w:t xml:space="preserve">Медицинская сестра</w:t>
            </w:r>
          </w:p>
        </w:tc>
        <w:tc>
          <w:tcPr>
            <w:tcW w:w="3685" w:type="dxa"/>
          </w:tcPr>
          <w:p>
            <w:pPr>
              <w:pStyle w:val="0"/>
              <w:jc w:val="both"/>
            </w:pPr>
            <w:r>
              <w:rPr>
                <w:sz w:val="20"/>
              </w:rPr>
              <w:t xml:space="preserve">устанавливается в соответствии с порядком и нормами соответствующего структурного подразделения (для обеспечения работы в кабинете функциональной диагностики); 1 (для обеспечения работы в кабинете врача-офтальмолога); 1 (для обеспечения работы в кабинете врача-оториноларинголога); 1 (для обеспечения работы в кабинете врача-уролога)</w:t>
            </w:r>
          </w:p>
        </w:tc>
        <w:tc>
          <w:tcPr>
            <w:tcW w:w="1814" w:type="dxa"/>
          </w:tcPr>
          <w:p>
            <w:pPr>
              <w:pStyle w:val="0"/>
              <w:jc w:val="center"/>
            </w:pPr>
            <w:r>
              <w:rPr>
                <w:sz w:val="20"/>
              </w:rPr>
              <w:t xml:space="preserve">0</w:t>
            </w:r>
          </w:p>
        </w:tc>
      </w:tr>
      <w:tr>
        <w:tc>
          <w:tcPr>
            <w:tcW w:w="567" w:type="dxa"/>
          </w:tcPr>
          <w:p>
            <w:pPr>
              <w:pStyle w:val="0"/>
              <w:jc w:val="both"/>
            </w:pPr>
            <w:r>
              <w:rPr>
                <w:sz w:val="20"/>
              </w:rPr>
              <w:t xml:space="preserve">21</w:t>
            </w:r>
          </w:p>
        </w:tc>
        <w:tc>
          <w:tcPr>
            <w:tcW w:w="3005" w:type="dxa"/>
          </w:tcPr>
          <w:p>
            <w:pPr>
              <w:pStyle w:val="0"/>
              <w:jc w:val="both"/>
            </w:pPr>
            <w:r>
              <w:rPr>
                <w:sz w:val="20"/>
              </w:rPr>
              <w:t xml:space="preserve">Медицинская сестра по физиотерапии</w:t>
            </w:r>
          </w:p>
        </w:tc>
        <w:tc>
          <w:tcPr>
            <w:tcW w:w="3685" w:type="dxa"/>
          </w:tcPr>
          <w:p>
            <w:pPr>
              <w:pStyle w:val="0"/>
              <w:jc w:val="both"/>
            </w:pPr>
            <w:r>
              <w:rPr>
                <w:sz w:val="20"/>
              </w:rPr>
              <w:t xml:space="preserve">1 на 15 тысяч условных процедурных единиц в год</w:t>
            </w:r>
          </w:p>
        </w:tc>
        <w:tc>
          <w:tcPr>
            <w:tcW w:w="1814" w:type="dxa"/>
          </w:tcPr>
          <w:p>
            <w:pPr>
              <w:pStyle w:val="0"/>
              <w:jc w:val="center"/>
            </w:pPr>
            <w:r>
              <w:rPr>
                <w:sz w:val="20"/>
              </w:rPr>
              <w:t xml:space="preserve">0</w:t>
            </w:r>
          </w:p>
        </w:tc>
      </w:tr>
      <w:tr>
        <w:tc>
          <w:tcPr>
            <w:tcW w:w="567" w:type="dxa"/>
          </w:tcPr>
          <w:p>
            <w:pPr>
              <w:pStyle w:val="0"/>
              <w:jc w:val="both"/>
            </w:pPr>
            <w:r>
              <w:rPr>
                <w:sz w:val="20"/>
              </w:rPr>
              <w:t xml:space="preserve">22</w:t>
            </w:r>
          </w:p>
        </w:tc>
        <w:tc>
          <w:tcPr>
            <w:tcW w:w="3005" w:type="dxa"/>
          </w:tcPr>
          <w:p>
            <w:pPr>
              <w:pStyle w:val="0"/>
              <w:jc w:val="both"/>
            </w:pPr>
            <w:r>
              <w:rPr>
                <w:sz w:val="20"/>
              </w:rPr>
              <w:t xml:space="preserve">Сестра-хозяйка</w:t>
            </w:r>
          </w:p>
        </w:tc>
        <w:tc>
          <w:tcPr>
            <w:tcW w:w="3685" w:type="dxa"/>
          </w:tcPr>
          <w:p>
            <w:pPr>
              <w:pStyle w:val="0"/>
              <w:jc w:val="center"/>
            </w:pPr>
            <w:r>
              <w:rPr>
                <w:sz w:val="20"/>
              </w:rPr>
              <w:t xml:space="preserve">1</w:t>
            </w:r>
          </w:p>
        </w:tc>
        <w:tc>
          <w:tcPr>
            <w:tcW w:w="1814" w:type="dxa"/>
          </w:tcPr>
          <w:p>
            <w:pPr>
              <w:pStyle w:val="0"/>
              <w:jc w:val="center"/>
            </w:pPr>
            <w:r>
              <w:rPr>
                <w:sz w:val="20"/>
              </w:rPr>
              <w:t xml:space="preserve">1</w:t>
            </w:r>
          </w:p>
        </w:tc>
      </w:tr>
      <w:tr>
        <w:tc>
          <w:tcPr>
            <w:tcW w:w="567" w:type="dxa"/>
          </w:tcPr>
          <w:p>
            <w:pPr>
              <w:pStyle w:val="0"/>
              <w:jc w:val="both"/>
            </w:pPr>
            <w:r>
              <w:rPr>
                <w:sz w:val="20"/>
              </w:rPr>
              <w:t xml:space="preserve">23</w:t>
            </w:r>
          </w:p>
        </w:tc>
        <w:tc>
          <w:tcPr>
            <w:tcW w:w="3005" w:type="dxa"/>
          </w:tcPr>
          <w:p>
            <w:pPr>
              <w:pStyle w:val="0"/>
              <w:jc w:val="both"/>
            </w:pPr>
            <w:r>
              <w:rPr>
                <w:sz w:val="20"/>
              </w:rPr>
              <w:t xml:space="preserve">Инструктор по лечебной физкультуре</w:t>
            </w:r>
          </w:p>
        </w:tc>
        <w:tc>
          <w:tcPr>
            <w:tcW w:w="3685" w:type="dxa"/>
          </w:tcPr>
          <w:p>
            <w:pPr>
              <w:pStyle w:val="0"/>
              <w:jc w:val="center"/>
            </w:pPr>
            <w:r>
              <w:rPr>
                <w:sz w:val="20"/>
              </w:rPr>
              <w:t xml:space="preserve">1</w:t>
            </w:r>
          </w:p>
        </w:tc>
        <w:tc>
          <w:tcPr>
            <w:tcW w:w="1814" w:type="dxa"/>
          </w:tcPr>
          <w:p>
            <w:pPr>
              <w:pStyle w:val="0"/>
              <w:jc w:val="center"/>
            </w:pPr>
            <w:r>
              <w:rPr>
                <w:sz w:val="20"/>
              </w:rPr>
              <w:t xml:space="preserve">0</w:t>
            </w:r>
          </w:p>
        </w:tc>
      </w:tr>
      <w:tr>
        <w:tc>
          <w:tcPr>
            <w:tcW w:w="567" w:type="dxa"/>
          </w:tcPr>
          <w:p>
            <w:pPr>
              <w:pStyle w:val="0"/>
              <w:jc w:val="both"/>
            </w:pPr>
            <w:r>
              <w:rPr>
                <w:sz w:val="20"/>
              </w:rPr>
              <w:t xml:space="preserve">24</w:t>
            </w:r>
          </w:p>
        </w:tc>
        <w:tc>
          <w:tcPr>
            <w:tcW w:w="3005" w:type="dxa"/>
          </w:tcPr>
          <w:p>
            <w:pPr>
              <w:pStyle w:val="0"/>
              <w:jc w:val="both"/>
            </w:pPr>
            <w:r>
              <w:rPr>
                <w:sz w:val="20"/>
              </w:rPr>
              <w:t xml:space="preserve">Санитар</w:t>
            </w:r>
          </w:p>
        </w:tc>
        <w:tc>
          <w:tcPr>
            <w:tcW w:w="3685" w:type="dxa"/>
          </w:tcPr>
          <w:p>
            <w:pPr>
              <w:pStyle w:val="0"/>
              <w:jc w:val="both"/>
            </w:pPr>
            <w:r>
              <w:rPr>
                <w:sz w:val="20"/>
              </w:rPr>
              <w:t xml:space="preserve">4 (для обеспечения круглосуточной работы операционной);</w:t>
            </w:r>
          </w:p>
          <w:p>
            <w:pPr>
              <w:pStyle w:val="0"/>
              <w:jc w:val="both"/>
            </w:pPr>
            <w:r>
              <w:rPr>
                <w:sz w:val="20"/>
              </w:rPr>
              <w:t xml:space="preserve">2 (для обеспечения ухода за больными);</w:t>
            </w:r>
          </w:p>
          <w:p>
            <w:pPr>
              <w:pStyle w:val="0"/>
              <w:jc w:val="both"/>
            </w:pPr>
            <w:r>
              <w:rPr>
                <w:sz w:val="20"/>
              </w:rPr>
              <w:t xml:space="preserve">9,75 ставки на 6 коек (для обеспечения круглосуточной работы);</w:t>
            </w:r>
          </w:p>
          <w:p>
            <w:pPr>
              <w:pStyle w:val="0"/>
              <w:jc w:val="both"/>
            </w:pPr>
            <w:r>
              <w:rPr>
                <w:sz w:val="20"/>
              </w:rPr>
              <w:t xml:space="preserve">1 (для работы в буфете);</w:t>
            </w:r>
          </w:p>
          <w:p>
            <w:pPr>
              <w:pStyle w:val="0"/>
              <w:jc w:val="both"/>
            </w:pPr>
            <w:r>
              <w:rPr>
                <w:sz w:val="20"/>
              </w:rPr>
              <w:t xml:space="preserve">1 (для работы в процедурной);</w:t>
            </w:r>
          </w:p>
          <w:p>
            <w:pPr>
              <w:pStyle w:val="0"/>
              <w:jc w:val="both"/>
            </w:pPr>
            <w:r>
              <w:rPr>
                <w:sz w:val="20"/>
              </w:rPr>
              <w:t xml:space="preserve">1 (для работы в перевязочной);</w:t>
            </w:r>
          </w:p>
          <w:p>
            <w:pPr>
              <w:pStyle w:val="0"/>
              <w:jc w:val="both"/>
            </w:pPr>
            <w:r>
              <w:rPr>
                <w:sz w:val="20"/>
              </w:rPr>
              <w:t xml:space="preserve">1 (для уборки помещений)</w:t>
            </w:r>
          </w:p>
        </w:tc>
        <w:tc>
          <w:tcPr>
            <w:tcW w:w="1814" w:type="dxa"/>
          </w:tcPr>
          <w:p>
            <w:pPr>
              <w:pStyle w:val="0"/>
              <w:jc w:val="both"/>
            </w:pPr>
            <w:r>
              <w:rPr>
                <w:sz w:val="20"/>
              </w:rPr>
              <w:t xml:space="preserve">5,5 - санитар;</w:t>
            </w:r>
          </w:p>
          <w:p>
            <w:pPr>
              <w:pStyle w:val="0"/>
              <w:jc w:val="both"/>
            </w:pPr>
            <w:r>
              <w:rPr>
                <w:sz w:val="20"/>
              </w:rPr>
              <w:t xml:space="preserve">9 - младшая медсестра по уходу за больными;</w:t>
            </w:r>
          </w:p>
          <w:p>
            <w:pPr>
              <w:pStyle w:val="0"/>
              <w:jc w:val="both"/>
            </w:pPr>
            <w:r>
              <w:rPr>
                <w:sz w:val="20"/>
              </w:rPr>
              <w:t xml:space="preserve">1 - уборщик помещений</w:t>
            </w:r>
          </w:p>
        </w:tc>
      </w:tr>
    </w:tbl>
    <w:p>
      <w:pPr>
        <w:pStyle w:val="0"/>
        <w:ind w:firstLine="540"/>
        <w:jc w:val="both"/>
      </w:pPr>
      <w:r>
        <w:rPr>
          <w:sz w:val="20"/>
        </w:rPr>
      </w:r>
    </w:p>
    <w:p>
      <w:pPr>
        <w:pStyle w:val="0"/>
        <w:ind w:firstLine="540"/>
        <w:jc w:val="both"/>
      </w:pPr>
      <w:r>
        <w:rPr>
          <w:sz w:val="20"/>
        </w:rPr>
        <w:t xml:space="preserve">Примечание: в медицинских организациях, имеющих в своей структуре нейрохирургическое отделение, рекомендуется предусматривать дополнительно должности врачей-специалистов из расчета 0,5 должности врача-специалиста на нейрохирургическое отделение, а также предусматривать дополнительно должности медицинских сестер кабинетов врачей-специалистов из расчета количества должностей врачей-специалистов на нейрохирургическое отделение.</w:t>
      </w:r>
    </w:p>
    <w:p>
      <w:pPr>
        <w:pStyle w:val="0"/>
        <w:ind w:firstLine="540"/>
        <w:jc w:val="both"/>
      </w:pPr>
      <w:r>
        <w:rPr>
          <w:sz w:val="20"/>
        </w:rPr>
      </w:r>
    </w:p>
    <w:p>
      <w:pPr>
        <w:pStyle w:val="2"/>
        <w:outlineLvl w:val="4"/>
        <w:jc w:val="center"/>
      </w:pPr>
      <w:r>
        <w:rPr>
          <w:sz w:val="20"/>
        </w:rPr>
        <w:t xml:space="preserve">4.2.4. Отделение неврологии</w:t>
      </w:r>
    </w:p>
    <w:p>
      <w:pPr>
        <w:pStyle w:val="0"/>
        <w:jc w:val="center"/>
      </w:pPr>
      <w:r>
        <w:rPr>
          <w:sz w:val="20"/>
        </w:rPr>
      </w:r>
    </w:p>
    <w:p>
      <w:pPr>
        <w:pStyle w:val="0"/>
        <w:ind w:firstLine="540"/>
        <w:jc w:val="both"/>
      </w:pPr>
      <w:r>
        <w:rPr>
          <w:sz w:val="20"/>
        </w:rPr>
        <w:t xml:space="preserve">Штатное расписание не соответствует </w:t>
      </w:r>
      <w:hyperlink w:history="0" r:id="rId638" w:tooltip="Приказ Минздрава России от 15.11.2012 N 928н (ред. от 21.02.2020) &quot;Об утверждении Порядка оказания медицинской помощи больным с острыми нарушениями мозгового кровообращения&quot; (Зарегистрировано в Минюсте России 27.02.2013 N 27353) {КонсультантПлюс}">
        <w:r>
          <w:rPr>
            <w:sz w:val="20"/>
            <w:color w:val="0000ff"/>
          </w:rPr>
          <w:t xml:space="preserve">приказу</w:t>
        </w:r>
      </w:hyperlink>
      <w:r>
        <w:rPr>
          <w:sz w:val="20"/>
        </w:rPr>
        <w:t xml:space="preserve"> Министерства здравоохранения Российской Федерации от 15.11.2012 N 928н "Об утверждении Порядка оказания медицинской помощи больным с острым нарушением мозгового кровообращения". Согласно приказу в отделении должна быть одна ставка заведующего отделением, 12 ставок врачей-дежурантов для обеспечения круглосуточной работы отделения и приемного покоя, пять ставок дневных врачей, 0,5 ставки врача-реаниматолога, одна ставка врача-психиатра, одна ставка врача-кардиолога, 2,25 ставки врача УЗИ, 5,25 ставки врача ЛФК, 5,25 ставки врача по медицинской реабилитации, 5,25 ставки врача-физиотерапевта, 1,5 ставки врача-рефлексотерапевта, 3,5 ставки врача-логопеда, 3,5 ставки врача-психолога. Итого 47 ставок.</w:t>
      </w:r>
    </w:p>
    <w:p>
      <w:pPr>
        <w:pStyle w:val="0"/>
        <w:spacing w:before="200" w:line-rule="auto"/>
        <w:ind w:firstLine="540"/>
        <w:jc w:val="both"/>
      </w:pPr>
      <w:r>
        <w:rPr>
          <w:sz w:val="20"/>
        </w:rPr>
        <w:t xml:space="preserve">По среднему медперсоналу: одна ставка старшей медсестры (далее - м/с), пять ставок м/с палатных, две ставки м/с ПИТ, 23,75 ставки м/с для круглосуточной работы, 2,5 ставки процедурных м/с, 5,25 ставки м/с - массажистки, 5,25 ставки м/с физиотерапии, 5,25 ставки инструктора ЛФК. Итого 50 ставок.</w:t>
      </w:r>
    </w:p>
    <w:p>
      <w:pPr>
        <w:pStyle w:val="0"/>
        <w:spacing w:before="200" w:line-rule="auto"/>
        <w:ind w:firstLine="540"/>
        <w:jc w:val="both"/>
      </w:pPr>
      <w:r>
        <w:rPr>
          <w:sz w:val="20"/>
        </w:rPr>
        <w:t xml:space="preserve">По младшему медперсоналу: одна ставка сестры-хозяйки, 24,75 ставки младших м/с, 14 ставок санитаров, три ставки буфетчицы. Итого: 42,75 ставки.</w:t>
      </w:r>
    </w:p>
    <w:p>
      <w:pPr>
        <w:pStyle w:val="0"/>
        <w:spacing w:before="200" w:line-rule="auto"/>
        <w:ind w:firstLine="540"/>
        <w:jc w:val="both"/>
      </w:pPr>
      <w:r>
        <w:rPr>
          <w:sz w:val="20"/>
        </w:rPr>
        <w:t xml:space="preserve">В штатном расписании имеется 19,25 врачебной ставки, из них занято 15,5; 23,75 ставки м/с, занято 11 ставок; 33,5 ставки младшего медперсонала, занято 20 ставок.</w:t>
      </w:r>
    </w:p>
    <w:p>
      <w:pPr>
        <w:pStyle w:val="0"/>
        <w:spacing w:before="200" w:line-rule="auto"/>
        <w:ind w:firstLine="540"/>
        <w:jc w:val="both"/>
      </w:pPr>
      <w:r>
        <w:rPr>
          <w:sz w:val="20"/>
        </w:rPr>
        <w:t xml:space="preserve">Нехватка ставок согласно </w:t>
      </w:r>
      <w:hyperlink w:history="0" r:id="rId639" w:tooltip="Приказ Минздрава России от 15.11.2012 N 928н (ред. от 21.02.2020) &quot;Об утверждении Порядка оказания медицинской помощи больным с острыми нарушениями мозгового кровообращения&quot; (Зарегистрировано в Минюсте России 27.02.2013 N 27353) {КонсультантПлюс}">
        <w:r>
          <w:rPr>
            <w:sz w:val="20"/>
            <w:color w:val="0000ff"/>
          </w:rPr>
          <w:t xml:space="preserve">приказу</w:t>
        </w:r>
      </w:hyperlink>
      <w:r>
        <w:rPr>
          <w:sz w:val="20"/>
        </w:rPr>
        <w:t xml:space="preserve"> Министерства здравоохранения Российской Федерации от 15.11.2012 N 928н составляет 27,75 врачебной ставки, м/с - 39 ставок и младшего медперсонала - 22,75 ставки.</w:t>
      </w:r>
    </w:p>
    <w:p>
      <w:pPr>
        <w:pStyle w:val="0"/>
        <w:spacing w:before="200" w:line-rule="auto"/>
        <w:ind w:firstLine="540"/>
        <w:jc w:val="both"/>
      </w:pPr>
      <w:r>
        <w:rPr>
          <w:sz w:val="20"/>
        </w:rPr>
        <w:t xml:space="preserve">Кадры неврологической службы города Севастополя представлены следующими специальностями: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1417"/>
        <w:gridCol w:w="964"/>
        <w:gridCol w:w="794"/>
        <w:gridCol w:w="1757"/>
        <w:gridCol w:w="1134"/>
        <w:gridCol w:w="1134"/>
      </w:tblGrid>
      <w:tr>
        <w:tc>
          <w:tcPr>
            <w:tcW w:w="1871" w:type="dxa"/>
          </w:tcPr>
          <w:p>
            <w:pPr>
              <w:pStyle w:val="0"/>
              <w:jc w:val="center"/>
            </w:pPr>
            <w:r>
              <w:rPr>
                <w:sz w:val="20"/>
              </w:rPr>
              <w:t xml:space="preserve">Наименование</w:t>
            </w:r>
          </w:p>
        </w:tc>
        <w:tc>
          <w:tcPr>
            <w:tcW w:w="1417" w:type="dxa"/>
          </w:tcPr>
          <w:p>
            <w:pPr>
              <w:pStyle w:val="0"/>
              <w:jc w:val="center"/>
            </w:pPr>
            <w:r>
              <w:rPr>
                <w:sz w:val="20"/>
              </w:rPr>
              <w:t xml:space="preserve">Штатные должности</w:t>
            </w:r>
          </w:p>
        </w:tc>
        <w:tc>
          <w:tcPr>
            <w:tcW w:w="964" w:type="dxa"/>
          </w:tcPr>
          <w:p>
            <w:pPr>
              <w:pStyle w:val="0"/>
              <w:jc w:val="center"/>
            </w:pPr>
            <w:r>
              <w:rPr>
                <w:sz w:val="20"/>
              </w:rPr>
              <w:t xml:space="preserve">Занято ставок</w:t>
            </w:r>
          </w:p>
        </w:tc>
        <w:tc>
          <w:tcPr>
            <w:tcW w:w="794" w:type="dxa"/>
          </w:tcPr>
          <w:p>
            <w:pPr>
              <w:pStyle w:val="0"/>
              <w:jc w:val="center"/>
            </w:pPr>
            <w:r>
              <w:rPr>
                <w:sz w:val="20"/>
              </w:rPr>
              <w:t xml:space="preserve">Физ. лиц</w:t>
            </w:r>
          </w:p>
        </w:tc>
        <w:tc>
          <w:tcPr>
            <w:tcW w:w="1757" w:type="dxa"/>
          </w:tcPr>
          <w:p>
            <w:pPr>
              <w:pStyle w:val="0"/>
              <w:jc w:val="center"/>
            </w:pPr>
            <w:r>
              <w:rPr>
                <w:sz w:val="20"/>
              </w:rPr>
              <w:t xml:space="preserve">Укомплектованность штатов физическими лицами (%) = (гр. 4 / гр. 2) x 100</w:t>
            </w:r>
          </w:p>
        </w:tc>
        <w:tc>
          <w:tcPr>
            <w:tcW w:w="1134" w:type="dxa"/>
          </w:tcPr>
          <w:p>
            <w:pPr>
              <w:pStyle w:val="0"/>
              <w:jc w:val="center"/>
            </w:pPr>
            <w:r>
              <w:rPr>
                <w:sz w:val="20"/>
              </w:rPr>
              <w:t xml:space="preserve">Дефицит физических лиц</w:t>
            </w:r>
          </w:p>
        </w:tc>
        <w:tc>
          <w:tcPr>
            <w:tcW w:w="1134" w:type="dxa"/>
          </w:tcPr>
          <w:p>
            <w:pPr>
              <w:pStyle w:val="0"/>
              <w:jc w:val="center"/>
            </w:pPr>
            <w:r>
              <w:rPr>
                <w:sz w:val="20"/>
              </w:rPr>
              <w:t xml:space="preserve">Трудоустроено в отчетном году</w:t>
            </w:r>
          </w:p>
        </w:tc>
      </w:tr>
      <w:tr>
        <w:tc>
          <w:tcPr>
            <w:tcW w:w="1871" w:type="dxa"/>
          </w:tcPr>
          <w:p>
            <w:pPr>
              <w:pStyle w:val="0"/>
              <w:jc w:val="both"/>
            </w:pPr>
            <w:r>
              <w:rPr>
                <w:sz w:val="20"/>
              </w:rPr>
              <w:t xml:space="preserve">Врачи</w:t>
            </w:r>
          </w:p>
        </w:tc>
        <w:tc>
          <w:tcPr>
            <w:tcW w:w="1417" w:type="dxa"/>
          </w:tcPr>
          <w:p>
            <w:pPr>
              <w:pStyle w:val="0"/>
              <w:jc w:val="center"/>
            </w:pPr>
            <w:r>
              <w:rPr>
                <w:sz w:val="20"/>
              </w:rPr>
              <w:t xml:space="preserve">75,25</w:t>
            </w:r>
          </w:p>
        </w:tc>
        <w:tc>
          <w:tcPr>
            <w:tcW w:w="964" w:type="dxa"/>
          </w:tcPr>
          <w:p>
            <w:pPr>
              <w:pStyle w:val="0"/>
              <w:jc w:val="center"/>
            </w:pPr>
            <w:r>
              <w:rPr>
                <w:sz w:val="20"/>
              </w:rPr>
              <w:t xml:space="preserve">61,75</w:t>
            </w:r>
          </w:p>
        </w:tc>
        <w:tc>
          <w:tcPr>
            <w:tcW w:w="794" w:type="dxa"/>
          </w:tcPr>
          <w:p>
            <w:pPr>
              <w:pStyle w:val="0"/>
              <w:jc w:val="center"/>
            </w:pPr>
            <w:r>
              <w:rPr>
                <w:sz w:val="20"/>
              </w:rPr>
              <w:t xml:space="preserve">53</w:t>
            </w:r>
          </w:p>
        </w:tc>
        <w:tc>
          <w:tcPr>
            <w:tcW w:w="1757" w:type="dxa"/>
          </w:tcPr>
          <w:p>
            <w:pPr>
              <w:pStyle w:val="0"/>
              <w:jc w:val="center"/>
            </w:pPr>
            <w:r>
              <w:rPr>
                <w:sz w:val="20"/>
              </w:rPr>
              <w:t xml:space="preserve">70,43%</w:t>
            </w:r>
          </w:p>
        </w:tc>
        <w:tc>
          <w:tcPr>
            <w:tcW w:w="1134" w:type="dxa"/>
          </w:tcPr>
          <w:p>
            <w:pPr>
              <w:pStyle w:val="0"/>
              <w:jc w:val="center"/>
            </w:pPr>
            <w:r>
              <w:rPr>
                <w:sz w:val="20"/>
              </w:rPr>
              <w:t xml:space="preserve">5</w:t>
            </w:r>
          </w:p>
        </w:tc>
        <w:tc>
          <w:tcPr>
            <w:tcW w:w="1134" w:type="dxa"/>
          </w:tcPr>
          <w:p>
            <w:pPr>
              <w:pStyle w:val="0"/>
              <w:jc w:val="center"/>
            </w:pPr>
            <w:r>
              <w:rPr>
                <w:sz w:val="20"/>
              </w:rPr>
              <w:t xml:space="preserve">1</w:t>
            </w:r>
          </w:p>
        </w:tc>
      </w:tr>
      <w:tr>
        <w:tc>
          <w:tcPr>
            <w:tcW w:w="1871" w:type="dxa"/>
          </w:tcPr>
          <w:p>
            <w:pPr>
              <w:pStyle w:val="0"/>
              <w:jc w:val="both"/>
            </w:pPr>
            <w:r>
              <w:rPr>
                <w:sz w:val="20"/>
              </w:rPr>
              <w:t xml:space="preserve">Врачи поликлиники</w:t>
            </w:r>
          </w:p>
        </w:tc>
        <w:tc>
          <w:tcPr>
            <w:tcW w:w="1417" w:type="dxa"/>
          </w:tcPr>
          <w:p>
            <w:pPr>
              <w:pStyle w:val="0"/>
              <w:jc w:val="center"/>
            </w:pPr>
            <w:r>
              <w:rPr>
                <w:sz w:val="20"/>
              </w:rPr>
              <w:t xml:space="preserve">44,25</w:t>
            </w:r>
          </w:p>
        </w:tc>
        <w:tc>
          <w:tcPr>
            <w:tcW w:w="964" w:type="dxa"/>
          </w:tcPr>
          <w:p>
            <w:pPr>
              <w:pStyle w:val="0"/>
              <w:jc w:val="center"/>
            </w:pPr>
            <w:r>
              <w:rPr>
                <w:sz w:val="20"/>
              </w:rPr>
              <w:t xml:space="preserve">34,75</w:t>
            </w:r>
          </w:p>
        </w:tc>
        <w:tc>
          <w:tcPr>
            <w:tcW w:w="794" w:type="dxa"/>
          </w:tcPr>
          <w:p>
            <w:pPr>
              <w:pStyle w:val="0"/>
              <w:jc w:val="center"/>
            </w:pPr>
            <w:r>
              <w:rPr>
                <w:sz w:val="20"/>
              </w:rPr>
              <w:t xml:space="preserve">30</w:t>
            </w:r>
          </w:p>
        </w:tc>
        <w:tc>
          <w:tcPr>
            <w:tcW w:w="1757" w:type="dxa"/>
          </w:tcPr>
          <w:p>
            <w:pPr>
              <w:pStyle w:val="0"/>
              <w:jc w:val="center"/>
            </w:pPr>
            <w:r>
              <w:rPr>
                <w:sz w:val="20"/>
              </w:rPr>
              <w:t xml:space="preserve">67,80%</w:t>
            </w:r>
          </w:p>
        </w:tc>
        <w:tc>
          <w:tcPr>
            <w:tcW w:w="1134" w:type="dxa"/>
          </w:tcPr>
          <w:p>
            <w:pPr>
              <w:pStyle w:val="0"/>
              <w:jc w:val="center"/>
            </w:pPr>
            <w:r>
              <w:rPr>
                <w:sz w:val="20"/>
              </w:rPr>
              <w:t xml:space="preserve">5</w:t>
            </w:r>
          </w:p>
        </w:tc>
        <w:tc>
          <w:tcPr>
            <w:tcW w:w="1134" w:type="dxa"/>
          </w:tcPr>
          <w:p>
            <w:pPr>
              <w:pStyle w:val="0"/>
              <w:jc w:val="center"/>
            </w:pPr>
            <w:r>
              <w:rPr>
                <w:sz w:val="20"/>
              </w:rPr>
              <w:t xml:space="preserve">1</w:t>
            </w:r>
          </w:p>
        </w:tc>
      </w:tr>
    </w:tbl>
    <w:p>
      <w:pPr>
        <w:pStyle w:val="0"/>
        <w:ind w:firstLine="540"/>
        <w:jc w:val="both"/>
      </w:pPr>
      <w:r>
        <w:rPr>
          <w:sz w:val="20"/>
        </w:rPr>
      </w:r>
    </w:p>
    <w:p>
      <w:pPr>
        <w:pStyle w:val="0"/>
        <w:ind w:firstLine="540"/>
        <w:jc w:val="both"/>
      </w:pPr>
      <w:r>
        <w:rPr>
          <w:sz w:val="20"/>
        </w:rPr>
        <w:t xml:space="preserve">Общее количество неврологов в городе Севастополе, обеспечивающих стационарную и амбулаторно-поликлиническую помощь, составляет 53 человека, что на 11 человек больше, чем в 2017 году. Всеми специалистами пройдена специализация и курсы повышения квалификации по неврологии.</w:t>
      </w:r>
    </w:p>
    <w:p>
      <w:pPr>
        <w:pStyle w:val="0"/>
        <w:jc w:val="center"/>
      </w:pPr>
      <w:r>
        <w:rPr>
          <w:sz w:val="20"/>
        </w:rPr>
      </w:r>
    </w:p>
    <w:p>
      <w:pPr>
        <w:pStyle w:val="2"/>
        <w:outlineLvl w:val="4"/>
        <w:jc w:val="center"/>
      </w:pPr>
      <w:r>
        <w:rPr>
          <w:sz w:val="20"/>
        </w:rPr>
        <w:t xml:space="preserve">4.2.5. Отделение рентгенохирургических методов</w:t>
      </w:r>
    </w:p>
    <w:p>
      <w:pPr>
        <w:pStyle w:val="2"/>
        <w:jc w:val="center"/>
      </w:pPr>
      <w:r>
        <w:rPr>
          <w:sz w:val="20"/>
        </w:rPr>
        <w:t xml:space="preserve">диагностики и лечения</w:t>
      </w:r>
    </w:p>
    <w:p>
      <w:pPr>
        <w:pStyle w:val="0"/>
        <w:jc w:val="center"/>
      </w:pPr>
      <w:r>
        <w:rPr>
          <w:sz w:val="20"/>
        </w:rPr>
      </w:r>
    </w:p>
    <w:p>
      <w:pPr>
        <w:pStyle w:val="0"/>
        <w:ind w:firstLine="540"/>
        <w:jc w:val="both"/>
      </w:pPr>
      <w:r>
        <w:rPr>
          <w:sz w:val="20"/>
        </w:rPr>
        <w:t xml:space="preserve">Число специалистов по рентген-эндоваскулярным методам диагностики и лечения - шесть, при числе штатных должностей - восемь (0,14 на 10 тыс. населения).</w:t>
      </w:r>
    </w:p>
    <w:p>
      <w:pPr>
        <w:pStyle w:val="0"/>
        <w:spacing w:before="200" w:line-rule="auto"/>
        <w:ind w:firstLine="540"/>
        <w:jc w:val="both"/>
      </w:pPr>
      <w:r>
        <w:rPr>
          <w:sz w:val="20"/>
        </w:rPr>
        <w:t xml:space="preserve">Для дальнейшей эффективной работы РСЦ, оказания необходимой помощи больным в тяжелом состоянии, поступающим в экстренном порядке в противошоковую палату, обеспечения круглосуточной работы ОАР РСЦ, плановых и экстренных операций в отделении рентген-эндоваскулярных хирургических методов диагностики и лечения и операционном блоке РСЦ требуется доукомплектование отделений кардиохирургии, нейрохирургии, неврологии и ОАР РСЦ штатными должностями и физическими лицами в количестве:</w:t>
      </w:r>
    </w:p>
    <w:p>
      <w:pPr>
        <w:pStyle w:val="0"/>
        <w:spacing w:before="200" w:line-rule="auto"/>
        <w:ind w:firstLine="540"/>
        <w:jc w:val="both"/>
      </w:pPr>
      <w:r>
        <w:rPr>
          <w:sz w:val="20"/>
        </w:rPr>
        <w:t xml:space="preserve">- врач - анестезиолог-реаниматолог ОАР РСЦ - 15 ставок;</w:t>
      </w:r>
    </w:p>
    <w:p>
      <w:pPr>
        <w:pStyle w:val="0"/>
        <w:spacing w:before="200" w:line-rule="auto"/>
        <w:ind w:firstLine="540"/>
        <w:jc w:val="both"/>
      </w:pPr>
      <w:r>
        <w:rPr>
          <w:sz w:val="20"/>
        </w:rPr>
        <w:t xml:space="preserve">- медицинская сестра - анестезист ОАР РСЦ - 38 ставок;</w:t>
      </w:r>
    </w:p>
    <w:p>
      <w:pPr>
        <w:pStyle w:val="0"/>
        <w:spacing w:before="200" w:line-rule="auto"/>
        <w:ind w:firstLine="540"/>
        <w:jc w:val="both"/>
      </w:pPr>
      <w:r>
        <w:rPr>
          <w:sz w:val="20"/>
        </w:rPr>
        <w:t xml:space="preserve">- младшая медицинская сестра по уходу за больными ОАР РСЦ - 16 ставок;</w:t>
      </w:r>
    </w:p>
    <w:p>
      <w:pPr>
        <w:pStyle w:val="0"/>
        <w:spacing w:before="200" w:line-rule="auto"/>
        <w:ind w:firstLine="540"/>
        <w:jc w:val="both"/>
      </w:pPr>
      <w:r>
        <w:rPr>
          <w:sz w:val="20"/>
        </w:rPr>
        <w:t xml:space="preserve">- санитарка ОАР РСЦ - 21 ставка;</w:t>
      </w:r>
    </w:p>
    <w:p>
      <w:pPr>
        <w:pStyle w:val="0"/>
        <w:spacing w:before="200" w:line-rule="auto"/>
        <w:ind w:firstLine="540"/>
        <w:jc w:val="both"/>
      </w:pPr>
      <w:r>
        <w:rPr>
          <w:sz w:val="20"/>
        </w:rPr>
        <w:t xml:space="preserve">- врач-кардиолог КХО - 3,25 ставки;</w:t>
      </w:r>
    </w:p>
    <w:p>
      <w:pPr>
        <w:pStyle w:val="0"/>
        <w:spacing w:before="200" w:line-rule="auto"/>
        <w:ind w:firstLine="540"/>
        <w:jc w:val="both"/>
      </w:pPr>
      <w:r>
        <w:rPr>
          <w:sz w:val="20"/>
        </w:rPr>
        <w:t xml:space="preserve">- врач функциональной диагностики КХО - 1,0 ставки;</w:t>
      </w:r>
    </w:p>
    <w:p>
      <w:pPr>
        <w:pStyle w:val="0"/>
        <w:spacing w:before="200" w:line-rule="auto"/>
        <w:ind w:firstLine="540"/>
        <w:jc w:val="both"/>
      </w:pPr>
      <w:r>
        <w:rPr>
          <w:sz w:val="20"/>
        </w:rPr>
        <w:t xml:space="preserve">- врач по лечебной физкультуре КХО - 0,25 ставки;</w:t>
      </w:r>
    </w:p>
    <w:p>
      <w:pPr>
        <w:pStyle w:val="0"/>
        <w:spacing w:before="200" w:line-rule="auto"/>
        <w:ind w:firstLine="540"/>
        <w:jc w:val="both"/>
      </w:pPr>
      <w:r>
        <w:rPr>
          <w:sz w:val="20"/>
        </w:rPr>
        <w:t xml:space="preserve">- инструктор по лечебной физкультуре КХО - 0,25 ставки;</w:t>
      </w:r>
    </w:p>
    <w:p>
      <w:pPr>
        <w:pStyle w:val="0"/>
        <w:spacing w:before="200" w:line-rule="auto"/>
        <w:ind w:firstLine="540"/>
        <w:jc w:val="both"/>
      </w:pPr>
      <w:r>
        <w:rPr>
          <w:sz w:val="20"/>
        </w:rPr>
        <w:t xml:space="preserve">- медицинский психолог КХО - 0,25 ставки;</w:t>
      </w:r>
    </w:p>
    <w:p>
      <w:pPr>
        <w:pStyle w:val="0"/>
        <w:spacing w:before="200" w:line-rule="auto"/>
        <w:ind w:firstLine="540"/>
        <w:jc w:val="both"/>
      </w:pPr>
      <w:r>
        <w:rPr>
          <w:sz w:val="20"/>
        </w:rPr>
        <w:t xml:space="preserve">- м/с врача ультразвуковой диагностики КХО - 1,0 ставки;</w:t>
      </w:r>
    </w:p>
    <w:p>
      <w:pPr>
        <w:pStyle w:val="0"/>
        <w:spacing w:before="200" w:line-rule="auto"/>
        <w:ind w:firstLine="540"/>
        <w:jc w:val="both"/>
      </w:pPr>
      <w:r>
        <w:rPr>
          <w:sz w:val="20"/>
        </w:rPr>
        <w:t xml:space="preserve">- м/с врача функциональной диагностики КХО - 1,0 ставки;</w:t>
      </w:r>
    </w:p>
    <w:p>
      <w:pPr>
        <w:pStyle w:val="0"/>
        <w:spacing w:before="200" w:line-rule="auto"/>
        <w:ind w:firstLine="540"/>
        <w:jc w:val="both"/>
      </w:pPr>
      <w:r>
        <w:rPr>
          <w:sz w:val="20"/>
        </w:rPr>
        <w:t xml:space="preserve">- санитарка КХО - 6,75 ставки.</w:t>
      </w:r>
    </w:p>
    <w:p>
      <w:pPr>
        <w:pStyle w:val="0"/>
        <w:ind w:firstLine="540"/>
        <w:jc w:val="both"/>
      </w:pPr>
      <w:r>
        <w:rPr>
          <w:sz w:val="20"/>
        </w:rPr>
      </w:r>
    </w:p>
    <w:p>
      <w:pPr>
        <w:pStyle w:val="2"/>
        <w:outlineLvl w:val="4"/>
        <w:jc w:val="center"/>
      </w:pPr>
      <w:r>
        <w:rPr>
          <w:sz w:val="20"/>
        </w:rPr>
        <w:t xml:space="preserve">4.2.6. Анализ нагрузки на оборудование медицинских</w:t>
      </w:r>
    </w:p>
    <w:p>
      <w:pPr>
        <w:pStyle w:val="2"/>
        <w:jc w:val="center"/>
      </w:pPr>
      <w:r>
        <w:rPr>
          <w:sz w:val="20"/>
        </w:rPr>
        <w:t xml:space="preserve">организаций города Севастополя за 2022 г.</w:t>
      </w:r>
    </w:p>
    <w:p>
      <w:pPr>
        <w:pStyle w:val="0"/>
        <w:jc w:val="center"/>
      </w:pPr>
      <w:r>
        <w:rPr>
          <w:sz w:val="20"/>
        </w:rPr>
      </w:r>
    </w:p>
    <w:p>
      <w:pPr>
        <w:pStyle w:val="2"/>
        <w:outlineLvl w:val="5"/>
        <w:jc w:val="center"/>
      </w:pPr>
      <w:r>
        <w:rPr>
          <w:sz w:val="20"/>
        </w:rPr>
        <w:t xml:space="preserve">Количество оборудования в медицинских организациях</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154"/>
        <w:gridCol w:w="1701"/>
        <w:gridCol w:w="1361"/>
        <w:gridCol w:w="1644"/>
        <w:gridCol w:w="1644"/>
        <w:gridCol w:w="1984"/>
      </w:tblGrid>
      <w:tr>
        <w:tc>
          <w:tcPr>
            <w:tcW w:w="567" w:type="dxa"/>
            <w:vMerge w:val="restart"/>
          </w:tcPr>
          <w:p>
            <w:pPr>
              <w:pStyle w:val="0"/>
              <w:jc w:val="center"/>
            </w:pPr>
            <w:r>
              <w:rPr>
                <w:sz w:val="20"/>
              </w:rPr>
              <w:t xml:space="preserve">N п/п</w:t>
            </w:r>
          </w:p>
        </w:tc>
        <w:tc>
          <w:tcPr>
            <w:tcW w:w="2154" w:type="dxa"/>
            <w:vMerge w:val="restart"/>
          </w:tcPr>
          <w:p>
            <w:pPr>
              <w:pStyle w:val="0"/>
              <w:jc w:val="center"/>
            </w:pPr>
            <w:r>
              <w:rPr>
                <w:sz w:val="20"/>
              </w:rPr>
              <w:t xml:space="preserve">Наименование МО</w:t>
            </w:r>
          </w:p>
        </w:tc>
        <w:tc>
          <w:tcPr>
            <w:tcW w:w="1701" w:type="dxa"/>
            <w:vMerge w:val="restart"/>
          </w:tcPr>
          <w:p>
            <w:pPr>
              <w:pStyle w:val="0"/>
              <w:jc w:val="center"/>
            </w:pPr>
            <w:r>
              <w:rPr>
                <w:sz w:val="20"/>
              </w:rPr>
              <w:t xml:space="preserve">Наименование аппарата</w:t>
            </w:r>
          </w:p>
        </w:tc>
        <w:tc>
          <w:tcPr>
            <w:tcW w:w="1361" w:type="dxa"/>
            <w:vMerge w:val="restart"/>
          </w:tcPr>
          <w:p>
            <w:pPr>
              <w:pStyle w:val="0"/>
              <w:jc w:val="center"/>
            </w:pPr>
            <w:r>
              <w:rPr>
                <w:sz w:val="20"/>
              </w:rPr>
              <w:t xml:space="preserve">Общее количество аппаратов</w:t>
            </w:r>
          </w:p>
        </w:tc>
        <w:tc>
          <w:tcPr>
            <w:gridSpan w:val="3"/>
            <w:tcW w:w="5272" w:type="dxa"/>
          </w:tcPr>
          <w:p>
            <w:pPr>
              <w:pStyle w:val="0"/>
              <w:jc w:val="center"/>
            </w:pPr>
            <w:r>
              <w:rPr>
                <w:sz w:val="20"/>
              </w:rPr>
              <w:t xml:space="preserve">Из общего количества аппаратов</w:t>
            </w:r>
          </w:p>
        </w:tc>
      </w:tr>
      <w:tr>
        <w:tc>
          <w:tcPr>
            <w:vMerge w:val="continue"/>
          </w:tcPr>
          <w:p/>
        </w:tc>
        <w:tc>
          <w:tcPr>
            <w:vMerge w:val="continue"/>
          </w:tcPr>
          <w:p/>
        </w:tc>
        <w:tc>
          <w:tcPr>
            <w:vMerge w:val="continue"/>
          </w:tcPr>
          <w:p/>
        </w:tc>
        <w:tc>
          <w:tcPr>
            <w:vMerge w:val="continue"/>
          </w:tcPr>
          <w:p/>
        </w:tc>
        <w:tc>
          <w:tcPr>
            <w:tcW w:w="1644" w:type="dxa"/>
          </w:tcPr>
          <w:p>
            <w:pPr>
              <w:pStyle w:val="0"/>
              <w:jc w:val="center"/>
            </w:pPr>
            <w:r>
              <w:rPr>
                <w:sz w:val="20"/>
              </w:rPr>
              <w:t xml:space="preserve">Из них количество работающих (исправных) аппаратов</w:t>
            </w:r>
          </w:p>
        </w:tc>
        <w:tc>
          <w:tcPr>
            <w:tcW w:w="1644" w:type="dxa"/>
          </w:tcPr>
          <w:p>
            <w:pPr>
              <w:pStyle w:val="0"/>
              <w:jc w:val="center"/>
            </w:pPr>
            <w:r>
              <w:rPr>
                <w:sz w:val="20"/>
              </w:rPr>
              <w:t xml:space="preserve">В том числе работающих аппаратов в 2 - 3 смены/круглосуточно</w:t>
            </w:r>
          </w:p>
        </w:tc>
        <w:tc>
          <w:tcPr>
            <w:tcW w:w="1984" w:type="dxa"/>
          </w:tcPr>
          <w:p>
            <w:pPr>
              <w:pStyle w:val="0"/>
              <w:jc w:val="center"/>
            </w:pPr>
            <w:r>
              <w:rPr>
                <w:sz w:val="20"/>
              </w:rPr>
              <w:t xml:space="preserve">Количество аппаратов, имеющих действующий договор/контракт на техническое обслуживание (обеспечение)</w:t>
            </w:r>
          </w:p>
        </w:tc>
      </w:tr>
      <w:tr>
        <w:tc>
          <w:tcPr>
            <w:tcW w:w="567" w:type="dxa"/>
          </w:tcPr>
          <w:p>
            <w:pPr>
              <w:pStyle w:val="0"/>
              <w:jc w:val="center"/>
            </w:pPr>
            <w:r>
              <w:rPr>
                <w:sz w:val="20"/>
              </w:rPr>
              <w:t xml:space="preserve">1</w:t>
            </w:r>
          </w:p>
        </w:tc>
        <w:tc>
          <w:tcPr>
            <w:tcW w:w="2154" w:type="dxa"/>
          </w:tcPr>
          <w:p>
            <w:pPr>
              <w:pStyle w:val="0"/>
              <w:jc w:val="center"/>
            </w:pPr>
            <w:r>
              <w:rPr>
                <w:sz w:val="20"/>
              </w:rPr>
              <w:t xml:space="preserve">2</w:t>
            </w:r>
          </w:p>
        </w:tc>
        <w:tc>
          <w:tcPr>
            <w:tcW w:w="1701" w:type="dxa"/>
          </w:tcPr>
          <w:p>
            <w:pPr>
              <w:pStyle w:val="0"/>
              <w:jc w:val="center"/>
            </w:pPr>
            <w:r>
              <w:rPr>
                <w:sz w:val="20"/>
              </w:rPr>
              <w:t xml:space="preserve">3</w:t>
            </w:r>
          </w:p>
        </w:tc>
        <w:tc>
          <w:tcPr>
            <w:tcW w:w="1361" w:type="dxa"/>
          </w:tcPr>
          <w:p>
            <w:pPr>
              <w:pStyle w:val="0"/>
              <w:jc w:val="center"/>
            </w:pPr>
            <w:r>
              <w:rPr>
                <w:sz w:val="20"/>
              </w:rPr>
              <w:t xml:space="preserve">4</w:t>
            </w:r>
          </w:p>
        </w:tc>
        <w:tc>
          <w:tcPr>
            <w:tcW w:w="1644" w:type="dxa"/>
          </w:tcPr>
          <w:p>
            <w:pPr>
              <w:pStyle w:val="0"/>
              <w:jc w:val="center"/>
            </w:pPr>
            <w:r>
              <w:rPr>
                <w:sz w:val="20"/>
              </w:rPr>
              <w:t xml:space="preserve">5</w:t>
            </w:r>
          </w:p>
        </w:tc>
        <w:tc>
          <w:tcPr>
            <w:tcW w:w="1644" w:type="dxa"/>
          </w:tcPr>
          <w:p>
            <w:pPr>
              <w:pStyle w:val="0"/>
              <w:jc w:val="center"/>
            </w:pPr>
            <w:r>
              <w:rPr>
                <w:sz w:val="20"/>
              </w:rPr>
              <w:t xml:space="preserve">6</w:t>
            </w:r>
          </w:p>
        </w:tc>
        <w:tc>
          <w:tcPr>
            <w:tcW w:w="1984" w:type="dxa"/>
          </w:tcPr>
          <w:p>
            <w:pPr>
              <w:pStyle w:val="0"/>
              <w:jc w:val="center"/>
            </w:pPr>
            <w:r>
              <w:rPr>
                <w:sz w:val="20"/>
              </w:rPr>
              <w:t xml:space="preserve">7</w:t>
            </w:r>
          </w:p>
        </w:tc>
      </w:tr>
      <w:tr>
        <w:tc>
          <w:tcPr>
            <w:tcW w:w="567" w:type="dxa"/>
          </w:tcPr>
          <w:p>
            <w:pPr>
              <w:pStyle w:val="0"/>
              <w:jc w:val="both"/>
            </w:pPr>
            <w:r>
              <w:rPr>
                <w:sz w:val="20"/>
              </w:rPr>
              <w:t xml:space="preserve">1</w:t>
            </w:r>
          </w:p>
        </w:tc>
        <w:tc>
          <w:tcPr>
            <w:tcW w:w="2154" w:type="dxa"/>
          </w:tcPr>
          <w:p>
            <w:pPr>
              <w:pStyle w:val="0"/>
              <w:jc w:val="both"/>
            </w:pPr>
            <w:r>
              <w:rPr>
                <w:sz w:val="20"/>
              </w:rPr>
              <w:t xml:space="preserve">ГБУЗС "Городская больница N 1 им. Н.И. Пирогова" (далее - Городская больница N 1)</w:t>
            </w:r>
          </w:p>
        </w:tc>
        <w:tc>
          <w:tcPr>
            <w:tcW w:w="1701" w:type="dxa"/>
            <w:vMerge w:val="restart"/>
          </w:tcPr>
          <w:p>
            <w:pPr>
              <w:pStyle w:val="0"/>
              <w:jc w:val="both"/>
            </w:pPr>
            <w:r>
              <w:rPr>
                <w:sz w:val="20"/>
              </w:rPr>
              <w:t xml:space="preserve">УЗИ-аппараты</w:t>
            </w:r>
          </w:p>
        </w:tc>
        <w:tc>
          <w:tcPr>
            <w:tcW w:w="1361" w:type="dxa"/>
          </w:tcPr>
          <w:p>
            <w:pPr>
              <w:pStyle w:val="0"/>
              <w:jc w:val="center"/>
            </w:pPr>
            <w:r>
              <w:rPr>
                <w:sz w:val="20"/>
              </w:rPr>
              <w:t xml:space="preserve">46</w:t>
            </w:r>
          </w:p>
        </w:tc>
        <w:tc>
          <w:tcPr>
            <w:tcW w:w="1644" w:type="dxa"/>
          </w:tcPr>
          <w:p>
            <w:pPr>
              <w:pStyle w:val="0"/>
              <w:jc w:val="center"/>
            </w:pPr>
            <w:r>
              <w:rPr>
                <w:sz w:val="20"/>
              </w:rPr>
              <w:t xml:space="preserve">34</w:t>
            </w:r>
          </w:p>
        </w:tc>
        <w:tc>
          <w:tcPr>
            <w:tcW w:w="1644" w:type="dxa"/>
          </w:tcPr>
          <w:p>
            <w:pPr>
              <w:pStyle w:val="0"/>
              <w:jc w:val="center"/>
            </w:pPr>
            <w:r>
              <w:rPr>
                <w:sz w:val="20"/>
              </w:rPr>
              <w:t xml:space="preserve">19</w:t>
            </w:r>
          </w:p>
        </w:tc>
        <w:tc>
          <w:tcPr>
            <w:tcW w:w="1984" w:type="dxa"/>
          </w:tcPr>
          <w:p>
            <w:pPr>
              <w:pStyle w:val="0"/>
              <w:jc w:val="center"/>
            </w:pPr>
            <w:r>
              <w:rPr>
                <w:sz w:val="20"/>
              </w:rPr>
              <w:t xml:space="preserve">34</w:t>
            </w:r>
          </w:p>
        </w:tc>
      </w:tr>
      <w:tr>
        <w:tc>
          <w:tcPr>
            <w:tcW w:w="567" w:type="dxa"/>
          </w:tcPr>
          <w:p>
            <w:pPr>
              <w:pStyle w:val="0"/>
              <w:jc w:val="both"/>
            </w:pPr>
            <w:r>
              <w:rPr>
                <w:sz w:val="20"/>
              </w:rPr>
              <w:t xml:space="preserve">2</w:t>
            </w:r>
          </w:p>
        </w:tc>
        <w:tc>
          <w:tcPr>
            <w:tcW w:w="2154" w:type="dxa"/>
          </w:tcPr>
          <w:p>
            <w:pPr>
              <w:pStyle w:val="0"/>
              <w:jc w:val="both"/>
            </w:pPr>
            <w:r>
              <w:rPr>
                <w:sz w:val="20"/>
              </w:rPr>
              <w:t xml:space="preserve">ГБУЗС "Городская больница N 4" (далее - Городская больница N 4)</w:t>
            </w:r>
          </w:p>
        </w:tc>
        <w:tc>
          <w:tcPr>
            <w:vMerge w:val="continue"/>
          </w:tcPr>
          <w:p/>
        </w:tc>
        <w:tc>
          <w:tcPr>
            <w:tcW w:w="1361" w:type="dxa"/>
          </w:tcPr>
          <w:p>
            <w:pPr>
              <w:pStyle w:val="0"/>
              <w:jc w:val="center"/>
            </w:pPr>
            <w:r>
              <w:rPr>
                <w:sz w:val="20"/>
              </w:rPr>
              <w:t xml:space="preserve">15</w:t>
            </w:r>
          </w:p>
        </w:tc>
        <w:tc>
          <w:tcPr>
            <w:tcW w:w="1644" w:type="dxa"/>
          </w:tcPr>
          <w:p>
            <w:pPr>
              <w:pStyle w:val="0"/>
              <w:jc w:val="center"/>
            </w:pPr>
            <w:r>
              <w:rPr>
                <w:sz w:val="20"/>
              </w:rPr>
              <w:t xml:space="preserve">15</w:t>
            </w:r>
          </w:p>
        </w:tc>
        <w:tc>
          <w:tcPr>
            <w:tcW w:w="1644" w:type="dxa"/>
          </w:tcPr>
          <w:p>
            <w:pPr>
              <w:pStyle w:val="0"/>
              <w:jc w:val="center"/>
            </w:pPr>
            <w:r>
              <w:rPr>
                <w:sz w:val="20"/>
              </w:rPr>
              <w:t xml:space="preserve">5</w:t>
            </w:r>
          </w:p>
        </w:tc>
        <w:tc>
          <w:tcPr>
            <w:tcW w:w="1984" w:type="dxa"/>
          </w:tcPr>
          <w:p>
            <w:pPr>
              <w:pStyle w:val="0"/>
              <w:jc w:val="center"/>
            </w:pPr>
            <w:r>
              <w:rPr>
                <w:sz w:val="20"/>
              </w:rPr>
              <w:t xml:space="preserve">15</w:t>
            </w:r>
          </w:p>
        </w:tc>
      </w:tr>
      <w:tr>
        <w:tc>
          <w:tcPr>
            <w:tcW w:w="567" w:type="dxa"/>
          </w:tcPr>
          <w:p>
            <w:pPr>
              <w:pStyle w:val="0"/>
              <w:jc w:val="both"/>
            </w:pPr>
            <w:r>
              <w:rPr>
                <w:sz w:val="20"/>
              </w:rPr>
              <w:t xml:space="preserve">3</w:t>
            </w:r>
          </w:p>
        </w:tc>
        <w:tc>
          <w:tcPr>
            <w:tcW w:w="2154" w:type="dxa"/>
          </w:tcPr>
          <w:p>
            <w:pPr>
              <w:pStyle w:val="0"/>
              <w:jc w:val="both"/>
            </w:pPr>
            <w:r>
              <w:rPr>
                <w:sz w:val="20"/>
              </w:rPr>
              <w:t xml:space="preserve">ГБУЗС "Городская больница N 5 - "Центр охраны здоровья матери и ребенка" (далее - Городская больница N 5)</w:t>
            </w:r>
          </w:p>
        </w:tc>
        <w:tc>
          <w:tcPr>
            <w:vMerge w:val="continue"/>
          </w:tcPr>
          <w:p/>
        </w:tc>
        <w:tc>
          <w:tcPr>
            <w:tcW w:w="1361" w:type="dxa"/>
          </w:tcPr>
          <w:p>
            <w:pPr>
              <w:pStyle w:val="0"/>
              <w:jc w:val="center"/>
            </w:pPr>
            <w:r>
              <w:rPr>
                <w:sz w:val="20"/>
              </w:rPr>
              <w:t xml:space="preserve">36</w:t>
            </w:r>
          </w:p>
        </w:tc>
        <w:tc>
          <w:tcPr>
            <w:tcW w:w="1644" w:type="dxa"/>
          </w:tcPr>
          <w:p>
            <w:pPr>
              <w:pStyle w:val="0"/>
              <w:jc w:val="center"/>
            </w:pPr>
            <w:r>
              <w:rPr>
                <w:sz w:val="20"/>
              </w:rPr>
              <w:t xml:space="preserve">36</w:t>
            </w:r>
          </w:p>
        </w:tc>
        <w:tc>
          <w:tcPr>
            <w:tcW w:w="1644" w:type="dxa"/>
          </w:tcPr>
          <w:p>
            <w:pPr>
              <w:pStyle w:val="0"/>
              <w:jc w:val="center"/>
            </w:pPr>
            <w:r>
              <w:rPr>
                <w:sz w:val="20"/>
              </w:rPr>
              <w:t xml:space="preserve">9</w:t>
            </w:r>
          </w:p>
        </w:tc>
        <w:tc>
          <w:tcPr>
            <w:tcW w:w="1984" w:type="dxa"/>
          </w:tcPr>
          <w:p>
            <w:pPr>
              <w:pStyle w:val="0"/>
              <w:jc w:val="center"/>
            </w:pPr>
            <w:r>
              <w:rPr>
                <w:sz w:val="20"/>
              </w:rPr>
              <w:t xml:space="preserve">30</w:t>
            </w:r>
          </w:p>
        </w:tc>
      </w:tr>
      <w:tr>
        <w:tc>
          <w:tcPr>
            <w:tcW w:w="567" w:type="dxa"/>
          </w:tcPr>
          <w:p>
            <w:pPr>
              <w:pStyle w:val="0"/>
              <w:jc w:val="both"/>
            </w:pPr>
            <w:r>
              <w:rPr>
                <w:sz w:val="20"/>
              </w:rPr>
              <w:t xml:space="preserve">4</w:t>
            </w:r>
          </w:p>
        </w:tc>
        <w:tc>
          <w:tcPr>
            <w:tcW w:w="2154" w:type="dxa"/>
          </w:tcPr>
          <w:p>
            <w:pPr>
              <w:pStyle w:val="0"/>
              <w:jc w:val="both"/>
            </w:pPr>
            <w:r>
              <w:rPr>
                <w:sz w:val="20"/>
              </w:rPr>
              <w:t xml:space="preserve">ГБУЗС "Городская больница N 9" (далее - Городская больница N 9)</w:t>
            </w:r>
          </w:p>
        </w:tc>
        <w:tc>
          <w:tcPr>
            <w:vMerge w:val="continue"/>
          </w:tcPr>
          <w:p/>
        </w:tc>
        <w:tc>
          <w:tcPr>
            <w:tcW w:w="1361" w:type="dxa"/>
          </w:tcPr>
          <w:p>
            <w:pPr>
              <w:pStyle w:val="0"/>
              <w:jc w:val="center"/>
            </w:pPr>
            <w:r>
              <w:rPr>
                <w:sz w:val="20"/>
              </w:rPr>
              <w:t xml:space="preserve">13</w:t>
            </w:r>
          </w:p>
        </w:tc>
        <w:tc>
          <w:tcPr>
            <w:tcW w:w="1644" w:type="dxa"/>
          </w:tcPr>
          <w:p>
            <w:pPr>
              <w:pStyle w:val="0"/>
              <w:jc w:val="center"/>
            </w:pPr>
            <w:r>
              <w:rPr>
                <w:sz w:val="20"/>
              </w:rPr>
              <w:t xml:space="preserve">13</w:t>
            </w:r>
          </w:p>
        </w:tc>
        <w:tc>
          <w:tcPr>
            <w:tcW w:w="1644" w:type="dxa"/>
          </w:tcPr>
          <w:p>
            <w:pPr>
              <w:pStyle w:val="0"/>
              <w:jc w:val="center"/>
            </w:pPr>
            <w:r>
              <w:rPr>
                <w:sz w:val="20"/>
              </w:rPr>
              <w:t xml:space="preserve">5</w:t>
            </w:r>
          </w:p>
        </w:tc>
        <w:tc>
          <w:tcPr>
            <w:tcW w:w="1984" w:type="dxa"/>
          </w:tcPr>
          <w:p>
            <w:pPr>
              <w:pStyle w:val="0"/>
              <w:jc w:val="center"/>
            </w:pPr>
            <w:r>
              <w:rPr>
                <w:sz w:val="20"/>
              </w:rPr>
              <w:t xml:space="preserve">13</w:t>
            </w:r>
          </w:p>
        </w:tc>
      </w:tr>
      <w:tr>
        <w:tc>
          <w:tcPr>
            <w:tcW w:w="567" w:type="dxa"/>
          </w:tcPr>
          <w:p>
            <w:pPr>
              <w:pStyle w:val="0"/>
              <w:jc w:val="both"/>
            </w:pPr>
            <w:r>
              <w:rPr>
                <w:sz w:val="20"/>
              </w:rPr>
              <w:t xml:space="preserve">5</w:t>
            </w:r>
          </w:p>
        </w:tc>
        <w:tc>
          <w:tcPr>
            <w:tcW w:w="2154" w:type="dxa"/>
          </w:tcPr>
          <w:p>
            <w:pPr>
              <w:pStyle w:val="0"/>
              <w:jc w:val="both"/>
            </w:pPr>
            <w:r>
              <w:rPr>
                <w:sz w:val="20"/>
              </w:rPr>
              <w:t xml:space="preserve">ГБУЗС "Севастопольский городской онкологический диспансер им. А.А. Задорожного" (далее - Онкологический диспансер)</w:t>
            </w:r>
          </w:p>
        </w:tc>
        <w:tc>
          <w:tcPr>
            <w:vMerge w:val="continue"/>
          </w:tcPr>
          <w:p/>
        </w:tc>
        <w:tc>
          <w:tcPr>
            <w:tcW w:w="1361" w:type="dxa"/>
          </w:tcPr>
          <w:p>
            <w:pPr>
              <w:pStyle w:val="0"/>
              <w:jc w:val="center"/>
            </w:pPr>
            <w:r>
              <w:rPr>
                <w:sz w:val="20"/>
              </w:rPr>
              <w:t xml:space="preserve">7</w:t>
            </w:r>
          </w:p>
        </w:tc>
        <w:tc>
          <w:tcPr>
            <w:tcW w:w="1644" w:type="dxa"/>
          </w:tcPr>
          <w:p>
            <w:pPr>
              <w:pStyle w:val="0"/>
              <w:jc w:val="center"/>
            </w:pPr>
            <w:r>
              <w:rPr>
                <w:sz w:val="20"/>
              </w:rPr>
              <w:t xml:space="preserve">7</w:t>
            </w:r>
          </w:p>
        </w:tc>
        <w:tc>
          <w:tcPr>
            <w:tcW w:w="1644" w:type="dxa"/>
          </w:tcPr>
          <w:p>
            <w:pPr>
              <w:pStyle w:val="0"/>
              <w:jc w:val="center"/>
            </w:pPr>
            <w:r>
              <w:rPr>
                <w:sz w:val="20"/>
              </w:rPr>
              <w:t xml:space="preserve">3</w:t>
            </w:r>
          </w:p>
        </w:tc>
        <w:tc>
          <w:tcPr>
            <w:tcW w:w="1984" w:type="dxa"/>
          </w:tcPr>
          <w:p>
            <w:pPr>
              <w:pStyle w:val="0"/>
              <w:jc w:val="center"/>
            </w:pPr>
            <w:r>
              <w:rPr>
                <w:sz w:val="20"/>
              </w:rPr>
              <w:t xml:space="preserve">7</w:t>
            </w:r>
          </w:p>
        </w:tc>
      </w:tr>
      <w:tr>
        <w:tc>
          <w:tcPr>
            <w:tcW w:w="567" w:type="dxa"/>
          </w:tcPr>
          <w:p>
            <w:pPr>
              <w:pStyle w:val="0"/>
              <w:jc w:val="both"/>
            </w:pPr>
            <w:r>
              <w:rPr>
                <w:sz w:val="20"/>
              </w:rPr>
              <w:t xml:space="preserve">6</w:t>
            </w:r>
          </w:p>
        </w:tc>
        <w:tc>
          <w:tcPr>
            <w:tcW w:w="2154" w:type="dxa"/>
          </w:tcPr>
          <w:p>
            <w:pPr>
              <w:pStyle w:val="0"/>
              <w:jc w:val="both"/>
            </w:pPr>
            <w:r>
              <w:rPr>
                <w:sz w:val="20"/>
              </w:rPr>
              <w:t xml:space="preserve">ГБУЗС "Городская инфекционная больница" (далее - инфекционная больница)</w:t>
            </w:r>
          </w:p>
        </w:tc>
        <w:tc>
          <w:tcPr>
            <w:vMerge w:val="continue"/>
          </w:tcPr>
          <w:p/>
        </w:tc>
        <w:tc>
          <w:tcPr>
            <w:tcW w:w="1361" w:type="dxa"/>
          </w:tcPr>
          <w:p>
            <w:pPr>
              <w:pStyle w:val="0"/>
              <w:jc w:val="center"/>
            </w:pPr>
            <w:r>
              <w:rPr>
                <w:sz w:val="20"/>
              </w:rPr>
              <w:t xml:space="preserve">2</w:t>
            </w:r>
          </w:p>
        </w:tc>
        <w:tc>
          <w:tcPr>
            <w:tcW w:w="1644" w:type="dxa"/>
          </w:tcPr>
          <w:p>
            <w:pPr>
              <w:pStyle w:val="0"/>
              <w:jc w:val="center"/>
            </w:pPr>
            <w:r>
              <w:rPr>
                <w:sz w:val="20"/>
              </w:rPr>
              <w:t xml:space="preserve">2</w:t>
            </w:r>
          </w:p>
        </w:tc>
        <w:tc>
          <w:tcPr>
            <w:tcW w:w="1644" w:type="dxa"/>
          </w:tcPr>
          <w:p>
            <w:pPr>
              <w:pStyle w:val="0"/>
              <w:jc w:val="center"/>
            </w:pPr>
            <w:r>
              <w:rPr>
                <w:sz w:val="20"/>
              </w:rPr>
              <w:t xml:space="preserve">2</w:t>
            </w:r>
          </w:p>
        </w:tc>
        <w:tc>
          <w:tcPr>
            <w:tcW w:w="1984" w:type="dxa"/>
          </w:tcPr>
          <w:p>
            <w:pPr>
              <w:pStyle w:val="0"/>
              <w:jc w:val="center"/>
            </w:pPr>
            <w:r>
              <w:rPr>
                <w:sz w:val="20"/>
              </w:rPr>
              <w:t xml:space="preserve">2</w:t>
            </w:r>
          </w:p>
        </w:tc>
      </w:tr>
      <w:tr>
        <w:tc>
          <w:tcPr>
            <w:tcW w:w="567" w:type="dxa"/>
          </w:tcPr>
          <w:p>
            <w:pPr>
              <w:pStyle w:val="0"/>
              <w:jc w:val="both"/>
            </w:pPr>
            <w:r>
              <w:rPr>
                <w:sz w:val="20"/>
              </w:rPr>
              <w:t xml:space="preserve">7</w:t>
            </w:r>
          </w:p>
        </w:tc>
        <w:tc>
          <w:tcPr>
            <w:tcW w:w="2154" w:type="dxa"/>
          </w:tcPr>
          <w:p>
            <w:pPr>
              <w:pStyle w:val="0"/>
              <w:jc w:val="both"/>
            </w:pPr>
            <w:r>
              <w:rPr>
                <w:sz w:val="20"/>
              </w:rPr>
              <w:t xml:space="preserve">ГБУЗС "Севастопольская городская психиатрическая больница" (далее - психиатрическая больница)</w:t>
            </w:r>
          </w:p>
        </w:tc>
        <w:tc>
          <w:tcPr>
            <w:vMerge w:val="continue"/>
          </w:tcPr>
          <w:p/>
        </w:tc>
        <w:tc>
          <w:tcPr>
            <w:tcW w:w="1361" w:type="dxa"/>
          </w:tcPr>
          <w:p>
            <w:pPr>
              <w:pStyle w:val="0"/>
              <w:jc w:val="center"/>
            </w:pPr>
            <w:r>
              <w:rPr>
                <w:sz w:val="20"/>
              </w:rPr>
              <w:t xml:space="preserve">3</w:t>
            </w:r>
          </w:p>
        </w:tc>
        <w:tc>
          <w:tcPr>
            <w:tcW w:w="1644" w:type="dxa"/>
          </w:tcPr>
          <w:p>
            <w:pPr>
              <w:pStyle w:val="0"/>
              <w:jc w:val="center"/>
            </w:pPr>
            <w:r>
              <w:rPr>
                <w:sz w:val="20"/>
              </w:rPr>
              <w:t xml:space="preserve">3</w:t>
            </w:r>
          </w:p>
        </w:tc>
        <w:tc>
          <w:tcPr>
            <w:tcW w:w="1644" w:type="dxa"/>
          </w:tcPr>
          <w:p>
            <w:pPr>
              <w:pStyle w:val="0"/>
              <w:jc w:val="center"/>
            </w:pPr>
            <w:r>
              <w:rPr>
                <w:sz w:val="20"/>
              </w:rPr>
              <w:t xml:space="preserve">0</w:t>
            </w:r>
          </w:p>
        </w:tc>
        <w:tc>
          <w:tcPr>
            <w:tcW w:w="1984" w:type="dxa"/>
          </w:tcPr>
          <w:p>
            <w:pPr>
              <w:pStyle w:val="0"/>
              <w:jc w:val="center"/>
            </w:pPr>
            <w:r>
              <w:rPr>
                <w:sz w:val="20"/>
              </w:rPr>
              <w:t xml:space="preserve">3</w:t>
            </w:r>
          </w:p>
        </w:tc>
      </w:tr>
      <w:tr>
        <w:tc>
          <w:tcPr>
            <w:tcW w:w="567" w:type="dxa"/>
          </w:tcPr>
          <w:p>
            <w:pPr>
              <w:pStyle w:val="0"/>
              <w:jc w:val="both"/>
            </w:pPr>
            <w:r>
              <w:rPr>
                <w:sz w:val="20"/>
              </w:rPr>
              <w:t xml:space="preserve">8</w:t>
            </w:r>
          </w:p>
        </w:tc>
        <w:tc>
          <w:tcPr>
            <w:tcW w:w="2154" w:type="dxa"/>
          </w:tcPr>
          <w:p>
            <w:pPr>
              <w:pStyle w:val="0"/>
              <w:jc w:val="both"/>
            </w:pPr>
            <w:r>
              <w:rPr>
                <w:sz w:val="20"/>
              </w:rPr>
              <w:t xml:space="preserve">ГАУЗС "Центр лечебной физкультуры и спортивной медицины" (далее - ЦЛФИМП)</w:t>
            </w:r>
          </w:p>
        </w:tc>
        <w:tc>
          <w:tcPr>
            <w:vMerge w:val="continue"/>
          </w:tcPr>
          <w:p/>
        </w:tc>
        <w:tc>
          <w:tcPr>
            <w:tcW w:w="1361" w:type="dxa"/>
          </w:tcPr>
          <w:p>
            <w:pPr>
              <w:pStyle w:val="0"/>
              <w:jc w:val="center"/>
            </w:pPr>
            <w:r>
              <w:rPr>
                <w:sz w:val="20"/>
              </w:rPr>
              <w:t xml:space="preserve">1</w:t>
            </w:r>
          </w:p>
        </w:tc>
        <w:tc>
          <w:tcPr>
            <w:tcW w:w="1644" w:type="dxa"/>
          </w:tcPr>
          <w:p>
            <w:pPr>
              <w:pStyle w:val="0"/>
              <w:jc w:val="center"/>
            </w:pPr>
            <w:r>
              <w:rPr>
                <w:sz w:val="20"/>
              </w:rPr>
              <w:t xml:space="preserve">1</w:t>
            </w:r>
          </w:p>
        </w:tc>
        <w:tc>
          <w:tcPr>
            <w:tcW w:w="1644" w:type="dxa"/>
          </w:tcPr>
          <w:p>
            <w:pPr>
              <w:pStyle w:val="0"/>
              <w:jc w:val="center"/>
            </w:pPr>
            <w:r>
              <w:rPr>
                <w:sz w:val="20"/>
              </w:rPr>
              <w:t xml:space="preserve">0</w:t>
            </w:r>
          </w:p>
        </w:tc>
        <w:tc>
          <w:tcPr>
            <w:tcW w:w="1984" w:type="dxa"/>
          </w:tcPr>
          <w:p>
            <w:pPr>
              <w:pStyle w:val="0"/>
              <w:jc w:val="center"/>
            </w:pPr>
            <w:r>
              <w:rPr>
                <w:sz w:val="20"/>
              </w:rPr>
              <w:t xml:space="preserve">1</w:t>
            </w:r>
          </w:p>
        </w:tc>
      </w:tr>
      <w:tr>
        <w:tc>
          <w:tcPr>
            <w:tcW w:w="567" w:type="dxa"/>
          </w:tcPr>
          <w:p>
            <w:pPr>
              <w:pStyle w:val="0"/>
              <w:jc w:val="both"/>
            </w:pPr>
            <w:r>
              <w:rPr>
                <w:sz w:val="20"/>
              </w:rPr>
              <w:t xml:space="preserve">9</w:t>
            </w:r>
          </w:p>
        </w:tc>
        <w:tc>
          <w:tcPr>
            <w:tcW w:w="2154" w:type="dxa"/>
          </w:tcPr>
          <w:p>
            <w:pPr>
              <w:pStyle w:val="0"/>
              <w:jc w:val="both"/>
            </w:pPr>
            <w:r>
              <w:rPr>
                <w:sz w:val="20"/>
              </w:rPr>
              <w:t xml:space="preserve">Итого</w:t>
            </w:r>
          </w:p>
        </w:tc>
        <w:tc>
          <w:tcPr>
            <w:vMerge w:val="continue"/>
          </w:tcPr>
          <w:p/>
        </w:tc>
        <w:tc>
          <w:tcPr>
            <w:tcW w:w="1361" w:type="dxa"/>
          </w:tcPr>
          <w:p>
            <w:pPr>
              <w:pStyle w:val="0"/>
              <w:jc w:val="center"/>
            </w:pPr>
            <w:r>
              <w:rPr>
                <w:sz w:val="20"/>
              </w:rPr>
              <w:t xml:space="preserve">123</w:t>
            </w:r>
          </w:p>
        </w:tc>
        <w:tc>
          <w:tcPr>
            <w:tcW w:w="1644" w:type="dxa"/>
          </w:tcPr>
          <w:p>
            <w:pPr>
              <w:pStyle w:val="0"/>
              <w:jc w:val="center"/>
            </w:pPr>
            <w:r>
              <w:rPr>
                <w:sz w:val="20"/>
              </w:rPr>
              <w:t xml:space="preserve">111</w:t>
            </w:r>
          </w:p>
        </w:tc>
        <w:tc>
          <w:tcPr>
            <w:tcW w:w="1644" w:type="dxa"/>
          </w:tcPr>
          <w:p>
            <w:pPr>
              <w:pStyle w:val="0"/>
              <w:jc w:val="center"/>
            </w:pPr>
            <w:r>
              <w:rPr>
                <w:sz w:val="20"/>
              </w:rPr>
              <w:t xml:space="preserve">43</w:t>
            </w:r>
          </w:p>
        </w:tc>
        <w:tc>
          <w:tcPr>
            <w:tcW w:w="1984" w:type="dxa"/>
          </w:tcPr>
          <w:p>
            <w:pPr>
              <w:pStyle w:val="0"/>
              <w:jc w:val="center"/>
            </w:pPr>
            <w:r>
              <w:rPr>
                <w:sz w:val="20"/>
              </w:rPr>
              <w:t xml:space="preserve">105</w:t>
            </w:r>
          </w:p>
        </w:tc>
      </w:tr>
      <w:tr>
        <w:tc>
          <w:tcPr>
            <w:tcW w:w="567" w:type="dxa"/>
          </w:tcPr>
          <w:p>
            <w:pPr>
              <w:pStyle w:val="0"/>
              <w:jc w:val="both"/>
            </w:pPr>
            <w:r>
              <w:rPr>
                <w:sz w:val="20"/>
              </w:rPr>
              <w:t xml:space="preserve">10</w:t>
            </w:r>
          </w:p>
        </w:tc>
        <w:tc>
          <w:tcPr>
            <w:tcW w:w="2154" w:type="dxa"/>
          </w:tcPr>
          <w:p>
            <w:pPr>
              <w:pStyle w:val="0"/>
              <w:jc w:val="both"/>
            </w:pPr>
            <w:r>
              <w:rPr>
                <w:sz w:val="20"/>
              </w:rPr>
              <w:t xml:space="preserve">Городская больница N 1</w:t>
            </w:r>
          </w:p>
        </w:tc>
        <w:tc>
          <w:tcPr>
            <w:tcW w:w="1701" w:type="dxa"/>
            <w:vMerge w:val="restart"/>
          </w:tcPr>
          <w:p>
            <w:pPr>
              <w:pStyle w:val="0"/>
              <w:jc w:val="both"/>
            </w:pPr>
            <w:r>
              <w:rPr>
                <w:sz w:val="20"/>
              </w:rPr>
              <w:t xml:space="preserve">Ангиограф</w:t>
            </w:r>
          </w:p>
        </w:tc>
        <w:tc>
          <w:tcPr>
            <w:tcW w:w="1361" w:type="dxa"/>
          </w:tcPr>
          <w:p>
            <w:pPr>
              <w:pStyle w:val="0"/>
              <w:jc w:val="center"/>
            </w:pPr>
            <w:r>
              <w:rPr>
                <w:sz w:val="20"/>
              </w:rPr>
              <w:t xml:space="preserve">1</w:t>
            </w:r>
          </w:p>
        </w:tc>
        <w:tc>
          <w:tcPr>
            <w:tcW w:w="1644" w:type="dxa"/>
          </w:tcPr>
          <w:p>
            <w:pPr>
              <w:pStyle w:val="0"/>
              <w:jc w:val="center"/>
            </w:pPr>
            <w:r>
              <w:rPr>
                <w:sz w:val="20"/>
              </w:rPr>
              <w:t xml:space="preserve">1</w:t>
            </w:r>
          </w:p>
        </w:tc>
        <w:tc>
          <w:tcPr>
            <w:tcW w:w="1644" w:type="dxa"/>
          </w:tcPr>
          <w:p>
            <w:pPr>
              <w:pStyle w:val="0"/>
              <w:jc w:val="center"/>
            </w:pPr>
            <w:r>
              <w:rPr>
                <w:sz w:val="20"/>
              </w:rPr>
              <w:t xml:space="preserve">1</w:t>
            </w:r>
          </w:p>
        </w:tc>
        <w:tc>
          <w:tcPr>
            <w:tcW w:w="1984" w:type="dxa"/>
          </w:tcPr>
          <w:p>
            <w:pPr>
              <w:pStyle w:val="0"/>
              <w:jc w:val="center"/>
            </w:pPr>
            <w:r>
              <w:rPr>
                <w:sz w:val="20"/>
              </w:rPr>
              <w:t xml:space="preserve">1</w:t>
            </w:r>
          </w:p>
        </w:tc>
      </w:tr>
      <w:tr>
        <w:tc>
          <w:tcPr>
            <w:tcW w:w="567" w:type="dxa"/>
          </w:tcPr>
          <w:p>
            <w:pPr>
              <w:pStyle w:val="0"/>
              <w:jc w:val="both"/>
            </w:pPr>
            <w:r>
              <w:rPr>
                <w:sz w:val="20"/>
              </w:rPr>
              <w:t xml:space="preserve">11</w:t>
            </w:r>
          </w:p>
        </w:tc>
        <w:tc>
          <w:tcPr>
            <w:tcW w:w="2154" w:type="dxa"/>
          </w:tcPr>
          <w:p>
            <w:pPr>
              <w:pStyle w:val="0"/>
              <w:jc w:val="both"/>
            </w:pPr>
            <w:r>
              <w:rPr>
                <w:sz w:val="20"/>
              </w:rPr>
              <w:t xml:space="preserve">Онкологический диспансер</w:t>
            </w:r>
          </w:p>
        </w:tc>
        <w:tc>
          <w:tcPr>
            <w:vMerge w:val="continue"/>
          </w:tcPr>
          <w:p/>
        </w:tc>
        <w:tc>
          <w:tcPr>
            <w:tcW w:w="1361" w:type="dxa"/>
          </w:tcPr>
          <w:p>
            <w:pPr>
              <w:pStyle w:val="0"/>
              <w:jc w:val="center"/>
            </w:pPr>
            <w:r>
              <w:rPr>
                <w:sz w:val="20"/>
              </w:rPr>
              <w:t xml:space="preserve">1</w:t>
            </w:r>
          </w:p>
        </w:tc>
        <w:tc>
          <w:tcPr>
            <w:tcW w:w="1644" w:type="dxa"/>
          </w:tcPr>
          <w:p>
            <w:pPr>
              <w:pStyle w:val="0"/>
              <w:jc w:val="center"/>
            </w:pPr>
            <w:r>
              <w:rPr>
                <w:sz w:val="20"/>
              </w:rPr>
              <w:t xml:space="preserve">0</w:t>
            </w:r>
          </w:p>
        </w:tc>
        <w:tc>
          <w:tcPr>
            <w:tcW w:w="1644" w:type="dxa"/>
          </w:tcPr>
          <w:p>
            <w:pPr>
              <w:pStyle w:val="0"/>
              <w:jc w:val="center"/>
            </w:pPr>
            <w:r>
              <w:rPr>
                <w:sz w:val="20"/>
              </w:rPr>
              <w:t xml:space="preserve">0</w:t>
            </w:r>
          </w:p>
        </w:tc>
        <w:tc>
          <w:tcPr>
            <w:tcW w:w="1984" w:type="dxa"/>
          </w:tcPr>
          <w:p>
            <w:pPr>
              <w:pStyle w:val="0"/>
              <w:jc w:val="center"/>
            </w:pPr>
            <w:r>
              <w:rPr>
                <w:sz w:val="20"/>
              </w:rPr>
              <w:t xml:space="preserve">1</w:t>
            </w:r>
          </w:p>
        </w:tc>
      </w:tr>
      <w:tr>
        <w:tc>
          <w:tcPr>
            <w:tcW w:w="567" w:type="dxa"/>
          </w:tcPr>
          <w:p>
            <w:pPr>
              <w:pStyle w:val="0"/>
              <w:jc w:val="both"/>
            </w:pPr>
            <w:r>
              <w:rPr>
                <w:sz w:val="20"/>
              </w:rPr>
              <w:t xml:space="preserve">12</w:t>
            </w:r>
          </w:p>
        </w:tc>
        <w:tc>
          <w:tcPr>
            <w:tcW w:w="2154" w:type="dxa"/>
          </w:tcPr>
          <w:p>
            <w:pPr>
              <w:pStyle w:val="0"/>
              <w:jc w:val="both"/>
            </w:pPr>
            <w:r>
              <w:rPr>
                <w:sz w:val="20"/>
              </w:rPr>
              <w:t xml:space="preserve">Итого</w:t>
            </w:r>
          </w:p>
        </w:tc>
        <w:tc>
          <w:tcPr>
            <w:vMerge w:val="continue"/>
          </w:tcPr>
          <w:p/>
        </w:tc>
        <w:tc>
          <w:tcPr>
            <w:tcW w:w="1361" w:type="dxa"/>
          </w:tcPr>
          <w:p>
            <w:pPr>
              <w:pStyle w:val="0"/>
              <w:jc w:val="center"/>
            </w:pPr>
            <w:r>
              <w:rPr>
                <w:sz w:val="20"/>
              </w:rPr>
              <w:t xml:space="preserve">2</w:t>
            </w:r>
          </w:p>
        </w:tc>
        <w:tc>
          <w:tcPr>
            <w:tcW w:w="1644" w:type="dxa"/>
          </w:tcPr>
          <w:p>
            <w:pPr>
              <w:pStyle w:val="0"/>
              <w:jc w:val="center"/>
            </w:pPr>
            <w:r>
              <w:rPr>
                <w:sz w:val="20"/>
              </w:rPr>
              <w:t xml:space="preserve">1</w:t>
            </w:r>
          </w:p>
        </w:tc>
        <w:tc>
          <w:tcPr>
            <w:tcW w:w="1644" w:type="dxa"/>
          </w:tcPr>
          <w:p>
            <w:pPr>
              <w:pStyle w:val="0"/>
              <w:jc w:val="center"/>
            </w:pPr>
            <w:r>
              <w:rPr>
                <w:sz w:val="20"/>
              </w:rPr>
              <w:t xml:space="preserve">1</w:t>
            </w:r>
          </w:p>
        </w:tc>
        <w:tc>
          <w:tcPr>
            <w:tcW w:w="1984" w:type="dxa"/>
          </w:tcPr>
          <w:p>
            <w:pPr>
              <w:pStyle w:val="0"/>
              <w:jc w:val="center"/>
            </w:pPr>
            <w:r>
              <w:rPr>
                <w:sz w:val="20"/>
              </w:rPr>
              <w:t xml:space="preserve">2</w:t>
            </w:r>
          </w:p>
        </w:tc>
      </w:tr>
      <w:tr>
        <w:tc>
          <w:tcPr>
            <w:tcW w:w="567" w:type="dxa"/>
          </w:tcPr>
          <w:p>
            <w:pPr>
              <w:pStyle w:val="0"/>
              <w:jc w:val="both"/>
            </w:pPr>
            <w:r>
              <w:rPr>
                <w:sz w:val="20"/>
              </w:rPr>
              <w:t xml:space="preserve">13</w:t>
            </w:r>
          </w:p>
        </w:tc>
        <w:tc>
          <w:tcPr>
            <w:tcW w:w="2154" w:type="dxa"/>
          </w:tcPr>
          <w:p>
            <w:pPr>
              <w:pStyle w:val="0"/>
              <w:jc w:val="both"/>
            </w:pPr>
            <w:r>
              <w:rPr>
                <w:sz w:val="20"/>
              </w:rPr>
              <w:t xml:space="preserve">Городская больница N 5</w:t>
            </w:r>
          </w:p>
        </w:tc>
        <w:tc>
          <w:tcPr>
            <w:tcW w:w="1701" w:type="dxa"/>
            <w:vMerge w:val="restart"/>
          </w:tcPr>
          <w:p>
            <w:pPr>
              <w:pStyle w:val="0"/>
              <w:jc w:val="both"/>
            </w:pPr>
            <w:r>
              <w:rPr>
                <w:sz w:val="20"/>
              </w:rPr>
              <w:t xml:space="preserve">МРТ</w:t>
            </w:r>
          </w:p>
        </w:tc>
        <w:tc>
          <w:tcPr>
            <w:tcW w:w="1361" w:type="dxa"/>
          </w:tcPr>
          <w:p>
            <w:pPr>
              <w:pStyle w:val="0"/>
              <w:jc w:val="center"/>
            </w:pPr>
            <w:r>
              <w:rPr>
                <w:sz w:val="20"/>
              </w:rPr>
              <w:t xml:space="preserve">1</w:t>
            </w:r>
          </w:p>
        </w:tc>
        <w:tc>
          <w:tcPr>
            <w:tcW w:w="1644" w:type="dxa"/>
          </w:tcPr>
          <w:p>
            <w:pPr>
              <w:pStyle w:val="0"/>
              <w:jc w:val="center"/>
            </w:pPr>
            <w:r>
              <w:rPr>
                <w:sz w:val="20"/>
              </w:rPr>
              <w:t xml:space="preserve">1</w:t>
            </w:r>
          </w:p>
        </w:tc>
        <w:tc>
          <w:tcPr>
            <w:tcW w:w="1644" w:type="dxa"/>
          </w:tcPr>
          <w:p>
            <w:pPr>
              <w:pStyle w:val="0"/>
              <w:jc w:val="center"/>
            </w:pPr>
            <w:r>
              <w:rPr>
                <w:sz w:val="20"/>
              </w:rPr>
              <w:t xml:space="preserve">1</w:t>
            </w:r>
          </w:p>
        </w:tc>
        <w:tc>
          <w:tcPr>
            <w:tcW w:w="1984" w:type="dxa"/>
          </w:tcPr>
          <w:p>
            <w:pPr>
              <w:pStyle w:val="0"/>
              <w:jc w:val="center"/>
            </w:pPr>
            <w:r>
              <w:rPr>
                <w:sz w:val="20"/>
              </w:rPr>
              <w:t xml:space="preserve">1</w:t>
            </w:r>
          </w:p>
        </w:tc>
      </w:tr>
      <w:tr>
        <w:tc>
          <w:tcPr>
            <w:tcW w:w="567" w:type="dxa"/>
          </w:tcPr>
          <w:p>
            <w:pPr>
              <w:pStyle w:val="0"/>
              <w:jc w:val="both"/>
            </w:pPr>
            <w:r>
              <w:rPr>
                <w:sz w:val="20"/>
              </w:rPr>
              <w:t xml:space="preserve">14</w:t>
            </w:r>
          </w:p>
        </w:tc>
        <w:tc>
          <w:tcPr>
            <w:tcW w:w="2154" w:type="dxa"/>
          </w:tcPr>
          <w:p>
            <w:pPr>
              <w:pStyle w:val="0"/>
              <w:jc w:val="both"/>
            </w:pPr>
            <w:r>
              <w:rPr>
                <w:sz w:val="20"/>
              </w:rPr>
              <w:t xml:space="preserve">Городская больница N 1</w:t>
            </w:r>
          </w:p>
        </w:tc>
        <w:tc>
          <w:tcPr>
            <w:vMerge w:val="continue"/>
          </w:tcPr>
          <w:p/>
        </w:tc>
        <w:tc>
          <w:tcPr>
            <w:tcW w:w="1361" w:type="dxa"/>
          </w:tcPr>
          <w:p>
            <w:pPr>
              <w:pStyle w:val="0"/>
              <w:jc w:val="center"/>
            </w:pPr>
            <w:r>
              <w:rPr>
                <w:sz w:val="20"/>
              </w:rPr>
              <w:t xml:space="preserve">2</w:t>
            </w:r>
          </w:p>
        </w:tc>
        <w:tc>
          <w:tcPr>
            <w:tcW w:w="1644" w:type="dxa"/>
          </w:tcPr>
          <w:p>
            <w:pPr>
              <w:pStyle w:val="0"/>
              <w:jc w:val="center"/>
            </w:pPr>
            <w:r>
              <w:rPr>
                <w:sz w:val="20"/>
              </w:rPr>
              <w:t xml:space="preserve">2</w:t>
            </w:r>
          </w:p>
        </w:tc>
        <w:tc>
          <w:tcPr>
            <w:tcW w:w="1644" w:type="dxa"/>
          </w:tcPr>
          <w:p>
            <w:pPr>
              <w:pStyle w:val="0"/>
              <w:jc w:val="center"/>
            </w:pPr>
            <w:r>
              <w:rPr>
                <w:sz w:val="20"/>
              </w:rPr>
              <w:t xml:space="preserve">1</w:t>
            </w:r>
          </w:p>
        </w:tc>
        <w:tc>
          <w:tcPr>
            <w:tcW w:w="1984" w:type="dxa"/>
          </w:tcPr>
          <w:p>
            <w:pPr>
              <w:pStyle w:val="0"/>
              <w:jc w:val="center"/>
            </w:pPr>
            <w:r>
              <w:rPr>
                <w:sz w:val="20"/>
              </w:rPr>
              <w:t xml:space="preserve">2</w:t>
            </w:r>
          </w:p>
        </w:tc>
      </w:tr>
      <w:tr>
        <w:tc>
          <w:tcPr>
            <w:tcW w:w="567" w:type="dxa"/>
          </w:tcPr>
          <w:p>
            <w:pPr>
              <w:pStyle w:val="0"/>
              <w:jc w:val="both"/>
            </w:pPr>
            <w:r>
              <w:rPr>
                <w:sz w:val="20"/>
              </w:rPr>
              <w:t xml:space="preserve">15</w:t>
            </w:r>
          </w:p>
        </w:tc>
        <w:tc>
          <w:tcPr>
            <w:tcW w:w="2154" w:type="dxa"/>
          </w:tcPr>
          <w:p>
            <w:pPr>
              <w:pStyle w:val="0"/>
              <w:jc w:val="both"/>
            </w:pPr>
            <w:r>
              <w:rPr>
                <w:sz w:val="20"/>
              </w:rPr>
              <w:t xml:space="preserve">Онкологический диспансер</w:t>
            </w:r>
          </w:p>
        </w:tc>
        <w:tc>
          <w:tcPr>
            <w:vMerge w:val="continue"/>
          </w:tcPr>
          <w:p/>
        </w:tc>
        <w:tc>
          <w:tcPr>
            <w:tcW w:w="1361" w:type="dxa"/>
          </w:tcPr>
          <w:p>
            <w:pPr>
              <w:pStyle w:val="0"/>
              <w:jc w:val="center"/>
            </w:pPr>
            <w:r>
              <w:rPr>
                <w:sz w:val="20"/>
              </w:rPr>
              <w:t xml:space="preserve">1</w:t>
            </w:r>
          </w:p>
        </w:tc>
        <w:tc>
          <w:tcPr>
            <w:tcW w:w="1644" w:type="dxa"/>
          </w:tcPr>
          <w:p>
            <w:pPr>
              <w:pStyle w:val="0"/>
              <w:jc w:val="center"/>
            </w:pPr>
            <w:r>
              <w:rPr>
                <w:sz w:val="20"/>
              </w:rPr>
              <w:t xml:space="preserve">1</w:t>
            </w:r>
          </w:p>
        </w:tc>
        <w:tc>
          <w:tcPr>
            <w:tcW w:w="1644" w:type="dxa"/>
          </w:tcPr>
          <w:p>
            <w:pPr>
              <w:pStyle w:val="0"/>
              <w:jc w:val="center"/>
            </w:pPr>
            <w:r>
              <w:rPr>
                <w:sz w:val="20"/>
              </w:rPr>
              <w:t xml:space="preserve">1</w:t>
            </w:r>
          </w:p>
        </w:tc>
        <w:tc>
          <w:tcPr>
            <w:tcW w:w="1984" w:type="dxa"/>
          </w:tcPr>
          <w:p>
            <w:pPr>
              <w:pStyle w:val="0"/>
              <w:jc w:val="center"/>
            </w:pPr>
            <w:r>
              <w:rPr>
                <w:sz w:val="20"/>
              </w:rPr>
              <w:t xml:space="preserve">1</w:t>
            </w:r>
          </w:p>
        </w:tc>
      </w:tr>
      <w:tr>
        <w:tc>
          <w:tcPr>
            <w:tcW w:w="567" w:type="dxa"/>
          </w:tcPr>
          <w:p>
            <w:pPr>
              <w:pStyle w:val="0"/>
              <w:jc w:val="both"/>
            </w:pPr>
            <w:r>
              <w:rPr>
                <w:sz w:val="20"/>
              </w:rPr>
              <w:t xml:space="preserve">16</w:t>
            </w:r>
          </w:p>
        </w:tc>
        <w:tc>
          <w:tcPr>
            <w:tcW w:w="2154" w:type="dxa"/>
          </w:tcPr>
          <w:p>
            <w:pPr>
              <w:pStyle w:val="0"/>
              <w:jc w:val="both"/>
            </w:pPr>
            <w:r>
              <w:rPr>
                <w:sz w:val="20"/>
              </w:rPr>
              <w:t xml:space="preserve">Итого</w:t>
            </w:r>
          </w:p>
        </w:tc>
        <w:tc>
          <w:tcPr>
            <w:vMerge w:val="continue"/>
          </w:tcPr>
          <w:p/>
        </w:tc>
        <w:tc>
          <w:tcPr>
            <w:tcW w:w="1361" w:type="dxa"/>
          </w:tcPr>
          <w:p>
            <w:pPr>
              <w:pStyle w:val="0"/>
              <w:jc w:val="center"/>
            </w:pPr>
            <w:r>
              <w:rPr>
                <w:sz w:val="20"/>
              </w:rPr>
              <w:t xml:space="preserve">5</w:t>
            </w:r>
          </w:p>
        </w:tc>
        <w:tc>
          <w:tcPr>
            <w:tcW w:w="1644" w:type="dxa"/>
          </w:tcPr>
          <w:p>
            <w:pPr>
              <w:pStyle w:val="0"/>
              <w:jc w:val="center"/>
            </w:pPr>
            <w:r>
              <w:rPr>
                <w:sz w:val="20"/>
              </w:rPr>
              <w:t xml:space="preserve">5</w:t>
            </w:r>
          </w:p>
        </w:tc>
        <w:tc>
          <w:tcPr>
            <w:tcW w:w="1644" w:type="dxa"/>
          </w:tcPr>
          <w:p>
            <w:pPr>
              <w:pStyle w:val="0"/>
              <w:jc w:val="center"/>
            </w:pPr>
            <w:r>
              <w:rPr>
                <w:sz w:val="20"/>
              </w:rPr>
              <w:t xml:space="preserve">3</w:t>
            </w:r>
          </w:p>
        </w:tc>
        <w:tc>
          <w:tcPr>
            <w:tcW w:w="1984" w:type="dxa"/>
          </w:tcPr>
          <w:p>
            <w:pPr>
              <w:pStyle w:val="0"/>
              <w:jc w:val="center"/>
            </w:pPr>
            <w:r>
              <w:rPr>
                <w:sz w:val="20"/>
              </w:rPr>
              <w:t xml:space="preserve">5</w:t>
            </w:r>
          </w:p>
        </w:tc>
      </w:tr>
      <w:tr>
        <w:tc>
          <w:tcPr>
            <w:tcW w:w="567" w:type="dxa"/>
          </w:tcPr>
          <w:p>
            <w:pPr>
              <w:pStyle w:val="0"/>
              <w:jc w:val="both"/>
            </w:pPr>
            <w:r>
              <w:rPr>
                <w:sz w:val="20"/>
              </w:rPr>
              <w:t xml:space="preserve">17</w:t>
            </w:r>
          </w:p>
        </w:tc>
        <w:tc>
          <w:tcPr>
            <w:tcW w:w="2154" w:type="dxa"/>
          </w:tcPr>
          <w:p>
            <w:pPr>
              <w:pStyle w:val="0"/>
              <w:jc w:val="both"/>
            </w:pPr>
            <w:r>
              <w:rPr>
                <w:sz w:val="20"/>
              </w:rPr>
              <w:t xml:space="preserve">Городская больница N 1</w:t>
            </w:r>
          </w:p>
        </w:tc>
        <w:tc>
          <w:tcPr>
            <w:tcW w:w="1701" w:type="dxa"/>
            <w:vMerge w:val="restart"/>
          </w:tcPr>
          <w:p>
            <w:pPr>
              <w:pStyle w:val="0"/>
              <w:jc w:val="both"/>
            </w:pPr>
            <w:r>
              <w:rPr>
                <w:sz w:val="20"/>
              </w:rPr>
              <w:t xml:space="preserve">КТ</w:t>
            </w:r>
          </w:p>
        </w:tc>
        <w:tc>
          <w:tcPr>
            <w:tcW w:w="1361" w:type="dxa"/>
          </w:tcPr>
          <w:p>
            <w:pPr>
              <w:pStyle w:val="0"/>
              <w:jc w:val="center"/>
            </w:pPr>
            <w:r>
              <w:rPr>
                <w:sz w:val="20"/>
              </w:rPr>
              <w:t xml:space="preserve">4</w:t>
            </w:r>
          </w:p>
        </w:tc>
        <w:tc>
          <w:tcPr>
            <w:tcW w:w="1644" w:type="dxa"/>
          </w:tcPr>
          <w:p>
            <w:pPr>
              <w:pStyle w:val="0"/>
              <w:jc w:val="center"/>
            </w:pPr>
            <w:r>
              <w:rPr>
                <w:sz w:val="20"/>
              </w:rPr>
              <w:t xml:space="preserve">2</w:t>
            </w:r>
          </w:p>
        </w:tc>
        <w:tc>
          <w:tcPr>
            <w:tcW w:w="1644" w:type="dxa"/>
          </w:tcPr>
          <w:p>
            <w:pPr>
              <w:pStyle w:val="0"/>
              <w:jc w:val="center"/>
            </w:pPr>
            <w:r>
              <w:rPr>
                <w:sz w:val="20"/>
              </w:rPr>
              <w:t xml:space="preserve">2</w:t>
            </w:r>
          </w:p>
        </w:tc>
        <w:tc>
          <w:tcPr>
            <w:tcW w:w="1984" w:type="dxa"/>
          </w:tcPr>
          <w:p>
            <w:pPr>
              <w:pStyle w:val="0"/>
              <w:jc w:val="center"/>
            </w:pPr>
            <w:r>
              <w:rPr>
                <w:sz w:val="20"/>
              </w:rPr>
              <w:t xml:space="preserve">2</w:t>
            </w:r>
          </w:p>
        </w:tc>
      </w:tr>
      <w:tr>
        <w:tc>
          <w:tcPr>
            <w:tcW w:w="567" w:type="dxa"/>
          </w:tcPr>
          <w:p>
            <w:pPr>
              <w:pStyle w:val="0"/>
              <w:jc w:val="both"/>
            </w:pPr>
            <w:r>
              <w:rPr>
                <w:sz w:val="20"/>
              </w:rPr>
              <w:t xml:space="preserve">18</w:t>
            </w:r>
          </w:p>
        </w:tc>
        <w:tc>
          <w:tcPr>
            <w:tcW w:w="2154" w:type="dxa"/>
          </w:tcPr>
          <w:p>
            <w:pPr>
              <w:pStyle w:val="0"/>
              <w:jc w:val="both"/>
            </w:pPr>
            <w:r>
              <w:rPr>
                <w:sz w:val="20"/>
              </w:rPr>
              <w:t xml:space="preserve">Городская больница N 4</w:t>
            </w:r>
          </w:p>
        </w:tc>
        <w:tc>
          <w:tcPr>
            <w:vMerge w:val="continue"/>
          </w:tcPr>
          <w:p/>
        </w:tc>
        <w:tc>
          <w:tcPr>
            <w:tcW w:w="1361" w:type="dxa"/>
          </w:tcPr>
          <w:p>
            <w:pPr>
              <w:pStyle w:val="0"/>
              <w:jc w:val="center"/>
            </w:pPr>
            <w:r>
              <w:rPr>
                <w:sz w:val="20"/>
              </w:rPr>
              <w:t xml:space="preserve">1</w:t>
            </w:r>
          </w:p>
        </w:tc>
        <w:tc>
          <w:tcPr>
            <w:tcW w:w="1644" w:type="dxa"/>
          </w:tcPr>
          <w:p>
            <w:pPr>
              <w:pStyle w:val="0"/>
              <w:jc w:val="center"/>
            </w:pPr>
            <w:r>
              <w:rPr>
                <w:sz w:val="20"/>
              </w:rPr>
              <w:t xml:space="preserve">1</w:t>
            </w:r>
          </w:p>
        </w:tc>
        <w:tc>
          <w:tcPr>
            <w:tcW w:w="1644" w:type="dxa"/>
          </w:tcPr>
          <w:p>
            <w:pPr>
              <w:pStyle w:val="0"/>
              <w:jc w:val="center"/>
            </w:pPr>
            <w:r>
              <w:rPr>
                <w:sz w:val="20"/>
              </w:rPr>
              <w:t xml:space="preserve">1</w:t>
            </w:r>
          </w:p>
        </w:tc>
        <w:tc>
          <w:tcPr>
            <w:tcW w:w="1984" w:type="dxa"/>
          </w:tcPr>
          <w:p>
            <w:pPr>
              <w:pStyle w:val="0"/>
              <w:jc w:val="center"/>
            </w:pPr>
            <w:r>
              <w:rPr>
                <w:sz w:val="20"/>
              </w:rPr>
              <w:t xml:space="preserve">1</w:t>
            </w:r>
          </w:p>
        </w:tc>
      </w:tr>
      <w:tr>
        <w:tc>
          <w:tcPr>
            <w:tcW w:w="567" w:type="dxa"/>
          </w:tcPr>
          <w:p>
            <w:pPr>
              <w:pStyle w:val="0"/>
              <w:jc w:val="both"/>
            </w:pPr>
            <w:r>
              <w:rPr>
                <w:sz w:val="20"/>
              </w:rPr>
              <w:t xml:space="preserve">19</w:t>
            </w:r>
          </w:p>
        </w:tc>
        <w:tc>
          <w:tcPr>
            <w:tcW w:w="2154" w:type="dxa"/>
          </w:tcPr>
          <w:p>
            <w:pPr>
              <w:pStyle w:val="0"/>
              <w:jc w:val="both"/>
            </w:pPr>
            <w:r>
              <w:rPr>
                <w:sz w:val="20"/>
              </w:rPr>
              <w:t xml:space="preserve">Онкологический диспансер</w:t>
            </w:r>
          </w:p>
        </w:tc>
        <w:tc>
          <w:tcPr>
            <w:vMerge w:val="continue"/>
          </w:tcPr>
          <w:p/>
        </w:tc>
        <w:tc>
          <w:tcPr>
            <w:tcW w:w="1361" w:type="dxa"/>
          </w:tcPr>
          <w:p>
            <w:pPr>
              <w:pStyle w:val="0"/>
              <w:jc w:val="center"/>
            </w:pPr>
            <w:r>
              <w:rPr>
                <w:sz w:val="20"/>
              </w:rPr>
              <w:t xml:space="preserve">2</w:t>
            </w:r>
          </w:p>
        </w:tc>
        <w:tc>
          <w:tcPr>
            <w:tcW w:w="1644" w:type="dxa"/>
          </w:tcPr>
          <w:p>
            <w:pPr>
              <w:pStyle w:val="0"/>
              <w:jc w:val="center"/>
            </w:pPr>
            <w:r>
              <w:rPr>
                <w:sz w:val="20"/>
              </w:rPr>
              <w:t xml:space="preserve">2</w:t>
            </w:r>
          </w:p>
        </w:tc>
        <w:tc>
          <w:tcPr>
            <w:tcW w:w="1644" w:type="dxa"/>
          </w:tcPr>
          <w:p>
            <w:pPr>
              <w:pStyle w:val="0"/>
              <w:jc w:val="center"/>
            </w:pPr>
            <w:r>
              <w:rPr>
                <w:sz w:val="20"/>
              </w:rPr>
              <w:t xml:space="preserve">1</w:t>
            </w:r>
          </w:p>
        </w:tc>
        <w:tc>
          <w:tcPr>
            <w:tcW w:w="1984" w:type="dxa"/>
          </w:tcPr>
          <w:p>
            <w:pPr>
              <w:pStyle w:val="0"/>
              <w:jc w:val="center"/>
            </w:pPr>
            <w:r>
              <w:rPr>
                <w:sz w:val="20"/>
              </w:rPr>
              <w:t xml:space="preserve">2</w:t>
            </w:r>
          </w:p>
        </w:tc>
      </w:tr>
      <w:tr>
        <w:tc>
          <w:tcPr>
            <w:tcW w:w="567" w:type="dxa"/>
          </w:tcPr>
          <w:p>
            <w:pPr>
              <w:pStyle w:val="0"/>
              <w:jc w:val="both"/>
            </w:pPr>
            <w:r>
              <w:rPr>
                <w:sz w:val="20"/>
              </w:rPr>
              <w:t xml:space="preserve">20</w:t>
            </w:r>
          </w:p>
        </w:tc>
        <w:tc>
          <w:tcPr>
            <w:tcW w:w="2154" w:type="dxa"/>
          </w:tcPr>
          <w:p>
            <w:pPr>
              <w:pStyle w:val="0"/>
              <w:jc w:val="both"/>
            </w:pPr>
            <w:r>
              <w:rPr>
                <w:sz w:val="20"/>
              </w:rPr>
              <w:t xml:space="preserve">Инфекционная больница</w:t>
            </w:r>
          </w:p>
        </w:tc>
        <w:tc>
          <w:tcPr>
            <w:vMerge w:val="continue"/>
          </w:tcPr>
          <w:p/>
        </w:tc>
        <w:tc>
          <w:tcPr>
            <w:tcW w:w="1361" w:type="dxa"/>
          </w:tcPr>
          <w:p>
            <w:pPr>
              <w:pStyle w:val="0"/>
              <w:jc w:val="center"/>
            </w:pPr>
            <w:r>
              <w:rPr>
                <w:sz w:val="20"/>
              </w:rPr>
              <w:t xml:space="preserve">1</w:t>
            </w:r>
          </w:p>
        </w:tc>
        <w:tc>
          <w:tcPr>
            <w:tcW w:w="1644" w:type="dxa"/>
          </w:tcPr>
          <w:p>
            <w:pPr>
              <w:pStyle w:val="0"/>
              <w:jc w:val="center"/>
            </w:pPr>
            <w:r>
              <w:rPr>
                <w:sz w:val="20"/>
              </w:rPr>
              <w:t xml:space="preserve">1</w:t>
            </w:r>
          </w:p>
        </w:tc>
        <w:tc>
          <w:tcPr>
            <w:tcW w:w="1644" w:type="dxa"/>
          </w:tcPr>
          <w:p>
            <w:pPr>
              <w:pStyle w:val="0"/>
              <w:jc w:val="center"/>
            </w:pPr>
            <w:r>
              <w:rPr>
                <w:sz w:val="20"/>
              </w:rPr>
              <w:t xml:space="preserve">1</w:t>
            </w:r>
          </w:p>
        </w:tc>
        <w:tc>
          <w:tcPr>
            <w:tcW w:w="1984" w:type="dxa"/>
          </w:tcPr>
          <w:p>
            <w:pPr>
              <w:pStyle w:val="0"/>
              <w:jc w:val="center"/>
            </w:pPr>
            <w:r>
              <w:rPr>
                <w:sz w:val="20"/>
              </w:rPr>
              <w:t xml:space="preserve">1</w:t>
            </w:r>
          </w:p>
        </w:tc>
      </w:tr>
      <w:tr>
        <w:tc>
          <w:tcPr>
            <w:tcW w:w="567" w:type="dxa"/>
          </w:tcPr>
          <w:p>
            <w:pPr>
              <w:pStyle w:val="0"/>
              <w:jc w:val="both"/>
            </w:pPr>
            <w:r>
              <w:rPr>
                <w:sz w:val="20"/>
              </w:rPr>
              <w:t xml:space="preserve">21</w:t>
            </w:r>
          </w:p>
        </w:tc>
        <w:tc>
          <w:tcPr>
            <w:tcW w:w="2154" w:type="dxa"/>
          </w:tcPr>
          <w:p>
            <w:pPr>
              <w:pStyle w:val="0"/>
              <w:jc w:val="both"/>
            </w:pPr>
            <w:r>
              <w:rPr>
                <w:sz w:val="20"/>
              </w:rPr>
              <w:t xml:space="preserve">Городская больница N 5</w:t>
            </w:r>
          </w:p>
        </w:tc>
        <w:tc>
          <w:tcPr>
            <w:vMerge w:val="continue"/>
          </w:tcPr>
          <w:p/>
        </w:tc>
        <w:tc>
          <w:tcPr>
            <w:tcW w:w="1361" w:type="dxa"/>
          </w:tcPr>
          <w:p>
            <w:pPr>
              <w:pStyle w:val="0"/>
              <w:jc w:val="center"/>
            </w:pPr>
            <w:r>
              <w:rPr>
                <w:sz w:val="20"/>
              </w:rPr>
              <w:t xml:space="preserve">1</w:t>
            </w:r>
          </w:p>
        </w:tc>
        <w:tc>
          <w:tcPr>
            <w:tcW w:w="1644" w:type="dxa"/>
          </w:tcPr>
          <w:p>
            <w:pPr>
              <w:pStyle w:val="0"/>
              <w:jc w:val="center"/>
            </w:pPr>
            <w:r>
              <w:rPr>
                <w:sz w:val="20"/>
              </w:rPr>
              <w:t xml:space="preserve">1</w:t>
            </w:r>
          </w:p>
        </w:tc>
        <w:tc>
          <w:tcPr>
            <w:tcW w:w="1644" w:type="dxa"/>
          </w:tcPr>
          <w:p>
            <w:pPr>
              <w:pStyle w:val="0"/>
              <w:jc w:val="center"/>
            </w:pPr>
            <w:r>
              <w:rPr>
                <w:sz w:val="20"/>
              </w:rPr>
              <w:t xml:space="preserve">1</w:t>
            </w:r>
          </w:p>
        </w:tc>
        <w:tc>
          <w:tcPr>
            <w:tcW w:w="1984" w:type="dxa"/>
          </w:tcPr>
          <w:p>
            <w:pPr>
              <w:pStyle w:val="0"/>
              <w:jc w:val="center"/>
            </w:pPr>
            <w:r>
              <w:rPr>
                <w:sz w:val="20"/>
              </w:rPr>
              <w:t xml:space="preserve">1</w:t>
            </w:r>
          </w:p>
        </w:tc>
      </w:tr>
      <w:tr>
        <w:tc>
          <w:tcPr>
            <w:tcW w:w="567" w:type="dxa"/>
          </w:tcPr>
          <w:p>
            <w:pPr>
              <w:pStyle w:val="0"/>
              <w:jc w:val="both"/>
            </w:pPr>
            <w:r>
              <w:rPr>
                <w:sz w:val="20"/>
              </w:rPr>
              <w:t xml:space="preserve">22</w:t>
            </w:r>
          </w:p>
        </w:tc>
        <w:tc>
          <w:tcPr>
            <w:tcW w:w="2154" w:type="dxa"/>
          </w:tcPr>
          <w:p>
            <w:pPr>
              <w:pStyle w:val="0"/>
              <w:jc w:val="both"/>
            </w:pPr>
            <w:r>
              <w:rPr>
                <w:sz w:val="20"/>
              </w:rPr>
              <w:t xml:space="preserve">Городская больница N 9</w:t>
            </w:r>
          </w:p>
        </w:tc>
        <w:tc>
          <w:tcPr>
            <w:vMerge w:val="continue"/>
          </w:tcPr>
          <w:p/>
        </w:tc>
        <w:tc>
          <w:tcPr>
            <w:tcW w:w="1361" w:type="dxa"/>
          </w:tcPr>
          <w:p>
            <w:pPr>
              <w:pStyle w:val="0"/>
              <w:jc w:val="center"/>
            </w:pPr>
            <w:r>
              <w:rPr>
                <w:sz w:val="20"/>
              </w:rPr>
              <w:t xml:space="preserve">1</w:t>
            </w:r>
          </w:p>
        </w:tc>
        <w:tc>
          <w:tcPr>
            <w:tcW w:w="1644" w:type="dxa"/>
          </w:tcPr>
          <w:p>
            <w:pPr>
              <w:pStyle w:val="0"/>
              <w:jc w:val="center"/>
            </w:pPr>
            <w:r>
              <w:rPr>
                <w:sz w:val="20"/>
              </w:rPr>
              <w:t xml:space="preserve">1</w:t>
            </w:r>
          </w:p>
        </w:tc>
        <w:tc>
          <w:tcPr>
            <w:tcW w:w="1644" w:type="dxa"/>
          </w:tcPr>
          <w:p>
            <w:pPr>
              <w:pStyle w:val="0"/>
              <w:jc w:val="center"/>
            </w:pPr>
            <w:r>
              <w:rPr>
                <w:sz w:val="20"/>
              </w:rPr>
              <w:t xml:space="preserve">1</w:t>
            </w:r>
          </w:p>
        </w:tc>
        <w:tc>
          <w:tcPr>
            <w:tcW w:w="1984" w:type="dxa"/>
          </w:tcPr>
          <w:p>
            <w:pPr>
              <w:pStyle w:val="0"/>
              <w:jc w:val="center"/>
            </w:pPr>
            <w:r>
              <w:rPr>
                <w:sz w:val="20"/>
              </w:rPr>
              <w:t xml:space="preserve">1</w:t>
            </w:r>
          </w:p>
        </w:tc>
      </w:tr>
      <w:tr>
        <w:tc>
          <w:tcPr>
            <w:tcW w:w="567" w:type="dxa"/>
          </w:tcPr>
          <w:p>
            <w:pPr>
              <w:pStyle w:val="0"/>
              <w:jc w:val="both"/>
            </w:pPr>
            <w:r>
              <w:rPr>
                <w:sz w:val="20"/>
              </w:rPr>
              <w:t xml:space="preserve">23</w:t>
            </w:r>
          </w:p>
        </w:tc>
        <w:tc>
          <w:tcPr>
            <w:tcW w:w="2154" w:type="dxa"/>
          </w:tcPr>
          <w:p>
            <w:pPr>
              <w:pStyle w:val="0"/>
              <w:jc w:val="both"/>
            </w:pPr>
            <w:r>
              <w:rPr>
                <w:sz w:val="20"/>
              </w:rPr>
              <w:t xml:space="preserve">Итого</w:t>
            </w:r>
          </w:p>
        </w:tc>
        <w:tc>
          <w:tcPr>
            <w:vMerge w:val="continue"/>
          </w:tcPr>
          <w:p/>
        </w:tc>
        <w:tc>
          <w:tcPr>
            <w:tcW w:w="1361" w:type="dxa"/>
          </w:tcPr>
          <w:p>
            <w:pPr>
              <w:pStyle w:val="0"/>
              <w:jc w:val="center"/>
            </w:pPr>
            <w:r>
              <w:rPr>
                <w:sz w:val="20"/>
              </w:rPr>
              <w:t xml:space="preserve">10</w:t>
            </w:r>
          </w:p>
        </w:tc>
        <w:tc>
          <w:tcPr>
            <w:tcW w:w="1644" w:type="dxa"/>
          </w:tcPr>
          <w:p>
            <w:pPr>
              <w:pStyle w:val="0"/>
              <w:jc w:val="center"/>
            </w:pPr>
            <w:r>
              <w:rPr>
                <w:sz w:val="20"/>
              </w:rPr>
              <w:t xml:space="preserve">8</w:t>
            </w:r>
          </w:p>
        </w:tc>
        <w:tc>
          <w:tcPr>
            <w:tcW w:w="1644" w:type="dxa"/>
          </w:tcPr>
          <w:p>
            <w:pPr>
              <w:pStyle w:val="0"/>
              <w:jc w:val="center"/>
            </w:pPr>
            <w:r>
              <w:rPr>
                <w:sz w:val="20"/>
              </w:rPr>
              <w:t xml:space="preserve">7</w:t>
            </w:r>
          </w:p>
        </w:tc>
        <w:tc>
          <w:tcPr>
            <w:tcW w:w="1984" w:type="dxa"/>
          </w:tcPr>
          <w:p>
            <w:pPr>
              <w:pStyle w:val="0"/>
              <w:jc w:val="center"/>
            </w:pPr>
            <w:r>
              <w:rPr>
                <w:sz w:val="20"/>
              </w:rPr>
              <w:t xml:space="preserve">8</w:t>
            </w:r>
          </w:p>
        </w:tc>
      </w:tr>
      <w:tr>
        <w:tc>
          <w:tcPr>
            <w:tcW w:w="567" w:type="dxa"/>
          </w:tcPr>
          <w:p>
            <w:pPr>
              <w:pStyle w:val="0"/>
              <w:jc w:val="both"/>
            </w:pPr>
            <w:r>
              <w:rPr>
                <w:sz w:val="20"/>
              </w:rPr>
              <w:t xml:space="preserve">24</w:t>
            </w:r>
          </w:p>
        </w:tc>
        <w:tc>
          <w:tcPr>
            <w:gridSpan w:val="2"/>
            <w:tcW w:w="3855" w:type="dxa"/>
          </w:tcPr>
          <w:p>
            <w:pPr>
              <w:pStyle w:val="0"/>
              <w:jc w:val="both"/>
            </w:pPr>
            <w:r>
              <w:rPr>
                <w:sz w:val="20"/>
              </w:rPr>
              <w:t xml:space="preserve">Итого МО</w:t>
            </w:r>
          </w:p>
        </w:tc>
        <w:tc>
          <w:tcPr>
            <w:tcW w:w="1361" w:type="dxa"/>
          </w:tcPr>
          <w:p>
            <w:pPr>
              <w:pStyle w:val="0"/>
              <w:jc w:val="center"/>
            </w:pPr>
            <w:r>
              <w:rPr>
                <w:sz w:val="20"/>
              </w:rPr>
              <w:t xml:space="preserve">136</w:t>
            </w:r>
          </w:p>
        </w:tc>
        <w:tc>
          <w:tcPr>
            <w:tcW w:w="1644" w:type="dxa"/>
          </w:tcPr>
          <w:p>
            <w:pPr>
              <w:pStyle w:val="0"/>
              <w:jc w:val="center"/>
            </w:pPr>
            <w:r>
              <w:rPr>
                <w:sz w:val="20"/>
              </w:rPr>
              <w:t xml:space="preserve">125</w:t>
            </w:r>
          </w:p>
        </w:tc>
        <w:tc>
          <w:tcPr>
            <w:tcW w:w="1644" w:type="dxa"/>
          </w:tcPr>
          <w:p>
            <w:pPr>
              <w:pStyle w:val="0"/>
              <w:jc w:val="center"/>
            </w:pPr>
            <w:r>
              <w:rPr>
                <w:sz w:val="20"/>
              </w:rPr>
              <w:t xml:space="preserve">26</w:t>
            </w:r>
          </w:p>
        </w:tc>
        <w:tc>
          <w:tcPr>
            <w:tcW w:w="1984" w:type="dxa"/>
          </w:tcPr>
          <w:p>
            <w:pPr>
              <w:pStyle w:val="0"/>
              <w:jc w:val="center"/>
            </w:pPr>
            <w:r>
              <w:rPr>
                <w:sz w:val="20"/>
              </w:rPr>
              <w:t xml:space="preserve">103</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2"/>
        <w:outlineLvl w:val="5"/>
        <w:jc w:val="center"/>
      </w:pPr>
      <w:r>
        <w:rPr>
          <w:sz w:val="20"/>
        </w:rPr>
        <w:t xml:space="preserve">Количество проведенных исследований</w:t>
      </w:r>
    </w:p>
    <w:p>
      <w:pPr>
        <w:pStyle w:val="2"/>
        <w:jc w:val="center"/>
      </w:pPr>
      <w:r>
        <w:rPr>
          <w:sz w:val="20"/>
        </w:rPr>
        <w:t xml:space="preserve">на медицинском оборудовании в 2022 г.</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891"/>
        <w:gridCol w:w="1757"/>
        <w:gridCol w:w="1701"/>
        <w:gridCol w:w="1587"/>
        <w:gridCol w:w="1701"/>
      </w:tblGrid>
      <w:tr>
        <w:tc>
          <w:tcPr>
            <w:tcW w:w="567" w:type="dxa"/>
            <w:vMerge w:val="restart"/>
          </w:tcPr>
          <w:p>
            <w:pPr>
              <w:pStyle w:val="0"/>
              <w:jc w:val="center"/>
            </w:pPr>
            <w:r>
              <w:rPr>
                <w:sz w:val="20"/>
              </w:rPr>
              <w:t xml:space="preserve">N п/п</w:t>
            </w:r>
          </w:p>
        </w:tc>
        <w:tc>
          <w:tcPr>
            <w:tcW w:w="2891" w:type="dxa"/>
            <w:vMerge w:val="restart"/>
          </w:tcPr>
          <w:p>
            <w:pPr>
              <w:pStyle w:val="0"/>
              <w:jc w:val="center"/>
            </w:pPr>
            <w:r>
              <w:rPr>
                <w:sz w:val="20"/>
              </w:rPr>
              <w:t xml:space="preserve">Наименование МО</w:t>
            </w:r>
          </w:p>
        </w:tc>
        <w:tc>
          <w:tcPr>
            <w:tcW w:w="1757" w:type="dxa"/>
            <w:vMerge w:val="restart"/>
          </w:tcPr>
          <w:p>
            <w:pPr>
              <w:pStyle w:val="0"/>
              <w:jc w:val="center"/>
            </w:pPr>
            <w:r>
              <w:rPr>
                <w:sz w:val="20"/>
              </w:rPr>
              <w:t xml:space="preserve">Наименование аппарата</w:t>
            </w:r>
          </w:p>
        </w:tc>
        <w:tc>
          <w:tcPr>
            <w:gridSpan w:val="3"/>
            <w:tcW w:w="4989" w:type="dxa"/>
          </w:tcPr>
          <w:p>
            <w:pPr>
              <w:pStyle w:val="0"/>
              <w:jc w:val="center"/>
            </w:pPr>
            <w:r>
              <w:rPr>
                <w:sz w:val="20"/>
              </w:rPr>
              <w:t xml:space="preserve">Исследования</w:t>
            </w:r>
          </w:p>
        </w:tc>
      </w:tr>
      <w:tr>
        <w:tc>
          <w:tcPr>
            <w:vMerge w:val="continue"/>
          </w:tcPr>
          <w:p/>
        </w:tc>
        <w:tc>
          <w:tcPr>
            <w:vMerge w:val="continue"/>
          </w:tcPr>
          <w:p/>
        </w:tc>
        <w:tc>
          <w:tcPr>
            <w:vMerge w:val="continue"/>
          </w:tcPr>
          <w:p/>
        </w:tc>
        <w:tc>
          <w:tcPr>
            <w:tcW w:w="1701" w:type="dxa"/>
          </w:tcPr>
          <w:p>
            <w:pPr>
              <w:pStyle w:val="0"/>
              <w:jc w:val="center"/>
            </w:pPr>
            <w:r>
              <w:rPr>
                <w:sz w:val="20"/>
              </w:rPr>
              <w:t xml:space="preserve">Количество исследований за 2021 г.</w:t>
            </w:r>
          </w:p>
        </w:tc>
        <w:tc>
          <w:tcPr>
            <w:tcW w:w="1587" w:type="dxa"/>
          </w:tcPr>
          <w:p>
            <w:pPr>
              <w:pStyle w:val="0"/>
              <w:jc w:val="center"/>
            </w:pPr>
            <w:r>
              <w:rPr>
                <w:sz w:val="20"/>
              </w:rPr>
              <w:t xml:space="preserve">Количество исследований за 2022 г.</w:t>
            </w:r>
          </w:p>
        </w:tc>
        <w:tc>
          <w:tcPr>
            <w:tcW w:w="1701" w:type="dxa"/>
          </w:tcPr>
          <w:p>
            <w:pPr>
              <w:pStyle w:val="0"/>
              <w:jc w:val="center"/>
            </w:pPr>
            <w:r>
              <w:rPr>
                <w:sz w:val="20"/>
              </w:rPr>
              <w:t xml:space="preserve">Динамика количества исследований, 2021/2020, %</w:t>
            </w:r>
          </w:p>
        </w:tc>
      </w:tr>
      <w:tr>
        <w:tc>
          <w:tcPr>
            <w:tcW w:w="567" w:type="dxa"/>
          </w:tcPr>
          <w:p>
            <w:pPr>
              <w:pStyle w:val="0"/>
              <w:jc w:val="center"/>
            </w:pPr>
            <w:r>
              <w:rPr>
                <w:sz w:val="20"/>
              </w:rPr>
              <w:t xml:space="preserve">1</w:t>
            </w:r>
          </w:p>
        </w:tc>
        <w:tc>
          <w:tcPr>
            <w:tcW w:w="2891" w:type="dxa"/>
          </w:tcPr>
          <w:p>
            <w:pPr>
              <w:pStyle w:val="0"/>
              <w:jc w:val="center"/>
            </w:pPr>
            <w:r>
              <w:rPr>
                <w:sz w:val="20"/>
              </w:rPr>
              <w:t xml:space="preserve">2</w:t>
            </w:r>
          </w:p>
        </w:tc>
        <w:tc>
          <w:tcPr>
            <w:tcW w:w="1757" w:type="dxa"/>
          </w:tcPr>
          <w:p>
            <w:pPr>
              <w:pStyle w:val="0"/>
              <w:jc w:val="center"/>
            </w:pPr>
            <w:r>
              <w:rPr>
                <w:sz w:val="20"/>
              </w:rPr>
              <w:t xml:space="preserve">3</w:t>
            </w:r>
          </w:p>
        </w:tc>
        <w:tc>
          <w:tcPr>
            <w:tcW w:w="1701" w:type="dxa"/>
          </w:tcPr>
          <w:p>
            <w:pPr>
              <w:pStyle w:val="0"/>
              <w:jc w:val="center"/>
            </w:pPr>
            <w:r>
              <w:rPr>
                <w:sz w:val="20"/>
              </w:rPr>
              <w:t xml:space="preserve">4</w:t>
            </w:r>
          </w:p>
        </w:tc>
        <w:tc>
          <w:tcPr>
            <w:tcW w:w="1587" w:type="dxa"/>
          </w:tcPr>
          <w:p>
            <w:pPr>
              <w:pStyle w:val="0"/>
              <w:jc w:val="center"/>
            </w:pPr>
            <w:r>
              <w:rPr>
                <w:sz w:val="20"/>
              </w:rPr>
              <w:t xml:space="preserve">5</w:t>
            </w:r>
          </w:p>
        </w:tc>
        <w:tc>
          <w:tcPr>
            <w:tcW w:w="1701" w:type="dxa"/>
          </w:tcPr>
          <w:p>
            <w:pPr>
              <w:pStyle w:val="0"/>
              <w:jc w:val="center"/>
            </w:pPr>
            <w:r>
              <w:rPr>
                <w:sz w:val="20"/>
              </w:rPr>
              <w:t xml:space="preserve">6</w:t>
            </w:r>
          </w:p>
        </w:tc>
      </w:tr>
      <w:tr>
        <w:tc>
          <w:tcPr>
            <w:tcW w:w="567" w:type="dxa"/>
          </w:tcPr>
          <w:p>
            <w:pPr>
              <w:pStyle w:val="0"/>
              <w:jc w:val="both"/>
            </w:pPr>
            <w:r>
              <w:rPr>
                <w:sz w:val="20"/>
              </w:rPr>
              <w:t xml:space="preserve">1</w:t>
            </w:r>
          </w:p>
        </w:tc>
        <w:tc>
          <w:tcPr>
            <w:tcW w:w="2891" w:type="dxa"/>
          </w:tcPr>
          <w:p>
            <w:pPr>
              <w:pStyle w:val="0"/>
              <w:jc w:val="both"/>
            </w:pPr>
            <w:r>
              <w:rPr>
                <w:sz w:val="20"/>
              </w:rPr>
              <w:t xml:space="preserve">Городская больница N 1</w:t>
            </w:r>
          </w:p>
        </w:tc>
        <w:tc>
          <w:tcPr>
            <w:tcW w:w="1757" w:type="dxa"/>
            <w:vMerge w:val="restart"/>
          </w:tcPr>
          <w:p>
            <w:pPr>
              <w:pStyle w:val="0"/>
              <w:jc w:val="both"/>
            </w:pPr>
            <w:r>
              <w:rPr>
                <w:sz w:val="20"/>
              </w:rPr>
              <w:t xml:space="preserve">УЗИ-аппараты</w:t>
            </w:r>
          </w:p>
        </w:tc>
        <w:tc>
          <w:tcPr>
            <w:tcW w:w="1701" w:type="dxa"/>
          </w:tcPr>
          <w:p>
            <w:pPr>
              <w:pStyle w:val="0"/>
              <w:jc w:val="center"/>
            </w:pPr>
            <w:r>
              <w:rPr>
                <w:sz w:val="20"/>
              </w:rPr>
              <w:t xml:space="preserve">90226</w:t>
            </w:r>
          </w:p>
        </w:tc>
        <w:tc>
          <w:tcPr>
            <w:tcW w:w="1587" w:type="dxa"/>
          </w:tcPr>
          <w:p>
            <w:pPr>
              <w:pStyle w:val="0"/>
              <w:jc w:val="center"/>
            </w:pPr>
            <w:r>
              <w:rPr>
                <w:sz w:val="20"/>
              </w:rPr>
              <w:t xml:space="preserve">94020</w:t>
            </w:r>
          </w:p>
        </w:tc>
        <w:tc>
          <w:tcPr>
            <w:tcW w:w="1701" w:type="dxa"/>
          </w:tcPr>
          <w:p>
            <w:pPr>
              <w:pStyle w:val="0"/>
              <w:jc w:val="center"/>
            </w:pPr>
            <w:r>
              <w:rPr>
                <w:sz w:val="20"/>
              </w:rPr>
              <w:t xml:space="preserve">4</w:t>
            </w:r>
          </w:p>
        </w:tc>
      </w:tr>
      <w:tr>
        <w:tc>
          <w:tcPr>
            <w:tcW w:w="567" w:type="dxa"/>
          </w:tcPr>
          <w:p>
            <w:pPr>
              <w:pStyle w:val="0"/>
              <w:jc w:val="both"/>
            </w:pPr>
            <w:r>
              <w:rPr>
                <w:sz w:val="20"/>
              </w:rPr>
              <w:t xml:space="preserve">2</w:t>
            </w:r>
          </w:p>
        </w:tc>
        <w:tc>
          <w:tcPr>
            <w:tcW w:w="2891" w:type="dxa"/>
          </w:tcPr>
          <w:p>
            <w:pPr>
              <w:pStyle w:val="0"/>
              <w:jc w:val="both"/>
            </w:pPr>
            <w:r>
              <w:rPr>
                <w:sz w:val="20"/>
              </w:rPr>
              <w:t xml:space="preserve">Городская больница N 4</w:t>
            </w:r>
          </w:p>
        </w:tc>
        <w:tc>
          <w:tcPr>
            <w:vMerge w:val="continue"/>
          </w:tcPr>
          <w:p/>
        </w:tc>
        <w:tc>
          <w:tcPr>
            <w:tcW w:w="1701" w:type="dxa"/>
          </w:tcPr>
          <w:p>
            <w:pPr>
              <w:pStyle w:val="0"/>
              <w:jc w:val="center"/>
            </w:pPr>
            <w:r>
              <w:rPr>
                <w:sz w:val="20"/>
              </w:rPr>
              <w:t xml:space="preserve">18545</w:t>
            </w:r>
          </w:p>
        </w:tc>
        <w:tc>
          <w:tcPr>
            <w:tcW w:w="1587" w:type="dxa"/>
          </w:tcPr>
          <w:p>
            <w:pPr>
              <w:pStyle w:val="0"/>
              <w:jc w:val="center"/>
            </w:pPr>
            <w:r>
              <w:rPr>
                <w:sz w:val="20"/>
              </w:rPr>
              <w:t xml:space="preserve">21672</w:t>
            </w:r>
          </w:p>
        </w:tc>
        <w:tc>
          <w:tcPr>
            <w:tcW w:w="1701" w:type="dxa"/>
          </w:tcPr>
          <w:p>
            <w:pPr>
              <w:pStyle w:val="0"/>
              <w:jc w:val="center"/>
            </w:pPr>
            <w:r>
              <w:rPr>
                <w:sz w:val="20"/>
              </w:rPr>
              <w:t xml:space="preserve">16</w:t>
            </w:r>
          </w:p>
        </w:tc>
      </w:tr>
      <w:tr>
        <w:tc>
          <w:tcPr>
            <w:tcW w:w="567" w:type="dxa"/>
          </w:tcPr>
          <w:p>
            <w:pPr>
              <w:pStyle w:val="0"/>
              <w:jc w:val="both"/>
            </w:pPr>
            <w:r>
              <w:rPr>
                <w:sz w:val="20"/>
              </w:rPr>
              <w:t xml:space="preserve">3</w:t>
            </w:r>
          </w:p>
        </w:tc>
        <w:tc>
          <w:tcPr>
            <w:tcW w:w="2891" w:type="dxa"/>
          </w:tcPr>
          <w:p>
            <w:pPr>
              <w:pStyle w:val="0"/>
              <w:jc w:val="both"/>
            </w:pPr>
            <w:r>
              <w:rPr>
                <w:sz w:val="20"/>
              </w:rPr>
              <w:t xml:space="preserve">Городская больница N 5</w:t>
            </w:r>
          </w:p>
        </w:tc>
        <w:tc>
          <w:tcPr>
            <w:vMerge w:val="continue"/>
          </w:tcPr>
          <w:p/>
        </w:tc>
        <w:tc>
          <w:tcPr>
            <w:tcW w:w="1701" w:type="dxa"/>
          </w:tcPr>
          <w:p>
            <w:pPr>
              <w:pStyle w:val="0"/>
              <w:jc w:val="center"/>
            </w:pPr>
            <w:r>
              <w:rPr>
                <w:sz w:val="20"/>
              </w:rPr>
              <w:t xml:space="preserve">75880</w:t>
            </w:r>
          </w:p>
        </w:tc>
        <w:tc>
          <w:tcPr>
            <w:tcW w:w="1587" w:type="dxa"/>
          </w:tcPr>
          <w:p>
            <w:pPr>
              <w:pStyle w:val="0"/>
              <w:jc w:val="center"/>
            </w:pPr>
            <w:r>
              <w:rPr>
                <w:sz w:val="20"/>
              </w:rPr>
              <w:t xml:space="preserve">86220</w:t>
            </w:r>
          </w:p>
        </w:tc>
        <w:tc>
          <w:tcPr>
            <w:tcW w:w="1701" w:type="dxa"/>
          </w:tcPr>
          <w:p>
            <w:pPr>
              <w:pStyle w:val="0"/>
              <w:jc w:val="center"/>
            </w:pPr>
            <w:r>
              <w:rPr>
                <w:sz w:val="20"/>
              </w:rPr>
              <w:t xml:space="preserve">13</w:t>
            </w:r>
          </w:p>
        </w:tc>
      </w:tr>
      <w:tr>
        <w:tc>
          <w:tcPr>
            <w:tcW w:w="567" w:type="dxa"/>
          </w:tcPr>
          <w:p>
            <w:pPr>
              <w:pStyle w:val="0"/>
              <w:jc w:val="both"/>
            </w:pPr>
            <w:r>
              <w:rPr>
                <w:sz w:val="20"/>
              </w:rPr>
              <w:t xml:space="preserve">4</w:t>
            </w:r>
          </w:p>
        </w:tc>
        <w:tc>
          <w:tcPr>
            <w:tcW w:w="2891" w:type="dxa"/>
          </w:tcPr>
          <w:p>
            <w:pPr>
              <w:pStyle w:val="0"/>
              <w:jc w:val="both"/>
            </w:pPr>
            <w:r>
              <w:rPr>
                <w:sz w:val="20"/>
              </w:rPr>
              <w:t xml:space="preserve">Городская больница N 9</w:t>
            </w:r>
          </w:p>
        </w:tc>
        <w:tc>
          <w:tcPr>
            <w:vMerge w:val="continue"/>
          </w:tcPr>
          <w:p/>
        </w:tc>
        <w:tc>
          <w:tcPr>
            <w:tcW w:w="1701" w:type="dxa"/>
          </w:tcPr>
          <w:p>
            <w:pPr>
              <w:pStyle w:val="0"/>
              <w:jc w:val="center"/>
            </w:pPr>
            <w:r>
              <w:rPr>
                <w:sz w:val="20"/>
              </w:rPr>
              <w:t xml:space="preserve">26885</w:t>
            </w:r>
          </w:p>
        </w:tc>
        <w:tc>
          <w:tcPr>
            <w:tcW w:w="1587" w:type="dxa"/>
          </w:tcPr>
          <w:p>
            <w:pPr>
              <w:pStyle w:val="0"/>
              <w:jc w:val="center"/>
            </w:pPr>
            <w:r>
              <w:rPr>
                <w:sz w:val="20"/>
              </w:rPr>
              <w:t xml:space="preserve">36564</w:t>
            </w:r>
          </w:p>
        </w:tc>
        <w:tc>
          <w:tcPr>
            <w:tcW w:w="1701" w:type="dxa"/>
          </w:tcPr>
          <w:p>
            <w:pPr>
              <w:pStyle w:val="0"/>
              <w:jc w:val="center"/>
            </w:pPr>
            <w:r>
              <w:rPr>
                <w:sz w:val="20"/>
              </w:rPr>
              <w:t xml:space="preserve">36</w:t>
            </w:r>
          </w:p>
        </w:tc>
      </w:tr>
      <w:tr>
        <w:tc>
          <w:tcPr>
            <w:tcW w:w="567" w:type="dxa"/>
          </w:tcPr>
          <w:p>
            <w:pPr>
              <w:pStyle w:val="0"/>
              <w:jc w:val="both"/>
            </w:pPr>
            <w:r>
              <w:rPr>
                <w:sz w:val="20"/>
              </w:rPr>
              <w:t xml:space="preserve">5</w:t>
            </w:r>
          </w:p>
        </w:tc>
        <w:tc>
          <w:tcPr>
            <w:tcW w:w="2891" w:type="dxa"/>
          </w:tcPr>
          <w:p>
            <w:pPr>
              <w:pStyle w:val="0"/>
              <w:jc w:val="both"/>
            </w:pPr>
            <w:r>
              <w:rPr>
                <w:sz w:val="20"/>
              </w:rPr>
              <w:t xml:space="preserve">Онкологический диспансер</w:t>
            </w:r>
          </w:p>
        </w:tc>
        <w:tc>
          <w:tcPr>
            <w:vMerge w:val="continue"/>
          </w:tcPr>
          <w:p/>
        </w:tc>
        <w:tc>
          <w:tcPr>
            <w:tcW w:w="1701" w:type="dxa"/>
          </w:tcPr>
          <w:p>
            <w:pPr>
              <w:pStyle w:val="0"/>
              <w:jc w:val="center"/>
            </w:pPr>
            <w:r>
              <w:rPr>
                <w:sz w:val="20"/>
              </w:rPr>
              <w:t xml:space="preserve">12818</w:t>
            </w:r>
          </w:p>
        </w:tc>
        <w:tc>
          <w:tcPr>
            <w:tcW w:w="1587" w:type="dxa"/>
          </w:tcPr>
          <w:p>
            <w:pPr>
              <w:pStyle w:val="0"/>
              <w:jc w:val="center"/>
            </w:pPr>
            <w:r>
              <w:rPr>
                <w:sz w:val="20"/>
              </w:rPr>
              <w:t xml:space="preserve">14832</w:t>
            </w:r>
          </w:p>
        </w:tc>
        <w:tc>
          <w:tcPr>
            <w:tcW w:w="1701" w:type="dxa"/>
          </w:tcPr>
          <w:p>
            <w:pPr>
              <w:pStyle w:val="0"/>
              <w:jc w:val="center"/>
            </w:pPr>
            <w:r>
              <w:rPr>
                <w:sz w:val="20"/>
              </w:rPr>
              <w:t xml:space="preserve">16</w:t>
            </w:r>
          </w:p>
        </w:tc>
      </w:tr>
      <w:tr>
        <w:tc>
          <w:tcPr>
            <w:tcW w:w="567" w:type="dxa"/>
          </w:tcPr>
          <w:p>
            <w:pPr>
              <w:pStyle w:val="0"/>
              <w:jc w:val="both"/>
            </w:pPr>
            <w:r>
              <w:rPr>
                <w:sz w:val="20"/>
              </w:rPr>
              <w:t xml:space="preserve">6</w:t>
            </w:r>
          </w:p>
        </w:tc>
        <w:tc>
          <w:tcPr>
            <w:tcW w:w="2891" w:type="dxa"/>
          </w:tcPr>
          <w:p>
            <w:pPr>
              <w:pStyle w:val="0"/>
              <w:jc w:val="both"/>
            </w:pPr>
            <w:r>
              <w:rPr>
                <w:sz w:val="20"/>
              </w:rPr>
              <w:t xml:space="preserve">Инфекционная больница</w:t>
            </w:r>
          </w:p>
        </w:tc>
        <w:tc>
          <w:tcPr>
            <w:vMerge w:val="continue"/>
          </w:tcPr>
          <w:p/>
        </w:tc>
        <w:tc>
          <w:tcPr>
            <w:tcW w:w="1701" w:type="dxa"/>
          </w:tcPr>
          <w:p>
            <w:pPr>
              <w:pStyle w:val="0"/>
              <w:jc w:val="center"/>
            </w:pPr>
            <w:r>
              <w:rPr>
                <w:sz w:val="20"/>
              </w:rPr>
              <w:t xml:space="preserve">4712</w:t>
            </w:r>
          </w:p>
        </w:tc>
        <w:tc>
          <w:tcPr>
            <w:tcW w:w="1587" w:type="dxa"/>
          </w:tcPr>
          <w:p>
            <w:pPr>
              <w:pStyle w:val="0"/>
              <w:jc w:val="center"/>
            </w:pPr>
            <w:r>
              <w:rPr>
                <w:sz w:val="20"/>
              </w:rPr>
              <w:t xml:space="preserve">6156</w:t>
            </w:r>
          </w:p>
        </w:tc>
        <w:tc>
          <w:tcPr>
            <w:tcW w:w="1701" w:type="dxa"/>
          </w:tcPr>
          <w:p>
            <w:pPr>
              <w:pStyle w:val="0"/>
              <w:jc w:val="center"/>
            </w:pPr>
            <w:r>
              <w:rPr>
                <w:sz w:val="20"/>
              </w:rPr>
              <w:t xml:space="preserve">31</w:t>
            </w:r>
          </w:p>
        </w:tc>
      </w:tr>
      <w:tr>
        <w:tc>
          <w:tcPr>
            <w:tcW w:w="567" w:type="dxa"/>
          </w:tcPr>
          <w:p>
            <w:pPr>
              <w:pStyle w:val="0"/>
              <w:jc w:val="both"/>
            </w:pPr>
            <w:r>
              <w:rPr>
                <w:sz w:val="20"/>
              </w:rPr>
              <w:t xml:space="preserve">7</w:t>
            </w:r>
          </w:p>
        </w:tc>
        <w:tc>
          <w:tcPr>
            <w:tcW w:w="2891" w:type="dxa"/>
          </w:tcPr>
          <w:p>
            <w:pPr>
              <w:pStyle w:val="0"/>
              <w:jc w:val="both"/>
            </w:pPr>
            <w:r>
              <w:rPr>
                <w:sz w:val="20"/>
              </w:rPr>
              <w:t xml:space="preserve">Психиатрическая больница</w:t>
            </w:r>
          </w:p>
        </w:tc>
        <w:tc>
          <w:tcPr>
            <w:vMerge w:val="continue"/>
          </w:tcPr>
          <w:p/>
        </w:tc>
        <w:tc>
          <w:tcPr>
            <w:tcW w:w="1701" w:type="dxa"/>
          </w:tcPr>
          <w:p>
            <w:pPr>
              <w:pStyle w:val="0"/>
              <w:jc w:val="center"/>
            </w:pPr>
            <w:r>
              <w:rPr>
                <w:sz w:val="20"/>
              </w:rPr>
              <w:t xml:space="preserve">2246</w:t>
            </w:r>
          </w:p>
        </w:tc>
        <w:tc>
          <w:tcPr>
            <w:tcW w:w="1587" w:type="dxa"/>
          </w:tcPr>
          <w:p>
            <w:pPr>
              <w:pStyle w:val="0"/>
              <w:jc w:val="center"/>
            </w:pPr>
            <w:r>
              <w:rPr>
                <w:sz w:val="20"/>
              </w:rPr>
              <w:t xml:space="preserve">2772</w:t>
            </w:r>
          </w:p>
        </w:tc>
        <w:tc>
          <w:tcPr>
            <w:tcW w:w="1701" w:type="dxa"/>
          </w:tcPr>
          <w:p>
            <w:pPr>
              <w:pStyle w:val="0"/>
              <w:jc w:val="center"/>
            </w:pPr>
            <w:r>
              <w:rPr>
                <w:sz w:val="20"/>
              </w:rPr>
              <w:t xml:space="preserve">23</w:t>
            </w:r>
          </w:p>
        </w:tc>
      </w:tr>
      <w:tr>
        <w:tc>
          <w:tcPr>
            <w:tcW w:w="567" w:type="dxa"/>
          </w:tcPr>
          <w:p>
            <w:pPr>
              <w:pStyle w:val="0"/>
              <w:jc w:val="both"/>
            </w:pPr>
            <w:r>
              <w:rPr>
                <w:sz w:val="20"/>
              </w:rPr>
              <w:t xml:space="preserve">8</w:t>
            </w:r>
          </w:p>
        </w:tc>
        <w:tc>
          <w:tcPr>
            <w:tcW w:w="2891" w:type="dxa"/>
          </w:tcPr>
          <w:p>
            <w:pPr>
              <w:pStyle w:val="0"/>
              <w:jc w:val="both"/>
            </w:pPr>
            <w:r>
              <w:rPr>
                <w:sz w:val="20"/>
              </w:rPr>
              <w:t xml:space="preserve">ЦЛФИМП</w:t>
            </w:r>
          </w:p>
        </w:tc>
        <w:tc>
          <w:tcPr>
            <w:vMerge w:val="continue"/>
          </w:tcPr>
          <w:p/>
        </w:tc>
        <w:tc>
          <w:tcPr>
            <w:tcW w:w="1701" w:type="dxa"/>
          </w:tcPr>
          <w:p>
            <w:pPr>
              <w:pStyle w:val="0"/>
              <w:jc w:val="center"/>
            </w:pPr>
            <w:r>
              <w:rPr>
                <w:sz w:val="20"/>
              </w:rPr>
              <w:t xml:space="preserve">9132</w:t>
            </w:r>
          </w:p>
        </w:tc>
        <w:tc>
          <w:tcPr>
            <w:tcW w:w="1587" w:type="dxa"/>
          </w:tcPr>
          <w:p>
            <w:pPr>
              <w:pStyle w:val="0"/>
              <w:jc w:val="center"/>
            </w:pPr>
            <w:r>
              <w:rPr>
                <w:sz w:val="20"/>
              </w:rPr>
              <w:t xml:space="preserve">4920</w:t>
            </w:r>
          </w:p>
        </w:tc>
        <w:tc>
          <w:tcPr>
            <w:tcW w:w="1701" w:type="dxa"/>
          </w:tcPr>
          <w:p>
            <w:pPr>
              <w:pStyle w:val="0"/>
              <w:jc w:val="center"/>
            </w:pPr>
            <w:r>
              <w:rPr>
                <w:sz w:val="20"/>
              </w:rPr>
              <w:t xml:space="preserve">-46</w:t>
            </w:r>
          </w:p>
        </w:tc>
      </w:tr>
      <w:tr>
        <w:tc>
          <w:tcPr>
            <w:tcW w:w="567" w:type="dxa"/>
          </w:tcPr>
          <w:p>
            <w:pPr>
              <w:pStyle w:val="0"/>
              <w:jc w:val="both"/>
            </w:pPr>
            <w:r>
              <w:rPr>
                <w:sz w:val="20"/>
              </w:rPr>
              <w:t xml:space="preserve">9</w:t>
            </w:r>
          </w:p>
        </w:tc>
        <w:tc>
          <w:tcPr>
            <w:tcW w:w="2891" w:type="dxa"/>
          </w:tcPr>
          <w:p>
            <w:pPr>
              <w:pStyle w:val="0"/>
              <w:jc w:val="both"/>
            </w:pPr>
            <w:r>
              <w:rPr>
                <w:sz w:val="20"/>
              </w:rPr>
              <w:t xml:space="preserve">Итого</w:t>
            </w:r>
          </w:p>
        </w:tc>
        <w:tc>
          <w:tcPr>
            <w:vMerge w:val="continue"/>
          </w:tcPr>
          <w:p/>
        </w:tc>
        <w:tc>
          <w:tcPr>
            <w:tcW w:w="1701" w:type="dxa"/>
          </w:tcPr>
          <w:p>
            <w:pPr>
              <w:pStyle w:val="0"/>
              <w:jc w:val="center"/>
            </w:pPr>
            <w:r>
              <w:rPr>
                <w:sz w:val="20"/>
              </w:rPr>
              <w:t xml:space="preserve">240444</w:t>
            </w:r>
          </w:p>
        </w:tc>
        <w:tc>
          <w:tcPr>
            <w:tcW w:w="1587" w:type="dxa"/>
          </w:tcPr>
          <w:p>
            <w:pPr>
              <w:pStyle w:val="0"/>
              <w:jc w:val="center"/>
            </w:pPr>
            <w:r>
              <w:rPr>
                <w:sz w:val="20"/>
              </w:rPr>
              <w:t xml:space="preserve">269652</w:t>
            </w:r>
          </w:p>
        </w:tc>
        <w:tc>
          <w:tcPr>
            <w:tcW w:w="1701" w:type="dxa"/>
          </w:tcPr>
          <w:p>
            <w:pPr>
              <w:pStyle w:val="0"/>
              <w:jc w:val="center"/>
            </w:pPr>
            <w:r>
              <w:rPr>
                <w:sz w:val="20"/>
              </w:rPr>
              <w:t xml:space="preserve">12</w:t>
            </w:r>
          </w:p>
        </w:tc>
      </w:tr>
      <w:tr>
        <w:tc>
          <w:tcPr>
            <w:tcW w:w="567" w:type="dxa"/>
          </w:tcPr>
          <w:p>
            <w:pPr>
              <w:pStyle w:val="0"/>
              <w:jc w:val="both"/>
            </w:pPr>
            <w:r>
              <w:rPr>
                <w:sz w:val="20"/>
              </w:rPr>
              <w:t xml:space="preserve">10</w:t>
            </w:r>
          </w:p>
        </w:tc>
        <w:tc>
          <w:tcPr>
            <w:tcW w:w="2891" w:type="dxa"/>
          </w:tcPr>
          <w:p>
            <w:pPr>
              <w:pStyle w:val="0"/>
              <w:jc w:val="both"/>
            </w:pPr>
            <w:r>
              <w:rPr>
                <w:sz w:val="20"/>
              </w:rPr>
              <w:t xml:space="preserve">Городская больница N 1</w:t>
            </w:r>
          </w:p>
        </w:tc>
        <w:tc>
          <w:tcPr>
            <w:tcW w:w="1757" w:type="dxa"/>
            <w:vMerge w:val="restart"/>
          </w:tcPr>
          <w:p>
            <w:pPr>
              <w:pStyle w:val="0"/>
              <w:jc w:val="both"/>
            </w:pPr>
            <w:r>
              <w:rPr>
                <w:sz w:val="20"/>
              </w:rPr>
              <w:t xml:space="preserve">Ангиограф</w:t>
            </w:r>
          </w:p>
        </w:tc>
        <w:tc>
          <w:tcPr>
            <w:tcW w:w="1701" w:type="dxa"/>
          </w:tcPr>
          <w:p>
            <w:pPr>
              <w:pStyle w:val="0"/>
              <w:jc w:val="center"/>
            </w:pPr>
            <w:r>
              <w:rPr>
                <w:sz w:val="20"/>
              </w:rPr>
              <w:t xml:space="preserve">1532</w:t>
            </w:r>
          </w:p>
        </w:tc>
        <w:tc>
          <w:tcPr>
            <w:tcW w:w="1587" w:type="dxa"/>
          </w:tcPr>
          <w:p>
            <w:pPr>
              <w:pStyle w:val="0"/>
              <w:jc w:val="center"/>
            </w:pPr>
            <w:r>
              <w:rPr>
                <w:sz w:val="20"/>
              </w:rPr>
              <w:t xml:space="preserve">2319</w:t>
            </w:r>
          </w:p>
        </w:tc>
        <w:tc>
          <w:tcPr>
            <w:tcW w:w="1701" w:type="dxa"/>
          </w:tcPr>
          <w:p>
            <w:pPr>
              <w:pStyle w:val="0"/>
              <w:jc w:val="center"/>
            </w:pPr>
            <w:r>
              <w:rPr>
                <w:sz w:val="20"/>
              </w:rPr>
              <w:t xml:space="preserve">51</w:t>
            </w:r>
          </w:p>
        </w:tc>
      </w:tr>
      <w:tr>
        <w:tc>
          <w:tcPr>
            <w:tcW w:w="567" w:type="dxa"/>
          </w:tcPr>
          <w:p>
            <w:pPr>
              <w:pStyle w:val="0"/>
              <w:jc w:val="both"/>
            </w:pPr>
            <w:r>
              <w:rPr>
                <w:sz w:val="20"/>
              </w:rPr>
              <w:t xml:space="preserve">11</w:t>
            </w:r>
          </w:p>
        </w:tc>
        <w:tc>
          <w:tcPr>
            <w:tcW w:w="2891" w:type="dxa"/>
          </w:tcPr>
          <w:p>
            <w:pPr>
              <w:pStyle w:val="0"/>
              <w:jc w:val="both"/>
            </w:pPr>
            <w:r>
              <w:rPr>
                <w:sz w:val="20"/>
              </w:rPr>
              <w:t xml:space="preserve">Онкологический диспансер</w:t>
            </w:r>
          </w:p>
        </w:tc>
        <w:tc>
          <w:tcPr>
            <w:vMerge w:val="continue"/>
          </w:tcPr>
          <w:p/>
        </w:tc>
        <w:tc>
          <w:tcPr>
            <w:tcW w:w="1701" w:type="dxa"/>
          </w:tcPr>
          <w:p>
            <w:pPr>
              <w:pStyle w:val="0"/>
              <w:jc w:val="center"/>
            </w:pPr>
            <w:r>
              <w:rPr>
                <w:sz w:val="20"/>
              </w:rPr>
              <w:t xml:space="preserve">0</w:t>
            </w:r>
          </w:p>
        </w:tc>
        <w:tc>
          <w:tcPr>
            <w:tcW w:w="1587" w:type="dxa"/>
          </w:tcPr>
          <w:p>
            <w:pPr>
              <w:pStyle w:val="0"/>
              <w:jc w:val="center"/>
            </w:pPr>
            <w:r>
              <w:rPr>
                <w:sz w:val="20"/>
              </w:rPr>
              <w:t xml:space="preserve">13</w:t>
            </w:r>
          </w:p>
        </w:tc>
        <w:tc>
          <w:tcPr>
            <w:tcW w:w="1701" w:type="dxa"/>
          </w:tcPr>
          <w:p>
            <w:pPr>
              <w:pStyle w:val="0"/>
              <w:jc w:val="center"/>
            </w:pPr>
            <w:r>
              <w:rPr>
                <w:sz w:val="20"/>
              </w:rPr>
              <w:t xml:space="preserve">100</w:t>
            </w:r>
          </w:p>
        </w:tc>
      </w:tr>
      <w:tr>
        <w:tc>
          <w:tcPr>
            <w:tcW w:w="567" w:type="dxa"/>
          </w:tcPr>
          <w:p>
            <w:pPr>
              <w:pStyle w:val="0"/>
              <w:jc w:val="both"/>
            </w:pPr>
            <w:r>
              <w:rPr>
                <w:sz w:val="20"/>
              </w:rPr>
              <w:t xml:space="preserve">12</w:t>
            </w:r>
          </w:p>
        </w:tc>
        <w:tc>
          <w:tcPr>
            <w:tcW w:w="2891" w:type="dxa"/>
          </w:tcPr>
          <w:p>
            <w:pPr>
              <w:pStyle w:val="0"/>
              <w:jc w:val="both"/>
            </w:pPr>
            <w:r>
              <w:rPr>
                <w:sz w:val="20"/>
              </w:rPr>
              <w:t xml:space="preserve">Итого</w:t>
            </w:r>
          </w:p>
        </w:tc>
        <w:tc>
          <w:tcPr>
            <w:vMerge w:val="continue"/>
          </w:tcPr>
          <w:p/>
        </w:tc>
        <w:tc>
          <w:tcPr>
            <w:tcW w:w="1701" w:type="dxa"/>
          </w:tcPr>
          <w:p>
            <w:pPr>
              <w:pStyle w:val="0"/>
              <w:jc w:val="center"/>
            </w:pPr>
            <w:r>
              <w:rPr>
                <w:sz w:val="20"/>
              </w:rPr>
              <w:t xml:space="preserve">1532</w:t>
            </w:r>
          </w:p>
        </w:tc>
        <w:tc>
          <w:tcPr>
            <w:tcW w:w="1587" w:type="dxa"/>
          </w:tcPr>
          <w:p>
            <w:pPr>
              <w:pStyle w:val="0"/>
              <w:jc w:val="center"/>
            </w:pPr>
            <w:r>
              <w:rPr>
                <w:sz w:val="20"/>
              </w:rPr>
              <w:t xml:space="preserve">2332</w:t>
            </w:r>
          </w:p>
        </w:tc>
        <w:tc>
          <w:tcPr>
            <w:tcW w:w="1701" w:type="dxa"/>
          </w:tcPr>
          <w:p>
            <w:pPr>
              <w:pStyle w:val="0"/>
              <w:jc w:val="center"/>
            </w:pPr>
            <w:r>
              <w:rPr>
                <w:sz w:val="20"/>
              </w:rPr>
              <w:t xml:space="preserve">52</w:t>
            </w:r>
          </w:p>
        </w:tc>
      </w:tr>
      <w:tr>
        <w:tc>
          <w:tcPr>
            <w:tcW w:w="567" w:type="dxa"/>
          </w:tcPr>
          <w:p>
            <w:pPr>
              <w:pStyle w:val="0"/>
              <w:jc w:val="both"/>
            </w:pPr>
            <w:r>
              <w:rPr>
                <w:sz w:val="20"/>
              </w:rPr>
              <w:t xml:space="preserve">13</w:t>
            </w:r>
          </w:p>
        </w:tc>
        <w:tc>
          <w:tcPr>
            <w:tcW w:w="2891" w:type="dxa"/>
          </w:tcPr>
          <w:p>
            <w:pPr>
              <w:pStyle w:val="0"/>
              <w:jc w:val="both"/>
            </w:pPr>
            <w:r>
              <w:rPr>
                <w:sz w:val="20"/>
              </w:rPr>
              <w:t xml:space="preserve">Городская больница N 5</w:t>
            </w:r>
          </w:p>
        </w:tc>
        <w:tc>
          <w:tcPr>
            <w:tcW w:w="1757" w:type="dxa"/>
            <w:vMerge w:val="restart"/>
          </w:tcPr>
          <w:p>
            <w:pPr>
              <w:pStyle w:val="0"/>
              <w:jc w:val="both"/>
            </w:pPr>
            <w:r>
              <w:rPr>
                <w:sz w:val="20"/>
              </w:rPr>
              <w:t xml:space="preserve">МРТ</w:t>
            </w:r>
          </w:p>
        </w:tc>
        <w:tc>
          <w:tcPr>
            <w:tcW w:w="1701" w:type="dxa"/>
          </w:tcPr>
          <w:p>
            <w:pPr>
              <w:pStyle w:val="0"/>
              <w:jc w:val="center"/>
            </w:pPr>
            <w:r>
              <w:rPr>
                <w:sz w:val="20"/>
              </w:rPr>
              <w:t xml:space="preserve">2537</w:t>
            </w:r>
          </w:p>
        </w:tc>
        <w:tc>
          <w:tcPr>
            <w:tcW w:w="1587" w:type="dxa"/>
          </w:tcPr>
          <w:p>
            <w:pPr>
              <w:pStyle w:val="0"/>
              <w:jc w:val="center"/>
            </w:pPr>
            <w:r>
              <w:rPr>
                <w:sz w:val="20"/>
              </w:rPr>
              <w:t xml:space="preserve">3535</w:t>
            </w:r>
          </w:p>
        </w:tc>
        <w:tc>
          <w:tcPr>
            <w:tcW w:w="1701" w:type="dxa"/>
          </w:tcPr>
          <w:p>
            <w:pPr>
              <w:pStyle w:val="0"/>
              <w:jc w:val="center"/>
            </w:pPr>
            <w:r>
              <w:rPr>
                <w:sz w:val="20"/>
              </w:rPr>
              <w:t xml:space="preserve">39</w:t>
            </w:r>
          </w:p>
        </w:tc>
      </w:tr>
      <w:tr>
        <w:tc>
          <w:tcPr>
            <w:tcW w:w="567" w:type="dxa"/>
          </w:tcPr>
          <w:p>
            <w:pPr>
              <w:pStyle w:val="0"/>
              <w:jc w:val="both"/>
            </w:pPr>
            <w:r>
              <w:rPr>
                <w:sz w:val="20"/>
              </w:rPr>
              <w:t xml:space="preserve">14</w:t>
            </w:r>
          </w:p>
        </w:tc>
        <w:tc>
          <w:tcPr>
            <w:tcW w:w="2891" w:type="dxa"/>
          </w:tcPr>
          <w:p>
            <w:pPr>
              <w:pStyle w:val="0"/>
              <w:jc w:val="both"/>
            </w:pPr>
            <w:r>
              <w:rPr>
                <w:sz w:val="20"/>
              </w:rPr>
              <w:t xml:space="preserve">Городская больница N 1</w:t>
            </w:r>
          </w:p>
        </w:tc>
        <w:tc>
          <w:tcPr>
            <w:vMerge w:val="continue"/>
          </w:tcPr>
          <w:p/>
        </w:tc>
        <w:tc>
          <w:tcPr>
            <w:tcW w:w="1701" w:type="dxa"/>
          </w:tcPr>
          <w:p>
            <w:pPr>
              <w:pStyle w:val="0"/>
              <w:jc w:val="center"/>
            </w:pPr>
            <w:r>
              <w:rPr>
                <w:sz w:val="20"/>
              </w:rPr>
              <w:t xml:space="preserve">5605</w:t>
            </w:r>
          </w:p>
        </w:tc>
        <w:tc>
          <w:tcPr>
            <w:tcW w:w="1587" w:type="dxa"/>
          </w:tcPr>
          <w:p>
            <w:pPr>
              <w:pStyle w:val="0"/>
              <w:jc w:val="center"/>
            </w:pPr>
            <w:r>
              <w:rPr>
                <w:sz w:val="20"/>
              </w:rPr>
              <w:t xml:space="preserve">8432</w:t>
            </w:r>
          </w:p>
        </w:tc>
        <w:tc>
          <w:tcPr>
            <w:tcW w:w="1701" w:type="dxa"/>
          </w:tcPr>
          <w:p>
            <w:pPr>
              <w:pStyle w:val="0"/>
              <w:jc w:val="center"/>
            </w:pPr>
            <w:r>
              <w:rPr>
                <w:sz w:val="20"/>
              </w:rPr>
              <w:t xml:space="preserve">50</w:t>
            </w:r>
          </w:p>
        </w:tc>
      </w:tr>
      <w:tr>
        <w:tc>
          <w:tcPr>
            <w:tcW w:w="567" w:type="dxa"/>
          </w:tcPr>
          <w:p>
            <w:pPr>
              <w:pStyle w:val="0"/>
              <w:jc w:val="both"/>
            </w:pPr>
            <w:r>
              <w:rPr>
                <w:sz w:val="20"/>
              </w:rPr>
              <w:t xml:space="preserve">15</w:t>
            </w:r>
          </w:p>
        </w:tc>
        <w:tc>
          <w:tcPr>
            <w:tcW w:w="2891" w:type="dxa"/>
          </w:tcPr>
          <w:p>
            <w:pPr>
              <w:pStyle w:val="0"/>
              <w:jc w:val="both"/>
            </w:pPr>
            <w:r>
              <w:rPr>
                <w:sz w:val="20"/>
              </w:rPr>
              <w:t xml:space="preserve">Онкологический диспансер</w:t>
            </w:r>
          </w:p>
        </w:tc>
        <w:tc>
          <w:tcPr>
            <w:vMerge w:val="continue"/>
          </w:tcPr>
          <w:p/>
        </w:tc>
        <w:tc>
          <w:tcPr>
            <w:tcW w:w="1701" w:type="dxa"/>
          </w:tcPr>
          <w:p>
            <w:pPr>
              <w:pStyle w:val="0"/>
              <w:jc w:val="center"/>
            </w:pPr>
            <w:r>
              <w:rPr>
                <w:sz w:val="20"/>
              </w:rPr>
              <w:t xml:space="preserve">2045</w:t>
            </w:r>
          </w:p>
        </w:tc>
        <w:tc>
          <w:tcPr>
            <w:tcW w:w="1587" w:type="dxa"/>
          </w:tcPr>
          <w:p>
            <w:pPr>
              <w:pStyle w:val="0"/>
              <w:jc w:val="center"/>
            </w:pPr>
            <w:r>
              <w:rPr>
                <w:sz w:val="20"/>
              </w:rPr>
              <w:t xml:space="preserve">1050</w:t>
            </w:r>
          </w:p>
        </w:tc>
        <w:tc>
          <w:tcPr>
            <w:tcW w:w="1701" w:type="dxa"/>
          </w:tcPr>
          <w:p>
            <w:pPr>
              <w:pStyle w:val="0"/>
              <w:jc w:val="center"/>
            </w:pPr>
            <w:r>
              <w:rPr>
                <w:sz w:val="20"/>
              </w:rPr>
              <w:t xml:space="preserve">51</w:t>
            </w:r>
          </w:p>
        </w:tc>
      </w:tr>
      <w:tr>
        <w:tc>
          <w:tcPr>
            <w:tcW w:w="567" w:type="dxa"/>
          </w:tcPr>
          <w:p>
            <w:pPr>
              <w:pStyle w:val="0"/>
              <w:jc w:val="both"/>
            </w:pPr>
            <w:r>
              <w:rPr>
                <w:sz w:val="20"/>
              </w:rPr>
              <w:t xml:space="preserve">16</w:t>
            </w:r>
          </w:p>
        </w:tc>
        <w:tc>
          <w:tcPr>
            <w:tcW w:w="2891" w:type="dxa"/>
          </w:tcPr>
          <w:p>
            <w:pPr>
              <w:pStyle w:val="0"/>
              <w:jc w:val="both"/>
            </w:pPr>
            <w:r>
              <w:rPr>
                <w:sz w:val="20"/>
              </w:rPr>
              <w:t xml:space="preserve">Итого</w:t>
            </w:r>
          </w:p>
        </w:tc>
        <w:tc>
          <w:tcPr>
            <w:vMerge w:val="continue"/>
          </w:tcPr>
          <w:p/>
        </w:tc>
        <w:tc>
          <w:tcPr>
            <w:tcW w:w="1701" w:type="dxa"/>
          </w:tcPr>
          <w:p>
            <w:pPr>
              <w:pStyle w:val="0"/>
              <w:jc w:val="center"/>
            </w:pPr>
            <w:r>
              <w:rPr>
                <w:sz w:val="20"/>
              </w:rPr>
              <w:t xml:space="preserve">10243</w:t>
            </w:r>
          </w:p>
        </w:tc>
        <w:tc>
          <w:tcPr>
            <w:tcW w:w="1587" w:type="dxa"/>
          </w:tcPr>
          <w:p>
            <w:pPr>
              <w:pStyle w:val="0"/>
              <w:jc w:val="center"/>
            </w:pPr>
            <w:r>
              <w:rPr>
                <w:sz w:val="20"/>
              </w:rPr>
              <w:t xml:space="preserve">13017</w:t>
            </w:r>
          </w:p>
        </w:tc>
        <w:tc>
          <w:tcPr>
            <w:tcW w:w="1701" w:type="dxa"/>
          </w:tcPr>
          <w:p>
            <w:pPr>
              <w:pStyle w:val="0"/>
              <w:jc w:val="center"/>
            </w:pPr>
            <w:r>
              <w:rPr>
                <w:sz w:val="20"/>
              </w:rPr>
              <w:t xml:space="preserve">27</w:t>
            </w:r>
          </w:p>
        </w:tc>
      </w:tr>
      <w:tr>
        <w:tc>
          <w:tcPr>
            <w:tcW w:w="567" w:type="dxa"/>
          </w:tcPr>
          <w:p>
            <w:pPr>
              <w:pStyle w:val="0"/>
              <w:jc w:val="both"/>
            </w:pPr>
            <w:r>
              <w:rPr>
                <w:sz w:val="20"/>
              </w:rPr>
              <w:t xml:space="preserve">17</w:t>
            </w:r>
          </w:p>
        </w:tc>
        <w:tc>
          <w:tcPr>
            <w:tcW w:w="2891" w:type="dxa"/>
          </w:tcPr>
          <w:p>
            <w:pPr>
              <w:pStyle w:val="0"/>
              <w:jc w:val="both"/>
            </w:pPr>
            <w:r>
              <w:rPr>
                <w:sz w:val="20"/>
              </w:rPr>
              <w:t xml:space="preserve">Городская больница N 1</w:t>
            </w:r>
          </w:p>
        </w:tc>
        <w:tc>
          <w:tcPr>
            <w:tcW w:w="1757" w:type="dxa"/>
            <w:vMerge w:val="restart"/>
          </w:tcPr>
          <w:p>
            <w:pPr>
              <w:pStyle w:val="0"/>
              <w:jc w:val="both"/>
            </w:pPr>
            <w:r>
              <w:rPr>
                <w:sz w:val="20"/>
              </w:rPr>
              <w:t xml:space="preserve">КТ</w:t>
            </w:r>
          </w:p>
        </w:tc>
        <w:tc>
          <w:tcPr>
            <w:tcW w:w="1701" w:type="dxa"/>
          </w:tcPr>
          <w:p>
            <w:pPr>
              <w:pStyle w:val="0"/>
              <w:jc w:val="center"/>
            </w:pPr>
            <w:r>
              <w:rPr>
                <w:sz w:val="20"/>
              </w:rPr>
              <w:t xml:space="preserve">24016</w:t>
            </w:r>
          </w:p>
        </w:tc>
        <w:tc>
          <w:tcPr>
            <w:tcW w:w="1587" w:type="dxa"/>
          </w:tcPr>
          <w:p>
            <w:pPr>
              <w:pStyle w:val="0"/>
              <w:jc w:val="center"/>
            </w:pPr>
            <w:r>
              <w:rPr>
                <w:sz w:val="20"/>
              </w:rPr>
              <w:t xml:space="preserve">31553</w:t>
            </w:r>
          </w:p>
        </w:tc>
        <w:tc>
          <w:tcPr>
            <w:tcW w:w="1701" w:type="dxa"/>
          </w:tcPr>
          <w:p>
            <w:pPr>
              <w:pStyle w:val="0"/>
              <w:jc w:val="center"/>
            </w:pPr>
            <w:r>
              <w:rPr>
                <w:sz w:val="20"/>
              </w:rPr>
              <w:t xml:space="preserve">31</w:t>
            </w:r>
          </w:p>
        </w:tc>
      </w:tr>
      <w:tr>
        <w:tc>
          <w:tcPr>
            <w:tcW w:w="567" w:type="dxa"/>
          </w:tcPr>
          <w:p>
            <w:pPr>
              <w:pStyle w:val="0"/>
              <w:jc w:val="both"/>
            </w:pPr>
            <w:r>
              <w:rPr>
                <w:sz w:val="20"/>
              </w:rPr>
              <w:t xml:space="preserve">18</w:t>
            </w:r>
          </w:p>
        </w:tc>
        <w:tc>
          <w:tcPr>
            <w:tcW w:w="2891" w:type="dxa"/>
          </w:tcPr>
          <w:p>
            <w:pPr>
              <w:pStyle w:val="0"/>
              <w:jc w:val="both"/>
            </w:pPr>
            <w:r>
              <w:rPr>
                <w:sz w:val="20"/>
              </w:rPr>
              <w:t xml:space="preserve">Городская больница N 4</w:t>
            </w:r>
          </w:p>
        </w:tc>
        <w:tc>
          <w:tcPr>
            <w:vMerge w:val="continue"/>
          </w:tcPr>
          <w:p/>
        </w:tc>
        <w:tc>
          <w:tcPr>
            <w:tcW w:w="1701" w:type="dxa"/>
          </w:tcPr>
          <w:p>
            <w:pPr>
              <w:pStyle w:val="0"/>
              <w:jc w:val="center"/>
            </w:pPr>
            <w:r>
              <w:rPr>
                <w:sz w:val="20"/>
              </w:rPr>
              <w:t xml:space="preserve">6813</w:t>
            </w:r>
          </w:p>
        </w:tc>
        <w:tc>
          <w:tcPr>
            <w:tcW w:w="1587" w:type="dxa"/>
          </w:tcPr>
          <w:p>
            <w:pPr>
              <w:pStyle w:val="0"/>
              <w:jc w:val="center"/>
            </w:pPr>
            <w:r>
              <w:rPr>
                <w:sz w:val="20"/>
              </w:rPr>
              <w:t xml:space="preserve">6363</w:t>
            </w:r>
          </w:p>
        </w:tc>
        <w:tc>
          <w:tcPr>
            <w:tcW w:w="1701" w:type="dxa"/>
          </w:tcPr>
          <w:p>
            <w:pPr>
              <w:pStyle w:val="0"/>
              <w:jc w:val="center"/>
            </w:pPr>
            <w:r>
              <w:rPr>
                <w:sz w:val="20"/>
              </w:rPr>
              <w:t xml:space="preserve">-6</w:t>
            </w:r>
          </w:p>
        </w:tc>
      </w:tr>
      <w:tr>
        <w:tc>
          <w:tcPr>
            <w:tcW w:w="567" w:type="dxa"/>
          </w:tcPr>
          <w:p>
            <w:pPr>
              <w:pStyle w:val="0"/>
              <w:jc w:val="both"/>
            </w:pPr>
            <w:r>
              <w:rPr>
                <w:sz w:val="20"/>
              </w:rPr>
              <w:t xml:space="preserve">19</w:t>
            </w:r>
          </w:p>
        </w:tc>
        <w:tc>
          <w:tcPr>
            <w:tcW w:w="2891" w:type="dxa"/>
          </w:tcPr>
          <w:p>
            <w:pPr>
              <w:pStyle w:val="0"/>
              <w:jc w:val="both"/>
            </w:pPr>
            <w:r>
              <w:rPr>
                <w:sz w:val="20"/>
              </w:rPr>
              <w:t xml:space="preserve">Онкологический диспансер</w:t>
            </w:r>
          </w:p>
        </w:tc>
        <w:tc>
          <w:tcPr>
            <w:vMerge w:val="continue"/>
          </w:tcPr>
          <w:p/>
        </w:tc>
        <w:tc>
          <w:tcPr>
            <w:tcW w:w="1701" w:type="dxa"/>
          </w:tcPr>
          <w:p>
            <w:pPr>
              <w:pStyle w:val="0"/>
              <w:jc w:val="center"/>
            </w:pPr>
            <w:r>
              <w:rPr>
                <w:sz w:val="20"/>
              </w:rPr>
              <w:t xml:space="preserve">7162</w:t>
            </w:r>
          </w:p>
        </w:tc>
        <w:tc>
          <w:tcPr>
            <w:tcW w:w="1587" w:type="dxa"/>
          </w:tcPr>
          <w:p>
            <w:pPr>
              <w:pStyle w:val="0"/>
              <w:jc w:val="center"/>
            </w:pPr>
            <w:r>
              <w:rPr>
                <w:sz w:val="20"/>
              </w:rPr>
              <w:t xml:space="preserve">6825</w:t>
            </w:r>
          </w:p>
        </w:tc>
        <w:tc>
          <w:tcPr>
            <w:tcW w:w="1701" w:type="dxa"/>
          </w:tcPr>
          <w:p>
            <w:pPr>
              <w:pStyle w:val="0"/>
              <w:jc w:val="center"/>
            </w:pPr>
            <w:r>
              <w:rPr>
                <w:sz w:val="20"/>
              </w:rPr>
              <w:t xml:space="preserve">-5</w:t>
            </w:r>
          </w:p>
        </w:tc>
      </w:tr>
      <w:tr>
        <w:tc>
          <w:tcPr>
            <w:tcW w:w="567" w:type="dxa"/>
          </w:tcPr>
          <w:p>
            <w:pPr>
              <w:pStyle w:val="0"/>
              <w:jc w:val="both"/>
            </w:pPr>
            <w:r>
              <w:rPr>
                <w:sz w:val="20"/>
              </w:rPr>
              <w:t xml:space="preserve">20</w:t>
            </w:r>
          </w:p>
        </w:tc>
        <w:tc>
          <w:tcPr>
            <w:tcW w:w="2891" w:type="dxa"/>
          </w:tcPr>
          <w:p>
            <w:pPr>
              <w:pStyle w:val="0"/>
              <w:jc w:val="both"/>
            </w:pPr>
            <w:r>
              <w:rPr>
                <w:sz w:val="20"/>
              </w:rPr>
              <w:t xml:space="preserve">Инфекционная больница</w:t>
            </w:r>
          </w:p>
        </w:tc>
        <w:tc>
          <w:tcPr>
            <w:vMerge w:val="continue"/>
          </w:tcPr>
          <w:p/>
        </w:tc>
        <w:tc>
          <w:tcPr>
            <w:tcW w:w="1701" w:type="dxa"/>
          </w:tcPr>
          <w:p>
            <w:pPr>
              <w:pStyle w:val="0"/>
              <w:jc w:val="center"/>
            </w:pPr>
            <w:r>
              <w:rPr>
                <w:sz w:val="20"/>
              </w:rPr>
              <w:t xml:space="preserve">11198</w:t>
            </w:r>
          </w:p>
        </w:tc>
        <w:tc>
          <w:tcPr>
            <w:tcW w:w="1587" w:type="dxa"/>
          </w:tcPr>
          <w:p>
            <w:pPr>
              <w:pStyle w:val="0"/>
              <w:jc w:val="center"/>
            </w:pPr>
            <w:r>
              <w:rPr>
                <w:sz w:val="20"/>
              </w:rPr>
              <w:t xml:space="preserve">5555</w:t>
            </w:r>
          </w:p>
        </w:tc>
        <w:tc>
          <w:tcPr>
            <w:tcW w:w="1701" w:type="dxa"/>
          </w:tcPr>
          <w:p>
            <w:pPr>
              <w:pStyle w:val="0"/>
              <w:jc w:val="center"/>
            </w:pPr>
            <w:r>
              <w:rPr>
                <w:sz w:val="20"/>
              </w:rPr>
              <w:t xml:space="preserve">-50</w:t>
            </w:r>
          </w:p>
        </w:tc>
      </w:tr>
      <w:tr>
        <w:tc>
          <w:tcPr>
            <w:tcW w:w="567" w:type="dxa"/>
          </w:tcPr>
          <w:p>
            <w:pPr>
              <w:pStyle w:val="0"/>
              <w:jc w:val="both"/>
            </w:pPr>
            <w:r>
              <w:rPr>
                <w:sz w:val="20"/>
              </w:rPr>
              <w:t xml:space="preserve">21</w:t>
            </w:r>
          </w:p>
        </w:tc>
        <w:tc>
          <w:tcPr>
            <w:tcW w:w="2891" w:type="dxa"/>
          </w:tcPr>
          <w:p>
            <w:pPr>
              <w:pStyle w:val="0"/>
              <w:jc w:val="both"/>
            </w:pPr>
            <w:r>
              <w:rPr>
                <w:sz w:val="20"/>
              </w:rPr>
              <w:t xml:space="preserve">Городская больница N 5</w:t>
            </w:r>
          </w:p>
        </w:tc>
        <w:tc>
          <w:tcPr>
            <w:vMerge w:val="continue"/>
          </w:tcPr>
          <w:p/>
        </w:tc>
        <w:tc>
          <w:tcPr>
            <w:tcW w:w="1701" w:type="dxa"/>
          </w:tcPr>
          <w:p>
            <w:pPr>
              <w:pStyle w:val="0"/>
              <w:jc w:val="center"/>
            </w:pPr>
            <w:r>
              <w:rPr>
                <w:sz w:val="20"/>
              </w:rPr>
              <w:t xml:space="preserve">4903</w:t>
            </w:r>
          </w:p>
        </w:tc>
        <w:tc>
          <w:tcPr>
            <w:tcW w:w="1587" w:type="dxa"/>
          </w:tcPr>
          <w:p>
            <w:pPr>
              <w:pStyle w:val="0"/>
              <w:jc w:val="center"/>
            </w:pPr>
            <w:r>
              <w:rPr>
                <w:sz w:val="20"/>
              </w:rPr>
              <w:t xml:space="preserve">4590</w:t>
            </w:r>
          </w:p>
        </w:tc>
        <w:tc>
          <w:tcPr>
            <w:tcW w:w="1701" w:type="dxa"/>
          </w:tcPr>
          <w:p>
            <w:pPr>
              <w:pStyle w:val="0"/>
              <w:jc w:val="center"/>
            </w:pPr>
            <w:r>
              <w:rPr>
                <w:sz w:val="20"/>
              </w:rPr>
              <w:t xml:space="preserve">-6</w:t>
            </w:r>
          </w:p>
        </w:tc>
      </w:tr>
      <w:tr>
        <w:tc>
          <w:tcPr>
            <w:tcW w:w="567" w:type="dxa"/>
          </w:tcPr>
          <w:p>
            <w:pPr>
              <w:pStyle w:val="0"/>
              <w:jc w:val="both"/>
            </w:pPr>
            <w:r>
              <w:rPr>
                <w:sz w:val="20"/>
              </w:rPr>
              <w:t xml:space="preserve">22</w:t>
            </w:r>
          </w:p>
        </w:tc>
        <w:tc>
          <w:tcPr>
            <w:tcW w:w="2891" w:type="dxa"/>
          </w:tcPr>
          <w:p>
            <w:pPr>
              <w:pStyle w:val="0"/>
              <w:jc w:val="both"/>
            </w:pPr>
            <w:r>
              <w:rPr>
                <w:sz w:val="20"/>
              </w:rPr>
              <w:t xml:space="preserve">Городская больница N 9</w:t>
            </w:r>
          </w:p>
        </w:tc>
        <w:tc>
          <w:tcPr>
            <w:vMerge w:val="continue"/>
          </w:tcPr>
          <w:p/>
        </w:tc>
        <w:tc>
          <w:tcPr>
            <w:tcW w:w="1701" w:type="dxa"/>
          </w:tcPr>
          <w:p>
            <w:pPr>
              <w:pStyle w:val="0"/>
              <w:jc w:val="center"/>
            </w:pPr>
            <w:r>
              <w:rPr>
                <w:sz w:val="20"/>
              </w:rPr>
              <w:t xml:space="preserve">11488</w:t>
            </w:r>
          </w:p>
        </w:tc>
        <w:tc>
          <w:tcPr>
            <w:tcW w:w="1587" w:type="dxa"/>
          </w:tcPr>
          <w:p>
            <w:pPr>
              <w:pStyle w:val="0"/>
              <w:jc w:val="center"/>
            </w:pPr>
            <w:r>
              <w:rPr>
                <w:sz w:val="20"/>
              </w:rPr>
              <w:t xml:space="preserve">7470</w:t>
            </w:r>
          </w:p>
        </w:tc>
        <w:tc>
          <w:tcPr>
            <w:tcW w:w="1701" w:type="dxa"/>
          </w:tcPr>
          <w:p>
            <w:pPr>
              <w:pStyle w:val="0"/>
              <w:jc w:val="center"/>
            </w:pPr>
            <w:r>
              <w:rPr>
                <w:sz w:val="20"/>
              </w:rPr>
              <w:t xml:space="preserve">-35</w:t>
            </w:r>
          </w:p>
        </w:tc>
      </w:tr>
      <w:tr>
        <w:tc>
          <w:tcPr>
            <w:tcW w:w="567" w:type="dxa"/>
          </w:tcPr>
          <w:p>
            <w:pPr>
              <w:pStyle w:val="0"/>
              <w:jc w:val="both"/>
            </w:pPr>
            <w:r>
              <w:rPr>
                <w:sz w:val="20"/>
              </w:rPr>
              <w:t xml:space="preserve">23</w:t>
            </w:r>
          </w:p>
        </w:tc>
        <w:tc>
          <w:tcPr>
            <w:tcW w:w="2891" w:type="dxa"/>
          </w:tcPr>
          <w:p>
            <w:pPr>
              <w:pStyle w:val="0"/>
              <w:jc w:val="both"/>
            </w:pPr>
            <w:r>
              <w:rPr>
                <w:sz w:val="20"/>
              </w:rPr>
              <w:t xml:space="preserve">Итого</w:t>
            </w:r>
          </w:p>
        </w:tc>
        <w:tc>
          <w:tcPr>
            <w:vMerge w:val="continue"/>
          </w:tcPr>
          <w:p/>
        </w:tc>
        <w:tc>
          <w:tcPr>
            <w:tcW w:w="1701" w:type="dxa"/>
          </w:tcPr>
          <w:p>
            <w:pPr>
              <w:pStyle w:val="0"/>
              <w:jc w:val="center"/>
            </w:pPr>
            <w:r>
              <w:rPr>
                <w:sz w:val="20"/>
              </w:rPr>
              <w:t xml:space="preserve">65580</w:t>
            </w:r>
          </w:p>
        </w:tc>
        <w:tc>
          <w:tcPr>
            <w:tcW w:w="1587" w:type="dxa"/>
          </w:tcPr>
          <w:p>
            <w:pPr>
              <w:pStyle w:val="0"/>
              <w:jc w:val="center"/>
            </w:pPr>
            <w:r>
              <w:rPr>
                <w:sz w:val="20"/>
              </w:rPr>
              <w:t xml:space="preserve">62356</w:t>
            </w:r>
          </w:p>
        </w:tc>
        <w:tc>
          <w:tcPr>
            <w:tcW w:w="1701" w:type="dxa"/>
          </w:tcPr>
          <w:p>
            <w:pPr>
              <w:pStyle w:val="0"/>
              <w:jc w:val="center"/>
            </w:pPr>
            <w:r>
              <w:rPr>
                <w:sz w:val="20"/>
              </w:rPr>
              <w:t xml:space="preserve">-5</w:t>
            </w:r>
          </w:p>
        </w:tc>
      </w:tr>
    </w:tbl>
    <w:p>
      <w:pPr>
        <w:pStyle w:val="0"/>
        <w:ind w:firstLine="540"/>
        <w:jc w:val="both"/>
      </w:pPr>
      <w:r>
        <w:rPr>
          <w:sz w:val="20"/>
        </w:rPr>
      </w:r>
    </w:p>
    <w:p>
      <w:pPr>
        <w:pStyle w:val="2"/>
        <w:outlineLvl w:val="5"/>
        <w:jc w:val="center"/>
      </w:pPr>
      <w:r>
        <w:rPr>
          <w:sz w:val="20"/>
        </w:rPr>
        <w:t xml:space="preserve">Нагрузка на оборудование</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175"/>
        <w:gridCol w:w="1701"/>
        <w:gridCol w:w="1814"/>
        <w:gridCol w:w="2098"/>
        <w:gridCol w:w="2098"/>
        <w:gridCol w:w="2154"/>
      </w:tblGrid>
      <w:tr>
        <w:tc>
          <w:tcPr>
            <w:tcW w:w="567" w:type="dxa"/>
          </w:tcPr>
          <w:p>
            <w:pPr>
              <w:pStyle w:val="0"/>
              <w:jc w:val="center"/>
            </w:pPr>
            <w:r>
              <w:rPr>
                <w:sz w:val="20"/>
              </w:rPr>
              <w:t xml:space="preserve">N п/п</w:t>
            </w:r>
          </w:p>
        </w:tc>
        <w:tc>
          <w:tcPr>
            <w:tcW w:w="3175" w:type="dxa"/>
          </w:tcPr>
          <w:p>
            <w:pPr>
              <w:pStyle w:val="0"/>
              <w:jc w:val="center"/>
            </w:pPr>
            <w:r>
              <w:rPr>
                <w:sz w:val="20"/>
              </w:rPr>
              <w:t xml:space="preserve">Наименование МО</w:t>
            </w:r>
          </w:p>
        </w:tc>
        <w:tc>
          <w:tcPr>
            <w:tcW w:w="1701" w:type="dxa"/>
          </w:tcPr>
          <w:p>
            <w:pPr>
              <w:pStyle w:val="0"/>
              <w:jc w:val="center"/>
            </w:pPr>
            <w:r>
              <w:rPr>
                <w:sz w:val="20"/>
              </w:rPr>
              <w:t xml:space="preserve">Наименование аппарата</w:t>
            </w:r>
          </w:p>
        </w:tc>
        <w:tc>
          <w:tcPr>
            <w:tcW w:w="1814" w:type="dxa"/>
          </w:tcPr>
          <w:p>
            <w:pPr>
              <w:pStyle w:val="0"/>
              <w:jc w:val="center"/>
            </w:pPr>
            <w:r>
              <w:rPr>
                <w:sz w:val="20"/>
              </w:rPr>
              <w:t xml:space="preserve">Количество рабочих календарных дней в подразделениях МО в 2022 г.</w:t>
            </w:r>
          </w:p>
        </w:tc>
        <w:tc>
          <w:tcPr>
            <w:tcW w:w="2098" w:type="dxa"/>
          </w:tcPr>
          <w:p>
            <w:pPr>
              <w:pStyle w:val="0"/>
              <w:jc w:val="center"/>
            </w:pPr>
            <w:r>
              <w:rPr>
                <w:sz w:val="20"/>
              </w:rPr>
              <w:t xml:space="preserve">Расчетная средняя нагрузка на 1 аппарат в день (по количеству рабочих календарных дней подразделения МО)</w:t>
            </w:r>
          </w:p>
        </w:tc>
        <w:tc>
          <w:tcPr>
            <w:tcW w:w="2098" w:type="dxa"/>
          </w:tcPr>
          <w:p>
            <w:pPr>
              <w:pStyle w:val="0"/>
              <w:jc w:val="center"/>
            </w:pPr>
            <w:r>
              <w:rPr>
                <w:sz w:val="20"/>
              </w:rPr>
              <w:t xml:space="preserve">Фактическое количество дней работы оборудования в 2022 г.</w:t>
            </w:r>
          </w:p>
        </w:tc>
        <w:tc>
          <w:tcPr>
            <w:tcW w:w="2154" w:type="dxa"/>
          </w:tcPr>
          <w:p>
            <w:pPr>
              <w:pStyle w:val="0"/>
              <w:jc w:val="center"/>
            </w:pPr>
            <w:r>
              <w:rPr>
                <w:sz w:val="20"/>
              </w:rPr>
              <w:t xml:space="preserve">Средняя нагрузка на оборудование (по фактическому количеству дней работы оборудования с начала 2022 г.)</w:t>
            </w:r>
          </w:p>
        </w:tc>
      </w:tr>
      <w:tr>
        <w:tc>
          <w:tcPr>
            <w:tcW w:w="567" w:type="dxa"/>
          </w:tcPr>
          <w:p>
            <w:pPr>
              <w:pStyle w:val="0"/>
              <w:jc w:val="center"/>
            </w:pPr>
            <w:r>
              <w:rPr>
                <w:sz w:val="20"/>
              </w:rPr>
              <w:t xml:space="preserve">1</w:t>
            </w:r>
          </w:p>
        </w:tc>
        <w:tc>
          <w:tcPr>
            <w:tcW w:w="3175" w:type="dxa"/>
          </w:tcPr>
          <w:p>
            <w:pPr>
              <w:pStyle w:val="0"/>
              <w:jc w:val="center"/>
            </w:pPr>
            <w:r>
              <w:rPr>
                <w:sz w:val="20"/>
              </w:rPr>
              <w:t xml:space="preserve">2</w:t>
            </w:r>
          </w:p>
        </w:tc>
        <w:tc>
          <w:tcPr>
            <w:tcW w:w="1701" w:type="dxa"/>
          </w:tcPr>
          <w:p>
            <w:pPr>
              <w:pStyle w:val="0"/>
              <w:jc w:val="center"/>
            </w:pPr>
            <w:r>
              <w:rPr>
                <w:sz w:val="20"/>
              </w:rPr>
              <w:t xml:space="preserve">3</w:t>
            </w:r>
          </w:p>
        </w:tc>
        <w:tc>
          <w:tcPr>
            <w:tcW w:w="1814" w:type="dxa"/>
          </w:tcPr>
          <w:p>
            <w:pPr>
              <w:pStyle w:val="0"/>
              <w:jc w:val="center"/>
            </w:pPr>
            <w:r>
              <w:rPr>
                <w:sz w:val="20"/>
              </w:rPr>
              <w:t xml:space="preserve">4</w:t>
            </w:r>
          </w:p>
        </w:tc>
        <w:tc>
          <w:tcPr>
            <w:tcW w:w="2098" w:type="dxa"/>
          </w:tcPr>
          <w:p>
            <w:pPr>
              <w:pStyle w:val="0"/>
              <w:jc w:val="center"/>
            </w:pPr>
            <w:r>
              <w:rPr>
                <w:sz w:val="20"/>
              </w:rPr>
              <w:t xml:space="preserve">5</w:t>
            </w:r>
          </w:p>
        </w:tc>
        <w:tc>
          <w:tcPr>
            <w:tcW w:w="2098" w:type="dxa"/>
          </w:tcPr>
          <w:p>
            <w:pPr>
              <w:pStyle w:val="0"/>
              <w:jc w:val="center"/>
            </w:pPr>
            <w:r>
              <w:rPr>
                <w:sz w:val="20"/>
              </w:rPr>
              <w:t xml:space="preserve">6</w:t>
            </w:r>
          </w:p>
        </w:tc>
        <w:tc>
          <w:tcPr>
            <w:tcW w:w="2154" w:type="dxa"/>
          </w:tcPr>
          <w:p>
            <w:pPr>
              <w:pStyle w:val="0"/>
              <w:jc w:val="center"/>
            </w:pPr>
            <w:r>
              <w:rPr>
                <w:sz w:val="20"/>
              </w:rPr>
              <w:t xml:space="preserve">7</w:t>
            </w:r>
          </w:p>
        </w:tc>
      </w:tr>
      <w:tr>
        <w:tc>
          <w:tcPr>
            <w:tcW w:w="567" w:type="dxa"/>
          </w:tcPr>
          <w:p>
            <w:pPr>
              <w:pStyle w:val="0"/>
              <w:jc w:val="both"/>
            </w:pPr>
            <w:r>
              <w:rPr>
                <w:sz w:val="20"/>
              </w:rPr>
              <w:t xml:space="preserve">1</w:t>
            </w:r>
          </w:p>
        </w:tc>
        <w:tc>
          <w:tcPr>
            <w:tcW w:w="3175" w:type="dxa"/>
          </w:tcPr>
          <w:p>
            <w:pPr>
              <w:pStyle w:val="0"/>
              <w:jc w:val="both"/>
            </w:pPr>
            <w:r>
              <w:rPr>
                <w:sz w:val="20"/>
              </w:rPr>
              <w:t xml:space="preserve">Городская больница N 1</w:t>
            </w:r>
          </w:p>
        </w:tc>
        <w:tc>
          <w:tcPr>
            <w:tcW w:w="1701" w:type="dxa"/>
            <w:vMerge w:val="restart"/>
          </w:tcPr>
          <w:p>
            <w:pPr>
              <w:pStyle w:val="0"/>
              <w:jc w:val="both"/>
            </w:pPr>
            <w:r>
              <w:rPr>
                <w:sz w:val="20"/>
              </w:rPr>
              <w:t xml:space="preserve">УЗИ-аппараты</w:t>
            </w:r>
          </w:p>
        </w:tc>
        <w:tc>
          <w:tcPr>
            <w:tcW w:w="1814" w:type="dxa"/>
          </w:tcPr>
          <w:p>
            <w:pPr>
              <w:pStyle w:val="0"/>
              <w:jc w:val="center"/>
            </w:pPr>
            <w:r>
              <w:rPr>
                <w:sz w:val="20"/>
              </w:rPr>
              <w:t xml:space="preserve">335</w:t>
            </w:r>
          </w:p>
        </w:tc>
        <w:tc>
          <w:tcPr>
            <w:tcW w:w="2098" w:type="dxa"/>
          </w:tcPr>
          <w:p>
            <w:pPr>
              <w:pStyle w:val="0"/>
              <w:jc w:val="center"/>
            </w:pPr>
            <w:r>
              <w:rPr>
                <w:sz w:val="20"/>
              </w:rPr>
              <w:t xml:space="preserve">13,56</w:t>
            </w:r>
          </w:p>
        </w:tc>
        <w:tc>
          <w:tcPr>
            <w:tcW w:w="2098" w:type="dxa"/>
          </w:tcPr>
          <w:p>
            <w:pPr>
              <w:pStyle w:val="0"/>
              <w:jc w:val="center"/>
            </w:pPr>
            <w:r>
              <w:rPr>
                <w:sz w:val="20"/>
              </w:rPr>
              <w:t xml:space="preserve">335</w:t>
            </w:r>
          </w:p>
        </w:tc>
        <w:tc>
          <w:tcPr>
            <w:tcW w:w="2154" w:type="dxa"/>
          </w:tcPr>
          <w:p>
            <w:pPr>
              <w:pStyle w:val="0"/>
              <w:jc w:val="center"/>
            </w:pPr>
            <w:r>
              <w:rPr>
                <w:sz w:val="20"/>
              </w:rPr>
              <w:t xml:space="preserve">13,56</w:t>
            </w:r>
          </w:p>
        </w:tc>
      </w:tr>
      <w:tr>
        <w:tc>
          <w:tcPr>
            <w:tcW w:w="567" w:type="dxa"/>
          </w:tcPr>
          <w:p>
            <w:pPr>
              <w:pStyle w:val="0"/>
              <w:jc w:val="both"/>
            </w:pPr>
            <w:r>
              <w:rPr>
                <w:sz w:val="20"/>
              </w:rPr>
              <w:t xml:space="preserve">2</w:t>
            </w:r>
          </w:p>
        </w:tc>
        <w:tc>
          <w:tcPr>
            <w:tcW w:w="3175" w:type="dxa"/>
          </w:tcPr>
          <w:p>
            <w:pPr>
              <w:pStyle w:val="0"/>
              <w:jc w:val="both"/>
            </w:pPr>
            <w:r>
              <w:rPr>
                <w:sz w:val="20"/>
              </w:rPr>
              <w:t xml:space="preserve">Городская больница N 4</w:t>
            </w:r>
          </w:p>
        </w:tc>
        <w:tc>
          <w:tcPr>
            <w:vMerge w:val="continue"/>
          </w:tcPr>
          <w:p/>
        </w:tc>
        <w:tc>
          <w:tcPr>
            <w:tcW w:w="1814" w:type="dxa"/>
          </w:tcPr>
          <w:p>
            <w:pPr>
              <w:pStyle w:val="0"/>
              <w:jc w:val="center"/>
            </w:pPr>
            <w:r>
              <w:rPr>
                <w:sz w:val="20"/>
              </w:rPr>
              <w:t xml:space="preserve">252</w:t>
            </w:r>
          </w:p>
        </w:tc>
        <w:tc>
          <w:tcPr>
            <w:tcW w:w="2098" w:type="dxa"/>
          </w:tcPr>
          <w:p>
            <w:pPr>
              <w:pStyle w:val="0"/>
              <w:jc w:val="center"/>
            </w:pPr>
            <w:r>
              <w:rPr>
                <w:sz w:val="20"/>
              </w:rPr>
              <w:t xml:space="preserve">7,31</w:t>
            </w:r>
          </w:p>
        </w:tc>
        <w:tc>
          <w:tcPr>
            <w:tcW w:w="2098" w:type="dxa"/>
          </w:tcPr>
          <w:p>
            <w:pPr>
              <w:pStyle w:val="0"/>
              <w:jc w:val="center"/>
            </w:pPr>
            <w:r>
              <w:rPr>
                <w:sz w:val="20"/>
              </w:rPr>
              <w:t xml:space="preserve">252</w:t>
            </w:r>
          </w:p>
        </w:tc>
        <w:tc>
          <w:tcPr>
            <w:tcW w:w="2154" w:type="dxa"/>
          </w:tcPr>
          <w:p>
            <w:pPr>
              <w:pStyle w:val="0"/>
              <w:jc w:val="center"/>
            </w:pPr>
            <w:r>
              <w:rPr>
                <w:sz w:val="20"/>
              </w:rPr>
              <w:t xml:space="preserve">7,31</w:t>
            </w:r>
          </w:p>
        </w:tc>
      </w:tr>
      <w:tr>
        <w:tc>
          <w:tcPr>
            <w:tcW w:w="567" w:type="dxa"/>
          </w:tcPr>
          <w:p>
            <w:pPr>
              <w:pStyle w:val="0"/>
              <w:jc w:val="both"/>
            </w:pPr>
            <w:r>
              <w:rPr>
                <w:sz w:val="20"/>
              </w:rPr>
              <w:t xml:space="preserve">3</w:t>
            </w:r>
          </w:p>
        </w:tc>
        <w:tc>
          <w:tcPr>
            <w:tcW w:w="3175" w:type="dxa"/>
          </w:tcPr>
          <w:p>
            <w:pPr>
              <w:pStyle w:val="0"/>
              <w:jc w:val="both"/>
            </w:pPr>
            <w:r>
              <w:rPr>
                <w:sz w:val="20"/>
              </w:rPr>
              <w:t xml:space="preserve">Городская больница N 5</w:t>
            </w:r>
          </w:p>
        </w:tc>
        <w:tc>
          <w:tcPr>
            <w:vMerge w:val="continue"/>
          </w:tcPr>
          <w:p/>
        </w:tc>
        <w:tc>
          <w:tcPr>
            <w:tcW w:w="1814" w:type="dxa"/>
          </w:tcPr>
          <w:p>
            <w:pPr>
              <w:pStyle w:val="0"/>
              <w:jc w:val="center"/>
            </w:pPr>
            <w:r>
              <w:rPr>
                <w:sz w:val="20"/>
              </w:rPr>
              <w:t xml:space="preserve">293</w:t>
            </w:r>
          </w:p>
        </w:tc>
        <w:tc>
          <w:tcPr>
            <w:tcW w:w="2098" w:type="dxa"/>
          </w:tcPr>
          <w:p>
            <w:pPr>
              <w:pStyle w:val="0"/>
              <w:jc w:val="center"/>
            </w:pPr>
            <w:r>
              <w:rPr>
                <w:sz w:val="20"/>
              </w:rPr>
              <w:t xml:space="preserve">10,5</w:t>
            </w:r>
          </w:p>
        </w:tc>
        <w:tc>
          <w:tcPr>
            <w:tcW w:w="2098" w:type="dxa"/>
          </w:tcPr>
          <w:p>
            <w:pPr>
              <w:pStyle w:val="0"/>
              <w:jc w:val="center"/>
            </w:pPr>
            <w:r>
              <w:rPr>
                <w:sz w:val="20"/>
              </w:rPr>
              <w:t xml:space="preserve">293</w:t>
            </w:r>
          </w:p>
        </w:tc>
        <w:tc>
          <w:tcPr>
            <w:tcW w:w="2154" w:type="dxa"/>
          </w:tcPr>
          <w:p>
            <w:pPr>
              <w:pStyle w:val="0"/>
              <w:jc w:val="center"/>
            </w:pPr>
            <w:r>
              <w:rPr>
                <w:sz w:val="20"/>
              </w:rPr>
              <w:t xml:space="preserve">10,5</w:t>
            </w:r>
          </w:p>
        </w:tc>
      </w:tr>
      <w:tr>
        <w:tc>
          <w:tcPr>
            <w:tcW w:w="567" w:type="dxa"/>
          </w:tcPr>
          <w:p>
            <w:pPr>
              <w:pStyle w:val="0"/>
              <w:jc w:val="both"/>
            </w:pPr>
            <w:r>
              <w:rPr>
                <w:sz w:val="20"/>
              </w:rPr>
              <w:t xml:space="preserve">4</w:t>
            </w:r>
          </w:p>
        </w:tc>
        <w:tc>
          <w:tcPr>
            <w:tcW w:w="3175" w:type="dxa"/>
          </w:tcPr>
          <w:p>
            <w:pPr>
              <w:pStyle w:val="0"/>
              <w:jc w:val="both"/>
            </w:pPr>
            <w:r>
              <w:rPr>
                <w:sz w:val="20"/>
              </w:rPr>
              <w:t xml:space="preserve">Городская больница N 9</w:t>
            </w:r>
          </w:p>
        </w:tc>
        <w:tc>
          <w:tcPr>
            <w:vMerge w:val="continue"/>
          </w:tcPr>
          <w:p/>
        </w:tc>
        <w:tc>
          <w:tcPr>
            <w:tcW w:w="1814" w:type="dxa"/>
          </w:tcPr>
          <w:p>
            <w:pPr>
              <w:pStyle w:val="0"/>
              <w:jc w:val="center"/>
            </w:pPr>
            <w:r>
              <w:rPr>
                <w:sz w:val="20"/>
              </w:rPr>
              <w:t xml:space="preserve">364</w:t>
            </w:r>
          </w:p>
        </w:tc>
        <w:tc>
          <w:tcPr>
            <w:tcW w:w="2098" w:type="dxa"/>
          </w:tcPr>
          <w:p>
            <w:pPr>
              <w:pStyle w:val="0"/>
              <w:jc w:val="center"/>
            </w:pPr>
            <w:r>
              <w:rPr>
                <w:sz w:val="20"/>
              </w:rPr>
              <w:t xml:space="preserve">7,02</w:t>
            </w:r>
          </w:p>
        </w:tc>
        <w:tc>
          <w:tcPr>
            <w:tcW w:w="2098" w:type="dxa"/>
          </w:tcPr>
          <w:p>
            <w:pPr>
              <w:pStyle w:val="0"/>
              <w:jc w:val="center"/>
            </w:pPr>
            <w:r>
              <w:rPr>
                <w:sz w:val="20"/>
              </w:rPr>
              <w:t xml:space="preserve">364</w:t>
            </w:r>
          </w:p>
        </w:tc>
        <w:tc>
          <w:tcPr>
            <w:tcW w:w="2154" w:type="dxa"/>
          </w:tcPr>
          <w:p>
            <w:pPr>
              <w:pStyle w:val="0"/>
              <w:jc w:val="center"/>
            </w:pPr>
            <w:r>
              <w:rPr>
                <w:sz w:val="20"/>
              </w:rPr>
              <w:t xml:space="preserve">7,02</w:t>
            </w:r>
          </w:p>
        </w:tc>
      </w:tr>
      <w:tr>
        <w:tc>
          <w:tcPr>
            <w:tcW w:w="567" w:type="dxa"/>
          </w:tcPr>
          <w:p>
            <w:pPr>
              <w:pStyle w:val="0"/>
              <w:jc w:val="both"/>
            </w:pPr>
            <w:r>
              <w:rPr>
                <w:sz w:val="20"/>
              </w:rPr>
              <w:t xml:space="preserve">5</w:t>
            </w:r>
          </w:p>
        </w:tc>
        <w:tc>
          <w:tcPr>
            <w:tcW w:w="3175" w:type="dxa"/>
          </w:tcPr>
          <w:p>
            <w:pPr>
              <w:pStyle w:val="0"/>
              <w:jc w:val="both"/>
            </w:pPr>
            <w:r>
              <w:rPr>
                <w:sz w:val="20"/>
              </w:rPr>
              <w:t xml:space="preserve">Онкологический диспансер</w:t>
            </w:r>
          </w:p>
        </w:tc>
        <w:tc>
          <w:tcPr>
            <w:vMerge w:val="continue"/>
          </w:tcPr>
          <w:p/>
        </w:tc>
        <w:tc>
          <w:tcPr>
            <w:tcW w:w="1814" w:type="dxa"/>
          </w:tcPr>
          <w:p>
            <w:pPr>
              <w:pStyle w:val="0"/>
              <w:jc w:val="center"/>
            </w:pPr>
            <w:r>
              <w:rPr>
                <w:sz w:val="20"/>
              </w:rPr>
              <w:t xml:space="preserve">246</w:t>
            </w:r>
          </w:p>
        </w:tc>
        <w:tc>
          <w:tcPr>
            <w:tcW w:w="2098" w:type="dxa"/>
          </w:tcPr>
          <w:p>
            <w:pPr>
              <w:pStyle w:val="0"/>
              <w:jc w:val="center"/>
            </w:pPr>
            <w:r>
              <w:rPr>
                <w:sz w:val="20"/>
              </w:rPr>
              <w:t xml:space="preserve">10,39</w:t>
            </w:r>
          </w:p>
        </w:tc>
        <w:tc>
          <w:tcPr>
            <w:tcW w:w="2098" w:type="dxa"/>
          </w:tcPr>
          <w:p>
            <w:pPr>
              <w:pStyle w:val="0"/>
              <w:jc w:val="center"/>
            </w:pPr>
            <w:r>
              <w:rPr>
                <w:sz w:val="20"/>
              </w:rPr>
              <w:t xml:space="preserve">246</w:t>
            </w:r>
          </w:p>
        </w:tc>
        <w:tc>
          <w:tcPr>
            <w:tcW w:w="2154" w:type="dxa"/>
          </w:tcPr>
          <w:p>
            <w:pPr>
              <w:pStyle w:val="0"/>
              <w:jc w:val="center"/>
            </w:pPr>
            <w:r>
              <w:rPr>
                <w:sz w:val="20"/>
              </w:rPr>
              <w:t xml:space="preserve">10,39</w:t>
            </w:r>
          </w:p>
        </w:tc>
      </w:tr>
      <w:tr>
        <w:tc>
          <w:tcPr>
            <w:tcW w:w="567" w:type="dxa"/>
          </w:tcPr>
          <w:p>
            <w:pPr>
              <w:pStyle w:val="0"/>
              <w:jc w:val="both"/>
            </w:pPr>
            <w:r>
              <w:rPr>
                <w:sz w:val="20"/>
              </w:rPr>
              <w:t xml:space="preserve">6</w:t>
            </w:r>
          </w:p>
        </w:tc>
        <w:tc>
          <w:tcPr>
            <w:tcW w:w="3175" w:type="dxa"/>
          </w:tcPr>
          <w:p>
            <w:pPr>
              <w:pStyle w:val="0"/>
              <w:jc w:val="both"/>
            </w:pPr>
            <w:r>
              <w:rPr>
                <w:sz w:val="20"/>
              </w:rPr>
              <w:t xml:space="preserve">Инфекционная больница</w:t>
            </w:r>
          </w:p>
        </w:tc>
        <w:tc>
          <w:tcPr>
            <w:vMerge w:val="continue"/>
          </w:tcPr>
          <w:p/>
        </w:tc>
        <w:tc>
          <w:tcPr>
            <w:tcW w:w="1814" w:type="dxa"/>
          </w:tcPr>
          <w:p>
            <w:pPr>
              <w:pStyle w:val="0"/>
              <w:jc w:val="center"/>
            </w:pPr>
            <w:r>
              <w:rPr>
                <w:sz w:val="20"/>
              </w:rPr>
              <w:t xml:space="preserve">365</w:t>
            </w:r>
          </w:p>
        </w:tc>
        <w:tc>
          <w:tcPr>
            <w:tcW w:w="2098" w:type="dxa"/>
          </w:tcPr>
          <w:p>
            <w:pPr>
              <w:pStyle w:val="0"/>
              <w:jc w:val="center"/>
            </w:pPr>
            <w:r>
              <w:rPr>
                <w:sz w:val="20"/>
              </w:rPr>
              <w:t xml:space="preserve">7,77</w:t>
            </w:r>
          </w:p>
        </w:tc>
        <w:tc>
          <w:tcPr>
            <w:tcW w:w="2098" w:type="dxa"/>
          </w:tcPr>
          <w:p>
            <w:pPr>
              <w:pStyle w:val="0"/>
              <w:jc w:val="center"/>
            </w:pPr>
            <w:r>
              <w:rPr>
                <w:sz w:val="20"/>
              </w:rPr>
              <w:t xml:space="preserve">300</w:t>
            </w:r>
          </w:p>
        </w:tc>
        <w:tc>
          <w:tcPr>
            <w:tcW w:w="2154" w:type="dxa"/>
          </w:tcPr>
          <w:p>
            <w:pPr>
              <w:pStyle w:val="0"/>
              <w:jc w:val="center"/>
            </w:pPr>
            <w:r>
              <w:rPr>
                <w:sz w:val="20"/>
              </w:rPr>
              <w:t xml:space="preserve">7,77</w:t>
            </w:r>
          </w:p>
        </w:tc>
      </w:tr>
      <w:tr>
        <w:tc>
          <w:tcPr>
            <w:tcW w:w="567" w:type="dxa"/>
          </w:tcPr>
          <w:p>
            <w:pPr>
              <w:pStyle w:val="0"/>
              <w:jc w:val="both"/>
            </w:pPr>
            <w:r>
              <w:rPr>
                <w:sz w:val="20"/>
              </w:rPr>
              <w:t xml:space="preserve">7</w:t>
            </w:r>
          </w:p>
        </w:tc>
        <w:tc>
          <w:tcPr>
            <w:tcW w:w="3175" w:type="dxa"/>
          </w:tcPr>
          <w:p>
            <w:pPr>
              <w:pStyle w:val="0"/>
              <w:jc w:val="both"/>
            </w:pPr>
            <w:r>
              <w:rPr>
                <w:sz w:val="20"/>
              </w:rPr>
              <w:t xml:space="preserve">Психиатрическая больница</w:t>
            </w:r>
          </w:p>
        </w:tc>
        <w:tc>
          <w:tcPr>
            <w:vMerge w:val="continue"/>
          </w:tcPr>
          <w:p/>
        </w:tc>
        <w:tc>
          <w:tcPr>
            <w:tcW w:w="1814" w:type="dxa"/>
          </w:tcPr>
          <w:p>
            <w:pPr>
              <w:pStyle w:val="0"/>
              <w:jc w:val="center"/>
            </w:pPr>
            <w:r>
              <w:rPr>
                <w:sz w:val="20"/>
              </w:rPr>
              <w:t xml:space="preserve">248</w:t>
            </w:r>
          </w:p>
        </w:tc>
        <w:tc>
          <w:tcPr>
            <w:tcW w:w="2098" w:type="dxa"/>
          </w:tcPr>
          <w:p>
            <w:pPr>
              <w:pStyle w:val="0"/>
              <w:jc w:val="center"/>
            </w:pPr>
            <w:r>
              <w:rPr>
                <w:sz w:val="20"/>
              </w:rPr>
              <w:t xml:space="preserve">4,53</w:t>
            </w:r>
          </w:p>
        </w:tc>
        <w:tc>
          <w:tcPr>
            <w:tcW w:w="2098" w:type="dxa"/>
          </w:tcPr>
          <w:p>
            <w:pPr>
              <w:pStyle w:val="0"/>
              <w:jc w:val="center"/>
            </w:pPr>
            <w:r>
              <w:rPr>
                <w:sz w:val="20"/>
              </w:rPr>
              <w:t xml:space="preserve">248</w:t>
            </w:r>
          </w:p>
        </w:tc>
        <w:tc>
          <w:tcPr>
            <w:tcW w:w="2154" w:type="dxa"/>
          </w:tcPr>
          <w:p>
            <w:pPr>
              <w:pStyle w:val="0"/>
              <w:jc w:val="center"/>
            </w:pPr>
            <w:r>
              <w:rPr>
                <w:sz w:val="20"/>
              </w:rPr>
              <w:t xml:space="preserve">4,53</w:t>
            </w:r>
          </w:p>
        </w:tc>
      </w:tr>
      <w:tr>
        <w:tc>
          <w:tcPr>
            <w:tcW w:w="567" w:type="dxa"/>
          </w:tcPr>
          <w:p>
            <w:pPr>
              <w:pStyle w:val="0"/>
              <w:jc w:val="both"/>
            </w:pPr>
            <w:r>
              <w:rPr>
                <w:sz w:val="20"/>
              </w:rPr>
              <w:t xml:space="preserve">8</w:t>
            </w:r>
          </w:p>
        </w:tc>
        <w:tc>
          <w:tcPr>
            <w:tcW w:w="3175" w:type="dxa"/>
          </w:tcPr>
          <w:p>
            <w:pPr>
              <w:pStyle w:val="0"/>
              <w:jc w:val="both"/>
            </w:pPr>
            <w:r>
              <w:rPr>
                <w:sz w:val="20"/>
              </w:rPr>
              <w:t xml:space="preserve">ЦЛФИМП</w:t>
            </w:r>
          </w:p>
        </w:tc>
        <w:tc>
          <w:tcPr>
            <w:vMerge w:val="continue"/>
          </w:tcPr>
          <w:p/>
        </w:tc>
        <w:tc>
          <w:tcPr>
            <w:tcW w:w="1814" w:type="dxa"/>
          </w:tcPr>
          <w:p>
            <w:pPr>
              <w:pStyle w:val="0"/>
              <w:jc w:val="center"/>
            </w:pPr>
            <w:r>
              <w:rPr>
                <w:sz w:val="20"/>
              </w:rPr>
              <w:t xml:space="preserve">247</w:t>
            </w:r>
          </w:p>
        </w:tc>
        <w:tc>
          <w:tcPr>
            <w:tcW w:w="2098" w:type="dxa"/>
          </w:tcPr>
          <w:p>
            <w:pPr>
              <w:pStyle w:val="0"/>
              <w:jc w:val="center"/>
            </w:pPr>
            <w:r>
              <w:rPr>
                <w:sz w:val="20"/>
              </w:rPr>
              <w:t xml:space="preserve">24,12</w:t>
            </w:r>
          </w:p>
        </w:tc>
        <w:tc>
          <w:tcPr>
            <w:tcW w:w="2098" w:type="dxa"/>
          </w:tcPr>
          <w:p>
            <w:pPr>
              <w:pStyle w:val="0"/>
              <w:jc w:val="center"/>
            </w:pPr>
            <w:r>
              <w:rPr>
                <w:sz w:val="20"/>
              </w:rPr>
              <w:t xml:space="preserve">247</w:t>
            </w:r>
          </w:p>
        </w:tc>
        <w:tc>
          <w:tcPr>
            <w:tcW w:w="2154" w:type="dxa"/>
          </w:tcPr>
          <w:p>
            <w:pPr>
              <w:pStyle w:val="0"/>
              <w:jc w:val="center"/>
            </w:pPr>
            <w:r>
              <w:rPr>
                <w:sz w:val="20"/>
              </w:rPr>
              <w:t xml:space="preserve">24,12</w:t>
            </w:r>
          </w:p>
        </w:tc>
      </w:tr>
      <w:tr>
        <w:tc>
          <w:tcPr>
            <w:tcW w:w="567" w:type="dxa"/>
          </w:tcPr>
          <w:p>
            <w:pPr>
              <w:pStyle w:val="0"/>
              <w:jc w:val="both"/>
            </w:pPr>
            <w:r>
              <w:rPr>
                <w:sz w:val="20"/>
              </w:rPr>
              <w:t xml:space="preserve">9</w:t>
            </w:r>
          </w:p>
        </w:tc>
        <w:tc>
          <w:tcPr>
            <w:tcW w:w="3175" w:type="dxa"/>
          </w:tcPr>
          <w:p>
            <w:pPr>
              <w:pStyle w:val="0"/>
              <w:jc w:val="both"/>
            </w:pPr>
            <w:r>
              <w:rPr>
                <w:sz w:val="20"/>
              </w:rPr>
              <w:t xml:space="preserve">Городская больница N 1</w:t>
            </w:r>
          </w:p>
        </w:tc>
        <w:tc>
          <w:tcPr>
            <w:tcW w:w="1701" w:type="dxa"/>
            <w:vMerge w:val="restart"/>
          </w:tcPr>
          <w:p>
            <w:pPr>
              <w:pStyle w:val="0"/>
              <w:jc w:val="both"/>
            </w:pPr>
            <w:r>
              <w:rPr>
                <w:sz w:val="20"/>
              </w:rPr>
              <w:t xml:space="preserve">Ангиограф</w:t>
            </w:r>
          </w:p>
        </w:tc>
        <w:tc>
          <w:tcPr>
            <w:tcW w:w="1814" w:type="dxa"/>
          </w:tcPr>
          <w:p>
            <w:pPr>
              <w:pStyle w:val="0"/>
              <w:jc w:val="center"/>
            </w:pPr>
            <w:r>
              <w:rPr>
                <w:sz w:val="20"/>
              </w:rPr>
              <w:t xml:space="preserve">246</w:t>
            </w:r>
          </w:p>
        </w:tc>
        <w:tc>
          <w:tcPr>
            <w:tcW w:w="2098" w:type="dxa"/>
          </w:tcPr>
          <w:p>
            <w:pPr>
              <w:pStyle w:val="0"/>
              <w:jc w:val="center"/>
            </w:pPr>
            <w:r>
              <w:rPr>
                <w:sz w:val="20"/>
              </w:rPr>
              <w:t xml:space="preserve">9,43</w:t>
            </w:r>
          </w:p>
        </w:tc>
        <w:tc>
          <w:tcPr>
            <w:tcW w:w="2098" w:type="dxa"/>
          </w:tcPr>
          <w:p>
            <w:pPr>
              <w:pStyle w:val="0"/>
              <w:jc w:val="center"/>
            </w:pPr>
            <w:r>
              <w:rPr>
                <w:sz w:val="20"/>
              </w:rPr>
              <w:t xml:space="preserve">246</w:t>
            </w:r>
          </w:p>
        </w:tc>
        <w:tc>
          <w:tcPr>
            <w:tcW w:w="2154" w:type="dxa"/>
          </w:tcPr>
          <w:p>
            <w:pPr>
              <w:pStyle w:val="0"/>
              <w:jc w:val="center"/>
            </w:pPr>
            <w:r>
              <w:rPr>
                <w:sz w:val="20"/>
              </w:rPr>
              <w:t xml:space="preserve">9,43</w:t>
            </w:r>
          </w:p>
        </w:tc>
      </w:tr>
      <w:tr>
        <w:tc>
          <w:tcPr>
            <w:tcW w:w="567" w:type="dxa"/>
          </w:tcPr>
          <w:p>
            <w:pPr>
              <w:pStyle w:val="0"/>
              <w:jc w:val="both"/>
            </w:pPr>
            <w:r>
              <w:rPr>
                <w:sz w:val="20"/>
              </w:rPr>
              <w:t xml:space="preserve">10</w:t>
            </w:r>
          </w:p>
        </w:tc>
        <w:tc>
          <w:tcPr>
            <w:tcW w:w="3175" w:type="dxa"/>
          </w:tcPr>
          <w:p>
            <w:pPr>
              <w:pStyle w:val="0"/>
              <w:jc w:val="both"/>
            </w:pPr>
            <w:r>
              <w:rPr>
                <w:sz w:val="20"/>
              </w:rPr>
              <w:t xml:space="preserve">Онкологический диспансер</w:t>
            </w:r>
          </w:p>
        </w:tc>
        <w:tc>
          <w:tcPr>
            <w:vMerge w:val="continue"/>
          </w:tcPr>
          <w:p/>
        </w:tc>
        <w:tc>
          <w:tcPr>
            <w:tcW w:w="1814" w:type="dxa"/>
          </w:tcPr>
          <w:p>
            <w:pPr>
              <w:pStyle w:val="0"/>
              <w:jc w:val="center"/>
            </w:pPr>
            <w:r>
              <w:rPr>
                <w:sz w:val="20"/>
              </w:rPr>
              <w:t xml:space="preserve">245</w:t>
            </w:r>
          </w:p>
        </w:tc>
        <w:tc>
          <w:tcPr>
            <w:tcW w:w="2098" w:type="dxa"/>
          </w:tcPr>
          <w:p>
            <w:pPr>
              <w:pStyle w:val="0"/>
              <w:jc w:val="center"/>
            </w:pPr>
            <w:r>
              <w:rPr>
                <w:sz w:val="20"/>
              </w:rPr>
              <w:t xml:space="preserve">0,05</w:t>
            </w:r>
          </w:p>
        </w:tc>
        <w:tc>
          <w:tcPr>
            <w:tcW w:w="2098" w:type="dxa"/>
          </w:tcPr>
          <w:p>
            <w:pPr>
              <w:pStyle w:val="0"/>
              <w:jc w:val="center"/>
            </w:pPr>
            <w:r>
              <w:rPr>
                <w:sz w:val="20"/>
              </w:rPr>
              <w:t xml:space="preserve">100</w:t>
            </w:r>
          </w:p>
        </w:tc>
        <w:tc>
          <w:tcPr>
            <w:tcW w:w="2154" w:type="dxa"/>
          </w:tcPr>
          <w:p>
            <w:pPr>
              <w:pStyle w:val="0"/>
              <w:jc w:val="center"/>
            </w:pPr>
            <w:r>
              <w:rPr>
                <w:sz w:val="20"/>
              </w:rPr>
              <w:t xml:space="preserve">0,13</w:t>
            </w:r>
          </w:p>
        </w:tc>
      </w:tr>
      <w:tr>
        <w:tc>
          <w:tcPr>
            <w:tcW w:w="567" w:type="dxa"/>
          </w:tcPr>
          <w:p>
            <w:pPr>
              <w:pStyle w:val="0"/>
              <w:jc w:val="both"/>
            </w:pPr>
            <w:r>
              <w:rPr>
                <w:sz w:val="20"/>
              </w:rPr>
              <w:t xml:space="preserve">11</w:t>
            </w:r>
          </w:p>
        </w:tc>
        <w:tc>
          <w:tcPr>
            <w:tcW w:w="3175" w:type="dxa"/>
          </w:tcPr>
          <w:p>
            <w:pPr>
              <w:pStyle w:val="0"/>
              <w:jc w:val="both"/>
            </w:pPr>
            <w:r>
              <w:rPr>
                <w:sz w:val="20"/>
              </w:rPr>
              <w:t xml:space="preserve">Итого</w:t>
            </w:r>
          </w:p>
        </w:tc>
        <w:tc>
          <w:tcPr>
            <w:vMerge w:val="continue"/>
          </w:tcPr>
          <w:p/>
        </w:tc>
        <w:tc>
          <w:tcPr>
            <w:tcW w:w="1814" w:type="dxa"/>
          </w:tcPr>
          <w:p>
            <w:pPr>
              <w:pStyle w:val="0"/>
              <w:jc w:val="center"/>
            </w:pPr>
            <w:r>
              <w:rPr>
                <w:sz w:val="20"/>
              </w:rPr>
              <w:t xml:space="preserve">223</w:t>
            </w:r>
          </w:p>
        </w:tc>
        <w:tc>
          <w:tcPr>
            <w:tcW w:w="2098" w:type="dxa"/>
          </w:tcPr>
          <w:p>
            <w:pPr>
              <w:pStyle w:val="0"/>
              <w:jc w:val="center"/>
            </w:pPr>
            <w:r>
              <w:rPr>
                <w:sz w:val="20"/>
              </w:rPr>
              <w:t xml:space="preserve">9,5</w:t>
            </w:r>
          </w:p>
        </w:tc>
        <w:tc>
          <w:tcPr>
            <w:tcW w:w="2098" w:type="dxa"/>
          </w:tcPr>
          <w:p>
            <w:pPr>
              <w:pStyle w:val="0"/>
              <w:jc w:val="center"/>
            </w:pPr>
            <w:r>
              <w:rPr>
                <w:sz w:val="20"/>
              </w:rPr>
              <w:t xml:space="preserve">173</w:t>
            </w:r>
          </w:p>
        </w:tc>
        <w:tc>
          <w:tcPr>
            <w:tcW w:w="2154" w:type="dxa"/>
          </w:tcPr>
          <w:p>
            <w:pPr>
              <w:pStyle w:val="0"/>
              <w:jc w:val="center"/>
            </w:pPr>
            <w:r>
              <w:rPr>
                <w:sz w:val="20"/>
              </w:rPr>
              <w:t xml:space="preserve">6,74</w:t>
            </w:r>
          </w:p>
        </w:tc>
      </w:tr>
      <w:tr>
        <w:tc>
          <w:tcPr>
            <w:tcW w:w="567" w:type="dxa"/>
          </w:tcPr>
          <w:p>
            <w:pPr>
              <w:pStyle w:val="0"/>
              <w:jc w:val="both"/>
            </w:pPr>
            <w:r>
              <w:rPr>
                <w:sz w:val="20"/>
              </w:rPr>
              <w:t xml:space="preserve">12</w:t>
            </w:r>
          </w:p>
        </w:tc>
        <w:tc>
          <w:tcPr>
            <w:tcW w:w="3175" w:type="dxa"/>
          </w:tcPr>
          <w:p>
            <w:pPr>
              <w:pStyle w:val="0"/>
              <w:jc w:val="both"/>
            </w:pPr>
            <w:r>
              <w:rPr>
                <w:sz w:val="20"/>
              </w:rPr>
              <w:t xml:space="preserve">Городская больница N 5</w:t>
            </w:r>
          </w:p>
        </w:tc>
        <w:tc>
          <w:tcPr>
            <w:tcW w:w="1701" w:type="dxa"/>
            <w:vMerge w:val="restart"/>
          </w:tcPr>
          <w:p>
            <w:pPr>
              <w:pStyle w:val="0"/>
              <w:jc w:val="both"/>
            </w:pPr>
            <w:r>
              <w:rPr>
                <w:sz w:val="20"/>
              </w:rPr>
              <w:t xml:space="preserve">МРТ</w:t>
            </w:r>
          </w:p>
        </w:tc>
        <w:tc>
          <w:tcPr>
            <w:tcW w:w="1814" w:type="dxa"/>
          </w:tcPr>
          <w:p>
            <w:pPr>
              <w:pStyle w:val="0"/>
              <w:jc w:val="center"/>
            </w:pPr>
            <w:r>
              <w:rPr>
                <w:sz w:val="20"/>
              </w:rPr>
              <w:t xml:space="preserve">255</w:t>
            </w:r>
          </w:p>
        </w:tc>
        <w:tc>
          <w:tcPr>
            <w:tcW w:w="2098" w:type="dxa"/>
          </w:tcPr>
          <w:p>
            <w:pPr>
              <w:pStyle w:val="0"/>
              <w:jc w:val="center"/>
            </w:pPr>
            <w:r>
              <w:rPr>
                <w:sz w:val="20"/>
              </w:rPr>
              <w:t xml:space="preserve">6,93</w:t>
            </w:r>
          </w:p>
        </w:tc>
        <w:tc>
          <w:tcPr>
            <w:tcW w:w="2098" w:type="dxa"/>
          </w:tcPr>
          <w:p>
            <w:pPr>
              <w:pStyle w:val="0"/>
              <w:jc w:val="center"/>
            </w:pPr>
            <w:r>
              <w:rPr>
                <w:sz w:val="20"/>
              </w:rPr>
              <w:t xml:space="preserve">255</w:t>
            </w:r>
          </w:p>
        </w:tc>
        <w:tc>
          <w:tcPr>
            <w:tcW w:w="2154" w:type="dxa"/>
          </w:tcPr>
          <w:p>
            <w:pPr>
              <w:pStyle w:val="0"/>
              <w:jc w:val="center"/>
            </w:pPr>
            <w:r>
              <w:rPr>
                <w:sz w:val="20"/>
              </w:rPr>
              <w:t xml:space="preserve">6,93</w:t>
            </w:r>
          </w:p>
        </w:tc>
      </w:tr>
      <w:tr>
        <w:tc>
          <w:tcPr>
            <w:tcW w:w="567" w:type="dxa"/>
          </w:tcPr>
          <w:p>
            <w:pPr>
              <w:pStyle w:val="0"/>
              <w:jc w:val="both"/>
            </w:pPr>
            <w:r>
              <w:rPr>
                <w:sz w:val="20"/>
              </w:rPr>
              <w:t xml:space="preserve">13</w:t>
            </w:r>
          </w:p>
        </w:tc>
        <w:tc>
          <w:tcPr>
            <w:tcW w:w="3175" w:type="dxa"/>
          </w:tcPr>
          <w:p>
            <w:pPr>
              <w:pStyle w:val="0"/>
              <w:jc w:val="both"/>
            </w:pPr>
            <w:r>
              <w:rPr>
                <w:sz w:val="20"/>
              </w:rPr>
              <w:t xml:space="preserve">Городская больница N 1</w:t>
            </w:r>
          </w:p>
        </w:tc>
        <w:tc>
          <w:tcPr>
            <w:vMerge w:val="continue"/>
          </w:tcPr>
          <w:p/>
        </w:tc>
        <w:tc>
          <w:tcPr>
            <w:tcW w:w="1814" w:type="dxa"/>
          </w:tcPr>
          <w:p>
            <w:pPr>
              <w:pStyle w:val="0"/>
              <w:jc w:val="center"/>
            </w:pPr>
            <w:r>
              <w:rPr>
                <w:sz w:val="20"/>
              </w:rPr>
              <w:t xml:space="preserve">365</w:t>
            </w:r>
          </w:p>
        </w:tc>
        <w:tc>
          <w:tcPr>
            <w:tcW w:w="2098" w:type="dxa"/>
          </w:tcPr>
          <w:p>
            <w:pPr>
              <w:pStyle w:val="0"/>
              <w:jc w:val="center"/>
            </w:pPr>
            <w:r>
              <w:rPr>
                <w:sz w:val="20"/>
              </w:rPr>
              <w:t xml:space="preserve">11,55</w:t>
            </w:r>
          </w:p>
        </w:tc>
        <w:tc>
          <w:tcPr>
            <w:tcW w:w="2098" w:type="dxa"/>
          </w:tcPr>
          <w:p>
            <w:pPr>
              <w:pStyle w:val="0"/>
              <w:jc w:val="center"/>
            </w:pPr>
            <w:r>
              <w:rPr>
                <w:sz w:val="20"/>
              </w:rPr>
              <w:t xml:space="preserve">356</w:t>
            </w:r>
          </w:p>
        </w:tc>
        <w:tc>
          <w:tcPr>
            <w:tcW w:w="2154" w:type="dxa"/>
          </w:tcPr>
          <w:p>
            <w:pPr>
              <w:pStyle w:val="0"/>
              <w:jc w:val="center"/>
            </w:pPr>
            <w:r>
              <w:rPr>
                <w:sz w:val="20"/>
              </w:rPr>
              <w:t xml:space="preserve">11,84</w:t>
            </w:r>
          </w:p>
        </w:tc>
      </w:tr>
      <w:tr>
        <w:tc>
          <w:tcPr>
            <w:tcW w:w="567" w:type="dxa"/>
          </w:tcPr>
          <w:p>
            <w:pPr>
              <w:pStyle w:val="0"/>
              <w:jc w:val="both"/>
            </w:pPr>
            <w:r>
              <w:rPr>
                <w:sz w:val="20"/>
              </w:rPr>
              <w:t xml:space="preserve">14</w:t>
            </w:r>
          </w:p>
        </w:tc>
        <w:tc>
          <w:tcPr>
            <w:tcW w:w="3175" w:type="dxa"/>
          </w:tcPr>
          <w:p>
            <w:pPr>
              <w:pStyle w:val="0"/>
              <w:jc w:val="both"/>
            </w:pPr>
            <w:r>
              <w:rPr>
                <w:sz w:val="20"/>
              </w:rPr>
              <w:t xml:space="preserve">Онкологический диспансер</w:t>
            </w:r>
          </w:p>
        </w:tc>
        <w:tc>
          <w:tcPr>
            <w:vMerge w:val="continue"/>
          </w:tcPr>
          <w:p/>
        </w:tc>
        <w:tc>
          <w:tcPr>
            <w:tcW w:w="1814" w:type="dxa"/>
          </w:tcPr>
          <w:p>
            <w:pPr>
              <w:pStyle w:val="0"/>
              <w:jc w:val="center"/>
            </w:pPr>
            <w:r>
              <w:rPr>
                <w:sz w:val="20"/>
              </w:rPr>
              <w:t xml:space="preserve">245</w:t>
            </w:r>
          </w:p>
        </w:tc>
        <w:tc>
          <w:tcPr>
            <w:tcW w:w="2098" w:type="dxa"/>
          </w:tcPr>
          <w:p>
            <w:pPr>
              <w:pStyle w:val="0"/>
              <w:jc w:val="center"/>
            </w:pPr>
            <w:r>
              <w:rPr>
                <w:sz w:val="20"/>
              </w:rPr>
              <w:t xml:space="preserve">4,29</w:t>
            </w:r>
          </w:p>
        </w:tc>
        <w:tc>
          <w:tcPr>
            <w:tcW w:w="2098" w:type="dxa"/>
          </w:tcPr>
          <w:p>
            <w:pPr>
              <w:pStyle w:val="0"/>
              <w:jc w:val="center"/>
            </w:pPr>
            <w:r>
              <w:rPr>
                <w:sz w:val="20"/>
              </w:rPr>
              <w:t xml:space="preserve">144</w:t>
            </w:r>
          </w:p>
        </w:tc>
        <w:tc>
          <w:tcPr>
            <w:tcW w:w="2154" w:type="dxa"/>
          </w:tcPr>
          <w:p>
            <w:pPr>
              <w:pStyle w:val="0"/>
              <w:jc w:val="center"/>
            </w:pPr>
            <w:r>
              <w:rPr>
                <w:sz w:val="20"/>
              </w:rPr>
              <w:t xml:space="preserve">7,29</w:t>
            </w:r>
          </w:p>
        </w:tc>
      </w:tr>
      <w:tr>
        <w:tc>
          <w:tcPr>
            <w:tcW w:w="567" w:type="dxa"/>
          </w:tcPr>
          <w:p>
            <w:pPr>
              <w:pStyle w:val="0"/>
              <w:jc w:val="both"/>
            </w:pPr>
            <w:r>
              <w:rPr>
                <w:sz w:val="20"/>
              </w:rPr>
              <w:t xml:space="preserve">15</w:t>
            </w:r>
          </w:p>
        </w:tc>
        <w:tc>
          <w:tcPr>
            <w:tcW w:w="3175" w:type="dxa"/>
          </w:tcPr>
          <w:p>
            <w:pPr>
              <w:pStyle w:val="0"/>
              <w:jc w:val="both"/>
            </w:pPr>
            <w:r>
              <w:rPr>
                <w:sz w:val="20"/>
              </w:rPr>
              <w:t xml:space="preserve">Итого</w:t>
            </w:r>
          </w:p>
        </w:tc>
        <w:tc>
          <w:tcPr>
            <w:vMerge w:val="continue"/>
          </w:tcPr>
          <w:p/>
        </w:tc>
        <w:tc>
          <w:tcPr>
            <w:tcW w:w="1814" w:type="dxa"/>
          </w:tcPr>
          <w:p>
            <w:pPr>
              <w:pStyle w:val="0"/>
              <w:jc w:val="center"/>
            </w:pPr>
            <w:r>
              <w:rPr>
                <w:sz w:val="20"/>
              </w:rPr>
              <w:t xml:space="preserve">308</w:t>
            </w:r>
          </w:p>
        </w:tc>
        <w:tc>
          <w:tcPr>
            <w:tcW w:w="2098" w:type="dxa"/>
          </w:tcPr>
          <w:p>
            <w:pPr>
              <w:pStyle w:val="0"/>
              <w:jc w:val="center"/>
            </w:pPr>
            <w:r>
              <w:rPr>
                <w:sz w:val="20"/>
              </w:rPr>
              <w:t xml:space="preserve">7,4</w:t>
            </w:r>
          </w:p>
        </w:tc>
        <w:tc>
          <w:tcPr>
            <w:tcW w:w="2098" w:type="dxa"/>
          </w:tcPr>
          <w:p>
            <w:pPr>
              <w:pStyle w:val="0"/>
              <w:jc w:val="center"/>
            </w:pPr>
            <w:r>
              <w:rPr>
                <w:sz w:val="20"/>
              </w:rPr>
              <w:t xml:space="preserve">212</w:t>
            </w:r>
          </w:p>
        </w:tc>
        <w:tc>
          <w:tcPr>
            <w:tcW w:w="2154" w:type="dxa"/>
          </w:tcPr>
          <w:p>
            <w:pPr>
              <w:pStyle w:val="0"/>
              <w:jc w:val="center"/>
            </w:pPr>
            <w:r>
              <w:rPr>
                <w:sz w:val="20"/>
              </w:rPr>
              <w:t xml:space="preserve">10,76</w:t>
            </w:r>
          </w:p>
        </w:tc>
      </w:tr>
      <w:tr>
        <w:tc>
          <w:tcPr>
            <w:tcW w:w="567" w:type="dxa"/>
          </w:tcPr>
          <w:p>
            <w:pPr>
              <w:pStyle w:val="0"/>
              <w:jc w:val="both"/>
            </w:pPr>
            <w:r>
              <w:rPr>
                <w:sz w:val="20"/>
              </w:rPr>
              <w:t xml:space="preserve">16</w:t>
            </w:r>
          </w:p>
        </w:tc>
        <w:tc>
          <w:tcPr>
            <w:tcW w:w="3175" w:type="dxa"/>
          </w:tcPr>
          <w:p>
            <w:pPr>
              <w:pStyle w:val="0"/>
              <w:jc w:val="both"/>
            </w:pPr>
            <w:r>
              <w:rPr>
                <w:sz w:val="20"/>
              </w:rPr>
              <w:t xml:space="preserve">Городская больница N 1</w:t>
            </w:r>
          </w:p>
        </w:tc>
        <w:tc>
          <w:tcPr>
            <w:tcW w:w="1701" w:type="dxa"/>
            <w:vMerge w:val="restart"/>
          </w:tcPr>
          <w:p>
            <w:pPr>
              <w:pStyle w:val="0"/>
              <w:jc w:val="both"/>
            </w:pPr>
            <w:r>
              <w:rPr>
                <w:sz w:val="20"/>
              </w:rPr>
              <w:t xml:space="preserve">КТ</w:t>
            </w:r>
          </w:p>
        </w:tc>
        <w:tc>
          <w:tcPr>
            <w:tcW w:w="1814" w:type="dxa"/>
          </w:tcPr>
          <w:p>
            <w:pPr>
              <w:pStyle w:val="0"/>
              <w:jc w:val="center"/>
            </w:pPr>
            <w:r>
              <w:rPr>
                <w:sz w:val="20"/>
              </w:rPr>
              <w:t xml:space="preserve">365</w:t>
            </w:r>
          </w:p>
        </w:tc>
        <w:tc>
          <w:tcPr>
            <w:tcW w:w="2098" w:type="dxa"/>
          </w:tcPr>
          <w:p>
            <w:pPr>
              <w:pStyle w:val="0"/>
              <w:jc w:val="center"/>
            </w:pPr>
            <w:r>
              <w:rPr>
                <w:sz w:val="20"/>
              </w:rPr>
              <w:t xml:space="preserve">43,22</w:t>
            </w:r>
          </w:p>
        </w:tc>
        <w:tc>
          <w:tcPr>
            <w:tcW w:w="2098" w:type="dxa"/>
          </w:tcPr>
          <w:p>
            <w:pPr>
              <w:pStyle w:val="0"/>
              <w:jc w:val="center"/>
            </w:pPr>
            <w:r>
              <w:rPr>
                <w:sz w:val="20"/>
              </w:rPr>
              <w:t xml:space="preserve">365</w:t>
            </w:r>
          </w:p>
        </w:tc>
        <w:tc>
          <w:tcPr>
            <w:tcW w:w="2154" w:type="dxa"/>
          </w:tcPr>
          <w:p>
            <w:pPr>
              <w:pStyle w:val="0"/>
              <w:jc w:val="center"/>
            </w:pPr>
            <w:r>
              <w:rPr>
                <w:sz w:val="20"/>
              </w:rPr>
              <w:t xml:space="preserve">43,22</w:t>
            </w:r>
          </w:p>
        </w:tc>
      </w:tr>
      <w:tr>
        <w:tc>
          <w:tcPr>
            <w:tcW w:w="567" w:type="dxa"/>
          </w:tcPr>
          <w:p>
            <w:pPr>
              <w:pStyle w:val="0"/>
              <w:jc w:val="both"/>
            </w:pPr>
            <w:r>
              <w:rPr>
                <w:sz w:val="20"/>
              </w:rPr>
              <w:t xml:space="preserve">17</w:t>
            </w:r>
          </w:p>
        </w:tc>
        <w:tc>
          <w:tcPr>
            <w:tcW w:w="3175" w:type="dxa"/>
          </w:tcPr>
          <w:p>
            <w:pPr>
              <w:pStyle w:val="0"/>
              <w:jc w:val="both"/>
            </w:pPr>
            <w:r>
              <w:rPr>
                <w:sz w:val="20"/>
              </w:rPr>
              <w:t xml:space="preserve">Городская больница N 4</w:t>
            </w:r>
          </w:p>
        </w:tc>
        <w:tc>
          <w:tcPr>
            <w:vMerge w:val="continue"/>
          </w:tcPr>
          <w:p/>
        </w:tc>
        <w:tc>
          <w:tcPr>
            <w:tcW w:w="1814" w:type="dxa"/>
          </w:tcPr>
          <w:p>
            <w:pPr>
              <w:pStyle w:val="0"/>
              <w:jc w:val="center"/>
            </w:pPr>
            <w:r>
              <w:rPr>
                <w:sz w:val="20"/>
              </w:rPr>
              <w:t xml:space="preserve">365</w:t>
            </w:r>
          </w:p>
        </w:tc>
        <w:tc>
          <w:tcPr>
            <w:tcW w:w="2098" w:type="dxa"/>
          </w:tcPr>
          <w:p>
            <w:pPr>
              <w:pStyle w:val="0"/>
              <w:jc w:val="center"/>
            </w:pPr>
            <w:r>
              <w:rPr>
                <w:sz w:val="20"/>
              </w:rPr>
              <w:t xml:space="preserve">17,43</w:t>
            </w:r>
          </w:p>
        </w:tc>
        <w:tc>
          <w:tcPr>
            <w:tcW w:w="2098" w:type="dxa"/>
          </w:tcPr>
          <w:p>
            <w:pPr>
              <w:pStyle w:val="0"/>
              <w:jc w:val="center"/>
            </w:pPr>
            <w:r>
              <w:rPr>
                <w:sz w:val="20"/>
              </w:rPr>
              <w:t xml:space="preserve">365</w:t>
            </w:r>
          </w:p>
        </w:tc>
        <w:tc>
          <w:tcPr>
            <w:tcW w:w="2154" w:type="dxa"/>
          </w:tcPr>
          <w:p>
            <w:pPr>
              <w:pStyle w:val="0"/>
              <w:jc w:val="center"/>
            </w:pPr>
            <w:r>
              <w:rPr>
                <w:sz w:val="20"/>
              </w:rPr>
              <w:t xml:space="preserve">17,43</w:t>
            </w:r>
          </w:p>
        </w:tc>
      </w:tr>
      <w:tr>
        <w:tc>
          <w:tcPr>
            <w:tcW w:w="567" w:type="dxa"/>
          </w:tcPr>
          <w:p>
            <w:pPr>
              <w:pStyle w:val="0"/>
              <w:jc w:val="both"/>
            </w:pPr>
            <w:r>
              <w:rPr>
                <w:sz w:val="20"/>
              </w:rPr>
              <w:t xml:space="preserve">18</w:t>
            </w:r>
          </w:p>
        </w:tc>
        <w:tc>
          <w:tcPr>
            <w:tcW w:w="3175" w:type="dxa"/>
          </w:tcPr>
          <w:p>
            <w:pPr>
              <w:pStyle w:val="0"/>
              <w:jc w:val="both"/>
            </w:pPr>
            <w:r>
              <w:rPr>
                <w:sz w:val="20"/>
              </w:rPr>
              <w:t xml:space="preserve">Онкологический диспансер</w:t>
            </w:r>
          </w:p>
        </w:tc>
        <w:tc>
          <w:tcPr>
            <w:vMerge w:val="continue"/>
          </w:tcPr>
          <w:p/>
        </w:tc>
        <w:tc>
          <w:tcPr>
            <w:tcW w:w="1814" w:type="dxa"/>
          </w:tcPr>
          <w:p>
            <w:pPr>
              <w:pStyle w:val="0"/>
              <w:jc w:val="center"/>
            </w:pPr>
            <w:r>
              <w:rPr>
                <w:sz w:val="20"/>
              </w:rPr>
              <w:t xml:space="preserve">245</w:t>
            </w:r>
          </w:p>
        </w:tc>
        <w:tc>
          <w:tcPr>
            <w:tcW w:w="2098" w:type="dxa"/>
          </w:tcPr>
          <w:p>
            <w:pPr>
              <w:pStyle w:val="0"/>
              <w:jc w:val="center"/>
            </w:pPr>
            <w:r>
              <w:rPr>
                <w:sz w:val="20"/>
              </w:rPr>
              <w:t xml:space="preserve">27,86</w:t>
            </w:r>
          </w:p>
        </w:tc>
        <w:tc>
          <w:tcPr>
            <w:tcW w:w="2098" w:type="dxa"/>
          </w:tcPr>
          <w:p>
            <w:pPr>
              <w:pStyle w:val="0"/>
              <w:jc w:val="center"/>
            </w:pPr>
            <w:r>
              <w:rPr>
                <w:sz w:val="20"/>
              </w:rPr>
              <w:t xml:space="preserve">236</w:t>
            </w:r>
          </w:p>
        </w:tc>
        <w:tc>
          <w:tcPr>
            <w:tcW w:w="2154" w:type="dxa"/>
          </w:tcPr>
          <w:p>
            <w:pPr>
              <w:pStyle w:val="0"/>
              <w:jc w:val="center"/>
            </w:pPr>
            <w:r>
              <w:rPr>
                <w:sz w:val="20"/>
              </w:rPr>
              <w:t xml:space="preserve">28,92</w:t>
            </w:r>
          </w:p>
        </w:tc>
      </w:tr>
      <w:tr>
        <w:tc>
          <w:tcPr>
            <w:tcW w:w="567" w:type="dxa"/>
          </w:tcPr>
          <w:p>
            <w:pPr>
              <w:pStyle w:val="0"/>
              <w:jc w:val="both"/>
            </w:pPr>
            <w:r>
              <w:rPr>
                <w:sz w:val="20"/>
              </w:rPr>
              <w:t xml:space="preserve">19</w:t>
            </w:r>
          </w:p>
        </w:tc>
        <w:tc>
          <w:tcPr>
            <w:tcW w:w="3175" w:type="dxa"/>
          </w:tcPr>
          <w:p>
            <w:pPr>
              <w:pStyle w:val="0"/>
              <w:jc w:val="both"/>
            </w:pPr>
            <w:r>
              <w:rPr>
                <w:sz w:val="20"/>
              </w:rPr>
              <w:t xml:space="preserve">Инфекционная больница</w:t>
            </w:r>
          </w:p>
        </w:tc>
        <w:tc>
          <w:tcPr>
            <w:vMerge w:val="continue"/>
          </w:tcPr>
          <w:p/>
        </w:tc>
        <w:tc>
          <w:tcPr>
            <w:tcW w:w="1814" w:type="dxa"/>
          </w:tcPr>
          <w:p>
            <w:pPr>
              <w:pStyle w:val="0"/>
              <w:jc w:val="center"/>
            </w:pPr>
            <w:r>
              <w:rPr>
                <w:sz w:val="20"/>
              </w:rPr>
              <w:t xml:space="preserve">365</w:t>
            </w:r>
          </w:p>
        </w:tc>
        <w:tc>
          <w:tcPr>
            <w:tcW w:w="2098" w:type="dxa"/>
          </w:tcPr>
          <w:p>
            <w:pPr>
              <w:pStyle w:val="0"/>
              <w:jc w:val="center"/>
            </w:pPr>
            <w:r>
              <w:rPr>
                <w:sz w:val="20"/>
              </w:rPr>
              <w:t xml:space="preserve">15,22</w:t>
            </w:r>
          </w:p>
        </w:tc>
        <w:tc>
          <w:tcPr>
            <w:tcW w:w="2098" w:type="dxa"/>
          </w:tcPr>
          <w:p>
            <w:pPr>
              <w:pStyle w:val="0"/>
              <w:jc w:val="center"/>
            </w:pPr>
            <w:r>
              <w:rPr>
                <w:sz w:val="20"/>
              </w:rPr>
              <w:t xml:space="preserve">365</w:t>
            </w:r>
          </w:p>
        </w:tc>
        <w:tc>
          <w:tcPr>
            <w:tcW w:w="2154" w:type="dxa"/>
          </w:tcPr>
          <w:p>
            <w:pPr>
              <w:pStyle w:val="0"/>
              <w:jc w:val="center"/>
            </w:pPr>
            <w:r>
              <w:rPr>
                <w:sz w:val="20"/>
              </w:rPr>
              <w:t xml:space="preserve">15,22</w:t>
            </w:r>
          </w:p>
        </w:tc>
      </w:tr>
      <w:tr>
        <w:tc>
          <w:tcPr>
            <w:tcW w:w="567" w:type="dxa"/>
          </w:tcPr>
          <w:p>
            <w:pPr>
              <w:pStyle w:val="0"/>
              <w:jc w:val="both"/>
            </w:pPr>
            <w:r>
              <w:rPr>
                <w:sz w:val="20"/>
              </w:rPr>
              <w:t xml:space="preserve">20</w:t>
            </w:r>
          </w:p>
        </w:tc>
        <w:tc>
          <w:tcPr>
            <w:tcW w:w="3175" w:type="dxa"/>
          </w:tcPr>
          <w:p>
            <w:pPr>
              <w:pStyle w:val="0"/>
              <w:jc w:val="both"/>
            </w:pPr>
            <w:r>
              <w:rPr>
                <w:sz w:val="20"/>
              </w:rPr>
              <w:t xml:space="preserve">Городская больница N 5</w:t>
            </w:r>
          </w:p>
        </w:tc>
        <w:tc>
          <w:tcPr>
            <w:vMerge w:val="continue"/>
          </w:tcPr>
          <w:p/>
        </w:tc>
        <w:tc>
          <w:tcPr>
            <w:tcW w:w="1814" w:type="dxa"/>
          </w:tcPr>
          <w:p>
            <w:pPr>
              <w:pStyle w:val="0"/>
              <w:jc w:val="center"/>
            </w:pPr>
            <w:r>
              <w:rPr>
                <w:sz w:val="20"/>
              </w:rPr>
              <w:t xml:space="preserve">365</w:t>
            </w:r>
          </w:p>
        </w:tc>
        <w:tc>
          <w:tcPr>
            <w:tcW w:w="2098" w:type="dxa"/>
          </w:tcPr>
          <w:p>
            <w:pPr>
              <w:pStyle w:val="0"/>
              <w:jc w:val="center"/>
            </w:pPr>
            <w:r>
              <w:rPr>
                <w:sz w:val="20"/>
              </w:rPr>
              <w:t xml:space="preserve">12,58</w:t>
            </w:r>
          </w:p>
        </w:tc>
        <w:tc>
          <w:tcPr>
            <w:tcW w:w="2098" w:type="dxa"/>
          </w:tcPr>
          <w:p>
            <w:pPr>
              <w:pStyle w:val="0"/>
              <w:jc w:val="center"/>
            </w:pPr>
            <w:r>
              <w:rPr>
                <w:sz w:val="20"/>
              </w:rPr>
              <w:t xml:space="preserve">365</w:t>
            </w:r>
          </w:p>
        </w:tc>
        <w:tc>
          <w:tcPr>
            <w:tcW w:w="2154" w:type="dxa"/>
          </w:tcPr>
          <w:p>
            <w:pPr>
              <w:pStyle w:val="0"/>
              <w:jc w:val="center"/>
            </w:pPr>
            <w:r>
              <w:rPr>
                <w:sz w:val="20"/>
              </w:rPr>
              <w:t xml:space="preserve">12,58</w:t>
            </w:r>
          </w:p>
        </w:tc>
      </w:tr>
      <w:tr>
        <w:tc>
          <w:tcPr>
            <w:tcW w:w="567" w:type="dxa"/>
          </w:tcPr>
          <w:p>
            <w:pPr>
              <w:pStyle w:val="0"/>
              <w:jc w:val="both"/>
            </w:pPr>
            <w:r>
              <w:rPr>
                <w:sz w:val="20"/>
              </w:rPr>
              <w:t xml:space="preserve">21</w:t>
            </w:r>
          </w:p>
        </w:tc>
        <w:tc>
          <w:tcPr>
            <w:tcW w:w="3175" w:type="dxa"/>
          </w:tcPr>
          <w:p>
            <w:pPr>
              <w:pStyle w:val="0"/>
              <w:jc w:val="both"/>
            </w:pPr>
            <w:r>
              <w:rPr>
                <w:sz w:val="20"/>
              </w:rPr>
              <w:t xml:space="preserve">Городская больница N 9</w:t>
            </w:r>
          </w:p>
        </w:tc>
        <w:tc>
          <w:tcPr>
            <w:vMerge w:val="continue"/>
          </w:tcPr>
          <w:p/>
        </w:tc>
        <w:tc>
          <w:tcPr>
            <w:tcW w:w="1814" w:type="dxa"/>
          </w:tcPr>
          <w:p>
            <w:pPr>
              <w:pStyle w:val="0"/>
              <w:jc w:val="center"/>
            </w:pPr>
            <w:r>
              <w:rPr>
                <w:sz w:val="20"/>
              </w:rPr>
              <w:t xml:space="preserve">365</w:t>
            </w:r>
          </w:p>
        </w:tc>
        <w:tc>
          <w:tcPr>
            <w:tcW w:w="2098" w:type="dxa"/>
          </w:tcPr>
          <w:p>
            <w:pPr>
              <w:pStyle w:val="0"/>
              <w:jc w:val="center"/>
            </w:pPr>
            <w:r>
              <w:rPr>
                <w:sz w:val="20"/>
              </w:rPr>
              <w:t xml:space="preserve">20,47</w:t>
            </w:r>
          </w:p>
        </w:tc>
        <w:tc>
          <w:tcPr>
            <w:tcW w:w="2098" w:type="dxa"/>
          </w:tcPr>
          <w:p>
            <w:pPr>
              <w:pStyle w:val="0"/>
              <w:jc w:val="center"/>
            </w:pPr>
            <w:r>
              <w:rPr>
                <w:sz w:val="20"/>
              </w:rPr>
              <w:t xml:space="preserve">365</w:t>
            </w:r>
          </w:p>
        </w:tc>
        <w:tc>
          <w:tcPr>
            <w:tcW w:w="2154" w:type="dxa"/>
          </w:tcPr>
          <w:p>
            <w:pPr>
              <w:pStyle w:val="0"/>
              <w:jc w:val="center"/>
            </w:pPr>
            <w:r>
              <w:rPr>
                <w:sz w:val="20"/>
              </w:rPr>
              <w:t xml:space="preserve">20,47</w:t>
            </w:r>
          </w:p>
        </w:tc>
      </w:tr>
      <w:tr>
        <w:tc>
          <w:tcPr>
            <w:tcW w:w="567" w:type="dxa"/>
          </w:tcPr>
          <w:p>
            <w:pPr>
              <w:pStyle w:val="0"/>
              <w:jc w:val="both"/>
            </w:pPr>
            <w:r>
              <w:rPr>
                <w:sz w:val="20"/>
              </w:rPr>
              <w:t xml:space="preserve">22</w:t>
            </w:r>
          </w:p>
        </w:tc>
        <w:tc>
          <w:tcPr>
            <w:tcW w:w="3175" w:type="dxa"/>
          </w:tcPr>
          <w:p>
            <w:pPr>
              <w:pStyle w:val="0"/>
              <w:jc w:val="both"/>
            </w:pPr>
            <w:r>
              <w:rPr>
                <w:sz w:val="20"/>
              </w:rPr>
              <w:t xml:space="preserve">Итого</w:t>
            </w:r>
          </w:p>
        </w:tc>
        <w:tc>
          <w:tcPr>
            <w:vMerge w:val="continue"/>
          </w:tcPr>
          <w:p/>
        </w:tc>
        <w:tc>
          <w:tcPr>
            <w:tcW w:w="1814" w:type="dxa"/>
          </w:tcPr>
          <w:p>
            <w:pPr>
              <w:pStyle w:val="0"/>
              <w:jc w:val="center"/>
            </w:pPr>
            <w:r>
              <w:rPr>
                <w:sz w:val="20"/>
              </w:rPr>
              <w:t xml:space="preserve">345</w:t>
            </w:r>
          </w:p>
        </w:tc>
        <w:tc>
          <w:tcPr>
            <w:tcW w:w="2098" w:type="dxa"/>
          </w:tcPr>
          <w:p>
            <w:pPr>
              <w:pStyle w:val="0"/>
              <w:jc w:val="center"/>
            </w:pPr>
            <w:r>
              <w:rPr>
                <w:sz w:val="20"/>
              </w:rPr>
              <w:t xml:space="preserve">25,82</w:t>
            </w:r>
          </w:p>
        </w:tc>
        <w:tc>
          <w:tcPr>
            <w:tcW w:w="2098" w:type="dxa"/>
          </w:tcPr>
          <w:p>
            <w:pPr>
              <w:pStyle w:val="0"/>
              <w:jc w:val="center"/>
            </w:pPr>
            <w:r>
              <w:rPr>
                <w:sz w:val="20"/>
              </w:rPr>
              <w:t xml:space="preserve">344</w:t>
            </w:r>
          </w:p>
        </w:tc>
        <w:tc>
          <w:tcPr>
            <w:tcW w:w="2154" w:type="dxa"/>
          </w:tcPr>
          <w:p>
            <w:pPr>
              <w:pStyle w:val="0"/>
              <w:jc w:val="center"/>
            </w:pPr>
            <w:r>
              <w:rPr>
                <w:sz w:val="20"/>
              </w:rPr>
              <w:t xml:space="preserve">25,93</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2"/>
        <w:outlineLvl w:val="3"/>
        <w:jc w:val="center"/>
      </w:pPr>
      <w:r>
        <w:rPr>
          <w:sz w:val="20"/>
        </w:rPr>
        <w:t xml:space="preserve">4.3. Реализация специализированных программ</w:t>
      </w:r>
    </w:p>
    <w:p>
      <w:pPr>
        <w:pStyle w:val="2"/>
        <w:jc w:val="center"/>
      </w:pPr>
      <w:r>
        <w:rPr>
          <w:sz w:val="20"/>
        </w:rPr>
        <w:t xml:space="preserve">для пациентов с ССЗ</w:t>
      </w:r>
    </w:p>
    <w:p>
      <w:pPr>
        <w:pStyle w:val="0"/>
        <w:jc w:val="center"/>
      </w:pPr>
      <w:r>
        <w:rPr>
          <w:sz w:val="20"/>
        </w:rPr>
      </w:r>
    </w:p>
    <w:p>
      <w:pPr>
        <w:pStyle w:val="0"/>
        <w:ind w:firstLine="540"/>
        <w:jc w:val="both"/>
      </w:pPr>
      <w:r>
        <w:rPr>
          <w:sz w:val="20"/>
        </w:rPr>
        <w:t xml:space="preserve">В городе Севастополе реализуется комплекс мероприятий по дополнительному лекарственному обеспечению пациентов, которые перенесли ОНМК,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С 2015 года продленное льготное лекарственное обеспечение осуществляется в городе Севастополе за счет средств бюджета города, с 2020 года - в том числе за счет средств субсидии из федерального бюджета в рамках реализации федерального проекта "Борьба с сердечно-сосудистыми заболеваниями". Рецепты на получение лекарственных препаратов для пациентов высокого риска выдаются непосредственно во время выписки пациента из Регионального сосудистого центра ГБУЗС "Городская больница N 1 им. Н.И. Пирогова". Информация о таких пациентах передается в амбулаторное звено по месту прикрепления пациента. Также пациенту на руки выдается памятка о возможности бесплатного лекарственного обеспечения.</w:t>
      </w:r>
    </w:p>
    <w:p>
      <w:pPr>
        <w:pStyle w:val="0"/>
        <w:spacing w:before="200" w:line-rule="auto"/>
        <w:ind w:firstLine="540"/>
        <w:jc w:val="both"/>
      </w:pPr>
      <w:r>
        <w:rPr>
          <w:sz w:val="20"/>
        </w:rPr>
        <w:t xml:space="preserve">В дальнейшем рецепты выписываются в поликлинике по месту прикрепления и отовариваются в ближайшем аптечном пункте с возможностью выдачи бесплатных лекарственных препаратов.</w:t>
      </w:r>
    </w:p>
    <w:p>
      <w:pPr>
        <w:pStyle w:val="0"/>
        <w:spacing w:before="200" w:line-rule="auto"/>
        <w:ind w:firstLine="540"/>
        <w:jc w:val="both"/>
      </w:pPr>
      <w:r>
        <w:rPr>
          <w:sz w:val="20"/>
        </w:rPr>
        <w:t xml:space="preserve">Выдача льготных лекарственных препаратов организована в шести аптеках, одном аптечном пункте, 12 фельдшерско-акушерских пунктах города Севастополя.</w:t>
      </w:r>
    </w:p>
    <w:p>
      <w:pPr>
        <w:pStyle w:val="0"/>
        <w:spacing w:before="200" w:line-rule="auto"/>
        <w:ind w:firstLine="540"/>
        <w:jc w:val="both"/>
      </w:pPr>
      <w:r>
        <w:rPr>
          <w:sz w:val="20"/>
        </w:rPr>
        <w:t xml:space="preserve">По состоянию на 31 декабря 2022 г. в регистре региональных льготников состояло 61441 чел. (на 20% больше, чем на 01.01.2022). В регистре федеральных льготников состояло 12915 чел. (на 20% больше, чем на 01.01.2022).</w:t>
      </w:r>
    </w:p>
    <w:p>
      <w:pPr>
        <w:pStyle w:val="0"/>
        <w:spacing w:before="200" w:line-rule="auto"/>
        <w:ind w:firstLine="540"/>
        <w:jc w:val="both"/>
      </w:pPr>
      <w:r>
        <w:rPr>
          <w:sz w:val="20"/>
        </w:rPr>
        <w:t xml:space="preserve">В 2022 году вышеуказанные категории граждан были обеспечены лекарственными препаратами по 369100 рецептам на общую сумму 1379,573 млн руб. (за 2021 год - 317827 рецептов на сумму 1151,62 млн руб.):</w:t>
      </w:r>
    </w:p>
    <w:p>
      <w:pPr>
        <w:pStyle w:val="0"/>
        <w:spacing w:before="200" w:line-rule="auto"/>
        <w:ind w:firstLine="540"/>
        <w:jc w:val="both"/>
      </w:pPr>
      <w:r>
        <w:rPr>
          <w:sz w:val="20"/>
        </w:rPr>
        <w:t xml:space="preserve">- 35860 рецептов были выписаны по федеральной льготе на сумму 262,80 млн руб.;</w:t>
      </w:r>
    </w:p>
    <w:p>
      <w:pPr>
        <w:pStyle w:val="0"/>
        <w:spacing w:before="200" w:line-rule="auto"/>
        <w:ind w:firstLine="540"/>
        <w:jc w:val="both"/>
      </w:pPr>
      <w:r>
        <w:rPr>
          <w:sz w:val="20"/>
        </w:rPr>
        <w:t xml:space="preserve">- 333240 рецептов выписаны по региональной льготе на сумму 1116,773 млн руб.</w:t>
      </w:r>
    </w:p>
    <w:p>
      <w:pPr>
        <w:pStyle w:val="0"/>
        <w:spacing w:before="200" w:line-rule="auto"/>
        <w:ind w:firstLine="540"/>
        <w:jc w:val="both"/>
      </w:pPr>
      <w:r>
        <w:rPr>
          <w:sz w:val="20"/>
        </w:rPr>
        <w:t xml:space="preserve">В 2022 году в результате проведенных организационных мероприятий в городе Севастополе значительно улучшена система льготного лекарственного обеспечения, количество отсроченных рецептов на 31.12.2022 составляло 50 рецептов: по региональной льготе - 39 шт., по федеральной льготе - 9 шт., по 14 высокозатратных нозологий - 2 шт.</w:t>
      </w:r>
    </w:p>
    <w:p>
      <w:pPr>
        <w:pStyle w:val="0"/>
        <w:spacing w:before="200" w:line-rule="auto"/>
        <w:ind w:firstLine="540"/>
        <w:jc w:val="both"/>
      </w:pPr>
      <w:r>
        <w:rPr>
          <w:sz w:val="20"/>
        </w:rPr>
        <w:t xml:space="preserve">В рамках реализации регионального проекта "Борьба с сердечно-сосудистыми заболеваниями" национального проекта "Здравоохранение" на приобретение лекарственных препаратов для пациентов, перенесших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в 2022 году было выделено 43,442 млн руб. Выделенные средства законтрактованы в полном объеме. Медикаментами были обеспечены 3379 чел., всего было выписано 22654 рецептов на общую сумму 38,043 млн руб. Средняя стоимость рецепта составила 1679 руб. Отпуск лекарственных препаратов за 2022 год в 1,5 раза превысил показатели 2021 года. Указанные пациенты обеспечиваются бесплатными лекарственными препаратами в течение двух лет с момента перенесенного заболевания либо оперативного вмешательства.</w:t>
      </w:r>
    </w:p>
    <w:p>
      <w:pPr>
        <w:pStyle w:val="0"/>
        <w:spacing w:before="200" w:line-rule="auto"/>
        <w:ind w:firstLine="540"/>
        <w:jc w:val="both"/>
      </w:pPr>
      <w:r>
        <w:rPr>
          <w:sz w:val="20"/>
        </w:rPr>
        <w:t xml:space="preserve">Формирование системы контроля за нежелательными явлениями и за отсутствием лечебного эффекта лекарственных препаратов, применяемых при БСК, запланирована на 2023 - 2024 годы.</w:t>
      </w:r>
    </w:p>
    <w:p>
      <w:pPr>
        <w:pStyle w:val="0"/>
        <w:ind w:firstLine="540"/>
        <w:jc w:val="both"/>
      </w:pPr>
      <w:r>
        <w:rPr>
          <w:sz w:val="20"/>
        </w:rPr>
      </w:r>
    </w:p>
    <w:p>
      <w:pPr>
        <w:pStyle w:val="2"/>
        <w:outlineLvl w:val="3"/>
        <w:jc w:val="center"/>
      </w:pPr>
      <w:r>
        <w:rPr>
          <w:sz w:val="20"/>
        </w:rPr>
        <w:t xml:space="preserve">4.4. Региональные документы, регламентирующие оказание</w:t>
      </w:r>
    </w:p>
    <w:p>
      <w:pPr>
        <w:pStyle w:val="2"/>
        <w:jc w:val="center"/>
      </w:pPr>
      <w:r>
        <w:rPr>
          <w:sz w:val="20"/>
        </w:rPr>
        <w:t xml:space="preserve">медицинской помощи при болезнях системы кровообращения (БСК)</w:t>
      </w:r>
    </w:p>
    <w:p>
      <w:pPr>
        <w:pStyle w:val="0"/>
        <w:jc w:val="center"/>
      </w:pPr>
      <w:r>
        <w:rPr>
          <w:sz w:val="20"/>
        </w:rPr>
      </w:r>
    </w:p>
    <w:p>
      <w:pPr>
        <w:pStyle w:val="0"/>
        <w:ind w:firstLine="540"/>
        <w:jc w:val="both"/>
      </w:pPr>
      <w:r>
        <w:rPr>
          <w:sz w:val="20"/>
        </w:rPr>
        <w:t xml:space="preserve">Работа службы организована в соответствии:</w:t>
      </w:r>
    </w:p>
    <w:p>
      <w:pPr>
        <w:pStyle w:val="0"/>
        <w:spacing w:before="200" w:line-rule="auto"/>
        <w:ind w:firstLine="540"/>
        <w:jc w:val="both"/>
      </w:pPr>
      <w:r>
        <w:rPr>
          <w:sz w:val="20"/>
        </w:rPr>
        <w:t xml:space="preserve">- с </w:t>
      </w:r>
      <w:hyperlink w:history="0" r:id="rId640" w:tooltip="Приказ Минздрава России от 15.11.2012 N 918н (ред. от 21.02.2020) &quot;Об утверждении порядка оказания медицинской помощи больным с сердечно-сосудистыми заболеваниями&quot; (Зарегистрировано в Минюсте России 29.12.2012 N 26483) {КонсультантПлюс}">
        <w:r>
          <w:rPr>
            <w:sz w:val="20"/>
            <w:color w:val="0000ff"/>
          </w:rPr>
          <w:t xml:space="preserve">приказом</w:t>
        </w:r>
      </w:hyperlink>
      <w:r>
        <w:rPr>
          <w:sz w:val="20"/>
        </w:rPr>
        <w:t xml:space="preserve"> Министерства здравоохранения Российской Федерации от 15.11.2012 N 918н "Об утверждении Порядка оказания медицинской помощи больным с сердечно-сосудистыми заболеваниями";</w:t>
      </w:r>
    </w:p>
    <w:p>
      <w:pPr>
        <w:pStyle w:val="0"/>
        <w:spacing w:before="200" w:line-rule="auto"/>
        <w:ind w:firstLine="540"/>
        <w:jc w:val="both"/>
      </w:pPr>
      <w:r>
        <w:rPr>
          <w:sz w:val="20"/>
        </w:rPr>
        <w:t xml:space="preserve">- утвержденными стандартами оказания медицинской помощи;</w:t>
      </w:r>
    </w:p>
    <w:p>
      <w:pPr>
        <w:pStyle w:val="0"/>
        <w:spacing w:before="200" w:line-rule="auto"/>
        <w:ind w:firstLine="540"/>
        <w:jc w:val="both"/>
      </w:pPr>
      <w:r>
        <w:rPr>
          <w:sz w:val="20"/>
        </w:rPr>
        <w:t xml:space="preserve">- приказом Департамента здравоохранения города Севастополя от 23.04.2015 N 56 "О совершенствовании медицинской помощи больным с ОКС на территории г. Севастополя";</w:t>
      </w:r>
    </w:p>
    <w:p>
      <w:pPr>
        <w:pStyle w:val="0"/>
        <w:spacing w:before="200" w:line-rule="auto"/>
        <w:ind w:firstLine="540"/>
        <w:jc w:val="both"/>
      </w:pPr>
      <w:r>
        <w:rPr>
          <w:sz w:val="20"/>
        </w:rPr>
        <w:t xml:space="preserve">- приказом Департамента здравоохранения города Севастополя от 21.03.2018 N 141 "О внесении изменений в маршрутизацию пациентов в Региональном сосудистом центре";</w:t>
      </w:r>
    </w:p>
    <w:p>
      <w:pPr>
        <w:pStyle w:val="0"/>
        <w:spacing w:before="200" w:line-rule="auto"/>
        <w:ind w:firstLine="540"/>
        <w:jc w:val="both"/>
      </w:pPr>
      <w:r>
        <w:rPr>
          <w:sz w:val="20"/>
        </w:rPr>
        <w:t xml:space="preserve">- </w:t>
      </w:r>
      <w:hyperlink w:history="0" r:id="rId641" w:tooltip="Приказ Департамента здравоохранения г. Севастополя от 11.09.2015 N 761 &quot;Об утверждении Порядка оказания медицинской помощи больным с сердечно-сосудистыми заболеваниями&quot; {КонсультантПлюс}">
        <w:r>
          <w:rPr>
            <w:sz w:val="20"/>
            <w:color w:val="0000ff"/>
          </w:rPr>
          <w:t xml:space="preserve">приказом</w:t>
        </w:r>
      </w:hyperlink>
      <w:r>
        <w:rPr>
          <w:sz w:val="20"/>
        </w:rPr>
        <w:t xml:space="preserve"> Департамента здравоохранения города Севастополя от 11.09.2015 N 761 "Об утверждении Порядка оказания медицинской помощи больным с сердечно-сосудистыми заболеваниями";</w:t>
      </w:r>
    </w:p>
    <w:p>
      <w:pPr>
        <w:pStyle w:val="0"/>
        <w:spacing w:before="200" w:line-rule="auto"/>
        <w:ind w:firstLine="540"/>
        <w:jc w:val="both"/>
      </w:pPr>
      <w:r>
        <w:rPr>
          <w:sz w:val="20"/>
        </w:rPr>
        <w:t xml:space="preserve">- приказом Департамента здравоохранения города Севастополя от 21.09.2015 N 802 "О совершенствовании медицинской помощи больным с заболеваниями сердечно-сосудистой системы";</w:t>
      </w:r>
    </w:p>
    <w:p>
      <w:pPr>
        <w:pStyle w:val="0"/>
        <w:spacing w:before="200" w:line-rule="auto"/>
        <w:ind w:firstLine="540"/>
        <w:jc w:val="both"/>
      </w:pPr>
      <w:r>
        <w:rPr>
          <w:sz w:val="20"/>
        </w:rPr>
        <w:t xml:space="preserve">- приказом Департамента здравоохранения города Севастополя от 03.06.2015 N 316 "О совершенствовании медицинской помощи больным с артериальной гипертензией";</w:t>
      </w:r>
    </w:p>
    <w:p>
      <w:pPr>
        <w:pStyle w:val="0"/>
        <w:spacing w:before="200" w:line-rule="auto"/>
        <w:ind w:firstLine="540"/>
        <w:jc w:val="both"/>
      </w:pPr>
      <w:r>
        <w:rPr>
          <w:sz w:val="20"/>
        </w:rPr>
        <w:t xml:space="preserve">- </w:t>
      </w:r>
      <w:hyperlink w:history="0" r:id="rId642" w:tooltip="Приказ Департамента здравоохранения г. Севастополя от 25.11.2016 N 1558 (ред. от 13.06.2018) &quot;О совершенствовании организации медицинской помощи пациентам с острыми сердечно-сосудистыми заболеваниями в городе Севастополе&quot; (вместе с &quot;Порядком оказания медицинской помощи больным с острыми нарушениями мозгового кровообращения&quot;, &quot;Порядком организации оказания нейрохирургической медицинской помощи больным с острыми нарушениями мозгового кровообращения (включая субарахноидальные кровоизлияния)&quot;, &quot;Порядком оказани {КонсультантПлюс}">
        <w:r>
          <w:rPr>
            <w:sz w:val="20"/>
            <w:color w:val="0000ff"/>
          </w:rPr>
          <w:t xml:space="preserve">приказом</w:t>
        </w:r>
      </w:hyperlink>
      <w:r>
        <w:rPr>
          <w:sz w:val="20"/>
        </w:rPr>
        <w:t xml:space="preserve"> Департамента здравоохранения города Севастополя от 25.11.2016 N 1558 "О совершенствовании организации медицинской помощи пациентам с острыми сердечно-сосудистыми заболеваниями в городе Севастополе";</w:t>
      </w:r>
    </w:p>
    <w:p>
      <w:pPr>
        <w:pStyle w:val="0"/>
        <w:spacing w:before="200" w:line-rule="auto"/>
        <w:ind w:firstLine="540"/>
        <w:jc w:val="both"/>
      </w:pPr>
      <w:r>
        <w:rPr>
          <w:sz w:val="20"/>
        </w:rPr>
        <w:t xml:space="preserve">- </w:t>
      </w:r>
      <w:hyperlink w:history="0" r:id="rId643"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постановлением</w:t>
        </w:r>
      </w:hyperlink>
      <w:r>
        <w:rPr>
          <w:sz w:val="20"/>
        </w:rPr>
        <w:t xml:space="preserve"> Правительства Севастополя от 23.11.2016 N 1115-ПП "Об утверждении государственной программы города Севастополя "Развитие здравоохранения в городе Севастополе";</w:t>
      </w:r>
    </w:p>
    <w:p>
      <w:pPr>
        <w:pStyle w:val="0"/>
        <w:spacing w:before="200" w:line-rule="auto"/>
        <w:ind w:firstLine="540"/>
        <w:jc w:val="both"/>
      </w:pPr>
      <w:r>
        <w:rPr>
          <w:sz w:val="20"/>
        </w:rPr>
        <w:t xml:space="preserve">- </w:t>
      </w:r>
      <w:hyperlink w:history="0" r:id="rId644" w:tooltip="Закон города Севастополя от 01.12.2015 N 209-ЗС &quot;О дополнительном лекарственном обеспечении льготных категорий граждан города Севастополя&quot; (принят Законодательным Собранием г. Севастополя 24.11.2015) {КонсультантПлюс}">
        <w:r>
          <w:rPr>
            <w:sz w:val="20"/>
            <w:color w:val="0000ff"/>
          </w:rPr>
          <w:t xml:space="preserve">Законом</w:t>
        </w:r>
      </w:hyperlink>
      <w:r>
        <w:rPr>
          <w:sz w:val="20"/>
        </w:rPr>
        <w:t xml:space="preserve"> города Севастополя от 01.12.2015 N 209-ЗС "О дополнительном лекарственном обеспечении льготных категорий граждан города Севастополя".</w:t>
      </w:r>
    </w:p>
    <w:p>
      <w:pPr>
        <w:pStyle w:val="0"/>
        <w:spacing w:before="200" w:line-rule="auto"/>
        <w:ind w:firstLine="540"/>
        <w:jc w:val="both"/>
      </w:pPr>
      <w:r>
        <w:rPr>
          <w:sz w:val="20"/>
        </w:rPr>
        <w:t xml:space="preserve">По профилю "неврология" в городе Севастополе оказание гражданам медицинской помощи регламентировано следующими основными нормативными актами:</w:t>
      </w:r>
    </w:p>
    <w:p>
      <w:pPr>
        <w:pStyle w:val="0"/>
        <w:spacing w:before="200" w:line-rule="auto"/>
        <w:ind w:firstLine="540"/>
        <w:jc w:val="both"/>
      </w:pPr>
      <w:r>
        <w:rPr>
          <w:sz w:val="20"/>
        </w:rPr>
        <w:t xml:space="preserve">- </w:t>
      </w:r>
      <w:hyperlink w:history="0" r:id="rId645" w:tooltip="Приказ Минздрава России от 15.11.2012 N 926н &quot;Об утверждении Порядка оказания медицинской помощи взрослому населению при заболеваниях нервной системы&quot; (Зарегистрировано в Минюсте России 23.01.2013 N 26692) {КонсультантПлюс}">
        <w:r>
          <w:rPr>
            <w:sz w:val="20"/>
            <w:color w:val="0000ff"/>
          </w:rPr>
          <w:t xml:space="preserve">приказом</w:t>
        </w:r>
      </w:hyperlink>
      <w:r>
        <w:rPr>
          <w:sz w:val="20"/>
        </w:rPr>
        <w:t xml:space="preserve"> Министерства здравоохранения Российской Федерации от 15.11.2012 N 926н "Об утверждении Порядка оказания медицинской помощи взрослому населению при заболеваниях нервной системы";</w:t>
      </w:r>
    </w:p>
    <w:p>
      <w:pPr>
        <w:pStyle w:val="0"/>
        <w:spacing w:before="200" w:line-rule="auto"/>
        <w:ind w:firstLine="540"/>
        <w:jc w:val="both"/>
      </w:pPr>
      <w:r>
        <w:rPr>
          <w:sz w:val="20"/>
        </w:rPr>
        <w:t xml:space="preserve">- </w:t>
      </w:r>
      <w:hyperlink w:history="0" r:id="rId646" w:tooltip="Приказ Минздрава России от 10.05.2017 N 203н &quot;Об утверждении критериев оценки качества медицинской помощи&quot; (Зарегистрировано в Минюсте России 17.05.2017 N 46740) {КонсультантПлюс}">
        <w:r>
          <w:rPr>
            <w:sz w:val="20"/>
            <w:color w:val="0000ff"/>
          </w:rPr>
          <w:t xml:space="preserve">приказом</w:t>
        </w:r>
      </w:hyperlink>
      <w:r>
        <w:rPr>
          <w:sz w:val="20"/>
        </w:rPr>
        <w:t xml:space="preserve"> Министерства здравоохранения Российской Федерации от 10.05.2017 N 203н "Об утверждении критериев оценки качества медицинской помощи";</w:t>
      </w:r>
    </w:p>
    <w:p>
      <w:pPr>
        <w:pStyle w:val="0"/>
        <w:spacing w:before="200" w:line-rule="auto"/>
        <w:ind w:firstLine="540"/>
        <w:jc w:val="both"/>
      </w:pPr>
      <w:r>
        <w:rPr>
          <w:sz w:val="20"/>
        </w:rPr>
        <w:t xml:space="preserve">- </w:t>
      </w:r>
      <w:hyperlink w:history="0" r:id="rId647" w:tooltip="Приказ Департамента здравоохранения г. Севастополя от 25.11.2016 N 1558 (ред. от 13.06.2018) &quot;О совершенствовании организации медицинской помощи пациентам с острыми сердечно-сосудистыми заболеваниями в городе Севастополе&quot; (вместе с &quot;Порядком оказания медицинской помощи больным с острыми нарушениями мозгового кровообращения&quot;, &quot;Порядком организации оказания нейрохирургической медицинской помощи больным с острыми нарушениями мозгового кровообращения (включая субарахноидальные кровоизлияния)&quot;, &quot;Порядком оказани {КонсультантПлюс}">
        <w:r>
          <w:rPr>
            <w:sz w:val="20"/>
            <w:color w:val="0000ff"/>
          </w:rPr>
          <w:t xml:space="preserve">приказом</w:t>
        </w:r>
      </w:hyperlink>
      <w:r>
        <w:rPr>
          <w:sz w:val="20"/>
        </w:rPr>
        <w:t xml:space="preserve"> Департамента здравоохранения города Севастополя от 25.11.2016 N 1558 "О совершенствовании организации медицинской помощи пациентам с сердечно-сосудистыми заболеваниями в городе Севастополе";</w:t>
      </w:r>
    </w:p>
    <w:p>
      <w:pPr>
        <w:pStyle w:val="0"/>
        <w:spacing w:before="200" w:line-rule="auto"/>
        <w:ind w:firstLine="540"/>
        <w:jc w:val="both"/>
      </w:pPr>
      <w:r>
        <w:rPr>
          <w:sz w:val="20"/>
        </w:rPr>
        <w:t xml:space="preserve">- </w:t>
      </w:r>
      <w:hyperlink w:history="0" r:id="rId648" w:tooltip="Приказ Департамента здравоохранения г. Севастополя от 19.02.2018 N 142 &quot;Об организации городского консультативно-диагностического кабинета ботулинотерапии в городе Севастополе&quot; (вместе с &quot;Положением о городском консультативно-диагностическом кабинете ботулинотерапии&quot;, &quot;Порядком направления пациентов в городской консультативно-диагностический кабинет ботулинотерапии&quot;) {КонсультантПлюс}">
        <w:r>
          <w:rPr>
            <w:sz w:val="20"/>
            <w:color w:val="0000ff"/>
          </w:rPr>
          <w:t xml:space="preserve">приказом</w:t>
        </w:r>
      </w:hyperlink>
      <w:r>
        <w:rPr>
          <w:sz w:val="20"/>
        </w:rPr>
        <w:t xml:space="preserve"> Департамента здравоохранения города Севастополя от 19.02.2018 N 142 "Об организации городского консультативно-диагностического кабинета ботулинотерапии в городе Севастополе";</w:t>
      </w:r>
    </w:p>
    <w:p>
      <w:pPr>
        <w:pStyle w:val="0"/>
        <w:spacing w:before="200" w:line-rule="auto"/>
        <w:ind w:firstLine="540"/>
        <w:jc w:val="both"/>
      </w:pPr>
      <w:r>
        <w:rPr>
          <w:sz w:val="20"/>
        </w:rPr>
        <w:t xml:space="preserve">- </w:t>
      </w:r>
      <w:hyperlink w:history="0" r:id="rId649" w:tooltip="Приказ Департамента здравоохранения г. Севастополя от 07.03.2017 N 225 &quot;Об утверждении маршрутизации пациентов для осуществления консультативно-диагностического приема главными внештатными специалистами Департамента здравоохранения города Севастополя&quot; {КонсультантПлюс}">
        <w:r>
          <w:rPr>
            <w:sz w:val="20"/>
            <w:color w:val="0000ff"/>
          </w:rPr>
          <w:t xml:space="preserve">приказом</w:t>
        </w:r>
      </w:hyperlink>
      <w:r>
        <w:rPr>
          <w:sz w:val="20"/>
        </w:rPr>
        <w:t xml:space="preserve"> Департамента здравоохранения города Севастополя от 07.03.2017 N 225 "Об утверждении маршрутизации пациентов для осуществления консультативно-диагностического приема главными внештатными специалистами Департамента здравоохранения города Севастополя";</w:t>
      </w:r>
    </w:p>
    <w:p>
      <w:pPr>
        <w:pStyle w:val="0"/>
        <w:spacing w:before="200" w:line-rule="auto"/>
        <w:ind w:firstLine="540"/>
        <w:jc w:val="both"/>
      </w:pPr>
      <w:r>
        <w:rPr>
          <w:sz w:val="20"/>
        </w:rPr>
        <w:t xml:space="preserve">- </w:t>
      </w:r>
      <w:hyperlink w:history="0" r:id="rId650" w:tooltip="Приказ Департамента здравоохранения г. Севастополя от 13.12.2017 N 1226 &quot;Об утверждении маршрутизации при оказании медицинской помощи взрослому населению при заболеваниях нервной системы в городе Севастополе&quot; (вместе с &quot;Положением об организации оказания медицинской помощи взрослому населению при заболеваниях нервной системы&quot;) {КонсультантПлюс}">
        <w:r>
          <w:rPr>
            <w:sz w:val="20"/>
            <w:color w:val="0000ff"/>
          </w:rPr>
          <w:t xml:space="preserve">приказом</w:t>
        </w:r>
      </w:hyperlink>
      <w:r>
        <w:rPr>
          <w:sz w:val="20"/>
        </w:rPr>
        <w:t xml:space="preserve"> Департамента здравоохранения города Севастополя от 13.12.2017 N 1226 "Об утверждении маршрутизации при оказании медицинской помощи взрослому населению при заболеваниях нервной системы в городе Севастополе";</w:t>
      </w:r>
    </w:p>
    <w:p>
      <w:pPr>
        <w:pStyle w:val="0"/>
        <w:spacing w:before="200" w:line-rule="auto"/>
        <w:ind w:firstLine="540"/>
        <w:jc w:val="both"/>
      </w:pPr>
      <w:r>
        <w:rPr>
          <w:sz w:val="20"/>
        </w:rPr>
        <w:t xml:space="preserve">- приказом Департамента здравоохранения города Севастополя от 28.06.2018 N 573 "Об организации оказания медицинской помощи взрослому населению при заболеваниях нервной системы в городе Севастополе";</w:t>
      </w:r>
    </w:p>
    <w:p>
      <w:pPr>
        <w:pStyle w:val="0"/>
        <w:spacing w:before="200" w:line-rule="auto"/>
        <w:ind w:firstLine="540"/>
        <w:jc w:val="both"/>
      </w:pPr>
      <w:r>
        <w:rPr>
          <w:sz w:val="20"/>
        </w:rPr>
        <w:t xml:space="preserve">- приказом Департамента здравоохранения города Севастополя от 11.09.2018 N 810 "О совершенствовании организации оказания медицинской помощи пациентам с острыми сердечно-сосудистыми заболеваниями";</w:t>
      </w:r>
    </w:p>
    <w:p>
      <w:pPr>
        <w:pStyle w:val="0"/>
        <w:spacing w:before="200" w:line-rule="auto"/>
        <w:ind w:firstLine="540"/>
        <w:jc w:val="both"/>
      </w:pPr>
      <w:r>
        <w:rPr>
          <w:sz w:val="20"/>
        </w:rPr>
        <w:t xml:space="preserve">- приказом Департамента здравоохранения города Севастополя от 10.01.2022 N 8 "О внесении изменений в приказ Департамента здравоохранения города Севастополя от 11.09.2018 N 810 "О совершенствовании организации оказания медицинской помощи пациентам с острыми сердечно-сосудистыми заболеваниями";</w:t>
      </w:r>
    </w:p>
    <w:p>
      <w:pPr>
        <w:pStyle w:val="0"/>
        <w:spacing w:before="200" w:line-rule="auto"/>
        <w:ind w:firstLine="540"/>
        <w:jc w:val="both"/>
      </w:pPr>
      <w:r>
        <w:rPr>
          <w:sz w:val="20"/>
        </w:rPr>
        <w:t xml:space="preserve">- приказом Департамента здравоохранения города Севастополя от 02.03.2023 N 89 "Об организации медицинской помощи пациентам с ССЗ в городе Севастополе".</w:t>
      </w:r>
    </w:p>
    <w:p>
      <w:pPr>
        <w:pStyle w:val="0"/>
        <w:ind w:firstLine="540"/>
        <w:jc w:val="both"/>
      </w:pPr>
      <w:r>
        <w:rPr>
          <w:sz w:val="20"/>
        </w:rPr>
      </w:r>
    </w:p>
    <w:p>
      <w:pPr>
        <w:pStyle w:val="2"/>
        <w:outlineLvl w:val="3"/>
        <w:jc w:val="center"/>
      </w:pPr>
      <w:r>
        <w:rPr>
          <w:sz w:val="20"/>
        </w:rPr>
        <w:t xml:space="preserve">4.5. Характеристика оказания скорой, в том числе скорой</w:t>
      </w:r>
    </w:p>
    <w:p>
      <w:pPr>
        <w:pStyle w:val="2"/>
        <w:jc w:val="center"/>
      </w:pPr>
      <w:r>
        <w:rPr>
          <w:sz w:val="20"/>
        </w:rPr>
        <w:t xml:space="preserve">специализированной, медицинской помощи (далее - СМП)</w:t>
      </w:r>
    </w:p>
    <w:p>
      <w:pPr>
        <w:pStyle w:val="2"/>
        <w:jc w:val="center"/>
      </w:pPr>
      <w:r>
        <w:rPr>
          <w:sz w:val="20"/>
        </w:rPr>
        <w:t xml:space="preserve">в городе Севастополе</w:t>
      </w:r>
    </w:p>
    <w:p>
      <w:pPr>
        <w:pStyle w:val="0"/>
        <w:ind w:firstLine="540"/>
        <w:jc w:val="both"/>
      </w:pPr>
      <w:r>
        <w:rPr>
          <w:sz w:val="20"/>
        </w:rPr>
      </w:r>
    </w:p>
    <w:p>
      <w:pPr>
        <w:pStyle w:val="0"/>
        <w:jc w:val="center"/>
      </w:pPr>
      <w:r>
        <w:rPr>
          <w:sz w:val="20"/>
        </w:rPr>
        <w:t xml:space="preserve">Структура СМП (количество станций, подстанций, отделений)</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left w:val="single" w:sz="4"/>
          <w:insideH w:val="single" w:sz="4"/>
        </w:tblBorders>
        <w:tblCellMar>
          <w:top w:w="102" w:type="dxa"/>
          <w:left w:w="62" w:type="dxa"/>
          <w:bottom w:w="102" w:type="dxa"/>
          <w:right w:w="62" w:type="dxa"/>
        </w:tblCellMar>
      </w:tblPr>
      <w:tblGrid>
        <w:gridCol w:w="340"/>
        <w:gridCol w:w="165"/>
        <w:gridCol w:w="1650"/>
        <w:gridCol w:w="567"/>
        <w:gridCol w:w="340"/>
        <w:gridCol w:w="510"/>
        <w:gridCol w:w="495"/>
        <w:gridCol w:w="825"/>
        <w:gridCol w:w="330"/>
        <w:gridCol w:w="340"/>
        <w:gridCol w:w="330"/>
        <w:gridCol w:w="495"/>
        <w:gridCol w:w="340"/>
        <w:gridCol w:w="1077"/>
        <w:gridCol w:w="340"/>
        <w:gridCol w:w="340"/>
        <w:gridCol w:w="495"/>
        <w:gridCol w:w="165"/>
        <w:gridCol w:w="165"/>
        <w:gridCol w:w="567"/>
        <w:gridCol w:w="340"/>
        <w:gridCol w:w="340"/>
        <w:gridCol w:w="340"/>
        <w:gridCol w:w="660"/>
        <w:gridCol w:w="670"/>
        <w:gridCol w:w="495"/>
        <w:gridCol w:w="340"/>
        <w:gridCol w:w="340"/>
        <w:gridCol w:w="340"/>
        <w:gridCol w:w="340"/>
        <w:gridCol w:w="340"/>
        <w:gridCol w:w="495"/>
        <w:gridCol w:w="850"/>
        <w:gridCol w:w="340"/>
        <w:gridCol w:w="495"/>
        <w:gridCol w:w="340"/>
        <w:gridCol w:w="340"/>
        <w:gridCol w:w="825"/>
        <w:gridCol w:w="562"/>
        <w:gridCol w:w="340"/>
        <w:gridCol w:w="340"/>
        <w:gridCol w:w="340"/>
        <w:gridCol w:w="554"/>
        <w:gridCol w:w="781"/>
      </w:tblGrid>
      <w:tr>
        <w:tblPrEx>
          <w:tblBorders>
            <w:left w:val="nil"/>
            <w:insideV w:val="single" w:sz="4"/>
            <w:insideH w:val="nil"/>
          </w:tblBorders>
        </w:tblPrEx>
        <w:tc>
          <w:tcPr>
            <w:gridSpan w:val="3"/>
            <w:tcW w:w="2155" w:type="dxa"/>
            <w:tcBorders>
              <w:top w:val="nil"/>
              <w:left w:val="nil"/>
              <w:bottom w:val="nil"/>
              <w:right w:val="nil"/>
            </w:tcBorders>
            <w:vMerge w:val="restart"/>
          </w:tcPr>
          <w:p>
            <w:pPr>
              <w:pStyle w:val="0"/>
              <w:jc w:val="center"/>
            </w:pPr>
            <w:r>
              <w:rPr>
                <w:sz w:val="20"/>
              </w:rPr>
            </w:r>
          </w:p>
        </w:tc>
        <w:tc>
          <w:tcPr>
            <w:gridSpan w:val="16"/>
            <w:tcW w:w="7154" w:type="dxa"/>
            <w:tcBorders>
              <w:top w:val="nil"/>
              <w:left w:val="nil"/>
            </w:tcBorders>
          </w:tcPr>
          <w:p>
            <w:pPr>
              <w:pStyle w:val="0"/>
              <w:jc w:val="center"/>
            </w:pPr>
            <w:r>
              <w:rPr>
                <w:sz w:val="20"/>
              </w:rPr>
            </w:r>
          </w:p>
        </w:tc>
        <w:tc>
          <w:tcPr>
            <w:gridSpan w:val="6"/>
            <w:tcW w:w="2917" w:type="dxa"/>
            <w:vMerge w:val="restart"/>
          </w:tcPr>
          <w:p>
            <w:pPr>
              <w:pStyle w:val="0"/>
              <w:jc w:val="center"/>
            </w:pPr>
            <w:r>
              <w:rPr>
                <w:sz w:val="20"/>
              </w:rPr>
              <w:t xml:space="preserve">Главный врач</w:t>
            </w:r>
          </w:p>
        </w:tc>
        <w:tc>
          <w:tcPr>
            <w:gridSpan w:val="19"/>
            <w:tcW w:w="8797" w:type="dxa"/>
            <w:tcBorders>
              <w:top w:val="nil"/>
              <w:bottom w:val="nil"/>
              <w:right w:val="nil"/>
            </w:tcBorders>
          </w:tcPr>
          <w:p>
            <w:pPr>
              <w:pStyle w:val="0"/>
              <w:jc w:val="center"/>
            </w:pPr>
            <w:r>
              <w:rPr>
                <w:sz w:val="20"/>
              </w:rPr>
            </w:r>
          </w:p>
        </w:tc>
      </w:tr>
      <w:tr>
        <w:tblPrEx>
          <w:tblBorders>
            <w:left w:val="nil"/>
            <w:insideV w:val="single" w:sz="4"/>
          </w:tblBorders>
        </w:tblPrEx>
        <w:tc>
          <w:tcPr>
            <w:gridSpan w:val="3"/>
            <w:tcBorders>
              <w:top w:val="nil"/>
              <w:left w:val="nil"/>
              <w:bottom w:val="nil"/>
              <w:right w:val="nil"/>
            </w:tcBorders>
            <w:vMerge w:val="continue"/>
          </w:tcPr>
          <w:p/>
        </w:tc>
        <w:tc>
          <w:tcPr>
            <w:gridSpan w:val="5"/>
            <w:tcW w:w="2737" w:type="dxa"/>
            <w:tcBorders>
              <w:bottom w:val="nil"/>
            </w:tcBorders>
            <w:vMerge w:val="restart"/>
          </w:tcPr>
          <w:p>
            <w:pPr>
              <w:pStyle w:val="0"/>
              <w:jc w:val="center"/>
            </w:pPr>
            <w:r>
              <w:rPr>
                <w:sz w:val="20"/>
              </w:rPr>
            </w:r>
          </w:p>
        </w:tc>
        <w:tc>
          <w:tcPr>
            <w:gridSpan w:val="6"/>
            <w:tcW w:w="2912" w:type="dxa"/>
            <w:tcBorders>
              <w:bottom w:val="nil"/>
            </w:tcBorders>
            <w:vMerge w:val="restart"/>
          </w:tcPr>
          <w:p>
            <w:pPr>
              <w:pStyle w:val="0"/>
              <w:jc w:val="center"/>
            </w:pPr>
            <w:r>
              <w:rPr>
                <w:sz w:val="20"/>
              </w:rPr>
            </w:r>
          </w:p>
        </w:tc>
        <w:tc>
          <w:tcPr>
            <w:gridSpan w:val="5"/>
            <w:tcW w:w="1505" w:type="dxa"/>
            <w:tcBorders>
              <w:bottom w:val="nil"/>
            </w:tcBorders>
          </w:tcPr>
          <w:p>
            <w:pPr>
              <w:pStyle w:val="0"/>
              <w:jc w:val="center"/>
            </w:pPr>
            <w:r>
              <w:rPr>
                <w:sz w:val="20"/>
              </w:rPr>
            </w:r>
          </w:p>
        </w:tc>
        <w:tc>
          <w:tcPr>
            <w:gridSpan w:val="6"/>
            <w:vMerge w:val="continue"/>
          </w:tcPr>
          <w:p/>
        </w:tc>
        <w:tc>
          <w:tcPr>
            <w:gridSpan w:val="4"/>
            <w:tcW w:w="1515" w:type="dxa"/>
            <w:tcBorders>
              <w:bottom w:val="nil"/>
            </w:tcBorders>
          </w:tcPr>
          <w:p>
            <w:pPr>
              <w:pStyle w:val="0"/>
              <w:jc w:val="center"/>
            </w:pPr>
            <w:r>
              <w:rPr>
                <w:sz w:val="20"/>
              </w:rPr>
            </w:r>
          </w:p>
        </w:tc>
        <w:tc>
          <w:tcPr>
            <w:gridSpan w:val="3"/>
            <w:tcW w:w="1175" w:type="dxa"/>
            <w:tcBorders>
              <w:bottom w:val="nil"/>
            </w:tcBorders>
            <w:vMerge w:val="restart"/>
          </w:tcPr>
          <w:p>
            <w:pPr>
              <w:pStyle w:val="0"/>
              <w:jc w:val="center"/>
            </w:pPr>
            <w:r>
              <w:rPr>
                <w:sz w:val="20"/>
              </w:rPr>
            </w:r>
          </w:p>
        </w:tc>
        <w:tc>
          <w:tcPr>
            <w:gridSpan w:val="6"/>
            <w:tcW w:w="3190" w:type="dxa"/>
            <w:tcBorders>
              <w:bottom w:val="nil"/>
            </w:tcBorders>
            <w:vMerge w:val="restart"/>
          </w:tcPr>
          <w:p>
            <w:pPr>
              <w:pStyle w:val="0"/>
              <w:jc w:val="center"/>
            </w:pPr>
            <w:r>
              <w:rPr>
                <w:sz w:val="20"/>
              </w:rPr>
            </w:r>
          </w:p>
        </w:tc>
        <w:tc>
          <w:tcPr>
            <w:gridSpan w:val="5"/>
            <w:tcW w:w="2136" w:type="dxa"/>
            <w:tcBorders>
              <w:bottom w:val="nil"/>
            </w:tcBorders>
            <w:vMerge w:val="restart"/>
          </w:tcPr>
          <w:p>
            <w:pPr>
              <w:pStyle w:val="0"/>
              <w:jc w:val="center"/>
            </w:pPr>
            <w:r>
              <w:rPr>
                <w:sz w:val="20"/>
              </w:rPr>
            </w:r>
          </w:p>
        </w:tc>
        <w:tc>
          <w:tcPr>
            <w:tcW w:w="781" w:type="dxa"/>
            <w:tcBorders>
              <w:top w:val="nil"/>
              <w:right w:val="nil"/>
            </w:tcBorders>
            <w:vMerge w:val="restart"/>
          </w:tcPr>
          <w:p>
            <w:pPr>
              <w:pStyle w:val="0"/>
              <w:jc w:val="both"/>
            </w:pPr>
            <w:r>
              <w:rPr>
                <w:sz w:val="20"/>
              </w:rPr>
            </w:r>
          </w:p>
        </w:tc>
      </w:tr>
      <w:tr>
        <w:tblPrEx>
          <w:tblBorders>
            <w:left w:val="nil"/>
            <w:insideV w:val="single" w:sz="4"/>
            <w:insideH w:val="nil"/>
          </w:tblBorders>
        </w:tblPrEx>
        <w:tc>
          <w:tcPr>
            <w:gridSpan w:val="3"/>
            <w:tcBorders>
              <w:top w:val="nil"/>
              <w:left w:val="nil"/>
              <w:bottom w:val="nil"/>
              <w:right w:val="nil"/>
            </w:tcBorders>
            <w:vMerge w:val="continue"/>
          </w:tcPr>
          <w:p/>
        </w:tc>
        <w:tc>
          <w:tcPr>
            <w:gridSpan w:val="5"/>
            <w:tcBorders>
              <w:bottom w:val="nil"/>
            </w:tcBorders>
            <w:vMerge w:val="continue"/>
          </w:tcPr>
          <w:p/>
        </w:tc>
        <w:tc>
          <w:tcPr>
            <w:gridSpan w:val="6"/>
            <w:tcBorders>
              <w:bottom w:val="nil"/>
            </w:tcBorders>
            <w:vMerge w:val="continue"/>
          </w:tcPr>
          <w:p/>
        </w:tc>
        <w:tc>
          <w:tcPr>
            <w:gridSpan w:val="10"/>
            <w:tcW w:w="3752" w:type="dxa"/>
            <w:tcBorders>
              <w:top w:val="nil"/>
              <w:bottom w:val="nil"/>
            </w:tcBorders>
          </w:tcPr>
          <w:p>
            <w:pPr>
              <w:pStyle w:val="0"/>
              <w:jc w:val="center"/>
            </w:pPr>
            <w:r>
              <w:rPr>
                <w:sz w:val="20"/>
              </w:rPr>
            </w:r>
          </w:p>
        </w:tc>
        <w:tc>
          <w:tcPr>
            <w:gridSpan w:val="2"/>
            <w:tcW w:w="1165" w:type="dxa"/>
            <w:tcBorders>
              <w:top w:val="nil"/>
              <w:right w:val="nil"/>
            </w:tcBorders>
          </w:tcPr>
          <w:p>
            <w:pPr>
              <w:pStyle w:val="0"/>
              <w:jc w:val="center"/>
            </w:pPr>
            <w:r>
              <w:rPr>
                <w:sz w:val="20"/>
              </w:rPr>
            </w:r>
          </w:p>
        </w:tc>
        <w:tc>
          <w:tcPr>
            <w:gridSpan w:val="3"/>
            <w:tcW w:w="1020" w:type="dxa"/>
            <w:tcBorders>
              <w:top w:val="nil"/>
              <w:left w:val="nil"/>
              <w:bottom w:val="nil"/>
            </w:tcBorders>
            <w:vMerge w:val="restart"/>
          </w:tcPr>
          <w:p>
            <w:pPr>
              <w:pStyle w:val="0"/>
              <w:jc w:val="center"/>
            </w:pPr>
            <w:r>
              <w:rPr>
                <w:sz w:val="20"/>
              </w:rPr>
            </w:r>
          </w:p>
        </w:tc>
        <w:tc>
          <w:tcPr>
            <w:gridSpan w:val="3"/>
            <w:tcBorders>
              <w:bottom w:val="nil"/>
            </w:tcBorders>
            <w:vMerge w:val="continue"/>
          </w:tcPr>
          <w:p/>
        </w:tc>
        <w:tc>
          <w:tcPr>
            <w:gridSpan w:val="6"/>
            <w:tcBorders>
              <w:bottom w:val="nil"/>
            </w:tcBorders>
            <w:vMerge w:val="continue"/>
          </w:tcPr>
          <w:p/>
        </w:tc>
        <w:tc>
          <w:tcPr>
            <w:gridSpan w:val="5"/>
            <w:tcBorders>
              <w:bottom w:val="nil"/>
            </w:tcBorders>
            <w:vMerge w:val="continue"/>
          </w:tcPr>
          <w:p/>
        </w:tc>
        <w:tc>
          <w:tcPr>
            <w:tcBorders>
              <w:top w:val="nil"/>
              <w:right w:val="nil"/>
            </w:tcBorders>
            <w:vMerge w:val="continue"/>
          </w:tcPr>
          <w:p/>
        </w:tc>
      </w:tr>
      <w:tr>
        <w:tblPrEx>
          <w:tblBorders>
            <w:left w:val="nil"/>
            <w:right w:val="single" w:sz="4"/>
            <w:insideV w:val="single" w:sz="4"/>
          </w:tblBorders>
        </w:tblPrEx>
        <w:tc>
          <w:tcPr>
            <w:gridSpan w:val="2"/>
            <w:tcW w:w="505" w:type="dxa"/>
            <w:tcBorders>
              <w:top w:val="nil"/>
              <w:left w:val="nil"/>
            </w:tcBorders>
            <w:vMerge w:val="restart"/>
          </w:tcPr>
          <w:p>
            <w:pPr>
              <w:pStyle w:val="0"/>
              <w:jc w:val="center"/>
            </w:pPr>
            <w:r>
              <w:rPr>
                <w:sz w:val="20"/>
              </w:rPr>
            </w:r>
          </w:p>
        </w:tc>
        <w:tc>
          <w:tcPr>
            <w:gridSpan w:val="4"/>
            <w:tcW w:w="3067" w:type="dxa"/>
          </w:tcPr>
          <w:p>
            <w:pPr>
              <w:pStyle w:val="0"/>
              <w:jc w:val="center"/>
            </w:pPr>
            <w:r>
              <w:rPr>
                <w:sz w:val="20"/>
              </w:rPr>
              <w:t xml:space="preserve">Заместитель главного врача по медицинской части</w:t>
            </w:r>
          </w:p>
        </w:tc>
        <w:tc>
          <w:tcPr>
            <w:tcW w:w="495" w:type="dxa"/>
            <w:tcBorders>
              <w:top w:val="nil"/>
              <w:bottom w:val="nil"/>
            </w:tcBorders>
          </w:tcPr>
          <w:p>
            <w:pPr>
              <w:pStyle w:val="0"/>
              <w:jc w:val="center"/>
            </w:pPr>
            <w:r>
              <w:rPr>
                <w:sz w:val="20"/>
              </w:rPr>
            </w:r>
          </w:p>
        </w:tc>
        <w:tc>
          <w:tcPr>
            <w:gridSpan w:val="4"/>
            <w:tcW w:w="1825" w:type="dxa"/>
          </w:tcPr>
          <w:p>
            <w:pPr>
              <w:pStyle w:val="0"/>
              <w:jc w:val="center"/>
            </w:pPr>
            <w:r>
              <w:rPr>
                <w:sz w:val="20"/>
              </w:rPr>
              <w:t xml:space="preserve">Главный фельдшер</w:t>
            </w:r>
          </w:p>
        </w:tc>
        <w:tc>
          <w:tcPr>
            <w:tcW w:w="495" w:type="dxa"/>
            <w:tcBorders>
              <w:top w:val="nil"/>
              <w:bottom w:val="nil"/>
            </w:tcBorders>
          </w:tcPr>
          <w:p>
            <w:pPr>
              <w:pStyle w:val="0"/>
              <w:jc w:val="center"/>
            </w:pPr>
            <w:r>
              <w:rPr>
                <w:sz w:val="20"/>
              </w:rPr>
            </w:r>
          </w:p>
        </w:tc>
        <w:tc>
          <w:tcPr>
            <w:gridSpan w:val="8"/>
            <w:tcW w:w="3489" w:type="dxa"/>
          </w:tcPr>
          <w:p>
            <w:pPr>
              <w:pStyle w:val="0"/>
              <w:jc w:val="center"/>
            </w:pPr>
            <w:r>
              <w:rPr>
                <w:sz w:val="20"/>
              </w:rPr>
              <w:t xml:space="preserve">Заместитель главного врача по экономическим вопросам</w:t>
            </w:r>
          </w:p>
        </w:tc>
        <w:tc>
          <w:tcPr>
            <w:gridSpan w:val="3"/>
            <w:tcW w:w="1020" w:type="dxa"/>
            <w:tcBorders>
              <w:top w:val="nil"/>
              <w:bottom w:val="nil"/>
            </w:tcBorders>
          </w:tcPr>
          <w:p>
            <w:pPr>
              <w:pStyle w:val="0"/>
              <w:jc w:val="center"/>
            </w:pPr>
            <w:r>
              <w:rPr>
                <w:sz w:val="20"/>
              </w:rPr>
            </w:r>
          </w:p>
        </w:tc>
        <w:tc>
          <w:tcPr>
            <w:gridSpan w:val="3"/>
            <w:tcW w:w="1825" w:type="dxa"/>
          </w:tcPr>
          <w:p>
            <w:pPr>
              <w:pStyle w:val="0"/>
              <w:jc w:val="center"/>
            </w:pPr>
            <w:r>
              <w:rPr>
                <w:sz w:val="20"/>
              </w:rPr>
              <w:t xml:space="preserve">Главный бухгалтер</w:t>
            </w:r>
          </w:p>
        </w:tc>
        <w:tc>
          <w:tcPr>
            <w:gridSpan w:val="3"/>
            <w:tcBorders>
              <w:top w:val="nil"/>
              <w:left w:val="nil"/>
              <w:bottom w:val="nil"/>
            </w:tcBorders>
            <w:vMerge w:val="continue"/>
          </w:tcPr>
          <w:p/>
        </w:tc>
        <w:tc>
          <w:tcPr>
            <w:tcW w:w="340" w:type="dxa"/>
            <w:tcBorders>
              <w:top w:val="nil"/>
              <w:bottom w:val="nil"/>
            </w:tcBorders>
          </w:tcPr>
          <w:p>
            <w:pPr>
              <w:pStyle w:val="0"/>
              <w:jc w:val="center"/>
            </w:pPr>
            <w:r>
              <w:rPr>
                <w:sz w:val="20"/>
              </w:rPr>
            </w:r>
          </w:p>
        </w:tc>
        <w:tc>
          <w:tcPr>
            <w:gridSpan w:val="6"/>
            <w:tcW w:w="2860" w:type="dxa"/>
          </w:tcPr>
          <w:p>
            <w:pPr>
              <w:pStyle w:val="0"/>
              <w:jc w:val="center"/>
            </w:pPr>
            <w:r>
              <w:rPr>
                <w:sz w:val="20"/>
              </w:rPr>
              <w:t xml:space="preserve">Заместитель главного врача по медицине катастроф</w:t>
            </w:r>
          </w:p>
        </w:tc>
        <w:tc>
          <w:tcPr>
            <w:tcW w:w="340" w:type="dxa"/>
            <w:tcBorders>
              <w:top w:val="nil"/>
              <w:bottom w:val="nil"/>
            </w:tcBorders>
          </w:tcPr>
          <w:p>
            <w:pPr>
              <w:pStyle w:val="0"/>
              <w:jc w:val="center"/>
            </w:pPr>
            <w:r>
              <w:rPr>
                <w:sz w:val="20"/>
              </w:rPr>
            </w:r>
          </w:p>
        </w:tc>
        <w:tc>
          <w:tcPr>
            <w:gridSpan w:val="3"/>
            <w:tcW w:w="1727" w:type="dxa"/>
          </w:tcPr>
          <w:p>
            <w:pPr>
              <w:pStyle w:val="0"/>
              <w:jc w:val="center"/>
            </w:pPr>
            <w:r>
              <w:rPr>
                <w:sz w:val="20"/>
              </w:rPr>
              <w:t xml:space="preserve">Начальник отдела кадров</w:t>
            </w:r>
          </w:p>
        </w:tc>
        <w:tc>
          <w:tcPr>
            <w:tcW w:w="340" w:type="dxa"/>
            <w:tcBorders>
              <w:top w:val="nil"/>
              <w:bottom w:val="nil"/>
            </w:tcBorders>
          </w:tcPr>
          <w:p>
            <w:pPr>
              <w:pStyle w:val="0"/>
              <w:jc w:val="center"/>
            </w:pPr>
            <w:r>
              <w:rPr>
                <w:sz w:val="20"/>
              </w:rPr>
            </w:r>
          </w:p>
        </w:tc>
        <w:tc>
          <w:tcPr>
            <w:gridSpan w:val="3"/>
            <w:tcW w:w="1675" w:type="dxa"/>
          </w:tcPr>
          <w:p>
            <w:pPr>
              <w:pStyle w:val="0"/>
              <w:jc w:val="center"/>
            </w:pPr>
            <w:r>
              <w:rPr>
                <w:sz w:val="20"/>
              </w:rPr>
              <w:t xml:space="preserve">Начальник гаража</w:t>
            </w:r>
          </w:p>
        </w:tc>
      </w:tr>
      <w:tr>
        <w:tblPrEx>
          <w:tblBorders>
            <w:left w:val="nil"/>
            <w:insideV w:val="single" w:sz="4"/>
          </w:tblBorders>
        </w:tblPrEx>
        <w:tc>
          <w:tcPr>
            <w:gridSpan w:val="2"/>
            <w:tcBorders>
              <w:top w:val="nil"/>
              <w:left w:val="nil"/>
            </w:tcBorders>
            <w:vMerge w:val="continue"/>
          </w:tcPr>
          <w:p/>
        </w:tc>
        <w:tc>
          <w:tcPr>
            <w:tcW w:w="1650" w:type="dxa"/>
            <w:tcBorders>
              <w:left w:val="nil"/>
            </w:tcBorders>
          </w:tcPr>
          <w:p>
            <w:pPr>
              <w:pStyle w:val="0"/>
              <w:jc w:val="center"/>
            </w:pPr>
            <w:r>
              <w:rPr>
                <w:sz w:val="20"/>
              </w:rPr>
            </w:r>
          </w:p>
        </w:tc>
        <w:tc>
          <w:tcPr>
            <w:gridSpan w:val="10"/>
            <w:tcW w:w="4572" w:type="dxa"/>
            <w:tcBorders>
              <w:top w:val="nil"/>
              <w:right w:val="nil"/>
            </w:tcBorders>
          </w:tcPr>
          <w:p>
            <w:pPr>
              <w:pStyle w:val="0"/>
              <w:jc w:val="center"/>
            </w:pPr>
            <w:r>
              <w:rPr>
                <w:sz w:val="20"/>
              </w:rPr>
            </w:r>
          </w:p>
        </w:tc>
        <w:tc>
          <w:tcPr>
            <w:gridSpan w:val="5"/>
            <w:tcW w:w="2417" w:type="dxa"/>
            <w:tcBorders>
              <w:left w:val="nil"/>
              <w:bottom w:val="nil"/>
            </w:tcBorders>
            <w:vMerge w:val="restart"/>
          </w:tcPr>
          <w:p>
            <w:pPr>
              <w:pStyle w:val="0"/>
              <w:jc w:val="center"/>
            </w:pPr>
            <w:r>
              <w:rPr>
                <w:sz w:val="20"/>
              </w:rPr>
            </w:r>
          </w:p>
        </w:tc>
        <w:tc>
          <w:tcPr>
            <w:gridSpan w:val="6"/>
            <w:tcW w:w="2412" w:type="dxa"/>
            <w:tcBorders>
              <w:top w:val="nil"/>
              <w:bottom w:val="nil"/>
            </w:tcBorders>
            <w:vMerge w:val="restart"/>
          </w:tcPr>
          <w:p>
            <w:pPr>
              <w:pStyle w:val="0"/>
              <w:jc w:val="center"/>
            </w:pPr>
            <w:r>
              <w:rPr>
                <w:sz w:val="20"/>
              </w:rPr>
            </w:r>
          </w:p>
        </w:tc>
        <w:tc>
          <w:tcPr>
            <w:gridSpan w:val="2"/>
            <w:tcW w:w="1165" w:type="dxa"/>
            <w:tcBorders>
              <w:right w:val="nil"/>
            </w:tcBorders>
            <w:vMerge w:val="restart"/>
          </w:tcPr>
          <w:p>
            <w:pPr>
              <w:pStyle w:val="0"/>
              <w:jc w:val="both"/>
            </w:pPr>
            <w:r>
              <w:rPr>
                <w:sz w:val="20"/>
              </w:rPr>
            </w:r>
          </w:p>
        </w:tc>
        <w:tc>
          <w:tcPr>
            <w:gridSpan w:val="3"/>
            <w:tcBorders>
              <w:top w:val="nil"/>
              <w:left w:val="nil"/>
              <w:bottom w:val="nil"/>
            </w:tcBorders>
            <w:vMerge w:val="continue"/>
          </w:tcPr>
          <w:p/>
        </w:tc>
        <w:tc>
          <w:tcPr>
            <w:gridSpan w:val="9"/>
            <w:tcW w:w="4365" w:type="dxa"/>
            <w:tcBorders>
              <w:top w:val="nil"/>
              <w:bottom w:val="nil"/>
            </w:tcBorders>
            <w:vMerge w:val="restart"/>
          </w:tcPr>
          <w:p>
            <w:pPr>
              <w:pStyle w:val="0"/>
              <w:jc w:val="center"/>
            </w:pPr>
            <w:r>
              <w:rPr>
                <w:sz w:val="20"/>
              </w:rPr>
            </w:r>
          </w:p>
        </w:tc>
        <w:tc>
          <w:tcPr>
            <w:gridSpan w:val="5"/>
            <w:tcW w:w="2136" w:type="dxa"/>
            <w:tcBorders>
              <w:top w:val="nil"/>
              <w:bottom w:val="nil"/>
            </w:tcBorders>
            <w:vMerge w:val="restart"/>
          </w:tcPr>
          <w:p>
            <w:pPr>
              <w:pStyle w:val="0"/>
              <w:jc w:val="both"/>
            </w:pPr>
            <w:r>
              <w:rPr>
                <w:sz w:val="20"/>
              </w:rPr>
            </w:r>
          </w:p>
        </w:tc>
        <w:tc>
          <w:tcPr>
            <w:tcW w:w="781" w:type="dxa"/>
            <w:tcBorders>
              <w:right w:val="nil"/>
            </w:tcBorders>
            <w:vMerge w:val="restart"/>
          </w:tcPr>
          <w:p>
            <w:pPr>
              <w:pStyle w:val="0"/>
              <w:jc w:val="both"/>
            </w:pPr>
            <w:r>
              <w:rPr>
                <w:sz w:val="20"/>
              </w:rPr>
            </w:r>
          </w:p>
        </w:tc>
      </w:tr>
      <w:tr>
        <w:tc>
          <w:tcPr>
            <w:tcW w:w="340" w:type="dxa"/>
            <w:tcBorders>
              <w:left w:val="single" w:sz="4"/>
              <w:right w:val="nil"/>
            </w:tcBorders>
            <w:vMerge w:val="restart"/>
          </w:tcPr>
          <w:p>
            <w:pPr>
              <w:pStyle w:val="0"/>
              <w:jc w:val="both"/>
            </w:pPr>
            <w:r>
              <w:rPr>
                <w:sz w:val="20"/>
              </w:rPr>
            </w:r>
          </w:p>
        </w:tc>
        <w:tc>
          <w:tcPr>
            <w:gridSpan w:val="3"/>
            <w:tcW w:w="2382" w:type="dxa"/>
            <w:tcBorders>
              <w:left w:val="nil"/>
              <w:right w:val="nil"/>
            </w:tcBorders>
          </w:tcPr>
          <w:p>
            <w:pPr>
              <w:pStyle w:val="0"/>
              <w:jc w:val="center"/>
            </w:pPr>
            <w:r>
              <w:rPr>
                <w:sz w:val="20"/>
              </w:rPr>
            </w:r>
          </w:p>
        </w:tc>
        <w:tc>
          <w:tcPr>
            <w:tcW w:w="340" w:type="dxa"/>
            <w:tcBorders>
              <w:left w:val="nil"/>
              <w:bottom w:val="nil"/>
              <w:right w:val="nil"/>
            </w:tcBorders>
            <w:vMerge w:val="restart"/>
          </w:tcPr>
          <w:p>
            <w:pPr>
              <w:pStyle w:val="0"/>
              <w:jc w:val="center"/>
            </w:pPr>
            <w:r>
              <w:rPr>
                <w:sz w:val="20"/>
              </w:rPr>
            </w:r>
          </w:p>
        </w:tc>
        <w:tc>
          <w:tcPr>
            <w:gridSpan w:val="2"/>
            <w:tcW w:w="1005" w:type="dxa"/>
            <w:tcBorders>
              <w:left w:val="nil"/>
              <w:right w:val="single" w:sz="4"/>
            </w:tcBorders>
          </w:tcPr>
          <w:p>
            <w:pPr>
              <w:pStyle w:val="0"/>
              <w:jc w:val="center"/>
            </w:pPr>
            <w:r>
              <w:rPr>
                <w:sz w:val="20"/>
              </w:rPr>
            </w:r>
          </w:p>
        </w:tc>
        <w:tc>
          <w:tcPr>
            <w:gridSpan w:val="2"/>
            <w:tcW w:w="1155" w:type="dxa"/>
            <w:tcBorders>
              <w:left w:val="single" w:sz="4"/>
              <w:right w:val="nil"/>
            </w:tcBorders>
          </w:tcPr>
          <w:p>
            <w:pPr>
              <w:pStyle w:val="0"/>
              <w:jc w:val="center"/>
            </w:pPr>
            <w:r>
              <w:rPr>
                <w:sz w:val="20"/>
              </w:rPr>
            </w:r>
          </w:p>
        </w:tc>
        <w:tc>
          <w:tcPr>
            <w:tcW w:w="340" w:type="dxa"/>
            <w:tcBorders>
              <w:left w:val="nil"/>
              <w:right w:val="nil"/>
            </w:tcBorders>
            <w:vMerge w:val="restart"/>
          </w:tcPr>
          <w:p>
            <w:pPr>
              <w:pStyle w:val="0"/>
              <w:jc w:val="center"/>
            </w:pPr>
            <w:r>
              <w:rPr>
                <w:sz w:val="20"/>
              </w:rPr>
            </w:r>
          </w:p>
        </w:tc>
        <w:tc>
          <w:tcPr>
            <w:gridSpan w:val="3"/>
            <w:tcW w:w="1165" w:type="dxa"/>
            <w:tcBorders>
              <w:left w:val="nil"/>
              <w:right w:val="single" w:sz="4"/>
            </w:tcBorders>
          </w:tcPr>
          <w:p>
            <w:pPr>
              <w:pStyle w:val="0"/>
              <w:jc w:val="center"/>
            </w:pPr>
            <w:r>
              <w:rPr>
                <w:sz w:val="20"/>
              </w:rPr>
            </w:r>
          </w:p>
        </w:tc>
        <w:tc>
          <w:tcPr>
            <w:gridSpan w:val="5"/>
            <w:tcBorders>
              <w:left w:val="nil"/>
              <w:bottom w:val="nil"/>
              <w:right w:val="single" w:sz="4"/>
            </w:tcBorders>
            <w:vMerge w:val="continue"/>
          </w:tcPr>
          <w:p/>
        </w:tc>
        <w:tc>
          <w:tcPr>
            <w:gridSpan w:val="6"/>
            <w:tcBorders>
              <w:top w:val="nil"/>
              <w:left w:val="single" w:sz="4"/>
              <w:bottom w:val="nil"/>
              <w:right w:val="single" w:sz="4"/>
            </w:tcBorders>
            <w:vMerge w:val="continue"/>
          </w:tcPr>
          <w:p/>
        </w:tc>
        <w:tc>
          <w:tcPr>
            <w:gridSpan w:val="2"/>
            <w:tcBorders>
              <w:left w:val="single" w:sz="4"/>
              <w:right w:val="nil"/>
            </w:tcBorders>
            <w:vMerge w:val="continue"/>
          </w:tcPr>
          <w:p/>
        </w:tc>
        <w:tc>
          <w:tcPr>
            <w:gridSpan w:val="3"/>
            <w:tcBorders>
              <w:top w:val="nil"/>
              <w:left w:val="nil"/>
              <w:bottom w:val="nil"/>
              <w:right w:val="single" w:sz="4"/>
            </w:tcBorders>
            <w:vMerge w:val="continue"/>
          </w:tcPr>
          <w:p/>
        </w:tc>
        <w:tc>
          <w:tcPr>
            <w:gridSpan w:val="9"/>
            <w:tcBorders>
              <w:top w:val="nil"/>
              <w:left w:val="single" w:sz="4"/>
              <w:bottom w:val="nil"/>
              <w:right w:val="single" w:sz="4"/>
            </w:tcBorders>
            <w:vMerge w:val="continue"/>
          </w:tcPr>
          <w:p/>
        </w:tc>
        <w:tc>
          <w:tcPr>
            <w:gridSpan w:val="5"/>
            <w:tcBorders>
              <w:top w:val="nil"/>
              <w:left w:val="single" w:sz="4"/>
              <w:bottom w:val="nil"/>
              <w:right w:val="single" w:sz="4"/>
            </w:tcBorders>
            <w:vMerge w:val="continue"/>
          </w:tcPr>
          <w:p/>
        </w:tc>
        <w:tc>
          <w:tcPr>
            <w:tcBorders>
              <w:left w:val="single" w:sz="4"/>
              <w:right w:val="nil"/>
            </w:tcBorders>
            <w:vMerge w:val="continue"/>
          </w:tcPr>
          <w:p/>
        </w:tc>
      </w:tr>
      <w:tr>
        <w:tblPrEx>
          <w:tblBorders>
            <w:right w:val="single" w:sz="4"/>
            <w:insideV w:val="single" w:sz="4"/>
          </w:tblBorders>
        </w:tblPrEx>
        <w:tc>
          <w:tcPr>
            <w:tcBorders>
              <w:right w:val="nil"/>
            </w:tcBorders>
            <w:vMerge w:val="continue"/>
          </w:tcPr>
          <w:p/>
        </w:tc>
        <w:tc>
          <w:tcPr>
            <w:gridSpan w:val="3"/>
            <w:tcW w:w="2382" w:type="dxa"/>
            <w:vMerge w:val="restart"/>
          </w:tcPr>
          <w:p>
            <w:pPr>
              <w:pStyle w:val="0"/>
              <w:jc w:val="center"/>
            </w:pPr>
            <w:r>
              <w:rPr>
                <w:sz w:val="20"/>
              </w:rPr>
              <w:t xml:space="preserve">Подстанция N 1</w:t>
            </w:r>
          </w:p>
        </w:tc>
        <w:tc>
          <w:tcPr>
            <w:tcBorders>
              <w:left w:val="nil"/>
              <w:bottom w:val="nil"/>
              <w:right w:val="nil"/>
            </w:tcBorders>
            <w:vMerge w:val="continue"/>
          </w:tcPr>
          <w:p/>
        </w:tc>
        <w:tc>
          <w:tcPr>
            <w:gridSpan w:val="4"/>
            <w:tcW w:w="2160" w:type="dxa"/>
            <w:vMerge w:val="restart"/>
          </w:tcPr>
          <w:p>
            <w:pPr>
              <w:pStyle w:val="0"/>
              <w:jc w:val="center"/>
            </w:pPr>
            <w:r>
              <w:rPr>
                <w:sz w:val="20"/>
              </w:rPr>
              <w:t xml:space="preserve">Оперативный отдел "103"</w:t>
            </w:r>
          </w:p>
        </w:tc>
        <w:tc>
          <w:tcPr>
            <w:tcBorders>
              <w:left w:val="nil"/>
              <w:right w:val="nil"/>
            </w:tcBorders>
            <w:vMerge w:val="continue"/>
          </w:tcPr>
          <w:p/>
        </w:tc>
        <w:tc>
          <w:tcPr>
            <w:gridSpan w:val="4"/>
            <w:tcW w:w="2242" w:type="dxa"/>
            <w:vMerge w:val="restart"/>
          </w:tcPr>
          <w:p>
            <w:pPr>
              <w:pStyle w:val="0"/>
              <w:jc w:val="center"/>
            </w:pPr>
            <w:r>
              <w:rPr>
                <w:sz w:val="20"/>
              </w:rPr>
              <w:t xml:space="preserve">Статистический отдел</w:t>
            </w:r>
          </w:p>
        </w:tc>
        <w:tc>
          <w:tcPr>
            <w:tcW w:w="340" w:type="dxa"/>
            <w:tcBorders>
              <w:top w:val="nil"/>
              <w:left w:val="nil"/>
              <w:right w:val="nil"/>
            </w:tcBorders>
            <w:vMerge w:val="restart"/>
          </w:tcPr>
          <w:p>
            <w:pPr>
              <w:pStyle w:val="0"/>
              <w:jc w:val="center"/>
            </w:pPr>
            <w:r>
              <w:rPr>
                <w:sz w:val="20"/>
              </w:rPr>
            </w:r>
          </w:p>
        </w:tc>
        <w:tc>
          <w:tcPr>
            <w:gridSpan w:val="6"/>
            <w:tcW w:w="2072" w:type="dxa"/>
            <w:vMerge w:val="restart"/>
          </w:tcPr>
          <w:p>
            <w:pPr>
              <w:pStyle w:val="0"/>
              <w:jc w:val="center"/>
            </w:pPr>
            <w:r>
              <w:rPr>
                <w:sz w:val="20"/>
              </w:rPr>
              <w:t xml:space="preserve">Экономический отдел</w:t>
            </w:r>
          </w:p>
        </w:tc>
        <w:tc>
          <w:tcPr>
            <w:tcW w:w="340" w:type="dxa"/>
            <w:tcBorders>
              <w:top w:val="nil"/>
              <w:left w:val="nil"/>
              <w:right w:val="nil"/>
            </w:tcBorders>
            <w:vMerge w:val="restart"/>
          </w:tcPr>
          <w:p>
            <w:pPr>
              <w:pStyle w:val="0"/>
              <w:jc w:val="center"/>
            </w:pPr>
            <w:r>
              <w:rPr>
                <w:sz w:val="20"/>
              </w:rPr>
            </w:r>
          </w:p>
        </w:tc>
        <w:tc>
          <w:tcPr>
            <w:gridSpan w:val="5"/>
            <w:tcW w:w="2505" w:type="dxa"/>
            <w:vMerge w:val="restart"/>
          </w:tcPr>
          <w:p>
            <w:pPr>
              <w:pStyle w:val="0"/>
              <w:jc w:val="center"/>
            </w:pPr>
            <w:r>
              <w:rPr>
                <w:sz w:val="20"/>
              </w:rPr>
              <w:t xml:space="preserve">Бухгалтерия</w:t>
            </w:r>
          </w:p>
        </w:tc>
        <w:tc>
          <w:tcPr>
            <w:gridSpan w:val="2"/>
            <w:tcW w:w="680" w:type="dxa"/>
            <w:tcBorders>
              <w:top w:val="nil"/>
              <w:left w:val="nil"/>
              <w:bottom w:val="nil"/>
            </w:tcBorders>
            <w:vMerge w:val="restart"/>
          </w:tcPr>
          <w:p>
            <w:pPr>
              <w:pStyle w:val="0"/>
              <w:jc w:val="both"/>
            </w:pPr>
            <w:r>
              <w:rPr>
                <w:sz w:val="20"/>
              </w:rPr>
            </w:r>
          </w:p>
        </w:tc>
        <w:tc>
          <w:tcPr>
            <w:tcW w:w="340" w:type="dxa"/>
            <w:tcBorders>
              <w:top w:val="nil"/>
            </w:tcBorders>
          </w:tcPr>
          <w:p>
            <w:pPr>
              <w:pStyle w:val="0"/>
              <w:jc w:val="center"/>
            </w:pPr>
            <w:r>
              <w:rPr>
                <w:sz w:val="20"/>
              </w:rPr>
            </w:r>
          </w:p>
        </w:tc>
        <w:tc>
          <w:tcPr>
            <w:gridSpan w:val="4"/>
            <w:tcW w:w="2025" w:type="dxa"/>
            <w:vMerge w:val="restart"/>
          </w:tcPr>
          <w:p>
            <w:pPr>
              <w:pStyle w:val="0"/>
              <w:jc w:val="center"/>
            </w:pPr>
            <w:r>
              <w:rPr>
                <w:sz w:val="20"/>
              </w:rPr>
              <w:t xml:space="preserve">Хозяйственный отдел</w:t>
            </w:r>
          </w:p>
        </w:tc>
        <w:tc>
          <w:tcPr>
            <w:tcW w:w="495" w:type="dxa"/>
            <w:tcBorders>
              <w:top w:val="nil"/>
              <w:bottom w:val="nil"/>
            </w:tcBorders>
            <w:vMerge w:val="restart"/>
          </w:tcPr>
          <w:p>
            <w:pPr>
              <w:pStyle w:val="0"/>
              <w:jc w:val="center"/>
            </w:pPr>
            <w:r>
              <w:rPr>
                <w:sz w:val="20"/>
              </w:rPr>
            </w:r>
          </w:p>
        </w:tc>
        <w:tc>
          <w:tcPr>
            <w:gridSpan w:val="4"/>
            <w:tcW w:w="2067" w:type="dxa"/>
            <w:vMerge w:val="restart"/>
          </w:tcPr>
          <w:p>
            <w:pPr>
              <w:pStyle w:val="0"/>
              <w:jc w:val="center"/>
            </w:pPr>
            <w:r>
              <w:rPr>
                <w:sz w:val="20"/>
              </w:rPr>
              <w:t xml:space="preserve">Отдел кадров</w:t>
            </w:r>
          </w:p>
        </w:tc>
        <w:tc>
          <w:tcPr>
            <w:gridSpan w:val="3"/>
            <w:tcW w:w="1020" w:type="dxa"/>
            <w:tcBorders>
              <w:top w:val="nil"/>
              <w:bottom w:val="nil"/>
            </w:tcBorders>
            <w:vMerge w:val="restart"/>
          </w:tcPr>
          <w:p>
            <w:pPr>
              <w:pStyle w:val="0"/>
              <w:jc w:val="both"/>
            </w:pPr>
            <w:r>
              <w:rPr>
                <w:sz w:val="20"/>
              </w:rPr>
            </w:r>
          </w:p>
        </w:tc>
        <w:tc>
          <w:tcPr>
            <w:gridSpan w:val="2"/>
            <w:tcW w:w="1335" w:type="dxa"/>
            <w:vMerge w:val="restart"/>
          </w:tcPr>
          <w:p>
            <w:pPr>
              <w:pStyle w:val="0"/>
              <w:jc w:val="center"/>
            </w:pPr>
            <w:r>
              <w:rPr>
                <w:sz w:val="20"/>
              </w:rPr>
              <w:t xml:space="preserve">Гараж</w:t>
            </w:r>
          </w:p>
        </w:tc>
      </w:tr>
      <w:tr>
        <w:tblPrEx>
          <w:tblBorders>
            <w:right w:val="single" w:sz="4"/>
            <w:insideV w:val="single" w:sz="4"/>
          </w:tblBorders>
        </w:tblPrEx>
        <w:tc>
          <w:tcPr>
            <w:tcW w:w="340" w:type="dxa"/>
            <w:tcBorders>
              <w:right w:val="nil"/>
            </w:tcBorders>
            <w:vMerge w:val="restart"/>
          </w:tcPr>
          <w:p>
            <w:pPr>
              <w:pStyle w:val="0"/>
              <w:jc w:val="both"/>
            </w:pPr>
            <w:r>
              <w:rPr>
                <w:sz w:val="20"/>
              </w:rPr>
            </w:r>
          </w:p>
        </w:tc>
        <w:tc>
          <w:tcPr>
            <w:gridSpan w:val="3"/>
            <w:vMerge w:val="continue"/>
          </w:tcPr>
          <w:p/>
        </w:tc>
        <w:tc>
          <w:tcPr>
            <w:tcBorders>
              <w:left w:val="nil"/>
              <w:bottom w:val="nil"/>
              <w:right w:val="nil"/>
            </w:tcBorders>
            <w:vMerge w:val="continue"/>
          </w:tcPr>
          <w:p/>
        </w:tc>
        <w:tc>
          <w:tcPr>
            <w:gridSpan w:val="4"/>
            <w:vMerge w:val="continue"/>
          </w:tcPr>
          <w:p/>
        </w:tc>
        <w:tc>
          <w:tcPr>
            <w:tcBorders>
              <w:left w:val="nil"/>
              <w:right w:val="nil"/>
            </w:tcBorders>
            <w:vMerge w:val="continue"/>
          </w:tcPr>
          <w:p/>
        </w:tc>
        <w:tc>
          <w:tcPr>
            <w:gridSpan w:val="4"/>
            <w:vMerge w:val="continue"/>
          </w:tcPr>
          <w:p/>
        </w:tc>
        <w:tc>
          <w:tcPr>
            <w:tcBorders>
              <w:top w:val="nil"/>
              <w:left w:val="nil"/>
              <w:right w:val="nil"/>
            </w:tcBorders>
            <w:vMerge w:val="continue"/>
          </w:tcPr>
          <w:p/>
        </w:tc>
        <w:tc>
          <w:tcPr>
            <w:gridSpan w:val="6"/>
            <w:vMerge w:val="continue"/>
          </w:tcPr>
          <w:p/>
        </w:tc>
        <w:tc>
          <w:tcPr>
            <w:tcBorders>
              <w:top w:val="nil"/>
              <w:left w:val="nil"/>
              <w:right w:val="nil"/>
            </w:tcBorders>
            <w:vMerge w:val="continue"/>
          </w:tcPr>
          <w:p/>
        </w:tc>
        <w:tc>
          <w:tcPr>
            <w:gridSpan w:val="5"/>
            <w:vMerge w:val="continue"/>
          </w:tcPr>
          <w:p/>
        </w:tc>
        <w:tc>
          <w:tcPr>
            <w:gridSpan w:val="2"/>
            <w:tcBorders>
              <w:top w:val="nil"/>
              <w:left w:val="nil"/>
              <w:bottom w:val="nil"/>
            </w:tcBorders>
            <w:vMerge w:val="continue"/>
          </w:tcPr>
          <w:p/>
        </w:tc>
        <w:tc>
          <w:tcPr>
            <w:tcW w:w="340" w:type="dxa"/>
            <w:tcBorders>
              <w:right w:val="nil"/>
            </w:tcBorders>
            <w:vMerge w:val="restart"/>
          </w:tcPr>
          <w:p>
            <w:pPr>
              <w:pStyle w:val="0"/>
              <w:jc w:val="center"/>
            </w:pPr>
            <w:r>
              <w:rPr>
                <w:sz w:val="20"/>
              </w:rPr>
            </w:r>
          </w:p>
        </w:tc>
        <w:tc>
          <w:tcPr>
            <w:gridSpan w:val="4"/>
            <w:vMerge w:val="continue"/>
          </w:tcPr>
          <w:p/>
        </w:tc>
        <w:tc>
          <w:tcPr>
            <w:tcBorders>
              <w:top w:val="nil"/>
              <w:bottom w:val="nil"/>
            </w:tcBorders>
            <w:vMerge w:val="continue"/>
          </w:tcPr>
          <w:p/>
        </w:tc>
        <w:tc>
          <w:tcPr>
            <w:gridSpan w:val="4"/>
            <w:vMerge w:val="continue"/>
          </w:tcPr>
          <w:p/>
        </w:tc>
        <w:tc>
          <w:tcPr>
            <w:gridSpan w:val="3"/>
            <w:tcBorders>
              <w:top w:val="nil"/>
              <w:bottom w:val="nil"/>
            </w:tcBorders>
            <w:vMerge w:val="continue"/>
          </w:tcPr>
          <w:p/>
        </w:tc>
        <w:tc>
          <w:tcPr>
            <w:gridSpan w:val="2"/>
            <w:vMerge w:val="continue"/>
          </w:tcPr>
          <w:p/>
        </w:tc>
      </w:tr>
      <w:tr>
        <w:tc>
          <w:tcPr>
            <w:tcBorders>
              <w:left w:val="single" w:sz="4"/>
              <w:right w:val="nil"/>
            </w:tcBorders>
            <w:vMerge w:val="continue"/>
          </w:tcPr>
          <w:p/>
        </w:tc>
        <w:tc>
          <w:tcPr>
            <w:gridSpan w:val="3"/>
            <w:tcW w:w="2382" w:type="dxa"/>
            <w:tcBorders>
              <w:left w:val="nil"/>
              <w:right w:val="nil"/>
            </w:tcBorders>
          </w:tcPr>
          <w:p>
            <w:pPr>
              <w:pStyle w:val="0"/>
              <w:jc w:val="center"/>
            </w:pPr>
            <w:r>
              <w:rPr>
                <w:sz w:val="20"/>
              </w:rPr>
            </w:r>
          </w:p>
        </w:tc>
        <w:tc>
          <w:tcPr>
            <w:tcBorders>
              <w:left w:val="nil"/>
              <w:bottom w:val="nil"/>
              <w:right w:val="nil"/>
            </w:tcBorders>
            <w:vMerge w:val="continue"/>
          </w:tcPr>
          <w:p/>
        </w:tc>
        <w:tc>
          <w:tcPr>
            <w:gridSpan w:val="4"/>
            <w:tcW w:w="2160" w:type="dxa"/>
            <w:tcBorders>
              <w:left w:val="nil"/>
              <w:bottom w:val="nil"/>
              <w:right w:val="nil"/>
            </w:tcBorders>
            <w:vMerge w:val="restart"/>
          </w:tcPr>
          <w:p>
            <w:pPr>
              <w:pStyle w:val="0"/>
              <w:jc w:val="center"/>
            </w:pPr>
            <w:r>
              <w:rPr>
                <w:sz w:val="20"/>
              </w:rPr>
            </w:r>
          </w:p>
        </w:tc>
        <w:tc>
          <w:tcPr>
            <w:tcBorders>
              <w:left w:val="nil"/>
              <w:right w:val="nil"/>
            </w:tcBorders>
            <w:vMerge w:val="continue"/>
          </w:tcPr>
          <w:p/>
        </w:tc>
        <w:tc>
          <w:tcPr>
            <w:gridSpan w:val="4"/>
            <w:tcW w:w="2242" w:type="dxa"/>
            <w:tcBorders>
              <w:left w:val="nil"/>
              <w:right w:val="nil"/>
            </w:tcBorders>
            <w:vMerge w:val="restart"/>
          </w:tcPr>
          <w:p>
            <w:pPr>
              <w:pStyle w:val="0"/>
              <w:jc w:val="center"/>
            </w:pPr>
            <w:r>
              <w:rPr>
                <w:sz w:val="20"/>
              </w:rPr>
            </w:r>
          </w:p>
        </w:tc>
        <w:tc>
          <w:tcPr>
            <w:tcBorders>
              <w:top w:val="nil"/>
              <w:left w:val="nil"/>
              <w:right w:val="nil"/>
            </w:tcBorders>
            <w:vMerge w:val="continue"/>
          </w:tcPr>
          <w:p/>
        </w:tc>
        <w:tc>
          <w:tcPr>
            <w:gridSpan w:val="6"/>
            <w:tcW w:w="2072" w:type="dxa"/>
            <w:tcBorders>
              <w:left w:val="nil"/>
              <w:bottom w:val="nil"/>
              <w:right w:val="nil"/>
            </w:tcBorders>
            <w:vMerge w:val="restart"/>
          </w:tcPr>
          <w:p>
            <w:pPr>
              <w:pStyle w:val="0"/>
              <w:jc w:val="center"/>
            </w:pPr>
            <w:r>
              <w:rPr>
                <w:sz w:val="20"/>
              </w:rPr>
            </w:r>
          </w:p>
        </w:tc>
        <w:tc>
          <w:tcPr>
            <w:tcBorders>
              <w:top w:val="nil"/>
              <w:left w:val="nil"/>
              <w:right w:val="nil"/>
            </w:tcBorders>
            <w:vMerge w:val="continue"/>
          </w:tcPr>
          <w:p/>
        </w:tc>
        <w:tc>
          <w:tcPr>
            <w:gridSpan w:val="5"/>
            <w:tcW w:w="2505" w:type="dxa"/>
            <w:tcBorders>
              <w:left w:val="nil"/>
              <w:right w:val="nil"/>
            </w:tcBorders>
            <w:vMerge w:val="restart"/>
          </w:tcPr>
          <w:p>
            <w:pPr>
              <w:pStyle w:val="0"/>
              <w:jc w:val="center"/>
            </w:pPr>
            <w:r>
              <w:rPr>
                <w:sz w:val="20"/>
              </w:rPr>
            </w:r>
          </w:p>
        </w:tc>
        <w:tc>
          <w:tcPr>
            <w:gridSpan w:val="2"/>
            <w:tcBorders>
              <w:top w:val="nil"/>
              <w:left w:val="nil"/>
              <w:bottom w:val="nil"/>
              <w:right w:val="single" w:sz="4"/>
            </w:tcBorders>
            <w:vMerge w:val="continue"/>
          </w:tcPr>
          <w:p/>
        </w:tc>
        <w:tc>
          <w:tcPr>
            <w:tcBorders>
              <w:left w:val="single" w:sz="4"/>
              <w:right w:val="nil"/>
            </w:tcBorders>
            <w:vMerge w:val="continue"/>
          </w:tcPr>
          <w:p/>
        </w:tc>
        <w:tc>
          <w:tcPr>
            <w:gridSpan w:val="3"/>
            <w:tcW w:w="1685" w:type="dxa"/>
            <w:tcBorders>
              <w:left w:val="nil"/>
              <w:right w:val="nil"/>
            </w:tcBorders>
          </w:tcPr>
          <w:p>
            <w:pPr>
              <w:pStyle w:val="0"/>
              <w:jc w:val="center"/>
            </w:pPr>
            <w:r>
              <w:rPr>
                <w:sz w:val="20"/>
              </w:rPr>
            </w:r>
          </w:p>
        </w:tc>
        <w:tc>
          <w:tcPr>
            <w:gridSpan w:val="11"/>
            <w:tcW w:w="5257" w:type="dxa"/>
            <w:tcBorders>
              <w:top w:val="nil"/>
              <w:left w:val="nil"/>
              <w:bottom w:val="nil"/>
              <w:right w:val="nil"/>
            </w:tcBorders>
            <w:vMerge w:val="restart"/>
          </w:tcPr>
          <w:p>
            <w:pPr>
              <w:pStyle w:val="0"/>
              <w:jc w:val="center"/>
            </w:pPr>
            <w:r>
              <w:rPr>
                <w:sz w:val="20"/>
              </w:rPr>
            </w:r>
          </w:p>
        </w:tc>
      </w:tr>
      <w:tr>
        <w:tc>
          <w:tcPr>
            <w:tcBorders>
              <w:left w:val="single" w:sz="4"/>
              <w:right w:val="nil"/>
            </w:tcBorders>
            <w:vMerge w:val="continue"/>
          </w:tcPr>
          <w:p/>
        </w:tc>
        <w:tc>
          <w:tcPr>
            <w:gridSpan w:val="3"/>
            <w:tcW w:w="2382" w:type="dxa"/>
            <w:tcBorders>
              <w:left w:val="single" w:sz="4"/>
              <w:right w:val="single" w:sz="4"/>
            </w:tcBorders>
            <w:vMerge w:val="restart"/>
          </w:tcPr>
          <w:p>
            <w:pPr>
              <w:pStyle w:val="0"/>
              <w:jc w:val="center"/>
            </w:pPr>
            <w:r>
              <w:rPr>
                <w:sz w:val="20"/>
              </w:rPr>
              <w:t xml:space="preserve">Подстанция N 2</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nil"/>
            </w:tcBorders>
            <w:vMerge w:val="continue"/>
          </w:tcPr>
          <w:p/>
        </w:tc>
        <w:tc>
          <w:tcPr>
            <w:gridSpan w:val="4"/>
            <w:tcBorders>
              <w:left w:val="nil"/>
              <w:right w:val="nil"/>
            </w:tcBorders>
            <w:vMerge w:val="continue"/>
          </w:tcPr>
          <w:p/>
        </w:tc>
        <w:tc>
          <w:tcPr>
            <w:tcBorders>
              <w:top w:val="nil"/>
              <w:left w:val="nil"/>
              <w:right w:val="nil"/>
            </w:tcBorders>
            <w:vMerge w:val="continue"/>
          </w:tcPr>
          <w:p/>
        </w:tc>
        <w:tc>
          <w:tcPr>
            <w:gridSpan w:val="6"/>
            <w:tcBorders>
              <w:left w:val="nil"/>
              <w:bottom w:val="nil"/>
              <w:right w:val="nil"/>
            </w:tcBorders>
            <w:vMerge w:val="continue"/>
          </w:tcPr>
          <w:p/>
        </w:tc>
        <w:tc>
          <w:tcPr>
            <w:tcBorders>
              <w:top w:val="nil"/>
              <w:left w:val="nil"/>
              <w:right w:val="nil"/>
            </w:tcBorders>
            <w:vMerge w:val="continue"/>
          </w:tcPr>
          <w:p/>
        </w:tc>
        <w:tc>
          <w:tcPr>
            <w:gridSpan w:val="5"/>
            <w:tcBorders>
              <w:left w:val="nil"/>
              <w:right w:val="nil"/>
            </w:tcBorders>
            <w:vMerge w:val="continue"/>
          </w:tcPr>
          <w:p/>
        </w:tc>
        <w:tc>
          <w:tcPr>
            <w:gridSpan w:val="2"/>
            <w:tcBorders>
              <w:top w:val="nil"/>
              <w:left w:val="nil"/>
              <w:bottom w:val="nil"/>
              <w:right w:val="single" w:sz="4"/>
            </w:tcBorders>
            <w:vMerge w:val="continue"/>
          </w:tcPr>
          <w:p/>
        </w:tc>
        <w:tc>
          <w:tcPr>
            <w:tcBorders>
              <w:left w:val="single" w:sz="4"/>
              <w:right w:val="nil"/>
            </w:tcBorders>
            <w:vMerge w:val="continue"/>
          </w:tcPr>
          <w:p/>
        </w:tc>
        <w:tc>
          <w:tcPr>
            <w:gridSpan w:val="3"/>
            <w:tcW w:w="1685" w:type="dxa"/>
            <w:tcBorders>
              <w:left w:val="single" w:sz="4"/>
              <w:right w:val="single" w:sz="4"/>
            </w:tcBorders>
            <w:vMerge w:val="restart"/>
          </w:tcPr>
          <w:p>
            <w:pPr>
              <w:pStyle w:val="0"/>
              <w:jc w:val="center"/>
            </w:pPr>
            <w:r>
              <w:rPr>
                <w:sz w:val="20"/>
              </w:rPr>
              <w:t xml:space="preserve">Отдел информации</w:t>
            </w:r>
          </w:p>
        </w:tc>
        <w:tc>
          <w:tcPr>
            <w:gridSpan w:val="11"/>
            <w:tcBorders>
              <w:top w:val="nil"/>
              <w:left w:val="nil"/>
              <w:bottom w:val="nil"/>
              <w:right w:val="nil"/>
            </w:tcBorders>
            <w:vMerge w:val="continue"/>
          </w:tcPr>
          <w:p/>
        </w:tc>
      </w:tr>
      <w:tr>
        <w:tc>
          <w:tcPr>
            <w:tcW w:w="340" w:type="dxa"/>
            <w:tcBorders>
              <w:left w:val="single" w:sz="4"/>
              <w:right w:val="nil"/>
            </w:tcBorders>
            <w:vMerge w:val="restart"/>
          </w:tcPr>
          <w:p>
            <w:pPr>
              <w:pStyle w:val="0"/>
              <w:jc w:val="both"/>
            </w:pPr>
            <w:r>
              <w:rPr>
                <w:sz w:val="20"/>
              </w:rPr>
            </w:r>
          </w:p>
        </w:tc>
        <w:tc>
          <w:tcPr>
            <w:gridSpan w:val="3"/>
            <w:tcBorders>
              <w:left w:val="single" w:sz="4"/>
              <w:right w:val="single" w:sz="4"/>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nil"/>
            </w:tcBorders>
            <w:vMerge w:val="continue"/>
          </w:tcPr>
          <w:p/>
        </w:tc>
        <w:tc>
          <w:tcPr>
            <w:gridSpan w:val="4"/>
            <w:tcBorders>
              <w:left w:val="nil"/>
              <w:right w:val="nil"/>
            </w:tcBorders>
            <w:vMerge w:val="continue"/>
          </w:tcPr>
          <w:p/>
        </w:tc>
        <w:tc>
          <w:tcPr>
            <w:tcBorders>
              <w:top w:val="nil"/>
              <w:left w:val="nil"/>
              <w:right w:val="nil"/>
            </w:tcBorders>
            <w:vMerge w:val="continue"/>
          </w:tcPr>
          <w:p/>
        </w:tc>
        <w:tc>
          <w:tcPr>
            <w:gridSpan w:val="6"/>
            <w:tcBorders>
              <w:left w:val="nil"/>
              <w:bottom w:val="nil"/>
              <w:right w:val="nil"/>
            </w:tcBorders>
            <w:vMerge w:val="continue"/>
          </w:tcPr>
          <w:p/>
        </w:tc>
        <w:tc>
          <w:tcPr>
            <w:tcBorders>
              <w:top w:val="nil"/>
              <w:left w:val="nil"/>
              <w:right w:val="nil"/>
            </w:tcBorders>
            <w:vMerge w:val="continue"/>
          </w:tcPr>
          <w:p/>
        </w:tc>
        <w:tc>
          <w:tcPr>
            <w:gridSpan w:val="5"/>
            <w:tcBorders>
              <w:left w:val="nil"/>
              <w:right w:val="nil"/>
            </w:tcBorders>
            <w:vMerge w:val="continue"/>
          </w:tcPr>
          <w:p/>
        </w:tc>
        <w:tc>
          <w:tcPr>
            <w:gridSpan w:val="3"/>
            <w:tcW w:w="1020" w:type="dxa"/>
            <w:tcBorders>
              <w:top w:val="nil"/>
              <w:left w:val="nil"/>
              <w:bottom w:val="nil"/>
              <w:right w:val="single" w:sz="4"/>
            </w:tcBorders>
            <w:vMerge w:val="restart"/>
          </w:tcPr>
          <w:p>
            <w:pPr>
              <w:pStyle w:val="0"/>
              <w:jc w:val="both"/>
            </w:pPr>
            <w:r>
              <w:rPr>
                <w:sz w:val="20"/>
              </w:rPr>
            </w:r>
          </w:p>
        </w:tc>
        <w:tc>
          <w:tcPr>
            <w:gridSpan w:val="3"/>
            <w:tcBorders>
              <w:left w:val="single" w:sz="4"/>
              <w:right w:val="single" w:sz="4"/>
            </w:tcBorders>
            <w:vMerge w:val="continue"/>
          </w:tcPr>
          <w:p/>
        </w:tc>
        <w:tc>
          <w:tcPr>
            <w:gridSpan w:val="11"/>
            <w:tcBorders>
              <w:top w:val="nil"/>
              <w:left w:val="nil"/>
              <w:bottom w:val="nil"/>
              <w:right w:val="nil"/>
            </w:tcBorders>
            <w:vMerge w:val="continue"/>
          </w:tcPr>
          <w:p/>
        </w:tc>
      </w:tr>
      <w:tr>
        <w:tc>
          <w:tcPr>
            <w:tcBorders>
              <w:left w:val="single" w:sz="4"/>
              <w:right w:val="nil"/>
            </w:tcBorders>
            <w:vMerge w:val="continue"/>
          </w:tcPr>
          <w:p/>
        </w:tc>
        <w:tc>
          <w:tcPr>
            <w:gridSpan w:val="3"/>
            <w:tcW w:w="2382" w:type="dxa"/>
            <w:tcBorders>
              <w:left w:val="nil"/>
              <w:right w:val="nil"/>
            </w:tcBorders>
          </w:tcPr>
          <w:p>
            <w:pPr>
              <w:pStyle w:val="0"/>
              <w:jc w:val="center"/>
            </w:pPr>
            <w:r>
              <w:rPr>
                <w:sz w:val="20"/>
              </w:rPr>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nil"/>
            </w:tcBorders>
            <w:vMerge w:val="continue"/>
          </w:tcPr>
          <w:p/>
        </w:tc>
        <w:tc>
          <w:tcPr>
            <w:gridSpan w:val="4"/>
            <w:tcBorders>
              <w:left w:val="nil"/>
              <w:right w:val="nil"/>
            </w:tcBorders>
            <w:vMerge w:val="continue"/>
          </w:tcPr>
          <w:p/>
        </w:tc>
        <w:tc>
          <w:tcPr>
            <w:tcBorders>
              <w:top w:val="nil"/>
              <w:left w:val="nil"/>
              <w:right w:val="nil"/>
            </w:tcBorders>
            <w:vMerge w:val="continue"/>
          </w:tcPr>
          <w:p/>
        </w:tc>
        <w:tc>
          <w:tcPr>
            <w:gridSpan w:val="6"/>
            <w:tcBorders>
              <w:left w:val="nil"/>
              <w:bottom w:val="nil"/>
              <w:right w:val="nil"/>
            </w:tcBorders>
            <w:vMerge w:val="continue"/>
          </w:tcPr>
          <w:p/>
        </w:tc>
        <w:tc>
          <w:tcPr>
            <w:tcBorders>
              <w:top w:val="nil"/>
              <w:left w:val="nil"/>
              <w:right w:val="nil"/>
            </w:tcBorders>
            <w:vMerge w:val="continue"/>
          </w:tcPr>
          <w:p/>
        </w:tc>
        <w:tc>
          <w:tcPr>
            <w:gridSpan w:val="5"/>
            <w:tcBorders>
              <w:left w:val="nil"/>
              <w:right w:val="nil"/>
            </w:tcBorders>
            <w:vMerge w:val="continue"/>
          </w:tcPr>
          <w:p/>
        </w:tc>
        <w:tc>
          <w:tcPr>
            <w:gridSpan w:val="3"/>
            <w:tcBorders>
              <w:top w:val="nil"/>
              <w:left w:val="nil"/>
              <w:bottom w:val="nil"/>
              <w:right w:val="single" w:sz="4"/>
            </w:tcBorders>
            <w:vMerge w:val="continue"/>
          </w:tcPr>
          <w:p/>
        </w:tc>
        <w:tc>
          <w:tcPr>
            <w:gridSpan w:val="3"/>
            <w:tcBorders>
              <w:left w:val="single" w:sz="4"/>
              <w:right w:val="single" w:sz="4"/>
            </w:tcBorders>
            <w:vMerge w:val="continue"/>
          </w:tcPr>
          <w:p/>
        </w:tc>
        <w:tc>
          <w:tcPr>
            <w:gridSpan w:val="11"/>
            <w:tcBorders>
              <w:top w:val="nil"/>
              <w:left w:val="nil"/>
              <w:bottom w:val="nil"/>
              <w:right w:val="nil"/>
            </w:tcBorders>
            <w:vMerge w:val="continue"/>
          </w:tcPr>
          <w:p/>
        </w:tc>
      </w:tr>
      <w:tr>
        <w:tc>
          <w:tcPr>
            <w:tcBorders>
              <w:left w:val="single" w:sz="4"/>
              <w:right w:val="nil"/>
            </w:tcBorders>
            <w:vMerge w:val="continue"/>
          </w:tcPr>
          <w:p/>
        </w:tc>
        <w:tc>
          <w:tcPr>
            <w:gridSpan w:val="3"/>
            <w:tcW w:w="2382" w:type="dxa"/>
            <w:tcBorders>
              <w:left w:val="single" w:sz="4"/>
              <w:right w:val="single" w:sz="4"/>
            </w:tcBorders>
            <w:vMerge w:val="restart"/>
          </w:tcPr>
          <w:p>
            <w:pPr>
              <w:pStyle w:val="0"/>
              <w:jc w:val="center"/>
            </w:pPr>
            <w:r>
              <w:rPr>
                <w:sz w:val="20"/>
              </w:rPr>
              <w:t xml:space="preserve">Подстанция N 3</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nil"/>
            </w:tcBorders>
            <w:vMerge w:val="continue"/>
          </w:tcPr>
          <w:p/>
        </w:tc>
        <w:tc>
          <w:tcPr>
            <w:gridSpan w:val="4"/>
            <w:tcBorders>
              <w:left w:val="nil"/>
              <w:right w:val="nil"/>
            </w:tcBorders>
            <w:vMerge w:val="continue"/>
          </w:tcPr>
          <w:p/>
        </w:tc>
        <w:tc>
          <w:tcPr>
            <w:tcBorders>
              <w:top w:val="nil"/>
              <w:left w:val="nil"/>
              <w:right w:val="nil"/>
            </w:tcBorders>
            <w:vMerge w:val="continue"/>
          </w:tcPr>
          <w:p/>
        </w:tc>
        <w:tc>
          <w:tcPr>
            <w:gridSpan w:val="6"/>
            <w:tcBorders>
              <w:left w:val="nil"/>
              <w:bottom w:val="nil"/>
              <w:right w:val="nil"/>
            </w:tcBorders>
            <w:vMerge w:val="continue"/>
          </w:tcPr>
          <w:p/>
        </w:tc>
        <w:tc>
          <w:tcPr>
            <w:tcBorders>
              <w:top w:val="nil"/>
              <w:left w:val="nil"/>
              <w:right w:val="nil"/>
            </w:tcBorders>
            <w:vMerge w:val="continue"/>
          </w:tcPr>
          <w:p/>
        </w:tc>
        <w:tc>
          <w:tcPr>
            <w:gridSpan w:val="5"/>
            <w:tcBorders>
              <w:left w:val="nil"/>
              <w:right w:val="nil"/>
            </w:tcBorders>
            <w:vMerge w:val="continue"/>
          </w:tcPr>
          <w:p/>
        </w:tc>
        <w:tc>
          <w:tcPr>
            <w:gridSpan w:val="3"/>
            <w:tcBorders>
              <w:top w:val="nil"/>
              <w:left w:val="nil"/>
              <w:bottom w:val="nil"/>
              <w:right w:val="single" w:sz="4"/>
            </w:tcBorders>
            <w:vMerge w:val="continue"/>
          </w:tcPr>
          <w:p/>
        </w:tc>
        <w:tc>
          <w:tcPr>
            <w:gridSpan w:val="3"/>
            <w:tcW w:w="1685" w:type="dxa"/>
            <w:tcBorders>
              <w:left w:val="nil"/>
              <w:bottom w:val="nil"/>
              <w:right w:val="nil"/>
            </w:tcBorders>
            <w:vMerge w:val="restart"/>
          </w:tcPr>
          <w:p>
            <w:pPr>
              <w:pStyle w:val="0"/>
              <w:jc w:val="center"/>
            </w:pPr>
            <w:r>
              <w:rPr>
                <w:sz w:val="20"/>
              </w:rPr>
            </w:r>
          </w:p>
        </w:tc>
        <w:tc>
          <w:tcPr>
            <w:gridSpan w:val="11"/>
            <w:tcBorders>
              <w:top w:val="nil"/>
              <w:left w:val="nil"/>
              <w:bottom w:val="nil"/>
              <w:right w:val="nil"/>
            </w:tcBorders>
            <w:vMerge w:val="continue"/>
          </w:tcPr>
          <w:p/>
        </w:tc>
      </w:tr>
      <w:tr>
        <w:tc>
          <w:tcPr>
            <w:tcW w:w="340" w:type="dxa"/>
            <w:tcBorders>
              <w:left w:val="single" w:sz="4"/>
              <w:right w:val="nil"/>
            </w:tcBorders>
            <w:vMerge w:val="restart"/>
          </w:tcPr>
          <w:p>
            <w:pPr>
              <w:pStyle w:val="0"/>
              <w:jc w:val="both"/>
            </w:pPr>
            <w:r>
              <w:rPr>
                <w:sz w:val="20"/>
              </w:rPr>
            </w:r>
          </w:p>
        </w:tc>
        <w:tc>
          <w:tcPr>
            <w:gridSpan w:val="3"/>
            <w:tcBorders>
              <w:left w:val="single" w:sz="4"/>
              <w:right w:val="single" w:sz="4"/>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nil"/>
            </w:tcBorders>
            <w:vMerge w:val="continue"/>
          </w:tcPr>
          <w:p/>
        </w:tc>
        <w:tc>
          <w:tcPr>
            <w:gridSpan w:val="4"/>
            <w:tcBorders>
              <w:left w:val="nil"/>
              <w:right w:val="nil"/>
            </w:tcBorders>
            <w:vMerge w:val="continue"/>
          </w:tcPr>
          <w:p/>
        </w:tc>
        <w:tc>
          <w:tcPr>
            <w:tcBorders>
              <w:top w:val="nil"/>
              <w:left w:val="nil"/>
              <w:right w:val="nil"/>
            </w:tcBorders>
            <w:vMerge w:val="continue"/>
          </w:tcPr>
          <w:p/>
        </w:tc>
        <w:tc>
          <w:tcPr>
            <w:gridSpan w:val="6"/>
            <w:tcBorders>
              <w:left w:val="nil"/>
              <w:bottom w:val="nil"/>
              <w:right w:val="nil"/>
            </w:tcBorders>
            <w:vMerge w:val="continue"/>
          </w:tcPr>
          <w:p/>
        </w:tc>
        <w:tc>
          <w:tcPr>
            <w:tcBorders>
              <w:top w:val="nil"/>
              <w:left w:val="nil"/>
              <w:right w:val="nil"/>
            </w:tcBorders>
            <w:vMerge w:val="continue"/>
          </w:tcPr>
          <w:p/>
        </w:tc>
        <w:tc>
          <w:tcPr>
            <w:gridSpan w:val="5"/>
            <w:tcBorders>
              <w:left w:val="nil"/>
              <w:right w:val="nil"/>
            </w:tcBorders>
            <w:vMerge w:val="continue"/>
          </w:tcPr>
          <w:p/>
        </w:tc>
        <w:tc>
          <w:tcPr>
            <w:gridSpan w:val="3"/>
            <w:tcBorders>
              <w:top w:val="nil"/>
              <w:left w:val="nil"/>
              <w:bottom w:val="nil"/>
              <w:right w:val="single" w:sz="4"/>
            </w:tcBorders>
            <w:vMerge w:val="continue"/>
          </w:tcPr>
          <w:p/>
        </w:tc>
        <w:tc>
          <w:tcPr>
            <w:gridSpan w:val="3"/>
            <w:tcBorders>
              <w:left w:val="nil"/>
              <w:bottom w:val="nil"/>
              <w:right w:val="nil"/>
            </w:tcBorders>
            <w:vMerge w:val="continue"/>
          </w:tcPr>
          <w:p/>
        </w:tc>
        <w:tc>
          <w:tcPr>
            <w:gridSpan w:val="11"/>
            <w:tcBorders>
              <w:top w:val="nil"/>
              <w:left w:val="nil"/>
              <w:bottom w:val="nil"/>
              <w:right w:val="nil"/>
            </w:tcBorders>
            <w:vMerge w:val="continue"/>
          </w:tcPr>
          <w:p/>
        </w:tc>
      </w:tr>
      <w:tr>
        <w:tc>
          <w:tcPr>
            <w:tcBorders>
              <w:left w:val="single" w:sz="4"/>
              <w:right w:val="nil"/>
            </w:tcBorders>
            <w:vMerge w:val="continue"/>
          </w:tcPr>
          <w:p/>
        </w:tc>
        <w:tc>
          <w:tcPr>
            <w:gridSpan w:val="3"/>
            <w:tcW w:w="2382" w:type="dxa"/>
            <w:tcBorders>
              <w:left w:val="nil"/>
              <w:right w:val="nil"/>
            </w:tcBorders>
          </w:tcPr>
          <w:p>
            <w:pPr>
              <w:pStyle w:val="0"/>
              <w:jc w:val="center"/>
            </w:pPr>
            <w:r>
              <w:rPr>
                <w:sz w:val="20"/>
              </w:rPr>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nil"/>
            </w:tcBorders>
            <w:vMerge w:val="continue"/>
          </w:tcPr>
          <w:p/>
        </w:tc>
        <w:tc>
          <w:tcPr>
            <w:gridSpan w:val="4"/>
            <w:tcBorders>
              <w:left w:val="nil"/>
              <w:right w:val="nil"/>
            </w:tcBorders>
            <w:vMerge w:val="continue"/>
          </w:tcPr>
          <w:p/>
        </w:tc>
        <w:tc>
          <w:tcPr>
            <w:tcBorders>
              <w:top w:val="nil"/>
              <w:left w:val="nil"/>
              <w:right w:val="nil"/>
            </w:tcBorders>
            <w:vMerge w:val="continue"/>
          </w:tcPr>
          <w:p/>
        </w:tc>
        <w:tc>
          <w:tcPr>
            <w:gridSpan w:val="6"/>
            <w:tcBorders>
              <w:left w:val="nil"/>
              <w:bottom w:val="nil"/>
              <w:right w:val="nil"/>
            </w:tcBorders>
            <w:vMerge w:val="continue"/>
          </w:tcPr>
          <w:p/>
        </w:tc>
        <w:tc>
          <w:tcPr>
            <w:tcBorders>
              <w:top w:val="nil"/>
              <w:left w:val="nil"/>
              <w:right w:val="nil"/>
            </w:tcBorders>
            <w:vMerge w:val="continue"/>
          </w:tcPr>
          <w:p/>
        </w:tc>
        <w:tc>
          <w:tcPr>
            <w:gridSpan w:val="5"/>
            <w:tcBorders>
              <w:left w:val="nil"/>
              <w:right w:val="nil"/>
            </w:tcBorders>
            <w:vMerge w:val="continue"/>
          </w:tcPr>
          <w:p/>
        </w:tc>
        <w:tc>
          <w:tcPr>
            <w:gridSpan w:val="3"/>
            <w:tcBorders>
              <w:top w:val="nil"/>
              <w:left w:val="nil"/>
              <w:bottom w:val="nil"/>
              <w:right w:val="single" w:sz="4"/>
            </w:tcBorders>
            <w:vMerge w:val="continue"/>
          </w:tcPr>
          <w:p/>
        </w:tc>
        <w:tc>
          <w:tcPr>
            <w:gridSpan w:val="3"/>
            <w:tcBorders>
              <w:left w:val="nil"/>
              <w:bottom w:val="nil"/>
              <w:right w:val="nil"/>
            </w:tcBorders>
            <w:vMerge w:val="continue"/>
          </w:tcPr>
          <w:p/>
        </w:tc>
        <w:tc>
          <w:tcPr>
            <w:gridSpan w:val="11"/>
            <w:tcBorders>
              <w:top w:val="nil"/>
              <w:left w:val="nil"/>
              <w:bottom w:val="nil"/>
              <w:right w:val="nil"/>
            </w:tcBorders>
            <w:vMerge w:val="continue"/>
          </w:tcPr>
          <w:p/>
        </w:tc>
      </w:tr>
      <w:tr>
        <w:tc>
          <w:tcPr>
            <w:tcBorders>
              <w:left w:val="single" w:sz="4"/>
              <w:right w:val="nil"/>
            </w:tcBorders>
            <w:vMerge w:val="continue"/>
          </w:tcPr>
          <w:p/>
        </w:tc>
        <w:tc>
          <w:tcPr>
            <w:gridSpan w:val="3"/>
            <w:tcW w:w="2382" w:type="dxa"/>
            <w:tcBorders>
              <w:left w:val="single" w:sz="4"/>
              <w:right w:val="single" w:sz="4"/>
            </w:tcBorders>
            <w:vMerge w:val="restart"/>
          </w:tcPr>
          <w:p>
            <w:pPr>
              <w:pStyle w:val="0"/>
              <w:jc w:val="center"/>
            </w:pPr>
            <w:r>
              <w:rPr>
                <w:sz w:val="20"/>
              </w:rPr>
              <w:t xml:space="preserve">Подстанция N 4</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nil"/>
            </w:tcBorders>
            <w:vMerge w:val="continue"/>
          </w:tcPr>
          <w:p/>
        </w:tc>
        <w:tc>
          <w:tcPr>
            <w:gridSpan w:val="4"/>
            <w:tcBorders>
              <w:left w:val="nil"/>
              <w:right w:val="nil"/>
            </w:tcBorders>
            <w:vMerge w:val="continue"/>
          </w:tcPr>
          <w:p/>
        </w:tc>
        <w:tc>
          <w:tcPr>
            <w:tcBorders>
              <w:top w:val="nil"/>
              <w:left w:val="nil"/>
              <w:right w:val="nil"/>
            </w:tcBorders>
            <w:vMerge w:val="continue"/>
          </w:tcPr>
          <w:p/>
        </w:tc>
        <w:tc>
          <w:tcPr>
            <w:gridSpan w:val="6"/>
            <w:tcBorders>
              <w:left w:val="nil"/>
              <w:bottom w:val="nil"/>
              <w:right w:val="nil"/>
            </w:tcBorders>
            <w:vMerge w:val="continue"/>
          </w:tcPr>
          <w:p/>
        </w:tc>
        <w:tc>
          <w:tcPr>
            <w:tcBorders>
              <w:top w:val="nil"/>
              <w:left w:val="nil"/>
              <w:right w:val="nil"/>
            </w:tcBorders>
            <w:vMerge w:val="continue"/>
          </w:tcPr>
          <w:p/>
        </w:tc>
        <w:tc>
          <w:tcPr>
            <w:gridSpan w:val="5"/>
            <w:tcBorders>
              <w:left w:val="nil"/>
              <w:right w:val="nil"/>
            </w:tcBorders>
            <w:vMerge w:val="continue"/>
          </w:tcPr>
          <w:p/>
        </w:tc>
        <w:tc>
          <w:tcPr>
            <w:gridSpan w:val="3"/>
            <w:tcBorders>
              <w:top w:val="nil"/>
              <w:left w:val="nil"/>
              <w:bottom w:val="nil"/>
              <w:right w:val="single" w:sz="4"/>
            </w:tcBorders>
            <w:vMerge w:val="continue"/>
          </w:tcPr>
          <w:p/>
        </w:tc>
        <w:tc>
          <w:tcPr>
            <w:gridSpan w:val="3"/>
            <w:tcBorders>
              <w:left w:val="nil"/>
              <w:bottom w:val="nil"/>
              <w:right w:val="nil"/>
            </w:tcBorders>
            <w:vMerge w:val="continue"/>
          </w:tcPr>
          <w:p/>
        </w:tc>
        <w:tc>
          <w:tcPr>
            <w:gridSpan w:val="11"/>
            <w:tcBorders>
              <w:top w:val="nil"/>
              <w:left w:val="nil"/>
              <w:bottom w:val="nil"/>
              <w:right w:val="nil"/>
            </w:tcBorders>
            <w:vMerge w:val="continue"/>
          </w:tcPr>
          <w:p/>
        </w:tc>
      </w:tr>
      <w:tr>
        <w:tc>
          <w:tcPr>
            <w:tcW w:w="340" w:type="dxa"/>
            <w:tcBorders>
              <w:left w:val="single" w:sz="4"/>
              <w:right w:val="nil"/>
            </w:tcBorders>
            <w:vMerge w:val="restart"/>
          </w:tcPr>
          <w:p>
            <w:pPr>
              <w:pStyle w:val="0"/>
              <w:jc w:val="both"/>
            </w:pPr>
            <w:r>
              <w:rPr>
                <w:sz w:val="20"/>
              </w:rPr>
            </w:r>
          </w:p>
        </w:tc>
        <w:tc>
          <w:tcPr>
            <w:gridSpan w:val="3"/>
            <w:tcBorders>
              <w:left w:val="single" w:sz="4"/>
              <w:right w:val="single" w:sz="4"/>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nil"/>
            </w:tcBorders>
            <w:vMerge w:val="continue"/>
          </w:tcPr>
          <w:p/>
        </w:tc>
        <w:tc>
          <w:tcPr>
            <w:gridSpan w:val="4"/>
            <w:tcBorders>
              <w:left w:val="nil"/>
              <w:right w:val="nil"/>
            </w:tcBorders>
            <w:vMerge w:val="continue"/>
          </w:tcPr>
          <w:p/>
        </w:tc>
        <w:tc>
          <w:tcPr>
            <w:tcBorders>
              <w:top w:val="nil"/>
              <w:left w:val="nil"/>
              <w:right w:val="nil"/>
            </w:tcBorders>
            <w:vMerge w:val="continue"/>
          </w:tcPr>
          <w:p/>
        </w:tc>
        <w:tc>
          <w:tcPr>
            <w:gridSpan w:val="6"/>
            <w:tcBorders>
              <w:left w:val="nil"/>
              <w:bottom w:val="nil"/>
              <w:right w:val="nil"/>
            </w:tcBorders>
            <w:vMerge w:val="continue"/>
          </w:tcPr>
          <w:p/>
        </w:tc>
        <w:tc>
          <w:tcPr>
            <w:tcBorders>
              <w:top w:val="nil"/>
              <w:left w:val="nil"/>
              <w:right w:val="nil"/>
            </w:tcBorders>
            <w:vMerge w:val="continue"/>
          </w:tcPr>
          <w:p/>
        </w:tc>
        <w:tc>
          <w:tcPr>
            <w:gridSpan w:val="5"/>
            <w:tcBorders>
              <w:left w:val="nil"/>
              <w:right w:val="nil"/>
            </w:tcBorders>
            <w:vMerge w:val="continue"/>
          </w:tcPr>
          <w:p/>
        </w:tc>
        <w:tc>
          <w:tcPr>
            <w:gridSpan w:val="3"/>
            <w:tcBorders>
              <w:top w:val="nil"/>
              <w:left w:val="nil"/>
              <w:bottom w:val="nil"/>
              <w:right w:val="single" w:sz="4"/>
            </w:tcBorders>
            <w:vMerge w:val="continue"/>
          </w:tcPr>
          <w:p/>
        </w:tc>
        <w:tc>
          <w:tcPr>
            <w:gridSpan w:val="3"/>
            <w:tcBorders>
              <w:left w:val="nil"/>
              <w:bottom w:val="nil"/>
              <w:right w:val="nil"/>
            </w:tcBorders>
            <w:vMerge w:val="continue"/>
          </w:tcPr>
          <w:p/>
        </w:tc>
        <w:tc>
          <w:tcPr>
            <w:gridSpan w:val="11"/>
            <w:tcBorders>
              <w:top w:val="nil"/>
              <w:left w:val="nil"/>
              <w:bottom w:val="nil"/>
              <w:right w:val="nil"/>
            </w:tcBorders>
            <w:vMerge w:val="continue"/>
          </w:tcPr>
          <w:p/>
        </w:tc>
      </w:tr>
      <w:tr>
        <w:tc>
          <w:tcPr>
            <w:tcBorders>
              <w:left w:val="single" w:sz="4"/>
              <w:right w:val="nil"/>
            </w:tcBorders>
            <w:vMerge w:val="continue"/>
          </w:tcPr>
          <w:p/>
        </w:tc>
        <w:tc>
          <w:tcPr>
            <w:gridSpan w:val="3"/>
            <w:tcW w:w="2382" w:type="dxa"/>
            <w:tcBorders>
              <w:left w:val="nil"/>
              <w:right w:val="nil"/>
            </w:tcBorders>
          </w:tcPr>
          <w:p>
            <w:pPr>
              <w:pStyle w:val="0"/>
              <w:jc w:val="center"/>
            </w:pPr>
            <w:r>
              <w:rPr>
                <w:sz w:val="20"/>
              </w:rPr>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nil"/>
            </w:tcBorders>
            <w:vMerge w:val="continue"/>
          </w:tcPr>
          <w:p/>
        </w:tc>
        <w:tc>
          <w:tcPr>
            <w:gridSpan w:val="4"/>
            <w:tcBorders>
              <w:left w:val="nil"/>
              <w:right w:val="nil"/>
            </w:tcBorders>
            <w:vMerge w:val="continue"/>
          </w:tcPr>
          <w:p/>
        </w:tc>
        <w:tc>
          <w:tcPr>
            <w:tcBorders>
              <w:top w:val="nil"/>
              <w:left w:val="nil"/>
              <w:right w:val="nil"/>
            </w:tcBorders>
            <w:vMerge w:val="continue"/>
          </w:tcPr>
          <w:p/>
        </w:tc>
        <w:tc>
          <w:tcPr>
            <w:gridSpan w:val="6"/>
            <w:tcBorders>
              <w:left w:val="nil"/>
              <w:bottom w:val="nil"/>
              <w:right w:val="nil"/>
            </w:tcBorders>
            <w:vMerge w:val="continue"/>
          </w:tcPr>
          <w:p/>
        </w:tc>
        <w:tc>
          <w:tcPr>
            <w:tcBorders>
              <w:top w:val="nil"/>
              <w:left w:val="nil"/>
              <w:right w:val="nil"/>
            </w:tcBorders>
            <w:vMerge w:val="continue"/>
          </w:tcPr>
          <w:p/>
        </w:tc>
        <w:tc>
          <w:tcPr>
            <w:gridSpan w:val="5"/>
            <w:tcBorders>
              <w:left w:val="nil"/>
              <w:right w:val="nil"/>
            </w:tcBorders>
            <w:vMerge w:val="continue"/>
          </w:tcPr>
          <w:p/>
        </w:tc>
        <w:tc>
          <w:tcPr>
            <w:gridSpan w:val="3"/>
            <w:tcBorders>
              <w:top w:val="nil"/>
              <w:left w:val="nil"/>
              <w:bottom w:val="nil"/>
              <w:right w:val="single" w:sz="4"/>
            </w:tcBorders>
            <w:vMerge w:val="continue"/>
          </w:tcPr>
          <w:p/>
        </w:tc>
        <w:tc>
          <w:tcPr>
            <w:gridSpan w:val="3"/>
            <w:tcBorders>
              <w:left w:val="nil"/>
              <w:bottom w:val="nil"/>
              <w:right w:val="nil"/>
            </w:tcBorders>
            <w:vMerge w:val="continue"/>
          </w:tcPr>
          <w:p/>
        </w:tc>
        <w:tc>
          <w:tcPr>
            <w:gridSpan w:val="11"/>
            <w:tcBorders>
              <w:top w:val="nil"/>
              <w:left w:val="nil"/>
              <w:bottom w:val="nil"/>
              <w:right w:val="nil"/>
            </w:tcBorders>
            <w:vMerge w:val="continue"/>
          </w:tcPr>
          <w:p/>
        </w:tc>
      </w:tr>
      <w:tr>
        <w:tblPrEx>
          <w:tblBorders>
            <w:insideV w:val="single" w:sz="4"/>
          </w:tblBorders>
        </w:tblPrEx>
        <w:tc>
          <w:tcPr>
            <w:tcBorders>
              <w:right w:val="nil"/>
            </w:tcBorders>
            <w:vMerge w:val="continue"/>
          </w:tcPr>
          <w:p/>
        </w:tc>
        <w:tc>
          <w:tcPr>
            <w:gridSpan w:val="3"/>
            <w:tcW w:w="2382" w:type="dxa"/>
            <w:vMerge w:val="restart"/>
          </w:tcPr>
          <w:p>
            <w:pPr>
              <w:pStyle w:val="0"/>
              <w:jc w:val="center"/>
            </w:pPr>
            <w:r>
              <w:rPr>
                <w:sz w:val="20"/>
              </w:rPr>
              <w:t xml:space="preserve">Подстанция N 8</w:t>
            </w:r>
          </w:p>
        </w:tc>
        <w:tc>
          <w:tcPr>
            <w:gridSpan w:val="3"/>
            <w:tcW w:w="1345" w:type="dxa"/>
            <w:tcBorders>
              <w:top w:val="nil"/>
              <w:left w:val="nil"/>
            </w:tcBorders>
            <w:vMerge w:val="restart"/>
          </w:tcPr>
          <w:p>
            <w:pPr>
              <w:pStyle w:val="0"/>
              <w:jc w:val="both"/>
            </w:pPr>
            <w:r>
              <w:rPr>
                <w:sz w:val="20"/>
              </w:rPr>
            </w:r>
          </w:p>
        </w:tc>
        <w:tc>
          <w:tcPr>
            <w:gridSpan w:val="9"/>
            <w:tcW w:w="4417" w:type="dxa"/>
            <w:vMerge w:val="restart"/>
          </w:tcPr>
          <w:p>
            <w:pPr>
              <w:pStyle w:val="0"/>
              <w:jc w:val="center"/>
            </w:pPr>
            <w:r>
              <w:rPr>
                <w:sz w:val="20"/>
              </w:rPr>
              <w:t xml:space="preserve">Пункт постоянного базирования N 6 Инкерман</w:t>
            </w:r>
          </w:p>
        </w:tc>
        <w:tc>
          <w:tcPr>
            <w:tcW w:w="495" w:type="dxa"/>
            <w:tcBorders>
              <w:top w:val="nil"/>
              <w:bottom w:val="nil"/>
            </w:tcBorders>
            <w:vMerge w:val="restart"/>
          </w:tcPr>
          <w:p>
            <w:pPr>
              <w:pStyle w:val="0"/>
              <w:jc w:val="center"/>
            </w:pPr>
            <w:r>
              <w:rPr>
                <w:sz w:val="20"/>
              </w:rPr>
            </w:r>
          </w:p>
        </w:tc>
        <w:tc>
          <w:tcPr>
            <w:gridSpan w:val="11"/>
            <w:tcW w:w="4422" w:type="dxa"/>
            <w:vMerge w:val="restart"/>
          </w:tcPr>
          <w:p>
            <w:pPr>
              <w:pStyle w:val="0"/>
              <w:jc w:val="center"/>
            </w:pPr>
            <w:r>
              <w:rPr>
                <w:sz w:val="20"/>
              </w:rPr>
              <w:t xml:space="preserve">Пункт постоянного базирования N 7 Орлиное</w:t>
            </w:r>
          </w:p>
        </w:tc>
        <w:tc>
          <w:tcPr>
            <w:gridSpan w:val="2"/>
            <w:tcW w:w="680" w:type="dxa"/>
            <w:tcBorders>
              <w:top w:val="nil"/>
              <w:left w:val="nil"/>
              <w:right w:val="nil"/>
            </w:tcBorders>
            <w:vMerge w:val="restart"/>
          </w:tcPr>
          <w:p>
            <w:pPr>
              <w:pStyle w:val="0"/>
              <w:jc w:val="both"/>
            </w:pPr>
            <w:r>
              <w:rPr>
                <w:sz w:val="20"/>
              </w:rPr>
            </w:r>
          </w:p>
        </w:tc>
        <w:tc>
          <w:tcPr>
            <w:gridSpan w:val="3"/>
            <w:tcBorders>
              <w:left w:val="nil"/>
              <w:bottom w:val="nil"/>
              <w:right w:val="nil"/>
            </w:tcBorders>
            <w:vMerge w:val="continue"/>
          </w:tcPr>
          <w:p/>
        </w:tc>
        <w:tc>
          <w:tcPr>
            <w:gridSpan w:val="11"/>
            <w:tcBorders>
              <w:top w:val="nil"/>
              <w:left w:val="nil"/>
              <w:bottom w:val="nil"/>
              <w:right w:val="nil"/>
            </w:tcBorders>
            <w:vMerge w:val="continue"/>
          </w:tcPr>
          <w:p/>
        </w:tc>
      </w:tr>
      <w:tr>
        <w:tblPrEx>
          <w:tblBorders>
            <w:insideV w:val="single" w:sz="4"/>
          </w:tblBorders>
        </w:tblPrEx>
        <w:tc>
          <w:tcPr>
            <w:tcW w:w="340" w:type="dxa"/>
            <w:tcBorders>
              <w:right w:val="nil"/>
            </w:tcBorders>
            <w:vMerge w:val="restart"/>
          </w:tcPr>
          <w:p>
            <w:pPr>
              <w:pStyle w:val="0"/>
              <w:jc w:val="both"/>
            </w:pPr>
            <w:r>
              <w:rPr>
                <w:sz w:val="20"/>
              </w:rPr>
            </w:r>
          </w:p>
        </w:tc>
        <w:tc>
          <w:tcPr>
            <w:gridSpan w:val="3"/>
            <w:vMerge w:val="continue"/>
          </w:tcPr>
          <w:p/>
        </w:tc>
        <w:tc>
          <w:tcPr>
            <w:gridSpan w:val="3"/>
            <w:tcBorders>
              <w:top w:val="nil"/>
              <w:left w:val="nil"/>
            </w:tcBorders>
            <w:vMerge w:val="continue"/>
          </w:tcPr>
          <w:p/>
        </w:tc>
        <w:tc>
          <w:tcPr>
            <w:gridSpan w:val="9"/>
            <w:vMerge w:val="continue"/>
          </w:tcPr>
          <w:p/>
        </w:tc>
        <w:tc>
          <w:tcPr>
            <w:tcBorders>
              <w:top w:val="nil"/>
              <w:bottom w:val="nil"/>
            </w:tcBorders>
            <w:vMerge w:val="continue"/>
          </w:tcPr>
          <w:p/>
        </w:tc>
        <w:tc>
          <w:tcPr>
            <w:gridSpan w:val="11"/>
            <w:vMerge w:val="continue"/>
          </w:tcPr>
          <w:p/>
        </w:tc>
        <w:tc>
          <w:tcPr>
            <w:gridSpan w:val="2"/>
            <w:tcBorders>
              <w:top w:val="nil"/>
              <w:left w:val="nil"/>
              <w:right w:val="nil"/>
            </w:tcBorders>
            <w:vMerge w:val="continue"/>
          </w:tcPr>
          <w:p/>
        </w:tc>
        <w:tc>
          <w:tcPr>
            <w:gridSpan w:val="3"/>
            <w:tcBorders>
              <w:left w:val="nil"/>
              <w:bottom w:val="nil"/>
              <w:right w:val="nil"/>
            </w:tcBorders>
            <w:vMerge w:val="continue"/>
          </w:tcPr>
          <w:p/>
        </w:tc>
        <w:tc>
          <w:tcPr>
            <w:gridSpan w:val="11"/>
            <w:tcBorders>
              <w:top w:val="nil"/>
              <w:left w:val="nil"/>
              <w:bottom w:val="nil"/>
              <w:right w:val="nil"/>
            </w:tcBorders>
            <w:vMerge w:val="continue"/>
          </w:tcPr>
          <w:p/>
        </w:tc>
      </w:tr>
      <w:tr>
        <w:tc>
          <w:tcPr>
            <w:tcBorders>
              <w:left w:val="single" w:sz="4"/>
              <w:right w:val="nil"/>
            </w:tcBorders>
            <w:vMerge w:val="continue"/>
          </w:tcPr>
          <w:p/>
        </w:tc>
        <w:tc>
          <w:tcPr>
            <w:gridSpan w:val="3"/>
            <w:tcW w:w="2382" w:type="dxa"/>
            <w:tcBorders>
              <w:left w:val="nil"/>
              <w:right w:val="nil"/>
            </w:tcBorders>
            <w:vMerge w:val="restart"/>
          </w:tcPr>
          <w:p>
            <w:pPr>
              <w:pStyle w:val="0"/>
              <w:jc w:val="center"/>
            </w:pPr>
            <w:r>
              <w:rPr>
                <w:sz w:val="20"/>
              </w:rPr>
            </w:r>
          </w:p>
        </w:tc>
        <w:tc>
          <w:tcPr>
            <w:gridSpan w:val="3"/>
            <w:tcBorders>
              <w:top w:val="nil"/>
              <w:left w:val="nil"/>
              <w:right w:val="single" w:sz="4"/>
            </w:tcBorders>
            <w:vMerge w:val="continue"/>
          </w:tcPr>
          <w:p/>
        </w:tc>
        <w:tc>
          <w:tcPr>
            <w:gridSpan w:val="9"/>
            <w:tcBorders>
              <w:left w:val="single" w:sz="4"/>
              <w:right w:val="single" w:sz="4"/>
            </w:tcBorders>
            <w:vMerge w:val="continue"/>
          </w:tcPr>
          <w:p/>
        </w:tc>
        <w:tc>
          <w:tcPr>
            <w:tcBorders>
              <w:top w:val="nil"/>
              <w:left w:val="single" w:sz="4"/>
              <w:bottom w:val="nil"/>
              <w:right w:val="single" w:sz="4"/>
            </w:tcBorders>
            <w:vMerge w:val="continue"/>
          </w:tcPr>
          <w:p/>
        </w:tc>
        <w:tc>
          <w:tcPr>
            <w:gridSpan w:val="11"/>
            <w:tcBorders>
              <w:left w:val="single" w:sz="4"/>
              <w:right w:val="single" w:sz="4"/>
            </w:tcBorders>
            <w:vMerge w:val="continue"/>
          </w:tcPr>
          <w:p/>
        </w:tc>
        <w:tc>
          <w:tcPr>
            <w:gridSpan w:val="2"/>
            <w:tcBorders>
              <w:top w:val="nil"/>
              <w:left w:val="nil"/>
              <w:right w:val="nil"/>
            </w:tcBorders>
            <w:vMerge w:val="continue"/>
          </w:tcPr>
          <w:p/>
        </w:tc>
        <w:tc>
          <w:tcPr>
            <w:gridSpan w:val="3"/>
            <w:tcBorders>
              <w:left w:val="nil"/>
              <w:bottom w:val="nil"/>
              <w:right w:val="nil"/>
            </w:tcBorders>
            <w:vMerge w:val="continue"/>
          </w:tcPr>
          <w:p/>
        </w:tc>
        <w:tc>
          <w:tcPr>
            <w:gridSpan w:val="11"/>
            <w:tcBorders>
              <w:top w:val="nil"/>
              <w:left w:val="nil"/>
              <w:bottom w:val="nil"/>
              <w:right w:val="nil"/>
            </w:tcBorders>
            <w:vMerge w:val="continue"/>
          </w:tcPr>
          <w:p/>
        </w:tc>
      </w:tr>
      <w:tr>
        <w:tc>
          <w:tcPr>
            <w:tcBorders>
              <w:left w:val="single" w:sz="4"/>
              <w:right w:val="nil"/>
            </w:tcBorders>
            <w:vMerge w:val="continue"/>
          </w:tcPr>
          <w:p/>
        </w:tc>
        <w:tc>
          <w:tcPr>
            <w:gridSpan w:val="3"/>
            <w:tcBorders>
              <w:left w:val="nil"/>
              <w:right w:val="nil"/>
            </w:tcBorders>
            <w:vMerge w:val="continue"/>
          </w:tcPr>
          <w:p/>
        </w:tc>
        <w:tc>
          <w:tcPr>
            <w:gridSpan w:val="3"/>
            <w:tcBorders>
              <w:top w:val="nil"/>
              <w:left w:val="nil"/>
              <w:right w:val="single" w:sz="4"/>
            </w:tcBorders>
            <w:vMerge w:val="continue"/>
          </w:tcPr>
          <w:p/>
        </w:tc>
        <w:tc>
          <w:tcPr>
            <w:gridSpan w:val="5"/>
            <w:tcW w:w="2320" w:type="dxa"/>
            <w:tcBorders>
              <w:left w:val="nil"/>
              <w:right w:val="single" w:sz="4"/>
            </w:tcBorders>
          </w:tcPr>
          <w:p>
            <w:pPr>
              <w:pStyle w:val="0"/>
              <w:jc w:val="center"/>
            </w:pPr>
            <w:r>
              <w:rPr>
                <w:sz w:val="20"/>
              </w:rPr>
            </w:r>
          </w:p>
        </w:tc>
        <w:tc>
          <w:tcPr>
            <w:gridSpan w:val="11"/>
            <w:tcW w:w="4509" w:type="dxa"/>
            <w:tcBorders>
              <w:top w:val="nil"/>
              <w:left w:val="single" w:sz="4"/>
              <w:right w:val="single" w:sz="4"/>
            </w:tcBorders>
          </w:tcPr>
          <w:p>
            <w:pPr>
              <w:pStyle w:val="0"/>
              <w:jc w:val="center"/>
            </w:pPr>
            <w:r>
              <w:rPr>
                <w:sz w:val="20"/>
              </w:rPr>
            </w:r>
          </w:p>
        </w:tc>
        <w:tc>
          <w:tcPr>
            <w:gridSpan w:val="5"/>
            <w:tcW w:w="2505" w:type="dxa"/>
            <w:tcBorders>
              <w:left w:val="single" w:sz="4"/>
              <w:right w:val="nil"/>
            </w:tcBorders>
            <w:vMerge w:val="restart"/>
          </w:tcPr>
          <w:p>
            <w:pPr>
              <w:pStyle w:val="0"/>
              <w:jc w:val="center"/>
            </w:pPr>
            <w:r>
              <w:rPr>
                <w:sz w:val="20"/>
              </w:rPr>
            </w:r>
          </w:p>
        </w:tc>
        <w:tc>
          <w:tcPr>
            <w:gridSpan w:val="2"/>
            <w:tcBorders>
              <w:top w:val="nil"/>
              <w:left w:val="nil"/>
              <w:right w:val="nil"/>
            </w:tcBorders>
            <w:vMerge w:val="continue"/>
          </w:tcPr>
          <w:p/>
        </w:tc>
        <w:tc>
          <w:tcPr>
            <w:gridSpan w:val="3"/>
            <w:tcBorders>
              <w:left w:val="nil"/>
              <w:bottom w:val="nil"/>
              <w:right w:val="nil"/>
            </w:tcBorders>
            <w:vMerge w:val="continue"/>
          </w:tcPr>
          <w:p/>
        </w:tc>
        <w:tc>
          <w:tcPr>
            <w:gridSpan w:val="11"/>
            <w:tcBorders>
              <w:top w:val="nil"/>
              <w:left w:val="nil"/>
              <w:bottom w:val="nil"/>
              <w:right w:val="nil"/>
            </w:tcBorders>
            <w:vMerge w:val="continue"/>
          </w:tcPr>
          <w:p/>
        </w:tc>
      </w:tr>
      <w:tr>
        <w:tblPrEx>
          <w:tblBorders>
            <w:left w:val="nil"/>
          </w:tblBorders>
        </w:tblPrEx>
        <w:tc>
          <w:tcPr>
            <w:gridSpan w:val="7"/>
            <w:tcW w:w="4067" w:type="dxa"/>
            <w:tcBorders>
              <w:left w:val="nil"/>
              <w:bottom w:val="nil"/>
              <w:right w:val="nil"/>
            </w:tcBorders>
            <w:vMerge w:val="restart"/>
          </w:tcPr>
          <w:p>
            <w:pPr>
              <w:pStyle w:val="0"/>
              <w:jc w:val="center"/>
            </w:pPr>
            <w:r>
              <w:rPr>
                <w:sz w:val="20"/>
              </w:rPr>
            </w:r>
          </w:p>
        </w:tc>
        <w:tc>
          <w:tcPr>
            <w:gridSpan w:val="5"/>
            <w:tcW w:w="2320" w:type="dxa"/>
            <w:tcBorders>
              <w:left w:val="nil"/>
              <w:right w:val="single" w:sz="4"/>
            </w:tcBorders>
          </w:tcPr>
          <w:p>
            <w:pPr>
              <w:pStyle w:val="0"/>
              <w:jc w:val="center"/>
            </w:pPr>
            <w:r>
              <w:rPr>
                <w:sz w:val="20"/>
              </w:rPr>
            </w:r>
          </w:p>
        </w:tc>
        <w:tc>
          <w:tcPr>
            <w:gridSpan w:val="11"/>
            <w:tcW w:w="4509" w:type="dxa"/>
            <w:tcBorders>
              <w:left w:val="single" w:sz="4"/>
              <w:bottom w:val="nil"/>
              <w:right w:val="single" w:sz="4"/>
            </w:tcBorders>
          </w:tcPr>
          <w:p>
            <w:pPr>
              <w:pStyle w:val="0"/>
              <w:jc w:val="center"/>
            </w:pPr>
            <w:r>
              <w:rPr>
                <w:sz w:val="20"/>
              </w:rPr>
            </w:r>
          </w:p>
        </w:tc>
        <w:tc>
          <w:tcPr>
            <w:gridSpan w:val="5"/>
            <w:tcBorders>
              <w:left w:val="single" w:sz="4"/>
              <w:right w:val="nil"/>
            </w:tcBorders>
            <w:vMerge w:val="continue"/>
          </w:tcPr>
          <w:p/>
        </w:tc>
        <w:tc>
          <w:tcPr>
            <w:gridSpan w:val="2"/>
            <w:tcBorders>
              <w:top w:val="nil"/>
              <w:left w:val="nil"/>
              <w:right w:val="nil"/>
            </w:tcBorders>
            <w:vMerge w:val="continue"/>
          </w:tcPr>
          <w:p/>
        </w:tc>
        <w:tc>
          <w:tcPr>
            <w:gridSpan w:val="3"/>
            <w:tcBorders>
              <w:left w:val="nil"/>
              <w:bottom w:val="nil"/>
              <w:right w:val="nil"/>
            </w:tcBorders>
            <w:vMerge w:val="continue"/>
          </w:tcPr>
          <w:p/>
        </w:tc>
        <w:tc>
          <w:tcPr>
            <w:gridSpan w:val="11"/>
            <w:tcBorders>
              <w:top w:val="nil"/>
              <w:left w:val="nil"/>
              <w:bottom w:val="nil"/>
              <w:right w:val="nil"/>
            </w:tcBorders>
            <w:vMerge w:val="continue"/>
          </w:tcPr>
          <w:p/>
        </w:tc>
      </w:tr>
      <w:tr>
        <w:tblPrEx>
          <w:tblBorders>
            <w:left w:val="nil"/>
            <w:insideV w:val="single" w:sz="4"/>
            <w:insideH w:val="nil"/>
          </w:tblBorders>
        </w:tblPrEx>
        <w:tc>
          <w:tcPr>
            <w:gridSpan w:val="7"/>
            <w:tcBorders>
              <w:left w:val="nil"/>
              <w:bottom w:val="nil"/>
              <w:right w:val="nil"/>
            </w:tcBorders>
            <w:vMerge w:val="continue"/>
          </w:tcPr>
          <w:p/>
        </w:tc>
        <w:tc>
          <w:tcPr>
            <w:gridSpan w:val="9"/>
            <w:tcW w:w="4417" w:type="dxa"/>
          </w:tcPr>
          <w:p>
            <w:pPr>
              <w:pStyle w:val="0"/>
              <w:jc w:val="center"/>
            </w:pPr>
            <w:r>
              <w:rPr>
                <w:sz w:val="20"/>
              </w:rPr>
              <w:t xml:space="preserve">Пункт постоянного базирования N 5 Кача</w:t>
            </w:r>
          </w:p>
        </w:tc>
        <w:tc>
          <w:tcPr>
            <w:tcW w:w="495" w:type="dxa"/>
            <w:tcBorders>
              <w:top w:val="nil"/>
              <w:bottom w:val="nil"/>
            </w:tcBorders>
          </w:tcPr>
          <w:p>
            <w:pPr>
              <w:pStyle w:val="0"/>
              <w:jc w:val="center"/>
            </w:pPr>
            <w:r>
              <w:rPr>
                <w:sz w:val="20"/>
              </w:rPr>
            </w:r>
          </w:p>
        </w:tc>
        <w:tc>
          <w:tcPr>
            <w:gridSpan w:val="14"/>
            <w:tcW w:w="5442" w:type="dxa"/>
          </w:tcPr>
          <w:p>
            <w:pPr>
              <w:pStyle w:val="0"/>
              <w:jc w:val="center"/>
            </w:pPr>
            <w:r>
              <w:rPr>
                <w:sz w:val="20"/>
              </w:rPr>
              <w:t xml:space="preserve">Пункт постоянного базирования 3-е отделение Золотой Балки N 9</w:t>
            </w:r>
          </w:p>
        </w:tc>
        <w:tc>
          <w:tcPr>
            <w:gridSpan w:val="2"/>
            <w:tcW w:w="1345" w:type="dxa"/>
            <w:tcBorders>
              <w:top w:val="nil"/>
              <w:bottom w:val="nil"/>
              <w:right w:val="nil"/>
            </w:tcBorders>
          </w:tcPr>
          <w:p>
            <w:pPr>
              <w:pStyle w:val="0"/>
              <w:jc w:val="both"/>
            </w:pPr>
            <w:r>
              <w:rPr>
                <w:sz w:val="20"/>
              </w:rPr>
            </w:r>
          </w:p>
        </w:tc>
        <w:tc>
          <w:tcPr>
            <w:gridSpan w:val="11"/>
            <w:tcBorders>
              <w:top w:val="nil"/>
              <w:left w:val="nil"/>
              <w:bottom w:val="nil"/>
              <w:right w:val="nil"/>
            </w:tcBorders>
            <w:vMerge w:val="continue"/>
          </w:tcP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0"/>
        <w:ind w:firstLine="540"/>
        <w:jc w:val="both"/>
      </w:pPr>
      <w:r>
        <w:rPr>
          <w:sz w:val="20"/>
        </w:rPr>
        <w:t xml:space="preserve">Количество бригад СМП в регионе (фельдшерские, общеврачебные, специализированные, динамика по годам, причины снижения количества бригад).</w:t>
      </w:r>
    </w:p>
    <w:p>
      <w:pPr>
        <w:pStyle w:val="0"/>
      </w:pPr>
      <w:r>
        <w:rPr>
          <w:sz w:val="20"/>
        </w:rPr>
      </w:r>
    </w:p>
    <w:p>
      <w:pPr>
        <w:pStyle w:val="0"/>
        <w:jc w:val="center"/>
      </w:pPr>
      <w:r>
        <w:rPr>
          <w:sz w:val="20"/>
        </w:rPr>
        <w:t xml:space="preserve">Количество бригад СМП в регионе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1055"/>
        <w:gridCol w:w="914"/>
        <w:gridCol w:w="993"/>
        <w:gridCol w:w="992"/>
        <w:gridCol w:w="1134"/>
        <w:gridCol w:w="1128"/>
      </w:tblGrid>
      <w:tr>
        <w:tc>
          <w:tcPr>
            <w:tcW w:w="2835" w:type="dxa"/>
          </w:tcPr>
          <w:p>
            <w:pPr>
              <w:pStyle w:val="0"/>
              <w:jc w:val="center"/>
            </w:pPr>
            <w:r>
              <w:rPr>
                <w:sz w:val="20"/>
              </w:rPr>
              <w:t xml:space="preserve">Бригады СМП</w:t>
            </w:r>
          </w:p>
        </w:tc>
        <w:tc>
          <w:tcPr>
            <w:tcW w:w="1055" w:type="dxa"/>
          </w:tcPr>
          <w:p>
            <w:pPr>
              <w:pStyle w:val="0"/>
              <w:jc w:val="center"/>
            </w:pPr>
            <w:r>
              <w:rPr>
                <w:sz w:val="20"/>
              </w:rPr>
              <w:t xml:space="preserve">2017</w:t>
            </w:r>
          </w:p>
        </w:tc>
        <w:tc>
          <w:tcPr>
            <w:tcW w:w="914" w:type="dxa"/>
          </w:tcPr>
          <w:p>
            <w:pPr>
              <w:pStyle w:val="0"/>
              <w:jc w:val="center"/>
            </w:pPr>
            <w:r>
              <w:rPr>
                <w:sz w:val="20"/>
              </w:rPr>
              <w:t xml:space="preserve">2018</w:t>
            </w:r>
          </w:p>
        </w:tc>
        <w:tc>
          <w:tcPr>
            <w:tcW w:w="993" w:type="dxa"/>
          </w:tcPr>
          <w:p>
            <w:pPr>
              <w:pStyle w:val="0"/>
              <w:jc w:val="center"/>
            </w:pPr>
            <w:r>
              <w:rPr>
                <w:sz w:val="20"/>
              </w:rPr>
              <w:t xml:space="preserve">2019</w:t>
            </w:r>
          </w:p>
        </w:tc>
        <w:tc>
          <w:tcPr>
            <w:tcW w:w="992" w:type="dxa"/>
          </w:tcPr>
          <w:p>
            <w:pPr>
              <w:pStyle w:val="0"/>
              <w:jc w:val="center"/>
            </w:pPr>
            <w:r>
              <w:rPr>
                <w:sz w:val="20"/>
              </w:rPr>
              <w:t xml:space="preserve">2020</w:t>
            </w:r>
          </w:p>
        </w:tc>
        <w:tc>
          <w:tcPr>
            <w:tcW w:w="1134" w:type="dxa"/>
          </w:tcPr>
          <w:p>
            <w:pPr>
              <w:pStyle w:val="0"/>
              <w:jc w:val="center"/>
            </w:pPr>
            <w:r>
              <w:rPr>
                <w:sz w:val="20"/>
              </w:rPr>
              <w:t xml:space="preserve">2021</w:t>
            </w:r>
          </w:p>
        </w:tc>
        <w:tc>
          <w:tcPr>
            <w:tcW w:w="1128" w:type="dxa"/>
          </w:tcPr>
          <w:p>
            <w:pPr>
              <w:pStyle w:val="0"/>
              <w:jc w:val="center"/>
            </w:pPr>
            <w:r>
              <w:rPr>
                <w:sz w:val="20"/>
              </w:rPr>
              <w:t xml:space="preserve">2022</w:t>
            </w:r>
          </w:p>
        </w:tc>
      </w:tr>
      <w:tr>
        <w:tc>
          <w:tcPr>
            <w:tcW w:w="2835" w:type="dxa"/>
          </w:tcPr>
          <w:p>
            <w:pPr>
              <w:pStyle w:val="0"/>
              <w:jc w:val="both"/>
            </w:pPr>
            <w:r>
              <w:rPr>
                <w:sz w:val="20"/>
              </w:rPr>
              <w:t xml:space="preserve">Фельдшерские</w:t>
            </w:r>
          </w:p>
        </w:tc>
        <w:tc>
          <w:tcPr>
            <w:tcW w:w="1055" w:type="dxa"/>
          </w:tcPr>
          <w:p>
            <w:pPr>
              <w:pStyle w:val="0"/>
              <w:jc w:val="center"/>
            </w:pPr>
            <w:r>
              <w:rPr>
                <w:sz w:val="20"/>
              </w:rPr>
              <w:t xml:space="preserve">15</w:t>
            </w:r>
          </w:p>
        </w:tc>
        <w:tc>
          <w:tcPr>
            <w:tcW w:w="914" w:type="dxa"/>
          </w:tcPr>
          <w:p>
            <w:pPr>
              <w:pStyle w:val="0"/>
              <w:jc w:val="center"/>
            </w:pPr>
            <w:r>
              <w:rPr>
                <w:sz w:val="20"/>
              </w:rPr>
              <w:t xml:space="preserve">16</w:t>
            </w:r>
          </w:p>
        </w:tc>
        <w:tc>
          <w:tcPr>
            <w:tcW w:w="993" w:type="dxa"/>
          </w:tcPr>
          <w:p>
            <w:pPr>
              <w:pStyle w:val="0"/>
              <w:jc w:val="center"/>
            </w:pPr>
            <w:r>
              <w:rPr>
                <w:sz w:val="20"/>
              </w:rPr>
              <w:t xml:space="preserve">16</w:t>
            </w:r>
          </w:p>
        </w:tc>
        <w:tc>
          <w:tcPr>
            <w:tcW w:w="992" w:type="dxa"/>
          </w:tcPr>
          <w:p>
            <w:pPr>
              <w:pStyle w:val="0"/>
              <w:jc w:val="center"/>
            </w:pPr>
            <w:r>
              <w:rPr>
                <w:sz w:val="20"/>
              </w:rPr>
              <w:t xml:space="preserve">16</w:t>
            </w:r>
          </w:p>
        </w:tc>
        <w:tc>
          <w:tcPr>
            <w:tcW w:w="1134" w:type="dxa"/>
          </w:tcPr>
          <w:p>
            <w:pPr>
              <w:pStyle w:val="0"/>
              <w:jc w:val="center"/>
            </w:pPr>
            <w:r>
              <w:rPr>
                <w:sz w:val="20"/>
              </w:rPr>
              <w:t xml:space="preserve">16</w:t>
            </w:r>
          </w:p>
        </w:tc>
        <w:tc>
          <w:tcPr>
            <w:tcW w:w="1128" w:type="dxa"/>
          </w:tcPr>
          <w:p>
            <w:pPr>
              <w:pStyle w:val="0"/>
              <w:jc w:val="center"/>
            </w:pPr>
            <w:r>
              <w:rPr>
                <w:sz w:val="20"/>
              </w:rPr>
              <w:t xml:space="preserve">16</w:t>
            </w:r>
          </w:p>
        </w:tc>
      </w:tr>
      <w:tr>
        <w:tc>
          <w:tcPr>
            <w:tcW w:w="2835" w:type="dxa"/>
          </w:tcPr>
          <w:p>
            <w:pPr>
              <w:pStyle w:val="0"/>
              <w:jc w:val="both"/>
            </w:pPr>
            <w:r>
              <w:rPr>
                <w:sz w:val="20"/>
              </w:rPr>
              <w:t xml:space="preserve">Общеврачебные</w:t>
            </w:r>
          </w:p>
        </w:tc>
        <w:tc>
          <w:tcPr>
            <w:tcW w:w="1055" w:type="dxa"/>
          </w:tcPr>
          <w:p>
            <w:pPr>
              <w:pStyle w:val="0"/>
              <w:jc w:val="center"/>
            </w:pPr>
            <w:r>
              <w:rPr>
                <w:sz w:val="20"/>
              </w:rPr>
              <w:t xml:space="preserve">9</w:t>
            </w:r>
          </w:p>
        </w:tc>
        <w:tc>
          <w:tcPr>
            <w:tcW w:w="914" w:type="dxa"/>
          </w:tcPr>
          <w:p>
            <w:pPr>
              <w:pStyle w:val="0"/>
              <w:jc w:val="center"/>
            </w:pPr>
            <w:r>
              <w:rPr>
                <w:sz w:val="20"/>
              </w:rPr>
              <w:t xml:space="preserve">7</w:t>
            </w:r>
          </w:p>
        </w:tc>
        <w:tc>
          <w:tcPr>
            <w:tcW w:w="993" w:type="dxa"/>
          </w:tcPr>
          <w:p>
            <w:pPr>
              <w:pStyle w:val="0"/>
              <w:jc w:val="center"/>
            </w:pPr>
            <w:r>
              <w:rPr>
                <w:sz w:val="20"/>
              </w:rPr>
              <w:t xml:space="preserve">7</w:t>
            </w:r>
          </w:p>
        </w:tc>
        <w:tc>
          <w:tcPr>
            <w:tcW w:w="992" w:type="dxa"/>
          </w:tcPr>
          <w:p>
            <w:pPr>
              <w:pStyle w:val="0"/>
              <w:jc w:val="center"/>
            </w:pPr>
            <w:r>
              <w:rPr>
                <w:sz w:val="20"/>
              </w:rPr>
              <w:t xml:space="preserve">6</w:t>
            </w:r>
          </w:p>
        </w:tc>
        <w:tc>
          <w:tcPr>
            <w:tcW w:w="1134" w:type="dxa"/>
          </w:tcPr>
          <w:p>
            <w:pPr>
              <w:pStyle w:val="0"/>
              <w:jc w:val="center"/>
            </w:pPr>
            <w:r>
              <w:rPr>
                <w:sz w:val="20"/>
              </w:rPr>
              <w:t xml:space="preserve">6</w:t>
            </w:r>
          </w:p>
        </w:tc>
        <w:tc>
          <w:tcPr>
            <w:tcW w:w="1128" w:type="dxa"/>
          </w:tcPr>
          <w:p>
            <w:pPr>
              <w:pStyle w:val="0"/>
              <w:jc w:val="center"/>
            </w:pPr>
            <w:r>
              <w:rPr>
                <w:sz w:val="20"/>
              </w:rPr>
              <w:t xml:space="preserve">6</w:t>
            </w:r>
          </w:p>
        </w:tc>
      </w:tr>
      <w:tr>
        <w:tc>
          <w:tcPr>
            <w:tcW w:w="2835" w:type="dxa"/>
          </w:tcPr>
          <w:p>
            <w:pPr>
              <w:pStyle w:val="0"/>
              <w:jc w:val="both"/>
            </w:pPr>
            <w:r>
              <w:rPr>
                <w:sz w:val="20"/>
              </w:rPr>
              <w:t xml:space="preserve">Специализированные</w:t>
            </w:r>
          </w:p>
        </w:tc>
        <w:tc>
          <w:tcPr>
            <w:tcW w:w="1055" w:type="dxa"/>
          </w:tcPr>
          <w:p>
            <w:pPr>
              <w:pStyle w:val="0"/>
              <w:jc w:val="center"/>
            </w:pPr>
            <w:r>
              <w:rPr>
                <w:sz w:val="20"/>
              </w:rPr>
              <w:t xml:space="preserve">2</w:t>
            </w:r>
          </w:p>
        </w:tc>
        <w:tc>
          <w:tcPr>
            <w:tcW w:w="914" w:type="dxa"/>
          </w:tcPr>
          <w:p>
            <w:pPr>
              <w:pStyle w:val="0"/>
              <w:jc w:val="center"/>
            </w:pPr>
            <w:r>
              <w:rPr>
                <w:sz w:val="20"/>
              </w:rPr>
              <w:t xml:space="preserve">2</w:t>
            </w:r>
          </w:p>
        </w:tc>
        <w:tc>
          <w:tcPr>
            <w:tcW w:w="993" w:type="dxa"/>
          </w:tcPr>
          <w:p>
            <w:pPr>
              <w:pStyle w:val="0"/>
              <w:jc w:val="center"/>
            </w:pPr>
            <w:r>
              <w:rPr>
                <w:sz w:val="20"/>
              </w:rPr>
              <w:t xml:space="preserve">2</w:t>
            </w:r>
          </w:p>
        </w:tc>
        <w:tc>
          <w:tcPr>
            <w:tcW w:w="992" w:type="dxa"/>
          </w:tcPr>
          <w:p>
            <w:pPr>
              <w:pStyle w:val="0"/>
              <w:jc w:val="center"/>
            </w:pPr>
            <w:r>
              <w:rPr>
                <w:sz w:val="20"/>
              </w:rPr>
              <w:t xml:space="preserve">3</w:t>
            </w:r>
          </w:p>
        </w:tc>
        <w:tc>
          <w:tcPr>
            <w:tcW w:w="1134" w:type="dxa"/>
          </w:tcPr>
          <w:p>
            <w:pPr>
              <w:pStyle w:val="0"/>
              <w:jc w:val="center"/>
            </w:pPr>
            <w:r>
              <w:rPr>
                <w:sz w:val="20"/>
              </w:rPr>
              <w:t xml:space="preserve">3</w:t>
            </w:r>
          </w:p>
        </w:tc>
        <w:tc>
          <w:tcPr>
            <w:tcW w:w="1128" w:type="dxa"/>
          </w:tcPr>
          <w:p>
            <w:pPr>
              <w:pStyle w:val="0"/>
              <w:jc w:val="center"/>
            </w:pPr>
            <w:r>
              <w:rPr>
                <w:sz w:val="20"/>
              </w:rPr>
              <w:t xml:space="preserve">3</w:t>
            </w:r>
          </w:p>
        </w:tc>
      </w:tr>
    </w:tbl>
    <w:p>
      <w:pPr>
        <w:pStyle w:val="0"/>
        <w:jc w:val="center"/>
      </w:pPr>
      <w:r>
        <w:rPr>
          <w:sz w:val="20"/>
        </w:rPr>
      </w:r>
    </w:p>
    <w:p>
      <w:pPr>
        <w:pStyle w:val="0"/>
        <w:jc w:val="center"/>
      </w:pPr>
      <w:r>
        <w:rPr>
          <w:sz w:val="20"/>
        </w:rPr>
        <w:t xml:space="preserve">Сведения об износе автомобилей СМП</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1928"/>
        <w:gridCol w:w="2041"/>
        <w:gridCol w:w="2268"/>
      </w:tblGrid>
      <w:tr>
        <w:tc>
          <w:tcPr>
            <w:tcW w:w="2835" w:type="dxa"/>
          </w:tcPr>
          <w:p>
            <w:pPr>
              <w:pStyle w:val="0"/>
              <w:jc w:val="center"/>
            </w:pPr>
            <w:r>
              <w:rPr>
                <w:sz w:val="20"/>
              </w:rPr>
              <w:t xml:space="preserve">Класс автомобиля</w:t>
            </w:r>
          </w:p>
        </w:tc>
        <w:tc>
          <w:tcPr>
            <w:tcW w:w="1928" w:type="dxa"/>
          </w:tcPr>
          <w:p>
            <w:pPr>
              <w:pStyle w:val="0"/>
              <w:jc w:val="center"/>
            </w:pPr>
            <w:r>
              <w:rPr>
                <w:sz w:val="20"/>
              </w:rPr>
              <w:t xml:space="preserve">До 3-х лет</w:t>
            </w:r>
          </w:p>
        </w:tc>
        <w:tc>
          <w:tcPr>
            <w:tcW w:w="2041" w:type="dxa"/>
          </w:tcPr>
          <w:p>
            <w:pPr>
              <w:pStyle w:val="0"/>
              <w:jc w:val="center"/>
            </w:pPr>
            <w:r>
              <w:rPr>
                <w:sz w:val="20"/>
              </w:rPr>
              <w:t xml:space="preserve">От 3 до 5 лет</w:t>
            </w:r>
          </w:p>
        </w:tc>
        <w:tc>
          <w:tcPr>
            <w:tcW w:w="2268" w:type="dxa"/>
          </w:tcPr>
          <w:p>
            <w:pPr>
              <w:pStyle w:val="0"/>
              <w:jc w:val="center"/>
            </w:pPr>
            <w:r>
              <w:rPr>
                <w:sz w:val="20"/>
              </w:rPr>
              <w:t xml:space="preserve">Свыше 5 лет</w:t>
            </w:r>
          </w:p>
        </w:tc>
      </w:tr>
      <w:tr>
        <w:tc>
          <w:tcPr>
            <w:tcW w:w="2835" w:type="dxa"/>
          </w:tcPr>
          <w:p>
            <w:pPr>
              <w:pStyle w:val="0"/>
              <w:jc w:val="both"/>
            </w:pPr>
            <w:r>
              <w:rPr>
                <w:sz w:val="20"/>
              </w:rPr>
              <w:t xml:space="preserve">A</w:t>
            </w:r>
          </w:p>
        </w:tc>
        <w:tc>
          <w:tcPr>
            <w:tcW w:w="1928" w:type="dxa"/>
          </w:tcPr>
          <w:p>
            <w:pPr>
              <w:pStyle w:val="0"/>
              <w:jc w:val="center"/>
            </w:pPr>
            <w:r>
              <w:rPr>
                <w:sz w:val="20"/>
              </w:rPr>
              <w:t xml:space="preserve">-</w:t>
            </w:r>
          </w:p>
        </w:tc>
        <w:tc>
          <w:tcPr>
            <w:tcW w:w="2041" w:type="dxa"/>
          </w:tcPr>
          <w:p>
            <w:pPr>
              <w:pStyle w:val="0"/>
              <w:jc w:val="center"/>
            </w:pPr>
            <w:r>
              <w:rPr>
                <w:sz w:val="20"/>
              </w:rPr>
              <w:t xml:space="preserve">-</w:t>
            </w:r>
          </w:p>
        </w:tc>
        <w:tc>
          <w:tcPr>
            <w:tcW w:w="2268" w:type="dxa"/>
          </w:tcPr>
          <w:p>
            <w:pPr>
              <w:pStyle w:val="0"/>
              <w:jc w:val="center"/>
            </w:pPr>
            <w:r>
              <w:rPr>
                <w:sz w:val="20"/>
              </w:rPr>
              <w:t xml:space="preserve">-</w:t>
            </w:r>
          </w:p>
        </w:tc>
      </w:tr>
      <w:tr>
        <w:tc>
          <w:tcPr>
            <w:tcW w:w="2835" w:type="dxa"/>
          </w:tcPr>
          <w:p>
            <w:pPr>
              <w:pStyle w:val="0"/>
              <w:jc w:val="both"/>
            </w:pPr>
            <w:r>
              <w:rPr>
                <w:sz w:val="20"/>
              </w:rPr>
              <w:t xml:space="preserve">B</w:t>
            </w:r>
          </w:p>
        </w:tc>
        <w:tc>
          <w:tcPr>
            <w:tcW w:w="1928" w:type="dxa"/>
          </w:tcPr>
          <w:p>
            <w:pPr>
              <w:pStyle w:val="0"/>
              <w:jc w:val="center"/>
            </w:pPr>
            <w:r>
              <w:rPr>
                <w:sz w:val="20"/>
              </w:rPr>
              <w:t xml:space="preserve">22</w:t>
            </w:r>
          </w:p>
        </w:tc>
        <w:tc>
          <w:tcPr>
            <w:tcW w:w="2041" w:type="dxa"/>
          </w:tcPr>
          <w:p>
            <w:pPr>
              <w:pStyle w:val="0"/>
              <w:jc w:val="center"/>
            </w:pPr>
            <w:r>
              <w:rPr>
                <w:sz w:val="20"/>
              </w:rPr>
              <w:t xml:space="preserve">15</w:t>
            </w:r>
          </w:p>
        </w:tc>
        <w:tc>
          <w:tcPr>
            <w:tcW w:w="2268" w:type="dxa"/>
          </w:tcPr>
          <w:p>
            <w:pPr>
              <w:pStyle w:val="0"/>
              <w:jc w:val="center"/>
            </w:pPr>
            <w:r>
              <w:rPr>
                <w:sz w:val="20"/>
              </w:rPr>
              <w:t xml:space="preserve">17</w:t>
            </w:r>
          </w:p>
        </w:tc>
      </w:tr>
      <w:tr>
        <w:tc>
          <w:tcPr>
            <w:tcW w:w="2835" w:type="dxa"/>
          </w:tcPr>
          <w:p>
            <w:pPr>
              <w:pStyle w:val="0"/>
              <w:jc w:val="both"/>
            </w:pPr>
            <w:r>
              <w:rPr>
                <w:sz w:val="20"/>
              </w:rPr>
              <w:t xml:space="preserve">C</w:t>
            </w:r>
          </w:p>
        </w:tc>
        <w:tc>
          <w:tcPr>
            <w:tcW w:w="1928" w:type="dxa"/>
          </w:tcPr>
          <w:p>
            <w:pPr>
              <w:pStyle w:val="0"/>
              <w:jc w:val="center"/>
            </w:pPr>
            <w:r>
              <w:rPr>
                <w:sz w:val="20"/>
              </w:rPr>
              <w:t xml:space="preserve">2</w:t>
            </w:r>
          </w:p>
        </w:tc>
        <w:tc>
          <w:tcPr>
            <w:tcW w:w="2041" w:type="dxa"/>
          </w:tcPr>
          <w:p>
            <w:pPr>
              <w:pStyle w:val="0"/>
              <w:jc w:val="center"/>
            </w:pPr>
            <w:r>
              <w:rPr>
                <w:sz w:val="20"/>
              </w:rPr>
              <w:t xml:space="preserve">5</w:t>
            </w:r>
          </w:p>
        </w:tc>
        <w:tc>
          <w:tcPr>
            <w:tcW w:w="2268" w:type="dxa"/>
          </w:tcPr>
          <w:p>
            <w:pPr>
              <w:pStyle w:val="0"/>
              <w:jc w:val="center"/>
            </w:pPr>
            <w:r>
              <w:rPr>
                <w:sz w:val="20"/>
              </w:rPr>
              <w:t xml:space="preserve">2</w:t>
            </w:r>
          </w:p>
        </w:tc>
      </w:tr>
      <w:tr>
        <w:tc>
          <w:tcPr>
            <w:tcW w:w="2835" w:type="dxa"/>
          </w:tcPr>
          <w:p>
            <w:pPr>
              <w:pStyle w:val="0"/>
              <w:jc w:val="both"/>
            </w:pPr>
            <w:r>
              <w:rPr>
                <w:sz w:val="20"/>
              </w:rPr>
              <w:t xml:space="preserve">ИТОГО</w:t>
            </w:r>
          </w:p>
        </w:tc>
        <w:tc>
          <w:tcPr>
            <w:tcW w:w="1928" w:type="dxa"/>
          </w:tcPr>
          <w:p>
            <w:pPr>
              <w:pStyle w:val="0"/>
              <w:jc w:val="center"/>
            </w:pPr>
            <w:r>
              <w:rPr>
                <w:sz w:val="20"/>
              </w:rPr>
              <w:t xml:space="preserve">24</w:t>
            </w:r>
          </w:p>
        </w:tc>
        <w:tc>
          <w:tcPr>
            <w:tcW w:w="2041" w:type="dxa"/>
          </w:tcPr>
          <w:p>
            <w:pPr>
              <w:pStyle w:val="0"/>
              <w:jc w:val="center"/>
            </w:pPr>
            <w:r>
              <w:rPr>
                <w:sz w:val="20"/>
              </w:rPr>
              <w:t xml:space="preserve">20</w:t>
            </w:r>
          </w:p>
        </w:tc>
        <w:tc>
          <w:tcPr>
            <w:tcW w:w="2268" w:type="dxa"/>
          </w:tcPr>
          <w:p>
            <w:pPr>
              <w:pStyle w:val="0"/>
              <w:jc w:val="center"/>
            </w:pPr>
            <w:r>
              <w:rPr>
                <w:sz w:val="20"/>
              </w:rPr>
              <w:t xml:space="preserve">19</w:t>
            </w:r>
          </w:p>
        </w:tc>
      </w:tr>
    </w:tbl>
    <w:p>
      <w:pPr>
        <w:pStyle w:val="0"/>
        <w:jc w:val="center"/>
      </w:pPr>
      <w:r>
        <w:rPr>
          <w:sz w:val="20"/>
        </w:rPr>
      </w:r>
    </w:p>
    <w:p>
      <w:pPr>
        <w:pStyle w:val="0"/>
        <w:jc w:val="center"/>
      </w:pPr>
      <w:r>
        <w:rPr>
          <w:sz w:val="20"/>
        </w:rPr>
        <w:t xml:space="preserve">Закупка автомобилей СМП за три года</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907"/>
        <w:gridCol w:w="907"/>
        <w:gridCol w:w="907"/>
        <w:gridCol w:w="907"/>
        <w:gridCol w:w="907"/>
        <w:gridCol w:w="907"/>
        <w:gridCol w:w="907"/>
        <w:gridCol w:w="907"/>
        <w:gridCol w:w="907"/>
        <w:gridCol w:w="907"/>
      </w:tblGrid>
      <w:tr>
        <w:tc>
          <w:tcPr>
            <w:tcW w:w="1644" w:type="dxa"/>
            <w:vMerge w:val="restart"/>
          </w:tcPr>
          <w:p>
            <w:pPr>
              <w:pStyle w:val="0"/>
              <w:jc w:val="center"/>
            </w:pPr>
            <w:r>
              <w:rPr>
                <w:sz w:val="20"/>
              </w:rPr>
              <w:t xml:space="preserve">Закупка автомобилей скорой медицинской помощи</w:t>
            </w:r>
          </w:p>
        </w:tc>
        <w:tc>
          <w:tcPr>
            <w:gridSpan w:val="2"/>
            <w:tcW w:w="1814" w:type="dxa"/>
          </w:tcPr>
          <w:p>
            <w:pPr>
              <w:pStyle w:val="0"/>
              <w:jc w:val="center"/>
            </w:pPr>
            <w:r>
              <w:rPr>
                <w:sz w:val="20"/>
              </w:rPr>
              <w:t xml:space="preserve">2018 год</w:t>
            </w:r>
          </w:p>
        </w:tc>
        <w:tc>
          <w:tcPr>
            <w:gridSpan w:val="2"/>
            <w:tcW w:w="1814" w:type="dxa"/>
          </w:tcPr>
          <w:p>
            <w:pPr>
              <w:pStyle w:val="0"/>
              <w:jc w:val="center"/>
            </w:pPr>
            <w:r>
              <w:rPr>
                <w:sz w:val="20"/>
              </w:rPr>
              <w:t xml:space="preserve">2019 год</w:t>
            </w:r>
          </w:p>
        </w:tc>
        <w:tc>
          <w:tcPr>
            <w:gridSpan w:val="2"/>
            <w:tcW w:w="1814" w:type="dxa"/>
          </w:tcPr>
          <w:p>
            <w:pPr>
              <w:pStyle w:val="0"/>
              <w:jc w:val="center"/>
            </w:pPr>
            <w:r>
              <w:rPr>
                <w:sz w:val="20"/>
              </w:rPr>
              <w:t xml:space="preserve">2020 год</w:t>
            </w:r>
          </w:p>
        </w:tc>
        <w:tc>
          <w:tcPr>
            <w:gridSpan w:val="2"/>
            <w:tcW w:w="1814" w:type="dxa"/>
          </w:tcPr>
          <w:p>
            <w:pPr>
              <w:pStyle w:val="0"/>
              <w:jc w:val="center"/>
            </w:pPr>
            <w:r>
              <w:rPr>
                <w:sz w:val="20"/>
              </w:rPr>
              <w:t xml:space="preserve">2021 год</w:t>
            </w:r>
          </w:p>
        </w:tc>
        <w:tc>
          <w:tcPr>
            <w:gridSpan w:val="2"/>
            <w:tcW w:w="1814" w:type="dxa"/>
          </w:tcPr>
          <w:p>
            <w:pPr>
              <w:pStyle w:val="0"/>
              <w:jc w:val="center"/>
            </w:pPr>
            <w:r>
              <w:rPr>
                <w:sz w:val="20"/>
              </w:rPr>
              <w:t xml:space="preserve">2022 год</w:t>
            </w:r>
          </w:p>
        </w:tc>
      </w:tr>
      <w:tr>
        <w:tc>
          <w:tcPr>
            <w:vMerge w:val="continue"/>
          </w:tcPr>
          <w:p/>
        </w:tc>
        <w:tc>
          <w:tcPr>
            <w:tcW w:w="907" w:type="dxa"/>
          </w:tcPr>
          <w:p>
            <w:pPr>
              <w:pStyle w:val="0"/>
              <w:jc w:val="center"/>
            </w:pPr>
            <w:r>
              <w:rPr>
                <w:sz w:val="20"/>
              </w:rPr>
              <w:t xml:space="preserve">за счет средств гор. бюджета</w:t>
            </w:r>
          </w:p>
        </w:tc>
        <w:tc>
          <w:tcPr>
            <w:tcW w:w="907" w:type="dxa"/>
          </w:tcPr>
          <w:p>
            <w:pPr>
              <w:pStyle w:val="0"/>
              <w:jc w:val="center"/>
            </w:pPr>
            <w:r>
              <w:rPr>
                <w:sz w:val="20"/>
              </w:rPr>
              <w:t xml:space="preserve">за счет средств фед. бюджета</w:t>
            </w:r>
          </w:p>
        </w:tc>
        <w:tc>
          <w:tcPr>
            <w:tcW w:w="907" w:type="dxa"/>
          </w:tcPr>
          <w:p>
            <w:pPr>
              <w:pStyle w:val="0"/>
              <w:jc w:val="center"/>
            </w:pPr>
            <w:r>
              <w:rPr>
                <w:sz w:val="20"/>
              </w:rPr>
              <w:t xml:space="preserve">за счет средств гор. бюджета</w:t>
            </w:r>
          </w:p>
        </w:tc>
        <w:tc>
          <w:tcPr>
            <w:tcW w:w="907" w:type="dxa"/>
          </w:tcPr>
          <w:p>
            <w:pPr>
              <w:pStyle w:val="0"/>
              <w:jc w:val="center"/>
            </w:pPr>
            <w:r>
              <w:rPr>
                <w:sz w:val="20"/>
              </w:rPr>
              <w:t xml:space="preserve">за счет средств фед. бюджета</w:t>
            </w:r>
          </w:p>
        </w:tc>
        <w:tc>
          <w:tcPr>
            <w:tcW w:w="907" w:type="dxa"/>
          </w:tcPr>
          <w:p>
            <w:pPr>
              <w:pStyle w:val="0"/>
              <w:jc w:val="center"/>
            </w:pPr>
            <w:r>
              <w:rPr>
                <w:sz w:val="20"/>
              </w:rPr>
              <w:t xml:space="preserve">за счет средств гор. бюджета</w:t>
            </w:r>
          </w:p>
        </w:tc>
        <w:tc>
          <w:tcPr>
            <w:tcW w:w="907" w:type="dxa"/>
          </w:tcPr>
          <w:p>
            <w:pPr>
              <w:pStyle w:val="0"/>
              <w:jc w:val="center"/>
            </w:pPr>
            <w:r>
              <w:rPr>
                <w:sz w:val="20"/>
              </w:rPr>
              <w:t xml:space="preserve">за счет средств фед. бюджета</w:t>
            </w:r>
          </w:p>
        </w:tc>
        <w:tc>
          <w:tcPr>
            <w:tcW w:w="907" w:type="dxa"/>
          </w:tcPr>
          <w:p>
            <w:pPr>
              <w:pStyle w:val="0"/>
              <w:jc w:val="center"/>
            </w:pPr>
            <w:r>
              <w:rPr>
                <w:sz w:val="20"/>
              </w:rPr>
              <w:t xml:space="preserve">за счет средств гор. бюджета</w:t>
            </w:r>
          </w:p>
        </w:tc>
        <w:tc>
          <w:tcPr>
            <w:tcW w:w="907" w:type="dxa"/>
          </w:tcPr>
          <w:p>
            <w:pPr>
              <w:pStyle w:val="0"/>
              <w:jc w:val="center"/>
            </w:pPr>
            <w:r>
              <w:rPr>
                <w:sz w:val="20"/>
              </w:rPr>
              <w:t xml:space="preserve">за счет средств фед. бюджета</w:t>
            </w:r>
          </w:p>
        </w:tc>
        <w:tc>
          <w:tcPr>
            <w:tcW w:w="907" w:type="dxa"/>
          </w:tcPr>
          <w:p>
            <w:pPr>
              <w:pStyle w:val="0"/>
              <w:jc w:val="center"/>
            </w:pPr>
            <w:r>
              <w:rPr>
                <w:sz w:val="20"/>
              </w:rPr>
              <w:t xml:space="preserve">за счет средств гор. бюджета</w:t>
            </w:r>
          </w:p>
        </w:tc>
        <w:tc>
          <w:tcPr>
            <w:tcW w:w="907" w:type="dxa"/>
          </w:tcPr>
          <w:p>
            <w:pPr>
              <w:pStyle w:val="0"/>
              <w:jc w:val="center"/>
            </w:pPr>
            <w:r>
              <w:rPr>
                <w:sz w:val="20"/>
              </w:rPr>
              <w:t xml:space="preserve">за счет средств фед. бюджета</w:t>
            </w:r>
          </w:p>
        </w:tc>
      </w:tr>
      <w:tr>
        <w:tc>
          <w:tcPr>
            <w:tcW w:w="1644" w:type="dxa"/>
          </w:tcPr>
          <w:p>
            <w:pPr>
              <w:pStyle w:val="0"/>
              <w:jc w:val="both"/>
            </w:pPr>
            <w:r>
              <w:rPr>
                <w:sz w:val="20"/>
              </w:rPr>
              <w:t xml:space="preserve">Всего</w:t>
            </w:r>
          </w:p>
        </w:tc>
        <w:tc>
          <w:tcPr>
            <w:tcW w:w="907" w:type="dxa"/>
          </w:tcPr>
          <w:p>
            <w:pPr>
              <w:pStyle w:val="0"/>
              <w:jc w:val="center"/>
            </w:pPr>
            <w:r>
              <w:rPr>
                <w:sz w:val="20"/>
              </w:rPr>
              <w:t xml:space="preserve">0</w:t>
            </w:r>
          </w:p>
        </w:tc>
        <w:tc>
          <w:tcPr>
            <w:tcW w:w="907" w:type="dxa"/>
          </w:tcPr>
          <w:p>
            <w:pPr>
              <w:pStyle w:val="0"/>
              <w:jc w:val="center"/>
            </w:pPr>
            <w:r>
              <w:rPr>
                <w:sz w:val="20"/>
              </w:rPr>
              <w:t xml:space="preserve">18</w:t>
            </w:r>
          </w:p>
        </w:tc>
        <w:tc>
          <w:tcPr>
            <w:tcW w:w="907" w:type="dxa"/>
          </w:tcPr>
          <w:p>
            <w:pPr>
              <w:pStyle w:val="0"/>
              <w:jc w:val="center"/>
            </w:pPr>
            <w:r>
              <w:rPr>
                <w:sz w:val="20"/>
              </w:rPr>
              <w:t xml:space="preserve">0</w:t>
            </w:r>
          </w:p>
        </w:tc>
        <w:tc>
          <w:tcPr>
            <w:tcW w:w="907" w:type="dxa"/>
          </w:tcPr>
          <w:p>
            <w:pPr>
              <w:pStyle w:val="0"/>
              <w:jc w:val="center"/>
            </w:pPr>
            <w:r>
              <w:rPr>
                <w:sz w:val="20"/>
              </w:rPr>
              <w:t xml:space="preserve">18</w:t>
            </w:r>
          </w:p>
        </w:tc>
        <w:tc>
          <w:tcPr>
            <w:tcW w:w="907" w:type="dxa"/>
          </w:tcPr>
          <w:p>
            <w:pPr>
              <w:pStyle w:val="0"/>
              <w:jc w:val="center"/>
            </w:pPr>
            <w:r>
              <w:rPr>
                <w:sz w:val="20"/>
              </w:rPr>
              <w:t xml:space="preserve">0</w:t>
            </w:r>
          </w:p>
        </w:tc>
        <w:tc>
          <w:tcPr>
            <w:tcW w:w="907" w:type="dxa"/>
          </w:tcPr>
          <w:p>
            <w:pPr>
              <w:pStyle w:val="0"/>
              <w:jc w:val="center"/>
            </w:pPr>
            <w:r>
              <w:rPr>
                <w:sz w:val="20"/>
              </w:rPr>
              <w:t xml:space="preserve">18</w:t>
            </w:r>
          </w:p>
        </w:tc>
        <w:tc>
          <w:tcPr>
            <w:tcW w:w="907" w:type="dxa"/>
          </w:tcPr>
          <w:p>
            <w:pPr>
              <w:pStyle w:val="0"/>
              <w:jc w:val="center"/>
            </w:pPr>
            <w:r>
              <w:rPr>
                <w:sz w:val="20"/>
              </w:rPr>
              <w:t xml:space="preserve">0</w:t>
            </w:r>
          </w:p>
        </w:tc>
        <w:tc>
          <w:tcPr>
            <w:tcW w:w="907" w:type="dxa"/>
          </w:tcPr>
          <w:p>
            <w:pPr>
              <w:pStyle w:val="0"/>
              <w:jc w:val="center"/>
            </w:pPr>
            <w:r>
              <w:rPr>
                <w:sz w:val="20"/>
              </w:rPr>
              <w:t xml:space="preserve">18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1644" w:type="dxa"/>
          </w:tcPr>
          <w:p>
            <w:pPr>
              <w:pStyle w:val="0"/>
              <w:jc w:val="both"/>
            </w:pPr>
            <w:r>
              <w:rPr>
                <w:sz w:val="20"/>
              </w:rPr>
              <w:t xml:space="preserve">из них класса "A"</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1644" w:type="dxa"/>
          </w:tcPr>
          <w:p>
            <w:pPr>
              <w:pStyle w:val="0"/>
              <w:jc w:val="both"/>
            </w:pPr>
            <w:r>
              <w:rPr>
                <w:sz w:val="20"/>
              </w:rPr>
              <w:t xml:space="preserve">из них класса "B"</w:t>
            </w:r>
          </w:p>
        </w:tc>
        <w:tc>
          <w:tcPr>
            <w:tcW w:w="907" w:type="dxa"/>
          </w:tcPr>
          <w:p>
            <w:pPr>
              <w:pStyle w:val="0"/>
              <w:jc w:val="center"/>
            </w:pPr>
            <w:r>
              <w:rPr>
                <w:sz w:val="20"/>
              </w:rPr>
              <w:t xml:space="preserve">0</w:t>
            </w:r>
          </w:p>
        </w:tc>
        <w:tc>
          <w:tcPr>
            <w:tcW w:w="907" w:type="dxa"/>
          </w:tcPr>
          <w:p>
            <w:pPr>
              <w:pStyle w:val="0"/>
              <w:jc w:val="center"/>
            </w:pPr>
            <w:r>
              <w:rPr>
                <w:sz w:val="20"/>
              </w:rPr>
              <w:t xml:space="preserve">18</w:t>
            </w:r>
          </w:p>
        </w:tc>
        <w:tc>
          <w:tcPr>
            <w:tcW w:w="907" w:type="dxa"/>
          </w:tcPr>
          <w:p>
            <w:pPr>
              <w:pStyle w:val="0"/>
              <w:jc w:val="center"/>
            </w:pPr>
            <w:r>
              <w:rPr>
                <w:sz w:val="20"/>
              </w:rPr>
              <w:t xml:space="preserve">0</w:t>
            </w:r>
          </w:p>
        </w:tc>
        <w:tc>
          <w:tcPr>
            <w:tcW w:w="907" w:type="dxa"/>
          </w:tcPr>
          <w:p>
            <w:pPr>
              <w:pStyle w:val="0"/>
              <w:jc w:val="center"/>
            </w:pPr>
            <w:r>
              <w:rPr>
                <w:sz w:val="20"/>
              </w:rPr>
              <w:t xml:space="preserve">18</w:t>
            </w:r>
          </w:p>
        </w:tc>
        <w:tc>
          <w:tcPr>
            <w:tcW w:w="907" w:type="dxa"/>
          </w:tcPr>
          <w:p>
            <w:pPr>
              <w:pStyle w:val="0"/>
              <w:jc w:val="center"/>
            </w:pPr>
            <w:r>
              <w:rPr>
                <w:sz w:val="20"/>
              </w:rPr>
              <w:t xml:space="preserve">0</w:t>
            </w:r>
          </w:p>
        </w:tc>
        <w:tc>
          <w:tcPr>
            <w:tcW w:w="907" w:type="dxa"/>
          </w:tcPr>
          <w:p>
            <w:pPr>
              <w:pStyle w:val="0"/>
              <w:jc w:val="center"/>
            </w:pPr>
            <w:r>
              <w:rPr>
                <w:sz w:val="20"/>
              </w:rPr>
              <w:t xml:space="preserve">18</w:t>
            </w:r>
          </w:p>
        </w:tc>
        <w:tc>
          <w:tcPr>
            <w:tcW w:w="907" w:type="dxa"/>
          </w:tcPr>
          <w:p>
            <w:pPr>
              <w:pStyle w:val="0"/>
              <w:jc w:val="center"/>
            </w:pPr>
            <w:r>
              <w:rPr>
                <w:sz w:val="20"/>
              </w:rPr>
              <w:t xml:space="preserve">0</w:t>
            </w:r>
          </w:p>
        </w:tc>
        <w:tc>
          <w:tcPr>
            <w:tcW w:w="907" w:type="dxa"/>
          </w:tcPr>
          <w:p>
            <w:pPr>
              <w:pStyle w:val="0"/>
              <w:jc w:val="center"/>
            </w:pPr>
            <w:r>
              <w:rPr>
                <w:sz w:val="20"/>
              </w:rPr>
              <w:t xml:space="preserve">18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1644" w:type="dxa"/>
          </w:tcPr>
          <w:p>
            <w:pPr>
              <w:pStyle w:val="0"/>
              <w:jc w:val="both"/>
            </w:pPr>
            <w:r>
              <w:rPr>
                <w:sz w:val="20"/>
              </w:rPr>
              <w:t xml:space="preserve">из них класса "C"</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bl>
    <w:p>
      <w:pPr>
        <w:pStyle w:val="0"/>
        <w:ind w:firstLine="540"/>
        <w:jc w:val="both"/>
      </w:pPr>
      <w:r>
        <w:rPr>
          <w:sz w:val="20"/>
        </w:rPr>
      </w:r>
    </w:p>
    <w:p>
      <w:pPr>
        <w:pStyle w:val="0"/>
        <w:jc w:val="center"/>
      </w:pPr>
      <w:r>
        <w:rPr>
          <w:sz w:val="20"/>
        </w:rPr>
        <w:t xml:space="preserve">Максимальный радиус обслуживания населения</w:t>
      </w:r>
    </w:p>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t xml:space="preserve">станциями (отделениями) СМП</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31"/>
        <w:gridCol w:w="1382"/>
        <w:gridCol w:w="1725"/>
        <w:gridCol w:w="1547"/>
        <w:gridCol w:w="1770"/>
      </w:tblGrid>
      <w:tr>
        <w:tc>
          <w:tcPr>
            <w:tcW w:w="3431" w:type="dxa"/>
          </w:tcPr>
          <w:p>
            <w:pPr>
              <w:pStyle w:val="0"/>
              <w:jc w:val="center"/>
            </w:pPr>
            <w:r>
              <w:rPr>
                <w:sz w:val="20"/>
              </w:rPr>
              <w:t xml:space="preserve">Максимальный радиус</w:t>
            </w:r>
          </w:p>
        </w:tc>
        <w:tc>
          <w:tcPr>
            <w:tcW w:w="1382" w:type="dxa"/>
          </w:tcPr>
          <w:p>
            <w:pPr>
              <w:pStyle w:val="0"/>
              <w:jc w:val="center"/>
            </w:pPr>
            <w:r>
              <w:rPr>
                <w:sz w:val="20"/>
              </w:rPr>
              <w:t xml:space="preserve">До 30 км</w:t>
            </w:r>
          </w:p>
        </w:tc>
        <w:tc>
          <w:tcPr>
            <w:tcW w:w="1725" w:type="dxa"/>
          </w:tcPr>
          <w:p>
            <w:pPr>
              <w:pStyle w:val="0"/>
              <w:jc w:val="center"/>
            </w:pPr>
            <w:r>
              <w:rPr>
                <w:sz w:val="20"/>
              </w:rPr>
              <w:t xml:space="preserve">30 - 60 км</w:t>
            </w:r>
          </w:p>
        </w:tc>
        <w:tc>
          <w:tcPr>
            <w:tcW w:w="1547" w:type="dxa"/>
          </w:tcPr>
          <w:p>
            <w:pPr>
              <w:pStyle w:val="0"/>
              <w:jc w:val="center"/>
            </w:pPr>
            <w:r>
              <w:rPr>
                <w:sz w:val="20"/>
              </w:rPr>
              <w:t xml:space="preserve">60 - 100 км</w:t>
            </w:r>
          </w:p>
        </w:tc>
        <w:tc>
          <w:tcPr>
            <w:tcW w:w="1770" w:type="dxa"/>
          </w:tcPr>
          <w:p>
            <w:pPr>
              <w:pStyle w:val="0"/>
              <w:jc w:val="center"/>
            </w:pPr>
            <w:r>
              <w:rPr>
                <w:sz w:val="20"/>
              </w:rPr>
              <w:t xml:space="preserve">Более 100 км</w:t>
            </w:r>
          </w:p>
        </w:tc>
      </w:tr>
      <w:tr>
        <w:tc>
          <w:tcPr>
            <w:tcW w:w="3431" w:type="dxa"/>
          </w:tcPr>
          <w:p>
            <w:pPr>
              <w:pStyle w:val="0"/>
              <w:jc w:val="both"/>
            </w:pPr>
            <w:r>
              <w:rPr>
                <w:sz w:val="20"/>
              </w:rPr>
              <w:t xml:space="preserve">% соотношение количества учреждений СМП</w:t>
            </w:r>
          </w:p>
        </w:tc>
        <w:tc>
          <w:tcPr>
            <w:tcW w:w="1382" w:type="dxa"/>
          </w:tcPr>
          <w:p>
            <w:pPr>
              <w:pStyle w:val="0"/>
              <w:jc w:val="center"/>
            </w:pPr>
            <w:r>
              <w:rPr>
                <w:sz w:val="20"/>
              </w:rPr>
              <w:t xml:space="preserve">100</w:t>
            </w:r>
          </w:p>
        </w:tc>
        <w:tc>
          <w:tcPr>
            <w:tcW w:w="1725" w:type="dxa"/>
          </w:tcPr>
          <w:p>
            <w:pPr>
              <w:pStyle w:val="0"/>
              <w:jc w:val="center"/>
            </w:pPr>
            <w:r>
              <w:rPr>
                <w:sz w:val="20"/>
              </w:rPr>
              <w:t xml:space="preserve">-</w:t>
            </w:r>
          </w:p>
        </w:tc>
        <w:tc>
          <w:tcPr>
            <w:tcW w:w="1547" w:type="dxa"/>
          </w:tcPr>
          <w:p>
            <w:pPr>
              <w:pStyle w:val="0"/>
              <w:jc w:val="center"/>
            </w:pPr>
            <w:r>
              <w:rPr>
                <w:sz w:val="20"/>
              </w:rPr>
              <w:t xml:space="preserve">-</w:t>
            </w:r>
          </w:p>
        </w:tc>
        <w:tc>
          <w:tcPr>
            <w:tcW w:w="1770"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Максимальный радиус доезда из любого структурного подразделения не превышает 30 км.</w:t>
      </w:r>
    </w:p>
    <w:p>
      <w:pPr>
        <w:pStyle w:val="0"/>
        <w:ind w:firstLine="540"/>
        <w:jc w:val="both"/>
      </w:pPr>
      <w:r>
        <w:rPr>
          <w:sz w:val="20"/>
        </w:rPr>
      </w:r>
    </w:p>
    <w:p>
      <w:pPr>
        <w:pStyle w:val="0"/>
        <w:jc w:val="center"/>
      </w:pPr>
      <w:r>
        <w:rPr>
          <w:sz w:val="20"/>
        </w:rPr>
        <w:t xml:space="preserve">Сельская местность</w:t>
      </w:r>
    </w:p>
    <w:p>
      <w:pPr>
        <w:pStyle w:val="0"/>
        <w:jc w:val="center"/>
      </w:pPr>
      <w:r>
        <w:rPr>
          <w:sz w:val="20"/>
        </w:rPr>
      </w:r>
    </w:p>
    <w:p>
      <w:pPr>
        <w:pStyle w:val="0"/>
        <w:ind w:firstLine="540"/>
        <w:jc w:val="both"/>
      </w:pPr>
      <w:r>
        <w:rPr>
          <w:sz w:val="20"/>
        </w:rPr>
        <w:t xml:space="preserve">Структура ГБУЗС "ЦЭМПиМК" состоит из девяти структурных подразделений, из них подразделения, оказывающие скорую, в том числе скорую специализированную, медицинскую помощь сельскому населению, расположены:</w:t>
      </w:r>
    </w:p>
    <w:p>
      <w:pPr>
        <w:pStyle w:val="0"/>
        <w:spacing w:before="200" w:line-rule="auto"/>
        <w:ind w:firstLine="540"/>
        <w:jc w:val="both"/>
      </w:pPr>
      <w:r>
        <w:rPr>
          <w:sz w:val="20"/>
        </w:rPr>
        <w:t xml:space="preserve">г. Севастополь, пос. Кача, ул. Нестерова, 2,</w:t>
      </w:r>
    </w:p>
    <w:p>
      <w:pPr>
        <w:pStyle w:val="0"/>
        <w:spacing w:before="200" w:line-rule="auto"/>
        <w:ind w:firstLine="540"/>
        <w:jc w:val="both"/>
      </w:pPr>
      <w:r>
        <w:rPr>
          <w:sz w:val="20"/>
        </w:rPr>
        <w:t xml:space="preserve">г. Севастополь, г. Инкерман, ул. Умрихина, 4,</w:t>
      </w:r>
    </w:p>
    <w:p>
      <w:pPr>
        <w:pStyle w:val="0"/>
        <w:spacing w:before="200" w:line-rule="auto"/>
        <w:ind w:firstLine="540"/>
        <w:jc w:val="both"/>
      </w:pPr>
      <w:r>
        <w:rPr>
          <w:sz w:val="20"/>
        </w:rPr>
        <w:t xml:space="preserve">г. Севастополь, с. Орлиное, ул. Пахомова, 9а,</w:t>
      </w:r>
    </w:p>
    <w:p>
      <w:pPr>
        <w:pStyle w:val="0"/>
        <w:spacing w:before="200" w:line-rule="auto"/>
        <w:ind w:firstLine="540"/>
        <w:jc w:val="both"/>
      </w:pPr>
      <w:r>
        <w:rPr>
          <w:sz w:val="20"/>
        </w:rPr>
        <w:t xml:space="preserve">г. Севастополь, ул. Новикова, 111.</w:t>
      </w:r>
    </w:p>
    <w:p>
      <w:pPr>
        <w:pStyle w:val="0"/>
        <w:spacing w:before="200" w:line-rule="auto"/>
        <w:ind w:firstLine="540"/>
        <w:jc w:val="both"/>
      </w:pPr>
      <w:r>
        <w:rPr>
          <w:sz w:val="20"/>
        </w:rPr>
        <w:t xml:space="preserve">Согласно приказу ГБУЗС "ЦЭМПиМК" от 27.06.2018 N 330 "О централизации оперативного отдела" организована единая диспетчерская служба оказания СМП.</w:t>
      </w:r>
    </w:p>
    <w:p>
      <w:pPr>
        <w:pStyle w:val="0"/>
        <w:ind w:firstLine="540"/>
        <w:jc w:val="both"/>
      </w:pPr>
      <w:r>
        <w:rPr>
          <w:sz w:val="20"/>
        </w:rPr>
      </w:r>
    </w:p>
    <w:p>
      <w:pPr>
        <w:pStyle w:val="0"/>
        <w:jc w:val="center"/>
      </w:pPr>
      <w:r>
        <w:rPr>
          <w:sz w:val="20"/>
        </w:rPr>
        <w:t xml:space="preserve">Оснащенность автомобилей датчиками глобальной навигационной</w:t>
      </w:r>
    </w:p>
    <w:p>
      <w:pPr>
        <w:pStyle w:val="0"/>
        <w:jc w:val="center"/>
      </w:pPr>
      <w:r>
        <w:rPr>
          <w:sz w:val="20"/>
        </w:rPr>
        <w:t xml:space="preserve">спутниковой системы ГЛОНАСС</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3118"/>
        <w:gridCol w:w="3118"/>
      </w:tblGrid>
      <w:tr>
        <w:tc>
          <w:tcPr>
            <w:tcW w:w="2835" w:type="dxa"/>
          </w:tcPr>
          <w:p>
            <w:pPr>
              <w:pStyle w:val="0"/>
              <w:jc w:val="center"/>
            </w:pPr>
            <w:r>
              <w:rPr>
                <w:sz w:val="20"/>
              </w:rPr>
              <w:t xml:space="preserve">Станция, подстанция</w:t>
            </w:r>
          </w:p>
        </w:tc>
        <w:tc>
          <w:tcPr>
            <w:tcW w:w="3118" w:type="dxa"/>
          </w:tcPr>
          <w:p>
            <w:pPr>
              <w:pStyle w:val="0"/>
              <w:jc w:val="center"/>
            </w:pPr>
            <w:r>
              <w:rPr>
                <w:sz w:val="20"/>
              </w:rPr>
              <w:t xml:space="preserve">Количество АСМП</w:t>
            </w:r>
          </w:p>
        </w:tc>
        <w:tc>
          <w:tcPr>
            <w:tcW w:w="3118" w:type="dxa"/>
          </w:tcPr>
          <w:p>
            <w:pPr>
              <w:pStyle w:val="0"/>
              <w:jc w:val="center"/>
            </w:pPr>
            <w:r>
              <w:rPr>
                <w:sz w:val="20"/>
              </w:rPr>
              <w:t xml:space="preserve">Оснащенность ГЛОНАСС</w:t>
            </w:r>
          </w:p>
        </w:tc>
      </w:tr>
      <w:tr>
        <w:tc>
          <w:tcPr>
            <w:tcW w:w="2835" w:type="dxa"/>
          </w:tcPr>
          <w:p>
            <w:pPr>
              <w:pStyle w:val="0"/>
              <w:jc w:val="center"/>
            </w:pPr>
            <w:r>
              <w:rPr>
                <w:sz w:val="20"/>
              </w:rPr>
            </w:r>
          </w:p>
        </w:tc>
        <w:tc>
          <w:tcPr>
            <w:tcW w:w="3118" w:type="dxa"/>
          </w:tcPr>
          <w:p>
            <w:pPr>
              <w:pStyle w:val="0"/>
              <w:jc w:val="center"/>
            </w:pPr>
            <w:r>
              <w:rPr>
                <w:sz w:val="20"/>
              </w:rPr>
              <w:t xml:space="preserve">63</w:t>
            </w:r>
          </w:p>
        </w:tc>
        <w:tc>
          <w:tcPr>
            <w:tcW w:w="3118" w:type="dxa"/>
          </w:tcPr>
          <w:p>
            <w:pPr>
              <w:pStyle w:val="0"/>
              <w:jc w:val="center"/>
            </w:pPr>
            <w:r>
              <w:rPr>
                <w:sz w:val="20"/>
              </w:rPr>
              <w:t xml:space="preserve">63</w:t>
            </w:r>
          </w:p>
        </w:tc>
      </w:tr>
    </w:tbl>
    <w:p>
      <w:pPr>
        <w:pStyle w:val="0"/>
        <w:ind w:firstLine="540"/>
        <w:jc w:val="both"/>
      </w:pPr>
      <w:r>
        <w:rPr>
          <w:sz w:val="20"/>
        </w:rPr>
      </w:r>
    </w:p>
    <w:p>
      <w:pPr>
        <w:pStyle w:val="0"/>
        <w:jc w:val="center"/>
      </w:pPr>
      <w:r>
        <w:rPr>
          <w:sz w:val="20"/>
        </w:rPr>
        <w:t xml:space="preserve">Динамика количества подстанций СМП</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1134"/>
        <w:gridCol w:w="1134"/>
        <w:gridCol w:w="1134"/>
        <w:gridCol w:w="1134"/>
        <w:gridCol w:w="1134"/>
        <w:gridCol w:w="1134"/>
      </w:tblGrid>
      <w:tr>
        <w:tc>
          <w:tcPr>
            <w:tcW w:w="2268" w:type="dxa"/>
          </w:tcPr>
          <w:p>
            <w:pPr>
              <w:pStyle w:val="0"/>
              <w:jc w:val="center"/>
            </w:pPr>
            <w:r>
              <w:rPr>
                <w:sz w:val="20"/>
              </w:rPr>
            </w:r>
          </w:p>
        </w:tc>
        <w:tc>
          <w:tcPr>
            <w:tcW w:w="1134" w:type="dxa"/>
          </w:tcPr>
          <w:p>
            <w:pPr>
              <w:pStyle w:val="0"/>
              <w:jc w:val="center"/>
            </w:pPr>
            <w:r>
              <w:rPr>
                <w:sz w:val="20"/>
              </w:rPr>
              <w:t xml:space="preserve">2017</w:t>
            </w:r>
          </w:p>
        </w:tc>
        <w:tc>
          <w:tcPr>
            <w:tcW w:w="1134" w:type="dxa"/>
          </w:tcPr>
          <w:p>
            <w:pPr>
              <w:pStyle w:val="0"/>
              <w:jc w:val="center"/>
            </w:pPr>
            <w:r>
              <w:rPr>
                <w:sz w:val="20"/>
              </w:rPr>
              <w:t xml:space="preserve">2018</w:t>
            </w:r>
          </w:p>
        </w:tc>
        <w:tc>
          <w:tcPr>
            <w:tcW w:w="1134" w:type="dxa"/>
          </w:tcPr>
          <w:p>
            <w:pPr>
              <w:pStyle w:val="0"/>
              <w:jc w:val="center"/>
            </w:pPr>
            <w:r>
              <w:rPr>
                <w:sz w:val="20"/>
              </w:rPr>
              <w:t xml:space="preserve">2019</w:t>
            </w:r>
          </w:p>
        </w:tc>
        <w:tc>
          <w:tcPr>
            <w:tcW w:w="1134" w:type="dxa"/>
          </w:tcPr>
          <w:p>
            <w:pPr>
              <w:pStyle w:val="0"/>
              <w:jc w:val="center"/>
            </w:pPr>
            <w:r>
              <w:rPr>
                <w:sz w:val="20"/>
              </w:rPr>
              <w:t xml:space="preserve">2020</w:t>
            </w:r>
          </w:p>
        </w:tc>
        <w:tc>
          <w:tcPr>
            <w:tcW w:w="1134" w:type="dxa"/>
          </w:tcPr>
          <w:p>
            <w:pPr>
              <w:pStyle w:val="0"/>
              <w:jc w:val="center"/>
            </w:pPr>
            <w:r>
              <w:rPr>
                <w:sz w:val="20"/>
              </w:rPr>
              <w:t xml:space="preserve">2021</w:t>
            </w:r>
          </w:p>
        </w:tc>
        <w:tc>
          <w:tcPr>
            <w:tcW w:w="1134" w:type="dxa"/>
          </w:tcPr>
          <w:p>
            <w:pPr>
              <w:pStyle w:val="0"/>
              <w:jc w:val="center"/>
            </w:pPr>
            <w:r>
              <w:rPr>
                <w:sz w:val="20"/>
              </w:rPr>
              <w:t xml:space="preserve">2022</w:t>
            </w:r>
          </w:p>
        </w:tc>
      </w:tr>
      <w:tr>
        <w:tc>
          <w:tcPr>
            <w:tcW w:w="2268" w:type="dxa"/>
          </w:tcPr>
          <w:p>
            <w:pPr>
              <w:pStyle w:val="0"/>
              <w:jc w:val="both"/>
            </w:pPr>
            <w:r>
              <w:rPr>
                <w:sz w:val="20"/>
              </w:rPr>
              <w:t xml:space="preserve">Станций СМП:</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r>
      <w:tr>
        <w:tc>
          <w:tcPr>
            <w:tcW w:w="2268" w:type="dxa"/>
          </w:tcPr>
          <w:p>
            <w:pPr>
              <w:pStyle w:val="0"/>
              <w:jc w:val="both"/>
            </w:pPr>
            <w:r>
              <w:rPr>
                <w:sz w:val="20"/>
              </w:rPr>
              <w:t xml:space="preserve">- из них в сельской местности</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r>
      <w:tr>
        <w:tc>
          <w:tcPr>
            <w:tcW w:w="2268" w:type="dxa"/>
          </w:tcPr>
          <w:p>
            <w:pPr>
              <w:pStyle w:val="0"/>
              <w:jc w:val="both"/>
            </w:pPr>
            <w:r>
              <w:rPr>
                <w:sz w:val="20"/>
              </w:rPr>
              <w:t xml:space="preserve">Отделений СМП:</w:t>
            </w:r>
          </w:p>
        </w:tc>
        <w:tc>
          <w:tcPr>
            <w:tcW w:w="1134" w:type="dxa"/>
          </w:tcPr>
          <w:p>
            <w:pPr>
              <w:pStyle w:val="0"/>
              <w:jc w:val="center"/>
            </w:pPr>
            <w:r>
              <w:rPr>
                <w:sz w:val="20"/>
              </w:rPr>
              <w:t xml:space="preserve">9</w:t>
            </w:r>
          </w:p>
        </w:tc>
        <w:tc>
          <w:tcPr>
            <w:tcW w:w="1134" w:type="dxa"/>
          </w:tcPr>
          <w:p>
            <w:pPr>
              <w:pStyle w:val="0"/>
              <w:jc w:val="center"/>
            </w:pPr>
            <w:r>
              <w:rPr>
                <w:sz w:val="20"/>
              </w:rPr>
              <w:t xml:space="preserve">9</w:t>
            </w:r>
          </w:p>
        </w:tc>
        <w:tc>
          <w:tcPr>
            <w:tcW w:w="1134" w:type="dxa"/>
          </w:tcPr>
          <w:p>
            <w:pPr>
              <w:pStyle w:val="0"/>
              <w:jc w:val="center"/>
            </w:pPr>
            <w:r>
              <w:rPr>
                <w:sz w:val="20"/>
              </w:rPr>
              <w:t xml:space="preserve">9</w:t>
            </w:r>
          </w:p>
        </w:tc>
        <w:tc>
          <w:tcPr>
            <w:tcW w:w="1134" w:type="dxa"/>
          </w:tcPr>
          <w:p>
            <w:pPr>
              <w:pStyle w:val="0"/>
              <w:jc w:val="center"/>
            </w:pPr>
            <w:r>
              <w:rPr>
                <w:sz w:val="20"/>
              </w:rPr>
              <w:t xml:space="preserve">9</w:t>
            </w:r>
          </w:p>
        </w:tc>
        <w:tc>
          <w:tcPr>
            <w:tcW w:w="1134" w:type="dxa"/>
          </w:tcPr>
          <w:p>
            <w:pPr>
              <w:pStyle w:val="0"/>
              <w:jc w:val="center"/>
            </w:pPr>
            <w:r>
              <w:rPr>
                <w:sz w:val="20"/>
              </w:rPr>
              <w:t xml:space="preserve">9</w:t>
            </w:r>
          </w:p>
        </w:tc>
        <w:tc>
          <w:tcPr>
            <w:tcW w:w="1134" w:type="dxa"/>
          </w:tcPr>
          <w:p>
            <w:pPr>
              <w:pStyle w:val="0"/>
              <w:jc w:val="center"/>
            </w:pPr>
            <w:r>
              <w:rPr>
                <w:sz w:val="20"/>
              </w:rPr>
              <w:t xml:space="preserve">9</w:t>
            </w:r>
          </w:p>
        </w:tc>
      </w:tr>
      <w:tr>
        <w:tc>
          <w:tcPr>
            <w:tcW w:w="2268" w:type="dxa"/>
          </w:tcPr>
          <w:p>
            <w:pPr>
              <w:pStyle w:val="0"/>
              <w:jc w:val="both"/>
            </w:pPr>
            <w:r>
              <w:rPr>
                <w:sz w:val="20"/>
              </w:rPr>
              <w:t xml:space="preserve">- из них в сельской местности</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r>
    </w:tbl>
    <w:p>
      <w:pPr>
        <w:pStyle w:val="0"/>
        <w:ind w:firstLine="540"/>
        <w:jc w:val="both"/>
      </w:pPr>
      <w:r>
        <w:rPr>
          <w:sz w:val="20"/>
        </w:rPr>
      </w:r>
    </w:p>
    <w:p>
      <w:pPr>
        <w:pStyle w:val="2"/>
        <w:outlineLvl w:val="3"/>
        <w:jc w:val="center"/>
      </w:pPr>
      <w:r>
        <w:rPr>
          <w:sz w:val="20"/>
        </w:rPr>
        <w:t xml:space="preserve">4.6. Анализ текущего состояния организации медицинской</w:t>
      </w:r>
    </w:p>
    <w:p>
      <w:pPr>
        <w:pStyle w:val="2"/>
        <w:jc w:val="center"/>
      </w:pPr>
      <w:r>
        <w:rPr>
          <w:sz w:val="20"/>
        </w:rPr>
        <w:t xml:space="preserve">помощи по профилю "медицинская реабилитация" пациентам</w:t>
      </w:r>
    </w:p>
    <w:p>
      <w:pPr>
        <w:pStyle w:val="0"/>
        <w:jc w:val="center"/>
      </w:pPr>
      <w:r>
        <w:rPr>
          <w:sz w:val="20"/>
        </w:rPr>
      </w:r>
    </w:p>
    <w:p>
      <w:pPr>
        <w:pStyle w:val="0"/>
        <w:ind w:firstLine="540"/>
        <w:jc w:val="both"/>
      </w:pPr>
      <w:r>
        <w:rPr>
          <w:sz w:val="20"/>
        </w:rPr>
        <w:t xml:space="preserve">Медицинская реабилитация в городе Севастополе осуществляется согласно </w:t>
      </w:r>
      <w:hyperlink w:history="0" r:id="rId651"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приказу</w:t>
        </w:r>
      </w:hyperlink>
      <w:r>
        <w:rPr>
          <w:sz w:val="20"/>
        </w:rPr>
        <w:t xml:space="preserve"> Министерства здравоохранения Российской Федерации от 31.07.2020 N 788н "Об утверждении порядка организации медицинской реабилитации взрослых", в соответствии со </w:t>
      </w:r>
      <w:hyperlink w:history="0" r:id="rId652"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статьей 40</w:t>
        </w:r>
      </w:hyperlink>
      <w:r>
        <w:rPr>
          <w:sz w:val="20"/>
        </w:rPr>
        <w:t xml:space="preserve"> Федерального закона от 21.11.2011 N 323-ФЗ "Об основах охраны здоровья граждан в Российской Федерации" и проводится в зависимости от тяжести состояния пациента в три этапа.</w:t>
      </w:r>
    </w:p>
    <w:p>
      <w:pPr>
        <w:pStyle w:val="0"/>
        <w:ind w:firstLine="540"/>
        <w:jc w:val="both"/>
      </w:pPr>
      <w:r>
        <w:rPr>
          <w:sz w:val="20"/>
        </w:rPr>
      </w:r>
    </w:p>
    <w:p>
      <w:pPr>
        <w:pStyle w:val="2"/>
        <w:outlineLvl w:val="4"/>
        <w:jc w:val="center"/>
      </w:pPr>
      <w:r>
        <w:rPr>
          <w:sz w:val="20"/>
        </w:rPr>
        <w:t xml:space="preserve">1. Первый этап медицинской реабилитации</w:t>
      </w:r>
    </w:p>
    <w:p>
      <w:pPr>
        <w:pStyle w:val="0"/>
        <w:ind w:firstLine="540"/>
        <w:jc w:val="both"/>
      </w:pPr>
      <w:r>
        <w:rPr>
          <w:sz w:val="20"/>
        </w:rPr>
      </w:r>
    </w:p>
    <w:p>
      <w:pPr>
        <w:pStyle w:val="0"/>
        <w:ind w:firstLine="540"/>
        <w:jc w:val="both"/>
      </w:pPr>
      <w:r>
        <w:rPr>
          <w:sz w:val="20"/>
        </w:rPr>
        <w:t xml:space="preserve">Осуществляется в острый период течения заболевания или травмы в отделениях реанимации, интенсивной терапии, неврологии, кардиологии, терапии, хирургии и травматологии. Лечебные мероприятия проводятся по назначениям врача по лечебной физкультуре, врача-физиотерапевта инструкторами по лечебной физкультуре и массажистами непосредственно в палате пациента. Первый этап медицинской реабилитации проводится:</w:t>
      </w:r>
    </w:p>
    <w:p>
      <w:pPr>
        <w:pStyle w:val="0"/>
        <w:spacing w:before="200" w:line-rule="auto"/>
        <w:ind w:firstLine="540"/>
        <w:jc w:val="both"/>
      </w:pPr>
      <w:r>
        <w:rPr>
          <w:sz w:val="20"/>
        </w:rPr>
        <w:t xml:space="preserve">в отделениях неврологии, нейрохирургии, кардиологии, реанимации ГБУЗС "Городская больница N 1 им. Н.И. Пирогова";</w:t>
      </w:r>
    </w:p>
    <w:p>
      <w:pPr>
        <w:pStyle w:val="0"/>
        <w:spacing w:before="200" w:line-rule="auto"/>
        <w:ind w:firstLine="540"/>
        <w:jc w:val="both"/>
      </w:pPr>
      <w:r>
        <w:rPr>
          <w:sz w:val="20"/>
        </w:rPr>
        <w:t xml:space="preserve">отделениях неврологии больницы им. Даши Севастопольской - филиала N 2 ГБУЗС "Городская больница N 1 им. Н.И. Пирогова";</w:t>
      </w:r>
    </w:p>
    <w:p>
      <w:pPr>
        <w:pStyle w:val="0"/>
        <w:spacing w:before="200" w:line-rule="auto"/>
        <w:ind w:firstLine="540"/>
        <w:jc w:val="both"/>
      </w:pPr>
      <w:r>
        <w:rPr>
          <w:sz w:val="20"/>
        </w:rPr>
        <w:t xml:space="preserve">РСЦ ГБУЗС "Городская больница N 1 им. Н.И. Пирогова", где с 01.09.2017 сформирована мультидисциплинарная реабилитационная бригада, в состав которой входят логопед, психолог, инструктор по лечебной физкультуре и массажист;</w:t>
      </w:r>
    </w:p>
    <w:p>
      <w:pPr>
        <w:pStyle w:val="0"/>
        <w:spacing w:before="200" w:line-rule="auto"/>
        <w:ind w:firstLine="540"/>
        <w:jc w:val="both"/>
      </w:pPr>
      <w:r>
        <w:rPr>
          <w:sz w:val="20"/>
        </w:rPr>
        <w:t xml:space="preserve">зале ЛФК РСЦ, который оборудован согласно стандарту оснащения, утвержденному </w:t>
      </w:r>
      <w:hyperlink w:history="0" r:id="rId653"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приказом</w:t>
        </w:r>
      </w:hyperlink>
      <w:r>
        <w:rPr>
          <w:sz w:val="20"/>
        </w:rPr>
        <w:t xml:space="preserve"> Министерства здравоохранения Российской Федерации от 31.07.2020 N 788н "Об утверждении порядка организации медицинской реабилитации взрослых".</w:t>
      </w:r>
    </w:p>
    <w:p>
      <w:pPr>
        <w:pStyle w:val="0"/>
        <w:ind w:firstLine="540"/>
        <w:jc w:val="both"/>
      </w:pPr>
      <w:r>
        <w:rPr>
          <w:sz w:val="20"/>
        </w:rPr>
      </w:r>
    </w:p>
    <w:p>
      <w:pPr>
        <w:pStyle w:val="0"/>
        <w:jc w:val="center"/>
      </w:pPr>
      <w:r>
        <w:rPr>
          <w:sz w:val="20"/>
        </w:rPr>
        <w:t xml:space="preserve">Перечень оборудования в зале ЛФК РСЦ</w:t>
      </w:r>
    </w:p>
    <w:p>
      <w:pPr>
        <w:pStyle w:val="0"/>
        <w:jc w:val="center"/>
      </w:pPr>
      <w:r>
        <w:rPr>
          <w:sz w:val="20"/>
        </w:rPr>
      </w:r>
    </w:p>
    <w:p>
      <w:pPr>
        <w:pStyle w:val="0"/>
        <w:ind w:firstLine="540"/>
        <w:jc w:val="both"/>
      </w:pPr>
      <w:r>
        <w:rPr>
          <w:sz w:val="20"/>
        </w:rPr>
        <w:t xml:space="preserve">1. Лестница-брусья с электронной регуляцией высоты ступеней.</w:t>
      </w:r>
    </w:p>
    <w:p>
      <w:pPr>
        <w:pStyle w:val="0"/>
        <w:spacing w:before="200" w:line-rule="auto"/>
        <w:ind w:firstLine="540"/>
        <w:jc w:val="both"/>
      </w:pPr>
      <w:r>
        <w:rPr>
          <w:sz w:val="20"/>
        </w:rPr>
        <w:t xml:space="preserve">2. Тренажер для восстановления равновесия "Баланс-мастер" с биологической обратной связью.</w:t>
      </w:r>
    </w:p>
    <w:p>
      <w:pPr>
        <w:pStyle w:val="0"/>
        <w:spacing w:before="200" w:line-rule="auto"/>
        <w:ind w:firstLine="540"/>
        <w:jc w:val="both"/>
      </w:pPr>
      <w:r>
        <w:rPr>
          <w:sz w:val="20"/>
        </w:rPr>
        <w:t xml:space="preserve">3. Тренажер терапевтический для лечения опорно-двигательного аппарата "THERA-vital".</w:t>
      </w:r>
    </w:p>
    <w:p>
      <w:pPr>
        <w:pStyle w:val="0"/>
        <w:spacing w:before="200" w:line-rule="auto"/>
        <w:ind w:firstLine="540"/>
        <w:jc w:val="both"/>
      </w:pPr>
      <w:r>
        <w:rPr>
          <w:sz w:val="20"/>
        </w:rPr>
        <w:t xml:space="preserve">4. Тренажер терапевтический для лечения опорно-двигательного аппарата "BALANCE-trainer".</w:t>
      </w:r>
    </w:p>
    <w:p>
      <w:pPr>
        <w:pStyle w:val="0"/>
        <w:spacing w:before="200" w:line-rule="auto"/>
        <w:ind w:firstLine="540"/>
        <w:jc w:val="both"/>
      </w:pPr>
      <w:r>
        <w:rPr>
          <w:sz w:val="20"/>
        </w:rPr>
        <w:t xml:space="preserve">5. Аппарат для активно-пассивной механотерапии "Орторент" (модель "МОТО").</w:t>
      </w:r>
    </w:p>
    <w:p>
      <w:pPr>
        <w:pStyle w:val="0"/>
        <w:spacing w:before="200" w:line-rule="auto"/>
        <w:ind w:firstLine="540"/>
        <w:jc w:val="both"/>
      </w:pPr>
      <w:r>
        <w:rPr>
          <w:sz w:val="20"/>
        </w:rPr>
        <w:t xml:space="preserve">6. Аппарат для активно-пассивной механотерапии "Имитрон".</w:t>
      </w:r>
    </w:p>
    <w:p>
      <w:pPr>
        <w:pStyle w:val="0"/>
        <w:spacing w:before="200" w:line-rule="auto"/>
        <w:ind w:firstLine="540"/>
        <w:jc w:val="both"/>
      </w:pPr>
      <w:r>
        <w:rPr>
          <w:sz w:val="20"/>
        </w:rPr>
        <w:t xml:space="preserve">Использование данного оборудования способствует сокращению сроков пребывания больного в стационаре и наиболее полному восстановлению двигательных функций.</w:t>
      </w:r>
    </w:p>
    <w:p>
      <w:pPr>
        <w:pStyle w:val="0"/>
        <w:jc w:val="center"/>
      </w:pPr>
      <w:r>
        <w:rPr>
          <w:sz w:val="20"/>
        </w:rPr>
      </w:r>
    </w:p>
    <w:p>
      <w:pPr>
        <w:pStyle w:val="2"/>
        <w:outlineLvl w:val="4"/>
        <w:jc w:val="center"/>
      </w:pPr>
      <w:r>
        <w:rPr>
          <w:sz w:val="20"/>
        </w:rPr>
        <w:t xml:space="preserve">2. Второй этап медицинской реабилитации</w:t>
      </w:r>
    </w:p>
    <w:p>
      <w:pPr>
        <w:pStyle w:val="0"/>
        <w:ind w:firstLine="540"/>
        <w:jc w:val="both"/>
      </w:pPr>
      <w:r>
        <w:rPr>
          <w:sz w:val="20"/>
        </w:rPr>
      </w:r>
    </w:p>
    <w:p>
      <w:pPr>
        <w:pStyle w:val="0"/>
        <w:ind w:firstLine="540"/>
        <w:jc w:val="both"/>
      </w:pPr>
      <w:r>
        <w:rPr>
          <w:sz w:val="20"/>
        </w:rPr>
        <w:t xml:space="preserve">Второй этап медицинской реабилитации в городе Севастополе осуществляется в ГБУЗС "Городская больница N 9", где развернуто 60 коек для оказания медицинской реабилитации пациентов с соматическими заболеваниями и 15 коек для оказания медицинской реабилитации для пациентов с заболеваниями периферической нервной системы и опорно-двигательного аппарата.</w:t>
      </w:r>
    </w:p>
    <w:p>
      <w:pPr>
        <w:pStyle w:val="0"/>
        <w:spacing w:before="200" w:line-rule="auto"/>
        <w:ind w:firstLine="540"/>
        <w:jc w:val="both"/>
      </w:pPr>
      <w:r>
        <w:rPr>
          <w:sz w:val="20"/>
        </w:rPr>
        <w:t xml:space="preserve">Для осуществления 2-го этапа медицинской реабилитации пациентам с заболеваниями центральной нервной системы, в том числе после перенесенного ОНМК, пациенты направляются в реабилитационные центры Российской Федерации, подведомственные федеральным органам исполнительной власти.</w:t>
      </w:r>
    </w:p>
    <w:p>
      <w:pPr>
        <w:pStyle w:val="0"/>
        <w:jc w:val="center"/>
      </w:pPr>
      <w:r>
        <w:rPr>
          <w:sz w:val="20"/>
        </w:rPr>
      </w:r>
    </w:p>
    <w:p>
      <w:pPr>
        <w:pStyle w:val="2"/>
        <w:outlineLvl w:val="4"/>
        <w:jc w:val="center"/>
      </w:pPr>
      <w:r>
        <w:rPr>
          <w:sz w:val="20"/>
        </w:rPr>
        <w:t xml:space="preserve">3. Третий этап медицинской реабилитации</w:t>
      </w:r>
    </w:p>
    <w:p>
      <w:pPr>
        <w:pStyle w:val="0"/>
        <w:ind w:firstLine="540"/>
        <w:jc w:val="both"/>
      </w:pPr>
      <w:r>
        <w:rPr>
          <w:sz w:val="20"/>
        </w:rPr>
      </w:r>
    </w:p>
    <w:p>
      <w:pPr>
        <w:pStyle w:val="0"/>
        <w:ind w:firstLine="540"/>
        <w:jc w:val="both"/>
      </w:pPr>
      <w:r>
        <w:rPr>
          <w:sz w:val="20"/>
        </w:rPr>
        <w:t xml:space="preserve">Осуществляется в отделениях (кабинетах) физиотерапии в медицинских организациях, оказывающих медицинскую помощь в амбулаторных условиях.</w:t>
      </w:r>
    </w:p>
    <w:p>
      <w:pPr>
        <w:pStyle w:val="0"/>
        <w:spacing w:before="200" w:line-rule="auto"/>
        <w:ind w:firstLine="540"/>
        <w:jc w:val="both"/>
      </w:pPr>
      <w:r>
        <w:rPr>
          <w:sz w:val="20"/>
        </w:rPr>
        <w:t xml:space="preserve">Отделения восстановительного лечения расположены:</w:t>
      </w:r>
    </w:p>
    <w:p>
      <w:pPr>
        <w:pStyle w:val="0"/>
        <w:spacing w:before="200" w:line-rule="auto"/>
        <w:ind w:firstLine="540"/>
        <w:jc w:val="both"/>
      </w:pPr>
      <w:r>
        <w:rPr>
          <w:sz w:val="20"/>
        </w:rPr>
        <w:t xml:space="preserve">- поликлиника N 1 ГБУЗС "Городская больница N 1 им. Н.И. Пирогова":</w:t>
      </w:r>
    </w:p>
    <w:p>
      <w:pPr>
        <w:pStyle w:val="0"/>
        <w:spacing w:before="200" w:line-rule="auto"/>
        <w:ind w:firstLine="540"/>
        <w:jc w:val="both"/>
      </w:pPr>
      <w:r>
        <w:rPr>
          <w:sz w:val="20"/>
        </w:rPr>
        <w:t xml:space="preserve">- отделение восстановительного лечения (лечебная физкультура, массаж);</w:t>
      </w:r>
    </w:p>
    <w:p>
      <w:pPr>
        <w:pStyle w:val="0"/>
        <w:spacing w:before="200" w:line-rule="auto"/>
        <w:ind w:firstLine="540"/>
        <w:jc w:val="both"/>
      </w:pPr>
      <w:r>
        <w:rPr>
          <w:sz w:val="20"/>
        </w:rPr>
        <w:t xml:space="preserve">- отделение физиотерапии;</w:t>
      </w:r>
    </w:p>
    <w:p>
      <w:pPr>
        <w:pStyle w:val="0"/>
        <w:spacing w:before="200" w:line-rule="auto"/>
        <w:ind w:firstLine="540"/>
        <w:jc w:val="both"/>
      </w:pPr>
      <w:r>
        <w:rPr>
          <w:sz w:val="20"/>
        </w:rPr>
        <w:t xml:space="preserve">- ГБУЗС "Городская больница N 4" - кабинеты физиотерапии, массажа;</w:t>
      </w:r>
    </w:p>
    <w:p>
      <w:pPr>
        <w:pStyle w:val="0"/>
        <w:spacing w:before="200" w:line-rule="auto"/>
        <w:ind w:firstLine="540"/>
        <w:jc w:val="both"/>
      </w:pPr>
      <w:r>
        <w:rPr>
          <w:sz w:val="20"/>
        </w:rPr>
        <w:t xml:space="preserve">- ГБУЗС "Городская больница N 9" - отделение физиотерапии и кабинеты массажа.</w:t>
      </w:r>
    </w:p>
    <w:p>
      <w:pPr>
        <w:pStyle w:val="0"/>
        <w:spacing w:before="200" w:line-rule="auto"/>
        <w:ind w:firstLine="540"/>
        <w:jc w:val="both"/>
      </w:pPr>
      <w:r>
        <w:rPr>
          <w:sz w:val="20"/>
        </w:rPr>
        <w:t xml:space="preserve">В сельских амбулаториях установлена физиотерапевтическая аппаратура и предусмотрены ставки м/с по физиотерапии.</w:t>
      </w:r>
    </w:p>
    <w:p>
      <w:pPr>
        <w:pStyle w:val="0"/>
        <w:spacing w:before="200" w:line-rule="auto"/>
        <w:ind w:firstLine="540"/>
        <w:jc w:val="both"/>
      </w:pPr>
      <w:r>
        <w:rPr>
          <w:sz w:val="20"/>
        </w:rPr>
        <w:t xml:space="preserve">Медицинская реабилитация 3-го этапа включает физиотерапевтическую службу, кабинеты массажа, лечебной физкультуры, иглорефлексотерапии.</w:t>
      </w:r>
    </w:p>
    <w:p>
      <w:pPr>
        <w:pStyle w:val="0"/>
        <w:spacing w:before="200" w:line-rule="auto"/>
        <w:ind w:firstLine="540"/>
        <w:jc w:val="both"/>
      </w:pPr>
      <w:r>
        <w:rPr>
          <w:sz w:val="20"/>
        </w:rPr>
        <w:t xml:space="preserve">Физиотерапевтическая служба города Севастополя располагает всеми необходимыми методиками: электросветолечение, СВЧ-терапия, электросон, парафинолечение, магнитотерапия, парафинотерапия и грязелечение.</w:t>
      </w:r>
    </w:p>
    <w:p>
      <w:pPr>
        <w:pStyle w:val="0"/>
        <w:ind w:firstLine="540"/>
        <w:jc w:val="both"/>
      </w:pPr>
      <w:r>
        <w:rPr>
          <w:sz w:val="20"/>
        </w:rPr>
      </w:r>
    </w:p>
    <w:p>
      <w:pPr>
        <w:pStyle w:val="0"/>
        <w:jc w:val="center"/>
      </w:pPr>
      <w:r>
        <w:rPr>
          <w:sz w:val="20"/>
        </w:rPr>
        <w:t xml:space="preserve">Маршрутизация пациентов</w:t>
      </w:r>
    </w:p>
    <w:p>
      <w:pPr>
        <w:pStyle w:val="0"/>
        <w:jc w:val="center"/>
      </w:pPr>
      <w:r>
        <w:rPr>
          <w:sz w:val="20"/>
        </w:rPr>
      </w:r>
    </w:p>
    <w:p>
      <w:pPr>
        <w:pStyle w:val="0"/>
        <w:jc w:val="center"/>
      </w:pPr>
      <w:r>
        <w:rPr>
          <w:position w:val="-209"/>
        </w:rPr>
        <w:drawing>
          <wp:inline distT="0" distB="0" distL="0" distR="0">
            <wp:extent cx="2877820" cy="278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a:extLst>
                        <a:ext uri="{28A0092B-C50C-407E-A947-70E740481C1C}">
                          <a14:useLocalDpi xmlns:a14="http://schemas.microsoft.com/office/drawing/2010/main" val="0"/>
                        </a:ext>
                      </a:extLst>
                    </a:blip>
                    <a:srcRect/>
                    <a:stretch>
                      <a:fillRect/>
                    </a:stretch>
                  </pic:blipFill>
                  <pic:spPr bwMode="auto">
                    <a:xfrm>
                      <a:off x="0" y="0"/>
                      <a:ext cx="2877820" cy="2786380"/>
                    </a:xfrm>
                    <a:prstGeom prst="rect">
                      <a:avLst/>
                    </a:prstGeom>
                    <a:noFill/>
                    <a:ln>
                      <a:noFill/>
                    </a:ln>
                  </pic:spPr>
                </pic:pic>
              </a:graphicData>
            </a:graphic>
          </wp:inline>
        </w:drawing>
      </w:r>
    </w:p>
    <w:p>
      <w:pPr>
        <w:pStyle w:val="0"/>
        <w:jc w:val="center"/>
      </w:pPr>
      <w:r>
        <w:rPr>
          <w:sz w:val="20"/>
        </w:rPr>
      </w:r>
    </w:p>
    <w:p>
      <w:pPr>
        <w:pStyle w:val="0"/>
        <w:jc w:val="center"/>
      </w:pPr>
      <w:r>
        <w:rPr>
          <w:sz w:val="20"/>
        </w:rPr>
        <w:t xml:space="preserve">Инфраструктура профильной службы</w:t>
      </w:r>
    </w:p>
    <w:p>
      <w:pPr>
        <w:pStyle w:val="0"/>
        <w:jc w:val="center"/>
      </w:pPr>
      <w:r>
        <w:rPr>
          <w:sz w:val="20"/>
        </w:rPr>
      </w:r>
    </w:p>
    <w:p>
      <w:pPr>
        <w:pStyle w:val="0"/>
        <w:ind w:firstLine="540"/>
        <w:jc w:val="both"/>
      </w:pPr>
      <w:r>
        <w:rPr>
          <w:sz w:val="20"/>
        </w:rPr>
        <w:t xml:space="preserve">Бесплатное оказание гражданам медицинской помощи по профилю осуществляется в следующих учреждениях здравоохранения, подведомственных Департаменту здравоохранения города Севастополя:</w:t>
      </w:r>
    </w:p>
    <w:p>
      <w:pPr>
        <w:pStyle w:val="0"/>
        <w:spacing w:before="200" w:line-rule="auto"/>
        <w:ind w:firstLine="540"/>
        <w:jc w:val="both"/>
      </w:pPr>
      <w:r>
        <w:rPr>
          <w:sz w:val="20"/>
        </w:rPr>
        <w:t xml:space="preserve">ГБУЗС "Городская больница N 1 им. Н.И. Пирогова";</w:t>
      </w:r>
    </w:p>
    <w:p>
      <w:pPr>
        <w:pStyle w:val="0"/>
        <w:spacing w:before="200" w:line-rule="auto"/>
        <w:ind w:firstLine="540"/>
        <w:jc w:val="both"/>
      </w:pPr>
      <w:r>
        <w:rPr>
          <w:sz w:val="20"/>
        </w:rPr>
        <w:t xml:space="preserve">ГБУЗС "Городская больница N 4";</w:t>
      </w:r>
    </w:p>
    <w:p>
      <w:pPr>
        <w:pStyle w:val="0"/>
        <w:spacing w:before="200" w:line-rule="auto"/>
        <w:ind w:firstLine="540"/>
        <w:jc w:val="both"/>
      </w:pPr>
      <w:r>
        <w:rPr>
          <w:sz w:val="20"/>
        </w:rPr>
        <w:t xml:space="preserve">ГБУЗС "Городская больница N 9".</w:t>
      </w:r>
    </w:p>
    <w:p>
      <w:pPr>
        <w:pStyle w:val="0"/>
        <w:jc w:val="center"/>
      </w:pPr>
      <w:r>
        <w:rPr>
          <w:sz w:val="20"/>
        </w:rPr>
      </w:r>
    </w:p>
    <w:p>
      <w:pPr>
        <w:pStyle w:val="0"/>
        <w:jc w:val="center"/>
      </w:pPr>
      <w:r>
        <w:rPr>
          <w:sz w:val="20"/>
        </w:rPr>
        <w:t xml:space="preserve">Кадры профильной службы</w:t>
      </w:r>
    </w:p>
    <w:p>
      <w:pPr>
        <w:pStyle w:val="0"/>
        <w:jc w:val="center"/>
      </w:pPr>
      <w:r>
        <w:rPr>
          <w:sz w:val="20"/>
        </w:rPr>
      </w:r>
    </w:p>
    <w:p>
      <w:pPr>
        <w:pStyle w:val="0"/>
        <w:ind w:firstLine="540"/>
        <w:jc w:val="both"/>
      </w:pPr>
      <w:r>
        <w:rPr>
          <w:sz w:val="20"/>
        </w:rPr>
        <w:t xml:space="preserve">Кадры профильной службы представлены следующими специальностями: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7"/>
        <w:gridCol w:w="1531"/>
        <w:gridCol w:w="1360"/>
        <w:gridCol w:w="1360"/>
        <w:gridCol w:w="1360"/>
        <w:gridCol w:w="1191"/>
      </w:tblGrid>
      <w:tr>
        <w:tc>
          <w:tcPr>
            <w:tcW w:w="2267" w:type="dxa"/>
          </w:tcPr>
          <w:p>
            <w:pPr>
              <w:pStyle w:val="0"/>
              <w:jc w:val="center"/>
            </w:pPr>
            <w:r>
              <w:rPr>
                <w:sz w:val="20"/>
              </w:rPr>
              <w:t xml:space="preserve">Наименование</w:t>
            </w:r>
          </w:p>
        </w:tc>
        <w:tc>
          <w:tcPr>
            <w:tcW w:w="1531" w:type="dxa"/>
          </w:tcPr>
          <w:p>
            <w:pPr>
              <w:pStyle w:val="0"/>
              <w:jc w:val="center"/>
            </w:pPr>
            <w:r>
              <w:rPr>
                <w:sz w:val="20"/>
              </w:rPr>
              <w:t xml:space="preserve">Количество штатных должностей</w:t>
            </w:r>
          </w:p>
        </w:tc>
        <w:tc>
          <w:tcPr>
            <w:tcW w:w="1360" w:type="dxa"/>
          </w:tcPr>
          <w:p>
            <w:pPr>
              <w:pStyle w:val="0"/>
              <w:jc w:val="center"/>
            </w:pPr>
            <w:r>
              <w:rPr>
                <w:sz w:val="20"/>
              </w:rPr>
              <w:t xml:space="preserve">Занято ставок</w:t>
            </w:r>
          </w:p>
        </w:tc>
        <w:tc>
          <w:tcPr>
            <w:tcW w:w="1360" w:type="dxa"/>
          </w:tcPr>
          <w:p>
            <w:pPr>
              <w:pStyle w:val="0"/>
              <w:jc w:val="center"/>
            </w:pPr>
            <w:r>
              <w:rPr>
                <w:sz w:val="20"/>
              </w:rPr>
              <w:t xml:space="preserve">Физ. лиц</w:t>
            </w:r>
          </w:p>
        </w:tc>
        <w:tc>
          <w:tcPr>
            <w:tcW w:w="1360" w:type="dxa"/>
          </w:tcPr>
          <w:p>
            <w:pPr>
              <w:pStyle w:val="0"/>
              <w:jc w:val="center"/>
            </w:pPr>
            <w:r>
              <w:rPr>
                <w:sz w:val="20"/>
              </w:rPr>
              <w:t xml:space="preserve">Укомплектованность физ. лицами (%)</w:t>
            </w:r>
          </w:p>
        </w:tc>
        <w:tc>
          <w:tcPr>
            <w:tcW w:w="1191" w:type="dxa"/>
          </w:tcPr>
          <w:p>
            <w:pPr>
              <w:pStyle w:val="0"/>
              <w:jc w:val="center"/>
            </w:pPr>
            <w:r>
              <w:rPr>
                <w:sz w:val="20"/>
              </w:rPr>
              <w:t xml:space="preserve">Дефицит физ. лиц</w:t>
            </w:r>
          </w:p>
        </w:tc>
      </w:tr>
      <w:tr>
        <w:tc>
          <w:tcPr>
            <w:tcW w:w="2267" w:type="dxa"/>
          </w:tcPr>
          <w:p>
            <w:pPr>
              <w:pStyle w:val="0"/>
              <w:jc w:val="center"/>
            </w:pPr>
            <w:r>
              <w:rPr>
                <w:sz w:val="20"/>
              </w:rPr>
              <w:t xml:space="preserve">1</w:t>
            </w:r>
          </w:p>
        </w:tc>
        <w:tc>
          <w:tcPr>
            <w:tcW w:w="1531" w:type="dxa"/>
          </w:tcPr>
          <w:p>
            <w:pPr>
              <w:pStyle w:val="0"/>
              <w:jc w:val="center"/>
            </w:pPr>
            <w:r>
              <w:rPr>
                <w:sz w:val="20"/>
              </w:rPr>
              <w:t xml:space="preserve">2</w:t>
            </w:r>
          </w:p>
        </w:tc>
        <w:tc>
          <w:tcPr>
            <w:tcW w:w="1360" w:type="dxa"/>
          </w:tcPr>
          <w:p>
            <w:pPr>
              <w:pStyle w:val="0"/>
              <w:jc w:val="center"/>
            </w:pPr>
            <w:r>
              <w:rPr>
                <w:sz w:val="20"/>
              </w:rPr>
              <w:t xml:space="preserve">3</w:t>
            </w:r>
          </w:p>
        </w:tc>
        <w:tc>
          <w:tcPr>
            <w:tcW w:w="1360" w:type="dxa"/>
          </w:tcPr>
          <w:p>
            <w:pPr>
              <w:pStyle w:val="0"/>
              <w:jc w:val="center"/>
            </w:pPr>
            <w:r>
              <w:rPr>
                <w:sz w:val="20"/>
              </w:rPr>
              <w:t xml:space="preserve">4</w:t>
            </w:r>
          </w:p>
        </w:tc>
        <w:tc>
          <w:tcPr>
            <w:tcW w:w="1360" w:type="dxa"/>
          </w:tcPr>
          <w:p>
            <w:pPr>
              <w:pStyle w:val="0"/>
              <w:jc w:val="center"/>
            </w:pPr>
            <w:r>
              <w:rPr>
                <w:sz w:val="20"/>
              </w:rPr>
              <w:t xml:space="preserve">5</w:t>
            </w:r>
          </w:p>
        </w:tc>
        <w:tc>
          <w:tcPr>
            <w:tcW w:w="1191" w:type="dxa"/>
          </w:tcPr>
          <w:p>
            <w:pPr>
              <w:pStyle w:val="0"/>
              <w:jc w:val="center"/>
            </w:pPr>
            <w:r>
              <w:rPr>
                <w:sz w:val="20"/>
              </w:rPr>
              <w:t xml:space="preserve">6</w:t>
            </w:r>
          </w:p>
        </w:tc>
      </w:tr>
      <w:tr>
        <w:tc>
          <w:tcPr>
            <w:tcW w:w="2267" w:type="dxa"/>
          </w:tcPr>
          <w:p>
            <w:pPr>
              <w:pStyle w:val="0"/>
              <w:jc w:val="both"/>
            </w:pPr>
            <w:r>
              <w:rPr>
                <w:sz w:val="20"/>
              </w:rPr>
              <w:t xml:space="preserve">ГБУЗС "ГБ N 1"</w:t>
            </w:r>
          </w:p>
        </w:tc>
        <w:tc>
          <w:tcPr>
            <w:tcW w:w="1531" w:type="dxa"/>
          </w:tcPr>
          <w:p>
            <w:pPr>
              <w:pStyle w:val="0"/>
              <w:jc w:val="center"/>
            </w:pPr>
            <w:r>
              <w:rPr>
                <w:sz w:val="20"/>
              </w:rPr>
            </w:r>
          </w:p>
        </w:tc>
        <w:tc>
          <w:tcPr>
            <w:tcW w:w="1360" w:type="dxa"/>
          </w:tcPr>
          <w:p>
            <w:pPr>
              <w:pStyle w:val="0"/>
              <w:jc w:val="center"/>
            </w:pPr>
            <w:r>
              <w:rPr>
                <w:sz w:val="20"/>
              </w:rPr>
            </w:r>
          </w:p>
        </w:tc>
        <w:tc>
          <w:tcPr>
            <w:tcW w:w="1360" w:type="dxa"/>
          </w:tcPr>
          <w:p>
            <w:pPr>
              <w:pStyle w:val="0"/>
              <w:jc w:val="center"/>
            </w:pPr>
            <w:r>
              <w:rPr>
                <w:sz w:val="20"/>
              </w:rPr>
            </w:r>
          </w:p>
        </w:tc>
        <w:tc>
          <w:tcPr>
            <w:tcW w:w="1360" w:type="dxa"/>
          </w:tcPr>
          <w:p>
            <w:pPr>
              <w:pStyle w:val="0"/>
              <w:jc w:val="center"/>
            </w:pPr>
            <w:r>
              <w:rPr>
                <w:sz w:val="20"/>
              </w:rPr>
            </w:r>
          </w:p>
        </w:tc>
        <w:tc>
          <w:tcPr>
            <w:tcW w:w="1191" w:type="dxa"/>
          </w:tcPr>
          <w:p>
            <w:pPr>
              <w:pStyle w:val="0"/>
              <w:jc w:val="center"/>
            </w:pPr>
            <w:r>
              <w:rPr>
                <w:sz w:val="20"/>
              </w:rPr>
            </w:r>
          </w:p>
        </w:tc>
      </w:tr>
      <w:tr>
        <w:tc>
          <w:tcPr>
            <w:tcW w:w="2267" w:type="dxa"/>
          </w:tcPr>
          <w:p>
            <w:pPr>
              <w:pStyle w:val="0"/>
              <w:jc w:val="both"/>
            </w:pPr>
            <w:r>
              <w:rPr>
                <w:sz w:val="20"/>
              </w:rPr>
              <w:t xml:space="preserve">врач ЛФК</w:t>
            </w:r>
          </w:p>
        </w:tc>
        <w:tc>
          <w:tcPr>
            <w:tcW w:w="1531" w:type="dxa"/>
          </w:tcPr>
          <w:p>
            <w:pPr>
              <w:pStyle w:val="0"/>
              <w:jc w:val="center"/>
            </w:pPr>
            <w:r>
              <w:rPr>
                <w:sz w:val="20"/>
              </w:rPr>
              <w:t xml:space="preserve">1,5</w:t>
            </w:r>
          </w:p>
        </w:tc>
        <w:tc>
          <w:tcPr>
            <w:tcW w:w="1360" w:type="dxa"/>
          </w:tcPr>
          <w:p>
            <w:pPr>
              <w:pStyle w:val="0"/>
              <w:jc w:val="center"/>
            </w:pPr>
            <w:r>
              <w:rPr>
                <w:sz w:val="20"/>
              </w:rPr>
              <w:t xml:space="preserve">0,5</w:t>
            </w:r>
          </w:p>
        </w:tc>
        <w:tc>
          <w:tcPr>
            <w:tcW w:w="1360" w:type="dxa"/>
          </w:tcPr>
          <w:p>
            <w:pPr>
              <w:pStyle w:val="0"/>
              <w:jc w:val="center"/>
            </w:pPr>
            <w:r>
              <w:rPr>
                <w:sz w:val="20"/>
              </w:rPr>
              <w:t xml:space="preserve">1</w:t>
            </w:r>
          </w:p>
        </w:tc>
        <w:tc>
          <w:tcPr>
            <w:tcW w:w="1360" w:type="dxa"/>
          </w:tcPr>
          <w:p>
            <w:pPr>
              <w:pStyle w:val="0"/>
              <w:jc w:val="center"/>
            </w:pPr>
            <w:r>
              <w:rPr>
                <w:sz w:val="20"/>
              </w:rPr>
              <w:t xml:space="preserve">30</w:t>
            </w:r>
          </w:p>
        </w:tc>
        <w:tc>
          <w:tcPr>
            <w:tcW w:w="1191" w:type="dxa"/>
          </w:tcPr>
          <w:p>
            <w:pPr>
              <w:pStyle w:val="0"/>
              <w:jc w:val="center"/>
            </w:pPr>
            <w:r>
              <w:rPr>
                <w:sz w:val="20"/>
              </w:rPr>
              <w:t xml:space="preserve">1</w:t>
            </w:r>
          </w:p>
        </w:tc>
      </w:tr>
      <w:tr>
        <w:tc>
          <w:tcPr>
            <w:tcW w:w="2267" w:type="dxa"/>
          </w:tcPr>
          <w:p>
            <w:pPr>
              <w:pStyle w:val="0"/>
              <w:jc w:val="both"/>
            </w:pPr>
            <w:r>
              <w:rPr>
                <w:sz w:val="20"/>
              </w:rPr>
              <w:t xml:space="preserve">врач ФТО</w:t>
            </w:r>
          </w:p>
        </w:tc>
        <w:tc>
          <w:tcPr>
            <w:tcW w:w="1531" w:type="dxa"/>
          </w:tcPr>
          <w:p>
            <w:pPr>
              <w:pStyle w:val="0"/>
              <w:jc w:val="center"/>
            </w:pPr>
            <w:r>
              <w:rPr>
                <w:sz w:val="20"/>
              </w:rPr>
              <w:t xml:space="preserve">3</w:t>
            </w:r>
          </w:p>
        </w:tc>
        <w:tc>
          <w:tcPr>
            <w:tcW w:w="1360" w:type="dxa"/>
          </w:tcPr>
          <w:p>
            <w:pPr>
              <w:pStyle w:val="0"/>
              <w:jc w:val="center"/>
            </w:pPr>
            <w:r>
              <w:rPr>
                <w:sz w:val="20"/>
              </w:rPr>
              <w:t xml:space="preserve">3</w:t>
            </w:r>
          </w:p>
        </w:tc>
        <w:tc>
          <w:tcPr>
            <w:tcW w:w="1360" w:type="dxa"/>
          </w:tcPr>
          <w:p>
            <w:pPr>
              <w:pStyle w:val="0"/>
              <w:jc w:val="center"/>
            </w:pPr>
            <w:r>
              <w:rPr>
                <w:sz w:val="20"/>
              </w:rPr>
              <w:t xml:space="preserve">3</w:t>
            </w:r>
          </w:p>
        </w:tc>
        <w:tc>
          <w:tcPr>
            <w:tcW w:w="1360" w:type="dxa"/>
          </w:tcPr>
          <w:p>
            <w:pPr>
              <w:pStyle w:val="0"/>
              <w:jc w:val="center"/>
            </w:pPr>
            <w:r>
              <w:rPr>
                <w:sz w:val="20"/>
              </w:rPr>
              <w:t xml:space="preserve">100</w:t>
            </w:r>
          </w:p>
        </w:tc>
        <w:tc>
          <w:tcPr>
            <w:tcW w:w="1191" w:type="dxa"/>
          </w:tcPr>
          <w:p>
            <w:pPr>
              <w:pStyle w:val="0"/>
              <w:jc w:val="center"/>
            </w:pPr>
            <w:r>
              <w:rPr>
                <w:sz w:val="20"/>
              </w:rPr>
              <w:t xml:space="preserve">0</w:t>
            </w:r>
          </w:p>
        </w:tc>
      </w:tr>
      <w:tr>
        <w:tc>
          <w:tcPr>
            <w:tcW w:w="2267" w:type="dxa"/>
          </w:tcPr>
          <w:p>
            <w:pPr>
              <w:pStyle w:val="0"/>
              <w:jc w:val="both"/>
            </w:pPr>
            <w:r>
              <w:rPr>
                <w:sz w:val="20"/>
              </w:rPr>
              <w:t xml:space="preserve">логопед</w:t>
            </w:r>
          </w:p>
        </w:tc>
        <w:tc>
          <w:tcPr>
            <w:tcW w:w="1531" w:type="dxa"/>
          </w:tcPr>
          <w:p>
            <w:pPr>
              <w:pStyle w:val="0"/>
              <w:jc w:val="center"/>
            </w:pPr>
            <w:r>
              <w:rPr>
                <w:sz w:val="20"/>
              </w:rPr>
              <w:t xml:space="preserve">2</w:t>
            </w:r>
          </w:p>
        </w:tc>
        <w:tc>
          <w:tcPr>
            <w:tcW w:w="1360" w:type="dxa"/>
          </w:tcPr>
          <w:p>
            <w:pPr>
              <w:pStyle w:val="0"/>
              <w:jc w:val="center"/>
            </w:pPr>
            <w:r>
              <w:rPr>
                <w:sz w:val="20"/>
              </w:rPr>
              <w:t xml:space="preserve">2</w:t>
            </w:r>
          </w:p>
        </w:tc>
        <w:tc>
          <w:tcPr>
            <w:tcW w:w="1360" w:type="dxa"/>
          </w:tcPr>
          <w:p>
            <w:pPr>
              <w:pStyle w:val="0"/>
              <w:jc w:val="center"/>
            </w:pPr>
            <w:r>
              <w:rPr>
                <w:sz w:val="20"/>
              </w:rPr>
              <w:t xml:space="preserve">2</w:t>
            </w:r>
          </w:p>
        </w:tc>
        <w:tc>
          <w:tcPr>
            <w:tcW w:w="1360" w:type="dxa"/>
          </w:tcPr>
          <w:p>
            <w:pPr>
              <w:pStyle w:val="0"/>
              <w:jc w:val="center"/>
            </w:pPr>
            <w:r>
              <w:rPr>
                <w:sz w:val="20"/>
              </w:rPr>
              <w:t xml:space="preserve">100</w:t>
            </w:r>
          </w:p>
        </w:tc>
        <w:tc>
          <w:tcPr>
            <w:tcW w:w="1191" w:type="dxa"/>
          </w:tcPr>
          <w:p>
            <w:pPr>
              <w:pStyle w:val="0"/>
              <w:jc w:val="center"/>
            </w:pPr>
            <w:r>
              <w:rPr>
                <w:sz w:val="20"/>
              </w:rPr>
              <w:t xml:space="preserve">0</w:t>
            </w:r>
          </w:p>
        </w:tc>
      </w:tr>
      <w:tr>
        <w:tc>
          <w:tcPr>
            <w:tcW w:w="2267" w:type="dxa"/>
          </w:tcPr>
          <w:p>
            <w:pPr>
              <w:pStyle w:val="0"/>
              <w:jc w:val="both"/>
            </w:pPr>
            <w:r>
              <w:rPr>
                <w:sz w:val="20"/>
              </w:rPr>
              <w:t xml:space="preserve">психолог</w:t>
            </w:r>
          </w:p>
        </w:tc>
        <w:tc>
          <w:tcPr>
            <w:tcW w:w="1531" w:type="dxa"/>
          </w:tcPr>
          <w:p>
            <w:pPr>
              <w:pStyle w:val="0"/>
              <w:jc w:val="center"/>
            </w:pPr>
            <w:r>
              <w:rPr>
                <w:sz w:val="20"/>
              </w:rPr>
              <w:t xml:space="preserve">1</w:t>
            </w:r>
          </w:p>
        </w:tc>
        <w:tc>
          <w:tcPr>
            <w:tcW w:w="1360" w:type="dxa"/>
          </w:tcPr>
          <w:p>
            <w:pPr>
              <w:pStyle w:val="0"/>
              <w:jc w:val="center"/>
            </w:pPr>
            <w:r>
              <w:rPr>
                <w:sz w:val="20"/>
              </w:rPr>
              <w:t xml:space="preserve">1</w:t>
            </w:r>
          </w:p>
        </w:tc>
        <w:tc>
          <w:tcPr>
            <w:tcW w:w="1360" w:type="dxa"/>
          </w:tcPr>
          <w:p>
            <w:pPr>
              <w:pStyle w:val="0"/>
              <w:jc w:val="center"/>
            </w:pPr>
            <w:r>
              <w:rPr>
                <w:sz w:val="20"/>
              </w:rPr>
              <w:t xml:space="preserve">1</w:t>
            </w:r>
          </w:p>
        </w:tc>
        <w:tc>
          <w:tcPr>
            <w:tcW w:w="1360" w:type="dxa"/>
          </w:tcPr>
          <w:p>
            <w:pPr>
              <w:pStyle w:val="0"/>
              <w:jc w:val="center"/>
            </w:pPr>
            <w:r>
              <w:rPr>
                <w:sz w:val="20"/>
              </w:rPr>
              <w:t xml:space="preserve">100</w:t>
            </w:r>
          </w:p>
        </w:tc>
        <w:tc>
          <w:tcPr>
            <w:tcW w:w="1191" w:type="dxa"/>
          </w:tcPr>
          <w:p>
            <w:pPr>
              <w:pStyle w:val="0"/>
              <w:jc w:val="center"/>
            </w:pPr>
            <w:r>
              <w:rPr>
                <w:sz w:val="20"/>
              </w:rPr>
              <w:t xml:space="preserve">0</w:t>
            </w:r>
          </w:p>
        </w:tc>
      </w:tr>
      <w:tr>
        <w:tc>
          <w:tcPr>
            <w:tcW w:w="2267" w:type="dxa"/>
          </w:tcPr>
          <w:p>
            <w:pPr>
              <w:pStyle w:val="0"/>
              <w:jc w:val="both"/>
            </w:pPr>
            <w:r>
              <w:rPr>
                <w:sz w:val="20"/>
              </w:rPr>
              <w:t xml:space="preserve">инструктор по ЛФК</w:t>
            </w:r>
          </w:p>
        </w:tc>
        <w:tc>
          <w:tcPr>
            <w:tcW w:w="1531" w:type="dxa"/>
          </w:tcPr>
          <w:p>
            <w:pPr>
              <w:pStyle w:val="0"/>
              <w:jc w:val="center"/>
            </w:pPr>
            <w:r>
              <w:rPr>
                <w:sz w:val="20"/>
              </w:rPr>
              <w:t xml:space="preserve">8</w:t>
            </w:r>
          </w:p>
        </w:tc>
        <w:tc>
          <w:tcPr>
            <w:tcW w:w="1360" w:type="dxa"/>
          </w:tcPr>
          <w:p>
            <w:pPr>
              <w:pStyle w:val="0"/>
              <w:jc w:val="center"/>
            </w:pPr>
            <w:r>
              <w:rPr>
                <w:sz w:val="20"/>
              </w:rPr>
              <w:t xml:space="preserve">6</w:t>
            </w:r>
          </w:p>
        </w:tc>
        <w:tc>
          <w:tcPr>
            <w:tcW w:w="1360" w:type="dxa"/>
          </w:tcPr>
          <w:p>
            <w:pPr>
              <w:pStyle w:val="0"/>
              <w:jc w:val="center"/>
            </w:pPr>
            <w:r>
              <w:rPr>
                <w:sz w:val="20"/>
              </w:rPr>
              <w:t xml:space="preserve">6</w:t>
            </w:r>
          </w:p>
        </w:tc>
        <w:tc>
          <w:tcPr>
            <w:tcW w:w="1360" w:type="dxa"/>
          </w:tcPr>
          <w:p>
            <w:pPr>
              <w:pStyle w:val="0"/>
              <w:jc w:val="center"/>
            </w:pPr>
            <w:r>
              <w:rPr>
                <w:sz w:val="20"/>
              </w:rPr>
              <w:t xml:space="preserve">75</w:t>
            </w:r>
          </w:p>
        </w:tc>
        <w:tc>
          <w:tcPr>
            <w:tcW w:w="1191" w:type="dxa"/>
          </w:tcPr>
          <w:p>
            <w:pPr>
              <w:pStyle w:val="0"/>
              <w:jc w:val="center"/>
            </w:pPr>
            <w:r>
              <w:rPr>
                <w:sz w:val="20"/>
              </w:rPr>
              <w:t xml:space="preserve">2</w:t>
            </w:r>
          </w:p>
        </w:tc>
      </w:tr>
      <w:tr>
        <w:tc>
          <w:tcPr>
            <w:tcW w:w="2267" w:type="dxa"/>
          </w:tcPr>
          <w:p>
            <w:pPr>
              <w:pStyle w:val="0"/>
              <w:jc w:val="both"/>
            </w:pPr>
            <w:r>
              <w:rPr>
                <w:sz w:val="20"/>
              </w:rPr>
              <w:t xml:space="preserve">м/с по массажу</w:t>
            </w:r>
          </w:p>
        </w:tc>
        <w:tc>
          <w:tcPr>
            <w:tcW w:w="1531" w:type="dxa"/>
          </w:tcPr>
          <w:p>
            <w:pPr>
              <w:pStyle w:val="0"/>
              <w:jc w:val="center"/>
            </w:pPr>
            <w:r>
              <w:rPr>
                <w:sz w:val="20"/>
              </w:rPr>
              <w:t xml:space="preserve">14,75</w:t>
            </w:r>
          </w:p>
        </w:tc>
        <w:tc>
          <w:tcPr>
            <w:tcW w:w="1360" w:type="dxa"/>
          </w:tcPr>
          <w:p>
            <w:pPr>
              <w:pStyle w:val="0"/>
              <w:jc w:val="center"/>
            </w:pPr>
            <w:r>
              <w:rPr>
                <w:sz w:val="20"/>
              </w:rPr>
              <w:t xml:space="preserve">12,25</w:t>
            </w:r>
          </w:p>
        </w:tc>
        <w:tc>
          <w:tcPr>
            <w:tcW w:w="1360" w:type="dxa"/>
          </w:tcPr>
          <w:p>
            <w:pPr>
              <w:pStyle w:val="0"/>
              <w:jc w:val="center"/>
            </w:pPr>
            <w:r>
              <w:rPr>
                <w:sz w:val="20"/>
              </w:rPr>
              <w:t xml:space="preserve">12</w:t>
            </w:r>
          </w:p>
        </w:tc>
        <w:tc>
          <w:tcPr>
            <w:tcW w:w="1360" w:type="dxa"/>
          </w:tcPr>
          <w:p>
            <w:pPr>
              <w:pStyle w:val="0"/>
              <w:jc w:val="center"/>
            </w:pPr>
            <w:r>
              <w:rPr>
                <w:sz w:val="20"/>
              </w:rPr>
              <w:t xml:space="preserve">80</w:t>
            </w:r>
          </w:p>
        </w:tc>
        <w:tc>
          <w:tcPr>
            <w:tcW w:w="1191" w:type="dxa"/>
          </w:tcPr>
          <w:p>
            <w:pPr>
              <w:pStyle w:val="0"/>
              <w:jc w:val="center"/>
            </w:pPr>
            <w:r>
              <w:rPr>
                <w:sz w:val="20"/>
              </w:rPr>
              <w:t xml:space="preserve">2</w:t>
            </w:r>
          </w:p>
        </w:tc>
      </w:tr>
      <w:tr>
        <w:tc>
          <w:tcPr>
            <w:tcW w:w="2267" w:type="dxa"/>
          </w:tcPr>
          <w:p>
            <w:pPr>
              <w:pStyle w:val="0"/>
              <w:jc w:val="both"/>
            </w:pPr>
            <w:r>
              <w:rPr>
                <w:sz w:val="20"/>
              </w:rPr>
              <w:t xml:space="preserve">м/с ФТО</w:t>
            </w:r>
          </w:p>
        </w:tc>
        <w:tc>
          <w:tcPr>
            <w:tcW w:w="1531" w:type="dxa"/>
          </w:tcPr>
          <w:p>
            <w:pPr>
              <w:pStyle w:val="0"/>
              <w:jc w:val="center"/>
            </w:pPr>
            <w:r>
              <w:rPr>
                <w:sz w:val="20"/>
              </w:rPr>
              <w:t xml:space="preserve">23,5</w:t>
            </w:r>
          </w:p>
        </w:tc>
        <w:tc>
          <w:tcPr>
            <w:tcW w:w="1360" w:type="dxa"/>
          </w:tcPr>
          <w:p>
            <w:pPr>
              <w:pStyle w:val="0"/>
              <w:jc w:val="center"/>
            </w:pPr>
            <w:r>
              <w:rPr>
                <w:sz w:val="20"/>
              </w:rPr>
              <w:t xml:space="preserve">23</w:t>
            </w:r>
          </w:p>
        </w:tc>
        <w:tc>
          <w:tcPr>
            <w:tcW w:w="1360" w:type="dxa"/>
          </w:tcPr>
          <w:p>
            <w:pPr>
              <w:pStyle w:val="0"/>
              <w:jc w:val="center"/>
            </w:pPr>
            <w:r>
              <w:rPr>
                <w:sz w:val="20"/>
              </w:rPr>
              <w:t xml:space="preserve">21</w:t>
            </w:r>
          </w:p>
        </w:tc>
        <w:tc>
          <w:tcPr>
            <w:tcW w:w="1360" w:type="dxa"/>
          </w:tcPr>
          <w:p>
            <w:pPr>
              <w:pStyle w:val="0"/>
              <w:jc w:val="center"/>
            </w:pPr>
            <w:r>
              <w:rPr>
                <w:sz w:val="20"/>
              </w:rPr>
              <w:t xml:space="preserve">90</w:t>
            </w:r>
          </w:p>
        </w:tc>
        <w:tc>
          <w:tcPr>
            <w:tcW w:w="1191" w:type="dxa"/>
          </w:tcPr>
          <w:p>
            <w:pPr>
              <w:pStyle w:val="0"/>
              <w:jc w:val="center"/>
            </w:pPr>
            <w:r>
              <w:rPr>
                <w:sz w:val="20"/>
              </w:rPr>
              <w:t xml:space="preserve">2</w:t>
            </w:r>
          </w:p>
        </w:tc>
      </w:tr>
      <w:tr>
        <w:tc>
          <w:tcPr>
            <w:tcW w:w="2267" w:type="dxa"/>
          </w:tcPr>
          <w:p>
            <w:pPr>
              <w:pStyle w:val="0"/>
              <w:jc w:val="both"/>
            </w:pPr>
            <w:r>
              <w:rPr>
                <w:sz w:val="20"/>
              </w:rPr>
              <w:t xml:space="preserve">ГБУЗС "ГБ N 4"</w:t>
            </w:r>
          </w:p>
        </w:tc>
        <w:tc>
          <w:tcPr>
            <w:tcW w:w="1531" w:type="dxa"/>
          </w:tcPr>
          <w:p>
            <w:pPr>
              <w:pStyle w:val="0"/>
              <w:jc w:val="center"/>
            </w:pPr>
            <w:r>
              <w:rPr>
                <w:sz w:val="20"/>
              </w:rPr>
            </w:r>
          </w:p>
        </w:tc>
        <w:tc>
          <w:tcPr>
            <w:tcW w:w="1360" w:type="dxa"/>
          </w:tcPr>
          <w:p>
            <w:pPr>
              <w:pStyle w:val="0"/>
              <w:jc w:val="center"/>
            </w:pPr>
            <w:r>
              <w:rPr>
                <w:sz w:val="20"/>
              </w:rPr>
            </w:r>
          </w:p>
        </w:tc>
        <w:tc>
          <w:tcPr>
            <w:tcW w:w="1360" w:type="dxa"/>
          </w:tcPr>
          <w:p>
            <w:pPr>
              <w:pStyle w:val="0"/>
              <w:jc w:val="center"/>
            </w:pPr>
            <w:r>
              <w:rPr>
                <w:sz w:val="20"/>
              </w:rPr>
            </w:r>
          </w:p>
        </w:tc>
        <w:tc>
          <w:tcPr>
            <w:tcW w:w="1360" w:type="dxa"/>
          </w:tcPr>
          <w:p>
            <w:pPr>
              <w:pStyle w:val="0"/>
              <w:jc w:val="center"/>
            </w:pPr>
            <w:r>
              <w:rPr>
                <w:sz w:val="20"/>
              </w:rPr>
            </w:r>
          </w:p>
        </w:tc>
        <w:tc>
          <w:tcPr>
            <w:tcW w:w="1191" w:type="dxa"/>
          </w:tcPr>
          <w:p>
            <w:pPr>
              <w:pStyle w:val="0"/>
              <w:jc w:val="center"/>
            </w:pPr>
            <w:r>
              <w:rPr>
                <w:sz w:val="20"/>
              </w:rPr>
            </w:r>
          </w:p>
        </w:tc>
      </w:tr>
      <w:tr>
        <w:tc>
          <w:tcPr>
            <w:tcW w:w="2267" w:type="dxa"/>
          </w:tcPr>
          <w:p>
            <w:pPr>
              <w:pStyle w:val="0"/>
              <w:jc w:val="both"/>
            </w:pPr>
            <w:r>
              <w:rPr>
                <w:sz w:val="20"/>
              </w:rPr>
              <w:t xml:space="preserve">м/с по массажу</w:t>
            </w:r>
          </w:p>
        </w:tc>
        <w:tc>
          <w:tcPr>
            <w:tcW w:w="1531" w:type="dxa"/>
          </w:tcPr>
          <w:p>
            <w:pPr>
              <w:pStyle w:val="0"/>
              <w:jc w:val="center"/>
            </w:pPr>
            <w:r>
              <w:rPr>
                <w:sz w:val="20"/>
              </w:rPr>
              <w:t xml:space="preserve">3,5</w:t>
            </w:r>
          </w:p>
        </w:tc>
        <w:tc>
          <w:tcPr>
            <w:tcW w:w="1360" w:type="dxa"/>
          </w:tcPr>
          <w:p>
            <w:pPr>
              <w:pStyle w:val="0"/>
              <w:jc w:val="center"/>
            </w:pPr>
            <w:r>
              <w:rPr>
                <w:sz w:val="20"/>
              </w:rPr>
              <w:t xml:space="preserve">3,5</w:t>
            </w:r>
          </w:p>
        </w:tc>
        <w:tc>
          <w:tcPr>
            <w:tcW w:w="1360" w:type="dxa"/>
          </w:tcPr>
          <w:p>
            <w:pPr>
              <w:pStyle w:val="0"/>
              <w:jc w:val="center"/>
            </w:pPr>
            <w:r>
              <w:rPr>
                <w:sz w:val="20"/>
              </w:rPr>
              <w:t xml:space="preserve">4</w:t>
            </w:r>
          </w:p>
        </w:tc>
        <w:tc>
          <w:tcPr>
            <w:tcW w:w="1360" w:type="dxa"/>
          </w:tcPr>
          <w:p>
            <w:pPr>
              <w:pStyle w:val="0"/>
              <w:jc w:val="center"/>
            </w:pPr>
            <w:r>
              <w:rPr>
                <w:sz w:val="20"/>
              </w:rPr>
              <w:t xml:space="preserve">100</w:t>
            </w:r>
          </w:p>
        </w:tc>
        <w:tc>
          <w:tcPr>
            <w:tcW w:w="1191" w:type="dxa"/>
          </w:tcPr>
          <w:p>
            <w:pPr>
              <w:pStyle w:val="0"/>
              <w:jc w:val="center"/>
            </w:pPr>
            <w:r>
              <w:rPr>
                <w:sz w:val="20"/>
              </w:rPr>
              <w:t xml:space="preserve">0</w:t>
            </w:r>
          </w:p>
        </w:tc>
      </w:tr>
      <w:tr>
        <w:tc>
          <w:tcPr>
            <w:tcW w:w="2267" w:type="dxa"/>
          </w:tcPr>
          <w:p>
            <w:pPr>
              <w:pStyle w:val="0"/>
              <w:jc w:val="both"/>
            </w:pPr>
            <w:r>
              <w:rPr>
                <w:sz w:val="20"/>
              </w:rPr>
              <w:t xml:space="preserve">м/с ФТО</w:t>
            </w:r>
          </w:p>
        </w:tc>
        <w:tc>
          <w:tcPr>
            <w:tcW w:w="1531" w:type="dxa"/>
          </w:tcPr>
          <w:p>
            <w:pPr>
              <w:pStyle w:val="0"/>
              <w:jc w:val="center"/>
            </w:pPr>
            <w:r>
              <w:rPr>
                <w:sz w:val="20"/>
              </w:rPr>
              <w:t xml:space="preserve">6,25</w:t>
            </w:r>
          </w:p>
        </w:tc>
        <w:tc>
          <w:tcPr>
            <w:tcW w:w="1360" w:type="dxa"/>
          </w:tcPr>
          <w:p>
            <w:pPr>
              <w:pStyle w:val="0"/>
              <w:jc w:val="center"/>
            </w:pPr>
            <w:r>
              <w:rPr>
                <w:sz w:val="20"/>
              </w:rPr>
              <w:t xml:space="preserve">6,25</w:t>
            </w:r>
          </w:p>
        </w:tc>
        <w:tc>
          <w:tcPr>
            <w:tcW w:w="1360" w:type="dxa"/>
          </w:tcPr>
          <w:p>
            <w:pPr>
              <w:pStyle w:val="0"/>
              <w:jc w:val="center"/>
            </w:pPr>
            <w:r>
              <w:rPr>
                <w:sz w:val="20"/>
              </w:rPr>
              <w:t xml:space="preserve">6</w:t>
            </w:r>
          </w:p>
        </w:tc>
        <w:tc>
          <w:tcPr>
            <w:tcW w:w="1360" w:type="dxa"/>
          </w:tcPr>
          <w:p>
            <w:pPr>
              <w:pStyle w:val="0"/>
              <w:jc w:val="center"/>
            </w:pPr>
            <w:r>
              <w:rPr>
                <w:sz w:val="20"/>
              </w:rPr>
              <w:t xml:space="preserve">100</w:t>
            </w:r>
          </w:p>
        </w:tc>
        <w:tc>
          <w:tcPr>
            <w:tcW w:w="1191" w:type="dxa"/>
          </w:tcPr>
          <w:p>
            <w:pPr>
              <w:pStyle w:val="0"/>
              <w:jc w:val="center"/>
            </w:pPr>
            <w:r>
              <w:rPr>
                <w:sz w:val="20"/>
              </w:rPr>
              <w:t xml:space="preserve">0</w:t>
            </w:r>
          </w:p>
        </w:tc>
      </w:tr>
      <w:tr>
        <w:tc>
          <w:tcPr>
            <w:tcW w:w="2267" w:type="dxa"/>
          </w:tcPr>
          <w:p>
            <w:pPr>
              <w:pStyle w:val="0"/>
              <w:jc w:val="both"/>
            </w:pPr>
            <w:r>
              <w:rPr>
                <w:sz w:val="20"/>
              </w:rPr>
              <w:t xml:space="preserve">ГБУЗС "ГБ N 9"</w:t>
            </w:r>
          </w:p>
        </w:tc>
        <w:tc>
          <w:tcPr>
            <w:tcW w:w="1531" w:type="dxa"/>
          </w:tcPr>
          <w:p>
            <w:pPr>
              <w:pStyle w:val="0"/>
              <w:jc w:val="center"/>
            </w:pPr>
            <w:r>
              <w:rPr>
                <w:sz w:val="20"/>
              </w:rPr>
            </w:r>
          </w:p>
        </w:tc>
        <w:tc>
          <w:tcPr>
            <w:tcW w:w="1360" w:type="dxa"/>
          </w:tcPr>
          <w:p>
            <w:pPr>
              <w:pStyle w:val="0"/>
              <w:jc w:val="center"/>
            </w:pPr>
            <w:r>
              <w:rPr>
                <w:sz w:val="20"/>
              </w:rPr>
            </w:r>
          </w:p>
        </w:tc>
        <w:tc>
          <w:tcPr>
            <w:tcW w:w="1360" w:type="dxa"/>
          </w:tcPr>
          <w:p>
            <w:pPr>
              <w:pStyle w:val="0"/>
              <w:jc w:val="center"/>
            </w:pPr>
            <w:r>
              <w:rPr>
                <w:sz w:val="20"/>
              </w:rPr>
            </w:r>
          </w:p>
        </w:tc>
        <w:tc>
          <w:tcPr>
            <w:tcW w:w="1360" w:type="dxa"/>
          </w:tcPr>
          <w:p>
            <w:pPr>
              <w:pStyle w:val="0"/>
              <w:jc w:val="center"/>
            </w:pPr>
            <w:r>
              <w:rPr>
                <w:sz w:val="20"/>
              </w:rPr>
            </w:r>
          </w:p>
        </w:tc>
        <w:tc>
          <w:tcPr>
            <w:tcW w:w="1191" w:type="dxa"/>
          </w:tcPr>
          <w:p>
            <w:pPr>
              <w:pStyle w:val="0"/>
              <w:jc w:val="center"/>
            </w:pPr>
            <w:r>
              <w:rPr>
                <w:sz w:val="20"/>
              </w:rPr>
            </w:r>
          </w:p>
        </w:tc>
      </w:tr>
      <w:tr>
        <w:tc>
          <w:tcPr>
            <w:tcW w:w="2267" w:type="dxa"/>
          </w:tcPr>
          <w:p>
            <w:pPr>
              <w:pStyle w:val="0"/>
              <w:jc w:val="both"/>
            </w:pPr>
            <w:r>
              <w:rPr>
                <w:sz w:val="20"/>
              </w:rPr>
              <w:t xml:space="preserve">врач ЛФК</w:t>
            </w:r>
          </w:p>
        </w:tc>
        <w:tc>
          <w:tcPr>
            <w:tcW w:w="1531" w:type="dxa"/>
          </w:tcPr>
          <w:p>
            <w:pPr>
              <w:pStyle w:val="0"/>
              <w:jc w:val="center"/>
            </w:pPr>
            <w:r>
              <w:rPr>
                <w:sz w:val="20"/>
              </w:rPr>
              <w:t xml:space="preserve">-</w:t>
            </w:r>
          </w:p>
        </w:tc>
        <w:tc>
          <w:tcPr>
            <w:tcW w:w="1360" w:type="dxa"/>
          </w:tcPr>
          <w:p>
            <w:pPr>
              <w:pStyle w:val="0"/>
              <w:jc w:val="center"/>
            </w:pPr>
            <w:r>
              <w:rPr>
                <w:sz w:val="20"/>
              </w:rPr>
              <w:t xml:space="preserve">-</w:t>
            </w:r>
          </w:p>
        </w:tc>
        <w:tc>
          <w:tcPr>
            <w:tcW w:w="1360" w:type="dxa"/>
          </w:tcPr>
          <w:p>
            <w:pPr>
              <w:pStyle w:val="0"/>
              <w:jc w:val="center"/>
            </w:pPr>
            <w:r>
              <w:rPr>
                <w:sz w:val="20"/>
              </w:rPr>
              <w:t xml:space="preserve">-</w:t>
            </w:r>
          </w:p>
        </w:tc>
        <w:tc>
          <w:tcPr>
            <w:tcW w:w="1360" w:type="dxa"/>
          </w:tcPr>
          <w:p>
            <w:pPr>
              <w:pStyle w:val="0"/>
              <w:jc w:val="center"/>
            </w:pPr>
            <w:r>
              <w:rPr>
                <w:sz w:val="20"/>
              </w:rPr>
              <w:t xml:space="preserve">-</w:t>
            </w:r>
          </w:p>
        </w:tc>
        <w:tc>
          <w:tcPr>
            <w:tcW w:w="1191" w:type="dxa"/>
          </w:tcPr>
          <w:p>
            <w:pPr>
              <w:pStyle w:val="0"/>
              <w:jc w:val="center"/>
            </w:pPr>
            <w:r>
              <w:rPr>
                <w:sz w:val="20"/>
              </w:rPr>
              <w:t xml:space="preserve">-</w:t>
            </w:r>
          </w:p>
        </w:tc>
      </w:tr>
      <w:tr>
        <w:tc>
          <w:tcPr>
            <w:tcW w:w="2267" w:type="dxa"/>
          </w:tcPr>
          <w:p>
            <w:pPr>
              <w:pStyle w:val="0"/>
              <w:jc w:val="both"/>
            </w:pPr>
            <w:r>
              <w:rPr>
                <w:sz w:val="20"/>
              </w:rPr>
              <w:t xml:space="preserve">врач ФТО</w:t>
            </w:r>
          </w:p>
        </w:tc>
        <w:tc>
          <w:tcPr>
            <w:tcW w:w="1531" w:type="dxa"/>
          </w:tcPr>
          <w:p>
            <w:pPr>
              <w:pStyle w:val="0"/>
              <w:jc w:val="center"/>
            </w:pPr>
            <w:r>
              <w:rPr>
                <w:sz w:val="20"/>
              </w:rPr>
              <w:t xml:space="preserve">1,0</w:t>
            </w:r>
          </w:p>
        </w:tc>
        <w:tc>
          <w:tcPr>
            <w:tcW w:w="1360" w:type="dxa"/>
          </w:tcPr>
          <w:p>
            <w:pPr>
              <w:pStyle w:val="0"/>
              <w:jc w:val="center"/>
            </w:pPr>
            <w:r>
              <w:rPr>
                <w:sz w:val="20"/>
              </w:rPr>
              <w:t xml:space="preserve">0,5</w:t>
            </w:r>
          </w:p>
        </w:tc>
        <w:tc>
          <w:tcPr>
            <w:tcW w:w="1360" w:type="dxa"/>
          </w:tcPr>
          <w:p>
            <w:pPr>
              <w:pStyle w:val="0"/>
              <w:jc w:val="center"/>
            </w:pPr>
            <w:r>
              <w:rPr>
                <w:sz w:val="20"/>
              </w:rPr>
              <w:t xml:space="preserve">-</w:t>
            </w:r>
          </w:p>
        </w:tc>
        <w:tc>
          <w:tcPr>
            <w:tcW w:w="1360" w:type="dxa"/>
          </w:tcPr>
          <w:p>
            <w:pPr>
              <w:pStyle w:val="0"/>
              <w:jc w:val="center"/>
            </w:pPr>
            <w:r>
              <w:rPr>
                <w:sz w:val="20"/>
              </w:rPr>
              <w:t xml:space="preserve">0</w:t>
            </w:r>
          </w:p>
        </w:tc>
        <w:tc>
          <w:tcPr>
            <w:tcW w:w="1191" w:type="dxa"/>
          </w:tcPr>
          <w:p>
            <w:pPr>
              <w:pStyle w:val="0"/>
              <w:jc w:val="center"/>
            </w:pPr>
            <w:r>
              <w:rPr>
                <w:sz w:val="20"/>
              </w:rPr>
              <w:t xml:space="preserve">-</w:t>
            </w:r>
          </w:p>
        </w:tc>
      </w:tr>
      <w:tr>
        <w:tc>
          <w:tcPr>
            <w:tcW w:w="2267" w:type="dxa"/>
          </w:tcPr>
          <w:p>
            <w:pPr>
              <w:pStyle w:val="0"/>
              <w:jc w:val="both"/>
            </w:pPr>
            <w:r>
              <w:rPr>
                <w:sz w:val="20"/>
              </w:rPr>
              <w:t xml:space="preserve">инструктор по ЛФК</w:t>
            </w:r>
          </w:p>
        </w:tc>
        <w:tc>
          <w:tcPr>
            <w:tcW w:w="1531" w:type="dxa"/>
          </w:tcPr>
          <w:p>
            <w:pPr>
              <w:pStyle w:val="0"/>
              <w:jc w:val="center"/>
            </w:pPr>
            <w:r>
              <w:rPr>
                <w:sz w:val="20"/>
              </w:rPr>
              <w:t xml:space="preserve">3,0</w:t>
            </w:r>
          </w:p>
        </w:tc>
        <w:tc>
          <w:tcPr>
            <w:tcW w:w="1360" w:type="dxa"/>
          </w:tcPr>
          <w:p>
            <w:pPr>
              <w:pStyle w:val="0"/>
              <w:jc w:val="center"/>
            </w:pPr>
            <w:r>
              <w:rPr>
                <w:sz w:val="20"/>
              </w:rPr>
              <w:t xml:space="preserve">2,5</w:t>
            </w:r>
          </w:p>
        </w:tc>
        <w:tc>
          <w:tcPr>
            <w:tcW w:w="1360" w:type="dxa"/>
          </w:tcPr>
          <w:p>
            <w:pPr>
              <w:pStyle w:val="0"/>
              <w:jc w:val="center"/>
            </w:pPr>
            <w:r>
              <w:rPr>
                <w:sz w:val="20"/>
              </w:rPr>
              <w:t xml:space="preserve">1</w:t>
            </w:r>
          </w:p>
        </w:tc>
        <w:tc>
          <w:tcPr>
            <w:tcW w:w="1360" w:type="dxa"/>
          </w:tcPr>
          <w:p>
            <w:pPr>
              <w:pStyle w:val="0"/>
              <w:jc w:val="center"/>
            </w:pPr>
            <w:r>
              <w:rPr>
                <w:sz w:val="20"/>
              </w:rPr>
              <w:t xml:space="preserve">33,33</w:t>
            </w:r>
          </w:p>
        </w:tc>
        <w:tc>
          <w:tcPr>
            <w:tcW w:w="1191" w:type="dxa"/>
          </w:tcPr>
          <w:p>
            <w:pPr>
              <w:pStyle w:val="0"/>
              <w:jc w:val="center"/>
            </w:pPr>
            <w:r>
              <w:rPr>
                <w:sz w:val="20"/>
              </w:rPr>
              <w:t xml:space="preserve">1</w:t>
            </w:r>
          </w:p>
        </w:tc>
      </w:tr>
      <w:tr>
        <w:tc>
          <w:tcPr>
            <w:tcW w:w="2267" w:type="dxa"/>
          </w:tcPr>
          <w:p>
            <w:pPr>
              <w:pStyle w:val="0"/>
              <w:jc w:val="both"/>
            </w:pPr>
            <w:r>
              <w:rPr>
                <w:sz w:val="20"/>
              </w:rPr>
              <w:t xml:space="preserve">м/с по массажу</w:t>
            </w:r>
          </w:p>
        </w:tc>
        <w:tc>
          <w:tcPr>
            <w:tcW w:w="1531" w:type="dxa"/>
          </w:tcPr>
          <w:p>
            <w:pPr>
              <w:pStyle w:val="0"/>
              <w:jc w:val="center"/>
            </w:pPr>
            <w:r>
              <w:rPr>
                <w:sz w:val="20"/>
              </w:rPr>
              <w:t xml:space="preserve">3,0</w:t>
            </w:r>
          </w:p>
        </w:tc>
        <w:tc>
          <w:tcPr>
            <w:tcW w:w="1360" w:type="dxa"/>
          </w:tcPr>
          <w:p>
            <w:pPr>
              <w:pStyle w:val="0"/>
              <w:jc w:val="center"/>
            </w:pPr>
            <w:r>
              <w:rPr>
                <w:sz w:val="20"/>
              </w:rPr>
              <w:t xml:space="preserve">3,0</w:t>
            </w:r>
          </w:p>
        </w:tc>
        <w:tc>
          <w:tcPr>
            <w:tcW w:w="1360" w:type="dxa"/>
          </w:tcPr>
          <w:p>
            <w:pPr>
              <w:pStyle w:val="0"/>
              <w:jc w:val="center"/>
            </w:pPr>
            <w:r>
              <w:rPr>
                <w:sz w:val="20"/>
              </w:rPr>
              <w:t xml:space="preserve">3</w:t>
            </w:r>
          </w:p>
        </w:tc>
        <w:tc>
          <w:tcPr>
            <w:tcW w:w="1360" w:type="dxa"/>
          </w:tcPr>
          <w:p>
            <w:pPr>
              <w:pStyle w:val="0"/>
              <w:jc w:val="center"/>
            </w:pPr>
            <w:r>
              <w:rPr>
                <w:sz w:val="20"/>
              </w:rPr>
              <w:t xml:space="preserve">100</w:t>
            </w:r>
          </w:p>
        </w:tc>
        <w:tc>
          <w:tcPr>
            <w:tcW w:w="1191" w:type="dxa"/>
          </w:tcPr>
          <w:p>
            <w:pPr>
              <w:pStyle w:val="0"/>
              <w:jc w:val="center"/>
            </w:pPr>
            <w:r>
              <w:rPr>
                <w:sz w:val="20"/>
              </w:rPr>
              <w:t xml:space="preserve">-</w:t>
            </w:r>
          </w:p>
        </w:tc>
      </w:tr>
      <w:tr>
        <w:tc>
          <w:tcPr>
            <w:tcW w:w="2267" w:type="dxa"/>
          </w:tcPr>
          <w:p>
            <w:pPr>
              <w:pStyle w:val="0"/>
              <w:jc w:val="both"/>
            </w:pPr>
            <w:r>
              <w:rPr>
                <w:sz w:val="20"/>
              </w:rPr>
              <w:t xml:space="preserve">м/с ФТО</w:t>
            </w:r>
          </w:p>
        </w:tc>
        <w:tc>
          <w:tcPr>
            <w:tcW w:w="1531" w:type="dxa"/>
          </w:tcPr>
          <w:p>
            <w:pPr>
              <w:pStyle w:val="0"/>
              <w:jc w:val="center"/>
            </w:pPr>
            <w:r>
              <w:rPr>
                <w:sz w:val="20"/>
              </w:rPr>
              <w:t xml:space="preserve">8,25</w:t>
            </w:r>
          </w:p>
        </w:tc>
        <w:tc>
          <w:tcPr>
            <w:tcW w:w="1360" w:type="dxa"/>
          </w:tcPr>
          <w:p>
            <w:pPr>
              <w:pStyle w:val="0"/>
              <w:jc w:val="center"/>
            </w:pPr>
            <w:r>
              <w:rPr>
                <w:sz w:val="20"/>
              </w:rPr>
              <w:t xml:space="preserve">7,0</w:t>
            </w:r>
          </w:p>
        </w:tc>
        <w:tc>
          <w:tcPr>
            <w:tcW w:w="1360" w:type="dxa"/>
          </w:tcPr>
          <w:p>
            <w:pPr>
              <w:pStyle w:val="0"/>
              <w:jc w:val="center"/>
            </w:pPr>
            <w:r>
              <w:rPr>
                <w:sz w:val="20"/>
              </w:rPr>
              <w:t xml:space="preserve">6</w:t>
            </w:r>
          </w:p>
        </w:tc>
        <w:tc>
          <w:tcPr>
            <w:tcW w:w="1360" w:type="dxa"/>
          </w:tcPr>
          <w:p>
            <w:pPr>
              <w:pStyle w:val="0"/>
              <w:jc w:val="center"/>
            </w:pPr>
            <w:r>
              <w:rPr>
                <w:sz w:val="20"/>
              </w:rPr>
              <w:t xml:space="preserve">72,73</w:t>
            </w:r>
          </w:p>
        </w:tc>
        <w:tc>
          <w:tcPr>
            <w:tcW w:w="1191"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Укомплектованность профильной службы по состоянию на 2022 г. составляет:</w:t>
      </w:r>
    </w:p>
    <w:p>
      <w:pPr>
        <w:pStyle w:val="0"/>
        <w:spacing w:before="200" w:line-rule="auto"/>
        <w:ind w:firstLine="540"/>
        <w:jc w:val="both"/>
      </w:pPr>
      <w:r>
        <w:rPr>
          <w:sz w:val="20"/>
        </w:rPr>
        <w:t xml:space="preserve">- врач ЛФК - в ГБУЗС "Городская больница N 1 им Н.И. Пирогова" - 30%. В остальных больницах города Севастополя ставки врача ЛФК не предусмотрены штатным расписанием;</w:t>
      </w:r>
    </w:p>
    <w:p>
      <w:pPr>
        <w:pStyle w:val="0"/>
        <w:spacing w:before="200" w:line-rule="auto"/>
        <w:ind w:firstLine="540"/>
        <w:jc w:val="both"/>
      </w:pPr>
      <w:r>
        <w:rPr>
          <w:sz w:val="20"/>
        </w:rPr>
        <w:t xml:space="preserve">- врач-физиотерапевт - средняя укомплектованность - 70%, в ГБУЗС "Городская больница N 4" ставки врача-физиотерапевта не предусмотрены штатным расписанием;</w:t>
      </w:r>
    </w:p>
    <w:p>
      <w:pPr>
        <w:pStyle w:val="0"/>
        <w:spacing w:before="200" w:line-rule="auto"/>
        <w:ind w:firstLine="540"/>
        <w:jc w:val="both"/>
      </w:pPr>
      <w:r>
        <w:rPr>
          <w:sz w:val="20"/>
        </w:rPr>
        <w:t xml:space="preserve">- инструктор по ЛФК - средняя укомплектованность - 60%, в ГБУЗС "Городская больница N 4" ставки инструктора ЛФК не предусмотрены штатным расписанием;</w:t>
      </w:r>
    </w:p>
    <w:p>
      <w:pPr>
        <w:pStyle w:val="0"/>
        <w:spacing w:before="200" w:line-rule="auto"/>
        <w:ind w:firstLine="540"/>
        <w:jc w:val="both"/>
      </w:pPr>
      <w:r>
        <w:rPr>
          <w:sz w:val="20"/>
        </w:rPr>
        <w:t xml:space="preserve">- м/с по массажу - средняя укомплектованность - 86%;</w:t>
      </w:r>
    </w:p>
    <w:p>
      <w:pPr>
        <w:pStyle w:val="0"/>
        <w:spacing w:before="200" w:line-rule="auto"/>
        <w:ind w:firstLine="540"/>
        <w:jc w:val="both"/>
      </w:pPr>
      <w:r>
        <w:rPr>
          <w:sz w:val="20"/>
        </w:rPr>
        <w:t xml:space="preserve">- м/с ФТО - средняя укомплектованность - 90%.</w:t>
      </w:r>
    </w:p>
    <w:p>
      <w:pPr>
        <w:pStyle w:val="0"/>
        <w:spacing w:before="200" w:line-rule="auto"/>
        <w:ind w:firstLine="540"/>
        <w:jc w:val="both"/>
      </w:pPr>
      <w:hyperlink w:history="0" r:id="rId655"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Приказом</w:t>
        </w:r>
      </w:hyperlink>
      <w:r>
        <w:rPr>
          <w:sz w:val="20"/>
        </w:rPr>
        <w:t xml:space="preserve"> Министерства здравоохранения Российской Федерации от 31.07.2020 N 788н "Об утверждении порядка организации медицинской реабилитации взрослых" рекомендовано наличие в ЛПУ врача-рефлексотерапевта, врача мануальной терапии, медицинского психолога, инструктора по трудовой терапии, специалиста по социальной работе. Данные должности не предусмотрены в штатном расписании медицинских учреждений города Севастополя, оказывающих медицинскую помощь взрослому населению.</w:t>
      </w:r>
    </w:p>
    <w:p>
      <w:pPr>
        <w:pStyle w:val="0"/>
        <w:jc w:val="center"/>
      </w:pPr>
      <w:r>
        <w:rPr>
          <w:sz w:val="20"/>
        </w:rPr>
      </w:r>
    </w:p>
    <w:p>
      <w:pPr>
        <w:pStyle w:val="0"/>
        <w:jc w:val="center"/>
      </w:pPr>
      <w:r>
        <w:rPr>
          <w:sz w:val="20"/>
        </w:rPr>
        <w:t xml:space="preserve">Анализ количества пациентов, нуждающихся</w:t>
      </w:r>
    </w:p>
    <w:p>
      <w:pPr>
        <w:pStyle w:val="0"/>
        <w:jc w:val="center"/>
      </w:pPr>
      <w:r>
        <w:rPr>
          <w:sz w:val="20"/>
        </w:rPr>
        <w:t xml:space="preserve">в медицинской реабилитации</w:t>
      </w:r>
    </w:p>
    <w:p>
      <w:pPr>
        <w:pStyle w:val="0"/>
        <w:jc w:val="center"/>
      </w:pPr>
      <w:r>
        <w:rPr>
          <w:sz w:val="20"/>
        </w:rPr>
      </w:r>
    </w:p>
    <w:p>
      <w:pPr>
        <w:pStyle w:val="0"/>
        <w:ind w:firstLine="540"/>
        <w:jc w:val="both"/>
      </w:pPr>
      <w:r>
        <w:rPr>
          <w:sz w:val="20"/>
        </w:rPr>
        <w:t xml:space="preserve">В городе Севастополе в РСЦ ГБУЗС "Городская больница N 1 им. Н.И. Пирогова" оказывается высокотехнологическая медицинская помощь (ВМП 2 и ВМП 1) по профилям:</w:t>
      </w:r>
    </w:p>
    <w:p>
      <w:pPr>
        <w:pStyle w:val="0"/>
        <w:spacing w:before="200" w:line-rule="auto"/>
        <w:ind w:firstLine="540"/>
        <w:jc w:val="both"/>
      </w:pPr>
      <w:r>
        <w:rPr>
          <w:sz w:val="20"/>
        </w:rPr>
        <w:t xml:space="preserve">- "сердечно-сосудистая хирургия" на базе отделения кардиохирургии;</w:t>
      </w:r>
    </w:p>
    <w:p>
      <w:pPr>
        <w:pStyle w:val="0"/>
        <w:spacing w:before="200" w:line-rule="auto"/>
        <w:ind w:firstLine="540"/>
        <w:jc w:val="both"/>
      </w:pPr>
      <w:r>
        <w:rPr>
          <w:sz w:val="20"/>
        </w:rPr>
        <w:t xml:space="preserve">- "нейрохирургия" на базе отделения нейрохирургии.</w:t>
      </w:r>
    </w:p>
    <w:p>
      <w:pPr>
        <w:pStyle w:val="0"/>
        <w:spacing w:before="200" w:line-rule="auto"/>
        <w:ind w:firstLine="540"/>
        <w:jc w:val="both"/>
      </w:pPr>
      <w:r>
        <w:rPr>
          <w:sz w:val="20"/>
        </w:rPr>
        <w:t xml:space="preserve">В отделении травматологии ГБУЗС "Городская больница N 1 им. Н.И. Пирогова" и ГБУЗС "Городская больница N 9" оказывается ВМП 2 по профилю "травматология и ортопедия".</w:t>
      </w:r>
    </w:p>
    <w:p>
      <w:pPr>
        <w:pStyle w:val="0"/>
        <w:spacing w:before="200" w:line-rule="auto"/>
        <w:ind w:firstLine="540"/>
        <w:jc w:val="both"/>
      </w:pPr>
      <w:r>
        <w:rPr>
          <w:sz w:val="20"/>
        </w:rPr>
        <w:t xml:space="preserve">Для оказания ВМП пациенты также направляются в федеральные центры РФ.</w:t>
      </w:r>
    </w:p>
    <w:p>
      <w:pPr>
        <w:pStyle w:val="0"/>
        <w:spacing w:before="200" w:line-rule="auto"/>
        <w:ind w:firstLine="540"/>
        <w:jc w:val="both"/>
      </w:pPr>
      <w:r>
        <w:rPr>
          <w:sz w:val="20"/>
        </w:rPr>
        <w:t xml:space="preserve">Количество случаев ВМП, оказанной пациентам в 2019 - 2022 гг.:</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3402"/>
        <w:gridCol w:w="1134"/>
        <w:gridCol w:w="1134"/>
        <w:gridCol w:w="1134"/>
        <w:gridCol w:w="1134"/>
      </w:tblGrid>
      <w:tr>
        <w:tc>
          <w:tcPr>
            <w:tcW w:w="1134" w:type="dxa"/>
          </w:tcPr>
          <w:p>
            <w:pPr>
              <w:pStyle w:val="0"/>
              <w:jc w:val="center"/>
            </w:pPr>
            <w:r>
              <w:rPr>
                <w:sz w:val="20"/>
              </w:rPr>
              <w:t xml:space="preserve">ВМП</w:t>
            </w:r>
          </w:p>
        </w:tc>
        <w:tc>
          <w:tcPr>
            <w:tcW w:w="3402" w:type="dxa"/>
          </w:tcPr>
          <w:p>
            <w:pPr>
              <w:pStyle w:val="0"/>
              <w:jc w:val="center"/>
            </w:pPr>
            <w:r>
              <w:rPr>
                <w:sz w:val="20"/>
              </w:rPr>
              <w:t xml:space="preserve">Профиль</w:t>
            </w:r>
          </w:p>
        </w:tc>
        <w:tc>
          <w:tcPr>
            <w:tcW w:w="1134" w:type="dxa"/>
          </w:tcPr>
          <w:p>
            <w:pPr>
              <w:pStyle w:val="0"/>
              <w:jc w:val="center"/>
            </w:pPr>
            <w:r>
              <w:rPr>
                <w:sz w:val="20"/>
              </w:rPr>
              <w:t xml:space="preserve">2019</w:t>
            </w:r>
          </w:p>
        </w:tc>
        <w:tc>
          <w:tcPr>
            <w:tcW w:w="1134" w:type="dxa"/>
          </w:tcPr>
          <w:p>
            <w:pPr>
              <w:pStyle w:val="0"/>
              <w:jc w:val="center"/>
            </w:pPr>
            <w:r>
              <w:rPr>
                <w:sz w:val="20"/>
              </w:rPr>
              <w:t xml:space="preserve">2020</w:t>
            </w:r>
          </w:p>
        </w:tc>
        <w:tc>
          <w:tcPr>
            <w:tcW w:w="1134" w:type="dxa"/>
          </w:tcPr>
          <w:p>
            <w:pPr>
              <w:pStyle w:val="0"/>
              <w:jc w:val="center"/>
            </w:pPr>
            <w:r>
              <w:rPr>
                <w:sz w:val="20"/>
              </w:rPr>
              <w:t xml:space="preserve">2021</w:t>
            </w:r>
          </w:p>
        </w:tc>
        <w:tc>
          <w:tcPr>
            <w:tcW w:w="1134" w:type="dxa"/>
          </w:tcPr>
          <w:p>
            <w:pPr>
              <w:pStyle w:val="0"/>
              <w:jc w:val="center"/>
            </w:pPr>
            <w:r>
              <w:rPr>
                <w:sz w:val="20"/>
              </w:rPr>
              <w:t xml:space="preserve">2022</w:t>
            </w:r>
          </w:p>
        </w:tc>
      </w:tr>
      <w:tr>
        <w:tc>
          <w:tcPr>
            <w:tcW w:w="1134" w:type="dxa"/>
          </w:tcPr>
          <w:p>
            <w:pPr>
              <w:pStyle w:val="0"/>
              <w:jc w:val="both"/>
            </w:pPr>
            <w:r>
              <w:rPr>
                <w:sz w:val="20"/>
              </w:rPr>
              <w:t xml:space="preserve">ВМП 2</w:t>
            </w:r>
          </w:p>
        </w:tc>
        <w:tc>
          <w:tcPr>
            <w:tcW w:w="3402" w:type="dxa"/>
          </w:tcPr>
          <w:p>
            <w:pPr>
              <w:pStyle w:val="0"/>
              <w:jc w:val="both"/>
            </w:pPr>
            <w:r>
              <w:rPr>
                <w:sz w:val="20"/>
              </w:rPr>
              <w:t xml:space="preserve">Сердечно-сосудистая хирургия</w:t>
            </w:r>
          </w:p>
        </w:tc>
        <w:tc>
          <w:tcPr>
            <w:tcW w:w="1134" w:type="dxa"/>
          </w:tcPr>
          <w:p>
            <w:pPr>
              <w:pStyle w:val="0"/>
              <w:jc w:val="center"/>
            </w:pPr>
            <w:r>
              <w:rPr>
                <w:sz w:val="20"/>
              </w:rPr>
              <w:t xml:space="preserve">258</w:t>
            </w:r>
          </w:p>
        </w:tc>
        <w:tc>
          <w:tcPr>
            <w:tcW w:w="1134" w:type="dxa"/>
          </w:tcPr>
          <w:p>
            <w:pPr>
              <w:pStyle w:val="0"/>
              <w:jc w:val="center"/>
            </w:pPr>
            <w:r>
              <w:rPr>
                <w:sz w:val="20"/>
              </w:rPr>
              <w:t xml:space="preserve">211</w:t>
            </w:r>
          </w:p>
        </w:tc>
        <w:tc>
          <w:tcPr>
            <w:tcW w:w="1134" w:type="dxa"/>
          </w:tcPr>
          <w:p>
            <w:pPr>
              <w:pStyle w:val="0"/>
              <w:jc w:val="center"/>
            </w:pPr>
            <w:r>
              <w:rPr>
                <w:sz w:val="20"/>
              </w:rPr>
              <w:t xml:space="preserve">270</w:t>
            </w:r>
          </w:p>
        </w:tc>
        <w:tc>
          <w:tcPr>
            <w:tcW w:w="1134" w:type="dxa"/>
          </w:tcPr>
          <w:p>
            <w:pPr>
              <w:pStyle w:val="0"/>
              <w:jc w:val="center"/>
            </w:pPr>
            <w:r>
              <w:rPr>
                <w:sz w:val="20"/>
              </w:rPr>
              <w:t xml:space="preserve">216</w:t>
            </w:r>
          </w:p>
        </w:tc>
      </w:tr>
      <w:tr>
        <w:tc>
          <w:tcPr>
            <w:tcW w:w="1134" w:type="dxa"/>
          </w:tcPr>
          <w:p>
            <w:pPr>
              <w:pStyle w:val="0"/>
              <w:jc w:val="both"/>
            </w:pPr>
            <w:r>
              <w:rPr>
                <w:sz w:val="20"/>
              </w:rPr>
              <w:t xml:space="preserve">ВМП 2</w:t>
            </w:r>
          </w:p>
        </w:tc>
        <w:tc>
          <w:tcPr>
            <w:tcW w:w="3402" w:type="dxa"/>
          </w:tcPr>
          <w:p>
            <w:pPr>
              <w:pStyle w:val="0"/>
              <w:jc w:val="both"/>
            </w:pPr>
            <w:r>
              <w:rPr>
                <w:sz w:val="20"/>
              </w:rPr>
              <w:t xml:space="preserve">Нейрохирургия</w:t>
            </w:r>
          </w:p>
        </w:tc>
        <w:tc>
          <w:tcPr>
            <w:tcW w:w="1134" w:type="dxa"/>
          </w:tcPr>
          <w:p>
            <w:pPr>
              <w:pStyle w:val="0"/>
              <w:jc w:val="center"/>
            </w:pPr>
            <w:r>
              <w:rPr>
                <w:sz w:val="20"/>
              </w:rPr>
              <w:t xml:space="preserve">76</w:t>
            </w:r>
          </w:p>
        </w:tc>
        <w:tc>
          <w:tcPr>
            <w:tcW w:w="1134" w:type="dxa"/>
          </w:tcPr>
          <w:p>
            <w:pPr>
              <w:pStyle w:val="0"/>
              <w:jc w:val="center"/>
            </w:pPr>
            <w:r>
              <w:rPr>
                <w:sz w:val="20"/>
              </w:rPr>
              <w:t xml:space="preserve">126</w:t>
            </w:r>
          </w:p>
        </w:tc>
        <w:tc>
          <w:tcPr>
            <w:tcW w:w="1134" w:type="dxa"/>
          </w:tcPr>
          <w:p>
            <w:pPr>
              <w:pStyle w:val="0"/>
              <w:jc w:val="center"/>
            </w:pPr>
            <w:r>
              <w:rPr>
                <w:sz w:val="20"/>
              </w:rPr>
              <w:t xml:space="preserve">111</w:t>
            </w:r>
          </w:p>
        </w:tc>
        <w:tc>
          <w:tcPr>
            <w:tcW w:w="1134" w:type="dxa"/>
          </w:tcPr>
          <w:p>
            <w:pPr>
              <w:pStyle w:val="0"/>
              <w:jc w:val="center"/>
            </w:pPr>
            <w:r>
              <w:rPr>
                <w:sz w:val="20"/>
              </w:rPr>
              <w:t xml:space="preserve">123</w:t>
            </w:r>
          </w:p>
        </w:tc>
      </w:tr>
      <w:tr>
        <w:tc>
          <w:tcPr>
            <w:tcW w:w="1134" w:type="dxa"/>
          </w:tcPr>
          <w:p>
            <w:pPr>
              <w:pStyle w:val="0"/>
              <w:jc w:val="both"/>
            </w:pPr>
            <w:r>
              <w:rPr>
                <w:sz w:val="20"/>
              </w:rPr>
              <w:t xml:space="preserve">ВМП 2</w:t>
            </w:r>
          </w:p>
        </w:tc>
        <w:tc>
          <w:tcPr>
            <w:tcW w:w="3402" w:type="dxa"/>
          </w:tcPr>
          <w:p>
            <w:pPr>
              <w:pStyle w:val="0"/>
              <w:jc w:val="both"/>
            </w:pPr>
            <w:r>
              <w:rPr>
                <w:sz w:val="20"/>
              </w:rPr>
              <w:t xml:space="preserve">Травматология и ортопедия</w:t>
            </w:r>
          </w:p>
        </w:tc>
        <w:tc>
          <w:tcPr>
            <w:tcW w:w="1134" w:type="dxa"/>
          </w:tcPr>
          <w:p>
            <w:pPr>
              <w:pStyle w:val="0"/>
              <w:jc w:val="center"/>
            </w:pPr>
            <w:r>
              <w:rPr>
                <w:sz w:val="20"/>
              </w:rPr>
              <w:t xml:space="preserve">273</w:t>
            </w:r>
          </w:p>
        </w:tc>
        <w:tc>
          <w:tcPr>
            <w:tcW w:w="1134" w:type="dxa"/>
          </w:tcPr>
          <w:p>
            <w:pPr>
              <w:pStyle w:val="0"/>
              <w:jc w:val="center"/>
            </w:pPr>
            <w:r>
              <w:rPr>
                <w:sz w:val="20"/>
              </w:rPr>
              <w:t xml:space="preserve">227</w:t>
            </w:r>
          </w:p>
        </w:tc>
        <w:tc>
          <w:tcPr>
            <w:tcW w:w="1134" w:type="dxa"/>
          </w:tcPr>
          <w:p>
            <w:pPr>
              <w:pStyle w:val="0"/>
              <w:jc w:val="center"/>
            </w:pPr>
            <w:r>
              <w:rPr>
                <w:sz w:val="20"/>
              </w:rPr>
              <w:t xml:space="preserve">275</w:t>
            </w:r>
          </w:p>
        </w:tc>
        <w:tc>
          <w:tcPr>
            <w:tcW w:w="1134" w:type="dxa"/>
          </w:tcPr>
          <w:p>
            <w:pPr>
              <w:pStyle w:val="0"/>
              <w:jc w:val="center"/>
            </w:pPr>
            <w:r>
              <w:rPr>
                <w:sz w:val="20"/>
              </w:rPr>
              <w:t xml:space="preserve">304</w:t>
            </w:r>
          </w:p>
        </w:tc>
      </w:tr>
      <w:tr>
        <w:tc>
          <w:tcPr>
            <w:tcW w:w="1134" w:type="dxa"/>
          </w:tcPr>
          <w:p>
            <w:pPr>
              <w:pStyle w:val="0"/>
              <w:jc w:val="both"/>
            </w:pPr>
            <w:r>
              <w:rPr>
                <w:sz w:val="20"/>
              </w:rPr>
              <w:t xml:space="preserve">ВМП 1</w:t>
            </w:r>
          </w:p>
        </w:tc>
        <w:tc>
          <w:tcPr>
            <w:tcW w:w="3402" w:type="dxa"/>
          </w:tcPr>
          <w:p>
            <w:pPr>
              <w:pStyle w:val="0"/>
              <w:jc w:val="both"/>
            </w:pPr>
            <w:r>
              <w:rPr>
                <w:sz w:val="20"/>
              </w:rPr>
              <w:t xml:space="preserve">Сердечно-сосудистая хирургия</w:t>
            </w:r>
          </w:p>
        </w:tc>
        <w:tc>
          <w:tcPr>
            <w:tcW w:w="1134" w:type="dxa"/>
          </w:tcPr>
          <w:p>
            <w:pPr>
              <w:pStyle w:val="0"/>
              <w:jc w:val="center"/>
            </w:pPr>
            <w:r>
              <w:rPr>
                <w:sz w:val="20"/>
              </w:rPr>
              <w:t xml:space="preserve">830</w:t>
            </w:r>
          </w:p>
        </w:tc>
        <w:tc>
          <w:tcPr>
            <w:tcW w:w="1134" w:type="dxa"/>
          </w:tcPr>
          <w:p>
            <w:pPr>
              <w:pStyle w:val="0"/>
              <w:jc w:val="center"/>
            </w:pPr>
            <w:r>
              <w:rPr>
                <w:sz w:val="20"/>
              </w:rPr>
              <w:t xml:space="preserve">674</w:t>
            </w:r>
          </w:p>
        </w:tc>
        <w:tc>
          <w:tcPr>
            <w:tcW w:w="1134" w:type="dxa"/>
          </w:tcPr>
          <w:p>
            <w:pPr>
              <w:pStyle w:val="0"/>
              <w:jc w:val="center"/>
            </w:pPr>
            <w:r>
              <w:rPr>
                <w:sz w:val="20"/>
              </w:rPr>
              <w:t xml:space="preserve">432</w:t>
            </w:r>
          </w:p>
        </w:tc>
        <w:tc>
          <w:tcPr>
            <w:tcW w:w="1134" w:type="dxa"/>
          </w:tcPr>
          <w:p>
            <w:pPr>
              <w:pStyle w:val="0"/>
              <w:jc w:val="center"/>
            </w:pPr>
            <w:r>
              <w:rPr>
                <w:sz w:val="20"/>
              </w:rPr>
              <w:t xml:space="preserve">771</w:t>
            </w:r>
          </w:p>
        </w:tc>
      </w:tr>
      <w:tr>
        <w:tc>
          <w:tcPr>
            <w:tcW w:w="1134" w:type="dxa"/>
          </w:tcPr>
          <w:p>
            <w:pPr>
              <w:pStyle w:val="0"/>
              <w:jc w:val="both"/>
            </w:pPr>
            <w:r>
              <w:rPr>
                <w:sz w:val="20"/>
              </w:rPr>
              <w:t xml:space="preserve">ВМП 1</w:t>
            </w:r>
          </w:p>
        </w:tc>
        <w:tc>
          <w:tcPr>
            <w:tcW w:w="3402" w:type="dxa"/>
          </w:tcPr>
          <w:p>
            <w:pPr>
              <w:pStyle w:val="0"/>
              <w:jc w:val="both"/>
            </w:pPr>
            <w:r>
              <w:rPr>
                <w:sz w:val="20"/>
              </w:rPr>
              <w:t xml:space="preserve">Травматология и ортопедия</w:t>
            </w:r>
          </w:p>
        </w:tc>
        <w:tc>
          <w:tcPr>
            <w:tcW w:w="1134" w:type="dxa"/>
          </w:tcPr>
          <w:p>
            <w:pPr>
              <w:pStyle w:val="0"/>
              <w:jc w:val="center"/>
            </w:pPr>
            <w:r>
              <w:rPr>
                <w:sz w:val="20"/>
              </w:rPr>
              <w:t xml:space="preserve">391</w:t>
            </w:r>
          </w:p>
        </w:tc>
        <w:tc>
          <w:tcPr>
            <w:tcW w:w="1134" w:type="dxa"/>
          </w:tcPr>
          <w:p>
            <w:pPr>
              <w:pStyle w:val="0"/>
              <w:jc w:val="center"/>
            </w:pPr>
            <w:r>
              <w:rPr>
                <w:sz w:val="20"/>
              </w:rPr>
              <w:t xml:space="preserve">202</w:t>
            </w:r>
          </w:p>
        </w:tc>
        <w:tc>
          <w:tcPr>
            <w:tcW w:w="1134" w:type="dxa"/>
          </w:tcPr>
          <w:p>
            <w:pPr>
              <w:pStyle w:val="0"/>
              <w:jc w:val="center"/>
            </w:pPr>
            <w:r>
              <w:rPr>
                <w:sz w:val="20"/>
              </w:rPr>
              <w:t xml:space="preserve">384</w:t>
            </w:r>
          </w:p>
        </w:tc>
        <w:tc>
          <w:tcPr>
            <w:tcW w:w="1134" w:type="dxa"/>
          </w:tcPr>
          <w:p>
            <w:pPr>
              <w:pStyle w:val="0"/>
              <w:jc w:val="center"/>
            </w:pPr>
            <w:r>
              <w:rPr>
                <w:sz w:val="20"/>
              </w:rPr>
              <w:t xml:space="preserve">451</w:t>
            </w:r>
          </w:p>
        </w:tc>
      </w:tr>
      <w:tr>
        <w:tc>
          <w:tcPr>
            <w:tcW w:w="1134" w:type="dxa"/>
          </w:tcPr>
          <w:p>
            <w:pPr>
              <w:pStyle w:val="0"/>
              <w:jc w:val="both"/>
            </w:pPr>
            <w:r>
              <w:rPr>
                <w:sz w:val="20"/>
              </w:rPr>
              <w:t xml:space="preserve">ВМП 1</w:t>
            </w:r>
          </w:p>
        </w:tc>
        <w:tc>
          <w:tcPr>
            <w:tcW w:w="3402" w:type="dxa"/>
          </w:tcPr>
          <w:p>
            <w:pPr>
              <w:pStyle w:val="0"/>
              <w:jc w:val="both"/>
            </w:pPr>
            <w:r>
              <w:rPr>
                <w:sz w:val="20"/>
              </w:rPr>
              <w:t xml:space="preserve">Нейрохирургия</w:t>
            </w:r>
          </w:p>
        </w:tc>
        <w:tc>
          <w:tcPr>
            <w:tcW w:w="1134" w:type="dxa"/>
          </w:tcPr>
          <w:p>
            <w:pPr>
              <w:pStyle w:val="0"/>
              <w:jc w:val="center"/>
            </w:pPr>
            <w:r>
              <w:rPr>
                <w:sz w:val="20"/>
              </w:rPr>
              <w:t xml:space="preserve">112</w:t>
            </w:r>
          </w:p>
        </w:tc>
        <w:tc>
          <w:tcPr>
            <w:tcW w:w="1134" w:type="dxa"/>
          </w:tcPr>
          <w:p>
            <w:pPr>
              <w:pStyle w:val="0"/>
              <w:jc w:val="center"/>
            </w:pPr>
            <w:r>
              <w:rPr>
                <w:sz w:val="20"/>
              </w:rPr>
              <w:t xml:space="preserve">75</w:t>
            </w:r>
          </w:p>
        </w:tc>
        <w:tc>
          <w:tcPr>
            <w:tcW w:w="1134" w:type="dxa"/>
          </w:tcPr>
          <w:p>
            <w:pPr>
              <w:pStyle w:val="0"/>
              <w:jc w:val="center"/>
            </w:pPr>
            <w:r>
              <w:rPr>
                <w:sz w:val="20"/>
              </w:rPr>
              <w:t xml:space="preserve">89</w:t>
            </w:r>
          </w:p>
        </w:tc>
        <w:tc>
          <w:tcPr>
            <w:tcW w:w="1134" w:type="dxa"/>
          </w:tcPr>
          <w:p>
            <w:pPr>
              <w:pStyle w:val="0"/>
              <w:jc w:val="center"/>
            </w:pPr>
            <w:r>
              <w:rPr>
                <w:sz w:val="20"/>
              </w:rPr>
              <w:t xml:space="preserve">76</w:t>
            </w:r>
          </w:p>
        </w:tc>
      </w:tr>
      <w:tr>
        <w:tc>
          <w:tcPr>
            <w:tcW w:w="1134" w:type="dxa"/>
          </w:tcPr>
          <w:p>
            <w:pPr>
              <w:pStyle w:val="0"/>
              <w:jc w:val="both"/>
            </w:pPr>
            <w:r>
              <w:rPr>
                <w:sz w:val="20"/>
              </w:rPr>
              <w:t xml:space="preserve">ВСЕГО</w:t>
            </w:r>
          </w:p>
        </w:tc>
        <w:tc>
          <w:tcPr>
            <w:tcW w:w="3402" w:type="dxa"/>
          </w:tcPr>
          <w:p>
            <w:pPr>
              <w:pStyle w:val="0"/>
              <w:jc w:val="both"/>
            </w:pPr>
            <w:r>
              <w:rPr>
                <w:sz w:val="20"/>
              </w:rPr>
            </w:r>
          </w:p>
        </w:tc>
        <w:tc>
          <w:tcPr>
            <w:tcW w:w="1134" w:type="dxa"/>
          </w:tcPr>
          <w:p>
            <w:pPr>
              <w:pStyle w:val="0"/>
              <w:jc w:val="center"/>
            </w:pPr>
            <w:r>
              <w:rPr>
                <w:sz w:val="20"/>
              </w:rPr>
              <w:t xml:space="preserve">1940</w:t>
            </w:r>
          </w:p>
        </w:tc>
        <w:tc>
          <w:tcPr>
            <w:tcW w:w="1134" w:type="dxa"/>
          </w:tcPr>
          <w:p>
            <w:pPr>
              <w:pStyle w:val="0"/>
              <w:jc w:val="center"/>
            </w:pPr>
            <w:r>
              <w:rPr>
                <w:sz w:val="20"/>
              </w:rPr>
              <w:t xml:space="preserve">1515</w:t>
            </w:r>
          </w:p>
        </w:tc>
        <w:tc>
          <w:tcPr>
            <w:tcW w:w="1134" w:type="dxa"/>
          </w:tcPr>
          <w:p>
            <w:pPr>
              <w:pStyle w:val="0"/>
              <w:jc w:val="center"/>
            </w:pPr>
            <w:r>
              <w:rPr>
                <w:sz w:val="20"/>
              </w:rPr>
              <w:t xml:space="preserve">1561</w:t>
            </w:r>
          </w:p>
        </w:tc>
        <w:tc>
          <w:tcPr>
            <w:tcW w:w="1134" w:type="dxa"/>
          </w:tcPr>
          <w:p>
            <w:pPr>
              <w:pStyle w:val="0"/>
              <w:jc w:val="center"/>
            </w:pPr>
            <w:r>
              <w:rPr>
                <w:sz w:val="20"/>
              </w:rPr>
              <w:t xml:space="preserve">1941</w:t>
            </w:r>
          </w:p>
        </w:tc>
      </w:tr>
    </w:tbl>
    <w:p>
      <w:pPr>
        <w:pStyle w:val="0"/>
        <w:ind w:firstLine="540"/>
        <w:jc w:val="both"/>
      </w:pPr>
      <w:r>
        <w:rPr>
          <w:sz w:val="20"/>
        </w:rPr>
      </w:r>
    </w:p>
    <w:p>
      <w:pPr>
        <w:pStyle w:val="0"/>
        <w:ind w:firstLine="540"/>
        <w:jc w:val="both"/>
      </w:pPr>
      <w:r>
        <w:rPr>
          <w:sz w:val="20"/>
        </w:rPr>
        <w:t xml:space="preserve">Все пациенты, получившие ВМП, нуждаются в медицинской реабилитации по соответствующему профилю.</w:t>
      </w:r>
    </w:p>
    <w:p>
      <w:pPr>
        <w:pStyle w:val="0"/>
        <w:spacing w:before="200" w:line-rule="auto"/>
        <w:ind w:firstLine="540"/>
        <w:jc w:val="both"/>
      </w:pPr>
      <w:r>
        <w:rPr>
          <w:sz w:val="20"/>
        </w:rPr>
        <w:t xml:space="preserve">Основные мероприятия по организации службы медицинской реабилитации, в том числе открытие и оснащение отделений реабилитации пациентов после ОИМ и ОНМК, указаны в разрабатываемой программе "Оптимальная для восстановления здоровья медицинская реабилитация", запланированной к утверждению в течение 2022 - 2025 годах.</w:t>
      </w:r>
    </w:p>
    <w:p>
      <w:pPr>
        <w:pStyle w:val="0"/>
        <w:ind w:firstLine="540"/>
        <w:jc w:val="both"/>
      </w:pPr>
      <w:r>
        <w:rPr>
          <w:sz w:val="20"/>
        </w:rPr>
      </w:r>
    </w:p>
    <w:p>
      <w:pPr>
        <w:pStyle w:val="0"/>
        <w:jc w:val="center"/>
      </w:pPr>
      <w:r>
        <w:rPr>
          <w:sz w:val="20"/>
        </w:rPr>
        <w:t xml:space="preserve">Мероприятия по формированию здорового образа жизни</w:t>
      </w:r>
    </w:p>
    <w:p>
      <w:pPr>
        <w:pStyle w:val="0"/>
        <w:jc w:val="center"/>
      </w:pPr>
      <w:r>
        <w:rPr>
          <w:sz w:val="20"/>
        </w:rPr>
        <w:t xml:space="preserve">и профилактике неинфекционных заболеваний в 2022 году</w:t>
      </w:r>
    </w:p>
    <w:p>
      <w:pPr>
        <w:pStyle w:val="0"/>
        <w:jc w:val="center"/>
      </w:pPr>
      <w:r>
        <w:rPr>
          <w:sz w:val="20"/>
        </w:rPr>
        <w:t xml:space="preserve">в популяции субъекта Российской Федерации -</w:t>
      </w:r>
    </w:p>
    <w:p>
      <w:pPr>
        <w:pStyle w:val="0"/>
        <w:jc w:val="center"/>
      </w:pPr>
      <w:r>
        <w:rPr>
          <w:sz w:val="20"/>
        </w:rPr>
        <w:t xml:space="preserve">городе Севастополе</w:t>
      </w:r>
    </w:p>
    <w:p>
      <w:pPr>
        <w:pStyle w:val="0"/>
        <w:ind w:firstLine="540"/>
        <w:jc w:val="both"/>
      </w:pPr>
      <w:r>
        <w:rPr>
          <w:sz w:val="20"/>
        </w:rPr>
      </w:r>
    </w:p>
    <w:p>
      <w:pPr>
        <w:pStyle w:val="2"/>
        <w:outlineLvl w:val="3"/>
        <w:jc w:val="center"/>
      </w:pPr>
      <w:r>
        <w:rPr>
          <w:sz w:val="20"/>
        </w:rPr>
        <w:t xml:space="preserve">4.7. Формирование здорового образа жизни и профилактика</w:t>
      </w:r>
    </w:p>
    <w:p>
      <w:pPr>
        <w:pStyle w:val="2"/>
        <w:jc w:val="center"/>
      </w:pPr>
      <w:r>
        <w:rPr>
          <w:sz w:val="20"/>
        </w:rPr>
        <w:t xml:space="preserve">неинфекционных заболеваний в популяции</w:t>
      </w:r>
    </w:p>
    <w:p>
      <w:pPr>
        <w:pStyle w:val="0"/>
        <w:jc w:val="center"/>
      </w:pPr>
      <w:r>
        <w:rPr>
          <w:sz w:val="20"/>
        </w:rPr>
      </w:r>
    </w:p>
    <w:p>
      <w:pPr>
        <w:pStyle w:val="0"/>
        <w:ind w:firstLine="540"/>
        <w:jc w:val="both"/>
      </w:pPr>
      <w:r>
        <w:rPr>
          <w:sz w:val="20"/>
        </w:rPr>
        <w:t xml:space="preserve">С 2021 г. в рамках реализации проекта на базе структурного подразделения Государственного бюджетного учреждения здравоохранения Севастополя "Медицинский информационно-аналитический центр" (далее - ГБУЗС "МИАЦ") функционирует "Центр общественного здоровья и медицинской профилактики" (далее - ЦОЗиМП). С марта 2021 г. между ЦОЗиМП и внутригородскими муниципальными образованиями города Севастополя заключены соглашения о сотрудничестве в части внедрения утвержденных в них муниципальных программ/подпрограмм "Формирование системы мотивации граждан к здоровому образу жизни, включая здоровое питание и отказ от вредных привычек":</w:t>
      </w:r>
    </w:p>
    <w:p>
      <w:pPr>
        <w:pStyle w:val="0"/>
        <w:spacing w:before="200" w:line-rule="auto"/>
        <w:ind w:firstLine="540"/>
        <w:jc w:val="both"/>
      </w:pPr>
      <w:r>
        <w:rPr>
          <w:sz w:val="20"/>
        </w:rPr>
        <w:t xml:space="preserve">- город Инкерман;</w:t>
      </w:r>
    </w:p>
    <w:p>
      <w:pPr>
        <w:pStyle w:val="0"/>
        <w:spacing w:before="200" w:line-rule="auto"/>
        <w:ind w:firstLine="540"/>
        <w:jc w:val="both"/>
      </w:pPr>
      <w:r>
        <w:rPr>
          <w:sz w:val="20"/>
        </w:rPr>
        <w:t xml:space="preserve">- Качинский муниципальный округ;</w:t>
      </w:r>
    </w:p>
    <w:p>
      <w:pPr>
        <w:pStyle w:val="0"/>
        <w:spacing w:before="200" w:line-rule="auto"/>
        <w:ind w:firstLine="540"/>
        <w:jc w:val="both"/>
      </w:pPr>
      <w:r>
        <w:rPr>
          <w:sz w:val="20"/>
        </w:rPr>
        <w:t xml:space="preserve">- Андреевский муниципальный округ;</w:t>
      </w:r>
    </w:p>
    <w:p>
      <w:pPr>
        <w:pStyle w:val="0"/>
        <w:spacing w:before="200" w:line-rule="auto"/>
        <w:ind w:firstLine="540"/>
        <w:jc w:val="both"/>
      </w:pPr>
      <w:r>
        <w:rPr>
          <w:sz w:val="20"/>
        </w:rPr>
        <w:t xml:space="preserve">- Верхнесадовский муниципальный округ;</w:t>
      </w:r>
    </w:p>
    <w:p>
      <w:pPr>
        <w:pStyle w:val="0"/>
        <w:spacing w:before="200" w:line-rule="auto"/>
        <w:ind w:firstLine="540"/>
        <w:jc w:val="both"/>
      </w:pPr>
      <w:r>
        <w:rPr>
          <w:sz w:val="20"/>
        </w:rPr>
        <w:t xml:space="preserve">- Ленинский муниципальный округ;</w:t>
      </w:r>
    </w:p>
    <w:p>
      <w:pPr>
        <w:pStyle w:val="0"/>
        <w:spacing w:before="200" w:line-rule="auto"/>
        <w:ind w:firstLine="540"/>
        <w:jc w:val="both"/>
      </w:pPr>
      <w:r>
        <w:rPr>
          <w:sz w:val="20"/>
        </w:rPr>
        <w:t xml:space="preserve">- Гагаринский муниципальный округ.</w:t>
      </w:r>
    </w:p>
    <w:p>
      <w:pPr>
        <w:pStyle w:val="0"/>
        <w:spacing w:before="200" w:line-rule="auto"/>
        <w:ind w:firstLine="540"/>
        <w:jc w:val="both"/>
      </w:pPr>
      <w:r>
        <w:rPr>
          <w:sz w:val="20"/>
        </w:rPr>
        <w:t xml:space="preserve">Итого в реализации программ укрепления общественного здоровья к 30.12.2022 задействовано 60% муниципальных образований города.</w:t>
      </w:r>
    </w:p>
    <w:p>
      <w:pPr>
        <w:pStyle w:val="0"/>
        <w:spacing w:before="200" w:line-rule="auto"/>
        <w:ind w:firstLine="540"/>
        <w:jc w:val="both"/>
      </w:pPr>
      <w:r>
        <w:rPr>
          <w:sz w:val="20"/>
        </w:rPr>
        <w:t xml:space="preserve">В рамках внедрения корпоративных программ "Укрепление здоровья работающих" за 2021 год ЦОЗиМП заключил соглашения о сотрудничестве с двумя хозяйствующими субъектами: ГБУЗС "МИАЦ" и ООО "НЕ", ведутся переговоры о внедрении данных программ в других хозяйствующих субъектах города Севастополя.</w:t>
      </w:r>
    </w:p>
    <w:p>
      <w:pPr>
        <w:pStyle w:val="0"/>
        <w:spacing w:before="200" w:line-rule="auto"/>
        <w:ind w:firstLine="540"/>
        <w:jc w:val="both"/>
      </w:pPr>
      <w:r>
        <w:rPr>
          <w:sz w:val="20"/>
        </w:rPr>
        <w:t xml:space="preserve">Силами ЦОЗиМП также проводится масштабная работа по пропаганде здорового образа жизни и профилактике хронических неинфекционных заболеваний.</w:t>
      </w:r>
    </w:p>
    <w:p>
      <w:pPr>
        <w:pStyle w:val="0"/>
        <w:spacing w:before="200" w:line-rule="auto"/>
        <w:ind w:firstLine="540"/>
        <w:jc w:val="both"/>
      </w:pPr>
      <w:r>
        <w:rPr>
          <w:sz w:val="20"/>
        </w:rPr>
        <w:t xml:space="preserve">В течение 2022 года было проведено 109 лекций и занятий с числом слушателей 3143 человека, 105 конференций с числом участников 4351 чел., выпущено 69 видов печатной продукции в количестве 30460 экз., 178 статей в печатных СМИ и социальных сетях с охватом в 32893 просмотра, выпущено 73 сюжета на региональном телевидении.</w:t>
      </w:r>
    </w:p>
    <w:p>
      <w:pPr>
        <w:pStyle w:val="0"/>
        <w:ind w:firstLine="540"/>
        <w:jc w:val="both"/>
      </w:pPr>
      <w:r>
        <w:rPr>
          <w:sz w:val="20"/>
        </w:rPr>
      </w:r>
    </w:p>
    <w:p>
      <w:pPr>
        <w:pStyle w:val="2"/>
        <w:outlineLvl w:val="3"/>
        <w:jc w:val="center"/>
      </w:pPr>
      <w:r>
        <w:rPr>
          <w:sz w:val="20"/>
        </w:rPr>
        <w:t xml:space="preserve">4.8. Выводы</w:t>
      </w:r>
    </w:p>
    <w:p>
      <w:pPr>
        <w:pStyle w:val="0"/>
        <w:ind w:firstLine="540"/>
        <w:jc w:val="both"/>
      </w:pPr>
      <w:r>
        <w:rPr>
          <w:sz w:val="20"/>
        </w:rPr>
      </w:r>
    </w:p>
    <w:p>
      <w:pPr>
        <w:pStyle w:val="0"/>
        <w:ind w:firstLine="540"/>
        <w:jc w:val="both"/>
      </w:pPr>
      <w:r>
        <w:rPr>
          <w:sz w:val="20"/>
        </w:rPr>
        <w:t xml:space="preserve">1. Общая ситуация с оказанием медицинской помощи больным с ССЗ: организована трехуровневая система оказания медицинской помощи при БСК; в 2016 году открыт РСЦ на базе ГБУЗС "Городская больница N 1 им. Н.И. Пирогова"; разработана и внедрена маршрутизация больных с ССЗ; разработан и утвержден региональный закон о лекарственном обеспечении больных после ИМ на протяжении 12 месяцев и более; высокий процент ЧКВ при ОКС и высокий процент тромболизиса при ОНМК.</w:t>
      </w:r>
    </w:p>
    <w:p>
      <w:pPr>
        <w:pStyle w:val="0"/>
        <w:spacing w:before="200" w:line-rule="auto"/>
        <w:ind w:firstLine="540"/>
        <w:jc w:val="both"/>
      </w:pPr>
      <w:r>
        <w:rPr>
          <w:sz w:val="20"/>
        </w:rPr>
        <w:t xml:space="preserve">2. Проблемы: недостаточный объем диспансерного наблюдения группы больных с БСК (контроль холестерина ЛПНП, контроль АД); недостаточная профилактическая работа (отсутствие кабинетов отказа от курения, отсутствие школ здоровья); отсутствие регистра больных с ССЗ; низкая укомплектованность первичного звена здравоохранения врачами-терапевтами, ВОП и кардиологами; дефицит коечного фонда по профилям "кардиология", "неврология" и "терапия"; планируемое в перспективе снижение коечного фонда за счет предстоящих капитальных ремонтов МО; нехватка оборудования в амбулаторно-поликлиническом звене; недостаточное количество бригад СМП; рост числа вызовов СМП на купирование; отсутствие второго этапа реабилитации в медицинских организациях города Севастополя; неэффективная маршрутизация пациентов при проведении мероприятий по медицинской реабилитации; несоответствие штатного расписания РСЦ приказам Министерства здравоохранения Российской Федерации, несоответствие наименований отделений и кабинетов, участвующих в реабилитации пациентов.</w:t>
      </w:r>
    </w:p>
    <w:p>
      <w:pPr>
        <w:pStyle w:val="0"/>
        <w:ind w:firstLine="540"/>
        <w:jc w:val="both"/>
      </w:pPr>
      <w:r>
        <w:rPr>
          <w:sz w:val="20"/>
        </w:rPr>
      </w:r>
    </w:p>
    <w:p>
      <w:pPr>
        <w:pStyle w:val="0"/>
        <w:jc w:val="center"/>
      </w:pPr>
      <w:r>
        <w:rPr>
          <w:sz w:val="20"/>
        </w:rPr>
        <w:t xml:space="preserve">Пути повышения качества оказания помощи</w:t>
      </w:r>
    </w:p>
    <w:p>
      <w:pPr>
        <w:pStyle w:val="0"/>
        <w:jc w:val="center"/>
      </w:pPr>
      <w:r>
        <w:rPr>
          <w:sz w:val="20"/>
        </w:rPr>
        <w:t xml:space="preserve">пациентам с ССЗ:</w:t>
      </w:r>
    </w:p>
    <w:p>
      <w:pPr>
        <w:pStyle w:val="0"/>
        <w:ind w:firstLine="540"/>
        <w:jc w:val="both"/>
      </w:pPr>
      <w:r>
        <w:rPr>
          <w:sz w:val="20"/>
        </w:rPr>
      </w:r>
    </w:p>
    <w:p>
      <w:pPr>
        <w:pStyle w:val="0"/>
        <w:ind w:firstLine="540"/>
        <w:jc w:val="both"/>
      </w:pPr>
      <w:r>
        <w:rPr>
          <w:sz w:val="20"/>
        </w:rPr>
        <w:t xml:space="preserve">I. Амбулаторно-поликлинический этап:</w:t>
      </w:r>
    </w:p>
    <w:p>
      <w:pPr>
        <w:pStyle w:val="0"/>
        <w:spacing w:before="200" w:line-rule="auto"/>
        <w:ind w:firstLine="540"/>
        <w:jc w:val="both"/>
      </w:pPr>
      <w:r>
        <w:rPr>
          <w:sz w:val="20"/>
        </w:rPr>
        <w:t xml:space="preserve">- санпросветработа (радио, ТВ, наглядная агитация);</w:t>
      </w:r>
    </w:p>
    <w:p>
      <w:pPr>
        <w:pStyle w:val="0"/>
        <w:spacing w:before="200" w:line-rule="auto"/>
        <w:ind w:firstLine="540"/>
        <w:jc w:val="both"/>
      </w:pPr>
      <w:r>
        <w:rPr>
          <w:sz w:val="20"/>
        </w:rPr>
        <w:t xml:space="preserve">- борьба с факторами риска;</w:t>
      </w:r>
    </w:p>
    <w:p>
      <w:pPr>
        <w:pStyle w:val="0"/>
        <w:spacing w:before="200" w:line-rule="auto"/>
        <w:ind w:firstLine="540"/>
        <w:jc w:val="both"/>
      </w:pPr>
      <w:r>
        <w:rPr>
          <w:sz w:val="20"/>
        </w:rPr>
        <w:t xml:space="preserve">- создание школ здоровья;</w:t>
      </w:r>
    </w:p>
    <w:p>
      <w:pPr>
        <w:pStyle w:val="0"/>
        <w:spacing w:before="200" w:line-rule="auto"/>
        <w:ind w:firstLine="540"/>
        <w:jc w:val="both"/>
      </w:pPr>
      <w:r>
        <w:rPr>
          <w:sz w:val="20"/>
        </w:rPr>
        <w:t xml:space="preserve">- увеличение количества ставок и физических лиц врачей-кардиологов поликлиник;</w:t>
      </w:r>
    </w:p>
    <w:p>
      <w:pPr>
        <w:pStyle w:val="0"/>
        <w:spacing w:before="200" w:line-rule="auto"/>
        <w:ind w:firstLine="540"/>
        <w:jc w:val="both"/>
      </w:pPr>
      <w:r>
        <w:rPr>
          <w:sz w:val="20"/>
        </w:rPr>
        <w:t xml:space="preserve">- повышение качества диспансеризации;</w:t>
      </w:r>
    </w:p>
    <w:p>
      <w:pPr>
        <w:pStyle w:val="0"/>
        <w:spacing w:before="200" w:line-rule="auto"/>
        <w:ind w:firstLine="540"/>
        <w:jc w:val="both"/>
      </w:pPr>
      <w:r>
        <w:rPr>
          <w:sz w:val="20"/>
        </w:rPr>
        <w:t xml:space="preserve">- повышение диагностических возможностей поликлиник (возможно, путем создания единого амбулаторного диагностического центра);</w:t>
      </w:r>
    </w:p>
    <w:p>
      <w:pPr>
        <w:pStyle w:val="0"/>
        <w:spacing w:before="200" w:line-rule="auto"/>
        <w:ind w:firstLine="540"/>
        <w:jc w:val="both"/>
      </w:pPr>
      <w:r>
        <w:rPr>
          <w:sz w:val="20"/>
        </w:rPr>
        <w:t xml:space="preserve">- создание регистров больных ИБС, ОКС, СН, НСР;</w:t>
      </w:r>
    </w:p>
    <w:p>
      <w:pPr>
        <w:pStyle w:val="0"/>
        <w:spacing w:before="200" w:line-rule="auto"/>
        <w:ind w:firstLine="540"/>
        <w:jc w:val="both"/>
      </w:pPr>
      <w:r>
        <w:rPr>
          <w:sz w:val="20"/>
        </w:rPr>
        <w:t xml:space="preserve">- продолжение льготного обеспечения лекарственными препаратами.</w:t>
      </w:r>
    </w:p>
    <w:p>
      <w:pPr>
        <w:pStyle w:val="0"/>
        <w:spacing w:before="200" w:line-rule="auto"/>
        <w:ind w:firstLine="540"/>
        <w:jc w:val="both"/>
      </w:pPr>
      <w:r>
        <w:rPr>
          <w:sz w:val="20"/>
        </w:rPr>
        <w:t xml:space="preserve">II. Этап СМП:</w:t>
      </w:r>
    </w:p>
    <w:p>
      <w:pPr>
        <w:pStyle w:val="0"/>
        <w:spacing w:before="200" w:line-rule="auto"/>
        <w:ind w:firstLine="540"/>
        <w:jc w:val="both"/>
      </w:pPr>
      <w:r>
        <w:rPr>
          <w:sz w:val="20"/>
        </w:rPr>
        <w:t xml:space="preserve">- увеличение среднесуточного количества бригад до 30 - 32;</w:t>
      </w:r>
    </w:p>
    <w:p>
      <w:pPr>
        <w:pStyle w:val="0"/>
        <w:spacing w:before="200" w:line-rule="auto"/>
        <w:ind w:firstLine="540"/>
        <w:jc w:val="both"/>
      </w:pPr>
      <w:r>
        <w:rPr>
          <w:sz w:val="20"/>
        </w:rPr>
        <w:t xml:space="preserve">- 100% соблюдение маршрутизации больных с ОКС.</w:t>
      </w:r>
    </w:p>
    <w:p>
      <w:pPr>
        <w:pStyle w:val="0"/>
        <w:spacing w:before="200" w:line-rule="auto"/>
        <w:ind w:firstLine="540"/>
        <w:jc w:val="both"/>
      </w:pPr>
      <w:r>
        <w:rPr>
          <w:sz w:val="20"/>
        </w:rPr>
        <w:t xml:space="preserve">III. Стационарный этап:</w:t>
      </w:r>
    </w:p>
    <w:p>
      <w:pPr>
        <w:pStyle w:val="0"/>
        <w:spacing w:before="200" w:line-rule="auto"/>
        <w:ind w:firstLine="540"/>
        <w:jc w:val="both"/>
      </w:pPr>
      <w:r>
        <w:rPr>
          <w:sz w:val="20"/>
        </w:rPr>
        <w:t xml:space="preserve">- дооснащение РСЦ необходимым оборудованием;</w:t>
      </w:r>
    </w:p>
    <w:p>
      <w:pPr>
        <w:pStyle w:val="0"/>
        <w:spacing w:before="200" w:line-rule="auto"/>
        <w:ind w:firstLine="540"/>
        <w:jc w:val="both"/>
      </w:pPr>
      <w:r>
        <w:rPr>
          <w:sz w:val="20"/>
        </w:rPr>
        <w:t xml:space="preserve">- создание на базе приемного отделения дифференциально-диагностического отделения;</w:t>
      </w:r>
    </w:p>
    <w:p>
      <w:pPr>
        <w:pStyle w:val="0"/>
        <w:spacing w:before="200" w:line-rule="auto"/>
        <w:ind w:firstLine="540"/>
        <w:jc w:val="both"/>
      </w:pPr>
      <w:r>
        <w:rPr>
          <w:sz w:val="20"/>
        </w:rPr>
        <w:t xml:space="preserve">- увеличение количества кардиологических коек;</w:t>
      </w:r>
    </w:p>
    <w:p>
      <w:pPr>
        <w:pStyle w:val="0"/>
        <w:spacing w:before="200" w:line-rule="auto"/>
        <w:ind w:firstLine="540"/>
        <w:jc w:val="both"/>
      </w:pPr>
      <w:r>
        <w:rPr>
          <w:sz w:val="20"/>
        </w:rPr>
        <w:t xml:space="preserve">- расширение спектра кардиохирургической помощи.</w:t>
      </w:r>
    </w:p>
    <w:p>
      <w:pPr>
        <w:pStyle w:val="0"/>
        <w:spacing w:before="200" w:line-rule="auto"/>
        <w:ind w:firstLine="540"/>
        <w:jc w:val="both"/>
      </w:pPr>
      <w:r>
        <w:rPr>
          <w:sz w:val="20"/>
        </w:rPr>
        <w:t xml:space="preserve">IV. Реабилитация:</w:t>
      </w:r>
    </w:p>
    <w:p>
      <w:pPr>
        <w:pStyle w:val="0"/>
        <w:spacing w:before="200" w:line-rule="auto"/>
        <w:ind w:firstLine="540"/>
        <w:jc w:val="both"/>
      </w:pPr>
      <w:r>
        <w:rPr>
          <w:sz w:val="20"/>
        </w:rPr>
        <w:t xml:space="preserve">- создание реабилитационного отделения для больных, перенесших острый коронарный синдром, оперативные вмешательства на сердце, а также ОНМК;</w:t>
      </w:r>
    </w:p>
    <w:p>
      <w:pPr>
        <w:pStyle w:val="0"/>
        <w:spacing w:before="200" w:line-rule="auto"/>
        <w:ind w:firstLine="540"/>
        <w:jc w:val="both"/>
      </w:pPr>
      <w:r>
        <w:rPr>
          <w:sz w:val="20"/>
        </w:rPr>
        <w:t xml:space="preserve">- актуализация маршрутизации пациентов для полноценного обеспечения пациентов мероприятиями по медицинской реабилитации;</w:t>
      </w:r>
    </w:p>
    <w:p>
      <w:pPr>
        <w:pStyle w:val="0"/>
        <w:spacing w:before="200" w:line-rule="auto"/>
        <w:ind w:firstLine="540"/>
        <w:jc w:val="both"/>
      </w:pPr>
      <w:r>
        <w:rPr>
          <w:sz w:val="20"/>
        </w:rPr>
        <w:t xml:space="preserve">- возобновление проведения диспансеризации и профилактических медицинских осмотров при нормализации эпидемиологической обстановки.</w:t>
      </w:r>
    </w:p>
    <w:p>
      <w:pPr>
        <w:pStyle w:val="0"/>
        <w:ind w:firstLine="540"/>
        <w:jc w:val="both"/>
      </w:pPr>
      <w:r>
        <w:rPr>
          <w:sz w:val="20"/>
        </w:rPr>
      </w:r>
    </w:p>
    <w:p>
      <w:pPr>
        <w:pStyle w:val="0"/>
        <w:jc w:val="center"/>
      </w:pPr>
      <w:r>
        <w:rPr>
          <w:sz w:val="20"/>
        </w:rPr>
        <w:t xml:space="preserve">Цель, показатели и сроки реализации региональной программы</w:t>
      </w:r>
    </w:p>
    <w:p>
      <w:pPr>
        <w:pStyle w:val="0"/>
        <w:jc w:val="center"/>
      </w:pPr>
      <w:r>
        <w:rPr>
          <w:sz w:val="20"/>
        </w:rPr>
        <w:t xml:space="preserve">по борьбе с ССЗ</w:t>
      </w:r>
    </w:p>
    <w:p>
      <w:pPr>
        <w:pStyle w:val="0"/>
        <w:jc w:val="center"/>
      </w:pPr>
      <w:r>
        <w:rPr>
          <w:sz w:val="20"/>
        </w:rPr>
      </w:r>
    </w:p>
    <w:p>
      <w:pPr>
        <w:pStyle w:val="0"/>
        <w:ind w:firstLine="540"/>
        <w:jc w:val="both"/>
      </w:pPr>
      <w:r>
        <w:rPr>
          <w:sz w:val="20"/>
        </w:rPr>
        <w:t xml:space="preserve">Снижение больничной летальности от ИМ до 10,3% и от ОНМК до 14,6% к 2024 году, увеличение количества рентген-эндоваскулярных вмешательств в лечебных целях до 813 единиц к 2024 году.</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3288"/>
        <w:gridCol w:w="1304"/>
        <w:gridCol w:w="1304"/>
        <w:gridCol w:w="907"/>
        <w:gridCol w:w="907"/>
        <w:gridCol w:w="907"/>
        <w:gridCol w:w="850"/>
        <w:gridCol w:w="907"/>
        <w:gridCol w:w="907"/>
      </w:tblGrid>
      <w:tr>
        <w:tc>
          <w:tcPr>
            <w:tcW w:w="566" w:type="dxa"/>
            <w:vMerge w:val="restart"/>
          </w:tcPr>
          <w:p>
            <w:pPr>
              <w:pStyle w:val="0"/>
              <w:jc w:val="center"/>
            </w:pPr>
            <w:r>
              <w:rPr>
                <w:sz w:val="20"/>
              </w:rPr>
              <w:t xml:space="preserve">N п/п</w:t>
            </w:r>
          </w:p>
        </w:tc>
        <w:tc>
          <w:tcPr>
            <w:tcW w:w="3288" w:type="dxa"/>
            <w:vMerge w:val="restart"/>
          </w:tcPr>
          <w:p>
            <w:pPr>
              <w:pStyle w:val="0"/>
              <w:jc w:val="center"/>
            </w:pPr>
            <w:r>
              <w:rPr>
                <w:sz w:val="20"/>
              </w:rPr>
              <w:t xml:space="preserve">Наименование показателя</w:t>
            </w:r>
          </w:p>
        </w:tc>
        <w:tc>
          <w:tcPr>
            <w:gridSpan w:val="2"/>
            <w:tcW w:w="2608" w:type="dxa"/>
            <w:vMerge w:val="restart"/>
          </w:tcPr>
          <w:p>
            <w:pPr>
              <w:pStyle w:val="0"/>
              <w:jc w:val="center"/>
            </w:pPr>
            <w:r>
              <w:rPr>
                <w:sz w:val="20"/>
              </w:rPr>
              <w:t xml:space="preserve">Базовое значение</w:t>
            </w:r>
          </w:p>
        </w:tc>
        <w:tc>
          <w:tcPr>
            <w:gridSpan w:val="6"/>
            <w:tcW w:w="5385" w:type="dxa"/>
          </w:tcPr>
          <w:p>
            <w:pPr>
              <w:pStyle w:val="0"/>
              <w:jc w:val="center"/>
            </w:pPr>
            <w:r>
              <w:rPr>
                <w:sz w:val="20"/>
              </w:rPr>
              <w:t xml:space="preserve">Период, год</w:t>
            </w:r>
          </w:p>
        </w:tc>
      </w:tr>
      <w:tr>
        <w:tc>
          <w:tcPr>
            <w:vMerge w:val="continue"/>
          </w:tcPr>
          <w:p/>
        </w:tc>
        <w:tc>
          <w:tcPr>
            <w:vMerge w:val="continue"/>
          </w:tcPr>
          <w:p/>
        </w:tc>
        <w:tc>
          <w:tcPr>
            <w:gridSpan w:val="2"/>
            <w:vMerge w:val="continue"/>
          </w:tcPr>
          <w:p/>
        </w:tc>
        <w:tc>
          <w:tcPr>
            <w:tcW w:w="907" w:type="dxa"/>
            <w:vMerge w:val="restart"/>
          </w:tcPr>
          <w:p>
            <w:pPr>
              <w:pStyle w:val="0"/>
              <w:jc w:val="center"/>
            </w:pPr>
            <w:r>
              <w:rPr>
                <w:sz w:val="20"/>
              </w:rPr>
              <w:t xml:space="preserve">2019</w:t>
            </w:r>
          </w:p>
        </w:tc>
        <w:tc>
          <w:tcPr>
            <w:tcW w:w="907" w:type="dxa"/>
            <w:vMerge w:val="restart"/>
          </w:tcPr>
          <w:p>
            <w:pPr>
              <w:pStyle w:val="0"/>
              <w:jc w:val="center"/>
            </w:pPr>
            <w:r>
              <w:rPr>
                <w:sz w:val="20"/>
              </w:rPr>
              <w:t xml:space="preserve">2020</w:t>
            </w:r>
          </w:p>
        </w:tc>
        <w:tc>
          <w:tcPr>
            <w:tcW w:w="907" w:type="dxa"/>
            <w:vMerge w:val="restart"/>
          </w:tcPr>
          <w:p>
            <w:pPr>
              <w:pStyle w:val="0"/>
              <w:jc w:val="center"/>
            </w:pPr>
            <w:r>
              <w:rPr>
                <w:sz w:val="20"/>
              </w:rPr>
              <w:t xml:space="preserve">2021</w:t>
            </w:r>
          </w:p>
        </w:tc>
        <w:tc>
          <w:tcPr>
            <w:tcW w:w="850" w:type="dxa"/>
            <w:vMerge w:val="restart"/>
          </w:tcPr>
          <w:p>
            <w:pPr>
              <w:pStyle w:val="0"/>
              <w:jc w:val="center"/>
            </w:pPr>
            <w:r>
              <w:rPr>
                <w:sz w:val="20"/>
              </w:rPr>
              <w:t xml:space="preserve">2022</w:t>
            </w:r>
          </w:p>
        </w:tc>
        <w:tc>
          <w:tcPr>
            <w:tcW w:w="907" w:type="dxa"/>
            <w:vMerge w:val="restart"/>
          </w:tcPr>
          <w:p>
            <w:pPr>
              <w:pStyle w:val="0"/>
              <w:jc w:val="center"/>
            </w:pPr>
            <w:r>
              <w:rPr>
                <w:sz w:val="20"/>
              </w:rPr>
              <w:t xml:space="preserve">2023</w:t>
            </w:r>
          </w:p>
        </w:tc>
        <w:tc>
          <w:tcPr>
            <w:tcW w:w="907" w:type="dxa"/>
            <w:vMerge w:val="restart"/>
          </w:tcPr>
          <w:p>
            <w:pPr>
              <w:pStyle w:val="0"/>
              <w:jc w:val="center"/>
            </w:pPr>
            <w:r>
              <w:rPr>
                <w:sz w:val="20"/>
              </w:rPr>
              <w:t xml:space="preserve">2024</w:t>
            </w:r>
          </w:p>
        </w:tc>
      </w:tr>
      <w:tr>
        <w:tc>
          <w:tcPr>
            <w:vMerge w:val="continue"/>
          </w:tcPr>
          <w:p/>
        </w:tc>
        <w:tc>
          <w:tcPr>
            <w:vMerge w:val="continue"/>
          </w:tcPr>
          <w:p/>
        </w:tc>
        <w:tc>
          <w:tcPr>
            <w:tcW w:w="1304" w:type="dxa"/>
          </w:tcPr>
          <w:p>
            <w:pPr>
              <w:pStyle w:val="0"/>
              <w:jc w:val="center"/>
            </w:pPr>
            <w:r>
              <w:rPr>
                <w:sz w:val="20"/>
              </w:rPr>
              <w:t xml:space="preserve">Значение</w:t>
            </w:r>
          </w:p>
        </w:tc>
        <w:tc>
          <w:tcPr>
            <w:tcW w:w="1304" w:type="dxa"/>
          </w:tcPr>
          <w:p>
            <w:pPr>
              <w:pStyle w:val="0"/>
              <w:jc w:val="center"/>
            </w:pPr>
            <w:r>
              <w:rPr>
                <w:sz w:val="20"/>
              </w:rPr>
              <w:t xml:space="preserve">Дата</w:t>
            </w: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566" w:type="dxa"/>
          </w:tcPr>
          <w:p>
            <w:pPr>
              <w:pStyle w:val="0"/>
              <w:jc w:val="both"/>
            </w:pPr>
            <w:r>
              <w:rPr>
                <w:sz w:val="20"/>
              </w:rPr>
              <w:t xml:space="preserve">1.</w:t>
            </w:r>
          </w:p>
        </w:tc>
        <w:tc>
          <w:tcPr>
            <w:tcW w:w="3288" w:type="dxa"/>
          </w:tcPr>
          <w:p>
            <w:pPr>
              <w:pStyle w:val="0"/>
              <w:jc w:val="both"/>
            </w:pPr>
            <w:r>
              <w:rPr>
                <w:sz w:val="20"/>
              </w:rPr>
              <w:t xml:space="preserve">Больничная летальность от инфаркта миокарда, %</w:t>
            </w:r>
          </w:p>
        </w:tc>
        <w:tc>
          <w:tcPr>
            <w:tcW w:w="1304" w:type="dxa"/>
          </w:tcPr>
          <w:p>
            <w:pPr>
              <w:pStyle w:val="0"/>
              <w:jc w:val="center"/>
            </w:pPr>
            <w:r>
              <w:rPr>
                <w:sz w:val="20"/>
              </w:rPr>
              <w:t xml:space="preserve">15,3</w:t>
            </w:r>
          </w:p>
        </w:tc>
        <w:tc>
          <w:tcPr>
            <w:tcW w:w="1304" w:type="dxa"/>
          </w:tcPr>
          <w:p>
            <w:pPr>
              <w:pStyle w:val="0"/>
              <w:jc w:val="both"/>
            </w:pPr>
            <w:r>
              <w:rPr>
                <w:sz w:val="20"/>
              </w:rPr>
              <w:t xml:space="preserve">31.12.2017</w:t>
            </w:r>
          </w:p>
        </w:tc>
        <w:tc>
          <w:tcPr>
            <w:tcW w:w="907" w:type="dxa"/>
          </w:tcPr>
          <w:p>
            <w:pPr>
              <w:pStyle w:val="0"/>
              <w:jc w:val="center"/>
            </w:pPr>
            <w:r>
              <w:rPr>
                <w:sz w:val="20"/>
              </w:rPr>
              <w:t xml:space="preserve">13,0</w:t>
            </w:r>
          </w:p>
        </w:tc>
        <w:tc>
          <w:tcPr>
            <w:tcW w:w="907" w:type="dxa"/>
          </w:tcPr>
          <w:p>
            <w:pPr>
              <w:pStyle w:val="0"/>
              <w:jc w:val="center"/>
            </w:pPr>
            <w:r>
              <w:rPr>
                <w:sz w:val="20"/>
              </w:rPr>
              <w:t xml:space="preserve">12,9</w:t>
            </w:r>
          </w:p>
        </w:tc>
        <w:tc>
          <w:tcPr>
            <w:tcW w:w="907" w:type="dxa"/>
          </w:tcPr>
          <w:p>
            <w:pPr>
              <w:pStyle w:val="0"/>
              <w:jc w:val="center"/>
            </w:pPr>
            <w:r>
              <w:rPr>
                <w:sz w:val="20"/>
              </w:rPr>
              <w:t xml:space="preserve">11,7</w:t>
            </w:r>
          </w:p>
        </w:tc>
        <w:tc>
          <w:tcPr>
            <w:tcW w:w="850" w:type="dxa"/>
          </w:tcPr>
          <w:p>
            <w:pPr>
              <w:pStyle w:val="0"/>
              <w:jc w:val="center"/>
            </w:pPr>
            <w:r>
              <w:rPr>
                <w:sz w:val="20"/>
              </w:rPr>
              <w:t xml:space="preserve">11,0</w:t>
            </w:r>
          </w:p>
        </w:tc>
        <w:tc>
          <w:tcPr>
            <w:tcW w:w="907" w:type="dxa"/>
          </w:tcPr>
          <w:p>
            <w:pPr>
              <w:pStyle w:val="0"/>
              <w:jc w:val="center"/>
            </w:pPr>
            <w:r>
              <w:rPr>
                <w:sz w:val="20"/>
              </w:rPr>
              <w:t xml:space="preserve">10,7</w:t>
            </w:r>
          </w:p>
        </w:tc>
        <w:tc>
          <w:tcPr>
            <w:tcW w:w="907" w:type="dxa"/>
          </w:tcPr>
          <w:p>
            <w:pPr>
              <w:pStyle w:val="0"/>
              <w:jc w:val="center"/>
            </w:pPr>
            <w:r>
              <w:rPr>
                <w:sz w:val="20"/>
              </w:rPr>
              <w:t xml:space="preserve">10,3</w:t>
            </w:r>
          </w:p>
        </w:tc>
      </w:tr>
      <w:tr>
        <w:tc>
          <w:tcPr>
            <w:tcW w:w="566" w:type="dxa"/>
          </w:tcPr>
          <w:p>
            <w:pPr>
              <w:pStyle w:val="0"/>
              <w:jc w:val="both"/>
            </w:pPr>
            <w:r>
              <w:rPr>
                <w:sz w:val="20"/>
              </w:rPr>
              <w:t xml:space="preserve">2.</w:t>
            </w:r>
          </w:p>
        </w:tc>
        <w:tc>
          <w:tcPr>
            <w:tcW w:w="3288" w:type="dxa"/>
          </w:tcPr>
          <w:p>
            <w:pPr>
              <w:pStyle w:val="0"/>
              <w:jc w:val="both"/>
            </w:pPr>
            <w:r>
              <w:rPr>
                <w:sz w:val="20"/>
              </w:rPr>
              <w:t xml:space="preserve">Больничная летальность от острого нарушения мозгового кровообращения, %</w:t>
            </w:r>
          </w:p>
        </w:tc>
        <w:tc>
          <w:tcPr>
            <w:tcW w:w="1304" w:type="dxa"/>
          </w:tcPr>
          <w:p>
            <w:pPr>
              <w:pStyle w:val="0"/>
              <w:jc w:val="center"/>
            </w:pPr>
            <w:r>
              <w:rPr>
                <w:sz w:val="20"/>
              </w:rPr>
              <w:t xml:space="preserve">25,5</w:t>
            </w:r>
          </w:p>
        </w:tc>
        <w:tc>
          <w:tcPr>
            <w:tcW w:w="1304" w:type="dxa"/>
          </w:tcPr>
          <w:p>
            <w:pPr>
              <w:pStyle w:val="0"/>
              <w:jc w:val="both"/>
            </w:pPr>
            <w:r>
              <w:rPr>
                <w:sz w:val="20"/>
              </w:rPr>
              <w:t xml:space="preserve">31.12.2017</w:t>
            </w:r>
          </w:p>
        </w:tc>
        <w:tc>
          <w:tcPr>
            <w:tcW w:w="907" w:type="dxa"/>
          </w:tcPr>
          <w:p>
            <w:pPr>
              <w:pStyle w:val="0"/>
              <w:jc w:val="center"/>
            </w:pPr>
            <w:r>
              <w:rPr>
                <w:sz w:val="20"/>
              </w:rPr>
              <w:t xml:space="preserve">23,1</w:t>
            </w:r>
          </w:p>
        </w:tc>
        <w:tc>
          <w:tcPr>
            <w:tcW w:w="907" w:type="dxa"/>
          </w:tcPr>
          <w:p>
            <w:pPr>
              <w:pStyle w:val="0"/>
              <w:jc w:val="center"/>
            </w:pPr>
            <w:r>
              <w:rPr>
                <w:sz w:val="20"/>
              </w:rPr>
              <w:t xml:space="preserve">24,0</w:t>
            </w:r>
          </w:p>
        </w:tc>
        <w:tc>
          <w:tcPr>
            <w:tcW w:w="907" w:type="dxa"/>
          </w:tcPr>
          <w:p>
            <w:pPr>
              <w:pStyle w:val="0"/>
              <w:jc w:val="center"/>
            </w:pPr>
            <w:r>
              <w:rPr>
                <w:sz w:val="20"/>
              </w:rPr>
              <w:t xml:space="preserve">21,5</w:t>
            </w:r>
          </w:p>
        </w:tc>
        <w:tc>
          <w:tcPr>
            <w:tcW w:w="850" w:type="dxa"/>
          </w:tcPr>
          <w:p>
            <w:pPr>
              <w:pStyle w:val="0"/>
              <w:jc w:val="center"/>
            </w:pPr>
            <w:r>
              <w:rPr>
                <w:sz w:val="20"/>
              </w:rPr>
              <w:t xml:space="preserve">19,1</w:t>
            </w:r>
          </w:p>
        </w:tc>
        <w:tc>
          <w:tcPr>
            <w:tcW w:w="907" w:type="dxa"/>
          </w:tcPr>
          <w:p>
            <w:pPr>
              <w:pStyle w:val="0"/>
              <w:jc w:val="center"/>
            </w:pPr>
            <w:r>
              <w:rPr>
                <w:sz w:val="20"/>
              </w:rPr>
              <w:t xml:space="preserve">16,9</w:t>
            </w:r>
          </w:p>
        </w:tc>
        <w:tc>
          <w:tcPr>
            <w:tcW w:w="907" w:type="dxa"/>
          </w:tcPr>
          <w:p>
            <w:pPr>
              <w:pStyle w:val="0"/>
              <w:jc w:val="center"/>
            </w:pPr>
            <w:r>
              <w:rPr>
                <w:sz w:val="20"/>
              </w:rPr>
              <w:t xml:space="preserve">14,6</w:t>
            </w:r>
          </w:p>
        </w:tc>
      </w:tr>
      <w:tr>
        <w:tc>
          <w:tcPr>
            <w:tcW w:w="566" w:type="dxa"/>
          </w:tcPr>
          <w:p>
            <w:pPr>
              <w:pStyle w:val="0"/>
              <w:jc w:val="both"/>
            </w:pPr>
            <w:r>
              <w:rPr>
                <w:sz w:val="20"/>
              </w:rPr>
              <w:t xml:space="preserve">3.</w:t>
            </w:r>
          </w:p>
        </w:tc>
        <w:tc>
          <w:tcPr>
            <w:tcW w:w="3288" w:type="dxa"/>
          </w:tcPr>
          <w:p>
            <w:pPr>
              <w:pStyle w:val="0"/>
              <w:jc w:val="both"/>
            </w:pPr>
            <w:r>
              <w:rPr>
                <w:sz w:val="20"/>
              </w:rPr>
              <w:t xml:space="preserve">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 / число лиц с БСК, состоящих под диспансерным наблюдением), %</w:t>
            </w:r>
          </w:p>
        </w:tc>
        <w:tc>
          <w:tcPr>
            <w:tcW w:w="1304" w:type="dxa"/>
          </w:tcPr>
          <w:p>
            <w:pPr>
              <w:pStyle w:val="0"/>
              <w:jc w:val="center"/>
            </w:pPr>
            <w:r>
              <w:rPr>
                <w:sz w:val="20"/>
              </w:rPr>
              <w:t xml:space="preserve">0,75</w:t>
            </w:r>
          </w:p>
        </w:tc>
        <w:tc>
          <w:tcPr>
            <w:tcW w:w="1304" w:type="dxa"/>
          </w:tcPr>
          <w:p>
            <w:pPr>
              <w:pStyle w:val="0"/>
              <w:jc w:val="both"/>
            </w:pPr>
            <w:r>
              <w:rPr>
                <w:sz w:val="20"/>
              </w:rPr>
              <w:t xml:space="preserve">31.12.2020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0,73</w:t>
            </w:r>
          </w:p>
        </w:tc>
        <w:tc>
          <w:tcPr>
            <w:tcW w:w="850" w:type="dxa"/>
          </w:tcPr>
          <w:p>
            <w:pPr>
              <w:pStyle w:val="0"/>
              <w:jc w:val="center"/>
            </w:pPr>
            <w:r>
              <w:rPr>
                <w:sz w:val="20"/>
              </w:rPr>
              <w:t xml:space="preserve">0,7</w:t>
            </w:r>
          </w:p>
        </w:tc>
        <w:tc>
          <w:tcPr>
            <w:tcW w:w="907" w:type="dxa"/>
          </w:tcPr>
          <w:p>
            <w:pPr>
              <w:pStyle w:val="0"/>
              <w:jc w:val="center"/>
            </w:pPr>
            <w:r>
              <w:rPr>
                <w:sz w:val="20"/>
              </w:rPr>
              <w:t xml:space="preserve">0,68</w:t>
            </w:r>
          </w:p>
        </w:tc>
        <w:tc>
          <w:tcPr>
            <w:tcW w:w="907" w:type="dxa"/>
          </w:tcPr>
          <w:p>
            <w:pPr>
              <w:pStyle w:val="0"/>
              <w:jc w:val="center"/>
            </w:pPr>
            <w:r>
              <w:rPr>
                <w:sz w:val="20"/>
              </w:rPr>
              <w:t xml:space="preserve">0,66</w:t>
            </w:r>
          </w:p>
        </w:tc>
      </w:tr>
      <w:tr>
        <w:tc>
          <w:tcPr>
            <w:tcW w:w="566" w:type="dxa"/>
          </w:tcPr>
          <w:p>
            <w:pPr>
              <w:pStyle w:val="0"/>
              <w:jc w:val="both"/>
            </w:pPr>
            <w:r>
              <w:rPr>
                <w:sz w:val="20"/>
              </w:rPr>
              <w:t xml:space="preserve">4.</w:t>
            </w:r>
          </w:p>
        </w:tc>
        <w:tc>
          <w:tcPr>
            <w:tcW w:w="3288" w:type="dxa"/>
          </w:tcPr>
          <w:p>
            <w:pPr>
              <w:pStyle w:val="0"/>
              <w:jc w:val="both"/>
            </w:pPr>
            <w:r>
              <w:rPr>
                <w:sz w:val="20"/>
              </w:rPr>
              <w:t xml:space="preserve">Количество рентген-эндоваскулярных вмешательств в лечебных целях, тыс. единиц</w:t>
            </w:r>
          </w:p>
        </w:tc>
        <w:tc>
          <w:tcPr>
            <w:tcW w:w="1304" w:type="dxa"/>
          </w:tcPr>
          <w:p>
            <w:pPr>
              <w:pStyle w:val="0"/>
              <w:jc w:val="center"/>
            </w:pPr>
            <w:r>
              <w:rPr>
                <w:sz w:val="20"/>
              </w:rPr>
              <w:t xml:space="preserve">329</w:t>
            </w:r>
          </w:p>
        </w:tc>
        <w:tc>
          <w:tcPr>
            <w:tcW w:w="1304" w:type="dxa"/>
          </w:tcPr>
          <w:p>
            <w:pPr>
              <w:pStyle w:val="0"/>
              <w:jc w:val="both"/>
            </w:pPr>
            <w:r>
              <w:rPr>
                <w:sz w:val="20"/>
              </w:rPr>
              <w:t xml:space="preserve">31.12.2017</w:t>
            </w:r>
          </w:p>
        </w:tc>
        <w:tc>
          <w:tcPr>
            <w:tcW w:w="907" w:type="dxa"/>
          </w:tcPr>
          <w:p>
            <w:pPr>
              <w:pStyle w:val="0"/>
              <w:jc w:val="center"/>
            </w:pPr>
            <w:r>
              <w:rPr>
                <w:sz w:val="20"/>
              </w:rPr>
              <w:t xml:space="preserve">0,536</w:t>
            </w:r>
          </w:p>
        </w:tc>
        <w:tc>
          <w:tcPr>
            <w:tcW w:w="907" w:type="dxa"/>
          </w:tcPr>
          <w:p>
            <w:pPr>
              <w:pStyle w:val="0"/>
              <w:jc w:val="center"/>
            </w:pPr>
            <w:r>
              <w:rPr>
                <w:sz w:val="20"/>
              </w:rPr>
              <w:t xml:space="preserve">0,518</w:t>
            </w:r>
          </w:p>
        </w:tc>
        <w:tc>
          <w:tcPr>
            <w:tcW w:w="907" w:type="dxa"/>
          </w:tcPr>
          <w:p>
            <w:pPr>
              <w:pStyle w:val="0"/>
              <w:jc w:val="center"/>
            </w:pPr>
            <w:r>
              <w:rPr>
                <w:sz w:val="20"/>
              </w:rPr>
              <w:t xml:space="preserve">0,753</w:t>
            </w:r>
          </w:p>
        </w:tc>
        <w:tc>
          <w:tcPr>
            <w:tcW w:w="850" w:type="dxa"/>
          </w:tcPr>
          <w:p>
            <w:pPr>
              <w:pStyle w:val="0"/>
              <w:jc w:val="center"/>
            </w:pPr>
            <w:r>
              <w:rPr>
                <w:sz w:val="20"/>
              </w:rPr>
              <w:t xml:space="preserve">0,808</w:t>
            </w:r>
          </w:p>
        </w:tc>
        <w:tc>
          <w:tcPr>
            <w:tcW w:w="907" w:type="dxa"/>
          </w:tcPr>
          <w:p>
            <w:pPr>
              <w:pStyle w:val="0"/>
              <w:jc w:val="center"/>
            </w:pPr>
            <w:r>
              <w:rPr>
                <w:sz w:val="20"/>
              </w:rPr>
              <w:t xml:space="preserve">0,809</w:t>
            </w:r>
          </w:p>
        </w:tc>
        <w:tc>
          <w:tcPr>
            <w:tcW w:w="907" w:type="dxa"/>
          </w:tcPr>
          <w:p>
            <w:pPr>
              <w:pStyle w:val="0"/>
              <w:jc w:val="center"/>
            </w:pPr>
            <w:r>
              <w:rPr>
                <w:sz w:val="20"/>
              </w:rPr>
              <w:t xml:space="preserve">0,813</w:t>
            </w:r>
          </w:p>
        </w:tc>
      </w:tr>
      <w:tr>
        <w:tc>
          <w:tcPr>
            <w:tcW w:w="566" w:type="dxa"/>
          </w:tcPr>
          <w:p>
            <w:pPr>
              <w:pStyle w:val="0"/>
              <w:jc w:val="both"/>
            </w:pPr>
            <w:r>
              <w:rPr>
                <w:sz w:val="20"/>
              </w:rPr>
              <w:t xml:space="preserve">5.</w:t>
            </w:r>
          </w:p>
        </w:tc>
        <w:tc>
          <w:tcPr>
            <w:tcW w:w="3288" w:type="dxa"/>
          </w:tcPr>
          <w:p>
            <w:pPr>
              <w:pStyle w:val="0"/>
              <w:jc w:val="both"/>
            </w:pPr>
            <w:r>
              <w:rPr>
                <w:sz w:val="20"/>
              </w:rPr>
              <w:t xml:space="preserve">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w:t>
            </w:r>
          </w:p>
        </w:tc>
        <w:tc>
          <w:tcPr>
            <w:tcW w:w="1304" w:type="dxa"/>
          </w:tcPr>
          <w:p>
            <w:pPr>
              <w:pStyle w:val="0"/>
              <w:jc w:val="center"/>
            </w:pPr>
            <w:r>
              <w:rPr>
                <w:sz w:val="20"/>
              </w:rPr>
              <w:t xml:space="preserve">0</w:t>
            </w:r>
          </w:p>
        </w:tc>
        <w:tc>
          <w:tcPr>
            <w:tcW w:w="1304" w:type="dxa"/>
          </w:tcPr>
          <w:p>
            <w:pPr>
              <w:pStyle w:val="0"/>
              <w:jc w:val="both"/>
            </w:pPr>
            <w:r>
              <w:rPr>
                <w:sz w:val="20"/>
              </w:rPr>
              <w:t xml:space="preserve">31.12.2019</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50</w:t>
            </w:r>
          </w:p>
        </w:tc>
        <w:tc>
          <w:tcPr>
            <w:tcW w:w="850"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80</w:t>
            </w:r>
          </w:p>
        </w:tc>
      </w:tr>
      <w:tr>
        <w:tc>
          <w:tcPr>
            <w:tcW w:w="566" w:type="dxa"/>
          </w:tcPr>
          <w:p>
            <w:pPr>
              <w:pStyle w:val="0"/>
              <w:jc w:val="both"/>
            </w:pPr>
            <w:r>
              <w:rPr>
                <w:sz w:val="20"/>
              </w:rPr>
              <w:t xml:space="preserve">6.</w:t>
            </w:r>
          </w:p>
        </w:tc>
        <w:tc>
          <w:tcPr>
            <w:tcW w:w="3288" w:type="dxa"/>
          </w:tcPr>
          <w:p>
            <w:pPr>
              <w:pStyle w:val="0"/>
              <w:jc w:val="both"/>
            </w:pPr>
            <w:r>
              <w:rPr>
                <w:sz w:val="20"/>
              </w:rPr>
              <w:t xml:space="preserve">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w:t>
            </w:r>
          </w:p>
        </w:tc>
        <w:tc>
          <w:tcPr>
            <w:tcW w:w="1304" w:type="dxa"/>
          </w:tcPr>
          <w:p>
            <w:pPr>
              <w:pStyle w:val="0"/>
              <w:jc w:val="center"/>
            </w:pPr>
            <w:r>
              <w:rPr>
                <w:sz w:val="20"/>
              </w:rPr>
              <w:t xml:space="preserve">0</w:t>
            </w:r>
          </w:p>
        </w:tc>
        <w:tc>
          <w:tcPr>
            <w:tcW w:w="1304" w:type="dxa"/>
          </w:tcPr>
          <w:p>
            <w:pPr>
              <w:pStyle w:val="0"/>
              <w:jc w:val="both"/>
            </w:pPr>
            <w:r>
              <w:rPr>
                <w:sz w:val="20"/>
              </w:rPr>
              <w:t xml:space="preserve">31.12.2019</w:t>
            </w:r>
          </w:p>
        </w:tc>
        <w:tc>
          <w:tcPr>
            <w:tcW w:w="907" w:type="dxa"/>
          </w:tcPr>
          <w:p>
            <w:pPr>
              <w:pStyle w:val="0"/>
              <w:jc w:val="center"/>
            </w:pPr>
            <w:r>
              <w:rPr>
                <w:sz w:val="20"/>
              </w:rPr>
              <w:t xml:space="preserve">0</w:t>
            </w:r>
          </w:p>
        </w:tc>
        <w:tc>
          <w:tcPr>
            <w:tcW w:w="907" w:type="dxa"/>
          </w:tcPr>
          <w:p>
            <w:pPr>
              <w:pStyle w:val="0"/>
              <w:jc w:val="center"/>
            </w:pPr>
            <w:r>
              <w:rPr>
                <w:sz w:val="20"/>
              </w:rPr>
              <w:t xml:space="preserve">50</w:t>
            </w:r>
          </w:p>
        </w:tc>
        <w:tc>
          <w:tcPr>
            <w:tcW w:w="907" w:type="dxa"/>
          </w:tcPr>
          <w:p>
            <w:pPr>
              <w:pStyle w:val="0"/>
              <w:jc w:val="center"/>
            </w:pPr>
            <w:r>
              <w:rPr>
                <w:sz w:val="20"/>
              </w:rPr>
              <w:t xml:space="preserve">80</w:t>
            </w:r>
          </w:p>
        </w:tc>
        <w:tc>
          <w:tcPr>
            <w:tcW w:w="850"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566" w:type="dxa"/>
          </w:tcPr>
          <w:p>
            <w:pPr>
              <w:pStyle w:val="0"/>
              <w:jc w:val="both"/>
            </w:pPr>
            <w:r>
              <w:rPr>
                <w:sz w:val="20"/>
              </w:rPr>
              <w:t xml:space="preserve">7.</w:t>
            </w:r>
          </w:p>
        </w:tc>
        <w:tc>
          <w:tcPr>
            <w:tcW w:w="3288" w:type="dxa"/>
          </w:tcPr>
          <w:p>
            <w:pPr>
              <w:pStyle w:val="0"/>
              <w:jc w:val="both"/>
            </w:pPr>
            <w:r>
              <w:rPr>
                <w:sz w:val="20"/>
              </w:rPr>
              <w:t xml:space="preserve">Доля лиц 18 лет и старше, у которых выявлены хронические сердечно-сосудистые заболевания (функциональные расстройства, иные состояния), состоявших под диспансерным наблюдением, %</w:t>
            </w:r>
          </w:p>
        </w:tc>
        <w:tc>
          <w:tcPr>
            <w:tcW w:w="1304" w:type="dxa"/>
          </w:tcPr>
          <w:p>
            <w:pPr>
              <w:pStyle w:val="0"/>
              <w:jc w:val="center"/>
            </w:pPr>
            <w:r>
              <w:rPr>
                <w:sz w:val="20"/>
              </w:rPr>
              <w:t xml:space="preserve">-</w:t>
            </w:r>
          </w:p>
        </w:tc>
        <w:tc>
          <w:tcPr>
            <w:tcW w:w="1304" w:type="dxa"/>
          </w:tcPr>
          <w:p>
            <w:pPr>
              <w:pStyle w:val="0"/>
              <w:jc w:val="both"/>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850" w:type="dxa"/>
          </w:tcPr>
          <w:p>
            <w:pPr>
              <w:pStyle w:val="0"/>
              <w:jc w:val="center"/>
            </w:pPr>
            <w:r>
              <w:rPr>
                <w:sz w:val="20"/>
              </w:rPr>
              <w:t xml:space="preserve">-</w:t>
            </w:r>
          </w:p>
        </w:tc>
        <w:tc>
          <w:tcPr>
            <w:tcW w:w="907" w:type="dxa"/>
          </w:tcPr>
          <w:p>
            <w:pPr>
              <w:pStyle w:val="0"/>
              <w:jc w:val="center"/>
            </w:pPr>
            <w:r>
              <w:rPr>
                <w:sz w:val="20"/>
              </w:rPr>
              <w:t xml:space="preserve">70,0</w:t>
            </w:r>
          </w:p>
        </w:tc>
        <w:tc>
          <w:tcPr>
            <w:tcW w:w="907" w:type="dxa"/>
          </w:tcPr>
          <w:p>
            <w:pPr>
              <w:pStyle w:val="0"/>
              <w:jc w:val="center"/>
            </w:pPr>
            <w:r>
              <w:rPr>
                <w:sz w:val="20"/>
              </w:rPr>
              <w:t xml:space="preserve">80,0</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2"/>
        <w:outlineLvl w:val="2"/>
        <w:jc w:val="center"/>
      </w:pPr>
      <w:r>
        <w:rPr>
          <w:sz w:val="20"/>
        </w:rPr>
        <w:t xml:space="preserve">5. Задачи региональной программы</w:t>
      </w:r>
    </w:p>
    <w:p>
      <w:pPr>
        <w:pStyle w:val="0"/>
        <w:ind w:firstLine="540"/>
        <w:jc w:val="both"/>
      </w:pPr>
      <w:r>
        <w:rPr>
          <w:sz w:val="20"/>
        </w:rPr>
      </w:r>
    </w:p>
    <w:p>
      <w:pPr>
        <w:pStyle w:val="0"/>
        <w:ind w:firstLine="540"/>
        <w:jc w:val="both"/>
      </w:pPr>
      <w:r>
        <w:rPr>
          <w:sz w:val="20"/>
        </w:rPr>
        <w:t xml:space="preserve">5.1. Разработка и реализация мер по повышению качества оказания медицинской помощи пациентам с ОКС и ОНМК.</w:t>
      </w:r>
    </w:p>
    <w:p>
      <w:pPr>
        <w:pStyle w:val="0"/>
        <w:spacing w:before="200" w:line-rule="auto"/>
        <w:ind w:firstLine="540"/>
        <w:jc w:val="both"/>
      </w:pPr>
      <w:r>
        <w:rPr>
          <w:sz w:val="20"/>
        </w:rPr>
        <w:t xml:space="preserve">5.2. Проведение мероприятий по профилактике и лечению факторов риска болезней системы кровообращения (артериальной гипертензии, курения, высокого уровня холестерина;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 формирование здорового образа жизни.</w:t>
      </w:r>
    </w:p>
    <w:p>
      <w:pPr>
        <w:pStyle w:val="0"/>
        <w:spacing w:before="200" w:line-rule="auto"/>
        <w:ind w:firstLine="540"/>
        <w:jc w:val="both"/>
      </w:pPr>
      <w:r>
        <w:rPr>
          <w:sz w:val="20"/>
        </w:rPr>
        <w:t xml:space="preserve">5.3. Совершенствование системы оказания первичной медико-санитарной помощи пациентам с внедрением алгоритмов диспансеризации населения, направленных на группы риска, особенно по развитию острого нарушения мозгового кровообращения и острого коронарного синдрома, раннее выявление лиц из группы высокого риска по развитию инсульта и инфаркта миокарда.</w:t>
      </w:r>
    </w:p>
    <w:p>
      <w:pPr>
        <w:pStyle w:val="0"/>
        <w:spacing w:before="200" w:line-rule="auto"/>
        <w:ind w:firstLine="540"/>
        <w:jc w:val="both"/>
      </w:pPr>
      <w:r>
        <w:rPr>
          <w:sz w:val="20"/>
        </w:rPr>
        <w:t xml:space="preserve">5.4. Внедрение новых эффективных технологий диагностики, лечения и профилактики болезней системы кровообращения с увеличением объемов оказания медицинской помощи.</w:t>
      </w:r>
    </w:p>
    <w:p>
      <w:pPr>
        <w:pStyle w:val="0"/>
        <w:spacing w:before="200" w:line-rule="auto"/>
        <w:ind w:firstLine="540"/>
        <w:jc w:val="both"/>
      </w:pPr>
      <w:r>
        <w:rPr>
          <w:sz w:val="20"/>
        </w:rPr>
        <w:t xml:space="preserve">5.5. Разработка и реализация комплекса мероприятий по совершенствованию системы реабилитации пациентов с болезнями системы кровообращения, внедрение ранней мультидисциплинарной реабилитации больных.</w:t>
      </w:r>
    </w:p>
    <w:p>
      <w:pPr>
        <w:pStyle w:val="0"/>
        <w:spacing w:before="200" w:line-rule="auto"/>
        <w:ind w:firstLine="540"/>
        <w:jc w:val="both"/>
      </w:pPr>
      <w:r>
        <w:rPr>
          <w:sz w:val="20"/>
        </w:rPr>
        <w:t xml:space="preserve">5.6. Совершенствование материально-технической базы учреждений, оказывающих медицинскую помощь пациентам с болезнями системы кровообращения.</w:t>
      </w:r>
    </w:p>
    <w:p>
      <w:pPr>
        <w:pStyle w:val="0"/>
        <w:spacing w:before="200" w:line-rule="auto"/>
        <w:ind w:firstLine="540"/>
        <w:jc w:val="both"/>
      </w:pPr>
      <w:r>
        <w:rPr>
          <w:sz w:val="20"/>
        </w:rPr>
        <w:t xml:space="preserve">5.7. Переоснащение медицинским оборудованием медицинских организаций (в соответствии с паспортом федерального проекта "Борьба с сердечно-сосудистыми заболеваниями").</w:t>
      </w:r>
    </w:p>
    <w:p>
      <w:pPr>
        <w:pStyle w:val="0"/>
        <w:spacing w:before="200" w:line-rule="auto"/>
        <w:ind w:firstLine="540"/>
        <w:jc w:val="both"/>
      </w:pPr>
      <w:r>
        <w:rPr>
          <w:sz w:val="20"/>
        </w:rPr>
        <w:t xml:space="preserve">5.8. Получение достоверных статистических данных по заболеваемости, смертности, летальности и инвалидности по группе болезней системы кровообращения (гипертоническая болезнь, инфаркт миокарда, инсульт и др.).</w:t>
      </w:r>
    </w:p>
    <w:p>
      <w:pPr>
        <w:pStyle w:val="0"/>
        <w:spacing w:before="200" w:line-rule="auto"/>
        <w:ind w:firstLine="540"/>
        <w:jc w:val="both"/>
      </w:pPr>
      <w:r>
        <w:rPr>
          <w:sz w:val="20"/>
        </w:rPr>
        <w:t xml:space="preserve">5.9. Привлечение специалистов, укомплектование участковыми врачами-терапевтами и врачами-неврологами амбулаторно-поликлинической службы.</w:t>
      </w:r>
    </w:p>
    <w:p>
      <w:pPr>
        <w:pStyle w:val="0"/>
        <w:spacing w:before="200" w:line-rule="auto"/>
        <w:ind w:firstLine="540"/>
        <w:jc w:val="both"/>
      </w:pPr>
      <w:r>
        <w:rPr>
          <w:sz w:val="20"/>
        </w:rPr>
        <w:t xml:space="preserve">5.10. Обеспечение повышения качества оказания медицинской помощи больным с ССЗ в соответствии с клиническими рекомендациями совместно с профильными национальными медицинскими исследовательскими центрами.</w:t>
      </w:r>
    </w:p>
    <w:p>
      <w:pPr>
        <w:pStyle w:val="0"/>
        <w:spacing w:before="200" w:line-rule="auto"/>
        <w:ind w:firstLine="540"/>
        <w:jc w:val="both"/>
      </w:pPr>
      <w:r>
        <w:rPr>
          <w:sz w:val="20"/>
        </w:rPr>
        <w:t xml:space="preserve">5.11. Организация специализированных реабилитационных отделений по профилям "неврология", "кардиология" для реализации 2-го и 3-го этапов медицинской реабилитации.</w:t>
      </w:r>
    </w:p>
    <w:p>
      <w:pPr>
        <w:pStyle w:val="0"/>
        <w:spacing w:before="200" w:line-rule="auto"/>
        <w:ind w:firstLine="540"/>
        <w:jc w:val="both"/>
      </w:pPr>
      <w:r>
        <w:rPr>
          <w:sz w:val="20"/>
        </w:rPr>
        <w:t xml:space="preserve">5.12. Расчет количества коек согласно территориальной программе госгарантий бесплатного оказания медицинской помощи в городе Севастополе на 2019 - 2020 годы (0,039 на одно застрахованное лицо).</w:t>
      </w:r>
    </w:p>
    <w:p>
      <w:pPr>
        <w:pStyle w:val="0"/>
        <w:spacing w:before="200" w:line-rule="auto"/>
        <w:ind w:firstLine="540"/>
        <w:jc w:val="both"/>
      </w:pPr>
      <w:r>
        <w:rPr>
          <w:sz w:val="20"/>
        </w:rPr>
        <w:t xml:space="preserve">5.13. Обеспечение материально-технического оснащения отделений медицинской реабилитации согласно стандартам оснащения, утвержденным </w:t>
      </w:r>
      <w:hyperlink w:history="0" r:id="rId656" w:tooltip="Приказ Минздрава России от 29.12.2012 N 1705н &quot;О порядке организации медицинской реабилитации&quot; (Зарегистрировано в Минюсте России 22.02.2013 N 27276) ------------ Утратил силу или отменен {КонсультантПлюс}">
        <w:r>
          <w:rPr>
            <w:sz w:val="20"/>
            <w:color w:val="0000ff"/>
          </w:rPr>
          <w:t xml:space="preserve">приказом</w:t>
        </w:r>
      </w:hyperlink>
      <w:r>
        <w:rPr>
          <w:sz w:val="20"/>
        </w:rPr>
        <w:t xml:space="preserve"> Министерства здравоохранения Российской Федерации от 29.12.2012 N 1705н.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Постановления Правительства Севастополя от 08.06.2023 N 271-ПП, вносящего изменения в данный документ, видимо, допущена опечатка: Приказ Минздрава России N 1705н издан 29.12.2012, а не 20.12.2012.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5.14. Укомплектование кадров реабилитационной службы города Севастополя согласно штатным нормативам, утвержденным </w:t>
      </w:r>
      <w:hyperlink w:history="0" r:id="rId657" w:tooltip="Приказ Минздрава России от 29.12.2012 N 1705н &quot;О порядке организации медицинской реабилитации&quot; (Зарегистрировано в Минюсте России 22.02.2013 N 27276) ------------ Утратил силу или отменен {КонсультантПлюс}">
        <w:r>
          <w:rPr>
            <w:sz w:val="20"/>
            <w:color w:val="0000ff"/>
          </w:rPr>
          <w:t xml:space="preserve">приказом</w:t>
        </w:r>
      </w:hyperlink>
      <w:r>
        <w:rPr>
          <w:sz w:val="20"/>
        </w:rPr>
        <w:t xml:space="preserve"> Министерства здравоохранения Российской Федерации от 20.12.2012 N 1705н.</w:t>
      </w:r>
    </w:p>
    <w:p>
      <w:pPr>
        <w:pStyle w:val="0"/>
        <w:spacing w:before="200" w:line-rule="auto"/>
        <w:ind w:firstLine="540"/>
        <w:jc w:val="both"/>
      </w:pPr>
      <w:r>
        <w:rPr>
          <w:sz w:val="20"/>
        </w:rPr>
        <w:t xml:space="preserve">5.15. Проведение обучения специалистов по медицинской реабилитации для обеспечения качественной медицинской реабилитации на всех этапах на основе международной модели подготовки специалистов в указанной области, использование электронного ресурса для проведения дистанционной части образовательных мероприятий по медицинской реабилитации, включающего текущий и этапный тестовый контроль полученных знаний на базе РНИМУ им. Н.И. Пирогова.</w:t>
      </w:r>
    </w:p>
    <w:p>
      <w:pPr>
        <w:pStyle w:val="0"/>
        <w:spacing w:before="200" w:line-rule="auto"/>
        <w:ind w:firstLine="540"/>
        <w:jc w:val="both"/>
      </w:pPr>
      <w:r>
        <w:rPr>
          <w:sz w:val="20"/>
        </w:rPr>
        <w:t xml:space="preserve">5.15. Внедрение электронной системы мониторинга эффективности медицинской реабилитации, протоколов ведения пациентов с использованием специально выбранных реабилитационных метрик, разработанных и апробированных методических рекомендаций по использованию клинических тестов и шкал в процессе медицинской реабилитации при остром нарушении мозгового кровообращения, остром инфаркте миокарда, остром коронарном синдроме в целях повышения качества оказания медицинской помощи, предупреждения развития инвалидности, улучшения качества жизни пациентов.</w:t>
      </w:r>
    </w:p>
    <w:p>
      <w:pPr>
        <w:pStyle w:val="0"/>
        <w:ind w:firstLine="540"/>
        <w:jc w:val="both"/>
      </w:pPr>
      <w:r>
        <w:rPr>
          <w:sz w:val="20"/>
        </w:rPr>
      </w:r>
    </w:p>
    <w:p>
      <w:pPr>
        <w:pStyle w:val="2"/>
        <w:outlineLvl w:val="2"/>
        <w:jc w:val="center"/>
      </w:pPr>
      <w:r>
        <w:rPr>
          <w:sz w:val="20"/>
        </w:rPr>
        <w:t xml:space="preserve">6. Ожидаемые результаты региональной программы</w:t>
      </w:r>
    </w:p>
    <w:p>
      <w:pPr>
        <w:pStyle w:val="0"/>
        <w:ind w:firstLine="540"/>
        <w:jc w:val="both"/>
      </w:pPr>
      <w:r>
        <w:rPr>
          <w:sz w:val="20"/>
        </w:rPr>
      </w:r>
    </w:p>
    <w:p>
      <w:pPr>
        <w:pStyle w:val="0"/>
        <w:ind w:firstLine="540"/>
        <w:jc w:val="both"/>
      </w:pPr>
      <w:r>
        <w:rPr>
          <w:sz w:val="20"/>
        </w:rPr>
        <w:t xml:space="preserve">Реализация мероприятий региональной программы "Борьба с сердечно-сосудистыми заболеваниями" позволит достичь к 2024 году следующих результатов:</w:t>
      </w:r>
    </w:p>
    <w:p>
      <w:pPr>
        <w:pStyle w:val="0"/>
        <w:spacing w:before="200" w:line-rule="auto"/>
        <w:ind w:firstLine="540"/>
        <w:jc w:val="both"/>
      </w:pPr>
      <w:r>
        <w:rPr>
          <w:sz w:val="20"/>
        </w:rPr>
        <w:t xml:space="preserve">- снижение больничной летальности от инфаркта миокарда до 10,3%;</w:t>
      </w:r>
    </w:p>
    <w:p>
      <w:pPr>
        <w:pStyle w:val="0"/>
        <w:spacing w:before="200" w:line-rule="auto"/>
        <w:ind w:firstLine="540"/>
        <w:jc w:val="both"/>
      </w:pPr>
      <w:r>
        <w:rPr>
          <w:sz w:val="20"/>
        </w:rPr>
        <w:t xml:space="preserve">- снижение больничной летальности от ОНМК до 14,6%;</w:t>
      </w:r>
    </w:p>
    <w:p>
      <w:pPr>
        <w:pStyle w:val="0"/>
        <w:spacing w:before="200" w:line-rule="auto"/>
        <w:ind w:firstLine="540"/>
        <w:jc w:val="both"/>
      </w:pPr>
      <w:r>
        <w:rPr>
          <w:sz w:val="20"/>
        </w:rPr>
        <w:t xml:space="preserve">- снижение летальности больных с болезнями системы кровообращения среди лиц с болезнями системы кровообращения, состоящих под диспансерным наблюдением, до 0,66%;</w:t>
      </w:r>
    </w:p>
    <w:p>
      <w:pPr>
        <w:pStyle w:val="0"/>
        <w:spacing w:before="200" w:line-rule="auto"/>
        <w:ind w:firstLine="540"/>
        <w:jc w:val="both"/>
      </w:pPr>
      <w:r>
        <w:rPr>
          <w:sz w:val="20"/>
        </w:rPr>
        <w:t xml:space="preserve">- увеличение количества рентген-эндоваскулярных вмешательств в лечебных целях до 0,813 тыс. ед.;</w:t>
      </w:r>
    </w:p>
    <w:p>
      <w:pPr>
        <w:pStyle w:val="0"/>
        <w:spacing w:before="200" w:line-rule="auto"/>
        <w:ind w:firstLine="540"/>
        <w:jc w:val="both"/>
      </w:pPr>
      <w:r>
        <w:rPr>
          <w:sz w:val="20"/>
        </w:rPr>
        <w:t xml:space="preserve">- увеличение доли лиц, которые перенесли ОНМК, ИМ,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до 90%;</w:t>
      </w:r>
    </w:p>
    <w:p>
      <w:pPr>
        <w:pStyle w:val="0"/>
        <w:spacing w:before="200" w:line-rule="auto"/>
        <w:ind w:firstLine="540"/>
        <w:jc w:val="both"/>
      </w:pPr>
      <w:r>
        <w:rPr>
          <w:sz w:val="20"/>
        </w:rPr>
        <w:t xml:space="preserve">- увеличение доли лиц с БСК, состоящих под диспансерным наблюдением, получивших в текущем году медицинские услуги в рамках диспансерного наблюдения от всех пациентов с БСК, состоящих под диспансерным наблюдением, до 80%;</w:t>
      </w:r>
    </w:p>
    <w:p>
      <w:pPr>
        <w:pStyle w:val="0"/>
        <w:spacing w:before="200" w:line-rule="auto"/>
        <w:ind w:firstLine="540"/>
        <w:jc w:val="both"/>
      </w:pPr>
      <w:r>
        <w:rPr>
          <w:sz w:val="20"/>
        </w:rPr>
        <w:t xml:space="preserve">- увеличение доли лиц 18 лет и старше, у которых выявлены хронические сердечно-сосудистые заболевания (функциональные расстройства, иные состояния), состоявших под диспансерным наблюдением в отчетном периоде, до 80%;</w:t>
      </w:r>
    </w:p>
    <w:p>
      <w:pPr>
        <w:pStyle w:val="0"/>
        <w:spacing w:before="200" w:line-rule="auto"/>
        <w:ind w:firstLine="540"/>
        <w:jc w:val="both"/>
      </w:pPr>
      <w:r>
        <w:rPr>
          <w:sz w:val="20"/>
        </w:rPr>
        <w:t xml:space="preserve">- увеличение охвата вторым этапом медицинской реабилитации не менее 25% пациентов, перенесших ОНМК;</w:t>
      </w:r>
    </w:p>
    <w:p>
      <w:pPr>
        <w:pStyle w:val="0"/>
        <w:spacing w:before="200" w:line-rule="auto"/>
        <w:ind w:firstLine="540"/>
        <w:jc w:val="both"/>
      </w:pPr>
      <w:r>
        <w:rPr>
          <w:sz w:val="20"/>
        </w:rPr>
        <w:t xml:space="preserve">- улучшение кадрового обеспечения службы оказания медицинской помощи пациентам с ССЗ;</w:t>
      </w:r>
    </w:p>
    <w:p>
      <w:pPr>
        <w:pStyle w:val="0"/>
        <w:spacing w:before="200" w:line-rule="auto"/>
        <w:ind w:firstLine="540"/>
        <w:jc w:val="both"/>
      </w:pPr>
      <w:r>
        <w:rPr>
          <w:sz w:val="20"/>
        </w:rPr>
        <w:t xml:space="preserve">- повышение эффективности использования диагностического и терапевтического оборудования, в том числе ангиографических комплексов, ультразвуковых аппаратов экспертного класса, магнитно-резонансных томографов, компьютерных томографов, для лечения пациентов с ССЗ.</w:t>
      </w:r>
    </w:p>
    <w:p>
      <w:pPr>
        <w:pStyle w:val="0"/>
        <w:ind w:firstLine="540"/>
        <w:jc w:val="both"/>
      </w:pPr>
      <w:r>
        <w:rPr>
          <w:sz w:val="20"/>
        </w:rPr>
      </w:r>
    </w:p>
    <w:p>
      <w:pPr>
        <w:pStyle w:val="2"/>
        <w:outlineLvl w:val="2"/>
        <w:jc w:val="center"/>
      </w:pPr>
      <w:r>
        <w:rPr>
          <w:sz w:val="20"/>
        </w:rPr>
        <w:t xml:space="preserve">7. План мероприятий региональной программы</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3402"/>
        <w:gridCol w:w="1361"/>
        <w:gridCol w:w="1417"/>
        <w:gridCol w:w="2948"/>
        <w:gridCol w:w="3061"/>
        <w:gridCol w:w="3855"/>
        <w:gridCol w:w="2041"/>
      </w:tblGrid>
      <w:tr>
        <w:tc>
          <w:tcPr>
            <w:tcW w:w="624" w:type="dxa"/>
            <w:vMerge w:val="restart"/>
          </w:tcPr>
          <w:p>
            <w:pPr>
              <w:pStyle w:val="0"/>
              <w:jc w:val="center"/>
            </w:pPr>
            <w:r>
              <w:rPr>
                <w:sz w:val="20"/>
              </w:rPr>
              <w:t xml:space="preserve">N</w:t>
            </w:r>
          </w:p>
        </w:tc>
        <w:tc>
          <w:tcPr>
            <w:tcW w:w="3402" w:type="dxa"/>
            <w:vMerge w:val="restart"/>
          </w:tcPr>
          <w:p>
            <w:pPr>
              <w:pStyle w:val="0"/>
              <w:jc w:val="center"/>
            </w:pPr>
            <w:r>
              <w:rPr>
                <w:sz w:val="20"/>
              </w:rPr>
              <w:t xml:space="preserve">Наименование мероприятия</w:t>
            </w:r>
          </w:p>
        </w:tc>
        <w:tc>
          <w:tcPr>
            <w:gridSpan w:val="2"/>
            <w:tcW w:w="2778" w:type="dxa"/>
          </w:tcPr>
          <w:p>
            <w:pPr>
              <w:pStyle w:val="0"/>
              <w:jc w:val="center"/>
            </w:pPr>
            <w:r>
              <w:rPr>
                <w:sz w:val="20"/>
              </w:rPr>
              <w:t xml:space="preserve">Сроки реализации</w:t>
            </w:r>
          </w:p>
        </w:tc>
        <w:tc>
          <w:tcPr>
            <w:tcW w:w="2948" w:type="dxa"/>
            <w:vMerge w:val="restart"/>
          </w:tcPr>
          <w:p>
            <w:pPr>
              <w:pStyle w:val="0"/>
              <w:jc w:val="center"/>
            </w:pPr>
            <w:r>
              <w:rPr>
                <w:sz w:val="20"/>
              </w:rPr>
              <w:t xml:space="preserve">Ответственный исполнитель</w:t>
            </w:r>
          </w:p>
        </w:tc>
        <w:tc>
          <w:tcPr>
            <w:tcW w:w="3061" w:type="dxa"/>
            <w:vMerge w:val="restart"/>
          </w:tcPr>
          <w:p>
            <w:pPr>
              <w:pStyle w:val="0"/>
              <w:jc w:val="center"/>
            </w:pPr>
            <w:r>
              <w:rPr>
                <w:sz w:val="20"/>
              </w:rPr>
              <w:t xml:space="preserve">Критерий исполнения мероприятия</w:t>
            </w:r>
          </w:p>
        </w:tc>
        <w:tc>
          <w:tcPr>
            <w:tcW w:w="3855" w:type="dxa"/>
            <w:vMerge w:val="restart"/>
          </w:tcPr>
          <w:p>
            <w:pPr>
              <w:pStyle w:val="0"/>
              <w:jc w:val="center"/>
            </w:pPr>
            <w:r>
              <w:rPr>
                <w:sz w:val="20"/>
              </w:rPr>
              <w:t xml:space="preserve">Характеристика результата</w:t>
            </w:r>
          </w:p>
        </w:tc>
        <w:tc>
          <w:tcPr>
            <w:tcW w:w="2041" w:type="dxa"/>
            <w:vMerge w:val="restart"/>
          </w:tcPr>
          <w:p>
            <w:pPr>
              <w:pStyle w:val="0"/>
              <w:jc w:val="center"/>
            </w:pPr>
            <w:r>
              <w:rPr>
                <w:sz w:val="20"/>
              </w:rPr>
              <w:t xml:space="preserve">Регулярность</w:t>
            </w:r>
          </w:p>
        </w:tc>
      </w:tr>
      <w:tr>
        <w:tc>
          <w:tcPr>
            <w:vMerge w:val="continue"/>
          </w:tcPr>
          <w:p/>
        </w:tc>
        <w:tc>
          <w:tcPr>
            <w:vMerge w:val="continue"/>
          </w:tcPr>
          <w:p/>
        </w:tc>
        <w:tc>
          <w:tcPr>
            <w:tcW w:w="1361" w:type="dxa"/>
          </w:tcPr>
          <w:p>
            <w:pPr>
              <w:pStyle w:val="0"/>
              <w:jc w:val="center"/>
            </w:pPr>
            <w:r>
              <w:rPr>
                <w:sz w:val="20"/>
              </w:rPr>
              <w:t xml:space="preserve">Начало</w:t>
            </w:r>
          </w:p>
        </w:tc>
        <w:tc>
          <w:tcPr>
            <w:tcW w:w="1417" w:type="dxa"/>
          </w:tcPr>
          <w:p>
            <w:pPr>
              <w:pStyle w:val="0"/>
              <w:jc w:val="center"/>
            </w:pPr>
            <w:r>
              <w:rPr>
                <w:sz w:val="20"/>
              </w:rPr>
              <w:t xml:space="preserve">Окончание</w:t>
            </w:r>
          </w:p>
        </w:tc>
        <w:tc>
          <w:tcPr>
            <w:vMerge w:val="continue"/>
          </w:tcPr>
          <w:p/>
        </w:tc>
        <w:tc>
          <w:tcPr>
            <w:vMerge w:val="continue"/>
          </w:tcPr>
          <w:p/>
        </w:tc>
        <w:tc>
          <w:tcPr>
            <w:vMerge w:val="continue"/>
          </w:tcPr>
          <w:p/>
        </w:tc>
        <w:tc>
          <w:tcPr>
            <w:vMerge w:val="continue"/>
          </w:tcPr>
          <w:p/>
        </w:tc>
      </w:tr>
      <w:tr>
        <w:tc>
          <w:tcPr>
            <w:gridSpan w:val="8"/>
            <w:tcW w:w="18709" w:type="dxa"/>
          </w:tcPr>
          <w:p>
            <w:pPr>
              <w:pStyle w:val="0"/>
              <w:outlineLvl w:val="3"/>
              <w:jc w:val="both"/>
            </w:pPr>
            <w:r>
              <w:rPr>
                <w:sz w:val="20"/>
              </w:rPr>
              <w:t xml:space="preserve">1. Мероприятия по внедрению и соблюдению клинических рекомендаций и протоколов ведения больных с сердечно-сосудистыми заболеваниями</w:t>
            </w:r>
          </w:p>
        </w:tc>
      </w:tr>
      <w:tr>
        <w:tc>
          <w:tcPr>
            <w:tcW w:w="624" w:type="dxa"/>
          </w:tcPr>
          <w:p>
            <w:pPr>
              <w:pStyle w:val="0"/>
              <w:jc w:val="both"/>
            </w:pPr>
            <w:r>
              <w:rPr>
                <w:sz w:val="20"/>
              </w:rPr>
              <w:t xml:space="preserve">1</w:t>
            </w:r>
          </w:p>
        </w:tc>
        <w:tc>
          <w:tcPr>
            <w:tcW w:w="3402" w:type="dxa"/>
          </w:tcPr>
          <w:p>
            <w:pPr>
              <w:pStyle w:val="0"/>
              <w:jc w:val="both"/>
            </w:pPr>
            <w:r>
              <w:rPr>
                <w:sz w:val="20"/>
              </w:rPr>
              <w:t xml:space="preserve">Актуализация плана мероприятий по обеспечению достижения следующих показателей: проведение реперфузионной терапии не менее 85% больных с ОКСпST; доля первичного ЧКВ при ОКСпST - не менее 80%; интервал "поступление больного в стационар ОКСпST - ЧКВ" - не более 90 минут</w:t>
            </w:r>
          </w:p>
        </w:tc>
        <w:tc>
          <w:tcPr>
            <w:tcW w:w="1361" w:type="dxa"/>
          </w:tcPr>
          <w:p>
            <w:pPr>
              <w:pStyle w:val="0"/>
              <w:jc w:val="both"/>
            </w:pPr>
            <w:r>
              <w:rPr>
                <w:sz w:val="20"/>
              </w:rPr>
              <w:t xml:space="preserve">01.07.2023</w:t>
            </w:r>
          </w:p>
        </w:tc>
        <w:tc>
          <w:tcPr>
            <w:tcW w:w="1417" w:type="dxa"/>
          </w:tcPr>
          <w:p>
            <w:pPr>
              <w:pStyle w:val="0"/>
              <w:jc w:val="both"/>
            </w:pPr>
            <w:r>
              <w:rPr>
                <w:sz w:val="20"/>
              </w:rPr>
              <w:t xml:space="preserve">01.09.2024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кардиолог Департамента здравоохранения города Севастополя; руководитель регионального сосудистого центра субъекта Российской Федерации</w:t>
            </w:r>
          </w:p>
        </w:tc>
        <w:tc>
          <w:tcPr>
            <w:tcW w:w="3061" w:type="dxa"/>
          </w:tcPr>
          <w:p>
            <w:pPr>
              <w:pStyle w:val="0"/>
              <w:jc w:val="both"/>
            </w:pPr>
            <w:r>
              <w:rPr>
                <w:sz w:val="20"/>
              </w:rPr>
              <w:t xml:space="preserve">Разработан и внедрен план мероприятий по обеспечению достижения следующих показателей: проведение реперфузионной терапии для не менее 85% больных с ОКСпST; доля первичного ЧКВ при ОКСпST - не менее 80%; интервал "поступление больного в стационар ОКСпST - ЧКВ" - не более 90 минут</w:t>
            </w:r>
          </w:p>
        </w:tc>
        <w:tc>
          <w:tcPr>
            <w:tcW w:w="3855" w:type="dxa"/>
          </w:tcPr>
          <w:p>
            <w:pPr>
              <w:pStyle w:val="0"/>
              <w:jc w:val="both"/>
            </w:pPr>
            <w:r>
              <w:rPr>
                <w:sz w:val="20"/>
              </w:rPr>
              <w:t xml:space="preserve">Разработка и внедрение плана мероприятий по обеспечению достижения следующих показателей: проведение реперфузионной терапии для не менее 85% больных с ОКСпST; доля первичного ЧКВ при ОКСпST - не менее 80%; интервал "поступление больного в стационар ОКСпST - ЧКВ" - не более 90 минут</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2</w:t>
            </w:r>
          </w:p>
        </w:tc>
        <w:tc>
          <w:tcPr>
            <w:tcW w:w="3402" w:type="dxa"/>
          </w:tcPr>
          <w:p>
            <w:pPr>
              <w:pStyle w:val="0"/>
              <w:jc w:val="both"/>
            </w:pPr>
            <w:r>
              <w:rPr>
                <w:sz w:val="20"/>
              </w:rPr>
              <w:t xml:space="preserve">Проведение образовательных семинаров и научно-практических конференций по применению клинических рекомендаций при лечении больных с сердечно-сосудистыми заболеваниями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Главный внештатный невролог Департамента здравоохранения города Севастополя; главный внештатный кардиолог Департамента здравоохранения города Севастополя; главный внештатный специалист по анестезиологии-реаниматологии Департамента здравоохранения города Севастополя</w:t>
            </w:r>
          </w:p>
        </w:tc>
        <w:tc>
          <w:tcPr>
            <w:tcW w:w="3061" w:type="dxa"/>
          </w:tcPr>
          <w:p>
            <w:pPr>
              <w:pStyle w:val="0"/>
              <w:jc w:val="both"/>
            </w:pPr>
            <w:r>
              <w:rPr>
                <w:sz w:val="20"/>
              </w:rPr>
              <w:t xml:space="preserve">Проведено не менее четырех семинаров в год</w:t>
            </w:r>
          </w:p>
        </w:tc>
        <w:tc>
          <w:tcPr>
            <w:tcW w:w="3855" w:type="dxa"/>
          </w:tcPr>
          <w:p>
            <w:pPr>
              <w:pStyle w:val="0"/>
              <w:jc w:val="both"/>
            </w:pPr>
            <w:r>
              <w:rPr>
                <w:sz w:val="20"/>
              </w:rPr>
              <w:t xml:space="preserve">Проведено не менее четырех семинаров в год по обучению кардиологов, неврологов, реаниматологов, врачей ЛФК, физиотерапевтов, инструкторов-методистов ЛФК, логопедов, среднего медицинского персонала отделения для больных с ОНМК</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3</w:t>
            </w:r>
          </w:p>
        </w:tc>
        <w:tc>
          <w:tcPr>
            <w:tcW w:w="3402" w:type="dxa"/>
          </w:tcPr>
          <w:p>
            <w:pPr>
              <w:pStyle w:val="0"/>
              <w:jc w:val="both"/>
            </w:pPr>
            <w:r>
              <w:rPr>
                <w:sz w:val="20"/>
              </w:rPr>
              <w:t xml:space="preserve">Мониторинг выполнения клинических рекомендаций, утвержденных Минздравом РФ, в рамках системы внутреннего контроля качества</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w:t>
            </w:r>
          </w:p>
        </w:tc>
        <w:tc>
          <w:tcPr>
            <w:tcW w:w="3061" w:type="dxa"/>
          </w:tcPr>
          <w:p>
            <w:pPr>
              <w:pStyle w:val="0"/>
              <w:jc w:val="both"/>
            </w:pPr>
            <w:r>
              <w:rPr>
                <w:sz w:val="20"/>
              </w:rPr>
              <w:t xml:space="preserve">Доля несоответствия клиническим рекомендациям медицинской документации составит не более 50% от всех проверенных медицинских документов</w:t>
            </w:r>
          </w:p>
        </w:tc>
        <w:tc>
          <w:tcPr>
            <w:tcW w:w="3855" w:type="dxa"/>
          </w:tcPr>
          <w:p>
            <w:pPr>
              <w:pStyle w:val="0"/>
              <w:jc w:val="both"/>
            </w:pPr>
            <w:r>
              <w:rPr>
                <w:sz w:val="20"/>
              </w:rPr>
              <w:t xml:space="preserve">Мониторинг выполнения клинических рекомендаций, утвержденных Минздравом РФ, в рамках системы внутреннего контроля качества</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4</w:t>
            </w:r>
          </w:p>
        </w:tc>
        <w:tc>
          <w:tcPr>
            <w:tcW w:w="3402" w:type="dxa"/>
          </w:tcPr>
          <w:p>
            <w:pPr>
              <w:pStyle w:val="0"/>
              <w:jc w:val="both"/>
            </w:pPr>
            <w:r>
              <w:rPr>
                <w:sz w:val="20"/>
              </w:rPr>
              <w:t xml:space="preserve">Ежемесячное проведение в РСЦ экспертизы амбулаторных и стационарных карт пациентов с ОНМК и ОКС на предмет соблюдения клинических рекомендаций</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кардиолог Департамента здравоохранения города Севастополя; главный внештатный невролог Департамента здравоохранения города Севастополя</w:t>
            </w:r>
          </w:p>
        </w:tc>
        <w:tc>
          <w:tcPr>
            <w:tcW w:w="3061" w:type="dxa"/>
          </w:tcPr>
          <w:p>
            <w:pPr>
              <w:pStyle w:val="0"/>
              <w:jc w:val="both"/>
            </w:pPr>
            <w:r>
              <w:rPr>
                <w:sz w:val="20"/>
              </w:rPr>
              <w:t xml:space="preserve">Доля несоответствия клиническим рекомендациям медицинской документации составит не более 50% от всех проверенных медицинских документов</w:t>
            </w:r>
          </w:p>
        </w:tc>
        <w:tc>
          <w:tcPr>
            <w:tcW w:w="3855" w:type="dxa"/>
          </w:tcPr>
          <w:p>
            <w:pPr>
              <w:pStyle w:val="0"/>
              <w:jc w:val="both"/>
            </w:pPr>
            <w:r>
              <w:rPr>
                <w:sz w:val="20"/>
              </w:rPr>
              <w:t xml:space="preserve">Проведена экспертиза не менее 50% медицинских карт амбулаторных и стационарных пациентов с ОНМК и ОКС. На основе экспертизы подготовлена аналитическая справка</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5</w:t>
            </w:r>
          </w:p>
        </w:tc>
        <w:tc>
          <w:tcPr>
            <w:tcW w:w="3402" w:type="dxa"/>
          </w:tcPr>
          <w:p>
            <w:pPr>
              <w:pStyle w:val="0"/>
              <w:jc w:val="both"/>
            </w:pPr>
            <w:r>
              <w:rPr>
                <w:sz w:val="20"/>
              </w:rPr>
              <w:t xml:space="preserve">Мониторинг выполнения критериев оценки качества медицинской помощи в рамках системы внутреннего контроля качества</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кардиолог Департамента здравоохранения города Севастополя; главный внештатный специалист по анестезиологии-реаниматологии Департамента здравоохранения города Севастополя</w:t>
            </w:r>
          </w:p>
        </w:tc>
        <w:tc>
          <w:tcPr>
            <w:tcW w:w="3061" w:type="dxa"/>
          </w:tcPr>
          <w:p>
            <w:pPr>
              <w:pStyle w:val="0"/>
              <w:jc w:val="both"/>
            </w:pPr>
            <w:r>
              <w:rPr>
                <w:sz w:val="20"/>
              </w:rPr>
              <w:t xml:space="preserve">Доля несоответствия клиническим рекомендациям медицинской документации составит не более 50% от всех проверенных медицинских документов</w:t>
            </w:r>
          </w:p>
        </w:tc>
        <w:tc>
          <w:tcPr>
            <w:tcW w:w="3855" w:type="dxa"/>
          </w:tcPr>
          <w:p>
            <w:pPr>
              <w:pStyle w:val="0"/>
              <w:jc w:val="both"/>
            </w:pPr>
            <w:r>
              <w:rPr>
                <w:sz w:val="20"/>
              </w:rPr>
              <w:t xml:space="preserve">На основе ежеквартальной отчетности МО и проведенных экспертиз проведен анализ соблюдения индикаторов выполнения клинических рекомендаций с формированием управленческих решений в Департаменте здравоохранения города Севастополя</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6</w:t>
            </w:r>
          </w:p>
        </w:tc>
        <w:tc>
          <w:tcPr>
            <w:tcW w:w="3402" w:type="dxa"/>
          </w:tcPr>
          <w:p>
            <w:pPr>
              <w:pStyle w:val="0"/>
              <w:jc w:val="both"/>
            </w:pPr>
            <w:r>
              <w:rPr>
                <w:sz w:val="20"/>
              </w:rPr>
              <w:t xml:space="preserve">Проведение контрольных мероприятий по обеспечению применения методики тромболитической терапии и поддержания целевого показателя на уровне не менее 5% от всех случаев ишемического инсульта, достижению показателя времени "от двери до иглы" не более 40 минут</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кардиолог Департамента здравоохранения города Севастополя; главный внештатный невролог Департамента здравоохранения города Севастополя</w:t>
            </w:r>
          </w:p>
        </w:tc>
        <w:tc>
          <w:tcPr>
            <w:tcW w:w="3061" w:type="dxa"/>
          </w:tcPr>
          <w:p>
            <w:pPr>
              <w:pStyle w:val="0"/>
              <w:jc w:val="both"/>
            </w:pPr>
            <w:r>
              <w:rPr>
                <w:sz w:val="20"/>
              </w:rPr>
              <w:t xml:space="preserve">Проведено не менее одного контрольного мероприятия в месяц, не менее 12 - в год</w:t>
            </w:r>
          </w:p>
        </w:tc>
        <w:tc>
          <w:tcPr>
            <w:tcW w:w="3855" w:type="dxa"/>
          </w:tcPr>
          <w:p>
            <w:pPr>
              <w:pStyle w:val="0"/>
              <w:jc w:val="both"/>
            </w:pPr>
            <w:r>
              <w:rPr>
                <w:sz w:val="20"/>
              </w:rPr>
              <w:t xml:space="preserve">Проводятся мероприятия по контролю применения методики тромболитической терапии с достижением целевого показателя на уровне не менее 5% от всех случаев ишемического инсульта, достижению показателя времени "от двери до иглы" не более 40 минут</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7</w:t>
            </w:r>
          </w:p>
        </w:tc>
        <w:tc>
          <w:tcPr>
            <w:tcW w:w="3402" w:type="dxa"/>
          </w:tcPr>
          <w:p>
            <w:pPr>
              <w:pStyle w:val="0"/>
              <w:jc w:val="both"/>
            </w:pPr>
            <w:r>
              <w:rPr>
                <w:sz w:val="20"/>
              </w:rPr>
              <w:t xml:space="preserve">Актуализация плана мероприятий по увеличению количества ангиохирургических и нейрохирургических операций с достижением целевого показателя не менее 10 - 15% у пациентов с ОНМК с ежегодным увеличением на 5%</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руководитель региональных сосудистых центров субъекта Российской Федерации ГБУЗС "Городская больница N 1 им. Н.И. Пирогова"; главный внештатный нейрохирург Департамента здравоохранения города Севастополя</w:t>
            </w:r>
          </w:p>
        </w:tc>
        <w:tc>
          <w:tcPr>
            <w:tcW w:w="3061" w:type="dxa"/>
          </w:tcPr>
          <w:p>
            <w:pPr>
              <w:pStyle w:val="0"/>
              <w:jc w:val="both"/>
            </w:pPr>
            <w:r>
              <w:rPr>
                <w:sz w:val="20"/>
              </w:rPr>
              <w:t xml:space="preserve">Утвержден план мероприятий по увеличению количества ангиохирургических и нейрохирургических операций</w:t>
            </w:r>
          </w:p>
        </w:tc>
        <w:tc>
          <w:tcPr>
            <w:tcW w:w="3855" w:type="dxa"/>
          </w:tcPr>
          <w:p>
            <w:pPr>
              <w:pStyle w:val="0"/>
              <w:jc w:val="both"/>
            </w:pPr>
            <w:r>
              <w:rPr>
                <w:sz w:val="20"/>
              </w:rPr>
              <w:t xml:space="preserve">Разработан и утвержден план мероприятий по увеличению количества ангиохирургических и нейрохирургических операций с достижением целевого показателя не менее 10 - 15% у пациентов с ОНМК с ежегодным увеличением на 5%</w:t>
            </w:r>
          </w:p>
        </w:tc>
        <w:tc>
          <w:tcPr>
            <w:tcW w:w="2041" w:type="dxa"/>
          </w:tcPr>
          <w:p>
            <w:pPr>
              <w:pStyle w:val="0"/>
              <w:jc w:val="both"/>
            </w:pPr>
            <w:r>
              <w:rPr>
                <w:sz w:val="20"/>
              </w:rPr>
              <w:t xml:space="preserve">Регулярное (ежегодное)</w:t>
            </w:r>
          </w:p>
        </w:tc>
      </w:tr>
      <w:tr>
        <w:tc>
          <w:tcPr>
            <w:gridSpan w:val="8"/>
            <w:tcW w:w="18709" w:type="dxa"/>
          </w:tcPr>
          <w:p>
            <w:pPr>
              <w:pStyle w:val="0"/>
              <w:outlineLvl w:val="3"/>
              <w:jc w:val="both"/>
            </w:pPr>
            <w:r>
              <w:rPr>
                <w:sz w:val="20"/>
              </w:rPr>
              <w:t xml:space="preserve">2. Мероприятия по организации внутреннего контроля качества оказания медицинской помощи</w:t>
            </w:r>
          </w:p>
        </w:tc>
      </w:tr>
      <w:tr>
        <w:tc>
          <w:tcPr>
            <w:tcW w:w="624" w:type="dxa"/>
          </w:tcPr>
          <w:p>
            <w:pPr>
              <w:pStyle w:val="0"/>
              <w:jc w:val="both"/>
            </w:pPr>
            <w:r>
              <w:rPr>
                <w:sz w:val="20"/>
              </w:rPr>
              <w:t xml:space="preserve">1</w:t>
            </w:r>
          </w:p>
        </w:tc>
        <w:tc>
          <w:tcPr>
            <w:tcW w:w="3402" w:type="dxa"/>
          </w:tcPr>
          <w:p>
            <w:pPr>
              <w:pStyle w:val="0"/>
              <w:jc w:val="both"/>
            </w:pPr>
            <w:r>
              <w:rPr>
                <w:sz w:val="20"/>
              </w:rPr>
              <w:t xml:space="preserve">Оценка показаний к реваскуляризации миокарда у всех пациентов с хроническими формами ИБС, перенесших ОКСспST и ОКС без подъема сегмента ST, с последующим выполнением реваскуляризации при выявлении показаний в первичном звене и на стационарном этапе с занесением результатов в медицинскую документацию</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w:t>
            </w:r>
          </w:p>
        </w:tc>
        <w:tc>
          <w:tcPr>
            <w:tcW w:w="3061" w:type="dxa"/>
          </w:tcPr>
          <w:p>
            <w:pPr>
              <w:pStyle w:val="0"/>
              <w:jc w:val="both"/>
            </w:pPr>
            <w:r>
              <w:rPr>
                <w:sz w:val="20"/>
              </w:rPr>
              <w:t xml:space="preserve">Проведение КВГ у 100% пациентов, перенесших ОКС без ЧКВ, в выписном эпикризе указывается плановая госпитализация</w:t>
            </w:r>
          </w:p>
        </w:tc>
        <w:tc>
          <w:tcPr>
            <w:tcW w:w="3855" w:type="dxa"/>
          </w:tcPr>
          <w:p>
            <w:pPr>
              <w:pStyle w:val="0"/>
              <w:jc w:val="both"/>
            </w:pPr>
            <w:r>
              <w:rPr>
                <w:sz w:val="20"/>
              </w:rPr>
              <w:t xml:space="preserve">Организация проведения КВГ у 100% пациентов, перенесших ОКС без ЧКВ, в выписном эпикризе указывается плановая госпитализация</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2</w:t>
            </w:r>
          </w:p>
        </w:tc>
        <w:tc>
          <w:tcPr>
            <w:tcW w:w="3402" w:type="dxa"/>
          </w:tcPr>
          <w:p>
            <w:pPr>
              <w:pStyle w:val="0"/>
              <w:jc w:val="both"/>
            </w:pPr>
            <w:r>
              <w:rPr>
                <w:sz w:val="20"/>
              </w:rPr>
              <w:t xml:space="preserve">Разбор запущенных случаев ССЗ на еженедельных совещаниях Департамента здравоохранения города Севастополя: кардиологическом и по координации реализации мероприятий, направленных на совершенствование организации медицинской помощи больным с сосудистыми заболеваниями, с последующей трансляцией результатов в общую лечебную сеть</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w:t>
            </w:r>
          </w:p>
        </w:tc>
        <w:tc>
          <w:tcPr>
            <w:tcW w:w="3061" w:type="dxa"/>
          </w:tcPr>
          <w:p>
            <w:pPr>
              <w:pStyle w:val="0"/>
              <w:jc w:val="both"/>
            </w:pPr>
            <w:r>
              <w:rPr>
                <w:sz w:val="20"/>
              </w:rPr>
              <w:t xml:space="preserve">Проведение не менее 12 заседаний комиссии по разбору случаев смертности</w:t>
            </w:r>
          </w:p>
        </w:tc>
        <w:tc>
          <w:tcPr>
            <w:tcW w:w="3855" w:type="dxa"/>
          </w:tcPr>
          <w:p>
            <w:pPr>
              <w:pStyle w:val="0"/>
              <w:jc w:val="both"/>
            </w:pPr>
            <w:r>
              <w:rPr>
                <w:sz w:val="20"/>
              </w:rPr>
              <w:t xml:space="preserve">Повышение качества оказания медицинской помощи пациентам с ССЗ. Повышение квалификации медицинских работников</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3</w:t>
            </w:r>
          </w:p>
        </w:tc>
        <w:tc>
          <w:tcPr>
            <w:tcW w:w="3402" w:type="dxa"/>
          </w:tcPr>
          <w:p>
            <w:pPr>
              <w:pStyle w:val="0"/>
              <w:jc w:val="both"/>
            </w:pPr>
            <w:r>
              <w:rPr>
                <w:sz w:val="20"/>
              </w:rPr>
              <w:t xml:space="preserve">Проведение патолого-анатомических конференций на базе ГБУЗС "Городская больница N 1 им. Н.И. Пирогова", направленных на совершенствование организации медицинской помощи больным с сосудистыми заболеваниями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руководитель регионального сосудистого центра города Севастополя; главный врач ГБУЗС "Городская больница N 1 им. Н.И. Пирогова"</w:t>
            </w:r>
          </w:p>
        </w:tc>
        <w:tc>
          <w:tcPr>
            <w:tcW w:w="3061" w:type="dxa"/>
          </w:tcPr>
          <w:p>
            <w:pPr>
              <w:pStyle w:val="0"/>
              <w:jc w:val="both"/>
            </w:pPr>
            <w:r>
              <w:rPr>
                <w:sz w:val="20"/>
              </w:rPr>
              <w:t xml:space="preserve">Проведено не менее 4 патолого-анатомических конференций в год</w:t>
            </w:r>
          </w:p>
        </w:tc>
        <w:tc>
          <w:tcPr>
            <w:tcW w:w="3855" w:type="dxa"/>
          </w:tcPr>
          <w:p>
            <w:pPr>
              <w:pStyle w:val="0"/>
              <w:jc w:val="both"/>
            </w:pPr>
            <w:r>
              <w:rPr>
                <w:sz w:val="20"/>
              </w:rPr>
              <w:t xml:space="preserve">Проведение не менее 1 конференции в квартал. Повышение качества оказания медицинской помощи пациентам с ССЗ</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4</w:t>
            </w:r>
          </w:p>
        </w:tc>
        <w:tc>
          <w:tcPr>
            <w:tcW w:w="3402" w:type="dxa"/>
          </w:tcPr>
          <w:p>
            <w:pPr>
              <w:pStyle w:val="0"/>
              <w:jc w:val="both"/>
            </w:pPr>
            <w:r>
              <w:rPr>
                <w:sz w:val="20"/>
              </w:rPr>
              <w:t xml:space="preserve">Преемственность лечения стационарного и амбулаторного звена специализированной медицинской помощи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w:t>
            </w:r>
          </w:p>
        </w:tc>
        <w:tc>
          <w:tcPr>
            <w:tcW w:w="3061" w:type="dxa"/>
          </w:tcPr>
          <w:p>
            <w:pPr>
              <w:pStyle w:val="0"/>
              <w:jc w:val="both"/>
            </w:pPr>
            <w:r>
              <w:rPr>
                <w:sz w:val="20"/>
              </w:rPr>
              <w:t xml:space="preserve">95% выписанных из стационара пациентов с ОНМК осматриваются в течение двух недель неврологами, определяется реабилитационный маршрут пациентов, пациенты передаются для диспансерного наблюдения терапевту</w:t>
            </w:r>
          </w:p>
        </w:tc>
        <w:tc>
          <w:tcPr>
            <w:tcW w:w="3855" w:type="dxa"/>
          </w:tcPr>
          <w:p>
            <w:pPr>
              <w:pStyle w:val="0"/>
              <w:jc w:val="both"/>
            </w:pPr>
            <w:r>
              <w:rPr>
                <w:sz w:val="20"/>
              </w:rPr>
              <w:t xml:space="preserve">95% выписанных из стационара пациентов с ОНМК осматриваются в течение двух недель неврологами, определяется реабилитационный маршрут пациентов, пациенты передаются для диспансерного наблюдения терапевту</w:t>
            </w:r>
          </w:p>
        </w:tc>
        <w:tc>
          <w:tcPr>
            <w:tcW w:w="2041" w:type="dxa"/>
          </w:tcPr>
          <w:p>
            <w:pPr>
              <w:pStyle w:val="0"/>
              <w:jc w:val="both"/>
            </w:pPr>
            <w:r>
              <w:rPr>
                <w:sz w:val="20"/>
              </w:rPr>
              <w:t xml:space="preserve">Разовое (делимое)</w:t>
            </w:r>
          </w:p>
        </w:tc>
      </w:tr>
      <w:tr>
        <w:tc>
          <w:tcPr>
            <w:tcW w:w="624" w:type="dxa"/>
          </w:tcPr>
          <w:p>
            <w:pPr>
              <w:pStyle w:val="0"/>
              <w:jc w:val="both"/>
            </w:pPr>
            <w:r>
              <w:rPr>
                <w:sz w:val="20"/>
              </w:rPr>
              <w:t xml:space="preserve">5</w:t>
            </w:r>
          </w:p>
        </w:tc>
        <w:tc>
          <w:tcPr>
            <w:tcW w:w="3402" w:type="dxa"/>
          </w:tcPr>
          <w:p>
            <w:pPr>
              <w:pStyle w:val="0"/>
              <w:jc w:val="both"/>
            </w:pPr>
            <w:r>
              <w:rPr>
                <w:sz w:val="20"/>
              </w:rPr>
              <w:t xml:space="preserve">Наполнение регистра пациентов с ССЗ</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заместитель директора ГБУЗС "МИАЦ"; главный внештатный специалист - кардиолог Департамента здравоохранения города Севастополя</w:t>
            </w:r>
          </w:p>
        </w:tc>
        <w:tc>
          <w:tcPr>
            <w:tcW w:w="3061" w:type="dxa"/>
          </w:tcPr>
          <w:p>
            <w:pPr>
              <w:pStyle w:val="0"/>
              <w:jc w:val="both"/>
            </w:pPr>
            <w:r>
              <w:rPr>
                <w:sz w:val="20"/>
              </w:rPr>
              <w:t xml:space="preserve">100% пациентов внесены в регистр</w:t>
            </w:r>
          </w:p>
        </w:tc>
        <w:tc>
          <w:tcPr>
            <w:tcW w:w="3855" w:type="dxa"/>
          </w:tcPr>
          <w:p>
            <w:pPr>
              <w:pStyle w:val="0"/>
              <w:jc w:val="both"/>
            </w:pPr>
            <w:r>
              <w:rPr>
                <w:sz w:val="20"/>
              </w:rPr>
              <w:t xml:space="preserve">В городе Севастополе ведется регистр пациентов с ССЗ, интегрированный в АИС ЛПУ</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6</w:t>
            </w:r>
          </w:p>
        </w:tc>
        <w:tc>
          <w:tcPr>
            <w:tcW w:w="3402" w:type="dxa"/>
          </w:tcPr>
          <w:p>
            <w:pPr>
              <w:pStyle w:val="0"/>
              <w:jc w:val="both"/>
            </w:pPr>
            <w:r>
              <w:rPr>
                <w:sz w:val="20"/>
              </w:rPr>
              <w:t xml:space="preserve">Внедрение систем внутреннего контроля качества с использованием информационной системы</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заместитель директора ГБУЗС "МИАЦ"; главный внештатный специалист - кардиолог Департамента здравоохранения города Севастополя</w:t>
            </w:r>
          </w:p>
        </w:tc>
        <w:tc>
          <w:tcPr>
            <w:tcW w:w="3061" w:type="dxa"/>
          </w:tcPr>
          <w:p>
            <w:pPr>
              <w:pStyle w:val="0"/>
              <w:jc w:val="both"/>
            </w:pPr>
            <w:r>
              <w:rPr>
                <w:sz w:val="20"/>
              </w:rPr>
              <w:t xml:space="preserve">Внедрена система внутреннего контроля качества на базе АИС ЛПУ</w:t>
            </w:r>
          </w:p>
        </w:tc>
        <w:tc>
          <w:tcPr>
            <w:tcW w:w="3855" w:type="dxa"/>
          </w:tcPr>
          <w:p>
            <w:pPr>
              <w:pStyle w:val="0"/>
              <w:jc w:val="both"/>
            </w:pPr>
            <w:r>
              <w:rPr>
                <w:sz w:val="20"/>
              </w:rPr>
              <w:t xml:space="preserve">Внедрены системы внутреннего контроля качества с использованием цифровых технологий</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7</w:t>
            </w:r>
          </w:p>
        </w:tc>
        <w:tc>
          <w:tcPr>
            <w:tcW w:w="3402" w:type="dxa"/>
          </w:tcPr>
          <w:p>
            <w:pPr>
              <w:pStyle w:val="0"/>
              <w:jc w:val="both"/>
            </w:pPr>
            <w:r>
              <w:rPr>
                <w:sz w:val="20"/>
              </w:rPr>
              <w:t xml:space="preserve">Обеспечение контроля корректного кодирования заболевания в случае обращения пациента за медицинской помощью в поликлинику или поступления в стационар пациентов в ССЗ с использованием АИС ЛПУ</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центра медицинской статистики ГБУЗС "МИАЦ"</w:t>
            </w:r>
          </w:p>
        </w:tc>
        <w:tc>
          <w:tcPr>
            <w:tcW w:w="3061" w:type="dxa"/>
          </w:tcPr>
          <w:p>
            <w:pPr>
              <w:pStyle w:val="0"/>
              <w:jc w:val="both"/>
            </w:pPr>
            <w:r>
              <w:rPr>
                <w:sz w:val="20"/>
              </w:rPr>
              <w:t xml:space="preserve">Утвержден нормативный акт</w:t>
            </w:r>
          </w:p>
        </w:tc>
        <w:tc>
          <w:tcPr>
            <w:tcW w:w="3855" w:type="dxa"/>
          </w:tcPr>
          <w:p>
            <w:pPr>
              <w:pStyle w:val="0"/>
              <w:jc w:val="both"/>
            </w:pPr>
            <w:r>
              <w:rPr>
                <w:sz w:val="20"/>
              </w:rPr>
              <w:t xml:space="preserve">Разработан и утвержден приказ об обеспечении контроля корректного кодирования заболевания в случае обращения пациента за медицинской помощью в поликлинику или поступления в стационар пациентов в ССЗ с использованием АИС ЛПУ</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8</w:t>
            </w:r>
          </w:p>
        </w:tc>
        <w:tc>
          <w:tcPr>
            <w:tcW w:w="3402" w:type="dxa"/>
          </w:tcPr>
          <w:p>
            <w:pPr>
              <w:pStyle w:val="0"/>
              <w:jc w:val="both"/>
            </w:pPr>
            <w:r>
              <w:rPr>
                <w:sz w:val="20"/>
              </w:rPr>
              <w:t xml:space="preserve">Ежеквартальный мониторинг выполнения показателей результативности работы медицинских организаций в части выявления и наблюдения граждан с высоким риском развития осложнений ССЗ</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центра медицинской статистики ГБУЗС "МИАЦ"; главные врачи ГБУЗС "Городская больница N 1 им. Н.И. Пирогова"; ГБУЗС "Городская больница N 4"; ГБУЗС "Городская больница N 9"</w:t>
            </w:r>
          </w:p>
        </w:tc>
        <w:tc>
          <w:tcPr>
            <w:tcW w:w="3061" w:type="dxa"/>
          </w:tcPr>
          <w:p>
            <w:pPr>
              <w:pStyle w:val="0"/>
              <w:jc w:val="both"/>
            </w:pPr>
            <w:r>
              <w:rPr>
                <w:sz w:val="20"/>
              </w:rPr>
              <w:t xml:space="preserve">Проведено четыре мониторинга в год</w:t>
            </w:r>
          </w:p>
        </w:tc>
        <w:tc>
          <w:tcPr>
            <w:tcW w:w="3855" w:type="dxa"/>
          </w:tcPr>
          <w:p>
            <w:pPr>
              <w:pStyle w:val="0"/>
              <w:jc w:val="both"/>
            </w:pPr>
            <w:r>
              <w:rPr>
                <w:sz w:val="20"/>
              </w:rPr>
              <w:t xml:space="preserve">Принятие управленческих решений в части выявления и наблюдения граждан с высоким риском развития осложнений ССЗ. Внедрение инновационных методов диагностики и профилактики ССЗ</w:t>
            </w:r>
          </w:p>
        </w:tc>
        <w:tc>
          <w:tcPr>
            <w:tcW w:w="2041" w:type="dxa"/>
          </w:tcPr>
          <w:p>
            <w:pPr>
              <w:pStyle w:val="0"/>
              <w:jc w:val="both"/>
            </w:pPr>
            <w:r>
              <w:rPr>
                <w:sz w:val="20"/>
              </w:rPr>
              <w:t xml:space="preserve">Регулярное (ежеквартальное)</w:t>
            </w:r>
          </w:p>
        </w:tc>
      </w:tr>
      <w:tr>
        <w:tc>
          <w:tcPr>
            <w:gridSpan w:val="8"/>
            <w:tcW w:w="18709" w:type="dxa"/>
          </w:tcPr>
          <w:p>
            <w:pPr>
              <w:pStyle w:val="0"/>
              <w:outlineLvl w:val="3"/>
              <w:jc w:val="both"/>
            </w:pPr>
            <w:r>
              <w:rPr>
                <w:sz w:val="20"/>
              </w:rPr>
              <w:t xml:space="preserve">3. Работа с факторами риска развития сердечно-сосудистых заболеваний</w:t>
            </w:r>
          </w:p>
        </w:tc>
      </w:tr>
      <w:tr>
        <w:tc>
          <w:tcPr>
            <w:tcW w:w="624" w:type="dxa"/>
          </w:tcPr>
          <w:p>
            <w:pPr>
              <w:pStyle w:val="0"/>
              <w:jc w:val="both"/>
            </w:pPr>
            <w:r>
              <w:rPr>
                <w:sz w:val="20"/>
              </w:rPr>
              <w:t xml:space="preserve">1</w:t>
            </w:r>
          </w:p>
        </w:tc>
        <w:tc>
          <w:tcPr>
            <w:tcW w:w="3402" w:type="dxa"/>
          </w:tcPr>
          <w:p>
            <w:pPr>
              <w:pStyle w:val="0"/>
              <w:jc w:val="both"/>
            </w:pPr>
            <w:r>
              <w:rPr>
                <w:sz w:val="20"/>
              </w:rPr>
              <w:t xml:space="preserve">Внедрение соответствующих уроков здоровья в образовательные учреждения, в производственные коллективы, в общественные организации для неработающего населения</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директор Департамента образования и науки города Севастополя; главный врач центра медицинской статистики ГБУЗС "МИАЦ"</w:t>
            </w:r>
          </w:p>
        </w:tc>
        <w:tc>
          <w:tcPr>
            <w:tcW w:w="3061" w:type="dxa"/>
          </w:tcPr>
          <w:p>
            <w:pPr>
              <w:pStyle w:val="0"/>
              <w:jc w:val="both"/>
            </w:pPr>
            <w:r>
              <w:rPr>
                <w:sz w:val="20"/>
              </w:rPr>
              <w:t xml:space="preserve">Проведение не менее 12 лекций, уроков, конференций, семинаров, тренингов в год</w:t>
            </w:r>
          </w:p>
        </w:tc>
        <w:tc>
          <w:tcPr>
            <w:tcW w:w="3855" w:type="dxa"/>
          </w:tcPr>
          <w:p>
            <w:pPr>
              <w:pStyle w:val="0"/>
              <w:jc w:val="both"/>
            </w:pPr>
            <w:r>
              <w:rPr>
                <w:sz w:val="20"/>
              </w:rPr>
              <w:t xml:space="preserve">Проведение уроков здоровья в образовательных учреждениях, в производственных коллективах, в общественных организациях для неработающего населения</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2</w:t>
            </w:r>
          </w:p>
        </w:tc>
        <w:tc>
          <w:tcPr>
            <w:tcW w:w="3402" w:type="dxa"/>
          </w:tcPr>
          <w:p>
            <w:pPr>
              <w:pStyle w:val="0"/>
              <w:jc w:val="both"/>
            </w:pPr>
            <w:r>
              <w:rPr>
                <w:sz w:val="20"/>
              </w:rPr>
              <w:t xml:space="preserve">Организация и проведение информационно-просветительских программ для населения с использованием средств массовой информации</w:t>
            </w:r>
          </w:p>
        </w:tc>
        <w:tc>
          <w:tcPr>
            <w:tcW w:w="1361" w:type="dxa"/>
          </w:tcPr>
          <w:p>
            <w:pPr>
              <w:pStyle w:val="0"/>
              <w:jc w:val="both"/>
            </w:pPr>
            <w:r>
              <w:rPr>
                <w:sz w:val="20"/>
              </w:rPr>
              <w:t xml:space="preserve">01.07.2023</w:t>
            </w:r>
          </w:p>
        </w:tc>
        <w:tc>
          <w:tcPr>
            <w:tcW w:w="1417" w:type="dxa"/>
          </w:tcPr>
          <w:p>
            <w:pPr>
              <w:pStyle w:val="0"/>
              <w:jc w:val="both"/>
            </w:pPr>
            <w:r>
              <w:rPr>
                <w:sz w:val="20"/>
              </w:rPr>
              <w:t xml:space="preserve">01.12.2024</w:t>
            </w:r>
          </w:p>
        </w:tc>
        <w:tc>
          <w:tcPr>
            <w:tcW w:w="2948" w:type="dxa"/>
          </w:tcPr>
          <w:p>
            <w:pPr>
              <w:pStyle w:val="0"/>
              <w:jc w:val="both"/>
            </w:pPr>
            <w:r>
              <w:rPr>
                <w:sz w:val="20"/>
              </w:rPr>
              <w:t xml:space="preserve">Начальник Управления организации медицинской помощи</w:t>
            </w:r>
          </w:p>
        </w:tc>
        <w:tc>
          <w:tcPr>
            <w:tcW w:w="3061" w:type="dxa"/>
          </w:tcPr>
          <w:p>
            <w:pPr>
              <w:pStyle w:val="0"/>
              <w:jc w:val="both"/>
            </w:pPr>
            <w:r>
              <w:rPr>
                <w:sz w:val="20"/>
              </w:rPr>
              <w:t xml:space="preserve">Не менее четырех мероприятий в год</w:t>
            </w:r>
          </w:p>
        </w:tc>
        <w:tc>
          <w:tcPr>
            <w:tcW w:w="3855" w:type="dxa"/>
          </w:tcPr>
          <w:p>
            <w:pPr>
              <w:pStyle w:val="0"/>
              <w:jc w:val="both"/>
            </w:pPr>
            <w:r>
              <w:rPr>
                <w:sz w:val="20"/>
              </w:rPr>
              <w:t xml:space="preserve">Создание среды, способствующей ведению гражданами здорового образа жизни, включая повышение физической активности, здоровое питание, защиту от табачного дыма и снижение потребления алкоголя. Создание культа здоровья как фундаментальной ценности жизни современного человека</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3</w:t>
            </w:r>
          </w:p>
        </w:tc>
        <w:tc>
          <w:tcPr>
            <w:tcW w:w="3402" w:type="dxa"/>
          </w:tcPr>
          <w:p>
            <w:pPr>
              <w:pStyle w:val="0"/>
              <w:jc w:val="both"/>
            </w:pPr>
            <w:r>
              <w:rPr>
                <w:sz w:val="20"/>
              </w:rPr>
              <w:t xml:space="preserve">Создание и трансляция просветительских программ/передач для населения на телевизионных каналах "Информационный канал Севастополя", "Вести-Севастополь", "НТС"</w:t>
            </w:r>
          </w:p>
        </w:tc>
        <w:tc>
          <w:tcPr>
            <w:tcW w:w="1361" w:type="dxa"/>
          </w:tcPr>
          <w:p>
            <w:pPr>
              <w:pStyle w:val="0"/>
              <w:jc w:val="both"/>
            </w:pPr>
            <w:r>
              <w:rPr>
                <w:sz w:val="20"/>
              </w:rPr>
              <w:t xml:space="preserve">01.07.2023</w:t>
            </w:r>
          </w:p>
        </w:tc>
        <w:tc>
          <w:tcPr>
            <w:tcW w:w="1417" w:type="dxa"/>
          </w:tcPr>
          <w:p>
            <w:pPr>
              <w:pStyle w:val="0"/>
              <w:jc w:val="both"/>
            </w:pPr>
            <w:r>
              <w:rPr>
                <w:sz w:val="20"/>
              </w:rPr>
              <w:t xml:space="preserve">01.12.2024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начальник информационно-аналитического отдела ГБУЗС "МИАЦ"</w:t>
            </w:r>
          </w:p>
        </w:tc>
        <w:tc>
          <w:tcPr>
            <w:tcW w:w="3061" w:type="dxa"/>
          </w:tcPr>
          <w:p>
            <w:pPr>
              <w:pStyle w:val="0"/>
              <w:jc w:val="both"/>
            </w:pPr>
            <w:r>
              <w:rPr>
                <w:sz w:val="20"/>
              </w:rPr>
              <w:t xml:space="preserve">Создано и транслировано не менее 12 программ/передач в год</w:t>
            </w:r>
          </w:p>
        </w:tc>
        <w:tc>
          <w:tcPr>
            <w:tcW w:w="3855" w:type="dxa"/>
          </w:tcPr>
          <w:p>
            <w:pPr>
              <w:pStyle w:val="0"/>
              <w:jc w:val="both"/>
            </w:pPr>
            <w:r>
              <w:rPr>
                <w:sz w:val="20"/>
              </w:rPr>
              <w:t xml:space="preserve">Создано и транслировано не менее 12 программ/передач</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4</w:t>
            </w:r>
          </w:p>
        </w:tc>
        <w:tc>
          <w:tcPr>
            <w:tcW w:w="3402" w:type="dxa"/>
          </w:tcPr>
          <w:p>
            <w:pPr>
              <w:pStyle w:val="0"/>
              <w:jc w:val="both"/>
            </w:pPr>
            <w:r>
              <w:rPr>
                <w:sz w:val="20"/>
              </w:rPr>
              <w:t xml:space="preserve">Опубликованы материалы в СМИ по профилактике сердечно-сосудистых заболеваний, о первых признаках ОКС и ОНМК</w:t>
            </w:r>
          </w:p>
        </w:tc>
        <w:tc>
          <w:tcPr>
            <w:tcW w:w="1361" w:type="dxa"/>
          </w:tcPr>
          <w:p>
            <w:pPr>
              <w:pStyle w:val="0"/>
              <w:jc w:val="both"/>
            </w:pPr>
            <w:r>
              <w:rPr>
                <w:sz w:val="20"/>
              </w:rPr>
              <w:t xml:space="preserve">01.07.2023</w:t>
            </w:r>
          </w:p>
        </w:tc>
        <w:tc>
          <w:tcPr>
            <w:tcW w:w="1417" w:type="dxa"/>
          </w:tcPr>
          <w:p>
            <w:pPr>
              <w:pStyle w:val="0"/>
              <w:jc w:val="both"/>
            </w:pPr>
            <w:r>
              <w:rPr>
                <w:sz w:val="20"/>
              </w:rPr>
              <w:t xml:space="preserve">01.12.2024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начальник информационно-аналитического отдела ГБУЗС "МИАЦ"</w:t>
            </w:r>
          </w:p>
        </w:tc>
        <w:tc>
          <w:tcPr>
            <w:tcW w:w="3061" w:type="dxa"/>
          </w:tcPr>
          <w:p>
            <w:pPr>
              <w:pStyle w:val="0"/>
              <w:jc w:val="both"/>
            </w:pPr>
            <w:r>
              <w:rPr>
                <w:sz w:val="20"/>
              </w:rPr>
              <w:t xml:space="preserve">Публикация не менее двух статей в месяц</w:t>
            </w:r>
          </w:p>
        </w:tc>
        <w:tc>
          <w:tcPr>
            <w:tcW w:w="3855" w:type="dxa"/>
          </w:tcPr>
          <w:p>
            <w:pPr>
              <w:pStyle w:val="0"/>
              <w:jc w:val="both"/>
            </w:pPr>
            <w:r>
              <w:rPr>
                <w:sz w:val="20"/>
              </w:rPr>
              <w:t xml:space="preserve">Опубликовано не менее 24 статей по пропаганде здорового образа жизни в местной печати</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5</w:t>
            </w:r>
          </w:p>
        </w:tc>
        <w:tc>
          <w:tcPr>
            <w:tcW w:w="3402" w:type="dxa"/>
          </w:tcPr>
          <w:p>
            <w:pPr>
              <w:pStyle w:val="0"/>
              <w:jc w:val="both"/>
            </w:pPr>
            <w:r>
              <w:rPr>
                <w:sz w:val="20"/>
              </w:rPr>
              <w:t xml:space="preserve">Организация кабинетов отказа от курения в поликлиниках города Севастополя</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главные врачи ГБУЗС "Городская больница N 1 им. Н.И. Пирогова"; ГБУЗС "Городская больница N 4"; ГБУЗС "Городская больница N 9"; начальник центра общественного здоровья и медицинской профилактики</w:t>
            </w:r>
          </w:p>
        </w:tc>
        <w:tc>
          <w:tcPr>
            <w:tcW w:w="3061" w:type="dxa"/>
          </w:tcPr>
          <w:p>
            <w:pPr>
              <w:pStyle w:val="0"/>
              <w:jc w:val="both"/>
            </w:pPr>
            <w:r>
              <w:rPr>
                <w:sz w:val="20"/>
              </w:rPr>
              <w:t xml:space="preserve">Открытие не менее одного кабинета в год</w:t>
            </w:r>
          </w:p>
        </w:tc>
        <w:tc>
          <w:tcPr>
            <w:tcW w:w="3855" w:type="dxa"/>
          </w:tcPr>
          <w:p>
            <w:pPr>
              <w:pStyle w:val="0"/>
              <w:jc w:val="both"/>
            </w:pPr>
            <w:r>
              <w:rPr>
                <w:sz w:val="20"/>
              </w:rPr>
              <w:t xml:space="preserve">Открыто не менее трех кабинетов отказа от курения (один кабинет в год)</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6</w:t>
            </w:r>
          </w:p>
        </w:tc>
        <w:tc>
          <w:tcPr>
            <w:tcW w:w="3402" w:type="dxa"/>
          </w:tcPr>
          <w:p>
            <w:pPr>
              <w:pStyle w:val="0"/>
              <w:jc w:val="both"/>
            </w:pPr>
            <w:r>
              <w:rPr>
                <w:sz w:val="20"/>
              </w:rPr>
              <w:t xml:space="preserve">Проведение широкомасштабных профилактических акций для населения:</w:t>
            </w:r>
          </w:p>
          <w:p>
            <w:pPr>
              <w:pStyle w:val="0"/>
              <w:jc w:val="both"/>
            </w:pPr>
            <w:r>
              <w:rPr>
                <w:sz w:val="20"/>
              </w:rPr>
              <w:t xml:space="preserve">1. "Дни народного здоровья".</w:t>
            </w:r>
          </w:p>
          <w:p>
            <w:pPr>
              <w:pStyle w:val="0"/>
              <w:jc w:val="both"/>
            </w:pPr>
            <w:r>
              <w:rPr>
                <w:sz w:val="20"/>
              </w:rPr>
              <w:t xml:space="preserve">2. "Кардиокросс" в рамках Всемирного дня сердца.</w:t>
            </w:r>
          </w:p>
          <w:p>
            <w:pPr>
              <w:pStyle w:val="0"/>
              <w:jc w:val="both"/>
            </w:pPr>
            <w:r>
              <w:rPr>
                <w:sz w:val="20"/>
              </w:rPr>
              <w:t xml:space="preserve">3. "Кардиолог первокласснику" в День знаний.</w:t>
            </w:r>
          </w:p>
          <w:p>
            <w:pPr>
              <w:pStyle w:val="0"/>
              <w:jc w:val="both"/>
            </w:pPr>
            <w:r>
              <w:rPr>
                <w:sz w:val="20"/>
              </w:rPr>
              <w:t xml:space="preserve">4. "Прогулка с кардиологом".</w:t>
            </w:r>
          </w:p>
          <w:p>
            <w:pPr>
              <w:pStyle w:val="0"/>
              <w:jc w:val="both"/>
            </w:pPr>
            <w:r>
              <w:rPr>
                <w:sz w:val="20"/>
              </w:rPr>
              <w:t xml:space="preserve">5. "Кардиомаршрут".</w:t>
            </w:r>
          </w:p>
          <w:p>
            <w:pPr>
              <w:pStyle w:val="0"/>
              <w:jc w:val="both"/>
            </w:pPr>
            <w:r>
              <w:rPr>
                <w:sz w:val="20"/>
              </w:rPr>
              <w:t xml:space="preserve">6. Всемирный день здоровья.</w:t>
            </w:r>
          </w:p>
          <w:p>
            <w:pPr>
              <w:pStyle w:val="0"/>
              <w:jc w:val="both"/>
            </w:pPr>
            <w:r>
              <w:rPr>
                <w:sz w:val="20"/>
              </w:rPr>
              <w:t xml:space="preserve">7. Всемирный день борьбы с АГ.</w:t>
            </w:r>
          </w:p>
          <w:p>
            <w:pPr>
              <w:pStyle w:val="0"/>
              <w:jc w:val="both"/>
            </w:pPr>
            <w:r>
              <w:rPr>
                <w:sz w:val="20"/>
              </w:rPr>
              <w:t xml:space="preserve">8. Всемирный день борьбы с инсультом.</w:t>
            </w:r>
          </w:p>
          <w:p>
            <w:pPr>
              <w:pStyle w:val="0"/>
              <w:jc w:val="both"/>
            </w:pPr>
            <w:r>
              <w:rPr>
                <w:sz w:val="20"/>
              </w:rPr>
              <w:t xml:space="preserve">9. Всемирный день без табака</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начальник информационно-аналитического отдела ГБУЗС "МИАЦ"</w:t>
            </w:r>
          </w:p>
        </w:tc>
        <w:tc>
          <w:tcPr>
            <w:tcW w:w="3061" w:type="dxa"/>
          </w:tcPr>
          <w:p>
            <w:pPr>
              <w:pStyle w:val="0"/>
              <w:jc w:val="both"/>
            </w:pPr>
            <w:r>
              <w:rPr>
                <w:sz w:val="20"/>
              </w:rPr>
              <w:t xml:space="preserve">Проведено не менее девяти профилактических акций для населения. Охват аудитории не менее 10000 чел. в год</w:t>
            </w:r>
          </w:p>
        </w:tc>
        <w:tc>
          <w:tcPr>
            <w:tcW w:w="3855" w:type="dxa"/>
          </w:tcPr>
          <w:p>
            <w:pPr>
              <w:pStyle w:val="0"/>
              <w:jc w:val="both"/>
            </w:pPr>
            <w:r>
              <w:rPr>
                <w:sz w:val="20"/>
              </w:rPr>
              <w:t xml:space="preserve">Проведено не менее девяти профилактических акций для населения. Охват аудитории не менее 10000 чел. в год</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7</w:t>
            </w:r>
          </w:p>
        </w:tc>
        <w:tc>
          <w:tcPr>
            <w:tcW w:w="3402" w:type="dxa"/>
          </w:tcPr>
          <w:p>
            <w:pPr>
              <w:pStyle w:val="0"/>
              <w:jc w:val="both"/>
            </w:pPr>
            <w:r>
              <w:rPr>
                <w:sz w:val="20"/>
              </w:rPr>
              <w:t xml:space="preserve">Актуализация и обновление доступной справочной информации в медицинских учреждениях, на официальных сайтах, страницах социальных сетей медицинских организаций о возможности пройти скрининг на наличие факторов риска ССЗ, диспансеризацию и другие виды профилактических осмотров</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главные врачи ГБУЗС "Городская больница N 1 им. Н.И. Пирогова"; ГБУЗС "Городская больница N 4"; ГБУЗС "Городская больница N 9"; заместитель директора ГБУЗС "МИАЦ"</w:t>
            </w:r>
          </w:p>
        </w:tc>
        <w:tc>
          <w:tcPr>
            <w:tcW w:w="3061" w:type="dxa"/>
          </w:tcPr>
          <w:p>
            <w:pPr>
              <w:pStyle w:val="0"/>
              <w:jc w:val="both"/>
            </w:pPr>
            <w:r>
              <w:rPr>
                <w:sz w:val="20"/>
              </w:rPr>
              <w:t xml:space="preserve">100% поликлиник от общего числа поликлиник имеют информационные стенды о возможности пройти диспансеризацию, профилактические осмотры, кардиоскрининг, скрининг на наличие факторов риска развития инфаркта миокарда и инсульта</w:t>
            </w:r>
          </w:p>
        </w:tc>
        <w:tc>
          <w:tcPr>
            <w:tcW w:w="3855" w:type="dxa"/>
          </w:tcPr>
          <w:p>
            <w:pPr>
              <w:pStyle w:val="0"/>
              <w:jc w:val="both"/>
            </w:pPr>
            <w:r>
              <w:rPr>
                <w:sz w:val="20"/>
              </w:rPr>
              <w:t xml:space="preserve">100% поликлиник от общего числа поликлиник имеют информационные стенды о возможности пройти диспансеризацию, профилактические осмотры, кардиоскрининг, скрининг на наличие факторов риска развития инфаркта миокарда и инсульта. Увеличение до 100% охваченного диспансеризацией взрослого населения, скринингом взрослого населения. Увеличение количества граждан, прошедших профилактический осмотр/диспансеризацию, на 5%</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8</w:t>
            </w:r>
          </w:p>
        </w:tc>
        <w:tc>
          <w:tcPr>
            <w:tcW w:w="3402" w:type="dxa"/>
          </w:tcPr>
          <w:p>
            <w:pPr>
              <w:pStyle w:val="0"/>
              <w:jc w:val="both"/>
            </w:pPr>
            <w:r>
              <w:rPr>
                <w:sz w:val="20"/>
              </w:rPr>
              <w:t xml:space="preserve">Открытие школы здоровья в МО для пациентов с ССЗ, риском развития ССЗ, а также их родственников</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начальник Центра общественного здоровья и медицинской профилактики ГБУЗС "МИАЦ"; главные врачи ГБУЗС "Городская больница N 1 им. Н.И. Пирогова"; ГБУЗС "Городская больница N 4"; ГБУЗС "Городская больница N 9"</w:t>
            </w:r>
          </w:p>
        </w:tc>
        <w:tc>
          <w:tcPr>
            <w:tcW w:w="3061" w:type="dxa"/>
          </w:tcPr>
          <w:p>
            <w:pPr>
              <w:pStyle w:val="0"/>
              <w:jc w:val="both"/>
            </w:pPr>
            <w:r>
              <w:rPr>
                <w:sz w:val="20"/>
              </w:rPr>
              <w:t xml:space="preserve">Открыта школа для пациентов с ССЗ, риском развития ССЗ, а также их родственников</w:t>
            </w:r>
          </w:p>
        </w:tc>
        <w:tc>
          <w:tcPr>
            <w:tcW w:w="3855" w:type="dxa"/>
          </w:tcPr>
          <w:p>
            <w:pPr>
              <w:pStyle w:val="0"/>
              <w:jc w:val="both"/>
            </w:pPr>
            <w:r>
              <w:rPr>
                <w:sz w:val="20"/>
              </w:rPr>
              <w:t xml:space="preserve">Проводится санитарно-просветительская работа, обучение пациентов и их родственники в школах здоровья</w:t>
            </w:r>
          </w:p>
        </w:tc>
        <w:tc>
          <w:tcPr>
            <w:tcW w:w="2041" w:type="dxa"/>
          </w:tcPr>
          <w:p>
            <w:pPr>
              <w:pStyle w:val="0"/>
              <w:jc w:val="both"/>
            </w:pPr>
            <w:r>
              <w:rPr>
                <w:sz w:val="20"/>
              </w:rPr>
              <w:t xml:space="preserve">Регулярное (ежегодное)</w:t>
            </w:r>
          </w:p>
        </w:tc>
      </w:tr>
      <w:tr>
        <w:tc>
          <w:tcPr>
            <w:gridSpan w:val="8"/>
            <w:tcW w:w="18709" w:type="dxa"/>
          </w:tcPr>
          <w:p>
            <w:pPr>
              <w:pStyle w:val="0"/>
              <w:outlineLvl w:val="3"/>
              <w:jc w:val="both"/>
            </w:pPr>
            <w:r>
              <w:rPr>
                <w:sz w:val="20"/>
              </w:rPr>
              <w:t xml:space="preserve">4. Комплекс мер, направленный на совершенствование системы оказания первичной медико-санитарной помощи при сердечно-сосудистых заболеваниях</w:t>
            </w:r>
          </w:p>
        </w:tc>
      </w:tr>
      <w:tr>
        <w:tc>
          <w:tcPr>
            <w:tcW w:w="624" w:type="dxa"/>
          </w:tcPr>
          <w:p>
            <w:pPr>
              <w:pStyle w:val="0"/>
              <w:jc w:val="both"/>
            </w:pPr>
            <w:r>
              <w:rPr>
                <w:sz w:val="20"/>
              </w:rPr>
              <w:t xml:space="preserve">1</w:t>
            </w:r>
          </w:p>
        </w:tc>
        <w:tc>
          <w:tcPr>
            <w:tcW w:w="3402" w:type="dxa"/>
          </w:tcPr>
          <w:p>
            <w:pPr>
              <w:pStyle w:val="0"/>
              <w:jc w:val="both"/>
            </w:pPr>
            <w:r>
              <w:rPr>
                <w:sz w:val="20"/>
              </w:rPr>
              <w:t xml:space="preserve">Проведение лекций для средних медицинских работников по темам: "Организация санитарного просвещения" и "Гигиеническое воспитание"</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главные врачи ГБУЗС "Городская больница N 1 им. Н.И. Пирогова"; ГБУЗС "Городская больница N 4"; ГБУЗС "Городская больница N 9"</w:t>
            </w:r>
          </w:p>
        </w:tc>
        <w:tc>
          <w:tcPr>
            <w:tcW w:w="3061" w:type="dxa"/>
          </w:tcPr>
          <w:p>
            <w:pPr>
              <w:pStyle w:val="0"/>
              <w:jc w:val="both"/>
            </w:pPr>
            <w:r>
              <w:rPr>
                <w:sz w:val="20"/>
              </w:rPr>
              <w:t xml:space="preserve">Проведено не менее четырех лекций в год для средних медицинских работников по темам: "Организация санитарного просвещения" и "Гигиеническое воспитание"</w:t>
            </w:r>
          </w:p>
        </w:tc>
        <w:tc>
          <w:tcPr>
            <w:tcW w:w="3855" w:type="dxa"/>
          </w:tcPr>
          <w:p>
            <w:pPr>
              <w:pStyle w:val="0"/>
              <w:jc w:val="both"/>
            </w:pPr>
            <w:r>
              <w:rPr>
                <w:sz w:val="20"/>
              </w:rPr>
              <w:t xml:space="preserve">Проведено не менее четырех лекций в год для средних медицинских работников по темам: "Организация санитарного просвещения" и "Гигиеническое воспитание"</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2</w:t>
            </w:r>
          </w:p>
        </w:tc>
        <w:tc>
          <w:tcPr>
            <w:tcW w:w="3402" w:type="dxa"/>
          </w:tcPr>
          <w:p>
            <w:pPr>
              <w:pStyle w:val="0"/>
              <w:jc w:val="both"/>
            </w:pPr>
            <w:r>
              <w:rPr>
                <w:sz w:val="20"/>
              </w:rPr>
              <w:t xml:space="preserve">Проведение обучающих мероприятий для участковых терапевтов, кардиологов, неврологов поликлиник по вопросу оказания первичной и специализированной медицинской помощи пациентам с сердечно-сосудистыми заболеваниями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Главный внештатный специалист-кардиолог Департамента здравоохранения города Севастополя; главный внештатный специалист - невролог Департамента здравоохранения города Севастополя; главный внештатный специалист по терапии и общей врачебной практике</w:t>
            </w:r>
          </w:p>
        </w:tc>
        <w:tc>
          <w:tcPr>
            <w:tcW w:w="3061" w:type="dxa"/>
          </w:tcPr>
          <w:p>
            <w:pPr>
              <w:pStyle w:val="0"/>
              <w:jc w:val="both"/>
            </w:pPr>
            <w:r>
              <w:rPr>
                <w:sz w:val="20"/>
              </w:rPr>
              <w:t xml:space="preserve">Проведено не менее четырех обучающих мероприятий в год</w:t>
            </w:r>
          </w:p>
        </w:tc>
        <w:tc>
          <w:tcPr>
            <w:tcW w:w="3855" w:type="dxa"/>
          </w:tcPr>
          <w:p>
            <w:pPr>
              <w:pStyle w:val="0"/>
              <w:jc w:val="both"/>
            </w:pPr>
            <w:r>
              <w:rPr>
                <w:sz w:val="20"/>
              </w:rPr>
              <w:t xml:space="preserve">Повышение квалификации медицинского персонала первичного звена. Проведено не менее четырех обучающих мероприятий в год</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3</w:t>
            </w:r>
          </w:p>
        </w:tc>
        <w:tc>
          <w:tcPr>
            <w:tcW w:w="3402" w:type="dxa"/>
          </w:tcPr>
          <w:p>
            <w:pPr>
              <w:pStyle w:val="0"/>
              <w:jc w:val="both"/>
            </w:pPr>
            <w:r>
              <w:rPr>
                <w:sz w:val="20"/>
              </w:rPr>
              <w:t xml:space="preserve">Усиление контроля за диспансеризацией пациентов с ССЗ, особенно после перенесенных инфаркта миокарда и/или острого нарушения мозгового кровообращения для достижения рекомендуемых Министерством здравоохранения Российской Федерации целевых значений</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специалист - невролог Департамента здравоохранения города Севастополя; главный внештатный специалист - кардиолог Департамента здравоохранения города Севастополя</w:t>
            </w:r>
          </w:p>
        </w:tc>
        <w:tc>
          <w:tcPr>
            <w:tcW w:w="3061" w:type="dxa"/>
          </w:tcPr>
          <w:p>
            <w:pPr>
              <w:pStyle w:val="0"/>
              <w:jc w:val="both"/>
            </w:pPr>
            <w:r>
              <w:rPr>
                <w:sz w:val="20"/>
              </w:rPr>
              <w:t xml:space="preserve">Утвержден приказ Департамента о передаче данных из стационарных отделений в амбулаторно-поликлиническую сеть для своевременного взятия на "Д"-учет пациентов после ВМП</w:t>
            </w:r>
          </w:p>
        </w:tc>
        <w:tc>
          <w:tcPr>
            <w:tcW w:w="3855" w:type="dxa"/>
          </w:tcPr>
          <w:p>
            <w:pPr>
              <w:pStyle w:val="0"/>
              <w:jc w:val="both"/>
            </w:pPr>
            <w:r>
              <w:rPr>
                <w:sz w:val="20"/>
              </w:rPr>
              <w:t xml:space="preserve">Составлен ежегодный график выездной работы в медицинские организации города Севастополя (не менее 10). Издан приказ Департамента о передаче данных из стационарных отделений в амбулаторно-поликлиническую сеть для своевременного взятия на "Д"-учет пациентов после ВМП. Создан регистр лиц для данной категории пациентов</w:t>
            </w:r>
          </w:p>
        </w:tc>
        <w:tc>
          <w:tcPr>
            <w:tcW w:w="2041" w:type="dxa"/>
          </w:tcPr>
          <w:p>
            <w:pPr>
              <w:pStyle w:val="0"/>
              <w:jc w:val="both"/>
            </w:pPr>
            <w:r>
              <w:rPr>
                <w:sz w:val="20"/>
              </w:rPr>
              <w:t xml:space="preserve">Разовое (делимое)</w:t>
            </w:r>
          </w:p>
        </w:tc>
      </w:tr>
      <w:tr>
        <w:tc>
          <w:tcPr>
            <w:tcW w:w="624" w:type="dxa"/>
          </w:tcPr>
          <w:p>
            <w:pPr>
              <w:pStyle w:val="0"/>
              <w:jc w:val="both"/>
            </w:pPr>
            <w:r>
              <w:rPr>
                <w:sz w:val="20"/>
              </w:rPr>
              <w:t xml:space="preserve">4</w:t>
            </w:r>
          </w:p>
        </w:tc>
        <w:tc>
          <w:tcPr>
            <w:tcW w:w="3402" w:type="dxa"/>
          </w:tcPr>
          <w:p>
            <w:pPr>
              <w:pStyle w:val="0"/>
              <w:jc w:val="both"/>
            </w:pPr>
            <w:r>
              <w:rPr>
                <w:sz w:val="20"/>
              </w:rPr>
              <w:t xml:space="preserve">Регулярное проведение программ для пациентов с перенесенными острыми сосудистыми событиями (ОИМ, ОНМК, тромбоэмболия легочной артерии и др.), а также обучающих программ после проведения хирургических методов лечения (протезирование клапанов сердца, коронарное шунтирование, имплантация электрокардиостимулятора)</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главные врачи ГБУЗС "Городская больница N 1 им. Н.И. Пирогова"; ГБУЗС "Городская больница N 4"; ГБУЗС "Городская больница N 9"</w:t>
            </w:r>
          </w:p>
        </w:tc>
        <w:tc>
          <w:tcPr>
            <w:tcW w:w="3061" w:type="dxa"/>
          </w:tcPr>
          <w:p>
            <w:pPr>
              <w:pStyle w:val="0"/>
              <w:jc w:val="both"/>
            </w:pPr>
            <w:r>
              <w:rPr>
                <w:sz w:val="20"/>
              </w:rPr>
              <w:t xml:space="preserve">Регулярное проведение обучающий мероприятий для пациентов, перенесших острые сосудистые события, и после проведения хирургических методов лечения</w:t>
            </w:r>
          </w:p>
        </w:tc>
        <w:tc>
          <w:tcPr>
            <w:tcW w:w="3855" w:type="dxa"/>
          </w:tcPr>
          <w:p>
            <w:pPr>
              <w:pStyle w:val="0"/>
              <w:jc w:val="both"/>
            </w:pPr>
            <w:r>
              <w:rPr>
                <w:sz w:val="20"/>
              </w:rPr>
              <w:t xml:space="preserve">Ежегодно проводится не менее одного обучающего мероприятия для каждого пациента, перенесшего острые сосудистые события. Повышение информированности и приверженности к лечению и выполнению рекомендаций врача. Уменьшение частоты возникновения повторных сосудистых событий. Улучшение качества и прогноза жизни</w:t>
            </w:r>
          </w:p>
        </w:tc>
        <w:tc>
          <w:tcPr>
            <w:tcW w:w="2041" w:type="dxa"/>
          </w:tcPr>
          <w:p>
            <w:pPr>
              <w:pStyle w:val="0"/>
              <w:jc w:val="both"/>
            </w:pPr>
            <w:r>
              <w:rPr>
                <w:sz w:val="20"/>
              </w:rPr>
              <w:t xml:space="preserve">Регулярное (ежегодное)</w:t>
            </w:r>
          </w:p>
        </w:tc>
      </w:tr>
      <w:tr>
        <w:tc>
          <w:tcPr>
            <w:gridSpan w:val="8"/>
            <w:tcW w:w="18709" w:type="dxa"/>
          </w:tcPr>
          <w:p>
            <w:pPr>
              <w:pStyle w:val="0"/>
              <w:outlineLvl w:val="3"/>
              <w:jc w:val="both"/>
            </w:pPr>
            <w:r>
              <w:rPr>
                <w:sz w:val="20"/>
              </w:rPr>
              <w:t xml:space="preserve">5. Мероприятия по вторичной профилактике сердечно-сосудистых заболеваний</w:t>
            </w:r>
          </w:p>
        </w:tc>
      </w:tr>
      <w:tr>
        <w:tc>
          <w:tcPr>
            <w:tcW w:w="624" w:type="dxa"/>
          </w:tcPr>
          <w:p>
            <w:pPr>
              <w:pStyle w:val="0"/>
              <w:jc w:val="both"/>
            </w:pPr>
            <w:r>
              <w:rPr>
                <w:sz w:val="20"/>
              </w:rPr>
              <w:t xml:space="preserve">1</w:t>
            </w:r>
          </w:p>
        </w:tc>
        <w:tc>
          <w:tcPr>
            <w:tcW w:w="3402" w:type="dxa"/>
          </w:tcPr>
          <w:p>
            <w:pPr>
              <w:pStyle w:val="0"/>
              <w:jc w:val="both"/>
            </w:pPr>
            <w:r>
              <w:rPr>
                <w:sz w:val="20"/>
              </w:rPr>
              <w:t xml:space="preserve">Продолжение реализации программы дополнительного льготного лекарственного обеспечения в течение 12 месяцев пациентов, перенесших ИМ и ОНМК</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Первый заместитель директора Департамента здравоохранения города Севастополя</w:t>
            </w:r>
          </w:p>
        </w:tc>
        <w:tc>
          <w:tcPr>
            <w:tcW w:w="3061" w:type="dxa"/>
          </w:tcPr>
          <w:p>
            <w:pPr>
              <w:pStyle w:val="0"/>
              <w:jc w:val="both"/>
            </w:pPr>
            <w:r>
              <w:rPr>
                <w:sz w:val="20"/>
              </w:rPr>
              <w:t xml:space="preserve">Обеспечение в течение 12 месяцев пациентов, перенесших ИМ и ОНМК, гиполипидемическими, антиагрегантными и гипотензивными средствами</w:t>
            </w:r>
          </w:p>
        </w:tc>
        <w:tc>
          <w:tcPr>
            <w:tcW w:w="3855" w:type="dxa"/>
          </w:tcPr>
          <w:p>
            <w:pPr>
              <w:pStyle w:val="0"/>
              <w:jc w:val="both"/>
            </w:pPr>
            <w:r>
              <w:rPr>
                <w:sz w:val="20"/>
              </w:rPr>
              <w:t xml:space="preserve">Продолжена программа дополнительного льготного лекарственного обеспечения в течение 12 месяцев пациентов, перенесших ИМ и ОНМК, гиполипидемическими, антиагрегантными и гипотензивными средствами. Достижение и поддержание доли больных, перенесших инфаркт миокарда, регулярно принимающих статины, до 80%.</w:t>
            </w:r>
          </w:p>
          <w:p>
            <w:pPr>
              <w:pStyle w:val="0"/>
              <w:jc w:val="both"/>
            </w:pPr>
            <w:r>
              <w:rPr>
                <w:sz w:val="20"/>
              </w:rPr>
              <w:t xml:space="preserve">Достижение и поддержание доли больных артериальной гипертонией, достигших и поддерживающих целевые уровни артериального давления, до 70%.</w:t>
            </w:r>
          </w:p>
          <w:p>
            <w:pPr>
              <w:pStyle w:val="0"/>
              <w:jc w:val="both"/>
            </w:pPr>
            <w:r>
              <w:rPr>
                <w:sz w:val="20"/>
              </w:rPr>
              <w:t xml:space="preserve">Достижение и поддержание доли лиц с гиперхолестеринемией, принимающих статины, до 70%.</w:t>
            </w:r>
          </w:p>
          <w:p>
            <w:pPr>
              <w:pStyle w:val="0"/>
              <w:jc w:val="both"/>
            </w:pPr>
            <w:r>
              <w:rPr>
                <w:sz w:val="20"/>
              </w:rPr>
              <w:t xml:space="preserve">Формирование у пациентов приверженности к динамическому наблюдению у врачей-специалистов и выполнению рекомендаций</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2</w:t>
            </w:r>
          </w:p>
        </w:tc>
        <w:tc>
          <w:tcPr>
            <w:tcW w:w="3402" w:type="dxa"/>
          </w:tcPr>
          <w:p>
            <w:pPr>
              <w:pStyle w:val="0"/>
              <w:jc w:val="both"/>
            </w:pPr>
            <w:r>
              <w:rPr>
                <w:sz w:val="20"/>
              </w:rPr>
              <w:t xml:space="preserve">Открытие кабинета для больных ХСН</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w:t>
            </w:r>
          </w:p>
        </w:tc>
        <w:tc>
          <w:tcPr>
            <w:tcW w:w="3061" w:type="dxa"/>
          </w:tcPr>
          <w:p>
            <w:pPr>
              <w:pStyle w:val="0"/>
              <w:jc w:val="both"/>
            </w:pPr>
            <w:r>
              <w:rPr>
                <w:sz w:val="20"/>
              </w:rPr>
              <w:t xml:space="preserve">Открыт кабинет для больных ХСН</w:t>
            </w:r>
          </w:p>
        </w:tc>
        <w:tc>
          <w:tcPr>
            <w:tcW w:w="3855" w:type="dxa"/>
          </w:tcPr>
          <w:p>
            <w:pPr>
              <w:pStyle w:val="0"/>
              <w:jc w:val="both"/>
            </w:pPr>
            <w:r>
              <w:rPr>
                <w:sz w:val="20"/>
              </w:rPr>
              <w:t xml:space="preserve">Открыт кабинет для больных ХСН</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3</w:t>
            </w:r>
          </w:p>
        </w:tc>
        <w:tc>
          <w:tcPr>
            <w:tcW w:w="3402" w:type="dxa"/>
          </w:tcPr>
          <w:p>
            <w:pPr>
              <w:pStyle w:val="0"/>
              <w:jc w:val="both"/>
            </w:pPr>
            <w:r>
              <w:rPr>
                <w:sz w:val="20"/>
              </w:rPr>
              <w:t xml:space="preserve">Разработка и утверждение приказа об открытии кабинета для больных ХСН</w:t>
            </w:r>
          </w:p>
        </w:tc>
        <w:tc>
          <w:tcPr>
            <w:tcW w:w="1361" w:type="dxa"/>
          </w:tcPr>
          <w:p>
            <w:pPr>
              <w:pStyle w:val="0"/>
              <w:jc w:val="both"/>
            </w:pPr>
            <w:r>
              <w:rPr>
                <w:sz w:val="20"/>
              </w:rPr>
              <w:t xml:space="preserve">01.07.2023</w:t>
            </w:r>
          </w:p>
        </w:tc>
        <w:tc>
          <w:tcPr>
            <w:tcW w:w="1417" w:type="dxa"/>
          </w:tcPr>
          <w:p>
            <w:pPr>
              <w:pStyle w:val="0"/>
              <w:jc w:val="both"/>
            </w:pPr>
            <w:r>
              <w:rPr>
                <w:sz w:val="20"/>
              </w:rPr>
              <w:t xml:space="preserve">01.07.2024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w:t>
            </w:r>
          </w:p>
        </w:tc>
        <w:tc>
          <w:tcPr>
            <w:tcW w:w="3061" w:type="dxa"/>
          </w:tcPr>
          <w:p>
            <w:pPr>
              <w:pStyle w:val="0"/>
              <w:jc w:val="both"/>
            </w:pPr>
            <w:r>
              <w:rPr>
                <w:sz w:val="20"/>
              </w:rPr>
              <w:t xml:space="preserve">Разработан и утвержден приказ об открытии кабинета для больных ХСН</w:t>
            </w:r>
          </w:p>
        </w:tc>
        <w:tc>
          <w:tcPr>
            <w:tcW w:w="3855" w:type="dxa"/>
          </w:tcPr>
          <w:p>
            <w:pPr>
              <w:pStyle w:val="0"/>
              <w:jc w:val="both"/>
            </w:pPr>
            <w:r>
              <w:rPr>
                <w:sz w:val="20"/>
              </w:rPr>
              <w:t xml:space="preserve">Разработан и утвержден приказ об открытии кабинета для больных ХСН</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4</w:t>
            </w:r>
          </w:p>
        </w:tc>
        <w:tc>
          <w:tcPr>
            <w:tcW w:w="3402" w:type="dxa"/>
          </w:tcPr>
          <w:p>
            <w:pPr>
              <w:pStyle w:val="0"/>
              <w:jc w:val="both"/>
            </w:pPr>
            <w:r>
              <w:rPr>
                <w:sz w:val="20"/>
              </w:rPr>
              <w:t xml:space="preserve">Разработка положения и должностных инструкций персонала для функционирования кабинета для больных ХСН</w:t>
            </w:r>
          </w:p>
        </w:tc>
        <w:tc>
          <w:tcPr>
            <w:tcW w:w="1361" w:type="dxa"/>
          </w:tcPr>
          <w:p>
            <w:pPr>
              <w:pStyle w:val="0"/>
              <w:jc w:val="both"/>
            </w:pPr>
            <w:r>
              <w:rPr>
                <w:sz w:val="20"/>
              </w:rPr>
              <w:t xml:space="preserve">01.07.2023</w:t>
            </w:r>
          </w:p>
        </w:tc>
        <w:tc>
          <w:tcPr>
            <w:tcW w:w="1417" w:type="dxa"/>
          </w:tcPr>
          <w:p>
            <w:pPr>
              <w:pStyle w:val="0"/>
              <w:jc w:val="both"/>
            </w:pPr>
            <w:r>
              <w:rPr>
                <w:sz w:val="20"/>
              </w:rPr>
              <w:t xml:space="preserve">01.07.2024</w:t>
            </w:r>
          </w:p>
        </w:tc>
        <w:tc>
          <w:tcPr>
            <w:tcW w:w="2948" w:type="dxa"/>
          </w:tcPr>
          <w:p>
            <w:pPr>
              <w:pStyle w:val="0"/>
              <w:jc w:val="both"/>
            </w:pPr>
            <w:r>
              <w:rPr>
                <w:sz w:val="20"/>
              </w:rPr>
              <w:t xml:space="preserve">Главный врач ГБУЗС "Городская больница N 1 им. Н.И. Пирогова"</w:t>
            </w:r>
          </w:p>
        </w:tc>
        <w:tc>
          <w:tcPr>
            <w:tcW w:w="3061" w:type="dxa"/>
          </w:tcPr>
          <w:p>
            <w:pPr>
              <w:pStyle w:val="0"/>
              <w:jc w:val="both"/>
            </w:pPr>
            <w:r>
              <w:rPr>
                <w:sz w:val="20"/>
              </w:rPr>
              <w:t xml:space="preserve">Разработаны положения и должностные инструкции персонала для функционирования кабинета для больных ХСН</w:t>
            </w:r>
          </w:p>
        </w:tc>
        <w:tc>
          <w:tcPr>
            <w:tcW w:w="3855" w:type="dxa"/>
          </w:tcPr>
          <w:p>
            <w:pPr>
              <w:pStyle w:val="0"/>
              <w:jc w:val="both"/>
            </w:pPr>
            <w:r>
              <w:rPr>
                <w:sz w:val="20"/>
              </w:rPr>
              <w:t xml:space="preserve">Разработаны положение и должностные инструкции персонала для функционирования кабинета для больных ХСН</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5</w:t>
            </w:r>
          </w:p>
        </w:tc>
        <w:tc>
          <w:tcPr>
            <w:tcW w:w="3402" w:type="dxa"/>
          </w:tcPr>
          <w:p>
            <w:pPr>
              <w:pStyle w:val="0"/>
              <w:jc w:val="both"/>
            </w:pPr>
            <w:r>
              <w:rPr>
                <w:sz w:val="20"/>
              </w:rPr>
              <w:t xml:space="preserve">Анализ деятельности кабинета для больных ХСН</w:t>
            </w:r>
          </w:p>
        </w:tc>
        <w:tc>
          <w:tcPr>
            <w:tcW w:w="1361" w:type="dxa"/>
          </w:tcPr>
          <w:p>
            <w:pPr>
              <w:pStyle w:val="0"/>
              <w:jc w:val="both"/>
            </w:pPr>
            <w:r>
              <w:rPr>
                <w:sz w:val="20"/>
              </w:rPr>
              <w:t xml:space="preserve">01.01.2024</w:t>
            </w:r>
          </w:p>
        </w:tc>
        <w:tc>
          <w:tcPr>
            <w:tcW w:w="1417" w:type="dxa"/>
          </w:tcPr>
          <w:p>
            <w:pPr>
              <w:pStyle w:val="0"/>
              <w:jc w:val="both"/>
            </w:pPr>
            <w:r>
              <w:rPr>
                <w:sz w:val="20"/>
              </w:rPr>
              <w:t xml:space="preserve">31.12.2024</w:t>
            </w:r>
          </w:p>
        </w:tc>
        <w:tc>
          <w:tcPr>
            <w:tcW w:w="2948" w:type="dxa"/>
          </w:tcPr>
          <w:p>
            <w:pPr>
              <w:pStyle w:val="0"/>
              <w:jc w:val="both"/>
            </w:pPr>
            <w:r>
              <w:rPr>
                <w:sz w:val="20"/>
              </w:rPr>
              <w:t xml:space="preserve">Главный врач ГБУЗС "Городская больница N 1 им. Н.И. Пирогова"; главный врач центра медицинской статистики ГБУЗС "МИАЦ"</w:t>
            </w:r>
          </w:p>
        </w:tc>
        <w:tc>
          <w:tcPr>
            <w:tcW w:w="3061" w:type="dxa"/>
          </w:tcPr>
          <w:p>
            <w:pPr>
              <w:pStyle w:val="0"/>
              <w:jc w:val="both"/>
            </w:pPr>
            <w:r>
              <w:rPr>
                <w:sz w:val="20"/>
              </w:rPr>
              <w:t xml:space="preserve">Не менее четырех отчетов в год о деятельности кабинета для больных ХСН</w:t>
            </w:r>
          </w:p>
        </w:tc>
        <w:tc>
          <w:tcPr>
            <w:tcW w:w="3855" w:type="dxa"/>
          </w:tcPr>
          <w:p>
            <w:pPr>
              <w:pStyle w:val="0"/>
              <w:jc w:val="both"/>
            </w:pPr>
            <w:r>
              <w:rPr>
                <w:sz w:val="20"/>
              </w:rPr>
              <w:t xml:space="preserve">Ежеквартальный отчет о деятельности кабинета для больных ХСН направлен в Департамент здравоохранения города Севастополя</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6</w:t>
            </w:r>
          </w:p>
        </w:tc>
        <w:tc>
          <w:tcPr>
            <w:tcW w:w="3402" w:type="dxa"/>
          </w:tcPr>
          <w:p>
            <w:pPr>
              <w:pStyle w:val="0"/>
              <w:jc w:val="both"/>
            </w:pPr>
            <w:r>
              <w:rPr>
                <w:sz w:val="20"/>
              </w:rPr>
              <w:t xml:space="preserve">Принятие управленческих решений на основании анализа работы кабинета для больных ХСН</w:t>
            </w:r>
          </w:p>
        </w:tc>
        <w:tc>
          <w:tcPr>
            <w:tcW w:w="1361" w:type="dxa"/>
          </w:tcPr>
          <w:p>
            <w:pPr>
              <w:pStyle w:val="0"/>
              <w:jc w:val="both"/>
            </w:pPr>
            <w:r>
              <w:rPr>
                <w:sz w:val="20"/>
              </w:rPr>
              <w:t xml:space="preserve">01.01.2024</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w:t>
            </w:r>
          </w:p>
        </w:tc>
        <w:tc>
          <w:tcPr>
            <w:tcW w:w="3061" w:type="dxa"/>
          </w:tcPr>
          <w:p>
            <w:pPr>
              <w:pStyle w:val="0"/>
              <w:jc w:val="both"/>
            </w:pPr>
            <w:r>
              <w:rPr>
                <w:sz w:val="20"/>
              </w:rPr>
              <w:t xml:space="preserve">Приказ Департамента здравоохранения города Севастополя об открытии кабинетов для больных ХСН в других МО</w:t>
            </w:r>
          </w:p>
        </w:tc>
        <w:tc>
          <w:tcPr>
            <w:tcW w:w="3855" w:type="dxa"/>
          </w:tcPr>
          <w:p>
            <w:pPr>
              <w:pStyle w:val="0"/>
              <w:jc w:val="both"/>
            </w:pPr>
            <w:r>
              <w:rPr>
                <w:sz w:val="20"/>
              </w:rPr>
              <w:t xml:space="preserve">На основе анализа деятельности кабинета для больных ХСН составлена аналитическая справка об эффективности/неэффективности работы кабинета. Принят нормативный акт об открытии кабинетов для больных ХСН в других МО</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7</w:t>
            </w:r>
          </w:p>
        </w:tc>
        <w:tc>
          <w:tcPr>
            <w:tcW w:w="3402" w:type="dxa"/>
          </w:tcPr>
          <w:p>
            <w:pPr>
              <w:pStyle w:val="0"/>
              <w:jc w:val="both"/>
            </w:pPr>
            <w:r>
              <w:rPr>
                <w:sz w:val="20"/>
              </w:rPr>
              <w:t xml:space="preserve">Профилактика ССЗ в группах повышенного риска; выделение группы риска через анкетирование при проведении профилактических осмотров</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r>
          </w:p>
        </w:tc>
        <w:tc>
          <w:tcPr>
            <w:tcW w:w="3061" w:type="dxa"/>
          </w:tcPr>
          <w:p>
            <w:pPr>
              <w:pStyle w:val="0"/>
              <w:jc w:val="both"/>
            </w:pPr>
            <w:r>
              <w:rPr>
                <w:sz w:val="20"/>
              </w:rPr>
              <w:t xml:space="preserve">С помощью анкетирования выявлены пациенты, включенные в группу риска ССЗ. Информация направлена в Центр общественного здоровья и медицинской профилактики для организации проведения просветительской работы с данными пациентами</w:t>
            </w:r>
          </w:p>
        </w:tc>
        <w:tc>
          <w:tcPr>
            <w:tcW w:w="3855" w:type="dxa"/>
          </w:tcPr>
          <w:p>
            <w:pPr>
              <w:pStyle w:val="0"/>
              <w:jc w:val="both"/>
            </w:pPr>
            <w:r>
              <w:rPr>
                <w:sz w:val="20"/>
              </w:rPr>
              <w:t xml:space="preserve">Проведено анкетирование, выделены группы риска. Направлен ежемесячный отчет в Департамент здравоохранения города Севастополя о проведенном анализе мероприятий профилактических осмотров</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8</w:t>
            </w:r>
          </w:p>
        </w:tc>
        <w:tc>
          <w:tcPr>
            <w:tcW w:w="3402" w:type="dxa"/>
          </w:tcPr>
          <w:p>
            <w:pPr>
              <w:pStyle w:val="0"/>
              <w:jc w:val="both"/>
            </w:pPr>
            <w:r>
              <w:rPr>
                <w:sz w:val="20"/>
              </w:rPr>
              <w:t xml:space="preserve">Широкая информационная кампания по первым признакам инфаркта миокарда, инсульта и актуализация роли СМП для выбора маршрута госпитализации с целью сокращения времени на выбор медицинского учреждения (флайеры, билборды, экраны, реклама на TV, радио, директ-рассылка через мобильных операторов региона)</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первый заместитель директора ГБУЗС "МИАЦ"; начальник Центра общественного здоровья и медицинской профилактики ГБУЗС "МИАЦ"; начальник информационно-аналитического отдела ГБУЗС "МИАЦ"</w:t>
            </w:r>
          </w:p>
        </w:tc>
        <w:tc>
          <w:tcPr>
            <w:tcW w:w="3061" w:type="dxa"/>
          </w:tcPr>
          <w:p>
            <w:pPr>
              <w:pStyle w:val="0"/>
              <w:jc w:val="both"/>
            </w:pPr>
            <w:r>
              <w:rPr>
                <w:sz w:val="20"/>
              </w:rPr>
              <w:t xml:space="preserve">Ежемесячное повышение осведомленности населения о признаках сосудистых катастроф, доведение логистики госпитализации через обращение на СМП до 95%</w:t>
            </w:r>
          </w:p>
        </w:tc>
        <w:tc>
          <w:tcPr>
            <w:tcW w:w="3855" w:type="dxa"/>
          </w:tcPr>
          <w:p>
            <w:pPr>
              <w:pStyle w:val="0"/>
              <w:jc w:val="both"/>
            </w:pPr>
            <w:r>
              <w:rPr>
                <w:sz w:val="20"/>
              </w:rPr>
              <w:t xml:space="preserve">Ежемесячное повышение осведомленности населения о признаках сосудистых катастроф, доведение логистики госпитализации через обращение на СМП до 95%</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9</w:t>
            </w:r>
          </w:p>
        </w:tc>
        <w:tc>
          <w:tcPr>
            <w:tcW w:w="3402" w:type="dxa"/>
          </w:tcPr>
          <w:p>
            <w:pPr>
              <w:pStyle w:val="0"/>
              <w:jc w:val="both"/>
            </w:pPr>
            <w:r>
              <w:rPr>
                <w:sz w:val="20"/>
              </w:rPr>
              <w:t xml:space="preserve">Широкая информационная кампания по достижению целевых показателей модифицируемых факторов риска у пациентов с диагностируемым ССЗ (флайеры, билборды, экраны, реклама на TV, радио, сайты МО и Департамента здравоохранения города Севастополя)</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первый заместитель директора ГБУЗС "МИАЦ"; начальник Центра общественного здоровья и медицинской профилактики ГБУЗС "МИАЦ"</w:t>
            </w:r>
          </w:p>
        </w:tc>
        <w:tc>
          <w:tcPr>
            <w:tcW w:w="3061" w:type="dxa"/>
          </w:tcPr>
          <w:p>
            <w:pPr>
              <w:pStyle w:val="0"/>
              <w:jc w:val="both"/>
            </w:pPr>
            <w:r>
              <w:rPr>
                <w:sz w:val="20"/>
              </w:rPr>
              <w:t xml:space="preserve">Раздача флайеров, размещение информации на билбордах, экранах, реклама на TV, радио</w:t>
            </w:r>
          </w:p>
        </w:tc>
        <w:tc>
          <w:tcPr>
            <w:tcW w:w="3855" w:type="dxa"/>
          </w:tcPr>
          <w:p>
            <w:pPr>
              <w:pStyle w:val="0"/>
              <w:jc w:val="both"/>
            </w:pPr>
            <w:r>
              <w:rPr>
                <w:sz w:val="20"/>
              </w:rPr>
              <w:t xml:space="preserve">Ежемесячное повышение осведомленности населения о целевых показателях АД, липидов крови, глюкозы крови, индексе массы тела, объеме талии, о симптомах острых сердечно-сосудистых событий</w:t>
            </w:r>
          </w:p>
        </w:tc>
        <w:tc>
          <w:tcPr>
            <w:tcW w:w="2041" w:type="dxa"/>
          </w:tcPr>
          <w:p>
            <w:pPr>
              <w:pStyle w:val="0"/>
              <w:jc w:val="both"/>
            </w:pPr>
            <w:r>
              <w:rPr>
                <w:sz w:val="20"/>
              </w:rPr>
              <w:t xml:space="preserve">Регулярное (ежеквартальное)</w:t>
            </w:r>
          </w:p>
        </w:tc>
      </w:tr>
      <w:tr>
        <w:tc>
          <w:tcPr>
            <w:tcW w:w="624" w:type="dxa"/>
          </w:tcPr>
          <w:p>
            <w:pPr>
              <w:pStyle w:val="0"/>
              <w:jc w:val="both"/>
            </w:pPr>
            <w:r>
              <w:rPr>
                <w:sz w:val="20"/>
              </w:rPr>
              <w:t xml:space="preserve">10</w:t>
            </w:r>
          </w:p>
        </w:tc>
        <w:tc>
          <w:tcPr>
            <w:tcW w:w="3402" w:type="dxa"/>
          </w:tcPr>
          <w:p>
            <w:pPr>
              <w:pStyle w:val="0"/>
              <w:jc w:val="both"/>
            </w:pPr>
            <w:r>
              <w:rPr>
                <w:sz w:val="20"/>
              </w:rPr>
              <w:t xml:space="preserve">Открытие кабинетов вторичной профилактики в РСЦ ГБУЗС "Городская больница N 1" для обязательного посещения пациента с ССЗ в процессе госпитализации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31.12.2023</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 руководитель РСЦ ГБУЗС "Городская больница N 1 им. Н.И. Пирогова"</w:t>
            </w:r>
          </w:p>
        </w:tc>
        <w:tc>
          <w:tcPr>
            <w:tcW w:w="3061" w:type="dxa"/>
          </w:tcPr>
          <w:p>
            <w:pPr>
              <w:pStyle w:val="0"/>
              <w:jc w:val="both"/>
            </w:pPr>
            <w:r>
              <w:rPr>
                <w:sz w:val="20"/>
              </w:rPr>
              <w:t xml:space="preserve">Открыт кабинет вторичной профилактики в РСЦ ГБУЗС "Городская больница N 1"</w:t>
            </w:r>
          </w:p>
        </w:tc>
        <w:tc>
          <w:tcPr>
            <w:tcW w:w="3855" w:type="dxa"/>
          </w:tcPr>
          <w:p>
            <w:pPr>
              <w:pStyle w:val="0"/>
              <w:jc w:val="both"/>
            </w:pPr>
            <w:r>
              <w:rPr>
                <w:sz w:val="20"/>
              </w:rPr>
              <w:t xml:space="preserve">Актуализация проблемы осложнений ССЗ и модификации факторов риска у пациентов, госпитализированных с обострением ССЗ</w:t>
            </w:r>
          </w:p>
        </w:tc>
        <w:tc>
          <w:tcPr>
            <w:tcW w:w="2041" w:type="dxa"/>
          </w:tcPr>
          <w:p>
            <w:pPr>
              <w:pStyle w:val="0"/>
              <w:jc w:val="both"/>
            </w:pPr>
            <w:r>
              <w:rPr>
                <w:sz w:val="20"/>
              </w:rPr>
              <w:t xml:space="preserve">Разовое (делимое)</w:t>
            </w:r>
          </w:p>
        </w:tc>
      </w:tr>
      <w:tr>
        <w:tc>
          <w:tcPr>
            <w:tcW w:w="624" w:type="dxa"/>
          </w:tcPr>
          <w:p>
            <w:pPr>
              <w:pStyle w:val="0"/>
              <w:jc w:val="both"/>
            </w:pPr>
            <w:r>
              <w:rPr>
                <w:sz w:val="20"/>
              </w:rPr>
              <w:t xml:space="preserve">11</w:t>
            </w:r>
          </w:p>
        </w:tc>
        <w:tc>
          <w:tcPr>
            <w:tcW w:w="3402" w:type="dxa"/>
          </w:tcPr>
          <w:p>
            <w:pPr>
              <w:pStyle w:val="0"/>
              <w:jc w:val="both"/>
            </w:pPr>
            <w:r>
              <w:rPr>
                <w:sz w:val="20"/>
              </w:rPr>
              <w:t xml:space="preserve">Организация и проведение медицинских осмотров работающего населения на предприятиях для выявления групп высокого риска и повышения приверженности к диспансеризации через работодателя</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главные врачи ГБУЗС "Городская больница N 1 им. Н.И. Пирогова"; ГБУЗС "Городская больница N 4"; ГБУЗС "Городская больница N 9"</w:t>
            </w:r>
          </w:p>
        </w:tc>
        <w:tc>
          <w:tcPr>
            <w:tcW w:w="3061" w:type="dxa"/>
          </w:tcPr>
          <w:p>
            <w:pPr>
              <w:pStyle w:val="0"/>
              <w:jc w:val="both"/>
            </w:pPr>
            <w:r>
              <w:rPr>
                <w:sz w:val="20"/>
              </w:rPr>
              <w:t xml:space="preserve">Не менее 10% сотрудников предприятий прошли медицинские осмотры</w:t>
            </w:r>
          </w:p>
        </w:tc>
        <w:tc>
          <w:tcPr>
            <w:tcW w:w="3855" w:type="dxa"/>
          </w:tcPr>
          <w:p>
            <w:pPr>
              <w:pStyle w:val="0"/>
              <w:jc w:val="both"/>
            </w:pPr>
            <w:r>
              <w:rPr>
                <w:sz w:val="20"/>
              </w:rPr>
              <w:t xml:space="preserve">Повышение приверженности к диспансеризации, здоровому образу жизни и модификации факторов риска путем мотивации инструментами работодателя</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12</w:t>
            </w:r>
          </w:p>
        </w:tc>
        <w:tc>
          <w:tcPr>
            <w:tcW w:w="3402" w:type="dxa"/>
          </w:tcPr>
          <w:p>
            <w:pPr>
              <w:pStyle w:val="0"/>
              <w:jc w:val="both"/>
            </w:pPr>
            <w:r>
              <w:rPr>
                <w:sz w:val="20"/>
              </w:rPr>
              <w:t xml:space="preserve">Развитие специализированных видов помощи пациентам с сердечно-сосудистыми заболеваниями групп высокого риска</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главные врачи ГБУЗС "Городская больница N 1 им. Н.И. Пирогова"; ГБУЗС "Городская больница N 4"; ГБУЗС "Городская больница N 9"</w:t>
            </w:r>
          </w:p>
        </w:tc>
        <w:tc>
          <w:tcPr>
            <w:tcW w:w="3061" w:type="dxa"/>
          </w:tcPr>
          <w:p>
            <w:pPr>
              <w:pStyle w:val="0"/>
              <w:jc w:val="both"/>
            </w:pPr>
            <w:r>
              <w:rPr>
                <w:sz w:val="20"/>
              </w:rPr>
              <w:t xml:space="preserve">Организация и функционирование Центра управления сердечно-сосудистыми рисками</w:t>
            </w:r>
          </w:p>
        </w:tc>
        <w:tc>
          <w:tcPr>
            <w:tcW w:w="3855" w:type="dxa"/>
          </w:tcPr>
          <w:p>
            <w:pPr>
              <w:pStyle w:val="0"/>
              <w:jc w:val="both"/>
            </w:pPr>
            <w:r>
              <w:rPr>
                <w:sz w:val="20"/>
              </w:rPr>
              <w:t xml:space="preserve">Разработка и утверждение приказа Департамента здравоохранения города Севастополя о функционировании Центра сердечно-сосудистыми рисками</w:t>
            </w:r>
          </w:p>
        </w:tc>
        <w:tc>
          <w:tcPr>
            <w:tcW w:w="2041" w:type="dxa"/>
          </w:tcPr>
          <w:p>
            <w:pPr>
              <w:pStyle w:val="0"/>
              <w:jc w:val="both"/>
            </w:pPr>
            <w:r>
              <w:rPr>
                <w:sz w:val="20"/>
              </w:rPr>
              <w:t xml:space="preserve">Разовое (неделимое)</w:t>
            </w:r>
          </w:p>
        </w:tc>
      </w:tr>
      <w:tr>
        <w:tc>
          <w:tcPr>
            <w:gridSpan w:val="8"/>
            <w:tcW w:w="18709" w:type="dxa"/>
          </w:tcPr>
          <w:p>
            <w:pPr>
              <w:pStyle w:val="0"/>
              <w:outlineLvl w:val="3"/>
              <w:jc w:val="both"/>
            </w:pPr>
            <w:r>
              <w:rPr>
                <w:sz w:val="20"/>
              </w:rPr>
              <w:t xml:space="preserve">6. Комплекс мер, направленный на совершенствование организации диспансерного наблюдения больных сердечно-сосудистыми заболеваниями</w:t>
            </w:r>
          </w:p>
        </w:tc>
      </w:tr>
      <w:tr>
        <w:tc>
          <w:tcPr>
            <w:tcW w:w="624" w:type="dxa"/>
          </w:tcPr>
          <w:p>
            <w:pPr>
              <w:pStyle w:val="0"/>
              <w:jc w:val="both"/>
            </w:pPr>
            <w:r>
              <w:rPr>
                <w:sz w:val="20"/>
              </w:rPr>
              <w:t xml:space="preserve">1</w:t>
            </w:r>
          </w:p>
        </w:tc>
        <w:tc>
          <w:tcPr>
            <w:tcW w:w="3402" w:type="dxa"/>
          </w:tcPr>
          <w:p>
            <w:pPr>
              <w:pStyle w:val="0"/>
              <w:jc w:val="both"/>
            </w:pPr>
            <w:r>
              <w:rPr>
                <w:sz w:val="20"/>
              </w:rPr>
              <w:t xml:space="preserve">Мероприятия, необходимые для формирования преемственности лечения стационарного и амбулаторного звена специализированной медицинской помощи и охвата диспансерным наблюдением:</w:t>
            </w:r>
          </w:p>
          <w:p>
            <w:pPr>
              <w:pStyle w:val="0"/>
              <w:jc w:val="both"/>
            </w:pPr>
            <w:r>
              <w:rPr>
                <w:sz w:val="20"/>
              </w:rPr>
              <w:t xml:space="preserve">оснащение медицинского персонала ФАП и ВА планшетами с целью повышения эффективности диспансерного наблюдения пациентов с АГ, ПИКС, ХСН, ОНМК, сахарным диабетом, мерцательной аритмией;</w:t>
            </w:r>
          </w:p>
          <w:p>
            <w:pPr>
              <w:pStyle w:val="0"/>
              <w:jc w:val="both"/>
            </w:pPr>
            <w:r>
              <w:rPr>
                <w:sz w:val="20"/>
              </w:rPr>
              <w:t xml:space="preserve">внедрение программы контроля пациентов с сердечно-сосудистыми заболеваниями (АГ, ПИКС, ХСН) для медицинского персонала фельдшерско-акушерских пунктов и врачебных амбулаторий</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первый заместитель директора ГБУЗС "МИАЦ"; главные врачи ГБУЗС "Городская больница N 4"; ГБУЗС "Городская больница N 9"</w:t>
            </w:r>
          </w:p>
        </w:tc>
        <w:tc>
          <w:tcPr>
            <w:tcW w:w="3061" w:type="dxa"/>
          </w:tcPr>
          <w:p>
            <w:pPr>
              <w:pStyle w:val="0"/>
              <w:jc w:val="both"/>
            </w:pPr>
            <w:r>
              <w:rPr>
                <w:sz w:val="20"/>
              </w:rPr>
              <w:t xml:space="preserve">Планшетами оснащены 18 структурных подразделений МО, оказывающих медицинскую помощь сельскому населению</w:t>
            </w:r>
          </w:p>
        </w:tc>
        <w:tc>
          <w:tcPr>
            <w:tcW w:w="3855" w:type="dxa"/>
          </w:tcPr>
          <w:p>
            <w:pPr>
              <w:pStyle w:val="0"/>
              <w:jc w:val="both"/>
            </w:pPr>
            <w:r>
              <w:rPr>
                <w:sz w:val="20"/>
              </w:rPr>
              <w:t xml:space="preserve">14 ФАПов и 5 ВА оснащены планшетами с программным обеспечением для мониторинга и контроля состояния пациентов с сердечно-сосудистыми заболеваниями (АГ, ПИКС, ХСН, ОНМК, сахарным диабетом, мерцательной аритмией)</w:t>
            </w:r>
          </w:p>
        </w:tc>
        <w:tc>
          <w:tcPr>
            <w:tcW w:w="2041" w:type="dxa"/>
          </w:tcPr>
          <w:p>
            <w:pPr>
              <w:pStyle w:val="0"/>
              <w:jc w:val="both"/>
            </w:pPr>
            <w:r>
              <w:rPr>
                <w:sz w:val="20"/>
              </w:rPr>
              <w:t xml:space="preserve">Разовое (делимое)</w:t>
            </w:r>
          </w:p>
        </w:tc>
      </w:tr>
      <w:tr>
        <w:tc>
          <w:tcPr>
            <w:tcW w:w="624" w:type="dxa"/>
          </w:tcPr>
          <w:p>
            <w:pPr>
              <w:pStyle w:val="0"/>
              <w:jc w:val="both"/>
            </w:pPr>
            <w:r>
              <w:rPr>
                <w:sz w:val="20"/>
              </w:rPr>
              <w:t xml:space="preserve">2</w:t>
            </w:r>
          </w:p>
        </w:tc>
        <w:tc>
          <w:tcPr>
            <w:tcW w:w="3402" w:type="dxa"/>
          </w:tcPr>
          <w:p>
            <w:pPr>
              <w:pStyle w:val="0"/>
              <w:jc w:val="both"/>
            </w:pPr>
            <w:r>
              <w:rPr>
                <w:sz w:val="20"/>
              </w:rPr>
              <w:t xml:space="preserve">Создание специализированных программ ведения пациентов с хронической сердечно-сосудистой патологией высокого риска (программы для пациентов с хронической сердечной недостаточностью, кабинеты антикоагулянтной терапии)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специалист - кардиолог Департамента здравоохранения города Севастополя</w:t>
            </w:r>
          </w:p>
        </w:tc>
        <w:tc>
          <w:tcPr>
            <w:tcW w:w="3061" w:type="dxa"/>
          </w:tcPr>
          <w:p>
            <w:pPr>
              <w:pStyle w:val="0"/>
              <w:jc w:val="both"/>
            </w:pPr>
            <w:r>
              <w:rPr>
                <w:sz w:val="20"/>
              </w:rPr>
              <w:t xml:space="preserve">Утвержден нормативный акт</w:t>
            </w:r>
          </w:p>
        </w:tc>
        <w:tc>
          <w:tcPr>
            <w:tcW w:w="3855" w:type="dxa"/>
          </w:tcPr>
          <w:p>
            <w:pPr>
              <w:pStyle w:val="0"/>
              <w:jc w:val="both"/>
            </w:pPr>
            <w:r>
              <w:rPr>
                <w:sz w:val="20"/>
              </w:rPr>
              <w:t xml:space="preserve">Созданы специализированные программы профилактики внезапной смерти и ведения пациентов с ХСН. Организован контроль антикоагулянтной терапии, уменьшения частоты возникновения геморрагических и тромболитических осложнений на базе кабинетов ХСН</w:t>
            </w:r>
          </w:p>
        </w:tc>
        <w:tc>
          <w:tcPr>
            <w:tcW w:w="2041" w:type="dxa"/>
          </w:tcPr>
          <w:p>
            <w:pPr>
              <w:pStyle w:val="0"/>
              <w:jc w:val="both"/>
            </w:pPr>
            <w:r>
              <w:rPr>
                <w:sz w:val="20"/>
              </w:rPr>
              <w:t xml:space="preserve">Разовое (делимое)</w:t>
            </w:r>
          </w:p>
        </w:tc>
      </w:tr>
      <w:tr>
        <w:tc>
          <w:tcPr>
            <w:gridSpan w:val="8"/>
            <w:tcW w:w="18709" w:type="dxa"/>
          </w:tcPr>
          <w:p>
            <w:pPr>
              <w:pStyle w:val="0"/>
              <w:outlineLvl w:val="3"/>
              <w:jc w:val="both"/>
            </w:pPr>
            <w:r>
              <w:rPr>
                <w:sz w:val="20"/>
              </w:rPr>
              <w:t xml:space="preserve">7. Комплекс мер, направленный на совершенствование оказания скорой медицинской помощи при болезнях системы кровообращения</w:t>
            </w:r>
          </w:p>
        </w:tc>
      </w:tr>
      <w:tr>
        <w:tc>
          <w:tcPr>
            <w:tcW w:w="624" w:type="dxa"/>
          </w:tcPr>
          <w:p>
            <w:pPr>
              <w:pStyle w:val="0"/>
              <w:jc w:val="both"/>
            </w:pPr>
            <w:r>
              <w:rPr>
                <w:sz w:val="20"/>
              </w:rPr>
              <w:t xml:space="preserve">1</w:t>
            </w:r>
          </w:p>
        </w:tc>
        <w:tc>
          <w:tcPr>
            <w:tcW w:w="3402" w:type="dxa"/>
          </w:tcPr>
          <w:p>
            <w:pPr>
              <w:pStyle w:val="0"/>
              <w:jc w:val="both"/>
            </w:pPr>
            <w:r>
              <w:rPr>
                <w:sz w:val="20"/>
              </w:rPr>
              <w:t xml:space="preserve">Разработка системы передачи информации от службы СМП в РСЦ и амбулаторно-поликлиническое звено с использованием единой интегрированной информационной системы</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"Центр экстренной медицинской помощи и медицины катастроф"; главный врач ГБУЗС "Городская больница N 1 им. Н.И. Пирогова"; первый заместитель директора ГБУЗС "МИАЦ"</w:t>
            </w:r>
          </w:p>
        </w:tc>
        <w:tc>
          <w:tcPr>
            <w:tcW w:w="3061" w:type="dxa"/>
          </w:tcPr>
          <w:p>
            <w:pPr>
              <w:pStyle w:val="0"/>
              <w:jc w:val="both"/>
            </w:pPr>
            <w:r>
              <w:rPr>
                <w:sz w:val="20"/>
              </w:rPr>
              <w:t xml:space="preserve">Внедрена единая интегрированная информационная система, обеспечивающая взаимодействие информационной системы СМП и АИС ЛПУ</w:t>
            </w:r>
          </w:p>
        </w:tc>
        <w:tc>
          <w:tcPr>
            <w:tcW w:w="3855" w:type="dxa"/>
          </w:tcPr>
          <w:p>
            <w:pPr>
              <w:pStyle w:val="0"/>
              <w:jc w:val="both"/>
            </w:pPr>
            <w:r>
              <w:rPr>
                <w:sz w:val="20"/>
              </w:rPr>
              <w:t xml:space="preserve">Разработан единый алгоритм действий, в т.ч. специалистов СМП на всех этапах оказания медицинской помощи, в единой интегрированной информационной системе</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2</w:t>
            </w:r>
          </w:p>
        </w:tc>
        <w:tc>
          <w:tcPr>
            <w:tcW w:w="3402" w:type="dxa"/>
          </w:tcPr>
          <w:p>
            <w:pPr>
              <w:pStyle w:val="0"/>
              <w:jc w:val="both"/>
            </w:pPr>
            <w:r>
              <w:rPr>
                <w:sz w:val="20"/>
              </w:rPr>
              <w:t xml:space="preserve">Снижение кадрового дефицита ГБУЗС "Центр экстренной медицинской помощи и медицины катастроф"</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"Центр экстренной медицинской помощи и медицины катастроф"</w:t>
            </w:r>
          </w:p>
        </w:tc>
        <w:tc>
          <w:tcPr>
            <w:tcW w:w="3061" w:type="dxa"/>
          </w:tcPr>
          <w:p>
            <w:pPr>
              <w:pStyle w:val="0"/>
              <w:jc w:val="both"/>
            </w:pPr>
            <w:r>
              <w:rPr>
                <w:sz w:val="20"/>
              </w:rPr>
              <w:t xml:space="preserve">Обеспечено функционирование не менее 34 бригад СМП в сутки</w:t>
            </w:r>
          </w:p>
        </w:tc>
        <w:tc>
          <w:tcPr>
            <w:tcW w:w="3855" w:type="dxa"/>
          </w:tcPr>
          <w:p>
            <w:pPr>
              <w:pStyle w:val="0"/>
              <w:jc w:val="both"/>
            </w:pPr>
            <w:r>
              <w:rPr>
                <w:sz w:val="20"/>
              </w:rPr>
              <w:t xml:space="preserve">Обеспечено функционирование не менее 34 бригад СМП в сутки</w:t>
            </w:r>
          </w:p>
        </w:tc>
        <w:tc>
          <w:tcPr>
            <w:tcW w:w="2041" w:type="dxa"/>
          </w:tcPr>
          <w:p>
            <w:pPr>
              <w:pStyle w:val="0"/>
              <w:jc w:val="both"/>
            </w:pPr>
            <w:r>
              <w:rPr>
                <w:sz w:val="20"/>
              </w:rPr>
              <w:t xml:space="preserve">Разовое (делимое)</w:t>
            </w:r>
          </w:p>
        </w:tc>
      </w:tr>
      <w:tr>
        <w:tc>
          <w:tcPr>
            <w:tcW w:w="624" w:type="dxa"/>
          </w:tcPr>
          <w:p>
            <w:pPr>
              <w:pStyle w:val="0"/>
              <w:jc w:val="both"/>
            </w:pPr>
            <w:r>
              <w:rPr>
                <w:sz w:val="20"/>
              </w:rPr>
              <w:t xml:space="preserve">3</w:t>
            </w:r>
          </w:p>
        </w:tc>
        <w:tc>
          <w:tcPr>
            <w:tcW w:w="3402" w:type="dxa"/>
          </w:tcPr>
          <w:p>
            <w:pPr>
              <w:pStyle w:val="0"/>
              <w:jc w:val="both"/>
            </w:pPr>
            <w:r>
              <w:rPr>
                <w:sz w:val="20"/>
              </w:rPr>
              <w:t xml:space="preserve">Обеспечить возможность дистанционной расшифровки ЭКГ автомобилей СМП</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"Центр экстренной медицинской помощи и медицины катастроф"; первый заместитель директора ГБУЗС "МИАЦ"</w:t>
            </w:r>
          </w:p>
        </w:tc>
        <w:tc>
          <w:tcPr>
            <w:tcW w:w="3061" w:type="dxa"/>
          </w:tcPr>
          <w:p>
            <w:pPr>
              <w:pStyle w:val="0"/>
              <w:jc w:val="both"/>
            </w:pPr>
            <w:r>
              <w:rPr>
                <w:sz w:val="20"/>
              </w:rPr>
              <w:t xml:space="preserve">100% бригад СМП укомплектованы ЭКГ с функцией передачи данных для удаленной расшифровки</w:t>
            </w:r>
          </w:p>
        </w:tc>
        <w:tc>
          <w:tcPr>
            <w:tcW w:w="3855" w:type="dxa"/>
          </w:tcPr>
          <w:p>
            <w:pPr>
              <w:pStyle w:val="0"/>
              <w:jc w:val="both"/>
            </w:pPr>
            <w:r>
              <w:rPr>
                <w:sz w:val="20"/>
              </w:rPr>
              <w:t xml:space="preserve">Обеспечена возможность дистанционной расшифровки 100% ЭКГ автомобилей СМП</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4</w:t>
            </w:r>
          </w:p>
        </w:tc>
        <w:tc>
          <w:tcPr>
            <w:tcW w:w="3402" w:type="dxa"/>
          </w:tcPr>
          <w:p>
            <w:pPr>
              <w:pStyle w:val="0"/>
              <w:jc w:val="both"/>
            </w:pPr>
            <w:r>
              <w:rPr>
                <w:sz w:val="20"/>
              </w:rPr>
              <w:t xml:space="preserve">Модернизация единой диспетчерской службы скорой медицинской помощи, интеграция информационной системы службы скорой медицинской помощи с электронной амбулаторной картой пациента</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"Центр экстренной медицинской помощи и медицины катастроф"; заместитель директора ГБУЗС "МИАЦ"</w:t>
            </w:r>
          </w:p>
        </w:tc>
        <w:tc>
          <w:tcPr>
            <w:tcW w:w="3061" w:type="dxa"/>
          </w:tcPr>
          <w:p>
            <w:pPr>
              <w:pStyle w:val="0"/>
              <w:jc w:val="both"/>
            </w:pPr>
            <w:r>
              <w:rPr>
                <w:sz w:val="20"/>
              </w:rPr>
              <w:t xml:space="preserve">Обеспечена интеграция информационной системы службы скорой медицинской помощи с электронной амбулаторной картой пациента</w:t>
            </w:r>
          </w:p>
        </w:tc>
        <w:tc>
          <w:tcPr>
            <w:tcW w:w="3855" w:type="dxa"/>
          </w:tcPr>
          <w:p>
            <w:pPr>
              <w:pStyle w:val="0"/>
              <w:jc w:val="both"/>
            </w:pPr>
            <w:r>
              <w:rPr>
                <w:sz w:val="20"/>
              </w:rPr>
              <w:t xml:space="preserve">Обеспечена интеграция информационной системы службы скорой медицинской помощи с электронной амбулаторной картой пациента</w:t>
            </w:r>
          </w:p>
        </w:tc>
        <w:tc>
          <w:tcPr>
            <w:tcW w:w="2041" w:type="dxa"/>
          </w:tcPr>
          <w:p>
            <w:pPr>
              <w:pStyle w:val="0"/>
              <w:jc w:val="both"/>
            </w:pPr>
            <w:r>
              <w:rPr>
                <w:sz w:val="20"/>
              </w:rPr>
              <w:t xml:space="preserve">Разовое (неделимое)</w:t>
            </w:r>
          </w:p>
        </w:tc>
      </w:tr>
      <w:tr>
        <w:tc>
          <w:tcPr>
            <w:gridSpan w:val="8"/>
            <w:tcW w:w="18709" w:type="dxa"/>
          </w:tcPr>
          <w:p>
            <w:pPr>
              <w:pStyle w:val="0"/>
              <w:outlineLvl w:val="3"/>
              <w:jc w:val="both"/>
            </w:pPr>
            <w:r>
              <w:rPr>
                <w:sz w:val="20"/>
              </w:rPr>
              <w:t xml:space="preserve">8. Развитие структуры специализированной, в том числе высокотехнологичной, медицинской помощи</w:t>
            </w:r>
          </w:p>
        </w:tc>
      </w:tr>
      <w:tr>
        <w:tc>
          <w:tcPr>
            <w:tcW w:w="624" w:type="dxa"/>
          </w:tcPr>
          <w:p>
            <w:pPr>
              <w:pStyle w:val="0"/>
              <w:jc w:val="both"/>
            </w:pPr>
            <w:r>
              <w:rPr>
                <w:sz w:val="20"/>
              </w:rPr>
              <w:t xml:space="preserve">1</w:t>
            </w:r>
          </w:p>
        </w:tc>
        <w:tc>
          <w:tcPr>
            <w:tcW w:w="3402" w:type="dxa"/>
          </w:tcPr>
          <w:p>
            <w:pPr>
              <w:pStyle w:val="0"/>
              <w:jc w:val="both"/>
            </w:pPr>
            <w:r>
              <w:rPr>
                <w:sz w:val="20"/>
              </w:rPr>
              <w:t xml:space="preserve">Строительство больницы скорой медицинской помощи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31.12.2026</w:t>
            </w:r>
          </w:p>
        </w:tc>
        <w:tc>
          <w:tcPr>
            <w:tcW w:w="2948" w:type="dxa"/>
          </w:tcPr>
          <w:p>
            <w:pPr>
              <w:pStyle w:val="0"/>
              <w:jc w:val="both"/>
            </w:pPr>
            <w:r>
              <w:rPr>
                <w:sz w:val="20"/>
              </w:rPr>
              <w:t xml:space="preserve">Директор Департамента капитального строительства города Севастополя; директор Департамента здравоохранения города Севастополя</w:t>
            </w:r>
          </w:p>
        </w:tc>
        <w:tc>
          <w:tcPr>
            <w:tcW w:w="3061" w:type="dxa"/>
          </w:tcPr>
          <w:p>
            <w:pPr>
              <w:pStyle w:val="0"/>
              <w:jc w:val="both"/>
            </w:pPr>
            <w:r>
              <w:rPr>
                <w:sz w:val="20"/>
              </w:rPr>
              <w:t xml:space="preserve">Введена в эксплуатацию больница скорой медицинской помощи</w:t>
            </w:r>
          </w:p>
        </w:tc>
        <w:tc>
          <w:tcPr>
            <w:tcW w:w="3855" w:type="dxa"/>
          </w:tcPr>
          <w:p>
            <w:pPr>
              <w:pStyle w:val="0"/>
              <w:jc w:val="both"/>
            </w:pPr>
            <w:r>
              <w:rPr>
                <w:sz w:val="20"/>
              </w:rPr>
              <w:t xml:space="preserve">Введена в эксплуатацию больница скорой медицинской помощи, оснащенная всем необходимым оборудованием для оказания специализированной медицинской помощи больным с БСК. Строительство БСМП позволит решить основную проблему при оказании медицинской помощи пациентам с БСК - недостаточное количество площадей для оказания высококвалифицированной медицинской помощи</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2</w:t>
            </w:r>
          </w:p>
        </w:tc>
        <w:tc>
          <w:tcPr>
            <w:tcW w:w="3402" w:type="dxa"/>
          </w:tcPr>
          <w:p>
            <w:pPr>
              <w:pStyle w:val="0"/>
              <w:jc w:val="both"/>
            </w:pPr>
            <w:r>
              <w:rPr>
                <w:sz w:val="20"/>
              </w:rPr>
              <w:t xml:space="preserve">Внедрение и реализация мероприятий по развитию аритмологической службы города Севастополя</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специалист - кардиолог Департамента здравоохранения города Севастополя</w:t>
            </w:r>
          </w:p>
        </w:tc>
        <w:tc>
          <w:tcPr>
            <w:tcW w:w="3061" w:type="dxa"/>
          </w:tcPr>
          <w:p>
            <w:pPr>
              <w:pStyle w:val="0"/>
              <w:jc w:val="both"/>
            </w:pPr>
            <w:r>
              <w:rPr>
                <w:sz w:val="20"/>
              </w:rPr>
              <w:t xml:space="preserve">Утвержден план мероприятий по развитию аритмологической службы города Севастополя</w:t>
            </w:r>
          </w:p>
        </w:tc>
        <w:tc>
          <w:tcPr>
            <w:tcW w:w="3855" w:type="dxa"/>
          </w:tcPr>
          <w:p>
            <w:pPr>
              <w:pStyle w:val="0"/>
              <w:jc w:val="both"/>
            </w:pPr>
            <w:r>
              <w:rPr>
                <w:sz w:val="20"/>
              </w:rPr>
              <w:t xml:space="preserve">Разработан и утвержден план мероприятий по развитию аритмологической службы города Севастополя</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3</w:t>
            </w:r>
          </w:p>
        </w:tc>
        <w:tc>
          <w:tcPr>
            <w:tcW w:w="3402" w:type="dxa"/>
          </w:tcPr>
          <w:p>
            <w:pPr>
              <w:pStyle w:val="0"/>
              <w:jc w:val="both"/>
            </w:pPr>
            <w:r>
              <w:rPr>
                <w:sz w:val="20"/>
              </w:rPr>
              <w:t xml:space="preserve">Внедрение новых методов оказания специализированных видов медицинской помощи больным с ОНМК (эндоваскулярная тромблэкстракция)</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 руководитель регионального сосудистого центра ГБУЗС "Городская больница N 1 им. Н.И. Пирогова"</w:t>
            </w:r>
          </w:p>
        </w:tc>
        <w:tc>
          <w:tcPr>
            <w:tcW w:w="3061" w:type="dxa"/>
          </w:tcPr>
          <w:p>
            <w:pPr>
              <w:pStyle w:val="0"/>
              <w:jc w:val="both"/>
            </w:pPr>
            <w:r>
              <w:rPr>
                <w:sz w:val="20"/>
              </w:rPr>
              <w:t xml:space="preserve">Проведено не менее:</w:t>
            </w:r>
          </w:p>
          <w:p>
            <w:pPr>
              <w:pStyle w:val="0"/>
              <w:jc w:val="both"/>
            </w:pPr>
            <w:r>
              <w:rPr>
                <w:sz w:val="20"/>
              </w:rPr>
              <w:t xml:space="preserve">- 2022 г. - 10 случаев;</w:t>
            </w:r>
          </w:p>
          <w:p>
            <w:pPr>
              <w:pStyle w:val="0"/>
              <w:jc w:val="both"/>
            </w:pPr>
            <w:r>
              <w:rPr>
                <w:sz w:val="20"/>
              </w:rPr>
              <w:t xml:space="preserve">- 2023 г. - 50 случаев;</w:t>
            </w:r>
          </w:p>
          <w:p>
            <w:pPr>
              <w:pStyle w:val="0"/>
              <w:jc w:val="both"/>
            </w:pPr>
            <w:r>
              <w:rPr>
                <w:sz w:val="20"/>
              </w:rPr>
              <w:t xml:space="preserve">- 2024 г. - 100 случаев</w:t>
            </w:r>
          </w:p>
        </w:tc>
        <w:tc>
          <w:tcPr>
            <w:tcW w:w="3855" w:type="dxa"/>
          </w:tcPr>
          <w:p>
            <w:pPr>
              <w:pStyle w:val="0"/>
              <w:jc w:val="both"/>
            </w:pPr>
            <w:r>
              <w:rPr>
                <w:sz w:val="20"/>
              </w:rPr>
              <w:t xml:space="preserve">Подготовка ресурсного обеспечения и внедрение в практику метода эндоваскулярной тромблэкстракции</w:t>
            </w:r>
          </w:p>
        </w:tc>
        <w:tc>
          <w:tcPr>
            <w:tcW w:w="2041" w:type="dxa"/>
          </w:tcPr>
          <w:p>
            <w:pPr>
              <w:pStyle w:val="0"/>
              <w:jc w:val="both"/>
            </w:pPr>
            <w:r>
              <w:rPr>
                <w:sz w:val="20"/>
              </w:rPr>
              <w:t xml:space="preserve">Регулярное (ежегодное)</w:t>
            </w:r>
          </w:p>
        </w:tc>
      </w:tr>
      <w:tr>
        <w:tc>
          <w:tcPr>
            <w:gridSpan w:val="8"/>
            <w:tcW w:w="18709" w:type="dxa"/>
          </w:tcPr>
          <w:p>
            <w:pPr>
              <w:pStyle w:val="0"/>
              <w:outlineLvl w:val="3"/>
              <w:jc w:val="both"/>
            </w:pPr>
            <w:r>
              <w:rPr>
                <w:sz w:val="20"/>
              </w:rPr>
              <w:t xml:space="preserve">9. Медицинская реабилитация</w:t>
            </w:r>
          </w:p>
        </w:tc>
      </w:tr>
      <w:tr>
        <w:tc>
          <w:tcPr>
            <w:tcW w:w="624" w:type="dxa"/>
          </w:tcPr>
          <w:p>
            <w:pPr>
              <w:pStyle w:val="0"/>
              <w:jc w:val="both"/>
            </w:pPr>
            <w:r>
              <w:rPr>
                <w:sz w:val="20"/>
              </w:rPr>
              <w:t xml:space="preserve">1</w:t>
            </w:r>
          </w:p>
        </w:tc>
        <w:tc>
          <w:tcPr>
            <w:tcW w:w="3402" w:type="dxa"/>
          </w:tcPr>
          <w:p>
            <w:pPr>
              <w:pStyle w:val="0"/>
              <w:jc w:val="both"/>
            </w:pPr>
            <w:r>
              <w:rPr>
                <w:sz w:val="20"/>
              </w:rPr>
              <w:t xml:space="preserve">Актуализация маршрутизации пациентов при осуществлении мероприятий по медицинской реабилитации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специалист по медицинской реабилитации Департамента здравоохранения города Севастополя</w:t>
            </w:r>
          </w:p>
        </w:tc>
        <w:tc>
          <w:tcPr>
            <w:tcW w:w="3061" w:type="dxa"/>
          </w:tcPr>
          <w:p>
            <w:pPr>
              <w:pStyle w:val="0"/>
              <w:jc w:val="both"/>
            </w:pPr>
            <w:r>
              <w:rPr>
                <w:sz w:val="20"/>
              </w:rPr>
              <w:t xml:space="preserve">Разработан и утвержден нормативный акт</w:t>
            </w:r>
          </w:p>
        </w:tc>
        <w:tc>
          <w:tcPr>
            <w:tcW w:w="3855" w:type="dxa"/>
          </w:tcPr>
          <w:p>
            <w:pPr>
              <w:pStyle w:val="0"/>
              <w:jc w:val="both"/>
            </w:pPr>
            <w:r>
              <w:rPr>
                <w:sz w:val="20"/>
              </w:rPr>
              <w:t xml:space="preserve">Разработан и утвержден приказ Департамента здравоохранения города Севастополя о маршрутизации пациентов города Севастополя при осуществлении мероприятий по медицинской реабилитации</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2</w:t>
            </w:r>
          </w:p>
        </w:tc>
        <w:tc>
          <w:tcPr>
            <w:tcW w:w="3402" w:type="dxa"/>
          </w:tcPr>
          <w:p>
            <w:pPr>
              <w:pStyle w:val="0"/>
              <w:jc w:val="both"/>
            </w:pPr>
            <w:r>
              <w:rPr>
                <w:sz w:val="20"/>
              </w:rPr>
              <w:t xml:space="preserve">Организация второго этапа реабилитации в медицинских организациях города Севастополя</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 главный внештатный специалист - кардиолог Департамента здравоохранения города Севастополя</w:t>
            </w:r>
          </w:p>
        </w:tc>
        <w:tc>
          <w:tcPr>
            <w:tcW w:w="3061" w:type="dxa"/>
          </w:tcPr>
          <w:p>
            <w:pPr>
              <w:pStyle w:val="0"/>
              <w:jc w:val="both"/>
            </w:pPr>
            <w:r>
              <w:rPr>
                <w:sz w:val="20"/>
              </w:rPr>
              <w:t xml:space="preserve">Охват реабилитацией второго этапа не менее 25% пациентов с ОНМК</w:t>
            </w:r>
          </w:p>
        </w:tc>
        <w:tc>
          <w:tcPr>
            <w:tcW w:w="3855" w:type="dxa"/>
          </w:tcPr>
          <w:p>
            <w:pPr>
              <w:pStyle w:val="0"/>
              <w:jc w:val="both"/>
            </w:pPr>
            <w:r>
              <w:rPr>
                <w:sz w:val="20"/>
              </w:rPr>
              <w:t xml:space="preserve">Охват реабилитацией второго этапа не менее 25% пациентов с ОНМК</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3</w:t>
            </w:r>
          </w:p>
        </w:tc>
        <w:tc>
          <w:tcPr>
            <w:tcW w:w="3402" w:type="dxa"/>
          </w:tcPr>
          <w:p>
            <w:pPr>
              <w:pStyle w:val="0"/>
              <w:jc w:val="both"/>
            </w:pPr>
            <w:r>
              <w:rPr>
                <w:sz w:val="20"/>
              </w:rPr>
              <w:t xml:space="preserve">Открытие отделения реабилитации для пациентов, перенесших ОКС и ОНМК</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 главный врач ГБУЗС "Городская больница N 9"</w:t>
            </w:r>
          </w:p>
        </w:tc>
        <w:tc>
          <w:tcPr>
            <w:tcW w:w="3061" w:type="dxa"/>
          </w:tcPr>
          <w:p>
            <w:pPr>
              <w:pStyle w:val="0"/>
              <w:jc w:val="both"/>
            </w:pPr>
            <w:r>
              <w:rPr>
                <w:sz w:val="20"/>
              </w:rPr>
              <w:t xml:space="preserve">Открыто отделение реабилитации на базе ГБУЗС "Городская больница N 1 им. Н.И. Пирогова" на 12 коек</w:t>
            </w:r>
          </w:p>
        </w:tc>
        <w:tc>
          <w:tcPr>
            <w:tcW w:w="3855" w:type="dxa"/>
          </w:tcPr>
          <w:p>
            <w:pPr>
              <w:pStyle w:val="0"/>
              <w:jc w:val="both"/>
            </w:pPr>
            <w:r>
              <w:rPr>
                <w:sz w:val="20"/>
              </w:rPr>
              <w:t xml:space="preserve">Открыто отделение реабилитации на базе ГБУЗС "Городская больница N 1 им. Н.И. Пирогова" на 12 коек</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4</w:t>
            </w:r>
          </w:p>
        </w:tc>
        <w:tc>
          <w:tcPr>
            <w:tcW w:w="3402" w:type="dxa"/>
          </w:tcPr>
          <w:p>
            <w:pPr>
              <w:pStyle w:val="0"/>
              <w:jc w:val="both"/>
            </w:pPr>
            <w:r>
              <w:rPr>
                <w:sz w:val="20"/>
              </w:rPr>
              <w:t xml:space="preserve">Оснащение отделений реабилитации медицинских организаций города Севастополя медицинским оборудованием</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31.12.2025</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 директор ГКУС "Медицинский склад 1043"</w:t>
            </w:r>
          </w:p>
        </w:tc>
        <w:tc>
          <w:tcPr>
            <w:tcW w:w="3061" w:type="dxa"/>
          </w:tcPr>
          <w:p>
            <w:pPr>
              <w:pStyle w:val="0"/>
              <w:jc w:val="both"/>
            </w:pPr>
            <w:r>
              <w:rPr>
                <w:sz w:val="20"/>
              </w:rPr>
              <w:t xml:space="preserve">Отделение реабилитации на базе ГБУЗС "Городская больница N 1 им. Н.И. Пирогова" оснащено оборудованием согласно порядку оказания медицинской помощи по профилю медицинской реабилитации</w:t>
            </w:r>
          </w:p>
        </w:tc>
        <w:tc>
          <w:tcPr>
            <w:tcW w:w="3855" w:type="dxa"/>
          </w:tcPr>
          <w:p>
            <w:pPr>
              <w:pStyle w:val="0"/>
              <w:jc w:val="both"/>
            </w:pPr>
            <w:r>
              <w:rPr>
                <w:sz w:val="20"/>
              </w:rPr>
              <w:t xml:space="preserve">Отделение реабилитации на базе ГБУЗС "Городская больница N 1 им. Н.И. Пирогова" оснащено оборудованием согласно порядку оказания медицинской помощи по профилю медицинской реабилитации</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5</w:t>
            </w:r>
          </w:p>
        </w:tc>
        <w:tc>
          <w:tcPr>
            <w:tcW w:w="3402" w:type="dxa"/>
          </w:tcPr>
          <w:p>
            <w:pPr>
              <w:pStyle w:val="0"/>
              <w:jc w:val="both"/>
            </w:pPr>
            <w:r>
              <w:rPr>
                <w:sz w:val="20"/>
              </w:rPr>
              <w:t xml:space="preserve">Обеспечение маршрутизации пациентов</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31.12.2023</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специалист - кардиолог Департамента здравоохранения города Севастополя; главный внештатный специалист - невролог Департамента здравоохранения города Севастополя</w:t>
            </w:r>
          </w:p>
        </w:tc>
        <w:tc>
          <w:tcPr>
            <w:tcW w:w="3061" w:type="dxa"/>
          </w:tcPr>
          <w:p>
            <w:pPr>
              <w:pStyle w:val="0"/>
              <w:jc w:val="both"/>
            </w:pPr>
            <w:r>
              <w:rPr>
                <w:sz w:val="20"/>
              </w:rPr>
              <w:t xml:space="preserve">Разработан и утвержден нормативный акт</w:t>
            </w:r>
          </w:p>
        </w:tc>
        <w:tc>
          <w:tcPr>
            <w:tcW w:w="3855" w:type="dxa"/>
          </w:tcPr>
          <w:p>
            <w:pPr>
              <w:pStyle w:val="0"/>
              <w:jc w:val="both"/>
            </w:pPr>
            <w:r>
              <w:rPr>
                <w:sz w:val="20"/>
              </w:rPr>
              <w:t xml:space="preserve">Актуализирован приказ Департамента здравоохранения города Севастополя по маршрутизации пациентов с ОНМК с учетом функционирующего отделения реабилитации</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6</w:t>
            </w:r>
          </w:p>
        </w:tc>
        <w:tc>
          <w:tcPr>
            <w:tcW w:w="3402" w:type="dxa"/>
          </w:tcPr>
          <w:p>
            <w:pPr>
              <w:pStyle w:val="0"/>
              <w:jc w:val="both"/>
            </w:pPr>
            <w:r>
              <w:rPr>
                <w:sz w:val="20"/>
              </w:rPr>
              <w:t xml:space="preserve">Обучение специалистов по профилю "Медицинская реабилитация" для работы в отделении реабилитации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w:t>
            </w:r>
          </w:p>
        </w:tc>
        <w:tc>
          <w:tcPr>
            <w:tcW w:w="3061" w:type="dxa"/>
          </w:tcPr>
          <w:p>
            <w:pPr>
              <w:pStyle w:val="0"/>
              <w:jc w:val="both"/>
            </w:pPr>
            <w:r>
              <w:rPr>
                <w:sz w:val="20"/>
              </w:rPr>
              <w:t xml:space="preserve">Отделение медицинской реабилитации укомплектовано врачом по физической и реабилитационной медицине</w:t>
            </w:r>
          </w:p>
        </w:tc>
        <w:tc>
          <w:tcPr>
            <w:tcW w:w="3855" w:type="dxa"/>
          </w:tcPr>
          <w:p>
            <w:pPr>
              <w:pStyle w:val="0"/>
              <w:jc w:val="both"/>
            </w:pPr>
            <w:r>
              <w:rPr>
                <w:sz w:val="20"/>
              </w:rPr>
              <w:t xml:space="preserve">Проведена профессиональная переподготовка или привлечен один врач по физической и реабилитационной медицине для работы в отделении медицинской реабилитации</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7</w:t>
            </w:r>
          </w:p>
        </w:tc>
        <w:tc>
          <w:tcPr>
            <w:tcW w:w="3402" w:type="dxa"/>
          </w:tcPr>
          <w:p>
            <w:pPr>
              <w:pStyle w:val="0"/>
              <w:jc w:val="both"/>
            </w:pPr>
            <w:r>
              <w:rPr>
                <w:sz w:val="20"/>
              </w:rPr>
              <w:t xml:space="preserve">Увеличение количества специализированных коек 2-го этапа медицинской реабилитации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w:t>
            </w:r>
          </w:p>
        </w:tc>
        <w:tc>
          <w:tcPr>
            <w:tcW w:w="3061" w:type="dxa"/>
          </w:tcPr>
          <w:p>
            <w:pPr>
              <w:pStyle w:val="0"/>
              <w:jc w:val="both"/>
            </w:pPr>
            <w:r>
              <w:rPr>
                <w:sz w:val="20"/>
              </w:rPr>
              <w:t xml:space="preserve">В медицинских организациях развернуто не менее 55 коек медицинской реабилитации</w:t>
            </w:r>
          </w:p>
        </w:tc>
        <w:tc>
          <w:tcPr>
            <w:tcW w:w="3855" w:type="dxa"/>
          </w:tcPr>
          <w:p>
            <w:pPr>
              <w:pStyle w:val="0"/>
              <w:jc w:val="both"/>
            </w:pPr>
            <w:r>
              <w:rPr>
                <w:sz w:val="20"/>
              </w:rPr>
              <w:t xml:space="preserve">В медицинских организациях развернуто не менее 55 коек медицинской реабилитации. Охват реабилитацией 2-го этапа не менее 70% пациентов с ОНМК</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8</w:t>
            </w:r>
          </w:p>
        </w:tc>
        <w:tc>
          <w:tcPr>
            <w:tcW w:w="3402" w:type="dxa"/>
          </w:tcPr>
          <w:p>
            <w:pPr>
              <w:pStyle w:val="0"/>
              <w:jc w:val="both"/>
            </w:pPr>
            <w:r>
              <w:rPr>
                <w:sz w:val="20"/>
              </w:rPr>
              <w:t xml:space="preserve">Создание и ведение регистра пациентов, нуждающихся в реабилитации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специалист по медицинской реабилитации Департамента здравоохранения города Севастополя; заместитель директора ГБУЗС "МИАЦ"</w:t>
            </w:r>
          </w:p>
        </w:tc>
        <w:tc>
          <w:tcPr>
            <w:tcW w:w="3061" w:type="dxa"/>
          </w:tcPr>
          <w:p>
            <w:pPr>
              <w:pStyle w:val="0"/>
              <w:jc w:val="both"/>
            </w:pPr>
            <w:r>
              <w:rPr>
                <w:sz w:val="20"/>
              </w:rPr>
              <w:t xml:space="preserve">Сформирован регистр пациентов, нуждающихся в реабилитации, на базе АИС ЛПУ</w:t>
            </w:r>
          </w:p>
        </w:tc>
        <w:tc>
          <w:tcPr>
            <w:tcW w:w="3855" w:type="dxa"/>
          </w:tcPr>
          <w:p>
            <w:pPr>
              <w:pStyle w:val="0"/>
              <w:jc w:val="both"/>
            </w:pPr>
            <w:r>
              <w:rPr>
                <w:sz w:val="20"/>
              </w:rPr>
              <w:t xml:space="preserve">Сформирован регистр пациентов, нуждающихся в реабилитации</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9</w:t>
            </w:r>
          </w:p>
        </w:tc>
        <w:tc>
          <w:tcPr>
            <w:tcW w:w="3402" w:type="dxa"/>
          </w:tcPr>
          <w:p>
            <w:pPr>
              <w:pStyle w:val="0"/>
              <w:jc w:val="both"/>
            </w:pPr>
            <w:r>
              <w:rPr>
                <w:sz w:val="20"/>
              </w:rPr>
              <w:t xml:space="preserve">Создание и актуализация системы контроля за соблюдением схемы маршрутизации пациентов на этапах медицинской реабилитации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специалист по медицинской реабилитации Департамента здравоохранения города Севастополя</w:t>
            </w:r>
          </w:p>
        </w:tc>
        <w:tc>
          <w:tcPr>
            <w:tcW w:w="3061" w:type="dxa"/>
          </w:tcPr>
          <w:p>
            <w:pPr>
              <w:pStyle w:val="0"/>
              <w:jc w:val="both"/>
            </w:pPr>
            <w:r>
              <w:rPr>
                <w:sz w:val="20"/>
              </w:rPr>
              <w:t xml:space="preserve">Утвержден нормативный акт</w:t>
            </w:r>
          </w:p>
        </w:tc>
        <w:tc>
          <w:tcPr>
            <w:tcW w:w="3855" w:type="dxa"/>
          </w:tcPr>
          <w:p>
            <w:pPr>
              <w:pStyle w:val="0"/>
              <w:jc w:val="both"/>
            </w:pPr>
            <w:r>
              <w:rPr>
                <w:sz w:val="20"/>
              </w:rPr>
              <w:t xml:space="preserve">Актуализирован приказ Департамента здравоохранения города Севастополя о системе контроля за соблюдением схемы маршрутизации пациентов на этапах медицинской реабилитации</w:t>
            </w:r>
          </w:p>
        </w:tc>
        <w:tc>
          <w:tcPr>
            <w:tcW w:w="2041" w:type="dxa"/>
          </w:tcPr>
          <w:p>
            <w:pPr>
              <w:pStyle w:val="0"/>
              <w:jc w:val="both"/>
            </w:pPr>
            <w:r>
              <w:rPr>
                <w:sz w:val="20"/>
              </w:rPr>
              <w:t xml:space="preserve">Регулярное (ежегодное)</w:t>
            </w:r>
          </w:p>
        </w:tc>
      </w:tr>
      <w:tr>
        <w:tc>
          <w:tcPr>
            <w:gridSpan w:val="8"/>
            <w:tcW w:w="18709" w:type="dxa"/>
          </w:tcPr>
          <w:p>
            <w:pPr>
              <w:pStyle w:val="0"/>
              <w:outlineLvl w:val="3"/>
              <w:jc w:val="both"/>
            </w:pPr>
            <w:r>
              <w:rPr>
                <w:sz w:val="20"/>
              </w:rPr>
              <w:t xml:space="preserve">10. Кадровое обеспечение системы оказания медицинской помощи больным сердечно-сосудистыми заболеваниями</w:t>
            </w:r>
          </w:p>
        </w:tc>
      </w:tr>
      <w:tr>
        <w:tc>
          <w:tcPr>
            <w:tcW w:w="624" w:type="dxa"/>
          </w:tcPr>
          <w:p>
            <w:pPr>
              <w:pStyle w:val="0"/>
              <w:jc w:val="both"/>
            </w:pPr>
            <w:r>
              <w:rPr>
                <w:sz w:val="20"/>
              </w:rPr>
              <w:t xml:space="preserve">1</w:t>
            </w:r>
          </w:p>
        </w:tc>
        <w:tc>
          <w:tcPr>
            <w:tcW w:w="3402" w:type="dxa"/>
          </w:tcPr>
          <w:p>
            <w:pPr>
              <w:pStyle w:val="0"/>
              <w:jc w:val="both"/>
            </w:pPr>
            <w:r>
              <w:rPr>
                <w:sz w:val="20"/>
              </w:rPr>
              <w:t xml:space="preserve">Разработка плана мероприятий по обучению методике дистанционной передачи ЭКГ и экстренного консультирования с врачами РСЦ при оказании экстренной медицинской помощи при ОКС для медицинских работников СМП и фельдшеров ФАПов</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первый заместитель директора ГБУЗС "МИАЦ"; главный врач ГБУЗС "Центр экстренной медицинской помощи и медицины катастроф"; главный врач ГБУЗС "Городская больница N 9"; главный врач ГБУЗС "Городская больница N 4"</w:t>
            </w:r>
          </w:p>
        </w:tc>
        <w:tc>
          <w:tcPr>
            <w:tcW w:w="3061" w:type="dxa"/>
          </w:tcPr>
          <w:p>
            <w:pPr>
              <w:pStyle w:val="0"/>
              <w:jc w:val="both"/>
            </w:pPr>
            <w:r>
              <w:rPr>
                <w:sz w:val="20"/>
              </w:rPr>
              <w:t xml:space="preserve">Утвержден план-график обучения работников СМП и фельдшеров ФАПов</w:t>
            </w:r>
          </w:p>
        </w:tc>
        <w:tc>
          <w:tcPr>
            <w:tcW w:w="3855" w:type="dxa"/>
          </w:tcPr>
          <w:p>
            <w:pPr>
              <w:pStyle w:val="0"/>
              <w:jc w:val="both"/>
            </w:pPr>
            <w:r>
              <w:rPr>
                <w:sz w:val="20"/>
              </w:rPr>
              <w:t xml:space="preserve">Разработан и утвержден план-график обучения работников СМП и фельдшеров ФАПов</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2</w:t>
            </w:r>
          </w:p>
        </w:tc>
        <w:tc>
          <w:tcPr>
            <w:tcW w:w="3402" w:type="dxa"/>
          </w:tcPr>
          <w:p>
            <w:pPr>
              <w:pStyle w:val="0"/>
              <w:jc w:val="both"/>
            </w:pPr>
            <w:r>
              <w:rPr>
                <w:sz w:val="20"/>
              </w:rPr>
              <w:t xml:space="preserve">Обучение методике дистанционной передачи ЭКГ и экстренного консультирования с врачами РСЦ при оказании экстренной медицинской помощи при ОКС для медицинских работников СМП и фельдшеров ФАПов</w:t>
            </w:r>
          </w:p>
        </w:tc>
        <w:tc>
          <w:tcPr>
            <w:tcW w:w="1361" w:type="dxa"/>
          </w:tcPr>
          <w:p>
            <w:pPr>
              <w:pStyle w:val="0"/>
              <w:jc w:val="both"/>
            </w:pPr>
            <w:r>
              <w:rPr>
                <w:sz w:val="20"/>
              </w:rPr>
              <w:t xml:space="preserve">01.07.2023</w:t>
            </w:r>
          </w:p>
        </w:tc>
        <w:tc>
          <w:tcPr>
            <w:tcW w:w="1417" w:type="dxa"/>
          </w:tcPr>
          <w:p>
            <w:pPr>
              <w:pStyle w:val="0"/>
              <w:jc w:val="both"/>
            </w:pPr>
            <w:r>
              <w:rPr>
                <w:sz w:val="20"/>
              </w:rPr>
              <w:t xml:space="preserve">01.09.2024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первый заместитель директора ГБУЗС "МИАЦ"; главный врач ГБУЗС "Центр экстренной медицинской помощи и медицины катастроф"; главный врач ГБУЗС "Городская больница N 9"; главный врач ГБУЗС "Городская больница N 4"</w:t>
            </w:r>
          </w:p>
        </w:tc>
        <w:tc>
          <w:tcPr>
            <w:tcW w:w="3061" w:type="dxa"/>
          </w:tcPr>
          <w:p>
            <w:pPr>
              <w:pStyle w:val="0"/>
              <w:jc w:val="both"/>
            </w:pPr>
            <w:r>
              <w:rPr>
                <w:sz w:val="20"/>
              </w:rPr>
              <w:t xml:space="preserve">Обучено не менее 200 работников СМП и фельдшеров ФАПов</w:t>
            </w:r>
          </w:p>
        </w:tc>
        <w:tc>
          <w:tcPr>
            <w:tcW w:w="3855" w:type="dxa"/>
          </w:tcPr>
          <w:p>
            <w:pPr>
              <w:pStyle w:val="0"/>
              <w:jc w:val="both"/>
            </w:pPr>
            <w:r>
              <w:rPr>
                <w:sz w:val="20"/>
              </w:rPr>
              <w:t xml:space="preserve">Обучено не менее 200 работников СМП и фельдшеров ФАПов</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3</w:t>
            </w:r>
          </w:p>
        </w:tc>
        <w:tc>
          <w:tcPr>
            <w:tcW w:w="3402" w:type="dxa"/>
          </w:tcPr>
          <w:p>
            <w:pPr>
              <w:pStyle w:val="0"/>
              <w:jc w:val="both"/>
            </w:pPr>
            <w:r>
              <w:rPr>
                <w:sz w:val="20"/>
              </w:rPr>
              <w:t xml:space="preserve">Организация регулярного контроля за объемом и качеством непрерывного медицинского образования (далее - НМО)</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отдела кадровой работы Департамента здравоохранения города Севастополя; главный врач ГБУЗС "Городская больница N 1 им. Н.И. Пирогова"</w:t>
            </w:r>
          </w:p>
        </w:tc>
        <w:tc>
          <w:tcPr>
            <w:tcW w:w="3061" w:type="dxa"/>
          </w:tcPr>
          <w:p>
            <w:pPr>
              <w:pStyle w:val="0"/>
              <w:jc w:val="both"/>
            </w:pPr>
            <w:r>
              <w:rPr>
                <w:sz w:val="20"/>
              </w:rPr>
              <w:t xml:space="preserve">Охват НМО не менее 70% специалистов РСЦ</w:t>
            </w:r>
          </w:p>
        </w:tc>
        <w:tc>
          <w:tcPr>
            <w:tcW w:w="3855" w:type="dxa"/>
          </w:tcPr>
          <w:p>
            <w:pPr>
              <w:pStyle w:val="0"/>
              <w:jc w:val="both"/>
            </w:pPr>
            <w:r>
              <w:rPr>
                <w:sz w:val="20"/>
              </w:rPr>
              <w:t xml:space="preserve">Охват НМО не менее 70% специалистов РСЦ</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4</w:t>
            </w:r>
          </w:p>
        </w:tc>
        <w:tc>
          <w:tcPr>
            <w:tcW w:w="3402" w:type="dxa"/>
          </w:tcPr>
          <w:p>
            <w:pPr>
              <w:pStyle w:val="0"/>
              <w:jc w:val="both"/>
            </w:pPr>
            <w:r>
              <w:rPr>
                <w:sz w:val="20"/>
              </w:rPr>
              <w:t xml:space="preserve">Реализация мероприятий по обеспечению медицинских организаций системы здравоохранения города Севастополя квалифицированными кадрами, включая меры социальной поддержки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начальник отдела кадровой работы Департамента здравоохранения города Севастополя; главный врач ГБУЗС "Городская больница N 1 им. Н.И. Пирогова"</w:t>
            </w:r>
          </w:p>
        </w:tc>
        <w:tc>
          <w:tcPr>
            <w:tcW w:w="3061" w:type="dxa"/>
          </w:tcPr>
          <w:p>
            <w:pPr>
              <w:pStyle w:val="0"/>
              <w:jc w:val="both"/>
            </w:pPr>
            <w:r>
              <w:rPr>
                <w:sz w:val="20"/>
              </w:rPr>
              <w:t xml:space="preserve">Достижение укомплектованности штатных должностей физическими лицами регионального сосудистого центра и подразделений реабилитации на уровне 98% при коэффициенте совместительства не более 1,2</w:t>
            </w:r>
          </w:p>
        </w:tc>
        <w:tc>
          <w:tcPr>
            <w:tcW w:w="3855" w:type="dxa"/>
          </w:tcPr>
          <w:p>
            <w:pPr>
              <w:pStyle w:val="0"/>
              <w:jc w:val="both"/>
            </w:pPr>
            <w:r>
              <w:rPr>
                <w:sz w:val="20"/>
              </w:rPr>
              <w:t xml:space="preserve">Достижение кадровой обеспеченности РСЦ, медицинских организаций, участвующих в оказании медицинской помощи при БСК, необходимой для обеспечения работы в круглосуточном режиме, в том числе подразделений реабилитации</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5</w:t>
            </w:r>
          </w:p>
        </w:tc>
        <w:tc>
          <w:tcPr>
            <w:tcW w:w="3402" w:type="dxa"/>
          </w:tcPr>
          <w:p>
            <w:pPr>
              <w:pStyle w:val="0"/>
              <w:jc w:val="both"/>
            </w:pPr>
            <w:r>
              <w:rPr>
                <w:sz w:val="20"/>
              </w:rPr>
              <w:t xml:space="preserve">Организация ведения перечня дефицитных специальностей для мониторинга текущей потребности в медицинских кадрах, в том числе:</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отдела кадровой работы Департамента здравоохранения города Севастополя</w:t>
            </w:r>
          </w:p>
        </w:tc>
        <w:tc>
          <w:tcPr>
            <w:tcW w:w="3061" w:type="dxa"/>
          </w:tcPr>
          <w:p>
            <w:pPr>
              <w:pStyle w:val="0"/>
              <w:jc w:val="both"/>
            </w:pPr>
            <w:r>
              <w:rPr>
                <w:sz w:val="20"/>
              </w:rPr>
              <w:t xml:space="preserve">Ежегодное утверждение нормативного акта</w:t>
            </w:r>
          </w:p>
        </w:tc>
        <w:tc>
          <w:tcPr>
            <w:tcW w:w="3855" w:type="dxa"/>
          </w:tcPr>
          <w:p>
            <w:pPr>
              <w:pStyle w:val="0"/>
              <w:jc w:val="both"/>
            </w:pPr>
            <w:r>
              <w:rPr>
                <w:sz w:val="20"/>
              </w:rPr>
              <w:t xml:space="preserve">Разработан и утвержден приказ Департамента здравоохранения города Севастополя, утверждающий форму перечня дефицитных специальностей и порядок ведения мониторинга текущей потребности</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6</w:t>
            </w:r>
          </w:p>
        </w:tc>
        <w:tc>
          <w:tcPr>
            <w:tcW w:w="3402" w:type="dxa"/>
          </w:tcPr>
          <w:p>
            <w:pPr>
              <w:pStyle w:val="0"/>
              <w:jc w:val="both"/>
            </w:pPr>
            <w:r>
              <w:rPr>
                <w:sz w:val="20"/>
              </w:rPr>
              <w:t xml:space="preserve">Анализ потребности и дефицита в сердечно-сосудистых хирургах, мониторинг и своевременная подготовка/переподготовка специалистов</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отдела кадровой работы Департамента здравоохранения города Севастополя; главный врач ГБУЗС "Городская больница N 1 им. Н.И. Пирогова"</w:t>
            </w:r>
          </w:p>
        </w:tc>
        <w:tc>
          <w:tcPr>
            <w:tcW w:w="3061" w:type="dxa"/>
          </w:tcPr>
          <w:p>
            <w:pPr>
              <w:pStyle w:val="0"/>
              <w:jc w:val="both"/>
            </w:pPr>
            <w:r>
              <w:rPr>
                <w:sz w:val="20"/>
              </w:rPr>
              <w:t xml:space="preserve">Своевременная подготовка/переподготовка специалистов функционирования Регионального сосудистого центра ГБУЗС "Городская больница N 1 им. Н.И. Пирогова" на основании анализа потребности</w:t>
            </w:r>
          </w:p>
        </w:tc>
        <w:tc>
          <w:tcPr>
            <w:tcW w:w="3855" w:type="dxa"/>
          </w:tcPr>
          <w:p>
            <w:pPr>
              <w:pStyle w:val="0"/>
              <w:jc w:val="both"/>
            </w:pPr>
            <w:r>
              <w:rPr>
                <w:sz w:val="20"/>
              </w:rPr>
              <w:t xml:space="preserve">Обеспечение непрерывной работы подразделений сердечно-сосудистой хирургии в медицинских организациях города Севастополя</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7</w:t>
            </w:r>
          </w:p>
        </w:tc>
        <w:tc>
          <w:tcPr>
            <w:tcW w:w="3402" w:type="dxa"/>
          </w:tcPr>
          <w:p>
            <w:pPr>
              <w:pStyle w:val="0"/>
              <w:jc w:val="both"/>
            </w:pPr>
            <w:r>
              <w:rPr>
                <w:sz w:val="20"/>
              </w:rPr>
              <w:t xml:space="preserve">Анализ потребности и дефицита во врачах по рентген-эндоваскулярным диагностике и лечению, мониторинг и своевременная подготовка/переподготовка специалистов (начиная с 2020 г. - не менее одного специалиста в год)</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отдела кадровой работы Департамента здравоохранения города Севастополя</w:t>
            </w:r>
          </w:p>
        </w:tc>
        <w:tc>
          <w:tcPr>
            <w:tcW w:w="3061" w:type="dxa"/>
          </w:tcPr>
          <w:p>
            <w:pPr>
              <w:pStyle w:val="0"/>
              <w:jc w:val="both"/>
            </w:pPr>
            <w:r>
              <w:rPr>
                <w:sz w:val="20"/>
              </w:rPr>
              <w:t xml:space="preserve">Своевременная подготовка/переподготовка специалистов для функционирования Регионального сосудистого центра ГБУЗС "Городская больница N 1 им. Н.И. Пирогова" на основании анализа потребности</w:t>
            </w:r>
          </w:p>
        </w:tc>
        <w:tc>
          <w:tcPr>
            <w:tcW w:w="3855" w:type="dxa"/>
          </w:tcPr>
          <w:p>
            <w:pPr>
              <w:pStyle w:val="0"/>
              <w:jc w:val="both"/>
            </w:pPr>
            <w:r>
              <w:rPr>
                <w:sz w:val="20"/>
              </w:rPr>
              <w:t xml:space="preserve">Обеспечение непрерывной работы подразделений по рентген-эндоваскулярным диагностике и лечению в медицинских организациях города Севастополя</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8</w:t>
            </w:r>
          </w:p>
        </w:tc>
        <w:tc>
          <w:tcPr>
            <w:tcW w:w="3402" w:type="dxa"/>
          </w:tcPr>
          <w:p>
            <w:pPr>
              <w:pStyle w:val="0"/>
              <w:jc w:val="both"/>
            </w:pPr>
            <w:r>
              <w:rPr>
                <w:sz w:val="20"/>
              </w:rPr>
              <w:t xml:space="preserve">Реализация плана мероприятий по обеспечению медицинских организаций системы здравоохранения города Севастополя квалифицированными кадрами, включая меры социальной поддержки</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начальник отдела кадровой работы Департамента здравоохранения города Севастополя; главные врачи ГБУЗС "Городская больница N 1 им. Н.И. Пирогова"; ГБУЗС "Городская больница N 4"; ГБУЗС "Городская больница N 9"</w:t>
            </w:r>
          </w:p>
        </w:tc>
        <w:tc>
          <w:tcPr>
            <w:tcW w:w="3061" w:type="dxa"/>
          </w:tcPr>
          <w:p>
            <w:pPr>
              <w:pStyle w:val="0"/>
              <w:jc w:val="both"/>
            </w:pPr>
            <w:r>
              <w:rPr>
                <w:sz w:val="20"/>
              </w:rPr>
              <w:t xml:space="preserve">Достижение целевых показателей регионального проекта "Обеспечение медицинских организаций системы здравоохранения города Севастополя квалифицированными кадрами"</w:t>
            </w:r>
          </w:p>
        </w:tc>
        <w:tc>
          <w:tcPr>
            <w:tcW w:w="3855" w:type="dxa"/>
          </w:tcPr>
          <w:p>
            <w:pPr>
              <w:pStyle w:val="0"/>
              <w:jc w:val="both"/>
            </w:pPr>
            <w:r>
              <w:rPr>
                <w:sz w:val="20"/>
              </w:rPr>
              <w:t xml:space="preserve">Реализация плана мероприятий согласно паспорту регионального проекта "Обеспечение медицинских организаций системы здравоохранения города Севастополя квалифицированными кадрами"</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9</w:t>
            </w:r>
          </w:p>
        </w:tc>
        <w:tc>
          <w:tcPr>
            <w:tcW w:w="3402" w:type="dxa"/>
          </w:tcPr>
          <w:p>
            <w:pPr>
              <w:pStyle w:val="0"/>
              <w:jc w:val="both"/>
            </w:pPr>
            <w:r>
              <w:rPr>
                <w:sz w:val="20"/>
              </w:rPr>
              <w:t xml:space="preserve">Формирование и расширение системы материальных и моральных стимулов медицинских работников</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отдела кадровой работы Департамента здравоохранения города Севастополя; главные врачи ГБУЗС "Городская больница N 1 им. Н.И. Пирогова"; ГБУЗС "Городская больница N 4", ГБУЗС "Городская больница N 9"</w:t>
            </w:r>
          </w:p>
        </w:tc>
        <w:tc>
          <w:tcPr>
            <w:tcW w:w="3061" w:type="dxa"/>
          </w:tcPr>
          <w:p>
            <w:pPr>
              <w:pStyle w:val="0"/>
              <w:jc w:val="both"/>
            </w:pPr>
            <w:r>
              <w:rPr>
                <w:sz w:val="20"/>
              </w:rPr>
              <w:t xml:space="preserve">Достижение целевых показателей регионального проекта "Обеспечение медицинских организаций системы здравоохранения города Севастополя квалифицированными кадрами"</w:t>
            </w:r>
          </w:p>
        </w:tc>
        <w:tc>
          <w:tcPr>
            <w:tcW w:w="3855" w:type="dxa"/>
          </w:tcPr>
          <w:p>
            <w:pPr>
              <w:pStyle w:val="0"/>
              <w:jc w:val="both"/>
            </w:pPr>
            <w:r>
              <w:rPr>
                <w:sz w:val="20"/>
              </w:rPr>
              <w:t xml:space="preserve">Обеспечение стабильности кадрового состава, профилактика утечки кадров, формирование командного отношения медицинских работников к МО</w:t>
            </w:r>
          </w:p>
        </w:tc>
        <w:tc>
          <w:tcPr>
            <w:tcW w:w="2041" w:type="dxa"/>
          </w:tcPr>
          <w:p>
            <w:pPr>
              <w:pStyle w:val="0"/>
              <w:jc w:val="both"/>
            </w:pPr>
            <w:r>
              <w:rPr>
                <w:sz w:val="20"/>
              </w:rPr>
              <w:t xml:space="preserve">Разовое (неделимое)</w:t>
            </w:r>
          </w:p>
        </w:tc>
      </w:tr>
      <w:tr>
        <w:tc>
          <w:tcPr>
            <w:gridSpan w:val="8"/>
            <w:tcW w:w="18709" w:type="dxa"/>
          </w:tcPr>
          <w:p>
            <w:pPr>
              <w:pStyle w:val="0"/>
              <w:outlineLvl w:val="3"/>
              <w:jc w:val="both"/>
            </w:pPr>
            <w:r>
              <w:rPr>
                <w:sz w:val="20"/>
              </w:rPr>
              <w:t xml:space="preserve">11. Организационно-методическое обеспечение качества оказания медицинской помощи</w:t>
            </w:r>
          </w:p>
        </w:tc>
      </w:tr>
      <w:tr>
        <w:tc>
          <w:tcPr>
            <w:tcW w:w="624" w:type="dxa"/>
          </w:tcPr>
          <w:p>
            <w:pPr>
              <w:pStyle w:val="0"/>
              <w:jc w:val="both"/>
            </w:pPr>
            <w:r>
              <w:rPr>
                <w:sz w:val="20"/>
              </w:rPr>
              <w:t xml:space="preserve">1</w:t>
            </w:r>
          </w:p>
        </w:tc>
        <w:tc>
          <w:tcPr>
            <w:tcW w:w="3402" w:type="dxa"/>
          </w:tcPr>
          <w:p>
            <w:pPr>
              <w:pStyle w:val="0"/>
              <w:jc w:val="both"/>
            </w:pPr>
            <w:r>
              <w:rPr>
                <w:sz w:val="20"/>
              </w:rPr>
              <w:t xml:space="preserve">Создание системы телемедицинских консультаций на базе медицинских организаций города Севастополя по принципу "врач - врач"</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первый заместитель директора ГБУЗС "МИАЦ"; главный врач ГБУЗС "Городская больница N 1 им. Н.И. Пирогова"</w:t>
            </w:r>
          </w:p>
        </w:tc>
        <w:tc>
          <w:tcPr>
            <w:tcW w:w="3061" w:type="dxa"/>
          </w:tcPr>
          <w:p>
            <w:pPr>
              <w:pStyle w:val="0"/>
              <w:jc w:val="both"/>
            </w:pPr>
            <w:r>
              <w:rPr>
                <w:sz w:val="20"/>
              </w:rPr>
              <w:t xml:space="preserve">Организован центр телемедицинских консультаций в РСЦ ГБУЗС "Городская больница N 1 им. Н.И. Пирогова" на функциональной основе</w:t>
            </w:r>
          </w:p>
        </w:tc>
        <w:tc>
          <w:tcPr>
            <w:tcW w:w="3855" w:type="dxa"/>
          </w:tcPr>
          <w:p>
            <w:pPr>
              <w:pStyle w:val="0"/>
              <w:jc w:val="both"/>
            </w:pPr>
            <w:r>
              <w:rPr>
                <w:sz w:val="20"/>
              </w:rPr>
              <w:t xml:space="preserve">Организован центр телемедицинских консультаций в РСЦ ГБУЗС "Городская больница N 1 им. Н.И. Пирогова" на функциональной основе</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2</w:t>
            </w:r>
          </w:p>
        </w:tc>
        <w:tc>
          <w:tcPr>
            <w:tcW w:w="3402" w:type="dxa"/>
          </w:tcPr>
          <w:p>
            <w:pPr>
              <w:pStyle w:val="0"/>
              <w:jc w:val="both"/>
            </w:pPr>
            <w:r>
              <w:rPr>
                <w:sz w:val="20"/>
              </w:rPr>
              <w:t xml:space="preserve">Обеспечение функционирования телемедицинских центров консультаций с целью повышения эффективности оказания медицинской помощи пациентам с ССЗ и улучшения результатов их лечения, в том числе консультирование сложных по курации пациентов в профильных национальных медицинских исследовательских центрах. Развитие телемедицинских технологий</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первый заместитель директора ГБУЗС "МИАЦ"; главные врачи ГБУЗС "Городская больница N 1 им. Н.И. Пирогова"; ГБУЗС "Городская больница N 4"; ГБУЗС "Городская больница N 9"; главный врач ГБУЗС "Центр экстренной медицинской помощи и медицины катастроф"</w:t>
            </w:r>
          </w:p>
        </w:tc>
        <w:tc>
          <w:tcPr>
            <w:tcW w:w="3061" w:type="dxa"/>
          </w:tcPr>
          <w:p>
            <w:pPr>
              <w:pStyle w:val="0"/>
              <w:jc w:val="both"/>
            </w:pPr>
            <w:r>
              <w:rPr>
                <w:sz w:val="20"/>
              </w:rPr>
              <w:t xml:space="preserve">Проведено не менее 100 телемедицинских консультаций в год</w:t>
            </w:r>
          </w:p>
        </w:tc>
        <w:tc>
          <w:tcPr>
            <w:tcW w:w="3855" w:type="dxa"/>
          </w:tcPr>
          <w:p>
            <w:pPr>
              <w:pStyle w:val="0"/>
              <w:jc w:val="both"/>
            </w:pPr>
            <w:r>
              <w:rPr>
                <w:sz w:val="20"/>
              </w:rPr>
              <w:t xml:space="preserve">Проведено не менее 100 телемедицинских консультаций, в том числе федеральными центрами и МО</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3</w:t>
            </w:r>
          </w:p>
        </w:tc>
        <w:tc>
          <w:tcPr>
            <w:tcW w:w="3402" w:type="dxa"/>
          </w:tcPr>
          <w:p>
            <w:pPr>
              <w:pStyle w:val="0"/>
              <w:jc w:val="both"/>
            </w:pPr>
            <w:r>
              <w:rPr>
                <w:sz w:val="20"/>
              </w:rPr>
              <w:t xml:space="preserve">Совместно с ФГБУ "НМИЦ им В.А. Алмазова" разработать и реализовать план проведения совместных консилиумов и виртуальных обходов пациентов с ССЗ с применением телемедицинских технологий</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w:t>
            </w:r>
          </w:p>
        </w:tc>
        <w:tc>
          <w:tcPr>
            <w:tcW w:w="3061" w:type="dxa"/>
          </w:tcPr>
          <w:p>
            <w:pPr>
              <w:pStyle w:val="0"/>
              <w:jc w:val="both"/>
            </w:pPr>
            <w:r>
              <w:rPr>
                <w:sz w:val="20"/>
              </w:rPr>
              <w:t xml:space="preserve">Проведено не менее одного совместного консилиума или виртуального обхода в год с применением телемедицинских технологий</w:t>
            </w:r>
          </w:p>
        </w:tc>
        <w:tc>
          <w:tcPr>
            <w:tcW w:w="3855" w:type="dxa"/>
          </w:tcPr>
          <w:p>
            <w:pPr>
              <w:pStyle w:val="0"/>
              <w:jc w:val="both"/>
            </w:pPr>
            <w:r>
              <w:rPr>
                <w:sz w:val="20"/>
              </w:rPr>
              <w:t xml:space="preserve">Разработан и реализован план проведения совместных консилиумов и виртуальных обходов пациентов с ССЗ с применением телемедицинских технологий</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4</w:t>
            </w:r>
          </w:p>
        </w:tc>
        <w:tc>
          <w:tcPr>
            <w:tcW w:w="3402" w:type="dxa"/>
          </w:tcPr>
          <w:p>
            <w:pPr>
              <w:pStyle w:val="0"/>
              <w:jc w:val="both"/>
            </w:pPr>
            <w:r>
              <w:rPr>
                <w:sz w:val="20"/>
              </w:rPr>
              <w:t xml:space="preserve">Разработка программы контроля состояния пациентов с сердечно-сосудистыми заболеваниями (АГ, ПИКС, ХСН) для использования на планшетах фельдшеров фельдшерско-акушерских пунктов и специалистов врачебных амбулаторий</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первый заместитель директора ГБУЗС "МИАЦ"</w:t>
            </w:r>
          </w:p>
        </w:tc>
        <w:tc>
          <w:tcPr>
            <w:tcW w:w="3061" w:type="dxa"/>
          </w:tcPr>
          <w:p>
            <w:pPr>
              <w:pStyle w:val="0"/>
              <w:jc w:val="both"/>
            </w:pPr>
            <w:r>
              <w:rPr>
                <w:sz w:val="20"/>
              </w:rPr>
              <w:t xml:space="preserve">Внедрена информационная система контроля состояния пациентов с сердечно-сосудистыми заболеваниями</w:t>
            </w:r>
          </w:p>
        </w:tc>
        <w:tc>
          <w:tcPr>
            <w:tcW w:w="3855" w:type="dxa"/>
          </w:tcPr>
          <w:p>
            <w:pPr>
              <w:pStyle w:val="0"/>
              <w:jc w:val="both"/>
            </w:pPr>
            <w:r>
              <w:rPr>
                <w:sz w:val="20"/>
              </w:rPr>
              <w:t xml:space="preserve">Разработана информационная система контроля состояния пациентов с сердечно-сосудистыми заболеваниями</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5</w:t>
            </w:r>
          </w:p>
        </w:tc>
        <w:tc>
          <w:tcPr>
            <w:tcW w:w="3402" w:type="dxa"/>
          </w:tcPr>
          <w:p>
            <w:pPr>
              <w:pStyle w:val="0"/>
              <w:jc w:val="both"/>
            </w:pPr>
            <w:r>
              <w:rPr>
                <w:sz w:val="20"/>
              </w:rPr>
              <w:t xml:space="preserve">Совместно с ФГБУ "НМИЦ им. В.А. Алмазова" и ФГБУ "НМИЦ кардиологии" Минздрава России разработать и реализовать план проведения совместных консилиумов и виртуальных обходов пациентов с ССЗ с применением телемедицинских технологий, а также реализовать план проведения научно-практических мероприятий (разборы клинических случаев, показательные операции, конференции и др.) с участием профильных медицинских организаций города Севастополя (и/или их структурных подразделений) по вопросам повышения качества медицинской помощи пациентам с ССЗ города Севастополя и внедрения клинических рекомендаций</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ГБУЗС "Городская больница N 1 им. Н.И. Пирогова"</w:t>
            </w:r>
          </w:p>
        </w:tc>
        <w:tc>
          <w:tcPr>
            <w:tcW w:w="3061" w:type="dxa"/>
          </w:tcPr>
          <w:p>
            <w:pPr>
              <w:pStyle w:val="0"/>
              <w:jc w:val="both"/>
            </w:pPr>
            <w:r>
              <w:rPr>
                <w:sz w:val="20"/>
              </w:rPr>
              <w:t xml:space="preserve">Осуществлено не менее 10 выездов в год сотрудников ФГБУ "НМИЦ им. В.А. Алмазова", ФГБУ "НМИЦ ССХ им. А.Н. Бакулева" Минздрава России и др. Осуществлен отбор на оказание медицинской помощи в федеральных центрах не менее 25 пациентов в год. Выполнены рекомендации специалистов федеральных центров</w:t>
            </w:r>
          </w:p>
        </w:tc>
        <w:tc>
          <w:tcPr>
            <w:tcW w:w="3855" w:type="dxa"/>
          </w:tcPr>
          <w:p>
            <w:pPr>
              <w:pStyle w:val="0"/>
              <w:jc w:val="both"/>
            </w:pPr>
            <w:r>
              <w:rPr>
                <w:sz w:val="20"/>
              </w:rPr>
              <w:t xml:space="preserve">Осуществлено не менее 10 выездов в год сотрудников ФГБУ "НМИЦ им. В.А. Алмазова", ФГБУ "НМИЦ ССХ им. А.Н. Бакулева" Минздрава России и др. профильных национальных медицинских исследовательских центров в медицинские организации субъекта (и/или их структурные подразделения)</w:t>
            </w:r>
          </w:p>
        </w:tc>
        <w:tc>
          <w:tcPr>
            <w:tcW w:w="2041" w:type="dxa"/>
          </w:tcPr>
          <w:p>
            <w:pPr>
              <w:pStyle w:val="0"/>
              <w:jc w:val="both"/>
            </w:pPr>
            <w:r>
              <w:rPr>
                <w:sz w:val="20"/>
              </w:rPr>
              <w:t xml:space="preserve">Регулярное (ежегодное)</w:t>
            </w:r>
          </w:p>
        </w:tc>
      </w:tr>
      <w:tr>
        <w:tc>
          <w:tcPr>
            <w:tcW w:w="624" w:type="dxa"/>
          </w:tcPr>
          <w:p>
            <w:pPr>
              <w:pStyle w:val="0"/>
              <w:jc w:val="both"/>
            </w:pPr>
            <w:r>
              <w:rPr>
                <w:sz w:val="20"/>
              </w:rPr>
              <w:t xml:space="preserve">6</w:t>
            </w:r>
          </w:p>
        </w:tc>
        <w:tc>
          <w:tcPr>
            <w:tcW w:w="3402" w:type="dxa"/>
          </w:tcPr>
          <w:p>
            <w:pPr>
              <w:pStyle w:val="0"/>
              <w:jc w:val="both"/>
            </w:pPr>
            <w:r>
              <w:rPr>
                <w:sz w:val="20"/>
              </w:rPr>
              <w:t xml:space="preserve">Разработка и реализация плана мероприятий по внедрению информационных технологий в деятельность учреждений, оказывающих медицинскую помощь больным с сердечно-сосудистыми заболеваниями, при исполнении требований по унификации ведения электронной медицинской документации и справочников</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первый заместитель директора ГБУЗС "МИАЦ"; главный врач ГБУЗС "Городская больница N 1 им. Н.И. Пирогова"</w:t>
            </w:r>
          </w:p>
        </w:tc>
        <w:tc>
          <w:tcPr>
            <w:tcW w:w="3061" w:type="dxa"/>
          </w:tcPr>
          <w:p>
            <w:pPr>
              <w:pStyle w:val="0"/>
              <w:jc w:val="both"/>
            </w:pPr>
            <w:r>
              <w:rPr>
                <w:sz w:val="20"/>
              </w:rPr>
              <w:t xml:space="preserve">Реализован план мероприятий по внедрению информационных технологий в деятельность учреждений, оказывающих медицинскую помощь больным с сердечно-сосудистыми заболеваниями</w:t>
            </w:r>
          </w:p>
        </w:tc>
        <w:tc>
          <w:tcPr>
            <w:tcW w:w="3855" w:type="dxa"/>
          </w:tcPr>
          <w:p>
            <w:pPr>
              <w:pStyle w:val="0"/>
              <w:jc w:val="both"/>
            </w:pPr>
            <w:r>
              <w:rPr>
                <w:sz w:val="20"/>
              </w:rPr>
              <w:t xml:space="preserve">Обеспечение оперативного получения и анализа данных по маршрутизации пациентов. Мониторинг, планирование и управление потоками пациентов при оказании медицинской помощи населению. Формирование механизма мультидисциплинарного контроля для анализа предоставляемых данных медицинскими организациями. Использование локального и регионального архивов медицинских изображений (PACS-архив) как основы для телемедицинских консультаций. Проведение эпидемиологического мониторинга заболеваемости, смертности и инвалидизации от сердечно-сосудистых заболеваний, планирование объемов оказания медицинской помощи. Внедрение механизмов обратной связи и информирование об их наличии пациентов посредством сайта учреждения, инфоматов</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7</w:t>
            </w:r>
          </w:p>
        </w:tc>
        <w:tc>
          <w:tcPr>
            <w:tcW w:w="3402" w:type="dxa"/>
          </w:tcPr>
          <w:p>
            <w:pPr>
              <w:pStyle w:val="0"/>
              <w:jc w:val="both"/>
            </w:pPr>
            <w:r>
              <w:rPr>
                <w:sz w:val="20"/>
              </w:rPr>
              <w:t xml:space="preserve">Дальнейшее совершенствование работы программного обеспечения АИС ЛПУ</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заместитель директора ГБУЗС "МИАЦ"</w:t>
            </w:r>
          </w:p>
        </w:tc>
        <w:tc>
          <w:tcPr>
            <w:tcW w:w="3061" w:type="dxa"/>
          </w:tcPr>
          <w:p>
            <w:pPr>
              <w:pStyle w:val="0"/>
              <w:jc w:val="both"/>
            </w:pPr>
            <w:r>
              <w:rPr>
                <w:sz w:val="20"/>
              </w:rPr>
              <w:t xml:space="preserve">Создана единая информационная система хранения персонифицированных данных о больных с ССЗ на базе АИС ЛПУ</w:t>
            </w:r>
          </w:p>
        </w:tc>
        <w:tc>
          <w:tcPr>
            <w:tcW w:w="3855" w:type="dxa"/>
          </w:tcPr>
          <w:p>
            <w:pPr>
              <w:pStyle w:val="0"/>
              <w:jc w:val="both"/>
            </w:pPr>
            <w:r>
              <w:rPr>
                <w:sz w:val="20"/>
              </w:rPr>
              <w:t xml:space="preserve">Маршрутизация больных ОКС, ведение регистров больных с ССЗ, персонифицированный учет пациентов с сердечно-сосудистыми заболеваниями и централизация информации о них в единой информационной базе данных. Оснащение МО системой хранения данных</w:t>
            </w:r>
          </w:p>
        </w:tc>
        <w:tc>
          <w:tcPr>
            <w:tcW w:w="2041" w:type="dxa"/>
          </w:tcPr>
          <w:p>
            <w:pPr>
              <w:pStyle w:val="0"/>
              <w:jc w:val="both"/>
            </w:pPr>
            <w:r>
              <w:rPr>
                <w:sz w:val="20"/>
              </w:rPr>
              <w:t xml:space="preserve">Разовое (делимое)</w:t>
            </w:r>
          </w:p>
        </w:tc>
      </w:tr>
      <w:tr>
        <w:tc>
          <w:tcPr>
            <w:tcW w:w="624" w:type="dxa"/>
          </w:tcPr>
          <w:p>
            <w:pPr>
              <w:pStyle w:val="0"/>
              <w:jc w:val="both"/>
            </w:pPr>
            <w:r>
              <w:rPr>
                <w:sz w:val="20"/>
              </w:rPr>
              <w:t xml:space="preserve">8</w:t>
            </w:r>
          </w:p>
        </w:tc>
        <w:tc>
          <w:tcPr>
            <w:tcW w:w="3402" w:type="dxa"/>
          </w:tcPr>
          <w:p>
            <w:pPr>
              <w:pStyle w:val="0"/>
              <w:jc w:val="both"/>
            </w:pPr>
            <w:r>
              <w:rPr>
                <w:sz w:val="20"/>
              </w:rPr>
              <w:t xml:space="preserve">Создание справочного функционала клинических рекомендаций в АИС ЛПУ для обеспечения постоянного доступа медицинских работников</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первый заместитель директора ГБУЗС "МИАЦ"</w:t>
            </w:r>
          </w:p>
        </w:tc>
        <w:tc>
          <w:tcPr>
            <w:tcW w:w="3061" w:type="dxa"/>
          </w:tcPr>
          <w:p>
            <w:pPr>
              <w:pStyle w:val="0"/>
              <w:jc w:val="both"/>
            </w:pPr>
            <w:r>
              <w:rPr>
                <w:sz w:val="20"/>
              </w:rPr>
              <w:t xml:space="preserve">Внедрен в эксплуатацию в АИС ЛПУ справочный функционал по клиническим рекомендациям</w:t>
            </w:r>
          </w:p>
        </w:tc>
        <w:tc>
          <w:tcPr>
            <w:tcW w:w="3855" w:type="dxa"/>
          </w:tcPr>
          <w:p>
            <w:pPr>
              <w:pStyle w:val="0"/>
              <w:jc w:val="both"/>
            </w:pPr>
            <w:r>
              <w:rPr>
                <w:sz w:val="20"/>
              </w:rPr>
              <w:t xml:space="preserve">Внедрен в эксплуатацию в АИС ЛПУ справочный функционал по клиническим рекомендациям</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9</w:t>
            </w:r>
          </w:p>
        </w:tc>
        <w:tc>
          <w:tcPr>
            <w:tcW w:w="3402" w:type="dxa"/>
          </w:tcPr>
          <w:p>
            <w:pPr>
              <w:pStyle w:val="0"/>
              <w:jc w:val="both"/>
            </w:pPr>
            <w:r>
              <w:rPr>
                <w:sz w:val="20"/>
              </w:rPr>
              <w:t xml:space="preserve">Мониторинг ситуации по сердечно-сосудистым заболеваниям в режиме "real-time" с использованием возможностей ГБУЗС "МИАЦ", наращивание его функционала и возможностей</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31.12.2023</w:t>
            </w:r>
          </w:p>
        </w:tc>
        <w:tc>
          <w:tcPr>
            <w:tcW w:w="2948"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заместитель директора ГБУЗС "МИАЦ"</w:t>
            </w:r>
          </w:p>
        </w:tc>
        <w:tc>
          <w:tcPr>
            <w:tcW w:w="3061" w:type="dxa"/>
          </w:tcPr>
          <w:p>
            <w:pPr>
              <w:pStyle w:val="0"/>
              <w:jc w:val="both"/>
            </w:pPr>
            <w:r>
              <w:rPr>
                <w:sz w:val="20"/>
              </w:rPr>
              <w:t xml:space="preserve">Отчет о работе ситуационного центра</w:t>
            </w:r>
          </w:p>
        </w:tc>
        <w:tc>
          <w:tcPr>
            <w:tcW w:w="3855" w:type="dxa"/>
          </w:tcPr>
          <w:p>
            <w:pPr>
              <w:pStyle w:val="0"/>
              <w:jc w:val="both"/>
            </w:pPr>
            <w:r>
              <w:rPr>
                <w:sz w:val="20"/>
              </w:rPr>
              <w:t xml:space="preserve">Использование возможностей ситуационного центра в режиме "real-time" в части мониторинга заболеваемости и смертности от сердечно-сосудистых заболеваний</w:t>
            </w:r>
          </w:p>
        </w:tc>
        <w:tc>
          <w:tcPr>
            <w:tcW w:w="2041" w:type="dxa"/>
          </w:tcPr>
          <w:p>
            <w:pPr>
              <w:pStyle w:val="0"/>
              <w:jc w:val="both"/>
            </w:pPr>
            <w:r>
              <w:rPr>
                <w:sz w:val="20"/>
              </w:rPr>
              <w:t xml:space="preserve">Разовое (неделимое)</w:t>
            </w:r>
          </w:p>
        </w:tc>
      </w:tr>
      <w:tr>
        <w:tc>
          <w:tcPr>
            <w:tcW w:w="624" w:type="dxa"/>
          </w:tcPr>
          <w:p>
            <w:pPr>
              <w:pStyle w:val="0"/>
              <w:jc w:val="both"/>
            </w:pPr>
            <w:r>
              <w:rPr>
                <w:sz w:val="20"/>
              </w:rPr>
              <w:t xml:space="preserve">10</w:t>
            </w:r>
          </w:p>
        </w:tc>
        <w:tc>
          <w:tcPr>
            <w:tcW w:w="3402" w:type="dxa"/>
          </w:tcPr>
          <w:p>
            <w:pPr>
              <w:pStyle w:val="0"/>
              <w:jc w:val="both"/>
            </w:pPr>
            <w:r>
              <w:rPr>
                <w:sz w:val="20"/>
              </w:rPr>
              <w:t xml:space="preserve">Внедрение и развитие вертикально интегрированной медицинской информационной системы "Сердечно-сосудистые заболевания" (ВИМИС БСК)</w:t>
            </w:r>
          </w:p>
        </w:tc>
        <w:tc>
          <w:tcPr>
            <w:tcW w:w="1361" w:type="dxa"/>
          </w:tcPr>
          <w:p>
            <w:pPr>
              <w:pStyle w:val="0"/>
              <w:jc w:val="both"/>
            </w:pPr>
            <w:r>
              <w:rPr>
                <w:sz w:val="20"/>
              </w:rPr>
              <w:t xml:space="preserve">01.07.2023</w:t>
            </w:r>
          </w:p>
        </w:tc>
        <w:tc>
          <w:tcPr>
            <w:tcW w:w="1417" w:type="dxa"/>
          </w:tcPr>
          <w:p>
            <w:pPr>
              <w:pStyle w:val="0"/>
              <w:jc w:val="both"/>
            </w:pPr>
            <w:r>
              <w:rPr>
                <w:sz w:val="20"/>
              </w:rPr>
              <w:t xml:space="preserve">31.12.2024</w:t>
            </w:r>
          </w:p>
        </w:tc>
        <w:tc>
          <w:tcPr>
            <w:tcW w:w="2948" w:type="dxa"/>
          </w:tcPr>
          <w:p>
            <w:pPr>
              <w:pStyle w:val="0"/>
              <w:jc w:val="both"/>
            </w:pPr>
            <w:r>
              <w:rPr>
                <w:sz w:val="20"/>
              </w:rPr>
              <w:t xml:space="preserve">Первый заместитель директора Департамента здравоохранения города Севастополя</w:t>
            </w:r>
          </w:p>
        </w:tc>
        <w:tc>
          <w:tcPr>
            <w:tcW w:w="3061" w:type="dxa"/>
          </w:tcPr>
          <w:p>
            <w:pPr>
              <w:pStyle w:val="0"/>
              <w:jc w:val="both"/>
            </w:pPr>
            <w:r>
              <w:rPr>
                <w:sz w:val="20"/>
              </w:rPr>
              <w:t xml:space="preserve">Отчет о внедрении ВИМИС БСК</w:t>
            </w:r>
          </w:p>
        </w:tc>
        <w:tc>
          <w:tcPr>
            <w:tcW w:w="3855" w:type="dxa"/>
          </w:tcPr>
          <w:p>
            <w:pPr>
              <w:pStyle w:val="0"/>
              <w:jc w:val="both"/>
            </w:pPr>
            <w:r>
              <w:rPr>
                <w:sz w:val="20"/>
              </w:rPr>
              <w:t xml:space="preserve">Интеграция АИС ЛПУ с ВИМИС БСК, передача на федеральный уровень структурированных электронных медицинских документов</w:t>
            </w:r>
          </w:p>
        </w:tc>
        <w:tc>
          <w:tcPr>
            <w:tcW w:w="2041" w:type="dxa"/>
          </w:tcPr>
          <w:p>
            <w:pPr>
              <w:pStyle w:val="0"/>
              <w:jc w:val="both"/>
            </w:pPr>
            <w:r>
              <w:rPr>
                <w:sz w:val="20"/>
              </w:rPr>
              <w:t xml:space="preserve">Разовое (неделимое)</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8</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p>
      <w:pPr>
        <w:pStyle w:val="2"/>
        <w:jc w:val="center"/>
      </w:pPr>
      <w:r>
        <w:rPr>
          <w:sz w:val="20"/>
        </w:rPr>
        <w:t xml:space="preserve">Региональная программа города Севастополя</w:t>
      </w:r>
    </w:p>
    <w:p>
      <w:pPr>
        <w:pStyle w:val="2"/>
        <w:jc w:val="center"/>
      </w:pPr>
      <w:r>
        <w:rPr>
          <w:sz w:val="20"/>
        </w:rPr>
        <w:t xml:space="preserve">"Борьба с онкологическими заболеваниями"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658" w:tooltip="Постановление Правительства Севастополя от 08.06.2023 N 27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08.06.2023 N 271-ПП)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2"/>
        <w:jc w:val="center"/>
      </w:pPr>
      <w:r>
        <w:rPr>
          <w:sz w:val="20"/>
        </w:rPr>
        <w:t xml:space="preserve">1. Текущее состояние онкологической помощи. Основные</w:t>
      </w:r>
    </w:p>
    <w:p>
      <w:pPr>
        <w:pStyle w:val="2"/>
        <w:jc w:val="center"/>
      </w:pPr>
      <w:r>
        <w:rPr>
          <w:sz w:val="20"/>
        </w:rPr>
        <w:t xml:space="preserve">показатели онкологической помощи</w:t>
      </w:r>
    </w:p>
    <w:p>
      <w:pPr>
        <w:pStyle w:val="0"/>
        <w:jc w:val="both"/>
      </w:pPr>
      <w:r>
        <w:rPr>
          <w:sz w:val="20"/>
        </w:rPr>
      </w:r>
    </w:p>
    <w:p>
      <w:pPr>
        <w:pStyle w:val="0"/>
        <w:jc w:val="right"/>
      </w:pPr>
      <w:r>
        <w:rPr>
          <w:sz w:val="20"/>
        </w:rPr>
        <w:t xml:space="preserve">Таблица N 1</w:t>
      </w:r>
    </w:p>
    <w:p>
      <w:pPr>
        <w:pStyle w:val="0"/>
        <w:jc w:val="right"/>
      </w:pPr>
      <w:r>
        <w:rPr>
          <w:sz w:val="20"/>
        </w:rPr>
      </w:r>
    </w:p>
    <w:p>
      <w:pPr>
        <w:pStyle w:val="0"/>
        <w:jc w:val="center"/>
      </w:pPr>
      <w:r>
        <w:rPr>
          <w:sz w:val="20"/>
        </w:rPr>
        <w:t xml:space="preserve">Показатели деятельности онкологической службы</w:t>
      </w:r>
    </w:p>
    <w:p>
      <w:pPr>
        <w:pStyle w:val="0"/>
        <w:jc w:val="center"/>
      </w:pPr>
      <w:r>
        <w:rPr>
          <w:sz w:val="20"/>
        </w:rPr>
        <w:t xml:space="preserve">города Севастополя</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933"/>
        <w:gridCol w:w="933"/>
        <w:gridCol w:w="933"/>
        <w:gridCol w:w="933"/>
        <w:gridCol w:w="964"/>
      </w:tblGrid>
      <w:tr>
        <w:tc>
          <w:tcPr>
            <w:tcW w:w="4365" w:type="dxa"/>
          </w:tcPr>
          <w:p>
            <w:pPr>
              <w:pStyle w:val="0"/>
              <w:jc w:val="center"/>
            </w:pPr>
            <w:r>
              <w:rPr>
                <w:sz w:val="20"/>
              </w:rPr>
              <w:t xml:space="preserve">Показатели</w:t>
            </w:r>
          </w:p>
        </w:tc>
        <w:tc>
          <w:tcPr>
            <w:tcW w:w="933" w:type="dxa"/>
          </w:tcPr>
          <w:p>
            <w:pPr>
              <w:pStyle w:val="0"/>
              <w:jc w:val="center"/>
            </w:pPr>
            <w:r>
              <w:rPr>
                <w:sz w:val="20"/>
              </w:rPr>
              <w:t xml:space="preserve">2018</w:t>
            </w:r>
          </w:p>
        </w:tc>
        <w:tc>
          <w:tcPr>
            <w:tcW w:w="933" w:type="dxa"/>
          </w:tcPr>
          <w:p>
            <w:pPr>
              <w:pStyle w:val="0"/>
              <w:jc w:val="center"/>
            </w:pPr>
            <w:r>
              <w:rPr>
                <w:sz w:val="20"/>
              </w:rPr>
              <w:t xml:space="preserve">2019</w:t>
            </w:r>
          </w:p>
        </w:tc>
        <w:tc>
          <w:tcPr>
            <w:tcW w:w="933" w:type="dxa"/>
          </w:tcPr>
          <w:p>
            <w:pPr>
              <w:pStyle w:val="0"/>
              <w:jc w:val="center"/>
            </w:pPr>
            <w:r>
              <w:rPr>
                <w:sz w:val="20"/>
              </w:rPr>
              <w:t xml:space="preserve">2020</w:t>
            </w:r>
          </w:p>
        </w:tc>
        <w:tc>
          <w:tcPr>
            <w:tcW w:w="933" w:type="dxa"/>
          </w:tcPr>
          <w:p>
            <w:pPr>
              <w:pStyle w:val="0"/>
              <w:jc w:val="center"/>
            </w:pPr>
            <w:r>
              <w:rPr>
                <w:sz w:val="20"/>
              </w:rPr>
              <w:t xml:space="preserve">2021</w:t>
            </w:r>
          </w:p>
        </w:tc>
        <w:tc>
          <w:tcPr>
            <w:tcW w:w="964" w:type="dxa"/>
          </w:tcPr>
          <w:p>
            <w:pPr>
              <w:pStyle w:val="0"/>
              <w:jc w:val="center"/>
            </w:pPr>
            <w:r>
              <w:rPr>
                <w:sz w:val="20"/>
              </w:rPr>
              <w:t xml:space="preserve">2022</w:t>
            </w:r>
          </w:p>
        </w:tc>
      </w:tr>
      <w:tr>
        <w:tc>
          <w:tcPr>
            <w:tcW w:w="4365" w:type="dxa"/>
          </w:tcPr>
          <w:p>
            <w:pPr>
              <w:pStyle w:val="0"/>
              <w:jc w:val="both"/>
            </w:pPr>
            <w:r>
              <w:rPr>
                <w:sz w:val="20"/>
              </w:rPr>
              <w:t xml:space="preserve">Число выявленных случаев злокачественных новообразований</w:t>
            </w:r>
          </w:p>
        </w:tc>
        <w:tc>
          <w:tcPr>
            <w:tcW w:w="933" w:type="dxa"/>
          </w:tcPr>
          <w:p>
            <w:pPr>
              <w:pStyle w:val="0"/>
              <w:jc w:val="center"/>
            </w:pPr>
            <w:r>
              <w:rPr>
                <w:sz w:val="20"/>
              </w:rPr>
              <w:t xml:space="preserve">2009</w:t>
            </w:r>
          </w:p>
        </w:tc>
        <w:tc>
          <w:tcPr>
            <w:tcW w:w="933" w:type="dxa"/>
          </w:tcPr>
          <w:p>
            <w:pPr>
              <w:pStyle w:val="0"/>
              <w:jc w:val="center"/>
            </w:pPr>
            <w:r>
              <w:rPr>
                <w:sz w:val="20"/>
              </w:rPr>
              <w:t xml:space="preserve">2358</w:t>
            </w:r>
          </w:p>
        </w:tc>
        <w:tc>
          <w:tcPr>
            <w:tcW w:w="933" w:type="dxa"/>
          </w:tcPr>
          <w:p>
            <w:pPr>
              <w:pStyle w:val="0"/>
              <w:jc w:val="center"/>
            </w:pPr>
            <w:r>
              <w:rPr>
                <w:sz w:val="20"/>
              </w:rPr>
              <w:t xml:space="preserve">2346</w:t>
            </w:r>
          </w:p>
        </w:tc>
        <w:tc>
          <w:tcPr>
            <w:tcW w:w="933" w:type="dxa"/>
          </w:tcPr>
          <w:p>
            <w:pPr>
              <w:pStyle w:val="0"/>
              <w:jc w:val="center"/>
            </w:pPr>
            <w:r>
              <w:rPr>
                <w:sz w:val="20"/>
              </w:rPr>
              <w:t xml:space="preserve">2506</w:t>
            </w:r>
          </w:p>
        </w:tc>
        <w:tc>
          <w:tcPr>
            <w:tcW w:w="964" w:type="dxa"/>
          </w:tcPr>
          <w:p>
            <w:pPr>
              <w:pStyle w:val="0"/>
              <w:jc w:val="center"/>
            </w:pPr>
            <w:r>
              <w:rPr>
                <w:sz w:val="20"/>
              </w:rPr>
              <w:t xml:space="preserve">2859</w:t>
            </w:r>
          </w:p>
        </w:tc>
      </w:tr>
      <w:tr>
        <w:tc>
          <w:tcPr>
            <w:tcW w:w="4365" w:type="dxa"/>
          </w:tcPr>
          <w:p>
            <w:pPr>
              <w:pStyle w:val="0"/>
              <w:jc w:val="both"/>
            </w:pPr>
            <w:r>
              <w:rPr>
                <w:sz w:val="20"/>
              </w:rPr>
              <w:t xml:space="preserve">Заболеваемость на 100 тыс. нас.</w:t>
            </w:r>
          </w:p>
        </w:tc>
        <w:tc>
          <w:tcPr>
            <w:tcW w:w="933" w:type="dxa"/>
          </w:tcPr>
          <w:p>
            <w:pPr>
              <w:pStyle w:val="0"/>
              <w:jc w:val="center"/>
            </w:pPr>
            <w:r>
              <w:rPr>
                <w:sz w:val="20"/>
              </w:rPr>
              <w:t xml:space="preserve">460,1</w:t>
            </w:r>
          </w:p>
        </w:tc>
        <w:tc>
          <w:tcPr>
            <w:tcW w:w="933" w:type="dxa"/>
          </w:tcPr>
          <w:p>
            <w:pPr>
              <w:pStyle w:val="0"/>
              <w:jc w:val="center"/>
            </w:pPr>
            <w:r>
              <w:rPr>
                <w:sz w:val="20"/>
              </w:rPr>
              <w:t xml:space="preserve">532,0</w:t>
            </w:r>
          </w:p>
        </w:tc>
        <w:tc>
          <w:tcPr>
            <w:tcW w:w="933" w:type="dxa"/>
          </w:tcPr>
          <w:p>
            <w:pPr>
              <w:pStyle w:val="0"/>
              <w:jc w:val="center"/>
            </w:pPr>
            <w:r>
              <w:rPr>
                <w:sz w:val="20"/>
              </w:rPr>
              <w:t xml:space="preserve">522,3</w:t>
            </w:r>
          </w:p>
        </w:tc>
        <w:tc>
          <w:tcPr>
            <w:tcW w:w="933" w:type="dxa"/>
          </w:tcPr>
          <w:p>
            <w:pPr>
              <w:pStyle w:val="0"/>
              <w:jc w:val="center"/>
            </w:pPr>
            <w:r>
              <w:rPr>
                <w:sz w:val="20"/>
              </w:rPr>
              <w:t xml:space="preserve">493,2</w:t>
            </w:r>
          </w:p>
        </w:tc>
        <w:tc>
          <w:tcPr>
            <w:tcW w:w="964" w:type="dxa"/>
          </w:tcPr>
          <w:p>
            <w:pPr>
              <w:pStyle w:val="0"/>
              <w:jc w:val="center"/>
            </w:pPr>
            <w:r>
              <w:rPr>
                <w:sz w:val="20"/>
              </w:rPr>
              <w:t xml:space="preserve">547,8</w:t>
            </w:r>
          </w:p>
        </w:tc>
      </w:tr>
      <w:tr>
        <w:tc>
          <w:tcPr>
            <w:tcW w:w="4365" w:type="dxa"/>
          </w:tcPr>
          <w:p>
            <w:pPr>
              <w:pStyle w:val="0"/>
              <w:jc w:val="both"/>
            </w:pPr>
            <w:r>
              <w:rPr>
                <w:sz w:val="20"/>
              </w:rPr>
              <w:t xml:space="preserve">Смертность</w:t>
            </w:r>
          </w:p>
        </w:tc>
        <w:tc>
          <w:tcPr>
            <w:tcW w:w="933" w:type="dxa"/>
          </w:tcPr>
          <w:p>
            <w:pPr>
              <w:pStyle w:val="0"/>
              <w:jc w:val="center"/>
            </w:pPr>
            <w:r>
              <w:rPr>
                <w:sz w:val="20"/>
              </w:rPr>
              <w:t xml:space="preserve">251,83</w:t>
            </w:r>
          </w:p>
        </w:tc>
        <w:tc>
          <w:tcPr>
            <w:tcW w:w="933" w:type="dxa"/>
          </w:tcPr>
          <w:p>
            <w:pPr>
              <w:pStyle w:val="0"/>
              <w:jc w:val="center"/>
            </w:pPr>
            <w:r>
              <w:rPr>
                <w:sz w:val="20"/>
              </w:rPr>
              <w:t xml:space="preserve">252,69</w:t>
            </w:r>
          </w:p>
        </w:tc>
        <w:tc>
          <w:tcPr>
            <w:tcW w:w="933" w:type="dxa"/>
          </w:tcPr>
          <w:p>
            <w:pPr>
              <w:pStyle w:val="0"/>
              <w:jc w:val="center"/>
            </w:pPr>
            <w:r>
              <w:rPr>
                <w:sz w:val="20"/>
              </w:rPr>
              <w:t xml:space="preserve">248,37</w:t>
            </w:r>
          </w:p>
        </w:tc>
        <w:tc>
          <w:tcPr>
            <w:tcW w:w="933" w:type="dxa"/>
          </w:tcPr>
          <w:p>
            <w:pPr>
              <w:pStyle w:val="0"/>
              <w:jc w:val="center"/>
            </w:pPr>
            <w:r>
              <w:rPr>
                <w:sz w:val="20"/>
              </w:rPr>
              <w:t xml:space="preserve">202,83</w:t>
            </w:r>
          </w:p>
        </w:tc>
        <w:tc>
          <w:tcPr>
            <w:tcW w:w="964" w:type="dxa"/>
          </w:tcPr>
          <w:p>
            <w:pPr>
              <w:pStyle w:val="0"/>
              <w:jc w:val="center"/>
            </w:pPr>
            <w:r>
              <w:rPr>
                <w:sz w:val="20"/>
              </w:rPr>
              <w:t xml:space="preserve">198,29</w:t>
            </w:r>
          </w:p>
        </w:tc>
      </w:tr>
      <w:tr>
        <w:tc>
          <w:tcPr>
            <w:tcW w:w="4365" w:type="dxa"/>
          </w:tcPr>
          <w:p>
            <w:pPr>
              <w:pStyle w:val="0"/>
              <w:jc w:val="both"/>
            </w:pPr>
            <w:r>
              <w:rPr>
                <w:sz w:val="20"/>
              </w:rPr>
              <w:t xml:space="preserve">Выявляемость злокачественных новообразований в I - II стадиях (%)</w:t>
            </w:r>
          </w:p>
        </w:tc>
        <w:tc>
          <w:tcPr>
            <w:tcW w:w="933" w:type="dxa"/>
          </w:tcPr>
          <w:p>
            <w:pPr>
              <w:pStyle w:val="0"/>
              <w:jc w:val="center"/>
            </w:pPr>
            <w:r>
              <w:rPr>
                <w:sz w:val="20"/>
              </w:rPr>
              <w:t xml:space="preserve">54,1</w:t>
            </w:r>
          </w:p>
        </w:tc>
        <w:tc>
          <w:tcPr>
            <w:tcW w:w="933" w:type="dxa"/>
          </w:tcPr>
          <w:p>
            <w:pPr>
              <w:pStyle w:val="0"/>
              <w:jc w:val="center"/>
            </w:pPr>
            <w:r>
              <w:rPr>
                <w:sz w:val="20"/>
              </w:rPr>
              <w:t xml:space="preserve">58,5</w:t>
            </w:r>
          </w:p>
        </w:tc>
        <w:tc>
          <w:tcPr>
            <w:tcW w:w="933" w:type="dxa"/>
          </w:tcPr>
          <w:p>
            <w:pPr>
              <w:pStyle w:val="0"/>
              <w:jc w:val="center"/>
            </w:pPr>
            <w:r>
              <w:rPr>
                <w:sz w:val="20"/>
              </w:rPr>
              <w:t xml:space="preserve">58,37</w:t>
            </w:r>
          </w:p>
        </w:tc>
        <w:tc>
          <w:tcPr>
            <w:tcW w:w="933" w:type="dxa"/>
          </w:tcPr>
          <w:p>
            <w:pPr>
              <w:pStyle w:val="0"/>
              <w:jc w:val="center"/>
            </w:pPr>
            <w:r>
              <w:rPr>
                <w:sz w:val="20"/>
              </w:rPr>
              <w:t xml:space="preserve">61,3</w:t>
            </w:r>
          </w:p>
        </w:tc>
        <w:tc>
          <w:tcPr>
            <w:tcW w:w="964" w:type="dxa"/>
          </w:tcPr>
          <w:p>
            <w:pPr>
              <w:pStyle w:val="0"/>
              <w:jc w:val="center"/>
            </w:pPr>
            <w:r>
              <w:rPr>
                <w:sz w:val="20"/>
              </w:rPr>
              <w:t xml:space="preserve">64,0</w:t>
            </w:r>
          </w:p>
        </w:tc>
      </w:tr>
      <w:tr>
        <w:tc>
          <w:tcPr>
            <w:tcW w:w="4365" w:type="dxa"/>
          </w:tcPr>
          <w:p>
            <w:pPr>
              <w:pStyle w:val="0"/>
              <w:jc w:val="both"/>
            </w:pPr>
            <w:r>
              <w:rPr>
                <w:sz w:val="20"/>
              </w:rPr>
              <w:t xml:space="preserve">Запущенность (%)</w:t>
            </w:r>
          </w:p>
        </w:tc>
        <w:tc>
          <w:tcPr>
            <w:tcW w:w="933" w:type="dxa"/>
          </w:tcPr>
          <w:p>
            <w:pPr>
              <w:pStyle w:val="0"/>
              <w:jc w:val="center"/>
            </w:pPr>
            <w:r>
              <w:rPr>
                <w:sz w:val="20"/>
              </w:rPr>
              <w:t xml:space="preserve">23,4</w:t>
            </w:r>
          </w:p>
        </w:tc>
        <w:tc>
          <w:tcPr>
            <w:tcW w:w="933" w:type="dxa"/>
          </w:tcPr>
          <w:p>
            <w:pPr>
              <w:pStyle w:val="0"/>
              <w:jc w:val="center"/>
            </w:pPr>
            <w:r>
              <w:rPr>
                <w:sz w:val="20"/>
              </w:rPr>
              <w:t xml:space="preserve">25</w:t>
            </w:r>
          </w:p>
        </w:tc>
        <w:tc>
          <w:tcPr>
            <w:tcW w:w="933" w:type="dxa"/>
          </w:tcPr>
          <w:p>
            <w:pPr>
              <w:pStyle w:val="0"/>
              <w:jc w:val="center"/>
            </w:pPr>
            <w:r>
              <w:rPr>
                <w:sz w:val="20"/>
              </w:rPr>
              <w:t xml:space="preserve">25,7</w:t>
            </w:r>
          </w:p>
        </w:tc>
        <w:tc>
          <w:tcPr>
            <w:tcW w:w="933" w:type="dxa"/>
          </w:tcPr>
          <w:p>
            <w:pPr>
              <w:pStyle w:val="0"/>
              <w:jc w:val="center"/>
            </w:pPr>
            <w:r>
              <w:rPr>
                <w:sz w:val="20"/>
              </w:rPr>
              <w:t xml:space="preserve">24,5</w:t>
            </w:r>
          </w:p>
        </w:tc>
        <w:tc>
          <w:tcPr>
            <w:tcW w:w="964" w:type="dxa"/>
          </w:tcPr>
          <w:p>
            <w:pPr>
              <w:pStyle w:val="0"/>
              <w:jc w:val="center"/>
            </w:pPr>
            <w:r>
              <w:rPr>
                <w:sz w:val="20"/>
              </w:rPr>
              <w:t xml:space="preserve">20,5</w:t>
            </w:r>
          </w:p>
        </w:tc>
      </w:tr>
      <w:tr>
        <w:tc>
          <w:tcPr>
            <w:tcW w:w="4365" w:type="dxa"/>
          </w:tcPr>
          <w:p>
            <w:pPr>
              <w:pStyle w:val="0"/>
              <w:jc w:val="both"/>
            </w:pPr>
            <w:r>
              <w:rPr>
                <w:sz w:val="20"/>
              </w:rPr>
              <w:t xml:space="preserve">Одногодичная летальность (%)</w:t>
            </w:r>
          </w:p>
        </w:tc>
        <w:tc>
          <w:tcPr>
            <w:tcW w:w="933" w:type="dxa"/>
          </w:tcPr>
          <w:p>
            <w:pPr>
              <w:pStyle w:val="0"/>
              <w:jc w:val="center"/>
            </w:pPr>
            <w:r>
              <w:rPr>
                <w:sz w:val="20"/>
              </w:rPr>
              <w:t xml:space="preserve">21,9</w:t>
            </w:r>
          </w:p>
        </w:tc>
        <w:tc>
          <w:tcPr>
            <w:tcW w:w="933" w:type="dxa"/>
          </w:tcPr>
          <w:p>
            <w:pPr>
              <w:pStyle w:val="0"/>
              <w:jc w:val="center"/>
            </w:pPr>
            <w:r>
              <w:rPr>
                <w:sz w:val="20"/>
              </w:rPr>
              <w:t xml:space="preserve">19,7</w:t>
            </w:r>
          </w:p>
        </w:tc>
        <w:tc>
          <w:tcPr>
            <w:tcW w:w="933" w:type="dxa"/>
          </w:tcPr>
          <w:p>
            <w:pPr>
              <w:pStyle w:val="0"/>
              <w:jc w:val="center"/>
            </w:pPr>
            <w:r>
              <w:rPr>
                <w:sz w:val="20"/>
              </w:rPr>
              <w:t xml:space="preserve">24,1</w:t>
            </w:r>
          </w:p>
        </w:tc>
        <w:tc>
          <w:tcPr>
            <w:tcW w:w="933" w:type="dxa"/>
          </w:tcPr>
          <w:p>
            <w:pPr>
              <w:pStyle w:val="0"/>
              <w:jc w:val="center"/>
            </w:pPr>
            <w:r>
              <w:rPr>
                <w:sz w:val="20"/>
              </w:rPr>
              <w:t xml:space="preserve">19,2</w:t>
            </w:r>
          </w:p>
        </w:tc>
        <w:tc>
          <w:tcPr>
            <w:tcW w:w="964" w:type="dxa"/>
          </w:tcPr>
          <w:p>
            <w:pPr>
              <w:pStyle w:val="0"/>
              <w:jc w:val="center"/>
            </w:pPr>
            <w:r>
              <w:rPr>
                <w:sz w:val="20"/>
              </w:rPr>
              <w:t xml:space="preserve">17,3</w:t>
            </w:r>
          </w:p>
        </w:tc>
      </w:tr>
      <w:tr>
        <w:tc>
          <w:tcPr>
            <w:tcW w:w="4365" w:type="dxa"/>
          </w:tcPr>
          <w:p>
            <w:pPr>
              <w:pStyle w:val="0"/>
              <w:jc w:val="both"/>
            </w:pPr>
            <w:r>
              <w:rPr>
                <w:sz w:val="20"/>
              </w:rPr>
              <w:t xml:space="preserve">Пятилетняя выживаемость (%)</w:t>
            </w:r>
          </w:p>
        </w:tc>
        <w:tc>
          <w:tcPr>
            <w:tcW w:w="933" w:type="dxa"/>
          </w:tcPr>
          <w:p>
            <w:pPr>
              <w:pStyle w:val="0"/>
              <w:jc w:val="center"/>
            </w:pPr>
            <w:r>
              <w:rPr>
                <w:sz w:val="20"/>
              </w:rPr>
              <w:t xml:space="preserve">42,35</w:t>
            </w:r>
          </w:p>
        </w:tc>
        <w:tc>
          <w:tcPr>
            <w:tcW w:w="933" w:type="dxa"/>
          </w:tcPr>
          <w:p>
            <w:pPr>
              <w:pStyle w:val="0"/>
              <w:jc w:val="center"/>
            </w:pPr>
            <w:r>
              <w:rPr>
                <w:sz w:val="20"/>
              </w:rPr>
              <w:t xml:space="preserve">41,8</w:t>
            </w:r>
          </w:p>
        </w:tc>
        <w:tc>
          <w:tcPr>
            <w:tcW w:w="933" w:type="dxa"/>
          </w:tcPr>
          <w:p>
            <w:pPr>
              <w:pStyle w:val="0"/>
              <w:jc w:val="center"/>
            </w:pPr>
            <w:r>
              <w:rPr>
                <w:sz w:val="20"/>
              </w:rPr>
              <w:t xml:space="preserve">47,9</w:t>
            </w:r>
          </w:p>
        </w:tc>
        <w:tc>
          <w:tcPr>
            <w:tcW w:w="933" w:type="dxa"/>
          </w:tcPr>
          <w:p>
            <w:pPr>
              <w:pStyle w:val="0"/>
              <w:jc w:val="center"/>
            </w:pPr>
            <w:r>
              <w:rPr>
                <w:sz w:val="20"/>
              </w:rPr>
              <w:t xml:space="preserve">48,5</w:t>
            </w:r>
          </w:p>
        </w:tc>
        <w:tc>
          <w:tcPr>
            <w:tcW w:w="964" w:type="dxa"/>
          </w:tcPr>
          <w:p>
            <w:pPr>
              <w:pStyle w:val="0"/>
              <w:jc w:val="center"/>
            </w:pPr>
            <w:r>
              <w:rPr>
                <w:sz w:val="20"/>
              </w:rPr>
              <w:t xml:space="preserve">53,2</w:t>
            </w:r>
          </w:p>
        </w:tc>
      </w:tr>
      <w:tr>
        <w:tc>
          <w:tcPr>
            <w:tcW w:w="4365" w:type="dxa"/>
          </w:tcPr>
          <w:p>
            <w:pPr>
              <w:pStyle w:val="0"/>
              <w:jc w:val="both"/>
            </w:pPr>
            <w:r>
              <w:rPr>
                <w:sz w:val="20"/>
              </w:rPr>
              <w:t xml:space="preserve">Активное выявление</w:t>
            </w:r>
          </w:p>
        </w:tc>
        <w:tc>
          <w:tcPr>
            <w:tcW w:w="933" w:type="dxa"/>
          </w:tcPr>
          <w:p>
            <w:pPr>
              <w:pStyle w:val="0"/>
              <w:jc w:val="center"/>
            </w:pPr>
            <w:r>
              <w:rPr>
                <w:sz w:val="20"/>
              </w:rPr>
              <w:t xml:space="preserve">9,8</w:t>
            </w:r>
          </w:p>
        </w:tc>
        <w:tc>
          <w:tcPr>
            <w:tcW w:w="933" w:type="dxa"/>
          </w:tcPr>
          <w:p>
            <w:pPr>
              <w:pStyle w:val="0"/>
              <w:jc w:val="center"/>
            </w:pPr>
            <w:r>
              <w:rPr>
                <w:sz w:val="20"/>
              </w:rPr>
              <w:t xml:space="preserve">9,3</w:t>
            </w:r>
          </w:p>
        </w:tc>
        <w:tc>
          <w:tcPr>
            <w:tcW w:w="933" w:type="dxa"/>
          </w:tcPr>
          <w:p>
            <w:pPr>
              <w:pStyle w:val="0"/>
              <w:jc w:val="center"/>
            </w:pPr>
            <w:r>
              <w:rPr>
                <w:sz w:val="20"/>
              </w:rPr>
              <w:t xml:space="preserve">3,07</w:t>
            </w:r>
          </w:p>
        </w:tc>
        <w:tc>
          <w:tcPr>
            <w:tcW w:w="933" w:type="dxa"/>
          </w:tcPr>
          <w:p>
            <w:pPr>
              <w:pStyle w:val="0"/>
              <w:jc w:val="center"/>
            </w:pPr>
            <w:r>
              <w:rPr>
                <w:sz w:val="20"/>
              </w:rPr>
              <w:t xml:space="preserve">2,1</w:t>
            </w:r>
          </w:p>
        </w:tc>
        <w:tc>
          <w:tcPr>
            <w:tcW w:w="964" w:type="dxa"/>
          </w:tcPr>
          <w:p>
            <w:pPr>
              <w:pStyle w:val="0"/>
              <w:jc w:val="center"/>
            </w:pPr>
            <w:r>
              <w:rPr>
                <w:sz w:val="20"/>
              </w:rPr>
              <w:t xml:space="preserve">10,6</w:t>
            </w:r>
          </w:p>
        </w:tc>
      </w:tr>
    </w:tbl>
    <w:p>
      <w:pPr>
        <w:pStyle w:val="0"/>
        <w:jc w:val="center"/>
      </w:pPr>
      <w:r>
        <w:rPr>
          <w:sz w:val="20"/>
        </w:rPr>
      </w:r>
    </w:p>
    <w:p>
      <w:pPr>
        <w:pStyle w:val="0"/>
        <w:ind w:firstLine="540"/>
        <w:jc w:val="both"/>
      </w:pPr>
      <w:r>
        <w:rPr>
          <w:sz w:val="20"/>
        </w:rPr>
        <w:t xml:space="preserve">В городе Севастополе на 01.01.2023 состоит на учете у врачей-онкологов 13208 чел. со злокачественными новообразованиями, из них 89 детей. Распространенность злокачественных новообразований в городе Севастополе по итогам 2022 года - 2535,4 чел. на 100 тыс. населения, что на 6,3% выше, чем в 2021 году (2385 чел. на 100 тыс. населения) и на 5,7% ниже, чем в среднем по Российской Федерации (2690,5 чел.). Количество впервые выявленных случаев злокачественных новообразований постоянно растет, заболеваемость с 2018 года выросла на 19%, показатель на 38% выше, чем среднероссийский.</w:t>
      </w:r>
    </w:p>
    <w:p>
      <w:pPr>
        <w:pStyle w:val="0"/>
        <w:spacing w:before="200" w:line-rule="auto"/>
        <w:ind w:firstLine="540"/>
        <w:jc w:val="both"/>
      </w:pPr>
      <w:r>
        <w:rPr>
          <w:sz w:val="20"/>
        </w:rPr>
        <w:t xml:space="preserve">На протяжении многих лет показатель смертности от злокачественных новообразований в городе Севастополе остается стабильно высоким. Отмечается динамика по уменьшению показателя смертности от злокачественных новообразований в сравнении с 2014 годом. Снижение показателя смертности за 5 лет составило 21,3%.</w:t>
      </w:r>
    </w:p>
    <w:p>
      <w:pPr>
        <w:pStyle w:val="0"/>
        <w:spacing w:before="200" w:line-rule="auto"/>
        <w:ind w:firstLine="540"/>
        <w:jc w:val="both"/>
      </w:pPr>
      <w:r>
        <w:rPr>
          <w:sz w:val="20"/>
        </w:rPr>
        <w:t xml:space="preserve">Количество выявленных злокачественных новообразований на ранних стадиях увеличивается, рост за 5 лет составил 18%, выявлено ранних стадий среди всех злокачественных новообразований - 63,9%, что на 10,4% выше уровня среднего показателя по Российской Федерации (57,9%).</w:t>
      </w:r>
    </w:p>
    <w:p>
      <w:pPr>
        <w:pStyle w:val="0"/>
        <w:spacing w:before="200" w:line-rule="auto"/>
        <w:ind w:firstLine="540"/>
        <w:jc w:val="both"/>
      </w:pPr>
      <w:r>
        <w:rPr>
          <w:sz w:val="20"/>
        </w:rPr>
        <w:t xml:space="preserve">Показатель одногодичной летальности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который по итогам 2022 года составляет 17,3% (2021 год - 19,4%), уменьшился за 5 лет на 21%, за последние три года - на 15%. Удельный вес больных со злокачественными новообразованиями, состоящих на учете 5 лет и более, в 2022 году составил 53,0%, в 2021 году - 48,5%. Наблюдается рост показателя за 5 лет на 25%, за последние три года - на 15%.</w:t>
      </w:r>
    </w:p>
    <w:p>
      <w:pPr>
        <w:pStyle w:val="0"/>
        <w:jc w:val="center"/>
      </w:pPr>
      <w:r>
        <w:rPr>
          <w:sz w:val="20"/>
        </w:rPr>
      </w:r>
    </w:p>
    <w:p>
      <w:pPr>
        <w:pStyle w:val="2"/>
        <w:outlineLvl w:val="3"/>
        <w:jc w:val="center"/>
      </w:pPr>
      <w:r>
        <w:rPr>
          <w:sz w:val="20"/>
        </w:rPr>
        <w:t xml:space="preserve">1.1. Краткая характеристика региона в целом</w:t>
      </w:r>
    </w:p>
    <w:p>
      <w:pPr>
        <w:pStyle w:val="0"/>
        <w:jc w:val="both"/>
      </w:pPr>
      <w:r>
        <w:rPr>
          <w:sz w:val="20"/>
        </w:rPr>
      </w:r>
    </w:p>
    <w:p>
      <w:pPr>
        <w:pStyle w:val="0"/>
        <w:jc w:val="right"/>
      </w:pPr>
      <w:r>
        <w:rPr>
          <w:sz w:val="20"/>
        </w:rPr>
        <w:t xml:space="preserve">Таблица N 2</w:t>
      </w:r>
    </w:p>
    <w:p>
      <w:pPr>
        <w:pStyle w:val="0"/>
      </w:pPr>
      <w:r>
        <w:rPr>
          <w:sz w:val="20"/>
        </w:rPr>
      </w:r>
    </w:p>
    <w:p>
      <w:pPr>
        <w:pStyle w:val="0"/>
        <w:jc w:val="center"/>
      </w:pPr>
      <w:r>
        <w:rPr>
          <w:sz w:val="20"/>
        </w:rPr>
        <w:t xml:space="preserve">Численность и структура населения на 2022 год</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1417"/>
        <w:gridCol w:w="1361"/>
        <w:gridCol w:w="1417"/>
        <w:gridCol w:w="1361"/>
        <w:gridCol w:w="1361"/>
      </w:tblGrid>
      <w:tr>
        <w:tc>
          <w:tcPr>
            <w:tcW w:w="2891" w:type="dxa"/>
          </w:tcPr>
          <w:p>
            <w:pPr>
              <w:pStyle w:val="0"/>
              <w:jc w:val="center"/>
            </w:pPr>
            <w:r>
              <w:rPr>
                <w:sz w:val="20"/>
              </w:rPr>
              <w:t xml:space="preserve">Численность населения</w:t>
            </w:r>
          </w:p>
        </w:tc>
        <w:tc>
          <w:tcPr>
            <w:tcW w:w="1417" w:type="dxa"/>
          </w:tcPr>
          <w:p>
            <w:pPr>
              <w:pStyle w:val="0"/>
              <w:jc w:val="center"/>
            </w:pPr>
            <w:r>
              <w:rPr>
                <w:sz w:val="20"/>
              </w:rPr>
              <w:t xml:space="preserve">Все население</w:t>
            </w:r>
          </w:p>
        </w:tc>
        <w:tc>
          <w:tcPr>
            <w:tcW w:w="1361" w:type="dxa"/>
          </w:tcPr>
          <w:p>
            <w:pPr>
              <w:pStyle w:val="0"/>
              <w:jc w:val="center"/>
            </w:pPr>
            <w:r>
              <w:rPr>
                <w:sz w:val="20"/>
              </w:rPr>
              <w:t xml:space="preserve">Мужчины</w:t>
            </w:r>
          </w:p>
        </w:tc>
        <w:tc>
          <w:tcPr>
            <w:tcW w:w="1417" w:type="dxa"/>
          </w:tcPr>
          <w:p>
            <w:pPr>
              <w:pStyle w:val="0"/>
              <w:jc w:val="center"/>
            </w:pPr>
            <w:r>
              <w:rPr>
                <w:sz w:val="20"/>
              </w:rPr>
              <w:t xml:space="preserve">Женщины</w:t>
            </w:r>
          </w:p>
        </w:tc>
        <w:tc>
          <w:tcPr>
            <w:tcW w:w="1361" w:type="dxa"/>
          </w:tcPr>
          <w:p>
            <w:pPr>
              <w:pStyle w:val="0"/>
              <w:jc w:val="center"/>
            </w:pPr>
            <w:r>
              <w:rPr>
                <w:sz w:val="20"/>
              </w:rPr>
              <w:t xml:space="preserve">Городское население</w:t>
            </w:r>
          </w:p>
        </w:tc>
        <w:tc>
          <w:tcPr>
            <w:tcW w:w="1361" w:type="dxa"/>
          </w:tcPr>
          <w:p>
            <w:pPr>
              <w:pStyle w:val="0"/>
              <w:jc w:val="center"/>
            </w:pPr>
            <w:r>
              <w:rPr>
                <w:sz w:val="20"/>
              </w:rPr>
              <w:t xml:space="preserve">Сельское население</w:t>
            </w:r>
          </w:p>
        </w:tc>
      </w:tr>
      <w:tr>
        <w:tc>
          <w:tcPr>
            <w:tcW w:w="2891" w:type="dxa"/>
          </w:tcPr>
          <w:p>
            <w:pPr>
              <w:pStyle w:val="0"/>
              <w:jc w:val="both"/>
            </w:pPr>
            <w:r>
              <w:rPr>
                <w:sz w:val="20"/>
              </w:rPr>
              <w:t xml:space="preserve">Итого</w:t>
            </w:r>
          </w:p>
        </w:tc>
        <w:tc>
          <w:tcPr>
            <w:tcW w:w="1417" w:type="dxa"/>
          </w:tcPr>
          <w:p>
            <w:pPr>
              <w:pStyle w:val="0"/>
              <w:jc w:val="center"/>
            </w:pPr>
            <w:r>
              <w:rPr>
                <w:sz w:val="20"/>
              </w:rPr>
              <w:t xml:space="preserve">522057</w:t>
            </w:r>
          </w:p>
        </w:tc>
        <w:tc>
          <w:tcPr>
            <w:tcW w:w="1361" w:type="dxa"/>
          </w:tcPr>
          <w:p>
            <w:pPr>
              <w:pStyle w:val="0"/>
              <w:jc w:val="center"/>
            </w:pPr>
            <w:r>
              <w:rPr>
                <w:sz w:val="20"/>
              </w:rPr>
              <w:t xml:space="preserve">247693</w:t>
            </w:r>
          </w:p>
        </w:tc>
        <w:tc>
          <w:tcPr>
            <w:tcW w:w="1417" w:type="dxa"/>
          </w:tcPr>
          <w:p>
            <w:pPr>
              <w:pStyle w:val="0"/>
              <w:jc w:val="center"/>
            </w:pPr>
            <w:r>
              <w:rPr>
                <w:sz w:val="20"/>
              </w:rPr>
              <w:t xml:space="preserve">274364</w:t>
            </w:r>
          </w:p>
        </w:tc>
        <w:tc>
          <w:tcPr>
            <w:tcW w:w="1361" w:type="dxa"/>
          </w:tcPr>
          <w:p>
            <w:pPr>
              <w:pStyle w:val="0"/>
              <w:jc w:val="center"/>
            </w:pPr>
            <w:r>
              <w:rPr>
                <w:sz w:val="20"/>
              </w:rPr>
              <w:t xml:space="preserve">491878</w:t>
            </w:r>
          </w:p>
        </w:tc>
        <w:tc>
          <w:tcPr>
            <w:tcW w:w="1361" w:type="dxa"/>
          </w:tcPr>
          <w:p>
            <w:pPr>
              <w:pStyle w:val="0"/>
              <w:jc w:val="center"/>
            </w:pPr>
            <w:r>
              <w:rPr>
                <w:sz w:val="20"/>
              </w:rPr>
              <w:t xml:space="preserve">30179</w:t>
            </w:r>
          </w:p>
        </w:tc>
      </w:tr>
      <w:tr>
        <w:tc>
          <w:tcPr>
            <w:tcW w:w="2891" w:type="dxa"/>
          </w:tcPr>
          <w:p>
            <w:pPr>
              <w:pStyle w:val="0"/>
              <w:jc w:val="both"/>
            </w:pPr>
            <w:r>
              <w:rPr>
                <w:sz w:val="20"/>
              </w:rPr>
              <w:t xml:space="preserve">Дети от 0 до 17 лет</w:t>
            </w:r>
          </w:p>
        </w:tc>
        <w:tc>
          <w:tcPr>
            <w:tcW w:w="1417" w:type="dxa"/>
          </w:tcPr>
          <w:p>
            <w:pPr>
              <w:pStyle w:val="0"/>
              <w:jc w:val="center"/>
            </w:pPr>
            <w:r>
              <w:rPr>
                <w:sz w:val="20"/>
              </w:rPr>
              <w:t xml:space="preserve">103347</w:t>
            </w:r>
          </w:p>
        </w:tc>
        <w:tc>
          <w:tcPr>
            <w:tcW w:w="1361" w:type="dxa"/>
          </w:tcPr>
          <w:p>
            <w:pPr>
              <w:pStyle w:val="0"/>
              <w:jc w:val="center"/>
            </w:pPr>
            <w:r>
              <w:rPr>
                <w:sz w:val="20"/>
              </w:rPr>
              <w:t xml:space="preserve">53117</w:t>
            </w:r>
          </w:p>
        </w:tc>
        <w:tc>
          <w:tcPr>
            <w:tcW w:w="1417" w:type="dxa"/>
          </w:tcPr>
          <w:p>
            <w:pPr>
              <w:pStyle w:val="0"/>
              <w:jc w:val="center"/>
            </w:pPr>
            <w:r>
              <w:rPr>
                <w:sz w:val="20"/>
              </w:rPr>
              <w:t xml:space="preserve">50230</w:t>
            </w:r>
          </w:p>
        </w:tc>
        <w:tc>
          <w:tcPr>
            <w:tcW w:w="1361" w:type="dxa"/>
          </w:tcPr>
          <w:p>
            <w:pPr>
              <w:pStyle w:val="0"/>
              <w:jc w:val="center"/>
            </w:pPr>
            <w:r>
              <w:rPr>
                <w:sz w:val="20"/>
              </w:rPr>
              <w:t xml:space="preserve">97301</w:t>
            </w:r>
          </w:p>
        </w:tc>
        <w:tc>
          <w:tcPr>
            <w:tcW w:w="1361" w:type="dxa"/>
          </w:tcPr>
          <w:p>
            <w:pPr>
              <w:pStyle w:val="0"/>
              <w:jc w:val="center"/>
            </w:pPr>
            <w:r>
              <w:rPr>
                <w:sz w:val="20"/>
              </w:rPr>
              <w:t xml:space="preserve">6046</w:t>
            </w:r>
          </w:p>
        </w:tc>
      </w:tr>
      <w:tr>
        <w:tc>
          <w:tcPr>
            <w:tcW w:w="2891" w:type="dxa"/>
          </w:tcPr>
          <w:p>
            <w:pPr>
              <w:pStyle w:val="0"/>
              <w:jc w:val="both"/>
            </w:pPr>
            <w:r>
              <w:rPr>
                <w:sz w:val="20"/>
              </w:rPr>
              <w:t xml:space="preserve">Трудоспособное население (женщины от 16 до 56 лет, мужчины от 16 до 61 года)</w:t>
            </w:r>
          </w:p>
        </w:tc>
        <w:tc>
          <w:tcPr>
            <w:tcW w:w="1417" w:type="dxa"/>
          </w:tcPr>
          <w:p>
            <w:pPr>
              <w:pStyle w:val="0"/>
              <w:jc w:val="center"/>
            </w:pPr>
            <w:r>
              <w:rPr>
                <w:sz w:val="20"/>
              </w:rPr>
              <w:t xml:space="preserve">305382</w:t>
            </w:r>
          </w:p>
        </w:tc>
        <w:tc>
          <w:tcPr>
            <w:tcW w:w="1361" w:type="dxa"/>
          </w:tcPr>
          <w:p>
            <w:pPr>
              <w:pStyle w:val="0"/>
              <w:jc w:val="center"/>
            </w:pPr>
            <w:r>
              <w:rPr>
                <w:sz w:val="20"/>
              </w:rPr>
              <w:t xml:space="preserve">162200</w:t>
            </w:r>
          </w:p>
        </w:tc>
        <w:tc>
          <w:tcPr>
            <w:tcW w:w="1417" w:type="dxa"/>
          </w:tcPr>
          <w:p>
            <w:pPr>
              <w:pStyle w:val="0"/>
              <w:jc w:val="center"/>
            </w:pPr>
            <w:r>
              <w:rPr>
                <w:sz w:val="20"/>
              </w:rPr>
              <w:t xml:space="preserve">143182</w:t>
            </w:r>
          </w:p>
        </w:tc>
        <w:tc>
          <w:tcPr>
            <w:tcW w:w="1361" w:type="dxa"/>
          </w:tcPr>
          <w:p>
            <w:pPr>
              <w:pStyle w:val="0"/>
              <w:jc w:val="center"/>
            </w:pPr>
            <w:r>
              <w:rPr>
                <w:sz w:val="20"/>
              </w:rPr>
              <w:t xml:space="preserve">288578</w:t>
            </w:r>
          </w:p>
        </w:tc>
        <w:tc>
          <w:tcPr>
            <w:tcW w:w="1361" w:type="dxa"/>
          </w:tcPr>
          <w:p>
            <w:pPr>
              <w:pStyle w:val="0"/>
              <w:jc w:val="center"/>
            </w:pPr>
            <w:r>
              <w:rPr>
                <w:sz w:val="20"/>
              </w:rPr>
              <w:t xml:space="preserve">16804</w:t>
            </w:r>
          </w:p>
        </w:tc>
      </w:tr>
      <w:tr>
        <w:tc>
          <w:tcPr>
            <w:tcW w:w="2891" w:type="dxa"/>
          </w:tcPr>
          <w:p>
            <w:pPr>
              <w:pStyle w:val="0"/>
              <w:jc w:val="both"/>
            </w:pPr>
            <w:r>
              <w:rPr>
                <w:sz w:val="20"/>
              </w:rPr>
              <w:t xml:space="preserve">Старше трудоспособного возраста (женщины от 57 лет и старше, мужчины от 62 лет и старше)</w:t>
            </w:r>
          </w:p>
        </w:tc>
        <w:tc>
          <w:tcPr>
            <w:tcW w:w="1417" w:type="dxa"/>
          </w:tcPr>
          <w:p>
            <w:pPr>
              <w:pStyle w:val="0"/>
              <w:jc w:val="center"/>
            </w:pPr>
            <w:r>
              <w:rPr>
                <w:sz w:val="20"/>
              </w:rPr>
              <w:t xml:space="preserve">123564</w:t>
            </w:r>
          </w:p>
        </w:tc>
        <w:tc>
          <w:tcPr>
            <w:tcW w:w="1361" w:type="dxa"/>
          </w:tcPr>
          <w:p>
            <w:pPr>
              <w:pStyle w:val="0"/>
              <w:jc w:val="center"/>
            </w:pPr>
            <w:r>
              <w:rPr>
                <w:sz w:val="20"/>
              </w:rPr>
              <w:t xml:space="preserve">37569</w:t>
            </w:r>
          </w:p>
        </w:tc>
        <w:tc>
          <w:tcPr>
            <w:tcW w:w="1417" w:type="dxa"/>
          </w:tcPr>
          <w:p>
            <w:pPr>
              <w:pStyle w:val="0"/>
              <w:jc w:val="center"/>
            </w:pPr>
            <w:r>
              <w:rPr>
                <w:sz w:val="20"/>
              </w:rPr>
              <w:t xml:space="preserve">85995</w:t>
            </w:r>
          </w:p>
        </w:tc>
        <w:tc>
          <w:tcPr>
            <w:tcW w:w="1361" w:type="dxa"/>
          </w:tcPr>
          <w:p>
            <w:pPr>
              <w:pStyle w:val="0"/>
              <w:jc w:val="center"/>
            </w:pPr>
            <w:r>
              <w:rPr>
                <w:sz w:val="20"/>
              </w:rPr>
              <w:t xml:space="preserve">115589</w:t>
            </w:r>
          </w:p>
        </w:tc>
        <w:tc>
          <w:tcPr>
            <w:tcW w:w="1361" w:type="dxa"/>
          </w:tcPr>
          <w:p>
            <w:pPr>
              <w:pStyle w:val="0"/>
              <w:jc w:val="center"/>
            </w:pPr>
            <w:r>
              <w:rPr>
                <w:sz w:val="20"/>
              </w:rPr>
              <w:t xml:space="preserve">7975</w:t>
            </w:r>
          </w:p>
        </w:tc>
      </w:tr>
      <w:tr>
        <w:tc>
          <w:tcPr>
            <w:tcW w:w="2891" w:type="dxa"/>
          </w:tcPr>
          <w:p>
            <w:pPr>
              <w:pStyle w:val="0"/>
              <w:jc w:val="both"/>
            </w:pPr>
            <w:r>
              <w:rPr>
                <w:sz w:val="20"/>
              </w:rPr>
              <w:t xml:space="preserve">Взрослые (18 лет и старше)</w:t>
            </w:r>
          </w:p>
        </w:tc>
        <w:tc>
          <w:tcPr>
            <w:tcW w:w="1417" w:type="dxa"/>
          </w:tcPr>
          <w:p>
            <w:pPr>
              <w:pStyle w:val="0"/>
              <w:jc w:val="center"/>
            </w:pPr>
            <w:r>
              <w:rPr>
                <w:sz w:val="20"/>
              </w:rPr>
              <w:t xml:space="preserve">418710</w:t>
            </w:r>
          </w:p>
        </w:tc>
        <w:tc>
          <w:tcPr>
            <w:tcW w:w="1361" w:type="dxa"/>
          </w:tcPr>
          <w:p>
            <w:pPr>
              <w:pStyle w:val="0"/>
              <w:jc w:val="center"/>
            </w:pPr>
            <w:r>
              <w:rPr>
                <w:sz w:val="20"/>
              </w:rPr>
              <w:t xml:space="preserve">194576</w:t>
            </w:r>
          </w:p>
        </w:tc>
        <w:tc>
          <w:tcPr>
            <w:tcW w:w="1417" w:type="dxa"/>
          </w:tcPr>
          <w:p>
            <w:pPr>
              <w:pStyle w:val="0"/>
              <w:jc w:val="center"/>
            </w:pPr>
            <w:r>
              <w:rPr>
                <w:sz w:val="20"/>
              </w:rPr>
              <w:t xml:space="preserve">224134</w:t>
            </w:r>
          </w:p>
        </w:tc>
        <w:tc>
          <w:tcPr>
            <w:tcW w:w="1361" w:type="dxa"/>
          </w:tcPr>
          <w:p>
            <w:pPr>
              <w:pStyle w:val="0"/>
              <w:jc w:val="center"/>
            </w:pPr>
            <w:r>
              <w:rPr>
                <w:sz w:val="20"/>
              </w:rPr>
              <w:t xml:space="preserve">394577</w:t>
            </w:r>
          </w:p>
        </w:tc>
        <w:tc>
          <w:tcPr>
            <w:tcW w:w="1361" w:type="dxa"/>
          </w:tcPr>
          <w:p>
            <w:pPr>
              <w:pStyle w:val="0"/>
              <w:jc w:val="center"/>
            </w:pPr>
            <w:r>
              <w:rPr>
                <w:sz w:val="20"/>
              </w:rPr>
              <w:t xml:space="preserve">24133</w:t>
            </w:r>
          </w:p>
        </w:tc>
      </w:tr>
    </w:tbl>
    <w:p>
      <w:pPr>
        <w:pStyle w:val="0"/>
        <w:ind w:firstLine="540"/>
        <w:jc w:val="both"/>
      </w:pPr>
      <w:r>
        <w:rPr>
          <w:sz w:val="20"/>
        </w:rPr>
      </w:r>
    </w:p>
    <w:p>
      <w:pPr>
        <w:pStyle w:val="0"/>
        <w:ind w:firstLine="540"/>
        <w:jc w:val="both"/>
      </w:pPr>
      <w:r>
        <w:rPr>
          <w:sz w:val="20"/>
        </w:rPr>
        <w:t xml:space="preserve">По данным отделения Росстата в городе Севастополе, с учетом итогов Всероссийской переписи населения 2020 года, численность населения города Севастополя на 01.01.2023 составляет 55630 чел.</w:t>
      </w:r>
    </w:p>
    <w:p>
      <w:pPr>
        <w:pStyle w:val="0"/>
        <w:spacing w:before="200" w:line-rule="auto"/>
        <w:ind w:firstLine="540"/>
        <w:jc w:val="both"/>
      </w:pPr>
      <w:r>
        <w:rPr>
          <w:sz w:val="20"/>
        </w:rPr>
        <w:t xml:space="preserve">За период 2019 - 2022 годов количество населения города Севастополя выросло на 24%.</w:t>
      </w:r>
    </w:p>
    <w:p>
      <w:pPr>
        <w:pStyle w:val="0"/>
        <w:spacing w:before="200" w:line-rule="auto"/>
        <w:ind w:firstLine="540"/>
        <w:jc w:val="both"/>
      </w:pPr>
      <w:r>
        <w:rPr>
          <w:sz w:val="20"/>
        </w:rPr>
        <w:t xml:space="preserve">Доля сельского населения в городе Севастополе составляет 7,5% - одна их самых низких из всех регионов Российской Федерации, город Севастополь занимает 3-е место по данному показателю (г. Москва - 1,4%, Магаданская область - 4%, в среднем по Российской Федерации - 25%, Республика Крым - 49%, ЮФО - 37%).</w:t>
      </w:r>
    </w:p>
    <w:p>
      <w:pPr>
        <w:pStyle w:val="0"/>
        <w:spacing w:before="200" w:line-rule="auto"/>
        <w:ind w:firstLine="540"/>
        <w:jc w:val="both"/>
      </w:pPr>
      <w:r>
        <w:rPr>
          <w:sz w:val="20"/>
        </w:rPr>
        <w:t xml:space="preserve">Доля населения старше трудоспособного возраста находится на среднем уровне по России (24%) и составляет 23,7% (2020 год - 27,3%). Доля жителей города Севастополя в возрасте старше 70 лет составляет 10,7%, что выше, чем средний показатель аналогичного населения по Российской Федерации (9,2%).</w:t>
      </w:r>
    </w:p>
    <w:p>
      <w:pPr>
        <w:pStyle w:val="0"/>
        <w:spacing w:before="200" w:line-rule="auto"/>
        <w:ind w:firstLine="540"/>
        <w:jc w:val="both"/>
      </w:pPr>
      <w:r>
        <w:rPr>
          <w:sz w:val="20"/>
        </w:rPr>
        <w:t xml:space="preserve">Общая площадь территории города Севастополя составляет 1079,6 км</w:t>
      </w:r>
      <w:r>
        <w:rPr>
          <w:sz w:val="20"/>
          <w:vertAlign w:val="superscript"/>
        </w:rPr>
        <w:t xml:space="preserve">2</w:t>
      </w:r>
      <w:r>
        <w:rPr>
          <w:sz w:val="20"/>
        </w:rPr>
        <w:t xml:space="preserve">, из них площадь водной акватории - 216 км</w:t>
      </w:r>
      <w:r>
        <w:rPr>
          <w:sz w:val="20"/>
          <w:vertAlign w:val="superscript"/>
        </w:rPr>
        <w:t xml:space="preserve">2</w:t>
      </w:r>
      <w:r>
        <w:rPr>
          <w:sz w:val="20"/>
        </w:rPr>
        <w:t xml:space="preserve">. Плотность населения - 509,43 чел./км</w:t>
      </w:r>
      <w:r>
        <w:rPr>
          <w:sz w:val="20"/>
          <w:vertAlign w:val="superscript"/>
        </w:rPr>
        <w:t xml:space="preserve">2</w:t>
      </w:r>
      <w:r>
        <w:rPr>
          <w:sz w:val="20"/>
        </w:rPr>
        <w:t xml:space="preserve">.</w:t>
      </w:r>
    </w:p>
    <w:p>
      <w:pPr>
        <w:pStyle w:val="0"/>
        <w:spacing w:before="200" w:line-rule="auto"/>
        <w:ind w:firstLine="540"/>
        <w:jc w:val="both"/>
      </w:pPr>
      <w:r>
        <w:rPr>
          <w:sz w:val="20"/>
        </w:rPr>
        <w:t xml:space="preserve">Согласно исследованиям влияние экологического, промышленного и климатического факторов на заболеваемость в регионе незначительно. Считается, что в данный момент экологическое состояние Севастополя можно назвать удовлетворительным. Севастополь принадлежит двум климатическим полосам одновременно - субтропической и умеренной, это сильно сказывается на видовом разнообразии местной флоры, около 30% территории признано заповедными зонами. Город Севастополь - крупный центр рыбодобычи и рыбопереработки, есть несколько заводов, выпускающих вина, шампанское, марочные вина. Основным экологическим фактором, влияющим на онкозаболеваемость, считается инсоляция.</w:t>
      </w:r>
    </w:p>
    <w:p>
      <w:pPr>
        <w:pStyle w:val="0"/>
        <w:spacing w:before="200" w:line-rule="auto"/>
        <w:ind w:firstLine="540"/>
        <w:jc w:val="both"/>
      </w:pPr>
      <w:r>
        <w:rPr>
          <w:sz w:val="20"/>
        </w:rPr>
        <w:t xml:space="preserve">Статистический учет в городе Севастополе ведется по населению, прикрепленному к медицинским организациям, подведомственным Департаменту здравоохранения города Севастополя.</w:t>
      </w:r>
    </w:p>
    <w:p>
      <w:pPr>
        <w:pStyle w:val="0"/>
        <w:ind w:firstLine="540"/>
        <w:jc w:val="both"/>
      </w:pPr>
      <w:r>
        <w:rPr>
          <w:sz w:val="20"/>
        </w:rPr>
      </w:r>
    </w:p>
    <w:p>
      <w:pPr>
        <w:pStyle w:val="0"/>
        <w:jc w:val="right"/>
      </w:pPr>
      <w:r>
        <w:rPr>
          <w:sz w:val="20"/>
        </w:rPr>
        <w:t xml:space="preserve">Таблица N 3</w:t>
      </w:r>
    </w:p>
    <w:p>
      <w:pPr>
        <w:pStyle w:val="0"/>
        <w:ind w:firstLine="540"/>
        <w:jc w:val="both"/>
      </w:pPr>
      <w:r>
        <w:rPr>
          <w:sz w:val="20"/>
        </w:rPr>
      </w:r>
    </w:p>
    <w:p>
      <w:pPr>
        <w:pStyle w:val="0"/>
        <w:jc w:val="center"/>
      </w:pPr>
      <w:r>
        <w:rPr>
          <w:sz w:val="20"/>
        </w:rPr>
        <w:t xml:space="preserve">Распределение прикрепленного взрослого населения</w:t>
      </w:r>
    </w:p>
    <w:p>
      <w:pPr>
        <w:pStyle w:val="0"/>
        <w:jc w:val="center"/>
      </w:pPr>
      <w:r>
        <w:rPr>
          <w:sz w:val="20"/>
        </w:rPr>
        <w:t xml:space="preserve">по городским больницам города Севастополя</w:t>
      </w:r>
    </w:p>
    <w:p>
      <w:pPr>
        <w:pStyle w:val="0"/>
        <w:jc w:val="center"/>
      </w:pPr>
      <w:r>
        <w:rPr>
          <w:sz w:val="20"/>
        </w:rPr>
        <w:t xml:space="preserve">(по данным Региональной медицинской информационной</w:t>
      </w:r>
    </w:p>
    <w:p>
      <w:pPr>
        <w:pStyle w:val="0"/>
        <w:jc w:val="center"/>
      </w:pPr>
      <w:r>
        <w:rPr>
          <w:sz w:val="20"/>
        </w:rPr>
        <w:t xml:space="preserve">системы АИС "Витакор")</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1"/>
        <w:gridCol w:w="5669"/>
      </w:tblGrid>
      <w:tr>
        <w:tc>
          <w:tcPr>
            <w:tcW w:w="3401" w:type="dxa"/>
          </w:tcPr>
          <w:p>
            <w:pPr>
              <w:pStyle w:val="0"/>
              <w:jc w:val="center"/>
            </w:pPr>
            <w:r>
              <w:rPr>
                <w:sz w:val="20"/>
              </w:rPr>
              <w:t xml:space="preserve">Организации, оказывающие медицинскую помощь взрослому населению</w:t>
            </w:r>
          </w:p>
        </w:tc>
        <w:tc>
          <w:tcPr>
            <w:tcW w:w="5669" w:type="dxa"/>
          </w:tcPr>
          <w:p>
            <w:pPr>
              <w:pStyle w:val="0"/>
              <w:jc w:val="center"/>
            </w:pPr>
            <w:r>
              <w:rPr>
                <w:sz w:val="20"/>
              </w:rPr>
              <w:t xml:space="preserve">Территориальная принадлежность</w:t>
            </w:r>
          </w:p>
        </w:tc>
      </w:tr>
      <w:tr>
        <w:tc>
          <w:tcPr>
            <w:tcW w:w="3401" w:type="dxa"/>
          </w:tcPr>
          <w:p>
            <w:pPr>
              <w:pStyle w:val="0"/>
              <w:jc w:val="both"/>
            </w:pPr>
            <w:r>
              <w:rPr>
                <w:sz w:val="20"/>
              </w:rPr>
              <w:t xml:space="preserve">ГБУЗС "Городская больница N 1 им. Н.И. Пирогова"</w:t>
            </w:r>
          </w:p>
        </w:tc>
        <w:tc>
          <w:tcPr>
            <w:tcW w:w="5669" w:type="dxa"/>
          </w:tcPr>
          <w:p>
            <w:pPr>
              <w:pStyle w:val="0"/>
              <w:jc w:val="both"/>
            </w:pPr>
            <w:r>
              <w:rPr>
                <w:sz w:val="20"/>
              </w:rPr>
              <w:t xml:space="preserve">Город Севастополь, Ленинский, Гагаринский и часть Нахимовского муниципальных округов</w:t>
            </w:r>
          </w:p>
        </w:tc>
      </w:tr>
      <w:tr>
        <w:tc>
          <w:tcPr>
            <w:tcW w:w="3401" w:type="dxa"/>
          </w:tcPr>
          <w:p>
            <w:pPr>
              <w:pStyle w:val="0"/>
              <w:jc w:val="both"/>
            </w:pPr>
            <w:r>
              <w:rPr>
                <w:sz w:val="20"/>
              </w:rPr>
              <w:t xml:space="preserve">Поликлиника N 1</w:t>
            </w:r>
          </w:p>
        </w:tc>
        <w:tc>
          <w:tcPr>
            <w:tcW w:w="5669" w:type="dxa"/>
          </w:tcPr>
          <w:p>
            <w:pPr>
              <w:pStyle w:val="0"/>
              <w:jc w:val="both"/>
            </w:pPr>
            <w:r>
              <w:rPr>
                <w:sz w:val="20"/>
              </w:rPr>
              <w:t xml:space="preserve">Город Севастополь, Ленинский муниципальный округ</w:t>
            </w:r>
          </w:p>
        </w:tc>
      </w:tr>
      <w:tr>
        <w:tc>
          <w:tcPr>
            <w:tcW w:w="3401" w:type="dxa"/>
          </w:tcPr>
          <w:p>
            <w:pPr>
              <w:pStyle w:val="0"/>
              <w:jc w:val="both"/>
            </w:pPr>
            <w:r>
              <w:rPr>
                <w:sz w:val="20"/>
              </w:rPr>
              <w:t xml:space="preserve">Поликлиника N 2</w:t>
            </w:r>
          </w:p>
        </w:tc>
        <w:tc>
          <w:tcPr>
            <w:tcW w:w="5669" w:type="dxa"/>
          </w:tcPr>
          <w:p>
            <w:pPr>
              <w:pStyle w:val="0"/>
              <w:jc w:val="both"/>
            </w:pPr>
            <w:r>
              <w:rPr>
                <w:sz w:val="20"/>
              </w:rPr>
              <w:t xml:space="preserve">Город Севастополь, Гагаринский муниципальный округ</w:t>
            </w:r>
          </w:p>
        </w:tc>
      </w:tr>
      <w:tr>
        <w:tc>
          <w:tcPr>
            <w:tcW w:w="3401" w:type="dxa"/>
          </w:tcPr>
          <w:p>
            <w:pPr>
              <w:pStyle w:val="0"/>
              <w:jc w:val="both"/>
            </w:pPr>
            <w:r>
              <w:rPr>
                <w:sz w:val="20"/>
              </w:rPr>
              <w:t xml:space="preserve">Поликлиника N 3 (портовая)</w:t>
            </w:r>
          </w:p>
        </w:tc>
        <w:tc>
          <w:tcPr>
            <w:tcW w:w="5669" w:type="dxa"/>
          </w:tcPr>
          <w:p>
            <w:pPr>
              <w:pStyle w:val="0"/>
              <w:jc w:val="both"/>
            </w:pPr>
            <w:r>
              <w:rPr>
                <w:sz w:val="20"/>
              </w:rPr>
              <w:t xml:space="preserve">Город Севастополь, Гагаринский муниципальный округ</w:t>
            </w:r>
          </w:p>
        </w:tc>
      </w:tr>
      <w:tr>
        <w:tc>
          <w:tcPr>
            <w:tcW w:w="3401" w:type="dxa"/>
          </w:tcPr>
          <w:p>
            <w:pPr>
              <w:pStyle w:val="0"/>
              <w:jc w:val="both"/>
            </w:pPr>
            <w:r>
              <w:rPr>
                <w:sz w:val="20"/>
              </w:rPr>
              <w:t xml:space="preserve">Амбулатория семейной медицины</w:t>
            </w:r>
          </w:p>
        </w:tc>
        <w:tc>
          <w:tcPr>
            <w:tcW w:w="5669" w:type="dxa"/>
          </w:tcPr>
          <w:p>
            <w:pPr>
              <w:pStyle w:val="0"/>
              <w:jc w:val="both"/>
            </w:pPr>
            <w:r>
              <w:rPr>
                <w:sz w:val="20"/>
              </w:rPr>
              <w:t xml:space="preserve">Город Севастополь, Гагаринский муниципальный округ</w:t>
            </w:r>
          </w:p>
        </w:tc>
      </w:tr>
      <w:tr>
        <w:tc>
          <w:tcPr>
            <w:tcW w:w="3401" w:type="dxa"/>
          </w:tcPr>
          <w:p>
            <w:pPr>
              <w:pStyle w:val="0"/>
              <w:jc w:val="both"/>
            </w:pPr>
            <w:r>
              <w:rPr>
                <w:sz w:val="20"/>
              </w:rPr>
              <w:t xml:space="preserve">Поликлиника N 4</w:t>
            </w:r>
          </w:p>
        </w:tc>
        <w:tc>
          <w:tcPr>
            <w:tcW w:w="5669" w:type="dxa"/>
          </w:tcPr>
          <w:p>
            <w:pPr>
              <w:pStyle w:val="0"/>
              <w:jc w:val="both"/>
            </w:pPr>
            <w:r>
              <w:rPr>
                <w:sz w:val="20"/>
              </w:rPr>
              <w:t xml:space="preserve">Город Севастополь, Ленинский муниципальный округ</w:t>
            </w:r>
          </w:p>
        </w:tc>
      </w:tr>
      <w:tr>
        <w:tc>
          <w:tcPr>
            <w:tcW w:w="3401" w:type="dxa"/>
          </w:tcPr>
          <w:p>
            <w:pPr>
              <w:pStyle w:val="0"/>
              <w:jc w:val="both"/>
            </w:pPr>
            <w:r>
              <w:rPr>
                <w:sz w:val="20"/>
              </w:rPr>
              <w:t xml:space="preserve">Поликлиника N 5</w:t>
            </w:r>
          </w:p>
        </w:tc>
        <w:tc>
          <w:tcPr>
            <w:tcW w:w="5669" w:type="dxa"/>
          </w:tcPr>
          <w:p>
            <w:pPr>
              <w:pStyle w:val="0"/>
              <w:jc w:val="both"/>
            </w:pPr>
            <w:r>
              <w:rPr>
                <w:sz w:val="20"/>
              </w:rPr>
              <w:t xml:space="preserve">Город Севастополь, Нахимовский муниципальный округ (Корабельная сторона)</w:t>
            </w:r>
          </w:p>
        </w:tc>
      </w:tr>
      <w:tr>
        <w:tc>
          <w:tcPr>
            <w:tcW w:w="3401" w:type="dxa"/>
          </w:tcPr>
          <w:p>
            <w:pPr>
              <w:pStyle w:val="0"/>
              <w:jc w:val="both"/>
            </w:pPr>
            <w:r>
              <w:rPr>
                <w:sz w:val="20"/>
              </w:rPr>
              <w:t xml:space="preserve">ГБУЗС "Городская больница N 4"</w:t>
            </w:r>
          </w:p>
        </w:tc>
        <w:tc>
          <w:tcPr>
            <w:tcW w:w="5669" w:type="dxa"/>
          </w:tcPr>
          <w:p>
            <w:pPr>
              <w:pStyle w:val="0"/>
              <w:jc w:val="both"/>
            </w:pPr>
            <w:r>
              <w:rPr>
                <w:sz w:val="20"/>
              </w:rPr>
              <w:t xml:space="preserve">Город Севастополь, Нахимовский муниципальный округ (Северная сторона), Андреевский, Качинский и Верхнесадовский муниципальные округа</w:t>
            </w:r>
          </w:p>
        </w:tc>
      </w:tr>
      <w:tr>
        <w:tc>
          <w:tcPr>
            <w:tcW w:w="3401" w:type="dxa"/>
          </w:tcPr>
          <w:p>
            <w:pPr>
              <w:pStyle w:val="0"/>
              <w:jc w:val="both"/>
            </w:pPr>
            <w:r>
              <w:rPr>
                <w:sz w:val="20"/>
              </w:rPr>
              <w:t xml:space="preserve">ГБУЗС "Городская больница N 9"</w:t>
            </w:r>
          </w:p>
        </w:tc>
        <w:tc>
          <w:tcPr>
            <w:tcW w:w="5669" w:type="dxa"/>
          </w:tcPr>
          <w:p>
            <w:pPr>
              <w:pStyle w:val="0"/>
              <w:jc w:val="both"/>
            </w:pPr>
            <w:r>
              <w:rPr>
                <w:sz w:val="20"/>
              </w:rPr>
              <w:t xml:space="preserve">Город Балаклава, Балаклавский, Орлиновский, Терновский муниципальные округа, город Инкерман</w:t>
            </w:r>
          </w:p>
        </w:tc>
      </w:tr>
    </w:tbl>
    <w:p>
      <w:pPr>
        <w:pStyle w:val="0"/>
        <w:jc w:val="center"/>
      </w:pPr>
      <w:r>
        <w:rPr>
          <w:sz w:val="20"/>
        </w:rPr>
      </w:r>
    </w:p>
    <w:p>
      <w:pPr>
        <w:pStyle w:val="2"/>
        <w:outlineLvl w:val="3"/>
        <w:jc w:val="center"/>
      </w:pPr>
      <w:r>
        <w:rPr>
          <w:sz w:val="20"/>
        </w:rPr>
        <w:t xml:space="preserve">1.2. Эпидемиологические показатели: анализ динамики</w:t>
      </w:r>
    </w:p>
    <w:p>
      <w:pPr>
        <w:pStyle w:val="2"/>
        <w:jc w:val="center"/>
      </w:pPr>
      <w:r>
        <w:rPr>
          <w:sz w:val="20"/>
        </w:rPr>
        <w:t xml:space="preserve">данных по заболеваемости и распространенности</w:t>
      </w:r>
    </w:p>
    <w:p>
      <w:pPr>
        <w:pStyle w:val="2"/>
        <w:jc w:val="center"/>
      </w:pPr>
      <w:r>
        <w:rPr>
          <w:sz w:val="20"/>
        </w:rPr>
        <w:t xml:space="preserve">онкологических заболеваний</w:t>
      </w:r>
    </w:p>
    <w:p>
      <w:pPr>
        <w:pStyle w:val="0"/>
        <w:jc w:val="center"/>
      </w:pPr>
      <w:r>
        <w:rPr>
          <w:sz w:val="20"/>
        </w:rPr>
      </w:r>
    </w:p>
    <w:p>
      <w:pPr>
        <w:pStyle w:val="0"/>
        <w:ind w:firstLine="540"/>
        <w:jc w:val="both"/>
      </w:pPr>
      <w:r>
        <w:rPr>
          <w:sz w:val="20"/>
        </w:rPr>
        <w:t xml:space="preserve">В 2022 году в городе Севастополе впервые в жизни выявлено 2859 случаев злокачественных новообразований (в том числе 1208 и 1651 среди населения мужского и женского пола соответственно, 2021 год - 2507 случаев), наблюдается рост количества выявленных случаев на 14%, показатель заболеваемости (грубый) вырос на 11%.</w:t>
      </w:r>
    </w:p>
    <w:p>
      <w:pPr>
        <w:pStyle w:val="0"/>
        <w:jc w:val="both"/>
      </w:pPr>
      <w:r>
        <w:rPr>
          <w:sz w:val="20"/>
        </w:rPr>
      </w:r>
    </w:p>
    <w:p>
      <w:pPr>
        <w:pStyle w:val="0"/>
        <w:jc w:val="right"/>
      </w:pPr>
      <w:r>
        <w:rPr>
          <w:sz w:val="20"/>
        </w:rPr>
        <w:t xml:space="preserve">Диаграмма N 1</w:t>
      </w:r>
    </w:p>
    <w:p>
      <w:pPr>
        <w:pStyle w:val="0"/>
        <w:jc w:val="right"/>
      </w:pPr>
      <w:r>
        <w:rPr>
          <w:sz w:val="20"/>
        </w:rPr>
      </w:r>
    </w:p>
    <w:p>
      <w:pPr>
        <w:pStyle w:val="0"/>
        <w:jc w:val="center"/>
      </w:pPr>
      <w:r>
        <w:rPr>
          <w:sz w:val="20"/>
        </w:rPr>
        <w:t xml:space="preserve">Динамика заболеваемости злокачественными новообразованиями</w:t>
      </w:r>
    </w:p>
    <w:p>
      <w:pPr>
        <w:pStyle w:val="0"/>
        <w:jc w:val="center"/>
      </w:pPr>
      <w:r>
        <w:rPr>
          <w:sz w:val="20"/>
        </w:rPr>
        <w:t xml:space="preserve">населения города Севастополя в период 2017 - 2021 годов</w:t>
      </w:r>
    </w:p>
    <w:p>
      <w:pPr>
        <w:pStyle w:val="0"/>
        <w:jc w:val="center"/>
      </w:pPr>
      <w:r>
        <w:rPr>
          <w:sz w:val="20"/>
        </w:rPr>
        <w:t xml:space="preserve">(на 100 тыс. населения)</w:t>
      </w:r>
    </w:p>
    <w:p>
      <w:pPr>
        <w:pStyle w:val="0"/>
        <w:jc w:val="center"/>
      </w:pPr>
      <w:r>
        <w:rPr>
          <w:sz w:val="20"/>
        </w:rPr>
      </w:r>
    </w:p>
    <w:p>
      <w:pPr>
        <w:pStyle w:val="0"/>
        <w:jc w:val="center"/>
      </w:pPr>
      <w:r>
        <w:rPr>
          <w:position w:val="-163"/>
        </w:rPr>
        <w:drawing>
          <wp:inline distT="0" distB="0" distL="0" distR="0">
            <wp:extent cx="3961765" cy="2206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a:extLst>
                        <a:ext uri="{28A0092B-C50C-407E-A947-70E740481C1C}">
                          <a14:useLocalDpi xmlns:a14="http://schemas.microsoft.com/office/drawing/2010/main" val="0"/>
                        </a:ext>
                      </a:extLst>
                    </a:blip>
                    <a:srcRect/>
                    <a:stretch>
                      <a:fillRect/>
                    </a:stretch>
                  </pic:blipFill>
                  <pic:spPr bwMode="auto">
                    <a:xfrm>
                      <a:off x="0" y="0"/>
                      <a:ext cx="3961765" cy="22066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В городе Севастополе в течение последних 5 лет наблюдается рост онкологической заболеваемости на 19%. Показатель заболеваемости по городу Севастополю в 2022 году составил 547,8 на 100 тыс. населения, что на 38% выше среднего показателя по Российской Федерации (396,3 на 100 тыс. населения).</w:t>
      </w:r>
    </w:p>
    <w:p>
      <w:pPr>
        <w:pStyle w:val="0"/>
        <w:jc w:val="right"/>
      </w:pPr>
      <w:r>
        <w:rPr>
          <w:sz w:val="20"/>
        </w:rPr>
      </w:r>
    </w:p>
    <w:p>
      <w:pPr>
        <w:pStyle w:val="0"/>
        <w:jc w:val="right"/>
      </w:pPr>
      <w:r>
        <w:rPr>
          <w:sz w:val="20"/>
        </w:rPr>
        <w:t xml:space="preserve">Диаграмма N 2</w:t>
      </w:r>
    </w:p>
    <w:p>
      <w:pPr>
        <w:pStyle w:val="0"/>
        <w:jc w:val="center"/>
      </w:pPr>
      <w:r>
        <w:rPr>
          <w:sz w:val="20"/>
        </w:rPr>
      </w:r>
    </w:p>
    <w:p>
      <w:pPr>
        <w:pStyle w:val="0"/>
        <w:jc w:val="center"/>
      </w:pPr>
      <w:r>
        <w:rPr>
          <w:sz w:val="20"/>
        </w:rPr>
        <w:t xml:space="preserve">Динамика заболеваемости злокачественными новообразованиями</w:t>
      </w:r>
    </w:p>
    <w:p>
      <w:pPr>
        <w:pStyle w:val="0"/>
        <w:jc w:val="center"/>
      </w:pPr>
      <w:r>
        <w:rPr>
          <w:sz w:val="20"/>
        </w:rPr>
        <w:t xml:space="preserve">среди мужчин и женщин в период 2017 - 2022 годов</w:t>
      </w:r>
    </w:p>
    <w:p>
      <w:pPr>
        <w:pStyle w:val="0"/>
        <w:jc w:val="center"/>
      </w:pPr>
      <w:r>
        <w:rPr>
          <w:sz w:val="20"/>
        </w:rPr>
        <w:t xml:space="preserve">(на 100 тыс. населения)</w:t>
      </w:r>
    </w:p>
    <w:p>
      <w:pPr>
        <w:pStyle w:val="0"/>
        <w:jc w:val="center"/>
      </w:pPr>
      <w:r>
        <w:rPr>
          <w:sz w:val="20"/>
        </w:rPr>
      </w:r>
    </w:p>
    <w:p>
      <w:pPr>
        <w:pStyle w:val="0"/>
        <w:jc w:val="center"/>
      </w:pPr>
      <w:r>
        <w:rPr>
          <w:position w:val="-159"/>
        </w:rPr>
        <w:drawing>
          <wp:inline distT="0" distB="0" distL="0" distR="0">
            <wp:extent cx="3961765" cy="2157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a:extLst>
                        <a:ext uri="{28A0092B-C50C-407E-A947-70E740481C1C}">
                          <a14:useLocalDpi xmlns:a14="http://schemas.microsoft.com/office/drawing/2010/main" val="0"/>
                        </a:ext>
                      </a:extLst>
                    </a:blip>
                    <a:srcRect/>
                    <a:stretch>
                      <a:fillRect/>
                    </a:stretch>
                  </pic:blipFill>
                  <pic:spPr bwMode="auto">
                    <a:xfrm>
                      <a:off x="0" y="0"/>
                      <a:ext cx="3961765" cy="21577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В динамике за 5 лет наблюдается рост онкологической заболеваемости как у мужчин (на 17%), так и у женщин (на 21%).</w:t>
      </w:r>
    </w:p>
    <w:p>
      <w:pPr>
        <w:pStyle w:val="0"/>
        <w:spacing w:before="200" w:line-rule="auto"/>
        <w:ind w:firstLine="540"/>
        <w:jc w:val="both"/>
      </w:pPr>
      <w:r>
        <w:rPr>
          <w:sz w:val="20"/>
        </w:rPr>
        <w:t xml:space="preserve">В структуре заболеваемости первое место занимают злокачественные новообразования кожи (24,2%), второе - заболевания молочной железы (13,5%), третье - заболевания предстательной железы (6,7%).</w:t>
      </w:r>
    </w:p>
    <w:p>
      <w:pPr>
        <w:pStyle w:val="0"/>
        <w:jc w:val="right"/>
      </w:pPr>
      <w:r>
        <w:rPr>
          <w:sz w:val="20"/>
        </w:rPr>
      </w:r>
    </w:p>
    <w:p>
      <w:pPr>
        <w:pStyle w:val="0"/>
        <w:jc w:val="right"/>
      </w:pPr>
      <w:r>
        <w:rPr>
          <w:sz w:val="20"/>
        </w:rPr>
        <w:t xml:space="preserve">Диаграмма N 3</w:t>
      </w:r>
    </w:p>
    <w:p>
      <w:pPr>
        <w:pStyle w:val="0"/>
        <w:jc w:val="center"/>
      </w:pPr>
      <w:r>
        <w:rPr>
          <w:sz w:val="20"/>
        </w:rPr>
      </w:r>
    </w:p>
    <w:p>
      <w:pPr>
        <w:pStyle w:val="0"/>
        <w:jc w:val="center"/>
      </w:pPr>
      <w:r>
        <w:rPr>
          <w:sz w:val="20"/>
        </w:rPr>
        <w:t xml:space="preserve">Структура онкологической заболеваемости</w:t>
      </w:r>
    </w:p>
    <w:p>
      <w:pPr>
        <w:pStyle w:val="0"/>
        <w:jc w:val="center"/>
      </w:pPr>
      <w:r>
        <w:rPr>
          <w:sz w:val="20"/>
        </w:rPr>
        <w:t xml:space="preserve">в городе Севастополе в 2022 году</w:t>
      </w:r>
    </w:p>
    <w:p>
      <w:pPr>
        <w:pStyle w:val="0"/>
        <w:jc w:val="center"/>
      </w:pPr>
      <w:r>
        <w:rPr>
          <w:sz w:val="20"/>
        </w:rPr>
      </w:r>
    </w:p>
    <w:p>
      <w:pPr>
        <w:pStyle w:val="0"/>
        <w:jc w:val="center"/>
      </w:pPr>
      <w:r>
        <w:rPr>
          <w:position w:val="-203"/>
        </w:rPr>
        <w:drawing>
          <wp:inline distT="0" distB="0" distL="0" distR="0">
            <wp:extent cx="3963035" cy="2707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3963035" cy="270700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В структуре заболеваемости у мужчин первое место занимают злокачественные новообразования кожи (20,1%), второе - заболевания предстательной железы (15,3%), далее - злокачественные новообразования легкого, бронхов и трахеи (8,1%).</w:t>
      </w:r>
    </w:p>
    <w:p>
      <w:pPr>
        <w:pStyle w:val="0"/>
        <w:jc w:val="right"/>
      </w:pPr>
      <w:r>
        <w:rPr>
          <w:sz w:val="20"/>
        </w:rPr>
      </w:r>
    </w:p>
    <w:p>
      <w:pPr>
        <w:pStyle w:val="0"/>
        <w:jc w:val="right"/>
      </w:pPr>
      <w:r>
        <w:rPr>
          <w:sz w:val="20"/>
        </w:rPr>
        <w:t xml:space="preserve">Диаграмма N 4</w:t>
      </w:r>
    </w:p>
    <w:p>
      <w:pPr>
        <w:pStyle w:val="0"/>
        <w:ind w:firstLine="540"/>
        <w:jc w:val="both"/>
      </w:pPr>
      <w:r>
        <w:rPr>
          <w:sz w:val="20"/>
        </w:rPr>
      </w:r>
    </w:p>
    <w:p>
      <w:pPr>
        <w:pStyle w:val="0"/>
        <w:jc w:val="center"/>
      </w:pPr>
      <w:r>
        <w:rPr>
          <w:sz w:val="20"/>
        </w:rPr>
        <w:t xml:space="preserve">Структура онкологической заболеваемости у мужчин</w:t>
      </w:r>
    </w:p>
    <w:p>
      <w:pPr>
        <w:pStyle w:val="0"/>
        <w:jc w:val="center"/>
      </w:pPr>
      <w:r>
        <w:rPr>
          <w:sz w:val="20"/>
        </w:rPr>
        <w:t xml:space="preserve">в городе Севастополе в 2022 году</w:t>
      </w:r>
    </w:p>
    <w:p>
      <w:pPr>
        <w:pStyle w:val="0"/>
        <w:jc w:val="center"/>
      </w:pPr>
      <w:r>
        <w:rPr>
          <w:sz w:val="20"/>
        </w:rPr>
      </w:r>
    </w:p>
    <w:p>
      <w:pPr>
        <w:pStyle w:val="0"/>
        <w:jc w:val="center"/>
      </w:pPr>
      <w:r>
        <w:rPr>
          <w:position w:val="-207"/>
        </w:rPr>
        <w:drawing>
          <wp:inline distT="0" distB="0" distL="0" distR="0">
            <wp:extent cx="3961765" cy="27609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a:extLst>
                        <a:ext uri="{28A0092B-C50C-407E-A947-70E740481C1C}">
                          <a14:useLocalDpi xmlns:a14="http://schemas.microsoft.com/office/drawing/2010/main" val="0"/>
                        </a:ext>
                      </a:extLst>
                    </a:blip>
                    <a:srcRect/>
                    <a:stretch>
                      <a:fillRect/>
                    </a:stretch>
                  </pic:blipFill>
                  <pic:spPr bwMode="auto">
                    <a:xfrm>
                      <a:off x="0" y="0"/>
                      <a:ext cx="3961765" cy="276098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В структуре заболеваемости у женщин первое место занимают злокачественные новообразования кожи (23,1%), второе - заболевания молочной железы (21,5%), далее - злокачественные новообразования женских половых органов (14,6%).</w:t>
      </w:r>
    </w:p>
    <w:p>
      <w:pPr>
        <w:pStyle w:val="0"/>
        <w:jc w:val="right"/>
      </w:pPr>
      <w:r>
        <w:rPr>
          <w:sz w:val="20"/>
        </w:rPr>
      </w:r>
    </w:p>
    <w:p>
      <w:pPr>
        <w:pStyle w:val="0"/>
        <w:jc w:val="right"/>
      </w:pPr>
      <w:r>
        <w:rPr>
          <w:sz w:val="20"/>
        </w:rPr>
        <w:t xml:space="preserve">Диаграмма N 5</w:t>
      </w:r>
    </w:p>
    <w:p>
      <w:pPr>
        <w:pStyle w:val="0"/>
        <w:ind w:firstLine="540"/>
        <w:jc w:val="both"/>
      </w:pPr>
      <w:r>
        <w:rPr>
          <w:sz w:val="20"/>
        </w:rPr>
      </w:r>
    </w:p>
    <w:p>
      <w:pPr>
        <w:pStyle w:val="0"/>
        <w:jc w:val="center"/>
      </w:pPr>
      <w:r>
        <w:rPr>
          <w:sz w:val="20"/>
        </w:rPr>
        <w:t xml:space="preserve">Структура онкологической заболеваемости у женщин</w:t>
      </w:r>
    </w:p>
    <w:p>
      <w:pPr>
        <w:pStyle w:val="0"/>
        <w:jc w:val="center"/>
      </w:pPr>
      <w:r>
        <w:rPr>
          <w:sz w:val="20"/>
        </w:rPr>
        <w:t xml:space="preserve">в городе Севастополе в 2022 году</w:t>
      </w:r>
    </w:p>
    <w:p>
      <w:pPr>
        <w:pStyle w:val="0"/>
        <w:jc w:val="center"/>
      </w:pPr>
      <w:r>
        <w:rPr>
          <w:sz w:val="20"/>
        </w:rPr>
      </w:r>
    </w:p>
    <w:p>
      <w:pPr>
        <w:pStyle w:val="0"/>
        <w:jc w:val="center"/>
      </w:pPr>
      <w:r>
        <w:rPr>
          <w:position w:val="-226"/>
        </w:rPr>
        <w:drawing>
          <wp:inline distT="0" distB="0" distL="0" distR="0">
            <wp:extent cx="3961765" cy="2999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a:extLst>
                        <a:ext uri="{28A0092B-C50C-407E-A947-70E740481C1C}">
                          <a14:useLocalDpi xmlns:a14="http://schemas.microsoft.com/office/drawing/2010/main" val="0"/>
                        </a:ext>
                      </a:extLst>
                    </a:blip>
                    <a:srcRect/>
                    <a:stretch>
                      <a:fillRect/>
                    </a:stretch>
                  </pic:blipFill>
                  <pic:spPr bwMode="auto">
                    <a:xfrm>
                      <a:off x="0" y="0"/>
                      <a:ext cx="3961765" cy="2999105"/>
                    </a:xfrm>
                    <a:prstGeom prst="rect">
                      <a:avLst/>
                    </a:prstGeom>
                    <a:noFill/>
                    <a:ln>
                      <a:noFill/>
                    </a:ln>
                  </pic:spPr>
                </pic:pic>
              </a:graphicData>
            </a:graphic>
          </wp:inline>
        </w:drawing>
      </w:r>
    </w:p>
    <w:p>
      <w:pPr>
        <w:pStyle w:val="0"/>
        <w:jc w:val="center"/>
      </w:pPr>
      <w:r>
        <w:rPr>
          <w:sz w:val="20"/>
        </w:rPr>
      </w:r>
    </w:p>
    <w:p>
      <w:pPr>
        <w:pStyle w:val="0"/>
        <w:jc w:val="right"/>
      </w:pPr>
      <w:r>
        <w:rPr>
          <w:sz w:val="20"/>
        </w:rPr>
        <w:t xml:space="preserve">Таблица N 4</w:t>
      </w:r>
    </w:p>
    <w:p>
      <w:pPr>
        <w:pStyle w:val="0"/>
        <w:ind w:firstLine="540"/>
        <w:jc w:val="both"/>
      </w:pPr>
      <w:r>
        <w:rPr>
          <w:sz w:val="20"/>
        </w:rPr>
      </w:r>
    </w:p>
    <w:p>
      <w:pPr>
        <w:pStyle w:val="0"/>
        <w:jc w:val="center"/>
      </w:pPr>
      <w:r>
        <w:rPr>
          <w:sz w:val="20"/>
        </w:rPr>
        <w:t xml:space="preserve">Впервые выявленные случаи злокачественных новообразований</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963"/>
        <w:gridCol w:w="963"/>
        <w:gridCol w:w="1247"/>
        <w:gridCol w:w="963"/>
        <w:gridCol w:w="963"/>
        <w:gridCol w:w="1247"/>
      </w:tblGrid>
      <w:tr>
        <w:tc>
          <w:tcPr>
            <w:tcW w:w="2721" w:type="dxa"/>
            <w:vMerge w:val="restart"/>
          </w:tcPr>
          <w:p>
            <w:pPr>
              <w:pStyle w:val="0"/>
              <w:jc w:val="center"/>
            </w:pPr>
            <w:r>
              <w:rPr>
                <w:sz w:val="20"/>
              </w:rPr>
              <w:t xml:space="preserve">Наименование</w:t>
            </w:r>
          </w:p>
        </w:tc>
        <w:tc>
          <w:tcPr>
            <w:gridSpan w:val="2"/>
            <w:tcW w:w="1926" w:type="dxa"/>
          </w:tcPr>
          <w:p>
            <w:pPr>
              <w:pStyle w:val="0"/>
              <w:jc w:val="center"/>
            </w:pPr>
            <w:r>
              <w:rPr>
                <w:sz w:val="20"/>
              </w:rPr>
              <w:t xml:space="preserve">2020</w:t>
            </w:r>
          </w:p>
        </w:tc>
        <w:tc>
          <w:tcPr>
            <w:gridSpan w:val="2"/>
            <w:tcW w:w="2210" w:type="dxa"/>
          </w:tcPr>
          <w:p>
            <w:pPr>
              <w:pStyle w:val="0"/>
              <w:jc w:val="center"/>
            </w:pPr>
            <w:r>
              <w:rPr>
                <w:sz w:val="20"/>
              </w:rPr>
              <w:t xml:space="preserve">2021</w:t>
            </w:r>
          </w:p>
        </w:tc>
        <w:tc>
          <w:tcPr>
            <w:gridSpan w:val="2"/>
            <w:tcW w:w="2210" w:type="dxa"/>
          </w:tcPr>
          <w:p>
            <w:pPr>
              <w:pStyle w:val="0"/>
              <w:jc w:val="center"/>
            </w:pPr>
            <w:r>
              <w:rPr>
                <w:sz w:val="20"/>
              </w:rPr>
              <w:t xml:space="preserve">2022</w:t>
            </w:r>
          </w:p>
        </w:tc>
      </w:tr>
      <w:tr>
        <w:tc>
          <w:tcPr>
            <w:vMerge w:val="continue"/>
          </w:tcPr>
          <w:p/>
        </w:tc>
        <w:tc>
          <w:tcPr>
            <w:tcW w:w="963" w:type="dxa"/>
          </w:tcPr>
          <w:p>
            <w:pPr>
              <w:pStyle w:val="0"/>
              <w:jc w:val="center"/>
            </w:pPr>
            <w:r>
              <w:rPr>
                <w:sz w:val="20"/>
              </w:rPr>
              <w:t xml:space="preserve">Абс.</w:t>
            </w:r>
          </w:p>
        </w:tc>
        <w:tc>
          <w:tcPr>
            <w:tcW w:w="963" w:type="dxa"/>
          </w:tcPr>
          <w:p>
            <w:pPr>
              <w:pStyle w:val="0"/>
              <w:jc w:val="center"/>
            </w:pPr>
            <w:r>
              <w:rPr>
                <w:sz w:val="20"/>
              </w:rPr>
              <w:t xml:space="preserve">Доля, %</w:t>
            </w:r>
          </w:p>
        </w:tc>
        <w:tc>
          <w:tcPr>
            <w:tcW w:w="1247" w:type="dxa"/>
          </w:tcPr>
          <w:p>
            <w:pPr>
              <w:pStyle w:val="0"/>
              <w:jc w:val="center"/>
            </w:pPr>
            <w:r>
              <w:rPr>
                <w:sz w:val="20"/>
              </w:rPr>
              <w:t xml:space="preserve">Абс.</w:t>
            </w:r>
          </w:p>
        </w:tc>
        <w:tc>
          <w:tcPr>
            <w:tcW w:w="963" w:type="dxa"/>
          </w:tcPr>
          <w:p>
            <w:pPr>
              <w:pStyle w:val="0"/>
              <w:jc w:val="center"/>
            </w:pPr>
            <w:r>
              <w:rPr>
                <w:sz w:val="20"/>
              </w:rPr>
              <w:t xml:space="preserve">Доля, %</w:t>
            </w:r>
          </w:p>
        </w:tc>
        <w:tc>
          <w:tcPr>
            <w:tcW w:w="963" w:type="dxa"/>
          </w:tcPr>
          <w:p>
            <w:pPr>
              <w:pStyle w:val="0"/>
              <w:jc w:val="center"/>
            </w:pPr>
            <w:r>
              <w:rPr>
                <w:sz w:val="20"/>
              </w:rPr>
              <w:t xml:space="preserve">Абс.</w:t>
            </w:r>
          </w:p>
        </w:tc>
        <w:tc>
          <w:tcPr>
            <w:tcW w:w="1247" w:type="dxa"/>
          </w:tcPr>
          <w:p>
            <w:pPr>
              <w:pStyle w:val="0"/>
              <w:jc w:val="center"/>
            </w:pPr>
            <w:r>
              <w:rPr>
                <w:sz w:val="20"/>
              </w:rPr>
              <w:t xml:space="preserve">Доля, %</w:t>
            </w:r>
          </w:p>
        </w:tc>
      </w:tr>
      <w:tr>
        <w:tc>
          <w:tcPr>
            <w:tcW w:w="2721" w:type="dxa"/>
          </w:tcPr>
          <w:p>
            <w:pPr>
              <w:pStyle w:val="0"/>
              <w:jc w:val="both"/>
            </w:pPr>
            <w:r>
              <w:rPr>
                <w:sz w:val="20"/>
              </w:rPr>
              <w:t xml:space="preserve">Всего</w:t>
            </w:r>
          </w:p>
        </w:tc>
        <w:tc>
          <w:tcPr>
            <w:tcW w:w="963" w:type="dxa"/>
          </w:tcPr>
          <w:p>
            <w:pPr>
              <w:pStyle w:val="0"/>
              <w:jc w:val="center"/>
            </w:pPr>
            <w:r>
              <w:rPr>
                <w:sz w:val="20"/>
              </w:rPr>
              <w:t xml:space="preserve">2358</w:t>
            </w:r>
          </w:p>
        </w:tc>
        <w:tc>
          <w:tcPr>
            <w:tcW w:w="963" w:type="dxa"/>
          </w:tcPr>
          <w:p>
            <w:pPr>
              <w:pStyle w:val="0"/>
              <w:jc w:val="center"/>
            </w:pPr>
            <w:r>
              <w:rPr>
                <w:sz w:val="20"/>
              </w:rPr>
              <w:t xml:space="preserve">100</w:t>
            </w:r>
          </w:p>
        </w:tc>
        <w:tc>
          <w:tcPr>
            <w:tcW w:w="1247" w:type="dxa"/>
          </w:tcPr>
          <w:p>
            <w:pPr>
              <w:pStyle w:val="0"/>
              <w:jc w:val="center"/>
            </w:pPr>
            <w:r>
              <w:rPr>
                <w:sz w:val="20"/>
              </w:rPr>
              <w:t xml:space="preserve">2507</w:t>
            </w:r>
          </w:p>
        </w:tc>
        <w:tc>
          <w:tcPr>
            <w:tcW w:w="963" w:type="dxa"/>
          </w:tcPr>
          <w:p>
            <w:pPr>
              <w:pStyle w:val="0"/>
              <w:jc w:val="center"/>
            </w:pPr>
            <w:r>
              <w:rPr>
                <w:sz w:val="20"/>
              </w:rPr>
              <w:t xml:space="preserve">100</w:t>
            </w:r>
          </w:p>
        </w:tc>
        <w:tc>
          <w:tcPr>
            <w:tcW w:w="963" w:type="dxa"/>
          </w:tcPr>
          <w:p>
            <w:pPr>
              <w:pStyle w:val="0"/>
              <w:jc w:val="center"/>
            </w:pPr>
            <w:r>
              <w:rPr>
                <w:sz w:val="20"/>
              </w:rPr>
              <w:t xml:space="preserve">2859</w:t>
            </w:r>
          </w:p>
        </w:tc>
        <w:tc>
          <w:tcPr>
            <w:tcW w:w="1247" w:type="dxa"/>
          </w:tcPr>
          <w:p>
            <w:pPr>
              <w:pStyle w:val="0"/>
              <w:jc w:val="center"/>
            </w:pPr>
            <w:r>
              <w:rPr>
                <w:sz w:val="20"/>
              </w:rPr>
              <w:t xml:space="preserve">100</w:t>
            </w:r>
          </w:p>
        </w:tc>
      </w:tr>
      <w:tr>
        <w:tc>
          <w:tcPr>
            <w:tcW w:w="2721" w:type="dxa"/>
          </w:tcPr>
          <w:p>
            <w:pPr>
              <w:pStyle w:val="0"/>
              <w:jc w:val="both"/>
            </w:pPr>
            <w:r>
              <w:rPr>
                <w:sz w:val="20"/>
              </w:rPr>
              <w:t xml:space="preserve">Новообразования кожи</w:t>
            </w:r>
          </w:p>
        </w:tc>
        <w:tc>
          <w:tcPr>
            <w:tcW w:w="963" w:type="dxa"/>
          </w:tcPr>
          <w:p>
            <w:pPr>
              <w:pStyle w:val="0"/>
              <w:jc w:val="center"/>
            </w:pPr>
            <w:r>
              <w:rPr>
                <w:sz w:val="20"/>
              </w:rPr>
              <w:t xml:space="preserve">421</w:t>
            </w:r>
          </w:p>
        </w:tc>
        <w:tc>
          <w:tcPr>
            <w:tcW w:w="963" w:type="dxa"/>
          </w:tcPr>
          <w:p>
            <w:pPr>
              <w:pStyle w:val="0"/>
              <w:jc w:val="center"/>
            </w:pPr>
            <w:r>
              <w:rPr>
                <w:sz w:val="20"/>
              </w:rPr>
              <w:t xml:space="preserve">17,9</w:t>
            </w:r>
          </w:p>
        </w:tc>
        <w:tc>
          <w:tcPr>
            <w:tcW w:w="1247" w:type="dxa"/>
          </w:tcPr>
          <w:p>
            <w:pPr>
              <w:pStyle w:val="0"/>
              <w:jc w:val="center"/>
            </w:pPr>
            <w:r>
              <w:rPr>
                <w:sz w:val="20"/>
              </w:rPr>
              <w:t xml:space="preserve">469</w:t>
            </w:r>
          </w:p>
        </w:tc>
        <w:tc>
          <w:tcPr>
            <w:tcW w:w="963" w:type="dxa"/>
          </w:tcPr>
          <w:p>
            <w:pPr>
              <w:pStyle w:val="0"/>
              <w:jc w:val="center"/>
            </w:pPr>
            <w:r>
              <w:rPr>
                <w:sz w:val="20"/>
              </w:rPr>
              <w:t xml:space="preserve">18,7</w:t>
            </w:r>
          </w:p>
        </w:tc>
        <w:tc>
          <w:tcPr>
            <w:tcW w:w="963" w:type="dxa"/>
          </w:tcPr>
          <w:p>
            <w:pPr>
              <w:pStyle w:val="0"/>
              <w:jc w:val="center"/>
            </w:pPr>
            <w:r>
              <w:rPr>
                <w:sz w:val="20"/>
              </w:rPr>
              <w:t xml:space="preserve">625</w:t>
            </w:r>
          </w:p>
        </w:tc>
        <w:tc>
          <w:tcPr>
            <w:tcW w:w="1247" w:type="dxa"/>
          </w:tcPr>
          <w:p>
            <w:pPr>
              <w:pStyle w:val="0"/>
              <w:jc w:val="center"/>
            </w:pPr>
            <w:r>
              <w:rPr>
                <w:sz w:val="20"/>
              </w:rPr>
              <w:t xml:space="preserve">21,8</w:t>
            </w:r>
          </w:p>
        </w:tc>
      </w:tr>
      <w:tr>
        <w:tc>
          <w:tcPr>
            <w:tcW w:w="2721" w:type="dxa"/>
          </w:tcPr>
          <w:p>
            <w:pPr>
              <w:pStyle w:val="0"/>
              <w:jc w:val="both"/>
            </w:pPr>
            <w:r>
              <w:rPr>
                <w:sz w:val="20"/>
              </w:rPr>
              <w:t xml:space="preserve">Молочная железа</w:t>
            </w:r>
          </w:p>
        </w:tc>
        <w:tc>
          <w:tcPr>
            <w:tcW w:w="963" w:type="dxa"/>
          </w:tcPr>
          <w:p>
            <w:pPr>
              <w:pStyle w:val="0"/>
              <w:jc w:val="center"/>
            </w:pPr>
            <w:r>
              <w:rPr>
                <w:sz w:val="20"/>
              </w:rPr>
              <w:t xml:space="preserve">256</w:t>
            </w:r>
          </w:p>
        </w:tc>
        <w:tc>
          <w:tcPr>
            <w:tcW w:w="963" w:type="dxa"/>
          </w:tcPr>
          <w:p>
            <w:pPr>
              <w:pStyle w:val="0"/>
              <w:jc w:val="center"/>
            </w:pPr>
            <w:r>
              <w:rPr>
                <w:sz w:val="20"/>
              </w:rPr>
              <w:t xml:space="preserve">10,9</w:t>
            </w:r>
          </w:p>
        </w:tc>
        <w:tc>
          <w:tcPr>
            <w:tcW w:w="1247" w:type="dxa"/>
          </w:tcPr>
          <w:p>
            <w:pPr>
              <w:pStyle w:val="0"/>
              <w:jc w:val="center"/>
            </w:pPr>
            <w:r>
              <w:rPr>
                <w:sz w:val="20"/>
              </w:rPr>
              <w:t xml:space="preserve">317</w:t>
            </w:r>
          </w:p>
        </w:tc>
        <w:tc>
          <w:tcPr>
            <w:tcW w:w="963" w:type="dxa"/>
          </w:tcPr>
          <w:p>
            <w:pPr>
              <w:pStyle w:val="0"/>
              <w:jc w:val="center"/>
            </w:pPr>
            <w:r>
              <w:rPr>
                <w:sz w:val="20"/>
              </w:rPr>
              <w:t xml:space="preserve">12,6</w:t>
            </w:r>
          </w:p>
        </w:tc>
        <w:tc>
          <w:tcPr>
            <w:tcW w:w="963" w:type="dxa"/>
          </w:tcPr>
          <w:p>
            <w:pPr>
              <w:pStyle w:val="0"/>
              <w:jc w:val="center"/>
            </w:pPr>
            <w:r>
              <w:rPr>
                <w:sz w:val="20"/>
              </w:rPr>
              <w:t xml:space="preserve">357</w:t>
            </w:r>
          </w:p>
        </w:tc>
        <w:tc>
          <w:tcPr>
            <w:tcW w:w="1247" w:type="dxa"/>
          </w:tcPr>
          <w:p>
            <w:pPr>
              <w:pStyle w:val="0"/>
              <w:jc w:val="center"/>
            </w:pPr>
            <w:r>
              <w:rPr>
                <w:sz w:val="20"/>
              </w:rPr>
              <w:t xml:space="preserve">12,5</w:t>
            </w:r>
          </w:p>
        </w:tc>
      </w:tr>
      <w:tr>
        <w:tc>
          <w:tcPr>
            <w:tcW w:w="2721" w:type="dxa"/>
          </w:tcPr>
          <w:p>
            <w:pPr>
              <w:pStyle w:val="0"/>
              <w:jc w:val="both"/>
            </w:pPr>
            <w:r>
              <w:rPr>
                <w:sz w:val="20"/>
              </w:rPr>
              <w:t xml:space="preserve">Предстательная железа</w:t>
            </w:r>
          </w:p>
        </w:tc>
        <w:tc>
          <w:tcPr>
            <w:tcW w:w="963" w:type="dxa"/>
          </w:tcPr>
          <w:p>
            <w:pPr>
              <w:pStyle w:val="0"/>
              <w:jc w:val="center"/>
            </w:pPr>
            <w:r>
              <w:rPr>
                <w:sz w:val="20"/>
              </w:rPr>
              <w:t xml:space="preserve">181</w:t>
            </w:r>
          </w:p>
        </w:tc>
        <w:tc>
          <w:tcPr>
            <w:tcW w:w="963" w:type="dxa"/>
          </w:tcPr>
          <w:p>
            <w:pPr>
              <w:pStyle w:val="0"/>
              <w:jc w:val="center"/>
            </w:pPr>
            <w:r>
              <w:rPr>
                <w:sz w:val="20"/>
              </w:rPr>
              <w:t xml:space="preserve">7,7</w:t>
            </w:r>
          </w:p>
        </w:tc>
        <w:tc>
          <w:tcPr>
            <w:tcW w:w="1247" w:type="dxa"/>
          </w:tcPr>
          <w:p>
            <w:pPr>
              <w:pStyle w:val="0"/>
              <w:jc w:val="center"/>
            </w:pPr>
            <w:r>
              <w:rPr>
                <w:sz w:val="20"/>
              </w:rPr>
              <w:t xml:space="preserve">200</w:t>
            </w:r>
          </w:p>
        </w:tc>
        <w:tc>
          <w:tcPr>
            <w:tcW w:w="963" w:type="dxa"/>
          </w:tcPr>
          <w:p>
            <w:pPr>
              <w:pStyle w:val="0"/>
              <w:jc w:val="center"/>
            </w:pPr>
            <w:r>
              <w:rPr>
                <w:sz w:val="20"/>
              </w:rPr>
              <w:t xml:space="preserve">8,0</w:t>
            </w:r>
          </w:p>
        </w:tc>
        <w:tc>
          <w:tcPr>
            <w:tcW w:w="963" w:type="dxa"/>
          </w:tcPr>
          <w:p>
            <w:pPr>
              <w:pStyle w:val="0"/>
              <w:jc w:val="center"/>
            </w:pPr>
            <w:r>
              <w:rPr>
                <w:sz w:val="20"/>
              </w:rPr>
              <w:t xml:space="preserve">185</w:t>
            </w:r>
          </w:p>
        </w:tc>
        <w:tc>
          <w:tcPr>
            <w:tcW w:w="1247" w:type="dxa"/>
          </w:tcPr>
          <w:p>
            <w:pPr>
              <w:pStyle w:val="0"/>
              <w:jc w:val="center"/>
            </w:pPr>
            <w:r>
              <w:rPr>
                <w:sz w:val="20"/>
              </w:rPr>
              <w:t xml:space="preserve">6,5</w:t>
            </w:r>
          </w:p>
        </w:tc>
      </w:tr>
      <w:tr>
        <w:tc>
          <w:tcPr>
            <w:tcW w:w="2721" w:type="dxa"/>
          </w:tcPr>
          <w:p>
            <w:pPr>
              <w:pStyle w:val="0"/>
              <w:jc w:val="both"/>
            </w:pPr>
            <w:r>
              <w:rPr>
                <w:sz w:val="20"/>
              </w:rPr>
              <w:t xml:space="preserve">Ободочная кишка</w:t>
            </w:r>
          </w:p>
        </w:tc>
        <w:tc>
          <w:tcPr>
            <w:tcW w:w="963" w:type="dxa"/>
          </w:tcPr>
          <w:p>
            <w:pPr>
              <w:pStyle w:val="0"/>
              <w:jc w:val="center"/>
            </w:pPr>
            <w:r>
              <w:rPr>
                <w:sz w:val="20"/>
              </w:rPr>
              <w:t xml:space="preserve">219</w:t>
            </w:r>
          </w:p>
        </w:tc>
        <w:tc>
          <w:tcPr>
            <w:tcW w:w="963" w:type="dxa"/>
          </w:tcPr>
          <w:p>
            <w:pPr>
              <w:pStyle w:val="0"/>
              <w:jc w:val="center"/>
            </w:pPr>
            <w:r>
              <w:rPr>
                <w:sz w:val="20"/>
              </w:rPr>
              <w:t xml:space="preserve">9,3</w:t>
            </w:r>
          </w:p>
        </w:tc>
        <w:tc>
          <w:tcPr>
            <w:tcW w:w="1247" w:type="dxa"/>
          </w:tcPr>
          <w:p>
            <w:pPr>
              <w:pStyle w:val="0"/>
              <w:jc w:val="center"/>
            </w:pPr>
            <w:r>
              <w:rPr>
                <w:sz w:val="20"/>
              </w:rPr>
              <w:t xml:space="preserve">181</w:t>
            </w:r>
          </w:p>
        </w:tc>
        <w:tc>
          <w:tcPr>
            <w:tcW w:w="963" w:type="dxa"/>
          </w:tcPr>
          <w:p>
            <w:pPr>
              <w:pStyle w:val="0"/>
              <w:jc w:val="center"/>
            </w:pPr>
            <w:r>
              <w:rPr>
                <w:sz w:val="20"/>
              </w:rPr>
              <w:t xml:space="preserve">7,2</w:t>
            </w:r>
          </w:p>
        </w:tc>
        <w:tc>
          <w:tcPr>
            <w:tcW w:w="963" w:type="dxa"/>
          </w:tcPr>
          <w:p>
            <w:pPr>
              <w:pStyle w:val="0"/>
              <w:jc w:val="center"/>
            </w:pPr>
            <w:r>
              <w:rPr>
                <w:sz w:val="20"/>
              </w:rPr>
              <w:t xml:space="preserve">197</w:t>
            </w:r>
          </w:p>
        </w:tc>
        <w:tc>
          <w:tcPr>
            <w:tcW w:w="1247" w:type="dxa"/>
          </w:tcPr>
          <w:p>
            <w:pPr>
              <w:pStyle w:val="0"/>
              <w:jc w:val="center"/>
            </w:pPr>
            <w:r>
              <w:rPr>
                <w:sz w:val="20"/>
              </w:rPr>
              <w:t xml:space="preserve">6,9</w:t>
            </w:r>
          </w:p>
        </w:tc>
      </w:tr>
      <w:tr>
        <w:tc>
          <w:tcPr>
            <w:tcW w:w="2721" w:type="dxa"/>
          </w:tcPr>
          <w:p>
            <w:pPr>
              <w:pStyle w:val="0"/>
              <w:jc w:val="both"/>
            </w:pPr>
            <w:r>
              <w:rPr>
                <w:sz w:val="20"/>
              </w:rPr>
              <w:t xml:space="preserve">Трахея, бронхи, легкое</w:t>
            </w:r>
          </w:p>
        </w:tc>
        <w:tc>
          <w:tcPr>
            <w:tcW w:w="963" w:type="dxa"/>
          </w:tcPr>
          <w:p>
            <w:pPr>
              <w:pStyle w:val="0"/>
              <w:jc w:val="center"/>
            </w:pPr>
            <w:r>
              <w:rPr>
                <w:sz w:val="20"/>
              </w:rPr>
              <w:t xml:space="preserve">199</w:t>
            </w:r>
          </w:p>
        </w:tc>
        <w:tc>
          <w:tcPr>
            <w:tcW w:w="963" w:type="dxa"/>
          </w:tcPr>
          <w:p>
            <w:pPr>
              <w:pStyle w:val="0"/>
              <w:jc w:val="center"/>
            </w:pPr>
            <w:r>
              <w:rPr>
                <w:sz w:val="20"/>
              </w:rPr>
              <w:t xml:space="preserve">8,4</w:t>
            </w:r>
          </w:p>
        </w:tc>
        <w:tc>
          <w:tcPr>
            <w:tcW w:w="1247" w:type="dxa"/>
          </w:tcPr>
          <w:p>
            <w:pPr>
              <w:pStyle w:val="0"/>
              <w:jc w:val="center"/>
            </w:pPr>
            <w:r>
              <w:rPr>
                <w:sz w:val="20"/>
              </w:rPr>
              <w:t xml:space="preserve">191</w:t>
            </w:r>
          </w:p>
        </w:tc>
        <w:tc>
          <w:tcPr>
            <w:tcW w:w="963" w:type="dxa"/>
          </w:tcPr>
          <w:p>
            <w:pPr>
              <w:pStyle w:val="0"/>
              <w:jc w:val="center"/>
            </w:pPr>
            <w:r>
              <w:rPr>
                <w:sz w:val="20"/>
              </w:rPr>
              <w:t xml:space="preserve">4,6</w:t>
            </w:r>
          </w:p>
        </w:tc>
        <w:tc>
          <w:tcPr>
            <w:tcW w:w="963" w:type="dxa"/>
          </w:tcPr>
          <w:p>
            <w:pPr>
              <w:pStyle w:val="0"/>
              <w:jc w:val="center"/>
            </w:pPr>
            <w:r>
              <w:rPr>
                <w:sz w:val="20"/>
              </w:rPr>
              <w:t xml:space="preserve">150</w:t>
            </w:r>
          </w:p>
        </w:tc>
        <w:tc>
          <w:tcPr>
            <w:tcW w:w="1247" w:type="dxa"/>
          </w:tcPr>
          <w:p>
            <w:pPr>
              <w:pStyle w:val="0"/>
              <w:jc w:val="center"/>
            </w:pPr>
            <w:r>
              <w:rPr>
                <w:sz w:val="20"/>
              </w:rPr>
              <w:t xml:space="preserve">5,2</w:t>
            </w:r>
          </w:p>
        </w:tc>
      </w:tr>
    </w:tbl>
    <w:p>
      <w:pPr>
        <w:pStyle w:val="0"/>
        <w:jc w:val="right"/>
      </w:pPr>
      <w:r>
        <w:rPr>
          <w:sz w:val="20"/>
        </w:rPr>
      </w:r>
    </w:p>
    <w:p>
      <w:pPr>
        <w:pStyle w:val="0"/>
        <w:jc w:val="right"/>
      </w:pPr>
      <w:r>
        <w:rPr>
          <w:sz w:val="20"/>
        </w:rPr>
        <w:t xml:space="preserve">Таблица N 5</w:t>
      </w:r>
    </w:p>
    <w:p>
      <w:pPr>
        <w:pStyle w:val="0"/>
        <w:ind w:firstLine="540"/>
        <w:jc w:val="both"/>
      </w:pPr>
      <w:r>
        <w:rPr>
          <w:sz w:val="20"/>
        </w:rPr>
      </w:r>
    </w:p>
    <w:p>
      <w:pPr>
        <w:pStyle w:val="0"/>
        <w:jc w:val="center"/>
      </w:pPr>
      <w:r>
        <w:rPr>
          <w:sz w:val="20"/>
        </w:rPr>
        <w:t xml:space="preserve">Впервые выявленные случаи злокачественных</w:t>
      </w:r>
    </w:p>
    <w:p>
      <w:pPr>
        <w:pStyle w:val="0"/>
        <w:jc w:val="center"/>
      </w:pPr>
      <w:r>
        <w:rPr>
          <w:sz w:val="20"/>
        </w:rPr>
        <w:t xml:space="preserve">новообразований у мужчин</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963"/>
        <w:gridCol w:w="963"/>
        <w:gridCol w:w="1247"/>
        <w:gridCol w:w="963"/>
        <w:gridCol w:w="963"/>
        <w:gridCol w:w="1247"/>
      </w:tblGrid>
      <w:tr>
        <w:tc>
          <w:tcPr>
            <w:tcW w:w="2721" w:type="dxa"/>
            <w:vMerge w:val="restart"/>
          </w:tcPr>
          <w:p>
            <w:pPr>
              <w:pStyle w:val="0"/>
              <w:jc w:val="center"/>
            </w:pPr>
            <w:r>
              <w:rPr>
                <w:sz w:val="20"/>
              </w:rPr>
              <w:t xml:space="preserve">Наименование</w:t>
            </w:r>
          </w:p>
        </w:tc>
        <w:tc>
          <w:tcPr>
            <w:gridSpan w:val="2"/>
            <w:tcW w:w="1926" w:type="dxa"/>
          </w:tcPr>
          <w:p>
            <w:pPr>
              <w:pStyle w:val="0"/>
              <w:jc w:val="center"/>
            </w:pPr>
            <w:r>
              <w:rPr>
                <w:sz w:val="20"/>
              </w:rPr>
              <w:t xml:space="preserve">2020</w:t>
            </w:r>
          </w:p>
        </w:tc>
        <w:tc>
          <w:tcPr>
            <w:gridSpan w:val="2"/>
            <w:tcW w:w="2210" w:type="dxa"/>
          </w:tcPr>
          <w:p>
            <w:pPr>
              <w:pStyle w:val="0"/>
              <w:jc w:val="center"/>
            </w:pPr>
            <w:r>
              <w:rPr>
                <w:sz w:val="20"/>
              </w:rPr>
              <w:t xml:space="preserve">2021</w:t>
            </w:r>
          </w:p>
        </w:tc>
        <w:tc>
          <w:tcPr>
            <w:gridSpan w:val="2"/>
            <w:tcW w:w="2210" w:type="dxa"/>
          </w:tcPr>
          <w:p>
            <w:pPr>
              <w:pStyle w:val="0"/>
              <w:jc w:val="center"/>
            </w:pPr>
            <w:r>
              <w:rPr>
                <w:sz w:val="20"/>
              </w:rPr>
              <w:t xml:space="preserve">2022</w:t>
            </w:r>
          </w:p>
        </w:tc>
      </w:tr>
      <w:tr>
        <w:tc>
          <w:tcPr>
            <w:vMerge w:val="continue"/>
          </w:tcPr>
          <w:p/>
        </w:tc>
        <w:tc>
          <w:tcPr>
            <w:tcW w:w="963" w:type="dxa"/>
          </w:tcPr>
          <w:p>
            <w:pPr>
              <w:pStyle w:val="0"/>
              <w:jc w:val="center"/>
            </w:pPr>
            <w:r>
              <w:rPr>
                <w:sz w:val="20"/>
              </w:rPr>
              <w:t xml:space="preserve">Абс.</w:t>
            </w:r>
          </w:p>
        </w:tc>
        <w:tc>
          <w:tcPr>
            <w:tcW w:w="963" w:type="dxa"/>
          </w:tcPr>
          <w:p>
            <w:pPr>
              <w:pStyle w:val="0"/>
              <w:jc w:val="center"/>
            </w:pPr>
            <w:r>
              <w:rPr>
                <w:sz w:val="20"/>
              </w:rPr>
              <w:t xml:space="preserve">Доля, %</w:t>
            </w:r>
          </w:p>
        </w:tc>
        <w:tc>
          <w:tcPr>
            <w:tcW w:w="1247" w:type="dxa"/>
          </w:tcPr>
          <w:p>
            <w:pPr>
              <w:pStyle w:val="0"/>
              <w:jc w:val="center"/>
            </w:pPr>
            <w:r>
              <w:rPr>
                <w:sz w:val="20"/>
              </w:rPr>
              <w:t xml:space="preserve">Абс.</w:t>
            </w:r>
          </w:p>
        </w:tc>
        <w:tc>
          <w:tcPr>
            <w:tcW w:w="963" w:type="dxa"/>
          </w:tcPr>
          <w:p>
            <w:pPr>
              <w:pStyle w:val="0"/>
              <w:jc w:val="center"/>
            </w:pPr>
            <w:r>
              <w:rPr>
                <w:sz w:val="20"/>
              </w:rPr>
              <w:t xml:space="preserve">Доля, %</w:t>
            </w:r>
          </w:p>
        </w:tc>
        <w:tc>
          <w:tcPr>
            <w:tcW w:w="963" w:type="dxa"/>
          </w:tcPr>
          <w:p>
            <w:pPr>
              <w:pStyle w:val="0"/>
              <w:jc w:val="center"/>
            </w:pPr>
            <w:r>
              <w:rPr>
                <w:sz w:val="20"/>
              </w:rPr>
              <w:t xml:space="preserve">Абс.</w:t>
            </w:r>
          </w:p>
        </w:tc>
        <w:tc>
          <w:tcPr>
            <w:tcW w:w="1247" w:type="dxa"/>
          </w:tcPr>
          <w:p>
            <w:pPr>
              <w:pStyle w:val="0"/>
              <w:jc w:val="center"/>
            </w:pPr>
            <w:r>
              <w:rPr>
                <w:sz w:val="20"/>
              </w:rPr>
              <w:t xml:space="preserve">Доля, %</w:t>
            </w:r>
          </w:p>
        </w:tc>
      </w:tr>
      <w:tr>
        <w:tc>
          <w:tcPr>
            <w:tcW w:w="2721" w:type="dxa"/>
          </w:tcPr>
          <w:p>
            <w:pPr>
              <w:pStyle w:val="0"/>
              <w:jc w:val="both"/>
            </w:pPr>
            <w:r>
              <w:rPr>
                <w:sz w:val="20"/>
              </w:rPr>
              <w:t xml:space="preserve">Всего</w:t>
            </w:r>
          </w:p>
        </w:tc>
        <w:tc>
          <w:tcPr>
            <w:tcW w:w="963" w:type="dxa"/>
          </w:tcPr>
          <w:p>
            <w:pPr>
              <w:pStyle w:val="0"/>
              <w:jc w:val="center"/>
            </w:pPr>
            <w:r>
              <w:rPr>
                <w:sz w:val="20"/>
              </w:rPr>
              <w:t xml:space="preserve">1015</w:t>
            </w:r>
          </w:p>
        </w:tc>
        <w:tc>
          <w:tcPr>
            <w:tcW w:w="963" w:type="dxa"/>
          </w:tcPr>
          <w:p>
            <w:pPr>
              <w:pStyle w:val="0"/>
              <w:jc w:val="center"/>
            </w:pPr>
            <w:r>
              <w:rPr>
                <w:sz w:val="20"/>
              </w:rPr>
              <w:t xml:space="preserve">100,0</w:t>
            </w:r>
          </w:p>
        </w:tc>
        <w:tc>
          <w:tcPr>
            <w:tcW w:w="1247" w:type="dxa"/>
          </w:tcPr>
          <w:p>
            <w:pPr>
              <w:pStyle w:val="0"/>
              <w:jc w:val="center"/>
            </w:pPr>
            <w:r>
              <w:rPr>
                <w:sz w:val="20"/>
              </w:rPr>
              <w:t xml:space="preserve">1052</w:t>
            </w:r>
          </w:p>
        </w:tc>
        <w:tc>
          <w:tcPr>
            <w:tcW w:w="963" w:type="dxa"/>
          </w:tcPr>
          <w:p>
            <w:pPr>
              <w:pStyle w:val="0"/>
              <w:jc w:val="center"/>
            </w:pPr>
            <w:r>
              <w:rPr>
                <w:sz w:val="20"/>
              </w:rPr>
              <w:t xml:space="preserve">100</w:t>
            </w:r>
          </w:p>
        </w:tc>
        <w:tc>
          <w:tcPr>
            <w:tcW w:w="963" w:type="dxa"/>
          </w:tcPr>
          <w:p>
            <w:pPr>
              <w:pStyle w:val="0"/>
              <w:jc w:val="center"/>
            </w:pPr>
            <w:r>
              <w:rPr>
                <w:sz w:val="20"/>
              </w:rPr>
              <w:t xml:space="preserve">1208</w:t>
            </w:r>
          </w:p>
        </w:tc>
        <w:tc>
          <w:tcPr>
            <w:tcW w:w="1247" w:type="dxa"/>
          </w:tcPr>
          <w:p>
            <w:pPr>
              <w:pStyle w:val="0"/>
              <w:jc w:val="center"/>
            </w:pPr>
            <w:r>
              <w:rPr>
                <w:sz w:val="20"/>
              </w:rPr>
              <w:t xml:space="preserve">100</w:t>
            </w:r>
          </w:p>
        </w:tc>
      </w:tr>
      <w:tr>
        <w:tc>
          <w:tcPr>
            <w:tcW w:w="2721" w:type="dxa"/>
          </w:tcPr>
          <w:p>
            <w:pPr>
              <w:pStyle w:val="0"/>
              <w:jc w:val="both"/>
            </w:pPr>
            <w:r>
              <w:rPr>
                <w:sz w:val="20"/>
              </w:rPr>
              <w:t xml:space="preserve">Предстательная железа</w:t>
            </w:r>
          </w:p>
        </w:tc>
        <w:tc>
          <w:tcPr>
            <w:tcW w:w="963" w:type="dxa"/>
          </w:tcPr>
          <w:p>
            <w:pPr>
              <w:pStyle w:val="0"/>
              <w:jc w:val="center"/>
            </w:pPr>
            <w:r>
              <w:rPr>
                <w:sz w:val="20"/>
              </w:rPr>
              <w:t xml:space="preserve">181</w:t>
            </w:r>
          </w:p>
        </w:tc>
        <w:tc>
          <w:tcPr>
            <w:tcW w:w="963" w:type="dxa"/>
          </w:tcPr>
          <w:p>
            <w:pPr>
              <w:pStyle w:val="0"/>
              <w:jc w:val="center"/>
            </w:pPr>
            <w:r>
              <w:rPr>
                <w:sz w:val="20"/>
              </w:rPr>
              <w:t xml:space="preserve">17,8</w:t>
            </w:r>
          </w:p>
        </w:tc>
        <w:tc>
          <w:tcPr>
            <w:tcW w:w="1247" w:type="dxa"/>
          </w:tcPr>
          <w:p>
            <w:pPr>
              <w:pStyle w:val="0"/>
              <w:jc w:val="center"/>
            </w:pPr>
            <w:r>
              <w:rPr>
                <w:sz w:val="20"/>
              </w:rPr>
              <w:t xml:space="preserve">200</w:t>
            </w:r>
          </w:p>
        </w:tc>
        <w:tc>
          <w:tcPr>
            <w:tcW w:w="963" w:type="dxa"/>
          </w:tcPr>
          <w:p>
            <w:pPr>
              <w:pStyle w:val="0"/>
              <w:jc w:val="center"/>
            </w:pPr>
            <w:r>
              <w:rPr>
                <w:sz w:val="20"/>
              </w:rPr>
              <w:t xml:space="preserve">19,6</w:t>
            </w:r>
          </w:p>
        </w:tc>
        <w:tc>
          <w:tcPr>
            <w:tcW w:w="963" w:type="dxa"/>
          </w:tcPr>
          <w:p>
            <w:pPr>
              <w:pStyle w:val="0"/>
              <w:jc w:val="center"/>
            </w:pPr>
            <w:r>
              <w:rPr>
                <w:sz w:val="20"/>
              </w:rPr>
              <w:t xml:space="preserve">185</w:t>
            </w:r>
          </w:p>
        </w:tc>
        <w:tc>
          <w:tcPr>
            <w:tcW w:w="1247" w:type="dxa"/>
          </w:tcPr>
          <w:p>
            <w:pPr>
              <w:pStyle w:val="0"/>
              <w:jc w:val="center"/>
            </w:pPr>
            <w:r>
              <w:rPr>
                <w:sz w:val="20"/>
              </w:rPr>
              <w:t xml:space="preserve">15,3</w:t>
            </w:r>
          </w:p>
        </w:tc>
      </w:tr>
      <w:tr>
        <w:tc>
          <w:tcPr>
            <w:tcW w:w="2721" w:type="dxa"/>
          </w:tcPr>
          <w:p>
            <w:pPr>
              <w:pStyle w:val="0"/>
              <w:jc w:val="both"/>
            </w:pPr>
            <w:r>
              <w:rPr>
                <w:sz w:val="20"/>
              </w:rPr>
              <w:t xml:space="preserve">Новообразования кожи</w:t>
            </w:r>
          </w:p>
        </w:tc>
        <w:tc>
          <w:tcPr>
            <w:tcW w:w="963" w:type="dxa"/>
          </w:tcPr>
          <w:p>
            <w:pPr>
              <w:pStyle w:val="0"/>
              <w:jc w:val="center"/>
            </w:pPr>
            <w:r>
              <w:rPr>
                <w:sz w:val="20"/>
              </w:rPr>
              <w:t xml:space="preserve">163</w:t>
            </w:r>
          </w:p>
        </w:tc>
        <w:tc>
          <w:tcPr>
            <w:tcW w:w="963" w:type="dxa"/>
          </w:tcPr>
          <w:p>
            <w:pPr>
              <w:pStyle w:val="0"/>
              <w:jc w:val="center"/>
            </w:pPr>
            <w:r>
              <w:rPr>
                <w:sz w:val="20"/>
              </w:rPr>
              <w:t xml:space="preserve">16,1</w:t>
            </w:r>
          </w:p>
        </w:tc>
        <w:tc>
          <w:tcPr>
            <w:tcW w:w="1247" w:type="dxa"/>
          </w:tcPr>
          <w:p>
            <w:pPr>
              <w:pStyle w:val="0"/>
              <w:jc w:val="center"/>
            </w:pPr>
            <w:r>
              <w:rPr>
                <w:sz w:val="20"/>
              </w:rPr>
              <w:t xml:space="preserve">170</w:t>
            </w:r>
          </w:p>
        </w:tc>
        <w:tc>
          <w:tcPr>
            <w:tcW w:w="963" w:type="dxa"/>
          </w:tcPr>
          <w:p>
            <w:pPr>
              <w:pStyle w:val="0"/>
              <w:jc w:val="center"/>
            </w:pPr>
            <w:r>
              <w:rPr>
                <w:sz w:val="20"/>
              </w:rPr>
              <w:t xml:space="preserve">16,7</w:t>
            </w:r>
          </w:p>
        </w:tc>
        <w:tc>
          <w:tcPr>
            <w:tcW w:w="963" w:type="dxa"/>
          </w:tcPr>
          <w:p>
            <w:pPr>
              <w:pStyle w:val="0"/>
              <w:jc w:val="center"/>
            </w:pPr>
            <w:r>
              <w:rPr>
                <w:sz w:val="20"/>
              </w:rPr>
              <w:t xml:space="preserve">243</w:t>
            </w:r>
          </w:p>
        </w:tc>
        <w:tc>
          <w:tcPr>
            <w:tcW w:w="1247" w:type="dxa"/>
          </w:tcPr>
          <w:p>
            <w:pPr>
              <w:pStyle w:val="0"/>
              <w:jc w:val="center"/>
            </w:pPr>
            <w:r>
              <w:rPr>
                <w:sz w:val="20"/>
              </w:rPr>
              <w:t xml:space="preserve">20,1</w:t>
            </w:r>
          </w:p>
        </w:tc>
      </w:tr>
      <w:tr>
        <w:tc>
          <w:tcPr>
            <w:tcW w:w="2721" w:type="dxa"/>
          </w:tcPr>
          <w:p>
            <w:pPr>
              <w:pStyle w:val="0"/>
              <w:jc w:val="both"/>
            </w:pPr>
            <w:r>
              <w:rPr>
                <w:sz w:val="20"/>
              </w:rPr>
              <w:t xml:space="preserve">Трахея, бронхи, легкое</w:t>
            </w:r>
          </w:p>
        </w:tc>
        <w:tc>
          <w:tcPr>
            <w:tcW w:w="963" w:type="dxa"/>
          </w:tcPr>
          <w:p>
            <w:pPr>
              <w:pStyle w:val="0"/>
              <w:jc w:val="center"/>
            </w:pPr>
            <w:r>
              <w:rPr>
                <w:sz w:val="20"/>
              </w:rPr>
              <w:t xml:space="preserve">141</w:t>
            </w:r>
          </w:p>
        </w:tc>
        <w:tc>
          <w:tcPr>
            <w:tcW w:w="963" w:type="dxa"/>
          </w:tcPr>
          <w:p>
            <w:pPr>
              <w:pStyle w:val="0"/>
              <w:jc w:val="center"/>
            </w:pPr>
            <w:r>
              <w:rPr>
                <w:sz w:val="20"/>
              </w:rPr>
              <w:t xml:space="preserve">13,9</w:t>
            </w:r>
          </w:p>
        </w:tc>
        <w:tc>
          <w:tcPr>
            <w:tcW w:w="1247" w:type="dxa"/>
          </w:tcPr>
          <w:p>
            <w:pPr>
              <w:pStyle w:val="0"/>
              <w:jc w:val="center"/>
            </w:pPr>
            <w:r>
              <w:rPr>
                <w:sz w:val="20"/>
              </w:rPr>
              <w:t xml:space="preserve">126</w:t>
            </w:r>
          </w:p>
        </w:tc>
        <w:tc>
          <w:tcPr>
            <w:tcW w:w="963" w:type="dxa"/>
          </w:tcPr>
          <w:p>
            <w:pPr>
              <w:pStyle w:val="0"/>
              <w:jc w:val="center"/>
            </w:pPr>
            <w:r>
              <w:rPr>
                <w:sz w:val="20"/>
              </w:rPr>
              <w:t xml:space="preserve">12,3</w:t>
            </w:r>
          </w:p>
        </w:tc>
        <w:tc>
          <w:tcPr>
            <w:tcW w:w="963" w:type="dxa"/>
          </w:tcPr>
          <w:p>
            <w:pPr>
              <w:pStyle w:val="0"/>
              <w:jc w:val="center"/>
            </w:pPr>
            <w:r>
              <w:rPr>
                <w:sz w:val="20"/>
              </w:rPr>
              <w:t xml:space="preserve">98</w:t>
            </w:r>
          </w:p>
        </w:tc>
        <w:tc>
          <w:tcPr>
            <w:tcW w:w="1247" w:type="dxa"/>
          </w:tcPr>
          <w:p>
            <w:pPr>
              <w:pStyle w:val="0"/>
              <w:jc w:val="center"/>
            </w:pPr>
            <w:r>
              <w:rPr>
                <w:sz w:val="20"/>
              </w:rPr>
              <w:t xml:space="preserve">8,1</w:t>
            </w:r>
          </w:p>
        </w:tc>
      </w:tr>
      <w:tr>
        <w:tc>
          <w:tcPr>
            <w:tcW w:w="2721" w:type="dxa"/>
          </w:tcPr>
          <w:p>
            <w:pPr>
              <w:pStyle w:val="0"/>
              <w:jc w:val="both"/>
            </w:pPr>
            <w:r>
              <w:rPr>
                <w:sz w:val="20"/>
              </w:rPr>
              <w:t xml:space="preserve">Ободочная кишка</w:t>
            </w:r>
          </w:p>
        </w:tc>
        <w:tc>
          <w:tcPr>
            <w:tcW w:w="963" w:type="dxa"/>
          </w:tcPr>
          <w:p>
            <w:pPr>
              <w:pStyle w:val="0"/>
              <w:jc w:val="center"/>
            </w:pPr>
            <w:r>
              <w:rPr>
                <w:sz w:val="20"/>
              </w:rPr>
              <w:t xml:space="preserve">92</w:t>
            </w:r>
          </w:p>
        </w:tc>
        <w:tc>
          <w:tcPr>
            <w:tcW w:w="963" w:type="dxa"/>
          </w:tcPr>
          <w:p>
            <w:pPr>
              <w:pStyle w:val="0"/>
              <w:jc w:val="center"/>
            </w:pPr>
            <w:r>
              <w:rPr>
                <w:sz w:val="20"/>
              </w:rPr>
              <w:t xml:space="preserve">9,1</w:t>
            </w:r>
          </w:p>
        </w:tc>
        <w:tc>
          <w:tcPr>
            <w:tcW w:w="1247" w:type="dxa"/>
          </w:tcPr>
          <w:p>
            <w:pPr>
              <w:pStyle w:val="0"/>
              <w:jc w:val="center"/>
            </w:pPr>
            <w:r>
              <w:rPr>
                <w:sz w:val="20"/>
              </w:rPr>
              <w:t xml:space="preserve">72</w:t>
            </w:r>
          </w:p>
        </w:tc>
        <w:tc>
          <w:tcPr>
            <w:tcW w:w="963" w:type="dxa"/>
          </w:tcPr>
          <w:p>
            <w:pPr>
              <w:pStyle w:val="0"/>
              <w:jc w:val="center"/>
            </w:pPr>
            <w:r>
              <w:rPr>
                <w:sz w:val="20"/>
              </w:rPr>
              <w:t xml:space="preserve">7,1</w:t>
            </w:r>
          </w:p>
        </w:tc>
        <w:tc>
          <w:tcPr>
            <w:tcW w:w="963" w:type="dxa"/>
          </w:tcPr>
          <w:p>
            <w:pPr>
              <w:pStyle w:val="0"/>
              <w:jc w:val="center"/>
            </w:pPr>
            <w:r>
              <w:rPr>
                <w:sz w:val="20"/>
              </w:rPr>
              <w:t xml:space="preserve">85</w:t>
            </w:r>
          </w:p>
        </w:tc>
        <w:tc>
          <w:tcPr>
            <w:tcW w:w="1247" w:type="dxa"/>
          </w:tcPr>
          <w:p>
            <w:pPr>
              <w:pStyle w:val="0"/>
              <w:jc w:val="center"/>
            </w:pPr>
            <w:r>
              <w:rPr>
                <w:sz w:val="20"/>
              </w:rPr>
              <w:t xml:space="preserve">7</w:t>
            </w:r>
          </w:p>
        </w:tc>
      </w:tr>
      <w:tr>
        <w:tc>
          <w:tcPr>
            <w:tcW w:w="2721" w:type="dxa"/>
          </w:tcPr>
          <w:p>
            <w:pPr>
              <w:pStyle w:val="0"/>
              <w:jc w:val="both"/>
            </w:pPr>
            <w:r>
              <w:rPr>
                <w:sz w:val="20"/>
              </w:rPr>
              <w:t xml:space="preserve">Желудок</w:t>
            </w:r>
          </w:p>
        </w:tc>
        <w:tc>
          <w:tcPr>
            <w:tcW w:w="963" w:type="dxa"/>
          </w:tcPr>
          <w:p>
            <w:pPr>
              <w:pStyle w:val="0"/>
              <w:jc w:val="center"/>
            </w:pPr>
            <w:r>
              <w:rPr>
                <w:sz w:val="20"/>
              </w:rPr>
              <w:t xml:space="preserve">56</w:t>
            </w:r>
          </w:p>
        </w:tc>
        <w:tc>
          <w:tcPr>
            <w:tcW w:w="963" w:type="dxa"/>
          </w:tcPr>
          <w:p>
            <w:pPr>
              <w:pStyle w:val="0"/>
              <w:jc w:val="center"/>
            </w:pPr>
            <w:r>
              <w:rPr>
                <w:sz w:val="20"/>
              </w:rPr>
              <w:t xml:space="preserve">5,5</w:t>
            </w:r>
          </w:p>
        </w:tc>
        <w:tc>
          <w:tcPr>
            <w:tcW w:w="1247" w:type="dxa"/>
          </w:tcPr>
          <w:p>
            <w:pPr>
              <w:pStyle w:val="0"/>
              <w:jc w:val="center"/>
            </w:pPr>
            <w:r>
              <w:rPr>
                <w:sz w:val="20"/>
              </w:rPr>
              <w:t xml:space="preserve">63</w:t>
            </w:r>
          </w:p>
        </w:tc>
        <w:tc>
          <w:tcPr>
            <w:tcW w:w="963" w:type="dxa"/>
          </w:tcPr>
          <w:p>
            <w:pPr>
              <w:pStyle w:val="0"/>
              <w:jc w:val="center"/>
            </w:pPr>
            <w:r>
              <w:rPr>
                <w:sz w:val="20"/>
              </w:rPr>
              <w:t xml:space="preserve">6,2</w:t>
            </w:r>
          </w:p>
        </w:tc>
        <w:tc>
          <w:tcPr>
            <w:tcW w:w="963" w:type="dxa"/>
          </w:tcPr>
          <w:p>
            <w:pPr>
              <w:pStyle w:val="0"/>
              <w:jc w:val="center"/>
            </w:pPr>
            <w:r>
              <w:rPr>
                <w:sz w:val="20"/>
              </w:rPr>
              <w:t xml:space="preserve">68</w:t>
            </w:r>
          </w:p>
        </w:tc>
        <w:tc>
          <w:tcPr>
            <w:tcW w:w="1247" w:type="dxa"/>
          </w:tcPr>
          <w:p>
            <w:pPr>
              <w:pStyle w:val="0"/>
              <w:jc w:val="center"/>
            </w:pPr>
            <w:r>
              <w:rPr>
                <w:sz w:val="20"/>
              </w:rPr>
              <w:t xml:space="preserve">5,6</w:t>
            </w:r>
          </w:p>
        </w:tc>
      </w:tr>
    </w:tbl>
    <w:p>
      <w:pPr>
        <w:pStyle w:val="0"/>
        <w:jc w:val="right"/>
      </w:pPr>
      <w:r>
        <w:rPr>
          <w:sz w:val="20"/>
        </w:rPr>
      </w:r>
    </w:p>
    <w:p>
      <w:pPr>
        <w:pStyle w:val="0"/>
        <w:jc w:val="right"/>
      </w:pPr>
      <w:r>
        <w:rPr>
          <w:sz w:val="20"/>
        </w:rPr>
        <w:t xml:space="preserve">Таблица N 6</w:t>
      </w:r>
    </w:p>
    <w:p>
      <w:pPr>
        <w:pStyle w:val="0"/>
        <w:ind w:firstLine="540"/>
        <w:jc w:val="both"/>
      </w:pPr>
      <w:r>
        <w:rPr>
          <w:sz w:val="20"/>
        </w:rPr>
      </w:r>
    </w:p>
    <w:p>
      <w:pPr>
        <w:pStyle w:val="0"/>
        <w:jc w:val="center"/>
      </w:pPr>
      <w:r>
        <w:rPr>
          <w:sz w:val="20"/>
        </w:rPr>
        <w:t xml:space="preserve">Впервые выявленные случаи злокачественных</w:t>
      </w:r>
    </w:p>
    <w:p>
      <w:pPr>
        <w:pStyle w:val="0"/>
        <w:jc w:val="center"/>
      </w:pPr>
      <w:r>
        <w:rPr>
          <w:sz w:val="20"/>
        </w:rPr>
        <w:t xml:space="preserve">новообразований у женщин</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963"/>
        <w:gridCol w:w="963"/>
        <w:gridCol w:w="1247"/>
        <w:gridCol w:w="963"/>
        <w:gridCol w:w="963"/>
        <w:gridCol w:w="1247"/>
      </w:tblGrid>
      <w:tr>
        <w:tc>
          <w:tcPr>
            <w:tcW w:w="2721" w:type="dxa"/>
            <w:vMerge w:val="restart"/>
          </w:tcPr>
          <w:p>
            <w:pPr>
              <w:pStyle w:val="0"/>
              <w:jc w:val="center"/>
            </w:pPr>
            <w:r>
              <w:rPr>
                <w:sz w:val="20"/>
              </w:rPr>
            </w:r>
          </w:p>
        </w:tc>
        <w:tc>
          <w:tcPr>
            <w:gridSpan w:val="2"/>
            <w:tcW w:w="1926" w:type="dxa"/>
          </w:tcPr>
          <w:p>
            <w:pPr>
              <w:pStyle w:val="0"/>
              <w:jc w:val="center"/>
            </w:pPr>
            <w:r>
              <w:rPr>
                <w:sz w:val="20"/>
              </w:rPr>
              <w:t xml:space="preserve">2020</w:t>
            </w:r>
          </w:p>
        </w:tc>
        <w:tc>
          <w:tcPr>
            <w:gridSpan w:val="2"/>
            <w:tcW w:w="2210" w:type="dxa"/>
          </w:tcPr>
          <w:p>
            <w:pPr>
              <w:pStyle w:val="0"/>
              <w:jc w:val="center"/>
            </w:pPr>
            <w:r>
              <w:rPr>
                <w:sz w:val="20"/>
              </w:rPr>
              <w:t xml:space="preserve">2021</w:t>
            </w:r>
          </w:p>
        </w:tc>
        <w:tc>
          <w:tcPr>
            <w:gridSpan w:val="2"/>
            <w:tcW w:w="2210" w:type="dxa"/>
          </w:tcPr>
          <w:p>
            <w:pPr>
              <w:pStyle w:val="0"/>
              <w:jc w:val="center"/>
            </w:pPr>
            <w:r>
              <w:rPr>
                <w:sz w:val="20"/>
              </w:rPr>
              <w:t xml:space="preserve">2022</w:t>
            </w:r>
          </w:p>
        </w:tc>
      </w:tr>
      <w:tr>
        <w:tc>
          <w:tcPr>
            <w:vMerge w:val="continue"/>
          </w:tcPr>
          <w:p/>
        </w:tc>
        <w:tc>
          <w:tcPr>
            <w:tcW w:w="963" w:type="dxa"/>
          </w:tcPr>
          <w:p>
            <w:pPr>
              <w:pStyle w:val="0"/>
              <w:jc w:val="center"/>
            </w:pPr>
            <w:r>
              <w:rPr>
                <w:sz w:val="20"/>
              </w:rPr>
              <w:t xml:space="preserve">Абс.</w:t>
            </w:r>
          </w:p>
        </w:tc>
        <w:tc>
          <w:tcPr>
            <w:tcW w:w="963" w:type="dxa"/>
          </w:tcPr>
          <w:p>
            <w:pPr>
              <w:pStyle w:val="0"/>
              <w:jc w:val="center"/>
            </w:pPr>
            <w:r>
              <w:rPr>
                <w:sz w:val="20"/>
              </w:rPr>
              <w:t xml:space="preserve">Доля, %</w:t>
            </w:r>
          </w:p>
        </w:tc>
        <w:tc>
          <w:tcPr>
            <w:tcW w:w="1247" w:type="dxa"/>
          </w:tcPr>
          <w:p>
            <w:pPr>
              <w:pStyle w:val="0"/>
              <w:jc w:val="center"/>
            </w:pPr>
            <w:r>
              <w:rPr>
                <w:sz w:val="20"/>
              </w:rPr>
              <w:t xml:space="preserve">Абс.</w:t>
            </w:r>
          </w:p>
        </w:tc>
        <w:tc>
          <w:tcPr>
            <w:tcW w:w="963" w:type="dxa"/>
          </w:tcPr>
          <w:p>
            <w:pPr>
              <w:pStyle w:val="0"/>
              <w:jc w:val="center"/>
            </w:pPr>
            <w:r>
              <w:rPr>
                <w:sz w:val="20"/>
              </w:rPr>
              <w:t xml:space="preserve">Доля, %</w:t>
            </w:r>
          </w:p>
        </w:tc>
        <w:tc>
          <w:tcPr>
            <w:tcW w:w="963" w:type="dxa"/>
          </w:tcPr>
          <w:p>
            <w:pPr>
              <w:pStyle w:val="0"/>
              <w:jc w:val="center"/>
            </w:pPr>
            <w:r>
              <w:rPr>
                <w:sz w:val="20"/>
              </w:rPr>
              <w:t xml:space="preserve">Абс.</w:t>
            </w:r>
          </w:p>
        </w:tc>
        <w:tc>
          <w:tcPr>
            <w:tcW w:w="1247" w:type="dxa"/>
          </w:tcPr>
          <w:p>
            <w:pPr>
              <w:pStyle w:val="0"/>
              <w:jc w:val="center"/>
            </w:pPr>
            <w:r>
              <w:rPr>
                <w:sz w:val="20"/>
              </w:rPr>
              <w:t xml:space="preserve">Доля, %</w:t>
            </w:r>
          </w:p>
        </w:tc>
      </w:tr>
      <w:tr>
        <w:tc>
          <w:tcPr>
            <w:tcW w:w="2721" w:type="dxa"/>
          </w:tcPr>
          <w:p>
            <w:pPr>
              <w:pStyle w:val="0"/>
              <w:jc w:val="both"/>
            </w:pPr>
            <w:r>
              <w:rPr>
                <w:sz w:val="20"/>
              </w:rPr>
              <w:t xml:space="preserve">Всего</w:t>
            </w:r>
          </w:p>
        </w:tc>
        <w:tc>
          <w:tcPr>
            <w:tcW w:w="963" w:type="dxa"/>
            <w:vAlign w:val="center"/>
          </w:tcPr>
          <w:p>
            <w:pPr>
              <w:pStyle w:val="0"/>
              <w:jc w:val="center"/>
            </w:pPr>
            <w:r>
              <w:rPr>
                <w:sz w:val="20"/>
              </w:rPr>
              <w:t xml:space="preserve">1343</w:t>
            </w:r>
          </w:p>
        </w:tc>
        <w:tc>
          <w:tcPr>
            <w:tcW w:w="963" w:type="dxa"/>
            <w:vAlign w:val="bottom"/>
          </w:tcPr>
          <w:p>
            <w:pPr>
              <w:pStyle w:val="0"/>
              <w:jc w:val="center"/>
            </w:pPr>
            <w:r>
              <w:rPr>
                <w:sz w:val="20"/>
              </w:rPr>
              <w:t xml:space="preserve">100,0</w:t>
            </w:r>
          </w:p>
        </w:tc>
        <w:tc>
          <w:tcPr>
            <w:tcW w:w="1247" w:type="dxa"/>
            <w:vAlign w:val="center"/>
          </w:tcPr>
          <w:p>
            <w:pPr>
              <w:pStyle w:val="0"/>
              <w:jc w:val="center"/>
            </w:pPr>
            <w:r>
              <w:rPr>
                <w:sz w:val="20"/>
              </w:rPr>
              <w:t xml:space="preserve">1454</w:t>
            </w:r>
          </w:p>
        </w:tc>
        <w:tc>
          <w:tcPr>
            <w:tcW w:w="963" w:type="dxa"/>
            <w:vAlign w:val="bottom"/>
          </w:tcPr>
          <w:p>
            <w:pPr>
              <w:pStyle w:val="0"/>
              <w:jc w:val="center"/>
            </w:pPr>
            <w:r>
              <w:rPr>
                <w:sz w:val="20"/>
              </w:rPr>
              <w:t xml:space="preserve">100</w:t>
            </w:r>
          </w:p>
        </w:tc>
        <w:tc>
          <w:tcPr>
            <w:tcW w:w="963" w:type="dxa"/>
            <w:vAlign w:val="center"/>
          </w:tcPr>
          <w:p>
            <w:pPr>
              <w:pStyle w:val="0"/>
              <w:jc w:val="center"/>
            </w:pPr>
            <w:r>
              <w:rPr>
                <w:sz w:val="20"/>
              </w:rPr>
              <w:t xml:space="preserve">1651</w:t>
            </w:r>
          </w:p>
        </w:tc>
        <w:tc>
          <w:tcPr>
            <w:tcW w:w="1247" w:type="dxa"/>
            <w:vAlign w:val="bottom"/>
          </w:tcPr>
          <w:p>
            <w:pPr>
              <w:pStyle w:val="0"/>
              <w:jc w:val="center"/>
            </w:pPr>
            <w:r>
              <w:rPr>
                <w:sz w:val="20"/>
              </w:rPr>
              <w:t xml:space="preserve">100</w:t>
            </w:r>
          </w:p>
        </w:tc>
      </w:tr>
      <w:tr>
        <w:tc>
          <w:tcPr>
            <w:tcW w:w="2721" w:type="dxa"/>
          </w:tcPr>
          <w:p>
            <w:pPr>
              <w:pStyle w:val="0"/>
              <w:jc w:val="both"/>
            </w:pPr>
            <w:r>
              <w:rPr>
                <w:sz w:val="20"/>
              </w:rPr>
              <w:t xml:space="preserve">Молочная железа</w:t>
            </w:r>
          </w:p>
        </w:tc>
        <w:tc>
          <w:tcPr>
            <w:tcW w:w="963" w:type="dxa"/>
            <w:vAlign w:val="center"/>
          </w:tcPr>
          <w:p>
            <w:pPr>
              <w:pStyle w:val="0"/>
              <w:jc w:val="center"/>
            </w:pPr>
            <w:r>
              <w:rPr>
                <w:sz w:val="20"/>
              </w:rPr>
              <w:t xml:space="preserve">255</w:t>
            </w:r>
          </w:p>
        </w:tc>
        <w:tc>
          <w:tcPr>
            <w:tcW w:w="963" w:type="dxa"/>
            <w:vAlign w:val="bottom"/>
          </w:tcPr>
          <w:p>
            <w:pPr>
              <w:pStyle w:val="0"/>
              <w:jc w:val="center"/>
            </w:pPr>
            <w:r>
              <w:rPr>
                <w:sz w:val="20"/>
              </w:rPr>
              <w:t xml:space="preserve">19,0</w:t>
            </w:r>
          </w:p>
        </w:tc>
        <w:tc>
          <w:tcPr>
            <w:tcW w:w="1247" w:type="dxa"/>
            <w:vAlign w:val="center"/>
          </w:tcPr>
          <w:p>
            <w:pPr>
              <w:pStyle w:val="0"/>
              <w:jc w:val="center"/>
            </w:pPr>
            <w:r>
              <w:rPr>
                <w:sz w:val="20"/>
              </w:rPr>
              <w:t xml:space="preserve">317</w:t>
            </w:r>
          </w:p>
        </w:tc>
        <w:tc>
          <w:tcPr>
            <w:tcW w:w="963" w:type="dxa"/>
            <w:vAlign w:val="bottom"/>
          </w:tcPr>
          <w:p>
            <w:pPr>
              <w:pStyle w:val="0"/>
              <w:jc w:val="center"/>
            </w:pPr>
            <w:r>
              <w:rPr>
                <w:sz w:val="20"/>
              </w:rPr>
              <w:t xml:space="preserve">21,8</w:t>
            </w:r>
          </w:p>
        </w:tc>
        <w:tc>
          <w:tcPr>
            <w:tcW w:w="963" w:type="dxa"/>
            <w:vAlign w:val="center"/>
          </w:tcPr>
          <w:p>
            <w:pPr>
              <w:pStyle w:val="0"/>
              <w:jc w:val="center"/>
            </w:pPr>
            <w:r>
              <w:rPr>
                <w:sz w:val="20"/>
              </w:rPr>
              <w:t xml:space="preserve">355</w:t>
            </w:r>
          </w:p>
        </w:tc>
        <w:tc>
          <w:tcPr>
            <w:tcW w:w="1247" w:type="dxa"/>
            <w:vAlign w:val="bottom"/>
          </w:tcPr>
          <w:p>
            <w:pPr>
              <w:pStyle w:val="0"/>
              <w:jc w:val="center"/>
            </w:pPr>
            <w:r>
              <w:rPr>
                <w:sz w:val="20"/>
              </w:rPr>
              <w:t xml:space="preserve">21,5</w:t>
            </w:r>
          </w:p>
        </w:tc>
      </w:tr>
      <w:tr>
        <w:tc>
          <w:tcPr>
            <w:tcW w:w="2721" w:type="dxa"/>
          </w:tcPr>
          <w:p>
            <w:pPr>
              <w:pStyle w:val="0"/>
              <w:jc w:val="both"/>
            </w:pPr>
            <w:r>
              <w:rPr>
                <w:sz w:val="20"/>
              </w:rPr>
              <w:t xml:space="preserve">Новообразования кожи</w:t>
            </w:r>
          </w:p>
        </w:tc>
        <w:tc>
          <w:tcPr>
            <w:tcW w:w="963" w:type="dxa"/>
            <w:vAlign w:val="center"/>
          </w:tcPr>
          <w:p>
            <w:pPr>
              <w:pStyle w:val="0"/>
              <w:jc w:val="center"/>
            </w:pPr>
            <w:r>
              <w:rPr>
                <w:sz w:val="20"/>
              </w:rPr>
              <w:t xml:space="preserve">258</w:t>
            </w:r>
          </w:p>
        </w:tc>
        <w:tc>
          <w:tcPr>
            <w:tcW w:w="963" w:type="dxa"/>
            <w:vAlign w:val="bottom"/>
          </w:tcPr>
          <w:p>
            <w:pPr>
              <w:pStyle w:val="0"/>
              <w:jc w:val="center"/>
            </w:pPr>
            <w:r>
              <w:rPr>
                <w:sz w:val="20"/>
              </w:rPr>
              <w:t xml:space="preserve">19,2</w:t>
            </w:r>
          </w:p>
        </w:tc>
        <w:tc>
          <w:tcPr>
            <w:tcW w:w="1247" w:type="dxa"/>
            <w:vAlign w:val="center"/>
          </w:tcPr>
          <w:p>
            <w:pPr>
              <w:pStyle w:val="0"/>
              <w:jc w:val="center"/>
            </w:pPr>
            <w:r>
              <w:rPr>
                <w:sz w:val="20"/>
              </w:rPr>
              <w:t xml:space="preserve">333</w:t>
            </w:r>
          </w:p>
        </w:tc>
        <w:tc>
          <w:tcPr>
            <w:tcW w:w="963" w:type="dxa"/>
            <w:vAlign w:val="bottom"/>
          </w:tcPr>
          <w:p>
            <w:pPr>
              <w:pStyle w:val="0"/>
              <w:jc w:val="center"/>
            </w:pPr>
            <w:r>
              <w:rPr>
                <w:sz w:val="20"/>
              </w:rPr>
              <w:t xml:space="preserve">20,6</w:t>
            </w:r>
          </w:p>
        </w:tc>
        <w:tc>
          <w:tcPr>
            <w:tcW w:w="963" w:type="dxa"/>
            <w:vAlign w:val="center"/>
          </w:tcPr>
          <w:p>
            <w:pPr>
              <w:pStyle w:val="0"/>
              <w:jc w:val="center"/>
            </w:pPr>
            <w:r>
              <w:rPr>
                <w:sz w:val="20"/>
              </w:rPr>
              <w:t xml:space="preserve">382</w:t>
            </w:r>
          </w:p>
        </w:tc>
        <w:tc>
          <w:tcPr>
            <w:tcW w:w="1247" w:type="dxa"/>
            <w:vAlign w:val="bottom"/>
          </w:tcPr>
          <w:p>
            <w:pPr>
              <w:pStyle w:val="0"/>
              <w:jc w:val="center"/>
            </w:pPr>
            <w:r>
              <w:rPr>
                <w:sz w:val="20"/>
              </w:rPr>
              <w:t xml:space="preserve">23,1</w:t>
            </w:r>
          </w:p>
        </w:tc>
      </w:tr>
      <w:tr>
        <w:tc>
          <w:tcPr>
            <w:tcW w:w="2721" w:type="dxa"/>
          </w:tcPr>
          <w:p>
            <w:pPr>
              <w:pStyle w:val="0"/>
              <w:jc w:val="both"/>
            </w:pPr>
            <w:r>
              <w:rPr>
                <w:sz w:val="20"/>
              </w:rPr>
              <w:t xml:space="preserve">Ободочная кишка</w:t>
            </w:r>
          </w:p>
        </w:tc>
        <w:tc>
          <w:tcPr>
            <w:tcW w:w="963" w:type="dxa"/>
            <w:vAlign w:val="center"/>
          </w:tcPr>
          <w:p>
            <w:pPr>
              <w:pStyle w:val="0"/>
              <w:jc w:val="center"/>
            </w:pPr>
            <w:r>
              <w:rPr>
                <w:sz w:val="20"/>
              </w:rPr>
              <w:t xml:space="preserve">127</w:t>
            </w:r>
          </w:p>
        </w:tc>
        <w:tc>
          <w:tcPr>
            <w:tcW w:w="963" w:type="dxa"/>
            <w:vAlign w:val="bottom"/>
          </w:tcPr>
          <w:p>
            <w:pPr>
              <w:pStyle w:val="0"/>
              <w:jc w:val="center"/>
            </w:pPr>
            <w:r>
              <w:rPr>
                <w:sz w:val="20"/>
              </w:rPr>
              <w:t xml:space="preserve">9,5</w:t>
            </w:r>
          </w:p>
        </w:tc>
        <w:tc>
          <w:tcPr>
            <w:tcW w:w="1247" w:type="dxa"/>
            <w:vAlign w:val="center"/>
          </w:tcPr>
          <w:p>
            <w:pPr>
              <w:pStyle w:val="0"/>
              <w:jc w:val="center"/>
            </w:pPr>
            <w:r>
              <w:rPr>
                <w:sz w:val="20"/>
              </w:rPr>
              <w:t xml:space="preserve">109</w:t>
            </w:r>
          </w:p>
        </w:tc>
        <w:tc>
          <w:tcPr>
            <w:tcW w:w="963" w:type="dxa"/>
            <w:vAlign w:val="bottom"/>
          </w:tcPr>
          <w:p>
            <w:pPr>
              <w:pStyle w:val="0"/>
              <w:jc w:val="center"/>
            </w:pPr>
            <w:r>
              <w:rPr>
                <w:sz w:val="20"/>
              </w:rPr>
              <w:t xml:space="preserve">7,5</w:t>
            </w:r>
          </w:p>
        </w:tc>
        <w:tc>
          <w:tcPr>
            <w:tcW w:w="963" w:type="dxa"/>
            <w:vAlign w:val="center"/>
          </w:tcPr>
          <w:p>
            <w:pPr>
              <w:pStyle w:val="0"/>
              <w:jc w:val="center"/>
            </w:pPr>
            <w:r>
              <w:rPr>
                <w:sz w:val="20"/>
              </w:rPr>
              <w:t xml:space="preserve">112</w:t>
            </w:r>
          </w:p>
        </w:tc>
        <w:tc>
          <w:tcPr>
            <w:tcW w:w="1247" w:type="dxa"/>
            <w:vAlign w:val="bottom"/>
          </w:tcPr>
          <w:p>
            <w:pPr>
              <w:pStyle w:val="0"/>
              <w:jc w:val="center"/>
            </w:pPr>
            <w:r>
              <w:rPr>
                <w:sz w:val="20"/>
              </w:rPr>
              <w:t xml:space="preserve">6,8</w:t>
            </w:r>
          </w:p>
        </w:tc>
      </w:tr>
      <w:tr>
        <w:tc>
          <w:tcPr>
            <w:tcW w:w="2721" w:type="dxa"/>
          </w:tcPr>
          <w:p>
            <w:pPr>
              <w:pStyle w:val="0"/>
              <w:jc w:val="both"/>
            </w:pPr>
            <w:r>
              <w:rPr>
                <w:sz w:val="20"/>
              </w:rPr>
              <w:t xml:space="preserve">Тело матки</w:t>
            </w:r>
          </w:p>
        </w:tc>
        <w:tc>
          <w:tcPr>
            <w:tcW w:w="963" w:type="dxa"/>
            <w:vAlign w:val="center"/>
          </w:tcPr>
          <w:p>
            <w:pPr>
              <w:pStyle w:val="0"/>
              <w:jc w:val="center"/>
            </w:pPr>
            <w:r>
              <w:rPr>
                <w:sz w:val="20"/>
              </w:rPr>
              <w:t xml:space="preserve">105</w:t>
            </w:r>
          </w:p>
        </w:tc>
        <w:tc>
          <w:tcPr>
            <w:tcW w:w="963" w:type="dxa"/>
            <w:vAlign w:val="bottom"/>
          </w:tcPr>
          <w:p>
            <w:pPr>
              <w:pStyle w:val="0"/>
              <w:jc w:val="center"/>
            </w:pPr>
            <w:r>
              <w:rPr>
                <w:sz w:val="20"/>
              </w:rPr>
              <w:t xml:space="preserve">7,8</w:t>
            </w:r>
          </w:p>
        </w:tc>
        <w:tc>
          <w:tcPr>
            <w:tcW w:w="1247" w:type="dxa"/>
            <w:vAlign w:val="center"/>
          </w:tcPr>
          <w:p>
            <w:pPr>
              <w:pStyle w:val="0"/>
              <w:jc w:val="center"/>
            </w:pPr>
            <w:r>
              <w:rPr>
                <w:sz w:val="20"/>
              </w:rPr>
              <w:t xml:space="preserve">97</w:t>
            </w:r>
          </w:p>
        </w:tc>
        <w:tc>
          <w:tcPr>
            <w:tcW w:w="963" w:type="dxa"/>
            <w:vAlign w:val="bottom"/>
          </w:tcPr>
          <w:p>
            <w:pPr>
              <w:pStyle w:val="0"/>
              <w:jc w:val="center"/>
            </w:pPr>
            <w:r>
              <w:rPr>
                <w:sz w:val="20"/>
              </w:rPr>
              <w:t xml:space="preserve">6,7</w:t>
            </w:r>
          </w:p>
        </w:tc>
        <w:tc>
          <w:tcPr>
            <w:tcW w:w="963" w:type="dxa"/>
            <w:vAlign w:val="center"/>
          </w:tcPr>
          <w:p>
            <w:pPr>
              <w:pStyle w:val="0"/>
              <w:jc w:val="center"/>
            </w:pPr>
            <w:r>
              <w:rPr>
                <w:sz w:val="20"/>
              </w:rPr>
              <w:t xml:space="preserve">97</w:t>
            </w:r>
          </w:p>
        </w:tc>
        <w:tc>
          <w:tcPr>
            <w:tcW w:w="1247" w:type="dxa"/>
            <w:vAlign w:val="bottom"/>
          </w:tcPr>
          <w:p>
            <w:pPr>
              <w:pStyle w:val="0"/>
              <w:jc w:val="center"/>
            </w:pPr>
            <w:r>
              <w:rPr>
                <w:sz w:val="20"/>
              </w:rPr>
              <w:t xml:space="preserve">5,9</w:t>
            </w:r>
          </w:p>
        </w:tc>
      </w:tr>
      <w:tr>
        <w:tc>
          <w:tcPr>
            <w:tcW w:w="2721" w:type="dxa"/>
          </w:tcPr>
          <w:p>
            <w:pPr>
              <w:pStyle w:val="0"/>
              <w:jc w:val="both"/>
            </w:pPr>
            <w:r>
              <w:rPr>
                <w:sz w:val="20"/>
              </w:rPr>
              <w:t xml:space="preserve">Шейка матки</w:t>
            </w:r>
          </w:p>
        </w:tc>
        <w:tc>
          <w:tcPr>
            <w:tcW w:w="963" w:type="dxa"/>
            <w:vAlign w:val="center"/>
          </w:tcPr>
          <w:p>
            <w:pPr>
              <w:pStyle w:val="0"/>
              <w:jc w:val="center"/>
            </w:pPr>
            <w:r>
              <w:rPr>
                <w:sz w:val="20"/>
              </w:rPr>
              <w:t xml:space="preserve">60</w:t>
            </w:r>
          </w:p>
        </w:tc>
        <w:tc>
          <w:tcPr>
            <w:tcW w:w="963" w:type="dxa"/>
            <w:vAlign w:val="bottom"/>
          </w:tcPr>
          <w:p>
            <w:pPr>
              <w:pStyle w:val="0"/>
              <w:jc w:val="center"/>
            </w:pPr>
            <w:r>
              <w:rPr>
                <w:sz w:val="20"/>
              </w:rPr>
              <w:t xml:space="preserve">4,5</w:t>
            </w:r>
          </w:p>
        </w:tc>
        <w:tc>
          <w:tcPr>
            <w:tcW w:w="1247" w:type="dxa"/>
            <w:vAlign w:val="center"/>
          </w:tcPr>
          <w:p>
            <w:pPr>
              <w:pStyle w:val="0"/>
              <w:jc w:val="center"/>
            </w:pPr>
            <w:r>
              <w:rPr>
                <w:sz w:val="20"/>
              </w:rPr>
              <w:t xml:space="preserve">52</w:t>
            </w:r>
          </w:p>
        </w:tc>
        <w:tc>
          <w:tcPr>
            <w:tcW w:w="963" w:type="dxa"/>
            <w:vAlign w:val="bottom"/>
          </w:tcPr>
          <w:p>
            <w:pPr>
              <w:pStyle w:val="0"/>
              <w:jc w:val="center"/>
            </w:pPr>
            <w:r>
              <w:rPr>
                <w:sz w:val="20"/>
              </w:rPr>
              <w:t xml:space="preserve">3,6</w:t>
            </w:r>
          </w:p>
        </w:tc>
        <w:tc>
          <w:tcPr>
            <w:tcW w:w="963" w:type="dxa"/>
            <w:vAlign w:val="center"/>
          </w:tcPr>
          <w:p>
            <w:pPr>
              <w:pStyle w:val="0"/>
              <w:jc w:val="center"/>
            </w:pPr>
            <w:r>
              <w:rPr>
                <w:sz w:val="20"/>
              </w:rPr>
              <w:t xml:space="preserve">75</w:t>
            </w:r>
          </w:p>
        </w:tc>
        <w:tc>
          <w:tcPr>
            <w:tcW w:w="1247" w:type="dxa"/>
            <w:vAlign w:val="bottom"/>
          </w:tcPr>
          <w:p>
            <w:pPr>
              <w:pStyle w:val="0"/>
              <w:jc w:val="center"/>
            </w:pPr>
            <w:r>
              <w:rPr>
                <w:sz w:val="20"/>
              </w:rPr>
              <w:t xml:space="preserve">4,5</w:t>
            </w:r>
          </w:p>
        </w:tc>
      </w:tr>
    </w:tbl>
    <w:p>
      <w:pPr>
        <w:pStyle w:val="0"/>
        <w:ind w:firstLine="540"/>
        <w:jc w:val="both"/>
      </w:pPr>
      <w:r>
        <w:rPr>
          <w:sz w:val="20"/>
        </w:rPr>
      </w:r>
    </w:p>
    <w:p>
      <w:pPr>
        <w:pStyle w:val="0"/>
        <w:ind w:firstLine="540"/>
        <w:jc w:val="both"/>
      </w:pPr>
      <w:r>
        <w:rPr>
          <w:sz w:val="20"/>
        </w:rPr>
        <w:t xml:space="preserve">Количество впервые выявленных случаев злокачественных новообразований постоянно растет, заболеваемость с 2018 года выросла на 19%, выше, чем среднероссийский показатель.</w:t>
      </w:r>
    </w:p>
    <w:p>
      <w:pPr>
        <w:pStyle w:val="0"/>
        <w:spacing w:before="200" w:line-rule="auto"/>
        <w:ind w:firstLine="540"/>
        <w:jc w:val="both"/>
      </w:pPr>
      <w:r>
        <w:rPr>
          <w:sz w:val="20"/>
        </w:rPr>
        <w:t xml:space="preserve">Если анализировать возрастной состав заболевших, то за последние 4 года выявление злокачественных новообразований у лиц старше 80 лет увеличилось незначительно - на 1,7%, у лиц от 65 до 80 лет увеличилось на 25%, а у лиц младше 50 лет наблюдается почти двукратный рост.</w:t>
      </w:r>
    </w:p>
    <w:p>
      <w:pPr>
        <w:pStyle w:val="0"/>
        <w:jc w:val="right"/>
      </w:pPr>
      <w:r>
        <w:rPr>
          <w:sz w:val="20"/>
        </w:rPr>
      </w:r>
    </w:p>
    <w:p>
      <w:pPr>
        <w:pStyle w:val="0"/>
        <w:jc w:val="right"/>
      </w:pPr>
      <w:r>
        <w:rPr>
          <w:sz w:val="20"/>
        </w:rPr>
        <w:t xml:space="preserve">Таблица N 7</w:t>
      </w:r>
    </w:p>
    <w:p>
      <w:pPr>
        <w:pStyle w:val="0"/>
        <w:jc w:val="center"/>
      </w:pPr>
      <w:r>
        <w:rPr>
          <w:sz w:val="20"/>
        </w:rPr>
      </w:r>
    </w:p>
    <w:p>
      <w:pPr>
        <w:pStyle w:val="0"/>
        <w:jc w:val="center"/>
      </w:pPr>
      <w:r>
        <w:rPr>
          <w:sz w:val="20"/>
        </w:rPr>
        <w:t xml:space="preserve">Выявленные случаи злокачественных новообразований (%)</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25"/>
        <w:gridCol w:w="925"/>
        <w:gridCol w:w="1098"/>
        <w:gridCol w:w="1077"/>
        <w:gridCol w:w="1077"/>
        <w:gridCol w:w="1361"/>
        <w:gridCol w:w="1417"/>
      </w:tblGrid>
      <w:tr>
        <w:tc>
          <w:tcPr>
            <w:tcW w:w="2125" w:type="dxa"/>
          </w:tcPr>
          <w:p>
            <w:pPr>
              <w:pStyle w:val="0"/>
              <w:jc w:val="center"/>
            </w:pPr>
            <w:r>
              <w:rPr>
                <w:sz w:val="20"/>
              </w:rPr>
              <w:t xml:space="preserve">Наименование</w:t>
            </w:r>
          </w:p>
        </w:tc>
        <w:tc>
          <w:tcPr>
            <w:tcW w:w="925" w:type="dxa"/>
          </w:tcPr>
          <w:p>
            <w:pPr>
              <w:pStyle w:val="0"/>
              <w:jc w:val="center"/>
            </w:pPr>
            <w:r>
              <w:rPr>
                <w:sz w:val="20"/>
              </w:rPr>
              <w:t xml:space="preserve">2019</w:t>
            </w:r>
          </w:p>
        </w:tc>
        <w:tc>
          <w:tcPr>
            <w:tcW w:w="1098" w:type="dxa"/>
          </w:tcPr>
          <w:p>
            <w:pPr>
              <w:pStyle w:val="0"/>
              <w:jc w:val="center"/>
            </w:pPr>
            <w:r>
              <w:rPr>
                <w:sz w:val="20"/>
              </w:rPr>
              <w:t xml:space="preserve">2020</w:t>
            </w:r>
          </w:p>
        </w:tc>
        <w:tc>
          <w:tcPr>
            <w:tcW w:w="1077" w:type="dxa"/>
          </w:tcPr>
          <w:p>
            <w:pPr>
              <w:pStyle w:val="0"/>
              <w:jc w:val="center"/>
            </w:pPr>
            <w:r>
              <w:rPr>
                <w:sz w:val="20"/>
              </w:rPr>
              <w:t xml:space="preserve">2021</w:t>
            </w:r>
          </w:p>
        </w:tc>
        <w:tc>
          <w:tcPr>
            <w:tcW w:w="1077" w:type="dxa"/>
          </w:tcPr>
          <w:p>
            <w:pPr>
              <w:pStyle w:val="0"/>
              <w:jc w:val="center"/>
            </w:pPr>
            <w:r>
              <w:rPr>
                <w:sz w:val="20"/>
              </w:rPr>
              <w:t xml:space="preserve">2022</w:t>
            </w:r>
          </w:p>
        </w:tc>
        <w:tc>
          <w:tcPr>
            <w:tcW w:w="1361" w:type="dxa"/>
          </w:tcPr>
          <w:p>
            <w:pPr>
              <w:pStyle w:val="0"/>
              <w:jc w:val="center"/>
            </w:pPr>
            <w:r>
              <w:rPr>
                <w:sz w:val="20"/>
              </w:rPr>
              <w:t xml:space="preserve">Динамика, 2019/2022</w:t>
            </w:r>
          </w:p>
        </w:tc>
        <w:tc>
          <w:tcPr>
            <w:tcW w:w="1417" w:type="dxa"/>
          </w:tcPr>
          <w:p>
            <w:pPr>
              <w:pStyle w:val="0"/>
              <w:jc w:val="center"/>
            </w:pPr>
            <w:r>
              <w:rPr>
                <w:sz w:val="20"/>
              </w:rPr>
              <w:t xml:space="preserve">Динамика, 2021/2022</w:t>
            </w:r>
          </w:p>
        </w:tc>
      </w:tr>
      <w:tr>
        <w:tc>
          <w:tcPr>
            <w:tcW w:w="2125" w:type="dxa"/>
          </w:tcPr>
          <w:p>
            <w:pPr>
              <w:pStyle w:val="0"/>
              <w:jc w:val="both"/>
            </w:pPr>
            <w:r>
              <w:rPr>
                <w:sz w:val="20"/>
              </w:rPr>
              <w:t xml:space="preserve">0 - 17</w:t>
            </w:r>
          </w:p>
        </w:tc>
        <w:tc>
          <w:tcPr>
            <w:tcW w:w="925" w:type="dxa"/>
          </w:tcPr>
          <w:p>
            <w:pPr>
              <w:pStyle w:val="0"/>
              <w:jc w:val="center"/>
            </w:pPr>
            <w:r>
              <w:rPr>
                <w:sz w:val="20"/>
              </w:rPr>
              <w:t xml:space="preserve">7</w:t>
            </w:r>
          </w:p>
        </w:tc>
        <w:tc>
          <w:tcPr>
            <w:tcW w:w="1098" w:type="dxa"/>
          </w:tcPr>
          <w:p>
            <w:pPr>
              <w:pStyle w:val="0"/>
              <w:jc w:val="center"/>
            </w:pPr>
            <w:r>
              <w:rPr>
                <w:sz w:val="20"/>
              </w:rPr>
              <w:t xml:space="preserve">8</w:t>
            </w:r>
          </w:p>
        </w:tc>
        <w:tc>
          <w:tcPr>
            <w:tcW w:w="1077" w:type="dxa"/>
          </w:tcPr>
          <w:p>
            <w:pPr>
              <w:pStyle w:val="0"/>
              <w:jc w:val="center"/>
            </w:pPr>
            <w:r>
              <w:rPr>
                <w:sz w:val="20"/>
              </w:rPr>
              <w:t xml:space="preserve">14</w:t>
            </w:r>
          </w:p>
        </w:tc>
        <w:tc>
          <w:tcPr>
            <w:tcW w:w="1077" w:type="dxa"/>
          </w:tcPr>
          <w:p>
            <w:pPr>
              <w:pStyle w:val="0"/>
              <w:jc w:val="center"/>
            </w:pPr>
            <w:r>
              <w:rPr>
                <w:sz w:val="20"/>
              </w:rPr>
              <w:t xml:space="preserve">15</w:t>
            </w:r>
          </w:p>
        </w:tc>
        <w:tc>
          <w:tcPr>
            <w:tcW w:w="1361" w:type="dxa"/>
          </w:tcPr>
          <w:p>
            <w:pPr>
              <w:pStyle w:val="0"/>
              <w:jc w:val="center"/>
            </w:pPr>
            <w:r>
              <w:rPr>
                <w:sz w:val="20"/>
              </w:rPr>
              <w:t xml:space="preserve">114,3</w:t>
            </w:r>
          </w:p>
        </w:tc>
        <w:tc>
          <w:tcPr>
            <w:tcW w:w="1417" w:type="dxa"/>
          </w:tcPr>
          <w:p>
            <w:pPr>
              <w:pStyle w:val="0"/>
              <w:jc w:val="center"/>
            </w:pPr>
            <w:r>
              <w:rPr>
                <w:sz w:val="20"/>
              </w:rPr>
              <w:t xml:space="preserve">7,1</w:t>
            </w:r>
          </w:p>
        </w:tc>
      </w:tr>
      <w:tr>
        <w:tc>
          <w:tcPr>
            <w:tcW w:w="2125" w:type="dxa"/>
          </w:tcPr>
          <w:p>
            <w:pPr>
              <w:pStyle w:val="0"/>
              <w:jc w:val="both"/>
            </w:pPr>
            <w:r>
              <w:rPr>
                <w:sz w:val="20"/>
              </w:rPr>
              <w:t xml:space="preserve">До 40 лет</w:t>
            </w:r>
          </w:p>
        </w:tc>
        <w:tc>
          <w:tcPr>
            <w:tcW w:w="925" w:type="dxa"/>
          </w:tcPr>
          <w:p>
            <w:pPr>
              <w:pStyle w:val="0"/>
              <w:jc w:val="center"/>
            </w:pPr>
            <w:r>
              <w:rPr>
                <w:sz w:val="20"/>
              </w:rPr>
              <w:t xml:space="preserve">95</w:t>
            </w:r>
          </w:p>
        </w:tc>
        <w:tc>
          <w:tcPr>
            <w:tcW w:w="1098" w:type="dxa"/>
          </w:tcPr>
          <w:p>
            <w:pPr>
              <w:pStyle w:val="0"/>
              <w:jc w:val="center"/>
            </w:pPr>
            <w:r>
              <w:rPr>
                <w:sz w:val="20"/>
              </w:rPr>
              <w:t xml:space="preserve">110</w:t>
            </w:r>
          </w:p>
        </w:tc>
        <w:tc>
          <w:tcPr>
            <w:tcW w:w="1077" w:type="dxa"/>
          </w:tcPr>
          <w:p>
            <w:pPr>
              <w:pStyle w:val="0"/>
              <w:jc w:val="center"/>
            </w:pPr>
            <w:r>
              <w:rPr>
                <w:sz w:val="20"/>
              </w:rPr>
              <w:t xml:space="preserve">113</w:t>
            </w:r>
          </w:p>
        </w:tc>
        <w:tc>
          <w:tcPr>
            <w:tcW w:w="1077" w:type="dxa"/>
          </w:tcPr>
          <w:p>
            <w:pPr>
              <w:pStyle w:val="0"/>
              <w:jc w:val="center"/>
            </w:pPr>
            <w:r>
              <w:rPr>
                <w:sz w:val="20"/>
              </w:rPr>
              <w:t xml:space="preserve">114</w:t>
            </w:r>
          </w:p>
        </w:tc>
        <w:tc>
          <w:tcPr>
            <w:tcW w:w="1361" w:type="dxa"/>
          </w:tcPr>
          <w:p>
            <w:pPr>
              <w:pStyle w:val="0"/>
              <w:jc w:val="center"/>
            </w:pPr>
            <w:r>
              <w:rPr>
                <w:sz w:val="20"/>
              </w:rPr>
              <w:t xml:space="preserve">20,0</w:t>
            </w:r>
          </w:p>
        </w:tc>
        <w:tc>
          <w:tcPr>
            <w:tcW w:w="1417" w:type="dxa"/>
          </w:tcPr>
          <w:p>
            <w:pPr>
              <w:pStyle w:val="0"/>
              <w:jc w:val="center"/>
            </w:pPr>
            <w:r>
              <w:rPr>
                <w:sz w:val="20"/>
              </w:rPr>
              <w:t xml:space="preserve">0,9</w:t>
            </w:r>
          </w:p>
        </w:tc>
      </w:tr>
      <w:tr>
        <w:tc>
          <w:tcPr>
            <w:tcW w:w="2125" w:type="dxa"/>
          </w:tcPr>
          <w:p>
            <w:pPr>
              <w:pStyle w:val="0"/>
              <w:jc w:val="both"/>
            </w:pPr>
            <w:r>
              <w:rPr>
                <w:sz w:val="20"/>
              </w:rPr>
              <w:t xml:space="preserve">40 - 50</w:t>
            </w:r>
          </w:p>
        </w:tc>
        <w:tc>
          <w:tcPr>
            <w:tcW w:w="925" w:type="dxa"/>
          </w:tcPr>
          <w:p>
            <w:pPr>
              <w:pStyle w:val="0"/>
              <w:jc w:val="center"/>
            </w:pPr>
            <w:r>
              <w:rPr>
                <w:sz w:val="20"/>
              </w:rPr>
              <w:t xml:space="preserve">169</w:t>
            </w:r>
          </w:p>
        </w:tc>
        <w:tc>
          <w:tcPr>
            <w:tcW w:w="1098" w:type="dxa"/>
          </w:tcPr>
          <w:p>
            <w:pPr>
              <w:pStyle w:val="0"/>
              <w:jc w:val="center"/>
            </w:pPr>
            <w:r>
              <w:rPr>
                <w:sz w:val="20"/>
              </w:rPr>
              <w:t xml:space="preserve">179</w:t>
            </w:r>
          </w:p>
        </w:tc>
        <w:tc>
          <w:tcPr>
            <w:tcW w:w="1077" w:type="dxa"/>
          </w:tcPr>
          <w:p>
            <w:pPr>
              <w:pStyle w:val="0"/>
              <w:jc w:val="center"/>
            </w:pPr>
            <w:r>
              <w:rPr>
                <w:sz w:val="20"/>
              </w:rPr>
              <w:t xml:space="preserve">187</w:t>
            </w:r>
          </w:p>
        </w:tc>
        <w:tc>
          <w:tcPr>
            <w:tcW w:w="1077" w:type="dxa"/>
          </w:tcPr>
          <w:p>
            <w:pPr>
              <w:pStyle w:val="0"/>
              <w:jc w:val="center"/>
            </w:pPr>
            <w:r>
              <w:rPr>
                <w:sz w:val="20"/>
              </w:rPr>
              <w:t xml:space="preserve">259</w:t>
            </w:r>
          </w:p>
        </w:tc>
        <w:tc>
          <w:tcPr>
            <w:tcW w:w="1361" w:type="dxa"/>
          </w:tcPr>
          <w:p>
            <w:pPr>
              <w:pStyle w:val="0"/>
              <w:jc w:val="center"/>
            </w:pPr>
            <w:r>
              <w:rPr>
                <w:sz w:val="20"/>
              </w:rPr>
              <w:t xml:space="preserve">53,3</w:t>
            </w:r>
          </w:p>
        </w:tc>
        <w:tc>
          <w:tcPr>
            <w:tcW w:w="1417" w:type="dxa"/>
          </w:tcPr>
          <w:p>
            <w:pPr>
              <w:pStyle w:val="0"/>
              <w:jc w:val="center"/>
            </w:pPr>
            <w:r>
              <w:rPr>
                <w:sz w:val="20"/>
              </w:rPr>
              <w:t xml:space="preserve">38,5</w:t>
            </w:r>
          </w:p>
        </w:tc>
      </w:tr>
      <w:tr>
        <w:tc>
          <w:tcPr>
            <w:tcW w:w="2125" w:type="dxa"/>
          </w:tcPr>
          <w:p>
            <w:pPr>
              <w:pStyle w:val="0"/>
              <w:jc w:val="both"/>
            </w:pPr>
            <w:r>
              <w:rPr>
                <w:sz w:val="20"/>
              </w:rPr>
              <w:t xml:space="preserve">50 - 60</w:t>
            </w:r>
          </w:p>
        </w:tc>
        <w:tc>
          <w:tcPr>
            <w:tcW w:w="925" w:type="dxa"/>
          </w:tcPr>
          <w:p>
            <w:pPr>
              <w:pStyle w:val="0"/>
              <w:jc w:val="center"/>
            </w:pPr>
            <w:r>
              <w:rPr>
                <w:sz w:val="20"/>
              </w:rPr>
              <w:t xml:space="preserve">354</w:t>
            </w:r>
          </w:p>
        </w:tc>
        <w:tc>
          <w:tcPr>
            <w:tcW w:w="1098" w:type="dxa"/>
          </w:tcPr>
          <w:p>
            <w:pPr>
              <w:pStyle w:val="0"/>
              <w:jc w:val="center"/>
            </w:pPr>
            <w:r>
              <w:rPr>
                <w:sz w:val="20"/>
              </w:rPr>
              <w:t xml:space="preserve">347</w:t>
            </w:r>
          </w:p>
        </w:tc>
        <w:tc>
          <w:tcPr>
            <w:tcW w:w="1077" w:type="dxa"/>
          </w:tcPr>
          <w:p>
            <w:pPr>
              <w:pStyle w:val="0"/>
              <w:jc w:val="center"/>
            </w:pPr>
            <w:r>
              <w:rPr>
                <w:sz w:val="20"/>
              </w:rPr>
              <w:t xml:space="preserve">389</w:t>
            </w:r>
          </w:p>
        </w:tc>
        <w:tc>
          <w:tcPr>
            <w:tcW w:w="1077" w:type="dxa"/>
          </w:tcPr>
          <w:p>
            <w:pPr>
              <w:pStyle w:val="0"/>
              <w:jc w:val="center"/>
            </w:pPr>
            <w:r>
              <w:rPr>
                <w:sz w:val="20"/>
              </w:rPr>
              <w:t xml:space="preserve">398</w:t>
            </w:r>
          </w:p>
        </w:tc>
        <w:tc>
          <w:tcPr>
            <w:tcW w:w="1361" w:type="dxa"/>
          </w:tcPr>
          <w:p>
            <w:pPr>
              <w:pStyle w:val="0"/>
              <w:jc w:val="center"/>
            </w:pPr>
            <w:r>
              <w:rPr>
                <w:sz w:val="20"/>
              </w:rPr>
              <w:t xml:space="preserve">12,4</w:t>
            </w:r>
          </w:p>
        </w:tc>
        <w:tc>
          <w:tcPr>
            <w:tcW w:w="1417" w:type="dxa"/>
          </w:tcPr>
          <w:p>
            <w:pPr>
              <w:pStyle w:val="0"/>
              <w:jc w:val="center"/>
            </w:pPr>
            <w:r>
              <w:rPr>
                <w:sz w:val="20"/>
              </w:rPr>
              <w:t xml:space="preserve">2,3</w:t>
            </w:r>
          </w:p>
        </w:tc>
      </w:tr>
      <w:tr>
        <w:tc>
          <w:tcPr>
            <w:tcW w:w="2125" w:type="dxa"/>
          </w:tcPr>
          <w:p>
            <w:pPr>
              <w:pStyle w:val="0"/>
              <w:jc w:val="both"/>
            </w:pPr>
            <w:r>
              <w:rPr>
                <w:sz w:val="20"/>
              </w:rPr>
              <w:t xml:space="preserve">60 - 70</w:t>
            </w:r>
          </w:p>
        </w:tc>
        <w:tc>
          <w:tcPr>
            <w:tcW w:w="925" w:type="dxa"/>
          </w:tcPr>
          <w:p>
            <w:pPr>
              <w:pStyle w:val="0"/>
              <w:jc w:val="center"/>
            </w:pPr>
            <w:r>
              <w:rPr>
                <w:sz w:val="20"/>
              </w:rPr>
              <w:t xml:space="preserve">709</w:t>
            </w:r>
          </w:p>
        </w:tc>
        <w:tc>
          <w:tcPr>
            <w:tcW w:w="1098" w:type="dxa"/>
          </w:tcPr>
          <w:p>
            <w:pPr>
              <w:pStyle w:val="0"/>
              <w:jc w:val="center"/>
            </w:pPr>
            <w:r>
              <w:rPr>
                <w:sz w:val="20"/>
              </w:rPr>
              <w:t xml:space="preserve">687</w:t>
            </w:r>
          </w:p>
        </w:tc>
        <w:tc>
          <w:tcPr>
            <w:tcW w:w="1077" w:type="dxa"/>
          </w:tcPr>
          <w:p>
            <w:pPr>
              <w:pStyle w:val="0"/>
              <w:jc w:val="center"/>
            </w:pPr>
            <w:r>
              <w:rPr>
                <w:sz w:val="20"/>
              </w:rPr>
              <w:t xml:space="preserve">758</w:t>
            </w:r>
          </w:p>
        </w:tc>
        <w:tc>
          <w:tcPr>
            <w:tcW w:w="1077" w:type="dxa"/>
          </w:tcPr>
          <w:p>
            <w:pPr>
              <w:pStyle w:val="0"/>
              <w:jc w:val="center"/>
            </w:pPr>
            <w:r>
              <w:rPr>
                <w:sz w:val="20"/>
              </w:rPr>
              <w:t xml:space="preserve">862</w:t>
            </w:r>
          </w:p>
        </w:tc>
        <w:tc>
          <w:tcPr>
            <w:tcW w:w="1361" w:type="dxa"/>
          </w:tcPr>
          <w:p>
            <w:pPr>
              <w:pStyle w:val="0"/>
              <w:jc w:val="center"/>
            </w:pPr>
            <w:r>
              <w:rPr>
                <w:sz w:val="20"/>
              </w:rPr>
              <w:t xml:space="preserve">21,6</w:t>
            </w:r>
          </w:p>
        </w:tc>
        <w:tc>
          <w:tcPr>
            <w:tcW w:w="1417" w:type="dxa"/>
          </w:tcPr>
          <w:p>
            <w:pPr>
              <w:pStyle w:val="0"/>
              <w:jc w:val="center"/>
            </w:pPr>
            <w:r>
              <w:rPr>
                <w:sz w:val="20"/>
              </w:rPr>
              <w:t xml:space="preserve">13,7</w:t>
            </w:r>
          </w:p>
        </w:tc>
      </w:tr>
      <w:tr>
        <w:tc>
          <w:tcPr>
            <w:tcW w:w="2125" w:type="dxa"/>
          </w:tcPr>
          <w:p>
            <w:pPr>
              <w:pStyle w:val="0"/>
              <w:jc w:val="both"/>
            </w:pPr>
            <w:r>
              <w:rPr>
                <w:sz w:val="20"/>
              </w:rPr>
              <w:t xml:space="preserve">70 - 80</w:t>
            </w:r>
          </w:p>
        </w:tc>
        <w:tc>
          <w:tcPr>
            <w:tcW w:w="925" w:type="dxa"/>
          </w:tcPr>
          <w:p>
            <w:pPr>
              <w:pStyle w:val="0"/>
              <w:jc w:val="center"/>
            </w:pPr>
            <w:r>
              <w:rPr>
                <w:sz w:val="20"/>
              </w:rPr>
              <w:t xml:space="preserve">601</w:t>
            </w:r>
          </w:p>
        </w:tc>
        <w:tc>
          <w:tcPr>
            <w:tcW w:w="1098" w:type="dxa"/>
          </w:tcPr>
          <w:p>
            <w:pPr>
              <w:pStyle w:val="0"/>
              <w:jc w:val="center"/>
            </w:pPr>
            <w:r>
              <w:rPr>
                <w:sz w:val="20"/>
              </w:rPr>
              <w:t xml:space="preserve">614</w:t>
            </w:r>
          </w:p>
        </w:tc>
        <w:tc>
          <w:tcPr>
            <w:tcW w:w="1077" w:type="dxa"/>
          </w:tcPr>
          <w:p>
            <w:pPr>
              <w:pStyle w:val="0"/>
              <w:jc w:val="center"/>
            </w:pPr>
            <w:r>
              <w:rPr>
                <w:sz w:val="20"/>
              </w:rPr>
              <w:t xml:space="preserve">628</w:t>
            </w:r>
          </w:p>
        </w:tc>
        <w:tc>
          <w:tcPr>
            <w:tcW w:w="1077" w:type="dxa"/>
          </w:tcPr>
          <w:p>
            <w:pPr>
              <w:pStyle w:val="0"/>
              <w:jc w:val="center"/>
            </w:pPr>
            <w:r>
              <w:rPr>
                <w:sz w:val="20"/>
              </w:rPr>
              <w:t xml:space="preserve">781</w:t>
            </w:r>
          </w:p>
        </w:tc>
        <w:tc>
          <w:tcPr>
            <w:tcW w:w="1361" w:type="dxa"/>
          </w:tcPr>
          <w:p>
            <w:pPr>
              <w:pStyle w:val="0"/>
              <w:jc w:val="center"/>
            </w:pPr>
            <w:r>
              <w:rPr>
                <w:sz w:val="20"/>
              </w:rPr>
              <w:t xml:space="preserve">30,0</w:t>
            </w:r>
          </w:p>
        </w:tc>
        <w:tc>
          <w:tcPr>
            <w:tcW w:w="1417" w:type="dxa"/>
          </w:tcPr>
          <w:p>
            <w:pPr>
              <w:pStyle w:val="0"/>
              <w:jc w:val="center"/>
            </w:pPr>
            <w:r>
              <w:rPr>
                <w:sz w:val="20"/>
              </w:rPr>
              <w:t xml:space="preserve">24,4</w:t>
            </w:r>
          </w:p>
        </w:tc>
      </w:tr>
      <w:tr>
        <w:tc>
          <w:tcPr>
            <w:tcW w:w="2125" w:type="dxa"/>
          </w:tcPr>
          <w:p>
            <w:pPr>
              <w:pStyle w:val="0"/>
              <w:jc w:val="both"/>
            </w:pPr>
            <w:r>
              <w:rPr>
                <w:sz w:val="20"/>
              </w:rPr>
              <w:t xml:space="preserve">Старше 80 лет</w:t>
            </w:r>
          </w:p>
        </w:tc>
        <w:tc>
          <w:tcPr>
            <w:tcW w:w="925" w:type="dxa"/>
          </w:tcPr>
          <w:p>
            <w:pPr>
              <w:pStyle w:val="0"/>
              <w:jc w:val="center"/>
            </w:pPr>
            <w:r>
              <w:rPr>
                <w:sz w:val="20"/>
              </w:rPr>
              <w:t xml:space="preserve">423</w:t>
            </w:r>
          </w:p>
        </w:tc>
        <w:tc>
          <w:tcPr>
            <w:tcW w:w="1098" w:type="dxa"/>
          </w:tcPr>
          <w:p>
            <w:pPr>
              <w:pStyle w:val="0"/>
              <w:jc w:val="center"/>
            </w:pPr>
            <w:r>
              <w:rPr>
                <w:sz w:val="20"/>
              </w:rPr>
              <w:t xml:space="preserve">396</w:t>
            </w:r>
          </w:p>
        </w:tc>
        <w:tc>
          <w:tcPr>
            <w:tcW w:w="1077" w:type="dxa"/>
          </w:tcPr>
          <w:p>
            <w:pPr>
              <w:pStyle w:val="0"/>
              <w:jc w:val="center"/>
            </w:pPr>
            <w:r>
              <w:rPr>
                <w:sz w:val="20"/>
              </w:rPr>
              <w:t xml:space="preserve">417</w:t>
            </w:r>
          </w:p>
        </w:tc>
        <w:tc>
          <w:tcPr>
            <w:tcW w:w="1077" w:type="dxa"/>
          </w:tcPr>
          <w:p>
            <w:pPr>
              <w:pStyle w:val="0"/>
              <w:jc w:val="center"/>
            </w:pPr>
            <w:r>
              <w:rPr>
                <w:sz w:val="20"/>
              </w:rPr>
              <w:t xml:space="preserve">430</w:t>
            </w:r>
          </w:p>
        </w:tc>
        <w:tc>
          <w:tcPr>
            <w:tcW w:w="1361" w:type="dxa"/>
          </w:tcPr>
          <w:p>
            <w:pPr>
              <w:pStyle w:val="0"/>
              <w:jc w:val="center"/>
            </w:pPr>
            <w:r>
              <w:rPr>
                <w:sz w:val="20"/>
              </w:rPr>
              <w:t xml:space="preserve">1,7</w:t>
            </w:r>
          </w:p>
        </w:tc>
        <w:tc>
          <w:tcPr>
            <w:tcW w:w="1417" w:type="dxa"/>
          </w:tcPr>
          <w:p>
            <w:pPr>
              <w:pStyle w:val="0"/>
              <w:jc w:val="center"/>
            </w:pPr>
            <w:r>
              <w:rPr>
                <w:sz w:val="20"/>
              </w:rPr>
              <w:t xml:space="preserve">3,1</w:t>
            </w:r>
          </w:p>
        </w:tc>
      </w:tr>
    </w:tbl>
    <w:p>
      <w:pPr>
        <w:pStyle w:val="0"/>
        <w:ind w:firstLine="540"/>
        <w:jc w:val="both"/>
      </w:pPr>
      <w:r>
        <w:rPr>
          <w:sz w:val="20"/>
        </w:rPr>
      </w:r>
    </w:p>
    <w:p>
      <w:pPr>
        <w:pStyle w:val="0"/>
        <w:ind w:firstLine="540"/>
        <w:jc w:val="both"/>
      </w:pPr>
      <w:r>
        <w:rPr>
          <w:sz w:val="20"/>
        </w:rPr>
        <w:t xml:space="preserve">Анализируя информацию по половозрастному распределению выявленных случаев злокачественных новообразований, можно определить ключевые группы риска развития злокачественных новообразований среди населения. Это злокачественные новообразования молочной и предстательной желез, злокачественные новообразования ободочной кишки, легких и желудка среди лиц в возрасте 60 лет.</w:t>
      </w:r>
    </w:p>
    <w:p>
      <w:pPr>
        <w:pStyle w:val="0"/>
        <w:jc w:val="right"/>
      </w:pPr>
      <w:r>
        <w:rPr>
          <w:sz w:val="20"/>
        </w:rPr>
      </w:r>
    </w:p>
    <w:p>
      <w:pPr>
        <w:pStyle w:val="0"/>
        <w:jc w:val="right"/>
      </w:pPr>
      <w:r>
        <w:rPr>
          <w:sz w:val="20"/>
        </w:rPr>
        <w:t xml:space="preserve">Таблица N 8</w:t>
      </w:r>
    </w:p>
    <w:p>
      <w:pPr>
        <w:pStyle w:val="0"/>
        <w:ind w:firstLine="540"/>
        <w:jc w:val="both"/>
      </w:pPr>
      <w:r>
        <w:rPr>
          <w:sz w:val="20"/>
        </w:rPr>
      </w:r>
    </w:p>
    <w:p>
      <w:pPr>
        <w:pStyle w:val="0"/>
        <w:jc w:val="center"/>
      </w:pPr>
      <w:r>
        <w:rPr>
          <w:sz w:val="20"/>
        </w:rPr>
        <w:t xml:space="preserve">Распределение выявленных случаев злокачественных</w:t>
      </w:r>
    </w:p>
    <w:p>
      <w:pPr>
        <w:pStyle w:val="0"/>
        <w:jc w:val="center"/>
      </w:pPr>
      <w:r>
        <w:rPr>
          <w:sz w:val="20"/>
        </w:rPr>
        <w:t xml:space="preserve">новообразований по возрастам (доли %)</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25"/>
        <w:gridCol w:w="925"/>
        <w:gridCol w:w="1098"/>
        <w:gridCol w:w="1077"/>
        <w:gridCol w:w="1077"/>
        <w:gridCol w:w="1361"/>
        <w:gridCol w:w="1417"/>
      </w:tblGrid>
      <w:tr>
        <w:tc>
          <w:tcPr>
            <w:tcW w:w="2125" w:type="dxa"/>
          </w:tcPr>
          <w:p>
            <w:pPr>
              <w:pStyle w:val="0"/>
              <w:jc w:val="center"/>
            </w:pPr>
            <w:r>
              <w:rPr>
                <w:sz w:val="20"/>
              </w:rPr>
              <w:t xml:space="preserve">Возраст</w:t>
            </w:r>
          </w:p>
        </w:tc>
        <w:tc>
          <w:tcPr>
            <w:tcW w:w="925" w:type="dxa"/>
          </w:tcPr>
          <w:p>
            <w:pPr>
              <w:pStyle w:val="0"/>
              <w:jc w:val="center"/>
            </w:pPr>
            <w:r>
              <w:rPr>
                <w:sz w:val="20"/>
              </w:rPr>
              <w:t xml:space="preserve">2019</w:t>
            </w:r>
          </w:p>
        </w:tc>
        <w:tc>
          <w:tcPr>
            <w:tcW w:w="1098" w:type="dxa"/>
          </w:tcPr>
          <w:p>
            <w:pPr>
              <w:pStyle w:val="0"/>
              <w:jc w:val="center"/>
            </w:pPr>
            <w:r>
              <w:rPr>
                <w:sz w:val="20"/>
              </w:rPr>
              <w:t xml:space="preserve">2020</w:t>
            </w:r>
          </w:p>
        </w:tc>
        <w:tc>
          <w:tcPr>
            <w:tcW w:w="1077" w:type="dxa"/>
          </w:tcPr>
          <w:p>
            <w:pPr>
              <w:pStyle w:val="0"/>
              <w:jc w:val="center"/>
            </w:pPr>
            <w:r>
              <w:rPr>
                <w:sz w:val="20"/>
              </w:rPr>
              <w:t xml:space="preserve">2021</w:t>
            </w:r>
          </w:p>
        </w:tc>
        <w:tc>
          <w:tcPr>
            <w:tcW w:w="1077" w:type="dxa"/>
          </w:tcPr>
          <w:p>
            <w:pPr>
              <w:pStyle w:val="0"/>
              <w:jc w:val="center"/>
            </w:pPr>
            <w:r>
              <w:rPr>
                <w:sz w:val="20"/>
              </w:rPr>
              <w:t xml:space="preserve">2022</w:t>
            </w:r>
          </w:p>
        </w:tc>
        <w:tc>
          <w:tcPr>
            <w:tcW w:w="1361" w:type="dxa"/>
          </w:tcPr>
          <w:p>
            <w:pPr>
              <w:pStyle w:val="0"/>
              <w:jc w:val="center"/>
            </w:pPr>
            <w:r>
              <w:rPr>
                <w:sz w:val="20"/>
              </w:rPr>
              <w:t xml:space="preserve">Динамика за 2019/2022, %</w:t>
            </w:r>
          </w:p>
        </w:tc>
        <w:tc>
          <w:tcPr>
            <w:tcW w:w="1417" w:type="dxa"/>
          </w:tcPr>
          <w:p>
            <w:pPr>
              <w:pStyle w:val="0"/>
              <w:jc w:val="center"/>
            </w:pPr>
            <w:r>
              <w:rPr>
                <w:sz w:val="20"/>
              </w:rPr>
              <w:t xml:space="preserve">Динамика за 2021/2022, %</w:t>
            </w:r>
          </w:p>
        </w:tc>
      </w:tr>
      <w:tr>
        <w:tc>
          <w:tcPr>
            <w:tcW w:w="2125" w:type="dxa"/>
          </w:tcPr>
          <w:p>
            <w:pPr>
              <w:pStyle w:val="0"/>
              <w:jc w:val="both"/>
            </w:pPr>
            <w:r>
              <w:rPr>
                <w:sz w:val="20"/>
              </w:rPr>
              <w:t xml:space="preserve">Дети</w:t>
            </w:r>
          </w:p>
        </w:tc>
        <w:tc>
          <w:tcPr>
            <w:tcW w:w="925" w:type="dxa"/>
          </w:tcPr>
          <w:p>
            <w:pPr>
              <w:pStyle w:val="0"/>
              <w:jc w:val="center"/>
            </w:pPr>
            <w:r>
              <w:rPr>
                <w:sz w:val="20"/>
              </w:rPr>
              <w:t xml:space="preserve">0,27</w:t>
            </w:r>
          </w:p>
        </w:tc>
        <w:tc>
          <w:tcPr>
            <w:tcW w:w="1098" w:type="dxa"/>
          </w:tcPr>
          <w:p>
            <w:pPr>
              <w:pStyle w:val="0"/>
              <w:jc w:val="center"/>
            </w:pPr>
            <w:r>
              <w:rPr>
                <w:sz w:val="20"/>
              </w:rPr>
              <w:t xml:space="preserve">0,34</w:t>
            </w:r>
          </w:p>
        </w:tc>
        <w:tc>
          <w:tcPr>
            <w:tcW w:w="1077" w:type="dxa"/>
          </w:tcPr>
          <w:p>
            <w:pPr>
              <w:pStyle w:val="0"/>
              <w:jc w:val="center"/>
            </w:pPr>
            <w:r>
              <w:rPr>
                <w:sz w:val="20"/>
              </w:rPr>
              <w:t xml:space="preserve">0,6</w:t>
            </w:r>
          </w:p>
        </w:tc>
        <w:tc>
          <w:tcPr>
            <w:tcW w:w="1077" w:type="dxa"/>
          </w:tcPr>
          <w:p>
            <w:pPr>
              <w:pStyle w:val="0"/>
              <w:jc w:val="center"/>
            </w:pPr>
            <w:r>
              <w:rPr>
                <w:sz w:val="20"/>
              </w:rPr>
              <w:t xml:space="preserve">0,5</w:t>
            </w:r>
          </w:p>
        </w:tc>
        <w:tc>
          <w:tcPr>
            <w:tcW w:w="1361" w:type="dxa"/>
          </w:tcPr>
          <w:p>
            <w:pPr>
              <w:pStyle w:val="0"/>
              <w:jc w:val="center"/>
            </w:pPr>
            <w:r>
              <w:rPr>
                <w:sz w:val="20"/>
              </w:rPr>
              <w:t xml:space="preserve">85,2</w:t>
            </w:r>
          </w:p>
        </w:tc>
        <w:tc>
          <w:tcPr>
            <w:tcW w:w="1417" w:type="dxa"/>
          </w:tcPr>
          <w:p>
            <w:pPr>
              <w:pStyle w:val="0"/>
              <w:jc w:val="center"/>
            </w:pPr>
            <w:r>
              <w:rPr>
                <w:sz w:val="20"/>
              </w:rPr>
              <w:t xml:space="preserve">-16,7</w:t>
            </w:r>
          </w:p>
        </w:tc>
      </w:tr>
      <w:tr>
        <w:tc>
          <w:tcPr>
            <w:tcW w:w="2125" w:type="dxa"/>
          </w:tcPr>
          <w:p>
            <w:pPr>
              <w:pStyle w:val="0"/>
              <w:jc w:val="both"/>
            </w:pPr>
            <w:r>
              <w:rPr>
                <w:sz w:val="20"/>
              </w:rPr>
              <w:t xml:space="preserve">18 - 40 лет</w:t>
            </w:r>
          </w:p>
        </w:tc>
        <w:tc>
          <w:tcPr>
            <w:tcW w:w="925" w:type="dxa"/>
          </w:tcPr>
          <w:p>
            <w:pPr>
              <w:pStyle w:val="0"/>
              <w:jc w:val="center"/>
            </w:pPr>
            <w:r>
              <w:rPr>
                <w:sz w:val="20"/>
              </w:rPr>
              <w:t xml:space="preserve">4,07</w:t>
            </w:r>
          </w:p>
        </w:tc>
        <w:tc>
          <w:tcPr>
            <w:tcW w:w="1098" w:type="dxa"/>
          </w:tcPr>
          <w:p>
            <w:pPr>
              <w:pStyle w:val="0"/>
              <w:jc w:val="center"/>
            </w:pPr>
            <w:r>
              <w:rPr>
                <w:sz w:val="20"/>
              </w:rPr>
              <w:t xml:space="preserve">4,7</w:t>
            </w:r>
          </w:p>
        </w:tc>
        <w:tc>
          <w:tcPr>
            <w:tcW w:w="1077" w:type="dxa"/>
          </w:tcPr>
          <w:p>
            <w:pPr>
              <w:pStyle w:val="0"/>
              <w:jc w:val="center"/>
            </w:pPr>
            <w:r>
              <w:rPr>
                <w:sz w:val="20"/>
              </w:rPr>
              <w:t xml:space="preserve">4,5</w:t>
            </w:r>
          </w:p>
        </w:tc>
        <w:tc>
          <w:tcPr>
            <w:tcW w:w="1077" w:type="dxa"/>
          </w:tcPr>
          <w:p>
            <w:pPr>
              <w:pStyle w:val="0"/>
              <w:jc w:val="center"/>
            </w:pPr>
            <w:r>
              <w:rPr>
                <w:sz w:val="20"/>
              </w:rPr>
              <w:t xml:space="preserve">4,0</w:t>
            </w:r>
          </w:p>
        </w:tc>
        <w:tc>
          <w:tcPr>
            <w:tcW w:w="1361" w:type="dxa"/>
          </w:tcPr>
          <w:p>
            <w:pPr>
              <w:pStyle w:val="0"/>
              <w:jc w:val="center"/>
            </w:pPr>
            <w:r>
              <w:rPr>
                <w:sz w:val="20"/>
              </w:rPr>
              <w:t xml:space="preserve">-1,7</w:t>
            </w:r>
          </w:p>
        </w:tc>
        <w:tc>
          <w:tcPr>
            <w:tcW w:w="1417" w:type="dxa"/>
          </w:tcPr>
          <w:p>
            <w:pPr>
              <w:pStyle w:val="0"/>
              <w:jc w:val="center"/>
            </w:pPr>
            <w:r>
              <w:rPr>
                <w:sz w:val="20"/>
              </w:rPr>
              <w:t xml:space="preserve">-11,1</w:t>
            </w:r>
          </w:p>
        </w:tc>
      </w:tr>
      <w:tr>
        <w:tc>
          <w:tcPr>
            <w:tcW w:w="2125" w:type="dxa"/>
          </w:tcPr>
          <w:p>
            <w:pPr>
              <w:pStyle w:val="0"/>
              <w:jc w:val="both"/>
            </w:pPr>
            <w:r>
              <w:rPr>
                <w:sz w:val="20"/>
              </w:rPr>
              <w:t xml:space="preserve">40 - 55 лет</w:t>
            </w:r>
          </w:p>
        </w:tc>
        <w:tc>
          <w:tcPr>
            <w:tcW w:w="925" w:type="dxa"/>
          </w:tcPr>
          <w:p>
            <w:pPr>
              <w:pStyle w:val="0"/>
              <w:jc w:val="center"/>
            </w:pPr>
            <w:r>
              <w:rPr>
                <w:sz w:val="20"/>
              </w:rPr>
              <w:t xml:space="preserve">14,83</w:t>
            </w:r>
          </w:p>
        </w:tc>
        <w:tc>
          <w:tcPr>
            <w:tcW w:w="1098" w:type="dxa"/>
          </w:tcPr>
          <w:p>
            <w:pPr>
              <w:pStyle w:val="0"/>
              <w:jc w:val="center"/>
            </w:pPr>
            <w:r>
              <w:rPr>
                <w:sz w:val="20"/>
              </w:rPr>
              <w:t xml:space="preserve">13,14</w:t>
            </w:r>
          </w:p>
        </w:tc>
        <w:tc>
          <w:tcPr>
            <w:tcW w:w="1077" w:type="dxa"/>
          </w:tcPr>
          <w:p>
            <w:pPr>
              <w:pStyle w:val="0"/>
              <w:jc w:val="center"/>
            </w:pPr>
            <w:r>
              <w:rPr>
                <w:sz w:val="20"/>
              </w:rPr>
              <w:t xml:space="preserve">7,5</w:t>
            </w:r>
          </w:p>
        </w:tc>
        <w:tc>
          <w:tcPr>
            <w:tcW w:w="1077" w:type="dxa"/>
          </w:tcPr>
          <w:p>
            <w:pPr>
              <w:pStyle w:val="0"/>
              <w:jc w:val="center"/>
            </w:pPr>
            <w:r>
              <w:rPr>
                <w:sz w:val="20"/>
              </w:rPr>
              <w:t xml:space="preserve">9,1</w:t>
            </w:r>
          </w:p>
        </w:tc>
        <w:tc>
          <w:tcPr>
            <w:tcW w:w="1361" w:type="dxa"/>
          </w:tcPr>
          <w:p>
            <w:pPr>
              <w:pStyle w:val="0"/>
              <w:jc w:val="center"/>
            </w:pPr>
            <w:r>
              <w:rPr>
                <w:sz w:val="20"/>
              </w:rPr>
              <w:t xml:space="preserve">-38,6</w:t>
            </w:r>
          </w:p>
        </w:tc>
        <w:tc>
          <w:tcPr>
            <w:tcW w:w="1417" w:type="dxa"/>
          </w:tcPr>
          <w:p>
            <w:pPr>
              <w:pStyle w:val="0"/>
              <w:jc w:val="center"/>
            </w:pPr>
            <w:r>
              <w:rPr>
                <w:sz w:val="20"/>
              </w:rPr>
              <w:t xml:space="preserve">21,3</w:t>
            </w:r>
          </w:p>
        </w:tc>
      </w:tr>
      <w:tr>
        <w:tc>
          <w:tcPr>
            <w:tcW w:w="2125" w:type="dxa"/>
          </w:tcPr>
          <w:p>
            <w:pPr>
              <w:pStyle w:val="0"/>
              <w:jc w:val="both"/>
            </w:pPr>
            <w:r>
              <w:rPr>
                <w:sz w:val="20"/>
              </w:rPr>
              <w:t xml:space="preserve">55 - 65 лет</w:t>
            </w:r>
          </w:p>
        </w:tc>
        <w:tc>
          <w:tcPr>
            <w:tcW w:w="925" w:type="dxa"/>
          </w:tcPr>
          <w:p>
            <w:pPr>
              <w:pStyle w:val="0"/>
              <w:jc w:val="center"/>
            </w:pPr>
            <w:r>
              <w:rPr>
                <w:sz w:val="20"/>
              </w:rPr>
              <w:t xml:space="preserve">23,36</w:t>
            </w:r>
          </w:p>
        </w:tc>
        <w:tc>
          <w:tcPr>
            <w:tcW w:w="1098" w:type="dxa"/>
          </w:tcPr>
          <w:p>
            <w:pPr>
              <w:pStyle w:val="0"/>
              <w:jc w:val="center"/>
            </w:pPr>
            <w:r>
              <w:rPr>
                <w:sz w:val="20"/>
              </w:rPr>
              <w:t xml:space="preserve">21,8</w:t>
            </w:r>
          </w:p>
        </w:tc>
        <w:tc>
          <w:tcPr>
            <w:tcW w:w="1077" w:type="dxa"/>
          </w:tcPr>
          <w:p>
            <w:pPr>
              <w:pStyle w:val="0"/>
              <w:jc w:val="center"/>
            </w:pPr>
            <w:r>
              <w:rPr>
                <w:sz w:val="20"/>
              </w:rPr>
              <w:t xml:space="preserve">15,5</w:t>
            </w:r>
          </w:p>
        </w:tc>
        <w:tc>
          <w:tcPr>
            <w:tcW w:w="1077" w:type="dxa"/>
          </w:tcPr>
          <w:p>
            <w:pPr>
              <w:pStyle w:val="0"/>
              <w:jc w:val="center"/>
            </w:pPr>
            <w:r>
              <w:rPr>
                <w:sz w:val="20"/>
              </w:rPr>
              <w:t xml:space="preserve">13,9</w:t>
            </w:r>
          </w:p>
        </w:tc>
        <w:tc>
          <w:tcPr>
            <w:tcW w:w="1361" w:type="dxa"/>
          </w:tcPr>
          <w:p>
            <w:pPr>
              <w:pStyle w:val="0"/>
              <w:jc w:val="center"/>
            </w:pPr>
            <w:r>
              <w:rPr>
                <w:sz w:val="20"/>
              </w:rPr>
              <w:t xml:space="preserve">-40,5</w:t>
            </w:r>
          </w:p>
        </w:tc>
        <w:tc>
          <w:tcPr>
            <w:tcW w:w="1417" w:type="dxa"/>
          </w:tcPr>
          <w:p>
            <w:pPr>
              <w:pStyle w:val="0"/>
              <w:jc w:val="center"/>
            </w:pPr>
            <w:r>
              <w:rPr>
                <w:sz w:val="20"/>
              </w:rPr>
              <w:t xml:space="preserve">-10,3</w:t>
            </w:r>
          </w:p>
        </w:tc>
      </w:tr>
      <w:tr>
        <w:tc>
          <w:tcPr>
            <w:tcW w:w="2125" w:type="dxa"/>
          </w:tcPr>
          <w:p>
            <w:pPr>
              <w:pStyle w:val="0"/>
              <w:jc w:val="both"/>
            </w:pPr>
            <w:r>
              <w:rPr>
                <w:sz w:val="20"/>
              </w:rPr>
              <w:t xml:space="preserve">65 - 80 лет</w:t>
            </w:r>
          </w:p>
        </w:tc>
        <w:tc>
          <w:tcPr>
            <w:tcW w:w="925" w:type="dxa"/>
          </w:tcPr>
          <w:p>
            <w:pPr>
              <w:pStyle w:val="0"/>
              <w:jc w:val="center"/>
            </w:pPr>
            <w:r>
              <w:rPr>
                <w:sz w:val="20"/>
              </w:rPr>
              <w:t xml:space="preserve">41,90</w:t>
            </w:r>
          </w:p>
        </w:tc>
        <w:tc>
          <w:tcPr>
            <w:tcW w:w="1098" w:type="dxa"/>
          </w:tcPr>
          <w:p>
            <w:pPr>
              <w:pStyle w:val="0"/>
              <w:jc w:val="center"/>
            </w:pPr>
            <w:r>
              <w:rPr>
                <w:sz w:val="20"/>
              </w:rPr>
              <w:t xml:space="preserve">43,0</w:t>
            </w:r>
          </w:p>
        </w:tc>
        <w:tc>
          <w:tcPr>
            <w:tcW w:w="1077" w:type="dxa"/>
          </w:tcPr>
          <w:p>
            <w:pPr>
              <w:pStyle w:val="0"/>
              <w:jc w:val="center"/>
            </w:pPr>
            <w:r>
              <w:rPr>
                <w:sz w:val="20"/>
              </w:rPr>
              <w:t xml:space="preserve">30,2</w:t>
            </w:r>
          </w:p>
        </w:tc>
        <w:tc>
          <w:tcPr>
            <w:tcW w:w="1077" w:type="dxa"/>
          </w:tcPr>
          <w:p>
            <w:pPr>
              <w:pStyle w:val="0"/>
              <w:jc w:val="center"/>
            </w:pPr>
            <w:r>
              <w:rPr>
                <w:sz w:val="20"/>
              </w:rPr>
              <w:t xml:space="preserve">30,2</w:t>
            </w:r>
          </w:p>
        </w:tc>
        <w:tc>
          <w:tcPr>
            <w:tcW w:w="1361" w:type="dxa"/>
          </w:tcPr>
          <w:p>
            <w:pPr>
              <w:pStyle w:val="0"/>
              <w:jc w:val="center"/>
            </w:pPr>
            <w:r>
              <w:rPr>
                <w:sz w:val="20"/>
              </w:rPr>
              <w:t xml:space="preserve">-27,9</w:t>
            </w:r>
          </w:p>
        </w:tc>
        <w:tc>
          <w:tcPr>
            <w:tcW w:w="1417" w:type="dxa"/>
          </w:tcPr>
          <w:p>
            <w:pPr>
              <w:pStyle w:val="0"/>
              <w:jc w:val="center"/>
            </w:pPr>
            <w:r>
              <w:rPr>
                <w:sz w:val="20"/>
              </w:rPr>
              <w:t xml:space="preserve">0,0</w:t>
            </w:r>
          </w:p>
        </w:tc>
      </w:tr>
      <w:tr>
        <w:tc>
          <w:tcPr>
            <w:tcW w:w="2125" w:type="dxa"/>
          </w:tcPr>
          <w:p>
            <w:pPr>
              <w:pStyle w:val="0"/>
              <w:jc w:val="both"/>
            </w:pPr>
            <w:r>
              <w:rPr>
                <w:sz w:val="20"/>
              </w:rPr>
              <w:t xml:space="preserve">Старше 80 лет</w:t>
            </w:r>
          </w:p>
        </w:tc>
        <w:tc>
          <w:tcPr>
            <w:tcW w:w="925" w:type="dxa"/>
          </w:tcPr>
          <w:p>
            <w:pPr>
              <w:pStyle w:val="0"/>
              <w:jc w:val="center"/>
            </w:pPr>
            <w:r>
              <w:rPr>
                <w:sz w:val="20"/>
              </w:rPr>
              <w:t xml:space="preserve">17,72</w:t>
            </w:r>
          </w:p>
        </w:tc>
        <w:tc>
          <w:tcPr>
            <w:tcW w:w="1098" w:type="dxa"/>
          </w:tcPr>
          <w:p>
            <w:pPr>
              <w:pStyle w:val="0"/>
              <w:jc w:val="center"/>
            </w:pPr>
            <w:r>
              <w:rPr>
                <w:sz w:val="20"/>
              </w:rPr>
              <w:t xml:space="preserve">16,9</w:t>
            </w:r>
          </w:p>
        </w:tc>
        <w:tc>
          <w:tcPr>
            <w:tcW w:w="1077" w:type="dxa"/>
          </w:tcPr>
          <w:p>
            <w:pPr>
              <w:pStyle w:val="0"/>
              <w:jc w:val="center"/>
            </w:pPr>
            <w:r>
              <w:rPr>
                <w:sz w:val="20"/>
              </w:rPr>
              <w:t xml:space="preserve">25,1</w:t>
            </w:r>
          </w:p>
        </w:tc>
        <w:tc>
          <w:tcPr>
            <w:tcW w:w="1077" w:type="dxa"/>
          </w:tcPr>
          <w:p>
            <w:pPr>
              <w:pStyle w:val="0"/>
              <w:jc w:val="center"/>
            </w:pPr>
            <w:r>
              <w:rPr>
                <w:sz w:val="20"/>
              </w:rPr>
              <w:t xml:space="preserve">27,3</w:t>
            </w:r>
          </w:p>
        </w:tc>
        <w:tc>
          <w:tcPr>
            <w:tcW w:w="1361" w:type="dxa"/>
          </w:tcPr>
          <w:p>
            <w:pPr>
              <w:pStyle w:val="0"/>
              <w:jc w:val="center"/>
            </w:pPr>
            <w:r>
              <w:rPr>
                <w:sz w:val="20"/>
              </w:rPr>
              <w:t xml:space="preserve">54,1</w:t>
            </w:r>
          </w:p>
        </w:tc>
        <w:tc>
          <w:tcPr>
            <w:tcW w:w="1417" w:type="dxa"/>
          </w:tcPr>
          <w:p>
            <w:pPr>
              <w:pStyle w:val="0"/>
              <w:jc w:val="center"/>
            </w:pPr>
            <w:r>
              <w:rPr>
                <w:sz w:val="20"/>
              </w:rPr>
              <w:t xml:space="preserve">8,8</w:t>
            </w:r>
          </w:p>
        </w:tc>
      </w:tr>
    </w:tbl>
    <w:p>
      <w:pPr>
        <w:pStyle w:val="0"/>
        <w:jc w:val="right"/>
      </w:pPr>
      <w:r>
        <w:rPr>
          <w:sz w:val="20"/>
        </w:rPr>
      </w:r>
    </w:p>
    <w:p>
      <w:pPr>
        <w:pStyle w:val="0"/>
        <w:jc w:val="right"/>
      </w:pPr>
      <w:r>
        <w:rPr>
          <w:sz w:val="20"/>
        </w:rPr>
        <w:t xml:space="preserve">Таблица N 9.1</w:t>
      </w:r>
    </w:p>
    <w:p>
      <w:pPr>
        <w:pStyle w:val="0"/>
        <w:ind w:firstLine="540"/>
        <w:jc w:val="both"/>
      </w:pPr>
      <w:r>
        <w:rPr>
          <w:sz w:val="20"/>
        </w:rPr>
      </w:r>
    </w:p>
    <w:p>
      <w:pPr>
        <w:pStyle w:val="0"/>
        <w:jc w:val="center"/>
      </w:pPr>
      <w:r>
        <w:rPr>
          <w:sz w:val="20"/>
        </w:rPr>
        <w:t xml:space="preserve">Распределение выявленных злокачественных</w:t>
      </w:r>
    </w:p>
    <w:p>
      <w:pPr>
        <w:pStyle w:val="0"/>
        <w:jc w:val="center"/>
      </w:pPr>
      <w:r>
        <w:rPr>
          <w:sz w:val="20"/>
        </w:rPr>
        <w:t xml:space="preserve">новообразований по стадиям (%)</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854"/>
        <w:gridCol w:w="854"/>
        <w:gridCol w:w="854"/>
        <w:gridCol w:w="860"/>
        <w:gridCol w:w="854"/>
        <w:gridCol w:w="854"/>
        <w:gridCol w:w="854"/>
        <w:gridCol w:w="858"/>
      </w:tblGrid>
      <w:tr>
        <w:tc>
          <w:tcPr>
            <w:tcW w:w="2211" w:type="dxa"/>
            <w:vMerge w:val="restart"/>
          </w:tcPr>
          <w:p>
            <w:pPr>
              <w:pStyle w:val="0"/>
              <w:jc w:val="center"/>
            </w:pPr>
            <w:r>
              <w:rPr>
                <w:sz w:val="20"/>
              </w:rPr>
              <w:t xml:space="preserve">Наименование</w:t>
            </w:r>
          </w:p>
        </w:tc>
        <w:tc>
          <w:tcPr>
            <w:gridSpan w:val="4"/>
            <w:tcW w:w="3422" w:type="dxa"/>
          </w:tcPr>
          <w:p>
            <w:pPr>
              <w:pStyle w:val="0"/>
              <w:jc w:val="center"/>
            </w:pPr>
            <w:r>
              <w:rPr>
                <w:sz w:val="20"/>
              </w:rPr>
              <w:t xml:space="preserve">2020</w:t>
            </w:r>
          </w:p>
        </w:tc>
        <w:tc>
          <w:tcPr>
            <w:gridSpan w:val="4"/>
            <w:tcW w:w="3420" w:type="dxa"/>
          </w:tcPr>
          <w:p>
            <w:pPr>
              <w:pStyle w:val="0"/>
              <w:jc w:val="center"/>
            </w:pPr>
            <w:r>
              <w:rPr>
                <w:sz w:val="20"/>
              </w:rPr>
              <w:t xml:space="preserve">2021</w:t>
            </w:r>
          </w:p>
        </w:tc>
      </w:tr>
      <w:tr>
        <w:tc>
          <w:tcPr>
            <w:vMerge w:val="continue"/>
          </w:tcPr>
          <w:p/>
        </w:tc>
        <w:tc>
          <w:tcPr>
            <w:tcW w:w="854" w:type="dxa"/>
          </w:tcPr>
          <w:p>
            <w:pPr>
              <w:pStyle w:val="0"/>
              <w:jc w:val="center"/>
            </w:pPr>
            <w:r>
              <w:rPr>
                <w:sz w:val="20"/>
              </w:rPr>
              <w:t xml:space="preserve">I</w:t>
            </w:r>
          </w:p>
        </w:tc>
        <w:tc>
          <w:tcPr>
            <w:tcW w:w="854" w:type="dxa"/>
          </w:tcPr>
          <w:p>
            <w:pPr>
              <w:pStyle w:val="0"/>
              <w:jc w:val="center"/>
            </w:pPr>
            <w:r>
              <w:rPr>
                <w:sz w:val="20"/>
              </w:rPr>
              <w:t xml:space="preserve">II</w:t>
            </w:r>
          </w:p>
        </w:tc>
        <w:tc>
          <w:tcPr>
            <w:tcW w:w="854" w:type="dxa"/>
          </w:tcPr>
          <w:p>
            <w:pPr>
              <w:pStyle w:val="0"/>
              <w:jc w:val="center"/>
            </w:pPr>
            <w:r>
              <w:rPr>
                <w:sz w:val="20"/>
              </w:rPr>
              <w:t xml:space="preserve">III</w:t>
            </w:r>
          </w:p>
        </w:tc>
        <w:tc>
          <w:tcPr>
            <w:tcW w:w="860" w:type="dxa"/>
          </w:tcPr>
          <w:p>
            <w:pPr>
              <w:pStyle w:val="0"/>
              <w:jc w:val="center"/>
            </w:pPr>
            <w:r>
              <w:rPr>
                <w:sz w:val="20"/>
              </w:rPr>
              <w:t xml:space="preserve">IV</w:t>
            </w:r>
          </w:p>
        </w:tc>
        <w:tc>
          <w:tcPr>
            <w:tcW w:w="854" w:type="dxa"/>
          </w:tcPr>
          <w:p>
            <w:pPr>
              <w:pStyle w:val="0"/>
              <w:jc w:val="center"/>
            </w:pPr>
            <w:r>
              <w:rPr>
                <w:sz w:val="20"/>
              </w:rPr>
              <w:t xml:space="preserve">I</w:t>
            </w:r>
          </w:p>
        </w:tc>
        <w:tc>
          <w:tcPr>
            <w:tcW w:w="854" w:type="dxa"/>
          </w:tcPr>
          <w:p>
            <w:pPr>
              <w:pStyle w:val="0"/>
              <w:jc w:val="center"/>
            </w:pPr>
            <w:r>
              <w:rPr>
                <w:sz w:val="20"/>
              </w:rPr>
              <w:t xml:space="preserve">II</w:t>
            </w:r>
          </w:p>
        </w:tc>
        <w:tc>
          <w:tcPr>
            <w:tcW w:w="854" w:type="dxa"/>
          </w:tcPr>
          <w:p>
            <w:pPr>
              <w:pStyle w:val="0"/>
              <w:jc w:val="center"/>
            </w:pPr>
            <w:r>
              <w:rPr>
                <w:sz w:val="20"/>
              </w:rPr>
              <w:t xml:space="preserve">III</w:t>
            </w:r>
          </w:p>
        </w:tc>
        <w:tc>
          <w:tcPr>
            <w:tcW w:w="858" w:type="dxa"/>
          </w:tcPr>
          <w:p>
            <w:pPr>
              <w:pStyle w:val="0"/>
              <w:jc w:val="center"/>
            </w:pPr>
            <w:r>
              <w:rPr>
                <w:sz w:val="20"/>
              </w:rPr>
              <w:t xml:space="preserve">IV</w:t>
            </w:r>
          </w:p>
        </w:tc>
      </w:tr>
      <w:tr>
        <w:tc>
          <w:tcPr>
            <w:tcW w:w="2211" w:type="dxa"/>
          </w:tcPr>
          <w:p>
            <w:pPr>
              <w:pStyle w:val="0"/>
              <w:jc w:val="both"/>
            </w:pPr>
            <w:r>
              <w:rPr>
                <w:sz w:val="20"/>
              </w:rPr>
              <w:t xml:space="preserve">Всего</w:t>
            </w:r>
          </w:p>
        </w:tc>
        <w:tc>
          <w:tcPr>
            <w:tcW w:w="854" w:type="dxa"/>
          </w:tcPr>
          <w:p>
            <w:pPr>
              <w:pStyle w:val="0"/>
              <w:jc w:val="center"/>
            </w:pPr>
            <w:r>
              <w:rPr>
                <w:sz w:val="20"/>
              </w:rPr>
              <w:t xml:space="preserve">37,2</w:t>
            </w:r>
          </w:p>
        </w:tc>
        <w:tc>
          <w:tcPr>
            <w:tcW w:w="854" w:type="dxa"/>
          </w:tcPr>
          <w:p>
            <w:pPr>
              <w:pStyle w:val="0"/>
              <w:jc w:val="center"/>
            </w:pPr>
            <w:r>
              <w:rPr>
                <w:sz w:val="20"/>
              </w:rPr>
              <w:t xml:space="preserve">24,0</w:t>
            </w:r>
          </w:p>
        </w:tc>
        <w:tc>
          <w:tcPr>
            <w:tcW w:w="854" w:type="dxa"/>
          </w:tcPr>
          <w:p>
            <w:pPr>
              <w:pStyle w:val="0"/>
              <w:jc w:val="center"/>
            </w:pPr>
            <w:r>
              <w:rPr>
                <w:sz w:val="20"/>
              </w:rPr>
              <w:t xml:space="preserve">17,4</w:t>
            </w:r>
          </w:p>
        </w:tc>
        <w:tc>
          <w:tcPr>
            <w:tcW w:w="860" w:type="dxa"/>
          </w:tcPr>
          <w:p>
            <w:pPr>
              <w:pStyle w:val="0"/>
              <w:jc w:val="center"/>
            </w:pPr>
            <w:r>
              <w:rPr>
                <w:sz w:val="20"/>
              </w:rPr>
              <w:t xml:space="preserve">21,5</w:t>
            </w:r>
          </w:p>
        </w:tc>
        <w:tc>
          <w:tcPr>
            <w:tcW w:w="854" w:type="dxa"/>
          </w:tcPr>
          <w:p>
            <w:pPr>
              <w:pStyle w:val="0"/>
              <w:jc w:val="center"/>
            </w:pPr>
            <w:r>
              <w:rPr>
                <w:sz w:val="20"/>
              </w:rPr>
              <w:t xml:space="preserve">37,7</w:t>
            </w:r>
          </w:p>
        </w:tc>
        <w:tc>
          <w:tcPr>
            <w:tcW w:w="854" w:type="dxa"/>
          </w:tcPr>
          <w:p>
            <w:pPr>
              <w:pStyle w:val="0"/>
              <w:jc w:val="center"/>
            </w:pPr>
            <w:r>
              <w:rPr>
                <w:sz w:val="20"/>
              </w:rPr>
              <w:t xml:space="preserve">23,6</w:t>
            </w:r>
          </w:p>
        </w:tc>
        <w:tc>
          <w:tcPr>
            <w:tcW w:w="854" w:type="dxa"/>
          </w:tcPr>
          <w:p>
            <w:pPr>
              <w:pStyle w:val="0"/>
              <w:jc w:val="center"/>
            </w:pPr>
            <w:r>
              <w:rPr>
                <w:sz w:val="20"/>
              </w:rPr>
              <w:t xml:space="preserve">16,3</w:t>
            </w:r>
          </w:p>
        </w:tc>
        <w:tc>
          <w:tcPr>
            <w:tcW w:w="858" w:type="dxa"/>
          </w:tcPr>
          <w:p>
            <w:pPr>
              <w:pStyle w:val="0"/>
              <w:jc w:val="center"/>
            </w:pPr>
            <w:r>
              <w:rPr>
                <w:sz w:val="20"/>
              </w:rPr>
              <w:t xml:space="preserve">18,9</w:t>
            </w:r>
          </w:p>
        </w:tc>
      </w:tr>
      <w:tr>
        <w:tc>
          <w:tcPr>
            <w:tcW w:w="2211" w:type="dxa"/>
          </w:tcPr>
          <w:p>
            <w:pPr>
              <w:pStyle w:val="0"/>
              <w:jc w:val="both"/>
            </w:pPr>
            <w:r>
              <w:rPr>
                <w:sz w:val="20"/>
              </w:rPr>
              <w:t xml:space="preserve">Злокачественные новообразования желудка</w:t>
            </w:r>
          </w:p>
        </w:tc>
        <w:tc>
          <w:tcPr>
            <w:tcW w:w="854" w:type="dxa"/>
          </w:tcPr>
          <w:p>
            <w:pPr>
              <w:pStyle w:val="0"/>
              <w:jc w:val="center"/>
            </w:pPr>
            <w:r>
              <w:rPr>
                <w:sz w:val="20"/>
              </w:rPr>
              <w:t xml:space="preserve">5,4</w:t>
            </w:r>
          </w:p>
        </w:tc>
        <w:tc>
          <w:tcPr>
            <w:tcW w:w="854" w:type="dxa"/>
          </w:tcPr>
          <w:p>
            <w:pPr>
              <w:pStyle w:val="0"/>
              <w:jc w:val="center"/>
            </w:pPr>
            <w:r>
              <w:rPr>
                <w:sz w:val="20"/>
              </w:rPr>
              <w:t xml:space="preserve">26,9</w:t>
            </w:r>
          </w:p>
        </w:tc>
        <w:tc>
          <w:tcPr>
            <w:tcW w:w="854" w:type="dxa"/>
          </w:tcPr>
          <w:p>
            <w:pPr>
              <w:pStyle w:val="0"/>
              <w:jc w:val="center"/>
            </w:pPr>
            <w:r>
              <w:rPr>
                <w:sz w:val="20"/>
              </w:rPr>
              <w:t xml:space="preserve">26,9</w:t>
            </w:r>
          </w:p>
        </w:tc>
        <w:tc>
          <w:tcPr>
            <w:tcW w:w="860" w:type="dxa"/>
          </w:tcPr>
          <w:p>
            <w:pPr>
              <w:pStyle w:val="0"/>
              <w:jc w:val="center"/>
            </w:pPr>
            <w:r>
              <w:rPr>
                <w:sz w:val="20"/>
              </w:rPr>
              <w:t xml:space="preserve">40,9</w:t>
            </w:r>
          </w:p>
        </w:tc>
        <w:tc>
          <w:tcPr>
            <w:tcW w:w="854" w:type="dxa"/>
          </w:tcPr>
          <w:p>
            <w:pPr>
              <w:pStyle w:val="0"/>
              <w:jc w:val="center"/>
            </w:pPr>
            <w:r>
              <w:rPr>
                <w:sz w:val="20"/>
              </w:rPr>
              <w:t xml:space="preserve">19,8</w:t>
            </w:r>
          </w:p>
        </w:tc>
        <w:tc>
          <w:tcPr>
            <w:tcW w:w="854" w:type="dxa"/>
          </w:tcPr>
          <w:p>
            <w:pPr>
              <w:pStyle w:val="0"/>
              <w:jc w:val="center"/>
            </w:pPr>
            <w:r>
              <w:rPr>
                <w:sz w:val="20"/>
              </w:rPr>
              <w:t xml:space="preserve">14,0</w:t>
            </w:r>
          </w:p>
        </w:tc>
        <w:tc>
          <w:tcPr>
            <w:tcW w:w="854" w:type="dxa"/>
          </w:tcPr>
          <w:p>
            <w:pPr>
              <w:pStyle w:val="0"/>
              <w:jc w:val="center"/>
            </w:pPr>
            <w:r>
              <w:rPr>
                <w:sz w:val="20"/>
              </w:rPr>
              <w:t xml:space="preserve">20,9</w:t>
            </w:r>
          </w:p>
        </w:tc>
        <w:tc>
          <w:tcPr>
            <w:tcW w:w="858" w:type="dxa"/>
          </w:tcPr>
          <w:p>
            <w:pPr>
              <w:pStyle w:val="0"/>
              <w:jc w:val="center"/>
            </w:pPr>
            <w:r>
              <w:rPr>
                <w:sz w:val="20"/>
              </w:rPr>
              <w:t xml:space="preserve">45,3</w:t>
            </w:r>
          </w:p>
        </w:tc>
      </w:tr>
      <w:tr>
        <w:tc>
          <w:tcPr>
            <w:tcW w:w="2211" w:type="dxa"/>
          </w:tcPr>
          <w:p>
            <w:pPr>
              <w:pStyle w:val="0"/>
              <w:jc w:val="both"/>
            </w:pPr>
            <w:r>
              <w:rPr>
                <w:sz w:val="20"/>
              </w:rPr>
              <w:t xml:space="preserve">Злокачественные новообразования ободочной кишки</w:t>
            </w:r>
          </w:p>
        </w:tc>
        <w:tc>
          <w:tcPr>
            <w:tcW w:w="854" w:type="dxa"/>
          </w:tcPr>
          <w:p>
            <w:pPr>
              <w:pStyle w:val="0"/>
              <w:jc w:val="center"/>
            </w:pPr>
            <w:r>
              <w:rPr>
                <w:sz w:val="20"/>
              </w:rPr>
              <w:t xml:space="preserve">10,9</w:t>
            </w:r>
          </w:p>
        </w:tc>
        <w:tc>
          <w:tcPr>
            <w:tcW w:w="854" w:type="dxa"/>
          </w:tcPr>
          <w:p>
            <w:pPr>
              <w:pStyle w:val="0"/>
              <w:jc w:val="center"/>
            </w:pPr>
            <w:r>
              <w:rPr>
                <w:sz w:val="20"/>
              </w:rPr>
              <w:t xml:space="preserve">33,1</w:t>
            </w:r>
          </w:p>
        </w:tc>
        <w:tc>
          <w:tcPr>
            <w:tcW w:w="854" w:type="dxa"/>
          </w:tcPr>
          <w:p>
            <w:pPr>
              <w:pStyle w:val="0"/>
              <w:jc w:val="center"/>
            </w:pPr>
            <w:r>
              <w:rPr>
                <w:sz w:val="20"/>
              </w:rPr>
              <w:t xml:space="preserve">24,6</w:t>
            </w:r>
          </w:p>
        </w:tc>
        <w:tc>
          <w:tcPr>
            <w:tcW w:w="860" w:type="dxa"/>
          </w:tcPr>
          <w:p>
            <w:pPr>
              <w:pStyle w:val="0"/>
              <w:jc w:val="center"/>
            </w:pPr>
            <w:r>
              <w:rPr>
                <w:sz w:val="20"/>
              </w:rPr>
              <w:t xml:space="preserve">31,4</w:t>
            </w:r>
          </w:p>
        </w:tc>
        <w:tc>
          <w:tcPr>
            <w:tcW w:w="854" w:type="dxa"/>
          </w:tcPr>
          <w:p>
            <w:pPr>
              <w:pStyle w:val="0"/>
              <w:jc w:val="center"/>
            </w:pPr>
            <w:r>
              <w:rPr>
                <w:sz w:val="20"/>
              </w:rPr>
              <w:t xml:space="preserve">8,2</w:t>
            </w:r>
          </w:p>
        </w:tc>
        <w:tc>
          <w:tcPr>
            <w:tcW w:w="854" w:type="dxa"/>
          </w:tcPr>
          <w:p>
            <w:pPr>
              <w:pStyle w:val="0"/>
              <w:jc w:val="center"/>
            </w:pPr>
            <w:r>
              <w:rPr>
                <w:sz w:val="20"/>
              </w:rPr>
              <w:t xml:space="preserve">36,1</w:t>
            </w:r>
          </w:p>
        </w:tc>
        <w:tc>
          <w:tcPr>
            <w:tcW w:w="854" w:type="dxa"/>
          </w:tcPr>
          <w:p>
            <w:pPr>
              <w:pStyle w:val="0"/>
              <w:jc w:val="center"/>
            </w:pPr>
            <w:r>
              <w:rPr>
                <w:sz w:val="20"/>
              </w:rPr>
              <w:t xml:space="preserve">29,3</w:t>
            </w:r>
          </w:p>
        </w:tc>
        <w:tc>
          <w:tcPr>
            <w:tcW w:w="858" w:type="dxa"/>
          </w:tcPr>
          <w:p>
            <w:pPr>
              <w:pStyle w:val="0"/>
              <w:jc w:val="center"/>
            </w:pPr>
            <w:r>
              <w:rPr>
                <w:sz w:val="20"/>
              </w:rPr>
              <w:t xml:space="preserve">26,5</w:t>
            </w:r>
          </w:p>
        </w:tc>
      </w:tr>
      <w:tr>
        <w:tc>
          <w:tcPr>
            <w:tcW w:w="2211" w:type="dxa"/>
          </w:tcPr>
          <w:p>
            <w:pPr>
              <w:pStyle w:val="0"/>
              <w:jc w:val="both"/>
            </w:pPr>
            <w:r>
              <w:rPr>
                <w:sz w:val="20"/>
              </w:rPr>
              <w:t xml:space="preserve">Злокачественные новообразования прямой кишки</w:t>
            </w:r>
          </w:p>
        </w:tc>
        <w:tc>
          <w:tcPr>
            <w:tcW w:w="854" w:type="dxa"/>
          </w:tcPr>
          <w:p>
            <w:pPr>
              <w:pStyle w:val="0"/>
              <w:jc w:val="center"/>
            </w:pPr>
            <w:r>
              <w:rPr>
                <w:sz w:val="20"/>
              </w:rPr>
              <w:t xml:space="preserve">16,7</w:t>
            </w:r>
          </w:p>
        </w:tc>
        <w:tc>
          <w:tcPr>
            <w:tcW w:w="854" w:type="dxa"/>
          </w:tcPr>
          <w:p>
            <w:pPr>
              <w:pStyle w:val="0"/>
              <w:jc w:val="center"/>
            </w:pPr>
            <w:r>
              <w:rPr>
                <w:sz w:val="20"/>
              </w:rPr>
              <w:t xml:space="preserve">28,2</w:t>
            </w:r>
          </w:p>
        </w:tc>
        <w:tc>
          <w:tcPr>
            <w:tcW w:w="854" w:type="dxa"/>
          </w:tcPr>
          <w:p>
            <w:pPr>
              <w:pStyle w:val="0"/>
              <w:jc w:val="center"/>
            </w:pPr>
            <w:r>
              <w:rPr>
                <w:sz w:val="20"/>
              </w:rPr>
              <w:t xml:space="preserve">28,2</w:t>
            </w:r>
          </w:p>
        </w:tc>
        <w:tc>
          <w:tcPr>
            <w:tcW w:w="860" w:type="dxa"/>
          </w:tcPr>
          <w:p>
            <w:pPr>
              <w:pStyle w:val="0"/>
              <w:jc w:val="center"/>
            </w:pPr>
            <w:r>
              <w:rPr>
                <w:sz w:val="20"/>
              </w:rPr>
              <w:t xml:space="preserve">26,9</w:t>
            </w:r>
          </w:p>
        </w:tc>
        <w:tc>
          <w:tcPr>
            <w:tcW w:w="854" w:type="dxa"/>
          </w:tcPr>
          <w:p>
            <w:pPr>
              <w:pStyle w:val="0"/>
              <w:jc w:val="center"/>
            </w:pPr>
            <w:r>
              <w:rPr>
                <w:sz w:val="20"/>
              </w:rPr>
              <w:t xml:space="preserve">16,7</w:t>
            </w:r>
          </w:p>
        </w:tc>
        <w:tc>
          <w:tcPr>
            <w:tcW w:w="854" w:type="dxa"/>
          </w:tcPr>
          <w:p>
            <w:pPr>
              <w:pStyle w:val="0"/>
              <w:jc w:val="center"/>
            </w:pPr>
            <w:r>
              <w:rPr>
                <w:sz w:val="20"/>
              </w:rPr>
              <w:t xml:space="preserve">21,3</w:t>
            </w:r>
          </w:p>
        </w:tc>
        <w:tc>
          <w:tcPr>
            <w:tcW w:w="854" w:type="dxa"/>
          </w:tcPr>
          <w:p>
            <w:pPr>
              <w:pStyle w:val="0"/>
              <w:jc w:val="center"/>
            </w:pPr>
            <w:r>
              <w:rPr>
                <w:sz w:val="20"/>
              </w:rPr>
              <w:t xml:space="preserve">31,5</w:t>
            </w:r>
          </w:p>
        </w:tc>
        <w:tc>
          <w:tcPr>
            <w:tcW w:w="858" w:type="dxa"/>
          </w:tcPr>
          <w:p>
            <w:pPr>
              <w:pStyle w:val="0"/>
              <w:jc w:val="center"/>
            </w:pPr>
            <w:r>
              <w:rPr>
                <w:sz w:val="20"/>
              </w:rPr>
              <w:t xml:space="preserve">30,6</w:t>
            </w:r>
          </w:p>
        </w:tc>
      </w:tr>
      <w:tr>
        <w:tc>
          <w:tcPr>
            <w:tcW w:w="2211" w:type="dxa"/>
          </w:tcPr>
          <w:p>
            <w:pPr>
              <w:pStyle w:val="0"/>
              <w:jc w:val="both"/>
            </w:pPr>
            <w:r>
              <w:rPr>
                <w:sz w:val="20"/>
              </w:rPr>
              <w:t xml:space="preserve">Злокачественные новообразования трахеи и легких</w:t>
            </w:r>
          </w:p>
        </w:tc>
        <w:tc>
          <w:tcPr>
            <w:tcW w:w="854" w:type="dxa"/>
          </w:tcPr>
          <w:p>
            <w:pPr>
              <w:pStyle w:val="0"/>
              <w:jc w:val="center"/>
            </w:pPr>
            <w:r>
              <w:rPr>
                <w:sz w:val="20"/>
              </w:rPr>
              <w:t xml:space="preserve">7,9</w:t>
            </w:r>
          </w:p>
        </w:tc>
        <w:tc>
          <w:tcPr>
            <w:tcW w:w="854" w:type="dxa"/>
          </w:tcPr>
          <w:p>
            <w:pPr>
              <w:pStyle w:val="0"/>
              <w:jc w:val="center"/>
            </w:pPr>
            <w:r>
              <w:rPr>
                <w:sz w:val="20"/>
              </w:rPr>
              <w:t xml:space="preserve">7,1</w:t>
            </w:r>
          </w:p>
        </w:tc>
        <w:tc>
          <w:tcPr>
            <w:tcW w:w="854" w:type="dxa"/>
          </w:tcPr>
          <w:p>
            <w:pPr>
              <w:pStyle w:val="0"/>
              <w:jc w:val="center"/>
            </w:pPr>
            <w:r>
              <w:rPr>
                <w:sz w:val="20"/>
              </w:rPr>
              <w:t xml:space="preserve">19,0</w:t>
            </w:r>
          </w:p>
        </w:tc>
        <w:tc>
          <w:tcPr>
            <w:tcW w:w="860" w:type="dxa"/>
          </w:tcPr>
          <w:p>
            <w:pPr>
              <w:pStyle w:val="0"/>
              <w:jc w:val="center"/>
            </w:pPr>
            <w:r>
              <w:rPr>
                <w:sz w:val="20"/>
              </w:rPr>
              <w:t xml:space="preserve">65,9</w:t>
            </w:r>
          </w:p>
        </w:tc>
        <w:tc>
          <w:tcPr>
            <w:tcW w:w="854" w:type="dxa"/>
          </w:tcPr>
          <w:p>
            <w:pPr>
              <w:pStyle w:val="0"/>
              <w:jc w:val="center"/>
            </w:pPr>
            <w:r>
              <w:rPr>
                <w:sz w:val="20"/>
              </w:rPr>
              <w:t xml:space="preserve">3,6</w:t>
            </w:r>
          </w:p>
        </w:tc>
        <w:tc>
          <w:tcPr>
            <w:tcW w:w="854" w:type="dxa"/>
          </w:tcPr>
          <w:p>
            <w:pPr>
              <w:pStyle w:val="0"/>
              <w:jc w:val="center"/>
            </w:pPr>
            <w:r>
              <w:rPr>
                <w:sz w:val="20"/>
              </w:rPr>
              <w:t xml:space="preserve">11,5</w:t>
            </w:r>
          </w:p>
        </w:tc>
        <w:tc>
          <w:tcPr>
            <w:tcW w:w="854" w:type="dxa"/>
          </w:tcPr>
          <w:p>
            <w:pPr>
              <w:pStyle w:val="0"/>
              <w:jc w:val="center"/>
            </w:pPr>
            <w:r>
              <w:rPr>
                <w:sz w:val="20"/>
              </w:rPr>
              <w:t xml:space="preserve">25,9</w:t>
            </w:r>
          </w:p>
        </w:tc>
        <w:tc>
          <w:tcPr>
            <w:tcW w:w="858" w:type="dxa"/>
          </w:tcPr>
          <w:p>
            <w:pPr>
              <w:pStyle w:val="0"/>
              <w:jc w:val="center"/>
            </w:pPr>
            <w:r>
              <w:rPr>
                <w:sz w:val="20"/>
              </w:rPr>
              <w:t xml:space="preserve">58,3</w:t>
            </w:r>
          </w:p>
        </w:tc>
      </w:tr>
      <w:tr>
        <w:tc>
          <w:tcPr>
            <w:tcW w:w="2211" w:type="dxa"/>
          </w:tcPr>
          <w:p>
            <w:pPr>
              <w:pStyle w:val="0"/>
              <w:jc w:val="both"/>
            </w:pPr>
            <w:r>
              <w:rPr>
                <w:sz w:val="20"/>
              </w:rPr>
              <w:t xml:space="preserve">Злокачественные новообразования молочной железы</w:t>
            </w:r>
          </w:p>
        </w:tc>
        <w:tc>
          <w:tcPr>
            <w:tcW w:w="854" w:type="dxa"/>
          </w:tcPr>
          <w:p>
            <w:pPr>
              <w:pStyle w:val="0"/>
              <w:jc w:val="center"/>
            </w:pPr>
            <w:r>
              <w:rPr>
                <w:sz w:val="20"/>
              </w:rPr>
              <w:t xml:space="preserve">29,7</w:t>
            </w:r>
          </w:p>
        </w:tc>
        <w:tc>
          <w:tcPr>
            <w:tcW w:w="854" w:type="dxa"/>
          </w:tcPr>
          <w:p>
            <w:pPr>
              <w:pStyle w:val="0"/>
              <w:jc w:val="center"/>
            </w:pPr>
            <w:r>
              <w:rPr>
                <w:sz w:val="20"/>
              </w:rPr>
              <w:t xml:space="preserve">41,5</w:t>
            </w:r>
          </w:p>
        </w:tc>
        <w:tc>
          <w:tcPr>
            <w:tcW w:w="854" w:type="dxa"/>
          </w:tcPr>
          <w:p>
            <w:pPr>
              <w:pStyle w:val="0"/>
              <w:jc w:val="center"/>
            </w:pPr>
            <w:r>
              <w:rPr>
                <w:sz w:val="20"/>
              </w:rPr>
              <w:t xml:space="preserve">17,5</w:t>
            </w:r>
          </w:p>
        </w:tc>
        <w:tc>
          <w:tcPr>
            <w:tcW w:w="860" w:type="dxa"/>
          </w:tcPr>
          <w:p>
            <w:pPr>
              <w:pStyle w:val="0"/>
              <w:jc w:val="center"/>
            </w:pPr>
            <w:r>
              <w:rPr>
                <w:sz w:val="20"/>
              </w:rPr>
              <w:t xml:space="preserve">11,4</w:t>
            </w:r>
          </w:p>
        </w:tc>
        <w:tc>
          <w:tcPr>
            <w:tcW w:w="854" w:type="dxa"/>
          </w:tcPr>
          <w:p>
            <w:pPr>
              <w:pStyle w:val="0"/>
              <w:jc w:val="center"/>
            </w:pPr>
            <w:r>
              <w:rPr>
                <w:sz w:val="20"/>
              </w:rPr>
              <w:t xml:space="preserve">32,7</w:t>
            </w:r>
          </w:p>
        </w:tc>
        <w:tc>
          <w:tcPr>
            <w:tcW w:w="854" w:type="dxa"/>
          </w:tcPr>
          <w:p>
            <w:pPr>
              <w:pStyle w:val="0"/>
              <w:jc w:val="center"/>
            </w:pPr>
            <w:r>
              <w:rPr>
                <w:sz w:val="20"/>
              </w:rPr>
              <w:t xml:space="preserve">41,3</w:t>
            </w:r>
          </w:p>
        </w:tc>
        <w:tc>
          <w:tcPr>
            <w:tcW w:w="854" w:type="dxa"/>
          </w:tcPr>
          <w:p>
            <w:pPr>
              <w:pStyle w:val="0"/>
              <w:jc w:val="center"/>
            </w:pPr>
            <w:r>
              <w:rPr>
                <w:sz w:val="20"/>
              </w:rPr>
              <w:t xml:space="preserve">18,7</w:t>
            </w:r>
          </w:p>
        </w:tc>
        <w:tc>
          <w:tcPr>
            <w:tcW w:w="858" w:type="dxa"/>
          </w:tcPr>
          <w:p>
            <w:pPr>
              <w:pStyle w:val="0"/>
              <w:jc w:val="center"/>
            </w:pPr>
            <w:r>
              <w:rPr>
                <w:sz w:val="20"/>
              </w:rPr>
              <w:t xml:space="preserve">6,7</w:t>
            </w:r>
          </w:p>
        </w:tc>
      </w:tr>
      <w:tr>
        <w:tc>
          <w:tcPr>
            <w:tcW w:w="2211" w:type="dxa"/>
          </w:tcPr>
          <w:p>
            <w:pPr>
              <w:pStyle w:val="0"/>
              <w:jc w:val="both"/>
            </w:pPr>
            <w:r>
              <w:rPr>
                <w:sz w:val="20"/>
              </w:rPr>
              <w:t xml:space="preserve">Злокачественные новообразования предстательной железы</w:t>
            </w:r>
          </w:p>
        </w:tc>
        <w:tc>
          <w:tcPr>
            <w:tcW w:w="854" w:type="dxa"/>
          </w:tcPr>
          <w:p>
            <w:pPr>
              <w:pStyle w:val="0"/>
              <w:jc w:val="center"/>
            </w:pPr>
            <w:r>
              <w:rPr>
                <w:sz w:val="20"/>
              </w:rPr>
              <w:t xml:space="preserve">21,8</w:t>
            </w:r>
          </w:p>
        </w:tc>
        <w:tc>
          <w:tcPr>
            <w:tcW w:w="854" w:type="dxa"/>
          </w:tcPr>
          <w:p>
            <w:pPr>
              <w:pStyle w:val="0"/>
              <w:jc w:val="center"/>
            </w:pPr>
            <w:r>
              <w:rPr>
                <w:sz w:val="20"/>
              </w:rPr>
              <w:t xml:space="preserve">34,6</w:t>
            </w:r>
          </w:p>
        </w:tc>
        <w:tc>
          <w:tcPr>
            <w:tcW w:w="854" w:type="dxa"/>
          </w:tcPr>
          <w:p>
            <w:pPr>
              <w:pStyle w:val="0"/>
              <w:jc w:val="center"/>
            </w:pPr>
            <w:r>
              <w:rPr>
                <w:sz w:val="20"/>
              </w:rPr>
              <w:t xml:space="preserve">15,0</w:t>
            </w:r>
          </w:p>
        </w:tc>
        <w:tc>
          <w:tcPr>
            <w:tcW w:w="860" w:type="dxa"/>
          </w:tcPr>
          <w:p>
            <w:pPr>
              <w:pStyle w:val="0"/>
              <w:jc w:val="center"/>
            </w:pPr>
            <w:r>
              <w:rPr>
                <w:sz w:val="20"/>
              </w:rPr>
              <w:t xml:space="preserve">28,6</w:t>
            </w:r>
          </w:p>
        </w:tc>
        <w:tc>
          <w:tcPr>
            <w:tcW w:w="854" w:type="dxa"/>
          </w:tcPr>
          <w:p>
            <w:pPr>
              <w:pStyle w:val="0"/>
              <w:jc w:val="center"/>
            </w:pPr>
            <w:r>
              <w:rPr>
                <w:sz w:val="20"/>
              </w:rPr>
              <w:t xml:space="preserve">11,5</w:t>
            </w:r>
          </w:p>
        </w:tc>
        <w:tc>
          <w:tcPr>
            <w:tcW w:w="854" w:type="dxa"/>
          </w:tcPr>
          <w:p>
            <w:pPr>
              <w:pStyle w:val="0"/>
              <w:jc w:val="center"/>
            </w:pPr>
            <w:r>
              <w:rPr>
                <w:sz w:val="20"/>
              </w:rPr>
              <w:t xml:space="preserve">51,4</w:t>
            </w:r>
          </w:p>
        </w:tc>
        <w:tc>
          <w:tcPr>
            <w:tcW w:w="854" w:type="dxa"/>
          </w:tcPr>
          <w:p>
            <w:pPr>
              <w:pStyle w:val="0"/>
              <w:jc w:val="center"/>
            </w:pPr>
            <w:r>
              <w:rPr>
                <w:sz w:val="20"/>
              </w:rPr>
              <w:t xml:space="preserve">14,2</w:t>
            </w:r>
          </w:p>
        </w:tc>
        <w:tc>
          <w:tcPr>
            <w:tcW w:w="858" w:type="dxa"/>
          </w:tcPr>
          <w:p>
            <w:pPr>
              <w:pStyle w:val="0"/>
              <w:jc w:val="center"/>
            </w:pPr>
            <w:r>
              <w:rPr>
                <w:sz w:val="20"/>
              </w:rPr>
              <w:t xml:space="preserve">21,9</w:t>
            </w:r>
          </w:p>
        </w:tc>
      </w:tr>
    </w:tbl>
    <w:p>
      <w:pPr>
        <w:pStyle w:val="0"/>
        <w:ind w:firstLine="540"/>
        <w:jc w:val="both"/>
      </w:pPr>
      <w:r>
        <w:rPr>
          <w:sz w:val="20"/>
        </w:rPr>
      </w:r>
    </w:p>
    <w:p>
      <w:pPr>
        <w:pStyle w:val="0"/>
        <w:jc w:val="right"/>
      </w:pPr>
      <w:r>
        <w:rPr>
          <w:sz w:val="20"/>
        </w:rPr>
        <w:t xml:space="preserve">Таблица N 9.2</w:t>
      </w:r>
    </w:p>
    <w:p>
      <w:pPr>
        <w:pStyle w:val="0"/>
        <w:ind w:firstLine="540"/>
        <w:jc w:val="both"/>
      </w:pPr>
      <w:r>
        <w:rPr>
          <w:sz w:val="20"/>
        </w:rPr>
      </w:r>
    </w:p>
    <w:p>
      <w:pPr>
        <w:pStyle w:val="0"/>
        <w:jc w:val="center"/>
      </w:pPr>
      <w:r>
        <w:rPr>
          <w:sz w:val="20"/>
        </w:rPr>
        <w:t xml:space="preserve">Распределение выявленных злокачественных</w:t>
      </w:r>
    </w:p>
    <w:p>
      <w:pPr>
        <w:pStyle w:val="0"/>
        <w:jc w:val="center"/>
      </w:pPr>
      <w:r>
        <w:rPr>
          <w:sz w:val="20"/>
        </w:rPr>
        <w:t xml:space="preserve">новообразований по стадиям (%)</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1478"/>
        <w:gridCol w:w="1417"/>
        <w:gridCol w:w="1478"/>
        <w:gridCol w:w="1478"/>
      </w:tblGrid>
      <w:tr>
        <w:tc>
          <w:tcPr>
            <w:tcW w:w="3231" w:type="dxa"/>
            <w:vMerge w:val="restart"/>
          </w:tcPr>
          <w:p>
            <w:pPr>
              <w:pStyle w:val="0"/>
              <w:jc w:val="center"/>
            </w:pPr>
            <w:r>
              <w:rPr>
                <w:sz w:val="20"/>
              </w:rPr>
              <w:t xml:space="preserve">Наименование</w:t>
            </w:r>
          </w:p>
        </w:tc>
        <w:tc>
          <w:tcPr>
            <w:gridSpan w:val="4"/>
            <w:tcW w:w="5851" w:type="dxa"/>
          </w:tcPr>
          <w:p>
            <w:pPr>
              <w:pStyle w:val="0"/>
              <w:jc w:val="center"/>
            </w:pPr>
            <w:r>
              <w:rPr>
                <w:sz w:val="20"/>
              </w:rPr>
              <w:t xml:space="preserve">2022</w:t>
            </w:r>
          </w:p>
        </w:tc>
      </w:tr>
      <w:tr>
        <w:tc>
          <w:tcPr>
            <w:vMerge w:val="continue"/>
          </w:tcPr>
          <w:p/>
        </w:tc>
        <w:tc>
          <w:tcPr>
            <w:tcW w:w="1478" w:type="dxa"/>
          </w:tcPr>
          <w:p>
            <w:pPr>
              <w:pStyle w:val="0"/>
              <w:jc w:val="center"/>
            </w:pPr>
            <w:r>
              <w:rPr>
                <w:sz w:val="20"/>
              </w:rPr>
              <w:t xml:space="preserve">I</w:t>
            </w:r>
          </w:p>
        </w:tc>
        <w:tc>
          <w:tcPr>
            <w:tcW w:w="1417" w:type="dxa"/>
          </w:tcPr>
          <w:p>
            <w:pPr>
              <w:pStyle w:val="0"/>
              <w:jc w:val="center"/>
            </w:pPr>
            <w:r>
              <w:rPr>
                <w:sz w:val="20"/>
              </w:rPr>
              <w:t xml:space="preserve">II</w:t>
            </w:r>
          </w:p>
        </w:tc>
        <w:tc>
          <w:tcPr>
            <w:tcW w:w="1478" w:type="dxa"/>
          </w:tcPr>
          <w:p>
            <w:pPr>
              <w:pStyle w:val="0"/>
              <w:jc w:val="center"/>
            </w:pPr>
            <w:r>
              <w:rPr>
                <w:sz w:val="20"/>
              </w:rPr>
              <w:t xml:space="preserve">III</w:t>
            </w:r>
          </w:p>
        </w:tc>
        <w:tc>
          <w:tcPr>
            <w:tcW w:w="1478" w:type="dxa"/>
          </w:tcPr>
          <w:p>
            <w:pPr>
              <w:pStyle w:val="0"/>
              <w:jc w:val="center"/>
            </w:pPr>
            <w:r>
              <w:rPr>
                <w:sz w:val="20"/>
              </w:rPr>
              <w:t xml:space="preserve">IV</w:t>
            </w:r>
          </w:p>
        </w:tc>
      </w:tr>
      <w:tr>
        <w:tc>
          <w:tcPr>
            <w:tcW w:w="3231" w:type="dxa"/>
          </w:tcPr>
          <w:p>
            <w:pPr>
              <w:pStyle w:val="0"/>
              <w:jc w:val="both"/>
            </w:pPr>
            <w:r>
              <w:rPr>
                <w:sz w:val="20"/>
              </w:rPr>
              <w:t xml:space="preserve">Всего</w:t>
            </w:r>
          </w:p>
        </w:tc>
        <w:tc>
          <w:tcPr>
            <w:tcW w:w="1478" w:type="dxa"/>
          </w:tcPr>
          <w:p>
            <w:pPr>
              <w:pStyle w:val="0"/>
              <w:jc w:val="center"/>
            </w:pPr>
            <w:r>
              <w:rPr>
                <w:sz w:val="20"/>
              </w:rPr>
              <w:t xml:space="preserve">42,2</w:t>
            </w:r>
          </w:p>
        </w:tc>
        <w:tc>
          <w:tcPr>
            <w:tcW w:w="1417" w:type="dxa"/>
          </w:tcPr>
          <w:p>
            <w:pPr>
              <w:pStyle w:val="0"/>
              <w:jc w:val="center"/>
            </w:pPr>
            <w:r>
              <w:rPr>
                <w:sz w:val="20"/>
              </w:rPr>
              <w:t xml:space="preserve">21,6</w:t>
            </w:r>
          </w:p>
        </w:tc>
        <w:tc>
          <w:tcPr>
            <w:tcW w:w="1478" w:type="dxa"/>
          </w:tcPr>
          <w:p>
            <w:pPr>
              <w:pStyle w:val="0"/>
              <w:jc w:val="center"/>
            </w:pPr>
            <w:r>
              <w:rPr>
                <w:sz w:val="20"/>
              </w:rPr>
              <w:t xml:space="preserve">16,7</w:t>
            </w:r>
          </w:p>
        </w:tc>
        <w:tc>
          <w:tcPr>
            <w:tcW w:w="1478" w:type="dxa"/>
          </w:tcPr>
          <w:p>
            <w:pPr>
              <w:pStyle w:val="0"/>
              <w:jc w:val="center"/>
            </w:pPr>
            <w:r>
              <w:rPr>
                <w:sz w:val="20"/>
              </w:rPr>
              <w:t xml:space="preserve">15,1</w:t>
            </w:r>
          </w:p>
        </w:tc>
      </w:tr>
      <w:tr>
        <w:tc>
          <w:tcPr>
            <w:tcW w:w="3231" w:type="dxa"/>
          </w:tcPr>
          <w:p>
            <w:pPr>
              <w:pStyle w:val="0"/>
              <w:jc w:val="both"/>
            </w:pPr>
            <w:r>
              <w:rPr>
                <w:sz w:val="20"/>
              </w:rPr>
              <w:t xml:space="preserve">Злокачественные новообразования желудка</w:t>
            </w:r>
          </w:p>
        </w:tc>
        <w:tc>
          <w:tcPr>
            <w:tcW w:w="1478" w:type="dxa"/>
          </w:tcPr>
          <w:p>
            <w:pPr>
              <w:pStyle w:val="0"/>
              <w:jc w:val="center"/>
            </w:pPr>
            <w:r>
              <w:rPr>
                <w:sz w:val="20"/>
              </w:rPr>
              <w:t xml:space="preserve">18,5</w:t>
            </w:r>
          </w:p>
        </w:tc>
        <w:tc>
          <w:tcPr>
            <w:tcW w:w="1417" w:type="dxa"/>
          </w:tcPr>
          <w:p>
            <w:pPr>
              <w:pStyle w:val="0"/>
              <w:jc w:val="center"/>
            </w:pPr>
            <w:r>
              <w:rPr>
                <w:sz w:val="20"/>
              </w:rPr>
              <w:t xml:space="preserve">21,7</w:t>
            </w:r>
          </w:p>
        </w:tc>
        <w:tc>
          <w:tcPr>
            <w:tcW w:w="1478" w:type="dxa"/>
          </w:tcPr>
          <w:p>
            <w:pPr>
              <w:pStyle w:val="0"/>
              <w:jc w:val="center"/>
            </w:pPr>
            <w:r>
              <w:rPr>
                <w:sz w:val="20"/>
              </w:rPr>
              <w:t xml:space="preserve">19,6</w:t>
            </w:r>
          </w:p>
        </w:tc>
        <w:tc>
          <w:tcPr>
            <w:tcW w:w="1478" w:type="dxa"/>
          </w:tcPr>
          <w:p>
            <w:pPr>
              <w:pStyle w:val="0"/>
              <w:jc w:val="center"/>
            </w:pPr>
            <w:r>
              <w:rPr>
                <w:sz w:val="20"/>
              </w:rPr>
              <w:t xml:space="preserve">40,2</w:t>
            </w:r>
          </w:p>
        </w:tc>
      </w:tr>
      <w:tr>
        <w:tc>
          <w:tcPr>
            <w:tcW w:w="3231" w:type="dxa"/>
          </w:tcPr>
          <w:p>
            <w:pPr>
              <w:pStyle w:val="0"/>
              <w:jc w:val="both"/>
            </w:pPr>
            <w:r>
              <w:rPr>
                <w:sz w:val="20"/>
              </w:rPr>
              <w:t xml:space="preserve">Злокачественные новообразования ободочной кишки</w:t>
            </w:r>
          </w:p>
        </w:tc>
        <w:tc>
          <w:tcPr>
            <w:tcW w:w="1478" w:type="dxa"/>
          </w:tcPr>
          <w:p>
            <w:pPr>
              <w:pStyle w:val="0"/>
              <w:jc w:val="center"/>
            </w:pPr>
            <w:r>
              <w:rPr>
                <w:sz w:val="20"/>
              </w:rPr>
              <w:t xml:space="preserve">10,3</w:t>
            </w:r>
          </w:p>
        </w:tc>
        <w:tc>
          <w:tcPr>
            <w:tcW w:w="1417" w:type="dxa"/>
          </w:tcPr>
          <w:p>
            <w:pPr>
              <w:pStyle w:val="0"/>
              <w:jc w:val="center"/>
            </w:pPr>
            <w:r>
              <w:rPr>
                <w:sz w:val="20"/>
              </w:rPr>
              <w:t xml:space="preserve">30,1</w:t>
            </w:r>
          </w:p>
        </w:tc>
        <w:tc>
          <w:tcPr>
            <w:tcW w:w="1478" w:type="dxa"/>
          </w:tcPr>
          <w:p>
            <w:pPr>
              <w:pStyle w:val="0"/>
              <w:jc w:val="center"/>
            </w:pPr>
            <w:r>
              <w:rPr>
                <w:sz w:val="20"/>
              </w:rPr>
              <w:t xml:space="preserve">30,8</w:t>
            </w:r>
          </w:p>
        </w:tc>
        <w:tc>
          <w:tcPr>
            <w:tcW w:w="1478" w:type="dxa"/>
          </w:tcPr>
          <w:p>
            <w:pPr>
              <w:pStyle w:val="0"/>
              <w:jc w:val="center"/>
            </w:pPr>
            <w:r>
              <w:rPr>
                <w:sz w:val="20"/>
              </w:rPr>
              <w:t xml:space="preserve">26,9</w:t>
            </w:r>
          </w:p>
        </w:tc>
      </w:tr>
      <w:tr>
        <w:tc>
          <w:tcPr>
            <w:tcW w:w="3231" w:type="dxa"/>
          </w:tcPr>
          <w:p>
            <w:pPr>
              <w:pStyle w:val="0"/>
              <w:jc w:val="both"/>
            </w:pPr>
            <w:r>
              <w:rPr>
                <w:sz w:val="20"/>
              </w:rPr>
              <w:t xml:space="preserve">Злокачественные новообразования прямой кишки</w:t>
            </w:r>
          </w:p>
        </w:tc>
        <w:tc>
          <w:tcPr>
            <w:tcW w:w="1478" w:type="dxa"/>
          </w:tcPr>
          <w:p>
            <w:pPr>
              <w:pStyle w:val="0"/>
              <w:jc w:val="center"/>
            </w:pPr>
            <w:r>
              <w:rPr>
                <w:sz w:val="20"/>
              </w:rPr>
              <w:t xml:space="preserve">14,2</w:t>
            </w:r>
          </w:p>
        </w:tc>
        <w:tc>
          <w:tcPr>
            <w:tcW w:w="1417" w:type="dxa"/>
          </w:tcPr>
          <w:p>
            <w:pPr>
              <w:pStyle w:val="0"/>
              <w:jc w:val="center"/>
            </w:pPr>
            <w:r>
              <w:rPr>
                <w:sz w:val="20"/>
              </w:rPr>
              <w:t xml:space="preserve">34,0</w:t>
            </w:r>
          </w:p>
        </w:tc>
        <w:tc>
          <w:tcPr>
            <w:tcW w:w="1478" w:type="dxa"/>
          </w:tcPr>
          <w:p>
            <w:pPr>
              <w:pStyle w:val="0"/>
              <w:jc w:val="center"/>
            </w:pPr>
            <w:r>
              <w:rPr>
                <w:sz w:val="20"/>
              </w:rPr>
              <w:t xml:space="preserve">24,5</w:t>
            </w:r>
          </w:p>
        </w:tc>
        <w:tc>
          <w:tcPr>
            <w:tcW w:w="1478" w:type="dxa"/>
          </w:tcPr>
          <w:p>
            <w:pPr>
              <w:pStyle w:val="0"/>
              <w:jc w:val="center"/>
            </w:pPr>
            <w:r>
              <w:rPr>
                <w:sz w:val="20"/>
              </w:rPr>
              <w:t xml:space="preserve">25,5</w:t>
            </w:r>
          </w:p>
        </w:tc>
      </w:tr>
      <w:tr>
        <w:tc>
          <w:tcPr>
            <w:tcW w:w="3231" w:type="dxa"/>
          </w:tcPr>
          <w:p>
            <w:pPr>
              <w:pStyle w:val="0"/>
              <w:jc w:val="both"/>
            </w:pPr>
            <w:r>
              <w:rPr>
                <w:sz w:val="20"/>
              </w:rPr>
              <w:t xml:space="preserve">Злокачественные новообразования трахеи и легких</w:t>
            </w:r>
          </w:p>
        </w:tc>
        <w:tc>
          <w:tcPr>
            <w:tcW w:w="1478" w:type="dxa"/>
          </w:tcPr>
          <w:p>
            <w:pPr>
              <w:pStyle w:val="0"/>
              <w:jc w:val="center"/>
            </w:pPr>
            <w:r>
              <w:rPr>
                <w:sz w:val="20"/>
              </w:rPr>
              <w:t xml:space="preserve">12,0</w:t>
            </w:r>
          </w:p>
        </w:tc>
        <w:tc>
          <w:tcPr>
            <w:tcW w:w="1417" w:type="dxa"/>
          </w:tcPr>
          <w:p>
            <w:pPr>
              <w:pStyle w:val="0"/>
              <w:jc w:val="center"/>
            </w:pPr>
            <w:r>
              <w:rPr>
                <w:sz w:val="20"/>
              </w:rPr>
              <w:t xml:space="preserve">11,0</w:t>
            </w:r>
          </w:p>
        </w:tc>
        <w:tc>
          <w:tcPr>
            <w:tcW w:w="1478" w:type="dxa"/>
          </w:tcPr>
          <w:p>
            <w:pPr>
              <w:pStyle w:val="0"/>
              <w:jc w:val="center"/>
            </w:pPr>
            <w:r>
              <w:rPr>
                <w:sz w:val="20"/>
              </w:rPr>
              <w:t xml:space="preserve">33,0</w:t>
            </w:r>
          </w:p>
        </w:tc>
        <w:tc>
          <w:tcPr>
            <w:tcW w:w="1478" w:type="dxa"/>
          </w:tcPr>
          <w:p>
            <w:pPr>
              <w:pStyle w:val="0"/>
              <w:jc w:val="center"/>
            </w:pPr>
            <w:r>
              <w:rPr>
                <w:sz w:val="20"/>
              </w:rPr>
              <w:t xml:space="preserve">43,0</w:t>
            </w:r>
          </w:p>
        </w:tc>
      </w:tr>
      <w:tr>
        <w:tc>
          <w:tcPr>
            <w:tcW w:w="3231" w:type="dxa"/>
          </w:tcPr>
          <w:p>
            <w:pPr>
              <w:pStyle w:val="0"/>
              <w:jc w:val="both"/>
            </w:pPr>
            <w:r>
              <w:rPr>
                <w:sz w:val="20"/>
              </w:rPr>
              <w:t xml:space="preserve">Злокачественные новообразования молочной железы</w:t>
            </w:r>
          </w:p>
        </w:tc>
        <w:tc>
          <w:tcPr>
            <w:tcW w:w="1478" w:type="dxa"/>
          </w:tcPr>
          <w:p>
            <w:pPr>
              <w:pStyle w:val="0"/>
              <w:jc w:val="center"/>
            </w:pPr>
            <w:r>
              <w:rPr>
                <w:sz w:val="20"/>
              </w:rPr>
              <w:t xml:space="preserve">41,5</w:t>
            </w:r>
          </w:p>
        </w:tc>
        <w:tc>
          <w:tcPr>
            <w:tcW w:w="1417" w:type="dxa"/>
          </w:tcPr>
          <w:p>
            <w:pPr>
              <w:pStyle w:val="0"/>
              <w:jc w:val="center"/>
            </w:pPr>
            <w:r>
              <w:rPr>
                <w:sz w:val="20"/>
              </w:rPr>
              <w:t xml:space="preserve">38,9</w:t>
            </w:r>
          </w:p>
        </w:tc>
        <w:tc>
          <w:tcPr>
            <w:tcW w:w="1478" w:type="dxa"/>
          </w:tcPr>
          <w:p>
            <w:pPr>
              <w:pStyle w:val="0"/>
              <w:jc w:val="center"/>
            </w:pPr>
            <w:r>
              <w:rPr>
                <w:sz w:val="20"/>
              </w:rPr>
              <w:t xml:space="preserve">15,0</w:t>
            </w:r>
          </w:p>
        </w:tc>
        <w:tc>
          <w:tcPr>
            <w:tcW w:w="1478" w:type="dxa"/>
          </w:tcPr>
          <w:p>
            <w:pPr>
              <w:pStyle w:val="0"/>
              <w:jc w:val="center"/>
            </w:pPr>
            <w:r>
              <w:rPr>
                <w:sz w:val="20"/>
              </w:rPr>
              <w:t xml:space="preserve">4,6</w:t>
            </w:r>
          </w:p>
        </w:tc>
      </w:tr>
      <w:tr>
        <w:tc>
          <w:tcPr>
            <w:tcW w:w="3231" w:type="dxa"/>
          </w:tcPr>
          <w:p>
            <w:pPr>
              <w:pStyle w:val="0"/>
              <w:jc w:val="both"/>
            </w:pPr>
            <w:r>
              <w:rPr>
                <w:sz w:val="20"/>
              </w:rPr>
              <w:t xml:space="preserve">Злокачественные новообразования предстательной железы</w:t>
            </w:r>
          </w:p>
        </w:tc>
        <w:tc>
          <w:tcPr>
            <w:tcW w:w="1478" w:type="dxa"/>
          </w:tcPr>
          <w:p>
            <w:pPr>
              <w:pStyle w:val="0"/>
              <w:jc w:val="center"/>
            </w:pPr>
            <w:r>
              <w:rPr>
                <w:sz w:val="20"/>
              </w:rPr>
              <w:t xml:space="preserve">29,7</w:t>
            </w:r>
          </w:p>
        </w:tc>
        <w:tc>
          <w:tcPr>
            <w:tcW w:w="1417" w:type="dxa"/>
          </w:tcPr>
          <w:p>
            <w:pPr>
              <w:pStyle w:val="0"/>
              <w:jc w:val="center"/>
            </w:pPr>
            <w:r>
              <w:rPr>
                <w:sz w:val="20"/>
              </w:rPr>
              <w:t xml:space="preserve">31,4</w:t>
            </w:r>
          </w:p>
        </w:tc>
        <w:tc>
          <w:tcPr>
            <w:tcW w:w="1478" w:type="dxa"/>
          </w:tcPr>
          <w:p>
            <w:pPr>
              <w:pStyle w:val="0"/>
              <w:jc w:val="center"/>
            </w:pPr>
            <w:r>
              <w:rPr>
                <w:sz w:val="20"/>
              </w:rPr>
              <w:t xml:space="preserve">13,4</w:t>
            </w:r>
          </w:p>
        </w:tc>
        <w:tc>
          <w:tcPr>
            <w:tcW w:w="1478" w:type="dxa"/>
          </w:tcPr>
          <w:p>
            <w:pPr>
              <w:pStyle w:val="0"/>
              <w:jc w:val="center"/>
            </w:pPr>
            <w:r>
              <w:rPr>
                <w:sz w:val="20"/>
              </w:rPr>
              <w:t xml:space="preserve">24,4</w:t>
            </w:r>
          </w:p>
        </w:tc>
      </w:tr>
    </w:tbl>
    <w:p>
      <w:pPr>
        <w:pStyle w:val="0"/>
        <w:ind w:firstLine="540"/>
        <w:jc w:val="both"/>
      </w:pPr>
      <w:r>
        <w:rPr>
          <w:sz w:val="20"/>
        </w:rPr>
      </w:r>
    </w:p>
    <w:p>
      <w:pPr>
        <w:pStyle w:val="0"/>
        <w:ind w:firstLine="540"/>
        <w:jc w:val="both"/>
      </w:pPr>
      <w:r>
        <w:rPr>
          <w:sz w:val="20"/>
        </w:rPr>
        <w:t xml:space="preserve">Показатель выявления на ранних стадиях всех злокачественных новообразований вырос с 58,4% в 2020 году до 64% в 2022 году. Показатель выявления в 2022 году злокачественных новообразований на ранних стадиях в городских больницах: N 1 - 64,2% (2021 год - 61,9%), N 4 - 62,9% (2021 год - 61,3%) и N 9 - 63,0% (2021 год - 57,14%).</w:t>
      </w:r>
    </w:p>
    <w:p>
      <w:pPr>
        <w:pStyle w:val="0"/>
        <w:ind w:firstLine="540"/>
        <w:jc w:val="both"/>
      </w:pPr>
      <w:r>
        <w:rPr>
          <w:sz w:val="20"/>
        </w:rPr>
      </w:r>
    </w:p>
    <w:p>
      <w:pPr>
        <w:pStyle w:val="0"/>
        <w:jc w:val="right"/>
      </w:pPr>
      <w:r>
        <w:rPr>
          <w:sz w:val="20"/>
        </w:rPr>
        <w:t xml:space="preserve">Таблица N 10.1</w:t>
      </w:r>
    </w:p>
    <w:p>
      <w:pPr>
        <w:pStyle w:val="0"/>
        <w:jc w:val="right"/>
      </w:pPr>
      <w:r>
        <w:rPr>
          <w:sz w:val="20"/>
        </w:rPr>
      </w:r>
    </w:p>
    <w:p>
      <w:pPr>
        <w:pStyle w:val="0"/>
        <w:jc w:val="center"/>
      </w:pPr>
      <w:r>
        <w:rPr>
          <w:sz w:val="20"/>
        </w:rPr>
        <w:t xml:space="preserve">Запущенность злокачественных новообразований</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147"/>
        <w:gridCol w:w="1134"/>
        <w:gridCol w:w="1134"/>
        <w:gridCol w:w="1116"/>
        <w:gridCol w:w="1178"/>
        <w:gridCol w:w="1154"/>
      </w:tblGrid>
      <w:tr>
        <w:tc>
          <w:tcPr>
            <w:tcW w:w="2211" w:type="dxa"/>
            <w:vMerge w:val="restart"/>
          </w:tcPr>
          <w:p>
            <w:pPr>
              <w:pStyle w:val="0"/>
              <w:jc w:val="center"/>
            </w:pPr>
            <w:r>
              <w:rPr>
                <w:sz w:val="20"/>
              </w:rPr>
              <w:t xml:space="preserve">Наименование</w:t>
            </w:r>
          </w:p>
        </w:tc>
        <w:tc>
          <w:tcPr>
            <w:gridSpan w:val="2"/>
            <w:tcW w:w="2281" w:type="dxa"/>
          </w:tcPr>
          <w:p>
            <w:pPr>
              <w:pStyle w:val="0"/>
              <w:jc w:val="center"/>
            </w:pPr>
            <w:r>
              <w:rPr>
                <w:sz w:val="20"/>
              </w:rPr>
              <w:t xml:space="preserve">2020</w:t>
            </w:r>
          </w:p>
        </w:tc>
        <w:tc>
          <w:tcPr>
            <w:gridSpan w:val="2"/>
            <w:tcW w:w="2250" w:type="dxa"/>
          </w:tcPr>
          <w:p>
            <w:pPr>
              <w:pStyle w:val="0"/>
              <w:jc w:val="center"/>
            </w:pPr>
            <w:r>
              <w:rPr>
                <w:sz w:val="20"/>
              </w:rPr>
              <w:t xml:space="preserve">2021</w:t>
            </w:r>
          </w:p>
        </w:tc>
        <w:tc>
          <w:tcPr>
            <w:gridSpan w:val="2"/>
            <w:tcW w:w="2332" w:type="dxa"/>
          </w:tcPr>
          <w:p>
            <w:pPr>
              <w:pStyle w:val="0"/>
              <w:jc w:val="center"/>
            </w:pPr>
            <w:r>
              <w:rPr>
                <w:sz w:val="20"/>
              </w:rPr>
              <w:t xml:space="preserve">2022</w:t>
            </w:r>
          </w:p>
        </w:tc>
      </w:tr>
      <w:tr>
        <w:tc>
          <w:tcPr>
            <w:vMerge w:val="continue"/>
          </w:tcPr>
          <w:p/>
        </w:tc>
        <w:tc>
          <w:tcPr>
            <w:tcW w:w="1147" w:type="dxa"/>
          </w:tcPr>
          <w:p>
            <w:pPr>
              <w:pStyle w:val="0"/>
              <w:jc w:val="center"/>
            </w:pPr>
            <w:r>
              <w:rPr>
                <w:sz w:val="20"/>
              </w:rPr>
              <w:t xml:space="preserve">III стадия</w:t>
            </w:r>
          </w:p>
        </w:tc>
        <w:tc>
          <w:tcPr>
            <w:tcW w:w="1134" w:type="dxa"/>
          </w:tcPr>
          <w:p>
            <w:pPr>
              <w:pStyle w:val="0"/>
              <w:jc w:val="center"/>
            </w:pPr>
            <w:r>
              <w:rPr>
                <w:sz w:val="20"/>
              </w:rPr>
              <w:t xml:space="preserve">IV стадия</w:t>
            </w:r>
          </w:p>
        </w:tc>
        <w:tc>
          <w:tcPr>
            <w:tcW w:w="1134" w:type="dxa"/>
          </w:tcPr>
          <w:p>
            <w:pPr>
              <w:pStyle w:val="0"/>
              <w:jc w:val="center"/>
            </w:pPr>
            <w:r>
              <w:rPr>
                <w:sz w:val="20"/>
              </w:rPr>
              <w:t xml:space="preserve">III стадия</w:t>
            </w:r>
          </w:p>
        </w:tc>
        <w:tc>
          <w:tcPr>
            <w:tcW w:w="1116" w:type="dxa"/>
          </w:tcPr>
          <w:p>
            <w:pPr>
              <w:pStyle w:val="0"/>
              <w:jc w:val="center"/>
            </w:pPr>
            <w:r>
              <w:rPr>
                <w:sz w:val="20"/>
              </w:rPr>
              <w:t xml:space="preserve">IV стадия</w:t>
            </w:r>
          </w:p>
        </w:tc>
        <w:tc>
          <w:tcPr>
            <w:tcW w:w="1178" w:type="dxa"/>
          </w:tcPr>
          <w:p>
            <w:pPr>
              <w:pStyle w:val="0"/>
              <w:jc w:val="center"/>
            </w:pPr>
            <w:r>
              <w:rPr>
                <w:sz w:val="20"/>
              </w:rPr>
              <w:t xml:space="preserve">III стадия</w:t>
            </w:r>
          </w:p>
        </w:tc>
        <w:tc>
          <w:tcPr>
            <w:tcW w:w="1154" w:type="dxa"/>
          </w:tcPr>
          <w:p>
            <w:pPr>
              <w:pStyle w:val="0"/>
              <w:jc w:val="center"/>
            </w:pPr>
            <w:r>
              <w:rPr>
                <w:sz w:val="20"/>
              </w:rPr>
              <w:t xml:space="preserve">IV стадия</w:t>
            </w:r>
          </w:p>
        </w:tc>
      </w:tr>
      <w:tr>
        <w:tc>
          <w:tcPr>
            <w:tcW w:w="2211" w:type="dxa"/>
          </w:tcPr>
          <w:p>
            <w:pPr>
              <w:pStyle w:val="0"/>
              <w:jc w:val="both"/>
            </w:pPr>
            <w:r>
              <w:rPr>
                <w:sz w:val="20"/>
              </w:rPr>
              <w:t xml:space="preserve">Всего</w:t>
            </w:r>
          </w:p>
        </w:tc>
        <w:tc>
          <w:tcPr>
            <w:tcW w:w="1147" w:type="dxa"/>
          </w:tcPr>
          <w:p>
            <w:pPr>
              <w:pStyle w:val="0"/>
              <w:jc w:val="center"/>
            </w:pPr>
            <w:r>
              <w:rPr>
                <w:sz w:val="20"/>
              </w:rPr>
              <w:t xml:space="preserve">17</w:t>
            </w:r>
          </w:p>
        </w:tc>
        <w:tc>
          <w:tcPr>
            <w:tcW w:w="1134" w:type="dxa"/>
          </w:tcPr>
          <w:p>
            <w:pPr>
              <w:pStyle w:val="0"/>
              <w:jc w:val="center"/>
            </w:pPr>
            <w:r>
              <w:rPr>
                <w:sz w:val="20"/>
              </w:rPr>
              <w:t xml:space="preserve">21</w:t>
            </w:r>
          </w:p>
        </w:tc>
        <w:tc>
          <w:tcPr>
            <w:tcW w:w="1134" w:type="dxa"/>
          </w:tcPr>
          <w:p>
            <w:pPr>
              <w:pStyle w:val="0"/>
              <w:jc w:val="center"/>
            </w:pPr>
            <w:r>
              <w:rPr>
                <w:sz w:val="20"/>
              </w:rPr>
              <w:t xml:space="preserve">16,3</w:t>
            </w:r>
          </w:p>
        </w:tc>
        <w:tc>
          <w:tcPr>
            <w:tcW w:w="1116" w:type="dxa"/>
          </w:tcPr>
          <w:p>
            <w:pPr>
              <w:pStyle w:val="0"/>
              <w:jc w:val="center"/>
            </w:pPr>
            <w:r>
              <w:rPr>
                <w:sz w:val="20"/>
              </w:rPr>
              <w:t xml:space="preserve">18,9</w:t>
            </w:r>
          </w:p>
        </w:tc>
        <w:tc>
          <w:tcPr>
            <w:tcW w:w="1178" w:type="dxa"/>
          </w:tcPr>
          <w:p>
            <w:pPr>
              <w:pStyle w:val="0"/>
              <w:jc w:val="center"/>
            </w:pPr>
            <w:r>
              <w:rPr>
                <w:sz w:val="20"/>
              </w:rPr>
              <w:t xml:space="preserve">16,7</w:t>
            </w:r>
          </w:p>
        </w:tc>
        <w:tc>
          <w:tcPr>
            <w:tcW w:w="1154" w:type="dxa"/>
          </w:tcPr>
          <w:p>
            <w:pPr>
              <w:pStyle w:val="0"/>
              <w:jc w:val="center"/>
            </w:pPr>
            <w:r>
              <w:rPr>
                <w:sz w:val="20"/>
              </w:rPr>
              <w:t xml:space="preserve">15,1</w:t>
            </w:r>
          </w:p>
        </w:tc>
      </w:tr>
      <w:tr>
        <w:tc>
          <w:tcPr>
            <w:tcW w:w="2211" w:type="dxa"/>
          </w:tcPr>
          <w:p>
            <w:pPr>
              <w:pStyle w:val="0"/>
              <w:jc w:val="both"/>
            </w:pPr>
            <w:r>
              <w:rPr>
                <w:sz w:val="20"/>
              </w:rPr>
              <w:t xml:space="preserve">Злокачественные новообразования полости рта и глотки</w:t>
            </w:r>
          </w:p>
        </w:tc>
        <w:tc>
          <w:tcPr>
            <w:tcW w:w="1147" w:type="dxa"/>
          </w:tcPr>
          <w:p>
            <w:pPr>
              <w:pStyle w:val="0"/>
              <w:jc w:val="center"/>
            </w:pPr>
            <w:r>
              <w:rPr>
                <w:sz w:val="20"/>
              </w:rPr>
              <w:t xml:space="preserve">22,8</w:t>
            </w:r>
          </w:p>
        </w:tc>
        <w:tc>
          <w:tcPr>
            <w:tcW w:w="1134" w:type="dxa"/>
          </w:tcPr>
          <w:p>
            <w:pPr>
              <w:pStyle w:val="0"/>
              <w:jc w:val="center"/>
            </w:pPr>
            <w:r>
              <w:rPr>
                <w:sz w:val="20"/>
              </w:rPr>
              <w:t xml:space="preserve">45,7</w:t>
            </w:r>
          </w:p>
        </w:tc>
        <w:tc>
          <w:tcPr>
            <w:tcW w:w="1134" w:type="dxa"/>
          </w:tcPr>
          <w:p>
            <w:pPr>
              <w:pStyle w:val="0"/>
              <w:jc w:val="center"/>
            </w:pPr>
            <w:r>
              <w:rPr>
                <w:sz w:val="20"/>
              </w:rPr>
              <w:t xml:space="preserve">23,5</w:t>
            </w:r>
          </w:p>
        </w:tc>
        <w:tc>
          <w:tcPr>
            <w:tcW w:w="1116" w:type="dxa"/>
          </w:tcPr>
          <w:p>
            <w:pPr>
              <w:pStyle w:val="0"/>
              <w:jc w:val="center"/>
            </w:pPr>
            <w:r>
              <w:rPr>
                <w:sz w:val="20"/>
              </w:rPr>
              <w:t xml:space="preserve">45,1</w:t>
            </w:r>
          </w:p>
        </w:tc>
        <w:tc>
          <w:tcPr>
            <w:tcW w:w="1178" w:type="dxa"/>
          </w:tcPr>
          <w:p>
            <w:pPr>
              <w:pStyle w:val="0"/>
              <w:jc w:val="center"/>
            </w:pPr>
            <w:r>
              <w:rPr>
                <w:sz w:val="20"/>
              </w:rPr>
              <w:t xml:space="preserve">23,4</w:t>
            </w:r>
          </w:p>
        </w:tc>
        <w:tc>
          <w:tcPr>
            <w:tcW w:w="1154" w:type="dxa"/>
          </w:tcPr>
          <w:p>
            <w:pPr>
              <w:pStyle w:val="0"/>
              <w:jc w:val="center"/>
            </w:pPr>
            <w:r>
              <w:rPr>
                <w:sz w:val="20"/>
              </w:rPr>
              <w:t xml:space="preserve">39,0</w:t>
            </w:r>
          </w:p>
        </w:tc>
      </w:tr>
      <w:tr>
        <w:tc>
          <w:tcPr>
            <w:tcW w:w="2211" w:type="dxa"/>
          </w:tcPr>
          <w:p>
            <w:pPr>
              <w:pStyle w:val="0"/>
              <w:jc w:val="both"/>
            </w:pPr>
            <w:r>
              <w:rPr>
                <w:sz w:val="20"/>
              </w:rPr>
              <w:t xml:space="preserve">Злокачественные новообразования желудка</w:t>
            </w:r>
          </w:p>
        </w:tc>
        <w:tc>
          <w:tcPr>
            <w:tcW w:w="1147" w:type="dxa"/>
          </w:tcPr>
          <w:p>
            <w:pPr>
              <w:pStyle w:val="0"/>
              <w:jc w:val="center"/>
            </w:pPr>
            <w:r>
              <w:rPr>
                <w:sz w:val="20"/>
              </w:rPr>
              <w:t xml:space="preserve">27</w:t>
            </w:r>
          </w:p>
        </w:tc>
        <w:tc>
          <w:tcPr>
            <w:tcW w:w="1134" w:type="dxa"/>
          </w:tcPr>
          <w:p>
            <w:pPr>
              <w:pStyle w:val="0"/>
              <w:jc w:val="center"/>
            </w:pPr>
            <w:r>
              <w:rPr>
                <w:sz w:val="20"/>
              </w:rPr>
              <w:t xml:space="preserve">40</w:t>
            </w:r>
          </w:p>
        </w:tc>
        <w:tc>
          <w:tcPr>
            <w:tcW w:w="1134" w:type="dxa"/>
          </w:tcPr>
          <w:p>
            <w:pPr>
              <w:pStyle w:val="0"/>
              <w:jc w:val="center"/>
            </w:pPr>
            <w:r>
              <w:rPr>
                <w:sz w:val="20"/>
              </w:rPr>
              <w:t xml:space="preserve">20,9</w:t>
            </w:r>
          </w:p>
        </w:tc>
        <w:tc>
          <w:tcPr>
            <w:tcW w:w="1116" w:type="dxa"/>
          </w:tcPr>
          <w:p>
            <w:pPr>
              <w:pStyle w:val="0"/>
              <w:jc w:val="center"/>
            </w:pPr>
            <w:r>
              <w:rPr>
                <w:sz w:val="20"/>
              </w:rPr>
              <w:t xml:space="preserve">45,3</w:t>
            </w:r>
          </w:p>
        </w:tc>
        <w:tc>
          <w:tcPr>
            <w:tcW w:w="1178" w:type="dxa"/>
          </w:tcPr>
          <w:p>
            <w:pPr>
              <w:pStyle w:val="0"/>
              <w:jc w:val="center"/>
            </w:pPr>
            <w:r>
              <w:rPr>
                <w:sz w:val="20"/>
              </w:rPr>
              <w:t xml:space="preserve">19,6</w:t>
            </w:r>
          </w:p>
        </w:tc>
        <w:tc>
          <w:tcPr>
            <w:tcW w:w="1154" w:type="dxa"/>
          </w:tcPr>
          <w:p>
            <w:pPr>
              <w:pStyle w:val="0"/>
              <w:jc w:val="center"/>
            </w:pPr>
            <w:r>
              <w:rPr>
                <w:sz w:val="20"/>
              </w:rPr>
              <w:t xml:space="preserve">40,2</w:t>
            </w:r>
          </w:p>
        </w:tc>
      </w:tr>
      <w:tr>
        <w:tc>
          <w:tcPr>
            <w:tcW w:w="2211" w:type="dxa"/>
          </w:tcPr>
          <w:p>
            <w:pPr>
              <w:pStyle w:val="0"/>
              <w:jc w:val="both"/>
            </w:pPr>
            <w:r>
              <w:rPr>
                <w:sz w:val="20"/>
              </w:rPr>
              <w:t xml:space="preserve">Злокачественные новообразования ободочной кишки</w:t>
            </w:r>
          </w:p>
        </w:tc>
        <w:tc>
          <w:tcPr>
            <w:tcW w:w="1147" w:type="dxa"/>
          </w:tcPr>
          <w:p>
            <w:pPr>
              <w:pStyle w:val="0"/>
              <w:jc w:val="center"/>
            </w:pPr>
            <w:r>
              <w:rPr>
                <w:sz w:val="20"/>
              </w:rPr>
              <w:t xml:space="preserve">25</w:t>
            </w:r>
          </w:p>
        </w:tc>
        <w:tc>
          <w:tcPr>
            <w:tcW w:w="1134" w:type="dxa"/>
          </w:tcPr>
          <w:p>
            <w:pPr>
              <w:pStyle w:val="0"/>
              <w:jc w:val="center"/>
            </w:pPr>
            <w:r>
              <w:rPr>
                <w:sz w:val="20"/>
              </w:rPr>
              <w:t xml:space="preserve">31</w:t>
            </w:r>
          </w:p>
        </w:tc>
        <w:tc>
          <w:tcPr>
            <w:tcW w:w="1134" w:type="dxa"/>
          </w:tcPr>
          <w:p>
            <w:pPr>
              <w:pStyle w:val="0"/>
              <w:jc w:val="center"/>
            </w:pPr>
            <w:r>
              <w:rPr>
                <w:sz w:val="20"/>
              </w:rPr>
              <w:t xml:space="preserve">29,3</w:t>
            </w:r>
          </w:p>
        </w:tc>
        <w:tc>
          <w:tcPr>
            <w:tcW w:w="1116" w:type="dxa"/>
          </w:tcPr>
          <w:p>
            <w:pPr>
              <w:pStyle w:val="0"/>
              <w:jc w:val="center"/>
            </w:pPr>
            <w:r>
              <w:rPr>
                <w:sz w:val="20"/>
              </w:rPr>
              <w:t xml:space="preserve">26,5</w:t>
            </w:r>
          </w:p>
        </w:tc>
        <w:tc>
          <w:tcPr>
            <w:tcW w:w="1178" w:type="dxa"/>
          </w:tcPr>
          <w:p>
            <w:pPr>
              <w:pStyle w:val="0"/>
              <w:jc w:val="center"/>
            </w:pPr>
            <w:r>
              <w:rPr>
                <w:sz w:val="20"/>
              </w:rPr>
              <w:t xml:space="preserve">30,8</w:t>
            </w:r>
          </w:p>
        </w:tc>
        <w:tc>
          <w:tcPr>
            <w:tcW w:w="1154" w:type="dxa"/>
          </w:tcPr>
          <w:p>
            <w:pPr>
              <w:pStyle w:val="0"/>
              <w:jc w:val="center"/>
            </w:pPr>
            <w:r>
              <w:rPr>
                <w:sz w:val="20"/>
              </w:rPr>
              <w:t xml:space="preserve">26,9</w:t>
            </w:r>
          </w:p>
        </w:tc>
      </w:tr>
      <w:tr>
        <w:tc>
          <w:tcPr>
            <w:tcW w:w="2211" w:type="dxa"/>
          </w:tcPr>
          <w:p>
            <w:pPr>
              <w:pStyle w:val="0"/>
              <w:jc w:val="both"/>
            </w:pPr>
            <w:r>
              <w:rPr>
                <w:sz w:val="20"/>
              </w:rPr>
              <w:t xml:space="preserve">Злокачественные новообразования прямой кишки</w:t>
            </w:r>
          </w:p>
        </w:tc>
        <w:tc>
          <w:tcPr>
            <w:tcW w:w="1147" w:type="dxa"/>
          </w:tcPr>
          <w:p>
            <w:pPr>
              <w:pStyle w:val="0"/>
              <w:jc w:val="center"/>
            </w:pPr>
            <w:r>
              <w:rPr>
                <w:sz w:val="20"/>
              </w:rPr>
              <w:t xml:space="preserve">28</w:t>
            </w:r>
          </w:p>
        </w:tc>
        <w:tc>
          <w:tcPr>
            <w:tcW w:w="1134" w:type="dxa"/>
          </w:tcPr>
          <w:p>
            <w:pPr>
              <w:pStyle w:val="0"/>
              <w:jc w:val="center"/>
            </w:pPr>
            <w:r>
              <w:rPr>
                <w:sz w:val="20"/>
              </w:rPr>
              <w:t xml:space="preserve">27</w:t>
            </w:r>
          </w:p>
        </w:tc>
        <w:tc>
          <w:tcPr>
            <w:tcW w:w="1134" w:type="dxa"/>
          </w:tcPr>
          <w:p>
            <w:pPr>
              <w:pStyle w:val="0"/>
              <w:jc w:val="center"/>
            </w:pPr>
            <w:r>
              <w:rPr>
                <w:sz w:val="20"/>
              </w:rPr>
              <w:t xml:space="preserve">31,5</w:t>
            </w:r>
          </w:p>
        </w:tc>
        <w:tc>
          <w:tcPr>
            <w:tcW w:w="1116" w:type="dxa"/>
          </w:tcPr>
          <w:p>
            <w:pPr>
              <w:pStyle w:val="0"/>
              <w:jc w:val="center"/>
            </w:pPr>
            <w:r>
              <w:rPr>
                <w:sz w:val="20"/>
              </w:rPr>
              <w:t xml:space="preserve">30,6</w:t>
            </w:r>
          </w:p>
        </w:tc>
        <w:tc>
          <w:tcPr>
            <w:tcW w:w="1178" w:type="dxa"/>
          </w:tcPr>
          <w:p>
            <w:pPr>
              <w:pStyle w:val="0"/>
              <w:jc w:val="center"/>
            </w:pPr>
            <w:r>
              <w:rPr>
                <w:sz w:val="20"/>
              </w:rPr>
              <w:t xml:space="preserve">24,5</w:t>
            </w:r>
          </w:p>
        </w:tc>
        <w:tc>
          <w:tcPr>
            <w:tcW w:w="1154" w:type="dxa"/>
          </w:tcPr>
          <w:p>
            <w:pPr>
              <w:pStyle w:val="0"/>
              <w:jc w:val="center"/>
            </w:pPr>
            <w:r>
              <w:rPr>
                <w:sz w:val="20"/>
              </w:rPr>
              <w:t xml:space="preserve">25,5</w:t>
            </w:r>
          </w:p>
        </w:tc>
      </w:tr>
      <w:tr>
        <w:tc>
          <w:tcPr>
            <w:tcW w:w="2211" w:type="dxa"/>
          </w:tcPr>
          <w:p>
            <w:pPr>
              <w:pStyle w:val="0"/>
              <w:jc w:val="both"/>
            </w:pPr>
            <w:r>
              <w:rPr>
                <w:sz w:val="20"/>
              </w:rPr>
              <w:t xml:space="preserve">Злокачественные новообразования трахеи и легких</w:t>
            </w:r>
          </w:p>
        </w:tc>
        <w:tc>
          <w:tcPr>
            <w:tcW w:w="1147" w:type="dxa"/>
          </w:tcPr>
          <w:p>
            <w:pPr>
              <w:pStyle w:val="0"/>
              <w:jc w:val="center"/>
            </w:pPr>
            <w:r>
              <w:rPr>
                <w:sz w:val="20"/>
              </w:rPr>
              <w:t xml:space="preserve">19</w:t>
            </w:r>
          </w:p>
        </w:tc>
        <w:tc>
          <w:tcPr>
            <w:tcW w:w="1134" w:type="dxa"/>
          </w:tcPr>
          <w:p>
            <w:pPr>
              <w:pStyle w:val="0"/>
              <w:jc w:val="center"/>
            </w:pPr>
            <w:r>
              <w:rPr>
                <w:sz w:val="20"/>
              </w:rPr>
              <w:t xml:space="preserve">66</w:t>
            </w:r>
          </w:p>
        </w:tc>
        <w:tc>
          <w:tcPr>
            <w:tcW w:w="1134" w:type="dxa"/>
          </w:tcPr>
          <w:p>
            <w:pPr>
              <w:pStyle w:val="0"/>
              <w:jc w:val="center"/>
            </w:pPr>
            <w:r>
              <w:rPr>
                <w:sz w:val="20"/>
              </w:rPr>
              <w:t xml:space="preserve">25,9</w:t>
            </w:r>
          </w:p>
        </w:tc>
        <w:tc>
          <w:tcPr>
            <w:tcW w:w="1116" w:type="dxa"/>
          </w:tcPr>
          <w:p>
            <w:pPr>
              <w:pStyle w:val="0"/>
              <w:jc w:val="center"/>
            </w:pPr>
            <w:r>
              <w:rPr>
                <w:sz w:val="20"/>
              </w:rPr>
              <w:t xml:space="preserve">58,3</w:t>
            </w:r>
          </w:p>
        </w:tc>
        <w:tc>
          <w:tcPr>
            <w:tcW w:w="1178" w:type="dxa"/>
          </w:tcPr>
          <w:p>
            <w:pPr>
              <w:pStyle w:val="0"/>
              <w:jc w:val="center"/>
            </w:pPr>
            <w:r>
              <w:rPr>
                <w:sz w:val="20"/>
              </w:rPr>
              <w:t xml:space="preserve">33,0</w:t>
            </w:r>
          </w:p>
        </w:tc>
        <w:tc>
          <w:tcPr>
            <w:tcW w:w="1154" w:type="dxa"/>
          </w:tcPr>
          <w:p>
            <w:pPr>
              <w:pStyle w:val="0"/>
              <w:jc w:val="center"/>
            </w:pPr>
            <w:r>
              <w:rPr>
                <w:sz w:val="20"/>
              </w:rPr>
              <w:t xml:space="preserve">43,0</w:t>
            </w:r>
          </w:p>
        </w:tc>
      </w:tr>
      <w:tr>
        <w:tc>
          <w:tcPr>
            <w:tcW w:w="2211" w:type="dxa"/>
          </w:tcPr>
          <w:p>
            <w:pPr>
              <w:pStyle w:val="0"/>
              <w:jc w:val="both"/>
            </w:pPr>
            <w:r>
              <w:rPr>
                <w:sz w:val="20"/>
              </w:rPr>
              <w:t xml:space="preserve">Злокачественные новообразования молочной железы</w:t>
            </w:r>
          </w:p>
        </w:tc>
        <w:tc>
          <w:tcPr>
            <w:tcW w:w="1147" w:type="dxa"/>
          </w:tcPr>
          <w:p>
            <w:pPr>
              <w:pStyle w:val="0"/>
              <w:jc w:val="center"/>
            </w:pPr>
            <w:r>
              <w:rPr>
                <w:sz w:val="20"/>
              </w:rPr>
              <w:t xml:space="preserve">17</w:t>
            </w:r>
          </w:p>
        </w:tc>
        <w:tc>
          <w:tcPr>
            <w:tcW w:w="1134" w:type="dxa"/>
          </w:tcPr>
          <w:p>
            <w:pPr>
              <w:pStyle w:val="0"/>
              <w:jc w:val="center"/>
            </w:pPr>
            <w:r>
              <w:rPr>
                <w:sz w:val="20"/>
              </w:rPr>
              <w:t xml:space="preserve">11</w:t>
            </w:r>
          </w:p>
        </w:tc>
        <w:tc>
          <w:tcPr>
            <w:tcW w:w="1134" w:type="dxa"/>
          </w:tcPr>
          <w:p>
            <w:pPr>
              <w:pStyle w:val="0"/>
              <w:jc w:val="center"/>
            </w:pPr>
            <w:r>
              <w:rPr>
                <w:sz w:val="20"/>
              </w:rPr>
              <w:t xml:space="preserve">18,7</w:t>
            </w:r>
          </w:p>
        </w:tc>
        <w:tc>
          <w:tcPr>
            <w:tcW w:w="1116" w:type="dxa"/>
          </w:tcPr>
          <w:p>
            <w:pPr>
              <w:pStyle w:val="0"/>
              <w:jc w:val="center"/>
            </w:pPr>
            <w:r>
              <w:rPr>
                <w:sz w:val="20"/>
              </w:rPr>
              <w:t xml:space="preserve">6,7</w:t>
            </w:r>
          </w:p>
        </w:tc>
        <w:tc>
          <w:tcPr>
            <w:tcW w:w="1178" w:type="dxa"/>
          </w:tcPr>
          <w:p>
            <w:pPr>
              <w:pStyle w:val="0"/>
              <w:jc w:val="center"/>
            </w:pPr>
            <w:r>
              <w:rPr>
                <w:sz w:val="20"/>
              </w:rPr>
              <w:t xml:space="preserve">15,0</w:t>
            </w:r>
          </w:p>
        </w:tc>
        <w:tc>
          <w:tcPr>
            <w:tcW w:w="1154" w:type="dxa"/>
          </w:tcPr>
          <w:p>
            <w:pPr>
              <w:pStyle w:val="0"/>
              <w:jc w:val="center"/>
            </w:pPr>
            <w:r>
              <w:rPr>
                <w:sz w:val="20"/>
              </w:rPr>
              <w:t xml:space="preserve">4,6</w:t>
            </w:r>
          </w:p>
        </w:tc>
      </w:tr>
      <w:tr>
        <w:tc>
          <w:tcPr>
            <w:tcW w:w="2211" w:type="dxa"/>
          </w:tcPr>
          <w:p>
            <w:pPr>
              <w:pStyle w:val="0"/>
              <w:jc w:val="both"/>
            </w:pPr>
            <w:r>
              <w:rPr>
                <w:sz w:val="20"/>
              </w:rPr>
              <w:t xml:space="preserve">Злокачественные новообразования тела матки</w:t>
            </w:r>
          </w:p>
        </w:tc>
        <w:tc>
          <w:tcPr>
            <w:tcW w:w="1147" w:type="dxa"/>
          </w:tcPr>
          <w:p>
            <w:pPr>
              <w:pStyle w:val="0"/>
              <w:jc w:val="center"/>
            </w:pPr>
            <w:r>
              <w:rPr>
                <w:sz w:val="20"/>
              </w:rPr>
              <w:t xml:space="preserve">5,1</w:t>
            </w:r>
          </w:p>
        </w:tc>
        <w:tc>
          <w:tcPr>
            <w:tcW w:w="1134" w:type="dxa"/>
          </w:tcPr>
          <w:p>
            <w:pPr>
              <w:pStyle w:val="0"/>
              <w:jc w:val="center"/>
            </w:pPr>
            <w:r>
              <w:rPr>
                <w:sz w:val="20"/>
              </w:rPr>
              <w:t xml:space="preserve">5</w:t>
            </w:r>
          </w:p>
        </w:tc>
        <w:tc>
          <w:tcPr>
            <w:tcW w:w="1134" w:type="dxa"/>
          </w:tcPr>
          <w:p>
            <w:pPr>
              <w:pStyle w:val="0"/>
              <w:jc w:val="center"/>
            </w:pPr>
            <w:r>
              <w:rPr>
                <w:sz w:val="20"/>
              </w:rPr>
              <w:t xml:space="preserve">11,7</w:t>
            </w:r>
          </w:p>
        </w:tc>
        <w:tc>
          <w:tcPr>
            <w:tcW w:w="1116" w:type="dxa"/>
          </w:tcPr>
          <w:p>
            <w:pPr>
              <w:pStyle w:val="0"/>
              <w:jc w:val="center"/>
            </w:pPr>
            <w:r>
              <w:rPr>
                <w:sz w:val="20"/>
              </w:rPr>
              <w:t xml:space="preserve">3,2</w:t>
            </w:r>
          </w:p>
        </w:tc>
        <w:tc>
          <w:tcPr>
            <w:tcW w:w="1178" w:type="dxa"/>
          </w:tcPr>
          <w:p>
            <w:pPr>
              <w:pStyle w:val="0"/>
              <w:jc w:val="center"/>
            </w:pPr>
            <w:r>
              <w:rPr>
                <w:sz w:val="20"/>
              </w:rPr>
              <w:t xml:space="preserve">4,3</w:t>
            </w:r>
          </w:p>
        </w:tc>
        <w:tc>
          <w:tcPr>
            <w:tcW w:w="1154" w:type="dxa"/>
          </w:tcPr>
          <w:p>
            <w:pPr>
              <w:pStyle w:val="0"/>
              <w:jc w:val="center"/>
            </w:pPr>
            <w:r>
              <w:rPr>
                <w:sz w:val="20"/>
              </w:rPr>
              <w:t xml:space="preserve">3,2</w:t>
            </w:r>
          </w:p>
        </w:tc>
      </w:tr>
      <w:tr>
        <w:tc>
          <w:tcPr>
            <w:tcW w:w="2211" w:type="dxa"/>
          </w:tcPr>
          <w:p>
            <w:pPr>
              <w:pStyle w:val="0"/>
              <w:jc w:val="both"/>
            </w:pPr>
            <w:r>
              <w:rPr>
                <w:sz w:val="20"/>
              </w:rPr>
              <w:t xml:space="preserve">Злокачественные новообразования шейки матки</w:t>
            </w:r>
          </w:p>
        </w:tc>
        <w:tc>
          <w:tcPr>
            <w:tcW w:w="1147" w:type="dxa"/>
          </w:tcPr>
          <w:p>
            <w:pPr>
              <w:pStyle w:val="0"/>
              <w:jc w:val="center"/>
            </w:pPr>
            <w:r>
              <w:rPr>
                <w:sz w:val="20"/>
              </w:rPr>
              <w:t xml:space="preserve">21</w:t>
            </w:r>
          </w:p>
        </w:tc>
        <w:tc>
          <w:tcPr>
            <w:tcW w:w="1134" w:type="dxa"/>
          </w:tcPr>
          <w:p>
            <w:pPr>
              <w:pStyle w:val="0"/>
              <w:jc w:val="center"/>
            </w:pPr>
            <w:r>
              <w:rPr>
                <w:sz w:val="20"/>
              </w:rPr>
              <w:t xml:space="preserve">8</w:t>
            </w:r>
          </w:p>
        </w:tc>
        <w:tc>
          <w:tcPr>
            <w:tcW w:w="1134" w:type="dxa"/>
          </w:tcPr>
          <w:p>
            <w:pPr>
              <w:pStyle w:val="0"/>
              <w:jc w:val="center"/>
            </w:pPr>
            <w:r>
              <w:rPr>
                <w:sz w:val="20"/>
              </w:rPr>
              <w:t xml:space="preserve">12,0</w:t>
            </w:r>
          </w:p>
        </w:tc>
        <w:tc>
          <w:tcPr>
            <w:tcW w:w="1116" w:type="dxa"/>
          </w:tcPr>
          <w:p>
            <w:pPr>
              <w:pStyle w:val="0"/>
              <w:jc w:val="center"/>
            </w:pPr>
            <w:r>
              <w:rPr>
                <w:sz w:val="20"/>
              </w:rPr>
              <w:t xml:space="preserve">12,0</w:t>
            </w:r>
          </w:p>
        </w:tc>
        <w:tc>
          <w:tcPr>
            <w:tcW w:w="1178" w:type="dxa"/>
          </w:tcPr>
          <w:p>
            <w:pPr>
              <w:pStyle w:val="0"/>
              <w:jc w:val="center"/>
            </w:pPr>
            <w:r>
              <w:rPr>
                <w:sz w:val="20"/>
              </w:rPr>
              <w:t xml:space="preserve">19,7</w:t>
            </w:r>
          </w:p>
        </w:tc>
        <w:tc>
          <w:tcPr>
            <w:tcW w:w="1154" w:type="dxa"/>
          </w:tcPr>
          <w:p>
            <w:pPr>
              <w:pStyle w:val="0"/>
              <w:jc w:val="center"/>
            </w:pPr>
            <w:r>
              <w:rPr>
                <w:sz w:val="20"/>
              </w:rPr>
              <w:t xml:space="preserve">7,0</w:t>
            </w:r>
          </w:p>
        </w:tc>
      </w:tr>
      <w:tr>
        <w:tc>
          <w:tcPr>
            <w:tcW w:w="2211" w:type="dxa"/>
          </w:tcPr>
          <w:p>
            <w:pPr>
              <w:pStyle w:val="0"/>
              <w:jc w:val="both"/>
            </w:pPr>
            <w:r>
              <w:rPr>
                <w:sz w:val="20"/>
              </w:rPr>
              <w:t xml:space="preserve">Злокачественные новообразования предстательной железы</w:t>
            </w:r>
          </w:p>
        </w:tc>
        <w:tc>
          <w:tcPr>
            <w:tcW w:w="1147" w:type="dxa"/>
          </w:tcPr>
          <w:p>
            <w:pPr>
              <w:pStyle w:val="0"/>
              <w:jc w:val="center"/>
            </w:pPr>
            <w:r>
              <w:rPr>
                <w:sz w:val="20"/>
              </w:rPr>
              <w:t xml:space="preserve">15</w:t>
            </w:r>
          </w:p>
        </w:tc>
        <w:tc>
          <w:tcPr>
            <w:tcW w:w="1134" w:type="dxa"/>
          </w:tcPr>
          <w:p>
            <w:pPr>
              <w:pStyle w:val="0"/>
              <w:jc w:val="center"/>
            </w:pPr>
            <w:r>
              <w:rPr>
                <w:sz w:val="20"/>
              </w:rPr>
              <w:t xml:space="preserve">28</w:t>
            </w:r>
          </w:p>
        </w:tc>
        <w:tc>
          <w:tcPr>
            <w:tcW w:w="1134" w:type="dxa"/>
          </w:tcPr>
          <w:p>
            <w:pPr>
              <w:pStyle w:val="0"/>
              <w:jc w:val="center"/>
            </w:pPr>
            <w:r>
              <w:rPr>
                <w:sz w:val="20"/>
              </w:rPr>
              <w:t xml:space="preserve">14,2</w:t>
            </w:r>
          </w:p>
        </w:tc>
        <w:tc>
          <w:tcPr>
            <w:tcW w:w="1116" w:type="dxa"/>
          </w:tcPr>
          <w:p>
            <w:pPr>
              <w:pStyle w:val="0"/>
              <w:jc w:val="center"/>
            </w:pPr>
            <w:r>
              <w:rPr>
                <w:sz w:val="20"/>
              </w:rPr>
              <w:t xml:space="preserve">21,9</w:t>
            </w:r>
          </w:p>
        </w:tc>
        <w:tc>
          <w:tcPr>
            <w:tcW w:w="1178" w:type="dxa"/>
          </w:tcPr>
          <w:p>
            <w:pPr>
              <w:pStyle w:val="0"/>
              <w:jc w:val="center"/>
            </w:pPr>
            <w:r>
              <w:rPr>
                <w:sz w:val="20"/>
              </w:rPr>
              <w:t xml:space="preserve">13,4</w:t>
            </w:r>
          </w:p>
        </w:tc>
        <w:tc>
          <w:tcPr>
            <w:tcW w:w="1154" w:type="dxa"/>
          </w:tcPr>
          <w:p>
            <w:pPr>
              <w:pStyle w:val="0"/>
              <w:jc w:val="center"/>
            </w:pPr>
            <w:r>
              <w:rPr>
                <w:sz w:val="20"/>
              </w:rPr>
              <w:t xml:space="preserve">24,4</w:t>
            </w:r>
          </w:p>
        </w:tc>
      </w:tr>
      <w:tr>
        <w:tc>
          <w:tcPr>
            <w:tcW w:w="2211" w:type="dxa"/>
          </w:tcPr>
          <w:p>
            <w:pPr>
              <w:pStyle w:val="0"/>
              <w:jc w:val="both"/>
            </w:pPr>
            <w:r>
              <w:rPr>
                <w:sz w:val="20"/>
              </w:rPr>
              <w:t xml:space="preserve">Злокачественные новообразования кожи без меланомы</w:t>
            </w:r>
          </w:p>
        </w:tc>
        <w:tc>
          <w:tcPr>
            <w:tcW w:w="1147" w:type="dxa"/>
          </w:tcPr>
          <w:p>
            <w:pPr>
              <w:pStyle w:val="0"/>
              <w:jc w:val="center"/>
            </w:pPr>
            <w:r>
              <w:rPr>
                <w:sz w:val="20"/>
              </w:rPr>
              <w:t xml:space="preserve">3</w:t>
            </w:r>
          </w:p>
        </w:tc>
        <w:tc>
          <w:tcPr>
            <w:tcW w:w="1134" w:type="dxa"/>
          </w:tcPr>
          <w:p>
            <w:pPr>
              <w:pStyle w:val="0"/>
              <w:jc w:val="center"/>
            </w:pPr>
            <w:r>
              <w:rPr>
                <w:sz w:val="20"/>
              </w:rPr>
              <w:t xml:space="preserve">0</w:t>
            </w:r>
          </w:p>
        </w:tc>
        <w:tc>
          <w:tcPr>
            <w:tcW w:w="1134" w:type="dxa"/>
          </w:tcPr>
          <w:p>
            <w:pPr>
              <w:pStyle w:val="0"/>
              <w:jc w:val="center"/>
            </w:pPr>
            <w:r>
              <w:rPr>
                <w:sz w:val="20"/>
              </w:rPr>
              <w:t xml:space="preserve">4,1</w:t>
            </w:r>
          </w:p>
        </w:tc>
        <w:tc>
          <w:tcPr>
            <w:tcW w:w="1116" w:type="dxa"/>
          </w:tcPr>
          <w:p>
            <w:pPr>
              <w:pStyle w:val="0"/>
              <w:jc w:val="center"/>
            </w:pPr>
            <w:r>
              <w:rPr>
                <w:sz w:val="20"/>
              </w:rPr>
              <w:t xml:space="preserve">0,9</w:t>
            </w:r>
          </w:p>
        </w:tc>
        <w:tc>
          <w:tcPr>
            <w:tcW w:w="1178" w:type="dxa"/>
          </w:tcPr>
          <w:p>
            <w:pPr>
              <w:pStyle w:val="0"/>
              <w:jc w:val="center"/>
            </w:pPr>
            <w:r>
              <w:rPr>
                <w:sz w:val="20"/>
              </w:rPr>
              <w:t xml:space="preserve">2,4</w:t>
            </w:r>
          </w:p>
        </w:tc>
        <w:tc>
          <w:tcPr>
            <w:tcW w:w="1154" w:type="dxa"/>
          </w:tcPr>
          <w:p>
            <w:pPr>
              <w:pStyle w:val="0"/>
              <w:jc w:val="center"/>
            </w:pPr>
            <w:r>
              <w:rPr>
                <w:sz w:val="20"/>
              </w:rPr>
              <w:t xml:space="preserve">0,8</w:t>
            </w:r>
          </w:p>
        </w:tc>
      </w:tr>
    </w:tbl>
    <w:p>
      <w:pPr>
        <w:pStyle w:val="0"/>
        <w:ind w:firstLine="540"/>
        <w:jc w:val="both"/>
      </w:pPr>
      <w:r>
        <w:rPr>
          <w:sz w:val="20"/>
        </w:rPr>
      </w:r>
    </w:p>
    <w:p>
      <w:pPr>
        <w:pStyle w:val="0"/>
        <w:jc w:val="right"/>
      </w:pPr>
      <w:r>
        <w:rPr>
          <w:sz w:val="20"/>
        </w:rPr>
        <w:t xml:space="preserve">Таблица N 10.2</w:t>
      </w:r>
    </w:p>
    <w:p>
      <w:pPr>
        <w:pStyle w:val="0"/>
        <w:jc w:val="right"/>
      </w:pPr>
      <w:r>
        <w:rPr>
          <w:sz w:val="20"/>
        </w:rPr>
      </w:r>
    </w:p>
    <w:p>
      <w:pPr>
        <w:pStyle w:val="0"/>
        <w:jc w:val="center"/>
      </w:pPr>
      <w:r>
        <w:rPr>
          <w:sz w:val="20"/>
        </w:rPr>
        <w:t xml:space="preserve">Запущенность злокачественных новообразований</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1191"/>
        <w:gridCol w:w="1077"/>
        <w:gridCol w:w="1134"/>
      </w:tblGrid>
      <w:tr>
        <w:tc>
          <w:tcPr>
            <w:tcW w:w="5669" w:type="dxa"/>
          </w:tcPr>
          <w:p>
            <w:pPr>
              <w:pStyle w:val="0"/>
              <w:jc w:val="center"/>
            </w:pPr>
            <w:r>
              <w:rPr>
                <w:sz w:val="20"/>
              </w:rPr>
              <w:t xml:space="preserve">Наименование</w:t>
            </w:r>
          </w:p>
        </w:tc>
        <w:tc>
          <w:tcPr>
            <w:tcW w:w="1191" w:type="dxa"/>
          </w:tcPr>
          <w:p>
            <w:pPr>
              <w:pStyle w:val="0"/>
              <w:jc w:val="center"/>
            </w:pPr>
            <w:r>
              <w:rPr>
                <w:sz w:val="20"/>
              </w:rPr>
              <w:t xml:space="preserve">2020</w:t>
            </w:r>
          </w:p>
        </w:tc>
        <w:tc>
          <w:tcPr>
            <w:tcW w:w="1077" w:type="dxa"/>
          </w:tcPr>
          <w:p>
            <w:pPr>
              <w:pStyle w:val="0"/>
              <w:jc w:val="center"/>
            </w:pPr>
            <w:r>
              <w:rPr>
                <w:sz w:val="20"/>
              </w:rPr>
              <w:t xml:space="preserve">2021</w:t>
            </w:r>
          </w:p>
        </w:tc>
        <w:tc>
          <w:tcPr>
            <w:tcW w:w="1134" w:type="dxa"/>
          </w:tcPr>
          <w:p>
            <w:pPr>
              <w:pStyle w:val="0"/>
              <w:jc w:val="center"/>
            </w:pPr>
            <w:r>
              <w:rPr>
                <w:sz w:val="20"/>
              </w:rPr>
              <w:t xml:space="preserve">2022</w:t>
            </w:r>
          </w:p>
        </w:tc>
      </w:tr>
      <w:tr>
        <w:tc>
          <w:tcPr>
            <w:tcW w:w="5669" w:type="dxa"/>
          </w:tcPr>
          <w:p>
            <w:pPr>
              <w:pStyle w:val="0"/>
              <w:jc w:val="both"/>
            </w:pPr>
            <w:r>
              <w:rPr>
                <w:sz w:val="20"/>
              </w:rPr>
              <w:t xml:space="preserve">Всего</w:t>
            </w:r>
          </w:p>
        </w:tc>
        <w:tc>
          <w:tcPr>
            <w:tcW w:w="1191" w:type="dxa"/>
          </w:tcPr>
          <w:p>
            <w:pPr>
              <w:pStyle w:val="0"/>
              <w:jc w:val="center"/>
            </w:pPr>
            <w:r>
              <w:rPr>
                <w:sz w:val="20"/>
              </w:rPr>
              <w:t xml:space="preserve">25,7</w:t>
            </w:r>
          </w:p>
        </w:tc>
        <w:tc>
          <w:tcPr>
            <w:tcW w:w="1077" w:type="dxa"/>
          </w:tcPr>
          <w:p>
            <w:pPr>
              <w:pStyle w:val="0"/>
              <w:jc w:val="center"/>
            </w:pPr>
            <w:r>
              <w:rPr>
                <w:sz w:val="20"/>
              </w:rPr>
              <w:t xml:space="preserve">24,5</w:t>
            </w:r>
          </w:p>
        </w:tc>
        <w:tc>
          <w:tcPr>
            <w:tcW w:w="1134" w:type="dxa"/>
          </w:tcPr>
          <w:p>
            <w:pPr>
              <w:pStyle w:val="0"/>
              <w:jc w:val="center"/>
            </w:pPr>
            <w:r>
              <w:rPr>
                <w:sz w:val="20"/>
              </w:rPr>
              <w:t xml:space="preserve">20,5</w:t>
            </w:r>
          </w:p>
        </w:tc>
      </w:tr>
      <w:tr>
        <w:tc>
          <w:tcPr>
            <w:tcW w:w="5669" w:type="dxa"/>
          </w:tcPr>
          <w:p>
            <w:pPr>
              <w:pStyle w:val="0"/>
              <w:jc w:val="both"/>
            </w:pPr>
            <w:r>
              <w:rPr>
                <w:sz w:val="20"/>
              </w:rPr>
              <w:t xml:space="preserve">Злокачественные новообразования полости рта и глотки</w:t>
            </w:r>
          </w:p>
        </w:tc>
        <w:tc>
          <w:tcPr>
            <w:tcW w:w="1191" w:type="dxa"/>
          </w:tcPr>
          <w:p>
            <w:pPr>
              <w:pStyle w:val="0"/>
              <w:jc w:val="center"/>
            </w:pPr>
            <w:r>
              <w:rPr>
                <w:sz w:val="20"/>
              </w:rPr>
              <w:t xml:space="preserve">68,6</w:t>
            </w:r>
          </w:p>
        </w:tc>
        <w:tc>
          <w:tcPr>
            <w:tcW w:w="1077" w:type="dxa"/>
          </w:tcPr>
          <w:p>
            <w:pPr>
              <w:pStyle w:val="0"/>
              <w:jc w:val="center"/>
            </w:pPr>
            <w:r>
              <w:rPr>
                <w:sz w:val="20"/>
              </w:rPr>
              <w:t xml:space="preserve">66,7</w:t>
            </w:r>
          </w:p>
        </w:tc>
        <w:tc>
          <w:tcPr>
            <w:tcW w:w="1134" w:type="dxa"/>
          </w:tcPr>
          <w:p>
            <w:pPr>
              <w:pStyle w:val="0"/>
              <w:jc w:val="center"/>
            </w:pPr>
            <w:r>
              <w:rPr>
                <w:sz w:val="20"/>
              </w:rPr>
              <w:t xml:space="preserve">62,9</w:t>
            </w:r>
          </w:p>
        </w:tc>
      </w:tr>
      <w:tr>
        <w:tc>
          <w:tcPr>
            <w:tcW w:w="5669" w:type="dxa"/>
          </w:tcPr>
          <w:p>
            <w:pPr>
              <w:pStyle w:val="0"/>
              <w:jc w:val="both"/>
            </w:pPr>
            <w:r>
              <w:rPr>
                <w:sz w:val="20"/>
              </w:rPr>
              <w:t xml:space="preserve">Злокачественные новообразования желудка</w:t>
            </w:r>
          </w:p>
        </w:tc>
        <w:tc>
          <w:tcPr>
            <w:tcW w:w="1191" w:type="dxa"/>
          </w:tcPr>
          <w:p>
            <w:pPr>
              <w:pStyle w:val="0"/>
              <w:jc w:val="center"/>
            </w:pPr>
            <w:r>
              <w:rPr>
                <w:sz w:val="20"/>
              </w:rPr>
              <w:t xml:space="preserve">40</w:t>
            </w:r>
          </w:p>
        </w:tc>
        <w:tc>
          <w:tcPr>
            <w:tcW w:w="1077" w:type="dxa"/>
          </w:tcPr>
          <w:p>
            <w:pPr>
              <w:pStyle w:val="0"/>
              <w:jc w:val="center"/>
            </w:pPr>
            <w:r>
              <w:rPr>
                <w:sz w:val="20"/>
              </w:rPr>
              <w:t xml:space="preserve">45,3</w:t>
            </w:r>
          </w:p>
        </w:tc>
        <w:tc>
          <w:tcPr>
            <w:tcW w:w="1134" w:type="dxa"/>
          </w:tcPr>
          <w:p>
            <w:pPr>
              <w:pStyle w:val="0"/>
              <w:jc w:val="center"/>
            </w:pPr>
            <w:r>
              <w:rPr>
                <w:sz w:val="20"/>
              </w:rPr>
              <w:t xml:space="preserve">40,2</w:t>
            </w:r>
          </w:p>
        </w:tc>
      </w:tr>
      <w:tr>
        <w:tc>
          <w:tcPr>
            <w:tcW w:w="5669" w:type="dxa"/>
          </w:tcPr>
          <w:p>
            <w:pPr>
              <w:pStyle w:val="0"/>
              <w:jc w:val="both"/>
            </w:pPr>
            <w:r>
              <w:rPr>
                <w:sz w:val="20"/>
              </w:rPr>
              <w:t xml:space="preserve">Злокачественные новообразования ободочной кишки</w:t>
            </w:r>
          </w:p>
        </w:tc>
        <w:tc>
          <w:tcPr>
            <w:tcW w:w="1191" w:type="dxa"/>
          </w:tcPr>
          <w:p>
            <w:pPr>
              <w:pStyle w:val="0"/>
              <w:jc w:val="center"/>
            </w:pPr>
            <w:r>
              <w:rPr>
                <w:sz w:val="20"/>
              </w:rPr>
              <w:t xml:space="preserve">31</w:t>
            </w:r>
          </w:p>
        </w:tc>
        <w:tc>
          <w:tcPr>
            <w:tcW w:w="1077" w:type="dxa"/>
          </w:tcPr>
          <w:p>
            <w:pPr>
              <w:pStyle w:val="0"/>
              <w:jc w:val="center"/>
            </w:pPr>
            <w:r>
              <w:rPr>
                <w:sz w:val="20"/>
              </w:rPr>
              <w:t xml:space="preserve">26,5</w:t>
            </w:r>
          </w:p>
        </w:tc>
        <w:tc>
          <w:tcPr>
            <w:tcW w:w="1134" w:type="dxa"/>
          </w:tcPr>
          <w:p>
            <w:pPr>
              <w:pStyle w:val="0"/>
              <w:jc w:val="center"/>
            </w:pPr>
            <w:r>
              <w:rPr>
                <w:sz w:val="20"/>
              </w:rPr>
              <w:t xml:space="preserve">26,9</w:t>
            </w:r>
          </w:p>
        </w:tc>
      </w:tr>
      <w:tr>
        <w:tc>
          <w:tcPr>
            <w:tcW w:w="5669" w:type="dxa"/>
          </w:tcPr>
          <w:p>
            <w:pPr>
              <w:pStyle w:val="0"/>
              <w:jc w:val="both"/>
            </w:pPr>
            <w:r>
              <w:rPr>
                <w:sz w:val="20"/>
              </w:rPr>
              <w:t xml:space="preserve">Злокачественные новообразования прямой кишки</w:t>
            </w:r>
          </w:p>
        </w:tc>
        <w:tc>
          <w:tcPr>
            <w:tcW w:w="1191" w:type="dxa"/>
          </w:tcPr>
          <w:p>
            <w:pPr>
              <w:pStyle w:val="0"/>
              <w:jc w:val="center"/>
            </w:pPr>
            <w:r>
              <w:rPr>
                <w:sz w:val="20"/>
              </w:rPr>
              <w:t xml:space="preserve">55</w:t>
            </w:r>
          </w:p>
        </w:tc>
        <w:tc>
          <w:tcPr>
            <w:tcW w:w="1077" w:type="dxa"/>
          </w:tcPr>
          <w:p>
            <w:pPr>
              <w:pStyle w:val="0"/>
              <w:jc w:val="center"/>
            </w:pPr>
            <w:r>
              <w:rPr>
                <w:sz w:val="20"/>
              </w:rPr>
              <w:t xml:space="preserve">62,1</w:t>
            </w:r>
          </w:p>
        </w:tc>
        <w:tc>
          <w:tcPr>
            <w:tcW w:w="1134" w:type="dxa"/>
          </w:tcPr>
          <w:p>
            <w:pPr>
              <w:pStyle w:val="0"/>
              <w:jc w:val="center"/>
            </w:pPr>
            <w:r>
              <w:rPr>
                <w:sz w:val="20"/>
              </w:rPr>
              <w:t xml:space="preserve">50,0</w:t>
            </w:r>
          </w:p>
        </w:tc>
      </w:tr>
      <w:tr>
        <w:tc>
          <w:tcPr>
            <w:tcW w:w="5669" w:type="dxa"/>
          </w:tcPr>
          <w:p>
            <w:pPr>
              <w:pStyle w:val="0"/>
              <w:jc w:val="both"/>
            </w:pPr>
            <w:r>
              <w:rPr>
                <w:sz w:val="20"/>
              </w:rPr>
              <w:t xml:space="preserve">Злокачественные новообразования трахеи и легких</w:t>
            </w:r>
          </w:p>
        </w:tc>
        <w:tc>
          <w:tcPr>
            <w:tcW w:w="1191" w:type="dxa"/>
          </w:tcPr>
          <w:p>
            <w:pPr>
              <w:pStyle w:val="0"/>
              <w:jc w:val="center"/>
            </w:pPr>
            <w:r>
              <w:rPr>
                <w:sz w:val="20"/>
              </w:rPr>
              <w:t xml:space="preserve">66</w:t>
            </w:r>
          </w:p>
        </w:tc>
        <w:tc>
          <w:tcPr>
            <w:tcW w:w="1077" w:type="dxa"/>
          </w:tcPr>
          <w:p>
            <w:pPr>
              <w:pStyle w:val="0"/>
              <w:jc w:val="center"/>
            </w:pPr>
            <w:r>
              <w:rPr>
                <w:sz w:val="20"/>
              </w:rPr>
              <w:t xml:space="preserve">58,3</w:t>
            </w:r>
          </w:p>
        </w:tc>
        <w:tc>
          <w:tcPr>
            <w:tcW w:w="1134" w:type="dxa"/>
          </w:tcPr>
          <w:p>
            <w:pPr>
              <w:pStyle w:val="0"/>
              <w:jc w:val="center"/>
            </w:pPr>
            <w:r>
              <w:rPr>
                <w:sz w:val="20"/>
              </w:rPr>
              <w:t xml:space="preserve">43,0</w:t>
            </w:r>
          </w:p>
        </w:tc>
      </w:tr>
      <w:tr>
        <w:tc>
          <w:tcPr>
            <w:tcW w:w="5669" w:type="dxa"/>
          </w:tcPr>
          <w:p>
            <w:pPr>
              <w:pStyle w:val="0"/>
              <w:jc w:val="both"/>
            </w:pPr>
            <w:r>
              <w:rPr>
                <w:sz w:val="20"/>
              </w:rPr>
              <w:t xml:space="preserve">Злокачественные новообразования молочной железы</w:t>
            </w:r>
          </w:p>
        </w:tc>
        <w:tc>
          <w:tcPr>
            <w:tcW w:w="1191" w:type="dxa"/>
          </w:tcPr>
          <w:p>
            <w:pPr>
              <w:pStyle w:val="0"/>
              <w:jc w:val="center"/>
            </w:pPr>
            <w:r>
              <w:rPr>
                <w:sz w:val="20"/>
              </w:rPr>
              <w:t xml:space="preserve">29</w:t>
            </w:r>
          </w:p>
        </w:tc>
        <w:tc>
          <w:tcPr>
            <w:tcW w:w="1077" w:type="dxa"/>
          </w:tcPr>
          <w:p>
            <w:pPr>
              <w:pStyle w:val="0"/>
              <w:jc w:val="center"/>
            </w:pPr>
            <w:r>
              <w:rPr>
                <w:sz w:val="20"/>
              </w:rPr>
              <w:t xml:space="preserve">25,4</w:t>
            </w:r>
          </w:p>
        </w:tc>
        <w:tc>
          <w:tcPr>
            <w:tcW w:w="1134" w:type="dxa"/>
          </w:tcPr>
          <w:p>
            <w:pPr>
              <w:pStyle w:val="0"/>
              <w:jc w:val="center"/>
            </w:pPr>
            <w:r>
              <w:rPr>
                <w:sz w:val="20"/>
              </w:rPr>
              <w:t xml:space="preserve">19,6</w:t>
            </w:r>
          </w:p>
        </w:tc>
      </w:tr>
      <w:tr>
        <w:tc>
          <w:tcPr>
            <w:tcW w:w="5669" w:type="dxa"/>
          </w:tcPr>
          <w:p>
            <w:pPr>
              <w:pStyle w:val="0"/>
              <w:jc w:val="both"/>
            </w:pPr>
            <w:r>
              <w:rPr>
                <w:sz w:val="20"/>
              </w:rPr>
              <w:t xml:space="preserve">Злокачественные новообразования тела матки</w:t>
            </w:r>
          </w:p>
        </w:tc>
        <w:tc>
          <w:tcPr>
            <w:tcW w:w="1191" w:type="dxa"/>
          </w:tcPr>
          <w:p>
            <w:pPr>
              <w:pStyle w:val="0"/>
              <w:jc w:val="center"/>
            </w:pPr>
            <w:r>
              <w:rPr>
                <w:sz w:val="20"/>
              </w:rPr>
              <w:t xml:space="preserve">5</w:t>
            </w:r>
          </w:p>
        </w:tc>
        <w:tc>
          <w:tcPr>
            <w:tcW w:w="1077" w:type="dxa"/>
          </w:tcPr>
          <w:p>
            <w:pPr>
              <w:pStyle w:val="0"/>
              <w:jc w:val="center"/>
            </w:pPr>
            <w:r>
              <w:rPr>
                <w:sz w:val="20"/>
              </w:rPr>
              <w:t xml:space="preserve">3,2</w:t>
            </w:r>
          </w:p>
        </w:tc>
        <w:tc>
          <w:tcPr>
            <w:tcW w:w="1134" w:type="dxa"/>
          </w:tcPr>
          <w:p>
            <w:pPr>
              <w:pStyle w:val="0"/>
              <w:jc w:val="center"/>
            </w:pPr>
            <w:r>
              <w:rPr>
                <w:sz w:val="20"/>
              </w:rPr>
              <w:t xml:space="preserve">3,2</w:t>
            </w:r>
          </w:p>
        </w:tc>
      </w:tr>
      <w:tr>
        <w:tc>
          <w:tcPr>
            <w:tcW w:w="5669" w:type="dxa"/>
          </w:tcPr>
          <w:p>
            <w:pPr>
              <w:pStyle w:val="0"/>
              <w:jc w:val="both"/>
            </w:pPr>
            <w:r>
              <w:rPr>
                <w:sz w:val="20"/>
              </w:rPr>
              <w:t xml:space="preserve">Злокачественные новообразования шейки матки</w:t>
            </w:r>
          </w:p>
        </w:tc>
        <w:tc>
          <w:tcPr>
            <w:tcW w:w="1191" w:type="dxa"/>
          </w:tcPr>
          <w:p>
            <w:pPr>
              <w:pStyle w:val="0"/>
              <w:jc w:val="center"/>
            </w:pPr>
            <w:r>
              <w:rPr>
                <w:sz w:val="20"/>
              </w:rPr>
              <w:t xml:space="preserve">29</w:t>
            </w:r>
          </w:p>
        </w:tc>
        <w:tc>
          <w:tcPr>
            <w:tcW w:w="1077" w:type="dxa"/>
          </w:tcPr>
          <w:p>
            <w:pPr>
              <w:pStyle w:val="0"/>
              <w:jc w:val="center"/>
            </w:pPr>
            <w:r>
              <w:rPr>
                <w:sz w:val="20"/>
              </w:rPr>
              <w:t xml:space="preserve">24</w:t>
            </w:r>
          </w:p>
        </w:tc>
        <w:tc>
          <w:tcPr>
            <w:tcW w:w="1134" w:type="dxa"/>
          </w:tcPr>
          <w:p>
            <w:pPr>
              <w:pStyle w:val="0"/>
              <w:jc w:val="center"/>
            </w:pPr>
            <w:r>
              <w:rPr>
                <w:sz w:val="20"/>
              </w:rPr>
              <w:t xml:space="preserve">26,7</w:t>
            </w:r>
          </w:p>
        </w:tc>
      </w:tr>
      <w:tr>
        <w:tc>
          <w:tcPr>
            <w:tcW w:w="5669" w:type="dxa"/>
          </w:tcPr>
          <w:p>
            <w:pPr>
              <w:pStyle w:val="0"/>
              <w:jc w:val="both"/>
            </w:pPr>
            <w:r>
              <w:rPr>
                <w:sz w:val="20"/>
              </w:rPr>
              <w:t xml:space="preserve">Злокачественные новообразования предстательной железы</w:t>
            </w:r>
          </w:p>
        </w:tc>
        <w:tc>
          <w:tcPr>
            <w:tcW w:w="1191" w:type="dxa"/>
          </w:tcPr>
          <w:p>
            <w:pPr>
              <w:pStyle w:val="0"/>
              <w:jc w:val="center"/>
            </w:pPr>
            <w:r>
              <w:rPr>
                <w:sz w:val="20"/>
              </w:rPr>
              <w:t xml:space="preserve">28</w:t>
            </w:r>
          </w:p>
        </w:tc>
        <w:tc>
          <w:tcPr>
            <w:tcW w:w="1077" w:type="dxa"/>
          </w:tcPr>
          <w:p>
            <w:pPr>
              <w:pStyle w:val="0"/>
              <w:jc w:val="center"/>
            </w:pPr>
            <w:r>
              <w:rPr>
                <w:sz w:val="20"/>
              </w:rPr>
              <w:t xml:space="preserve">21,9</w:t>
            </w:r>
          </w:p>
        </w:tc>
        <w:tc>
          <w:tcPr>
            <w:tcW w:w="1134" w:type="dxa"/>
          </w:tcPr>
          <w:p>
            <w:pPr>
              <w:pStyle w:val="0"/>
              <w:jc w:val="center"/>
            </w:pPr>
            <w:r>
              <w:rPr>
                <w:sz w:val="20"/>
              </w:rPr>
              <w:t xml:space="preserve">24,4</w:t>
            </w:r>
          </w:p>
        </w:tc>
      </w:tr>
      <w:tr>
        <w:tc>
          <w:tcPr>
            <w:tcW w:w="5669" w:type="dxa"/>
          </w:tcPr>
          <w:p>
            <w:pPr>
              <w:pStyle w:val="0"/>
              <w:jc w:val="both"/>
            </w:pPr>
            <w:r>
              <w:rPr>
                <w:sz w:val="20"/>
              </w:rPr>
              <w:t xml:space="preserve">Злокачественные новообразования кожи без меланомы</w:t>
            </w:r>
          </w:p>
        </w:tc>
        <w:tc>
          <w:tcPr>
            <w:tcW w:w="1191" w:type="dxa"/>
          </w:tcPr>
          <w:p>
            <w:pPr>
              <w:pStyle w:val="0"/>
              <w:jc w:val="center"/>
            </w:pPr>
            <w:r>
              <w:rPr>
                <w:sz w:val="20"/>
              </w:rPr>
              <w:t xml:space="preserve">3</w:t>
            </w:r>
          </w:p>
        </w:tc>
        <w:tc>
          <w:tcPr>
            <w:tcW w:w="1077" w:type="dxa"/>
          </w:tcPr>
          <w:p>
            <w:pPr>
              <w:pStyle w:val="0"/>
              <w:jc w:val="center"/>
            </w:pPr>
            <w:r>
              <w:rPr>
                <w:sz w:val="20"/>
              </w:rPr>
              <w:t xml:space="preserve">5,0</w:t>
            </w:r>
          </w:p>
        </w:tc>
        <w:tc>
          <w:tcPr>
            <w:tcW w:w="1134" w:type="dxa"/>
          </w:tcPr>
          <w:p>
            <w:pPr>
              <w:pStyle w:val="0"/>
              <w:jc w:val="center"/>
            </w:pPr>
            <w:r>
              <w:rPr>
                <w:sz w:val="20"/>
              </w:rPr>
              <w:t xml:space="preserve">3,2</w:t>
            </w:r>
          </w:p>
        </w:tc>
      </w:tr>
    </w:tbl>
    <w:p>
      <w:pPr>
        <w:pStyle w:val="0"/>
        <w:ind w:firstLine="540"/>
        <w:jc w:val="both"/>
      </w:pPr>
      <w:r>
        <w:rPr>
          <w:sz w:val="20"/>
        </w:rPr>
      </w:r>
    </w:p>
    <w:p>
      <w:pPr>
        <w:pStyle w:val="0"/>
        <w:ind w:firstLine="540"/>
        <w:jc w:val="both"/>
      </w:pPr>
      <w:r>
        <w:rPr>
          <w:sz w:val="20"/>
        </w:rPr>
        <w:t xml:space="preserve">В целом по городу Севастополю запущенность злокачественных новообразований снизилась на 16,3%.</w:t>
      </w:r>
    </w:p>
    <w:p>
      <w:pPr>
        <w:pStyle w:val="0"/>
        <w:spacing w:before="200" w:line-rule="auto"/>
        <w:ind w:firstLine="540"/>
        <w:jc w:val="both"/>
      </w:pPr>
      <w:r>
        <w:rPr>
          <w:sz w:val="20"/>
        </w:rPr>
        <w:t xml:space="preserve">Число больных злокачественными новообразованиями, выявленных активно в 2021 году, - 245 чел. (в 2021 году - 43 чел.), от числа больных с впервые установленным диагнозом - 10,6% (в 2021 году - 2,1%). По сравнению с 2017 годом (10,6%) показатель не изменился, а при сравнении с 2021 годом вырос в 5 раз.</w:t>
      </w:r>
    </w:p>
    <w:p>
      <w:pPr>
        <w:pStyle w:val="0"/>
        <w:spacing w:before="200" w:line-rule="auto"/>
        <w:ind w:firstLine="540"/>
        <w:jc w:val="both"/>
      </w:pPr>
      <w:r>
        <w:rPr>
          <w:sz w:val="20"/>
        </w:rPr>
        <w:t xml:space="preserve">Число больных злокачественными новообразованиями в I и II стадиях, выявленных активно за 2022 год, составило 185 чел., или 8% от числа больных с впервые установленным диагнозом. От числа больных, выявленных активно, - 75,5% (2021 год - 31 чел., 1,5 и 72,1% соответственно).</w:t>
      </w:r>
    </w:p>
    <w:p>
      <w:pPr>
        <w:pStyle w:val="0"/>
        <w:spacing w:before="200" w:line-rule="auto"/>
        <w:ind w:firstLine="540"/>
        <w:jc w:val="both"/>
      </w:pPr>
      <w:r>
        <w:rPr>
          <w:sz w:val="20"/>
        </w:rPr>
        <w:t xml:space="preserve">Число больных злокачественными новообразованиями в I и II стадиях визуальных локализаций, выявленных активно (117 человек), от числа пациентов с впервые в жизни установленным диагнозом с I и II стадиями, выявленных активно, составило 63,2% (в 2021 году - 20 чел., или 64,5%).</w:t>
      </w:r>
    </w:p>
    <w:p>
      <w:pPr>
        <w:pStyle w:val="0"/>
        <w:spacing w:before="200" w:line-rule="auto"/>
        <w:ind w:firstLine="540"/>
        <w:jc w:val="both"/>
      </w:pPr>
      <w:r>
        <w:rPr>
          <w:sz w:val="20"/>
        </w:rPr>
        <w:t xml:space="preserve">На конец 2022 года число больных, состоящих на диспансерном учете 5 лет и более, составило 7005 чел. (53,0%), в 2021 году - 5879 чел. (48,5%).</w:t>
      </w:r>
    </w:p>
    <w:p>
      <w:pPr>
        <w:pStyle w:val="0"/>
        <w:jc w:val="right"/>
      </w:pPr>
      <w:r>
        <w:rPr>
          <w:sz w:val="20"/>
        </w:rPr>
      </w:r>
    </w:p>
    <w:p>
      <w:pPr>
        <w:pStyle w:val="0"/>
        <w:jc w:val="right"/>
      </w:pPr>
      <w:r>
        <w:rPr>
          <w:sz w:val="20"/>
        </w:rPr>
        <w:t xml:space="preserve">Таблица N 11</w:t>
      </w:r>
    </w:p>
    <w:p>
      <w:pPr>
        <w:pStyle w:val="0"/>
        <w:jc w:val="right"/>
      </w:pPr>
      <w:r>
        <w:rPr>
          <w:sz w:val="20"/>
        </w:rPr>
      </w:r>
    </w:p>
    <w:p>
      <w:pPr>
        <w:pStyle w:val="0"/>
        <w:jc w:val="center"/>
      </w:pPr>
      <w:r>
        <w:rPr>
          <w:sz w:val="20"/>
        </w:rPr>
        <w:t xml:space="preserve">Доля пациентов, состоящих на учете 5 лет и более</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16"/>
        <w:gridCol w:w="850"/>
        <w:gridCol w:w="850"/>
        <w:gridCol w:w="846"/>
        <w:gridCol w:w="1304"/>
      </w:tblGrid>
      <w:tr>
        <w:tc>
          <w:tcPr>
            <w:tcW w:w="5216" w:type="dxa"/>
          </w:tcPr>
          <w:p>
            <w:pPr>
              <w:pStyle w:val="0"/>
              <w:jc w:val="center"/>
            </w:pPr>
            <w:r>
              <w:rPr>
                <w:sz w:val="20"/>
              </w:rPr>
              <w:t xml:space="preserve">Доля пациентов, состоящих на учете 5 лет и более</w:t>
            </w:r>
          </w:p>
        </w:tc>
        <w:tc>
          <w:tcPr>
            <w:tcW w:w="850" w:type="dxa"/>
          </w:tcPr>
          <w:p>
            <w:pPr>
              <w:pStyle w:val="0"/>
              <w:jc w:val="center"/>
            </w:pPr>
            <w:r>
              <w:rPr>
                <w:sz w:val="20"/>
              </w:rPr>
              <w:t xml:space="preserve">2020</w:t>
            </w:r>
          </w:p>
        </w:tc>
        <w:tc>
          <w:tcPr>
            <w:tcW w:w="850" w:type="dxa"/>
          </w:tcPr>
          <w:p>
            <w:pPr>
              <w:pStyle w:val="0"/>
              <w:jc w:val="center"/>
            </w:pPr>
            <w:r>
              <w:rPr>
                <w:sz w:val="20"/>
              </w:rPr>
              <w:t xml:space="preserve">2021</w:t>
            </w:r>
          </w:p>
        </w:tc>
        <w:tc>
          <w:tcPr>
            <w:tcW w:w="846" w:type="dxa"/>
          </w:tcPr>
          <w:p>
            <w:pPr>
              <w:pStyle w:val="0"/>
              <w:jc w:val="center"/>
            </w:pPr>
            <w:r>
              <w:rPr>
                <w:sz w:val="20"/>
              </w:rPr>
              <w:t xml:space="preserve">2022</w:t>
            </w:r>
          </w:p>
        </w:tc>
        <w:tc>
          <w:tcPr>
            <w:tcW w:w="1304" w:type="dxa"/>
          </w:tcPr>
          <w:p>
            <w:pPr>
              <w:pStyle w:val="0"/>
              <w:jc w:val="center"/>
            </w:pPr>
            <w:r>
              <w:rPr>
                <w:sz w:val="20"/>
              </w:rPr>
              <w:t xml:space="preserve">Динамика, 2020 - 2022 гг., %</w:t>
            </w:r>
          </w:p>
        </w:tc>
      </w:tr>
      <w:tr>
        <w:tc>
          <w:tcPr>
            <w:tcW w:w="5216" w:type="dxa"/>
          </w:tcPr>
          <w:p>
            <w:pPr>
              <w:pStyle w:val="0"/>
              <w:jc w:val="both"/>
            </w:pPr>
            <w:r>
              <w:rPr>
                <w:sz w:val="20"/>
              </w:rPr>
              <w:t xml:space="preserve">Злокачественные новообразования, всего, из них:</w:t>
            </w:r>
          </w:p>
        </w:tc>
        <w:tc>
          <w:tcPr>
            <w:tcW w:w="850" w:type="dxa"/>
          </w:tcPr>
          <w:p>
            <w:pPr>
              <w:pStyle w:val="0"/>
              <w:jc w:val="center"/>
            </w:pPr>
            <w:r>
              <w:rPr>
                <w:sz w:val="20"/>
              </w:rPr>
              <w:t xml:space="preserve">47,9</w:t>
            </w:r>
          </w:p>
        </w:tc>
        <w:tc>
          <w:tcPr>
            <w:tcW w:w="850" w:type="dxa"/>
          </w:tcPr>
          <w:p>
            <w:pPr>
              <w:pStyle w:val="0"/>
              <w:jc w:val="center"/>
            </w:pPr>
            <w:r>
              <w:rPr>
                <w:sz w:val="20"/>
              </w:rPr>
              <w:t xml:space="preserve">48,5</w:t>
            </w:r>
          </w:p>
        </w:tc>
        <w:tc>
          <w:tcPr>
            <w:tcW w:w="846" w:type="dxa"/>
          </w:tcPr>
          <w:p>
            <w:pPr>
              <w:pStyle w:val="0"/>
              <w:jc w:val="center"/>
            </w:pPr>
            <w:r>
              <w:rPr>
                <w:sz w:val="20"/>
              </w:rPr>
              <w:t xml:space="preserve">53,0</w:t>
            </w:r>
          </w:p>
        </w:tc>
        <w:tc>
          <w:tcPr>
            <w:tcW w:w="1304" w:type="dxa"/>
          </w:tcPr>
          <w:p>
            <w:pPr>
              <w:pStyle w:val="0"/>
              <w:jc w:val="center"/>
            </w:pPr>
            <w:r>
              <w:rPr>
                <w:sz w:val="20"/>
              </w:rPr>
              <w:t xml:space="preserve">10,6</w:t>
            </w:r>
          </w:p>
        </w:tc>
      </w:tr>
      <w:tr>
        <w:tc>
          <w:tcPr>
            <w:tcW w:w="5216" w:type="dxa"/>
          </w:tcPr>
          <w:p>
            <w:pPr>
              <w:pStyle w:val="0"/>
              <w:jc w:val="both"/>
            </w:pPr>
            <w:r>
              <w:rPr>
                <w:sz w:val="20"/>
              </w:rPr>
              <w:t xml:space="preserve">губ</w:t>
            </w:r>
          </w:p>
        </w:tc>
        <w:tc>
          <w:tcPr>
            <w:tcW w:w="850" w:type="dxa"/>
          </w:tcPr>
          <w:p>
            <w:pPr>
              <w:pStyle w:val="0"/>
              <w:jc w:val="center"/>
            </w:pPr>
            <w:r>
              <w:rPr>
                <w:sz w:val="20"/>
              </w:rPr>
              <w:t xml:space="preserve">48,1</w:t>
            </w:r>
          </w:p>
        </w:tc>
        <w:tc>
          <w:tcPr>
            <w:tcW w:w="850" w:type="dxa"/>
          </w:tcPr>
          <w:p>
            <w:pPr>
              <w:pStyle w:val="0"/>
              <w:jc w:val="center"/>
            </w:pPr>
            <w:r>
              <w:rPr>
                <w:sz w:val="20"/>
              </w:rPr>
              <w:t xml:space="preserve">59,3</w:t>
            </w:r>
          </w:p>
        </w:tc>
        <w:tc>
          <w:tcPr>
            <w:tcW w:w="846" w:type="dxa"/>
          </w:tcPr>
          <w:p>
            <w:pPr>
              <w:pStyle w:val="0"/>
              <w:jc w:val="center"/>
            </w:pPr>
            <w:r>
              <w:rPr>
                <w:sz w:val="20"/>
              </w:rPr>
              <w:t xml:space="preserve">70,00</w:t>
            </w:r>
          </w:p>
        </w:tc>
        <w:tc>
          <w:tcPr>
            <w:tcW w:w="1304" w:type="dxa"/>
          </w:tcPr>
          <w:p>
            <w:pPr>
              <w:pStyle w:val="0"/>
              <w:jc w:val="center"/>
            </w:pPr>
            <w:r>
              <w:rPr>
                <w:sz w:val="20"/>
              </w:rPr>
              <w:t xml:space="preserve">45,5</w:t>
            </w:r>
          </w:p>
        </w:tc>
      </w:tr>
      <w:tr>
        <w:tc>
          <w:tcPr>
            <w:tcW w:w="5216" w:type="dxa"/>
          </w:tcPr>
          <w:p>
            <w:pPr>
              <w:pStyle w:val="0"/>
              <w:jc w:val="both"/>
            </w:pPr>
            <w:r>
              <w:rPr>
                <w:sz w:val="20"/>
              </w:rPr>
              <w:t xml:space="preserve">полости рта</w:t>
            </w:r>
          </w:p>
        </w:tc>
        <w:tc>
          <w:tcPr>
            <w:tcW w:w="850" w:type="dxa"/>
          </w:tcPr>
          <w:p>
            <w:pPr>
              <w:pStyle w:val="0"/>
              <w:jc w:val="center"/>
            </w:pPr>
            <w:r>
              <w:rPr>
                <w:sz w:val="20"/>
              </w:rPr>
              <w:t xml:space="preserve">34</w:t>
            </w:r>
          </w:p>
        </w:tc>
        <w:tc>
          <w:tcPr>
            <w:tcW w:w="850" w:type="dxa"/>
          </w:tcPr>
          <w:p>
            <w:pPr>
              <w:pStyle w:val="0"/>
              <w:jc w:val="center"/>
            </w:pPr>
            <w:r>
              <w:rPr>
                <w:sz w:val="20"/>
              </w:rPr>
              <w:t xml:space="preserve">31,9</w:t>
            </w:r>
          </w:p>
        </w:tc>
        <w:tc>
          <w:tcPr>
            <w:tcW w:w="846" w:type="dxa"/>
          </w:tcPr>
          <w:p>
            <w:pPr>
              <w:pStyle w:val="0"/>
              <w:jc w:val="center"/>
            </w:pPr>
            <w:r>
              <w:rPr>
                <w:sz w:val="20"/>
              </w:rPr>
              <w:t xml:space="preserve">33,57</w:t>
            </w:r>
          </w:p>
        </w:tc>
        <w:tc>
          <w:tcPr>
            <w:tcW w:w="1304" w:type="dxa"/>
          </w:tcPr>
          <w:p>
            <w:pPr>
              <w:pStyle w:val="0"/>
              <w:jc w:val="center"/>
            </w:pPr>
            <w:r>
              <w:rPr>
                <w:sz w:val="20"/>
              </w:rPr>
              <w:t xml:space="preserve">-1,3</w:t>
            </w:r>
          </w:p>
        </w:tc>
      </w:tr>
      <w:tr>
        <w:tc>
          <w:tcPr>
            <w:tcW w:w="5216" w:type="dxa"/>
          </w:tcPr>
          <w:p>
            <w:pPr>
              <w:pStyle w:val="0"/>
              <w:jc w:val="both"/>
            </w:pPr>
            <w:r>
              <w:rPr>
                <w:sz w:val="20"/>
              </w:rPr>
              <w:t xml:space="preserve">глотки</w:t>
            </w:r>
          </w:p>
        </w:tc>
        <w:tc>
          <w:tcPr>
            <w:tcW w:w="850" w:type="dxa"/>
          </w:tcPr>
          <w:p>
            <w:pPr>
              <w:pStyle w:val="0"/>
              <w:jc w:val="center"/>
            </w:pPr>
            <w:r>
              <w:rPr>
                <w:sz w:val="20"/>
              </w:rPr>
              <w:t xml:space="preserve">34,6</w:t>
            </w:r>
          </w:p>
        </w:tc>
        <w:tc>
          <w:tcPr>
            <w:tcW w:w="850" w:type="dxa"/>
          </w:tcPr>
          <w:p>
            <w:pPr>
              <w:pStyle w:val="0"/>
              <w:jc w:val="center"/>
            </w:pPr>
            <w:r>
              <w:rPr>
                <w:sz w:val="20"/>
              </w:rPr>
              <w:t xml:space="preserve">41,9</w:t>
            </w:r>
          </w:p>
        </w:tc>
        <w:tc>
          <w:tcPr>
            <w:tcW w:w="846" w:type="dxa"/>
          </w:tcPr>
          <w:p>
            <w:pPr>
              <w:pStyle w:val="0"/>
              <w:jc w:val="center"/>
            </w:pPr>
            <w:r>
              <w:rPr>
                <w:sz w:val="20"/>
              </w:rPr>
              <w:t xml:space="preserve">43,90</w:t>
            </w:r>
          </w:p>
        </w:tc>
        <w:tc>
          <w:tcPr>
            <w:tcW w:w="1304" w:type="dxa"/>
          </w:tcPr>
          <w:p>
            <w:pPr>
              <w:pStyle w:val="0"/>
              <w:jc w:val="center"/>
            </w:pPr>
            <w:r>
              <w:rPr>
                <w:sz w:val="20"/>
              </w:rPr>
              <w:t xml:space="preserve">26,9</w:t>
            </w:r>
          </w:p>
        </w:tc>
      </w:tr>
      <w:tr>
        <w:tc>
          <w:tcPr>
            <w:tcW w:w="5216" w:type="dxa"/>
          </w:tcPr>
          <w:p>
            <w:pPr>
              <w:pStyle w:val="0"/>
              <w:jc w:val="both"/>
            </w:pPr>
            <w:r>
              <w:rPr>
                <w:sz w:val="20"/>
              </w:rPr>
              <w:t xml:space="preserve">пищевода</w:t>
            </w:r>
          </w:p>
        </w:tc>
        <w:tc>
          <w:tcPr>
            <w:tcW w:w="850" w:type="dxa"/>
          </w:tcPr>
          <w:p>
            <w:pPr>
              <w:pStyle w:val="0"/>
              <w:jc w:val="center"/>
            </w:pPr>
            <w:r>
              <w:rPr>
                <w:sz w:val="20"/>
              </w:rPr>
              <w:t xml:space="preserve">52,2</w:t>
            </w:r>
          </w:p>
        </w:tc>
        <w:tc>
          <w:tcPr>
            <w:tcW w:w="850" w:type="dxa"/>
          </w:tcPr>
          <w:p>
            <w:pPr>
              <w:pStyle w:val="0"/>
              <w:jc w:val="center"/>
            </w:pPr>
            <w:r>
              <w:rPr>
                <w:sz w:val="20"/>
              </w:rPr>
              <w:t xml:space="preserve">54,5</w:t>
            </w:r>
          </w:p>
        </w:tc>
        <w:tc>
          <w:tcPr>
            <w:tcW w:w="846" w:type="dxa"/>
          </w:tcPr>
          <w:p>
            <w:pPr>
              <w:pStyle w:val="0"/>
              <w:jc w:val="center"/>
            </w:pPr>
            <w:r>
              <w:rPr>
                <w:sz w:val="20"/>
              </w:rPr>
              <w:t xml:space="preserve">41,38</w:t>
            </w:r>
          </w:p>
        </w:tc>
        <w:tc>
          <w:tcPr>
            <w:tcW w:w="1304" w:type="dxa"/>
          </w:tcPr>
          <w:p>
            <w:pPr>
              <w:pStyle w:val="0"/>
              <w:jc w:val="center"/>
            </w:pPr>
            <w:r>
              <w:rPr>
                <w:sz w:val="20"/>
              </w:rPr>
              <w:t xml:space="preserve">-20,7</w:t>
            </w:r>
          </w:p>
        </w:tc>
      </w:tr>
      <w:tr>
        <w:tc>
          <w:tcPr>
            <w:tcW w:w="5216" w:type="dxa"/>
          </w:tcPr>
          <w:p>
            <w:pPr>
              <w:pStyle w:val="0"/>
              <w:jc w:val="both"/>
            </w:pPr>
            <w:r>
              <w:rPr>
                <w:sz w:val="20"/>
              </w:rPr>
              <w:t xml:space="preserve">желудка</w:t>
            </w:r>
          </w:p>
        </w:tc>
        <w:tc>
          <w:tcPr>
            <w:tcW w:w="850" w:type="dxa"/>
          </w:tcPr>
          <w:p>
            <w:pPr>
              <w:pStyle w:val="0"/>
              <w:jc w:val="center"/>
            </w:pPr>
            <w:r>
              <w:rPr>
                <w:sz w:val="20"/>
              </w:rPr>
              <w:t xml:space="preserve">44,3</w:t>
            </w:r>
          </w:p>
        </w:tc>
        <w:tc>
          <w:tcPr>
            <w:tcW w:w="850" w:type="dxa"/>
          </w:tcPr>
          <w:p>
            <w:pPr>
              <w:pStyle w:val="0"/>
              <w:jc w:val="center"/>
            </w:pPr>
            <w:r>
              <w:rPr>
                <w:sz w:val="20"/>
              </w:rPr>
              <w:t xml:space="preserve">43,5</w:t>
            </w:r>
          </w:p>
        </w:tc>
        <w:tc>
          <w:tcPr>
            <w:tcW w:w="846" w:type="dxa"/>
          </w:tcPr>
          <w:p>
            <w:pPr>
              <w:pStyle w:val="0"/>
              <w:jc w:val="center"/>
            </w:pPr>
            <w:r>
              <w:rPr>
                <w:sz w:val="20"/>
              </w:rPr>
              <w:t xml:space="preserve">44,65</w:t>
            </w:r>
          </w:p>
        </w:tc>
        <w:tc>
          <w:tcPr>
            <w:tcW w:w="1304" w:type="dxa"/>
          </w:tcPr>
          <w:p>
            <w:pPr>
              <w:pStyle w:val="0"/>
              <w:jc w:val="center"/>
            </w:pPr>
            <w:r>
              <w:rPr>
                <w:sz w:val="20"/>
              </w:rPr>
              <w:t xml:space="preserve">0,8</w:t>
            </w:r>
          </w:p>
        </w:tc>
      </w:tr>
      <w:tr>
        <w:tc>
          <w:tcPr>
            <w:tcW w:w="5216" w:type="dxa"/>
          </w:tcPr>
          <w:p>
            <w:pPr>
              <w:pStyle w:val="0"/>
              <w:jc w:val="both"/>
            </w:pPr>
            <w:r>
              <w:rPr>
                <w:sz w:val="20"/>
              </w:rPr>
              <w:t xml:space="preserve">ободочной кишки</w:t>
            </w:r>
          </w:p>
        </w:tc>
        <w:tc>
          <w:tcPr>
            <w:tcW w:w="850" w:type="dxa"/>
          </w:tcPr>
          <w:p>
            <w:pPr>
              <w:pStyle w:val="0"/>
              <w:jc w:val="center"/>
            </w:pPr>
            <w:r>
              <w:rPr>
                <w:sz w:val="20"/>
              </w:rPr>
              <w:t xml:space="preserve">48,2</w:t>
            </w:r>
          </w:p>
        </w:tc>
        <w:tc>
          <w:tcPr>
            <w:tcW w:w="850" w:type="dxa"/>
          </w:tcPr>
          <w:p>
            <w:pPr>
              <w:pStyle w:val="0"/>
              <w:jc w:val="center"/>
            </w:pPr>
            <w:r>
              <w:rPr>
                <w:sz w:val="20"/>
              </w:rPr>
              <w:t xml:space="preserve">44,8</w:t>
            </w:r>
          </w:p>
        </w:tc>
        <w:tc>
          <w:tcPr>
            <w:tcW w:w="846" w:type="dxa"/>
          </w:tcPr>
          <w:p>
            <w:pPr>
              <w:pStyle w:val="0"/>
              <w:jc w:val="center"/>
            </w:pPr>
            <w:r>
              <w:rPr>
                <w:sz w:val="20"/>
              </w:rPr>
              <w:t xml:space="preserve">48,14</w:t>
            </w:r>
          </w:p>
        </w:tc>
        <w:tc>
          <w:tcPr>
            <w:tcW w:w="1304" w:type="dxa"/>
          </w:tcPr>
          <w:p>
            <w:pPr>
              <w:pStyle w:val="0"/>
              <w:jc w:val="center"/>
            </w:pPr>
            <w:r>
              <w:rPr>
                <w:sz w:val="20"/>
              </w:rPr>
              <w:t xml:space="preserve">-0,1</w:t>
            </w:r>
          </w:p>
        </w:tc>
      </w:tr>
      <w:tr>
        <w:tc>
          <w:tcPr>
            <w:tcW w:w="5216" w:type="dxa"/>
          </w:tcPr>
          <w:p>
            <w:pPr>
              <w:pStyle w:val="0"/>
              <w:jc w:val="both"/>
            </w:pPr>
            <w:r>
              <w:rPr>
                <w:sz w:val="20"/>
              </w:rPr>
              <w:t xml:space="preserve">прямой кишки</w:t>
            </w:r>
          </w:p>
        </w:tc>
        <w:tc>
          <w:tcPr>
            <w:tcW w:w="850" w:type="dxa"/>
          </w:tcPr>
          <w:p>
            <w:pPr>
              <w:pStyle w:val="0"/>
              <w:jc w:val="center"/>
            </w:pPr>
            <w:r>
              <w:rPr>
                <w:sz w:val="20"/>
              </w:rPr>
              <w:t xml:space="preserve">48,7</w:t>
            </w:r>
          </w:p>
        </w:tc>
        <w:tc>
          <w:tcPr>
            <w:tcW w:w="850" w:type="dxa"/>
          </w:tcPr>
          <w:p>
            <w:pPr>
              <w:pStyle w:val="0"/>
              <w:jc w:val="center"/>
            </w:pPr>
            <w:r>
              <w:rPr>
                <w:sz w:val="20"/>
              </w:rPr>
              <w:t xml:space="preserve">46,3</w:t>
            </w:r>
          </w:p>
        </w:tc>
        <w:tc>
          <w:tcPr>
            <w:tcW w:w="846" w:type="dxa"/>
          </w:tcPr>
          <w:p>
            <w:pPr>
              <w:pStyle w:val="0"/>
              <w:jc w:val="center"/>
            </w:pPr>
            <w:r>
              <w:rPr>
                <w:sz w:val="20"/>
              </w:rPr>
              <w:t xml:space="preserve">50,71</w:t>
            </w:r>
          </w:p>
        </w:tc>
        <w:tc>
          <w:tcPr>
            <w:tcW w:w="1304" w:type="dxa"/>
          </w:tcPr>
          <w:p>
            <w:pPr>
              <w:pStyle w:val="0"/>
              <w:jc w:val="center"/>
            </w:pPr>
            <w:r>
              <w:rPr>
                <w:sz w:val="20"/>
              </w:rPr>
              <w:t xml:space="preserve">4,1</w:t>
            </w:r>
          </w:p>
        </w:tc>
      </w:tr>
      <w:tr>
        <w:tc>
          <w:tcPr>
            <w:tcW w:w="5216" w:type="dxa"/>
          </w:tcPr>
          <w:p>
            <w:pPr>
              <w:pStyle w:val="0"/>
              <w:jc w:val="both"/>
            </w:pPr>
            <w:r>
              <w:rPr>
                <w:sz w:val="20"/>
              </w:rPr>
              <w:t xml:space="preserve">печени и желчных протоков</w:t>
            </w:r>
          </w:p>
        </w:tc>
        <w:tc>
          <w:tcPr>
            <w:tcW w:w="850" w:type="dxa"/>
          </w:tcPr>
          <w:p>
            <w:pPr>
              <w:pStyle w:val="0"/>
              <w:jc w:val="center"/>
            </w:pPr>
            <w:r>
              <w:rPr>
                <w:sz w:val="20"/>
              </w:rPr>
              <w:t xml:space="preserve">11,1</w:t>
            </w:r>
          </w:p>
        </w:tc>
        <w:tc>
          <w:tcPr>
            <w:tcW w:w="850" w:type="dxa"/>
          </w:tcPr>
          <w:p>
            <w:pPr>
              <w:pStyle w:val="0"/>
              <w:jc w:val="center"/>
            </w:pPr>
            <w:r>
              <w:rPr>
                <w:sz w:val="20"/>
              </w:rPr>
              <w:t xml:space="preserve">23,5</w:t>
            </w:r>
          </w:p>
        </w:tc>
        <w:tc>
          <w:tcPr>
            <w:tcW w:w="846" w:type="dxa"/>
          </w:tcPr>
          <w:p>
            <w:pPr>
              <w:pStyle w:val="0"/>
              <w:jc w:val="center"/>
            </w:pPr>
            <w:r>
              <w:rPr>
                <w:sz w:val="20"/>
              </w:rPr>
              <w:t xml:space="preserve">5,56</w:t>
            </w:r>
          </w:p>
        </w:tc>
        <w:tc>
          <w:tcPr>
            <w:tcW w:w="1304" w:type="dxa"/>
          </w:tcPr>
          <w:p>
            <w:pPr>
              <w:pStyle w:val="0"/>
              <w:jc w:val="center"/>
            </w:pPr>
            <w:r>
              <w:rPr>
                <w:sz w:val="20"/>
              </w:rPr>
              <w:t xml:space="preserve">-49,9</w:t>
            </w:r>
          </w:p>
        </w:tc>
      </w:tr>
      <w:tr>
        <w:tc>
          <w:tcPr>
            <w:tcW w:w="5216" w:type="dxa"/>
          </w:tcPr>
          <w:p>
            <w:pPr>
              <w:pStyle w:val="0"/>
              <w:jc w:val="both"/>
            </w:pPr>
            <w:r>
              <w:rPr>
                <w:sz w:val="20"/>
              </w:rPr>
              <w:t xml:space="preserve">поджелудочной железы</w:t>
            </w:r>
          </w:p>
        </w:tc>
        <w:tc>
          <w:tcPr>
            <w:tcW w:w="850" w:type="dxa"/>
          </w:tcPr>
          <w:p>
            <w:pPr>
              <w:pStyle w:val="0"/>
              <w:jc w:val="center"/>
            </w:pPr>
            <w:r>
              <w:rPr>
                <w:sz w:val="20"/>
              </w:rPr>
              <w:t xml:space="preserve">20,0</w:t>
            </w:r>
          </w:p>
        </w:tc>
        <w:tc>
          <w:tcPr>
            <w:tcW w:w="850" w:type="dxa"/>
          </w:tcPr>
          <w:p>
            <w:pPr>
              <w:pStyle w:val="0"/>
              <w:jc w:val="center"/>
            </w:pPr>
            <w:r>
              <w:rPr>
                <w:sz w:val="20"/>
              </w:rPr>
              <w:t xml:space="preserve">33,7</w:t>
            </w:r>
          </w:p>
        </w:tc>
        <w:tc>
          <w:tcPr>
            <w:tcW w:w="846" w:type="dxa"/>
          </w:tcPr>
          <w:p>
            <w:pPr>
              <w:pStyle w:val="0"/>
              <w:jc w:val="center"/>
            </w:pPr>
            <w:r>
              <w:rPr>
                <w:sz w:val="20"/>
              </w:rPr>
              <w:t xml:space="preserve">10,13</w:t>
            </w:r>
          </w:p>
        </w:tc>
        <w:tc>
          <w:tcPr>
            <w:tcW w:w="1304" w:type="dxa"/>
          </w:tcPr>
          <w:p>
            <w:pPr>
              <w:pStyle w:val="0"/>
              <w:jc w:val="center"/>
            </w:pPr>
            <w:r>
              <w:rPr>
                <w:sz w:val="20"/>
              </w:rPr>
              <w:t xml:space="preserve">-49,4</w:t>
            </w:r>
          </w:p>
        </w:tc>
      </w:tr>
      <w:tr>
        <w:tc>
          <w:tcPr>
            <w:tcW w:w="5216" w:type="dxa"/>
          </w:tcPr>
          <w:p>
            <w:pPr>
              <w:pStyle w:val="0"/>
              <w:jc w:val="both"/>
            </w:pPr>
            <w:r>
              <w:rPr>
                <w:sz w:val="20"/>
              </w:rPr>
              <w:t xml:space="preserve">гортани</w:t>
            </w:r>
          </w:p>
        </w:tc>
        <w:tc>
          <w:tcPr>
            <w:tcW w:w="850" w:type="dxa"/>
          </w:tcPr>
          <w:p>
            <w:pPr>
              <w:pStyle w:val="0"/>
              <w:jc w:val="center"/>
            </w:pPr>
            <w:r>
              <w:rPr>
                <w:sz w:val="20"/>
              </w:rPr>
              <w:t xml:space="preserve">30,6</w:t>
            </w:r>
          </w:p>
        </w:tc>
        <w:tc>
          <w:tcPr>
            <w:tcW w:w="850" w:type="dxa"/>
          </w:tcPr>
          <w:p>
            <w:pPr>
              <w:pStyle w:val="0"/>
              <w:jc w:val="center"/>
            </w:pPr>
            <w:r>
              <w:rPr>
                <w:sz w:val="20"/>
              </w:rPr>
              <w:t xml:space="preserve">27,6</w:t>
            </w:r>
          </w:p>
        </w:tc>
        <w:tc>
          <w:tcPr>
            <w:tcW w:w="846" w:type="dxa"/>
          </w:tcPr>
          <w:p>
            <w:pPr>
              <w:pStyle w:val="0"/>
              <w:jc w:val="center"/>
            </w:pPr>
            <w:r>
              <w:rPr>
                <w:sz w:val="20"/>
              </w:rPr>
              <w:t xml:space="preserve">31,82</w:t>
            </w:r>
          </w:p>
        </w:tc>
        <w:tc>
          <w:tcPr>
            <w:tcW w:w="1304" w:type="dxa"/>
          </w:tcPr>
          <w:p>
            <w:pPr>
              <w:pStyle w:val="0"/>
              <w:jc w:val="center"/>
            </w:pPr>
            <w:r>
              <w:rPr>
                <w:sz w:val="20"/>
              </w:rPr>
              <w:t xml:space="preserve">4,0</w:t>
            </w:r>
          </w:p>
        </w:tc>
      </w:tr>
      <w:tr>
        <w:tc>
          <w:tcPr>
            <w:tcW w:w="5216" w:type="dxa"/>
          </w:tcPr>
          <w:p>
            <w:pPr>
              <w:pStyle w:val="0"/>
              <w:jc w:val="both"/>
            </w:pPr>
            <w:r>
              <w:rPr>
                <w:sz w:val="20"/>
              </w:rPr>
              <w:t xml:space="preserve">трахеи, бронхов, легкого</w:t>
            </w:r>
          </w:p>
        </w:tc>
        <w:tc>
          <w:tcPr>
            <w:tcW w:w="850" w:type="dxa"/>
          </w:tcPr>
          <w:p>
            <w:pPr>
              <w:pStyle w:val="0"/>
              <w:jc w:val="center"/>
            </w:pPr>
            <w:r>
              <w:rPr>
                <w:sz w:val="20"/>
              </w:rPr>
              <w:t xml:space="preserve">33,2</w:t>
            </w:r>
          </w:p>
        </w:tc>
        <w:tc>
          <w:tcPr>
            <w:tcW w:w="850" w:type="dxa"/>
          </w:tcPr>
          <w:p>
            <w:pPr>
              <w:pStyle w:val="0"/>
              <w:jc w:val="center"/>
            </w:pPr>
            <w:r>
              <w:rPr>
                <w:sz w:val="20"/>
              </w:rPr>
              <w:t xml:space="preserve">39,8</w:t>
            </w:r>
          </w:p>
        </w:tc>
        <w:tc>
          <w:tcPr>
            <w:tcW w:w="846" w:type="dxa"/>
          </w:tcPr>
          <w:p>
            <w:pPr>
              <w:pStyle w:val="0"/>
              <w:jc w:val="center"/>
            </w:pPr>
            <w:r>
              <w:rPr>
                <w:sz w:val="20"/>
              </w:rPr>
              <w:t xml:space="preserve">44,72</w:t>
            </w:r>
          </w:p>
        </w:tc>
        <w:tc>
          <w:tcPr>
            <w:tcW w:w="1304" w:type="dxa"/>
          </w:tcPr>
          <w:p>
            <w:pPr>
              <w:pStyle w:val="0"/>
              <w:jc w:val="center"/>
            </w:pPr>
            <w:r>
              <w:rPr>
                <w:sz w:val="20"/>
              </w:rPr>
              <w:t xml:space="preserve">34,7</w:t>
            </w:r>
          </w:p>
        </w:tc>
      </w:tr>
      <w:tr>
        <w:tc>
          <w:tcPr>
            <w:tcW w:w="5216" w:type="dxa"/>
          </w:tcPr>
          <w:p>
            <w:pPr>
              <w:pStyle w:val="0"/>
              <w:jc w:val="both"/>
            </w:pPr>
            <w:r>
              <w:rPr>
                <w:sz w:val="20"/>
              </w:rPr>
              <w:t xml:space="preserve">костей и суставных хрящей</w:t>
            </w:r>
          </w:p>
        </w:tc>
        <w:tc>
          <w:tcPr>
            <w:tcW w:w="850" w:type="dxa"/>
          </w:tcPr>
          <w:p>
            <w:pPr>
              <w:pStyle w:val="0"/>
              <w:jc w:val="center"/>
            </w:pPr>
            <w:r>
              <w:rPr>
                <w:sz w:val="20"/>
              </w:rPr>
              <w:t xml:space="preserve">45,2</w:t>
            </w:r>
          </w:p>
        </w:tc>
        <w:tc>
          <w:tcPr>
            <w:tcW w:w="850" w:type="dxa"/>
          </w:tcPr>
          <w:p>
            <w:pPr>
              <w:pStyle w:val="0"/>
              <w:jc w:val="center"/>
            </w:pPr>
            <w:r>
              <w:rPr>
                <w:sz w:val="20"/>
              </w:rPr>
              <w:t xml:space="preserve">52,6</w:t>
            </w:r>
          </w:p>
        </w:tc>
        <w:tc>
          <w:tcPr>
            <w:tcW w:w="846" w:type="dxa"/>
          </w:tcPr>
          <w:p>
            <w:pPr>
              <w:pStyle w:val="0"/>
              <w:jc w:val="center"/>
            </w:pPr>
            <w:r>
              <w:rPr>
                <w:sz w:val="20"/>
              </w:rPr>
              <w:t xml:space="preserve">60,98</w:t>
            </w:r>
          </w:p>
        </w:tc>
        <w:tc>
          <w:tcPr>
            <w:tcW w:w="1304" w:type="dxa"/>
          </w:tcPr>
          <w:p>
            <w:pPr>
              <w:pStyle w:val="0"/>
              <w:jc w:val="center"/>
            </w:pPr>
            <w:r>
              <w:rPr>
                <w:sz w:val="20"/>
              </w:rPr>
              <w:t xml:space="preserve">34,9</w:t>
            </w:r>
          </w:p>
        </w:tc>
      </w:tr>
      <w:tr>
        <w:tc>
          <w:tcPr>
            <w:tcW w:w="5216" w:type="dxa"/>
          </w:tcPr>
          <w:p>
            <w:pPr>
              <w:pStyle w:val="0"/>
              <w:jc w:val="both"/>
            </w:pPr>
            <w:r>
              <w:rPr>
                <w:sz w:val="20"/>
              </w:rPr>
              <w:t xml:space="preserve">меланомы кожи</w:t>
            </w:r>
          </w:p>
        </w:tc>
        <w:tc>
          <w:tcPr>
            <w:tcW w:w="850" w:type="dxa"/>
          </w:tcPr>
          <w:p>
            <w:pPr>
              <w:pStyle w:val="0"/>
              <w:jc w:val="center"/>
            </w:pPr>
            <w:r>
              <w:rPr>
                <w:sz w:val="20"/>
              </w:rPr>
              <w:t xml:space="preserve">54,3</w:t>
            </w:r>
          </w:p>
        </w:tc>
        <w:tc>
          <w:tcPr>
            <w:tcW w:w="850" w:type="dxa"/>
          </w:tcPr>
          <w:p>
            <w:pPr>
              <w:pStyle w:val="0"/>
              <w:jc w:val="center"/>
            </w:pPr>
            <w:r>
              <w:rPr>
                <w:sz w:val="20"/>
              </w:rPr>
              <w:t xml:space="preserve">47,5</w:t>
            </w:r>
          </w:p>
        </w:tc>
        <w:tc>
          <w:tcPr>
            <w:tcW w:w="846" w:type="dxa"/>
          </w:tcPr>
          <w:p>
            <w:pPr>
              <w:pStyle w:val="0"/>
              <w:jc w:val="center"/>
            </w:pPr>
            <w:r>
              <w:rPr>
                <w:sz w:val="20"/>
              </w:rPr>
              <w:t xml:space="preserve">46,99</w:t>
            </w:r>
          </w:p>
        </w:tc>
        <w:tc>
          <w:tcPr>
            <w:tcW w:w="1304" w:type="dxa"/>
          </w:tcPr>
          <w:p>
            <w:pPr>
              <w:pStyle w:val="0"/>
              <w:jc w:val="center"/>
            </w:pPr>
            <w:r>
              <w:rPr>
                <w:sz w:val="20"/>
              </w:rPr>
              <w:t xml:space="preserve">-13,5</w:t>
            </w:r>
          </w:p>
        </w:tc>
      </w:tr>
      <w:tr>
        <w:tc>
          <w:tcPr>
            <w:tcW w:w="5216" w:type="dxa"/>
          </w:tcPr>
          <w:p>
            <w:pPr>
              <w:pStyle w:val="0"/>
              <w:jc w:val="both"/>
            </w:pPr>
            <w:r>
              <w:rPr>
                <w:sz w:val="20"/>
              </w:rPr>
              <w:t xml:space="preserve">других новообразований кожи</w:t>
            </w:r>
          </w:p>
        </w:tc>
        <w:tc>
          <w:tcPr>
            <w:tcW w:w="850" w:type="dxa"/>
          </w:tcPr>
          <w:p>
            <w:pPr>
              <w:pStyle w:val="0"/>
              <w:jc w:val="center"/>
            </w:pPr>
            <w:r>
              <w:rPr>
                <w:sz w:val="20"/>
              </w:rPr>
              <w:t xml:space="preserve">40,3</w:t>
            </w:r>
          </w:p>
        </w:tc>
        <w:tc>
          <w:tcPr>
            <w:tcW w:w="850" w:type="dxa"/>
          </w:tcPr>
          <w:p>
            <w:pPr>
              <w:pStyle w:val="0"/>
              <w:jc w:val="center"/>
            </w:pPr>
            <w:r>
              <w:rPr>
                <w:sz w:val="20"/>
              </w:rPr>
              <w:t xml:space="preserve">34,3</w:t>
            </w:r>
          </w:p>
        </w:tc>
        <w:tc>
          <w:tcPr>
            <w:tcW w:w="846" w:type="dxa"/>
          </w:tcPr>
          <w:p>
            <w:pPr>
              <w:pStyle w:val="0"/>
              <w:jc w:val="center"/>
            </w:pPr>
            <w:r>
              <w:rPr>
                <w:sz w:val="20"/>
              </w:rPr>
              <w:t xml:space="preserve">37,82</w:t>
            </w:r>
          </w:p>
        </w:tc>
        <w:tc>
          <w:tcPr>
            <w:tcW w:w="1304" w:type="dxa"/>
          </w:tcPr>
          <w:p>
            <w:pPr>
              <w:pStyle w:val="0"/>
              <w:jc w:val="center"/>
            </w:pPr>
            <w:r>
              <w:rPr>
                <w:sz w:val="20"/>
              </w:rPr>
              <w:t xml:space="preserve">-6,2</w:t>
            </w:r>
          </w:p>
        </w:tc>
      </w:tr>
      <w:tr>
        <w:tc>
          <w:tcPr>
            <w:tcW w:w="5216" w:type="dxa"/>
          </w:tcPr>
          <w:p>
            <w:pPr>
              <w:pStyle w:val="0"/>
              <w:jc w:val="both"/>
            </w:pPr>
            <w:r>
              <w:rPr>
                <w:sz w:val="20"/>
              </w:rPr>
              <w:t xml:space="preserve">соединительной и других мягких тканей</w:t>
            </w:r>
          </w:p>
        </w:tc>
        <w:tc>
          <w:tcPr>
            <w:tcW w:w="850" w:type="dxa"/>
          </w:tcPr>
          <w:p>
            <w:pPr>
              <w:pStyle w:val="0"/>
              <w:jc w:val="center"/>
            </w:pPr>
            <w:r>
              <w:rPr>
                <w:sz w:val="20"/>
              </w:rPr>
              <w:t xml:space="preserve">49,2</w:t>
            </w:r>
          </w:p>
        </w:tc>
        <w:tc>
          <w:tcPr>
            <w:tcW w:w="850" w:type="dxa"/>
          </w:tcPr>
          <w:p>
            <w:pPr>
              <w:pStyle w:val="0"/>
              <w:jc w:val="center"/>
            </w:pPr>
            <w:r>
              <w:rPr>
                <w:sz w:val="20"/>
              </w:rPr>
              <w:t xml:space="preserve">48,6</w:t>
            </w:r>
          </w:p>
        </w:tc>
        <w:tc>
          <w:tcPr>
            <w:tcW w:w="846" w:type="dxa"/>
          </w:tcPr>
          <w:p>
            <w:pPr>
              <w:pStyle w:val="0"/>
              <w:jc w:val="center"/>
            </w:pPr>
            <w:r>
              <w:rPr>
                <w:sz w:val="20"/>
              </w:rPr>
              <w:t xml:space="preserve">56,76</w:t>
            </w:r>
          </w:p>
        </w:tc>
        <w:tc>
          <w:tcPr>
            <w:tcW w:w="1304" w:type="dxa"/>
          </w:tcPr>
          <w:p>
            <w:pPr>
              <w:pStyle w:val="0"/>
              <w:jc w:val="center"/>
            </w:pPr>
            <w:r>
              <w:rPr>
                <w:sz w:val="20"/>
              </w:rPr>
              <w:t xml:space="preserve">15,4</w:t>
            </w:r>
          </w:p>
        </w:tc>
      </w:tr>
      <w:tr>
        <w:tc>
          <w:tcPr>
            <w:tcW w:w="5216" w:type="dxa"/>
          </w:tcPr>
          <w:p>
            <w:pPr>
              <w:pStyle w:val="0"/>
              <w:jc w:val="both"/>
            </w:pPr>
            <w:r>
              <w:rPr>
                <w:sz w:val="20"/>
              </w:rPr>
              <w:t xml:space="preserve">молочной железы</w:t>
            </w:r>
          </w:p>
        </w:tc>
        <w:tc>
          <w:tcPr>
            <w:tcW w:w="850" w:type="dxa"/>
          </w:tcPr>
          <w:p>
            <w:pPr>
              <w:pStyle w:val="0"/>
              <w:jc w:val="center"/>
            </w:pPr>
            <w:r>
              <w:rPr>
                <w:sz w:val="20"/>
              </w:rPr>
              <w:t xml:space="preserve">58,3</w:t>
            </w:r>
          </w:p>
        </w:tc>
        <w:tc>
          <w:tcPr>
            <w:tcW w:w="850" w:type="dxa"/>
          </w:tcPr>
          <w:p>
            <w:pPr>
              <w:pStyle w:val="0"/>
              <w:jc w:val="center"/>
            </w:pPr>
            <w:r>
              <w:rPr>
                <w:sz w:val="20"/>
              </w:rPr>
              <w:t xml:space="preserve">59,6</w:t>
            </w:r>
          </w:p>
        </w:tc>
        <w:tc>
          <w:tcPr>
            <w:tcW w:w="846" w:type="dxa"/>
          </w:tcPr>
          <w:p>
            <w:pPr>
              <w:pStyle w:val="0"/>
              <w:jc w:val="center"/>
            </w:pPr>
            <w:r>
              <w:rPr>
                <w:sz w:val="20"/>
              </w:rPr>
              <w:t xml:space="preserve">60,48</w:t>
            </w:r>
          </w:p>
        </w:tc>
        <w:tc>
          <w:tcPr>
            <w:tcW w:w="1304" w:type="dxa"/>
          </w:tcPr>
          <w:p>
            <w:pPr>
              <w:pStyle w:val="0"/>
              <w:jc w:val="center"/>
            </w:pPr>
            <w:r>
              <w:rPr>
                <w:sz w:val="20"/>
              </w:rPr>
              <w:t xml:space="preserve">3,7</w:t>
            </w:r>
          </w:p>
        </w:tc>
      </w:tr>
      <w:tr>
        <w:tc>
          <w:tcPr>
            <w:tcW w:w="5216" w:type="dxa"/>
          </w:tcPr>
          <w:p>
            <w:pPr>
              <w:pStyle w:val="0"/>
              <w:jc w:val="both"/>
            </w:pPr>
            <w:r>
              <w:rPr>
                <w:sz w:val="20"/>
              </w:rPr>
              <w:t xml:space="preserve">шейки матки</w:t>
            </w:r>
          </w:p>
        </w:tc>
        <w:tc>
          <w:tcPr>
            <w:tcW w:w="850" w:type="dxa"/>
          </w:tcPr>
          <w:p>
            <w:pPr>
              <w:pStyle w:val="0"/>
              <w:jc w:val="center"/>
            </w:pPr>
            <w:r>
              <w:rPr>
                <w:sz w:val="20"/>
              </w:rPr>
              <w:t xml:space="preserve">53,5</w:t>
            </w:r>
          </w:p>
        </w:tc>
        <w:tc>
          <w:tcPr>
            <w:tcW w:w="850" w:type="dxa"/>
          </w:tcPr>
          <w:p>
            <w:pPr>
              <w:pStyle w:val="0"/>
              <w:jc w:val="center"/>
            </w:pPr>
            <w:r>
              <w:rPr>
                <w:sz w:val="20"/>
              </w:rPr>
              <w:t xml:space="preserve">58,9</w:t>
            </w:r>
          </w:p>
        </w:tc>
        <w:tc>
          <w:tcPr>
            <w:tcW w:w="846" w:type="dxa"/>
          </w:tcPr>
          <w:p>
            <w:pPr>
              <w:pStyle w:val="0"/>
              <w:jc w:val="center"/>
            </w:pPr>
            <w:r>
              <w:rPr>
                <w:sz w:val="20"/>
              </w:rPr>
              <w:t xml:space="preserve">60,20</w:t>
            </w:r>
          </w:p>
        </w:tc>
        <w:tc>
          <w:tcPr>
            <w:tcW w:w="1304" w:type="dxa"/>
          </w:tcPr>
          <w:p>
            <w:pPr>
              <w:pStyle w:val="0"/>
              <w:jc w:val="center"/>
            </w:pPr>
            <w:r>
              <w:rPr>
                <w:sz w:val="20"/>
              </w:rPr>
              <w:t xml:space="preserve">12,5</w:t>
            </w:r>
          </w:p>
        </w:tc>
      </w:tr>
      <w:tr>
        <w:tc>
          <w:tcPr>
            <w:tcW w:w="5216" w:type="dxa"/>
          </w:tcPr>
          <w:p>
            <w:pPr>
              <w:pStyle w:val="0"/>
              <w:jc w:val="both"/>
            </w:pPr>
            <w:r>
              <w:rPr>
                <w:sz w:val="20"/>
              </w:rPr>
              <w:t xml:space="preserve">тела матки</w:t>
            </w:r>
          </w:p>
        </w:tc>
        <w:tc>
          <w:tcPr>
            <w:tcW w:w="850" w:type="dxa"/>
          </w:tcPr>
          <w:p>
            <w:pPr>
              <w:pStyle w:val="0"/>
              <w:jc w:val="center"/>
            </w:pPr>
            <w:r>
              <w:rPr>
                <w:sz w:val="20"/>
              </w:rPr>
              <w:t xml:space="preserve">52,1</w:t>
            </w:r>
          </w:p>
        </w:tc>
        <w:tc>
          <w:tcPr>
            <w:tcW w:w="850" w:type="dxa"/>
          </w:tcPr>
          <w:p>
            <w:pPr>
              <w:pStyle w:val="0"/>
              <w:jc w:val="center"/>
            </w:pPr>
            <w:r>
              <w:rPr>
                <w:sz w:val="20"/>
              </w:rPr>
              <w:t xml:space="preserve">52,8</w:t>
            </w:r>
          </w:p>
        </w:tc>
        <w:tc>
          <w:tcPr>
            <w:tcW w:w="846" w:type="dxa"/>
          </w:tcPr>
          <w:p>
            <w:pPr>
              <w:pStyle w:val="0"/>
              <w:jc w:val="center"/>
            </w:pPr>
            <w:r>
              <w:rPr>
                <w:sz w:val="20"/>
              </w:rPr>
              <w:t xml:space="preserve">55,58</w:t>
            </w:r>
          </w:p>
        </w:tc>
        <w:tc>
          <w:tcPr>
            <w:tcW w:w="1304" w:type="dxa"/>
          </w:tcPr>
          <w:p>
            <w:pPr>
              <w:pStyle w:val="0"/>
              <w:jc w:val="center"/>
            </w:pPr>
            <w:r>
              <w:rPr>
                <w:sz w:val="20"/>
              </w:rPr>
              <w:t xml:space="preserve">6,7</w:t>
            </w:r>
          </w:p>
        </w:tc>
      </w:tr>
      <w:tr>
        <w:tc>
          <w:tcPr>
            <w:tcW w:w="5216" w:type="dxa"/>
          </w:tcPr>
          <w:p>
            <w:pPr>
              <w:pStyle w:val="0"/>
              <w:jc w:val="both"/>
            </w:pPr>
            <w:r>
              <w:rPr>
                <w:sz w:val="20"/>
              </w:rPr>
              <w:t xml:space="preserve">яичника</w:t>
            </w:r>
          </w:p>
        </w:tc>
        <w:tc>
          <w:tcPr>
            <w:tcW w:w="850" w:type="dxa"/>
          </w:tcPr>
          <w:p>
            <w:pPr>
              <w:pStyle w:val="0"/>
              <w:jc w:val="center"/>
            </w:pPr>
            <w:r>
              <w:rPr>
                <w:sz w:val="20"/>
              </w:rPr>
              <w:t xml:space="preserve">53,3</w:t>
            </w:r>
          </w:p>
        </w:tc>
        <w:tc>
          <w:tcPr>
            <w:tcW w:w="850" w:type="dxa"/>
          </w:tcPr>
          <w:p>
            <w:pPr>
              <w:pStyle w:val="0"/>
              <w:jc w:val="center"/>
            </w:pPr>
            <w:r>
              <w:rPr>
                <w:sz w:val="20"/>
              </w:rPr>
              <w:t xml:space="preserve">56,4</w:t>
            </w:r>
          </w:p>
        </w:tc>
        <w:tc>
          <w:tcPr>
            <w:tcW w:w="846" w:type="dxa"/>
          </w:tcPr>
          <w:p>
            <w:pPr>
              <w:pStyle w:val="0"/>
              <w:jc w:val="center"/>
            </w:pPr>
            <w:r>
              <w:rPr>
                <w:sz w:val="20"/>
              </w:rPr>
              <w:t xml:space="preserve">58,15</w:t>
            </w:r>
          </w:p>
        </w:tc>
        <w:tc>
          <w:tcPr>
            <w:tcW w:w="1304" w:type="dxa"/>
          </w:tcPr>
          <w:p>
            <w:pPr>
              <w:pStyle w:val="0"/>
              <w:jc w:val="center"/>
            </w:pPr>
            <w:r>
              <w:rPr>
                <w:sz w:val="20"/>
              </w:rPr>
              <w:t xml:space="preserve">9,1</w:t>
            </w:r>
          </w:p>
        </w:tc>
      </w:tr>
      <w:tr>
        <w:tc>
          <w:tcPr>
            <w:tcW w:w="5216" w:type="dxa"/>
          </w:tcPr>
          <w:p>
            <w:pPr>
              <w:pStyle w:val="0"/>
              <w:jc w:val="both"/>
            </w:pPr>
            <w:r>
              <w:rPr>
                <w:sz w:val="20"/>
              </w:rPr>
              <w:t xml:space="preserve">предстательной железы</w:t>
            </w:r>
          </w:p>
        </w:tc>
        <w:tc>
          <w:tcPr>
            <w:tcW w:w="850" w:type="dxa"/>
          </w:tcPr>
          <w:p>
            <w:pPr>
              <w:pStyle w:val="0"/>
              <w:jc w:val="center"/>
            </w:pPr>
            <w:r>
              <w:rPr>
                <w:sz w:val="20"/>
              </w:rPr>
              <w:t xml:space="preserve">36,0</w:t>
            </w:r>
          </w:p>
        </w:tc>
        <w:tc>
          <w:tcPr>
            <w:tcW w:w="850" w:type="dxa"/>
          </w:tcPr>
          <w:p>
            <w:pPr>
              <w:pStyle w:val="0"/>
              <w:jc w:val="center"/>
            </w:pPr>
            <w:r>
              <w:rPr>
                <w:sz w:val="20"/>
              </w:rPr>
              <w:t xml:space="preserve">37,9</w:t>
            </w:r>
          </w:p>
        </w:tc>
        <w:tc>
          <w:tcPr>
            <w:tcW w:w="846" w:type="dxa"/>
          </w:tcPr>
          <w:p>
            <w:pPr>
              <w:pStyle w:val="0"/>
              <w:jc w:val="center"/>
            </w:pPr>
            <w:r>
              <w:rPr>
                <w:sz w:val="20"/>
              </w:rPr>
              <w:t xml:space="preserve">39,72</w:t>
            </w:r>
          </w:p>
        </w:tc>
        <w:tc>
          <w:tcPr>
            <w:tcW w:w="1304" w:type="dxa"/>
          </w:tcPr>
          <w:p>
            <w:pPr>
              <w:pStyle w:val="0"/>
              <w:jc w:val="center"/>
            </w:pPr>
            <w:r>
              <w:rPr>
                <w:sz w:val="20"/>
              </w:rPr>
              <w:t xml:space="preserve">10,3</w:t>
            </w:r>
          </w:p>
        </w:tc>
      </w:tr>
      <w:tr>
        <w:tc>
          <w:tcPr>
            <w:tcW w:w="5216" w:type="dxa"/>
          </w:tcPr>
          <w:p>
            <w:pPr>
              <w:pStyle w:val="0"/>
              <w:jc w:val="both"/>
            </w:pPr>
            <w:r>
              <w:rPr>
                <w:sz w:val="20"/>
              </w:rPr>
              <w:t xml:space="preserve">почки</w:t>
            </w:r>
          </w:p>
        </w:tc>
        <w:tc>
          <w:tcPr>
            <w:tcW w:w="850" w:type="dxa"/>
          </w:tcPr>
          <w:p>
            <w:pPr>
              <w:pStyle w:val="0"/>
              <w:jc w:val="center"/>
            </w:pPr>
            <w:r>
              <w:rPr>
                <w:sz w:val="20"/>
              </w:rPr>
              <w:t xml:space="preserve">56,2</w:t>
            </w:r>
          </w:p>
        </w:tc>
        <w:tc>
          <w:tcPr>
            <w:tcW w:w="850" w:type="dxa"/>
          </w:tcPr>
          <w:p>
            <w:pPr>
              <w:pStyle w:val="0"/>
              <w:jc w:val="center"/>
            </w:pPr>
            <w:r>
              <w:rPr>
                <w:sz w:val="20"/>
              </w:rPr>
              <w:t xml:space="preserve">58,6</w:t>
            </w:r>
          </w:p>
        </w:tc>
        <w:tc>
          <w:tcPr>
            <w:tcW w:w="846" w:type="dxa"/>
          </w:tcPr>
          <w:p>
            <w:pPr>
              <w:pStyle w:val="0"/>
              <w:jc w:val="center"/>
            </w:pPr>
            <w:r>
              <w:rPr>
                <w:sz w:val="20"/>
              </w:rPr>
              <w:t xml:space="preserve">58,77</w:t>
            </w:r>
          </w:p>
        </w:tc>
        <w:tc>
          <w:tcPr>
            <w:tcW w:w="1304" w:type="dxa"/>
          </w:tcPr>
          <w:p>
            <w:pPr>
              <w:pStyle w:val="0"/>
              <w:jc w:val="center"/>
            </w:pPr>
            <w:r>
              <w:rPr>
                <w:sz w:val="20"/>
              </w:rPr>
              <w:t xml:space="preserve">4,6</w:t>
            </w:r>
          </w:p>
        </w:tc>
      </w:tr>
      <w:tr>
        <w:tc>
          <w:tcPr>
            <w:tcW w:w="5216" w:type="dxa"/>
          </w:tcPr>
          <w:p>
            <w:pPr>
              <w:pStyle w:val="0"/>
              <w:jc w:val="both"/>
            </w:pPr>
            <w:r>
              <w:rPr>
                <w:sz w:val="20"/>
              </w:rPr>
              <w:t xml:space="preserve">мочевого пузыря</w:t>
            </w:r>
          </w:p>
        </w:tc>
        <w:tc>
          <w:tcPr>
            <w:tcW w:w="850" w:type="dxa"/>
          </w:tcPr>
          <w:p>
            <w:pPr>
              <w:pStyle w:val="0"/>
              <w:jc w:val="center"/>
            </w:pPr>
            <w:r>
              <w:rPr>
                <w:sz w:val="20"/>
              </w:rPr>
              <w:t xml:space="preserve">49,9</w:t>
            </w:r>
          </w:p>
        </w:tc>
        <w:tc>
          <w:tcPr>
            <w:tcW w:w="850" w:type="dxa"/>
          </w:tcPr>
          <w:p>
            <w:pPr>
              <w:pStyle w:val="0"/>
              <w:jc w:val="center"/>
            </w:pPr>
            <w:r>
              <w:rPr>
                <w:sz w:val="20"/>
              </w:rPr>
              <w:t xml:space="preserve">49,4</w:t>
            </w:r>
          </w:p>
        </w:tc>
        <w:tc>
          <w:tcPr>
            <w:tcW w:w="846" w:type="dxa"/>
          </w:tcPr>
          <w:p>
            <w:pPr>
              <w:pStyle w:val="0"/>
              <w:jc w:val="center"/>
            </w:pPr>
            <w:r>
              <w:rPr>
                <w:sz w:val="20"/>
              </w:rPr>
              <w:t xml:space="preserve">50,00</w:t>
            </w:r>
          </w:p>
        </w:tc>
        <w:tc>
          <w:tcPr>
            <w:tcW w:w="1304" w:type="dxa"/>
          </w:tcPr>
          <w:p>
            <w:pPr>
              <w:pStyle w:val="0"/>
              <w:jc w:val="center"/>
            </w:pPr>
            <w:r>
              <w:rPr>
                <w:sz w:val="20"/>
              </w:rPr>
              <w:t xml:space="preserve">0,2</w:t>
            </w:r>
          </w:p>
        </w:tc>
      </w:tr>
      <w:tr>
        <w:tc>
          <w:tcPr>
            <w:tcW w:w="5216" w:type="dxa"/>
          </w:tcPr>
          <w:p>
            <w:pPr>
              <w:pStyle w:val="0"/>
              <w:jc w:val="both"/>
            </w:pPr>
            <w:r>
              <w:rPr>
                <w:sz w:val="20"/>
              </w:rPr>
              <w:t xml:space="preserve">щитовидной железы</w:t>
            </w:r>
          </w:p>
        </w:tc>
        <w:tc>
          <w:tcPr>
            <w:tcW w:w="850" w:type="dxa"/>
          </w:tcPr>
          <w:p>
            <w:pPr>
              <w:pStyle w:val="0"/>
              <w:jc w:val="center"/>
            </w:pPr>
            <w:r>
              <w:rPr>
                <w:sz w:val="20"/>
              </w:rPr>
              <w:t xml:space="preserve">42,9</w:t>
            </w:r>
          </w:p>
        </w:tc>
        <w:tc>
          <w:tcPr>
            <w:tcW w:w="850" w:type="dxa"/>
          </w:tcPr>
          <w:p>
            <w:pPr>
              <w:pStyle w:val="0"/>
              <w:jc w:val="center"/>
            </w:pPr>
            <w:r>
              <w:rPr>
                <w:sz w:val="20"/>
              </w:rPr>
              <w:t xml:space="preserve">50,0</w:t>
            </w:r>
          </w:p>
        </w:tc>
        <w:tc>
          <w:tcPr>
            <w:tcW w:w="846" w:type="dxa"/>
          </w:tcPr>
          <w:p>
            <w:pPr>
              <w:pStyle w:val="0"/>
              <w:jc w:val="center"/>
            </w:pPr>
            <w:r>
              <w:rPr>
                <w:sz w:val="20"/>
              </w:rPr>
              <w:t xml:space="preserve">51,58</w:t>
            </w:r>
          </w:p>
        </w:tc>
        <w:tc>
          <w:tcPr>
            <w:tcW w:w="1304" w:type="dxa"/>
          </w:tcPr>
          <w:p>
            <w:pPr>
              <w:pStyle w:val="0"/>
              <w:jc w:val="center"/>
            </w:pPr>
            <w:r>
              <w:rPr>
                <w:sz w:val="20"/>
              </w:rPr>
              <w:t xml:space="preserve">20,2</w:t>
            </w:r>
          </w:p>
        </w:tc>
      </w:tr>
      <w:tr>
        <w:tc>
          <w:tcPr>
            <w:tcW w:w="5216" w:type="dxa"/>
          </w:tcPr>
          <w:p>
            <w:pPr>
              <w:pStyle w:val="0"/>
              <w:jc w:val="both"/>
            </w:pPr>
            <w:r>
              <w:rPr>
                <w:sz w:val="20"/>
              </w:rPr>
              <w:t xml:space="preserve">злокачественных лимфом</w:t>
            </w:r>
          </w:p>
        </w:tc>
        <w:tc>
          <w:tcPr>
            <w:tcW w:w="850" w:type="dxa"/>
          </w:tcPr>
          <w:p>
            <w:pPr>
              <w:pStyle w:val="0"/>
              <w:jc w:val="center"/>
            </w:pPr>
            <w:r>
              <w:rPr>
                <w:sz w:val="20"/>
              </w:rPr>
              <w:t xml:space="preserve">53,6</w:t>
            </w:r>
          </w:p>
        </w:tc>
        <w:tc>
          <w:tcPr>
            <w:tcW w:w="850" w:type="dxa"/>
          </w:tcPr>
          <w:p>
            <w:pPr>
              <w:pStyle w:val="0"/>
              <w:jc w:val="center"/>
            </w:pPr>
            <w:r>
              <w:rPr>
                <w:sz w:val="20"/>
              </w:rPr>
              <w:t xml:space="preserve">44,3</w:t>
            </w:r>
          </w:p>
        </w:tc>
        <w:tc>
          <w:tcPr>
            <w:tcW w:w="846" w:type="dxa"/>
          </w:tcPr>
          <w:p>
            <w:pPr>
              <w:pStyle w:val="0"/>
              <w:jc w:val="center"/>
            </w:pPr>
            <w:r>
              <w:rPr>
                <w:sz w:val="20"/>
              </w:rPr>
              <w:t xml:space="preserve">51,72</w:t>
            </w:r>
          </w:p>
        </w:tc>
        <w:tc>
          <w:tcPr>
            <w:tcW w:w="1304" w:type="dxa"/>
          </w:tcPr>
          <w:p>
            <w:pPr>
              <w:pStyle w:val="0"/>
              <w:jc w:val="center"/>
            </w:pPr>
            <w:r>
              <w:rPr>
                <w:sz w:val="20"/>
              </w:rPr>
              <w:t xml:space="preserve">-3,5</w:t>
            </w:r>
          </w:p>
        </w:tc>
      </w:tr>
      <w:tr>
        <w:tc>
          <w:tcPr>
            <w:tcW w:w="5216" w:type="dxa"/>
          </w:tcPr>
          <w:p>
            <w:pPr>
              <w:pStyle w:val="0"/>
              <w:jc w:val="both"/>
            </w:pPr>
            <w:r>
              <w:rPr>
                <w:sz w:val="20"/>
              </w:rPr>
              <w:t xml:space="preserve">лейкозов</w:t>
            </w:r>
          </w:p>
        </w:tc>
        <w:tc>
          <w:tcPr>
            <w:tcW w:w="850" w:type="dxa"/>
          </w:tcPr>
          <w:p>
            <w:pPr>
              <w:pStyle w:val="0"/>
              <w:jc w:val="center"/>
            </w:pPr>
            <w:r>
              <w:rPr>
                <w:sz w:val="20"/>
              </w:rPr>
              <w:t xml:space="preserve">41,1</w:t>
            </w:r>
          </w:p>
        </w:tc>
        <w:tc>
          <w:tcPr>
            <w:tcW w:w="850" w:type="dxa"/>
          </w:tcPr>
          <w:p>
            <w:pPr>
              <w:pStyle w:val="0"/>
              <w:jc w:val="center"/>
            </w:pPr>
            <w:r>
              <w:rPr>
                <w:sz w:val="20"/>
              </w:rPr>
              <w:t xml:space="preserve">55,7</w:t>
            </w:r>
          </w:p>
        </w:tc>
        <w:tc>
          <w:tcPr>
            <w:tcW w:w="846" w:type="dxa"/>
          </w:tcPr>
          <w:p>
            <w:pPr>
              <w:pStyle w:val="0"/>
              <w:jc w:val="center"/>
            </w:pPr>
            <w:r>
              <w:rPr>
                <w:sz w:val="20"/>
              </w:rPr>
              <w:t xml:space="preserve">51,9</w:t>
            </w:r>
          </w:p>
        </w:tc>
        <w:tc>
          <w:tcPr>
            <w:tcW w:w="1304" w:type="dxa"/>
          </w:tcPr>
          <w:p>
            <w:pPr>
              <w:pStyle w:val="0"/>
              <w:jc w:val="center"/>
            </w:pPr>
            <w:r>
              <w:rPr>
                <w:sz w:val="20"/>
              </w:rPr>
              <w:t xml:space="preserve">26,3</w:t>
            </w:r>
          </w:p>
        </w:tc>
      </w:tr>
    </w:tbl>
    <w:p>
      <w:pPr>
        <w:pStyle w:val="0"/>
        <w:jc w:val="both"/>
      </w:pPr>
      <w:r>
        <w:rPr>
          <w:sz w:val="20"/>
        </w:rPr>
      </w:r>
    </w:p>
    <w:p>
      <w:pPr>
        <w:pStyle w:val="0"/>
        <w:ind w:firstLine="540"/>
        <w:jc w:val="both"/>
      </w:pPr>
      <w:r>
        <w:rPr>
          <w:sz w:val="20"/>
        </w:rPr>
        <w:t xml:space="preserve">Доля пациентов, состоящих на учете 5 лет и более, постоянно растет. Накопление контингента онкологических больных проводится только с ноября 2015 г.</w:t>
      </w:r>
    </w:p>
    <w:p>
      <w:pPr>
        <w:pStyle w:val="0"/>
        <w:spacing w:before="200" w:line-rule="auto"/>
        <w:ind w:firstLine="540"/>
        <w:jc w:val="both"/>
      </w:pPr>
      <w:r>
        <w:rPr>
          <w:sz w:val="20"/>
        </w:rPr>
        <w:t xml:space="preserve">Распространенность злокачественных новообразований в городе Севастополе по итогам 2022 года составила 2535,4 чел. на 100 тыс. населения, что на 9,7% ниже, чем в 2020 году (2384,8 чел., 2020 год - 2571 чел. на 100 тыс. населения) и на 5,7% ниже, чем в среднем по Российской Федерации (2690,5 чел., на 14,4% ниже, чем по Российской Федерации).</w:t>
      </w:r>
    </w:p>
    <w:p>
      <w:pPr>
        <w:pStyle w:val="0"/>
        <w:spacing w:before="200" w:line-rule="auto"/>
        <w:ind w:firstLine="540"/>
        <w:jc w:val="both"/>
      </w:pPr>
      <w:r>
        <w:rPr>
          <w:sz w:val="20"/>
        </w:rPr>
        <w:t xml:space="preserve">На конец 2022 года контингент больных, состоящих на учете, составил 13208. Из них сельские жители составили 3,7% (2021 год - 3,6%).</w:t>
      </w:r>
    </w:p>
    <w:p>
      <w:pPr>
        <w:pStyle w:val="0"/>
        <w:jc w:val="right"/>
      </w:pPr>
      <w:r>
        <w:rPr>
          <w:sz w:val="20"/>
        </w:rPr>
      </w:r>
    </w:p>
    <w:p>
      <w:pPr>
        <w:pStyle w:val="0"/>
        <w:jc w:val="right"/>
      </w:pPr>
      <w:r>
        <w:rPr>
          <w:sz w:val="20"/>
        </w:rPr>
        <w:t xml:space="preserve">Таблица N 12</w:t>
      </w:r>
    </w:p>
    <w:p>
      <w:pPr>
        <w:pStyle w:val="0"/>
        <w:jc w:val="center"/>
      </w:pPr>
      <w:r>
        <w:rPr>
          <w:sz w:val="20"/>
        </w:rPr>
      </w:r>
    </w:p>
    <w:p>
      <w:pPr>
        <w:pStyle w:val="0"/>
        <w:jc w:val="center"/>
      </w:pPr>
      <w:r>
        <w:rPr>
          <w:sz w:val="20"/>
        </w:rPr>
        <w:t xml:space="preserve">Распространенность злокачественных новообразований</w:t>
      </w:r>
    </w:p>
    <w:p>
      <w:pPr>
        <w:pStyle w:val="0"/>
        <w:jc w:val="center"/>
      </w:pPr>
      <w:r>
        <w:rPr>
          <w:sz w:val="20"/>
        </w:rPr>
        <w:t xml:space="preserve">по медицинским организациям</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1417"/>
        <w:gridCol w:w="1417"/>
        <w:gridCol w:w="1417"/>
        <w:gridCol w:w="1134"/>
        <w:gridCol w:w="1134"/>
        <w:gridCol w:w="1134"/>
      </w:tblGrid>
      <w:tr>
        <w:tc>
          <w:tcPr>
            <w:tcW w:w="1417" w:type="dxa"/>
            <w:vMerge w:val="restart"/>
          </w:tcPr>
          <w:p>
            <w:pPr>
              <w:pStyle w:val="0"/>
            </w:pPr>
            <w:r>
              <w:rPr>
                <w:sz w:val="20"/>
              </w:rPr>
            </w:r>
          </w:p>
        </w:tc>
        <w:tc>
          <w:tcPr>
            <w:gridSpan w:val="3"/>
            <w:tcW w:w="4251" w:type="dxa"/>
            <w:vAlign w:val="center"/>
          </w:tcPr>
          <w:p>
            <w:pPr>
              <w:pStyle w:val="0"/>
              <w:jc w:val="center"/>
            </w:pPr>
            <w:r>
              <w:rPr>
                <w:sz w:val="20"/>
              </w:rPr>
              <w:t xml:space="preserve">На 100 тыс. населения</w:t>
            </w:r>
          </w:p>
        </w:tc>
        <w:tc>
          <w:tcPr>
            <w:gridSpan w:val="3"/>
            <w:tcW w:w="3402" w:type="dxa"/>
            <w:vAlign w:val="center"/>
          </w:tcPr>
          <w:p>
            <w:pPr>
              <w:pStyle w:val="0"/>
              <w:jc w:val="center"/>
            </w:pPr>
            <w:r>
              <w:rPr>
                <w:sz w:val="20"/>
              </w:rPr>
              <w:t xml:space="preserve">Из них более 5 лет, %</w:t>
            </w:r>
          </w:p>
        </w:tc>
      </w:tr>
      <w:tr>
        <w:tc>
          <w:tcPr>
            <w:vMerge w:val="continue"/>
          </w:tcPr>
          <w:p/>
        </w:tc>
        <w:tc>
          <w:tcPr>
            <w:tcW w:w="1417" w:type="dxa"/>
            <w:vAlign w:val="center"/>
          </w:tcPr>
          <w:p>
            <w:pPr>
              <w:pStyle w:val="0"/>
              <w:jc w:val="center"/>
            </w:pPr>
            <w:r>
              <w:rPr>
                <w:sz w:val="20"/>
              </w:rPr>
              <w:t xml:space="preserve">2020</w:t>
            </w:r>
          </w:p>
        </w:tc>
        <w:tc>
          <w:tcPr>
            <w:tcW w:w="1417" w:type="dxa"/>
            <w:vAlign w:val="center"/>
          </w:tcPr>
          <w:p>
            <w:pPr>
              <w:pStyle w:val="0"/>
              <w:jc w:val="center"/>
            </w:pPr>
            <w:r>
              <w:rPr>
                <w:sz w:val="20"/>
              </w:rPr>
              <w:t xml:space="preserve">2021</w:t>
            </w:r>
          </w:p>
        </w:tc>
        <w:tc>
          <w:tcPr>
            <w:tcW w:w="1417" w:type="dxa"/>
            <w:vAlign w:val="center"/>
          </w:tcPr>
          <w:p>
            <w:pPr>
              <w:pStyle w:val="0"/>
              <w:jc w:val="center"/>
            </w:pPr>
            <w:r>
              <w:rPr>
                <w:sz w:val="20"/>
              </w:rPr>
              <w:t xml:space="preserve">2022</w:t>
            </w:r>
          </w:p>
        </w:tc>
        <w:tc>
          <w:tcPr>
            <w:tcW w:w="1134" w:type="dxa"/>
            <w:vAlign w:val="center"/>
          </w:tcPr>
          <w:p>
            <w:pPr>
              <w:pStyle w:val="0"/>
              <w:jc w:val="center"/>
            </w:pPr>
            <w:r>
              <w:rPr>
                <w:sz w:val="20"/>
              </w:rPr>
              <w:t xml:space="preserve">2020</w:t>
            </w:r>
          </w:p>
        </w:tc>
        <w:tc>
          <w:tcPr>
            <w:tcW w:w="1134" w:type="dxa"/>
            <w:vAlign w:val="center"/>
          </w:tcPr>
          <w:p>
            <w:pPr>
              <w:pStyle w:val="0"/>
              <w:jc w:val="center"/>
            </w:pPr>
            <w:r>
              <w:rPr>
                <w:sz w:val="20"/>
              </w:rPr>
              <w:t xml:space="preserve">2021</w:t>
            </w:r>
          </w:p>
        </w:tc>
        <w:tc>
          <w:tcPr>
            <w:tcW w:w="1134" w:type="dxa"/>
            <w:vAlign w:val="center"/>
          </w:tcPr>
          <w:p>
            <w:pPr>
              <w:pStyle w:val="0"/>
              <w:jc w:val="center"/>
            </w:pPr>
            <w:r>
              <w:rPr>
                <w:sz w:val="20"/>
              </w:rPr>
              <w:t xml:space="preserve">2022</w:t>
            </w:r>
          </w:p>
        </w:tc>
      </w:tr>
      <w:tr>
        <w:tc>
          <w:tcPr>
            <w:tcW w:w="1417" w:type="dxa"/>
          </w:tcPr>
          <w:p>
            <w:pPr>
              <w:pStyle w:val="0"/>
            </w:pPr>
            <w:r>
              <w:rPr>
                <w:sz w:val="20"/>
              </w:rPr>
              <w:t xml:space="preserve">ГБ N 1</w:t>
            </w:r>
          </w:p>
        </w:tc>
        <w:tc>
          <w:tcPr>
            <w:tcW w:w="1417" w:type="dxa"/>
            <w:vAlign w:val="bottom"/>
          </w:tcPr>
          <w:p>
            <w:pPr>
              <w:pStyle w:val="0"/>
              <w:jc w:val="center"/>
            </w:pPr>
            <w:r>
              <w:rPr>
                <w:sz w:val="20"/>
              </w:rPr>
              <w:t xml:space="preserve">3492,9</w:t>
            </w:r>
          </w:p>
        </w:tc>
        <w:tc>
          <w:tcPr>
            <w:tcW w:w="1417" w:type="dxa"/>
            <w:vAlign w:val="bottom"/>
          </w:tcPr>
          <w:p>
            <w:pPr>
              <w:pStyle w:val="0"/>
              <w:jc w:val="center"/>
            </w:pPr>
            <w:r>
              <w:rPr>
                <w:sz w:val="20"/>
              </w:rPr>
              <w:t xml:space="preserve">3124,3</w:t>
            </w:r>
          </w:p>
        </w:tc>
        <w:tc>
          <w:tcPr>
            <w:tcW w:w="1417" w:type="dxa"/>
            <w:vAlign w:val="bottom"/>
          </w:tcPr>
          <w:p>
            <w:pPr>
              <w:pStyle w:val="0"/>
              <w:jc w:val="center"/>
            </w:pPr>
            <w:r>
              <w:rPr>
                <w:sz w:val="20"/>
              </w:rPr>
              <w:t xml:space="preserve">3218,0</w:t>
            </w:r>
          </w:p>
        </w:tc>
        <w:tc>
          <w:tcPr>
            <w:tcW w:w="1134" w:type="dxa"/>
            <w:vAlign w:val="bottom"/>
          </w:tcPr>
          <w:p>
            <w:pPr>
              <w:pStyle w:val="0"/>
              <w:jc w:val="center"/>
            </w:pPr>
            <w:r>
              <w:rPr>
                <w:sz w:val="20"/>
              </w:rPr>
              <w:t xml:space="preserve">47,6</w:t>
            </w:r>
          </w:p>
        </w:tc>
        <w:tc>
          <w:tcPr>
            <w:tcW w:w="1134" w:type="dxa"/>
            <w:vAlign w:val="bottom"/>
          </w:tcPr>
          <w:p>
            <w:pPr>
              <w:pStyle w:val="0"/>
              <w:jc w:val="center"/>
            </w:pPr>
            <w:r>
              <w:rPr>
                <w:sz w:val="20"/>
              </w:rPr>
              <w:t xml:space="preserve">49,4</w:t>
            </w:r>
          </w:p>
        </w:tc>
        <w:tc>
          <w:tcPr>
            <w:tcW w:w="1134" w:type="dxa"/>
            <w:vAlign w:val="bottom"/>
          </w:tcPr>
          <w:p>
            <w:pPr>
              <w:pStyle w:val="0"/>
              <w:jc w:val="center"/>
            </w:pPr>
            <w:r>
              <w:rPr>
                <w:sz w:val="20"/>
              </w:rPr>
              <w:t xml:space="preserve">54,4</w:t>
            </w:r>
          </w:p>
        </w:tc>
      </w:tr>
      <w:tr>
        <w:tc>
          <w:tcPr>
            <w:tcW w:w="1417" w:type="dxa"/>
          </w:tcPr>
          <w:p>
            <w:pPr>
              <w:pStyle w:val="0"/>
            </w:pPr>
            <w:r>
              <w:rPr>
                <w:sz w:val="20"/>
              </w:rPr>
              <w:t xml:space="preserve">ГБ N 4</w:t>
            </w:r>
          </w:p>
        </w:tc>
        <w:tc>
          <w:tcPr>
            <w:tcW w:w="1417" w:type="dxa"/>
            <w:vAlign w:val="bottom"/>
          </w:tcPr>
          <w:p>
            <w:pPr>
              <w:pStyle w:val="0"/>
              <w:jc w:val="center"/>
            </w:pPr>
            <w:r>
              <w:rPr>
                <w:sz w:val="20"/>
              </w:rPr>
              <w:t xml:space="preserve">2330,1</w:t>
            </w:r>
          </w:p>
        </w:tc>
        <w:tc>
          <w:tcPr>
            <w:tcW w:w="1417" w:type="dxa"/>
            <w:vAlign w:val="bottom"/>
          </w:tcPr>
          <w:p>
            <w:pPr>
              <w:pStyle w:val="0"/>
              <w:jc w:val="center"/>
            </w:pPr>
            <w:r>
              <w:rPr>
                <w:sz w:val="20"/>
              </w:rPr>
              <w:t xml:space="preserve">2459,15</w:t>
            </w:r>
          </w:p>
        </w:tc>
        <w:tc>
          <w:tcPr>
            <w:tcW w:w="1417" w:type="dxa"/>
            <w:vAlign w:val="bottom"/>
          </w:tcPr>
          <w:p>
            <w:pPr>
              <w:pStyle w:val="0"/>
              <w:jc w:val="center"/>
            </w:pPr>
            <w:r>
              <w:rPr>
                <w:sz w:val="20"/>
              </w:rPr>
              <w:t xml:space="preserve">2604,8</w:t>
            </w:r>
          </w:p>
        </w:tc>
        <w:tc>
          <w:tcPr>
            <w:tcW w:w="1134" w:type="dxa"/>
            <w:vAlign w:val="bottom"/>
          </w:tcPr>
          <w:p>
            <w:pPr>
              <w:pStyle w:val="0"/>
              <w:jc w:val="center"/>
            </w:pPr>
            <w:r>
              <w:rPr>
                <w:sz w:val="20"/>
              </w:rPr>
              <w:t xml:space="preserve">48,6</w:t>
            </w:r>
          </w:p>
        </w:tc>
        <w:tc>
          <w:tcPr>
            <w:tcW w:w="1134" w:type="dxa"/>
            <w:vAlign w:val="bottom"/>
          </w:tcPr>
          <w:p>
            <w:pPr>
              <w:pStyle w:val="0"/>
              <w:jc w:val="center"/>
            </w:pPr>
            <w:r>
              <w:rPr>
                <w:sz w:val="20"/>
              </w:rPr>
              <w:t xml:space="preserve">45,4</w:t>
            </w:r>
          </w:p>
        </w:tc>
        <w:tc>
          <w:tcPr>
            <w:tcW w:w="1134" w:type="dxa"/>
            <w:vAlign w:val="bottom"/>
          </w:tcPr>
          <w:p>
            <w:pPr>
              <w:pStyle w:val="0"/>
              <w:jc w:val="center"/>
            </w:pPr>
            <w:r>
              <w:rPr>
                <w:sz w:val="20"/>
              </w:rPr>
              <w:t xml:space="preserve">47,9</w:t>
            </w:r>
          </w:p>
        </w:tc>
      </w:tr>
      <w:tr>
        <w:tc>
          <w:tcPr>
            <w:tcW w:w="1417" w:type="dxa"/>
          </w:tcPr>
          <w:p>
            <w:pPr>
              <w:pStyle w:val="0"/>
            </w:pPr>
            <w:r>
              <w:rPr>
                <w:sz w:val="20"/>
              </w:rPr>
              <w:t xml:space="preserve">ГБ N 9</w:t>
            </w:r>
          </w:p>
        </w:tc>
        <w:tc>
          <w:tcPr>
            <w:tcW w:w="1417" w:type="dxa"/>
            <w:vAlign w:val="bottom"/>
          </w:tcPr>
          <w:p>
            <w:pPr>
              <w:pStyle w:val="0"/>
              <w:jc w:val="center"/>
            </w:pPr>
            <w:r>
              <w:rPr>
                <w:sz w:val="20"/>
              </w:rPr>
              <w:t xml:space="preserve">2226,4</w:t>
            </w:r>
          </w:p>
        </w:tc>
        <w:tc>
          <w:tcPr>
            <w:tcW w:w="1417" w:type="dxa"/>
            <w:vAlign w:val="bottom"/>
          </w:tcPr>
          <w:p>
            <w:pPr>
              <w:pStyle w:val="0"/>
              <w:jc w:val="center"/>
            </w:pPr>
            <w:r>
              <w:rPr>
                <w:sz w:val="20"/>
              </w:rPr>
              <w:t xml:space="preserve">2516,5</w:t>
            </w:r>
          </w:p>
        </w:tc>
        <w:tc>
          <w:tcPr>
            <w:tcW w:w="1417" w:type="dxa"/>
            <w:vAlign w:val="bottom"/>
          </w:tcPr>
          <w:p>
            <w:pPr>
              <w:pStyle w:val="0"/>
              <w:jc w:val="center"/>
            </w:pPr>
            <w:r>
              <w:rPr>
                <w:sz w:val="20"/>
              </w:rPr>
              <w:t xml:space="preserve">2682,5</w:t>
            </w:r>
          </w:p>
        </w:tc>
        <w:tc>
          <w:tcPr>
            <w:tcW w:w="1134" w:type="dxa"/>
            <w:vAlign w:val="bottom"/>
          </w:tcPr>
          <w:p>
            <w:pPr>
              <w:pStyle w:val="0"/>
              <w:jc w:val="center"/>
            </w:pPr>
            <w:r>
              <w:rPr>
                <w:sz w:val="20"/>
              </w:rPr>
              <w:t xml:space="preserve">43,8</w:t>
            </w:r>
          </w:p>
        </w:tc>
        <w:tc>
          <w:tcPr>
            <w:tcW w:w="1134" w:type="dxa"/>
            <w:vAlign w:val="bottom"/>
          </w:tcPr>
          <w:p>
            <w:pPr>
              <w:pStyle w:val="0"/>
              <w:jc w:val="center"/>
            </w:pPr>
            <w:r>
              <w:rPr>
                <w:sz w:val="20"/>
              </w:rPr>
              <w:t xml:space="preserve">45,2</w:t>
            </w:r>
          </w:p>
        </w:tc>
        <w:tc>
          <w:tcPr>
            <w:tcW w:w="1134" w:type="dxa"/>
            <w:vAlign w:val="bottom"/>
          </w:tcPr>
          <w:p>
            <w:pPr>
              <w:pStyle w:val="0"/>
              <w:jc w:val="center"/>
            </w:pPr>
            <w:r>
              <w:rPr>
                <w:sz w:val="20"/>
              </w:rPr>
              <w:t xml:space="preserve">44,6</w:t>
            </w:r>
          </w:p>
        </w:tc>
      </w:tr>
    </w:tbl>
    <w:p>
      <w:pPr>
        <w:pStyle w:val="0"/>
        <w:jc w:val="both"/>
      </w:pPr>
      <w:r>
        <w:rPr>
          <w:sz w:val="20"/>
        </w:rPr>
      </w:r>
    </w:p>
    <w:p>
      <w:pPr>
        <w:pStyle w:val="0"/>
        <w:ind w:firstLine="540"/>
        <w:jc w:val="both"/>
      </w:pPr>
      <w:r>
        <w:rPr>
          <w:sz w:val="20"/>
        </w:rPr>
        <w:t xml:space="preserve">Самый многочисленный контингент пациентов зарегистрирован в ГБУЗС "Городская больница N 1 им. Н.И. Пирогова", самый малый - в городской больнице N 4. Доля пациентов, состоящих на учете 5 и более лет, самая высокая в ГБУЗС "Городская больница N 1 им. Н.И. Пирогова" (далее - городская больница N 1), самая низкая - в ГБУЗС "Городская больница N 9" (далее - городская больница N 9).</w:t>
      </w:r>
    </w:p>
    <w:p>
      <w:pPr>
        <w:pStyle w:val="0"/>
        <w:jc w:val="right"/>
      </w:pPr>
      <w:r>
        <w:rPr>
          <w:sz w:val="20"/>
        </w:rPr>
      </w:r>
    </w:p>
    <w:p>
      <w:pPr>
        <w:pStyle w:val="0"/>
        <w:jc w:val="right"/>
      </w:pPr>
      <w:r>
        <w:rPr>
          <w:sz w:val="20"/>
        </w:rPr>
        <w:t xml:space="preserve">Таблица N 13</w:t>
      </w:r>
    </w:p>
    <w:p>
      <w:pPr>
        <w:pStyle w:val="0"/>
        <w:jc w:val="right"/>
      </w:pPr>
      <w:r>
        <w:rPr>
          <w:sz w:val="20"/>
        </w:rPr>
      </w:r>
    </w:p>
    <w:p>
      <w:pPr>
        <w:pStyle w:val="0"/>
        <w:jc w:val="center"/>
      </w:pPr>
      <w:r>
        <w:rPr>
          <w:sz w:val="20"/>
        </w:rPr>
        <w:t xml:space="preserve">Контингент пациентов, состоящих под диспансерным наблюдением</w:t>
      </w:r>
    </w:p>
    <w:p>
      <w:pPr>
        <w:pStyle w:val="0"/>
        <w:jc w:val="center"/>
      </w:pPr>
      <w:r>
        <w:rPr>
          <w:sz w:val="20"/>
        </w:rPr>
        <w:t xml:space="preserve">врача-онколога с диагнозами D00 - D09</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7"/>
        <w:gridCol w:w="3485"/>
        <w:gridCol w:w="3485"/>
      </w:tblGrid>
      <w:tr>
        <w:tc>
          <w:tcPr>
            <w:tcW w:w="2097" w:type="dxa"/>
          </w:tcPr>
          <w:p>
            <w:pPr>
              <w:pStyle w:val="0"/>
              <w:jc w:val="center"/>
            </w:pPr>
            <w:r>
              <w:rPr>
                <w:sz w:val="20"/>
              </w:rPr>
              <w:t xml:space="preserve">Год</w:t>
            </w:r>
          </w:p>
        </w:tc>
        <w:tc>
          <w:tcPr>
            <w:tcW w:w="3485" w:type="dxa"/>
          </w:tcPr>
          <w:p>
            <w:pPr>
              <w:pStyle w:val="0"/>
              <w:jc w:val="center"/>
            </w:pPr>
            <w:r>
              <w:rPr>
                <w:sz w:val="20"/>
              </w:rPr>
              <w:t xml:space="preserve">Взято впервые (чел.)</w:t>
            </w:r>
          </w:p>
        </w:tc>
        <w:tc>
          <w:tcPr>
            <w:tcW w:w="3485" w:type="dxa"/>
          </w:tcPr>
          <w:p>
            <w:pPr>
              <w:pStyle w:val="0"/>
              <w:jc w:val="center"/>
            </w:pPr>
            <w:r>
              <w:rPr>
                <w:sz w:val="20"/>
              </w:rPr>
              <w:t xml:space="preserve">Состоит (чел.)</w:t>
            </w:r>
          </w:p>
        </w:tc>
      </w:tr>
      <w:tr>
        <w:tc>
          <w:tcPr>
            <w:tcW w:w="2097" w:type="dxa"/>
          </w:tcPr>
          <w:p>
            <w:pPr>
              <w:pStyle w:val="0"/>
              <w:jc w:val="both"/>
            </w:pPr>
            <w:r>
              <w:rPr>
                <w:sz w:val="20"/>
              </w:rPr>
              <w:t xml:space="preserve">2017</w:t>
            </w:r>
          </w:p>
        </w:tc>
        <w:tc>
          <w:tcPr>
            <w:tcW w:w="3485" w:type="dxa"/>
          </w:tcPr>
          <w:p>
            <w:pPr>
              <w:pStyle w:val="0"/>
              <w:jc w:val="center"/>
            </w:pPr>
            <w:r>
              <w:rPr>
                <w:sz w:val="20"/>
              </w:rPr>
              <w:t xml:space="preserve">26</w:t>
            </w:r>
          </w:p>
        </w:tc>
        <w:tc>
          <w:tcPr>
            <w:tcW w:w="3485" w:type="dxa"/>
          </w:tcPr>
          <w:p>
            <w:pPr>
              <w:pStyle w:val="0"/>
              <w:jc w:val="center"/>
            </w:pPr>
            <w:r>
              <w:rPr>
                <w:sz w:val="20"/>
              </w:rPr>
              <w:t xml:space="preserve">84</w:t>
            </w:r>
          </w:p>
        </w:tc>
      </w:tr>
      <w:tr>
        <w:tc>
          <w:tcPr>
            <w:tcW w:w="2097" w:type="dxa"/>
          </w:tcPr>
          <w:p>
            <w:pPr>
              <w:pStyle w:val="0"/>
              <w:jc w:val="both"/>
            </w:pPr>
            <w:r>
              <w:rPr>
                <w:sz w:val="20"/>
              </w:rPr>
              <w:t xml:space="preserve">2018</w:t>
            </w:r>
          </w:p>
        </w:tc>
        <w:tc>
          <w:tcPr>
            <w:tcW w:w="3485" w:type="dxa"/>
          </w:tcPr>
          <w:p>
            <w:pPr>
              <w:pStyle w:val="0"/>
              <w:jc w:val="center"/>
            </w:pPr>
            <w:r>
              <w:rPr>
                <w:sz w:val="20"/>
              </w:rPr>
              <w:t xml:space="preserve">10</w:t>
            </w:r>
          </w:p>
        </w:tc>
        <w:tc>
          <w:tcPr>
            <w:tcW w:w="3485" w:type="dxa"/>
          </w:tcPr>
          <w:p>
            <w:pPr>
              <w:pStyle w:val="0"/>
              <w:jc w:val="center"/>
            </w:pPr>
            <w:r>
              <w:rPr>
                <w:sz w:val="20"/>
              </w:rPr>
              <w:t xml:space="preserve">104</w:t>
            </w:r>
          </w:p>
        </w:tc>
      </w:tr>
      <w:tr>
        <w:tc>
          <w:tcPr>
            <w:tcW w:w="2097" w:type="dxa"/>
          </w:tcPr>
          <w:p>
            <w:pPr>
              <w:pStyle w:val="0"/>
              <w:jc w:val="both"/>
            </w:pPr>
            <w:r>
              <w:rPr>
                <w:sz w:val="20"/>
              </w:rPr>
              <w:t xml:space="preserve">2019</w:t>
            </w:r>
          </w:p>
        </w:tc>
        <w:tc>
          <w:tcPr>
            <w:tcW w:w="3485" w:type="dxa"/>
          </w:tcPr>
          <w:p>
            <w:pPr>
              <w:pStyle w:val="0"/>
              <w:jc w:val="center"/>
            </w:pPr>
            <w:r>
              <w:rPr>
                <w:sz w:val="20"/>
              </w:rPr>
              <w:t xml:space="preserve">16</w:t>
            </w:r>
          </w:p>
        </w:tc>
        <w:tc>
          <w:tcPr>
            <w:tcW w:w="3485" w:type="dxa"/>
          </w:tcPr>
          <w:p>
            <w:pPr>
              <w:pStyle w:val="0"/>
              <w:jc w:val="center"/>
            </w:pPr>
            <w:r>
              <w:rPr>
                <w:sz w:val="20"/>
              </w:rPr>
              <w:t xml:space="preserve">128</w:t>
            </w:r>
          </w:p>
        </w:tc>
      </w:tr>
      <w:tr>
        <w:tc>
          <w:tcPr>
            <w:tcW w:w="2097" w:type="dxa"/>
          </w:tcPr>
          <w:p>
            <w:pPr>
              <w:pStyle w:val="0"/>
              <w:jc w:val="both"/>
            </w:pPr>
            <w:r>
              <w:rPr>
                <w:sz w:val="20"/>
              </w:rPr>
              <w:t xml:space="preserve">2020</w:t>
            </w:r>
          </w:p>
        </w:tc>
        <w:tc>
          <w:tcPr>
            <w:tcW w:w="3485" w:type="dxa"/>
          </w:tcPr>
          <w:p>
            <w:pPr>
              <w:pStyle w:val="0"/>
              <w:jc w:val="center"/>
            </w:pPr>
            <w:r>
              <w:rPr>
                <w:sz w:val="20"/>
              </w:rPr>
              <w:t xml:space="preserve">56</w:t>
            </w:r>
          </w:p>
        </w:tc>
        <w:tc>
          <w:tcPr>
            <w:tcW w:w="3485" w:type="dxa"/>
          </w:tcPr>
          <w:p>
            <w:pPr>
              <w:pStyle w:val="0"/>
              <w:jc w:val="center"/>
            </w:pPr>
            <w:r>
              <w:rPr>
                <w:sz w:val="20"/>
              </w:rPr>
              <w:t xml:space="preserve">173</w:t>
            </w:r>
          </w:p>
        </w:tc>
      </w:tr>
      <w:tr>
        <w:tc>
          <w:tcPr>
            <w:tcW w:w="2097" w:type="dxa"/>
          </w:tcPr>
          <w:p>
            <w:pPr>
              <w:pStyle w:val="0"/>
              <w:jc w:val="both"/>
            </w:pPr>
            <w:r>
              <w:rPr>
                <w:sz w:val="20"/>
              </w:rPr>
              <w:t xml:space="preserve">2021</w:t>
            </w:r>
          </w:p>
        </w:tc>
        <w:tc>
          <w:tcPr>
            <w:tcW w:w="3485" w:type="dxa"/>
          </w:tcPr>
          <w:p>
            <w:pPr>
              <w:pStyle w:val="0"/>
              <w:jc w:val="center"/>
            </w:pPr>
            <w:r>
              <w:rPr>
                <w:sz w:val="20"/>
              </w:rPr>
              <w:t xml:space="preserve">45</w:t>
            </w:r>
          </w:p>
        </w:tc>
        <w:tc>
          <w:tcPr>
            <w:tcW w:w="3485" w:type="dxa"/>
          </w:tcPr>
          <w:p>
            <w:pPr>
              <w:pStyle w:val="0"/>
              <w:jc w:val="center"/>
            </w:pPr>
            <w:r>
              <w:rPr>
                <w:sz w:val="20"/>
              </w:rPr>
              <w:t xml:space="preserve">199</w:t>
            </w:r>
          </w:p>
        </w:tc>
      </w:tr>
      <w:tr>
        <w:tc>
          <w:tcPr>
            <w:tcW w:w="2097" w:type="dxa"/>
          </w:tcPr>
          <w:p>
            <w:pPr>
              <w:pStyle w:val="0"/>
              <w:jc w:val="both"/>
            </w:pPr>
            <w:r>
              <w:rPr>
                <w:sz w:val="20"/>
              </w:rPr>
              <w:t xml:space="preserve">2022</w:t>
            </w:r>
          </w:p>
        </w:tc>
        <w:tc>
          <w:tcPr>
            <w:tcW w:w="3485" w:type="dxa"/>
          </w:tcPr>
          <w:p>
            <w:pPr>
              <w:pStyle w:val="0"/>
              <w:jc w:val="center"/>
            </w:pPr>
            <w:r>
              <w:rPr>
                <w:sz w:val="20"/>
              </w:rPr>
              <w:t xml:space="preserve">120</w:t>
            </w:r>
          </w:p>
        </w:tc>
        <w:tc>
          <w:tcPr>
            <w:tcW w:w="3485" w:type="dxa"/>
          </w:tcPr>
          <w:p>
            <w:pPr>
              <w:pStyle w:val="0"/>
              <w:jc w:val="center"/>
            </w:pPr>
            <w:r>
              <w:rPr>
                <w:sz w:val="20"/>
              </w:rPr>
              <w:t xml:space="preserve">439</w:t>
            </w:r>
          </w:p>
        </w:tc>
      </w:tr>
    </w:tbl>
    <w:p>
      <w:pPr>
        <w:pStyle w:val="0"/>
        <w:ind w:firstLine="540"/>
        <w:jc w:val="both"/>
      </w:pPr>
      <w:r>
        <w:rPr>
          <w:sz w:val="20"/>
        </w:rPr>
      </w:r>
    </w:p>
    <w:p>
      <w:pPr>
        <w:pStyle w:val="0"/>
        <w:ind w:firstLine="540"/>
        <w:jc w:val="both"/>
      </w:pPr>
      <w:r>
        <w:rPr>
          <w:sz w:val="20"/>
        </w:rPr>
        <w:t xml:space="preserve">По состоянию на 01.01.2023 под диспансерным наблюдением состоят 439 пациентов с диагнозами D00 - D09.</w:t>
      </w:r>
    </w:p>
    <w:p>
      <w:pPr>
        <w:pStyle w:val="0"/>
        <w:jc w:val="center"/>
      </w:pPr>
      <w:r>
        <w:rPr>
          <w:sz w:val="20"/>
        </w:rPr>
      </w:r>
    </w:p>
    <w:p>
      <w:pPr>
        <w:pStyle w:val="2"/>
        <w:outlineLvl w:val="3"/>
        <w:jc w:val="center"/>
      </w:pPr>
      <w:r>
        <w:rPr>
          <w:sz w:val="20"/>
        </w:rPr>
        <w:t xml:space="preserve">1.3. Анализ динамики показателей смертности</w:t>
      </w:r>
    </w:p>
    <w:p>
      <w:pPr>
        <w:pStyle w:val="2"/>
        <w:jc w:val="center"/>
      </w:pPr>
      <w:r>
        <w:rPr>
          <w:sz w:val="20"/>
        </w:rPr>
        <w:t xml:space="preserve">от злокачественных новообразований</w:t>
      </w:r>
    </w:p>
    <w:p>
      <w:pPr>
        <w:pStyle w:val="0"/>
        <w:jc w:val="center"/>
      </w:pPr>
      <w:r>
        <w:rPr>
          <w:sz w:val="20"/>
        </w:rPr>
      </w:r>
    </w:p>
    <w:p>
      <w:pPr>
        <w:pStyle w:val="0"/>
        <w:ind w:firstLine="540"/>
        <w:jc w:val="both"/>
      </w:pPr>
      <w:r>
        <w:rPr>
          <w:sz w:val="20"/>
        </w:rPr>
        <w:t xml:space="preserve">Статистические данные онкологической службы города Севастополя ведутся с 2014 года. Половозрастной мониторинг смертности и распределение по диагнозам в соответствии с выданными медицинскими свидетельствами о смерти (форма N 106/у-08) проводятся с 2015 года.</w:t>
      </w:r>
    </w:p>
    <w:p>
      <w:pPr>
        <w:pStyle w:val="0"/>
        <w:spacing w:before="200" w:line-rule="auto"/>
        <w:ind w:firstLine="540"/>
        <w:jc w:val="both"/>
      </w:pPr>
      <w:r>
        <w:rPr>
          <w:sz w:val="20"/>
        </w:rPr>
        <w:t xml:space="preserve">На протяжении последних лет показатель смертности от злокачественных новообразований в городе Севастополе остается высоким.</w:t>
      </w:r>
    </w:p>
    <w:p>
      <w:pPr>
        <w:pStyle w:val="0"/>
        <w:spacing w:before="200" w:line-rule="auto"/>
        <w:ind w:firstLine="540"/>
        <w:jc w:val="both"/>
      </w:pPr>
      <w:r>
        <w:rPr>
          <w:sz w:val="20"/>
        </w:rPr>
        <w:t xml:space="preserve">В 2022 году от злокачественных новообразований (далее - ЗНО) в городе Севастополе умерло 1033 больных, из них в трудоспособном возрасте - 199 чел.</w:t>
      </w:r>
    </w:p>
    <w:p>
      <w:pPr>
        <w:pStyle w:val="0"/>
        <w:spacing w:before="200" w:line-rule="auto"/>
        <w:ind w:firstLine="540"/>
        <w:jc w:val="both"/>
      </w:pPr>
      <w:r>
        <w:rPr>
          <w:sz w:val="20"/>
        </w:rPr>
        <w:t xml:space="preserve">Грубый показатель смертности в 2022 году - 198,3 чел. на 100 тыс. населения.</w:t>
      </w:r>
    </w:p>
    <w:p>
      <w:pPr>
        <w:pStyle w:val="0"/>
        <w:spacing w:before="200" w:line-rule="auto"/>
        <w:ind w:firstLine="540"/>
        <w:jc w:val="both"/>
      </w:pPr>
      <w:r>
        <w:rPr>
          <w:sz w:val="20"/>
        </w:rPr>
        <w:t xml:space="preserve">Убыль данного показателя (грубый показатель) за 5 лет составила 21,3%.</w:t>
      </w:r>
    </w:p>
    <w:p>
      <w:pPr>
        <w:pStyle w:val="0"/>
        <w:spacing w:before="200" w:line-rule="auto"/>
        <w:ind w:firstLine="540"/>
        <w:jc w:val="both"/>
      </w:pPr>
      <w:r>
        <w:rPr>
          <w:sz w:val="20"/>
        </w:rPr>
        <w:t xml:space="preserve">2014 год - 1011 чел., 263,7 на 100 тыс. населения;</w:t>
      </w:r>
    </w:p>
    <w:p>
      <w:pPr>
        <w:pStyle w:val="0"/>
        <w:spacing w:before="200" w:line-rule="auto"/>
        <w:ind w:firstLine="540"/>
        <w:jc w:val="both"/>
      </w:pPr>
      <w:r>
        <w:rPr>
          <w:sz w:val="20"/>
        </w:rPr>
        <w:t xml:space="preserve">2015 год - 1116 чел., 273,8 на 100 тыс. населения;</w:t>
      </w:r>
    </w:p>
    <w:p>
      <w:pPr>
        <w:pStyle w:val="0"/>
        <w:spacing w:before="200" w:line-rule="auto"/>
        <w:ind w:firstLine="540"/>
        <w:jc w:val="both"/>
      </w:pPr>
      <w:r>
        <w:rPr>
          <w:sz w:val="20"/>
        </w:rPr>
        <w:t xml:space="preserve">2016 год - 998 чел., 236,2 на 100 тыс. населения;</w:t>
      </w:r>
    </w:p>
    <w:p>
      <w:pPr>
        <w:pStyle w:val="0"/>
        <w:spacing w:before="200" w:line-rule="auto"/>
        <w:ind w:firstLine="540"/>
        <w:jc w:val="both"/>
      </w:pPr>
      <w:r>
        <w:rPr>
          <w:sz w:val="20"/>
        </w:rPr>
        <w:t xml:space="preserve">2017 год - 1087 чел., 253,8 на 100 тыс. населения;</w:t>
      </w:r>
    </w:p>
    <w:p>
      <w:pPr>
        <w:pStyle w:val="0"/>
        <w:spacing w:before="200" w:line-rule="auto"/>
        <w:ind w:firstLine="540"/>
        <w:jc w:val="both"/>
      </w:pPr>
      <w:r>
        <w:rPr>
          <w:sz w:val="20"/>
        </w:rPr>
        <w:t xml:space="preserve">2018 год - 1099 чел., 252,23 на 100 тыс. населения;</w:t>
      </w:r>
    </w:p>
    <w:p>
      <w:pPr>
        <w:pStyle w:val="0"/>
        <w:spacing w:before="200" w:line-rule="auto"/>
        <w:ind w:firstLine="540"/>
        <w:jc w:val="both"/>
      </w:pPr>
      <w:r>
        <w:rPr>
          <w:sz w:val="20"/>
        </w:rPr>
        <w:t xml:space="preserve">2019 год - 1118 чел., 252,7 на 100 тыс. населения;</w:t>
      </w:r>
    </w:p>
    <w:p>
      <w:pPr>
        <w:pStyle w:val="0"/>
        <w:spacing w:before="200" w:line-rule="auto"/>
        <w:ind w:firstLine="540"/>
        <w:jc w:val="both"/>
      </w:pPr>
      <w:r>
        <w:rPr>
          <w:sz w:val="20"/>
        </w:rPr>
        <w:t xml:space="preserve">2020 год - 1113 чел., 248,4 на 100 тыс. населения;</w:t>
      </w:r>
    </w:p>
    <w:p>
      <w:pPr>
        <w:pStyle w:val="0"/>
        <w:spacing w:before="200" w:line-rule="auto"/>
        <w:ind w:firstLine="540"/>
        <w:jc w:val="both"/>
      </w:pPr>
      <w:r>
        <w:rPr>
          <w:sz w:val="20"/>
        </w:rPr>
        <w:t xml:space="preserve">2021 год - 1031 чел., 202,8 на 100 тыс. населения.</w:t>
      </w:r>
    </w:p>
    <w:p>
      <w:pPr>
        <w:pStyle w:val="0"/>
        <w:spacing w:before="200" w:line-rule="auto"/>
        <w:ind w:firstLine="540"/>
        <w:jc w:val="both"/>
      </w:pPr>
      <w:r>
        <w:rPr>
          <w:sz w:val="20"/>
        </w:rPr>
        <w:t xml:space="preserve">Отмечается положительная динамика по уменьшению показателя смертности от ЗНО в сравнении с 2014 годом. Снижение показателя смертности от ЗНО составило 24,8%, при сравнении с показателями за 2020 - 2022 годы - на 20,16%.</w:t>
      </w:r>
    </w:p>
    <w:p>
      <w:pPr>
        <w:pStyle w:val="0"/>
        <w:ind w:firstLine="540"/>
        <w:jc w:val="both"/>
      </w:pPr>
      <w:r>
        <w:rPr>
          <w:sz w:val="20"/>
        </w:rPr>
      </w:r>
    </w:p>
    <w:p>
      <w:pPr>
        <w:pStyle w:val="0"/>
        <w:jc w:val="right"/>
      </w:pPr>
      <w:r>
        <w:rPr>
          <w:sz w:val="20"/>
        </w:rPr>
        <w:t xml:space="preserve">Диаграмма N 6</w:t>
      </w:r>
    </w:p>
    <w:p>
      <w:pPr>
        <w:pStyle w:val="0"/>
        <w:jc w:val="right"/>
      </w:pPr>
      <w:r>
        <w:rPr>
          <w:sz w:val="20"/>
        </w:rPr>
      </w:r>
    </w:p>
    <w:p>
      <w:pPr>
        <w:pStyle w:val="0"/>
        <w:jc w:val="center"/>
      </w:pPr>
      <w:r>
        <w:rPr>
          <w:sz w:val="20"/>
        </w:rPr>
        <w:t xml:space="preserve">Смертность от ЗНО в городе Севастополе</w:t>
      </w:r>
    </w:p>
    <w:p>
      <w:pPr>
        <w:pStyle w:val="0"/>
        <w:jc w:val="center"/>
      </w:pPr>
      <w:r>
        <w:rPr>
          <w:sz w:val="20"/>
        </w:rPr>
      </w:r>
    </w:p>
    <w:p>
      <w:pPr>
        <w:pStyle w:val="0"/>
        <w:jc w:val="center"/>
      </w:pPr>
      <w:r>
        <w:rPr>
          <w:position w:val="-126"/>
        </w:rPr>
        <w:drawing>
          <wp:inline distT="0" distB="0" distL="0" distR="0">
            <wp:extent cx="3963035" cy="1737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a:extLst>
                        <a:ext uri="{28A0092B-C50C-407E-A947-70E740481C1C}">
                          <a14:useLocalDpi xmlns:a14="http://schemas.microsoft.com/office/drawing/2010/main" val="0"/>
                        </a:ext>
                      </a:extLst>
                    </a:blip>
                    <a:srcRect/>
                    <a:stretch>
                      <a:fillRect/>
                    </a:stretch>
                  </pic:blipFill>
                  <pic:spPr bwMode="auto">
                    <a:xfrm>
                      <a:off x="0" y="0"/>
                      <a:ext cx="3963035" cy="173736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По итогам 2022 года уровень смертности от ЗНО снизился на 2,24% (спасенных жизней - 2 человека), показатель составляет 198,29 на 100 тыс. населения (умерло 1033 человека).</w:t>
      </w:r>
    </w:p>
    <w:p>
      <w:pPr>
        <w:pStyle w:val="0"/>
        <w:ind w:firstLine="540"/>
        <w:jc w:val="both"/>
      </w:pPr>
      <w:r>
        <w:rPr>
          <w:sz w:val="20"/>
        </w:rPr>
      </w:r>
    </w:p>
    <w:p>
      <w:pPr>
        <w:pStyle w:val="0"/>
        <w:jc w:val="right"/>
      </w:pPr>
      <w:r>
        <w:rPr>
          <w:sz w:val="20"/>
        </w:rPr>
        <w:t xml:space="preserve">Таблица N 14</w:t>
      </w:r>
    </w:p>
    <w:p>
      <w:pPr>
        <w:pStyle w:val="0"/>
        <w:ind w:firstLine="540"/>
        <w:jc w:val="both"/>
      </w:pPr>
      <w:r>
        <w:rPr>
          <w:sz w:val="20"/>
        </w:rPr>
      </w:r>
    </w:p>
    <w:p>
      <w:pPr>
        <w:pStyle w:val="0"/>
        <w:jc w:val="center"/>
      </w:pPr>
      <w:r>
        <w:rPr>
          <w:sz w:val="20"/>
        </w:rPr>
        <w:t xml:space="preserve">Динамика показателей смертности в разрезе</w:t>
      </w:r>
    </w:p>
    <w:p>
      <w:pPr>
        <w:pStyle w:val="0"/>
        <w:jc w:val="center"/>
      </w:pPr>
      <w:r>
        <w:rPr>
          <w:sz w:val="20"/>
        </w:rPr>
        <w:t xml:space="preserve">основных локализаций</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7"/>
        <w:gridCol w:w="3457"/>
        <w:gridCol w:w="1022"/>
        <w:gridCol w:w="1134"/>
        <w:gridCol w:w="1077"/>
        <w:gridCol w:w="1757"/>
      </w:tblGrid>
      <w:tr>
        <w:tc>
          <w:tcPr>
            <w:tcW w:w="627" w:type="dxa"/>
            <w:vMerge w:val="restart"/>
          </w:tcPr>
          <w:p>
            <w:pPr>
              <w:pStyle w:val="0"/>
              <w:jc w:val="center"/>
            </w:pPr>
            <w:r>
              <w:rPr>
                <w:sz w:val="20"/>
              </w:rPr>
              <w:t xml:space="preserve">N п/п</w:t>
            </w:r>
          </w:p>
        </w:tc>
        <w:tc>
          <w:tcPr>
            <w:tcW w:w="3457" w:type="dxa"/>
            <w:vMerge w:val="restart"/>
          </w:tcPr>
          <w:p>
            <w:pPr>
              <w:pStyle w:val="0"/>
              <w:jc w:val="center"/>
            </w:pPr>
            <w:r>
              <w:rPr>
                <w:sz w:val="20"/>
              </w:rPr>
              <w:t xml:space="preserve">Нозология</w:t>
            </w:r>
          </w:p>
        </w:tc>
        <w:tc>
          <w:tcPr>
            <w:gridSpan w:val="3"/>
            <w:tcW w:w="3233" w:type="dxa"/>
          </w:tcPr>
          <w:p>
            <w:pPr>
              <w:pStyle w:val="0"/>
              <w:jc w:val="center"/>
            </w:pPr>
            <w:r>
              <w:rPr>
                <w:sz w:val="20"/>
              </w:rPr>
              <w:t xml:space="preserve">Смертность на 100 тыс. нас.</w:t>
            </w:r>
          </w:p>
        </w:tc>
        <w:tc>
          <w:tcPr>
            <w:tcW w:w="1757" w:type="dxa"/>
            <w:vMerge w:val="restart"/>
          </w:tcPr>
          <w:p>
            <w:pPr>
              <w:pStyle w:val="0"/>
              <w:jc w:val="center"/>
            </w:pPr>
            <w:r>
              <w:rPr>
                <w:sz w:val="20"/>
              </w:rPr>
              <w:t xml:space="preserve">Динамика за 2022/2021, %</w:t>
            </w:r>
          </w:p>
        </w:tc>
      </w:tr>
      <w:tr>
        <w:tc>
          <w:tcPr>
            <w:vMerge w:val="continue"/>
          </w:tcPr>
          <w:p/>
        </w:tc>
        <w:tc>
          <w:tcPr>
            <w:vMerge w:val="continue"/>
          </w:tcPr>
          <w:p/>
        </w:tc>
        <w:tc>
          <w:tcPr>
            <w:tcW w:w="1022" w:type="dxa"/>
          </w:tcPr>
          <w:p>
            <w:pPr>
              <w:pStyle w:val="0"/>
              <w:jc w:val="center"/>
            </w:pPr>
            <w:r>
              <w:rPr>
                <w:sz w:val="20"/>
              </w:rPr>
              <w:t xml:space="preserve">2020</w:t>
            </w:r>
          </w:p>
        </w:tc>
        <w:tc>
          <w:tcPr>
            <w:tcW w:w="1134" w:type="dxa"/>
          </w:tcPr>
          <w:p>
            <w:pPr>
              <w:pStyle w:val="0"/>
              <w:jc w:val="center"/>
            </w:pPr>
            <w:r>
              <w:rPr>
                <w:sz w:val="20"/>
              </w:rPr>
              <w:t xml:space="preserve">2021</w:t>
            </w:r>
          </w:p>
        </w:tc>
        <w:tc>
          <w:tcPr>
            <w:tcW w:w="1077" w:type="dxa"/>
          </w:tcPr>
          <w:p>
            <w:pPr>
              <w:pStyle w:val="0"/>
              <w:jc w:val="center"/>
            </w:pPr>
            <w:r>
              <w:rPr>
                <w:sz w:val="20"/>
              </w:rPr>
              <w:t xml:space="preserve">2022</w:t>
            </w:r>
          </w:p>
        </w:tc>
        <w:tc>
          <w:tcPr>
            <w:vMerge w:val="continue"/>
          </w:tcPr>
          <w:p/>
        </w:tc>
      </w:tr>
      <w:tr>
        <w:tc>
          <w:tcPr>
            <w:tcW w:w="627" w:type="dxa"/>
          </w:tcPr>
          <w:p>
            <w:pPr>
              <w:pStyle w:val="0"/>
              <w:jc w:val="both"/>
            </w:pPr>
            <w:r>
              <w:rPr>
                <w:sz w:val="20"/>
              </w:rPr>
            </w:r>
          </w:p>
        </w:tc>
        <w:tc>
          <w:tcPr>
            <w:tcW w:w="3457" w:type="dxa"/>
          </w:tcPr>
          <w:p>
            <w:pPr>
              <w:pStyle w:val="0"/>
              <w:jc w:val="both"/>
            </w:pPr>
            <w:r>
              <w:rPr>
                <w:sz w:val="20"/>
              </w:rPr>
              <w:t xml:space="preserve">Новообразований</w:t>
            </w:r>
          </w:p>
        </w:tc>
        <w:tc>
          <w:tcPr>
            <w:tcW w:w="1022" w:type="dxa"/>
          </w:tcPr>
          <w:p>
            <w:pPr>
              <w:pStyle w:val="0"/>
              <w:jc w:val="center"/>
            </w:pPr>
            <w:r>
              <w:rPr>
                <w:sz w:val="20"/>
              </w:rPr>
              <w:t xml:space="preserve">251,71</w:t>
            </w:r>
          </w:p>
        </w:tc>
        <w:tc>
          <w:tcPr>
            <w:tcW w:w="1134" w:type="dxa"/>
          </w:tcPr>
          <w:p>
            <w:pPr>
              <w:pStyle w:val="0"/>
              <w:jc w:val="center"/>
            </w:pPr>
            <w:r>
              <w:rPr>
                <w:sz w:val="20"/>
              </w:rPr>
              <w:t xml:space="preserve">205,59</w:t>
            </w:r>
          </w:p>
        </w:tc>
        <w:tc>
          <w:tcPr>
            <w:tcW w:w="1077" w:type="dxa"/>
          </w:tcPr>
          <w:p>
            <w:pPr>
              <w:pStyle w:val="0"/>
              <w:jc w:val="center"/>
            </w:pPr>
            <w:r>
              <w:rPr>
                <w:sz w:val="20"/>
              </w:rPr>
              <w:t xml:space="preserve">201,17</w:t>
            </w:r>
          </w:p>
        </w:tc>
        <w:tc>
          <w:tcPr>
            <w:tcW w:w="1757" w:type="dxa"/>
          </w:tcPr>
          <w:p>
            <w:pPr>
              <w:pStyle w:val="0"/>
              <w:jc w:val="center"/>
            </w:pPr>
            <w:r>
              <w:rPr>
                <w:sz w:val="20"/>
              </w:rPr>
              <w:t xml:space="preserve">-2,15</w:t>
            </w:r>
          </w:p>
        </w:tc>
      </w:tr>
      <w:tr>
        <w:tc>
          <w:tcPr>
            <w:tcW w:w="627" w:type="dxa"/>
          </w:tcPr>
          <w:p>
            <w:pPr>
              <w:pStyle w:val="0"/>
              <w:jc w:val="both"/>
            </w:pPr>
            <w:r>
              <w:rPr>
                <w:sz w:val="20"/>
              </w:rPr>
              <w:t xml:space="preserve">1</w:t>
            </w:r>
          </w:p>
        </w:tc>
        <w:tc>
          <w:tcPr>
            <w:tcW w:w="3457" w:type="dxa"/>
          </w:tcPr>
          <w:p>
            <w:pPr>
              <w:pStyle w:val="0"/>
              <w:jc w:val="both"/>
            </w:pPr>
            <w:r>
              <w:rPr>
                <w:sz w:val="20"/>
              </w:rPr>
              <w:t xml:space="preserve">из них ЗНО, в том числе:</w:t>
            </w:r>
          </w:p>
        </w:tc>
        <w:tc>
          <w:tcPr>
            <w:tcW w:w="1022" w:type="dxa"/>
          </w:tcPr>
          <w:p>
            <w:pPr>
              <w:pStyle w:val="0"/>
              <w:jc w:val="center"/>
            </w:pPr>
            <w:r>
              <w:rPr>
                <w:sz w:val="20"/>
              </w:rPr>
              <w:t xml:space="preserve">248,37</w:t>
            </w:r>
          </w:p>
        </w:tc>
        <w:tc>
          <w:tcPr>
            <w:tcW w:w="1134" w:type="dxa"/>
          </w:tcPr>
          <w:p>
            <w:pPr>
              <w:pStyle w:val="0"/>
              <w:jc w:val="center"/>
            </w:pPr>
            <w:r>
              <w:rPr>
                <w:sz w:val="20"/>
              </w:rPr>
              <w:t xml:space="preserve">202,83</w:t>
            </w:r>
          </w:p>
        </w:tc>
        <w:tc>
          <w:tcPr>
            <w:tcW w:w="1077" w:type="dxa"/>
          </w:tcPr>
          <w:p>
            <w:pPr>
              <w:pStyle w:val="0"/>
              <w:jc w:val="center"/>
            </w:pPr>
            <w:r>
              <w:rPr>
                <w:sz w:val="20"/>
              </w:rPr>
              <w:t xml:space="preserve">198,29</w:t>
            </w:r>
          </w:p>
        </w:tc>
        <w:tc>
          <w:tcPr>
            <w:tcW w:w="1757" w:type="dxa"/>
          </w:tcPr>
          <w:p>
            <w:pPr>
              <w:pStyle w:val="0"/>
              <w:jc w:val="center"/>
            </w:pPr>
            <w:r>
              <w:rPr>
                <w:sz w:val="20"/>
              </w:rPr>
              <w:t xml:space="preserve">-2,24</w:t>
            </w:r>
          </w:p>
        </w:tc>
      </w:tr>
      <w:tr>
        <w:tc>
          <w:tcPr>
            <w:tcW w:w="627" w:type="dxa"/>
          </w:tcPr>
          <w:p>
            <w:pPr>
              <w:pStyle w:val="0"/>
              <w:jc w:val="both"/>
            </w:pPr>
            <w:r>
              <w:rPr>
                <w:sz w:val="20"/>
              </w:rPr>
              <w:t xml:space="preserve">2</w:t>
            </w:r>
          </w:p>
        </w:tc>
        <w:tc>
          <w:tcPr>
            <w:tcW w:w="3457" w:type="dxa"/>
          </w:tcPr>
          <w:p>
            <w:pPr>
              <w:pStyle w:val="0"/>
              <w:jc w:val="both"/>
            </w:pPr>
            <w:r>
              <w:rPr>
                <w:sz w:val="20"/>
              </w:rPr>
              <w:t xml:space="preserve">ЗНО полости рта и глотки</w:t>
            </w:r>
          </w:p>
        </w:tc>
        <w:tc>
          <w:tcPr>
            <w:tcW w:w="1022" w:type="dxa"/>
          </w:tcPr>
          <w:p>
            <w:pPr>
              <w:pStyle w:val="0"/>
              <w:jc w:val="center"/>
            </w:pPr>
            <w:r>
              <w:rPr>
                <w:sz w:val="20"/>
              </w:rPr>
              <w:t xml:space="preserve">8,48</w:t>
            </w:r>
          </w:p>
        </w:tc>
        <w:tc>
          <w:tcPr>
            <w:tcW w:w="1134" w:type="dxa"/>
          </w:tcPr>
          <w:p>
            <w:pPr>
              <w:pStyle w:val="0"/>
              <w:jc w:val="center"/>
            </w:pPr>
            <w:r>
              <w:rPr>
                <w:sz w:val="20"/>
              </w:rPr>
              <w:t xml:space="preserve">4,52</w:t>
            </w:r>
          </w:p>
        </w:tc>
        <w:tc>
          <w:tcPr>
            <w:tcW w:w="1077" w:type="dxa"/>
          </w:tcPr>
          <w:p>
            <w:pPr>
              <w:pStyle w:val="0"/>
              <w:jc w:val="center"/>
            </w:pPr>
            <w:r>
              <w:rPr>
                <w:sz w:val="20"/>
              </w:rPr>
              <w:t xml:space="preserve">4,80</w:t>
            </w:r>
          </w:p>
        </w:tc>
        <w:tc>
          <w:tcPr>
            <w:tcW w:w="1757" w:type="dxa"/>
          </w:tcPr>
          <w:p>
            <w:pPr>
              <w:pStyle w:val="0"/>
              <w:jc w:val="center"/>
            </w:pPr>
            <w:r>
              <w:rPr>
                <w:sz w:val="20"/>
              </w:rPr>
              <w:t xml:space="preserve">6,06</w:t>
            </w:r>
          </w:p>
        </w:tc>
      </w:tr>
      <w:tr>
        <w:tc>
          <w:tcPr>
            <w:tcW w:w="627" w:type="dxa"/>
          </w:tcPr>
          <w:p>
            <w:pPr>
              <w:pStyle w:val="0"/>
              <w:jc w:val="both"/>
            </w:pPr>
            <w:r>
              <w:rPr>
                <w:sz w:val="20"/>
              </w:rPr>
              <w:t xml:space="preserve">3</w:t>
            </w:r>
          </w:p>
        </w:tc>
        <w:tc>
          <w:tcPr>
            <w:tcW w:w="3457" w:type="dxa"/>
          </w:tcPr>
          <w:p>
            <w:pPr>
              <w:pStyle w:val="0"/>
              <w:jc w:val="both"/>
            </w:pPr>
            <w:r>
              <w:rPr>
                <w:sz w:val="20"/>
              </w:rPr>
              <w:t xml:space="preserve">ЗНО органов пищеварения</w:t>
            </w:r>
          </w:p>
        </w:tc>
        <w:tc>
          <w:tcPr>
            <w:tcW w:w="1022" w:type="dxa"/>
          </w:tcPr>
          <w:p>
            <w:pPr>
              <w:pStyle w:val="0"/>
              <w:jc w:val="center"/>
            </w:pPr>
            <w:r>
              <w:rPr>
                <w:sz w:val="20"/>
              </w:rPr>
              <w:t xml:space="preserve">91,05</w:t>
            </w:r>
          </w:p>
        </w:tc>
        <w:tc>
          <w:tcPr>
            <w:tcW w:w="1134" w:type="dxa"/>
          </w:tcPr>
          <w:p>
            <w:pPr>
              <w:pStyle w:val="0"/>
              <w:jc w:val="center"/>
            </w:pPr>
            <w:r>
              <w:rPr>
                <w:sz w:val="20"/>
              </w:rPr>
              <w:t xml:space="preserve">80,27</w:t>
            </w:r>
          </w:p>
        </w:tc>
        <w:tc>
          <w:tcPr>
            <w:tcW w:w="1077" w:type="dxa"/>
          </w:tcPr>
          <w:p>
            <w:pPr>
              <w:pStyle w:val="0"/>
              <w:jc w:val="center"/>
            </w:pPr>
            <w:r>
              <w:rPr>
                <w:sz w:val="20"/>
              </w:rPr>
              <w:t xml:space="preserve">77,55</w:t>
            </w:r>
          </w:p>
        </w:tc>
        <w:tc>
          <w:tcPr>
            <w:tcW w:w="1757" w:type="dxa"/>
          </w:tcPr>
          <w:p>
            <w:pPr>
              <w:pStyle w:val="0"/>
              <w:jc w:val="center"/>
            </w:pPr>
            <w:r>
              <w:rPr>
                <w:sz w:val="20"/>
              </w:rPr>
              <w:t xml:space="preserve">-3,39</w:t>
            </w:r>
          </w:p>
        </w:tc>
      </w:tr>
      <w:tr>
        <w:tc>
          <w:tcPr>
            <w:tcW w:w="627" w:type="dxa"/>
          </w:tcPr>
          <w:p>
            <w:pPr>
              <w:pStyle w:val="0"/>
              <w:jc w:val="both"/>
            </w:pPr>
            <w:r>
              <w:rPr>
                <w:sz w:val="20"/>
              </w:rPr>
              <w:t xml:space="preserve">4</w:t>
            </w:r>
          </w:p>
        </w:tc>
        <w:tc>
          <w:tcPr>
            <w:tcW w:w="3457" w:type="dxa"/>
          </w:tcPr>
          <w:p>
            <w:pPr>
              <w:pStyle w:val="0"/>
              <w:jc w:val="both"/>
            </w:pPr>
            <w:r>
              <w:rPr>
                <w:sz w:val="20"/>
              </w:rPr>
              <w:t xml:space="preserve">ЗНО органов дыхания и грудной клетки</w:t>
            </w:r>
          </w:p>
        </w:tc>
        <w:tc>
          <w:tcPr>
            <w:tcW w:w="1022" w:type="dxa"/>
          </w:tcPr>
          <w:p>
            <w:pPr>
              <w:pStyle w:val="0"/>
              <w:jc w:val="center"/>
            </w:pPr>
            <w:r>
              <w:rPr>
                <w:sz w:val="20"/>
              </w:rPr>
              <w:t xml:space="preserve">43,74</w:t>
            </w:r>
          </w:p>
        </w:tc>
        <w:tc>
          <w:tcPr>
            <w:tcW w:w="1134" w:type="dxa"/>
          </w:tcPr>
          <w:p>
            <w:pPr>
              <w:pStyle w:val="0"/>
              <w:jc w:val="center"/>
            </w:pPr>
            <w:r>
              <w:rPr>
                <w:sz w:val="20"/>
              </w:rPr>
              <w:t xml:space="preserve">35,22</w:t>
            </w:r>
          </w:p>
        </w:tc>
        <w:tc>
          <w:tcPr>
            <w:tcW w:w="1077" w:type="dxa"/>
          </w:tcPr>
          <w:p>
            <w:pPr>
              <w:pStyle w:val="0"/>
              <w:jc w:val="center"/>
            </w:pPr>
            <w:r>
              <w:rPr>
                <w:sz w:val="20"/>
              </w:rPr>
              <w:t xml:space="preserve">26,68</w:t>
            </w:r>
          </w:p>
        </w:tc>
        <w:tc>
          <w:tcPr>
            <w:tcW w:w="1757" w:type="dxa"/>
          </w:tcPr>
          <w:p>
            <w:pPr>
              <w:pStyle w:val="0"/>
              <w:jc w:val="center"/>
            </w:pPr>
            <w:r>
              <w:rPr>
                <w:sz w:val="20"/>
              </w:rPr>
              <w:t xml:space="preserve">-24,23</w:t>
            </w:r>
          </w:p>
        </w:tc>
      </w:tr>
      <w:tr>
        <w:tc>
          <w:tcPr>
            <w:tcW w:w="627" w:type="dxa"/>
          </w:tcPr>
          <w:p>
            <w:pPr>
              <w:pStyle w:val="0"/>
              <w:jc w:val="both"/>
            </w:pPr>
            <w:r>
              <w:rPr>
                <w:sz w:val="20"/>
              </w:rPr>
              <w:t xml:space="preserve">5</w:t>
            </w:r>
          </w:p>
        </w:tc>
        <w:tc>
          <w:tcPr>
            <w:tcW w:w="3457" w:type="dxa"/>
          </w:tcPr>
          <w:p>
            <w:pPr>
              <w:pStyle w:val="0"/>
              <w:jc w:val="both"/>
            </w:pPr>
            <w:r>
              <w:rPr>
                <w:sz w:val="20"/>
              </w:rPr>
              <w:t xml:space="preserve">ЗНО костей</w:t>
            </w:r>
          </w:p>
        </w:tc>
        <w:tc>
          <w:tcPr>
            <w:tcW w:w="1022" w:type="dxa"/>
          </w:tcPr>
          <w:p>
            <w:pPr>
              <w:pStyle w:val="0"/>
              <w:jc w:val="center"/>
            </w:pPr>
            <w:r>
              <w:rPr>
                <w:sz w:val="20"/>
              </w:rPr>
              <w:t xml:space="preserve">0,67</w:t>
            </w:r>
          </w:p>
        </w:tc>
        <w:tc>
          <w:tcPr>
            <w:tcW w:w="1134" w:type="dxa"/>
          </w:tcPr>
          <w:p>
            <w:pPr>
              <w:pStyle w:val="0"/>
              <w:jc w:val="center"/>
            </w:pPr>
            <w:r>
              <w:rPr>
                <w:sz w:val="20"/>
              </w:rPr>
              <w:t xml:space="preserve">0,39</w:t>
            </w:r>
          </w:p>
        </w:tc>
        <w:tc>
          <w:tcPr>
            <w:tcW w:w="1077" w:type="dxa"/>
          </w:tcPr>
          <w:p>
            <w:pPr>
              <w:pStyle w:val="0"/>
              <w:jc w:val="center"/>
            </w:pPr>
            <w:r>
              <w:rPr>
                <w:sz w:val="20"/>
              </w:rPr>
              <w:t xml:space="preserve">0,96</w:t>
            </w:r>
          </w:p>
        </w:tc>
        <w:tc>
          <w:tcPr>
            <w:tcW w:w="1757" w:type="dxa"/>
          </w:tcPr>
          <w:p>
            <w:pPr>
              <w:pStyle w:val="0"/>
              <w:jc w:val="center"/>
            </w:pPr>
            <w:r>
              <w:rPr>
                <w:sz w:val="20"/>
              </w:rPr>
              <w:t xml:space="preserve">143,93</w:t>
            </w:r>
          </w:p>
        </w:tc>
      </w:tr>
      <w:tr>
        <w:tc>
          <w:tcPr>
            <w:tcW w:w="627" w:type="dxa"/>
          </w:tcPr>
          <w:p>
            <w:pPr>
              <w:pStyle w:val="0"/>
              <w:jc w:val="both"/>
            </w:pPr>
            <w:r>
              <w:rPr>
                <w:sz w:val="20"/>
              </w:rPr>
              <w:t xml:space="preserve">6</w:t>
            </w:r>
          </w:p>
        </w:tc>
        <w:tc>
          <w:tcPr>
            <w:tcW w:w="3457" w:type="dxa"/>
          </w:tcPr>
          <w:p>
            <w:pPr>
              <w:pStyle w:val="0"/>
              <w:jc w:val="both"/>
            </w:pPr>
            <w:r>
              <w:rPr>
                <w:sz w:val="20"/>
              </w:rPr>
              <w:t xml:space="preserve">Меланома и ЗНО кожи</w:t>
            </w:r>
          </w:p>
        </w:tc>
        <w:tc>
          <w:tcPr>
            <w:tcW w:w="1022" w:type="dxa"/>
          </w:tcPr>
          <w:p>
            <w:pPr>
              <w:pStyle w:val="0"/>
              <w:jc w:val="center"/>
            </w:pPr>
            <w:r>
              <w:rPr>
                <w:sz w:val="20"/>
              </w:rPr>
              <w:t xml:space="preserve">7,36</w:t>
            </w:r>
          </w:p>
        </w:tc>
        <w:tc>
          <w:tcPr>
            <w:tcW w:w="1134" w:type="dxa"/>
          </w:tcPr>
          <w:p>
            <w:pPr>
              <w:pStyle w:val="0"/>
              <w:jc w:val="center"/>
            </w:pPr>
            <w:r>
              <w:rPr>
                <w:sz w:val="20"/>
              </w:rPr>
              <w:t xml:space="preserve">3,93</w:t>
            </w:r>
          </w:p>
        </w:tc>
        <w:tc>
          <w:tcPr>
            <w:tcW w:w="1077" w:type="dxa"/>
          </w:tcPr>
          <w:p>
            <w:pPr>
              <w:pStyle w:val="0"/>
              <w:jc w:val="center"/>
            </w:pPr>
            <w:r>
              <w:rPr>
                <w:sz w:val="20"/>
              </w:rPr>
              <w:t xml:space="preserve">6,14</w:t>
            </w:r>
          </w:p>
        </w:tc>
        <w:tc>
          <w:tcPr>
            <w:tcW w:w="1757" w:type="dxa"/>
          </w:tcPr>
          <w:p>
            <w:pPr>
              <w:pStyle w:val="0"/>
              <w:jc w:val="center"/>
            </w:pPr>
            <w:r>
              <w:rPr>
                <w:sz w:val="20"/>
              </w:rPr>
              <w:t xml:space="preserve">56,11</w:t>
            </w:r>
          </w:p>
        </w:tc>
      </w:tr>
      <w:tr>
        <w:tc>
          <w:tcPr>
            <w:tcW w:w="627" w:type="dxa"/>
          </w:tcPr>
          <w:p>
            <w:pPr>
              <w:pStyle w:val="0"/>
              <w:jc w:val="both"/>
            </w:pPr>
            <w:r>
              <w:rPr>
                <w:sz w:val="20"/>
              </w:rPr>
              <w:t xml:space="preserve">7</w:t>
            </w:r>
          </w:p>
        </w:tc>
        <w:tc>
          <w:tcPr>
            <w:tcW w:w="3457" w:type="dxa"/>
          </w:tcPr>
          <w:p>
            <w:pPr>
              <w:pStyle w:val="0"/>
              <w:jc w:val="both"/>
            </w:pPr>
            <w:r>
              <w:rPr>
                <w:sz w:val="20"/>
              </w:rPr>
              <w:t xml:space="preserve">ЗНО мягких тканей</w:t>
            </w:r>
          </w:p>
        </w:tc>
        <w:tc>
          <w:tcPr>
            <w:tcW w:w="1022" w:type="dxa"/>
          </w:tcPr>
          <w:p>
            <w:pPr>
              <w:pStyle w:val="0"/>
              <w:jc w:val="center"/>
            </w:pPr>
            <w:r>
              <w:rPr>
                <w:sz w:val="20"/>
              </w:rPr>
              <w:t xml:space="preserve">2,45</w:t>
            </w:r>
          </w:p>
        </w:tc>
        <w:tc>
          <w:tcPr>
            <w:tcW w:w="1134" w:type="dxa"/>
          </w:tcPr>
          <w:p>
            <w:pPr>
              <w:pStyle w:val="0"/>
              <w:jc w:val="center"/>
            </w:pPr>
            <w:r>
              <w:rPr>
                <w:sz w:val="20"/>
              </w:rPr>
              <w:t xml:space="preserve">3,54</w:t>
            </w:r>
          </w:p>
        </w:tc>
        <w:tc>
          <w:tcPr>
            <w:tcW w:w="1077" w:type="dxa"/>
          </w:tcPr>
          <w:p>
            <w:pPr>
              <w:pStyle w:val="0"/>
              <w:jc w:val="center"/>
            </w:pPr>
            <w:r>
              <w:rPr>
                <w:sz w:val="20"/>
              </w:rPr>
              <w:t xml:space="preserve">4,03</w:t>
            </w:r>
          </w:p>
        </w:tc>
        <w:tc>
          <w:tcPr>
            <w:tcW w:w="1757" w:type="dxa"/>
          </w:tcPr>
          <w:p>
            <w:pPr>
              <w:pStyle w:val="0"/>
              <w:jc w:val="center"/>
            </w:pPr>
            <w:r>
              <w:rPr>
                <w:sz w:val="20"/>
              </w:rPr>
              <w:t xml:space="preserve">13,83</w:t>
            </w:r>
          </w:p>
        </w:tc>
      </w:tr>
      <w:tr>
        <w:tc>
          <w:tcPr>
            <w:tcW w:w="627" w:type="dxa"/>
          </w:tcPr>
          <w:p>
            <w:pPr>
              <w:pStyle w:val="0"/>
              <w:jc w:val="both"/>
            </w:pPr>
            <w:r>
              <w:rPr>
                <w:sz w:val="20"/>
              </w:rPr>
              <w:t xml:space="preserve">8</w:t>
            </w:r>
          </w:p>
        </w:tc>
        <w:tc>
          <w:tcPr>
            <w:tcW w:w="3457" w:type="dxa"/>
          </w:tcPr>
          <w:p>
            <w:pPr>
              <w:pStyle w:val="0"/>
              <w:jc w:val="both"/>
            </w:pPr>
            <w:r>
              <w:rPr>
                <w:sz w:val="20"/>
              </w:rPr>
              <w:t xml:space="preserve">ЗНО грудной железы</w:t>
            </w:r>
          </w:p>
        </w:tc>
        <w:tc>
          <w:tcPr>
            <w:tcW w:w="1022" w:type="dxa"/>
          </w:tcPr>
          <w:p>
            <w:pPr>
              <w:pStyle w:val="0"/>
              <w:jc w:val="center"/>
            </w:pPr>
            <w:r>
              <w:rPr>
                <w:sz w:val="20"/>
              </w:rPr>
              <w:t xml:space="preserve">18,97</w:t>
            </w:r>
          </w:p>
        </w:tc>
        <w:tc>
          <w:tcPr>
            <w:tcW w:w="1134" w:type="dxa"/>
          </w:tcPr>
          <w:p>
            <w:pPr>
              <w:pStyle w:val="0"/>
              <w:jc w:val="center"/>
            </w:pPr>
            <w:r>
              <w:rPr>
                <w:sz w:val="20"/>
              </w:rPr>
              <w:t xml:space="preserve">17,90</w:t>
            </w:r>
          </w:p>
        </w:tc>
        <w:tc>
          <w:tcPr>
            <w:tcW w:w="1077" w:type="dxa"/>
          </w:tcPr>
          <w:p>
            <w:pPr>
              <w:pStyle w:val="0"/>
              <w:jc w:val="center"/>
            </w:pPr>
            <w:r>
              <w:rPr>
                <w:sz w:val="20"/>
              </w:rPr>
              <w:t xml:space="preserve">18,04</w:t>
            </w:r>
          </w:p>
        </w:tc>
        <w:tc>
          <w:tcPr>
            <w:tcW w:w="1757" w:type="dxa"/>
          </w:tcPr>
          <w:p>
            <w:pPr>
              <w:pStyle w:val="0"/>
              <w:jc w:val="center"/>
            </w:pPr>
            <w:r>
              <w:rPr>
                <w:sz w:val="20"/>
              </w:rPr>
              <w:t xml:space="preserve">0,79</w:t>
            </w:r>
          </w:p>
        </w:tc>
      </w:tr>
      <w:tr>
        <w:tc>
          <w:tcPr>
            <w:tcW w:w="627" w:type="dxa"/>
          </w:tcPr>
          <w:p>
            <w:pPr>
              <w:pStyle w:val="0"/>
              <w:jc w:val="both"/>
            </w:pPr>
            <w:r>
              <w:rPr>
                <w:sz w:val="20"/>
              </w:rPr>
              <w:t xml:space="preserve">9</w:t>
            </w:r>
          </w:p>
        </w:tc>
        <w:tc>
          <w:tcPr>
            <w:tcW w:w="3457" w:type="dxa"/>
          </w:tcPr>
          <w:p>
            <w:pPr>
              <w:pStyle w:val="0"/>
              <w:jc w:val="both"/>
            </w:pPr>
            <w:r>
              <w:rPr>
                <w:sz w:val="20"/>
              </w:rPr>
              <w:t xml:space="preserve">ЗНО женских половых органов</w:t>
            </w:r>
          </w:p>
        </w:tc>
        <w:tc>
          <w:tcPr>
            <w:tcW w:w="1022" w:type="dxa"/>
          </w:tcPr>
          <w:p>
            <w:pPr>
              <w:pStyle w:val="0"/>
              <w:jc w:val="center"/>
            </w:pPr>
            <w:r>
              <w:rPr>
                <w:sz w:val="20"/>
              </w:rPr>
              <w:t xml:space="preserve">17,85</w:t>
            </w:r>
          </w:p>
        </w:tc>
        <w:tc>
          <w:tcPr>
            <w:tcW w:w="1134" w:type="dxa"/>
          </w:tcPr>
          <w:p>
            <w:pPr>
              <w:pStyle w:val="0"/>
              <w:jc w:val="center"/>
            </w:pPr>
            <w:r>
              <w:rPr>
                <w:sz w:val="20"/>
              </w:rPr>
              <w:t xml:space="preserve">13,18</w:t>
            </w:r>
          </w:p>
        </w:tc>
        <w:tc>
          <w:tcPr>
            <w:tcW w:w="1077" w:type="dxa"/>
          </w:tcPr>
          <w:p>
            <w:pPr>
              <w:pStyle w:val="0"/>
              <w:jc w:val="center"/>
            </w:pPr>
            <w:r>
              <w:rPr>
                <w:sz w:val="20"/>
              </w:rPr>
              <w:t xml:space="preserve">16,51</w:t>
            </w:r>
          </w:p>
        </w:tc>
        <w:tc>
          <w:tcPr>
            <w:tcW w:w="1757" w:type="dxa"/>
          </w:tcPr>
          <w:p>
            <w:pPr>
              <w:pStyle w:val="0"/>
              <w:jc w:val="center"/>
            </w:pPr>
            <w:r>
              <w:rPr>
                <w:sz w:val="20"/>
              </w:rPr>
              <w:t xml:space="preserve">25,24</w:t>
            </w:r>
          </w:p>
        </w:tc>
      </w:tr>
      <w:tr>
        <w:tc>
          <w:tcPr>
            <w:tcW w:w="627" w:type="dxa"/>
          </w:tcPr>
          <w:p>
            <w:pPr>
              <w:pStyle w:val="0"/>
              <w:jc w:val="both"/>
            </w:pPr>
            <w:r>
              <w:rPr>
                <w:sz w:val="20"/>
              </w:rPr>
              <w:t xml:space="preserve">10</w:t>
            </w:r>
          </w:p>
        </w:tc>
        <w:tc>
          <w:tcPr>
            <w:tcW w:w="3457" w:type="dxa"/>
          </w:tcPr>
          <w:p>
            <w:pPr>
              <w:pStyle w:val="0"/>
              <w:jc w:val="both"/>
            </w:pPr>
            <w:r>
              <w:rPr>
                <w:sz w:val="20"/>
              </w:rPr>
              <w:t xml:space="preserve">ЗНО мужских половых органов</w:t>
            </w:r>
          </w:p>
        </w:tc>
        <w:tc>
          <w:tcPr>
            <w:tcW w:w="1022" w:type="dxa"/>
          </w:tcPr>
          <w:p>
            <w:pPr>
              <w:pStyle w:val="0"/>
              <w:jc w:val="center"/>
            </w:pPr>
            <w:r>
              <w:rPr>
                <w:sz w:val="20"/>
              </w:rPr>
              <w:t xml:space="preserve">16,07</w:t>
            </w:r>
          </w:p>
        </w:tc>
        <w:tc>
          <w:tcPr>
            <w:tcW w:w="1134" w:type="dxa"/>
          </w:tcPr>
          <w:p>
            <w:pPr>
              <w:pStyle w:val="0"/>
              <w:jc w:val="center"/>
            </w:pPr>
            <w:r>
              <w:rPr>
                <w:sz w:val="20"/>
              </w:rPr>
              <w:t xml:space="preserve">12,79</w:t>
            </w:r>
          </w:p>
        </w:tc>
        <w:tc>
          <w:tcPr>
            <w:tcW w:w="1077" w:type="dxa"/>
          </w:tcPr>
          <w:p>
            <w:pPr>
              <w:pStyle w:val="0"/>
              <w:jc w:val="center"/>
            </w:pPr>
            <w:r>
              <w:rPr>
                <w:sz w:val="20"/>
              </w:rPr>
              <w:t xml:space="preserve">11,33</w:t>
            </w:r>
          </w:p>
        </w:tc>
        <w:tc>
          <w:tcPr>
            <w:tcW w:w="1757" w:type="dxa"/>
          </w:tcPr>
          <w:p>
            <w:pPr>
              <w:pStyle w:val="0"/>
              <w:jc w:val="center"/>
            </w:pPr>
            <w:r>
              <w:rPr>
                <w:sz w:val="20"/>
              </w:rPr>
              <w:t xml:space="preserve">-11,44</w:t>
            </w:r>
          </w:p>
        </w:tc>
      </w:tr>
      <w:tr>
        <w:tc>
          <w:tcPr>
            <w:tcW w:w="627" w:type="dxa"/>
          </w:tcPr>
          <w:p>
            <w:pPr>
              <w:pStyle w:val="0"/>
              <w:jc w:val="both"/>
            </w:pPr>
            <w:r>
              <w:rPr>
                <w:sz w:val="20"/>
              </w:rPr>
              <w:t xml:space="preserve">11</w:t>
            </w:r>
          </w:p>
        </w:tc>
        <w:tc>
          <w:tcPr>
            <w:tcW w:w="3457" w:type="dxa"/>
          </w:tcPr>
          <w:p>
            <w:pPr>
              <w:pStyle w:val="0"/>
              <w:jc w:val="both"/>
            </w:pPr>
            <w:r>
              <w:rPr>
                <w:sz w:val="20"/>
              </w:rPr>
              <w:t xml:space="preserve">ЗНО мочевыводящих путей</w:t>
            </w:r>
          </w:p>
        </w:tc>
        <w:tc>
          <w:tcPr>
            <w:tcW w:w="1022" w:type="dxa"/>
          </w:tcPr>
          <w:p>
            <w:pPr>
              <w:pStyle w:val="0"/>
              <w:jc w:val="center"/>
            </w:pPr>
            <w:r>
              <w:rPr>
                <w:sz w:val="20"/>
              </w:rPr>
              <w:t xml:space="preserve">17,85</w:t>
            </w:r>
          </w:p>
        </w:tc>
        <w:tc>
          <w:tcPr>
            <w:tcW w:w="1134" w:type="dxa"/>
          </w:tcPr>
          <w:p>
            <w:pPr>
              <w:pStyle w:val="0"/>
              <w:jc w:val="center"/>
            </w:pPr>
            <w:r>
              <w:rPr>
                <w:sz w:val="20"/>
              </w:rPr>
              <w:t xml:space="preserve">12,59</w:t>
            </w:r>
          </w:p>
        </w:tc>
        <w:tc>
          <w:tcPr>
            <w:tcW w:w="1077" w:type="dxa"/>
          </w:tcPr>
          <w:p>
            <w:pPr>
              <w:pStyle w:val="0"/>
              <w:jc w:val="center"/>
            </w:pPr>
            <w:r>
              <w:rPr>
                <w:sz w:val="20"/>
              </w:rPr>
              <w:t xml:space="preserve">12,48</w:t>
            </w:r>
          </w:p>
        </w:tc>
        <w:tc>
          <w:tcPr>
            <w:tcW w:w="1757" w:type="dxa"/>
          </w:tcPr>
          <w:p>
            <w:pPr>
              <w:pStyle w:val="0"/>
              <w:jc w:val="center"/>
            </w:pPr>
            <w:r>
              <w:rPr>
                <w:sz w:val="20"/>
              </w:rPr>
              <w:t xml:space="preserve">-0,90</w:t>
            </w:r>
          </w:p>
        </w:tc>
      </w:tr>
      <w:tr>
        <w:tc>
          <w:tcPr>
            <w:tcW w:w="627" w:type="dxa"/>
          </w:tcPr>
          <w:p>
            <w:pPr>
              <w:pStyle w:val="0"/>
              <w:jc w:val="both"/>
            </w:pPr>
            <w:r>
              <w:rPr>
                <w:sz w:val="20"/>
              </w:rPr>
              <w:t xml:space="preserve">12</w:t>
            </w:r>
          </w:p>
        </w:tc>
        <w:tc>
          <w:tcPr>
            <w:tcW w:w="3457" w:type="dxa"/>
          </w:tcPr>
          <w:p>
            <w:pPr>
              <w:pStyle w:val="0"/>
              <w:jc w:val="both"/>
            </w:pPr>
            <w:r>
              <w:rPr>
                <w:sz w:val="20"/>
              </w:rPr>
              <w:t xml:space="preserve">ЗНО головного мозга</w:t>
            </w:r>
          </w:p>
        </w:tc>
        <w:tc>
          <w:tcPr>
            <w:tcW w:w="1022" w:type="dxa"/>
          </w:tcPr>
          <w:p>
            <w:pPr>
              <w:pStyle w:val="0"/>
              <w:jc w:val="center"/>
            </w:pPr>
            <w:r>
              <w:rPr>
                <w:sz w:val="20"/>
              </w:rPr>
              <w:t xml:space="preserve">8,26</w:t>
            </w:r>
          </w:p>
        </w:tc>
        <w:tc>
          <w:tcPr>
            <w:tcW w:w="1134" w:type="dxa"/>
          </w:tcPr>
          <w:p>
            <w:pPr>
              <w:pStyle w:val="0"/>
              <w:jc w:val="center"/>
            </w:pPr>
            <w:r>
              <w:rPr>
                <w:sz w:val="20"/>
              </w:rPr>
              <w:t xml:space="preserve">6,30</w:t>
            </w:r>
          </w:p>
        </w:tc>
        <w:tc>
          <w:tcPr>
            <w:tcW w:w="1077" w:type="dxa"/>
          </w:tcPr>
          <w:p>
            <w:pPr>
              <w:pStyle w:val="0"/>
              <w:jc w:val="center"/>
            </w:pPr>
            <w:r>
              <w:rPr>
                <w:sz w:val="20"/>
              </w:rPr>
              <w:t xml:space="preserve">9,98</w:t>
            </w:r>
          </w:p>
        </w:tc>
        <w:tc>
          <w:tcPr>
            <w:tcW w:w="1757" w:type="dxa"/>
          </w:tcPr>
          <w:p>
            <w:pPr>
              <w:pStyle w:val="0"/>
              <w:jc w:val="center"/>
            </w:pPr>
            <w:r>
              <w:rPr>
                <w:sz w:val="20"/>
              </w:rPr>
              <w:t xml:space="preserve">58,55</w:t>
            </w:r>
          </w:p>
        </w:tc>
      </w:tr>
      <w:tr>
        <w:tc>
          <w:tcPr>
            <w:tcW w:w="627" w:type="dxa"/>
          </w:tcPr>
          <w:p>
            <w:pPr>
              <w:pStyle w:val="0"/>
              <w:jc w:val="both"/>
            </w:pPr>
            <w:r>
              <w:rPr>
                <w:sz w:val="20"/>
              </w:rPr>
              <w:t xml:space="preserve">13</w:t>
            </w:r>
          </w:p>
        </w:tc>
        <w:tc>
          <w:tcPr>
            <w:tcW w:w="3457" w:type="dxa"/>
          </w:tcPr>
          <w:p>
            <w:pPr>
              <w:pStyle w:val="0"/>
              <w:jc w:val="both"/>
            </w:pPr>
            <w:r>
              <w:rPr>
                <w:sz w:val="20"/>
              </w:rPr>
              <w:t xml:space="preserve">ЗНО щитовидной железы</w:t>
            </w:r>
          </w:p>
        </w:tc>
        <w:tc>
          <w:tcPr>
            <w:tcW w:w="1022" w:type="dxa"/>
          </w:tcPr>
          <w:p>
            <w:pPr>
              <w:pStyle w:val="0"/>
              <w:jc w:val="center"/>
            </w:pPr>
            <w:r>
              <w:rPr>
                <w:sz w:val="20"/>
              </w:rPr>
              <w:t xml:space="preserve">0,45</w:t>
            </w:r>
          </w:p>
        </w:tc>
        <w:tc>
          <w:tcPr>
            <w:tcW w:w="1134" w:type="dxa"/>
          </w:tcPr>
          <w:p>
            <w:pPr>
              <w:pStyle w:val="0"/>
              <w:jc w:val="center"/>
            </w:pPr>
            <w:r>
              <w:rPr>
                <w:sz w:val="20"/>
              </w:rPr>
              <w:t xml:space="preserve">1,77</w:t>
            </w:r>
          </w:p>
        </w:tc>
        <w:tc>
          <w:tcPr>
            <w:tcW w:w="1077" w:type="dxa"/>
          </w:tcPr>
          <w:p>
            <w:pPr>
              <w:pStyle w:val="0"/>
              <w:jc w:val="center"/>
            </w:pPr>
            <w:r>
              <w:rPr>
                <w:sz w:val="20"/>
              </w:rPr>
              <w:t xml:space="preserve">1,34</w:t>
            </w:r>
          </w:p>
        </w:tc>
        <w:tc>
          <w:tcPr>
            <w:tcW w:w="1757" w:type="dxa"/>
          </w:tcPr>
          <w:p>
            <w:pPr>
              <w:pStyle w:val="0"/>
              <w:jc w:val="center"/>
            </w:pPr>
            <w:r>
              <w:rPr>
                <w:sz w:val="20"/>
              </w:rPr>
              <w:t xml:space="preserve">-24,11</w:t>
            </w:r>
          </w:p>
        </w:tc>
      </w:tr>
      <w:tr>
        <w:tc>
          <w:tcPr>
            <w:tcW w:w="627" w:type="dxa"/>
          </w:tcPr>
          <w:p>
            <w:pPr>
              <w:pStyle w:val="0"/>
              <w:jc w:val="both"/>
            </w:pPr>
            <w:r>
              <w:rPr>
                <w:sz w:val="20"/>
              </w:rPr>
              <w:t xml:space="preserve">14</w:t>
            </w:r>
          </w:p>
        </w:tc>
        <w:tc>
          <w:tcPr>
            <w:tcW w:w="3457" w:type="dxa"/>
          </w:tcPr>
          <w:p>
            <w:pPr>
              <w:pStyle w:val="0"/>
              <w:jc w:val="both"/>
            </w:pPr>
            <w:r>
              <w:rPr>
                <w:sz w:val="20"/>
              </w:rPr>
              <w:t xml:space="preserve">ЗНО неточно обозначенных, вторичных локализаций</w:t>
            </w:r>
          </w:p>
        </w:tc>
        <w:tc>
          <w:tcPr>
            <w:tcW w:w="1022" w:type="dxa"/>
          </w:tcPr>
          <w:p>
            <w:pPr>
              <w:pStyle w:val="0"/>
              <w:jc w:val="center"/>
            </w:pPr>
            <w:r>
              <w:rPr>
                <w:sz w:val="20"/>
              </w:rPr>
              <w:t xml:space="preserve">0,00</w:t>
            </w:r>
          </w:p>
        </w:tc>
        <w:tc>
          <w:tcPr>
            <w:tcW w:w="1134" w:type="dxa"/>
          </w:tcPr>
          <w:p>
            <w:pPr>
              <w:pStyle w:val="0"/>
              <w:jc w:val="center"/>
            </w:pPr>
            <w:r>
              <w:rPr>
                <w:sz w:val="20"/>
              </w:rPr>
              <w:t xml:space="preserve">0,79</w:t>
            </w:r>
          </w:p>
        </w:tc>
        <w:tc>
          <w:tcPr>
            <w:tcW w:w="1077" w:type="dxa"/>
          </w:tcPr>
          <w:p>
            <w:pPr>
              <w:pStyle w:val="0"/>
              <w:jc w:val="center"/>
            </w:pPr>
            <w:r>
              <w:rPr>
                <w:sz w:val="20"/>
              </w:rPr>
              <w:t xml:space="preserve">0,00</w:t>
            </w:r>
          </w:p>
        </w:tc>
        <w:tc>
          <w:tcPr>
            <w:tcW w:w="1757" w:type="dxa"/>
          </w:tcPr>
          <w:p>
            <w:pPr>
              <w:pStyle w:val="0"/>
              <w:jc w:val="center"/>
            </w:pPr>
            <w:r>
              <w:rPr>
                <w:sz w:val="20"/>
              </w:rPr>
              <w:t xml:space="preserve">-100,00</w:t>
            </w:r>
          </w:p>
        </w:tc>
      </w:tr>
      <w:tr>
        <w:tc>
          <w:tcPr>
            <w:tcW w:w="627" w:type="dxa"/>
          </w:tcPr>
          <w:p>
            <w:pPr>
              <w:pStyle w:val="0"/>
              <w:jc w:val="both"/>
            </w:pPr>
            <w:r>
              <w:rPr>
                <w:sz w:val="20"/>
              </w:rPr>
              <w:t xml:space="preserve">15</w:t>
            </w:r>
          </w:p>
        </w:tc>
        <w:tc>
          <w:tcPr>
            <w:tcW w:w="3457" w:type="dxa"/>
          </w:tcPr>
          <w:p>
            <w:pPr>
              <w:pStyle w:val="0"/>
              <w:jc w:val="both"/>
            </w:pPr>
            <w:r>
              <w:rPr>
                <w:sz w:val="20"/>
              </w:rPr>
              <w:t xml:space="preserve">ЗНО лимфоидной и кроветворной систем</w:t>
            </w:r>
          </w:p>
        </w:tc>
        <w:tc>
          <w:tcPr>
            <w:tcW w:w="1022" w:type="dxa"/>
          </w:tcPr>
          <w:p>
            <w:pPr>
              <w:pStyle w:val="0"/>
              <w:jc w:val="center"/>
            </w:pPr>
            <w:r>
              <w:rPr>
                <w:sz w:val="20"/>
              </w:rPr>
              <w:t xml:space="preserve">15,17</w:t>
            </w:r>
          </w:p>
        </w:tc>
        <w:tc>
          <w:tcPr>
            <w:tcW w:w="1134" w:type="dxa"/>
          </w:tcPr>
          <w:p>
            <w:pPr>
              <w:pStyle w:val="0"/>
              <w:jc w:val="center"/>
            </w:pPr>
            <w:r>
              <w:rPr>
                <w:sz w:val="20"/>
              </w:rPr>
              <w:t xml:space="preserve">9,64</w:t>
            </w:r>
          </w:p>
        </w:tc>
        <w:tc>
          <w:tcPr>
            <w:tcW w:w="1077" w:type="dxa"/>
          </w:tcPr>
          <w:p>
            <w:pPr>
              <w:pStyle w:val="0"/>
              <w:jc w:val="center"/>
            </w:pPr>
            <w:r>
              <w:rPr>
                <w:sz w:val="20"/>
              </w:rPr>
              <w:t xml:space="preserve">8,45</w:t>
            </w:r>
          </w:p>
        </w:tc>
        <w:tc>
          <w:tcPr>
            <w:tcW w:w="1757" w:type="dxa"/>
          </w:tcPr>
          <w:p>
            <w:pPr>
              <w:pStyle w:val="0"/>
              <w:jc w:val="center"/>
            </w:pPr>
            <w:r>
              <w:rPr>
                <w:sz w:val="20"/>
              </w:rPr>
              <w:t xml:space="preserve">-12,38</w:t>
            </w:r>
          </w:p>
        </w:tc>
      </w:tr>
    </w:tbl>
    <w:p>
      <w:pPr>
        <w:pStyle w:val="0"/>
        <w:ind w:firstLine="540"/>
        <w:jc w:val="both"/>
      </w:pPr>
      <w:r>
        <w:rPr>
          <w:sz w:val="20"/>
        </w:rPr>
      </w:r>
    </w:p>
    <w:p>
      <w:pPr>
        <w:pStyle w:val="0"/>
        <w:ind w:firstLine="540"/>
        <w:jc w:val="both"/>
      </w:pPr>
      <w:r>
        <w:rPr>
          <w:sz w:val="20"/>
        </w:rPr>
        <w:t xml:space="preserve">В 2022 году в структуре смертности первое место занимают ЗНО органов пищеварения, наблюдается снижение показателя на 3,4%, второе место занимают ЗНО органов дыхания и грудной клетки (показатель по сравнению с аналогичным периодом 2021 года снизился на 24,32%). На третьем месте - смертность от ЗНО грудной железы, которая выросла на 0,8%.</w:t>
      </w:r>
    </w:p>
    <w:p>
      <w:pPr>
        <w:pStyle w:val="0"/>
        <w:jc w:val="center"/>
      </w:pPr>
      <w:r>
        <w:rPr>
          <w:sz w:val="20"/>
        </w:rPr>
      </w:r>
    </w:p>
    <w:p>
      <w:pPr>
        <w:pStyle w:val="0"/>
        <w:jc w:val="right"/>
      </w:pPr>
      <w:r>
        <w:rPr>
          <w:sz w:val="20"/>
        </w:rPr>
        <w:t xml:space="preserve">Таблица N 15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1155"/>
        <w:gridCol w:w="1155"/>
        <w:gridCol w:w="1155"/>
        <w:gridCol w:w="1155"/>
        <w:gridCol w:w="1155"/>
      </w:tblGrid>
      <w:tr>
        <w:tc>
          <w:tcPr>
            <w:tcW w:w="3288" w:type="dxa"/>
            <w:vMerge w:val="restart"/>
          </w:tcPr>
          <w:p>
            <w:pPr>
              <w:pStyle w:val="0"/>
              <w:jc w:val="center"/>
            </w:pPr>
            <w:r>
              <w:rPr>
                <w:sz w:val="20"/>
              </w:rPr>
              <w:t xml:space="preserve">Наименование</w:t>
            </w:r>
          </w:p>
        </w:tc>
        <w:tc>
          <w:tcPr>
            <w:gridSpan w:val="5"/>
            <w:tcW w:w="5775" w:type="dxa"/>
          </w:tcPr>
          <w:p>
            <w:pPr>
              <w:pStyle w:val="0"/>
              <w:jc w:val="center"/>
            </w:pPr>
            <w:r>
              <w:rPr>
                <w:sz w:val="20"/>
              </w:rPr>
              <w:t xml:space="preserve">Умерло за 2022 год</w:t>
            </w:r>
          </w:p>
        </w:tc>
      </w:tr>
      <w:tr>
        <w:tc>
          <w:tcPr>
            <w:vMerge w:val="continue"/>
          </w:tcPr>
          <w:p/>
        </w:tc>
        <w:tc>
          <w:tcPr>
            <w:tcW w:w="1155" w:type="dxa"/>
            <w:vMerge w:val="restart"/>
          </w:tcPr>
          <w:p>
            <w:pPr>
              <w:pStyle w:val="0"/>
              <w:jc w:val="center"/>
            </w:pPr>
            <w:r>
              <w:rPr>
                <w:sz w:val="20"/>
              </w:rPr>
              <w:t xml:space="preserve">Всего, абс.</w:t>
            </w:r>
          </w:p>
        </w:tc>
        <w:tc>
          <w:tcPr>
            <w:gridSpan w:val="2"/>
            <w:tcW w:w="2310" w:type="dxa"/>
          </w:tcPr>
          <w:p>
            <w:pPr>
              <w:pStyle w:val="0"/>
              <w:jc w:val="center"/>
            </w:pPr>
            <w:r>
              <w:rPr>
                <w:sz w:val="20"/>
              </w:rPr>
              <w:t xml:space="preserve">Мужчины</w:t>
            </w:r>
          </w:p>
        </w:tc>
        <w:tc>
          <w:tcPr>
            <w:gridSpan w:val="2"/>
            <w:tcW w:w="2310" w:type="dxa"/>
          </w:tcPr>
          <w:p>
            <w:pPr>
              <w:pStyle w:val="0"/>
              <w:jc w:val="center"/>
            </w:pPr>
            <w:r>
              <w:rPr>
                <w:sz w:val="20"/>
              </w:rPr>
              <w:t xml:space="preserve">Женщины</w:t>
            </w:r>
          </w:p>
        </w:tc>
      </w:tr>
      <w:tr>
        <w:tc>
          <w:tcPr>
            <w:vMerge w:val="continue"/>
          </w:tcPr>
          <w:p/>
        </w:tc>
        <w:tc>
          <w:tcPr>
            <w:vMerge w:val="continue"/>
          </w:tcPr>
          <w:p/>
        </w:tc>
        <w:tc>
          <w:tcPr>
            <w:tcW w:w="1155" w:type="dxa"/>
          </w:tcPr>
          <w:p>
            <w:pPr>
              <w:pStyle w:val="0"/>
              <w:jc w:val="center"/>
            </w:pPr>
            <w:r>
              <w:rPr>
                <w:sz w:val="20"/>
              </w:rPr>
              <w:t xml:space="preserve">абс.</w:t>
            </w:r>
          </w:p>
        </w:tc>
        <w:tc>
          <w:tcPr>
            <w:tcW w:w="1155" w:type="dxa"/>
          </w:tcPr>
          <w:p>
            <w:pPr>
              <w:pStyle w:val="0"/>
              <w:jc w:val="center"/>
            </w:pPr>
            <w:r>
              <w:rPr>
                <w:sz w:val="20"/>
              </w:rPr>
              <w:t xml:space="preserve">доля, %</w:t>
            </w:r>
          </w:p>
        </w:tc>
        <w:tc>
          <w:tcPr>
            <w:tcW w:w="1155" w:type="dxa"/>
          </w:tcPr>
          <w:p>
            <w:pPr>
              <w:pStyle w:val="0"/>
              <w:jc w:val="center"/>
            </w:pPr>
            <w:r>
              <w:rPr>
                <w:sz w:val="20"/>
              </w:rPr>
              <w:t xml:space="preserve">абс.</w:t>
            </w:r>
          </w:p>
        </w:tc>
        <w:tc>
          <w:tcPr>
            <w:tcW w:w="1155" w:type="dxa"/>
          </w:tcPr>
          <w:p>
            <w:pPr>
              <w:pStyle w:val="0"/>
              <w:jc w:val="center"/>
            </w:pPr>
            <w:r>
              <w:rPr>
                <w:sz w:val="20"/>
              </w:rPr>
              <w:t xml:space="preserve">доля, %</w:t>
            </w:r>
          </w:p>
        </w:tc>
      </w:tr>
      <w:tr>
        <w:tc>
          <w:tcPr>
            <w:tcW w:w="3288" w:type="dxa"/>
          </w:tcPr>
          <w:p>
            <w:pPr>
              <w:pStyle w:val="0"/>
              <w:jc w:val="both"/>
            </w:pPr>
            <w:r>
              <w:rPr>
                <w:sz w:val="20"/>
              </w:rPr>
              <w:t xml:space="preserve">Новообразования</w:t>
            </w:r>
          </w:p>
        </w:tc>
        <w:tc>
          <w:tcPr>
            <w:tcW w:w="1155" w:type="dxa"/>
          </w:tcPr>
          <w:p>
            <w:pPr>
              <w:pStyle w:val="0"/>
              <w:jc w:val="center"/>
            </w:pPr>
            <w:r>
              <w:rPr>
                <w:sz w:val="20"/>
              </w:rPr>
              <w:t xml:space="preserve">1048</w:t>
            </w:r>
          </w:p>
        </w:tc>
        <w:tc>
          <w:tcPr>
            <w:tcW w:w="1155" w:type="dxa"/>
          </w:tcPr>
          <w:p>
            <w:pPr>
              <w:pStyle w:val="0"/>
              <w:jc w:val="center"/>
            </w:pPr>
            <w:r>
              <w:rPr>
                <w:sz w:val="20"/>
              </w:rPr>
              <w:t xml:space="preserve">511</w:t>
            </w:r>
          </w:p>
        </w:tc>
        <w:tc>
          <w:tcPr>
            <w:tcW w:w="1155" w:type="dxa"/>
          </w:tcPr>
          <w:p>
            <w:pPr>
              <w:pStyle w:val="0"/>
              <w:jc w:val="center"/>
            </w:pPr>
            <w:r>
              <w:rPr>
                <w:sz w:val="20"/>
              </w:rPr>
              <w:t xml:space="preserve">48,76</w:t>
            </w:r>
          </w:p>
        </w:tc>
        <w:tc>
          <w:tcPr>
            <w:tcW w:w="1155" w:type="dxa"/>
          </w:tcPr>
          <w:p>
            <w:pPr>
              <w:pStyle w:val="0"/>
              <w:jc w:val="center"/>
            </w:pPr>
            <w:r>
              <w:rPr>
                <w:sz w:val="20"/>
              </w:rPr>
              <w:t xml:space="preserve">537</w:t>
            </w:r>
          </w:p>
        </w:tc>
        <w:tc>
          <w:tcPr>
            <w:tcW w:w="1155" w:type="dxa"/>
          </w:tcPr>
          <w:p>
            <w:pPr>
              <w:pStyle w:val="0"/>
              <w:jc w:val="center"/>
            </w:pPr>
            <w:r>
              <w:rPr>
                <w:sz w:val="20"/>
              </w:rPr>
              <w:t xml:space="preserve">51,24</w:t>
            </w:r>
          </w:p>
        </w:tc>
      </w:tr>
      <w:tr>
        <w:tc>
          <w:tcPr>
            <w:tcW w:w="3288" w:type="dxa"/>
          </w:tcPr>
          <w:p>
            <w:pPr>
              <w:pStyle w:val="0"/>
              <w:jc w:val="both"/>
            </w:pPr>
            <w:r>
              <w:rPr>
                <w:sz w:val="20"/>
              </w:rPr>
              <w:t xml:space="preserve">из них ЗНО</w:t>
            </w:r>
          </w:p>
        </w:tc>
        <w:tc>
          <w:tcPr>
            <w:tcW w:w="1155" w:type="dxa"/>
          </w:tcPr>
          <w:p>
            <w:pPr>
              <w:pStyle w:val="0"/>
              <w:jc w:val="center"/>
            </w:pPr>
            <w:r>
              <w:rPr>
                <w:sz w:val="20"/>
              </w:rPr>
              <w:t xml:space="preserve">1033</w:t>
            </w:r>
          </w:p>
        </w:tc>
        <w:tc>
          <w:tcPr>
            <w:tcW w:w="1155" w:type="dxa"/>
          </w:tcPr>
          <w:p>
            <w:pPr>
              <w:pStyle w:val="0"/>
              <w:jc w:val="center"/>
            </w:pPr>
            <w:r>
              <w:rPr>
                <w:sz w:val="20"/>
              </w:rPr>
              <w:t xml:space="preserve">506</w:t>
            </w:r>
          </w:p>
        </w:tc>
        <w:tc>
          <w:tcPr>
            <w:tcW w:w="1155" w:type="dxa"/>
          </w:tcPr>
          <w:p>
            <w:pPr>
              <w:pStyle w:val="0"/>
              <w:jc w:val="center"/>
            </w:pPr>
            <w:r>
              <w:rPr>
                <w:sz w:val="20"/>
              </w:rPr>
              <w:t xml:space="preserve">48,98</w:t>
            </w:r>
          </w:p>
        </w:tc>
        <w:tc>
          <w:tcPr>
            <w:tcW w:w="1155" w:type="dxa"/>
          </w:tcPr>
          <w:p>
            <w:pPr>
              <w:pStyle w:val="0"/>
              <w:jc w:val="center"/>
            </w:pPr>
            <w:r>
              <w:rPr>
                <w:sz w:val="20"/>
              </w:rPr>
              <w:t xml:space="preserve">527</w:t>
            </w:r>
          </w:p>
        </w:tc>
        <w:tc>
          <w:tcPr>
            <w:tcW w:w="1155" w:type="dxa"/>
          </w:tcPr>
          <w:p>
            <w:pPr>
              <w:pStyle w:val="0"/>
              <w:jc w:val="center"/>
            </w:pPr>
            <w:r>
              <w:rPr>
                <w:sz w:val="20"/>
              </w:rPr>
              <w:t xml:space="preserve">51,02</w:t>
            </w:r>
          </w:p>
        </w:tc>
      </w:tr>
      <w:tr>
        <w:tc>
          <w:tcPr>
            <w:tcW w:w="3288" w:type="dxa"/>
          </w:tcPr>
          <w:p>
            <w:pPr>
              <w:pStyle w:val="0"/>
              <w:jc w:val="both"/>
            </w:pPr>
            <w:r>
              <w:rPr>
                <w:sz w:val="20"/>
              </w:rPr>
              <w:t xml:space="preserve">в том числе:</w:t>
            </w:r>
          </w:p>
        </w:tc>
        <w:tc>
          <w:tcPr>
            <w:tcW w:w="1155" w:type="dxa"/>
          </w:tcPr>
          <w:p>
            <w:pPr>
              <w:pStyle w:val="0"/>
              <w:jc w:val="center"/>
            </w:pPr>
            <w:r>
              <w:rPr>
                <w:sz w:val="20"/>
              </w:rPr>
            </w:r>
          </w:p>
        </w:tc>
        <w:tc>
          <w:tcPr>
            <w:tcW w:w="1155" w:type="dxa"/>
          </w:tcPr>
          <w:p>
            <w:pPr>
              <w:pStyle w:val="0"/>
              <w:jc w:val="center"/>
            </w:pPr>
            <w:r>
              <w:rPr>
                <w:sz w:val="20"/>
              </w:rPr>
            </w:r>
          </w:p>
        </w:tc>
        <w:tc>
          <w:tcPr>
            <w:tcW w:w="1155" w:type="dxa"/>
          </w:tcPr>
          <w:p>
            <w:pPr>
              <w:pStyle w:val="0"/>
              <w:jc w:val="center"/>
            </w:pPr>
            <w:r>
              <w:rPr>
                <w:sz w:val="20"/>
              </w:rPr>
            </w:r>
          </w:p>
        </w:tc>
        <w:tc>
          <w:tcPr>
            <w:tcW w:w="1155" w:type="dxa"/>
          </w:tcPr>
          <w:p>
            <w:pPr>
              <w:pStyle w:val="0"/>
              <w:jc w:val="center"/>
            </w:pPr>
            <w:r>
              <w:rPr>
                <w:sz w:val="20"/>
              </w:rPr>
            </w:r>
          </w:p>
        </w:tc>
        <w:tc>
          <w:tcPr>
            <w:tcW w:w="1155" w:type="dxa"/>
          </w:tcPr>
          <w:p>
            <w:pPr>
              <w:pStyle w:val="0"/>
              <w:jc w:val="center"/>
            </w:pPr>
            <w:r>
              <w:rPr>
                <w:sz w:val="20"/>
              </w:rPr>
            </w:r>
          </w:p>
        </w:tc>
      </w:tr>
      <w:tr>
        <w:tc>
          <w:tcPr>
            <w:tcW w:w="3288" w:type="dxa"/>
          </w:tcPr>
          <w:p>
            <w:pPr>
              <w:pStyle w:val="0"/>
              <w:jc w:val="both"/>
            </w:pPr>
            <w:r>
              <w:rPr>
                <w:sz w:val="20"/>
              </w:rPr>
              <w:t xml:space="preserve">губ, полости рта и глотки</w:t>
            </w:r>
          </w:p>
        </w:tc>
        <w:tc>
          <w:tcPr>
            <w:tcW w:w="1155" w:type="dxa"/>
          </w:tcPr>
          <w:p>
            <w:pPr>
              <w:pStyle w:val="0"/>
              <w:jc w:val="center"/>
            </w:pPr>
            <w:r>
              <w:rPr>
                <w:sz w:val="20"/>
              </w:rPr>
              <w:t xml:space="preserve">25</w:t>
            </w:r>
          </w:p>
        </w:tc>
        <w:tc>
          <w:tcPr>
            <w:tcW w:w="1155" w:type="dxa"/>
          </w:tcPr>
          <w:p>
            <w:pPr>
              <w:pStyle w:val="0"/>
              <w:jc w:val="center"/>
            </w:pPr>
            <w:r>
              <w:rPr>
                <w:sz w:val="20"/>
              </w:rPr>
              <w:t xml:space="preserve">18</w:t>
            </w:r>
          </w:p>
        </w:tc>
        <w:tc>
          <w:tcPr>
            <w:tcW w:w="1155" w:type="dxa"/>
          </w:tcPr>
          <w:p>
            <w:pPr>
              <w:pStyle w:val="0"/>
              <w:jc w:val="center"/>
            </w:pPr>
            <w:r>
              <w:rPr>
                <w:sz w:val="20"/>
              </w:rPr>
              <w:t xml:space="preserve">72,00</w:t>
            </w:r>
          </w:p>
        </w:tc>
        <w:tc>
          <w:tcPr>
            <w:tcW w:w="1155" w:type="dxa"/>
          </w:tcPr>
          <w:p>
            <w:pPr>
              <w:pStyle w:val="0"/>
              <w:jc w:val="center"/>
            </w:pPr>
            <w:r>
              <w:rPr>
                <w:sz w:val="20"/>
              </w:rPr>
              <w:t xml:space="preserve">7</w:t>
            </w:r>
          </w:p>
        </w:tc>
        <w:tc>
          <w:tcPr>
            <w:tcW w:w="1155" w:type="dxa"/>
          </w:tcPr>
          <w:p>
            <w:pPr>
              <w:pStyle w:val="0"/>
              <w:jc w:val="center"/>
            </w:pPr>
            <w:r>
              <w:rPr>
                <w:sz w:val="20"/>
              </w:rPr>
              <w:t xml:space="preserve">28,00</w:t>
            </w:r>
          </w:p>
        </w:tc>
      </w:tr>
      <w:tr>
        <w:tc>
          <w:tcPr>
            <w:tcW w:w="3288" w:type="dxa"/>
          </w:tcPr>
          <w:p>
            <w:pPr>
              <w:pStyle w:val="0"/>
              <w:jc w:val="both"/>
            </w:pPr>
            <w:r>
              <w:rPr>
                <w:sz w:val="20"/>
              </w:rPr>
              <w:t xml:space="preserve">органов пищеварения</w:t>
            </w:r>
          </w:p>
        </w:tc>
        <w:tc>
          <w:tcPr>
            <w:tcW w:w="1155" w:type="dxa"/>
          </w:tcPr>
          <w:p>
            <w:pPr>
              <w:pStyle w:val="0"/>
              <w:jc w:val="center"/>
            </w:pPr>
            <w:r>
              <w:rPr>
                <w:sz w:val="20"/>
              </w:rPr>
              <w:t xml:space="preserve">404</w:t>
            </w:r>
          </w:p>
        </w:tc>
        <w:tc>
          <w:tcPr>
            <w:tcW w:w="1155" w:type="dxa"/>
          </w:tcPr>
          <w:p>
            <w:pPr>
              <w:pStyle w:val="0"/>
              <w:jc w:val="center"/>
            </w:pPr>
            <w:r>
              <w:rPr>
                <w:sz w:val="20"/>
              </w:rPr>
              <w:t xml:space="preserve">202</w:t>
            </w:r>
          </w:p>
        </w:tc>
        <w:tc>
          <w:tcPr>
            <w:tcW w:w="1155" w:type="dxa"/>
          </w:tcPr>
          <w:p>
            <w:pPr>
              <w:pStyle w:val="0"/>
              <w:jc w:val="center"/>
            </w:pPr>
            <w:r>
              <w:rPr>
                <w:sz w:val="20"/>
              </w:rPr>
              <w:t xml:space="preserve">50,00</w:t>
            </w:r>
          </w:p>
        </w:tc>
        <w:tc>
          <w:tcPr>
            <w:tcW w:w="1155" w:type="dxa"/>
          </w:tcPr>
          <w:p>
            <w:pPr>
              <w:pStyle w:val="0"/>
              <w:jc w:val="center"/>
            </w:pPr>
            <w:r>
              <w:rPr>
                <w:sz w:val="20"/>
              </w:rPr>
              <w:t xml:space="preserve">202</w:t>
            </w:r>
          </w:p>
        </w:tc>
        <w:tc>
          <w:tcPr>
            <w:tcW w:w="1155" w:type="dxa"/>
          </w:tcPr>
          <w:p>
            <w:pPr>
              <w:pStyle w:val="0"/>
              <w:jc w:val="center"/>
            </w:pPr>
            <w:r>
              <w:rPr>
                <w:sz w:val="20"/>
              </w:rPr>
              <w:t xml:space="preserve">50,00</w:t>
            </w:r>
          </w:p>
        </w:tc>
      </w:tr>
      <w:tr>
        <w:tc>
          <w:tcPr>
            <w:tcW w:w="3288" w:type="dxa"/>
          </w:tcPr>
          <w:p>
            <w:pPr>
              <w:pStyle w:val="0"/>
              <w:jc w:val="both"/>
            </w:pPr>
            <w:r>
              <w:rPr>
                <w:sz w:val="20"/>
              </w:rPr>
              <w:t xml:space="preserve">органов дыхания</w:t>
            </w:r>
          </w:p>
        </w:tc>
        <w:tc>
          <w:tcPr>
            <w:tcW w:w="1155" w:type="dxa"/>
          </w:tcPr>
          <w:p>
            <w:pPr>
              <w:pStyle w:val="0"/>
              <w:jc w:val="center"/>
            </w:pPr>
            <w:r>
              <w:rPr>
                <w:sz w:val="20"/>
              </w:rPr>
              <w:t xml:space="preserve">139</w:t>
            </w:r>
          </w:p>
        </w:tc>
        <w:tc>
          <w:tcPr>
            <w:tcW w:w="1155" w:type="dxa"/>
          </w:tcPr>
          <w:p>
            <w:pPr>
              <w:pStyle w:val="0"/>
              <w:jc w:val="center"/>
            </w:pPr>
            <w:r>
              <w:rPr>
                <w:sz w:val="20"/>
              </w:rPr>
              <w:t xml:space="preserve">96</w:t>
            </w:r>
          </w:p>
        </w:tc>
        <w:tc>
          <w:tcPr>
            <w:tcW w:w="1155" w:type="dxa"/>
          </w:tcPr>
          <w:p>
            <w:pPr>
              <w:pStyle w:val="0"/>
              <w:jc w:val="center"/>
            </w:pPr>
            <w:r>
              <w:rPr>
                <w:sz w:val="20"/>
              </w:rPr>
              <w:t xml:space="preserve">69,06</w:t>
            </w:r>
          </w:p>
        </w:tc>
        <w:tc>
          <w:tcPr>
            <w:tcW w:w="1155" w:type="dxa"/>
          </w:tcPr>
          <w:p>
            <w:pPr>
              <w:pStyle w:val="0"/>
              <w:jc w:val="center"/>
            </w:pPr>
            <w:r>
              <w:rPr>
                <w:sz w:val="20"/>
              </w:rPr>
              <w:t xml:space="preserve">43</w:t>
            </w:r>
          </w:p>
        </w:tc>
        <w:tc>
          <w:tcPr>
            <w:tcW w:w="1155" w:type="dxa"/>
          </w:tcPr>
          <w:p>
            <w:pPr>
              <w:pStyle w:val="0"/>
              <w:jc w:val="center"/>
            </w:pPr>
            <w:r>
              <w:rPr>
                <w:sz w:val="20"/>
              </w:rPr>
              <w:t xml:space="preserve">30,94</w:t>
            </w:r>
          </w:p>
        </w:tc>
      </w:tr>
      <w:tr>
        <w:tc>
          <w:tcPr>
            <w:tcW w:w="3288" w:type="dxa"/>
          </w:tcPr>
          <w:p>
            <w:pPr>
              <w:pStyle w:val="0"/>
              <w:jc w:val="both"/>
            </w:pPr>
            <w:r>
              <w:rPr>
                <w:sz w:val="20"/>
              </w:rPr>
              <w:t xml:space="preserve">костей</w:t>
            </w:r>
          </w:p>
        </w:tc>
        <w:tc>
          <w:tcPr>
            <w:tcW w:w="1155" w:type="dxa"/>
          </w:tcPr>
          <w:p>
            <w:pPr>
              <w:pStyle w:val="0"/>
              <w:jc w:val="center"/>
            </w:pPr>
            <w:r>
              <w:rPr>
                <w:sz w:val="20"/>
              </w:rPr>
              <w:t xml:space="preserve">5</w:t>
            </w:r>
          </w:p>
        </w:tc>
        <w:tc>
          <w:tcPr>
            <w:tcW w:w="1155" w:type="dxa"/>
          </w:tcPr>
          <w:p>
            <w:pPr>
              <w:pStyle w:val="0"/>
              <w:jc w:val="center"/>
            </w:pPr>
            <w:r>
              <w:rPr>
                <w:sz w:val="20"/>
              </w:rPr>
              <w:t xml:space="preserve">4</w:t>
            </w:r>
          </w:p>
        </w:tc>
        <w:tc>
          <w:tcPr>
            <w:tcW w:w="1155" w:type="dxa"/>
          </w:tcPr>
          <w:p>
            <w:pPr>
              <w:pStyle w:val="0"/>
              <w:jc w:val="center"/>
            </w:pPr>
            <w:r>
              <w:rPr>
                <w:sz w:val="20"/>
              </w:rPr>
              <w:t xml:space="preserve">80,00</w:t>
            </w:r>
          </w:p>
        </w:tc>
        <w:tc>
          <w:tcPr>
            <w:tcW w:w="1155" w:type="dxa"/>
          </w:tcPr>
          <w:p>
            <w:pPr>
              <w:pStyle w:val="0"/>
              <w:jc w:val="center"/>
            </w:pPr>
            <w:r>
              <w:rPr>
                <w:sz w:val="20"/>
              </w:rPr>
              <w:t xml:space="preserve">1</w:t>
            </w:r>
          </w:p>
        </w:tc>
        <w:tc>
          <w:tcPr>
            <w:tcW w:w="1155" w:type="dxa"/>
          </w:tcPr>
          <w:p>
            <w:pPr>
              <w:pStyle w:val="0"/>
              <w:jc w:val="center"/>
            </w:pPr>
            <w:r>
              <w:rPr>
                <w:sz w:val="20"/>
              </w:rPr>
              <w:t xml:space="preserve">20,00</w:t>
            </w:r>
          </w:p>
        </w:tc>
      </w:tr>
      <w:tr>
        <w:tc>
          <w:tcPr>
            <w:tcW w:w="3288" w:type="dxa"/>
          </w:tcPr>
          <w:p>
            <w:pPr>
              <w:pStyle w:val="0"/>
              <w:jc w:val="both"/>
            </w:pPr>
            <w:r>
              <w:rPr>
                <w:sz w:val="20"/>
              </w:rPr>
              <w:t xml:space="preserve">меланома и др. ЗНО кожи</w:t>
            </w:r>
          </w:p>
        </w:tc>
        <w:tc>
          <w:tcPr>
            <w:tcW w:w="1155" w:type="dxa"/>
          </w:tcPr>
          <w:p>
            <w:pPr>
              <w:pStyle w:val="0"/>
              <w:jc w:val="center"/>
            </w:pPr>
            <w:r>
              <w:rPr>
                <w:sz w:val="20"/>
              </w:rPr>
              <w:t xml:space="preserve">32</w:t>
            </w:r>
          </w:p>
        </w:tc>
        <w:tc>
          <w:tcPr>
            <w:tcW w:w="1155" w:type="dxa"/>
          </w:tcPr>
          <w:p>
            <w:pPr>
              <w:pStyle w:val="0"/>
              <w:jc w:val="center"/>
            </w:pPr>
            <w:r>
              <w:rPr>
                <w:sz w:val="20"/>
              </w:rPr>
              <w:t xml:space="preserve">17</w:t>
            </w:r>
          </w:p>
        </w:tc>
        <w:tc>
          <w:tcPr>
            <w:tcW w:w="1155" w:type="dxa"/>
          </w:tcPr>
          <w:p>
            <w:pPr>
              <w:pStyle w:val="0"/>
              <w:jc w:val="center"/>
            </w:pPr>
            <w:r>
              <w:rPr>
                <w:sz w:val="20"/>
              </w:rPr>
              <w:t xml:space="preserve">53,13</w:t>
            </w:r>
          </w:p>
        </w:tc>
        <w:tc>
          <w:tcPr>
            <w:tcW w:w="1155" w:type="dxa"/>
          </w:tcPr>
          <w:p>
            <w:pPr>
              <w:pStyle w:val="0"/>
              <w:jc w:val="center"/>
            </w:pPr>
            <w:r>
              <w:rPr>
                <w:sz w:val="20"/>
              </w:rPr>
              <w:t xml:space="preserve">15</w:t>
            </w:r>
          </w:p>
        </w:tc>
        <w:tc>
          <w:tcPr>
            <w:tcW w:w="1155" w:type="dxa"/>
          </w:tcPr>
          <w:p>
            <w:pPr>
              <w:pStyle w:val="0"/>
              <w:jc w:val="center"/>
            </w:pPr>
            <w:r>
              <w:rPr>
                <w:sz w:val="20"/>
              </w:rPr>
              <w:t xml:space="preserve">46,88</w:t>
            </w:r>
          </w:p>
        </w:tc>
      </w:tr>
      <w:tr>
        <w:tc>
          <w:tcPr>
            <w:tcW w:w="3288" w:type="dxa"/>
          </w:tcPr>
          <w:p>
            <w:pPr>
              <w:pStyle w:val="0"/>
              <w:jc w:val="both"/>
            </w:pPr>
            <w:r>
              <w:rPr>
                <w:sz w:val="20"/>
              </w:rPr>
              <w:t xml:space="preserve">мягких тканей</w:t>
            </w:r>
          </w:p>
        </w:tc>
        <w:tc>
          <w:tcPr>
            <w:tcW w:w="1155" w:type="dxa"/>
          </w:tcPr>
          <w:p>
            <w:pPr>
              <w:pStyle w:val="0"/>
              <w:jc w:val="center"/>
            </w:pPr>
            <w:r>
              <w:rPr>
                <w:sz w:val="20"/>
              </w:rPr>
              <w:t xml:space="preserve">21</w:t>
            </w:r>
          </w:p>
        </w:tc>
        <w:tc>
          <w:tcPr>
            <w:tcW w:w="1155" w:type="dxa"/>
          </w:tcPr>
          <w:p>
            <w:pPr>
              <w:pStyle w:val="0"/>
              <w:jc w:val="center"/>
            </w:pPr>
            <w:r>
              <w:rPr>
                <w:sz w:val="20"/>
              </w:rPr>
              <w:t xml:space="preserve">6</w:t>
            </w:r>
          </w:p>
        </w:tc>
        <w:tc>
          <w:tcPr>
            <w:tcW w:w="1155" w:type="dxa"/>
          </w:tcPr>
          <w:p>
            <w:pPr>
              <w:pStyle w:val="0"/>
              <w:jc w:val="center"/>
            </w:pPr>
            <w:r>
              <w:rPr>
                <w:sz w:val="20"/>
              </w:rPr>
              <w:t xml:space="preserve">28,57</w:t>
            </w:r>
          </w:p>
        </w:tc>
        <w:tc>
          <w:tcPr>
            <w:tcW w:w="1155" w:type="dxa"/>
          </w:tcPr>
          <w:p>
            <w:pPr>
              <w:pStyle w:val="0"/>
              <w:jc w:val="center"/>
            </w:pPr>
            <w:r>
              <w:rPr>
                <w:sz w:val="20"/>
              </w:rPr>
              <w:t xml:space="preserve">15</w:t>
            </w:r>
          </w:p>
        </w:tc>
        <w:tc>
          <w:tcPr>
            <w:tcW w:w="1155" w:type="dxa"/>
          </w:tcPr>
          <w:p>
            <w:pPr>
              <w:pStyle w:val="0"/>
              <w:jc w:val="center"/>
            </w:pPr>
            <w:r>
              <w:rPr>
                <w:sz w:val="20"/>
              </w:rPr>
              <w:t xml:space="preserve">71,43</w:t>
            </w:r>
          </w:p>
        </w:tc>
      </w:tr>
      <w:tr>
        <w:tc>
          <w:tcPr>
            <w:tcW w:w="3288" w:type="dxa"/>
          </w:tcPr>
          <w:p>
            <w:pPr>
              <w:pStyle w:val="0"/>
              <w:jc w:val="both"/>
            </w:pPr>
            <w:r>
              <w:rPr>
                <w:sz w:val="20"/>
              </w:rPr>
              <w:t xml:space="preserve">грудной железы</w:t>
            </w:r>
          </w:p>
        </w:tc>
        <w:tc>
          <w:tcPr>
            <w:tcW w:w="1155" w:type="dxa"/>
          </w:tcPr>
          <w:p>
            <w:pPr>
              <w:pStyle w:val="0"/>
              <w:jc w:val="center"/>
            </w:pPr>
            <w:r>
              <w:rPr>
                <w:sz w:val="20"/>
              </w:rPr>
              <w:t xml:space="preserve">94</w:t>
            </w:r>
          </w:p>
        </w:tc>
        <w:tc>
          <w:tcPr>
            <w:tcW w:w="1155" w:type="dxa"/>
          </w:tcPr>
          <w:p>
            <w:pPr>
              <w:pStyle w:val="0"/>
              <w:jc w:val="center"/>
            </w:pPr>
            <w:r>
              <w:rPr>
                <w:sz w:val="20"/>
              </w:rPr>
              <w:t xml:space="preserve">1</w:t>
            </w:r>
          </w:p>
        </w:tc>
        <w:tc>
          <w:tcPr>
            <w:tcW w:w="1155" w:type="dxa"/>
          </w:tcPr>
          <w:p>
            <w:pPr>
              <w:pStyle w:val="0"/>
              <w:jc w:val="center"/>
            </w:pPr>
            <w:r>
              <w:rPr>
                <w:sz w:val="20"/>
              </w:rPr>
              <w:t xml:space="preserve">1,06</w:t>
            </w:r>
          </w:p>
        </w:tc>
        <w:tc>
          <w:tcPr>
            <w:tcW w:w="1155" w:type="dxa"/>
          </w:tcPr>
          <w:p>
            <w:pPr>
              <w:pStyle w:val="0"/>
              <w:jc w:val="center"/>
            </w:pPr>
            <w:r>
              <w:rPr>
                <w:sz w:val="20"/>
              </w:rPr>
              <w:t xml:space="preserve">93</w:t>
            </w:r>
          </w:p>
        </w:tc>
        <w:tc>
          <w:tcPr>
            <w:tcW w:w="1155" w:type="dxa"/>
          </w:tcPr>
          <w:p>
            <w:pPr>
              <w:pStyle w:val="0"/>
              <w:jc w:val="center"/>
            </w:pPr>
            <w:r>
              <w:rPr>
                <w:sz w:val="20"/>
              </w:rPr>
              <w:t xml:space="preserve">98,94</w:t>
            </w:r>
          </w:p>
        </w:tc>
      </w:tr>
      <w:tr>
        <w:tc>
          <w:tcPr>
            <w:tcW w:w="3288" w:type="dxa"/>
          </w:tcPr>
          <w:p>
            <w:pPr>
              <w:pStyle w:val="0"/>
              <w:jc w:val="both"/>
            </w:pPr>
            <w:r>
              <w:rPr>
                <w:sz w:val="20"/>
              </w:rPr>
              <w:t xml:space="preserve">женских половых органов</w:t>
            </w:r>
          </w:p>
        </w:tc>
        <w:tc>
          <w:tcPr>
            <w:tcW w:w="1155" w:type="dxa"/>
          </w:tcPr>
          <w:p>
            <w:pPr>
              <w:pStyle w:val="0"/>
              <w:jc w:val="center"/>
            </w:pPr>
            <w:r>
              <w:rPr>
                <w:sz w:val="20"/>
              </w:rPr>
              <w:t xml:space="preserve">86</w:t>
            </w:r>
          </w:p>
        </w:tc>
        <w:tc>
          <w:tcPr>
            <w:tcW w:w="1155" w:type="dxa"/>
          </w:tcPr>
          <w:p>
            <w:pPr>
              <w:pStyle w:val="0"/>
              <w:jc w:val="center"/>
            </w:pPr>
            <w:r>
              <w:rPr>
                <w:sz w:val="20"/>
              </w:rPr>
              <w:t xml:space="preserve">0</w:t>
            </w:r>
          </w:p>
        </w:tc>
        <w:tc>
          <w:tcPr>
            <w:tcW w:w="1155" w:type="dxa"/>
          </w:tcPr>
          <w:p>
            <w:pPr>
              <w:pStyle w:val="0"/>
              <w:jc w:val="center"/>
            </w:pPr>
            <w:r>
              <w:rPr>
                <w:sz w:val="20"/>
              </w:rPr>
              <w:t xml:space="preserve">0,00</w:t>
            </w:r>
          </w:p>
        </w:tc>
        <w:tc>
          <w:tcPr>
            <w:tcW w:w="1155" w:type="dxa"/>
          </w:tcPr>
          <w:p>
            <w:pPr>
              <w:pStyle w:val="0"/>
              <w:jc w:val="center"/>
            </w:pPr>
            <w:r>
              <w:rPr>
                <w:sz w:val="20"/>
              </w:rPr>
              <w:t xml:space="preserve">86</w:t>
            </w:r>
          </w:p>
        </w:tc>
        <w:tc>
          <w:tcPr>
            <w:tcW w:w="1155" w:type="dxa"/>
          </w:tcPr>
          <w:p>
            <w:pPr>
              <w:pStyle w:val="0"/>
              <w:jc w:val="center"/>
            </w:pPr>
            <w:r>
              <w:rPr>
                <w:sz w:val="20"/>
              </w:rPr>
              <w:t xml:space="preserve">100,00</w:t>
            </w:r>
          </w:p>
        </w:tc>
      </w:tr>
      <w:tr>
        <w:tc>
          <w:tcPr>
            <w:tcW w:w="3288" w:type="dxa"/>
          </w:tcPr>
          <w:p>
            <w:pPr>
              <w:pStyle w:val="0"/>
              <w:jc w:val="both"/>
            </w:pPr>
            <w:r>
              <w:rPr>
                <w:sz w:val="20"/>
              </w:rPr>
              <w:t xml:space="preserve">мужских половых органов</w:t>
            </w:r>
          </w:p>
        </w:tc>
        <w:tc>
          <w:tcPr>
            <w:tcW w:w="1155" w:type="dxa"/>
          </w:tcPr>
          <w:p>
            <w:pPr>
              <w:pStyle w:val="0"/>
              <w:jc w:val="center"/>
            </w:pPr>
            <w:r>
              <w:rPr>
                <w:sz w:val="20"/>
              </w:rPr>
              <w:t xml:space="preserve">59</w:t>
            </w:r>
          </w:p>
        </w:tc>
        <w:tc>
          <w:tcPr>
            <w:tcW w:w="1155" w:type="dxa"/>
          </w:tcPr>
          <w:p>
            <w:pPr>
              <w:pStyle w:val="0"/>
              <w:jc w:val="center"/>
            </w:pPr>
            <w:r>
              <w:rPr>
                <w:sz w:val="20"/>
              </w:rPr>
              <w:t xml:space="preserve">59</w:t>
            </w:r>
          </w:p>
        </w:tc>
        <w:tc>
          <w:tcPr>
            <w:tcW w:w="1155" w:type="dxa"/>
          </w:tcPr>
          <w:p>
            <w:pPr>
              <w:pStyle w:val="0"/>
              <w:jc w:val="center"/>
            </w:pPr>
            <w:r>
              <w:rPr>
                <w:sz w:val="20"/>
              </w:rPr>
              <w:t xml:space="preserve">100,00</w:t>
            </w:r>
          </w:p>
        </w:tc>
        <w:tc>
          <w:tcPr>
            <w:tcW w:w="1155" w:type="dxa"/>
          </w:tcPr>
          <w:p>
            <w:pPr>
              <w:pStyle w:val="0"/>
              <w:jc w:val="center"/>
            </w:pPr>
            <w:r>
              <w:rPr>
                <w:sz w:val="20"/>
              </w:rPr>
              <w:t xml:space="preserve">0</w:t>
            </w:r>
          </w:p>
        </w:tc>
        <w:tc>
          <w:tcPr>
            <w:tcW w:w="1155" w:type="dxa"/>
          </w:tcPr>
          <w:p>
            <w:pPr>
              <w:pStyle w:val="0"/>
              <w:jc w:val="center"/>
            </w:pPr>
            <w:r>
              <w:rPr>
                <w:sz w:val="20"/>
              </w:rPr>
              <w:t xml:space="preserve">0,00</w:t>
            </w:r>
          </w:p>
        </w:tc>
      </w:tr>
      <w:tr>
        <w:tc>
          <w:tcPr>
            <w:tcW w:w="3288" w:type="dxa"/>
          </w:tcPr>
          <w:p>
            <w:pPr>
              <w:pStyle w:val="0"/>
              <w:jc w:val="both"/>
            </w:pPr>
            <w:r>
              <w:rPr>
                <w:sz w:val="20"/>
              </w:rPr>
              <w:t xml:space="preserve">мочевыводящих путей</w:t>
            </w:r>
          </w:p>
        </w:tc>
        <w:tc>
          <w:tcPr>
            <w:tcW w:w="1155" w:type="dxa"/>
          </w:tcPr>
          <w:p>
            <w:pPr>
              <w:pStyle w:val="0"/>
              <w:jc w:val="center"/>
            </w:pPr>
            <w:r>
              <w:rPr>
                <w:sz w:val="20"/>
              </w:rPr>
              <w:t xml:space="preserve">65</w:t>
            </w:r>
          </w:p>
        </w:tc>
        <w:tc>
          <w:tcPr>
            <w:tcW w:w="1155" w:type="dxa"/>
          </w:tcPr>
          <w:p>
            <w:pPr>
              <w:pStyle w:val="0"/>
              <w:jc w:val="center"/>
            </w:pPr>
            <w:r>
              <w:rPr>
                <w:sz w:val="20"/>
              </w:rPr>
              <w:t xml:space="preserve">43</w:t>
            </w:r>
          </w:p>
        </w:tc>
        <w:tc>
          <w:tcPr>
            <w:tcW w:w="1155" w:type="dxa"/>
          </w:tcPr>
          <w:p>
            <w:pPr>
              <w:pStyle w:val="0"/>
              <w:jc w:val="center"/>
            </w:pPr>
            <w:r>
              <w:rPr>
                <w:sz w:val="20"/>
              </w:rPr>
              <w:t xml:space="preserve">66,15</w:t>
            </w:r>
          </w:p>
        </w:tc>
        <w:tc>
          <w:tcPr>
            <w:tcW w:w="1155" w:type="dxa"/>
          </w:tcPr>
          <w:p>
            <w:pPr>
              <w:pStyle w:val="0"/>
              <w:jc w:val="center"/>
            </w:pPr>
            <w:r>
              <w:rPr>
                <w:sz w:val="20"/>
              </w:rPr>
              <w:t xml:space="preserve">22</w:t>
            </w:r>
          </w:p>
        </w:tc>
        <w:tc>
          <w:tcPr>
            <w:tcW w:w="1155" w:type="dxa"/>
          </w:tcPr>
          <w:p>
            <w:pPr>
              <w:pStyle w:val="0"/>
              <w:jc w:val="center"/>
            </w:pPr>
            <w:r>
              <w:rPr>
                <w:sz w:val="20"/>
              </w:rPr>
              <w:t xml:space="preserve">33,85</w:t>
            </w:r>
          </w:p>
        </w:tc>
      </w:tr>
      <w:tr>
        <w:tc>
          <w:tcPr>
            <w:tcW w:w="3288" w:type="dxa"/>
          </w:tcPr>
          <w:p>
            <w:pPr>
              <w:pStyle w:val="0"/>
              <w:jc w:val="both"/>
            </w:pPr>
            <w:r>
              <w:rPr>
                <w:sz w:val="20"/>
              </w:rPr>
              <w:t xml:space="preserve">головного мозга</w:t>
            </w:r>
          </w:p>
        </w:tc>
        <w:tc>
          <w:tcPr>
            <w:tcW w:w="1155" w:type="dxa"/>
          </w:tcPr>
          <w:p>
            <w:pPr>
              <w:pStyle w:val="0"/>
              <w:jc w:val="center"/>
            </w:pPr>
            <w:r>
              <w:rPr>
                <w:sz w:val="20"/>
              </w:rPr>
              <w:t xml:space="preserve">52</w:t>
            </w:r>
          </w:p>
        </w:tc>
        <w:tc>
          <w:tcPr>
            <w:tcW w:w="1155" w:type="dxa"/>
          </w:tcPr>
          <w:p>
            <w:pPr>
              <w:pStyle w:val="0"/>
              <w:jc w:val="center"/>
            </w:pPr>
            <w:r>
              <w:rPr>
                <w:sz w:val="20"/>
              </w:rPr>
              <w:t xml:space="preserve">29</w:t>
            </w:r>
          </w:p>
        </w:tc>
        <w:tc>
          <w:tcPr>
            <w:tcW w:w="1155" w:type="dxa"/>
          </w:tcPr>
          <w:p>
            <w:pPr>
              <w:pStyle w:val="0"/>
              <w:jc w:val="center"/>
            </w:pPr>
            <w:r>
              <w:rPr>
                <w:sz w:val="20"/>
              </w:rPr>
              <w:t xml:space="preserve">55,77</w:t>
            </w:r>
          </w:p>
        </w:tc>
        <w:tc>
          <w:tcPr>
            <w:tcW w:w="1155" w:type="dxa"/>
          </w:tcPr>
          <w:p>
            <w:pPr>
              <w:pStyle w:val="0"/>
              <w:jc w:val="center"/>
            </w:pPr>
            <w:r>
              <w:rPr>
                <w:sz w:val="20"/>
              </w:rPr>
              <w:t xml:space="preserve">23</w:t>
            </w:r>
          </w:p>
        </w:tc>
        <w:tc>
          <w:tcPr>
            <w:tcW w:w="1155" w:type="dxa"/>
          </w:tcPr>
          <w:p>
            <w:pPr>
              <w:pStyle w:val="0"/>
              <w:jc w:val="center"/>
            </w:pPr>
            <w:r>
              <w:rPr>
                <w:sz w:val="20"/>
              </w:rPr>
              <w:t xml:space="preserve">44,23</w:t>
            </w:r>
          </w:p>
        </w:tc>
      </w:tr>
      <w:tr>
        <w:tc>
          <w:tcPr>
            <w:tcW w:w="3288" w:type="dxa"/>
          </w:tcPr>
          <w:p>
            <w:pPr>
              <w:pStyle w:val="0"/>
              <w:jc w:val="both"/>
            </w:pPr>
            <w:r>
              <w:rPr>
                <w:sz w:val="20"/>
              </w:rPr>
              <w:t xml:space="preserve">щитовидной железы</w:t>
            </w:r>
          </w:p>
        </w:tc>
        <w:tc>
          <w:tcPr>
            <w:tcW w:w="1155" w:type="dxa"/>
          </w:tcPr>
          <w:p>
            <w:pPr>
              <w:pStyle w:val="0"/>
              <w:jc w:val="center"/>
            </w:pPr>
            <w:r>
              <w:rPr>
                <w:sz w:val="20"/>
              </w:rPr>
              <w:t xml:space="preserve">7</w:t>
            </w:r>
          </w:p>
        </w:tc>
        <w:tc>
          <w:tcPr>
            <w:tcW w:w="1155" w:type="dxa"/>
          </w:tcPr>
          <w:p>
            <w:pPr>
              <w:pStyle w:val="0"/>
              <w:jc w:val="center"/>
            </w:pPr>
            <w:r>
              <w:rPr>
                <w:sz w:val="20"/>
              </w:rPr>
              <w:t xml:space="preserve">4</w:t>
            </w:r>
          </w:p>
        </w:tc>
        <w:tc>
          <w:tcPr>
            <w:tcW w:w="1155" w:type="dxa"/>
          </w:tcPr>
          <w:p>
            <w:pPr>
              <w:pStyle w:val="0"/>
              <w:jc w:val="center"/>
            </w:pPr>
            <w:r>
              <w:rPr>
                <w:sz w:val="20"/>
              </w:rPr>
              <w:t xml:space="preserve">57,14</w:t>
            </w:r>
          </w:p>
        </w:tc>
        <w:tc>
          <w:tcPr>
            <w:tcW w:w="1155" w:type="dxa"/>
          </w:tcPr>
          <w:p>
            <w:pPr>
              <w:pStyle w:val="0"/>
              <w:jc w:val="center"/>
            </w:pPr>
            <w:r>
              <w:rPr>
                <w:sz w:val="20"/>
              </w:rPr>
              <w:t xml:space="preserve">3</w:t>
            </w:r>
          </w:p>
        </w:tc>
        <w:tc>
          <w:tcPr>
            <w:tcW w:w="1155" w:type="dxa"/>
          </w:tcPr>
          <w:p>
            <w:pPr>
              <w:pStyle w:val="0"/>
              <w:jc w:val="center"/>
            </w:pPr>
            <w:r>
              <w:rPr>
                <w:sz w:val="20"/>
              </w:rPr>
              <w:t xml:space="preserve">42,86</w:t>
            </w:r>
          </w:p>
        </w:tc>
      </w:tr>
      <w:tr>
        <w:tc>
          <w:tcPr>
            <w:tcW w:w="3288" w:type="dxa"/>
          </w:tcPr>
          <w:p>
            <w:pPr>
              <w:pStyle w:val="0"/>
              <w:jc w:val="both"/>
            </w:pPr>
            <w:r>
              <w:rPr>
                <w:sz w:val="20"/>
              </w:rPr>
              <w:t xml:space="preserve">вторичных и неуточненных</w:t>
            </w:r>
          </w:p>
        </w:tc>
        <w:tc>
          <w:tcPr>
            <w:tcW w:w="1155" w:type="dxa"/>
          </w:tcPr>
          <w:p>
            <w:pPr>
              <w:pStyle w:val="0"/>
              <w:jc w:val="center"/>
            </w:pPr>
            <w:r>
              <w:rPr>
                <w:sz w:val="20"/>
              </w:rPr>
              <w:t xml:space="preserve">0</w:t>
            </w:r>
          </w:p>
        </w:tc>
        <w:tc>
          <w:tcPr>
            <w:tcW w:w="1155" w:type="dxa"/>
          </w:tcPr>
          <w:p>
            <w:pPr>
              <w:pStyle w:val="0"/>
              <w:jc w:val="center"/>
            </w:pPr>
            <w:r>
              <w:rPr>
                <w:sz w:val="20"/>
              </w:rPr>
              <w:t xml:space="preserve">0</w:t>
            </w:r>
          </w:p>
        </w:tc>
        <w:tc>
          <w:tcPr>
            <w:tcW w:w="1155" w:type="dxa"/>
          </w:tcPr>
          <w:p>
            <w:pPr>
              <w:pStyle w:val="0"/>
              <w:jc w:val="center"/>
            </w:pPr>
            <w:r>
              <w:rPr>
                <w:sz w:val="20"/>
              </w:rPr>
              <w:t xml:space="preserve">0,00</w:t>
            </w:r>
          </w:p>
        </w:tc>
        <w:tc>
          <w:tcPr>
            <w:tcW w:w="1155" w:type="dxa"/>
          </w:tcPr>
          <w:p>
            <w:pPr>
              <w:pStyle w:val="0"/>
              <w:jc w:val="center"/>
            </w:pPr>
            <w:r>
              <w:rPr>
                <w:sz w:val="20"/>
              </w:rPr>
              <w:t xml:space="preserve">0</w:t>
            </w:r>
          </w:p>
        </w:tc>
        <w:tc>
          <w:tcPr>
            <w:tcW w:w="1155" w:type="dxa"/>
          </w:tcPr>
          <w:p>
            <w:pPr>
              <w:pStyle w:val="0"/>
              <w:jc w:val="center"/>
            </w:pPr>
            <w:r>
              <w:rPr>
                <w:sz w:val="20"/>
              </w:rPr>
              <w:t xml:space="preserve">0,00</w:t>
            </w:r>
          </w:p>
        </w:tc>
      </w:tr>
      <w:tr>
        <w:tc>
          <w:tcPr>
            <w:tcW w:w="3288" w:type="dxa"/>
          </w:tcPr>
          <w:p>
            <w:pPr>
              <w:pStyle w:val="0"/>
              <w:jc w:val="both"/>
            </w:pPr>
            <w:r>
              <w:rPr>
                <w:sz w:val="20"/>
              </w:rPr>
              <w:t xml:space="preserve">лимфоидной и кроветворной систем</w:t>
            </w:r>
          </w:p>
        </w:tc>
        <w:tc>
          <w:tcPr>
            <w:tcW w:w="1155" w:type="dxa"/>
          </w:tcPr>
          <w:p>
            <w:pPr>
              <w:pStyle w:val="0"/>
              <w:jc w:val="center"/>
            </w:pPr>
            <w:r>
              <w:rPr>
                <w:sz w:val="20"/>
              </w:rPr>
              <w:t xml:space="preserve">44</w:t>
            </w:r>
          </w:p>
        </w:tc>
        <w:tc>
          <w:tcPr>
            <w:tcW w:w="1155" w:type="dxa"/>
          </w:tcPr>
          <w:p>
            <w:pPr>
              <w:pStyle w:val="0"/>
              <w:jc w:val="center"/>
            </w:pPr>
            <w:r>
              <w:rPr>
                <w:sz w:val="20"/>
              </w:rPr>
              <w:t xml:space="preserve">27</w:t>
            </w:r>
          </w:p>
        </w:tc>
        <w:tc>
          <w:tcPr>
            <w:tcW w:w="1155" w:type="dxa"/>
          </w:tcPr>
          <w:p>
            <w:pPr>
              <w:pStyle w:val="0"/>
              <w:jc w:val="center"/>
            </w:pPr>
            <w:r>
              <w:rPr>
                <w:sz w:val="20"/>
              </w:rPr>
              <w:t xml:space="preserve">61,36</w:t>
            </w:r>
          </w:p>
        </w:tc>
        <w:tc>
          <w:tcPr>
            <w:tcW w:w="1155" w:type="dxa"/>
          </w:tcPr>
          <w:p>
            <w:pPr>
              <w:pStyle w:val="0"/>
              <w:jc w:val="center"/>
            </w:pPr>
            <w:r>
              <w:rPr>
                <w:sz w:val="20"/>
              </w:rPr>
              <w:t xml:space="preserve">17</w:t>
            </w:r>
          </w:p>
        </w:tc>
        <w:tc>
          <w:tcPr>
            <w:tcW w:w="1155" w:type="dxa"/>
          </w:tcPr>
          <w:p>
            <w:pPr>
              <w:pStyle w:val="0"/>
              <w:jc w:val="center"/>
            </w:pPr>
            <w:r>
              <w:rPr>
                <w:sz w:val="20"/>
              </w:rPr>
              <w:t xml:space="preserve">38,64</w:t>
            </w:r>
          </w:p>
        </w:tc>
      </w:tr>
    </w:tbl>
    <w:p>
      <w:pPr>
        <w:pStyle w:val="0"/>
        <w:jc w:val="right"/>
      </w:pPr>
      <w:r>
        <w:rPr>
          <w:sz w:val="20"/>
        </w:rPr>
      </w:r>
    </w:p>
    <w:p>
      <w:pPr>
        <w:pStyle w:val="0"/>
        <w:jc w:val="right"/>
      </w:pPr>
      <w:r>
        <w:rPr>
          <w:sz w:val="20"/>
        </w:rPr>
        <w:t xml:space="preserve">Таблица N 16</w:t>
      </w:r>
    </w:p>
    <w:p>
      <w:pPr>
        <w:pStyle w:val="0"/>
        <w:ind w:firstLine="540"/>
        <w:jc w:val="both"/>
      </w:pPr>
      <w:r>
        <w:rPr>
          <w:sz w:val="20"/>
        </w:rPr>
      </w:r>
    </w:p>
    <w:p>
      <w:pPr>
        <w:pStyle w:val="0"/>
        <w:jc w:val="center"/>
      </w:pPr>
      <w:r>
        <w:rPr>
          <w:sz w:val="20"/>
        </w:rPr>
        <w:t xml:space="preserve">Сравнение показателей смертности взрослого населения</w:t>
      </w:r>
    </w:p>
    <w:p>
      <w:pPr>
        <w:pStyle w:val="0"/>
        <w:jc w:val="center"/>
      </w:pPr>
      <w:r>
        <w:rPr>
          <w:sz w:val="20"/>
        </w:rPr>
        <w:t xml:space="preserve">от злокачественных новообразований на 100 тыс. населения</w:t>
      </w:r>
    </w:p>
    <w:p>
      <w:pPr>
        <w:pStyle w:val="0"/>
        <w:jc w:val="center"/>
      </w:pPr>
      <w:r>
        <w:rPr>
          <w:sz w:val="20"/>
        </w:rPr>
        <w:t xml:space="preserve">(грубый показатель) по городским больницам</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33"/>
        <w:gridCol w:w="1356"/>
        <w:gridCol w:w="1134"/>
        <w:gridCol w:w="1191"/>
        <w:gridCol w:w="1247"/>
        <w:gridCol w:w="1392"/>
        <w:gridCol w:w="1392"/>
      </w:tblGrid>
      <w:tr>
        <w:tc>
          <w:tcPr>
            <w:tcW w:w="1333" w:type="dxa"/>
          </w:tcPr>
          <w:p>
            <w:pPr>
              <w:pStyle w:val="0"/>
              <w:jc w:val="center"/>
            </w:pPr>
            <w:r>
              <w:rPr>
                <w:sz w:val="20"/>
              </w:rPr>
              <w:t xml:space="preserve">Городская больница (далее - ГБ)</w:t>
            </w:r>
          </w:p>
        </w:tc>
        <w:tc>
          <w:tcPr>
            <w:tcW w:w="1356" w:type="dxa"/>
          </w:tcPr>
          <w:p>
            <w:pPr>
              <w:pStyle w:val="0"/>
              <w:jc w:val="center"/>
            </w:pPr>
            <w:r>
              <w:rPr>
                <w:sz w:val="20"/>
              </w:rPr>
              <w:t xml:space="preserve">Население</w:t>
            </w:r>
          </w:p>
        </w:tc>
        <w:tc>
          <w:tcPr>
            <w:tcW w:w="1134" w:type="dxa"/>
          </w:tcPr>
          <w:p>
            <w:pPr>
              <w:pStyle w:val="0"/>
              <w:jc w:val="center"/>
            </w:pPr>
            <w:r>
              <w:rPr>
                <w:sz w:val="20"/>
              </w:rPr>
              <w:t xml:space="preserve">2020</w:t>
            </w:r>
          </w:p>
        </w:tc>
        <w:tc>
          <w:tcPr>
            <w:tcW w:w="1191" w:type="dxa"/>
          </w:tcPr>
          <w:p>
            <w:pPr>
              <w:pStyle w:val="0"/>
              <w:jc w:val="center"/>
            </w:pPr>
            <w:r>
              <w:rPr>
                <w:sz w:val="20"/>
              </w:rPr>
              <w:t xml:space="preserve">2021</w:t>
            </w:r>
          </w:p>
        </w:tc>
        <w:tc>
          <w:tcPr>
            <w:tcW w:w="1247" w:type="dxa"/>
          </w:tcPr>
          <w:p>
            <w:pPr>
              <w:pStyle w:val="0"/>
              <w:jc w:val="center"/>
            </w:pPr>
            <w:r>
              <w:rPr>
                <w:sz w:val="20"/>
              </w:rPr>
              <w:t xml:space="preserve">2022</w:t>
            </w:r>
          </w:p>
        </w:tc>
        <w:tc>
          <w:tcPr>
            <w:tcW w:w="1392" w:type="dxa"/>
          </w:tcPr>
          <w:p>
            <w:pPr>
              <w:pStyle w:val="0"/>
              <w:jc w:val="center"/>
            </w:pPr>
            <w:r>
              <w:rPr>
                <w:sz w:val="20"/>
              </w:rPr>
              <w:t xml:space="preserve">Динамика за 2020/2022</w:t>
            </w:r>
          </w:p>
        </w:tc>
        <w:tc>
          <w:tcPr>
            <w:tcW w:w="1392" w:type="dxa"/>
          </w:tcPr>
          <w:p>
            <w:pPr>
              <w:pStyle w:val="0"/>
              <w:jc w:val="center"/>
            </w:pPr>
            <w:r>
              <w:rPr>
                <w:sz w:val="20"/>
              </w:rPr>
              <w:t xml:space="preserve">Динамика за 2021/2022</w:t>
            </w:r>
          </w:p>
        </w:tc>
      </w:tr>
      <w:tr>
        <w:tc>
          <w:tcPr>
            <w:tcW w:w="1333" w:type="dxa"/>
          </w:tcPr>
          <w:p>
            <w:pPr>
              <w:pStyle w:val="0"/>
              <w:jc w:val="both"/>
            </w:pPr>
            <w:r>
              <w:rPr>
                <w:sz w:val="20"/>
              </w:rPr>
              <w:t xml:space="preserve">ГБ N 1</w:t>
            </w:r>
          </w:p>
        </w:tc>
        <w:tc>
          <w:tcPr>
            <w:tcW w:w="1356" w:type="dxa"/>
          </w:tcPr>
          <w:p>
            <w:pPr>
              <w:pStyle w:val="0"/>
              <w:jc w:val="center"/>
            </w:pPr>
            <w:r>
              <w:rPr>
                <w:sz w:val="20"/>
              </w:rPr>
              <w:t xml:space="preserve">312416</w:t>
            </w:r>
          </w:p>
        </w:tc>
        <w:tc>
          <w:tcPr>
            <w:tcW w:w="1134" w:type="dxa"/>
          </w:tcPr>
          <w:p>
            <w:pPr>
              <w:pStyle w:val="0"/>
              <w:jc w:val="center"/>
            </w:pPr>
            <w:r>
              <w:rPr>
                <w:sz w:val="20"/>
              </w:rPr>
              <w:t xml:space="preserve">301,20</w:t>
            </w:r>
          </w:p>
        </w:tc>
        <w:tc>
          <w:tcPr>
            <w:tcW w:w="1191" w:type="dxa"/>
          </w:tcPr>
          <w:p>
            <w:pPr>
              <w:pStyle w:val="0"/>
              <w:jc w:val="center"/>
            </w:pPr>
            <w:r>
              <w:rPr>
                <w:sz w:val="20"/>
              </w:rPr>
              <w:t xml:space="preserve">247,84</w:t>
            </w:r>
          </w:p>
        </w:tc>
        <w:tc>
          <w:tcPr>
            <w:tcW w:w="1247" w:type="dxa"/>
          </w:tcPr>
          <w:p>
            <w:pPr>
              <w:pStyle w:val="0"/>
              <w:jc w:val="center"/>
            </w:pPr>
            <w:r>
              <w:rPr>
                <w:sz w:val="20"/>
              </w:rPr>
              <w:t xml:space="preserve">240,4</w:t>
            </w:r>
          </w:p>
        </w:tc>
        <w:tc>
          <w:tcPr>
            <w:tcW w:w="1392" w:type="dxa"/>
          </w:tcPr>
          <w:p>
            <w:pPr>
              <w:pStyle w:val="0"/>
              <w:jc w:val="center"/>
            </w:pPr>
            <w:r>
              <w:rPr>
                <w:sz w:val="20"/>
              </w:rPr>
              <w:t xml:space="preserve">-20,2</w:t>
            </w:r>
          </w:p>
        </w:tc>
        <w:tc>
          <w:tcPr>
            <w:tcW w:w="1392" w:type="dxa"/>
          </w:tcPr>
          <w:p>
            <w:pPr>
              <w:pStyle w:val="0"/>
              <w:jc w:val="center"/>
            </w:pPr>
            <w:r>
              <w:rPr>
                <w:sz w:val="20"/>
              </w:rPr>
              <w:t xml:space="preserve">-3,0</w:t>
            </w:r>
          </w:p>
        </w:tc>
      </w:tr>
      <w:tr>
        <w:tc>
          <w:tcPr>
            <w:tcW w:w="1333" w:type="dxa"/>
          </w:tcPr>
          <w:p>
            <w:pPr>
              <w:pStyle w:val="0"/>
              <w:jc w:val="both"/>
            </w:pPr>
            <w:r>
              <w:rPr>
                <w:sz w:val="20"/>
              </w:rPr>
              <w:t xml:space="preserve">ГБ N 4</w:t>
            </w:r>
          </w:p>
        </w:tc>
        <w:tc>
          <w:tcPr>
            <w:tcW w:w="1356" w:type="dxa"/>
          </w:tcPr>
          <w:p>
            <w:pPr>
              <w:pStyle w:val="0"/>
              <w:jc w:val="center"/>
            </w:pPr>
            <w:r>
              <w:rPr>
                <w:sz w:val="20"/>
              </w:rPr>
              <w:t xml:space="preserve">49332</w:t>
            </w:r>
          </w:p>
        </w:tc>
        <w:tc>
          <w:tcPr>
            <w:tcW w:w="1134" w:type="dxa"/>
          </w:tcPr>
          <w:p>
            <w:pPr>
              <w:pStyle w:val="0"/>
              <w:jc w:val="center"/>
            </w:pPr>
            <w:r>
              <w:rPr>
                <w:sz w:val="20"/>
              </w:rPr>
              <w:t xml:space="preserve">291,46</w:t>
            </w:r>
          </w:p>
        </w:tc>
        <w:tc>
          <w:tcPr>
            <w:tcW w:w="1191" w:type="dxa"/>
          </w:tcPr>
          <w:p>
            <w:pPr>
              <w:pStyle w:val="0"/>
              <w:jc w:val="center"/>
            </w:pPr>
            <w:r>
              <w:rPr>
                <w:sz w:val="20"/>
              </w:rPr>
              <w:t xml:space="preserve">240,00</w:t>
            </w:r>
          </w:p>
        </w:tc>
        <w:tc>
          <w:tcPr>
            <w:tcW w:w="1247" w:type="dxa"/>
          </w:tcPr>
          <w:p>
            <w:pPr>
              <w:pStyle w:val="0"/>
              <w:jc w:val="center"/>
            </w:pPr>
            <w:r>
              <w:rPr>
                <w:sz w:val="20"/>
              </w:rPr>
              <w:t xml:space="preserve">227,03</w:t>
            </w:r>
          </w:p>
        </w:tc>
        <w:tc>
          <w:tcPr>
            <w:tcW w:w="1392" w:type="dxa"/>
          </w:tcPr>
          <w:p>
            <w:pPr>
              <w:pStyle w:val="0"/>
              <w:jc w:val="center"/>
            </w:pPr>
            <w:r>
              <w:rPr>
                <w:sz w:val="20"/>
              </w:rPr>
              <w:t xml:space="preserve">-22,1</w:t>
            </w:r>
          </w:p>
        </w:tc>
        <w:tc>
          <w:tcPr>
            <w:tcW w:w="1392" w:type="dxa"/>
          </w:tcPr>
          <w:p>
            <w:pPr>
              <w:pStyle w:val="0"/>
              <w:jc w:val="center"/>
            </w:pPr>
            <w:r>
              <w:rPr>
                <w:sz w:val="20"/>
              </w:rPr>
              <w:t xml:space="preserve">-5,4</w:t>
            </w:r>
          </w:p>
        </w:tc>
      </w:tr>
      <w:tr>
        <w:tc>
          <w:tcPr>
            <w:tcW w:w="1333" w:type="dxa"/>
          </w:tcPr>
          <w:p>
            <w:pPr>
              <w:pStyle w:val="0"/>
              <w:jc w:val="both"/>
            </w:pPr>
            <w:r>
              <w:rPr>
                <w:sz w:val="20"/>
              </w:rPr>
              <w:t xml:space="preserve">ГБ N 9</w:t>
            </w:r>
          </w:p>
        </w:tc>
        <w:tc>
          <w:tcPr>
            <w:tcW w:w="1356" w:type="dxa"/>
          </w:tcPr>
          <w:p>
            <w:pPr>
              <w:pStyle w:val="0"/>
              <w:jc w:val="center"/>
            </w:pPr>
            <w:r>
              <w:rPr>
                <w:sz w:val="20"/>
              </w:rPr>
              <w:t xml:space="preserve">56962</w:t>
            </w:r>
          </w:p>
        </w:tc>
        <w:tc>
          <w:tcPr>
            <w:tcW w:w="1134" w:type="dxa"/>
          </w:tcPr>
          <w:p>
            <w:pPr>
              <w:pStyle w:val="0"/>
              <w:jc w:val="center"/>
            </w:pPr>
            <w:r>
              <w:rPr>
                <w:sz w:val="20"/>
              </w:rPr>
              <w:t xml:space="preserve">290,05</w:t>
            </w:r>
          </w:p>
        </w:tc>
        <w:tc>
          <w:tcPr>
            <w:tcW w:w="1191" w:type="dxa"/>
          </w:tcPr>
          <w:p>
            <w:pPr>
              <w:pStyle w:val="0"/>
              <w:jc w:val="center"/>
            </w:pPr>
            <w:r>
              <w:rPr>
                <w:sz w:val="20"/>
              </w:rPr>
              <w:t xml:space="preserve">208,11</w:t>
            </w:r>
          </w:p>
        </w:tc>
        <w:tc>
          <w:tcPr>
            <w:tcW w:w="1247" w:type="dxa"/>
          </w:tcPr>
          <w:p>
            <w:pPr>
              <w:pStyle w:val="0"/>
              <w:jc w:val="center"/>
            </w:pPr>
            <w:r>
              <w:rPr>
                <w:sz w:val="20"/>
              </w:rPr>
              <w:t xml:space="preserve">233,49</w:t>
            </w:r>
          </w:p>
        </w:tc>
        <w:tc>
          <w:tcPr>
            <w:tcW w:w="1392" w:type="dxa"/>
          </w:tcPr>
          <w:p>
            <w:pPr>
              <w:pStyle w:val="0"/>
              <w:jc w:val="center"/>
            </w:pPr>
            <w:r>
              <w:rPr>
                <w:sz w:val="20"/>
              </w:rPr>
              <w:t xml:space="preserve">-19,5</w:t>
            </w:r>
          </w:p>
        </w:tc>
        <w:tc>
          <w:tcPr>
            <w:tcW w:w="1392" w:type="dxa"/>
          </w:tcPr>
          <w:p>
            <w:pPr>
              <w:pStyle w:val="0"/>
              <w:jc w:val="center"/>
            </w:pPr>
            <w:r>
              <w:rPr>
                <w:sz w:val="20"/>
              </w:rPr>
              <w:t xml:space="preserve">12,2</w:t>
            </w:r>
          </w:p>
        </w:tc>
      </w:tr>
    </w:tbl>
    <w:p>
      <w:pPr>
        <w:pStyle w:val="0"/>
        <w:ind w:firstLine="540"/>
        <w:jc w:val="both"/>
      </w:pPr>
      <w:r>
        <w:rPr>
          <w:sz w:val="20"/>
        </w:rPr>
      </w:r>
    </w:p>
    <w:p>
      <w:pPr>
        <w:pStyle w:val="0"/>
        <w:ind w:firstLine="540"/>
        <w:jc w:val="both"/>
      </w:pPr>
      <w:r>
        <w:rPr>
          <w:sz w:val="20"/>
        </w:rPr>
        <w:t xml:space="preserve">В 2022 году самое большое снижение смертности наблюдается в городских больницах N 1 и N 4, самое большое снижение смертности населения при сравнении с 2020 годом зарегистрировано в городской больнице N 4.</w:t>
      </w:r>
    </w:p>
    <w:p>
      <w:pPr>
        <w:pStyle w:val="0"/>
        <w:spacing w:before="200" w:line-rule="auto"/>
        <w:ind w:firstLine="540"/>
        <w:jc w:val="both"/>
      </w:pPr>
      <w:r>
        <w:rPr>
          <w:sz w:val="20"/>
        </w:rPr>
        <w:t xml:space="preserve">По итогам 2022 года в структуре смертности города Севастополя от ЗНО наибольший удельный вес составляют ЗНО органов пищеварения - 39,1% (404 случая), в 2021 году - 408 случаев, или 39,6%, на втором месте - ЗНО органов дыхания, 13,5% (139 случаев), в 2021 году - 179 случаев, или 35,2%, на третьем - ЗНО грудной железы, 9,1% (94 случая), в 2021 году - 91 случай, или 17,9%, на четвертом - ЗНО женских половых органов, 8,3% (86 случаев), в 2021 году - 67 случаев, или 17,8%, на пятом - ЗНО мочевыводящих путей, 6,3% (65 случаев), в 2021 году - 64 случая, или 6,2%, на шестом - ЗНО мужских половых органов, 5,7% (59 случаев), в 2021 году - 65 случаев, или 16,1%.</w:t>
      </w:r>
    </w:p>
    <w:p>
      <w:pPr>
        <w:pStyle w:val="0"/>
        <w:ind w:firstLine="540"/>
        <w:jc w:val="both"/>
      </w:pPr>
      <w:r>
        <w:rPr>
          <w:sz w:val="20"/>
        </w:rPr>
      </w:r>
    </w:p>
    <w:p>
      <w:pPr>
        <w:pStyle w:val="0"/>
        <w:jc w:val="right"/>
      </w:pPr>
      <w:r>
        <w:rPr>
          <w:sz w:val="20"/>
        </w:rPr>
        <w:t xml:space="preserve">Таблица N 17</w:t>
      </w:r>
    </w:p>
    <w:p>
      <w:pPr>
        <w:pStyle w:val="0"/>
        <w:ind w:firstLine="540"/>
        <w:jc w:val="both"/>
      </w:pPr>
      <w:r>
        <w:rPr>
          <w:sz w:val="20"/>
        </w:rPr>
      </w:r>
    </w:p>
    <w:p>
      <w:pPr>
        <w:pStyle w:val="0"/>
        <w:jc w:val="center"/>
      </w:pPr>
      <w:r>
        <w:rPr>
          <w:sz w:val="20"/>
        </w:rPr>
        <w:t xml:space="preserve">Смертность от ЗНО в трудоспособном возрасте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2948"/>
        <w:gridCol w:w="907"/>
        <w:gridCol w:w="907"/>
        <w:gridCol w:w="1020"/>
        <w:gridCol w:w="1304"/>
        <w:gridCol w:w="1361"/>
      </w:tblGrid>
      <w:tr>
        <w:tc>
          <w:tcPr>
            <w:tcW w:w="624" w:type="dxa"/>
            <w:vMerge w:val="restart"/>
          </w:tcPr>
          <w:p>
            <w:pPr>
              <w:pStyle w:val="0"/>
              <w:jc w:val="center"/>
            </w:pPr>
            <w:r>
              <w:rPr>
                <w:sz w:val="20"/>
              </w:rPr>
              <w:t xml:space="preserve">N п/п</w:t>
            </w:r>
          </w:p>
        </w:tc>
        <w:tc>
          <w:tcPr>
            <w:tcW w:w="2948" w:type="dxa"/>
            <w:vMerge w:val="restart"/>
          </w:tcPr>
          <w:p>
            <w:pPr>
              <w:pStyle w:val="0"/>
              <w:jc w:val="center"/>
            </w:pPr>
            <w:r>
              <w:rPr>
                <w:sz w:val="20"/>
              </w:rPr>
              <w:t xml:space="preserve">Наименование показателя</w:t>
            </w:r>
          </w:p>
        </w:tc>
        <w:tc>
          <w:tcPr>
            <w:gridSpan w:val="3"/>
            <w:tcW w:w="2834" w:type="dxa"/>
          </w:tcPr>
          <w:p>
            <w:pPr>
              <w:pStyle w:val="0"/>
              <w:jc w:val="center"/>
            </w:pPr>
            <w:r>
              <w:rPr>
                <w:sz w:val="20"/>
              </w:rPr>
              <w:t xml:space="preserve">2022</w:t>
            </w:r>
          </w:p>
        </w:tc>
        <w:tc>
          <w:tcPr>
            <w:tcW w:w="1304" w:type="dxa"/>
            <w:vMerge w:val="restart"/>
          </w:tcPr>
          <w:p>
            <w:pPr>
              <w:pStyle w:val="0"/>
              <w:jc w:val="center"/>
            </w:pPr>
            <w:r>
              <w:rPr>
                <w:sz w:val="20"/>
              </w:rPr>
              <w:t xml:space="preserve">2021 год, на 100 тыс. населения</w:t>
            </w:r>
          </w:p>
        </w:tc>
        <w:tc>
          <w:tcPr>
            <w:tcW w:w="1361" w:type="dxa"/>
            <w:vMerge w:val="restart"/>
          </w:tcPr>
          <w:p>
            <w:pPr>
              <w:pStyle w:val="0"/>
              <w:jc w:val="center"/>
            </w:pPr>
            <w:r>
              <w:rPr>
                <w:sz w:val="20"/>
              </w:rPr>
              <w:t xml:space="preserve">Динамика, %</w:t>
            </w:r>
          </w:p>
        </w:tc>
      </w:tr>
      <w:tr>
        <w:tc>
          <w:tcPr>
            <w:vMerge w:val="continue"/>
          </w:tcPr>
          <w:p/>
        </w:tc>
        <w:tc>
          <w:tcPr>
            <w:vMerge w:val="continue"/>
          </w:tcPr>
          <w:p/>
        </w:tc>
        <w:tc>
          <w:tcPr>
            <w:tcW w:w="907" w:type="dxa"/>
          </w:tcPr>
          <w:p>
            <w:pPr>
              <w:pStyle w:val="0"/>
              <w:jc w:val="center"/>
            </w:pPr>
            <w:r>
              <w:rPr>
                <w:sz w:val="20"/>
              </w:rPr>
              <w:t xml:space="preserve">абс. число</w:t>
            </w:r>
          </w:p>
        </w:tc>
        <w:tc>
          <w:tcPr>
            <w:tcW w:w="907" w:type="dxa"/>
          </w:tcPr>
          <w:p>
            <w:pPr>
              <w:pStyle w:val="0"/>
              <w:jc w:val="center"/>
            </w:pPr>
            <w:r>
              <w:rPr>
                <w:sz w:val="20"/>
              </w:rPr>
              <w:t xml:space="preserve">на 100 тыс. населения</w:t>
            </w:r>
          </w:p>
        </w:tc>
        <w:tc>
          <w:tcPr>
            <w:tcW w:w="1020" w:type="dxa"/>
          </w:tcPr>
          <w:p>
            <w:pPr>
              <w:pStyle w:val="0"/>
              <w:jc w:val="center"/>
            </w:pPr>
            <w:r>
              <w:rPr>
                <w:sz w:val="20"/>
              </w:rPr>
              <w:t xml:space="preserve">доля среди всех, %</w:t>
            </w:r>
          </w:p>
        </w:tc>
        <w:tc>
          <w:tcPr>
            <w:vMerge w:val="continue"/>
          </w:tcPr>
          <w:p/>
        </w:tc>
        <w:tc>
          <w:tcPr>
            <w:vMerge w:val="continue"/>
          </w:tcPr>
          <w:p/>
        </w:tc>
      </w:tr>
      <w:tr>
        <w:tc>
          <w:tcPr>
            <w:vMerge w:val="continue"/>
          </w:tcPr>
          <w:p/>
        </w:tc>
        <w:tc>
          <w:tcPr>
            <w:tcW w:w="2948" w:type="dxa"/>
          </w:tcPr>
          <w:p>
            <w:pPr>
              <w:pStyle w:val="0"/>
              <w:jc w:val="both"/>
            </w:pPr>
            <w:r>
              <w:rPr>
                <w:sz w:val="20"/>
              </w:rPr>
              <w:t xml:space="preserve">Умерло от ЗНО</w:t>
            </w:r>
          </w:p>
        </w:tc>
        <w:tc>
          <w:tcPr>
            <w:tcW w:w="907" w:type="dxa"/>
          </w:tcPr>
          <w:p>
            <w:pPr>
              <w:pStyle w:val="0"/>
              <w:jc w:val="center"/>
            </w:pPr>
            <w:r>
              <w:rPr>
                <w:sz w:val="20"/>
              </w:rPr>
              <w:t xml:space="preserve">199</w:t>
            </w:r>
          </w:p>
        </w:tc>
        <w:tc>
          <w:tcPr>
            <w:tcW w:w="907" w:type="dxa"/>
          </w:tcPr>
          <w:p>
            <w:pPr>
              <w:pStyle w:val="0"/>
              <w:jc w:val="center"/>
            </w:pPr>
            <w:r>
              <w:rPr>
                <w:sz w:val="20"/>
              </w:rPr>
              <w:t xml:space="preserve">65,16</w:t>
            </w:r>
          </w:p>
        </w:tc>
        <w:tc>
          <w:tcPr>
            <w:tcW w:w="1020" w:type="dxa"/>
          </w:tcPr>
          <w:p>
            <w:pPr>
              <w:pStyle w:val="0"/>
              <w:jc w:val="center"/>
            </w:pPr>
            <w:r>
              <w:rPr>
                <w:sz w:val="20"/>
              </w:rPr>
              <w:t xml:space="preserve">19,3</w:t>
            </w:r>
          </w:p>
        </w:tc>
        <w:tc>
          <w:tcPr>
            <w:tcW w:w="1304" w:type="dxa"/>
          </w:tcPr>
          <w:p>
            <w:pPr>
              <w:pStyle w:val="0"/>
              <w:jc w:val="center"/>
            </w:pPr>
            <w:r>
              <w:rPr>
                <w:sz w:val="20"/>
              </w:rPr>
              <w:t xml:space="preserve">59,97</w:t>
            </w:r>
          </w:p>
        </w:tc>
        <w:tc>
          <w:tcPr>
            <w:tcW w:w="1361" w:type="dxa"/>
          </w:tcPr>
          <w:p>
            <w:pPr>
              <w:pStyle w:val="0"/>
              <w:jc w:val="center"/>
            </w:pPr>
            <w:r>
              <w:rPr>
                <w:sz w:val="20"/>
              </w:rPr>
              <w:t xml:space="preserve">13,7</w:t>
            </w:r>
          </w:p>
        </w:tc>
      </w:tr>
      <w:tr>
        <w:tc>
          <w:tcPr>
            <w:tcW w:w="624" w:type="dxa"/>
          </w:tcPr>
          <w:p>
            <w:pPr>
              <w:pStyle w:val="0"/>
              <w:jc w:val="both"/>
            </w:pPr>
            <w:r>
              <w:rPr>
                <w:sz w:val="20"/>
              </w:rPr>
              <w:t xml:space="preserve">1</w:t>
            </w:r>
          </w:p>
        </w:tc>
        <w:tc>
          <w:tcPr>
            <w:tcW w:w="2948" w:type="dxa"/>
          </w:tcPr>
          <w:p>
            <w:pPr>
              <w:pStyle w:val="0"/>
              <w:jc w:val="both"/>
            </w:pPr>
            <w:r>
              <w:rPr>
                <w:sz w:val="20"/>
              </w:rPr>
              <w:t xml:space="preserve">ЗНО полости рта и глотки</w:t>
            </w:r>
          </w:p>
        </w:tc>
        <w:tc>
          <w:tcPr>
            <w:tcW w:w="907" w:type="dxa"/>
          </w:tcPr>
          <w:p>
            <w:pPr>
              <w:pStyle w:val="0"/>
              <w:jc w:val="center"/>
            </w:pPr>
            <w:r>
              <w:rPr>
                <w:sz w:val="20"/>
              </w:rPr>
              <w:t xml:space="preserve">8</w:t>
            </w:r>
          </w:p>
        </w:tc>
        <w:tc>
          <w:tcPr>
            <w:tcW w:w="907" w:type="dxa"/>
          </w:tcPr>
          <w:p>
            <w:pPr>
              <w:pStyle w:val="0"/>
              <w:jc w:val="center"/>
            </w:pPr>
            <w:r>
              <w:rPr>
                <w:sz w:val="20"/>
              </w:rPr>
              <w:t xml:space="preserve">2,62</w:t>
            </w:r>
          </w:p>
        </w:tc>
        <w:tc>
          <w:tcPr>
            <w:tcW w:w="1020" w:type="dxa"/>
          </w:tcPr>
          <w:p>
            <w:pPr>
              <w:pStyle w:val="0"/>
              <w:jc w:val="center"/>
            </w:pPr>
            <w:r>
              <w:rPr>
                <w:sz w:val="20"/>
              </w:rPr>
              <w:t xml:space="preserve">32</w:t>
            </w:r>
          </w:p>
        </w:tc>
        <w:tc>
          <w:tcPr>
            <w:tcW w:w="1304" w:type="dxa"/>
          </w:tcPr>
          <w:p>
            <w:pPr>
              <w:pStyle w:val="0"/>
              <w:jc w:val="center"/>
            </w:pPr>
            <w:r>
              <w:rPr>
                <w:sz w:val="20"/>
              </w:rPr>
              <w:t xml:space="preserve">1,4</w:t>
            </w:r>
          </w:p>
        </w:tc>
        <w:tc>
          <w:tcPr>
            <w:tcW w:w="1361" w:type="dxa"/>
          </w:tcPr>
          <w:p>
            <w:pPr>
              <w:pStyle w:val="0"/>
              <w:jc w:val="center"/>
            </w:pPr>
            <w:r>
              <w:rPr>
                <w:sz w:val="20"/>
              </w:rPr>
              <w:t xml:space="preserve">53,4</w:t>
            </w:r>
          </w:p>
        </w:tc>
      </w:tr>
      <w:tr>
        <w:tc>
          <w:tcPr>
            <w:tcW w:w="624" w:type="dxa"/>
          </w:tcPr>
          <w:p>
            <w:pPr>
              <w:pStyle w:val="0"/>
              <w:jc w:val="both"/>
            </w:pPr>
            <w:r>
              <w:rPr>
                <w:sz w:val="20"/>
              </w:rPr>
              <w:t xml:space="preserve">2</w:t>
            </w:r>
          </w:p>
        </w:tc>
        <w:tc>
          <w:tcPr>
            <w:tcW w:w="2948" w:type="dxa"/>
          </w:tcPr>
          <w:p>
            <w:pPr>
              <w:pStyle w:val="0"/>
              <w:jc w:val="both"/>
            </w:pPr>
            <w:r>
              <w:rPr>
                <w:sz w:val="20"/>
              </w:rPr>
              <w:t xml:space="preserve">ЗНО молочной железы</w:t>
            </w:r>
          </w:p>
        </w:tc>
        <w:tc>
          <w:tcPr>
            <w:tcW w:w="907" w:type="dxa"/>
          </w:tcPr>
          <w:p>
            <w:pPr>
              <w:pStyle w:val="0"/>
              <w:jc w:val="center"/>
            </w:pPr>
            <w:r>
              <w:rPr>
                <w:sz w:val="20"/>
              </w:rPr>
              <w:t xml:space="preserve">26</w:t>
            </w:r>
          </w:p>
        </w:tc>
        <w:tc>
          <w:tcPr>
            <w:tcW w:w="907" w:type="dxa"/>
          </w:tcPr>
          <w:p>
            <w:pPr>
              <w:pStyle w:val="0"/>
              <w:jc w:val="center"/>
            </w:pPr>
            <w:r>
              <w:rPr>
                <w:sz w:val="20"/>
              </w:rPr>
              <w:t xml:space="preserve">8,51</w:t>
            </w:r>
          </w:p>
        </w:tc>
        <w:tc>
          <w:tcPr>
            <w:tcW w:w="1020" w:type="dxa"/>
          </w:tcPr>
          <w:p>
            <w:pPr>
              <w:pStyle w:val="0"/>
              <w:jc w:val="center"/>
            </w:pPr>
            <w:r>
              <w:rPr>
                <w:sz w:val="20"/>
              </w:rPr>
              <w:t xml:space="preserve">27,7</w:t>
            </w:r>
          </w:p>
        </w:tc>
        <w:tc>
          <w:tcPr>
            <w:tcW w:w="1304" w:type="dxa"/>
          </w:tcPr>
          <w:p>
            <w:pPr>
              <w:pStyle w:val="0"/>
              <w:jc w:val="center"/>
            </w:pPr>
            <w:r>
              <w:rPr>
                <w:sz w:val="20"/>
              </w:rPr>
              <w:t xml:space="preserve">5,5</w:t>
            </w:r>
          </w:p>
        </w:tc>
        <w:tc>
          <w:tcPr>
            <w:tcW w:w="1361" w:type="dxa"/>
          </w:tcPr>
          <w:p>
            <w:pPr>
              <w:pStyle w:val="0"/>
              <w:jc w:val="center"/>
            </w:pPr>
            <w:r>
              <w:rPr>
                <w:sz w:val="20"/>
              </w:rPr>
              <w:t xml:space="preserve">62,5</w:t>
            </w:r>
          </w:p>
        </w:tc>
      </w:tr>
      <w:tr>
        <w:tc>
          <w:tcPr>
            <w:tcW w:w="624" w:type="dxa"/>
          </w:tcPr>
          <w:p>
            <w:pPr>
              <w:pStyle w:val="0"/>
              <w:jc w:val="both"/>
            </w:pPr>
            <w:r>
              <w:rPr>
                <w:sz w:val="20"/>
              </w:rPr>
              <w:t xml:space="preserve">3</w:t>
            </w:r>
          </w:p>
        </w:tc>
        <w:tc>
          <w:tcPr>
            <w:tcW w:w="2948" w:type="dxa"/>
          </w:tcPr>
          <w:p>
            <w:pPr>
              <w:pStyle w:val="0"/>
              <w:jc w:val="both"/>
            </w:pPr>
            <w:r>
              <w:rPr>
                <w:sz w:val="20"/>
              </w:rPr>
              <w:t xml:space="preserve">ЗНО головного мозга</w:t>
            </w:r>
          </w:p>
        </w:tc>
        <w:tc>
          <w:tcPr>
            <w:tcW w:w="907" w:type="dxa"/>
          </w:tcPr>
          <w:p>
            <w:pPr>
              <w:pStyle w:val="0"/>
              <w:jc w:val="center"/>
            </w:pPr>
            <w:r>
              <w:rPr>
                <w:sz w:val="20"/>
              </w:rPr>
              <w:t xml:space="preserve">14</w:t>
            </w:r>
          </w:p>
        </w:tc>
        <w:tc>
          <w:tcPr>
            <w:tcW w:w="907" w:type="dxa"/>
          </w:tcPr>
          <w:p>
            <w:pPr>
              <w:pStyle w:val="0"/>
              <w:jc w:val="center"/>
            </w:pPr>
            <w:r>
              <w:rPr>
                <w:sz w:val="20"/>
              </w:rPr>
              <w:t xml:space="preserve">4,6</w:t>
            </w:r>
          </w:p>
        </w:tc>
        <w:tc>
          <w:tcPr>
            <w:tcW w:w="1020" w:type="dxa"/>
          </w:tcPr>
          <w:p>
            <w:pPr>
              <w:pStyle w:val="0"/>
              <w:jc w:val="center"/>
            </w:pPr>
            <w:r>
              <w:rPr>
                <w:sz w:val="20"/>
              </w:rPr>
              <w:t xml:space="preserve">27</w:t>
            </w:r>
          </w:p>
        </w:tc>
        <w:tc>
          <w:tcPr>
            <w:tcW w:w="1304" w:type="dxa"/>
          </w:tcPr>
          <w:p>
            <w:pPr>
              <w:pStyle w:val="0"/>
              <w:jc w:val="center"/>
            </w:pPr>
            <w:r>
              <w:rPr>
                <w:sz w:val="20"/>
              </w:rPr>
              <w:t xml:space="preserve">3,77</w:t>
            </w:r>
          </w:p>
        </w:tc>
        <w:tc>
          <w:tcPr>
            <w:tcW w:w="1361" w:type="dxa"/>
          </w:tcPr>
          <w:p>
            <w:pPr>
              <w:pStyle w:val="0"/>
              <w:jc w:val="center"/>
            </w:pPr>
            <w:r>
              <w:rPr>
                <w:sz w:val="20"/>
              </w:rPr>
              <w:t xml:space="preserve">27,3</w:t>
            </w:r>
          </w:p>
        </w:tc>
      </w:tr>
    </w:tbl>
    <w:p>
      <w:pPr>
        <w:pStyle w:val="0"/>
        <w:jc w:val="center"/>
      </w:pPr>
      <w:r>
        <w:rPr>
          <w:sz w:val="20"/>
        </w:rPr>
      </w:r>
    </w:p>
    <w:p>
      <w:pPr>
        <w:pStyle w:val="0"/>
        <w:ind w:firstLine="540"/>
        <w:jc w:val="both"/>
      </w:pPr>
      <w:r>
        <w:rPr>
          <w:sz w:val="20"/>
        </w:rPr>
        <w:t xml:space="preserve">Из 1033 умерших от ЗНО 96 человек, вошедших в статистику по территории Севастополя, не являлись жителями города (так называемые "нерезиденты", 2020 год - 93 чел., 2021 год - 78 чел.). Таким образом, 9,3% от всех умерших от ЗНО, вошедших в статистику, это иностранные, иногородние и/или без определенного места жительства (показатель за 2021 год - 7,6%). Показатель смертности от ЗНО без учета "нерезидентов" составляет 179,9 на 100 тыс. населения.</w:t>
      </w:r>
    </w:p>
    <w:p>
      <w:pPr>
        <w:pStyle w:val="0"/>
        <w:spacing w:before="200" w:line-rule="auto"/>
        <w:ind w:firstLine="540"/>
        <w:jc w:val="both"/>
      </w:pPr>
      <w:r>
        <w:rPr>
          <w:sz w:val="20"/>
        </w:rPr>
        <w:t xml:space="preserve">От неонкологических заболеваний в 2022 году умерло 375 больных, что соответствует 36,3% на 100 умерших больных с ЗНО (2021 год - 467 чел., 45,3% на 100 умерших, 2020 год - 301 чел., 27,04% на 100 умерших).</w:t>
      </w:r>
    </w:p>
    <w:p>
      <w:pPr>
        <w:pStyle w:val="0"/>
        <w:spacing w:before="200" w:line-rule="auto"/>
        <w:ind w:firstLine="540"/>
        <w:jc w:val="both"/>
      </w:pPr>
      <w:r>
        <w:rPr>
          <w:sz w:val="20"/>
        </w:rPr>
        <w:t xml:space="preserve">Среди всех умерших 286 человек не состояли на диспансерном учете (2021 год - 274 чел.).</w:t>
      </w:r>
    </w:p>
    <w:p>
      <w:pPr>
        <w:pStyle w:val="0"/>
        <w:jc w:val="right"/>
      </w:pPr>
      <w:r>
        <w:rPr>
          <w:sz w:val="20"/>
        </w:rPr>
      </w:r>
    </w:p>
    <w:p>
      <w:pPr>
        <w:pStyle w:val="0"/>
        <w:jc w:val="right"/>
      </w:pPr>
      <w:r>
        <w:rPr>
          <w:sz w:val="20"/>
        </w:rPr>
        <w:t xml:space="preserve">Таблица N 18</w:t>
      </w:r>
    </w:p>
    <w:p>
      <w:pPr>
        <w:pStyle w:val="0"/>
        <w:ind w:firstLine="540"/>
        <w:jc w:val="both"/>
      </w:pPr>
      <w:r>
        <w:rPr>
          <w:sz w:val="20"/>
        </w:rPr>
      </w:r>
    </w:p>
    <w:p>
      <w:pPr>
        <w:pStyle w:val="0"/>
        <w:jc w:val="center"/>
      </w:pPr>
      <w:r>
        <w:rPr>
          <w:sz w:val="20"/>
        </w:rPr>
        <w:t xml:space="preserve">Посмертно учтенные пациенты с ЗНО</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850"/>
        <w:gridCol w:w="907"/>
        <w:gridCol w:w="851"/>
        <w:gridCol w:w="964"/>
        <w:gridCol w:w="1361"/>
        <w:gridCol w:w="1417"/>
      </w:tblGrid>
      <w:tr>
        <w:tc>
          <w:tcPr>
            <w:tcW w:w="2721" w:type="dxa"/>
          </w:tcPr>
          <w:p>
            <w:pPr>
              <w:pStyle w:val="0"/>
              <w:jc w:val="center"/>
            </w:pPr>
            <w:r>
              <w:rPr>
                <w:sz w:val="20"/>
              </w:rPr>
              <w:t xml:space="preserve">Наименование</w:t>
            </w:r>
          </w:p>
        </w:tc>
        <w:tc>
          <w:tcPr>
            <w:tcW w:w="850" w:type="dxa"/>
          </w:tcPr>
          <w:p>
            <w:pPr>
              <w:pStyle w:val="0"/>
              <w:jc w:val="center"/>
            </w:pPr>
            <w:r>
              <w:rPr>
                <w:sz w:val="20"/>
              </w:rPr>
              <w:t xml:space="preserve">РФ</w:t>
            </w:r>
          </w:p>
        </w:tc>
        <w:tc>
          <w:tcPr>
            <w:tcW w:w="907" w:type="dxa"/>
          </w:tcPr>
          <w:p>
            <w:pPr>
              <w:pStyle w:val="0"/>
              <w:jc w:val="center"/>
            </w:pPr>
            <w:r>
              <w:rPr>
                <w:sz w:val="20"/>
              </w:rPr>
              <w:t xml:space="preserve">2020</w:t>
            </w:r>
          </w:p>
        </w:tc>
        <w:tc>
          <w:tcPr>
            <w:tcW w:w="851" w:type="dxa"/>
          </w:tcPr>
          <w:p>
            <w:pPr>
              <w:pStyle w:val="0"/>
              <w:jc w:val="center"/>
            </w:pPr>
            <w:r>
              <w:rPr>
                <w:sz w:val="20"/>
              </w:rPr>
              <w:t xml:space="preserve">2021</w:t>
            </w:r>
          </w:p>
        </w:tc>
        <w:tc>
          <w:tcPr>
            <w:tcW w:w="964" w:type="dxa"/>
          </w:tcPr>
          <w:p>
            <w:pPr>
              <w:pStyle w:val="0"/>
              <w:jc w:val="center"/>
            </w:pPr>
            <w:r>
              <w:rPr>
                <w:sz w:val="20"/>
              </w:rPr>
              <w:t xml:space="preserve">2022</w:t>
            </w:r>
          </w:p>
        </w:tc>
        <w:tc>
          <w:tcPr>
            <w:tcW w:w="1361" w:type="dxa"/>
          </w:tcPr>
          <w:p>
            <w:pPr>
              <w:pStyle w:val="0"/>
              <w:jc w:val="center"/>
            </w:pPr>
            <w:r>
              <w:rPr>
                <w:sz w:val="20"/>
              </w:rPr>
              <w:t xml:space="preserve">Динамика, 2020/2022, %</w:t>
            </w:r>
          </w:p>
        </w:tc>
        <w:tc>
          <w:tcPr>
            <w:tcW w:w="1417" w:type="dxa"/>
          </w:tcPr>
          <w:p>
            <w:pPr>
              <w:pStyle w:val="0"/>
              <w:jc w:val="center"/>
            </w:pPr>
            <w:r>
              <w:rPr>
                <w:sz w:val="20"/>
              </w:rPr>
              <w:t xml:space="preserve">Динамика, 2021/2022, %</w:t>
            </w:r>
          </w:p>
        </w:tc>
      </w:tr>
      <w:tr>
        <w:tc>
          <w:tcPr>
            <w:tcW w:w="2721" w:type="dxa"/>
          </w:tcPr>
          <w:p>
            <w:pPr>
              <w:pStyle w:val="0"/>
              <w:jc w:val="both"/>
            </w:pPr>
            <w:r>
              <w:rPr>
                <w:sz w:val="20"/>
              </w:rPr>
              <w:t xml:space="preserve">Кол-во человек, взятых на Д-учет посмертно</w:t>
            </w:r>
          </w:p>
        </w:tc>
        <w:tc>
          <w:tcPr>
            <w:tcW w:w="850" w:type="dxa"/>
          </w:tcPr>
          <w:p>
            <w:pPr>
              <w:pStyle w:val="0"/>
              <w:jc w:val="center"/>
            </w:pPr>
            <w:r>
              <w:rPr>
                <w:sz w:val="20"/>
              </w:rPr>
            </w:r>
          </w:p>
        </w:tc>
        <w:tc>
          <w:tcPr>
            <w:tcW w:w="907" w:type="dxa"/>
          </w:tcPr>
          <w:p>
            <w:pPr>
              <w:pStyle w:val="0"/>
              <w:jc w:val="center"/>
            </w:pPr>
            <w:r>
              <w:rPr>
                <w:sz w:val="20"/>
              </w:rPr>
              <w:t xml:space="preserve">261</w:t>
            </w:r>
          </w:p>
        </w:tc>
        <w:tc>
          <w:tcPr>
            <w:tcW w:w="851" w:type="dxa"/>
          </w:tcPr>
          <w:p>
            <w:pPr>
              <w:pStyle w:val="0"/>
              <w:jc w:val="center"/>
            </w:pPr>
            <w:r>
              <w:rPr>
                <w:sz w:val="20"/>
              </w:rPr>
              <w:t xml:space="preserve">274</w:t>
            </w:r>
          </w:p>
        </w:tc>
        <w:tc>
          <w:tcPr>
            <w:tcW w:w="964" w:type="dxa"/>
          </w:tcPr>
          <w:p>
            <w:pPr>
              <w:pStyle w:val="0"/>
              <w:jc w:val="center"/>
            </w:pPr>
            <w:r>
              <w:rPr>
                <w:sz w:val="20"/>
              </w:rPr>
              <w:t xml:space="preserve">286</w:t>
            </w:r>
          </w:p>
        </w:tc>
        <w:tc>
          <w:tcPr>
            <w:tcW w:w="1361" w:type="dxa"/>
          </w:tcPr>
          <w:p>
            <w:pPr>
              <w:pStyle w:val="0"/>
              <w:jc w:val="center"/>
            </w:pPr>
            <w:r>
              <w:rPr>
                <w:sz w:val="20"/>
              </w:rPr>
              <w:t xml:space="preserve">9,6</w:t>
            </w:r>
          </w:p>
        </w:tc>
        <w:tc>
          <w:tcPr>
            <w:tcW w:w="1417" w:type="dxa"/>
          </w:tcPr>
          <w:p>
            <w:pPr>
              <w:pStyle w:val="0"/>
              <w:jc w:val="center"/>
            </w:pPr>
            <w:r>
              <w:rPr>
                <w:sz w:val="20"/>
              </w:rPr>
              <w:t xml:space="preserve">4,4</w:t>
            </w:r>
          </w:p>
        </w:tc>
      </w:tr>
      <w:tr>
        <w:tc>
          <w:tcPr>
            <w:tcW w:w="2721" w:type="dxa"/>
          </w:tcPr>
          <w:p>
            <w:pPr>
              <w:pStyle w:val="0"/>
              <w:jc w:val="both"/>
            </w:pPr>
            <w:r>
              <w:rPr>
                <w:sz w:val="20"/>
              </w:rPr>
              <w:t xml:space="preserve">% от всех с впервые в жизни установленным диагнозом</w:t>
            </w:r>
          </w:p>
        </w:tc>
        <w:tc>
          <w:tcPr>
            <w:tcW w:w="850" w:type="dxa"/>
          </w:tcPr>
          <w:p>
            <w:pPr>
              <w:pStyle w:val="0"/>
              <w:jc w:val="center"/>
            </w:pPr>
            <w:r>
              <w:rPr>
                <w:sz w:val="20"/>
              </w:rPr>
              <w:t xml:space="preserve">6,8</w:t>
            </w:r>
          </w:p>
        </w:tc>
        <w:tc>
          <w:tcPr>
            <w:tcW w:w="907" w:type="dxa"/>
          </w:tcPr>
          <w:p>
            <w:pPr>
              <w:pStyle w:val="0"/>
              <w:jc w:val="center"/>
            </w:pPr>
            <w:r>
              <w:rPr>
                <w:sz w:val="20"/>
              </w:rPr>
              <w:t xml:space="preserve">13,6</w:t>
            </w:r>
          </w:p>
        </w:tc>
        <w:tc>
          <w:tcPr>
            <w:tcW w:w="851" w:type="dxa"/>
          </w:tcPr>
          <w:p>
            <w:pPr>
              <w:pStyle w:val="0"/>
              <w:jc w:val="center"/>
            </w:pPr>
            <w:r>
              <w:rPr>
                <w:sz w:val="20"/>
              </w:rPr>
              <w:t xml:space="preserve">13,2</w:t>
            </w:r>
          </w:p>
        </w:tc>
        <w:tc>
          <w:tcPr>
            <w:tcW w:w="964" w:type="dxa"/>
          </w:tcPr>
          <w:p>
            <w:pPr>
              <w:pStyle w:val="0"/>
              <w:jc w:val="center"/>
            </w:pPr>
            <w:r>
              <w:rPr>
                <w:sz w:val="20"/>
              </w:rPr>
              <w:t xml:space="preserve">12,3</w:t>
            </w:r>
          </w:p>
        </w:tc>
        <w:tc>
          <w:tcPr>
            <w:tcW w:w="1361" w:type="dxa"/>
          </w:tcPr>
          <w:p>
            <w:pPr>
              <w:pStyle w:val="0"/>
              <w:jc w:val="center"/>
            </w:pPr>
            <w:r>
              <w:rPr>
                <w:sz w:val="20"/>
              </w:rPr>
              <w:t xml:space="preserve">-9,6</w:t>
            </w:r>
          </w:p>
        </w:tc>
        <w:tc>
          <w:tcPr>
            <w:tcW w:w="1417" w:type="dxa"/>
          </w:tcPr>
          <w:p>
            <w:pPr>
              <w:pStyle w:val="0"/>
              <w:jc w:val="center"/>
            </w:pPr>
            <w:r>
              <w:rPr>
                <w:sz w:val="20"/>
              </w:rPr>
              <w:t xml:space="preserve">-6,8</w:t>
            </w:r>
          </w:p>
        </w:tc>
      </w:tr>
      <w:tr>
        <w:tc>
          <w:tcPr>
            <w:tcW w:w="2721" w:type="dxa"/>
          </w:tcPr>
          <w:p>
            <w:pPr>
              <w:pStyle w:val="0"/>
              <w:jc w:val="both"/>
            </w:pPr>
            <w:r>
              <w:rPr>
                <w:sz w:val="20"/>
              </w:rPr>
              <w:t xml:space="preserve">% от всех умерших</w:t>
            </w:r>
          </w:p>
        </w:tc>
        <w:tc>
          <w:tcPr>
            <w:tcW w:w="850" w:type="dxa"/>
          </w:tcPr>
          <w:p>
            <w:pPr>
              <w:pStyle w:val="0"/>
              <w:jc w:val="center"/>
            </w:pPr>
            <w:r>
              <w:rPr>
                <w:sz w:val="20"/>
              </w:rPr>
              <w:t xml:space="preserve">13,6</w:t>
            </w:r>
          </w:p>
        </w:tc>
        <w:tc>
          <w:tcPr>
            <w:tcW w:w="907" w:type="dxa"/>
          </w:tcPr>
          <w:p>
            <w:pPr>
              <w:pStyle w:val="0"/>
              <w:jc w:val="center"/>
            </w:pPr>
            <w:r>
              <w:rPr>
                <w:sz w:val="20"/>
              </w:rPr>
              <w:t xml:space="preserve">23,8</w:t>
            </w:r>
          </w:p>
        </w:tc>
        <w:tc>
          <w:tcPr>
            <w:tcW w:w="851" w:type="dxa"/>
          </w:tcPr>
          <w:p>
            <w:pPr>
              <w:pStyle w:val="0"/>
              <w:jc w:val="center"/>
            </w:pPr>
            <w:r>
              <w:rPr>
                <w:sz w:val="20"/>
              </w:rPr>
              <w:t xml:space="preserve">26,5</w:t>
            </w:r>
          </w:p>
        </w:tc>
        <w:tc>
          <w:tcPr>
            <w:tcW w:w="964" w:type="dxa"/>
          </w:tcPr>
          <w:p>
            <w:pPr>
              <w:pStyle w:val="0"/>
              <w:jc w:val="center"/>
            </w:pPr>
            <w:r>
              <w:rPr>
                <w:sz w:val="20"/>
              </w:rPr>
              <w:t xml:space="preserve">27,7</w:t>
            </w:r>
          </w:p>
        </w:tc>
        <w:tc>
          <w:tcPr>
            <w:tcW w:w="1361" w:type="dxa"/>
          </w:tcPr>
          <w:p>
            <w:pPr>
              <w:pStyle w:val="0"/>
              <w:jc w:val="center"/>
            </w:pPr>
            <w:r>
              <w:rPr>
                <w:sz w:val="20"/>
              </w:rPr>
              <w:t xml:space="preserve">16,4</w:t>
            </w:r>
          </w:p>
        </w:tc>
        <w:tc>
          <w:tcPr>
            <w:tcW w:w="1417" w:type="dxa"/>
          </w:tcPr>
          <w:p>
            <w:pPr>
              <w:pStyle w:val="0"/>
              <w:jc w:val="center"/>
            </w:pPr>
            <w:r>
              <w:rPr>
                <w:sz w:val="20"/>
              </w:rPr>
              <w:t xml:space="preserve">4,5</w:t>
            </w:r>
          </w:p>
        </w:tc>
      </w:tr>
    </w:tbl>
    <w:p>
      <w:pPr>
        <w:pStyle w:val="0"/>
        <w:ind w:firstLine="540"/>
        <w:jc w:val="both"/>
      </w:pPr>
      <w:r>
        <w:rPr>
          <w:sz w:val="20"/>
        </w:rPr>
      </w:r>
    </w:p>
    <w:p>
      <w:pPr>
        <w:pStyle w:val="2"/>
        <w:outlineLvl w:val="3"/>
        <w:jc w:val="center"/>
      </w:pPr>
      <w:r>
        <w:rPr>
          <w:sz w:val="20"/>
        </w:rPr>
        <w:t xml:space="preserve">1.4. Текущая ситуация по реализации мероприятий по первичной</w:t>
      </w:r>
    </w:p>
    <w:p>
      <w:pPr>
        <w:pStyle w:val="2"/>
        <w:jc w:val="center"/>
      </w:pPr>
      <w:r>
        <w:rPr>
          <w:sz w:val="20"/>
        </w:rPr>
        <w:t xml:space="preserve">и вторичной профилактике онкологических заболеваний</w:t>
      </w:r>
    </w:p>
    <w:p>
      <w:pPr>
        <w:pStyle w:val="0"/>
        <w:jc w:val="center"/>
      </w:pPr>
      <w:r>
        <w:rPr>
          <w:sz w:val="20"/>
        </w:rPr>
      </w:r>
    </w:p>
    <w:p>
      <w:pPr>
        <w:pStyle w:val="0"/>
        <w:ind w:firstLine="540"/>
        <w:jc w:val="both"/>
      </w:pPr>
      <w:r>
        <w:rPr>
          <w:sz w:val="20"/>
        </w:rPr>
        <w:t xml:space="preserve">Специалистами Центра общественного здоровья ГБУЗС "МИАЦ" и ГБУЗС "Центр лечебной физкультуры, спортивной медицины и медицинской профилактики" разработаны и распространяются по медицинским организациям, предприятиям города информационные материалы - листовки по профилактике солнечных ожогов, правильному питанию, а также телевизионные рекламные ролики. Рекламные ролики постоянно презентуются на экранах в медицинских организациях, на телевизионных каналах, информационных баннерах города.</w:t>
      </w:r>
    </w:p>
    <w:p>
      <w:pPr>
        <w:pStyle w:val="0"/>
        <w:ind w:firstLine="540"/>
        <w:jc w:val="both"/>
      </w:pPr>
      <w:r>
        <w:rPr>
          <w:sz w:val="20"/>
        </w:rPr>
      </w:r>
    </w:p>
    <w:p>
      <w:pPr>
        <w:pStyle w:val="0"/>
        <w:jc w:val="right"/>
      </w:pPr>
      <w:r>
        <w:rPr>
          <w:sz w:val="20"/>
        </w:rPr>
        <w:t xml:space="preserve">Таблица N 19</w:t>
      </w:r>
    </w:p>
    <w:p>
      <w:pPr>
        <w:pStyle w:val="0"/>
        <w:ind w:firstLine="540"/>
        <w:jc w:val="both"/>
      </w:pPr>
      <w:r>
        <w:rPr>
          <w:sz w:val="20"/>
        </w:rPr>
      </w:r>
    </w:p>
    <w:p>
      <w:pPr>
        <w:pStyle w:val="0"/>
        <w:jc w:val="center"/>
      </w:pPr>
      <w:r>
        <w:rPr>
          <w:sz w:val="20"/>
        </w:rPr>
        <w:t xml:space="preserve">Результаты проведения профилактических медицинских осмотров</w:t>
      </w:r>
    </w:p>
    <w:p>
      <w:pPr>
        <w:pStyle w:val="0"/>
        <w:jc w:val="center"/>
      </w:pPr>
      <w:r>
        <w:rPr>
          <w:sz w:val="20"/>
        </w:rPr>
        <w:t xml:space="preserve">и диспансеризации, проведенных в медицинских организациях</w:t>
      </w:r>
    </w:p>
    <w:p>
      <w:pPr>
        <w:pStyle w:val="0"/>
        <w:jc w:val="center"/>
      </w:pPr>
      <w:r>
        <w:rPr>
          <w:sz w:val="20"/>
        </w:rPr>
        <w:t xml:space="preserve">города Севастополя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360"/>
        <w:gridCol w:w="963"/>
        <w:gridCol w:w="907"/>
        <w:gridCol w:w="1360"/>
        <w:gridCol w:w="907"/>
        <w:gridCol w:w="850"/>
      </w:tblGrid>
      <w:tr>
        <w:tc>
          <w:tcPr>
            <w:tcW w:w="2721" w:type="dxa"/>
            <w:vMerge w:val="restart"/>
          </w:tcPr>
          <w:p>
            <w:pPr>
              <w:pStyle w:val="0"/>
              <w:jc w:val="center"/>
            </w:pPr>
            <w:r>
              <w:rPr>
                <w:sz w:val="20"/>
              </w:rPr>
              <w:t xml:space="preserve">Наименование</w:t>
            </w:r>
          </w:p>
        </w:tc>
        <w:tc>
          <w:tcPr>
            <w:gridSpan w:val="3"/>
            <w:tcW w:w="3230" w:type="dxa"/>
          </w:tcPr>
          <w:p>
            <w:pPr>
              <w:pStyle w:val="0"/>
              <w:jc w:val="center"/>
            </w:pPr>
            <w:r>
              <w:rPr>
                <w:sz w:val="20"/>
              </w:rPr>
              <w:t xml:space="preserve">2022 год</w:t>
            </w:r>
          </w:p>
        </w:tc>
        <w:tc>
          <w:tcPr>
            <w:gridSpan w:val="3"/>
            <w:tcW w:w="3117" w:type="dxa"/>
          </w:tcPr>
          <w:p>
            <w:pPr>
              <w:pStyle w:val="0"/>
              <w:jc w:val="center"/>
            </w:pPr>
            <w:r>
              <w:rPr>
                <w:sz w:val="20"/>
              </w:rPr>
              <w:t xml:space="preserve">2021 год</w:t>
            </w:r>
          </w:p>
        </w:tc>
      </w:tr>
      <w:tr>
        <w:tc>
          <w:tcPr>
            <w:vMerge w:val="continue"/>
          </w:tcPr>
          <w:p/>
        </w:tc>
        <w:tc>
          <w:tcPr>
            <w:tcW w:w="1360" w:type="dxa"/>
            <w:vMerge w:val="restart"/>
          </w:tcPr>
          <w:p>
            <w:pPr>
              <w:pStyle w:val="0"/>
              <w:jc w:val="center"/>
            </w:pPr>
            <w:r>
              <w:rPr>
                <w:sz w:val="20"/>
              </w:rPr>
              <w:t xml:space="preserve">Подлежало осмотрам</w:t>
            </w:r>
          </w:p>
        </w:tc>
        <w:tc>
          <w:tcPr>
            <w:gridSpan w:val="2"/>
            <w:tcW w:w="1870" w:type="dxa"/>
          </w:tcPr>
          <w:p>
            <w:pPr>
              <w:pStyle w:val="0"/>
              <w:jc w:val="center"/>
            </w:pPr>
            <w:r>
              <w:rPr>
                <w:sz w:val="20"/>
              </w:rPr>
              <w:t xml:space="preserve">Осмотрено</w:t>
            </w:r>
          </w:p>
        </w:tc>
        <w:tc>
          <w:tcPr>
            <w:tcW w:w="1360" w:type="dxa"/>
            <w:vMerge w:val="restart"/>
          </w:tcPr>
          <w:p>
            <w:pPr>
              <w:pStyle w:val="0"/>
              <w:jc w:val="center"/>
            </w:pPr>
            <w:r>
              <w:rPr>
                <w:sz w:val="20"/>
              </w:rPr>
              <w:t xml:space="preserve">Подлежало осмотрам</w:t>
            </w:r>
          </w:p>
        </w:tc>
        <w:tc>
          <w:tcPr>
            <w:gridSpan w:val="2"/>
            <w:tcW w:w="1757" w:type="dxa"/>
          </w:tcPr>
          <w:p>
            <w:pPr>
              <w:pStyle w:val="0"/>
              <w:jc w:val="center"/>
            </w:pPr>
            <w:r>
              <w:rPr>
                <w:sz w:val="20"/>
              </w:rPr>
              <w:t xml:space="preserve">Осмотрено</w:t>
            </w:r>
          </w:p>
        </w:tc>
      </w:tr>
      <w:tr>
        <w:tc>
          <w:tcPr>
            <w:vMerge w:val="continue"/>
          </w:tcPr>
          <w:p/>
        </w:tc>
        <w:tc>
          <w:tcPr>
            <w:vMerge w:val="continue"/>
          </w:tcPr>
          <w:p/>
        </w:tc>
        <w:tc>
          <w:tcPr>
            <w:tcW w:w="963" w:type="dxa"/>
          </w:tcPr>
          <w:p>
            <w:pPr>
              <w:pStyle w:val="0"/>
              <w:jc w:val="center"/>
            </w:pPr>
            <w:r>
              <w:rPr>
                <w:sz w:val="20"/>
              </w:rPr>
              <w:t xml:space="preserve">Кол-во, чел.</w:t>
            </w:r>
          </w:p>
        </w:tc>
        <w:tc>
          <w:tcPr>
            <w:tcW w:w="907" w:type="dxa"/>
          </w:tcPr>
          <w:p>
            <w:pPr>
              <w:pStyle w:val="0"/>
              <w:jc w:val="center"/>
            </w:pPr>
            <w:r>
              <w:rPr>
                <w:sz w:val="20"/>
              </w:rPr>
              <w:t xml:space="preserve">Доля, %</w:t>
            </w:r>
          </w:p>
        </w:tc>
        <w:tc>
          <w:tcPr>
            <w:vMerge w:val="continue"/>
          </w:tcPr>
          <w:p/>
        </w:tc>
        <w:tc>
          <w:tcPr>
            <w:tcW w:w="907" w:type="dxa"/>
          </w:tcPr>
          <w:p>
            <w:pPr>
              <w:pStyle w:val="0"/>
              <w:jc w:val="center"/>
            </w:pPr>
            <w:r>
              <w:rPr>
                <w:sz w:val="20"/>
              </w:rPr>
              <w:t xml:space="preserve">Кол-во, чел.</w:t>
            </w:r>
          </w:p>
        </w:tc>
        <w:tc>
          <w:tcPr>
            <w:tcW w:w="850" w:type="dxa"/>
          </w:tcPr>
          <w:p>
            <w:pPr>
              <w:pStyle w:val="0"/>
              <w:jc w:val="center"/>
            </w:pPr>
            <w:r>
              <w:rPr>
                <w:sz w:val="20"/>
              </w:rPr>
              <w:t xml:space="preserve">Доля, %</w:t>
            </w:r>
          </w:p>
        </w:tc>
      </w:tr>
      <w:tr>
        <w:tc>
          <w:tcPr>
            <w:tcW w:w="2721" w:type="dxa"/>
          </w:tcPr>
          <w:p>
            <w:pPr>
              <w:pStyle w:val="0"/>
              <w:jc w:val="both"/>
            </w:pPr>
            <w:r>
              <w:rPr>
                <w:sz w:val="20"/>
              </w:rPr>
              <w:t xml:space="preserve">Всего</w:t>
            </w:r>
          </w:p>
        </w:tc>
        <w:tc>
          <w:tcPr>
            <w:tcW w:w="1360" w:type="dxa"/>
          </w:tcPr>
          <w:p>
            <w:pPr>
              <w:pStyle w:val="0"/>
              <w:jc w:val="center"/>
            </w:pPr>
            <w:r>
              <w:rPr>
                <w:sz w:val="20"/>
              </w:rPr>
              <w:t xml:space="preserve">225379</w:t>
            </w:r>
          </w:p>
        </w:tc>
        <w:tc>
          <w:tcPr>
            <w:tcW w:w="963" w:type="dxa"/>
          </w:tcPr>
          <w:p>
            <w:pPr>
              <w:pStyle w:val="0"/>
              <w:jc w:val="center"/>
            </w:pPr>
            <w:r>
              <w:rPr>
                <w:sz w:val="20"/>
              </w:rPr>
              <w:t xml:space="preserve">152390</w:t>
            </w:r>
          </w:p>
        </w:tc>
        <w:tc>
          <w:tcPr>
            <w:tcW w:w="907" w:type="dxa"/>
          </w:tcPr>
          <w:p>
            <w:pPr>
              <w:pStyle w:val="0"/>
              <w:jc w:val="center"/>
            </w:pPr>
            <w:r>
              <w:rPr>
                <w:sz w:val="20"/>
              </w:rPr>
              <w:t xml:space="preserve">67,6</w:t>
            </w:r>
          </w:p>
        </w:tc>
        <w:tc>
          <w:tcPr>
            <w:tcW w:w="1360" w:type="dxa"/>
          </w:tcPr>
          <w:p>
            <w:pPr>
              <w:pStyle w:val="0"/>
              <w:jc w:val="center"/>
            </w:pPr>
            <w:r>
              <w:rPr>
                <w:sz w:val="20"/>
              </w:rPr>
              <w:t xml:space="preserve">168867</w:t>
            </w:r>
          </w:p>
        </w:tc>
        <w:tc>
          <w:tcPr>
            <w:tcW w:w="907" w:type="dxa"/>
          </w:tcPr>
          <w:p>
            <w:pPr>
              <w:pStyle w:val="0"/>
              <w:jc w:val="center"/>
            </w:pPr>
            <w:r>
              <w:rPr>
                <w:sz w:val="20"/>
              </w:rPr>
              <w:t xml:space="preserve">21670</w:t>
            </w:r>
          </w:p>
        </w:tc>
        <w:tc>
          <w:tcPr>
            <w:tcW w:w="850" w:type="dxa"/>
          </w:tcPr>
          <w:p>
            <w:pPr>
              <w:pStyle w:val="0"/>
              <w:jc w:val="center"/>
            </w:pPr>
            <w:r>
              <w:rPr>
                <w:sz w:val="20"/>
              </w:rPr>
              <w:t xml:space="preserve">12,8</w:t>
            </w:r>
          </w:p>
        </w:tc>
      </w:tr>
      <w:tr>
        <w:tc>
          <w:tcPr>
            <w:tcW w:w="2721" w:type="dxa"/>
          </w:tcPr>
          <w:p>
            <w:pPr>
              <w:pStyle w:val="0"/>
              <w:jc w:val="both"/>
            </w:pPr>
            <w:r>
              <w:rPr>
                <w:sz w:val="20"/>
              </w:rPr>
              <w:t xml:space="preserve">Из них взрослых (18 лет и старше)</w:t>
            </w:r>
          </w:p>
        </w:tc>
        <w:tc>
          <w:tcPr>
            <w:tcW w:w="1360" w:type="dxa"/>
          </w:tcPr>
          <w:p>
            <w:pPr>
              <w:pStyle w:val="0"/>
              <w:jc w:val="center"/>
            </w:pPr>
            <w:r>
              <w:rPr>
                <w:sz w:val="20"/>
              </w:rPr>
              <w:t xml:space="preserve">133198</w:t>
            </w:r>
          </w:p>
        </w:tc>
        <w:tc>
          <w:tcPr>
            <w:tcW w:w="963" w:type="dxa"/>
          </w:tcPr>
          <w:p>
            <w:pPr>
              <w:pStyle w:val="0"/>
              <w:jc w:val="center"/>
            </w:pPr>
            <w:r>
              <w:rPr>
                <w:sz w:val="20"/>
              </w:rPr>
              <w:t xml:space="preserve">105462</w:t>
            </w:r>
          </w:p>
        </w:tc>
        <w:tc>
          <w:tcPr>
            <w:tcW w:w="907" w:type="dxa"/>
          </w:tcPr>
          <w:p>
            <w:pPr>
              <w:pStyle w:val="0"/>
              <w:jc w:val="center"/>
            </w:pPr>
            <w:r>
              <w:rPr>
                <w:sz w:val="20"/>
              </w:rPr>
              <w:t xml:space="preserve">79,2</w:t>
            </w:r>
          </w:p>
        </w:tc>
        <w:tc>
          <w:tcPr>
            <w:tcW w:w="1360" w:type="dxa"/>
          </w:tcPr>
          <w:p>
            <w:pPr>
              <w:pStyle w:val="0"/>
              <w:jc w:val="center"/>
            </w:pPr>
            <w:r>
              <w:rPr>
                <w:sz w:val="20"/>
              </w:rPr>
              <w:t xml:space="preserve">79613</w:t>
            </w:r>
          </w:p>
        </w:tc>
        <w:tc>
          <w:tcPr>
            <w:tcW w:w="907" w:type="dxa"/>
          </w:tcPr>
          <w:p>
            <w:pPr>
              <w:pStyle w:val="0"/>
              <w:jc w:val="center"/>
            </w:pPr>
            <w:r>
              <w:rPr>
                <w:sz w:val="20"/>
              </w:rPr>
              <w:t xml:space="preserve">3738</w:t>
            </w:r>
          </w:p>
        </w:tc>
        <w:tc>
          <w:tcPr>
            <w:tcW w:w="850" w:type="dxa"/>
          </w:tcPr>
          <w:p>
            <w:pPr>
              <w:pStyle w:val="0"/>
              <w:jc w:val="center"/>
            </w:pPr>
            <w:r>
              <w:rPr>
                <w:sz w:val="20"/>
              </w:rPr>
              <w:t xml:space="preserve">4,5</w:t>
            </w:r>
          </w:p>
        </w:tc>
      </w:tr>
      <w:tr>
        <w:tc>
          <w:tcPr>
            <w:tcW w:w="2721" w:type="dxa"/>
          </w:tcPr>
          <w:p>
            <w:pPr>
              <w:pStyle w:val="0"/>
              <w:jc w:val="both"/>
            </w:pPr>
            <w:r>
              <w:rPr>
                <w:sz w:val="20"/>
              </w:rPr>
              <w:t xml:space="preserve">В том числе старше трудоспособного возраста</w:t>
            </w:r>
          </w:p>
        </w:tc>
        <w:tc>
          <w:tcPr>
            <w:tcW w:w="1360" w:type="dxa"/>
          </w:tcPr>
          <w:p>
            <w:pPr>
              <w:pStyle w:val="0"/>
              <w:jc w:val="center"/>
            </w:pPr>
            <w:r>
              <w:rPr>
                <w:sz w:val="20"/>
              </w:rPr>
              <w:t xml:space="preserve">42438</w:t>
            </w:r>
          </w:p>
        </w:tc>
        <w:tc>
          <w:tcPr>
            <w:tcW w:w="963" w:type="dxa"/>
          </w:tcPr>
          <w:p>
            <w:pPr>
              <w:pStyle w:val="0"/>
              <w:jc w:val="center"/>
            </w:pPr>
            <w:r>
              <w:rPr>
                <w:sz w:val="20"/>
              </w:rPr>
              <w:t xml:space="preserve">49794</w:t>
            </w:r>
          </w:p>
        </w:tc>
        <w:tc>
          <w:tcPr>
            <w:tcW w:w="907" w:type="dxa"/>
          </w:tcPr>
          <w:p>
            <w:pPr>
              <w:pStyle w:val="0"/>
              <w:jc w:val="center"/>
            </w:pPr>
            <w:r>
              <w:rPr>
                <w:sz w:val="20"/>
              </w:rPr>
              <w:t xml:space="preserve">117,3</w:t>
            </w:r>
          </w:p>
        </w:tc>
        <w:tc>
          <w:tcPr>
            <w:tcW w:w="1360" w:type="dxa"/>
          </w:tcPr>
          <w:p>
            <w:pPr>
              <w:pStyle w:val="0"/>
              <w:jc w:val="center"/>
            </w:pPr>
            <w:r>
              <w:rPr>
                <w:sz w:val="20"/>
              </w:rPr>
              <w:t xml:space="preserve">28312</w:t>
            </w:r>
          </w:p>
        </w:tc>
        <w:tc>
          <w:tcPr>
            <w:tcW w:w="907" w:type="dxa"/>
          </w:tcPr>
          <w:p>
            <w:pPr>
              <w:pStyle w:val="0"/>
              <w:jc w:val="center"/>
            </w:pPr>
            <w:r>
              <w:rPr>
                <w:sz w:val="20"/>
              </w:rPr>
              <w:t xml:space="preserve">1219</w:t>
            </w:r>
          </w:p>
        </w:tc>
        <w:tc>
          <w:tcPr>
            <w:tcW w:w="850" w:type="dxa"/>
          </w:tcPr>
          <w:p>
            <w:pPr>
              <w:pStyle w:val="0"/>
              <w:jc w:val="center"/>
            </w:pPr>
            <w:r>
              <w:rPr>
                <w:sz w:val="20"/>
              </w:rPr>
              <w:t xml:space="preserve">4,3</w:t>
            </w:r>
          </w:p>
        </w:tc>
      </w:tr>
      <w:tr>
        <w:tc>
          <w:tcPr>
            <w:tcW w:w="2721" w:type="dxa"/>
          </w:tcPr>
          <w:p>
            <w:pPr>
              <w:pStyle w:val="0"/>
              <w:jc w:val="both"/>
            </w:pPr>
            <w:r>
              <w:rPr>
                <w:sz w:val="20"/>
              </w:rPr>
              <w:t xml:space="preserve">При диспансеризации определенных групп взрослого населения</w:t>
            </w:r>
          </w:p>
        </w:tc>
        <w:tc>
          <w:tcPr>
            <w:tcW w:w="1360" w:type="dxa"/>
          </w:tcPr>
          <w:p>
            <w:pPr>
              <w:pStyle w:val="0"/>
              <w:jc w:val="center"/>
            </w:pPr>
            <w:r>
              <w:rPr>
                <w:sz w:val="20"/>
              </w:rPr>
              <w:t xml:space="preserve">129002</w:t>
            </w:r>
          </w:p>
        </w:tc>
        <w:tc>
          <w:tcPr>
            <w:tcW w:w="963" w:type="dxa"/>
          </w:tcPr>
          <w:p>
            <w:pPr>
              <w:pStyle w:val="0"/>
              <w:jc w:val="center"/>
            </w:pPr>
            <w:r>
              <w:rPr>
                <w:sz w:val="20"/>
              </w:rPr>
              <w:t xml:space="preserve">101328</w:t>
            </w:r>
          </w:p>
        </w:tc>
        <w:tc>
          <w:tcPr>
            <w:tcW w:w="907" w:type="dxa"/>
          </w:tcPr>
          <w:p>
            <w:pPr>
              <w:pStyle w:val="0"/>
              <w:jc w:val="center"/>
            </w:pPr>
            <w:r>
              <w:rPr>
                <w:sz w:val="20"/>
              </w:rPr>
              <w:t xml:space="preserve">78,5</w:t>
            </w:r>
          </w:p>
        </w:tc>
        <w:tc>
          <w:tcPr>
            <w:tcW w:w="1360" w:type="dxa"/>
          </w:tcPr>
          <w:p>
            <w:pPr>
              <w:pStyle w:val="0"/>
              <w:jc w:val="center"/>
            </w:pPr>
            <w:r>
              <w:rPr>
                <w:sz w:val="20"/>
              </w:rPr>
              <w:t xml:space="preserve">65682</w:t>
            </w:r>
          </w:p>
        </w:tc>
        <w:tc>
          <w:tcPr>
            <w:tcW w:w="907" w:type="dxa"/>
          </w:tcPr>
          <w:p>
            <w:pPr>
              <w:pStyle w:val="0"/>
              <w:jc w:val="center"/>
            </w:pPr>
            <w:r>
              <w:rPr>
                <w:sz w:val="20"/>
              </w:rPr>
              <w:t xml:space="preserve">448</w:t>
            </w:r>
          </w:p>
        </w:tc>
        <w:tc>
          <w:tcPr>
            <w:tcW w:w="850" w:type="dxa"/>
          </w:tcPr>
          <w:p>
            <w:pPr>
              <w:pStyle w:val="0"/>
              <w:jc w:val="center"/>
            </w:pPr>
            <w:r>
              <w:rPr>
                <w:sz w:val="20"/>
              </w:rPr>
              <w:t xml:space="preserve">0,7</w:t>
            </w:r>
          </w:p>
        </w:tc>
      </w:tr>
      <w:tr>
        <w:tc>
          <w:tcPr>
            <w:tcW w:w="2721" w:type="dxa"/>
          </w:tcPr>
          <w:p>
            <w:pPr>
              <w:pStyle w:val="0"/>
              <w:jc w:val="both"/>
            </w:pPr>
            <w:r>
              <w:rPr>
                <w:sz w:val="20"/>
              </w:rPr>
              <w:t xml:space="preserve">Из них старше трудоспособного возраста</w:t>
            </w:r>
          </w:p>
        </w:tc>
        <w:tc>
          <w:tcPr>
            <w:tcW w:w="1360" w:type="dxa"/>
          </w:tcPr>
          <w:p>
            <w:pPr>
              <w:pStyle w:val="0"/>
              <w:jc w:val="center"/>
            </w:pPr>
            <w:r>
              <w:rPr>
                <w:sz w:val="20"/>
              </w:rPr>
              <w:t xml:space="preserve">41473</w:t>
            </w:r>
          </w:p>
        </w:tc>
        <w:tc>
          <w:tcPr>
            <w:tcW w:w="963" w:type="dxa"/>
          </w:tcPr>
          <w:p>
            <w:pPr>
              <w:pStyle w:val="0"/>
              <w:jc w:val="center"/>
            </w:pPr>
            <w:r>
              <w:rPr>
                <w:sz w:val="20"/>
              </w:rPr>
              <w:t xml:space="preserve">48847</w:t>
            </w:r>
          </w:p>
        </w:tc>
        <w:tc>
          <w:tcPr>
            <w:tcW w:w="907" w:type="dxa"/>
          </w:tcPr>
          <w:p>
            <w:pPr>
              <w:pStyle w:val="0"/>
              <w:jc w:val="center"/>
            </w:pPr>
            <w:r>
              <w:rPr>
                <w:sz w:val="20"/>
              </w:rPr>
              <w:t xml:space="preserve">117,8</w:t>
            </w:r>
          </w:p>
        </w:tc>
        <w:tc>
          <w:tcPr>
            <w:tcW w:w="1360" w:type="dxa"/>
          </w:tcPr>
          <w:p>
            <w:pPr>
              <w:pStyle w:val="0"/>
              <w:jc w:val="center"/>
            </w:pPr>
            <w:r>
              <w:rPr>
                <w:sz w:val="20"/>
              </w:rPr>
              <w:t xml:space="preserve">27390</w:t>
            </w:r>
          </w:p>
        </w:tc>
        <w:tc>
          <w:tcPr>
            <w:tcW w:w="907" w:type="dxa"/>
          </w:tcPr>
          <w:p>
            <w:pPr>
              <w:pStyle w:val="0"/>
              <w:jc w:val="center"/>
            </w:pPr>
            <w:r>
              <w:rPr>
                <w:sz w:val="20"/>
              </w:rPr>
              <w:t xml:space="preserve">300</w:t>
            </w:r>
          </w:p>
        </w:tc>
        <w:tc>
          <w:tcPr>
            <w:tcW w:w="850" w:type="dxa"/>
          </w:tcPr>
          <w:p>
            <w:pPr>
              <w:pStyle w:val="0"/>
              <w:jc w:val="center"/>
            </w:pPr>
            <w:r>
              <w:rPr>
                <w:sz w:val="20"/>
              </w:rPr>
              <w:t xml:space="preserve">1,1</w:t>
            </w:r>
          </w:p>
        </w:tc>
      </w:tr>
    </w:tbl>
    <w:p>
      <w:pPr>
        <w:pStyle w:val="0"/>
        <w:jc w:val="right"/>
      </w:pPr>
      <w:r>
        <w:rPr>
          <w:sz w:val="20"/>
        </w:rPr>
      </w:r>
    </w:p>
    <w:p>
      <w:pPr>
        <w:pStyle w:val="0"/>
        <w:jc w:val="right"/>
      </w:pPr>
      <w:r>
        <w:rPr>
          <w:sz w:val="20"/>
        </w:rPr>
        <w:t xml:space="preserve">Таблица N 20</w:t>
      </w:r>
    </w:p>
    <w:p>
      <w:pPr>
        <w:pStyle w:val="0"/>
      </w:pPr>
      <w:r>
        <w:rPr>
          <w:sz w:val="20"/>
        </w:rPr>
      </w:r>
    </w:p>
    <w:p>
      <w:pPr>
        <w:pStyle w:val="0"/>
        <w:jc w:val="center"/>
      </w:pPr>
      <w:r>
        <w:rPr>
          <w:sz w:val="20"/>
        </w:rPr>
        <w:t xml:space="preserve">Целевые осмотры на онкопатологию</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361"/>
        <w:gridCol w:w="1361"/>
        <w:gridCol w:w="1361"/>
        <w:gridCol w:w="1361"/>
      </w:tblGrid>
      <w:tr>
        <w:tc>
          <w:tcPr>
            <w:tcW w:w="3628" w:type="dxa"/>
            <w:vMerge w:val="restart"/>
          </w:tcPr>
          <w:p>
            <w:pPr>
              <w:pStyle w:val="0"/>
              <w:jc w:val="center"/>
            </w:pPr>
            <w:r>
              <w:rPr>
                <w:sz w:val="20"/>
              </w:rPr>
              <w:t xml:space="preserve">Наименование</w:t>
            </w:r>
          </w:p>
        </w:tc>
        <w:tc>
          <w:tcPr>
            <w:gridSpan w:val="2"/>
            <w:tcW w:w="2722" w:type="dxa"/>
          </w:tcPr>
          <w:p>
            <w:pPr>
              <w:pStyle w:val="0"/>
              <w:jc w:val="center"/>
            </w:pPr>
            <w:r>
              <w:rPr>
                <w:sz w:val="20"/>
              </w:rPr>
              <w:t xml:space="preserve">2022 год</w:t>
            </w:r>
          </w:p>
        </w:tc>
        <w:tc>
          <w:tcPr>
            <w:gridSpan w:val="2"/>
            <w:tcW w:w="2722" w:type="dxa"/>
          </w:tcPr>
          <w:p>
            <w:pPr>
              <w:pStyle w:val="0"/>
              <w:jc w:val="center"/>
            </w:pPr>
            <w:r>
              <w:rPr>
                <w:sz w:val="20"/>
              </w:rPr>
              <w:t xml:space="preserve">2021 год</w:t>
            </w:r>
          </w:p>
        </w:tc>
      </w:tr>
      <w:tr>
        <w:tc>
          <w:tcPr>
            <w:vMerge w:val="continue"/>
          </w:tcPr>
          <w:p/>
        </w:tc>
        <w:tc>
          <w:tcPr>
            <w:tcW w:w="1361" w:type="dxa"/>
          </w:tcPr>
          <w:p>
            <w:pPr>
              <w:pStyle w:val="0"/>
              <w:jc w:val="center"/>
            </w:pPr>
            <w:r>
              <w:rPr>
                <w:sz w:val="20"/>
              </w:rPr>
              <w:t xml:space="preserve">Осмотрено, всего</w:t>
            </w:r>
          </w:p>
        </w:tc>
        <w:tc>
          <w:tcPr>
            <w:tcW w:w="1361" w:type="dxa"/>
          </w:tcPr>
          <w:p>
            <w:pPr>
              <w:pStyle w:val="0"/>
              <w:jc w:val="center"/>
            </w:pPr>
            <w:r>
              <w:rPr>
                <w:sz w:val="20"/>
              </w:rPr>
              <w:t xml:space="preserve">Из них направлено к врачу-онкологу</w:t>
            </w:r>
          </w:p>
        </w:tc>
        <w:tc>
          <w:tcPr>
            <w:tcW w:w="1361" w:type="dxa"/>
          </w:tcPr>
          <w:p>
            <w:pPr>
              <w:pStyle w:val="0"/>
              <w:jc w:val="center"/>
            </w:pPr>
            <w:r>
              <w:rPr>
                <w:sz w:val="20"/>
              </w:rPr>
              <w:t xml:space="preserve">Осмотрено, всего</w:t>
            </w:r>
          </w:p>
        </w:tc>
        <w:tc>
          <w:tcPr>
            <w:tcW w:w="1361" w:type="dxa"/>
          </w:tcPr>
          <w:p>
            <w:pPr>
              <w:pStyle w:val="0"/>
              <w:jc w:val="center"/>
            </w:pPr>
            <w:r>
              <w:rPr>
                <w:sz w:val="20"/>
              </w:rPr>
              <w:t xml:space="preserve">Из них направлено к врачу-онкологу</w:t>
            </w:r>
          </w:p>
        </w:tc>
      </w:tr>
      <w:tr>
        <w:tc>
          <w:tcPr>
            <w:tcW w:w="3628" w:type="dxa"/>
          </w:tcPr>
          <w:p>
            <w:pPr>
              <w:pStyle w:val="0"/>
              <w:jc w:val="both"/>
            </w:pPr>
            <w:r>
              <w:rPr>
                <w:sz w:val="20"/>
              </w:rPr>
              <w:t xml:space="preserve">Осмотрено с целью выявления онкологической патологии, всего</w:t>
            </w:r>
          </w:p>
        </w:tc>
        <w:tc>
          <w:tcPr>
            <w:tcW w:w="1361" w:type="dxa"/>
          </w:tcPr>
          <w:p>
            <w:pPr>
              <w:pStyle w:val="0"/>
              <w:jc w:val="center"/>
            </w:pPr>
            <w:r>
              <w:rPr>
                <w:sz w:val="20"/>
              </w:rPr>
              <w:t xml:space="preserve">92528</w:t>
            </w:r>
          </w:p>
        </w:tc>
        <w:tc>
          <w:tcPr>
            <w:tcW w:w="1361" w:type="dxa"/>
          </w:tcPr>
          <w:p>
            <w:pPr>
              <w:pStyle w:val="0"/>
              <w:jc w:val="center"/>
            </w:pPr>
            <w:r>
              <w:rPr>
                <w:sz w:val="20"/>
              </w:rPr>
              <w:t xml:space="preserve">1007</w:t>
            </w:r>
          </w:p>
        </w:tc>
        <w:tc>
          <w:tcPr>
            <w:tcW w:w="1361" w:type="dxa"/>
          </w:tcPr>
          <w:p>
            <w:pPr>
              <w:pStyle w:val="0"/>
              <w:jc w:val="center"/>
            </w:pPr>
            <w:r>
              <w:rPr>
                <w:sz w:val="20"/>
              </w:rPr>
              <w:t xml:space="preserve">68977</w:t>
            </w:r>
          </w:p>
        </w:tc>
        <w:tc>
          <w:tcPr>
            <w:tcW w:w="1361" w:type="dxa"/>
          </w:tcPr>
          <w:p>
            <w:pPr>
              <w:pStyle w:val="0"/>
              <w:jc w:val="center"/>
            </w:pPr>
            <w:r>
              <w:rPr>
                <w:sz w:val="20"/>
              </w:rPr>
              <w:t xml:space="preserve">723</w:t>
            </w:r>
          </w:p>
        </w:tc>
      </w:tr>
      <w:tr>
        <w:tc>
          <w:tcPr>
            <w:tcW w:w="3628" w:type="dxa"/>
          </w:tcPr>
          <w:p>
            <w:pPr>
              <w:pStyle w:val="0"/>
              <w:jc w:val="both"/>
            </w:pPr>
            <w:r>
              <w:rPr>
                <w:sz w:val="20"/>
              </w:rPr>
              <w:t xml:space="preserve">из них: в смотровых кабинетах</w:t>
            </w:r>
          </w:p>
        </w:tc>
        <w:tc>
          <w:tcPr>
            <w:tcW w:w="1361" w:type="dxa"/>
          </w:tcPr>
          <w:p>
            <w:pPr>
              <w:pStyle w:val="0"/>
              <w:jc w:val="center"/>
            </w:pPr>
            <w:r>
              <w:rPr>
                <w:sz w:val="20"/>
              </w:rPr>
              <w:t xml:space="preserve">49919</w:t>
            </w:r>
          </w:p>
        </w:tc>
        <w:tc>
          <w:tcPr>
            <w:tcW w:w="1361" w:type="dxa"/>
          </w:tcPr>
          <w:p>
            <w:pPr>
              <w:pStyle w:val="0"/>
              <w:jc w:val="center"/>
            </w:pPr>
            <w:r>
              <w:rPr>
                <w:sz w:val="20"/>
              </w:rPr>
              <w:t xml:space="preserve">315</w:t>
            </w:r>
          </w:p>
        </w:tc>
        <w:tc>
          <w:tcPr>
            <w:tcW w:w="1361" w:type="dxa"/>
          </w:tcPr>
          <w:p>
            <w:pPr>
              <w:pStyle w:val="0"/>
              <w:jc w:val="center"/>
            </w:pPr>
            <w:r>
              <w:rPr>
                <w:sz w:val="20"/>
              </w:rPr>
              <w:t xml:space="preserve">32500</w:t>
            </w:r>
          </w:p>
        </w:tc>
        <w:tc>
          <w:tcPr>
            <w:tcW w:w="1361" w:type="dxa"/>
          </w:tcPr>
          <w:p>
            <w:pPr>
              <w:pStyle w:val="0"/>
              <w:jc w:val="center"/>
            </w:pPr>
            <w:r>
              <w:rPr>
                <w:sz w:val="20"/>
              </w:rPr>
              <w:t xml:space="preserve">454</w:t>
            </w:r>
          </w:p>
        </w:tc>
      </w:tr>
      <w:tr>
        <w:tc>
          <w:tcPr>
            <w:tcW w:w="3628" w:type="dxa"/>
          </w:tcPr>
          <w:p>
            <w:pPr>
              <w:pStyle w:val="0"/>
              <w:jc w:val="both"/>
            </w:pPr>
            <w:r>
              <w:rPr>
                <w:sz w:val="20"/>
              </w:rPr>
              <w:t xml:space="preserve">в женских консультациях</w:t>
            </w:r>
          </w:p>
        </w:tc>
        <w:tc>
          <w:tcPr>
            <w:tcW w:w="1361" w:type="dxa"/>
          </w:tcPr>
          <w:p>
            <w:pPr>
              <w:pStyle w:val="0"/>
              <w:jc w:val="center"/>
            </w:pPr>
            <w:r>
              <w:rPr>
                <w:sz w:val="20"/>
              </w:rPr>
              <w:t xml:space="preserve">40947</w:t>
            </w:r>
          </w:p>
        </w:tc>
        <w:tc>
          <w:tcPr>
            <w:tcW w:w="1361" w:type="dxa"/>
          </w:tcPr>
          <w:p>
            <w:pPr>
              <w:pStyle w:val="0"/>
              <w:jc w:val="center"/>
            </w:pPr>
            <w:r>
              <w:rPr>
                <w:sz w:val="20"/>
              </w:rPr>
              <w:t xml:space="preserve">289</w:t>
            </w:r>
          </w:p>
        </w:tc>
        <w:tc>
          <w:tcPr>
            <w:tcW w:w="1361" w:type="dxa"/>
          </w:tcPr>
          <w:p>
            <w:pPr>
              <w:pStyle w:val="0"/>
              <w:jc w:val="center"/>
            </w:pPr>
            <w:r>
              <w:rPr>
                <w:sz w:val="20"/>
              </w:rPr>
              <w:t xml:space="preserve">30140</w:t>
            </w:r>
          </w:p>
        </w:tc>
        <w:tc>
          <w:tcPr>
            <w:tcW w:w="1361" w:type="dxa"/>
          </w:tcPr>
          <w:p>
            <w:pPr>
              <w:pStyle w:val="0"/>
              <w:jc w:val="center"/>
            </w:pPr>
            <w:r>
              <w:rPr>
                <w:sz w:val="20"/>
              </w:rPr>
              <w:t xml:space="preserve">213</w:t>
            </w:r>
          </w:p>
        </w:tc>
      </w:tr>
      <w:tr>
        <w:tc>
          <w:tcPr>
            <w:tcW w:w="3628" w:type="dxa"/>
          </w:tcPr>
          <w:p>
            <w:pPr>
              <w:pStyle w:val="0"/>
              <w:jc w:val="both"/>
            </w:pPr>
            <w:r>
              <w:rPr>
                <w:sz w:val="20"/>
              </w:rPr>
              <w:t xml:space="preserve">при диспансеризации (профилактических осмотрах) отдельных контингентов населения (кроме пациентов с хроническими заболеваниями)</w:t>
            </w:r>
          </w:p>
        </w:tc>
        <w:tc>
          <w:tcPr>
            <w:tcW w:w="1361" w:type="dxa"/>
          </w:tcPr>
          <w:p>
            <w:pPr>
              <w:pStyle w:val="0"/>
              <w:jc w:val="center"/>
            </w:pPr>
            <w:r>
              <w:rPr>
                <w:sz w:val="20"/>
              </w:rPr>
              <w:t xml:space="preserve">11376</w:t>
            </w:r>
          </w:p>
        </w:tc>
        <w:tc>
          <w:tcPr>
            <w:tcW w:w="1361" w:type="dxa"/>
          </w:tcPr>
          <w:p>
            <w:pPr>
              <w:pStyle w:val="0"/>
              <w:jc w:val="center"/>
            </w:pPr>
            <w:r>
              <w:rPr>
                <w:sz w:val="20"/>
              </w:rPr>
              <w:t xml:space="preserve">29</w:t>
            </w:r>
          </w:p>
        </w:tc>
        <w:tc>
          <w:tcPr>
            <w:tcW w:w="1361" w:type="dxa"/>
          </w:tcPr>
          <w:p>
            <w:pPr>
              <w:pStyle w:val="0"/>
              <w:jc w:val="center"/>
            </w:pPr>
            <w:r>
              <w:rPr>
                <w:sz w:val="20"/>
              </w:rPr>
              <w:t xml:space="preserve">421</w:t>
            </w:r>
          </w:p>
        </w:tc>
        <w:tc>
          <w:tcPr>
            <w:tcW w:w="1361" w:type="dxa"/>
          </w:tcPr>
          <w:p>
            <w:pPr>
              <w:pStyle w:val="0"/>
              <w:jc w:val="center"/>
            </w:pPr>
            <w:r>
              <w:rPr>
                <w:sz w:val="20"/>
              </w:rPr>
              <w:t xml:space="preserve">0</w:t>
            </w:r>
          </w:p>
        </w:tc>
      </w:tr>
      <w:tr>
        <w:tc>
          <w:tcPr>
            <w:tcW w:w="3628" w:type="dxa"/>
          </w:tcPr>
          <w:p>
            <w:pPr>
              <w:pStyle w:val="0"/>
              <w:jc w:val="both"/>
            </w:pPr>
            <w:r>
              <w:rPr>
                <w:sz w:val="20"/>
              </w:rPr>
              <w:t xml:space="preserve">при диспансеризации пациентов с хроническими заболеваниями</w:t>
            </w:r>
          </w:p>
        </w:tc>
        <w:tc>
          <w:tcPr>
            <w:tcW w:w="1361" w:type="dxa"/>
          </w:tcPr>
          <w:p>
            <w:pPr>
              <w:pStyle w:val="0"/>
              <w:jc w:val="center"/>
            </w:pPr>
            <w:r>
              <w:rPr>
                <w:sz w:val="20"/>
              </w:rPr>
              <w:t xml:space="preserve">3332</w:t>
            </w:r>
          </w:p>
        </w:tc>
        <w:tc>
          <w:tcPr>
            <w:tcW w:w="1361" w:type="dxa"/>
          </w:tcPr>
          <w:p>
            <w:pPr>
              <w:pStyle w:val="0"/>
              <w:jc w:val="center"/>
            </w:pPr>
            <w:r>
              <w:rPr>
                <w:sz w:val="20"/>
              </w:rPr>
              <w:t xml:space="preserve">28</w:t>
            </w:r>
          </w:p>
        </w:tc>
        <w:tc>
          <w:tcPr>
            <w:tcW w:w="1361" w:type="dxa"/>
          </w:tcPr>
          <w:p>
            <w:pPr>
              <w:pStyle w:val="0"/>
              <w:jc w:val="center"/>
            </w:pPr>
            <w:r>
              <w:rPr>
                <w:sz w:val="20"/>
              </w:rPr>
              <w:t xml:space="preserve">203</w:t>
            </w:r>
          </w:p>
        </w:tc>
        <w:tc>
          <w:tcPr>
            <w:tcW w:w="1361" w:type="dxa"/>
          </w:tcPr>
          <w:p>
            <w:pPr>
              <w:pStyle w:val="0"/>
              <w:jc w:val="center"/>
            </w:pPr>
            <w:r>
              <w:rPr>
                <w:sz w:val="20"/>
              </w:rPr>
              <w:t xml:space="preserve">0</w:t>
            </w:r>
          </w:p>
        </w:tc>
      </w:tr>
    </w:tbl>
    <w:p>
      <w:pPr>
        <w:pStyle w:val="0"/>
        <w:jc w:val="right"/>
      </w:pPr>
      <w:r>
        <w:rPr>
          <w:sz w:val="20"/>
        </w:rPr>
      </w:r>
    </w:p>
    <w:p>
      <w:pPr>
        <w:pStyle w:val="0"/>
        <w:ind w:firstLine="540"/>
        <w:jc w:val="both"/>
      </w:pPr>
      <w:r>
        <w:rPr>
          <w:sz w:val="20"/>
        </w:rPr>
        <w:t xml:space="preserve">Работа смотровых кабинетов в поликлиниках города организована впервые в городе Севастополе только с 2018 года.</w:t>
      </w:r>
    </w:p>
    <w:p>
      <w:pPr>
        <w:pStyle w:val="0"/>
        <w:spacing w:before="200" w:line-rule="auto"/>
        <w:ind w:firstLine="540"/>
        <w:jc w:val="both"/>
      </w:pPr>
      <w:r>
        <w:rPr>
          <w:sz w:val="20"/>
        </w:rPr>
        <w:t xml:space="preserve">В целях улучшения работы первичного звена здравоохранения по раннему выявлению ЗНО и преемственности при оказании первичной и специализированной медицинской помощи по профилю "онкология", повышения онконастороженности медицинских работников и населения, во исполнение </w:t>
      </w:r>
      <w:hyperlink w:history="0" r:id="rId665"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приказа</w:t>
        </w:r>
      </w:hyperlink>
      <w:r>
        <w:rPr>
          <w:sz w:val="20"/>
        </w:rPr>
        <w:t xml:space="preserve"> Министерства здравоохранения и социального развития Российской Федерации от 15.05.2012 N 543н "Об утверждении Положения об организации оказания первичной медико-санитарной помощи взрослому населению" Департаментом здравоохранения города Севастополя утвержден приказ от 17.02.2023 N 158 "Об организации работы смотровых кабинетов".</w:t>
      </w:r>
    </w:p>
    <w:p>
      <w:pPr>
        <w:pStyle w:val="0"/>
        <w:spacing w:before="200" w:line-rule="auto"/>
        <w:ind w:firstLine="540"/>
        <w:jc w:val="both"/>
      </w:pPr>
      <w:r>
        <w:rPr>
          <w:sz w:val="20"/>
        </w:rPr>
        <w:t xml:space="preserve">Утверждены положение о смотровом кабинете амбулаторно-поликлинических подразделений медицинских организаций, табели оснащения женского и мужского смотрового кабинета, форма журнала учета посещений смотрового кабинета и инструкция по проведению осмотра с целью выявления новообразований визуальных локализаций.</w:t>
      </w:r>
    </w:p>
    <w:p>
      <w:pPr>
        <w:pStyle w:val="0"/>
        <w:spacing w:before="200" w:line-rule="auto"/>
        <w:ind w:firstLine="540"/>
        <w:jc w:val="both"/>
      </w:pPr>
      <w:r>
        <w:rPr>
          <w:sz w:val="20"/>
        </w:rPr>
        <w:t xml:space="preserve">В медицинских организациях, подведомственных Департаменту здравоохранения города Севастополя, оказывающих первичную медико-санитарную помощь взрослому населению, организована работа смотровых кабинетов.</w:t>
      </w:r>
    </w:p>
    <w:p>
      <w:pPr>
        <w:pStyle w:val="0"/>
        <w:spacing w:before="200" w:line-rule="auto"/>
        <w:ind w:firstLine="540"/>
        <w:jc w:val="both"/>
      </w:pPr>
      <w:r>
        <w:rPr>
          <w:sz w:val="20"/>
        </w:rPr>
        <w:t xml:space="preserve">Осуществляется контроль специалистами поликлиники и на уровне регистратуры по прохождению обследования в смотровом кабинете всех пациентов, впервые обратившихся в поликлинику в текущем году, с приоритетом первоочередности обследования пациентов с подозрением на ЗНО.</w:t>
      </w:r>
    </w:p>
    <w:p>
      <w:pPr>
        <w:pStyle w:val="0"/>
        <w:spacing w:before="200" w:line-rule="auto"/>
        <w:ind w:firstLine="540"/>
        <w:jc w:val="both"/>
      </w:pPr>
      <w:r>
        <w:rPr>
          <w:sz w:val="20"/>
        </w:rPr>
        <w:t xml:space="preserve">Организовано информирование пациентов о необходимости прохождения обследования в смотровом кабинете посредством размещения соответствующих агитационных материалов в регистратуре, в холлах и кабинетах специалистов поликлиники, на сайте медицинских организаций.</w:t>
      </w:r>
    </w:p>
    <w:p>
      <w:pPr>
        <w:pStyle w:val="0"/>
        <w:spacing w:before="200" w:line-rule="auto"/>
        <w:ind w:firstLine="540"/>
        <w:jc w:val="both"/>
      </w:pPr>
      <w:r>
        <w:rPr>
          <w:sz w:val="20"/>
        </w:rPr>
        <w:t xml:space="preserve">Медицинский персонал смотровых кабинетов прошел стажировку на рабочем месте в поликлиническом отделении ГБУЗС "Севастопольский городской онкологический диспансер имени А.А. Задорожного".</w:t>
      </w:r>
    </w:p>
    <w:p>
      <w:pPr>
        <w:pStyle w:val="0"/>
        <w:spacing w:before="200" w:line-rule="auto"/>
        <w:ind w:firstLine="540"/>
        <w:jc w:val="both"/>
      </w:pPr>
      <w:r>
        <w:rPr>
          <w:sz w:val="20"/>
        </w:rPr>
        <w:t xml:space="preserve">Главным внештатным специалистом-онкологом Департамента здравоохранения города Севастополя осуществляется курация медицинских организаций, оказывающих первичную медико-санитарную помощь, с целью оказания методической помощи в проведении профилактической работы, работы по раннему выявлению ЗНО и работы смотровых кабинетов.</w:t>
      </w:r>
    </w:p>
    <w:p>
      <w:pPr>
        <w:pStyle w:val="0"/>
        <w:ind w:firstLine="540"/>
        <w:jc w:val="both"/>
      </w:pPr>
      <w:r>
        <w:rPr>
          <w:sz w:val="20"/>
        </w:rPr>
      </w:r>
    </w:p>
    <w:p>
      <w:pPr>
        <w:pStyle w:val="0"/>
        <w:jc w:val="right"/>
      </w:pPr>
      <w:r>
        <w:rPr>
          <w:sz w:val="20"/>
        </w:rPr>
        <w:t xml:space="preserve">Таблица N 21</w:t>
      </w:r>
    </w:p>
    <w:p>
      <w:pPr>
        <w:pStyle w:val="0"/>
        <w:ind w:firstLine="540"/>
        <w:jc w:val="both"/>
      </w:pPr>
      <w:r>
        <w:rPr>
          <w:sz w:val="20"/>
        </w:rPr>
      </w:r>
    </w:p>
    <w:p>
      <w:pPr>
        <w:pStyle w:val="0"/>
        <w:jc w:val="center"/>
      </w:pPr>
      <w:r>
        <w:rPr>
          <w:sz w:val="20"/>
        </w:rPr>
        <w:t xml:space="preserve">Информация о сети смотровых кабинетов 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607"/>
        <w:gridCol w:w="1417"/>
        <w:gridCol w:w="963"/>
        <w:gridCol w:w="2154"/>
        <w:gridCol w:w="1417"/>
      </w:tblGrid>
      <w:tr>
        <w:tc>
          <w:tcPr>
            <w:tcW w:w="510" w:type="dxa"/>
          </w:tcPr>
          <w:p>
            <w:pPr>
              <w:pStyle w:val="0"/>
              <w:jc w:val="center"/>
            </w:pPr>
            <w:r>
              <w:rPr>
                <w:sz w:val="20"/>
              </w:rPr>
              <w:t xml:space="preserve">N п/п</w:t>
            </w:r>
          </w:p>
        </w:tc>
        <w:tc>
          <w:tcPr>
            <w:tcW w:w="2607" w:type="dxa"/>
          </w:tcPr>
          <w:p>
            <w:pPr>
              <w:pStyle w:val="0"/>
              <w:jc w:val="center"/>
            </w:pPr>
            <w:r>
              <w:rPr>
                <w:sz w:val="20"/>
              </w:rPr>
              <w:t xml:space="preserve">Медицинская организация</w:t>
            </w:r>
          </w:p>
        </w:tc>
        <w:tc>
          <w:tcPr>
            <w:tcW w:w="1417" w:type="dxa"/>
          </w:tcPr>
          <w:p>
            <w:pPr>
              <w:pStyle w:val="0"/>
              <w:jc w:val="center"/>
            </w:pPr>
            <w:r>
              <w:rPr>
                <w:sz w:val="20"/>
              </w:rPr>
              <w:t xml:space="preserve">Количество смотровых кабинетов</w:t>
            </w:r>
          </w:p>
        </w:tc>
        <w:tc>
          <w:tcPr>
            <w:tcW w:w="963" w:type="dxa"/>
          </w:tcPr>
          <w:p>
            <w:pPr>
              <w:pStyle w:val="0"/>
              <w:jc w:val="center"/>
            </w:pPr>
            <w:r>
              <w:rPr>
                <w:sz w:val="20"/>
              </w:rPr>
              <w:t xml:space="preserve">Режим работы</w:t>
            </w:r>
          </w:p>
        </w:tc>
        <w:tc>
          <w:tcPr>
            <w:tcW w:w="2154" w:type="dxa"/>
          </w:tcPr>
          <w:p>
            <w:pPr>
              <w:pStyle w:val="0"/>
              <w:jc w:val="center"/>
            </w:pPr>
            <w:r>
              <w:rPr>
                <w:sz w:val="20"/>
              </w:rPr>
              <w:t xml:space="preserve">Кадры</w:t>
            </w:r>
          </w:p>
        </w:tc>
        <w:tc>
          <w:tcPr>
            <w:tcW w:w="1417" w:type="dxa"/>
          </w:tcPr>
          <w:p>
            <w:pPr>
              <w:pStyle w:val="0"/>
              <w:jc w:val="center"/>
            </w:pPr>
            <w:r>
              <w:rPr>
                <w:sz w:val="20"/>
              </w:rPr>
              <w:t xml:space="preserve">Количество обслуживаемого взрослого населения</w:t>
            </w:r>
          </w:p>
        </w:tc>
      </w:tr>
      <w:tr>
        <w:tc>
          <w:tcPr>
            <w:tcW w:w="510" w:type="dxa"/>
          </w:tcPr>
          <w:p>
            <w:pPr>
              <w:pStyle w:val="0"/>
              <w:jc w:val="both"/>
            </w:pPr>
            <w:r>
              <w:rPr>
                <w:sz w:val="20"/>
              </w:rPr>
              <w:t xml:space="preserve">1</w:t>
            </w:r>
          </w:p>
        </w:tc>
        <w:tc>
          <w:tcPr>
            <w:tcW w:w="2607" w:type="dxa"/>
          </w:tcPr>
          <w:p>
            <w:pPr>
              <w:pStyle w:val="0"/>
              <w:jc w:val="both"/>
            </w:pPr>
            <w:r>
              <w:rPr>
                <w:sz w:val="20"/>
              </w:rPr>
              <w:t xml:space="preserve">ГБУЗС "Городская больница N 1 им. Н.И. Пирогова". Поликлиника N 1</w:t>
            </w:r>
          </w:p>
        </w:tc>
        <w:tc>
          <w:tcPr>
            <w:tcW w:w="1417" w:type="dxa"/>
          </w:tcPr>
          <w:p>
            <w:pPr>
              <w:pStyle w:val="0"/>
              <w:jc w:val="center"/>
            </w:pPr>
            <w:r>
              <w:rPr>
                <w:sz w:val="20"/>
              </w:rPr>
              <w:t xml:space="preserve">2</w:t>
            </w:r>
          </w:p>
        </w:tc>
        <w:tc>
          <w:tcPr>
            <w:tcW w:w="963" w:type="dxa"/>
          </w:tcPr>
          <w:p>
            <w:pPr>
              <w:pStyle w:val="0"/>
              <w:jc w:val="both"/>
            </w:pPr>
            <w:r>
              <w:rPr>
                <w:sz w:val="20"/>
              </w:rPr>
              <w:t xml:space="preserve">2 смена</w:t>
            </w:r>
          </w:p>
        </w:tc>
        <w:tc>
          <w:tcPr>
            <w:tcW w:w="2154" w:type="dxa"/>
          </w:tcPr>
          <w:p>
            <w:pPr>
              <w:pStyle w:val="0"/>
              <w:jc w:val="both"/>
            </w:pPr>
            <w:r>
              <w:rPr>
                <w:sz w:val="20"/>
              </w:rPr>
              <w:t xml:space="preserve">Акушер, врач - акушер-гинеколог, врач-уролог</w:t>
            </w:r>
          </w:p>
        </w:tc>
        <w:tc>
          <w:tcPr>
            <w:tcW w:w="1417" w:type="dxa"/>
          </w:tcPr>
          <w:p>
            <w:pPr>
              <w:pStyle w:val="0"/>
              <w:jc w:val="center"/>
            </w:pPr>
            <w:r>
              <w:rPr>
                <w:sz w:val="20"/>
              </w:rPr>
              <w:t xml:space="preserve">28942</w:t>
            </w:r>
          </w:p>
        </w:tc>
      </w:tr>
      <w:tr>
        <w:tc>
          <w:tcPr>
            <w:tcW w:w="510" w:type="dxa"/>
          </w:tcPr>
          <w:p>
            <w:pPr>
              <w:pStyle w:val="0"/>
              <w:jc w:val="both"/>
            </w:pPr>
            <w:r>
              <w:rPr>
                <w:sz w:val="20"/>
              </w:rPr>
              <w:t xml:space="preserve">2</w:t>
            </w:r>
          </w:p>
        </w:tc>
        <w:tc>
          <w:tcPr>
            <w:tcW w:w="2607" w:type="dxa"/>
          </w:tcPr>
          <w:p>
            <w:pPr>
              <w:pStyle w:val="0"/>
              <w:jc w:val="both"/>
            </w:pPr>
            <w:r>
              <w:rPr>
                <w:sz w:val="20"/>
              </w:rPr>
              <w:t xml:space="preserve">ГБУЗС "Городская больница N 1 им. Н.И. Пирогова". Поликлиника N 2</w:t>
            </w:r>
          </w:p>
        </w:tc>
        <w:tc>
          <w:tcPr>
            <w:tcW w:w="1417" w:type="dxa"/>
          </w:tcPr>
          <w:p>
            <w:pPr>
              <w:pStyle w:val="0"/>
              <w:jc w:val="center"/>
            </w:pPr>
            <w:r>
              <w:rPr>
                <w:sz w:val="20"/>
              </w:rPr>
              <w:t xml:space="preserve">1</w:t>
            </w:r>
          </w:p>
        </w:tc>
        <w:tc>
          <w:tcPr>
            <w:tcW w:w="963" w:type="dxa"/>
          </w:tcPr>
          <w:p>
            <w:pPr>
              <w:pStyle w:val="0"/>
              <w:jc w:val="both"/>
            </w:pPr>
            <w:r>
              <w:rPr>
                <w:sz w:val="20"/>
              </w:rPr>
              <w:t xml:space="preserve">2 смена</w:t>
            </w:r>
          </w:p>
        </w:tc>
        <w:tc>
          <w:tcPr>
            <w:tcW w:w="2154" w:type="dxa"/>
          </w:tcPr>
          <w:p>
            <w:pPr>
              <w:pStyle w:val="0"/>
              <w:jc w:val="both"/>
            </w:pPr>
            <w:r>
              <w:rPr>
                <w:sz w:val="20"/>
              </w:rPr>
              <w:t xml:space="preserve">Врач - акушер-гинеколог, врач-уролог, врач-онколог</w:t>
            </w:r>
          </w:p>
        </w:tc>
        <w:tc>
          <w:tcPr>
            <w:tcW w:w="1417" w:type="dxa"/>
          </w:tcPr>
          <w:p>
            <w:pPr>
              <w:pStyle w:val="0"/>
              <w:jc w:val="center"/>
            </w:pPr>
            <w:r>
              <w:rPr>
                <w:sz w:val="20"/>
              </w:rPr>
              <w:t xml:space="preserve">56461</w:t>
            </w:r>
          </w:p>
        </w:tc>
      </w:tr>
      <w:tr>
        <w:tc>
          <w:tcPr>
            <w:tcW w:w="510" w:type="dxa"/>
          </w:tcPr>
          <w:p>
            <w:pPr>
              <w:pStyle w:val="0"/>
              <w:jc w:val="both"/>
            </w:pPr>
            <w:r>
              <w:rPr>
                <w:sz w:val="20"/>
              </w:rPr>
              <w:t xml:space="preserve">3</w:t>
            </w:r>
          </w:p>
        </w:tc>
        <w:tc>
          <w:tcPr>
            <w:tcW w:w="2607" w:type="dxa"/>
          </w:tcPr>
          <w:p>
            <w:pPr>
              <w:pStyle w:val="0"/>
              <w:jc w:val="both"/>
            </w:pPr>
            <w:r>
              <w:rPr>
                <w:sz w:val="20"/>
              </w:rPr>
              <w:t xml:space="preserve">ГБУЗС "Городская больница N 1 им. Н.И. Пирогова". Поликлиника N 3</w:t>
            </w:r>
          </w:p>
        </w:tc>
        <w:tc>
          <w:tcPr>
            <w:tcW w:w="1417" w:type="dxa"/>
          </w:tcPr>
          <w:p>
            <w:pPr>
              <w:pStyle w:val="0"/>
              <w:jc w:val="center"/>
            </w:pPr>
            <w:r>
              <w:rPr>
                <w:sz w:val="20"/>
              </w:rPr>
              <w:t xml:space="preserve">1</w:t>
            </w:r>
          </w:p>
        </w:tc>
        <w:tc>
          <w:tcPr>
            <w:tcW w:w="963" w:type="dxa"/>
          </w:tcPr>
          <w:p>
            <w:pPr>
              <w:pStyle w:val="0"/>
              <w:jc w:val="both"/>
            </w:pPr>
            <w:r>
              <w:rPr>
                <w:sz w:val="20"/>
              </w:rPr>
              <w:t xml:space="preserve">2 смена</w:t>
            </w:r>
          </w:p>
        </w:tc>
        <w:tc>
          <w:tcPr>
            <w:tcW w:w="2154" w:type="dxa"/>
          </w:tcPr>
          <w:p>
            <w:pPr>
              <w:pStyle w:val="0"/>
              <w:jc w:val="both"/>
            </w:pPr>
            <w:r>
              <w:rPr>
                <w:sz w:val="20"/>
              </w:rPr>
              <w:t xml:space="preserve">Врач - акушер-гинеколог, врач-уролог</w:t>
            </w:r>
          </w:p>
        </w:tc>
        <w:tc>
          <w:tcPr>
            <w:tcW w:w="1417" w:type="dxa"/>
          </w:tcPr>
          <w:p>
            <w:pPr>
              <w:pStyle w:val="0"/>
              <w:jc w:val="center"/>
            </w:pPr>
            <w:r>
              <w:rPr>
                <w:sz w:val="20"/>
              </w:rPr>
              <w:t xml:space="preserve">37922</w:t>
            </w:r>
          </w:p>
        </w:tc>
      </w:tr>
      <w:tr>
        <w:tc>
          <w:tcPr>
            <w:tcW w:w="510" w:type="dxa"/>
          </w:tcPr>
          <w:p>
            <w:pPr>
              <w:pStyle w:val="0"/>
              <w:jc w:val="both"/>
            </w:pPr>
            <w:r>
              <w:rPr>
                <w:sz w:val="20"/>
              </w:rPr>
              <w:t xml:space="preserve">4</w:t>
            </w:r>
          </w:p>
        </w:tc>
        <w:tc>
          <w:tcPr>
            <w:tcW w:w="2607" w:type="dxa"/>
          </w:tcPr>
          <w:p>
            <w:pPr>
              <w:pStyle w:val="0"/>
              <w:jc w:val="both"/>
            </w:pPr>
            <w:r>
              <w:rPr>
                <w:sz w:val="20"/>
              </w:rPr>
              <w:t xml:space="preserve">ГБУЗС "Городская больница N 1 им. Н.И. Пирогова". Амбулатория семейной медицины</w:t>
            </w:r>
          </w:p>
        </w:tc>
        <w:tc>
          <w:tcPr>
            <w:tcW w:w="1417" w:type="dxa"/>
          </w:tcPr>
          <w:p>
            <w:pPr>
              <w:pStyle w:val="0"/>
              <w:jc w:val="center"/>
            </w:pPr>
            <w:r>
              <w:rPr>
                <w:sz w:val="20"/>
              </w:rPr>
              <w:t xml:space="preserve">1</w:t>
            </w:r>
          </w:p>
        </w:tc>
        <w:tc>
          <w:tcPr>
            <w:tcW w:w="963" w:type="dxa"/>
          </w:tcPr>
          <w:p>
            <w:pPr>
              <w:pStyle w:val="0"/>
              <w:jc w:val="both"/>
            </w:pPr>
            <w:r>
              <w:rPr>
                <w:sz w:val="20"/>
              </w:rPr>
              <w:t xml:space="preserve">1 смена</w:t>
            </w:r>
          </w:p>
        </w:tc>
        <w:tc>
          <w:tcPr>
            <w:tcW w:w="2154" w:type="dxa"/>
          </w:tcPr>
          <w:p>
            <w:pPr>
              <w:pStyle w:val="0"/>
              <w:jc w:val="both"/>
            </w:pPr>
            <w:r>
              <w:rPr>
                <w:sz w:val="20"/>
              </w:rPr>
              <w:t xml:space="preserve">Врач - акушер-гинеколог</w:t>
            </w:r>
          </w:p>
        </w:tc>
        <w:tc>
          <w:tcPr>
            <w:tcW w:w="1417" w:type="dxa"/>
          </w:tcPr>
          <w:p>
            <w:pPr>
              <w:pStyle w:val="0"/>
              <w:jc w:val="center"/>
            </w:pPr>
            <w:r>
              <w:rPr>
                <w:sz w:val="20"/>
              </w:rPr>
              <w:t xml:space="preserve">18401</w:t>
            </w:r>
          </w:p>
        </w:tc>
      </w:tr>
      <w:tr>
        <w:tc>
          <w:tcPr>
            <w:tcW w:w="510" w:type="dxa"/>
          </w:tcPr>
          <w:p>
            <w:pPr>
              <w:pStyle w:val="0"/>
              <w:jc w:val="both"/>
            </w:pPr>
            <w:r>
              <w:rPr>
                <w:sz w:val="20"/>
              </w:rPr>
              <w:t xml:space="preserve">5</w:t>
            </w:r>
          </w:p>
        </w:tc>
        <w:tc>
          <w:tcPr>
            <w:tcW w:w="2607" w:type="dxa"/>
          </w:tcPr>
          <w:p>
            <w:pPr>
              <w:pStyle w:val="0"/>
              <w:jc w:val="both"/>
            </w:pPr>
            <w:r>
              <w:rPr>
                <w:sz w:val="20"/>
              </w:rPr>
              <w:t xml:space="preserve">ГБУЗС "Городская больница N 1 им. Н.И. Пирогова". Поликлиника N 4</w:t>
            </w:r>
          </w:p>
        </w:tc>
        <w:tc>
          <w:tcPr>
            <w:tcW w:w="1417" w:type="dxa"/>
          </w:tcPr>
          <w:p>
            <w:pPr>
              <w:pStyle w:val="0"/>
              <w:jc w:val="center"/>
            </w:pPr>
            <w:r>
              <w:rPr>
                <w:sz w:val="20"/>
              </w:rPr>
              <w:t xml:space="preserve">3</w:t>
            </w:r>
          </w:p>
        </w:tc>
        <w:tc>
          <w:tcPr>
            <w:tcW w:w="963" w:type="dxa"/>
          </w:tcPr>
          <w:p>
            <w:pPr>
              <w:pStyle w:val="0"/>
              <w:jc w:val="both"/>
            </w:pPr>
            <w:r>
              <w:rPr>
                <w:sz w:val="20"/>
              </w:rPr>
              <w:t xml:space="preserve">2 смены</w:t>
            </w:r>
          </w:p>
        </w:tc>
        <w:tc>
          <w:tcPr>
            <w:tcW w:w="2154" w:type="dxa"/>
          </w:tcPr>
          <w:p>
            <w:pPr>
              <w:pStyle w:val="0"/>
              <w:jc w:val="both"/>
            </w:pPr>
            <w:r>
              <w:rPr>
                <w:sz w:val="20"/>
              </w:rPr>
              <w:t xml:space="preserve">Врач - акушер-гинеколог, врач-уролог</w:t>
            </w:r>
          </w:p>
        </w:tc>
        <w:tc>
          <w:tcPr>
            <w:tcW w:w="1417" w:type="dxa"/>
          </w:tcPr>
          <w:p>
            <w:pPr>
              <w:pStyle w:val="0"/>
              <w:jc w:val="center"/>
            </w:pPr>
            <w:r>
              <w:rPr>
                <w:sz w:val="20"/>
              </w:rPr>
              <w:t xml:space="preserve">71392</w:t>
            </w:r>
          </w:p>
        </w:tc>
      </w:tr>
      <w:tr>
        <w:tc>
          <w:tcPr>
            <w:tcW w:w="510" w:type="dxa"/>
          </w:tcPr>
          <w:p>
            <w:pPr>
              <w:pStyle w:val="0"/>
              <w:jc w:val="both"/>
            </w:pPr>
            <w:r>
              <w:rPr>
                <w:sz w:val="20"/>
              </w:rPr>
              <w:t xml:space="preserve">6</w:t>
            </w:r>
          </w:p>
        </w:tc>
        <w:tc>
          <w:tcPr>
            <w:tcW w:w="2607" w:type="dxa"/>
          </w:tcPr>
          <w:p>
            <w:pPr>
              <w:pStyle w:val="0"/>
              <w:jc w:val="both"/>
            </w:pPr>
            <w:r>
              <w:rPr>
                <w:sz w:val="20"/>
              </w:rPr>
              <w:t xml:space="preserve">ГБУЗС "Городская больница N 1 им. Н.И. Пирогова". Поликлиника N 5</w:t>
            </w:r>
          </w:p>
        </w:tc>
        <w:tc>
          <w:tcPr>
            <w:tcW w:w="1417" w:type="dxa"/>
          </w:tcPr>
          <w:p>
            <w:pPr>
              <w:pStyle w:val="0"/>
              <w:jc w:val="center"/>
            </w:pPr>
            <w:r>
              <w:rPr>
                <w:sz w:val="20"/>
              </w:rPr>
              <w:t xml:space="preserve">1</w:t>
            </w:r>
          </w:p>
        </w:tc>
        <w:tc>
          <w:tcPr>
            <w:tcW w:w="963" w:type="dxa"/>
          </w:tcPr>
          <w:p>
            <w:pPr>
              <w:pStyle w:val="0"/>
              <w:jc w:val="both"/>
            </w:pPr>
            <w:r>
              <w:rPr>
                <w:sz w:val="20"/>
              </w:rPr>
              <w:t xml:space="preserve">2 смены</w:t>
            </w:r>
          </w:p>
        </w:tc>
        <w:tc>
          <w:tcPr>
            <w:tcW w:w="2154" w:type="dxa"/>
          </w:tcPr>
          <w:p>
            <w:pPr>
              <w:pStyle w:val="0"/>
              <w:jc w:val="both"/>
            </w:pPr>
            <w:r>
              <w:rPr>
                <w:sz w:val="20"/>
              </w:rPr>
              <w:t xml:space="preserve">Врач - акушер-гинеколог, врач-уролог</w:t>
            </w:r>
          </w:p>
        </w:tc>
        <w:tc>
          <w:tcPr>
            <w:tcW w:w="1417" w:type="dxa"/>
          </w:tcPr>
          <w:p>
            <w:pPr>
              <w:pStyle w:val="0"/>
              <w:jc w:val="center"/>
            </w:pPr>
            <w:r>
              <w:rPr>
                <w:sz w:val="20"/>
              </w:rPr>
              <w:t xml:space="preserve">51314</w:t>
            </w:r>
          </w:p>
        </w:tc>
      </w:tr>
      <w:tr>
        <w:tc>
          <w:tcPr>
            <w:tcW w:w="510" w:type="dxa"/>
          </w:tcPr>
          <w:p>
            <w:pPr>
              <w:pStyle w:val="0"/>
              <w:jc w:val="both"/>
            </w:pPr>
            <w:r>
              <w:rPr>
                <w:sz w:val="20"/>
              </w:rPr>
              <w:t xml:space="preserve">7</w:t>
            </w:r>
          </w:p>
        </w:tc>
        <w:tc>
          <w:tcPr>
            <w:tcW w:w="2607" w:type="dxa"/>
          </w:tcPr>
          <w:p>
            <w:pPr>
              <w:pStyle w:val="0"/>
              <w:jc w:val="both"/>
            </w:pPr>
            <w:r>
              <w:rPr>
                <w:sz w:val="20"/>
              </w:rPr>
              <w:t xml:space="preserve">ГБУЗС "Городская больница N 4"</w:t>
            </w:r>
          </w:p>
        </w:tc>
        <w:tc>
          <w:tcPr>
            <w:tcW w:w="1417" w:type="dxa"/>
          </w:tcPr>
          <w:p>
            <w:pPr>
              <w:pStyle w:val="0"/>
              <w:jc w:val="center"/>
            </w:pPr>
            <w:r>
              <w:rPr>
                <w:sz w:val="20"/>
              </w:rPr>
              <w:t xml:space="preserve">1</w:t>
            </w:r>
          </w:p>
        </w:tc>
        <w:tc>
          <w:tcPr>
            <w:tcW w:w="963" w:type="dxa"/>
          </w:tcPr>
          <w:p>
            <w:pPr>
              <w:pStyle w:val="0"/>
              <w:jc w:val="both"/>
            </w:pPr>
            <w:r>
              <w:rPr>
                <w:sz w:val="20"/>
              </w:rPr>
              <w:t xml:space="preserve">1 смена</w:t>
            </w:r>
          </w:p>
        </w:tc>
        <w:tc>
          <w:tcPr>
            <w:tcW w:w="2154" w:type="dxa"/>
          </w:tcPr>
          <w:p>
            <w:pPr>
              <w:pStyle w:val="0"/>
              <w:jc w:val="both"/>
            </w:pPr>
            <w:r>
              <w:rPr>
                <w:sz w:val="20"/>
              </w:rPr>
              <w:t xml:space="preserve">Врач-гинеколог и уролог</w:t>
            </w:r>
          </w:p>
        </w:tc>
        <w:tc>
          <w:tcPr>
            <w:tcW w:w="1417" w:type="dxa"/>
          </w:tcPr>
          <w:p>
            <w:pPr>
              <w:pStyle w:val="0"/>
              <w:jc w:val="center"/>
            </w:pPr>
            <w:r>
              <w:rPr>
                <w:sz w:val="20"/>
              </w:rPr>
              <w:t xml:space="preserve">49332</w:t>
            </w:r>
          </w:p>
        </w:tc>
      </w:tr>
      <w:tr>
        <w:tc>
          <w:tcPr>
            <w:tcW w:w="510" w:type="dxa"/>
          </w:tcPr>
          <w:p>
            <w:pPr>
              <w:pStyle w:val="0"/>
              <w:jc w:val="both"/>
            </w:pPr>
            <w:r>
              <w:rPr>
                <w:sz w:val="20"/>
              </w:rPr>
              <w:t xml:space="preserve">8</w:t>
            </w:r>
          </w:p>
        </w:tc>
        <w:tc>
          <w:tcPr>
            <w:tcW w:w="2607" w:type="dxa"/>
          </w:tcPr>
          <w:p>
            <w:pPr>
              <w:pStyle w:val="0"/>
              <w:jc w:val="both"/>
            </w:pPr>
            <w:r>
              <w:rPr>
                <w:sz w:val="20"/>
              </w:rPr>
              <w:t xml:space="preserve">ГБУЗС "Городская больница N 9"</w:t>
            </w:r>
          </w:p>
        </w:tc>
        <w:tc>
          <w:tcPr>
            <w:tcW w:w="1417" w:type="dxa"/>
          </w:tcPr>
          <w:p>
            <w:pPr>
              <w:pStyle w:val="0"/>
              <w:jc w:val="center"/>
            </w:pPr>
            <w:r>
              <w:rPr>
                <w:sz w:val="20"/>
              </w:rPr>
              <w:t xml:space="preserve">2</w:t>
            </w:r>
          </w:p>
        </w:tc>
        <w:tc>
          <w:tcPr>
            <w:tcW w:w="963" w:type="dxa"/>
          </w:tcPr>
          <w:p>
            <w:pPr>
              <w:pStyle w:val="0"/>
              <w:jc w:val="both"/>
            </w:pPr>
            <w:r>
              <w:rPr>
                <w:sz w:val="20"/>
              </w:rPr>
              <w:t xml:space="preserve">1 смена</w:t>
            </w:r>
          </w:p>
        </w:tc>
        <w:tc>
          <w:tcPr>
            <w:tcW w:w="2154" w:type="dxa"/>
          </w:tcPr>
          <w:p>
            <w:pPr>
              <w:pStyle w:val="0"/>
              <w:jc w:val="both"/>
            </w:pPr>
            <w:r>
              <w:rPr>
                <w:sz w:val="20"/>
              </w:rPr>
              <w:t xml:space="preserve">Фельдшер</w:t>
            </w:r>
          </w:p>
        </w:tc>
        <w:tc>
          <w:tcPr>
            <w:tcW w:w="1417" w:type="dxa"/>
          </w:tcPr>
          <w:p>
            <w:pPr>
              <w:pStyle w:val="0"/>
              <w:jc w:val="center"/>
            </w:pPr>
            <w:r>
              <w:rPr>
                <w:sz w:val="20"/>
              </w:rPr>
              <w:t xml:space="preserve">56962</w:t>
            </w:r>
          </w:p>
        </w:tc>
      </w:tr>
    </w:tbl>
    <w:p>
      <w:pPr>
        <w:pStyle w:val="0"/>
        <w:jc w:val="center"/>
      </w:pPr>
      <w:r>
        <w:rPr>
          <w:sz w:val="20"/>
        </w:rPr>
      </w:r>
    </w:p>
    <w:p>
      <w:pPr>
        <w:pStyle w:val="0"/>
        <w:jc w:val="right"/>
      </w:pPr>
      <w:r>
        <w:rPr>
          <w:sz w:val="20"/>
        </w:rPr>
        <w:t xml:space="preserve">Таблица N 22</w:t>
      </w:r>
    </w:p>
    <w:p>
      <w:pPr>
        <w:pStyle w:val="0"/>
        <w:ind w:firstLine="540"/>
        <w:jc w:val="both"/>
      </w:pPr>
      <w:r>
        <w:rPr>
          <w:sz w:val="20"/>
        </w:rPr>
      </w:r>
    </w:p>
    <w:p>
      <w:pPr>
        <w:pStyle w:val="0"/>
        <w:jc w:val="center"/>
      </w:pPr>
      <w:r>
        <w:rPr>
          <w:sz w:val="20"/>
        </w:rPr>
        <w:t xml:space="preserve">Итоги работы смотровых кабинетов</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1928"/>
        <w:gridCol w:w="2041"/>
        <w:gridCol w:w="1984"/>
      </w:tblGrid>
      <w:tr>
        <w:tc>
          <w:tcPr>
            <w:tcW w:w="3118" w:type="dxa"/>
            <w:vMerge w:val="restart"/>
          </w:tcPr>
          <w:p>
            <w:pPr>
              <w:pStyle w:val="0"/>
              <w:jc w:val="center"/>
            </w:pPr>
            <w:r>
              <w:rPr>
                <w:sz w:val="20"/>
              </w:rPr>
              <w:t xml:space="preserve">Наименование</w:t>
            </w:r>
          </w:p>
        </w:tc>
        <w:tc>
          <w:tcPr>
            <w:gridSpan w:val="3"/>
            <w:tcW w:w="5953" w:type="dxa"/>
          </w:tcPr>
          <w:p>
            <w:pPr>
              <w:pStyle w:val="0"/>
              <w:jc w:val="center"/>
            </w:pPr>
            <w:r>
              <w:rPr>
                <w:sz w:val="20"/>
              </w:rPr>
              <w:t xml:space="preserve">Осмотрено за 2022 год</w:t>
            </w:r>
          </w:p>
        </w:tc>
      </w:tr>
      <w:tr>
        <w:tc>
          <w:tcPr>
            <w:vMerge w:val="continue"/>
          </w:tcPr>
          <w:p/>
        </w:tc>
        <w:tc>
          <w:tcPr>
            <w:tcW w:w="1928" w:type="dxa"/>
            <w:vMerge w:val="restart"/>
          </w:tcPr>
          <w:p>
            <w:pPr>
              <w:pStyle w:val="0"/>
              <w:jc w:val="center"/>
            </w:pPr>
            <w:r>
              <w:rPr>
                <w:sz w:val="20"/>
              </w:rPr>
              <w:t xml:space="preserve">Всего</w:t>
            </w:r>
          </w:p>
        </w:tc>
        <w:tc>
          <w:tcPr>
            <w:gridSpan w:val="2"/>
            <w:tcW w:w="4025" w:type="dxa"/>
          </w:tcPr>
          <w:p>
            <w:pPr>
              <w:pStyle w:val="0"/>
              <w:jc w:val="center"/>
            </w:pPr>
            <w:r>
              <w:rPr>
                <w:sz w:val="20"/>
              </w:rPr>
              <w:t xml:space="preserve">Выявлено</w:t>
            </w:r>
          </w:p>
        </w:tc>
      </w:tr>
      <w:tr>
        <w:tc>
          <w:tcPr>
            <w:vMerge w:val="continue"/>
          </w:tcPr>
          <w:p/>
        </w:tc>
        <w:tc>
          <w:tcPr>
            <w:vMerge w:val="continue"/>
          </w:tcPr>
          <w:p/>
        </w:tc>
        <w:tc>
          <w:tcPr>
            <w:tcW w:w="2041" w:type="dxa"/>
          </w:tcPr>
          <w:p>
            <w:pPr>
              <w:pStyle w:val="0"/>
              <w:jc w:val="center"/>
            </w:pPr>
            <w:r>
              <w:rPr>
                <w:sz w:val="20"/>
              </w:rPr>
              <w:t xml:space="preserve">Предраковые заболевания</w:t>
            </w:r>
          </w:p>
        </w:tc>
        <w:tc>
          <w:tcPr>
            <w:tcW w:w="1984" w:type="dxa"/>
          </w:tcPr>
          <w:p>
            <w:pPr>
              <w:pStyle w:val="0"/>
              <w:jc w:val="center"/>
            </w:pPr>
            <w:r>
              <w:rPr>
                <w:sz w:val="20"/>
              </w:rPr>
              <w:t xml:space="preserve">ЗНО</w:t>
            </w:r>
          </w:p>
        </w:tc>
      </w:tr>
      <w:tr>
        <w:tc>
          <w:tcPr>
            <w:tcW w:w="3118" w:type="dxa"/>
          </w:tcPr>
          <w:p>
            <w:pPr>
              <w:pStyle w:val="0"/>
              <w:jc w:val="both"/>
            </w:pPr>
            <w:r>
              <w:rPr>
                <w:sz w:val="20"/>
              </w:rPr>
              <w:t xml:space="preserve">Всего в 11 поликлинических подразделениях городских больниц города функционируют 12 смотровых кабинетов</w:t>
            </w:r>
          </w:p>
        </w:tc>
        <w:tc>
          <w:tcPr>
            <w:tcW w:w="1928" w:type="dxa"/>
          </w:tcPr>
          <w:p>
            <w:pPr>
              <w:pStyle w:val="0"/>
              <w:jc w:val="both"/>
            </w:pPr>
            <w:r>
              <w:rPr>
                <w:sz w:val="20"/>
              </w:rPr>
              <w:t xml:space="preserve">54806 чел., из них:</w:t>
            </w:r>
          </w:p>
          <w:p>
            <w:pPr>
              <w:pStyle w:val="0"/>
              <w:jc w:val="both"/>
            </w:pPr>
            <w:r>
              <w:rPr>
                <w:sz w:val="20"/>
              </w:rPr>
              <w:t xml:space="preserve">35055 женщин (64,5%),</w:t>
            </w:r>
          </w:p>
          <w:p>
            <w:pPr>
              <w:pStyle w:val="0"/>
              <w:jc w:val="both"/>
            </w:pPr>
            <w:r>
              <w:rPr>
                <w:sz w:val="20"/>
              </w:rPr>
              <w:t xml:space="preserve">19751 мужчина (35,5%)</w:t>
            </w:r>
          </w:p>
        </w:tc>
        <w:tc>
          <w:tcPr>
            <w:tcW w:w="2041" w:type="dxa"/>
          </w:tcPr>
          <w:p>
            <w:pPr>
              <w:pStyle w:val="0"/>
              <w:jc w:val="both"/>
            </w:pPr>
            <w:r>
              <w:rPr>
                <w:sz w:val="20"/>
              </w:rPr>
              <w:t xml:space="preserve">600 чел. (1,1%),</w:t>
            </w:r>
          </w:p>
          <w:p>
            <w:pPr>
              <w:pStyle w:val="0"/>
              <w:jc w:val="both"/>
            </w:pPr>
            <w:r>
              <w:rPr>
                <w:sz w:val="20"/>
              </w:rPr>
              <w:t xml:space="preserve">из них:</w:t>
            </w:r>
          </w:p>
          <w:p>
            <w:pPr>
              <w:pStyle w:val="0"/>
              <w:jc w:val="both"/>
            </w:pPr>
            <w:r>
              <w:rPr>
                <w:sz w:val="20"/>
              </w:rPr>
              <w:t xml:space="preserve">336 у женщин (56%),</w:t>
            </w:r>
          </w:p>
          <w:p>
            <w:pPr>
              <w:pStyle w:val="0"/>
              <w:jc w:val="both"/>
            </w:pPr>
            <w:r>
              <w:rPr>
                <w:sz w:val="20"/>
              </w:rPr>
              <w:t xml:space="preserve">264 у мужчин (44%)</w:t>
            </w:r>
          </w:p>
        </w:tc>
        <w:tc>
          <w:tcPr>
            <w:tcW w:w="1984" w:type="dxa"/>
          </w:tcPr>
          <w:p>
            <w:pPr>
              <w:pStyle w:val="0"/>
              <w:jc w:val="both"/>
            </w:pPr>
            <w:r>
              <w:rPr>
                <w:sz w:val="20"/>
              </w:rPr>
              <w:t xml:space="preserve">85 чел. (0,15%)</w:t>
            </w:r>
          </w:p>
        </w:tc>
      </w:tr>
    </w:tbl>
    <w:p>
      <w:pPr>
        <w:pStyle w:val="0"/>
        <w:ind w:firstLine="540"/>
        <w:jc w:val="both"/>
      </w:pPr>
      <w:r>
        <w:rPr>
          <w:sz w:val="20"/>
        </w:rPr>
      </w:r>
    </w:p>
    <w:p>
      <w:pPr>
        <w:pStyle w:val="0"/>
        <w:ind w:firstLine="540"/>
        <w:jc w:val="both"/>
      </w:pPr>
      <w:r>
        <w:rPr>
          <w:sz w:val="20"/>
        </w:rPr>
        <w:t xml:space="preserve">В смотровых кабинетах осмотрено в 1,8 раза больше пациентов, чем в 2021 году, доля осмотренных мужчин снизилась на 14%, выявление предраковых заболеваний снизилось в три раза.</w:t>
      </w:r>
    </w:p>
    <w:p>
      <w:pPr>
        <w:pStyle w:val="0"/>
        <w:spacing w:before="200" w:line-rule="auto"/>
        <w:ind w:firstLine="540"/>
        <w:jc w:val="both"/>
      </w:pPr>
      <w:r>
        <w:rPr>
          <w:sz w:val="20"/>
        </w:rPr>
        <w:t xml:space="preserve">В среднем по городу Севастополю нагрузка работника смотрового кабинета (с учетом оформления документации) составляет 18,5 чел. в день (рекомендованная - 40) и 2,3 чел. в час (рекомендованная - 5), в два раза ниже рекомендованной методическими рекомендациями Министерства здравоохранения и социального развития Российской Федерации, Ассоциации онкологов России и Федерального государственного учреждения "Московский научно-исследовательский онкологический институт им. П.А. Герцена" - "Роль и задачи смотрового кабинета поликлиники как этапа в организации профилактических мероприятий, направленных на совершенствование онкологической помощи населению".</w:t>
      </w:r>
    </w:p>
    <w:p>
      <w:pPr>
        <w:pStyle w:val="0"/>
        <w:ind w:firstLine="540"/>
        <w:jc w:val="both"/>
      </w:pPr>
      <w:r>
        <w:rPr>
          <w:sz w:val="20"/>
        </w:rPr>
      </w:r>
    </w:p>
    <w:p>
      <w:pPr>
        <w:pStyle w:val="2"/>
        <w:outlineLvl w:val="3"/>
        <w:jc w:val="center"/>
      </w:pPr>
      <w:r>
        <w:rPr>
          <w:sz w:val="20"/>
        </w:rPr>
        <w:t xml:space="preserve">1.5. Текущее состояние ресурсной базы онкологической службы</w:t>
      </w:r>
    </w:p>
    <w:p>
      <w:pPr>
        <w:pStyle w:val="0"/>
        <w:jc w:val="center"/>
      </w:pPr>
      <w:r>
        <w:rPr>
          <w:sz w:val="20"/>
        </w:rPr>
      </w:r>
    </w:p>
    <w:p>
      <w:pPr>
        <w:pStyle w:val="0"/>
        <w:jc w:val="right"/>
      </w:pPr>
      <w:r>
        <w:rPr>
          <w:sz w:val="20"/>
        </w:rPr>
        <w:t xml:space="preserve">Таблица N 23.1</w:t>
      </w:r>
    </w:p>
    <w:p>
      <w:pPr>
        <w:pStyle w:val="0"/>
        <w:ind w:firstLine="540"/>
        <w:jc w:val="both"/>
      </w:pPr>
      <w:r>
        <w:rPr>
          <w:sz w:val="20"/>
        </w:rPr>
      </w:r>
    </w:p>
    <w:p>
      <w:pPr>
        <w:pStyle w:val="0"/>
        <w:jc w:val="center"/>
      </w:pPr>
      <w:r>
        <w:rPr>
          <w:sz w:val="20"/>
        </w:rPr>
        <w:t xml:space="preserve">Укомплектованность онкологической службы</w:t>
      </w:r>
    </w:p>
    <w:p>
      <w:pPr>
        <w:pStyle w:val="0"/>
        <w:jc w:val="center"/>
      </w:pPr>
      <w:r>
        <w:rPr>
          <w:sz w:val="20"/>
        </w:rPr>
        <w:t xml:space="preserve">квалифицированными кадрами</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825"/>
        <w:gridCol w:w="794"/>
        <w:gridCol w:w="850"/>
        <w:gridCol w:w="907"/>
        <w:gridCol w:w="1247"/>
        <w:gridCol w:w="1191"/>
        <w:gridCol w:w="794"/>
        <w:gridCol w:w="850"/>
      </w:tblGrid>
      <w:tr>
        <w:tc>
          <w:tcPr>
            <w:tcW w:w="2324" w:type="dxa"/>
          </w:tcPr>
          <w:p>
            <w:pPr>
              <w:pStyle w:val="0"/>
              <w:jc w:val="center"/>
            </w:pPr>
            <w:r>
              <w:rPr>
                <w:sz w:val="20"/>
              </w:rPr>
              <w:t xml:space="preserve">Наименование МО</w:t>
            </w:r>
          </w:p>
        </w:tc>
        <w:tc>
          <w:tcPr>
            <w:gridSpan w:val="2"/>
            <w:tcW w:w="1619" w:type="dxa"/>
          </w:tcPr>
          <w:p>
            <w:pPr>
              <w:pStyle w:val="0"/>
              <w:jc w:val="center"/>
            </w:pPr>
            <w:r>
              <w:rPr>
                <w:sz w:val="20"/>
              </w:rPr>
              <w:t xml:space="preserve">Должностей штатных</w:t>
            </w:r>
          </w:p>
        </w:tc>
        <w:tc>
          <w:tcPr>
            <w:gridSpan w:val="2"/>
            <w:tcW w:w="1757" w:type="dxa"/>
          </w:tcPr>
          <w:p>
            <w:pPr>
              <w:pStyle w:val="0"/>
              <w:jc w:val="center"/>
            </w:pPr>
            <w:r>
              <w:rPr>
                <w:sz w:val="20"/>
              </w:rPr>
              <w:t xml:space="preserve">Должностей занятых</w:t>
            </w:r>
          </w:p>
        </w:tc>
        <w:tc>
          <w:tcPr>
            <w:gridSpan w:val="2"/>
            <w:tcW w:w="2438" w:type="dxa"/>
          </w:tcPr>
          <w:p>
            <w:pPr>
              <w:pStyle w:val="0"/>
              <w:jc w:val="center"/>
            </w:pPr>
            <w:r>
              <w:rPr>
                <w:sz w:val="20"/>
              </w:rPr>
              <w:t xml:space="preserve">Укомплектованность физическими лицами, %</w:t>
            </w:r>
          </w:p>
        </w:tc>
        <w:tc>
          <w:tcPr>
            <w:gridSpan w:val="2"/>
            <w:tcW w:w="1644" w:type="dxa"/>
          </w:tcPr>
          <w:p>
            <w:pPr>
              <w:pStyle w:val="0"/>
              <w:jc w:val="center"/>
            </w:pPr>
            <w:r>
              <w:rPr>
                <w:sz w:val="20"/>
              </w:rPr>
              <w:t xml:space="preserve">Число физических лиц</w:t>
            </w:r>
          </w:p>
        </w:tc>
      </w:tr>
      <w:tr>
        <w:tc>
          <w:tcPr>
            <w:tcW w:w="2324" w:type="dxa"/>
          </w:tcPr>
          <w:p>
            <w:pPr>
              <w:pStyle w:val="0"/>
              <w:jc w:val="both"/>
            </w:pPr>
            <w:r>
              <w:rPr>
                <w:sz w:val="20"/>
              </w:rPr>
            </w:r>
          </w:p>
        </w:tc>
        <w:tc>
          <w:tcPr>
            <w:tcW w:w="825" w:type="dxa"/>
          </w:tcPr>
          <w:p>
            <w:pPr>
              <w:pStyle w:val="0"/>
              <w:jc w:val="center"/>
            </w:pPr>
            <w:r>
              <w:rPr>
                <w:sz w:val="20"/>
              </w:rPr>
              <w:t xml:space="preserve">2021</w:t>
            </w:r>
          </w:p>
        </w:tc>
        <w:tc>
          <w:tcPr>
            <w:tcW w:w="794" w:type="dxa"/>
          </w:tcPr>
          <w:p>
            <w:pPr>
              <w:pStyle w:val="0"/>
              <w:jc w:val="center"/>
            </w:pPr>
            <w:r>
              <w:rPr>
                <w:sz w:val="20"/>
              </w:rPr>
              <w:t xml:space="preserve">2022</w:t>
            </w:r>
          </w:p>
        </w:tc>
        <w:tc>
          <w:tcPr>
            <w:tcW w:w="850" w:type="dxa"/>
          </w:tcPr>
          <w:p>
            <w:pPr>
              <w:pStyle w:val="0"/>
              <w:jc w:val="center"/>
            </w:pPr>
            <w:r>
              <w:rPr>
                <w:sz w:val="20"/>
              </w:rPr>
              <w:t xml:space="preserve">2021</w:t>
            </w:r>
          </w:p>
        </w:tc>
        <w:tc>
          <w:tcPr>
            <w:tcW w:w="907" w:type="dxa"/>
          </w:tcPr>
          <w:p>
            <w:pPr>
              <w:pStyle w:val="0"/>
              <w:jc w:val="center"/>
            </w:pPr>
            <w:r>
              <w:rPr>
                <w:sz w:val="20"/>
              </w:rPr>
              <w:t xml:space="preserve">2022</w:t>
            </w:r>
          </w:p>
        </w:tc>
        <w:tc>
          <w:tcPr>
            <w:tcW w:w="1247" w:type="dxa"/>
          </w:tcPr>
          <w:p>
            <w:pPr>
              <w:pStyle w:val="0"/>
              <w:jc w:val="center"/>
            </w:pPr>
            <w:r>
              <w:rPr>
                <w:sz w:val="20"/>
              </w:rPr>
              <w:t xml:space="preserve">2021</w:t>
            </w:r>
          </w:p>
        </w:tc>
        <w:tc>
          <w:tcPr>
            <w:tcW w:w="1191" w:type="dxa"/>
          </w:tcPr>
          <w:p>
            <w:pPr>
              <w:pStyle w:val="0"/>
              <w:jc w:val="center"/>
            </w:pPr>
            <w:r>
              <w:rPr>
                <w:sz w:val="20"/>
              </w:rPr>
              <w:t xml:space="preserve">2022</w:t>
            </w:r>
          </w:p>
        </w:tc>
        <w:tc>
          <w:tcPr>
            <w:tcW w:w="794" w:type="dxa"/>
          </w:tcPr>
          <w:p>
            <w:pPr>
              <w:pStyle w:val="0"/>
              <w:jc w:val="center"/>
            </w:pPr>
            <w:r>
              <w:rPr>
                <w:sz w:val="20"/>
              </w:rPr>
              <w:t xml:space="preserve">2021</w:t>
            </w:r>
          </w:p>
        </w:tc>
        <w:tc>
          <w:tcPr>
            <w:tcW w:w="850" w:type="dxa"/>
          </w:tcPr>
          <w:p>
            <w:pPr>
              <w:pStyle w:val="0"/>
              <w:jc w:val="center"/>
            </w:pPr>
            <w:r>
              <w:rPr>
                <w:sz w:val="20"/>
              </w:rPr>
              <w:t xml:space="preserve">2022</w:t>
            </w:r>
          </w:p>
        </w:tc>
      </w:tr>
      <w:tr>
        <w:tc>
          <w:tcPr>
            <w:tcW w:w="2324" w:type="dxa"/>
          </w:tcPr>
          <w:p>
            <w:pPr>
              <w:pStyle w:val="0"/>
              <w:jc w:val="both"/>
            </w:pPr>
            <w:r>
              <w:rPr>
                <w:sz w:val="20"/>
              </w:rPr>
              <w:t xml:space="preserve">Севастополь</w:t>
            </w:r>
          </w:p>
        </w:tc>
        <w:tc>
          <w:tcPr>
            <w:tcW w:w="825" w:type="dxa"/>
          </w:tcPr>
          <w:p>
            <w:pPr>
              <w:pStyle w:val="0"/>
              <w:jc w:val="center"/>
            </w:pPr>
            <w:r>
              <w:rPr>
                <w:sz w:val="20"/>
              </w:rPr>
              <w:t xml:space="preserve">46,5</w:t>
            </w:r>
          </w:p>
        </w:tc>
        <w:tc>
          <w:tcPr>
            <w:tcW w:w="794" w:type="dxa"/>
          </w:tcPr>
          <w:p>
            <w:pPr>
              <w:pStyle w:val="0"/>
              <w:jc w:val="center"/>
            </w:pPr>
            <w:r>
              <w:rPr>
                <w:sz w:val="20"/>
              </w:rPr>
              <w:t xml:space="preserve">49,5</w:t>
            </w:r>
          </w:p>
        </w:tc>
        <w:tc>
          <w:tcPr>
            <w:tcW w:w="850" w:type="dxa"/>
          </w:tcPr>
          <w:p>
            <w:pPr>
              <w:pStyle w:val="0"/>
              <w:jc w:val="center"/>
            </w:pPr>
            <w:r>
              <w:rPr>
                <w:sz w:val="20"/>
              </w:rPr>
              <w:t xml:space="preserve">36,25</w:t>
            </w:r>
          </w:p>
        </w:tc>
        <w:tc>
          <w:tcPr>
            <w:tcW w:w="907" w:type="dxa"/>
          </w:tcPr>
          <w:p>
            <w:pPr>
              <w:pStyle w:val="0"/>
              <w:jc w:val="center"/>
            </w:pPr>
            <w:r>
              <w:rPr>
                <w:sz w:val="20"/>
              </w:rPr>
              <w:t xml:space="preserve">35,5</w:t>
            </w:r>
          </w:p>
        </w:tc>
        <w:tc>
          <w:tcPr>
            <w:tcW w:w="1247" w:type="dxa"/>
          </w:tcPr>
          <w:p>
            <w:pPr>
              <w:pStyle w:val="0"/>
              <w:jc w:val="center"/>
            </w:pPr>
            <w:r>
              <w:rPr>
                <w:sz w:val="20"/>
              </w:rPr>
              <w:t xml:space="preserve">78</w:t>
            </w:r>
          </w:p>
        </w:tc>
        <w:tc>
          <w:tcPr>
            <w:tcW w:w="1191" w:type="dxa"/>
          </w:tcPr>
          <w:p>
            <w:pPr>
              <w:pStyle w:val="0"/>
              <w:jc w:val="center"/>
            </w:pPr>
            <w:r>
              <w:rPr>
                <w:sz w:val="20"/>
              </w:rPr>
              <w:t xml:space="preserve">71,7</w:t>
            </w:r>
          </w:p>
        </w:tc>
        <w:tc>
          <w:tcPr>
            <w:tcW w:w="794" w:type="dxa"/>
          </w:tcPr>
          <w:p>
            <w:pPr>
              <w:pStyle w:val="0"/>
              <w:jc w:val="center"/>
            </w:pPr>
            <w:r>
              <w:rPr>
                <w:sz w:val="20"/>
              </w:rPr>
              <w:t xml:space="preserve">33</w:t>
            </w:r>
          </w:p>
        </w:tc>
        <w:tc>
          <w:tcPr>
            <w:tcW w:w="850" w:type="dxa"/>
          </w:tcPr>
          <w:p>
            <w:pPr>
              <w:pStyle w:val="0"/>
              <w:jc w:val="center"/>
            </w:pPr>
            <w:r>
              <w:rPr>
                <w:sz w:val="20"/>
              </w:rPr>
              <w:t xml:space="preserve">30</w:t>
            </w:r>
          </w:p>
        </w:tc>
      </w:tr>
      <w:tr>
        <w:tc>
          <w:tcPr>
            <w:tcW w:w="2324" w:type="dxa"/>
          </w:tcPr>
          <w:p>
            <w:pPr>
              <w:pStyle w:val="0"/>
              <w:jc w:val="both"/>
            </w:pPr>
            <w:r>
              <w:rPr>
                <w:sz w:val="20"/>
              </w:rPr>
              <w:t xml:space="preserve">Городская больница N 1</w:t>
            </w:r>
          </w:p>
        </w:tc>
        <w:tc>
          <w:tcPr>
            <w:tcW w:w="825" w:type="dxa"/>
          </w:tcPr>
          <w:p>
            <w:pPr>
              <w:pStyle w:val="0"/>
              <w:jc w:val="center"/>
            </w:pPr>
            <w:r>
              <w:rPr>
                <w:sz w:val="20"/>
              </w:rPr>
              <w:t xml:space="preserve">7,75</w:t>
            </w:r>
          </w:p>
        </w:tc>
        <w:tc>
          <w:tcPr>
            <w:tcW w:w="794" w:type="dxa"/>
          </w:tcPr>
          <w:p>
            <w:pPr>
              <w:pStyle w:val="0"/>
              <w:jc w:val="center"/>
            </w:pPr>
            <w:r>
              <w:rPr>
                <w:sz w:val="20"/>
              </w:rPr>
              <w:t xml:space="preserve">8,75</w:t>
            </w:r>
          </w:p>
        </w:tc>
        <w:tc>
          <w:tcPr>
            <w:tcW w:w="850" w:type="dxa"/>
          </w:tcPr>
          <w:p>
            <w:pPr>
              <w:pStyle w:val="0"/>
              <w:jc w:val="center"/>
            </w:pPr>
            <w:r>
              <w:rPr>
                <w:sz w:val="20"/>
              </w:rPr>
              <w:t xml:space="preserve">3,0</w:t>
            </w:r>
          </w:p>
        </w:tc>
        <w:tc>
          <w:tcPr>
            <w:tcW w:w="907" w:type="dxa"/>
          </w:tcPr>
          <w:p>
            <w:pPr>
              <w:pStyle w:val="0"/>
              <w:jc w:val="center"/>
            </w:pPr>
            <w:r>
              <w:rPr>
                <w:sz w:val="20"/>
              </w:rPr>
              <w:t xml:space="preserve">4,5</w:t>
            </w:r>
          </w:p>
        </w:tc>
        <w:tc>
          <w:tcPr>
            <w:tcW w:w="1247" w:type="dxa"/>
          </w:tcPr>
          <w:p>
            <w:pPr>
              <w:pStyle w:val="0"/>
              <w:jc w:val="center"/>
            </w:pPr>
            <w:r>
              <w:rPr>
                <w:sz w:val="20"/>
              </w:rPr>
              <w:t xml:space="preserve">39</w:t>
            </w:r>
          </w:p>
        </w:tc>
        <w:tc>
          <w:tcPr>
            <w:tcW w:w="1191" w:type="dxa"/>
          </w:tcPr>
          <w:p>
            <w:pPr>
              <w:pStyle w:val="0"/>
              <w:jc w:val="center"/>
            </w:pPr>
            <w:r>
              <w:rPr>
                <w:sz w:val="20"/>
              </w:rPr>
              <w:t xml:space="preserve">51,4</w:t>
            </w:r>
          </w:p>
        </w:tc>
        <w:tc>
          <w:tcPr>
            <w:tcW w:w="794" w:type="dxa"/>
          </w:tcPr>
          <w:p>
            <w:pPr>
              <w:pStyle w:val="0"/>
              <w:jc w:val="center"/>
            </w:pPr>
            <w:r>
              <w:rPr>
                <w:sz w:val="20"/>
              </w:rPr>
              <w:t xml:space="preserve">2</w:t>
            </w:r>
          </w:p>
        </w:tc>
        <w:tc>
          <w:tcPr>
            <w:tcW w:w="850" w:type="dxa"/>
          </w:tcPr>
          <w:p>
            <w:pPr>
              <w:pStyle w:val="0"/>
              <w:jc w:val="center"/>
            </w:pPr>
            <w:r>
              <w:rPr>
                <w:sz w:val="20"/>
              </w:rPr>
              <w:t xml:space="preserve">3</w:t>
            </w:r>
          </w:p>
        </w:tc>
      </w:tr>
      <w:tr>
        <w:tc>
          <w:tcPr>
            <w:tcW w:w="2324" w:type="dxa"/>
          </w:tcPr>
          <w:p>
            <w:pPr>
              <w:pStyle w:val="0"/>
              <w:jc w:val="both"/>
            </w:pPr>
            <w:r>
              <w:rPr>
                <w:sz w:val="20"/>
              </w:rPr>
              <w:t xml:space="preserve">Городская больница N 4</w:t>
            </w:r>
          </w:p>
        </w:tc>
        <w:tc>
          <w:tcPr>
            <w:tcW w:w="825" w:type="dxa"/>
          </w:tcPr>
          <w:p>
            <w:pPr>
              <w:pStyle w:val="0"/>
              <w:jc w:val="center"/>
            </w:pPr>
            <w:r>
              <w:rPr>
                <w:sz w:val="20"/>
              </w:rPr>
              <w:t xml:space="preserve">1,75</w:t>
            </w:r>
          </w:p>
        </w:tc>
        <w:tc>
          <w:tcPr>
            <w:tcW w:w="794" w:type="dxa"/>
          </w:tcPr>
          <w:p>
            <w:pPr>
              <w:pStyle w:val="0"/>
              <w:jc w:val="center"/>
            </w:pPr>
            <w:r>
              <w:rPr>
                <w:sz w:val="20"/>
              </w:rPr>
              <w:t xml:space="preserve">1,75</w:t>
            </w:r>
          </w:p>
        </w:tc>
        <w:tc>
          <w:tcPr>
            <w:tcW w:w="850" w:type="dxa"/>
          </w:tcPr>
          <w:p>
            <w:pPr>
              <w:pStyle w:val="0"/>
              <w:jc w:val="center"/>
            </w:pPr>
            <w:r>
              <w:rPr>
                <w:sz w:val="20"/>
              </w:rPr>
              <w:t xml:space="preserve">0,5</w:t>
            </w:r>
          </w:p>
        </w:tc>
        <w:tc>
          <w:tcPr>
            <w:tcW w:w="907" w:type="dxa"/>
          </w:tcPr>
          <w:p>
            <w:pPr>
              <w:pStyle w:val="0"/>
              <w:jc w:val="center"/>
            </w:pPr>
            <w:r>
              <w:rPr>
                <w:sz w:val="20"/>
              </w:rPr>
              <w:t xml:space="preserve">1,5</w:t>
            </w:r>
          </w:p>
        </w:tc>
        <w:tc>
          <w:tcPr>
            <w:tcW w:w="1247" w:type="dxa"/>
          </w:tcPr>
          <w:p>
            <w:pPr>
              <w:pStyle w:val="0"/>
              <w:jc w:val="center"/>
            </w:pPr>
            <w:r>
              <w:rPr>
                <w:sz w:val="20"/>
              </w:rPr>
              <w:t xml:space="preserve">28,6</w:t>
            </w:r>
          </w:p>
        </w:tc>
        <w:tc>
          <w:tcPr>
            <w:tcW w:w="1191" w:type="dxa"/>
          </w:tcPr>
          <w:p>
            <w:pPr>
              <w:pStyle w:val="0"/>
              <w:jc w:val="center"/>
            </w:pPr>
            <w:r>
              <w:rPr>
                <w:sz w:val="20"/>
              </w:rPr>
              <w:t xml:space="preserve">85,7</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324" w:type="dxa"/>
          </w:tcPr>
          <w:p>
            <w:pPr>
              <w:pStyle w:val="0"/>
              <w:jc w:val="both"/>
            </w:pPr>
            <w:r>
              <w:rPr>
                <w:sz w:val="20"/>
              </w:rPr>
              <w:t xml:space="preserve">Городская больница N 9</w:t>
            </w:r>
          </w:p>
        </w:tc>
        <w:tc>
          <w:tcPr>
            <w:tcW w:w="825" w:type="dxa"/>
          </w:tcPr>
          <w:p>
            <w:pPr>
              <w:pStyle w:val="0"/>
              <w:jc w:val="center"/>
            </w:pPr>
            <w:r>
              <w:rPr>
                <w:sz w:val="20"/>
              </w:rPr>
              <w:t xml:space="preserve">1,5</w:t>
            </w:r>
          </w:p>
        </w:tc>
        <w:tc>
          <w:tcPr>
            <w:tcW w:w="794" w:type="dxa"/>
          </w:tcPr>
          <w:p>
            <w:pPr>
              <w:pStyle w:val="0"/>
              <w:jc w:val="center"/>
            </w:pPr>
            <w:r>
              <w:rPr>
                <w:sz w:val="20"/>
              </w:rPr>
              <w:t xml:space="preserve">2,5</w:t>
            </w:r>
          </w:p>
        </w:tc>
        <w:tc>
          <w:tcPr>
            <w:tcW w:w="850" w:type="dxa"/>
          </w:tcPr>
          <w:p>
            <w:pPr>
              <w:pStyle w:val="0"/>
              <w:jc w:val="center"/>
            </w:pPr>
            <w:r>
              <w:rPr>
                <w:sz w:val="20"/>
              </w:rPr>
              <w:t xml:space="preserve">1,25</w:t>
            </w:r>
          </w:p>
        </w:tc>
        <w:tc>
          <w:tcPr>
            <w:tcW w:w="907" w:type="dxa"/>
          </w:tcPr>
          <w:p>
            <w:pPr>
              <w:pStyle w:val="0"/>
              <w:jc w:val="center"/>
            </w:pPr>
            <w:r>
              <w:rPr>
                <w:sz w:val="20"/>
              </w:rPr>
              <w:t xml:space="preserve">1,25</w:t>
            </w:r>
          </w:p>
        </w:tc>
        <w:tc>
          <w:tcPr>
            <w:tcW w:w="1247" w:type="dxa"/>
          </w:tcPr>
          <w:p>
            <w:pPr>
              <w:pStyle w:val="0"/>
              <w:jc w:val="center"/>
            </w:pPr>
            <w:r>
              <w:rPr>
                <w:sz w:val="20"/>
              </w:rPr>
              <w:t xml:space="preserve">83,3</w:t>
            </w:r>
          </w:p>
        </w:tc>
        <w:tc>
          <w:tcPr>
            <w:tcW w:w="1191" w:type="dxa"/>
          </w:tcPr>
          <w:p>
            <w:pPr>
              <w:pStyle w:val="0"/>
              <w:jc w:val="center"/>
            </w:pPr>
            <w:r>
              <w:rPr>
                <w:sz w:val="20"/>
              </w:rPr>
              <w:t xml:space="preserve">50</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324" w:type="dxa"/>
          </w:tcPr>
          <w:p>
            <w:pPr>
              <w:pStyle w:val="0"/>
              <w:jc w:val="both"/>
            </w:pPr>
            <w:r>
              <w:rPr>
                <w:sz w:val="20"/>
              </w:rPr>
              <w:t xml:space="preserve">Севастопольский городской онкологический диспансер</w:t>
            </w:r>
          </w:p>
        </w:tc>
        <w:tc>
          <w:tcPr>
            <w:tcW w:w="825" w:type="dxa"/>
          </w:tcPr>
          <w:p>
            <w:pPr>
              <w:pStyle w:val="0"/>
              <w:jc w:val="center"/>
            </w:pPr>
            <w:r>
              <w:rPr>
                <w:sz w:val="20"/>
              </w:rPr>
              <w:t xml:space="preserve">35,5</w:t>
            </w:r>
          </w:p>
        </w:tc>
        <w:tc>
          <w:tcPr>
            <w:tcW w:w="794" w:type="dxa"/>
          </w:tcPr>
          <w:p>
            <w:pPr>
              <w:pStyle w:val="0"/>
              <w:jc w:val="center"/>
            </w:pPr>
            <w:r>
              <w:rPr>
                <w:sz w:val="20"/>
              </w:rPr>
              <w:t xml:space="preserve">36,5</w:t>
            </w:r>
          </w:p>
        </w:tc>
        <w:tc>
          <w:tcPr>
            <w:tcW w:w="850" w:type="dxa"/>
          </w:tcPr>
          <w:p>
            <w:pPr>
              <w:pStyle w:val="0"/>
              <w:jc w:val="center"/>
            </w:pPr>
            <w:r>
              <w:rPr>
                <w:sz w:val="20"/>
              </w:rPr>
              <w:t xml:space="preserve">31,5</w:t>
            </w:r>
          </w:p>
        </w:tc>
        <w:tc>
          <w:tcPr>
            <w:tcW w:w="907" w:type="dxa"/>
          </w:tcPr>
          <w:p>
            <w:pPr>
              <w:pStyle w:val="0"/>
              <w:jc w:val="center"/>
            </w:pPr>
            <w:r>
              <w:rPr>
                <w:sz w:val="20"/>
              </w:rPr>
              <w:t xml:space="preserve">28,25</w:t>
            </w:r>
          </w:p>
        </w:tc>
        <w:tc>
          <w:tcPr>
            <w:tcW w:w="1247" w:type="dxa"/>
          </w:tcPr>
          <w:p>
            <w:pPr>
              <w:pStyle w:val="0"/>
              <w:jc w:val="center"/>
            </w:pPr>
            <w:r>
              <w:rPr>
                <w:sz w:val="20"/>
              </w:rPr>
              <w:t xml:space="preserve">89</w:t>
            </w:r>
          </w:p>
        </w:tc>
        <w:tc>
          <w:tcPr>
            <w:tcW w:w="1191" w:type="dxa"/>
          </w:tcPr>
          <w:p>
            <w:pPr>
              <w:pStyle w:val="0"/>
              <w:jc w:val="center"/>
            </w:pPr>
            <w:r>
              <w:rPr>
                <w:sz w:val="20"/>
              </w:rPr>
              <w:t xml:space="preserve">77,4</w:t>
            </w:r>
          </w:p>
        </w:tc>
        <w:tc>
          <w:tcPr>
            <w:tcW w:w="794" w:type="dxa"/>
          </w:tcPr>
          <w:p>
            <w:pPr>
              <w:pStyle w:val="0"/>
              <w:jc w:val="center"/>
            </w:pPr>
            <w:r>
              <w:rPr>
                <w:sz w:val="20"/>
              </w:rPr>
              <w:t xml:space="preserve">30</w:t>
            </w:r>
          </w:p>
        </w:tc>
        <w:tc>
          <w:tcPr>
            <w:tcW w:w="850" w:type="dxa"/>
          </w:tcPr>
          <w:p>
            <w:pPr>
              <w:pStyle w:val="0"/>
              <w:jc w:val="center"/>
            </w:pPr>
            <w:r>
              <w:rPr>
                <w:sz w:val="20"/>
              </w:rPr>
              <w:t xml:space="preserve">25</w:t>
            </w:r>
          </w:p>
        </w:tc>
      </w:tr>
    </w:tbl>
    <w:p>
      <w:pPr>
        <w:pStyle w:val="0"/>
        <w:jc w:val="right"/>
      </w:pPr>
      <w:r>
        <w:rPr>
          <w:sz w:val="20"/>
        </w:rPr>
      </w:r>
    </w:p>
    <w:p>
      <w:pPr>
        <w:pStyle w:val="0"/>
        <w:jc w:val="right"/>
      </w:pPr>
      <w:r>
        <w:rPr>
          <w:sz w:val="20"/>
        </w:rPr>
        <w:t xml:space="preserve">Таблица N 23.2</w:t>
      </w:r>
    </w:p>
    <w:p>
      <w:pPr>
        <w:pStyle w:val="0"/>
        <w:ind w:firstLine="540"/>
        <w:jc w:val="both"/>
      </w:pPr>
      <w:r>
        <w:rPr>
          <w:sz w:val="20"/>
        </w:rPr>
      </w:r>
    </w:p>
    <w:p>
      <w:pPr>
        <w:pStyle w:val="0"/>
        <w:jc w:val="center"/>
      </w:pPr>
      <w:r>
        <w:rPr>
          <w:sz w:val="20"/>
        </w:rPr>
        <w:t xml:space="preserve">Укомплектованность онкологической службы</w:t>
      </w:r>
    </w:p>
    <w:p>
      <w:pPr>
        <w:pStyle w:val="0"/>
        <w:jc w:val="center"/>
      </w:pPr>
      <w:r>
        <w:rPr>
          <w:sz w:val="20"/>
        </w:rPr>
        <w:t xml:space="preserve">квалифицированными кадрами</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825"/>
        <w:gridCol w:w="907"/>
        <w:gridCol w:w="794"/>
        <w:gridCol w:w="850"/>
        <w:gridCol w:w="1191"/>
        <w:gridCol w:w="1304"/>
        <w:gridCol w:w="850"/>
        <w:gridCol w:w="850"/>
      </w:tblGrid>
      <w:tr>
        <w:tc>
          <w:tcPr>
            <w:tcW w:w="2948" w:type="dxa"/>
          </w:tcPr>
          <w:p>
            <w:pPr>
              <w:pStyle w:val="0"/>
              <w:jc w:val="center"/>
            </w:pPr>
            <w:r>
              <w:rPr>
                <w:sz w:val="20"/>
              </w:rPr>
              <w:t xml:space="preserve">Наименование МО</w:t>
            </w:r>
          </w:p>
        </w:tc>
        <w:tc>
          <w:tcPr>
            <w:gridSpan w:val="2"/>
            <w:tcW w:w="1732" w:type="dxa"/>
          </w:tcPr>
          <w:p>
            <w:pPr>
              <w:pStyle w:val="0"/>
              <w:jc w:val="center"/>
            </w:pPr>
            <w:r>
              <w:rPr>
                <w:sz w:val="20"/>
              </w:rPr>
              <w:t xml:space="preserve">Должностей штатных</w:t>
            </w:r>
          </w:p>
        </w:tc>
        <w:tc>
          <w:tcPr>
            <w:gridSpan w:val="2"/>
            <w:tcW w:w="1644" w:type="dxa"/>
          </w:tcPr>
          <w:p>
            <w:pPr>
              <w:pStyle w:val="0"/>
              <w:jc w:val="center"/>
            </w:pPr>
            <w:r>
              <w:rPr>
                <w:sz w:val="20"/>
              </w:rPr>
              <w:t xml:space="preserve">Должностей занятых</w:t>
            </w:r>
          </w:p>
        </w:tc>
        <w:tc>
          <w:tcPr>
            <w:gridSpan w:val="2"/>
            <w:tcW w:w="2495" w:type="dxa"/>
          </w:tcPr>
          <w:p>
            <w:pPr>
              <w:pStyle w:val="0"/>
              <w:jc w:val="center"/>
            </w:pPr>
            <w:r>
              <w:rPr>
                <w:sz w:val="20"/>
              </w:rPr>
              <w:t xml:space="preserve">Укомплектованность, %</w:t>
            </w:r>
          </w:p>
        </w:tc>
        <w:tc>
          <w:tcPr>
            <w:gridSpan w:val="2"/>
            <w:tcW w:w="1700" w:type="dxa"/>
          </w:tcPr>
          <w:p>
            <w:pPr>
              <w:pStyle w:val="0"/>
              <w:jc w:val="center"/>
            </w:pPr>
            <w:r>
              <w:rPr>
                <w:sz w:val="20"/>
              </w:rPr>
              <w:t xml:space="preserve">Число физических лиц</w:t>
            </w:r>
          </w:p>
        </w:tc>
      </w:tr>
      <w:tr>
        <w:tc>
          <w:tcPr>
            <w:tcW w:w="2948" w:type="dxa"/>
          </w:tcPr>
          <w:p>
            <w:pPr>
              <w:pStyle w:val="0"/>
              <w:jc w:val="center"/>
            </w:pPr>
            <w:r>
              <w:rPr>
                <w:sz w:val="20"/>
              </w:rPr>
            </w:r>
          </w:p>
        </w:tc>
        <w:tc>
          <w:tcPr>
            <w:tcW w:w="825" w:type="dxa"/>
          </w:tcPr>
          <w:p>
            <w:pPr>
              <w:pStyle w:val="0"/>
              <w:jc w:val="center"/>
            </w:pPr>
            <w:r>
              <w:rPr>
                <w:sz w:val="20"/>
              </w:rPr>
              <w:t xml:space="preserve">2021</w:t>
            </w:r>
          </w:p>
        </w:tc>
        <w:tc>
          <w:tcPr>
            <w:tcW w:w="907" w:type="dxa"/>
          </w:tcPr>
          <w:p>
            <w:pPr>
              <w:pStyle w:val="0"/>
              <w:jc w:val="center"/>
            </w:pPr>
            <w:r>
              <w:rPr>
                <w:sz w:val="20"/>
              </w:rPr>
              <w:t xml:space="preserve">2022</w:t>
            </w:r>
          </w:p>
        </w:tc>
        <w:tc>
          <w:tcPr>
            <w:tcW w:w="794" w:type="dxa"/>
          </w:tcPr>
          <w:p>
            <w:pPr>
              <w:pStyle w:val="0"/>
              <w:jc w:val="center"/>
            </w:pPr>
            <w:r>
              <w:rPr>
                <w:sz w:val="20"/>
              </w:rPr>
              <w:t xml:space="preserve">2021</w:t>
            </w:r>
          </w:p>
        </w:tc>
        <w:tc>
          <w:tcPr>
            <w:tcW w:w="850" w:type="dxa"/>
          </w:tcPr>
          <w:p>
            <w:pPr>
              <w:pStyle w:val="0"/>
              <w:jc w:val="center"/>
            </w:pPr>
            <w:r>
              <w:rPr>
                <w:sz w:val="20"/>
              </w:rPr>
              <w:t xml:space="preserve">2022</w:t>
            </w:r>
          </w:p>
        </w:tc>
        <w:tc>
          <w:tcPr>
            <w:tcW w:w="1191" w:type="dxa"/>
          </w:tcPr>
          <w:p>
            <w:pPr>
              <w:pStyle w:val="0"/>
              <w:jc w:val="center"/>
            </w:pPr>
            <w:r>
              <w:rPr>
                <w:sz w:val="20"/>
              </w:rPr>
              <w:t xml:space="preserve">2021</w:t>
            </w:r>
          </w:p>
        </w:tc>
        <w:tc>
          <w:tcPr>
            <w:tcW w:w="1304" w:type="dxa"/>
          </w:tcPr>
          <w:p>
            <w:pPr>
              <w:pStyle w:val="0"/>
              <w:jc w:val="center"/>
            </w:pPr>
            <w:r>
              <w:rPr>
                <w:sz w:val="20"/>
              </w:rPr>
              <w:t xml:space="preserve">2022</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r>
      <w:tr>
        <w:tc>
          <w:tcPr>
            <w:gridSpan w:val="9"/>
            <w:tcW w:w="10519" w:type="dxa"/>
          </w:tcPr>
          <w:p>
            <w:pPr>
              <w:pStyle w:val="0"/>
              <w:jc w:val="both"/>
            </w:pPr>
            <w:r>
              <w:rPr>
                <w:sz w:val="20"/>
              </w:rPr>
              <w:t xml:space="preserve">Патологоанатомы</w:t>
            </w:r>
          </w:p>
        </w:tc>
      </w:tr>
      <w:tr>
        <w:tc>
          <w:tcPr>
            <w:tcW w:w="2948" w:type="dxa"/>
          </w:tcPr>
          <w:p>
            <w:pPr>
              <w:pStyle w:val="0"/>
              <w:jc w:val="both"/>
            </w:pPr>
            <w:r>
              <w:rPr>
                <w:sz w:val="20"/>
              </w:rPr>
              <w:t xml:space="preserve">Севастополь</w:t>
            </w:r>
          </w:p>
        </w:tc>
        <w:tc>
          <w:tcPr>
            <w:tcW w:w="825" w:type="dxa"/>
          </w:tcPr>
          <w:p>
            <w:pPr>
              <w:pStyle w:val="0"/>
              <w:jc w:val="center"/>
            </w:pPr>
            <w:r>
              <w:rPr>
                <w:sz w:val="20"/>
              </w:rPr>
              <w:t xml:space="preserve">14,25</w:t>
            </w:r>
          </w:p>
        </w:tc>
        <w:tc>
          <w:tcPr>
            <w:tcW w:w="907" w:type="dxa"/>
          </w:tcPr>
          <w:p>
            <w:pPr>
              <w:pStyle w:val="0"/>
              <w:jc w:val="center"/>
            </w:pPr>
            <w:r>
              <w:rPr>
                <w:sz w:val="20"/>
              </w:rPr>
              <w:t xml:space="preserve">15,25</w:t>
            </w:r>
          </w:p>
        </w:tc>
        <w:tc>
          <w:tcPr>
            <w:tcW w:w="794" w:type="dxa"/>
          </w:tcPr>
          <w:p>
            <w:pPr>
              <w:pStyle w:val="0"/>
              <w:jc w:val="center"/>
            </w:pPr>
            <w:r>
              <w:rPr>
                <w:sz w:val="20"/>
              </w:rPr>
              <w:t xml:space="preserve">13,5</w:t>
            </w:r>
          </w:p>
        </w:tc>
        <w:tc>
          <w:tcPr>
            <w:tcW w:w="850" w:type="dxa"/>
          </w:tcPr>
          <w:p>
            <w:pPr>
              <w:pStyle w:val="0"/>
              <w:jc w:val="center"/>
            </w:pPr>
            <w:r>
              <w:rPr>
                <w:sz w:val="20"/>
              </w:rPr>
              <w:t xml:space="preserve">13</w:t>
            </w:r>
          </w:p>
        </w:tc>
        <w:tc>
          <w:tcPr>
            <w:tcW w:w="1191" w:type="dxa"/>
          </w:tcPr>
          <w:p>
            <w:pPr>
              <w:pStyle w:val="0"/>
              <w:jc w:val="center"/>
            </w:pPr>
            <w:r>
              <w:rPr>
                <w:sz w:val="20"/>
              </w:rPr>
              <w:t xml:space="preserve">95</w:t>
            </w:r>
          </w:p>
        </w:tc>
        <w:tc>
          <w:tcPr>
            <w:tcW w:w="1304" w:type="dxa"/>
          </w:tcPr>
          <w:p>
            <w:pPr>
              <w:pStyle w:val="0"/>
              <w:jc w:val="center"/>
            </w:pPr>
            <w:r>
              <w:rPr>
                <w:sz w:val="20"/>
              </w:rPr>
              <w:t xml:space="preserve">85</w:t>
            </w:r>
          </w:p>
        </w:tc>
        <w:tc>
          <w:tcPr>
            <w:tcW w:w="850" w:type="dxa"/>
          </w:tcPr>
          <w:p>
            <w:pPr>
              <w:pStyle w:val="0"/>
              <w:jc w:val="center"/>
            </w:pPr>
            <w:r>
              <w:rPr>
                <w:sz w:val="20"/>
              </w:rPr>
              <w:t xml:space="preserve">11</w:t>
            </w:r>
          </w:p>
        </w:tc>
        <w:tc>
          <w:tcPr>
            <w:tcW w:w="850" w:type="dxa"/>
          </w:tcPr>
          <w:p>
            <w:pPr>
              <w:pStyle w:val="0"/>
              <w:jc w:val="center"/>
            </w:pPr>
            <w:r>
              <w:rPr>
                <w:sz w:val="20"/>
              </w:rPr>
              <w:t xml:space="preserve">12</w:t>
            </w:r>
          </w:p>
        </w:tc>
      </w:tr>
      <w:tr>
        <w:tc>
          <w:tcPr>
            <w:tcW w:w="2948" w:type="dxa"/>
          </w:tcPr>
          <w:p>
            <w:pPr>
              <w:pStyle w:val="0"/>
              <w:jc w:val="both"/>
            </w:pPr>
            <w:r>
              <w:rPr>
                <w:sz w:val="20"/>
              </w:rPr>
              <w:t xml:space="preserve">Городская больница N 1</w:t>
            </w:r>
          </w:p>
        </w:tc>
        <w:tc>
          <w:tcPr>
            <w:tcW w:w="825" w:type="dxa"/>
          </w:tcPr>
          <w:p>
            <w:pPr>
              <w:pStyle w:val="0"/>
              <w:jc w:val="center"/>
            </w:pPr>
            <w:r>
              <w:rPr>
                <w:sz w:val="20"/>
              </w:rPr>
              <w:t xml:space="preserve">5,5</w:t>
            </w:r>
          </w:p>
        </w:tc>
        <w:tc>
          <w:tcPr>
            <w:tcW w:w="907" w:type="dxa"/>
          </w:tcPr>
          <w:p>
            <w:pPr>
              <w:pStyle w:val="0"/>
              <w:jc w:val="center"/>
            </w:pPr>
            <w:r>
              <w:rPr>
                <w:sz w:val="20"/>
              </w:rPr>
              <w:t xml:space="preserve">6,5</w:t>
            </w:r>
          </w:p>
        </w:tc>
        <w:tc>
          <w:tcPr>
            <w:tcW w:w="794" w:type="dxa"/>
          </w:tcPr>
          <w:p>
            <w:pPr>
              <w:pStyle w:val="0"/>
              <w:jc w:val="center"/>
            </w:pPr>
            <w:r>
              <w:rPr>
                <w:sz w:val="20"/>
              </w:rPr>
              <w:t xml:space="preserve">5,0</w:t>
            </w:r>
          </w:p>
        </w:tc>
        <w:tc>
          <w:tcPr>
            <w:tcW w:w="850" w:type="dxa"/>
          </w:tcPr>
          <w:p>
            <w:pPr>
              <w:pStyle w:val="0"/>
              <w:jc w:val="center"/>
            </w:pPr>
            <w:r>
              <w:rPr>
                <w:sz w:val="20"/>
              </w:rPr>
              <w:t xml:space="preserve">6,0</w:t>
            </w:r>
          </w:p>
        </w:tc>
        <w:tc>
          <w:tcPr>
            <w:tcW w:w="1191" w:type="dxa"/>
          </w:tcPr>
          <w:p>
            <w:pPr>
              <w:pStyle w:val="0"/>
              <w:jc w:val="center"/>
            </w:pPr>
            <w:r>
              <w:rPr>
                <w:sz w:val="20"/>
              </w:rPr>
              <w:t xml:space="preserve">91</w:t>
            </w:r>
          </w:p>
        </w:tc>
        <w:tc>
          <w:tcPr>
            <w:tcW w:w="1304" w:type="dxa"/>
          </w:tcPr>
          <w:p>
            <w:pPr>
              <w:pStyle w:val="0"/>
              <w:jc w:val="center"/>
            </w:pPr>
            <w:r>
              <w:rPr>
                <w:sz w:val="20"/>
              </w:rPr>
              <w:t xml:space="preserve">92,3</w:t>
            </w:r>
          </w:p>
        </w:tc>
        <w:tc>
          <w:tcPr>
            <w:tcW w:w="850" w:type="dxa"/>
          </w:tcPr>
          <w:p>
            <w:pPr>
              <w:pStyle w:val="0"/>
              <w:jc w:val="center"/>
            </w:pPr>
            <w:r>
              <w:rPr>
                <w:sz w:val="20"/>
              </w:rPr>
              <w:t xml:space="preserve">5</w:t>
            </w:r>
          </w:p>
        </w:tc>
        <w:tc>
          <w:tcPr>
            <w:tcW w:w="850" w:type="dxa"/>
          </w:tcPr>
          <w:p>
            <w:pPr>
              <w:pStyle w:val="0"/>
              <w:jc w:val="center"/>
            </w:pPr>
            <w:r>
              <w:rPr>
                <w:sz w:val="20"/>
              </w:rPr>
              <w:t xml:space="preserve">6</w:t>
            </w:r>
          </w:p>
        </w:tc>
      </w:tr>
      <w:tr>
        <w:tc>
          <w:tcPr>
            <w:tcW w:w="2948" w:type="dxa"/>
          </w:tcPr>
          <w:p>
            <w:pPr>
              <w:pStyle w:val="0"/>
              <w:jc w:val="both"/>
            </w:pPr>
            <w:r>
              <w:rPr>
                <w:sz w:val="20"/>
              </w:rPr>
              <w:t xml:space="preserve">Городская больница N 4</w:t>
            </w:r>
          </w:p>
        </w:tc>
        <w:tc>
          <w:tcPr>
            <w:tcW w:w="825" w:type="dxa"/>
          </w:tcPr>
          <w:p>
            <w:pPr>
              <w:pStyle w:val="0"/>
              <w:jc w:val="center"/>
            </w:pPr>
            <w:r>
              <w:rPr>
                <w:sz w:val="20"/>
              </w:rPr>
              <w:t xml:space="preserve">-</w:t>
            </w:r>
          </w:p>
        </w:tc>
        <w:tc>
          <w:tcPr>
            <w:tcW w:w="907" w:type="dxa"/>
          </w:tcPr>
          <w:p>
            <w:pPr>
              <w:pStyle w:val="0"/>
              <w:jc w:val="center"/>
            </w:pPr>
            <w:r>
              <w:rPr>
                <w:sz w:val="20"/>
              </w:rPr>
              <w:t xml:space="preserve">-</w:t>
            </w:r>
          </w:p>
        </w:tc>
        <w:tc>
          <w:tcPr>
            <w:tcW w:w="794" w:type="dxa"/>
          </w:tcPr>
          <w:p>
            <w:pPr>
              <w:pStyle w:val="0"/>
              <w:jc w:val="center"/>
            </w:pPr>
            <w:r>
              <w:rPr>
                <w:sz w:val="20"/>
              </w:rPr>
              <w:t xml:space="preserve">-</w:t>
            </w:r>
          </w:p>
        </w:tc>
        <w:tc>
          <w:tcPr>
            <w:tcW w:w="850" w:type="dxa"/>
          </w:tcPr>
          <w:p>
            <w:pPr>
              <w:pStyle w:val="0"/>
              <w:jc w:val="center"/>
            </w:pPr>
            <w:r>
              <w:rPr>
                <w:sz w:val="20"/>
              </w:rPr>
              <w:t xml:space="preserve">-</w:t>
            </w:r>
          </w:p>
        </w:tc>
        <w:tc>
          <w:tcPr>
            <w:tcW w:w="1191" w:type="dxa"/>
          </w:tcPr>
          <w:p>
            <w:pPr>
              <w:pStyle w:val="0"/>
              <w:jc w:val="center"/>
            </w:pPr>
            <w:r>
              <w:rPr>
                <w:sz w:val="20"/>
              </w:rPr>
              <w:t xml:space="preserve">-</w:t>
            </w:r>
          </w:p>
        </w:tc>
        <w:tc>
          <w:tcPr>
            <w:tcW w:w="1304"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r>
      <w:tr>
        <w:tc>
          <w:tcPr>
            <w:tcW w:w="2948" w:type="dxa"/>
          </w:tcPr>
          <w:p>
            <w:pPr>
              <w:pStyle w:val="0"/>
              <w:jc w:val="both"/>
            </w:pPr>
            <w:r>
              <w:rPr>
                <w:sz w:val="20"/>
              </w:rPr>
              <w:t xml:space="preserve">Городская больница N 9</w:t>
            </w:r>
          </w:p>
        </w:tc>
        <w:tc>
          <w:tcPr>
            <w:tcW w:w="825" w:type="dxa"/>
          </w:tcPr>
          <w:p>
            <w:pPr>
              <w:pStyle w:val="0"/>
              <w:jc w:val="center"/>
            </w:pPr>
            <w:r>
              <w:rPr>
                <w:sz w:val="20"/>
              </w:rPr>
              <w:t xml:space="preserve">-</w:t>
            </w:r>
          </w:p>
        </w:tc>
        <w:tc>
          <w:tcPr>
            <w:tcW w:w="907" w:type="dxa"/>
          </w:tcPr>
          <w:p>
            <w:pPr>
              <w:pStyle w:val="0"/>
              <w:jc w:val="center"/>
            </w:pPr>
            <w:r>
              <w:rPr>
                <w:sz w:val="20"/>
              </w:rPr>
              <w:t xml:space="preserve">-</w:t>
            </w:r>
          </w:p>
        </w:tc>
        <w:tc>
          <w:tcPr>
            <w:tcW w:w="794" w:type="dxa"/>
          </w:tcPr>
          <w:p>
            <w:pPr>
              <w:pStyle w:val="0"/>
              <w:jc w:val="center"/>
            </w:pPr>
            <w:r>
              <w:rPr>
                <w:sz w:val="20"/>
              </w:rPr>
              <w:t xml:space="preserve">-</w:t>
            </w:r>
          </w:p>
        </w:tc>
        <w:tc>
          <w:tcPr>
            <w:tcW w:w="850" w:type="dxa"/>
          </w:tcPr>
          <w:p>
            <w:pPr>
              <w:pStyle w:val="0"/>
              <w:jc w:val="center"/>
            </w:pPr>
            <w:r>
              <w:rPr>
                <w:sz w:val="20"/>
              </w:rPr>
              <w:t xml:space="preserve">-</w:t>
            </w:r>
          </w:p>
        </w:tc>
        <w:tc>
          <w:tcPr>
            <w:tcW w:w="1191" w:type="dxa"/>
          </w:tcPr>
          <w:p>
            <w:pPr>
              <w:pStyle w:val="0"/>
              <w:jc w:val="center"/>
            </w:pPr>
            <w:r>
              <w:rPr>
                <w:sz w:val="20"/>
              </w:rPr>
              <w:t xml:space="preserve">-</w:t>
            </w:r>
          </w:p>
        </w:tc>
        <w:tc>
          <w:tcPr>
            <w:tcW w:w="1304"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r>
      <w:tr>
        <w:tc>
          <w:tcPr>
            <w:tcW w:w="2948" w:type="dxa"/>
          </w:tcPr>
          <w:p>
            <w:pPr>
              <w:pStyle w:val="0"/>
              <w:jc w:val="both"/>
            </w:pPr>
            <w:r>
              <w:rPr>
                <w:sz w:val="20"/>
              </w:rPr>
              <w:t xml:space="preserve">Севастопольский городской онкологический диспансер</w:t>
            </w:r>
          </w:p>
        </w:tc>
        <w:tc>
          <w:tcPr>
            <w:tcW w:w="825" w:type="dxa"/>
          </w:tcPr>
          <w:p>
            <w:pPr>
              <w:pStyle w:val="0"/>
              <w:jc w:val="center"/>
            </w:pPr>
            <w:r>
              <w:rPr>
                <w:sz w:val="20"/>
              </w:rPr>
              <w:t xml:space="preserve">3,75</w:t>
            </w:r>
          </w:p>
        </w:tc>
        <w:tc>
          <w:tcPr>
            <w:tcW w:w="907" w:type="dxa"/>
          </w:tcPr>
          <w:p>
            <w:pPr>
              <w:pStyle w:val="0"/>
              <w:jc w:val="center"/>
            </w:pPr>
            <w:r>
              <w:rPr>
                <w:sz w:val="20"/>
              </w:rPr>
              <w:t xml:space="preserve">3,75</w:t>
            </w:r>
          </w:p>
        </w:tc>
        <w:tc>
          <w:tcPr>
            <w:tcW w:w="794" w:type="dxa"/>
          </w:tcPr>
          <w:p>
            <w:pPr>
              <w:pStyle w:val="0"/>
              <w:jc w:val="center"/>
            </w:pPr>
            <w:r>
              <w:rPr>
                <w:sz w:val="20"/>
              </w:rPr>
              <w:t xml:space="preserve">3,5</w:t>
            </w:r>
          </w:p>
        </w:tc>
        <w:tc>
          <w:tcPr>
            <w:tcW w:w="850" w:type="dxa"/>
          </w:tcPr>
          <w:p>
            <w:pPr>
              <w:pStyle w:val="0"/>
              <w:jc w:val="center"/>
            </w:pPr>
            <w:r>
              <w:rPr>
                <w:sz w:val="20"/>
              </w:rPr>
              <w:t xml:space="preserve">3</w:t>
            </w:r>
          </w:p>
        </w:tc>
        <w:tc>
          <w:tcPr>
            <w:tcW w:w="1191" w:type="dxa"/>
          </w:tcPr>
          <w:p>
            <w:pPr>
              <w:pStyle w:val="0"/>
              <w:jc w:val="center"/>
            </w:pPr>
            <w:r>
              <w:rPr>
                <w:sz w:val="20"/>
              </w:rPr>
              <w:t xml:space="preserve">93,3</w:t>
            </w:r>
          </w:p>
        </w:tc>
        <w:tc>
          <w:tcPr>
            <w:tcW w:w="1304" w:type="dxa"/>
          </w:tcPr>
          <w:p>
            <w:pPr>
              <w:pStyle w:val="0"/>
              <w:jc w:val="center"/>
            </w:pPr>
            <w:r>
              <w:rPr>
                <w:sz w:val="20"/>
              </w:rPr>
              <w:t xml:space="preserve">80</w:t>
            </w:r>
          </w:p>
        </w:tc>
        <w:tc>
          <w:tcPr>
            <w:tcW w:w="850" w:type="dxa"/>
          </w:tcPr>
          <w:p>
            <w:pPr>
              <w:pStyle w:val="0"/>
              <w:jc w:val="center"/>
            </w:pPr>
            <w:r>
              <w:rPr>
                <w:sz w:val="20"/>
              </w:rPr>
              <w:t xml:space="preserve">2</w:t>
            </w:r>
          </w:p>
        </w:tc>
        <w:tc>
          <w:tcPr>
            <w:tcW w:w="850" w:type="dxa"/>
          </w:tcPr>
          <w:p>
            <w:pPr>
              <w:pStyle w:val="0"/>
              <w:jc w:val="center"/>
            </w:pPr>
            <w:r>
              <w:rPr>
                <w:sz w:val="20"/>
              </w:rPr>
              <w:t xml:space="preserve">2</w:t>
            </w:r>
          </w:p>
        </w:tc>
      </w:tr>
      <w:tr>
        <w:tc>
          <w:tcPr>
            <w:gridSpan w:val="9"/>
            <w:tcW w:w="10519" w:type="dxa"/>
          </w:tcPr>
          <w:p>
            <w:pPr>
              <w:pStyle w:val="0"/>
              <w:jc w:val="both"/>
            </w:pPr>
            <w:r>
              <w:rPr>
                <w:sz w:val="20"/>
              </w:rPr>
              <w:t xml:space="preserve">Радиотерапевты</w:t>
            </w:r>
          </w:p>
        </w:tc>
      </w:tr>
      <w:tr>
        <w:tc>
          <w:tcPr>
            <w:tcW w:w="2948" w:type="dxa"/>
          </w:tcPr>
          <w:p>
            <w:pPr>
              <w:pStyle w:val="0"/>
              <w:jc w:val="both"/>
            </w:pPr>
            <w:r>
              <w:rPr>
                <w:sz w:val="20"/>
              </w:rPr>
              <w:t xml:space="preserve">Севастополь</w:t>
            </w:r>
          </w:p>
        </w:tc>
        <w:tc>
          <w:tcPr>
            <w:tcW w:w="825" w:type="dxa"/>
          </w:tcPr>
          <w:p>
            <w:pPr>
              <w:pStyle w:val="0"/>
              <w:jc w:val="center"/>
            </w:pPr>
            <w:r>
              <w:rPr>
                <w:sz w:val="20"/>
              </w:rPr>
              <w:t xml:space="preserve">3,5</w:t>
            </w:r>
          </w:p>
        </w:tc>
        <w:tc>
          <w:tcPr>
            <w:tcW w:w="907" w:type="dxa"/>
          </w:tcPr>
          <w:p>
            <w:pPr>
              <w:pStyle w:val="0"/>
              <w:jc w:val="center"/>
            </w:pPr>
            <w:r>
              <w:rPr>
                <w:sz w:val="20"/>
              </w:rPr>
              <w:t xml:space="preserve">6,5</w:t>
            </w:r>
          </w:p>
        </w:tc>
        <w:tc>
          <w:tcPr>
            <w:tcW w:w="794" w:type="dxa"/>
          </w:tcPr>
          <w:p>
            <w:pPr>
              <w:pStyle w:val="0"/>
              <w:jc w:val="center"/>
            </w:pPr>
            <w:r>
              <w:rPr>
                <w:sz w:val="20"/>
              </w:rPr>
              <w:t xml:space="preserve">3</w:t>
            </w:r>
          </w:p>
        </w:tc>
        <w:tc>
          <w:tcPr>
            <w:tcW w:w="850" w:type="dxa"/>
          </w:tcPr>
          <w:p>
            <w:pPr>
              <w:pStyle w:val="0"/>
              <w:jc w:val="center"/>
            </w:pPr>
            <w:r>
              <w:rPr>
                <w:sz w:val="20"/>
              </w:rPr>
              <w:t xml:space="preserve">3,5</w:t>
            </w:r>
          </w:p>
        </w:tc>
        <w:tc>
          <w:tcPr>
            <w:tcW w:w="1191" w:type="dxa"/>
          </w:tcPr>
          <w:p>
            <w:pPr>
              <w:pStyle w:val="0"/>
              <w:jc w:val="center"/>
            </w:pPr>
            <w:r>
              <w:rPr>
                <w:sz w:val="20"/>
              </w:rPr>
              <w:t xml:space="preserve">85,7</w:t>
            </w:r>
          </w:p>
        </w:tc>
        <w:tc>
          <w:tcPr>
            <w:tcW w:w="1304" w:type="dxa"/>
          </w:tcPr>
          <w:p>
            <w:pPr>
              <w:pStyle w:val="0"/>
              <w:jc w:val="center"/>
            </w:pPr>
            <w:r>
              <w:rPr>
                <w:sz w:val="20"/>
              </w:rPr>
              <w:t xml:space="preserve">54</w:t>
            </w:r>
          </w:p>
        </w:tc>
        <w:tc>
          <w:tcPr>
            <w:tcW w:w="850" w:type="dxa"/>
          </w:tcPr>
          <w:p>
            <w:pPr>
              <w:pStyle w:val="0"/>
              <w:jc w:val="center"/>
            </w:pPr>
            <w:r>
              <w:rPr>
                <w:sz w:val="20"/>
              </w:rPr>
              <w:t xml:space="preserve">4</w:t>
            </w:r>
          </w:p>
        </w:tc>
        <w:tc>
          <w:tcPr>
            <w:tcW w:w="850" w:type="dxa"/>
          </w:tcPr>
          <w:p>
            <w:pPr>
              <w:pStyle w:val="0"/>
              <w:jc w:val="center"/>
            </w:pPr>
            <w:r>
              <w:rPr>
                <w:sz w:val="20"/>
              </w:rPr>
              <w:t xml:space="preserve">3</w:t>
            </w:r>
          </w:p>
        </w:tc>
      </w:tr>
      <w:tr>
        <w:tc>
          <w:tcPr>
            <w:tcW w:w="2948" w:type="dxa"/>
          </w:tcPr>
          <w:p>
            <w:pPr>
              <w:pStyle w:val="0"/>
              <w:jc w:val="both"/>
            </w:pPr>
            <w:r>
              <w:rPr>
                <w:sz w:val="20"/>
              </w:rPr>
              <w:t xml:space="preserve">Городская больница N 1</w:t>
            </w:r>
          </w:p>
        </w:tc>
        <w:tc>
          <w:tcPr>
            <w:tcW w:w="825" w:type="dxa"/>
          </w:tcPr>
          <w:p>
            <w:pPr>
              <w:pStyle w:val="0"/>
              <w:jc w:val="center"/>
            </w:pPr>
            <w:r>
              <w:rPr>
                <w:sz w:val="20"/>
              </w:rPr>
              <w:t xml:space="preserve">-</w:t>
            </w:r>
          </w:p>
        </w:tc>
        <w:tc>
          <w:tcPr>
            <w:tcW w:w="907" w:type="dxa"/>
          </w:tcPr>
          <w:p>
            <w:pPr>
              <w:pStyle w:val="0"/>
              <w:jc w:val="center"/>
            </w:pPr>
            <w:r>
              <w:rPr>
                <w:sz w:val="20"/>
              </w:rPr>
              <w:t xml:space="preserve">-</w:t>
            </w:r>
          </w:p>
        </w:tc>
        <w:tc>
          <w:tcPr>
            <w:tcW w:w="794" w:type="dxa"/>
          </w:tcPr>
          <w:p>
            <w:pPr>
              <w:pStyle w:val="0"/>
              <w:jc w:val="center"/>
            </w:pPr>
            <w:r>
              <w:rPr>
                <w:sz w:val="20"/>
              </w:rPr>
              <w:t xml:space="preserve">-</w:t>
            </w:r>
          </w:p>
        </w:tc>
        <w:tc>
          <w:tcPr>
            <w:tcW w:w="850" w:type="dxa"/>
          </w:tcPr>
          <w:p>
            <w:pPr>
              <w:pStyle w:val="0"/>
              <w:jc w:val="center"/>
            </w:pPr>
            <w:r>
              <w:rPr>
                <w:sz w:val="20"/>
              </w:rPr>
              <w:t xml:space="preserve">-</w:t>
            </w:r>
          </w:p>
        </w:tc>
        <w:tc>
          <w:tcPr>
            <w:tcW w:w="1191" w:type="dxa"/>
          </w:tcPr>
          <w:p>
            <w:pPr>
              <w:pStyle w:val="0"/>
              <w:jc w:val="center"/>
            </w:pPr>
            <w:r>
              <w:rPr>
                <w:sz w:val="20"/>
              </w:rPr>
              <w:t xml:space="preserve">-</w:t>
            </w:r>
          </w:p>
        </w:tc>
        <w:tc>
          <w:tcPr>
            <w:tcW w:w="1304"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r>
      <w:tr>
        <w:tc>
          <w:tcPr>
            <w:tcW w:w="2948" w:type="dxa"/>
          </w:tcPr>
          <w:p>
            <w:pPr>
              <w:pStyle w:val="0"/>
              <w:jc w:val="both"/>
            </w:pPr>
            <w:r>
              <w:rPr>
                <w:sz w:val="20"/>
              </w:rPr>
              <w:t xml:space="preserve">Городская больница N 4</w:t>
            </w:r>
          </w:p>
        </w:tc>
        <w:tc>
          <w:tcPr>
            <w:tcW w:w="825" w:type="dxa"/>
          </w:tcPr>
          <w:p>
            <w:pPr>
              <w:pStyle w:val="0"/>
              <w:jc w:val="center"/>
            </w:pPr>
            <w:r>
              <w:rPr>
                <w:sz w:val="20"/>
              </w:rPr>
              <w:t xml:space="preserve">-</w:t>
            </w:r>
          </w:p>
        </w:tc>
        <w:tc>
          <w:tcPr>
            <w:tcW w:w="907" w:type="dxa"/>
          </w:tcPr>
          <w:p>
            <w:pPr>
              <w:pStyle w:val="0"/>
              <w:jc w:val="center"/>
            </w:pPr>
            <w:r>
              <w:rPr>
                <w:sz w:val="20"/>
              </w:rPr>
              <w:t xml:space="preserve">-</w:t>
            </w:r>
          </w:p>
        </w:tc>
        <w:tc>
          <w:tcPr>
            <w:tcW w:w="794" w:type="dxa"/>
          </w:tcPr>
          <w:p>
            <w:pPr>
              <w:pStyle w:val="0"/>
              <w:jc w:val="center"/>
            </w:pPr>
            <w:r>
              <w:rPr>
                <w:sz w:val="20"/>
              </w:rPr>
              <w:t xml:space="preserve">-</w:t>
            </w:r>
          </w:p>
        </w:tc>
        <w:tc>
          <w:tcPr>
            <w:tcW w:w="850" w:type="dxa"/>
          </w:tcPr>
          <w:p>
            <w:pPr>
              <w:pStyle w:val="0"/>
              <w:jc w:val="center"/>
            </w:pPr>
            <w:r>
              <w:rPr>
                <w:sz w:val="20"/>
              </w:rPr>
              <w:t xml:space="preserve">-</w:t>
            </w:r>
          </w:p>
        </w:tc>
        <w:tc>
          <w:tcPr>
            <w:tcW w:w="1191" w:type="dxa"/>
          </w:tcPr>
          <w:p>
            <w:pPr>
              <w:pStyle w:val="0"/>
              <w:jc w:val="center"/>
            </w:pPr>
            <w:r>
              <w:rPr>
                <w:sz w:val="20"/>
              </w:rPr>
              <w:t xml:space="preserve">-</w:t>
            </w:r>
          </w:p>
        </w:tc>
        <w:tc>
          <w:tcPr>
            <w:tcW w:w="1304"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r>
      <w:tr>
        <w:tc>
          <w:tcPr>
            <w:tcW w:w="2948" w:type="dxa"/>
          </w:tcPr>
          <w:p>
            <w:pPr>
              <w:pStyle w:val="0"/>
              <w:jc w:val="both"/>
            </w:pPr>
            <w:r>
              <w:rPr>
                <w:sz w:val="20"/>
              </w:rPr>
              <w:t xml:space="preserve">Городская больница N 9</w:t>
            </w:r>
          </w:p>
        </w:tc>
        <w:tc>
          <w:tcPr>
            <w:tcW w:w="825" w:type="dxa"/>
          </w:tcPr>
          <w:p>
            <w:pPr>
              <w:pStyle w:val="0"/>
              <w:jc w:val="center"/>
            </w:pPr>
            <w:r>
              <w:rPr>
                <w:sz w:val="20"/>
              </w:rPr>
              <w:t xml:space="preserve">-</w:t>
            </w:r>
          </w:p>
        </w:tc>
        <w:tc>
          <w:tcPr>
            <w:tcW w:w="907" w:type="dxa"/>
          </w:tcPr>
          <w:p>
            <w:pPr>
              <w:pStyle w:val="0"/>
              <w:jc w:val="center"/>
            </w:pPr>
            <w:r>
              <w:rPr>
                <w:sz w:val="20"/>
              </w:rPr>
              <w:t xml:space="preserve">-</w:t>
            </w:r>
          </w:p>
        </w:tc>
        <w:tc>
          <w:tcPr>
            <w:tcW w:w="794" w:type="dxa"/>
          </w:tcPr>
          <w:p>
            <w:pPr>
              <w:pStyle w:val="0"/>
              <w:jc w:val="center"/>
            </w:pPr>
            <w:r>
              <w:rPr>
                <w:sz w:val="20"/>
              </w:rPr>
              <w:t xml:space="preserve">-</w:t>
            </w:r>
          </w:p>
        </w:tc>
        <w:tc>
          <w:tcPr>
            <w:tcW w:w="850" w:type="dxa"/>
          </w:tcPr>
          <w:p>
            <w:pPr>
              <w:pStyle w:val="0"/>
              <w:jc w:val="center"/>
            </w:pPr>
            <w:r>
              <w:rPr>
                <w:sz w:val="20"/>
              </w:rPr>
              <w:t xml:space="preserve">-</w:t>
            </w:r>
          </w:p>
        </w:tc>
        <w:tc>
          <w:tcPr>
            <w:tcW w:w="1191" w:type="dxa"/>
          </w:tcPr>
          <w:p>
            <w:pPr>
              <w:pStyle w:val="0"/>
              <w:jc w:val="center"/>
            </w:pPr>
            <w:r>
              <w:rPr>
                <w:sz w:val="20"/>
              </w:rPr>
              <w:t xml:space="preserve">-</w:t>
            </w:r>
          </w:p>
        </w:tc>
        <w:tc>
          <w:tcPr>
            <w:tcW w:w="1304"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r>
      <w:tr>
        <w:tc>
          <w:tcPr>
            <w:tcW w:w="2948" w:type="dxa"/>
          </w:tcPr>
          <w:p>
            <w:pPr>
              <w:pStyle w:val="0"/>
              <w:jc w:val="both"/>
            </w:pPr>
            <w:r>
              <w:rPr>
                <w:sz w:val="20"/>
              </w:rPr>
              <w:t xml:space="preserve">Севастопольский городской онкологический диспансер</w:t>
            </w:r>
          </w:p>
        </w:tc>
        <w:tc>
          <w:tcPr>
            <w:tcW w:w="825" w:type="dxa"/>
          </w:tcPr>
          <w:p>
            <w:pPr>
              <w:pStyle w:val="0"/>
              <w:jc w:val="center"/>
            </w:pPr>
            <w:r>
              <w:rPr>
                <w:sz w:val="20"/>
              </w:rPr>
              <w:t xml:space="preserve">3,5</w:t>
            </w:r>
          </w:p>
        </w:tc>
        <w:tc>
          <w:tcPr>
            <w:tcW w:w="907" w:type="dxa"/>
          </w:tcPr>
          <w:p>
            <w:pPr>
              <w:pStyle w:val="0"/>
              <w:jc w:val="center"/>
            </w:pPr>
            <w:r>
              <w:rPr>
                <w:sz w:val="20"/>
              </w:rPr>
              <w:t xml:space="preserve">6,5</w:t>
            </w:r>
          </w:p>
        </w:tc>
        <w:tc>
          <w:tcPr>
            <w:tcW w:w="794" w:type="dxa"/>
          </w:tcPr>
          <w:p>
            <w:pPr>
              <w:pStyle w:val="0"/>
              <w:jc w:val="center"/>
            </w:pPr>
            <w:r>
              <w:rPr>
                <w:sz w:val="20"/>
              </w:rPr>
              <w:t xml:space="preserve">3</w:t>
            </w:r>
          </w:p>
        </w:tc>
        <w:tc>
          <w:tcPr>
            <w:tcW w:w="850" w:type="dxa"/>
          </w:tcPr>
          <w:p>
            <w:pPr>
              <w:pStyle w:val="0"/>
              <w:jc w:val="center"/>
            </w:pPr>
            <w:r>
              <w:rPr>
                <w:sz w:val="20"/>
              </w:rPr>
              <w:t xml:space="preserve">3,5</w:t>
            </w:r>
          </w:p>
        </w:tc>
        <w:tc>
          <w:tcPr>
            <w:tcW w:w="1191" w:type="dxa"/>
          </w:tcPr>
          <w:p>
            <w:pPr>
              <w:pStyle w:val="0"/>
              <w:jc w:val="center"/>
            </w:pPr>
            <w:r>
              <w:rPr>
                <w:sz w:val="20"/>
              </w:rPr>
              <w:t xml:space="preserve">85,7</w:t>
            </w:r>
          </w:p>
        </w:tc>
        <w:tc>
          <w:tcPr>
            <w:tcW w:w="1304" w:type="dxa"/>
          </w:tcPr>
          <w:p>
            <w:pPr>
              <w:pStyle w:val="0"/>
              <w:jc w:val="center"/>
            </w:pPr>
            <w:r>
              <w:rPr>
                <w:sz w:val="20"/>
              </w:rPr>
              <w:t xml:space="preserve">54</w:t>
            </w:r>
          </w:p>
        </w:tc>
        <w:tc>
          <w:tcPr>
            <w:tcW w:w="850" w:type="dxa"/>
          </w:tcPr>
          <w:p>
            <w:pPr>
              <w:pStyle w:val="0"/>
              <w:jc w:val="center"/>
            </w:pPr>
            <w:r>
              <w:rPr>
                <w:sz w:val="20"/>
              </w:rPr>
              <w:t xml:space="preserve">4</w:t>
            </w:r>
          </w:p>
        </w:tc>
        <w:tc>
          <w:tcPr>
            <w:tcW w:w="850" w:type="dxa"/>
          </w:tcPr>
          <w:p>
            <w:pPr>
              <w:pStyle w:val="0"/>
              <w:jc w:val="center"/>
            </w:pPr>
            <w:r>
              <w:rPr>
                <w:sz w:val="20"/>
              </w:rPr>
              <w:t xml:space="preserve">4</w:t>
            </w:r>
          </w:p>
        </w:tc>
      </w:tr>
      <w:tr>
        <w:tc>
          <w:tcPr>
            <w:gridSpan w:val="9"/>
            <w:tcW w:w="10519" w:type="dxa"/>
          </w:tcPr>
          <w:p>
            <w:pPr>
              <w:pStyle w:val="0"/>
              <w:jc w:val="both"/>
            </w:pPr>
            <w:r>
              <w:rPr>
                <w:sz w:val="20"/>
              </w:rPr>
              <w:t xml:space="preserve">Гематологи</w:t>
            </w:r>
          </w:p>
        </w:tc>
      </w:tr>
      <w:tr>
        <w:tc>
          <w:tcPr>
            <w:tcW w:w="2948" w:type="dxa"/>
          </w:tcPr>
          <w:p>
            <w:pPr>
              <w:pStyle w:val="0"/>
              <w:jc w:val="both"/>
            </w:pPr>
            <w:r>
              <w:rPr>
                <w:sz w:val="20"/>
              </w:rPr>
              <w:t xml:space="preserve">Севастополь</w:t>
            </w:r>
          </w:p>
        </w:tc>
        <w:tc>
          <w:tcPr>
            <w:tcW w:w="825" w:type="dxa"/>
          </w:tcPr>
          <w:p>
            <w:pPr>
              <w:pStyle w:val="0"/>
              <w:jc w:val="center"/>
            </w:pPr>
            <w:r>
              <w:rPr>
                <w:sz w:val="20"/>
              </w:rPr>
              <w:t xml:space="preserve">4,75</w:t>
            </w:r>
          </w:p>
        </w:tc>
        <w:tc>
          <w:tcPr>
            <w:tcW w:w="907" w:type="dxa"/>
          </w:tcPr>
          <w:p>
            <w:pPr>
              <w:pStyle w:val="0"/>
              <w:jc w:val="center"/>
            </w:pPr>
            <w:r>
              <w:rPr>
                <w:sz w:val="20"/>
              </w:rPr>
              <w:t xml:space="preserve">4,75</w:t>
            </w:r>
          </w:p>
        </w:tc>
        <w:tc>
          <w:tcPr>
            <w:tcW w:w="794" w:type="dxa"/>
          </w:tcPr>
          <w:p>
            <w:pPr>
              <w:pStyle w:val="0"/>
              <w:jc w:val="center"/>
            </w:pPr>
            <w:r>
              <w:rPr>
                <w:sz w:val="20"/>
              </w:rPr>
              <w:t xml:space="preserve">4,0</w:t>
            </w:r>
          </w:p>
        </w:tc>
        <w:tc>
          <w:tcPr>
            <w:tcW w:w="850" w:type="dxa"/>
          </w:tcPr>
          <w:p>
            <w:pPr>
              <w:pStyle w:val="0"/>
              <w:jc w:val="center"/>
            </w:pPr>
            <w:r>
              <w:rPr>
                <w:sz w:val="20"/>
              </w:rPr>
              <w:t xml:space="preserve">3,5</w:t>
            </w:r>
          </w:p>
        </w:tc>
        <w:tc>
          <w:tcPr>
            <w:tcW w:w="1191" w:type="dxa"/>
          </w:tcPr>
          <w:p>
            <w:pPr>
              <w:pStyle w:val="0"/>
              <w:jc w:val="center"/>
            </w:pPr>
            <w:r>
              <w:rPr>
                <w:sz w:val="20"/>
              </w:rPr>
              <w:t xml:space="preserve">63,2</w:t>
            </w:r>
          </w:p>
        </w:tc>
        <w:tc>
          <w:tcPr>
            <w:tcW w:w="1304" w:type="dxa"/>
          </w:tcPr>
          <w:p>
            <w:pPr>
              <w:pStyle w:val="0"/>
              <w:jc w:val="center"/>
            </w:pPr>
            <w:r>
              <w:rPr>
                <w:sz w:val="20"/>
              </w:rPr>
              <w:t xml:space="preserve">63,2</w:t>
            </w:r>
          </w:p>
        </w:tc>
        <w:tc>
          <w:tcPr>
            <w:tcW w:w="850" w:type="dxa"/>
          </w:tcPr>
          <w:p>
            <w:pPr>
              <w:pStyle w:val="0"/>
              <w:jc w:val="center"/>
            </w:pPr>
            <w:r>
              <w:rPr>
                <w:sz w:val="20"/>
              </w:rPr>
              <w:t xml:space="preserve">3</w:t>
            </w:r>
          </w:p>
        </w:tc>
        <w:tc>
          <w:tcPr>
            <w:tcW w:w="850" w:type="dxa"/>
          </w:tcPr>
          <w:p>
            <w:pPr>
              <w:pStyle w:val="0"/>
              <w:jc w:val="center"/>
            </w:pPr>
            <w:r>
              <w:rPr>
                <w:sz w:val="20"/>
              </w:rPr>
              <w:t xml:space="preserve">3</w:t>
            </w:r>
          </w:p>
        </w:tc>
      </w:tr>
      <w:tr>
        <w:tc>
          <w:tcPr>
            <w:tcW w:w="2948" w:type="dxa"/>
          </w:tcPr>
          <w:p>
            <w:pPr>
              <w:pStyle w:val="0"/>
              <w:jc w:val="both"/>
            </w:pPr>
            <w:r>
              <w:rPr>
                <w:sz w:val="20"/>
              </w:rPr>
              <w:t xml:space="preserve">Городская больница N 1</w:t>
            </w:r>
          </w:p>
        </w:tc>
        <w:tc>
          <w:tcPr>
            <w:tcW w:w="825" w:type="dxa"/>
          </w:tcPr>
          <w:p>
            <w:pPr>
              <w:pStyle w:val="0"/>
              <w:jc w:val="center"/>
            </w:pPr>
            <w:r>
              <w:rPr>
                <w:sz w:val="20"/>
              </w:rPr>
              <w:t xml:space="preserve">1,5</w:t>
            </w:r>
          </w:p>
        </w:tc>
        <w:tc>
          <w:tcPr>
            <w:tcW w:w="907" w:type="dxa"/>
          </w:tcPr>
          <w:p>
            <w:pPr>
              <w:pStyle w:val="0"/>
              <w:jc w:val="center"/>
            </w:pPr>
            <w:r>
              <w:rPr>
                <w:sz w:val="20"/>
              </w:rPr>
              <w:t xml:space="preserve">1,5</w:t>
            </w:r>
          </w:p>
        </w:tc>
        <w:tc>
          <w:tcPr>
            <w:tcW w:w="794" w:type="dxa"/>
          </w:tcPr>
          <w:p>
            <w:pPr>
              <w:pStyle w:val="0"/>
              <w:jc w:val="center"/>
            </w:pPr>
            <w:r>
              <w:rPr>
                <w:sz w:val="20"/>
              </w:rPr>
              <w:t xml:space="preserve">1,0</w:t>
            </w:r>
          </w:p>
        </w:tc>
        <w:tc>
          <w:tcPr>
            <w:tcW w:w="850" w:type="dxa"/>
          </w:tcPr>
          <w:p>
            <w:pPr>
              <w:pStyle w:val="0"/>
              <w:jc w:val="center"/>
            </w:pPr>
            <w:r>
              <w:rPr>
                <w:sz w:val="20"/>
              </w:rPr>
              <w:t xml:space="preserve">0,5</w:t>
            </w:r>
          </w:p>
        </w:tc>
        <w:tc>
          <w:tcPr>
            <w:tcW w:w="1191" w:type="dxa"/>
          </w:tcPr>
          <w:p>
            <w:pPr>
              <w:pStyle w:val="0"/>
              <w:jc w:val="center"/>
            </w:pPr>
            <w:r>
              <w:rPr>
                <w:sz w:val="20"/>
              </w:rPr>
            </w:r>
          </w:p>
        </w:tc>
        <w:tc>
          <w:tcPr>
            <w:tcW w:w="1304" w:type="dxa"/>
          </w:tcPr>
          <w:p>
            <w:pPr>
              <w:pStyle w:val="0"/>
              <w:jc w:val="center"/>
            </w:pPr>
            <w:r>
              <w:rPr>
                <w:sz w:val="20"/>
              </w:rPr>
            </w:r>
          </w:p>
        </w:tc>
        <w:tc>
          <w:tcPr>
            <w:tcW w:w="850" w:type="dxa"/>
          </w:tcPr>
          <w:p>
            <w:pPr>
              <w:pStyle w:val="0"/>
              <w:jc w:val="center"/>
            </w:pPr>
            <w:r>
              <w:rPr>
                <w:sz w:val="20"/>
              </w:rPr>
              <w:t xml:space="preserve">0</w:t>
            </w:r>
          </w:p>
        </w:tc>
        <w:tc>
          <w:tcPr>
            <w:tcW w:w="850" w:type="dxa"/>
          </w:tcPr>
          <w:p>
            <w:pPr>
              <w:pStyle w:val="0"/>
              <w:jc w:val="center"/>
            </w:pPr>
            <w:r>
              <w:rPr>
                <w:sz w:val="20"/>
              </w:rPr>
              <w:t xml:space="preserve">0</w:t>
            </w:r>
          </w:p>
        </w:tc>
      </w:tr>
      <w:tr>
        <w:tc>
          <w:tcPr>
            <w:tcW w:w="2948" w:type="dxa"/>
          </w:tcPr>
          <w:p>
            <w:pPr>
              <w:pStyle w:val="0"/>
              <w:jc w:val="both"/>
            </w:pPr>
            <w:r>
              <w:rPr>
                <w:sz w:val="20"/>
              </w:rPr>
              <w:t xml:space="preserve">Севастопольский городской онкологический диспансер</w:t>
            </w:r>
          </w:p>
        </w:tc>
        <w:tc>
          <w:tcPr>
            <w:tcW w:w="825" w:type="dxa"/>
          </w:tcPr>
          <w:p>
            <w:pPr>
              <w:pStyle w:val="0"/>
              <w:jc w:val="center"/>
            </w:pPr>
            <w:r>
              <w:rPr>
                <w:sz w:val="20"/>
              </w:rPr>
              <w:t xml:space="preserve">2</w:t>
            </w:r>
          </w:p>
        </w:tc>
        <w:tc>
          <w:tcPr>
            <w:tcW w:w="907" w:type="dxa"/>
          </w:tcPr>
          <w:p>
            <w:pPr>
              <w:pStyle w:val="0"/>
              <w:jc w:val="center"/>
            </w:pPr>
            <w:r>
              <w:rPr>
                <w:sz w:val="20"/>
              </w:rPr>
              <w:t xml:space="preserve">3</w:t>
            </w:r>
          </w:p>
        </w:tc>
        <w:tc>
          <w:tcPr>
            <w:tcW w:w="794" w:type="dxa"/>
          </w:tcPr>
          <w:p>
            <w:pPr>
              <w:pStyle w:val="0"/>
              <w:jc w:val="center"/>
            </w:pPr>
            <w:r>
              <w:rPr>
                <w:sz w:val="20"/>
              </w:rPr>
              <w:t xml:space="preserve">2</w:t>
            </w:r>
          </w:p>
        </w:tc>
        <w:tc>
          <w:tcPr>
            <w:tcW w:w="850" w:type="dxa"/>
          </w:tcPr>
          <w:p>
            <w:pPr>
              <w:pStyle w:val="0"/>
              <w:jc w:val="center"/>
            </w:pPr>
            <w:r>
              <w:rPr>
                <w:sz w:val="20"/>
              </w:rPr>
              <w:t xml:space="preserve">3</w:t>
            </w:r>
          </w:p>
        </w:tc>
        <w:tc>
          <w:tcPr>
            <w:tcW w:w="1191" w:type="dxa"/>
          </w:tcPr>
          <w:p>
            <w:pPr>
              <w:pStyle w:val="0"/>
              <w:jc w:val="center"/>
            </w:pPr>
            <w:r>
              <w:rPr>
                <w:sz w:val="20"/>
              </w:rPr>
              <w:t xml:space="preserve">100</w:t>
            </w:r>
          </w:p>
        </w:tc>
        <w:tc>
          <w:tcPr>
            <w:tcW w:w="1304" w:type="dxa"/>
          </w:tcPr>
          <w:p>
            <w:pPr>
              <w:pStyle w:val="0"/>
              <w:jc w:val="center"/>
            </w:pPr>
            <w:r>
              <w:rPr>
                <w:sz w:val="20"/>
              </w:rPr>
              <w:t xml:space="preserve">100</w:t>
            </w:r>
          </w:p>
        </w:tc>
        <w:tc>
          <w:tcPr>
            <w:tcW w:w="850" w:type="dxa"/>
          </w:tcPr>
          <w:p>
            <w:pPr>
              <w:pStyle w:val="0"/>
              <w:jc w:val="center"/>
            </w:pPr>
            <w:r>
              <w:rPr>
                <w:sz w:val="20"/>
              </w:rPr>
              <w:t xml:space="preserve">2</w:t>
            </w:r>
          </w:p>
        </w:tc>
        <w:tc>
          <w:tcPr>
            <w:tcW w:w="850" w:type="dxa"/>
          </w:tcPr>
          <w:p>
            <w:pPr>
              <w:pStyle w:val="0"/>
              <w:jc w:val="center"/>
            </w:pPr>
            <w:r>
              <w:rPr>
                <w:sz w:val="20"/>
              </w:rPr>
              <w:t xml:space="preserve">3</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В городе Севастополе функционирует трехуровневая система оказания медицинской помощи взрослому населению при онкологических заболеваниях.</w:t>
      </w:r>
    </w:p>
    <w:p>
      <w:pPr>
        <w:pStyle w:val="0"/>
        <w:spacing w:before="200" w:line-rule="auto"/>
        <w:ind w:firstLine="540"/>
        <w:jc w:val="both"/>
      </w:pPr>
      <w:r>
        <w:rPr>
          <w:sz w:val="20"/>
        </w:rPr>
        <w:t xml:space="preserve">Первый уровень - поликлинические подразделения городских больниц N 1, 4 и 9, оказывающие первичную медико-санитарную помощь.</w:t>
      </w:r>
    </w:p>
    <w:p>
      <w:pPr>
        <w:pStyle w:val="0"/>
        <w:spacing w:before="200" w:line-rule="auto"/>
        <w:ind w:firstLine="540"/>
        <w:jc w:val="both"/>
      </w:pPr>
      <w:r>
        <w:rPr>
          <w:sz w:val="20"/>
        </w:rPr>
        <w:t xml:space="preserve">Первичная медико-санитарная помощь включает мероприятия по профилактике, диагностике и лечению онкологических заболеваний, а также медицинской реабилитации, формированию здорового образа жизни и санитарно-гигиеническому просвещению населения. Первичная доврачебная медико-санитарная помощь оказывается фельдшером (акушеркой), другими медицинскими работниками со средним медицинским образованием и включает мероприятия по профилактике, диагностике онкологических заболеваний, а также проведение мероприятий скрининга. Первичная врачебная медико-санитарной помощь оказывается врачами-терапевтами (врачами-терапевтами участковыми), врачами общей практики (семейными врачами) в отделениях (кабинетах) медицинской профилактики для взрослых, терапевтических, врача общей практики (семейного врача).</w:t>
      </w:r>
    </w:p>
    <w:p>
      <w:pPr>
        <w:pStyle w:val="0"/>
        <w:spacing w:before="200" w:line-rule="auto"/>
        <w:ind w:firstLine="540"/>
        <w:jc w:val="both"/>
      </w:pPr>
      <w:r>
        <w:rPr>
          <w:sz w:val="20"/>
        </w:rPr>
        <w:t xml:space="preserve">Первичный онкологический кабинет медицинской организации, центр амбулаторной онкологической помощи осуществляют следующие функции:</w:t>
      </w:r>
    </w:p>
    <w:p>
      <w:pPr>
        <w:pStyle w:val="0"/>
        <w:spacing w:before="200" w:line-rule="auto"/>
        <w:ind w:firstLine="540"/>
        <w:jc w:val="both"/>
      </w:pPr>
      <w:r>
        <w:rPr>
          <w:sz w:val="20"/>
        </w:rPr>
        <w:t xml:space="preserve">- оказание первичной специализированной медико-санитарной помощи взрослым пациентам с онкологическими заболеваниями или с подозрением на онкологические заболевания;</w:t>
      </w:r>
    </w:p>
    <w:p>
      <w:pPr>
        <w:pStyle w:val="0"/>
        <w:spacing w:before="200" w:line-rule="auto"/>
        <w:ind w:firstLine="540"/>
        <w:jc w:val="both"/>
      </w:pPr>
      <w:r>
        <w:rPr>
          <w:sz w:val="20"/>
        </w:rPr>
        <w:t xml:space="preserve">- оказание методической помощи по планированию и организации профилактической работы, в том числе в части раннего выявления онкологических заболеваний;</w:t>
      </w:r>
    </w:p>
    <w:p>
      <w:pPr>
        <w:pStyle w:val="0"/>
        <w:spacing w:before="200" w:line-rule="auto"/>
        <w:ind w:firstLine="540"/>
        <w:jc w:val="both"/>
      </w:pPr>
      <w:r>
        <w:rPr>
          <w:sz w:val="20"/>
        </w:rPr>
        <w:t xml:space="preserve">- диагностика онкологических заболеваний, включая установление распространенности онкологического процесса и стадии заболевания;</w:t>
      </w:r>
    </w:p>
    <w:p>
      <w:pPr>
        <w:pStyle w:val="0"/>
        <w:spacing w:before="200" w:line-rule="auto"/>
        <w:ind w:firstLine="540"/>
        <w:jc w:val="both"/>
      </w:pPr>
      <w:r>
        <w:rPr>
          <w:sz w:val="20"/>
        </w:rPr>
        <w:t xml:space="preserve">- направление пациентов с онкологическими заболеваниями в онкологический диспансер;</w:t>
      </w:r>
    </w:p>
    <w:p>
      <w:pPr>
        <w:pStyle w:val="0"/>
        <w:spacing w:before="200" w:line-rule="auto"/>
        <w:ind w:firstLine="540"/>
        <w:jc w:val="both"/>
      </w:pPr>
      <w:r>
        <w:rPr>
          <w:sz w:val="20"/>
        </w:rPr>
        <w:t xml:space="preserve">- проведение диспансерного наблюдения за пациентами с онкологическими и предопухолевыми заболеваниями;</w:t>
      </w:r>
    </w:p>
    <w:p>
      <w:pPr>
        <w:pStyle w:val="0"/>
        <w:spacing w:before="200" w:line-rule="auto"/>
        <w:ind w:firstLine="540"/>
        <w:jc w:val="both"/>
      </w:pPr>
      <w:r>
        <w:rPr>
          <w:sz w:val="20"/>
        </w:rPr>
        <w:t xml:space="preserve">- динамическое наблюдение за пациентами с онкологическими заболеваниями, получающими лекарственную противоопухолевую терапию, контроль лабораторных показателей, при развитии токсических реакций - своевременное направление пациентов в онкологический диспансер или медицинскую организацию, оказывающую медицинскую помощь пациентам с онкологическими заболеваниями.</w:t>
      </w:r>
    </w:p>
    <w:p>
      <w:pPr>
        <w:pStyle w:val="0"/>
        <w:spacing w:before="200" w:line-rule="auto"/>
        <w:ind w:firstLine="540"/>
        <w:jc w:val="both"/>
      </w:pPr>
      <w:r>
        <w:rPr>
          <w:sz w:val="20"/>
        </w:rPr>
        <w:t xml:space="preserve">Второй уровень - центр амбулаторной онкологической помощи, который осуществляет следующие функции:</w:t>
      </w:r>
    </w:p>
    <w:p>
      <w:pPr>
        <w:pStyle w:val="0"/>
        <w:spacing w:before="200" w:line-rule="auto"/>
        <w:ind w:firstLine="540"/>
        <w:jc w:val="both"/>
      </w:pPr>
      <w:r>
        <w:rPr>
          <w:sz w:val="20"/>
        </w:rPr>
        <w:t xml:space="preserve">- оказание специализированной медицинской помощи взрослым пациентам с онкологическими заболеваниями или с подозрением на онкологические заболевания;</w:t>
      </w:r>
    </w:p>
    <w:p>
      <w:pPr>
        <w:pStyle w:val="0"/>
        <w:spacing w:before="200" w:line-rule="auto"/>
        <w:ind w:firstLine="540"/>
        <w:jc w:val="both"/>
      </w:pPr>
      <w:r>
        <w:rPr>
          <w:sz w:val="20"/>
        </w:rPr>
        <w:t xml:space="preserve">- лечение пациентов с онкологическими заболеваниями, в том числе проведение противоопухолевой лекарственной терапии в соответствии с решением консилиума врачей.</w:t>
      </w:r>
    </w:p>
    <w:p>
      <w:pPr>
        <w:pStyle w:val="0"/>
        <w:spacing w:before="200" w:line-rule="auto"/>
        <w:ind w:firstLine="540"/>
        <w:jc w:val="both"/>
      </w:pPr>
      <w:r>
        <w:rPr>
          <w:sz w:val="20"/>
        </w:rPr>
        <w:t xml:space="preserve">Третий уровень - ГБУЗС "Севастопольский городской онкологический диспансер имени А.А. Задорожного", осуществляющее оказание специализированной, в том числе высокотехнологичной, медицинской помощи. Диспансер осуществляет следующие функции:</w:t>
      </w:r>
    </w:p>
    <w:p>
      <w:pPr>
        <w:pStyle w:val="0"/>
        <w:spacing w:before="200" w:line-rule="auto"/>
        <w:ind w:firstLine="540"/>
        <w:jc w:val="both"/>
      </w:pPr>
      <w:r>
        <w:rPr>
          <w:sz w:val="20"/>
        </w:rPr>
        <w:t xml:space="preserve">- оказание специализированной, в том числе высокотехнологичной, медицинской помощи пациентам с онкологическими заболеваниями;</w:t>
      </w:r>
    </w:p>
    <w:p>
      <w:pPr>
        <w:pStyle w:val="0"/>
        <w:spacing w:before="200" w:line-rule="auto"/>
        <w:ind w:firstLine="540"/>
        <w:jc w:val="both"/>
      </w:pPr>
      <w:r>
        <w:rPr>
          <w:sz w:val="20"/>
        </w:rPr>
        <w:t xml:space="preserve">- разработка и организационно-методическое обеспечение мероприятий, направленных на совершенствование профилактики и методов раннего выявления онкологических и предопухолевых заболеваний;</w:t>
      </w:r>
    </w:p>
    <w:p>
      <w:pPr>
        <w:pStyle w:val="0"/>
        <w:spacing w:before="200" w:line-rule="auto"/>
        <w:ind w:firstLine="540"/>
        <w:jc w:val="both"/>
      </w:pPr>
      <w:r>
        <w:rPr>
          <w:sz w:val="20"/>
        </w:rPr>
        <w:t xml:space="preserve">- методическое руководство и консультативная помощь врачам-специалистам медицинских организаций по вопросам проведения диспансеризации и профилактических медицинских осмотров пациентов с предопухолевыми и хроническими заболеваниями;</w:t>
      </w:r>
    </w:p>
    <w:p>
      <w:pPr>
        <w:pStyle w:val="0"/>
        <w:spacing w:before="200" w:line-rule="auto"/>
        <w:ind w:firstLine="540"/>
        <w:jc w:val="both"/>
      </w:pPr>
      <w:r>
        <w:rPr>
          <w:sz w:val="20"/>
        </w:rPr>
        <w:t xml:space="preserve">- проведение мероприятий по повышению настороженности врачей и других медицинских работников медицинских организаций в части раннего выявления онкологических заболеваний;</w:t>
      </w:r>
    </w:p>
    <w:p>
      <w:pPr>
        <w:pStyle w:val="0"/>
        <w:spacing w:before="200" w:line-rule="auto"/>
        <w:ind w:firstLine="540"/>
        <w:jc w:val="both"/>
      </w:pPr>
      <w:r>
        <w:rPr>
          <w:sz w:val="20"/>
        </w:rPr>
        <w:t xml:space="preserve">- проведение диспансерного наблюдения за пациентами с онкологическими и предопухолевыми заболеваниями в течение первого года после радикального лечения;</w:t>
      </w:r>
    </w:p>
    <w:p>
      <w:pPr>
        <w:pStyle w:val="0"/>
        <w:spacing w:before="200" w:line-rule="auto"/>
        <w:ind w:firstLine="540"/>
        <w:jc w:val="both"/>
      </w:pPr>
      <w:r>
        <w:rPr>
          <w:sz w:val="20"/>
        </w:rPr>
        <w:t xml:space="preserve">- направление пациентов с онкологическими заболеваниями при наличии медицинских показаний для оказания паллиативной медицинской помощи в стационарных условиях;</w:t>
      </w:r>
    </w:p>
    <w:p>
      <w:pPr>
        <w:pStyle w:val="0"/>
        <w:spacing w:before="200" w:line-rule="auto"/>
        <w:ind w:firstLine="540"/>
        <w:jc w:val="both"/>
      </w:pPr>
      <w:r>
        <w:rPr>
          <w:sz w:val="20"/>
        </w:rPr>
        <w:t xml:space="preserve">- анализ состояния медицинской помощи, оказываемой пациентам с онкологическими заболеваниями, эффективности и качества профилактических мероприятий, диагностики;</w:t>
      </w:r>
    </w:p>
    <w:p>
      <w:pPr>
        <w:pStyle w:val="0"/>
        <w:spacing w:before="200" w:line-rule="auto"/>
        <w:ind w:firstLine="540"/>
        <w:jc w:val="both"/>
      </w:pPr>
      <w:r>
        <w:rPr>
          <w:sz w:val="20"/>
        </w:rPr>
        <w:t xml:space="preserve">- изучение и внедрение в практику современных лечебно-диагностических технологий;</w:t>
      </w:r>
    </w:p>
    <w:p>
      <w:pPr>
        <w:pStyle w:val="0"/>
        <w:spacing w:before="200" w:line-rule="auto"/>
        <w:ind w:firstLine="540"/>
        <w:jc w:val="both"/>
      </w:pPr>
      <w:r>
        <w:rPr>
          <w:sz w:val="20"/>
        </w:rPr>
        <w:t xml:space="preserve">- участие в организации и проведении научно-практических мероприятий;</w:t>
      </w:r>
    </w:p>
    <w:p>
      <w:pPr>
        <w:pStyle w:val="0"/>
        <w:spacing w:before="200" w:line-rule="auto"/>
        <w:ind w:firstLine="540"/>
        <w:jc w:val="both"/>
      </w:pPr>
      <w:r>
        <w:rPr>
          <w:sz w:val="20"/>
        </w:rPr>
        <w:t xml:space="preserve">- представление установленной законодательством отчетности.</w:t>
      </w:r>
    </w:p>
    <w:p>
      <w:pPr>
        <w:pStyle w:val="0"/>
        <w:jc w:val="right"/>
      </w:pPr>
      <w:r>
        <w:rPr>
          <w:sz w:val="20"/>
        </w:rPr>
      </w:r>
    </w:p>
    <w:p>
      <w:pPr>
        <w:pStyle w:val="0"/>
        <w:jc w:val="right"/>
      </w:pPr>
      <w:r>
        <w:rPr>
          <w:sz w:val="20"/>
        </w:rPr>
        <w:t xml:space="preserve">Таблица N 24</w:t>
      </w:r>
    </w:p>
    <w:p>
      <w:pPr>
        <w:pStyle w:val="0"/>
        <w:jc w:val="right"/>
      </w:pPr>
      <w:r>
        <w:rPr>
          <w:sz w:val="20"/>
        </w:rPr>
      </w:r>
    </w:p>
    <w:p>
      <w:pPr>
        <w:pStyle w:val="0"/>
        <w:jc w:val="center"/>
      </w:pPr>
      <w:r>
        <w:rPr>
          <w:sz w:val="20"/>
        </w:rPr>
        <w:t xml:space="preserve">Информация о первичных онкологических кабинетах</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62"/>
        <w:gridCol w:w="1587"/>
        <w:gridCol w:w="1077"/>
        <w:gridCol w:w="1531"/>
        <w:gridCol w:w="1531"/>
        <w:gridCol w:w="1644"/>
      </w:tblGrid>
      <w:tr>
        <w:tc>
          <w:tcPr>
            <w:tcW w:w="2462" w:type="dxa"/>
          </w:tcPr>
          <w:p>
            <w:pPr>
              <w:pStyle w:val="0"/>
              <w:jc w:val="center"/>
            </w:pPr>
            <w:r>
              <w:rPr>
                <w:sz w:val="20"/>
              </w:rPr>
            </w:r>
          </w:p>
        </w:tc>
        <w:tc>
          <w:tcPr>
            <w:tcW w:w="1587" w:type="dxa"/>
          </w:tcPr>
          <w:p>
            <w:pPr>
              <w:pStyle w:val="0"/>
              <w:jc w:val="center"/>
            </w:pPr>
            <w:r>
              <w:rPr>
                <w:sz w:val="20"/>
              </w:rPr>
              <w:t xml:space="preserve">Кол-во прикрепленного взрослого населения</w:t>
            </w:r>
          </w:p>
        </w:tc>
        <w:tc>
          <w:tcPr>
            <w:tcW w:w="1077" w:type="dxa"/>
          </w:tcPr>
          <w:p>
            <w:pPr>
              <w:pStyle w:val="0"/>
              <w:jc w:val="center"/>
            </w:pPr>
            <w:r>
              <w:rPr>
                <w:sz w:val="20"/>
              </w:rPr>
              <w:t xml:space="preserve">Кол-во ставок согласно приказу N 116</w:t>
            </w:r>
          </w:p>
        </w:tc>
        <w:tc>
          <w:tcPr>
            <w:tcW w:w="1531" w:type="dxa"/>
          </w:tcPr>
          <w:p>
            <w:pPr>
              <w:pStyle w:val="0"/>
              <w:jc w:val="center"/>
            </w:pPr>
            <w:r>
              <w:rPr>
                <w:sz w:val="20"/>
              </w:rPr>
              <w:t xml:space="preserve">Введено по штатному расписанию</w:t>
            </w:r>
          </w:p>
        </w:tc>
        <w:tc>
          <w:tcPr>
            <w:tcW w:w="1531" w:type="dxa"/>
          </w:tcPr>
          <w:p>
            <w:pPr>
              <w:pStyle w:val="0"/>
              <w:jc w:val="center"/>
            </w:pPr>
            <w:r>
              <w:rPr>
                <w:sz w:val="20"/>
              </w:rPr>
              <w:t xml:space="preserve">Занято на 01.01.2023/физических лиц</w:t>
            </w:r>
          </w:p>
        </w:tc>
        <w:tc>
          <w:tcPr>
            <w:tcW w:w="1644" w:type="dxa"/>
          </w:tcPr>
          <w:p>
            <w:pPr>
              <w:pStyle w:val="0"/>
              <w:jc w:val="center"/>
            </w:pPr>
            <w:r>
              <w:rPr>
                <w:sz w:val="20"/>
              </w:rPr>
              <w:t xml:space="preserve">Дефицит специалистов - врачей-онкологов</w:t>
            </w:r>
          </w:p>
        </w:tc>
      </w:tr>
      <w:tr>
        <w:tc>
          <w:tcPr>
            <w:tcW w:w="2462" w:type="dxa"/>
          </w:tcPr>
          <w:p>
            <w:pPr>
              <w:pStyle w:val="0"/>
              <w:jc w:val="both"/>
            </w:pPr>
            <w:r>
              <w:rPr>
                <w:sz w:val="20"/>
              </w:rPr>
              <w:t xml:space="preserve">ГБУЗС "Городская больница N 1 им. Н.И. Пирогова"</w:t>
            </w:r>
          </w:p>
        </w:tc>
        <w:tc>
          <w:tcPr>
            <w:tcW w:w="1587" w:type="dxa"/>
          </w:tcPr>
          <w:p>
            <w:pPr>
              <w:pStyle w:val="0"/>
              <w:jc w:val="center"/>
            </w:pPr>
            <w:r>
              <w:rPr>
                <w:sz w:val="20"/>
              </w:rPr>
              <w:t xml:space="preserve">312416</w:t>
            </w:r>
          </w:p>
        </w:tc>
        <w:tc>
          <w:tcPr>
            <w:tcW w:w="1077" w:type="dxa"/>
          </w:tcPr>
          <w:p>
            <w:pPr>
              <w:pStyle w:val="0"/>
              <w:jc w:val="center"/>
            </w:pPr>
            <w:r>
              <w:rPr>
                <w:sz w:val="20"/>
              </w:rPr>
              <w:t xml:space="preserve">10,5</w:t>
            </w:r>
          </w:p>
        </w:tc>
        <w:tc>
          <w:tcPr>
            <w:tcW w:w="1531" w:type="dxa"/>
          </w:tcPr>
          <w:p>
            <w:pPr>
              <w:pStyle w:val="0"/>
              <w:jc w:val="center"/>
            </w:pPr>
            <w:r>
              <w:rPr>
                <w:sz w:val="20"/>
              </w:rPr>
              <w:t xml:space="preserve">8,25</w:t>
            </w:r>
          </w:p>
        </w:tc>
        <w:tc>
          <w:tcPr>
            <w:tcW w:w="1531" w:type="dxa"/>
          </w:tcPr>
          <w:p>
            <w:pPr>
              <w:pStyle w:val="0"/>
              <w:jc w:val="center"/>
            </w:pPr>
            <w:r>
              <w:rPr>
                <w:sz w:val="20"/>
              </w:rPr>
              <w:t xml:space="preserve">4,0/3</w:t>
            </w:r>
          </w:p>
        </w:tc>
        <w:tc>
          <w:tcPr>
            <w:tcW w:w="1644" w:type="dxa"/>
          </w:tcPr>
          <w:p>
            <w:pPr>
              <w:pStyle w:val="0"/>
              <w:jc w:val="center"/>
            </w:pPr>
            <w:r>
              <w:rPr>
                <w:sz w:val="20"/>
              </w:rPr>
              <w:t xml:space="preserve">7</w:t>
            </w:r>
          </w:p>
        </w:tc>
      </w:tr>
      <w:tr>
        <w:tc>
          <w:tcPr>
            <w:tcW w:w="2462" w:type="dxa"/>
          </w:tcPr>
          <w:p>
            <w:pPr>
              <w:pStyle w:val="0"/>
              <w:jc w:val="both"/>
            </w:pPr>
            <w:r>
              <w:rPr>
                <w:sz w:val="20"/>
              </w:rPr>
              <w:t xml:space="preserve">ГБУЗС "Городская больница N 4"</w:t>
            </w:r>
          </w:p>
        </w:tc>
        <w:tc>
          <w:tcPr>
            <w:tcW w:w="1587" w:type="dxa"/>
          </w:tcPr>
          <w:p>
            <w:pPr>
              <w:pStyle w:val="0"/>
              <w:jc w:val="center"/>
            </w:pPr>
            <w:r>
              <w:rPr>
                <w:sz w:val="20"/>
              </w:rPr>
              <w:t xml:space="preserve">49332</w:t>
            </w:r>
          </w:p>
        </w:tc>
        <w:tc>
          <w:tcPr>
            <w:tcW w:w="1077" w:type="dxa"/>
          </w:tcPr>
          <w:p>
            <w:pPr>
              <w:pStyle w:val="0"/>
              <w:jc w:val="center"/>
            </w:pPr>
            <w:r>
              <w:rPr>
                <w:sz w:val="20"/>
              </w:rPr>
              <w:t xml:space="preserve">1,5</w:t>
            </w:r>
          </w:p>
        </w:tc>
        <w:tc>
          <w:tcPr>
            <w:tcW w:w="1531" w:type="dxa"/>
          </w:tcPr>
          <w:p>
            <w:pPr>
              <w:pStyle w:val="0"/>
              <w:jc w:val="center"/>
            </w:pPr>
            <w:r>
              <w:rPr>
                <w:sz w:val="20"/>
              </w:rPr>
              <w:t xml:space="preserve">1,75</w:t>
            </w:r>
          </w:p>
        </w:tc>
        <w:tc>
          <w:tcPr>
            <w:tcW w:w="1531" w:type="dxa"/>
          </w:tcPr>
          <w:p>
            <w:pPr>
              <w:pStyle w:val="0"/>
              <w:jc w:val="center"/>
            </w:pPr>
            <w:r>
              <w:rPr>
                <w:sz w:val="20"/>
              </w:rPr>
              <w:t xml:space="preserve">1,5/1</w:t>
            </w:r>
          </w:p>
        </w:tc>
        <w:tc>
          <w:tcPr>
            <w:tcW w:w="1644" w:type="dxa"/>
          </w:tcPr>
          <w:p>
            <w:pPr>
              <w:pStyle w:val="0"/>
              <w:jc w:val="center"/>
            </w:pPr>
            <w:r>
              <w:rPr>
                <w:sz w:val="20"/>
              </w:rPr>
              <w:t xml:space="preserve">-</w:t>
            </w:r>
          </w:p>
        </w:tc>
      </w:tr>
      <w:tr>
        <w:tc>
          <w:tcPr>
            <w:tcW w:w="2462" w:type="dxa"/>
          </w:tcPr>
          <w:p>
            <w:pPr>
              <w:pStyle w:val="0"/>
              <w:jc w:val="both"/>
            </w:pPr>
            <w:r>
              <w:rPr>
                <w:sz w:val="20"/>
              </w:rPr>
              <w:t xml:space="preserve">ГБУЗС "Городская больница N 9"</w:t>
            </w:r>
          </w:p>
        </w:tc>
        <w:tc>
          <w:tcPr>
            <w:tcW w:w="1587" w:type="dxa"/>
          </w:tcPr>
          <w:p>
            <w:pPr>
              <w:pStyle w:val="0"/>
              <w:jc w:val="center"/>
            </w:pPr>
            <w:r>
              <w:rPr>
                <w:sz w:val="20"/>
              </w:rPr>
              <w:t xml:space="preserve">56962</w:t>
            </w:r>
          </w:p>
        </w:tc>
        <w:tc>
          <w:tcPr>
            <w:tcW w:w="1077" w:type="dxa"/>
          </w:tcPr>
          <w:p>
            <w:pPr>
              <w:pStyle w:val="0"/>
              <w:jc w:val="center"/>
            </w:pPr>
            <w:r>
              <w:rPr>
                <w:sz w:val="20"/>
              </w:rPr>
              <w:t xml:space="preserve">2,0</w:t>
            </w:r>
          </w:p>
        </w:tc>
        <w:tc>
          <w:tcPr>
            <w:tcW w:w="1531" w:type="dxa"/>
          </w:tcPr>
          <w:p>
            <w:pPr>
              <w:pStyle w:val="0"/>
              <w:jc w:val="center"/>
            </w:pPr>
            <w:r>
              <w:rPr>
                <w:sz w:val="20"/>
              </w:rPr>
              <w:t xml:space="preserve">1,5</w:t>
            </w:r>
          </w:p>
        </w:tc>
        <w:tc>
          <w:tcPr>
            <w:tcW w:w="1531" w:type="dxa"/>
          </w:tcPr>
          <w:p>
            <w:pPr>
              <w:pStyle w:val="0"/>
              <w:jc w:val="center"/>
            </w:pPr>
            <w:r>
              <w:rPr>
                <w:sz w:val="20"/>
              </w:rPr>
              <w:t xml:space="preserve">1,25/1</w:t>
            </w:r>
          </w:p>
        </w:tc>
        <w:tc>
          <w:tcPr>
            <w:tcW w:w="1644" w:type="dxa"/>
          </w:tcPr>
          <w:p>
            <w:pPr>
              <w:pStyle w:val="0"/>
              <w:jc w:val="center"/>
            </w:pPr>
            <w:r>
              <w:rPr>
                <w:sz w:val="20"/>
              </w:rPr>
              <w:t xml:space="preserve">-</w:t>
            </w:r>
          </w:p>
        </w:tc>
      </w:tr>
      <w:tr>
        <w:tc>
          <w:tcPr>
            <w:tcW w:w="2462" w:type="dxa"/>
          </w:tcPr>
          <w:p>
            <w:pPr>
              <w:pStyle w:val="0"/>
              <w:jc w:val="both"/>
            </w:pPr>
            <w:r>
              <w:rPr>
                <w:sz w:val="20"/>
              </w:rPr>
              <w:t xml:space="preserve">Город Севастополь</w:t>
            </w:r>
          </w:p>
        </w:tc>
        <w:tc>
          <w:tcPr>
            <w:tcW w:w="1587" w:type="dxa"/>
          </w:tcPr>
          <w:p>
            <w:pPr>
              <w:pStyle w:val="0"/>
              <w:jc w:val="center"/>
            </w:pPr>
            <w:r>
              <w:rPr>
                <w:sz w:val="20"/>
              </w:rPr>
              <w:t xml:space="preserve">418710</w:t>
            </w:r>
          </w:p>
        </w:tc>
        <w:tc>
          <w:tcPr>
            <w:tcW w:w="1077" w:type="dxa"/>
          </w:tcPr>
          <w:p>
            <w:pPr>
              <w:pStyle w:val="0"/>
              <w:jc w:val="center"/>
            </w:pPr>
            <w:r>
              <w:rPr>
                <w:sz w:val="20"/>
              </w:rPr>
              <w:t xml:space="preserve">14,0</w:t>
            </w:r>
          </w:p>
        </w:tc>
        <w:tc>
          <w:tcPr>
            <w:tcW w:w="1531" w:type="dxa"/>
          </w:tcPr>
          <w:p>
            <w:pPr>
              <w:pStyle w:val="0"/>
              <w:jc w:val="center"/>
            </w:pPr>
            <w:r>
              <w:rPr>
                <w:sz w:val="20"/>
              </w:rPr>
              <w:t xml:space="preserve">11,5</w:t>
            </w:r>
          </w:p>
        </w:tc>
        <w:tc>
          <w:tcPr>
            <w:tcW w:w="1531" w:type="dxa"/>
          </w:tcPr>
          <w:p>
            <w:pPr>
              <w:pStyle w:val="0"/>
              <w:jc w:val="center"/>
            </w:pPr>
            <w:r>
              <w:rPr>
                <w:sz w:val="20"/>
              </w:rPr>
              <w:t xml:space="preserve">6,75/5</w:t>
            </w:r>
          </w:p>
        </w:tc>
        <w:tc>
          <w:tcPr>
            <w:tcW w:w="1644" w:type="dxa"/>
          </w:tcPr>
          <w:p>
            <w:pPr>
              <w:pStyle w:val="0"/>
              <w:jc w:val="center"/>
            </w:pPr>
            <w:r>
              <w:rPr>
                <w:sz w:val="20"/>
              </w:rPr>
              <w:t xml:space="preserve">7</w:t>
            </w:r>
          </w:p>
        </w:tc>
      </w:tr>
    </w:tbl>
    <w:p>
      <w:pPr>
        <w:pStyle w:val="0"/>
        <w:ind w:firstLine="540"/>
        <w:jc w:val="both"/>
      </w:pPr>
      <w:r>
        <w:rPr>
          <w:sz w:val="20"/>
        </w:rPr>
      </w:r>
    </w:p>
    <w:p>
      <w:pPr>
        <w:pStyle w:val="0"/>
        <w:jc w:val="right"/>
      </w:pPr>
      <w:r>
        <w:rPr>
          <w:sz w:val="20"/>
        </w:rPr>
        <w:t xml:space="preserve">Таблица N 25</w:t>
      </w:r>
    </w:p>
    <w:p>
      <w:pPr>
        <w:pStyle w:val="0"/>
        <w:ind w:firstLine="540"/>
        <w:jc w:val="both"/>
      </w:pPr>
      <w:r>
        <w:rPr>
          <w:sz w:val="20"/>
        </w:rPr>
      </w:r>
    </w:p>
    <w:p>
      <w:pPr>
        <w:pStyle w:val="0"/>
        <w:jc w:val="center"/>
      </w:pPr>
      <w:hyperlink w:history="0" w:anchor="P26560" w:tooltip="Информация об организации первичных онкологических">
        <w:r>
          <w:rPr>
            <w:sz w:val="20"/>
            <w:color w:val="0000ff"/>
          </w:rPr>
          <w:t xml:space="preserve">Информация</w:t>
        </w:r>
      </w:hyperlink>
      <w:r>
        <w:rPr>
          <w:sz w:val="20"/>
        </w:rPr>
        <w:t xml:space="preserve"> об организации первичных онкологических</w:t>
      </w:r>
    </w:p>
    <w:p>
      <w:pPr>
        <w:pStyle w:val="0"/>
        <w:jc w:val="center"/>
      </w:pPr>
      <w:r>
        <w:rPr>
          <w:sz w:val="20"/>
        </w:rPr>
        <w:t xml:space="preserve">кабинетов/отделений и центров амбулаторной</w:t>
      </w:r>
    </w:p>
    <w:p>
      <w:pPr>
        <w:pStyle w:val="0"/>
        <w:jc w:val="center"/>
      </w:pPr>
      <w:r>
        <w:rPr>
          <w:sz w:val="20"/>
        </w:rPr>
        <w:t xml:space="preserve">онкологической помощи</w:t>
      </w:r>
    </w:p>
    <w:p>
      <w:pPr>
        <w:pStyle w:val="0"/>
        <w:jc w:val="center"/>
      </w:pPr>
      <w:r>
        <w:rPr>
          <w:sz w:val="20"/>
        </w:rPr>
        <w:t xml:space="preserve">(см. в приложении N 1 к данной программе)</w:t>
      </w:r>
    </w:p>
    <w:p>
      <w:pPr>
        <w:pStyle w:val="0"/>
        <w:ind w:firstLine="540"/>
        <w:jc w:val="both"/>
      </w:pPr>
      <w:r>
        <w:rPr>
          <w:sz w:val="20"/>
        </w:rPr>
      </w:r>
    </w:p>
    <w:p>
      <w:pPr>
        <w:pStyle w:val="0"/>
        <w:jc w:val="right"/>
      </w:pPr>
      <w:r>
        <w:rPr>
          <w:sz w:val="20"/>
        </w:rPr>
        <w:t xml:space="preserve">Таблица N 26</w:t>
      </w:r>
    </w:p>
    <w:p>
      <w:pPr>
        <w:pStyle w:val="0"/>
        <w:jc w:val="right"/>
      </w:pPr>
      <w:r>
        <w:rPr>
          <w:sz w:val="20"/>
        </w:rPr>
      </w:r>
    </w:p>
    <w:p>
      <w:pPr>
        <w:pStyle w:val="0"/>
        <w:jc w:val="center"/>
      </w:pPr>
      <w:hyperlink w:history="0" w:anchor="P26647" w:tooltip="Перечень диагностического медицинского оборудования,">
        <w:r>
          <w:rPr>
            <w:sz w:val="20"/>
            <w:color w:val="0000ff"/>
          </w:rPr>
          <w:t xml:space="preserve">Перечень</w:t>
        </w:r>
      </w:hyperlink>
      <w:r>
        <w:rPr>
          <w:sz w:val="20"/>
        </w:rPr>
        <w:t xml:space="preserve"> диагностического медицинского оборудования,</w:t>
      </w:r>
    </w:p>
    <w:p>
      <w:pPr>
        <w:pStyle w:val="0"/>
        <w:jc w:val="center"/>
      </w:pPr>
      <w:r>
        <w:rPr>
          <w:sz w:val="20"/>
        </w:rPr>
        <w:t xml:space="preserve">задействованного в оказании медицинской помощи пациентам</w:t>
      </w:r>
    </w:p>
    <w:p>
      <w:pPr>
        <w:pStyle w:val="0"/>
        <w:jc w:val="center"/>
      </w:pPr>
      <w:r>
        <w:rPr>
          <w:sz w:val="20"/>
        </w:rPr>
        <w:t xml:space="preserve">с подозрением, а также с подтвержденным диагнозом</w:t>
      </w:r>
    </w:p>
    <w:p>
      <w:pPr>
        <w:pStyle w:val="0"/>
        <w:jc w:val="center"/>
      </w:pPr>
      <w:r>
        <w:rPr>
          <w:sz w:val="20"/>
        </w:rPr>
        <w:t xml:space="preserve">онкологического заболевания</w:t>
      </w:r>
    </w:p>
    <w:p>
      <w:pPr>
        <w:pStyle w:val="0"/>
        <w:jc w:val="center"/>
      </w:pPr>
      <w:r>
        <w:rPr>
          <w:sz w:val="20"/>
        </w:rPr>
        <w:t xml:space="preserve">(см. в приложении N 2 к данной программе)</w:t>
      </w:r>
    </w:p>
    <w:p>
      <w:pPr>
        <w:pStyle w:val="0"/>
        <w:jc w:val="right"/>
      </w:pPr>
      <w:r>
        <w:rPr>
          <w:sz w:val="20"/>
        </w:rPr>
      </w:r>
    </w:p>
    <w:p>
      <w:pPr>
        <w:pStyle w:val="0"/>
        <w:jc w:val="right"/>
      </w:pPr>
      <w:r>
        <w:rPr>
          <w:sz w:val="20"/>
        </w:rPr>
        <w:t xml:space="preserve">Таблица N 27</w:t>
      </w:r>
    </w:p>
    <w:p>
      <w:pPr>
        <w:pStyle w:val="0"/>
        <w:jc w:val="right"/>
      </w:pPr>
      <w:r>
        <w:rPr>
          <w:sz w:val="20"/>
        </w:rPr>
      </w:r>
    </w:p>
    <w:bookmarkStart w:id="25509" w:name="P25509"/>
    <w:bookmarkEnd w:id="25509"/>
    <w:p>
      <w:pPr>
        <w:pStyle w:val="0"/>
        <w:jc w:val="center"/>
      </w:pPr>
      <w:r>
        <w:rPr>
          <w:sz w:val="20"/>
        </w:rPr>
        <w:t xml:space="preserve">Количество коек круглосуточного стационара для оказания</w:t>
      </w:r>
    </w:p>
    <w:p>
      <w:pPr>
        <w:pStyle w:val="0"/>
        <w:jc w:val="center"/>
      </w:pPr>
      <w:r>
        <w:rPr>
          <w:sz w:val="20"/>
        </w:rPr>
        <w:t xml:space="preserve">помощи пациентам с онкологическими заболеваниями</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2948"/>
        <w:gridCol w:w="2267"/>
        <w:gridCol w:w="1587"/>
        <w:gridCol w:w="1644"/>
      </w:tblGrid>
      <w:tr>
        <w:tc>
          <w:tcPr>
            <w:tcW w:w="624" w:type="dxa"/>
          </w:tcPr>
          <w:p>
            <w:pPr>
              <w:pStyle w:val="0"/>
              <w:jc w:val="center"/>
            </w:pPr>
            <w:r>
              <w:rPr>
                <w:sz w:val="20"/>
              </w:rPr>
              <w:t xml:space="preserve">N п/п</w:t>
            </w:r>
          </w:p>
        </w:tc>
        <w:tc>
          <w:tcPr>
            <w:tcW w:w="2948" w:type="dxa"/>
          </w:tcPr>
          <w:p>
            <w:pPr>
              <w:pStyle w:val="0"/>
              <w:jc w:val="center"/>
            </w:pPr>
            <w:r>
              <w:rPr>
                <w:sz w:val="20"/>
              </w:rPr>
              <w:t xml:space="preserve">Наименование медицинской организации</w:t>
            </w:r>
          </w:p>
        </w:tc>
        <w:tc>
          <w:tcPr>
            <w:tcW w:w="2267" w:type="dxa"/>
          </w:tcPr>
          <w:p>
            <w:pPr>
              <w:pStyle w:val="0"/>
              <w:jc w:val="center"/>
            </w:pPr>
            <w:r>
              <w:rPr>
                <w:sz w:val="20"/>
              </w:rPr>
              <w:t xml:space="preserve">Койки по профилю "онкология"</w:t>
            </w:r>
          </w:p>
        </w:tc>
        <w:tc>
          <w:tcPr>
            <w:tcW w:w="1587" w:type="dxa"/>
          </w:tcPr>
          <w:p>
            <w:pPr>
              <w:pStyle w:val="0"/>
              <w:jc w:val="center"/>
            </w:pPr>
            <w:r>
              <w:rPr>
                <w:sz w:val="20"/>
              </w:rPr>
              <w:t xml:space="preserve">Койки по профилю "радиология"</w:t>
            </w:r>
          </w:p>
        </w:tc>
        <w:tc>
          <w:tcPr>
            <w:tcW w:w="1644" w:type="dxa"/>
          </w:tcPr>
          <w:p>
            <w:pPr>
              <w:pStyle w:val="0"/>
              <w:jc w:val="center"/>
            </w:pPr>
            <w:r>
              <w:rPr>
                <w:sz w:val="20"/>
              </w:rPr>
              <w:t xml:space="preserve">Койки по профилю "гематология"</w:t>
            </w:r>
          </w:p>
        </w:tc>
      </w:tr>
      <w:tr>
        <w:tc>
          <w:tcPr>
            <w:tcW w:w="624" w:type="dxa"/>
          </w:tcPr>
          <w:p>
            <w:pPr>
              <w:pStyle w:val="0"/>
              <w:jc w:val="both"/>
            </w:pPr>
            <w:r>
              <w:rPr>
                <w:sz w:val="20"/>
              </w:rPr>
              <w:t xml:space="preserve">1</w:t>
            </w:r>
          </w:p>
        </w:tc>
        <w:tc>
          <w:tcPr>
            <w:tcW w:w="2948" w:type="dxa"/>
          </w:tcPr>
          <w:p>
            <w:pPr>
              <w:pStyle w:val="0"/>
              <w:jc w:val="both"/>
            </w:pPr>
            <w:r>
              <w:rPr>
                <w:sz w:val="20"/>
              </w:rPr>
              <w:t xml:space="preserve">ГБУЗС "Севастопольский городской онкологический диспансер имени А.А. Задорожного"</w:t>
            </w:r>
          </w:p>
        </w:tc>
        <w:tc>
          <w:tcPr>
            <w:tcW w:w="2267" w:type="dxa"/>
          </w:tcPr>
          <w:p>
            <w:pPr>
              <w:pStyle w:val="0"/>
              <w:jc w:val="center"/>
            </w:pPr>
            <w:r>
              <w:rPr>
                <w:sz w:val="20"/>
              </w:rPr>
              <w:t xml:space="preserve">63</w:t>
            </w:r>
          </w:p>
        </w:tc>
        <w:tc>
          <w:tcPr>
            <w:tcW w:w="1587" w:type="dxa"/>
          </w:tcPr>
          <w:p>
            <w:pPr>
              <w:pStyle w:val="0"/>
              <w:jc w:val="center"/>
            </w:pPr>
            <w:r>
              <w:rPr>
                <w:sz w:val="20"/>
              </w:rPr>
              <w:t xml:space="preserve">5</w:t>
            </w:r>
          </w:p>
        </w:tc>
        <w:tc>
          <w:tcPr>
            <w:tcW w:w="1644" w:type="dxa"/>
          </w:tcPr>
          <w:p>
            <w:pPr>
              <w:pStyle w:val="0"/>
              <w:jc w:val="center"/>
            </w:pPr>
            <w:r>
              <w:rPr>
                <w:sz w:val="20"/>
              </w:rPr>
              <w:t xml:space="preserve">3</w:t>
            </w:r>
          </w:p>
        </w:tc>
      </w:tr>
      <w:tr>
        <w:tc>
          <w:tcPr>
            <w:tcW w:w="624" w:type="dxa"/>
          </w:tcPr>
          <w:p>
            <w:pPr>
              <w:pStyle w:val="0"/>
              <w:jc w:val="both"/>
            </w:pPr>
            <w:r>
              <w:rPr>
                <w:sz w:val="20"/>
              </w:rPr>
              <w:t xml:space="preserve">2</w:t>
            </w:r>
          </w:p>
        </w:tc>
        <w:tc>
          <w:tcPr>
            <w:tcW w:w="2948" w:type="dxa"/>
          </w:tcPr>
          <w:p>
            <w:pPr>
              <w:pStyle w:val="0"/>
              <w:jc w:val="both"/>
            </w:pPr>
            <w:r>
              <w:rPr>
                <w:sz w:val="20"/>
              </w:rPr>
              <w:t xml:space="preserve">ГБУЗС "Городская больница N 1 им. Н.И. Пирогова"</w:t>
            </w:r>
          </w:p>
        </w:tc>
        <w:tc>
          <w:tcPr>
            <w:tcW w:w="2267" w:type="dxa"/>
          </w:tcPr>
          <w:p>
            <w:pPr>
              <w:pStyle w:val="0"/>
              <w:jc w:val="both"/>
            </w:pPr>
            <w:r>
              <w:rPr>
                <w:sz w:val="20"/>
              </w:rPr>
              <w:t xml:space="preserve">12 (из них 6 онкоурологических)</w:t>
            </w:r>
          </w:p>
        </w:tc>
        <w:tc>
          <w:tcPr>
            <w:tcW w:w="1587" w:type="dxa"/>
          </w:tcPr>
          <w:p>
            <w:pPr>
              <w:pStyle w:val="0"/>
              <w:jc w:val="center"/>
            </w:pPr>
            <w:r>
              <w:rPr>
                <w:sz w:val="20"/>
              </w:rPr>
              <w:t xml:space="preserve">-</w:t>
            </w:r>
          </w:p>
        </w:tc>
        <w:tc>
          <w:tcPr>
            <w:tcW w:w="1644" w:type="dxa"/>
          </w:tcPr>
          <w:p>
            <w:pPr>
              <w:pStyle w:val="0"/>
              <w:jc w:val="center"/>
            </w:pPr>
            <w:r>
              <w:rPr>
                <w:sz w:val="20"/>
              </w:rPr>
              <w:t xml:space="preserve">9</w:t>
            </w:r>
          </w:p>
        </w:tc>
      </w:tr>
      <w:tr>
        <w:tc>
          <w:tcPr>
            <w:tcW w:w="624" w:type="dxa"/>
          </w:tcPr>
          <w:p>
            <w:pPr>
              <w:pStyle w:val="0"/>
              <w:jc w:val="both"/>
            </w:pPr>
            <w:r>
              <w:rPr>
                <w:sz w:val="20"/>
              </w:rPr>
              <w:t xml:space="preserve">3</w:t>
            </w:r>
          </w:p>
        </w:tc>
        <w:tc>
          <w:tcPr>
            <w:tcW w:w="2948" w:type="dxa"/>
          </w:tcPr>
          <w:p>
            <w:pPr>
              <w:pStyle w:val="0"/>
              <w:jc w:val="both"/>
            </w:pPr>
            <w:r>
              <w:rPr>
                <w:sz w:val="20"/>
              </w:rPr>
              <w:t xml:space="preserve">ГБУЗС "Городская больница N 9"</w:t>
            </w:r>
          </w:p>
        </w:tc>
        <w:tc>
          <w:tcPr>
            <w:tcW w:w="2267" w:type="dxa"/>
          </w:tcPr>
          <w:p>
            <w:pPr>
              <w:pStyle w:val="0"/>
              <w:jc w:val="both"/>
            </w:pPr>
            <w:r>
              <w:rPr>
                <w:sz w:val="20"/>
              </w:rPr>
              <w:t xml:space="preserve">7 (из них 5 онкоурологических)</w:t>
            </w:r>
          </w:p>
        </w:tc>
        <w:tc>
          <w:tcPr>
            <w:tcW w:w="1587" w:type="dxa"/>
          </w:tcPr>
          <w:p>
            <w:pPr>
              <w:pStyle w:val="0"/>
              <w:jc w:val="center"/>
            </w:pPr>
            <w:r>
              <w:rPr>
                <w:sz w:val="20"/>
              </w:rPr>
              <w:t xml:space="preserve">-</w:t>
            </w:r>
          </w:p>
        </w:tc>
        <w:tc>
          <w:tcPr>
            <w:tcW w:w="1644"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Структура медицинских организаций, отраженных в </w:t>
      </w:r>
      <w:hyperlink w:history="0" w:anchor="P25509" w:tooltip="Количество коек круглосуточного стационара для оказания">
        <w:r>
          <w:rPr>
            <w:sz w:val="20"/>
            <w:color w:val="0000ff"/>
          </w:rPr>
          <w:t xml:space="preserve">таблице N 27</w:t>
        </w:r>
      </w:hyperlink>
      <w:r>
        <w:rPr>
          <w:sz w:val="20"/>
        </w:rPr>
        <w:t xml:space="preserve">, на текущий момент не соответствует требованиям </w:t>
      </w:r>
      <w:hyperlink w:history="0" r:id="rId666"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приказа</w:t>
        </w:r>
      </w:hyperlink>
      <w:r>
        <w:rPr>
          <w:sz w:val="20"/>
        </w:rPr>
        <w:t xml:space="preserve"> Министерства здравоохранения Российской Федерации от 19.02.2021 N 116н "Об утверждении Порядка оказания медицинской помощи взрослому населению при онкологических заболеваниях". Проведение реорганизации медицинских организаций в соответствии с требованиями данного приказа планируется после завершения строительства нового корпуса онкодиспансера в соответствии с государственной </w:t>
      </w:r>
      <w:hyperlink w:history="0" r:id="rId667"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программой</w:t>
        </w:r>
      </w:hyperlink>
      <w:r>
        <w:rPr>
          <w:sz w:val="20"/>
        </w:rPr>
        <w:t xml:space="preserve"> Российской Федерации "Социально-экономическое развитие Республики Крым и г. Севастополя", утвержденной постановлением Правительства Российской Федерации от 30.01.2019 N 63 (исполнители - Департамент капитального строительства города Севастополя, Государственное казенное учреждение города Севастополя "Единая дирекция капитального строительства").</w:t>
      </w:r>
    </w:p>
    <w:p>
      <w:pPr>
        <w:pStyle w:val="0"/>
        <w:ind w:firstLine="540"/>
        <w:jc w:val="both"/>
      </w:pPr>
      <w:r>
        <w:rPr>
          <w:sz w:val="20"/>
        </w:rPr>
      </w:r>
    </w:p>
    <w:p>
      <w:pPr>
        <w:pStyle w:val="0"/>
        <w:jc w:val="right"/>
      </w:pPr>
      <w:r>
        <w:rPr>
          <w:sz w:val="20"/>
        </w:rPr>
        <w:t xml:space="preserve">Таблица N 28</w:t>
      </w:r>
    </w:p>
    <w:p>
      <w:pPr>
        <w:pStyle w:val="0"/>
        <w:jc w:val="right"/>
      </w:pPr>
      <w:r>
        <w:rPr>
          <w:sz w:val="20"/>
        </w:rPr>
      </w:r>
    </w:p>
    <w:p>
      <w:pPr>
        <w:pStyle w:val="0"/>
        <w:jc w:val="center"/>
      </w:pPr>
      <w:r>
        <w:rPr>
          <w:sz w:val="20"/>
        </w:rPr>
        <w:t xml:space="preserve">Количество коек дневного стационара для оказания помощи</w:t>
      </w:r>
    </w:p>
    <w:p>
      <w:pPr>
        <w:pStyle w:val="0"/>
        <w:jc w:val="center"/>
      </w:pPr>
      <w:r>
        <w:rPr>
          <w:sz w:val="20"/>
        </w:rPr>
        <w:t xml:space="preserve">пациентам с онкологическими заболеваниями</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118"/>
        <w:gridCol w:w="1871"/>
        <w:gridCol w:w="1701"/>
        <w:gridCol w:w="1814"/>
      </w:tblGrid>
      <w:tr>
        <w:tc>
          <w:tcPr>
            <w:tcW w:w="567" w:type="dxa"/>
          </w:tcPr>
          <w:p>
            <w:pPr>
              <w:pStyle w:val="0"/>
              <w:jc w:val="center"/>
            </w:pPr>
            <w:r>
              <w:rPr>
                <w:sz w:val="20"/>
              </w:rPr>
              <w:t xml:space="preserve">N п/п</w:t>
            </w:r>
          </w:p>
        </w:tc>
        <w:tc>
          <w:tcPr>
            <w:tcW w:w="3118" w:type="dxa"/>
          </w:tcPr>
          <w:p>
            <w:pPr>
              <w:pStyle w:val="0"/>
              <w:jc w:val="center"/>
            </w:pPr>
            <w:r>
              <w:rPr>
                <w:sz w:val="20"/>
              </w:rPr>
              <w:t xml:space="preserve">Наименование медицинской организации</w:t>
            </w:r>
          </w:p>
        </w:tc>
        <w:tc>
          <w:tcPr>
            <w:tcW w:w="1871" w:type="dxa"/>
          </w:tcPr>
          <w:p>
            <w:pPr>
              <w:pStyle w:val="0"/>
              <w:jc w:val="center"/>
            </w:pPr>
            <w:r>
              <w:rPr>
                <w:sz w:val="20"/>
              </w:rPr>
              <w:t xml:space="preserve">Койки по профилю "онкология"</w:t>
            </w:r>
          </w:p>
        </w:tc>
        <w:tc>
          <w:tcPr>
            <w:tcW w:w="1701" w:type="dxa"/>
          </w:tcPr>
          <w:p>
            <w:pPr>
              <w:pStyle w:val="0"/>
              <w:jc w:val="center"/>
            </w:pPr>
            <w:r>
              <w:rPr>
                <w:sz w:val="20"/>
              </w:rPr>
              <w:t xml:space="preserve">Койки по профилю "радиология"</w:t>
            </w:r>
          </w:p>
        </w:tc>
        <w:tc>
          <w:tcPr>
            <w:tcW w:w="1814" w:type="dxa"/>
          </w:tcPr>
          <w:p>
            <w:pPr>
              <w:pStyle w:val="0"/>
              <w:jc w:val="center"/>
            </w:pPr>
            <w:r>
              <w:rPr>
                <w:sz w:val="20"/>
              </w:rPr>
              <w:t xml:space="preserve">Койки по профилю "гематология"</w:t>
            </w:r>
          </w:p>
        </w:tc>
      </w:tr>
      <w:tr>
        <w:tc>
          <w:tcPr>
            <w:tcW w:w="567" w:type="dxa"/>
          </w:tcPr>
          <w:p>
            <w:pPr>
              <w:pStyle w:val="0"/>
              <w:jc w:val="both"/>
            </w:pPr>
            <w:r>
              <w:rPr>
                <w:sz w:val="20"/>
              </w:rPr>
              <w:t xml:space="preserve">1</w:t>
            </w:r>
          </w:p>
        </w:tc>
        <w:tc>
          <w:tcPr>
            <w:tcW w:w="3118" w:type="dxa"/>
          </w:tcPr>
          <w:p>
            <w:pPr>
              <w:pStyle w:val="0"/>
              <w:jc w:val="both"/>
            </w:pPr>
            <w:r>
              <w:rPr>
                <w:sz w:val="20"/>
              </w:rPr>
              <w:t xml:space="preserve">ГБУЗС "Севастопольский городской онкологический диспансер имени А.А. Задорожного"</w:t>
            </w:r>
          </w:p>
        </w:tc>
        <w:tc>
          <w:tcPr>
            <w:tcW w:w="1871" w:type="dxa"/>
          </w:tcPr>
          <w:p>
            <w:pPr>
              <w:pStyle w:val="0"/>
              <w:jc w:val="center"/>
            </w:pPr>
            <w:r>
              <w:rPr>
                <w:sz w:val="20"/>
              </w:rPr>
              <w:t xml:space="preserve">25</w:t>
            </w:r>
          </w:p>
          <w:p>
            <w:pPr>
              <w:pStyle w:val="0"/>
              <w:jc w:val="center"/>
            </w:pPr>
            <w:r>
              <w:rPr>
                <w:sz w:val="20"/>
              </w:rPr>
              <w:t xml:space="preserve">(2 смены)</w:t>
            </w:r>
          </w:p>
        </w:tc>
        <w:tc>
          <w:tcPr>
            <w:tcW w:w="1701" w:type="dxa"/>
          </w:tcPr>
          <w:p>
            <w:pPr>
              <w:pStyle w:val="0"/>
              <w:jc w:val="center"/>
            </w:pPr>
            <w:r>
              <w:rPr>
                <w:sz w:val="20"/>
              </w:rPr>
              <w:t xml:space="preserve">10</w:t>
            </w:r>
          </w:p>
          <w:p>
            <w:pPr>
              <w:pStyle w:val="0"/>
              <w:jc w:val="center"/>
            </w:pPr>
            <w:r>
              <w:rPr>
                <w:sz w:val="20"/>
              </w:rPr>
              <w:t xml:space="preserve">(2 смены)</w:t>
            </w:r>
          </w:p>
        </w:tc>
        <w:tc>
          <w:tcPr>
            <w:tcW w:w="1814" w:type="dxa"/>
          </w:tcPr>
          <w:p>
            <w:pPr>
              <w:pStyle w:val="0"/>
              <w:jc w:val="center"/>
            </w:pPr>
            <w:r>
              <w:rPr>
                <w:sz w:val="20"/>
              </w:rPr>
              <w:t xml:space="preserve">3</w:t>
            </w:r>
          </w:p>
          <w:p>
            <w:pPr>
              <w:pStyle w:val="0"/>
              <w:jc w:val="center"/>
            </w:pPr>
            <w:r>
              <w:rPr>
                <w:sz w:val="20"/>
              </w:rPr>
              <w:t xml:space="preserve">(2 смены)</w:t>
            </w:r>
          </w:p>
        </w:tc>
      </w:tr>
    </w:tbl>
    <w:p>
      <w:pPr>
        <w:pStyle w:val="0"/>
        <w:ind w:firstLine="540"/>
        <w:jc w:val="both"/>
      </w:pPr>
      <w:r>
        <w:rPr>
          <w:sz w:val="20"/>
        </w:rPr>
      </w:r>
    </w:p>
    <w:p>
      <w:pPr>
        <w:pStyle w:val="0"/>
        <w:ind w:firstLine="540"/>
        <w:jc w:val="both"/>
      </w:pPr>
      <w:r>
        <w:rPr>
          <w:sz w:val="20"/>
        </w:rPr>
        <w:t xml:space="preserve">Обеспеченность онкологическими койками ниже на 27%, чем в среднем по Российской Федерации. Обеспеченность койками в расчете на 1000 случаев вновь выявленных ЗНО составляет 63,8, что на 5,5% ниже, чем в Российской Федерации.</w:t>
      </w:r>
    </w:p>
    <w:p>
      <w:pPr>
        <w:pStyle w:val="0"/>
        <w:spacing w:before="200" w:line-rule="auto"/>
        <w:ind w:firstLine="540"/>
        <w:jc w:val="both"/>
      </w:pPr>
      <w:r>
        <w:rPr>
          <w:sz w:val="20"/>
        </w:rPr>
        <w:t xml:space="preserve">Во исполнение приказов Министерства здравоохранения Российской Федерации от 19.02.2021 </w:t>
      </w:r>
      <w:hyperlink w:history="0" r:id="rId668"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N 116н</w:t>
        </w:r>
      </w:hyperlink>
      <w:r>
        <w:rPr>
          <w:sz w:val="20"/>
        </w:rPr>
        <w:t xml:space="preserve"> "Об утверждении Порядка оказания медицинской помощи взрослому населению при онкологических заболеваниях" и от 04.06.2020 </w:t>
      </w:r>
      <w:hyperlink w:history="0" r:id="rId669" w:tooltip="Приказ Минздрава России от 04.06.2020 N 548н &quot;Об утверждении порядка диспансерного наблюдения за взрослыми с онкологическими заболеваниями&quot; (Зарегистрировано в Минюсте России 26.06.2020 N 58786) {КонсультантПлюс}">
        <w:r>
          <w:rPr>
            <w:sz w:val="20"/>
            <w:color w:val="0000ff"/>
          </w:rPr>
          <w:t xml:space="preserve">N 548н</w:t>
        </w:r>
      </w:hyperlink>
      <w:r>
        <w:rPr>
          <w:sz w:val="20"/>
        </w:rPr>
        <w:t xml:space="preserve"> "Об утверждении порядка диспансерного наблюдения за взрослыми с онкологическими заболеваниями" сформирован </w:t>
      </w:r>
      <w:hyperlink w:history="0" r:id="rId670" w:tooltip="Приказ Департамента здравоохранения г. Севастополя от 11.03.2022 N 231 (ред. от 14.03.2023) &quot;Об организации оказания медицинской помощи взрослому населению при онкологических заболеваниях и маршрутизации взрослых пациентов со злокачественными новообразованиями в городе Севастополе&quot; (вместе с &quot;Правилами организации медицинской помощи взрослому населению при онкологических заболеваниях&quot;, &quot;Перечнем медицинских организаций (структурных подразделений), оказывающих медицинскую помощь пациентам с онкологическими з ------------ Утратил силу или отменен {КонсультантПлюс}">
        <w:r>
          <w:rPr>
            <w:sz w:val="20"/>
            <w:color w:val="0000ff"/>
          </w:rPr>
          <w:t xml:space="preserve">приказ</w:t>
        </w:r>
      </w:hyperlink>
      <w:r>
        <w:rPr>
          <w:sz w:val="20"/>
        </w:rPr>
        <w:t xml:space="preserve"> Департамента здравоохранения города Севастополя от 11.03.2022 N 231 "Об организации оказания медицинской помощи взрослому населению при онкологических заболеваниях и маршрутизации взрослых пациентов со злокачественными новообразованиями в городе Севастополе", которым утверждены </w:t>
      </w:r>
      <w:hyperlink w:history="0" r:id="rId671" w:tooltip="Приказ Департамента здравоохранения г. Севастополя от 11.03.2022 N 231 (ред. от 14.03.2023) &quot;Об организации оказания медицинской помощи взрослому населению при онкологических заболеваниях и маршрутизации взрослых пациентов со злокачественными новообразованиями в городе Севастополе&quot; (вместе с &quot;Правилами организации медицинской помощи взрослому населению при онкологических заболеваниях&quot;, &quot;Перечнем медицинских организаций (структурных подразделений), оказывающих медицинскую помощь пациентам с онкологическими з ------------ Утратил силу или отменен {КонсультантПлюс}">
        <w:r>
          <w:rPr>
            <w:sz w:val="20"/>
            <w:color w:val="0000ff"/>
          </w:rPr>
          <w:t xml:space="preserve">правила</w:t>
        </w:r>
      </w:hyperlink>
      <w:r>
        <w:rPr>
          <w:sz w:val="20"/>
        </w:rPr>
        <w:t xml:space="preserve"> организации медицинской помощи взрослому населению при онкологических заболеваниях, рекомендуемый </w:t>
      </w:r>
      <w:hyperlink w:history="0" r:id="rId672" w:tooltip="Приказ Департамента здравоохранения г. Севастополя от 11.03.2022 N 231 (ред. от 14.03.2023) &quot;Об организации оказания медицинской помощи взрослому населению при онкологических заболеваниях и маршрутизации взрослых пациентов со злокачественными новообразованиями в городе Севастополе&quot; (вместе с &quot;Правилами организации медицинской помощи взрослому населению при онкологических заболеваниях&quot;, &quot;Перечнем медицинских организаций (структурных подразделений), оказывающих медицинскую помощь пациентам с онкологическими з ------------ Утратил силу или отменен {КонсультантПлюс}">
        <w:r>
          <w:rPr>
            <w:sz w:val="20"/>
            <w:color w:val="0000ff"/>
          </w:rPr>
          <w:t xml:space="preserve">объем</w:t>
        </w:r>
      </w:hyperlink>
      <w:r>
        <w:rPr>
          <w:sz w:val="20"/>
        </w:rPr>
        <w:t xml:space="preserve"> клинико-диагностических исследований при выявлении или подозрении на наличие злокачественного новообразования, </w:t>
      </w:r>
      <w:hyperlink w:history="0" r:id="rId673" w:tooltip="Приказ Департамента здравоохранения г. Севастополя от 11.03.2022 N 231 (ред. от 14.03.2023) &quot;Об организации оказания медицинской помощи взрослому населению при онкологических заболеваниях и маршрутизации взрослых пациентов со злокачественными новообразованиями в городе Севастополе&quot; (вместе с &quot;Правилами организации медицинской помощи взрослому населению при онкологических заболеваниях&quot;, &quot;Перечнем медицинских организаций (структурных подразделений), оказывающих медицинскую помощь пациентам с онкологическими з ------------ Утратил силу или отменен {КонсультантПлюс}">
        <w:r>
          <w:rPr>
            <w:sz w:val="20"/>
            <w:color w:val="0000ff"/>
          </w:rPr>
          <w:t xml:space="preserve">сроки</w:t>
        </w:r>
      </w:hyperlink>
      <w:r>
        <w:rPr>
          <w:sz w:val="20"/>
        </w:rPr>
        <w:t xml:space="preserve"> проведения диагностических обследований, консультаций врачей-специалистов для пациентов с подозрением на онкологическое заболевание, сроки установления диспансерного наблюдения и ожидания медицинской помощи для пациентов с онкологическими заболеваниями, порядок маршрутизации пациентов при подозрении (выявлении) ЗНО и пациентов с онкологическими заболеваниями, </w:t>
      </w:r>
      <w:hyperlink w:history="0" r:id="rId674" w:tooltip="Приказ Департамента здравоохранения г. Севастополя от 11.03.2022 N 231 (ред. от 14.03.2023) &quot;Об организации оказания медицинской помощи взрослому населению при онкологических заболеваниях и маршрутизации взрослых пациентов со злокачественными новообразованиями в городе Севастополе&quot; (вместе с &quot;Правилами организации медицинской помощи взрослому населению при онкологических заболеваниях&quot;, &quot;Перечнем медицинских организаций (структурных подразделений), оказывающих медицинскую помощь пациентам с онкологическими з ------------ Утратил силу или отменен {КонсультантПлюс}">
        <w:r>
          <w:rPr>
            <w:sz w:val="20"/>
            <w:color w:val="0000ff"/>
          </w:rPr>
          <w:t xml:space="preserve">перечень</w:t>
        </w:r>
      </w:hyperlink>
      <w:r>
        <w:rPr>
          <w:sz w:val="20"/>
        </w:rPr>
        <w:t xml:space="preserve"> медицинских организаций (структурных подразделений), оказывающих медицинскую помощь пациентам с онкологическими заболеваниями и осуществляющих диспансерное наблюдение, группы повышенного онкологического риска.</w:t>
      </w:r>
    </w:p>
    <w:p>
      <w:pPr>
        <w:pStyle w:val="0"/>
        <w:spacing w:before="200" w:line-rule="auto"/>
        <w:ind w:firstLine="540"/>
        <w:jc w:val="both"/>
      </w:pPr>
      <w:r>
        <w:rPr>
          <w:sz w:val="20"/>
        </w:rPr>
        <w:t xml:space="preserve">В настоящее время в целях улучшения работы по раннему выявлению злокачественных новообразований, повышения доступности, качества и оптимизации оказания медицинской помощи по профилю "онкология" в городе Севастополе в соответствии с рекомендациями руководителя ФГБУ "НМИЦ онкологии имени Н.Н. Блохина" Министерства здравоохранения Российской Федерации, академика РАН И.С. Стилиди от 24.03.2023 подготовлен проект приказа Департамента здравоохранения города Севастополя "Об организации оказания медицинской помощи взрослому населению при онкологических заболеваниях", который находится на согласовании у специалистов указанного НМИЦ.</w:t>
      </w:r>
    </w:p>
    <w:p>
      <w:pPr>
        <w:pStyle w:val="0"/>
        <w:spacing w:before="200" w:line-rule="auto"/>
        <w:ind w:firstLine="540"/>
        <w:jc w:val="both"/>
      </w:pPr>
      <w:r>
        <w:rPr>
          <w:sz w:val="20"/>
        </w:rPr>
        <w:t xml:space="preserve">Единственный функционирующий онкологический диспансер в городе Севастополе в настоящее время - Государственное бюджетное учреждение здравоохранения Севастополя "Севастопольский городской онкологический диспансер имени А.А. Задорожного" - располагается в одноэтажном здании на ул. Ерошенко, д. 13, построенном в 1964 году, капитальный ремонт здания за весь период эксплуатации проводился один раз, в 2015 году. В нем на площади 1671,1 м</w:t>
      </w:r>
      <w:r>
        <w:rPr>
          <w:sz w:val="20"/>
          <w:vertAlign w:val="superscript"/>
        </w:rPr>
        <w:t xml:space="preserve">2</w:t>
      </w:r>
      <w:r>
        <w:rPr>
          <w:sz w:val="20"/>
        </w:rPr>
        <w:t xml:space="preserve"> располагаются поликлиническое отделение онкодиспансера, рентгенологическое отделение (маммограф, компьютерный томограф и рентгеновский аппарат), патолого-анатомическое отделение, клиническая лаборатория, цитологическая лаборатория.</w:t>
      </w:r>
    </w:p>
    <w:p>
      <w:pPr>
        <w:pStyle w:val="0"/>
        <w:spacing w:before="200" w:line-rule="auto"/>
        <w:ind w:firstLine="540"/>
        <w:jc w:val="both"/>
      </w:pPr>
      <w:r>
        <w:rPr>
          <w:sz w:val="20"/>
        </w:rPr>
        <w:t xml:space="preserve">Стационарные отделения располагаются на площадях 2 - 4-го этажей соседнего здания по адресу: ул. Ерошенко, д. 15, в состав которого входят два онкологических отделения, дневной стационар, операционный блок, отделение анестезиологии и реанимации.</w:t>
      </w:r>
    </w:p>
    <w:p>
      <w:pPr>
        <w:pStyle w:val="0"/>
        <w:spacing w:before="200" w:line-rule="auto"/>
        <w:ind w:firstLine="540"/>
        <w:jc w:val="both"/>
      </w:pPr>
      <w:r>
        <w:rPr>
          <w:sz w:val="20"/>
        </w:rPr>
        <w:t xml:space="preserve">В настоящее время во исполнение распоряжения Департамента по имущественным и земельным отношениям города Севастополя от 29.10.2019 N 10900-РДИ и отдельного поручения Губернатора города Севастополя от 23.07.2018 N 94 администрацией ГБУЗС "Городская больница N 1 им. Н.И. Пирогова" для размещения структурных подразделений ГБУЗС "Севастопольский городской онкологический диспансер им. А.А. Задорожного" освобождены остальные этажи и помещения, проводятся ремонтные работы.</w:t>
      </w:r>
    </w:p>
    <w:p>
      <w:pPr>
        <w:pStyle w:val="0"/>
        <w:spacing w:before="200" w:line-rule="auto"/>
        <w:ind w:firstLine="540"/>
        <w:jc w:val="both"/>
      </w:pPr>
      <w:r>
        <w:rPr>
          <w:sz w:val="20"/>
        </w:rPr>
        <w:t xml:space="preserve">В онкодиспансере проводится весь спектр методов противоопухолевого лечения (хирургия, химиотерапия и лучевое лечение). В ГБУЗС "Севастопольский городской онкологический диспансер им. А.А. Задорожного" 27.01.2020 открыто обновленное отделение радиотерапии, введено в эксплуатацию новое высокотехнологичное оборудование - система роботизированная радиотерапевтическая Elekta Infinity, что позволяет проводить современное радиотерапевтическое лечение злокачественных новообразований с увеличенным спектром возможностей без повреждения окружающих здоровых тканей и с меньшим количеством лучевых осложнений. Также в 2021 году запущен аппарат для близкофокусной рентгенотерапии злокачественных новообразований кожи.</w:t>
      </w:r>
    </w:p>
    <w:p>
      <w:pPr>
        <w:pStyle w:val="0"/>
        <w:spacing w:before="200" w:line-rule="auto"/>
        <w:ind w:firstLine="540"/>
        <w:jc w:val="both"/>
      </w:pPr>
      <w:r>
        <w:rPr>
          <w:sz w:val="20"/>
        </w:rPr>
        <w:t xml:space="preserve">Получена лицензия на проведение высокотехнологичного вида лучевого лечения - брахитерапии. Это высокоточный контактный метод лучевой терапии с использованием радиоактивного источника, который внедряется в очаг злокачественной опухоли, разрушая ее изнутри. Современный брахитерапевтический аппарат, установленный в онкологическом диспансере, позволяет обеспечить подведение максимальных доз облучения непосредственно в опухолевый очаг и минимизировать воздействие на смежные органы, попадающие в зону облучения. На Крымском полуострове таким методом не владеет ни одна медицинская организация.</w:t>
      </w:r>
    </w:p>
    <w:p>
      <w:pPr>
        <w:pStyle w:val="0"/>
        <w:ind w:firstLine="540"/>
        <w:jc w:val="both"/>
      </w:pPr>
      <w:r>
        <w:rPr>
          <w:sz w:val="20"/>
        </w:rPr>
      </w:r>
    </w:p>
    <w:p>
      <w:pPr>
        <w:pStyle w:val="0"/>
        <w:jc w:val="right"/>
      </w:pPr>
      <w:r>
        <w:rPr>
          <w:sz w:val="20"/>
        </w:rPr>
        <w:t xml:space="preserve">Таблица N 29</w:t>
      </w:r>
    </w:p>
    <w:p>
      <w:pPr>
        <w:pStyle w:val="0"/>
        <w:ind w:firstLine="540"/>
        <w:jc w:val="both"/>
      </w:pPr>
      <w:r>
        <w:rPr>
          <w:sz w:val="20"/>
        </w:rPr>
      </w:r>
    </w:p>
    <w:p>
      <w:pPr>
        <w:pStyle w:val="0"/>
        <w:jc w:val="center"/>
      </w:pPr>
      <w:r>
        <w:rPr>
          <w:sz w:val="20"/>
        </w:rPr>
        <w:t xml:space="preserve">Информация об оборудовании для проведения лучевой терапии</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82"/>
        <w:gridCol w:w="3231"/>
        <w:gridCol w:w="1757"/>
      </w:tblGrid>
      <w:tr>
        <w:tc>
          <w:tcPr>
            <w:tcW w:w="4082" w:type="dxa"/>
          </w:tcPr>
          <w:p>
            <w:pPr>
              <w:pStyle w:val="0"/>
              <w:jc w:val="center"/>
            </w:pPr>
            <w:r>
              <w:rPr>
                <w:sz w:val="20"/>
              </w:rPr>
              <w:t xml:space="preserve">Наименование медицинской организации - базы расположения оборудования</w:t>
            </w:r>
          </w:p>
        </w:tc>
        <w:tc>
          <w:tcPr>
            <w:tcW w:w="3231" w:type="dxa"/>
          </w:tcPr>
          <w:p>
            <w:pPr>
              <w:pStyle w:val="0"/>
              <w:jc w:val="center"/>
            </w:pPr>
            <w:r>
              <w:rPr>
                <w:sz w:val="20"/>
              </w:rPr>
              <w:t xml:space="preserve">Наименование медицинского оборудования</w:t>
            </w:r>
          </w:p>
        </w:tc>
        <w:tc>
          <w:tcPr>
            <w:tcW w:w="1757" w:type="dxa"/>
          </w:tcPr>
          <w:p>
            <w:pPr>
              <w:pStyle w:val="0"/>
              <w:jc w:val="center"/>
            </w:pPr>
            <w:r>
              <w:rPr>
                <w:sz w:val="20"/>
              </w:rPr>
              <w:t xml:space="preserve">Год ввода в эксплуатацию</w:t>
            </w:r>
          </w:p>
        </w:tc>
      </w:tr>
      <w:tr>
        <w:tc>
          <w:tcPr>
            <w:tcW w:w="4082" w:type="dxa"/>
          </w:tcPr>
          <w:p>
            <w:pPr>
              <w:pStyle w:val="0"/>
              <w:jc w:val="both"/>
            </w:pPr>
            <w:r>
              <w:rPr>
                <w:sz w:val="20"/>
              </w:rPr>
              <w:t xml:space="preserve">ГБУЗС "Севастопольский городской онкологический диспансер им. А.А. Задорожного"</w:t>
            </w:r>
          </w:p>
        </w:tc>
        <w:tc>
          <w:tcPr>
            <w:tcW w:w="3231" w:type="dxa"/>
          </w:tcPr>
          <w:p>
            <w:pPr>
              <w:pStyle w:val="0"/>
              <w:jc w:val="both"/>
            </w:pPr>
            <w:r>
              <w:rPr>
                <w:sz w:val="20"/>
              </w:rPr>
              <w:t xml:space="preserve">Система роботизированная радиотерапевтическая медицинская Elekta Infinity</w:t>
            </w:r>
          </w:p>
        </w:tc>
        <w:tc>
          <w:tcPr>
            <w:tcW w:w="1757" w:type="dxa"/>
          </w:tcPr>
          <w:p>
            <w:pPr>
              <w:pStyle w:val="0"/>
              <w:jc w:val="both"/>
            </w:pPr>
            <w:r>
              <w:rPr>
                <w:sz w:val="20"/>
              </w:rPr>
              <w:t xml:space="preserve">2020</w:t>
            </w:r>
          </w:p>
        </w:tc>
      </w:tr>
      <w:tr>
        <w:tc>
          <w:tcPr>
            <w:tcW w:w="4082" w:type="dxa"/>
          </w:tcPr>
          <w:p>
            <w:pPr>
              <w:pStyle w:val="0"/>
              <w:jc w:val="both"/>
            </w:pPr>
            <w:r>
              <w:rPr>
                <w:sz w:val="20"/>
              </w:rPr>
              <w:t xml:space="preserve">ГБУЗС "Севастопольский городской онкологический диспансер им. А.А. Задорожного"</w:t>
            </w:r>
          </w:p>
        </w:tc>
        <w:tc>
          <w:tcPr>
            <w:tcW w:w="3231" w:type="dxa"/>
          </w:tcPr>
          <w:p>
            <w:pPr>
              <w:pStyle w:val="0"/>
              <w:jc w:val="both"/>
            </w:pPr>
            <w:r>
              <w:rPr>
                <w:sz w:val="20"/>
              </w:rPr>
              <w:t xml:space="preserve">Аппарат рентгеновский стационарный терапевтический Рентген-ТА 150/10</w:t>
            </w:r>
          </w:p>
        </w:tc>
        <w:tc>
          <w:tcPr>
            <w:tcW w:w="1757" w:type="dxa"/>
          </w:tcPr>
          <w:p>
            <w:pPr>
              <w:pStyle w:val="0"/>
              <w:jc w:val="both"/>
            </w:pPr>
            <w:r>
              <w:rPr>
                <w:sz w:val="20"/>
              </w:rPr>
              <w:t xml:space="preserve">2021</w:t>
            </w:r>
          </w:p>
        </w:tc>
      </w:tr>
      <w:tr>
        <w:tc>
          <w:tcPr>
            <w:tcW w:w="4082" w:type="dxa"/>
          </w:tcPr>
          <w:p>
            <w:pPr>
              <w:pStyle w:val="0"/>
              <w:jc w:val="both"/>
            </w:pPr>
            <w:r>
              <w:rPr>
                <w:sz w:val="20"/>
              </w:rPr>
              <w:t xml:space="preserve">ГБУЗС "Севастопольский городской онкологический диспансер им. А.А. Задорожного"</w:t>
            </w:r>
          </w:p>
        </w:tc>
        <w:tc>
          <w:tcPr>
            <w:tcW w:w="3231" w:type="dxa"/>
          </w:tcPr>
          <w:p>
            <w:pPr>
              <w:pStyle w:val="0"/>
              <w:jc w:val="both"/>
            </w:pPr>
            <w:r>
              <w:rPr>
                <w:sz w:val="20"/>
              </w:rPr>
              <w:t xml:space="preserve">Набор оборудования для проведения брахитерапии предстательной железы I - 125</w:t>
            </w:r>
          </w:p>
        </w:tc>
        <w:tc>
          <w:tcPr>
            <w:tcW w:w="1757" w:type="dxa"/>
          </w:tcPr>
          <w:p>
            <w:pPr>
              <w:pStyle w:val="0"/>
              <w:jc w:val="both"/>
            </w:pPr>
            <w:r>
              <w:rPr>
                <w:sz w:val="20"/>
              </w:rPr>
              <w:t xml:space="preserve">2022</w:t>
            </w:r>
          </w:p>
        </w:tc>
      </w:tr>
    </w:tbl>
    <w:p>
      <w:pPr>
        <w:pStyle w:val="0"/>
        <w:ind w:firstLine="540"/>
        <w:jc w:val="both"/>
      </w:pPr>
      <w:r>
        <w:rPr>
          <w:sz w:val="20"/>
        </w:rPr>
      </w:r>
    </w:p>
    <w:p>
      <w:pPr>
        <w:pStyle w:val="0"/>
        <w:ind w:firstLine="540"/>
        <w:jc w:val="both"/>
      </w:pPr>
      <w:r>
        <w:rPr>
          <w:sz w:val="20"/>
        </w:rPr>
        <w:t xml:space="preserve">В ГБУЗС "Севастопольский городской онкологический диспансер им. А.А. Задорожного" постоянно внедряются новые методики лечения злокачественных новообразований, расширяется спектр малоинвазивных вмешательств, современная аппаратура позволяет точно дозировать воздействие на опухоль и не повредить здоровую ткань: подкожная радикальная мастэктомия с одномоментной установкой импланта, ларингэктомия, пластика свободным перемещенным лоскутом с микрохирургическим сосудистым анастомозом, тиреоидэктомия с микрохирургическим невролизом возвратного нерва, резекция печени с ангиопластикой, лапароскопическая простатэктомия, радиочастотная абляция при злокачественных новообразованиях печени, почек и других органов. Осваиваются реконструктивные операции с использованием микрохирургической техники. Почти на 10% увеличилось количество лапароскопических операций.</w:t>
      </w:r>
    </w:p>
    <w:p>
      <w:pPr>
        <w:pStyle w:val="0"/>
        <w:spacing w:before="200" w:line-rule="auto"/>
        <w:ind w:firstLine="540"/>
        <w:jc w:val="both"/>
      </w:pPr>
      <w:r>
        <w:rPr>
          <w:sz w:val="20"/>
        </w:rPr>
        <w:t xml:space="preserve">Внедряются новые схемы химиотерапевтического лечения, усовершенствованы возможности применения иммунотерапии при лимфопролиферативных заболеваниях и раках матки, легкого и других органов.</w:t>
      </w:r>
    </w:p>
    <w:p>
      <w:pPr>
        <w:pStyle w:val="0"/>
        <w:spacing w:before="200" w:line-rule="auto"/>
        <w:ind w:firstLine="540"/>
        <w:jc w:val="both"/>
      </w:pPr>
      <w:r>
        <w:rPr>
          <w:sz w:val="20"/>
        </w:rPr>
        <w:t xml:space="preserve">В августе 2022 г. введено в эксплуатацию отделение рентгенохирургических методов лечения, функционирование которого расширит диагностические возможности и позволит внедрить в практику новые лечебные вмешательства при онкологических заболеваниях, внесосудистые и внутрисосудистые интервенционные радиологические вмешательства.</w:t>
      </w:r>
    </w:p>
    <w:p>
      <w:pPr>
        <w:pStyle w:val="0"/>
        <w:spacing w:before="200" w:line-rule="auto"/>
        <w:ind w:firstLine="540"/>
        <w:jc w:val="both"/>
      </w:pPr>
      <w:r>
        <w:rPr>
          <w:sz w:val="20"/>
        </w:rPr>
        <w:t xml:space="preserve">Закончен капитальный ремонт основного корпуса ГБУЗС "Севастопольский городской онкологический диспансер им. А.А. Задорожного", где размещены поликлиническое отделение и диагностические службы (клинико-диагностическая лаборатория, отделение рентгенодиагностики, отделение внутрипросветной эндоскопической диагностики, патолого-анатомическое отделение с центральной цитологической лабораторией).</w:t>
      </w:r>
    </w:p>
    <w:p>
      <w:pPr>
        <w:pStyle w:val="0"/>
        <w:spacing w:before="200" w:line-rule="auto"/>
        <w:ind w:firstLine="540"/>
        <w:jc w:val="both"/>
      </w:pPr>
      <w:r>
        <w:rPr>
          <w:sz w:val="20"/>
        </w:rPr>
        <w:t xml:space="preserve">Диагностические возможности в онкологическом диспансере также вышли на новый уровень. С 2020 года функционируют два компьютерных томографа, на которых проводятся исследования всех локализаций новообразований, широкоаппертурный компьютерный томограф, который позволяет выполнять более точную разметку, предлучевую подготовку, внутривенное контрастирование с целью конкретизации диагностики в соответствии с клиническими протоколами. Также есть модуль с магнитно-резонансным томографом.</w:t>
      </w:r>
    </w:p>
    <w:p>
      <w:pPr>
        <w:pStyle w:val="0"/>
        <w:spacing w:before="200" w:line-rule="auto"/>
        <w:ind w:firstLine="540"/>
        <w:jc w:val="both"/>
      </w:pPr>
      <w:r>
        <w:rPr>
          <w:sz w:val="20"/>
        </w:rPr>
        <w:t xml:space="preserve">Для нужд отделения внутрипросветной эндоскопической диагностики закуплено множество единиц высокотехнологичного оборудования, количество проведенных исследований увеличилось почти в 2,5 раза. Расширены возможности диагностики и лечения злокачественных новообразований, проводятся эндоскопические исследования и процедуры, чаще используется методика эндоскопического стентирования, врачи-эндоскописты владеют методикой эндоскопической диссекции в подслизистом слое при лечении раннего рака желудка, эндо-УЗИ верхних отделов пищеварительного тракта, методиками обследования гепатобилиарной системы.</w:t>
      </w:r>
    </w:p>
    <w:p>
      <w:pPr>
        <w:pStyle w:val="0"/>
        <w:spacing w:before="200" w:line-rule="auto"/>
        <w:ind w:firstLine="540"/>
        <w:jc w:val="both"/>
      </w:pPr>
      <w:r>
        <w:rPr>
          <w:sz w:val="20"/>
        </w:rPr>
        <w:t xml:space="preserve">Отделение ультразвуковой диагностики полностью переоснащено, ультразвуковые исследования выполняются на семи аппаратах, пять из которых введены в эксплуатацию после 2019 года. Использование УЗИ-аппаратов с контрастированием улучшает визуализацию и раннюю диагностику, позволяет делать биопсии практически из любых ракурсов, внедрена эластография.</w:t>
      </w:r>
    </w:p>
    <w:p>
      <w:pPr>
        <w:pStyle w:val="0"/>
        <w:spacing w:before="200" w:line-rule="auto"/>
        <w:ind w:firstLine="540"/>
        <w:jc w:val="both"/>
      </w:pPr>
      <w:r>
        <w:rPr>
          <w:sz w:val="20"/>
        </w:rPr>
        <w:t xml:space="preserve">Отделение рентгенодиагностики с 06.12.2019 оснащено рентгенодиагностическим комплексом на три рабочих места.</w:t>
      </w:r>
    </w:p>
    <w:p>
      <w:pPr>
        <w:pStyle w:val="0"/>
        <w:spacing w:before="200" w:line-rule="auto"/>
        <w:ind w:firstLine="540"/>
        <w:jc w:val="both"/>
      </w:pPr>
      <w:r>
        <w:rPr>
          <w:sz w:val="20"/>
        </w:rPr>
        <w:t xml:space="preserve">Внедрена система расчета дозировок, являющаяся элементом контроля и учета доз облучения.</w:t>
      </w:r>
    </w:p>
    <w:p>
      <w:pPr>
        <w:pStyle w:val="0"/>
        <w:spacing w:before="200" w:line-rule="auto"/>
        <w:ind w:firstLine="540"/>
        <w:jc w:val="both"/>
      </w:pPr>
      <w:r>
        <w:rPr>
          <w:sz w:val="20"/>
        </w:rPr>
        <w:t xml:space="preserve">С января 2021 г. работает маммограф с томосинтезом, позволяющий выявлять наиболее мелкие новообразования и рак на ранних стадиях, до этого маммографии выполнялись на аппарате, установленном в 2015 году.</w:t>
      </w:r>
    </w:p>
    <w:p>
      <w:pPr>
        <w:pStyle w:val="0"/>
        <w:spacing w:before="200" w:line-rule="auto"/>
        <w:ind w:firstLine="540"/>
        <w:jc w:val="both"/>
      </w:pPr>
      <w:r>
        <w:rPr>
          <w:sz w:val="20"/>
        </w:rPr>
        <w:t xml:space="preserve">Функционирует кабинет дерматоскопии, где на роботизированной системе проводится регистрация, наблюдение и мониторинг пигментных пятен, что является профилактикой злокачественных новообразований кожи.</w:t>
      </w:r>
    </w:p>
    <w:p>
      <w:pPr>
        <w:pStyle w:val="0"/>
        <w:spacing w:before="200" w:line-rule="auto"/>
        <w:ind w:firstLine="540"/>
        <w:jc w:val="both"/>
      </w:pPr>
      <w:r>
        <w:rPr>
          <w:sz w:val="20"/>
        </w:rPr>
        <w:t xml:space="preserve">Выросло количество проводимых телемедицинских консультаций с федеральными НМИЦ, с 2019 года их количество увеличилось в 7,5 раза, в 2022 году проведено 330 заочных телеконсультаций/телеконсилиумов.</w:t>
      </w:r>
    </w:p>
    <w:p>
      <w:pPr>
        <w:pStyle w:val="0"/>
        <w:spacing w:before="200" w:line-rule="auto"/>
        <w:ind w:firstLine="540"/>
        <w:jc w:val="both"/>
      </w:pPr>
      <w:hyperlink w:history="0" r:id="rId675"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Постановлением</w:t>
        </w:r>
      </w:hyperlink>
      <w:r>
        <w:rPr>
          <w:sz w:val="20"/>
        </w:rPr>
        <w:t xml:space="preserve"> Правительства Российской Федерации от 30.01.2019 N 63 "Об утверждении государственной программы Российской Федерации "Социально-экономическое развитие Республики Крым и г. Севастополя" предусмотрено строительство многопрофильного лечебно-диагностического корпуса онкологического диспансера.</w:t>
      </w:r>
    </w:p>
    <w:p>
      <w:pPr>
        <w:pStyle w:val="0"/>
        <w:spacing w:before="200" w:line-rule="auto"/>
        <w:ind w:firstLine="540"/>
        <w:jc w:val="both"/>
      </w:pPr>
      <w:r>
        <w:rPr>
          <w:sz w:val="20"/>
        </w:rPr>
        <w:t xml:space="preserve">Целью постройки многопрофильного лечебно-диагностического корпуса является возможность оказания специализированной, в том числе высокотехнологичной, медицинской помощи населению города Севастополя в соответствии с санитарными нормами и порядками оказания медицинской помощи.</w:t>
      </w:r>
    </w:p>
    <w:p>
      <w:pPr>
        <w:pStyle w:val="0"/>
        <w:spacing w:before="200" w:line-rule="auto"/>
        <w:ind w:firstLine="540"/>
        <w:jc w:val="both"/>
      </w:pPr>
      <w:r>
        <w:rPr>
          <w:sz w:val="20"/>
        </w:rPr>
        <w:t xml:space="preserve">В настоящее время в соответствии с приказами Департамента здравоохранения города Севастополя от 27.12.2022 N 1434 "Об утверждении структуры и коечной мощности стационаров круглосуточного пребывания медицинских организаций города Севастополя" (с изменениями от 07.04.2023 и 10.05.2023) и от 27.12.2022 N 1435 "Об утверждении структуры, коечной мощности и профилей дневных стационаров и стационаров на дому медицинских организаций города Севастополя" в ГБУЗС "Севастопольский городской онкологический диспансер имени А.А. Задорожного" развернуто 79 коек круглосуточного стационара (46 - для проведения хирургического лечения, 20 - химиотерапевтического, 8 реанимационных и 5 радиотерапевтических), в две смены работают 38 пациенто-мест дневного стационара (25 - для проведения противоопухолевой лекарственной терапии, 3 - для хирургических методов лечения, 10 радиотерапевтических).</w:t>
      </w:r>
    </w:p>
    <w:p>
      <w:pPr>
        <w:pStyle w:val="0"/>
        <w:spacing w:before="200" w:line-rule="auto"/>
        <w:ind w:firstLine="540"/>
        <w:jc w:val="both"/>
      </w:pPr>
      <w:r>
        <w:rPr>
          <w:sz w:val="20"/>
        </w:rPr>
        <w:t xml:space="preserve">Также в ГБУЗС "Севастопольский городской онкологический диспансер имени А.А. Задорожного" оказывается высокотехнологичная медицинская помощь по профилю "онкология" за счет средств ОМС и за счет федерального бюджета.</w:t>
      </w:r>
    </w:p>
    <w:p>
      <w:pPr>
        <w:pStyle w:val="0"/>
        <w:ind w:firstLine="540"/>
        <w:jc w:val="both"/>
      </w:pPr>
      <w:r>
        <w:rPr>
          <w:sz w:val="20"/>
        </w:rPr>
      </w:r>
    </w:p>
    <w:p>
      <w:pPr>
        <w:pStyle w:val="0"/>
        <w:jc w:val="right"/>
      </w:pPr>
      <w:r>
        <w:rPr>
          <w:sz w:val="20"/>
        </w:rPr>
        <w:t xml:space="preserve">Таблица N 30</w:t>
      </w:r>
    </w:p>
    <w:p>
      <w:pPr>
        <w:pStyle w:val="0"/>
        <w:ind w:firstLine="540"/>
        <w:jc w:val="both"/>
      </w:pPr>
      <w:r>
        <w:rPr>
          <w:sz w:val="20"/>
        </w:rPr>
      </w:r>
    </w:p>
    <w:p>
      <w:pPr>
        <w:pStyle w:val="0"/>
        <w:jc w:val="center"/>
      </w:pPr>
      <w:r>
        <w:rPr>
          <w:sz w:val="20"/>
        </w:rPr>
        <w:t xml:space="preserve">Перечень диагностических и лечебных структурных</w:t>
      </w:r>
    </w:p>
    <w:p>
      <w:pPr>
        <w:pStyle w:val="0"/>
        <w:jc w:val="center"/>
      </w:pPr>
      <w:r>
        <w:rPr>
          <w:sz w:val="20"/>
        </w:rPr>
        <w:t xml:space="preserve">подразделений ГБУЗС "Севастопольский городской</w:t>
      </w:r>
    </w:p>
    <w:p>
      <w:pPr>
        <w:pStyle w:val="0"/>
        <w:jc w:val="center"/>
      </w:pPr>
      <w:r>
        <w:rPr>
          <w:sz w:val="20"/>
        </w:rPr>
        <w:t xml:space="preserve">онкологический диспансер им. А.А. Задорожного"</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11"/>
        <w:gridCol w:w="1304"/>
        <w:gridCol w:w="959"/>
        <w:gridCol w:w="1587"/>
      </w:tblGrid>
      <w:tr>
        <w:tc>
          <w:tcPr>
            <w:gridSpan w:val="4"/>
            <w:tcW w:w="9061" w:type="dxa"/>
          </w:tcPr>
          <w:p>
            <w:pPr>
              <w:pStyle w:val="0"/>
              <w:jc w:val="center"/>
            </w:pPr>
            <w:r>
              <w:rPr>
                <w:sz w:val="20"/>
              </w:rPr>
              <w:t xml:space="preserve">Диагностические подразделения</w:t>
            </w:r>
          </w:p>
        </w:tc>
      </w:tr>
      <w:tr>
        <w:tc>
          <w:tcPr>
            <w:gridSpan w:val="2"/>
            <w:tcW w:w="6515" w:type="dxa"/>
          </w:tcPr>
          <w:p>
            <w:pPr>
              <w:pStyle w:val="0"/>
              <w:jc w:val="center"/>
            </w:pPr>
            <w:r>
              <w:rPr>
                <w:sz w:val="20"/>
              </w:rPr>
              <w:t xml:space="preserve">Наименование структурного подразделения</w:t>
            </w:r>
          </w:p>
        </w:tc>
        <w:tc>
          <w:tcPr>
            <w:gridSpan w:val="2"/>
            <w:tcW w:w="2546" w:type="dxa"/>
          </w:tcPr>
          <w:p>
            <w:pPr>
              <w:pStyle w:val="0"/>
              <w:jc w:val="center"/>
            </w:pPr>
            <w:r>
              <w:rPr>
                <w:sz w:val="20"/>
              </w:rPr>
              <w:t xml:space="preserve">Количество исследований в смену</w:t>
            </w:r>
          </w:p>
        </w:tc>
      </w:tr>
      <w:tr>
        <w:tc>
          <w:tcPr>
            <w:gridSpan w:val="2"/>
            <w:tcW w:w="6515" w:type="dxa"/>
          </w:tcPr>
          <w:p>
            <w:pPr>
              <w:pStyle w:val="0"/>
              <w:jc w:val="both"/>
            </w:pPr>
            <w:r>
              <w:rPr>
                <w:sz w:val="20"/>
              </w:rPr>
              <w:t xml:space="preserve">Клинико-диагностическая лаборатория</w:t>
            </w:r>
          </w:p>
        </w:tc>
        <w:tc>
          <w:tcPr>
            <w:gridSpan w:val="2"/>
            <w:tcW w:w="2546" w:type="dxa"/>
          </w:tcPr>
          <w:p>
            <w:pPr>
              <w:pStyle w:val="0"/>
              <w:jc w:val="center"/>
            </w:pPr>
            <w:r>
              <w:rPr>
                <w:sz w:val="20"/>
              </w:rPr>
              <w:t xml:space="preserve">700</w:t>
            </w:r>
          </w:p>
        </w:tc>
      </w:tr>
      <w:tr>
        <w:tc>
          <w:tcPr>
            <w:gridSpan w:val="2"/>
            <w:tcW w:w="6515" w:type="dxa"/>
          </w:tcPr>
          <w:p>
            <w:pPr>
              <w:pStyle w:val="0"/>
              <w:jc w:val="both"/>
            </w:pPr>
            <w:r>
              <w:rPr>
                <w:sz w:val="20"/>
              </w:rPr>
              <w:t xml:space="preserve">Отделение рентгенодиагностики (рентген-кабинет)</w:t>
            </w:r>
          </w:p>
        </w:tc>
        <w:tc>
          <w:tcPr>
            <w:gridSpan w:val="2"/>
            <w:tcW w:w="2546" w:type="dxa"/>
          </w:tcPr>
          <w:p>
            <w:pPr>
              <w:pStyle w:val="0"/>
              <w:jc w:val="center"/>
            </w:pPr>
            <w:r>
              <w:rPr>
                <w:sz w:val="20"/>
              </w:rPr>
              <w:t xml:space="preserve">4</w:t>
            </w:r>
          </w:p>
        </w:tc>
      </w:tr>
      <w:tr>
        <w:tc>
          <w:tcPr>
            <w:gridSpan w:val="2"/>
            <w:tcW w:w="6515" w:type="dxa"/>
          </w:tcPr>
          <w:p>
            <w:pPr>
              <w:pStyle w:val="0"/>
              <w:jc w:val="both"/>
            </w:pPr>
            <w:r>
              <w:rPr>
                <w:sz w:val="20"/>
              </w:rPr>
              <w:t xml:space="preserve">Отделение рентгенодиагностики (кабинет маммографии)</w:t>
            </w:r>
          </w:p>
        </w:tc>
        <w:tc>
          <w:tcPr>
            <w:gridSpan w:val="2"/>
            <w:tcW w:w="2546" w:type="dxa"/>
          </w:tcPr>
          <w:p>
            <w:pPr>
              <w:pStyle w:val="0"/>
              <w:jc w:val="center"/>
            </w:pPr>
            <w:r>
              <w:rPr>
                <w:sz w:val="20"/>
              </w:rPr>
              <w:t xml:space="preserve">28</w:t>
            </w:r>
          </w:p>
        </w:tc>
      </w:tr>
      <w:tr>
        <w:tc>
          <w:tcPr>
            <w:gridSpan w:val="2"/>
            <w:tcW w:w="6515" w:type="dxa"/>
          </w:tcPr>
          <w:p>
            <w:pPr>
              <w:pStyle w:val="0"/>
              <w:jc w:val="both"/>
            </w:pPr>
            <w:r>
              <w:rPr>
                <w:sz w:val="20"/>
              </w:rPr>
              <w:t xml:space="preserve">Отделение рентгенодиагностики (кабинет МРТ)</w:t>
            </w:r>
          </w:p>
        </w:tc>
        <w:tc>
          <w:tcPr>
            <w:gridSpan w:val="2"/>
            <w:tcW w:w="2546" w:type="dxa"/>
          </w:tcPr>
          <w:p>
            <w:pPr>
              <w:pStyle w:val="0"/>
              <w:jc w:val="center"/>
            </w:pPr>
            <w:r>
              <w:rPr>
                <w:sz w:val="20"/>
              </w:rPr>
              <w:t xml:space="preserve">8</w:t>
            </w:r>
          </w:p>
        </w:tc>
      </w:tr>
      <w:tr>
        <w:tc>
          <w:tcPr>
            <w:gridSpan w:val="2"/>
            <w:tcW w:w="6515" w:type="dxa"/>
          </w:tcPr>
          <w:p>
            <w:pPr>
              <w:pStyle w:val="0"/>
              <w:jc w:val="both"/>
            </w:pPr>
            <w:r>
              <w:rPr>
                <w:sz w:val="20"/>
              </w:rPr>
              <w:t xml:space="preserve">Отделение рентгенодиагностики (кабинет КТ)</w:t>
            </w:r>
          </w:p>
        </w:tc>
        <w:tc>
          <w:tcPr>
            <w:gridSpan w:val="2"/>
            <w:tcW w:w="2546" w:type="dxa"/>
          </w:tcPr>
          <w:p>
            <w:pPr>
              <w:pStyle w:val="0"/>
              <w:jc w:val="center"/>
            </w:pPr>
            <w:r>
              <w:rPr>
                <w:sz w:val="20"/>
              </w:rPr>
              <w:t xml:space="preserve">40</w:t>
            </w:r>
          </w:p>
        </w:tc>
      </w:tr>
      <w:tr>
        <w:tc>
          <w:tcPr>
            <w:gridSpan w:val="2"/>
            <w:tcW w:w="6515" w:type="dxa"/>
          </w:tcPr>
          <w:p>
            <w:pPr>
              <w:pStyle w:val="0"/>
              <w:jc w:val="both"/>
            </w:pPr>
            <w:r>
              <w:rPr>
                <w:sz w:val="20"/>
              </w:rPr>
              <w:t xml:space="preserve">Отделение ультразвуковой диагностики</w:t>
            </w:r>
          </w:p>
        </w:tc>
        <w:tc>
          <w:tcPr>
            <w:gridSpan w:val="2"/>
            <w:tcW w:w="2546" w:type="dxa"/>
          </w:tcPr>
          <w:p>
            <w:pPr>
              <w:pStyle w:val="0"/>
              <w:jc w:val="center"/>
            </w:pPr>
            <w:r>
              <w:rPr>
                <w:sz w:val="20"/>
              </w:rPr>
              <w:t xml:space="preserve">9</w:t>
            </w:r>
          </w:p>
        </w:tc>
      </w:tr>
      <w:tr>
        <w:tc>
          <w:tcPr>
            <w:gridSpan w:val="2"/>
            <w:tcW w:w="6515" w:type="dxa"/>
          </w:tcPr>
          <w:p>
            <w:pPr>
              <w:pStyle w:val="0"/>
              <w:jc w:val="both"/>
            </w:pPr>
            <w:r>
              <w:rPr>
                <w:sz w:val="20"/>
              </w:rPr>
              <w:t xml:space="preserve">Отделение внутрипросветной эндоскопической диагностики:</w:t>
            </w:r>
          </w:p>
        </w:tc>
        <w:tc>
          <w:tcPr>
            <w:gridSpan w:val="2"/>
            <w:tcW w:w="2546" w:type="dxa"/>
          </w:tcPr>
          <w:p>
            <w:pPr>
              <w:pStyle w:val="0"/>
              <w:jc w:val="center"/>
            </w:pPr>
            <w:r>
              <w:rPr>
                <w:sz w:val="20"/>
              </w:rPr>
              <w:t xml:space="preserve">6</w:t>
            </w:r>
          </w:p>
        </w:tc>
      </w:tr>
      <w:tr>
        <w:tc>
          <w:tcPr>
            <w:gridSpan w:val="2"/>
            <w:tcW w:w="6515" w:type="dxa"/>
          </w:tcPr>
          <w:p>
            <w:pPr>
              <w:pStyle w:val="0"/>
              <w:jc w:val="both"/>
            </w:pPr>
            <w:r>
              <w:rPr>
                <w:sz w:val="20"/>
              </w:rPr>
              <w:t xml:space="preserve">гастроскопия</w:t>
            </w:r>
          </w:p>
        </w:tc>
        <w:tc>
          <w:tcPr>
            <w:gridSpan w:val="2"/>
            <w:tcW w:w="2546" w:type="dxa"/>
          </w:tcPr>
          <w:p>
            <w:pPr>
              <w:pStyle w:val="0"/>
              <w:jc w:val="center"/>
            </w:pPr>
            <w:r>
              <w:rPr>
                <w:sz w:val="20"/>
              </w:rPr>
              <w:t xml:space="preserve">3</w:t>
            </w:r>
          </w:p>
        </w:tc>
      </w:tr>
      <w:tr>
        <w:tc>
          <w:tcPr>
            <w:gridSpan w:val="2"/>
            <w:tcW w:w="6515" w:type="dxa"/>
          </w:tcPr>
          <w:p>
            <w:pPr>
              <w:pStyle w:val="0"/>
              <w:jc w:val="both"/>
            </w:pPr>
            <w:r>
              <w:rPr>
                <w:sz w:val="20"/>
              </w:rPr>
              <w:t xml:space="preserve">колоноскопия</w:t>
            </w:r>
          </w:p>
        </w:tc>
        <w:tc>
          <w:tcPr>
            <w:gridSpan w:val="2"/>
            <w:tcW w:w="2546" w:type="dxa"/>
          </w:tcPr>
          <w:p>
            <w:pPr>
              <w:pStyle w:val="0"/>
              <w:jc w:val="center"/>
            </w:pPr>
            <w:r>
              <w:rPr>
                <w:sz w:val="20"/>
              </w:rPr>
              <w:t xml:space="preserve">2</w:t>
            </w:r>
          </w:p>
        </w:tc>
      </w:tr>
      <w:tr>
        <w:tc>
          <w:tcPr>
            <w:gridSpan w:val="2"/>
            <w:tcW w:w="6515" w:type="dxa"/>
          </w:tcPr>
          <w:p>
            <w:pPr>
              <w:pStyle w:val="0"/>
              <w:jc w:val="both"/>
            </w:pPr>
            <w:r>
              <w:rPr>
                <w:sz w:val="20"/>
              </w:rPr>
              <w:t xml:space="preserve">бронхоскопия</w:t>
            </w:r>
          </w:p>
        </w:tc>
        <w:tc>
          <w:tcPr>
            <w:gridSpan w:val="2"/>
            <w:tcW w:w="2546" w:type="dxa"/>
          </w:tcPr>
          <w:p>
            <w:pPr>
              <w:pStyle w:val="0"/>
              <w:jc w:val="center"/>
            </w:pPr>
            <w:r>
              <w:rPr>
                <w:sz w:val="20"/>
              </w:rPr>
              <w:t xml:space="preserve">1</w:t>
            </w:r>
          </w:p>
        </w:tc>
      </w:tr>
      <w:tr>
        <w:tc>
          <w:tcPr>
            <w:gridSpan w:val="2"/>
            <w:tcW w:w="6515" w:type="dxa"/>
          </w:tcPr>
          <w:p>
            <w:pPr>
              <w:pStyle w:val="0"/>
              <w:jc w:val="both"/>
            </w:pPr>
            <w:r>
              <w:rPr>
                <w:sz w:val="20"/>
              </w:rPr>
              <w:t xml:space="preserve">Патолого-анатомическое отделение</w:t>
            </w:r>
          </w:p>
        </w:tc>
        <w:tc>
          <w:tcPr>
            <w:gridSpan w:val="2"/>
            <w:tcW w:w="2546" w:type="dxa"/>
          </w:tcPr>
          <w:p>
            <w:pPr>
              <w:pStyle w:val="0"/>
              <w:jc w:val="center"/>
            </w:pPr>
            <w:r>
              <w:rPr>
                <w:sz w:val="20"/>
              </w:rPr>
              <w:t xml:space="preserve">50</w:t>
            </w:r>
          </w:p>
        </w:tc>
      </w:tr>
      <w:tr>
        <w:tc>
          <w:tcPr>
            <w:gridSpan w:val="2"/>
            <w:tcW w:w="6515" w:type="dxa"/>
          </w:tcPr>
          <w:p>
            <w:pPr>
              <w:pStyle w:val="0"/>
              <w:jc w:val="both"/>
            </w:pPr>
            <w:r>
              <w:rPr>
                <w:sz w:val="20"/>
              </w:rPr>
              <w:t xml:space="preserve">Центральная цитологическая лаборатория</w:t>
            </w:r>
          </w:p>
        </w:tc>
        <w:tc>
          <w:tcPr>
            <w:gridSpan w:val="2"/>
            <w:tcW w:w="2546" w:type="dxa"/>
          </w:tcPr>
          <w:p>
            <w:pPr>
              <w:pStyle w:val="0"/>
              <w:jc w:val="center"/>
            </w:pPr>
            <w:r>
              <w:rPr>
                <w:sz w:val="20"/>
              </w:rPr>
              <w:t xml:space="preserve">30</w:t>
            </w:r>
          </w:p>
        </w:tc>
      </w:tr>
      <w:tr>
        <w:tc>
          <w:tcPr>
            <w:gridSpan w:val="4"/>
            <w:tcW w:w="9061" w:type="dxa"/>
          </w:tcPr>
          <w:p>
            <w:pPr>
              <w:pStyle w:val="0"/>
              <w:jc w:val="center"/>
            </w:pPr>
            <w:r>
              <w:rPr>
                <w:sz w:val="20"/>
              </w:rPr>
              <w:t xml:space="preserve">Лечебные структурные подразделения</w:t>
            </w:r>
          </w:p>
        </w:tc>
      </w:tr>
      <w:tr>
        <w:tc>
          <w:tcPr>
            <w:tcW w:w="5211" w:type="dxa"/>
          </w:tcPr>
          <w:p>
            <w:pPr>
              <w:pStyle w:val="0"/>
              <w:jc w:val="center"/>
            </w:pPr>
            <w:r>
              <w:rPr>
                <w:sz w:val="20"/>
              </w:rPr>
              <w:t xml:space="preserve">Наименование структурного подразделения с указанием профиля коек</w:t>
            </w:r>
          </w:p>
        </w:tc>
        <w:tc>
          <w:tcPr>
            <w:gridSpan w:val="2"/>
            <w:tcW w:w="2263" w:type="dxa"/>
          </w:tcPr>
          <w:p>
            <w:pPr>
              <w:pStyle w:val="0"/>
              <w:jc w:val="center"/>
            </w:pPr>
            <w:r>
              <w:rPr>
                <w:sz w:val="20"/>
              </w:rPr>
              <w:t xml:space="preserve">Профиль коек</w:t>
            </w:r>
          </w:p>
        </w:tc>
        <w:tc>
          <w:tcPr>
            <w:tcW w:w="1587" w:type="dxa"/>
          </w:tcPr>
          <w:p>
            <w:pPr>
              <w:pStyle w:val="0"/>
              <w:jc w:val="center"/>
            </w:pPr>
            <w:r>
              <w:rPr>
                <w:sz w:val="20"/>
              </w:rPr>
              <w:t xml:space="preserve">Количество коек, шт.</w:t>
            </w:r>
          </w:p>
        </w:tc>
      </w:tr>
      <w:tr>
        <w:tc>
          <w:tcPr>
            <w:tcW w:w="5211" w:type="dxa"/>
          </w:tcPr>
          <w:p>
            <w:pPr>
              <w:pStyle w:val="0"/>
              <w:jc w:val="both"/>
            </w:pPr>
            <w:r>
              <w:rPr>
                <w:sz w:val="20"/>
              </w:rPr>
              <w:t xml:space="preserve">Отделение опухолей молочной железы, онкогинекологии и опухолей кожи</w:t>
            </w:r>
          </w:p>
        </w:tc>
        <w:tc>
          <w:tcPr>
            <w:gridSpan w:val="2"/>
            <w:tcW w:w="2263" w:type="dxa"/>
          </w:tcPr>
          <w:p>
            <w:pPr>
              <w:pStyle w:val="0"/>
              <w:jc w:val="both"/>
            </w:pPr>
            <w:r>
              <w:rPr>
                <w:sz w:val="20"/>
              </w:rPr>
              <w:t xml:space="preserve">онкологические</w:t>
            </w:r>
          </w:p>
        </w:tc>
        <w:tc>
          <w:tcPr>
            <w:tcW w:w="1587" w:type="dxa"/>
          </w:tcPr>
          <w:p>
            <w:pPr>
              <w:pStyle w:val="0"/>
              <w:jc w:val="center"/>
            </w:pPr>
            <w:r>
              <w:rPr>
                <w:sz w:val="20"/>
              </w:rPr>
              <w:t xml:space="preserve">20</w:t>
            </w:r>
          </w:p>
        </w:tc>
      </w:tr>
      <w:tr>
        <w:tc>
          <w:tcPr>
            <w:tcW w:w="5211" w:type="dxa"/>
          </w:tcPr>
          <w:p>
            <w:pPr>
              <w:pStyle w:val="0"/>
              <w:jc w:val="both"/>
            </w:pPr>
            <w:r>
              <w:rPr>
                <w:sz w:val="20"/>
              </w:rPr>
              <w:t xml:space="preserve">Отделение рентгенохирургических методов лечения, абдоминальной онкологии, торакальной онкологии и онкоурологии</w:t>
            </w:r>
          </w:p>
        </w:tc>
        <w:tc>
          <w:tcPr>
            <w:gridSpan w:val="2"/>
            <w:tcW w:w="2263" w:type="dxa"/>
          </w:tcPr>
          <w:p>
            <w:pPr>
              <w:pStyle w:val="0"/>
              <w:jc w:val="both"/>
            </w:pPr>
            <w:r>
              <w:rPr>
                <w:sz w:val="20"/>
              </w:rPr>
              <w:t xml:space="preserve">онкологические</w:t>
            </w:r>
          </w:p>
        </w:tc>
        <w:tc>
          <w:tcPr>
            <w:tcW w:w="1587" w:type="dxa"/>
          </w:tcPr>
          <w:p>
            <w:pPr>
              <w:pStyle w:val="0"/>
              <w:jc w:val="center"/>
            </w:pPr>
            <w:r>
              <w:rPr>
                <w:sz w:val="20"/>
              </w:rPr>
              <w:t xml:space="preserve">26</w:t>
            </w:r>
          </w:p>
        </w:tc>
      </w:tr>
      <w:tr>
        <w:tc>
          <w:tcPr>
            <w:tcW w:w="5211" w:type="dxa"/>
          </w:tcPr>
          <w:p>
            <w:pPr>
              <w:pStyle w:val="0"/>
              <w:jc w:val="both"/>
            </w:pPr>
            <w:r>
              <w:rPr>
                <w:sz w:val="20"/>
              </w:rPr>
              <w:t xml:space="preserve">Онкологическое отделение противоопухолевой лекарственной терапии</w:t>
            </w:r>
          </w:p>
        </w:tc>
        <w:tc>
          <w:tcPr>
            <w:gridSpan w:val="2"/>
            <w:tcW w:w="2263" w:type="dxa"/>
          </w:tcPr>
          <w:p>
            <w:pPr>
              <w:pStyle w:val="0"/>
              <w:jc w:val="both"/>
            </w:pPr>
            <w:r>
              <w:rPr>
                <w:sz w:val="20"/>
              </w:rPr>
              <w:t xml:space="preserve">онкологические</w:t>
            </w:r>
          </w:p>
          <w:p>
            <w:pPr>
              <w:pStyle w:val="0"/>
              <w:jc w:val="both"/>
            </w:pPr>
            <w:r>
              <w:rPr>
                <w:sz w:val="20"/>
              </w:rPr>
              <w:t xml:space="preserve">гематологические</w:t>
            </w:r>
          </w:p>
        </w:tc>
        <w:tc>
          <w:tcPr>
            <w:tcW w:w="1587" w:type="dxa"/>
          </w:tcPr>
          <w:p>
            <w:pPr>
              <w:pStyle w:val="0"/>
              <w:jc w:val="center"/>
            </w:pPr>
            <w:r>
              <w:rPr>
                <w:sz w:val="20"/>
              </w:rPr>
              <w:t xml:space="preserve">17</w:t>
            </w:r>
          </w:p>
          <w:p>
            <w:pPr>
              <w:pStyle w:val="0"/>
              <w:jc w:val="center"/>
            </w:pPr>
            <w:r>
              <w:rPr>
                <w:sz w:val="20"/>
              </w:rPr>
              <w:t xml:space="preserve">3</w:t>
            </w:r>
          </w:p>
        </w:tc>
      </w:tr>
      <w:tr>
        <w:tc>
          <w:tcPr>
            <w:tcW w:w="5211" w:type="dxa"/>
          </w:tcPr>
          <w:p>
            <w:pPr>
              <w:pStyle w:val="0"/>
              <w:jc w:val="both"/>
            </w:pPr>
            <w:r>
              <w:rPr>
                <w:sz w:val="20"/>
              </w:rPr>
              <w:t xml:space="preserve">Отделение радиотерапии</w:t>
            </w:r>
          </w:p>
        </w:tc>
        <w:tc>
          <w:tcPr>
            <w:gridSpan w:val="2"/>
            <w:tcW w:w="2263" w:type="dxa"/>
          </w:tcPr>
          <w:p>
            <w:pPr>
              <w:pStyle w:val="0"/>
              <w:jc w:val="both"/>
            </w:pPr>
            <w:r>
              <w:rPr>
                <w:sz w:val="20"/>
              </w:rPr>
              <w:t xml:space="preserve">радиологические</w:t>
            </w:r>
          </w:p>
        </w:tc>
        <w:tc>
          <w:tcPr>
            <w:tcW w:w="1587" w:type="dxa"/>
          </w:tcPr>
          <w:p>
            <w:pPr>
              <w:pStyle w:val="0"/>
              <w:jc w:val="center"/>
            </w:pPr>
            <w:r>
              <w:rPr>
                <w:sz w:val="20"/>
              </w:rPr>
              <w:t xml:space="preserve">5</w:t>
            </w:r>
          </w:p>
        </w:tc>
      </w:tr>
      <w:tr>
        <w:tc>
          <w:tcPr>
            <w:tcW w:w="5211" w:type="dxa"/>
          </w:tcPr>
          <w:p>
            <w:pPr>
              <w:pStyle w:val="0"/>
              <w:jc w:val="both"/>
            </w:pPr>
            <w:r>
              <w:rPr>
                <w:sz w:val="20"/>
              </w:rPr>
              <w:t xml:space="preserve">Отделение анестезиологии-реанимации с палатами реанимации и интенсивной терапии</w:t>
            </w:r>
          </w:p>
        </w:tc>
        <w:tc>
          <w:tcPr>
            <w:gridSpan w:val="2"/>
            <w:tcW w:w="2263" w:type="dxa"/>
          </w:tcPr>
          <w:p>
            <w:pPr>
              <w:pStyle w:val="0"/>
              <w:jc w:val="both"/>
            </w:pPr>
            <w:r>
              <w:rPr>
                <w:sz w:val="20"/>
              </w:rPr>
              <w:t xml:space="preserve">реанимационные</w:t>
            </w:r>
          </w:p>
        </w:tc>
        <w:tc>
          <w:tcPr>
            <w:tcW w:w="1587" w:type="dxa"/>
          </w:tcPr>
          <w:p>
            <w:pPr>
              <w:pStyle w:val="0"/>
              <w:jc w:val="center"/>
            </w:pPr>
            <w:r>
              <w:rPr>
                <w:sz w:val="20"/>
              </w:rPr>
              <w:t xml:space="preserve">8</w:t>
            </w:r>
          </w:p>
        </w:tc>
      </w:tr>
      <w:tr>
        <w:tc>
          <w:tcPr>
            <w:tcW w:w="5211" w:type="dxa"/>
          </w:tcPr>
          <w:p>
            <w:pPr>
              <w:pStyle w:val="0"/>
              <w:jc w:val="both"/>
            </w:pPr>
            <w:r>
              <w:rPr>
                <w:sz w:val="20"/>
              </w:rPr>
              <w:t xml:space="preserve">Дневной стационар противоопухолевой лекарственной терапии</w:t>
            </w:r>
          </w:p>
        </w:tc>
        <w:tc>
          <w:tcPr>
            <w:gridSpan w:val="2"/>
            <w:tcW w:w="2263" w:type="dxa"/>
          </w:tcPr>
          <w:p>
            <w:pPr>
              <w:pStyle w:val="0"/>
              <w:jc w:val="both"/>
            </w:pPr>
            <w:r>
              <w:rPr>
                <w:sz w:val="20"/>
              </w:rPr>
              <w:t xml:space="preserve">онкологические</w:t>
            </w:r>
          </w:p>
          <w:p>
            <w:pPr>
              <w:pStyle w:val="0"/>
              <w:jc w:val="both"/>
            </w:pPr>
            <w:r>
              <w:rPr>
                <w:sz w:val="20"/>
              </w:rPr>
              <w:t xml:space="preserve">гематологические</w:t>
            </w:r>
          </w:p>
        </w:tc>
        <w:tc>
          <w:tcPr>
            <w:tcW w:w="1587" w:type="dxa"/>
          </w:tcPr>
          <w:p>
            <w:pPr>
              <w:pStyle w:val="0"/>
              <w:jc w:val="center"/>
            </w:pPr>
            <w:r>
              <w:rPr>
                <w:sz w:val="20"/>
              </w:rPr>
              <w:t xml:space="preserve">22</w:t>
            </w:r>
          </w:p>
          <w:p>
            <w:pPr>
              <w:pStyle w:val="0"/>
              <w:jc w:val="center"/>
            </w:pPr>
            <w:r>
              <w:rPr>
                <w:sz w:val="20"/>
              </w:rPr>
              <w:t xml:space="preserve">3</w:t>
            </w:r>
          </w:p>
        </w:tc>
      </w:tr>
      <w:tr>
        <w:tc>
          <w:tcPr>
            <w:tcW w:w="5211" w:type="dxa"/>
          </w:tcPr>
          <w:p>
            <w:pPr>
              <w:pStyle w:val="0"/>
              <w:jc w:val="both"/>
            </w:pPr>
            <w:r>
              <w:rPr>
                <w:sz w:val="20"/>
              </w:rPr>
              <w:t xml:space="preserve">Дневной стационар хирургических методов лечения</w:t>
            </w:r>
          </w:p>
        </w:tc>
        <w:tc>
          <w:tcPr>
            <w:gridSpan w:val="2"/>
            <w:tcW w:w="2263" w:type="dxa"/>
          </w:tcPr>
          <w:p>
            <w:pPr>
              <w:pStyle w:val="0"/>
              <w:jc w:val="both"/>
            </w:pPr>
            <w:r>
              <w:rPr>
                <w:sz w:val="20"/>
              </w:rPr>
              <w:t xml:space="preserve">онкологические</w:t>
            </w:r>
          </w:p>
        </w:tc>
        <w:tc>
          <w:tcPr>
            <w:tcW w:w="1587" w:type="dxa"/>
          </w:tcPr>
          <w:p>
            <w:pPr>
              <w:pStyle w:val="0"/>
              <w:jc w:val="center"/>
            </w:pPr>
            <w:r>
              <w:rPr>
                <w:sz w:val="20"/>
              </w:rPr>
              <w:t xml:space="preserve">3</w:t>
            </w:r>
          </w:p>
        </w:tc>
      </w:tr>
      <w:tr>
        <w:tc>
          <w:tcPr>
            <w:tcW w:w="5211" w:type="dxa"/>
          </w:tcPr>
          <w:p>
            <w:pPr>
              <w:pStyle w:val="0"/>
              <w:jc w:val="both"/>
            </w:pPr>
            <w:r>
              <w:rPr>
                <w:sz w:val="20"/>
              </w:rPr>
              <w:t xml:space="preserve">Дневной стационар радиотерапевтический</w:t>
            </w:r>
          </w:p>
        </w:tc>
        <w:tc>
          <w:tcPr>
            <w:gridSpan w:val="2"/>
            <w:tcW w:w="2263" w:type="dxa"/>
          </w:tcPr>
          <w:p>
            <w:pPr>
              <w:pStyle w:val="0"/>
              <w:jc w:val="both"/>
            </w:pPr>
            <w:r>
              <w:rPr>
                <w:sz w:val="20"/>
              </w:rPr>
              <w:t xml:space="preserve">радиологические</w:t>
            </w:r>
          </w:p>
        </w:tc>
        <w:tc>
          <w:tcPr>
            <w:tcW w:w="1587" w:type="dxa"/>
          </w:tcPr>
          <w:p>
            <w:pPr>
              <w:pStyle w:val="0"/>
              <w:jc w:val="center"/>
            </w:pPr>
            <w:r>
              <w:rPr>
                <w:sz w:val="20"/>
              </w:rPr>
              <w:t xml:space="preserve">10</w:t>
            </w:r>
          </w:p>
        </w:tc>
      </w:tr>
      <w:tr>
        <w:tc>
          <w:tcPr>
            <w:tcW w:w="5211" w:type="dxa"/>
          </w:tcPr>
          <w:p>
            <w:pPr>
              <w:pStyle w:val="0"/>
              <w:jc w:val="both"/>
            </w:pPr>
            <w:r>
              <w:rPr>
                <w:sz w:val="20"/>
              </w:rPr>
              <w:t xml:space="preserve">Отделение рентгенохирургических методов лечения</w:t>
            </w:r>
          </w:p>
        </w:tc>
        <w:tc>
          <w:tcPr>
            <w:gridSpan w:val="2"/>
            <w:tcW w:w="2263" w:type="dxa"/>
          </w:tcPr>
          <w:p>
            <w:pPr>
              <w:pStyle w:val="0"/>
              <w:jc w:val="both"/>
            </w:pPr>
            <w:r>
              <w:rPr>
                <w:sz w:val="20"/>
              </w:rPr>
              <w:t xml:space="preserve">онкологические</w:t>
            </w:r>
          </w:p>
        </w:tc>
        <w:tc>
          <w:tcPr>
            <w:tcW w:w="1587"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В ГБУЗС "Севастопольский городской онкологический диспансер им. А.А. Задорожного" установлен популяционный раковый регистр - информационно-аналитический комплекс "Канцер-регистр" (далее - Канцер-регистр), разработанный специалистами Российского центра информационных технологий и эпидемиологических исследований в области онкологии ФГБУ "Московский научно-исследовательский онкологический институт им. П.А. Герцена".</w:t>
      </w:r>
    </w:p>
    <w:p>
      <w:pPr>
        <w:pStyle w:val="0"/>
        <w:spacing w:before="200" w:line-rule="auto"/>
        <w:ind w:firstLine="540"/>
        <w:jc w:val="both"/>
      </w:pPr>
      <w:r>
        <w:rPr>
          <w:sz w:val="20"/>
        </w:rPr>
        <w:t xml:space="preserve">Ведение Канцер-регистра осуществляется сотрудниками организационно-методического отдела онкологического диспансера.</w:t>
      </w:r>
    </w:p>
    <w:p>
      <w:pPr>
        <w:pStyle w:val="0"/>
        <w:spacing w:before="200" w:line-rule="auto"/>
        <w:ind w:firstLine="540"/>
        <w:jc w:val="both"/>
      </w:pPr>
      <w:r>
        <w:rPr>
          <w:sz w:val="20"/>
        </w:rPr>
        <w:t xml:space="preserve">Актуализация информации происходит в постоянном режиме с ноября 2015 г., формируется единая статистическая база, по состоянию на 01.01.2023 актуализирована информация более чем на 27 тыс. человек.</w:t>
      </w:r>
    </w:p>
    <w:p>
      <w:pPr>
        <w:pStyle w:val="0"/>
        <w:spacing w:before="200" w:line-rule="auto"/>
        <w:ind w:firstLine="540"/>
        <w:jc w:val="both"/>
      </w:pPr>
      <w:r>
        <w:rPr>
          <w:sz w:val="20"/>
        </w:rPr>
        <w:t xml:space="preserve">Корректировка данных Канцер-регистра осуществляется с учетом информации по умершим жителям Севастополя, предоставляемой медицинскими организациями и ГБУЗС "Медицинский информационно-аналитический лабораторный центр".</w:t>
      </w:r>
    </w:p>
    <w:p>
      <w:pPr>
        <w:pStyle w:val="0"/>
        <w:spacing w:before="200" w:line-rule="auto"/>
        <w:ind w:firstLine="540"/>
        <w:jc w:val="both"/>
      </w:pPr>
      <w:r>
        <w:rPr>
          <w:sz w:val="20"/>
        </w:rPr>
        <w:t xml:space="preserve">В постоянном режиме обеспечивается координация работы и ежеквартальная передача данных в Российский центр информационных технологий и эпидемиологических исследований в области онкологии ФГБУ "Московский научно-исследовательский онкологический институт им. П.А. Герцена" во исполнение письма заместителя Министра здравоохранения Российской Федерации от 09.03.2016 N 17-7/10/2-1317.</w:t>
      </w:r>
    </w:p>
    <w:p>
      <w:pPr>
        <w:pStyle w:val="0"/>
        <w:spacing w:before="200" w:line-rule="auto"/>
        <w:ind w:firstLine="540"/>
        <w:jc w:val="both"/>
      </w:pPr>
      <w:r>
        <w:rPr>
          <w:sz w:val="20"/>
        </w:rPr>
        <w:t xml:space="preserve">Пополнение Канцер-регистра осуществляется в соответствии с Инструкцией по регистрации и ведению учета больных злокачественными новообразованиями в Российской Федерации, утвержденной приказом Министерства здравоохранения Российской Федерации от 19.04.1999 N 135 "О совершенствовании системы Государственного ракового регистра". Внесение информации о пациенте в Канцер-регистр осуществляется на основании согласия пациента на обработку персональных данных, полученного и хранящегося при заполнении первичной медицинской документации пациента.</w:t>
      </w:r>
    </w:p>
    <w:p>
      <w:pPr>
        <w:pStyle w:val="0"/>
        <w:spacing w:before="200" w:line-rule="auto"/>
        <w:ind w:firstLine="540"/>
        <w:jc w:val="both"/>
      </w:pPr>
      <w:r>
        <w:rPr>
          <w:sz w:val="20"/>
        </w:rPr>
        <w:t xml:space="preserve">Электронная база данных Канцер-регистра является основным источником информации при составлении годового статистического отчета онкологических учреждений по формам федерального статистического наблюдения. Также в Канцер-регистре возможно генерирование отчетов по любым имеющимся параметрам.</w:t>
      </w:r>
    </w:p>
    <w:p>
      <w:pPr>
        <w:pStyle w:val="0"/>
        <w:spacing w:before="200" w:line-rule="auto"/>
        <w:ind w:firstLine="540"/>
        <w:jc w:val="both"/>
      </w:pPr>
      <w:r>
        <w:rPr>
          <w:sz w:val="20"/>
        </w:rPr>
        <w:t xml:space="preserve">При необходимости возможно использование электронной версии Канцер-регистра в других подразделениях диспансера или в первичных онкологических кабинетах города Севастополя.</w:t>
      </w:r>
    </w:p>
    <w:p>
      <w:pPr>
        <w:pStyle w:val="0"/>
        <w:ind w:firstLine="540"/>
        <w:jc w:val="both"/>
      </w:pPr>
      <w:r>
        <w:rPr>
          <w:sz w:val="20"/>
        </w:rPr>
      </w:r>
    </w:p>
    <w:p>
      <w:pPr>
        <w:pStyle w:val="2"/>
        <w:outlineLvl w:val="3"/>
        <w:jc w:val="center"/>
      </w:pPr>
      <w:r>
        <w:rPr>
          <w:sz w:val="20"/>
        </w:rPr>
        <w:t xml:space="preserve">1.6. Выводы:</w:t>
      </w:r>
    </w:p>
    <w:p>
      <w:pPr>
        <w:pStyle w:val="0"/>
        <w:jc w:val="center"/>
      </w:pPr>
      <w:r>
        <w:rPr>
          <w:sz w:val="20"/>
        </w:rPr>
      </w:r>
    </w:p>
    <w:p>
      <w:pPr>
        <w:pStyle w:val="0"/>
        <w:ind w:firstLine="540"/>
        <w:jc w:val="both"/>
      </w:pPr>
      <w:r>
        <w:rPr>
          <w:sz w:val="20"/>
        </w:rPr>
        <w:t xml:space="preserve">1. Снижение показателя годичной летальности.</w:t>
      </w:r>
    </w:p>
    <w:p>
      <w:pPr>
        <w:pStyle w:val="0"/>
        <w:spacing w:before="200" w:line-rule="auto"/>
        <w:ind w:firstLine="540"/>
        <w:jc w:val="both"/>
      </w:pPr>
      <w:r>
        <w:rPr>
          <w:sz w:val="20"/>
        </w:rPr>
        <w:t xml:space="preserve">2. Рост показателя выявления на ранних стадиях всех ЗНО.</w:t>
      </w:r>
    </w:p>
    <w:p>
      <w:pPr>
        <w:pStyle w:val="0"/>
        <w:spacing w:before="200" w:line-rule="auto"/>
        <w:ind w:firstLine="540"/>
        <w:jc w:val="both"/>
      </w:pPr>
      <w:r>
        <w:rPr>
          <w:sz w:val="20"/>
        </w:rPr>
        <w:t xml:space="preserve">3. Увеличение показателя активного выявления ЗНО.</w:t>
      </w:r>
    </w:p>
    <w:p>
      <w:pPr>
        <w:pStyle w:val="0"/>
        <w:spacing w:before="200" w:line-rule="auto"/>
        <w:ind w:firstLine="540"/>
        <w:jc w:val="both"/>
      </w:pPr>
      <w:r>
        <w:rPr>
          <w:sz w:val="20"/>
        </w:rPr>
        <w:t xml:space="preserve">4. Уменьшение количества случаев выявления ЗНО в запущенных стадиях и показателя годичной летальности.</w:t>
      </w:r>
    </w:p>
    <w:p>
      <w:pPr>
        <w:pStyle w:val="0"/>
        <w:spacing w:before="200" w:line-rule="auto"/>
        <w:ind w:firstLine="540"/>
        <w:jc w:val="both"/>
      </w:pPr>
      <w:r>
        <w:rPr>
          <w:sz w:val="20"/>
        </w:rPr>
        <w:t xml:space="preserve">5. В существующем онкологическом диспансере города Севастополя имеется высокая потребность в дополнительных площадях для размещения необходимого оборудования и специалистов для оказания полноценной специализированной и высокотехнологичной помощи населению города.</w:t>
      </w:r>
    </w:p>
    <w:p>
      <w:pPr>
        <w:pStyle w:val="0"/>
        <w:spacing w:before="200" w:line-rule="auto"/>
        <w:ind w:firstLine="540"/>
        <w:jc w:val="both"/>
      </w:pPr>
      <w:r>
        <w:rPr>
          <w:sz w:val="20"/>
        </w:rPr>
        <w:t xml:space="preserve">6. Первичные онкологические кабинеты и центры амбулаторной онкологической помощи в городе Севастополе созданы, но укомплектованы не полностью и работают формально.</w:t>
      </w:r>
    </w:p>
    <w:p>
      <w:pPr>
        <w:pStyle w:val="0"/>
        <w:spacing w:before="200" w:line-rule="auto"/>
        <w:ind w:firstLine="540"/>
        <w:jc w:val="both"/>
      </w:pPr>
      <w:r>
        <w:rPr>
          <w:sz w:val="20"/>
        </w:rPr>
        <w:t xml:space="preserve">7. Работа смотровых кабинетов в поликлиниках города организована впервые в городе Севастополе только с 2018 года.</w:t>
      </w:r>
    </w:p>
    <w:p>
      <w:pPr>
        <w:pStyle w:val="0"/>
        <w:spacing w:before="200" w:line-rule="auto"/>
        <w:ind w:firstLine="540"/>
        <w:jc w:val="both"/>
      </w:pPr>
      <w:r>
        <w:rPr>
          <w:sz w:val="20"/>
        </w:rPr>
        <w:t xml:space="preserve">8. В медицинских организациях города Севастополя организована работа по диспансерному наблюдению пациентов из числа состоящих на учете.</w:t>
      </w:r>
    </w:p>
    <w:p>
      <w:pPr>
        <w:pStyle w:val="0"/>
        <w:spacing w:before="200" w:line-rule="auto"/>
        <w:ind w:firstLine="540"/>
        <w:jc w:val="both"/>
      </w:pPr>
      <w:r>
        <w:rPr>
          <w:sz w:val="20"/>
        </w:rPr>
        <w:t xml:space="preserve">9. В медицинских организациях, имеющих прикрепленное население, работа по динамическому наблюдению групп населения повышенного онкологического риска не проводится.</w:t>
      </w:r>
    </w:p>
    <w:p>
      <w:pPr>
        <w:pStyle w:val="0"/>
        <w:spacing w:before="200" w:line-rule="auto"/>
        <w:ind w:firstLine="540"/>
        <w:jc w:val="both"/>
      </w:pPr>
      <w:r>
        <w:rPr>
          <w:sz w:val="20"/>
        </w:rPr>
        <w:t xml:space="preserve">10. Скрининговые программы в городе Севастополе не проводятся.</w:t>
      </w:r>
    </w:p>
    <w:p>
      <w:pPr>
        <w:pStyle w:val="0"/>
        <w:jc w:val="center"/>
      </w:pPr>
      <w:r>
        <w:rPr>
          <w:sz w:val="20"/>
        </w:rPr>
      </w:r>
    </w:p>
    <w:p>
      <w:pPr>
        <w:pStyle w:val="2"/>
        <w:outlineLvl w:val="2"/>
        <w:jc w:val="center"/>
      </w:pPr>
      <w:r>
        <w:rPr>
          <w:sz w:val="20"/>
        </w:rPr>
        <w:t xml:space="preserve">2. Цель, показатели и сроки реализации региональной</w:t>
      </w:r>
    </w:p>
    <w:p>
      <w:pPr>
        <w:pStyle w:val="2"/>
        <w:jc w:val="center"/>
      </w:pPr>
      <w:r>
        <w:rPr>
          <w:sz w:val="20"/>
        </w:rPr>
        <w:t xml:space="preserve">программы по борьбе с онкологическими заболеваниями</w:t>
      </w:r>
    </w:p>
    <w:p>
      <w:pPr>
        <w:pStyle w:val="0"/>
        <w:ind w:firstLine="540"/>
        <w:jc w:val="both"/>
      </w:pPr>
      <w:r>
        <w:rPr>
          <w:sz w:val="20"/>
        </w:rPr>
      </w:r>
    </w:p>
    <w:p>
      <w:pPr>
        <w:pStyle w:val="0"/>
        <w:ind w:firstLine="540"/>
        <w:jc w:val="both"/>
      </w:pPr>
      <w:r>
        <w:rPr>
          <w:sz w:val="20"/>
        </w:rPr>
        <w:t xml:space="preserve">Цель региональной программы на плановый период до 2024 года: снижение смертности от злокачественных новообразований до 229,8 случая на 100 тыс. населения.</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118"/>
        <w:gridCol w:w="1361"/>
        <w:gridCol w:w="1361"/>
        <w:gridCol w:w="850"/>
        <w:gridCol w:w="850"/>
        <w:gridCol w:w="850"/>
        <w:gridCol w:w="850"/>
        <w:gridCol w:w="907"/>
        <w:gridCol w:w="850"/>
        <w:gridCol w:w="850"/>
      </w:tblGrid>
      <w:tr>
        <w:tc>
          <w:tcPr>
            <w:tcW w:w="567" w:type="dxa"/>
            <w:vMerge w:val="restart"/>
          </w:tcPr>
          <w:p>
            <w:pPr>
              <w:pStyle w:val="0"/>
              <w:jc w:val="center"/>
            </w:pPr>
            <w:r>
              <w:rPr>
                <w:sz w:val="20"/>
              </w:rPr>
              <w:t xml:space="preserve">N п/п</w:t>
            </w:r>
          </w:p>
        </w:tc>
        <w:tc>
          <w:tcPr>
            <w:tcW w:w="3118" w:type="dxa"/>
            <w:vMerge w:val="restart"/>
          </w:tcPr>
          <w:p>
            <w:pPr>
              <w:pStyle w:val="0"/>
              <w:jc w:val="center"/>
            </w:pPr>
            <w:r>
              <w:rPr>
                <w:sz w:val="20"/>
              </w:rPr>
              <w:t xml:space="preserve">Наименование показателя</w:t>
            </w:r>
          </w:p>
        </w:tc>
        <w:tc>
          <w:tcPr>
            <w:gridSpan w:val="2"/>
            <w:tcW w:w="2722" w:type="dxa"/>
          </w:tcPr>
          <w:p>
            <w:pPr>
              <w:pStyle w:val="0"/>
              <w:jc w:val="center"/>
            </w:pPr>
            <w:r>
              <w:rPr>
                <w:sz w:val="20"/>
              </w:rPr>
              <w:t xml:space="preserve">Базовое значение</w:t>
            </w:r>
          </w:p>
        </w:tc>
        <w:tc>
          <w:tcPr>
            <w:gridSpan w:val="7"/>
            <w:tcW w:w="6007" w:type="dxa"/>
          </w:tcPr>
          <w:p>
            <w:pPr>
              <w:pStyle w:val="0"/>
              <w:jc w:val="center"/>
            </w:pPr>
            <w:r>
              <w:rPr>
                <w:sz w:val="20"/>
              </w:rPr>
              <w:t xml:space="preserve">Период, год</w:t>
            </w:r>
          </w:p>
        </w:tc>
      </w:tr>
      <w:tr>
        <w:tc>
          <w:tcPr>
            <w:vMerge w:val="continue"/>
          </w:tcPr>
          <w:p/>
        </w:tc>
        <w:tc>
          <w:tcPr>
            <w:vMerge w:val="continue"/>
          </w:tcPr>
          <w:p/>
        </w:tc>
        <w:tc>
          <w:tcPr>
            <w:tcW w:w="1361" w:type="dxa"/>
          </w:tcPr>
          <w:p>
            <w:pPr>
              <w:pStyle w:val="0"/>
              <w:jc w:val="center"/>
            </w:pPr>
            <w:r>
              <w:rPr>
                <w:sz w:val="20"/>
              </w:rPr>
              <w:t xml:space="preserve">Значение</w:t>
            </w:r>
          </w:p>
        </w:tc>
        <w:tc>
          <w:tcPr>
            <w:tcW w:w="1361" w:type="dxa"/>
          </w:tcPr>
          <w:p>
            <w:pPr>
              <w:pStyle w:val="0"/>
              <w:jc w:val="center"/>
            </w:pPr>
            <w:r>
              <w:rPr>
                <w:sz w:val="20"/>
              </w:rPr>
              <w:t xml:space="preserve">Дата</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c>
          <w:tcPr>
            <w:tcW w:w="907" w:type="dxa"/>
          </w:tcPr>
          <w:p>
            <w:pPr>
              <w:pStyle w:val="0"/>
              <w:jc w:val="center"/>
            </w:pPr>
            <w:r>
              <w:rPr>
                <w:sz w:val="20"/>
              </w:rPr>
              <w:t xml:space="preserve">2023</w:t>
            </w:r>
          </w:p>
        </w:tc>
        <w:tc>
          <w:tcPr>
            <w:tcW w:w="850" w:type="dxa"/>
          </w:tcPr>
          <w:p>
            <w:pPr>
              <w:pStyle w:val="0"/>
              <w:jc w:val="center"/>
            </w:pPr>
            <w:r>
              <w:rPr>
                <w:sz w:val="20"/>
              </w:rPr>
              <w:t xml:space="preserve">2024</w:t>
            </w:r>
          </w:p>
        </w:tc>
        <w:tc>
          <w:tcPr>
            <w:tcW w:w="850" w:type="dxa"/>
          </w:tcPr>
          <w:p>
            <w:pPr>
              <w:pStyle w:val="0"/>
              <w:jc w:val="center"/>
            </w:pPr>
            <w:r>
              <w:rPr>
                <w:sz w:val="20"/>
              </w:rPr>
              <w:t xml:space="preserve">2030</w:t>
            </w:r>
          </w:p>
        </w:tc>
      </w:tr>
      <w:tr>
        <w:tc>
          <w:tcPr>
            <w:tcW w:w="567" w:type="dxa"/>
          </w:tcPr>
          <w:p>
            <w:pPr>
              <w:pStyle w:val="0"/>
              <w:jc w:val="both"/>
            </w:pPr>
            <w:r>
              <w:rPr>
                <w:sz w:val="20"/>
              </w:rPr>
              <w:t xml:space="preserve">1.</w:t>
            </w:r>
          </w:p>
        </w:tc>
        <w:tc>
          <w:tcPr>
            <w:tcW w:w="3118" w:type="dxa"/>
          </w:tcPr>
          <w:p>
            <w:pPr>
              <w:pStyle w:val="0"/>
              <w:jc w:val="both"/>
            </w:pPr>
            <w:r>
              <w:rPr>
                <w:sz w:val="20"/>
              </w:rPr>
              <w:t xml:space="preserve">Смертность от новообразований на 100 тыс. населения</w:t>
            </w:r>
          </w:p>
        </w:tc>
        <w:tc>
          <w:tcPr>
            <w:tcW w:w="1361" w:type="dxa"/>
          </w:tcPr>
          <w:p>
            <w:pPr>
              <w:pStyle w:val="0"/>
              <w:jc w:val="center"/>
            </w:pPr>
            <w:r>
              <w:rPr>
                <w:sz w:val="20"/>
              </w:rPr>
              <w:t xml:space="preserve">251,9</w:t>
            </w:r>
          </w:p>
        </w:tc>
        <w:tc>
          <w:tcPr>
            <w:tcW w:w="1361" w:type="dxa"/>
          </w:tcPr>
          <w:p>
            <w:pPr>
              <w:pStyle w:val="0"/>
              <w:jc w:val="both"/>
            </w:pPr>
            <w:r>
              <w:rPr>
                <w:sz w:val="20"/>
              </w:rPr>
              <w:t xml:space="preserve">31.12.2018</w:t>
            </w:r>
          </w:p>
        </w:tc>
        <w:tc>
          <w:tcPr>
            <w:tcW w:w="850" w:type="dxa"/>
          </w:tcPr>
          <w:p>
            <w:pPr>
              <w:pStyle w:val="0"/>
              <w:jc w:val="center"/>
            </w:pPr>
            <w:r>
              <w:rPr>
                <w:sz w:val="20"/>
              </w:rPr>
              <w:t xml:space="preserve">243,0</w:t>
            </w:r>
          </w:p>
        </w:tc>
        <w:tc>
          <w:tcPr>
            <w:tcW w:w="850" w:type="dxa"/>
          </w:tcPr>
          <w:p>
            <w:pPr>
              <w:pStyle w:val="0"/>
              <w:jc w:val="center"/>
            </w:pPr>
            <w:r>
              <w:rPr>
                <w:sz w:val="20"/>
              </w:rPr>
              <w:t xml:space="preserve">237,9</w:t>
            </w:r>
          </w:p>
        </w:tc>
        <w:tc>
          <w:tcPr>
            <w:tcW w:w="850" w:type="dxa"/>
          </w:tcPr>
          <w:p>
            <w:pPr>
              <w:pStyle w:val="0"/>
              <w:jc w:val="center"/>
            </w:pPr>
            <w:r>
              <w:rPr>
                <w:sz w:val="20"/>
              </w:rPr>
              <w:t xml:space="preserve">244,5</w:t>
            </w:r>
          </w:p>
        </w:tc>
        <w:tc>
          <w:tcPr>
            <w:tcW w:w="850" w:type="dxa"/>
          </w:tcPr>
          <w:p>
            <w:pPr>
              <w:pStyle w:val="0"/>
              <w:jc w:val="center"/>
            </w:pPr>
            <w:r>
              <w:rPr>
                <w:sz w:val="20"/>
              </w:rPr>
              <w:t xml:space="preserve">240,4</w:t>
            </w:r>
          </w:p>
        </w:tc>
        <w:tc>
          <w:tcPr>
            <w:tcW w:w="907" w:type="dxa"/>
          </w:tcPr>
          <w:p>
            <w:pPr>
              <w:pStyle w:val="0"/>
              <w:jc w:val="center"/>
            </w:pPr>
            <w:r>
              <w:rPr>
                <w:sz w:val="20"/>
              </w:rPr>
              <w:t xml:space="preserve">236,2</w:t>
            </w:r>
          </w:p>
        </w:tc>
        <w:tc>
          <w:tcPr>
            <w:tcW w:w="850" w:type="dxa"/>
          </w:tcPr>
          <w:p>
            <w:pPr>
              <w:pStyle w:val="0"/>
              <w:jc w:val="center"/>
            </w:pPr>
            <w:r>
              <w:rPr>
                <w:sz w:val="20"/>
              </w:rPr>
              <w:t xml:space="preserve">232,1</w:t>
            </w:r>
          </w:p>
        </w:tc>
        <w:tc>
          <w:tcPr>
            <w:tcW w:w="850" w:type="dxa"/>
          </w:tcPr>
          <w:p>
            <w:pPr>
              <w:pStyle w:val="0"/>
              <w:jc w:val="center"/>
            </w:pPr>
            <w:r>
              <w:rPr>
                <w:sz w:val="20"/>
              </w:rPr>
              <w:t xml:space="preserve">207,2</w:t>
            </w:r>
          </w:p>
        </w:tc>
      </w:tr>
      <w:tr>
        <w:tc>
          <w:tcPr>
            <w:tcW w:w="567" w:type="dxa"/>
          </w:tcPr>
          <w:p>
            <w:pPr>
              <w:pStyle w:val="0"/>
              <w:jc w:val="both"/>
            </w:pPr>
            <w:r>
              <w:rPr>
                <w:sz w:val="20"/>
              </w:rPr>
              <w:t xml:space="preserve">2.</w:t>
            </w:r>
          </w:p>
        </w:tc>
        <w:tc>
          <w:tcPr>
            <w:tcW w:w="3118" w:type="dxa"/>
          </w:tcPr>
          <w:p>
            <w:pPr>
              <w:pStyle w:val="0"/>
              <w:jc w:val="both"/>
            </w:pPr>
            <w:r>
              <w:rPr>
                <w:sz w:val="20"/>
              </w:rPr>
              <w:t xml:space="preserve">Смертность от ЗНО на 100 тыс. населения</w:t>
            </w:r>
          </w:p>
        </w:tc>
        <w:tc>
          <w:tcPr>
            <w:tcW w:w="1361" w:type="dxa"/>
          </w:tcPr>
          <w:p>
            <w:pPr>
              <w:pStyle w:val="0"/>
              <w:jc w:val="center"/>
            </w:pPr>
            <w:r>
              <w:rPr>
                <w:sz w:val="20"/>
              </w:rPr>
              <w:t xml:space="preserve">249,4</w:t>
            </w:r>
          </w:p>
        </w:tc>
        <w:tc>
          <w:tcPr>
            <w:tcW w:w="1361" w:type="dxa"/>
          </w:tcPr>
          <w:p>
            <w:pPr>
              <w:pStyle w:val="0"/>
              <w:jc w:val="both"/>
            </w:pPr>
            <w:r>
              <w:rPr>
                <w:sz w:val="20"/>
              </w:rPr>
              <w:t xml:space="preserve">31.12.2018</w:t>
            </w:r>
          </w:p>
        </w:tc>
        <w:tc>
          <w:tcPr>
            <w:tcW w:w="850" w:type="dxa"/>
          </w:tcPr>
          <w:p>
            <w:pPr>
              <w:pStyle w:val="0"/>
              <w:jc w:val="center"/>
            </w:pPr>
            <w:r>
              <w:rPr>
                <w:sz w:val="20"/>
              </w:rPr>
              <w:t xml:space="preserve">0,0</w:t>
            </w:r>
          </w:p>
        </w:tc>
        <w:tc>
          <w:tcPr>
            <w:tcW w:w="850" w:type="dxa"/>
          </w:tcPr>
          <w:p>
            <w:pPr>
              <w:pStyle w:val="0"/>
              <w:jc w:val="center"/>
            </w:pPr>
            <w:r>
              <w:rPr>
                <w:sz w:val="20"/>
              </w:rPr>
              <w:t xml:space="preserve">0,0</w:t>
            </w:r>
          </w:p>
        </w:tc>
        <w:tc>
          <w:tcPr>
            <w:tcW w:w="850" w:type="dxa"/>
          </w:tcPr>
          <w:p>
            <w:pPr>
              <w:pStyle w:val="0"/>
              <w:jc w:val="center"/>
            </w:pPr>
            <w:r>
              <w:rPr>
                <w:sz w:val="20"/>
              </w:rPr>
              <w:t xml:space="preserve">242,1</w:t>
            </w:r>
          </w:p>
        </w:tc>
        <w:tc>
          <w:tcPr>
            <w:tcW w:w="850" w:type="dxa"/>
          </w:tcPr>
          <w:p>
            <w:pPr>
              <w:pStyle w:val="0"/>
              <w:jc w:val="center"/>
            </w:pPr>
            <w:r>
              <w:rPr>
                <w:sz w:val="20"/>
              </w:rPr>
              <w:t xml:space="preserve">238,0</w:t>
            </w:r>
          </w:p>
        </w:tc>
        <w:tc>
          <w:tcPr>
            <w:tcW w:w="907" w:type="dxa"/>
          </w:tcPr>
          <w:p>
            <w:pPr>
              <w:pStyle w:val="0"/>
              <w:jc w:val="center"/>
            </w:pPr>
            <w:r>
              <w:rPr>
                <w:sz w:val="20"/>
              </w:rPr>
              <w:t xml:space="preserve">233,9</w:t>
            </w:r>
          </w:p>
        </w:tc>
        <w:tc>
          <w:tcPr>
            <w:tcW w:w="850" w:type="dxa"/>
          </w:tcPr>
          <w:p>
            <w:pPr>
              <w:pStyle w:val="0"/>
              <w:jc w:val="center"/>
            </w:pPr>
            <w:r>
              <w:rPr>
                <w:sz w:val="20"/>
              </w:rPr>
              <w:t xml:space="preserve">229,8</w:t>
            </w:r>
          </w:p>
        </w:tc>
        <w:tc>
          <w:tcPr>
            <w:tcW w:w="850" w:type="dxa"/>
          </w:tcPr>
          <w:p>
            <w:pPr>
              <w:pStyle w:val="0"/>
              <w:jc w:val="center"/>
            </w:pPr>
            <w:r>
              <w:rPr>
                <w:sz w:val="20"/>
              </w:rPr>
              <w:t xml:space="preserve">205,6</w:t>
            </w:r>
          </w:p>
        </w:tc>
      </w:tr>
      <w:tr>
        <w:tc>
          <w:tcPr>
            <w:tcW w:w="567" w:type="dxa"/>
          </w:tcPr>
          <w:p>
            <w:pPr>
              <w:pStyle w:val="0"/>
              <w:jc w:val="both"/>
            </w:pPr>
            <w:r>
              <w:rPr>
                <w:sz w:val="20"/>
              </w:rPr>
              <w:t xml:space="preserve">3.</w:t>
            </w:r>
          </w:p>
        </w:tc>
        <w:tc>
          <w:tcPr>
            <w:tcW w:w="3118" w:type="dxa"/>
          </w:tcPr>
          <w:p>
            <w:pPr>
              <w:pStyle w:val="0"/>
              <w:jc w:val="both"/>
            </w:pPr>
            <w:r>
              <w:rPr>
                <w:sz w:val="20"/>
              </w:rPr>
              <w:t xml:space="preserve">Доля ЗНО, выявленных на I - II стадиях, %</w:t>
            </w:r>
          </w:p>
        </w:tc>
        <w:tc>
          <w:tcPr>
            <w:tcW w:w="1361" w:type="dxa"/>
          </w:tcPr>
          <w:p>
            <w:pPr>
              <w:pStyle w:val="0"/>
              <w:jc w:val="center"/>
            </w:pPr>
            <w:r>
              <w:rPr>
                <w:sz w:val="20"/>
              </w:rPr>
              <w:t xml:space="preserve">56,1</w:t>
            </w:r>
          </w:p>
        </w:tc>
        <w:tc>
          <w:tcPr>
            <w:tcW w:w="1361" w:type="dxa"/>
          </w:tcPr>
          <w:p>
            <w:pPr>
              <w:pStyle w:val="0"/>
              <w:jc w:val="both"/>
            </w:pPr>
            <w:r>
              <w:rPr>
                <w:sz w:val="20"/>
              </w:rPr>
              <w:t xml:space="preserve">31.12.2017</w:t>
            </w:r>
          </w:p>
        </w:tc>
        <w:tc>
          <w:tcPr>
            <w:tcW w:w="850" w:type="dxa"/>
          </w:tcPr>
          <w:p>
            <w:pPr>
              <w:pStyle w:val="0"/>
              <w:jc w:val="center"/>
            </w:pPr>
            <w:r>
              <w:rPr>
                <w:sz w:val="20"/>
              </w:rPr>
              <w:t xml:space="preserve">57,2</w:t>
            </w:r>
          </w:p>
        </w:tc>
        <w:tc>
          <w:tcPr>
            <w:tcW w:w="850" w:type="dxa"/>
          </w:tcPr>
          <w:p>
            <w:pPr>
              <w:pStyle w:val="0"/>
              <w:jc w:val="center"/>
            </w:pPr>
            <w:r>
              <w:rPr>
                <w:sz w:val="20"/>
              </w:rPr>
              <w:t xml:space="preserve">57,2</w:t>
            </w:r>
          </w:p>
        </w:tc>
        <w:tc>
          <w:tcPr>
            <w:tcW w:w="850" w:type="dxa"/>
          </w:tcPr>
          <w:p>
            <w:pPr>
              <w:pStyle w:val="0"/>
              <w:jc w:val="center"/>
            </w:pPr>
            <w:r>
              <w:rPr>
                <w:sz w:val="20"/>
              </w:rPr>
              <w:t xml:space="preserve">58,7</w:t>
            </w:r>
          </w:p>
        </w:tc>
        <w:tc>
          <w:tcPr>
            <w:tcW w:w="850" w:type="dxa"/>
          </w:tcPr>
          <w:p>
            <w:pPr>
              <w:pStyle w:val="0"/>
              <w:jc w:val="center"/>
            </w:pPr>
            <w:r>
              <w:rPr>
                <w:sz w:val="20"/>
              </w:rPr>
              <w:t xml:space="preserve">59,1</w:t>
            </w:r>
          </w:p>
        </w:tc>
        <w:tc>
          <w:tcPr>
            <w:tcW w:w="907" w:type="dxa"/>
          </w:tcPr>
          <w:p>
            <w:pPr>
              <w:pStyle w:val="0"/>
              <w:jc w:val="center"/>
            </w:pPr>
            <w:r>
              <w:rPr>
                <w:sz w:val="20"/>
              </w:rPr>
              <w:t xml:space="preserve">59,7</w:t>
            </w:r>
          </w:p>
        </w:tc>
        <w:tc>
          <w:tcPr>
            <w:tcW w:w="850" w:type="dxa"/>
          </w:tcPr>
          <w:p>
            <w:pPr>
              <w:pStyle w:val="0"/>
              <w:jc w:val="center"/>
            </w:pPr>
            <w:r>
              <w:rPr>
                <w:sz w:val="20"/>
              </w:rPr>
              <w:t xml:space="preserve">61,5</w:t>
            </w:r>
          </w:p>
        </w:tc>
        <w:tc>
          <w:tcPr>
            <w:tcW w:w="850" w:type="dxa"/>
          </w:tcPr>
          <w:p>
            <w:pPr>
              <w:pStyle w:val="0"/>
              <w:jc w:val="center"/>
            </w:pPr>
            <w:r>
              <w:rPr>
                <w:sz w:val="20"/>
              </w:rPr>
              <w:t xml:space="preserve">65,0</w:t>
            </w:r>
          </w:p>
        </w:tc>
      </w:tr>
      <w:tr>
        <w:tc>
          <w:tcPr>
            <w:tcW w:w="567" w:type="dxa"/>
          </w:tcPr>
          <w:p>
            <w:pPr>
              <w:pStyle w:val="0"/>
              <w:jc w:val="both"/>
            </w:pPr>
            <w:r>
              <w:rPr>
                <w:sz w:val="20"/>
              </w:rPr>
              <w:t xml:space="preserve">4.</w:t>
            </w:r>
          </w:p>
        </w:tc>
        <w:tc>
          <w:tcPr>
            <w:tcW w:w="3118" w:type="dxa"/>
          </w:tcPr>
          <w:p>
            <w:pPr>
              <w:pStyle w:val="0"/>
              <w:jc w:val="both"/>
            </w:pPr>
            <w:r>
              <w:rPr>
                <w:sz w:val="20"/>
              </w:rPr>
              <w:t xml:space="preserve">Удельный вес больных с ЗНО, состоящих под диспансерным наблюдением 5 лет и более, %</w:t>
            </w:r>
          </w:p>
        </w:tc>
        <w:tc>
          <w:tcPr>
            <w:tcW w:w="1361" w:type="dxa"/>
          </w:tcPr>
          <w:p>
            <w:pPr>
              <w:pStyle w:val="0"/>
              <w:jc w:val="center"/>
            </w:pPr>
            <w:r>
              <w:rPr>
                <w:sz w:val="20"/>
              </w:rPr>
              <w:t xml:space="preserve">43</w:t>
            </w:r>
          </w:p>
        </w:tc>
        <w:tc>
          <w:tcPr>
            <w:tcW w:w="1361" w:type="dxa"/>
          </w:tcPr>
          <w:p>
            <w:pPr>
              <w:pStyle w:val="0"/>
              <w:jc w:val="both"/>
            </w:pPr>
            <w:r>
              <w:rPr>
                <w:sz w:val="20"/>
              </w:rPr>
              <w:t xml:space="preserve">31.12.2017</w:t>
            </w:r>
          </w:p>
        </w:tc>
        <w:tc>
          <w:tcPr>
            <w:tcW w:w="850" w:type="dxa"/>
          </w:tcPr>
          <w:p>
            <w:pPr>
              <w:pStyle w:val="0"/>
              <w:jc w:val="center"/>
            </w:pPr>
            <w:r>
              <w:rPr>
                <w:sz w:val="20"/>
              </w:rPr>
              <w:t xml:space="preserve">45,7</w:t>
            </w:r>
          </w:p>
        </w:tc>
        <w:tc>
          <w:tcPr>
            <w:tcW w:w="850" w:type="dxa"/>
          </w:tcPr>
          <w:p>
            <w:pPr>
              <w:pStyle w:val="0"/>
              <w:jc w:val="center"/>
            </w:pPr>
            <w:r>
              <w:rPr>
                <w:sz w:val="20"/>
              </w:rPr>
              <w:t xml:space="preserve">47,9</w:t>
            </w:r>
          </w:p>
        </w:tc>
        <w:tc>
          <w:tcPr>
            <w:tcW w:w="850" w:type="dxa"/>
          </w:tcPr>
          <w:p>
            <w:pPr>
              <w:pStyle w:val="0"/>
              <w:jc w:val="center"/>
            </w:pPr>
            <w:r>
              <w:rPr>
                <w:sz w:val="20"/>
              </w:rPr>
              <w:t xml:space="preserve">51,2</w:t>
            </w:r>
          </w:p>
        </w:tc>
        <w:tc>
          <w:tcPr>
            <w:tcW w:w="850" w:type="dxa"/>
          </w:tcPr>
          <w:p>
            <w:pPr>
              <w:pStyle w:val="0"/>
              <w:jc w:val="center"/>
            </w:pPr>
            <w:r>
              <w:rPr>
                <w:sz w:val="20"/>
              </w:rPr>
              <w:t xml:space="preserve">53,7</w:t>
            </w:r>
          </w:p>
        </w:tc>
        <w:tc>
          <w:tcPr>
            <w:tcW w:w="907" w:type="dxa"/>
          </w:tcPr>
          <w:p>
            <w:pPr>
              <w:pStyle w:val="0"/>
              <w:jc w:val="center"/>
            </w:pPr>
            <w:r>
              <w:rPr>
                <w:sz w:val="20"/>
              </w:rPr>
              <w:t xml:space="preserve">55,9</w:t>
            </w:r>
          </w:p>
        </w:tc>
        <w:tc>
          <w:tcPr>
            <w:tcW w:w="850" w:type="dxa"/>
          </w:tcPr>
          <w:p>
            <w:pPr>
              <w:pStyle w:val="0"/>
              <w:jc w:val="center"/>
            </w:pPr>
            <w:r>
              <w:rPr>
                <w:sz w:val="20"/>
              </w:rPr>
              <w:t xml:space="preserve">60</w:t>
            </w:r>
          </w:p>
        </w:tc>
        <w:tc>
          <w:tcPr>
            <w:tcW w:w="850" w:type="dxa"/>
          </w:tcPr>
          <w:p>
            <w:pPr>
              <w:pStyle w:val="0"/>
              <w:jc w:val="center"/>
            </w:pPr>
            <w:r>
              <w:rPr>
                <w:sz w:val="20"/>
              </w:rPr>
              <w:t xml:space="preserve">63,0</w:t>
            </w:r>
          </w:p>
        </w:tc>
      </w:tr>
      <w:tr>
        <w:tc>
          <w:tcPr>
            <w:tcW w:w="567" w:type="dxa"/>
          </w:tcPr>
          <w:p>
            <w:pPr>
              <w:pStyle w:val="0"/>
              <w:jc w:val="both"/>
            </w:pPr>
            <w:r>
              <w:rPr>
                <w:sz w:val="20"/>
              </w:rPr>
              <w:t xml:space="preserve">5.</w:t>
            </w:r>
          </w:p>
        </w:tc>
        <w:tc>
          <w:tcPr>
            <w:tcW w:w="3118" w:type="dxa"/>
          </w:tcPr>
          <w:p>
            <w:pPr>
              <w:pStyle w:val="0"/>
              <w:jc w:val="both"/>
            </w:pPr>
            <w:r>
              <w:rPr>
                <w:sz w:val="20"/>
              </w:rPr>
              <w:t xml:space="preserve">Одногодичная летальность больных с ЗНО (умерли в течение первого года с момента установления диагноза из числа больных, впервые взятых под диспансерное наблюдение в предыдущем году), %</w:t>
            </w:r>
          </w:p>
        </w:tc>
        <w:tc>
          <w:tcPr>
            <w:tcW w:w="1361" w:type="dxa"/>
          </w:tcPr>
          <w:p>
            <w:pPr>
              <w:pStyle w:val="0"/>
              <w:jc w:val="center"/>
            </w:pPr>
            <w:r>
              <w:rPr>
                <w:sz w:val="20"/>
              </w:rPr>
              <w:t xml:space="preserve">21,5</w:t>
            </w:r>
          </w:p>
        </w:tc>
        <w:tc>
          <w:tcPr>
            <w:tcW w:w="1361" w:type="dxa"/>
          </w:tcPr>
          <w:p>
            <w:pPr>
              <w:pStyle w:val="0"/>
              <w:jc w:val="both"/>
            </w:pPr>
            <w:r>
              <w:rPr>
                <w:sz w:val="20"/>
              </w:rPr>
              <w:t xml:space="preserve">31.12.2017</w:t>
            </w:r>
          </w:p>
        </w:tc>
        <w:tc>
          <w:tcPr>
            <w:tcW w:w="850" w:type="dxa"/>
          </w:tcPr>
          <w:p>
            <w:pPr>
              <w:pStyle w:val="0"/>
              <w:jc w:val="center"/>
            </w:pPr>
            <w:r>
              <w:rPr>
                <w:sz w:val="20"/>
              </w:rPr>
              <w:t xml:space="preserve">20,6</w:t>
            </w:r>
          </w:p>
        </w:tc>
        <w:tc>
          <w:tcPr>
            <w:tcW w:w="850" w:type="dxa"/>
          </w:tcPr>
          <w:p>
            <w:pPr>
              <w:pStyle w:val="0"/>
              <w:jc w:val="center"/>
            </w:pPr>
            <w:r>
              <w:rPr>
                <w:sz w:val="20"/>
              </w:rPr>
              <w:t xml:space="preserve">19,9</w:t>
            </w:r>
          </w:p>
        </w:tc>
        <w:tc>
          <w:tcPr>
            <w:tcW w:w="850" w:type="dxa"/>
          </w:tcPr>
          <w:p>
            <w:pPr>
              <w:pStyle w:val="0"/>
              <w:jc w:val="center"/>
            </w:pPr>
            <w:r>
              <w:rPr>
                <w:sz w:val="20"/>
              </w:rPr>
              <w:t xml:space="preserve">19,2</w:t>
            </w:r>
          </w:p>
        </w:tc>
        <w:tc>
          <w:tcPr>
            <w:tcW w:w="850" w:type="dxa"/>
          </w:tcPr>
          <w:p>
            <w:pPr>
              <w:pStyle w:val="0"/>
              <w:jc w:val="center"/>
            </w:pPr>
            <w:r>
              <w:rPr>
                <w:sz w:val="20"/>
              </w:rPr>
              <w:t xml:space="preserve">19,6</w:t>
            </w:r>
          </w:p>
        </w:tc>
        <w:tc>
          <w:tcPr>
            <w:tcW w:w="907" w:type="dxa"/>
          </w:tcPr>
          <w:p>
            <w:pPr>
              <w:pStyle w:val="0"/>
              <w:jc w:val="center"/>
            </w:pPr>
            <w:r>
              <w:rPr>
                <w:sz w:val="20"/>
              </w:rPr>
              <w:t xml:space="preserve">19,3</w:t>
            </w:r>
          </w:p>
        </w:tc>
        <w:tc>
          <w:tcPr>
            <w:tcW w:w="850" w:type="dxa"/>
          </w:tcPr>
          <w:p>
            <w:pPr>
              <w:pStyle w:val="0"/>
              <w:jc w:val="center"/>
            </w:pPr>
            <w:r>
              <w:rPr>
                <w:sz w:val="20"/>
              </w:rPr>
              <w:t xml:space="preserve">19,1</w:t>
            </w:r>
          </w:p>
        </w:tc>
        <w:tc>
          <w:tcPr>
            <w:tcW w:w="850" w:type="dxa"/>
          </w:tcPr>
          <w:p>
            <w:pPr>
              <w:pStyle w:val="0"/>
              <w:jc w:val="center"/>
            </w:pPr>
            <w:r>
              <w:rPr>
                <w:sz w:val="20"/>
              </w:rPr>
              <w:t xml:space="preserve">16,0</w:t>
            </w:r>
          </w:p>
        </w:tc>
      </w:tr>
      <w:tr>
        <w:tc>
          <w:tcPr>
            <w:tcW w:w="567" w:type="dxa"/>
          </w:tcPr>
          <w:p>
            <w:pPr>
              <w:pStyle w:val="0"/>
              <w:jc w:val="both"/>
            </w:pPr>
            <w:r>
              <w:rPr>
                <w:sz w:val="20"/>
              </w:rPr>
              <w:t xml:space="preserve">6.</w:t>
            </w:r>
          </w:p>
        </w:tc>
        <w:tc>
          <w:tcPr>
            <w:tcW w:w="3118" w:type="dxa"/>
          </w:tcPr>
          <w:p>
            <w:pPr>
              <w:pStyle w:val="0"/>
              <w:jc w:val="both"/>
            </w:pPr>
            <w:r>
              <w:rPr>
                <w:sz w:val="20"/>
              </w:rPr>
              <w:t xml:space="preserve">Доля лиц с онкологическими заболеваниями, прошедших обследование и/или лечение в текущем году, из числа состоящих под диспансерным наблюдением, %</w:t>
            </w:r>
          </w:p>
        </w:tc>
        <w:tc>
          <w:tcPr>
            <w:tcW w:w="1361" w:type="dxa"/>
          </w:tcPr>
          <w:p>
            <w:pPr>
              <w:pStyle w:val="0"/>
              <w:jc w:val="center"/>
            </w:pPr>
            <w:r>
              <w:rPr>
                <w:sz w:val="20"/>
              </w:rPr>
              <w:t xml:space="preserve">66</w:t>
            </w:r>
          </w:p>
        </w:tc>
        <w:tc>
          <w:tcPr>
            <w:tcW w:w="1361" w:type="dxa"/>
          </w:tcPr>
          <w:p>
            <w:pPr>
              <w:pStyle w:val="0"/>
              <w:jc w:val="both"/>
            </w:pPr>
            <w:r>
              <w:rPr>
                <w:sz w:val="20"/>
              </w:rPr>
              <w:t xml:space="preserve">31.12.2019</w:t>
            </w:r>
          </w:p>
        </w:tc>
        <w:tc>
          <w:tcPr>
            <w:tcW w:w="850" w:type="dxa"/>
          </w:tcPr>
          <w:p>
            <w:pPr>
              <w:pStyle w:val="0"/>
              <w:jc w:val="center"/>
            </w:pPr>
            <w:r>
              <w:rPr>
                <w:sz w:val="20"/>
              </w:rPr>
              <w:t xml:space="preserve">0,0</w:t>
            </w:r>
          </w:p>
        </w:tc>
        <w:tc>
          <w:tcPr>
            <w:tcW w:w="850" w:type="dxa"/>
          </w:tcPr>
          <w:p>
            <w:pPr>
              <w:pStyle w:val="0"/>
              <w:jc w:val="center"/>
            </w:pPr>
            <w:r>
              <w:rPr>
                <w:sz w:val="20"/>
              </w:rPr>
              <w:t xml:space="preserve">0,0</w:t>
            </w:r>
          </w:p>
        </w:tc>
        <w:tc>
          <w:tcPr>
            <w:tcW w:w="850" w:type="dxa"/>
          </w:tcPr>
          <w:p>
            <w:pPr>
              <w:pStyle w:val="0"/>
              <w:jc w:val="center"/>
            </w:pPr>
            <w:r>
              <w:rPr>
                <w:sz w:val="20"/>
              </w:rPr>
              <w:t xml:space="preserve">66</w:t>
            </w:r>
          </w:p>
        </w:tc>
        <w:tc>
          <w:tcPr>
            <w:tcW w:w="850" w:type="dxa"/>
          </w:tcPr>
          <w:p>
            <w:pPr>
              <w:pStyle w:val="0"/>
              <w:jc w:val="center"/>
            </w:pPr>
            <w:r>
              <w:rPr>
                <w:sz w:val="20"/>
              </w:rPr>
              <w:t xml:space="preserve">70</w:t>
            </w:r>
          </w:p>
        </w:tc>
        <w:tc>
          <w:tcPr>
            <w:tcW w:w="907" w:type="dxa"/>
          </w:tcPr>
          <w:p>
            <w:pPr>
              <w:pStyle w:val="0"/>
              <w:jc w:val="center"/>
            </w:pPr>
            <w:r>
              <w:rPr>
                <w:sz w:val="20"/>
              </w:rPr>
              <w:t xml:space="preserve">75</w:t>
            </w:r>
          </w:p>
        </w:tc>
        <w:tc>
          <w:tcPr>
            <w:tcW w:w="850" w:type="dxa"/>
          </w:tcPr>
          <w:p>
            <w:pPr>
              <w:pStyle w:val="0"/>
              <w:jc w:val="center"/>
            </w:pPr>
            <w:r>
              <w:rPr>
                <w:sz w:val="20"/>
              </w:rPr>
              <w:t xml:space="preserve">80</w:t>
            </w:r>
          </w:p>
        </w:tc>
        <w:tc>
          <w:tcPr>
            <w:tcW w:w="850" w:type="dxa"/>
          </w:tcPr>
          <w:p>
            <w:pPr>
              <w:pStyle w:val="0"/>
              <w:jc w:val="center"/>
            </w:pPr>
            <w:r>
              <w:rPr>
                <w:sz w:val="20"/>
              </w:rPr>
              <w:t xml:space="preserve">90</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Оценка степени достижения результата определяется вышеуказанными статистическими показателями. Статистическая информация формируется в автоматизированном виде в Региональной медицинской информационной системе АИС "Витакор" и Канцер-регистре.</w:t>
      </w:r>
    </w:p>
    <w:p>
      <w:pPr>
        <w:pStyle w:val="0"/>
        <w:spacing w:before="200" w:line-rule="auto"/>
        <w:ind w:firstLine="540"/>
        <w:jc w:val="both"/>
      </w:pPr>
      <w:r>
        <w:rPr>
          <w:sz w:val="20"/>
        </w:rPr>
        <w:t xml:space="preserve">Участники региональной программы:</w:t>
      </w:r>
    </w:p>
    <w:p>
      <w:pPr>
        <w:pStyle w:val="0"/>
        <w:spacing w:before="200" w:line-rule="auto"/>
        <w:ind w:firstLine="540"/>
        <w:jc w:val="both"/>
      </w:pPr>
      <w:r>
        <w:rPr>
          <w:sz w:val="20"/>
        </w:rPr>
        <w:t xml:space="preserve">заместитель Губернатора города Севастополя;</w:t>
      </w:r>
    </w:p>
    <w:p>
      <w:pPr>
        <w:pStyle w:val="0"/>
        <w:spacing w:before="200" w:line-rule="auto"/>
        <w:ind w:firstLine="540"/>
        <w:jc w:val="both"/>
      </w:pPr>
      <w:r>
        <w:rPr>
          <w:sz w:val="20"/>
        </w:rPr>
        <w:t xml:space="preserve">Управление информационной политики города Севастополя;</w:t>
      </w:r>
    </w:p>
    <w:p>
      <w:pPr>
        <w:pStyle w:val="0"/>
        <w:spacing w:before="200" w:line-rule="auto"/>
        <w:ind w:firstLine="540"/>
        <w:jc w:val="both"/>
      </w:pPr>
      <w:r>
        <w:rPr>
          <w:sz w:val="20"/>
        </w:rPr>
        <w:t xml:space="preserve">Территориальный фонд ОМС;</w:t>
      </w:r>
    </w:p>
    <w:p>
      <w:pPr>
        <w:pStyle w:val="0"/>
        <w:spacing w:before="200" w:line-rule="auto"/>
        <w:ind w:firstLine="540"/>
        <w:jc w:val="both"/>
      </w:pPr>
      <w:r>
        <w:rPr>
          <w:sz w:val="20"/>
        </w:rPr>
        <w:t xml:space="preserve">ФКУ "Главное бюро медико-социальной экспертизы по г. Севастополю" Министерства труда и социальной защиты Российской Федерации;</w:t>
      </w:r>
    </w:p>
    <w:p>
      <w:pPr>
        <w:pStyle w:val="0"/>
        <w:spacing w:before="200" w:line-rule="auto"/>
        <w:ind w:firstLine="540"/>
        <w:jc w:val="both"/>
      </w:pPr>
      <w:r>
        <w:rPr>
          <w:sz w:val="20"/>
        </w:rPr>
        <w:t xml:space="preserve">ГУ - Севастопольское региональное отделение Фонда социального страхования Российской Федерации;</w:t>
      </w:r>
    </w:p>
    <w:p>
      <w:pPr>
        <w:pStyle w:val="0"/>
        <w:spacing w:before="200" w:line-rule="auto"/>
        <w:ind w:firstLine="540"/>
        <w:jc w:val="both"/>
      </w:pPr>
      <w:r>
        <w:rPr>
          <w:sz w:val="20"/>
        </w:rPr>
        <w:t xml:space="preserve">Департамент здравоохранения города Севастополя;</w:t>
      </w:r>
    </w:p>
    <w:p>
      <w:pPr>
        <w:pStyle w:val="0"/>
        <w:spacing w:before="200" w:line-rule="auto"/>
        <w:ind w:firstLine="540"/>
        <w:jc w:val="both"/>
      </w:pPr>
      <w:r>
        <w:rPr>
          <w:sz w:val="20"/>
        </w:rPr>
        <w:t xml:space="preserve">ГБУЗС "МИАЦ";</w:t>
      </w:r>
    </w:p>
    <w:p>
      <w:pPr>
        <w:pStyle w:val="0"/>
        <w:spacing w:before="200" w:line-rule="auto"/>
        <w:ind w:firstLine="540"/>
        <w:jc w:val="both"/>
      </w:pPr>
      <w:r>
        <w:rPr>
          <w:sz w:val="20"/>
        </w:rPr>
        <w:t xml:space="preserve">ГБУЗС "Городская больница N 1 им. Н.И. Пирогова";</w:t>
      </w:r>
    </w:p>
    <w:p>
      <w:pPr>
        <w:pStyle w:val="0"/>
        <w:spacing w:before="200" w:line-rule="auto"/>
        <w:ind w:firstLine="540"/>
        <w:jc w:val="both"/>
      </w:pPr>
      <w:r>
        <w:rPr>
          <w:sz w:val="20"/>
        </w:rPr>
        <w:t xml:space="preserve">ГБУЗС "Городская больница N 4";</w:t>
      </w:r>
    </w:p>
    <w:p>
      <w:pPr>
        <w:pStyle w:val="0"/>
        <w:spacing w:before="200" w:line-rule="auto"/>
        <w:ind w:firstLine="540"/>
        <w:jc w:val="both"/>
      </w:pPr>
      <w:r>
        <w:rPr>
          <w:sz w:val="20"/>
        </w:rPr>
        <w:t xml:space="preserve">ГБУЗС "Городская больница N 9";</w:t>
      </w:r>
    </w:p>
    <w:p>
      <w:pPr>
        <w:pStyle w:val="0"/>
        <w:spacing w:before="200" w:line-rule="auto"/>
        <w:ind w:firstLine="540"/>
        <w:jc w:val="both"/>
      </w:pPr>
      <w:r>
        <w:rPr>
          <w:sz w:val="20"/>
        </w:rPr>
        <w:t xml:space="preserve">ГБУЗС "Севастопольский городской онкологический диспансер имени А.А. Задорожного".</w:t>
      </w:r>
    </w:p>
    <w:p>
      <w:pPr>
        <w:pStyle w:val="0"/>
        <w:ind w:firstLine="540"/>
        <w:jc w:val="both"/>
      </w:pPr>
      <w:r>
        <w:rPr>
          <w:sz w:val="20"/>
        </w:rPr>
      </w:r>
    </w:p>
    <w:p>
      <w:pPr>
        <w:pStyle w:val="2"/>
        <w:outlineLvl w:val="2"/>
        <w:jc w:val="center"/>
      </w:pPr>
      <w:r>
        <w:rPr>
          <w:sz w:val="20"/>
        </w:rPr>
        <w:t xml:space="preserve">3. Задачи региональной программы</w:t>
      </w:r>
    </w:p>
    <w:p>
      <w:pPr>
        <w:pStyle w:val="0"/>
        <w:jc w:val="center"/>
      </w:pPr>
      <w:r>
        <w:rPr>
          <w:sz w:val="20"/>
        </w:rPr>
      </w:r>
    </w:p>
    <w:p>
      <w:pPr>
        <w:pStyle w:val="0"/>
        <w:ind w:firstLine="540"/>
        <w:jc w:val="both"/>
      </w:pPr>
      <w:r>
        <w:rPr>
          <w:sz w:val="20"/>
        </w:rPr>
        <w:t xml:space="preserve">1. Приведение онкологической службы в соответствие требованиям </w:t>
      </w:r>
      <w:hyperlink w:history="0" r:id="rId676"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приказа</w:t>
        </w:r>
      </w:hyperlink>
      <w:r>
        <w:rPr>
          <w:sz w:val="20"/>
        </w:rPr>
        <w:t xml:space="preserve"> Министерства здравоохранения Российской Федерации от 19.02.2021 N 116н "Об утверждении Порядка оказания медицинской помощи взрослому населению при онкологических заболеваниях": реорганизация медицинских организаций, оказывающих медицинскую помощь пациентам с онкологическими заболеваниями, в части коечной мощности, наименований, пересмотр маршрутизации пациентов с онкологическими заболеваниями для оказания специализированной медицинской помощи в части противоопухолевого лечения.</w:t>
      </w:r>
    </w:p>
    <w:p>
      <w:pPr>
        <w:pStyle w:val="0"/>
        <w:spacing w:before="200" w:line-rule="auto"/>
        <w:ind w:firstLine="540"/>
        <w:jc w:val="both"/>
      </w:pPr>
      <w:r>
        <w:rPr>
          <w:sz w:val="20"/>
        </w:rPr>
        <w:t xml:space="preserve">2. Совершенствование комплекса мер первичной профилактики онкологических заболеваний:</w:t>
      </w:r>
    </w:p>
    <w:p>
      <w:pPr>
        <w:pStyle w:val="0"/>
        <w:spacing w:before="200" w:line-rule="auto"/>
        <w:ind w:firstLine="540"/>
        <w:jc w:val="both"/>
      </w:pPr>
      <w:r>
        <w:rPr>
          <w:sz w:val="20"/>
        </w:rPr>
        <w:t xml:space="preserve">- организация работы по динамическому наблюдению групп населения повышенного онкологического риска главными внештатными специалистами Департамента здравоохранения города Севастополя (определение целевой группы населения, диспансерное наблюдение).</w:t>
      </w:r>
    </w:p>
    <w:p>
      <w:pPr>
        <w:pStyle w:val="0"/>
        <w:spacing w:before="200" w:line-rule="auto"/>
        <w:ind w:firstLine="540"/>
        <w:jc w:val="both"/>
      </w:pPr>
      <w:r>
        <w:rPr>
          <w:sz w:val="20"/>
        </w:rPr>
        <w:t xml:space="preserve">3. Внедрение комплекса мер, направленных на развитие амбулаторно-поликлинического звена онкологической службы:</w:t>
      </w:r>
    </w:p>
    <w:p>
      <w:pPr>
        <w:pStyle w:val="0"/>
        <w:spacing w:before="200" w:line-rule="auto"/>
        <w:ind w:firstLine="540"/>
        <w:jc w:val="both"/>
      </w:pPr>
      <w:r>
        <w:rPr>
          <w:sz w:val="20"/>
        </w:rPr>
        <w:t xml:space="preserve">- актуализация паспортов терапевтических участков с обязательным выделением групп пациентов по имеющимся заболеваниям, включая предопухолевые и злокачественные новообразования;</w:t>
      </w:r>
    </w:p>
    <w:p>
      <w:pPr>
        <w:pStyle w:val="0"/>
        <w:spacing w:before="200" w:line-rule="auto"/>
        <w:ind w:firstLine="540"/>
        <w:jc w:val="both"/>
      </w:pPr>
      <w:r>
        <w:rPr>
          <w:sz w:val="20"/>
        </w:rPr>
        <w:t xml:space="preserve">- совершенствование работы смотровых кабинетов с учетом требований </w:t>
      </w:r>
      <w:hyperlink w:history="0" r:id="rId677" w:tooltip="Приказ Минздрава России от 27.04.2021 N 404н (ред. от 28.09.2023) &quot;Об утверждении Порядка проведения профилактического медицинского осмотра и диспансеризации определенных групп взрослого населения&quot; (Зарегистрировано в Минюсте России 30.06.2021 N 64042) {КонсультантПлюс}">
        <w:r>
          <w:rPr>
            <w:sz w:val="20"/>
            <w:color w:val="0000ff"/>
          </w:rPr>
          <w:t xml:space="preserve">приказа</w:t>
        </w:r>
      </w:hyperlink>
      <w:r>
        <w:rPr>
          <w:sz w:val="20"/>
        </w:rPr>
        <w:t xml:space="preserve"> Министерства здравоохранения Российской Федерации от 27.04.2021 N 404н "Об утверждении Порядка проведения профилактического медицинского осмотра и диспансеризации определенных групп взрослого населения" (ежегодный с 18 лет прием по результатам профилактического медицинского осмотра, в том числе осмотр на выявление визуальных и иных локализаций онкологических заболеваний, включающий осмотр кожных покровов, слизистых губ и ротовой полости, пальпацию щитовидной железы, лимфатических узлов);</w:t>
      </w:r>
    </w:p>
    <w:p>
      <w:pPr>
        <w:pStyle w:val="0"/>
        <w:spacing w:before="200" w:line-rule="auto"/>
        <w:ind w:firstLine="540"/>
        <w:jc w:val="both"/>
      </w:pPr>
      <w:r>
        <w:rPr>
          <w:sz w:val="20"/>
        </w:rPr>
        <w:t xml:space="preserve">- повышение онконастороженности врачей-терапевтов участковых и врачей-специалистов (организация ежеквартальных обучающих мероприятий, в том числе с участием специалистов НМИЦ и дистанционного непрерывного медицинского образования);</w:t>
      </w:r>
    </w:p>
    <w:p>
      <w:pPr>
        <w:pStyle w:val="0"/>
        <w:spacing w:before="200" w:line-rule="auto"/>
        <w:ind w:firstLine="540"/>
        <w:jc w:val="both"/>
      </w:pPr>
      <w:r>
        <w:rPr>
          <w:sz w:val="20"/>
        </w:rPr>
        <w:t xml:space="preserve">- разработка и внедрение скрининговых исследований на выявление онкопатологии (колоректальных раков молочной железы, предстательной железы, легких, кожи): формирование списка целевых групп, подлежащих скрининговым осмотрам, из числа прикрепленного к медицинским организациям населения и информирование населения целевой группы о необходимости прохождения скрининговых осмотров и исследований.</w:t>
      </w:r>
    </w:p>
    <w:p>
      <w:pPr>
        <w:pStyle w:val="0"/>
        <w:spacing w:before="200" w:line-rule="auto"/>
        <w:ind w:firstLine="540"/>
        <w:jc w:val="both"/>
      </w:pPr>
      <w:r>
        <w:rPr>
          <w:sz w:val="20"/>
        </w:rPr>
        <w:t xml:space="preserve">4. В целях приведения медицинских организаций в соответствие в части оснащенности медицинским оборудованием к утвержденным требованиям, включая стандарты обследования в целях установления диагноза заболевания и подготовки к противоопухолевому лечению, необходимо проведение следующих мероприятий:</w:t>
      </w:r>
    </w:p>
    <w:p>
      <w:pPr>
        <w:pStyle w:val="0"/>
        <w:spacing w:before="200" w:line-rule="auto"/>
        <w:ind w:firstLine="540"/>
        <w:jc w:val="both"/>
      </w:pPr>
      <w:r>
        <w:rPr>
          <w:sz w:val="20"/>
        </w:rPr>
        <w:t xml:space="preserve">- анализ использования и потребности в диагностическом оборудовании;</w:t>
      </w:r>
    </w:p>
    <w:p>
      <w:pPr>
        <w:pStyle w:val="0"/>
        <w:spacing w:before="200" w:line-rule="auto"/>
        <w:ind w:firstLine="540"/>
        <w:jc w:val="both"/>
      </w:pPr>
      <w:r>
        <w:rPr>
          <w:sz w:val="20"/>
        </w:rPr>
        <w:t xml:space="preserve">- анализ мероприятий по повышению эффективности рационального использования оборудования (например, двухсменная работа, работа в выходные дни);</w:t>
      </w:r>
    </w:p>
    <w:p>
      <w:pPr>
        <w:pStyle w:val="0"/>
        <w:spacing w:before="200" w:line-rule="auto"/>
        <w:ind w:firstLine="540"/>
        <w:jc w:val="both"/>
      </w:pPr>
      <w:r>
        <w:rPr>
          <w:sz w:val="20"/>
        </w:rPr>
        <w:t xml:space="preserve">- подготовка кадров для обеспечения бесперебойной работы тяжелого оборудования;</w:t>
      </w:r>
    </w:p>
    <w:p>
      <w:pPr>
        <w:pStyle w:val="0"/>
        <w:spacing w:before="200" w:line-rule="auto"/>
        <w:ind w:firstLine="540"/>
        <w:jc w:val="both"/>
      </w:pPr>
      <w:r>
        <w:rPr>
          <w:sz w:val="20"/>
        </w:rPr>
        <w:t xml:space="preserve">- введение двухсменной работы, а также работы в выходные дни всего медицинского оборудования, задействованного в оказании медицинской помощи пациентам с подозрением, а также с подтвержденным диагнозом онкологического заболевания;</w:t>
      </w:r>
    </w:p>
    <w:p>
      <w:pPr>
        <w:pStyle w:val="0"/>
        <w:spacing w:before="200" w:line-rule="auto"/>
        <w:ind w:firstLine="540"/>
        <w:jc w:val="both"/>
      </w:pPr>
      <w:r>
        <w:rPr>
          <w:sz w:val="20"/>
        </w:rPr>
        <w:t xml:space="preserve">- приобретение оборудования для Центра амбулаторной онкологической помощи (инфузоматы, кровати (кресла) для больных, видеоэндоскопическое оборудование, аппараты для ультразвуковой диагностики) в ГБУЗС "Городская больница N 1 им. Н.И. Пирогова".</w:t>
      </w:r>
    </w:p>
    <w:p>
      <w:pPr>
        <w:pStyle w:val="0"/>
        <w:spacing w:before="200" w:line-rule="auto"/>
        <w:ind w:firstLine="540"/>
        <w:jc w:val="both"/>
      </w:pPr>
      <w:r>
        <w:rPr>
          <w:sz w:val="20"/>
        </w:rPr>
        <w:t xml:space="preserve">5. Строительство многопрофильного лечебно-диагностического корпуса онкологического диспансера на 150 коек, предусмотренное </w:t>
      </w:r>
      <w:hyperlink w:history="0" r:id="rId678"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постановлением</w:t>
        </w:r>
      </w:hyperlink>
      <w:r>
        <w:rPr>
          <w:sz w:val="20"/>
        </w:rPr>
        <w:t xml:space="preserve"> Правительства Российской Федерации от 30.01.2019 N 63 "Об утверждении государственной программы Российской Федерации "Социально-экономическое развитие Республики Крым и г. Севастополя" (год начала строительных работ - 2021).</w:t>
      </w:r>
    </w:p>
    <w:p>
      <w:pPr>
        <w:pStyle w:val="0"/>
        <w:spacing w:before="200" w:line-rule="auto"/>
        <w:ind w:firstLine="540"/>
        <w:jc w:val="both"/>
      </w:pPr>
      <w:r>
        <w:rPr>
          <w:sz w:val="20"/>
        </w:rPr>
        <w:t xml:space="preserve">6. Внедрение информационных технологий в работу онкологической службы:</w:t>
      </w:r>
    </w:p>
    <w:p>
      <w:pPr>
        <w:pStyle w:val="0"/>
        <w:spacing w:before="200" w:line-rule="auto"/>
        <w:ind w:firstLine="540"/>
        <w:jc w:val="both"/>
      </w:pPr>
      <w:r>
        <w:rPr>
          <w:sz w:val="20"/>
        </w:rPr>
        <w:t xml:space="preserve">- обеспечение автоматизированных рабочих мест врачей-онкологов компьютерной техникой;</w:t>
      </w:r>
    </w:p>
    <w:p>
      <w:pPr>
        <w:pStyle w:val="0"/>
        <w:spacing w:before="200" w:line-rule="auto"/>
        <w:ind w:firstLine="540"/>
        <w:jc w:val="both"/>
      </w:pPr>
      <w:r>
        <w:rPr>
          <w:sz w:val="20"/>
        </w:rPr>
        <w:t xml:space="preserve">- внедрение централизованных систем "Управление потоками пациентов", "Интегрированная электронная медицинская карта", "Центральный архив медицинских изображений" и "Организация оказания медицинской помощи больным онкологическими заболеваниями" во всех медицинских организациях, оказывающих медицинскую помощи пациентам с ЗНО, до 31.12.2024;</w:t>
      </w:r>
    </w:p>
    <w:p>
      <w:pPr>
        <w:pStyle w:val="0"/>
        <w:spacing w:before="200" w:line-rule="auto"/>
        <w:ind w:firstLine="540"/>
        <w:jc w:val="both"/>
      </w:pPr>
      <w:r>
        <w:rPr>
          <w:sz w:val="20"/>
        </w:rPr>
        <w:t xml:space="preserve">- создание и внедрение виртуального кабинета пациента.</w:t>
      </w:r>
    </w:p>
    <w:p>
      <w:pPr>
        <w:pStyle w:val="0"/>
        <w:spacing w:before="200" w:line-rule="auto"/>
        <w:ind w:firstLine="540"/>
        <w:jc w:val="both"/>
      </w:pPr>
      <w:r>
        <w:rPr>
          <w:sz w:val="20"/>
        </w:rPr>
        <w:t xml:space="preserve">7. Совершенствование медицинской помощи пациентам онкологического профиля:</w:t>
      </w:r>
    </w:p>
    <w:p>
      <w:pPr>
        <w:pStyle w:val="0"/>
        <w:spacing w:before="200" w:line-rule="auto"/>
        <w:ind w:firstLine="540"/>
        <w:jc w:val="both"/>
      </w:pPr>
      <w:r>
        <w:rPr>
          <w:sz w:val="20"/>
        </w:rPr>
        <w:t xml:space="preserve">- мониторинг исполнения нормативно-правовых актов, контроль за исполнением актов по организации маршрутизации и медицинской помощи пациентам с предопухолевыми заболеваниями и ЗНО;</w:t>
      </w:r>
    </w:p>
    <w:p>
      <w:pPr>
        <w:pStyle w:val="0"/>
        <w:spacing w:before="200" w:line-rule="auto"/>
        <w:ind w:firstLine="540"/>
        <w:jc w:val="both"/>
      </w:pPr>
      <w:r>
        <w:rPr>
          <w:sz w:val="20"/>
        </w:rPr>
        <w:t xml:space="preserve">- совершенствование уровня знаний врачей и средних медицинских работников (телеконференции, дистанционное обучение в рамках регионального научно-практического образовательного проекта "Школа онколога" в режиме телеконференции, ежегодные научно-практические конференции с федеральным участием "Севастопольские онкологические чтения");</w:t>
      </w:r>
    </w:p>
    <w:p>
      <w:pPr>
        <w:pStyle w:val="0"/>
        <w:spacing w:before="200" w:line-rule="auto"/>
        <w:ind w:firstLine="540"/>
        <w:jc w:val="both"/>
      </w:pPr>
      <w:r>
        <w:rPr>
          <w:sz w:val="20"/>
        </w:rPr>
        <w:t xml:space="preserve">- внедрение ИГХ-диагностики в практику ГБУЗС "Севастопольский городской онкологический диспансер имени А.А. Задорожного".</w:t>
      </w:r>
    </w:p>
    <w:p>
      <w:pPr>
        <w:pStyle w:val="0"/>
        <w:spacing w:before="200" w:line-rule="auto"/>
        <w:ind w:firstLine="540"/>
        <w:jc w:val="both"/>
      </w:pPr>
      <w:r>
        <w:rPr>
          <w:sz w:val="20"/>
        </w:rPr>
        <w:t xml:space="preserve">8. Внедрение в практику мультидисциплинарного подхода к лечению и динамическому наблюдению пациентов:</w:t>
      </w:r>
    </w:p>
    <w:p>
      <w:pPr>
        <w:pStyle w:val="0"/>
        <w:spacing w:before="200" w:line-rule="auto"/>
        <w:ind w:firstLine="540"/>
        <w:jc w:val="both"/>
      </w:pPr>
      <w:r>
        <w:rPr>
          <w:sz w:val="20"/>
        </w:rPr>
        <w:t xml:space="preserve">- пересмотр программ обследования групп диспансерного наблюдения с предопухолевыми состояниями с целью включения лабораторных и инструментальных методов диагностики, позволяющих выявить ЗНО на доклинической стадии (организация мультидисциплинарных совещаний рабочих групп с утверждением нормативных актов);</w:t>
      </w:r>
    </w:p>
    <w:p>
      <w:pPr>
        <w:pStyle w:val="0"/>
        <w:spacing w:before="200" w:line-rule="auto"/>
        <w:ind w:firstLine="540"/>
        <w:jc w:val="both"/>
      </w:pPr>
      <w:r>
        <w:rPr>
          <w:sz w:val="20"/>
        </w:rPr>
        <w:t xml:space="preserve">- организация диспансерного наблюдения пациентов с предопухолевыми заболеваниями и ЗНО в соответствии с порядками оказания медицинской помощи;</w:t>
      </w:r>
    </w:p>
    <w:p>
      <w:pPr>
        <w:pStyle w:val="0"/>
        <w:spacing w:before="200" w:line-rule="auto"/>
        <w:ind w:firstLine="540"/>
        <w:jc w:val="both"/>
      </w:pPr>
      <w:r>
        <w:rPr>
          <w:sz w:val="20"/>
        </w:rPr>
        <w:t xml:space="preserve">- обеспечение исполнения врачами-специалистами, средним медицинским персоналом клинических рекомендаций и протоколов ведения онкологических пациентов, изложенных в рубрикаторе клинических рекомендаций на сайте http://cr.rosminzdrav.ru;</w:t>
      </w:r>
    </w:p>
    <w:p>
      <w:pPr>
        <w:pStyle w:val="0"/>
        <w:spacing w:before="200" w:line-rule="auto"/>
        <w:ind w:firstLine="540"/>
        <w:jc w:val="both"/>
      </w:pPr>
      <w:r>
        <w:rPr>
          <w:sz w:val="20"/>
        </w:rPr>
        <w:t xml:space="preserve">- методическое консультирование с НМИЦ, организация телемедицинских консультаций и консилиумов с НМИЦ по мере необходимости при возникновении сложных диагностических и тактических случаев или в установленном порядке;</w:t>
      </w:r>
    </w:p>
    <w:p>
      <w:pPr>
        <w:pStyle w:val="0"/>
        <w:spacing w:before="200" w:line-rule="auto"/>
        <w:ind w:firstLine="540"/>
        <w:jc w:val="both"/>
      </w:pPr>
      <w:r>
        <w:rPr>
          <w:sz w:val="20"/>
        </w:rPr>
        <w:t xml:space="preserve">- формирование системы внешнего и внутреннего контроля качества оказания медицинской помощи онкологическим больным.</w:t>
      </w:r>
    </w:p>
    <w:p>
      <w:pPr>
        <w:pStyle w:val="0"/>
        <w:spacing w:before="200" w:line-rule="auto"/>
        <w:ind w:firstLine="540"/>
        <w:jc w:val="both"/>
      </w:pPr>
      <w:r>
        <w:rPr>
          <w:sz w:val="20"/>
        </w:rPr>
        <w:t xml:space="preserve">9. Развитие практики применения телемедицинских технологий, разработка алгоритма дистанционного консультирования "врач - врач" на всех этапах оказания медицинской помощи.</w:t>
      </w:r>
    </w:p>
    <w:p>
      <w:pPr>
        <w:pStyle w:val="0"/>
        <w:spacing w:before="200" w:line-rule="auto"/>
        <w:ind w:firstLine="540"/>
        <w:jc w:val="both"/>
      </w:pPr>
      <w:r>
        <w:rPr>
          <w:sz w:val="20"/>
        </w:rPr>
        <w:t xml:space="preserve">10. Совершенствование оказания паллиативной помощи онкологическим пациентам:</w:t>
      </w:r>
    </w:p>
    <w:p>
      <w:pPr>
        <w:pStyle w:val="0"/>
        <w:spacing w:before="200" w:line-rule="auto"/>
        <w:ind w:firstLine="540"/>
        <w:jc w:val="both"/>
      </w:pPr>
      <w:r>
        <w:rPr>
          <w:sz w:val="20"/>
        </w:rPr>
        <w:t xml:space="preserve">- актуализация маршрутизации пациентов, нуждающихся в оказании паллиативной медицинской помощи, с утверждением нормативного акта;</w:t>
      </w:r>
    </w:p>
    <w:p>
      <w:pPr>
        <w:pStyle w:val="0"/>
        <w:spacing w:before="200" w:line-rule="auto"/>
        <w:ind w:firstLine="540"/>
        <w:jc w:val="both"/>
      </w:pPr>
      <w:r>
        <w:rPr>
          <w:sz w:val="20"/>
        </w:rPr>
        <w:t xml:space="preserve">- ведение регистра пациентов - жителей города Севастополя, нуждающихся в паллиативной помощи, включая обезболивание, интеграция его в РМИС АИС "Витакор".</w:t>
      </w:r>
    </w:p>
    <w:p>
      <w:pPr>
        <w:pStyle w:val="0"/>
        <w:spacing w:before="200" w:line-rule="auto"/>
        <w:ind w:firstLine="540"/>
        <w:jc w:val="both"/>
      </w:pPr>
      <w:r>
        <w:rPr>
          <w:sz w:val="20"/>
        </w:rPr>
        <w:t xml:space="preserve">11. Организационно-методическое сопровождение деятельности онкологической службы:</w:t>
      </w:r>
    </w:p>
    <w:p>
      <w:pPr>
        <w:pStyle w:val="0"/>
        <w:spacing w:before="200" w:line-rule="auto"/>
        <w:ind w:firstLine="540"/>
        <w:jc w:val="both"/>
      </w:pPr>
      <w:r>
        <w:rPr>
          <w:sz w:val="20"/>
        </w:rPr>
        <w:t xml:space="preserve">- оказание медицинской помощи на основе клинических рекомендаций;</w:t>
      </w:r>
    </w:p>
    <w:p>
      <w:pPr>
        <w:pStyle w:val="0"/>
        <w:spacing w:before="200" w:line-rule="auto"/>
        <w:ind w:firstLine="540"/>
        <w:jc w:val="both"/>
      </w:pPr>
      <w:r>
        <w:rPr>
          <w:sz w:val="20"/>
        </w:rPr>
        <w:t xml:space="preserve">- определение мероприятий по обеспечению системы внутреннего контроля качества медицинской помощи;</w:t>
      </w:r>
    </w:p>
    <w:p>
      <w:pPr>
        <w:pStyle w:val="0"/>
        <w:spacing w:before="200" w:line-rule="auto"/>
        <w:ind w:firstLine="540"/>
        <w:jc w:val="both"/>
      </w:pPr>
      <w:r>
        <w:rPr>
          <w:sz w:val="20"/>
        </w:rPr>
        <w:t xml:space="preserve">- обеспечение взаимодействия, в том числе дистанционного, с НМИЦ по вопросам определения тактики диагностики и лечения ЗНО.</w:t>
      </w:r>
    </w:p>
    <w:p>
      <w:pPr>
        <w:pStyle w:val="0"/>
        <w:spacing w:before="200" w:line-rule="auto"/>
        <w:ind w:firstLine="540"/>
        <w:jc w:val="both"/>
      </w:pPr>
      <w:r>
        <w:rPr>
          <w:sz w:val="20"/>
        </w:rPr>
        <w:t xml:space="preserve">12. Обеспечение укомплектованности кадрами медицинской помощи в соответствии с порядками оказания медицинской помощи:</w:t>
      </w:r>
    </w:p>
    <w:p>
      <w:pPr>
        <w:pStyle w:val="0"/>
        <w:spacing w:before="200" w:line-rule="auto"/>
        <w:ind w:firstLine="540"/>
        <w:jc w:val="both"/>
      </w:pPr>
      <w:r>
        <w:rPr>
          <w:sz w:val="20"/>
        </w:rPr>
        <w:t xml:space="preserve">- первичного звена здравоохранения (первичные онкологические кабинеты и ЦАОП);</w:t>
      </w:r>
    </w:p>
    <w:p>
      <w:pPr>
        <w:pStyle w:val="0"/>
        <w:spacing w:before="200" w:line-rule="auto"/>
        <w:ind w:firstLine="540"/>
        <w:jc w:val="both"/>
      </w:pPr>
      <w:r>
        <w:rPr>
          <w:sz w:val="20"/>
        </w:rPr>
        <w:t xml:space="preserve">- специализированной медицинской помощи (онкодиспансер).</w:t>
      </w:r>
    </w:p>
    <w:p>
      <w:pPr>
        <w:pStyle w:val="0"/>
        <w:ind w:firstLine="540"/>
        <w:jc w:val="both"/>
      </w:pPr>
      <w:r>
        <w:rPr>
          <w:sz w:val="20"/>
        </w:rPr>
      </w:r>
    </w:p>
    <w:p>
      <w:pPr>
        <w:pStyle w:val="2"/>
        <w:outlineLvl w:val="2"/>
        <w:jc w:val="center"/>
      </w:pPr>
      <w:r>
        <w:rPr>
          <w:sz w:val="20"/>
        </w:rPr>
        <w:t xml:space="preserve">4. План мероприятий региональной программы "Борьба</w:t>
      </w:r>
    </w:p>
    <w:p>
      <w:pPr>
        <w:pStyle w:val="2"/>
        <w:jc w:val="center"/>
      </w:pPr>
      <w:r>
        <w:rPr>
          <w:sz w:val="20"/>
        </w:rPr>
        <w:t xml:space="preserve">с онкологическими заболеваниями" города Севастополя</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7"/>
        <w:gridCol w:w="3572"/>
        <w:gridCol w:w="1531"/>
        <w:gridCol w:w="1764"/>
        <w:gridCol w:w="2948"/>
        <w:gridCol w:w="3829"/>
        <w:gridCol w:w="1701"/>
      </w:tblGrid>
      <w:tr>
        <w:tc>
          <w:tcPr>
            <w:tcW w:w="637" w:type="dxa"/>
          </w:tcPr>
          <w:p>
            <w:pPr>
              <w:pStyle w:val="0"/>
              <w:jc w:val="center"/>
            </w:pPr>
            <w:r>
              <w:rPr>
                <w:sz w:val="20"/>
              </w:rPr>
              <w:t xml:space="preserve">N п/п</w:t>
            </w:r>
          </w:p>
        </w:tc>
        <w:tc>
          <w:tcPr>
            <w:tcW w:w="3572" w:type="dxa"/>
          </w:tcPr>
          <w:p>
            <w:pPr>
              <w:pStyle w:val="0"/>
              <w:jc w:val="center"/>
            </w:pPr>
            <w:r>
              <w:rPr>
                <w:sz w:val="20"/>
              </w:rPr>
              <w:t xml:space="preserve">Наименование мероприятия, контрольной точки</w:t>
            </w:r>
          </w:p>
        </w:tc>
        <w:tc>
          <w:tcPr>
            <w:tcW w:w="1531" w:type="dxa"/>
          </w:tcPr>
          <w:p>
            <w:pPr>
              <w:pStyle w:val="0"/>
              <w:jc w:val="center"/>
            </w:pPr>
            <w:r>
              <w:rPr>
                <w:sz w:val="20"/>
              </w:rPr>
              <w:t xml:space="preserve">Дата начала реализации</w:t>
            </w:r>
          </w:p>
        </w:tc>
        <w:tc>
          <w:tcPr>
            <w:tcW w:w="1764" w:type="dxa"/>
          </w:tcPr>
          <w:p>
            <w:pPr>
              <w:pStyle w:val="0"/>
              <w:jc w:val="center"/>
            </w:pPr>
            <w:r>
              <w:rPr>
                <w:sz w:val="20"/>
              </w:rPr>
              <w:t xml:space="preserve">Дата окончания реализации</w:t>
            </w:r>
          </w:p>
        </w:tc>
        <w:tc>
          <w:tcPr>
            <w:tcW w:w="2948" w:type="dxa"/>
          </w:tcPr>
          <w:p>
            <w:pPr>
              <w:pStyle w:val="0"/>
              <w:jc w:val="center"/>
            </w:pPr>
            <w:r>
              <w:rPr>
                <w:sz w:val="20"/>
              </w:rPr>
              <w:t xml:space="preserve">Ответственный исполнитель</w:t>
            </w:r>
          </w:p>
        </w:tc>
        <w:tc>
          <w:tcPr>
            <w:tcW w:w="3829" w:type="dxa"/>
          </w:tcPr>
          <w:p>
            <w:pPr>
              <w:pStyle w:val="0"/>
              <w:jc w:val="center"/>
            </w:pPr>
            <w:r>
              <w:rPr>
                <w:sz w:val="20"/>
              </w:rPr>
              <w:t xml:space="preserve">Характеристика результата, критерий исполнения мероприятий</w:t>
            </w:r>
          </w:p>
        </w:tc>
        <w:tc>
          <w:tcPr>
            <w:tcW w:w="1701" w:type="dxa"/>
          </w:tcPr>
          <w:p>
            <w:pPr>
              <w:pStyle w:val="0"/>
              <w:jc w:val="center"/>
            </w:pPr>
            <w:r>
              <w:rPr>
                <w:sz w:val="20"/>
              </w:rPr>
              <w:t xml:space="preserve">Регулярность</w:t>
            </w:r>
          </w:p>
        </w:tc>
      </w:tr>
      <w:tr>
        <w:tc>
          <w:tcPr>
            <w:gridSpan w:val="7"/>
            <w:tcW w:w="15982" w:type="dxa"/>
          </w:tcPr>
          <w:p>
            <w:pPr>
              <w:pStyle w:val="0"/>
              <w:outlineLvl w:val="3"/>
              <w:jc w:val="both"/>
            </w:pPr>
            <w:r>
              <w:rPr>
                <w:sz w:val="20"/>
              </w:rPr>
              <w:t xml:space="preserve">1. Комплекс мер первичной профилактики онкологических заболеваний</w:t>
            </w:r>
          </w:p>
        </w:tc>
      </w:tr>
      <w:tr>
        <w:tc>
          <w:tcPr>
            <w:tcW w:w="637" w:type="dxa"/>
          </w:tcPr>
          <w:p>
            <w:pPr>
              <w:pStyle w:val="0"/>
              <w:jc w:val="both"/>
            </w:pPr>
            <w:r>
              <w:rPr>
                <w:sz w:val="20"/>
              </w:rPr>
              <w:t xml:space="preserve">1.1</w:t>
            </w:r>
          </w:p>
        </w:tc>
        <w:tc>
          <w:tcPr>
            <w:tcW w:w="3572" w:type="dxa"/>
          </w:tcPr>
          <w:p>
            <w:pPr>
              <w:pStyle w:val="0"/>
              <w:jc w:val="both"/>
            </w:pPr>
            <w:r>
              <w:rPr>
                <w:sz w:val="20"/>
              </w:rPr>
              <w:t xml:space="preserve">Распространение печатных информационных материалов, инфографики и интернет-баннеров в социальных сетях на темы: "Нет табакокурению", "Нет вредному потреблению алкоголя", "Здоровое питание". Курс лекций по темам: "Нет табакокурению", "Нет вредным привычкам", "Здоровое питание" в организациях города, включая детские учреждения. Выступления на ТВ, радио, публикации в печатных изданиях на темы борьбы с табакокурением, алкоголизмом и пропаганды здорового питания. Проведение акций с привлечением к мероприятиям медийных лиц (общественных лидеров, артистов эстрады, театра и кино)</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Заместитель Губернатора города Севастополя, начальник Управления информационной политики города Севастополя, директор Департамента здравоохранения города Севастополя, директор ГБУЗС "МИАЦ"</w:t>
            </w:r>
          </w:p>
        </w:tc>
        <w:tc>
          <w:tcPr>
            <w:tcW w:w="3829" w:type="dxa"/>
          </w:tcPr>
          <w:p>
            <w:pPr>
              <w:pStyle w:val="0"/>
              <w:jc w:val="both"/>
            </w:pPr>
            <w:r>
              <w:rPr>
                <w:sz w:val="20"/>
              </w:rPr>
              <w:t xml:space="preserve">Разработаны и размещены в интернет-сети информационные материалы и баннеры в социальных сетях. Ежеквартальный отчет о проведении выступлений на ТВ, радио, публикациях в печатных изданиях (не менее одного выступления в квартал). Отчет о проведенных акциях: "Всемирный День здоровой полости рта" (20 марта); Международный день здоровья (7 апреля); "Севастополь пахнет морем" (31.05.2023); День семьи, любви и верности "Здоровая семья" (8 июля); День физкультурника "Физкульт-привет" (11 августа); Всемирный день трезвости "Трезвый Севастополь" (3 октября); "С нами без дыма" (третий четверг ноября)</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1.2</w:t>
            </w:r>
          </w:p>
        </w:tc>
        <w:tc>
          <w:tcPr>
            <w:tcW w:w="3572" w:type="dxa"/>
          </w:tcPr>
          <w:p>
            <w:pPr>
              <w:pStyle w:val="0"/>
              <w:jc w:val="both"/>
            </w:pPr>
            <w:r>
              <w:rPr>
                <w:sz w:val="20"/>
              </w:rPr>
              <w:t xml:space="preserve">Мониторинг функционирования кабинетов по отказу от курения, горячей линии по отказу от курения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31.12.2023</w:t>
            </w:r>
          </w:p>
        </w:tc>
        <w:tc>
          <w:tcPr>
            <w:tcW w:w="2948" w:type="dxa"/>
          </w:tcPr>
          <w:p>
            <w:pPr>
              <w:pStyle w:val="0"/>
              <w:jc w:val="both"/>
            </w:pPr>
            <w:r>
              <w:rPr>
                <w:sz w:val="20"/>
              </w:rPr>
              <w:t xml:space="preserve">Директор Департамента здравоохранения города Севастополя, директор ГБУЗС "МИАЦ"</w:t>
            </w:r>
          </w:p>
        </w:tc>
        <w:tc>
          <w:tcPr>
            <w:tcW w:w="3829" w:type="dxa"/>
          </w:tcPr>
          <w:p>
            <w:pPr>
              <w:pStyle w:val="0"/>
              <w:jc w:val="both"/>
            </w:pPr>
            <w:r>
              <w:rPr>
                <w:sz w:val="20"/>
              </w:rPr>
              <w:t xml:space="preserve">Отчет о работе кабинетов по отказу от курения, горячей линии по отказу от курения. Выявление по итогам диспансеризации и профилактических осмотров не менее 2% курящих от всех прошедших диспансеризацию и профилактические осмотры</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1.3</w:t>
            </w:r>
          </w:p>
        </w:tc>
        <w:tc>
          <w:tcPr>
            <w:tcW w:w="3572" w:type="dxa"/>
          </w:tcPr>
          <w:p>
            <w:pPr>
              <w:pStyle w:val="0"/>
              <w:jc w:val="both"/>
            </w:pPr>
            <w:r>
              <w:rPr>
                <w:sz w:val="20"/>
              </w:rPr>
              <w:t xml:space="preserve">Формирование групп риска развития злокачественных новообразований и пациентов с предопухолевыми заболеваниями методом анкетирования при проведении профилактических осмотров, диспансеризации прикрепленного населения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Определение списков групп риска развития злокачественных новообразований и пациентов с предопухолевыми заболеваниями из прикрепленного населения ГБУЗС "Городская больница N 1 им. Н.И. Пирогова", ГБУЗС "Городская больница N 4", ГБУЗС "Городская больница N 9"</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1.4</w:t>
            </w:r>
          </w:p>
        </w:tc>
        <w:tc>
          <w:tcPr>
            <w:tcW w:w="3572" w:type="dxa"/>
          </w:tcPr>
          <w:p>
            <w:pPr>
              <w:pStyle w:val="0"/>
              <w:jc w:val="both"/>
            </w:pPr>
            <w:r>
              <w:rPr>
                <w:sz w:val="20"/>
              </w:rPr>
              <w:t xml:space="preserve">Динамическое наблюдение групп риска развития злокачественных новообразований и пациентов с предопухолевыми заболеваниями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внештатные специалисты Департамента здравоохранения города Севастополя (терапевт, хирург, акушер-гинеколог, дерматовенеролог, гастроэнтеролог, пульмонолог, оториноларинголог, травматолог, уролог, эндокринолог)</w:t>
            </w:r>
          </w:p>
        </w:tc>
        <w:tc>
          <w:tcPr>
            <w:tcW w:w="3829" w:type="dxa"/>
          </w:tcPr>
          <w:p>
            <w:pPr>
              <w:pStyle w:val="0"/>
              <w:jc w:val="both"/>
            </w:pPr>
            <w:r>
              <w:rPr>
                <w:sz w:val="20"/>
              </w:rPr>
              <w:t xml:space="preserve">Показатель диспансерного наблюдения пациентов групп риска развития злокачественных новообразований и пациентов с предопухолевыми заболеваниями: на 31.12.2022 - 20%; на 31.12.2023 - 30%; на 31.12.2024 - 50%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1.5</w:t>
            </w:r>
          </w:p>
        </w:tc>
        <w:tc>
          <w:tcPr>
            <w:tcW w:w="3572" w:type="dxa"/>
          </w:tcPr>
          <w:p>
            <w:pPr>
              <w:pStyle w:val="0"/>
              <w:jc w:val="both"/>
            </w:pPr>
            <w:r>
              <w:rPr>
                <w:sz w:val="20"/>
              </w:rPr>
              <w:t xml:space="preserve">Информирование жителей города Севастополя, находящихся в группах риска развития злокачественных новообразований, и пациентов с предопухолевыми заболеваниями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Размещение не менее двух информационных материалов в полугодие на сайтах, информационных стендах медицинских организаций, предприятий. Информирование прикрепленного населения путем приглашения в медицинские организации для обследования</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1.6</w:t>
            </w:r>
          </w:p>
        </w:tc>
        <w:tc>
          <w:tcPr>
            <w:tcW w:w="3572" w:type="dxa"/>
          </w:tcPr>
          <w:p>
            <w:pPr>
              <w:pStyle w:val="0"/>
              <w:jc w:val="both"/>
            </w:pPr>
            <w:r>
              <w:rPr>
                <w:sz w:val="20"/>
              </w:rPr>
              <w:t xml:space="preserve">Размещение наглядной справочной информации в медицинских учреждениях о необходимости и порядке прохождения медицинских исследований в рамках онкологического поиска, диспансеризации, других видов профилактических осмотров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w:t>
            </w:r>
          </w:p>
        </w:tc>
        <w:tc>
          <w:tcPr>
            <w:tcW w:w="3829" w:type="dxa"/>
          </w:tcPr>
          <w:p>
            <w:pPr>
              <w:pStyle w:val="0"/>
              <w:jc w:val="both"/>
            </w:pPr>
            <w:r>
              <w:rPr>
                <w:sz w:val="20"/>
              </w:rPr>
              <w:t xml:space="preserve">Наглядная справочная информация в медицинских организациях размещена на информационных стендах в ГБУЗС "Городская больница N 1 им. Н.И. Пирогова", ГБУЗС "Городская больница N 4", ГБУЗС "Городская больница N 9"</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1.7</w:t>
            </w:r>
          </w:p>
        </w:tc>
        <w:tc>
          <w:tcPr>
            <w:tcW w:w="3572" w:type="dxa"/>
          </w:tcPr>
          <w:p>
            <w:pPr>
              <w:pStyle w:val="0"/>
              <w:jc w:val="both"/>
            </w:pPr>
            <w:r>
              <w:rPr>
                <w:sz w:val="20"/>
              </w:rPr>
              <w:t xml:space="preserve">Регулярное проведение тематических противораковых акций, направленных как на пропаганду здорового образа жизни, так и на раннее выявление рака (дни открытых дверей по диагностике онкозаболеваний, в т.ч. визуально обозримых локализаций (в рамках Всемирного дня борьбы с раком); по диагностике меланомы (в рамках Всемирного дня борьбы с меланомой); по диагностике опухолей головы и шеи (в рамках Европейской недели ранней диагностики рака головы и шеи); по диагностике рака молочной железы (ко Всемирному дню борьбы с раком молочной железы)), в ГБУЗС "Севастопольский городской онкологический диспансер имени А.А. Задорожного" и поликлиниках города</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главный врач ГБУЗС "Севастопольский городской онкологический диспансер имени А.А. Задорожного"</w:t>
            </w:r>
          </w:p>
        </w:tc>
        <w:tc>
          <w:tcPr>
            <w:tcW w:w="3829" w:type="dxa"/>
          </w:tcPr>
          <w:p>
            <w:pPr>
              <w:pStyle w:val="0"/>
              <w:jc w:val="both"/>
            </w:pPr>
            <w:r>
              <w:rPr>
                <w:sz w:val="20"/>
              </w:rPr>
              <w:t xml:space="preserve">Отчет о проведении тематических противораковых акций</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1.8</w:t>
            </w:r>
          </w:p>
        </w:tc>
        <w:tc>
          <w:tcPr>
            <w:tcW w:w="3572" w:type="dxa"/>
          </w:tcPr>
          <w:p>
            <w:pPr>
              <w:pStyle w:val="0"/>
              <w:jc w:val="both"/>
            </w:pPr>
            <w:r>
              <w:rPr>
                <w:sz w:val="20"/>
              </w:rPr>
              <w:t xml:space="preserve">Организация обучения специалистов города методикам первичной профилактики рака и формирование онконастороженности у врачей всех специальностей и средних медицинских работников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главный онколог Департамента здравоохранения города Севастополя</w:t>
            </w:r>
          </w:p>
        </w:tc>
        <w:tc>
          <w:tcPr>
            <w:tcW w:w="3829" w:type="dxa"/>
          </w:tcPr>
          <w:p>
            <w:pPr>
              <w:pStyle w:val="0"/>
              <w:jc w:val="both"/>
            </w:pPr>
            <w:r>
              <w:rPr>
                <w:sz w:val="20"/>
              </w:rPr>
              <w:t xml:space="preserve">Количество обученных врачей и средних медицинских работников (без учета сотрудников, находящихся в декретном или долгосрочном отпуске): на 31.12.2022 - 20%; на 31.12.2023 - 30%; на 31.12.2024 - 75%</w:t>
            </w:r>
          </w:p>
        </w:tc>
        <w:tc>
          <w:tcPr>
            <w:tcW w:w="1701" w:type="dxa"/>
          </w:tcPr>
          <w:p>
            <w:pPr>
              <w:pStyle w:val="0"/>
              <w:jc w:val="both"/>
            </w:pPr>
            <w:r>
              <w:rPr>
                <w:sz w:val="20"/>
              </w:rPr>
              <w:t xml:space="preserve">Разовое, делимое</w:t>
            </w:r>
          </w:p>
        </w:tc>
      </w:tr>
      <w:tr>
        <w:tc>
          <w:tcPr>
            <w:tcW w:w="637" w:type="dxa"/>
          </w:tcPr>
          <w:p>
            <w:pPr>
              <w:pStyle w:val="0"/>
              <w:jc w:val="both"/>
            </w:pPr>
            <w:r>
              <w:rPr>
                <w:sz w:val="20"/>
              </w:rPr>
              <w:t xml:space="preserve">1.9</w:t>
            </w:r>
          </w:p>
        </w:tc>
        <w:tc>
          <w:tcPr>
            <w:tcW w:w="3572" w:type="dxa"/>
          </w:tcPr>
          <w:p>
            <w:pPr>
              <w:pStyle w:val="0"/>
              <w:jc w:val="both"/>
            </w:pPr>
            <w:r>
              <w:rPr>
                <w:sz w:val="20"/>
              </w:rPr>
              <w:t xml:space="preserve">Выступление в СМИ главного внештатного онколога Департамента здравоохранения города Севастополя, врачей-онкологов, врачей-специалистов по вопросам профилактики и раннего выявления злокачественных новообразований</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специалисты, 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Ежеквартальный отчет о проведении не менее двух выступлений в СМИ в квартал</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1.10</w:t>
            </w:r>
          </w:p>
        </w:tc>
        <w:tc>
          <w:tcPr>
            <w:tcW w:w="3572" w:type="dxa"/>
          </w:tcPr>
          <w:p>
            <w:pPr>
              <w:pStyle w:val="0"/>
              <w:jc w:val="both"/>
            </w:pPr>
            <w:r>
              <w:rPr>
                <w:sz w:val="20"/>
              </w:rPr>
              <w:t xml:space="preserve">Разработка информационных материалов (листовки, буклеты) для населения города по вопросам профилактики и раннего выявления злокачественных новообразований</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ГБУЗС "МИАЦ", главный онколог Департамента здравоохранения города Севастополя</w:t>
            </w:r>
          </w:p>
        </w:tc>
        <w:tc>
          <w:tcPr>
            <w:tcW w:w="3829" w:type="dxa"/>
          </w:tcPr>
          <w:p>
            <w:pPr>
              <w:pStyle w:val="0"/>
              <w:jc w:val="both"/>
            </w:pPr>
            <w:r>
              <w:rPr>
                <w:sz w:val="20"/>
              </w:rPr>
              <w:t xml:space="preserve">Разработка не менее двух видов информационных материалов в год по вопросам профилактики и раннего выявления злокачественных новообразований в год</w:t>
            </w:r>
          </w:p>
        </w:tc>
        <w:tc>
          <w:tcPr>
            <w:tcW w:w="1701" w:type="dxa"/>
          </w:tcPr>
          <w:p>
            <w:pPr>
              <w:pStyle w:val="0"/>
              <w:jc w:val="both"/>
            </w:pPr>
            <w:r>
              <w:rPr>
                <w:sz w:val="20"/>
              </w:rPr>
              <w:t xml:space="preserve">Разовое, делимое</w:t>
            </w:r>
          </w:p>
        </w:tc>
      </w:tr>
      <w:tr>
        <w:tc>
          <w:tcPr>
            <w:gridSpan w:val="7"/>
            <w:tcW w:w="15982" w:type="dxa"/>
          </w:tcPr>
          <w:p>
            <w:pPr>
              <w:pStyle w:val="0"/>
              <w:outlineLvl w:val="3"/>
              <w:jc w:val="both"/>
            </w:pPr>
            <w:r>
              <w:rPr>
                <w:sz w:val="20"/>
              </w:rPr>
              <w:t xml:space="preserve">2. Комплекс мер вторичной профилактики онкологических заболеваний</w:t>
            </w:r>
          </w:p>
        </w:tc>
      </w:tr>
      <w:tr>
        <w:tc>
          <w:tcPr>
            <w:tcW w:w="637" w:type="dxa"/>
          </w:tcPr>
          <w:p>
            <w:pPr>
              <w:pStyle w:val="0"/>
              <w:jc w:val="both"/>
            </w:pPr>
            <w:r>
              <w:rPr>
                <w:sz w:val="20"/>
              </w:rPr>
              <w:t xml:space="preserve">2.1</w:t>
            </w:r>
          </w:p>
        </w:tc>
        <w:tc>
          <w:tcPr>
            <w:tcW w:w="3572" w:type="dxa"/>
          </w:tcPr>
          <w:p>
            <w:pPr>
              <w:pStyle w:val="0"/>
              <w:jc w:val="both"/>
            </w:pPr>
            <w:r>
              <w:rPr>
                <w:sz w:val="20"/>
              </w:rPr>
              <w:t xml:space="preserve">Организация работы смотровых кабинетов в поликлиниках города Севастополя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ГБУЗС "Городская больница N 1 им. Н.И. Пирогова", ГБУЗС "Городская больница N 4", ГБУЗС "Городская больница N 9"</w:t>
            </w:r>
          </w:p>
        </w:tc>
        <w:tc>
          <w:tcPr>
            <w:tcW w:w="3829" w:type="dxa"/>
          </w:tcPr>
          <w:p>
            <w:pPr>
              <w:pStyle w:val="0"/>
              <w:jc w:val="both"/>
            </w:pPr>
            <w:r>
              <w:rPr>
                <w:sz w:val="20"/>
              </w:rPr>
              <w:t xml:space="preserve">Отчет о работе смотрового кабинета, доля осмотренных в смотровом кабинете от всех впервые обратившихся в поликлинику в текущем году: на 31.12.2022 - 30%; на 31.12.2023 - 50%; на 31.12.2024 - 80%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2.2</w:t>
            </w:r>
          </w:p>
        </w:tc>
        <w:tc>
          <w:tcPr>
            <w:tcW w:w="3572" w:type="dxa"/>
          </w:tcPr>
          <w:p>
            <w:pPr>
              <w:pStyle w:val="0"/>
              <w:jc w:val="both"/>
            </w:pPr>
            <w:r>
              <w:rPr>
                <w:sz w:val="20"/>
              </w:rPr>
              <w:t xml:space="preserve">Проведение диспансерного наблюдения за пациентами, входящими в группы риска</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ГБУЗС "Городская больница N 1 им. Н.И. Пирогова", ГБУЗС "Городская больница N 4", ГБУЗС "Городская больница N 9"</w:t>
            </w:r>
          </w:p>
        </w:tc>
        <w:tc>
          <w:tcPr>
            <w:tcW w:w="3829" w:type="dxa"/>
          </w:tcPr>
          <w:p>
            <w:pPr>
              <w:pStyle w:val="0"/>
              <w:jc w:val="both"/>
            </w:pPr>
            <w:r>
              <w:rPr>
                <w:sz w:val="20"/>
              </w:rPr>
              <w:t xml:space="preserve">Показатель диспансерного наблюдения пациентов групп риска: на 31.12.2022 - 20%; на 31.12.2023 - 30%; на 31.12.2024 - 50%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2.3</w:t>
            </w:r>
          </w:p>
        </w:tc>
        <w:tc>
          <w:tcPr>
            <w:tcW w:w="3572" w:type="dxa"/>
          </w:tcPr>
          <w:p>
            <w:pPr>
              <w:pStyle w:val="0"/>
              <w:jc w:val="both"/>
            </w:pPr>
            <w:r>
              <w:rPr>
                <w:sz w:val="20"/>
              </w:rPr>
              <w:t xml:space="preserve">Проведение регулярных стажировок на рабочем месте в СГОД и НМИЦ по современным методикам раннего выявления злокачественных опухолей для врачей городских больниц, сотрудников смотровых кабинетов с отработкой практических навыков по осмотру, пальпации и методам диагностики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Ежегодно сотрудники всех смотровых кабинетов, врачи городских больниц, участвующие в выявлении злокачественных новообразований, проходят стажировку на рабочем месте в СГОД</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2.4</w:t>
            </w:r>
          </w:p>
        </w:tc>
        <w:tc>
          <w:tcPr>
            <w:tcW w:w="3572" w:type="dxa"/>
          </w:tcPr>
          <w:p>
            <w:pPr>
              <w:pStyle w:val="0"/>
              <w:jc w:val="both"/>
            </w:pPr>
            <w:r>
              <w:rPr>
                <w:sz w:val="20"/>
              </w:rPr>
              <w:t xml:space="preserve">Мониторинг количества впервые выявленных ЗНО толстой кишки при проведении фиброколоноскопии в рамках II этапа диспансеризации определенных групп взрослого населения и профилактических медицинских осмотров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Доля впервые выявленных ЗНО кишечника (C18 - 20) к общему количеству выполненных фиброколоноскопий в рамках профилактических медицинских осмотров и диспансеризации определенных групп взрослого населения (II этап): на 31.12.2022 - 8%; на 31.12.2023 - 10%; на 31.12.2024 - 14%</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2.5</w:t>
            </w:r>
          </w:p>
        </w:tc>
        <w:tc>
          <w:tcPr>
            <w:tcW w:w="3572" w:type="dxa"/>
          </w:tcPr>
          <w:p>
            <w:pPr>
              <w:pStyle w:val="0"/>
              <w:jc w:val="both"/>
            </w:pPr>
            <w:r>
              <w:rPr>
                <w:sz w:val="20"/>
              </w:rPr>
              <w:t xml:space="preserve">Мониторинг количества выявленных ЗНО молочной железы по результатам проведения маммографического скрининга в рамках I этапа диспансеризации определенных групп взрослого населения и профилактических медицинских осмотров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Доля впервые выявленных ЗНО молочной железы в рамках профилактических медицинских осмотров и диспансеризации определенных групп взрослого населения к общему количеству выполненных маммографий в рамках профилактических медицинских осмотров и диспансеризации определенных групп взрослого населения: на 31.12.2022 - 5%; на 31.12.2023 - 7%; на 31.12.2024 - 10%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2.6</w:t>
            </w:r>
          </w:p>
        </w:tc>
        <w:tc>
          <w:tcPr>
            <w:tcW w:w="3572" w:type="dxa"/>
          </w:tcPr>
          <w:p>
            <w:pPr>
              <w:pStyle w:val="0"/>
              <w:jc w:val="both"/>
            </w:pPr>
            <w:r>
              <w:rPr>
                <w:sz w:val="20"/>
              </w:rPr>
              <w:t xml:space="preserve">Мониторинг количества выявленных ЗНО шейки матки (в том числе CIN III) при проведении цитологического скрининга в рамках I этапа диспансеризации определенных групп взрослого населения и профилактических медицинских осмотров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Доля впервые выявленных ЗНО шейки матки (в том числе CIN III) в рамках профилактических медицинских осмотров и диспансеризации определенных групп взрослого населения к общему количеству выполненных цитологических исследований шейки матки в рамках профилактических медицинских осмотров и диспансеризации определенных групп взрослого населения: на 31.12.2022 - 3%; на 31.12.2023 - 5%; на 31.12.2024 - 8%</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2.7</w:t>
            </w:r>
          </w:p>
        </w:tc>
        <w:tc>
          <w:tcPr>
            <w:tcW w:w="3572" w:type="dxa"/>
          </w:tcPr>
          <w:p>
            <w:pPr>
              <w:pStyle w:val="0"/>
              <w:jc w:val="both"/>
            </w:pPr>
            <w:r>
              <w:rPr>
                <w:sz w:val="20"/>
              </w:rPr>
              <w:t xml:space="preserve">Мониторинг числа лиц из определенных групп взрослого населения, прошедших профилактический медицинский осмотр и (или) диспансеризацию, на 1 случай впервые в жизни установленного диагноза ЗНО в рамках указанных мероприятий</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2022 год - 234; 2023 год - 234; 2024 год - 234</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2.8</w:t>
            </w:r>
          </w:p>
        </w:tc>
        <w:tc>
          <w:tcPr>
            <w:tcW w:w="3572" w:type="dxa"/>
          </w:tcPr>
          <w:p>
            <w:pPr>
              <w:pStyle w:val="0"/>
              <w:jc w:val="both"/>
            </w:pPr>
            <w:r>
              <w:rPr>
                <w:sz w:val="20"/>
              </w:rPr>
              <w:t xml:space="preserve">Мониторинг выявления предраковых состояний (N87.1, N87.2, J44, K21.0, K22.1, K22.7, K25, K26, K29.4, K50.1, K51, K57) в рамках профилактических медицинских осмотров и диспансеризации определенных групп взрослого населения</w:t>
            </w:r>
          </w:p>
        </w:tc>
        <w:tc>
          <w:tcPr>
            <w:tcW w:w="1531" w:type="dxa"/>
          </w:tcPr>
          <w:p>
            <w:pPr>
              <w:pStyle w:val="0"/>
              <w:jc w:val="both"/>
            </w:pPr>
            <w:r>
              <w:rPr>
                <w:sz w:val="20"/>
              </w:rPr>
              <w:t xml:space="preserve">01.07.2022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Доля случаев впервые выявленных предраковых состояний (по МКБ-10: N87.1, N87.2, J44, K21.0, K22.1, K22.7, K25, K26, K29.4, K50.1, K51, K57) от числа проведенных профилактических осмотров и диспансеризации определенных групп взрослого населения: на 31.12.2022 - 0,3%; на 31.12.2023 - 0,5%; на 31.12.2024 - 1,0%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2.9</w:t>
            </w:r>
          </w:p>
        </w:tc>
        <w:tc>
          <w:tcPr>
            <w:tcW w:w="3572" w:type="dxa"/>
          </w:tcPr>
          <w:p>
            <w:pPr>
              <w:pStyle w:val="0"/>
              <w:jc w:val="both"/>
            </w:pPr>
            <w:r>
              <w:rPr>
                <w:sz w:val="20"/>
              </w:rPr>
              <w:t xml:space="preserve">Организация контроля знаний и обучения на рабочем месте рентген-лаборантов правилам проведения маммографических исследований (в том числе в рамках программы НМО)</w:t>
            </w:r>
          </w:p>
        </w:tc>
        <w:tc>
          <w:tcPr>
            <w:tcW w:w="1531" w:type="dxa"/>
          </w:tcPr>
          <w:p>
            <w:pPr>
              <w:pStyle w:val="0"/>
              <w:jc w:val="both"/>
            </w:pPr>
            <w:r>
              <w:rPr>
                <w:sz w:val="20"/>
              </w:rPr>
              <w:t xml:space="preserve">01.07.2022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Доля рентген-лаборантов, в отношении которых проведен контроль знаний и обучение на рабочем месте правилам проведения маммографических исследований (в том числе в рамках программы НМО), от общего числа рентген-лаборантов, которые выполняют маммографические исследования в субъекте Российской Федерации: на 31.12.2022 - 70%; на 31.12.2023 - 85%; на 31.12.2024 - 100%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2.10</w:t>
            </w:r>
          </w:p>
        </w:tc>
        <w:tc>
          <w:tcPr>
            <w:tcW w:w="3572" w:type="dxa"/>
          </w:tcPr>
          <w:p>
            <w:pPr>
              <w:pStyle w:val="0"/>
              <w:jc w:val="both"/>
            </w:pPr>
            <w:r>
              <w:rPr>
                <w:sz w:val="20"/>
              </w:rPr>
              <w:t xml:space="preserve">Организация обучения на рабочем месте специалистов медицинских организаций первичного звена здравоохранения (акушерки, медицинские сестры, фельдшеры, врачи) правилам осмотра пациентов на визуальные локализации рака, правилам забора материала для исследований, профилактике ЗНО (в том числе в рамках программы НМО)</w:t>
            </w:r>
          </w:p>
        </w:tc>
        <w:tc>
          <w:tcPr>
            <w:tcW w:w="1531" w:type="dxa"/>
          </w:tcPr>
          <w:p>
            <w:pPr>
              <w:pStyle w:val="0"/>
              <w:jc w:val="both"/>
            </w:pPr>
            <w:r>
              <w:rPr>
                <w:sz w:val="20"/>
              </w:rPr>
              <w:t xml:space="preserve">01.07.2022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Доля обученных специалистов первичного звена здравоохранения (акушерки, медицинские сестры, фельдшеры, врачи) правилам осмотра пациентов на визуальные локализации рака, правилам забора биологического материала для исследований, профилактике ЗНО от общего числа таких специалистов в субъекте Российской Федерации: на 31.12.2022 - 50%; на 31.12.2023 - 70%; на 31.12.2024 - 100%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2.11</w:t>
            </w:r>
          </w:p>
        </w:tc>
        <w:tc>
          <w:tcPr>
            <w:tcW w:w="3572" w:type="dxa"/>
          </w:tcPr>
          <w:p>
            <w:pPr>
              <w:pStyle w:val="0"/>
              <w:jc w:val="both"/>
            </w:pPr>
            <w:r>
              <w:rPr>
                <w:sz w:val="20"/>
              </w:rPr>
              <w:t xml:space="preserve">Мониторинг показателя доли злокачественных новообразований, выявленных на I стадии, кроме рака кожи (C44) и лейкемий (C91 - 95), от всех зарегистрированных ЗНО, кроме рака кожи (C44) и лейкемий (C91 - 95) (без учтенных посмертно), %</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2022 год - 24,6%, 2023 год - 25,4%, 2024 год - 26,1%</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2.12</w:t>
            </w:r>
          </w:p>
        </w:tc>
        <w:tc>
          <w:tcPr>
            <w:tcW w:w="3572" w:type="dxa"/>
          </w:tcPr>
          <w:p>
            <w:pPr>
              <w:pStyle w:val="0"/>
              <w:jc w:val="both"/>
            </w:pPr>
            <w:r>
              <w:rPr>
                <w:sz w:val="20"/>
              </w:rPr>
              <w:t xml:space="preserve">Контроль осуществления разбора случаев выявления у больных запущенной формы ЗНО, а именно III и IV стадии для визуальных локализаций (C00 - 04, C06 - 09, C20, C21, C44, C50 - 53, C60, C62, C63.2, C73) и IV стадии всех остальных локализаций на основании данных ВИМИС "Онкология" и формы федерального государственного статистического наблюдения N 7 "Сведения о ЗНО"</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Доля случаев, по которым осуществлен разбор (по данным ВИМИС "Онкология"), от общего количества выявленных случаев запущенной формы ЗНО, а именно III и IV стадии для визуальных локализаций (C00 - 04, C06 - 09, C20, C21, C44, C50 - 53, C60, C62, C63.2, C73) и IV стадии всех остальных локализаций: 2022 год - 60%; 2023 год - 70%; 2024 год - 100%</w:t>
            </w:r>
          </w:p>
        </w:tc>
        <w:tc>
          <w:tcPr>
            <w:tcW w:w="1701" w:type="dxa"/>
          </w:tcPr>
          <w:p>
            <w:pPr>
              <w:pStyle w:val="0"/>
              <w:jc w:val="both"/>
            </w:pPr>
            <w:r>
              <w:rPr>
                <w:sz w:val="20"/>
              </w:rPr>
              <w:t xml:space="preserve">Разовое</w:t>
            </w:r>
          </w:p>
        </w:tc>
      </w:tr>
      <w:tr>
        <w:tc>
          <w:tcPr>
            <w:gridSpan w:val="7"/>
            <w:tcW w:w="15982" w:type="dxa"/>
          </w:tcPr>
          <w:p>
            <w:pPr>
              <w:pStyle w:val="0"/>
              <w:outlineLvl w:val="3"/>
              <w:jc w:val="both"/>
            </w:pPr>
            <w:r>
              <w:rPr>
                <w:sz w:val="20"/>
              </w:rPr>
              <w:t xml:space="preserve">3. Совершенствование оказания первичной специализированной медико-санитарной помощи пациентам с онкологическими заболеваниями</w:t>
            </w:r>
          </w:p>
        </w:tc>
      </w:tr>
      <w:tr>
        <w:tc>
          <w:tcPr>
            <w:tcW w:w="637" w:type="dxa"/>
          </w:tcPr>
          <w:p>
            <w:pPr>
              <w:pStyle w:val="0"/>
              <w:jc w:val="both"/>
            </w:pPr>
            <w:r>
              <w:rPr>
                <w:sz w:val="20"/>
              </w:rPr>
              <w:t xml:space="preserve">3.1</w:t>
            </w:r>
          </w:p>
        </w:tc>
        <w:tc>
          <w:tcPr>
            <w:tcW w:w="3572" w:type="dxa"/>
          </w:tcPr>
          <w:p>
            <w:pPr>
              <w:pStyle w:val="0"/>
              <w:jc w:val="both"/>
            </w:pPr>
            <w:r>
              <w:rPr>
                <w:sz w:val="20"/>
              </w:rPr>
              <w:t xml:space="preserve">Организация "зеленого коридора" для записи на диагностические исследования при подозрении на онкопатологию</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w:t>
            </w:r>
          </w:p>
        </w:tc>
        <w:tc>
          <w:tcPr>
            <w:tcW w:w="3829" w:type="dxa"/>
          </w:tcPr>
          <w:p>
            <w:pPr>
              <w:pStyle w:val="0"/>
              <w:jc w:val="both"/>
            </w:pPr>
            <w:r>
              <w:rPr>
                <w:sz w:val="20"/>
              </w:rPr>
              <w:t xml:space="preserve">Обеспечение времени на прохождение лабораторно-инструментальных видов диагностики онкопатологии до трех дней (</w:t>
            </w:r>
            <w:hyperlink w:history="0" r:id="rId679" w:tooltip="Приказ Департамента здравоохранения г. Севастополя от 11.03.2022 N 231 (ред. от 14.03.2023) &quot;Об организации оказания медицинской помощи взрослому населению при онкологических заболеваниях и маршрутизации взрослых пациентов со злокачественными новообразованиями в городе Севастополе&quot; (вместе с &quot;Правилами организации медицинской помощи взрослому населению при онкологических заболеваниях&quot;, &quot;Перечнем медицинских организаций (структурных подразделений), оказывающих медицинскую помощь пациентам с онкологическими з ------------ Утратил силу или отменен {КонсультантПлюс}">
              <w:r>
                <w:rPr>
                  <w:sz w:val="20"/>
                  <w:color w:val="0000ff"/>
                </w:rPr>
                <w:t xml:space="preserve">приказ</w:t>
              </w:r>
            </w:hyperlink>
            <w:r>
              <w:rPr>
                <w:sz w:val="20"/>
              </w:rPr>
              <w:t xml:space="preserve"> Департамента здравоохранения города Севастополя от 11.03.2022 N 231 "Об организации оказания медицинской помощи взрослому населению при онкологических заболеваниях и маршрутизации взрослых пациентов со злокачественными новообразованиями в городе Севастополе")</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3.2</w:t>
            </w:r>
          </w:p>
        </w:tc>
        <w:tc>
          <w:tcPr>
            <w:tcW w:w="3572" w:type="dxa"/>
          </w:tcPr>
          <w:p>
            <w:pPr>
              <w:pStyle w:val="0"/>
              <w:jc w:val="both"/>
            </w:pPr>
            <w:r>
              <w:rPr>
                <w:sz w:val="20"/>
              </w:rPr>
              <w:t xml:space="preserve">Анализ мероприятий по повышению эффективности рационального использования оборудования (например, двухсменная работа)</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Мониторинг эффективности рационального использования оборудования. Показатель двусменной работы оборудования: не менее 50%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3.3</w:t>
            </w:r>
          </w:p>
        </w:tc>
        <w:tc>
          <w:tcPr>
            <w:tcW w:w="3572" w:type="dxa"/>
          </w:tcPr>
          <w:p>
            <w:pPr>
              <w:pStyle w:val="0"/>
              <w:jc w:val="both"/>
            </w:pPr>
            <w:r>
              <w:rPr>
                <w:sz w:val="20"/>
              </w:rPr>
              <w:t xml:space="preserve">Контроль за исполнением актов по организации маршрутизации и медицинской помощи пациентам с предопухолевыми заболеваниями и злокачественными новообразованиями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главный онколог Департамента здравоохранения города Севастополя</w:t>
            </w:r>
          </w:p>
        </w:tc>
        <w:tc>
          <w:tcPr>
            <w:tcW w:w="3829" w:type="dxa"/>
          </w:tcPr>
          <w:p>
            <w:pPr>
              <w:pStyle w:val="0"/>
              <w:jc w:val="both"/>
            </w:pPr>
            <w:r>
              <w:rPr>
                <w:sz w:val="20"/>
              </w:rPr>
              <w:t xml:space="preserve">Мониторинг маршрутизации пациентов, проведение не менее одного кураторского выезда в квартал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3.4</w:t>
            </w:r>
          </w:p>
        </w:tc>
        <w:tc>
          <w:tcPr>
            <w:tcW w:w="3572" w:type="dxa"/>
          </w:tcPr>
          <w:p>
            <w:pPr>
              <w:pStyle w:val="0"/>
              <w:jc w:val="both"/>
            </w:pPr>
            <w:r>
              <w:rPr>
                <w:sz w:val="20"/>
              </w:rPr>
              <w:t xml:space="preserve">Мониторинг и аудит амбулаторных карт первичных онкологических пациентов с целью контроля качества и соблюдения сроков диагностики и лечения онкологических пациентов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главный онколог Департамента здравоохранения города Севастополя</w:t>
            </w:r>
          </w:p>
        </w:tc>
        <w:tc>
          <w:tcPr>
            <w:tcW w:w="3829" w:type="dxa"/>
          </w:tcPr>
          <w:p>
            <w:pPr>
              <w:pStyle w:val="0"/>
              <w:jc w:val="both"/>
            </w:pPr>
            <w:r>
              <w:rPr>
                <w:sz w:val="20"/>
              </w:rPr>
              <w:t xml:space="preserve">Ежеквартальный отчет о проведенных мероприятиях, соблюдение сроков диагностики и начала лечения в соответствии с </w:t>
            </w:r>
            <w:hyperlink w:history="0" r:id="rId680"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порядком</w:t>
              </w:r>
            </w:hyperlink>
            <w:r>
              <w:rPr>
                <w:sz w:val="20"/>
              </w:rPr>
              <w:t xml:space="preserve">, утвержденным приказом Министерства здравоохранения Российской Федерации от 19.02.2021 N 116н "Об утверждении Порядка оказания медицинской помощи взрослому населению при онкологических заболеваниях"</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3.5</w:t>
            </w:r>
          </w:p>
        </w:tc>
        <w:tc>
          <w:tcPr>
            <w:tcW w:w="3572" w:type="dxa"/>
          </w:tcPr>
          <w:p>
            <w:pPr>
              <w:pStyle w:val="0"/>
              <w:jc w:val="both"/>
            </w:pPr>
            <w:r>
              <w:rPr>
                <w:sz w:val="20"/>
              </w:rPr>
              <w:t xml:space="preserve">Проведение анализа полноты и сроков обследования вновь выявленных больных с подозрением или установленным диагнозом злокачественного новообразования и представление информации главному внештатному специалисту-онкологу Департамента здравоохранения города Севастополя в срок до 15 числа месяца, следующего за отчетным кварталом, ежеквартально</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Отчет по анализу медицинской документации, ежеквартальное предоставление отчетности</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3.6</w:t>
            </w:r>
          </w:p>
        </w:tc>
        <w:tc>
          <w:tcPr>
            <w:tcW w:w="3572" w:type="dxa"/>
          </w:tcPr>
          <w:p>
            <w:pPr>
              <w:pStyle w:val="0"/>
              <w:jc w:val="both"/>
            </w:pPr>
            <w:r>
              <w:rPr>
                <w:sz w:val="20"/>
              </w:rPr>
              <w:t xml:space="preserve">Контроль заведующими поликлиническими подразделениями обязательного направления пациентов с выявленным подозрением на онкопатологию, в том числе в рамках диспансеризации и профилактических осмотров, на диагностические обследования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Увеличение доли активно выявленных случаев злокачественных новообразований до 15%</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3.7</w:t>
            </w:r>
          </w:p>
        </w:tc>
        <w:tc>
          <w:tcPr>
            <w:tcW w:w="3572" w:type="dxa"/>
          </w:tcPr>
          <w:p>
            <w:pPr>
              <w:pStyle w:val="0"/>
              <w:jc w:val="both"/>
            </w:pPr>
            <w:r>
              <w:rPr>
                <w:sz w:val="20"/>
              </w:rPr>
              <w:t xml:space="preserve">Выявление и направление дефектурных карт в поликлинические подразделения городских больниц по нарушениям сроков диагностики, лечения и маршрутизации пациентов со злокачественными новообразованиями с контролем сроков и качества разбора в первичных медицинских организациях</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Снижение доли запущенных случаев злокачественных новообразований до 20%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3.8</w:t>
            </w:r>
          </w:p>
        </w:tc>
        <w:tc>
          <w:tcPr>
            <w:tcW w:w="3572" w:type="dxa"/>
          </w:tcPr>
          <w:p>
            <w:pPr>
              <w:pStyle w:val="0"/>
              <w:jc w:val="both"/>
            </w:pPr>
            <w:r>
              <w:rPr>
                <w:sz w:val="20"/>
              </w:rPr>
              <w:t xml:space="preserve">Регулярный разбор случаев выявления запущенных случаев злокачественных новообразований, поздней диагностики, в том числе визуально обозримых локализаций</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Отчет о проведении еженедельных заседаний рабочей группы Департамента здравоохранения города Севастополя по разбору летальных исходов от основных причин запущенных случаев злокачественных новообразований</w:t>
            </w:r>
          </w:p>
        </w:tc>
        <w:tc>
          <w:tcPr>
            <w:tcW w:w="1701" w:type="dxa"/>
          </w:tcPr>
          <w:p>
            <w:pPr>
              <w:pStyle w:val="0"/>
              <w:jc w:val="both"/>
            </w:pPr>
            <w:r>
              <w:rPr>
                <w:sz w:val="20"/>
              </w:rPr>
            </w:r>
          </w:p>
        </w:tc>
      </w:tr>
      <w:tr>
        <w:tc>
          <w:tcPr>
            <w:tcW w:w="637" w:type="dxa"/>
          </w:tcPr>
          <w:p>
            <w:pPr>
              <w:pStyle w:val="0"/>
              <w:jc w:val="both"/>
            </w:pPr>
            <w:r>
              <w:rPr>
                <w:sz w:val="20"/>
              </w:rPr>
              <w:t xml:space="preserve">3.9</w:t>
            </w:r>
          </w:p>
        </w:tc>
        <w:tc>
          <w:tcPr>
            <w:tcW w:w="3572" w:type="dxa"/>
          </w:tcPr>
          <w:p>
            <w:pPr>
              <w:pStyle w:val="0"/>
              <w:jc w:val="both"/>
            </w:pPr>
            <w:r>
              <w:rPr>
                <w:sz w:val="20"/>
              </w:rPr>
              <w:t xml:space="preserve">Выявление и анализ дефектов и их причин, врачебных ошибок и других факторов, оказавших негативное воздействие и повлекших за собой снижение качества и эффективности онкологической помощи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главный онколог Департамента здравоохранения города Севастополя</w:t>
            </w:r>
          </w:p>
        </w:tc>
        <w:tc>
          <w:tcPr>
            <w:tcW w:w="3829" w:type="dxa"/>
          </w:tcPr>
          <w:p>
            <w:pPr>
              <w:pStyle w:val="0"/>
              <w:jc w:val="both"/>
            </w:pPr>
            <w:r>
              <w:rPr>
                <w:sz w:val="20"/>
              </w:rPr>
              <w:t xml:space="preserve">Ежеквартальный отчет о выявленных нарушениях при проведении внутреннего и ведомственного контроля, принятие и контроль управленческих решений</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3.10</w:t>
            </w:r>
          </w:p>
        </w:tc>
        <w:tc>
          <w:tcPr>
            <w:tcW w:w="3572" w:type="dxa"/>
          </w:tcPr>
          <w:p>
            <w:pPr>
              <w:pStyle w:val="0"/>
              <w:jc w:val="both"/>
            </w:pPr>
            <w:r>
              <w:rPr>
                <w:sz w:val="20"/>
              </w:rPr>
              <w:t xml:space="preserve">Разработка рекомендаций, способствующих повышению качества и эффективности онкологической помощи, направленных на предупреждение дефектов в работе, врачебных ошибок</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главный онколог Департамента здравоохранения города Севастополя</w:t>
            </w:r>
          </w:p>
        </w:tc>
        <w:tc>
          <w:tcPr>
            <w:tcW w:w="3829" w:type="dxa"/>
          </w:tcPr>
          <w:p>
            <w:pPr>
              <w:pStyle w:val="0"/>
              <w:jc w:val="both"/>
            </w:pPr>
            <w:r>
              <w:rPr>
                <w:sz w:val="20"/>
              </w:rPr>
              <w:t xml:space="preserve">Утверждение нормативного акта по результатам работы и контроль управленческих решений</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3.11</w:t>
            </w:r>
          </w:p>
        </w:tc>
        <w:tc>
          <w:tcPr>
            <w:tcW w:w="3572" w:type="dxa"/>
          </w:tcPr>
          <w:p>
            <w:pPr>
              <w:pStyle w:val="0"/>
              <w:jc w:val="both"/>
            </w:pPr>
            <w:r>
              <w:rPr>
                <w:sz w:val="20"/>
              </w:rPr>
              <w:t xml:space="preserve">Организация регулярных дистанционных консультаций специалистов амбулаторной онкологической сети с использованием телемедицинских средств связи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Отчет о проведении дистанционных еженедельных постоянно действующих рабочих совещаний со специалистами амбулаторной онкологической сети</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3.12</w:t>
            </w:r>
          </w:p>
        </w:tc>
        <w:tc>
          <w:tcPr>
            <w:tcW w:w="3572" w:type="dxa"/>
          </w:tcPr>
          <w:p>
            <w:pPr>
              <w:pStyle w:val="0"/>
              <w:jc w:val="both"/>
            </w:pPr>
            <w:r>
              <w:rPr>
                <w:sz w:val="20"/>
              </w:rPr>
              <w:t xml:space="preserve">Реорганизация структурных подразделений медицинских организаций, оказывающих медицинскую помощь пациентам с онкологическими заболеваниями, в соответствии с требованиями </w:t>
            </w:r>
            <w:hyperlink w:history="0" r:id="rId681"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приказа</w:t>
              </w:r>
            </w:hyperlink>
            <w:r>
              <w:rPr>
                <w:sz w:val="20"/>
              </w:rPr>
              <w:t xml:space="preserve"> Минздрава России от 19.02.2021 N 116н "Об утверждении Порядка оказания медицинской помощи взрослому населению при онкологических заболеваниях"</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w:t>
            </w:r>
          </w:p>
        </w:tc>
        <w:tc>
          <w:tcPr>
            <w:tcW w:w="3829" w:type="dxa"/>
          </w:tcPr>
          <w:p>
            <w:pPr>
              <w:pStyle w:val="0"/>
              <w:jc w:val="both"/>
            </w:pPr>
            <w:r>
              <w:rPr>
                <w:sz w:val="20"/>
              </w:rPr>
              <w:t xml:space="preserve">После завершения строительства нового корпуса онкодиспансера в соответствии с Федеральной целевой программой "Социально-экономическое развитие Республики Крым г. Севастополя"</w:t>
            </w:r>
          </w:p>
        </w:tc>
        <w:tc>
          <w:tcPr>
            <w:tcW w:w="1701" w:type="dxa"/>
          </w:tcPr>
          <w:p>
            <w:pPr>
              <w:pStyle w:val="0"/>
              <w:jc w:val="both"/>
            </w:pPr>
            <w:r>
              <w:rPr>
                <w:sz w:val="20"/>
              </w:rPr>
              <w:t xml:space="preserve">Разовое</w:t>
            </w:r>
          </w:p>
        </w:tc>
      </w:tr>
      <w:tr>
        <w:tc>
          <w:tcPr>
            <w:tcW w:w="637" w:type="dxa"/>
          </w:tcPr>
          <w:p>
            <w:pPr>
              <w:pStyle w:val="0"/>
              <w:jc w:val="both"/>
            </w:pPr>
            <w:r>
              <w:rPr>
                <w:sz w:val="20"/>
              </w:rPr>
              <w:t xml:space="preserve">3.13</w:t>
            </w:r>
          </w:p>
        </w:tc>
        <w:tc>
          <w:tcPr>
            <w:tcW w:w="3572" w:type="dxa"/>
          </w:tcPr>
          <w:p>
            <w:pPr>
              <w:pStyle w:val="0"/>
              <w:jc w:val="both"/>
            </w:pPr>
            <w:r>
              <w:rPr>
                <w:sz w:val="20"/>
              </w:rPr>
              <w:t xml:space="preserve">Доля случаев проведенных биопсий при эндоскопических диагностических исследованиях от общего числа выполненных эндоскопических диагностических исследований в амбулаторных условиях при МКБ-10: C00 - 97, Z03.1, D00 - 09, D37 - 48</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w:t>
            </w:r>
          </w:p>
        </w:tc>
        <w:tc>
          <w:tcPr>
            <w:tcW w:w="3829" w:type="dxa"/>
          </w:tcPr>
          <w:p>
            <w:pPr>
              <w:pStyle w:val="0"/>
              <w:jc w:val="both"/>
            </w:pPr>
            <w:r>
              <w:rPr>
                <w:sz w:val="20"/>
              </w:rPr>
              <w:t xml:space="preserve">Целевой показатель: не менее 20%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3.14</w:t>
            </w:r>
          </w:p>
        </w:tc>
        <w:tc>
          <w:tcPr>
            <w:tcW w:w="3572" w:type="dxa"/>
          </w:tcPr>
          <w:p>
            <w:pPr>
              <w:pStyle w:val="0"/>
              <w:jc w:val="both"/>
            </w:pPr>
            <w:r>
              <w:rPr>
                <w:sz w:val="20"/>
              </w:rPr>
              <w:t xml:space="preserve">Число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выполненных в амбулаторных условиях</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w:t>
            </w:r>
          </w:p>
        </w:tc>
        <w:tc>
          <w:tcPr>
            <w:tcW w:w="3829" w:type="dxa"/>
          </w:tcPr>
          <w:p>
            <w:pPr>
              <w:pStyle w:val="0"/>
              <w:jc w:val="both"/>
            </w:pPr>
            <w:r>
              <w:rPr>
                <w:sz w:val="20"/>
              </w:rPr>
              <w:t xml:space="preserve">Целевой показатель: не менее 4578 исследований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3.15</w:t>
            </w:r>
          </w:p>
        </w:tc>
        <w:tc>
          <w:tcPr>
            <w:tcW w:w="3572" w:type="dxa"/>
          </w:tcPr>
          <w:p>
            <w:pPr>
              <w:pStyle w:val="0"/>
              <w:jc w:val="both"/>
            </w:pPr>
            <w:r>
              <w:rPr>
                <w:sz w:val="20"/>
              </w:rPr>
              <w:t xml:space="preserve">Доля случаев иммуногистохимических исследований (1 случай - 1 заключение) от числа всех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выполненных в амбулаторных условиях</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w:t>
            </w:r>
          </w:p>
        </w:tc>
        <w:tc>
          <w:tcPr>
            <w:tcW w:w="3829" w:type="dxa"/>
          </w:tcPr>
          <w:p>
            <w:pPr>
              <w:pStyle w:val="0"/>
              <w:jc w:val="both"/>
            </w:pPr>
            <w:r>
              <w:rPr>
                <w:sz w:val="20"/>
              </w:rPr>
              <w:t xml:space="preserve">Целевой показатель: не менее 7%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3.16</w:t>
            </w:r>
          </w:p>
        </w:tc>
        <w:tc>
          <w:tcPr>
            <w:tcW w:w="3572" w:type="dxa"/>
          </w:tcPr>
          <w:p>
            <w:pPr>
              <w:pStyle w:val="0"/>
              <w:jc w:val="both"/>
            </w:pPr>
            <w:r>
              <w:rPr>
                <w:sz w:val="20"/>
              </w:rPr>
              <w:t xml:space="preserve">Доля применения внутривенного контрастирования при проведении КТ или МРТ у больных со злокачественными новообразованиями от общего числа исследований (КТ или МРТ), выполненных при злокачественных новообразованиях (МКБ-10: C00 - 97)</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w:t>
            </w:r>
          </w:p>
        </w:tc>
        <w:tc>
          <w:tcPr>
            <w:tcW w:w="3829" w:type="dxa"/>
          </w:tcPr>
          <w:p>
            <w:pPr>
              <w:pStyle w:val="0"/>
              <w:jc w:val="both"/>
            </w:pPr>
            <w:r>
              <w:rPr>
                <w:sz w:val="20"/>
              </w:rPr>
              <w:t xml:space="preserve">Целевой показатель (ежегодно): для КТ - не менее 85%, для МРТ - не менее 75%</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3.17</w:t>
            </w:r>
          </w:p>
        </w:tc>
        <w:tc>
          <w:tcPr>
            <w:tcW w:w="3572" w:type="dxa"/>
          </w:tcPr>
          <w:p>
            <w:pPr>
              <w:pStyle w:val="0"/>
              <w:jc w:val="both"/>
            </w:pPr>
            <w:r>
              <w:rPr>
                <w:sz w:val="20"/>
              </w:rPr>
              <w:t xml:space="preserve">Доля кабинетов КТ или МРТ, работающих в две и более смены, от общего числа кабинетов КТ или МРТ в субъекте Российской Федерации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w:t>
            </w:r>
          </w:p>
        </w:tc>
        <w:tc>
          <w:tcPr>
            <w:tcW w:w="3829" w:type="dxa"/>
          </w:tcPr>
          <w:p>
            <w:pPr>
              <w:pStyle w:val="0"/>
              <w:jc w:val="both"/>
            </w:pPr>
            <w:r>
              <w:rPr>
                <w:sz w:val="20"/>
              </w:rPr>
              <w:t xml:space="preserve">Целевой показатель: не менее 90%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3.18</w:t>
            </w:r>
          </w:p>
        </w:tc>
        <w:tc>
          <w:tcPr>
            <w:tcW w:w="3572" w:type="dxa"/>
          </w:tcPr>
          <w:p>
            <w:pPr>
              <w:pStyle w:val="0"/>
              <w:jc w:val="both"/>
            </w:pPr>
            <w:r>
              <w:rPr>
                <w:sz w:val="20"/>
              </w:rPr>
              <w:t xml:space="preserve">Доля диагнозов зарегистрированных ЗНО (без учтенных посмертно), подтвержденных морфологически, % (из формы федерального государственного статистического наблюдения N 7 "Сведения о ЗНО")</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2022 год - 97,6%, 2023 год - 98,1%, 2024 год - 98,5%</w:t>
            </w:r>
          </w:p>
        </w:tc>
        <w:tc>
          <w:tcPr>
            <w:tcW w:w="1701" w:type="dxa"/>
          </w:tcPr>
          <w:p>
            <w:pPr>
              <w:pStyle w:val="0"/>
              <w:jc w:val="both"/>
            </w:pPr>
            <w:r>
              <w:rPr>
                <w:sz w:val="20"/>
              </w:rPr>
              <w:t xml:space="preserve">Регулярное</w:t>
            </w:r>
          </w:p>
        </w:tc>
      </w:tr>
      <w:tr>
        <w:tc>
          <w:tcPr>
            <w:gridSpan w:val="7"/>
            <w:tcW w:w="15982" w:type="dxa"/>
          </w:tcPr>
          <w:p>
            <w:pPr>
              <w:pStyle w:val="0"/>
              <w:outlineLvl w:val="3"/>
              <w:jc w:val="both"/>
            </w:pPr>
            <w:r>
              <w:rPr>
                <w:sz w:val="20"/>
              </w:rPr>
              <w:t xml:space="preserve">4. Совершенствование оказания специализированной медицинской помощи пациентам с онкологическими заболеваниями</w:t>
            </w:r>
          </w:p>
        </w:tc>
      </w:tr>
      <w:tr>
        <w:tc>
          <w:tcPr>
            <w:tcW w:w="637" w:type="dxa"/>
          </w:tcPr>
          <w:p>
            <w:pPr>
              <w:pStyle w:val="0"/>
              <w:jc w:val="both"/>
            </w:pPr>
            <w:r>
              <w:rPr>
                <w:sz w:val="20"/>
              </w:rPr>
              <w:t xml:space="preserve">4.1</w:t>
            </w:r>
          </w:p>
        </w:tc>
        <w:tc>
          <w:tcPr>
            <w:tcW w:w="3572" w:type="dxa"/>
          </w:tcPr>
          <w:p>
            <w:pPr>
              <w:pStyle w:val="0"/>
              <w:jc w:val="both"/>
            </w:pPr>
            <w:r>
              <w:rPr>
                <w:sz w:val="20"/>
              </w:rPr>
              <w:t xml:space="preserve">Мониторинг кадрового обеспечения и потребности в обучении врачей-онкологов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главный онколог Департамента здравоохранения города Севастополя</w:t>
            </w:r>
          </w:p>
        </w:tc>
        <w:tc>
          <w:tcPr>
            <w:tcW w:w="3829" w:type="dxa"/>
          </w:tcPr>
          <w:p>
            <w:pPr>
              <w:pStyle w:val="0"/>
              <w:jc w:val="both"/>
            </w:pPr>
            <w:r>
              <w:rPr>
                <w:sz w:val="20"/>
              </w:rPr>
              <w:t xml:space="preserve">Показатель укомплектованности кадрами онкослужбы: на 31.12.2022 - 60%; на 31.12.2023 - 70%; на 31.12.2024 - 80%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4.2</w:t>
            </w:r>
          </w:p>
        </w:tc>
        <w:tc>
          <w:tcPr>
            <w:tcW w:w="3572" w:type="dxa"/>
          </w:tcPr>
          <w:p>
            <w:pPr>
              <w:pStyle w:val="0"/>
              <w:jc w:val="both"/>
            </w:pPr>
            <w:r>
              <w:rPr>
                <w:sz w:val="20"/>
              </w:rPr>
              <w:t xml:space="preserve">Закупка оборудования для оказания медицинской помощи пациентам с подозрением, а также с подтвержденным диагнозом онкологического заболевания в рамках данной программы</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w:t>
            </w:r>
          </w:p>
        </w:tc>
        <w:tc>
          <w:tcPr>
            <w:tcW w:w="3829" w:type="dxa"/>
          </w:tcPr>
          <w:p>
            <w:pPr>
              <w:pStyle w:val="0"/>
              <w:jc w:val="both"/>
            </w:pPr>
            <w:r>
              <w:rPr>
                <w:sz w:val="20"/>
              </w:rPr>
              <w:t xml:space="preserve">Подготовка заявки на приобретение оборудование (ежегодно, до 10 сентября)</w:t>
            </w:r>
          </w:p>
        </w:tc>
        <w:tc>
          <w:tcPr>
            <w:tcW w:w="1701" w:type="dxa"/>
          </w:tcPr>
          <w:p>
            <w:pPr>
              <w:pStyle w:val="0"/>
              <w:jc w:val="both"/>
            </w:pPr>
            <w:r>
              <w:rPr>
                <w:sz w:val="20"/>
              </w:rPr>
              <w:t xml:space="preserve">Разовое, делимое</w:t>
            </w:r>
          </w:p>
        </w:tc>
      </w:tr>
      <w:tr>
        <w:tc>
          <w:tcPr>
            <w:tcW w:w="637" w:type="dxa"/>
          </w:tcPr>
          <w:p>
            <w:pPr>
              <w:pStyle w:val="0"/>
              <w:jc w:val="both"/>
            </w:pPr>
            <w:r>
              <w:rPr>
                <w:sz w:val="20"/>
              </w:rPr>
              <w:t xml:space="preserve">4.3</w:t>
            </w:r>
          </w:p>
        </w:tc>
        <w:tc>
          <w:tcPr>
            <w:tcW w:w="3572" w:type="dxa"/>
          </w:tcPr>
          <w:p>
            <w:pPr>
              <w:pStyle w:val="0"/>
              <w:jc w:val="both"/>
            </w:pPr>
            <w:r>
              <w:rPr>
                <w:sz w:val="20"/>
              </w:rPr>
              <w:t xml:space="preserve">Завершение строительства нового многопрофильного лечебно-диагностического корпуса онкологического диспансера, предусмотренного государственной программой "Социально-экономическое развитие Республики Крым г. Севастополя"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Департамент капитального строительства города Севастополя, директор Департамента здравоохранения города Севастополя</w:t>
            </w:r>
          </w:p>
        </w:tc>
        <w:tc>
          <w:tcPr>
            <w:tcW w:w="3829" w:type="dxa"/>
          </w:tcPr>
          <w:p>
            <w:pPr>
              <w:pStyle w:val="0"/>
              <w:jc w:val="both"/>
            </w:pPr>
            <w:r>
              <w:rPr>
                <w:sz w:val="20"/>
              </w:rPr>
              <w:t xml:space="preserve">Ввод в эксплуатацию нового корпуса онкодиспансера в соответствии с государственной программой "Социально-экономическое развитие Республики Крым г. Севастополя", окончание строительства - 2025 год</w:t>
            </w:r>
          </w:p>
        </w:tc>
        <w:tc>
          <w:tcPr>
            <w:tcW w:w="1701" w:type="dxa"/>
          </w:tcPr>
          <w:p>
            <w:pPr>
              <w:pStyle w:val="0"/>
              <w:jc w:val="both"/>
            </w:pPr>
            <w:r>
              <w:rPr>
                <w:sz w:val="20"/>
              </w:rPr>
              <w:t xml:space="preserve">Разовое, делимое</w:t>
            </w:r>
          </w:p>
        </w:tc>
      </w:tr>
      <w:tr>
        <w:tc>
          <w:tcPr>
            <w:tcW w:w="637" w:type="dxa"/>
          </w:tcPr>
          <w:p>
            <w:pPr>
              <w:pStyle w:val="0"/>
              <w:jc w:val="both"/>
            </w:pPr>
            <w:r>
              <w:rPr>
                <w:sz w:val="20"/>
              </w:rPr>
              <w:t xml:space="preserve">4.4</w:t>
            </w:r>
          </w:p>
        </w:tc>
        <w:tc>
          <w:tcPr>
            <w:tcW w:w="3572" w:type="dxa"/>
          </w:tcPr>
          <w:p>
            <w:pPr>
              <w:pStyle w:val="0"/>
              <w:jc w:val="both"/>
            </w:pPr>
            <w:r>
              <w:rPr>
                <w:sz w:val="20"/>
              </w:rPr>
              <w:t xml:space="preserve">Количество врачебных консилиумов при злокачественных новообразованиях с целью определения тактики лечения в расчете на 100 впервые установленных диагнозов злокачественного новообразования при жизни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140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4.5</w:t>
            </w:r>
          </w:p>
        </w:tc>
        <w:tc>
          <w:tcPr>
            <w:tcW w:w="3572" w:type="dxa"/>
          </w:tcPr>
          <w:p>
            <w:pPr>
              <w:pStyle w:val="0"/>
              <w:jc w:val="both"/>
            </w:pPr>
            <w:r>
              <w:rPr>
                <w:sz w:val="20"/>
              </w:rPr>
              <w:t xml:space="preserve">Число международных непатентованных наименований, применяемых в дневном стационаре центра амбулаторной онкологической помощи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35 международных непатентованных наименований на конец года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4.6</w:t>
            </w:r>
          </w:p>
        </w:tc>
        <w:tc>
          <w:tcPr>
            <w:tcW w:w="3572" w:type="dxa"/>
          </w:tcPr>
          <w:p>
            <w:pPr>
              <w:pStyle w:val="0"/>
              <w:jc w:val="both"/>
            </w:pPr>
            <w:r>
              <w:rPr>
                <w:sz w:val="20"/>
              </w:rPr>
              <w:t xml:space="preserve">Доля больных с диагнозом рак желудка 4 стадии, которые получили двух- или трехкомпонентную схему противоопухолевой лекарственной терапии, от общего количества больных, выявленных в отчетный период, с диагнозом рак желудка 4 стадии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50%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4.7</w:t>
            </w:r>
          </w:p>
        </w:tc>
        <w:tc>
          <w:tcPr>
            <w:tcW w:w="3572" w:type="dxa"/>
          </w:tcPr>
          <w:p>
            <w:pPr>
              <w:pStyle w:val="0"/>
              <w:jc w:val="both"/>
            </w:pPr>
            <w:r>
              <w:rPr>
                <w:sz w:val="20"/>
              </w:rPr>
              <w:t xml:space="preserve">Доля случаев химиолучевого лечения от всех случаев проведения лучевой терапии в условиях круглосуточного и дневного стационаров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25%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4.8</w:t>
            </w:r>
          </w:p>
        </w:tc>
        <w:tc>
          <w:tcPr>
            <w:tcW w:w="3572" w:type="dxa"/>
          </w:tcPr>
          <w:p>
            <w:pPr>
              <w:pStyle w:val="0"/>
              <w:jc w:val="both"/>
            </w:pPr>
            <w:r>
              <w:rPr>
                <w:sz w:val="20"/>
              </w:rPr>
              <w:t xml:space="preserve">Доля случаев проведения дистанционной лучевой терапии в условиях дневного и круглосуточного стационаров в расчете от общего числа впервые установленных диагнозов злокачественного новообразования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30%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4.8</w:t>
            </w:r>
          </w:p>
        </w:tc>
        <w:tc>
          <w:tcPr>
            <w:tcW w:w="3572" w:type="dxa"/>
          </w:tcPr>
          <w:p>
            <w:pPr>
              <w:pStyle w:val="0"/>
              <w:jc w:val="both"/>
            </w:pPr>
            <w:r>
              <w:rPr>
                <w:sz w:val="20"/>
              </w:rPr>
              <w:t xml:space="preserve">Доля случаев конформной лучевой терапии от общего числа случаев дистанционной лучевой терапии в условиях круглосуточного и дневного стационаров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80%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4.9</w:t>
            </w:r>
          </w:p>
        </w:tc>
        <w:tc>
          <w:tcPr>
            <w:tcW w:w="3572" w:type="dxa"/>
          </w:tcPr>
          <w:p>
            <w:pPr>
              <w:pStyle w:val="0"/>
              <w:jc w:val="both"/>
            </w:pPr>
            <w:r>
              <w:rPr>
                <w:sz w:val="20"/>
              </w:rPr>
              <w:t xml:space="preserve">Доля случаев стереотаксической лучевой терапии от общего числа случаев дистанционной лучевой терапии в условиях круглосуточного и дневного стационаров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3%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4.10</w:t>
            </w:r>
          </w:p>
        </w:tc>
        <w:tc>
          <w:tcPr>
            <w:tcW w:w="3572" w:type="dxa"/>
          </w:tcPr>
          <w:p>
            <w:pPr>
              <w:pStyle w:val="0"/>
              <w:jc w:val="both"/>
            </w:pPr>
            <w:r>
              <w:rPr>
                <w:sz w:val="20"/>
              </w:rPr>
              <w:t xml:space="preserve">Доля органосохраняющих и реконструктивно-пластических оперативных вмешательств, выполненных при раке молочной железы, от общего числа оперативных вмешательств при раке молочной железы</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55%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4.11</w:t>
            </w:r>
          </w:p>
        </w:tc>
        <w:tc>
          <w:tcPr>
            <w:tcW w:w="3572" w:type="dxa"/>
          </w:tcPr>
          <w:p>
            <w:pPr>
              <w:pStyle w:val="0"/>
              <w:jc w:val="both"/>
            </w:pPr>
            <w:r>
              <w:rPr>
                <w:sz w:val="20"/>
              </w:rPr>
              <w:t xml:space="preserve">Доля радикальных операций с удалением сторожевых лимфатических узлов по поводу меланомы кожи от общего количества радикальных операций по поводу меланомы кожи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50%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4.12</w:t>
            </w:r>
          </w:p>
        </w:tc>
        <w:tc>
          <w:tcPr>
            <w:tcW w:w="3572" w:type="dxa"/>
          </w:tcPr>
          <w:p>
            <w:pPr>
              <w:pStyle w:val="0"/>
              <w:jc w:val="both"/>
            </w:pPr>
            <w:r>
              <w:rPr>
                <w:sz w:val="20"/>
              </w:rPr>
              <w:t xml:space="preserve">Доля больных с диагнозом рак желудка, получавших предоперационную химиотерапию, от общего количества больных, которым проведена операция по поводу рака желудка (гастрэктомия или резекция желудка в различном объеме)</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75%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4.13</w:t>
            </w:r>
          </w:p>
        </w:tc>
        <w:tc>
          <w:tcPr>
            <w:tcW w:w="3572" w:type="dxa"/>
          </w:tcPr>
          <w:p>
            <w:pPr>
              <w:pStyle w:val="0"/>
              <w:jc w:val="both"/>
            </w:pPr>
            <w:r>
              <w:rPr>
                <w:sz w:val="20"/>
              </w:rPr>
              <w:t xml:space="preserve">Доля операций по экстирпации прямой кишки в различном объеме при злокачественных новообразованиях прямой кишки от общего количества операций при злокачественных новообразованиях прямой кишки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более 35%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4.14</w:t>
            </w:r>
          </w:p>
        </w:tc>
        <w:tc>
          <w:tcPr>
            <w:tcW w:w="3572" w:type="dxa"/>
          </w:tcPr>
          <w:p>
            <w:pPr>
              <w:pStyle w:val="0"/>
              <w:jc w:val="both"/>
            </w:pPr>
            <w:r>
              <w:rPr>
                <w:sz w:val="20"/>
              </w:rPr>
              <w:t xml:space="preserve">Доля случаев эндоскопических оперативных вмешательств, выполненных по поводу злокачественных новообразований колоректальной локализации, от общего числа оперативных вмешательств, выполненных по поводу злокачественных новообразований колоректальной локализации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40%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4.15</w:t>
            </w:r>
          </w:p>
        </w:tc>
        <w:tc>
          <w:tcPr>
            <w:tcW w:w="3572" w:type="dxa"/>
          </w:tcPr>
          <w:p>
            <w:pPr>
              <w:pStyle w:val="0"/>
              <w:jc w:val="both"/>
            </w:pPr>
            <w:r>
              <w:rPr>
                <w:sz w:val="20"/>
              </w:rPr>
              <w:t xml:space="preserve">Доля случаев госпитализаций по профилю "онкология" без специального противоопухолевого лечения от общего количества случаев госпитализаций по профилю "онкология"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более 3%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4.16</w:t>
            </w:r>
          </w:p>
        </w:tc>
        <w:tc>
          <w:tcPr>
            <w:tcW w:w="3572" w:type="dxa"/>
          </w:tcPr>
          <w:p>
            <w:pPr>
              <w:pStyle w:val="0"/>
              <w:jc w:val="both"/>
            </w:pPr>
            <w:r>
              <w:rPr>
                <w:sz w:val="20"/>
              </w:rPr>
              <w:t xml:space="preserve">Доля случаев хирургических вмешательств у больных с диагнозом злокачественного новообразования на неонкологических койках (за исключением коек нейрохирургического профиля) от общего количества хирургических вмешательств у больных с диагнозом злокачественного новообразования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более 3%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4.17</w:t>
            </w:r>
          </w:p>
        </w:tc>
        <w:tc>
          <w:tcPr>
            <w:tcW w:w="3572" w:type="dxa"/>
          </w:tcPr>
          <w:p>
            <w:pPr>
              <w:pStyle w:val="0"/>
              <w:jc w:val="both"/>
            </w:pPr>
            <w:r>
              <w:rPr>
                <w:sz w:val="20"/>
              </w:rPr>
              <w:t xml:space="preserve">Доля случаев оказания специализированной медицинской помощи по профилю "онкология" в плановой форме (далее - СМП по онкологии) в медицинских организациях, не соответствующих </w:t>
            </w:r>
            <w:hyperlink w:history="0" r:id="rId682"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Порядку</w:t>
              </w:r>
            </w:hyperlink>
            <w:r>
              <w:rPr>
                <w:sz w:val="20"/>
              </w:rPr>
              <w:t xml:space="preserve"> оказания медицинской помощи взрослому населению при онкологических заболеваниях (приказ Минздрава России от 19.02.2021 N 116н), от общего количества случаев СМП по онкологии, оплаченных в рамках территориальной программы государственных гарантий бесплатного оказания гражданам медицинской помощи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Целевое значение: 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4.18</w:t>
            </w:r>
          </w:p>
        </w:tc>
        <w:tc>
          <w:tcPr>
            <w:tcW w:w="3572" w:type="dxa"/>
          </w:tcPr>
          <w:p>
            <w:pPr>
              <w:pStyle w:val="0"/>
              <w:jc w:val="both"/>
            </w:pPr>
            <w:r>
              <w:rPr>
                <w:sz w:val="20"/>
              </w:rPr>
              <w:t xml:space="preserve">Доля случаев проведения противоопухолевой лекарственной терапии в условиях дневного стационара от общего числа случаев проведения противоопухолевой лекарственной терапии, выполненных при оказании медицинской помощи в условиях круглосуточного и дневного стационаров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55%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4.19</w:t>
            </w:r>
          </w:p>
        </w:tc>
        <w:tc>
          <w:tcPr>
            <w:tcW w:w="3572" w:type="dxa"/>
          </w:tcPr>
          <w:p>
            <w:pPr>
              <w:pStyle w:val="0"/>
              <w:jc w:val="both"/>
            </w:pPr>
            <w:r>
              <w:rPr>
                <w:sz w:val="20"/>
              </w:rPr>
              <w:t xml:space="preserve">Доля случаев проведения лучевых и химиолучевых методов лечения в условиях дневного стационара от общего числа случаев проведения лучевых и химиолучевых методов лечения в условиях круглосуточного и дневного стационаров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50%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4.20</w:t>
            </w:r>
          </w:p>
        </w:tc>
        <w:tc>
          <w:tcPr>
            <w:tcW w:w="3572" w:type="dxa"/>
          </w:tcPr>
          <w:p>
            <w:pPr>
              <w:pStyle w:val="0"/>
              <w:jc w:val="both"/>
            </w:pPr>
            <w:r>
              <w:rPr>
                <w:sz w:val="20"/>
              </w:rPr>
              <w:t xml:space="preserve">Доля впервые выявленных случаев ЗНО, входящих в рубрики C37, C38, C40 - C41, C45 - C49, C58, D39, C62, C69 - C70, C72, C74 МКБ-10, а также соответствующих кодам международной классификации онкологических болезней (МКБ-О, 3 издание: 8936, 906 - 909, 8247/3, 8013/3, 8240/3, 8244/3, 8246/3, 8249/3), у пациентов, направленных на проведение консультации или консилиума врачей, в том числе с применением телемедицинских технологий, в национальные медицинские исследовательские центры, от общего количества впервые выявленных случаев ЗНО, входящих в рубрики C37, C38, C40 - C41, C45 - C49, C58, D39, C62, C69 - C70, C72, C74 МКБ-10, а также соответствующих кодам международной классификации онкологических болезней (МКБ-О, 3 издание: 8936, 906 - 909, 8247/3, 8013/3, 8240/3, 8244/3, 8246/3, 8249/3)</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90%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4.21</w:t>
            </w:r>
          </w:p>
        </w:tc>
        <w:tc>
          <w:tcPr>
            <w:tcW w:w="3572" w:type="dxa"/>
          </w:tcPr>
          <w:p>
            <w:pPr>
              <w:pStyle w:val="0"/>
              <w:jc w:val="both"/>
            </w:pPr>
            <w:r>
              <w:rPr>
                <w:sz w:val="20"/>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применении хирургических методов лечения</w:t>
            </w:r>
          </w:p>
        </w:tc>
        <w:tc>
          <w:tcPr>
            <w:tcW w:w="1531" w:type="dxa"/>
          </w:tcPr>
          <w:p>
            <w:pPr>
              <w:pStyle w:val="0"/>
              <w:jc w:val="both"/>
            </w:pPr>
            <w:r>
              <w:rPr>
                <w:sz w:val="20"/>
              </w:rPr>
              <w:t xml:space="preserve">01.01.2021</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Не более 12 койко-дней (ежегодно), информация предоставляется отдельно в разрезе каждой медицинской организации</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4.22</w:t>
            </w:r>
          </w:p>
        </w:tc>
        <w:tc>
          <w:tcPr>
            <w:tcW w:w="3572" w:type="dxa"/>
          </w:tcPr>
          <w:p>
            <w:pPr>
              <w:pStyle w:val="0"/>
              <w:jc w:val="both"/>
            </w:pPr>
            <w:r>
              <w:rPr>
                <w:sz w:val="20"/>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проведении противоопухолевой лекарственной терапии</w:t>
            </w:r>
          </w:p>
        </w:tc>
        <w:tc>
          <w:tcPr>
            <w:tcW w:w="1531" w:type="dxa"/>
          </w:tcPr>
          <w:p>
            <w:pPr>
              <w:pStyle w:val="0"/>
              <w:jc w:val="both"/>
            </w:pPr>
            <w:r>
              <w:rPr>
                <w:sz w:val="20"/>
              </w:rPr>
              <w:t xml:space="preserve">01.01.2021</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Не более 5 койко-дней (ежегодно), информация предоставляется отдельно в разрезе каждой медицинской организации</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4.23</w:t>
            </w:r>
          </w:p>
        </w:tc>
        <w:tc>
          <w:tcPr>
            <w:tcW w:w="3572" w:type="dxa"/>
          </w:tcPr>
          <w:p>
            <w:pPr>
              <w:pStyle w:val="0"/>
              <w:jc w:val="both"/>
            </w:pPr>
            <w:r>
              <w:rPr>
                <w:sz w:val="20"/>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радиологического профиля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Не более 30 койко-дней (ежегодно), информация предоставляется отдельно в разрезе каждой медицинской организации</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4.24</w:t>
            </w:r>
          </w:p>
        </w:tc>
        <w:tc>
          <w:tcPr>
            <w:tcW w:w="3572" w:type="dxa"/>
          </w:tcPr>
          <w:p>
            <w:pPr>
              <w:pStyle w:val="0"/>
              <w:jc w:val="both"/>
            </w:pPr>
            <w:r>
              <w:rPr>
                <w:sz w:val="20"/>
              </w:rPr>
              <w:t xml:space="preserve">Доля пациентов с онкологическими заболеваниями, которым была проведена паллиативная (симптоматическая) дистанционная лучевая терапия, от общего количества случаев лучевой терапии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15%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4.25</w:t>
            </w:r>
          </w:p>
        </w:tc>
        <w:tc>
          <w:tcPr>
            <w:tcW w:w="3572" w:type="dxa"/>
          </w:tcPr>
          <w:p>
            <w:pPr>
              <w:pStyle w:val="0"/>
              <w:jc w:val="both"/>
            </w:pPr>
            <w:r>
              <w:rPr>
                <w:sz w:val="20"/>
              </w:rPr>
              <w:t xml:space="preserve">Доля пациентов с плоскоклеточным раком головы и шеи, которым проводилась химиолучевая терапия, от общего количества больных с впервые установленным диагнозом плоскоклеточного рака головы и шеи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40% (ежегодно)</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4.26</w:t>
            </w:r>
          </w:p>
        </w:tc>
        <w:tc>
          <w:tcPr>
            <w:tcW w:w="3572" w:type="dxa"/>
          </w:tcPr>
          <w:p>
            <w:pPr>
              <w:pStyle w:val="0"/>
              <w:jc w:val="both"/>
            </w:pPr>
            <w:r>
              <w:rPr>
                <w:sz w:val="20"/>
              </w:rPr>
              <w:t xml:space="preserve">Доля пациентов с раком легкого III стадии, которым проводилась химиолучевая терапия, от общего количества больных с впервые установленным диагнозом рака легкого III стадии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Целевой показатель: не менее 70% (ежегодно)</w:t>
            </w:r>
          </w:p>
        </w:tc>
        <w:tc>
          <w:tcPr>
            <w:tcW w:w="1701" w:type="dxa"/>
          </w:tcPr>
          <w:p>
            <w:pPr>
              <w:pStyle w:val="0"/>
              <w:jc w:val="both"/>
            </w:pPr>
            <w:r>
              <w:rPr>
                <w:sz w:val="20"/>
              </w:rPr>
              <w:t xml:space="preserve">Регулярное</w:t>
            </w:r>
          </w:p>
        </w:tc>
      </w:tr>
      <w:tr>
        <w:tc>
          <w:tcPr>
            <w:gridSpan w:val="7"/>
            <w:tcW w:w="15982" w:type="dxa"/>
          </w:tcPr>
          <w:p>
            <w:pPr>
              <w:pStyle w:val="0"/>
              <w:outlineLvl w:val="3"/>
              <w:jc w:val="both"/>
            </w:pPr>
            <w:r>
              <w:rPr>
                <w:sz w:val="20"/>
              </w:rPr>
              <w:t xml:space="preserve">5. Третичная профилактика онкологических заболеваний, включая организацию диспансерного наблюдения пациентов с онкологическими заболеваниями</w:t>
            </w:r>
          </w:p>
        </w:tc>
      </w:tr>
      <w:tr>
        <w:tc>
          <w:tcPr>
            <w:tcW w:w="637" w:type="dxa"/>
          </w:tcPr>
          <w:p>
            <w:pPr>
              <w:pStyle w:val="0"/>
              <w:jc w:val="both"/>
            </w:pPr>
            <w:r>
              <w:rPr>
                <w:sz w:val="20"/>
              </w:rPr>
              <w:t xml:space="preserve">5.1.</w:t>
            </w:r>
          </w:p>
        </w:tc>
        <w:tc>
          <w:tcPr>
            <w:tcW w:w="3572" w:type="dxa"/>
          </w:tcPr>
          <w:p>
            <w:pPr>
              <w:pStyle w:val="0"/>
              <w:jc w:val="both"/>
            </w:pPr>
            <w:r>
              <w:rPr>
                <w:sz w:val="20"/>
              </w:rPr>
              <w:t xml:space="preserve">Диспансерное наблюдение пациентов со злокачественными новообразованиями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Диспансерное наблюдение онкологического заболевания осуществляется: в течение первого года один раз в три месяца, в течение второго года - один раз в шесть месяцев, в дальнейшем - один раз в год по участковому принципу - в центре амбулаторной онкологической помощи или первичном онкологическом кабинете медицинской организации</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5.2</w:t>
            </w:r>
          </w:p>
        </w:tc>
        <w:tc>
          <w:tcPr>
            <w:tcW w:w="3572" w:type="dxa"/>
          </w:tcPr>
          <w:p>
            <w:pPr>
              <w:pStyle w:val="0"/>
              <w:jc w:val="both"/>
            </w:pPr>
            <w:r>
              <w:rPr>
                <w:sz w:val="20"/>
              </w:rPr>
              <w:t xml:space="preserve">Сверка контингента пациентов со злокачественными новообразованиями, подлежащих и состоящих под диспансерным наблюдением в первичных онкологических кабинетах, специалистами организационно-методического отдела ГБУЗС "Севастопольский городской онкологический диспансер им. А.А. Задорожного"</w:t>
            </w:r>
          </w:p>
        </w:tc>
        <w:tc>
          <w:tcPr>
            <w:tcW w:w="1531" w:type="dxa"/>
          </w:tcPr>
          <w:p>
            <w:pPr>
              <w:pStyle w:val="0"/>
              <w:jc w:val="both"/>
            </w:pPr>
            <w:r>
              <w:rPr>
                <w:sz w:val="20"/>
              </w:rPr>
              <w:t xml:space="preserve">01.01.2022</w:t>
            </w:r>
          </w:p>
        </w:tc>
        <w:tc>
          <w:tcPr>
            <w:tcW w:w="1764" w:type="dxa"/>
          </w:tcPr>
          <w:p>
            <w:pPr>
              <w:pStyle w:val="0"/>
              <w:jc w:val="both"/>
            </w:pPr>
            <w:r>
              <w:rPr>
                <w:sz w:val="20"/>
              </w:rPr>
              <w:t xml:space="preserve">31.10.2023</w:t>
            </w:r>
          </w:p>
        </w:tc>
        <w:tc>
          <w:tcPr>
            <w:tcW w:w="2948" w:type="dxa"/>
          </w:tcPr>
          <w:p>
            <w:pPr>
              <w:pStyle w:val="0"/>
              <w:jc w:val="both"/>
            </w:pPr>
            <w:r>
              <w:rPr>
                <w:sz w:val="20"/>
              </w:rPr>
              <w:t xml:space="preserve">Директор Департамента здравоохранения города Севастополя, директор ТФОМС, директор ГБУЗС "МИАЦ", главные врачи медицинских организаций, главный врач ГБУЗС "Севастопольский городской онкологический диспансер имени А.А. Задорожного"</w:t>
            </w:r>
          </w:p>
        </w:tc>
        <w:tc>
          <w:tcPr>
            <w:tcW w:w="3829" w:type="dxa"/>
          </w:tcPr>
          <w:p>
            <w:pPr>
              <w:pStyle w:val="0"/>
              <w:jc w:val="both"/>
            </w:pPr>
            <w:r>
              <w:rPr>
                <w:sz w:val="20"/>
              </w:rPr>
              <w:t xml:space="preserve">Соответствие количества пациентов популяционного ракового регистра - информационно-аналитического комплекса "Канцер-регистр" выгрузке из Региональной информационной системы АИС "Витакор" специалистов Территориального фонда обязательного медицинского страхования города Севастополя</w:t>
            </w:r>
          </w:p>
        </w:tc>
        <w:tc>
          <w:tcPr>
            <w:tcW w:w="1701" w:type="dxa"/>
          </w:tcPr>
          <w:p>
            <w:pPr>
              <w:pStyle w:val="0"/>
              <w:jc w:val="both"/>
            </w:pPr>
            <w:r>
              <w:rPr>
                <w:sz w:val="20"/>
              </w:rPr>
              <w:t xml:space="preserve">Регулярное</w:t>
            </w:r>
          </w:p>
        </w:tc>
      </w:tr>
      <w:tr>
        <w:tc>
          <w:tcPr>
            <w:gridSpan w:val="7"/>
            <w:tcW w:w="15982" w:type="dxa"/>
          </w:tcPr>
          <w:p>
            <w:pPr>
              <w:pStyle w:val="0"/>
              <w:outlineLvl w:val="3"/>
              <w:jc w:val="both"/>
            </w:pPr>
            <w:r>
              <w:rPr>
                <w:sz w:val="20"/>
              </w:rPr>
              <w:t xml:space="preserve">6. Комплекс мер по развитию паллиативной медицинской помощи пациентам с онкологическими заболеваниями</w:t>
            </w:r>
          </w:p>
        </w:tc>
      </w:tr>
      <w:tr>
        <w:tc>
          <w:tcPr>
            <w:tcW w:w="637" w:type="dxa"/>
          </w:tcPr>
          <w:p>
            <w:pPr>
              <w:pStyle w:val="0"/>
              <w:jc w:val="both"/>
            </w:pPr>
            <w:r>
              <w:rPr>
                <w:sz w:val="20"/>
              </w:rPr>
              <w:t xml:space="preserve">6.1</w:t>
            </w:r>
          </w:p>
        </w:tc>
        <w:tc>
          <w:tcPr>
            <w:tcW w:w="3572" w:type="dxa"/>
          </w:tcPr>
          <w:p>
            <w:pPr>
              <w:pStyle w:val="0"/>
              <w:jc w:val="both"/>
            </w:pPr>
            <w:r>
              <w:rPr>
                <w:sz w:val="20"/>
              </w:rPr>
              <w:t xml:space="preserve">Обучение медицинских кадров (врачей, средних и младших медицинских работников) по вопросам паллиативной медицинской помощи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главный специалист по паллиативной медицинской помощи Департамента здравоохранения города Севастополя</w:t>
            </w:r>
          </w:p>
        </w:tc>
        <w:tc>
          <w:tcPr>
            <w:tcW w:w="3829" w:type="dxa"/>
          </w:tcPr>
          <w:p>
            <w:pPr>
              <w:pStyle w:val="0"/>
              <w:jc w:val="both"/>
            </w:pPr>
            <w:r>
              <w:rPr>
                <w:sz w:val="20"/>
              </w:rPr>
              <w:t xml:space="preserve">Все медицинские работники, участвующие в оказании паллиативной помощи, обучены по различным вопросам оказания паллиативной медицинской помощи</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6.2</w:t>
            </w:r>
          </w:p>
        </w:tc>
        <w:tc>
          <w:tcPr>
            <w:tcW w:w="3572" w:type="dxa"/>
          </w:tcPr>
          <w:p>
            <w:pPr>
              <w:pStyle w:val="0"/>
              <w:jc w:val="both"/>
            </w:pPr>
            <w:r>
              <w:rPr>
                <w:sz w:val="20"/>
              </w:rPr>
              <w:t xml:space="preserve">Ведение и мониторинг регистра пациентов, нуждающихся в паллиативной помощи, включая обезболивание, интеграция его в РМИС "Витакор" АИС ЛПУ</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 "МИАЦ", главный специалист по паллиативной помощи Департамента здравоохранения города Севастополя</w:t>
            </w:r>
          </w:p>
        </w:tc>
        <w:tc>
          <w:tcPr>
            <w:tcW w:w="3829" w:type="dxa"/>
          </w:tcPr>
          <w:p>
            <w:pPr>
              <w:pStyle w:val="0"/>
              <w:jc w:val="both"/>
            </w:pPr>
            <w:r>
              <w:rPr>
                <w:sz w:val="20"/>
              </w:rPr>
              <w:t xml:space="preserve">Отчет о наполнении регистра</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6.3</w:t>
            </w:r>
          </w:p>
        </w:tc>
        <w:tc>
          <w:tcPr>
            <w:tcW w:w="3572" w:type="dxa"/>
          </w:tcPr>
          <w:p>
            <w:pPr>
              <w:pStyle w:val="0"/>
              <w:jc w:val="both"/>
            </w:pPr>
            <w:r>
              <w:rPr>
                <w:sz w:val="20"/>
              </w:rPr>
              <w:t xml:space="preserve">Внутренний и ведомственный контроль качества оказания паллиативной помощи взрослому населению</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главный внештатный специалист по паллиативной помощи Департамента здравоохранения города Севастополя</w:t>
            </w:r>
          </w:p>
        </w:tc>
        <w:tc>
          <w:tcPr>
            <w:tcW w:w="3829" w:type="dxa"/>
          </w:tcPr>
          <w:p>
            <w:pPr>
              <w:pStyle w:val="0"/>
              <w:jc w:val="both"/>
            </w:pPr>
            <w:r>
              <w:rPr>
                <w:sz w:val="20"/>
              </w:rPr>
              <w:t xml:space="preserve">Ежеквартальный отчет о проведении контрольных мероприятий (внутренний и ведомственный контроль), при необходимости - внесение изменений в нормативные акты по результатам проверок</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6.4</w:t>
            </w:r>
          </w:p>
        </w:tc>
        <w:tc>
          <w:tcPr>
            <w:tcW w:w="3572" w:type="dxa"/>
          </w:tcPr>
          <w:p>
            <w:pPr>
              <w:pStyle w:val="0"/>
              <w:jc w:val="both"/>
            </w:pPr>
            <w:r>
              <w:rPr>
                <w:sz w:val="20"/>
              </w:rPr>
              <w:t xml:space="preserve">Доля пациентов, получивших обезболивание в рамках оказания паллиативной медицинской помощи, от общего количества пациентов, нуждающихся в обезболивании при оказании паллиативной медицинской помощи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внештатный специалист по паллиативной помощи Департамента здравоохранения города Севастополя</w:t>
            </w:r>
          </w:p>
        </w:tc>
        <w:tc>
          <w:tcPr>
            <w:tcW w:w="3829" w:type="dxa"/>
          </w:tcPr>
          <w:p>
            <w:pPr>
              <w:pStyle w:val="0"/>
              <w:jc w:val="both"/>
            </w:pPr>
            <w:r>
              <w:rPr>
                <w:sz w:val="20"/>
              </w:rPr>
              <w:t xml:space="preserve">Целевой показатель: не менее 80% (ежегодно)</w:t>
            </w:r>
          </w:p>
        </w:tc>
        <w:tc>
          <w:tcPr>
            <w:tcW w:w="1701" w:type="dxa"/>
          </w:tcPr>
          <w:p>
            <w:pPr>
              <w:pStyle w:val="0"/>
              <w:jc w:val="both"/>
            </w:pPr>
            <w:r>
              <w:rPr>
                <w:sz w:val="20"/>
              </w:rPr>
              <w:t xml:space="preserve">Регулярное</w:t>
            </w:r>
          </w:p>
        </w:tc>
      </w:tr>
      <w:tr>
        <w:tc>
          <w:tcPr>
            <w:gridSpan w:val="7"/>
            <w:tcW w:w="15982" w:type="dxa"/>
          </w:tcPr>
          <w:p>
            <w:pPr>
              <w:pStyle w:val="0"/>
              <w:outlineLvl w:val="3"/>
              <w:jc w:val="both"/>
            </w:pPr>
            <w:r>
              <w:rPr>
                <w:sz w:val="20"/>
              </w:rPr>
              <w:t xml:space="preserve">7. Организационно-методическое сопровождение деятельности онкологической службы города Севастополя</w:t>
            </w:r>
          </w:p>
        </w:tc>
      </w:tr>
      <w:tr>
        <w:tc>
          <w:tcPr>
            <w:tcW w:w="637" w:type="dxa"/>
          </w:tcPr>
          <w:p>
            <w:pPr>
              <w:pStyle w:val="0"/>
              <w:jc w:val="both"/>
            </w:pPr>
            <w:r>
              <w:rPr>
                <w:sz w:val="20"/>
              </w:rPr>
              <w:t xml:space="preserve">7.1</w:t>
            </w:r>
          </w:p>
        </w:tc>
        <w:tc>
          <w:tcPr>
            <w:tcW w:w="3572" w:type="dxa"/>
          </w:tcPr>
          <w:p>
            <w:pPr>
              <w:pStyle w:val="0"/>
              <w:jc w:val="both"/>
            </w:pPr>
            <w:r>
              <w:rPr>
                <w:sz w:val="20"/>
              </w:rPr>
              <w:t xml:space="preserve">Функционирование централизованной подсистемы "Телемедицинские консультации", к которой подключены все медицинские организации государственной системы здравоохранения города Севастополя. Телемедицинские консультации по профилю "онкология" проводятся на основании заявки из медицинской организации как в плановом режиме, не позднее двух дней с момента получения заявки и медицинской документации пациента, так и в экстренном (в течение двух часов), силами специалистов онкологического диспансера. Телеконсультации проводятся в режиме "врач - врач" (без присутствия пациента) или в присутствии самого пациента или его представителей (консультации плановые и экстренные, разбор клинических случаев для обучения, проведение виртуальных осмотров)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w:t>
            </w:r>
          </w:p>
        </w:tc>
        <w:tc>
          <w:tcPr>
            <w:tcW w:w="3829" w:type="dxa"/>
          </w:tcPr>
          <w:p>
            <w:pPr>
              <w:pStyle w:val="0"/>
              <w:jc w:val="both"/>
            </w:pPr>
            <w:r>
              <w:rPr>
                <w:sz w:val="20"/>
              </w:rPr>
              <w:t xml:space="preserve">Ежемесячный отчет о работе централизованной системы "Телемедицинские консультации". Проведение дистанционных консультаций/консилиумов с применением телемедицинских технологий (2022 год - 10% от всех выявленных случаев ЗНО в отчетном периоде, 2023 год - 15%, 2024 год - 20%)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7.2</w:t>
            </w:r>
          </w:p>
        </w:tc>
        <w:tc>
          <w:tcPr>
            <w:tcW w:w="3572" w:type="dxa"/>
          </w:tcPr>
          <w:p>
            <w:pPr>
              <w:pStyle w:val="0"/>
              <w:jc w:val="both"/>
            </w:pPr>
            <w:r>
              <w:rPr>
                <w:sz w:val="20"/>
              </w:rPr>
              <w:t xml:space="preserve">Осуществление дистанционных консультаций/консилиумов с применением телемедицинских технологий с НМИЦ - Федеральное государственное бюджетное учреждение "Национальный медицинский исследовательский центр радиологии" Министерства здравоохранения Российской Федерации с филиалами - Медицинский радиологический научный центр им. А.Ф. Цыба, Московский научно-исследовательский онкологический институт им. П.А. Герцена и Научно-исследовательский институт урологии и интервенционной радиологии им. Н.А. Лопаткина, Федеральное государственное бюджетное учреждение "Национальный медицинский исследовательский центр онкологии имени Н.Н. Петрова" Министерства здравоохранения Российской Федерации, Федеральное государственное бюджетное учреждение "Национальный медицинский исследовательский центр имени Н.Н. Блохина" Министерства здравоохранения Российской Федерации, Федеральное государственное бюджетное учреждение "Национальный исследовательский центр онкологии" Министерства здравоохранения Российской Федерации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w:t>
            </w:r>
          </w:p>
        </w:tc>
        <w:tc>
          <w:tcPr>
            <w:tcW w:w="3829" w:type="dxa"/>
          </w:tcPr>
          <w:p>
            <w:pPr>
              <w:pStyle w:val="0"/>
              <w:jc w:val="both"/>
            </w:pPr>
            <w:r>
              <w:rPr>
                <w:sz w:val="20"/>
              </w:rPr>
              <w:t xml:space="preserve">Проведение дистанционных консультаций/консилиумов с применением телемедицинских технологий (2022 год - 10% от всех выявленных случаев ЗНО в отчетном периоде, 2023 год - 15%, 2024 год - 20%)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7.3</w:t>
            </w:r>
          </w:p>
        </w:tc>
        <w:tc>
          <w:tcPr>
            <w:tcW w:w="3572" w:type="dxa"/>
          </w:tcPr>
          <w:p>
            <w:pPr>
              <w:pStyle w:val="0"/>
              <w:jc w:val="both"/>
            </w:pPr>
            <w:r>
              <w:rPr>
                <w:sz w:val="20"/>
              </w:rPr>
              <w:t xml:space="preserve">Согласование с главным внештатным специалистом-онкологом Минздрава России проекта регионального нормативного правового акта, регламентирующего порядок оказания медицинской помощи взрослому населению при онкологических заболеваниях</w:t>
            </w:r>
          </w:p>
        </w:tc>
        <w:tc>
          <w:tcPr>
            <w:tcW w:w="1531" w:type="dxa"/>
          </w:tcPr>
          <w:p>
            <w:pPr>
              <w:pStyle w:val="0"/>
              <w:jc w:val="both"/>
            </w:pPr>
            <w:r>
              <w:rPr>
                <w:sz w:val="20"/>
              </w:rPr>
              <w:t xml:space="preserve">01.01.2023</w:t>
            </w:r>
          </w:p>
        </w:tc>
        <w:tc>
          <w:tcPr>
            <w:tcW w:w="1764" w:type="dxa"/>
          </w:tcPr>
          <w:p>
            <w:pPr>
              <w:pStyle w:val="0"/>
              <w:jc w:val="both"/>
            </w:pPr>
            <w:r>
              <w:rPr>
                <w:sz w:val="20"/>
              </w:rPr>
              <w:t xml:space="preserve">01.03.2024</w:t>
            </w:r>
          </w:p>
        </w:tc>
        <w:tc>
          <w:tcPr>
            <w:tcW w:w="2948" w:type="dxa"/>
          </w:tcPr>
          <w:p>
            <w:pPr>
              <w:pStyle w:val="0"/>
              <w:jc w:val="both"/>
            </w:pPr>
            <w:r>
              <w:rPr>
                <w:sz w:val="20"/>
              </w:rPr>
              <w:t xml:space="preserve">Директор Департамента здравоохранения города Севастополя, главный онколог Департамента здравоохранения города Севастополя</w:t>
            </w:r>
          </w:p>
        </w:tc>
        <w:tc>
          <w:tcPr>
            <w:tcW w:w="3829" w:type="dxa"/>
          </w:tcPr>
          <w:p>
            <w:pPr>
              <w:pStyle w:val="0"/>
              <w:jc w:val="both"/>
            </w:pPr>
            <w:r>
              <w:rPr>
                <w:sz w:val="20"/>
              </w:rPr>
              <w:t xml:space="preserve">Ежегодная, в срок до 1 марта, актуализация регионального нормативного правового акта, регламентирующего порядок оказания медицинской помощи взрослому населению при онкологических заболеваниях</w:t>
            </w:r>
          </w:p>
        </w:tc>
        <w:tc>
          <w:tcPr>
            <w:tcW w:w="1701" w:type="dxa"/>
          </w:tcPr>
          <w:p>
            <w:pPr>
              <w:pStyle w:val="0"/>
              <w:jc w:val="both"/>
            </w:pPr>
            <w:r>
              <w:rPr>
                <w:sz w:val="20"/>
              </w:rPr>
              <w:t xml:space="preserve">Разовое, делимое</w:t>
            </w:r>
          </w:p>
        </w:tc>
      </w:tr>
      <w:tr>
        <w:tc>
          <w:tcPr>
            <w:tcW w:w="637" w:type="dxa"/>
            <w:vMerge w:val="restart"/>
          </w:tcPr>
          <w:p>
            <w:pPr>
              <w:pStyle w:val="0"/>
              <w:jc w:val="both"/>
            </w:pPr>
            <w:r>
              <w:rPr>
                <w:sz w:val="20"/>
              </w:rPr>
              <w:t xml:space="preserve">7.4</w:t>
            </w:r>
          </w:p>
        </w:tc>
        <w:tc>
          <w:tcPr>
            <w:tcW w:w="3572" w:type="dxa"/>
            <w:vMerge w:val="restart"/>
          </w:tcPr>
          <w:p>
            <w:pPr>
              <w:pStyle w:val="0"/>
              <w:jc w:val="both"/>
            </w:pPr>
            <w:r>
              <w:rPr>
                <w:sz w:val="20"/>
              </w:rPr>
              <w:t xml:space="preserve">Составление графика выездных мероприятий в медицинские организации города с целью организационно-методической работы, разбора клинических случаев</w:t>
            </w:r>
          </w:p>
        </w:tc>
        <w:tc>
          <w:tcPr>
            <w:tcW w:w="1531" w:type="dxa"/>
            <w:vMerge w:val="restart"/>
          </w:tcPr>
          <w:p>
            <w:pPr>
              <w:pStyle w:val="0"/>
              <w:jc w:val="both"/>
            </w:pPr>
            <w:r>
              <w:rPr>
                <w:sz w:val="20"/>
              </w:rPr>
              <w:t xml:space="preserve">01.07.2022</w:t>
            </w:r>
          </w:p>
        </w:tc>
        <w:tc>
          <w:tcPr>
            <w:tcW w:w="1764" w:type="dxa"/>
            <w:vMerge w:val="restart"/>
          </w:tcPr>
          <w:p>
            <w:pPr>
              <w:pStyle w:val="0"/>
              <w:jc w:val="both"/>
            </w:pPr>
            <w:r>
              <w:rPr>
                <w:sz w:val="20"/>
              </w:rPr>
              <w:t xml:space="preserve">31.12.2023</w:t>
            </w:r>
          </w:p>
        </w:tc>
        <w:tc>
          <w:tcPr>
            <w:tcW w:w="2948" w:type="dxa"/>
            <w:vMerge w:val="restart"/>
          </w:tcPr>
          <w:p>
            <w:pPr>
              <w:pStyle w:val="0"/>
              <w:jc w:val="both"/>
            </w:pPr>
            <w:r>
              <w:rPr>
                <w:sz w:val="20"/>
              </w:rPr>
              <w:t xml:space="preserve">Главный онколог Департамента здравоохранения города Севастополя</w:t>
            </w:r>
          </w:p>
        </w:tc>
        <w:tc>
          <w:tcPr>
            <w:tcW w:w="3829" w:type="dxa"/>
          </w:tcPr>
          <w:p>
            <w:pPr>
              <w:pStyle w:val="0"/>
              <w:jc w:val="both"/>
            </w:pPr>
            <w:r>
              <w:rPr>
                <w:sz w:val="20"/>
              </w:rPr>
              <w:t xml:space="preserve">Предоставление в адрес ФГБУ "НМИЦ онкологии им. Н.Н. Блохина" Минздрава России плана-графика выездных мероприятий в срок до 15.07.2023</w:t>
            </w:r>
          </w:p>
        </w:tc>
        <w:tc>
          <w:tcPr>
            <w:tcW w:w="1701" w:type="dxa"/>
          </w:tcPr>
          <w:p>
            <w:pPr>
              <w:pStyle w:val="0"/>
              <w:jc w:val="both"/>
            </w:pPr>
            <w:r>
              <w:rPr>
                <w:sz w:val="20"/>
              </w:rPr>
              <w:t xml:space="preserve">Разовое, неделимое</w:t>
            </w:r>
          </w:p>
        </w:tc>
      </w:tr>
      <w:tr>
        <w:tc>
          <w:tcPr>
            <w:vMerge w:val="continue"/>
          </w:tcPr>
          <w:p/>
        </w:tc>
        <w:tc>
          <w:tcPr>
            <w:vMerge w:val="continue"/>
          </w:tcPr>
          <w:p/>
        </w:tc>
        <w:tc>
          <w:tcPr>
            <w:vMerge w:val="continue"/>
          </w:tcPr>
          <w:p/>
        </w:tc>
        <w:tc>
          <w:tcPr>
            <w:vMerge w:val="continue"/>
          </w:tcPr>
          <w:p/>
        </w:tc>
        <w:tc>
          <w:tcPr>
            <w:vMerge w:val="continue"/>
          </w:tcPr>
          <w:p/>
        </w:tc>
        <w:tc>
          <w:tcPr>
            <w:tcW w:w="3829" w:type="dxa"/>
          </w:tcPr>
          <w:p>
            <w:pPr>
              <w:pStyle w:val="0"/>
              <w:jc w:val="both"/>
            </w:pPr>
            <w:r>
              <w:rPr>
                <w:sz w:val="20"/>
              </w:rPr>
              <w:t xml:space="preserve">Предоставление информации о результатах выездных мероприятий</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7.5</w:t>
            </w:r>
          </w:p>
        </w:tc>
        <w:tc>
          <w:tcPr>
            <w:tcW w:w="3572" w:type="dxa"/>
          </w:tcPr>
          <w:p>
            <w:pPr>
              <w:pStyle w:val="0"/>
              <w:jc w:val="both"/>
            </w:pPr>
            <w:r>
              <w:rPr>
                <w:sz w:val="20"/>
              </w:rPr>
              <w:t xml:space="preserve">Проведение телемедицинских консультаций ЦАОП и ПОК с ГБУЗС "Севастопольский городской онкологический диспансер имени А.А. Задорожного"</w:t>
            </w:r>
          </w:p>
        </w:tc>
        <w:tc>
          <w:tcPr>
            <w:tcW w:w="1531" w:type="dxa"/>
          </w:tcPr>
          <w:p>
            <w:pPr>
              <w:pStyle w:val="0"/>
              <w:jc w:val="both"/>
            </w:pPr>
            <w:r>
              <w:rPr>
                <w:sz w:val="20"/>
              </w:rPr>
              <w:t xml:space="preserve">01.07.2022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Предоставление информации о количестве телемедицинских консультаций (нарастающим итогом) в разрезе каждой медицинской организации</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7.6</w:t>
            </w:r>
          </w:p>
        </w:tc>
        <w:tc>
          <w:tcPr>
            <w:tcW w:w="3572" w:type="dxa"/>
          </w:tcPr>
          <w:p>
            <w:pPr>
              <w:pStyle w:val="0"/>
              <w:jc w:val="both"/>
            </w:pPr>
            <w:r>
              <w:rPr>
                <w:sz w:val="20"/>
              </w:rPr>
              <w:t xml:space="preserve">Отчет по работе ВИМИС "Онкология"</w:t>
            </w:r>
          </w:p>
        </w:tc>
        <w:tc>
          <w:tcPr>
            <w:tcW w:w="1531" w:type="dxa"/>
          </w:tcPr>
          <w:p>
            <w:pPr>
              <w:pStyle w:val="0"/>
              <w:jc w:val="both"/>
            </w:pPr>
            <w:r>
              <w:rPr>
                <w:sz w:val="20"/>
              </w:rPr>
              <w:t xml:space="preserve">01.07.2022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Предоставление краткой информационной справки по наполнению информацией ВИМИС "Онкология" (показатели, отклонения, рекомендуемые мероприятия по устранению выявленных отклонений) в адрес ФГБУ "НМИЦ онкологии им. Н.Н. Блохина" Минздрава России. Регулярность предоставления отчета - 1 раз в квартал, не позднее 10-го числа месяца, следующего за отчетным периодом</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7.7</w:t>
            </w:r>
          </w:p>
        </w:tc>
        <w:tc>
          <w:tcPr>
            <w:tcW w:w="3572" w:type="dxa"/>
          </w:tcPr>
          <w:p>
            <w:pPr>
              <w:pStyle w:val="0"/>
              <w:jc w:val="both"/>
            </w:pPr>
            <w:r>
              <w:rPr>
                <w:sz w:val="20"/>
              </w:rPr>
              <w:t xml:space="preserve">Семинары или тематические лекции со специалистами ЦАОП и первичных онкологических кабинетов по вопросам организации работы этих структурных подразделений</w:t>
            </w:r>
          </w:p>
        </w:tc>
        <w:tc>
          <w:tcPr>
            <w:tcW w:w="1531" w:type="dxa"/>
          </w:tcPr>
          <w:p>
            <w:pPr>
              <w:pStyle w:val="0"/>
              <w:jc w:val="both"/>
            </w:pPr>
            <w:r>
              <w:rPr>
                <w:sz w:val="20"/>
              </w:rPr>
              <w:t xml:space="preserve">01.07.2022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Главный онколог Департамента здравоохранения города Севастополя</w:t>
            </w:r>
          </w:p>
        </w:tc>
        <w:tc>
          <w:tcPr>
            <w:tcW w:w="3829" w:type="dxa"/>
          </w:tcPr>
          <w:p>
            <w:pPr>
              <w:pStyle w:val="0"/>
              <w:jc w:val="both"/>
            </w:pPr>
            <w:r>
              <w:rPr>
                <w:sz w:val="20"/>
              </w:rPr>
              <w:t xml:space="preserve">Не менее одного мероприятия в квартал (предоставляется краткий отчет о реализации мероприятия с указанием ФИО и должностей организаторов, количества слушателей)</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7.8</w:t>
            </w:r>
          </w:p>
        </w:tc>
        <w:tc>
          <w:tcPr>
            <w:tcW w:w="3572" w:type="dxa"/>
          </w:tcPr>
          <w:p>
            <w:pPr>
              <w:pStyle w:val="0"/>
              <w:jc w:val="both"/>
            </w:pPr>
            <w:r>
              <w:rPr>
                <w:sz w:val="20"/>
              </w:rPr>
              <w:t xml:space="preserve">Семинары или тематические лекции со специалистами первичного звена (врачи-терапевты, врачи общей практики, иные врачи-специалисты, кроме врачей-онкологов) по вопросам оказания медицинской помощи больным с подозрением на онкологическое заболевание, лицам, находящимся на диспансерном наблюдении с предопухолевой патологией, по вопросам разбора запущенных случаев и онконастороженности</w:t>
            </w:r>
          </w:p>
        </w:tc>
        <w:tc>
          <w:tcPr>
            <w:tcW w:w="1531" w:type="dxa"/>
          </w:tcPr>
          <w:p>
            <w:pPr>
              <w:pStyle w:val="0"/>
              <w:jc w:val="both"/>
            </w:pPr>
            <w:r>
              <w:rPr>
                <w:sz w:val="20"/>
              </w:rPr>
              <w:t xml:space="preserve">01.07.2022</w:t>
            </w:r>
          </w:p>
        </w:tc>
        <w:tc>
          <w:tcPr>
            <w:tcW w:w="1764" w:type="dxa"/>
          </w:tcPr>
          <w:p>
            <w:pPr>
              <w:pStyle w:val="0"/>
              <w:jc w:val="both"/>
            </w:pPr>
            <w:r>
              <w:rPr>
                <w:sz w:val="20"/>
              </w:rPr>
              <w:t xml:space="preserve">31.12.2024</w:t>
            </w:r>
          </w:p>
        </w:tc>
        <w:tc>
          <w:tcPr>
            <w:tcW w:w="2948" w:type="dxa"/>
          </w:tcPr>
          <w:p>
            <w:pPr>
              <w:pStyle w:val="0"/>
              <w:jc w:val="both"/>
            </w:pPr>
            <w:r>
              <w:rPr>
                <w:sz w:val="20"/>
              </w:rPr>
              <w:t xml:space="preserve">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Не менее одного мероприятия в квартал (предоставляется краткий отчет о реализации мероприятия с указанием ФИО и должностей организаторов, количества слушателей)</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7.9</w:t>
            </w:r>
          </w:p>
        </w:tc>
        <w:tc>
          <w:tcPr>
            <w:tcW w:w="3572" w:type="dxa"/>
          </w:tcPr>
          <w:p>
            <w:pPr>
              <w:pStyle w:val="0"/>
              <w:jc w:val="both"/>
            </w:pPr>
            <w:r>
              <w:rPr>
                <w:sz w:val="20"/>
              </w:rPr>
              <w:t xml:space="preserve">Итоговый отчет о реализации мероприятий федерального проекта "Борьба с онкологическими заболеваниями", достижении его целевых показателей и работе онкологической службы региона в целом (отчетные данные, анализ, разбор причин недостижения показателей, выводы, план мероприятий по устранению проблем, перспективы развития онкологической службы региона и т.д.) за 2023 год</w:t>
            </w:r>
          </w:p>
        </w:tc>
        <w:tc>
          <w:tcPr>
            <w:tcW w:w="1531" w:type="dxa"/>
          </w:tcPr>
          <w:p>
            <w:pPr>
              <w:pStyle w:val="0"/>
              <w:jc w:val="both"/>
            </w:pPr>
            <w:r>
              <w:rPr>
                <w:sz w:val="20"/>
              </w:rPr>
              <w:t xml:space="preserve">01.01.2023</w:t>
            </w:r>
          </w:p>
        </w:tc>
        <w:tc>
          <w:tcPr>
            <w:tcW w:w="1764" w:type="dxa"/>
          </w:tcPr>
          <w:p>
            <w:pPr>
              <w:pStyle w:val="0"/>
              <w:jc w:val="both"/>
            </w:pPr>
            <w:r>
              <w:rPr>
                <w:sz w:val="20"/>
              </w:rPr>
              <w:t xml:space="preserve">15.02.2024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главные врачи медицинских организаций, главный онколог Департамента здравоохранения города Севастополя</w:t>
            </w:r>
          </w:p>
        </w:tc>
        <w:tc>
          <w:tcPr>
            <w:tcW w:w="3829" w:type="dxa"/>
          </w:tcPr>
          <w:p>
            <w:pPr>
              <w:pStyle w:val="0"/>
              <w:jc w:val="both"/>
            </w:pPr>
            <w:r>
              <w:rPr>
                <w:sz w:val="20"/>
              </w:rPr>
              <w:t xml:space="preserve">Предоставление отчета в адрес ФГБУ "НМИЦ онкологии им. Н.Н. Блохина" Минздрава России в срок до 15.02.2024 с приложением формы N 7</w:t>
            </w:r>
          </w:p>
        </w:tc>
        <w:tc>
          <w:tcPr>
            <w:tcW w:w="1701" w:type="dxa"/>
          </w:tcPr>
          <w:p>
            <w:pPr>
              <w:pStyle w:val="0"/>
              <w:jc w:val="both"/>
            </w:pPr>
            <w:r>
              <w:rPr>
                <w:sz w:val="20"/>
              </w:rPr>
              <w:t xml:space="preserve">Разовое, неделимое</w:t>
            </w:r>
          </w:p>
        </w:tc>
      </w:tr>
      <w:tr>
        <w:tc>
          <w:tcPr>
            <w:gridSpan w:val="7"/>
            <w:tcW w:w="15982" w:type="dxa"/>
          </w:tcPr>
          <w:p>
            <w:pPr>
              <w:pStyle w:val="0"/>
              <w:outlineLvl w:val="3"/>
              <w:jc w:val="both"/>
            </w:pPr>
            <w:r>
              <w:rPr>
                <w:sz w:val="20"/>
              </w:rPr>
              <w:t xml:space="preserve">8. Формирование и развитие цифрового контура онкологической службы города Севастополя</w:t>
            </w:r>
          </w:p>
        </w:tc>
      </w:tr>
      <w:tr>
        <w:tc>
          <w:tcPr>
            <w:tcW w:w="637" w:type="dxa"/>
          </w:tcPr>
          <w:p>
            <w:pPr>
              <w:pStyle w:val="0"/>
              <w:jc w:val="both"/>
            </w:pPr>
            <w:r>
              <w:rPr>
                <w:sz w:val="20"/>
              </w:rPr>
              <w:t xml:space="preserve">8.1</w:t>
            </w:r>
          </w:p>
        </w:tc>
        <w:tc>
          <w:tcPr>
            <w:tcW w:w="3572" w:type="dxa"/>
          </w:tcPr>
          <w:p>
            <w:pPr>
              <w:pStyle w:val="0"/>
              <w:jc w:val="both"/>
            </w:pPr>
            <w:r>
              <w:rPr>
                <w:sz w:val="20"/>
              </w:rPr>
              <w:t xml:space="preserve">Обеспечение оперативного получения и анализа данных по маршрутизации первичных пациентов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w:t>
            </w:r>
          </w:p>
        </w:tc>
        <w:tc>
          <w:tcPr>
            <w:tcW w:w="3829" w:type="dxa"/>
          </w:tcPr>
          <w:p>
            <w:pPr>
              <w:pStyle w:val="0"/>
              <w:jc w:val="both"/>
            </w:pPr>
            <w:r>
              <w:rPr>
                <w:sz w:val="20"/>
              </w:rPr>
              <w:t xml:space="preserve">Обеспечена возможность проведения мониторинга качества оказания медицинской помощи по профилю "онкология" в 100% медицинских организаций, оказывающих медицинскую помощь пациентам со злокачественными новообразованиями</w:t>
            </w:r>
          </w:p>
        </w:tc>
        <w:tc>
          <w:tcPr>
            <w:tcW w:w="1701" w:type="dxa"/>
          </w:tcPr>
          <w:p>
            <w:pPr>
              <w:pStyle w:val="0"/>
              <w:jc w:val="both"/>
            </w:pPr>
            <w:r>
              <w:rPr>
                <w:sz w:val="20"/>
              </w:rPr>
              <w:t xml:space="preserve">Разовое, делимое</w:t>
            </w:r>
          </w:p>
        </w:tc>
      </w:tr>
      <w:tr>
        <w:tc>
          <w:tcPr>
            <w:tcW w:w="637" w:type="dxa"/>
          </w:tcPr>
          <w:p>
            <w:pPr>
              <w:pStyle w:val="0"/>
              <w:jc w:val="both"/>
            </w:pPr>
            <w:r>
              <w:rPr>
                <w:sz w:val="20"/>
              </w:rPr>
              <w:t xml:space="preserve">8.2</w:t>
            </w:r>
          </w:p>
        </w:tc>
        <w:tc>
          <w:tcPr>
            <w:tcW w:w="3572" w:type="dxa"/>
          </w:tcPr>
          <w:p>
            <w:pPr>
              <w:pStyle w:val="0"/>
              <w:jc w:val="both"/>
            </w:pPr>
            <w:r>
              <w:rPr>
                <w:sz w:val="20"/>
              </w:rPr>
              <w:t xml:space="preserve">Разработка и актуализация нормативно-правовых актов, определяющих порядок межведомственного электронного взаимодействия медицинских организаций города Севастополя, в том числе с учреждениями других ведомств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31.12.2023</w:t>
            </w:r>
          </w:p>
        </w:tc>
        <w:tc>
          <w:tcPr>
            <w:tcW w:w="2948" w:type="dxa"/>
          </w:tcPr>
          <w:p>
            <w:pPr>
              <w:pStyle w:val="0"/>
              <w:jc w:val="both"/>
            </w:pPr>
            <w:r>
              <w:rPr>
                <w:sz w:val="20"/>
              </w:rPr>
              <w:t xml:space="preserve">Директор Департамента здравоохранения города Севастополя, руководитель ФКУ "Главное бюро медико-социальной экспертизы по г. Севастополю" Министерства труда и социальной защиты Российской Федерации, управляющий ГУ "Севастопольское региональное отделение Фонда социального страхования Российской Федерации"</w:t>
            </w:r>
          </w:p>
        </w:tc>
        <w:tc>
          <w:tcPr>
            <w:tcW w:w="3829" w:type="dxa"/>
          </w:tcPr>
          <w:p>
            <w:pPr>
              <w:pStyle w:val="0"/>
              <w:jc w:val="both"/>
            </w:pPr>
            <w:r>
              <w:rPr>
                <w:sz w:val="20"/>
              </w:rPr>
              <w:t xml:space="preserve">Разработка проектов нормативно-правовых актов, определяющих порядок межведомственного электронного взаимодействия медицинских организаций города Севастополя, в том числе с учреждениями других ведомств (ФКУ "Главное бюро медико-социальной экспертизы по г. Севастополю" Министерства труда и социальной защиты Российской Федерации, управляющий "ГУ Севастопольское региональное отделение Фонда социального страхования Российской Федерации" и др.)</w:t>
            </w:r>
          </w:p>
        </w:tc>
        <w:tc>
          <w:tcPr>
            <w:tcW w:w="1701" w:type="dxa"/>
          </w:tcPr>
          <w:p>
            <w:pPr>
              <w:pStyle w:val="0"/>
              <w:jc w:val="both"/>
            </w:pPr>
            <w:r>
              <w:rPr>
                <w:sz w:val="20"/>
              </w:rPr>
              <w:t xml:space="preserve">Разовое, неделимое</w:t>
            </w:r>
          </w:p>
        </w:tc>
      </w:tr>
      <w:tr>
        <w:tc>
          <w:tcPr>
            <w:tcW w:w="637" w:type="dxa"/>
          </w:tcPr>
          <w:p>
            <w:pPr>
              <w:pStyle w:val="0"/>
              <w:jc w:val="both"/>
            </w:pPr>
            <w:r>
              <w:rPr>
                <w:sz w:val="20"/>
              </w:rPr>
              <w:t xml:space="preserve">8.3</w:t>
            </w:r>
          </w:p>
        </w:tc>
        <w:tc>
          <w:tcPr>
            <w:tcW w:w="3572" w:type="dxa"/>
          </w:tcPr>
          <w:p>
            <w:pPr>
              <w:pStyle w:val="0"/>
              <w:jc w:val="both"/>
            </w:pPr>
            <w:r>
              <w:rPr>
                <w:sz w:val="20"/>
              </w:rPr>
              <w:t xml:space="preserve">Обеспечение защищенной сети передачи данных</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 директор ГКУС "Медицинский склад N 1043"</w:t>
            </w:r>
          </w:p>
        </w:tc>
        <w:tc>
          <w:tcPr>
            <w:tcW w:w="3829" w:type="dxa"/>
          </w:tcPr>
          <w:p>
            <w:pPr>
              <w:pStyle w:val="0"/>
              <w:jc w:val="both"/>
            </w:pPr>
            <w:r>
              <w:rPr>
                <w:sz w:val="20"/>
              </w:rPr>
              <w:t xml:space="preserve">Обеспечение защищенной сетью передачи данных в 2023 году не менее 70% структурных подразделений медицинских организаций, в 2024 году - не менее 80%</w:t>
            </w:r>
          </w:p>
        </w:tc>
        <w:tc>
          <w:tcPr>
            <w:tcW w:w="1701" w:type="dxa"/>
          </w:tcPr>
          <w:p>
            <w:pPr>
              <w:pStyle w:val="0"/>
              <w:jc w:val="both"/>
            </w:pPr>
            <w:r>
              <w:rPr>
                <w:sz w:val="20"/>
              </w:rPr>
              <w:t xml:space="preserve">Разовое, делимое</w:t>
            </w:r>
          </w:p>
        </w:tc>
      </w:tr>
      <w:tr>
        <w:tc>
          <w:tcPr>
            <w:tcW w:w="637" w:type="dxa"/>
          </w:tcPr>
          <w:p>
            <w:pPr>
              <w:pStyle w:val="0"/>
              <w:jc w:val="both"/>
            </w:pPr>
            <w:r>
              <w:rPr>
                <w:sz w:val="20"/>
              </w:rPr>
              <w:t xml:space="preserve">8.4</w:t>
            </w:r>
          </w:p>
        </w:tc>
        <w:tc>
          <w:tcPr>
            <w:tcW w:w="3572" w:type="dxa"/>
          </w:tcPr>
          <w:p>
            <w:pPr>
              <w:pStyle w:val="0"/>
              <w:jc w:val="both"/>
            </w:pPr>
            <w:r>
              <w:rPr>
                <w:sz w:val="20"/>
              </w:rPr>
              <w:t xml:space="preserve">Организация автоматизированных рабочих мест медицинских работников, участвующих в оказании медицинской помощи по профилю "онкология"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Первый заместитель директора, директор Департамента здравоохранения города Севастополя, директор ГБУЗС "МИАЦ"</w:t>
            </w:r>
          </w:p>
        </w:tc>
        <w:tc>
          <w:tcPr>
            <w:tcW w:w="3829" w:type="dxa"/>
          </w:tcPr>
          <w:p>
            <w:pPr>
              <w:pStyle w:val="0"/>
              <w:jc w:val="both"/>
            </w:pPr>
            <w:r>
              <w:rPr>
                <w:sz w:val="20"/>
              </w:rPr>
              <w:t xml:space="preserve">Рабочие места врачей-онкологов в МО автоматизированы (2023 год - 70%, 2024 год - 100%)</w:t>
            </w:r>
          </w:p>
        </w:tc>
        <w:tc>
          <w:tcPr>
            <w:tcW w:w="1701" w:type="dxa"/>
          </w:tcPr>
          <w:p>
            <w:pPr>
              <w:pStyle w:val="0"/>
              <w:jc w:val="both"/>
            </w:pPr>
            <w:r>
              <w:rPr>
                <w:sz w:val="20"/>
              </w:rPr>
              <w:t xml:space="preserve">Разовое, делимое</w:t>
            </w:r>
          </w:p>
        </w:tc>
      </w:tr>
      <w:tr>
        <w:tc>
          <w:tcPr>
            <w:tcW w:w="637" w:type="dxa"/>
          </w:tcPr>
          <w:p>
            <w:pPr>
              <w:pStyle w:val="0"/>
              <w:jc w:val="both"/>
            </w:pPr>
            <w:r>
              <w:rPr>
                <w:sz w:val="20"/>
              </w:rPr>
              <w:t xml:space="preserve">8.5</w:t>
            </w:r>
          </w:p>
        </w:tc>
        <w:tc>
          <w:tcPr>
            <w:tcW w:w="3572" w:type="dxa"/>
          </w:tcPr>
          <w:p>
            <w:pPr>
              <w:pStyle w:val="0"/>
              <w:jc w:val="both"/>
            </w:pPr>
            <w:r>
              <w:rPr>
                <w:sz w:val="20"/>
              </w:rPr>
              <w:t xml:space="preserve">Проведение специалистами Центра медицинской статистики ГБУЗС "МИАЦ" и организационно-методического отдела ГБУЗС "Севастопольский городской онкологический диспансер имени А.А. Задорожного" эпидемиологического мониторинга заболеваемости, смертности, распространенности и инвалидизации от злокачественных новообразований, планирование объемов оказания медицинской помощи на основании действующего регионального онкологического регистра</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Первый заместитель директора, директор Департамента здравоохранения города Севастополя, директор ГБУЗС "МИАЦ"</w:t>
            </w:r>
          </w:p>
        </w:tc>
        <w:tc>
          <w:tcPr>
            <w:tcW w:w="3829" w:type="dxa"/>
          </w:tcPr>
          <w:p>
            <w:pPr>
              <w:pStyle w:val="0"/>
              <w:jc w:val="both"/>
            </w:pPr>
            <w:r>
              <w:rPr>
                <w:sz w:val="20"/>
              </w:rPr>
              <w:t xml:space="preserve">Формирование и выгрузка статистической отчетности на основе данных Региональной медицинской информационной системы АИС "Витакор" (2023 год - 50%, 2024 год - 100%)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8.6</w:t>
            </w:r>
          </w:p>
        </w:tc>
        <w:tc>
          <w:tcPr>
            <w:tcW w:w="3572" w:type="dxa"/>
          </w:tcPr>
          <w:p>
            <w:pPr>
              <w:pStyle w:val="0"/>
              <w:jc w:val="both"/>
            </w:pPr>
            <w:r>
              <w:rPr>
                <w:sz w:val="20"/>
              </w:rPr>
              <w:t xml:space="preserve">Доля подключенных медицинских организаций субъекта Российской Федерации в разрезе территориально выделенных структурных подразделений в ВИМИС "Онкология" от планового показателя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31.12.2023</w:t>
            </w:r>
          </w:p>
        </w:tc>
        <w:tc>
          <w:tcPr>
            <w:tcW w:w="2948" w:type="dxa"/>
          </w:tcPr>
          <w:p>
            <w:pPr>
              <w:pStyle w:val="0"/>
              <w:jc w:val="both"/>
            </w:pPr>
            <w:r>
              <w:rPr>
                <w:sz w:val="20"/>
              </w:rPr>
              <w:t xml:space="preserve">Директор Департамента здравоохранения города Севастополя, директор ГБУЗС "МИАЦ"</w:t>
            </w:r>
          </w:p>
        </w:tc>
        <w:tc>
          <w:tcPr>
            <w:tcW w:w="3829" w:type="dxa"/>
          </w:tcPr>
          <w:p>
            <w:pPr>
              <w:pStyle w:val="0"/>
              <w:jc w:val="both"/>
            </w:pPr>
            <w:r>
              <w:rPr>
                <w:sz w:val="20"/>
              </w:rPr>
              <w:t xml:space="preserve">Целевой показатель: 2023 год - не менее 100%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8.7</w:t>
            </w:r>
          </w:p>
        </w:tc>
        <w:tc>
          <w:tcPr>
            <w:tcW w:w="3572" w:type="dxa"/>
          </w:tcPr>
          <w:p>
            <w:pPr>
              <w:pStyle w:val="0"/>
              <w:jc w:val="both"/>
            </w:pPr>
            <w:r>
              <w:rPr>
                <w:sz w:val="20"/>
              </w:rPr>
              <w:t xml:space="preserve">Доля видов направляемых структурированных электронных медицинских документов от всех медицинских организаций, оказывающих медицинскую помощь по профилю "онкология", от планового годового показателя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директор ГБУЗС "МИАЦ"</w:t>
            </w:r>
          </w:p>
        </w:tc>
        <w:tc>
          <w:tcPr>
            <w:tcW w:w="3829" w:type="dxa"/>
          </w:tcPr>
          <w:p>
            <w:pPr>
              <w:pStyle w:val="0"/>
              <w:jc w:val="both"/>
            </w:pPr>
            <w:r>
              <w:rPr>
                <w:sz w:val="20"/>
              </w:rPr>
              <w:t xml:space="preserve">Целевой показатель: 100% (ежегодно)</w:t>
            </w:r>
          </w:p>
        </w:tc>
        <w:tc>
          <w:tcPr>
            <w:tcW w:w="1701" w:type="dxa"/>
          </w:tcPr>
          <w:p>
            <w:pPr>
              <w:pStyle w:val="0"/>
              <w:jc w:val="both"/>
            </w:pPr>
            <w:r>
              <w:rPr>
                <w:sz w:val="20"/>
              </w:rPr>
              <w:t xml:space="preserve">Регулярное</w:t>
            </w:r>
          </w:p>
        </w:tc>
      </w:tr>
      <w:tr>
        <w:tc>
          <w:tcPr>
            <w:gridSpan w:val="7"/>
            <w:tcW w:w="15982" w:type="dxa"/>
          </w:tcPr>
          <w:p>
            <w:pPr>
              <w:pStyle w:val="0"/>
              <w:outlineLvl w:val="3"/>
              <w:jc w:val="both"/>
            </w:pPr>
            <w:r>
              <w:rPr>
                <w:sz w:val="20"/>
              </w:rPr>
              <w:t xml:space="preserve">9. Обеспечение укомплектованности кадрами медицинских организаций, оказывающих медицинскую помощь пациентам с онкологическими заболеваниями</w:t>
            </w:r>
          </w:p>
        </w:tc>
      </w:tr>
      <w:tr>
        <w:tc>
          <w:tcPr>
            <w:tcW w:w="637" w:type="dxa"/>
          </w:tcPr>
          <w:p>
            <w:pPr>
              <w:pStyle w:val="0"/>
              <w:jc w:val="both"/>
            </w:pPr>
            <w:r>
              <w:rPr>
                <w:sz w:val="20"/>
              </w:rPr>
              <w:t xml:space="preserve">9.1</w:t>
            </w:r>
          </w:p>
        </w:tc>
        <w:tc>
          <w:tcPr>
            <w:tcW w:w="3572" w:type="dxa"/>
          </w:tcPr>
          <w:p>
            <w:pPr>
              <w:pStyle w:val="0"/>
              <w:jc w:val="both"/>
            </w:pPr>
            <w:r>
              <w:rPr>
                <w:sz w:val="20"/>
              </w:rPr>
              <w:t xml:space="preserve">Ежеквартальный мониторинг кадрового состава онкологической службы: создание электронной базы вакансий</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Показатель укомплектованности кадрами онкослужбы: на 31.12.2023 - 70%; на 31.12.2024 - 80%</w:t>
            </w:r>
          </w:p>
        </w:tc>
        <w:tc>
          <w:tcPr>
            <w:tcW w:w="1701" w:type="dxa"/>
          </w:tcPr>
          <w:p>
            <w:pPr>
              <w:pStyle w:val="0"/>
              <w:jc w:val="both"/>
            </w:pPr>
            <w:r>
              <w:rPr>
                <w:sz w:val="20"/>
              </w:rPr>
              <w:t xml:space="preserve">Регулярно</w:t>
            </w:r>
          </w:p>
        </w:tc>
      </w:tr>
      <w:tr>
        <w:tc>
          <w:tcPr>
            <w:tcW w:w="637" w:type="dxa"/>
          </w:tcPr>
          <w:p>
            <w:pPr>
              <w:pStyle w:val="0"/>
              <w:jc w:val="both"/>
            </w:pPr>
            <w:r>
              <w:rPr>
                <w:sz w:val="20"/>
              </w:rPr>
              <w:t xml:space="preserve">9.2</w:t>
            </w:r>
          </w:p>
        </w:tc>
        <w:tc>
          <w:tcPr>
            <w:tcW w:w="3572" w:type="dxa"/>
          </w:tcPr>
          <w:p>
            <w:pPr>
              <w:pStyle w:val="0"/>
              <w:jc w:val="both"/>
            </w:pPr>
            <w:r>
              <w:rPr>
                <w:sz w:val="20"/>
              </w:rPr>
              <w:t xml:space="preserve">Ведение регионального сегмента Федерального регистра медицинских и фармацевтических работников</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Показатель укомплектованности кадрами онкослужбы: на 31.12.2023 - 70%; на 31.12.2024 - 80%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9.3</w:t>
            </w:r>
          </w:p>
        </w:tc>
        <w:tc>
          <w:tcPr>
            <w:tcW w:w="3572" w:type="dxa"/>
          </w:tcPr>
          <w:p>
            <w:pPr>
              <w:pStyle w:val="0"/>
              <w:jc w:val="both"/>
            </w:pPr>
            <w:r>
              <w:rPr>
                <w:sz w:val="20"/>
              </w:rPr>
              <w:t xml:space="preserve">Внедрение в оплату труда работников здравоохранения системы стимулирующих выплат (повышающих и снижающих коэффициентов) за случаи ранней, активной диагностики злокачественных новообразований и запущенных случаев онкопатологии для врачей общей лечебной сети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Внедрение в оплату труда работников здравоохранения системы стимулирующих выплат, количество привлеченных специалистов: 2023 год - 15; 2024 год - 20</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9.4</w:t>
            </w:r>
          </w:p>
        </w:tc>
        <w:tc>
          <w:tcPr>
            <w:tcW w:w="3572" w:type="dxa"/>
          </w:tcPr>
          <w:p>
            <w:pPr>
              <w:pStyle w:val="0"/>
              <w:jc w:val="both"/>
            </w:pPr>
            <w:r>
              <w:rPr>
                <w:sz w:val="20"/>
              </w:rPr>
              <w:t xml:space="preserve">Реализация </w:t>
            </w:r>
            <w:hyperlink w:history="0" r:id="rId683" w:tooltip="Постановление Правительства Севастополя от 13.12.2021 N 634-ПП (ред. от 15.06.2022) &quot;Об утверждении Порядка предоставления единовременных компенсационных выплат медицинским работникам, прибывшим на работу из других субъектов Российской Федерации в медицинские организации, подведомственные Департаменту здравоохранения города Севастополя, за счет средств бюджета города Севастополя&quot; {КонсультантПлюс}">
              <w:r>
                <w:rPr>
                  <w:sz w:val="20"/>
                  <w:color w:val="0000ff"/>
                </w:rPr>
                <w:t xml:space="preserve">постановления</w:t>
              </w:r>
            </w:hyperlink>
            <w:r>
              <w:rPr>
                <w:sz w:val="20"/>
              </w:rPr>
              <w:t xml:space="preserve"> Правительства Севастополя от 13.12.2021 N 634-ПП "Об утверждении Порядка предоставления единовременных компенсационных выплат медицинским работникам, прибывшим на работу из других субъектов Российской Федерации в медицинские организации, подведомственные Департаменту здравоохранения города Севастополя, за счет средств бюджета города Севастополя"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Ежегодный отчет Департамента здравоохранения города Севастополя о предоставлении единовременных компенсационных выплат и привлечении врачей. Сокращение дефицита и закрепление медицинских кадров в государственных медицинских организациях города Севастополя</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9.5</w:t>
            </w:r>
          </w:p>
        </w:tc>
        <w:tc>
          <w:tcPr>
            <w:tcW w:w="3572" w:type="dxa"/>
          </w:tcPr>
          <w:p>
            <w:pPr>
              <w:pStyle w:val="0"/>
              <w:jc w:val="both"/>
            </w:pPr>
            <w:r>
              <w:rPr>
                <w:sz w:val="20"/>
              </w:rPr>
              <w:t xml:space="preserve">Определение потребности во врачах и средних медицинских работниках в государственных медицинских организациях города Севастополя в разрезе специальностей, участвующих в оказании онкологической помощи</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Потребность во врачах и средних медицинских работниках в государственных медицинских организациях города Севастополя в разрезе специальностей, участвующих в оказании онкологической помощи: 2023 год - 15 человек</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9.6</w:t>
            </w:r>
          </w:p>
        </w:tc>
        <w:tc>
          <w:tcPr>
            <w:tcW w:w="3572" w:type="dxa"/>
          </w:tcPr>
          <w:p>
            <w:pPr>
              <w:pStyle w:val="0"/>
              <w:jc w:val="both"/>
            </w:pPr>
            <w:r>
              <w:rPr>
                <w:sz w:val="20"/>
              </w:rPr>
              <w:t xml:space="preserve">Формирование заявки на выделение квоты целевого обучения образовательным и научным организациям, реализующим образовательные программы, с учетом необходимости кадрового обеспечения</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Направление заявки в Минздрав России на выделение квоты целевого обучения в 2023 году: врачей-онкологов - 4 человека, терапевтов - 5 человек, эндокринологов - 2 человека</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9.7</w:t>
            </w:r>
          </w:p>
        </w:tc>
        <w:tc>
          <w:tcPr>
            <w:tcW w:w="3572" w:type="dxa"/>
          </w:tcPr>
          <w:p>
            <w:pPr>
              <w:pStyle w:val="0"/>
              <w:jc w:val="both"/>
            </w:pPr>
            <w:r>
              <w:rPr>
                <w:sz w:val="20"/>
              </w:rPr>
              <w:t xml:space="preserve">Профессиональная переподготовка и повышение квалификации врачей в учреждениях высшего и дополнительного профессионального образования, в том числе за счет средств нормированного страхового запаса</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 ТФОМС города Севастополя</w:t>
            </w:r>
          </w:p>
        </w:tc>
        <w:tc>
          <w:tcPr>
            <w:tcW w:w="3829" w:type="dxa"/>
          </w:tcPr>
          <w:p>
            <w:pPr>
              <w:pStyle w:val="0"/>
              <w:jc w:val="both"/>
            </w:pPr>
            <w:r>
              <w:rPr>
                <w:sz w:val="20"/>
              </w:rPr>
              <w:t xml:space="preserve">Обучение сотрудников онкологической службы за счет средств нормированного страхового запаса: 2023 год - 40 медицинских работников</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9.8</w:t>
            </w:r>
          </w:p>
        </w:tc>
        <w:tc>
          <w:tcPr>
            <w:tcW w:w="3572" w:type="dxa"/>
          </w:tcPr>
          <w:p>
            <w:pPr>
              <w:pStyle w:val="0"/>
              <w:jc w:val="both"/>
            </w:pPr>
            <w:r>
              <w:rPr>
                <w:sz w:val="20"/>
              </w:rPr>
              <w:t xml:space="preserve">Непрерывное образование медицинских работников, в том числе с использованием дистанционных образовательных технологий</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100% медицинских работников - пользователи портала непрерывного медицинского образования</w:t>
            </w:r>
          </w:p>
        </w:tc>
        <w:tc>
          <w:tcPr>
            <w:tcW w:w="1701" w:type="dxa"/>
          </w:tcPr>
          <w:p>
            <w:pPr>
              <w:pStyle w:val="0"/>
              <w:jc w:val="both"/>
            </w:pPr>
            <w:r>
              <w:rPr>
                <w:sz w:val="20"/>
              </w:rPr>
              <w:t xml:space="preserve">Регулярное</w:t>
            </w:r>
          </w:p>
        </w:tc>
      </w:tr>
      <w:tr>
        <w:tc>
          <w:tcPr>
            <w:tcW w:w="637" w:type="dxa"/>
          </w:tcPr>
          <w:p>
            <w:pPr>
              <w:pStyle w:val="0"/>
              <w:jc w:val="both"/>
            </w:pPr>
            <w:r>
              <w:rPr>
                <w:sz w:val="20"/>
              </w:rPr>
              <w:t xml:space="preserve">9.9</w:t>
            </w:r>
          </w:p>
        </w:tc>
        <w:tc>
          <w:tcPr>
            <w:tcW w:w="3572" w:type="dxa"/>
          </w:tcPr>
          <w:p>
            <w:pPr>
              <w:pStyle w:val="0"/>
              <w:jc w:val="both"/>
            </w:pPr>
            <w:r>
              <w:rPr>
                <w:sz w:val="20"/>
              </w:rPr>
              <w:t xml:space="preserve">Проведение конкурсов профессионального мастерства "Лучший врач года", "Лучший средний медицинский работник года"</w:t>
            </w:r>
          </w:p>
        </w:tc>
        <w:tc>
          <w:tcPr>
            <w:tcW w:w="1531" w:type="dxa"/>
          </w:tcPr>
          <w:p>
            <w:pPr>
              <w:pStyle w:val="0"/>
              <w:jc w:val="both"/>
            </w:pPr>
            <w:r>
              <w:rPr>
                <w:sz w:val="20"/>
              </w:rPr>
              <w:t xml:space="preserve">01.01.2022</w:t>
            </w:r>
          </w:p>
        </w:tc>
        <w:tc>
          <w:tcPr>
            <w:tcW w:w="1764" w:type="dxa"/>
          </w:tcPr>
          <w:p>
            <w:pPr>
              <w:pStyle w:val="0"/>
              <w:jc w:val="both"/>
            </w:pPr>
            <w:r>
              <w:rPr>
                <w:sz w:val="20"/>
              </w:rPr>
              <w:t xml:space="preserve">31.12.2024</w:t>
            </w:r>
          </w:p>
        </w:tc>
        <w:tc>
          <w:tcPr>
            <w:tcW w:w="2948"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829" w:type="dxa"/>
          </w:tcPr>
          <w:p>
            <w:pPr>
              <w:pStyle w:val="0"/>
              <w:jc w:val="both"/>
            </w:pPr>
            <w:r>
              <w:rPr>
                <w:sz w:val="20"/>
              </w:rPr>
              <w:t xml:space="preserve">Стимуляция специалистов к повышению уровня профессиональных навыков, ежегодно</w:t>
            </w:r>
          </w:p>
        </w:tc>
        <w:tc>
          <w:tcPr>
            <w:tcW w:w="1701" w:type="dxa"/>
          </w:tcPr>
          <w:p>
            <w:pPr>
              <w:pStyle w:val="0"/>
              <w:jc w:val="both"/>
            </w:pPr>
            <w:r>
              <w:rPr>
                <w:sz w:val="20"/>
              </w:rPr>
              <w:t xml:space="preserve">Регулярное</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2"/>
        <w:outlineLvl w:val="2"/>
        <w:jc w:val="center"/>
      </w:pPr>
      <w:r>
        <w:rPr>
          <w:sz w:val="20"/>
        </w:rPr>
        <w:t xml:space="preserve">5. Ожидаемые результаты реализации региональной программы</w:t>
      </w:r>
    </w:p>
    <w:p>
      <w:pPr>
        <w:pStyle w:val="0"/>
        <w:jc w:val="center"/>
      </w:pPr>
      <w:r>
        <w:rPr>
          <w:sz w:val="20"/>
        </w:rPr>
      </w:r>
    </w:p>
    <w:p>
      <w:pPr>
        <w:pStyle w:val="0"/>
        <w:ind w:firstLine="540"/>
        <w:jc w:val="both"/>
      </w:pPr>
      <w:r>
        <w:rPr>
          <w:sz w:val="20"/>
        </w:rPr>
        <w:t xml:space="preserve">Исполнение мероприятий региональной программы позволит достичь к 2024 году следующих результатов:</w:t>
      </w:r>
    </w:p>
    <w:p>
      <w:pPr>
        <w:pStyle w:val="0"/>
        <w:spacing w:before="200" w:line-rule="auto"/>
        <w:ind w:firstLine="540"/>
        <w:jc w:val="both"/>
      </w:pPr>
      <w:r>
        <w:rPr>
          <w:sz w:val="20"/>
        </w:rPr>
        <w:t xml:space="preserve">снижение смертности от новообразований, в том числе от злокачественных, на 100 тыс. населения до уровня 232,1%;</w:t>
      </w:r>
    </w:p>
    <w:p>
      <w:pPr>
        <w:pStyle w:val="0"/>
        <w:spacing w:before="200" w:line-rule="auto"/>
        <w:ind w:firstLine="540"/>
        <w:jc w:val="both"/>
      </w:pPr>
      <w:r>
        <w:rPr>
          <w:sz w:val="20"/>
        </w:rPr>
        <w:t xml:space="preserve">снижение смертности от ЗНО на 100 тыс. населения до уровня 229,8%;</w:t>
      </w:r>
    </w:p>
    <w:p>
      <w:pPr>
        <w:pStyle w:val="0"/>
        <w:spacing w:before="200" w:line-rule="auto"/>
        <w:ind w:firstLine="540"/>
        <w:jc w:val="both"/>
      </w:pPr>
      <w:r>
        <w:rPr>
          <w:sz w:val="20"/>
        </w:rPr>
        <w:t xml:space="preserve">снижение одногодичной летальности больных с ЗНО (умерли в течение первого года с момента установления диагноза из числа больных, впервые взятых на учет в предыдущем году) до уровня 17,3%;</w:t>
      </w:r>
    </w:p>
    <w:p>
      <w:pPr>
        <w:pStyle w:val="0"/>
        <w:spacing w:before="200" w:line-rule="auto"/>
        <w:ind w:firstLine="540"/>
        <w:jc w:val="both"/>
      </w:pPr>
      <w:r>
        <w:rPr>
          <w:sz w:val="20"/>
        </w:rPr>
        <w:t xml:space="preserve">увеличение доли ЗНО, выявленных на I - II стадиях, до 63%;</w:t>
      </w:r>
    </w:p>
    <w:p>
      <w:pPr>
        <w:pStyle w:val="0"/>
        <w:spacing w:before="200" w:line-rule="auto"/>
        <w:ind w:firstLine="540"/>
        <w:jc w:val="both"/>
      </w:pPr>
      <w:r>
        <w:rPr>
          <w:sz w:val="20"/>
        </w:rPr>
        <w:t xml:space="preserve">увеличение удельного веса больных с ЗНО, состоящих на учете 5 лет и более, из общего числа больных с ЗНО, состоящих под диспансерным наблюдением, до 60,0%;</w:t>
      </w:r>
    </w:p>
    <w:p>
      <w:pPr>
        <w:pStyle w:val="0"/>
        <w:spacing w:before="200" w:line-rule="auto"/>
        <w:ind w:firstLine="540"/>
        <w:jc w:val="both"/>
      </w:pPr>
      <w:r>
        <w:rPr>
          <w:sz w:val="20"/>
        </w:rPr>
        <w:t xml:space="preserve">увеличение доли лиц с онкологическими заболеваниями, прошедших обследование и/или лечение в текущем году, из числа состоящих под диспансерным наблюдением до уровня 80,0%.</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2"/>
        <w:jc w:val="right"/>
      </w:pPr>
      <w:r>
        <w:rPr>
          <w:sz w:val="20"/>
        </w:rPr>
        <w:t xml:space="preserve">Приложение N 1</w:t>
      </w:r>
    </w:p>
    <w:p>
      <w:pPr>
        <w:pStyle w:val="0"/>
        <w:jc w:val="right"/>
      </w:pPr>
      <w:r>
        <w:rPr>
          <w:sz w:val="20"/>
        </w:rPr>
        <w:t xml:space="preserve">к разделу 1.5</w:t>
      </w:r>
    </w:p>
    <w:p>
      <w:pPr>
        <w:pStyle w:val="0"/>
        <w:jc w:val="right"/>
      </w:pPr>
      <w:r>
        <w:rPr>
          <w:sz w:val="20"/>
        </w:rPr>
        <w:t xml:space="preserve">"Текущее состояние ресурсной базы</w:t>
      </w:r>
    </w:p>
    <w:p>
      <w:pPr>
        <w:pStyle w:val="0"/>
        <w:jc w:val="right"/>
      </w:pPr>
      <w:r>
        <w:rPr>
          <w:sz w:val="20"/>
        </w:rPr>
        <w:t xml:space="preserve">онкологической службы" региональной программы</w:t>
      </w:r>
    </w:p>
    <w:p>
      <w:pPr>
        <w:pStyle w:val="0"/>
        <w:jc w:val="right"/>
      </w:pPr>
      <w:r>
        <w:rPr>
          <w:sz w:val="20"/>
        </w:rPr>
        <w:t xml:space="preserve">"Борьба с онкологическими заболеваниями"</w:t>
      </w:r>
    </w:p>
    <w:p>
      <w:pPr>
        <w:pStyle w:val="0"/>
        <w:ind w:firstLine="540"/>
        <w:jc w:val="both"/>
      </w:pPr>
      <w:r>
        <w:rPr>
          <w:sz w:val="20"/>
        </w:rPr>
      </w:r>
    </w:p>
    <w:p>
      <w:pPr>
        <w:pStyle w:val="0"/>
        <w:jc w:val="right"/>
      </w:pPr>
      <w:r>
        <w:rPr>
          <w:sz w:val="20"/>
        </w:rPr>
        <w:t xml:space="preserve">Таблица N 25</w:t>
      </w:r>
    </w:p>
    <w:p>
      <w:pPr>
        <w:pStyle w:val="0"/>
        <w:jc w:val="center"/>
      </w:pPr>
      <w:r>
        <w:rPr>
          <w:sz w:val="20"/>
        </w:rPr>
      </w:r>
    </w:p>
    <w:bookmarkStart w:id="26560" w:name="P26560"/>
    <w:bookmarkEnd w:id="26560"/>
    <w:p>
      <w:pPr>
        <w:pStyle w:val="2"/>
        <w:jc w:val="center"/>
      </w:pPr>
      <w:r>
        <w:rPr>
          <w:sz w:val="20"/>
        </w:rPr>
        <w:t xml:space="preserve">Информация об организации первичных онкологических</w:t>
      </w:r>
    </w:p>
    <w:p>
      <w:pPr>
        <w:pStyle w:val="2"/>
        <w:jc w:val="center"/>
      </w:pPr>
      <w:r>
        <w:rPr>
          <w:sz w:val="20"/>
        </w:rPr>
        <w:t xml:space="preserve">кабинетов/отделений и центров амбулаторной</w:t>
      </w:r>
    </w:p>
    <w:p>
      <w:pPr>
        <w:pStyle w:val="2"/>
        <w:jc w:val="center"/>
      </w:pPr>
      <w:r>
        <w:rPr>
          <w:sz w:val="20"/>
        </w:rPr>
        <w:t xml:space="preserve">онкологической помощи</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8"/>
        <w:gridCol w:w="2270"/>
        <w:gridCol w:w="1474"/>
        <w:gridCol w:w="1417"/>
        <w:gridCol w:w="1871"/>
        <w:gridCol w:w="2154"/>
        <w:gridCol w:w="1814"/>
        <w:gridCol w:w="1644"/>
        <w:gridCol w:w="1871"/>
      </w:tblGrid>
      <w:tr>
        <w:tc>
          <w:tcPr>
            <w:tcW w:w="568" w:type="dxa"/>
            <w:vMerge w:val="restart"/>
          </w:tcPr>
          <w:p>
            <w:pPr>
              <w:pStyle w:val="0"/>
              <w:jc w:val="center"/>
            </w:pPr>
            <w:r>
              <w:rPr>
                <w:sz w:val="20"/>
              </w:rPr>
              <w:t xml:space="preserve">N п/п</w:t>
            </w:r>
          </w:p>
        </w:tc>
        <w:tc>
          <w:tcPr>
            <w:tcW w:w="2270" w:type="dxa"/>
            <w:vMerge w:val="restart"/>
          </w:tcPr>
          <w:p>
            <w:pPr>
              <w:pStyle w:val="0"/>
              <w:jc w:val="center"/>
            </w:pPr>
            <w:r>
              <w:rPr>
                <w:sz w:val="20"/>
              </w:rPr>
              <w:t xml:space="preserve">Муниципальное образование</w:t>
            </w:r>
          </w:p>
        </w:tc>
        <w:tc>
          <w:tcPr>
            <w:tcW w:w="1474" w:type="dxa"/>
            <w:vMerge w:val="restart"/>
          </w:tcPr>
          <w:p>
            <w:pPr>
              <w:pStyle w:val="0"/>
              <w:jc w:val="center"/>
            </w:pPr>
            <w:r>
              <w:rPr>
                <w:sz w:val="20"/>
              </w:rPr>
              <w:t xml:space="preserve">Численность взрослого прикрепленного населения (человек)</w:t>
            </w:r>
          </w:p>
        </w:tc>
        <w:tc>
          <w:tcPr>
            <w:gridSpan w:val="2"/>
            <w:tcW w:w="3288" w:type="dxa"/>
          </w:tcPr>
          <w:p>
            <w:pPr>
              <w:pStyle w:val="0"/>
              <w:jc w:val="center"/>
            </w:pPr>
            <w:r>
              <w:rPr>
                <w:sz w:val="20"/>
              </w:rPr>
              <w:t xml:space="preserve">Структурное подразделение</w:t>
            </w:r>
          </w:p>
        </w:tc>
        <w:tc>
          <w:tcPr>
            <w:tcW w:w="2154" w:type="dxa"/>
            <w:vMerge w:val="restart"/>
          </w:tcPr>
          <w:p>
            <w:pPr>
              <w:pStyle w:val="0"/>
              <w:jc w:val="center"/>
            </w:pPr>
            <w:r>
              <w:rPr>
                <w:sz w:val="20"/>
              </w:rPr>
              <w:t xml:space="preserve">Медицинская организация</w:t>
            </w:r>
          </w:p>
        </w:tc>
        <w:tc>
          <w:tcPr>
            <w:tcW w:w="1814" w:type="dxa"/>
            <w:vMerge w:val="restart"/>
          </w:tcPr>
          <w:p>
            <w:pPr>
              <w:pStyle w:val="0"/>
              <w:jc w:val="center"/>
            </w:pPr>
            <w:r>
              <w:rPr>
                <w:sz w:val="20"/>
              </w:rPr>
              <w:t xml:space="preserve">Время доезда на общественном транспорте от самой отдаленной точки территории обслуживания до ПОК/ЦАОП</w:t>
            </w:r>
          </w:p>
        </w:tc>
        <w:tc>
          <w:tcPr>
            <w:tcW w:w="1644" w:type="dxa"/>
            <w:vMerge w:val="restart"/>
          </w:tcPr>
          <w:p>
            <w:pPr>
              <w:pStyle w:val="0"/>
              <w:jc w:val="center"/>
            </w:pPr>
            <w:r>
              <w:rPr>
                <w:sz w:val="20"/>
              </w:rPr>
              <w:t xml:space="preserve">Количество врачей-онкологов (фактически/согласно штатному расписанию)</w:t>
            </w:r>
          </w:p>
        </w:tc>
        <w:tc>
          <w:tcPr>
            <w:tcW w:w="1871" w:type="dxa"/>
            <w:vMerge w:val="restart"/>
          </w:tcPr>
          <w:p>
            <w:pPr>
              <w:pStyle w:val="0"/>
              <w:jc w:val="center"/>
            </w:pPr>
            <w:r>
              <w:rPr>
                <w:sz w:val="20"/>
              </w:rPr>
              <w:t xml:space="preserve">Расстояние до регионального онкологического диспансера (км)</w:t>
            </w:r>
          </w:p>
        </w:tc>
      </w:tr>
      <w:tr>
        <w:tc>
          <w:tcPr>
            <w:vMerge w:val="continue"/>
          </w:tcPr>
          <w:p/>
        </w:tc>
        <w:tc>
          <w:tcPr>
            <w:vMerge w:val="continue"/>
          </w:tcPr>
          <w:p/>
        </w:tc>
        <w:tc>
          <w:tcPr>
            <w:vMerge w:val="continue"/>
          </w:tcPr>
          <w:p/>
        </w:tc>
        <w:tc>
          <w:tcPr>
            <w:tcW w:w="1417" w:type="dxa"/>
          </w:tcPr>
          <w:p>
            <w:pPr>
              <w:pStyle w:val="0"/>
              <w:jc w:val="center"/>
            </w:pPr>
            <w:r>
              <w:rPr>
                <w:sz w:val="20"/>
              </w:rPr>
              <w:t xml:space="preserve">Первичный онкологический кабинет (ПОК)</w:t>
            </w:r>
          </w:p>
        </w:tc>
        <w:tc>
          <w:tcPr>
            <w:tcW w:w="1871" w:type="dxa"/>
          </w:tcPr>
          <w:p>
            <w:pPr>
              <w:pStyle w:val="0"/>
              <w:jc w:val="center"/>
            </w:pPr>
            <w:r>
              <w:rPr>
                <w:sz w:val="20"/>
              </w:rPr>
              <w:t xml:space="preserve">Центр амбулаторной онкологической помощи (ЦАОП)</w:t>
            </w:r>
          </w:p>
        </w:tc>
        <w:tc>
          <w:tcPr>
            <w:vMerge w:val="continue"/>
          </w:tcPr>
          <w:p/>
        </w:tc>
        <w:tc>
          <w:tcPr>
            <w:vMerge w:val="continue"/>
          </w:tcPr>
          <w:p/>
        </w:tc>
        <w:tc>
          <w:tcPr>
            <w:vMerge w:val="continue"/>
          </w:tcPr>
          <w:p/>
        </w:tc>
        <w:tc>
          <w:tcPr>
            <w:vMerge w:val="continue"/>
          </w:tcPr>
          <w:p/>
        </w:tc>
      </w:tr>
      <w:tr>
        <w:tc>
          <w:tcPr>
            <w:tcW w:w="568" w:type="dxa"/>
          </w:tcPr>
          <w:p>
            <w:pPr>
              <w:pStyle w:val="0"/>
              <w:jc w:val="both"/>
            </w:pPr>
            <w:r>
              <w:rPr>
                <w:sz w:val="20"/>
              </w:rPr>
              <w:t xml:space="preserve">1</w:t>
            </w:r>
          </w:p>
        </w:tc>
        <w:tc>
          <w:tcPr>
            <w:tcW w:w="2270" w:type="dxa"/>
          </w:tcPr>
          <w:p>
            <w:pPr>
              <w:pStyle w:val="0"/>
              <w:jc w:val="both"/>
            </w:pPr>
            <w:r>
              <w:rPr>
                <w:sz w:val="20"/>
              </w:rPr>
              <w:t xml:space="preserve">Город Севастополь, Ленинский муниципальный округ</w:t>
            </w:r>
          </w:p>
        </w:tc>
        <w:tc>
          <w:tcPr>
            <w:tcW w:w="1474" w:type="dxa"/>
            <w:vMerge w:val="restart"/>
          </w:tcPr>
          <w:p>
            <w:pPr>
              <w:pStyle w:val="0"/>
              <w:jc w:val="center"/>
            </w:pPr>
            <w:r>
              <w:rPr>
                <w:sz w:val="20"/>
              </w:rPr>
              <w:t xml:space="preserve">312416</w:t>
            </w:r>
          </w:p>
        </w:tc>
        <w:tc>
          <w:tcPr>
            <w:tcW w:w="1417" w:type="dxa"/>
          </w:tcPr>
          <w:p>
            <w:pPr>
              <w:pStyle w:val="0"/>
              <w:jc w:val="center"/>
            </w:pPr>
            <w:r>
              <w:rPr>
                <w:sz w:val="20"/>
              </w:rPr>
              <w:t xml:space="preserve">-</w:t>
            </w:r>
          </w:p>
        </w:tc>
        <w:tc>
          <w:tcPr>
            <w:tcW w:w="1871" w:type="dxa"/>
            <w:vMerge w:val="restart"/>
          </w:tcPr>
          <w:p>
            <w:pPr>
              <w:pStyle w:val="0"/>
              <w:jc w:val="both"/>
            </w:pPr>
            <w:r>
              <w:rPr>
                <w:sz w:val="20"/>
              </w:rPr>
              <w:t xml:space="preserve">ЦАОП ГБУЗС "Городская больница N 1 им. Н.И. Пирогова"</w:t>
            </w:r>
          </w:p>
        </w:tc>
        <w:tc>
          <w:tcPr>
            <w:tcW w:w="2154" w:type="dxa"/>
          </w:tcPr>
          <w:p>
            <w:pPr>
              <w:pStyle w:val="0"/>
              <w:jc w:val="both"/>
            </w:pPr>
            <w:r>
              <w:rPr>
                <w:sz w:val="20"/>
              </w:rPr>
              <w:t xml:space="preserve">Городская больница N 1, поликлиника N 1</w:t>
            </w:r>
          </w:p>
        </w:tc>
        <w:tc>
          <w:tcPr>
            <w:tcW w:w="1814" w:type="dxa"/>
          </w:tcPr>
          <w:p>
            <w:pPr>
              <w:pStyle w:val="0"/>
              <w:jc w:val="both"/>
            </w:pPr>
            <w:r>
              <w:rPr>
                <w:sz w:val="20"/>
              </w:rPr>
              <w:t xml:space="preserve">15 мин</w:t>
            </w:r>
          </w:p>
        </w:tc>
        <w:tc>
          <w:tcPr>
            <w:tcW w:w="1644" w:type="dxa"/>
            <w:vMerge w:val="restart"/>
          </w:tcPr>
          <w:p>
            <w:pPr>
              <w:pStyle w:val="0"/>
              <w:jc w:val="center"/>
            </w:pPr>
            <w:r>
              <w:rPr>
                <w:sz w:val="20"/>
              </w:rPr>
              <w:t xml:space="preserve">3/8,25</w:t>
            </w:r>
          </w:p>
        </w:tc>
        <w:tc>
          <w:tcPr>
            <w:tcW w:w="1871" w:type="dxa"/>
          </w:tcPr>
          <w:p>
            <w:pPr>
              <w:pStyle w:val="0"/>
              <w:jc w:val="center"/>
            </w:pPr>
            <w:r>
              <w:rPr>
                <w:sz w:val="20"/>
              </w:rPr>
              <w:t xml:space="preserve">3,8</w:t>
            </w:r>
          </w:p>
        </w:tc>
      </w:tr>
      <w:tr>
        <w:tc>
          <w:tcPr>
            <w:tcW w:w="568" w:type="dxa"/>
          </w:tcPr>
          <w:p>
            <w:pPr>
              <w:pStyle w:val="0"/>
              <w:jc w:val="both"/>
            </w:pPr>
            <w:r>
              <w:rPr>
                <w:sz w:val="20"/>
              </w:rPr>
              <w:t xml:space="preserve">2</w:t>
            </w:r>
          </w:p>
        </w:tc>
        <w:tc>
          <w:tcPr>
            <w:tcW w:w="2270" w:type="dxa"/>
          </w:tcPr>
          <w:p>
            <w:pPr>
              <w:pStyle w:val="0"/>
              <w:jc w:val="both"/>
            </w:pPr>
            <w:r>
              <w:rPr>
                <w:sz w:val="20"/>
              </w:rPr>
              <w:t xml:space="preserve">Город Севастополь, Гагаринский муниципальный округ</w:t>
            </w:r>
          </w:p>
        </w:tc>
        <w:tc>
          <w:tcPr>
            <w:vMerge w:val="continue"/>
          </w:tcPr>
          <w:p/>
        </w:tc>
        <w:tc>
          <w:tcPr>
            <w:tcW w:w="1417" w:type="dxa"/>
          </w:tcPr>
          <w:p>
            <w:pPr>
              <w:pStyle w:val="0"/>
              <w:jc w:val="center"/>
            </w:pPr>
            <w:r>
              <w:rPr>
                <w:sz w:val="20"/>
              </w:rPr>
              <w:t xml:space="preserve">-</w:t>
            </w:r>
          </w:p>
        </w:tc>
        <w:tc>
          <w:tcPr>
            <w:vMerge w:val="continue"/>
          </w:tcPr>
          <w:p/>
        </w:tc>
        <w:tc>
          <w:tcPr>
            <w:tcW w:w="2154" w:type="dxa"/>
          </w:tcPr>
          <w:p>
            <w:pPr>
              <w:pStyle w:val="0"/>
              <w:jc w:val="both"/>
            </w:pPr>
            <w:r>
              <w:rPr>
                <w:sz w:val="20"/>
              </w:rPr>
              <w:t xml:space="preserve">Городская больница N 1, поликлиника N 2</w:t>
            </w:r>
          </w:p>
        </w:tc>
        <w:tc>
          <w:tcPr>
            <w:tcW w:w="1814" w:type="dxa"/>
          </w:tcPr>
          <w:p>
            <w:pPr>
              <w:pStyle w:val="0"/>
              <w:jc w:val="both"/>
            </w:pPr>
            <w:r>
              <w:rPr>
                <w:sz w:val="20"/>
              </w:rPr>
              <w:t xml:space="preserve">20 мин</w:t>
            </w:r>
          </w:p>
        </w:tc>
        <w:tc>
          <w:tcPr>
            <w:vMerge w:val="continue"/>
          </w:tcPr>
          <w:p/>
        </w:tc>
        <w:tc>
          <w:tcPr>
            <w:tcW w:w="1871" w:type="dxa"/>
          </w:tcPr>
          <w:p>
            <w:pPr>
              <w:pStyle w:val="0"/>
              <w:jc w:val="center"/>
            </w:pPr>
            <w:r>
              <w:rPr>
                <w:sz w:val="20"/>
              </w:rPr>
              <w:t xml:space="preserve">0,32</w:t>
            </w:r>
          </w:p>
        </w:tc>
      </w:tr>
      <w:tr>
        <w:tc>
          <w:tcPr>
            <w:tcW w:w="568" w:type="dxa"/>
          </w:tcPr>
          <w:p>
            <w:pPr>
              <w:pStyle w:val="0"/>
              <w:jc w:val="both"/>
            </w:pPr>
            <w:r>
              <w:rPr>
                <w:sz w:val="20"/>
              </w:rPr>
              <w:t xml:space="preserve">3</w:t>
            </w:r>
          </w:p>
        </w:tc>
        <w:tc>
          <w:tcPr>
            <w:tcW w:w="2270" w:type="dxa"/>
          </w:tcPr>
          <w:p>
            <w:pPr>
              <w:pStyle w:val="0"/>
              <w:jc w:val="both"/>
            </w:pPr>
            <w:r>
              <w:rPr>
                <w:sz w:val="20"/>
              </w:rPr>
              <w:t xml:space="preserve">Город Севастополь, Гагаринский муниципальный округ</w:t>
            </w:r>
          </w:p>
        </w:tc>
        <w:tc>
          <w:tcPr>
            <w:vMerge w:val="continue"/>
          </w:tcPr>
          <w:p/>
        </w:tc>
        <w:tc>
          <w:tcPr>
            <w:tcW w:w="1417" w:type="dxa"/>
          </w:tcPr>
          <w:p>
            <w:pPr>
              <w:pStyle w:val="0"/>
              <w:jc w:val="center"/>
            </w:pPr>
            <w:r>
              <w:rPr>
                <w:sz w:val="20"/>
              </w:rPr>
              <w:t xml:space="preserve">-</w:t>
            </w:r>
          </w:p>
        </w:tc>
        <w:tc>
          <w:tcPr>
            <w:vMerge w:val="continue"/>
          </w:tcPr>
          <w:p/>
        </w:tc>
        <w:tc>
          <w:tcPr>
            <w:tcW w:w="2154" w:type="dxa"/>
          </w:tcPr>
          <w:p>
            <w:pPr>
              <w:pStyle w:val="0"/>
              <w:jc w:val="both"/>
            </w:pPr>
            <w:r>
              <w:rPr>
                <w:sz w:val="20"/>
              </w:rPr>
              <w:t xml:space="preserve">Городская больница N 1, поликлиника N 3</w:t>
            </w:r>
          </w:p>
        </w:tc>
        <w:tc>
          <w:tcPr>
            <w:tcW w:w="1814" w:type="dxa"/>
          </w:tcPr>
          <w:p>
            <w:pPr>
              <w:pStyle w:val="0"/>
              <w:jc w:val="both"/>
            </w:pPr>
            <w:r>
              <w:rPr>
                <w:sz w:val="20"/>
              </w:rPr>
              <w:t xml:space="preserve">15 мин</w:t>
            </w:r>
          </w:p>
        </w:tc>
        <w:tc>
          <w:tcPr>
            <w:vMerge w:val="continue"/>
          </w:tcPr>
          <w:p/>
        </w:tc>
        <w:tc>
          <w:tcPr>
            <w:tcW w:w="1871" w:type="dxa"/>
          </w:tcPr>
          <w:p>
            <w:pPr>
              <w:pStyle w:val="0"/>
              <w:jc w:val="center"/>
            </w:pPr>
            <w:r>
              <w:rPr>
                <w:sz w:val="20"/>
              </w:rPr>
              <w:t xml:space="preserve">7,5</w:t>
            </w:r>
          </w:p>
        </w:tc>
      </w:tr>
      <w:tr>
        <w:tc>
          <w:tcPr>
            <w:tcW w:w="568" w:type="dxa"/>
          </w:tcPr>
          <w:p>
            <w:pPr>
              <w:pStyle w:val="0"/>
              <w:jc w:val="both"/>
            </w:pPr>
            <w:r>
              <w:rPr>
                <w:sz w:val="20"/>
              </w:rPr>
              <w:t xml:space="preserve">4</w:t>
            </w:r>
          </w:p>
        </w:tc>
        <w:tc>
          <w:tcPr>
            <w:tcW w:w="2270" w:type="dxa"/>
          </w:tcPr>
          <w:p>
            <w:pPr>
              <w:pStyle w:val="0"/>
              <w:jc w:val="both"/>
            </w:pPr>
            <w:r>
              <w:rPr>
                <w:sz w:val="20"/>
              </w:rPr>
              <w:t xml:space="preserve">Город Севастополь, Гагаринский муниципальный округ</w:t>
            </w:r>
          </w:p>
        </w:tc>
        <w:tc>
          <w:tcPr>
            <w:tcW w:w="1474" w:type="dxa"/>
            <w:vMerge w:val="restart"/>
          </w:tcPr>
          <w:p>
            <w:pPr>
              <w:pStyle w:val="0"/>
              <w:jc w:val="center"/>
            </w:pPr>
            <w:r>
              <w:rPr>
                <w:sz w:val="20"/>
              </w:rPr>
            </w:r>
          </w:p>
        </w:tc>
        <w:tc>
          <w:tcPr>
            <w:tcW w:w="1417" w:type="dxa"/>
          </w:tcPr>
          <w:p>
            <w:pPr>
              <w:pStyle w:val="0"/>
              <w:jc w:val="center"/>
            </w:pPr>
            <w:r>
              <w:rPr>
                <w:sz w:val="20"/>
              </w:rPr>
              <w:t xml:space="preserve">-</w:t>
            </w:r>
          </w:p>
        </w:tc>
        <w:tc>
          <w:tcPr>
            <w:tcW w:w="1871" w:type="dxa"/>
            <w:vMerge w:val="restart"/>
          </w:tcPr>
          <w:p>
            <w:pPr>
              <w:pStyle w:val="0"/>
              <w:jc w:val="both"/>
            </w:pPr>
            <w:r>
              <w:rPr>
                <w:sz w:val="20"/>
              </w:rPr>
            </w:r>
          </w:p>
        </w:tc>
        <w:tc>
          <w:tcPr>
            <w:tcW w:w="2154" w:type="dxa"/>
          </w:tcPr>
          <w:p>
            <w:pPr>
              <w:pStyle w:val="0"/>
              <w:jc w:val="both"/>
            </w:pPr>
            <w:r>
              <w:rPr>
                <w:sz w:val="20"/>
              </w:rPr>
              <w:t xml:space="preserve">Городская больница N 1, амбулатория семейной медицины</w:t>
            </w:r>
          </w:p>
        </w:tc>
        <w:tc>
          <w:tcPr>
            <w:tcW w:w="1814" w:type="dxa"/>
          </w:tcPr>
          <w:p>
            <w:pPr>
              <w:pStyle w:val="0"/>
              <w:jc w:val="both"/>
            </w:pPr>
            <w:r>
              <w:rPr>
                <w:sz w:val="20"/>
              </w:rPr>
              <w:t xml:space="preserve">10 мин</w:t>
            </w:r>
          </w:p>
        </w:tc>
        <w:tc>
          <w:tcPr>
            <w:tcW w:w="1644" w:type="dxa"/>
            <w:vMerge w:val="restart"/>
          </w:tcPr>
          <w:p>
            <w:pPr>
              <w:pStyle w:val="0"/>
              <w:jc w:val="center"/>
            </w:pPr>
            <w:r>
              <w:rPr>
                <w:sz w:val="20"/>
              </w:rPr>
            </w:r>
          </w:p>
        </w:tc>
        <w:tc>
          <w:tcPr>
            <w:tcW w:w="1871" w:type="dxa"/>
          </w:tcPr>
          <w:p>
            <w:pPr>
              <w:pStyle w:val="0"/>
              <w:jc w:val="center"/>
            </w:pPr>
            <w:r>
              <w:rPr>
                <w:sz w:val="20"/>
              </w:rPr>
              <w:t xml:space="preserve">5,5</w:t>
            </w:r>
          </w:p>
        </w:tc>
      </w:tr>
      <w:tr>
        <w:tc>
          <w:tcPr>
            <w:tcW w:w="568" w:type="dxa"/>
          </w:tcPr>
          <w:p>
            <w:pPr>
              <w:pStyle w:val="0"/>
              <w:jc w:val="both"/>
            </w:pPr>
            <w:r>
              <w:rPr>
                <w:sz w:val="20"/>
              </w:rPr>
              <w:t xml:space="preserve">5</w:t>
            </w:r>
          </w:p>
        </w:tc>
        <w:tc>
          <w:tcPr>
            <w:tcW w:w="2270" w:type="dxa"/>
          </w:tcPr>
          <w:p>
            <w:pPr>
              <w:pStyle w:val="0"/>
              <w:jc w:val="both"/>
            </w:pPr>
            <w:r>
              <w:rPr>
                <w:sz w:val="20"/>
              </w:rPr>
              <w:t xml:space="preserve">Город Севастополь, Ленинский муниципальный округ</w:t>
            </w:r>
          </w:p>
        </w:tc>
        <w:tc>
          <w:tcPr>
            <w:vMerge w:val="continue"/>
          </w:tcPr>
          <w:p/>
        </w:tc>
        <w:tc>
          <w:tcPr>
            <w:tcW w:w="1417" w:type="dxa"/>
          </w:tcPr>
          <w:p>
            <w:pPr>
              <w:pStyle w:val="0"/>
              <w:jc w:val="center"/>
            </w:pPr>
            <w:r>
              <w:rPr>
                <w:sz w:val="20"/>
              </w:rPr>
              <w:t xml:space="preserve">-</w:t>
            </w:r>
          </w:p>
        </w:tc>
        <w:tc>
          <w:tcPr>
            <w:vMerge w:val="continue"/>
          </w:tcPr>
          <w:p/>
        </w:tc>
        <w:tc>
          <w:tcPr>
            <w:tcW w:w="2154" w:type="dxa"/>
          </w:tcPr>
          <w:p>
            <w:pPr>
              <w:pStyle w:val="0"/>
              <w:jc w:val="both"/>
            </w:pPr>
            <w:r>
              <w:rPr>
                <w:sz w:val="20"/>
              </w:rPr>
              <w:t xml:space="preserve">Городская больница N 1, поликлиника N 4</w:t>
            </w:r>
          </w:p>
        </w:tc>
        <w:tc>
          <w:tcPr>
            <w:tcW w:w="1814" w:type="dxa"/>
          </w:tcPr>
          <w:p>
            <w:pPr>
              <w:pStyle w:val="0"/>
              <w:jc w:val="both"/>
            </w:pPr>
            <w:r>
              <w:rPr>
                <w:sz w:val="20"/>
              </w:rPr>
              <w:t xml:space="preserve">20 мин</w:t>
            </w:r>
          </w:p>
        </w:tc>
        <w:tc>
          <w:tcPr>
            <w:vMerge w:val="continue"/>
          </w:tcPr>
          <w:p/>
        </w:tc>
        <w:tc>
          <w:tcPr>
            <w:tcW w:w="1871" w:type="dxa"/>
          </w:tcPr>
          <w:p>
            <w:pPr>
              <w:pStyle w:val="0"/>
              <w:jc w:val="center"/>
            </w:pPr>
            <w:r>
              <w:rPr>
                <w:sz w:val="20"/>
              </w:rPr>
              <w:t xml:space="preserve">5</w:t>
            </w:r>
          </w:p>
        </w:tc>
      </w:tr>
      <w:tr>
        <w:tc>
          <w:tcPr>
            <w:tcW w:w="568" w:type="dxa"/>
          </w:tcPr>
          <w:p>
            <w:pPr>
              <w:pStyle w:val="0"/>
              <w:jc w:val="both"/>
            </w:pPr>
            <w:r>
              <w:rPr>
                <w:sz w:val="20"/>
              </w:rPr>
              <w:t xml:space="preserve">6</w:t>
            </w:r>
          </w:p>
        </w:tc>
        <w:tc>
          <w:tcPr>
            <w:tcW w:w="2270" w:type="dxa"/>
          </w:tcPr>
          <w:p>
            <w:pPr>
              <w:pStyle w:val="0"/>
              <w:jc w:val="both"/>
            </w:pPr>
            <w:r>
              <w:rPr>
                <w:sz w:val="20"/>
              </w:rPr>
              <w:t xml:space="preserve">Город Севастополь, Нахимовский муниципальный округ (Корабельная сторона)</w:t>
            </w:r>
          </w:p>
        </w:tc>
        <w:tc>
          <w:tcPr>
            <w:vMerge w:val="continue"/>
          </w:tcPr>
          <w:p/>
        </w:tc>
        <w:tc>
          <w:tcPr>
            <w:tcW w:w="1417" w:type="dxa"/>
          </w:tcPr>
          <w:p>
            <w:pPr>
              <w:pStyle w:val="0"/>
              <w:jc w:val="center"/>
            </w:pPr>
            <w:r>
              <w:rPr>
                <w:sz w:val="20"/>
              </w:rPr>
              <w:t xml:space="preserve">-</w:t>
            </w:r>
          </w:p>
        </w:tc>
        <w:tc>
          <w:tcPr>
            <w:vMerge w:val="continue"/>
          </w:tcPr>
          <w:p/>
        </w:tc>
        <w:tc>
          <w:tcPr>
            <w:tcW w:w="2154" w:type="dxa"/>
          </w:tcPr>
          <w:p>
            <w:pPr>
              <w:pStyle w:val="0"/>
              <w:jc w:val="both"/>
            </w:pPr>
            <w:r>
              <w:rPr>
                <w:sz w:val="20"/>
              </w:rPr>
              <w:t xml:space="preserve">Городская больница N 1, поликлиника N 5</w:t>
            </w:r>
          </w:p>
        </w:tc>
        <w:tc>
          <w:tcPr>
            <w:tcW w:w="1814" w:type="dxa"/>
          </w:tcPr>
          <w:p>
            <w:pPr>
              <w:pStyle w:val="0"/>
              <w:jc w:val="both"/>
            </w:pPr>
            <w:r>
              <w:rPr>
                <w:sz w:val="20"/>
              </w:rPr>
              <w:t xml:space="preserve">15 мин</w:t>
            </w:r>
          </w:p>
        </w:tc>
        <w:tc>
          <w:tcPr>
            <w:vMerge w:val="continue"/>
          </w:tcPr>
          <w:p/>
        </w:tc>
        <w:tc>
          <w:tcPr>
            <w:tcW w:w="1871" w:type="dxa"/>
          </w:tcPr>
          <w:p>
            <w:pPr>
              <w:pStyle w:val="0"/>
              <w:jc w:val="center"/>
            </w:pPr>
            <w:r>
              <w:rPr>
                <w:sz w:val="20"/>
              </w:rPr>
              <w:t xml:space="preserve">9,2</w:t>
            </w:r>
          </w:p>
        </w:tc>
      </w:tr>
      <w:tr>
        <w:tc>
          <w:tcPr>
            <w:tcW w:w="568" w:type="dxa"/>
          </w:tcPr>
          <w:p>
            <w:pPr>
              <w:pStyle w:val="0"/>
              <w:jc w:val="both"/>
            </w:pPr>
            <w:r>
              <w:rPr>
                <w:sz w:val="20"/>
              </w:rPr>
              <w:t xml:space="preserve">7</w:t>
            </w:r>
          </w:p>
        </w:tc>
        <w:tc>
          <w:tcPr>
            <w:tcW w:w="2270" w:type="dxa"/>
          </w:tcPr>
          <w:p>
            <w:pPr>
              <w:pStyle w:val="0"/>
              <w:jc w:val="both"/>
            </w:pPr>
            <w:r>
              <w:rPr>
                <w:sz w:val="20"/>
              </w:rPr>
              <w:t xml:space="preserve">Город Севастополь, Нахимовский муниципальный округ (Северная сторона), Андреевский, Качинский и Верхнесадовский муниципальные округа</w:t>
            </w:r>
          </w:p>
        </w:tc>
        <w:tc>
          <w:tcPr>
            <w:tcW w:w="1474" w:type="dxa"/>
          </w:tcPr>
          <w:p>
            <w:pPr>
              <w:pStyle w:val="0"/>
              <w:jc w:val="center"/>
            </w:pPr>
            <w:r>
              <w:rPr>
                <w:sz w:val="20"/>
              </w:rPr>
              <w:t xml:space="preserve">49332</w:t>
            </w:r>
          </w:p>
        </w:tc>
        <w:tc>
          <w:tcPr>
            <w:tcW w:w="1417" w:type="dxa"/>
          </w:tcPr>
          <w:p>
            <w:pPr>
              <w:pStyle w:val="0"/>
              <w:jc w:val="center"/>
            </w:pPr>
            <w:r>
              <w:rPr>
                <w:sz w:val="20"/>
              </w:rPr>
              <w:t xml:space="preserve">+</w:t>
            </w:r>
          </w:p>
        </w:tc>
        <w:tc>
          <w:tcPr>
            <w:tcW w:w="1871" w:type="dxa"/>
          </w:tcPr>
          <w:p>
            <w:pPr>
              <w:pStyle w:val="0"/>
              <w:jc w:val="center"/>
            </w:pPr>
            <w:r>
              <w:rPr>
                <w:sz w:val="20"/>
              </w:rPr>
              <w:t xml:space="preserve">-</w:t>
            </w:r>
          </w:p>
        </w:tc>
        <w:tc>
          <w:tcPr>
            <w:tcW w:w="2154" w:type="dxa"/>
          </w:tcPr>
          <w:p>
            <w:pPr>
              <w:pStyle w:val="0"/>
              <w:jc w:val="both"/>
            </w:pPr>
            <w:r>
              <w:rPr>
                <w:sz w:val="20"/>
              </w:rPr>
              <w:t xml:space="preserve">ГБУЗС "Городская больница N 4"</w:t>
            </w:r>
          </w:p>
        </w:tc>
        <w:tc>
          <w:tcPr>
            <w:tcW w:w="1814" w:type="dxa"/>
          </w:tcPr>
          <w:p>
            <w:pPr>
              <w:pStyle w:val="0"/>
              <w:jc w:val="both"/>
            </w:pPr>
            <w:r>
              <w:rPr>
                <w:sz w:val="20"/>
              </w:rPr>
              <w:t xml:space="preserve">20 мин</w:t>
            </w:r>
          </w:p>
        </w:tc>
        <w:tc>
          <w:tcPr>
            <w:tcW w:w="1644" w:type="dxa"/>
          </w:tcPr>
          <w:p>
            <w:pPr>
              <w:pStyle w:val="0"/>
              <w:jc w:val="center"/>
            </w:pPr>
            <w:r>
              <w:rPr>
                <w:sz w:val="20"/>
              </w:rPr>
              <w:t xml:space="preserve">1/1,75</w:t>
            </w:r>
          </w:p>
        </w:tc>
        <w:tc>
          <w:tcPr>
            <w:tcW w:w="1871" w:type="dxa"/>
          </w:tcPr>
          <w:p>
            <w:pPr>
              <w:pStyle w:val="0"/>
              <w:jc w:val="both"/>
            </w:pPr>
            <w:r>
              <w:rPr>
                <w:sz w:val="20"/>
              </w:rPr>
              <w:t xml:space="preserve">30 (автомобильная дорога), 8 (паром)</w:t>
            </w:r>
          </w:p>
        </w:tc>
      </w:tr>
      <w:tr>
        <w:tc>
          <w:tcPr>
            <w:tcW w:w="568" w:type="dxa"/>
          </w:tcPr>
          <w:p>
            <w:pPr>
              <w:pStyle w:val="0"/>
              <w:jc w:val="both"/>
            </w:pPr>
            <w:r>
              <w:rPr>
                <w:sz w:val="20"/>
              </w:rPr>
              <w:t xml:space="preserve">8</w:t>
            </w:r>
          </w:p>
        </w:tc>
        <w:tc>
          <w:tcPr>
            <w:tcW w:w="2270" w:type="dxa"/>
          </w:tcPr>
          <w:p>
            <w:pPr>
              <w:pStyle w:val="0"/>
              <w:jc w:val="both"/>
            </w:pPr>
            <w:r>
              <w:rPr>
                <w:sz w:val="20"/>
              </w:rPr>
              <w:t xml:space="preserve">Город Севастополь, город Балаклава, Балаклавский, Орлиновский, Терновский муниципальные округа, город Инкерман</w:t>
            </w:r>
          </w:p>
        </w:tc>
        <w:tc>
          <w:tcPr>
            <w:tcW w:w="1474" w:type="dxa"/>
          </w:tcPr>
          <w:p>
            <w:pPr>
              <w:pStyle w:val="0"/>
              <w:jc w:val="center"/>
            </w:pPr>
            <w:r>
              <w:rPr>
                <w:sz w:val="20"/>
              </w:rPr>
              <w:t xml:space="preserve">56962</w:t>
            </w:r>
          </w:p>
        </w:tc>
        <w:tc>
          <w:tcPr>
            <w:tcW w:w="1417" w:type="dxa"/>
          </w:tcPr>
          <w:p>
            <w:pPr>
              <w:pStyle w:val="0"/>
              <w:jc w:val="center"/>
            </w:pPr>
            <w:r>
              <w:rPr>
                <w:sz w:val="20"/>
              </w:rPr>
              <w:t xml:space="preserve">+</w:t>
            </w:r>
          </w:p>
        </w:tc>
        <w:tc>
          <w:tcPr>
            <w:tcW w:w="1871" w:type="dxa"/>
          </w:tcPr>
          <w:p>
            <w:pPr>
              <w:pStyle w:val="0"/>
              <w:jc w:val="center"/>
            </w:pPr>
            <w:r>
              <w:rPr>
                <w:sz w:val="20"/>
              </w:rPr>
              <w:t xml:space="preserve">-</w:t>
            </w:r>
          </w:p>
        </w:tc>
        <w:tc>
          <w:tcPr>
            <w:tcW w:w="2154" w:type="dxa"/>
          </w:tcPr>
          <w:p>
            <w:pPr>
              <w:pStyle w:val="0"/>
              <w:jc w:val="both"/>
            </w:pPr>
            <w:r>
              <w:rPr>
                <w:sz w:val="20"/>
              </w:rPr>
              <w:t xml:space="preserve">ГБУЗС "Городская больница N 9"</w:t>
            </w:r>
          </w:p>
        </w:tc>
        <w:tc>
          <w:tcPr>
            <w:tcW w:w="1814" w:type="dxa"/>
          </w:tcPr>
          <w:p>
            <w:pPr>
              <w:pStyle w:val="0"/>
              <w:jc w:val="both"/>
            </w:pPr>
            <w:r>
              <w:rPr>
                <w:sz w:val="20"/>
              </w:rPr>
              <w:t xml:space="preserve">20 мин</w:t>
            </w:r>
          </w:p>
        </w:tc>
        <w:tc>
          <w:tcPr>
            <w:tcW w:w="1644" w:type="dxa"/>
          </w:tcPr>
          <w:p>
            <w:pPr>
              <w:pStyle w:val="0"/>
              <w:jc w:val="center"/>
            </w:pPr>
            <w:r>
              <w:rPr>
                <w:sz w:val="20"/>
              </w:rPr>
              <w:t xml:space="preserve">1/1,5</w:t>
            </w:r>
          </w:p>
        </w:tc>
        <w:tc>
          <w:tcPr>
            <w:tcW w:w="1871" w:type="dxa"/>
          </w:tcPr>
          <w:p>
            <w:pPr>
              <w:pStyle w:val="0"/>
              <w:jc w:val="center"/>
            </w:pPr>
            <w:r>
              <w:rPr>
                <w:sz w:val="20"/>
              </w:rPr>
              <w:t xml:space="preserve">17</w:t>
            </w:r>
          </w:p>
        </w:tc>
      </w:tr>
    </w:tbl>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outlineLvl w:val="2"/>
        <w:jc w:val="right"/>
      </w:pPr>
      <w:r>
        <w:rPr>
          <w:sz w:val="20"/>
        </w:rPr>
        <w:t xml:space="preserve">Приложение N 2</w:t>
      </w:r>
    </w:p>
    <w:p>
      <w:pPr>
        <w:pStyle w:val="0"/>
        <w:jc w:val="right"/>
      </w:pPr>
      <w:r>
        <w:rPr>
          <w:sz w:val="20"/>
        </w:rPr>
        <w:t xml:space="preserve">к разделу 1.5</w:t>
      </w:r>
    </w:p>
    <w:p>
      <w:pPr>
        <w:pStyle w:val="0"/>
        <w:jc w:val="right"/>
      </w:pPr>
      <w:r>
        <w:rPr>
          <w:sz w:val="20"/>
        </w:rPr>
        <w:t xml:space="preserve">"Текущее состояние ресурсной базы</w:t>
      </w:r>
    </w:p>
    <w:p>
      <w:pPr>
        <w:pStyle w:val="0"/>
        <w:jc w:val="right"/>
      </w:pPr>
      <w:r>
        <w:rPr>
          <w:sz w:val="20"/>
        </w:rPr>
        <w:t xml:space="preserve">онкологической службы" региональной программы</w:t>
      </w:r>
    </w:p>
    <w:p>
      <w:pPr>
        <w:pStyle w:val="0"/>
        <w:jc w:val="right"/>
      </w:pPr>
      <w:r>
        <w:rPr>
          <w:sz w:val="20"/>
        </w:rPr>
        <w:t xml:space="preserve">"Борьба с онкологическими заболеваниями"</w:t>
      </w:r>
    </w:p>
    <w:p>
      <w:pPr>
        <w:pStyle w:val="0"/>
        <w:jc w:val="center"/>
      </w:pPr>
      <w:r>
        <w:rPr>
          <w:sz w:val="20"/>
        </w:rPr>
      </w:r>
    </w:p>
    <w:p>
      <w:pPr>
        <w:pStyle w:val="0"/>
        <w:jc w:val="right"/>
      </w:pPr>
      <w:r>
        <w:rPr>
          <w:sz w:val="20"/>
        </w:rPr>
        <w:t xml:space="preserve">Таблица N 26</w:t>
      </w:r>
    </w:p>
    <w:p>
      <w:pPr>
        <w:pStyle w:val="0"/>
        <w:ind w:firstLine="540"/>
        <w:jc w:val="both"/>
      </w:pPr>
      <w:r>
        <w:rPr>
          <w:sz w:val="20"/>
        </w:rPr>
      </w:r>
    </w:p>
    <w:bookmarkStart w:id="26647" w:name="P26647"/>
    <w:bookmarkEnd w:id="26647"/>
    <w:p>
      <w:pPr>
        <w:pStyle w:val="2"/>
        <w:jc w:val="center"/>
      </w:pPr>
      <w:r>
        <w:rPr>
          <w:sz w:val="20"/>
        </w:rPr>
        <w:t xml:space="preserve">Перечень диагностического медицинского оборудования,</w:t>
      </w:r>
    </w:p>
    <w:p>
      <w:pPr>
        <w:pStyle w:val="2"/>
        <w:jc w:val="center"/>
      </w:pPr>
      <w:r>
        <w:rPr>
          <w:sz w:val="20"/>
        </w:rPr>
        <w:t xml:space="preserve">задействованного в оказании медицинской помощи пациентам</w:t>
      </w:r>
    </w:p>
    <w:p>
      <w:pPr>
        <w:pStyle w:val="2"/>
        <w:jc w:val="center"/>
      </w:pPr>
      <w:r>
        <w:rPr>
          <w:sz w:val="20"/>
        </w:rPr>
        <w:t xml:space="preserve">с подозрением, а также с подтвержденным диагнозом</w:t>
      </w:r>
    </w:p>
    <w:p>
      <w:pPr>
        <w:pStyle w:val="2"/>
        <w:jc w:val="center"/>
      </w:pPr>
      <w:r>
        <w:rPr>
          <w:sz w:val="20"/>
        </w:rPr>
        <w:t xml:space="preserve">онкологического заболевания</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2438"/>
        <w:gridCol w:w="2381"/>
        <w:gridCol w:w="2154"/>
        <w:gridCol w:w="1665"/>
        <w:gridCol w:w="1813"/>
      </w:tblGrid>
      <w:tr>
        <w:tc>
          <w:tcPr>
            <w:tcW w:w="3118" w:type="dxa"/>
          </w:tcPr>
          <w:p>
            <w:pPr>
              <w:pStyle w:val="0"/>
              <w:jc w:val="center"/>
            </w:pPr>
            <w:r>
              <w:rPr>
                <w:sz w:val="20"/>
              </w:rPr>
              <w:t xml:space="preserve">Наименование диагностического оборудования</w:t>
            </w:r>
          </w:p>
        </w:tc>
        <w:tc>
          <w:tcPr>
            <w:tcW w:w="2438" w:type="dxa"/>
          </w:tcPr>
          <w:p>
            <w:pPr>
              <w:pStyle w:val="0"/>
              <w:jc w:val="center"/>
            </w:pPr>
            <w:r>
              <w:rPr>
                <w:sz w:val="20"/>
              </w:rPr>
              <w:t xml:space="preserve">Наименование медицинской организации</w:t>
            </w:r>
          </w:p>
        </w:tc>
        <w:tc>
          <w:tcPr>
            <w:tcW w:w="2381" w:type="dxa"/>
          </w:tcPr>
          <w:p>
            <w:pPr>
              <w:pStyle w:val="0"/>
              <w:jc w:val="center"/>
            </w:pPr>
            <w:r>
              <w:rPr>
                <w:sz w:val="20"/>
              </w:rPr>
              <w:t xml:space="preserve">Наименование структурного подразделения, в котором расположено оборудование</w:t>
            </w:r>
          </w:p>
        </w:tc>
        <w:tc>
          <w:tcPr>
            <w:tcW w:w="2154" w:type="dxa"/>
          </w:tcPr>
          <w:p>
            <w:pPr>
              <w:pStyle w:val="0"/>
              <w:jc w:val="center"/>
            </w:pPr>
            <w:r>
              <w:rPr>
                <w:sz w:val="20"/>
              </w:rPr>
              <w:t xml:space="preserve">Условие функционирования (амбулаторное/стационарное/передвижное)</w:t>
            </w:r>
          </w:p>
        </w:tc>
        <w:tc>
          <w:tcPr>
            <w:tcW w:w="1665" w:type="dxa"/>
          </w:tcPr>
          <w:p>
            <w:pPr>
              <w:pStyle w:val="0"/>
              <w:jc w:val="center"/>
            </w:pPr>
            <w:r>
              <w:rPr>
                <w:sz w:val="20"/>
              </w:rPr>
              <w:t xml:space="preserve">Количество исследований в смену</w:t>
            </w:r>
          </w:p>
        </w:tc>
        <w:tc>
          <w:tcPr>
            <w:tcW w:w="1813" w:type="dxa"/>
          </w:tcPr>
          <w:p>
            <w:pPr>
              <w:pStyle w:val="0"/>
              <w:jc w:val="center"/>
            </w:pPr>
            <w:r>
              <w:rPr>
                <w:sz w:val="20"/>
              </w:rPr>
              <w:t xml:space="preserve">Количество рабочих смен (1, 2, 3, круглосуточно)</w:t>
            </w:r>
          </w:p>
        </w:tc>
      </w:tr>
      <w:tr>
        <w:tc>
          <w:tcPr>
            <w:tcW w:w="3118" w:type="dxa"/>
          </w:tcPr>
          <w:p>
            <w:pPr>
              <w:pStyle w:val="0"/>
              <w:jc w:val="both"/>
            </w:pPr>
            <w:r>
              <w:rPr>
                <w:sz w:val="20"/>
              </w:rPr>
              <w:t xml:space="preserve">Анализатор иммуноферментный автоматический GEMINI</w:t>
            </w:r>
          </w:p>
        </w:tc>
        <w:tc>
          <w:tcPr>
            <w:tcW w:w="2438" w:type="dxa"/>
          </w:tcPr>
          <w:p>
            <w:pPr>
              <w:pStyle w:val="0"/>
              <w:jc w:val="both"/>
            </w:pPr>
            <w:r>
              <w:rPr>
                <w:sz w:val="20"/>
              </w:rPr>
              <w:t xml:space="preserve">ГБУЗС "Севастопольский городской онкологический диспансер имени А.А. Задорожного" (далее - 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мочи автоматический LabUMat</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Автоматический иммунохимический анализатор Витрос</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Аппарат для клинико-диагностических лабораторных исследований Leica Autostainer X</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Автоматический гистологический процессор Tissue-Tek VIP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Аппарат для заключения гистологических срезов под пленку Tissue-Tek Film с принадлежностями (производитель: компания "Сакура Сейки Ко., Лтд", Япония)</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Ванночка с электроподогревом и возможностью регулирования температуры для распределения морфологических препаратов "СЛАЙДБАНЯ-30/60" по ТУ 9452-004-48583880-2003 (баня водяная для расправления тканевых срезов)</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Иммуностейнер автоматический Ventana BenchMark XT с принадлежностями (производитель: компания "Вентана Медикал Системз, Инк.", США)</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Лупа медицинская бинокулярная Exam Vision TTL HD</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Микроскоп лабораторный МС50</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Микроскоп сканирующий (сканер микропрепаратов) (наименование по РУ: сканер цифровой для гистологических и цитологических микропрепаратов Nanozooter с принадлежностями), вариант исполнения: сканер цифровой для гистологических и цитологических микропрепаратов Nanozooter S60</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Микроскоп хирургический общего назначения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Микротом-криостат Днепро МТК</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Мультистейнер автоматический для микропрепаратов Tissue-Tek Prisma с принадлежностями (производитель: компания "Сакура Сейки Ко., Лтд", Япония)</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Стол врача для работы с аутопсийным материалом BV33340 (одноместный)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Столик с электроподогревом и возможностью поддержания стабильной температуры при сушке морфологических препаратов "МИКРОСТАТ-30/80" по ТУ 9452-003-48583880-2003 (столик с электроподогревом)</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Фотомикроскоп (микроскоп медико-биологический Nikon Eclipse Ni, вариант исполнения - Eclipse NI-U) с принадлежностями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Центрифуга медицинская СМ-6М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Шкаф для хранения блоков (наименование по РУ: шкаф для хранения микропрепаратов, вариант исполнения - шкаф для хранения гистологических блоков B-103) (производитель: ООО "МедТехникаПоинт", Россия)</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Шкаф для хранения предметных стекол В-101 (производитель: ООО "МедТехникаПоинт", Россия)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Процессор гистологический автоматический Tissue-Tek VIP 6 Al с принадлежностями (производитель: компания "Сакура Сейки Ко., Лтд", Япония)</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Операционный микроскоп серии OPMI Vario с принадлежностями (микроскоп хирургический общего назначения)</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газов крови и электролитов ABL800 FLEX</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Коагулометр четырехканальный Thrombolyzer Compact X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Счетчик лейкоцитарной формулы крови СЛФ-ЭЦ-01-09</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Центрифуга лабораторная Z 206A</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Автоматизированная центрифуга для иммуногематологических исследований BIOVUE</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газов крови и электролитов ABL800 FLEX</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кислотно-щелочного равновесия, газов и электролитов крови Rapidlab 348</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Система ультразвуковая диагностическая CX50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ультразвуковой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9</w:t>
            </w:r>
          </w:p>
        </w:tc>
        <w:tc>
          <w:tcPr>
            <w:tcW w:w="1813" w:type="dxa"/>
          </w:tcPr>
          <w:p>
            <w:pPr>
              <w:pStyle w:val="0"/>
              <w:jc w:val="center"/>
            </w:pPr>
            <w:r>
              <w:rPr>
                <w:sz w:val="20"/>
              </w:rPr>
              <w:t xml:space="preserve">2</w:t>
            </w:r>
          </w:p>
        </w:tc>
      </w:tr>
      <w:tr>
        <w:tc>
          <w:tcPr>
            <w:tcW w:w="3118" w:type="dxa"/>
          </w:tcPr>
          <w:p>
            <w:pPr>
              <w:pStyle w:val="0"/>
              <w:jc w:val="both"/>
            </w:pPr>
            <w:r>
              <w:rPr>
                <w:sz w:val="20"/>
              </w:rPr>
              <w:t xml:space="preserve">Система диагностическая ультразвуковая HD 11</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ультразвуковой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9</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Аппараты УЗИ с цветным доплером с возможностью эхокардиографии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ультразвуковой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9</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Аппарат УЗИ SonoScapeS20 с источником бесперебойного питания VGS100XL</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ультразвуковой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9</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Анализатор биохимический АВХ Pentra 400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автоматический биохимический SAPPHIRE 500</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Видеобронхоскоп (бронховидеоскоп BF-H190 стандартной комплектации)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Видеобронхоскоп (бронховидеоскоп BF-H190 стандартной комплектации)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Стойка видеоэндоскопическая для гастроскопии, бронхоскопии и колоноскопии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Видеогастроскоп (гастроинтестинальный видеоскоп GIF-H190, стандартная комплектация)</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Видеогастроскоп (гастроинтестинальный видеоскоп GIF-H190, стандартная комплектация)</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Гастрофиброскоп GIF-E3</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Стойка видеоэндоскопическая для гастроскопии, бронхоскопии и колоноскопии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Колонофиброскоп CF-E3L</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Стойка видеоэндоскопическая для гастроскопии, бронхоскопии и колоноскопии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Видеоэндоскопический комплекс</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Система видеоэндоскопическая, тип 1</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Стойка видеоэндоскопическая для гастроскопии, бронхоскопии и колоноскопии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Инструменты эндоскопические с принадлежностями (ректоскоп)</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Машина моюще-дезинфицирующая для гибких эндоскопов (наименование по РУ: установка моечная для промывки эндоскопов OER-AW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Моечно-дезинфицирующий автоматический репроцессор для гибких эндоскопов ENDOCLEN</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Набор для ухода за эндоскопическим инструментом</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Стойка видеоэндоскопическая для гастроскопии, бронхоскопии и колоноскопии Fuginon</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Установка моечная для промывки эндоскопа (комплект)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Установка моечная для промывки эндоскопа OER-AW (комплект)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Устройство для наложения лигатур HX-201UR-135.А</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Эндоскоп гибкий с принадлежностями: бронховидеоскоп ультразвуковой BF-UC190F, стандартная комплектация (бронхоскоп гибкий)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Автоматический гематологический анализатор ELite 3 с принадлежностями (ИПБ)</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гематологический автоматический с дифференцировкой лейкоцитов</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Гематологический анализатор (для экспресс-лаборатории)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Видеодуоденоскоп (дуоденовидеоскоп TJF-Q180V, стандартная комплектация)</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Видеодуоденоскоп (дуоденовидеоскоп TJF-Q180V, стандартная комплектация)</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внутрипросветной эндоскопической диагностики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Коагулометр четырехканальный Thrombolyzer Compact X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полуавтоматический для исследования гемостаза Helena C</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полуавтоматический для исследования гемостаза Helena C</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полуавтоматический для исследования гемостаза Helena C</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Томограф компьютерный рентгеновский SOMATOM Definition AS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Рентгенодиагностическое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24</w:t>
            </w:r>
          </w:p>
        </w:tc>
        <w:tc>
          <w:tcPr>
            <w:tcW w:w="1813" w:type="dxa"/>
          </w:tcPr>
          <w:p>
            <w:pPr>
              <w:pStyle w:val="0"/>
              <w:jc w:val="center"/>
            </w:pPr>
            <w:r>
              <w:rPr>
                <w:sz w:val="20"/>
              </w:rPr>
              <w:t xml:space="preserve">2</w:t>
            </w:r>
          </w:p>
        </w:tc>
      </w:tr>
      <w:tr>
        <w:tc>
          <w:tcPr>
            <w:tcW w:w="3118" w:type="dxa"/>
          </w:tcPr>
          <w:p>
            <w:pPr>
              <w:pStyle w:val="0"/>
              <w:jc w:val="both"/>
            </w:pPr>
            <w:r>
              <w:rPr>
                <w:sz w:val="20"/>
              </w:rPr>
              <w:t xml:space="preserve">Компьютерный томограф для топометрии с увеличенным размером гентри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Проявочная машина</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Рентгеновский аппарат для интервенционных процедур "РЕНЕКС"</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Анестезиологическая система</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Аппарат высокочастотный электрохирургический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Аппарат для анестезии Leon</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Аппарат для предстерилизационной очистки канюлированных хирургических инструментов MEDISAFE, модель: аппарат ультразвуковой полуавтоматический SI SA</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Генератор электрохирургический ультразвуковой G11</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Диссектор ультразвуковой серии Sonoca 190</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Диссектор ультразвуковой серии Sonoca 300</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Комплект электромеханического оборудования для эндоскопической хирургии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Лапароскопический комплекс с набором инструментов для абдоминальной хирургии, гинекологии и урологии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Маточный манипулятор, модель CLERMONT-FERRAND</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Морцеллятор</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Набор инструментов для гастроэктомии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Набор инструментов для гинекологической операционной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Набор инструментов для проктологических операций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Стол инструментальный (МД SP 2N)</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Стол операционный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Стол операционный универсальный ОУ-01К</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Стол-тележка медицинская инструментальная "Медицинофф" с принадлежностями, вариант исполнения - F-17</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Ультразвуковой гармонический скальпель (аппараты серии Thunderbeat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Эндовидеоскопический комплекс для выполнения гинекологических операций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Эндовидеохирургический комплекс для проведения лапароскопических операций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Расширитель-подъемник реберных дуг при операциях на брюшной полости, прикрепляемый к операционному столу</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Прокторектоскоп</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Лапароскопический комплекс с набором инструментов для абдоминальной хирургии, гинекологии и урологии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Маммограф рентгеновский "Мамма-4 МТ"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Рентгенодиагностическое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35</w:t>
            </w:r>
          </w:p>
        </w:tc>
        <w:tc>
          <w:tcPr>
            <w:tcW w:w="1813" w:type="dxa"/>
          </w:tcPr>
          <w:p>
            <w:pPr>
              <w:pStyle w:val="0"/>
              <w:jc w:val="center"/>
            </w:pPr>
            <w:r>
              <w:rPr>
                <w:sz w:val="20"/>
              </w:rPr>
              <w:t xml:space="preserve">2</w:t>
            </w:r>
          </w:p>
        </w:tc>
      </w:tr>
      <w:tr>
        <w:tc>
          <w:tcPr>
            <w:tcW w:w="3118" w:type="dxa"/>
          </w:tcPr>
          <w:p>
            <w:pPr>
              <w:pStyle w:val="0"/>
              <w:jc w:val="both"/>
            </w:pPr>
            <w:r>
              <w:rPr>
                <w:sz w:val="20"/>
              </w:rPr>
              <w:t xml:space="preserve">Микроскоп биологический Leica DM2000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Микроскоп медицинский (3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Централизованная цитологическая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Микроскоп "Биоларм Р-11"</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Централизованная цитологическая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Микроскоп биологический Leica DM1000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Микроскоп биологический Leica DM1000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Микротом Leica RM2245</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мочи 50 - 60 тестов/час Laura Smart</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Анализатор мочи CL-50 Plus</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Томограф магнитно-резонансный SIGMA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Рентгенодиагностическое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24</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Аппарат рентгенографический палатный передвижной "МОбиРен-4-МТ"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Рентгенодиагностическое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Аппарат рентгенодиагностический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Рентгенодиагностическое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9</w:t>
            </w:r>
          </w:p>
        </w:tc>
        <w:tc>
          <w:tcPr>
            <w:tcW w:w="1813" w:type="dxa"/>
          </w:tcPr>
          <w:p>
            <w:pPr>
              <w:pStyle w:val="0"/>
              <w:jc w:val="center"/>
            </w:pPr>
            <w:r>
              <w:rPr>
                <w:sz w:val="20"/>
              </w:rPr>
              <w:t xml:space="preserve">1</w:t>
            </w:r>
          </w:p>
        </w:tc>
      </w:tr>
      <w:tr>
        <w:tc>
          <w:tcPr>
            <w:tcW w:w="3118" w:type="dxa"/>
          </w:tcPr>
          <w:p>
            <w:pPr>
              <w:pStyle w:val="0"/>
              <w:jc w:val="both"/>
            </w:pPr>
            <w:r>
              <w:rPr>
                <w:sz w:val="20"/>
              </w:rPr>
              <w:t xml:space="preserve">Система заливки парафином модульная Tissue-Tek TEC 5 с принадлежностями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Автоматический гистологический процессор Tissue-Tek VIP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Патолого-анатомическое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Комплекс рентгеновский диагностический телеуправляемый ТелеКоРД-МТ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Рентгенодиагностическое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22</w:t>
            </w:r>
          </w:p>
        </w:tc>
        <w:tc>
          <w:tcPr>
            <w:tcW w:w="1813" w:type="dxa"/>
          </w:tcPr>
          <w:p>
            <w:pPr>
              <w:pStyle w:val="0"/>
              <w:jc w:val="center"/>
            </w:pPr>
            <w:r>
              <w:rPr>
                <w:sz w:val="20"/>
              </w:rPr>
              <w:t xml:space="preserve">2</w:t>
            </w:r>
          </w:p>
        </w:tc>
      </w:tr>
      <w:tr>
        <w:tc>
          <w:tcPr>
            <w:tcW w:w="3118" w:type="dxa"/>
          </w:tcPr>
          <w:p>
            <w:pPr>
              <w:pStyle w:val="0"/>
              <w:jc w:val="both"/>
            </w:pPr>
            <w:r>
              <w:rPr>
                <w:sz w:val="20"/>
              </w:rPr>
              <w:t xml:space="preserve">Система цифровая маммографическая Amulet Innovality (FDR MS-3500)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Рентгенодиагностическое отделение</w:t>
            </w:r>
          </w:p>
        </w:tc>
        <w:tc>
          <w:tcPr>
            <w:tcW w:w="2154" w:type="dxa"/>
          </w:tcPr>
          <w:p>
            <w:pPr>
              <w:pStyle w:val="0"/>
              <w:jc w:val="both"/>
            </w:pPr>
            <w:r>
              <w:rPr>
                <w:sz w:val="20"/>
              </w:rPr>
              <w:t xml:space="preserve">Амбулаторное/стационарное</w:t>
            </w:r>
          </w:p>
        </w:tc>
        <w:tc>
          <w:tcPr>
            <w:tcW w:w="1665" w:type="dxa"/>
          </w:tcPr>
          <w:p>
            <w:pPr>
              <w:pStyle w:val="0"/>
              <w:jc w:val="center"/>
            </w:pPr>
            <w:r>
              <w:rPr>
                <w:sz w:val="20"/>
              </w:rPr>
              <w:t xml:space="preserve">35</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Аппарат для флюоресцентной диагностики. Видеодерматоскоп "Фотофайндер бодистудио Эй-Ти-Би-Эм" (Videodermatoscope "FotoFinder bodystudio ATBM") с принадлежностями (дерматоскоп цифровой)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Поликлиническое отделение</w:t>
            </w:r>
          </w:p>
        </w:tc>
        <w:tc>
          <w:tcPr>
            <w:tcW w:w="2154" w:type="dxa"/>
          </w:tcPr>
          <w:p>
            <w:pPr>
              <w:pStyle w:val="0"/>
              <w:jc w:val="both"/>
            </w:pPr>
            <w:r>
              <w:rPr>
                <w:sz w:val="20"/>
              </w:rPr>
              <w:t xml:space="preserve">Амбулаторное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Дерматоскоп с принадлежностями (модель DELTA 20)</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Поликлиническое отделение</w:t>
            </w:r>
          </w:p>
        </w:tc>
        <w:tc>
          <w:tcPr>
            <w:tcW w:w="2154" w:type="dxa"/>
          </w:tcPr>
          <w:p>
            <w:pPr>
              <w:pStyle w:val="0"/>
              <w:jc w:val="both"/>
            </w:pPr>
            <w:r>
              <w:rPr>
                <w:sz w:val="20"/>
              </w:rPr>
              <w:t xml:space="preserve">Амбулаторное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Криоаппарат КРИО-01 "ЕЛАМЕД"</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Поликлиническое отделение</w:t>
            </w:r>
          </w:p>
        </w:tc>
        <w:tc>
          <w:tcPr>
            <w:tcW w:w="2154" w:type="dxa"/>
          </w:tcPr>
          <w:p>
            <w:pPr>
              <w:pStyle w:val="0"/>
              <w:jc w:val="both"/>
            </w:pPr>
            <w:r>
              <w:rPr>
                <w:sz w:val="20"/>
              </w:rPr>
              <w:t xml:space="preserve">Амбулаторное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Кушетка смотровая КРП</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Поликлиническое отделение</w:t>
            </w:r>
          </w:p>
        </w:tc>
        <w:tc>
          <w:tcPr>
            <w:tcW w:w="2154" w:type="dxa"/>
          </w:tcPr>
          <w:p>
            <w:pPr>
              <w:pStyle w:val="0"/>
              <w:jc w:val="both"/>
            </w:pPr>
            <w:r>
              <w:rPr>
                <w:sz w:val="20"/>
              </w:rPr>
              <w:t xml:space="preserve">Амбулаторное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Спирограф (Спирометр)</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Поликлиническое отделение</w:t>
            </w:r>
          </w:p>
        </w:tc>
        <w:tc>
          <w:tcPr>
            <w:tcW w:w="2154" w:type="dxa"/>
          </w:tcPr>
          <w:p>
            <w:pPr>
              <w:pStyle w:val="0"/>
              <w:jc w:val="both"/>
            </w:pPr>
            <w:r>
              <w:rPr>
                <w:sz w:val="20"/>
              </w:rPr>
              <w:t xml:space="preserve">Амбулаторное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Стол манипуляционный МД SM 1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Поликлиническое отделение</w:t>
            </w:r>
          </w:p>
        </w:tc>
        <w:tc>
          <w:tcPr>
            <w:tcW w:w="2154" w:type="dxa"/>
          </w:tcPr>
          <w:p>
            <w:pPr>
              <w:pStyle w:val="0"/>
              <w:jc w:val="both"/>
            </w:pPr>
            <w:r>
              <w:rPr>
                <w:sz w:val="20"/>
              </w:rPr>
              <w:t xml:space="preserve">Амбулаторное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Столик-тележка медицинская инструментальная "Медицинофф" с принадлежностями, вариант исполнения: F-17</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Поликлиническое отделение</w:t>
            </w:r>
          </w:p>
        </w:tc>
        <w:tc>
          <w:tcPr>
            <w:tcW w:w="2154" w:type="dxa"/>
          </w:tcPr>
          <w:p>
            <w:pPr>
              <w:pStyle w:val="0"/>
              <w:jc w:val="both"/>
            </w:pPr>
            <w:r>
              <w:rPr>
                <w:sz w:val="20"/>
              </w:rPr>
              <w:t xml:space="preserve">Амбулаторное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Тонометр полуавтоматический OMRON S1</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Поликлиническое отделение</w:t>
            </w:r>
          </w:p>
        </w:tc>
        <w:tc>
          <w:tcPr>
            <w:tcW w:w="2154" w:type="dxa"/>
          </w:tcPr>
          <w:p>
            <w:pPr>
              <w:pStyle w:val="0"/>
              <w:jc w:val="both"/>
            </w:pPr>
            <w:r>
              <w:rPr>
                <w:sz w:val="20"/>
              </w:rPr>
              <w:t xml:space="preserve">Амбулаторное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Ростомер медицинский Р-"МСК"</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Поликлиническое отделение</w:t>
            </w:r>
          </w:p>
        </w:tc>
        <w:tc>
          <w:tcPr>
            <w:tcW w:w="2154" w:type="dxa"/>
          </w:tcPr>
          <w:p>
            <w:pPr>
              <w:pStyle w:val="0"/>
              <w:jc w:val="both"/>
            </w:pPr>
            <w:r>
              <w:rPr>
                <w:sz w:val="20"/>
              </w:rPr>
              <w:t xml:space="preserve">Амбулаторное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Ростомер РМ-1 "Диакомс"</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Поликлиническое отделение</w:t>
            </w:r>
          </w:p>
        </w:tc>
        <w:tc>
          <w:tcPr>
            <w:tcW w:w="2154" w:type="dxa"/>
          </w:tcPr>
          <w:p>
            <w:pPr>
              <w:pStyle w:val="0"/>
              <w:jc w:val="both"/>
            </w:pPr>
            <w:r>
              <w:rPr>
                <w:sz w:val="20"/>
              </w:rPr>
              <w:t xml:space="preserve">Амбулаторное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Система микроволновой абляции Surblate, конфигурация 2 "Базовый комплект" (система радиочастотной абляции)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Операционный блок</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Установка ангиографическая General Electric Innova IGS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рентгенохирургических методов лечения</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Набор для срочной цитологической окраски (автоматическая система подготовки цитологических образцов, процессор для приготовления препаратов Cell Prep Plus с принадлежностями, автоматы фиксации и окраски мазков крови с принадлежностями: АФОМК-13-ПАП)</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Клинико-диагностическая лаборатория</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Дозиметр клинический для контроля радиотерапевтических и контроля качества в радиационной терапии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радионуклидной диагностики</w:t>
            </w:r>
          </w:p>
        </w:tc>
        <w:tc>
          <w:tcPr>
            <w:tcW w:w="2154" w:type="dxa"/>
          </w:tcPr>
          <w:p>
            <w:pPr>
              <w:pStyle w:val="0"/>
              <w:jc w:val="both"/>
            </w:pPr>
            <w:r>
              <w:rPr>
                <w:sz w:val="20"/>
              </w:rPr>
              <w:t xml:space="preserve">Ремонт помещения</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w:t>
            </w:r>
          </w:p>
        </w:tc>
      </w:tr>
      <w:tr>
        <w:tc>
          <w:tcPr>
            <w:tcW w:w="3118" w:type="dxa"/>
          </w:tcPr>
          <w:p>
            <w:pPr>
              <w:pStyle w:val="0"/>
              <w:jc w:val="both"/>
            </w:pPr>
            <w:r>
              <w:rPr>
                <w:sz w:val="20"/>
              </w:rPr>
              <w:t xml:space="preserve">Радиометр активности радионуклидов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радионуклидной диагностики</w:t>
            </w:r>
          </w:p>
        </w:tc>
        <w:tc>
          <w:tcPr>
            <w:tcW w:w="2154" w:type="dxa"/>
          </w:tcPr>
          <w:p>
            <w:pPr>
              <w:pStyle w:val="0"/>
              <w:jc w:val="both"/>
            </w:pPr>
            <w:r>
              <w:rPr>
                <w:sz w:val="20"/>
              </w:rPr>
              <w:t xml:space="preserve">Ремонт помещения</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w:t>
            </w:r>
          </w:p>
        </w:tc>
      </w:tr>
      <w:tr>
        <w:tc>
          <w:tcPr>
            <w:tcW w:w="3118" w:type="dxa"/>
          </w:tcPr>
          <w:p>
            <w:pPr>
              <w:pStyle w:val="0"/>
              <w:jc w:val="both"/>
            </w:pPr>
            <w:r>
              <w:rPr>
                <w:sz w:val="20"/>
              </w:rPr>
              <w:t xml:space="preserve">Система однофотонной эмиссионной компьютерной томографии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радионуклидной диагностики</w:t>
            </w:r>
          </w:p>
        </w:tc>
        <w:tc>
          <w:tcPr>
            <w:tcW w:w="2154" w:type="dxa"/>
          </w:tcPr>
          <w:p>
            <w:pPr>
              <w:pStyle w:val="0"/>
              <w:jc w:val="both"/>
            </w:pPr>
            <w:r>
              <w:rPr>
                <w:sz w:val="20"/>
              </w:rPr>
              <w:t xml:space="preserve">Ремонт помещения</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w:t>
            </w:r>
          </w:p>
        </w:tc>
      </w:tr>
      <w:tr>
        <w:tc>
          <w:tcPr>
            <w:tcW w:w="3118" w:type="dxa"/>
          </w:tcPr>
          <w:p>
            <w:pPr>
              <w:pStyle w:val="0"/>
              <w:jc w:val="both"/>
            </w:pPr>
            <w:r>
              <w:rPr>
                <w:sz w:val="20"/>
              </w:rPr>
              <w:t xml:space="preserve">Шкаф вытяжной радиационнозащитный для работы с радиофармпрепаратами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радионуклидной диагностики</w:t>
            </w:r>
          </w:p>
        </w:tc>
        <w:tc>
          <w:tcPr>
            <w:tcW w:w="2154" w:type="dxa"/>
          </w:tcPr>
          <w:p>
            <w:pPr>
              <w:pStyle w:val="0"/>
              <w:jc w:val="both"/>
            </w:pPr>
            <w:r>
              <w:rPr>
                <w:sz w:val="20"/>
              </w:rPr>
              <w:t xml:space="preserve">Ремонт помещения</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w:t>
            </w:r>
          </w:p>
        </w:tc>
      </w:tr>
      <w:tr>
        <w:tc>
          <w:tcPr>
            <w:tcW w:w="3118" w:type="dxa"/>
          </w:tcPr>
          <w:p>
            <w:pPr>
              <w:pStyle w:val="0"/>
              <w:jc w:val="both"/>
            </w:pPr>
            <w:r>
              <w:rPr>
                <w:sz w:val="20"/>
              </w:rPr>
              <w:t xml:space="preserve">Система роботизированная радиотерапевтическая медицинская ELEKTA INFINITY</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радиотерапии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Аппарат рентгеновский стационарный терапевтический Рентген-ТА 150/10</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радиотерапии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Комплект оборудования для клинической дозиметрии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радиотерапии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Система дозиметрического планирования</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радиотерапии</w:t>
            </w:r>
          </w:p>
        </w:tc>
        <w:tc>
          <w:tcPr>
            <w:tcW w:w="2154" w:type="dxa"/>
          </w:tcPr>
          <w:p>
            <w:pPr>
              <w:pStyle w:val="0"/>
              <w:jc w:val="both"/>
            </w:pPr>
            <w:r>
              <w:rPr>
                <w:sz w:val="20"/>
              </w:rPr>
              <w:t xml:space="preserve">Амбулаторное/стационарное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1</w:t>
            </w:r>
          </w:p>
        </w:tc>
      </w:tr>
      <w:tr>
        <w:tc>
          <w:tcPr>
            <w:tcW w:w="3118" w:type="dxa"/>
          </w:tcPr>
          <w:p>
            <w:pPr>
              <w:pStyle w:val="0"/>
              <w:jc w:val="both"/>
            </w:pPr>
            <w:r>
              <w:rPr>
                <w:sz w:val="20"/>
              </w:rPr>
              <w:t xml:space="preserve">Кресло терапевтическое (кресло для осмотра/терапевтических процедур общего назначения с электроприводом) (13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и дневной стационар противоопухолевой лекарственной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Модуль инфузионный двухшприцовый (4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и дневной стационар противоопухолевой лекарственной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Насос инфузионный шприцевой Перфузор компакт C Perfusor compact S (5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и дневной стационар противоопухолевой лекарственной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Насос инфузионный волюметрический "Инфузомат фмС" Infusomat fmS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и дневной стационар противоопухолевой лекарственной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Насос инфузионный волюметрический Agilia VP (22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и дневной стационар противоопухолевой лекарственной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Насос инфузионный волюметрический Инфузомат фмС Infusomat fmS (3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и дневной стационар противоопухолевой лекарственной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Насос инфузионный шприцевой Aqilia SP (14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и дневной стационар противоопухолевой лекарственной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Анализатор газового состава воздушных смесей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Аппарат искусственной вентиляции легких модели MV 2000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Аппарат искусственной вентиляции легких передвижной Hamilton-C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Аппарат искусственной вентиляции легких передвижной Hamilton-C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Аппарат наркозно-дыхательный Siesta i TS с принадлежностями</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Аппарат наркозный Dameca MR1508</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Аудиометр диагностический</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Монитор для контроля за состоянием пациента</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Монитор пациента IntelliVue MX600 (с дисплеем диагональю 380 мм)</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Монитор пациента IntelliVue MX800 (с дисплеем диагональю 480 мм)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Монитор пациента IntelliVue модели МР20 с принадлежностями (2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Монитор реанимационный и анестезиологический для контроля ряда физиологических параметров (14 шт.)</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Кислородный концентратор медицинский Armed 7F-8L</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Система для скрининговой экспресс-оценки состояния сердца</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r>
        <w:tc>
          <w:tcPr>
            <w:tcW w:w="3118" w:type="dxa"/>
          </w:tcPr>
          <w:p>
            <w:pPr>
              <w:pStyle w:val="0"/>
              <w:jc w:val="both"/>
            </w:pPr>
            <w:r>
              <w:rPr>
                <w:sz w:val="20"/>
              </w:rPr>
              <w:t xml:space="preserve">Система мониторинга глубины наркоза и седации, вариант исполнения BIS Vista</w:t>
            </w:r>
          </w:p>
        </w:tc>
        <w:tc>
          <w:tcPr>
            <w:tcW w:w="2438" w:type="dxa"/>
          </w:tcPr>
          <w:p>
            <w:pPr>
              <w:pStyle w:val="0"/>
              <w:jc w:val="both"/>
            </w:pPr>
            <w:r>
              <w:rPr>
                <w:sz w:val="20"/>
              </w:rPr>
              <w:t xml:space="preserve">СГОД им. А.А. Задорожного</w:t>
            </w:r>
          </w:p>
        </w:tc>
        <w:tc>
          <w:tcPr>
            <w:tcW w:w="2381" w:type="dxa"/>
          </w:tcPr>
          <w:p>
            <w:pPr>
              <w:pStyle w:val="0"/>
              <w:jc w:val="both"/>
            </w:pPr>
            <w:r>
              <w:rPr>
                <w:sz w:val="20"/>
              </w:rPr>
              <w:t xml:space="preserve">Отделение анестезиологии-реанимации с палатами реанимации и интенсивной терапии</w:t>
            </w:r>
          </w:p>
        </w:tc>
        <w:tc>
          <w:tcPr>
            <w:tcW w:w="2154" w:type="dxa"/>
          </w:tcPr>
          <w:p>
            <w:pPr>
              <w:pStyle w:val="0"/>
              <w:jc w:val="both"/>
            </w:pPr>
            <w:r>
              <w:rPr>
                <w:sz w:val="20"/>
              </w:rPr>
              <w:t xml:space="preserve">Стационарное</w:t>
            </w:r>
          </w:p>
        </w:tc>
        <w:tc>
          <w:tcPr>
            <w:tcW w:w="1665" w:type="dxa"/>
          </w:tcPr>
          <w:p>
            <w:pPr>
              <w:pStyle w:val="0"/>
              <w:jc w:val="both"/>
            </w:pPr>
            <w:r>
              <w:rPr>
                <w:sz w:val="20"/>
              </w:rPr>
              <w:t xml:space="preserve">Не определено</w:t>
            </w:r>
          </w:p>
        </w:tc>
        <w:tc>
          <w:tcPr>
            <w:tcW w:w="1813" w:type="dxa"/>
          </w:tcPr>
          <w:p>
            <w:pPr>
              <w:pStyle w:val="0"/>
              <w:jc w:val="center"/>
            </w:pPr>
            <w:r>
              <w:rPr>
                <w:sz w:val="20"/>
              </w:rPr>
              <w:t xml:space="preserve">2</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9</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p>
      <w:pPr>
        <w:pStyle w:val="2"/>
        <w:jc w:val="center"/>
      </w:pPr>
      <w:r>
        <w:rPr>
          <w:sz w:val="20"/>
        </w:rPr>
        <w:t xml:space="preserve">Стратегия развития санитарной авиации</w:t>
      </w:r>
    </w:p>
    <w:p>
      <w:pPr>
        <w:pStyle w:val="2"/>
        <w:jc w:val="center"/>
      </w:pPr>
      <w:r>
        <w:rPr>
          <w:sz w:val="20"/>
        </w:rPr>
        <w:t xml:space="preserve">в городе Севастополе до 2024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684"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02.03.2023 N 108-ПП)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2"/>
        <w:outlineLvl w:val="2"/>
        <w:jc w:val="center"/>
      </w:pPr>
      <w:r>
        <w:rPr>
          <w:sz w:val="20"/>
        </w:rPr>
        <w:t xml:space="preserve">1. Общие положения</w:t>
      </w:r>
    </w:p>
    <w:p>
      <w:pPr>
        <w:pStyle w:val="0"/>
      </w:pPr>
      <w:r>
        <w:rPr>
          <w:sz w:val="20"/>
        </w:rPr>
      </w:r>
    </w:p>
    <w:p>
      <w:pPr>
        <w:pStyle w:val="0"/>
        <w:ind w:firstLine="540"/>
        <w:jc w:val="both"/>
      </w:pPr>
      <w:r>
        <w:rPr>
          <w:sz w:val="20"/>
        </w:rPr>
        <w:t xml:space="preserve">Стратегия развития санитарной авиации в городе Севастополе до 2024 года (далее - Стратегия) разработана в целях совершенствования и увеличения доступности оказания медицинской помощи жителям города Севастополя в экстренной форме в рамках реализации регионального проекта "Развитие системы оказания первичной медико-санитарной помощи" национального проекта "Здравоохранение".</w:t>
      </w:r>
    </w:p>
    <w:p>
      <w:pPr>
        <w:pStyle w:val="0"/>
        <w:spacing w:before="200" w:line-rule="auto"/>
        <w:ind w:firstLine="540"/>
        <w:jc w:val="both"/>
      </w:pPr>
      <w:r>
        <w:rPr>
          <w:sz w:val="20"/>
        </w:rPr>
        <w:t xml:space="preserve">Правовую основу Стратегии составляют </w:t>
      </w:r>
      <w:hyperlink w:history="0" r:id="rId6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Воздушный </w:t>
      </w:r>
      <w:hyperlink w:history="0" r:id="rId686" w:tooltip="&quot;Воздушный кодекс Российской Федерации&quot; от 19.03.1997 N 60-ФЗ (ред. от 04.08.2023) {КонсультантПлюс}">
        <w:r>
          <w:rPr>
            <w:sz w:val="20"/>
            <w:color w:val="0000ff"/>
          </w:rPr>
          <w:t xml:space="preserve">кодекс</w:t>
        </w:r>
      </w:hyperlink>
      <w:r>
        <w:rPr>
          <w:sz w:val="20"/>
        </w:rPr>
        <w:t xml:space="preserve"> Российской Федерации, федеральные законы от 28.06.2014 </w:t>
      </w:r>
      <w:hyperlink w:history="0" r:id="rId687" w:tooltip="Федеральный закон от 28.06.2014 N 172-ФЗ (ред. от 17.02.2023) &quot;О стратегическом планировании в Российской Федерации&quot; {КонсультантПлюс}">
        <w:r>
          <w:rPr>
            <w:sz w:val="20"/>
            <w:color w:val="0000ff"/>
          </w:rPr>
          <w:t xml:space="preserve">N 172-ФЗ</w:t>
        </w:r>
      </w:hyperlink>
      <w:r>
        <w:rPr>
          <w:sz w:val="20"/>
        </w:rPr>
        <w:t xml:space="preserve"> "О стратегическом планировании в Российской Федерации", от 21.11.2011 </w:t>
      </w:r>
      <w:hyperlink w:history="0" r:id="rId688"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N 323-ФЗ</w:t>
        </w:r>
      </w:hyperlink>
      <w:r>
        <w:rPr>
          <w:sz w:val="20"/>
        </w:rPr>
        <w:t xml:space="preserve"> "Об основах охраны здоровья граждан в Российской Федерации", иные федеральные законы, а также государственная </w:t>
      </w:r>
      <w:hyperlink w:history="0" r:id="rId689"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программа</w:t>
        </w:r>
      </w:hyperlink>
      <w:r>
        <w:rPr>
          <w:sz w:val="20"/>
        </w:rPr>
        <w:t xml:space="preserve"> города Севастополя "Развитие здравоохранения в городе Севастополе", утвержденная постановлением Правительства Севастополя от 23.11.2016 N 1115-ПП "Об утверждении государственной программы города Севастополя "Развитие здравоохранения в городе Севастополе".</w:t>
      </w:r>
    </w:p>
    <w:p>
      <w:pPr>
        <w:pStyle w:val="0"/>
        <w:ind w:firstLine="540"/>
        <w:jc w:val="both"/>
      </w:pPr>
      <w:r>
        <w:rPr>
          <w:sz w:val="20"/>
        </w:rPr>
      </w:r>
    </w:p>
    <w:p>
      <w:pPr>
        <w:pStyle w:val="2"/>
        <w:outlineLvl w:val="2"/>
        <w:jc w:val="center"/>
      </w:pPr>
      <w:r>
        <w:rPr>
          <w:sz w:val="20"/>
        </w:rPr>
        <w:t xml:space="preserve">2. Оценка текущего состояния службы скорой медицинской</w:t>
      </w:r>
    </w:p>
    <w:p>
      <w:pPr>
        <w:pStyle w:val="2"/>
        <w:jc w:val="center"/>
      </w:pPr>
      <w:r>
        <w:rPr>
          <w:sz w:val="20"/>
        </w:rPr>
        <w:t xml:space="preserve">помощи и санитарной авиации в субъекте Российской Федерации</w:t>
      </w:r>
    </w:p>
    <w:p>
      <w:pPr>
        <w:pStyle w:val="0"/>
        <w:jc w:val="center"/>
      </w:pPr>
      <w:r>
        <w:rPr>
          <w:sz w:val="20"/>
        </w:rPr>
      </w:r>
    </w:p>
    <w:p>
      <w:pPr>
        <w:pStyle w:val="2"/>
        <w:outlineLvl w:val="3"/>
        <w:jc w:val="center"/>
      </w:pPr>
      <w:r>
        <w:rPr>
          <w:sz w:val="20"/>
        </w:rPr>
        <w:t xml:space="preserve">2.1. Сведения о субъекте Российской Федерации</w:t>
      </w:r>
    </w:p>
    <w:p>
      <w:pPr>
        <w:pStyle w:val="0"/>
        <w:jc w:val="center"/>
      </w:pPr>
      <w:r>
        <w:rPr>
          <w:sz w:val="20"/>
        </w:rPr>
      </w:r>
    </w:p>
    <w:p>
      <w:pPr>
        <w:pStyle w:val="0"/>
        <w:ind w:firstLine="540"/>
        <w:jc w:val="both"/>
      </w:pPr>
      <w:r>
        <w:rPr>
          <w:sz w:val="20"/>
        </w:rPr>
        <w:t xml:space="preserve">Общая площадь территории города Севастополя составляет 1,08 тыс. кв. км, в том числе к ней относится более 30 бухт с общей площадью акватории в 216,0 кв. км. Протяженность территории города Севастополя с запада на восток - 43 км, с севера на юг - 50 км. Город Севастополь расположен в юго-западной части Крыма на Гераклейском полуострове. Исторический центр города расположен на южной стороне Севастопольской бухты. На северо-востоке его земли граничат с Бахчисарайским районом, на юго-востоке - с Большой Ялтой. С запада на юг омывают воды Черного моря.</w:t>
      </w:r>
    </w:p>
    <w:p>
      <w:pPr>
        <w:pStyle w:val="0"/>
        <w:spacing w:before="200" w:line-rule="auto"/>
        <w:ind w:firstLine="540"/>
        <w:jc w:val="both"/>
      </w:pPr>
      <w:r>
        <w:rPr>
          <w:sz w:val="20"/>
        </w:rPr>
        <w:t xml:space="preserve">Территория города федерального значения Севастополя граничит с административными единицами Республики Крым - на северо-востоке с Бахчисарайским районом, а на юго-востоке - с территорией города Ялты; общая длина сухопутных границ составляет 106 км. На западе и юге территория Севастополя ограничена береговой линией Черного моря, общая протяженность которой составляет 152 км.</w:t>
      </w:r>
    </w:p>
    <w:p>
      <w:pPr>
        <w:pStyle w:val="0"/>
        <w:spacing w:before="200" w:line-rule="auto"/>
        <w:ind w:firstLine="540"/>
        <w:jc w:val="both"/>
      </w:pPr>
      <w:r>
        <w:rPr>
          <w:sz w:val="20"/>
        </w:rPr>
        <w:t xml:space="preserve">Территория города Севастополя разделена на 10 муниципальных округов - Андреевский муниципальный округ, Балаклавский муниципальный округ, Верхнесадовский муниципальный округ, Гагаринский муниципальный округ, город Инкерман, Качинский муниципальный округ, Ленинский муниципальный округ, Нахимовский муниципальный округ, Орлиновский муниципальный округ, Терновский муниципальный округ.</w:t>
      </w:r>
    </w:p>
    <w:p>
      <w:pPr>
        <w:pStyle w:val="0"/>
        <w:ind w:firstLine="540"/>
        <w:jc w:val="both"/>
      </w:pPr>
      <w:r>
        <w:rPr>
          <w:sz w:val="20"/>
        </w:rPr>
      </w:r>
    </w:p>
    <w:p>
      <w:pPr>
        <w:pStyle w:val="2"/>
        <w:outlineLvl w:val="4"/>
        <w:jc w:val="center"/>
      </w:pPr>
      <w:r>
        <w:rPr>
          <w:sz w:val="20"/>
        </w:rPr>
        <w:t xml:space="preserve">2.1.1. Анализ социально-экономической ситуации в субъекте</w:t>
      </w:r>
    </w:p>
    <w:p>
      <w:pPr>
        <w:pStyle w:val="2"/>
        <w:jc w:val="center"/>
      </w:pPr>
      <w:r>
        <w:rPr>
          <w:sz w:val="20"/>
        </w:rPr>
        <w:t xml:space="preserve">Российской Федерации</w:t>
      </w:r>
    </w:p>
    <w:p>
      <w:pPr>
        <w:pStyle w:val="0"/>
        <w:jc w:val="center"/>
      </w:pPr>
      <w:r>
        <w:rPr>
          <w:sz w:val="20"/>
        </w:rPr>
      </w:r>
    </w:p>
    <w:p>
      <w:pPr>
        <w:pStyle w:val="0"/>
        <w:ind w:firstLine="540"/>
        <w:jc w:val="both"/>
      </w:pPr>
      <w:r>
        <w:rPr>
          <w:sz w:val="20"/>
        </w:rPr>
        <w:t xml:space="preserve">Структура валового регионального продукта в городе Севастополе на протяжении нескольких лет остается практически неизменной. Наибольший удельный вес стабильно занимает деятельность по операциям с недвижимым имуществом - 26,3%.</w:t>
      </w:r>
    </w:p>
    <w:p>
      <w:pPr>
        <w:pStyle w:val="0"/>
        <w:spacing w:before="200" w:line-rule="auto"/>
        <w:ind w:firstLine="540"/>
        <w:jc w:val="both"/>
      </w:pPr>
      <w:r>
        <w:rPr>
          <w:sz w:val="20"/>
        </w:rPr>
        <w:t xml:space="preserve">Промышленное производство в январе - декабре 2020 г. уменьшилось на 4,7% по сравнению с соответствующим периодом 2019 года (по Российской Федерации - снижение на 2,9%).</w:t>
      </w:r>
    </w:p>
    <w:p>
      <w:pPr>
        <w:pStyle w:val="0"/>
        <w:spacing w:before="200" w:line-rule="auto"/>
        <w:ind w:firstLine="540"/>
        <w:jc w:val="both"/>
      </w:pPr>
      <w:r>
        <w:rPr>
          <w:sz w:val="20"/>
        </w:rPr>
        <w:t xml:space="preserve">В обрабатывающей промышленности в целом производство уменьшилось на 6,0%. Рост отмечен в производстве прочей неметаллической минеральной продукции - в 4,9 раза, резиновых и пластмассовых изделий - в 4,0 раза, бумаги и бумажных изделий в 3,9 раза, прочих готовых изделий - на 32,5%, мебели - на 19,3%, пищевых продуктов - на 12,6%; деятельности полиграфической и копировании носителей информации - на 13,0%; других.</w:t>
      </w:r>
    </w:p>
    <w:p>
      <w:pPr>
        <w:pStyle w:val="0"/>
        <w:spacing w:before="200" w:line-rule="auto"/>
        <w:ind w:firstLine="540"/>
        <w:jc w:val="both"/>
      </w:pPr>
      <w:r>
        <w:rPr>
          <w:sz w:val="20"/>
        </w:rPr>
        <w:t xml:space="preserve">За январь - декабрь 2020 г. производство продукции сельского хозяйства в сопоставимых ценах по отношению к соответствующему периоду 2019 года уменьшилось на 13,7%. По предварительной оценке, объем производства продукции сельского хозяйства всех сельхозпроизводителей в действующих ценах составил 2737,9 млн руб.</w:t>
      </w:r>
    </w:p>
    <w:p>
      <w:pPr>
        <w:pStyle w:val="0"/>
        <w:spacing w:before="200" w:line-rule="auto"/>
        <w:ind w:firstLine="540"/>
        <w:jc w:val="both"/>
      </w:pPr>
      <w:r>
        <w:rPr>
          <w:sz w:val="20"/>
        </w:rPr>
        <w:t xml:space="preserve">В январе - декабре 2020 г. объем работ, выполненных хозяйственным способом предприятиями и организациями по виду деятельности "Строительство", составил 8659,2 млн руб., или 44% в сопоставимых ценах к соответствующему периоду предыдущего года.</w:t>
      </w:r>
    </w:p>
    <w:p>
      <w:pPr>
        <w:pStyle w:val="0"/>
        <w:spacing w:before="200" w:line-rule="auto"/>
        <w:ind w:firstLine="540"/>
        <w:jc w:val="both"/>
      </w:pPr>
      <w:r>
        <w:rPr>
          <w:sz w:val="20"/>
        </w:rPr>
        <w:t xml:space="preserve">Внешнеторговый оборот города Севастополя по данным таможенной статистики внешней торговли с учетом данных взаимной торговли в январе - декабре 2020 г. составил 9803,7 тыс. долларов США (на 22,4% меньше, чем в аналогичном периоде 2019 года).</w:t>
      </w:r>
    </w:p>
    <w:p>
      <w:pPr>
        <w:pStyle w:val="0"/>
        <w:spacing w:before="200" w:line-rule="auto"/>
        <w:ind w:firstLine="540"/>
        <w:jc w:val="both"/>
      </w:pPr>
      <w:r>
        <w:rPr>
          <w:sz w:val="20"/>
        </w:rPr>
        <w:t xml:space="preserve">Величина прожиточного минимума за IV квартал 2020 г. в расчете на душу населения, установленная </w:t>
      </w:r>
      <w:hyperlink w:history="0" r:id="rId690" w:tooltip="Постановление Правительства Севастополя от 18.02.2021 N 48-ПП &quot;Об установлении величины прожиточного минимума на душу населения и по основным социально-демографическим группам населения в городе Севастополе за III квартал 2020 г. и IV квартал 2020 г.&quot; {КонсультантПлюс}">
        <w:r>
          <w:rPr>
            <w:sz w:val="20"/>
            <w:color w:val="0000ff"/>
          </w:rPr>
          <w:t xml:space="preserve">постановлением</w:t>
        </w:r>
      </w:hyperlink>
      <w:r>
        <w:rPr>
          <w:sz w:val="20"/>
        </w:rPr>
        <w:t xml:space="preserve"> Правительства Севастополя от 18.02.2021 N 48-ПП, составила 11396 руб., в том числе: для трудоспособного населения - 12201 руб.; пенсионеров - 9360 руб.; детей - 12113 руб.</w:t>
      </w:r>
    </w:p>
    <w:p>
      <w:pPr>
        <w:pStyle w:val="0"/>
        <w:spacing w:before="200" w:line-rule="auto"/>
        <w:ind w:firstLine="540"/>
        <w:jc w:val="both"/>
      </w:pPr>
      <w:r>
        <w:rPr>
          <w:sz w:val="20"/>
        </w:rPr>
        <w:t xml:space="preserve">По оценке:</w:t>
      </w:r>
    </w:p>
    <w:p>
      <w:pPr>
        <w:pStyle w:val="0"/>
        <w:spacing w:before="200" w:line-rule="auto"/>
        <w:ind w:firstLine="540"/>
        <w:jc w:val="both"/>
      </w:pPr>
      <w:r>
        <w:rPr>
          <w:sz w:val="20"/>
        </w:rPr>
        <w:t xml:space="preserve">- среднедушевые денежные доходы населения за 2020 год составили 31237 руб. в месяц, что на 3,4% больше, чем за 2019 год;</w:t>
      </w:r>
    </w:p>
    <w:p>
      <w:pPr>
        <w:pStyle w:val="0"/>
        <w:spacing w:before="200" w:line-rule="auto"/>
        <w:ind w:firstLine="540"/>
        <w:jc w:val="both"/>
      </w:pPr>
      <w:r>
        <w:rPr>
          <w:sz w:val="20"/>
        </w:rPr>
        <w:t xml:space="preserve">- реальные денежные доходы населения за 2020 год по сравнению с 2019 годом увеличились на 0,7%;</w:t>
      </w:r>
    </w:p>
    <w:p>
      <w:pPr>
        <w:pStyle w:val="0"/>
        <w:spacing w:before="200" w:line-rule="auto"/>
        <w:ind w:firstLine="540"/>
        <w:jc w:val="both"/>
      </w:pPr>
      <w:r>
        <w:rPr>
          <w:sz w:val="20"/>
        </w:rPr>
        <w:t xml:space="preserve">- реальные располагаемые денежные доходы (доходы за вычетом обязательных платежей, скорректированные на индекс потребительских цен) за 2020 год по сравнению с 2019 годом увеличились на 1,0%.</w:t>
      </w:r>
    </w:p>
    <w:p>
      <w:pPr>
        <w:pStyle w:val="0"/>
        <w:spacing w:before="200" w:line-rule="auto"/>
        <w:ind w:firstLine="540"/>
        <w:jc w:val="both"/>
      </w:pPr>
      <w:r>
        <w:rPr>
          <w:sz w:val="20"/>
        </w:rPr>
        <w:t xml:space="preserve">На 01.01.2021 на учете в органах ПФР г. Севастополя состояло 121,4 тыс. получателей пенсии (на 0,2% больше, чем на 01.01.2020). Средний размер пенсионной выплаты составил 15203,24 руб. (больше на 5,0%).</w:t>
      </w:r>
    </w:p>
    <w:p>
      <w:pPr>
        <w:pStyle w:val="0"/>
        <w:spacing w:before="200" w:line-rule="auto"/>
        <w:ind w:firstLine="540"/>
        <w:jc w:val="both"/>
      </w:pPr>
      <w:r>
        <w:rPr>
          <w:sz w:val="20"/>
        </w:rPr>
        <w:t xml:space="preserve">Федеральным </w:t>
      </w:r>
      <w:hyperlink w:history="0" r:id="rId691" w:tooltip="Федеральный закон от 27.12.2019 N 463-ФЗ &quot;О внесении изменений в статью 1 Федерального закона &quot;О минимальном размере оплаты труда&quot; {КонсультантПлюс}">
        <w:r>
          <w:rPr>
            <w:sz w:val="20"/>
            <w:color w:val="0000ff"/>
          </w:rPr>
          <w:t xml:space="preserve">законом</w:t>
        </w:r>
      </w:hyperlink>
      <w:r>
        <w:rPr>
          <w:sz w:val="20"/>
        </w:rPr>
        <w:t xml:space="preserve"> от 27.12.2019 N 463-ФЗ "О внесении изменений в статью 1 Федерального закона "О минимальном размере оплаты труда" установлен минимальный размер оплаты труда с 1 января 2020 г. в сумме 12130 руб. в месяц.</w:t>
      </w:r>
    </w:p>
    <w:p>
      <w:pPr>
        <w:pStyle w:val="0"/>
        <w:spacing w:before="200" w:line-rule="auto"/>
        <w:ind w:firstLine="540"/>
        <w:jc w:val="both"/>
      </w:pPr>
      <w:r>
        <w:rPr>
          <w:sz w:val="20"/>
        </w:rPr>
        <w:t xml:space="preserve">В январе - декабре 2020 г. среднемесячная номинальная начисленная заработная плата по видам экономической деятельности по полному кругу организаций сложилась в размере 35527 руб. (на 2,6% больше, чем в сопоставимом периоде 2019 года).</w:t>
      </w:r>
    </w:p>
    <w:p>
      <w:pPr>
        <w:pStyle w:val="0"/>
        <w:ind w:firstLine="540"/>
        <w:jc w:val="both"/>
      </w:pPr>
      <w:r>
        <w:rPr>
          <w:sz w:val="20"/>
        </w:rPr>
      </w:r>
    </w:p>
    <w:p>
      <w:pPr>
        <w:pStyle w:val="2"/>
        <w:outlineLvl w:val="4"/>
        <w:jc w:val="center"/>
      </w:pPr>
      <w:r>
        <w:rPr>
          <w:sz w:val="20"/>
        </w:rPr>
        <w:t xml:space="preserve">2.1.2. Анализ демографической ситуации</w:t>
      </w:r>
    </w:p>
    <w:p>
      <w:pPr>
        <w:pStyle w:val="0"/>
        <w:jc w:val="center"/>
      </w:pPr>
      <w:r>
        <w:rPr>
          <w:sz w:val="20"/>
        </w:rPr>
      </w:r>
    </w:p>
    <w:p>
      <w:pPr>
        <w:pStyle w:val="0"/>
        <w:ind w:firstLine="540"/>
        <w:jc w:val="both"/>
      </w:pPr>
      <w:r>
        <w:rPr>
          <w:sz w:val="20"/>
        </w:rPr>
        <w:t xml:space="preserve">Демографическую ситуацию в городе Севастополе, сложившуюся в последние годы, можно охарактеризовать как напряженную. На протяжении последних лет показатель смертности превышает показатель рождаемости. Особенностью демографического процесса развития в городе Севастополе является старение населения, вследствие чего сокращается удельный вес трудоспособного населения (с 1990 года уменьшился на 10,3%) и увеличивается количество населения пенсионного возраста на 56%. Такой возрастной состав жителей объясняется процессами миграции населения нетрудоспособного возраста из субъектов Российской Федерации с суровыми климатическим условиями после выхода на пенсию в город Севастополь с благоприятными климатическими условиями.</w:t>
      </w:r>
    </w:p>
    <w:p>
      <w:pPr>
        <w:pStyle w:val="0"/>
        <w:spacing w:before="200" w:line-rule="auto"/>
        <w:ind w:firstLine="540"/>
        <w:jc w:val="both"/>
      </w:pPr>
      <w:r>
        <w:rPr>
          <w:sz w:val="20"/>
        </w:rPr>
        <w:t xml:space="preserve">Численность населения города Севастополя на 01.01.2020 - 449,138 тыс. человек (по данным Росстата), в том числе детей 0 - 17 лет - 83,460 тыс. человек.</w:t>
      </w:r>
    </w:p>
    <w:p>
      <w:pPr>
        <w:pStyle w:val="0"/>
        <w:spacing w:before="200" w:line-rule="auto"/>
        <w:ind w:firstLine="540"/>
        <w:jc w:val="both"/>
      </w:pPr>
      <w:r>
        <w:rPr>
          <w:sz w:val="20"/>
        </w:rPr>
        <w:t xml:space="preserve">За 2020 год родилось 4225 человек, показатель рождаемости составил 9,43 на 1000 населения, что на 2,2% ниже уровня 2019 года (9,64 на 1000 населения) и ниже уровня 2018 года (10,3 на 1000 населения).</w:t>
      </w:r>
    </w:p>
    <w:p>
      <w:pPr>
        <w:pStyle w:val="0"/>
        <w:spacing w:before="200" w:line-rule="auto"/>
        <w:ind w:firstLine="540"/>
        <w:jc w:val="both"/>
      </w:pPr>
      <w:r>
        <w:rPr>
          <w:sz w:val="20"/>
        </w:rPr>
        <w:t xml:space="preserve">Умерло в 2020 году 6246 человек, показатель смертности составил 13,94 на 1000 населения, что на 6% выше уровня 2019 года (13,14 на 1000 населения) и выше уровня 2018 года (12,4 на 1000 населения).</w:t>
      </w:r>
    </w:p>
    <w:p>
      <w:pPr>
        <w:pStyle w:val="0"/>
        <w:spacing w:before="200" w:line-rule="auto"/>
        <w:ind w:firstLine="540"/>
        <w:jc w:val="both"/>
      </w:pPr>
      <w:r>
        <w:rPr>
          <w:sz w:val="20"/>
        </w:rPr>
        <w:t xml:space="preserve">Показатели миграционного прироста за 2020 год составили 7935 человек, что на 25,2% выше уровня 2019 года.</w:t>
      </w:r>
    </w:p>
    <w:p>
      <w:pPr>
        <w:pStyle w:val="0"/>
        <w:spacing w:before="200" w:line-rule="auto"/>
        <w:ind w:firstLine="540"/>
        <w:jc w:val="both"/>
      </w:pPr>
      <w:r>
        <w:rPr>
          <w:sz w:val="20"/>
        </w:rPr>
        <w:t xml:space="preserve">Ожидаемая продолжительность жизни населения города Севастополя представлена в </w:t>
      </w:r>
      <w:hyperlink w:history="0" w:anchor="P27627" w:tooltip="Таблица N 1">
        <w:r>
          <w:rPr>
            <w:sz w:val="20"/>
            <w:color w:val="0000ff"/>
          </w:rPr>
          <w:t xml:space="preserve">таблице N 1</w:t>
        </w:r>
      </w:hyperlink>
      <w:r>
        <w:rPr>
          <w:sz w:val="20"/>
        </w:rPr>
        <w:t xml:space="preserve">.</w:t>
      </w:r>
    </w:p>
    <w:p>
      <w:pPr>
        <w:pStyle w:val="0"/>
        <w:jc w:val="right"/>
      </w:pPr>
      <w:r>
        <w:rPr>
          <w:sz w:val="20"/>
        </w:rPr>
      </w:r>
    </w:p>
    <w:bookmarkStart w:id="27627" w:name="P27627"/>
    <w:bookmarkEnd w:id="27627"/>
    <w:p>
      <w:pPr>
        <w:pStyle w:val="0"/>
        <w:jc w:val="right"/>
      </w:pPr>
      <w:r>
        <w:rPr>
          <w:sz w:val="20"/>
        </w:rPr>
        <w:t xml:space="preserve">Таблица N 1</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2551"/>
        <w:gridCol w:w="2551"/>
        <w:gridCol w:w="2551"/>
      </w:tblGrid>
      <w:tr>
        <w:tc>
          <w:tcPr>
            <w:tcW w:w="1417" w:type="dxa"/>
          </w:tcPr>
          <w:p>
            <w:pPr>
              <w:pStyle w:val="0"/>
              <w:jc w:val="center"/>
            </w:pPr>
            <w:r>
              <w:rPr>
                <w:sz w:val="20"/>
              </w:rPr>
              <w:t xml:space="preserve">Годы</w:t>
            </w:r>
          </w:p>
        </w:tc>
        <w:tc>
          <w:tcPr>
            <w:gridSpan w:val="3"/>
            <w:tcW w:w="7653" w:type="dxa"/>
          </w:tcPr>
          <w:p>
            <w:pPr>
              <w:pStyle w:val="0"/>
              <w:jc w:val="center"/>
            </w:pPr>
            <w:r>
              <w:rPr>
                <w:sz w:val="20"/>
              </w:rPr>
              <w:t xml:space="preserve">Ожидаемая продолжительность жизни, лет</w:t>
            </w:r>
          </w:p>
        </w:tc>
      </w:tr>
      <w:tr>
        <w:tc>
          <w:tcPr>
            <w:tcW w:w="1417" w:type="dxa"/>
          </w:tcPr>
          <w:p>
            <w:pPr>
              <w:pStyle w:val="0"/>
              <w:jc w:val="center"/>
            </w:pPr>
            <w:r>
              <w:rPr>
                <w:sz w:val="20"/>
              </w:rPr>
            </w:r>
          </w:p>
        </w:tc>
        <w:tc>
          <w:tcPr>
            <w:tcW w:w="2551" w:type="dxa"/>
          </w:tcPr>
          <w:p>
            <w:pPr>
              <w:pStyle w:val="0"/>
              <w:jc w:val="center"/>
            </w:pPr>
            <w:r>
              <w:rPr>
                <w:sz w:val="20"/>
              </w:rPr>
              <w:t xml:space="preserve">мужчины и женщины</w:t>
            </w:r>
          </w:p>
        </w:tc>
        <w:tc>
          <w:tcPr>
            <w:tcW w:w="2551" w:type="dxa"/>
          </w:tcPr>
          <w:p>
            <w:pPr>
              <w:pStyle w:val="0"/>
              <w:jc w:val="center"/>
            </w:pPr>
            <w:r>
              <w:rPr>
                <w:sz w:val="20"/>
              </w:rPr>
              <w:t xml:space="preserve">мужчины</w:t>
            </w:r>
          </w:p>
        </w:tc>
        <w:tc>
          <w:tcPr>
            <w:tcW w:w="2551" w:type="dxa"/>
          </w:tcPr>
          <w:p>
            <w:pPr>
              <w:pStyle w:val="0"/>
              <w:jc w:val="center"/>
            </w:pPr>
            <w:r>
              <w:rPr>
                <w:sz w:val="20"/>
              </w:rPr>
              <w:t xml:space="preserve">женщины</w:t>
            </w:r>
          </w:p>
        </w:tc>
      </w:tr>
      <w:tr>
        <w:tc>
          <w:tcPr>
            <w:tcW w:w="1417" w:type="dxa"/>
          </w:tcPr>
          <w:p>
            <w:pPr>
              <w:pStyle w:val="0"/>
              <w:jc w:val="center"/>
            </w:pPr>
            <w:r>
              <w:rPr>
                <w:sz w:val="20"/>
              </w:rPr>
              <w:t xml:space="preserve">2019</w:t>
            </w:r>
          </w:p>
        </w:tc>
        <w:tc>
          <w:tcPr>
            <w:tcW w:w="2551" w:type="dxa"/>
          </w:tcPr>
          <w:p>
            <w:pPr>
              <w:pStyle w:val="0"/>
              <w:jc w:val="center"/>
            </w:pPr>
            <w:r>
              <w:rPr>
                <w:sz w:val="20"/>
              </w:rPr>
              <w:t xml:space="preserve">74,5</w:t>
            </w:r>
          </w:p>
        </w:tc>
        <w:tc>
          <w:tcPr>
            <w:tcW w:w="2551" w:type="dxa"/>
          </w:tcPr>
          <w:p>
            <w:pPr>
              <w:pStyle w:val="0"/>
              <w:jc w:val="center"/>
            </w:pPr>
            <w:r>
              <w:rPr>
                <w:sz w:val="20"/>
              </w:rPr>
              <w:t xml:space="preserve">69,79</w:t>
            </w:r>
          </w:p>
        </w:tc>
        <w:tc>
          <w:tcPr>
            <w:tcW w:w="2551" w:type="dxa"/>
          </w:tcPr>
          <w:p>
            <w:pPr>
              <w:pStyle w:val="0"/>
              <w:jc w:val="center"/>
            </w:pPr>
            <w:r>
              <w:rPr>
                <w:sz w:val="20"/>
              </w:rPr>
              <w:t xml:space="preserve">78,88</w:t>
            </w:r>
          </w:p>
        </w:tc>
      </w:tr>
      <w:tr>
        <w:tc>
          <w:tcPr>
            <w:tcW w:w="1417" w:type="dxa"/>
          </w:tcPr>
          <w:p>
            <w:pPr>
              <w:pStyle w:val="0"/>
              <w:jc w:val="center"/>
            </w:pPr>
            <w:r>
              <w:rPr>
                <w:sz w:val="20"/>
              </w:rPr>
              <w:t xml:space="preserve">2020</w:t>
            </w:r>
          </w:p>
        </w:tc>
        <w:tc>
          <w:tcPr>
            <w:tcW w:w="2551" w:type="dxa"/>
          </w:tcPr>
          <w:p>
            <w:pPr>
              <w:pStyle w:val="0"/>
              <w:jc w:val="center"/>
            </w:pPr>
            <w:r>
              <w:rPr>
                <w:sz w:val="20"/>
              </w:rPr>
              <w:t xml:space="preserve">75,23</w:t>
            </w:r>
          </w:p>
        </w:tc>
        <w:tc>
          <w:tcPr>
            <w:tcW w:w="2551" w:type="dxa"/>
          </w:tcPr>
          <w:p>
            <w:pPr>
              <w:pStyle w:val="0"/>
              <w:jc w:val="center"/>
            </w:pPr>
            <w:r>
              <w:rPr>
                <w:sz w:val="20"/>
              </w:rPr>
              <w:t xml:space="preserve">70,67</w:t>
            </w:r>
          </w:p>
        </w:tc>
        <w:tc>
          <w:tcPr>
            <w:tcW w:w="2551" w:type="dxa"/>
          </w:tcPr>
          <w:p>
            <w:pPr>
              <w:pStyle w:val="0"/>
              <w:jc w:val="center"/>
            </w:pPr>
            <w:r>
              <w:rPr>
                <w:sz w:val="20"/>
              </w:rPr>
              <w:t xml:space="preserve">79,53</w:t>
            </w:r>
          </w:p>
        </w:tc>
      </w:tr>
      <w:tr>
        <w:tc>
          <w:tcPr>
            <w:tcW w:w="1417" w:type="dxa"/>
          </w:tcPr>
          <w:p>
            <w:pPr>
              <w:pStyle w:val="0"/>
              <w:jc w:val="center"/>
            </w:pPr>
            <w:r>
              <w:rPr>
                <w:sz w:val="20"/>
              </w:rPr>
              <w:t xml:space="preserve">2021 &lt;*&gt;</w:t>
            </w:r>
          </w:p>
        </w:tc>
        <w:tc>
          <w:tcPr>
            <w:tcW w:w="2551" w:type="dxa"/>
          </w:tcPr>
          <w:p>
            <w:pPr>
              <w:pStyle w:val="0"/>
              <w:jc w:val="center"/>
            </w:pPr>
            <w:r>
              <w:rPr>
                <w:sz w:val="20"/>
              </w:rPr>
              <w:t xml:space="preserve">76,05</w:t>
            </w:r>
          </w:p>
        </w:tc>
        <w:tc>
          <w:tcPr>
            <w:tcW w:w="2551" w:type="dxa"/>
          </w:tcPr>
          <w:p>
            <w:pPr>
              <w:pStyle w:val="0"/>
              <w:jc w:val="center"/>
            </w:pPr>
            <w:r>
              <w:rPr>
                <w:sz w:val="20"/>
              </w:rPr>
              <w:t xml:space="preserve">71,59</w:t>
            </w:r>
          </w:p>
        </w:tc>
        <w:tc>
          <w:tcPr>
            <w:tcW w:w="2551" w:type="dxa"/>
          </w:tcPr>
          <w:p>
            <w:pPr>
              <w:pStyle w:val="0"/>
              <w:jc w:val="center"/>
            </w:pPr>
            <w:r>
              <w:rPr>
                <w:sz w:val="20"/>
              </w:rPr>
              <w:t xml:space="preserve">80,21</w:t>
            </w:r>
          </w:p>
        </w:tc>
      </w:tr>
      <w:tr>
        <w:tc>
          <w:tcPr>
            <w:tcW w:w="1417" w:type="dxa"/>
          </w:tcPr>
          <w:p>
            <w:pPr>
              <w:pStyle w:val="0"/>
              <w:jc w:val="center"/>
            </w:pPr>
            <w:r>
              <w:rPr>
                <w:sz w:val="20"/>
              </w:rPr>
              <w:t xml:space="preserve">2022 &lt;*&gt;</w:t>
            </w:r>
          </w:p>
        </w:tc>
        <w:tc>
          <w:tcPr>
            <w:tcW w:w="2551" w:type="dxa"/>
          </w:tcPr>
          <w:p>
            <w:pPr>
              <w:pStyle w:val="0"/>
              <w:jc w:val="center"/>
            </w:pPr>
            <w:r>
              <w:rPr>
                <w:sz w:val="20"/>
              </w:rPr>
              <w:t xml:space="preserve">76,89</w:t>
            </w:r>
          </w:p>
        </w:tc>
        <w:tc>
          <w:tcPr>
            <w:tcW w:w="2551" w:type="dxa"/>
          </w:tcPr>
          <w:p>
            <w:pPr>
              <w:pStyle w:val="0"/>
              <w:jc w:val="center"/>
            </w:pPr>
            <w:r>
              <w:rPr>
                <w:sz w:val="20"/>
              </w:rPr>
              <w:t xml:space="preserve">72,53</w:t>
            </w:r>
          </w:p>
        </w:tc>
        <w:tc>
          <w:tcPr>
            <w:tcW w:w="2551" w:type="dxa"/>
          </w:tcPr>
          <w:p>
            <w:pPr>
              <w:pStyle w:val="0"/>
              <w:jc w:val="center"/>
            </w:pPr>
            <w:r>
              <w:rPr>
                <w:sz w:val="20"/>
              </w:rPr>
              <w:t xml:space="preserve">80,90</w:t>
            </w:r>
          </w:p>
        </w:tc>
      </w:tr>
      <w:tr>
        <w:tc>
          <w:tcPr>
            <w:tcW w:w="1417" w:type="dxa"/>
          </w:tcPr>
          <w:p>
            <w:pPr>
              <w:pStyle w:val="0"/>
              <w:jc w:val="center"/>
            </w:pPr>
            <w:r>
              <w:rPr>
                <w:sz w:val="20"/>
              </w:rPr>
              <w:t xml:space="preserve">2023 &lt;*&gt;</w:t>
            </w:r>
          </w:p>
        </w:tc>
        <w:tc>
          <w:tcPr>
            <w:tcW w:w="2551" w:type="dxa"/>
          </w:tcPr>
          <w:p>
            <w:pPr>
              <w:pStyle w:val="0"/>
              <w:jc w:val="center"/>
            </w:pPr>
            <w:r>
              <w:rPr>
                <w:sz w:val="20"/>
              </w:rPr>
              <w:t xml:space="preserve">77,70</w:t>
            </w:r>
          </w:p>
        </w:tc>
        <w:tc>
          <w:tcPr>
            <w:tcW w:w="2551" w:type="dxa"/>
          </w:tcPr>
          <w:p>
            <w:pPr>
              <w:pStyle w:val="0"/>
              <w:jc w:val="center"/>
            </w:pPr>
            <w:r>
              <w:rPr>
                <w:sz w:val="20"/>
              </w:rPr>
              <w:t xml:space="preserve">73,45</w:t>
            </w:r>
          </w:p>
        </w:tc>
        <w:tc>
          <w:tcPr>
            <w:tcW w:w="2551" w:type="dxa"/>
          </w:tcPr>
          <w:p>
            <w:pPr>
              <w:pStyle w:val="0"/>
              <w:jc w:val="center"/>
            </w:pPr>
            <w:r>
              <w:rPr>
                <w:sz w:val="20"/>
              </w:rPr>
              <w:t xml:space="preserve">81,63</w:t>
            </w:r>
          </w:p>
        </w:tc>
      </w:tr>
      <w:tr>
        <w:tc>
          <w:tcPr>
            <w:tcW w:w="1417" w:type="dxa"/>
          </w:tcPr>
          <w:p>
            <w:pPr>
              <w:pStyle w:val="0"/>
              <w:jc w:val="center"/>
            </w:pPr>
            <w:r>
              <w:rPr>
                <w:sz w:val="20"/>
              </w:rPr>
              <w:t xml:space="preserve">2024 &lt;*&gt;</w:t>
            </w:r>
          </w:p>
        </w:tc>
        <w:tc>
          <w:tcPr>
            <w:tcW w:w="2551" w:type="dxa"/>
          </w:tcPr>
          <w:p>
            <w:pPr>
              <w:pStyle w:val="0"/>
              <w:jc w:val="center"/>
            </w:pPr>
            <w:r>
              <w:rPr>
                <w:sz w:val="20"/>
              </w:rPr>
              <w:t xml:space="preserve">78,44</w:t>
            </w:r>
          </w:p>
        </w:tc>
        <w:tc>
          <w:tcPr>
            <w:tcW w:w="2551" w:type="dxa"/>
          </w:tcPr>
          <w:p>
            <w:pPr>
              <w:pStyle w:val="0"/>
              <w:jc w:val="center"/>
            </w:pPr>
            <w:r>
              <w:rPr>
                <w:sz w:val="20"/>
              </w:rPr>
              <w:t xml:space="preserve">74,35</w:t>
            </w:r>
          </w:p>
        </w:tc>
        <w:tc>
          <w:tcPr>
            <w:tcW w:w="2551" w:type="dxa"/>
          </w:tcPr>
          <w:p>
            <w:pPr>
              <w:pStyle w:val="0"/>
              <w:jc w:val="center"/>
            </w:pPr>
            <w:r>
              <w:rPr>
                <w:sz w:val="20"/>
              </w:rPr>
              <w:t xml:space="preserve">82,27</w:t>
            </w:r>
          </w:p>
        </w:tc>
      </w:tr>
    </w:tbl>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По прогнозам Федеральной службы статистики.</w:t>
      </w:r>
    </w:p>
    <w:p>
      <w:pPr>
        <w:pStyle w:val="0"/>
        <w:jc w:val="both"/>
      </w:pPr>
      <w:r>
        <w:rPr>
          <w:sz w:val="20"/>
        </w:rPr>
      </w:r>
    </w:p>
    <w:p>
      <w:pPr>
        <w:pStyle w:val="0"/>
        <w:ind w:firstLine="540"/>
        <w:jc w:val="both"/>
      </w:pPr>
      <w:r>
        <w:rPr>
          <w:sz w:val="20"/>
        </w:rPr>
        <w:t xml:space="preserve">В структуре причин общей смертности первые три места занимают как по Российской Федерации, так и в городе Севастополе болезни системы кровообращения (54,9%), новообразования (18%) и внешние причины (6%).</w:t>
      </w:r>
    </w:p>
    <w:p>
      <w:pPr>
        <w:pStyle w:val="0"/>
        <w:spacing w:before="200" w:line-rule="auto"/>
        <w:ind w:firstLine="540"/>
        <w:jc w:val="both"/>
      </w:pPr>
      <w:r>
        <w:rPr>
          <w:sz w:val="20"/>
        </w:rPr>
        <w:t xml:space="preserve">Показатели смертности по классу БСК представлены в </w:t>
      </w:r>
      <w:hyperlink w:history="0" w:anchor="P27666" w:tooltip="Таблица N 2">
        <w:r>
          <w:rPr>
            <w:sz w:val="20"/>
            <w:color w:val="0000ff"/>
          </w:rPr>
          <w:t xml:space="preserve">таблице N 2</w:t>
        </w:r>
      </w:hyperlink>
      <w:r>
        <w:rPr>
          <w:sz w:val="20"/>
        </w:rPr>
        <w:t xml:space="preserve">.</w:t>
      </w:r>
    </w:p>
    <w:p>
      <w:pPr>
        <w:pStyle w:val="0"/>
        <w:jc w:val="right"/>
      </w:pPr>
      <w:r>
        <w:rPr>
          <w:sz w:val="20"/>
        </w:rPr>
      </w:r>
    </w:p>
    <w:bookmarkStart w:id="27666" w:name="P27666"/>
    <w:bookmarkEnd w:id="27666"/>
    <w:p>
      <w:pPr>
        <w:pStyle w:val="0"/>
        <w:jc w:val="right"/>
      </w:pPr>
      <w:r>
        <w:rPr>
          <w:sz w:val="20"/>
        </w:rPr>
        <w:t xml:space="preserve">Таблица N 2</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737"/>
        <w:gridCol w:w="850"/>
        <w:gridCol w:w="737"/>
        <w:gridCol w:w="850"/>
        <w:gridCol w:w="737"/>
        <w:gridCol w:w="850"/>
        <w:gridCol w:w="737"/>
        <w:gridCol w:w="850"/>
      </w:tblGrid>
      <w:tr>
        <w:tc>
          <w:tcPr>
            <w:tcW w:w="2721" w:type="dxa"/>
            <w:vMerge w:val="restart"/>
          </w:tcPr>
          <w:p>
            <w:pPr>
              <w:pStyle w:val="0"/>
              <w:jc w:val="center"/>
            </w:pPr>
            <w:r>
              <w:rPr>
                <w:sz w:val="20"/>
              </w:rPr>
              <w:t xml:space="preserve">Болезни системы кровообращения</w:t>
            </w:r>
          </w:p>
        </w:tc>
        <w:tc>
          <w:tcPr>
            <w:gridSpan w:val="8"/>
            <w:tcW w:w="6348" w:type="dxa"/>
          </w:tcPr>
          <w:p>
            <w:pPr>
              <w:pStyle w:val="0"/>
              <w:jc w:val="center"/>
            </w:pPr>
            <w:r>
              <w:rPr>
                <w:sz w:val="20"/>
              </w:rPr>
              <w:t xml:space="preserve">Показатели смертности по классу болезней системы кровообращения</w:t>
            </w:r>
          </w:p>
        </w:tc>
      </w:tr>
      <w:tr>
        <w:tc>
          <w:tcPr>
            <w:vMerge w:val="continue"/>
          </w:tcPr>
          <w:p/>
        </w:tc>
        <w:tc>
          <w:tcPr>
            <w:gridSpan w:val="2"/>
            <w:tcW w:w="1587" w:type="dxa"/>
          </w:tcPr>
          <w:p>
            <w:pPr>
              <w:pStyle w:val="0"/>
              <w:jc w:val="center"/>
            </w:pPr>
            <w:r>
              <w:rPr>
                <w:sz w:val="20"/>
              </w:rPr>
              <w:t xml:space="preserve">2018</w:t>
            </w:r>
          </w:p>
        </w:tc>
        <w:tc>
          <w:tcPr>
            <w:gridSpan w:val="2"/>
            <w:tcW w:w="1587" w:type="dxa"/>
          </w:tcPr>
          <w:p>
            <w:pPr>
              <w:pStyle w:val="0"/>
              <w:jc w:val="center"/>
            </w:pPr>
            <w:r>
              <w:rPr>
                <w:sz w:val="20"/>
              </w:rPr>
              <w:t xml:space="preserve">2019</w:t>
            </w:r>
          </w:p>
        </w:tc>
        <w:tc>
          <w:tcPr>
            <w:gridSpan w:val="2"/>
            <w:tcW w:w="1587" w:type="dxa"/>
          </w:tcPr>
          <w:p>
            <w:pPr>
              <w:pStyle w:val="0"/>
              <w:jc w:val="center"/>
            </w:pPr>
            <w:r>
              <w:rPr>
                <w:sz w:val="20"/>
              </w:rPr>
              <w:t xml:space="preserve">2020</w:t>
            </w:r>
          </w:p>
        </w:tc>
        <w:tc>
          <w:tcPr>
            <w:gridSpan w:val="2"/>
            <w:tcW w:w="1587" w:type="dxa"/>
          </w:tcPr>
          <w:p>
            <w:pPr>
              <w:pStyle w:val="0"/>
              <w:jc w:val="center"/>
            </w:pPr>
            <w:r>
              <w:rPr>
                <w:sz w:val="20"/>
              </w:rPr>
              <w:t xml:space="preserve">динамика 2020 к 2019</w:t>
            </w:r>
          </w:p>
        </w:tc>
      </w:tr>
      <w:tr>
        <w:tc>
          <w:tcPr>
            <w:vMerge w:val="continue"/>
          </w:tcPr>
          <w:p/>
        </w:tc>
        <w:tc>
          <w:tcPr>
            <w:tcW w:w="737" w:type="dxa"/>
          </w:tcPr>
          <w:p>
            <w:pPr>
              <w:pStyle w:val="0"/>
              <w:jc w:val="center"/>
            </w:pPr>
            <w:r>
              <w:rPr>
                <w:sz w:val="20"/>
              </w:rPr>
              <w:t xml:space="preserve">абс. чис.</w:t>
            </w:r>
          </w:p>
        </w:tc>
        <w:tc>
          <w:tcPr>
            <w:tcW w:w="850" w:type="dxa"/>
          </w:tcPr>
          <w:p>
            <w:pPr>
              <w:pStyle w:val="0"/>
              <w:jc w:val="center"/>
            </w:pPr>
            <w:r>
              <w:rPr>
                <w:sz w:val="20"/>
              </w:rPr>
              <w:t xml:space="preserve">на 100 тыс.</w:t>
            </w:r>
          </w:p>
        </w:tc>
        <w:tc>
          <w:tcPr>
            <w:tcW w:w="737" w:type="dxa"/>
          </w:tcPr>
          <w:p>
            <w:pPr>
              <w:pStyle w:val="0"/>
              <w:jc w:val="center"/>
            </w:pPr>
            <w:r>
              <w:rPr>
                <w:sz w:val="20"/>
              </w:rPr>
              <w:t xml:space="preserve">абс. чис.</w:t>
            </w:r>
          </w:p>
        </w:tc>
        <w:tc>
          <w:tcPr>
            <w:tcW w:w="850" w:type="dxa"/>
          </w:tcPr>
          <w:p>
            <w:pPr>
              <w:pStyle w:val="0"/>
              <w:jc w:val="center"/>
            </w:pPr>
            <w:r>
              <w:rPr>
                <w:sz w:val="20"/>
              </w:rPr>
              <w:t xml:space="preserve">на 100 тыс.</w:t>
            </w:r>
          </w:p>
        </w:tc>
        <w:tc>
          <w:tcPr>
            <w:tcW w:w="737" w:type="dxa"/>
          </w:tcPr>
          <w:p>
            <w:pPr>
              <w:pStyle w:val="0"/>
              <w:jc w:val="center"/>
            </w:pPr>
            <w:r>
              <w:rPr>
                <w:sz w:val="20"/>
              </w:rPr>
              <w:t xml:space="preserve">абс. чис.</w:t>
            </w:r>
          </w:p>
        </w:tc>
        <w:tc>
          <w:tcPr>
            <w:tcW w:w="850" w:type="dxa"/>
          </w:tcPr>
          <w:p>
            <w:pPr>
              <w:pStyle w:val="0"/>
              <w:jc w:val="center"/>
            </w:pPr>
            <w:r>
              <w:rPr>
                <w:sz w:val="20"/>
              </w:rPr>
              <w:t xml:space="preserve">на 100 тыс.</w:t>
            </w:r>
          </w:p>
        </w:tc>
        <w:tc>
          <w:tcPr>
            <w:tcW w:w="737" w:type="dxa"/>
          </w:tcPr>
          <w:p>
            <w:pPr>
              <w:pStyle w:val="0"/>
              <w:jc w:val="center"/>
            </w:pPr>
            <w:r>
              <w:rPr>
                <w:sz w:val="20"/>
              </w:rPr>
              <w:t xml:space="preserve">абс. чис.</w:t>
            </w:r>
          </w:p>
        </w:tc>
        <w:tc>
          <w:tcPr>
            <w:tcW w:w="850" w:type="dxa"/>
          </w:tcPr>
          <w:p>
            <w:pPr>
              <w:pStyle w:val="0"/>
              <w:jc w:val="center"/>
            </w:pPr>
            <w:r>
              <w:rPr>
                <w:sz w:val="20"/>
              </w:rPr>
              <w:t xml:space="preserve">на 100 тыс.</w:t>
            </w:r>
          </w:p>
        </w:tc>
      </w:tr>
      <w:tr>
        <w:tc>
          <w:tcPr>
            <w:tcW w:w="2721" w:type="dxa"/>
          </w:tcPr>
          <w:p>
            <w:pPr>
              <w:pStyle w:val="0"/>
              <w:jc w:val="both"/>
            </w:pPr>
            <w:r>
              <w:rPr>
                <w:sz w:val="20"/>
              </w:rPr>
              <w:t xml:space="preserve">в т.ч. "ишемическая болезнь сердца"</w:t>
            </w:r>
          </w:p>
        </w:tc>
        <w:tc>
          <w:tcPr>
            <w:tcW w:w="737" w:type="dxa"/>
          </w:tcPr>
          <w:p>
            <w:pPr>
              <w:pStyle w:val="0"/>
              <w:jc w:val="center"/>
            </w:pPr>
            <w:r>
              <w:rPr>
                <w:sz w:val="20"/>
              </w:rPr>
              <w:t xml:space="preserve">1542</w:t>
            </w:r>
          </w:p>
        </w:tc>
        <w:tc>
          <w:tcPr>
            <w:tcW w:w="850" w:type="dxa"/>
          </w:tcPr>
          <w:p>
            <w:pPr>
              <w:pStyle w:val="0"/>
              <w:jc w:val="center"/>
            </w:pPr>
            <w:r>
              <w:rPr>
                <w:sz w:val="20"/>
              </w:rPr>
              <w:t xml:space="preserve">353,63</w:t>
            </w:r>
          </w:p>
        </w:tc>
        <w:tc>
          <w:tcPr>
            <w:tcW w:w="737" w:type="dxa"/>
          </w:tcPr>
          <w:p>
            <w:pPr>
              <w:pStyle w:val="0"/>
              <w:jc w:val="center"/>
            </w:pPr>
            <w:r>
              <w:rPr>
                <w:sz w:val="20"/>
              </w:rPr>
              <w:t xml:space="preserve">1436</w:t>
            </w:r>
          </w:p>
        </w:tc>
        <w:tc>
          <w:tcPr>
            <w:tcW w:w="850" w:type="dxa"/>
          </w:tcPr>
          <w:p>
            <w:pPr>
              <w:pStyle w:val="0"/>
              <w:jc w:val="center"/>
            </w:pPr>
            <w:r>
              <w:rPr>
                <w:sz w:val="20"/>
              </w:rPr>
              <w:t xml:space="preserve">324,57</w:t>
            </w:r>
          </w:p>
        </w:tc>
        <w:tc>
          <w:tcPr>
            <w:tcW w:w="737" w:type="dxa"/>
          </w:tcPr>
          <w:p>
            <w:pPr>
              <w:pStyle w:val="0"/>
              <w:jc w:val="center"/>
            </w:pPr>
            <w:r>
              <w:rPr>
                <w:sz w:val="20"/>
              </w:rPr>
              <w:t xml:space="preserve">1392</w:t>
            </w:r>
          </w:p>
        </w:tc>
        <w:tc>
          <w:tcPr>
            <w:tcW w:w="850" w:type="dxa"/>
          </w:tcPr>
          <w:p>
            <w:pPr>
              <w:pStyle w:val="0"/>
              <w:jc w:val="center"/>
            </w:pPr>
            <w:r>
              <w:rPr>
                <w:sz w:val="20"/>
              </w:rPr>
              <w:t xml:space="preserve">310,63</w:t>
            </w:r>
          </w:p>
        </w:tc>
        <w:tc>
          <w:tcPr>
            <w:tcW w:w="737" w:type="dxa"/>
          </w:tcPr>
          <w:p>
            <w:pPr>
              <w:pStyle w:val="0"/>
              <w:jc w:val="center"/>
            </w:pPr>
            <w:r>
              <w:rPr>
                <w:sz w:val="20"/>
              </w:rPr>
              <w:t xml:space="preserve">-44</w:t>
            </w:r>
          </w:p>
        </w:tc>
        <w:tc>
          <w:tcPr>
            <w:tcW w:w="850" w:type="dxa"/>
          </w:tcPr>
          <w:p>
            <w:pPr>
              <w:pStyle w:val="0"/>
              <w:jc w:val="center"/>
            </w:pPr>
            <w:r>
              <w:rPr>
                <w:sz w:val="20"/>
              </w:rPr>
              <w:t xml:space="preserve">-4,29</w:t>
            </w:r>
          </w:p>
        </w:tc>
      </w:tr>
      <w:tr>
        <w:tc>
          <w:tcPr>
            <w:tcW w:w="2721" w:type="dxa"/>
          </w:tcPr>
          <w:p>
            <w:pPr>
              <w:pStyle w:val="0"/>
              <w:jc w:val="both"/>
            </w:pPr>
            <w:r>
              <w:rPr>
                <w:sz w:val="20"/>
              </w:rPr>
              <w:t xml:space="preserve">из них: инфаркт миокарда</w:t>
            </w:r>
          </w:p>
        </w:tc>
        <w:tc>
          <w:tcPr>
            <w:tcW w:w="737" w:type="dxa"/>
          </w:tcPr>
          <w:p>
            <w:pPr>
              <w:pStyle w:val="0"/>
              <w:jc w:val="center"/>
            </w:pPr>
            <w:r>
              <w:rPr>
                <w:sz w:val="20"/>
              </w:rPr>
              <w:t xml:space="preserve">141</w:t>
            </w:r>
          </w:p>
        </w:tc>
        <w:tc>
          <w:tcPr>
            <w:tcW w:w="850" w:type="dxa"/>
          </w:tcPr>
          <w:p>
            <w:pPr>
              <w:pStyle w:val="0"/>
              <w:jc w:val="center"/>
            </w:pPr>
            <w:r>
              <w:rPr>
                <w:sz w:val="20"/>
              </w:rPr>
              <w:t xml:space="preserve">32,34</w:t>
            </w:r>
          </w:p>
        </w:tc>
        <w:tc>
          <w:tcPr>
            <w:tcW w:w="737" w:type="dxa"/>
          </w:tcPr>
          <w:p>
            <w:pPr>
              <w:pStyle w:val="0"/>
              <w:jc w:val="center"/>
            </w:pPr>
            <w:r>
              <w:rPr>
                <w:sz w:val="20"/>
              </w:rPr>
              <w:t xml:space="preserve">129</w:t>
            </w:r>
          </w:p>
        </w:tc>
        <w:tc>
          <w:tcPr>
            <w:tcW w:w="850" w:type="dxa"/>
          </w:tcPr>
          <w:p>
            <w:pPr>
              <w:pStyle w:val="0"/>
              <w:jc w:val="center"/>
            </w:pPr>
            <w:r>
              <w:rPr>
                <w:sz w:val="20"/>
              </w:rPr>
              <w:t xml:space="preserve">29,16</w:t>
            </w:r>
          </w:p>
        </w:tc>
        <w:tc>
          <w:tcPr>
            <w:tcW w:w="737" w:type="dxa"/>
          </w:tcPr>
          <w:p>
            <w:pPr>
              <w:pStyle w:val="0"/>
              <w:jc w:val="center"/>
            </w:pPr>
            <w:r>
              <w:rPr>
                <w:sz w:val="20"/>
              </w:rPr>
              <w:t xml:space="preserve">138</w:t>
            </w:r>
          </w:p>
        </w:tc>
        <w:tc>
          <w:tcPr>
            <w:tcW w:w="850" w:type="dxa"/>
          </w:tcPr>
          <w:p>
            <w:pPr>
              <w:pStyle w:val="0"/>
              <w:jc w:val="center"/>
            </w:pPr>
            <w:r>
              <w:rPr>
                <w:sz w:val="20"/>
              </w:rPr>
              <w:t xml:space="preserve">30,79</w:t>
            </w:r>
          </w:p>
        </w:tc>
        <w:tc>
          <w:tcPr>
            <w:tcW w:w="737" w:type="dxa"/>
          </w:tcPr>
          <w:p>
            <w:pPr>
              <w:pStyle w:val="0"/>
              <w:jc w:val="center"/>
            </w:pPr>
            <w:r>
              <w:rPr>
                <w:sz w:val="20"/>
              </w:rPr>
              <w:t xml:space="preserve">9</w:t>
            </w:r>
          </w:p>
        </w:tc>
        <w:tc>
          <w:tcPr>
            <w:tcW w:w="850" w:type="dxa"/>
          </w:tcPr>
          <w:p>
            <w:pPr>
              <w:pStyle w:val="0"/>
              <w:jc w:val="center"/>
            </w:pPr>
            <w:r>
              <w:rPr>
                <w:sz w:val="20"/>
              </w:rPr>
              <w:t xml:space="preserve">5,62</w:t>
            </w:r>
          </w:p>
        </w:tc>
      </w:tr>
      <w:tr>
        <w:tc>
          <w:tcPr>
            <w:tcW w:w="2721" w:type="dxa"/>
          </w:tcPr>
          <w:p>
            <w:pPr>
              <w:pStyle w:val="0"/>
              <w:jc w:val="both"/>
            </w:pPr>
            <w:r>
              <w:rPr>
                <w:sz w:val="20"/>
              </w:rPr>
              <w:t xml:space="preserve">из них: острый инфаркт миокарда</w:t>
            </w:r>
          </w:p>
        </w:tc>
        <w:tc>
          <w:tcPr>
            <w:tcW w:w="737" w:type="dxa"/>
          </w:tcPr>
          <w:p>
            <w:pPr>
              <w:pStyle w:val="0"/>
              <w:jc w:val="center"/>
            </w:pPr>
            <w:r>
              <w:rPr>
                <w:sz w:val="20"/>
              </w:rPr>
              <w:t xml:space="preserve">122</w:t>
            </w:r>
          </w:p>
        </w:tc>
        <w:tc>
          <w:tcPr>
            <w:tcW w:w="850" w:type="dxa"/>
          </w:tcPr>
          <w:p>
            <w:pPr>
              <w:pStyle w:val="0"/>
              <w:jc w:val="center"/>
            </w:pPr>
            <w:r>
              <w:rPr>
                <w:sz w:val="20"/>
              </w:rPr>
              <w:t xml:space="preserve">27,98</w:t>
            </w:r>
          </w:p>
        </w:tc>
        <w:tc>
          <w:tcPr>
            <w:tcW w:w="737" w:type="dxa"/>
          </w:tcPr>
          <w:p>
            <w:pPr>
              <w:pStyle w:val="0"/>
              <w:jc w:val="center"/>
            </w:pPr>
            <w:r>
              <w:rPr>
                <w:sz w:val="20"/>
              </w:rPr>
              <w:t xml:space="preserve">119</w:t>
            </w:r>
          </w:p>
        </w:tc>
        <w:tc>
          <w:tcPr>
            <w:tcW w:w="850" w:type="dxa"/>
          </w:tcPr>
          <w:p>
            <w:pPr>
              <w:pStyle w:val="0"/>
              <w:jc w:val="center"/>
            </w:pPr>
            <w:r>
              <w:rPr>
                <w:sz w:val="20"/>
              </w:rPr>
              <w:t xml:space="preserve">26,90</w:t>
            </w:r>
          </w:p>
        </w:tc>
        <w:tc>
          <w:tcPr>
            <w:tcW w:w="737" w:type="dxa"/>
          </w:tcPr>
          <w:p>
            <w:pPr>
              <w:pStyle w:val="0"/>
              <w:jc w:val="center"/>
            </w:pPr>
            <w:r>
              <w:rPr>
                <w:sz w:val="20"/>
              </w:rPr>
              <w:t xml:space="preserve">129</w:t>
            </w:r>
          </w:p>
        </w:tc>
        <w:tc>
          <w:tcPr>
            <w:tcW w:w="850" w:type="dxa"/>
          </w:tcPr>
          <w:p>
            <w:pPr>
              <w:pStyle w:val="0"/>
              <w:jc w:val="center"/>
            </w:pPr>
            <w:r>
              <w:rPr>
                <w:sz w:val="20"/>
              </w:rPr>
              <w:t xml:space="preserve">28,79</w:t>
            </w:r>
          </w:p>
        </w:tc>
        <w:tc>
          <w:tcPr>
            <w:tcW w:w="737" w:type="dxa"/>
          </w:tcPr>
          <w:p>
            <w:pPr>
              <w:pStyle w:val="0"/>
              <w:jc w:val="center"/>
            </w:pPr>
            <w:r>
              <w:rPr>
                <w:sz w:val="20"/>
              </w:rPr>
              <w:t xml:space="preserve">10</w:t>
            </w:r>
          </w:p>
        </w:tc>
        <w:tc>
          <w:tcPr>
            <w:tcW w:w="850" w:type="dxa"/>
          </w:tcPr>
          <w:p>
            <w:pPr>
              <w:pStyle w:val="0"/>
              <w:jc w:val="center"/>
            </w:pPr>
            <w:r>
              <w:rPr>
                <w:sz w:val="20"/>
              </w:rPr>
              <w:t xml:space="preserve">7,03</w:t>
            </w:r>
          </w:p>
        </w:tc>
      </w:tr>
      <w:tr>
        <w:tc>
          <w:tcPr>
            <w:tcW w:w="2721" w:type="dxa"/>
          </w:tcPr>
          <w:p>
            <w:pPr>
              <w:pStyle w:val="0"/>
              <w:jc w:val="both"/>
            </w:pPr>
            <w:r>
              <w:rPr>
                <w:sz w:val="20"/>
              </w:rPr>
              <w:t xml:space="preserve">повторный инфаркт миокарда</w:t>
            </w:r>
          </w:p>
        </w:tc>
        <w:tc>
          <w:tcPr>
            <w:tcW w:w="737" w:type="dxa"/>
          </w:tcPr>
          <w:p>
            <w:pPr>
              <w:pStyle w:val="0"/>
              <w:jc w:val="center"/>
            </w:pPr>
            <w:r>
              <w:rPr>
                <w:sz w:val="20"/>
              </w:rPr>
              <w:t xml:space="preserve">19</w:t>
            </w:r>
          </w:p>
        </w:tc>
        <w:tc>
          <w:tcPr>
            <w:tcW w:w="850" w:type="dxa"/>
          </w:tcPr>
          <w:p>
            <w:pPr>
              <w:pStyle w:val="0"/>
              <w:jc w:val="center"/>
            </w:pPr>
            <w:r>
              <w:rPr>
                <w:sz w:val="20"/>
              </w:rPr>
              <w:t xml:space="preserve">4,36</w:t>
            </w:r>
          </w:p>
        </w:tc>
        <w:tc>
          <w:tcPr>
            <w:tcW w:w="737" w:type="dxa"/>
          </w:tcPr>
          <w:p>
            <w:pPr>
              <w:pStyle w:val="0"/>
              <w:jc w:val="center"/>
            </w:pPr>
            <w:r>
              <w:rPr>
                <w:sz w:val="20"/>
              </w:rPr>
              <w:t xml:space="preserve">10</w:t>
            </w:r>
          </w:p>
        </w:tc>
        <w:tc>
          <w:tcPr>
            <w:tcW w:w="850" w:type="dxa"/>
          </w:tcPr>
          <w:p>
            <w:pPr>
              <w:pStyle w:val="0"/>
              <w:jc w:val="center"/>
            </w:pPr>
            <w:r>
              <w:rPr>
                <w:sz w:val="20"/>
              </w:rPr>
              <w:t xml:space="preserve">2,26</w:t>
            </w:r>
          </w:p>
        </w:tc>
        <w:tc>
          <w:tcPr>
            <w:tcW w:w="737" w:type="dxa"/>
          </w:tcPr>
          <w:p>
            <w:pPr>
              <w:pStyle w:val="0"/>
              <w:jc w:val="center"/>
            </w:pPr>
            <w:r>
              <w:rPr>
                <w:sz w:val="20"/>
              </w:rPr>
              <w:t xml:space="preserve">9</w:t>
            </w:r>
          </w:p>
        </w:tc>
        <w:tc>
          <w:tcPr>
            <w:tcW w:w="850" w:type="dxa"/>
          </w:tcPr>
          <w:p>
            <w:pPr>
              <w:pStyle w:val="0"/>
              <w:jc w:val="center"/>
            </w:pPr>
            <w:r>
              <w:rPr>
                <w:sz w:val="20"/>
              </w:rPr>
              <w:t xml:space="preserve">2,01</w:t>
            </w:r>
          </w:p>
        </w:tc>
        <w:tc>
          <w:tcPr>
            <w:tcW w:w="737" w:type="dxa"/>
          </w:tcPr>
          <w:p>
            <w:pPr>
              <w:pStyle w:val="0"/>
              <w:jc w:val="center"/>
            </w:pPr>
            <w:r>
              <w:rPr>
                <w:sz w:val="20"/>
              </w:rPr>
              <w:t xml:space="preserve">-1</w:t>
            </w:r>
          </w:p>
        </w:tc>
        <w:tc>
          <w:tcPr>
            <w:tcW w:w="850" w:type="dxa"/>
          </w:tcPr>
          <w:p>
            <w:pPr>
              <w:pStyle w:val="0"/>
              <w:jc w:val="center"/>
            </w:pPr>
            <w:r>
              <w:rPr>
                <w:sz w:val="20"/>
              </w:rPr>
              <w:t xml:space="preserve">-11,14</w:t>
            </w:r>
          </w:p>
        </w:tc>
      </w:tr>
      <w:tr>
        <w:tc>
          <w:tcPr>
            <w:tcW w:w="2721" w:type="dxa"/>
          </w:tcPr>
          <w:p>
            <w:pPr>
              <w:pStyle w:val="0"/>
              <w:jc w:val="both"/>
            </w:pPr>
            <w:r>
              <w:rPr>
                <w:sz w:val="20"/>
              </w:rPr>
              <w:t xml:space="preserve">из них: др. формы острой ишемической болезни сердца</w:t>
            </w:r>
          </w:p>
        </w:tc>
        <w:tc>
          <w:tcPr>
            <w:tcW w:w="737" w:type="dxa"/>
          </w:tcPr>
          <w:p>
            <w:pPr>
              <w:pStyle w:val="0"/>
              <w:jc w:val="center"/>
            </w:pPr>
            <w:r>
              <w:rPr>
                <w:sz w:val="20"/>
              </w:rPr>
              <w:t xml:space="preserve">116</w:t>
            </w:r>
          </w:p>
        </w:tc>
        <w:tc>
          <w:tcPr>
            <w:tcW w:w="850" w:type="dxa"/>
          </w:tcPr>
          <w:p>
            <w:pPr>
              <w:pStyle w:val="0"/>
              <w:jc w:val="center"/>
            </w:pPr>
            <w:r>
              <w:rPr>
                <w:sz w:val="20"/>
              </w:rPr>
              <w:t xml:space="preserve">26,60</w:t>
            </w:r>
          </w:p>
        </w:tc>
        <w:tc>
          <w:tcPr>
            <w:tcW w:w="737" w:type="dxa"/>
          </w:tcPr>
          <w:p>
            <w:pPr>
              <w:pStyle w:val="0"/>
              <w:jc w:val="center"/>
            </w:pPr>
            <w:r>
              <w:rPr>
                <w:sz w:val="20"/>
              </w:rPr>
              <w:t xml:space="preserve">74</w:t>
            </w:r>
          </w:p>
        </w:tc>
        <w:tc>
          <w:tcPr>
            <w:tcW w:w="850" w:type="dxa"/>
          </w:tcPr>
          <w:p>
            <w:pPr>
              <w:pStyle w:val="0"/>
              <w:jc w:val="center"/>
            </w:pPr>
            <w:r>
              <w:rPr>
                <w:sz w:val="20"/>
              </w:rPr>
              <w:t xml:space="preserve">16,73</w:t>
            </w:r>
          </w:p>
        </w:tc>
        <w:tc>
          <w:tcPr>
            <w:tcW w:w="737" w:type="dxa"/>
          </w:tcPr>
          <w:p>
            <w:pPr>
              <w:pStyle w:val="0"/>
              <w:jc w:val="center"/>
            </w:pPr>
            <w:r>
              <w:rPr>
                <w:sz w:val="20"/>
              </w:rPr>
              <w:t xml:space="preserve">67</w:t>
            </w:r>
          </w:p>
        </w:tc>
        <w:tc>
          <w:tcPr>
            <w:tcW w:w="850" w:type="dxa"/>
          </w:tcPr>
          <w:p>
            <w:pPr>
              <w:pStyle w:val="0"/>
              <w:jc w:val="center"/>
            </w:pPr>
            <w:r>
              <w:rPr>
                <w:sz w:val="20"/>
              </w:rPr>
              <w:t xml:space="preserve">14,95</w:t>
            </w:r>
          </w:p>
        </w:tc>
        <w:tc>
          <w:tcPr>
            <w:tcW w:w="737" w:type="dxa"/>
          </w:tcPr>
          <w:p>
            <w:pPr>
              <w:pStyle w:val="0"/>
              <w:jc w:val="center"/>
            </w:pPr>
            <w:r>
              <w:rPr>
                <w:sz w:val="20"/>
              </w:rPr>
              <w:t xml:space="preserve">-7</w:t>
            </w:r>
          </w:p>
        </w:tc>
        <w:tc>
          <w:tcPr>
            <w:tcW w:w="850" w:type="dxa"/>
          </w:tcPr>
          <w:p>
            <w:pPr>
              <w:pStyle w:val="0"/>
              <w:jc w:val="center"/>
            </w:pPr>
            <w:r>
              <w:rPr>
                <w:sz w:val="20"/>
              </w:rPr>
              <w:t xml:space="preserve">-10,61</w:t>
            </w:r>
          </w:p>
        </w:tc>
      </w:tr>
      <w:tr>
        <w:tc>
          <w:tcPr>
            <w:tcW w:w="2721" w:type="dxa"/>
          </w:tcPr>
          <w:p>
            <w:pPr>
              <w:pStyle w:val="0"/>
              <w:jc w:val="both"/>
            </w:pPr>
            <w:r>
              <w:rPr>
                <w:sz w:val="20"/>
              </w:rPr>
              <w:t xml:space="preserve">в т.ч. алкогольная кардиомиопатия</w:t>
            </w:r>
          </w:p>
        </w:tc>
        <w:tc>
          <w:tcPr>
            <w:tcW w:w="737" w:type="dxa"/>
          </w:tcPr>
          <w:p>
            <w:pPr>
              <w:pStyle w:val="0"/>
              <w:jc w:val="center"/>
            </w:pPr>
            <w:r>
              <w:rPr>
                <w:sz w:val="20"/>
              </w:rPr>
              <w:t xml:space="preserve">55</w:t>
            </w:r>
          </w:p>
        </w:tc>
        <w:tc>
          <w:tcPr>
            <w:tcW w:w="850" w:type="dxa"/>
          </w:tcPr>
          <w:p>
            <w:pPr>
              <w:pStyle w:val="0"/>
              <w:jc w:val="center"/>
            </w:pPr>
            <w:r>
              <w:rPr>
                <w:sz w:val="20"/>
              </w:rPr>
              <w:t xml:space="preserve">12,61</w:t>
            </w:r>
          </w:p>
        </w:tc>
        <w:tc>
          <w:tcPr>
            <w:tcW w:w="737" w:type="dxa"/>
          </w:tcPr>
          <w:p>
            <w:pPr>
              <w:pStyle w:val="0"/>
              <w:jc w:val="center"/>
            </w:pPr>
            <w:r>
              <w:rPr>
                <w:sz w:val="20"/>
              </w:rPr>
              <w:t xml:space="preserve">58</w:t>
            </w:r>
          </w:p>
        </w:tc>
        <w:tc>
          <w:tcPr>
            <w:tcW w:w="850" w:type="dxa"/>
          </w:tcPr>
          <w:p>
            <w:pPr>
              <w:pStyle w:val="0"/>
              <w:jc w:val="center"/>
            </w:pPr>
            <w:r>
              <w:rPr>
                <w:sz w:val="20"/>
              </w:rPr>
              <w:t xml:space="preserve">13,11</w:t>
            </w:r>
          </w:p>
        </w:tc>
        <w:tc>
          <w:tcPr>
            <w:tcW w:w="737" w:type="dxa"/>
          </w:tcPr>
          <w:p>
            <w:pPr>
              <w:pStyle w:val="0"/>
              <w:jc w:val="center"/>
            </w:pPr>
            <w:r>
              <w:rPr>
                <w:sz w:val="20"/>
              </w:rPr>
              <w:t xml:space="preserve">83</w:t>
            </w:r>
          </w:p>
        </w:tc>
        <w:tc>
          <w:tcPr>
            <w:tcW w:w="850" w:type="dxa"/>
          </w:tcPr>
          <w:p>
            <w:pPr>
              <w:pStyle w:val="0"/>
              <w:jc w:val="center"/>
            </w:pPr>
            <w:r>
              <w:rPr>
                <w:sz w:val="20"/>
              </w:rPr>
              <w:t xml:space="preserve">18,52</w:t>
            </w:r>
          </w:p>
        </w:tc>
        <w:tc>
          <w:tcPr>
            <w:tcW w:w="737" w:type="dxa"/>
          </w:tcPr>
          <w:p>
            <w:pPr>
              <w:pStyle w:val="0"/>
              <w:jc w:val="center"/>
            </w:pPr>
            <w:r>
              <w:rPr>
                <w:sz w:val="20"/>
              </w:rPr>
              <w:t xml:space="preserve">25</w:t>
            </w:r>
          </w:p>
        </w:tc>
        <w:tc>
          <w:tcPr>
            <w:tcW w:w="850" w:type="dxa"/>
          </w:tcPr>
          <w:p>
            <w:pPr>
              <w:pStyle w:val="0"/>
              <w:jc w:val="center"/>
            </w:pPr>
            <w:r>
              <w:rPr>
                <w:sz w:val="20"/>
              </w:rPr>
              <w:t xml:space="preserve">41,29</w:t>
            </w:r>
          </w:p>
        </w:tc>
      </w:tr>
      <w:tr>
        <w:tc>
          <w:tcPr>
            <w:tcW w:w="2721" w:type="dxa"/>
          </w:tcPr>
          <w:p>
            <w:pPr>
              <w:pStyle w:val="0"/>
              <w:jc w:val="both"/>
            </w:pPr>
            <w:r>
              <w:rPr>
                <w:sz w:val="20"/>
              </w:rPr>
              <w:t xml:space="preserve">в т.ч. кардиомиопатия неуточненная</w:t>
            </w:r>
          </w:p>
        </w:tc>
        <w:tc>
          <w:tcPr>
            <w:tcW w:w="737" w:type="dxa"/>
          </w:tcPr>
          <w:p>
            <w:pPr>
              <w:pStyle w:val="0"/>
              <w:jc w:val="center"/>
            </w:pPr>
            <w:r>
              <w:rPr>
                <w:sz w:val="20"/>
              </w:rPr>
              <w:t xml:space="preserve">92</w:t>
            </w:r>
          </w:p>
        </w:tc>
        <w:tc>
          <w:tcPr>
            <w:tcW w:w="850" w:type="dxa"/>
          </w:tcPr>
          <w:p>
            <w:pPr>
              <w:pStyle w:val="0"/>
              <w:jc w:val="center"/>
            </w:pPr>
            <w:r>
              <w:rPr>
                <w:sz w:val="20"/>
              </w:rPr>
              <w:t xml:space="preserve">21,10</w:t>
            </w:r>
          </w:p>
        </w:tc>
        <w:tc>
          <w:tcPr>
            <w:tcW w:w="737" w:type="dxa"/>
          </w:tcPr>
          <w:p>
            <w:pPr>
              <w:pStyle w:val="0"/>
              <w:jc w:val="center"/>
            </w:pPr>
            <w:r>
              <w:rPr>
                <w:sz w:val="20"/>
              </w:rPr>
              <w:t xml:space="preserve">103</w:t>
            </w:r>
          </w:p>
        </w:tc>
        <w:tc>
          <w:tcPr>
            <w:tcW w:w="850" w:type="dxa"/>
          </w:tcPr>
          <w:p>
            <w:pPr>
              <w:pStyle w:val="0"/>
              <w:jc w:val="center"/>
            </w:pPr>
            <w:r>
              <w:rPr>
                <w:sz w:val="20"/>
              </w:rPr>
              <w:t xml:space="preserve">23,028</w:t>
            </w:r>
          </w:p>
        </w:tc>
        <w:tc>
          <w:tcPr>
            <w:tcW w:w="737" w:type="dxa"/>
          </w:tcPr>
          <w:p>
            <w:pPr>
              <w:pStyle w:val="0"/>
              <w:jc w:val="center"/>
            </w:pPr>
            <w:r>
              <w:rPr>
                <w:sz w:val="20"/>
              </w:rPr>
              <w:t xml:space="preserve">5</w:t>
            </w:r>
          </w:p>
        </w:tc>
        <w:tc>
          <w:tcPr>
            <w:tcW w:w="850" w:type="dxa"/>
          </w:tcPr>
          <w:p>
            <w:pPr>
              <w:pStyle w:val="0"/>
              <w:jc w:val="center"/>
            </w:pPr>
            <w:r>
              <w:rPr>
                <w:sz w:val="20"/>
              </w:rPr>
              <w:t xml:space="preserve">1,12</w:t>
            </w:r>
          </w:p>
        </w:tc>
        <w:tc>
          <w:tcPr>
            <w:tcW w:w="737" w:type="dxa"/>
          </w:tcPr>
          <w:p>
            <w:pPr>
              <w:pStyle w:val="0"/>
              <w:jc w:val="center"/>
            </w:pPr>
            <w:r>
              <w:rPr>
                <w:sz w:val="20"/>
              </w:rPr>
              <w:t xml:space="preserve">-98</w:t>
            </w:r>
          </w:p>
        </w:tc>
        <w:tc>
          <w:tcPr>
            <w:tcW w:w="850" w:type="dxa"/>
          </w:tcPr>
          <w:p>
            <w:pPr>
              <w:pStyle w:val="0"/>
              <w:jc w:val="center"/>
            </w:pPr>
            <w:r>
              <w:rPr>
                <w:sz w:val="20"/>
              </w:rPr>
              <w:t xml:space="preserve">-95,21</w:t>
            </w:r>
          </w:p>
        </w:tc>
      </w:tr>
      <w:tr>
        <w:tc>
          <w:tcPr>
            <w:tcW w:w="2721" w:type="dxa"/>
          </w:tcPr>
          <w:p>
            <w:pPr>
              <w:pStyle w:val="0"/>
              <w:jc w:val="both"/>
            </w:pPr>
            <w:r>
              <w:rPr>
                <w:sz w:val="20"/>
              </w:rPr>
              <w:t xml:space="preserve">в т.ч. прочие болезни сердца</w:t>
            </w:r>
          </w:p>
        </w:tc>
        <w:tc>
          <w:tcPr>
            <w:tcW w:w="737" w:type="dxa"/>
          </w:tcPr>
          <w:p>
            <w:pPr>
              <w:pStyle w:val="0"/>
              <w:jc w:val="center"/>
            </w:pPr>
            <w:r>
              <w:rPr>
                <w:sz w:val="20"/>
              </w:rPr>
              <w:t xml:space="preserve">142</w:t>
            </w:r>
          </w:p>
        </w:tc>
        <w:tc>
          <w:tcPr>
            <w:tcW w:w="850" w:type="dxa"/>
          </w:tcPr>
          <w:p>
            <w:pPr>
              <w:pStyle w:val="0"/>
              <w:jc w:val="center"/>
            </w:pPr>
            <w:r>
              <w:rPr>
                <w:sz w:val="20"/>
              </w:rPr>
              <w:t xml:space="preserve">32,57</w:t>
            </w:r>
          </w:p>
        </w:tc>
        <w:tc>
          <w:tcPr>
            <w:tcW w:w="737" w:type="dxa"/>
          </w:tcPr>
          <w:p>
            <w:pPr>
              <w:pStyle w:val="0"/>
              <w:jc w:val="center"/>
            </w:pPr>
            <w:r>
              <w:rPr>
                <w:sz w:val="20"/>
              </w:rPr>
              <w:t xml:space="preserve">118</w:t>
            </w:r>
          </w:p>
        </w:tc>
        <w:tc>
          <w:tcPr>
            <w:tcW w:w="850" w:type="dxa"/>
          </w:tcPr>
          <w:p>
            <w:pPr>
              <w:pStyle w:val="0"/>
              <w:jc w:val="center"/>
            </w:pPr>
            <w:r>
              <w:rPr>
                <w:sz w:val="20"/>
              </w:rPr>
              <w:t xml:space="preserve">26,67</w:t>
            </w:r>
          </w:p>
        </w:tc>
        <w:tc>
          <w:tcPr>
            <w:tcW w:w="737" w:type="dxa"/>
          </w:tcPr>
          <w:p>
            <w:pPr>
              <w:pStyle w:val="0"/>
              <w:jc w:val="center"/>
            </w:pPr>
            <w:r>
              <w:rPr>
                <w:sz w:val="20"/>
              </w:rPr>
              <w:t xml:space="preserve">97</w:t>
            </w:r>
          </w:p>
        </w:tc>
        <w:tc>
          <w:tcPr>
            <w:tcW w:w="850" w:type="dxa"/>
          </w:tcPr>
          <w:p>
            <w:pPr>
              <w:pStyle w:val="0"/>
              <w:jc w:val="center"/>
            </w:pPr>
            <w:r>
              <w:rPr>
                <w:sz w:val="20"/>
              </w:rPr>
              <w:t xml:space="preserve">21,65</w:t>
            </w:r>
          </w:p>
        </w:tc>
        <w:tc>
          <w:tcPr>
            <w:tcW w:w="737" w:type="dxa"/>
          </w:tcPr>
          <w:p>
            <w:pPr>
              <w:pStyle w:val="0"/>
              <w:jc w:val="center"/>
            </w:pPr>
            <w:r>
              <w:rPr>
                <w:sz w:val="20"/>
              </w:rPr>
              <w:t xml:space="preserve">-21</w:t>
            </w:r>
          </w:p>
        </w:tc>
        <w:tc>
          <w:tcPr>
            <w:tcW w:w="850" w:type="dxa"/>
          </w:tcPr>
          <w:p>
            <w:pPr>
              <w:pStyle w:val="0"/>
              <w:jc w:val="center"/>
            </w:pPr>
            <w:r>
              <w:rPr>
                <w:sz w:val="20"/>
              </w:rPr>
              <w:t xml:space="preserve">-18,84</w:t>
            </w:r>
          </w:p>
        </w:tc>
      </w:tr>
      <w:tr>
        <w:tc>
          <w:tcPr>
            <w:tcW w:w="2721" w:type="dxa"/>
          </w:tcPr>
          <w:p>
            <w:pPr>
              <w:pStyle w:val="0"/>
              <w:jc w:val="both"/>
            </w:pPr>
            <w:r>
              <w:rPr>
                <w:sz w:val="20"/>
              </w:rPr>
              <w:t xml:space="preserve">в т.ч. "цереброваскулярные болезни"</w:t>
            </w:r>
          </w:p>
        </w:tc>
        <w:tc>
          <w:tcPr>
            <w:tcW w:w="737" w:type="dxa"/>
          </w:tcPr>
          <w:p>
            <w:pPr>
              <w:pStyle w:val="0"/>
              <w:jc w:val="center"/>
            </w:pPr>
            <w:r>
              <w:rPr>
                <w:sz w:val="20"/>
              </w:rPr>
              <w:t xml:space="preserve">1371</w:t>
            </w:r>
          </w:p>
        </w:tc>
        <w:tc>
          <w:tcPr>
            <w:tcW w:w="850" w:type="dxa"/>
          </w:tcPr>
          <w:p>
            <w:pPr>
              <w:pStyle w:val="0"/>
              <w:jc w:val="center"/>
            </w:pPr>
            <w:r>
              <w:rPr>
                <w:sz w:val="20"/>
              </w:rPr>
              <w:t xml:space="preserve">314,42</w:t>
            </w:r>
          </w:p>
        </w:tc>
        <w:tc>
          <w:tcPr>
            <w:tcW w:w="737" w:type="dxa"/>
          </w:tcPr>
          <w:p>
            <w:pPr>
              <w:pStyle w:val="0"/>
              <w:jc w:val="center"/>
            </w:pPr>
            <w:r>
              <w:rPr>
                <w:sz w:val="20"/>
              </w:rPr>
              <w:t xml:space="preserve">1376</w:t>
            </w:r>
          </w:p>
        </w:tc>
        <w:tc>
          <w:tcPr>
            <w:tcW w:w="850" w:type="dxa"/>
          </w:tcPr>
          <w:p>
            <w:pPr>
              <w:pStyle w:val="0"/>
              <w:jc w:val="center"/>
            </w:pPr>
            <w:r>
              <w:rPr>
                <w:sz w:val="20"/>
              </w:rPr>
              <w:t xml:space="preserve">311,00</w:t>
            </w:r>
          </w:p>
        </w:tc>
        <w:tc>
          <w:tcPr>
            <w:tcW w:w="737" w:type="dxa"/>
          </w:tcPr>
          <w:p>
            <w:pPr>
              <w:pStyle w:val="0"/>
              <w:jc w:val="center"/>
            </w:pPr>
            <w:r>
              <w:rPr>
                <w:sz w:val="20"/>
              </w:rPr>
              <w:t xml:space="preserve">1464</w:t>
            </w:r>
          </w:p>
        </w:tc>
        <w:tc>
          <w:tcPr>
            <w:tcW w:w="850" w:type="dxa"/>
          </w:tcPr>
          <w:p>
            <w:pPr>
              <w:pStyle w:val="0"/>
              <w:jc w:val="center"/>
            </w:pPr>
            <w:r>
              <w:rPr>
                <w:sz w:val="20"/>
              </w:rPr>
              <w:t xml:space="preserve">326,69</w:t>
            </w:r>
          </w:p>
        </w:tc>
        <w:tc>
          <w:tcPr>
            <w:tcW w:w="737" w:type="dxa"/>
          </w:tcPr>
          <w:p>
            <w:pPr>
              <w:pStyle w:val="0"/>
              <w:jc w:val="center"/>
            </w:pPr>
            <w:r>
              <w:rPr>
                <w:sz w:val="20"/>
              </w:rPr>
              <w:t xml:space="preserve">88</w:t>
            </w:r>
          </w:p>
        </w:tc>
        <w:tc>
          <w:tcPr>
            <w:tcW w:w="850" w:type="dxa"/>
          </w:tcPr>
          <w:p>
            <w:pPr>
              <w:pStyle w:val="0"/>
              <w:jc w:val="center"/>
            </w:pPr>
            <w:r>
              <w:rPr>
                <w:sz w:val="20"/>
              </w:rPr>
              <w:t xml:space="preserve">5,04</w:t>
            </w:r>
          </w:p>
        </w:tc>
      </w:tr>
      <w:tr>
        <w:tc>
          <w:tcPr>
            <w:tcW w:w="2721" w:type="dxa"/>
          </w:tcPr>
          <w:p>
            <w:pPr>
              <w:pStyle w:val="0"/>
              <w:jc w:val="both"/>
            </w:pPr>
            <w:r>
              <w:rPr>
                <w:sz w:val="20"/>
              </w:rPr>
              <w:t xml:space="preserve">инсульты</w:t>
            </w:r>
          </w:p>
        </w:tc>
        <w:tc>
          <w:tcPr>
            <w:tcW w:w="737" w:type="dxa"/>
          </w:tcPr>
          <w:p>
            <w:pPr>
              <w:pStyle w:val="0"/>
              <w:jc w:val="center"/>
            </w:pPr>
            <w:r>
              <w:rPr>
                <w:sz w:val="20"/>
              </w:rPr>
              <w:t xml:space="preserve">448</w:t>
            </w:r>
          </w:p>
        </w:tc>
        <w:tc>
          <w:tcPr>
            <w:tcW w:w="850" w:type="dxa"/>
          </w:tcPr>
          <w:p>
            <w:pPr>
              <w:pStyle w:val="0"/>
              <w:jc w:val="center"/>
            </w:pPr>
            <w:r>
              <w:rPr>
                <w:sz w:val="20"/>
              </w:rPr>
              <w:t xml:space="preserve">102,74</w:t>
            </w:r>
          </w:p>
        </w:tc>
        <w:tc>
          <w:tcPr>
            <w:tcW w:w="737" w:type="dxa"/>
          </w:tcPr>
          <w:p>
            <w:pPr>
              <w:pStyle w:val="0"/>
              <w:jc w:val="center"/>
            </w:pPr>
            <w:r>
              <w:rPr>
                <w:sz w:val="20"/>
              </w:rPr>
              <w:t xml:space="preserve">441</w:t>
            </w:r>
          </w:p>
        </w:tc>
        <w:tc>
          <w:tcPr>
            <w:tcW w:w="850" w:type="dxa"/>
          </w:tcPr>
          <w:p>
            <w:pPr>
              <w:pStyle w:val="0"/>
              <w:jc w:val="center"/>
            </w:pPr>
            <w:r>
              <w:rPr>
                <w:sz w:val="20"/>
              </w:rPr>
              <w:t xml:space="preserve">99,67</w:t>
            </w:r>
          </w:p>
        </w:tc>
        <w:tc>
          <w:tcPr>
            <w:tcW w:w="737" w:type="dxa"/>
          </w:tcPr>
          <w:p>
            <w:pPr>
              <w:pStyle w:val="0"/>
              <w:jc w:val="center"/>
            </w:pPr>
            <w:r>
              <w:rPr>
                <w:sz w:val="20"/>
              </w:rPr>
              <w:t xml:space="preserve">516</w:t>
            </w:r>
          </w:p>
        </w:tc>
        <w:tc>
          <w:tcPr>
            <w:tcW w:w="850" w:type="dxa"/>
          </w:tcPr>
          <w:p>
            <w:pPr>
              <w:pStyle w:val="0"/>
              <w:jc w:val="center"/>
            </w:pPr>
            <w:r>
              <w:rPr>
                <w:sz w:val="20"/>
              </w:rPr>
              <w:t xml:space="preserve">115,15</w:t>
            </w:r>
          </w:p>
        </w:tc>
        <w:tc>
          <w:tcPr>
            <w:tcW w:w="737" w:type="dxa"/>
          </w:tcPr>
          <w:p>
            <w:pPr>
              <w:pStyle w:val="0"/>
              <w:jc w:val="center"/>
            </w:pPr>
            <w:r>
              <w:rPr>
                <w:sz w:val="20"/>
              </w:rPr>
              <w:t xml:space="preserve">75</w:t>
            </w:r>
          </w:p>
        </w:tc>
        <w:tc>
          <w:tcPr>
            <w:tcW w:w="850" w:type="dxa"/>
          </w:tcPr>
          <w:p>
            <w:pPr>
              <w:pStyle w:val="0"/>
              <w:jc w:val="center"/>
            </w:pPr>
            <w:r>
              <w:rPr>
                <w:sz w:val="20"/>
              </w:rPr>
              <w:t xml:space="preserve">15,52</w:t>
            </w:r>
          </w:p>
        </w:tc>
      </w:tr>
      <w:tr>
        <w:tc>
          <w:tcPr>
            <w:tcW w:w="2721" w:type="dxa"/>
          </w:tcPr>
          <w:p>
            <w:pPr>
              <w:pStyle w:val="0"/>
              <w:jc w:val="both"/>
            </w:pPr>
            <w:r>
              <w:rPr>
                <w:sz w:val="20"/>
              </w:rPr>
              <w:t xml:space="preserve">из них: ишемический инсульт</w:t>
            </w:r>
          </w:p>
        </w:tc>
        <w:tc>
          <w:tcPr>
            <w:tcW w:w="737" w:type="dxa"/>
          </w:tcPr>
          <w:p>
            <w:pPr>
              <w:pStyle w:val="0"/>
              <w:jc w:val="center"/>
            </w:pPr>
            <w:r>
              <w:rPr>
                <w:sz w:val="20"/>
              </w:rPr>
              <w:t xml:space="preserve">278</w:t>
            </w:r>
          </w:p>
        </w:tc>
        <w:tc>
          <w:tcPr>
            <w:tcW w:w="850" w:type="dxa"/>
          </w:tcPr>
          <w:p>
            <w:pPr>
              <w:pStyle w:val="0"/>
              <w:jc w:val="center"/>
            </w:pPr>
            <w:r>
              <w:rPr>
                <w:sz w:val="20"/>
              </w:rPr>
              <w:t xml:space="preserve">63,75</w:t>
            </w:r>
          </w:p>
        </w:tc>
        <w:tc>
          <w:tcPr>
            <w:tcW w:w="737" w:type="dxa"/>
          </w:tcPr>
          <w:p>
            <w:pPr>
              <w:pStyle w:val="0"/>
              <w:jc w:val="center"/>
            </w:pPr>
            <w:r>
              <w:rPr>
                <w:sz w:val="20"/>
              </w:rPr>
              <w:t xml:space="preserve">280</w:t>
            </w:r>
          </w:p>
        </w:tc>
        <w:tc>
          <w:tcPr>
            <w:tcW w:w="850" w:type="dxa"/>
          </w:tcPr>
          <w:p>
            <w:pPr>
              <w:pStyle w:val="0"/>
              <w:jc w:val="center"/>
            </w:pPr>
            <w:r>
              <w:rPr>
                <w:sz w:val="20"/>
              </w:rPr>
              <w:t xml:space="preserve">63,29</w:t>
            </w:r>
          </w:p>
        </w:tc>
        <w:tc>
          <w:tcPr>
            <w:tcW w:w="737" w:type="dxa"/>
          </w:tcPr>
          <w:p>
            <w:pPr>
              <w:pStyle w:val="0"/>
              <w:jc w:val="center"/>
            </w:pPr>
            <w:r>
              <w:rPr>
                <w:sz w:val="20"/>
              </w:rPr>
              <w:t xml:space="preserve">334</w:t>
            </w:r>
          </w:p>
        </w:tc>
        <w:tc>
          <w:tcPr>
            <w:tcW w:w="850" w:type="dxa"/>
          </w:tcPr>
          <w:p>
            <w:pPr>
              <w:pStyle w:val="0"/>
              <w:jc w:val="center"/>
            </w:pPr>
            <w:r>
              <w:rPr>
                <w:sz w:val="20"/>
              </w:rPr>
              <w:t xml:space="preserve">74,53</w:t>
            </w:r>
          </w:p>
        </w:tc>
        <w:tc>
          <w:tcPr>
            <w:tcW w:w="737" w:type="dxa"/>
          </w:tcPr>
          <w:p>
            <w:pPr>
              <w:pStyle w:val="0"/>
              <w:jc w:val="center"/>
            </w:pPr>
            <w:r>
              <w:rPr>
                <w:sz w:val="20"/>
              </w:rPr>
              <w:t xml:space="preserve">54</w:t>
            </w:r>
          </w:p>
        </w:tc>
        <w:tc>
          <w:tcPr>
            <w:tcW w:w="850" w:type="dxa"/>
          </w:tcPr>
          <w:p>
            <w:pPr>
              <w:pStyle w:val="0"/>
              <w:jc w:val="center"/>
            </w:pPr>
            <w:r>
              <w:rPr>
                <w:sz w:val="20"/>
              </w:rPr>
              <w:t xml:space="preserve">17,77</w:t>
            </w:r>
          </w:p>
        </w:tc>
      </w:tr>
      <w:tr>
        <w:tc>
          <w:tcPr>
            <w:tcW w:w="2721" w:type="dxa"/>
          </w:tcPr>
          <w:p>
            <w:pPr>
              <w:pStyle w:val="0"/>
              <w:jc w:val="both"/>
            </w:pPr>
            <w:r>
              <w:rPr>
                <w:sz w:val="20"/>
              </w:rPr>
              <w:t xml:space="preserve">из них: геморрагический инсульт</w:t>
            </w:r>
          </w:p>
        </w:tc>
        <w:tc>
          <w:tcPr>
            <w:tcW w:w="737" w:type="dxa"/>
          </w:tcPr>
          <w:p>
            <w:pPr>
              <w:pStyle w:val="0"/>
              <w:jc w:val="center"/>
            </w:pPr>
            <w:r>
              <w:rPr>
                <w:sz w:val="20"/>
              </w:rPr>
              <w:t xml:space="preserve">170</w:t>
            </w:r>
          </w:p>
        </w:tc>
        <w:tc>
          <w:tcPr>
            <w:tcW w:w="850" w:type="dxa"/>
          </w:tcPr>
          <w:p>
            <w:pPr>
              <w:pStyle w:val="0"/>
              <w:jc w:val="center"/>
            </w:pPr>
            <w:r>
              <w:rPr>
                <w:sz w:val="20"/>
              </w:rPr>
              <w:t xml:space="preserve">38,99</w:t>
            </w:r>
          </w:p>
        </w:tc>
        <w:tc>
          <w:tcPr>
            <w:tcW w:w="737" w:type="dxa"/>
          </w:tcPr>
          <w:p>
            <w:pPr>
              <w:pStyle w:val="0"/>
              <w:jc w:val="center"/>
            </w:pPr>
            <w:r>
              <w:rPr>
                <w:sz w:val="20"/>
              </w:rPr>
              <w:t xml:space="preserve">161</w:t>
            </w:r>
          </w:p>
        </w:tc>
        <w:tc>
          <w:tcPr>
            <w:tcW w:w="850" w:type="dxa"/>
          </w:tcPr>
          <w:p>
            <w:pPr>
              <w:pStyle w:val="0"/>
              <w:jc w:val="center"/>
            </w:pPr>
            <w:r>
              <w:rPr>
                <w:sz w:val="20"/>
              </w:rPr>
              <w:t xml:space="preserve">36,39</w:t>
            </w:r>
          </w:p>
        </w:tc>
        <w:tc>
          <w:tcPr>
            <w:tcW w:w="737" w:type="dxa"/>
          </w:tcPr>
          <w:p>
            <w:pPr>
              <w:pStyle w:val="0"/>
              <w:jc w:val="center"/>
            </w:pPr>
            <w:r>
              <w:rPr>
                <w:sz w:val="20"/>
              </w:rPr>
              <w:t xml:space="preserve">182</w:t>
            </w:r>
          </w:p>
        </w:tc>
        <w:tc>
          <w:tcPr>
            <w:tcW w:w="850" w:type="dxa"/>
          </w:tcPr>
          <w:p>
            <w:pPr>
              <w:pStyle w:val="0"/>
              <w:jc w:val="center"/>
            </w:pPr>
            <w:r>
              <w:rPr>
                <w:sz w:val="20"/>
              </w:rPr>
              <w:t xml:space="preserve">40,61</w:t>
            </w:r>
          </w:p>
        </w:tc>
        <w:tc>
          <w:tcPr>
            <w:tcW w:w="737" w:type="dxa"/>
          </w:tcPr>
          <w:p>
            <w:pPr>
              <w:pStyle w:val="0"/>
              <w:jc w:val="center"/>
            </w:pPr>
            <w:r>
              <w:rPr>
                <w:sz w:val="20"/>
              </w:rPr>
              <w:t xml:space="preserve">21</w:t>
            </w:r>
          </w:p>
        </w:tc>
        <w:tc>
          <w:tcPr>
            <w:tcW w:w="850" w:type="dxa"/>
          </w:tcPr>
          <w:p>
            <w:pPr>
              <w:pStyle w:val="0"/>
              <w:jc w:val="center"/>
            </w:pPr>
            <w:r>
              <w:rPr>
                <w:sz w:val="20"/>
              </w:rPr>
              <w:t xml:space="preserve">11,61</w:t>
            </w:r>
          </w:p>
        </w:tc>
      </w:tr>
      <w:tr>
        <w:tc>
          <w:tcPr>
            <w:tcW w:w="2721" w:type="dxa"/>
          </w:tcPr>
          <w:p>
            <w:pPr>
              <w:pStyle w:val="0"/>
              <w:jc w:val="both"/>
            </w:pPr>
            <w:r>
              <w:rPr>
                <w:sz w:val="20"/>
              </w:rPr>
              <w:t xml:space="preserve">Всего:</w:t>
            </w:r>
          </w:p>
        </w:tc>
        <w:tc>
          <w:tcPr>
            <w:tcW w:w="737" w:type="dxa"/>
          </w:tcPr>
          <w:p>
            <w:pPr>
              <w:pStyle w:val="0"/>
              <w:jc w:val="center"/>
            </w:pPr>
            <w:r>
              <w:rPr>
                <w:sz w:val="20"/>
              </w:rPr>
              <w:t xml:space="preserve">3322</w:t>
            </w:r>
          </w:p>
        </w:tc>
        <w:tc>
          <w:tcPr>
            <w:tcW w:w="850" w:type="dxa"/>
          </w:tcPr>
          <w:p>
            <w:pPr>
              <w:pStyle w:val="0"/>
              <w:jc w:val="center"/>
            </w:pPr>
            <w:r>
              <w:rPr>
                <w:sz w:val="20"/>
              </w:rPr>
              <w:t xml:space="preserve">761,85</w:t>
            </w:r>
          </w:p>
        </w:tc>
        <w:tc>
          <w:tcPr>
            <w:tcW w:w="737" w:type="dxa"/>
          </w:tcPr>
          <w:p>
            <w:pPr>
              <w:pStyle w:val="0"/>
              <w:jc w:val="center"/>
            </w:pPr>
            <w:r>
              <w:rPr>
                <w:sz w:val="20"/>
              </w:rPr>
              <w:t xml:space="preserve">3296</w:t>
            </w:r>
          </w:p>
        </w:tc>
        <w:tc>
          <w:tcPr>
            <w:tcW w:w="850" w:type="dxa"/>
          </w:tcPr>
          <w:p>
            <w:pPr>
              <w:pStyle w:val="0"/>
              <w:jc w:val="center"/>
            </w:pPr>
            <w:r>
              <w:rPr>
                <w:sz w:val="20"/>
              </w:rPr>
              <w:t xml:space="preserve">744,96</w:t>
            </w:r>
          </w:p>
        </w:tc>
        <w:tc>
          <w:tcPr>
            <w:tcW w:w="737" w:type="dxa"/>
          </w:tcPr>
          <w:p>
            <w:pPr>
              <w:pStyle w:val="0"/>
              <w:jc w:val="center"/>
            </w:pPr>
            <w:r>
              <w:rPr>
                <w:sz w:val="20"/>
              </w:rPr>
              <w:t xml:space="preserve">3427</w:t>
            </w:r>
          </w:p>
        </w:tc>
        <w:tc>
          <w:tcPr>
            <w:tcW w:w="850" w:type="dxa"/>
          </w:tcPr>
          <w:p>
            <w:pPr>
              <w:pStyle w:val="0"/>
              <w:jc w:val="center"/>
            </w:pPr>
            <w:r>
              <w:rPr>
                <w:sz w:val="20"/>
              </w:rPr>
              <w:t xml:space="preserve">764,74</w:t>
            </w:r>
          </w:p>
        </w:tc>
        <w:tc>
          <w:tcPr>
            <w:tcW w:w="737" w:type="dxa"/>
          </w:tcPr>
          <w:p>
            <w:pPr>
              <w:pStyle w:val="0"/>
              <w:jc w:val="center"/>
            </w:pPr>
            <w:r>
              <w:rPr>
                <w:sz w:val="20"/>
              </w:rPr>
              <w:t xml:space="preserve">131</w:t>
            </w:r>
          </w:p>
        </w:tc>
        <w:tc>
          <w:tcPr>
            <w:tcW w:w="850" w:type="dxa"/>
          </w:tcPr>
          <w:p>
            <w:pPr>
              <w:pStyle w:val="0"/>
              <w:jc w:val="center"/>
            </w:pPr>
            <w:r>
              <w:rPr>
                <w:sz w:val="20"/>
              </w:rPr>
              <w:t xml:space="preserve">2,65</w:t>
            </w:r>
          </w:p>
        </w:tc>
      </w:tr>
    </w:tbl>
    <w:p>
      <w:pPr>
        <w:pStyle w:val="0"/>
        <w:jc w:val="both"/>
      </w:pPr>
      <w:r>
        <w:rPr>
          <w:sz w:val="20"/>
        </w:rPr>
      </w:r>
    </w:p>
    <w:p>
      <w:pPr>
        <w:pStyle w:val="0"/>
        <w:ind w:firstLine="540"/>
        <w:jc w:val="both"/>
      </w:pPr>
      <w:r>
        <w:rPr>
          <w:sz w:val="20"/>
        </w:rPr>
        <w:t xml:space="preserve">За последние годы наблюдается положительная динамика в снижении смертности от БСК.</w:t>
      </w:r>
    </w:p>
    <w:p>
      <w:pPr>
        <w:pStyle w:val="0"/>
        <w:spacing w:before="200" w:line-rule="auto"/>
        <w:ind w:firstLine="540"/>
        <w:jc w:val="both"/>
      </w:pPr>
      <w:r>
        <w:rPr>
          <w:sz w:val="20"/>
        </w:rPr>
        <w:t xml:space="preserve">Показатели смертности от новообразований представлены в </w:t>
      </w:r>
      <w:hyperlink w:history="0" w:anchor="P27803" w:tooltip="Таблица N 3">
        <w:r>
          <w:rPr>
            <w:sz w:val="20"/>
            <w:color w:val="0000ff"/>
          </w:rPr>
          <w:t xml:space="preserve">таблице N 3</w:t>
        </w:r>
      </w:hyperlink>
      <w:r>
        <w:rPr>
          <w:sz w:val="20"/>
        </w:rPr>
        <w:t xml:space="preserve">.</w:t>
      </w:r>
    </w:p>
    <w:p>
      <w:pPr>
        <w:pStyle w:val="0"/>
        <w:jc w:val="right"/>
      </w:pPr>
      <w:r>
        <w:rPr>
          <w:sz w:val="20"/>
        </w:rPr>
      </w:r>
    </w:p>
    <w:bookmarkStart w:id="27803" w:name="P27803"/>
    <w:bookmarkEnd w:id="27803"/>
    <w:p>
      <w:pPr>
        <w:pStyle w:val="0"/>
        <w:jc w:val="right"/>
      </w:pPr>
      <w:r>
        <w:rPr>
          <w:sz w:val="20"/>
        </w:rPr>
        <w:t xml:space="preserve">Таблица N 3</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737"/>
        <w:gridCol w:w="850"/>
        <w:gridCol w:w="737"/>
        <w:gridCol w:w="850"/>
        <w:gridCol w:w="737"/>
        <w:gridCol w:w="850"/>
        <w:gridCol w:w="737"/>
        <w:gridCol w:w="850"/>
      </w:tblGrid>
      <w:tr>
        <w:tc>
          <w:tcPr>
            <w:tcW w:w="2721" w:type="dxa"/>
            <w:vMerge w:val="restart"/>
          </w:tcPr>
          <w:p>
            <w:pPr>
              <w:pStyle w:val="0"/>
              <w:jc w:val="center"/>
            </w:pPr>
            <w:r>
              <w:rPr>
                <w:sz w:val="20"/>
              </w:rPr>
              <w:t xml:space="preserve">Новообразования</w:t>
            </w:r>
          </w:p>
        </w:tc>
        <w:tc>
          <w:tcPr>
            <w:gridSpan w:val="8"/>
            <w:tcW w:w="6348" w:type="dxa"/>
          </w:tcPr>
          <w:p>
            <w:pPr>
              <w:pStyle w:val="0"/>
              <w:jc w:val="center"/>
            </w:pPr>
            <w:r>
              <w:rPr>
                <w:sz w:val="20"/>
              </w:rPr>
              <w:t xml:space="preserve">Показатели смертности от новообразований</w:t>
            </w:r>
          </w:p>
        </w:tc>
      </w:tr>
      <w:tr>
        <w:tc>
          <w:tcPr>
            <w:vMerge w:val="continue"/>
          </w:tcPr>
          <w:p/>
        </w:tc>
        <w:tc>
          <w:tcPr>
            <w:gridSpan w:val="2"/>
            <w:tcW w:w="1587" w:type="dxa"/>
          </w:tcPr>
          <w:p>
            <w:pPr>
              <w:pStyle w:val="0"/>
              <w:jc w:val="center"/>
            </w:pPr>
            <w:r>
              <w:rPr>
                <w:sz w:val="20"/>
              </w:rPr>
              <w:t xml:space="preserve">2018</w:t>
            </w:r>
          </w:p>
        </w:tc>
        <w:tc>
          <w:tcPr>
            <w:gridSpan w:val="2"/>
            <w:tcW w:w="1587" w:type="dxa"/>
          </w:tcPr>
          <w:p>
            <w:pPr>
              <w:pStyle w:val="0"/>
              <w:jc w:val="center"/>
            </w:pPr>
            <w:r>
              <w:rPr>
                <w:sz w:val="20"/>
              </w:rPr>
              <w:t xml:space="preserve">2019</w:t>
            </w:r>
          </w:p>
        </w:tc>
        <w:tc>
          <w:tcPr>
            <w:gridSpan w:val="2"/>
            <w:tcW w:w="1587" w:type="dxa"/>
          </w:tcPr>
          <w:p>
            <w:pPr>
              <w:pStyle w:val="0"/>
              <w:jc w:val="center"/>
            </w:pPr>
            <w:r>
              <w:rPr>
                <w:sz w:val="20"/>
              </w:rPr>
              <w:t xml:space="preserve">2020</w:t>
            </w:r>
          </w:p>
        </w:tc>
        <w:tc>
          <w:tcPr>
            <w:gridSpan w:val="2"/>
            <w:tcW w:w="1587" w:type="dxa"/>
          </w:tcPr>
          <w:p>
            <w:pPr>
              <w:pStyle w:val="0"/>
              <w:jc w:val="center"/>
            </w:pPr>
            <w:r>
              <w:rPr>
                <w:sz w:val="20"/>
              </w:rPr>
              <w:t xml:space="preserve">динамика 2020 к 2019</w:t>
            </w:r>
          </w:p>
        </w:tc>
      </w:tr>
      <w:tr>
        <w:tc>
          <w:tcPr>
            <w:vMerge w:val="continue"/>
          </w:tcPr>
          <w:p/>
        </w:tc>
        <w:tc>
          <w:tcPr>
            <w:tcW w:w="737" w:type="dxa"/>
          </w:tcPr>
          <w:p>
            <w:pPr>
              <w:pStyle w:val="0"/>
              <w:jc w:val="center"/>
            </w:pPr>
            <w:r>
              <w:rPr>
                <w:sz w:val="20"/>
              </w:rPr>
              <w:t xml:space="preserve">абс. чис.</w:t>
            </w:r>
          </w:p>
        </w:tc>
        <w:tc>
          <w:tcPr>
            <w:tcW w:w="850" w:type="dxa"/>
          </w:tcPr>
          <w:p>
            <w:pPr>
              <w:pStyle w:val="0"/>
              <w:jc w:val="center"/>
            </w:pPr>
            <w:r>
              <w:rPr>
                <w:sz w:val="20"/>
              </w:rPr>
              <w:t xml:space="preserve">на 100 тыс.</w:t>
            </w:r>
          </w:p>
        </w:tc>
        <w:tc>
          <w:tcPr>
            <w:tcW w:w="737" w:type="dxa"/>
          </w:tcPr>
          <w:p>
            <w:pPr>
              <w:pStyle w:val="0"/>
              <w:jc w:val="center"/>
            </w:pPr>
            <w:r>
              <w:rPr>
                <w:sz w:val="20"/>
              </w:rPr>
              <w:t xml:space="preserve">абс. чис.</w:t>
            </w:r>
          </w:p>
        </w:tc>
        <w:tc>
          <w:tcPr>
            <w:tcW w:w="850" w:type="dxa"/>
          </w:tcPr>
          <w:p>
            <w:pPr>
              <w:pStyle w:val="0"/>
              <w:jc w:val="center"/>
            </w:pPr>
            <w:r>
              <w:rPr>
                <w:sz w:val="20"/>
              </w:rPr>
              <w:t xml:space="preserve">на 100 тыс.</w:t>
            </w:r>
          </w:p>
        </w:tc>
        <w:tc>
          <w:tcPr>
            <w:tcW w:w="737" w:type="dxa"/>
          </w:tcPr>
          <w:p>
            <w:pPr>
              <w:pStyle w:val="0"/>
              <w:jc w:val="center"/>
            </w:pPr>
            <w:r>
              <w:rPr>
                <w:sz w:val="20"/>
              </w:rPr>
              <w:t xml:space="preserve">абс. чис.</w:t>
            </w:r>
          </w:p>
        </w:tc>
        <w:tc>
          <w:tcPr>
            <w:tcW w:w="850" w:type="dxa"/>
          </w:tcPr>
          <w:p>
            <w:pPr>
              <w:pStyle w:val="0"/>
              <w:jc w:val="center"/>
            </w:pPr>
            <w:r>
              <w:rPr>
                <w:sz w:val="20"/>
              </w:rPr>
              <w:t xml:space="preserve">на 100 тыс.</w:t>
            </w:r>
          </w:p>
        </w:tc>
        <w:tc>
          <w:tcPr>
            <w:tcW w:w="737" w:type="dxa"/>
          </w:tcPr>
          <w:p>
            <w:pPr>
              <w:pStyle w:val="0"/>
              <w:jc w:val="center"/>
            </w:pPr>
            <w:r>
              <w:rPr>
                <w:sz w:val="20"/>
              </w:rPr>
              <w:t xml:space="preserve">абс. чис.</w:t>
            </w:r>
          </w:p>
        </w:tc>
        <w:tc>
          <w:tcPr>
            <w:tcW w:w="850" w:type="dxa"/>
          </w:tcPr>
          <w:p>
            <w:pPr>
              <w:pStyle w:val="0"/>
              <w:jc w:val="center"/>
            </w:pPr>
            <w:r>
              <w:rPr>
                <w:sz w:val="20"/>
              </w:rPr>
              <w:t xml:space="preserve">на 100 тыс.</w:t>
            </w:r>
          </w:p>
        </w:tc>
      </w:tr>
      <w:tr>
        <w:tc>
          <w:tcPr>
            <w:tcW w:w="2721" w:type="dxa"/>
          </w:tcPr>
          <w:p>
            <w:pPr>
              <w:pStyle w:val="0"/>
              <w:jc w:val="both"/>
            </w:pPr>
            <w:r>
              <w:rPr>
                <w:sz w:val="20"/>
              </w:rPr>
              <w:t xml:space="preserve">Всего:</w:t>
            </w:r>
          </w:p>
        </w:tc>
        <w:tc>
          <w:tcPr>
            <w:tcW w:w="737" w:type="dxa"/>
          </w:tcPr>
          <w:p>
            <w:pPr>
              <w:pStyle w:val="0"/>
              <w:jc w:val="center"/>
            </w:pPr>
            <w:r>
              <w:rPr>
                <w:sz w:val="20"/>
              </w:rPr>
              <w:t xml:space="preserve">1111</w:t>
            </w:r>
          </w:p>
        </w:tc>
        <w:tc>
          <w:tcPr>
            <w:tcW w:w="850" w:type="dxa"/>
          </w:tcPr>
          <w:p>
            <w:pPr>
              <w:pStyle w:val="0"/>
              <w:jc w:val="center"/>
            </w:pPr>
            <w:r>
              <w:rPr>
                <w:sz w:val="20"/>
              </w:rPr>
              <w:t xml:space="preserve">254,79</w:t>
            </w:r>
          </w:p>
        </w:tc>
        <w:tc>
          <w:tcPr>
            <w:tcW w:w="737" w:type="dxa"/>
          </w:tcPr>
          <w:p>
            <w:pPr>
              <w:pStyle w:val="0"/>
              <w:jc w:val="center"/>
            </w:pPr>
            <w:r>
              <w:rPr>
                <w:sz w:val="20"/>
              </w:rPr>
              <w:t xml:space="preserve">1129</w:t>
            </w:r>
          </w:p>
        </w:tc>
        <w:tc>
          <w:tcPr>
            <w:tcW w:w="850" w:type="dxa"/>
          </w:tcPr>
          <w:p>
            <w:pPr>
              <w:pStyle w:val="0"/>
              <w:jc w:val="center"/>
            </w:pPr>
            <w:r>
              <w:rPr>
                <w:sz w:val="20"/>
              </w:rPr>
              <w:t xml:space="preserve">255,18</w:t>
            </w:r>
          </w:p>
        </w:tc>
        <w:tc>
          <w:tcPr>
            <w:tcW w:w="737" w:type="dxa"/>
          </w:tcPr>
          <w:p>
            <w:pPr>
              <w:pStyle w:val="0"/>
              <w:jc w:val="center"/>
            </w:pPr>
            <w:r>
              <w:rPr>
                <w:sz w:val="20"/>
              </w:rPr>
              <w:t xml:space="preserve">1128</w:t>
            </w:r>
          </w:p>
        </w:tc>
        <w:tc>
          <w:tcPr>
            <w:tcW w:w="850" w:type="dxa"/>
          </w:tcPr>
          <w:p>
            <w:pPr>
              <w:pStyle w:val="0"/>
              <w:jc w:val="center"/>
            </w:pPr>
            <w:r>
              <w:rPr>
                <w:sz w:val="20"/>
              </w:rPr>
              <w:t xml:space="preserve">251,71</w:t>
            </w:r>
          </w:p>
        </w:tc>
        <w:tc>
          <w:tcPr>
            <w:tcW w:w="737" w:type="dxa"/>
          </w:tcPr>
          <w:p>
            <w:pPr>
              <w:pStyle w:val="0"/>
              <w:jc w:val="center"/>
            </w:pPr>
            <w:r>
              <w:rPr>
                <w:sz w:val="20"/>
              </w:rPr>
              <w:t xml:space="preserve">-1</w:t>
            </w:r>
          </w:p>
        </w:tc>
        <w:tc>
          <w:tcPr>
            <w:tcW w:w="850" w:type="dxa"/>
          </w:tcPr>
          <w:p>
            <w:pPr>
              <w:pStyle w:val="0"/>
              <w:jc w:val="center"/>
            </w:pPr>
            <w:r>
              <w:rPr>
                <w:sz w:val="20"/>
              </w:rPr>
              <w:t xml:space="preserve">-1,36</w:t>
            </w:r>
          </w:p>
        </w:tc>
      </w:tr>
      <w:tr>
        <w:tc>
          <w:tcPr>
            <w:tcW w:w="2721" w:type="dxa"/>
          </w:tcPr>
          <w:p>
            <w:pPr>
              <w:pStyle w:val="0"/>
              <w:jc w:val="both"/>
            </w:pPr>
            <w:r>
              <w:rPr>
                <w:sz w:val="20"/>
              </w:rPr>
              <w:t xml:space="preserve">из них злокачественных (ЗНО)</w:t>
            </w:r>
          </w:p>
        </w:tc>
        <w:tc>
          <w:tcPr>
            <w:tcW w:w="737" w:type="dxa"/>
          </w:tcPr>
          <w:p>
            <w:pPr>
              <w:pStyle w:val="0"/>
              <w:jc w:val="center"/>
            </w:pPr>
            <w:r>
              <w:rPr>
                <w:sz w:val="20"/>
              </w:rPr>
              <w:t xml:space="preserve">1098</w:t>
            </w:r>
          </w:p>
        </w:tc>
        <w:tc>
          <w:tcPr>
            <w:tcW w:w="850" w:type="dxa"/>
          </w:tcPr>
          <w:p>
            <w:pPr>
              <w:pStyle w:val="0"/>
              <w:jc w:val="center"/>
            </w:pPr>
            <w:r>
              <w:rPr>
                <w:sz w:val="20"/>
              </w:rPr>
              <w:t xml:space="preserve">251,81</w:t>
            </w:r>
          </w:p>
        </w:tc>
        <w:tc>
          <w:tcPr>
            <w:tcW w:w="737" w:type="dxa"/>
          </w:tcPr>
          <w:p>
            <w:pPr>
              <w:pStyle w:val="0"/>
              <w:jc w:val="center"/>
            </w:pPr>
            <w:r>
              <w:rPr>
                <w:sz w:val="20"/>
              </w:rPr>
              <w:t xml:space="preserve">1118</w:t>
            </w:r>
          </w:p>
        </w:tc>
        <w:tc>
          <w:tcPr>
            <w:tcW w:w="850" w:type="dxa"/>
          </w:tcPr>
          <w:p>
            <w:pPr>
              <w:pStyle w:val="0"/>
              <w:jc w:val="center"/>
            </w:pPr>
            <w:r>
              <w:rPr>
                <w:sz w:val="20"/>
              </w:rPr>
              <w:t xml:space="preserve">252,69</w:t>
            </w:r>
          </w:p>
        </w:tc>
        <w:tc>
          <w:tcPr>
            <w:tcW w:w="737" w:type="dxa"/>
          </w:tcPr>
          <w:p>
            <w:pPr>
              <w:pStyle w:val="0"/>
              <w:jc w:val="center"/>
            </w:pPr>
            <w:r>
              <w:rPr>
                <w:sz w:val="20"/>
              </w:rPr>
              <w:t xml:space="preserve">1113</w:t>
            </w:r>
          </w:p>
        </w:tc>
        <w:tc>
          <w:tcPr>
            <w:tcW w:w="850" w:type="dxa"/>
          </w:tcPr>
          <w:p>
            <w:pPr>
              <w:pStyle w:val="0"/>
              <w:jc w:val="center"/>
            </w:pPr>
            <w:r>
              <w:rPr>
                <w:sz w:val="20"/>
              </w:rPr>
              <w:t xml:space="preserve">248,37</w:t>
            </w:r>
          </w:p>
        </w:tc>
        <w:tc>
          <w:tcPr>
            <w:tcW w:w="737" w:type="dxa"/>
          </w:tcPr>
          <w:p>
            <w:pPr>
              <w:pStyle w:val="0"/>
              <w:jc w:val="center"/>
            </w:pPr>
            <w:r>
              <w:rPr>
                <w:sz w:val="20"/>
              </w:rPr>
              <w:t xml:space="preserve">-5</w:t>
            </w:r>
          </w:p>
        </w:tc>
        <w:tc>
          <w:tcPr>
            <w:tcW w:w="850" w:type="dxa"/>
          </w:tcPr>
          <w:p>
            <w:pPr>
              <w:pStyle w:val="0"/>
              <w:jc w:val="center"/>
            </w:pPr>
            <w:r>
              <w:rPr>
                <w:sz w:val="20"/>
              </w:rPr>
              <w:t xml:space="preserve">-1,71</w:t>
            </w:r>
          </w:p>
        </w:tc>
      </w:tr>
      <w:tr>
        <w:tc>
          <w:tcPr>
            <w:tcW w:w="2721" w:type="dxa"/>
          </w:tcPr>
          <w:p>
            <w:pPr>
              <w:pStyle w:val="0"/>
              <w:jc w:val="both"/>
            </w:pPr>
            <w:r>
              <w:rPr>
                <w:sz w:val="20"/>
              </w:rPr>
              <w:t xml:space="preserve">в т.ч. ЗНО губы, полости рта и глотки</w:t>
            </w:r>
          </w:p>
        </w:tc>
        <w:tc>
          <w:tcPr>
            <w:tcW w:w="737" w:type="dxa"/>
          </w:tcPr>
          <w:p>
            <w:pPr>
              <w:pStyle w:val="0"/>
              <w:jc w:val="center"/>
            </w:pPr>
            <w:r>
              <w:rPr>
                <w:sz w:val="20"/>
              </w:rPr>
              <w:t xml:space="preserve">24</w:t>
            </w:r>
          </w:p>
        </w:tc>
        <w:tc>
          <w:tcPr>
            <w:tcW w:w="850" w:type="dxa"/>
          </w:tcPr>
          <w:p>
            <w:pPr>
              <w:pStyle w:val="0"/>
              <w:jc w:val="center"/>
            </w:pPr>
            <w:r>
              <w:rPr>
                <w:sz w:val="20"/>
              </w:rPr>
              <w:t xml:space="preserve">5,50</w:t>
            </w:r>
          </w:p>
        </w:tc>
        <w:tc>
          <w:tcPr>
            <w:tcW w:w="737" w:type="dxa"/>
          </w:tcPr>
          <w:p>
            <w:pPr>
              <w:pStyle w:val="0"/>
              <w:jc w:val="center"/>
            </w:pPr>
            <w:r>
              <w:rPr>
                <w:sz w:val="20"/>
              </w:rPr>
              <w:t xml:space="preserve">33</w:t>
            </w:r>
          </w:p>
        </w:tc>
        <w:tc>
          <w:tcPr>
            <w:tcW w:w="850" w:type="dxa"/>
          </w:tcPr>
          <w:p>
            <w:pPr>
              <w:pStyle w:val="0"/>
              <w:jc w:val="center"/>
            </w:pPr>
            <w:r>
              <w:rPr>
                <w:sz w:val="20"/>
              </w:rPr>
              <w:t xml:space="preserve">7,46</w:t>
            </w:r>
          </w:p>
        </w:tc>
        <w:tc>
          <w:tcPr>
            <w:tcW w:w="737" w:type="dxa"/>
          </w:tcPr>
          <w:p>
            <w:pPr>
              <w:pStyle w:val="0"/>
              <w:jc w:val="center"/>
            </w:pPr>
            <w:r>
              <w:rPr>
                <w:sz w:val="20"/>
              </w:rPr>
              <w:t xml:space="preserve">38</w:t>
            </w:r>
          </w:p>
        </w:tc>
        <w:tc>
          <w:tcPr>
            <w:tcW w:w="850" w:type="dxa"/>
          </w:tcPr>
          <w:p>
            <w:pPr>
              <w:pStyle w:val="0"/>
              <w:jc w:val="center"/>
            </w:pPr>
            <w:r>
              <w:rPr>
                <w:sz w:val="20"/>
              </w:rPr>
              <w:t xml:space="preserve">8,48</w:t>
            </w:r>
          </w:p>
        </w:tc>
        <w:tc>
          <w:tcPr>
            <w:tcW w:w="737" w:type="dxa"/>
          </w:tcPr>
          <w:p>
            <w:pPr>
              <w:pStyle w:val="0"/>
              <w:jc w:val="center"/>
            </w:pPr>
            <w:r>
              <w:rPr>
                <w:sz w:val="20"/>
              </w:rPr>
              <w:t xml:space="preserve">5</w:t>
            </w:r>
          </w:p>
        </w:tc>
        <w:tc>
          <w:tcPr>
            <w:tcW w:w="850" w:type="dxa"/>
          </w:tcPr>
          <w:p>
            <w:pPr>
              <w:pStyle w:val="0"/>
              <w:jc w:val="center"/>
            </w:pPr>
            <w:r>
              <w:rPr>
                <w:sz w:val="20"/>
              </w:rPr>
              <w:t xml:space="preserve">13,69</w:t>
            </w:r>
          </w:p>
        </w:tc>
      </w:tr>
      <w:tr>
        <w:tc>
          <w:tcPr>
            <w:tcW w:w="2721" w:type="dxa"/>
          </w:tcPr>
          <w:p>
            <w:pPr>
              <w:pStyle w:val="0"/>
              <w:jc w:val="both"/>
            </w:pPr>
            <w:r>
              <w:rPr>
                <w:sz w:val="20"/>
              </w:rPr>
              <w:t xml:space="preserve">в т.ч. ЗНО органов пищеварения</w:t>
            </w:r>
          </w:p>
        </w:tc>
        <w:tc>
          <w:tcPr>
            <w:tcW w:w="737" w:type="dxa"/>
          </w:tcPr>
          <w:p>
            <w:pPr>
              <w:pStyle w:val="0"/>
              <w:jc w:val="center"/>
            </w:pPr>
            <w:r>
              <w:rPr>
                <w:sz w:val="20"/>
              </w:rPr>
              <w:t xml:space="preserve">426</w:t>
            </w:r>
          </w:p>
        </w:tc>
        <w:tc>
          <w:tcPr>
            <w:tcW w:w="850" w:type="dxa"/>
          </w:tcPr>
          <w:p>
            <w:pPr>
              <w:pStyle w:val="0"/>
              <w:jc w:val="center"/>
            </w:pPr>
            <w:r>
              <w:rPr>
                <w:sz w:val="20"/>
              </w:rPr>
              <w:t xml:space="preserve">97,70</w:t>
            </w:r>
          </w:p>
        </w:tc>
        <w:tc>
          <w:tcPr>
            <w:tcW w:w="737" w:type="dxa"/>
          </w:tcPr>
          <w:p>
            <w:pPr>
              <w:pStyle w:val="0"/>
              <w:jc w:val="center"/>
            </w:pPr>
            <w:r>
              <w:rPr>
                <w:sz w:val="20"/>
              </w:rPr>
              <w:t xml:space="preserve">435</w:t>
            </w:r>
          </w:p>
        </w:tc>
        <w:tc>
          <w:tcPr>
            <w:tcW w:w="850" w:type="dxa"/>
          </w:tcPr>
          <w:p>
            <w:pPr>
              <w:pStyle w:val="0"/>
              <w:jc w:val="center"/>
            </w:pPr>
            <w:r>
              <w:rPr>
                <w:sz w:val="20"/>
              </w:rPr>
              <w:t xml:space="preserve">98,32</w:t>
            </w:r>
          </w:p>
        </w:tc>
        <w:tc>
          <w:tcPr>
            <w:tcW w:w="737" w:type="dxa"/>
          </w:tcPr>
          <w:p>
            <w:pPr>
              <w:pStyle w:val="0"/>
              <w:jc w:val="center"/>
            </w:pPr>
            <w:r>
              <w:rPr>
                <w:sz w:val="20"/>
              </w:rPr>
              <w:t xml:space="preserve">408</w:t>
            </w:r>
          </w:p>
        </w:tc>
        <w:tc>
          <w:tcPr>
            <w:tcW w:w="850" w:type="dxa"/>
          </w:tcPr>
          <w:p>
            <w:pPr>
              <w:pStyle w:val="0"/>
              <w:jc w:val="center"/>
            </w:pPr>
            <w:r>
              <w:rPr>
                <w:sz w:val="20"/>
              </w:rPr>
              <w:t xml:space="preserve">91,05</w:t>
            </w:r>
          </w:p>
        </w:tc>
        <w:tc>
          <w:tcPr>
            <w:tcW w:w="737" w:type="dxa"/>
          </w:tcPr>
          <w:p>
            <w:pPr>
              <w:pStyle w:val="0"/>
              <w:jc w:val="center"/>
            </w:pPr>
            <w:r>
              <w:rPr>
                <w:sz w:val="20"/>
              </w:rPr>
              <w:t xml:space="preserve">-27</w:t>
            </w:r>
          </w:p>
        </w:tc>
        <w:tc>
          <w:tcPr>
            <w:tcW w:w="850" w:type="dxa"/>
          </w:tcPr>
          <w:p>
            <w:pPr>
              <w:pStyle w:val="0"/>
              <w:jc w:val="center"/>
            </w:pPr>
            <w:r>
              <w:rPr>
                <w:sz w:val="20"/>
              </w:rPr>
              <w:t xml:space="preserve">-7,40</w:t>
            </w:r>
          </w:p>
        </w:tc>
      </w:tr>
      <w:tr>
        <w:tc>
          <w:tcPr>
            <w:tcW w:w="2721" w:type="dxa"/>
          </w:tcPr>
          <w:p>
            <w:pPr>
              <w:pStyle w:val="0"/>
              <w:jc w:val="both"/>
            </w:pPr>
            <w:r>
              <w:rPr>
                <w:sz w:val="20"/>
              </w:rPr>
              <w:t xml:space="preserve">в т.ч. ЗНО органов дыхания и грудной клетки</w:t>
            </w:r>
          </w:p>
        </w:tc>
        <w:tc>
          <w:tcPr>
            <w:tcW w:w="737" w:type="dxa"/>
          </w:tcPr>
          <w:p>
            <w:pPr>
              <w:pStyle w:val="0"/>
              <w:jc w:val="center"/>
            </w:pPr>
            <w:r>
              <w:rPr>
                <w:sz w:val="20"/>
              </w:rPr>
              <w:t xml:space="preserve">149</w:t>
            </w:r>
          </w:p>
        </w:tc>
        <w:tc>
          <w:tcPr>
            <w:tcW w:w="850" w:type="dxa"/>
          </w:tcPr>
          <w:p>
            <w:pPr>
              <w:pStyle w:val="0"/>
              <w:jc w:val="center"/>
            </w:pPr>
            <w:r>
              <w:rPr>
                <w:sz w:val="20"/>
              </w:rPr>
              <w:t xml:space="preserve">34,17</w:t>
            </w:r>
          </w:p>
        </w:tc>
        <w:tc>
          <w:tcPr>
            <w:tcW w:w="737" w:type="dxa"/>
          </w:tcPr>
          <w:p>
            <w:pPr>
              <w:pStyle w:val="0"/>
              <w:jc w:val="center"/>
            </w:pPr>
            <w:r>
              <w:rPr>
                <w:sz w:val="20"/>
              </w:rPr>
              <w:t xml:space="preserve">163</w:t>
            </w:r>
          </w:p>
        </w:tc>
        <w:tc>
          <w:tcPr>
            <w:tcW w:w="850" w:type="dxa"/>
          </w:tcPr>
          <w:p>
            <w:pPr>
              <w:pStyle w:val="0"/>
              <w:jc w:val="center"/>
            </w:pPr>
            <w:r>
              <w:rPr>
                <w:sz w:val="20"/>
              </w:rPr>
              <w:t xml:space="preserve">36,84</w:t>
            </w:r>
          </w:p>
        </w:tc>
        <w:tc>
          <w:tcPr>
            <w:tcW w:w="737" w:type="dxa"/>
          </w:tcPr>
          <w:p>
            <w:pPr>
              <w:pStyle w:val="0"/>
              <w:jc w:val="center"/>
            </w:pPr>
            <w:r>
              <w:rPr>
                <w:sz w:val="20"/>
              </w:rPr>
              <w:t xml:space="preserve">196</w:t>
            </w:r>
          </w:p>
        </w:tc>
        <w:tc>
          <w:tcPr>
            <w:tcW w:w="850" w:type="dxa"/>
          </w:tcPr>
          <w:p>
            <w:pPr>
              <w:pStyle w:val="0"/>
              <w:jc w:val="center"/>
            </w:pPr>
            <w:r>
              <w:rPr>
                <w:sz w:val="20"/>
              </w:rPr>
              <w:t xml:space="preserve">43,74</w:t>
            </w:r>
          </w:p>
        </w:tc>
        <w:tc>
          <w:tcPr>
            <w:tcW w:w="737" w:type="dxa"/>
          </w:tcPr>
          <w:p>
            <w:pPr>
              <w:pStyle w:val="0"/>
              <w:jc w:val="center"/>
            </w:pPr>
            <w:r>
              <w:rPr>
                <w:sz w:val="20"/>
              </w:rPr>
              <w:t xml:space="preserve">33</w:t>
            </w:r>
          </w:p>
        </w:tc>
        <w:tc>
          <w:tcPr>
            <w:tcW w:w="850" w:type="dxa"/>
          </w:tcPr>
          <w:p>
            <w:pPr>
              <w:pStyle w:val="0"/>
              <w:jc w:val="center"/>
            </w:pPr>
            <w:r>
              <w:rPr>
                <w:sz w:val="20"/>
              </w:rPr>
              <w:t xml:space="preserve">18,72</w:t>
            </w:r>
          </w:p>
        </w:tc>
      </w:tr>
      <w:tr>
        <w:tc>
          <w:tcPr>
            <w:tcW w:w="2721" w:type="dxa"/>
          </w:tcPr>
          <w:p>
            <w:pPr>
              <w:pStyle w:val="0"/>
              <w:jc w:val="both"/>
            </w:pPr>
            <w:r>
              <w:rPr>
                <w:sz w:val="20"/>
              </w:rPr>
              <w:t xml:space="preserve">в т.ч. ЗНО костей и суставных хрящей</w:t>
            </w:r>
          </w:p>
        </w:tc>
        <w:tc>
          <w:tcPr>
            <w:tcW w:w="737" w:type="dxa"/>
          </w:tcPr>
          <w:p>
            <w:pPr>
              <w:pStyle w:val="0"/>
              <w:jc w:val="center"/>
            </w:pPr>
            <w:r>
              <w:rPr>
                <w:sz w:val="20"/>
              </w:rPr>
              <w:t xml:space="preserve">6</w:t>
            </w:r>
          </w:p>
        </w:tc>
        <w:tc>
          <w:tcPr>
            <w:tcW w:w="850" w:type="dxa"/>
          </w:tcPr>
          <w:p>
            <w:pPr>
              <w:pStyle w:val="0"/>
              <w:jc w:val="center"/>
            </w:pPr>
            <w:r>
              <w:rPr>
                <w:sz w:val="20"/>
              </w:rPr>
              <w:t xml:space="preserve">1,38</w:t>
            </w:r>
          </w:p>
        </w:tc>
        <w:tc>
          <w:tcPr>
            <w:tcW w:w="737" w:type="dxa"/>
          </w:tcPr>
          <w:p>
            <w:pPr>
              <w:pStyle w:val="0"/>
              <w:jc w:val="center"/>
            </w:pPr>
            <w:r>
              <w:rPr>
                <w:sz w:val="20"/>
              </w:rPr>
              <w:t xml:space="preserve">7</w:t>
            </w:r>
          </w:p>
        </w:tc>
        <w:tc>
          <w:tcPr>
            <w:tcW w:w="850" w:type="dxa"/>
          </w:tcPr>
          <w:p>
            <w:pPr>
              <w:pStyle w:val="0"/>
              <w:jc w:val="center"/>
            </w:pPr>
            <w:r>
              <w:rPr>
                <w:sz w:val="20"/>
              </w:rPr>
              <w:t xml:space="preserve">1,58</w:t>
            </w:r>
          </w:p>
        </w:tc>
        <w:tc>
          <w:tcPr>
            <w:tcW w:w="737" w:type="dxa"/>
          </w:tcPr>
          <w:p>
            <w:pPr>
              <w:pStyle w:val="0"/>
              <w:jc w:val="center"/>
            </w:pPr>
            <w:r>
              <w:rPr>
                <w:sz w:val="20"/>
              </w:rPr>
              <w:t xml:space="preserve">3</w:t>
            </w:r>
          </w:p>
        </w:tc>
        <w:tc>
          <w:tcPr>
            <w:tcW w:w="850" w:type="dxa"/>
          </w:tcPr>
          <w:p>
            <w:pPr>
              <w:pStyle w:val="0"/>
              <w:jc w:val="center"/>
            </w:pPr>
            <w:r>
              <w:rPr>
                <w:sz w:val="20"/>
              </w:rPr>
              <w:t xml:space="preserve">0,67</w:t>
            </w:r>
          </w:p>
        </w:tc>
        <w:tc>
          <w:tcPr>
            <w:tcW w:w="737" w:type="dxa"/>
          </w:tcPr>
          <w:p>
            <w:pPr>
              <w:pStyle w:val="0"/>
              <w:jc w:val="center"/>
            </w:pPr>
            <w:r>
              <w:rPr>
                <w:sz w:val="20"/>
              </w:rPr>
              <w:t xml:space="preserve">-4</w:t>
            </w:r>
          </w:p>
        </w:tc>
        <w:tc>
          <w:tcPr>
            <w:tcW w:w="850" w:type="dxa"/>
          </w:tcPr>
          <w:p>
            <w:pPr>
              <w:pStyle w:val="0"/>
              <w:jc w:val="center"/>
            </w:pPr>
            <w:r>
              <w:rPr>
                <w:sz w:val="20"/>
              </w:rPr>
              <w:t xml:space="preserve">-57,69</w:t>
            </w:r>
          </w:p>
        </w:tc>
      </w:tr>
      <w:tr>
        <w:tc>
          <w:tcPr>
            <w:tcW w:w="2721" w:type="dxa"/>
          </w:tcPr>
          <w:p>
            <w:pPr>
              <w:pStyle w:val="0"/>
              <w:jc w:val="both"/>
            </w:pPr>
            <w:r>
              <w:rPr>
                <w:sz w:val="20"/>
              </w:rPr>
              <w:t xml:space="preserve">в т.ч. меланома и др. ЗНО кожи</w:t>
            </w:r>
          </w:p>
        </w:tc>
        <w:tc>
          <w:tcPr>
            <w:tcW w:w="737" w:type="dxa"/>
          </w:tcPr>
          <w:p>
            <w:pPr>
              <w:pStyle w:val="0"/>
              <w:jc w:val="center"/>
            </w:pPr>
            <w:r>
              <w:rPr>
                <w:sz w:val="20"/>
              </w:rPr>
              <w:t xml:space="preserve">26</w:t>
            </w:r>
          </w:p>
        </w:tc>
        <w:tc>
          <w:tcPr>
            <w:tcW w:w="850" w:type="dxa"/>
          </w:tcPr>
          <w:p>
            <w:pPr>
              <w:pStyle w:val="0"/>
              <w:jc w:val="center"/>
            </w:pPr>
            <w:r>
              <w:rPr>
                <w:sz w:val="20"/>
              </w:rPr>
              <w:t xml:space="preserve">5,96</w:t>
            </w:r>
          </w:p>
        </w:tc>
        <w:tc>
          <w:tcPr>
            <w:tcW w:w="737" w:type="dxa"/>
          </w:tcPr>
          <w:p>
            <w:pPr>
              <w:pStyle w:val="0"/>
              <w:jc w:val="center"/>
            </w:pPr>
            <w:r>
              <w:rPr>
                <w:sz w:val="20"/>
              </w:rPr>
              <w:t xml:space="preserve">22</w:t>
            </w:r>
          </w:p>
        </w:tc>
        <w:tc>
          <w:tcPr>
            <w:tcW w:w="850" w:type="dxa"/>
          </w:tcPr>
          <w:p>
            <w:pPr>
              <w:pStyle w:val="0"/>
              <w:jc w:val="center"/>
            </w:pPr>
            <w:r>
              <w:rPr>
                <w:sz w:val="20"/>
              </w:rPr>
              <w:t xml:space="preserve">4,97</w:t>
            </w:r>
          </w:p>
        </w:tc>
        <w:tc>
          <w:tcPr>
            <w:tcW w:w="737" w:type="dxa"/>
          </w:tcPr>
          <w:p>
            <w:pPr>
              <w:pStyle w:val="0"/>
              <w:jc w:val="center"/>
            </w:pPr>
            <w:r>
              <w:rPr>
                <w:sz w:val="20"/>
              </w:rPr>
              <w:t xml:space="preserve">33</w:t>
            </w:r>
          </w:p>
        </w:tc>
        <w:tc>
          <w:tcPr>
            <w:tcW w:w="850" w:type="dxa"/>
          </w:tcPr>
          <w:p>
            <w:pPr>
              <w:pStyle w:val="0"/>
              <w:jc w:val="center"/>
            </w:pPr>
            <w:r>
              <w:rPr>
                <w:sz w:val="20"/>
              </w:rPr>
              <w:t xml:space="preserve">7,36</w:t>
            </w:r>
          </w:p>
        </w:tc>
        <w:tc>
          <w:tcPr>
            <w:tcW w:w="737" w:type="dxa"/>
          </w:tcPr>
          <w:p>
            <w:pPr>
              <w:pStyle w:val="0"/>
              <w:jc w:val="center"/>
            </w:pPr>
            <w:r>
              <w:rPr>
                <w:sz w:val="20"/>
              </w:rPr>
              <w:t xml:space="preserve">11</w:t>
            </w:r>
          </w:p>
        </w:tc>
        <w:tc>
          <w:tcPr>
            <w:tcW w:w="850" w:type="dxa"/>
          </w:tcPr>
          <w:p>
            <w:pPr>
              <w:pStyle w:val="0"/>
              <w:jc w:val="center"/>
            </w:pPr>
            <w:r>
              <w:rPr>
                <w:sz w:val="20"/>
              </w:rPr>
              <w:t xml:space="preserve">48,10</w:t>
            </w:r>
          </w:p>
        </w:tc>
      </w:tr>
      <w:tr>
        <w:tc>
          <w:tcPr>
            <w:tcW w:w="2721" w:type="dxa"/>
          </w:tcPr>
          <w:p>
            <w:pPr>
              <w:pStyle w:val="0"/>
              <w:jc w:val="both"/>
            </w:pPr>
            <w:r>
              <w:rPr>
                <w:sz w:val="20"/>
              </w:rPr>
              <w:t xml:space="preserve">в т.ч. ЗНО мезотелиальных и мягких тканей</w:t>
            </w:r>
          </w:p>
        </w:tc>
        <w:tc>
          <w:tcPr>
            <w:tcW w:w="737" w:type="dxa"/>
          </w:tcPr>
          <w:p>
            <w:pPr>
              <w:pStyle w:val="0"/>
              <w:jc w:val="center"/>
            </w:pPr>
            <w:r>
              <w:rPr>
                <w:sz w:val="20"/>
              </w:rPr>
              <w:t xml:space="preserve">24</w:t>
            </w:r>
          </w:p>
        </w:tc>
        <w:tc>
          <w:tcPr>
            <w:tcW w:w="850" w:type="dxa"/>
          </w:tcPr>
          <w:p>
            <w:pPr>
              <w:pStyle w:val="0"/>
              <w:jc w:val="center"/>
            </w:pPr>
            <w:r>
              <w:rPr>
                <w:sz w:val="20"/>
              </w:rPr>
              <w:t xml:space="preserve">5,50</w:t>
            </w:r>
          </w:p>
        </w:tc>
        <w:tc>
          <w:tcPr>
            <w:tcW w:w="737" w:type="dxa"/>
          </w:tcPr>
          <w:p>
            <w:pPr>
              <w:pStyle w:val="0"/>
              <w:jc w:val="center"/>
            </w:pPr>
            <w:r>
              <w:rPr>
                <w:sz w:val="20"/>
              </w:rPr>
              <w:t xml:space="preserve">13</w:t>
            </w:r>
          </w:p>
        </w:tc>
        <w:tc>
          <w:tcPr>
            <w:tcW w:w="850" w:type="dxa"/>
          </w:tcPr>
          <w:p>
            <w:pPr>
              <w:pStyle w:val="0"/>
              <w:jc w:val="center"/>
            </w:pPr>
            <w:r>
              <w:rPr>
                <w:sz w:val="20"/>
              </w:rPr>
              <w:t xml:space="preserve">2,94</w:t>
            </w:r>
          </w:p>
        </w:tc>
        <w:tc>
          <w:tcPr>
            <w:tcW w:w="737" w:type="dxa"/>
          </w:tcPr>
          <w:p>
            <w:pPr>
              <w:pStyle w:val="0"/>
              <w:jc w:val="center"/>
            </w:pPr>
            <w:r>
              <w:rPr>
                <w:sz w:val="20"/>
              </w:rPr>
              <w:t xml:space="preserve">11</w:t>
            </w:r>
          </w:p>
        </w:tc>
        <w:tc>
          <w:tcPr>
            <w:tcW w:w="850" w:type="dxa"/>
          </w:tcPr>
          <w:p>
            <w:pPr>
              <w:pStyle w:val="0"/>
              <w:jc w:val="center"/>
            </w:pPr>
            <w:r>
              <w:rPr>
                <w:sz w:val="20"/>
              </w:rPr>
              <w:t xml:space="preserve">2,45</w:t>
            </w:r>
          </w:p>
        </w:tc>
        <w:tc>
          <w:tcPr>
            <w:tcW w:w="737" w:type="dxa"/>
          </w:tcPr>
          <w:p>
            <w:pPr>
              <w:pStyle w:val="0"/>
              <w:jc w:val="center"/>
            </w:pPr>
            <w:r>
              <w:rPr>
                <w:sz w:val="20"/>
              </w:rPr>
              <w:t xml:space="preserve">-2</w:t>
            </w:r>
          </w:p>
        </w:tc>
        <w:tc>
          <w:tcPr>
            <w:tcW w:w="850" w:type="dxa"/>
          </w:tcPr>
          <w:p>
            <w:pPr>
              <w:pStyle w:val="0"/>
              <w:jc w:val="center"/>
            </w:pPr>
            <w:r>
              <w:rPr>
                <w:sz w:val="20"/>
              </w:rPr>
              <w:t xml:space="preserve">-16,46</w:t>
            </w:r>
          </w:p>
        </w:tc>
      </w:tr>
      <w:tr>
        <w:tc>
          <w:tcPr>
            <w:tcW w:w="2721" w:type="dxa"/>
          </w:tcPr>
          <w:p>
            <w:pPr>
              <w:pStyle w:val="0"/>
              <w:jc w:val="both"/>
            </w:pPr>
            <w:r>
              <w:rPr>
                <w:sz w:val="20"/>
              </w:rPr>
              <w:t xml:space="preserve">в т.ч. ЗНО грудной/молочной железы</w:t>
            </w:r>
          </w:p>
        </w:tc>
        <w:tc>
          <w:tcPr>
            <w:tcW w:w="737" w:type="dxa"/>
          </w:tcPr>
          <w:p>
            <w:pPr>
              <w:pStyle w:val="0"/>
              <w:jc w:val="center"/>
            </w:pPr>
            <w:r>
              <w:rPr>
                <w:sz w:val="20"/>
              </w:rPr>
              <w:t xml:space="preserve">95</w:t>
            </w:r>
          </w:p>
        </w:tc>
        <w:tc>
          <w:tcPr>
            <w:tcW w:w="850" w:type="dxa"/>
          </w:tcPr>
          <w:p>
            <w:pPr>
              <w:pStyle w:val="0"/>
              <w:jc w:val="center"/>
            </w:pPr>
            <w:r>
              <w:rPr>
                <w:sz w:val="20"/>
              </w:rPr>
              <w:t xml:space="preserve">21,79</w:t>
            </w:r>
          </w:p>
        </w:tc>
        <w:tc>
          <w:tcPr>
            <w:tcW w:w="737" w:type="dxa"/>
          </w:tcPr>
          <w:p>
            <w:pPr>
              <w:pStyle w:val="0"/>
              <w:jc w:val="center"/>
            </w:pPr>
            <w:r>
              <w:rPr>
                <w:sz w:val="20"/>
              </w:rPr>
              <w:t xml:space="preserve">98</w:t>
            </w:r>
          </w:p>
        </w:tc>
        <w:tc>
          <w:tcPr>
            <w:tcW w:w="850" w:type="dxa"/>
          </w:tcPr>
          <w:p>
            <w:pPr>
              <w:pStyle w:val="0"/>
              <w:jc w:val="center"/>
            </w:pPr>
            <w:r>
              <w:rPr>
                <w:sz w:val="20"/>
              </w:rPr>
              <w:t xml:space="preserve">22,15</w:t>
            </w:r>
          </w:p>
        </w:tc>
        <w:tc>
          <w:tcPr>
            <w:tcW w:w="737" w:type="dxa"/>
          </w:tcPr>
          <w:p>
            <w:pPr>
              <w:pStyle w:val="0"/>
              <w:jc w:val="center"/>
            </w:pPr>
            <w:r>
              <w:rPr>
                <w:sz w:val="20"/>
              </w:rPr>
              <w:t xml:space="preserve">85</w:t>
            </w:r>
          </w:p>
        </w:tc>
        <w:tc>
          <w:tcPr>
            <w:tcW w:w="850" w:type="dxa"/>
          </w:tcPr>
          <w:p>
            <w:pPr>
              <w:pStyle w:val="0"/>
              <w:jc w:val="center"/>
            </w:pPr>
            <w:r>
              <w:rPr>
                <w:sz w:val="20"/>
              </w:rPr>
              <w:t xml:space="preserve">18,97</w:t>
            </w:r>
          </w:p>
        </w:tc>
        <w:tc>
          <w:tcPr>
            <w:tcW w:w="737" w:type="dxa"/>
          </w:tcPr>
          <w:p>
            <w:pPr>
              <w:pStyle w:val="0"/>
              <w:jc w:val="center"/>
            </w:pPr>
            <w:r>
              <w:rPr>
                <w:sz w:val="20"/>
              </w:rPr>
              <w:t xml:space="preserve">-13</w:t>
            </w:r>
          </w:p>
        </w:tc>
        <w:tc>
          <w:tcPr>
            <w:tcW w:w="850" w:type="dxa"/>
          </w:tcPr>
          <w:p>
            <w:pPr>
              <w:pStyle w:val="0"/>
              <w:jc w:val="center"/>
            </w:pPr>
            <w:r>
              <w:rPr>
                <w:sz w:val="20"/>
              </w:rPr>
              <w:t xml:space="preserve">-14,37</w:t>
            </w:r>
          </w:p>
        </w:tc>
      </w:tr>
      <w:tr>
        <w:tc>
          <w:tcPr>
            <w:tcW w:w="2721" w:type="dxa"/>
          </w:tcPr>
          <w:p>
            <w:pPr>
              <w:pStyle w:val="0"/>
              <w:jc w:val="both"/>
            </w:pPr>
            <w:r>
              <w:rPr>
                <w:sz w:val="20"/>
              </w:rPr>
              <w:t xml:space="preserve">в т.ч. ЗНО женских половых органов</w:t>
            </w:r>
          </w:p>
        </w:tc>
        <w:tc>
          <w:tcPr>
            <w:tcW w:w="737" w:type="dxa"/>
          </w:tcPr>
          <w:p>
            <w:pPr>
              <w:pStyle w:val="0"/>
              <w:jc w:val="center"/>
            </w:pPr>
            <w:r>
              <w:rPr>
                <w:sz w:val="20"/>
              </w:rPr>
              <w:t xml:space="preserve">88</w:t>
            </w:r>
          </w:p>
        </w:tc>
        <w:tc>
          <w:tcPr>
            <w:tcW w:w="850" w:type="dxa"/>
          </w:tcPr>
          <w:p>
            <w:pPr>
              <w:pStyle w:val="0"/>
              <w:jc w:val="center"/>
            </w:pPr>
            <w:r>
              <w:rPr>
                <w:sz w:val="20"/>
              </w:rPr>
              <w:t xml:space="preserve">20,18</w:t>
            </w:r>
          </w:p>
        </w:tc>
        <w:tc>
          <w:tcPr>
            <w:tcW w:w="737" w:type="dxa"/>
          </w:tcPr>
          <w:p>
            <w:pPr>
              <w:pStyle w:val="0"/>
              <w:jc w:val="center"/>
            </w:pPr>
            <w:r>
              <w:rPr>
                <w:sz w:val="20"/>
              </w:rPr>
              <w:t xml:space="preserve">83</w:t>
            </w:r>
          </w:p>
        </w:tc>
        <w:tc>
          <w:tcPr>
            <w:tcW w:w="850" w:type="dxa"/>
          </w:tcPr>
          <w:p>
            <w:pPr>
              <w:pStyle w:val="0"/>
              <w:jc w:val="center"/>
            </w:pPr>
            <w:r>
              <w:rPr>
                <w:sz w:val="20"/>
              </w:rPr>
              <w:t xml:space="preserve">18,76</w:t>
            </w:r>
          </w:p>
        </w:tc>
        <w:tc>
          <w:tcPr>
            <w:tcW w:w="737" w:type="dxa"/>
          </w:tcPr>
          <w:p>
            <w:pPr>
              <w:pStyle w:val="0"/>
              <w:jc w:val="center"/>
            </w:pPr>
            <w:r>
              <w:rPr>
                <w:sz w:val="20"/>
              </w:rPr>
              <w:t xml:space="preserve">80</w:t>
            </w:r>
          </w:p>
        </w:tc>
        <w:tc>
          <w:tcPr>
            <w:tcW w:w="850" w:type="dxa"/>
          </w:tcPr>
          <w:p>
            <w:pPr>
              <w:pStyle w:val="0"/>
              <w:jc w:val="center"/>
            </w:pPr>
            <w:r>
              <w:rPr>
                <w:sz w:val="20"/>
              </w:rPr>
              <w:t xml:space="preserve">17,85</w:t>
            </w:r>
          </w:p>
        </w:tc>
        <w:tc>
          <w:tcPr>
            <w:tcW w:w="737" w:type="dxa"/>
          </w:tcPr>
          <w:p>
            <w:pPr>
              <w:pStyle w:val="0"/>
              <w:jc w:val="center"/>
            </w:pPr>
            <w:r>
              <w:rPr>
                <w:sz w:val="20"/>
              </w:rPr>
              <w:t xml:space="preserve">-3</w:t>
            </w:r>
          </w:p>
        </w:tc>
        <w:tc>
          <w:tcPr>
            <w:tcW w:w="850" w:type="dxa"/>
          </w:tcPr>
          <w:p>
            <w:pPr>
              <w:pStyle w:val="0"/>
              <w:jc w:val="center"/>
            </w:pPr>
            <w:r>
              <w:rPr>
                <w:sz w:val="20"/>
              </w:rPr>
              <w:t xml:space="preserve">-4,84</w:t>
            </w:r>
          </w:p>
        </w:tc>
      </w:tr>
      <w:tr>
        <w:tc>
          <w:tcPr>
            <w:tcW w:w="2721" w:type="dxa"/>
          </w:tcPr>
          <w:p>
            <w:pPr>
              <w:pStyle w:val="0"/>
              <w:jc w:val="both"/>
            </w:pPr>
            <w:r>
              <w:rPr>
                <w:sz w:val="20"/>
              </w:rPr>
              <w:t xml:space="preserve">в т.ч. ЗНО мужских половых органов</w:t>
            </w:r>
          </w:p>
        </w:tc>
        <w:tc>
          <w:tcPr>
            <w:tcW w:w="737" w:type="dxa"/>
          </w:tcPr>
          <w:p>
            <w:pPr>
              <w:pStyle w:val="0"/>
              <w:jc w:val="center"/>
            </w:pPr>
            <w:r>
              <w:rPr>
                <w:sz w:val="20"/>
              </w:rPr>
              <w:t xml:space="preserve">61</w:t>
            </w:r>
          </w:p>
        </w:tc>
        <w:tc>
          <w:tcPr>
            <w:tcW w:w="850" w:type="dxa"/>
          </w:tcPr>
          <w:p>
            <w:pPr>
              <w:pStyle w:val="0"/>
              <w:jc w:val="center"/>
            </w:pPr>
            <w:r>
              <w:rPr>
                <w:sz w:val="20"/>
              </w:rPr>
              <w:t xml:space="preserve">13,99</w:t>
            </w:r>
          </w:p>
        </w:tc>
        <w:tc>
          <w:tcPr>
            <w:tcW w:w="737" w:type="dxa"/>
          </w:tcPr>
          <w:p>
            <w:pPr>
              <w:pStyle w:val="0"/>
              <w:jc w:val="center"/>
            </w:pPr>
            <w:r>
              <w:rPr>
                <w:sz w:val="20"/>
              </w:rPr>
              <w:t xml:space="preserve">73</w:t>
            </w:r>
          </w:p>
        </w:tc>
        <w:tc>
          <w:tcPr>
            <w:tcW w:w="850" w:type="dxa"/>
          </w:tcPr>
          <w:p>
            <w:pPr>
              <w:pStyle w:val="0"/>
              <w:jc w:val="center"/>
            </w:pPr>
            <w:r>
              <w:rPr>
                <w:sz w:val="20"/>
              </w:rPr>
              <w:t xml:space="preserve">16,50</w:t>
            </w:r>
          </w:p>
        </w:tc>
        <w:tc>
          <w:tcPr>
            <w:tcW w:w="737" w:type="dxa"/>
          </w:tcPr>
          <w:p>
            <w:pPr>
              <w:pStyle w:val="0"/>
              <w:jc w:val="center"/>
            </w:pPr>
            <w:r>
              <w:rPr>
                <w:sz w:val="20"/>
              </w:rPr>
              <w:t xml:space="preserve">72</w:t>
            </w:r>
          </w:p>
        </w:tc>
        <w:tc>
          <w:tcPr>
            <w:tcW w:w="850" w:type="dxa"/>
          </w:tcPr>
          <w:p>
            <w:pPr>
              <w:pStyle w:val="0"/>
              <w:jc w:val="center"/>
            </w:pPr>
            <w:r>
              <w:rPr>
                <w:sz w:val="20"/>
              </w:rPr>
              <w:t xml:space="preserve">16,07</w:t>
            </w:r>
          </w:p>
        </w:tc>
        <w:tc>
          <w:tcPr>
            <w:tcW w:w="737" w:type="dxa"/>
          </w:tcPr>
          <w:p>
            <w:pPr>
              <w:pStyle w:val="0"/>
              <w:jc w:val="center"/>
            </w:pPr>
            <w:r>
              <w:rPr>
                <w:sz w:val="20"/>
              </w:rPr>
              <w:t xml:space="preserve">-1</w:t>
            </w:r>
          </w:p>
        </w:tc>
        <w:tc>
          <w:tcPr>
            <w:tcW w:w="850" w:type="dxa"/>
          </w:tcPr>
          <w:p>
            <w:pPr>
              <w:pStyle w:val="0"/>
              <w:jc w:val="center"/>
            </w:pPr>
            <w:r>
              <w:rPr>
                <w:sz w:val="20"/>
              </w:rPr>
              <w:t xml:space="preserve">-2,62</w:t>
            </w:r>
          </w:p>
        </w:tc>
      </w:tr>
      <w:tr>
        <w:tc>
          <w:tcPr>
            <w:tcW w:w="2721" w:type="dxa"/>
          </w:tcPr>
          <w:p>
            <w:pPr>
              <w:pStyle w:val="0"/>
              <w:jc w:val="both"/>
            </w:pPr>
            <w:r>
              <w:rPr>
                <w:sz w:val="20"/>
              </w:rPr>
              <w:t xml:space="preserve">в т.ч. ЗНО мочевыводящих путей</w:t>
            </w:r>
          </w:p>
        </w:tc>
        <w:tc>
          <w:tcPr>
            <w:tcW w:w="737" w:type="dxa"/>
          </w:tcPr>
          <w:p>
            <w:pPr>
              <w:pStyle w:val="0"/>
              <w:jc w:val="center"/>
            </w:pPr>
            <w:r>
              <w:rPr>
                <w:sz w:val="20"/>
              </w:rPr>
              <w:t xml:space="preserve">69</w:t>
            </w:r>
          </w:p>
        </w:tc>
        <w:tc>
          <w:tcPr>
            <w:tcW w:w="850" w:type="dxa"/>
          </w:tcPr>
          <w:p>
            <w:pPr>
              <w:pStyle w:val="0"/>
              <w:jc w:val="center"/>
            </w:pPr>
            <w:r>
              <w:rPr>
                <w:sz w:val="20"/>
              </w:rPr>
              <w:t xml:space="preserve">15,82</w:t>
            </w:r>
          </w:p>
        </w:tc>
        <w:tc>
          <w:tcPr>
            <w:tcW w:w="737" w:type="dxa"/>
          </w:tcPr>
          <w:p>
            <w:pPr>
              <w:pStyle w:val="0"/>
              <w:jc w:val="center"/>
            </w:pPr>
            <w:r>
              <w:rPr>
                <w:sz w:val="20"/>
              </w:rPr>
              <w:t xml:space="preserve">79</w:t>
            </w:r>
          </w:p>
        </w:tc>
        <w:tc>
          <w:tcPr>
            <w:tcW w:w="850" w:type="dxa"/>
          </w:tcPr>
          <w:p>
            <w:pPr>
              <w:pStyle w:val="0"/>
              <w:jc w:val="center"/>
            </w:pPr>
            <w:r>
              <w:rPr>
                <w:sz w:val="20"/>
              </w:rPr>
              <w:t xml:space="preserve">17,86</w:t>
            </w:r>
          </w:p>
        </w:tc>
        <w:tc>
          <w:tcPr>
            <w:tcW w:w="737" w:type="dxa"/>
          </w:tcPr>
          <w:p>
            <w:pPr>
              <w:pStyle w:val="0"/>
              <w:jc w:val="center"/>
            </w:pPr>
            <w:r>
              <w:rPr>
                <w:sz w:val="20"/>
              </w:rPr>
              <w:t xml:space="preserve">80</w:t>
            </w:r>
          </w:p>
        </w:tc>
        <w:tc>
          <w:tcPr>
            <w:tcW w:w="850" w:type="dxa"/>
          </w:tcPr>
          <w:p>
            <w:pPr>
              <w:pStyle w:val="0"/>
              <w:jc w:val="center"/>
            </w:pPr>
            <w:r>
              <w:rPr>
                <w:sz w:val="20"/>
              </w:rPr>
              <w:t xml:space="preserve">17,85</w:t>
            </w:r>
          </w:p>
        </w:tc>
        <w:tc>
          <w:tcPr>
            <w:tcW w:w="737" w:type="dxa"/>
          </w:tcPr>
          <w:p>
            <w:pPr>
              <w:pStyle w:val="0"/>
              <w:jc w:val="center"/>
            </w:pPr>
            <w:r>
              <w:rPr>
                <w:sz w:val="20"/>
              </w:rPr>
              <w:t xml:space="preserve">1</w:t>
            </w:r>
          </w:p>
        </w:tc>
        <w:tc>
          <w:tcPr>
            <w:tcW w:w="850" w:type="dxa"/>
          </w:tcPr>
          <w:p>
            <w:pPr>
              <w:pStyle w:val="0"/>
              <w:jc w:val="center"/>
            </w:pPr>
            <w:r>
              <w:rPr>
                <w:sz w:val="20"/>
              </w:rPr>
              <w:t xml:space="preserve">-0,02</w:t>
            </w:r>
          </w:p>
        </w:tc>
      </w:tr>
      <w:tr>
        <w:tc>
          <w:tcPr>
            <w:tcW w:w="2721" w:type="dxa"/>
          </w:tcPr>
          <w:p>
            <w:pPr>
              <w:pStyle w:val="0"/>
              <w:jc w:val="both"/>
            </w:pPr>
            <w:r>
              <w:rPr>
                <w:sz w:val="20"/>
              </w:rPr>
              <w:t xml:space="preserve">в т.ч. ЗНО мозговых оболочек, головного мозга, черепно-мозговых нервов и др. частей нервной системы</w:t>
            </w:r>
          </w:p>
        </w:tc>
        <w:tc>
          <w:tcPr>
            <w:tcW w:w="737" w:type="dxa"/>
          </w:tcPr>
          <w:p>
            <w:pPr>
              <w:pStyle w:val="0"/>
              <w:jc w:val="center"/>
            </w:pPr>
            <w:r>
              <w:rPr>
                <w:sz w:val="20"/>
              </w:rPr>
              <w:t xml:space="preserve">50</w:t>
            </w:r>
          </w:p>
        </w:tc>
        <w:tc>
          <w:tcPr>
            <w:tcW w:w="850" w:type="dxa"/>
          </w:tcPr>
          <w:p>
            <w:pPr>
              <w:pStyle w:val="0"/>
              <w:jc w:val="center"/>
            </w:pPr>
            <w:r>
              <w:rPr>
                <w:sz w:val="20"/>
              </w:rPr>
              <w:t xml:space="preserve">11,47</w:t>
            </w:r>
          </w:p>
        </w:tc>
        <w:tc>
          <w:tcPr>
            <w:tcW w:w="737" w:type="dxa"/>
          </w:tcPr>
          <w:p>
            <w:pPr>
              <w:pStyle w:val="0"/>
              <w:jc w:val="center"/>
            </w:pPr>
            <w:r>
              <w:rPr>
                <w:sz w:val="20"/>
              </w:rPr>
              <w:t xml:space="preserve">39</w:t>
            </w:r>
          </w:p>
        </w:tc>
        <w:tc>
          <w:tcPr>
            <w:tcW w:w="850" w:type="dxa"/>
          </w:tcPr>
          <w:p>
            <w:pPr>
              <w:pStyle w:val="0"/>
              <w:jc w:val="center"/>
            </w:pPr>
            <w:r>
              <w:rPr>
                <w:sz w:val="20"/>
              </w:rPr>
              <w:t xml:space="preserve">8,81</w:t>
            </w:r>
          </w:p>
        </w:tc>
        <w:tc>
          <w:tcPr>
            <w:tcW w:w="737" w:type="dxa"/>
          </w:tcPr>
          <w:p>
            <w:pPr>
              <w:pStyle w:val="0"/>
              <w:jc w:val="center"/>
            </w:pPr>
            <w:r>
              <w:rPr>
                <w:sz w:val="20"/>
              </w:rPr>
              <w:t xml:space="preserve">37</w:t>
            </w:r>
          </w:p>
        </w:tc>
        <w:tc>
          <w:tcPr>
            <w:tcW w:w="850" w:type="dxa"/>
          </w:tcPr>
          <w:p>
            <w:pPr>
              <w:pStyle w:val="0"/>
              <w:jc w:val="center"/>
            </w:pPr>
            <w:r>
              <w:rPr>
                <w:sz w:val="20"/>
              </w:rPr>
              <w:t xml:space="preserve">8,26</w:t>
            </w:r>
          </w:p>
        </w:tc>
        <w:tc>
          <w:tcPr>
            <w:tcW w:w="737" w:type="dxa"/>
          </w:tcPr>
          <w:p>
            <w:pPr>
              <w:pStyle w:val="0"/>
              <w:jc w:val="center"/>
            </w:pPr>
            <w:r>
              <w:rPr>
                <w:sz w:val="20"/>
              </w:rPr>
              <w:t xml:space="preserve">-2</w:t>
            </w:r>
          </w:p>
        </w:tc>
        <w:tc>
          <w:tcPr>
            <w:tcW w:w="850" w:type="dxa"/>
          </w:tcPr>
          <w:p>
            <w:pPr>
              <w:pStyle w:val="0"/>
              <w:jc w:val="center"/>
            </w:pPr>
            <w:r>
              <w:rPr>
                <w:sz w:val="20"/>
              </w:rPr>
              <w:t xml:space="preserve">-6,33</w:t>
            </w:r>
          </w:p>
        </w:tc>
      </w:tr>
      <w:tr>
        <w:tc>
          <w:tcPr>
            <w:tcW w:w="2721" w:type="dxa"/>
          </w:tcPr>
          <w:p>
            <w:pPr>
              <w:pStyle w:val="0"/>
              <w:jc w:val="both"/>
            </w:pPr>
            <w:r>
              <w:rPr>
                <w:sz w:val="20"/>
              </w:rPr>
              <w:t xml:space="preserve">в т.ч. ЗНО щитовидной железы</w:t>
            </w:r>
          </w:p>
        </w:tc>
        <w:tc>
          <w:tcPr>
            <w:tcW w:w="737" w:type="dxa"/>
          </w:tcPr>
          <w:p>
            <w:pPr>
              <w:pStyle w:val="0"/>
              <w:jc w:val="center"/>
            </w:pPr>
            <w:r>
              <w:rPr>
                <w:sz w:val="20"/>
              </w:rPr>
              <w:t xml:space="preserve">7</w:t>
            </w:r>
          </w:p>
        </w:tc>
        <w:tc>
          <w:tcPr>
            <w:tcW w:w="850" w:type="dxa"/>
          </w:tcPr>
          <w:p>
            <w:pPr>
              <w:pStyle w:val="0"/>
              <w:jc w:val="center"/>
            </w:pPr>
            <w:r>
              <w:rPr>
                <w:sz w:val="20"/>
              </w:rPr>
              <w:t xml:space="preserve">1,61</w:t>
            </w:r>
          </w:p>
        </w:tc>
        <w:tc>
          <w:tcPr>
            <w:tcW w:w="737" w:type="dxa"/>
          </w:tcPr>
          <w:p>
            <w:pPr>
              <w:pStyle w:val="0"/>
              <w:jc w:val="center"/>
            </w:pPr>
            <w:r>
              <w:rPr>
                <w:sz w:val="20"/>
              </w:rPr>
              <w:t xml:space="preserve">9</w:t>
            </w:r>
          </w:p>
        </w:tc>
        <w:tc>
          <w:tcPr>
            <w:tcW w:w="850" w:type="dxa"/>
          </w:tcPr>
          <w:p>
            <w:pPr>
              <w:pStyle w:val="0"/>
              <w:jc w:val="center"/>
            </w:pPr>
            <w:r>
              <w:rPr>
                <w:sz w:val="20"/>
              </w:rPr>
              <w:t xml:space="preserve">2,03</w:t>
            </w:r>
          </w:p>
        </w:tc>
        <w:tc>
          <w:tcPr>
            <w:tcW w:w="737" w:type="dxa"/>
          </w:tcPr>
          <w:p>
            <w:pPr>
              <w:pStyle w:val="0"/>
              <w:jc w:val="center"/>
            </w:pPr>
            <w:r>
              <w:rPr>
                <w:sz w:val="20"/>
              </w:rPr>
              <w:t xml:space="preserve">2</w:t>
            </w:r>
          </w:p>
        </w:tc>
        <w:tc>
          <w:tcPr>
            <w:tcW w:w="850" w:type="dxa"/>
          </w:tcPr>
          <w:p>
            <w:pPr>
              <w:pStyle w:val="0"/>
              <w:jc w:val="center"/>
            </w:pPr>
            <w:r>
              <w:rPr>
                <w:sz w:val="20"/>
              </w:rPr>
              <w:t xml:space="preserve">0,45</w:t>
            </w:r>
          </w:p>
        </w:tc>
        <w:tc>
          <w:tcPr>
            <w:tcW w:w="737" w:type="dxa"/>
          </w:tcPr>
          <w:p>
            <w:pPr>
              <w:pStyle w:val="0"/>
              <w:jc w:val="center"/>
            </w:pPr>
            <w:r>
              <w:rPr>
                <w:sz w:val="20"/>
              </w:rPr>
              <w:t xml:space="preserve">-7</w:t>
            </w:r>
          </w:p>
        </w:tc>
        <w:tc>
          <w:tcPr>
            <w:tcW w:w="850" w:type="dxa"/>
          </w:tcPr>
          <w:p>
            <w:pPr>
              <w:pStyle w:val="0"/>
              <w:jc w:val="center"/>
            </w:pPr>
            <w:r>
              <w:rPr>
                <w:sz w:val="20"/>
              </w:rPr>
              <w:t xml:space="preserve">-78,06</w:t>
            </w:r>
          </w:p>
        </w:tc>
      </w:tr>
      <w:tr>
        <w:tc>
          <w:tcPr>
            <w:tcW w:w="2721" w:type="dxa"/>
          </w:tcPr>
          <w:p>
            <w:pPr>
              <w:pStyle w:val="0"/>
              <w:jc w:val="both"/>
            </w:pPr>
            <w:r>
              <w:rPr>
                <w:sz w:val="20"/>
              </w:rPr>
              <w:t xml:space="preserve">в т.ч. ЗНО неточно обозначенных, вторичных или неуточненных</w:t>
            </w:r>
          </w:p>
        </w:tc>
        <w:tc>
          <w:tcPr>
            <w:tcW w:w="737" w:type="dxa"/>
          </w:tcPr>
          <w:p>
            <w:pPr>
              <w:pStyle w:val="0"/>
              <w:jc w:val="center"/>
            </w:pPr>
            <w:r>
              <w:rPr>
                <w:sz w:val="20"/>
              </w:rPr>
              <w:t xml:space="preserve">17</w:t>
            </w:r>
          </w:p>
        </w:tc>
        <w:tc>
          <w:tcPr>
            <w:tcW w:w="850" w:type="dxa"/>
          </w:tcPr>
          <w:p>
            <w:pPr>
              <w:pStyle w:val="0"/>
              <w:jc w:val="center"/>
            </w:pPr>
            <w:r>
              <w:rPr>
                <w:sz w:val="20"/>
              </w:rPr>
              <w:t xml:space="preserve">3,90</w:t>
            </w:r>
          </w:p>
        </w:tc>
        <w:tc>
          <w:tcPr>
            <w:tcW w:w="737" w:type="dxa"/>
          </w:tcPr>
          <w:p>
            <w:pPr>
              <w:pStyle w:val="0"/>
              <w:jc w:val="center"/>
            </w:pPr>
            <w:r>
              <w:rPr>
                <w:sz w:val="20"/>
              </w:rPr>
              <w:t xml:space="preserve">13</w:t>
            </w:r>
          </w:p>
        </w:tc>
        <w:tc>
          <w:tcPr>
            <w:tcW w:w="850" w:type="dxa"/>
          </w:tcPr>
          <w:p>
            <w:pPr>
              <w:pStyle w:val="0"/>
              <w:jc w:val="center"/>
            </w:pPr>
            <w:r>
              <w:rPr>
                <w:sz w:val="20"/>
              </w:rPr>
              <w:t xml:space="preserve">2,94</w:t>
            </w:r>
          </w:p>
        </w:tc>
        <w:tc>
          <w:tcPr>
            <w:tcW w:w="737" w:type="dxa"/>
          </w:tcPr>
          <w:p>
            <w:pPr>
              <w:pStyle w:val="0"/>
              <w:jc w:val="center"/>
            </w:pPr>
            <w:r>
              <w:rPr>
                <w:sz w:val="20"/>
              </w:rPr>
              <w:t xml:space="preserve">0</w:t>
            </w:r>
          </w:p>
        </w:tc>
        <w:tc>
          <w:tcPr>
            <w:tcW w:w="850" w:type="dxa"/>
          </w:tcPr>
          <w:p>
            <w:pPr>
              <w:pStyle w:val="0"/>
              <w:jc w:val="center"/>
            </w:pPr>
            <w:r>
              <w:rPr>
                <w:sz w:val="20"/>
              </w:rPr>
              <w:t xml:space="preserve">0,00</w:t>
            </w:r>
          </w:p>
        </w:tc>
        <w:tc>
          <w:tcPr>
            <w:tcW w:w="737" w:type="dxa"/>
          </w:tcPr>
          <w:p>
            <w:pPr>
              <w:pStyle w:val="0"/>
              <w:jc w:val="center"/>
            </w:pPr>
            <w:r>
              <w:rPr>
                <w:sz w:val="20"/>
              </w:rPr>
              <w:t xml:space="preserve">-13</w:t>
            </w:r>
          </w:p>
        </w:tc>
        <w:tc>
          <w:tcPr>
            <w:tcW w:w="850" w:type="dxa"/>
          </w:tcPr>
          <w:p>
            <w:pPr>
              <w:pStyle w:val="0"/>
              <w:jc w:val="center"/>
            </w:pPr>
            <w:r>
              <w:rPr>
                <w:sz w:val="20"/>
              </w:rPr>
              <w:t xml:space="preserve">-100,00</w:t>
            </w:r>
          </w:p>
        </w:tc>
      </w:tr>
      <w:tr>
        <w:tc>
          <w:tcPr>
            <w:tcW w:w="2721" w:type="dxa"/>
          </w:tcPr>
          <w:p>
            <w:pPr>
              <w:pStyle w:val="0"/>
              <w:jc w:val="both"/>
            </w:pPr>
            <w:r>
              <w:rPr>
                <w:sz w:val="20"/>
              </w:rPr>
              <w:t xml:space="preserve">в т.ч. ЗНО лимфоидной, кроветворной системы</w:t>
            </w:r>
          </w:p>
        </w:tc>
        <w:tc>
          <w:tcPr>
            <w:tcW w:w="737" w:type="dxa"/>
          </w:tcPr>
          <w:p>
            <w:pPr>
              <w:pStyle w:val="0"/>
              <w:jc w:val="center"/>
            </w:pPr>
            <w:r>
              <w:rPr>
                <w:sz w:val="20"/>
              </w:rPr>
              <w:t xml:space="preserve">56</w:t>
            </w:r>
          </w:p>
        </w:tc>
        <w:tc>
          <w:tcPr>
            <w:tcW w:w="850" w:type="dxa"/>
          </w:tcPr>
          <w:p>
            <w:pPr>
              <w:pStyle w:val="0"/>
              <w:jc w:val="center"/>
            </w:pPr>
            <w:r>
              <w:rPr>
                <w:sz w:val="20"/>
              </w:rPr>
              <w:t xml:space="preserve">12,84</w:t>
            </w:r>
          </w:p>
        </w:tc>
        <w:tc>
          <w:tcPr>
            <w:tcW w:w="737" w:type="dxa"/>
          </w:tcPr>
          <w:p>
            <w:pPr>
              <w:pStyle w:val="0"/>
              <w:jc w:val="center"/>
            </w:pPr>
            <w:r>
              <w:rPr>
                <w:sz w:val="20"/>
              </w:rPr>
              <w:t xml:space="preserve">51</w:t>
            </w:r>
          </w:p>
        </w:tc>
        <w:tc>
          <w:tcPr>
            <w:tcW w:w="850" w:type="dxa"/>
          </w:tcPr>
          <w:p>
            <w:pPr>
              <w:pStyle w:val="0"/>
              <w:jc w:val="center"/>
            </w:pPr>
            <w:r>
              <w:rPr>
                <w:sz w:val="20"/>
              </w:rPr>
              <w:t xml:space="preserve">11,53</w:t>
            </w:r>
          </w:p>
        </w:tc>
        <w:tc>
          <w:tcPr>
            <w:tcW w:w="737" w:type="dxa"/>
          </w:tcPr>
          <w:p>
            <w:pPr>
              <w:pStyle w:val="0"/>
              <w:jc w:val="center"/>
            </w:pPr>
            <w:r>
              <w:rPr>
                <w:sz w:val="20"/>
              </w:rPr>
              <w:t xml:space="preserve">68</w:t>
            </w:r>
          </w:p>
        </w:tc>
        <w:tc>
          <w:tcPr>
            <w:tcW w:w="850" w:type="dxa"/>
          </w:tcPr>
          <w:p>
            <w:pPr>
              <w:pStyle w:val="0"/>
              <w:jc w:val="center"/>
            </w:pPr>
            <w:r>
              <w:rPr>
                <w:sz w:val="20"/>
              </w:rPr>
              <w:t xml:space="preserve">15,17</w:t>
            </w:r>
          </w:p>
        </w:tc>
        <w:tc>
          <w:tcPr>
            <w:tcW w:w="737" w:type="dxa"/>
          </w:tcPr>
          <w:p>
            <w:pPr>
              <w:pStyle w:val="0"/>
              <w:jc w:val="center"/>
            </w:pPr>
            <w:r>
              <w:rPr>
                <w:sz w:val="20"/>
              </w:rPr>
              <w:t xml:space="preserve">17</w:t>
            </w:r>
          </w:p>
        </w:tc>
        <w:tc>
          <w:tcPr>
            <w:tcW w:w="850" w:type="dxa"/>
          </w:tcPr>
          <w:p>
            <w:pPr>
              <w:pStyle w:val="0"/>
              <w:jc w:val="center"/>
            </w:pPr>
            <w:r>
              <w:rPr>
                <w:sz w:val="20"/>
              </w:rPr>
              <w:t xml:space="preserve">31,64</w:t>
            </w:r>
          </w:p>
        </w:tc>
      </w:tr>
    </w:tbl>
    <w:p>
      <w:pPr>
        <w:pStyle w:val="0"/>
        <w:ind w:firstLine="540"/>
        <w:jc w:val="both"/>
      </w:pPr>
      <w:r>
        <w:rPr>
          <w:sz w:val="20"/>
        </w:rPr>
      </w:r>
    </w:p>
    <w:p>
      <w:pPr>
        <w:pStyle w:val="0"/>
        <w:ind w:firstLine="540"/>
        <w:jc w:val="both"/>
      </w:pPr>
      <w:r>
        <w:rPr>
          <w:sz w:val="20"/>
        </w:rPr>
        <w:t xml:space="preserve">За 2020 год значение показателя смертности от новообразований (в том числе злокачественных) составило 251,71 случая на 100 тыс. человек населения, что ниже соответствующего значения 2019 года (255,18 случая на 100 тыс. человек населения).</w:t>
      </w:r>
    </w:p>
    <w:p>
      <w:pPr>
        <w:pStyle w:val="0"/>
        <w:spacing w:before="200" w:line-rule="auto"/>
        <w:ind w:firstLine="540"/>
        <w:jc w:val="both"/>
      </w:pPr>
      <w:r>
        <w:rPr>
          <w:sz w:val="20"/>
        </w:rPr>
        <w:t xml:space="preserve">Значение показателя смертности от внешних причин за 2020 год составило 80,78 случая на 100 тыс. человек, что ниже соответствующего значения 2019 года (83,85 случая на 100 тыс. человек).</w:t>
      </w:r>
    </w:p>
    <w:p>
      <w:pPr>
        <w:pStyle w:val="0"/>
        <w:spacing w:before="200" w:line-rule="auto"/>
        <w:ind w:firstLine="540"/>
        <w:jc w:val="both"/>
      </w:pPr>
      <w:r>
        <w:rPr>
          <w:sz w:val="20"/>
        </w:rPr>
        <w:t xml:space="preserve">Показатель смертности населения вследствие ДТП на 31.12.2020 составил 4,25 на 100 тысяч населения, общее количество погибших вследствие ДТП - 11 человек.</w:t>
      </w:r>
    </w:p>
    <w:p>
      <w:pPr>
        <w:pStyle w:val="0"/>
        <w:ind w:firstLine="540"/>
        <w:jc w:val="both"/>
      </w:pPr>
      <w:r>
        <w:rPr>
          <w:sz w:val="20"/>
        </w:rPr>
      </w:r>
    </w:p>
    <w:p>
      <w:pPr>
        <w:pStyle w:val="2"/>
        <w:outlineLvl w:val="3"/>
        <w:jc w:val="center"/>
      </w:pPr>
      <w:r>
        <w:rPr>
          <w:sz w:val="20"/>
        </w:rPr>
        <w:t xml:space="preserve">2.2. Анализ сети медицинских организаций</w:t>
      </w:r>
    </w:p>
    <w:p>
      <w:pPr>
        <w:pStyle w:val="0"/>
        <w:jc w:val="center"/>
      </w:pPr>
      <w:r>
        <w:rPr>
          <w:sz w:val="20"/>
        </w:rPr>
      </w:r>
    </w:p>
    <w:p>
      <w:pPr>
        <w:pStyle w:val="0"/>
        <w:ind w:firstLine="540"/>
        <w:jc w:val="both"/>
      </w:pPr>
      <w:r>
        <w:rPr>
          <w:sz w:val="20"/>
        </w:rPr>
        <w:t xml:space="preserve">В городе Севастополе создана и функционирует трехуровневая система оказания медицинской помощи. К первому уровню отнесены медицинские организации, оказывающие гражданам первичную медико-санитарную помощь, в том числе первичную специализированную медицинскую помощь. Ко второму уровню отнесены медицинские организации, оказывающие гражданам первичную медико-санитарную, специализированную медицинскую помощь и выступающие в качестве межрайонных центров. К третьему уровню отнесены медицинские организации регионального уровня (областные специализированные медицинские организации), оказывающие гражданам специализированную, в том числе высокотехнологичную, медицинскую помощь.</w:t>
      </w:r>
    </w:p>
    <w:p>
      <w:pPr>
        <w:pStyle w:val="0"/>
        <w:spacing w:before="200" w:line-rule="auto"/>
        <w:ind w:firstLine="540"/>
        <w:jc w:val="both"/>
      </w:pPr>
      <w:r>
        <w:rPr>
          <w:sz w:val="20"/>
        </w:rPr>
        <w:t xml:space="preserve">На территории города Севастополя находятся 43 населенных пункта. Населенные пункты с нулевой численностью и населенные пункты, не имеющие прикрепления к медицинской организации, структурному подразделению медицинской организации на территории города Севастополя, отсутствуют.</w:t>
      </w:r>
    </w:p>
    <w:p>
      <w:pPr>
        <w:pStyle w:val="0"/>
        <w:spacing w:before="200" w:line-rule="auto"/>
        <w:ind w:firstLine="540"/>
        <w:jc w:val="both"/>
      </w:pPr>
      <w:r>
        <w:rPr>
          <w:sz w:val="20"/>
        </w:rPr>
        <w:t xml:space="preserve">В целях оказания медицинской помощи населению, проживающему в сельской местности, в городе Севастополе функционируют 7 врачебных амбулаторий и 13 фельдшерско-акушерских пунктов.</w:t>
      </w:r>
    </w:p>
    <w:p>
      <w:pPr>
        <w:pStyle w:val="0"/>
        <w:spacing w:before="200" w:line-rule="auto"/>
        <w:ind w:firstLine="540"/>
        <w:jc w:val="both"/>
      </w:pPr>
      <w:r>
        <w:rPr>
          <w:sz w:val="20"/>
        </w:rPr>
        <w:t xml:space="preserve">Текущая сеть медицинских организаций (самостоятельные юридические лица) представлена в </w:t>
      </w:r>
      <w:hyperlink w:history="0" w:anchor="P27975" w:tooltip="Таблица N 4">
        <w:r>
          <w:rPr>
            <w:sz w:val="20"/>
            <w:color w:val="0000ff"/>
          </w:rPr>
          <w:t xml:space="preserve">таблице N 4</w:t>
        </w:r>
      </w:hyperlink>
      <w:r>
        <w:rPr>
          <w:sz w:val="20"/>
        </w:rPr>
        <w:t xml:space="preserve">.</w:t>
      </w:r>
    </w:p>
    <w:p>
      <w:pPr>
        <w:pStyle w:val="0"/>
        <w:jc w:val="right"/>
      </w:pPr>
      <w:r>
        <w:rPr>
          <w:sz w:val="20"/>
        </w:rPr>
      </w:r>
    </w:p>
    <w:bookmarkStart w:id="27975" w:name="P27975"/>
    <w:bookmarkEnd w:id="27975"/>
    <w:p>
      <w:pPr>
        <w:pStyle w:val="0"/>
        <w:jc w:val="right"/>
      </w:pPr>
      <w:r>
        <w:rPr>
          <w:sz w:val="20"/>
        </w:rPr>
        <w:t xml:space="preserve">Таблица N 4</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center"/>
            </w:pPr>
            <w:r>
              <w:rPr>
                <w:sz w:val="20"/>
              </w:rPr>
              <w:t xml:space="preserve">Тип МО</w:t>
            </w:r>
          </w:p>
        </w:tc>
        <w:tc>
          <w:tcPr>
            <w:tcW w:w="6690" w:type="dxa"/>
          </w:tcPr>
          <w:p>
            <w:pPr>
              <w:pStyle w:val="0"/>
              <w:jc w:val="center"/>
            </w:pPr>
            <w:r>
              <w:rPr>
                <w:sz w:val="20"/>
              </w:rPr>
              <w:t xml:space="preserve">Наименование МО</w:t>
            </w:r>
          </w:p>
        </w:tc>
      </w:tr>
      <w:tr>
        <w:tc>
          <w:tcPr>
            <w:tcW w:w="2381" w:type="dxa"/>
            <w:vMerge w:val="restart"/>
          </w:tcPr>
          <w:p>
            <w:pPr>
              <w:pStyle w:val="0"/>
              <w:jc w:val="both"/>
            </w:pPr>
            <w:r>
              <w:rPr>
                <w:sz w:val="20"/>
              </w:rPr>
              <w:t xml:space="preserve">Городские больницы</w:t>
            </w:r>
          </w:p>
        </w:tc>
        <w:tc>
          <w:tcPr>
            <w:tcW w:w="6690" w:type="dxa"/>
          </w:tcPr>
          <w:p>
            <w:pPr>
              <w:pStyle w:val="0"/>
              <w:jc w:val="both"/>
            </w:pPr>
            <w:r>
              <w:rPr>
                <w:sz w:val="20"/>
              </w:rPr>
              <w:t xml:space="preserve">ГБУЗС "Городская больница N 1 им. Н.И. Пирогова"</w:t>
            </w:r>
          </w:p>
        </w:tc>
      </w:tr>
      <w:tr>
        <w:tc>
          <w:tcPr>
            <w:vMerge w:val="continue"/>
          </w:tcPr>
          <w:p/>
        </w:tc>
        <w:tc>
          <w:tcPr>
            <w:tcW w:w="6690" w:type="dxa"/>
          </w:tcPr>
          <w:p>
            <w:pPr>
              <w:pStyle w:val="0"/>
              <w:jc w:val="both"/>
            </w:pPr>
            <w:r>
              <w:rPr>
                <w:sz w:val="20"/>
              </w:rPr>
              <w:t xml:space="preserve">ГБУЗС "Городская больница N 4"</w:t>
            </w:r>
          </w:p>
        </w:tc>
      </w:tr>
      <w:tr>
        <w:tc>
          <w:tcPr>
            <w:vMerge w:val="continue"/>
          </w:tcPr>
          <w:p/>
        </w:tc>
        <w:tc>
          <w:tcPr>
            <w:tcW w:w="6690" w:type="dxa"/>
          </w:tcPr>
          <w:p>
            <w:pPr>
              <w:pStyle w:val="0"/>
              <w:jc w:val="both"/>
            </w:pPr>
            <w:r>
              <w:rPr>
                <w:sz w:val="20"/>
              </w:rPr>
              <w:t xml:space="preserve">ГБУЗС "ГБ N 5"</w:t>
            </w:r>
          </w:p>
        </w:tc>
      </w:tr>
      <w:tr>
        <w:tc>
          <w:tcPr>
            <w:vMerge w:val="continue"/>
          </w:tcPr>
          <w:p/>
        </w:tc>
        <w:tc>
          <w:tcPr>
            <w:tcW w:w="6690" w:type="dxa"/>
          </w:tcPr>
          <w:p>
            <w:pPr>
              <w:pStyle w:val="0"/>
              <w:jc w:val="both"/>
            </w:pPr>
            <w:r>
              <w:rPr>
                <w:sz w:val="20"/>
              </w:rPr>
              <w:t xml:space="preserve">ГБУЗС "Городская больница N 9"</w:t>
            </w:r>
          </w:p>
        </w:tc>
      </w:tr>
      <w:tr>
        <w:tc>
          <w:tcPr>
            <w:tcW w:w="2381" w:type="dxa"/>
            <w:vMerge w:val="restart"/>
          </w:tcPr>
          <w:p>
            <w:pPr>
              <w:pStyle w:val="0"/>
              <w:jc w:val="both"/>
            </w:pPr>
            <w:r>
              <w:rPr>
                <w:sz w:val="20"/>
              </w:rPr>
              <w:t xml:space="preserve">Специализированные больницы</w:t>
            </w:r>
          </w:p>
        </w:tc>
        <w:tc>
          <w:tcPr>
            <w:tcW w:w="6690" w:type="dxa"/>
          </w:tcPr>
          <w:p>
            <w:pPr>
              <w:pStyle w:val="0"/>
              <w:jc w:val="both"/>
            </w:pPr>
            <w:r>
              <w:rPr>
                <w:sz w:val="20"/>
              </w:rPr>
              <w:t xml:space="preserve">ГБУЗС "Городская инфекционная больница"</w:t>
            </w:r>
          </w:p>
        </w:tc>
      </w:tr>
      <w:tr>
        <w:tc>
          <w:tcPr>
            <w:vMerge w:val="continue"/>
          </w:tcPr>
          <w:p/>
        </w:tc>
        <w:tc>
          <w:tcPr>
            <w:tcW w:w="6690" w:type="dxa"/>
          </w:tcPr>
          <w:p>
            <w:pPr>
              <w:pStyle w:val="0"/>
              <w:jc w:val="both"/>
            </w:pPr>
            <w:r>
              <w:rPr>
                <w:sz w:val="20"/>
              </w:rPr>
              <w:t xml:space="preserve">ГБУЗС "Севастопольская городская психиатрическая больница"</w:t>
            </w:r>
          </w:p>
        </w:tc>
      </w:tr>
      <w:tr>
        <w:tc>
          <w:tcPr>
            <w:tcW w:w="2381" w:type="dxa"/>
            <w:vMerge w:val="restart"/>
          </w:tcPr>
          <w:p>
            <w:pPr>
              <w:pStyle w:val="0"/>
              <w:jc w:val="both"/>
            </w:pPr>
            <w:r>
              <w:rPr>
                <w:sz w:val="20"/>
              </w:rPr>
              <w:t xml:space="preserve">Диспансеры</w:t>
            </w:r>
          </w:p>
        </w:tc>
        <w:tc>
          <w:tcPr>
            <w:tcW w:w="6690" w:type="dxa"/>
          </w:tcPr>
          <w:p>
            <w:pPr>
              <w:pStyle w:val="0"/>
              <w:jc w:val="both"/>
            </w:pPr>
            <w:r>
              <w:rPr>
                <w:sz w:val="20"/>
              </w:rPr>
              <w:t xml:space="preserve">ГБУЗС "Севастопольский противотуберкулезный диспансер"</w:t>
            </w:r>
          </w:p>
        </w:tc>
      </w:tr>
      <w:tr>
        <w:tc>
          <w:tcPr>
            <w:vMerge w:val="continue"/>
          </w:tcPr>
          <w:p/>
        </w:tc>
        <w:tc>
          <w:tcPr>
            <w:tcW w:w="6690" w:type="dxa"/>
          </w:tcPr>
          <w:p>
            <w:pPr>
              <w:pStyle w:val="0"/>
              <w:jc w:val="both"/>
            </w:pPr>
            <w:r>
              <w:rPr>
                <w:sz w:val="20"/>
              </w:rPr>
              <w:t xml:space="preserve">ГБУЗС "Севастопольский городской онкологический диспансер им. А.А. Задорожного"</w:t>
            </w:r>
          </w:p>
        </w:tc>
      </w:tr>
      <w:tr>
        <w:tc>
          <w:tcPr>
            <w:vMerge w:val="continue"/>
          </w:tcPr>
          <w:p/>
        </w:tc>
        <w:tc>
          <w:tcPr>
            <w:tcW w:w="6690" w:type="dxa"/>
          </w:tcPr>
          <w:p>
            <w:pPr>
              <w:pStyle w:val="0"/>
              <w:jc w:val="both"/>
            </w:pPr>
            <w:r>
              <w:rPr>
                <w:sz w:val="20"/>
              </w:rPr>
              <w:t xml:space="preserve">ГБУЗС "Кожно-венерологический диспансер"</w:t>
            </w:r>
          </w:p>
        </w:tc>
      </w:tr>
      <w:tr>
        <w:tc>
          <w:tcPr>
            <w:tcW w:w="2381" w:type="dxa"/>
          </w:tcPr>
          <w:p>
            <w:pPr>
              <w:pStyle w:val="0"/>
              <w:jc w:val="both"/>
            </w:pPr>
            <w:r>
              <w:rPr>
                <w:sz w:val="20"/>
              </w:rPr>
              <w:t xml:space="preserve">Самостоятельные МО</w:t>
            </w:r>
          </w:p>
        </w:tc>
        <w:tc>
          <w:tcPr>
            <w:tcW w:w="6690" w:type="dxa"/>
          </w:tcPr>
          <w:p>
            <w:pPr>
              <w:pStyle w:val="0"/>
              <w:jc w:val="both"/>
            </w:pPr>
            <w:r>
              <w:rPr>
                <w:sz w:val="20"/>
              </w:rPr>
              <w:t xml:space="preserve">ГБУЗС "Стоматологическая поликлиника N 1"</w:t>
            </w:r>
          </w:p>
        </w:tc>
      </w:tr>
      <w:tr>
        <w:tc>
          <w:tcPr>
            <w:tcW w:w="2381" w:type="dxa"/>
            <w:vMerge w:val="restart"/>
          </w:tcPr>
          <w:p>
            <w:pPr>
              <w:pStyle w:val="0"/>
              <w:jc w:val="both"/>
            </w:pPr>
            <w:r>
              <w:rPr>
                <w:sz w:val="20"/>
              </w:rPr>
              <w:t xml:space="preserve">Учреждения особого типа</w:t>
            </w:r>
          </w:p>
        </w:tc>
        <w:tc>
          <w:tcPr>
            <w:tcW w:w="6690" w:type="dxa"/>
          </w:tcPr>
          <w:p>
            <w:pPr>
              <w:pStyle w:val="0"/>
              <w:jc w:val="both"/>
            </w:pPr>
            <w:r>
              <w:rPr>
                <w:sz w:val="20"/>
              </w:rPr>
              <w:t xml:space="preserve">ГБУЗС "Центр экстренной медицинской помощи и медицины катастроф"</w:t>
            </w:r>
          </w:p>
        </w:tc>
      </w:tr>
      <w:tr>
        <w:tc>
          <w:tcPr>
            <w:vMerge w:val="continue"/>
          </w:tcPr>
          <w:p/>
        </w:tc>
        <w:tc>
          <w:tcPr>
            <w:tcW w:w="6690" w:type="dxa"/>
          </w:tcPr>
          <w:p>
            <w:pPr>
              <w:pStyle w:val="0"/>
              <w:jc w:val="both"/>
            </w:pPr>
            <w:r>
              <w:rPr>
                <w:sz w:val="20"/>
              </w:rPr>
              <w:t xml:space="preserve">ГБУЗС "Севастопольское городское бюро судебно-медицинской экспертизы"</w:t>
            </w:r>
          </w:p>
        </w:tc>
      </w:tr>
      <w:tr>
        <w:tc>
          <w:tcPr>
            <w:vMerge w:val="continue"/>
          </w:tcPr>
          <w:p/>
        </w:tc>
        <w:tc>
          <w:tcPr>
            <w:tcW w:w="6690" w:type="dxa"/>
          </w:tcPr>
          <w:p>
            <w:pPr>
              <w:pStyle w:val="0"/>
              <w:jc w:val="both"/>
            </w:pPr>
            <w:r>
              <w:rPr>
                <w:sz w:val="20"/>
              </w:rPr>
              <w:t xml:space="preserve">ГБУЗС "Центр крови"</w:t>
            </w:r>
          </w:p>
        </w:tc>
      </w:tr>
      <w:tr>
        <w:tc>
          <w:tcPr>
            <w:vMerge w:val="continue"/>
          </w:tcPr>
          <w:p/>
        </w:tc>
        <w:tc>
          <w:tcPr>
            <w:tcW w:w="6690" w:type="dxa"/>
          </w:tcPr>
          <w:p>
            <w:pPr>
              <w:pStyle w:val="0"/>
              <w:jc w:val="both"/>
            </w:pPr>
            <w:r>
              <w:rPr>
                <w:sz w:val="20"/>
              </w:rPr>
              <w:t xml:space="preserve">ГБУЗС "Специализированный дом ребенка для детей с поражением центральной нервной системы и нарушением психики"</w:t>
            </w:r>
          </w:p>
        </w:tc>
      </w:tr>
      <w:tr>
        <w:tc>
          <w:tcPr>
            <w:vMerge w:val="continue"/>
          </w:tcPr>
          <w:p/>
        </w:tc>
        <w:tc>
          <w:tcPr>
            <w:tcW w:w="6690" w:type="dxa"/>
          </w:tcPr>
          <w:p>
            <w:pPr>
              <w:pStyle w:val="0"/>
              <w:jc w:val="both"/>
            </w:pPr>
            <w:r>
              <w:rPr>
                <w:sz w:val="20"/>
              </w:rPr>
              <w:t xml:space="preserve">ГБУЗС "Медицинский информационно-аналитический центр"</w:t>
            </w:r>
          </w:p>
        </w:tc>
      </w:tr>
    </w:tbl>
    <w:p>
      <w:pPr>
        <w:pStyle w:val="0"/>
        <w:jc w:val="both"/>
      </w:pPr>
      <w:r>
        <w:rPr>
          <w:sz w:val="20"/>
        </w:rPr>
      </w:r>
    </w:p>
    <w:p>
      <w:pPr>
        <w:pStyle w:val="0"/>
        <w:ind w:firstLine="540"/>
        <w:jc w:val="both"/>
      </w:pPr>
      <w:r>
        <w:rPr>
          <w:sz w:val="20"/>
        </w:rPr>
        <w:t xml:space="preserve">Департаментом здравоохранения города Севастополя разработаны нормативные правовые акты, регламентирующие организацию оказания медицинской помощи больным с острыми и критическими состояниями при онкологических заболеваниях, заболеваниях системы кровообращения и органов дыхания, а также медицинской помощи пострадавшим при ДТП (в том числе предусмотрена организация маршрутизации пациентов в случае неисправности оборудования (компьютерного томографа, магнитно-резонансного томографа, ангиографа и др.) или отсутствия специалистов).</w:t>
      </w:r>
    </w:p>
    <w:p>
      <w:pPr>
        <w:pStyle w:val="0"/>
        <w:spacing w:before="200" w:line-rule="auto"/>
        <w:ind w:firstLine="540"/>
        <w:jc w:val="both"/>
      </w:pPr>
      <w:r>
        <w:rPr>
          <w:sz w:val="20"/>
        </w:rPr>
        <w:t xml:space="preserve">В результате реорганизации медицинских организаций в городе Севастополе в период с 01.07.2019 до 31.12.2019 их количество сократилось с 20 до 15 единиц. Реорганизация медицинских организаций проводилась в форме слияния или присоединения к более крупным больницам с целью рационального использования кадровых и материально-технических ресурсов.</w:t>
      </w:r>
    </w:p>
    <w:p>
      <w:pPr>
        <w:pStyle w:val="0"/>
        <w:spacing w:before="200" w:line-rule="auto"/>
        <w:ind w:firstLine="540"/>
        <w:jc w:val="both"/>
      </w:pPr>
      <w:r>
        <w:rPr>
          <w:sz w:val="20"/>
        </w:rPr>
        <w:t xml:space="preserve">По состоянию на 01.01.2021 плановая мощность круглосуточного стационара по городу Севастополю составила 2850 коек. В поликлиниках плановое число посещений в смену - 7315.</w:t>
      </w:r>
    </w:p>
    <w:p>
      <w:pPr>
        <w:pStyle w:val="0"/>
        <w:spacing w:before="200" w:line-rule="auto"/>
        <w:ind w:firstLine="540"/>
        <w:jc w:val="both"/>
      </w:pPr>
      <w:r>
        <w:rPr>
          <w:sz w:val="20"/>
        </w:rPr>
        <w:t xml:space="preserve">Обеспеченность койками круглосуточного пребывания в 2020 году составила 2531, что на 11,2% ниже уровня 2021 года. В поликлиниках плановая мощность посещений в смену осталась на прежнем уровне (7135).</w:t>
      </w:r>
    </w:p>
    <w:p>
      <w:pPr>
        <w:pStyle w:val="0"/>
        <w:jc w:val="center"/>
      </w:pPr>
      <w:r>
        <w:rPr>
          <w:sz w:val="20"/>
        </w:rPr>
      </w:r>
    </w:p>
    <w:p>
      <w:pPr>
        <w:pStyle w:val="2"/>
        <w:outlineLvl w:val="4"/>
        <w:jc w:val="center"/>
      </w:pPr>
      <w:r>
        <w:rPr>
          <w:sz w:val="20"/>
        </w:rPr>
        <w:t xml:space="preserve">2.2.1. Показатели кадрового обеспечения</w:t>
      </w:r>
    </w:p>
    <w:p>
      <w:pPr>
        <w:pStyle w:val="2"/>
        <w:jc w:val="center"/>
      </w:pPr>
      <w:r>
        <w:rPr>
          <w:sz w:val="20"/>
        </w:rPr>
        <w:t xml:space="preserve">системы здравоохранения</w:t>
      </w:r>
    </w:p>
    <w:p>
      <w:pPr>
        <w:pStyle w:val="0"/>
        <w:jc w:val="center"/>
      </w:pPr>
      <w:r>
        <w:rPr>
          <w:sz w:val="20"/>
        </w:rPr>
      </w:r>
    </w:p>
    <w:p>
      <w:pPr>
        <w:pStyle w:val="0"/>
        <w:ind w:firstLine="540"/>
        <w:jc w:val="both"/>
      </w:pPr>
      <w:r>
        <w:rPr>
          <w:sz w:val="20"/>
        </w:rPr>
        <w:t xml:space="preserve">По состоянию на 31.12.2020 общая численность врачей в медицинских организациях города Севастополя увеличилась по сравнению с 2019 годом на 37 человек и составила 1635 человек.</w:t>
      </w:r>
    </w:p>
    <w:p>
      <w:pPr>
        <w:pStyle w:val="0"/>
        <w:spacing w:before="200" w:line-rule="auto"/>
        <w:ind w:firstLine="540"/>
        <w:jc w:val="both"/>
      </w:pPr>
      <w:r>
        <w:rPr>
          <w:sz w:val="20"/>
        </w:rPr>
        <w:t xml:space="preserve">Обеспеченность врачами на 31.12.2020 составила 32,06 врача на 10 тыс. человек населения, что ниже показателя 2019 года (34,45 врача на 10 тыс. человек населения).</w:t>
      </w:r>
    </w:p>
    <w:p>
      <w:pPr>
        <w:pStyle w:val="0"/>
        <w:spacing w:before="200" w:line-rule="auto"/>
        <w:ind w:firstLine="540"/>
        <w:jc w:val="both"/>
      </w:pPr>
      <w:r>
        <w:rPr>
          <w:sz w:val="20"/>
        </w:rPr>
        <w:t xml:space="preserve">Численность среднего медперсонала в медицинских организациях города Севастополя в 2020 году составила 3133 человека, в 2019 году - 3061 человек. Обеспеченность средним медицинским персоналом на 10 тыс. человек населения увеличилась в 2020 году до 73,6 человека (в 2019 году - 73,13 человека).</w:t>
      </w:r>
    </w:p>
    <w:p>
      <w:pPr>
        <w:pStyle w:val="0"/>
        <w:ind w:firstLine="540"/>
        <w:jc w:val="both"/>
      </w:pPr>
      <w:r>
        <w:rPr>
          <w:sz w:val="20"/>
        </w:rPr>
      </w:r>
    </w:p>
    <w:p>
      <w:pPr>
        <w:pStyle w:val="2"/>
        <w:outlineLvl w:val="4"/>
        <w:jc w:val="center"/>
      </w:pPr>
      <w:r>
        <w:rPr>
          <w:sz w:val="20"/>
        </w:rPr>
        <w:t xml:space="preserve">2.2.2. Показатели финансового обеспечения</w:t>
      </w:r>
    </w:p>
    <w:p>
      <w:pPr>
        <w:pStyle w:val="2"/>
        <w:jc w:val="center"/>
      </w:pPr>
      <w:r>
        <w:rPr>
          <w:sz w:val="20"/>
        </w:rPr>
        <w:t xml:space="preserve">системы здравоохранения</w:t>
      </w:r>
    </w:p>
    <w:p>
      <w:pPr>
        <w:pStyle w:val="0"/>
        <w:jc w:val="center"/>
      </w:pPr>
      <w:r>
        <w:rPr>
          <w:sz w:val="20"/>
        </w:rPr>
      </w:r>
    </w:p>
    <w:p>
      <w:pPr>
        <w:pStyle w:val="0"/>
        <w:ind w:firstLine="540"/>
        <w:jc w:val="both"/>
      </w:pPr>
      <w:r>
        <w:rPr>
          <w:sz w:val="20"/>
        </w:rPr>
        <w:t xml:space="preserve">Абзац исключен. - </w:t>
      </w:r>
      <w:hyperlink w:history="0" r:id="rId692"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w:t>
        </w:r>
      </w:hyperlink>
      <w:r>
        <w:rPr>
          <w:sz w:val="20"/>
        </w:rPr>
        <w:t xml:space="preserve"> Правительства Севастополя от 02.03.2023 N 108-ПП.</w:t>
      </w:r>
    </w:p>
    <w:p>
      <w:pPr>
        <w:pStyle w:val="0"/>
        <w:jc w:val="right"/>
      </w:pPr>
      <w:r>
        <w:rPr>
          <w:sz w:val="20"/>
        </w:rPr>
      </w:r>
    </w:p>
    <w:p>
      <w:pPr>
        <w:pStyle w:val="0"/>
        <w:jc w:val="right"/>
      </w:pPr>
      <w:r>
        <w:rPr>
          <w:sz w:val="20"/>
        </w:rPr>
        <w:t xml:space="preserve">Таблица N 5</w:t>
      </w:r>
    </w:p>
    <w:p>
      <w:pPr>
        <w:pStyle w:val="0"/>
        <w:jc w:val="right"/>
      </w:pPr>
      <w:r>
        <w:rPr>
          <w:sz w:val="20"/>
        </w:rPr>
      </w:r>
    </w:p>
    <w:p>
      <w:pPr>
        <w:pStyle w:val="0"/>
        <w:ind w:firstLine="540"/>
        <w:jc w:val="both"/>
      </w:pPr>
      <w:r>
        <w:rPr>
          <w:sz w:val="20"/>
        </w:rPr>
        <w:t xml:space="preserve">Исключена. - </w:t>
      </w:r>
      <w:hyperlink w:history="0" r:id="rId693"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Постановление</w:t>
        </w:r>
      </w:hyperlink>
      <w:r>
        <w:rPr>
          <w:sz w:val="20"/>
        </w:rPr>
        <w:t xml:space="preserve"> Правительства Севастополя от 02.03.2023 N 108-ПП.</w:t>
      </w:r>
    </w:p>
    <w:p>
      <w:pPr>
        <w:pStyle w:val="0"/>
        <w:jc w:val="both"/>
      </w:pPr>
      <w:r>
        <w:rPr>
          <w:sz w:val="20"/>
        </w:rPr>
      </w:r>
    </w:p>
    <w:p>
      <w:pPr>
        <w:pStyle w:val="0"/>
        <w:ind w:firstLine="540"/>
        <w:jc w:val="both"/>
      </w:pPr>
      <w:r>
        <w:rPr>
          <w:sz w:val="20"/>
        </w:rPr>
        <w:t xml:space="preserve">Финансирование за счет регионального и федерального бюджетов осуществляется в рамках реализации государственной </w:t>
      </w:r>
      <w:hyperlink w:history="0" r:id="rId694"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программы</w:t>
        </w:r>
      </w:hyperlink>
      <w:r>
        <w:rPr>
          <w:sz w:val="20"/>
        </w:rPr>
        <w:t xml:space="preserve"> города Севастополя "Развитие здравоохранения в городе Севастополе", утвержденной постановлением Правительства Севастополя от 23.11.2016 N 1115-ПП "Об утверждении государственной программы города Севастополя "Развитие здравоохранения в городе Севастополе", и ее подпрограмм:</w:t>
      </w:r>
    </w:p>
    <w:p>
      <w:pPr>
        <w:pStyle w:val="0"/>
        <w:spacing w:before="200" w:line-rule="auto"/>
        <w:ind w:firstLine="540"/>
        <w:jc w:val="both"/>
      </w:pPr>
      <w:r>
        <w:rPr>
          <w:sz w:val="20"/>
        </w:rPr>
        <w:t xml:space="preserve">- </w:t>
      </w:r>
      <w:hyperlink w:history="0" r:id="rId695"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подпрограмма 1</w:t>
        </w:r>
      </w:hyperlink>
      <w:r>
        <w:rPr>
          <w:sz w:val="20"/>
        </w:rPr>
        <w:t xml:space="preserve"> "Профилактика заболеваний и формирование здорового образа жизни. Развитие первичной медико-санитарной помощи";</w:t>
      </w:r>
    </w:p>
    <w:p>
      <w:pPr>
        <w:pStyle w:val="0"/>
        <w:spacing w:before="200" w:line-rule="auto"/>
        <w:ind w:firstLine="540"/>
        <w:jc w:val="both"/>
      </w:pPr>
      <w:r>
        <w:rPr>
          <w:sz w:val="20"/>
        </w:rPr>
        <w:t xml:space="preserve">- </w:t>
      </w:r>
      <w:hyperlink w:history="0" r:id="rId696"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подпрограмма 2</w:t>
        </w:r>
      </w:hyperlink>
      <w:r>
        <w:rPr>
          <w:sz w:val="20"/>
        </w:rPr>
        <w:t xml:space="preserve">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pPr>
        <w:pStyle w:val="0"/>
        <w:spacing w:before="200" w:line-rule="auto"/>
        <w:ind w:firstLine="540"/>
        <w:jc w:val="both"/>
      </w:pPr>
      <w:r>
        <w:rPr>
          <w:sz w:val="20"/>
        </w:rPr>
        <w:t xml:space="preserve">- </w:t>
      </w:r>
      <w:hyperlink w:history="0" r:id="rId697"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подпрограмма 3</w:t>
        </w:r>
      </w:hyperlink>
      <w:r>
        <w:rPr>
          <w:sz w:val="20"/>
        </w:rPr>
        <w:t xml:space="preserve"> "Охрана здоровья матери и ребенка";</w:t>
      </w:r>
    </w:p>
    <w:p>
      <w:pPr>
        <w:pStyle w:val="0"/>
        <w:spacing w:before="200" w:line-rule="auto"/>
        <w:ind w:firstLine="540"/>
        <w:jc w:val="both"/>
      </w:pPr>
      <w:r>
        <w:rPr>
          <w:sz w:val="20"/>
        </w:rPr>
        <w:t xml:space="preserve">- </w:t>
      </w:r>
      <w:hyperlink w:history="0" r:id="rId698"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подпрограмма 4</w:t>
        </w:r>
      </w:hyperlink>
      <w:r>
        <w:rPr>
          <w:sz w:val="20"/>
        </w:rPr>
        <w:t xml:space="preserve"> "Развитие медицинской реабилитации";</w:t>
      </w:r>
    </w:p>
    <w:p>
      <w:pPr>
        <w:pStyle w:val="0"/>
        <w:spacing w:before="200" w:line-rule="auto"/>
        <w:ind w:firstLine="540"/>
        <w:jc w:val="both"/>
      </w:pPr>
      <w:r>
        <w:rPr>
          <w:sz w:val="20"/>
        </w:rPr>
        <w:t xml:space="preserve">- </w:t>
      </w:r>
      <w:hyperlink w:history="0" r:id="rId699"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подпрограмма 5</w:t>
        </w:r>
      </w:hyperlink>
      <w:r>
        <w:rPr>
          <w:sz w:val="20"/>
        </w:rPr>
        <w:t xml:space="preserve"> "Экспертиза и контрольно-надзорные функции в здравоохранении";</w:t>
      </w:r>
    </w:p>
    <w:p>
      <w:pPr>
        <w:pStyle w:val="0"/>
        <w:spacing w:before="200" w:line-rule="auto"/>
        <w:ind w:firstLine="540"/>
        <w:jc w:val="both"/>
      </w:pPr>
      <w:r>
        <w:rPr>
          <w:sz w:val="20"/>
        </w:rPr>
        <w:t xml:space="preserve">- </w:t>
      </w:r>
      <w:hyperlink w:history="0" r:id="rId700"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подпрограмма 6</w:t>
        </w:r>
      </w:hyperlink>
      <w:r>
        <w:rPr>
          <w:sz w:val="20"/>
        </w:rPr>
        <w:t xml:space="preserve"> "Развитие информатизации и комплексной безопасности объектов здравоохранения";</w:t>
      </w:r>
    </w:p>
    <w:p>
      <w:pPr>
        <w:pStyle w:val="0"/>
        <w:spacing w:before="200" w:line-rule="auto"/>
        <w:ind w:firstLine="540"/>
        <w:jc w:val="both"/>
      </w:pPr>
      <w:r>
        <w:rPr>
          <w:sz w:val="20"/>
        </w:rPr>
        <w:t xml:space="preserve">- </w:t>
      </w:r>
      <w:hyperlink w:history="0" r:id="rId701"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подпрограмма 7</w:t>
        </w:r>
      </w:hyperlink>
      <w:r>
        <w:rPr>
          <w:sz w:val="20"/>
        </w:rPr>
        <w:t xml:space="preserve"> "Кадровое обеспечение системы здравоохранения";</w:t>
      </w:r>
    </w:p>
    <w:p>
      <w:pPr>
        <w:pStyle w:val="0"/>
        <w:spacing w:before="200" w:line-rule="auto"/>
        <w:ind w:firstLine="540"/>
        <w:jc w:val="both"/>
      </w:pPr>
      <w:r>
        <w:rPr>
          <w:sz w:val="20"/>
        </w:rPr>
        <w:t xml:space="preserve">- </w:t>
      </w:r>
      <w:hyperlink w:history="0" r:id="rId702"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подпрограмма 8</w:t>
        </w:r>
      </w:hyperlink>
      <w:r>
        <w:rPr>
          <w:sz w:val="20"/>
        </w:rPr>
        <w:t xml:space="preserve"> "Реализация региональных проектов в рамках национальных проектов в сфере здравоохранения";</w:t>
      </w:r>
    </w:p>
    <w:p>
      <w:pPr>
        <w:pStyle w:val="0"/>
        <w:spacing w:before="200" w:line-rule="auto"/>
        <w:ind w:firstLine="540"/>
        <w:jc w:val="both"/>
      </w:pPr>
      <w:r>
        <w:rPr>
          <w:sz w:val="20"/>
        </w:rPr>
        <w:t xml:space="preserve">- </w:t>
      </w:r>
      <w:hyperlink w:history="0" r:id="rId703" w:tooltip="Постановление Правительства Севастополя от 23.11.2016 N 1115-ПП (ред. от 29.12.2021) &quot;Об утверждении государственной программы города Севастополя &quot;Развитие здравоохранения в городе Севастополе&quot; ------------ Утратил силу или отменен {КонсультантПлюс}">
        <w:r>
          <w:rPr>
            <w:sz w:val="20"/>
            <w:color w:val="0000ff"/>
          </w:rPr>
          <w:t xml:space="preserve">подпрограмма 9</w:t>
        </w:r>
      </w:hyperlink>
      <w:r>
        <w:rPr>
          <w:sz w:val="20"/>
        </w:rPr>
        <w:t xml:space="preserve"> "Приведение учреждений подведомственных Департаменту здравоохранение города Севастополя к стандартам оснащения".</w:t>
      </w:r>
    </w:p>
    <w:p>
      <w:pPr>
        <w:pStyle w:val="0"/>
        <w:spacing w:before="200" w:line-rule="auto"/>
        <w:ind w:firstLine="540"/>
        <w:jc w:val="both"/>
      </w:pPr>
      <w:r>
        <w:rPr>
          <w:sz w:val="20"/>
        </w:rPr>
        <w:t xml:space="preserve">Преимущественную долю расходов учреждений составляют расходы на выплату заработной платы с начислениями.</w:t>
      </w:r>
    </w:p>
    <w:p>
      <w:pPr>
        <w:pStyle w:val="0"/>
        <w:spacing w:before="200" w:line-rule="auto"/>
        <w:ind w:firstLine="540"/>
        <w:jc w:val="both"/>
      </w:pPr>
      <w:r>
        <w:rPr>
          <w:sz w:val="20"/>
        </w:rPr>
        <w:t xml:space="preserve">По итогам 2020 года размер среднемесячной заработной платы работников учреждений, находящихся в ведении Департамента здравоохранения города Севастополя, по категориям медицинского персонала составил:</w:t>
      </w:r>
    </w:p>
    <w:p>
      <w:pPr>
        <w:pStyle w:val="0"/>
        <w:spacing w:before="200" w:line-rule="auto"/>
        <w:ind w:firstLine="540"/>
        <w:jc w:val="both"/>
      </w:pPr>
      <w:r>
        <w:rPr>
          <w:sz w:val="20"/>
        </w:rPr>
        <w:t xml:space="preserve">- врачи и работники медицинских организаций, имеющих высшее медицинское (фармацевтическое) или иное высшее образование, - 82360 руб.;</w:t>
      </w:r>
    </w:p>
    <w:p>
      <w:pPr>
        <w:pStyle w:val="0"/>
        <w:spacing w:before="200" w:line-rule="auto"/>
        <w:ind w:firstLine="540"/>
        <w:jc w:val="both"/>
      </w:pPr>
      <w:r>
        <w:rPr>
          <w:sz w:val="20"/>
        </w:rPr>
        <w:t xml:space="preserve">- средний медицинский (фармацевтический) персонал (персонал, обеспечивающий предоставление медицинских услуг) - 41717 руб.;</w:t>
      </w:r>
    </w:p>
    <w:p>
      <w:pPr>
        <w:pStyle w:val="0"/>
        <w:spacing w:before="200" w:line-rule="auto"/>
        <w:ind w:firstLine="540"/>
        <w:jc w:val="both"/>
      </w:pPr>
      <w:r>
        <w:rPr>
          <w:sz w:val="20"/>
        </w:rPr>
        <w:t xml:space="preserve">- младший медицинский персонал (персонал, обеспечивающий предоставление медицинских услуг) - 34632 руб.</w:t>
      </w:r>
    </w:p>
    <w:p>
      <w:pPr>
        <w:pStyle w:val="0"/>
        <w:spacing w:before="200" w:line-rule="auto"/>
        <w:ind w:firstLine="540"/>
        <w:jc w:val="both"/>
      </w:pPr>
      <w:r>
        <w:rPr>
          <w:sz w:val="20"/>
        </w:rPr>
        <w:t xml:space="preserve">Структура финансового обеспечения Территориальной программы государственных гарантий бесплатного оказания гражданам медицинской помощи в городе Севастополе представлена в </w:t>
      </w:r>
      <w:hyperlink w:history="0" w:anchor="P28038" w:tooltip="Таблица N 6">
        <w:r>
          <w:rPr>
            <w:sz w:val="20"/>
            <w:color w:val="0000ff"/>
          </w:rPr>
          <w:t xml:space="preserve">таблице N 6</w:t>
        </w:r>
      </w:hyperlink>
      <w:r>
        <w:rPr>
          <w:sz w:val="20"/>
        </w:rPr>
        <w:t xml:space="preserve">.</w:t>
      </w:r>
    </w:p>
    <w:p>
      <w:pPr>
        <w:pStyle w:val="0"/>
        <w:jc w:val="right"/>
      </w:pPr>
      <w:r>
        <w:rPr>
          <w:sz w:val="20"/>
        </w:rPr>
      </w:r>
    </w:p>
    <w:bookmarkStart w:id="28038" w:name="P28038"/>
    <w:bookmarkEnd w:id="28038"/>
    <w:p>
      <w:pPr>
        <w:pStyle w:val="0"/>
        <w:jc w:val="right"/>
      </w:pPr>
      <w:r>
        <w:rPr>
          <w:sz w:val="20"/>
        </w:rPr>
        <w:t xml:space="preserve">Таблица N 6</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191"/>
        <w:gridCol w:w="1020"/>
        <w:gridCol w:w="1191"/>
        <w:gridCol w:w="1077"/>
        <w:gridCol w:w="1191"/>
        <w:gridCol w:w="1077"/>
      </w:tblGrid>
      <w:tr>
        <w:tc>
          <w:tcPr>
            <w:tcW w:w="2324" w:type="dxa"/>
            <w:vMerge w:val="restart"/>
          </w:tcPr>
          <w:p>
            <w:pPr>
              <w:pStyle w:val="0"/>
              <w:jc w:val="center"/>
            </w:pPr>
            <w:r>
              <w:rPr>
                <w:sz w:val="20"/>
              </w:rPr>
              <w:t xml:space="preserve">Источники финансового обеспечения</w:t>
            </w:r>
          </w:p>
        </w:tc>
        <w:tc>
          <w:tcPr>
            <w:gridSpan w:val="2"/>
            <w:tcW w:w="2211" w:type="dxa"/>
          </w:tcPr>
          <w:p>
            <w:pPr>
              <w:pStyle w:val="0"/>
              <w:jc w:val="center"/>
            </w:pPr>
            <w:r>
              <w:rPr>
                <w:sz w:val="20"/>
              </w:rPr>
              <w:t xml:space="preserve">2018 год (тыс. руб.)</w:t>
            </w:r>
          </w:p>
        </w:tc>
        <w:tc>
          <w:tcPr>
            <w:gridSpan w:val="2"/>
            <w:tcW w:w="2268" w:type="dxa"/>
          </w:tcPr>
          <w:p>
            <w:pPr>
              <w:pStyle w:val="0"/>
              <w:jc w:val="center"/>
            </w:pPr>
            <w:r>
              <w:rPr>
                <w:sz w:val="20"/>
              </w:rPr>
              <w:t xml:space="preserve">2019 год (тыс. руб.)</w:t>
            </w:r>
          </w:p>
        </w:tc>
        <w:tc>
          <w:tcPr>
            <w:gridSpan w:val="2"/>
            <w:tcW w:w="2268" w:type="dxa"/>
          </w:tcPr>
          <w:p>
            <w:pPr>
              <w:pStyle w:val="0"/>
              <w:jc w:val="center"/>
            </w:pPr>
            <w:r>
              <w:rPr>
                <w:sz w:val="20"/>
              </w:rPr>
              <w:t xml:space="preserve">2020 год (тыс. руб.)</w:t>
            </w:r>
          </w:p>
        </w:tc>
      </w:tr>
      <w:tr>
        <w:tc>
          <w:tcPr>
            <w:vMerge w:val="continue"/>
          </w:tcPr>
          <w:p/>
        </w:tc>
        <w:tc>
          <w:tcPr>
            <w:tcW w:w="1191" w:type="dxa"/>
          </w:tcPr>
          <w:p>
            <w:pPr>
              <w:pStyle w:val="0"/>
              <w:jc w:val="center"/>
            </w:pPr>
            <w:r>
              <w:rPr>
                <w:sz w:val="20"/>
              </w:rPr>
              <w:t xml:space="preserve">всего</w:t>
            </w:r>
          </w:p>
        </w:tc>
        <w:tc>
          <w:tcPr>
            <w:tcW w:w="1020" w:type="dxa"/>
          </w:tcPr>
          <w:p>
            <w:pPr>
              <w:pStyle w:val="0"/>
              <w:jc w:val="center"/>
            </w:pPr>
            <w:r>
              <w:rPr>
                <w:sz w:val="20"/>
              </w:rPr>
              <w:t xml:space="preserve">на 1 жителя</w:t>
            </w:r>
          </w:p>
        </w:tc>
        <w:tc>
          <w:tcPr>
            <w:tcW w:w="1191" w:type="dxa"/>
          </w:tcPr>
          <w:p>
            <w:pPr>
              <w:pStyle w:val="0"/>
              <w:jc w:val="center"/>
            </w:pPr>
            <w:r>
              <w:rPr>
                <w:sz w:val="20"/>
              </w:rPr>
              <w:t xml:space="preserve">всего</w:t>
            </w:r>
          </w:p>
        </w:tc>
        <w:tc>
          <w:tcPr>
            <w:tcW w:w="1077" w:type="dxa"/>
          </w:tcPr>
          <w:p>
            <w:pPr>
              <w:pStyle w:val="0"/>
              <w:jc w:val="center"/>
            </w:pPr>
            <w:r>
              <w:rPr>
                <w:sz w:val="20"/>
              </w:rPr>
              <w:t xml:space="preserve">на 1 жителя</w:t>
            </w:r>
          </w:p>
        </w:tc>
        <w:tc>
          <w:tcPr>
            <w:tcW w:w="1191" w:type="dxa"/>
          </w:tcPr>
          <w:p>
            <w:pPr>
              <w:pStyle w:val="0"/>
              <w:jc w:val="center"/>
            </w:pPr>
            <w:r>
              <w:rPr>
                <w:sz w:val="20"/>
              </w:rPr>
              <w:t xml:space="preserve">всего</w:t>
            </w:r>
          </w:p>
        </w:tc>
        <w:tc>
          <w:tcPr>
            <w:tcW w:w="1077" w:type="dxa"/>
          </w:tcPr>
          <w:p>
            <w:pPr>
              <w:pStyle w:val="0"/>
              <w:jc w:val="center"/>
            </w:pPr>
            <w:r>
              <w:rPr>
                <w:sz w:val="20"/>
              </w:rPr>
              <w:t xml:space="preserve">на 1 жителя</w:t>
            </w:r>
          </w:p>
        </w:tc>
      </w:tr>
      <w:tr>
        <w:tc>
          <w:tcPr>
            <w:tcW w:w="2324" w:type="dxa"/>
          </w:tcPr>
          <w:p>
            <w:pPr>
              <w:pStyle w:val="0"/>
              <w:jc w:val="both"/>
            </w:pPr>
            <w:r>
              <w:rPr>
                <w:sz w:val="20"/>
              </w:rPr>
              <w:t xml:space="preserve">Стоимость, всего</w:t>
            </w:r>
          </w:p>
        </w:tc>
        <w:tc>
          <w:tcPr>
            <w:tcW w:w="1191" w:type="dxa"/>
          </w:tcPr>
          <w:p>
            <w:pPr>
              <w:pStyle w:val="0"/>
              <w:jc w:val="center"/>
            </w:pPr>
            <w:r>
              <w:rPr>
                <w:sz w:val="20"/>
              </w:rPr>
              <w:t xml:space="preserve">5974527,9</w:t>
            </w:r>
          </w:p>
        </w:tc>
        <w:tc>
          <w:tcPr>
            <w:tcW w:w="1020" w:type="dxa"/>
          </w:tcPr>
          <w:p>
            <w:pPr>
              <w:pStyle w:val="0"/>
              <w:jc w:val="center"/>
            </w:pPr>
            <w:r>
              <w:rPr>
                <w:sz w:val="20"/>
              </w:rPr>
              <w:t xml:space="preserve">14380,9</w:t>
            </w:r>
          </w:p>
        </w:tc>
        <w:tc>
          <w:tcPr>
            <w:tcW w:w="1191" w:type="dxa"/>
          </w:tcPr>
          <w:p>
            <w:pPr>
              <w:pStyle w:val="0"/>
              <w:jc w:val="center"/>
            </w:pPr>
            <w:r>
              <w:rPr>
                <w:sz w:val="20"/>
              </w:rPr>
              <w:t xml:space="preserve">6533094,4</w:t>
            </w:r>
          </w:p>
        </w:tc>
        <w:tc>
          <w:tcPr>
            <w:tcW w:w="1077" w:type="dxa"/>
          </w:tcPr>
          <w:p>
            <w:pPr>
              <w:pStyle w:val="0"/>
              <w:jc w:val="center"/>
            </w:pPr>
            <w:r>
              <w:rPr>
                <w:sz w:val="20"/>
              </w:rPr>
              <w:t xml:space="preserve">15351,55</w:t>
            </w:r>
          </w:p>
        </w:tc>
        <w:tc>
          <w:tcPr>
            <w:tcW w:w="1191" w:type="dxa"/>
          </w:tcPr>
          <w:p>
            <w:pPr>
              <w:pStyle w:val="0"/>
              <w:jc w:val="center"/>
            </w:pPr>
            <w:r>
              <w:rPr>
                <w:sz w:val="20"/>
              </w:rPr>
              <w:t xml:space="preserve">7477594,8</w:t>
            </w:r>
          </w:p>
        </w:tc>
        <w:tc>
          <w:tcPr>
            <w:tcW w:w="1077" w:type="dxa"/>
          </w:tcPr>
          <w:p>
            <w:pPr>
              <w:pStyle w:val="0"/>
              <w:jc w:val="center"/>
            </w:pPr>
            <w:r>
              <w:rPr>
                <w:sz w:val="20"/>
              </w:rPr>
              <w:t xml:space="preserve">17194,01</w:t>
            </w:r>
          </w:p>
        </w:tc>
      </w:tr>
      <w:tr>
        <w:tc>
          <w:tcPr>
            <w:tcW w:w="2324" w:type="dxa"/>
          </w:tcPr>
          <w:p>
            <w:pPr>
              <w:pStyle w:val="0"/>
              <w:jc w:val="both"/>
            </w:pPr>
            <w:r>
              <w:rPr>
                <w:sz w:val="20"/>
              </w:rPr>
              <w:t xml:space="preserve">I. Средства консолидированного бюджета субъекта Российской Федерации</w:t>
            </w:r>
          </w:p>
        </w:tc>
        <w:tc>
          <w:tcPr>
            <w:tcW w:w="1191" w:type="dxa"/>
          </w:tcPr>
          <w:p>
            <w:pPr>
              <w:pStyle w:val="0"/>
              <w:jc w:val="center"/>
            </w:pPr>
            <w:r>
              <w:rPr>
                <w:sz w:val="20"/>
              </w:rPr>
              <w:t xml:space="preserve">1650051,3</w:t>
            </w:r>
          </w:p>
        </w:tc>
        <w:tc>
          <w:tcPr>
            <w:tcW w:w="1020" w:type="dxa"/>
          </w:tcPr>
          <w:p>
            <w:pPr>
              <w:pStyle w:val="0"/>
              <w:jc w:val="center"/>
            </w:pPr>
            <w:r>
              <w:rPr>
                <w:sz w:val="20"/>
              </w:rPr>
              <w:t xml:space="preserve">3720,1</w:t>
            </w:r>
          </w:p>
        </w:tc>
        <w:tc>
          <w:tcPr>
            <w:tcW w:w="1191" w:type="dxa"/>
          </w:tcPr>
          <w:p>
            <w:pPr>
              <w:pStyle w:val="0"/>
              <w:jc w:val="center"/>
            </w:pPr>
            <w:r>
              <w:rPr>
                <w:sz w:val="20"/>
              </w:rPr>
              <w:t xml:space="preserve">1722762,2</w:t>
            </w:r>
          </w:p>
        </w:tc>
        <w:tc>
          <w:tcPr>
            <w:tcW w:w="1077" w:type="dxa"/>
          </w:tcPr>
          <w:p>
            <w:pPr>
              <w:pStyle w:val="0"/>
              <w:jc w:val="center"/>
            </w:pPr>
            <w:r>
              <w:rPr>
                <w:sz w:val="20"/>
              </w:rPr>
              <w:t xml:space="preserve">3775,35</w:t>
            </w:r>
          </w:p>
        </w:tc>
        <w:tc>
          <w:tcPr>
            <w:tcW w:w="1191" w:type="dxa"/>
          </w:tcPr>
          <w:p>
            <w:pPr>
              <w:pStyle w:val="0"/>
              <w:jc w:val="center"/>
            </w:pPr>
            <w:r>
              <w:rPr>
                <w:sz w:val="20"/>
              </w:rPr>
              <w:t xml:space="preserve">2091202,3</w:t>
            </w:r>
          </w:p>
        </w:tc>
        <w:tc>
          <w:tcPr>
            <w:tcW w:w="1077" w:type="dxa"/>
          </w:tcPr>
          <w:p>
            <w:pPr>
              <w:pStyle w:val="0"/>
              <w:jc w:val="center"/>
            </w:pPr>
            <w:r>
              <w:rPr>
                <w:sz w:val="20"/>
              </w:rPr>
              <w:t xml:space="preserve">4641,31</w:t>
            </w:r>
          </w:p>
        </w:tc>
      </w:tr>
      <w:tr>
        <w:tc>
          <w:tcPr>
            <w:tcW w:w="2324" w:type="dxa"/>
          </w:tcPr>
          <w:p>
            <w:pPr>
              <w:pStyle w:val="0"/>
              <w:jc w:val="both"/>
            </w:pPr>
            <w:r>
              <w:rPr>
                <w:sz w:val="20"/>
              </w:rPr>
              <w:t xml:space="preserve">II. Стоимость территориальной программы обязательного медицинского страхования, всего</w:t>
            </w:r>
          </w:p>
        </w:tc>
        <w:tc>
          <w:tcPr>
            <w:tcW w:w="1191" w:type="dxa"/>
          </w:tcPr>
          <w:p>
            <w:pPr>
              <w:pStyle w:val="0"/>
              <w:jc w:val="center"/>
            </w:pPr>
            <w:r>
              <w:rPr>
                <w:sz w:val="20"/>
              </w:rPr>
              <w:t xml:space="preserve">4324476,6</w:t>
            </w:r>
          </w:p>
        </w:tc>
        <w:tc>
          <w:tcPr>
            <w:tcW w:w="1020" w:type="dxa"/>
          </w:tcPr>
          <w:p>
            <w:pPr>
              <w:pStyle w:val="0"/>
              <w:jc w:val="center"/>
            </w:pPr>
            <w:r>
              <w:rPr>
                <w:sz w:val="20"/>
              </w:rPr>
              <w:t xml:space="preserve">10660,8</w:t>
            </w:r>
          </w:p>
        </w:tc>
        <w:tc>
          <w:tcPr>
            <w:tcW w:w="1191" w:type="dxa"/>
          </w:tcPr>
          <w:p>
            <w:pPr>
              <w:pStyle w:val="0"/>
              <w:jc w:val="center"/>
            </w:pPr>
            <w:r>
              <w:rPr>
                <w:sz w:val="20"/>
              </w:rPr>
              <w:t xml:space="preserve">4810332,2</w:t>
            </w:r>
          </w:p>
        </w:tc>
        <w:tc>
          <w:tcPr>
            <w:tcW w:w="1077" w:type="dxa"/>
          </w:tcPr>
          <w:p>
            <w:pPr>
              <w:pStyle w:val="0"/>
              <w:jc w:val="center"/>
            </w:pPr>
            <w:r>
              <w:rPr>
                <w:sz w:val="20"/>
              </w:rPr>
              <w:t xml:space="preserve">11576,3</w:t>
            </w:r>
          </w:p>
        </w:tc>
        <w:tc>
          <w:tcPr>
            <w:tcW w:w="1191" w:type="dxa"/>
          </w:tcPr>
          <w:p>
            <w:pPr>
              <w:pStyle w:val="0"/>
              <w:jc w:val="center"/>
            </w:pPr>
            <w:r>
              <w:rPr>
                <w:sz w:val="20"/>
              </w:rPr>
              <w:t xml:space="preserve">5386392,5</w:t>
            </w:r>
          </w:p>
        </w:tc>
        <w:tc>
          <w:tcPr>
            <w:tcW w:w="1077" w:type="dxa"/>
          </w:tcPr>
          <w:p>
            <w:pPr>
              <w:pStyle w:val="0"/>
              <w:jc w:val="center"/>
            </w:pPr>
            <w:r>
              <w:rPr>
                <w:sz w:val="20"/>
              </w:rPr>
              <w:t xml:space="preserve">12552,7</w:t>
            </w:r>
          </w:p>
        </w:tc>
      </w:tr>
      <w:tr>
        <w:tc>
          <w:tcPr>
            <w:tcW w:w="2324" w:type="dxa"/>
          </w:tcPr>
          <w:p>
            <w:pPr>
              <w:pStyle w:val="0"/>
              <w:jc w:val="both"/>
            </w:pPr>
            <w:r>
              <w:rPr>
                <w:sz w:val="20"/>
              </w:rPr>
              <w:t xml:space="preserve">1. Стоимость территориальной программы обязательного медицинского страхования за счет средств обязательного медицинского страхования в рамках базовой программы</w:t>
            </w:r>
          </w:p>
        </w:tc>
        <w:tc>
          <w:tcPr>
            <w:tcW w:w="1191" w:type="dxa"/>
          </w:tcPr>
          <w:p>
            <w:pPr>
              <w:pStyle w:val="0"/>
              <w:jc w:val="center"/>
            </w:pPr>
            <w:r>
              <w:rPr>
                <w:sz w:val="20"/>
              </w:rPr>
              <w:t xml:space="preserve">4324476,6</w:t>
            </w:r>
          </w:p>
        </w:tc>
        <w:tc>
          <w:tcPr>
            <w:tcW w:w="1020" w:type="dxa"/>
          </w:tcPr>
          <w:p>
            <w:pPr>
              <w:pStyle w:val="0"/>
              <w:jc w:val="center"/>
            </w:pPr>
            <w:r>
              <w:rPr>
                <w:sz w:val="20"/>
              </w:rPr>
              <w:t xml:space="preserve">10660,8</w:t>
            </w:r>
          </w:p>
        </w:tc>
        <w:tc>
          <w:tcPr>
            <w:tcW w:w="1191" w:type="dxa"/>
          </w:tcPr>
          <w:p>
            <w:pPr>
              <w:pStyle w:val="0"/>
              <w:jc w:val="center"/>
            </w:pPr>
            <w:r>
              <w:rPr>
                <w:sz w:val="20"/>
              </w:rPr>
              <w:t xml:space="preserve">4810332,2</w:t>
            </w:r>
          </w:p>
        </w:tc>
        <w:tc>
          <w:tcPr>
            <w:tcW w:w="1077" w:type="dxa"/>
          </w:tcPr>
          <w:p>
            <w:pPr>
              <w:pStyle w:val="0"/>
              <w:jc w:val="center"/>
            </w:pPr>
            <w:r>
              <w:rPr>
                <w:sz w:val="20"/>
              </w:rPr>
              <w:t xml:space="preserve">11576,3</w:t>
            </w:r>
          </w:p>
        </w:tc>
        <w:tc>
          <w:tcPr>
            <w:tcW w:w="1191" w:type="dxa"/>
          </w:tcPr>
          <w:p>
            <w:pPr>
              <w:pStyle w:val="0"/>
              <w:jc w:val="center"/>
            </w:pPr>
            <w:r>
              <w:rPr>
                <w:sz w:val="20"/>
              </w:rPr>
              <w:t xml:space="preserve">5386392,5</w:t>
            </w:r>
          </w:p>
        </w:tc>
        <w:tc>
          <w:tcPr>
            <w:tcW w:w="1077" w:type="dxa"/>
          </w:tcPr>
          <w:p>
            <w:pPr>
              <w:pStyle w:val="0"/>
              <w:jc w:val="center"/>
            </w:pPr>
            <w:r>
              <w:rPr>
                <w:sz w:val="20"/>
              </w:rPr>
              <w:t xml:space="preserve">12552,7</w:t>
            </w:r>
          </w:p>
        </w:tc>
      </w:tr>
      <w:tr>
        <w:tc>
          <w:tcPr>
            <w:tcW w:w="2324" w:type="dxa"/>
          </w:tcPr>
          <w:p>
            <w:pPr>
              <w:pStyle w:val="0"/>
              <w:jc w:val="both"/>
            </w:pPr>
            <w:r>
              <w:rPr>
                <w:sz w:val="20"/>
              </w:rPr>
              <w:t xml:space="preserve">в том числе:</w:t>
            </w:r>
          </w:p>
        </w:tc>
        <w:tc>
          <w:tcPr>
            <w:tcW w:w="1191" w:type="dxa"/>
          </w:tcPr>
          <w:p>
            <w:pPr>
              <w:pStyle w:val="0"/>
              <w:jc w:val="center"/>
            </w:pPr>
            <w:r>
              <w:rPr>
                <w:sz w:val="20"/>
              </w:rPr>
            </w:r>
          </w:p>
        </w:tc>
        <w:tc>
          <w:tcPr>
            <w:tcW w:w="1020" w:type="dxa"/>
          </w:tcPr>
          <w:p>
            <w:pPr>
              <w:pStyle w:val="0"/>
              <w:jc w:val="center"/>
            </w:pPr>
            <w:r>
              <w:rPr>
                <w:sz w:val="20"/>
              </w:rPr>
            </w:r>
          </w:p>
        </w:tc>
        <w:tc>
          <w:tcPr>
            <w:tcW w:w="1191" w:type="dxa"/>
          </w:tcPr>
          <w:p>
            <w:pPr>
              <w:pStyle w:val="0"/>
              <w:jc w:val="center"/>
            </w:pPr>
            <w:r>
              <w:rPr>
                <w:sz w:val="20"/>
              </w:rPr>
            </w:r>
          </w:p>
        </w:tc>
        <w:tc>
          <w:tcPr>
            <w:tcW w:w="1077" w:type="dxa"/>
          </w:tcPr>
          <w:p>
            <w:pPr>
              <w:pStyle w:val="0"/>
              <w:jc w:val="center"/>
            </w:pPr>
            <w:r>
              <w:rPr>
                <w:sz w:val="20"/>
              </w:rPr>
            </w:r>
          </w:p>
        </w:tc>
        <w:tc>
          <w:tcPr>
            <w:tcW w:w="1191" w:type="dxa"/>
          </w:tcPr>
          <w:p>
            <w:pPr>
              <w:pStyle w:val="0"/>
              <w:jc w:val="center"/>
            </w:pPr>
            <w:r>
              <w:rPr>
                <w:sz w:val="20"/>
              </w:rPr>
            </w:r>
          </w:p>
        </w:tc>
        <w:tc>
          <w:tcPr>
            <w:tcW w:w="1077" w:type="dxa"/>
          </w:tcPr>
          <w:p>
            <w:pPr>
              <w:pStyle w:val="0"/>
              <w:jc w:val="center"/>
            </w:pPr>
            <w:r>
              <w:rPr>
                <w:sz w:val="20"/>
              </w:rPr>
            </w:r>
          </w:p>
        </w:tc>
      </w:tr>
      <w:tr>
        <w:tc>
          <w:tcPr>
            <w:tcW w:w="2324" w:type="dxa"/>
          </w:tcPr>
          <w:p>
            <w:pPr>
              <w:pStyle w:val="0"/>
              <w:jc w:val="both"/>
            </w:pPr>
            <w:r>
              <w:rPr>
                <w:sz w:val="20"/>
              </w:rPr>
              <w:t xml:space="preserve">1.1. Субвенции из бюджета фонда обязательного медицинского страхования</w:t>
            </w:r>
          </w:p>
        </w:tc>
        <w:tc>
          <w:tcPr>
            <w:tcW w:w="1191" w:type="dxa"/>
          </w:tcPr>
          <w:p>
            <w:pPr>
              <w:pStyle w:val="0"/>
              <w:jc w:val="center"/>
            </w:pPr>
            <w:r>
              <w:rPr>
                <w:sz w:val="20"/>
              </w:rPr>
              <w:t xml:space="preserve">4324476,6</w:t>
            </w:r>
          </w:p>
        </w:tc>
        <w:tc>
          <w:tcPr>
            <w:tcW w:w="1020" w:type="dxa"/>
          </w:tcPr>
          <w:p>
            <w:pPr>
              <w:pStyle w:val="0"/>
              <w:jc w:val="center"/>
            </w:pPr>
            <w:r>
              <w:rPr>
                <w:sz w:val="20"/>
              </w:rPr>
              <w:t xml:space="preserve">10660,8</w:t>
            </w:r>
          </w:p>
        </w:tc>
        <w:tc>
          <w:tcPr>
            <w:tcW w:w="1191" w:type="dxa"/>
          </w:tcPr>
          <w:p>
            <w:pPr>
              <w:pStyle w:val="0"/>
              <w:jc w:val="center"/>
            </w:pPr>
            <w:r>
              <w:rPr>
                <w:sz w:val="20"/>
              </w:rPr>
              <w:t xml:space="preserve">4810332,2</w:t>
            </w:r>
          </w:p>
        </w:tc>
        <w:tc>
          <w:tcPr>
            <w:tcW w:w="1077" w:type="dxa"/>
          </w:tcPr>
          <w:p>
            <w:pPr>
              <w:pStyle w:val="0"/>
              <w:jc w:val="center"/>
            </w:pPr>
            <w:r>
              <w:rPr>
                <w:sz w:val="20"/>
              </w:rPr>
              <w:t xml:space="preserve">11576,3</w:t>
            </w:r>
          </w:p>
        </w:tc>
        <w:tc>
          <w:tcPr>
            <w:tcW w:w="1191" w:type="dxa"/>
          </w:tcPr>
          <w:p>
            <w:pPr>
              <w:pStyle w:val="0"/>
              <w:jc w:val="center"/>
            </w:pPr>
            <w:r>
              <w:rPr>
                <w:sz w:val="20"/>
              </w:rPr>
              <w:t xml:space="preserve">5386392,5</w:t>
            </w:r>
          </w:p>
        </w:tc>
        <w:tc>
          <w:tcPr>
            <w:tcW w:w="1077" w:type="dxa"/>
          </w:tcPr>
          <w:p>
            <w:pPr>
              <w:pStyle w:val="0"/>
              <w:jc w:val="center"/>
            </w:pPr>
            <w:r>
              <w:rPr>
                <w:sz w:val="20"/>
              </w:rPr>
              <w:t xml:space="preserve">12552,7</w:t>
            </w:r>
          </w:p>
        </w:tc>
      </w:tr>
    </w:tbl>
    <w:p>
      <w:pPr>
        <w:pStyle w:val="0"/>
        <w:jc w:val="both"/>
      </w:pPr>
      <w:r>
        <w:rPr>
          <w:sz w:val="20"/>
        </w:rPr>
      </w:r>
    </w:p>
    <w:p>
      <w:pPr>
        <w:pStyle w:val="2"/>
        <w:outlineLvl w:val="4"/>
        <w:jc w:val="center"/>
      </w:pPr>
      <w:r>
        <w:rPr>
          <w:sz w:val="20"/>
        </w:rPr>
        <w:t xml:space="preserve">2.2.3. Анализ оснащенности медицинских организаций</w:t>
      </w:r>
    </w:p>
    <w:p>
      <w:pPr>
        <w:pStyle w:val="2"/>
        <w:jc w:val="center"/>
      </w:pPr>
      <w:r>
        <w:rPr>
          <w:sz w:val="20"/>
        </w:rPr>
        <w:t xml:space="preserve">телекоммуникационными системами, программным обеспечением.</w:t>
      </w:r>
    </w:p>
    <w:p>
      <w:pPr>
        <w:pStyle w:val="2"/>
        <w:jc w:val="center"/>
      </w:pPr>
      <w:r>
        <w:rPr>
          <w:sz w:val="20"/>
        </w:rPr>
        <w:t xml:space="preserve">Показатели информационного обеспечения</w:t>
      </w:r>
    </w:p>
    <w:p>
      <w:pPr>
        <w:pStyle w:val="2"/>
        <w:jc w:val="center"/>
      </w:pPr>
      <w:r>
        <w:rPr>
          <w:sz w:val="20"/>
        </w:rPr>
        <w:t xml:space="preserve">системы здравоохранения</w:t>
      </w:r>
    </w:p>
    <w:p>
      <w:pPr>
        <w:pStyle w:val="0"/>
        <w:jc w:val="center"/>
      </w:pPr>
      <w:r>
        <w:rPr>
          <w:sz w:val="20"/>
        </w:rPr>
      </w:r>
    </w:p>
    <w:p>
      <w:pPr>
        <w:pStyle w:val="0"/>
        <w:ind w:firstLine="540"/>
        <w:jc w:val="both"/>
      </w:pPr>
      <w:r>
        <w:rPr>
          <w:sz w:val="20"/>
        </w:rPr>
        <w:t xml:space="preserve">Все медицинские организации, подведомственные Департаменту здравоохранения города Севастополя, оснащены автоматизированными рабочими местами (далее - АРМ), по состоянию на 31.12.2020 количество АРМ медицинских работников, подключенных к РМИС, составляет 2304 единицы, что составляет 118,7% от плана по оснащению АРМ.</w:t>
      </w:r>
    </w:p>
    <w:p>
      <w:pPr>
        <w:pStyle w:val="0"/>
        <w:spacing w:before="200" w:line-rule="auto"/>
        <w:ind w:firstLine="540"/>
        <w:jc w:val="both"/>
      </w:pPr>
      <w:r>
        <w:rPr>
          <w:sz w:val="20"/>
        </w:rPr>
        <w:t xml:space="preserve">Осуществлено внедрение федеральной электронной регистратуры, интегрированной электронной медицинской карты, подсистем ведения специализированных регистров пациентов в медицинских учреждениях, обеспечение работников здравоохранения автоматизированными рабочими местами.</w:t>
      </w:r>
    </w:p>
    <w:p>
      <w:pPr>
        <w:pStyle w:val="0"/>
        <w:spacing w:before="200" w:line-rule="auto"/>
        <w:ind w:firstLine="540"/>
        <w:jc w:val="both"/>
      </w:pPr>
      <w:r>
        <w:rPr>
          <w:sz w:val="20"/>
        </w:rPr>
        <w:t xml:space="preserve">Развернуты локальные вычислительные сети в учреждениях здравоохранения города, проведена их интеграция с единой защищенной сетью передачи данных между медицинскими учреждениями.</w:t>
      </w:r>
    </w:p>
    <w:p>
      <w:pPr>
        <w:pStyle w:val="0"/>
        <w:spacing w:before="200" w:line-rule="auto"/>
        <w:ind w:firstLine="540"/>
        <w:jc w:val="both"/>
      </w:pPr>
      <w:r>
        <w:rPr>
          <w:sz w:val="20"/>
        </w:rPr>
        <w:t xml:space="preserve">Обеспечено внедрение, поддержка и развитие региональных медицинских информационных систем (далее - РМИС): РМИС "Витакор" (с 25 сентября 2015 г.) на уровне базовой информатизации и организовано информационное взаимодействие с Территориальным фондом обязательного медицинского страхования (ТФОМС) (формирование счетов реестров, внедрение сервисов записи на прием к врачу с использованием "Электронной регистратуры", Интернета, Call-центра и информационных терминалов для возможности самозаписи пациентов, ведение электронной карты пациента, интеграция с федеральными сервисами); РМИС "МедВедь" (статистический учет в здравоохранении); ИС "Флагман-питание" (персонифицированный учет продуктов питания в стационаре и балансовый учет медицинского оборудования стоимостью свыше 150 тыс. руб.); АПТЕКА (персонифицированный учет медикаментов в стационаре); ФРМР (федеральный регистр медицинских работников).</w:t>
      </w:r>
    </w:p>
    <w:p>
      <w:pPr>
        <w:pStyle w:val="0"/>
        <w:spacing w:before="200" w:line-rule="auto"/>
        <w:ind w:firstLine="540"/>
        <w:jc w:val="both"/>
      </w:pPr>
      <w:r>
        <w:rPr>
          <w:sz w:val="20"/>
        </w:rPr>
        <w:t xml:space="preserve">В 2019 году для повышения удобства записи пациентов разработано и опубликовано приложение для мобильных устройств на базе iOS и Android, с помощью которого можно записаться на прием к специалистам медицинских организаций, а также получить телемедицинскую консультацию.</w:t>
      </w:r>
    </w:p>
    <w:p>
      <w:pPr>
        <w:pStyle w:val="0"/>
        <w:spacing w:before="200" w:line-rule="auto"/>
        <w:ind w:firstLine="540"/>
        <w:jc w:val="both"/>
      </w:pPr>
      <w:r>
        <w:rPr>
          <w:sz w:val="20"/>
        </w:rPr>
        <w:t xml:space="preserve">В 12 медицинских учреждениях и Департаменте здравоохранения города Севастополя (далее - Департамент) установлены и введены в эксплуатацию четыре телемедицинских центра и девять телемедицинских пунктов. Разработан регламент по телемедицинским консультациям. Своевременно и в полном объеме осуществляется мониторинг оказания телемедицинских услуг пациентам.</w:t>
      </w:r>
    </w:p>
    <w:p>
      <w:pPr>
        <w:pStyle w:val="0"/>
        <w:ind w:firstLine="540"/>
        <w:jc w:val="both"/>
      </w:pPr>
      <w:r>
        <w:rPr>
          <w:sz w:val="20"/>
        </w:rPr>
      </w:r>
    </w:p>
    <w:p>
      <w:pPr>
        <w:pStyle w:val="2"/>
        <w:outlineLvl w:val="2"/>
        <w:jc w:val="center"/>
      </w:pPr>
      <w:r>
        <w:rPr>
          <w:sz w:val="20"/>
        </w:rPr>
        <w:t xml:space="preserve">3. Сведения о службе скорой медицинской помощи субъекта</w:t>
      </w:r>
    </w:p>
    <w:p>
      <w:pPr>
        <w:pStyle w:val="2"/>
        <w:jc w:val="center"/>
      </w:pPr>
      <w:r>
        <w:rPr>
          <w:sz w:val="20"/>
        </w:rPr>
        <w:t xml:space="preserve">Российской Федерации</w:t>
      </w:r>
    </w:p>
    <w:p>
      <w:pPr>
        <w:pStyle w:val="0"/>
        <w:jc w:val="center"/>
      </w:pPr>
      <w:r>
        <w:rPr>
          <w:sz w:val="20"/>
        </w:rPr>
      </w:r>
    </w:p>
    <w:p>
      <w:pPr>
        <w:pStyle w:val="2"/>
        <w:outlineLvl w:val="3"/>
        <w:jc w:val="center"/>
      </w:pPr>
      <w:r>
        <w:rPr>
          <w:sz w:val="20"/>
        </w:rPr>
        <w:t xml:space="preserve">3.1. Структура службы скорой медицинской помощи субъекта</w:t>
      </w:r>
    </w:p>
    <w:p>
      <w:pPr>
        <w:pStyle w:val="2"/>
        <w:jc w:val="center"/>
      </w:pPr>
      <w:r>
        <w:rPr>
          <w:sz w:val="20"/>
        </w:rPr>
        <w:t xml:space="preserve">Российской Федерации</w:t>
      </w:r>
    </w:p>
    <w:p>
      <w:pPr>
        <w:pStyle w:val="0"/>
        <w:jc w:val="center"/>
      </w:pPr>
      <w:r>
        <w:rPr>
          <w:sz w:val="20"/>
        </w:rPr>
      </w:r>
    </w:p>
    <w:p>
      <w:pPr>
        <w:pStyle w:val="0"/>
        <w:ind w:firstLine="540"/>
        <w:jc w:val="both"/>
      </w:pPr>
      <w:r>
        <w:rPr>
          <w:sz w:val="20"/>
        </w:rPr>
        <w:t xml:space="preserve">В городе Севастополе скорую медицинскую помощь оказывает ГБУЗС "Центр экстренной медицинской помощи и медицины катастроф".</w:t>
      </w:r>
    </w:p>
    <w:p>
      <w:pPr>
        <w:pStyle w:val="0"/>
        <w:spacing w:before="200" w:line-rule="auto"/>
        <w:ind w:firstLine="540"/>
        <w:jc w:val="both"/>
      </w:pPr>
      <w:r>
        <w:rPr>
          <w:sz w:val="20"/>
        </w:rPr>
        <w:t xml:space="preserve">Структура ГБУЗС "Центр экстренной медицинской помощи и медицины катастроф" представлена в </w:t>
      </w:r>
      <w:hyperlink w:history="0" w:anchor="P28114" w:tooltip="Таблица N 7">
        <w:r>
          <w:rPr>
            <w:sz w:val="20"/>
            <w:color w:val="0000ff"/>
          </w:rPr>
          <w:t xml:space="preserve">таблице N 7</w:t>
        </w:r>
      </w:hyperlink>
      <w:r>
        <w:rPr>
          <w:sz w:val="20"/>
        </w:rPr>
        <w:t xml:space="preserve">.</w:t>
      </w:r>
    </w:p>
    <w:p>
      <w:pPr>
        <w:pStyle w:val="0"/>
        <w:ind w:firstLine="540"/>
        <w:jc w:val="both"/>
      </w:pPr>
      <w:r>
        <w:rPr>
          <w:sz w:val="20"/>
        </w:rPr>
      </w:r>
    </w:p>
    <w:bookmarkStart w:id="28114" w:name="P28114"/>
    <w:bookmarkEnd w:id="28114"/>
    <w:p>
      <w:pPr>
        <w:pStyle w:val="0"/>
        <w:jc w:val="right"/>
      </w:pPr>
      <w:r>
        <w:rPr>
          <w:sz w:val="20"/>
        </w:rPr>
        <w:t xml:space="preserve">Таблица N 7</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8"/>
        <w:gridCol w:w="3402"/>
        <w:gridCol w:w="2551"/>
        <w:gridCol w:w="2551"/>
      </w:tblGrid>
      <w:tr>
        <w:tc>
          <w:tcPr>
            <w:tcW w:w="568" w:type="dxa"/>
          </w:tcPr>
          <w:p>
            <w:pPr>
              <w:pStyle w:val="0"/>
              <w:jc w:val="center"/>
            </w:pPr>
            <w:r>
              <w:rPr>
                <w:sz w:val="20"/>
              </w:rPr>
              <w:t xml:space="preserve">N</w:t>
            </w:r>
          </w:p>
        </w:tc>
        <w:tc>
          <w:tcPr>
            <w:tcW w:w="3402" w:type="dxa"/>
          </w:tcPr>
          <w:p>
            <w:pPr>
              <w:pStyle w:val="0"/>
              <w:jc w:val="center"/>
            </w:pPr>
            <w:r>
              <w:rPr>
                <w:sz w:val="20"/>
              </w:rPr>
              <w:t xml:space="preserve">Наименование организации</w:t>
            </w:r>
          </w:p>
        </w:tc>
        <w:tc>
          <w:tcPr>
            <w:tcW w:w="2551" w:type="dxa"/>
          </w:tcPr>
          <w:p>
            <w:pPr>
              <w:pStyle w:val="0"/>
              <w:jc w:val="center"/>
            </w:pPr>
            <w:r>
              <w:rPr>
                <w:sz w:val="20"/>
              </w:rPr>
              <w:t xml:space="preserve">Подстанции</w:t>
            </w:r>
          </w:p>
        </w:tc>
        <w:tc>
          <w:tcPr>
            <w:tcW w:w="2551" w:type="dxa"/>
          </w:tcPr>
          <w:p>
            <w:pPr>
              <w:pStyle w:val="0"/>
              <w:jc w:val="center"/>
            </w:pPr>
            <w:r>
              <w:rPr>
                <w:sz w:val="20"/>
              </w:rPr>
              <w:t xml:space="preserve">Адрес</w:t>
            </w:r>
          </w:p>
        </w:tc>
      </w:tr>
      <w:tr>
        <w:tc>
          <w:tcPr>
            <w:tcW w:w="568" w:type="dxa"/>
          </w:tcPr>
          <w:p>
            <w:pPr>
              <w:pStyle w:val="0"/>
              <w:jc w:val="both"/>
            </w:pPr>
            <w:r>
              <w:rPr>
                <w:sz w:val="20"/>
              </w:rPr>
              <w:t xml:space="preserve">1</w:t>
            </w:r>
          </w:p>
        </w:tc>
        <w:tc>
          <w:tcPr>
            <w:tcW w:w="3402" w:type="dxa"/>
            <w:vMerge w:val="restart"/>
          </w:tcPr>
          <w:p>
            <w:pPr>
              <w:pStyle w:val="0"/>
              <w:jc w:val="both"/>
            </w:pPr>
            <w:r>
              <w:rPr>
                <w:sz w:val="20"/>
              </w:rPr>
              <w:t xml:space="preserve">ГБУЗС "Центр экстренной медицинской помощи и медицины катастроф"</w:t>
            </w:r>
          </w:p>
        </w:tc>
        <w:tc>
          <w:tcPr>
            <w:tcW w:w="2551" w:type="dxa"/>
          </w:tcPr>
          <w:p>
            <w:pPr>
              <w:pStyle w:val="0"/>
              <w:jc w:val="both"/>
            </w:pPr>
            <w:r>
              <w:rPr>
                <w:sz w:val="20"/>
              </w:rPr>
              <w:t xml:space="preserve">Подстанция N 1</w:t>
            </w:r>
          </w:p>
        </w:tc>
        <w:tc>
          <w:tcPr>
            <w:tcW w:w="2551" w:type="dxa"/>
          </w:tcPr>
          <w:p>
            <w:pPr>
              <w:pStyle w:val="0"/>
              <w:jc w:val="both"/>
            </w:pPr>
            <w:r>
              <w:rPr>
                <w:sz w:val="20"/>
              </w:rPr>
              <w:t xml:space="preserve">ул. Корабельная, 29</w:t>
            </w:r>
          </w:p>
        </w:tc>
      </w:tr>
      <w:tr>
        <w:tc>
          <w:tcPr>
            <w:tcW w:w="568" w:type="dxa"/>
          </w:tcPr>
          <w:p>
            <w:pPr>
              <w:pStyle w:val="0"/>
              <w:jc w:val="both"/>
            </w:pPr>
            <w:r>
              <w:rPr>
                <w:sz w:val="20"/>
              </w:rPr>
              <w:t xml:space="preserve">2</w:t>
            </w:r>
          </w:p>
        </w:tc>
        <w:tc>
          <w:tcPr>
            <w:vMerge w:val="continue"/>
          </w:tcPr>
          <w:p/>
        </w:tc>
        <w:tc>
          <w:tcPr>
            <w:tcW w:w="2551" w:type="dxa"/>
          </w:tcPr>
          <w:p>
            <w:pPr>
              <w:pStyle w:val="0"/>
              <w:jc w:val="both"/>
            </w:pPr>
            <w:r>
              <w:rPr>
                <w:sz w:val="20"/>
              </w:rPr>
              <w:t xml:space="preserve">Подстанция N 2</w:t>
            </w:r>
          </w:p>
        </w:tc>
        <w:tc>
          <w:tcPr>
            <w:tcW w:w="2551" w:type="dxa"/>
          </w:tcPr>
          <w:p>
            <w:pPr>
              <w:pStyle w:val="0"/>
              <w:jc w:val="both"/>
            </w:pPr>
            <w:r>
              <w:rPr>
                <w:sz w:val="20"/>
              </w:rPr>
              <w:t xml:space="preserve">ул. Лоцманская, 1</w:t>
            </w:r>
          </w:p>
        </w:tc>
      </w:tr>
      <w:tr>
        <w:tc>
          <w:tcPr>
            <w:tcW w:w="568" w:type="dxa"/>
          </w:tcPr>
          <w:p>
            <w:pPr>
              <w:pStyle w:val="0"/>
              <w:jc w:val="both"/>
            </w:pPr>
            <w:r>
              <w:rPr>
                <w:sz w:val="20"/>
              </w:rPr>
              <w:t xml:space="preserve">3</w:t>
            </w:r>
          </w:p>
        </w:tc>
        <w:tc>
          <w:tcPr>
            <w:vMerge w:val="continue"/>
          </w:tcPr>
          <w:p/>
        </w:tc>
        <w:tc>
          <w:tcPr>
            <w:tcW w:w="2551" w:type="dxa"/>
          </w:tcPr>
          <w:p>
            <w:pPr>
              <w:pStyle w:val="0"/>
              <w:jc w:val="both"/>
            </w:pPr>
            <w:r>
              <w:rPr>
                <w:sz w:val="20"/>
              </w:rPr>
              <w:t xml:space="preserve">Подстанция N 3</w:t>
            </w:r>
          </w:p>
        </w:tc>
        <w:tc>
          <w:tcPr>
            <w:tcW w:w="2551" w:type="dxa"/>
          </w:tcPr>
          <w:p>
            <w:pPr>
              <w:pStyle w:val="0"/>
              <w:jc w:val="both"/>
            </w:pPr>
            <w:r>
              <w:rPr>
                <w:sz w:val="20"/>
              </w:rPr>
              <w:t xml:space="preserve">ул. Б. Михайлова, 25</w:t>
            </w:r>
          </w:p>
        </w:tc>
      </w:tr>
      <w:tr>
        <w:tc>
          <w:tcPr>
            <w:tcW w:w="568" w:type="dxa"/>
          </w:tcPr>
          <w:p>
            <w:pPr>
              <w:pStyle w:val="0"/>
              <w:jc w:val="both"/>
            </w:pPr>
            <w:r>
              <w:rPr>
                <w:sz w:val="20"/>
              </w:rPr>
              <w:t xml:space="preserve">4</w:t>
            </w:r>
          </w:p>
        </w:tc>
        <w:tc>
          <w:tcPr>
            <w:vMerge w:val="continue"/>
          </w:tcPr>
          <w:p/>
        </w:tc>
        <w:tc>
          <w:tcPr>
            <w:tcW w:w="2551" w:type="dxa"/>
          </w:tcPr>
          <w:p>
            <w:pPr>
              <w:pStyle w:val="0"/>
              <w:jc w:val="both"/>
            </w:pPr>
            <w:r>
              <w:rPr>
                <w:sz w:val="20"/>
              </w:rPr>
              <w:t xml:space="preserve">Подстанция N 4</w:t>
            </w:r>
          </w:p>
        </w:tc>
        <w:tc>
          <w:tcPr>
            <w:tcW w:w="2551" w:type="dxa"/>
          </w:tcPr>
          <w:p>
            <w:pPr>
              <w:pStyle w:val="0"/>
              <w:jc w:val="both"/>
            </w:pPr>
            <w:r>
              <w:rPr>
                <w:sz w:val="20"/>
              </w:rPr>
              <w:t xml:space="preserve">ул. Леваневского, 25</w:t>
            </w:r>
          </w:p>
        </w:tc>
      </w:tr>
      <w:tr>
        <w:tc>
          <w:tcPr>
            <w:tcW w:w="568" w:type="dxa"/>
          </w:tcPr>
          <w:p>
            <w:pPr>
              <w:pStyle w:val="0"/>
              <w:jc w:val="both"/>
            </w:pPr>
            <w:r>
              <w:rPr>
                <w:sz w:val="20"/>
              </w:rPr>
              <w:t xml:space="preserve">5</w:t>
            </w:r>
          </w:p>
        </w:tc>
        <w:tc>
          <w:tcPr>
            <w:vMerge w:val="continue"/>
          </w:tcPr>
          <w:p/>
        </w:tc>
        <w:tc>
          <w:tcPr>
            <w:tcW w:w="2551" w:type="dxa"/>
          </w:tcPr>
          <w:p>
            <w:pPr>
              <w:pStyle w:val="0"/>
              <w:jc w:val="both"/>
            </w:pPr>
            <w:r>
              <w:rPr>
                <w:sz w:val="20"/>
              </w:rPr>
              <w:t xml:space="preserve">Подстанция N 5</w:t>
            </w:r>
          </w:p>
        </w:tc>
        <w:tc>
          <w:tcPr>
            <w:tcW w:w="2551" w:type="dxa"/>
          </w:tcPr>
          <w:p>
            <w:pPr>
              <w:pStyle w:val="0"/>
              <w:jc w:val="both"/>
            </w:pPr>
            <w:r>
              <w:rPr>
                <w:sz w:val="20"/>
              </w:rPr>
              <w:t xml:space="preserve">ул. Нестерова, 2</w:t>
            </w:r>
          </w:p>
        </w:tc>
      </w:tr>
      <w:tr>
        <w:tc>
          <w:tcPr>
            <w:tcW w:w="568" w:type="dxa"/>
          </w:tcPr>
          <w:p>
            <w:pPr>
              <w:pStyle w:val="0"/>
              <w:jc w:val="both"/>
            </w:pPr>
            <w:r>
              <w:rPr>
                <w:sz w:val="20"/>
              </w:rPr>
              <w:t xml:space="preserve">6</w:t>
            </w:r>
          </w:p>
        </w:tc>
        <w:tc>
          <w:tcPr>
            <w:vMerge w:val="continue"/>
          </w:tcPr>
          <w:p/>
        </w:tc>
        <w:tc>
          <w:tcPr>
            <w:tcW w:w="2551" w:type="dxa"/>
          </w:tcPr>
          <w:p>
            <w:pPr>
              <w:pStyle w:val="0"/>
              <w:jc w:val="both"/>
            </w:pPr>
            <w:r>
              <w:rPr>
                <w:sz w:val="20"/>
              </w:rPr>
              <w:t xml:space="preserve">Подстанция N 6</w:t>
            </w:r>
          </w:p>
        </w:tc>
        <w:tc>
          <w:tcPr>
            <w:tcW w:w="2551" w:type="dxa"/>
          </w:tcPr>
          <w:p>
            <w:pPr>
              <w:pStyle w:val="0"/>
              <w:jc w:val="both"/>
            </w:pPr>
            <w:r>
              <w:rPr>
                <w:sz w:val="20"/>
              </w:rPr>
              <w:t xml:space="preserve">ул. Умрихина, 4</w:t>
            </w:r>
          </w:p>
        </w:tc>
      </w:tr>
      <w:tr>
        <w:tc>
          <w:tcPr>
            <w:tcW w:w="568" w:type="dxa"/>
          </w:tcPr>
          <w:p>
            <w:pPr>
              <w:pStyle w:val="0"/>
              <w:jc w:val="both"/>
            </w:pPr>
            <w:r>
              <w:rPr>
                <w:sz w:val="20"/>
              </w:rPr>
              <w:t xml:space="preserve">7</w:t>
            </w:r>
          </w:p>
        </w:tc>
        <w:tc>
          <w:tcPr>
            <w:vMerge w:val="continue"/>
          </w:tcPr>
          <w:p/>
        </w:tc>
        <w:tc>
          <w:tcPr>
            <w:tcW w:w="2551" w:type="dxa"/>
          </w:tcPr>
          <w:p>
            <w:pPr>
              <w:pStyle w:val="0"/>
              <w:jc w:val="both"/>
            </w:pPr>
            <w:r>
              <w:rPr>
                <w:sz w:val="20"/>
              </w:rPr>
              <w:t xml:space="preserve">Подстанция N 7</w:t>
            </w:r>
          </w:p>
        </w:tc>
        <w:tc>
          <w:tcPr>
            <w:tcW w:w="2551" w:type="dxa"/>
          </w:tcPr>
          <w:p>
            <w:pPr>
              <w:pStyle w:val="0"/>
              <w:jc w:val="both"/>
            </w:pPr>
            <w:r>
              <w:rPr>
                <w:sz w:val="20"/>
              </w:rPr>
              <w:t xml:space="preserve">ул. Пахомова, 8</w:t>
            </w:r>
          </w:p>
        </w:tc>
      </w:tr>
      <w:tr>
        <w:tc>
          <w:tcPr>
            <w:tcW w:w="568" w:type="dxa"/>
          </w:tcPr>
          <w:p>
            <w:pPr>
              <w:pStyle w:val="0"/>
              <w:jc w:val="both"/>
            </w:pPr>
            <w:r>
              <w:rPr>
                <w:sz w:val="20"/>
              </w:rPr>
              <w:t xml:space="preserve">8</w:t>
            </w:r>
          </w:p>
        </w:tc>
        <w:tc>
          <w:tcPr>
            <w:vMerge w:val="continue"/>
          </w:tcPr>
          <w:p/>
        </w:tc>
        <w:tc>
          <w:tcPr>
            <w:tcW w:w="2551" w:type="dxa"/>
          </w:tcPr>
          <w:p>
            <w:pPr>
              <w:pStyle w:val="0"/>
              <w:jc w:val="both"/>
            </w:pPr>
            <w:r>
              <w:rPr>
                <w:sz w:val="20"/>
              </w:rPr>
              <w:t xml:space="preserve">Подстанция N 8 (центральная)</w:t>
            </w:r>
          </w:p>
        </w:tc>
        <w:tc>
          <w:tcPr>
            <w:tcW w:w="2551" w:type="dxa"/>
          </w:tcPr>
          <w:p>
            <w:pPr>
              <w:pStyle w:val="0"/>
              <w:jc w:val="both"/>
            </w:pPr>
            <w:r>
              <w:rPr>
                <w:sz w:val="20"/>
              </w:rPr>
              <w:t xml:space="preserve">ул. Пугачева, 28</w:t>
            </w:r>
          </w:p>
        </w:tc>
      </w:tr>
      <w:tr>
        <w:tc>
          <w:tcPr>
            <w:tcW w:w="568" w:type="dxa"/>
          </w:tcPr>
          <w:p>
            <w:pPr>
              <w:pStyle w:val="0"/>
              <w:jc w:val="both"/>
            </w:pPr>
            <w:r>
              <w:rPr>
                <w:sz w:val="20"/>
              </w:rPr>
              <w:t xml:space="preserve">9</w:t>
            </w:r>
          </w:p>
        </w:tc>
        <w:tc>
          <w:tcPr>
            <w:vMerge w:val="continue"/>
          </w:tcPr>
          <w:p/>
        </w:tc>
        <w:tc>
          <w:tcPr>
            <w:tcW w:w="2551" w:type="dxa"/>
          </w:tcPr>
          <w:p>
            <w:pPr>
              <w:pStyle w:val="0"/>
              <w:jc w:val="both"/>
            </w:pPr>
            <w:r>
              <w:rPr>
                <w:sz w:val="20"/>
              </w:rPr>
              <w:t xml:space="preserve">Подстанция N 9</w:t>
            </w:r>
          </w:p>
        </w:tc>
        <w:tc>
          <w:tcPr>
            <w:tcW w:w="2551" w:type="dxa"/>
          </w:tcPr>
          <w:p>
            <w:pPr>
              <w:pStyle w:val="0"/>
              <w:jc w:val="both"/>
            </w:pPr>
            <w:r>
              <w:rPr>
                <w:sz w:val="20"/>
              </w:rPr>
              <w:t xml:space="preserve">ул. Мира, 5</w:t>
            </w:r>
          </w:p>
        </w:tc>
      </w:tr>
    </w:tbl>
    <w:p>
      <w:pPr>
        <w:pStyle w:val="0"/>
        <w:ind w:firstLine="540"/>
        <w:jc w:val="both"/>
      </w:pPr>
      <w:r>
        <w:rPr>
          <w:sz w:val="20"/>
        </w:rPr>
      </w:r>
    </w:p>
    <w:p>
      <w:pPr>
        <w:pStyle w:val="0"/>
        <w:ind w:firstLine="540"/>
        <w:jc w:val="both"/>
      </w:pPr>
      <w:r>
        <w:rPr>
          <w:sz w:val="20"/>
        </w:rPr>
        <w:t xml:space="preserve">Скорую медицинскую помощь населению города Севастополя оказывают 29 бригад, из них 3 бригады - специализированные.</w:t>
      </w:r>
    </w:p>
    <w:p>
      <w:pPr>
        <w:pStyle w:val="0"/>
        <w:ind w:firstLine="540"/>
        <w:jc w:val="both"/>
      </w:pPr>
      <w:r>
        <w:rPr>
          <w:sz w:val="20"/>
        </w:rPr>
      </w:r>
    </w:p>
    <w:p>
      <w:pPr>
        <w:pStyle w:val="2"/>
        <w:outlineLvl w:val="3"/>
        <w:jc w:val="center"/>
      </w:pPr>
      <w:r>
        <w:rPr>
          <w:sz w:val="20"/>
        </w:rPr>
        <w:t xml:space="preserve">3.2. Основные показатели деятельности службы скорой</w:t>
      </w:r>
    </w:p>
    <w:p>
      <w:pPr>
        <w:pStyle w:val="2"/>
        <w:jc w:val="center"/>
      </w:pPr>
      <w:r>
        <w:rPr>
          <w:sz w:val="20"/>
        </w:rPr>
        <w:t xml:space="preserve">медицинской помощи субъекта Российской Федерации</w:t>
      </w:r>
    </w:p>
    <w:p>
      <w:pPr>
        <w:pStyle w:val="0"/>
        <w:jc w:val="center"/>
      </w:pPr>
      <w:r>
        <w:rPr>
          <w:sz w:val="20"/>
        </w:rPr>
      </w:r>
    </w:p>
    <w:p>
      <w:pPr>
        <w:pStyle w:val="0"/>
        <w:ind w:firstLine="540"/>
        <w:jc w:val="both"/>
      </w:pPr>
      <w:r>
        <w:rPr>
          <w:sz w:val="20"/>
        </w:rPr>
        <w:t xml:space="preserve">Общее количество вызов скорой медицинской помощи, выполненных выездными бригадами скорой медицинской помощи по состоянию на 31.12.2020 составляет 132355, среди них доля вызовов скорой медицинской помощи в экстренной форме - 65,5% и доля вызовов скорой медицинской помощи в неотложной форме - 35,5%.</w:t>
      </w:r>
    </w:p>
    <w:p>
      <w:pPr>
        <w:pStyle w:val="0"/>
        <w:spacing w:before="200" w:line-rule="auto"/>
        <w:ind w:firstLine="540"/>
        <w:jc w:val="both"/>
      </w:pPr>
      <w:r>
        <w:rPr>
          <w:sz w:val="20"/>
        </w:rPr>
        <w:t xml:space="preserve">Доля вызовов скорой медицинской помощи со временем доезда выездной бригады скорой медицинской помощи до пациента менее 20 минут составляет 91% от общего количества вызовов скорой медицинской помощи, выполненных выездными бригадами скорой медицинской помощи.</w:t>
      </w:r>
    </w:p>
    <w:p>
      <w:pPr>
        <w:pStyle w:val="0"/>
        <w:spacing w:before="200" w:line-rule="auto"/>
        <w:ind w:firstLine="540"/>
        <w:jc w:val="both"/>
      </w:pPr>
      <w:r>
        <w:rPr>
          <w:sz w:val="20"/>
        </w:rPr>
        <w:t xml:space="preserve">Доля автомобилей скорой медицинской помощи старше 5 лет составляет 25,8% от общего числа автомобилей скорой медицинской помощи.</w:t>
      </w:r>
    </w:p>
    <w:p>
      <w:pPr>
        <w:pStyle w:val="0"/>
        <w:spacing w:before="200" w:line-rule="auto"/>
        <w:ind w:firstLine="540"/>
        <w:jc w:val="both"/>
      </w:pPr>
      <w:r>
        <w:rPr>
          <w:sz w:val="20"/>
        </w:rPr>
        <w:t xml:space="preserve">Доля пациентов с острым коронарным синдромом с подъемом сегмента ST, получивших тромболитическую терапию при оказании скорой медицинской помощи вне медицинской организации, от общего числа пациентов с острым коронарным синдромом с подъемом сегмента ST, нуждавшихся в проведении тромболитической терапии при оказании скорой медицинской помощи вне медицинской организации, составляет 0%.</w:t>
      </w:r>
    </w:p>
    <w:p>
      <w:pPr>
        <w:pStyle w:val="0"/>
        <w:spacing w:before="200" w:line-rule="auto"/>
        <w:ind w:firstLine="540"/>
        <w:jc w:val="both"/>
      </w:pPr>
      <w:r>
        <w:rPr>
          <w:sz w:val="20"/>
        </w:rPr>
        <w:t xml:space="preserve">Доля пациентов с острым коронарным синдромом и с острым нарушением мозгового кровообращения, доставленных выездными бригадами скоро медицинской помощи в первичные сосудистые отделения и региональные сосудистые центры, от общего числа пациентов с острым коронарным синдромом и с острым нарушением мозгового кровообращения, которым была оказан скорая медицинская помощь вне медицинской организации выездными бригадами скорой медицинской помощи, составляет 100%.</w:t>
      </w:r>
    </w:p>
    <w:p>
      <w:pPr>
        <w:pStyle w:val="0"/>
        <w:spacing w:before="200" w:line-rule="auto"/>
        <w:ind w:firstLine="540"/>
        <w:jc w:val="both"/>
      </w:pPr>
      <w:r>
        <w:rPr>
          <w:sz w:val="20"/>
        </w:rPr>
        <w:t xml:space="preserve">Доля вызовов (обращений) для оказания медицинской помощи в неотложной форме, переданных из станций (отделений) скорой медицинской помощи для исполнения в отделения неотложной медицинской помощи, из общего числа вызовов (обращений) для оказания медицинской помощи в неотложной форме, поступивших на станции (отделения) скорой медицинской помощи, составляет 18,5%.</w:t>
      </w:r>
    </w:p>
    <w:p>
      <w:pPr>
        <w:pStyle w:val="0"/>
        <w:spacing w:before="200" w:line-rule="auto"/>
        <w:ind w:firstLine="540"/>
        <w:jc w:val="both"/>
      </w:pPr>
      <w:r>
        <w:rPr>
          <w:sz w:val="20"/>
        </w:rPr>
        <w:t xml:space="preserve">Доля станций (отделений) скорой медицинской помощи, оснащенных медицинскими информационными системами, обеспечивающими автоматизацию работы станций (отделений) скорой медицинской помощи, из общего количества станций (отделений) скорой медицинской помощи составляет 100%.</w:t>
      </w:r>
    </w:p>
    <w:p>
      <w:pPr>
        <w:pStyle w:val="0"/>
        <w:spacing w:before="200" w:line-rule="auto"/>
        <w:ind w:firstLine="540"/>
        <w:jc w:val="both"/>
      </w:pPr>
      <w:r>
        <w:rPr>
          <w:sz w:val="20"/>
        </w:rPr>
        <w:t xml:space="preserve">Показатель смертности населения вследствие ДТП на 31.12.2020 составил 4,25 на 100 тысяч населения, общее количество погибших вследствие ДТП - 11 человек, доля пострадавших вследствие ДТП, доставленных выездными бригадами скорой медицинской помощи в стационары, где сформированы травмоцентры 1-го и 2-го уровней, от общего числа пострадавших вследствие ДТП, доставленных выездными бригадами скорой медицинской помощи в стационары, где сформированы травмоцентры и где не сформированы травмоцентры, составила 75%.</w:t>
      </w:r>
    </w:p>
    <w:p>
      <w:pPr>
        <w:pStyle w:val="0"/>
        <w:spacing w:before="200" w:line-rule="auto"/>
        <w:ind w:firstLine="540"/>
        <w:jc w:val="both"/>
      </w:pPr>
      <w:r>
        <w:rPr>
          <w:sz w:val="20"/>
        </w:rPr>
        <w:t xml:space="preserve">Доля вызовов скорой медицинской помощи со временем доезда выездной бригады скорой медицинской помощи до места ДТП менее 20 минут из общего количества вызовов скорой медицинской помощи на место ДТП, выполненных выездными бригадами скорой медицинской помощи, составила 100%.</w:t>
      </w:r>
    </w:p>
    <w:p>
      <w:pPr>
        <w:pStyle w:val="0"/>
        <w:spacing w:before="200" w:line-rule="auto"/>
        <w:ind w:firstLine="540"/>
        <w:jc w:val="both"/>
      </w:pPr>
      <w:r>
        <w:rPr>
          <w:sz w:val="20"/>
        </w:rPr>
        <w:t xml:space="preserve">Доля пациентов, эвакуированных по медицинским показаниям в первые сутки с момента поступления из медицинских организаций, где отсутствует возможность оказания необходимой экстренной медицинской помощи, в медицинские организации 2-го и 3-го уровней в рамках трехуровневой системы здравоохранения, от общего числа пациентов, доставленных по экстренным показаниям в медицинские организации, где отсутствует возможность оказания необходимой экстренной медицинской помощи, составляет 3,9%.</w:t>
      </w:r>
    </w:p>
    <w:p>
      <w:pPr>
        <w:pStyle w:val="0"/>
        <w:spacing w:before="200" w:line-rule="auto"/>
        <w:ind w:firstLine="540"/>
        <w:jc w:val="both"/>
      </w:pPr>
      <w:r>
        <w:rPr>
          <w:sz w:val="20"/>
        </w:rPr>
        <w:t xml:space="preserve">В случае возникновения необходимости эвакуации по медицинским показаниям в первые сутки с момента поступления из медицинских организаций, где отсутствует возможность оказания необходимой экстренной медицинской помощи, в медицинские организации 2-го и 3-го уровней, находящиеся в других регионах РФ, возникает необходимость заключения договора со сторонними организациями, оказывающими услуги санитарной авиации, данная процедура с момента подачи заявки до отправки пациента из города Севастополя занимает до 1,5 часа. За 2020 год с использованием санитарной авиации была оказана экстренная медицинская помощь 20 пациентам.</w:t>
      </w:r>
    </w:p>
    <w:p>
      <w:pPr>
        <w:pStyle w:val="0"/>
        <w:spacing w:before="200" w:line-rule="auto"/>
        <w:ind w:firstLine="540"/>
        <w:jc w:val="both"/>
      </w:pPr>
      <w:r>
        <w:rPr>
          <w:sz w:val="20"/>
        </w:rPr>
        <w:t xml:space="preserve">На данный момент на содержании подведомственных Департаменту здравоохранения города Севастополя учреждениях здравоохранения вертолетных площадок не имеется, вертолетная площадка включена в проект строительства больницы скорой медицинской помощи, подведомственной Департаменту здравоохранения города Севастополя, дата ввода в эксплуатацию - до 2024 года.</w:t>
      </w:r>
    </w:p>
    <w:p>
      <w:pPr>
        <w:pStyle w:val="0"/>
        <w:ind w:firstLine="540"/>
        <w:jc w:val="both"/>
      </w:pPr>
      <w:r>
        <w:rPr>
          <w:sz w:val="20"/>
        </w:rPr>
      </w:r>
    </w:p>
    <w:p>
      <w:pPr>
        <w:pStyle w:val="2"/>
        <w:outlineLvl w:val="3"/>
        <w:jc w:val="center"/>
      </w:pPr>
      <w:r>
        <w:rPr>
          <w:sz w:val="20"/>
        </w:rPr>
        <w:t xml:space="preserve">3.3. Сведения об информационной системе управления службой</w:t>
      </w:r>
    </w:p>
    <w:p>
      <w:pPr>
        <w:pStyle w:val="2"/>
        <w:jc w:val="center"/>
      </w:pPr>
      <w:r>
        <w:rPr>
          <w:sz w:val="20"/>
        </w:rPr>
        <w:t xml:space="preserve">скорой медицинской помощи</w:t>
      </w:r>
    </w:p>
    <w:p>
      <w:pPr>
        <w:pStyle w:val="0"/>
        <w:jc w:val="center"/>
      </w:pPr>
      <w:r>
        <w:rPr>
          <w:sz w:val="20"/>
        </w:rPr>
      </w:r>
    </w:p>
    <w:p>
      <w:pPr>
        <w:pStyle w:val="0"/>
        <w:ind w:firstLine="540"/>
        <w:jc w:val="both"/>
      </w:pPr>
      <w:r>
        <w:rPr>
          <w:sz w:val="20"/>
        </w:rPr>
        <w:t xml:space="preserve">В городе Севастополе внедрена в эксплуатацию Автоматизированная система управления "Управление станцией скорой медицинской помощи" (далее - АСУ "УССМП"), она является комплексным прикладным решением, охватывающим весь процесс обработки вызовов, поступающих на станцию скорой медицинской помощи (ССМП), с момента приема вызова, помощи в принятии решений по его обслуживанию, обслуживание вызова и до выставления счета в ФОМС. АСУ "УССМП" соответствует требованиям приказа Министерства здравоохранения об утверждении </w:t>
      </w:r>
      <w:hyperlink w:history="0" r:id="rId704" w:tooltip="Приказ Минздрава России от 20.06.2013 N 388н (ред. от 21.02.2020) &quot;Об утверждении Порядка оказания скорой, в том числе скорой специализированной, медицинской помощи&quot; (Зарегистрировано в Минюсте России 16.08.2013 N 29422) {КонсультантПлюс}">
        <w:r>
          <w:rPr>
            <w:sz w:val="20"/>
            <w:color w:val="0000ff"/>
          </w:rPr>
          <w:t xml:space="preserve">порядка</w:t>
        </w:r>
      </w:hyperlink>
      <w:r>
        <w:rPr>
          <w:sz w:val="20"/>
        </w:rPr>
        <w:t xml:space="preserve"> оказания скорой медицинской помощи от 20 июня 2013 г. N 388н и внесена в Единый реестр российских программ для электронных вычислительных машин и баз данных.</w:t>
      </w:r>
    </w:p>
    <w:p>
      <w:pPr>
        <w:pStyle w:val="0"/>
        <w:spacing w:before="200" w:line-rule="auto"/>
        <w:ind w:firstLine="540"/>
        <w:jc w:val="both"/>
      </w:pPr>
      <w:r>
        <w:rPr>
          <w:sz w:val="20"/>
        </w:rPr>
        <w:t xml:space="preserve">Основные возможности АСУ УССМП:</w:t>
      </w:r>
    </w:p>
    <w:p>
      <w:pPr>
        <w:pStyle w:val="0"/>
        <w:spacing w:before="200" w:line-rule="auto"/>
        <w:ind w:firstLine="540"/>
        <w:jc w:val="both"/>
      </w:pPr>
      <w:r>
        <w:rPr>
          <w:sz w:val="20"/>
        </w:rPr>
        <w:t xml:space="preserve">- прием и регистрация диспетчером 103 обращений за оказанием скорой медицинской помощи;</w:t>
      </w:r>
    </w:p>
    <w:p>
      <w:pPr>
        <w:pStyle w:val="0"/>
        <w:spacing w:before="200" w:line-rule="auto"/>
        <w:ind w:firstLine="540"/>
        <w:jc w:val="both"/>
      </w:pPr>
      <w:r>
        <w:rPr>
          <w:sz w:val="20"/>
        </w:rPr>
        <w:t xml:space="preserve">- оперативное информирование о случаях ОИМ и ОНМК;</w:t>
      </w:r>
    </w:p>
    <w:p>
      <w:pPr>
        <w:pStyle w:val="0"/>
        <w:spacing w:before="200" w:line-rule="auto"/>
        <w:ind w:firstLine="540"/>
        <w:jc w:val="both"/>
      </w:pPr>
      <w:r>
        <w:rPr>
          <w:sz w:val="20"/>
        </w:rPr>
        <w:t xml:space="preserve">- автоматическое распределение вызовов по зонам ответственности;</w:t>
      </w:r>
    </w:p>
    <w:p>
      <w:pPr>
        <w:pStyle w:val="0"/>
        <w:spacing w:before="200" w:line-rule="auto"/>
        <w:ind w:firstLine="540"/>
        <w:jc w:val="both"/>
      </w:pPr>
      <w:r>
        <w:rPr>
          <w:sz w:val="20"/>
        </w:rPr>
        <w:t xml:space="preserve">- ведение истории обращений пациентов;</w:t>
      </w:r>
    </w:p>
    <w:p>
      <w:pPr>
        <w:pStyle w:val="0"/>
        <w:spacing w:before="200" w:line-rule="auto"/>
        <w:ind w:firstLine="540"/>
        <w:jc w:val="both"/>
      </w:pPr>
      <w:r>
        <w:rPr>
          <w:sz w:val="20"/>
        </w:rPr>
        <w:t xml:space="preserve">- ведение графиков, табелей персонала ССМП;</w:t>
      </w:r>
    </w:p>
    <w:p>
      <w:pPr>
        <w:pStyle w:val="0"/>
        <w:spacing w:before="200" w:line-rule="auto"/>
        <w:ind w:firstLine="540"/>
        <w:jc w:val="both"/>
      </w:pPr>
      <w:r>
        <w:rPr>
          <w:sz w:val="20"/>
        </w:rPr>
        <w:t xml:space="preserve">- управление мотивацией сотрудников;</w:t>
      </w:r>
    </w:p>
    <w:p>
      <w:pPr>
        <w:pStyle w:val="0"/>
        <w:spacing w:before="200" w:line-rule="auto"/>
        <w:ind w:firstLine="540"/>
        <w:jc w:val="both"/>
      </w:pPr>
      <w:r>
        <w:rPr>
          <w:sz w:val="20"/>
        </w:rPr>
        <w:t xml:space="preserve">- управление бригадами ССМП (комплектация бригад, установка на линию, снятие с линии, выход бригад на перерыв и т.д.);</w:t>
      </w:r>
    </w:p>
    <w:p>
      <w:pPr>
        <w:pStyle w:val="0"/>
        <w:spacing w:before="200" w:line-rule="auto"/>
        <w:ind w:firstLine="540"/>
        <w:jc w:val="both"/>
      </w:pPr>
      <w:r>
        <w:rPr>
          <w:sz w:val="20"/>
        </w:rPr>
        <w:t xml:space="preserve">- мониторинг и визуализация транспортных средств ССМП и принятых вызовов;</w:t>
      </w:r>
    </w:p>
    <w:p>
      <w:pPr>
        <w:pStyle w:val="0"/>
        <w:spacing w:before="200" w:line-rule="auto"/>
        <w:ind w:firstLine="540"/>
        <w:jc w:val="both"/>
      </w:pPr>
      <w:r>
        <w:rPr>
          <w:sz w:val="20"/>
        </w:rPr>
        <w:t xml:space="preserve">- обработка вызовов (назначение бригады на вызов, полная диспетчеризация до момента завершения вызова);</w:t>
      </w:r>
    </w:p>
    <w:p>
      <w:pPr>
        <w:pStyle w:val="0"/>
        <w:spacing w:before="200" w:line-rule="auto"/>
        <w:ind w:firstLine="540"/>
        <w:jc w:val="both"/>
      </w:pPr>
      <w:r>
        <w:rPr>
          <w:sz w:val="20"/>
        </w:rPr>
        <w:t xml:space="preserve">- взаимодействие диспетчера с выездной бригадой посредством обмена данными с мобильным устройством;</w:t>
      </w:r>
    </w:p>
    <w:p>
      <w:pPr>
        <w:pStyle w:val="0"/>
        <w:spacing w:before="200" w:line-rule="auto"/>
        <w:ind w:firstLine="540"/>
        <w:jc w:val="both"/>
      </w:pPr>
      <w:r>
        <w:rPr>
          <w:sz w:val="20"/>
        </w:rPr>
        <w:t xml:space="preserve">- стол справок (поиск и вывод информации о вызовах);</w:t>
      </w:r>
    </w:p>
    <w:p>
      <w:pPr>
        <w:pStyle w:val="0"/>
        <w:spacing w:before="200" w:line-rule="auto"/>
        <w:ind w:firstLine="540"/>
        <w:jc w:val="both"/>
      </w:pPr>
      <w:r>
        <w:rPr>
          <w:sz w:val="20"/>
        </w:rPr>
        <w:t xml:space="preserve">- формирование отчетных форм в соответствии с </w:t>
      </w:r>
      <w:hyperlink w:history="0" r:id="rId705" w:tooltip="Приказ Минздравсоцразвития России от 02.12.2009 N 942 (ред. от 15.09.2020) &quot;Об утверждении статистического инструментария станции (отделения), больницы скорой медицинской помощи&quot; (вместе с &quot;Инструкцией по заполнению формы отраслевой статистической отчетности N 40 &quot;Отчет станции (отделения), больницы скорой медицинской помощи&quot;, &quot;Инструкцией по заполнению учетной формы N 109/у &quot;Журнал записи вызовов скорой медицинской помощи&quot;, &quot;Инструкцией по заполнению учетной формы N 110/у &quot;Карта вызова скорой медицинской п {КонсультантПлюс}">
        <w:r>
          <w:rPr>
            <w:sz w:val="20"/>
            <w:color w:val="0000ff"/>
          </w:rPr>
          <w:t xml:space="preserve">приказом</w:t>
        </w:r>
      </w:hyperlink>
      <w:r>
        <w:rPr>
          <w:sz w:val="20"/>
        </w:rPr>
        <w:t xml:space="preserve"> N 942 Минздравсоцразвития РФ;</w:t>
      </w:r>
    </w:p>
    <w:p>
      <w:pPr>
        <w:pStyle w:val="0"/>
        <w:spacing w:before="200" w:line-rule="auto"/>
        <w:ind w:firstLine="540"/>
        <w:jc w:val="both"/>
      </w:pPr>
      <w:r>
        <w:rPr>
          <w:sz w:val="20"/>
        </w:rPr>
        <w:t xml:space="preserve">- формирование оперативных, статистических и аналитических отчетов;</w:t>
      </w:r>
    </w:p>
    <w:p>
      <w:pPr>
        <w:pStyle w:val="0"/>
        <w:spacing w:before="200" w:line-rule="auto"/>
        <w:ind w:firstLine="540"/>
        <w:jc w:val="both"/>
      </w:pPr>
      <w:r>
        <w:rPr>
          <w:sz w:val="20"/>
        </w:rPr>
        <w:t xml:space="preserve">- визуализация статистики вызовов на картах;</w:t>
      </w:r>
    </w:p>
    <w:p>
      <w:pPr>
        <w:pStyle w:val="0"/>
        <w:spacing w:before="200" w:line-rule="auto"/>
        <w:ind w:firstLine="540"/>
        <w:jc w:val="both"/>
      </w:pPr>
      <w:r>
        <w:rPr>
          <w:sz w:val="20"/>
        </w:rPr>
        <w:t xml:space="preserve">- учет ГСМ и ведение путевых листов;</w:t>
      </w:r>
    </w:p>
    <w:p>
      <w:pPr>
        <w:pStyle w:val="0"/>
        <w:spacing w:before="200" w:line-rule="auto"/>
        <w:ind w:firstLine="540"/>
        <w:jc w:val="both"/>
      </w:pPr>
      <w:r>
        <w:rPr>
          <w:sz w:val="20"/>
        </w:rPr>
        <w:t xml:space="preserve">- учет списания медикаментов на вызовы;</w:t>
      </w:r>
    </w:p>
    <w:p>
      <w:pPr>
        <w:pStyle w:val="0"/>
        <w:spacing w:before="200" w:line-rule="auto"/>
        <w:ind w:firstLine="540"/>
        <w:jc w:val="both"/>
      </w:pPr>
      <w:r>
        <w:rPr>
          <w:sz w:val="20"/>
        </w:rPr>
        <w:t xml:space="preserve">- интеграция с системой 112 и телефонией;</w:t>
      </w:r>
    </w:p>
    <w:p>
      <w:pPr>
        <w:pStyle w:val="0"/>
        <w:spacing w:before="200" w:line-rule="auto"/>
        <w:ind w:firstLine="540"/>
        <w:jc w:val="both"/>
      </w:pPr>
      <w:r>
        <w:rPr>
          <w:sz w:val="20"/>
        </w:rPr>
        <w:t xml:space="preserve">- взаимодействие с ФОМС (формирование реестров счетов, выгрузка, загрузка и обработка обратного потока от ФОМС и страховых организаций).</w:t>
      </w:r>
    </w:p>
    <w:p>
      <w:pPr>
        <w:pStyle w:val="0"/>
        <w:ind w:firstLine="540"/>
        <w:jc w:val="both"/>
      </w:pPr>
      <w:r>
        <w:rPr>
          <w:sz w:val="20"/>
        </w:rPr>
      </w:r>
    </w:p>
    <w:p>
      <w:pPr>
        <w:pStyle w:val="2"/>
        <w:outlineLvl w:val="2"/>
        <w:jc w:val="center"/>
      </w:pPr>
      <w:r>
        <w:rPr>
          <w:sz w:val="20"/>
        </w:rPr>
        <w:t xml:space="preserve">4. Анализ автодорожной сети города Севастополя</w:t>
      </w:r>
    </w:p>
    <w:p>
      <w:pPr>
        <w:pStyle w:val="0"/>
        <w:jc w:val="center"/>
      </w:pPr>
      <w:r>
        <w:rPr>
          <w:sz w:val="20"/>
        </w:rPr>
      </w:r>
    </w:p>
    <w:p>
      <w:pPr>
        <w:pStyle w:val="0"/>
        <w:ind w:firstLine="540"/>
        <w:jc w:val="both"/>
      </w:pPr>
      <w:r>
        <w:rPr>
          <w:sz w:val="20"/>
        </w:rPr>
        <w:t xml:space="preserve">Протяженность автомобильных дорог регионального или межмуниципального значения - 1110,411 км. </w:t>
      </w:r>
      <w:hyperlink w:history="0" r:id="rId706" w:tooltip="Постановление Правительства Севастополя от 30.04.2015 N 347-ПП (ред. от 11.09.2023) &quot;Об утверждении критериев отнесения автомобильных дорог общего пользования к автомобильным дорогам общего пользования регионального или межмуниципального значения и перечня автомобильных дорог общего пользования регионального или межмуниципального значения, находящихся в государственной собственности города Севастополя&quot; {КонсультантПлюс}">
        <w:r>
          <w:rPr>
            <w:sz w:val="20"/>
            <w:color w:val="0000ff"/>
          </w:rPr>
          <w:t xml:space="preserve">Перечень</w:t>
        </w:r>
      </w:hyperlink>
      <w:r>
        <w:rPr>
          <w:sz w:val="20"/>
        </w:rPr>
        <w:t xml:space="preserve"> автомобильных дорог регионального или межмуниципального значения утвержден постановлением Правительства Севастополя от 30.04.2015 N 347-ПП "Об утверждении критериев отнесения автомобильных дорог общего пользования к автомобильным дорогам общего пользования регионального или межмуниципального значения и перечня автомобильных дорог общего пользования регионального или межмуниципального значения, находящихся в государственной собственности города Севастополя". Также через Севастополь проходит дорога федерального значения А-291 "Таврида" Керчь - Симферополь - Севастополь, протяженность участка, пролегающего через Севастополь, - 20,75 км. Очаги повышенной аварийности на федеральных и региональных трассах и межмуниципальных автодорогах представлены на карте-схеме </w:t>
      </w:r>
      <w:hyperlink w:history="0" w:anchor="P28195" w:tooltip="Рисунок 1">
        <w:r>
          <w:rPr>
            <w:sz w:val="20"/>
            <w:color w:val="0000ff"/>
          </w:rPr>
          <w:t xml:space="preserve">(рисунок 1)</w:t>
        </w:r>
      </w:hyperlink>
      <w:r>
        <w:rPr>
          <w:sz w:val="20"/>
        </w:rPr>
        <w:t xml:space="preserve">.</w:t>
      </w:r>
    </w:p>
    <w:p>
      <w:pPr>
        <w:pStyle w:val="0"/>
        <w:ind w:firstLine="540"/>
        <w:jc w:val="both"/>
      </w:pPr>
      <w:r>
        <w:rPr>
          <w:sz w:val="20"/>
        </w:rPr>
      </w:r>
    </w:p>
    <w:bookmarkStart w:id="28195" w:name="P28195"/>
    <w:bookmarkEnd w:id="28195"/>
    <w:p>
      <w:pPr>
        <w:pStyle w:val="0"/>
        <w:jc w:val="right"/>
      </w:pPr>
      <w:r>
        <w:rPr>
          <w:sz w:val="20"/>
        </w:rPr>
        <w:t xml:space="preserve">Рисунок 1</w:t>
      </w:r>
    </w:p>
    <w:p>
      <w:pPr>
        <w:pStyle w:val="0"/>
        <w:jc w:val="center"/>
      </w:pPr>
      <w:r>
        <w:rPr>
          <w:sz w:val="20"/>
        </w:rPr>
      </w:r>
    </w:p>
    <w:p>
      <w:pPr>
        <w:pStyle w:val="0"/>
        <w:jc w:val="center"/>
      </w:pPr>
      <w:r>
        <w:rPr>
          <w:position w:val="-223"/>
        </w:rPr>
        <w:drawing>
          <wp:inline distT="0" distB="0" distL="0" distR="0">
            <wp:extent cx="5041265" cy="2968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5041265" cy="296862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На автомобильной дороге Севастополь - Ялта имеются два автомобильных тоннеля. В период туристического сезона плотность автомобильного потока значительно повышается. В случае возникновения ДТП в тоннелях проезд машины СМП к пострадавшим с целью их эвакуации становится невозможным, в данном случае оказать своевременную эвакуацию возможно с помощью санитарной авиации. При постоянном базировании вертолета на территории города Севастополя возможно осуществление экстренной эвакуации пострадавших вследствие ДТП и ЧС не только на территории города Севастополя, но и на территории Южного берега Крыма.</w:t>
      </w:r>
    </w:p>
    <w:p>
      <w:pPr>
        <w:pStyle w:val="0"/>
        <w:spacing w:before="200" w:line-rule="auto"/>
        <w:ind w:firstLine="540"/>
        <w:jc w:val="both"/>
      </w:pPr>
      <w:r>
        <w:rPr>
          <w:sz w:val="20"/>
        </w:rPr>
        <w:t xml:space="preserve">В случаях оказания медицинской помощи пострадавшим в дорожно-транспортных происшествиях осуществляется эвакуация с места ДТП в две медицинские организации города Севастополя, имеющие оснащение для оказания помощи, в том числе при тяжелых политравмах - ГБУЗС "Городская больница N 1 им. Н.И. Пирогова", оказывающая медицинскую помощь взрослому населению и имеющая 12 операционных, и ГБУЗС "Городская больница N 5 - "ЦОЗМиР", оказывающая медицинскую помощь детскому населению и имеющая две операционных. При возникновении массового ДТП или же массового ЧС иного характера, влекущей за собой большое количество пострадавших людей, нуждающихся в экстренной медицинской помощи, ввиду ограниченности ресурсов системы здравоохранения города Севастополя возникает необходимость срочной транспортировки пациентов в Государственное бюджетное учреждение здравоохранения Республики Крым "Республиканская клиническая больница им. Н.А. Семашко".</w:t>
      </w:r>
    </w:p>
    <w:p>
      <w:pPr>
        <w:pStyle w:val="0"/>
        <w:spacing w:before="200" w:line-rule="auto"/>
        <w:ind w:firstLine="540"/>
        <w:jc w:val="both"/>
      </w:pPr>
      <w:r>
        <w:rPr>
          <w:sz w:val="20"/>
        </w:rPr>
        <w:t xml:space="preserve">Картографическая схема города Севастополя, отображающая организацию оказания экстренной медицинской помощи и географические особенности города Севастополя </w:t>
      </w:r>
      <w:hyperlink w:history="0" w:anchor="P28203" w:tooltip="Рисунок 2">
        <w:r>
          <w:rPr>
            <w:sz w:val="20"/>
            <w:color w:val="0000ff"/>
          </w:rPr>
          <w:t xml:space="preserve">(рисунок 2)</w:t>
        </w:r>
      </w:hyperlink>
      <w:r>
        <w:rPr>
          <w:sz w:val="20"/>
        </w:rPr>
        <w:t xml:space="preserve">.</w:t>
      </w:r>
    </w:p>
    <w:p>
      <w:pPr>
        <w:pStyle w:val="0"/>
        <w:jc w:val="right"/>
      </w:pPr>
      <w:r>
        <w:rPr>
          <w:sz w:val="20"/>
        </w:rPr>
      </w:r>
    </w:p>
    <w:bookmarkStart w:id="28203" w:name="P28203"/>
    <w:bookmarkEnd w:id="28203"/>
    <w:p>
      <w:pPr>
        <w:pStyle w:val="0"/>
        <w:jc w:val="right"/>
      </w:pPr>
      <w:r>
        <w:rPr>
          <w:sz w:val="20"/>
        </w:rPr>
        <w:t xml:space="preserve">Рисунок 2</w:t>
      </w:r>
    </w:p>
    <w:p>
      <w:pPr>
        <w:pStyle w:val="0"/>
        <w:jc w:val="right"/>
      </w:pPr>
      <w:r>
        <w:rPr>
          <w:sz w:val="20"/>
        </w:rPr>
      </w:r>
    </w:p>
    <w:p>
      <w:pPr>
        <w:pStyle w:val="0"/>
        <w:jc w:val="center"/>
      </w:pPr>
      <w:r>
        <w:rPr>
          <w:position w:val="-207"/>
        </w:rPr>
        <w:drawing>
          <wp:inline distT="0" distB="0" distL="0" distR="0">
            <wp:extent cx="5041265" cy="2767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5041265" cy="2767330"/>
                    </a:xfrm>
                    <a:prstGeom prst="rect">
                      <a:avLst/>
                    </a:prstGeom>
                    <a:noFill/>
                    <a:ln>
                      <a:noFill/>
                    </a:ln>
                  </pic:spPr>
                </pic:pic>
              </a:graphicData>
            </a:graphic>
          </wp:inline>
        </w:drawing>
      </w:r>
    </w:p>
    <w:p>
      <w:pPr>
        <w:pStyle w:val="0"/>
        <w:jc w:val="center"/>
      </w:pPr>
      <w:r>
        <w:rPr>
          <w:sz w:val="20"/>
        </w:rPr>
      </w:r>
    </w:p>
    <w:p>
      <w:pPr>
        <w:pStyle w:val="2"/>
        <w:outlineLvl w:val="2"/>
        <w:jc w:val="center"/>
      </w:pPr>
      <w:r>
        <w:rPr>
          <w:sz w:val="20"/>
        </w:rPr>
        <w:t xml:space="preserve">5. Межрегиональное взаимодействие</w:t>
      </w:r>
    </w:p>
    <w:p>
      <w:pPr>
        <w:pStyle w:val="0"/>
        <w:jc w:val="center"/>
      </w:pPr>
      <w:r>
        <w:rPr>
          <w:sz w:val="20"/>
        </w:rPr>
      </w:r>
    </w:p>
    <w:p>
      <w:pPr>
        <w:pStyle w:val="0"/>
        <w:ind w:firstLine="540"/>
        <w:jc w:val="both"/>
      </w:pPr>
      <w:r>
        <w:rPr>
          <w:sz w:val="20"/>
        </w:rPr>
        <w:t xml:space="preserve">С учетом особенностей расположения населенных пунктов и автомагистралей на территории Крымского полуострова, а также особенностей ряда территорий (западное побережье Крымского полуострова, зона Южного берега Крыма) в период туристического сезона, перспективным направлением развития санитарной авиации является межрегиональное взаимодействие. В период туристического сезона, длящегося на протяжении не менее пяти месяцев в году (с начала мая по конец сентября), население указанных территорий увеличивается в несколько раз, что требует дополнительных ресурсов при обеспечении медицинской помощи в целом и увеличения количества бригад скорой медицинской помощи, в частности.</w:t>
      </w:r>
    </w:p>
    <w:p>
      <w:pPr>
        <w:pStyle w:val="0"/>
        <w:spacing w:before="200" w:line-rule="auto"/>
        <w:ind w:firstLine="540"/>
        <w:jc w:val="both"/>
      </w:pPr>
      <w:r>
        <w:rPr>
          <w:sz w:val="20"/>
        </w:rPr>
        <w:t xml:space="preserve">В настоящее время для оказания медицинской помощи в рамках санитарной авиации в Республике Крым используется один борт санитарной авиации, постоянно базирующийся в международном аэропорту "Симферополь". В случае необходимости оказания медицинской помощи одновременно в нескольких точках на территории Крымского полуострова или необходимости эвакуации нескольких пациентов одного борта санитарной авиации будет недостаточно. В связи с этим перспективным направлением развития санитарной авиации является наличие вертолета, постоянно базирующегося на территории города Севастополя, способного покрыть часть западной и южной территории Крымского полуострова в радиусе до 100 километров (от г. Саки в западной части до г. Алушты в южной), с последующей транспортировкой пациента в медицинские организации Республики Крым или города Севастополя с учетом профиля оказываемой медицинской помощи и близости медицинской организации к месту нахождения пациента.</w:t>
      </w:r>
    </w:p>
    <w:p>
      <w:pPr>
        <w:pStyle w:val="0"/>
        <w:ind w:firstLine="540"/>
        <w:jc w:val="both"/>
      </w:pPr>
      <w:r>
        <w:rPr>
          <w:sz w:val="20"/>
        </w:rPr>
      </w:r>
    </w:p>
    <w:p>
      <w:pPr>
        <w:pStyle w:val="2"/>
        <w:outlineLvl w:val="2"/>
        <w:jc w:val="center"/>
      </w:pPr>
      <w:r>
        <w:rPr>
          <w:sz w:val="20"/>
        </w:rPr>
        <w:t xml:space="preserve">6. Цели, задачи и приоритетные направления</w:t>
      </w:r>
    </w:p>
    <w:p>
      <w:pPr>
        <w:pStyle w:val="2"/>
        <w:jc w:val="center"/>
      </w:pPr>
      <w:r>
        <w:rPr>
          <w:sz w:val="20"/>
        </w:rPr>
        <w:t xml:space="preserve">реализации Стратегии</w:t>
      </w:r>
    </w:p>
    <w:p>
      <w:pPr>
        <w:pStyle w:val="0"/>
        <w:jc w:val="center"/>
      </w:pPr>
      <w:r>
        <w:rPr>
          <w:sz w:val="20"/>
        </w:rPr>
      </w:r>
    </w:p>
    <w:p>
      <w:pPr>
        <w:pStyle w:val="0"/>
        <w:ind w:firstLine="540"/>
        <w:jc w:val="both"/>
      </w:pPr>
      <w:r>
        <w:rPr>
          <w:sz w:val="20"/>
        </w:rPr>
        <w:t xml:space="preserve">Цель реализации Стратегии - снижение смертности населения за счет развития СМП с использованием санитарной авиации в городе Севастополе в формате 24/7 на основе единой службы СМП и медицины катастроф в трехуровневой системе организации оказания медицинской помощи в экстренной форме.</w:t>
      </w:r>
    </w:p>
    <w:p>
      <w:pPr>
        <w:pStyle w:val="0"/>
        <w:ind w:firstLine="540"/>
        <w:jc w:val="both"/>
      </w:pPr>
      <w:r>
        <w:rPr>
          <w:sz w:val="20"/>
        </w:rPr>
      </w:r>
    </w:p>
    <w:p>
      <w:pPr>
        <w:pStyle w:val="2"/>
        <w:outlineLvl w:val="2"/>
        <w:jc w:val="center"/>
      </w:pPr>
      <w:r>
        <w:rPr>
          <w:sz w:val="20"/>
        </w:rPr>
        <w:t xml:space="preserve">7. Задачами реализации стратегии являются:</w:t>
      </w:r>
    </w:p>
    <w:p>
      <w:pPr>
        <w:pStyle w:val="0"/>
        <w:jc w:val="center"/>
      </w:pPr>
      <w:r>
        <w:rPr>
          <w:sz w:val="20"/>
        </w:rPr>
      </w:r>
    </w:p>
    <w:p>
      <w:pPr>
        <w:pStyle w:val="0"/>
        <w:ind w:firstLine="540"/>
        <w:jc w:val="both"/>
      </w:pPr>
      <w:r>
        <w:rPr>
          <w:sz w:val="20"/>
        </w:rPr>
        <w:t xml:space="preserve">1) оптимизация динамической маршрутизации, учитывающей трехуровневую систему организации медицинской помощи;</w:t>
      </w:r>
    </w:p>
    <w:p>
      <w:pPr>
        <w:pStyle w:val="0"/>
        <w:spacing w:before="200" w:line-rule="auto"/>
        <w:ind w:firstLine="540"/>
        <w:jc w:val="both"/>
      </w:pPr>
      <w:r>
        <w:rPr>
          <w:sz w:val="20"/>
        </w:rPr>
        <w:t xml:space="preserve">2) организация и оптимизация работы санитарной авиации на территории города Севастополя к концу 2024 года.</w:t>
      </w:r>
    </w:p>
    <w:p>
      <w:pPr>
        <w:pStyle w:val="0"/>
        <w:ind w:firstLine="540"/>
        <w:jc w:val="both"/>
      </w:pPr>
      <w:r>
        <w:rPr>
          <w:sz w:val="20"/>
        </w:rPr>
      </w:r>
    </w:p>
    <w:p>
      <w:pPr>
        <w:pStyle w:val="2"/>
        <w:outlineLvl w:val="2"/>
        <w:jc w:val="center"/>
      </w:pPr>
      <w:r>
        <w:rPr>
          <w:sz w:val="20"/>
        </w:rPr>
        <w:t xml:space="preserve">8. Целевые показатели</w:t>
      </w:r>
    </w:p>
    <w:p>
      <w:pPr>
        <w:pStyle w:val="0"/>
        <w:jc w:val="center"/>
      </w:pPr>
      <w:r>
        <w:rPr>
          <w:sz w:val="20"/>
        </w:rPr>
      </w:r>
    </w:p>
    <w:p>
      <w:pPr>
        <w:pStyle w:val="0"/>
        <w:ind w:firstLine="540"/>
        <w:jc w:val="both"/>
      </w:pPr>
      <w:r>
        <w:rPr>
          <w:sz w:val="20"/>
        </w:rPr>
        <w:t xml:space="preserve">1. Субъектами Российской Федерации выполнены вылеты санитарной авиации дополнительно к вылетам, осуществляемым за счет собственных средств бюджетов субъектов Российской Федерации:</w:t>
      </w:r>
    </w:p>
    <w:p>
      <w:pPr>
        <w:pStyle w:val="0"/>
        <w:spacing w:before="200" w:line-rule="auto"/>
        <w:ind w:firstLine="540"/>
        <w:jc w:val="both"/>
      </w:pPr>
      <w:r>
        <w:rPr>
          <w:sz w:val="20"/>
        </w:rPr>
        <w:t xml:space="preserve">2021 год - 15 выл./год;</w:t>
      </w:r>
    </w:p>
    <w:p>
      <w:pPr>
        <w:pStyle w:val="0"/>
        <w:spacing w:before="200" w:line-rule="auto"/>
        <w:ind w:firstLine="540"/>
        <w:jc w:val="both"/>
      </w:pPr>
      <w:r>
        <w:rPr>
          <w:sz w:val="20"/>
        </w:rPr>
        <w:t xml:space="preserve">2022 год - 17 выл./год;</w:t>
      </w:r>
    </w:p>
    <w:p>
      <w:pPr>
        <w:pStyle w:val="0"/>
        <w:spacing w:before="200" w:line-rule="auto"/>
        <w:ind w:firstLine="540"/>
        <w:jc w:val="both"/>
      </w:pPr>
      <w:r>
        <w:rPr>
          <w:sz w:val="20"/>
        </w:rPr>
        <w:t xml:space="preserve">2023 год - 19 выл./год;</w:t>
      </w:r>
    </w:p>
    <w:p>
      <w:pPr>
        <w:pStyle w:val="0"/>
        <w:spacing w:before="200" w:line-rule="auto"/>
        <w:ind w:firstLine="540"/>
        <w:jc w:val="both"/>
      </w:pPr>
      <w:r>
        <w:rPr>
          <w:sz w:val="20"/>
        </w:rPr>
        <w:t xml:space="preserve">2024 год - 21 выл./год.</w:t>
      </w:r>
    </w:p>
    <w:p>
      <w:pPr>
        <w:pStyle w:val="0"/>
        <w:spacing w:before="200" w:line-rule="auto"/>
        <w:ind w:firstLine="540"/>
        <w:jc w:val="both"/>
      </w:pPr>
      <w:r>
        <w:rPr>
          <w:sz w:val="20"/>
        </w:rPr>
        <w:t xml:space="preserve">2. Доля лиц, госпитализированных по экстренным показаниям в течение первых суток, от общего числа больных, к которым совершены вылеты:</w:t>
      </w:r>
    </w:p>
    <w:p>
      <w:pPr>
        <w:pStyle w:val="0"/>
        <w:spacing w:before="200" w:line-rule="auto"/>
        <w:ind w:firstLine="540"/>
        <w:jc w:val="both"/>
      </w:pPr>
      <w:r>
        <w:rPr>
          <w:sz w:val="20"/>
        </w:rPr>
        <w:t xml:space="preserve">2021 год - 90%;</w:t>
      </w:r>
    </w:p>
    <w:p>
      <w:pPr>
        <w:pStyle w:val="0"/>
        <w:spacing w:before="200" w:line-rule="auto"/>
        <w:ind w:firstLine="540"/>
        <w:jc w:val="both"/>
      </w:pPr>
      <w:r>
        <w:rPr>
          <w:sz w:val="20"/>
        </w:rPr>
        <w:t xml:space="preserve">2022 год - 90%;</w:t>
      </w:r>
    </w:p>
    <w:p>
      <w:pPr>
        <w:pStyle w:val="0"/>
        <w:spacing w:before="200" w:line-rule="auto"/>
        <w:ind w:firstLine="540"/>
        <w:jc w:val="both"/>
      </w:pPr>
      <w:r>
        <w:rPr>
          <w:sz w:val="20"/>
        </w:rPr>
        <w:t xml:space="preserve">2023 год - 90%;</w:t>
      </w:r>
    </w:p>
    <w:p>
      <w:pPr>
        <w:pStyle w:val="0"/>
        <w:spacing w:before="200" w:line-rule="auto"/>
        <w:ind w:firstLine="540"/>
        <w:jc w:val="both"/>
      </w:pPr>
      <w:r>
        <w:rPr>
          <w:sz w:val="20"/>
        </w:rPr>
        <w:t xml:space="preserve">2024 год - 90%.</w:t>
      </w:r>
    </w:p>
    <w:p>
      <w:pPr>
        <w:pStyle w:val="0"/>
        <w:jc w:val="both"/>
      </w:pPr>
      <w:r>
        <w:rPr>
          <w:sz w:val="20"/>
        </w:rPr>
      </w:r>
    </w:p>
    <w:p>
      <w:pPr>
        <w:pStyle w:val="2"/>
        <w:outlineLvl w:val="2"/>
        <w:jc w:val="center"/>
      </w:pPr>
      <w:r>
        <w:rPr>
          <w:sz w:val="20"/>
        </w:rPr>
        <w:t xml:space="preserve">9. Ожидаемые результаты</w:t>
      </w:r>
    </w:p>
    <w:p>
      <w:pPr>
        <w:pStyle w:val="0"/>
        <w:jc w:val="center"/>
      </w:pPr>
      <w:r>
        <w:rPr>
          <w:sz w:val="20"/>
        </w:rPr>
      </w:r>
    </w:p>
    <w:p>
      <w:pPr>
        <w:pStyle w:val="0"/>
        <w:ind w:firstLine="540"/>
        <w:jc w:val="both"/>
      </w:pPr>
      <w:r>
        <w:rPr>
          <w:sz w:val="20"/>
        </w:rPr>
        <w:t xml:space="preserve">1. Сформирована региональная система оказания экстренной медицинской помощи гражданам на всей территории города Севастополя, в том числе посредством эвакуации пациентов санитарно-авиационным транспортом.</w:t>
      </w:r>
    </w:p>
    <w:p>
      <w:pPr>
        <w:pStyle w:val="0"/>
        <w:spacing w:before="200" w:line-rule="auto"/>
        <w:ind w:firstLine="540"/>
        <w:jc w:val="both"/>
      </w:pPr>
      <w:r>
        <w:rPr>
          <w:sz w:val="20"/>
        </w:rPr>
        <w:t xml:space="preserve">2. Организована работа санитарной авиации с возможностью эвакуации пациентов в круглосуточном режиме.</w:t>
      </w:r>
    </w:p>
    <w:p>
      <w:pPr>
        <w:pStyle w:val="0"/>
        <w:ind w:firstLine="540"/>
        <w:jc w:val="both"/>
      </w:pPr>
      <w:r>
        <w:rPr>
          <w:sz w:val="20"/>
        </w:rPr>
      </w:r>
    </w:p>
    <w:p>
      <w:pPr>
        <w:pStyle w:val="2"/>
        <w:outlineLvl w:val="2"/>
        <w:jc w:val="center"/>
      </w:pPr>
      <w:r>
        <w:rPr>
          <w:sz w:val="20"/>
        </w:rPr>
        <w:t xml:space="preserve">10. Мероприятия по развитию санитарной авиации на период</w:t>
      </w:r>
    </w:p>
    <w:p>
      <w:pPr>
        <w:pStyle w:val="2"/>
        <w:jc w:val="center"/>
      </w:pPr>
      <w:r>
        <w:rPr>
          <w:sz w:val="20"/>
        </w:rPr>
        <w:t xml:space="preserve">до 2024 года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4535"/>
        <w:gridCol w:w="1417"/>
        <w:gridCol w:w="2551"/>
      </w:tblGrid>
      <w:tr>
        <w:tc>
          <w:tcPr>
            <w:tcW w:w="566" w:type="dxa"/>
          </w:tcPr>
          <w:p>
            <w:pPr>
              <w:pStyle w:val="0"/>
              <w:jc w:val="center"/>
            </w:pPr>
            <w:r>
              <w:rPr>
                <w:sz w:val="20"/>
              </w:rPr>
              <w:t xml:space="preserve">N</w:t>
            </w:r>
          </w:p>
        </w:tc>
        <w:tc>
          <w:tcPr>
            <w:tcW w:w="4535" w:type="dxa"/>
          </w:tcPr>
          <w:p>
            <w:pPr>
              <w:pStyle w:val="0"/>
              <w:jc w:val="center"/>
            </w:pPr>
            <w:r>
              <w:rPr>
                <w:sz w:val="20"/>
              </w:rPr>
              <w:t xml:space="preserve">Мероприятие</w:t>
            </w:r>
          </w:p>
        </w:tc>
        <w:tc>
          <w:tcPr>
            <w:tcW w:w="1417" w:type="dxa"/>
          </w:tcPr>
          <w:p>
            <w:pPr>
              <w:pStyle w:val="0"/>
              <w:jc w:val="center"/>
            </w:pPr>
            <w:r>
              <w:rPr>
                <w:sz w:val="20"/>
              </w:rPr>
              <w:t xml:space="preserve">Срок</w:t>
            </w:r>
          </w:p>
        </w:tc>
        <w:tc>
          <w:tcPr>
            <w:tcW w:w="2551" w:type="dxa"/>
          </w:tcPr>
          <w:p>
            <w:pPr>
              <w:pStyle w:val="0"/>
              <w:jc w:val="center"/>
            </w:pPr>
            <w:r>
              <w:rPr>
                <w:sz w:val="20"/>
              </w:rPr>
              <w:t xml:space="preserve">Ответственное лицо</w:t>
            </w:r>
          </w:p>
        </w:tc>
      </w:tr>
      <w:tr>
        <w:tc>
          <w:tcPr>
            <w:tcW w:w="566" w:type="dxa"/>
          </w:tcPr>
          <w:p>
            <w:pPr>
              <w:pStyle w:val="0"/>
              <w:jc w:val="both"/>
            </w:pPr>
            <w:r>
              <w:rPr>
                <w:sz w:val="20"/>
              </w:rPr>
              <w:t xml:space="preserve">1</w:t>
            </w:r>
          </w:p>
        </w:tc>
        <w:tc>
          <w:tcPr>
            <w:tcW w:w="4535" w:type="dxa"/>
          </w:tcPr>
          <w:p>
            <w:pPr>
              <w:pStyle w:val="0"/>
              <w:jc w:val="both"/>
            </w:pPr>
            <w:r>
              <w:rPr>
                <w:sz w:val="20"/>
              </w:rPr>
              <w:t xml:space="preserve">Формирование динамической маршрутизации пациентов, эвакуируемых в том числе с использованием санитарной авиации, включая медицинские организации второго и третьего уровней, учитывающей актуальное состояние и мощности системы здравоохранения города Севастополя</w:t>
            </w:r>
          </w:p>
        </w:tc>
        <w:tc>
          <w:tcPr>
            <w:tcW w:w="1417" w:type="dxa"/>
          </w:tcPr>
          <w:p>
            <w:pPr>
              <w:pStyle w:val="0"/>
              <w:jc w:val="both"/>
            </w:pPr>
            <w:r>
              <w:rPr>
                <w:sz w:val="20"/>
              </w:rPr>
              <w:t xml:space="preserve">31.12.2021</w:t>
            </w:r>
          </w:p>
        </w:tc>
        <w:tc>
          <w:tcPr>
            <w:tcW w:w="2551" w:type="dxa"/>
          </w:tcPr>
          <w:p>
            <w:pPr>
              <w:pStyle w:val="0"/>
              <w:jc w:val="both"/>
            </w:pPr>
            <w:r>
              <w:rPr>
                <w:sz w:val="20"/>
              </w:rPr>
              <w:t xml:space="preserve">Солдатова А.В. - первый заместитель директора Департамента здравоохранения города Севастополя</w:t>
            </w:r>
          </w:p>
        </w:tc>
      </w:tr>
      <w:tr>
        <w:tc>
          <w:tcPr>
            <w:tcW w:w="566" w:type="dxa"/>
          </w:tcPr>
          <w:p>
            <w:pPr>
              <w:pStyle w:val="0"/>
              <w:jc w:val="both"/>
            </w:pPr>
            <w:r>
              <w:rPr>
                <w:sz w:val="20"/>
              </w:rPr>
              <w:t xml:space="preserve">2</w:t>
            </w:r>
          </w:p>
        </w:tc>
        <w:tc>
          <w:tcPr>
            <w:tcW w:w="4535" w:type="dxa"/>
          </w:tcPr>
          <w:p>
            <w:pPr>
              <w:pStyle w:val="0"/>
              <w:jc w:val="both"/>
            </w:pPr>
            <w:r>
              <w:rPr>
                <w:sz w:val="20"/>
              </w:rPr>
              <w:t xml:space="preserve">Актуализация схем маршрутизации пациентов, эвакуированных силами СМП, в том числе с использованием санитарной авиации, и правил оказания медицинской помощи на территории города Севастополя, в том числе больным с острым нарушением мозгового кровообращения, ОКС, пострадавшим в ДТП</w:t>
            </w:r>
          </w:p>
        </w:tc>
        <w:tc>
          <w:tcPr>
            <w:tcW w:w="1417" w:type="dxa"/>
          </w:tcPr>
          <w:p>
            <w:pPr>
              <w:pStyle w:val="0"/>
              <w:jc w:val="both"/>
            </w:pPr>
            <w:r>
              <w:rPr>
                <w:sz w:val="20"/>
              </w:rPr>
              <w:t xml:space="preserve">31.12.2021</w:t>
            </w:r>
          </w:p>
        </w:tc>
        <w:tc>
          <w:tcPr>
            <w:tcW w:w="2551" w:type="dxa"/>
          </w:tcPr>
          <w:p>
            <w:pPr>
              <w:pStyle w:val="0"/>
              <w:jc w:val="both"/>
            </w:pPr>
            <w:r>
              <w:rPr>
                <w:sz w:val="20"/>
              </w:rPr>
              <w:t xml:space="preserve">Солдатова А.В. - первый заместитель директора Департамента здравоохранения города Севастополя</w:t>
            </w:r>
          </w:p>
        </w:tc>
      </w:tr>
      <w:tr>
        <w:tc>
          <w:tcPr>
            <w:tcW w:w="566" w:type="dxa"/>
          </w:tcPr>
          <w:p>
            <w:pPr>
              <w:pStyle w:val="0"/>
              <w:jc w:val="both"/>
            </w:pPr>
            <w:r>
              <w:rPr>
                <w:sz w:val="20"/>
              </w:rPr>
              <w:t xml:space="preserve">3</w:t>
            </w:r>
          </w:p>
        </w:tc>
        <w:tc>
          <w:tcPr>
            <w:tcW w:w="4535" w:type="dxa"/>
          </w:tcPr>
          <w:p>
            <w:pPr>
              <w:pStyle w:val="0"/>
              <w:jc w:val="both"/>
            </w:pPr>
            <w:r>
              <w:rPr>
                <w:sz w:val="20"/>
              </w:rPr>
              <w:t xml:space="preserve">Оценка объема годовой потребности города Севастополя в санитарно-авиационных эвакуациях</w:t>
            </w:r>
          </w:p>
        </w:tc>
        <w:tc>
          <w:tcPr>
            <w:tcW w:w="1417" w:type="dxa"/>
          </w:tcPr>
          <w:p>
            <w:pPr>
              <w:pStyle w:val="0"/>
              <w:jc w:val="both"/>
            </w:pPr>
            <w:r>
              <w:rPr>
                <w:sz w:val="20"/>
              </w:rPr>
              <w:t xml:space="preserve">Ежегодно до 31 января</w:t>
            </w:r>
          </w:p>
        </w:tc>
        <w:tc>
          <w:tcPr>
            <w:tcW w:w="2551" w:type="dxa"/>
          </w:tcPr>
          <w:p>
            <w:pPr>
              <w:pStyle w:val="0"/>
              <w:jc w:val="both"/>
            </w:pPr>
            <w:r>
              <w:rPr>
                <w:sz w:val="20"/>
              </w:rPr>
              <w:t xml:space="preserve">Солдатова А.В. - первый заместитель директора Департамента здравоохранения города Севастополя</w:t>
            </w:r>
          </w:p>
        </w:tc>
      </w:tr>
      <w:tr>
        <w:tc>
          <w:tcPr>
            <w:tcW w:w="566" w:type="dxa"/>
          </w:tcPr>
          <w:p>
            <w:pPr>
              <w:pStyle w:val="0"/>
              <w:jc w:val="both"/>
            </w:pPr>
            <w:r>
              <w:rPr>
                <w:sz w:val="20"/>
              </w:rPr>
              <w:t xml:space="preserve">4</w:t>
            </w:r>
          </w:p>
        </w:tc>
        <w:tc>
          <w:tcPr>
            <w:tcW w:w="4535" w:type="dxa"/>
          </w:tcPr>
          <w:p>
            <w:pPr>
              <w:pStyle w:val="0"/>
              <w:jc w:val="both"/>
            </w:pPr>
            <w:r>
              <w:rPr>
                <w:sz w:val="20"/>
              </w:rPr>
              <w:t xml:space="preserve">Разработка и утверждение нормативно-правового акта, регламентирующего организацию санитарной авиации на территории города Севастополя</w:t>
            </w:r>
          </w:p>
        </w:tc>
        <w:tc>
          <w:tcPr>
            <w:tcW w:w="1417" w:type="dxa"/>
          </w:tcPr>
          <w:p>
            <w:pPr>
              <w:pStyle w:val="0"/>
              <w:jc w:val="both"/>
            </w:pPr>
            <w:r>
              <w:rPr>
                <w:sz w:val="20"/>
              </w:rPr>
              <w:t xml:space="preserve">31.12.2021</w:t>
            </w:r>
          </w:p>
        </w:tc>
        <w:tc>
          <w:tcPr>
            <w:tcW w:w="2551" w:type="dxa"/>
          </w:tcPr>
          <w:p>
            <w:pPr>
              <w:pStyle w:val="0"/>
              <w:jc w:val="both"/>
            </w:pPr>
            <w:r>
              <w:rPr>
                <w:sz w:val="20"/>
              </w:rPr>
              <w:t xml:space="preserve">Солдатова А.В. - первый заместитель директора Департамента здравоохранения города Севастополя</w:t>
            </w:r>
          </w:p>
        </w:tc>
      </w:tr>
      <w:tr>
        <w:tc>
          <w:tcPr>
            <w:tcW w:w="566" w:type="dxa"/>
          </w:tcPr>
          <w:p>
            <w:pPr>
              <w:pStyle w:val="0"/>
              <w:jc w:val="both"/>
            </w:pPr>
            <w:r>
              <w:rPr>
                <w:sz w:val="20"/>
              </w:rPr>
              <w:t xml:space="preserve">5</w:t>
            </w:r>
          </w:p>
        </w:tc>
        <w:tc>
          <w:tcPr>
            <w:tcW w:w="4535" w:type="dxa"/>
          </w:tcPr>
          <w:p>
            <w:pPr>
              <w:pStyle w:val="0"/>
              <w:jc w:val="both"/>
            </w:pPr>
            <w:r>
              <w:rPr>
                <w:sz w:val="20"/>
              </w:rPr>
              <w:t xml:space="preserve">Ввод в эксплуатацию вертолетной посадочной площадки на базе строящейся больницы скорой медицинской помощи</w:t>
            </w:r>
          </w:p>
        </w:tc>
        <w:tc>
          <w:tcPr>
            <w:tcW w:w="1417" w:type="dxa"/>
          </w:tcPr>
          <w:p>
            <w:pPr>
              <w:pStyle w:val="0"/>
              <w:jc w:val="both"/>
            </w:pPr>
            <w:r>
              <w:rPr>
                <w:sz w:val="20"/>
              </w:rPr>
              <w:t xml:space="preserve">31.03.2024</w:t>
            </w:r>
          </w:p>
        </w:tc>
        <w:tc>
          <w:tcPr>
            <w:tcW w:w="2551" w:type="dxa"/>
          </w:tcPr>
          <w:p>
            <w:pPr>
              <w:pStyle w:val="0"/>
              <w:jc w:val="both"/>
            </w:pPr>
            <w:r>
              <w:rPr>
                <w:sz w:val="20"/>
              </w:rPr>
              <w:t xml:space="preserve">Солдатова А.В. - первый заместитель директора Департамента здравоохранения города Севастополя</w:t>
            </w:r>
          </w:p>
        </w:tc>
      </w:tr>
      <w:tr>
        <w:tc>
          <w:tcPr>
            <w:tcW w:w="566" w:type="dxa"/>
          </w:tcPr>
          <w:p>
            <w:pPr>
              <w:pStyle w:val="0"/>
              <w:jc w:val="both"/>
            </w:pPr>
            <w:r>
              <w:rPr>
                <w:sz w:val="20"/>
              </w:rPr>
              <w:t xml:space="preserve">6</w:t>
            </w:r>
          </w:p>
        </w:tc>
        <w:tc>
          <w:tcPr>
            <w:tcW w:w="4535" w:type="dxa"/>
          </w:tcPr>
          <w:p>
            <w:pPr>
              <w:pStyle w:val="0"/>
              <w:jc w:val="both"/>
            </w:pPr>
            <w:r>
              <w:rPr>
                <w:sz w:val="20"/>
              </w:rPr>
              <w:t xml:space="preserve">Оценка потребности в кадрах для работы санитарной авиации, включая оценку числа сотрудников медицинских организаций, которых необходимо направить на обучение по направлению подготовки авиамедицинских бригад</w:t>
            </w:r>
          </w:p>
        </w:tc>
        <w:tc>
          <w:tcPr>
            <w:tcW w:w="1417" w:type="dxa"/>
          </w:tcPr>
          <w:p>
            <w:pPr>
              <w:pStyle w:val="0"/>
              <w:jc w:val="both"/>
            </w:pPr>
            <w:r>
              <w:rPr>
                <w:sz w:val="20"/>
              </w:rPr>
              <w:t xml:space="preserve">31.12.2021</w:t>
            </w:r>
          </w:p>
        </w:tc>
        <w:tc>
          <w:tcPr>
            <w:tcW w:w="2551" w:type="dxa"/>
          </w:tcPr>
          <w:p>
            <w:pPr>
              <w:pStyle w:val="0"/>
              <w:jc w:val="both"/>
            </w:pPr>
            <w:r>
              <w:rPr>
                <w:sz w:val="20"/>
              </w:rPr>
              <w:t xml:space="preserve">Солдатова А.В. - первый заместитель директора Департамента здравоохранения города Севастополя</w:t>
            </w:r>
          </w:p>
        </w:tc>
      </w:tr>
      <w:tr>
        <w:tc>
          <w:tcPr>
            <w:tcW w:w="566" w:type="dxa"/>
          </w:tcPr>
          <w:p>
            <w:pPr>
              <w:pStyle w:val="0"/>
              <w:jc w:val="both"/>
            </w:pPr>
            <w:r>
              <w:rPr>
                <w:sz w:val="20"/>
              </w:rPr>
              <w:t xml:space="preserve">7</w:t>
            </w:r>
          </w:p>
        </w:tc>
        <w:tc>
          <w:tcPr>
            <w:tcW w:w="4535" w:type="dxa"/>
          </w:tcPr>
          <w:p>
            <w:pPr>
              <w:pStyle w:val="0"/>
              <w:jc w:val="both"/>
            </w:pPr>
            <w:r>
              <w:rPr>
                <w:sz w:val="20"/>
              </w:rPr>
              <w:t xml:space="preserve">Создание отделения санитарной авиации на базе ГБУЗС "Центр экстренной медицинской помощи и медицины катастроф"</w:t>
            </w:r>
          </w:p>
        </w:tc>
        <w:tc>
          <w:tcPr>
            <w:tcW w:w="1417" w:type="dxa"/>
          </w:tcPr>
          <w:p>
            <w:pPr>
              <w:pStyle w:val="0"/>
              <w:jc w:val="both"/>
            </w:pPr>
            <w:r>
              <w:rPr>
                <w:sz w:val="20"/>
              </w:rPr>
              <w:t xml:space="preserve">31.12.2022</w:t>
            </w:r>
          </w:p>
        </w:tc>
        <w:tc>
          <w:tcPr>
            <w:tcW w:w="2551" w:type="dxa"/>
          </w:tcPr>
          <w:p>
            <w:pPr>
              <w:pStyle w:val="0"/>
              <w:jc w:val="both"/>
            </w:pPr>
            <w:r>
              <w:rPr>
                <w:sz w:val="20"/>
              </w:rPr>
              <w:t xml:space="preserve">Стульба Т.Н. - главный врач ГБУЗС "Центр экстренной медицинской помощи и медицины катастроф"</w:t>
            </w:r>
          </w:p>
        </w:tc>
      </w:tr>
      <w:tr>
        <w:tc>
          <w:tcPr>
            <w:tcW w:w="566" w:type="dxa"/>
          </w:tcPr>
          <w:p>
            <w:pPr>
              <w:pStyle w:val="0"/>
              <w:jc w:val="both"/>
            </w:pPr>
            <w:r>
              <w:rPr>
                <w:sz w:val="20"/>
              </w:rPr>
              <w:t xml:space="preserve">8</w:t>
            </w:r>
          </w:p>
        </w:tc>
        <w:tc>
          <w:tcPr>
            <w:tcW w:w="4535" w:type="dxa"/>
          </w:tcPr>
          <w:p>
            <w:pPr>
              <w:pStyle w:val="0"/>
              <w:jc w:val="both"/>
            </w:pPr>
            <w:r>
              <w:rPr>
                <w:sz w:val="20"/>
              </w:rPr>
              <w:t xml:space="preserve">Профессиональная подготовка медицинского персонала (врач - анестезиолог-реаниматолог, врач-неонатолог) и создание авиамедицинских бригад</w:t>
            </w:r>
          </w:p>
        </w:tc>
        <w:tc>
          <w:tcPr>
            <w:tcW w:w="1417" w:type="dxa"/>
          </w:tcPr>
          <w:p>
            <w:pPr>
              <w:pStyle w:val="0"/>
              <w:jc w:val="both"/>
            </w:pPr>
            <w:r>
              <w:rPr>
                <w:sz w:val="20"/>
              </w:rPr>
              <w:t xml:space="preserve">31.12.2022</w:t>
            </w:r>
          </w:p>
        </w:tc>
        <w:tc>
          <w:tcPr>
            <w:tcW w:w="2551" w:type="dxa"/>
          </w:tcPr>
          <w:p>
            <w:pPr>
              <w:pStyle w:val="0"/>
              <w:jc w:val="both"/>
            </w:pPr>
            <w:r>
              <w:rPr>
                <w:sz w:val="20"/>
              </w:rPr>
              <w:t xml:space="preserve">Стульба Т.Н. - главный врач ГБУЗС "Центр экстренной медицинской помощи и медицины катастроф"</w:t>
            </w:r>
          </w:p>
        </w:tc>
      </w:tr>
      <w:tr>
        <w:tc>
          <w:tcPr>
            <w:tcW w:w="566" w:type="dxa"/>
          </w:tcPr>
          <w:p>
            <w:pPr>
              <w:pStyle w:val="0"/>
              <w:jc w:val="both"/>
            </w:pPr>
            <w:r>
              <w:rPr>
                <w:sz w:val="20"/>
              </w:rPr>
              <w:t xml:space="preserve">9</w:t>
            </w:r>
          </w:p>
        </w:tc>
        <w:tc>
          <w:tcPr>
            <w:tcW w:w="4535" w:type="dxa"/>
          </w:tcPr>
          <w:p>
            <w:pPr>
              <w:pStyle w:val="0"/>
              <w:jc w:val="both"/>
            </w:pPr>
            <w:r>
              <w:rPr>
                <w:sz w:val="20"/>
              </w:rPr>
              <w:t xml:space="preserve">Организация работы и круглосуточного дежурства авиамедицинских бригад</w:t>
            </w:r>
          </w:p>
        </w:tc>
        <w:tc>
          <w:tcPr>
            <w:tcW w:w="1417" w:type="dxa"/>
          </w:tcPr>
          <w:p>
            <w:pPr>
              <w:pStyle w:val="0"/>
              <w:jc w:val="both"/>
            </w:pPr>
            <w:r>
              <w:rPr>
                <w:sz w:val="20"/>
              </w:rPr>
              <w:t xml:space="preserve">31.12.2023</w:t>
            </w:r>
          </w:p>
        </w:tc>
        <w:tc>
          <w:tcPr>
            <w:tcW w:w="2551" w:type="dxa"/>
          </w:tcPr>
          <w:p>
            <w:pPr>
              <w:pStyle w:val="0"/>
              <w:jc w:val="both"/>
            </w:pPr>
            <w:r>
              <w:rPr>
                <w:sz w:val="20"/>
              </w:rPr>
              <w:t xml:space="preserve">Стульба Т.Н. - главный врач ГБУЗС "Центр экстренной медицинской помощи и медицины катастроф"</w:t>
            </w:r>
          </w:p>
        </w:tc>
      </w:tr>
      <w:tr>
        <w:tc>
          <w:tcPr>
            <w:tcW w:w="566" w:type="dxa"/>
          </w:tcPr>
          <w:p>
            <w:pPr>
              <w:pStyle w:val="0"/>
              <w:jc w:val="both"/>
            </w:pPr>
            <w:r>
              <w:rPr>
                <w:sz w:val="20"/>
              </w:rPr>
              <w:t xml:space="preserve">10</w:t>
            </w:r>
          </w:p>
        </w:tc>
        <w:tc>
          <w:tcPr>
            <w:tcW w:w="4535" w:type="dxa"/>
          </w:tcPr>
          <w:p>
            <w:pPr>
              <w:pStyle w:val="0"/>
              <w:jc w:val="both"/>
            </w:pPr>
            <w:r>
              <w:rPr>
                <w:sz w:val="20"/>
              </w:rPr>
              <w:t xml:space="preserve">Поэтапное увеличение численности бригад скорой медицинской помощи и доведение их до нормативных значений в соответствии с методическими рекомендациями, разработанными главным внештатным специалистом Минздрава по скорой медицинской помощи С.Ф. Багненко (одна бригада скорой медицинской помощи на 10000 населения)</w:t>
            </w:r>
          </w:p>
        </w:tc>
        <w:tc>
          <w:tcPr>
            <w:tcW w:w="1417" w:type="dxa"/>
          </w:tcPr>
          <w:p>
            <w:pPr>
              <w:pStyle w:val="0"/>
              <w:jc w:val="both"/>
            </w:pPr>
            <w:r>
              <w:rPr>
                <w:sz w:val="20"/>
              </w:rPr>
              <w:t xml:space="preserve">31.12.2024</w:t>
            </w:r>
          </w:p>
        </w:tc>
        <w:tc>
          <w:tcPr>
            <w:tcW w:w="2551" w:type="dxa"/>
          </w:tcPr>
          <w:p>
            <w:pPr>
              <w:pStyle w:val="0"/>
              <w:jc w:val="both"/>
            </w:pPr>
            <w:r>
              <w:rPr>
                <w:sz w:val="20"/>
              </w:rPr>
              <w:t xml:space="preserve">Стульба Т.Н. - главный врач ГБУЗС "Центр экстренной медицинской помощи и медицины катастроф"</w:t>
            </w:r>
          </w:p>
        </w:tc>
      </w:tr>
      <w:tr>
        <w:tc>
          <w:tcPr>
            <w:tcW w:w="566" w:type="dxa"/>
          </w:tcPr>
          <w:p>
            <w:pPr>
              <w:pStyle w:val="0"/>
              <w:jc w:val="both"/>
            </w:pPr>
            <w:r>
              <w:rPr>
                <w:sz w:val="20"/>
              </w:rPr>
              <w:t xml:space="preserve">11</w:t>
            </w:r>
          </w:p>
        </w:tc>
        <w:tc>
          <w:tcPr>
            <w:tcW w:w="4535" w:type="dxa"/>
          </w:tcPr>
          <w:p>
            <w:pPr>
              <w:pStyle w:val="0"/>
              <w:jc w:val="both"/>
            </w:pPr>
            <w:r>
              <w:rPr>
                <w:sz w:val="20"/>
              </w:rPr>
              <w:t xml:space="preserve">Создание единой диспетчерской службы экстренной медицинской помощи и медицины катастроф (доработка с учетом вновь созданного объекта)</w:t>
            </w:r>
          </w:p>
        </w:tc>
        <w:tc>
          <w:tcPr>
            <w:tcW w:w="1417" w:type="dxa"/>
          </w:tcPr>
          <w:p>
            <w:pPr>
              <w:pStyle w:val="0"/>
              <w:jc w:val="both"/>
            </w:pPr>
            <w:r>
              <w:rPr>
                <w:sz w:val="20"/>
              </w:rPr>
              <w:t xml:space="preserve">31.12.2023</w:t>
            </w:r>
          </w:p>
        </w:tc>
        <w:tc>
          <w:tcPr>
            <w:tcW w:w="2551" w:type="dxa"/>
          </w:tcPr>
          <w:p>
            <w:pPr>
              <w:pStyle w:val="0"/>
              <w:jc w:val="both"/>
            </w:pPr>
            <w:r>
              <w:rPr>
                <w:sz w:val="20"/>
              </w:rPr>
              <w:t xml:space="preserve">Солдатова А.В. - первый заместитель директора Департамента здравоохранения города Севастополя</w:t>
            </w:r>
          </w:p>
        </w:tc>
      </w:tr>
      <w:tr>
        <w:tc>
          <w:tcPr>
            <w:tcW w:w="566" w:type="dxa"/>
          </w:tcPr>
          <w:p>
            <w:pPr>
              <w:pStyle w:val="0"/>
              <w:jc w:val="both"/>
            </w:pPr>
            <w:r>
              <w:rPr>
                <w:sz w:val="20"/>
              </w:rPr>
              <w:t xml:space="preserve">12</w:t>
            </w:r>
          </w:p>
        </w:tc>
        <w:tc>
          <w:tcPr>
            <w:tcW w:w="4535" w:type="dxa"/>
          </w:tcPr>
          <w:p>
            <w:pPr>
              <w:pStyle w:val="0"/>
              <w:jc w:val="both"/>
            </w:pPr>
            <w:r>
              <w:rPr>
                <w:sz w:val="20"/>
              </w:rPr>
              <w:t xml:space="preserve">Организация межтерриториального взаимодействия со службой медицины катастроф Республики Крым</w:t>
            </w:r>
          </w:p>
        </w:tc>
        <w:tc>
          <w:tcPr>
            <w:tcW w:w="1417" w:type="dxa"/>
          </w:tcPr>
          <w:p>
            <w:pPr>
              <w:pStyle w:val="0"/>
              <w:jc w:val="both"/>
            </w:pPr>
            <w:r>
              <w:rPr>
                <w:sz w:val="20"/>
              </w:rPr>
              <w:t xml:space="preserve">31.12.2024</w:t>
            </w:r>
          </w:p>
        </w:tc>
        <w:tc>
          <w:tcPr>
            <w:tcW w:w="2551" w:type="dxa"/>
          </w:tcPr>
          <w:p>
            <w:pPr>
              <w:pStyle w:val="0"/>
              <w:jc w:val="both"/>
            </w:pPr>
            <w:r>
              <w:rPr>
                <w:sz w:val="20"/>
              </w:rPr>
              <w:t xml:space="preserve">Солдатова А.В. - первый заместитель директора Департамента здравоохранения города Севастополя</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10</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bookmarkStart w:id="28306" w:name="P28306"/>
    <w:bookmarkEnd w:id="28306"/>
    <w:p>
      <w:pPr>
        <w:pStyle w:val="2"/>
        <w:jc w:val="center"/>
      </w:pPr>
      <w:r>
        <w:rPr>
          <w:sz w:val="20"/>
        </w:rPr>
        <w:t xml:space="preserve">Региональная программа</w:t>
      </w:r>
    </w:p>
    <w:p>
      <w:pPr>
        <w:pStyle w:val="2"/>
        <w:jc w:val="center"/>
      </w:pPr>
      <w:r>
        <w:rPr>
          <w:sz w:val="20"/>
        </w:rPr>
        <w:t xml:space="preserve">"Развитие системы оказания паллиативной медицинской помощи</w:t>
      </w:r>
    </w:p>
    <w:p>
      <w:pPr>
        <w:pStyle w:val="2"/>
        <w:jc w:val="center"/>
      </w:pPr>
      <w:r>
        <w:rPr>
          <w:sz w:val="20"/>
        </w:rPr>
        <w:t xml:space="preserve">в городе Севастополе в 2020 - 2024 годах"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Севастополя от 10.11.2022 </w:t>
            </w:r>
            <w:hyperlink w:history="0" r:id="rId709"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561-ПП</w:t>
              </w:r>
            </w:hyperlink>
            <w:r>
              <w:rPr>
                <w:sz w:val="20"/>
                <w:color w:val="392c69"/>
              </w:rPr>
              <w:t xml:space="preserve">,</w:t>
            </w:r>
          </w:p>
          <w:p>
            <w:pPr>
              <w:pStyle w:val="0"/>
              <w:jc w:val="center"/>
            </w:pPr>
            <w:r>
              <w:rPr>
                <w:sz w:val="20"/>
                <w:color w:val="392c69"/>
              </w:rPr>
              <w:t xml:space="preserve">от 08.12.2022 </w:t>
            </w:r>
            <w:hyperlink w:history="0" r:id="rId710"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638-ПП</w:t>
              </w:r>
            </w:hyperlink>
            <w:r>
              <w:rPr>
                <w:sz w:val="20"/>
                <w:color w:val="392c69"/>
              </w:rPr>
              <w:t xml:space="preserve">, от 02.03.2023 </w:t>
            </w:r>
            <w:hyperlink w:history="0" r:id="rId711"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108-ПП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2"/>
        <w:outlineLvl w:val="2"/>
        <w:jc w:val="center"/>
      </w:pPr>
      <w:r>
        <w:rPr>
          <w:sz w:val="20"/>
        </w:rPr>
        <w:t xml:space="preserve">Введение</w:t>
      </w:r>
    </w:p>
    <w:p>
      <w:pPr>
        <w:pStyle w:val="0"/>
        <w:jc w:val="center"/>
      </w:pPr>
      <w:r>
        <w:rPr>
          <w:sz w:val="20"/>
        </w:rPr>
      </w:r>
    </w:p>
    <w:p>
      <w:pPr>
        <w:pStyle w:val="0"/>
        <w:ind w:firstLine="540"/>
        <w:jc w:val="both"/>
      </w:pPr>
      <w:r>
        <w:rPr>
          <w:sz w:val="20"/>
        </w:rPr>
        <w:t xml:space="preserve">Организация оказания паллиативной медицинской помощи (далее - ПМП) относится к важнейшим вопросам социальной сферы, имеющим не только медицинское, но и большое общественное и нравственное значение.</w:t>
      </w:r>
    </w:p>
    <w:p>
      <w:pPr>
        <w:pStyle w:val="0"/>
        <w:spacing w:before="200" w:line-rule="auto"/>
        <w:ind w:firstLine="540"/>
        <w:jc w:val="both"/>
      </w:pPr>
      <w:r>
        <w:rPr>
          <w:sz w:val="20"/>
        </w:rPr>
        <w:t xml:space="preserve">Паллиативная специализированная медицинская помощь представляет собой комплекс мероприятий, включающих медицинские вмешательства, мероприятия психологического характера и уход, осуществляемые в целях улучшения качества жизни неизлечимо больных граждан и направленные на облегчение боли, других тяжелых проявлений заболевания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712"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Часть 1 статьи 36</w:t>
        </w:r>
      </w:hyperlink>
      <w:r>
        <w:rPr>
          <w:sz w:val="20"/>
        </w:rPr>
        <w:t xml:space="preserve"> Федерального закона от 21 ноября 2011 г. N 323-ФЗ "Об основах охраны здоровья граждан в Российской Федерации" (далее - Федеральный закон от 21 ноября 2011 г. N 323-ФЗ).</w:t>
      </w:r>
    </w:p>
    <w:p>
      <w:pPr>
        <w:pStyle w:val="0"/>
        <w:ind w:firstLine="540"/>
        <w:jc w:val="both"/>
      </w:pPr>
      <w:r>
        <w:rPr>
          <w:sz w:val="20"/>
        </w:rPr>
      </w:r>
    </w:p>
    <w:p>
      <w:pPr>
        <w:pStyle w:val="0"/>
        <w:ind w:firstLine="540"/>
        <w:jc w:val="both"/>
      </w:pPr>
      <w:r>
        <w:rPr>
          <w:sz w:val="20"/>
        </w:rPr>
        <w:t xml:space="preserve">При оказании паллиативной медицинской помощи пациент имеет право на облегчение боли, связанной с заболеванием, состоянием или медицинским вмешательством, методами и лекарственными препаратами, в том числе наркотическими лекарственными препаратами и психотропными лекарственными препаратами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713"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Пункт 4 части 5 статьи 19</w:t>
        </w:r>
      </w:hyperlink>
      <w:r>
        <w:rPr>
          <w:sz w:val="20"/>
        </w:rPr>
        <w:t xml:space="preserve"> Федерального закона от 21 ноября 2011 г. N 323-ФЗ.</w:t>
      </w:r>
    </w:p>
    <w:p>
      <w:pPr>
        <w:pStyle w:val="0"/>
        <w:ind w:firstLine="540"/>
        <w:jc w:val="both"/>
      </w:pPr>
      <w:r>
        <w:rPr>
          <w:sz w:val="20"/>
        </w:rPr>
      </w:r>
    </w:p>
    <w:p>
      <w:pPr>
        <w:pStyle w:val="0"/>
        <w:ind w:firstLine="540"/>
        <w:jc w:val="both"/>
      </w:pPr>
      <w:r>
        <w:rPr>
          <w:sz w:val="20"/>
        </w:rPr>
        <w:t xml:space="preserve">Настоящая программа "Развитие системы оказания паллиативной медицинской помощи в городе Севастополе на 2020 - 2024 годы" (далее - Программа) разработана во исполнение </w:t>
      </w:r>
      <w:hyperlink w:history="0" r:id="rId714" w:tooltip="&quot;Перечень поручений по итогам заседания Государственного совета&quot; (утв. Президентом РФ 16.01.2019 N Пр-38ГС) {КонсультантПлюс}">
        <w:r>
          <w:rPr>
            <w:sz w:val="20"/>
            <w:color w:val="0000ff"/>
          </w:rPr>
          <w:t xml:space="preserve">подпункта "е" п. 2</w:t>
        </w:r>
      </w:hyperlink>
      <w:r>
        <w:rPr>
          <w:sz w:val="20"/>
        </w:rPr>
        <w:t xml:space="preserve"> перечня поручений Президента Российской Федерации от 16.01.2019 N Пр-38ГС с учетом лучших российских практик оказания паллиативной медицинской помощи, а также особенностей города Севастополя в части половозрастного состава населения, уровня и структуры заболеваемости, климатических и географических условий региона, транспортной доступности медицинских организаций, сбалансированности объема медицинской помощи и ее финансового обеспечения, основана на данных медицинской статистики.</w:t>
      </w:r>
    </w:p>
    <w:p>
      <w:pPr>
        <w:pStyle w:val="0"/>
        <w:spacing w:before="200" w:line-rule="auto"/>
        <w:ind w:firstLine="540"/>
        <w:jc w:val="both"/>
      </w:pPr>
      <w:r>
        <w:rPr>
          <w:sz w:val="20"/>
        </w:rPr>
        <w:t xml:space="preserve">Основными целями Программы является повышение качества и доступности паллиативной медицинской помощи в городе Севастополе, повышение качества жизни пациентов, нуждающихся в паллиативной медицинской помощи, а также их родственников и иных лиц, осуществляющих уход за пациентами.</w:t>
      </w:r>
    </w:p>
    <w:p>
      <w:pPr>
        <w:pStyle w:val="0"/>
        <w:spacing w:before="200" w:line-rule="auto"/>
        <w:ind w:firstLine="540"/>
        <w:jc w:val="both"/>
      </w:pPr>
      <w:r>
        <w:rPr>
          <w:sz w:val="20"/>
        </w:rPr>
        <w:t xml:space="preserve">Программа подготовлена в соответствии с Федеральным </w:t>
      </w:r>
      <w:hyperlink w:history="0" r:id="rId715"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законом</w:t>
        </w:r>
      </w:hyperlink>
      <w:r>
        <w:rPr>
          <w:sz w:val="20"/>
        </w:rPr>
        <w:t xml:space="preserve"> от 21.11.2011 N 323-ФЗ "Об основах охраны здоровья граждан в Российской Федерации", Государственной </w:t>
      </w:r>
      <w:hyperlink w:history="0" r:id="rId716"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программой</w:t>
        </w:r>
      </w:hyperlink>
      <w:r>
        <w:rPr>
          <w:sz w:val="20"/>
        </w:rPr>
        <w:t xml:space="preserve"> Российской Федерации "Развитие здравоохранения", утвержденной постановлением Правительства Российской Федерации от 26.12.2017 N 1640, </w:t>
      </w:r>
      <w:hyperlink w:history="0" r:id="rId717" w:tooltip="Постановление Правительства РФ от 07.12.2019 N 1610 (ред. от 05.06.2020) &quot;О Программе государственных гарантий бесплатного оказания гражданам медицинской помощи на 2020 год и на плановый период 2021 и 2022 годов&quot; {КонсультантПлюс}">
        <w:r>
          <w:rPr>
            <w:sz w:val="20"/>
            <w:color w:val="0000ff"/>
          </w:rPr>
          <w:t xml:space="preserve">Программой</w:t>
        </w:r>
      </w:hyperlink>
      <w:r>
        <w:rPr>
          <w:sz w:val="20"/>
        </w:rPr>
        <w:t xml:space="preserve"> государственных гарантий бесплатного оказания гражданам медицинской помощи на 2020 год и на плановый период 2021 и 2022 годов, утвержденной постановлением Правительства Российской Федерации от 07.12.2019 N 1610, а также </w:t>
      </w:r>
      <w:hyperlink w:history="0" r:id="rId718"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 утвержденным приказом Министерства здравоохранения Российской Федерации N 345н, приказом Министерства труда и социальной защиты Российской Федерации N 372н от 31.05.2019 (далее - Положение об организации ПМП) и иными нормативными правовыми актами Российской Федерации в области охраны здоровья.</w:t>
      </w:r>
    </w:p>
    <w:p>
      <w:pPr>
        <w:pStyle w:val="0"/>
        <w:spacing w:before="200" w:line-rule="auto"/>
        <w:ind w:firstLine="540"/>
        <w:jc w:val="both"/>
      </w:pPr>
      <w:r>
        <w:rPr>
          <w:sz w:val="20"/>
        </w:rPr>
        <w:t xml:space="preserve">Приоритетные направления развития паллиативной медицинской помощи в городе Севастополе и целевые показатели эффективности реализации Программы установлены с учетом рекомендуемых федеральным законодательством нормативов к структуре и штатной численности медицинских организаций, оказывающих паллиативную медицинскую помощь, а также стандартов их оснащения медицинским оборудованием.</w:t>
      </w:r>
    </w:p>
    <w:p>
      <w:pPr>
        <w:pStyle w:val="0"/>
        <w:spacing w:before="200" w:line-rule="auto"/>
        <w:ind w:firstLine="540"/>
        <w:jc w:val="both"/>
      </w:pPr>
      <w:r>
        <w:rPr>
          <w:sz w:val="20"/>
        </w:rPr>
        <w:t xml:space="preserve">Программа будет реализована в срок до 31 декабря 2024 г.</w:t>
      </w:r>
    </w:p>
    <w:p>
      <w:pPr>
        <w:pStyle w:val="0"/>
      </w:pPr>
      <w:r>
        <w:rPr>
          <w:sz w:val="20"/>
        </w:rPr>
      </w:r>
    </w:p>
    <w:p>
      <w:pPr>
        <w:pStyle w:val="2"/>
        <w:outlineLvl w:val="2"/>
        <w:jc w:val="center"/>
      </w:pPr>
      <w:r>
        <w:rPr>
          <w:sz w:val="20"/>
        </w:rPr>
        <w:t xml:space="preserve">Принципы развития паллиативной медицинской помощи</w:t>
      </w:r>
    </w:p>
    <w:p>
      <w:pPr>
        <w:pStyle w:val="0"/>
      </w:pPr>
      <w:r>
        <w:rPr>
          <w:sz w:val="20"/>
        </w:rPr>
      </w:r>
    </w:p>
    <w:p>
      <w:pPr>
        <w:pStyle w:val="0"/>
        <w:ind w:firstLine="540"/>
        <w:jc w:val="both"/>
      </w:pPr>
      <w:r>
        <w:rPr>
          <w:sz w:val="20"/>
        </w:rPr>
        <w:t xml:space="preserve">В основе настоящей Программы лежат следующие принципы:</w:t>
      </w:r>
    </w:p>
    <w:p>
      <w:pPr>
        <w:pStyle w:val="0"/>
        <w:spacing w:before="200" w:line-rule="auto"/>
        <w:ind w:firstLine="540"/>
        <w:jc w:val="both"/>
      </w:pPr>
      <w:r>
        <w:rPr>
          <w:sz w:val="20"/>
        </w:rPr>
        <w:t xml:space="preserve">- принцип доступности оказания ПМП всем нуждающимся.</w:t>
      </w:r>
    </w:p>
    <w:p>
      <w:pPr>
        <w:pStyle w:val="0"/>
        <w:spacing w:before="200" w:line-rule="auto"/>
        <w:ind w:firstLine="540"/>
        <w:jc w:val="both"/>
      </w:pPr>
      <w:r>
        <w:rPr>
          <w:sz w:val="20"/>
        </w:rPr>
        <w:t xml:space="preserve">У всех жителей города Севастополя должна быть возможность получить ПМП, независимо от их социального статуса и труднодоступности его места жительства. Разница между числом нуждающихся в оказании ПМП, и теми, кому оказана такая помощь, должна быть минимальна. Медицинские организации не должны "профилизировать" пациента по нозологиям, ПМП оказывается с учетом состояния пациента;</w:t>
      </w:r>
    </w:p>
    <w:p>
      <w:pPr>
        <w:pStyle w:val="0"/>
        <w:spacing w:before="200" w:line-rule="auto"/>
        <w:ind w:firstLine="540"/>
        <w:jc w:val="both"/>
      </w:pPr>
      <w:r>
        <w:rPr>
          <w:sz w:val="20"/>
        </w:rPr>
        <w:t xml:space="preserve">- принцип учета индивидуальных потребностей пациентов при оказании ПМП.</w:t>
      </w:r>
    </w:p>
    <w:p>
      <w:pPr>
        <w:pStyle w:val="0"/>
        <w:spacing w:before="200" w:line-rule="auto"/>
        <w:ind w:firstLine="540"/>
        <w:jc w:val="both"/>
      </w:pPr>
      <w:r>
        <w:rPr>
          <w:sz w:val="20"/>
        </w:rPr>
        <w:t xml:space="preserve">Оказание ПМП должно быть организовано с учетом особенностей медицинских показаний к оказанию ПМП, в том числе при различных формах деменции, с социально значимыми инфекционными заболеваниями в терминальной стадии развития и пр.;</w:t>
      </w:r>
    </w:p>
    <w:p>
      <w:pPr>
        <w:pStyle w:val="0"/>
        <w:spacing w:before="200" w:line-rule="auto"/>
        <w:ind w:firstLine="540"/>
        <w:jc w:val="both"/>
      </w:pPr>
      <w:r>
        <w:rPr>
          <w:sz w:val="20"/>
        </w:rPr>
        <w:t xml:space="preserve">- принцип семейно ориентированного подхода при оказании ПМП.</w:t>
      </w:r>
    </w:p>
    <w:p>
      <w:pPr>
        <w:pStyle w:val="0"/>
        <w:spacing w:before="200" w:line-rule="auto"/>
        <w:ind w:firstLine="540"/>
        <w:jc w:val="both"/>
      </w:pPr>
      <w:r>
        <w:rPr>
          <w:sz w:val="20"/>
        </w:rPr>
        <w:t xml:space="preserve">Родственники и иные члены семьи пациента или законный представитель пациента, нуждающегося в оказании ПМП, должны не только иметь возможность круглосуточно находиться рядом с пациентом, но и активно вовлекаться в оказание помощи пациенту, сотрудничать с персоналом медицинской организации. Члены семьи и близкие пациента должны учитываться как часть системы оказания ПМП и им должны быть предоставлены меры психологической поддержки и духовной помощи;</w:t>
      </w:r>
    </w:p>
    <w:p>
      <w:pPr>
        <w:pStyle w:val="0"/>
        <w:spacing w:before="200" w:line-rule="auto"/>
        <w:ind w:firstLine="540"/>
        <w:jc w:val="both"/>
      </w:pPr>
      <w:r>
        <w:rPr>
          <w:sz w:val="20"/>
        </w:rPr>
        <w:t xml:space="preserve">- принцип своевременного выявления и учета пациентов, нуждающихся в ПМП.</w:t>
      </w:r>
    </w:p>
    <w:p>
      <w:pPr>
        <w:pStyle w:val="0"/>
        <w:spacing w:before="200" w:line-rule="auto"/>
        <w:ind w:firstLine="540"/>
        <w:jc w:val="both"/>
      </w:pPr>
      <w:r>
        <w:rPr>
          <w:sz w:val="20"/>
        </w:rPr>
        <w:t xml:space="preserve">В медицинских организациях и их структурных подразделениях должны быть внедрены методы выявления и учета пациентов в целях своевременного оказания паллиативной первичной доврачебной (врачебной) медицинской помощи, а также паллиативной специализированной медицинской помощи;</w:t>
      </w:r>
    </w:p>
    <w:p>
      <w:pPr>
        <w:pStyle w:val="0"/>
        <w:spacing w:before="200" w:line-rule="auto"/>
        <w:ind w:firstLine="540"/>
        <w:jc w:val="both"/>
      </w:pPr>
      <w:r>
        <w:rPr>
          <w:sz w:val="20"/>
        </w:rPr>
        <w:t xml:space="preserve">- принцип преемственности амбулаторного и стационарного звена.</w:t>
      </w:r>
    </w:p>
    <w:p>
      <w:pPr>
        <w:pStyle w:val="0"/>
        <w:spacing w:before="200" w:line-rule="auto"/>
        <w:ind w:firstLine="540"/>
        <w:jc w:val="both"/>
      </w:pPr>
      <w:r>
        <w:rPr>
          <w:sz w:val="20"/>
        </w:rPr>
        <w:t xml:space="preserve">Информация о пациенте, нуждающемся в оказании ПМП, должна быть доступна врачам, участвующим в оказании ПМП как в амбулаторных, так и стационарных условиях, независимо от маршрутизации пациента и его состояния;</w:t>
      </w:r>
    </w:p>
    <w:p>
      <w:pPr>
        <w:pStyle w:val="0"/>
        <w:spacing w:before="200" w:line-rule="auto"/>
        <w:ind w:firstLine="540"/>
        <w:jc w:val="both"/>
      </w:pPr>
      <w:r>
        <w:rPr>
          <w:sz w:val="20"/>
        </w:rPr>
        <w:t xml:space="preserve">- принцип доступности обезболивания как в стационарных, так и амбулаторных условиях.</w:t>
      </w:r>
    </w:p>
    <w:p>
      <w:pPr>
        <w:pStyle w:val="0"/>
        <w:spacing w:before="200" w:line-rule="auto"/>
        <w:ind w:firstLine="540"/>
        <w:jc w:val="both"/>
      </w:pPr>
      <w:r>
        <w:rPr>
          <w:sz w:val="20"/>
        </w:rPr>
        <w:t xml:space="preserve">Пациент должен иметь возможность получить превентивную качественную противоболевую терапию, а при возникновении боли - оперативно оповестить о ней и получить качественную медицинскую помощь по облегчению боли, связанной с заболеванием, состоянием, методами и лекарственными препаратами, в том числе наркотическими и психотропными лекарственными препаратами. Медицинский персонал должен обеспечить скрининг болевого синдрома и незамедлительно принять меры по его купированию. В медицинских организациях, оказывающих ПМП в стационарных условиях, должна быть создана система оповещения о возникновении боли, обеспечен контроль наличия в достаточном количестве полного спектра разрешенных современных, в том числе наркотических и психотропных лекарственных препаратов, их форм и дозировок. Медицинские работники должны быть обучены методикам оценки боли и лечения хронического болевого синдрома;</w:t>
      </w:r>
    </w:p>
    <w:p>
      <w:pPr>
        <w:pStyle w:val="0"/>
        <w:spacing w:before="200" w:line-rule="auto"/>
        <w:ind w:firstLine="540"/>
        <w:jc w:val="both"/>
      </w:pPr>
      <w:r>
        <w:rPr>
          <w:sz w:val="20"/>
        </w:rPr>
        <w:t xml:space="preserve">- принцип доступности объекта инфраструктуры ПМП для пациента, родственников, врачей ПМП.</w:t>
      </w:r>
    </w:p>
    <w:p>
      <w:pPr>
        <w:pStyle w:val="0"/>
        <w:spacing w:before="200" w:line-rule="auto"/>
        <w:ind w:firstLine="540"/>
        <w:jc w:val="both"/>
      </w:pPr>
      <w:r>
        <w:rPr>
          <w:sz w:val="20"/>
        </w:rPr>
        <w:t xml:space="preserve">Объекты инфраструктуры ПМП должны располагаться в шаговой/транспортной доступности, ПМП должна быть оказана в разумные сроки, не причиняя вред пациенту при транспортировке; родственники и близкие пациента, врачи по ПМП должны иметь возможность оперативно добраться до пациента за разумное время;</w:t>
      </w:r>
    </w:p>
    <w:p>
      <w:pPr>
        <w:pStyle w:val="0"/>
        <w:spacing w:before="200" w:line-rule="auto"/>
        <w:ind w:firstLine="540"/>
        <w:jc w:val="both"/>
      </w:pPr>
      <w:r>
        <w:rPr>
          <w:sz w:val="20"/>
        </w:rPr>
        <w:t xml:space="preserve">- принцип информированности о ПМП.</w:t>
      </w:r>
    </w:p>
    <w:p>
      <w:pPr>
        <w:pStyle w:val="0"/>
        <w:spacing w:before="200" w:line-rule="auto"/>
        <w:ind w:firstLine="540"/>
        <w:jc w:val="both"/>
      </w:pPr>
      <w:r>
        <w:rPr>
          <w:sz w:val="20"/>
        </w:rPr>
        <w:t xml:space="preserve">Пациенты, родственники и население в целом должны располагать полным объемом информации о своих правах и возможностях в рамках получения ПМП;</w:t>
      </w:r>
    </w:p>
    <w:p>
      <w:pPr>
        <w:pStyle w:val="0"/>
        <w:spacing w:before="200" w:line-rule="auto"/>
        <w:ind w:firstLine="540"/>
        <w:jc w:val="both"/>
      </w:pPr>
      <w:r>
        <w:rPr>
          <w:sz w:val="20"/>
        </w:rPr>
        <w:t xml:space="preserve">- принцип вовлеченности общества в развитие ПМП.</w:t>
      </w:r>
    </w:p>
    <w:p>
      <w:pPr>
        <w:pStyle w:val="0"/>
        <w:spacing w:before="200" w:line-rule="auto"/>
        <w:ind w:firstLine="540"/>
        <w:jc w:val="both"/>
      </w:pPr>
      <w:r>
        <w:rPr>
          <w:sz w:val="20"/>
        </w:rPr>
        <w:t xml:space="preserve">В городе Севастополе должно быть обеспечено наращивание взаимодействия с:</w:t>
      </w:r>
    </w:p>
    <w:p>
      <w:pPr>
        <w:pStyle w:val="0"/>
        <w:spacing w:before="200" w:line-rule="auto"/>
        <w:ind w:firstLine="540"/>
        <w:jc w:val="both"/>
      </w:pPr>
      <w:r>
        <w:rPr>
          <w:sz w:val="20"/>
        </w:rPr>
        <w:t xml:space="preserve">- некоммерческими организациями - организаторами волонтерской деятельности, осуществляющими свою деятельность в сфере охраны здоровья граждан в целях улучшения морально-психологического состояния пациентов, в том числе за счет реализации таких мероприятий, как осуществление дополнительного ухода за пациентами, организация досуга (свободного времени) пациентов и их родственников, улучшение социально-бытовых условий пребывания пациентов, проведение мероприятий культурной и творческой направленности, оказание юридической помощи пациентам, получающим ПМП;</w:t>
      </w:r>
    </w:p>
    <w:p>
      <w:pPr>
        <w:pStyle w:val="0"/>
        <w:spacing w:before="200" w:line-rule="auto"/>
        <w:ind w:firstLine="540"/>
        <w:jc w:val="both"/>
      </w:pPr>
      <w:r>
        <w:rPr>
          <w:sz w:val="20"/>
        </w:rPr>
        <w:t xml:space="preserve">- гражданами и юридическими лицами, осуществляющими благотворительную деятельность для повышения качества оказания ПМП всем нуждающимся жителям города Севастополя.</w:t>
      </w:r>
    </w:p>
    <w:p>
      <w:pPr>
        <w:pStyle w:val="0"/>
      </w:pPr>
      <w:r>
        <w:rPr>
          <w:sz w:val="20"/>
        </w:rPr>
      </w:r>
    </w:p>
    <w:p>
      <w:pPr>
        <w:pStyle w:val="2"/>
        <w:outlineLvl w:val="2"/>
        <w:jc w:val="center"/>
      </w:pPr>
      <w:r>
        <w:rPr>
          <w:sz w:val="20"/>
        </w:rPr>
        <w:t xml:space="preserve">Исходные условия построения целевой модели развития системы</w:t>
      </w:r>
    </w:p>
    <w:p>
      <w:pPr>
        <w:pStyle w:val="2"/>
        <w:jc w:val="center"/>
      </w:pPr>
      <w:r>
        <w:rPr>
          <w:sz w:val="20"/>
        </w:rPr>
        <w:t xml:space="preserve">оказания паллиативной медицинской помощи</w:t>
      </w:r>
    </w:p>
    <w:p>
      <w:pPr>
        <w:pStyle w:val="0"/>
      </w:pPr>
      <w:r>
        <w:rPr>
          <w:sz w:val="20"/>
        </w:rPr>
      </w:r>
    </w:p>
    <w:p>
      <w:pPr>
        <w:pStyle w:val="0"/>
        <w:ind w:firstLine="540"/>
        <w:jc w:val="both"/>
      </w:pPr>
      <w:r>
        <w:rPr>
          <w:sz w:val="20"/>
        </w:rPr>
        <w:t xml:space="preserve">В целях обеспечения эффективного развития паллиативной медицинской помощи к 2025 году в рамках настоящей Программы используются следующие исходные условия:</w:t>
      </w:r>
    </w:p>
    <w:p>
      <w:pPr>
        <w:pStyle w:val="0"/>
        <w:spacing w:before="200" w:line-rule="auto"/>
        <w:ind w:firstLine="540"/>
        <w:jc w:val="both"/>
      </w:pPr>
      <w:r>
        <w:rPr>
          <w:sz w:val="20"/>
        </w:rPr>
        <w:t xml:space="preserve">1. Планы по развитию системы оказания ПМП сформированы исходя из существующей потребности населения в оказании ПМП, инфраструктуры оказания ПМП, кадровой обеспеченности, данных медицинской статистики системы здравоохранения города Севастополя.</w:t>
      </w:r>
    </w:p>
    <w:p>
      <w:pPr>
        <w:pStyle w:val="0"/>
        <w:spacing w:before="200" w:line-rule="auto"/>
        <w:ind w:firstLine="540"/>
        <w:jc w:val="both"/>
      </w:pPr>
      <w:r>
        <w:rPr>
          <w:sz w:val="20"/>
        </w:rPr>
        <w:t xml:space="preserve">2. Темпы развития ПМП определяются с учетом текущего экономического положения и потенциала города Севастополя.</w:t>
      </w:r>
    </w:p>
    <w:p>
      <w:pPr>
        <w:pStyle w:val="0"/>
        <w:spacing w:before="200" w:line-rule="auto"/>
        <w:ind w:firstLine="540"/>
        <w:jc w:val="both"/>
      </w:pPr>
      <w:r>
        <w:rPr>
          <w:sz w:val="20"/>
        </w:rPr>
        <w:t xml:space="preserve">3. Оценка потребности взрослых и детей в ПМП осуществляется из расчета числа умерших взрослых и числа умерших детей в городе Севастополе, умноженного на коэффициент 0,67 &lt;3&gt;. Данный показатель является индикативным и применяется как целевой ориентир.</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Усредненный показатель смертности по различным нозологиям и распространенности болевого синдрома, составляющий 67% от всех умерших для взрослых и детей согласно методике Всемирной организации здравоохранения (Global Atlas of Palliative Care at the End of Life).</w:t>
      </w:r>
    </w:p>
    <w:p>
      <w:pPr>
        <w:pStyle w:val="0"/>
        <w:ind w:firstLine="540"/>
        <w:jc w:val="both"/>
      </w:pPr>
      <w:r>
        <w:rPr>
          <w:sz w:val="20"/>
        </w:rPr>
      </w:r>
    </w:p>
    <w:p>
      <w:pPr>
        <w:pStyle w:val="0"/>
        <w:ind w:firstLine="540"/>
        <w:jc w:val="both"/>
      </w:pPr>
      <w:r>
        <w:rPr>
          <w:sz w:val="20"/>
        </w:rPr>
        <w:t xml:space="preserve">4. Расчет потребности в оказании ПМП осуществляется в отношении каждой административно-территориальной единицы города Севастополя, установленной </w:t>
      </w:r>
      <w:hyperlink w:history="0" r:id="rId719" w:tooltip="Закон города Севастополя от 03.06.2014 N 19-ЗС (ред. от 05.10.2022) &quot;Об административно-территориальном устройстве города Севастополя&quot; (принят Законодательным Собранием г. Севастополя 02.06.2014) (вместе с &quot;Картой-схемой границ районов города Севастополя&quot;, &quot;Перечнем населенных пунктов, находящихся в границах субъекта Российской Федерации - города федерального значения Севастополя&quot;) {КонсультантПлюс}">
        <w:r>
          <w:rPr>
            <w:sz w:val="20"/>
            <w:color w:val="0000ff"/>
          </w:rPr>
          <w:t xml:space="preserve">Законом</w:t>
        </w:r>
      </w:hyperlink>
      <w:r>
        <w:rPr>
          <w:sz w:val="20"/>
        </w:rPr>
        <w:t xml:space="preserve"> города Севастополя от 03.06.2014 N 19-ЗС "Об административно-территориальном устройстве города Севастополя".</w:t>
      </w:r>
    </w:p>
    <w:p>
      <w:pPr>
        <w:pStyle w:val="0"/>
        <w:spacing w:before="200" w:line-rule="auto"/>
        <w:ind w:firstLine="540"/>
        <w:jc w:val="both"/>
      </w:pPr>
      <w:r>
        <w:rPr>
          <w:sz w:val="20"/>
        </w:rPr>
        <w:t xml:space="preserve">5. Специализированная ПМП оказывается при наличии у медицинской организации лицензии на оказание паллиативной медицинской помощи и осуществление деятельности по обороту наркотических средств, психотропных веществ и их прекурсоров, культивированию наркосодержащих растений, полученной в отношении структурного подразделения, непосредственно осуществляющего лицензируемые виды деятельности и лечение болевого синдрома.</w:t>
      </w:r>
    </w:p>
    <w:p>
      <w:pPr>
        <w:pStyle w:val="0"/>
        <w:spacing w:before="200" w:line-rule="auto"/>
        <w:ind w:firstLine="540"/>
        <w:jc w:val="both"/>
      </w:pPr>
      <w:r>
        <w:rPr>
          <w:sz w:val="20"/>
        </w:rPr>
        <w:t xml:space="preserve">6. При расчете потребности в койках для оказания ПМП за основу принимается следующая пропорция: потребность в оказании ПМП в стационарных условиях на койках ПМП составляет 70% от общей потребности в оказании ПМП в стационарных условиях, на койках сестринского ухода - 30%, в том числе 10% &lt;4&gt; для пациентов с социальными показаниями, в том числе для "социальной передышки" родных и близких пациента.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Экспертные данные медицинских организаций, специализирующихся в оказании паллиативной медицинской помощи населению на территории России.</w:t>
      </w:r>
    </w:p>
    <w:p>
      <w:pPr>
        <w:pStyle w:val="0"/>
        <w:ind w:firstLine="540"/>
        <w:jc w:val="both"/>
      </w:pPr>
      <w:r>
        <w:rPr>
          <w:sz w:val="20"/>
        </w:rPr>
      </w:r>
    </w:p>
    <w:p>
      <w:pPr>
        <w:pStyle w:val="0"/>
        <w:ind w:firstLine="540"/>
        <w:jc w:val="both"/>
      </w:pPr>
      <w:r>
        <w:rPr>
          <w:sz w:val="20"/>
        </w:rPr>
        <w:t xml:space="preserve">7. Паллиативный коечный фонд формируется и развивается исключительно на базе отделений ПМП взрослым и детям, отделений сестринского ухода, но не в составе таких специализированных отделений, как терапевтические, хирургические и т.п.</w:t>
      </w:r>
    </w:p>
    <w:p>
      <w:pPr>
        <w:pStyle w:val="0"/>
        <w:spacing w:before="200" w:line-rule="auto"/>
        <w:ind w:firstLine="540"/>
        <w:jc w:val="both"/>
      </w:pPr>
      <w:r>
        <w:rPr>
          <w:sz w:val="20"/>
        </w:rPr>
        <w:t xml:space="preserve">8. ПМП в стационарных условиях взрослым должна оказываться на базе коечного фонда, включающего не менее 10 коек для оказания ПМП.</w:t>
      </w:r>
    </w:p>
    <w:p>
      <w:pPr>
        <w:pStyle w:val="0"/>
        <w:spacing w:before="200" w:line-rule="auto"/>
        <w:ind w:firstLine="540"/>
        <w:jc w:val="both"/>
      </w:pPr>
      <w:r>
        <w:rPr>
          <w:sz w:val="20"/>
        </w:rPr>
        <w:t xml:space="preserve">9. Профильность использования паллиативной койки определяется на основании показателей "Летальность, %" (40% - 80%) и "Средняя длительность пребывания пациента на койке, дни" (7 - 28 дней). Для детей средняя длительность госпитализации составляет 30 дней. При этом недопустимо ограничивать срок пребывания пациента на койке, дублировать истории болезни пациентов, прерывать и возобновлять госпитализацию для достижения указанных показателей. При недостижении указанных значений к показателям могут быть добавлены комментарии в соответствии с объективными статистическими наблюдениями, объясняющими неприменимость указанных значений к специфике деятельности конкретного структурного подразделения конкретной медицинской организации.</w:t>
      </w:r>
    </w:p>
    <w:p>
      <w:pPr>
        <w:pStyle w:val="0"/>
        <w:spacing w:before="200" w:line-rule="auto"/>
        <w:ind w:firstLine="540"/>
        <w:jc w:val="both"/>
      </w:pPr>
      <w:r>
        <w:rPr>
          <w:sz w:val="20"/>
        </w:rPr>
        <w:t xml:space="preserve">10. Развитие стационарозамещающих технологий при оказании ПМП. При формировании планов развития ПМП в городе Севастополе приоритет, в первую очередь, отдается развитию амбулаторного звена, а именно организации отделений выездной патронажной паллиативной медицинской помощи (далее - отделение выездной патронажной помощи/ПМП).</w:t>
      </w:r>
    </w:p>
    <w:p>
      <w:pPr>
        <w:pStyle w:val="0"/>
        <w:spacing w:before="200" w:line-rule="auto"/>
        <w:ind w:firstLine="540"/>
        <w:jc w:val="both"/>
      </w:pPr>
      <w:r>
        <w:rPr>
          <w:sz w:val="20"/>
        </w:rPr>
        <w:t xml:space="preserve">11. Создание и развитие отделений выездной патронажной помощи должно осуществляться приоритетно на базе отделений ПМП и хосписов.</w:t>
      </w:r>
    </w:p>
    <w:p>
      <w:pPr>
        <w:pStyle w:val="0"/>
        <w:spacing w:before="200" w:line-rule="auto"/>
        <w:ind w:firstLine="540"/>
        <w:jc w:val="both"/>
      </w:pPr>
      <w:r>
        <w:rPr>
          <w:sz w:val="20"/>
        </w:rPr>
        <w:t xml:space="preserve">12. Направление и госпитализация пациента, нуждающегося в ПМП, из дома (по месту нахождения) до отделения ПМП должны составлять не более 3-х дней, срочная госпитализация - не более суток с момента обращения пациента или его родственника в медицинскую организацию, оказывающую ПМП.</w:t>
      </w:r>
    </w:p>
    <w:p>
      <w:pPr>
        <w:pStyle w:val="0"/>
        <w:spacing w:before="200" w:line-rule="auto"/>
        <w:ind w:firstLine="540"/>
        <w:jc w:val="both"/>
      </w:pPr>
      <w:r>
        <w:rPr>
          <w:sz w:val="20"/>
        </w:rPr>
        <w:t xml:space="preserve">13. Оказание ПМП отделением выездной патронажной помощи (по месту нахождения) при возникновении потребности во внеплановом посещении пациента, нуждающегося в ПМП, должно составлять не более 2-х дней с момента обращения пациента или его родственника.</w:t>
      </w:r>
    </w:p>
    <w:p>
      <w:pPr>
        <w:pStyle w:val="0"/>
        <w:spacing w:before="200" w:line-rule="auto"/>
        <w:ind w:firstLine="540"/>
        <w:jc w:val="both"/>
      </w:pPr>
      <w:r>
        <w:rPr>
          <w:sz w:val="20"/>
        </w:rPr>
        <w:t xml:space="preserve">14. Время транспортировки пациента, нуждающегося в ПМП, из дома (по месту нахождения пациента) до отделения ПМП должно составлять не более 90 минут.</w:t>
      </w:r>
    </w:p>
    <w:p>
      <w:pPr>
        <w:pStyle w:val="0"/>
        <w:spacing w:before="200" w:line-rule="auto"/>
        <w:ind w:firstLine="540"/>
        <w:jc w:val="both"/>
      </w:pPr>
      <w:r>
        <w:rPr>
          <w:sz w:val="20"/>
        </w:rPr>
        <w:t xml:space="preserve">15. Время в пути выездной патронажной помощи с момента выезда до пациента, нуждающегося в ПМП, должно составлять не более 90 минут.</w:t>
      </w:r>
    </w:p>
    <w:p>
      <w:pPr>
        <w:pStyle w:val="0"/>
        <w:spacing w:before="200" w:line-rule="auto"/>
        <w:ind w:firstLine="540"/>
        <w:jc w:val="both"/>
      </w:pPr>
      <w:r>
        <w:rPr>
          <w:sz w:val="20"/>
        </w:rPr>
        <w:t xml:space="preserve">16. Расчет уровня обеспеченности койками для оказания ПМП осуществляет исходя из:</w:t>
      </w:r>
    </w:p>
    <w:p>
      <w:pPr>
        <w:pStyle w:val="0"/>
        <w:spacing w:before="200" w:line-rule="auto"/>
        <w:ind w:firstLine="540"/>
        <w:jc w:val="both"/>
      </w:pPr>
      <w:r>
        <w:rPr>
          <w:sz w:val="20"/>
        </w:rPr>
        <w:t xml:space="preserve">- 1 койка на 10000 взрослого населения;</w:t>
      </w:r>
    </w:p>
    <w:p>
      <w:pPr>
        <w:pStyle w:val="0"/>
        <w:spacing w:before="200" w:line-rule="auto"/>
        <w:ind w:firstLine="540"/>
        <w:jc w:val="both"/>
      </w:pPr>
      <w:r>
        <w:rPr>
          <w:sz w:val="20"/>
        </w:rPr>
        <w:t xml:space="preserve">- 0,2 койки на 10000 детского населения.</w:t>
      </w:r>
    </w:p>
    <w:p>
      <w:pPr>
        <w:pStyle w:val="0"/>
        <w:spacing w:before="200" w:line-rule="auto"/>
        <w:ind w:firstLine="540"/>
        <w:jc w:val="both"/>
      </w:pPr>
      <w:r>
        <w:rPr>
          <w:sz w:val="20"/>
        </w:rPr>
        <w:t xml:space="preserve">При этом общее количество коек для оказания ПМП взрослым и детям может корректироваться с учетом особенностей города Севастополя.</w:t>
      </w:r>
    </w:p>
    <w:p>
      <w:pPr>
        <w:pStyle w:val="0"/>
        <w:spacing w:before="200" w:line-rule="auto"/>
        <w:ind w:firstLine="540"/>
        <w:jc w:val="both"/>
      </w:pPr>
      <w:r>
        <w:rPr>
          <w:sz w:val="20"/>
        </w:rPr>
        <w:t xml:space="preserve">17. Создание отделений выездной патронажной помощи, включающих в себя выездные патронажные бригады, исходя из расчета 1 врач по ПМП на 100000 обслуживаемого взрослого населения, 1 врач по ПМП на 20000 детского сельского населения, 1 врач по ПМП на 50000 детского городского населения.</w:t>
      </w:r>
    </w:p>
    <w:p>
      <w:pPr>
        <w:pStyle w:val="0"/>
        <w:spacing w:before="200" w:line-rule="auto"/>
        <w:ind w:firstLine="540"/>
        <w:jc w:val="both"/>
      </w:pPr>
      <w:r>
        <w:rPr>
          <w:sz w:val="20"/>
        </w:rPr>
        <w:t xml:space="preserve">18. Организация оказания ПМП проживающим в стационарных организациях социального обслуживания (далее - организации соцобслуживания) приоритетно осуществляется отделениями выездной патронажной помощи в плановом порядке с заданной периодичностью.</w:t>
      </w:r>
    </w:p>
    <w:p>
      <w:pPr>
        <w:pStyle w:val="0"/>
        <w:spacing w:before="200" w:line-rule="auto"/>
        <w:ind w:firstLine="540"/>
        <w:jc w:val="both"/>
      </w:pPr>
      <w:r>
        <w:rPr>
          <w:sz w:val="20"/>
        </w:rPr>
        <w:t xml:space="preserve">19. При раскрытии информации о системе оказания ПМП в городе Севастополе до момента утверждения </w:t>
      </w:r>
      <w:hyperlink w:history="0" r:id="rId720"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Положения</w:t>
        </w:r>
      </w:hyperlink>
      <w:r>
        <w:rPr>
          <w:sz w:val="20"/>
        </w:rPr>
        <w:t xml:space="preserve"> об организации оказания ПМП используется терминология в соответствии с:</w:t>
      </w:r>
    </w:p>
    <w:p>
      <w:pPr>
        <w:pStyle w:val="0"/>
        <w:spacing w:before="200" w:line-rule="auto"/>
        <w:ind w:firstLine="540"/>
        <w:jc w:val="both"/>
      </w:pPr>
      <w:r>
        <w:rPr>
          <w:sz w:val="20"/>
        </w:rPr>
        <w:t xml:space="preserve">- </w:t>
      </w:r>
      <w:hyperlink w:history="0" r:id="rId721"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приказом</w:t>
        </w:r>
      </w:hyperlink>
      <w:r>
        <w:rPr>
          <w:sz w:val="20"/>
        </w:rPr>
        <w:t xml:space="preserve"> Минздрава России от 31.05.2019 N 345н Минтруда и социальной защиты России N 372н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w:t>
      </w:r>
    </w:p>
    <w:p>
      <w:pPr>
        <w:pStyle w:val="0"/>
        <w:spacing w:before="200" w:line-rule="auto"/>
        <w:ind w:firstLine="540"/>
        <w:jc w:val="both"/>
      </w:pPr>
      <w:r>
        <w:rPr>
          <w:sz w:val="20"/>
        </w:rPr>
        <w:t xml:space="preserve">20. Основные целевые показатели эффективности реализации Программы.</w:t>
      </w:r>
    </w:p>
    <w:p>
      <w:pPr>
        <w:pStyle w:val="0"/>
        <w:spacing w:before="200" w:line-rule="auto"/>
        <w:ind w:firstLine="540"/>
        <w:jc w:val="both"/>
      </w:pPr>
      <w:r>
        <w:rPr>
          <w:sz w:val="20"/>
        </w:rPr>
        <w:t xml:space="preserve">21. Настоящая Программа ориентирована на достижение целевых показателей эффективности реализации Программы, указанных в </w:t>
      </w:r>
      <w:hyperlink w:history="0" w:anchor="P28391" w:tooltip="Таблица 1. Основные целевые показатели эффективности">
        <w:r>
          <w:rPr>
            <w:sz w:val="20"/>
            <w:color w:val="0000ff"/>
          </w:rPr>
          <w:t xml:space="preserve">таблице 1</w:t>
        </w:r>
      </w:hyperlink>
      <w:r>
        <w:rPr>
          <w:sz w:val="20"/>
        </w:rPr>
        <w:t xml:space="preserve">.</w:t>
      </w:r>
    </w:p>
    <w:p>
      <w:pPr>
        <w:pStyle w:val="0"/>
        <w:spacing w:before="200" w:line-rule="auto"/>
        <w:ind w:firstLine="540"/>
        <w:jc w:val="both"/>
      </w:pPr>
      <w:r>
        <w:rPr>
          <w:sz w:val="20"/>
        </w:rPr>
        <w:t xml:space="preserve">22. Целевые показатели, перечисленные в </w:t>
      </w:r>
      <w:hyperlink w:history="0" w:anchor="P28391" w:tooltip="Таблица 1. Основные целевые показатели эффективности">
        <w:r>
          <w:rPr>
            <w:sz w:val="20"/>
            <w:color w:val="0000ff"/>
          </w:rPr>
          <w:t xml:space="preserve">таблице 1</w:t>
        </w:r>
      </w:hyperlink>
      <w:r>
        <w:rPr>
          <w:sz w:val="20"/>
        </w:rPr>
        <w:t xml:space="preserve">, сформированы с учетом методических рекомендаций Министерства здравоохранения Российской Федерации о разработке региональных программ развития паллиативной медицинской помощи (письма Министерства здравоохранения Российской Федерации от 22.07.2019 N 17-О/Ии/2-6511 и от 19.10.2022 N 17-6/И/2-17638).</w:t>
      </w:r>
    </w:p>
    <w:p>
      <w:pPr>
        <w:pStyle w:val="0"/>
      </w:pPr>
      <w:r>
        <w:rPr>
          <w:sz w:val="20"/>
        </w:rPr>
      </w:r>
    </w:p>
    <w:bookmarkStart w:id="28391" w:name="P28391"/>
    <w:bookmarkEnd w:id="28391"/>
    <w:p>
      <w:pPr>
        <w:pStyle w:val="0"/>
        <w:jc w:val="center"/>
      </w:pPr>
      <w:r>
        <w:rPr>
          <w:sz w:val="20"/>
        </w:rPr>
        <w:t xml:space="preserve">Таблица 1. Основные целевые показатели эффективности</w:t>
      </w:r>
    </w:p>
    <w:p>
      <w:pPr>
        <w:pStyle w:val="0"/>
        <w:jc w:val="center"/>
      </w:pPr>
      <w:r>
        <w:rPr>
          <w:sz w:val="20"/>
        </w:rPr>
        <w:t xml:space="preserve">реализации Программы</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835"/>
        <w:gridCol w:w="1531"/>
        <w:gridCol w:w="2098"/>
        <w:gridCol w:w="1056"/>
        <w:gridCol w:w="1056"/>
        <w:gridCol w:w="1056"/>
        <w:gridCol w:w="1058"/>
      </w:tblGrid>
      <w:tr>
        <w:tc>
          <w:tcPr>
            <w:tcW w:w="567" w:type="dxa"/>
            <w:vMerge w:val="restart"/>
          </w:tcPr>
          <w:p>
            <w:pPr>
              <w:pStyle w:val="0"/>
              <w:jc w:val="center"/>
            </w:pPr>
            <w:r>
              <w:rPr>
                <w:sz w:val="20"/>
              </w:rPr>
              <w:t xml:space="preserve">N п/п</w:t>
            </w:r>
          </w:p>
        </w:tc>
        <w:tc>
          <w:tcPr>
            <w:tcW w:w="2835" w:type="dxa"/>
            <w:vMerge w:val="restart"/>
          </w:tcPr>
          <w:p>
            <w:pPr>
              <w:pStyle w:val="0"/>
              <w:jc w:val="center"/>
            </w:pPr>
            <w:r>
              <w:rPr>
                <w:sz w:val="20"/>
              </w:rPr>
              <w:t xml:space="preserve">Наименование основного целевого показателя</w:t>
            </w:r>
          </w:p>
        </w:tc>
        <w:tc>
          <w:tcPr>
            <w:tcW w:w="1531" w:type="dxa"/>
            <w:vMerge w:val="restart"/>
          </w:tcPr>
          <w:p>
            <w:pPr>
              <w:pStyle w:val="0"/>
              <w:jc w:val="center"/>
            </w:pPr>
            <w:r>
              <w:rPr>
                <w:sz w:val="20"/>
              </w:rPr>
              <w:t xml:space="preserve">Фактическое значение на 01.11.2022</w:t>
            </w:r>
          </w:p>
        </w:tc>
        <w:tc>
          <w:tcPr>
            <w:tcW w:w="2098" w:type="dxa"/>
            <w:vMerge w:val="restart"/>
          </w:tcPr>
          <w:p>
            <w:pPr>
              <w:pStyle w:val="0"/>
              <w:jc w:val="center"/>
            </w:pPr>
            <w:r>
              <w:rPr>
                <w:sz w:val="20"/>
              </w:rPr>
              <w:t xml:space="preserve">Единица измерения</w:t>
            </w:r>
          </w:p>
        </w:tc>
        <w:tc>
          <w:tcPr>
            <w:gridSpan w:val="4"/>
            <w:tcW w:w="4226" w:type="dxa"/>
          </w:tcPr>
          <w:p>
            <w:pPr>
              <w:pStyle w:val="0"/>
              <w:jc w:val="center"/>
            </w:pPr>
            <w:r>
              <w:rPr>
                <w:sz w:val="20"/>
              </w:rPr>
              <w:t xml:space="preserve">Период, год</w:t>
            </w:r>
          </w:p>
        </w:tc>
      </w:tr>
      <w:tr>
        <w:tc>
          <w:tcPr>
            <w:vMerge w:val="continue"/>
          </w:tcPr>
          <w:p/>
        </w:tc>
        <w:tc>
          <w:tcPr>
            <w:vMerge w:val="continue"/>
          </w:tcPr>
          <w:p/>
        </w:tc>
        <w:tc>
          <w:tcPr>
            <w:vMerge w:val="continue"/>
          </w:tcPr>
          <w:p/>
        </w:tc>
        <w:tc>
          <w:tcPr>
            <w:vMerge w:val="continue"/>
          </w:tcPr>
          <w:p/>
        </w:tc>
        <w:tc>
          <w:tcPr>
            <w:tcW w:w="1056" w:type="dxa"/>
          </w:tcPr>
          <w:p>
            <w:pPr>
              <w:pStyle w:val="0"/>
              <w:jc w:val="center"/>
            </w:pPr>
            <w:r>
              <w:rPr>
                <w:sz w:val="20"/>
              </w:rPr>
              <w:t xml:space="preserve">2022</w:t>
            </w:r>
          </w:p>
        </w:tc>
        <w:tc>
          <w:tcPr>
            <w:tcW w:w="1056" w:type="dxa"/>
          </w:tcPr>
          <w:p>
            <w:pPr>
              <w:pStyle w:val="0"/>
              <w:jc w:val="center"/>
            </w:pPr>
            <w:r>
              <w:rPr>
                <w:sz w:val="20"/>
              </w:rPr>
              <w:t xml:space="preserve">2023</w:t>
            </w:r>
          </w:p>
        </w:tc>
        <w:tc>
          <w:tcPr>
            <w:tcW w:w="1056" w:type="dxa"/>
          </w:tcPr>
          <w:p>
            <w:pPr>
              <w:pStyle w:val="0"/>
              <w:jc w:val="center"/>
            </w:pPr>
            <w:r>
              <w:rPr>
                <w:sz w:val="20"/>
              </w:rPr>
              <w:t xml:space="preserve">2024</w:t>
            </w:r>
          </w:p>
        </w:tc>
        <w:tc>
          <w:tcPr>
            <w:tcW w:w="1058" w:type="dxa"/>
          </w:tcPr>
          <w:p>
            <w:pPr>
              <w:pStyle w:val="0"/>
              <w:jc w:val="center"/>
            </w:pPr>
            <w:r>
              <w:rPr>
                <w:sz w:val="20"/>
              </w:rPr>
              <w:t xml:space="preserve">2025</w:t>
            </w:r>
          </w:p>
        </w:tc>
      </w:tr>
      <w:tr>
        <w:tc>
          <w:tcPr>
            <w:tcW w:w="567" w:type="dxa"/>
          </w:tcPr>
          <w:p>
            <w:pPr>
              <w:pStyle w:val="0"/>
              <w:jc w:val="both"/>
            </w:pPr>
            <w:r>
              <w:rPr>
                <w:sz w:val="20"/>
              </w:rPr>
              <w:t xml:space="preserve">1.</w:t>
            </w:r>
          </w:p>
        </w:tc>
        <w:tc>
          <w:tcPr>
            <w:tcW w:w="2835" w:type="dxa"/>
          </w:tcPr>
          <w:p>
            <w:pPr>
              <w:pStyle w:val="0"/>
              <w:jc w:val="both"/>
            </w:pPr>
            <w:r>
              <w:rPr>
                <w:sz w:val="20"/>
              </w:rPr>
              <w:t xml:space="preserve">Доля пациентов, получивших паллиативную медицинскую помощь, в общем количестве пациентов, нуждающихся в паллиативной медицинской помощи (%)</w:t>
            </w:r>
          </w:p>
        </w:tc>
        <w:tc>
          <w:tcPr>
            <w:tcW w:w="1531" w:type="dxa"/>
          </w:tcPr>
          <w:p>
            <w:pPr>
              <w:pStyle w:val="0"/>
              <w:jc w:val="center"/>
            </w:pPr>
            <w:r>
              <w:rPr>
                <w:sz w:val="20"/>
              </w:rPr>
              <w:t xml:space="preserve">70,2</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70</w:t>
            </w:r>
          </w:p>
        </w:tc>
        <w:tc>
          <w:tcPr>
            <w:tcW w:w="1056" w:type="dxa"/>
          </w:tcPr>
          <w:p>
            <w:pPr>
              <w:pStyle w:val="0"/>
              <w:jc w:val="center"/>
            </w:pPr>
            <w:r>
              <w:rPr>
                <w:sz w:val="20"/>
              </w:rPr>
              <w:t xml:space="preserve">80</w:t>
            </w:r>
          </w:p>
        </w:tc>
        <w:tc>
          <w:tcPr>
            <w:tcW w:w="1056" w:type="dxa"/>
          </w:tcPr>
          <w:p>
            <w:pPr>
              <w:pStyle w:val="0"/>
              <w:jc w:val="center"/>
            </w:pPr>
            <w:r>
              <w:rPr>
                <w:sz w:val="20"/>
              </w:rPr>
              <w:t xml:space="preserve">85</w:t>
            </w:r>
          </w:p>
        </w:tc>
        <w:tc>
          <w:tcPr>
            <w:tcW w:w="1058" w:type="dxa"/>
          </w:tcPr>
          <w:p>
            <w:pPr>
              <w:pStyle w:val="0"/>
              <w:jc w:val="center"/>
            </w:pPr>
            <w:r>
              <w:rPr>
                <w:sz w:val="20"/>
              </w:rPr>
              <w:t xml:space="preserve">95</w:t>
            </w:r>
          </w:p>
        </w:tc>
      </w:tr>
      <w:tr>
        <w:tc>
          <w:tcPr>
            <w:tcW w:w="567" w:type="dxa"/>
            <w:vMerge w:val="restart"/>
          </w:tcPr>
          <w:p>
            <w:pPr>
              <w:pStyle w:val="0"/>
              <w:jc w:val="both"/>
            </w:pPr>
            <w:r>
              <w:rPr>
                <w:sz w:val="20"/>
              </w:rPr>
              <w:t xml:space="preserve">2.</w:t>
            </w:r>
          </w:p>
        </w:tc>
        <w:tc>
          <w:tcPr>
            <w:tcW w:w="2835" w:type="dxa"/>
          </w:tcPr>
          <w:p>
            <w:pPr>
              <w:pStyle w:val="0"/>
              <w:jc w:val="both"/>
            </w:pPr>
            <w:r>
              <w:rPr>
                <w:sz w:val="20"/>
              </w:rPr>
              <w:t xml:space="preserve">Обеспеченность паллиативными койками на 10000 населения, из них:</w:t>
            </w:r>
          </w:p>
        </w:tc>
        <w:tc>
          <w:tcPr>
            <w:tcW w:w="1531" w:type="dxa"/>
          </w:tcPr>
          <w:p>
            <w:pPr>
              <w:pStyle w:val="0"/>
              <w:jc w:val="center"/>
            </w:pPr>
            <w:r>
              <w:rPr>
                <w:sz w:val="20"/>
              </w:rPr>
              <w:t xml:space="preserve">1,63</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2,2</w:t>
            </w:r>
          </w:p>
        </w:tc>
        <w:tc>
          <w:tcPr>
            <w:tcW w:w="1056" w:type="dxa"/>
          </w:tcPr>
          <w:p>
            <w:pPr>
              <w:pStyle w:val="0"/>
              <w:jc w:val="center"/>
            </w:pPr>
            <w:r>
              <w:rPr>
                <w:sz w:val="20"/>
              </w:rPr>
              <w:t xml:space="preserve">2,3</w:t>
            </w:r>
          </w:p>
        </w:tc>
        <w:tc>
          <w:tcPr>
            <w:tcW w:w="1056" w:type="dxa"/>
          </w:tcPr>
          <w:p>
            <w:pPr>
              <w:pStyle w:val="0"/>
              <w:jc w:val="center"/>
            </w:pPr>
            <w:r>
              <w:rPr>
                <w:sz w:val="20"/>
              </w:rPr>
              <w:t xml:space="preserve">2,3</w:t>
            </w:r>
          </w:p>
        </w:tc>
        <w:tc>
          <w:tcPr>
            <w:tcW w:w="1058" w:type="dxa"/>
          </w:tcPr>
          <w:p>
            <w:pPr>
              <w:pStyle w:val="0"/>
              <w:jc w:val="center"/>
            </w:pPr>
            <w:r>
              <w:rPr>
                <w:sz w:val="20"/>
              </w:rPr>
              <w:t xml:space="preserve">2,3</w:t>
            </w:r>
          </w:p>
        </w:tc>
      </w:tr>
      <w:tr>
        <w:tc>
          <w:tcPr>
            <w:vMerge w:val="continue"/>
          </w:tcPr>
          <w:p/>
        </w:tc>
        <w:tc>
          <w:tcPr>
            <w:tcW w:w="2835" w:type="dxa"/>
          </w:tcPr>
          <w:p>
            <w:pPr>
              <w:pStyle w:val="0"/>
              <w:jc w:val="both"/>
            </w:pPr>
            <w:r>
              <w:rPr>
                <w:sz w:val="20"/>
              </w:rPr>
              <w:t xml:space="preserve">число коек на 10000 детей</w:t>
            </w:r>
          </w:p>
        </w:tc>
        <w:tc>
          <w:tcPr>
            <w:tcW w:w="1531" w:type="dxa"/>
          </w:tcPr>
          <w:p>
            <w:pPr>
              <w:pStyle w:val="0"/>
              <w:jc w:val="center"/>
            </w:pPr>
            <w:r>
              <w:rPr>
                <w:sz w:val="20"/>
              </w:rPr>
              <w:t xml:space="preserve">0,21</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0,2</w:t>
            </w:r>
          </w:p>
        </w:tc>
        <w:tc>
          <w:tcPr>
            <w:tcW w:w="1056" w:type="dxa"/>
          </w:tcPr>
          <w:p>
            <w:pPr>
              <w:pStyle w:val="0"/>
              <w:jc w:val="center"/>
            </w:pPr>
            <w:r>
              <w:rPr>
                <w:sz w:val="20"/>
              </w:rPr>
              <w:t xml:space="preserve">0,2</w:t>
            </w:r>
          </w:p>
        </w:tc>
        <w:tc>
          <w:tcPr>
            <w:tcW w:w="1056" w:type="dxa"/>
          </w:tcPr>
          <w:p>
            <w:pPr>
              <w:pStyle w:val="0"/>
              <w:jc w:val="center"/>
            </w:pPr>
            <w:r>
              <w:rPr>
                <w:sz w:val="20"/>
              </w:rPr>
              <w:t xml:space="preserve">0,2</w:t>
            </w:r>
          </w:p>
        </w:tc>
        <w:tc>
          <w:tcPr>
            <w:tcW w:w="1058" w:type="dxa"/>
          </w:tcPr>
          <w:p>
            <w:pPr>
              <w:pStyle w:val="0"/>
              <w:jc w:val="center"/>
            </w:pPr>
            <w:r>
              <w:rPr>
                <w:sz w:val="20"/>
              </w:rPr>
              <w:t xml:space="preserve">0,2</w:t>
            </w:r>
          </w:p>
        </w:tc>
      </w:tr>
      <w:tr>
        <w:tc>
          <w:tcPr>
            <w:vMerge w:val="continue"/>
          </w:tcPr>
          <w:p/>
        </w:tc>
        <w:tc>
          <w:tcPr>
            <w:tcW w:w="2835" w:type="dxa"/>
          </w:tcPr>
          <w:p>
            <w:pPr>
              <w:pStyle w:val="0"/>
              <w:jc w:val="both"/>
            </w:pPr>
            <w:r>
              <w:rPr>
                <w:sz w:val="20"/>
              </w:rPr>
              <w:t xml:space="preserve">число коек на 10000 взрослых, в том числе:</w:t>
            </w:r>
          </w:p>
        </w:tc>
        <w:tc>
          <w:tcPr>
            <w:tcW w:w="1531" w:type="dxa"/>
          </w:tcPr>
          <w:p>
            <w:pPr>
              <w:pStyle w:val="0"/>
              <w:jc w:val="center"/>
            </w:pPr>
            <w:r>
              <w:rPr>
                <w:sz w:val="20"/>
              </w:rPr>
              <w:t xml:space="preserve">1,98</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2,65</w:t>
            </w:r>
          </w:p>
        </w:tc>
        <w:tc>
          <w:tcPr>
            <w:tcW w:w="1056" w:type="dxa"/>
          </w:tcPr>
          <w:p>
            <w:pPr>
              <w:pStyle w:val="0"/>
              <w:jc w:val="center"/>
            </w:pPr>
            <w:r>
              <w:rPr>
                <w:sz w:val="20"/>
              </w:rPr>
              <w:t xml:space="preserve">2,7</w:t>
            </w:r>
          </w:p>
        </w:tc>
        <w:tc>
          <w:tcPr>
            <w:tcW w:w="1056" w:type="dxa"/>
          </w:tcPr>
          <w:p>
            <w:pPr>
              <w:pStyle w:val="0"/>
              <w:jc w:val="center"/>
            </w:pPr>
            <w:r>
              <w:rPr>
                <w:sz w:val="20"/>
              </w:rPr>
              <w:t xml:space="preserve">2,7</w:t>
            </w:r>
          </w:p>
        </w:tc>
        <w:tc>
          <w:tcPr>
            <w:tcW w:w="1058" w:type="dxa"/>
          </w:tcPr>
          <w:p>
            <w:pPr>
              <w:pStyle w:val="0"/>
              <w:jc w:val="center"/>
            </w:pPr>
            <w:r>
              <w:rPr>
                <w:sz w:val="20"/>
              </w:rPr>
              <w:t xml:space="preserve">2,7</w:t>
            </w:r>
          </w:p>
        </w:tc>
      </w:tr>
      <w:tr>
        <w:tc>
          <w:tcPr>
            <w:vMerge w:val="continue"/>
          </w:tcPr>
          <w:p/>
        </w:tc>
        <w:tc>
          <w:tcPr>
            <w:tcW w:w="2835" w:type="dxa"/>
          </w:tcPr>
          <w:p>
            <w:pPr>
              <w:pStyle w:val="0"/>
              <w:jc w:val="both"/>
            </w:pPr>
            <w:r>
              <w:rPr>
                <w:sz w:val="20"/>
              </w:rPr>
              <w:t xml:space="preserve">число коек сестринского ухода на 10000 взрослых</w:t>
            </w:r>
          </w:p>
        </w:tc>
        <w:tc>
          <w:tcPr>
            <w:tcW w:w="1531" w:type="dxa"/>
          </w:tcPr>
          <w:p>
            <w:pPr>
              <w:pStyle w:val="0"/>
              <w:jc w:val="center"/>
            </w:pPr>
            <w:r>
              <w:rPr>
                <w:sz w:val="20"/>
              </w:rPr>
              <w:t xml:space="preserve">0,98</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1,2</w:t>
            </w:r>
          </w:p>
        </w:tc>
        <w:tc>
          <w:tcPr>
            <w:tcW w:w="1056" w:type="dxa"/>
          </w:tcPr>
          <w:p>
            <w:pPr>
              <w:pStyle w:val="0"/>
              <w:jc w:val="center"/>
            </w:pPr>
            <w:r>
              <w:rPr>
                <w:sz w:val="20"/>
              </w:rPr>
              <w:t xml:space="preserve">1,2</w:t>
            </w:r>
          </w:p>
        </w:tc>
        <w:tc>
          <w:tcPr>
            <w:tcW w:w="1056" w:type="dxa"/>
          </w:tcPr>
          <w:p>
            <w:pPr>
              <w:pStyle w:val="0"/>
              <w:jc w:val="center"/>
            </w:pPr>
            <w:r>
              <w:rPr>
                <w:sz w:val="20"/>
              </w:rPr>
              <w:t xml:space="preserve">1,2</w:t>
            </w:r>
          </w:p>
        </w:tc>
        <w:tc>
          <w:tcPr>
            <w:tcW w:w="1058" w:type="dxa"/>
          </w:tcPr>
          <w:p>
            <w:pPr>
              <w:pStyle w:val="0"/>
              <w:jc w:val="center"/>
            </w:pPr>
            <w:r>
              <w:rPr>
                <w:sz w:val="20"/>
              </w:rPr>
              <w:t xml:space="preserve">1,2</w:t>
            </w:r>
          </w:p>
        </w:tc>
      </w:tr>
      <w:tr>
        <w:tc>
          <w:tcPr>
            <w:tcW w:w="567" w:type="dxa"/>
            <w:vMerge w:val="restart"/>
          </w:tcPr>
          <w:p>
            <w:pPr>
              <w:pStyle w:val="0"/>
              <w:jc w:val="both"/>
            </w:pPr>
            <w:r>
              <w:rPr>
                <w:sz w:val="20"/>
              </w:rPr>
              <w:t xml:space="preserve">3.</w:t>
            </w:r>
          </w:p>
        </w:tc>
        <w:tc>
          <w:tcPr>
            <w:tcW w:w="2835" w:type="dxa"/>
          </w:tcPr>
          <w:p>
            <w:pPr>
              <w:pStyle w:val="0"/>
              <w:jc w:val="both"/>
            </w:pPr>
            <w:r>
              <w:rPr>
                <w:sz w:val="20"/>
              </w:rPr>
              <w:t xml:space="preserve">Обеспеченность выездными патронажными бригадами паллиативной медицинской помощи:</w:t>
            </w:r>
          </w:p>
        </w:tc>
        <w:tc>
          <w:tcPr>
            <w:tcW w:w="1531" w:type="dxa"/>
          </w:tcPr>
          <w:p>
            <w:pPr>
              <w:pStyle w:val="0"/>
              <w:jc w:val="center"/>
            </w:pPr>
            <w:r>
              <w:rPr>
                <w:sz w:val="20"/>
              </w:rPr>
            </w:r>
          </w:p>
        </w:tc>
        <w:tc>
          <w:tcPr>
            <w:tcW w:w="2098" w:type="dxa"/>
          </w:tcPr>
          <w:p>
            <w:pPr>
              <w:pStyle w:val="0"/>
              <w:jc w:val="both"/>
            </w:pPr>
            <w:r>
              <w:rPr>
                <w:sz w:val="20"/>
              </w:rPr>
              <w:t xml:space="preserve">единиц</w:t>
            </w:r>
          </w:p>
        </w:tc>
        <w:tc>
          <w:tcPr>
            <w:tcW w:w="1056" w:type="dxa"/>
          </w:tcPr>
          <w:p>
            <w:pPr>
              <w:pStyle w:val="0"/>
              <w:jc w:val="center"/>
            </w:pPr>
            <w:r>
              <w:rPr>
                <w:sz w:val="20"/>
              </w:rPr>
              <w:t xml:space="preserve">2</w:t>
            </w:r>
          </w:p>
        </w:tc>
        <w:tc>
          <w:tcPr>
            <w:tcW w:w="1056" w:type="dxa"/>
          </w:tcPr>
          <w:p>
            <w:pPr>
              <w:pStyle w:val="0"/>
              <w:jc w:val="center"/>
            </w:pPr>
            <w:r>
              <w:rPr>
                <w:sz w:val="20"/>
              </w:rPr>
              <w:t xml:space="preserve">3</w:t>
            </w:r>
          </w:p>
        </w:tc>
        <w:tc>
          <w:tcPr>
            <w:tcW w:w="1056" w:type="dxa"/>
          </w:tcPr>
          <w:p>
            <w:pPr>
              <w:pStyle w:val="0"/>
              <w:jc w:val="center"/>
            </w:pPr>
            <w:r>
              <w:rPr>
                <w:sz w:val="20"/>
              </w:rPr>
              <w:t xml:space="preserve">3</w:t>
            </w:r>
          </w:p>
        </w:tc>
        <w:tc>
          <w:tcPr>
            <w:tcW w:w="1058" w:type="dxa"/>
          </w:tcPr>
          <w:p>
            <w:pPr>
              <w:pStyle w:val="0"/>
              <w:jc w:val="center"/>
            </w:pPr>
            <w:r>
              <w:rPr>
                <w:sz w:val="20"/>
              </w:rPr>
              <w:t xml:space="preserve">3</w:t>
            </w:r>
          </w:p>
        </w:tc>
      </w:tr>
      <w:tr>
        <w:tc>
          <w:tcPr>
            <w:vMerge w:val="continue"/>
          </w:tcPr>
          <w:p/>
        </w:tc>
        <w:tc>
          <w:tcPr>
            <w:tcW w:w="2835" w:type="dxa"/>
          </w:tcPr>
          <w:p>
            <w:pPr>
              <w:pStyle w:val="0"/>
              <w:jc w:val="both"/>
            </w:pPr>
            <w:r>
              <w:rPr>
                <w:sz w:val="20"/>
              </w:rPr>
              <w:t xml:space="preserve">взрослых, на 100000 человек</w:t>
            </w:r>
          </w:p>
        </w:tc>
        <w:tc>
          <w:tcPr>
            <w:tcW w:w="1531" w:type="dxa"/>
          </w:tcPr>
          <w:p>
            <w:pPr>
              <w:pStyle w:val="0"/>
              <w:jc w:val="center"/>
            </w:pPr>
            <w:r>
              <w:rPr>
                <w:sz w:val="20"/>
              </w:rPr>
              <w:t xml:space="preserve">0,7</w:t>
            </w:r>
          </w:p>
        </w:tc>
        <w:tc>
          <w:tcPr>
            <w:tcW w:w="2098" w:type="dxa"/>
          </w:tcPr>
          <w:p>
            <w:pPr>
              <w:pStyle w:val="0"/>
              <w:jc w:val="both"/>
            </w:pPr>
            <w:r>
              <w:rPr>
                <w:sz w:val="20"/>
              </w:rPr>
              <w:t xml:space="preserve">единиц на 100000 взрослых</w:t>
            </w:r>
          </w:p>
        </w:tc>
        <w:tc>
          <w:tcPr>
            <w:tcW w:w="1056" w:type="dxa"/>
          </w:tcPr>
          <w:p>
            <w:pPr>
              <w:pStyle w:val="0"/>
              <w:jc w:val="center"/>
            </w:pPr>
            <w:r>
              <w:rPr>
                <w:sz w:val="20"/>
              </w:rPr>
              <w:t xml:space="preserve">1</w:t>
            </w:r>
          </w:p>
        </w:tc>
        <w:tc>
          <w:tcPr>
            <w:tcW w:w="1056" w:type="dxa"/>
          </w:tcPr>
          <w:p>
            <w:pPr>
              <w:pStyle w:val="0"/>
              <w:jc w:val="center"/>
            </w:pPr>
            <w:r>
              <w:rPr>
                <w:sz w:val="20"/>
              </w:rPr>
              <w:t xml:space="preserve">2</w:t>
            </w:r>
          </w:p>
        </w:tc>
        <w:tc>
          <w:tcPr>
            <w:tcW w:w="1056" w:type="dxa"/>
          </w:tcPr>
          <w:p>
            <w:pPr>
              <w:pStyle w:val="0"/>
              <w:jc w:val="center"/>
            </w:pPr>
            <w:r>
              <w:rPr>
                <w:sz w:val="20"/>
              </w:rPr>
              <w:t xml:space="preserve">2</w:t>
            </w:r>
          </w:p>
        </w:tc>
        <w:tc>
          <w:tcPr>
            <w:tcW w:w="1058" w:type="dxa"/>
          </w:tcPr>
          <w:p>
            <w:pPr>
              <w:pStyle w:val="0"/>
              <w:jc w:val="center"/>
            </w:pPr>
            <w:r>
              <w:rPr>
                <w:sz w:val="20"/>
              </w:rPr>
              <w:t xml:space="preserve">2</w:t>
            </w:r>
          </w:p>
        </w:tc>
      </w:tr>
      <w:tr>
        <w:tc>
          <w:tcPr>
            <w:vMerge w:val="continue"/>
          </w:tcPr>
          <w:p/>
        </w:tc>
        <w:tc>
          <w:tcPr>
            <w:tcW w:w="2835" w:type="dxa"/>
          </w:tcPr>
          <w:p>
            <w:pPr>
              <w:pStyle w:val="0"/>
              <w:jc w:val="both"/>
            </w:pPr>
            <w:r>
              <w:rPr>
                <w:sz w:val="20"/>
              </w:rPr>
              <w:t xml:space="preserve">детей, на 50000 человек</w:t>
            </w:r>
          </w:p>
        </w:tc>
        <w:tc>
          <w:tcPr>
            <w:tcW w:w="1531" w:type="dxa"/>
          </w:tcPr>
          <w:p>
            <w:pPr>
              <w:pStyle w:val="0"/>
              <w:jc w:val="center"/>
            </w:pPr>
            <w:r>
              <w:rPr>
                <w:sz w:val="20"/>
              </w:rPr>
              <w:t xml:space="preserve">10,5</w:t>
            </w:r>
          </w:p>
        </w:tc>
        <w:tc>
          <w:tcPr>
            <w:tcW w:w="2098" w:type="dxa"/>
          </w:tcPr>
          <w:p>
            <w:pPr>
              <w:pStyle w:val="0"/>
              <w:jc w:val="both"/>
            </w:pPr>
            <w:r>
              <w:rPr>
                <w:sz w:val="20"/>
              </w:rPr>
              <w:t xml:space="preserve">единиц на 50000 детей</w:t>
            </w:r>
          </w:p>
        </w:tc>
        <w:tc>
          <w:tcPr>
            <w:tcW w:w="1056" w:type="dxa"/>
          </w:tcPr>
          <w:p>
            <w:pPr>
              <w:pStyle w:val="0"/>
              <w:jc w:val="center"/>
            </w:pPr>
            <w:r>
              <w:rPr>
                <w:sz w:val="20"/>
              </w:rPr>
              <w:t xml:space="preserve">1</w:t>
            </w:r>
          </w:p>
        </w:tc>
        <w:tc>
          <w:tcPr>
            <w:tcW w:w="1056" w:type="dxa"/>
          </w:tcPr>
          <w:p>
            <w:pPr>
              <w:pStyle w:val="0"/>
              <w:jc w:val="center"/>
            </w:pPr>
            <w:r>
              <w:rPr>
                <w:sz w:val="20"/>
              </w:rPr>
              <w:t xml:space="preserve">1</w:t>
            </w:r>
          </w:p>
        </w:tc>
        <w:tc>
          <w:tcPr>
            <w:tcW w:w="1056" w:type="dxa"/>
          </w:tcPr>
          <w:p>
            <w:pPr>
              <w:pStyle w:val="0"/>
              <w:jc w:val="center"/>
            </w:pPr>
            <w:r>
              <w:rPr>
                <w:sz w:val="20"/>
              </w:rPr>
              <w:t xml:space="preserve">1</w:t>
            </w:r>
          </w:p>
        </w:tc>
        <w:tc>
          <w:tcPr>
            <w:tcW w:w="1058" w:type="dxa"/>
          </w:tcPr>
          <w:p>
            <w:pPr>
              <w:pStyle w:val="0"/>
              <w:jc w:val="center"/>
            </w:pPr>
            <w:r>
              <w:rPr>
                <w:sz w:val="20"/>
              </w:rPr>
              <w:t xml:space="preserve">1</w:t>
            </w:r>
          </w:p>
        </w:tc>
      </w:tr>
      <w:tr>
        <w:tc>
          <w:tcPr>
            <w:tcW w:w="567" w:type="dxa"/>
            <w:vMerge w:val="restart"/>
          </w:tcPr>
          <w:p>
            <w:pPr>
              <w:pStyle w:val="0"/>
              <w:jc w:val="both"/>
            </w:pPr>
            <w:r>
              <w:rPr>
                <w:sz w:val="20"/>
              </w:rPr>
              <w:t xml:space="preserve">4.</w:t>
            </w:r>
          </w:p>
        </w:tc>
        <w:tc>
          <w:tcPr>
            <w:tcW w:w="2835" w:type="dxa"/>
          </w:tcPr>
          <w:p>
            <w:pPr>
              <w:pStyle w:val="0"/>
              <w:jc w:val="both"/>
            </w:pPr>
            <w:r>
              <w:rPr>
                <w:sz w:val="20"/>
              </w:rPr>
              <w:t xml:space="preserve">Объем заявленной потребности в лекарственных препаратах, содержащих наркотические средства и психотропные вещества, рассчитанной в соответствии с методическими рекомендациями (60-дневный курс обезболивания):</w:t>
            </w:r>
          </w:p>
        </w:tc>
        <w:tc>
          <w:tcPr>
            <w:tcW w:w="1531" w:type="dxa"/>
          </w:tcPr>
          <w:p>
            <w:pPr>
              <w:pStyle w:val="0"/>
              <w:jc w:val="center"/>
            </w:pPr>
            <w:r>
              <w:rPr>
                <w:sz w:val="20"/>
              </w:rPr>
              <w:t xml:space="preserve">-</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85</w:t>
            </w:r>
          </w:p>
        </w:tc>
        <w:tc>
          <w:tcPr>
            <w:tcW w:w="1056" w:type="dxa"/>
          </w:tcPr>
          <w:p>
            <w:pPr>
              <w:pStyle w:val="0"/>
              <w:jc w:val="center"/>
            </w:pPr>
            <w:r>
              <w:rPr>
                <w:sz w:val="20"/>
              </w:rPr>
              <w:t xml:space="preserve">90</w:t>
            </w:r>
          </w:p>
        </w:tc>
        <w:tc>
          <w:tcPr>
            <w:tcW w:w="1056" w:type="dxa"/>
          </w:tcPr>
          <w:p>
            <w:pPr>
              <w:pStyle w:val="0"/>
              <w:jc w:val="center"/>
            </w:pPr>
            <w:r>
              <w:rPr>
                <w:sz w:val="20"/>
              </w:rPr>
              <w:t xml:space="preserve">90</w:t>
            </w:r>
          </w:p>
        </w:tc>
        <w:tc>
          <w:tcPr>
            <w:tcW w:w="1058" w:type="dxa"/>
          </w:tcPr>
          <w:p>
            <w:pPr>
              <w:pStyle w:val="0"/>
              <w:jc w:val="center"/>
            </w:pPr>
            <w:r>
              <w:rPr>
                <w:sz w:val="20"/>
              </w:rPr>
              <w:t xml:space="preserve">90</w:t>
            </w:r>
          </w:p>
        </w:tc>
      </w:tr>
      <w:tr>
        <w:tc>
          <w:tcPr>
            <w:vMerge w:val="continue"/>
          </w:tcPr>
          <w:p/>
        </w:tc>
        <w:tc>
          <w:tcPr>
            <w:tcW w:w="2835" w:type="dxa"/>
          </w:tcPr>
          <w:p>
            <w:pPr>
              <w:pStyle w:val="0"/>
              <w:jc w:val="both"/>
            </w:pPr>
            <w:r>
              <w:rPr>
                <w:sz w:val="20"/>
              </w:rPr>
              <w:t xml:space="preserve">в инвазивных лекарственных формах</w:t>
            </w:r>
          </w:p>
        </w:tc>
        <w:tc>
          <w:tcPr>
            <w:tcW w:w="1531" w:type="dxa"/>
          </w:tcPr>
          <w:p>
            <w:pPr>
              <w:pStyle w:val="0"/>
              <w:jc w:val="center"/>
            </w:pPr>
            <w:r>
              <w:rPr>
                <w:sz w:val="20"/>
              </w:rPr>
              <w:t xml:space="preserve">-</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90</w:t>
            </w:r>
          </w:p>
        </w:tc>
        <w:tc>
          <w:tcPr>
            <w:tcW w:w="1056" w:type="dxa"/>
          </w:tcPr>
          <w:p>
            <w:pPr>
              <w:pStyle w:val="0"/>
              <w:jc w:val="center"/>
            </w:pPr>
            <w:r>
              <w:rPr>
                <w:sz w:val="20"/>
              </w:rPr>
              <w:t xml:space="preserve">95</w:t>
            </w:r>
          </w:p>
        </w:tc>
        <w:tc>
          <w:tcPr>
            <w:tcW w:w="1056" w:type="dxa"/>
          </w:tcPr>
          <w:p>
            <w:pPr>
              <w:pStyle w:val="0"/>
              <w:jc w:val="center"/>
            </w:pPr>
            <w:r>
              <w:rPr>
                <w:sz w:val="20"/>
              </w:rPr>
              <w:t xml:space="preserve">95</w:t>
            </w:r>
          </w:p>
        </w:tc>
        <w:tc>
          <w:tcPr>
            <w:tcW w:w="1058" w:type="dxa"/>
          </w:tcPr>
          <w:p>
            <w:pPr>
              <w:pStyle w:val="0"/>
              <w:jc w:val="center"/>
            </w:pPr>
            <w:r>
              <w:rPr>
                <w:sz w:val="20"/>
              </w:rPr>
              <w:t xml:space="preserve">95</w:t>
            </w:r>
          </w:p>
        </w:tc>
      </w:tr>
      <w:tr>
        <w:tc>
          <w:tcPr>
            <w:vMerge w:val="continue"/>
          </w:tcPr>
          <w:p/>
        </w:tc>
        <w:tc>
          <w:tcPr>
            <w:tcW w:w="2835" w:type="dxa"/>
          </w:tcPr>
          <w:p>
            <w:pPr>
              <w:pStyle w:val="0"/>
              <w:jc w:val="both"/>
            </w:pPr>
            <w:r>
              <w:rPr>
                <w:sz w:val="20"/>
              </w:rPr>
              <w:t xml:space="preserve">в неинвазивных лекарственных формах короткого действия</w:t>
            </w:r>
          </w:p>
        </w:tc>
        <w:tc>
          <w:tcPr>
            <w:tcW w:w="1531" w:type="dxa"/>
          </w:tcPr>
          <w:p>
            <w:pPr>
              <w:pStyle w:val="0"/>
              <w:jc w:val="center"/>
            </w:pPr>
            <w:r>
              <w:rPr>
                <w:sz w:val="20"/>
              </w:rPr>
              <w:t xml:space="preserve">70</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60</w:t>
            </w:r>
          </w:p>
        </w:tc>
        <w:tc>
          <w:tcPr>
            <w:tcW w:w="1056" w:type="dxa"/>
          </w:tcPr>
          <w:p>
            <w:pPr>
              <w:pStyle w:val="0"/>
              <w:jc w:val="center"/>
            </w:pPr>
            <w:r>
              <w:rPr>
                <w:sz w:val="20"/>
              </w:rPr>
              <w:t xml:space="preserve">65</w:t>
            </w:r>
          </w:p>
        </w:tc>
        <w:tc>
          <w:tcPr>
            <w:tcW w:w="1056" w:type="dxa"/>
          </w:tcPr>
          <w:p>
            <w:pPr>
              <w:pStyle w:val="0"/>
              <w:jc w:val="center"/>
            </w:pPr>
            <w:r>
              <w:rPr>
                <w:sz w:val="20"/>
              </w:rPr>
              <w:t xml:space="preserve">65</w:t>
            </w:r>
          </w:p>
        </w:tc>
        <w:tc>
          <w:tcPr>
            <w:tcW w:w="1058" w:type="dxa"/>
          </w:tcPr>
          <w:p>
            <w:pPr>
              <w:pStyle w:val="0"/>
              <w:jc w:val="center"/>
            </w:pPr>
            <w:r>
              <w:rPr>
                <w:sz w:val="20"/>
              </w:rPr>
              <w:t xml:space="preserve">65</w:t>
            </w:r>
          </w:p>
        </w:tc>
      </w:tr>
      <w:tr>
        <w:tc>
          <w:tcPr>
            <w:vMerge w:val="continue"/>
          </w:tcPr>
          <w:p/>
        </w:tc>
        <w:tc>
          <w:tcPr>
            <w:tcW w:w="2835" w:type="dxa"/>
          </w:tcPr>
          <w:p>
            <w:pPr>
              <w:pStyle w:val="0"/>
              <w:jc w:val="both"/>
            </w:pPr>
            <w:r>
              <w:rPr>
                <w:sz w:val="20"/>
              </w:rPr>
              <w:t xml:space="preserve">в неинвазивных лекарственных формах пролонгированного действия</w:t>
            </w:r>
          </w:p>
        </w:tc>
        <w:tc>
          <w:tcPr>
            <w:tcW w:w="1531" w:type="dxa"/>
          </w:tcPr>
          <w:p>
            <w:pPr>
              <w:pStyle w:val="0"/>
              <w:jc w:val="center"/>
            </w:pPr>
            <w:r>
              <w:rPr>
                <w:sz w:val="20"/>
              </w:rPr>
              <w:t xml:space="preserve">192</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80</w:t>
            </w:r>
          </w:p>
        </w:tc>
        <w:tc>
          <w:tcPr>
            <w:tcW w:w="1056" w:type="dxa"/>
          </w:tcPr>
          <w:p>
            <w:pPr>
              <w:pStyle w:val="0"/>
              <w:jc w:val="center"/>
            </w:pPr>
            <w:r>
              <w:rPr>
                <w:sz w:val="20"/>
              </w:rPr>
              <w:t xml:space="preserve">85</w:t>
            </w:r>
          </w:p>
        </w:tc>
        <w:tc>
          <w:tcPr>
            <w:tcW w:w="1056" w:type="dxa"/>
          </w:tcPr>
          <w:p>
            <w:pPr>
              <w:pStyle w:val="0"/>
              <w:jc w:val="center"/>
            </w:pPr>
            <w:r>
              <w:rPr>
                <w:sz w:val="20"/>
              </w:rPr>
              <w:t xml:space="preserve">85</w:t>
            </w:r>
          </w:p>
        </w:tc>
        <w:tc>
          <w:tcPr>
            <w:tcW w:w="1058" w:type="dxa"/>
          </w:tcPr>
          <w:p>
            <w:pPr>
              <w:pStyle w:val="0"/>
              <w:jc w:val="center"/>
            </w:pPr>
            <w:r>
              <w:rPr>
                <w:sz w:val="20"/>
              </w:rPr>
              <w:t xml:space="preserve">85</w:t>
            </w:r>
          </w:p>
        </w:tc>
      </w:tr>
      <w:tr>
        <w:tc>
          <w:tcPr>
            <w:tcW w:w="567" w:type="dxa"/>
            <w:vMerge w:val="restart"/>
          </w:tcPr>
          <w:p>
            <w:pPr>
              <w:pStyle w:val="0"/>
              <w:jc w:val="both"/>
            </w:pPr>
            <w:r>
              <w:rPr>
                <w:sz w:val="20"/>
              </w:rPr>
              <w:t xml:space="preserve">5.</w:t>
            </w:r>
          </w:p>
        </w:tc>
        <w:tc>
          <w:tcPr>
            <w:tcW w:w="2835" w:type="dxa"/>
          </w:tcPr>
          <w:p>
            <w:pPr>
              <w:pStyle w:val="0"/>
              <w:jc w:val="both"/>
            </w:pPr>
            <w:r>
              <w:rPr>
                <w:sz w:val="20"/>
              </w:rPr>
              <w:t xml:space="preserve">Полнота выборки лекарственных препаратов, содержащих наркотические средства и психотропные вещества, в рамках заявленных потребностей в соответствии с планом распределения наркотических средств и психотропных веществ:</w:t>
            </w:r>
          </w:p>
        </w:tc>
        <w:tc>
          <w:tcPr>
            <w:tcW w:w="1531" w:type="dxa"/>
          </w:tcPr>
          <w:p>
            <w:pPr>
              <w:pStyle w:val="0"/>
              <w:jc w:val="center"/>
            </w:pPr>
            <w:r>
              <w:rPr>
                <w:sz w:val="20"/>
              </w:rPr>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90</w:t>
            </w:r>
          </w:p>
        </w:tc>
        <w:tc>
          <w:tcPr>
            <w:tcW w:w="1056" w:type="dxa"/>
          </w:tcPr>
          <w:p>
            <w:pPr>
              <w:pStyle w:val="0"/>
              <w:jc w:val="center"/>
            </w:pPr>
            <w:r>
              <w:rPr>
                <w:sz w:val="20"/>
              </w:rPr>
              <w:t xml:space="preserve">95</w:t>
            </w:r>
          </w:p>
        </w:tc>
        <w:tc>
          <w:tcPr>
            <w:tcW w:w="1056" w:type="dxa"/>
          </w:tcPr>
          <w:p>
            <w:pPr>
              <w:pStyle w:val="0"/>
              <w:jc w:val="center"/>
            </w:pPr>
            <w:r>
              <w:rPr>
                <w:sz w:val="20"/>
              </w:rPr>
              <w:t xml:space="preserve">95</w:t>
            </w:r>
          </w:p>
        </w:tc>
        <w:tc>
          <w:tcPr>
            <w:tcW w:w="1058" w:type="dxa"/>
          </w:tcPr>
          <w:p>
            <w:pPr>
              <w:pStyle w:val="0"/>
              <w:jc w:val="center"/>
            </w:pPr>
            <w:r>
              <w:rPr>
                <w:sz w:val="20"/>
              </w:rPr>
              <w:t xml:space="preserve">95</w:t>
            </w:r>
          </w:p>
        </w:tc>
      </w:tr>
      <w:tr>
        <w:tc>
          <w:tcPr>
            <w:vMerge w:val="continue"/>
          </w:tcPr>
          <w:p/>
        </w:tc>
        <w:tc>
          <w:tcPr>
            <w:tcW w:w="2835" w:type="dxa"/>
          </w:tcPr>
          <w:p>
            <w:pPr>
              <w:pStyle w:val="0"/>
              <w:jc w:val="both"/>
            </w:pPr>
            <w:r>
              <w:rPr>
                <w:sz w:val="20"/>
              </w:rPr>
              <w:t xml:space="preserve">в инвазивных лекарственных формах</w:t>
            </w:r>
          </w:p>
        </w:tc>
        <w:tc>
          <w:tcPr>
            <w:tcW w:w="1531" w:type="dxa"/>
          </w:tcPr>
          <w:p>
            <w:pPr>
              <w:pStyle w:val="0"/>
              <w:jc w:val="center"/>
            </w:pPr>
            <w:r>
              <w:rPr>
                <w:sz w:val="20"/>
              </w:rPr>
              <w:t xml:space="preserve">72</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90</w:t>
            </w:r>
          </w:p>
        </w:tc>
        <w:tc>
          <w:tcPr>
            <w:tcW w:w="1056" w:type="dxa"/>
          </w:tcPr>
          <w:p>
            <w:pPr>
              <w:pStyle w:val="0"/>
              <w:jc w:val="center"/>
            </w:pPr>
            <w:r>
              <w:rPr>
                <w:sz w:val="20"/>
              </w:rPr>
              <w:t xml:space="preserve">95</w:t>
            </w:r>
          </w:p>
        </w:tc>
        <w:tc>
          <w:tcPr>
            <w:tcW w:w="1056" w:type="dxa"/>
          </w:tcPr>
          <w:p>
            <w:pPr>
              <w:pStyle w:val="0"/>
              <w:jc w:val="center"/>
            </w:pPr>
            <w:r>
              <w:rPr>
                <w:sz w:val="20"/>
              </w:rPr>
              <w:t xml:space="preserve">95</w:t>
            </w:r>
          </w:p>
        </w:tc>
        <w:tc>
          <w:tcPr>
            <w:tcW w:w="1058" w:type="dxa"/>
          </w:tcPr>
          <w:p>
            <w:pPr>
              <w:pStyle w:val="0"/>
              <w:jc w:val="center"/>
            </w:pPr>
            <w:r>
              <w:rPr>
                <w:sz w:val="20"/>
              </w:rPr>
              <w:t xml:space="preserve">95</w:t>
            </w:r>
          </w:p>
        </w:tc>
      </w:tr>
      <w:tr>
        <w:tc>
          <w:tcPr>
            <w:vMerge w:val="continue"/>
          </w:tcPr>
          <w:p/>
        </w:tc>
        <w:tc>
          <w:tcPr>
            <w:tcW w:w="2835" w:type="dxa"/>
          </w:tcPr>
          <w:p>
            <w:pPr>
              <w:pStyle w:val="0"/>
              <w:jc w:val="both"/>
            </w:pPr>
            <w:r>
              <w:rPr>
                <w:sz w:val="20"/>
              </w:rPr>
              <w:t xml:space="preserve">в неинвазивных лекарственных формах короткого действия</w:t>
            </w:r>
          </w:p>
        </w:tc>
        <w:tc>
          <w:tcPr>
            <w:tcW w:w="1531" w:type="dxa"/>
          </w:tcPr>
          <w:p>
            <w:pPr>
              <w:pStyle w:val="0"/>
              <w:jc w:val="center"/>
            </w:pPr>
            <w:r>
              <w:rPr>
                <w:sz w:val="20"/>
              </w:rPr>
              <w:t xml:space="preserve">53</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90</w:t>
            </w:r>
          </w:p>
        </w:tc>
        <w:tc>
          <w:tcPr>
            <w:tcW w:w="1056" w:type="dxa"/>
          </w:tcPr>
          <w:p>
            <w:pPr>
              <w:pStyle w:val="0"/>
              <w:jc w:val="center"/>
            </w:pPr>
            <w:r>
              <w:rPr>
                <w:sz w:val="20"/>
              </w:rPr>
              <w:t xml:space="preserve">95</w:t>
            </w:r>
          </w:p>
        </w:tc>
        <w:tc>
          <w:tcPr>
            <w:tcW w:w="1056" w:type="dxa"/>
          </w:tcPr>
          <w:p>
            <w:pPr>
              <w:pStyle w:val="0"/>
              <w:jc w:val="center"/>
            </w:pPr>
            <w:r>
              <w:rPr>
                <w:sz w:val="20"/>
              </w:rPr>
              <w:t xml:space="preserve">95</w:t>
            </w:r>
          </w:p>
        </w:tc>
        <w:tc>
          <w:tcPr>
            <w:tcW w:w="1058" w:type="dxa"/>
          </w:tcPr>
          <w:p>
            <w:pPr>
              <w:pStyle w:val="0"/>
              <w:jc w:val="center"/>
            </w:pPr>
            <w:r>
              <w:rPr>
                <w:sz w:val="20"/>
              </w:rPr>
              <w:t xml:space="preserve">95</w:t>
            </w:r>
          </w:p>
        </w:tc>
      </w:tr>
      <w:tr>
        <w:tc>
          <w:tcPr>
            <w:vMerge w:val="continue"/>
          </w:tcPr>
          <w:p/>
        </w:tc>
        <w:tc>
          <w:tcPr>
            <w:tcW w:w="2835" w:type="dxa"/>
          </w:tcPr>
          <w:p>
            <w:pPr>
              <w:pStyle w:val="0"/>
              <w:jc w:val="both"/>
            </w:pPr>
            <w:r>
              <w:rPr>
                <w:sz w:val="20"/>
              </w:rPr>
              <w:t xml:space="preserve">в неинвазивных лекарственных формах пролонгированного действия</w:t>
            </w:r>
          </w:p>
        </w:tc>
        <w:tc>
          <w:tcPr>
            <w:tcW w:w="1531" w:type="dxa"/>
          </w:tcPr>
          <w:p>
            <w:pPr>
              <w:pStyle w:val="0"/>
              <w:jc w:val="center"/>
            </w:pPr>
            <w:r>
              <w:rPr>
                <w:sz w:val="20"/>
              </w:rPr>
              <w:t xml:space="preserve">107</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90</w:t>
            </w:r>
          </w:p>
        </w:tc>
        <w:tc>
          <w:tcPr>
            <w:tcW w:w="1056" w:type="dxa"/>
          </w:tcPr>
          <w:p>
            <w:pPr>
              <w:pStyle w:val="0"/>
              <w:jc w:val="center"/>
            </w:pPr>
            <w:r>
              <w:rPr>
                <w:sz w:val="20"/>
              </w:rPr>
              <w:t xml:space="preserve">95</w:t>
            </w:r>
          </w:p>
        </w:tc>
        <w:tc>
          <w:tcPr>
            <w:tcW w:w="1056" w:type="dxa"/>
          </w:tcPr>
          <w:p>
            <w:pPr>
              <w:pStyle w:val="0"/>
              <w:jc w:val="center"/>
            </w:pPr>
            <w:r>
              <w:rPr>
                <w:sz w:val="20"/>
              </w:rPr>
              <w:t xml:space="preserve">95</w:t>
            </w:r>
          </w:p>
        </w:tc>
        <w:tc>
          <w:tcPr>
            <w:tcW w:w="1058" w:type="dxa"/>
          </w:tcPr>
          <w:p>
            <w:pPr>
              <w:pStyle w:val="0"/>
              <w:jc w:val="center"/>
            </w:pPr>
            <w:r>
              <w:rPr>
                <w:sz w:val="20"/>
              </w:rPr>
              <w:t xml:space="preserve">95</w:t>
            </w:r>
          </w:p>
        </w:tc>
      </w:tr>
      <w:tr>
        <w:tc>
          <w:tcPr>
            <w:tcW w:w="567" w:type="dxa"/>
          </w:tcPr>
          <w:p>
            <w:pPr>
              <w:pStyle w:val="0"/>
              <w:jc w:val="both"/>
            </w:pPr>
            <w:r>
              <w:rPr>
                <w:sz w:val="20"/>
              </w:rPr>
              <w:t xml:space="preserve">6.</w:t>
            </w:r>
          </w:p>
        </w:tc>
        <w:tc>
          <w:tcPr>
            <w:tcW w:w="2835" w:type="dxa"/>
          </w:tcPr>
          <w:p>
            <w:pPr>
              <w:pStyle w:val="0"/>
              <w:jc w:val="both"/>
            </w:pPr>
            <w:r>
              <w:rPr>
                <w:sz w:val="20"/>
              </w:rPr>
              <w:t xml:space="preserve">Число врачей (физических лиц на занятых должностях) в медицинских организациях и структурных подразделениях, оказывающих паллиативную специализированную медицинскую помощь</w:t>
            </w:r>
          </w:p>
        </w:tc>
        <w:tc>
          <w:tcPr>
            <w:tcW w:w="1531" w:type="dxa"/>
          </w:tcPr>
          <w:p>
            <w:pPr>
              <w:pStyle w:val="0"/>
              <w:jc w:val="center"/>
            </w:pPr>
            <w:r>
              <w:rPr>
                <w:sz w:val="20"/>
              </w:rPr>
              <w:t xml:space="preserve">2</w:t>
            </w:r>
          </w:p>
        </w:tc>
        <w:tc>
          <w:tcPr>
            <w:tcW w:w="2098" w:type="dxa"/>
          </w:tcPr>
          <w:p>
            <w:pPr>
              <w:pStyle w:val="0"/>
              <w:jc w:val="both"/>
            </w:pPr>
            <w:r>
              <w:rPr>
                <w:sz w:val="20"/>
              </w:rPr>
              <w:t xml:space="preserve">число врачей</w:t>
            </w:r>
          </w:p>
        </w:tc>
        <w:tc>
          <w:tcPr>
            <w:tcW w:w="1056" w:type="dxa"/>
          </w:tcPr>
          <w:p>
            <w:pPr>
              <w:pStyle w:val="0"/>
              <w:jc w:val="center"/>
            </w:pPr>
            <w:r>
              <w:rPr>
                <w:sz w:val="20"/>
              </w:rPr>
              <w:t xml:space="preserve">41</w:t>
            </w:r>
          </w:p>
        </w:tc>
        <w:tc>
          <w:tcPr>
            <w:tcW w:w="1056" w:type="dxa"/>
          </w:tcPr>
          <w:p>
            <w:pPr>
              <w:pStyle w:val="0"/>
              <w:jc w:val="center"/>
            </w:pPr>
            <w:r>
              <w:rPr>
                <w:sz w:val="20"/>
              </w:rPr>
              <w:t xml:space="preserve">42</w:t>
            </w:r>
          </w:p>
        </w:tc>
        <w:tc>
          <w:tcPr>
            <w:tcW w:w="1056" w:type="dxa"/>
          </w:tcPr>
          <w:p>
            <w:pPr>
              <w:pStyle w:val="0"/>
              <w:jc w:val="center"/>
            </w:pPr>
            <w:r>
              <w:rPr>
                <w:sz w:val="20"/>
              </w:rPr>
              <w:t xml:space="preserve">42</w:t>
            </w:r>
          </w:p>
        </w:tc>
        <w:tc>
          <w:tcPr>
            <w:tcW w:w="1058" w:type="dxa"/>
          </w:tcPr>
          <w:p>
            <w:pPr>
              <w:pStyle w:val="0"/>
              <w:jc w:val="center"/>
            </w:pPr>
            <w:r>
              <w:rPr>
                <w:sz w:val="20"/>
              </w:rPr>
              <w:t xml:space="preserve">42</w:t>
            </w:r>
          </w:p>
        </w:tc>
      </w:tr>
      <w:tr>
        <w:tc>
          <w:tcPr>
            <w:tcW w:w="567" w:type="dxa"/>
          </w:tcPr>
          <w:p>
            <w:pPr>
              <w:pStyle w:val="0"/>
              <w:jc w:val="both"/>
            </w:pPr>
            <w:r>
              <w:rPr>
                <w:sz w:val="20"/>
              </w:rPr>
              <w:t xml:space="preserve">7.</w:t>
            </w:r>
          </w:p>
        </w:tc>
        <w:tc>
          <w:tcPr>
            <w:tcW w:w="2835" w:type="dxa"/>
          </w:tcPr>
          <w:p>
            <w:pPr>
              <w:pStyle w:val="0"/>
              <w:jc w:val="both"/>
            </w:pPr>
            <w:r>
              <w:rPr>
                <w:sz w:val="20"/>
              </w:rPr>
              <w:t xml:space="preserve">Доля пациентов, переведенных из структурных подразделений медицинских организаций, оказывающих паллиативную медицинскую помощь в стационарных условиях, в организации социального обслуживания, от общего числа пролеченных пациентов по паллиативной медицинской помощи</w:t>
            </w:r>
          </w:p>
        </w:tc>
        <w:tc>
          <w:tcPr>
            <w:tcW w:w="1531" w:type="dxa"/>
          </w:tcPr>
          <w:p>
            <w:pPr>
              <w:pStyle w:val="0"/>
              <w:jc w:val="center"/>
            </w:pPr>
            <w:r>
              <w:rPr>
                <w:sz w:val="20"/>
              </w:rPr>
              <w:t xml:space="preserve">0,49</w:t>
            </w:r>
          </w:p>
        </w:tc>
        <w:tc>
          <w:tcPr>
            <w:tcW w:w="2098" w:type="dxa"/>
          </w:tcPr>
          <w:p>
            <w:pPr>
              <w:pStyle w:val="0"/>
              <w:jc w:val="both"/>
            </w:pPr>
            <w:r>
              <w:rPr>
                <w:sz w:val="20"/>
              </w:rPr>
              <w:t xml:space="preserve">процентов</w:t>
            </w:r>
          </w:p>
        </w:tc>
        <w:tc>
          <w:tcPr>
            <w:tcW w:w="1056" w:type="dxa"/>
          </w:tcPr>
          <w:p>
            <w:pPr>
              <w:pStyle w:val="0"/>
              <w:jc w:val="center"/>
            </w:pPr>
            <w:r>
              <w:rPr>
                <w:sz w:val="20"/>
              </w:rPr>
              <w:t xml:space="preserve">100</w:t>
            </w:r>
          </w:p>
        </w:tc>
        <w:tc>
          <w:tcPr>
            <w:tcW w:w="1056" w:type="dxa"/>
          </w:tcPr>
          <w:p>
            <w:pPr>
              <w:pStyle w:val="0"/>
              <w:jc w:val="center"/>
            </w:pPr>
            <w:r>
              <w:rPr>
                <w:sz w:val="20"/>
              </w:rPr>
              <w:t xml:space="preserve">100</w:t>
            </w:r>
          </w:p>
        </w:tc>
        <w:tc>
          <w:tcPr>
            <w:tcW w:w="1056" w:type="dxa"/>
          </w:tcPr>
          <w:p>
            <w:pPr>
              <w:pStyle w:val="0"/>
              <w:jc w:val="center"/>
            </w:pPr>
            <w:r>
              <w:rPr>
                <w:sz w:val="20"/>
              </w:rPr>
              <w:t xml:space="preserve">100</w:t>
            </w:r>
          </w:p>
        </w:tc>
        <w:tc>
          <w:tcPr>
            <w:tcW w:w="1058" w:type="dxa"/>
          </w:tcPr>
          <w:p>
            <w:pPr>
              <w:pStyle w:val="0"/>
              <w:jc w:val="center"/>
            </w:pPr>
            <w:r>
              <w:rPr>
                <w:sz w:val="20"/>
              </w:rPr>
              <w:t xml:space="preserve">100</w:t>
            </w:r>
          </w:p>
        </w:tc>
      </w:tr>
      <w:tr>
        <w:tc>
          <w:tcPr>
            <w:tcW w:w="567" w:type="dxa"/>
          </w:tcPr>
          <w:p>
            <w:pPr>
              <w:pStyle w:val="0"/>
              <w:jc w:val="both"/>
            </w:pPr>
            <w:r>
              <w:rPr>
                <w:sz w:val="20"/>
              </w:rPr>
              <w:t xml:space="preserve">8.</w:t>
            </w:r>
          </w:p>
        </w:tc>
        <w:tc>
          <w:tcPr>
            <w:tcW w:w="2835" w:type="dxa"/>
          </w:tcPr>
          <w:p>
            <w:pPr>
              <w:pStyle w:val="0"/>
              <w:jc w:val="both"/>
            </w:pPr>
            <w:r>
              <w:rPr>
                <w:sz w:val="20"/>
              </w:rPr>
              <w:t xml:space="preserve">Число некоммерческих организаций, осуществляющих свою деятельность в сфере охраны здоровья, которые получили меры государственной поддержки, в том числе в форме субсидии из бюджетов субъектов Российской Федерации, на оказание услуг, предусматривающих медико-социальное сопровождение лиц, нуждающихся в паллиативной медицинской помощи, включая организацию оказания паллиативной медицинской помощи и содействие в ее получении</w:t>
            </w:r>
          </w:p>
        </w:tc>
        <w:tc>
          <w:tcPr>
            <w:tcW w:w="1531" w:type="dxa"/>
          </w:tcPr>
          <w:p>
            <w:pPr>
              <w:pStyle w:val="0"/>
              <w:jc w:val="center"/>
            </w:pPr>
            <w:r>
              <w:rPr>
                <w:sz w:val="20"/>
              </w:rPr>
              <w:t xml:space="preserve">0</w:t>
            </w:r>
          </w:p>
        </w:tc>
        <w:tc>
          <w:tcPr>
            <w:tcW w:w="2098" w:type="dxa"/>
          </w:tcPr>
          <w:p>
            <w:pPr>
              <w:pStyle w:val="0"/>
              <w:jc w:val="both"/>
            </w:pPr>
            <w:r>
              <w:rPr>
                <w:sz w:val="20"/>
              </w:rPr>
              <w:t xml:space="preserve">число социально ориентированных некоммерческих организаций</w:t>
            </w:r>
          </w:p>
        </w:tc>
        <w:tc>
          <w:tcPr>
            <w:tcW w:w="1056" w:type="dxa"/>
          </w:tcPr>
          <w:p>
            <w:pPr>
              <w:pStyle w:val="0"/>
              <w:jc w:val="center"/>
            </w:pPr>
            <w:r>
              <w:rPr>
                <w:sz w:val="20"/>
              </w:rPr>
              <w:t xml:space="preserve">0</w:t>
            </w:r>
          </w:p>
        </w:tc>
        <w:tc>
          <w:tcPr>
            <w:tcW w:w="1056" w:type="dxa"/>
          </w:tcPr>
          <w:p>
            <w:pPr>
              <w:pStyle w:val="0"/>
              <w:jc w:val="center"/>
            </w:pPr>
            <w:r>
              <w:rPr>
                <w:sz w:val="20"/>
              </w:rPr>
              <w:t xml:space="preserve">0</w:t>
            </w:r>
          </w:p>
        </w:tc>
        <w:tc>
          <w:tcPr>
            <w:tcW w:w="1056" w:type="dxa"/>
          </w:tcPr>
          <w:p>
            <w:pPr>
              <w:pStyle w:val="0"/>
              <w:jc w:val="center"/>
            </w:pPr>
            <w:r>
              <w:rPr>
                <w:sz w:val="20"/>
              </w:rPr>
              <w:t xml:space="preserve">1</w:t>
            </w:r>
          </w:p>
        </w:tc>
        <w:tc>
          <w:tcPr>
            <w:tcW w:w="1058" w:type="dxa"/>
          </w:tcPr>
          <w:p>
            <w:pPr>
              <w:pStyle w:val="0"/>
              <w:jc w:val="center"/>
            </w:pPr>
            <w:r>
              <w:rPr>
                <w:sz w:val="20"/>
              </w:rPr>
              <w:t xml:space="preserve">1</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both"/>
      </w:pPr>
      <w:r>
        <w:rPr>
          <w:sz w:val="20"/>
        </w:rPr>
        <w:t xml:space="preserve">(п. 22 в ред. </w:t>
      </w:r>
      <w:hyperlink w:history="0" r:id="rId722"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08.12.2022 N 638-ПП)</w:t>
      </w:r>
    </w:p>
    <w:p>
      <w:pPr>
        <w:pStyle w:val="0"/>
      </w:pPr>
      <w:r>
        <w:rPr>
          <w:sz w:val="20"/>
        </w:rPr>
      </w:r>
    </w:p>
    <w:p>
      <w:pPr>
        <w:pStyle w:val="2"/>
        <w:outlineLvl w:val="2"/>
        <w:jc w:val="center"/>
      </w:pPr>
      <w:r>
        <w:rPr>
          <w:sz w:val="20"/>
        </w:rPr>
        <w:t xml:space="preserve">Основная информация о городе Севастополе, влияющая</w:t>
      </w:r>
    </w:p>
    <w:p>
      <w:pPr>
        <w:pStyle w:val="2"/>
        <w:jc w:val="center"/>
      </w:pPr>
      <w:r>
        <w:rPr>
          <w:sz w:val="20"/>
        </w:rPr>
        <w:t xml:space="preserve">на развитие паллиативной медицинской помощи</w:t>
      </w:r>
    </w:p>
    <w:p>
      <w:pPr>
        <w:pStyle w:val="0"/>
        <w:jc w:val="center"/>
      </w:pPr>
      <w:r>
        <w:rPr>
          <w:sz w:val="20"/>
        </w:rPr>
      </w:r>
    </w:p>
    <w:p>
      <w:pPr>
        <w:pStyle w:val="2"/>
        <w:outlineLvl w:val="3"/>
        <w:jc w:val="center"/>
      </w:pPr>
      <w:r>
        <w:rPr>
          <w:sz w:val="20"/>
        </w:rPr>
        <w:t xml:space="preserve">Правовое регулирование оказания паллиативной медицинской</w:t>
      </w:r>
    </w:p>
    <w:p>
      <w:pPr>
        <w:pStyle w:val="2"/>
        <w:jc w:val="center"/>
      </w:pPr>
      <w:r>
        <w:rPr>
          <w:sz w:val="20"/>
        </w:rPr>
        <w:t xml:space="preserve">помощи в городе Севастополе</w:t>
      </w:r>
    </w:p>
    <w:p>
      <w:pPr>
        <w:pStyle w:val="0"/>
      </w:pPr>
      <w:r>
        <w:rPr>
          <w:sz w:val="20"/>
        </w:rPr>
      </w:r>
    </w:p>
    <w:p>
      <w:pPr>
        <w:pStyle w:val="0"/>
        <w:ind w:firstLine="540"/>
        <w:jc w:val="both"/>
      </w:pPr>
      <w:r>
        <w:rPr>
          <w:sz w:val="20"/>
        </w:rPr>
        <w:t xml:space="preserve">В городе Севастополе утверждено 37 региональных актов &lt;8&gt;, направленных на: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w:t>
      </w:r>
      <w:hyperlink w:history="0" w:anchor="P29770" w:tooltip="Перечень региональных нормативных правовых актов,">
        <w:r>
          <w:rPr>
            <w:sz w:val="20"/>
            <w:color w:val="0000ff"/>
          </w:rPr>
          <w:t xml:space="preserve">Приложение N 1</w:t>
        </w:r>
      </w:hyperlink>
      <w:r>
        <w:rPr>
          <w:sz w:val="20"/>
        </w:rPr>
        <w:t xml:space="preserve"> к региональной программе "Развитие системы оказания паллиативной медицинской помощи в городе Севастополь на 2020 - 2024 годы".</w:t>
      </w:r>
    </w:p>
    <w:p>
      <w:pPr>
        <w:pStyle w:val="0"/>
        <w:ind w:firstLine="540"/>
        <w:jc w:val="both"/>
      </w:pPr>
      <w:r>
        <w:rPr>
          <w:sz w:val="20"/>
        </w:rPr>
      </w:r>
    </w:p>
    <w:p>
      <w:pPr>
        <w:pStyle w:val="0"/>
        <w:ind w:firstLine="540"/>
        <w:jc w:val="both"/>
      </w:pPr>
      <w:r>
        <w:rPr>
          <w:sz w:val="20"/>
        </w:rPr>
        <w:t xml:space="preserve">- организацию оказания медицинскими организациями, подведомственными Департаменту здравоохранения города Севастополя, паллиативной медицинской помощи населению;</w:t>
      </w:r>
    </w:p>
    <w:p>
      <w:pPr>
        <w:pStyle w:val="0"/>
        <w:spacing w:before="200" w:line-rule="auto"/>
        <w:ind w:firstLine="540"/>
        <w:jc w:val="both"/>
      </w:pPr>
      <w:r>
        <w:rPr>
          <w:sz w:val="20"/>
        </w:rPr>
        <w:t xml:space="preserve">- организацию межведомственного взаимодействия между органами исполнительной власти города Севастополя в сфере охраны здоровья и социального обслуживания;</w:t>
      </w:r>
    </w:p>
    <w:p>
      <w:pPr>
        <w:pStyle w:val="0"/>
        <w:spacing w:before="200" w:line-rule="auto"/>
        <w:ind w:firstLine="540"/>
        <w:jc w:val="both"/>
      </w:pPr>
      <w:r>
        <w:rPr>
          <w:sz w:val="20"/>
        </w:rPr>
        <w:t xml:space="preserve">- оказание мер государственной поддержки социально ориентированным некоммерческим организациям.</w:t>
      </w:r>
    </w:p>
    <w:p>
      <w:pPr>
        <w:pStyle w:val="0"/>
        <w:spacing w:before="200" w:line-rule="auto"/>
        <w:ind w:firstLine="540"/>
        <w:jc w:val="both"/>
      </w:pPr>
      <w:r>
        <w:rPr>
          <w:sz w:val="20"/>
        </w:rPr>
        <w:t xml:space="preserve">Принимая во внимание новые требования Федерального </w:t>
      </w:r>
      <w:hyperlink w:history="0" r:id="rId723"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закона</w:t>
        </w:r>
      </w:hyperlink>
      <w:r>
        <w:rPr>
          <w:sz w:val="20"/>
        </w:rPr>
        <w:t xml:space="preserve"> от 21.11.2011 N 323-ФЗ "Об основах охраны здоровья граждан в Российской Федерации" и </w:t>
      </w:r>
      <w:hyperlink w:history="0" r:id="rId724"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Положения</w:t>
        </w:r>
      </w:hyperlink>
      <w:r>
        <w:rPr>
          <w:sz w:val="20"/>
        </w:rPr>
        <w:t xml:space="preserve">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 утвержденного приказом Министерства здравоохранения Российской Федерации N 345н, приказом Министерства труда и социальной защиты Российской Федерации от 31.05.2019 N 372н, нормативную правовую базу города Севастополя об оказании паллиативной помощи, необходимо существенно доработать с целью гармонизации с федеральным законодательством, повышения качества и доступности оказания указанного вида медицинской помощи пациентам и их близким.</w:t>
      </w:r>
    </w:p>
    <w:p>
      <w:pPr>
        <w:pStyle w:val="0"/>
        <w:spacing w:before="200" w:line-rule="auto"/>
        <w:ind w:firstLine="540"/>
        <w:jc w:val="both"/>
      </w:pPr>
      <w:r>
        <w:rPr>
          <w:sz w:val="20"/>
        </w:rPr>
        <w:t xml:space="preserve">В рамках реализации мероприятий предполагается разработать и утвердить с учетом лучших российских практик, при безусловном приоритете интересов пациентов, комплексный региональный нормативный правовой акт об организации оказания паллиативной медицинской помощи в городе Севастополе, позволяющий:</w:t>
      </w:r>
    </w:p>
    <w:p>
      <w:pPr>
        <w:pStyle w:val="0"/>
        <w:spacing w:before="200" w:line-rule="auto"/>
        <w:ind w:firstLine="540"/>
        <w:jc w:val="both"/>
      </w:pPr>
      <w:r>
        <w:rPr>
          <w:sz w:val="20"/>
        </w:rPr>
        <w:t xml:space="preserve">- осуществлять координацию деятельности всех медицинских организаций, оказывающих как паллиативную доврачебную (врачебную) помощь, так и паллиативную специализированную медицинскую помощь;</w:t>
      </w:r>
    </w:p>
    <w:p>
      <w:pPr>
        <w:pStyle w:val="0"/>
        <w:spacing w:before="200" w:line-rule="auto"/>
        <w:ind w:firstLine="540"/>
        <w:jc w:val="both"/>
      </w:pPr>
      <w:r>
        <w:rPr>
          <w:sz w:val="20"/>
        </w:rPr>
        <w:t xml:space="preserve">- обеспечивать лечение болевого синдрома у взрослых пациентов и особенно детей с учетом требований законодательства Российской Федерации и применения современных наркотических средств и психотропных веществ;</w:t>
      </w:r>
    </w:p>
    <w:p>
      <w:pPr>
        <w:pStyle w:val="0"/>
        <w:spacing w:before="200" w:line-rule="auto"/>
        <w:ind w:firstLine="540"/>
        <w:jc w:val="both"/>
      </w:pPr>
      <w:r>
        <w:rPr>
          <w:sz w:val="20"/>
        </w:rPr>
        <w:t xml:space="preserve">- оптимально определить перечень медицинских организаций города Севастополя, подведомственных Департаменту здравоохранения города Севастополя, участвующих в оказании паллиативной медицинской помощи взрослому и детскому населению;</w:t>
      </w:r>
    </w:p>
    <w:p>
      <w:pPr>
        <w:pStyle w:val="0"/>
        <w:spacing w:before="200" w:line-rule="auto"/>
        <w:ind w:firstLine="540"/>
        <w:jc w:val="both"/>
      </w:pPr>
      <w:r>
        <w:rPr>
          <w:sz w:val="20"/>
        </w:rPr>
        <w:t xml:space="preserve">- организовать профильное использование паллиативных коек и коек сестринского ухода, созданных в медицинских организациях, подведомственных Департаменту здравоохранения города Севастополя;</w:t>
      </w:r>
    </w:p>
    <w:p>
      <w:pPr>
        <w:pStyle w:val="0"/>
        <w:spacing w:before="200" w:line-rule="auto"/>
        <w:ind w:firstLine="540"/>
        <w:jc w:val="both"/>
      </w:pPr>
      <w:r>
        <w:rPr>
          <w:sz w:val="20"/>
        </w:rPr>
        <w:t xml:space="preserve">- организовать действенное межведомственное взаимодействие между органами исполнительной власти города Севастополя по своевременному выявлению пациентов, нуждающихся в оказании паллиативной медицинской помощи, и оказанию им мер социальной защиты (поддержки);</w:t>
      </w:r>
    </w:p>
    <w:p>
      <w:pPr>
        <w:pStyle w:val="0"/>
        <w:spacing w:before="200" w:line-rule="auto"/>
        <w:ind w:firstLine="540"/>
        <w:jc w:val="both"/>
      </w:pPr>
      <w:r>
        <w:rPr>
          <w:sz w:val="20"/>
        </w:rPr>
        <w:t xml:space="preserve">- обеспечить взаимодействие медицинских организаций, организаций социального обслуживания с некоммерческими организациями, осуществляющими деятельность в сфере охраны здоровья граждан, в целях улучшения морально-психологического состояния пациентов.</w:t>
      </w:r>
    </w:p>
    <w:p>
      <w:pPr>
        <w:pStyle w:val="0"/>
      </w:pPr>
      <w:r>
        <w:rPr>
          <w:sz w:val="20"/>
        </w:rPr>
      </w:r>
    </w:p>
    <w:p>
      <w:pPr>
        <w:pStyle w:val="2"/>
        <w:outlineLvl w:val="3"/>
        <w:jc w:val="center"/>
      </w:pPr>
      <w:r>
        <w:rPr>
          <w:sz w:val="20"/>
        </w:rPr>
        <w:t xml:space="preserve">География и демография города Севастополя</w:t>
      </w:r>
    </w:p>
    <w:p>
      <w:pPr>
        <w:pStyle w:val="0"/>
      </w:pPr>
      <w:r>
        <w:rPr>
          <w:sz w:val="20"/>
        </w:rPr>
      </w:r>
    </w:p>
    <w:p>
      <w:pPr>
        <w:pStyle w:val="0"/>
        <w:ind w:firstLine="540"/>
        <w:jc w:val="both"/>
      </w:pPr>
      <w:r>
        <w:rPr>
          <w:sz w:val="20"/>
        </w:rPr>
        <w:t xml:space="preserve">Город Севастополь имеет ряд существенных географических и демографических особенностей, которые учтены при разработке модели организации оказания паллиативной медицинской помощи в городе Севастополе, распределении стационарных и амбулаторных условий оказания ПМП.</w:t>
      </w:r>
    </w:p>
    <w:p>
      <w:pPr>
        <w:pStyle w:val="0"/>
        <w:spacing w:before="200" w:line-rule="auto"/>
        <w:ind w:firstLine="540"/>
        <w:jc w:val="both"/>
      </w:pPr>
      <w:r>
        <w:rPr>
          <w:sz w:val="20"/>
        </w:rPr>
        <w:t xml:space="preserve">Административно-территориальное устройство.</w:t>
      </w:r>
    </w:p>
    <w:p>
      <w:pPr>
        <w:pStyle w:val="0"/>
        <w:spacing w:before="200" w:line-rule="auto"/>
        <w:ind w:firstLine="540"/>
        <w:jc w:val="both"/>
      </w:pPr>
      <w:r>
        <w:rPr>
          <w:sz w:val="20"/>
        </w:rPr>
        <w:t xml:space="preserve">Город Севастополь входит в состав Южного федерального округа. Площадь территорий составляет 1079,6 &lt;9&gt; кв. км с протяженностью 50 км с севера на юг и 43 км с запада на восток.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1079,6 кв. км - в состав этой площади входит 216 кв. км морских бухт, являющихся территориальными водами, а также 863,6 кв. км суши.</w:t>
      </w:r>
    </w:p>
    <w:p>
      <w:pPr>
        <w:pStyle w:val="0"/>
        <w:ind w:firstLine="540"/>
        <w:jc w:val="both"/>
      </w:pPr>
      <w:r>
        <w:rPr>
          <w:sz w:val="20"/>
        </w:rPr>
      </w:r>
    </w:p>
    <w:p>
      <w:pPr>
        <w:pStyle w:val="0"/>
        <w:ind w:firstLine="540"/>
        <w:jc w:val="both"/>
      </w:pPr>
      <w:r>
        <w:rPr>
          <w:sz w:val="20"/>
        </w:rPr>
        <w:t xml:space="preserve">Население города Севастополя по состоянию на конец 2018 года составляет 443212 человек.</w:t>
      </w:r>
    </w:p>
    <w:p>
      <w:pPr>
        <w:pStyle w:val="0"/>
        <w:spacing w:before="200" w:line-rule="auto"/>
        <w:ind w:firstLine="540"/>
        <w:jc w:val="both"/>
      </w:pPr>
      <w:r>
        <w:rPr>
          <w:sz w:val="20"/>
        </w:rPr>
        <w:t xml:space="preserve">Согласно </w:t>
      </w:r>
      <w:hyperlink w:history="0" r:id="rId725" w:tooltip="Закон города Севастополя от 03.06.2014 N 19-ЗС (ред. от 05.10.2022) &quot;Об административно-территориальном устройстве города Севастополя&quot; (принят Законодательным Собранием г. Севастополя 02.06.2014) (вместе с &quot;Картой-схемой границ районов города Севастополя&quot;, &quot;Перечнем населенных пунктов, находящихся в границах субъекта Российской Федерации - города федерального значения Севастополя&quot;) {КонсультантПлюс}">
        <w:r>
          <w:rPr>
            <w:sz w:val="20"/>
            <w:color w:val="0000ff"/>
          </w:rPr>
          <w:t xml:space="preserve">Закону</w:t>
        </w:r>
      </w:hyperlink>
      <w:r>
        <w:rPr>
          <w:sz w:val="20"/>
        </w:rPr>
        <w:t xml:space="preserve"> города Севастополя от 03.06.2014 N 19-ЗС "Об административно-территориальном устройстве города Севастополя" город федерального значения Севастополь делится на административно-территориальные единицы - районы города Севастополя.</w:t>
      </w:r>
    </w:p>
    <w:p>
      <w:pPr>
        <w:pStyle w:val="0"/>
        <w:spacing w:before="200" w:line-rule="auto"/>
        <w:ind w:firstLine="540"/>
        <w:jc w:val="both"/>
      </w:pPr>
      <w:r>
        <w:rPr>
          <w:sz w:val="20"/>
        </w:rPr>
        <w:t xml:space="preserve">В рамках муниципального устройства в соответствии с </w:t>
      </w:r>
      <w:hyperlink w:history="0" r:id="rId726" w:tooltip="Закон города Севастополя от 03.06.2014 N 17-ЗС &quot;Об установлении границ и статусе муниципальных образований в городе Севастополе&quot; (принят Законодательным Собранием г. Севастополя 02.06.2014) (вместе с &quot;Картой-схемой границ внутригородских муниципальных образований города Севастополя&quot;) {КонсультантПлюс}">
        <w:r>
          <w:rPr>
            <w:sz w:val="20"/>
            <w:color w:val="0000ff"/>
          </w:rPr>
          <w:t xml:space="preserve">Законом</w:t>
        </w:r>
      </w:hyperlink>
      <w:r>
        <w:rPr>
          <w:sz w:val="20"/>
        </w:rPr>
        <w:t xml:space="preserve"> города Севастополя от 03.06.2014 N 17-ЗС "Об установлении границ и статусе муниципальных образований в городе Севастополе" в границах административно-территориальных единиц - районов города Севастополя образованы 10 внутригородских муниципальных образований.</w:t>
      </w:r>
    </w:p>
    <w:p>
      <w:pPr>
        <w:pStyle w:val="0"/>
      </w:pPr>
      <w:r>
        <w:rPr>
          <w:sz w:val="20"/>
        </w:rPr>
      </w:r>
    </w:p>
    <w:tbl>
      <w:tblPr>
        <w:tblInd w:w="0" w:type="dxa"/>
        <w:tblLayout w:type="fixed"/>
        <w:tblCellMar>
          <w:top w:w="102" w:type="dxa"/>
          <w:left w:w="62" w:type="dxa"/>
          <w:bottom w:w="102" w:type="dxa"/>
          <w:right w:w="62" w:type="dxa"/>
        </w:tblCellMar>
      </w:tblPr>
      <w:tblGrid>
        <w:gridCol w:w="6350"/>
        <w:gridCol w:w="2721"/>
      </w:tblGrid>
      <w:tr>
        <w:tc>
          <w:tcPr>
            <w:tcW w:w="6350" w:type="dxa"/>
            <w:tcBorders>
              <w:top w:val="nil"/>
              <w:left w:val="nil"/>
              <w:bottom w:val="nil"/>
              <w:right w:val="nil"/>
            </w:tcBorders>
          </w:tcPr>
          <w:p>
            <w:pPr>
              <w:pStyle w:val="0"/>
              <w:jc w:val="center"/>
            </w:pPr>
            <w:r>
              <w:rPr>
                <w:position w:val="-315"/>
              </w:rPr>
              <w:drawing>
                <wp:inline distT="0" distB="0" distL="0" distR="0">
                  <wp:extent cx="3602355" cy="4138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a:extLst>
                              <a:ext uri="{28A0092B-C50C-407E-A947-70E740481C1C}">
                                <a14:useLocalDpi xmlns:a14="http://schemas.microsoft.com/office/drawing/2010/main" val="0"/>
                              </a:ext>
                            </a:extLst>
                          </a:blip>
                          <a:srcRect/>
                          <a:stretch>
                            <a:fillRect/>
                          </a:stretch>
                        </pic:blipFill>
                        <pic:spPr bwMode="auto">
                          <a:xfrm>
                            <a:off x="0" y="0"/>
                            <a:ext cx="3602355" cy="4138930"/>
                          </a:xfrm>
                          <a:prstGeom prst="rect">
                            <a:avLst/>
                          </a:prstGeom>
                          <a:noFill/>
                          <a:ln>
                            <a:noFill/>
                          </a:ln>
                        </pic:spPr>
                      </pic:pic>
                    </a:graphicData>
                  </a:graphic>
                </wp:inline>
              </w:drawing>
            </w:r>
          </w:p>
        </w:tc>
        <w:tc>
          <w:tcPr>
            <w:tcW w:w="2721" w:type="dxa"/>
            <w:tcBorders>
              <w:top w:val="nil"/>
              <w:left w:val="nil"/>
              <w:bottom w:val="nil"/>
              <w:right w:val="nil"/>
            </w:tcBorders>
          </w:tcPr>
          <w:p>
            <w:pPr>
              <w:pStyle w:val="0"/>
              <w:jc w:val="both"/>
            </w:pPr>
            <w:r>
              <w:rPr>
                <w:sz w:val="20"/>
              </w:rPr>
              <w:t xml:space="preserve">Районы города Севастополя:</w:t>
            </w:r>
          </w:p>
          <w:p>
            <w:pPr>
              <w:pStyle w:val="0"/>
              <w:jc w:val="both"/>
            </w:pPr>
            <w:r>
              <w:rPr>
                <w:sz w:val="20"/>
              </w:rPr>
              <w:t xml:space="preserve">1. Ленинский район;</w:t>
            </w:r>
          </w:p>
          <w:p>
            <w:pPr>
              <w:pStyle w:val="0"/>
              <w:jc w:val="both"/>
            </w:pPr>
            <w:r>
              <w:rPr>
                <w:sz w:val="20"/>
              </w:rPr>
              <w:t xml:space="preserve">2. Гагаринский район;</w:t>
            </w:r>
          </w:p>
          <w:p>
            <w:pPr>
              <w:pStyle w:val="0"/>
              <w:jc w:val="both"/>
            </w:pPr>
            <w:r>
              <w:rPr>
                <w:sz w:val="20"/>
              </w:rPr>
              <w:t xml:space="preserve">3. Нахимовский район;</w:t>
            </w:r>
          </w:p>
          <w:p>
            <w:pPr>
              <w:pStyle w:val="0"/>
              <w:jc w:val="both"/>
            </w:pPr>
            <w:r>
              <w:rPr>
                <w:sz w:val="20"/>
              </w:rPr>
              <w:t xml:space="preserve">4. Балаклавский район.</w:t>
            </w:r>
          </w:p>
          <w:p>
            <w:pPr>
              <w:pStyle w:val="0"/>
              <w:jc w:val="both"/>
            </w:pPr>
            <w:r>
              <w:rPr>
                <w:sz w:val="20"/>
              </w:rPr>
              <w:t xml:space="preserve">Внутригородские муниципальные образование:</w:t>
            </w:r>
          </w:p>
          <w:p>
            <w:pPr>
              <w:pStyle w:val="0"/>
              <w:jc w:val="both"/>
            </w:pPr>
            <w:r>
              <w:rPr>
                <w:sz w:val="20"/>
              </w:rPr>
              <w:t xml:space="preserve">- 9 муниципальных округов;</w:t>
            </w:r>
          </w:p>
          <w:p>
            <w:pPr>
              <w:pStyle w:val="0"/>
              <w:jc w:val="both"/>
            </w:pPr>
            <w:r>
              <w:rPr>
                <w:sz w:val="20"/>
              </w:rPr>
              <w:t xml:space="preserve">- 1 город</w:t>
            </w:r>
          </w:p>
        </w:tc>
      </w:tr>
    </w:tbl>
    <w:p>
      <w:pPr>
        <w:pStyle w:val="0"/>
      </w:pPr>
      <w:r>
        <w:rPr>
          <w:sz w:val="20"/>
        </w:rPr>
      </w:r>
    </w:p>
    <w:p>
      <w:pPr>
        <w:pStyle w:val="2"/>
        <w:outlineLvl w:val="3"/>
        <w:jc w:val="center"/>
      </w:pPr>
      <w:r>
        <w:rPr>
          <w:sz w:val="20"/>
        </w:rPr>
        <w:t xml:space="preserve">Плотность населения города Севастополя</w:t>
      </w:r>
    </w:p>
    <w:p>
      <w:pPr>
        <w:pStyle w:val="0"/>
      </w:pPr>
      <w:r>
        <w:rPr>
          <w:sz w:val="20"/>
        </w:rPr>
      </w:r>
    </w:p>
    <w:p>
      <w:pPr>
        <w:pStyle w:val="0"/>
        <w:ind w:firstLine="540"/>
        <w:jc w:val="both"/>
      </w:pPr>
      <w:r>
        <w:rPr>
          <w:sz w:val="20"/>
        </w:rPr>
        <w:t xml:space="preserve">Плотность населения города Севастополя на конец 2018 года составила 500,7 чел./кв. км. Наибольшая численность населения сконцентрирована в 2 районах (Гагаринский район и Ленинский район) с совокупной долей населения 61,9%.</w:t>
      </w:r>
    </w:p>
    <w:p>
      <w:pPr>
        <w:pStyle w:val="0"/>
        <w:spacing w:before="200" w:line-rule="auto"/>
        <w:ind w:firstLine="540"/>
        <w:jc w:val="both"/>
      </w:pPr>
      <w:r>
        <w:rPr>
          <w:sz w:val="20"/>
        </w:rPr>
        <w:t xml:space="preserve">Самая густонаселенная территория города Севастополя - Ленинский район с плотностью населения - 4516,5 чел./кв. км (115902 чел. на 26 кв. км).</w:t>
      </w:r>
    </w:p>
    <w:p>
      <w:pPr>
        <w:pStyle w:val="0"/>
        <w:spacing w:before="200" w:line-rule="auto"/>
        <w:ind w:firstLine="540"/>
        <w:jc w:val="both"/>
      </w:pPr>
      <w:r>
        <w:rPr>
          <w:sz w:val="20"/>
        </w:rPr>
        <w:t xml:space="preserve">Самая малонаселенная территория города Севастополя - Балаклавский район с плотностью населения - 96,7 чел./кв. км (50 313 чел. на 530,3 кв. км).</w:t>
      </w:r>
    </w:p>
    <w:p>
      <w:pPr>
        <w:pStyle w:val="0"/>
        <w:jc w:val="center"/>
      </w:pPr>
      <w:r>
        <w:rPr>
          <w:sz w:val="20"/>
        </w:rPr>
      </w:r>
    </w:p>
    <w:p>
      <w:pPr>
        <w:pStyle w:val="0"/>
        <w:jc w:val="center"/>
      </w:pPr>
      <w:r>
        <w:rPr>
          <w:sz w:val="20"/>
        </w:rPr>
        <w:t xml:space="preserve">Таблица 2 - Карта плотности населения города Севастополя,</w:t>
      </w:r>
    </w:p>
    <w:p>
      <w:pPr>
        <w:pStyle w:val="0"/>
        <w:jc w:val="center"/>
      </w:pPr>
      <w:r>
        <w:rPr>
          <w:sz w:val="20"/>
        </w:rPr>
        <w:t xml:space="preserve">2018 года</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right w:val="single" w:sz="4"/>
          <w:insideV w:val="single" w:sz="4"/>
          <w:insideH w:val="single" w:sz="4"/>
        </w:tblBorders>
        <w:tblCellMar>
          <w:top w:w="102" w:type="dxa"/>
          <w:left w:w="62" w:type="dxa"/>
          <w:bottom w:w="102" w:type="dxa"/>
          <w:right w:w="62" w:type="dxa"/>
        </w:tblCellMar>
      </w:tblPr>
      <w:tblGrid>
        <w:gridCol w:w="5499"/>
        <w:gridCol w:w="567"/>
        <w:gridCol w:w="1519"/>
        <w:gridCol w:w="1026"/>
        <w:gridCol w:w="1084"/>
        <w:gridCol w:w="1417"/>
      </w:tblGrid>
      <w:tr>
        <w:tc>
          <w:tcPr>
            <w:tcW w:w="5499" w:type="dxa"/>
            <w:tcBorders>
              <w:top w:val="nil"/>
              <w:left w:val="nil"/>
              <w:bottom w:val="nil"/>
              <w:right w:val="nil"/>
            </w:tcBorders>
            <w:vMerge w:val="restart"/>
          </w:tcPr>
          <w:p>
            <w:pPr>
              <w:pStyle w:val="0"/>
              <w:jc w:val="both"/>
            </w:pPr>
            <w:r>
              <w:rPr>
                <w:position w:val="-284"/>
              </w:rPr>
              <w:drawing>
                <wp:inline distT="0" distB="0" distL="0" distR="0">
                  <wp:extent cx="3236595" cy="3742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a:extLst>
                              <a:ext uri="{28A0092B-C50C-407E-A947-70E740481C1C}">
                                <a14:useLocalDpi xmlns:a14="http://schemas.microsoft.com/office/drawing/2010/main" val="0"/>
                              </a:ext>
                            </a:extLst>
                          </a:blip>
                          <a:srcRect/>
                          <a:stretch>
                            <a:fillRect/>
                          </a:stretch>
                        </pic:blipFill>
                        <pic:spPr bwMode="auto">
                          <a:xfrm>
                            <a:off x="0" y="0"/>
                            <a:ext cx="3236595" cy="3742690"/>
                          </a:xfrm>
                          <a:prstGeom prst="rect">
                            <a:avLst/>
                          </a:prstGeom>
                          <a:noFill/>
                          <a:ln>
                            <a:noFill/>
                          </a:ln>
                        </pic:spPr>
                      </pic:pic>
                    </a:graphicData>
                  </a:graphic>
                </wp:inline>
              </w:drawing>
            </w:r>
          </w:p>
        </w:tc>
        <w:tc>
          <w:tcPr>
            <w:tcW w:w="567" w:type="dxa"/>
          </w:tcPr>
          <w:p>
            <w:pPr>
              <w:pStyle w:val="0"/>
              <w:jc w:val="center"/>
            </w:pPr>
            <w:r>
              <w:rPr>
                <w:sz w:val="20"/>
              </w:rPr>
              <w:t xml:space="preserve">N</w:t>
            </w:r>
          </w:p>
        </w:tc>
        <w:tc>
          <w:tcPr>
            <w:tcW w:w="1519" w:type="dxa"/>
          </w:tcPr>
          <w:p>
            <w:pPr>
              <w:pStyle w:val="0"/>
              <w:jc w:val="center"/>
            </w:pPr>
            <w:r>
              <w:rPr>
                <w:sz w:val="20"/>
              </w:rPr>
              <w:t xml:space="preserve">Район</w:t>
            </w:r>
          </w:p>
        </w:tc>
        <w:tc>
          <w:tcPr>
            <w:tcW w:w="1026" w:type="dxa"/>
          </w:tcPr>
          <w:p>
            <w:pPr>
              <w:pStyle w:val="0"/>
              <w:jc w:val="center"/>
            </w:pPr>
            <w:r>
              <w:rPr>
                <w:sz w:val="20"/>
              </w:rPr>
              <w:t xml:space="preserve">Население, чел.</w:t>
            </w:r>
          </w:p>
        </w:tc>
        <w:tc>
          <w:tcPr>
            <w:tcW w:w="1084" w:type="dxa"/>
          </w:tcPr>
          <w:p>
            <w:pPr>
              <w:pStyle w:val="0"/>
              <w:jc w:val="center"/>
            </w:pPr>
            <w:r>
              <w:rPr>
                <w:sz w:val="20"/>
              </w:rPr>
              <w:t xml:space="preserve">Площадь, км</w:t>
            </w:r>
            <w:r>
              <w:rPr>
                <w:sz w:val="20"/>
                <w:vertAlign w:val="superscript"/>
              </w:rPr>
              <w:t xml:space="preserve">2</w:t>
            </w:r>
          </w:p>
        </w:tc>
        <w:tc>
          <w:tcPr>
            <w:tcW w:w="1417" w:type="dxa"/>
          </w:tcPr>
          <w:p>
            <w:pPr>
              <w:pStyle w:val="0"/>
              <w:jc w:val="center"/>
            </w:pPr>
            <w:r>
              <w:rPr>
                <w:sz w:val="20"/>
              </w:rPr>
              <w:t xml:space="preserve">Плотность чел./км</w:t>
            </w:r>
            <w:r>
              <w:rPr>
                <w:sz w:val="20"/>
                <w:vertAlign w:val="superscript"/>
              </w:rPr>
              <w:t xml:space="preserve">2</w:t>
            </w:r>
          </w:p>
        </w:tc>
      </w:tr>
      <w:tr>
        <w:tc>
          <w:tcPr>
            <w:tcBorders>
              <w:top w:val="nil"/>
              <w:left w:val="nil"/>
              <w:bottom w:val="nil"/>
              <w:right w:val="nil"/>
            </w:tcBorders>
            <w:vMerge w:val="continue"/>
          </w:tcPr>
          <w:p/>
        </w:tc>
        <w:tc>
          <w:tcPr>
            <w:tcW w:w="567" w:type="dxa"/>
          </w:tcPr>
          <w:p>
            <w:pPr>
              <w:pStyle w:val="0"/>
              <w:jc w:val="both"/>
            </w:pPr>
            <w:r>
              <w:rPr>
                <w:sz w:val="20"/>
              </w:rPr>
              <w:t xml:space="preserve">1</w:t>
            </w:r>
          </w:p>
        </w:tc>
        <w:tc>
          <w:tcPr>
            <w:tcW w:w="1519" w:type="dxa"/>
          </w:tcPr>
          <w:p>
            <w:pPr>
              <w:pStyle w:val="0"/>
              <w:jc w:val="both"/>
            </w:pPr>
            <w:r>
              <w:rPr>
                <w:sz w:val="20"/>
              </w:rPr>
              <w:t xml:space="preserve">Ленинский район</w:t>
            </w:r>
          </w:p>
        </w:tc>
        <w:tc>
          <w:tcPr>
            <w:tcW w:w="1026" w:type="dxa"/>
          </w:tcPr>
          <w:p>
            <w:pPr>
              <w:pStyle w:val="0"/>
              <w:jc w:val="center"/>
            </w:pPr>
            <w:r>
              <w:rPr>
                <w:sz w:val="20"/>
              </w:rPr>
              <w:t xml:space="preserve">117430</w:t>
            </w:r>
          </w:p>
        </w:tc>
        <w:tc>
          <w:tcPr>
            <w:tcW w:w="1084" w:type="dxa"/>
          </w:tcPr>
          <w:p>
            <w:pPr>
              <w:pStyle w:val="0"/>
              <w:jc w:val="center"/>
            </w:pPr>
            <w:r>
              <w:rPr>
                <w:sz w:val="20"/>
              </w:rPr>
              <w:t xml:space="preserve">26</w:t>
            </w:r>
          </w:p>
        </w:tc>
        <w:tc>
          <w:tcPr>
            <w:tcW w:w="1417" w:type="dxa"/>
          </w:tcPr>
          <w:p>
            <w:pPr>
              <w:pStyle w:val="0"/>
              <w:jc w:val="center"/>
            </w:pPr>
            <w:r>
              <w:rPr>
                <w:sz w:val="20"/>
              </w:rPr>
              <w:t xml:space="preserve">4516,5</w:t>
            </w:r>
          </w:p>
        </w:tc>
      </w:tr>
      <w:tr>
        <w:tc>
          <w:tcPr>
            <w:tcBorders>
              <w:top w:val="nil"/>
              <w:left w:val="nil"/>
              <w:bottom w:val="nil"/>
              <w:right w:val="nil"/>
            </w:tcBorders>
            <w:vMerge w:val="continue"/>
          </w:tcPr>
          <w:p/>
        </w:tc>
        <w:tc>
          <w:tcPr>
            <w:tcW w:w="567" w:type="dxa"/>
          </w:tcPr>
          <w:p>
            <w:pPr>
              <w:pStyle w:val="0"/>
              <w:jc w:val="both"/>
            </w:pPr>
            <w:r>
              <w:rPr>
                <w:sz w:val="20"/>
              </w:rPr>
              <w:t xml:space="preserve">2</w:t>
            </w:r>
          </w:p>
        </w:tc>
        <w:tc>
          <w:tcPr>
            <w:tcW w:w="1519" w:type="dxa"/>
          </w:tcPr>
          <w:p>
            <w:pPr>
              <w:pStyle w:val="0"/>
              <w:jc w:val="both"/>
            </w:pPr>
            <w:r>
              <w:rPr>
                <w:sz w:val="20"/>
              </w:rPr>
              <w:t xml:space="preserve">Гагаринский район</w:t>
            </w:r>
          </w:p>
        </w:tc>
        <w:tc>
          <w:tcPr>
            <w:tcW w:w="1026" w:type="dxa"/>
          </w:tcPr>
          <w:p>
            <w:pPr>
              <w:pStyle w:val="0"/>
              <w:jc w:val="center"/>
            </w:pPr>
            <w:r>
              <w:rPr>
                <w:sz w:val="20"/>
              </w:rPr>
              <w:t xml:space="preserve">155795</w:t>
            </w:r>
          </w:p>
        </w:tc>
        <w:tc>
          <w:tcPr>
            <w:tcW w:w="1084" w:type="dxa"/>
          </w:tcPr>
          <w:p>
            <w:pPr>
              <w:pStyle w:val="0"/>
              <w:jc w:val="center"/>
            </w:pPr>
            <w:r>
              <w:rPr>
                <w:sz w:val="20"/>
              </w:rPr>
              <w:t xml:space="preserve">61,1</w:t>
            </w:r>
          </w:p>
        </w:tc>
        <w:tc>
          <w:tcPr>
            <w:tcW w:w="1417" w:type="dxa"/>
          </w:tcPr>
          <w:p>
            <w:pPr>
              <w:pStyle w:val="0"/>
              <w:jc w:val="center"/>
            </w:pPr>
            <w:r>
              <w:rPr>
                <w:sz w:val="20"/>
              </w:rPr>
              <w:t xml:space="preserve">2549,8</w:t>
            </w:r>
          </w:p>
        </w:tc>
      </w:tr>
      <w:tr>
        <w:tc>
          <w:tcPr>
            <w:tcBorders>
              <w:top w:val="nil"/>
              <w:left w:val="nil"/>
              <w:bottom w:val="nil"/>
              <w:right w:val="nil"/>
            </w:tcBorders>
            <w:vMerge w:val="continue"/>
          </w:tcPr>
          <w:p/>
        </w:tc>
        <w:tc>
          <w:tcPr>
            <w:tcW w:w="567" w:type="dxa"/>
          </w:tcPr>
          <w:p>
            <w:pPr>
              <w:pStyle w:val="0"/>
              <w:jc w:val="both"/>
            </w:pPr>
            <w:r>
              <w:rPr>
                <w:sz w:val="20"/>
              </w:rPr>
              <w:t xml:space="preserve">3</w:t>
            </w:r>
          </w:p>
        </w:tc>
        <w:tc>
          <w:tcPr>
            <w:tcW w:w="1519" w:type="dxa"/>
          </w:tcPr>
          <w:p>
            <w:pPr>
              <w:pStyle w:val="0"/>
              <w:jc w:val="both"/>
            </w:pPr>
            <w:r>
              <w:rPr>
                <w:sz w:val="20"/>
              </w:rPr>
              <w:t xml:space="preserve">Нахимовский район</w:t>
            </w:r>
          </w:p>
        </w:tc>
        <w:tc>
          <w:tcPr>
            <w:tcW w:w="1026" w:type="dxa"/>
          </w:tcPr>
          <w:p>
            <w:pPr>
              <w:pStyle w:val="0"/>
              <w:jc w:val="center"/>
            </w:pPr>
            <w:r>
              <w:rPr>
                <w:sz w:val="20"/>
              </w:rPr>
              <w:t xml:space="preserve">118730</w:t>
            </w:r>
          </w:p>
        </w:tc>
        <w:tc>
          <w:tcPr>
            <w:tcW w:w="1084" w:type="dxa"/>
          </w:tcPr>
          <w:p>
            <w:pPr>
              <w:pStyle w:val="0"/>
              <w:jc w:val="center"/>
            </w:pPr>
            <w:r>
              <w:rPr>
                <w:sz w:val="20"/>
              </w:rPr>
              <w:t xml:space="preserve">267,7</w:t>
            </w:r>
          </w:p>
        </w:tc>
        <w:tc>
          <w:tcPr>
            <w:tcW w:w="1417" w:type="dxa"/>
          </w:tcPr>
          <w:p>
            <w:pPr>
              <w:pStyle w:val="0"/>
              <w:jc w:val="center"/>
            </w:pPr>
            <w:r>
              <w:rPr>
                <w:sz w:val="20"/>
              </w:rPr>
              <w:t xml:space="preserve">443,5</w:t>
            </w:r>
          </w:p>
        </w:tc>
      </w:tr>
      <w:tr>
        <w:tc>
          <w:tcPr>
            <w:tcBorders>
              <w:top w:val="nil"/>
              <w:left w:val="nil"/>
              <w:bottom w:val="nil"/>
              <w:right w:val="nil"/>
            </w:tcBorders>
            <w:vMerge w:val="continue"/>
          </w:tcPr>
          <w:p/>
        </w:tc>
        <w:tc>
          <w:tcPr>
            <w:tcW w:w="567" w:type="dxa"/>
          </w:tcPr>
          <w:p>
            <w:pPr>
              <w:pStyle w:val="0"/>
              <w:jc w:val="both"/>
            </w:pPr>
            <w:r>
              <w:rPr>
                <w:sz w:val="20"/>
              </w:rPr>
              <w:t xml:space="preserve">4</w:t>
            </w:r>
          </w:p>
        </w:tc>
        <w:tc>
          <w:tcPr>
            <w:tcW w:w="1519" w:type="dxa"/>
          </w:tcPr>
          <w:p>
            <w:pPr>
              <w:pStyle w:val="0"/>
              <w:jc w:val="both"/>
            </w:pPr>
            <w:r>
              <w:rPr>
                <w:sz w:val="20"/>
              </w:rPr>
              <w:t xml:space="preserve">Балаклавский район</w:t>
            </w:r>
          </w:p>
        </w:tc>
        <w:tc>
          <w:tcPr>
            <w:tcW w:w="1026" w:type="dxa"/>
          </w:tcPr>
          <w:p>
            <w:pPr>
              <w:pStyle w:val="0"/>
              <w:jc w:val="center"/>
            </w:pPr>
            <w:r>
              <w:rPr>
                <w:sz w:val="20"/>
              </w:rPr>
              <w:t xml:space="preserve">51257</w:t>
            </w:r>
          </w:p>
        </w:tc>
        <w:tc>
          <w:tcPr>
            <w:tcW w:w="1084" w:type="dxa"/>
          </w:tcPr>
          <w:p>
            <w:pPr>
              <w:pStyle w:val="0"/>
              <w:jc w:val="center"/>
            </w:pPr>
            <w:r>
              <w:rPr>
                <w:sz w:val="20"/>
              </w:rPr>
              <w:t xml:space="preserve">530,3</w:t>
            </w:r>
          </w:p>
        </w:tc>
        <w:tc>
          <w:tcPr>
            <w:tcW w:w="1417" w:type="dxa"/>
          </w:tcPr>
          <w:p>
            <w:pPr>
              <w:pStyle w:val="0"/>
              <w:jc w:val="center"/>
            </w:pPr>
            <w:r>
              <w:rPr>
                <w:sz w:val="20"/>
              </w:rPr>
              <w:t xml:space="preserve">96,7</w:t>
            </w:r>
          </w:p>
        </w:tc>
      </w:tr>
      <w:tr>
        <w:tc>
          <w:tcPr>
            <w:tcBorders>
              <w:top w:val="nil"/>
              <w:left w:val="nil"/>
              <w:bottom w:val="nil"/>
              <w:right w:val="nil"/>
            </w:tcBorders>
            <w:vMerge w:val="continue"/>
          </w:tcPr>
          <w:p/>
        </w:tc>
        <w:tc>
          <w:tcPr>
            <w:tcW w:w="567" w:type="dxa"/>
          </w:tcPr>
          <w:p>
            <w:pPr>
              <w:pStyle w:val="0"/>
              <w:jc w:val="both"/>
            </w:pPr>
            <w:r>
              <w:rPr>
                <w:sz w:val="20"/>
              </w:rPr>
            </w:r>
          </w:p>
        </w:tc>
        <w:tc>
          <w:tcPr>
            <w:tcW w:w="1519" w:type="dxa"/>
          </w:tcPr>
          <w:p>
            <w:pPr>
              <w:pStyle w:val="0"/>
              <w:jc w:val="both"/>
            </w:pPr>
            <w:r>
              <w:rPr>
                <w:sz w:val="20"/>
              </w:rPr>
              <w:t xml:space="preserve">Всего</w:t>
            </w:r>
          </w:p>
        </w:tc>
        <w:tc>
          <w:tcPr>
            <w:tcW w:w="1026" w:type="dxa"/>
          </w:tcPr>
          <w:p>
            <w:pPr>
              <w:pStyle w:val="0"/>
              <w:jc w:val="center"/>
            </w:pPr>
            <w:r>
              <w:rPr>
                <w:sz w:val="20"/>
              </w:rPr>
              <w:t xml:space="preserve">443212</w:t>
            </w:r>
          </w:p>
        </w:tc>
        <w:tc>
          <w:tcPr>
            <w:tcW w:w="1084" w:type="dxa"/>
          </w:tcPr>
          <w:p>
            <w:pPr>
              <w:pStyle w:val="0"/>
              <w:jc w:val="center"/>
            </w:pPr>
            <w:r>
              <w:rPr>
                <w:sz w:val="20"/>
              </w:rPr>
              <w:t xml:space="preserve">885,1</w:t>
            </w:r>
          </w:p>
        </w:tc>
        <w:tc>
          <w:tcPr>
            <w:tcW w:w="1417" w:type="dxa"/>
          </w:tcPr>
          <w:p>
            <w:pPr>
              <w:pStyle w:val="0"/>
              <w:jc w:val="center"/>
            </w:pPr>
            <w:r>
              <w:rPr>
                <w:sz w:val="20"/>
              </w:rPr>
              <w:t xml:space="preserve">500,7</w:t>
            </w:r>
          </w:p>
        </w:tc>
      </w:tr>
      <w:tr>
        <w:tblPrEx>
          <w:tblBorders>
            <w:right w:val="nil"/>
            <w:insideV w:val="nil"/>
            <w:insideH w:val="nil"/>
          </w:tblBorders>
        </w:tblPrEx>
        <w:tc>
          <w:tcPr>
            <w:tcBorders>
              <w:top w:val="nil"/>
              <w:bottom w:val="nil"/>
            </w:tcBorders>
            <w:vMerge w:val="continue"/>
          </w:tcPr>
          <w:p/>
        </w:tc>
        <w:tc>
          <w:tcPr>
            <w:gridSpan w:val="5"/>
            <w:tcW w:w="5613" w:type="dxa"/>
            <w:tcBorders>
              <w:bottom w:val="nil"/>
            </w:tcBorders>
          </w:tcPr>
          <w:p>
            <w:pPr>
              <w:pStyle w:val="0"/>
              <w:jc w:val="both"/>
            </w:pPr>
            <w:r>
              <w:rPr>
                <w:sz w:val="20"/>
              </w:rPr>
            </w:r>
          </w:p>
        </w:tc>
      </w:tr>
      <w:tr>
        <w:tblPrEx>
          <w:tblBorders>
            <w:right w:val="nil"/>
            <w:insideV w:val="nil"/>
            <w:insideH w:val="nil"/>
          </w:tblBorders>
        </w:tblPrEx>
        <w:tc>
          <w:tcPr>
            <w:tcBorders>
              <w:top w:val="nil"/>
              <w:bottom w:val="nil"/>
            </w:tcBorders>
            <w:vMerge w:val="continue"/>
          </w:tcPr>
          <w:p/>
        </w:tc>
        <w:tc>
          <w:tcPr>
            <w:gridSpan w:val="5"/>
            <w:tcW w:w="5613" w:type="dxa"/>
            <w:tcBorders>
              <w:top w:val="nil"/>
              <w:bottom w:val="nil"/>
            </w:tcBorders>
          </w:tcPr>
          <w:p>
            <w:pPr>
              <w:pStyle w:val="0"/>
              <w:jc w:val="both"/>
            </w:pPr>
            <w:r>
              <w:rPr>
                <w:sz w:val="20"/>
              </w:rPr>
            </w:r>
          </w:p>
        </w:tc>
      </w:tr>
      <w:tr>
        <w:tblPrEx>
          <w:tblBorders>
            <w:right w:val="nil"/>
            <w:insideV w:val="nil"/>
            <w:insideH w:val="nil"/>
          </w:tblBorders>
        </w:tblPrEx>
        <w:tc>
          <w:tcPr>
            <w:tcBorders>
              <w:top w:val="nil"/>
              <w:bottom w:val="nil"/>
            </w:tcBorders>
            <w:vMerge w:val="continue"/>
          </w:tcPr>
          <w:p/>
        </w:tc>
        <w:tc>
          <w:tcPr>
            <w:gridSpan w:val="5"/>
            <w:tcW w:w="5613" w:type="dxa"/>
            <w:tcBorders>
              <w:top w:val="nil"/>
              <w:bottom w:val="nil"/>
            </w:tcBorders>
          </w:tcPr>
          <w:p>
            <w:pPr>
              <w:pStyle w:val="0"/>
              <w:jc w:val="both"/>
            </w:pPr>
            <w:r>
              <w:rPr>
                <w:sz w:val="20"/>
              </w:rPr>
            </w:r>
          </w:p>
        </w:tc>
      </w:tr>
      <w:tr>
        <w:tblPrEx>
          <w:tblBorders>
            <w:right w:val="nil"/>
            <w:insideV w:val="nil"/>
            <w:insideH w:val="nil"/>
          </w:tblBorders>
        </w:tblPrEx>
        <w:tc>
          <w:tcPr>
            <w:tcW w:w="5499" w:type="dxa"/>
            <w:tcBorders>
              <w:top w:val="nil"/>
              <w:bottom w:val="nil"/>
            </w:tcBorders>
          </w:tcPr>
          <w:p>
            <w:pPr>
              <w:pStyle w:val="0"/>
              <w:jc w:val="both"/>
            </w:pPr>
            <w:r>
              <w:rPr>
                <w:position w:val="-42"/>
              </w:rPr>
              <w:drawing>
                <wp:inline distT="0" distB="0" distL="0" distR="0">
                  <wp:extent cx="3236595" cy="670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a:extLst>
                              <a:ext uri="{28A0092B-C50C-407E-A947-70E740481C1C}">
                                <a14:useLocalDpi xmlns:a14="http://schemas.microsoft.com/office/drawing/2010/main" val="0"/>
                              </a:ext>
                            </a:extLst>
                          </a:blip>
                          <a:srcRect/>
                          <a:stretch>
                            <a:fillRect/>
                          </a:stretch>
                        </pic:blipFill>
                        <pic:spPr bwMode="auto">
                          <a:xfrm>
                            <a:off x="0" y="0"/>
                            <a:ext cx="3236595" cy="670560"/>
                          </a:xfrm>
                          <a:prstGeom prst="rect">
                            <a:avLst/>
                          </a:prstGeom>
                          <a:noFill/>
                          <a:ln>
                            <a:noFill/>
                          </a:ln>
                        </pic:spPr>
                      </pic:pic>
                    </a:graphicData>
                  </a:graphic>
                </wp:inline>
              </w:drawing>
            </w:r>
          </w:p>
        </w:tc>
        <w:tc>
          <w:tcPr>
            <w:gridSpan w:val="5"/>
            <w:tcW w:w="5613" w:type="dxa"/>
            <w:tcBorders>
              <w:top w:val="nil"/>
              <w:bottom w:val="nil"/>
            </w:tcBorders>
          </w:tcPr>
          <w:p>
            <w:pPr>
              <w:pStyle w:val="0"/>
              <w:jc w:val="both"/>
            </w:pPr>
            <w:r>
              <w:rPr>
                <w:sz w:val="20"/>
              </w:rPr>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2"/>
        <w:outlineLvl w:val="3"/>
        <w:jc w:val="center"/>
      </w:pPr>
      <w:r>
        <w:rPr>
          <w:sz w:val="20"/>
        </w:rPr>
        <w:t xml:space="preserve">Население города Севастополя</w:t>
      </w:r>
    </w:p>
    <w:p>
      <w:pPr>
        <w:pStyle w:val="0"/>
      </w:pPr>
      <w:r>
        <w:rPr>
          <w:sz w:val="20"/>
        </w:rPr>
      </w:r>
    </w:p>
    <w:p>
      <w:pPr>
        <w:pStyle w:val="0"/>
        <w:ind w:firstLine="540"/>
        <w:jc w:val="both"/>
      </w:pPr>
      <w:r>
        <w:rPr>
          <w:sz w:val="20"/>
        </w:rPr>
        <w:t xml:space="preserve">С 2014 года в городе Севастополе численность населения увеличилась на 11,1%. Структура взрослого и детского населения изменилась незначительно. С 2014 года доля взрослого населения снизилась на 2% и на конец 2018 года составила 81,2%.</w:t>
      </w:r>
    </w:p>
    <w:p>
      <w:pPr>
        <w:pStyle w:val="0"/>
      </w:pPr>
      <w:r>
        <w:rPr>
          <w:sz w:val="20"/>
        </w:rPr>
      </w:r>
    </w:p>
    <w:p>
      <w:pPr>
        <w:pStyle w:val="0"/>
        <w:jc w:val="center"/>
      </w:pPr>
      <w:r>
        <w:rPr>
          <w:sz w:val="20"/>
        </w:rPr>
        <w:t xml:space="preserve">Рисунок 1. Динамика численности населения в разрезе</w:t>
      </w:r>
    </w:p>
    <w:p>
      <w:pPr>
        <w:pStyle w:val="0"/>
        <w:jc w:val="center"/>
      </w:pPr>
      <w:r>
        <w:rPr>
          <w:sz w:val="20"/>
        </w:rPr>
        <w:t xml:space="preserve">возрастных групп, 2014 - 2018 годах, чел.</w:t>
      </w:r>
    </w:p>
    <w:p>
      <w:pPr>
        <w:pStyle w:val="0"/>
        <w:jc w:val="center"/>
      </w:pPr>
      <w:r>
        <w:rPr>
          <w:sz w:val="20"/>
        </w:rPr>
      </w:r>
    </w:p>
    <w:p>
      <w:pPr>
        <w:pStyle w:val="0"/>
        <w:jc w:val="center"/>
      </w:pPr>
      <w:r>
        <w:rPr>
          <w:position w:val="-88"/>
        </w:rPr>
        <w:drawing>
          <wp:inline distT="0" distB="0" distL="0" distR="0">
            <wp:extent cx="5041265" cy="1255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a:extLst>
                        <a:ext uri="{28A0092B-C50C-407E-A947-70E740481C1C}">
                          <a14:useLocalDpi xmlns:a14="http://schemas.microsoft.com/office/drawing/2010/main" val="0"/>
                        </a:ext>
                      </a:extLst>
                    </a:blip>
                    <a:srcRect/>
                    <a:stretch>
                      <a:fillRect/>
                    </a:stretch>
                  </pic:blipFill>
                  <pic:spPr bwMode="auto">
                    <a:xfrm>
                      <a:off x="0" y="0"/>
                      <a:ext cx="5041265" cy="1255395"/>
                    </a:xfrm>
                    <a:prstGeom prst="rect">
                      <a:avLst/>
                    </a:prstGeom>
                    <a:noFill/>
                    <a:ln>
                      <a:noFill/>
                    </a:ln>
                  </pic:spPr>
                </pic:pic>
              </a:graphicData>
            </a:graphic>
          </wp:inline>
        </w:drawing>
      </w:r>
    </w:p>
    <w:p>
      <w:pPr>
        <w:pStyle w:val="0"/>
      </w:pPr>
      <w:r>
        <w:rPr>
          <w:sz w:val="20"/>
        </w:rPr>
      </w:r>
    </w:p>
    <w:p>
      <w:pPr>
        <w:pStyle w:val="0"/>
        <w:ind w:firstLine="540"/>
        <w:jc w:val="both"/>
      </w:pPr>
      <w:r>
        <w:rPr>
          <w:sz w:val="20"/>
        </w:rPr>
        <w:t xml:space="preserve">Доля населения старше трудоспособного возраста в общей численности населения с 2014 по 2018 год снизилась незначительно (-0,3%) и по состоянию на конец 2018 года составила 27,2%. Данной категории населения требуется уделить особое внимание, так как она включает большинство потенциальных пациентов, нуждающихся в оказании ПМП.</w:t>
      </w:r>
    </w:p>
    <w:p>
      <w:pPr>
        <w:pStyle w:val="0"/>
      </w:pPr>
      <w:r>
        <w:rPr>
          <w:sz w:val="20"/>
        </w:rPr>
      </w:r>
    </w:p>
    <w:p>
      <w:pPr>
        <w:pStyle w:val="0"/>
        <w:jc w:val="center"/>
      </w:pPr>
      <w:r>
        <w:rPr>
          <w:sz w:val="20"/>
        </w:rPr>
        <w:t xml:space="preserve">Рисунок 2. Динамика численности населения в категории</w:t>
      </w:r>
    </w:p>
    <w:p>
      <w:pPr>
        <w:pStyle w:val="0"/>
        <w:jc w:val="center"/>
      </w:pPr>
      <w:r>
        <w:rPr>
          <w:sz w:val="20"/>
        </w:rPr>
        <w:t xml:space="preserve">трудоспособности, 2014 - 2018 годах, чел.</w:t>
      </w:r>
    </w:p>
    <w:p>
      <w:pPr>
        <w:pStyle w:val="0"/>
        <w:jc w:val="center"/>
      </w:pPr>
      <w:r>
        <w:rPr>
          <w:sz w:val="20"/>
        </w:rPr>
      </w:r>
    </w:p>
    <w:p>
      <w:pPr>
        <w:pStyle w:val="0"/>
        <w:jc w:val="center"/>
      </w:pPr>
      <w:r>
        <w:rPr>
          <w:position w:val="-112"/>
        </w:rPr>
        <w:drawing>
          <wp:inline distT="0" distB="0" distL="0" distR="0">
            <wp:extent cx="4321810" cy="155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a:extLst>
                        <a:ext uri="{28A0092B-C50C-407E-A947-70E740481C1C}">
                          <a14:useLocalDpi xmlns:a14="http://schemas.microsoft.com/office/drawing/2010/main" val="0"/>
                        </a:ext>
                      </a:extLst>
                    </a:blip>
                    <a:srcRect/>
                    <a:stretch>
                      <a:fillRect/>
                    </a:stretch>
                  </pic:blipFill>
                  <pic:spPr bwMode="auto">
                    <a:xfrm>
                      <a:off x="0" y="0"/>
                      <a:ext cx="4321810" cy="155448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В городе Севастополе численность городского населения существенно преобладает над сельским населением. С 2014 года доля городского населения остается неизменной и на конец 2018 года составляет 93,1% от общей численности, доля сельского населения - 6,9% от общей численности.</w:t>
      </w:r>
    </w:p>
    <w:p>
      <w:pPr>
        <w:pStyle w:val="0"/>
      </w:pPr>
      <w:r>
        <w:rPr>
          <w:sz w:val="20"/>
        </w:rPr>
      </w:r>
    </w:p>
    <w:p>
      <w:pPr>
        <w:pStyle w:val="0"/>
        <w:jc w:val="center"/>
      </w:pPr>
      <w:r>
        <w:rPr>
          <w:sz w:val="20"/>
        </w:rPr>
        <w:t xml:space="preserve">Рисунок 3. Динамика численности населения в разрезе</w:t>
      </w:r>
    </w:p>
    <w:p>
      <w:pPr>
        <w:pStyle w:val="0"/>
        <w:jc w:val="center"/>
      </w:pPr>
      <w:r>
        <w:rPr>
          <w:sz w:val="20"/>
        </w:rPr>
        <w:t xml:space="preserve">городского и сельского населения, 2014 - 2018 годах, чел.</w:t>
      </w:r>
    </w:p>
    <w:p>
      <w:pPr>
        <w:pStyle w:val="0"/>
        <w:jc w:val="center"/>
      </w:pPr>
      <w:r>
        <w:rPr>
          <w:sz w:val="20"/>
        </w:rPr>
      </w:r>
    </w:p>
    <w:p>
      <w:pPr>
        <w:pStyle w:val="0"/>
        <w:jc w:val="center"/>
      </w:pPr>
      <w:r>
        <w:rPr>
          <w:position w:val="-59"/>
        </w:rPr>
        <w:drawing>
          <wp:inline distT="0" distB="0" distL="0" distR="0">
            <wp:extent cx="4321810" cy="883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a:extLst>
                        <a:ext uri="{28A0092B-C50C-407E-A947-70E740481C1C}">
                          <a14:useLocalDpi xmlns:a14="http://schemas.microsoft.com/office/drawing/2010/main" val="0"/>
                        </a:ext>
                      </a:extLst>
                    </a:blip>
                    <a:srcRect/>
                    <a:stretch>
                      <a:fillRect/>
                    </a:stretch>
                  </pic:blipFill>
                  <pic:spPr bwMode="auto">
                    <a:xfrm>
                      <a:off x="0" y="0"/>
                      <a:ext cx="4321810" cy="88392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Исходя из структуры населения города Севастополя, высокой транспортной доступности, а также ограниченного уровня финансовых возможностей региона первые шаги по развитию паллиативной медицинской помощи, включая мероприятия по развитию отделений выездной патронажной ПМП, в рамках настоящей Программы будут реализованы на базе существующей медицинской инфраструктуры, в которой на момент утверждения Программы оказывается ПМП.</w:t>
      </w:r>
    </w:p>
    <w:p>
      <w:pPr>
        <w:pStyle w:val="0"/>
      </w:pPr>
      <w:r>
        <w:rPr>
          <w:sz w:val="20"/>
        </w:rPr>
      </w:r>
    </w:p>
    <w:p>
      <w:pPr>
        <w:pStyle w:val="2"/>
        <w:outlineLvl w:val="3"/>
        <w:jc w:val="center"/>
      </w:pPr>
      <w:r>
        <w:rPr>
          <w:sz w:val="20"/>
        </w:rPr>
        <w:t xml:space="preserve">Показатели рождаемости и смертности в городе Севастополе</w:t>
      </w:r>
    </w:p>
    <w:p>
      <w:pPr>
        <w:pStyle w:val="0"/>
        <w:jc w:val="center"/>
      </w:pPr>
      <w:r>
        <w:rPr>
          <w:sz w:val="20"/>
        </w:rPr>
      </w:r>
    </w:p>
    <w:p>
      <w:pPr>
        <w:pStyle w:val="0"/>
        <w:ind w:firstLine="540"/>
        <w:jc w:val="both"/>
      </w:pPr>
      <w:r>
        <w:rPr>
          <w:sz w:val="20"/>
        </w:rPr>
        <w:t xml:space="preserve">На протяжении последних пяти лет в городе Севастополе стабильно растет показатель естественной убыли населения. Так, в 2018 году естественная убыль населения составила 1139 человек, что на 73,6% больше аналогичного показателя в 2014 году.</w:t>
      </w:r>
    </w:p>
    <w:p>
      <w:pPr>
        <w:pStyle w:val="0"/>
      </w:pPr>
      <w:r>
        <w:rPr>
          <w:sz w:val="20"/>
        </w:rPr>
      </w:r>
    </w:p>
    <w:p>
      <w:pPr>
        <w:pStyle w:val="0"/>
        <w:jc w:val="center"/>
      </w:pPr>
      <w:r>
        <w:rPr>
          <w:sz w:val="20"/>
        </w:rPr>
        <w:t xml:space="preserve">Рисунок 4. Динамика рождаемости и смертности, чел.,</w:t>
      </w:r>
    </w:p>
    <w:p>
      <w:pPr>
        <w:pStyle w:val="0"/>
        <w:jc w:val="center"/>
      </w:pPr>
      <w:r>
        <w:rPr>
          <w:sz w:val="20"/>
        </w:rPr>
        <w:t xml:space="preserve">2014 - 2018 годы</w:t>
      </w:r>
    </w:p>
    <w:p>
      <w:pPr>
        <w:pStyle w:val="0"/>
        <w:jc w:val="center"/>
      </w:pPr>
      <w:r>
        <w:rPr>
          <w:sz w:val="20"/>
        </w:rPr>
      </w:r>
    </w:p>
    <w:p>
      <w:pPr>
        <w:pStyle w:val="0"/>
        <w:jc w:val="center"/>
      </w:pPr>
      <w:r>
        <w:rPr>
          <w:position w:val="-99"/>
        </w:rPr>
        <w:drawing>
          <wp:inline distT="0" distB="0" distL="0" distR="0">
            <wp:extent cx="4321810" cy="1390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a:extLst>
                        <a:ext uri="{28A0092B-C50C-407E-A947-70E740481C1C}">
                          <a14:useLocalDpi xmlns:a14="http://schemas.microsoft.com/office/drawing/2010/main" val="0"/>
                        </a:ext>
                      </a:extLst>
                    </a:blip>
                    <a:srcRect/>
                    <a:stretch>
                      <a:fillRect/>
                    </a:stretch>
                  </pic:blipFill>
                  <pic:spPr bwMode="auto">
                    <a:xfrm>
                      <a:off x="0" y="0"/>
                      <a:ext cx="4321810" cy="139001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За последние пять лет показатель смертности в городе Севастополе стабильно превышает аналогичный показатель по Российской Федерации, показатель рождаемости за период с 2016 - 2018 годов ниже показателя рождаемости по Российской Федерации.</w:t>
      </w:r>
    </w:p>
    <w:p>
      <w:pPr>
        <w:pStyle w:val="0"/>
      </w:pPr>
      <w:r>
        <w:rPr>
          <w:sz w:val="20"/>
        </w:rPr>
      </w:r>
    </w:p>
    <w:p>
      <w:pPr>
        <w:pStyle w:val="0"/>
        <w:jc w:val="center"/>
      </w:pPr>
      <w:r>
        <w:rPr>
          <w:sz w:val="20"/>
        </w:rPr>
        <w:t xml:space="preserve">Рисунок 5. Динамика рождаемости и смертности,</w:t>
      </w:r>
    </w:p>
    <w:p>
      <w:pPr>
        <w:pStyle w:val="0"/>
        <w:jc w:val="center"/>
      </w:pPr>
      <w:r>
        <w:rPr>
          <w:sz w:val="20"/>
        </w:rPr>
        <w:t xml:space="preserve">на 1000 населения</w:t>
      </w:r>
    </w:p>
    <w:p>
      <w:pPr>
        <w:pStyle w:val="0"/>
        <w:jc w:val="center"/>
      </w:pPr>
      <w:r>
        <w:rPr>
          <w:sz w:val="20"/>
        </w:rPr>
      </w:r>
    </w:p>
    <w:p>
      <w:pPr>
        <w:pStyle w:val="0"/>
        <w:jc w:val="center"/>
      </w:pPr>
      <w:r>
        <w:rPr>
          <w:position w:val="-102"/>
        </w:rPr>
        <w:drawing>
          <wp:inline distT="0" distB="0" distL="0" distR="0">
            <wp:extent cx="4321810" cy="142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a:extLst>
                        <a:ext uri="{28A0092B-C50C-407E-A947-70E740481C1C}">
                          <a14:useLocalDpi xmlns:a14="http://schemas.microsoft.com/office/drawing/2010/main" val="0"/>
                        </a:ext>
                      </a:extLst>
                    </a:blip>
                    <a:srcRect/>
                    <a:stretch>
                      <a:fillRect/>
                    </a:stretch>
                  </pic:blipFill>
                  <pic:spPr bwMode="auto">
                    <a:xfrm>
                      <a:off x="0" y="0"/>
                      <a:ext cx="4321810" cy="142621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Общая смертность в городе Севастополе увеличилась на 1,7% по сравнению с 2014 годом и в 2018 году составила 5633 человека. Показатель смертности среди взрослого населения за последние пять лет увеличился на 2,1%, среди детей сократился на 46,1%.</w:t>
      </w:r>
    </w:p>
    <w:p>
      <w:pPr>
        <w:pStyle w:val="0"/>
      </w:pPr>
      <w:r>
        <w:rPr>
          <w:sz w:val="20"/>
        </w:rPr>
      </w:r>
    </w:p>
    <w:p>
      <w:pPr>
        <w:pStyle w:val="0"/>
        <w:jc w:val="center"/>
      </w:pPr>
      <w:r>
        <w:rPr>
          <w:sz w:val="20"/>
        </w:rPr>
        <w:t xml:space="preserve">Рисунок 6. Смертность населения по возрастным группам, чел.,</w:t>
      </w:r>
    </w:p>
    <w:p>
      <w:pPr>
        <w:pStyle w:val="0"/>
        <w:jc w:val="center"/>
      </w:pPr>
      <w:r>
        <w:rPr>
          <w:sz w:val="20"/>
        </w:rPr>
        <w:t xml:space="preserve">2014 - 2018 годы</w:t>
      </w:r>
    </w:p>
    <w:p>
      <w:pPr>
        <w:pStyle w:val="0"/>
        <w:jc w:val="center"/>
      </w:pPr>
      <w:r>
        <w:rPr>
          <w:sz w:val="20"/>
        </w:rPr>
      </w:r>
    </w:p>
    <w:p>
      <w:pPr>
        <w:pStyle w:val="0"/>
        <w:jc w:val="center"/>
      </w:pPr>
      <w:r>
        <w:rPr>
          <w:position w:val="-107"/>
        </w:rPr>
        <w:drawing>
          <wp:inline distT="0" distB="0" distL="0" distR="0">
            <wp:extent cx="4321810" cy="1487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a:extLst>
                        <a:ext uri="{28A0092B-C50C-407E-A947-70E740481C1C}">
                          <a14:useLocalDpi xmlns:a14="http://schemas.microsoft.com/office/drawing/2010/main" val="0"/>
                        </a:ext>
                      </a:extLst>
                    </a:blip>
                    <a:srcRect/>
                    <a:stretch>
                      <a:fillRect/>
                    </a:stretch>
                  </pic:blipFill>
                  <pic:spPr bwMode="auto">
                    <a:xfrm>
                      <a:off x="0" y="0"/>
                      <a:ext cx="4321810" cy="148717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При расчете целевых показателей эффективности реализации Программы, текущую демографическую ситуацию в городе Севастополе можно принять как условно постоянную.</w:t>
      </w:r>
    </w:p>
    <w:p>
      <w:pPr>
        <w:pStyle w:val="0"/>
      </w:pPr>
      <w:r>
        <w:rPr>
          <w:sz w:val="20"/>
        </w:rPr>
      </w:r>
    </w:p>
    <w:p>
      <w:pPr>
        <w:pStyle w:val="2"/>
        <w:outlineLvl w:val="2"/>
        <w:jc w:val="center"/>
      </w:pPr>
      <w:r>
        <w:rPr>
          <w:sz w:val="20"/>
        </w:rPr>
        <w:t xml:space="preserve">Инфраструктура медицинских организаций государственной</w:t>
      </w:r>
    </w:p>
    <w:p>
      <w:pPr>
        <w:pStyle w:val="2"/>
        <w:jc w:val="center"/>
      </w:pPr>
      <w:r>
        <w:rPr>
          <w:sz w:val="20"/>
        </w:rPr>
        <w:t xml:space="preserve">системы здравоохранения в городе Севастополе</w:t>
      </w:r>
    </w:p>
    <w:p>
      <w:pPr>
        <w:pStyle w:val="0"/>
        <w:jc w:val="center"/>
      </w:pPr>
      <w:r>
        <w:rPr>
          <w:sz w:val="20"/>
        </w:rPr>
      </w:r>
    </w:p>
    <w:p>
      <w:pPr>
        <w:pStyle w:val="2"/>
        <w:outlineLvl w:val="3"/>
        <w:jc w:val="center"/>
      </w:pPr>
      <w:r>
        <w:rPr>
          <w:sz w:val="20"/>
        </w:rPr>
        <w:t xml:space="preserve">Общая информация</w:t>
      </w:r>
    </w:p>
    <w:p>
      <w:pPr>
        <w:pStyle w:val="0"/>
      </w:pPr>
      <w:r>
        <w:rPr>
          <w:sz w:val="20"/>
        </w:rPr>
      </w:r>
    </w:p>
    <w:p>
      <w:pPr>
        <w:pStyle w:val="0"/>
        <w:ind w:firstLine="540"/>
        <w:jc w:val="both"/>
      </w:pPr>
      <w:r>
        <w:rPr>
          <w:sz w:val="20"/>
        </w:rPr>
        <w:t xml:space="preserve">На момент утверждения Программы на территории города Севастополя функционирует:</w:t>
      </w:r>
    </w:p>
    <w:p>
      <w:pPr>
        <w:pStyle w:val="0"/>
        <w:spacing w:before="200" w:line-rule="auto"/>
        <w:ind w:firstLine="540"/>
        <w:jc w:val="both"/>
      </w:pPr>
      <w:r>
        <w:rPr>
          <w:sz w:val="20"/>
        </w:rPr>
        <w:t xml:space="preserve">- 5 медицинских организаций, оказывающих первичную медико-санитарную помощь детям и взрослым;</w:t>
      </w:r>
    </w:p>
    <w:p>
      <w:pPr>
        <w:pStyle w:val="0"/>
        <w:spacing w:before="200" w:line-rule="auto"/>
        <w:ind w:firstLine="540"/>
        <w:jc w:val="both"/>
      </w:pPr>
      <w:r>
        <w:rPr>
          <w:sz w:val="20"/>
        </w:rPr>
        <w:t xml:space="preserve">- 10 медицинских организаций, оказывающих медицинскую помощь в стационарных условиях детям и взрослым;</w:t>
      </w:r>
    </w:p>
    <w:p>
      <w:pPr>
        <w:pStyle w:val="0"/>
        <w:spacing w:before="200" w:line-rule="auto"/>
        <w:ind w:firstLine="540"/>
        <w:jc w:val="both"/>
      </w:pPr>
      <w:r>
        <w:rPr>
          <w:sz w:val="20"/>
        </w:rPr>
        <w:t xml:space="preserve">- 12 фельдшерско-акушерских пунктов (далее - ФАП);</w:t>
      </w:r>
    </w:p>
    <w:p>
      <w:pPr>
        <w:pStyle w:val="0"/>
        <w:spacing w:before="200" w:line-rule="auto"/>
        <w:ind w:firstLine="540"/>
        <w:jc w:val="both"/>
      </w:pPr>
      <w:r>
        <w:rPr>
          <w:sz w:val="20"/>
        </w:rPr>
        <w:t xml:space="preserve">- 8 врачебных амбулаторий.</w:t>
      </w:r>
    </w:p>
    <w:p>
      <w:pPr>
        <w:pStyle w:val="0"/>
      </w:pPr>
      <w:r>
        <w:rPr>
          <w:sz w:val="20"/>
        </w:rPr>
      </w:r>
    </w:p>
    <w:p>
      <w:pPr>
        <w:pStyle w:val="2"/>
        <w:outlineLvl w:val="3"/>
        <w:jc w:val="center"/>
      </w:pPr>
      <w:r>
        <w:rPr>
          <w:sz w:val="20"/>
        </w:rPr>
        <w:t xml:space="preserve">Медицинские организации, оказывающие первичную</w:t>
      </w:r>
    </w:p>
    <w:p>
      <w:pPr>
        <w:pStyle w:val="2"/>
        <w:jc w:val="center"/>
      </w:pPr>
      <w:r>
        <w:rPr>
          <w:sz w:val="20"/>
        </w:rPr>
        <w:t xml:space="preserve">медико-санитарную помощь взрослым и детям</w:t>
      </w:r>
    </w:p>
    <w:p>
      <w:pPr>
        <w:pStyle w:val="0"/>
        <w:jc w:val="center"/>
      </w:pPr>
      <w:r>
        <w:rPr>
          <w:sz w:val="20"/>
        </w:rPr>
      </w:r>
    </w:p>
    <w:p>
      <w:pPr>
        <w:pStyle w:val="0"/>
        <w:ind w:firstLine="540"/>
        <w:jc w:val="both"/>
      </w:pPr>
      <w:r>
        <w:rPr>
          <w:sz w:val="20"/>
        </w:rPr>
        <w:t xml:space="preserve">Всего в городе Севастополе функционирует 5 медицинских организаций, оказывающих первичную медико-санитарную помощь взрослым и детям.</w:t>
      </w:r>
    </w:p>
    <w:p>
      <w:pPr>
        <w:pStyle w:val="0"/>
        <w:jc w:val="center"/>
      </w:pPr>
      <w:r>
        <w:rPr>
          <w:sz w:val="20"/>
        </w:rPr>
      </w:r>
    </w:p>
    <w:p>
      <w:pPr>
        <w:pStyle w:val="2"/>
        <w:outlineLvl w:val="3"/>
        <w:jc w:val="center"/>
      </w:pPr>
      <w:r>
        <w:rPr>
          <w:sz w:val="20"/>
        </w:rPr>
        <w:t xml:space="preserve">Фельдшерско-акушерские пункты и амбулатории</w:t>
      </w:r>
    </w:p>
    <w:p>
      <w:pPr>
        <w:pStyle w:val="0"/>
      </w:pPr>
      <w:r>
        <w:rPr>
          <w:sz w:val="20"/>
        </w:rPr>
      </w:r>
    </w:p>
    <w:p>
      <w:pPr>
        <w:pStyle w:val="0"/>
        <w:ind w:firstLine="540"/>
        <w:jc w:val="both"/>
      </w:pPr>
      <w:r>
        <w:rPr>
          <w:sz w:val="20"/>
        </w:rPr>
        <w:t xml:space="preserve">Всего в городе Севастополе функционирует 12 фельдшерско-акушерских пунктов с обслуживаемым населением 9409 человек, что составляет 30,7% от сельского населения региона в 2018 году, а также 8 амбулаторий.</w:t>
      </w:r>
    </w:p>
    <w:p>
      <w:pPr>
        <w:pStyle w:val="0"/>
        <w:spacing w:before="200" w:line-rule="auto"/>
        <w:ind w:firstLine="540"/>
        <w:jc w:val="both"/>
      </w:pPr>
      <w:r>
        <w:rPr>
          <w:sz w:val="20"/>
        </w:rPr>
        <w:t xml:space="preserve">В городе Севастополе фельдшерско-акушерские пункты отсутствуют в Гагаринском районе, однако в нем расположена амбулатория.</w:t>
      </w:r>
    </w:p>
    <w:p>
      <w:pPr>
        <w:pStyle w:val="0"/>
        <w:spacing w:before="200" w:line-rule="auto"/>
        <w:ind w:firstLine="540"/>
        <w:jc w:val="both"/>
      </w:pPr>
      <w:r>
        <w:rPr>
          <w:sz w:val="20"/>
        </w:rPr>
        <w:t xml:space="preserve">В двух ФАП отсутствуют физические лица, занимающие ставки: модульные ФАП в с. Широком и ФАП в с. Андреевка.</w:t>
      </w:r>
    </w:p>
    <w:p>
      <w:pPr>
        <w:pStyle w:val="0"/>
        <w:spacing w:before="200" w:line-rule="auto"/>
        <w:ind w:firstLine="540"/>
        <w:jc w:val="both"/>
      </w:pPr>
      <w:r>
        <w:rPr>
          <w:sz w:val="20"/>
        </w:rPr>
        <w:t xml:space="preserve">Основная функция ФАП и амбулаторий в рамках данной Программы заключается в выявлении пациентов с хроническими неизлечимыми прогрессирующими заболеваниями или состояниями, нуждающихся в оказании паллиативной медицинской помощи, и направление их в медицинские организации, оказывающие паллиативную специализированную медицинскую помощь, а также назначение лекарственных препаратов, включая наркотические лекарственные препараты и психотропные лекарственные препараты, в порядке, установленном законодательством Российской Федерации. В районах с низкой плотностью населения, которые расположены в отдаленности от городских округов, медицинские сотрудники ФАП и амбулаторий должны быть обучены оказанию паллиативной первичной доврачебной медицинской помощи в первую очередь, а также активно взаимодействовать с выездными патронажными бригадами, обслуживающими данные районы.</w:t>
      </w:r>
    </w:p>
    <w:p>
      <w:pPr>
        <w:pStyle w:val="0"/>
      </w:pPr>
      <w:r>
        <w:rPr>
          <w:sz w:val="20"/>
        </w:rPr>
      </w:r>
    </w:p>
    <w:p>
      <w:pPr>
        <w:pStyle w:val="0"/>
        <w:jc w:val="center"/>
      </w:pPr>
      <w:r>
        <w:rPr>
          <w:sz w:val="20"/>
        </w:rPr>
        <w:t xml:space="preserve">Рисунок 7. Карта расположения ФАП, 2019 год</w:t>
      </w:r>
    </w:p>
    <w:p>
      <w:pPr>
        <w:pStyle w:val="0"/>
        <w:jc w:val="center"/>
      </w:pPr>
      <w:r>
        <w:rPr>
          <w:sz w:val="20"/>
        </w:rPr>
      </w:r>
    </w:p>
    <w:p>
      <w:pPr>
        <w:pStyle w:val="0"/>
        <w:jc w:val="center"/>
      </w:pPr>
      <w:r>
        <w:rPr>
          <w:position w:val="-288"/>
        </w:rPr>
        <w:drawing>
          <wp:inline distT="0" distB="0" distL="0" distR="0">
            <wp:extent cx="3602355" cy="37852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a:extLst>
                        <a:ext uri="{28A0092B-C50C-407E-A947-70E740481C1C}">
                          <a14:useLocalDpi xmlns:a14="http://schemas.microsoft.com/office/drawing/2010/main" val="0"/>
                        </a:ext>
                      </a:extLst>
                    </a:blip>
                    <a:srcRect/>
                    <a:stretch>
                      <a:fillRect/>
                    </a:stretch>
                  </pic:blipFill>
                  <pic:spPr bwMode="auto">
                    <a:xfrm>
                      <a:off x="0" y="0"/>
                      <a:ext cx="3602355" cy="3785235"/>
                    </a:xfrm>
                    <a:prstGeom prst="rect">
                      <a:avLst/>
                    </a:prstGeom>
                    <a:noFill/>
                    <a:ln>
                      <a:noFill/>
                    </a:ln>
                  </pic:spPr>
                </pic:pic>
              </a:graphicData>
            </a:graphic>
          </wp:inline>
        </w:drawing>
      </w:r>
    </w:p>
    <w:p>
      <w:pPr>
        <w:pStyle w:val="0"/>
      </w:pPr>
      <w:r>
        <w:rPr>
          <w:sz w:val="20"/>
        </w:rPr>
      </w:r>
    </w:p>
    <w:p>
      <w:pPr>
        <w:pStyle w:val="2"/>
        <w:outlineLvl w:val="3"/>
        <w:jc w:val="center"/>
      </w:pPr>
      <w:r>
        <w:rPr>
          <w:sz w:val="20"/>
        </w:rPr>
        <w:t xml:space="preserve">Медицинские организации, оказывающие медицинскую помощь</w:t>
      </w:r>
    </w:p>
    <w:p>
      <w:pPr>
        <w:pStyle w:val="2"/>
        <w:jc w:val="center"/>
      </w:pPr>
      <w:r>
        <w:rPr>
          <w:sz w:val="20"/>
        </w:rPr>
        <w:t xml:space="preserve">в стационарных условиях взрослым и детям</w:t>
      </w:r>
    </w:p>
    <w:p>
      <w:pPr>
        <w:pStyle w:val="0"/>
        <w:jc w:val="center"/>
      </w:pPr>
      <w:r>
        <w:rPr>
          <w:sz w:val="20"/>
        </w:rPr>
      </w:r>
    </w:p>
    <w:p>
      <w:pPr>
        <w:pStyle w:val="0"/>
        <w:ind w:firstLine="540"/>
        <w:jc w:val="both"/>
      </w:pPr>
      <w:r>
        <w:rPr>
          <w:sz w:val="20"/>
        </w:rPr>
        <w:t xml:space="preserve">Всего в городе Севастополе функционирует девять медицинских организаций, оказывающих медицинскую помощь в стационарных условиях, из них:</w:t>
      </w:r>
    </w:p>
    <w:p>
      <w:pPr>
        <w:pStyle w:val="0"/>
        <w:spacing w:before="200" w:line-rule="auto"/>
        <w:ind w:firstLine="540"/>
        <w:jc w:val="both"/>
      </w:pPr>
      <w:r>
        <w:rPr>
          <w:sz w:val="20"/>
        </w:rPr>
        <w:t xml:space="preserve">- пять медицинских организаций оказывают стационарную помощь взрослому населению;</w:t>
      </w:r>
    </w:p>
    <w:p>
      <w:pPr>
        <w:pStyle w:val="0"/>
        <w:spacing w:before="200" w:line-rule="auto"/>
        <w:ind w:firstLine="540"/>
        <w:jc w:val="both"/>
      </w:pPr>
      <w:r>
        <w:rPr>
          <w:sz w:val="20"/>
        </w:rPr>
        <w:t xml:space="preserve">- четыре медицинских организаций оказывают стационарную помощь детскому и взрослому населению.</w:t>
      </w:r>
    </w:p>
    <w:p>
      <w:pPr>
        <w:pStyle w:val="0"/>
        <w:spacing w:before="200" w:line-rule="auto"/>
        <w:ind w:firstLine="540"/>
        <w:jc w:val="both"/>
      </w:pPr>
      <w:r>
        <w:rPr>
          <w:sz w:val="20"/>
        </w:rPr>
        <w:t xml:space="preserve">Основная часть медицинских организаций, оказывающих медицинскую помощь в стационарных условиях, сосредоточена в Ленинском районе, где проживает 26,5% населения города Севастополя.</w:t>
      </w:r>
    </w:p>
    <w:p>
      <w:pPr>
        <w:pStyle w:val="0"/>
      </w:pPr>
      <w:r>
        <w:rPr>
          <w:sz w:val="20"/>
        </w:rPr>
      </w:r>
    </w:p>
    <w:p>
      <w:pPr>
        <w:pStyle w:val="2"/>
        <w:outlineLvl w:val="2"/>
        <w:jc w:val="center"/>
      </w:pPr>
      <w:r>
        <w:rPr>
          <w:sz w:val="20"/>
        </w:rPr>
        <w:t xml:space="preserve">Организация оказания паллиативной медицинской помощи</w:t>
      </w:r>
    </w:p>
    <w:p>
      <w:pPr>
        <w:pStyle w:val="2"/>
        <w:jc w:val="center"/>
      </w:pPr>
      <w:r>
        <w:rPr>
          <w:sz w:val="20"/>
        </w:rPr>
        <w:t xml:space="preserve">в городе Севастополе в 2020 году</w:t>
      </w:r>
    </w:p>
    <w:p>
      <w:pPr>
        <w:pStyle w:val="0"/>
        <w:jc w:val="center"/>
      </w:pPr>
      <w:r>
        <w:rPr>
          <w:sz w:val="20"/>
        </w:rPr>
      </w:r>
    </w:p>
    <w:p>
      <w:pPr>
        <w:pStyle w:val="2"/>
        <w:outlineLvl w:val="3"/>
        <w:jc w:val="center"/>
      </w:pPr>
      <w:r>
        <w:rPr>
          <w:sz w:val="20"/>
        </w:rPr>
        <w:t xml:space="preserve">Инфраструктура медицинских организаций, оказывающих</w:t>
      </w:r>
    </w:p>
    <w:p>
      <w:pPr>
        <w:pStyle w:val="2"/>
        <w:jc w:val="center"/>
      </w:pPr>
      <w:r>
        <w:rPr>
          <w:sz w:val="20"/>
        </w:rPr>
        <w:t xml:space="preserve">паллиативную медицинскую помощь</w:t>
      </w:r>
    </w:p>
    <w:p>
      <w:pPr>
        <w:pStyle w:val="0"/>
        <w:jc w:val="center"/>
      </w:pPr>
      <w:r>
        <w:rPr>
          <w:sz w:val="20"/>
        </w:rPr>
      </w:r>
    </w:p>
    <w:p>
      <w:pPr>
        <w:pStyle w:val="2"/>
        <w:outlineLvl w:val="4"/>
        <w:jc w:val="center"/>
      </w:pPr>
      <w:r>
        <w:rPr>
          <w:sz w:val="20"/>
        </w:rPr>
        <w:t xml:space="preserve">Оказание паллиативной специализированной медицинской помощи</w:t>
      </w:r>
    </w:p>
    <w:p>
      <w:pPr>
        <w:pStyle w:val="2"/>
        <w:jc w:val="center"/>
      </w:pPr>
      <w:r>
        <w:rPr>
          <w:sz w:val="20"/>
        </w:rPr>
        <w:t xml:space="preserve">в стационарных условиях взрослым</w:t>
      </w:r>
    </w:p>
    <w:p>
      <w:pPr>
        <w:pStyle w:val="0"/>
        <w:jc w:val="center"/>
      </w:pPr>
      <w:r>
        <w:rPr>
          <w:sz w:val="20"/>
        </w:rPr>
      </w:r>
    </w:p>
    <w:p>
      <w:pPr>
        <w:pStyle w:val="0"/>
        <w:ind w:firstLine="540"/>
        <w:jc w:val="both"/>
      </w:pPr>
      <w:r>
        <w:rPr>
          <w:sz w:val="20"/>
        </w:rPr>
        <w:t xml:space="preserve">Оказание паллиативной специализированной медицинской помощи в стационарных условиях взрослым в городе Севастополе организовано на базе четырех медицинских организаций </w:t>
      </w:r>
      <w:hyperlink w:history="0" w:anchor="P28735" w:tooltip="Таблица 3. Инфраструктура оказания ПМП в стационарных">
        <w:r>
          <w:rPr>
            <w:sz w:val="20"/>
            <w:color w:val="0000ff"/>
          </w:rPr>
          <w:t xml:space="preserve">(таблица 3)</w:t>
        </w:r>
      </w:hyperlink>
      <w:r>
        <w:rPr>
          <w:sz w:val="20"/>
        </w:rPr>
        <w:t xml:space="preserve">, из них:</w:t>
      </w:r>
    </w:p>
    <w:p>
      <w:pPr>
        <w:pStyle w:val="0"/>
        <w:spacing w:before="200" w:line-rule="auto"/>
        <w:ind w:firstLine="540"/>
        <w:jc w:val="both"/>
      </w:pPr>
      <w:r>
        <w:rPr>
          <w:sz w:val="20"/>
        </w:rPr>
        <w:t xml:space="preserve">- на койках ПМП помощь оказывается в 4 медицинских организациях;</w:t>
      </w:r>
    </w:p>
    <w:p>
      <w:pPr>
        <w:pStyle w:val="0"/>
        <w:spacing w:before="200" w:line-rule="auto"/>
        <w:ind w:firstLine="540"/>
        <w:jc w:val="both"/>
      </w:pPr>
      <w:r>
        <w:rPr>
          <w:sz w:val="20"/>
        </w:rPr>
        <w:t xml:space="preserve">- на койках сестринского ухода (далее - СУ) - в одной медицинской организации.</w:t>
      </w:r>
    </w:p>
    <w:p>
      <w:pPr>
        <w:pStyle w:val="0"/>
        <w:spacing w:before="200" w:line-rule="auto"/>
        <w:ind w:firstLine="540"/>
        <w:jc w:val="both"/>
      </w:pPr>
      <w:r>
        <w:rPr>
          <w:sz w:val="20"/>
        </w:rPr>
        <w:t xml:space="preserve">Общий коечный фонд для оказания паллиативной медицинской помощи взрослым составляет 72 койки, в том числе 30 коек СУ.</w:t>
      </w:r>
    </w:p>
    <w:p>
      <w:pPr>
        <w:pStyle w:val="0"/>
      </w:pPr>
      <w:r>
        <w:rPr>
          <w:sz w:val="20"/>
        </w:rPr>
      </w:r>
    </w:p>
    <w:bookmarkStart w:id="28735" w:name="P28735"/>
    <w:bookmarkEnd w:id="28735"/>
    <w:p>
      <w:pPr>
        <w:pStyle w:val="0"/>
        <w:jc w:val="center"/>
      </w:pPr>
      <w:r>
        <w:rPr>
          <w:sz w:val="20"/>
        </w:rPr>
        <w:t xml:space="preserve">Таблица 3. Инфраструктура оказания ПМП в стационарных</w:t>
      </w:r>
    </w:p>
    <w:p>
      <w:pPr>
        <w:pStyle w:val="0"/>
        <w:jc w:val="center"/>
      </w:pPr>
      <w:r>
        <w:rPr>
          <w:sz w:val="20"/>
        </w:rPr>
        <w:t xml:space="preserve">условиях взрослым, 2019 год</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794"/>
        <w:gridCol w:w="1077"/>
        <w:gridCol w:w="1020"/>
        <w:gridCol w:w="907"/>
        <w:gridCol w:w="1247"/>
        <w:gridCol w:w="1361"/>
        <w:gridCol w:w="907"/>
        <w:gridCol w:w="1247"/>
      </w:tblGrid>
      <w:tr>
        <w:tc>
          <w:tcPr>
            <w:tcW w:w="3515" w:type="dxa"/>
          </w:tcPr>
          <w:p>
            <w:pPr>
              <w:pStyle w:val="0"/>
              <w:jc w:val="center"/>
            </w:pPr>
            <w:r>
              <w:rPr>
                <w:sz w:val="20"/>
              </w:rPr>
              <w:t xml:space="preserve">Наименование медицинской организации</w:t>
            </w:r>
          </w:p>
        </w:tc>
        <w:tc>
          <w:tcPr>
            <w:tcW w:w="794" w:type="dxa"/>
          </w:tcPr>
          <w:p>
            <w:pPr>
              <w:pStyle w:val="0"/>
              <w:jc w:val="center"/>
            </w:pPr>
            <w:r>
              <w:rPr>
                <w:sz w:val="20"/>
              </w:rPr>
              <w:t xml:space="preserve">Число коек, шт.</w:t>
            </w:r>
          </w:p>
        </w:tc>
        <w:tc>
          <w:tcPr>
            <w:tcW w:w="1077" w:type="dxa"/>
          </w:tcPr>
          <w:p>
            <w:pPr>
              <w:pStyle w:val="0"/>
              <w:jc w:val="center"/>
            </w:pPr>
            <w:r>
              <w:rPr>
                <w:sz w:val="20"/>
              </w:rPr>
              <w:t xml:space="preserve">Число пролеченных пациентов, чел., 2019 г.</w:t>
            </w:r>
          </w:p>
        </w:tc>
        <w:tc>
          <w:tcPr>
            <w:tcW w:w="1020" w:type="dxa"/>
          </w:tcPr>
          <w:p>
            <w:pPr>
              <w:pStyle w:val="0"/>
              <w:jc w:val="center"/>
            </w:pPr>
            <w:r>
              <w:rPr>
                <w:sz w:val="20"/>
              </w:rPr>
              <w:t xml:space="preserve">Объем гос. задания, к/д 2019 г.</w:t>
            </w:r>
          </w:p>
        </w:tc>
        <w:tc>
          <w:tcPr>
            <w:tcW w:w="907" w:type="dxa"/>
          </w:tcPr>
          <w:p>
            <w:pPr>
              <w:pStyle w:val="0"/>
              <w:jc w:val="center"/>
            </w:pPr>
            <w:r>
              <w:rPr>
                <w:sz w:val="20"/>
              </w:rPr>
              <w:t xml:space="preserve">Летальность, %, 2019 г.</w:t>
            </w:r>
          </w:p>
        </w:tc>
        <w:tc>
          <w:tcPr>
            <w:tcW w:w="1247" w:type="dxa"/>
          </w:tcPr>
          <w:p>
            <w:pPr>
              <w:pStyle w:val="0"/>
              <w:jc w:val="center"/>
            </w:pPr>
            <w:r>
              <w:rPr>
                <w:sz w:val="20"/>
              </w:rPr>
              <w:t xml:space="preserve">Стоимость койко-дня, руб., 2019 г.</w:t>
            </w:r>
          </w:p>
        </w:tc>
        <w:tc>
          <w:tcPr>
            <w:tcW w:w="1361" w:type="dxa"/>
          </w:tcPr>
          <w:p>
            <w:pPr>
              <w:pStyle w:val="0"/>
              <w:jc w:val="center"/>
            </w:pPr>
            <w:r>
              <w:rPr>
                <w:sz w:val="20"/>
              </w:rPr>
              <w:t xml:space="preserve">Средняя длительность пребывания на койке, к/д, 2019 г.</w:t>
            </w:r>
          </w:p>
        </w:tc>
        <w:tc>
          <w:tcPr>
            <w:tcW w:w="907" w:type="dxa"/>
          </w:tcPr>
          <w:p>
            <w:pPr>
              <w:pStyle w:val="0"/>
              <w:jc w:val="center"/>
            </w:pPr>
            <w:r>
              <w:rPr>
                <w:sz w:val="20"/>
              </w:rPr>
              <w:t xml:space="preserve">Лицензия на НС и ПВ &lt;10&gt;</w:t>
            </w:r>
          </w:p>
        </w:tc>
        <w:tc>
          <w:tcPr>
            <w:tcW w:w="1247" w:type="dxa"/>
          </w:tcPr>
          <w:p>
            <w:pPr>
              <w:pStyle w:val="0"/>
              <w:jc w:val="center"/>
            </w:pPr>
            <w:r>
              <w:rPr>
                <w:sz w:val="20"/>
              </w:rPr>
              <w:t xml:space="preserve">Лицензия на ПМП в стационарных условиях</w:t>
            </w:r>
          </w:p>
        </w:tc>
      </w:tr>
      <w:tr>
        <w:tc>
          <w:tcPr>
            <w:gridSpan w:val="9"/>
            <w:tcW w:w="12075" w:type="dxa"/>
          </w:tcPr>
          <w:p>
            <w:pPr>
              <w:pStyle w:val="0"/>
              <w:jc w:val="both"/>
            </w:pPr>
            <w:r>
              <w:rPr>
                <w:sz w:val="20"/>
              </w:rPr>
              <w:t xml:space="preserve">Медицинские организации, оказывающие помощь на койках ПМП</w:t>
            </w:r>
          </w:p>
        </w:tc>
      </w:tr>
      <w:tr>
        <w:tc>
          <w:tcPr>
            <w:tcW w:w="3515" w:type="dxa"/>
          </w:tcPr>
          <w:p>
            <w:pPr>
              <w:pStyle w:val="0"/>
              <w:jc w:val="both"/>
            </w:pPr>
            <w:r>
              <w:rPr>
                <w:sz w:val="20"/>
              </w:rPr>
              <w:t xml:space="preserve">ГБУЗС "Городская больница N 1 им. Н.И. Пирогова"</w:t>
            </w:r>
          </w:p>
        </w:tc>
        <w:tc>
          <w:tcPr>
            <w:tcW w:w="794" w:type="dxa"/>
          </w:tcPr>
          <w:p>
            <w:pPr>
              <w:pStyle w:val="0"/>
              <w:jc w:val="center"/>
            </w:pPr>
            <w:r>
              <w:rPr>
                <w:sz w:val="20"/>
              </w:rPr>
              <w:t xml:space="preserve">10</w:t>
            </w:r>
          </w:p>
        </w:tc>
        <w:tc>
          <w:tcPr>
            <w:tcW w:w="1077" w:type="dxa"/>
          </w:tcPr>
          <w:p>
            <w:pPr>
              <w:pStyle w:val="0"/>
              <w:jc w:val="center"/>
            </w:pPr>
            <w:r>
              <w:rPr>
                <w:sz w:val="20"/>
              </w:rPr>
              <w:t xml:space="preserve">236</w:t>
            </w:r>
          </w:p>
        </w:tc>
        <w:tc>
          <w:tcPr>
            <w:tcW w:w="1020" w:type="dxa"/>
          </w:tcPr>
          <w:p>
            <w:pPr>
              <w:pStyle w:val="0"/>
              <w:jc w:val="center"/>
            </w:pPr>
            <w:r>
              <w:rPr>
                <w:sz w:val="20"/>
              </w:rPr>
              <w:t xml:space="preserve">2500</w:t>
            </w:r>
          </w:p>
        </w:tc>
        <w:tc>
          <w:tcPr>
            <w:tcW w:w="907" w:type="dxa"/>
          </w:tcPr>
          <w:p>
            <w:pPr>
              <w:pStyle w:val="0"/>
              <w:jc w:val="center"/>
            </w:pPr>
            <w:r>
              <w:rPr>
                <w:sz w:val="20"/>
              </w:rPr>
              <w:t xml:space="preserve">23,7%</w:t>
            </w:r>
          </w:p>
        </w:tc>
        <w:tc>
          <w:tcPr>
            <w:tcW w:w="1247" w:type="dxa"/>
          </w:tcPr>
          <w:p>
            <w:pPr>
              <w:pStyle w:val="0"/>
              <w:jc w:val="center"/>
            </w:pPr>
            <w:r>
              <w:rPr>
                <w:sz w:val="20"/>
              </w:rPr>
              <w:t xml:space="preserve">2297</w:t>
            </w:r>
          </w:p>
        </w:tc>
        <w:tc>
          <w:tcPr>
            <w:tcW w:w="1361" w:type="dxa"/>
          </w:tcPr>
          <w:p>
            <w:pPr>
              <w:pStyle w:val="0"/>
              <w:jc w:val="center"/>
            </w:pPr>
            <w:r>
              <w:rPr>
                <w:sz w:val="20"/>
              </w:rPr>
              <w:t xml:space="preserve">26,7</w:t>
            </w:r>
          </w:p>
        </w:tc>
        <w:tc>
          <w:tcPr>
            <w:tcW w:w="907" w:type="dxa"/>
          </w:tcPr>
          <w:p>
            <w:pPr>
              <w:pStyle w:val="0"/>
              <w:jc w:val="both"/>
            </w:pPr>
            <w:r>
              <w:rPr>
                <w:sz w:val="20"/>
              </w:rPr>
              <w:t xml:space="preserve">Да</w:t>
            </w:r>
          </w:p>
        </w:tc>
        <w:tc>
          <w:tcPr>
            <w:tcW w:w="1247" w:type="dxa"/>
          </w:tcPr>
          <w:p>
            <w:pPr>
              <w:pStyle w:val="0"/>
              <w:jc w:val="both"/>
            </w:pPr>
            <w:r>
              <w:rPr>
                <w:sz w:val="20"/>
              </w:rPr>
              <w:t xml:space="preserve">Да</w:t>
            </w:r>
          </w:p>
        </w:tc>
      </w:tr>
      <w:tr>
        <w:tc>
          <w:tcPr>
            <w:tcW w:w="3515" w:type="dxa"/>
          </w:tcPr>
          <w:p>
            <w:pPr>
              <w:pStyle w:val="0"/>
              <w:jc w:val="both"/>
            </w:pPr>
            <w:r>
              <w:rPr>
                <w:sz w:val="20"/>
              </w:rPr>
              <w:t xml:space="preserve">ГБУЗС "Городская больница N 4" (функционирует с 01.09.2019)</w:t>
            </w:r>
          </w:p>
        </w:tc>
        <w:tc>
          <w:tcPr>
            <w:tcW w:w="794" w:type="dxa"/>
          </w:tcPr>
          <w:p>
            <w:pPr>
              <w:pStyle w:val="0"/>
              <w:jc w:val="center"/>
            </w:pPr>
            <w:r>
              <w:rPr>
                <w:sz w:val="20"/>
              </w:rPr>
              <w:t xml:space="preserve">5</w:t>
            </w:r>
          </w:p>
        </w:tc>
        <w:tc>
          <w:tcPr>
            <w:tcW w:w="1077" w:type="dxa"/>
          </w:tcPr>
          <w:p>
            <w:pPr>
              <w:pStyle w:val="0"/>
              <w:jc w:val="center"/>
            </w:pPr>
            <w:r>
              <w:rPr>
                <w:sz w:val="20"/>
              </w:rPr>
              <w:t xml:space="preserve">66</w:t>
            </w:r>
          </w:p>
        </w:tc>
        <w:tc>
          <w:tcPr>
            <w:tcW w:w="1020" w:type="dxa"/>
          </w:tcPr>
          <w:p>
            <w:pPr>
              <w:pStyle w:val="0"/>
              <w:jc w:val="center"/>
            </w:pPr>
            <w:r>
              <w:rPr>
                <w:sz w:val="20"/>
              </w:rPr>
              <w:t xml:space="preserve">1100</w:t>
            </w:r>
          </w:p>
        </w:tc>
        <w:tc>
          <w:tcPr>
            <w:tcW w:w="907" w:type="dxa"/>
          </w:tcPr>
          <w:p>
            <w:pPr>
              <w:pStyle w:val="0"/>
              <w:jc w:val="center"/>
            </w:pPr>
            <w:r>
              <w:rPr>
                <w:sz w:val="20"/>
              </w:rPr>
              <w:t xml:space="preserve">25,8%</w:t>
            </w:r>
          </w:p>
        </w:tc>
        <w:tc>
          <w:tcPr>
            <w:tcW w:w="1247" w:type="dxa"/>
          </w:tcPr>
          <w:p>
            <w:pPr>
              <w:pStyle w:val="0"/>
              <w:jc w:val="center"/>
            </w:pPr>
            <w:r>
              <w:rPr>
                <w:sz w:val="20"/>
              </w:rPr>
              <w:t xml:space="preserve">2297</w:t>
            </w:r>
          </w:p>
        </w:tc>
        <w:tc>
          <w:tcPr>
            <w:tcW w:w="1361" w:type="dxa"/>
          </w:tcPr>
          <w:p>
            <w:pPr>
              <w:pStyle w:val="0"/>
              <w:jc w:val="center"/>
            </w:pPr>
            <w:r>
              <w:rPr>
                <w:sz w:val="20"/>
              </w:rPr>
              <w:t xml:space="preserve">12,9</w:t>
            </w:r>
          </w:p>
        </w:tc>
        <w:tc>
          <w:tcPr>
            <w:tcW w:w="907" w:type="dxa"/>
          </w:tcPr>
          <w:p>
            <w:pPr>
              <w:pStyle w:val="0"/>
              <w:jc w:val="both"/>
            </w:pPr>
            <w:r>
              <w:rPr>
                <w:sz w:val="20"/>
              </w:rPr>
              <w:t xml:space="preserve">Да</w:t>
            </w:r>
          </w:p>
        </w:tc>
        <w:tc>
          <w:tcPr>
            <w:tcW w:w="1247" w:type="dxa"/>
          </w:tcPr>
          <w:p>
            <w:pPr>
              <w:pStyle w:val="0"/>
              <w:jc w:val="both"/>
            </w:pPr>
            <w:r>
              <w:rPr>
                <w:sz w:val="20"/>
              </w:rPr>
              <w:t xml:space="preserve">Да</w:t>
            </w:r>
          </w:p>
        </w:tc>
      </w:tr>
      <w:tr>
        <w:tc>
          <w:tcPr>
            <w:tcW w:w="3515" w:type="dxa"/>
          </w:tcPr>
          <w:p>
            <w:pPr>
              <w:pStyle w:val="0"/>
              <w:jc w:val="both"/>
            </w:pPr>
            <w:r>
              <w:rPr>
                <w:sz w:val="20"/>
              </w:rPr>
              <w:t xml:space="preserve">ГБУЗС "Севастопольская городская больница N 9"</w:t>
            </w:r>
          </w:p>
        </w:tc>
        <w:tc>
          <w:tcPr>
            <w:tcW w:w="794" w:type="dxa"/>
          </w:tcPr>
          <w:p>
            <w:pPr>
              <w:pStyle w:val="0"/>
              <w:jc w:val="center"/>
            </w:pPr>
            <w:r>
              <w:rPr>
                <w:sz w:val="20"/>
              </w:rPr>
              <w:t xml:space="preserve">7</w:t>
            </w:r>
          </w:p>
        </w:tc>
        <w:tc>
          <w:tcPr>
            <w:tcW w:w="1077" w:type="dxa"/>
          </w:tcPr>
          <w:p>
            <w:pPr>
              <w:pStyle w:val="0"/>
              <w:jc w:val="center"/>
            </w:pPr>
            <w:r>
              <w:rPr>
                <w:sz w:val="20"/>
              </w:rPr>
              <w:t xml:space="preserve">91</w:t>
            </w:r>
          </w:p>
        </w:tc>
        <w:tc>
          <w:tcPr>
            <w:tcW w:w="1020" w:type="dxa"/>
          </w:tcPr>
          <w:p>
            <w:pPr>
              <w:pStyle w:val="0"/>
              <w:jc w:val="center"/>
            </w:pPr>
            <w:r>
              <w:rPr>
                <w:sz w:val="20"/>
              </w:rPr>
              <w:t xml:space="preserve">1800</w:t>
            </w:r>
          </w:p>
        </w:tc>
        <w:tc>
          <w:tcPr>
            <w:tcW w:w="907" w:type="dxa"/>
          </w:tcPr>
          <w:p>
            <w:pPr>
              <w:pStyle w:val="0"/>
              <w:jc w:val="center"/>
            </w:pPr>
            <w:r>
              <w:rPr>
                <w:sz w:val="20"/>
              </w:rPr>
              <w:t xml:space="preserve">30,8%</w:t>
            </w:r>
          </w:p>
        </w:tc>
        <w:tc>
          <w:tcPr>
            <w:tcW w:w="1247" w:type="dxa"/>
          </w:tcPr>
          <w:p>
            <w:pPr>
              <w:pStyle w:val="0"/>
              <w:jc w:val="center"/>
            </w:pPr>
            <w:r>
              <w:rPr>
                <w:sz w:val="20"/>
              </w:rPr>
              <w:t xml:space="preserve">2297</w:t>
            </w:r>
          </w:p>
        </w:tc>
        <w:tc>
          <w:tcPr>
            <w:tcW w:w="1361" w:type="dxa"/>
          </w:tcPr>
          <w:p>
            <w:pPr>
              <w:pStyle w:val="0"/>
              <w:jc w:val="center"/>
            </w:pPr>
            <w:r>
              <w:rPr>
                <w:sz w:val="20"/>
              </w:rPr>
              <w:t xml:space="preserve">19</w:t>
            </w:r>
          </w:p>
        </w:tc>
        <w:tc>
          <w:tcPr>
            <w:tcW w:w="907" w:type="dxa"/>
          </w:tcPr>
          <w:p>
            <w:pPr>
              <w:pStyle w:val="0"/>
              <w:jc w:val="both"/>
            </w:pPr>
            <w:r>
              <w:rPr>
                <w:sz w:val="20"/>
              </w:rPr>
              <w:t xml:space="preserve">Да</w:t>
            </w:r>
          </w:p>
        </w:tc>
        <w:tc>
          <w:tcPr>
            <w:tcW w:w="1247" w:type="dxa"/>
          </w:tcPr>
          <w:p>
            <w:pPr>
              <w:pStyle w:val="0"/>
              <w:jc w:val="both"/>
            </w:pPr>
            <w:r>
              <w:rPr>
                <w:sz w:val="20"/>
              </w:rPr>
              <w:t xml:space="preserve">Да</w:t>
            </w:r>
          </w:p>
        </w:tc>
      </w:tr>
      <w:tr>
        <w:tc>
          <w:tcPr>
            <w:tcW w:w="3515" w:type="dxa"/>
          </w:tcPr>
          <w:p>
            <w:pPr>
              <w:pStyle w:val="0"/>
              <w:jc w:val="both"/>
            </w:pPr>
            <w:r>
              <w:rPr>
                <w:sz w:val="20"/>
              </w:rPr>
              <w:t xml:space="preserve">ГБУЗС "Севастопольский городской онкологический диспансер им. А.А. Задорожного"</w:t>
            </w:r>
          </w:p>
        </w:tc>
        <w:tc>
          <w:tcPr>
            <w:tcW w:w="794" w:type="dxa"/>
          </w:tcPr>
          <w:p>
            <w:pPr>
              <w:pStyle w:val="0"/>
              <w:jc w:val="center"/>
            </w:pPr>
            <w:r>
              <w:rPr>
                <w:sz w:val="20"/>
              </w:rPr>
              <w:t xml:space="preserve">20 &lt;11&gt;</w:t>
            </w:r>
          </w:p>
        </w:tc>
        <w:tc>
          <w:tcPr>
            <w:tcW w:w="1077" w:type="dxa"/>
          </w:tcPr>
          <w:p>
            <w:pPr>
              <w:pStyle w:val="0"/>
              <w:jc w:val="center"/>
            </w:pPr>
            <w:r>
              <w:rPr>
                <w:sz w:val="20"/>
              </w:rPr>
              <w:t xml:space="preserve">350</w:t>
            </w:r>
          </w:p>
        </w:tc>
        <w:tc>
          <w:tcPr>
            <w:tcW w:w="1020" w:type="dxa"/>
          </w:tcPr>
          <w:p>
            <w:pPr>
              <w:pStyle w:val="0"/>
              <w:jc w:val="center"/>
            </w:pPr>
            <w:r>
              <w:rPr>
                <w:sz w:val="20"/>
              </w:rPr>
              <w:t xml:space="preserve">7000</w:t>
            </w:r>
          </w:p>
        </w:tc>
        <w:tc>
          <w:tcPr>
            <w:tcW w:w="907" w:type="dxa"/>
          </w:tcPr>
          <w:p>
            <w:pPr>
              <w:pStyle w:val="0"/>
              <w:jc w:val="center"/>
            </w:pPr>
            <w:r>
              <w:rPr>
                <w:sz w:val="20"/>
              </w:rPr>
              <w:t xml:space="preserve">62,9%</w:t>
            </w:r>
          </w:p>
        </w:tc>
        <w:tc>
          <w:tcPr>
            <w:tcW w:w="1247" w:type="dxa"/>
          </w:tcPr>
          <w:p>
            <w:pPr>
              <w:pStyle w:val="0"/>
              <w:jc w:val="center"/>
            </w:pPr>
            <w:r>
              <w:rPr>
                <w:sz w:val="20"/>
              </w:rPr>
              <w:t xml:space="preserve">2523</w:t>
            </w:r>
          </w:p>
        </w:tc>
        <w:tc>
          <w:tcPr>
            <w:tcW w:w="1361" w:type="dxa"/>
          </w:tcPr>
          <w:p>
            <w:pPr>
              <w:pStyle w:val="0"/>
              <w:jc w:val="center"/>
            </w:pPr>
            <w:r>
              <w:rPr>
                <w:sz w:val="20"/>
              </w:rPr>
              <w:t xml:space="preserve">15</w:t>
            </w:r>
          </w:p>
        </w:tc>
        <w:tc>
          <w:tcPr>
            <w:tcW w:w="907" w:type="dxa"/>
          </w:tcPr>
          <w:p>
            <w:pPr>
              <w:pStyle w:val="0"/>
              <w:jc w:val="both"/>
            </w:pPr>
            <w:r>
              <w:rPr>
                <w:sz w:val="20"/>
              </w:rPr>
              <w:t xml:space="preserve">Да</w:t>
            </w:r>
          </w:p>
        </w:tc>
        <w:tc>
          <w:tcPr>
            <w:tcW w:w="1247" w:type="dxa"/>
          </w:tcPr>
          <w:p>
            <w:pPr>
              <w:pStyle w:val="0"/>
              <w:jc w:val="both"/>
            </w:pPr>
            <w:r>
              <w:rPr>
                <w:sz w:val="20"/>
              </w:rPr>
              <w:t xml:space="preserve">Да</w:t>
            </w:r>
          </w:p>
        </w:tc>
      </w:tr>
      <w:tr>
        <w:tc>
          <w:tcPr>
            <w:gridSpan w:val="9"/>
            <w:tcW w:w="12075" w:type="dxa"/>
          </w:tcPr>
          <w:p>
            <w:pPr>
              <w:pStyle w:val="0"/>
              <w:jc w:val="both"/>
            </w:pPr>
            <w:r>
              <w:rPr>
                <w:sz w:val="20"/>
              </w:rPr>
              <w:t xml:space="preserve">Медицинские организации, оказывающие помощь на койках СУ</w:t>
            </w:r>
          </w:p>
        </w:tc>
      </w:tr>
      <w:tr>
        <w:tc>
          <w:tcPr>
            <w:tcW w:w="3515" w:type="dxa"/>
          </w:tcPr>
          <w:p>
            <w:pPr>
              <w:pStyle w:val="0"/>
              <w:jc w:val="both"/>
            </w:pPr>
            <w:r>
              <w:rPr>
                <w:sz w:val="20"/>
              </w:rPr>
              <w:t xml:space="preserve">ГБУЗС "Севастопольская городская больница N 9" (функционирует с 01.07.2019)</w:t>
            </w:r>
          </w:p>
        </w:tc>
        <w:tc>
          <w:tcPr>
            <w:tcW w:w="794" w:type="dxa"/>
          </w:tcPr>
          <w:p>
            <w:pPr>
              <w:pStyle w:val="0"/>
              <w:jc w:val="center"/>
            </w:pPr>
            <w:r>
              <w:rPr>
                <w:sz w:val="20"/>
              </w:rPr>
              <w:t xml:space="preserve">30</w:t>
            </w:r>
          </w:p>
        </w:tc>
        <w:tc>
          <w:tcPr>
            <w:tcW w:w="1077" w:type="dxa"/>
          </w:tcPr>
          <w:p>
            <w:pPr>
              <w:pStyle w:val="0"/>
              <w:jc w:val="center"/>
            </w:pPr>
            <w:r>
              <w:rPr>
                <w:sz w:val="20"/>
              </w:rPr>
              <w:t xml:space="preserve">106</w:t>
            </w:r>
          </w:p>
        </w:tc>
        <w:tc>
          <w:tcPr>
            <w:tcW w:w="1020" w:type="dxa"/>
          </w:tcPr>
          <w:p>
            <w:pPr>
              <w:pStyle w:val="0"/>
              <w:jc w:val="center"/>
            </w:pPr>
            <w:r>
              <w:rPr>
                <w:sz w:val="20"/>
              </w:rPr>
              <w:t xml:space="preserve">5520</w:t>
            </w:r>
          </w:p>
        </w:tc>
        <w:tc>
          <w:tcPr>
            <w:tcW w:w="907" w:type="dxa"/>
          </w:tcPr>
          <w:p>
            <w:pPr>
              <w:pStyle w:val="0"/>
              <w:jc w:val="center"/>
            </w:pPr>
            <w:r>
              <w:rPr>
                <w:sz w:val="20"/>
              </w:rPr>
              <w:t xml:space="preserve">12,3%</w:t>
            </w:r>
          </w:p>
        </w:tc>
        <w:tc>
          <w:tcPr>
            <w:tcW w:w="1247" w:type="dxa"/>
          </w:tcPr>
          <w:p>
            <w:pPr>
              <w:pStyle w:val="0"/>
              <w:jc w:val="center"/>
            </w:pPr>
            <w:r>
              <w:rPr>
                <w:sz w:val="20"/>
              </w:rPr>
              <w:t xml:space="preserve">2 297</w:t>
            </w:r>
          </w:p>
        </w:tc>
        <w:tc>
          <w:tcPr>
            <w:tcW w:w="1361" w:type="dxa"/>
          </w:tcPr>
          <w:p>
            <w:pPr>
              <w:pStyle w:val="0"/>
              <w:jc w:val="center"/>
            </w:pPr>
            <w:r>
              <w:rPr>
                <w:sz w:val="20"/>
              </w:rPr>
              <w:t xml:space="preserve">22</w:t>
            </w:r>
          </w:p>
        </w:tc>
        <w:tc>
          <w:tcPr>
            <w:tcW w:w="907" w:type="dxa"/>
          </w:tcPr>
          <w:p>
            <w:pPr>
              <w:pStyle w:val="0"/>
              <w:jc w:val="both"/>
            </w:pPr>
            <w:r>
              <w:rPr>
                <w:sz w:val="20"/>
              </w:rPr>
              <w:t xml:space="preserve">Да</w:t>
            </w:r>
          </w:p>
        </w:tc>
        <w:tc>
          <w:tcPr>
            <w:tcW w:w="1247" w:type="dxa"/>
          </w:tcPr>
          <w:p>
            <w:pPr>
              <w:pStyle w:val="0"/>
              <w:jc w:val="both"/>
            </w:pPr>
            <w:r>
              <w:rPr>
                <w:sz w:val="20"/>
              </w:rPr>
              <w:t xml:space="preserve">Да</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&lt;10&gt; Лицензия на осуществление деятельности по обороту наркотических, психотропных веществ и их прекурсоров, культивированию наркосодержащих растений.</w:t>
      </w:r>
    </w:p>
    <w:p>
      <w:pPr>
        <w:pStyle w:val="0"/>
        <w:spacing w:before="200" w:line-rule="auto"/>
        <w:ind w:firstLine="540"/>
        <w:jc w:val="both"/>
      </w:pPr>
      <w:r>
        <w:rPr>
          <w:sz w:val="20"/>
        </w:rPr>
        <w:t xml:space="preserve">&lt;11&gt; Онкопаллиативные койки.</w:t>
      </w:r>
    </w:p>
    <w:p>
      <w:pPr>
        <w:pStyle w:val="0"/>
      </w:pPr>
      <w:r>
        <w:rPr>
          <w:sz w:val="20"/>
        </w:rPr>
      </w:r>
    </w:p>
    <w:p>
      <w:pPr>
        <w:pStyle w:val="0"/>
        <w:ind w:firstLine="540"/>
        <w:jc w:val="both"/>
      </w:pPr>
      <w:r>
        <w:rPr>
          <w:sz w:val="20"/>
        </w:rPr>
        <w:t xml:space="preserve">На момент утверждения программы полноценные отделения сформированы в ГБУЗС "Севастопольский городской онкологический диспансер им. А.А. Задорожного" на 20 коек ПМП и в ГБУЗС "Севастопольская городская больница N 9" на 30 коек СУ. В остальных 3 медицинских организациях койки паллиативной медицинской помощи входят в состав отделений терапии, неврологии, хирургии и т.п. Подобное распределение коечного фонда оказания паллиативной медицинской помощи не позволяет обеспечить качественную ПМП. Таким образом, существующая инфраструктура медицинских организаций, оказывающих ПМП в стационарных условиях взрослым, малоэффективна.</w:t>
      </w:r>
    </w:p>
    <w:p>
      <w:pPr>
        <w:pStyle w:val="0"/>
        <w:spacing w:before="200" w:line-rule="auto"/>
        <w:ind w:firstLine="540"/>
        <w:jc w:val="both"/>
      </w:pPr>
      <w:r>
        <w:rPr>
          <w:sz w:val="20"/>
        </w:rPr>
        <w:t xml:space="preserve">У всех пяти медицинских организаций имеются лицензии на оказание ПМП в стационарных условиях и на деятельность по обороту наркотических средств, психотропных веществ и их прекурсоров, культивированию наркосодержащих растений.</w:t>
      </w:r>
    </w:p>
    <w:p>
      <w:pPr>
        <w:pStyle w:val="0"/>
        <w:spacing w:before="200" w:line-rule="auto"/>
        <w:ind w:firstLine="540"/>
        <w:jc w:val="both"/>
      </w:pPr>
      <w:r>
        <w:rPr>
          <w:sz w:val="20"/>
        </w:rPr>
        <w:t xml:space="preserve">В городе Севастополе в медицинских организациях, оказывающих паллиативную медицинскую помощь в стационарных условиях, преимущественно низкий уровень летальности, что свидетельствует о нахождении непрофильных пациентов на койках ПМП и СУ. Исключением является ГБУЗС "Севастопольский городской онкологический диспансер им. А.А. Задорожного", где ПМП оказывается преимущественно пациентам с онкологическим диагнозом.</w:t>
      </w:r>
    </w:p>
    <w:p>
      <w:pPr>
        <w:pStyle w:val="0"/>
        <w:spacing w:before="200" w:line-rule="auto"/>
        <w:ind w:firstLine="540"/>
        <w:jc w:val="both"/>
      </w:pPr>
      <w:r>
        <w:rPr>
          <w:sz w:val="20"/>
        </w:rPr>
        <w:t xml:space="preserve">Средняя стоимость койко-дня в медицинских организациях, оказывающих паллиативную специализированную медицинскую помощь, составляет 2297 руб., в ГБУЗС "Севастопольский городской онкологический диспансер им. А.А. Задорожного" стоимость койко-дня составляет 2523 руб.</w:t>
      </w:r>
    </w:p>
    <w:p>
      <w:pPr>
        <w:pStyle w:val="0"/>
        <w:jc w:val="center"/>
      </w:pPr>
      <w:r>
        <w:rPr>
          <w:sz w:val="20"/>
        </w:rPr>
      </w:r>
    </w:p>
    <w:p>
      <w:pPr>
        <w:pStyle w:val="0"/>
        <w:jc w:val="center"/>
      </w:pPr>
      <w:r>
        <w:rPr>
          <w:sz w:val="20"/>
        </w:rPr>
        <w:t xml:space="preserve">Рисунок 8. Инфраструктура оказания ПМП в стационарных</w:t>
      </w:r>
    </w:p>
    <w:p>
      <w:pPr>
        <w:pStyle w:val="0"/>
        <w:jc w:val="center"/>
      </w:pPr>
      <w:r>
        <w:rPr>
          <w:sz w:val="20"/>
        </w:rPr>
        <w:t xml:space="preserve">условиях взрослым на койках ПМП, 2019 год</w:t>
      </w:r>
    </w:p>
    <w:p>
      <w:pPr>
        <w:pStyle w:val="0"/>
        <w:jc w:val="center"/>
      </w:pPr>
      <w:r>
        <w:rPr>
          <w:sz w:val="20"/>
        </w:rPr>
      </w:r>
    </w:p>
    <w:p>
      <w:pPr>
        <w:pStyle w:val="0"/>
        <w:jc w:val="center"/>
      </w:pPr>
      <w:r>
        <w:rPr>
          <w:position w:val="-230"/>
        </w:rPr>
        <w:drawing>
          <wp:inline distT="0" distB="0" distL="0" distR="0">
            <wp:extent cx="3602355" cy="3053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a:extLst>
                        <a:ext uri="{28A0092B-C50C-407E-A947-70E740481C1C}">
                          <a14:useLocalDpi xmlns:a14="http://schemas.microsoft.com/office/drawing/2010/main" val="0"/>
                        </a:ext>
                      </a:extLst>
                    </a:blip>
                    <a:srcRect/>
                    <a:stretch>
                      <a:fillRect/>
                    </a:stretch>
                  </pic:blipFill>
                  <pic:spPr bwMode="auto">
                    <a:xfrm>
                      <a:off x="0" y="0"/>
                      <a:ext cx="3602355" cy="3053715"/>
                    </a:xfrm>
                    <a:prstGeom prst="rect">
                      <a:avLst/>
                    </a:prstGeom>
                    <a:noFill/>
                    <a:ln>
                      <a:noFill/>
                    </a:ln>
                  </pic:spPr>
                </pic:pic>
              </a:graphicData>
            </a:graphic>
          </wp:inline>
        </w:drawing>
      </w:r>
    </w:p>
    <w:p>
      <w:pPr>
        <w:pStyle w:val="0"/>
        <w:jc w:val="center"/>
      </w:pPr>
      <w:r>
        <w:rPr>
          <w:sz w:val="20"/>
        </w:rPr>
      </w:r>
    </w:p>
    <w:p>
      <w:pPr>
        <w:pStyle w:val="0"/>
        <w:jc w:val="center"/>
      </w:pPr>
      <w:r>
        <w:rPr>
          <w:sz w:val="20"/>
        </w:rPr>
        <w:t xml:space="preserve">Таблица 4. Расшифровка инфраструктуры оказания ПМП</w:t>
      </w:r>
    </w:p>
    <w:p>
      <w:pPr>
        <w:pStyle w:val="0"/>
        <w:jc w:val="center"/>
      </w:pPr>
      <w:r>
        <w:rPr>
          <w:sz w:val="20"/>
        </w:rPr>
        <w:t xml:space="preserve">в стационарных условиях взрослым на койках ПМП, 2019 год</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932"/>
        <w:gridCol w:w="1094"/>
        <w:gridCol w:w="2438"/>
      </w:tblGrid>
      <w:tr>
        <w:tc>
          <w:tcPr>
            <w:gridSpan w:val="2"/>
            <w:tcW w:w="5499" w:type="dxa"/>
          </w:tcPr>
          <w:p>
            <w:pPr>
              <w:pStyle w:val="0"/>
              <w:jc w:val="center"/>
            </w:pPr>
            <w:r>
              <w:rPr>
                <w:sz w:val="20"/>
              </w:rPr>
              <w:t xml:space="preserve">Наименование медицинской организации</w:t>
            </w:r>
          </w:p>
        </w:tc>
        <w:tc>
          <w:tcPr>
            <w:tcW w:w="1094" w:type="dxa"/>
          </w:tcPr>
          <w:p>
            <w:pPr>
              <w:pStyle w:val="0"/>
              <w:jc w:val="center"/>
            </w:pPr>
            <w:r>
              <w:rPr>
                <w:sz w:val="20"/>
              </w:rPr>
              <w:t xml:space="preserve">Число коек, шт.</w:t>
            </w:r>
          </w:p>
        </w:tc>
        <w:tc>
          <w:tcPr>
            <w:tcW w:w="2438" w:type="dxa"/>
          </w:tcPr>
          <w:p>
            <w:pPr>
              <w:pStyle w:val="0"/>
              <w:jc w:val="center"/>
            </w:pPr>
            <w:r>
              <w:rPr>
                <w:sz w:val="20"/>
              </w:rPr>
              <w:t xml:space="preserve">Территория обслуживания</w:t>
            </w:r>
          </w:p>
        </w:tc>
      </w:tr>
      <w:tr>
        <w:tc>
          <w:tcPr>
            <w:tcW w:w="567" w:type="dxa"/>
          </w:tcPr>
          <w:p>
            <w:pPr>
              <w:pStyle w:val="0"/>
              <w:jc w:val="both"/>
            </w:pPr>
            <w:r>
              <w:rPr>
                <w:sz w:val="20"/>
              </w:rPr>
              <w:t xml:space="preserve">1</w:t>
            </w:r>
          </w:p>
        </w:tc>
        <w:tc>
          <w:tcPr>
            <w:tcW w:w="4932" w:type="dxa"/>
          </w:tcPr>
          <w:p>
            <w:pPr>
              <w:pStyle w:val="0"/>
              <w:jc w:val="both"/>
            </w:pPr>
            <w:r>
              <w:rPr>
                <w:sz w:val="20"/>
              </w:rPr>
              <w:t xml:space="preserve">ГБУЗС "Городская больница N 1 им. Н.И. Пирогова"</w:t>
            </w:r>
          </w:p>
        </w:tc>
        <w:tc>
          <w:tcPr>
            <w:tcW w:w="1094" w:type="dxa"/>
          </w:tcPr>
          <w:p>
            <w:pPr>
              <w:pStyle w:val="0"/>
              <w:jc w:val="center"/>
            </w:pPr>
            <w:r>
              <w:rPr>
                <w:sz w:val="20"/>
              </w:rPr>
              <w:t xml:space="preserve">10</w:t>
            </w:r>
          </w:p>
        </w:tc>
        <w:tc>
          <w:tcPr>
            <w:tcW w:w="2438" w:type="dxa"/>
          </w:tcPr>
          <w:p>
            <w:pPr>
              <w:pStyle w:val="0"/>
              <w:jc w:val="both"/>
            </w:pPr>
            <w:r>
              <w:rPr>
                <w:sz w:val="20"/>
              </w:rPr>
              <w:t xml:space="preserve">город Севастополь</w:t>
            </w:r>
          </w:p>
        </w:tc>
      </w:tr>
      <w:tr>
        <w:tc>
          <w:tcPr>
            <w:tcW w:w="567" w:type="dxa"/>
          </w:tcPr>
          <w:p>
            <w:pPr>
              <w:pStyle w:val="0"/>
              <w:jc w:val="both"/>
            </w:pPr>
            <w:r>
              <w:rPr>
                <w:sz w:val="20"/>
              </w:rPr>
              <w:t xml:space="preserve">2</w:t>
            </w:r>
          </w:p>
        </w:tc>
        <w:tc>
          <w:tcPr>
            <w:tcW w:w="4932" w:type="dxa"/>
          </w:tcPr>
          <w:p>
            <w:pPr>
              <w:pStyle w:val="0"/>
              <w:jc w:val="both"/>
            </w:pPr>
            <w:r>
              <w:rPr>
                <w:sz w:val="20"/>
              </w:rPr>
              <w:t xml:space="preserve">ГБУЗС "Городская больница N 4"</w:t>
            </w:r>
          </w:p>
        </w:tc>
        <w:tc>
          <w:tcPr>
            <w:tcW w:w="1094" w:type="dxa"/>
          </w:tcPr>
          <w:p>
            <w:pPr>
              <w:pStyle w:val="0"/>
              <w:jc w:val="center"/>
            </w:pPr>
            <w:r>
              <w:rPr>
                <w:sz w:val="20"/>
              </w:rPr>
              <w:t xml:space="preserve">5</w:t>
            </w:r>
          </w:p>
        </w:tc>
        <w:tc>
          <w:tcPr>
            <w:tcW w:w="2438" w:type="dxa"/>
          </w:tcPr>
          <w:p>
            <w:pPr>
              <w:pStyle w:val="0"/>
              <w:jc w:val="both"/>
            </w:pPr>
            <w:r>
              <w:rPr>
                <w:sz w:val="20"/>
              </w:rPr>
              <w:t xml:space="preserve">город Севастополь</w:t>
            </w:r>
          </w:p>
        </w:tc>
      </w:tr>
      <w:tr>
        <w:tc>
          <w:tcPr>
            <w:tcW w:w="567" w:type="dxa"/>
          </w:tcPr>
          <w:p>
            <w:pPr>
              <w:pStyle w:val="0"/>
              <w:jc w:val="both"/>
            </w:pPr>
            <w:r>
              <w:rPr>
                <w:sz w:val="20"/>
              </w:rPr>
              <w:t xml:space="preserve">3</w:t>
            </w:r>
          </w:p>
        </w:tc>
        <w:tc>
          <w:tcPr>
            <w:tcW w:w="4932" w:type="dxa"/>
          </w:tcPr>
          <w:p>
            <w:pPr>
              <w:pStyle w:val="0"/>
              <w:jc w:val="both"/>
            </w:pPr>
            <w:r>
              <w:rPr>
                <w:sz w:val="20"/>
              </w:rPr>
              <w:t xml:space="preserve">ГБУЗС "Севастопольская городская больница N 9"</w:t>
            </w:r>
          </w:p>
        </w:tc>
        <w:tc>
          <w:tcPr>
            <w:tcW w:w="1094" w:type="dxa"/>
          </w:tcPr>
          <w:p>
            <w:pPr>
              <w:pStyle w:val="0"/>
              <w:jc w:val="center"/>
            </w:pPr>
            <w:r>
              <w:rPr>
                <w:sz w:val="20"/>
              </w:rPr>
              <w:t xml:space="preserve">7</w:t>
            </w:r>
          </w:p>
        </w:tc>
        <w:tc>
          <w:tcPr>
            <w:tcW w:w="2438" w:type="dxa"/>
          </w:tcPr>
          <w:p>
            <w:pPr>
              <w:pStyle w:val="0"/>
              <w:jc w:val="both"/>
            </w:pPr>
            <w:r>
              <w:rPr>
                <w:sz w:val="20"/>
              </w:rPr>
              <w:t xml:space="preserve">Балаклавский район</w:t>
            </w:r>
          </w:p>
        </w:tc>
      </w:tr>
      <w:tr>
        <w:tc>
          <w:tcPr>
            <w:tcW w:w="567" w:type="dxa"/>
          </w:tcPr>
          <w:p>
            <w:pPr>
              <w:pStyle w:val="0"/>
              <w:jc w:val="both"/>
            </w:pPr>
            <w:r>
              <w:rPr>
                <w:sz w:val="20"/>
              </w:rPr>
              <w:t xml:space="preserve">4</w:t>
            </w:r>
          </w:p>
        </w:tc>
        <w:tc>
          <w:tcPr>
            <w:tcW w:w="4932" w:type="dxa"/>
          </w:tcPr>
          <w:p>
            <w:pPr>
              <w:pStyle w:val="0"/>
              <w:jc w:val="both"/>
            </w:pPr>
            <w:r>
              <w:rPr>
                <w:sz w:val="20"/>
              </w:rPr>
              <w:t xml:space="preserve">ГБУЗС "Севастопольский городской онкологический диспансер им. А.А. Задорожного"</w:t>
            </w:r>
          </w:p>
        </w:tc>
        <w:tc>
          <w:tcPr>
            <w:tcW w:w="1094" w:type="dxa"/>
          </w:tcPr>
          <w:p>
            <w:pPr>
              <w:pStyle w:val="0"/>
              <w:jc w:val="center"/>
            </w:pPr>
            <w:r>
              <w:rPr>
                <w:sz w:val="20"/>
              </w:rPr>
              <w:t xml:space="preserve">20</w:t>
            </w:r>
          </w:p>
        </w:tc>
        <w:tc>
          <w:tcPr>
            <w:tcW w:w="2438" w:type="dxa"/>
          </w:tcPr>
          <w:p>
            <w:pPr>
              <w:pStyle w:val="0"/>
              <w:jc w:val="both"/>
            </w:pPr>
            <w:r>
              <w:rPr>
                <w:sz w:val="20"/>
              </w:rPr>
              <w:t xml:space="preserve">город Севастополь</w:t>
            </w:r>
          </w:p>
        </w:tc>
      </w:tr>
    </w:tbl>
    <w:p>
      <w:pPr>
        <w:pStyle w:val="0"/>
        <w:ind w:firstLine="540"/>
        <w:jc w:val="both"/>
      </w:pPr>
      <w:r>
        <w:rPr>
          <w:sz w:val="20"/>
        </w:rPr>
      </w:r>
    </w:p>
    <w:p>
      <w:pPr>
        <w:pStyle w:val="0"/>
        <w:ind w:firstLine="540"/>
        <w:jc w:val="both"/>
      </w:pPr>
      <w:r>
        <w:rPr>
          <w:sz w:val="20"/>
        </w:rPr>
        <w:t xml:space="preserve">Объем коечного фонда, необходимый для лечения в стационарных условиях взрослых пациентов с некупированным болевым синдромом, иными тяжкими проявлениями заболевания, избыточен.</w:t>
      </w:r>
    </w:p>
    <w:p>
      <w:pPr>
        <w:pStyle w:val="0"/>
        <w:spacing w:before="200" w:line-rule="auto"/>
        <w:ind w:firstLine="540"/>
        <w:jc w:val="both"/>
      </w:pPr>
      <w:r>
        <w:rPr>
          <w:sz w:val="20"/>
        </w:rPr>
        <w:t xml:space="preserve">Исходя из условий построения целевой модели развития системы паллиативной специализированной медицинской помощи в городе Севастополе должно быть 25 коек ПМП для взрослого населения.</w:t>
      </w:r>
    </w:p>
    <w:p>
      <w:pPr>
        <w:pStyle w:val="0"/>
        <w:spacing w:before="200" w:line-rule="auto"/>
        <w:ind w:firstLine="540"/>
        <w:jc w:val="both"/>
      </w:pPr>
      <w:hyperlink w:history="0" w:anchor="P30060" w:tooltip="Расчет потребности в койках ПМП взрослым">
        <w:r>
          <w:rPr>
            <w:sz w:val="20"/>
            <w:color w:val="0000ff"/>
          </w:rPr>
          <w:t xml:space="preserve">Расчет</w:t>
        </w:r>
      </w:hyperlink>
      <w:r>
        <w:rPr>
          <w:sz w:val="20"/>
        </w:rPr>
        <w:t xml:space="preserve"> потребности в койках ПМП для оказания паллиативной специализированной медицинской помощи в стационарных условиях взрослому населению города Севастополя представлен в приложении N 2 к настоящей Программе.</w:t>
      </w:r>
    </w:p>
    <w:p>
      <w:pPr>
        <w:pStyle w:val="0"/>
        <w:spacing w:before="200" w:line-rule="auto"/>
        <w:ind w:firstLine="540"/>
        <w:jc w:val="both"/>
      </w:pPr>
      <w:r>
        <w:rPr>
          <w:sz w:val="20"/>
        </w:rPr>
        <w:t xml:space="preserve">На момент утверждения Программы оказание паллиативной специализированной медицинской помощи в стационарных условиях взрослому населению на койках сестринского ухода организовано на базе ГБУЗС "Севастопольская городская больница N 9". Коечный фонд составляет 30 коек сестринского ухода.</w:t>
      </w:r>
    </w:p>
    <w:p>
      <w:pPr>
        <w:pStyle w:val="0"/>
        <w:spacing w:before="200" w:line-rule="auto"/>
        <w:ind w:firstLine="540"/>
        <w:jc w:val="both"/>
      </w:pPr>
      <w:r>
        <w:rPr>
          <w:sz w:val="20"/>
        </w:rPr>
        <w:t xml:space="preserve">Потребность города Севастополя в койках сестринского ухода для пациентов, не нуждающихся в круглосуточном врачебном наблюдении, но нуждающихся в паллиативной специализированной медицинской, удовлетворяется с избытком.</w:t>
      </w:r>
    </w:p>
    <w:p>
      <w:pPr>
        <w:pStyle w:val="0"/>
        <w:spacing w:before="200" w:line-rule="auto"/>
        <w:ind w:firstLine="540"/>
        <w:jc w:val="both"/>
      </w:pPr>
      <w:r>
        <w:rPr>
          <w:sz w:val="20"/>
        </w:rPr>
        <w:t xml:space="preserve">Исходя из условий построения целевой модели развития системы паллиативной специализированной медицинской помощи в городе Севастополе должно быть 11 коек сестринского ухода </w:t>
      </w:r>
      <w:hyperlink w:history="0" w:anchor="P30100" w:tooltip="Расчет потребности в койках сестринского ухода">
        <w:r>
          <w:rPr>
            <w:sz w:val="20"/>
            <w:color w:val="0000ff"/>
          </w:rPr>
          <w:t xml:space="preserve">(приложение N 3)</w:t>
        </w:r>
      </w:hyperlink>
      <w:r>
        <w:rPr>
          <w:sz w:val="20"/>
        </w:rPr>
        <w:t xml:space="preserve">.</w:t>
      </w:r>
    </w:p>
    <w:p>
      <w:pPr>
        <w:pStyle w:val="0"/>
        <w:spacing w:before="200" w:line-rule="auto"/>
        <w:ind w:firstLine="540"/>
        <w:jc w:val="both"/>
      </w:pPr>
      <w:hyperlink w:history="0" w:anchor="P30100" w:tooltip="Расчет потребности в койках сестринского ухода">
        <w:r>
          <w:rPr>
            <w:sz w:val="20"/>
            <w:color w:val="0000ff"/>
          </w:rPr>
          <w:t xml:space="preserve">Расчет</w:t>
        </w:r>
      </w:hyperlink>
      <w:r>
        <w:rPr>
          <w:sz w:val="20"/>
        </w:rPr>
        <w:t xml:space="preserve"> потребности в койках сестринского ухода в рамках оказания паллиативной медицинской помощи в стационарных условиях взрослому населению представлен в приложении N 3 к настоящей Программе.</w:t>
      </w:r>
    </w:p>
    <w:p>
      <w:pPr>
        <w:pStyle w:val="0"/>
        <w:jc w:val="center"/>
      </w:pPr>
      <w:r>
        <w:rPr>
          <w:sz w:val="20"/>
        </w:rPr>
      </w:r>
    </w:p>
    <w:p>
      <w:pPr>
        <w:pStyle w:val="0"/>
        <w:jc w:val="center"/>
      </w:pPr>
      <w:r>
        <w:rPr>
          <w:sz w:val="20"/>
        </w:rPr>
        <w:t xml:space="preserve">Таблица 5. Расшифровка инфраструктуры оказания ПМП</w:t>
      </w:r>
    </w:p>
    <w:p>
      <w:pPr>
        <w:pStyle w:val="0"/>
        <w:jc w:val="center"/>
      </w:pPr>
      <w:r>
        <w:rPr>
          <w:sz w:val="20"/>
        </w:rPr>
        <w:t xml:space="preserve">в стационарных условиях взрослым на койках СУ, 2019 год</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99"/>
        <w:gridCol w:w="1094"/>
        <w:gridCol w:w="2438"/>
      </w:tblGrid>
      <w:tr>
        <w:tc>
          <w:tcPr>
            <w:tcW w:w="5499" w:type="dxa"/>
          </w:tcPr>
          <w:p>
            <w:pPr>
              <w:pStyle w:val="0"/>
              <w:jc w:val="center"/>
            </w:pPr>
            <w:r>
              <w:rPr>
                <w:sz w:val="20"/>
              </w:rPr>
              <w:t xml:space="preserve">Наименование медицинской организации</w:t>
            </w:r>
          </w:p>
        </w:tc>
        <w:tc>
          <w:tcPr>
            <w:tcW w:w="1094" w:type="dxa"/>
          </w:tcPr>
          <w:p>
            <w:pPr>
              <w:pStyle w:val="0"/>
              <w:jc w:val="center"/>
            </w:pPr>
            <w:r>
              <w:rPr>
                <w:sz w:val="20"/>
              </w:rPr>
              <w:t xml:space="preserve">Число коек, шт.</w:t>
            </w:r>
          </w:p>
        </w:tc>
        <w:tc>
          <w:tcPr>
            <w:tcW w:w="2438" w:type="dxa"/>
          </w:tcPr>
          <w:p>
            <w:pPr>
              <w:pStyle w:val="0"/>
              <w:jc w:val="center"/>
            </w:pPr>
            <w:r>
              <w:rPr>
                <w:sz w:val="20"/>
              </w:rPr>
              <w:t xml:space="preserve">Территория обслуживания</w:t>
            </w:r>
          </w:p>
        </w:tc>
      </w:tr>
      <w:tr>
        <w:tc>
          <w:tcPr>
            <w:tcW w:w="5499" w:type="dxa"/>
          </w:tcPr>
          <w:p>
            <w:pPr>
              <w:pStyle w:val="0"/>
              <w:jc w:val="both"/>
            </w:pPr>
            <w:r>
              <w:rPr>
                <w:sz w:val="20"/>
              </w:rPr>
              <w:t xml:space="preserve">ГБУЗС "Севастопольская городская больница N 9"</w:t>
            </w:r>
          </w:p>
        </w:tc>
        <w:tc>
          <w:tcPr>
            <w:tcW w:w="1094" w:type="dxa"/>
          </w:tcPr>
          <w:p>
            <w:pPr>
              <w:pStyle w:val="0"/>
              <w:jc w:val="center"/>
            </w:pPr>
            <w:r>
              <w:rPr>
                <w:sz w:val="20"/>
              </w:rPr>
              <w:t xml:space="preserve">30</w:t>
            </w:r>
          </w:p>
        </w:tc>
        <w:tc>
          <w:tcPr>
            <w:tcW w:w="2438" w:type="dxa"/>
          </w:tcPr>
          <w:p>
            <w:pPr>
              <w:pStyle w:val="0"/>
              <w:jc w:val="both"/>
            </w:pPr>
            <w:r>
              <w:rPr>
                <w:sz w:val="20"/>
              </w:rPr>
              <w:t xml:space="preserve">Балаклавский район, город Инкерман</w:t>
            </w:r>
          </w:p>
        </w:tc>
      </w:tr>
    </w:tbl>
    <w:p>
      <w:pPr>
        <w:pStyle w:val="0"/>
        <w:jc w:val="center"/>
      </w:pPr>
      <w:r>
        <w:rPr>
          <w:sz w:val="20"/>
        </w:rPr>
      </w:r>
    </w:p>
    <w:p>
      <w:pPr>
        <w:pStyle w:val="2"/>
        <w:outlineLvl w:val="4"/>
        <w:jc w:val="center"/>
      </w:pPr>
      <w:r>
        <w:rPr>
          <w:sz w:val="20"/>
        </w:rPr>
        <w:t xml:space="preserve">Оказание паллиативной специализированной медицинской помощи</w:t>
      </w:r>
    </w:p>
    <w:p>
      <w:pPr>
        <w:pStyle w:val="2"/>
        <w:jc w:val="center"/>
      </w:pPr>
      <w:r>
        <w:rPr>
          <w:sz w:val="20"/>
        </w:rPr>
        <w:t xml:space="preserve">в амбулаторных условиях взрослым</w:t>
      </w:r>
    </w:p>
    <w:p>
      <w:pPr>
        <w:pStyle w:val="0"/>
        <w:jc w:val="center"/>
      </w:pPr>
      <w:r>
        <w:rPr>
          <w:sz w:val="20"/>
        </w:rPr>
      </w:r>
    </w:p>
    <w:p>
      <w:pPr>
        <w:pStyle w:val="0"/>
        <w:ind w:firstLine="540"/>
        <w:jc w:val="both"/>
      </w:pPr>
      <w:r>
        <w:rPr>
          <w:sz w:val="20"/>
        </w:rPr>
        <w:t xml:space="preserve">На момент утверждения Программы в городе Севастополе паллиативная специализированная медицинская помощь в амбулаторных условиях взрослому населению оказывается в пяти медицинских организациях, в четырех из которых открыты кабинеты ПМП, а в двух - организована работа выездной патронажной службы ПМП.</w:t>
      </w:r>
    </w:p>
    <w:p>
      <w:pPr>
        <w:pStyle w:val="0"/>
      </w:pPr>
      <w:r>
        <w:rPr>
          <w:sz w:val="20"/>
        </w:rPr>
      </w:r>
    </w:p>
    <w:p>
      <w:pPr>
        <w:pStyle w:val="0"/>
        <w:jc w:val="center"/>
      </w:pPr>
      <w:r>
        <w:rPr>
          <w:sz w:val="20"/>
        </w:rPr>
        <w:t xml:space="preserve">Таблица 6. Инфраструктура оказания ПМП в амбулаторных</w:t>
      </w:r>
    </w:p>
    <w:p>
      <w:pPr>
        <w:pStyle w:val="0"/>
        <w:jc w:val="center"/>
      </w:pPr>
      <w:r>
        <w:rPr>
          <w:sz w:val="20"/>
        </w:rPr>
        <w:t xml:space="preserve">условиях взрослому населению, 2019 год</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70"/>
        <w:gridCol w:w="1417"/>
        <w:gridCol w:w="907"/>
        <w:gridCol w:w="1020"/>
        <w:gridCol w:w="1077"/>
        <w:gridCol w:w="907"/>
        <w:gridCol w:w="1077"/>
        <w:gridCol w:w="1134"/>
        <w:gridCol w:w="1417"/>
        <w:gridCol w:w="1020"/>
        <w:gridCol w:w="1134"/>
        <w:gridCol w:w="964"/>
        <w:gridCol w:w="1134"/>
      </w:tblGrid>
      <w:tr>
        <w:tc>
          <w:tcPr>
            <w:tcW w:w="2270" w:type="dxa"/>
          </w:tcPr>
          <w:p>
            <w:pPr>
              <w:pStyle w:val="0"/>
              <w:jc w:val="center"/>
            </w:pPr>
            <w:r>
              <w:rPr>
                <w:sz w:val="20"/>
              </w:rPr>
              <w:t xml:space="preserve">Наименование медицинской организации</w:t>
            </w:r>
          </w:p>
        </w:tc>
        <w:tc>
          <w:tcPr>
            <w:tcW w:w="1417" w:type="dxa"/>
          </w:tcPr>
          <w:p>
            <w:pPr>
              <w:pStyle w:val="0"/>
              <w:jc w:val="center"/>
            </w:pPr>
            <w:r>
              <w:rPr>
                <w:sz w:val="20"/>
              </w:rPr>
              <w:t xml:space="preserve">График работы</w:t>
            </w:r>
          </w:p>
        </w:tc>
        <w:tc>
          <w:tcPr>
            <w:tcW w:w="907" w:type="dxa"/>
          </w:tcPr>
          <w:p>
            <w:pPr>
              <w:pStyle w:val="0"/>
              <w:jc w:val="center"/>
            </w:pPr>
            <w:r>
              <w:rPr>
                <w:sz w:val="20"/>
              </w:rPr>
              <w:t xml:space="preserve">Число врачей ПМП, чел.</w:t>
            </w:r>
          </w:p>
        </w:tc>
        <w:tc>
          <w:tcPr>
            <w:tcW w:w="1020" w:type="dxa"/>
          </w:tcPr>
          <w:p>
            <w:pPr>
              <w:pStyle w:val="0"/>
              <w:jc w:val="center"/>
            </w:pPr>
            <w:r>
              <w:rPr>
                <w:sz w:val="20"/>
              </w:rPr>
              <w:t xml:space="preserve">Оснащенность автотранспортом, шт.</w:t>
            </w:r>
          </w:p>
        </w:tc>
        <w:tc>
          <w:tcPr>
            <w:tcW w:w="1077" w:type="dxa"/>
          </w:tcPr>
          <w:p>
            <w:pPr>
              <w:pStyle w:val="0"/>
              <w:jc w:val="center"/>
            </w:pPr>
            <w:r>
              <w:rPr>
                <w:sz w:val="20"/>
              </w:rPr>
              <w:t xml:space="preserve">Число пациентов, получивших ПМП, чел.</w:t>
            </w:r>
          </w:p>
        </w:tc>
        <w:tc>
          <w:tcPr>
            <w:tcW w:w="907" w:type="dxa"/>
          </w:tcPr>
          <w:p>
            <w:pPr>
              <w:pStyle w:val="0"/>
              <w:jc w:val="center"/>
            </w:pPr>
            <w:r>
              <w:rPr>
                <w:sz w:val="20"/>
              </w:rPr>
              <w:t xml:space="preserve">Число посещений, шт.</w:t>
            </w:r>
          </w:p>
        </w:tc>
        <w:tc>
          <w:tcPr>
            <w:tcW w:w="1077" w:type="dxa"/>
          </w:tcPr>
          <w:p>
            <w:pPr>
              <w:pStyle w:val="0"/>
              <w:jc w:val="center"/>
            </w:pPr>
            <w:r>
              <w:rPr>
                <w:sz w:val="20"/>
              </w:rPr>
              <w:t xml:space="preserve">Объем гос. задания, посещений</w:t>
            </w:r>
          </w:p>
        </w:tc>
        <w:tc>
          <w:tcPr>
            <w:tcW w:w="1134" w:type="dxa"/>
          </w:tcPr>
          <w:p>
            <w:pPr>
              <w:pStyle w:val="0"/>
              <w:jc w:val="center"/>
            </w:pPr>
            <w:r>
              <w:rPr>
                <w:sz w:val="20"/>
              </w:rPr>
              <w:t xml:space="preserve">Число выписанных рецептов на НЛП и ПЛП, шт.</w:t>
            </w:r>
          </w:p>
        </w:tc>
        <w:tc>
          <w:tcPr>
            <w:tcW w:w="1417" w:type="dxa"/>
          </w:tcPr>
          <w:p>
            <w:pPr>
              <w:pStyle w:val="0"/>
              <w:jc w:val="center"/>
            </w:pPr>
            <w:r>
              <w:rPr>
                <w:sz w:val="20"/>
              </w:rPr>
              <w:t xml:space="preserve">Число пациентов, которым выписаны рецепты на НЛП и ПЛП, шт.</w:t>
            </w:r>
          </w:p>
        </w:tc>
        <w:tc>
          <w:tcPr>
            <w:tcW w:w="1020" w:type="dxa"/>
          </w:tcPr>
          <w:p>
            <w:pPr>
              <w:pStyle w:val="0"/>
              <w:jc w:val="center"/>
            </w:pPr>
            <w:r>
              <w:rPr>
                <w:sz w:val="20"/>
              </w:rPr>
              <w:t xml:space="preserve">Наличие в укладке НЛП и ПЛП</w:t>
            </w:r>
          </w:p>
        </w:tc>
        <w:tc>
          <w:tcPr>
            <w:tcW w:w="1134" w:type="dxa"/>
          </w:tcPr>
          <w:p>
            <w:pPr>
              <w:pStyle w:val="0"/>
              <w:jc w:val="center"/>
            </w:pPr>
            <w:r>
              <w:rPr>
                <w:sz w:val="20"/>
              </w:rPr>
              <w:t xml:space="preserve">Наличие в укладке рецептов на НЛП и ПЛП</w:t>
            </w:r>
          </w:p>
        </w:tc>
        <w:tc>
          <w:tcPr>
            <w:tcW w:w="964" w:type="dxa"/>
          </w:tcPr>
          <w:p>
            <w:pPr>
              <w:pStyle w:val="0"/>
              <w:jc w:val="center"/>
            </w:pPr>
            <w:r>
              <w:rPr>
                <w:sz w:val="20"/>
              </w:rPr>
              <w:t xml:space="preserve">Лицензия на НС и ПВ</w:t>
            </w:r>
          </w:p>
        </w:tc>
        <w:tc>
          <w:tcPr>
            <w:tcW w:w="1134" w:type="dxa"/>
          </w:tcPr>
          <w:p>
            <w:pPr>
              <w:pStyle w:val="0"/>
              <w:jc w:val="center"/>
            </w:pPr>
            <w:r>
              <w:rPr>
                <w:sz w:val="20"/>
              </w:rPr>
              <w:t xml:space="preserve">Лицензия на ПМП в амбулаторных условиях</w:t>
            </w:r>
          </w:p>
        </w:tc>
      </w:tr>
      <w:tr>
        <w:tc>
          <w:tcPr>
            <w:gridSpan w:val="13"/>
            <w:tcW w:w="15478" w:type="dxa"/>
          </w:tcPr>
          <w:p>
            <w:pPr>
              <w:pStyle w:val="0"/>
              <w:jc w:val="both"/>
            </w:pPr>
            <w:r>
              <w:rPr>
                <w:sz w:val="20"/>
              </w:rPr>
              <w:t xml:space="preserve">Выездные патронажные службы паллиативной медицинской помощи</w:t>
            </w:r>
          </w:p>
        </w:tc>
      </w:tr>
      <w:tr>
        <w:tc>
          <w:tcPr>
            <w:tcW w:w="2270" w:type="dxa"/>
          </w:tcPr>
          <w:p>
            <w:pPr>
              <w:pStyle w:val="0"/>
              <w:jc w:val="both"/>
            </w:pPr>
            <w:r>
              <w:rPr>
                <w:sz w:val="20"/>
              </w:rPr>
              <w:t xml:space="preserve">ГБУЗС "Севастопольская городская больница N 9"</w:t>
            </w:r>
          </w:p>
        </w:tc>
        <w:tc>
          <w:tcPr>
            <w:tcW w:w="1417" w:type="dxa"/>
          </w:tcPr>
          <w:p>
            <w:pPr>
              <w:pStyle w:val="0"/>
              <w:jc w:val="both"/>
            </w:pPr>
            <w:r>
              <w:rPr>
                <w:sz w:val="20"/>
              </w:rPr>
              <w:t xml:space="preserve">Пн - Пт 8:00 - 17:00</w:t>
            </w:r>
          </w:p>
        </w:tc>
        <w:tc>
          <w:tcPr>
            <w:tcW w:w="907" w:type="dxa"/>
          </w:tcPr>
          <w:p>
            <w:pPr>
              <w:pStyle w:val="0"/>
              <w:jc w:val="center"/>
            </w:pPr>
            <w:r>
              <w:rPr>
                <w:sz w:val="20"/>
              </w:rPr>
              <w:t xml:space="preserve">2</w:t>
            </w:r>
          </w:p>
        </w:tc>
        <w:tc>
          <w:tcPr>
            <w:tcW w:w="1020" w:type="dxa"/>
          </w:tcPr>
          <w:p>
            <w:pPr>
              <w:pStyle w:val="0"/>
              <w:jc w:val="center"/>
            </w:pPr>
            <w:r>
              <w:rPr>
                <w:sz w:val="20"/>
              </w:rPr>
              <w:t xml:space="preserve">1</w:t>
            </w:r>
          </w:p>
        </w:tc>
        <w:tc>
          <w:tcPr>
            <w:tcW w:w="1077" w:type="dxa"/>
          </w:tcPr>
          <w:p>
            <w:pPr>
              <w:pStyle w:val="0"/>
              <w:jc w:val="center"/>
            </w:pPr>
            <w:r>
              <w:rPr>
                <w:sz w:val="20"/>
              </w:rPr>
              <w:t xml:space="preserve">402</w:t>
            </w:r>
          </w:p>
        </w:tc>
        <w:tc>
          <w:tcPr>
            <w:tcW w:w="907" w:type="dxa"/>
          </w:tcPr>
          <w:p>
            <w:pPr>
              <w:pStyle w:val="0"/>
              <w:jc w:val="center"/>
            </w:pPr>
            <w:r>
              <w:rPr>
                <w:sz w:val="20"/>
              </w:rPr>
              <w:t xml:space="preserve">1613</w:t>
            </w:r>
          </w:p>
        </w:tc>
        <w:tc>
          <w:tcPr>
            <w:tcW w:w="1077" w:type="dxa"/>
          </w:tcPr>
          <w:p>
            <w:pPr>
              <w:pStyle w:val="0"/>
              <w:jc w:val="center"/>
            </w:pPr>
            <w:r>
              <w:rPr>
                <w:sz w:val="20"/>
              </w:rPr>
              <w:t xml:space="preserve">1700</w:t>
            </w:r>
          </w:p>
        </w:tc>
        <w:tc>
          <w:tcPr>
            <w:tcW w:w="1134" w:type="dxa"/>
          </w:tcPr>
          <w:p>
            <w:pPr>
              <w:pStyle w:val="0"/>
              <w:jc w:val="center"/>
            </w:pPr>
            <w:r>
              <w:rPr>
                <w:sz w:val="20"/>
              </w:rPr>
              <w:t xml:space="preserve">95</w:t>
            </w:r>
          </w:p>
        </w:tc>
        <w:tc>
          <w:tcPr>
            <w:tcW w:w="1417" w:type="dxa"/>
          </w:tcPr>
          <w:p>
            <w:pPr>
              <w:pStyle w:val="0"/>
              <w:jc w:val="center"/>
            </w:pPr>
            <w:r>
              <w:rPr>
                <w:sz w:val="20"/>
              </w:rPr>
              <w:t xml:space="preserve">18</w:t>
            </w:r>
          </w:p>
        </w:tc>
        <w:tc>
          <w:tcPr>
            <w:tcW w:w="1020" w:type="dxa"/>
          </w:tcPr>
          <w:p>
            <w:pPr>
              <w:pStyle w:val="0"/>
              <w:jc w:val="center"/>
            </w:pPr>
            <w:r>
              <w:rPr>
                <w:sz w:val="20"/>
              </w:rPr>
              <w:t xml:space="preserve">Нет</w:t>
            </w:r>
          </w:p>
        </w:tc>
        <w:tc>
          <w:tcPr>
            <w:tcW w:w="1134" w:type="dxa"/>
          </w:tcPr>
          <w:p>
            <w:pPr>
              <w:pStyle w:val="0"/>
              <w:jc w:val="center"/>
            </w:pPr>
            <w:r>
              <w:rPr>
                <w:sz w:val="20"/>
              </w:rPr>
              <w:t xml:space="preserve">Нет</w:t>
            </w:r>
          </w:p>
        </w:tc>
        <w:tc>
          <w:tcPr>
            <w:tcW w:w="964" w:type="dxa"/>
          </w:tcPr>
          <w:p>
            <w:pPr>
              <w:pStyle w:val="0"/>
              <w:jc w:val="center"/>
            </w:pPr>
            <w:r>
              <w:rPr>
                <w:sz w:val="20"/>
              </w:rPr>
              <w:t xml:space="preserve">Да</w:t>
            </w:r>
          </w:p>
        </w:tc>
        <w:tc>
          <w:tcPr>
            <w:tcW w:w="1134" w:type="dxa"/>
          </w:tcPr>
          <w:p>
            <w:pPr>
              <w:pStyle w:val="0"/>
              <w:jc w:val="center"/>
            </w:pPr>
            <w:r>
              <w:rPr>
                <w:sz w:val="20"/>
              </w:rPr>
              <w:t xml:space="preserve">Да</w:t>
            </w:r>
          </w:p>
        </w:tc>
      </w:tr>
      <w:tr>
        <w:tc>
          <w:tcPr>
            <w:tcW w:w="2270" w:type="dxa"/>
          </w:tcPr>
          <w:p>
            <w:pPr>
              <w:pStyle w:val="0"/>
              <w:jc w:val="both"/>
            </w:pPr>
            <w:r>
              <w:rPr>
                <w:sz w:val="20"/>
              </w:rPr>
              <w:t xml:space="preserve">ГБУЗС "Севастопольский городской онкологический диспансер им. А.А. Задорожного" &lt;12&gt;</w:t>
            </w:r>
          </w:p>
        </w:tc>
        <w:tc>
          <w:tcPr>
            <w:tcW w:w="1417" w:type="dxa"/>
          </w:tcPr>
          <w:p>
            <w:pPr>
              <w:pStyle w:val="0"/>
              <w:jc w:val="both"/>
            </w:pPr>
            <w:r>
              <w:rPr>
                <w:sz w:val="20"/>
              </w:rPr>
              <w:t xml:space="preserve">Пн - Пт 8:00 - 17:00</w:t>
            </w:r>
          </w:p>
        </w:tc>
        <w:tc>
          <w:tcPr>
            <w:tcW w:w="907" w:type="dxa"/>
          </w:tcPr>
          <w:p>
            <w:pPr>
              <w:pStyle w:val="0"/>
              <w:jc w:val="center"/>
            </w:pPr>
            <w:r>
              <w:rPr>
                <w:sz w:val="20"/>
              </w:rPr>
              <w:t xml:space="preserve">1</w:t>
            </w:r>
          </w:p>
        </w:tc>
        <w:tc>
          <w:tcPr>
            <w:tcW w:w="1020" w:type="dxa"/>
          </w:tcPr>
          <w:p>
            <w:pPr>
              <w:pStyle w:val="0"/>
              <w:jc w:val="center"/>
            </w:pPr>
            <w:r>
              <w:rPr>
                <w:sz w:val="20"/>
              </w:rPr>
              <w:t xml:space="preserve">1</w:t>
            </w:r>
          </w:p>
        </w:tc>
        <w:tc>
          <w:tcPr>
            <w:tcW w:w="1077" w:type="dxa"/>
          </w:tcPr>
          <w:p>
            <w:pPr>
              <w:pStyle w:val="0"/>
              <w:jc w:val="center"/>
            </w:pPr>
            <w:r>
              <w:rPr>
                <w:sz w:val="20"/>
              </w:rPr>
              <w:t xml:space="preserve">122</w:t>
            </w:r>
          </w:p>
        </w:tc>
        <w:tc>
          <w:tcPr>
            <w:tcW w:w="907" w:type="dxa"/>
          </w:tcPr>
          <w:p>
            <w:pPr>
              <w:pStyle w:val="0"/>
              <w:jc w:val="center"/>
            </w:pPr>
            <w:r>
              <w:rPr>
                <w:sz w:val="20"/>
              </w:rPr>
              <w:t xml:space="preserve">136</w:t>
            </w:r>
          </w:p>
        </w:tc>
        <w:tc>
          <w:tcPr>
            <w:tcW w:w="1077" w:type="dxa"/>
          </w:tcPr>
          <w:p>
            <w:pPr>
              <w:pStyle w:val="0"/>
              <w:jc w:val="center"/>
            </w:pPr>
            <w:r>
              <w:rPr>
                <w:sz w:val="20"/>
              </w:rPr>
              <w:t xml:space="preserve">300</w:t>
            </w:r>
          </w:p>
        </w:tc>
        <w:tc>
          <w:tcPr>
            <w:tcW w:w="1134" w:type="dxa"/>
          </w:tcPr>
          <w:p>
            <w:pPr>
              <w:pStyle w:val="0"/>
              <w:jc w:val="center"/>
            </w:pPr>
            <w:r>
              <w:rPr>
                <w:sz w:val="20"/>
              </w:rPr>
              <w:t xml:space="preserve">0</w:t>
            </w:r>
          </w:p>
        </w:tc>
        <w:tc>
          <w:tcPr>
            <w:tcW w:w="1417" w:type="dxa"/>
          </w:tcPr>
          <w:p>
            <w:pPr>
              <w:pStyle w:val="0"/>
              <w:jc w:val="center"/>
            </w:pPr>
            <w:r>
              <w:rPr>
                <w:sz w:val="20"/>
              </w:rPr>
              <w:t xml:space="preserve">0</w:t>
            </w:r>
          </w:p>
        </w:tc>
        <w:tc>
          <w:tcPr>
            <w:tcW w:w="1020" w:type="dxa"/>
          </w:tcPr>
          <w:p>
            <w:pPr>
              <w:pStyle w:val="0"/>
              <w:jc w:val="center"/>
            </w:pPr>
            <w:r>
              <w:rPr>
                <w:sz w:val="20"/>
              </w:rPr>
              <w:t xml:space="preserve">Нет</w:t>
            </w:r>
          </w:p>
        </w:tc>
        <w:tc>
          <w:tcPr>
            <w:tcW w:w="1134" w:type="dxa"/>
          </w:tcPr>
          <w:p>
            <w:pPr>
              <w:pStyle w:val="0"/>
              <w:jc w:val="center"/>
            </w:pPr>
            <w:r>
              <w:rPr>
                <w:sz w:val="20"/>
              </w:rPr>
              <w:t xml:space="preserve">Нет</w:t>
            </w:r>
          </w:p>
        </w:tc>
        <w:tc>
          <w:tcPr>
            <w:tcW w:w="964" w:type="dxa"/>
          </w:tcPr>
          <w:p>
            <w:pPr>
              <w:pStyle w:val="0"/>
              <w:jc w:val="center"/>
            </w:pPr>
            <w:r>
              <w:rPr>
                <w:sz w:val="20"/>
              </w:rPr>
              <w:t xml:space="preserve">Да</w:t>
            </w:r>
          </w:p>
        </w:tc>
        <w:tc>
          <w:tcPr>
            <w:tcW w:w="1134" w:type="dxa"/>
          </w:tcPr>
          <w:p>
            <w:pPr>
              <w:pStyle w:val="0"/>
              <w:jc w:val="center"/>
            </w:pPr>
            <w:r>
              <w:rPr>
                <w:sz w:val="20"/>
              </w:rPr>
              <w:t xml:space="preserve">Да</w:t>
            </w:r>
          </w:p>
        </w:tc>
      </w:tr>
      <w:tr>
        <w:tc>
          <w:tcPr>
            <w:gridSpan w:val="13"/>
            <w:tcW w:w="15478" w:type="dxa"/>
          </w:tcPr>
          <w:p>
            <w:pPr>
              <w:pStyle w:val="0"/>
              <w:jc w:val="both"/>
            </w:pPr>
            <w:r>
              <w:rPr>
                <w:sz w:val="20"/>
              </w:rPr>
              <w:t xml:space="preserve">Кабинеты паллиативной медицинской помощи</w:t>
            </w:r>
          </w:p>
        </w:tc>
      </w:tr>
      <w:tr>
        <w:tc>
          <w:tcPr>
            <w:tcW w:w="2270" w:type="dxa"/>
          </w:tcPr>
          <w:p>
            <w:pPr>
              <w:pStyle w:val="0"/>
              <w:jc w:val="both"/>
            </w:pPr>
            <w:r>
              <w:rPr>
                <w:sz w:val="20"/>
              </w:rPr>
              <w:t xml:space="preserve">ГБУЗС "Городская больница N 1 им. Н.И. Пирогова"</w:t>
            </w:r>
          </w:p>
        </w:tc>
        <w:tc>
          <w:tcPr>
            <w:tcW w:w="1417" w:type="dxa"/>
          </w:tcPr>
          <w:p>
            <w:pPr>
              <w:pStyle w:val="0"/>
              <w:jc w:val="both"/>
            </w:pPr>
            <w:r>
              <w:rPr>
                <w:sz w:val="20"/>
              </w:rPr>
              <w:t xml:space="preserve">Вт, Ср, Пт 12:30 - 15:30</w:t>
            </w:r>
          </w:p>
        </w:tc>
        <w:tc>
          <w:tcPr>
            <w:tcW w:w="907" w:type="dxa"/>
          </w:tcPr>
          <w:p>
            <w:pPr>
              <w:pStyle w:val="0"/>
              <w:jc w:val="center"/>
            </w:pPr>
            <w:r>
              <w:rPr>
                <w:sz w:val="20"/>
              </w:rPr>
              <w:t xml:space="preserve">1</w:t>
            </w:r>
          </w:p>
        </w:tc>
        <w:tc>
          <w:tcPr>
            <w:tcW w:w="1020" w:type="dxa"/>
          </w:tcPr>
          <w:p>
            <w:pPr>
              <w:pStyle w:val="0"/>
              <w:jc w:val="center"/>
            </w:pPr>
            <w:r>
              <w:rPr>
                <w:sz w:val="20"/>
              </w:rPr>
              <w:t xml:space="preserve">0</w:t>
            </w:r>
          </w:p>
        </w:tc>
        <w:tc>
          <w:tcPr>
            <w:tcW w:w="1077" w:type="dxa"/>
          </w:tcPr>
          <w:p>
            <w:pPr>
              <w:pStyle w:val="0"/>
              <w:jc w:val="center"/>
            </w:pPr>
            <w:r>
              <w:rPr>
                <w:sz w:val="20"/>
              </w:rPr>
              <w:t xml:space="preserve">176</w:t>
            </w:r>
          </w:p>
        </w:tc>
        <w:tc>
          <w:tcPr>
            <w:tcW w:w="907" w:type="dxa"/>
          </w:tcPr>
          <w:p>
            <w:pPr>
              <w:pStyle w:val="0"/>
              <w:jc w:val="center"/>
            </w:pPr>
            <w:r>
              <w:rPr>
                <w:sz w:val="20"/>
              </w:rPr>
              <w:t xml:space="preserve">567</w:t>
            </w:r>
          </w:p>
        </w:tc>
        <w:tc>
          <w:tcPr>
            <w:tcW w:w="1077" w:type="dxa"/>
          </w:tcPr>
          <w:p>
            <w:pPr>
              <w:pStyle w:val="0"/>
              <w:jc w:val="center"/>
            </w:pPr>
            <w:r>
              <w:rPr>
                <w:sz w:val="20"/>
              </w:rPr>
              <w:t xml:space="preserve">1130</w:t>
            </w:r>
          </w:p>
        </w:tc>
        <w:tc>
          <w:tcPr>
            <w:tcW w:w="1134" w:type="dxa"/>
          </w:tcPr>
          <w:p>
            <w:pPr>
              <w:pStyle w:val="0"/>
              <w:jc w:val="center"/>
            </w:pPr>
            <w:r>
              <w:rPr>
                <w:sz w:val="20"/>
              </w:rPr>
              <w:t xml:space="preserve">675</w:t>
            </w:r>
          </w:p>
        </w:tc>
        <w:tc>
          <w:tcPr>
            <w:tcW w:w="1417" w:type="dxa"/>
          </w:tcPr>
          <w:p>
            <w:pPr>
              <w:pStyle w:val="0"/>
              <w:jc w:val="center"/>
            </w:pPr>
            <w:r>
              <w:rPr>
                <w:sz w:val="20"/>
              </w:rPr>
              <w:t xml:space="preserve">144</w:t>
            </w:r>
          </w:p>
        </w:tc>
        <w:tc>
          <w:tcPr>
            <w:tcW w:w="1020" w:type="dxa"/>
          </w:tcPr>
          <w:p>
            <w:pPr>
              <w:pStyle w:val="0"/>
              <w:jc w:val="center"/>
            </w:pPr>
            <w:r>
              <w:rPr>
                <w:sz w:val="20"/>
              </w:rPr>
              <w:t xml:space="preserve">Нет</w:t>
            </w:r>
          </w:p>
        </w:tc>
        <w:tc>
          <w:tcPr>
            <w:tcW w:w="1134" w:type="dxa"/>
          </w:tcPr>
          <w:p>
            <w:pPr>
              <w:pStyle w:val="0"/>
              <w:jc w:val="center"/>
            </w:pPr>
            <w:r>
              <w:rPr>
                <w:sz w:val="20"/>
              </w:rPr>
              <w:t xml:space="preserve">Нет</w:t>
            </w:r>
          </w:p>
        </w:tc>
        <w:tc>
          <w:tcPr>
            <w:tcW w:w="964" w:type="dxa"/>
          </w:tcPr>
          <w:p>
            <w:pPr>
              <w:pStyle w:val="0"/>
              <w:jc w:val="center"/>
            </w:pPr>
            <w:r>
              <w:rPr>
                <w:sz w:val="20"/>
              </w:rPr>
              <w:t xml:space="preserve">Да</w:t>
            </w:r>
          </w:p>
        </w:tc>
        <w:tc>
          <w:tcPr>
            <w:tcW w:w="1134" w:type="dxa"/>
          </w:tcPr>
          <w:p>
            <w:pPr>
              <w:pStyle w:val="0"/>
              <w:jc w:val="center"/>
            </w:pPr>
            <w:r>
              <w:rPr>
                <w:sz w:val="20"/>
              </w:rPr>
              <w:t xml:space="preserve">Да</w:t>
            </w:r>
          </w:p>
        </w:tc>
      </w:tr>
      <w:tr>
        <w:tc>
          <w:tcPr>
            <w:tcW w:w="2270" w:type="dxa"/>
          </w:tcPr>
          <w:p>
            <w:pPr>
              <w:pStyle w:val="0"/>
              <w:jc w:val="both"/>
            </w:pPr>
            <w:r>
              <w:rPr>
                <w:sz w:val="20"/>
              </w:rPr>
              <w:t xml:space="preserve">ГБУЗС "Городская больница N 4"</w:t>
            </w:r>
          </w:p>
        </w:tc>
        <w:tc>
          <w:tcPr>
            <w:tcW w:w="1417" w:type="dxa"/>
          </w:tcPr>
          <w:p>
            <w:pPr>
              <w:pStyle w:val="0"/>
              <w:jc w:val="both"/>
            </w:pPr>
            <w:r>
              <w:rPr>
                <w:sz w:val="20"/>
              </w:rPr>
              <w:t xml:space="preserve">Пн - Пт 8:00 - 11:30</w:t>
            </w:r>
          </w:p>
        </w:tc>
        <w:tc>
          <w:tcPr>
            <w:tcW w:w="907" w:type="dxa"/>
          </w:tcPr>
          <w:p>
            <w:pPr>
              <w:pStyle w:val="0"/>
              <w:jc w:val="center"/>
            </w:pPr>
            <w:r>
              <w:rPr>
                <w:sz w:val="20"/>
              </w:rPr>
              <w:t xml:space="preserve">1</w:t>
            </w:r>
          </w:p>
        </w:tc>
        <w:tc>
          <w:tcPr>
            <w:tcW w:w="1020" w:type="dxa"/>
          </w:tcPr>
          <w:p>
            <w:pPr>
              <w:pStyle w:val="0"/>
              <w:jc w:val="center"/>
            </w:pPr>
            <w:r>
              <w:rPr>
                <w:sz w:val="20"/>
              </w:rPr>
              <w:t xml:space="preserve">0</w:t>
            </w:r>
          </w:p>
        </w:tc>
        <w:tc>
          <w:tcPr>
            <w:tcW w:w="1077" w:type="dxa"/>
          </w:tcPr>
          <w:p>
            <w:pPr>
              <w:pStyle w:val="0"/>
              <w:jc w:val="center"/>
            </w:pPr>
            <w:r>
              <w:rPr>
                <w:sz w:val="20"/>
              </w:rPr>
              <w:t xml:space="preserve">128</w:t>
            </w:r>
          </w:p>
        </w:tc>
        <w:tc>
          <w:tcPr>
            <w:tcW w:w="907" w:type="dxa"/>
          </w:tcPr>
          <w:p>
            <w:pPr>
              <w:pStyle w:val="0"/>
              <w:jc w:val="center"/>
            </w:pPr>
            <w:r>
              <w:rPr>
                <w:sz w:val="20"/>
              </w:rPr>
              <w:t xml:space="preserve">166</w:t>
            </w:r>
          </w:p>
        </w:tc>
        <w:tc>
          <w:tcPr>
            <w:tcW w:w="1077" w:type="dxa"/>
          </w:tcPr>
          <w:p>
            <w:pPr>
              <w:pStyle w:val="0"/>
              <w:jc w:val="center"/>
            </w:pPr>
            <w:r>
              <w:rPr>
                <w:sz w:val="20"/>
              </w:rPr>
              <w:t xml:space="preserve">300</w:t>
            </w:r>
          </w:p>
        </w:tc>
        <w:tc>
          <w:tcPr>
            <w:tcW w:w="1134" w:type="dxa"/>
          </w:tcPr>
          <w:p>
            <w:pPr>
              <w:pStyle w:val="0"/>
              <w:jc w:val="center"/>
            </w:pPr>
            <w:r>
              <w:rPr>
                <w:sz w:val="20"/>
              </w:rPr>
              <w:t xml:space="preserve">174</w:t>
            </w:r>
          </w:p>
        </w:tc>
        <w:tc>
          <w:tcPr>
            <w:tcW w:w="1417" w:type="dxa"/>
          </w:tcPr>
          <w:p>
            <w:pPr>
              <w:pStyle w:val="0"/>
              <w:jc w:val="center"/>
            </w:pPr>
            <w:r>
              <w:rPr>
                <w:sz w:val="20"/>
              </w:rPr>
              <w:t xml:space="preserve">16</w:t>
            </w:r>
          </w:p>
        </w:tc>
        <w:tc>
          <w:tcPr>
            <w:tcW w:w="1020" w:type="dxa"/>
          </w:tcPr>
          <w:p>
            <w:pPr>
              <w:pStyle w:val="0"/>
              <w:jc w:val="center"/>
            </w:pPr>
            <w:r>
              <w:rPr>
                <w:sz w:val="20"/>
              </w:rPr>
              <w:t xml:space="preserve">Нет</w:t>
            </w:r>
          </w:p>
        </w:tc>
        <w:tc>
          <w:tcPr>
            <w:tcW w:w="1134" w:type="dxa"/>
          </w:tcPr>
          <w:p>
            <w:pPr>
              <w:pStyle w:val="0"/>
              <w:jc w:val="center"/>
            </w:pPr>
            <w:r>
              <w:rPr>
                <w:sz w:val="20"/>
              </w:rPr>
              <w:t xml:space="preserve">Нет</w:t>
            </w:r>
          </w:p>
        </w:tc>
        <w:tc>
          <w:tcPr>
            <w:tcW w:w="964" w:type="dxa"/>
          </w:tcPr>
          <w:p>
            <w:pPr>
              <w:pStyle w:val="0"/>
              <w:jc w:val="center"/>
            </w:pPr>
            <w:r>
              <w:rPr>
                <w:sz w:val="20"/>
              </w:rPr>
              <w:t xml:space="preserve">Да</w:t>
            </w:r>
          </w:p>
        </w:tc>
        <w:tc>
          <w:tcPr>
            <w:tcW w:w="1134" w:type="dxa"/>
          </w:tcPr>
          <w:p>
            <w:pPr>
              <w:pStyle w:val="0"/>
              <w:jc w:val="center"/>
            </w:pPr>
            <w:r>
              <w:rPr>
                <w:sz w:val="20"/>
              </w:rPr>
              <w:t xml:space="preserve">Да</w:t>
            </w:r>
          </w:p>
        </w:tc>
      </w:tr>
      <w:tr>
        <w:tc>
          <w:tcPr>
            <w:tcW w:w="2270" w:type="dxa"/>
          </w:tcPr>
          <w:p>
            <w:pPr>
              <w:pStyle w:val="0"/>
              <w:jc w:val="both"/>
            </w:pPr>
            <w:r>
              <w:rPr>
                <w:sz w:val="20"/>
              </w:rPr>
              <w:t xml:space="preserve">ГБУЗС "Севастопольская городская больница N 9"</w:t>
            </w:r>
          </w:p>
        </w:tc>
        <w:tc>
          <w:tcPr>
            <w:tcW w:w="1417" w:type="dxa"/>
          </w:tcPr>
          <w:p>
            <w:pPr>
              <w:pStyle w:val="0"/>
              <w:jc w:val="both"/>
            </w:pPr>
            <w:r>
              <w:rPr>
                <w:sz w:val="20"/>
              </w:rPr>
              <w:t xml:space="preserve">н/д</w:t>
            </w:r>
          </w:p>
        </w:tc>
        <w:tc>
          <w:tcPr>
            <w:tcW w:w="907" w:type="dxa"/>
          </w:tcPr>
          <w:p>
            <w:pPr>
              <w:pStyle w:val="0"/>
              <w:jc w:val="center"/>
            </w:pPr>
            <w:r>
              <w:rPr>
                <w:sz w:val="20"/>
              </w:rPr>
              <w:t xml:space="preserve">н/д</w:t>
            </w:r>
          </w:p>
        </w:tc>
        <w:tc>
          <w:tcPr>
            <w:tcW w:w="1020" w:type="dxa"/>
          </w:tcPr>
          <w:p>
            <w:pPr>
              <w:pStyle w:val="0"/>
              <w:jc w:val="center"/>
            </w:pPr>
            <w:r>
              <w:rPr>
                <w:sz w:val="20"/>
              </w:rPr>
              <w:t xml:space="preserve">н/д</w:t>
            </w:r>
          </w:p>
        </w:tc>
        <w:tc>
          <w:tcPr>
            <w:tcW w:w="1077" w:type="dxa"/>
          </w:tcPr>
          <w:p>
            <w:pPr>
              <w:pStyle w:val="0"/>
              <w:jc w:val="center"/>
            </w:pPr>
            <w:r>
              <w:rPr>
                <w:sz w:val="20"/>
              </w:rPr>
              <w:t xml:space="preserve">н/д</w:t>
            </w:r>
          </w:p>
        </w:tc>
        <w:tc>
          <w:tcPr>
            <w:tcW w:w="907" w:type="dxa"/>
          </w:tcPr>
          <w:p>
            <w:pPr>
              <w:pStyle w:val="0"/>
              <w:jc w:val="center"/>
            </w:pPr>
            <w:r>
              <w:rPr>
                <w:sz w:val="20"/>
              </w:rPr>
              <w:t xml:space="preserve">н/д</w:t>
            </w:r>
          </w:p>
        </w:tc>
        <w:tc>
          <w:tcPr>
            <w:tcW w:w="1077" w:type="dxa"/>
          </w:tcPr>
          <w:p>
            <w:pPr>
              <w:pStyle w:val="0"/>
              <w:jc w:val="center"/>
            </w:pPr>
            <w:r>
              <w:rPr>
                <w:sz w:val="20"/>
              </w:rPr>
              <w:t xml:space="preserve">300</w:t>
            </w:r>
          </w:p>
        </w:tc>
        <w:tc>
          <w:tcPr>
            <w:tcW w:w="1134" w:type="dxa"/>
          </w:tcPr>
          <w:p>
            <w:pPr>
              <w:pStyle w:val="0"/>
              <w:jc w:val="center"/>
            </w:pPr>
            <w:r>
              <w:rPr>
                <w:sz w:val="20"/>
              </w:rPr>
              <w:t xml:space="preserve">н/д</w:t>
            </w:r>
          </w:p>
        </w:tc>
        <w:tc>
          <w:tcPr>
            <w:tcW w:w="1417" w:type="dxa"/>
          </w:tcPr>
          <w:p>
            <w:pPr>
              <w:pStyle w:val="0"/>
              <w:jc w:val="center"/>
            </w:pPr>
            <w:r>
              <w:rPr>
                <w:sz w:val="20"/>
              </w:rPr>
              <w:t xml:space="preserve">н/д</w:t>
            </w:r>
          </w:p>
        </w:tc>
        <w:tc>
          <w:tcPr>
            <w:tcW w:w="1020" w:type="dxa"/>
          </w:tcPr>
          <w:p>
            <w:pPr>
              <w:pStyle w:val="0"/>
              <w:jc w:val="center"/>
            </w:pPr>
            <w:r>
              <w:rPr>
                <w:sz w:val="20"/>
              </w:rPr>
              <w:t xml:space="preserve">н/д</w:t>
            </w:r>
          </w:p>
        </w:tc>
        <w:tc>
          <w:tcPr>
            <w:tcW w:w="1134" w:type="dxa"/>
          </w:tcPr>
          <w:p>
            <w:pPr>
              <w:pStyle w:val="0"/>
              <w:jc w:val="center"/>
            </w:pPr>
            <w:r>
              <w:rPr>
                <w:sz w:val="20"/>
              </w:rPr>
              <w:t xml:space="preserve">н/д</w:t>
            </w:r>
          </w:p>
        </w:tc>
        <w:tc>
          <w:tcPr>
            <w:tcW w:w="964" w:type="dxa"/>
          </w:tcPr>
          <w:p>
            <w:pPr>
              <w:pStyle w:val="0"/>
              <w:jc w:val="center"/>
            </w:pPr>
            <w:r>
              <w:rPr>
                <w:sz w:val="20"/>
              </w:rPr>
              <w:t xml:space="preserve">Да</w:t>
            </w:r>
          </w:p>
        </w:tc>
        <w:tc>
          <w:tcPr>
            <w:tcW w:w="1134" w:type="dxa"/>
          </w:tcPr>
          <w:p>
            <w:pPr>
              <w:pStyle w:val="0"/>
              <w:jc w:val="center"/>
            </w:pPr>
            <w:r>
              <w:rPr>
                <w:sz w:val="20"/>
              </w:rPr>
              <w:t xml:space="preserve">Да</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&lt;12&gt; Оказывают паллиативную помощь пациентам онкологического профиля.</w:t>
      </w:r>
    </w:p>
    <w:p>
      <w:pPr>
        <w:pStyle w:val="0"/>
      </w:pPr>
      <w:r>
        <w:rPr>
          <w:sz w:val="20"/>
        </w:rPr>
      </w:r>
    </w:p>
    <w:p>
      <w:pPr>
        <w:pStyle w:val="0"/>
        <w:ind w:firstLine="540"/>
        <w:jc w:val="both"/>
      </w:pPr>
      <w:r>
        <w:rPr>
          <w:sz w:val="20"/>
        </w:rPr>
        <w:t xml:space="preserve">Выездная патронажная служба при ГБУЗС "Севастопольская городская больница N 9" оказывает паллиативную специализированную медицинскую помощь пациентам, проживающим на территории Балаклавского района, где проживает 41658 чел. взрослого населения. График работы выездной патронажной службы с понедельника по пятницу с 8:00 - 17:00.</w:t>
      </w:r>
    </w:p>
    <w:p>
      <w:pPr>
        <w:pStyle w:val="0"/>
        <w:spacing w:before="200" w:line-rule="auto"/>
        <w:ind w:firstLine="540"/>
        <w:jc w:val="both"/>
      </w:pPr>
      <w:r>
        <w:rPr>
          <w:sz w:val="20"/>
        </w:rPr>
        <w:t xml:space="preserve">В выездной патронажной службе работают два врача, при штатном расписании в две ставки, и две медицинские сестры, при штатном расписании в две ставки. Выездная патронажная служба оснащена одним санитарным автомобилем. Таким образом, в ГБУЗС "Севастопольская городская больница N 9" сформирована одна полноценная бригады выездной службы. За 2019 год выездная патронажная служба осуществила 1613 посещений на дому и оказала паллиативную медицинскую помощь 402 пациентам. Среднее количество выездов в день составило 3,3 выезда на одного врача. В укладках врачей выездной патронажной службы отсутствуют как рецепты на НЛП и ПЛП, так и сами препараты. Выписка рецептов на НЛП и ПЛП осуществляется в кабинете ПМП. За 2019 год было выписано 95 рецептов на НЛП и ПЛП.</w:t>
      </w:r>
    </w:p>
    <w:p>
      <w:pPr>
        <w:pStyle w:val="0"/>
        <w:spacing w:before="200" w:line-rule="auto"/>
        <w:ind w:firstLine="540"/>
        <w:jc w:val="both"/>
      </w:pPr>
      <w:r>
        <w:rPr>
          <w:sz w:val="20"/>
        </w:rPr>
        <w:t xml:space="preserve">Выездная патронажная служба при ГБУЗС "Севастопольский городской онкологический диспансер им. А.А. Задорожного" организована с 22.07.2019 и оказывает паллиативную специализированную медицинскую помощь пациентам на территории города Севастополя, где проживает 359752 чел. взрослого населения. Паллиативная специализированная медицинская помощь на дому оказывается преимущественно пациентам с онкологическим диагнозом. График работы выездной патронажной службы: с понедельника по пятницу с 8:00 - 17:00.</w:t>
      </w:r>
    </w:p>
    <w:p>
      <w:pPr>
        <w:pStyle w:val="0"/>
        <w:spacing w:before="200" w:line-rule="auto"/>
        <w:ind w:firstLine="540"/>
        <w:jc w:val="both"/>
      </w:pPr>
      <w:r>
        <w:rPr>
          <w:sz w:val="20"/>
        </w:rPr>
        <w:t xml:space="preserve">В выездной патронажной службе работает один врач на 0,25 ставки, средний медицинский персонал отсутствует. Выездная патронажная служба оснащена санитарным автомобилем. Таким образом, в ГБУЗС "Севастопольский городской онкологический диспансер им. А.А. Задорожного" отсутствуют полноценно сформированные бригады выездной службы. За неполный 2019 год выездная патронажная служба осуществила 136 посещений на дому и оказала паллиативную медицинскую помощь 122 пациентам. Среднее количество выездов в день составило 3,3 выезда на одного врача. В укладках врачей выездной патронажной службы отсутствуют как рецепты на НЛП и ПЛП, так и сами препараты.</w:t>
      </w:r>
    </w:p>
    <w:p>
      <w:pPr>
        <w:pStyle w:val="0"/>
      </w:pPr>
      <w:r>
        <w:rPr>
          <w:sz w:val="20"/>
        </w:rPr>
      </w:r>
    </w:p>
    <w:p>
      <w:pPr>
        <w:pStyle w:val="0"/>
        <w:jc w:val="center"/>
      </w:pPr>
      <w:r>
        <w:rPr>
          <w:sz w:val="20"/>
        </w:rPr>
        <w:t xml:space="preserve">Таблица 7. Расшифровка инфраструктуры оказания ПМП</w:t>
      </w:r>
    </w:p>
    <w:p>
      <w:pPr>
        <w:pStyle w:val="0"/>
        <w:jc w:val="center"/>
      </w:pPr>
      <w:r>
        <w:rPr>
          <w:sz w:val="20"/>
        </w:rPr>
        <w:t xml:space="preserve">в амбулаторных условиях взрослым</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1417"/>
        <w:gridCol w:w="1027"/>
        <w:gridCol w:w="2324"/>
      </w:tblGrid>
      <w:tr>
        <w:tc>
          <w:tcPr>
            <w:tcW w:w="4252" w:type="dxa"/>
          </w:tcPr>
          <w:p>
            <w:pPr>
              <w:pStyle w:val="0"/>
              <w:jc w:val="center"/>
            </w:pPr>
            <w:r>
              <w:rPr>
                <w:sz w:val="20"/>
              </w:rPr>
              <w:t xml:space="preserve">Наименование медицинской организации</w:t>
            </w:r>
          </w:p>
        </w:tc>
        <w:tc>
          <w:tcPr>
            <w:tcW w:w="1417" w:type="dxa"/>
          </w:tcPr>
          <w:p>
            <w:pPr>
              <w:pStyle w:val="0"/>
              <w:jc w:val="center"/>
            </w:pPr>
            <w:r>
              <w:rPr>
                <w:sz w:val="20"/>
              </w:rPr>
              <w:t xml:space="preserve">График работы</w:t>
            </w:r>
          </w:p>
        </w:tc>
        <w:tc>
          <w:tcPr>
            <w:tcW w:w="1027" w:type="dxa"/>
          </w:tcPr>
          <w:p>
            <w:pPr>
              <w:pStyle w:val="0"/>
              <w:jc w:val="center"/>
            </w:pPr>
            <w:r>
              <w:rPr>
                <w:sz w:val="20"/>
              </w:rPr>
              <w:t xml:space="preserve">Число врачей ПМП, чел.</w:t>
            </w:r>
          </w:p>
        </w:tc>
        <w:tc>
          <w:tcPr>
            <w:tcW w:w="2324" w:type="dxa"/>
          </w:tcPr>
          <w:p>
            <w:pPr>
              <w:pStyle w:val="0"/>
              <w:jc w:val="center"/>
            </w:pPr>
            <w:r>
              <w:rPr>
                <w:sz w:val="20"/>
              </w:rPr>
              <w:t xml:space="preserve">Территория обслуживания</w:t>
            </w:r>
          </w:p>
        </w:tc>
      </w:tr>
      <w:tr>
        <w:tc>
          <w:tcPr>
            <w:tcW w:w="4252" w:type="dxa"/>
          </w:tcPr>
          <w:p>
            <w:pPr>
              <w:pStyle w:val="0"/>
              <w:jc w:val="both"/>
            </w:pPr>
            <w:r>
              <w:rPr>
                <w:sz w:val="20"/>
              </w:rPr>
              <w:t xml:space="preserve">ГБУЗС "Севастопольская городская больница N 9"</w:t>
            </w:r>
          </w:p>
        </w:tc>
        <w:tc>
          <w:tcPr>
            <w:tcW w:w="1417" w:type="dxa"/>
          </w:tcPr>
          <w:p>
            <w:pPr>
              <w:pStyle w:val="0"/>
              <w:jc w:val="both"/>
            </w:pPr>
            <w:r>
              <w:rPr>
                <w:sz w:val="20"/>
              </w:rPr>
              <w:t xml:space="preserve">Пн - Пт 8:00 - 17:00</w:t>
            </w:r>
          </w:p>
        </w:tc>
        <w:tc>
          <w:tcPr>
            <w:tcW w:w="1027" w:type="dxa"/>
          </w:tcPr>
          <w:p>
            <w:pPr>
              <w:pStyle w:val="0"/>
              <w:jc w:val="center"/>
            </w:pPr>
            <w:r>
              <w:rPr>
                <w:sz w:val="20"/>
              </w:rPr>
              <w:t xml:space="preserve">2</w:t>
            </w:r>
          </w:p>
        </w:tc>
        <w:tc>
          <w:tcPr>
            <w:tcW w:w="2324" w:type="dxa"/>
          </w:tcPr>
          <w:p>
            <w:pPr>
              <w:pStyle w:val="0"/>
              <w:jc w:val="both"/>
            </w:pPr>
            <w:r>
              <w:rPr>
                <w:sz w:val="20"/>
              </w:rPr>
              <w:t xml:space="preserve">Балаклавский район город Инкерман</w:t>
            </w:r>
          </w:p>
        </w:tc>
      </w:tr>
      <w:tr>
        <w:tc>
          <w:tcPr>
            <w:tcW w:w="4252" w:type="dxa"/>
          </w:tcPr>
          <w:p>
            <w:pPr>
              <w:pStyle w:val="0"/>
              <w:jc w:val="both"/>
            </w:pPr>
            <w:r>
              <w:rPr>
                <w:sz w:val="20"/>
              </w:rPr>
              <w:t xml:space="preserve">ГБУЗС "Севастопольский городской онкологический диспансер им. А.А. Задорожного"</w:t>
            </w:r>
          </w:p>
        </w:tc>
        <w:tc>
          <w:tcPr>
            <w:tcW w:w="1417" w:type="dxa"/>
          </w:tcPr>
          <w:p>
            <w:pPr>
              <w:pStyle w:val="0"/>
              <w:jc w:val="both"/>
            </w:pPr>
            <w:r>
              <w:rPr>
                <w:sz w:val="20"/>
              </w:rPr>
              <w:t xml:space="preserve">Пн - Пт 8:00 - 17:00</w:t>
            </w:r>
          </w:p>
        </w:tc>
        <w:tc>
          <w:tcPr>
            <w:tcW w:w="1027" w:type="dxa"/>
          </w:tcPr>
          <w:p>
            <w:pPr>
              <w:pStyle w:val="0"/>
              <w:jc w:val="center"/>
            </w:pPr>
            <w:r>
              <w:rPr>
                <w:sz w:val="20"/>
              </w:rPr>
              <w:t xml:space="preserve">1</w:t>
            </w:r>
          </w:p>
        </w:tc>
        <w:tc>
          <w:tcPr>
            <w:tcW w:w="2324" w:type="dxa"/>
          </w:tcPr>
          <w:p>
            <w:pPr>
              <w:pStyle w:val="0"/>
              <w:jc w:val="both"/>
            </w:pPr>
            <w:r>
              <w:rPr>
                <w:sz w:val="20"/>
              </w:rPr>
              <w:t xml:space="preserve">город Севастополь</w:t>
            </w:r>
          </w:p>
        </w:tc>
      </w:tr>
    </w:tbl>
    <w:p>
      <w:pPr>
        <w:pStyle w:val="0"/>
        <w:ind w:firstLine="540"/>
        <w:jc w:val="both"/>
      </w:pPr>
      <w:r>
        <w:rPr>
          <w:sz w:val="20"/>
        </w:rPr>
      </w:r>
    </w:p>
    <w:p>
      <w:pPr>
        <w:pStyle w:val="0"/>
        <w:ind w:firstLine="540"/>
        <w:jc w:val="both"/>
      </w:pPr>
      <w:r>
        <w:rPr>
          <w:sz w:val="20"/>
        </w:rPr>
        <w:t xml:space="preserve">В 2019 году начали работу кабинеты ПМП в 4 медицинских организациях, где была оказана амбулаторная помощь 304 пациентам (167 пациентам, впервые обратившимся) и осуществлено 965 приемов. Общее число пациентов, которым были выписаны рецепты на наркотические и психотропные лекарственные препараты, составило 160 человек, общее количество выписанных рецептов на НЛП и ПЛП - 849 шт.</w:t>
      </w:r>
    </w:p>
    <w:p>
      <w:pPr>
        <w:pStyle w:val="0"/>
        <w:spacing w:before="200" w:line-rule="auto"/>
        <w:ind w:firstLine="540"/>
        <w:jc w:val="both"/>
      </w:pPr>
      <w:r>
        <w:rPr>
          <w:sz w:val="20"/>
        </w:rPr>
        <w:t xml:space="preserve">В большинстве кабинетов ПМП работают врачи паллиативной помощи по совместительству на 0,25 - 0,5 ставки. В среднем продолжительность работы большинства кабинетов ПМП в городе Севастополе около трех часов. Таким образом, с учетом высокой транспортной доступности, наличия двух функционирующих отделений выездной патронажной ПМП, а также графика работы кабинетов ПМП можно сделать вывод о низкой эффективности кабинетов ПМП.</w:t>
      </w:r>
    </w:p>
    <w:p>
      <w:pPr>
        <w:pStyle w:val="0"/>
        <w:spacing w:before="200" w:line-rule="auto"/>
        <w:ind w:firstLine="540"/>
        <w:jc w:val="both"/>
      </w:pPr>
      <w:r>
        <w:rPr>
          <w:sz w:val="20"/>
        </w:rPr>
        <w:t xml:space="preserve">На момент утверждения Программы общая потребность во врачах для оказания паллиативной специализированной медицинской помощи в амбулаторных условиях в городе Севастополе, в том числе на дому, составляет четыре врача.</w:t>
      </w:r>
    </w:p>
    <w:p>
      <w:pPr>
        <w:pStyle w:val="0"/>
        <w:spacing w:before="200" w:line-rule="auto"/>
        <w:ind w:firstLine="540"/>
        <w:jc w:val="both"/>
      </w:pPr>
      <w:hyperlink w:history="0" w:anchor="P30140" w:tooltip="Расчет потребности в амбулаторной помощи взрослым">
        <w:r>
          <w:rPr>
            <w:sz w:val="20"/>
            <w:color w:val="0000ff"/>
          </w:rPr>
          <w:t xml:space="preserve">Расчет</w:t>
        </w:r>
      </w:hyperlink>
      <w:r>
        <w:rPr>
          <w:sz w:val="20"/>
        </w:rPr>
        <w:t xml:space="preserve"> потребности во врачах паллиативной медицинской помощи для оказания паллиативной специализированной медицинской помощи в амбулаторных условиях взрослым, в том числе на дому, представлен в приложении 4 к настоящей Программе.</w:t>
      </w:r>
    </w:p>
    <w:p>
      <w:pPr>
        <w:pStyle w:val="0"/>
      </w:pPr>
      <w:r>
        <w:rPr>
          <w:sz w:val="20"/>
        </w:rPr>
      </w:r>
    </w:p>
    <w:p>
      <w:pPr>
        <w:pStyle w:val="0"/>
        <w:jc w:val="center"/>
      </w:pPr>
      <w:r>
        <w:rPr>
          <w:sz w:val="20"/>
        </w:rPr>
        <w:t xml:space="preserve">Рисунок 9. Доступность ВПС для взрослого населения</w:t>
      </w:r>
    </w:p>
    <w:p>
      <w:pPr>
        <w:pStyle w:val="0"/>
        <w:jc w:val="center"/>
      </w:pPr>
      <w:r>
        <w:rPr>
          <w:sz w:val="20"/>
        </w:rPr>
        <w:t xml:space="preserve">с учетом доезда в 60 минут</w:t>
      </w:r>
    </w:p>
    <w:p>
      <w:pPr>
        <w:pStyle w:val="0"/>
        <w:jc w:val="center"/>
      </w:pPr>
      <w:r>
        <w:rPr>
          <w:sz w:val="20"/>
        </w:rPr>
      </w:r>
    </w:p>
    <w:tbl>
      <w:tblPr>
        <w:tblInd w:w="0" w:type="dxa"/>
        <w:tblLayout w:type="fixed"/>
        <w:tblCellMar>
          <w:top w:w="102" w:type="dxa"/>
          <w:left w:w="62" w:type="dxa"/>
          <w:bottom w:w="102" w:type="dxa"/>
          <w:right w:w="62" w:type="dxa"/>
        </w:tblCellMar>
      </w:tblPr>
      <w:tblGrid>
        <w:gridCol w:w="6293"/>
        <w:gridCol w:w="2778"/>
      </w:tblGrid>
      <w:tr>
        <w:tc>
          <w:tcPr>
            <w:tcW w:w="6293" w:type="dxa"/>
            <w:tcBorders>
              <w:top w:val="nil"/>
              <w:left w:val="nil"/>
              <w:bottom w:val="nil"/>
              <w:right w:val="nil"/>
            </w:tcBorders>
            <w:vMerge w:val="restart"/>
          </w:tcPr>
          <w:p>
            <w:pPr>
              <w:pStyle w:val="0"/>
              <w:jc w:val="both"/>
            </w:pPr>
            <w:r>
              <w:rPr>
                <w:position w:val="-248"/>
              </w:rPr>
              <w:drawing>
                <wp:inline distT="0" distB="0" distL="0" distR="0">
                  <wp:extent cx="3602355" cy="3279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a:extLst>
                              <a:ext uri="{28A0092B-C50C-407E-A947-70E740481C1C}">
                                <a14:useLocalDpi xmlns:a14="http://schemas.microsoft.com/office/drawing/2010/main" val="0"/>
                              </a:ext>
                            </a:extLst>
                          </a:blip>
                          <a:srcRect/>
                          <a:stretch>
                            <a:fillRect/>
                          </a:stretch>
                        </pic:blipFill>
                        <pic:spPr bwMode="auto">
                          <a:xfrm>
                            <a:off x="0" y="0"/>
                            <a:ext cx="3602355" cy="3279140"/>
                          </a:xfrm>
                          <a:prstGeom prst="rect">
                            <a:avLst/>
                          </a:prstGeom>
                          <a:noFill/>
                          <a:ln>
                            <a:noFill/>
                          </a:ln>
                        </pic:spPr>
                      </pic:pic>
                    </a:graphicData>
                  </a:graphic>
                </wp:inline>
              </w:drawing>
            </w:r>
          </w:p>
        </w:tc>
        <w:tc>
          <w:tcPr>
            <w:tcW w:w="2778" w:type="dxa"/>
            <w:tcBorders>
              <w:top w:val="nil"/>
              <w:left w:val="nil"/>
              <w:bottom w:val="nil"/>
              <w:right w:val="nil"/>
            </w:tcBorders>
          </w:tcPr>
          <w:p>
            <w:pPr>
              <w:pStyle w:val="0"/>
              <w:jc w:val="both"/>
            </w:pPr>
            <w:r>
              <w:rPr>
                <w:sz w:val="20"/>
              </w:rPr>
            </w:r>
          </w:p>
        </w:tc>
      </w:tr>
      <w:tr>
        <w:tc>
          <w:tcPr>
            <w:tcBorders>
              <w:top w:val="nil"/>
              <w:left w:val="nil"/>
              <w:bottom w:val="nil"/>
              <w:right w:val="nil"/>
            </w:tcBorders>
            <w:vMerge w:val="continue"/>
          </w:tcPr>
          <w:p/>
        </w:tc>
        <w:tc>
          <w:tcPr>
            <w:tcW w:w="2778" w:type="dxa"/>
            <w:tcBorders>
              <w:top w:val="nil"/>
              <w:left w:val="nil"/>
              <w:bottom w:val="nil"/>
              <w:right w:val="nil"/>
            </w:tcBorders>
          </w:tcPr>
          <w:p>
            <w:pPr>
              <w:pStyle w:val="0"/>
              <w:jc w:val="both"/>
            </w:pPr>
            <w:r>
              <w:rPr>
                <w:sz w:val="20"/>
              </w:rPr>
            </w:r>
          </w:p>
        </w:tc>
      </w:tr>
      <w:tr>
        <w:tc>
          <w:tcPr>
            <w:tcBorders>
              <w:top w:val="nil"/>
              <w:left w:val="nil"/>
              <w:bottom w:val="nil"/>
              <w:right w:val="nil"/>
            </w:tcBorders>
            <w:vMerge w:val="continue"/>
          </w:tcPr>
          <w:p/>
        </w:tc>
        <w:tc>
          <w:tcPr>
            <w:tcW w:w="2778" w:type="dxa"/>
            <w:tcBorders>
              <w:top w:val="nil"/>
              <w:left w:val="nil"/>
              <w:bottom w:val="nil"/>
              <w:right w:val="nil"/>
            </w:tcBorders>
          </w:tcPr>
          <w:p>
            <w:pPr>
              <w:pStyle w:val="0"/>
              <w:jc w:val="both"/>
            </w:pPr>
            <w:r>
              <w:rPr>
                <w:sz w:val="20"/>
              </w:rPr>
            </w:r>
          </w:p>
        </w:tc>
      </w:tr>
      <w:tr>
        <w:tc>
          <w:tcPr>
            <w:tcBorders>
              <w:top w:val="nil"/>
              <w:left w:val="nil"/>
              <w:bottom w:val="nil"/>
              <w:right w:val="nil"/>
            </w:tcBorders>
            <w:vMerge w:val="continue"/>
          </w:tcPr>
          <w:p/>
        </w:tc>
        <w:tc>
          <w:tcPr>
            <w:tcW w:w="2778" w:type="dxa"/>
            <w:tcBorders>
              <w:top w:val="nil"/>
              <w:left w:val="nil"/>
              <w:bottom w:val="nil"/>
              <w:right w:val="nil"/>
            </w:tcBorders>
          </w:tcPr>
          <w:p>
            <w:pPr>
              <w:pStyle w:val="0"/>
              <w:jc w:val="both"/>
            </w:pPr>
            <w:r>
              <w:rPr>
                <w:sz w:val="20"/>
              </w:rPr>
            </w:r>
          </w:p>
        </w:tc>
      </w:tr>
      <w:tr>
        <w:tc>
          <w:tcPr>
            <w:tcBorders>
              <w:top w:val="nil"/>
              <w:left w:val="nil"/>
              <w:bottom w:val="nil"/>
              <w:right w:val="nil"/>
            </w:tcBorders>
            <w:vMerge w:val="continue"/>
          </w:tcPr>
          <w:p/>
        </w:tc>
        <w:tc>
          <w:tcPr>
            <w:tcW w:w="2778" w:type="dxa"/>
            <w:tcBorders>
              <w:top w:val="nil"/>
              <w:left w:val="nil"/>
              <w:bottom w:val="nil"/>
              <w:right w:val="nil"/>
            </w:tcBorders>
          </w:tcPr>
          <w:p>
            <w:pPr>
              <w:pStyle w:val="0"/>
              <w:jc w:val="both"/>
            </w:pPr>
            <w:r>
              <w:rPr>
                <w:sz w:val="20"/>
              </w:rPr>
            </w:r>
          </w:p>
        </w:tc>
      </w:tr>
      <w:tr>
        <w:tc>
          <w:tcPr>
            <w:tcBorders>
              <w:top w:val="nil"/>
              <w:left w:val="nil"/>
              <w:bottom w:val="nil"/>
              <w:right w:val="nil"/>
            </w:tcBorders>
            <w:vMerge w:val="continue"/>
          </w:tcPr>
          <w:p/>
        </w:tc>
        <w:tc>
          <w:tcPr>
            <w:tcW w:w="2778" w:type="dxa"/>
            <w:tcBorders>
              <w:top w:val="nil"/>
              <w:left w:val="nil"/>
              <w:bottom w:val="nil"/>
              <w:right w:val="nil"/>
            </w:tcBorders>
          </w:tcPr>
          <w:p>
            <w:pPr>
              <w:pStyle w:val="0"/>
              <w:jc w:val="both"/>
            </w:pPr>
            <w:r>
              <w:rPr>
                <w:sz w:val="20"/>
              </w:rPr>
            </w:r>
          </w:p>
        </w:tc>
      </w:tr>
      <w:tr>
        <w:tc>
          <w:tcPr>
            <w:tcBorders>
              <w:top w:val="nil"/>
              <w:left w:val="nil"/>
              <w:bottom w:val="nil"/>
              <w:right w:val="nil"/>
            </w:tcBorders>
            <w:vMerge w:val="continue"/>
          </w:tcPr>
          <w:p/>
        </w:tc>
        <w:tc>
          <w:tcPr>
            <w:tcW w:w="2778" w:type="dxa"/>
            <w:tcBorders>
              <w:top w:val="nil"/>
              <w:left w:val="nil"/>
              <w:bottom w:val="nil"/>
              <w:right w:val="nil"/>
            </w:tcBorders>
          </w:tcPr>
          <w:p>
            <w:pPr>
              <w:pStyle w:val="0"/>
              <w:jc w:val="both"/>
            </w:pPr>
            <w:r>
              <w:rPr>
                <w:sz w:val="20"/>
              </w:rPr>
            </w:r>
          </w:p>
        </w:tc>
      </w:tr>
      <w:tr>
        <w:tc>
          <w:tcPr>
            <w:tcBorders>
              <w:top w:val="nil"/>
              <w:left w:val="nil"/>
              <w:bottom w:val="nil"/>
              <w:right w:val="nil"/>
            </w:tcBorders>
            <w:vMerge w:val="continue"/>
          </w:tcPr>
          <w:p/>
        </w:tc>
        <w:tc>
          <w:tcPr>
            <w:tcW w:w="2778" w:type="dxa"/>
            <w:tcBorders>
              <w:top w:val="nil"/>
              <w:left w:val="nil"/>
              <w:bottom w:val="nil"/>
              <w:right w:val="nil"/>
            </w:tcBorders>
          </w:tcPr>
          <w:p>
            <w:pPr>
              <w:pStyle w:val="0"/>
              <w:jc w:val="both"/>
            </w:pPr>
            <w:r>
              <w:rPr>
                <w:position w:val="-77"/>
              </w:rPr>
              <w:drawing>
                <wp:inline distT="0" distB="0" distL="0" distR="0">
                  <wp:extent cx="1621155" cy="1115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a:extLst>
                              <a:ext uri="{28A0092B-C50C-407E-A947-70E740481C1C}">
                                <a14:useLocalDpi xmlns:a14="http://schemas.microsoft.com/office/drawing/2010/main" val="0"/>
                              </a:ext>
                            </a:extLst>
                          </a:blip>
                          <a:srcRect/>
                          <a:stretch>
                            <a:fillRect/>
                          </a:stretch>
                        </pic:blipFill>
                        <pic:spPr bwMode="auto">
                          <a:xfrm>
                            <a:off x="0" y="0"/>
                            <a:ext cx="1621155" cy="1115695"/>
                          </a:xfrm>
                          <a:prstGeom prst="rect">
                            <a:avLst/>
                          </a:prstGeom>
                          <a:noFill/>
                          <a:ln>
                            <a:noFill/>
                          </a:ln>
                        </pic:spPr>
                      </pic:pic>
                    </a:graphicData>
                  </a:graphic>
                </wp:inline>
              </w:drawing>
            </w:r>
          </w:p>
        </w:tc>
      </w:tr>
    </w:tbl>
    <w:p>
      <w:pPr>
        <w:pStyle w:val="0"/>
      </w:pPr>
      <w:r>
        <w:rPr>
          <w:sz w:val="20"/>
        </w:rPr>
      </w:r>
    </w:p>
    <w:p>
      <w:pPr>
        <w:pStyle w:val="0"/>
        <w:ind w:firstLine="540"/>
        <w:jc w:val="both"/>
      </w:pPr>
      <w:r>
        <w:rPr>
          <w:sz w:val="20"/>
        </w:rPr>
        <w:t xml:space="preserve">С учетом моделирования доступности паллиативной специализированной медицинской помощи в амбулаторных условиях для взрослого населения, а также учитывая профильность пациентов, получающих ПМП в амбулаторных условиях, в ГБУЗС "Севастопольский городской онкологический диспансер им. А.А. Задорожного", можно сделать вывод, что при условии полноценной работы текущей инфраструктуры медицинских организаций для оказания ПМП в амбулаторных условиях достаточно для обеспечения потребности взрослого населения города Севастополя.</w:t>
      </w:r>
    </w:p>
    <w:p>
      <w:pPr>
        <w:pStyle w:val="0"/>
        <w:spacing w:before="200" w:line-rule="auto"/>
        <w:ind w:firstLine="540"/>
        <w:jc w:val="both"/>
      </w:pPr>
      <w:r>
        <w:rPr>
          <w:sz w:val="20"/>
        </w:rPr>
        <w:t xml:space="preserve">Для повышения качества специализированной медицинской помощи взрослым в амбулаторных условиях, в том числе на дому, необходимо увеличить количество бригад отделений выездной патронажной паллиативной медицинской помощи взрослым в соответствии с потребностью города Севастополя.</w:t>
      </w:r>
    </w:p>
    <w:p>
      <w:pPr>
        <w:pStyle w:val="0"/>
      </w:pPr>
      <w:r>
        <w:rPr>
          <w:sz w:val="20"/>
        </w:rPr>
      </w:r>
    </w:p>
    <w:p>
      <w:pPr>
        <w:pStyle w:val="2"/>
        <w:outlineLvl w:val="4"/>
        <w:jc w:val="center"/>
      </w:pPr>
      <w:r>
        <w:rPr>
          <w:sz w:val="20"/>
        </w:rPr>
        <w:t xml:space="preserve">Оказание паллиативной специализированной медицинской помощи</w:t>
      </w:r>
    </w:p>
    <w:p>
      <w:pPr>
        <w:pStyle w:val="2"/>
        <w:jc w:val="center"/>
      </w:pPr>
      <w:r>
        <w:rPr>
          <w:sz w:val="20"/>
        </w:rPr>
        <w:t xml:space="preserve">в стационарных условиях детям</w:t>
      </w:r>
    </w:p>
    <w:p>
      <w:pPr>
        <w:pStyle w:val="0"/>
        <w:jc w:val="center"/>
      </w:pPr>
      <w:r>
        <w:rPr>
          <w:sz w:val="20"/>
        </w:rPr>
      </w:r>
    </w:p>
    <w:p>
      <w:pPr>
        <w:pStyle w:val="0"/>
        <w:ind w:firstLine="540"/>
        <w:jc w:val="both"/>
      </w:pPr>
      <w:r>
        <w:rPr>
          <w:sz w:val="20"/>
        </w:rPr>
        <w:t xml:space="preserve">Паллиативная специализированная медицинская помощь детям оказывается в городе Севастополе на базе ГБУЗС "Городская больница N 5".</w:t>
      </w:r>
    </w:p>
    <w:p>
      <w:pPr>
        <w:pStyle w:val="0"/>
        <w:spacing w:before="200" w:line-rule="auto"/>
        <w:ind w:firstLine="540"/>
        <w:jc w:val="both"/>
      </w:pPr>
      <w:r>
        <w:rPr>
          <w:sz w:val="20"/>
        </w:rPr>
        <w:t xml:space="preserve">На момент утверждения программы общий коечный фонд для оказания паллиативной специализированной медицинской помощи в стационарных условиях детям составляет две койки ПМП, которые функционируют в составе педиатрического отделения. Медицинская организация имеет лицензии на деятельность по обороту наркотических средств, психотропных веществ и их прекурсоров, а также на оказание паллиативной медицинской помощи в стационарных условиях.</w:t>
      </w:r>
    </w:p>
    <w:p>
      <w:pPr>
        <w:pStyle w:val="0"/>
      </w:pPr>
      <w:r>
        <w:rPr>
          <w:sz w:val="20"/>
        </w:rPr>
      </w:r>
    </w:p>
    <w:p>
      <w:pPr>
        <w:pStyle w:val="0"/>
        <w:jc w:val="center"/>
      </w:pPr>
      <w:r>
        <w:rPr>
          <w:sz w:val="20"/>
        </w:rPr>
        <w:t xml:space="preserve">Таблица 8. Инфраструктура оказания ПМП в стационарных</w:t>
      </w:r>
    </w:p>
    <w:p>
      <w:pPr>
        <w:pStyle w:val="0"/>
        <w:jc w:val="center"/>
      </w:pPr>
      <w:r>
        <w:rPr>
          <w:sz w:val="20"/>
        </w:rPr>
        <w:t xml:space="preserve">условиях детям, 2019 год</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737"/>
        <w:gridCol w:w="850"/>
        <w:gridCol w:w="850"/>
        <w:gridCol w:w="850"/>
        <w:gridCol w:w="793"/>
        <w:gridCol w:w="1020"/>
        <w:gridCol w:w="793"/>
        <w:gridCol w:w="963"/>
      </w:tblGrid>
      <w:tr>
        <w:tc>
          <w:tcPr>
            <w:tcW w:w="2211" w:type="dxa"/>
          </w:tcPr>
          <w:p>
            <w:pPr>
              <w:pStyle w:val="0"/>
              <w:jc w:val="center"/>
            </w:pPr>
            <w:r>
              <w:rPr>
                <w:sz w:val="20"/>
              </w:rPr>
              <w:t xml:space="preserve">Наименование медицинской организации</w:t>
            </w:r>
          </w:p>
        </w:tc>
        <w:tc>
          <w:tcPr>
            <w:tcW w:w="737" w:type="dxa"/>
          </w:tcPr>
          <w:p>
            <w:pPr>
              <w:pStyle w:val="0"/>
              <w:jc w:val="center"/>
            </w:pPr>
            <w:r>
              <w:rPr>
                <w:sz w:val="20"/>
              </w:rPr>
              <w:t xml:space="preserve">Число коек, шт.</w:t>
            </w:r>
          </w:p>
        </w:tc>
        <w:tc>
          <w:tcPr>
            <w:tcW w:w="850" w:type="dxa"/>
          </w:tcPr>
          <w:p>
            <w:pPr>
              <w:pStyle w:val="0"/>
              <w:jc w:val="center"/>
            </w:pPr>
            <w:r>
              <w:rPr>
                <w:sz w:val="20"/>
              </w:rPr>
              <w:t xml:space="preserve">Число пролеченных пациентов ПП, чел.</w:t>
            </w:r>
          </w:p>
        </w:tc>
        <w:tc>
          <w:tcPr>
            <w:tcW w:w="850" w:type="dxa"/>
          </w:tcPr>
          <w:p>
            <w:pPr>
              <w:pStyle w:val="0"/>
              <w:jc w:val="center"/>
            </w:pPr>
            <w:r>
              <w:rPr>
                <w:sz w:val="20"/>
              </w:rPr>
              <w:t xml:space="preserve">Объем гос. задания, койко-дней</w:t>
            </w:r>
          </w:p>
        </w:tc>
        <w:tc>
          <w:tcPr>
            <w:tcW w:w="850" w:type="dxa"/>
          </w:tcPr>
          <w:p>
            <w:pPr>
              <w:pStyle w:val="0"/>
              <w:jc w:val="center"/>
            </w:pPr>
            <w:r>
              <w:rPr>
                <w:sz w:val="20"/>
              </w:rPr>
              <w:t xml:space="preserve">Летальность, %</w:t>
            </w:r>
          </w:p>
        </w:tc>
        <w:tc>
          <w:tcPr>
            <w:tcW w:w="793" w:type="dxa"/>
          </w:tcPr>
          <w:p>
            <w:pPr>
              <w:pStyle w:val="0"/>
              <w:jc w:val="center"/>
            </w:pPr>
            <w:r>
              <w:rPr>
                <w:sz w:val="20"/>
              </w:rPr>
              <w:t xml:space="preserve">Стоимость койко-дня, руб.</w:t>
            </w:r>
          </w:p>
        </w:tc>
        <w:tc>
          <w:tcPr>
            <w:tcW w:w="1020" w:type="dxa"/>
          </w:tcPr>
          <w:p>
            <w:pPr>
              <w:pStyle w:val="0"/>
              <w:jc w:val="center"/>
            </w:pPr>
            <w:r>
              <w:rPr>
                <w:sz w:val="20"/>
              </w:rPr>
              <w:t xml:space="preserve">Средняя длительность пребывания на койке, койко-дней</w:t>
            </w:r>
          </w:p>
        </w:tc>
        <w:tc>
          <w:tcPr>
            <w:tcW w:w="793" w:type="dxa"/>
          </w:tcPr>
          <w:p>
            <w:pPr>
              <w:pStyle w:val="0"/>
              <w:jc w:val="center"/>
            </w:pPr>
            <w:r>
              <w:rPr>
                <w:sz w:val="20"/>
              </w:rPr>
              <w:t xml:space="preserve">Лицензия на НС и ПВ</w:t>
            </w:r>
          </w:p>
        </w:tc>
        <w:tc>
          <w:tcPr>
            <w:tcW w:w="963" w:type="dxa"/>
          </w:tcPr>
          <w:p>
            <w:pPr>
              <w:pStyle w:val="0"/>
              <w:jc w:val="center"/>
            </w:pPr>
            <w:r>
              <w:rPr>
                <w:sz w:val="20"/>
              </w:rPr>
              <w:t xml:space="preserve">Лицензия на ПМП в стационарных условиях</w:t>
            </w:r>
          </w:p>
        </w:tc>
      </w:tr>
      <w:tr>
        <w:tc>
          <w:tcPr>
            <w:tcW w:w="2211" w:type="dxa"/>
          </w:tcPr>
          <w:p>
            <w:pPr>
              <w:pStyle w:val="0"/>
              <w:jc w:val="both"/>
            </w:pPr>
            <w:r>
              <w:rPr>
                <w:sz w:val="20"/>
              </w:rPr>
              <w:t xml:space="preserve">ГБУЗС "Городская больница N 5"</w:t>
            </w:r>
          </w:p>
        </w:tc>
        <w:tc>
          <w:tcPr>
            <w:tcW w:w="737" w:type="dxa"/>
          </w:tcPr>
          <w:p>
            <w:pPr>
              <w:pStyle w:val="0"/>
              <w:jc w:val="center"/>
            </w:pPr>
            <w:r>
              <w:rPr>
                <w:sz w:val="20"/>
              </w:rPr>
              <w:t xml:space="preserve">2</w:t>
            </w:r>
          </w:p>
        </w:tc>
        <w:tc>
          <w:tcPr>
            <w:tcW w:w="850" w:type="dxa"/>
          </w:tcPr>
          <w:p>
            <w:pPr>
              <w:pStyle w:val="0"/>
              <w:jc w:val="center"/>
            </w:pPr>
            <w:r>
              <w:rPr>
                <w:sz w:val="20"/>
              </w:rPr>
              <w:t xml:space="preserve">7</w:t>
            </w:r>
          </w:p>
        </w:tc>
        <w:tc>
          <w:tcPr>
            <w:tcW w:w="850" w:type="dxa"/>
          </w:tcPr>
          <w:p>
            <w:pPr>
              <w:pStyle w:val="0"/>
              <w:jc w:val="center"/>
            </w:pPr>
            <w:r>
              <w:rPr>
                <w:sz w:val="20"/>
              </w:rPr>
              <w:t xml:space="preserve">666</w:t>
            </w:r>
          </w:p>
        </w:tc>
        <w:tc>
          <w:tcPr>
            <w:tcW w:w="850" w:type="dxa"/>
          </w:tcPr>
          <w:p>
            <w:pPr>
              <w:pStyle w:val="0"/>
              <w:jc w:val="center"/>
            </w:pPr>
            <w:r>
              <w:rPr>
                <w:sz w:val="20"/>
              </w:rPr>
              <w:t xml:space="preserve">42,9%</w:t>
            </w:r>
          </w:p>
        </w:tc>
        <w:tc>
          <w:tcPr>
            <w:tcW w:w="793" w:type="dxa"/>
          </w:tcPr>
          <w:p>
            <w:pPr>
              <w:pStyle w:val="0"/>
              <w:jc w:val="center"/>
            </w:pPr>
            <w:r>
              <w:rPr>
                <w:sz w:val="20"/>
              </w:rPr>
              <w:t xml:space="preserve">2297</w:t>
            </w:r>
          </w:p>
        </w:tc>
        <w:tc>
          <w:tcPr>
            <w:tcW w:w="1020" w:type="dxa"/>
          </w:tcPr>
          <w:p>
            <w:pPr>
              <w:pStyle w:val="0"/>
              <w:jc w:val="center"/>
            </w:pPr>
            <w:r>
              <w:rPr>
                <w:sz w:val="20"/>
              </w:rPr>
              <w:t xml:space="preserve">57,1</w:t>
            </w:r>
          </w:p>
        </w:tc>
        <w:tc>
          <w:tcPr>
            <w:tcW w:w="793" w:type="dxa"/>
          </w:tcPr>
          <w:p>
            <w:pPr>
              <w:pStyle w:val="0"/>
              <w:jc w:val="center"/>
            </w:pPr>
            <w:r>
              <w:rPr>
                <w:sz w:val="20"/>
              </w:rPr>
              <w:t xml:space="preserve">Да</w:t>
            </w:r>
          </w:p>
        </w:tc>
        <w:tc>
          <w:tcPr>
            <w:tcW w:w="963" w:type="dxa"/>
          </w:tcPr>
          <w:p>
            <w:pPr>
              <w:pStyle w:val="0"/>
              <w:jc w:val="center"/>
            </w:pPr>
            <w:r>
              <w:rPr>
                <w:sz w:val="20"/>
              </w:rPr>
              <w:t xml:space="preserve">Да</w:t>
            </w:r>
          </w:p>
        </w:tc>
      </w:tr>
    </w:tbl>
    <w:p>
      <w:pPr>
        <w:pStyle w:val="0"/>
        <w:ind w:firstLine="540"/>
        <w:jc w:val="both"/>
      </w:pPr>
      <w:r>
        <w:rPr>
          <w:sz w:val="20"/>
        </w:rPr>
      </w:r>
    </w:p>
    <w:p>
      <w:pPr>
        <w:pStyle w:val="0"/>
        <w:ind w:firstLine="540"/>
        <w:jc w:val="both"/>
      </w:pPr>
      <w:r>
        <w:rPr>
          <w:sz w:val="20"/>
        </w:rPr>
        <w:t xml:space="preserve">Объем коечного фонда, необходимый для оказания паллиативной специализированной медицинской помощи детям в стационарных условиях, соответствует расчетной потребности, которая составляет две койки ПМП.</w:t>
      </w:r>
    </w:p>
    <w:p>
      <w:pPr>
        <w:pStyle w:val="0"/>
        <w:spacing w:before="200" w:line-rule="auto"/>
        <w:ind w:firstLine="540"/>
        <w:jc w:val="both"/>
      </w:pPr>
      <w:hyperlink w:history="0" w:anchor="P30180" w:tooltip="Расчет потребности в койках ПМП детям">
        <w:r>
          <w:rPr>
            <w:sz w:val="20"/>
            <w:color w:val="0000ff"/>
          </w:rPr>
          <w:t xml:space="preserve">Расчет</w:t>
        </w:r>
      </w:hyperlink>
      <w:r>
        <w:rPr>
          <w:sz w:val="20"/>
        </w:rPr>
        <w:t xml:space="preserve"> потребности в койках ПМП в рамках оказания паллиативной специализированной медицинской помощи в стационарных условиях детям представлен в приложении N 5 к настоящей Программе.</w:t>
      </w:r>
    </w:p>
    <w:p>
      <w:pPr>
        <w:pStyle w:val="0"/>
      </w:pPr>
      <w:r>
        <w:rPr>
          <w:sz w:val="20"/>
        </w:rPr>
      </w:r>
    </w:p>
    <w:p>
      <w:pPr>
        <w:pStyle w:val="0"/>
        <w:jc w:val="center"/>
      </w:pPr>
      <w:r>
        <w:rPr>
          <w:sz w:val="20"/>
        </w:rPr>
        <w:t xml:space="preserve">Рисунок 10. Инфраструктура оказания ПМП в стационарных</w:t>
      </w:r>
    </w:p>
    <w:p>
      <w:pPr>
        <w:pStyle w:val="0"/>
        <w:jc w:val="center"/>
      </w:pPr>
      <w:r>
        <w:rPr>
          <w:sz w:val="20"/>
        </w:rPr>
        <w:t xml:space="preserve">условиях детям, 2019 год</w:t>
      </w:r>
    </w:p>
    <w:p>
      <w:pPr>
        <w:pStyle w:val="0"/>
        <w:jc w:val="center"/>
      </w:pPr>
      <w:r>
        <w:rPr>
          <w:sz w:val="20"/>
        </w:rPr>
      </w:r>
    </w:p>
    <w:p>
      <w:pPr>
        <w:pStyle w:val="0"/>
        <w:jc w:val="center"/>
      </w:pPr>
      <w:r>
        <w:rPr>
          <w:position w:val="-229"/>
        </w:rPr>
        <w:drawing>
          <wp:inline distT="0" distB="0" distL="0" distR="0">
            <wp:extent cx="3602355" cy="3041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a:extLst>
                        <a:ext uri="{28A0092B-C50C-407E-A947-70E740481C1C}">
                          <a14:useLocalDpi xmlns:a14="http://schemas.microsoft.com/office/drawing/2010/main" val="0"/>
                        </a:ext>
                      </a:extLst>
                    </a:blip>
                    <a:srcRect/>
                    <a:stretch>
                      <a:fillRect/>
                    </a:stretch>
                  </pic:blipFill>
                  <pic:spPr bwMode="auto">
                    <a:xfrm>
                      <a:off x="0" y="0"/>
                      <a:ext cx="3602355" cy="3041650"/>
                    </a:xfrm>
                    <a:prstGeom prst="rect">
                      <a:avLst/>
                    </a:prstGeom>
                    <a:noFill/>
                    <a:ln>
                      <a:noFill/>
                    </a:ln>
                  </pic:spPr>
                </pic:pic>
              </a:graphicData>
            </a:graphic>
          </wp:inline>
        </w:drawing>
      </w:r>
    </w:p>
    <w:p>
      <w:pPr>
        <w:pStyle w:val="0"/>
        <w:jc w:val="center"/>
      </w:pPr>
      <w:r>
        <w:rPr>
          <w:sz w:val="20"/>
        </w:rPr>
      </w:r>
    </w:p>
    <w:p>
      <w:pPr>
        <w:pStyle w:val="0"/>
        <w:jc w:val="center"/>
      </w:pPr>
      <w:r>
        <w:rPr>
          <w:sz w:val="20"/>
        </w:rPr>
        <w:t xml:space="preserve">Таблица 9. Расшифровка инфраструктуры оказания ПМП</w:t>
      </w:r>
    </w:p>
    <w:p>
      <w:pPr>
        <w:pStyle w:val="0"/>
        <w:jc w:val="center"/>
      </w:pPr>
      <w:r>
        <w:rPr>
          <w:sz w:val="20"/>
        </w:rPr>
        <w:t xml:space="preserve">в стационарных условиях детям, 2019 год</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99"/>
        <w:gridCol w:w="1094"/>
        <w:gridCol w:w="2438"/>
      </w:tblGrid>
      <w:tr>
        <w:tc>
          <w:tcPr>
            <w:tcW w:w="5499" w:type="dxa"/>
          </w:tcPr>
          <w:p>
            <w:pPr>
              <w:pStyle w:val="0"/>
              <w:jc w:val="center"/>
            </w:pPr>
            <w:r>
              <w:rPr>
                <w:sz w:val="20"/>
              </w:rPr>
              <w:t xml:space="preserve">Наименование медицинской организации</w:t>
            </w:r>
          </w:p>
        </w:tc>
        <w:tc>
          <w:tcPr>
            <w:tcW w:w="1094" w:type="dxa"/>
          </w:tcPr>
          <w:p>
            <w:pPr>
              <w:pStyle w:val="0"/>
              <w:jc w:val="center"/>
            </w:pPr>
            <w:r>
              <w:rPr>
                <w:sz w:val="20"/>
              </w:rPr>
              <w:t xml:space="preserve">Число коек, шт.</w:t>
            </w:r>
          </w:p>
        </w:tc>
        <w:tc>
          <w:tcPr>
            <w:tcW w:w="2438" w:type="dxa"/>
          </w:tcPr>
          <w:p>
            <w:pPr>
              <w:pStyle w:val="0"/>
              <w:jc w:val="center"/>
            </w:pPr>
            <w:r>
              <w:rPr>
                <w:sz w:val="20"/>
              </w:rPr>
              <w:t xml:space="preserve">Территория обслуживания</w:t>
            </w:r>
          </w:p>
        </w:tc>
      </w:tr>
      <w:tr>
        <w:tc>
          <w:tcPr>
            <w:tcW w:w="5499" w:type="dxa"/>
          </w:tcPr>
          <w:p>
            <w:pPr>
              <w:pStyle w:val="0"/>
              <w:jc w:val="both"/>
            </w:pPr>
            <w:r>
              <w:rPr>
                <w:sz w:val="20"/>
              </w:rPr>
              <w:t xml:space="preserve">ГБУЗС "Городская больница N 5"</w:t>
            </w:r>
          </w:p>
        </w:tc>
        <w:tc>
          <w:tcPr>
            <w:tcW w:w="1094" w:type="dxa"/>
          </w:tcPr>
          <w:p>
            <w:pPr>
              <w:pStyle w:val="0"/>
              <w:jc w:val="center"/>
            </w:pPr>
            <w:r>
              <w:rPr>
                <w:sz w:val="20"/>
              </w:rPr>
              <w:t xml:space="preserve">2</w:t>
            </w:r>
          </w:p>
        </w:tc>
        <w:tc>
          <w:tcPr>
            <w:tcW w:w="2438" w:type="dxa"/>
          </w:tcPr>
          <w:p>
            <w:pPr>
              <w:pStyle w:val="0"/>
              <w:jc w:val="both"/>
            </w:pPr>
            <w:r>
              <w:rPr>
                <w:sz w:val="20"/>
              </w:rPr>
              <w:t xml:space="preserve">город Севастополь</w:t>
            </w:r>
          </w:p>
        </w:tc>
      </w:tr>
    </w:tbl>
    <w:p>
      <w:pPr>
        <w:pStyle w:val="0"/>
      </w:pPr>
      <w:r>
        <w:rPr>
          <w:sz w:val="20"/>
        </w:rPr>
      </w:r>
    </w:p>
    <w:p>
      <w:pPr>
        <w:pStyle w:val="2"/>
        <w:outlineLvl w:val="4"/>
        <w:jc w:val="center"/>
      </w:pPr>
      <w:r>
        <w:rPr>
          <w:sz w:val="20"/>
        </w:rPr>
        <w:t xml:space="preserve">Оказание паллиативной специализированной медицинской помощи</w:t>
      </w:r>
    </w:p>
    <w:p>
      <w:pPr>
        <w:pStyle w:val="2"/>
        <w:jc w:val="center"/>
      </w:pPr>
      <w:r>
        <w:rPr>
          <w:sz w:val="20"/>
        </w:rPr>
        <w:t xml:space="preserve">в амбулаторных условиях детям</w:t>
      </w:r>
    </w:p>
    <w:p>
      <w:pPr>
        <w:pStyle w:val="0"/>
        <w:jc w:val="center"/>
      </w:pPr>
      <w:r>
        <w:rPr>
          <w:sz w:val="20"/>
        </w:rPr>
      </w:r>
    </w:p>
    <w:p>
      <w:pPr>
        <w:pStyle w:val="0"/>
        <w:ind w:firstLine="540"/>
        <w:jc w:val="both"/>
      </w:pPr>
      <w:r>
        <w:rPr>
          <w:sz w:val="20"/>
        </w:rPr>
        <w:t xml:space="preserve">На момент утверждения Программы в городе Севастополе паллиативная специализированная медицинская помощь в амбулаторных условиях детям не оказывалась.</w:t>
      </w:r>
    </w:p>
    <w:p>
      <w:pPr>
        <w:pStyle w:val="0"/>
        <w:spacing w:before="200" w:line-rule="auto"/>
        <w:ind w:firstLine="540"/>
        <w:jc w:val="both"/>
      </w:pPr>
      <w:r>
        <w:rPr>
          <w:sz w:val="20"/>
        </w:rPr>
        <w:t xml:space="preserve">Исходя из установок построения целевой модели развития ПМП, в городе Севастополе должно быть два врача по паллиативной медицинской помощи для оказания паллиативной специализированной медицинской помощи детям в амбулаторных условиях, в том числе на дому.</w:t>
      </w:r>
    </w:p>
    <w:p>
      <w:pPr>
        <w:pStyle w:val="0"/>
        <w:spacing w:before="200" w:line-rule="auto"/>
        <w:ind w:firstLine="540"/>
        <w:jc w:val="both"/>
      </w:pPr>
      <w:hyperlink w:history="0" w:anchor="P30220" w:tooltip="Расчет потребности в амбулаторной помощи детскому населению">
        <w:r>
          <w:rPr>
            <w:sz w:val="20"/>
            <w:color w:val="0000ff"/>
          </w:rPr>
          <w:t xml:space="preserve">Расчет</w:t>
        </w:r>
      </w:hyperlink>
      <w:r>
        <w:rPr>
          <w:sz w:val="20"/>
        </w:rPr>
        <w:t xml:space="preserve"> потребности в оказания паллиативной специализированной медицинской помощи в амбулаторных условиях детям, в том числе на дому, представлен в приложении 6 к настоящей Программе.</w:t>
      </w:r>
    </w:p>
    <w:p>
      <w:pPr>
        <w:pStyle w:val="0"/>
      </w:pPr>
      <w:r>
        <w:rPr>
          <w:sz w:val="20"/>
        </w:rPr>
      </w:r>
    </w:p>
    <w:p>
      <w:pPr>
        <w:pStyle w:val="2"/>
        <w:outlineLvl w:val="2"/>
        <w:jc w:val="center"/>
      </w:pPr>
      <w:r>
        <w:rPr>
          <w:sz w:val="20"/>
        </w:rPr>
        <w:t xml:space="preserve">Отпуск наркотических и психотропных лекарственных препаратов</w:t>
      </w:r>
    </w:p>
    <w:p>
      <w:pPr>
        <w:pStyle w:val="0"/>
        <w:jc w:val="center"/>
      </w:pPr>
      <w:r>
        <w:rPr>
          <w:sz w:val="20"/>
        </w:rPr>
      </w:r>
    </w:p>
    <w:p>
      <w:pPr>
        <w:pStyle w:val="0"/>
        <w:ind w:firstLine="540"/>
        <w:jc w:val="both"/>
      </w:pPr>
      <w:r>
        <w:rPr>
          <w:sz w:val="20"/>
        </w:rPr>
        <w:t xml:space="preserve">Одним из приоритетных направлений развития системы оказания паллиативной медицинской помощи в городе Севастополе является обеспечение доступности пациентам, нуждающимся в оказании паллиативной медицинской помощи, и/или лицам, осуществляющим уход за пациентами, нуждающимися в оказании паллиативной медицинской помощи, лекарственного обеспечения, в частности наркотических лекарственных препаратов и психотропных лекарственных препаратов.</w:t>
      </w:r>
    </w:p>
    <w:p>
      <w:pPr>
        <w:pStyle w:val="0"/>
        <w:spacing w:before="200" w:line-rule="auto"/>
        <w:ind w:firstLine="540"/>
        <w:jc w:val="both"/>
      </w:pPr>
      <w:r>
        <w:rPr>
          <w:sz w:val="20"/>
        </w:rPr>
        <w:t xml:space="preserve">На территории города Севастополя на момент утверждения настоящей Программы в состав инфраструктуры аптечных организаций входит 11 организаций (38 адресов), имеющих лицензию на осуществление деятельности по обороту наркотических средств, психотропных веществ и их прекурсоров, культивированию наркосодержащих растений (далее - лицензия на оборот НС и ПВ), в том числе 10 государственных, 1 частная.</w:t>
      </w:r>
    </w:p>
    <w:p>
      <w:pPr>
        <w:pStyle w:val="0"/>
        <w:spacing w:before="200" w:line-rule="auto"/>
        <w:ind w:firstLine="540"/>
        <w:jc w:val="both"/>
      </w:pPr>
      <w:r>
        <w:rPr>
          <w:sz w:val="20"/>
        </w:rPr>
        <w:t xml:space="preserve">В городе Севастополе "ГБУЗС Городская больница N 5 - "Центр охраны здоровья матери и ребенка" имеет лицензию на изготовление наркотических лекарственных и психотропных лекарственных препаратов. Кроме того, 9 аптечных организаций (18 адресов) имеют лицензию на отпуск НС и ПВ.</w:t>
      </w:r>
    </w:p>
    <w:p>
      <w:pPr>
        <w:pStyle w:val="0"/>
        <w:jc w:val="center"/>
      </w:pPr>
      <w:r>
        <w:rPr>
          <w:sz w:val="20"/>
        </w:rPr>
      </w:r>
    </w:p>
    <w:p>
      <w:pPr>
        <w:pStyle w:val="0"/>
        <w:jc w:val="center"/>
      </w:pPr>
      <w:r>
        <w:rPr>
          <w:sz w:val="20"/>
        </w:rPr>
        <w:t xml:space="preserve">Рисунок 11. Карта доезда (60 мин и менее) до аптечных,</w:t>
      </w:r>
    </w:p>
    <w:p>
      <w:pPr>
        <w:pStyle w:val="0"/>
        <w:jc w:val="center"/>
      </w:pPr>
      <w:r>
        <w:rPr>
          <w:sz w:val="20"/>
        </w:rPr>
        <w:t xml:space="preserve">медицинских организаций и их филиалов, имеющих лицензию</w:t>
      </w:r>
    </w:p>
    <w:p>
      <w:pPr>
        <w:pStyle w:val="0"/>
        <w:jc w:val="center"/>
      </w:pPr>
      <w:r>
        <w:rPr>
          <w:sz w:val="20"/>
        </w:rPr>
        <w:t xml:space="preserve">на отпуск НС и ПВ, 2019 год</w:t>
      </w:r>
    </w:p>
    <w:p>
      <w:pPr>
        <w:pStyle w:val="0"/>
      </w:pPr>
      <w:r>
        <w:rPr>
          <w:sz w:val="20"/>
        </w:rPr>
      </w:r>
    </w:p>
    <w:tbl>
      <w:tblPr>
        <w:tblInd w:w="0" w:type="dxa"/>
        <w:tblLayout w:type="fixed"/>
        <w:tblCellMar>
          <w:top w:w="102" w:type="dxa"/>
          <w:left w:w="62" w:type="dxa"/>
          <w:bottom w:w="102" w:type="dxa"/>
          <w:right w:w="62" w:type="dxa"/>
        </w:tblCellMar>
      </w:tblPr>
      <w:tblGrid>
        <w:gridCol w:w="6293"/>
        <w:gridCol w:w="2778"/>
      </w:tblGrid>
      <w:tr>
        <w:tc>
          <w:tcPr>
            <w:tcW w:w="6293" w:type="dxa"/>
            <w:tcBorders>
              <w:top w:val="nil"/>
              <w:left w:val="nil"/>
              <w:bottom w:val="nil"/>
              <w:right w:val="nil"/>
            </w:tcBorders>
          </w:tcPr>
          <w:p>
            <w:pPr>
              <w:pStyle w:val="0"/>
              <w:jc w:val="center"/>
            </w:pPr>
            <w:r>
              <w:rPr>
                <w:position w:val="-318"/>
              </w:rPr>
              <w:drawing>
                <wp:inline distT="0" distB="0" distL="0" distR="0">
                  <wp:extent cx="3602355" cy="416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a:extLst>
                              <a:ext uri="{28A0092B-C50C-407E-A947-70E740481C1C}">
                                <a14:useLocalDpi xmlns:a14="http://schemas.microsoft.com/office/drawing/2010/main" val="0"/>
                              </a:ext>
                            </a:extLst>
                          </a:blip>
                          <a:srcRect/>
                          <a:stretch>
                            <a:fillRect/>
                          </a:stretch>
                        </pic:blipFill>
                        <pic:spPr bwMode="auto">
                          <a:xfrm>
                            <a:off x="0" y="0"/>
                            <a:ext cx="3602355" cy="4169410"/>
                          </a:xfrm>
                          <a:prstGeom prst="rect">
                            <a:avLst/>
                          </a:prstGeom>
                          <a:noFill/>
                          <a:ln>
                            <a:noFill/>
                          </a:ln>
                        </pic:spPr>
                      </pic:pic>
                    </a:graphicData>
                  </a:graphic>
                </wp:inline>
              </w:drawing>
            </w:r>
          </w:p>
        </w:tc>
        <w:tc>
          <w:tcPr>
            <w:tcW w:w="2778" w:type="dxa"/>
            <w:tcBorders>
              <w:top w:val="nil"/>
              <w:left w:val="nil"/>
              <w:bottom w:val="nil"/>
              <w:right w:val="nil"/>
            </w:tcBorders>
          </w:tcPr>
          <w:p>
            <w:pPr>
              <w:pStyle w:val="0"/>
              <w:jc w:val="both"/>
            </w:pPr>
            <w:r>
              <w:rPr>
                <w:position w:val="-64"/>
              </w:rPr>
              <w:drawing>
                <wp:inline distT="0" distB="0" distL="0" distR="0">
                  <wp:extent cx="1621155" cy="944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a:extLst>
                              <a:ext uri="{28A0092B-C50C-407E-A947-70E740481C1C}">
                                <a14:useLocalDpi xmlns:a14="http://schemas.microsoft.com/office/drawing/2010/main" val="0"/>
                              </a:ext>
                            </a:extLst>
                          </a:blip>
                          <a:srcRect/>
                          <a:stretch>
                            <a:fillRect/>
                          </a:stretch>
                        </pic:blipFill>
                        <pic:spPr bwMode="auto">
                          <a:xfrm>
                            <a:off x="0" y="0"/>
                            <a:ext cx="1621155" cy="944880"/>
                          </a:xfrm>
                          <a:prstGeom prst="rect">
                            <a:avLst/>
                          </a:prstGeom>
                          <a:noFill/>
                          <a:ln>
                            <a:noFill/>
                          </a:ln>
                        </pic:spPr>
                      </pic:pic>
                    </a:graphicData>
                  </a:graphic>
                </wp:inline>
              </w:drawing>
            </w:r>
          </w:p>
        </w:tc>
      </w:tr>
    </w:tbl>
    <w:p>
      <w:pPr>
        <w:pStyle w:val="0"/>
        <w:ind w:firstLine="540"/>
        <w:jc w:val="both"/>
      </w:pPr>
      <w:r>
        <w:rPr>
          <w:sz w:val="20"/>
        </w:rPr>
      </w:r>
    </w:p>
    <w:p>
      <w:pPr>
        <w:pStyle w:val="0"/>
        <w:ind w:firstLine="540"/>
        <w:jc w:val="both"/>
      </w:pPr>
      <w:r>
        <w:rPr>
          <w:sz w:val="20"/>
        </w:rPr>
        <w:t xml:space="preserve">В городе Севастополе во всех муниципальных образованиях имеются аптечные организации, имеющие лицензию на отпуск НС и ПВ.</w:t>
      </w:r>
    </w:p>
    <w:p>
      <w:pPr>
        <w:pStyle w:val="0"/>
        <w:spacing w:before="200" w:line-rule="auto"/>
        <w:ind w:firstLine="540"/>
        <w:jc w:val="both"/>
      </w:pPr>
      <w:r>
        <w:rPr>
          <w:sz w:val="20"/>
        </w:rPr>
        <w:t xml:space="preserve">С учетом моделирования доступности для населения аптек, которые имеют лицензию на отпуск и реализацию НЛП и ПЛП, можно сделать вывод, что с учетом доезда в 60 минут практически на всей территории города Севастополя пациентам, нуждающихся в оказании ПМП, и/или их родственникам доступны точки отпуска наркотических и психотропных лекарственных препаратов.</w:t>
      </w:r>
    </w:p>
    <w:p>
      <w:pPr>
        <w:pStyle w:val="0"/>
      </w:pPr>
      <w:r>
        <w:rPr>
          <w:sz w:val="20"/>
        </w:rPr>
      </w:r>
    </w:p>
    <w:p>
      <w:pPr>
        <w:pStyle w:val="2"/>
        <w:outlineLvl w:val="2"/>
        <w:jc w:val="center"/>
      </w:pPr>
      <w:r>
        <w:rPr>
          <w:sz w:val="20"/>
        </w:rPr>
        <w:t xml:space="preserve">Существующая инфраструктура организаций соцобслуживания</w:t>
      </w:r>
    </w:p>
    <w:p>
      <w:pPr>
        <w:pStyle w:val="0"/>
      </w:pPr>
      <w:r>
        <w:rPr>
          <w:sz w:val="20"/>
        </w:rPr>
      </w:r>
    </w:p>
    <w:p>
      <w:pPr>
        <w:pStyle w:val="0"/>
        <w:ind w:firstLine="540"/>
        <w:jc w:val="both"/>
      </w:pPr>
      <w:r>
        <w:rPr>
          <w:sz w:val="20"/>
        </w:rPr>
        <w:t xml:space="preserve">В рамках настоящей Программы рассматриваются стационарные организации социального обслуживания (далее - организации соцобслуживания), в первую очередь которые имеют в своем составе отделение милосердия.</w:t>
      </w:r>
    </w:p>
    <w:p>
      <w:pPr>
        <w:pStyle w:val="0"/>
        <w:spacing w:before="200" w:line-rule="auto"/>
        <w:ind w:firstLine="540"/>
        <w:jc w:val="both"/>
      </w:pPr>
      <w:r>
        <w:rPr>
          <w:sz w:val="20"/>
        </w:rPr>
        <w:t xml:space="preserve">Территориальное расположение и количество организаций соцобслуживания являются одними из важнейших факторов, влияющих на развитие ПМП в городе Севастополе в амбулаторных условиях, а именно создание и развитие отделений выездной патронажной паллиативной медицинской помощи.</w:t>
      </w:r>
    </w:p>
    <w:p>
      <w:pPr>
        <w:pStyle w:val="0"/>
        <w:spacing w:before="200" w:line-rule="auto"/>
        <w:ind w:firstLine="540"/>
        <w:jc w:val="both"/>
      </w:pPr>
      <w:r>
        <w:rPr>
          <w:sz w:val="20"/>
        </w:rPr>
        <w:t xml:space="preserve">На момент утверждения настоящей Программы на территории города Севастополя функционирует одна организация социального обслуживания для взрослого населения, которая имеет в своем составе отделения милосердия, - ГБУ "Севастопольский дом-интернат для престарелых и инвалидов" (ГБУ "СДИдПИ").</w:t>
      </w:r>
    </w:p>
    <w:p>
      <w:pPr>
        <w:pStyle w:val="0"/>
        <w:spacing w:before="200" w:line-rule="auto"/>
        <w:ind w:firstLine="540"/>
        <w:jc w:val="both"/>
      </w:pPr>
      <w:r>
        <w:rPr>
          <w:sz w:val="20"/>
        </w:rPr>
        <w:t xml:space="preserve">Общий коечный фонд отделения милосердия - 100 коек, что составляет 51,5% от общего коечного фонда организаций соцобслуживания. Организации, осуществляющие стационарное социально обслуживание детей, отсутствуют.</w:t>
      </w:r>
    </w:p>
    <w:p>
      <w:pPr>
        <w:pStyle w:val="0"/>
      </w:pPr>
      <w:r>
        <w:rPr>
          <w:sz w:val="20"/>
        </w:rPr>
      </w:r>
    </w:p>
    <w:p>
      <w:pPr>
        <w:pStyle w:val="0"/>
        <w:jc w:val="center"/>
      </w:pPr>
      <w:r>
        <w:rPr>
          <w:sz w:val="20"/>
        </w:rPr>
        <w:t xml:space="preserve">Таблица 10. Инфраструктура организаций соцобслуживания</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1077"/>
        <w:gridCol w:w="850"/>
        <w:gridCol w:w="1020"/>
        <w:gridCol w:w="1134"/>
        <w:gridCol w:w="1417"/>
      </w:tblGrid>
      <w:tr>
        <w:tc>
          <w:tcPr>
            <w:tcW w:w="3572" w:type="dxa"/>
          </w:tcPr>
          <w:p>
            <w:pPr>
              <w:pStyle w:val="0"/>
              <w:jc w:val="center"/>
            </w:pPr>
            <w:r>
              <w:rPr>
                <w:sz w:val="20"/>
              </w:rPr>
              <w:t xml:space="preserve">Наименование социальной организации</w:t>
            </w:r>
          </w:p>
        </w:tc>
        <w:tc>
          <w:tcPr>
            <w:tcW w:w="1077" w:type="dxa"/>
          </w:tcPr>
          <w:p>
            <w:pPr>
              <w:pStyle w:val="0"/>
              <w:jc w:val="center"/>
            </w:pPr>
            <w:r>
              <w:rPr>
                <w:sz w:val="20"/>
              </w:rPr>
              <w:t xml:space="preserve">Утвержденный коечный фонд отделения милосердия</w:t>
            </w:r>
          </w:p>
        </w:tc>
        <w:tc>
          <w:tcPr>
            <w:tcW w:w="850" w:type="dxa"/>
          </w:tcPr>
          <w:p>
            <w:pPr>
              <w:pStyle w:val="0"/>
              <w:jc w:val="center"/>
            </w:pPr>
            <w:r>
              <w:rPr>
                <w:sz w:val="20"/>
              </w:rPr>
              <w:t xml:space="preserve">Наличие лицензии на оказание ПМП</w:t>
            </w:r>
          </w:p>
        </w:tc>
        <w:tc>
          <w:tcPr>
            <w:tcW w:w="1020" w:type="dxa"/>
          </w:tcPr>
          <w:p>
            <w:pPr>
              <w:pStyle w:val="0"/>
              <w:jc w:val="center"/>
            </w:pPr>
            <w:r>
              <w:rPr>
                <w:sz w:val="20"/>
              </w:rPr>
              <w:t xml:space="preserve">Наличие лицензии на оказание НС и ПВ</w:t>
            </w:r>
          </w:p>
        </w:tc>
        <w:tc>
          <w:tcPr>
            <w:tcW w:w="1134" w:type="dxa"/>
          </w:tcPr>
          <w:p>
            <w:pPr>
              <w:pStyle w:val="0"/>
              <w:jc w:val="center"/>
            </w:pPr>
            <w:r>
              <w:rPr>
                <w:sz w:val="20"/>
              </w:rPr>
              <w:t xml:space="preserve">Смертность в отделении милосердия, 2018 г., чел.</w:t>
            </w:r>
          </w:p>
        </w:tc>
        <w:tc>
          <w:tcPr>
            <w:tcW w:w="1417" w:type="dxa"/>
          </w:tcPr>
          <w:p>
            <w:pPr>
              <w:pStyle w:val="0"/>
              <w:jc w:val="center"/>
            </w:pPr>
            <w:r>
              <w:rPr>
                <w:sz w:val="20"/>
              </w:rPr>
              <w:t xml:space="preserve">Число проживающих, признанных нуждающимися в ПМП, 2018 г.</w:t>
            </w:r>
          </w:p>
        </w:tc>
      </w:tr>
      <w:tr>
        <w:tc>
          <w:tcPr>
            <w:gridSpan w:val="6"/>
            <w:tcW w:w="9070" w:type="dxa"/>
          </w:tcPr>
          <w:p>
            <w:pPr>
              <w:pStyle w:val="0"/>
              <w:jc w:val="both"/>
            </w:pPr>
            <w:r>
              <w:rPr>
                <w:sz w:val="20"/>
              </w:rPr>
              <w:t xml:space="preserve">Взрослые учреждения стационарного социального обслуживания</w:t>
            </w:r>
          </w:p>
        </w:tc>
      </w:tr>
      <w:tr>
        <w:tc>
          <w:tcPr>
            <w:tcW w:w="3572" w:type="dxa"/>
          </w:tcPr>
          <w:p>
            <w:pPr>
              <w:pStyle w:val="0"/>
              <w:jc w:val="both"/>
            </w:pPr>
            <w:r>
              <w:rPr>
                <w:sz w:val="20"/>
              </w:rPr>
              <w:t xml:space="preserve">ГБУ "Севастопольский дом-интернат для престарелых и инвалидов" (ГБУ "СДИдПИ")</w:t>
            </w:r>
          </w:p>
        </w:tc>
        <w:tc>
          <w:tcPr>
            <w:tcW w:w="1077" w:type="dxa"/>
          </w:tcPr>
          <w:p>
            <w:pPr>
              <w:pStyle w:val="0"/>
              <w:jc w:val="center"/>
            </w:pPr>
            <w:r>
              <w:rPr>
                <w:sz w:val="20"/>
              </w:rPr>
              <w:t xml:space="preserve">100</w:t>
            </w:r>
          </w:p>
        </w:tc>
        <w:tc>
          <w:tcPr>
            <w:tcW w:w="850" w:type="dxa"/>
          </w:tcPr>
          <w:p>
            <w:pPr>
              <w:pStyle w:val="0"/>
              <w:jc w:val="center"/>
            </w:pPr>
            <w:r>
              <w:rPr>
                <w:sz w:val="20"/>
              </w:rPr>
              <w:t xml:space="preserve">Нет</w:t>
            </w:r>
          </w:p>
        </w:tc>
        <w:tc>
          <w:tcPr>
            <w:tcW w:w="1020" w:type="dxa"/>
          </w:tcPr>
          <w:p>
            <w:pPr>
              <w:pStyle w:val="0"/>
              <w:jc w:val="center"/>
            </w:pPr>
            <w:r>
              <w:rPr>
                <w:sz w:val="20"/>
              </w:rPr>
              <w:t xml:space="preserve">Нет</w:t>
            </w:r>
          </w:p>
        </w:tc>
        <w:tc>
          <w:tcPr>
            <w:tcW w:w="1134" w:type="dxa"/>
          </w:tcPr>
          <w:p>
            <w:pPr>
              <w:pStyle w:val="0"/>
              <w:jc w:val="center"/>
            </w:pPr>
            <w:r>
              <w:rPr>
                <w:sz w:val="20"/>
              </w:rPr>
              <w:t xml:space="preserve">42</w:t>
            </w:r>
          </w:p>
        </w:tc>
        <w:tc>
          <w:tcPr>
            <w:tcW w:w="1417" w:type="dxa"/>
          </w:tcPr>
          <w:p>
            <w:pPr>
              <w:pStyle w:val="0"/>
              <w:jc w:val="center"/>
            </w:pPr>
            <w:r>
              <w:rPr>
                <w:sz w:val="20"/>
              </w:rPr>
              <w:t xml:space="preserve">0</w:t>
            </w:r>
          </w:p>
        </w:tc>
      </w:tr>
    </w:tbl>
    <w:p>
      <w:pPr>
        <w:pStyle w:val="0"/>
      </w:pPr>
      <w:r>
        <w:rPr>
          <w:sz w:val="20"/>
        </w:rPr>
      </w:r>
    </w:p>
    <w:p>
      <w:pPr>
        <w:pStyle w:val="0"/>
        <w:jc w:val="center"/>
      </w:pPr>
      <w:r>
        <w:rPr>
          <w:sz w:val="20"/>
        </w:rPr>
        <w:t xml:space="preserve">Рисунок 12. Расположение организаций соцобслуживания,</w:t>
      </w:r>
    </w:p>
    <w:p>
      <w:pPr>
        <w:pStyle w:val="0"/>
        <w:jc w:val="center"/>
      </w:pPr>
      <w:r>
        <w:rPr>
          <w:sz w:val="20"/>
        </w:rPr>
        <w:t xml:space="preserve">в составе которых открыты отделения милосердия, 2019 год</w:t>
      </w:r>
    </w:p>
    <w:p>
      <w:pPr>
        <w:pStyle w:val="0"/>
      </w:pPr>
      <w:r>
        <w:rPr>
          <w:sz w:val="20"/>
        </w:rPr>
      </w:r>
    </w:p>
    <w:tbl>
      <w:tblPr>
        <w:tblInd w:w="0" w:type="dxa"/>
        <w:tblLayout w:type="fixed"/>
        <w:tblCellMar>
          <w:top w:w="102" w:type="dxa"/>
          <w:left w:w="62" w:type="dxa"/>
          <w:bottom w:w="102" w:type="dxa"/>
          <w:right w:w="62" w:type="dxa"/>
        </w:tblCellMar>
      </w:tblPr>
      <w:tblGrid>
        <w:gridCol w:w="7370"/>
      </w:tblGrid>
      <w:tr>
        <w:tc>
          <w:tcPr>
            <w:tcW w:w="7370" w:type="dxa"/>
            <w:tcBorders>
              <w:top w:val="nil"/>
              <w:left w:val="nil"/>
              <w:bottom w:val="nil"/>
              <w:right w:val="nil"/>
            </w:tcBorders>
          </w:tcPr>
          <w:p>
            <w:pPr>
              <w:pStyle w:val="0"/>
              <w:jc w:val="both"/>
            </w:pPr>
            <w:r>
              <w:rPr>
                <w:position w:val="-232"/>
              </w:rPr>
              <w:drawing>
                <wp:inline distT="0" distB="0" distL="0" distR="0">
                  <wp:extent cx="3602355" cy="3078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a:extLst>
                              <a:ext uri="{28A0092B-C50C-407E-A947-70E740481C1C}">
                                <a14:useLocalDpi xmlns:a14="http://schemas.microsoft.com/office/drawing/2010/main" val="0"/>
                              </a:ext>
                            </a:extLst>
                          </a:blip>
                          <a:srcRect/>
                          <a:stretch>
                            <a:fillRect/>
                          </a:stretch>
                        </pic:blipFill>
                        <pic:spPr bwMode="auto">
                          <a:xfrm>
                            <a:off x="0" y="0"/>
                            <a:ext cx="3602355" cy="3078480"/>
                          </a:xfrm>
                          <a:prstGeom prst="rect">
                            <a:avLst/>
                          </a:prstGeom>
                          <a:noFill/>
                          <a:ln>
                            <a:noFill/>
                          </a:ln>
                        </pic:spPr>
                      </pic:pic>
                    </a:graphicData>
                  </a:graphic>
                </wp:inline>
              </w:drawing>
            </w:r>
          </w:p>
        </w:tc>
      </w:tr>
      <w:tr>
        <w:tc>
          <w:tcPr>
            <w:tcW w:w="7370" w:type="dxa"/>
            <w:tcBorders>
              <w:top w:val="nil"/>
              <w:left w:val="nil"/>
              <w:bottom w:val="nil"/>
              <w:right w:val="nil"/>
            </w:tcBorders>
          </w:tcPr>
          <w:p>
            <w:pPr>
              <w:pStyle w:val="0"/>
              <w:jc w:val="both"/>
            </w:pPr>
            <w:r>
              <w:rPr>
                <w:position w:val="-15"/>
              </w:rPr>
              <w:drawing>
                <wp:inline distT="0" distB="0" distL="0" distR="0">
                  <wp:extent cx="2517140" cy="323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a:extLst>
                              <a:ext uri="{28A0092B-C50C-407E-A947-70E740481C1C}">
                                <a14:useLocalDpi xmlns:a14="http://schemas.microsoft.com/office/drawing/2010/main" val="0"/>
                              </a:ext>
                            </a:extLst>
                          </a:blip>
                          <a:srcRect/>
                          <a:stretch>
                            <a:fillRect/>
                          </a:stretch>
                        </pic:blipFill>
                        <pic:spPr bwMode="auto">
                          <a:xfrm>
                            <a:off x="0" y="0"/>
                            <a:ext cx="2517140" cy="323215"/>
                          </a:xfrm>
                          <a:prstGeom prst="rect">
                            <a:avLst/>
                          </a:prstGeom>
                          <a:noFill/>
                          <a:ln>
                            <a:noFill/>
                          </a:ln>
                        </pic:spPr>
                      </pic:pic>
                    </a:graphicData>
                  </a:graphic>
                </wp:inline>
              </w:drawing>
            </w:r>
          </w:p>
        </w:tc>
      </w:tr>
    </w:tbl>
    <w:p>
      <w:pPr>
        <w:pStyle w:val="0"/>
      </w:pPr>
      <w:r>
        <w:rPr>
          <w:sz w:val="20"/>
        </w:rPr>
      </w:r>
    </w:p>
    <w:p>
      <w:pPr>
        <w:pStyle w:val="0"/>
        <w:ind w:firstLine="540"/>
        <w:jc w:val="both"/>
      </w:pPr>
      <w:r>
        <w:rPr>
          <w:sz w:val="20"/>
        </w:rPr>
        <w:t xml:space="preserve">ГБУ "Севастопольский дом-интернат для престарелых и инвалидов" расположено в Гагаринском районе и обслуживает все население города Севастополя. В организации отсутствует лицензия на НС и ПВ и на оказание ПМП, в связи с этим паллиативная специализированная медицинская помощь недоступна в отделении милосердия.</w:t>
      </w:r>
    </w:p>
    <w:p>
      <w:pPr>
        <w:pStyle w:val="0"/>
        <w:spacing w:before="200" w:line-rule="auto"/>
        <w:ind w:firstLine="540"/>
        <w:jc w:val="both"/>
      </w:pPr>
      <w:r>
        <w:rPr>
          <w:sz w:val="20"/>
        </w:rPr>
        <w:t xml:space="preserve">Среди проживающих в отделениях милосердия многие - тяжелобольные люди, прогноз жизни которых не превышает полугода - года, но им недоступно лечение тяжких проявлений заболевания с использованием наркотических и психотропных лекарственных препаратов, т.к. такие препараты не закупаются интернатами, такие граждане не наблюдаются врачами по паллиативной медицинской помощи. Кроме того, текущей инфраструктуры социального обслуживания недостаточно, в связи с чем большое количество пациентов с социальными показаниями находятся в стационарных условиях системы здравоохранения, в том числе на койках ПМП и СУ.</w:t>
      </w:r>
    </w:p>
    <w:p>
      <w:pPr>
        <w:pStyle w:val="0"/>
        <w:spacing w:before="200" w:line-rule="auto"/>
        <w:ind w:firstLine="540"/>
        <w:jc w:val="both"/>
      </w:pPr>
      <w:r>
        <w:rPr>
          <w:sz w:val="20"/>
        </w:rPr>
        <w:t xml:space="preserve">В связи с этим важными задачами Программы является необходимость выстроить эффективное медико-социальное взаимодействие, разгрузить коечный фонд для оказания ПМП в медицинских организациях от непрофильных пациентов, не допустить дестабилизацию социального запроса на места пребывания людей, которым не нужна постоянная врачебная помощь, которые в силу организационных причин ожидают перевода в организации соцобслуживания.</w:t>
      </w:r>
    </w:p>
    <w:p>
      <w:pPr>
        <w:pStyle w:val="0"/>
      </w:pPr>
      <w:r>
        <w:rPr>
          <w:sz w:val="20"/>
        </w:rPr>
      </w:r>
    </w:p>
    <w:p>
      <w:pPr>
        <w:pStyle w:val="2"/>
        <w:outlineLvl w:val="2"/>
        <w:jc w:val="center"/>
      </w:pPr>
      <w:r>
        <w:rPr>
          <w:sz w:val="20"/>
        </w:rPr>
        <w:t xml:space="preserve">Оценка и выявление потребности в паллиативной медицинской</w:t>
      </w:r>
    </w:p>
    <w:p>
      <w:pPr>
        <w:pStyle w:val="2"/>
        <w:jc w:val="center"/>
      </w:pPr>
      <w:r>
        <w:rPr>
          <w:sz w:val="20"/>
        </w:rPr>
        <w:t xml:space="preserve">помощи в городе Севастополе</w:t>
      </w:r>
    </w:p>
    <w:p>
      <w:pPr>
        <w:pStyle w:val="0"/>
      </w:pPr>
      <w:r>
        <w:rPr>
          <w:sz w:val="20"/>
        </w:rPr>
      </w:r>
    </w:p>
    <w:p>
      <w:pPr>
        <w:pStyle w:val="0"/>
        <w:ind w:firstLine="540"/>
        <w:jc w:val="both"/>
      </w:pPr>
      <w:r>
        <w:rPr>
          <w:sz w:val="20"/>
        </w:rPr>
        <w:t xml:space="preserve">Расчетная оценка потребности в паллиативной медицинской помощи.</w:t>
      </w:r>
    </w:p>
    <w:p>
      <w:pPr>
        <w:pStyle w:val="0"/>
        <w:spacing w:before="200" w:line-rule="auto"/>
        <w:ind w:firstLine="540"/>
        <w:jc w:val="both"/>
      </w:pPr>
      <w:r>
        <w:rPr>
          <w:sz w:val="20"/>
        </w:rPr>
        <w:t xml:space="preserve">В городе Севастополе в 2018 году умерло 5633 чел., из которых 3774 чел. (67%) являлись потенциальными пациентами, нуждающимися в оказании ПМП. С учетом родных и близких пациентов (семья, друзья, коллеги) потребность в ПМП в городе Севастополе достигает 60639 чел., что составляет 14% от общего населения региона.</w:t>
      </w:r>
    </w:p>
    <w:p>
      <w:pPr>
        <w:pStyle w:val="0"/>
      </w:pPr>
      <w:r>
        <w:rPr>
          <w:sz w:val="20"/>
        </w:rPr>
      </w:r>
    </w:p>
    <w:p>
      <w:pPr>
        <w:pStyle w:val="0"/>
        <w:jc w:val="center"/>
      </w:pPr>
      <w:r>
        <w:rPr>
          <w:sz w:val="20"/>
        </w:rPr>
        <w:t xml:space="preserve">Рисунок 13. Оценка потребности в паллиативной</w:t>
      </w:r>
    </w:p>
    <w:p>
      <w:pPr>
        <w:pStyle w:val="0"/>
        <w:jc w:val="center"/>
      </w:pPr>
      <w:r>
        <w:rPr>
          <w:sz w:val="20"/>
        </w:rPr>
        <w:t xml:space="preserve">медицинской помощи</w:t>
      </w:r>
    </w:p>
    <w:p>
      <w:pPr>
        <w:pStyle w:val="0"/>
        <w:jc w:val="center"/>
      </w:pPr>
      <w:r>
        <w:rPr>
          <w:sz w:val="20"/>
        </w:rPr>
      </w:r>
    </w:p>
    <w:p>
      <w:pPr>
        <w:pStyle w:val="0"/>
        <w:jc w:val="center"/>
      </w:pPr>
      <w:r>
        <w:rPr>
          <w:position w:val="-230"/>
        </w:rPr>
        <w:drawing>
          <wp:inline distT="0" distB="0" distL="0" distR="0">
            <wp:extent cx="5041265" cy="3048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a:extLst>
                        <a:ext uri="{28A0092B-C50C-407E-A947-70E740481C1C}">
                          <a14:useLocalDpi xmlns:a14="http://schemas.microsoft.com/office/drawing/2010/main" val="0"/>
                        </a:ext>
                      </a:extLst>
                    </a:blip>
                    <a:srcRect/>
                    <a:stretch>
                      <a:fillRect/>
                    </a:stretch>
                  </pic:blipFill>
                  <pic:spPr bwMode="auto">
                    <a:xfrm>
                      <a:off x="0" y="0"/>
                      <a:ext cx="5041265" cy="3048000"/>
                    </a:xfrm>
                    <a:prstGeom prst="rect">
                      <a:avLst/>
                    </a:prstGeom>
                    <a:noFill/>
                    <a:ln>
                      <a:noFill/>
                    </a:ln>
                  </pic:spPr>
                </pic:pic>
              </a:graphicData>
            </a:graphic>
          </wp:inline>
        </w:drawing>
      </w:r>
    </w:p>
    <w:p>
      <w:pPr>
        <w:pStyle w:val="0"/>
        <w:jc w:val="center"/>
      </w:pPr>
      <w:r>
        <w:rPr>
          <w:sz w:val="20"/>
        </w:rPr>
      </w:r>
    </w:p>
    <w:p>
      <w:pPr>
        <w:pStyle w:val="2"/>
        <w:outlineLvl w:val="2"/>
        <w:jc w:val="center"/>
      </w:pPr>
      <w:r>
        <w:rPr>
          <w:sz w:val="20"/>
        </w:rPr>
        <w:t xml:space="preserve">Организация оказания паллиативной медицинской помощи</w:t>
      </w:r>
    </w:p>
    <w:p>
      <w:pPr>
        <w:pStyle w:val="2"/>
        <w:jc w:val="center"/>
      </w:pPr>
      <w:r>
        <w:rPr>
          <w:sz w:val="20"/>
        </w:rPr>
        <w:t xml:space="preserve">в городе Севастополе в 2020 - 2024 годах</w:t>
      </w:r>
    </w:p>
    <w:p>
      <w:pPr>
        <w:pStyle w:val="0"/>
        <w:jc w:val="center"/>
      </w:pPr>
      <w:r>
        <w:rPr>
          <w:sz w:val="20"/>
        </w:rPr>
      </w:r>
    </w:p>
    <w:p>
      <w:pPr>
        <w:pStyle w:val="0"/>
        <w:ind w:firstLine="540"/>
        <w:jc w:val="both"/>
      </w:pPr>
      <w:r>
        <w:rPr>
          <w:sz w:val="20"/>
        </w:rPr>
        <w:t xml:space="preserve">Планируемая к реализации в рамках настоящей Программы целевая модель развития ПМП позволит к 2025 году преимущественно покрыть существующую потребность взрослых и детей в паллиативной медицинской помощи в стационарных и амбулаторных условиях за счет:</w:t>
      </w:r>
    </w:p>
    <w:p>
      <w:pPr>
        <w:pStyle w:val="0"/>
        <w:spacing w:before="200" w:line-rule="auto"/>
        <w:ind w:firstLine="540"/>
        <w:jc w:val="both"/>
      </w:pPr>
      <w:r>
        <w:rPr>
          <w:sz w:val="20"/>
        </w:rPr>
        <w:t xml:space="preserve">- реструктуризации существующего коечного фонда в медицинских организациях, оказывающих ПМП;</w:t>
      </w:r>
    </w:p>
    <w:p>
      <w:pPr>
        <w:pStyle w:val="0"/>
        <w:spacing w:before="200" w:line-rule="auto"/>
        <w:ind w:firstLine="540"/>
        <w:jc w:val="both"/>
      </w:pPr>
      <w:r>
        <w:rPr>
          <w:sz w:val="20"/>
        </w:rPr>
        <w:t xml:space="preserve">- внедрения стационарозамещающих технологий, в первую очередь за счет создания отделений выездной патронажной паллиативной медицинской помощи.</w:t>
      </w:r>
    </w:p>
    <w:p>
      <w:pPr>
        <w:pStyle w:val="0"/>
        <w:spacing w:before="200" w:line-rule="auto"/>
        <w:ind w:firstLine="540"/>
        <w:jc w:val="both"/>
      </w:pPr>
      <w:r>
        <w:rPr>
          <w:sz w:val="20"/>
        </w:rPr>
        <w:t xml:space="preserve">В случаях, когда Программой предусмотрено изменение существующего коечного фонда ПМП, решение о способах использования, выводимых из системы оказания паллиативной медицинской помощи коек и иных инфраструктурных единиц, будет принято Департаментом здравоохранения города Севастополя и руководством соответствующей медицинской организации.</w:t>
      </w:r>
    </w:p>
    <w:p>
      <w:pPr>
        <w:pStyle w:val="0"/>
      </w:pPr>
      <w:r>
        <w:rPr>
          <w:sz w:val="20"/>
        </w:rPr>
      </w:r>
    </w:p>
    <w:p>
      <w:pPr>
        <w:pStyle w:val="2"/>
        <w:outlineLvl w:val="2"/>
        <w:jc w:val="center"/>
      </w:pPr>
      <w:r>
        <w:rPr>
          <w:sz w:val="20"/>
        </w:rPr>
        <w:t xml:space="preserve">Организация оказания паллиативной медицинской помощи</w:t>
      </w:r>
    </w:p>
    <w:p>
      <w:pPr>
        <w:pStyle w:val="2"/>
        <w:jc w:val="center"/>
      </w:pPr>
      <w:r>
        <w:rPr>
          <w:sz w:val="20"/>
        </w:rPr>
        <w:t xml:space="preserve">в стационарных условиях взрослым</w:t>
      </w:r>
    </w:p>
    <w:p>
      <w:pPr>
        <w:pStyle w:val="0"/>
        <w:jc w:val="center"/>
      </w:pPr>
      <w:r>
        <w:rPr>
          <w:sz w:val="20"/>
        </w:rPr>
      </w:r>
    </w:p>
    <w:p>
      <w:pPr>
        <w:pStyle w:val="0"/>
        <w:ind w:firstLine="540"/>
        <w:jc w:val="both"/>
      </w:pPr>
      <w:r>
        <w:rPr>
          <w:sz w:val="20"/>
        </w:rPr>
        <w:t xml:space="preserve">В срок до 31 декабря 2024 г. необходимо:</w:t>
      </w:r>
    </w:p>
    <w:p>
      <w:pPr>
        <w:pStyle w:val="0"/>
        <w:spacing w:before="200" w:line-rule="auto"/>
        <w:ind w:firstLine="540"/>
        <w:jc w:val="both"/>
      </w:pPr>
      <w:r>
        <w:rPr>
          <w:sz w:val="20"/>
        </w:rPr>
        <w:t xml:space="preserve">- сократить общий объем коечного фонда ПМП до 60 коек;</w:t>
      </w:r>
    </w:p>
    <w:p>
      <w:pPr>
        <w:pStyle w:val="0"/>
        <w:spacing w:before="200" w:line-rule="auto"/>
        <w:ind w:firstLine="540"/>
        <w:jc w:val="both"/>
      </w:pPr>
      <w:r>
        <w:rPr>
          <w:sz w:val="20"/>
        </w:rPr>
        <w:t xml:space="preserve">- провести реструктуризацию коечного фонда.</w:t>
      </w:r>
    </w:p>
    <w:p>
      <w:pPr>
        <w:pStyle w:val="0"/>
        <w:spacing w:before="200" w:line-rule="auto"/>
        <w:ind w:firstLine="540"/>
        <w:jc w:val="both"/>
      </w:pPr>
      <w:r>
        <w:rPr>
          <w:sz w:val="20"/>
        </w:rPr>
        <w:t xml:space="preserve">Целевая модель коечного фонда к 2025 году будет включать:</w:t>
      </w:r>
    </w:p>
    <w:p>
      <w:pPr>
        <w:pStyle w:val="0"/>
        <w:spacing w:before="200" w:line-rule="auto"/>
        <w:ind w:firstLine="540"/>
        <w:jc w:val="both"/>
      </w:pPr>
      <w:r>
        <w:rPr>
          <w:sz w:val="20"/>
        </w:rPr>
        <w:t xml:space="preserve">- 35 коек в отделениях паллиативной медицинской помощи для пациентов, нуждающихся в круглосуточном врачебном наблюдении;</w:t>
      </w:r>
    </w:p>
    <w:p>
      <w:pPr>
        <w:pStyle w:val="0"/>
        <w:spacing w:before="200" w:line-rule="auto"/>
        <w:ind w:firstLine="540"/>
        <w:jc w:val="both"/>
      </w:pPr>
      <w:r>
        <w:rPr>
          <w:sz w:val="20"/>
        </w:rPr>
        <w:t xml:space="preserve">- 20 коек в отделениях сестринского ухода для пациентов, не нуждающихся в круглосуточном врачебном наблюдении, в том числе пять коек для пациентов с соцпоказаниями, в том числе для "социальной передышки" родных и близких;</w:t>
      </w:r>
    </w:p>
    <w:p>
      <w:pPr>
        <w:pStyle w:val="0"/>
        <w:spacing w:before="200" w:line-rule="auto"/>
        <w:ind w:firstLine="540"/>
        <w:jc w:val="both"/>
      </w:pPr>
      <w:r>
        <w:rPr>
          <w:sz w:val="20"/>
        </w:rPr>
        <w:t xml:space="preserve">- пять коек для респираторной поддержки взрослого населения (информация в составе отдельного раздела Программы).</w:t>
      </w:r>
    </w:p>
    <w:p>
      <w:pPr>
        <w:pStyle w:val="0"/>
        <w:spacing w:before="200" w:line-rule="auto"/>
        <w:ind w:firstLine="540"/>
        <w:jc w:val="both"/>
      </w:pPr>
      <w:r>
        <w:rPr>
          <w:sz w:val="20"/>
        </w:rPr>
        <w:t xml:space="preserve">Внести изменения в приказ о системе маршрутизации пациентов взрослого населения, нуждающихся в оказании паллиативной медицинской помощи в стационарных условиях на койках ПМП, в соответствии с инфраструктурой ПМП на 2024 год.</w:t>
      </w:r>
    </w:p>
    <w:p>
      <w:pPr>
        <w:pStyle w:val="0"/>
        <w:spacing w:before="200" w:line-rule="auto"/>
        <w:ind w:firstLine="540"/>
        <w:jc w:val="both"/>
      </w:pPr>
      <w:r>
        <w:rPr>
          <w:sz w:val="20"/>
        </w:rPr>
        <w:t xml:space="preserve">Обеспечить выполнение мероприятий, направленных на сокращение числа непрофильных пациентов в медицинских организациях, оказывающих ПМП.</w:t>
      </w:r>
    </w:p>
    <w:p>
      <w:pPr>
        <w:pStyle w:val="0"/>
      </w:pPr>
      <w:r>
        <w:rPr>
          <w:sz w:val="20"/>
        </w:rPr>
      </w:r>
    </w:p>
    <w:p>
      <w:pPr>
        <w:pStyle w:val="2"/>
        <w:outlineLvl w:val="2"/>
        <w:jc w:val="center"/>
      </w:pPr>
      <w:r>
        <w:rPr>
          <w:sz w:val="20"/>
        </w:rPr>
        <w:t xml:space="preserve">Организация оказания паллиативной медицинской помощи</w:t>
      </w:r>
    </w:p>
    <w:p>
      <w:pPr>
        <w:pStyle w:val="2"/>
        <w:jc w:val="center"/>
      </w:pPr>
      <w:r>
        <w:rPr>
          <w:sz w:val="20"/>
        </w:rPr>
        <w:t xml:space="preserve">взрослым на койках ПМП</w:t>
      </w:r>
    </w:p>
    <w:p>
      <w:pPr>
        <w:pStyle w:val="0"/>
        <w:jc w:val="center"/>
      </w:pPr>
      <w:r>
        <w:rPr>
          <w:sz w:val="20"/>
        </w:rPr>
      </w:r>
    </w:p>
    <w:p>
      <w:pPr>
        <w:pStyle w:val="0"/>
        <w:ind w:firstLine="540"/>
        <w:jc w:val="both"/>
      </w:pPr>
      <w:r>
        <w:rPr>
          <w:sz w:val="20"/>
        </w:rPr>
        <w:t xml:space="preserve">В целях обеспечения взрослого населения города Севастополя паллиативной специализированной медицинской помощью в стационарных условиях на койках ПМП оказание ПМП будет сосредоточено на базе трех медицинских организаций: ГБУЗС "Городская больница N 1 им. Н.И. Пирогова", ГБУЗС "Севастопольский городской онкологический диспансер им. А.А. Задорожного" и ГБУЗС "Севастопольская городская больница N 9". </w:t>
      </w:r>
      <w:hyperlink w:history="0" w:anchor="P30263" w:tooltip="Расчет потребности в койках ПМП взрослым">
        <w:r>
          <w:rPr>
            <w:sz w:val="20"/>
            <w:color w:val="0000ff"/>
          </w:rPr>
          <w:t xml:space="preserve">Расчет</w:t>
        </w:r>
      </w:hyperlink>
      <w:r>
        <w:rPr>
          <w:sz w:val="20"/>
        </w:rPr>
        <w:t xml:space="preserve"> потребности в койках ПМП в рамках целевой модели оказания паллиативной медицинской помощи в стационарных условиях представлен в приложении N 7 к настоящей Программе.</w:t>
      </w:r>
    </w:p>
    <w:p>
      <w:pPr>
        <w:pStyle w:val="0"/>
        <w:spacing w:before="200" w:line-rule="auto"/>
        <w:ind w:firstLine="540"/>
        <w:jc w:val="both"/>
      </w:pPr>
      <w:r>
        <w:rPr>
          <w:sz w:val="20"/>
        </w:rPr>
        <w:t xml:space="preserve">Все пациенты, нуждающиеся в оказании паллиативной специализированной медицинской помощи на койках ПМП, будут маршрутизироваться в медицинские организации, оказывающие паллиативную специализированную медицинскую помощь, в соответствии с единой схемой маршрутизации пациентов паллиативного профиля, а также в зависимости от тяжести состояния, наличия болевого синдрома и прогноза длительности жизни.</w:t>
      </w:r>
    </w:p>
    <w:p>
      <w:pPr>
        <w:pStyle w:val="0"/>
      </w:pPr>
      <w:r>
        <w:rPr>
          <w:sz w:val="20"/>
        </w:rPr>
      </w:r>
    </w:p>
    <w:p>
      <w:pPr>
        <w:pStyle w:val="0"/>
        <w:jc w:val="center"/>
      </w:pPr>
      <w:r>
        <w:rPr>
          <w:sz w:val="20"/>
        </w:rPr>
        <w:t xml:space="preserve">Таблица 11. Расшифровка инфраструктуры оказания паллиативной</w:t>
      </w:r>
    </w:p>
    <w:p>
      <w:pPr>
        <w:pStyle w:val="0"/>
        <w:jc w:val="center"/>
      </w:pPr>
      <w:r>
        <w:rPr>
          <w:sz w:val="20"/>
        </w:rPr>
        <w:t xml:space="preserve">медицинской помощи взрослому населению к 2025 году</w:t>
      </w:r>
    </w:p>
    <w:p>
      <w:pPr>
        <w:pStyle w:val="0"/>
        <w:jc w:val="center"/>
      </w:pPr>
      <w:r>
        <w:rPr>
          <w:sz w:val="20"/>
        </w:rPr>
        <w:t xml:space="preserve">на койках ПМП</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5046"/>
        <w:gridCol w:w="1020"/>
        <w:gridCol w:w="998"/>
        <w:gridCol w:w="1421"/>
      </w:tblGrid>
      <w:tr>
        <w:tc>
          <w:tcPr>
            <w:tcW w:w="567" w:type="dxa"/>
          </w:tcPr>
          <w:p>
            <w:pPr>
              <w:pStyle w:val="0"/>
              <w:jc w:val="center"/>
            </w:pPr>
            <w:r>
              <w:rPr>
                <w:sz w:val="20"/>
              </w:rPr>
              <w:t xml:space="preserve">N</w:t>
            </w:r>
          </w:p>
        </w:tc>
        <w:tc>
          <w:tcPr>
            <w:tcW w:w="5046" w:type="dxa"/>
          </w:tcPr>
          <w:p>
            <w:pPr>
              <w:pStyle w:val="0"/>
              <w:jc w:val="center"/>
            </w:pPr>
            <w:r>
              <w:rPr>
                <w:sz w:val="20"/>
              </w:rPr>
              <w:t xml:space="preserve">Наименование медицинской организации</w:t>
            </w:r>
          </w:p>
        </w:tc>
        <w:tc>
          <w:tcPr>
            <w:tcW w:w="1020" w:type="dxa"/>
          </w:tcPr>
          <w:p>
            <w:pPr>
              <w:pStyle w:val="0"/>
              <w:jc w:val="center"/>
            </w:pPr>
            <w:r>
              <w:rPr>
                <w:sz w:val="20"/>
              </w:rPr>
              <w:t xml:space="preserve">Число коек, шт. 2019 г.</w:t>
            </w:r>
          </w:p>
        </w:tc>
        <w:tc>
          <w:tcPr>
            <w:tcW w:w="998" w:type="dxa"/>
          </w:tcPr>
          <w:p>
            <w:pPr>
              <w:pStyle w:val="0"/>
              <w:jc w:val="center"/>
            </w:pPr>
            <w:r>
              <w:rPr>
                <w:sz w:val="20"/>
              </w:rPr>
              <w:t xml:space="preserve">Число коек, шт. 2024 г.</w:t>
            </w:r>
          </w:p>
        </w:tc>
        <w:tc>
          <w:tcPr>
            <w:tcW w:w="1421" w:type="dxa"/>
          </w:tcPr>
          <w:p>
            <w:pPr>
              <w:pStyle w:val="0"/>
              <w:jc w:val="center"/>
            </w:pPr>
            <w:r>
              <w:rPr>
                <w:sz w:val="20"/>
              </w:rPr>
              <w:t xml:space="preserve">Обслуживаемое население, чел.</w:t>
            </w:r>
          </w:p>
        </w:tc>
      </w:tr>
      <w:tr>
        <w:tc>
          <w:tcPr>
            <w:tcW w:w="567" w:type="dxa"/>
          </w:tcPr>
          <w:p>
            <w:pPr>
              <w:pStyle w:val="0"/>
              <w:jc w:val="both"/>
            </w:pPr>
            <w:r>
              <w:rPr>
                <w:sz w:val="20"/>
              </w:rPr>
              <w:t xml:space="preserve">1</w:t>
            </w:r>
          </w:p>
        </w:tc>
        <w:tc>
          <w:tcPr>
            <w:tcW w:w="5046" w:type="dxa"/>
          </w:tcPr>
          <w:p>
            <w:pPr>
              <w:pStyle w:val="0"/>
              <w:jc w:val="both"/>
            </w:pPr>
            <w:r>
              <w:rPr>
                <w:sz w:val="20"/>
              </w:rPr>
              <w:t xml:space="preserve">ГБУЗС "Севастопольский городской онкологический диспансер им. А.А. Задорожного"</w:t>
            </w:r>
          </w:p>
        </w:tc>
        <w:tc>
          <w:tcPr>
            <w:tcW w:w="1020" w:type="dxa"/>
          </w:tcPr>
          <w:p>
            <w:pPr>
              <w:pStyle w:val="0"/>
              <w:jc w:val="center"/>
            </w:pPr>
            <w:r>
              <w:rPr>
                <w:sz w:val="20"/>
              </w:rPr>
              <w:t xml:space="preserve">20</w:t>
            </w:r>
          </w:p>
        </w:tc>
        <w:tc>
          <w:tcPr>
            <w:tcW w:w="998" w:type="dxa"/>
          </w:tcPr>
          <w:p>
            <w:pPr>
              <w:pStyle w:val="0"/>
              <w:jc w:val="center"/>
            </w:pPr>
            <w:r>
              <w:rPr>
                <w:sz w:val="20"/>
              </w:rPr>
              <w:t xml:space="preserve">20</w:t>
            </w:r>
          </w:p>
        </w:tc>
        <w:tc>
          <w:tcPr>
            <w:tcW w:w="1421" w:type="dxa"/>
            <w:vMerge w:val="restart"/>
          </w:tcPr>
          <w:p>
            <w:pPr>
              <w:pStyle w:val="0"/>
              <w:jc w:val="center"/>
            </w:pPr>
            <w:r>
              <w:rPr>
                <w:sz w:val="20"/>
              </w:rPr>
              <w:t xml:space="preserve">359752</w:t>
            </w:r>
          </w:p>
        </w:tc>
      </w:tr>
      <w:tr>
        <w:tc>
          <w:tcPr>
            <w:tcW w:w="567" w:type="dxa"/>
          </w:tcPr>
          <w:p>
            <w:pPr>
              <w:pStyle w:val="0"/>
              <w:jc w:val="both"/>
            </w:pPr>
            <w:r>
              <w:rPr>
                <w:sz w:val="20"/>
              </w:rPr>
              <w:t xml:space="preserve">2</w:t>
            </w:r>
          </w:p>
        </w:tc>
        <w:tc>
          <w:tcPr>
            <w:tcW w:w="5046" w:type="dxa"/>
          </w:tcPr>
          <w:p>
            <w:pPr>
              <w:pStyle w:val="0"/>
              <w:jc w:val="both"/>
            </w:pPr>
            <w:r>
              <w:rPr>
                <w:sz w:val="20"/>
              </w:rPr>
              <w:t xml:space="preserve">ГБУЗС "Севастопольская городская больница N 9"</w:t>
            </w:r>
          </w:p>
        </w:tc>
        <w:tc>
          <w:tcPr>
            <w:tcW w:w="1020" w:type="dxa"/>
          </w:tcPr>
          <w:p>
            <w:pPr>
              <w:pStyle w:val="0"/>
              <w:jc w:val="center"/>
            </w:pPr>
            <w:r>
              <w:rPr>
                <w:sz w:val="20"/>
              </w:rPr>
              <w:t xml:space="preserve">7</w:t>
            </w:r>
          </w:p>
        </w:tc>
        <w:tc>
          <w:tcPr>
            <w:tcW w:w="998" w:type="dxa"/>
          </w:tcPr>
          <w:p>
            <w:pPr>
              <w:pStyle w:val="0"/>
              <w:jc w:val="center"/>
            </w:pPr>
            <w:r>
              <w:rPr>
                <w:sz w:val="20"/>
              </w:rPr>
              <w:t xml:space="preserve">10</w:t>
            </w:r>
          </w:p>
        </w:tc>
        <w:tc>
          <w:tcPr>
            <w:vMerge w:val="continue"/>
          </w:tcPr>
          <w:p/>
        </w:tc>
      </w:tr>
      <w:tr>
        <w:tc>
          <w:tcPr>
            <w:tcW w:w="567" w:type="dxa"/>
          </w:tcPr>
          <w:p>
            <w:pPr>
              <w:pStyle w:val="0"/>
              <w:jc w:val="both"/>
            </w:pPr>
            <w:r>
              <w:rPr>
                <w:sz w:val="20"/>
              </w:rPr>
              <w:t xml:space="preserve">3</w:t>
            </w:r>
          </w:p>
        </w:tc>
        <w:tc>
          <w:tcPr>
            <w:tcW w:w="5046" w:type="dxa"/>
          </w:tcPr>
          <w:p>
            <w:pPr>
              <w:pStyle w:val="0"/>
              <w:jc w:val="both"/>
            </w:pPr>
            <w:r>
              <w:rPr>
                <w:sz w:val="20"/>
              </w:rPr>
              <w:t xml:space="preserve">ГБУЗС "Городская больница N 1 им. Н.И. Пирогова"</w:t>
            </w:r>
          </w:p>
        </w:tc>
        <w:tc>
          <w:tcPr>
            <w:tcW w:w="1020" w:type="dxa"/>
          </w:tcPr>
          <w:p>
            <w:pPr>
              <w:pStyle w:val="0"/>
              <w:jc w:val="center"/>
            </w:pPr>
            <w:r>
              <w:rPr>
                <w:sz w:val="20"/>
              </w:rPr>
              <w:t xml:space="preserve">10</w:t>
            </w:r>
          </w:p>
        </w:tc>
        <w:tc>
          <w:tcPr>
            <w:tcW w:w="998" w:type="dxa"/>
          </w:tcPr>
          <w:p>
            <w:pPr>
              <w:pStyle w:val="0"/>
              <w:jc w:val="center"/>
            </w:pPr>
            <w:r>
              <w:rPr>
                <w:sz w:val="20"/>
              </w:rPr>
              <w:t xml:space="preserve">5 &lt;13&gt;</w:t>
            </w:r>
          </w:p>
        </w:tc>
        <w:tc>
          <w:tcPr>
            <w:vMerge w:val="continue"/>
          </w:tcPr>
          <w:p/>
        </w:tc>
      </w:tr>
      <w:tr>
        <w:tc>
          <w:tcPr>
            <w:tcW w:w="567" w:type="dxa"/>
          </w:tcPr>
          <w:p>
            <w:pPr>
              <w:pStyle w:val="0"/>
              <w:jc w:val="both"/>
            </w:pPr>
            <w:r>
              <w:rPr>
                <w:sz w:val="20"/>
              </w:rPr>
              <w:t xml:space="preserve">4</w:t>
            </w:r>
          </w:p>
        </w:tc>
        <w:tc>
          <w:tcPr>
            <w:tcW w:w="5046" w:type="dxa"/>
          </w:tcPr>
          <w:p>
            <w:pPr>
              <w:pStyle w:val="0"/>
              <w:jc w:val="both"/>
            </w:pPr>
            <w:r>
              <w:rPr>
                <w:sz w:val="20"/>
              </w:rPr>
              <w:t xml:space="preserve">ГБУЗС "Городская больница N 4"</w:t>
            </w:r>
          </w:p>
        </w:tc>
        <w:tc>
          <w:tcPr>
            <w:tcW w:w="1020" w:type="dxa"/>
          </w:tcPr>
          <w:p>
            <w:pPr>
              <w:pStyle w:val="0"/>
              <w:jc w:val="center"/>
            </w:pPr>
            <w:r>
              <w:rPr>
                <w:sz w:val="20"/>
              </w:rPr>
              <w:t xml:space="preserve">5</w:t>
            </w:r>
          </w:p>
        </w:tc>
        <w:tc>
          <w:tcPr>
            <w:tcW w:w="998" w:type="dxa"/>
          </w:tcPr>
          <w:p>
            <w:pPr>
              <w:pStyle w:val="0"/>
              <w:jc w:val="center"/>
            </w:pPr>
            <w:r>
              <w:rPr>
                <w:sz w:val="20"/>
              </w:rPr>
              <w:t xml:space="preserve">0</w:t>
            </w:r>
          </w:p>
        </w:tc>
        <w:tc>
          <w:tcPr>
            <w:tcW w:w="1421" w:type="dxa"/>
          </w:tcPr>
          <w:p>
            <w:pPr>
              <w:pStyle w:val="0"/>
              <w:jc w:val="center"/>
            </w:pPr>
            <w:r>
              <w:rPr>
                <w:sz w:val="20"/>
              </w:rPr>
              <w:t xml:space="preserve">0</w:t>
            </w:r>
          </w:p>
        </w:tc>
      </w:tr>
    </w:tbl>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&lt;13&gt; Без учета коек для оказания длительной респираторной поддержки.</w:t>
      </w:r>
    </w:p>
    <w:p>
      <w:pPr>
        <w:pStyle w:val="0"/>
        <w:ind w:firstLine="540"/>
        <w:jc w:val="both"/>
      </w:pPr>
      <w:r>
        <w:rPr>
          <w:sz w:val="20"/>
        </w:rPr>
      </w:r>
    </w:p>
    <w:p>
      <w:pPr>
        <w:pStyle w:val="0"/>
        <w:ind w:firstLine="540"/>
        <w:jc w:val="both"/>
      </w:pPr>
      <w:r>
        <w:rPr>
          <w:sz w:val="20"/>
        </w:rPr>
        <w:t xml:space="preserve">Паллиативная специализированная медицинская помощь для крайне тяжелых пациентов с коротким прогнозом жизни, вне зависимости от нозологий, будет оказываться на койках ПМП на базе ГБУЗС "Севастопольский городской онкологический диспансер им. А.А. Задорожного", где на момент утверждения Программы организовано отделение на 20 коек ПМП.</w:t>
      </w:r>
    </w:p>
    <w:p>
      <w:pPr>
        <w:pStyle w:val="0"/>
        <w:spacing w:before="200" w:line-rule="auto"/>
        <w:ind w:firstLine="540"/>
        <w:jc w:val="both"/>
      </w:pPr>
      <w:r>
        <w:rPr>
          <w:sz w:val="20"/>
        </w:rPr>
        <w:t xml:space="preserve">Оказание паллиативной специализированной медицинской помощи для пациентов с хроническим болевым синдромом, нуждающихся в круглосуточном врачебном наблюдении, с продолжительным прогнозом жизни будет организовано на базе ГБУЗС "Севастопольская городская больница N 9", где на момент утверждения Программы ПМП оказывается на 30 койках сестринского ухода. На базе ГБУЗС "Городская больница N 1 им. Н.И. Пирогова" ПМП оказывается на 10 койках. В целях повышения качества и доступности оказания ПМП к 2021 году необходимо сформировать полноценное отделение паллиативной медицинской помощи на 10 коек ПМП в ГБУЗС "Севастопольская городская больница N 9" и перепрофилировать пять коек ПМП в ГБУЗС "Городская больница N 1 им. Н.И. Пирогова" для оказания ПМП взрослым пациентам, нуждающимся в длительной респираторной поддержке.</w:t>
      </w:r>
    </w:p>
    <w:p>
      <w:pPr>
        <w:pStyle w:val="0"/>
        <w:spacing w:before="200" w:line-rule="auto"/>
        <w:ind w:firstLine="540"/>
        <w:jc w:val="both"/>
      </w:pPr>
      <w:r>
        <w:rPr>
          <w:sz w:val="20"/>
        </w:rPr>
        <w:t xml:space="preserve">На момент утверждения Программы коечный фонд для оказания ПМП взрослому населению в размере 42 коек ПМП является избыточным. Для обеспечения исполнения Программы к 2021 году необходимо вывести из системы оказания паллиативной медицинской помощи пять коек ПМП в ГБУЗС "Городская больница N 4", семь коек ПМП в ГБУЗС "Севастопольская городская больница N 9".</w:t>
      </w:r>
    </w:p>
    <w:p>
      <w:pPr>
        <w:pStyle w:val="0"/>
      </w:pPr>
      <w:r>
        <w:rPr>
          <w:sz w:val="20"/>
        </w:rPr>
      </w:r>
    </w:p>
    <w:p>
      <w:pPr>
        <w:pStyle w:val="2"/>
        <w:outlineLvl w:val="2"/>
        <w:jc w:val="center"/>
      </w:pPr>
      <w:r>
        <w:rPr>
          <w:sz w:val="20"/>
        </w:rPr>
        <w:t xml:space="preserve">Организация оказания паллиативной медицинской помощи</w:t>
      </w:r>
    </w:p>
    <w:p>
      <w:pPr>
        <w:pStyle w:val="2"/>
        <w:jc w:val="center"/>
      </w:pPr>
      <w:r>
        <w:rPr>
          <w:sz w:val="20"/>
        </w:rPr>
        <w:t xml:space="preserve">взрослым на койках сестринского ухода</w:t>
      </w:r>
    </w:p>
    <w:p>
      <w:pPr>
        <w:pStyle w:val="0"/>
        <w:jc w:val="center"/>
      </w:pPr>
      <w:r>
        <w:rPr>
          <w:sz w:val="20"/>
        </w:rPr>
      </w:r>
    </w:p>
    <w:p>
      <w:pPr>
        <w:pStyle w:val="0"/>
        <w:ind w:firstLine="540"/>
        <w:jc w:val="both"/>
      </w:pPr>
      <w:r>
        <w:rPr>
          <w:sz w:val="20"/>
        </w:rPr>
        <w:t xml:space="preserve">В целях обеспечения взрослого населения города Севастополя паллиативной специализированной медицинской помощью в стационарных условиях на койках сестринского ухода оказание ПМП будет сосредоточено на базе ГБУЗС "Севастопольская городская больница N 9". </w:t>
      </w:r>
      <w:hyperlink w:history="0" w:anchor="P30324" w:tooltip="Расчет потребности в койках сестринского ухода">
        <w:r>
          <w:rPr>
            <w:sz w:val="20"/>
            <w:color w:val="0000ff"/>
          </w:rPr>
          <w:t xml:space="preserve">Расчет</w:t>
        </w:r>
      </w:hyperlink>
      <w:r>
        <w:rPr>
          <w:sz w:val="20"/>
        </w:rPr>
        <w:t xml:space="preserve"> потребности в койках сестринского ухода в рамках целевой модели оказания паллиативной медицинской помощи в стационарных условиях представлен в приложении N 8 к настоящей Программе.</w:t>
      </w:r>
    </w:p>
    <w:p>
      <w:pPr>
        <w:pStyle w:val="0"/>
      </w:pPr>
      <w:r>
        <w:rPr>
          <w:sz w:val="20"/>
        </w:rPr>
      </w:r>
    </w:p>
    <w:p>
      <w:pPr>
        <w:pStyle w:val="0"/>
        <w:jc w:val="center"/>
      </w:pPr>
      <w:r>
        <w:rPr>
          <w:sz w:val="20"/>
        </w:rPr>
        <w:t xml:space="preserve">Таблица 12. Расшифровка инфраструктуры оказания ПМП</w:t>
      </w:r>
    </w:p>
    <w:p>
      <w:pPr>
        <w:pStyle w:val="0"/>
        <w:jc w:val="center"/>
      </w:pPr>
      <w:r>
        <w:rPr>
          <w:sz w:val="20"/>
        </w:rPr>
        <w:t xml:space="preserve">взрослому населению к 2025 году на койках СУ</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13"/>
        <w:gridCol w:w="1020"/>
        <w:gridCol w:w="998"/>
        <w:gridCol w:w="1421"/>
      </w:tblGrid>
      <w:tr>
        <w:tc>
          <w:tcPr>
            <w:tcW w:w="5613" w:type="dxa"/>
          </w:tcPr>
          <w:p>
            <w:pPr>
              <w:pStyle w:val="0"/>
              <w:jc w:val="center"/>
            </w:pPr>
            <w:r>
              <w:rPr>
                <w:sz w:val="20"/>
              </w:rPr>
              <w:t xml:space="preserve">Наименование медицинской организации</w:t>
            </w:r>
          </w:p>
        </w:tc>
        <w:tc>
          <w:tcPr>
            <w:tcW w:w="1020" w:type="dxa"/>
          </w:tcPr>
          <w:p>
            <w:pPr>
              <w:pStyle w:val="0"/>
              <w:jc w:val="center"/>
            </w:pPr>
            <w:r>
              <w:rPr>
                <w:sz w:val="20"/>
              </w:rPr>
              <w:t xml:space="preserve">Число коек, шт. 2019 г.</w:t>
            </w:r>
          </w:p>
        </w:tc>
        <w:tc>
          <w:tcPr>
            <w:tcW w:w="998" w:type="dxa"/>
          </w:tcPr>
          <w:p>
            <w:pPr>
              <w:pStyle w:val="0"/>
              <w:jc w:val="center"/>
            </w:pPr>
            <w:r>
              <w:rPr>
                <w:sz w:val="20"/>
              </w:rPr>
              <w:t xml:space="preserve">Число коек, шт. 2024 г.</w:t>
            </w:r>
          </w:p>
        </w:tc>
        <w:tc>
          <w:tcPr>
            <w:tcW w:w="1421" w:type="dxa"/>
          </w:tcPr>
          <w:p>
            <w:pPr>
              <w:pStyle w:val="0"/>
              <w:jc w:val="center"/>
            </w:pPr>
            <w:r>
              <w:rPr>
                <w:sz w:val="20"/>
              </w:rPr>
              <w:t xml:space="preserve">Обслуживаемое население, чел.</w:t>
            </w:r>
          </w:p>
        </w:tc>
      </w:tr>
      <w:tr>
        <w:tc>
          <w:tcPr>
            <w:tcW w:w="5613" w:type="dxa"/>
          </w:tcPr>
          <w:p>
            <w:pPr>
              <w:pStyle w:val="0"/>
              <w:jc w:val="both"/>
            </w:pPr>
            <w:r>
              <w:rPr>
                <w:sz w:val="20"/>
              </w:rPr>
              <w:t xml:space="preserve">ГБУЗС "Севастопольская городская больница N 9"</w:t>
            </w:r>
          </w:p>
        </w:tc>
        <w:tc>
          <w:tcPr>
            <w:tcW w:w="1020" w:type="dxa"/>
          </w:tcPr>
          <w:p>
            <w:pPr>
              <w:pStyle w:val="0"/>
              <w:jc w:val="center"/>
            </w:pPr>
            <w:r>
              <w:rPr>
                <w:sz w:val="20"/>
              </w:rPr>
              <w:t xml:space="preserve">30</w:t>
            </w:r>
          </w:p>
        </w:tc>
        <w:tc>
          <w:tcPr>
            <w:tcW w:w="998" w:type="dxa"/>
          </w:tcPr>
          <w:p>
            <w:pPr>
              <w:pStyle w:val="0"/>
              <w:jc w:val="center"/>
            </w:pPr>
            <w:r>
              <w:rPr>
                <w:sz w:val="20"/>
              </w:rPr>
              <w:t xml:space="preserve">20</w:t>
            </w:r>
          </w:p>
        </w:tc>
        <w:tc>
          <w:tcPr>
            <w:tcW w:w="1421" w:type="dxa"/>
          </w:tcPr>
          <w:p>
            <w:pPr>
              <w:pStyle w:val="0"/>
              <w:jc w:val="center"/>
            </w:pPr>
            <w:r>
              <w:rPr>
                <w:sz w:val="20"/>
              </w:rPr>
              <w:t xml:space="preserve">359752</w:t>
            </w:r>
          </w:p>
        </w:tc>
      </w:tr>
    </w:tbl>
    <w:p>
      <w:pPr>
        <w:pStyle w:val="0"/>
        <w:ind w:firstLine="540"/>
        <w:jc w:val="both"/>
      </w:pPr>
      <w:r>
        <w:rPr>
          <w:sz w:val="20"/>
        </w:rPr>
      </w:r>
    </w:p>
    <w:p>
      <w:pPr>
        <w:pStyle w:val="0"/>
        <w:ind w:firstLine="540"/>
        <w:jc w:val="both"/>
      </w:pPr>
      <w:r>
        <w:rPr>
          <w:sz w:val="20"/>
        </w:rPr>
        <w:t xml:space="preserve">На момент утверждения Программы коечный фонд для оказания ПМП взрослому населению в размере 30 коек сестринского ухода является избыточным. Для обеспечения исполнения Программы необходимо вывести из системы оказания паллиативной медицинской помощи 10 коек сестринского ухода в ГБУЗС "Севастопольская городская больница N 9".</w:t>
      </w:r>
    </w:p>
    <w:p>
      <w:pPr>
        <w:pStyle w:val="0"/>
        <w:spacing w:before="200" w:line-rule="auto"/>
        <w:ind w:firstLine="540"/>
        <w:jc w:val="both"/>
      </w:pPr>
      <w:r>
        <w:rPr>
          <w:sz w:val="20"/>
        </w:rPr>
        <w:t xml:space="preserve">Таким образом, к 2022 году паллиативная специализированная медицинская помощь для пациентов, не нуждающихся в круглосуточном врачебном наблюдении, будет оказываться в отделении сестринского ухода на 20 коек СУ.</w:t>
      </w:r>
    </w:p>
    <w:p>
      <w:pPr>
        <w:pStyle w:val="0"/>
        <w:spacing w:before="200" w:line-rule="auto"/>
        <w:ind w:firstLine="540"/>
        <w:jc w:val="both"/>
      </w:pPr>
      <w:r>
        <w:rPr>
          <w:sz w:val="20"/>
        </w:rPr>
        <w:t xml:space="preserve">Достижение целевой структуры коечного фонда в городе Севастополе к 2025 году будет обеспечено в результате реализации соответствующего плана развития паллиативного коечного фонда:</w:t>
      </w:r>
    </w:p>
    <w:p>
      <w:pPr>
        <w:pStyle w:val="0"/>
      </w:pPr>
      <w:r>
        <w:rPr>
          <w:sz w:val="20"/>
        </w:rPr>
      </w:r>
    </w:p>
    <w:p>
      <w:pPr>
        <w:pStyle w:val="0"/>
        <w:jc w:val="center"/>
      </w:pPr>
      <w:r>
        <w:rPr>
          <w:sz w:val="20"/>
        </w:rPr>
        <w:t xml:space="preserve">Таблица 13. План развития коечного фонда ПМП</w:t>
      </w:r>
    </w:p>
    <w:p>
      <w:pPr>
        <w:pStyle w:val="0"/>
        <w:jc w:val="center"/>
      </w:pPr>
      <w:r>
        <w:rPr>
          <w:sz w:val="20"/>
        </w:rPr>
        <w:t xml:space="preserve">на 2020 - 2024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8"/>
        <w:gridCol w:w="850"/>
        <w:gridCol w:w="850"/>
        <w:gridCol w:w="850"/>
        <w:gridCol w:w="850"/>
        <w:gridCol w:w="850"/>
        <w:gridCol w:w="850"/>
      </w:tblGrid>
      <w:tr>
        <w:tc>
          <w:tcPr>
            <w:tcW w:w="3968" w:type="dxa"/>
          </w:tcPr>
          <w:p>
            <w:pPr>
              <w:pStyle w:val="0"/>
              <w:jc w:val="center"/>
            </w:pPr>
            <w:r>
              <w:rPr>
                <w:sz w:val="20"/>
              </w:rPr>
              <w:t xml:space="preserve">Название медицинской организации</w:t>
            </w:r>
          </w:p>
        </w:tc>
        <w:tc>
          <w:tcPr>
            <w:tcW w:w="850" w:type="dxa"/>
          </w:tcPr>
          <w:p>
            <w:pPr>
              <w:pStyle w:val="0"/>
              <w:jc w:val="center"/>
            </w:pPr>
            <w:r>
              <w:rPr>
                <w:sz w:val="20"/>
              </w:rPr>
              <w:t xml:space="preserve">2019 г.</w:t>
            </w:r>
          </w:p>
        </w:tc>
        <w:tc>
          <w:tcPr>
            <w:tcW w:w="850" w:type="dxa"/>
          </w:tcPr>
          <w:p>
            <w:pPr>
              <w:pStyle w:val="0"/>
              <w:jc w:val="center"/>
            </w:pPr>
            <w:r>
              <w:rPr>
                <w:sz w:val="20"/>
              </w:rPr>
              <w:t xml:space="preserve">2020 г.</w:t>
            </w:r>
          </w:p>
        </w:tc>
        <w:tc>
          <w:tcPr>
            <w:tcW w:w="850" w:type="dxa"/>
          </w:tcPr>
          <w:p>
            <w:pPr>
              <w:pStyle w:val="0"/>
              <w:jc w:val="center"/>
            </w:pPr>
            <w:r>
              <w:rPr>
                <w:sz w:val="20"/>
              </w:rPr>
              <w:t xml:space="preserve">2021 г.</w:t>
            </w:r>
          </w:p>
        </w:tc>
        <w:tc>
          <w:tcPr>
            <w:tcW w:w="850" w:type="dxa"/>
          </w:tcPr>
          <w:p>
            <w:pPr>
              <w:pStyle w:val="0"/>
              <w:jc w:val="center"/>
            </w:pPr>
            <w:r>
              <w:rPr>
                <w:sz w:val="20"/>
              </w:rPr>
              <w:t xml:space="preserve">2022 г.</w:t>
            </w:r>
          </w:p>
        </w:tc>
        <w:tc>
          <w:tcPr>
            <w:tcW w:w="850" w:type="dxa"/>
          </w:tcPr>
          <w:p>
            <w:pPr>
              <w:pStyle w:val="0"/>
              <w:jc w:val="center"/>
            </w:pPr>
            <w:r>
              <w:rPr>
                <w:sz w:val="20"/>
              </w:rPr>
              <w:t xml:space="preserve">2023 г.</w:t>
            </w:r>
          </w:p>
        </w:tc>
        <w:tc>
          <w:tcPr>
            <w:tcW w:w="850" w:type="dxa"/>
          </w:tcPr>
          <w:p>
            <w:pPr>
              <w:pStyle w:val="0"/>
              <w:jc w:val="center"/>
            </w:pPr>
            <w:r>
              <w:rPr>
                <w:sz w:val="20"/>
              </w:rPr>
              <w:t xml:space="preserve">2024 г.</w:t>
            </w:r>
          </w:p>
        </w:tc>
      </w:tr>
      <w:tr>
        <w:tc>
          <w:tcPr>
            <w:gridSpan w:val="7"/>
            <w:tcW w:w="9068" w:type="dxa"/>
          </w:tcPr>
          <w:p>
            <w:pPr>
              <w:pStyle w:val="0"/>
              <w:jc w:val="center"/>
            </w:pPr>
            <w:r>
              <w:rPr>
                <w:sz w:val="20"/>
              </w:rPr>
              <w:t xml:space="preserve">Койки ПМП</w:t>
            </w:r>
          </w:p>
        </w:tc>
      </w:tr>
      <w:tr>
        <w:tc>
          <w:tcPr>
            <w:tcW w:w="3968" w:type="dxa"/>
          </w:tcPr>
          <w:p>
            <w:pPr>
              <w:pStyle w:val="0"/>
              <w:jc w:val="both"/>
            </w:pPr>
            <w:r>
              <w:rPr>
                <w:sz w:val="20"/>
              </w:rPr>
              <w:t xml:space="preserve">ГБУЗС "Городская больница N 1 им. Н.И. Пирогова"</w:t>
            </w:r>
          </w:p>
        </w:tc>
        <w:tc>
          <w:tcPr>
            <w:tcW w:w="850" w:type="dxa"/>
          </w:tcPr>
          <w:p>
            <w:pPr>
              <w:pStyle w:val="0"/>
              <w:jc w:val="center"/>
            </w:pPr>
            <w:r>
              <w:rPr>
                <w:sz w:val="20"/>
              </w:rPr>
              <w:t xml:space="preserve">10</w:t>
            </w:r>
          </w:p>
        </w:tc>
        <w:tc>
          <w:tcPr>
            <w:tcW w:w="850" w:type="dxa"/>
          </w:tcPr>
          <w:p>
            <w:pPr>
              <w:pStyle w:val="0"/>
              <w:jc w:val="center"/>
            </w:pPr>
            <w:r>
              <w:rPr>
                <w:sz w:val="20"/>
              </w:rPr>
              <w:t xml:space="preserve">10</w:t>
            </w:r>
          </w:p>
        </w:tc>
        <w:tc>
          <w:tcPr>
            <w:tcW w:w="850" w:type="dxa"/>
          </w:tcPr>
          <w:p>
            <w:pPr>
              <w:pStyle w:val="0"/>
              <w:jc w:val="center"/>
            </w:pPr>
            <w:r>
              <w:rPr>
                <w:sz w:val="20"/>
              </w:rPr>
              <w:t xml:space="preserve">5</w:t>
            </w:r>
          </w:p>
        </w:tc>
        <w:tc>
          <w:tcPr>
            <w:tcW w:w="850" w:type="dxa"/>
          </w:tcPr>
          <w:p>
            <w:pPr>
              <w:pStyle w:val="0"/>
              <w:jc w:val="center"/>
            </w:pPr>
            <w:r>
              <w:rPr>
                <w:sz w:val="20"/>
              </w:rPr>
              <w:t xml:space="preserve">5</w:t>
            </w:r>
          </w:p>
        </w:tc>
        <w:tc>
          <w:tcPr>
            <w:tcW w:w="850" w:type="dxa"/>
          </w:tcPr>
          <w:p>
            <w:pPr>
              <w:pStyle w:val="0"/>
              <w:jc w:val="center"/>
            </w:pPr>
            <w:r>
              <w:rPr>
                <w:sz w:val="20"/>
              </w:rPr>
              <w:t xml:space="preserve">5</w:t>
            </w:r>
          </w:p>
        </w:tc>
        <w:tc>
          <w:tcPr>
            <w:tcW w:w="850" w:type="dxa"/>
          </w:tcPr>
          <w:p>
            <w:pPr>
              <w:pStyle w:val="0"/>
              <w:jc w:val="center"/>
            </w:pPr>
            <w:r>
              <w:rPr>
                <w:sz w:val="20"/>
              </w:rPr>
              <w:t xml:space="preserve">5</w:t>
            </w:r>
          </w:p>
        </w:tc>
      </w:tr>
      <w:tr>
        <w:tc>
          <w:tcPr>
            <w:tcW w:w="3968" w:type="dxa"/>
          </w:tcPr>
          <w:p>
            <w:pPr>
              <w:pStyle w:val="0"/>
              <w:jc w:val="both"/>
            </w:pPr>
            <w:r>
              <w:rPr>
                <w:sz w:val="20"/>
              </w:rPr>
              <w:t xml:space="preserve">ГБУЗС "Городская больница N 4"</w:t>
            </w:r>
          </w:p>
        </w:tc>
        <w:tc>
          <w:tcPr>
            <w:tcW w:w="850" w:type="dxa"/>
          </w:tcPr>
          <w:p>
            <w:pPr>
              <w:pStyle w:val="0"/>
              <w:jc w:val="center"/>
            </w:pPr>
            <w:r>
              <w:rPr>
                <w:sz w:val="20"/>
              </w:rPr>
              <w:t xml:space="preserve">5</w:t>
            </w:r>
          </w:p>
        </w:tc>
        <w:tc>
          <w:tcPr>
            <w:tcW w:w="850" w:type="dxa"/>
          </w:tcPr>
          <w:p>
            <w:pPr>
              <w:pStyle w:val="0"/>
              <w:jc w:val="center"/>
            </w:pPr>
            <w:r>
              <w:rPr>
                <w:sz w:val="20"/>
              </w:rPr>
              <w:t xml:space="preserve">5</w:t>
            </w:r>
          </w:p>
        </w:tc>
        <w:tc>
          <w:tcPr>
            <w:tcW w:w="850" w:type="dxa"/>
          </w:tcPr>
          <w:p>
            <w:pPr>
              <w:pStyle w:val="0"/>
              <w:jc w:val="center"/>
            </w:pPr>
            <w:r>
              <w:rPr>
                <w:sz w:val="20"/>
              </w:rPr>
              <w:t xml:space="preserve">0</w:t>
            </w:r>
          </w:p>
        </w:tc>
        <w:tc>
          <w:tcPr>
            <w:tcW w:w="850" w:type="dxa"/>
          </w:tcPr>
          <w:p>
            <w:pPr>
              <w:pStyle w:val="0"/>
              <w:jc w:val="center"/>
            </w:pPr>
            <w:r>
              <w:rPr>
                <w:sz w:val="20"/>
              </w:rPr>
              <w:t xml:space="preserve">0</w:t>
            </w:r>
          </w:p>
        </w:tc>
        <w:tc>
          <w:tcPr>
            <w:tcW w:w="850" w:type="dxa"/>
          </w:tcPr>
          <w:p>
            <w:pPr>
              <w:pStyle w:val="0"/>
              <w:jc w:val="center"/>
            </w:pPr>
            <w:r>
              <w:rPr>
                <w:sz w:val="20"/>
              </w:rPr>
              <w:t xml:space="preserve">0</w:t>
            </w:r>
          </w:p>
        </w:tc>
        <w:tc>
          <w:tcPr>
            <w:tcW w:w="850" w:type="dxa"/>
          </w:tcPr>
          <w:p>
            <w:pPr>
              <w:pStyle w:val="0"/>
              <w:jc w:val="center"/>
            </w:pPr>
            <w:r>
              <w:rPr>
                <w:sz w:val="20"/>
              </w:rPr>
              <w:t xml:space="preserve">0</w:t>
            </w:r>
          </w:p>
        </w:tc>
      </w:tr>
      <w:tr>
        <w:tc>
          <w:tcPr>
            <w:tcW w:w="3968" w:type="dxa"/>
          </w:tcPr>
          <w:p>
            <w:pPr>
              <w:pStyle w:val="0"/>
              <w:jc w:val="both"/>
            </w:pPr>
            <w:r>
              <w:rPr>
                <w:sz w:val="20"/>
              </w:rPr>
              <w:t xml:space="preserve">ГБУЗС "Городская больница N 9"</w:t>
            </w:r>
          </w:p>
        </w:tc>
        <w:tc>
          <w:tcPr>
            <w:tcW w:w="850" w:type="dxa"/>
          </w:tcPr>
          <w:p>
            <w:pPr>
              <w:pStyle w:val="0"/>
              <w:jc w:val="center"/>
            </w:pPr>
            <w:r>
              <w:rPr>
                <w:sz w:val="20"/>
              </w:rPr>
              <w:t xml:space="preserve">7</w:t>
            </w:r>
          </w:p>
        </w:tc>
        <w:tc>
          <w:tcPr>
            <w:tcW w:w="850" w:type="dxa"/>
          </w:tcPr>
          <w:p>
            <w:pPr>
              <w:pStyle w:val="0"/>
              <w:jc w:val="center"/>
            </w:pPr>
            <w:r>
              <w:rPr>
                <w:sz w:val="20"/>
              </w:rPr>
              <w:t xml:space="preserve">7</w:t>
            </w:r>
          </w:p>
        </w:tc>
        <w:tc>
          <w:tcPr>
            <w:tcW w:w="850" w:type="dxa"/>
          </w:tcPr>
          <w:p>
            <w:pPr>
              <w:pStyle w:val="0"/>
              <w:jc w:val="center"/>
            </w:pPr>
            <w:r>
              <w:rPr>
                <w:sz w:val="20"/>
              </w:rPr>
              <w:t xml:space="preserve">10</w:t>
            </w:r>
          </w:p>
        </w:tc>
        <w:tc>
          <w:tcPr>
            <w:tcW w:w="850" w:type="dxa"/>
          </w:tcPr>
          <w:p>
            <w:pPr>
              <w:pStyle w:val="0"/>
              <w:jc w:val="center"/>
            </w:pPr>
            <w:r>
              <w:rPr>
                <w:sz w:val="20"/>
              </w:rPr>
              <w:t xml:space="preserve">10</w:t>
            </w:r>
          </w:p>
        </w:tc>
        <w:tc>
          <w:tcPr>
            <w:tcW w:w="850" w:type="dxa"/>
          </w:tcPr>
          <w:p>
            <w:pPr>
              <w:pStyle w:val="0"/>
              <w:jc w:val="center"/>
            </w:pPr>
            <w:r>
              <w:rPr>
                <w:sz w:val="20"/>
              </w:rPr>
              <w:t xml:space="preserve">10</w:t>
            </w:r>
          </w:p>
        </w:tc>
        <w:tc>
          <w:tcPr>
            <w:tcW w:w="850" w:type="dxa"/>
          </w:tcPr>
          <w:p>
            <w:pPr>
              <w:pStyle w:val="0"/>
              <w:jc w:val="center"/>
            </w:pPr>
            <w:r>
              <w:rPr>
                <w:sz w:val="20"/>
              </w:rPr>
              <w:t xml:space="preserve">10</w:t>
            </w:r>
          </w:p>
        </w:tc>
      </w:tr>
      <w:tr>
        <w:tc>
          <w:tcPr>
            <w:tcW w:w="3968" w:type="dxa"/>
          </w:tcPr>
          <w:p>
            <w:pPr>
              <w:pStyle w:val="0"/>
              <w:jc w:val="both"/>
            </w:pPr>
            <w:r>
              <w:rPr>
                <w:sz w:val="20"/>
              </w:rPr>
              <w:t xml:space="preserve">ГБУЗС "Севастопольский городской онкологический диспансер им. А.А. Задорожного"</w:t>
            </w:r>
          </w:p>
        </w:tc>
        <w:tc>
          <w:tcPr>
            <w:tcW w:w="850" w:type="dxa"/>
          </w:tcPr>
          <w:p>
            <w:pPr>
              <w:pStyle w:val="0"/>
              <w:jc w:val="center"/>
            </w:pPr>
            <w:r>
              <w:rPr>
                <w:sz w:val="20"/>
              </w:rPr>
              <w:t xml:space="preserve">20</w:t>
            </w:r>
          </w:p>
        </w:tc>
        <w:tc>
          <w:tcPr>
            <w:tcW w:w="850" w:type="dxa"/>
          </w:tcPr>
          <w:p>
            <w:pPr>
              <w:pStyle w:val="0"/>
              <w:jc w:val="center"/>
            </w:pPr>
            <w:r>
              <w:rPr>
                <w:sz w:val="20"/>
              </w:rPr>
              <w:t xml:space="preserve">20</w:t>
            </w:r>
          </w:p>
        </w:tc>
        <w:tc>
          <w:tcPr>
            <w:tcW w:w="850" w:type="dxa"/>
          </w:tcPr>
          <w:p>
            <w:pPr>
              <w:pStyle w:val="0"/>
              <w:jc w:val="center"/>
            </w:pPr>
            <w:r>
              <w:rPr>
                <w:sz w:val="20"/>
              </w:rPr>
              <w:t xml:space="preserve">20</w:t>
            </w:r>
          </w:p>
        </w:tc>
        <w:tc>
          <w:tcPr>
            <w:tcW w:w="850" w:type="dxa"/>
          </w:tcPr>
          <w:p>
            <w:pPr>
              <w:pStyle w:val="0"/>
              <w:jc w:val="center"/>
            </w:pPr>
            <w:r>
              <w:rPr>
                <w:sz w:val="20"/>
              </w:rPr>
              <w:t xml:space="preserve">20</w:t>
            </w:r>
          </w:p>
        </w:tc>
        <w:tc>
          <w:tcPr>
            <w:tcW w:w="850" w:type="dxa"/>
          </w:tcPr>
          <w:p>
            <w:pPr>
              <w:pStyle w:val="0"/>
              <w:jc w:val="center"/>
            </w:pPr>
            <w:r>
              <w:rPr>
                <w:sz w:val="20"/>
              </w:rPr>
              <w:t xml:space="preserve">20</w:t>
            </w:r>
          </w:p>
        </w:tc>
        <w:tc>
          <w:tcPr>
            <w:tcW w:w="850" w:type="dxa"/>
          </w:tcPr>
          <w:p>
            <w:pPr>
              <w:pStyle w:val="0"/>
              <w:jc w:val="center"/>
            </w:pPr>
            <w:r>
              <w:rPr>
                <w:sz w:val="20"/>
              </w:rPr>
              <w:t xml:space="preserve">20</w:t>
            </w:r>
          </w:p>
        </w:tc>
      </w:tr>
      <w:tr>
        <w:tc>
          <w:tcPr>
            <w:tcW w:w="3968" w:type="dxa"/>
          </w:tcPr>
          <w:p>
            <w:pPr>
              <w:pStyle w:val="0"/>
              <w:jc w:val="both"/>
            </w:pPr>
            <w:r>
              <w:rPr>
                <w:sz w:val="20"/>
              </w:rPr>
              <w:t xml:space="preserve">Всего</w:t>
            </w:r>
          </w:p>
        </w:tc>
        <w:tc>
          <w:tcPr>
            <w:tcW w:w="850" w:type="dxa"/>
          </w:tcPr>
          <w:p>
            <w:pPr>
              <w:pStyle w:val="0"/>
              <w:jc w:val="center"/>
            </w:pPr>
            <w:r>
              <w:rPr>
                <w:sz w:val="20"/>
              </w:rPr>
              <w:t xml:space="preserve">42</w:t>
            </w:r>
          </w:p>
        </w:tc>
        <w:tc>
          <w:tcPr>
            <w:tcW w:w="850" w:type="dxa"/>
          </w:tcPr>
          <w:p>
            <w:pPr>
              <w:pStyle w:val="0"/>
              <w:jc w:val="center"/>
            </w:pPr>
            <w:r>
              <w:rPr>
                <w:sz w:val="20"/>
              </w:rPr>
              <w:t xml:space="preserve">42</w:t>
            </w:r>
          </w:p>
        </w:tc>
        <w:tc>
          <w:tcPr>
            <w:tcW w:w="850" w:type="dxa"/>
          </w:tcPr>
          <w:p>
            <w:pPr>
              <w:pStyle w:val="0"/>
              <w:jc w:val="center"/>
            </w:pPr>
            <w:r>
              <w:rPr>
                <w:sz w:val="20"/>
              </w:rPr>
              <w:t xml:space="preserve">35</w:t>
            </w:r>
          </w:p>
        </w:tc>
        <w:tc>
          <w:tcPr>
            <w:tcW w:w="850" w:type="dxa"/>
          </w:tcPr>
          <w:p>
            <w:pPr>
              <w:pStyle w:val="0"/>
              <w:jc w:val="center"/>
            </w:pPr>
            <w:r>
              <w:rPr>
                <w:sz w:val="20"/>
              </w:rPr>
              <w:t xml:space="preserve">35</w:t>
            </w:r>
          </w:p>
        </w:tc>
        <w:tc>
          <w:tcPr>
            <w:tcW w:w="850" w:type="dxa"/>
          </w:tcPr>
          <w:p>
            <w:pPr>
              <w:pStyle w:val="0"/>
              <w:jc w:val="center"/>
            </w:pPr>
            <w:r>
              <w:rPr>
                <w:sz w:val="20"/>
              </w:rPr>
              <w:t xml:space="preserve">35</w:t>
            </w:r>
          </w:p>
        </w:tc>
        <w:tc>
          <w:tcPr>
            <w:tcW w:w="850" w:type="dxa"/>
          </w:tcPr>
          <w:p>
            <w:pPr>
              <w:pStyle w:val="0"/>
              <w:jc w:val="center"/>
            </w:pPr>
            <w:r>
              <w:rPr>
                <w:sz w:val="20"/>
              </w:rPr>
              <w:t xml:space="preserve">35</w:t>
            </w:r>
          </w:p>
        </w:tc>
      </w:tr>
      <w:tr>
        <w:tc>
          <w:tcPr>
            <w:gridSpan w:val="7"/>
            <w:tcW w:w="9068" w:type="dxa"/>
          </w:tcPr>
          <w:p>
            <w:pPr>
              <w:pStyle w:val="0"/>
              <w:jc w:val="center"/>
            </w:pPr>
            <w:r>
              <w:rPr>
                <w:sz w:val="20"/>
              </w:rPr>
              <w:t xml:space="preserve">Койки СУ</w:t>
            </w:r>
          </w:p>
        </w:tc>
      </w:tr>
      <w:tr>
        <w:tc>
          <w:tcPr>
            <w:tcW w:w="3968" w:type="dxa"/>
          </w:tcPr>
          <w:p>
            <w:pPr>
              <w:pStyle w:val="0"/>
              <w:jc w:val="both"/>
            </w:pPr>
            <w:r>
              <w:rPr>
                <w:sz w:val="20"/>
              </w:rPr>
              <w:t xml:space="preserve">ГБУЗС "Севастопольская городская больница N 9"</w:t>
            </w:r>
          </w:p>
        </w:tc>
        <w:tc>
          <w:tcPr>
            <w:tcW w:w="850" w:type="dxa"/>
          </w:tcPr>
          <w:p>
            <w:pPr>
              <w:pStyle w:val="0"/>
              <w:jc w:val="center"/>
            </w:pPr>
            <w:r>
              <w:rPr>
                <w:sz w:val="20"/>
              </w:rPr>
              <w:t xml:space="preserve">30</w:t>
            </w:r>
          </w:p>
        </w:tc>
        <w:tc>
          <w:tcPr>
            <w:tcW w:w="850" w:type="dxa"/>
          </w:tcPr>
          <w:p>
            <w:pPr>
              <w:pStyle w:val="0"/>
              <w:jc w:val="center"/>
            </w:pPr>
            <w:r>
              <w:rPr>
                <w:sz w:val="20"/>
              </w:rPr>
              <w:t xml:space="preserve">30</w:t>
            </w:r>
          </w:p>
        </w:tc>
        <w:tc>
          <w:tcPr>
            <w:tcW w:w="850" w:type="dxa"/>
          </w:tcPr>
          <w:p>
            <w:pPr>
              <w:pStyle w:val="0"/>
              <w:jc w:val="center"/>
            </w:pPr>
            <w:r>
              <w:rPr>
                <w:sz w:val="20"/>
              </w:rPr>
              <w:t xml:space="preserve">30</w:t>
            </w:r>
          </w:p>
        </w:tc>
        <w:tc>
          <w:tcPr>
            <w:tcW w:w="850" w:type="dxa"/>
          </w:tcPr>
          <w:p>
            <w:pPr>
              <w:pStyle w:val="0"/>
              <w:jc w:val="center"/>
            </w:pPr>
            <w:r>
              <w:rPr>
                <w:sz w:val="20"/>
              </w:rPr>
              <w:t xml:space="preserve">20</w:t>
            </w:r>
          </w:p>
        </w:tc>
        <w:tc>
          <w:tcPr>
            <w:tcW w:w="850" w:type="dxa"/>
          </w:tcPr>
          <w:p>
            <w:pPr>
              <w:pStyle w:val="0"/>
              <w:jc w:val="center"/>
            </w:pPr>
            <w:r>
              <w:rPr>
                <w:sz w:val="20"/>
              </w:rPr>
              <w:t xml:space="preserve">20</w:t>
            </w:r>
          </w:p>
        </w:tc>
        <w:tc>
          <w:tcPr>
            <w:tcW w:w="850" w:type="dxa"/>
          </w:tcPr>
          <w:p>
            <w:pPr>
              <w:pStyle w:val="0"/>
              <w:jc w:val="center"/>
            </w:pPr>
            <w:r>
              <w:rPr>
                <w:sz w:val="20"/>
              </w:rPr>
              <w:t xml:space="preserve">20</w:t>
            </w:r>
          </w:p>
        </w:tc>
      </w:tr>
      <w:tr>
        <w:tc>
          <w:tcPr>
            <w:tcW w:w="3968" w:type="dxa"/>
          </w:tcPr>
          <w:p>
            <w:pPr>
              <w:pStyle w:val="0"/>
              <w:jc w:val="both"/>
            </w:pPr>
            <w:r>
              <w:rPr>
                <w:sz w:val="20"/>
              </w:rPr>
              <w:t xml:space="preserve">Всего</w:t>
            </w:r>
          </w:p>
        </w:tc>
        <w:tc>
          <w:tcPr>
            <w:tcW w:w="850" w:type="dxa"/>
          </w:tcPr>
          <w:p>
            <w:pPr>
              <w:pStyle w:val="0"/>
              <w:jc w:val="center"/>
            </w:pPr>
            <w:r>
              <w:rPr>
                <w:sz w:val="20"/>
              </w:rPr>
              <w:t xml:space="preserve">30</w:t>
            </w:r>
          </w:p>
        </w:tc>
        <w:tc>
          <w:tcPr>
            <w:tcW w:w="850" w:type="dxa"/>
          </w:tcPr>
          <w:p>
            <w:pPr>
              <w:pStyle w:val="0"/>
              <w:jc w:val="center"/>
            </w:pPr>
            <w:r>
              <w:rPr>
                <w:sz w:val="20"/>
              </w:rPr>
              <w:t xml:space="preserve">30</w:t>
            </w:r>
          </w:p>
        </w:tc>
        <w:tc>
          <w:tcPr>
            <w:tcW w:w="850" w:type="dxa"/>
          </w:tcPr>
          <w:p>
            <w:pPr>
              <w:pStyle w:val="0"/>
              <w:jc w:val="center"/>
            </w:pPr>
            <w:r>
              <w:rPr>
                <w:sz w:val="20"/>
              </w:rPr>
              <w:t xml:space="preserve">30</w:t>
            </w:r>
          </w:p>
        </w:tc>
        <w:tc>
          <w:tcPr>
            <w:tcW w:w="850" w:type="dxa"/>
          </w:tcPr>
          <w:p>
            <w:pPr>
              <w:pStyle w:val="0"/>
              <w:jc w:val="center"/>
            </w:pPr>
            <w:r>
              <w:rPr>
                <w:sz w:val="20"/>
              </w:rPr>
              <w:t xml:space="preserve">20</w:t>
            </w:r>
          </w:p>
        </w:tc>
        <w:tc>
          <w:tcPr>
            <w:tcW w:w="850" w:type="dxa"/>
          </w:tcPr>
          <w:p>
            <w:pPr>
              <w:pStyle w:val="0"/>
              <w:jc w:val="center"/>
            </w:pPr>
            <w:r>
              <w:rPr>
                <w:sz w:val="20"/>
              </w:rPr>
              <w:t xml:space="preserve">20</w:t>
            </w:r>
          </w:p>
        </w:tc>
        <w:tc>
          <w:tcPr>
            <w:tcW w:w="850" w:type="dxa"/>
          </w:tcPr>
          <w:p>
            <w:pPr>
              <w:pStyle w:val="0"/>
              <w:jc w:val="center"/>
            </w:pPr>
            <w:r>
              <w:rPr>
                <w:sz w:val="20"/>
              </w:rPr>
              <w:t xml:space="preserve">20</w:t>
            </w:r>
          </w:p>
        </w:tc>
      </w:tr>
    </w:tbl>
    <w:p>
      <w:pPr>
        <w:pStyle w:val="0"/>
        <w:ind w:firstLine="540"/>
        <w:jc w:val="both"/>
      </w:pPr>
      <w:r>
        <w:rPr>
          <w:sz w:val="20"/>
        </w:rPr>
      </w:r>
    </w:p>
    <w:p>
      <w:pPr>
        <w:pStyle w:val="0"/>
        <w:ind w:firstLine="540"/>
        <w:jc w:val="both"/>
      </w:pPr>
      <w:r>
        <w:rPr>
          <w:sz w:val="20"/>
        </w:rPr>
        <w:t xml:space="preserve">В рамках реализации вышеуказанного плана развития коечного фонда в городе Севастополе будет обеспечено соблюдение требований </w:t>
      </w:r>
      <w:hyperlink w:history="0" r:id="rId746"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Положения</w:t>
        </w:r>
      </w:hyperlink>
      <w:r>
        <w:rPr>
          <w:sz w:val="20"/>
        </w:rPr>
        <w:t xml:space="preserve"> об организации оказания ПМП в части стандартов оснащения и штатных нормативов отделений ПМП и отделений сестринского ухода.</w:t>
      </w:r>
    </w:p>
    <w:p>
      <w:pPr>
        <w:pStyle w:val="0"/>
        <w:spacing w:before="200" w:line-rule="auto"/>
        <w:ind w:firstLine="540"/>
        <w:jc w:val="both"/>
      </w:pPr>
      <w:r>
        <w:rPr>
          <w:sz w:val="20"/>
        </w:rPr>
        <w:t xml:space="preserve">В результате будет сформирован системный подход при оказании ПМП взрослым, который позволит существенно повысить качество жизни пациентов, оказывающим паллиативную медицинскую помощь и проживающих на территории города Севастополя.</w:t>
      </w:r>
    </w:p>
    <w:p>
      <w:pPr>
        <w:pStyle w:val="0"/>
      </w:pPr>
      <w:r>
        <w:rPr>
          <w:sz w:val="20"/>
        </w:rPr>
      </w:r>
    </w:p>
    <w:p>
      <w:pPr>
        <w:pStyle w:val="2"/>
        <w:outlineLvl w:val="2"/>
        <w:jc w:val="center"/>
      </w:pPr>
      <w:r>
        <w:rPr>
          <w:sz w:val="20"/>
        </w:rPr>
        <w:t xml:space="preserve">Организация оказания паллиативной медицинской помощи</w:t>
      </w:r>
    </w:p>
    <w:p>
      <w:pPr>
        <w:pStyle w:val="2"/>
        <w:jc w:val="center"/>
      </w:pPr>
      <w:r>
        <w:rPr>
          <w:sz w:val="20"/>
        </w:rPr>
        <w:t xml:space="preserve">в амбулаторных условиях взрослым</w:t>
      </w:r>
    </w:p>
    <w:p>
      <w:pPr>
        <w:pStyle w:val="0"/>
        <w:jc w:val="center"/>
      </w:pPr>
      <w:r>
        <w:rPr>
          <w:sz w:val="20"/>
        </w:rPr>
      </w:r>
    </w:p>
    <w:p>
      <w:pPr>
        <w:pStyle w:val="0"/>
        <w:ind w:firstLine="540"/>
        <w:jc w:val="both"/>
      </w:pPr>
      <w:r>
        <w:rPr>
          <w:sz w:val="20"/>
        </w:rPr>
        <w:t xml:space="preserve">Предпосылками для приоритетного развития ПМП в амбулаторных условиях в городе Севастополе является:</w:t>
      </w:r>
    </w:p>
    <w:p>
      <w:pPr>
        <w:pStyle w:val="0"/>
        <w:spacing w:before="200" w:line-rule="auto"/>
        <w:ind w:firstLine="540"/>
        <w:jc w:val="both"/>
      </w:pPr>
      <w:r>
        <w:rPr>
          <w:sz w:val="20"/>
        </w:rPr>
        <w:t xml:space="preserve">- бюджетная эффективность оказания медицинской помощи в амбулаторных условиях по сравнению с ее оказанием в стационарных условиях;</w:t>
      </w:r>
    </w:p>
    <w:p>
      <w:pPr>
        <w:pStyle w:val="0"/>
        <w:spacing w:before="200" w:line-rule="auto"/>
        <w:ind w:firstLine="540"/>
        <w:jc w:val="both"/>
      </w:pPr>
      <w:r>
        <w:rPr>
          <w:sz w:val="20"/>
        </w:rPr>
        <w:t xml:space="preserve">- наличие у значительной части инкурабельных пациентов потребности уйти из жизни дома, в кругу семьи.</w:t>
      </w:r>
    </w:p>
    <w:p>
      <w:pPr>
        <w:pStyle w:val="0"/>
        <w:spacing w:before="200" w:line-rule="auto"/>
        <w:ind w:firstLine="540"/>
        <w:jc w:val="both"/>
      </w:pPr>
      <w:r>
        <w:rPr>
          <w:sz w:val="20"/>
        </w:rPr>
        <w:t xml:space="preserve">Для обеспечения развития паллиативной медицинской помощи в амбулаторных условиях взрослым в срок до 31 декабря 2024 г. планируется:</w:t>
      </w:r>
    </w:p>
    <w:p>
      <w:pPr>
        <w:pStyle w:val="0"/>
        <w:spacing w:before="200" w:line-rule="auto"/>
        <w:ind w:firstLine="540"/>
        <w:jc w:val="both"/>
      </w:pPr>
      <w:r>
        <w:rPr>
          <w:sz w:val="20"/>
        </w:rPr>
        <w:t xml:space="preserve">1) закрыть четыре кабинета ПМП;</w:t>
      </w:r>
    </w:p>
    <w:p>
      <w:pPr>
        <w:pStyle w:val="0"/>
        <w:spacing w:before="200" w:line-rule="auto"/>
        <w:ind w:firstLine="540"/>
        <w:jc w:val="both"/>
      </w:pPr>
      <w:r>
        <w:rPr>
          <w:sz w:val="20"/>
        </w:rPr>
        <w:t xml:space="preserve">2) не открывать новые кабинеты ПМП;</w:t>
      </w:r>
    </w:p>
    <w:p>
      <w:pPr>
        <w:pStyle w:val="0"/>
        <w:spacing w:before="200" w:line-rule="auto"/>
        <w:ind w:firstLine="540"/>
        <w:jc w:val="both"/>
      </w:pPr>
      <w:r>
        <w:rPr>
          <w:sz w:val="20"/>
        </w:rPr>
        <w:t xml:space="preserve">3) нарастить объемы и качество ПМП взрослым, оказываемой отделениями выездной патронажной паллиативной медицинской помощи;</w:t>
      </w:r>
    </w:p>
    <w:p>
      <w:pPr>
        <w:pStyle w:val="0"/>
        <w:spacing w:before="200" w:line-rule="auto"/>
        <w:ind w:firstLine="540"/>
        <w:jc w:val="both"/>
      </w:pPr>
      <w:r>
        <w:rPr>
          <w:sz w:val="20"/>
        </w:rPr>
        <w:t xml:space="preserve">4) повысить количество посещений пациентов на дому, в том числе в связи с сокращением объема ПМП в стационаре и за счет использования возможностей телемедицины, а также оптимизации времени в пути выездной патронажной бригады с момента выезда до пациента, нуждающегося в ПМП, до 60 минут;</w:t>
      </w:r>
    </w:p>
    <w:p>
      <w:pPr>
        <w:pStyle w:val="0"/>
        <w:spacing w:before="200" w:line-rule="auto"/>
        <w:ind w:firstLine="540"/>
        <w:jc w:val="both"/>
      </w:pPr>
      <w:r>
        <w:rPr>
          <w:sz w:val="20"/>
        </w:rPr>
        <w:t xml:space="preserve">5) обеспечить удобный для пациентов и их родственников режим работы выездной патронажной бригады (круглосуточный режим работы, возможность посещения пациентов на дому в вечерние, утренние часы);</w:t>
      </w:r>
    </w:p>
    <w:p>
      <w:pPr>
        <w:pStyle w:val="0"/>
        <w:spacing w:before="200" w:line-rule="auto"/>
        <w:ind w:firstLine="540"/>
        <w:jc w:val="both"/>
      </w:pPr>
      <w:r>
        <w:rPr>
          <w:sz w:val="20"/>
        </w:rPr>
        <w:t xml:space="preserve">6) повысить уровень межведомственного взаимодействия выездной патронажной бригады ПМП и организаций социального обслуживания при оказании ПМП дому;</w:t>
      </w:r>
    </w:p>
    <w:p>
      <w:pPr>
        <w:pStyle w:val="0"/>
        <w:spacing w:before="200" w:line-rule="auto"/>
        <w:ind w:firstLine="540"/>
        <w:jc w:val="both"/>
      </w:pPr>
      <w:r>
        <w:rPr>
          <w:sz w:val="20"/>
        </w:rPr>
        <w:t xml:space="preserve">7) создать отделения выездной патронажной паллиативной медицинской помощи или отдельные выездные патронажные бригады в составе отделений, которые будут оказывать помощь пациентам, нуждающимся в длительной респираторной поддержке (информация представлена в отдельном разделе Программы);</w:t>
      </w:r>
    </w:p>
    <w:p>
      <w:pPr>
        <w:pStyle w:val="0"/>
        <w:spacing w:before="200" w:line-rule="auto"/>
        <w:ind w:firstLine="540"/>
        <w:jc w:val="both"/>
      </w:pPr>
      <w:r>
        <w:rPr>
          <w:sz w:val="20"/>
        </w:rPr>
        <w:t xml:space="preserve">8) повысить доступность для пациентов, получающих ПМП в амбулаторных условиях, обезболивающих лекарственных препаратов за счет включения в укладку для оказания ПМП наркотических и психотропных лекарственных препаратов;</w:t>
      </w:r>
    </w:p>
    <w:p>
      <w:pPr>
        <w:pStyle w:val="0"/>
        <w:spacing w:before="200" w:line-rule="auto"/>
        <w:ind w:firstLine="540"/>
        <w:jc w:val="both"/>
      </w:pPr>
      <w:r>
        <w:rPr>
          <w:sz w:val="20"/>
        </w:rPr>
        <w:t xml:space="preserve">9) обеспечить распространение практики выписки рецептов, в том числе рецептов на наркотические и психотропные лекарственные препараты "у постели больного";</w:t>
      </w:r>
    </w:p>
    <w:p>
      <w:pPr>
        <w:pStyle w:val="0"/>
        <w:spacing w:before="200" w:line-rule="auto"/>
        <w:ind w:firstLine="540"/>
        <w:jc w:val="both"/>
      </w:pPr>
      <w:r>
        <w:rPr>
          <w:sz w:val="20"/>
        </w:rPr>
        <w:t xml:space="preserve">10) повысить качество обеспечения пациентов, получающих ПМП на дому, медицинскими изделиями, в том числе оборудованием ИВЛ;</w:t>
      </w:r>
    </w:p>
    <w:p>
      <w:pPr>
        <w:pStyle w:val="0"/>
        <w:spacing w:before="200" w:line-rule="auto"/>
        <w:ind w:firstLine="540"/>
        <w:jc w:val="both"/>
      </w:pPr>
      <w:r>
        <w:rPr>
          <w:sz w:val="20"/>
        </w:rPr>
        <w:t xml:space="preserve">11) обеспечить посещение врачами по ПМП отделений выездной патронажной ПМП, организаций соцобслуживания для взрослых. Проживающие в организациях соцобслуживания, имеющие статус паллиативного пациента, в обязательном порядке должны быть внесены в систему учета и прикреплены к такому отделению;</w:t>
      </w:r>
    </w:p>
    <w:p>
      <w:pPr>
        <w:pStyle w:val="0"/>
        <w:spacing w:before="200" w:line-rule="auto"/>
        <w:ind w:firstLine="540"/>
        <w:jc w:val="both"/>
      </w:pPr>
      <w:r>
        <w:rPr>
          <w:sz w:val="20"/>
        </w:rPr>
        <w:t xml:space="preserve">12) обеспечить обучение фельдшеров ФАП и врачей общей практики основам выявления и маршрутизации пациентов, нуждающихся в оказании ПМП, выписки наркотических и психотропных лекарственных препаратов, а также, где это возможно, провести лицензирование ФАП на оборот наркотических и психотропных лекарственных препаратов с правом отпуска населению;</w:t>
      </w:r>
    </w:p>
    <w:p>
      <w:pPr>
        <w:pStyle w:val="0"/>
        <w:spacing w:before="200" w:line-rule="auto"/>
        <w:ind w:firstLine="540"/>
        <w:jc w:val="both"/>
      </w:pPr>
      <w:r>
        <w:rPr>
          <w:sz w:val="20"/>
        </w:rPr>
        <w:t xml:space="preserve">13) обеспечить обучение родственников уходу за паллиативным пациентом на дому.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имеется в виду приложение N 9, а не приложение N 6.</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Оказание ПМП в амбулаторных условиях взрослому населению города Севастополя будет организовано на базе двух медицинских организаций: ГБУЗС "Севастопольский городской онкологический диспансер им. А.А. Задорожного", ГБУЗС "Севастопольская городская больница N 9". </w:t>
      </w:r>
      <w:hyperlink w:history="0" w:anchor="P30370" w:tooltip="Расчет потребности в ПМП в амбулаторных условиях">
        <w:r>
          <w:rPr>
            <w:sz w:val="20"/>
            <w:color w:val="0000ff"/>
          </w:rPr>
          <w:t xml:space="preserve">Расчет</w:t>
        </w:r>
      </w:hyperlink>
      <w:r>
        <w:rPr>
          <w:sz w:val="20"/>
        </w:rPr>
        <w:t xml:space="preserve"> потребности в рамках целевой модели оказания паллиативной медицинской помощи в амбулаторных условиях взрослому населению представлен в приложении N 6 к настоящей Программе.</w:t>
      </w:r>
    </w:p>
    <w:p>
      <w:pPr>
        <w:pStyle w:val="0"/>
        <w:spacing w:before="200" w:line-rule="auto"/>
        <w:ind w:firstLine="540"/>
        <w:jc w:val="both"/>
      </w:pPr>
      <w:r>
        <w:rPr>
          <w:sz w:val="20"/>
        </w:rPr>
        <w:t xml:space="preserve">Все указанные медицинские организации имеют в своем составе отделение ПМП/СУ, что позволит обеспечивать преемственность в ведении пациентов.</w:t>
      </w:r>
    </w:p>
    <w:p>
      <w:pPr>
        <w:pStyle w:val="0"/>
        <w:spacing w:before="200" w:line-rule="auto"/>
        <w:ind w:firstLine="540"/>
        <w:jc w:val="both"/>
      </w:pPr>
      <w:r>
        <w:rPr>
          <w:sz w:val="20"/>
        </w:rPr>
        <w:t xml:space="preserve">Целевая модель организации отделений выездной патронажной ПМП учитывает существующую дорожную инфраструктуру в городе Севастополе, а также максимальные расстояния от центров организации отделений выездной патронажной ПМП до крайних точек зон обслуживания (максимально 60 км). Для полноценной работы выездной службы необходимо оснастить все бригады выделенным легковым немедицинским автотранспортом, а также обучить медицинский персонал основам оказания ПМП и обезболивания (включая работу с НЛП и ПЛП).</w:t>
      </w:r>
    </w:p>
    <w:p>
      <w:pPr>
        <w:pStyle w:val="0"/>
      </w:pPr>
      <w:r>
        <w:rPr>
          <w:sz w:val="20"/>
        </w:rPr>
      </w:r>
    </w:p>
    <w:p>
      <w:pPr>
        <w:pStyle w:val="0"/>
        <w:jc w:val="center"/>
      </w:pPr>
      <w:r>
        <w:rPr>
          <w:sz w:val="20"/>
        </w:rPr>
        <w:t xml:space="preserve">Таблица 14. Инфраструктура оказания ПМП в амбулаторных</w:t>
      </w:r>
    </w:p>
    <w:p>
      <w:pPr>
        <w:pStyle w:val="0"/>
        <w:jc w:val="center"/>
      </w:pPr>
      <w:r>
        <w:rPr>
          <w:sz w:val="20"/>
        </w:rPr>
        <w:t xml:space="preserve">условиях взрослым к 2025 году</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855"/>
        <w:gridCol w:w="1247"/>
        <w:gridCol w:w="1247"/>
        <w:gridCol w:w="907"/>
        <w:gridCol w:w="1247"/>
      </w:tblGrid>
      <w:tr>
        <w:tc>
          <w:tcPr>
            <w:tcW w:w="567" w:type="dxa"/>
          </w:tcPr>
          <w:p>
            <w:pPr>
              <w:pStyle w:val="0"/>
              <w:jc w:val="center"/>
            </w:pPr>
            <w:r>
              <w:rPr>
                <w:sz w:val="20"/>
              </w:rPr>
              <w:t xml:space="preserve">N</w:t>
            </w:r>
          </w:p>
        </w:tc>
        <w:tc>
          <w:tcPr>
            <w:tcW w:w="3855" w:type="dxa"/>
          </w:tcPr>
          <w:p>
            <w:pPr>
              <w:pStyle w:val="0"/>
              <w:jc w:val="center"/>
            </w:pPr>
            <w:r>
              <w:rPr>
                <w:sz w:val="20"/>
              </w:rPr>
              <w:t xml:space="preserve">Наименование медицинской организации</w:t>
            </w:r>
          </w:p>
        </w:tc>
        <w:tc>
          <w:tcPr>
            <w:tcW w:w="1247" w:type="dxa"/>
          </w:tcPr>
          <w:p>
            <w:pPr>
              <w:pStyle w:val="0"/>
              <w:jc w:val="center"/>
            </w:pPr>
            <w:r>
              <w:rPr>
                <w:sz w:val="20"/>
              </w:rPr>
              <w:t xml:space="preserve">Число врачей ПМП, чел., 2019 г.</w:t>
            </w:r>
          </w:p>
        </w:tc>
        <w:tc>
          <w:tcPr>
            <w:tcW w:w="1247" w:type="dxa"/>
          </w:tcPr>
          <w:p>
            <w:pPr>
              <w:pStyle w:val="0"/>
              <w:jc w:val="center"/>
            </w:pPr>
            <w:r>
              <w:rPr>
                <w:sz w:val="20"/>
              </w:rPr>
              <w:t xml:space="preserve">Число врачей ПМП, чел., 2024 г.</w:t>
            </w:r>
          </w:p>
        </w:tc>
        <w:tc>
          <w:tcPr>
            <w:tcW w:w="907" w:type="dxa"/>
          </w:tcPr>
          <w:p>
            <w:pPr>
              <w:pStyle w:val="0"/>
              <w:jc w:val="center"/>
            </w:pPr>
            <w:r>
              <w:rPr>
                <w:sz w:val="20"/>
              </w:rPr>
              <w:t xml:space="preserve">График работы</w:t>
            </w:r>
          </w:p>
        </w:tc>
        <w:tc>
          <w:tcPr>
            <w:tcW w:w="1247" w:type="dxa"/>
          </w:tcPr>
          <w:p>
            <w:pPr>
              <w:pStyle w:val="0"/>
              <w:jc w:val="center"/>
            </w:pPr>
            <w:r>
              <w:rPr>
                <w:sz w:val="20"/>
              </w:rPr>
              <w:t xml:space="preserve">Обслуживаемое население, чел.</w:t>
            </w:r>
          </w:p>
        </w:tc>
      </w:tr>
      <w:tr>
        <w:tc>
          <w:tcPr>
            <w:tcW w:w="567" w:type="dxa"/>
          </w:tcPr>
          <w:p>
            <w:pPr>
              <w:pStyle w:val="0"/>
              <w:jc w:val="both"/>
            </w:pPr>
            <w:r>
              <w:rPr>
                <w:sz w:val="20"/>
              </w:rPr>
              <w:t xml:space="preserve">1</w:t>
            </w:r>
          </w:p>
        </w:tc>
        <w:tc>
          <w:tcPr>
            <w:tcW w:w="3855" w:type="dxa"/>
          </w:tcPr>
          <w:p>
            <w:pPr>
              <w:pStyle w:val="0"/>
              <w:jc w:val="both"/>
            </w:pPr>
            <w:r>
              <w:rPr>
                <w:sz w:val="20"/>
              </w:rPr>
              <w:t xml:space="preserve">ГБУЗС "Севастопольская городская больница N 9"</w:t>
            </w:r>
          </w:p>
        </w:tc>
        <w:tc>
          <w:tcPr>
            <w:tcW w:w="1247" w:type="dxa"/>
          </w:tcPr>
          <w:p>
            <w:pPr>
              <w:pStyle w:val="0"/>
              <w:jc w:val="center"/>
            </w:pPr>
            <w:r>
              <w:rPr>
                <w:sz w:val="20"/>
              </w:rPr>
              <w:t xml:space="preserve">1</w:t>
            </w:r>
          </w:p>
        </w:tc>
        <w:tc>
          <w:tcPr>
            <w:tcW w:w="1247" w:type="dxa"/>
          </w:tcPr>
          <w:p>
            <w:pPr>
              <w:pStyle w:val="0"/>
              <w:jc w:val="center"/>
            </w:pPr>
            <w:r>
              <w:rPr>
                <w:sz w:val="20"/>
              </w:rPr>
              <w:t xml:space="preserve">2</w:t>
            </w:r>
          </w:p>
        </w:tc>
        <w:tc>
          <w:tcPr>
            <w:tcW w:w="907" w:type="dxa"/>
          </w:tcPr>
          <w:p>
            <w:pPr>
              <w:pStyle w:val="0"/>
              <w:jc w:val="center"/>
            </w:pPr>
            <w:r>
              <w:rPr>
                <w:sz w:val="20"/>
              </w:rPr>
              <w:t xml:space="preserve">5/2</w:t>
            </w:r>
          </w:p>
        </w:tc>
        <w:tc>
          <w:tcPr>
            <w:tcW w:w="1247" w:type="dxa"/>
            <w:vMerge w:val="restart"/>
          </w:tcPr>
          <w:p>
            <w:pPr>
              <w:pStyle w:val="0"/>
              <w:jc w:val="center"/>
            </w:pPr>
            <w:r>
              <w:rPr>
                <w:sz w:val="20"/>
              </w:rPr>
              <w:t xml:space="preserve">359752</w:t>
            </w:r>
          </w:p>
        </w:tc>
      </w:tr>
      <w:tr>
        <w:tc>
          <w:tcPr>
            <w:tcW w:w="567" w:type="dxa"/>
          </w:tcPr>
          <w:p>
            <w:pPr>
              <w:pStyle w:val="0"/>
              <w:jc w:val="both"/>
            </w:pPr>
            <w:r>
              <w:rPr>
                <w:sz w:val="20"/>
              </w:rPr>
              <w:t xml:space="preserve">2</w:t>
            </w:r>
          </w:p>
        </w:tc>
        <w:tc>
          <w:tcPr>
            <w:tcW w:w="3855" w:type="dxa"/>
          </w:tcPr>
          <w:p>
            <w:pPr>
              <w:pStyle w:val="0"/>
              <w:jc w:val="both"/>
            </w:pPr>
            <w:r>
              <w:rPr>
                <w:sz w:val="20"/>
              </w:rPr>
              <w:t xml:space="preserve">ГБУЗС "Севастопольский городской онкологический диспансер им. А.А. Задорожного"</w:t>
            </w:r>
          </w:p>
        </w:tc>
        <w:tc>
          <w:tcPr>
            <w:tcW w:w="1247" w:type="dxa"/>
          </w:tcPr>
          <w:p>
            <w:pPr>
              <w:pStyle w:val="0"/>
              <w:jc w:val="center"/>
            </w:pPr>
            <w:r>
              <w:rPr>
                <w:sz w:val="20"/>
              </w:rPr>
              <w:t xml:space="preserve">1</w:t>
            </w:r>
          </w:p>
        </w:tc>
        <w:tc>
          <w:tcPr>
            <w:tcW w:w="1247" w:type="dxa"/>
          </w:tcPr>
          <w:p>
            <w:pPr>
              <w:pStyle w:val="0"/>
              <w:jc w:val="center"/>
            </w:pPr>
            <w:r>
              <w:rPr>
                <w:sz w:val="20"/>
              </w:rPr>
              <w:t xml:space="preserve">2</w:t>
            </w:r>
          </w:p>
        </w:tc>
        <w:tc>
          <w:tcPr>
            <w:tcW w:w="907" w:type="dxa"/>
          </w:tcPr>
          <w:p>
            <w:pPr>
              <w:pStyle w:val="0"/>
              <w:jc w:val="center"/>
            </w:pPr>
            <w:r>
              <w:rPr>
                <w:sz w:val="20"/>
              </w:rPr>
              <w:t xml:space="preserve">5/2</w:t>
            </w:r>
          </w:p>
        </w:tc>
        <w:tc>
          <w:tcPr>
            <w:vMerge w:val="continue"/>
          </w:tcPr>
          <w:p/>
        </w:tc>
      </w:tr>
    </w:tbl>
    <w:p>
      <w:pPr>
        <w:pStyle w:val="0"/>
        <w:ind w:firstLine="540"/>
        <w:jc w:val="both"/>
      </w:pPr>
      <w:r>
        <w:rPr>
          <w:sz w:val="20"/>
        </w:rPr>
      </w:r>
    </w:p>
    <w:p>
      <w:pPr>
        <w:pStyle w:val="0"/>
        <w:ind w:firstLine="540"/>
        <w:jc w:val="both"/>
      </w:pPr>
      <w:r>
        <w:rPr>
          <w:sz w:val="20"/>
        </w:rPr>
        <w:t xml:space="preserve">На момент утверждения Программы в ГБУЗС "Севастопольский городской онкологический диспансер им. А.А. Задорожного" оказывается ПМП как в стационарных условиях на 20 койках ПМП для пациентов с онкологическими диагнозами, так и в амбулаторных условиях в отделении выездной патронажной ПМП. В отделении работает один врач ПМП на ставке 0,25 и одна медицинская сестра на 0,5 ставки. Кадровая потребность составляет 2 врача ПМП и 4 медицинские сестры. Таким образом, для повышения качества и доступности оказания ПМП в амбулаторных условиях необходимо сформировать две выездные патронажные бригады с графиком работы 5 дней в неделю по 8 часов. Для полноценной работы отделения выездной патронажной ПМП необходимо оснастить все бригады выделенными немедицинским автотранспортом.</w:t>
      </w:r>
    </w:p>
    <w:p>
      <w:pPr>
        <w:pStyle w:val="0"/>
        <w:spacing w:before="200" w:line-rule="auto"/>
        <w:ind w:firstLine="540"/>
        <w:jc w:val="both"/>
      </w:pPr>
      <w:r>
        <w:rPr>
          <w:sz w:val="20"/>
        </w:rPr>
        <w:t xml:space="preserve">На момент утверждения Программы в ГБУЗС "Севастопольская городская больница N 9" также оказывается ПМП в стационарных условиях на 30 койках сестринского ухода и в амбулаторных условиях в отделении выездной патронажной ПМП. В отделении выездной патронажной ПМП работает один врач ПМП и две медицинские сестры, в то время как кадровая потребность составляет два врача ПМП и четыре медицинские сестры. Таким образом, необходимо сформировать две выездные патронажные бригады с графиком работы пять дней в неделю по 8 часов. Для полноценной работы отделения выездной патронажной ПМП необходимо оснастить все бригады выделенным немедицинским автотранспортом.</w:t>
      </w:r>
    </w:p>
    <w:p>
      <w:pPr>
        <w:pStyle w:val="0"/>
        <w:spacing w:before="200" w:line-rule="auto"/>
        <w:ind w:firstLine="540"/>
        <w:jc w:val="both"/>
      </w:pPr>
      <w:r>
        <w:rPr>
          <w:sz w:val="20"/>
        </w:rPr>
        <w:t xml:space="preserve">Все отделения выездной патронажной паллиативной медицинской помощи организуются на базе стационаров, которые имеют или будут иметь в своем составе отделения ПМП.</w:t>
      </w:r>
    </w:p>
    <w:p>
      <w:pPr>
        <w:pStyle w:val="0"/>
        <w:spacing w:before="200" w:line-rule="auto"/>
        <w:ind w:firstLine="540"/>
        <w:jc w:val="both"/>
      </w:pPr>
      <w:r>
        <w:rPr>
          <w:sz w:val="20"/>
        </w:rPr>
        <w:t xml:space="preserve">В целевой модели оказания ПМП в амбулаторных условиях взрослому населению территориальные зоны обслуживания выездными бригадами имеют большую территорию обслуживания (площадь 1079,6 кв. км). Кроме того, расстояние от места расположения отделений выездной патронажной паллиативной медицинской помощи до некоторых населенных пунктов может составлять до 60 км. В связи с этим, необходимо задействовать ФАП для оказания амбулаторной паллиативной медицинской помощи взрослому населению в удаленных от мест расположения отделений выездной патронажной паллиативной медицинской помощи населенных пунктах.</w:t>
      </w:r>
    </w:p>
    <w:p>
      <w:pPr>
        <w:pStyle w:val="0"/>
        <w:spacing w:before="200" w:line-rule="auto"/>
        <w:ind w:firstLine="540"/>
        <w:jc w:val="both"/>
      </w:pPr>
      <w:r>
        <w:rPr>
          <w:sz w:val="20"/>
        </w:rPr>
        <w:t xml:space="preserve">В рамках взаимодействия ФАП и отделений выездной патронажной ПМП необходимо провести обучение медицинских работников ФАП основам оказания паллиативной медицинской помощи и выписки наркотических и психотропных лекарственных препаратов, а также, где это необходимо, провести лицензирование ФАП на оборот наркотических и психотропных лекарственных препаратов с правом отпуска населению. В первую очередь это касается ФАП, которые расположены вне зоны доезда в 60 минут выездными бригадами (данные зоны на карте не окрашены).</w:t>
      </w:r>
    </w:p>
    <w:p>
      <w:pPr>
        <w:pStyle w:val="0"/>
        <w:spacing w:before="200" w:line-rule="auto"/>
        <w:ind w:firstLine="540"/>
        <w:jc w:val="both"/>
      </w:pPr>
      <w:r>
        <w:rPr>
          <w:sz w:val="20"/>
        </w:rPr>
        <w:t xml:space="preserve">Развитие ПМП в данном направлении соответствует вектору, заданному в </w:t>
      </w:r>
      <w:hyperlink w:history="0" r:id="rId747"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постановлении</w:t>
        </w:r>
      </w:hyperlink>
      <w:r>
        <w:rPr>
          <w:sz w:val="20"/>
        </w:rPr>
        <w:t xml:space="preserve"> Правительства Российской Федерации от 26.12.2017 N 1640 (ред. от 29.03.2019) "Об утверждении государственной программы Российской Федерации "Развитие здравоохранения", согласно которому доля пациентов, к которым посещения осуществляются на дому бригадами выездной патронажной службы, должна ежегодно расти.</w:t>
      </w:r>
    </w:p>
    <w:p>
      <w:pPr>
        <w:pStyle w:val="0"/>
        <w:spacing w:before="200" w:line-rule="auto"/>
        <w:ind w:firstLine="540"/>
        <w:jc w:val="both"/>
      </w:pPr>
      <w:r>
        <w:rPr>
          <w:sz w:val="20"/>
        </w:rPr>
        <w:t xml:space="preserve">По итогам реализации программы модель оказания ПМП в амбулаторных условиях взрослым позволит преимущественно покрыть потребность всех районов в данном виде паллиативной медицинской помощи, оптимально распределить медицинский персонал и усовершенствовать качество оказания ПМП в амбулаторных условиях.</w:t>
      </w:r>
    </w:p>
    <w:p>
      <w:pPr>
        <w:pStyle w:val="0"/>
      </w:pPr>
      <w:r>
        <w:rPr>
          <w:sz w:val="20"/>
        </w:rPr>
      </w:r>
    </w:p>
    <w:p>
      <w:pPr>
        <w:pStyle w:val="2"/>
        <w:outlineLvl w:val="2"/>
        <w:jc w:val="center"/>
      </w:pPr>
      <w:r>
        <w:rPr>
          <w:sz w:val="20"/>
        </w:rPr>
        <w:t xml:space="preserve">Организация оказания паллиативной медицинской помощи</w:t>
      </w:r>
    </w:p>
    <w:p>
      <w:pPr>
        <w:pStyle w:val="2"/>
        <w:jc w:val="center"/>
      </w:pPr>
      <w:r>
        <w:rPr>
          <w:sz w:val="20"/>
        </w:rPr>
        <w:t xml:space="preserve">в стационарных условиях детям</w:t>
      </w:r>
    </w:p>
    <w:p>
      <w:pPr>
        <w:pStyle w:val="0"/>
        <w:jc w:val="center"/>
      </w:pPr>
      <w:r>
        <w:rPr>
          <w:sz w:val="20"/>
        </w:rPr>
      </w:r>
    </w:p>
    <w:p>
      <w:pPr>
        <w:pStyle w:val="0"/>
        <w:ind w:firstLine="540"/>
        <w:jc w:val="both"/>
      </w:pPr>
      <w:r>
        <w:rPr>
          <w:sz w:val="20"/>
        </w:rPr>
        <w:t xml:space="preserve">В срок до 31 декабря 2024 г. необходимо:</w:t>
      </w:r>
    </w:p>
    <w:p>
      <w:pPr>
        <w:pStyle w:val="0"/>
        <w:spacing w:before="200" w:line-rule="auto"/>
        <w:ind w:firstLine="540"/>
        <w:jc w:val="both"/>
      </w:pPr>
      <w:r>
        <w:rPr>
          <w:sz w:val="20"/>
        </w:rPr>
        <w:t xml:space="preserve">1) увеличить объем коечного фонда ПМП для детей до семи коек;</w:t>
      </w:r>
    </w:p>
    <w:p>
      <w:pPr>
        <w:pStyle w:val="0"/>
        <w:spacing w:before="200" w:line-rule="auto"/>
        <w:ind w:firstLine="540"/>
        <w:jc w:val="both"/>
      </w:pPr>
      <w:r>
        <w:rPr>
          <w:sz w:val="20"/>
        </w:rPr>
        <w:t xml:space="preserve">2) ГКУЗС "Специализированный дом ребенка для детей с поражением центральной нервной системы и нарушением психики" ввести в состав ГБУЗС "Городская больница N 5";</w:t>
      </w:r>
    </w:p>
    <w:p>
      <w:pPr>
        <w:pStyle w:val="0"/>
        <w:spacing w:before="200" w:line-rule="auto"/>
        <w:ind w:firstLine="540"/>
        <w:jc w:val="both"/>
      </w:pPr>
      <w:r>
        <w:rPr>
          <w:sz w:val="20"/>
        </w:rPr>
        <w:t xml:space="preserve">3) внести изменения в приказ о системе маршрутизации детей, нуждающихся в оказании паллиативной медицинской помощи в стационарных условиях на койках ПМП, в соответствии с инфраструктурой ПМП на 2024 год;</w:t>
      </w:r>
    </w:p>
    <w:p>
      <w:pPr>
        <w:pStyle w:val="0"/>
        <w:spacing w:before="200" w:line-rule="auto"/>
        <w:ind w:firstLine="540"/>
        <w:jc w:val="both"/>
      </w:pPr>
      <w:r>
        <w:rPr>
          <w:sz w:val="20"/>
        </w:rPr>
        <w:t xml:space="preserve">4) в целях повышения качества и доступности оказания ПМП для детей необходимо к 2024 году ввести ГКУЗС "Специализированный дом ребенка для детей с поражением центральной нервной системы и нарушением психики" в состав ГБУЗС "Городская больница N 5" и открыть отделение на 7 коек ПМП;</w:t>
      </w:r>
    </w:p>
    <w:p>
      <w:pPr>
        <w:pStyle w:val="0"/>
        <w:spacing w:before="200" w:line-rule="auto"/>
        <w:ind w:firstLine="540"/>
        <w:jc w:val="both"/>
      </w:pPr>
      <w:r>
        <w:rPr>
          <w:sz w:val="20"/>
        </w:rPr>
        <w:t xml:space="preserve">5) при создании детского отделения ПМП необходимо предусмотреть возможность комфортного совместного пребывания по крайней мере одного члена семьи вместе с ребенком (включая возможность размещения на ночь, проведения гигиенических процедур, приема пищи).</w:t>
      </w:r>
    </w:p>
    <w:p>
      <w:pPr>
        <w:pStyle w:val="0"/>
        <w:ind w:firstLine="540"/>
        <w:jc w:val="both"/>
      </w:pPr>
      <w:r>
        <w:rPr>
          <w:sz w:val="20"/>
        </w:rPr>
      </w:r>
    </w:p>
    <w:p>
      <w:pPr>
        <w:pStyle w:val="0"/>
        <w:jc w:val="center"/>
      </w:pPr>
      <w:r>
        <w:rPr>
          <w:sz w:val="20"/>
        </w:rPr>
        <w:t xml:space="preserve">Рисунок 14. Инфраструктура оказания паллиативной медицинской</w:t>
      </w:r>
    </w:p>
    <w:p>
      <w:pPr>
        <w:pStyle w:val="0"/>
        <w:jc w:val="center"/>
      </w:pPr>
      <w:r>
        <w:rPr>
          <w:sz w:val="20"/>
        </w:rPr>
        <w:t xml:space="preserve">помощи детскому населению к 2025 г. на койках ПМП</w:t>
      </w:r>
    </w:p>
    <w:p>
      <w:pPr>
        <w:pStyle w:val="0"/>
        <w:jc w:val="center"/>
      </w:pPr>
      <w:r>
        <w:rPr>
          <w:sz w:val="20"/>
        </w:rPr>
      </w:r>
    </w:p>
    <w:p>
      <w:pPr>
        <w:pStyle w:val="0"/>
        <w:jc w:val="center"/>
      </w:pPr>
      <w:r>
        <w:rPr>
          <w:position w:val="-243"/>
        </w:rPr>
        <w:drawing>
          <wp:inline distT="0" distB="0" distL="0" distR="0">
            <wp:extent cx="3602355" cy="3224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a:extLst>
                        <a:ext uri="{28A0092B-C50C-407E-A947-70E740481C1C}">
                          <a14:useLocalDpi xmlns:a14="http://schemas.microsoft.com/office/drawing/2010/main" val="0"/>
                        </a:ext>
                      </a:extLst>
                    </a:blip>
                    <a:srcRect/>
                    <a:stretch>
                      <a:fillRect/>
                    </a:stretch>
                  </pic:blipFill>
                  <pic:spPr bwMode="auto">
                    <a:xfrm>
                      <a:off x="0" y="0"/>
                      <a:ext cx="3602355" cy="3224530"/>
                    </a:xfrm>
                    <a:prstGeom prst="rect">
                      <a:avLst/>
                    </a:prstGeom>
                    <a:noFill/>
                    <a:ln>
                      <a:noFill/>
                    </a:ln>
                  </pic:spPr>
                </pic:pic>
              </a:graphicData>
            </a:graphic>
          </wp:inline>
        </w:drawing>
      </w:r>
    </w:p>
    <w:p>
      <w:pPr>
        <w:pStyle w:val="0"/>
        <w:jc w:val="center"/>
      </w:pPr>
      <w:r>
        <w:rPr>
          <w:sz w:val="20"/>
        </w:rPr>
      </w:r>
    </w:p>
    <w:p>
      <w:pPr>
        <w:pStyle w:val="0"/>
        <w:jc w:val="center"/>
      </w:pPr>
      <w:r>
        <w:rPr>
          <w:sz w:val="20"/>
        </w:rPr>
        <w:t xml:space="preserve">Таблица 15. Расшифровка инфраструктуры оказания ПМП детскому</w:t>
      </w:r>
    </w:p>
    <w:p>
      <w:pPr>
        <w:pStyle w:val="0"/>
        <w:jc w:val="center"/>
      </w:pPr>
      <w:r>
        <w:rPr>
          <w:sz w:val="20"/>
        </w:rPr>
        <w:t xml:space="preserve">населению к 2025 году на койках ПМП</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13"/>
        <w:gridCol w:w="1020"/>
        <w:gridCol w:w="998"/>
        <w:gridCol w:w="1421"/>
      </w:tblGrid>
      <w:tr>
        <w:tc>
          <w:tcPr>
            <w:tcW w:w="5613" w:type="dxa"/>
          </w:tcPr>
          <w:p>
            <w:pPr>
              <w:pStyle w:val="0"/>
              <w:jc w:val="center"/>
            </w:pPr>
            <w:r>
              <w:rPr>
                <w:sz w:val="20"/>
              </w:rPr>
              <w:t xml:space="preserve">Наименование медицинской организации</w:t>
            </w:r>
          </w:p>
        </w:tc>
        <w:tc>
          <w:tcPr>
            <w:tcW w:w="1020" w:type="dxa"/>
          </w:tcPr>
          <w:p>
            <w:pPr>
              <w:pStyle w:val="0"/>
              <w:jc w:val="center"/>
            </w:pPr>
            <w:r>
              <w:rPr>
                <w:sz w:val="20"/>
              </w:rPr>
              <w:t xml:space="preserve">Число коек, шт., 2019 г.</w:t>
            </w:r>
          </w:p>
        </w:tc>
        <w:tc>
          <w:tcPr>
            <w:tcW w:w="998" w:type="dxa"/>
          </w:tcPr>
          <w:p>
            <w:pPr>
              <w:pStyle w:val="0"/>
              <w:jc w:val="center"/>
            </w:pPr>
            <w:r>
              <w:rPr>
                <w:sz w:val="20"/>
              </w:rPr>
              <w:t xml:space="preserve">Число коек, шт., 2024 г.</w:t>
            </w:r>
          </w:p>
        </w:tc>
        <w:tc>
          <w:tcPr>
            <w:tcW w:w="1421" w:type="dxa"/>
          </w:tcPr>
          <w:p>
            <w:pPr>
              <w:pStyle w:val="0"/>
              <w:jc w:val="center"/>
            </w:pPr>
            <w:r>
              <w:rPr>
                <w:sz w:val="20"/>
              </w:rPr>
              <w:t xml:space="preserve">Обслуживаемое население, чел.</w:t>
            </w:r>
          </w:p>
        </w:tc>
      </w:tr>
      <w:tr>
        <w:tc>
          <w:tcPr>
            <w:tcW w:w="5613" w:type="dxa"/>
          </w:tcPr>
          <w:p>
            <w:pPr>
              <w:pStyle w:val="0"/>
              <w:jc w:val="both"/>
            </w:pPr>
            <w:r>
              <w:rPr>
                <w:sz w:val="20"/>
              </w:rPr>
              <w:t xml:space="preserve">ГКУЗС "Специализированный дом ребенка для детей с поражением центральной нервной системы и нарушением психики"</w:t>
            </w:r>
          </w:p>
        </w:tc>
        <w:tc>
          <w:tcPr>
            <w:tcW w:w="1020" w:type="dxa"/>
          </w:tcPr>
          <w:p>
            <w:pPr>
              <w:pStyle w:val="0"/>
              <w:jc w:val="center"/>
            </w:pPr>
            <w:r>
              <w:rPr>
                <w:sz w:val="20"/>
              </w:rPr>
              <w:t xml:space="preserve">0</w:t>
            </w:r>
          </w:p>
        </w:tc>
        <w:tc>
          <w:tcPr>
            <w:tcW w:w="998" w:type="dxa"/>
          </w:tcPr>
          <w:p>
            <w:pPr>
              <w:pStyle w:val="0"/>
              <w:jc w:val="center"/>
            </w:pPr>
            <w:r>
              <w:rPr>
                <w:sz w:val="20"/>
              </w:rPr>
              <w:t xml:space="preserve">10</w:t>
            </w:r>
          </w:p>
        </w:tc>
        <w:tc>
          <w:tcPr>
            <w:tcW w:w="1421" w:type="dxa"/>
          </w:tcPr>
          <w:p>
            <w:pPr>
              <w:pStyle w:val="0"/>
              <w:jc w:val="center"/>
            </w:pPr>
            <w:r>
              <w:rPr>
                <w:sz w:val="20"/>
              </w:rPr>
              <w:t xml:space="preserve">80460</w:t>
            </w:r>
          </w:p>
        </w:tc>
      </w:tr>
    </w:tbl>
    <w:p>
      <w:pPr>
        <w:pStyle w:val="0"/>
        <w:ind w:firstLine="540"/>
        <w:jc w:val="both"/>
      </w:pPr>
      <w:r>
        <w:rPr>
          <w:sz w:val="20"/>
        </w:rPr>
      </w:r>
    </w:p>
    <w:p>
      <w:pPr>
        <w:pStyle w:val="0"/>
        <w:ind w:firstLine="540"/>
        <w:jc w:val="both"/>
      </w:pPr>
      <w:r>
        <w:rPr>
          <w:sz w:val="20"/>
        </w:rPr>
        <w:t xml:space="preserve">Для обеспечения исполнения Программы к 2022 году необходимо вывести из системы оказания паллиативной медицинской помощи две койки ПМП в ГБУЗС "Городская больница N 5" и открыть отделение на семь коек ПМП в составе ГКУЗС "Специализированный дом ребенка для детей с поражением центральной нервной системы и нарушением психики", в том числе пять коек ПМП для детей, нуждающихся в респираторной поддержке.</w:t>
      </w:r>
    </w:p>
    <w:p>
      <w:pPr>
        <w:pStyle w:val="0"/>
        <w:spacing w:before="200" w:line-rule="auto"/>
        <w:ind w:firstLine="540"/>
        <w:jc w:val="both"/>
      </w:pPr>
      <w:r>
        <w:rPr>
          <w:sz w:val="20"/>
        </w:rPr>
        <w:t xml:space="preserve">В рамках реализации вышеуказанного плана развития коечного фонда в городе Севастополе будет обеспечено соблюдение требований </w:t>
      </w:r>
      <w:hyperlink w:history="0" r:id="rId749"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Положения</w:t>
        </w:r>
      </w:hyperlink>
      <w:r>
        <w:rPr>
          <w:sz w:val="20"/>
        </w:rPr>
        <w:t xml:space="preserve"> об организации оказания ПМП в части стандартов оснащения и штатных нормативов отделения ПМП детям.</w:t>
      </w:r>
    </w:p>
    <w:p>
      <w:pPr>
        <w:pStyle w:val="0"/>
        <w:spacing w:before="200" w:line-rule="auto"/>
        <w:ind w:firstLine="540"/>
        <w:jc w:val="both"/>
      </w:pPr>
      <w:r>
        <w:rPr>
          <w:sz w:val="20"/>
        </w:rPr>
        <w:t xml:space="preserve">Данные изменения позволят сформировать системный подход при оказании ПМП в стационарных условиях детям, существенно повысив качество жизни данной категории граждан, проживающих на территории города Севастополя.</w:t>
      </w:r>
    </w:p>
    <w:p>
      <w:pPr>
        <w:pStyle w:val="0"/>
      </w:pPr>
      <w:r>
        <w:rPr>
          <w:sz w:val="20"/>
        </w:rPr>
      </w:r>
    </w:p>
    <w:p>
      <w:pPr>
        <w:pStyle w:val="2"/>
        <w:outlineLvl w:val="2"/>
        <w:jc w:val="center"/>
      </w:pPr>
      <w:r>
        <w:rPr>
          <w:sz w:val="20"/>
        </w:rPr>
        <w:t xml:space="preserve">Организация оказания паллиативной медицинской помощи</w:t>
      </w:r>
    </w:p>
    <w:p>
      <w:pPr>
        <w:pStyle w:val="2"/>
        <w:jc w:val="center"/>
      </w:pPr>
      <w:r>
        <w:rPr>
          <w:sz w:val="20"/>
        </w:rPr>
        <w:t xml:space="preserve">в амбулаторных условиях детям</w:t>
      </w:r>
    </w:p>
    <w:p>
      <w:pPr>
        <w:pStyle w:val="0"/>
        <w:jc w:val="center"/>
      </w:pPr>
      <w:r>
        <w:rPr>
          <w:sz w:val="20"/>
        </w:rPr>
      </w:r>
    </w:p>
    <w:p>
      <w:pPr>
        <w:pStyle w:val="0"/>
        <w:ind w:firstLine="540"/>
        <w:jc w:val="both"/>
      </w:pPr>
      <w:r>
        <w:rPr>
          <w:sz w:val="20"/>
        </w:rPr>
        <w:t xml:space="preserve">Для обеспечения развития ПМП в амбулаторных условиях детям в срок до 31 декабря 2024 г. планируется:</w:t>
      </w:r>
    </w:p>
    <w:p>
      <w:pPr>
        <w:pStyle w:val="0"/>
        <w:spacing w:before="200" w:line-rule="auto"/>
        <w:ind w:firstLine="540"/>
        <w:jc w:val="both"/>
      </w:pPr>
      <w:r>
        <w:rPr>
          <w:sz w:val="20"/>
        </w:rPr>
        <w:t xml:space="preserve">1) нарастить объемы и качество паллиативной медицинской помощи детям, оказываемой отделениями выездной патронажной паллиативной медицинской помощи;</w:t>
      </w:r>
    </w:p>
    <w:p>
      <w:pPr>
        <w:pStyle w:val="0"/>
        <w:spacing w:before="200" w:line-rule="auto"/>
        <w:ind w:firstLine="540"/>
        <w:jc w:val="both"/>
      </w:pPr>
      <w:r>
        <w:rPr>
          <w:sz w:val="20"/>
        </w:rPr>
        <w:t xml:space="preserve">2) повысить количество посещений детей на дому, в том числе за счет использования возможностей телемедицины, а также оптимизации времени в пути выездной патронажной бригады с момента выезда до ребенка, нуждающегося в ПМП, до 60 минут;</w:t>
      </w:r>
    </w:p>
    <w:p>
      <w:pPr>
        <w:pStyle w:val="0"/>
        <w:spacing w:before="200" w:line-rule="auto"/>
        <w:ind w:firstLine="540"/>
        <w:jc w:val="both"/>
      </w:pPr>
      <w:r>
        <w:rPr>
          <w:sz w:val="20"/>
        </w:rPr>
        <w:t xml:space="preserve">3) обеспечить удобный для детей и их родителей режим работы выездной патронажной бригады (круглосуточный режим работы, возможность посещения на дому в вечерние, утренние часы);</w:t>
      </w:r>
    </w:p>
    <w:p>
      <w:pPr>
        <w:pStyle w:val="0"/>
        <w:spacing w:before="200" w:line-rule="auto"/>
        <w:ind w:firstLine="540"/>
        <w:jc w:val="both"/>
      </w:pPr>
      <w:r>
        <w:rPr>
          <w:sz w:val="20"/>
        </w:rPr>
        <w:t xml:space="preserve">4) повысить качество обеспечения детей, получающих ПМП на дому, медицинскими изделиями, в том числе оборудованием ИВЛ;</w:t>
      </w:r>
    </w:p>
    <w:p>
      <w:pPr>
        <w:pStyle w:val="0"/>
        <w:spacing w:before="200" w:line-rule="auto"/>
        <w:ind w:firstLine="540"/>
        <w:jc w:val="both"/>
      </w:pPr>
      <w:r>
        <w:rPr>
          <w:sz w:val="20"/>
        </w:rPr>
        <w:t xml:space="preserve">5) расширить в городе Севастополе число доступных лекарственных препаратов, в том числе неинвазивных, имеющих показание к применению у детей;</w:t>
      </w:r>
    </w:p>
    <w:p>
      <w:pPr>
        <w:pStyle w:val="0"/>
        <w:spacing w:before="200" w:line-rule="auto"/>
        <w:ind w:firstLine="540"/>
        <w:jc w:val="both"/>
      </w:pPr>
      <w:r>
        <w:rPr>
          <w:sz w:val="20"/>
        </w:rPr>
        <w:t xml:space="preserve">6) обеспечить посещения отделениями выездной патронажной паллиативной медицинской помощи организаций соцобслуживания для детей, что позволит снизить количество госпитализированных детей-сирот, не нуждающихся в круглосуточном медицинском наблюдении, и разгрузить отделения ПМП;</w:t>
      </w:r>
    </w:p>
    <w:p>
      <w:pPr>
        <w:pStyle w:val="0"/>
        <w:spacing w:before="200" w:line-rule="auto"/>
        <w:ind w:firstLine="540"/>
        <w:jc w:val="both"/>
      </w:pPr>
      <w:r>
        <w:rPr>
          <w:sz w:val="20"/>
        </w:rPr>
        <w:t xml:space="preserve">7) обеспечить обучение фельдшеров ФАП основам выявления и маршрутизации детей, нуждающихся в ПМП;</w:t>
      </w:r>
    </w:p>
    <w:p>
      <w:pPr>
        <w:pStyle w:val="0"/>
        <w:spacing w:before="200" w:line-rule="auto"/>
        <w:ind w:firstLine="540"/>
        <w:jc w:val="both"/>
      </w:pPr>
      <w:r>
        <w:rPr>
          <w:sz w:val="20"/>
        </w:rPr>
        <w:t xml:space="preserve">8) обеспечить обучение родственников уходу за ребенком, нуждающимся в ПМП, на дому;</w:t>
      </w:r>
    </w:p>
    <w:p>
      <w:pPr>
        <w:pStyle w:val="0"/>
        <w:spacing w:before="200" w:line-rule="auto"/>
        <w:ind w:firstLine="540"/>
        <w:jc w:val="both"/>
      </w:pPr>
      <w:r>
        <w:rPr>
          <w:sz w:val="20"/>
        </w:rPr>
        <w:t xml:space="preserve">9) создать условия психологической поддержки родителей ребенка, нуждающегося в ПМП;</w:t>
      </w:r>
    </w:p>
    <w:p>
      <w:pPr>
        <w:pStyle w:val="0"/>
        <w:spacing w:before="200" w:line-rule="auto"/>
        <w:ind w:firstLine="540"/>
        <w:jc w:val="both"/>
      </w:pPr>
      <w:r>
        <w:rPr>
          <w:sz w:val="20"/>
        </w:rPr>
        <w:t xml:space="preserve">10) повысить уровень взаимодействия с некоммерческими организациями, осуществляющими координацию волонтерской деятельности, в целях оказания немедицинской помощи детям, получающим ПМП на дому.</w:t>
      </w:r>
    </w:p>
    <w:p>
      <w:pPr>
        <w:pStyle w:val="0"/>
        <w:spacing w:before="200" w:line-rule="auto"/>
        <w:ind w:firstLine="540"/>
        <w:jc w:val="both"/>
      </w:pPr>
      <w:r>
        <w:rPr>
          <w:sz w:val="20"/>
        </w:rPr>
        <w:t xml:space="preserve">В целях обеспечения амбулаторной ПМП детей в городе Севастополе необходимо организовать отделение выездной патронажной ПМП на базе ГБУЗС "Городская больница N 5". На момент утверждения Программы в ГБУЗС "Городская больница N 5" уже оказывается ПМП в стационарных условиях детскому населению, что позволит обеспечить преемственность в ведении пациентов. Для обеспечения амбулаторной ПМП детей на всей территории города Севастополя кадровая потребность отделения выездной патронажной ПМП составляет два врача-педиатра и четыре медицинских сестры. Таким образом, будет сформировано два полноценные выездные бригады с графиком работы пять дней в неделю по 8 часов.</w:t>
      </w:r>
    </w:p>
    <w:p>
      <w:pPr>
        <w:pStyle w:val="0"/>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рисунков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jc w:val="center"/>
      </w:pPr>
      <w:r>
        <w:rPr>
          <w:sz w:val="20"/>
        </w:rPr>
        <w:t xml:space="preserve">Рисунок 16. Инфраструктура оказания ПМП в амбулаторных</w:t>
      </w:r>
    </w:p>
    <w:p>
      <w:pPr>
        <w:pStyle w:val="0"/>
        <w:jc w:val="center"/>
      </w:pPr>
      <w:r>
        <w:rPr>
          <w:sz w:val="20"/>
        </w:rPr>
        <w:t xml:space="preserve">условиях детям к 2025 году</w:t>
      </w:r>
    </w:p>
    <w:p>
      <w:pPr>
        <w:pStyle w:val="0"/>
        <w:jc w:val="center"/>
      </w:pPr>
      <w:r>
        <w:rPr>
          <w:sz w:val="20"/>
        </w:rPr>
      </w:r>
    </w:p>
    <w:p>
      <w:pPr>
        <w:pStyle w:val="0"/>
        <w:jc w:val="center"/>
      </w:pPr>
      <w:r>
        <w:rPr>
          <w:position w:val="-289"/>
        </w:rPr>
        <w:drawing>
          <wp:inline distT="0" distB="0" distL="0" distR="0">
            <wp:extent cx="3602355" cy="3803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a:extLst>
                        <a:ext uri="{28A0092B-C50C-407E-A947-70E740481C1C}">
                          <a14:useLocalDpi xmlns:a14="http://schemas.microsoft.com/office/drawing/2010/main" val="0"/>
                        </a:ext>
                      </a:extLst>
                    </a:blip>
                    <a:srcRect/>
                    <a:stretch>
                      <a:fillRect/>
                    </a:stretch>
                  </pic:blipFill>
                  <pic:spPr bwMode="auto">
                    <a:xfrm>
                      <a:off x="0" y="0"/>
                      <a:ext cx="3602355" cy="3803650"/>
                    </a:xfrm>
                    <a:prstGeom prst="rect">
                      <a:avLst/>
                    </a:prstGeom>
                    <a:noFill/>
                    <a:ln>
                      <a:noFill/>
                    </a:ln>
                  </pic:spPr>
                </pic:pic>
              </a:graphicData>
            </a:graphic>
          </wp:inline>
        </w:drawing>
      </w:r>
    </w:p>
    <w:p>
      <w:pPr>
        <w:pStyle w:val="0"/>
        <w:jc w:val="center"/>
      </w:pPr>
      <w:r>
        <w:rPr>
          <w:sz w:val="20"/>
        </w:rPr>
      </w:r>
    </w:p>
    <w:p>
      <w:pPr>
        <w:pStyle w:val="0"/>
        <w:jc w:val="center"/>
      </w:pPr>
      <w:r>
        <w:rPr>
          <w:sz w:val="20"/>
        </w:rPr>
        <w:t xml:space="preserve">Таблица 16. Инфраструктура оказания ПМП в амбулаторных</w:t>
      </w:r>
    </w:p>
    <w:p>
      <w:pPr>
        <w:pStyle w:val="0"/>
        <w:jc w:val="center"/>
      </w:pPr>
      <w:r>
        <w:rPr>
          <w:sz w:val="20"/>
        </w:rPr>
        <w:t xml:space="preserve">условиях детям к 2025 году</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92"/>
        <w:gridCol w:w="1247"/>
        <w:gridCol w:w="1247"/>
        <w:gridCol w:w="907"/>
        <w:gridCol w:w="1077"/>
      </w:tblGrid>
      <w:tr>
        <w:tc>
          <w:tcPr>
            <w:tcW w:w="4592" w:type="dxa"/>
          </w:tcPr>
          <w:p>
            <w:pPr>
              <w:pStyle w:val="0"/>
              <w:jc w:val="center"/>
            </w:pPr>
            <w:r>
              <w:rPr>
                <w:sz w:val="20"/>
              </w:rPr>
              <w:t xml:space="preserve">Наименование медицинской организации</w:t>
            </w:r>
          </w:p>
        </w:tc>
        <w:tc>
          <w:tcPr>
            <w:tcW w:w="1247" w:type="dxa"/>
          </w:tcPr>
          <w:p>
            <w:pPr>
              <w:pStyle w:val="0"/>
              <w:jc w:val="center"/>
            </w:pPr>
            <w:r>
              <w:rPr>
                <w:sz w:val="20"/>
              </w:rPr>
              <w:t xml:space="preserve">Число врачей ПМП, чел., 2019 г.</w:t>
            </w:r>
          </w:p>
        </w:tc>
        <w:tc>
          <w:tcPr>
            <w:tcW w:w="1247" w:type="dxa"/>
          </w:tcPr>
          <w:p>
            <w:pPr>
              <w:pStyle w:val="0"/>
              <w:jc w:val="center"/>
            </w:pPr>
            <w:r>
              <w:rPr>
                <w:sz w:val="20"/>
              </w:rPr>
              <w:t xml:space="preserve">Число врачей ПМП, чел., 2024 г.</w:t>
            </w:r>
          </w:p>
        </w:tc>
        <w:tc>
          <w:tcPr>
            <w:tcW w:w="907" w:type="dxa"/>
          </w:tcPr>
          <w:p>
            <w:pPr>
              <w:pStyle w:val="0"/>
              <w:jc w:val="center"/>
            </w:pPr>
            <w:r>
              <w:rPr>
                <w:sz w:val="20"/>
              </w:rPr>
              <w:t xml:space="preserve">График работы</w:t>
            </w:r>
          </w:p>
        </w:tc>
        <w:tc>
          <w:tcPr>
            <w:tcW w:w="1077" w:type="dxa"/>
          </w:tcPr>
          <w:p>
            <w:pPr>
              <w:pStyle w:val="0"/>
              <w:jc w:val="center"/>
            </w:pPr>
            <w:r>
              <w:rPr>
                <w:sz w:val="20"/>
              </w:rPr>
              <w:t xml:space="preserve">Обслуживаемое население, чел.</w:t>
            </w:r>
          </w:p>
        </w:tc>
      </w:tr>
      <w:tr>
        <w:tc>
          <w:tcPr>
            <w:tcW w:w="4592" w:type="dxa"/>
          </w:tcPr>
          <w:p>
            <w:pPr>
              <w:pStyle w:val="0"/>
              <w:jc w:val="both"/>
            </w:pPr>
            <w:r>
              <w:rPr>
                <w:sz w:val="20"/>
              </w:rPr>
              <w:t xml:space="preserve">ГБУЗС "Городская больница N 5 - "Центр охраны здоровья матери и ребенка"</w:t>
            </w:r>
          </w:p>
        </w:tc>
        <w:tc>
          <w:tcPr>
            <w:tcW w:w="1247" w:type="dxa"/>
          </w:tcPr>
          <w:p>
            <w:pPr>
              <w:pStyle w:val="0"/>
              <w:jc w:val="center"/>
            </w:pPr>
            <w:r>
              <w:rPr>
                <w:sz w:val="20"/>
              </w:rPr>
              <w:t xml:space="preserve">0</w:t>
            </w:r>
          </w:p>
        </w:tc>
        <w:tc>
          <w:tcPr>
            <w:tcW w:w="1247" w:type="dxa"/>
          </w:tcPr>
          <w:p>
            <w:pPr>
              <w:pStyle w:val="0"/>
              <w:jc w:val="center"/>
            </w:pPr>
            <w:r>
              <w:rPr>
                <w:sz w:val="20"/>
              </w:rPr>
              <w:t xml:space="preserve">2</w:t>
            </w:r>
          </w:p>
        </w:tc>
        <w:tc>
          <w:tcPr>
            <w:tcW w:w="907" w:type="dxa"/>
          </w:tcPr>
          <w:p>
            <w:pPr>
              <w:pStyle w:val="0"/>
              <w:jc w:val="center"/>
            </w:pPr>
            <w:r>
              <w:rPr>
                <w:sz w:val="20"/>
              </w:rPr>
              <w:t xml:space="preserve">5/2</w:t>
            </w:r>
          </w:p>
        </w:tc>
        <w:tc>
          <w:tcPr>
            <w:tcW w:w="1077" w:type="dxa"/>
          </w:tcPr>
          <w:p>
            <w:pPr>
              <w:pStyle w:val="0"/>
              <w:jc w:val="center"/>
            </w:pPr>
            <w:r>
              <w:rPr>
                <w:sz w:val="20"/>
              </w:rPr>
              <w:t xml:space="preserve">80460</w:t>
            </w:r>
          </w:p>
        </w:tc>
      </w:tr>
    </w:tbl>
    <w:p>
      <w:pPr>
        <w:pStyle w:val="0"/>
        <w:ind w:firstLine="540"/>
        <w:jc w:val="both"/>
      </w:pPr>
      <w:r>
        <w:rPr>
          <w:sz w:val="20"/>
        </w:rPr>
      </w:r>
    </w:p>
    <w:p>
      <w:pPr>
        <w:pStyle w:val="0"/>
        <w:ind w:firstLine="540"/>
        <w:jc w:val="both"/>
      </w:pPr>
      <w:hyperlink w:history="0" w:anchor="P30467" w:tooltip="Расчет потребности в ПМП в амбулаторных условиях">
        <w:r>
          <w:rPr>
            <w:sz w:val="20"/>
            <w:color w:val="0000ff"/>
          </w:rPr>
          <w:t xml:space="preserve">Расчет</w:t>
        </w:r>
      </w:hyperlink>
      <w:r>
        <w:rPr>
          <w:sz w:val="20"/>
        </w:rPr>
        <w:t xml:space="preserve"> потребности в рамках целевой модели оказания паллиативной медицинской помощи в амбулаторных условиях детскому населению представлен в приложении N 11 к настоящей Программе.</w:t>
      </w:r>
    </w:p>
    <w:p>
      <w:pPr>
        <w:pStyle w:val="0"/>
        <w:spacing w:before="200" w:line-rule="auto"/>
        <w:ind w:firstLine="540"/>
        <w:jc w:val="both"/>
      </w:pPr>
      <w:r>
        <w:rPr>
          <w:sz w:val="20"/>
        </w:rPr>
        <w:t xml:space="preserve">Целевая модель организации отделений выездной патронажной паллиативной медицинской помощи детям учитывает существующую дорожную инфраструктуру в городе Севастополе, а также максимальные расстояния от центров организации выездных служб до крайних точек предлагаемых зон обслуживания (максимально 60 км). В связи с этим необходимо задействовать ФАП для оказания амбулаторной паллиативной медицинской помощи взрослому населению в удаленных от мест расположения отделений выездной патронажной паллиативной медицинской помощи населенных пунктах.</w:t>
      </w:r>
    </w:p>
    <w:p>
      <w:pPr>
        <w:pStyle w:val="0"/>
        <w:spacing w:before="200" w:line-rule="auto"/>
        <w:ind w:firstLine="540"/>
        <w:jc w:val="both"/>
      </w:pPr>
      <w:r>
        <w:rPr>
          <w:sz w:val="20"/>
        </w:rPr>
        <w:t xml:space="preserve">В рамках взаимодействия медицинских работников ФАП и отделений выездной патронажной паллиативной медицинской помощи необходимо провести обучение медицинских работников ФАП основам оказания ПМП, выявлению детей, нуждающихся в ПМП, выписке наркотических и психотропных лекарственных препаратов.</w:t>
      </w:r>
    </w:p>
    <w:p>
      <w:pPr>
        <w:pStyle w:val="0"/>
        <w:spacing w:before="200" w:line-rule="auto"/>
        <w:ind w:firstLine="540"/>
        <w:jc w:val="both"/>
      </w:pPr>
      <w:r>
        <w:rPr>
          <w:sz w:val="20"/>
        </w:rPr>
        <w:t xml:space="preserve">После получения выездной патронажной бригадой информации о выявлении медицинским работником ФАП ребенка, нуждающегося в ПМП, организуется первичное посещение данного ребенка на дому с целью дальнейшего принятия решения об оказании паллиативной специализированной медицинской помощи в амбулаторных или стационарных условиях.</w:t>
      </w:r>
    </w:p>
    <w:p>
      <w:pPr>
        <w:pStyle w:val="0"/>
        <w:spacing w:before="200" w:line-rule="auto"/>
        <w:ind w:firstLine="540"/>
        <w:jc w:val="both"/>
      </w:pPr>
      <w:r>
        <w:rPr>
          <w:sz w:val="20"/>
        </w:rPr>
        <w:t xml:space="preserve">Развитие ПМП в данном направлении соответствует вектору, заданному в </w:t>
      </w:r>
      <w:hyperlink w:history="0" r:id="rId751"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постановлении</w:t>
        </w:r>
      </w:hyperlink>
      <w:r>
        <w:rPr>
          <w:sz w:val="20"/>
        </w:rPr>
        <w:t xml:space="preserve"> Правительства Российской Федерации от 26.12.2017 N 1640 (ред. от 29.03.2019) "Об утверждении государственной программы Российской Федерации "Развитие здравоохранения", согласно которому доля пациентов, к которым посещения осуществляются на дому бригадами выездной патронажной службы, должна ежегодно расти.</w:t>
      </w:r>
    </w:p>
    <w:p>
      <w:pPr>
        <w:pStyle w:val="0"/>
        <w:spacing w:before="200" w:line-rule="auto"/>
        <w:ind w:firstLine="540"/>
        <w:jc w:val="both"/>
      </w:pPr>
      <w:r>
        <w:rPr>
          <w:sz w:val="20"/>
        </w:rPr>
        <w:t xml:space="preserve">Предлагаемая модель оказания ПМП в амбулаторных условиях детям позволяет преимущественно покрыть потребность всех районов в данном виде паллиативной медицинской помощи, оптимально распределить медицинский персонал и усовершенствовать качество оказания ПМП в амбулаторных условиях. Указанные изменения позволят сформировать системный подход при оказании ПМП в амбулаторных условиях детям, существенно повысив качество жизни данной категории граждан, проживающих на территории города Севастополя.</w:t>
      </w:r>
    </w:p>
    <w:p>
      <w:pPr>
        <w:pStyle w:val="0"/>
      </w:pPr>
      <w:r>
        <w:rPr>
          <w:sz w:val="20"/>
        </w:rPr>
      </w:r>
    </w:p>
    <w:p>
      <w:pPr>
        <w:pStyle w:val="2"/>
        <w:outlineLvl w:val="2"/>
        <w:jc w:val="center"/>
      </w:pPr>
      <w:r>
        <w:rPr>
          <w:sz w:val="20"/>
        </w:rPr>
        <w:t xml:space="preserve">Организация длительной респираторной поддержки</w:t>
      </w:r>
    </w:p>
    <w:p>
      <w:pPr>
        <w:pStyle w:val="2"/>
        <w:jc w:val="center"/>
      </w:pPr>
      <w:r>
        <w:rPr>
          <w:sz w:val="20"/>
        </w:rPr>
        <w:t xml:space="preserve">взрослым и детям</w:t>
      </w:r>
    </w:p>
    <w:p>
      <w:pPr>
        <w:pStyle w:val="0"/>
        <w:jc w:val="center"/>
      </w:pPr>
      <w:r>
        <w:rPr>
          <w:sz w:val="20"/>
        </w:rPr>
      </w:r>
    </w:p>
    <w:p>
      <w:pPr>
        <w:pStyle w:val="0"/>
        <w:ind w:firstLine="540"/>
        <w:jc w:val="both"/>
      </w:pPr>
      <w:r>
        <w:rPr>
          <w:sz w:val="20"/>
        </w:rPr>
        <w:t xml:space="preserve">В соответствии с действующим Положением об организации оказания ПМП утверждены </w:t>
      </w:r>
      <w:hyperlink w:history="0" r:id="rId752"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Правила</w:t>
        </w:r>
      </w:hyperlink>
      <w:r>
        <w:rPr>
          <w:sz w:val="20"/>
        </w:rPr>
        <w:t xml:space="preserve"> организации деятельности респираторного центра для взрослых, </w:t>
      </w:r>
      <w:hyperlink w:history="0" r:id="rId753"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стандарт</w:t>
        </w:r>
      </w:hyperlink>
      <w:r>
        <w:rPr>
          <w:sz w:val="20"/>
        </w:rPr>
        <w:t xml:space="preserve"> оснащения и штатные </w:t>
      </w:r>
      <w:hyperlink w:history="0" r:id="rId754"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нормативы</w:t>
        </w:r>
      </w:hyperlink>
      <w:r>
        <w:rPr>
          <w:sz w:val="20"/>
        </w:rPr>
        <w:t xml:space="preserve">. Правила организации деятельности респираторного центра для детей не предусмотрены.</w:t>
      </w:r>
    </w:p>
    <w:p>
      <w:pPr>
        <w:pStyle w:val="0"/>
        <w:spacing w:before="200" w:line-rule="auto"/>
        <w:ind w:firstLine="540"/>
        <w:jc w:val="both"/>
      </w:pPr>
      <w:r>
        <w:rPr>
          <w:sz w:val="20"/>
        </w:rPr>
        <w:t xml:space="preserve">Принимая во внимание существующую потребность в городе Севастополе отдельной группы пациентов в длительной респираторной поддержке, в рамках настоящей Программы предусмотрены мероприятия по организации оказания такой помощи как взрослым, так и детям.</w:t>
      </w:r>
    </w:p>
    <w:p>
      <w:pPr>
        <w:pStyle w:val="0"/>
        <w:spacing w:before="200" w:line-rule="auto"/>
        <w:ind w:firstLine="540"/>
        <w:jc w:val="both"/>
      </w:pPr>
      <w:r>
        <w:rPr>
          <w:sz w:val="20"/>
        </w:rPr>
        <w:t xml:space="preserve">Респираторный центр организуется с целью оказания паллиативной специализированной медицинской помощи в стационарных и амбулаторных условиях, в том числе на дому пациентам, нуждающимся в длительной респираторной поддержке.</w:t>
      </w:r>
    </w:p>
    <w:p>
      <w:pPr>
        <w:pStyle w:val="0"/>
        <w:spacing w:before="200" w:line-rule="auto"/>
        <w:ind w:firstLine="540"/>
        <w:jc w:val="both"/>
      </w:pPr>
      <w:r>
        <w:rPr>
          <w:sz w:val="20"/>
        </w:rPr>
        <w:t xml:space="preserve">Целями создания респираторного центра являются:</w:t>
      </w:r>
    </w:p>
    <w:p>
      <w:pPr>
        <w:pStyle w:val="0"/>
        <w:spacing w:before="200" w:line-rule="auto"/>
        <w:ind w:firstLine="540"/>
        <w:jc w:val="both"/>
      </w:pPr>
      <w:r>
        <w:rPr>
          <w:sz w:val="20"/>
        </w:rPr>
        <w:t xml:space="preserve">- улучшение качества жизни пациента, нуждающегося в длительной респираторной поддержке и кислородотерапии, за счет возможности находиться в домашних условиях;</w:t>
      </w:r>
    </w:p>
    <w:p>
      <w:pPr>
        <w:pStyle w:val="0"/>
        <w:spacing w:before="200" w:line-rule="auto"/>
        <w:ind w:firstLine="540"/>
        <w:jc w:val="both"/>
      </w:pPr>
      <w:r>
        <w:rPr>
          <w:sz w:val="20"/>
        </w:rPr>
        <w:t xml:space="preserve">- обеспечение автономии пациента;</w:t>
      </w:r>
    </w:p>
    <w:p>
      <w:pPr>
        <w:pStyle w:val="0"/>
        <w:spacing w:before="200" w:line-rule="auto"/>
        <w:ind w:firstLine="540"/>
        <w:jc w:val="both"/>
      </w:pPr>
      <w:r>
        <w:rPr>
          <w:sz w:val="20"/>
        </w:rPr>
        <w:t xml:space="preserve">- снижение расходов в системе здравоохранения за счет эффективного использования коечного фонда стационаров (отсутствие на реанимационных коек "стабильных" пациентов)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За 6 месяцев 2015 года в г. Москве 548 больных нуждалось в постоянной ИВЛ, что повлекло за собой 10860 койко-дней в ОРИТ. Суммарные затраты составили 195,5 млн руб., не учитывая стоимости оборудования (данные предоставлены ГВС ДЗМ по анестезиологии и реаниматологии Д.Н. Проценко).</w:t>
      </w:r>
    </w:p>
    <w:p>
      <w:pPr>
        <w:pStyle w:val="0"/>
        <w:ind w:firstLine="540"/>
        <w:jc w:val="both"/>
      </w:pPr>
      <w:r>
        <w:rPr>
          <w:sz w:val="20"/>
        </w:rPr>
      </w:r>
    </w:p>
    <w:p>
      <w:pPr>
        <w:pStyle w:val="0"/>
        <w:ind w:firstLine="540"/>
        <w:jc w:val="both"/>
      </w:pPr>
      <w:r>
        <w:rPr>
          <w:sz w:val="20"/>
        </w:rPr>
        <w:t xml:space="preserve">- снижение внутрибольничных инфекций за счет сокращения длительности пребывания пациента в медицинских организациях;</w:t>
      </w:r>
    </w:p>
    <w:p>
      <w:pPr>
        <w:pStyle w:val="0"/>
        <w:spacing w:before="200" w:line-rule="auto"/>
        <w:ind w:firstLine="540"/>
        <w:jc w:val="both"/>
      </w:pPr>
      <w:r>
        <w:rPr>
          <w:sz w:val="20"/>
        </w:rPr>
        <w:t xml:space="preserve">- снижение количества госпитализаций в медицинские организации, оказывающие специализированную, в том числе высокотехнологичную медицинскую помощь.</w:t>
      </w:r>
    </w:p>
    <w:p>
      <w:pPr>
        <w:pStyle w:val="0"/>
        <w:spacing w:before="200" w:line-rule="auto"/>
        <w:ind w:firstLine="540"/>
        <w:jc w:val="both"/>
      </w:pPr>
      <w:r>
        <w:rPr>
          <w:sz w:val="20"/>
        </w:rPr>
        <w:t xml:space="preserve">Программой определены следующие понятия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Программа НЕ регламентирует организацию помощи пациентам с изолированным синдромом ночного апноэ.</w:t>
      </w:r>
    </w:p>
    <w:p>
      <w:pPr>
        <w:pStyle w:val="0"/>
        <w:ind w:firstLine="540"/>
        <w:jc w:val="both"/>
      </w:pPr>
      <w:r>
        <w:rPr>
          <w:sz w:val="20"/>
        </w:rPr>
      </w:r>
    </w:p>
    <w:p>
      <w:pPr>
        <w:pStyle w:val="0"/>
        <w:ind w:firstLine="540"/>
        <w:jc w:val="both"/>
      </w:pPr>
      <w:r>
        <w:rPr>
          <w:sz w:val="20"/>
        </w:rPr>
        <w:t xml:space="preserve">1) длительная кислородотерапия:</w:t>
      </w:r>
    </w:p>
    <w:p>
      <w:pPr>
        <w:pStyle w:val="0"/>
        <w:spacing w:before="200" w:line-rule="auto"/>
        <w:ind w:firstLine="540"/>
        <w:jc w:val="both"/>
      </w:pPr>
      <w:r>
        <w:rPr>
          <w:sz w:val="20"/>
        </w:rPr>
        <w:t xml:space="preserve">Длительная кислородная терапия низкими потоками или традиционная длительная кислородотерапия (обеспечивается кислородным концентратором; значения скорости потока варьируются от 0,5 - 10 л/мин).</w:t>
      </w:r>
    </w:p>
    <w:p>
      <w:pPr>
        <w:pStyle w:val="0"/>
        <w:spacing w:before="200" w:line-rule="auto"/>
        <w:ind w:firstLine="540"/>
        <w:jc w:val="both"/>
      </w:pPr>
      <w:r>
        <w:rPr>
          <w:sz w:val="20"/>
        </w:rPr>
        <w:t xml:space="preserve">Длительная высокопоточная кислородотерапия (обеспечивается комбинацией кислородного концентратора и увлажнителя с генератором потока (значения скорости потока варьируются от 15 до 60 л/мин));</w:t>
      </w:r>
    </w:p>
    <w:p>
      <w:pPr>
        <w:pStyle w:val="0"/>
        <w:spacing w:before="200" w:line-rule="auto"/>
        <w:ind w:firstLine="540"/>
        <w:jc w:val="both"/>
      </w:pPr>
      <w:r>
        <w:rPr>
          <w:sz w:val="20"/>
        </w:rPr>
        <w:t xml:space="preserve">2) длительная искусственная вентиляция легких определяется как искусственная вентиляция легких в течение 14 - 21 одного дня подряд, не менее шести часов в день и может быть представлена следующими видами:</w:t>
      </w:r>
    </w:p>
    <w:p>
      <w:pPr>
        <w:pStyle w:val="0"/>
        <w:spacing w:before="200" w:line-rule="auto"/>
        <w:ind w:firstLine="540"/>
        <w:jc w:val="both"/>
      </w:pPr>
      <w:r>
        <w:rPr>
          <w:sz w:val="20"/>
        </w:rPr>
        <w:t xml:space="preserve">- длительная неинвазивная вентиляция легких (через лицевую/носовую и другие типы оборудования): менее 16 часов/более 16 часов в сутки;</w:t>
      </w:r>
    </w:p>
    <w:p>
      <w:pPr>
        <w:pStyle w:val="0"/>
        <w:spacing w:before="200" w:line-rule="auto"/>
        <w:ind w:firstLine="540"/>
        <w:jc w:val="both"/>
      </w:pPr>
      <w:r>
        <w:rPr>
          <w:sz w:val="20"/>
        </w:rPr>
        <w:t xml:space="preserve">- длительная инвазивная вентиляция легких (через эндотрахеальную или трахеостомическую трубку): постоянная/ интермиттирующая (возможность пациента находиться на спонтанном дыхании более 1 часа);</w:t>
      </w:r>
    </w:p>
    <w:p>
      <w:pPr>
        <w:pStyle w:val="0"/>
        <w:spacing w:before="200" w:line-rule="auto"/>
        <w:ind w:firstLine="540"/>
        <w:jc w:val="both"/>
      </w:pPr>
      <w:r>
        <w:rPr>
          <w:sz w:val="20"/>
        </w:rPr>
        <w:t xml:space="preserve">3) обеспечение адекватной санации трахеобронхиального дерева (проходимости дыхательных путей, улучшение мукоцилиарного клиренса) позволяет отсрочить или избежать длительной респираторной поддержки, обеспечивается специальными медицинскими изделиями.</w:t>
      </w:r>
    </w:p>
    <w:p>
      <w:pPr>
        <w:pStyle w:val="0"/>
        <w:spacing w:before="200" w:line-rule="auto"/>
        <w:ind w:firstLine="540"/>
        <w:jc w:val="both"/>
      </w:pPr>
      <w:r>
        <w:rPr>
          <w:sz w:val="20"/>
        </w:rPr>
        <w:t xml:space="preserve">Основные категории заболеваний, при которых требуется длительная респираторная поддержка и длительная кислородотерапия:</w:t>
      </w:r>
    </w:p>
    <w:p>
      <w:pPr>
        <w:pStyle w:val="0"/>
        <w:spacing w:before="200" w:line-rule="auto"/>
        <w:ind w:firstLine="540"/>
        <w:jc w:val="both"/>
      </w:pPr>
      <w:r>
        <w:rPr>
          <w:sz w:val="20"/>
        </w:rPr>
        <w:t xml:space="preserve">- хроническая обструктивная болезнь легких;</w:t>
      </w:r>
    </w:p>
    <w:p>
      <w:pPr>
        <w:pStyle w:val="0"/>
        <w:spacing w:before="200" w:line-rule="auto"/>
        <w:ind w:firstLine="540"/>
        <w:jc w:val="both"/>
      </w:pPr>
      <w:r>
        <w:rPr>
          <w:sz w:val="20"/>
        </w:rPr>
        <w:t xml:space="preserve">- необструктивная дыхательная недостаточность:</w:t>
      </w:r>
    </w:p>
    <w:p>
      <w:pPr>
        <w:pStyle w:val="0"/>
        <w:spacing w:before="200" w:line-rule="auto"/>
        <w:ind w:firstLine="540"/>
        <w:jc w:val="both"/>
      </w:pPr>
      <w:r>
        <w:rPr>
          <w:sz w:val="20"/>
        </w:rPr>
        <w:t xml:space="preserve">- дегенеративные нейромышечные заболевания (боковой амиотрофический склероз, спинально-мышечные атрофии и другие),</w:t>
      </w:r>
    </w:p>
    <w:p>
      <w:pPr>
        <w:pStyle w:val="0"/>
        <w:spacing w:before="200" w:line-rule="auto"/>
        <w:ind w:firstLine="540"/>
        <w:jc w:val="both"/>
      </w:pPr>
      <w:r>
        <w:rPr>
          <w:sz w:val="20"/>
        </w:rPr>
        <w:t xml:space="preserve">- заболевания, деформирующие грудную клетку (кифосколиоз),</w:t>
      </w:r>
    </w:p>
    <w:p>
      <w:pPr>
        <w:pStyle w:val="0"/>
        <w:spacing w:before="200" w:line-rule="auto"/>
        <w:ind w:firstLine="540"/>
        <w:jc w:val="both"/>
      </w:pPr>
      <w:r>
        <w:rPr>
          <w:sz w:val="20"/>
        </w:rPr>
        <w:t xml:space="preserve">- травмы шейного отдела позвоночника,</w:t>
      </w:r>
    </w:p>
    <w:p>
      <w:pPr>
        <w:pStyle w:val="0"/>
        <w:spacing w:before="200" w:line-rule="auto"/>
        <w:ind w:firstLine="540"/>
        <w:jc w:val="both"/>
      </w:pPr>
      <w:r>
        <w:rPr>
          <w:sz w:val="20"/>
        </w:rPr>
        <w:t xml:space="preserve">- перенесенный инсульт или тяжелая черепно-мозговая травма и другие.</w:t>
      </w:r>
    </w:p>
    <w:p>
      <w:pPr>
        <w:pStyle w:val="0"/>
        <w:spacing w:before="200" w:line-rule="auto"/>
        <w:ind w:firstLine="540"/>
        <w:jc w:val="both"/>
      </w:pPr>
      <w:r>
        <w:rPr>
          <w:sz w:val="20"/>
        </w:rPr>
        <w:t xml:space="preserve">Учитывая малый опыт работы с данной группой пациентов, на сегодняшний день в Российской Федерации отсутствует устоявшаяся практика оказания длительной респираторной поддержки и необходимый объем данных о количестве нуждающихся в ней пациентов. Расчет потребности производится эмпирически на основании международных данных.</w:t>
      </w:r>
    </w:p>
    <w:p>
      <w:pPr>
        <w:pStyle w:val="0"/>
        <w:spacing w:before="200" w:line-rule="auto"/>
        <w:ind w:firstLine="540"/>
        <w:jc w:val="both"/>
      </w:pPr>
      <w:r>
        <w:rPr>
          <w:sz w:val="20"/>
        </w:rPr>
        <w:t xml:space="preserve">По различным источникам в развивающихся и развитых странах мира потребность может варьироваться:</w:t>
      </w:r>
    </w:p>
    <w:p>
      <w:pPr>
        <w:pStyle w:val="0"/>
        <w:spacing w:before="200" w:line-rule="auto"/>
        <w:ind w:firstLine="540"/>
        <w:jc w:val="both"/>
      </w:pPr>
      <w:r>
        <w:rPr>
          <w:sz w:val="20"/>
        </w:rPr>
        <w:t xml:space="preserve">- для длительной респираторной поддержки: от 0 до 2,5 - 23 человек на 100000 населения (для длительной респираторной поддержки средний показатель по Европе составляет 6,6 человека на 100000 населения, максимальное значение отмечено в Швеции и составило 10 человек на 100000 населения);</w:t>
      </w:r>
    </w:p>
    <w:p>
      <w:pPr>
        <w:pStyle w:val="0"/>
        <w:spacing w:before="200" w:line-rule="auto"/>
        <w:ind w:firstLine="540"/>
        <w:jc w:val="both"/>
      </w:pPr>
      <w:r>
        <w:rPr>
          <w:sz w:val="20"/>
        </w:rPr>
        <w:t xml:space="preserve">- для длительной кислородотерапии: от 31,6 до 102 человек на 100000 населения.</w:t>
      </w:r>
    </w:p>
    <w:p>
      <w:pPr>
        <w:pStyle w:val="0"/>
      </w:pPr>
      <w:r>
        <w:rPr>
          <w:sz w:val="20"/>
        </w:rPr>
      </w:r>
    </w:p>
    <w:p>
      <w:pPr>
        <w:pStyle w:val="0"/>
        <w:jc w:val="center"/>
      </w:pPr>
      <w:r>
        <w:rPr>
          <w:sz w:val="20"/>
        </w:rPr>
        <w:t xml:space="preserve">Расчетная потребность в городе Севастополе в организации</w:t>
      </w:r>
    </w:p>
    <w:p>
      <w:pPr>
        <w:pStyle w:val="0"/>
        <w:jc w:val="center"/>
      </w:pPr>
      <w:r>
        <w:rPr>
          <w:sz w:val="20"/>
        </w:rPr>
        <w:t xml:space="preserve">длительной респираторной поддержки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16"/>
        <w:gridCol w:w="1280"/>
        <w:gridCol w:w="1280"/>
        <w:gridCol w:w="1280"/>
      </w:tblGrid>
      <w:tr>
        <w:tc>
          <w:tcPr>
            <w:tcW w:w="5216" w:type="dxa"/>
          </w:tcPr>
          <w:p>
            <w:pPr>
              <w:pStyle w:val="0"/>
              <w:jc w:val="center"/>
            </w:pPr>
            <w:r>
              <w:rPr>
                <w:sz w:val="20"/>
              </w:rPr>
              <w:t xml:space="preserve">Показатель</w:t>
            </w:r>
          </w:p>
        </w:tc>
        <w:tc>
          <w:tcPr>
            <w:tcW w:w="1280" w:type="dxa"/>
          </w:tcPr>
          <w:p>
            <w:pPr>
              <w:pStyle w:val="0"/>
              <w:jc w:val="center"/>
            </w:pPr>
            <w:r>
              <w:rPr>
                <w:sz w:val="20"/>
              </w:rPr>
              <w:t xml:space="preserve">Мин.</w:t>
            </w:r>
          </w:p>
        </w:tc>
        <w:tc>
          <w:tcPr>
            <w:tcW w:w="1280" w:type="dxa"/>
          </w:tcPr>
          <w:p>
            <w:pPr>
              <w:pStyle w:val="0"/>
              <w:jc w:val="center"/>
            </w:pPr>
            <w:r>
              <w:rPr>
                <w:sz w:val="20"/>
              </w:rPr>
              <w:t xml:space="preserve">Макс.</w:t>
            </w:r>
          </w:p>
        </w:tc>
        <w:tc>
          <w:tcPr>
            <w:tcW w:w="1280" w:type="dxa"/>
          </w:tcPr>
          <w:p>
            <w:pPr>
              <w:pStyle w:val="0"/>
              <w:jc w:val="center"/>
            </w:pPr>
            <w:r>
              <w:rPr>
                <w:sz w:val="20"/>
              </w:rPr>
              <w:t xml:space="preserve">Среднее</w:t>
            </w:r>
          </w:p>
        </w:tc>
      </w:tr>
      <w:tr>
        <w:tc>
          <w:tcPr>
            <w:tcW w:w="5216" w:type="dxa"/>
          </w:tcPr>
          <w:p>
            <w:pPr>
              <w:pStyle w:val="0"/>
              <w:jc w:val="both"/>
            </w:pPr>
            <w:r>
              <w:rPr>
                <w:sz w:val="20"/>
              </w:rPr>
              <w:t xml:space="preserve">Потребность в респираторной поддержке человек на 100000 населения (международные данные)</w:t>
            </w:r>
          </w:p>
        </w:tc>
        <w:tc>
          <w:tcPr>
            <w:tcW w:w="1280" w:type="dxa"/>
          </w:tcPr>
          <w:p>
            <w:pPr>
              <w:pStyle w:val="0"/>
              <w:jc w:val="center"/>
            </w:pPr>
            <w:r>
              <w:rPr>
                <w:sz w:val="20"/>
              </w:rPr>
              <w:t xml:space="preserve">2,5</w:t>
            </w:r>
          </w:p>
        </w:tc>
        <w:tc>
          <w:tcPr>
            <w:tcW w:w="1280" w:type="dxa"/>
          </w:tcPr>
          <w:p>
            <w:pPr>
              <w:pStyle w:val="0"/>
              <w:jc w:val="center"/>
            </w:pPr>
            <w:r>
              <w:rPr>
                <w:sz w:val="20"/>
              </w:rPr>
              <w:t xml:space="preserve">23</w:t>
            </w:r>
          </w:p>
        </w:tc>
        <w:tc>
          <w:tcPr>
            <w:tcW w:w="1280" w:type="dxa"/>
          </w:tcPr>
          <w:p>
            <w:pPr>
              <w:pStyle w:val="0"/>
              <w:jc w:val="center"/>
            </w:pPr>
            <w:r>
              <w:rPr>
                <w:sz w:val="20"/>
              </w:rPr>
              <w:t xml:space="preserve">13</w:t>
            </w:r>
          </w:p>
        </w:tc>
      </w:tr>
      <w:tr>
        <w:tc>
          <w:tcPr>
            <w:tcW w:w="5216" w:type="dxa"/>
          </w:tcPr>
          <w:p>
            <w:pPr>
              <w:pStyle w:val="0"/>
              <w:jc w:val="both"/>
            </w:pPr>
            <w:r>
              <w:rPr>
                <w:sz w:val="20"/>
              </w:rPr>
              <w:t xml:space="preserve">Расчетная потребность города Севастополя в респираторной поддержке</w:t>
            </w:r>
          </w:p>
        </w:tc>
        <w:tc>
          <w:tcPr>
            <w:tcW w:w="1280" w:type="dxa"/>
          </w:tcPr>
          <w:p>
            <w:pPr>
              <w:pStyle w:val="0"/>
              <w:jc w:val="center"/>
            </w:pPr>
            <w:r>
              <w:rPr>
                <w:sz w:val="20"/>
              </w:rPr>
              <w:t xml:space="preserve">10,9</w:t>
            </w:r>
          </w:p>
        </w:tc>
        <w:tc>
          <w:tcPr>
            <w:tcW w:w="1280" w:type="dxa"/>
          </w:tcPr>
          <w:p>
            <w:pPr>
              <w:pStyle w:val="0"/>
              <w:jc w:val="center"/>
            </w:pPr>
            <w:r>
              <w:rPr>
                <w:sz w:val="20"/>
              </w:rPr>
              <w:t xml:space="preserve">100</w:t>
            </w:r>
          </w:p>
        </w:tc>
        <w:tc>
          <w:tcPr>
            <w:tcW w:w="1280" w:type="dxa"/>
          </w:tcPr>
          <w:p>
            <w:pPr>
              <w:pStyle w:val="0"/>
              <w:jc w:val="center"/>
            </w:pPr>
            <w:r>
              <w:rPr>
                <w:sz w:val="20"/>
              </w:rPr>
              <w:t xml:space="preserve">56.8</w:t>
            </w:r>
          </w:p>
        </w:tc>
      </w:tr>
      <w:tr>
        <w:tc>
          <w:tcPr>
            <w:tcW w:w="5216" w:type="dxa"/>
          </w:tcPr>
          <w:p>
            <w:pPr>
              <w:pStyle w:val="0"/>
              <w:jc w:val="both"/>
            </w:pPr>
            <w:r>
              <w:rPr>
                <w:sz w:val="20"/>
              </w:rPr>
              <w:t xml:space="preserve">Потребность в длительной кислородотерапии человек на 100000 населения (международные данные)</w:t>
            </w:r>
          </w:p>
        </w:tc>
        <w:tc>
          <w:tcPr>
            <w:tcW w:w="1280" w:type="dxa"/>
          </w:tcPr>
          <w:p>
            <w:pPr>
              <w:pStyle w:val="0"/>
              <w:jc w:val="center"/>
            </w:pPr>
            <w:r>
              <w:rPr>
                <w:sz w:val="20"/>
              </w:rPr>
              <w:t xml:space="preserve">31,6</w:t>
            </w:r>
          </w:p>
        </w:tc>
        <w:tc>
          <w:tcPr>
            <w:tcW w:w="1280" w:type="dxa"/>
          </w:tcPr>
          <w:p>
            <w:pPr>
              <w:pStyle w:val="0"/>
              <w:jc w:val="center"/>
            </w:pPr>
            <w:r>
              <w:rPr>
                <w:sz w:val="20"/>
              </w:rPr>
              <w:t xml:space="preserve">102</w:t>
            </w:r>
          </w:p>
        </w:tc>
        <w:tc>
          <w:tcPr>
            <w:tcW w:w="1280" w:type="dxa"/>
          </w:tcPr>
          <w:p>
            <w:pPr>
              <w:pStyle w:val="0"/>
              <w:jc w:val="center"/>
            </w:pPr>
            <w:r>
              <w:rPr>
                <w:sz w:val="20"/>
              </w:rPr>
              <w:t xml:space="preserve">67</w:t>
            </w:r>
          </w:p>
        </w:tc>
      </w:tr>
      <w:tr>
        <w:tc>
          <w:tcPr>
            <w:tcW w:w="5216" w:type="dxa"/>
          </w:tcPr>
          <w:p>
            <w:pPr>
              <w:pStyle w:val="0"/>
              <w:jc w:val="both"/>
            </w:pPr>
            <w:r>
              <w:rPr>
                <w:sz w:val="20"/>
              </w:rPr>
              <w:t xml:space="preserve">Расчетная потребность города Севастополя в длительной кислородотерапии</w:t>
            </w:r>
          </w:p>
        </w:tc>
        <w:tc>
          <w:tcPr>
            <w:tcW w:w="1280" w:type="dxa"/>
          </w:tcPr>
          <w:p>
            <w:pPr>
              <w:pStyle w:val="0"/>
              <w:jc w:val="center"/>
            </w:pPr>
            <w:r>
              <w:rPr>
                <w:sz w:val="20"/>
              </w:rPr>
              <w:t xml:space="preserve">138</w:t>
            </w:r>
          </w:p>
        </w:tc>
        <w:tc>
          <w:tcPr>
            <w:tcW w:w="1280" w:type="dxa"/>
          </w:tcPr>
          <w:p>
            <w:pPr>
              <w:pStyle w:val="0"/>
              <w:jc w:val="center"/>
            </w:pPr>
            <w:r>
              <w:rPr>
                <w:sz w:val="20"/>
              </w:rPr>
              <w:t xml:space="preserve">445</w:t>
            </w:r>
          </w:p>
        </w:tc>
        <w:tc>
          <w:tcPr>
            <w:tcW w:w="1280" w:type="dxa"/>
          </w:tcPr>
          <w:p>
            <w:pPr>
              <w:pStyle w:val="0"/>
              <w:jc w:val="center"/>
            </w:pPr>
            <w:r>
              <w:rPr>
                <w:sz w:val="20"/>
              </w:rPr>
              <w:t xml:space="preserve">293</w:t>
            </w:r>
          </w:p>
        </w:tc>
      </w:tr>
      <w:tr>
        <w:tc>
          <w:tcPr>
            <w:tcW w:w="5216" w:type="dxa"/>
          </w:tcPr>
          <w:p>
            <w:pPr>
              <w:pStyle w:val="0"/>
              <w:jc w:val="both"/>
            </w:pPr>
            <w:r>
              <w:rPr>
                <w:sz w:val="20"/>
              </w:rPr>
              <w:t xml:space="preserve">Потребность в респираторной поддержке детей на 100000 детского населения (международные данные)</w:t>
            </w:r>
          </w:p>
        </w:tc>
        <w:tc>
          <w:tcPr>
            <w:tcW w:w="1280" w:type="dxa"/>
          </w:tcPr>
          <w:p>
            <w:pPr>
              <w:pStyle w:val="0"/>
              <w:jc w:val="center"/>
            </w:pPr>
            <w:r>
              <w:rPr>
                <w:sz w:val="20"/>
              </w:rPr>
              <w:t xml:space="preserve">4,7</w:t>
            </w:r>
          </w:p>
        </w:tc>
        <w:tc>
          <w:tcPr>
            <w:tcW w:w="1280" w:type="dxa"/>
          </w:tcPr>
          <w:p>
            <w:pPr>
              <w:pStyle w:val="0"/>
              <w:jc w:val="center"/>
            </w:pPr>
            <w:r>
              <w:rPr>
                <w:sz w:val="20"/>
              </w:rPr>
              <w:t xml:space="preserve">6,4</w:t>
            </w:r>
          </w:p>
        </w:tc>
        <w:tc>
          <w:tcPr>
            <w:tcW w:w="1280" w:type="dxa"/>
          </w:tcPr>
          <w:p>
            <w:pPr>
              <w:pStyle w:val="0"/>
              <w:jc w:val="center"/>
            </w:pPr>
            <w:r>
              <w:rPr>
                <w:sz w:val="20"/>
              </w:rPr>
              <w:t xml:space="preserve">6</w:t>
            </w:r>
          </w:p>
        </w:tc>
      </w:tr>
      <w:tr>
        <w:tc>
          <w:tcPr>
            <w:tcW w:w="5216" w:type="dxa"/>
          </w:tcPr>
          <w:p>
            <w:pPr>
              <w:pStyle w:val="0"/>
              <w:jc w:val="both"/>
            </w:pPr>
            <w:r>
              <w:rPr>
                <w:sz w:val="20"/>
              </w:rPr>
              <w:t xml:space="preserve">Расчетная потребность города Севастополя в респираторной поддержке у детей</w:t>
            </w:r>
          </w:p>
        </w:tc>
        <w:tc>
          <w:tcPr>
            <w:tcW w:w="1280" w:type="dxa"/>
          </w:tcPr>
          <w:p>
            <w:pPr>
              <w:pStyle w:val="0"/>
              <w:jc w:val="center"/>
            </w:pPr>
            <w:r>
              <w:rPr>
                <w:sz w:val="20"/>
              </w:rPr>
              <w:t xml:space="preserve">3,8</w:t>
            </w:r>
          </w:p>
        </w:tc>
        <w:tc>
          <w:tcPr>
            <w:tcW w:w="1280" w:type="dxa"/>
          </w:tcPr>
          <w:p>
            <w:pPr>
              <w:pStyle w:val="0"/>
              <w:jc w:val="center"/>
            </w:pPr>
            <w:r>
              <w:rPr>
                <w:sz w:val="20"/>
              </w:rPr>
              <w:t xml:space="preserve">5,2</w:t>
            </w:r>
          </w:p>
        </w:tc>
        <w:tc>
          <w:tcPr>
            <w:tcW w:w="1280" w:type="dxa"/>
          </w:tcPr>
          <w:p>
            <w:pPr>
              <w:pStyle w:val="0"/>
              <w:jc w:val="center"/>
            </w:pPr>
            <w:r>
              <w:rPr>
                <w:sz w:val="20"/>
              </w:rPr>
              <w:t xml:space="preserve">4,9</w:t>
            </w:r>
          </w:p>
        </w:tc>
      </w:tr>
    </w:tbl>
    <w:p>
      <w:pPr>
        <w:pStyle w:val="0"/>
        <w:ind w:firstLine="540"/>
        <w:jc w:val="both"/>
      </w:pPr>
      <w:r>
        <w:rPr>
          <w:sz w:val="20"/>
        </w:rPr>
      </w:r>
    </w:p>
    <w:p>
      <w:pPr>
        <w:pStyle w:val="0"/>
        <w:ind w:firstLine="540"/>
        <w:jc w:val="both"/>
      </w:pPr>
      <w:r>
        <w:rPr>
          <w:sz w:val="20"/>
        </w:rPr>
        <w:t xml:space="preserve">С учетом расчетной потребности в городе Севастополе для оказания паллиативной специализированной медицинской помощи взрослым, нуждающимся в длительной респираторной поддержке и кислородотерапии, необходимо:</w:t>
      </w:r>
    </w:p>
    <w:p>
      <w:pPr>
        <w:pStyle w:val="0"/>
        <w:spacing w:before="200" w:line-rule="auto"/>
        <w:ind w:firstLine="540"/>
        <w:jc w:val="both"/>
      </w:pPr>
      <w:r>
        <w:rPr>
          <w:sz w:val="20"/>
        </w:rPr>
        <w:t xml:space="preserve">- открыть пять коек на базе ГБУЗС "ГБ N 1" для взрослых пациентов, нуждающихся в респираторной поддержке;</w:t>
      </w:r>
    </w:p>
    <w:p>
      <w:pPr>
        <w:pStyle w:val="0"/>
        <w:spacing w:before="200" w:line-rule="auto"/>
        <w:ind w:firstLine="540"/>
        <w:jc w:val="both"/>
      </w:pPr>
      <w:r>
        <w:rPr>
          <w:sz w:val="20"/>
        </w:rPr>
        <w:t xml:space="preserve">- обучить медицинских работников, входящих в состав выездных патронажных бригад, оказанию ПМП пациентам, нуждающимся в длительной респираторной поддержке и кислородотерапии, в амбулаторных условиях, в том числе на дому, на базе отделения выездной патронажной помощи ГБУЗС "Севастопольский городской онкологический диспансер им. А.А. Задорожного".</w:t>
      </w:r>
    </w:p>
    <w:p>
      <w:pPr>
        <w:pStyle w:val="0"/>
        <w:spacing w:before="200" w:line-rule="auto"/>
        <w:ind w:firstLine="540"/>
        <w:jc w:val="both"/>
      </w:pPr>
      <w:r>
        <w:rPr>
          <w:sz w:val="20"/>
        </w:rPr>
        <w:t xml:space="preserve">С учетом расчетной потребности в городе Севастополе для оказания паллиативной специализированной медицинской помощи детям, нуждающимся в длительной респираторной поддержке и кислородотерапии, необходимо:</w:t>
      </w:r>
    </w:p>
    <w:p>
      <w:pPr>
        <w:pStyle w:val="0"/>
        <w:spacing w:before="200" w:line-rule="auto"/>
        <w:ind w:firstLine="540"/>
        <w:jc w:val="both"/>
      </w:pPr>
      <w:r>
        <w:rPr>
          <w:sz w:val="20"/>
        </w:rPr>
        <w:t xml:space="preserve">- развернуть пять коек на базе ГБУЗС "ГБ N 5";</w:t>
      </w:r>
    </w:p>
    <w:p>
      <w:pPr>
        <w:pStyle w:val="0"/>
        <w:spacing w:before="200" w:line-rule="auto"/>
        <w:ind w:firstLine="540"/>
        <w:jc w:val="both"/>
      </w:pPr>
      <w:r>
        <w:rPr>
          <w:sz w:val="20"/>
        </w:rPr>
        <w:t xml:space="preserve">- обучить медицинских работников, входящих в состав выездных патронажных бригад, оказанию ПМП детям, нуждающимся в длительной респираторной поддержке и кислородотерапии, в амбулаторных условиях, в том числе на дому, на базе выездной паллиативной службы ГБУЗС "ГБ N 5";</w:t>
      </w:r>
    </w:p>
    <w:p>
      <w:pPr>
        <w:pStyle w:val="0"/>
        <w:spacing w:before="200" w:line-rule="auto"/>
        <w:ind w:firstLine="540"/>
        <w:jc w:val="both"/>
      </w:pPr>
      <w:r>
        <w:rPr>
          <w:sz w:val="20"/>
        </w:rPr>
        <w:t xml:space="preserve">- в целях организации оказания длительной респираторной поддержки будут реализованы мероприятия по обеспечению медицинской деятельности (формы медицинской документации, в том числе ИДС, отказы) и финансовой деятельности для организации эффективного процесса выдачи оборудования ИВЛ на дом.</w:t>
      </w:r>
    </w:p>
    <w:p>
      <w:pPr>
        <w:pStyle w:val="0"/>
      </w:pPr>
      <w:r>
        <w:rPr>
          <w:sz w:val="20"/>
        </w:rPr>
      </w:r>
    </w:p>
    <w:p>
      <w:pPr>
        <w:pStyle w:val="2"/>
        <w:outlineLvl w:val="2"/>
        <w:jc w:val="center"/>
      </w:pPr>
      <w:r>
        <w:rPr>
          <w:sz w:val="20"/>
        </w:rPr>
        <w:t xml:space="preserve">Сводная информация об изменениях в организации оказания</w:t>
      </w:r>
    </w:p>
    <w:p>
      <w:pPr>
        <w:pStyle w:val="2"/>
        <w:jc w:val="center"/>
      </w:pPr>
      <w:r>
        <w:rPr>
          <w:sz w:val="20"/>
        </w:rPr>
        <w:t xml:space="preserve">паллиативной медицинской помощи к 31.12.2024</w:t>
      </w:r>
    </w:p>
    <w:p>
      <w:pPr>
        <w:pStyle w:val="0"/>
        <w:jc w:val="center"/>
      </w:pPr>
      <w:r>
        <w:rPr>
          <w:sz w:val="20"/>
        </w:rPr>
      </w:r>
    </w:p>
    <w:p>
      <w:pPr>
        <w:pStyle w:val="0"/>
        <w:ind w:firstLine="540"/>
        <w:jc w:val="both"/>
      </w:pPr>
      <w:r>
        <w:rPr>
          <w:sz w:val="20"/>
        </w:rPr>
        <w:t xml:space="preserve">Предлагаемые к реализации мероприятия в рамках настоящей Программы в период до 2024 года приведут к следующим изменениям.</w:t>
      </w:r>
    </w:p>
    <w:p>
      <w:pPr>
        <w:pStyle w:val="0"/>
      </w:pPr>
      <w:r>
        <w:rPr>
          <w:sz w:val="20"/>
        </w:rPr>
      </w:r>
    </w:p>
    <w:p>
      <w:pPr>
        <w:pStyle w:val="0"/>
        <w:jc w:val="center"/>
      </w:pPr>
      <w:r>
        <w:rPr>
          <w:sz w:val="20"/>
        </w:rPr>
        <w:t xml:space="preserve">Таблица 17. Сравнение действующей и целевой модели оказания</w:t>
      </w:r>
    </w:p>
    <w:p>
      <w:pPr>
        <w:pStyle w:val="0"/>
        <w:jc w:val="center"/>
      </w:pPr>
      <w:r>
        <w:rPr>
          <w:sz w:val="20"/>
        </w:rPr>
        <w:t xml:space="preserve">ПМП 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59"/>
        <w:gridCol w:w="1955"/>
        <w:gridCol w:w="1955"/>
      </w:tblGrid>
      <w:tr>
        <w:tc>
          <w:tcPr>
            <w:tcW w:w="5159" w:type="dxa"/>
          </w:tcPr>
          <w:p>
            <w:pPr>
              <w:pStyle w:val="0"/>
              <w:jc w:val="center"/>
            </w:pPr>
            <w:r>
              <w:rPr>
                <w:sz w:val="20"/>
              </w:rPr>
              <w:t xml:space="preserve">Показатель</w:t>
            </w:r>
          </w:p>
        </w:tc>
        <w:tc>
          <w:tcPr>
            <w:tcW w:w="1955" w:type="dxa"/>
          </w:tcPr>
          <w:p>
            <w:pPr>
              <w:pStyle w:val="0"/>
              <w:jc w:val="center"/>
            </w:pPr>
            <w:r>
              <w:rPr>
                <w:sz w:val="20"/>
              </w:rPr>
              <w:t xml:space="preserve">01.09.2019</w:t>
            </w:r>
          </w:p>
        </w:tc>
        <w:tc>
          <w:tcPr>
            <w:tcW w:w="1955" w:type="dxa"/>
          </w:tcPr>
          <w:p>
            <w:pPr>
              <w:pStyle w:val="0"/>
              <w:jc w:val="center"/>
            </w:pPr>
            <w:r>
              <w:rPr>
                <w:sz w:val="20"/>
              </w:rPr>
              <w:t xml:space="preserve">31.12.2024</w:t>
            </w:r>
          </w:p>
        </w:tc>
      </w:tr>
      <w:tr>
        <w:tc>
          <w:tcPr>
            <w:gridSpan w:val="3"/>
            <w:tcW w:w="9069" w:type="dxa"/>
          </w:tcPr>
          <w:p>
            <w:pPr>
              <w:pStyle w:val="0"/>
              <w:jc w:val="center"/>
            </w:pPr>
            <w:r>
              <w:rPr>
                <w:sz w:val="20"/>
              </w:rPr>
              <w:t xml:space="preserve">Оказание ПМП в стационарных условиях взрослым</w:t>
            </w:r>
          </w:p>
        </w:tc>
      </w:tr>
      <w:tr>
        <w:tc>
          <w:tcPr>
            <w:tcW w:w="5159" w:type="dxa"/>
          </w:tcPr>
          <w:p>
            <w:pPr>
              <w:pStyle w:val="0"/>
              <w:jc w:val="both"/>
            </w:pPr>
            <w:r>
              <w:rPr>
                <w:sz w:val="20"/>
              </w:rPr>
              <w:t xml:space="preserve">Медицинских организаций, оказывающих паллиативную специализированную медицинскую помощь</w:t>
            </w:r>
          </w:p>
        </w:tc>
        <w:tc>
          <w:tcPr>
            <w:tcW w:w="1955" w:type="dxa"/>
          </w:tcPr>
          <w:p>
            <w:pPr>
              <w:pStyle w:val="0"/>
              <w:jc w:val="center"/>
            </w:pPr>
            <w:r>
              <w:rPr>
                <w:sz w:val="20"/>
              </w:rPr>
              <w:t xml:space="preserve">5</w:t>
            </w:r>
          </w:p>
        </w:tc>
        <w:tc>
          <w:tcPr>
            <w:tcW w:w="1955" w:type="dxa"/>
          </w:tcPr>
          <w:p>
            <w:pPr>
              <w:pStyle w:val="0"/>
              <w:jc w:val="center"/>
            </w:pPr>
            <w:r>
              <w:rPr>
                <w:sz w:val="20"/>
              </w:rPr>
              <w:t xml:space="preserve">3</w:t>
            </w:r>
          </w:p>
        </w:tc>
      </w:tr>
      <w:tr>
        <w:tc>
          <w:tcPr>
            <w:tcW w:w="5159" w:type="dxa"/>
          </w:tcPr>
          <w:p>
            <w:pPr>
              <w:pStyle w:val="0"/>
              <w:jc w:val="both"/>
            </w:pPr>
            <w:r>
              <w:rPr>
                <w:sz w:val="20"/>
              </w:rPr>
              <w:t xml:space="preserve">Отделений ПМП</w:t>
            </w:r>
          </w:p>
        </w:tc>
        <w:tc>
          <w:tcPr>
            <w:tcW w:w="1955" w:type="dxa"/>
          </w:tcPr>
          <w:p>
            <w:pPr>
              <w:pStyle w:val="0"/>
              <w:jc w:val="center"/>
            </w:pPr>
            <w:r>
              <w:rPr>
                <w:sz w:val="20"/>
              </w:rPr>
              <w:t xml:space="preserve">4</w:t>
            </w:r>
          </w:p>
        </w:tc>
        <w:tc>
          <w:tcPr>
            <w:tcW w:w="1955" w:type="dxa"/>
          </w:tcPr>
          <w:p>
            <w:pPr>
              <w:pStyle w:val="0"/>
              <w:jc w:val="center"/>
            </w:pPr>
            <w:r>
              <w:rPr>
                <w:sz w:val="20"/>
              </w:rPr>
              <w:t xml:space="preserve">2</w:t>
            </w:r>
          </w:p>
        </w:tc>
      </w:tr>
      <w:tr>
        <w:tc>
          <w:tcPr>
            <w:tcW w:w="5159" w:type="dxa"/>
          </w:tcPr>
          <w:p>
            <w:pPr>
              <w:pStyle w:val="0"/>
              <w:jc w:val="both"/>
            </w:pPr>
            <w:r>
              <w:rPr>
                <w:sz w:val="20"/>
              </w:rPr>
              <w:t xml:space="preserve">Отделений сестринского ухода</w:t>
            </w:r>
          </w:p>
        </w:tc>
        <w:tc>
          <w:tcPr>
            <w:tcW w:w="1955" w:type="dxa"/>
          </w:tcPr>
          <w:p>
            <w:pPr>
              <w:pStyle w:val="0"/>
              <w:jc w:val="center"/>
            </w:pPr>
            <w:r>
              <w:rPr>
                <w:sz w:val="20"/>
              </w:rPr>
              <w:t xml:space="preserve">1</w:t>
            </w:r>
          </w:p>
        </w:tc>
        <w:tc>
          <w:tcPr>
            <w:tcW w:w="1955" w:type="dxa"/>
          </w:tcPr>
          <w:p>
            <w:pPr>
              <w:pStyle w:val="0"/>
              <w:jc w:val="center"/>
            </w:pPr>
            <w:r>
              <w:rPr>
                <w:sz w:val="20"/>
              </w:rPr>
              <w:t xml:space="preserve">1</w:t>
            </w:r>
          </w:p>
        </w:tc>
      </w:tr>
      <w:tr>
        <w:tc>
          <w:tcPr>
            <w:tcW w:w="5159" w:type="dxa"/>
          </w:tcPr>
          <w:p>
            <w:pPr>
              <w:pStyle w:val="0"/>
              <w:jc w:val="both"/>
            </w:pPr>
            <w:r>
              <w:rPr>
                <w:sz w:val="20"/>
              </w:rPr>
              <w:t xml:space="preserve">Хосписов</w:t>
            </w:r>
          </w:p>
        </w:tc>
        <w:tc>
          <w:tcPr>
            <w:tcW w:w="1955" w:type="dxa"/>
          </w:tcPr>
          <w:p>
            <w:pPr>
              <w:pStyle w:val="0"/>
              <w:jc w:val="center"/>
            </w:pPr>
            <w:r>
              <w:rPr>
                <w:sz w:val="20"/>
              </w:rPr>
              <w:t xml:space="preserve">0</w:t>
            </w:r>
          </w:p>
        </w:tc>
        <w:tc>
          <w:tcPr>
            <w:tcW w:w="1955" w:type="dxa"/>
          </w:tcPr>
          <w:p>
            <w:pPr>
              <w:pStyle w:val="0"/>
              <w:jc w:val="center"/>
            </w:pPr>
            <w:r>
              <w:rPr>
                <w:sz w:val="20"/>
              </w:rPr>
              <w:t xml:space="preserve">0</w:t>
            </w:r>
          </w:p>
        </w:tc>
      </w:tr>
      <w:tr>
        <w:tc>
          <w:tcPr>
            <w:tcW w:w="5159" w:type="dxa"/>
          </w:tcPr>
          <w:p>
            <w:pPr>
              <w:pStyle w:val="0"/>
              <w:jc w:val="both"/>
            </w:pPr>
            <w:r>
              <w:rPr>
                <w:sz w:val="20"/>
              </w:rPr>
              <w:t xml:space="preserve">Коек для оказания ПМП, в том числе:</w:t>
            </w:r>
          </w:p>
        </w:tc>
        <w:tc>
          <w:tcPr>
            <w:tcW w:w="1955" w:type="dxa"/>
          </w:tcPr>
          <w:p>
            <w:pPr>
              <w:pStyle w:val="0"/>
              <w:jc w:val="center"/>
            </w:pPr>
            <w:r>
              <w:rPr>
                <w:sz w:val="20"/>
              </w:rPr>
              <w:t xml:space="preserve">72</w:t>
            </w:r>
          </w:p>
        </w:tc>
        <w:tc>
          <w:tcPr>
            <w:tcW w:w="1955" w:type="dxa"/>
          </w:tcPr>
          <w:p>
            <w:pPr>
              <w:pStyle w:val="0"/>
              <w:jc w:val="center"/>
            </w:pPr>
            <w:r>
              <w:rPr>
                <w:sz w:val="20"/>
              </w:rPr>
              <w:t xml:space="preserve">60</w:t>
            </w:r>
          </w:p>
        </w:tc>
      </w:tr>
      <w:tr>
        <w:tc>
          <w:tcPr>
            <w:tcW w:w="5159" w:type="dxa"/>
          </w:tcPr>
          <w:p>
            <w:pPr>
              <w:pStyle w:val="0"/>
              <w:jc w:val="both"/>
            </w:pPr>
            <w:r>
              <w:rPr>
                <w:sz w:val="20"/>
              </w:rPr>
              <w:t xml:space="preserve">Коек ПМП для взрослых</w:t>
            </w:r>
          </w:p>
        </w:tc>
        <w:tc>
          <w:tcPr>
            <w:tcW w:w="1955" w:type="dxa"/>
          </w:tcPr>
          <w:p>
            <w:pPr>
              <w:pStyle w:val="0"/>
              <w:jc w:val="center"/>
            </w:pPr>
            <w:r>
              <w:rPr>
                <w:sz w:val="20"/>
              </w:rPr>
              <w:t xml:space="preserve">42</w:t>
            </w:r>
          </w:p>
        </w:tc>
        <w:tc>
          <w:tcPr>
            <w:tcW w:w="1955" w:type="dxa"/>
          </w:tcPr>
          <w:p>
            <w:pPr>
              <w:pStyle w:val="0"/>
              <w:jc w:val="center"/>
            </w:pPr>
            <w:r>
              <w:rPr>
                <w:sz w:val="20"/>
              </w:rPr>
              <w:t xml:space="preserve">35</w:t>
            </w:r>
          </w:p>
        </w:tc>
      </w:tr>
      <w:tr>
        <w:tc>
          <w:tcPr>
            <w:tcW w:w="5159" w:type="dxa"/>
          </w:tcPr>
          <w:p>
            <w:pPr>
              <w:pStyle w:val="0"/>
              <w:jc w:val="both"/>
            </w:pPr>
            <w:r>
              <w:rPr>
                <w:sz w:val="20"/>
              </w:rPr>
              <w:t xml:space="preserve">Коек сестринского ухода</w:t>
            </w:r>
          </w:p>
        </w:tc>
        <w:tc>
          <w:tcPr>
            <w:tcW w:w="1955" w:type="dxa"/>
          </w:tcPr>
          <w:p>
            <w:pPr>
              <w:pStyle w:val="0"/>
              <w:jc w:val="center"/>
            </w:pPr>
            <w:r>
              <w:rPr>
                <w:sz w:val="20"/>
              </w:rPr>
              <w:t xml:space="preserve">30</w:t>
            </w:r>
          </w:p>
        </w:tc>
        <w:tc>
          <w:tcPr>
            <w:tcW w:w="1955" w:type="dxa"/>
          </w:tcPr>
          <w:p>
            <w:pPr>
              <w:pStyle w:val="0"/>
              <w:jc w:val="center"/>
            </w:pPr>
            <w:r>
              <w:rPr>
                <w:sz w:val="20"/>
              </w:rPr>
              <w:t xml:space="preserve">20</w:t>
            </w:r>
          </w:p>
        </w:tc>
      </w:tr>
      <w:tr>
        <w:tc>
          <w:tcPr>
            <w:tcW w:w="5159" w:type="dxa"/>
          </w:tcPr>
          <w:p>
            <w:pPr>
              <w:pStyle w:val="0"/>
              <w:jc w:val="both"/>
            </w:pPr>
            <w:r>
              <w:rPr>
                <w:sz w:val="20"/>
              </w:rPr>
              <w:t xml:space="preserve">Коек для оказания длительной респираторной поддержки</w:t>
            </w:r>
          </w:p>
        </w:tc>
        <w:tc>
          <w:tcPr>
            <w:tcW w:w="1955" w:type="dxa"/>
          </w:tcPr>
          <w:p>
            <w:pPr>
              <w:pStyle w:val="0"/>
              <w:jc w:val="center"/>
            </w:pPr>
            <w:r>
              <w:rPr>
                <w:sz w:val="20"/>
              </w:rPr>
              <w:t xml:space="preserve">0</w:t>
            </w:r>
          </w:p>
        </w:tc>
        <w:tc>
          <w:tcPr>
            <w:tcW w:w="1955" w:type="dxa"/>
          </w:tcPr>
          <w:p>
            <w:pPr>
              <w:pStyle w:val="0"/>
              <w:jc w:val="center"/>
            </w:pPr>
            <w:r>
              <w:rPr>
                <w:sz w:val="20"/>
              </w:rPr>
              <w:t xml:space="preserve">5</w:t>
            </w:r>
          </w:p>
        </w:tc>
      </w:tr>
      <w:tr>
        <w:tc>
          <w:tcPr>
            <w:tcW w:w="5159" w:type="dxa"/>
          </w:tcPr>
          <w:p>
            <w:pPr>
              <w:pStyle w:val="0"/>
              <w:jc w:val="both"/>
            </w:pPr>
            <w:r>
              <w:rPr>
                <w:sz w:val="20"/>
              </w:rPr>
              <w:t xml:space="preserve">Врачей по ПМП, чел.</w:t>
            </w:r>
          </w:p>
        </w:tc>
        <w:tc>
          <w:tcPr>
            <w:tcW w:w="1955" w:type="dxa"/>
          </w:tcPr>
          <w:p>
            <w:pPr>
              <w:pStyle w:val="0"/>
              <w:jc w:val="center"/>
            </w:pPr>
            <w:r>
              <w:rPr>
                <w:sz w:val="20"/>
              </w:rPr>
              <w:t xml:space="preserve">7</w:t>
            </w:r>
          </w:p>
        </w:tc>
        <w:tc>
          <w:tcPr>
            <w:tcW w:w="1955" w:type="dxa"/>
          </w:tcPr>
          <w:p>
            <w:pPr>
              <w:pStyle w:val="0"/>
              <w:jc w:val="center"/>
            </w:pPr>
            <w:r>
              <w:rPr>
                <w:sz w:val="20"/>
              </w:rPr>
              <w:t xml:space="preserve">9</w:t>
            </w:r>
          </w:p>
        </w:tc>
      </w:tr>
      <w:tr>
        <w:tc>
          <w:tcPr>
            <w:tcW w:w="5159" w:type="dxa"/>
          </w:tcPr>
          <w:p>
            <w:pPr>
              <w:pStyle w:val="0"/>
              <w:jc w:val="both"/>
            </w:pPr>
            <w:r>
              <w:rPr>
                <w:sz w:val="20"/>
              </w:rPr>
              <w:t xml:space="preserve">Среднего медицинского персонала, чел.</w:t>
            </w:r>
          </w:p>
        </w:tc>
        <w:tc>
          <w:tcPr>
            <w:tcW w:w="1955" w:type="dxa"/>
          </w:tcPr>
          <w:p>
            <w:pPr>
              <w:pStyle w:val="0"/>
              <w:jc w:val="center"/>
            </w:pPr>
            <w:r>
              <w:rPr>
                <w:sz w:val="20"/>
              </w:rPr>
              <w:t xml:space="preserve">19</w:t>
            </w:r>
          </w:p>
        </w:tc>
        <w:tc>
          <w:tcPr>
            <w:tcW w:w="1955" w:type="dxa"/>
          </w:tcPr>
          <w:p>
            <w:pPr>
              <w:pStyle w:val="0"/>
              <w:jc w:val="center"/>
            </w:pPr>
            <w:r>
              <w:rPr>
                <w:sz w:val="20"/>
              </w:rPr>
              <w:t xml:space="preserve">25</w:t>
            </w:r>
          </w:p>
        </w:tc>
      </w:tr>
      <w:tr>
        <w:tc>
          <w:tcPr>
            <w:tcW w:w="5159" w:type="dxa"/>
          </w:tcPr>
          <w:p>
            <w:pPr>
              <w:pStyle w:val="0"/>
              <w:jc w:val="both"/>
            </w:pPr>
            <w:r>
              <w:rPr>
                <w:sz w:val="20"/>
              </w:rPr>
              <w:t xml:space="preserve">Младшего медицинского персонала, чел.</w:t>
            </w:r>
          </w:p>
        </w:tc>
        <w:tc>
          <w:tcPr>
            <w:tcW w:w="1955" w:type="dxa"/>
          </w:tcPr>
          <w:p>
            <w:pPr>
              <w:pStyle w:val="0"/>
              <w:jc w:val="center"/>
            </w:pPr>
            <w:r>
              <w:rPr>
                <w:sz w:val="20"/>
              </w:rPr>
              <w:t xml:space="preserve">22</w:t>
            </w:r>
          </w:p>
        </w:tc>
        <w:tc>
          <w:tcPr>
            <w:tcW w:w="1955" w:type="dxa"/>
          </w:tcPr>
          <w:p>
            <w:pPr>
              <w:pStyle w:val="0"/>
              <w:jc w:val="center"/>
            </w:pPr>
            <w:r>
              <w:rPr>
                <w:sz w:val="20"/>
              </w:rPr>
              <w:t xml:space="preserve">30</w:t>
            </w:r>
          </w:p>
        </w:tc>
      </w:tr>
      <w:tr>
        <w:tc>
          <w:tcPr>
            <w:gridSpan w:val="3"/>
            <w:tcW w:w="9069" w:type="dxa"/>
          </w:tcPr>
          <w:p>
            <w:pPr>
              <w:pStyle w:val="0"/>
              <w:jc w:val="center"/>
            </w:pPr>
            <w:r>
              <w:rPr>
                <w:sz w:val="20"/>
              </w:rPr>
              <w:t xml:space="preserve">Оказание ПМП в амбулаторных условиях взрослым</w:t>
            </w:r>
          </w:p>
        </w:tc>
      </w:tr>
      <w:tr>
        <w:tc>
          <w:tcPr>
            <w:tcW w:w="5159" w:type="dxa"/>
          </w:tcPr>
          <w:p>
            <w:pPr>
              <w:pStyle w:val="0"/>
              <w:jc w:val="both"/>
            </w:pPr>
            <w:r>
              <w:rPr>
                <w:sz w:val="20"/>
              </w:rPr>
              <w:t xml:space="preserve">Медицинских организаций, оказывающих паллиативную специализированную медицинскую помощь</w:t>
            </w:r>
          </w:p>
        </w:tc>
        <w:tc>
          <w:tcPr>
            <w:tcW w:w="1955" w:type="dxa"/>
          </w:tcPr>
          <w:p>
            <w:pPr>
              <w:pStyle w:val="0"/>
              <w:jc w:val="center"/>
            </w:pPr>
            <w:r>
              <w:rPr>
                <w:sz w:val="20"/>
              </w:rPr>
              <w:t xml:space="preserve">5</w:t>
            </w:r>
          </w:p>
        </w:tc>
        <w:tc>
          <w:tcPr>
            <w:tcW w:w="1955" w:type="dxa"/>
          </w:tcPr>
          <w:p>
            <w:pPr>
              <w:pStyle w:val="0"/>
              <w:jc w:val="center"/>
            </w:pPr>
            <w:r>
              <w:rPr>
                <w:sz w:val="20"/>
              </w:rPr>
              <w:t xml:space="preserve">2</w:t>
            </w:r>
          </w:p>
        </w:tc>
      </w:tr>
      <w:tr>
        <w:tc>
          <w:tcPr>
            <w:tcW w:w="5159" w:type="dxa"/>
          </w:tcPr>
          <w:p>
            <w:pPr>
              <w:pStyle w:val="0"/>
              <w:jc w:val="both"/>
            </w:pPr>
            <w:r>
              <w:rPr>
                <w:sz w:val="20"/>
              </w:rPr>
              <w:t xml:space="preserve">Кабинетов по ПМП</w:t>
            </w:r>
          </w:p>
        </w:tc>
        <w:tc>
          <w:tcPr>
            <w:tcW w:w="1955" w:type="dxa"/>
          </w:tcPr>
          <w:p>
            <w:pPr>
              <w:pStyle w:val="0"/>
              <w:jc w:val="center"/>
            </w:pPr>
            <w:r>
              <w:rPr>
                <w:sz w:val="20"/>
              </w:rPr>
              <w:t xml:space="preserve">4</w:t>
            </w:r>
          </w:p>
        </w:tc>
        <w:tc>
          <w:tcPr>
            <w:tcW w:w="1955" w:type="dxa"/>
          </w:tcPr>
          <w:p>
            <w:pPr>
              <w:pStyle w:val="0"/>
              <w:jc w:val="center"/>
            </w:pPr>
            <w:r>
              <w:rPr>
                <w:sz w:val="20"/>
              </w:rPr>
              <w:t xml:space="preserve">0</w:t>
            </w:r>
          </w:p>
        </w:tc>
      </w:tr>
      <w:tr>
        <w:tc>
          <w:tcPr>
            <w:tcW w:w="5159" w:type="dxa"/>
          </w:tcPr>
          <w:p>
            <w:pPr>
              <w:pStyle w:val="0"/>
              <w:jc w:val="both"/>
            </w:pPr>
            <w:r>
              <w:rPr>
                <w:sz w:val="20"/>
              </w:rPr>
              <w:t xml:space="preserve">Отделений выездной патронажной паллиативной медицинской помощи, в том числе:</w:t>
            </w:r>
          </w:p>
        </w:tc>
        <w:tc>
          <w:tcPr>
            <w:tcW w:w="1955" w:type="dxa"/>
          </w:tcPr>
          <w:p>
            <w:pPr>
              <w:pStyle w:val="0"/>
              <w:jc w:val="center"/>
            </w:pPr>
            <w:r>
              <w:rPr>
                <w:sz w:val="20"/>
              </w:rPr>
              <w:t xml:space="preserve">2</w:t>
            </w:r>
          </w:p>
        </w:tc>
        <w:tc>
          <w:tcPr>
            <w:tcW w:w="1955" w:type="dxa"/>
          </w:tcPr>
          <w:p>
            <w:pPr>
              <w:pStyle w:val="0"/>
              <w:jc w:val="center"/>
            </w:pPr>
            <w:r>
              <w:rPr>
                <w:sz w:val="20"/>
              </w:rPr>
              <w:t xml:space="preserve">2</w:t>
            </w:r>
          </w:p>
        </w:tc>
      </w:tr>
      <w:tr>
        <w:tc>
          <w:tcPr>
            <w:tcW w:w="5159" w:type="dxa"/>
          </w:tcPr>
          <w:p>
            <w:pPr>
              <w:pStyle w:val="0"/>
              <w:jc w:val="both"/>
            </w:pPr>
            <w:r>
              <w:rPr>
                <w:sz w:val="20"/>
              </w:rPr>
              <w:t xml:space="preserve">Выездных патронажных бригад</w:t>
            </w:r>
          </w:p>
        </w:tc>
        <w:tc>
          <w:tcPr>
            <w:tcW w:w="1955" w:type="dxa"/>
          </w:tcPr>
          <w:p>
            <w:pPr>
              <w:pStyle w:val="0"/>
              <w:jc w:val="center"/>
            </w:pPr>
            <w:r>
              <w:rPr>
                <w:sz w:val="20"/>
              </w:rPr>
              <w:t xml:space="preserve">2</w:t>
            </w:r>
          </w:p>
        </w:tc>
        <w:tc>
          <w:tcPr>
            <w:tcW w:w="1955" w:type="dxa"/>
          </w:tcPr>
          <w:p>
            <w:pPr>
              <w:pStyle w:val="0"/>
              <w:jc w:val="center"/>
            </w:pPr>
            <w:r>
              <w:rPr>
                <w:sz w:val="20"/>
              </w:rPr>
              <w:t xml:space="preserve">4</w:t>
            </w:r>
          </w:p>
        </w:tc>
      </w:tr>
      <w:tr>
        <w:tc>
          <w:tcPr>
            <w:tcW w:w="5159" w:type="dxa"/>
          </w:tcPr>
          <w:p>
            <w:pPr>
              <w:pStyle w:val="0"/>
              <w:jc w:val="both"/>
            </w:pPr>
            <w:r>
              <w:rPr>
                <w:sz w:val="20"/>
              </w:rPr>
              <w:t xml:space="preserve">Врачей по ПМП, чел.</w:t>
            </w:r>
          </w:p>
        </w:tc>
        <w:tc>
          <w:tcPr>
            <w:tcW w:w="1955" w:type="dxa"/>
          </w:tcPr>
          <w:p>
            <w:pPr>
              <w:pStyle w:val="0"/>
              <w:jc w:val="center"/>
            </w:pPr>
            <w:r>
              <w:rPr>
                <w:sz w:val="20"/>
              </w:rPr>
              <w:t xml:space="preserve">4</w:t>
            </w:r>
          </w:p>
        </w:tc>
        <w:tc>
          <w:tcPr>
            <w:tcW w:w="1955" w:type="dxa"/>
          </w:tcPr>
          <w:p>
            <w:pPr>
              <w:pStyle w:val="0"/>
              <w:jc w:val="center"/>
            </w:pPr>
            <w:r>
              <w:rPr>
                <w:sz w:val="20"/>
              </w:rPr>
              <w:t xml:space="preserve">4</w:t>
            </w:r>
          </w:p>
        </w:tc>
      </w:tr>
      <w:tr>
        <w:tc>
          <w:tcPr>
            <w:tcW w:w="5159" w:type="dxa"/>
          </w:tcPr>
          <w:p>
            <w:pPr>
              <w:pStyle w:val="0"/>
              <w:jc w:val="both"/>
            </w:pPr>
            <w:r>
              <w:rPr>
                <w:sz w:val="20"/>
              </w:rPr>
              <w:t xml:space="preserve">Среднего медицинского персонала, чел.</w:t>
            </w:r>
          </w:p>
        </w:tc>
        <w:tc>
          <w:tcPr>
            <w:tcW w:w="1955" w:type="dxa"/>
          </w:tcPr>
          <w:p>
            <w:pPr>
              <w:pStyle w:val="0"/>
              <w:jc w:val="center"/>
            </w:pPr>
            <w:r>
              <w:rPr>
                <w:sz w:val="20"/>
              </w:rPr>
              <w:t xml:space="preserve">3</w:t>
            </w:r>
          </w:p>
        </w:tc>
        <w:tc>
          <w:tcPr>
            <w:tcW w:w="1955" w:type="dxa"/>
          </w:tcPr>
          <w:p>
            <w:pPr>
              <w:pStyle w:val="0"/>
              <w:jc w:val="center"/>
            </w:pPr>
            <w:r>
              <w:rPr>
                <w:sz w:val="20"/>
              </w:rPr>
              <w:t xml:space="preserve">5</w:t>
            </w:r>
          </w:p>
        </w:tc>
      </w:tr>
      <w:tr>
        <w:tc>
          <w:tcPr>
            <w:tcW w:w="5159" w:type="dxa"/>
          </w:tcPr>
          <w:p>
            <w:pPr>
              <w:pStyle w:val="0"/>
              <w:jc w:val="both"/>
            </w:pPr>
            <w:r>
              <w:rPr>
                <w:sz w:val="20"/>
              </w:rPr>
              <w:t xml:space="preserve">Младшего медицинского персонала, чел.</w:t>
            </w:r>
          </w:p>
        </w:tc>
        <w:tc>
          <w:tcPr>
            <w:tcW w:w="1955" w:type="dxa"/>
          </w:tcPr>
          <w:p>
            <w:pPr>
              <w:pStyle w:val="0"/>
              <w:jc w:val="center"/>
            </w:pPr>
            <w:r>
              <w:rPr>
                <w:sz w:val="20"/>
              </w:rPr>
              <w:t xml:space="preserve">0</w:t>
            </w:r>
          </w:p>
        </w:tc>
        <w:tc>
          <w:tcPr>
            <w:tcW w:w="1955" w:type="dxa"/>
          </w:tcPr>
          <w:p>
            <w:pPr>
              <w:pStyle w:val="0"/>
              <w:jc w:val="center"/>
            </w:pPr>
            <w:r>
              <w:rPr>
                <w:sz w:val="20"/>
              </w:rPr>
              <w:t xml:space="preserve">5</w:t>
            </w:r>
          </w:p>
        </w:tc>
      </w:tr>
      <w:tr>
        <w:tc>
          <w:tcPr>
            <w:gridSpan w:val="3"/>
            <w:tcW w:w="9069" w:type="dxa"/>
          </w:tcPr>
          <w:p>
            <w:pPr>
              <w:pStyle w:val="0"/>
              <w:jc w:val="center"/>
            </w:pPr>
            <w:r>
              <w:rPr>
                <w:sz w:val="20"/>
              </w:rPr>
              <w:t xml:space="preserve">Оказание ПМП в стационарных условиях детям</w:t>
            </w:r>
          </w:p>
        </w:tc>
      </w:tr>
      <w:tr>
        <w:tc>
          <w:tcPr>
            <w:tcW w:w="5159" w:type="dxa"/>
          </w:tcPr>
          <w:p>
            <w:pPr>
              <w:pStyle w:val="0"/>
              <w:jc w:val="both"/>
            </w:pPr>
            <w:r>
              <w:rPr>
                <w:sz w:val="20"/>
              </w:rPr>
              <w:t xml:space="preserve">Медицинских организаций, оказывающих паллиативную специализированную медицинскую помощь</w:t>
            </w:r>
          </w:p>
        </w:tc>
        <w:tc>
          <w:tcPr>
            <w:tcW w:w="1955" w:type="dxa"/>
          </w:tcPr>
          <w:p>
            <w:pPr>
              <w:pStyle w:val="0"/>
              <w:jc w:val="center"/>
            </w:pPr>
            <w:r>
              <w:rPr>
                <w:sz w:val="20"/>
              </w:rPr>
              <w:t xml:space="preserve">1</w:t>
            </w:r>
          </w:p>
        </w:tc>
        <w:tc>
          <w:tcPr>
            <w:tcW w:w="1955" w:type="dxa"/>
          </w:tcPr>
          <w:p>
            <w:pPr>
              <w:pStyle w:val="0"/>
              <w:jc w:val="center"/>
            </w:pPr>
            <w:r>
              <w:rPr>
                <w:sz w:val="20"/>
              </w:rPr>
              <w:t xml:space="preserve">1</w:t>
            </w:r>
          </w:p>
        </w:tc>
      </w:tr>
      <w:tr>
        <w:tc>
          <w:tcPr>
            <w:tcW w:w="5159" w:type="dxa"/>
          </w:tcPr>
          <w:p>
            <w:pPr>
              <w:pStyle w:val="0"/>
              <w:jc w:val="both"/>
            </w:pPr>
            <w:r>
              <w:rPr>
                <w:sz w:val="20"/>
              </w:rPr>
              <w:t xml:space="preserve">Отделений ПМП</w:t>
            </w:r>
          </w:p>
        </w:tc>
        <w:tc>
          <w:tcPr>
            <w:tcW w:w="1955" w:type="dxa"/>
          </w:tcPr>
          <w:p>
            <w:pPr>
              <w:pStyle w:val="0"/>
              <w:jc w:val="center"/>
            </w:pPr>
            <w:r>
              <w:rPr>
                <w:sz w:val="20"/>
              </w:rPr>
              <w:t xml:space="preserve">1</w:t>
            </w:r>
          </w:p>
        </w:tc>
        <w:tc>
          <w:tcPr>
            <w:tcW w:w="1955" w:type="dxa"/>
          </w:tcPr>
          <w:p>
            <w:pPr>
              <w:pStyle w:val="0"/>
              <w:jc w:val="center"/>
            </w:pPr>
            <w:r>
              <w:rPr>
                <w:sz w:val="20"/>
              </w:rPr>
              <w:t xml:space="preserve">1</w:t>
            </w:r>
          </w:p>
        </w:tc>
      </w:tr>
      <w:tr>
        <w:tc>
          <w:tcPr>
            <w:tcW w:w="5159" w:type="dxa"/>
          </w:tcPr>
          <w:p>
            <w:pPr>
              <w:pStyle w:val="0"/>
              <w:jc w:val="both"/>
            </w:pPr>
            <w:r>
              <w:rPr>
                <w:sz w:val="20"/>
              </w:rPr>
              <w:t xml:space="preserve">Хосписов</w:t>
            </w:r>
          </w:p>
        </w:tc>
        <w:tc>
          <w:tcPr>
            <w:tcW w:w="1955" w:type="dxa"/>
          </w:tcPr>
          <w:p>
            <w:pPr>
              <w:pStyle w:val="0"/>
              <w:jc w:val="center"/>
            </w:pPr>
            <w:r>
              <w:rPr>
                <w:sz w:val="20"/>
              </w:rPr>
              <w:t xml:space="preserve">0</w:t>
            </w:r>
          </w:p>
        </w:tc>
        <w:tc>
          <w:tcPr>
            <w:tcW w:w="1955" w:type="dxa"/>
          </w:tcPr>
          <w:p>
            <w:pPr>
              <w:pStyle w:val="0"/>
              <w:jc w:val="center"/>
            </w:pPr>
            <w:r>
              <w:rPr>
                <w:sz w:val="20"/>
              </w:rPr>
              <w:t xml:space="preserve">0</w:t>
            </w:r>
          </w:p>
        </w:tc>
      </w:tr>
      <w:tr>
        <w:tc>
          <w:tcPr>
            <w:tcW w:w="5159" w:type="dxa"/>
          </w:tcPr>
          <w:p>
            <w:pPr>
              <w:pStyle w:val="0"/>
              <w:jc w:val="both"/>
            </w:pPr>
            <w:r>
              <w:rPr>
                <w:sz w:val="20"/>
              </w:rPr>
              <w:t xml:space="preserve">Коек для оказания ПМП, в том числе:</w:t>
            </w:r>
          </w:p>
        </w:tc>
        <w:tc>
          <w:tcPr>
            <w:tcW w:w="1955" w:type="dxa"/>
          </w:tcPr>
          <w:p>
            <w:pPr>
              <w:pStyle w:val="0"/>
              <w:jc w:val="center"/>
            </w:pPr>
            <w:r>
              <w:rPr>
                <w:sz w:val="20"/>
              </w:rPr>
              <w:t xml:space="preserve">2</w:t>
            </w:r>
          </w:p>
        </w:tc>
        <w:tc>
          <w:tcPr>
            <w:tcW w:w="1955" w:type="dxa"/>
          </w:tcPr>
          <w:p>
            <w:pPr>
              <w:pStyle w:val="0"/>
              <w:jc w:val="center"/>
            </w:pPr>
            <w:r>
              <w:rPr>
                <w:sz w:val="20"/>
              </w:rPr>
              <w:t xml:space="preserve">7</w:t>
            </w:r>
          </w:p>
        </w:tc>
      </w:tr>
      <w:tr>
        <w:tc>
          <w:tcPr>
            <w:tcW w:w="5159" w:type="dxa"/>
          </w:tcPr>
          <w:p>
            <w:pPr>
              <w:pStyle w:val="0"/>
              <w:jc w:val="both"/>
            </w:pPr>
            <w:r>
              <w:rPr>
                <w:sz w:val="20"/>
              </w:rPr>
              <w:t xml:space="preserve">Коек для оказания длительной респираторной поддержки</w:t>
            </w:r>
          </w:p>
        </w:tc>
        <w:tc>
          <w:tcPr>
            <w:tcW w:w="1955" w:type="dxa"/>
          </w:tcPr>
          <w:p>
            <w:pPr>
              <w:pStyle w:val="0"/>
              <w:jc w:val="center"/>
            </w:pPr>
            <w:r>
              <w:rPr>
                <w:sz w:val="20"/>
              </w:rPr>
              <w:t xml:space="preserve">0</w:t>
            </w:r>
          </w:p>
        </w:tc>
        <w:tc>
          <w:tcPr>
            <w:tcW w:w="1955" w:type="dxa"/>
          </w:tcPr>
          <w:p>
            <w:pPr>
              <w:pStyle w:val="0"/>
              <w:jc w:val="center"/>
            </w:pPr>
            <w:r>
              <w:rPr>
                <w:sz w:val="20"/>
              </w:rPr>
              <w:t xml:space="preserve">5</w:t>
            </w:r>
          </w:p>
        </w:tc>
      </w:tr>
      <w:tr>
        <w:tc>
          <w:tcPr>
            <w:tcW w:w="5159" w:type="dxa"/>
          </w:tcPr>
          <w:p>
            <w:pPr>
              <w:pStyle w:val="0"/>
              <w:jc w:val="both"/>
            </w:pPr>
            <w:r>
              <w:rPr>
                <w:sz w:val="20"/>
              </w:rPr>
              <w:t xml:space="preserve">Врачей по ПМП, чел.</w:t>
            </w:r>
          </w:p>
        </w:tc>
        <w:tc>
          <w:tcPr>
            <w:tcW w:w="1955" w:type="dxa"/>
          </w:tcPr>
          <w:p>
            <w:pPr>
              <w:pStyle w:val="0"/>
              <w:jc w:val="center"/>
            </w:pPr>
            <w:r>
              <w:rPr>
                <w:sz w:val="20"/>
              </w:rPr>
              <w:t xml:space="preserve">1</w:t>
            </w:r>
          </w:p>
        </w:tc>
        <w:tc>
          <w:tcPr>
            <w:tcW w:w="1955" w:type="dxa"/>
          </w:tcPr>
          <w:p>
            <w:pPr>
              <w:pStyle w:val="0"/>
              <w:jc w:val="center"/>
            </w:pPr>
            <w:r>
              <w:rPr>
                <w:sz w:val="20"/>
              </w:rPr>
              <w:t xml:space="preserve">3</w:t>
            </w:r>
          </w:p>
        </w:tc>
      </w:tr>
      <w:tr>
        <w:tc>
          <w:tcPr>
            <w:tcW w:w="5159" w:type="dxa"/>
          </w:tcPr>
          <w:p>
            <w:pPr>
              <w:pStyle w:val="0"/>
              <w:jc w:val="both"/>
            </w:pPr>
            <w:r>
              <w:rPr>
                <w:sz w:val="20"/>
              </w:rPr>
              <w:t xml:space="preserve">Среднего медицинского персонала, чел.</w:t>
            </w:r>
          </w:p>
        </w:tc>
        <w:tc>
          <w:tcPr>
            <w:tcW w:w="1955" w:type="dxa"/>
          </w:tcPr>
          <w:p>
            <w:pPr>
              <w:pStyle w:val="0"/>
              <w:jc w:val="center"/>
            </w:pPr>
            <w:r>
              <w:rPr>
                <w:sz w:val="20"/>
              </w:rPr>
              <w:t xml:space="preserve">9</w:t>
            </w:r>
          </w:p>
        </w:tc>
        <w:tc>
          <w:tcPr>
            <w:tcW w:w="1955" w:type="dxa"/>
          </w:tcPr>
          <w:p>
            <w:pPr>
              <w:pStyle w:val="0"/>
              <w:jc w:val="center"/>
            </w:pPr>
            <w:r>
              <w:rPr>
                <w:sz w:val="20"/>
              </w:rPr>
              <w:t xml:space="preserve">12</w:t>
            </w:r>
          </w:p>
        </w:tc>
      </w:tr>
      <w:tr>
        <w:tc>
          <w:tcPr>
            <w:tcW w:w="5159" w:type="dxa"/>
          </w:tcPr>
          <w:p>
            <w:pPr>
              <w:pStyle w:val="0"/>
              <w:jc w:val="both"/>
            </w:pPr>
            <w:r>
              <w:rPr>
                <w:sz w:val="20"/>
              </w:rPr>
              <w:t xml:space="preserve">Младшего медицинского персонала, чел.</w:t>
            </w:r>
          </w:p>
        </w:tc>
        <w:tc>
          <w:tcPr>
            <w:tcW w:w="1955" w:type="dxa"/>
          </w:tcPr>
          <w:p>
            <w:pPr>
              <w:pStyle w:val="0"/>
              <w:jc w:val="center"/>
            </w:pPr>
            <w:r>
              <w:rPr>
                <w:sz w:val="20"/>
              </w:rPr>
              <w:t xml:space="preserve">1</w:t>
            </w:r>
          </w:p>
        </w:tc>
        <w:tc>
          <w:tcPr>
            <w:tcW w:w="1955" w:type="dxa"/>
          </w:tcPr>
          <w:p>
            <w:pPr>
              <w:pStyle w:val="0"/>
              <w:jc w:val="center"/>
            </w:pPr>
            <w:r>
              <w:rPr>
                <w:sz w:val="20"/>
              </w:rPr>
              <w:t xml:space="preserve">3</w:t>
            </w:r>
          </w:p>
        </w:tc>
      </w:tr>
      <w:tr>
        <w:tc>
          <w:tcPr>
            <w:gridSpan w:val="3"/>
            <w:tcW w:w="9069" w:type="dxa"/>
          </w:tcPr>
          <w:p>
            <w:pPr>
              <w:pStyle w:val="0"/>
              <w:jc w:val="center"/>
            </w:pPr>
            <w:r>
              <w:rPr>
                <w:sz w:val="20"/>
              </w:rPr>
              <w:t xml:space="preserve">Оказание ПМП в амбулаторных условиях детям</w:t>
            </w:r>
          </w:p>
        </w:tc>
      </w:tr>
      <w:tr>
        <w:tc>
          <w:tcPr>
            <w:tcW w:w="5159" w:type="dxa"/>
          </w:tcPr>
          <w:p>
            <w:pPr>
              <w:pStyle w:val="0"/>
              <w:jc w:val="both"/>
            </w:pPr>
            <w:r>
              <w:rPr>
                <w:sz w:val="20"/>
              </w:rPr>
              <w:t xml:space="preserve">Медицинских организаций, оказывающих паллиативную специализированную медицинскую помощь</w:t>
            </w:r>
          </w:p>
        </w:tc>
        <w:tc>
          <w:tcPr>
            <w:tcW w:w="1955" w:type="dxa"/>
          </w:tcPr>
          <w:p>
            <w:pPr>
              <w:pStyle w:val="0"/>
              <w:jc w:val="center"/>
            </w:pPr>
            <w:r>
              <w:rPr>
                <w:sz w:val="20"/>
              </w:rPr>
              <w:t xml:space="preserve">0</w:t>
            </w:r>
          </w:p>
        </w:tc>
        <w:tc>
          <w:tcPr>
            <w:tcW w:w="1955" w:type="dxa"/>
          </w:tcPr>
          <w:p>
            <w:pPr>
              <w:pStyle w:val="0"/>
              <w:jc w:val="center"/>
            </w:pPr>
            <w:r>
              <w:rPr>
                <w:sz w:val="20"/>
              </w:rPr>
              <w:t xml:space="preserve">1</w:t>
            </w:r>
          </w:p>
        </w:tc>
      </w:tr>
      <w:tr>
        <w:tc>
          <w:tcPr>
            <w:tcW w:w="5159" w:type="dxa"/>
          </w:tcPr>
          <w:p>
            <w:pPr>
              <w:pStyle w:val="0"/>
              <w:jc w:val="both"/>
            </w:pPr>
            <w:r>
              <w:rPr>
                <w:sz w:val="20"/>
              </w:rPr>
              <w:t xml:space="preserve">Отделений выездной патронажной паллиативной медицинской помощи, в том числе:</w:t>
            </w:r>
          </w:p>
        </w:tc>
        <w:tc>
          <w:tcPr>
            <w:tcW w:w="1955" w:type="dxa"/>
          </w:tcPr>
          <w:p>
            <w:pPr>
              <w:pStyle w:val="0"/>
              <w:jc w:val="center"/>
            </w:pPr>
            <w:r>
              <w:rPr>
                <w:sz w:val="20"/>
              </w:rPr>
              <w:t xml:space="preserve">0</w:t>
            </w:r>
          </w:p>
        </w:tc>
        <w:tc>
          <w:tcPr>
            <w:tcW w:w="1955" w:type="dxa"/>
          </w:tcPr>
          <w:p>
            <w:pPr>
              <w:pStyle w:val="0"/>
              <w:jc w:val="center"/>
            </w:pPr>
            <w:r>
              <w:rPr>
                <w:sz w:val="20"/>
              </w:rPr>
              <w:t xml:space="preserve">1</w:t>
            </w:r>
          </w:p>
        </w:tc>
      </w:tr>
      <w:tr>
        <w:tc>
          <w:tcPr>
            <w:tcW w:w="5159" w:type="dxa"/>
          </w:tcPr>
          <w:p>
            <w:pPr>
              <w:pStyle w:val="0"/>
              <w:jc w:val="both"/>
            </w:pPr>
            <w:r>
              <w:rPr>
                <w:sz w:val="20"/>
              </w:rPr>
              <w:t xml:space="preserve">Выездных патронажных бригад</w:t>
            </w:r>
          </w:p>
        </w:tc>
        <w:tc>
          <w:tcPr>
            <w:tcW w:w="1955" w:type="dxa"/>
          </w:tcPr>
          <w:p>
            <w:pPr>
              <w:pStyle w:val="0"/>
              <w:jc w:val="center"/>
            </w:pPr>
            <w:r>
              <w:rPr>
                <w:sz w:val="20"/>
              </w:rPr>
              <w:t xml:space="preserve">0</w:t>
            </w:r>
          </w:p>
        </w:tc>
        <w:tc>
          <w:tcPr>
            <w:tcW w:w="1955" w:type="dxa"/>
          </w:tcPr>
          <w:p>
            <w:pPr>
              <w:pStyle w:val="0"/>
              <w:jc w:val="center"/>
            </w:pPr>
            <w:r>
              <w:rPr>
                <w:sz w:val="20"/>
              </w:rPr>
              <w:t xml:space="preserve">2</w:t>
            </w:r>
          </w:p>
        </w:tc>
      </w:tr>
      <w:tr>
        <w:tc>
          <w:tcPr>
            <w:tcW w:w="5159" w:type="dxa"/>
          </w:tcPr>
          <w:p>
            <w:pPr>
              <w:pStyle w:val="0"/>
              <w:jc w:val="both"/>
            </w:pPr>
            <w:r>
              <w:rPr>
                <w:sz w:val="20"/>
              </w:rPr>
              <w:t xml:space="preserve">Врачей по ПМП, чел.</w:t>
            </w:r>
          </w:p>
        </w:tc>
        <w:tc>
          <w:tcPr>
            <w:tcW w:w="1955" w:type="dxa"/>
          </w:tcPr>
          <w:p>
            <w:pPr>
              <w:pStyle w:val="0"/>
              <w:jc w:val="center"/>
            </w:pPr>
            <w:r>
              <w:rPr>
                <w:sz w:val="20"/>
              </w:rPr>
              <w:t xml:space="preserve">0</w:t>
            </w:r>
          </w:p>
        </w:tc>
        <w:tc>
          <w:tcPr>
            <w:tcW w:w="1955" w:type="dxa"/>
          </w:tcPr>
          <w:p>
            <w:pPr>
              <w:pStyle w:val="0"/>
              <w:jc w:val="center"/>
            </w:pPr>
            <w:r>
              <w:rPr>
                <w:sz w:val="20"/>
              </w:rPr>
              <w:t xml:space="preserve">2</w:t>
            </w:r>
          </w:p>
        </w:tc>
      </w:tr>
      <w:tr>
        <w:tc>
          <w:tcPr>
            <w:tcW w:w="5159" w:type="dxa"/>
          </w:tcPr>
          <w:p>
            <w:pPr>
              <w:pStyle w:val="0"/>
              <w:jc w:val="both"/>
            </w:pPr>
            <w:r>
              <w:rPr>
                <w:sz w:val="20"/>
              </w:rPr>
              <w:t xml:space="preserve">Среднего медицинского персонала, чел.</w:t>
            </w:r>
          </w:p>
        </w:tc>
        <w:tc>
          <w:tcPr>
            <w:tcW w:w="1955" w:type="dxa"/>
          </w:tcPr>
          <w:p>
            <w:pPr>
              <w:pStyle w:val="0"/>
              <w:jc w:val="center"/>
            </w:pPr>
            <w:r>
              <w:rPr>
                <w:sz w:val="20"/>
              </w:rPr>
              <w:t xml:space="preserve">0</w:t>
            </w:r>
          </w:p>
        </w:tc>
        <w:tc>
          <w:tcPr>
            <w:tcW w:w="1955" w:type="dxa"/>
          </w:tcPr>
          <w:p>
            <w:pPr>
              <w:pStyle w:val="0"/>
              <w:jc w:val="center"/>
            </w:pPr>
            <w:r>
              <w:rPr>
                <w:sz w:val="20"/>
              </w:rPr>
              <w:t xml:space="preserve">4</w:t>
            </w:r>
          </w:p>
        </w:tc>
      </w:tr>
      <w:tr>
        <w:tc>
          <w:tcPr>
            <w:tcW w:w="5159" w:type="dxa"/>
          </w:tcPr>
          <w:p>
            <w:pPr>
              <w:pStyle w:val="0"/>
              <w:jc w:val="both"/>
            </w:pPr>
            <w:r>
              <w:rPr>
                <w:sz w:val="20"/>
              </w:rPr>
              <w:t xml:space="preserve">Младшего медицинского персонала, чел.</w:t>
            </w:r>
          </w:p>
        </w:tc>
        <w:tc>
          <w:tcPr>
            <w:tcW w:w="1955" w:type="dxa"/>
          </w:tcPr>
          <w:p>
            <w:pPr>
              <w:pStyle w:val="0"/>
              <w:jc w:val="center"/>
            </w:pPr>
            <w:r>
              <w:rPr>
                <w:sz w:val="20"/>
              </w:rPr>
              <w:t xml:space="preserve">0</w:t>
            </w:r>
          </w:p>
        </w:tc>
        <w:tc>
          <w:tcPr>
            <w:tcW w:w="1955" w:type="dxa"/>
          </w:tcPr>
          <w:p>
            <w:pPr>
              <w:pStyle w:val="0"/>
              <w:jc w:val="center"/>
            </w:pPr>
            <w:r>
              <w:rPr>
                <w:sz w:val="20"/>
              </w:rPr>
              <w:t xml:space="preserve">0</w:t>
            </w:r>
          </w:p>
        </w:tc>
      </w:tr>
    </w:tbl>
    <w:p>
      <w:pPr>
        <w:pStyle w:val="0"/>
      </w:pPr>
      <w:r>
        <w:rPr>
          <w:sz w:val="20"/>
        </w:rPr>
      </w:r>
    </w:p>
    <w:p>
      <w:pPr>
        <w:pStyle w:val="2"/>
        <w:outlineLvl w:val="2"/>
        <w:jc w:val="center"/>
      </w:pPr>
      <w:r>
        <w:rPr>
          <w:sz w:val="20"/>
        </w:rPr>
        <w:t xml:space="preserve">Система учета и мониторинга пациентов, нуждающихся</w:t>
      </w:r>
    </w:p>
    <w:p>
      <w:pPr>
        <w:pStyle w:val="2"/>
        <w:jc w:val="center"/>
      </w:pPr>
      <w:r>
        <w:rPr>
          <w:sz w:val="20"/>
        </w:rPr>
        <w:t xml:space="preserve">в паллиативной медицинской помощи</w:t>
      </w:r>
    </w:p>
    <w:p>
      <w:pPr>
        <w:pStyle w:val="0"/>
        <w:jc w:val="center"/>
      </w:pPr>
      <w:r>
        <w:rPr>
          <w:sz w:val="20"/>
        </w:rPr>
      </w:r>
    </w:p>
    <w:p>
      <w:pPr>
        <w:pStyle w:val="0"/>
        <w:ind w:firstLine="540"/>
        <w:jc w:val="both"/>
      </w:pPr>
      <w:r>
        <w:rPr>
          <w:sz w:val="20"/>
        </w:rPr>
        <w:t xml:space="preserve">По состоянию на момент утверждения настоящей Программы в городе Севастополе не сформирована единая система учета и мониторинга взрослых и детей, признанных нуждающимися в оказании паллиативной медицинской помощи. Информация о пациентах, нуждающихся в ПМП, консолидируется в объеме требований статистической отчетности Минздрава России, которого недостаточно для принятия обоснованных управленческих решений в целях развития ПМП.</w:t>
      </w:r>
    </w:p>
    <w:p>
      <w:pPr>
        <w:pStyle w:val="0"/>
        <w:spacing w:before="200" w:line-rule="auto"/>
        <w:ind w:firstLine="540"/>
        <w:jc w:val="both"/>
      </w:pPr>
      <w:r>
        <w:rPr>
          <w:sz w:val="20"/>
        </w:rPr>
        <w:t xml:space="preserve">В отсутствие системы учета и мониторинга определить объективное количество человек, нуждающихся и получивших ПМП, а также обеспечить эффективное распределение кадровых, материально-технических, финансовых и иных ресурсов в целях качественного развития ПМП не представляется возможным.</w:t>
      </w:r>
    </w:p>
    <w:p>
      <w:pPr>
        <w:pStyle w:val="0"/>
        <w:spacing w:before="200" w:line-rule="auto"/>
        <w:ind w:firstLine="540"/>
        <w:jc w:val="both"/>
      </w:pPr>
      <w:r>
        <w:rPr>
          <w:sz w:val="20"/>
        </w:rPr>
        <w:t xml:space="preserve">Построение и совершенствование системы учета и мониторинга взрослых и детей, нуждающихся в ПМП, в городе Севастополе в рамках настоящей Программы будет реализовано в два этапа. В рамках первого этапа в срок до 31.12.2021 планируется:</w:t>
      </w:r>
    </w:p>
    <w:p>
      <w:pPr>
        <w:pStyle w:val="0"/>
        <w:spacing w:before="200" w:line-rule="auto"/>
        <w:ind w:firstLine="540"/>
        <w:jc w:val="both"/>
      </w:pPr>
      <w:r>
        <w:rPr>
          <w:sz w:val="20"/>
        </w:rPr>
        <w:t xml:space="preserve">1) создать и обеспечить бесперебойную работу регистра пациентов, нуждающихся в ПМП, в медицинских организациях города Севастополя. Регистр будет включать не только базовую информацию о пациенте (возраст, диагноз, история назначений), но и информацию о его близких, потребности семьи в социальных услугах и психологической помощи;</w:t>
      </w:r>
    </w:p>
    <w:p>
      <w:pPr>
        <w:pStyle w:val="0"/>
        <w:spacing w:before="200" w:line-rule="auto"/>
        <w:ind w:firstLine="540"/>
        <w:jc w:val="both"/>
      </w:pPr>
      <w:r>
        <w:rPr>
          <w:sz w:val="20"/>
        </w:rPr>
        <w:t xml:space="preserve">2) обеспечить сбор статистических данных по всем медицинским организациям системы здравоохранения в городе Севастополе, задействованным в оказании ПМП, в том числе (о количестве уникальных пациентов, получивших ПМП за отчетный период (в привязке к месту жительства пациента и месту получения им ПМП), о диагнозах, требующих оказания ПМП, о продолжительности получения ПМП пациентом и т.д.);</w:t>
      </w:r>
    </w:p>
    <w:p>
      <w:pPr>
        <w:pStyle w:val="0"/>
        <w:spacing w:before="200" w:line-rule="auto"/>
        <w:ind w:firstLine="540"/>
        <w:jc w:val="both"/>
      </w:pPr>
      <w:r>
        <w:rPr>
          <w:sz w:val="20"/>
        </w:rPr>
        <w:t xml:space="preserve">3) внедрить алгоритм выявления пациентов, нуждающихся в ПМП, персоналом медицинских организаций, не оказывающих ПМП, с учетом опыта ВОЗ в части нозологий взрослых и детей, которые часто требуют оказания паллиативной медицинской помощи, и функциональных шкал для оценки нуждаемости пациентов в паллиативной медицинской помощи (шкала PPS - Palliative Performance Scale - и др.);</w:t>
      </w:r>
    </w:p>
    <w:p>
      <w:pPr>
        <w:pStyle w:val="0"/>
        <w:spacing w:before="200" w:line-rule="auto"/>
        <w:ind w:firstLine="540"/>
        <w:jc w:val="both"/>
      </w:pPr>
      <w:r>
        <w:rPr>
          <w:sz w:val="20"/>
        </w:rPr>
        <w:t xml:space="preserve">4) реализовать мероприятия, направленные на своевременное выявление пациентов, нуждающихся в ПМП, путем повышения информированности медицинских работников, оказывающих первичную медико-санитарную помощь, о целях, задачах, возможности оказания ПМП в городе Севастополе. В первую очередь необходимо повысить уровень информированности фельдшеров и врачей общей практики, что окажет существенное содействие в оценке потребности в ПМП и создании прозрачной системы учета.</w:t>
      </w:r>
    </w:p>
    <w:p>
      <w:pPr>
        <w:pStyle w:val="0"/>
        <w:spacing w:before="200" w:line-rule="auto"/>
        <w:ind w:firstLine="540"/>
        <w:jc w:val="both"/>
      </w:pPr>
      <w:r>
        <w:rPr>
          <w:sz w:val="20"/>
        </w:rPr>
        <w:t xml:space="preserve">В рамках второго этапа в срок до 31.12.2024 планируется:</w:t>
      </w:r>
    </w:p>
    <w:p>
      <w:pPr>
        <w:pStyle w:val="0"/>
        <w:spacing w:before="200" w:line-rule="auto"/>
        <w:ind w:firstLine="540"/>
        <w:jc w:val="both"/>
      </w:pPr>
      <w:r>
        <w:rPr>
          <w:sz w:val="20"/>
        </w:rPr>
        <w:t xml:space="preserve">1) совершенствовать систему учета пациентов, нуждающихся в паллиативной медицинской помощи, за счет автоматизации оказания паллиативной медицинской помощи, централизации амбулаторной паллиативной медицинской помощи, организации горизонтального взаимодействия медицинских организаций, оказывающих ПМП в стационарных условиях;</w:t>
      </w:r>
    </w:p>
    <w:p>
      <w:pPr>
        <w:pStyle w:val="0"/>
        <w:spacing w:before="200" w:line-rule="auto"/>
        <w:ind w:firstLine="540"/>
        <w:jc w:val="both"/>
      </w:pPr>
      <w:r>
        <w:rPr>
          <w:sz w:val="20"/>
        </w:rPr>
        <w:t xml:space="preserve">2) обеспечить оперативный сбор и обобщение информации о наличии свободных мест для оперативности госпитализации пациентов, нуждающихся в оказании паллиативной медицинской помощи в стационарных условиях;</w:t>
      </w:r>
    </w:p>
    <w:p>
      <w:pPr>
        <w:pStyle w:val="0"/>
        <w:spacing w:before="200" w:line-rule="auto"/>
        <w:ind w:firstLine="540"/>
        <w:jc w:val="both"/>
      </w:pPr>
      <w:r>
        <w:rPr>
          <w:sz w:val="20"/>
        </w:rPr>
        <w:t xml:space="preserve">3) обеспечить, с учетом финансовых возможностей города Севастополя, электронное взаимодействие системы учета пациентов, признанных нуждающимися в оказании паллиативной медицинской помощи, при оказании им государственных и муниципальных услуг, с системами учета лиц, признанных инвалидами, а также лиц, получающих социальные услуги, технические средства реабилитации;</w:t>
      </w:r>
    </w:p>
    <w:p>
      <w:pPr>
        <w:pStyle w:val="0"/>
        <w:spacing w:before="200" w:line-rule="auto"/>
        <w:ind w:firstLine="540"/>
        <w:jc w:val="both"/>
      </w:pPr>
      <w:r>
        <w:rPr>
          <w:sz w:val="20"/>
        </w:rPr>
        <w:t xml:space="preserve">4) продолжить реализацию комплекса мероприятий, направленных на своевременное выявление пациентов, нуждающихся в ПМП:</w:t>
      </w:r>
    </w:p>
    <w:p>
      <w:pPr>
        <w:pStyle w:val="0"/>
        <w:spacing w:before="200" w:line-rule="auto"/>
        <w:ind w:firstLine="540"/>
        <w:jc w:val="both"/>
      </w:pPr>
      <w:r>
        <w:rPr>
          <w:sz w:val="20"/>
        </w:rPr>
        <w:t xml:space="preserve">- информирование населения о возможностях и целях оказания ПМП;</w:t>
      </w:r>
    </w:p>
    <w:p>
      <w:pPr>
        <w:pStyle w:val="0"/>
        <w:spacing w:before="200" w:line-rule="auto"/>
        <w:ind w:firstLine="540"/>
        <w:jc w:val="both"/>
      </w:pPr>
      <w:r>
        <w:rPr>
          <w:sz w:val="20"/>
        </w:rPr>
        <w:t xml:space="preserve">- повышение информированности медицинских работников, оказывающих первичную медико-санитарную помощь, о целях, задачах, возможности оказания ПМП в городе Севастополе.</w:t>
      </w:r>
    </w:p>
    <w:p>
      <w:pPr>
        <w:pStyle w:val="0"/>
        <w:spacing w:before="200" w:line-rule="auto"/>
        <w:ind w:firstLine="540"/>
        <w:jc w:val="both"/>
      </w:pPr>
      <w:r>
        <w:rPr>
          <w:sz w:val="20"/>
        </w:rPr>
        <w:t xml:space="preserve">Принимая во внимание масштабность указанных задач, для эффективной реализации этапов создания прозрачной системы учета и мониторинга пациентов, нуждающихся в ПМП, в городе Севастополе будет создан Центр координации предоставления помощи и поддержки пациентов, нуждающихся в паллиативной медицинской помощи (далее - ЦК ПМП), который обеспечит непрерывность, преемственность, своевременность оказания паллиативной медицинской помощи (более подробная информация представлена в отдельном разделе Программы).</w:t>
      </w:r>
    </w:p>
    <w:p>
      <w:pPr>
        <w:pStyle w:val="0"/>
        <w:spacing w:before="200" w:line-rule="auto"/>
        <w:ind w:firstLine="540"/>
        <w:jc w:val="both"/>
      </w:pPr>
      <w:r>
        <w:rPr>
          <w:sz w:val="20"/>
        </w:rPr>
        <w:t xml:space="preserve">В целях эффективной реализации настоящей Программы в городе Севастополе начиная с 2021 года должен быть организован статистический учет следующих данных:</w:t>
      </w:r>
    </w:p>
    <w:p>
      <w:pPr>
        <w:pStyle w:val="0"/>
        <w:spacing w:before="200" w:line-rule="auto"/>
        <w:ind w:firstLine="540"/>
        <w:jc w:val="both"/>
      </w:pPr>
      <w:r>
        <w:rPr>
          <w:sz w:val="20"/>
        </w:rPr>
        <w:t xml:space="preserve">- количество уникальных пациентов, получивших ПМП в стационарных условиях/в амбулаторных, взрослых и детей;</w:t>
      </w:r>
    </w:p>
    <w:p>
      <w:pPr>
        <w:pStyle w:val="0"/>
        <w:spacing w:before="200" w:line-rule="auto"/>
        <w:ind w:firstLine="540"/>
        <w:jc w:val="both"/>
      </w:pPr>
      <w:r>
        <w:rPr>
          <w:sz w:val="20"/>
        </w:rPr>
        <w:t xml:space="preserve">- количество уникальных пациентов, нуждающихся в оказании ПМП, на одного врача по ПМП в год;</w:t>
      </w:r>
    </w:p>
    <w:p>
      <w:pPr>
        <w:pStyle w:val="0"/>
        <w:spacing w:before="200" w:line-rule="auto"/>
        <w:ind w:firstLine="540"/>
        <w:jc w:val="both"/>
      </w:pPr>
      <w:r>
        <w:rPr>
          <w:sz w:val="20"/>
        </w:rPr>
        <w:t xml:space="preserve">- среднее количество визитов выездной патронажной бригады в день;</w:t>
      </w:r>
    </w:p>
    <w:p>
      <w:pPr>
        <w:pStyle w:val="0"/>
        <w:spacing w:before="200" w:line-rule="auto"/>
        <w:ind w:firstLine="540"/>
        <w:jc w:val="both"/>
      </w:pPr>
      <w:r>
        <w:rPr>
          <w:sz w:val="20"/>
        </w:rPr>
        <w:t xml:space="preserve">- количество пациентов, нуждающихся в оказании ПМП, не признанных инвалидами в соответствии со сроками, установленными </w:t>
      </w:r>
      <w:hyperlink w:history="0" r:id="rId755"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ПМП;</w:t>
      </w:r>
    </w:p>
    <w:p>
      <w:pPr>
        <w:pStyle w:val="0"/>
        <w:spacing w:before="200" w:line-rule="auto"/>
        <w:ind w:firstLine="540"/>
        <w:jc w:val="both"/>
      </w:pPr>
      <w:r>
        <w:rPr>
          <w:sz w:val="20"/>
        </w:rPr>
        <w:t xml:space="preserve">- доля пациентов, нуждающихся в оказании ПМП, у которых ИПРА соответствует степени инвалидизации;</w:t>
      </w:r>
    </w:p>
    <w:p>
      <w:pPr>
        <w:pStyle w:val="0"/>
        <w:spacing w:before="200" w:line-rule="auto"/>
        <w:ind w:firstLine="540"/>
        <w:jc w:val="both"/>
      </w:pPr>
      <w:r>
        <w:rPr>
          <w:sz w:val="20"/>
        </w:rPr>
        <w:t xml:space="preserve">- количество проживающих в отделениях милосердия организаций соцобслуживания, которым назначены обезболивающие лекарственные препараты, в том числе наркотические и психотропные лекарственные препараты;</w:t>
      </w:r>
    </w:p>
    <w:p>
      <w:pPr>
        <w:pStyle w:val="0"/>
        <w:spacing w:before="200" w:line-rule="auto"/>
        <w:ind w:firstLine="540"/>
        <w:jc w:val="both"/>
      </w:pPr>
      <w:r>
        <w:rPr>
          <w:sz w:val="20"/>
        </w:rPr>
        <w:t xml:space="preserve">- иные показатели, которые будут необходимы для всестороннего функционирования оказания ПМП в городе Севастополе.</w:t>
      </w:r>
    </w:p>
    <w:p>
      <w:pPr>
        <w:pStyle w:val="0"/>
        <w:spacing w:before="200" w:line-rule="auto"/>
        <w:ind w:firstLine="540"/>
        <w:jc w:val="both"/>
      </w:pPr>
      <w:r>
        <w:rPr>
          <w:sz w:val="20"/>
        </w:rPr>
        <w:t xml:space="preserve">Реализация вышеуказанных мер в рамках настоящей Программы позволит не только обеспечить город Севастополь объективной информацией о пациентах, нуждающихся в паллиативной медицинской помощи, но и позволит принять всесторонние меры в целях повышения качества оказания ПМП в городе Севастополе.</w:t>
      </w:r>
    </w:p>
    <w:p>
      <w:pPr>
        <w:pStyle w:val="0"/>
      </w:pPr>
      <w:r>
        <w:rPr>
          <w:sz w:val="20"/>
        </w:rPr>
      </w:r>
    </w:p>
    <w:p>
      <w:pPr>
        <w:pStyle w:val="2"/>
        <w:outlineLvl w:val="2"/>
        <w:jc w:val="center"/>
      </w:pPr>
      <w:r>
        <w:rPr>
          <w:sz w:val="20"/>
        </w:rPr>
        <w:t xml:space="preserve">Центр координации предоставления помощи и поддержки</w:t>
      </w:r>
    </w:p>
    <w:p>
      <w:pPr>
        <w:pStyle w:val="2"/>
        <w:jc w:val="center"/>
      </w:pPr>
      <w:r>
        <w:rPr>
          <w:sz w:val="20"/>
        </w:rPr>
        <w:t xml:space="preserve">пациентов, нуждающихся в паллиативной медицинской помощи</w:t>
      </w:r>
    </w:p>
    <w:p>
      <w:pPr>
        <w:pStyle w:val="0"/>
        <w:jc w:val="center"/>
      </w:pPr>
      <w:r>
        <w:rPr>
          <w:sz w:val="20"/>
        </w:rPr>
      </w:r>
    </w:p>
    <w:p>
      <w:pPr>
        <w:pStyle w:val="0"/>
        <w:ind w:firstLine="540"/>
        <w:jc w:val="both"/>
      </w:pPr>
      <w:r>
        <w:rPr>
          <w:sz w:val="20"/>
        </w:rPr>
        <w:t xml:space="preserve">Центр координации предоставления помощи и поддержки пациентов, нуждающихся в паллиативной медицинской помощи, будет создан по решению Департамента здравоохранения города Севастополя и открыт в 2020 году для координации деятельности медицинских организаций, оказывающих паллиативную медицинскую помощь, медицинских организаций, оказывающих первичную медико-санитарную, специализированную, в том числе высокотехнологическую, скорую, в том числе скорую специализированную, медицинскую помощь в целях обеспечения своевременности оказания, непрерывности, преемственности оказания ПМП.</w:t>
      </w:r>
    </w:p>
    <w:p>
      <w:pPr>
        <w:pStyle w:val="0"/>
        <w:spacing w:before="200" w:line-rule="auto"/>
        <w:ind w:firstLine="540"/>
        <w:jc w:val="both"/>
      </w:pPr>
      <w:r>
        <w:rPr>
          <w:sz w:val="20"/>
        </w:rPr>
        <w:t xml:space="preserve">В этих целях в течение 2020 года будет определено, на базе какой медицинской организации или иной организации будет расположен ЦК ПМП, проведены организационные мероприятия (подбор персонала, утверждение регламентирующих документов и т.п.), информирование о работе ЦК ПМП населения города Севастополя и профессионального сообщества.</w:t>
      </w:r>
    </w:p>
    <w:p>
      <w:pPr>
        <w:pStyle w:val="0"/>
        <w:spacing w:before="200" w:line-rule="auto"/>
        <w:ind w:firstLine="540"/>
        <w:jc w:val="both"/>
      </w:pPr>
      <w:r>
        <w:rPr>
          <w:sz w:val="20"/>
        </w:rPr>
        <w:t xml:space="preserve">Цели ЦК ПМП:</w:t>
      </w:r>
    </w:p>
    <w:p>
      <w:pPr>
        <w:pStyle w:val="0"/>
        <w:spacing w:before="200" w:line-rule="auto"/>
        <w:ind w:firstLine="540"/>
        <w:jc w:val="both"/>
      </w:pPr>
      <w:r>
        <w:rPr>
          <w:sz w:val="20"/>
        </w:rPr>
        <w:t xml:space="preserve">1) создание службы "единого окна" в городе Севастополе для всех нуждающихся в паллиативной медицинской помощи, а также иных лиц, задействованных в оказании такой помощи;</w:t>
      </w:r>
    </w:p>
    <w:p>
      <w:pPr>
        <w:pStyle w:val="0"/>
        <w:spacing w:before="200" w:line-rule="auto"/>
        <w:ind w:firstLine="540"/>
        <w:jc w:val="both"/>
      </w:pPr>
      <w:r>
        <w:rPr>
          <w:sz w:val="20"/>
        </w:rPr>
        <w:t xml:space="preserve">2) организация взаимодействия между медицинскими организациями, оказывающими паллиативную медицинскую помощь пациентам;</w:t>
      </w:r>
    </w:p>
    <w:p>
      <w:pPr>
        <w:pStyle w:val="0"/>
        <w:spacing w:before="200" w:line-rule="auto"/>
        <w:ind w:firstLine="540"/>
        <w:jc w:val="both"/>
      </w:pPr>
      <w:r>
        <w:rPr>
          <w:sz w:val="20"/>
        </w:rPr>
        <w:t xml:space="preserve">3) формирование непрерывной системы оказания паллиативной медицинской помощи.</w:t>
      </w:r>
    </w:p>
    <w:p>
      <w:pPr>
        <w:pStyle w:val="0"/>
        <w:spacing w:before="200" w:line-rule="auto"/>
        <w:ind w:firstLine="540"/>
        <w:jc w:val="both"/>
      </w:pPr>
      <w:r>
        <w:rPr>
          <w:sz w:val="20"/>
        </w:rPr>
        <w:t xml:space="preserve">Функции ЦК ПМП:</w:t>
      </w:r>
    </w:p>
    <w:p>
      <w:pPr>
        <w:pStyle w:val="0"/>
        <w:spacing w:before="200" w:line-rule="auto"/>
        <w:ind w:firstLine="540"/>
        <w:jc w:val="both"/>
      </w:pPr>
      <w:r>
        <w:rPr>
          <w:sz w:val="20"/>
        </w:rPr>
        <w:t xml:space="preserve">- первичный сбор информации о пациентах, нуждающихся в оказании ПМП;</w:t>
      </w:r>
    </w:p>
    <w:p>
      <w:pPr>
        <w:pStyle w:val="0"/>
        <w:spacing w:before="200" w:line-rule="auto"/>
        <w:ind w:firstLine="540"/>
        <w:jc w:val="both"/>
      </w:pPr>
      <w:r>
        <w:rPr>
          <w:sz w:val="20"/>
        </w:rPr>
        <w:t xml:space="preserve">- осуществление первичной маршрутизации (прикрепления) к организации/филиалу/отделению, оказывающему паллиативную медицинскую помощь;</w:t>
      </w:r>
    </w:p>
    <w:p>
      <w:pPr>
        <w:pStyle w:val="0"/>
        <w:spacing w:before="200" w:line-rule="auto"/>
        <w:ind w:firstLine="540"/>
        <w:jc w:val="both"/>
      </w:pPr>
      <w:r>
        <w:rPr>
          <w:sz w:val="20"/>
        </w:rPr>
        <w:t xml:space="preserve">- ведение единого регистра пациентов, имеющих показания к оказанию паллиативной медицинской помощи;</w:t>
      </w:r>
    </w:p>
    <w:p>
      <w:pPr>
        <w:pStyle w:val="0"/>
        <w:spacing w:before="200" w:line-rule="auto"/>
        <w:ind w:firstLine="540"/>
        <w:jc w:val="both"/>
      </w:pPr>
      <w:r>
        <w:rPr>
          <w:sz w:val="20"/>
        </w:rPr>
        <w:t xml:space="preserve">- формирование отчетов и анализ информации о наличии свободных мест для госпитализации пациентов, нуждающихся в ПМП;</w:t>
      </w:r>
    </w:p>
    <w:p>
      <w:pPr>
        <w:pStyle w:val="0"/>
        <w:spacing w:before="200" w:line-rule="auto"/>
        <w:ind w:firstLine="540"/>
        <w:jc w:val="both"/>
      </w:pPr>
      <w:r>
        <w:rPr>
          <w:sz w:val="20"/>
        </w:rPr>
        <w:t xml:space="preserve">- контроль сроков первичного реагирования на обращение;</w:t>
      </w:r>
    </w:p>
    <w:p>
      <w:pPr>
        <w:pStyle w:val="0"/>
        <w:spacing w:before="200" w:line-rule="auto"/>
        <w:ind w:firstLine="540"/>
        <w:jc w:val="both"/>
      </w:pPr>
      <w:r>
        <w:rPr>
          <w:sz w:val="20"/>
        </w:rPr>
        <w:t xml:space="preserve">- организация транспортировки пациентов, имеющих показания к паллиативной медицинской помощи (по необходимости);</w:t>
      </w:r>
    </w:p>
    <w:p>
      <w:pPr>
        <w:pStyle w:val="0"/>
        <w:spacing w:before="200" w:line-rule="auto"/>
        <w:ind w:firstLine="540"/>
        <w:jc w:val="both"/>
      </w:pPr>
      <w:r>
        <w:rPr>
          <w:sz w:val="20"/>
        </w:rPr>
        <w:t xml:space="preserve">- контроль качества оказания ПМП;</w:t>
      </w:r>
    </w:p>
    <w:p>
      <w:pPr>
        <w:pStyle w:val="0"/>
        <w:spacing w:before="200" w:line-rule="auto"/>
        <w:ind w:firstLine="540"/>
        <w:jc w:val="both"/>
      </w:pPr>
      <w:r>
        <w:rPr>
          <w:sz w:val="20"/>
        </w:rPr>
        <w:t xml:space="preserve">- организация взаимодействия с организациями социального обслуживания.</w:t>
      </w:r>
    </w:p>
    <w:p>
      <w:pPr>
        <w:pStyle w:val="0"/>
        <w:spacing w:before="200" w:line-rule="auto"/>
        <w:ind w:firstLine="540"/>
        <w:jc w:val="both"/>
      </w:pPr>
      <w:r>
        <w:rPr>
          <w:sz w:val="20"/>
        </w:rPr>
        <w:t xml:space="preserve">Ожидаемые результаты работы КЦ к 2025 году:</w:t>
      </w:r>
    </w:p>
    <w:p>
      <w:pPr>
        <w:pStyle w:val="0"/>
        <w:spacing w:before="200" w:line-rule="auto"/>
        <w:ind w:firstLine="540"/>
        <w:jc w:val="both"/>
      </w:pPr>
      <w:r>
        <w:rPr>
          <w:sz w:val="20"/>
        </w:rPr>
        <w:t xml:space="preserve">- сформирован единый регистр пациентов, нуждающихся в ПМП;</w:t>
      </w:r>
    </w:p>
    <w:p>
      <w:pPr>
        <w:pStyle w:val="0"/>
        <w:spacing w:before="200" w:line-rule="auto"/>
        <w:ind w:firstLine="540"/>
        <w:jc w:val="both"/>
      </w:pPr>
      <w:r>
        <w:rPr>
          <w:sz w:val="20"/>
        </w:rPr>
        <w:t xml:space="preserve">- доступная помощь пациентам и родственникам по вопросам ПМП в режиме 24/7/365;</w:t>
      </w:r>
    </w:p>
    <w:p>
      <w:pPr>
        <w:pStyle w:val="0"/>
        <w:spacing w:before="200" w:line-rule="auto"/>
        <w:ind w:firstLine="540"/>
        <w:jc w:val="both"/>
      </w:pPr>
      <w:r>
        <w:rPr>
          <w:sz w:val="20"/>
        </w:rPr>
        <w:t xml:space="preserve">- выстроенная взаимосвязь с медицинскими организациями, оказывающими паллиативную медицинскую помощь: отчетность передается полно и в установленные сроки, все пациенты (100%), получающие паллиативную медицинскую помощь в стационарах и поликлиниках, внесены в единый регистр пациентов, нуждающихся в ПМП;</w:t>
      </w:r>
    </w:p>
    <w:p>
      <w:pPr>
        <w:pStyle w:val="0"/>
        <w:spacing w:before="200" w:line-rule="auto"/>
        <w:ind w:firstLine="540"/>
        <w:jc w:val="both"/>
      </w:pPr>
      <w:r>
        <w:rPr>
          <w:sz w:val="20"/>
        </w:rPr>
        <w:t xml:space="preserve">- сформирована логистика системы транспортировки пациентов;</w:t>
      </w:r>
    </w:p>
    <w:p>
      <w:pPr>
        <w:pStyle w:val="0"/>
        <w:spacing w:before="200" w:line-rule="auto"/>
        <w:ind w:firstLine="540"/>
        <w:jc w:val="both"/>
      </w:pPr>
      <w:r>
        <w:rPr>
          <w:sz w:val="20"/>
        </w:rPr>
        <w:t xml:space="preserve">- обеспечена прозрачная система отчетности процессов.</w:t>
      </w:r>
    </w:p>
    <w:p>
      <w:pPr>
        <w:pStyle w:val="0"/>
      </w:pPr>
      <w:r>
        <w:rPr>
          <w:sz w:val="20"/>
        </w:rPr>
      </w:r>
    </w:p>
    <w:p>
      <w:pPr>
        <w:pStyle w:val="2"/>
        <w:outlineLvl w:val="2"/>
        <w:jc w:val="center"/>
      </w:pPr>
      <w:r>
        <w:rPr>
          <w:sz w:val="20"/>
        </w:rPr>
        <w:t xml:space="preserve">Обучение персонала, задействованного в оказании паллиативной</w:t>
      </w:r>
    </w:p>
    <w:p>
      <w:pPr>
        <w:pStyle w:val="2"/>
        <w:jc w:val="center"/>
      </w:pPr>
      <w:r>
        <w:rPr>
          <w:sz w:val="20"/>
        </w:rPr>
        <w:t xml:space="preserve">медицинской помощи</w:t>
      </w:r>
    </w:p>
    <w:p>
      <w:pPr>
        <w:pStyle w:val="0"/>
        <w:jc w:val="center"/>
      </w:pPr>
      <w:r>
        <w:rPr>
          <w:sz w:val="20"/>
        </w:rPr>
      </w:r>
    </w:p>
    <w:p>
      <w:pPr>
        <w:pStyle w:val="0"/>
        <w:ind w:firstLine="540"/>
        <w:jc w:val="both"/>
      </w:pPr>
      <w:r>
        <w:rPr>
          <w:sz w:val="20"/>
        </w:rPr>
        <w:t xml:space="preserve">Ключевой задачей паллиативной медицинской помощи является не лечение болезни, а облегчение физических и психологических страданий больного, обеспечение качества жизни человека. Это означает, что медицинские работники в сфере ПМП должны обладать определенными медицинскими знаниями и навыками, а также владеть основами коммуникации с тяжелобольными людьми и их близкими.</w:t>
      </w:r>
    </w:p>
    <w:p>
      <w:pPr>
        <w:pStyle w:val="0"/>
        <w:spacing w:before="200" w:line-rule="auto"/>
        <w:ind w:firstLine="540"/>
        <w:jc w:val="both"/>
      </w:pPr>
      <w:r>
        <w:rPr>
          <w:sz w:val="20"/>
        </w:rPr>
        <w:t xml:space="preserve">На законодательном уровне Российской Федерации подчеркнут комплексный характер паллиативной медицинской помощи, в которую входит не только медицинская, но и психосоциальная компонента. На уровне программы государственных гарантий бесплатного оказания гражданам медицинской помощи &lt;16&gt; установлено, что получателем психологической, психотерапевтической помощи являются члены семьи умирающего пациента, и эту помощь они должны получать не только во время болезни пациента, но и после его смерти.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w:t>
      </w:r>
      <w:hyperlink w:history="0" r:id="rId756" w:tooltip="Постановление Правительства РФ от 10.12.2018 N 1506 (ред. от 12.04.2019) &quot;О Программе государственных гарантий бесплатного оказания гражданам медицинской помощи на 2019 год и на плановый период 2020 и 2021 годов&quot; {КонсультантПлюс}">
        <w:r>
          <w:rPr>
            <w:sz w:val="20"/>
            <w:color w:val="0000ff"/>
          </w:rPr>
          <w:t xml:space="preserve">Постановление</w:t>
        </w:r>
      </w:hyperlink>
      <w:r>
        <w:rPr>
          <w:sz w:val="20"/>
        </w:rPr>
        <w:t xml:space="preserve"> Правительства Российской Федерации от 10 декабря 2018 г. N 1506 "О Программе государственных гарантий бесплатного оказания гражданам медицинской помощи на 2019 год и на плановый период 2020 и 2021 годов".</w:t>
      </w:r>
    </w:p>
    <w:p>
      <w:pPr>
        <w:pStyle w:val="0"/>
        <w:ind w:firstLine="540"/>
        <w:jc w:val="both"/>
      </w:pPr>
      <w:r>
        <w:rPr>
          <w:sz w:val="20"/>
        </w:rPr>
      </w:r>
    </w:p>
    <w:p>
      <w:pPr>
        <w:pStyle w:val="0"/>
        <w:ind w:firstLine="540"/>
        <w:jc w:val="both"/>
      </w:pPr>
      <w:r>
        <w:rPr>
          <w:sz w:val="20"/>
        </w:rPr>
        <w:t xml:space="preserve">В целях реализации настоящей Программы необходимо не только снизить кадровый дефицит в паллиативной медицинской помощи, но и обеспечить у имеющегося персонала качественную подготовку по ПМП.</w:t>
      </w:r>
    </w:p>
    <w:p>
      <w:pPr>
        <w:pStyle w:val="0"/>
        <w:spacing w:before="200" w:line-rule="auto"/>
        <w:ind w:firstLine="540"/>
        <w:jc w:val="both"/>
      </w:pPr>
      <w:r>
        <w:rPr>
          <w:sz w:val="20"/>
        </w:rPr>
        <w:t xml:space="preserve">В целях эффективной реализации настоящей Программы необходимо провести комплексное обучение всего персонала медицинских организаций города Севастополя, оказывающих ПМП, при участии главных врачей и обеспечить актуализацию знаний медицинских работников на постоянной основе.</w:t>
      </w:r>
    </w:p>
    <w:p>
      <w:pPr>
        <w:pStyle w:val="0"/>
        <w:spacing w:before="200" w:line-rule="auto"/>
        <w:ind w:firstLine="540"/>
        <w:jc w:val="both"/>
      </w:pPr>
      <w:r>
        <w:rPr>
          <w:sz w:val="20"/>
        </w:rPr>
        <w:t xml:space="preserve">Принимая во внимание, что по состоянию на момент утверждения Программы существует проблема не только в городе Севастополе, но и в стране в целом в квалифицированных преподавателях по ПМП, при подготовке плана обучения врачей по ПМП, среднего и младшего медицинского персонала будет учтена этапность - в первую очередь обучение (повышение квалификации) должен пройти медицинский персонал, уже работающий в стационарах и амбулаториях ПМП, фельдшеры ФАП и врачи общей практики, оказывающие медицинскую помощь на отдаленных и труднодоступных территориях. Во вторую очередь - медицинский персонал, планирующий посвятить себя оказанию ПМП.</w:t>
      </w:r>
    </w:p>
    <w:p>
      <w:pPr>
        <w:pStyle w:val="0"/>
        <w:spacing w:before="200" w:line-rule="auto"/>
        <w:ind w:firstLine="540"/>
        <w:jc w:val="both"/>
      </w:pPr>
      <w:r>
        <w:rPr>
          <w:sz w:val="20"/>
        </w:rPr>
        <w:t xml:space="preserve">Приоритет будет отдаваться очной форме обучения по сравнению с дистанционной, которая преимущественно носит формальный характер "Есть сертификаты - нет знаний".</w:t>
      </w:r>
    </w:p>
    <w:p>
      <w:pPr>
        <w:pStyle w:val="0"/>
        <w:spacing w:before="200" w:line-rule="auto"/>
        <w:ind w:firstLine="540"/>
        <w:jc w:val="both"/>
      </w:pPr>
      <w:r>
        <w:rPr>
          <w:sz w:val="20"/>
        </w:rPr>
        <w:t xml:space="preserve">Обучение медицинского персонала города Севастополя, в первую очередь, будет осуществляться по таким направлениям, как:</w:t>
      </w:r>
    </w:p>
    <w:p>
      <w:pPr>
        <w:pStyle w:val="0"/>
        <w:spacing w:before="200" w:line-rule="auto"/>
        <w:ind w:firstLine="540"/>
        <w:jc w:val="both"/>
      </w:pPr>
      <w:r>
        <w:rPr>
          <w:sz w:val="20"/>
        </w:rPr>
        <w:t xml:space="preserve">- критерии отнесения пациентов к категории пациентов, нуждающихся в ПМП, и проблемам раннего распознавания неизлечимого заболевания;</w:t>
      </w:r>
    </w:p>
    <w:p>
      <w:pPr>
        <w:pStyle w:val="0"/>
        <w:spacing w:before="200" w:line-rule="auto"/>
        <w:ind w:firstLine="540"/>
        <w:jc w:val="both"/>
      </w:pPr>
      <w:r>
        <w:rPr>
          <w:sz w:val="20"/>
        </w:rPr>
        <w:t xml:space="preserve">- оценка и лечение болевого синдрома с применением наркотических и психотропных лекарственных препаратов;</w:t>
      </w:r>
    </w:p>
    <w:p>
      <w:pPr>
        <w:pStyle w:val="0"/>
        <w:spacing w:before="200" w:line-rule="auto"/>
        <w:ind w:firstLine="540"/>
        <w:jc w:val="both"/>
      </w:pPr>
      <w:r>
        <w:rPr>
          <w:sz w:val="20"/>
        </w:rPr>
        <w:t xml:space="preserve">- коммуникация со взрослыми и детьми (с учетом уровня развития конкретного ребенка), нуждающимися в ПМП, и их семьями;</w:t>
      </w:r>
    </w:p>
    <w:p>
      <w:pPr>
        <w:pStyle w:val="0"/>
        <w:spacing w:before="200" w:line-rule="auto"/>
        <w:ind w:firstLine="540"/>
        <w:jc w:val="both"/>
      </w:pPr>
      <w:r>
        <w:rPr>
          <w:sz w:val="20"/>
        </w:rPr>
        <w:t xml:space="preserve">- работа с современным оборудованием и методиками по уходу за лежачими и маломобильными пациентами.</w:t>
      </w:r>
    </w:p>
    <w:p>
      <w:pPr>
        <w:pStyle w:val="0"/>
        <w:spacing w:before="200" w:line-rule="auto"/>
        <w:ind w:firstLine="540"/>
        <w:jc w:val="both"/>
      </w:pPr>
      <w:r>
        <w:rPr>
          <w:sz w:val="20"/>
        </w:rPr>
        <w:t xml:space="preserve">Особое внимание будет уделено оценке качества полученных медицинским персоналом знаний по ПМП и, в случае неудовлетворительных результатов, повторному направлению на обучение. Кроме того, в плановом порядке будет проводиться оценка качества программ обучения и, в случае неудовлетворительных результатов, такие программы будут дорабатываться в соответствии с лучшими практиками в стране.</w:t>
      </w:r>
    </w:p>
    <w:p>
      <w:pPr>
        <w:pStyle w:val="0"/>
        <w:spacing w:before="200" w:line-rule="auto"/>
        <w:ind w:firstLine="540"/>
        <w:jc w:val="both"/>
      </w:pPr>
      <w:r>
        <w:rPr>
          <w:sz w:val="20"/>
        </w:rPr>
        <w:t xml:space="preserve">Обучение врачей по ПМП в обязательном порядке должно включать (формат очный (приоритетный) или вебинары):</w:t>
      </w:r>
    </w:p>
    <w:p>
      <w:pPr>
        <w:pStyle w:val="0"/>
        <w:spacing w:before="200" w:line-rule="auto"/>
        <w:ind w:firstLine="540"/>
        <w:jc w:val="both"/>
      </w:pPr>
      <w:r>
        <w:rPr>
          <w:sz w:val="20"/>
        </w:rPr>
        <w:t xml:space="preserve">1) этику и философию паллиативной медицинской помощи: основные принципы;</w:t>
      </w:r>
    </w:p>
    <w:p>
      <w:pPr>
        <w:pStyle w:val="0"/>
        <w:spacing w:before="200" w:line-rule="auto"/>
        <w:ind w:firstLine="540"/>
        <w:jc w:val="both"/>
      </w:pPr>
      <w:r>
        <w:rPr>
          <w:sz w:val="20"/>
        </w:rPr>
        <w:t xml:space="preserve">2) основы нормативно-правовой базы в сфере паллиативной медицинской помощи и в сфере оборота наркотических и психотропных препаратов;</w:t>
      </w:r>
    </w:p>
    <w:p>
      <w:pPr>
        <w:pStyle w:val="0"/>
        <w:spacing w:before="200" w:line-rule="auto"/>
        <w:ind w:firstLine="540"/>
        <w:jc w:val="both"/>
      </w:pPr>
      <w:r>
        <w:rPr>
          <w:sz w:val="20"/>
        </w:rPr>
        <w:t xml:space="preserve">3) купирование боли:</w:t>
      </w:r>
    </w:p>
    <w:p>
      <w:pPr>
        <w:pStyle w:val="0"/>
        <w:spacing w:before="200" w:line-rule="auto"/>
        <w:ind w:firstLine="540"/>
        <w:jc w:val="both"/>
      </w:pPr>
      <w:r>
        <w:rPr>
          <w:sz w:val="20"/>
        </w:rPr>
        <w:t xml:space="preserve">- определение боли, виды боли и патофизиология боли;</w:t>
      </w:r>
    </w:p>
    <w:p>
      <w:pPr>
        <w:pStyle w:val="0"/>
        <w:spacing w:before="200" w:line-rule="auto"/>
        <w:ind w:firstLine="540"/>
        <w:jc w:val="both"/>
      </w:pPr>
      <w:r>
        <w:rPr>
          <w:sz w:val="20"/>
        </w:rPr>
        <w:t xml:space="preserve">- оценка боли у вербальных и невербальных пациентов с использованием шкал боли (НОШ, ВАШ, PAINAD);</w:t>
      </w:r>
    </w:p>
    <w:p>
      <w:pPr>
        <w:pStyle w:val="0"/>
        <w:spacing w:before="200" w:line-rule="auto"/>
        <w:ind w:firstLine="540"/>
        <w:jc w:val="both"/>
      </w:pPr>
      <w:r>
        <w:rPr>
          <w:sz w:val="20"/>
        </w:rPr>
        <w:t xml:space="preserve">- фармакотерапию хронического болевого синдрома и острой боли: принципы терапии, препараты, дозировки, схемы лечения, фармакокинетику и фармакодинамику опиоидных, неопиоидных и адъювантных анальгетиков; методы введения препаратов;</w:t>
      </w:r>
    </w:p>
    <w:p>
      <w:pPr>
        <w:pStyle w:val="0"/>
        <w:spacing w:before="200" w:line-rule="auto"/>
        <w:ind w:firstLine="540"/>
        <w:jc w:val="both"/>
      </w:pPr>
      <w:r>
        <w:rPr>
          <w:sz w:val="20"/>
        </w:rPr>
        <w:t xml:space="preserve">- профилактику и терапию побочных эффектов опиоидов;</w:t>
      </w:r>
    </w:p>
    <w:p>
      <w:pPr>
        <w:pStyle w:val="0"/>
        <w:spacing w:before="200" w:line-rule="auto"/>
        <w:ind w:firstLine="540"/>
        <w:jc w:val="both"/>
      </w:pPr>
      <w:r>
        <w:rPr>
          <w:sz w:val="20"/>
        </w:rPr>
        <w:t xml:space="preserve">- правила выписки рецептов;</w:t>
      </w:r>
    </w:p>
    <w:p>
      <w:pPr>
        <w:pStyle w:val="0"/>
        <w:spacing w:before="200" w:line-rule="auto"/>
        <w:ind w:firstLine="540"/>
        <w:jc w:val="both"/>
      </w:pPr>
      <w:r>
        <w:rPr>
          <w:sz w:val="20"/>
        </w:rPr>
        <w:t xml:space="preserve">4) симптоматическая терапия:</w:t>
      </w:r>
    </w:p>
    <w:p>
      <w:pPr>
        <w:pStyle w:val="0"/>
        <w:spacing w:before="200" w:line-rule="auto"/>
        <w:ind w:firstLine="540"/>
        <w:jc w:val="both"/>
      </w:pPr>
      <w:r>
        <w:rPr>
          <w:sz w:val="20"/>
        </w:rPr>
        <w:t xml:space="preserve">- желудочно-кишечные симптомы: запор, диарея, кишечная непроходимость (механизмы их возникновения и методы лечения);</w:t>
      </w:r>
    </w:p>
    <w:p>
      <w:pPr>
        <w:pStyle w:val="0"/>
        <w:spacing w:before="200" w:line-rule="auto"/>
        <w:ind w:firstLine="540"/>
        <w:jc w:val="both"/>
      </w:pPr>
      <w:r>
        <w:rPr>
          <w:sz w:val="20"/>
        </w:rPr>
        <w:t xml:space="preserve">- тошнота и рвота (патофизиология тошноты и рвоты, фармакология противорвотных средств, пути введения лекарственных препаратов);</w:t>
      </w:r>
    </w:p>
    <w:p>
      <w:pPr>
        <w:pStyle w:val="0"/>
        <w:spacing w:before="200" w:line-rule="auto"/>
        <w:ind w:firstLine="540"/>
        <w:jc w:val="both"/>
      </w:pPr>
      <w:r>
        <w:rPr>
          <w:sz w:val="20"/>
        </w:rPr>
        <w:t xml:space="preserve">- легочные симптомы: дыхательная недостаточность: патофизиология, характеристика применяемых лекарственных препаратов (антиоксидантов, стероидов, опиоидов); основы кислородной терапии; кашель;</w:t>
      </w:r>
    </w:p>
    <w:p>
      <w:pPr>
        <w:pStyle w:val="0"/>
        <w:spacing w:before="200" w:line-rule="auto"/>
        <w:ind w:firstLine="540"/>
        <w:jc w:val="both"/>
      </w:pPr>
      <w:r>
        <w:rPr>
          <w:sz w:val="20"/>
        </w:rPr>
        <w:t xml:space="preserve">- нейропсихиатрические симптомы: делирий и другие состояния, характеризующиеся спутанностью сознания; бессонница; тревога и депрессия; возбуждение и страхи; галлюцинации и иные психиатрические расстройства:</w:t>
      </w:r>
    </w:p>
    <w:p>
      <w:pPr>
        <w:pStyle w:val="0"/>
        <w:spacing w:before="200" w:line-rule="auto"/>
        <w:ind w:firstLine="540"/>
        <w:jc w:val="both"/>
      </w:pPr>
      <w:r>
        <w:rPr>
          <w:sz w:val="20"/>
        </w:rPr>
        <w:t xml:space="preserve">- анорексия, кахексия, слабость;</w:t>
      </w:r>
    </w:p>
    <w:p>
      <w:pPr>
        <w:pStyle w:val="0"/>
        <w:spacing w:before="200" w:line-rule="auto"/>
        <w:ind w:firstLine="540"/>
        <w:jc w:val="both"/>
      </w:pPr>
      <w:r>
        <w:rPr>
          <w:sz w:val="20"/>
        </w:rPr>
        <w:t xml:space="preserve">- жажда, сухость во рту;</w:t>
      </w:r>
    </w:p>
    <w:p>
      <w:pPr>
        <w:pStyle w:val="0"/>
        <w:spacing w:before="200" w:line-rule="auto"/>
        <w:ind w:firstLine="540"/>
        <w:jc w:val="both"/>
      </w:pPr>
      <w:r>
        <w:rPr>
          <w:sz w:val="20"/>
        </w:rPr>
        <w:t xml:space="preserve">- нарушение глотания;</w:t>
      </w:r>
    </w:p>
    <w:p>
      <w:pPr>
        <w:pStyle w:val="0"/>
        <w:spacing w:before="200" w:line-rule="auto"/>
        <w:ind w:firstLine="540"/>
        <w:jc w:val="both"/>
      </w:pPr>
      <w:r>
        <w:rPr>
          <w:sz w:val="20"/>
        </w:rPr>
        <w:t xml:space="preserve">- дерматологические симптомы: профилактика и лечение ран и пролежней, лифидема, зуд;</w:t>
      </w:r>
    </w:p>
    <w:p>
      <w:pPr>
        <w:pStyle w:val="0"/>
        <w:spacing w:before="200" w:line-rule="auto"/>
        <w:ind w:firstLine="540"/>
        <w:jc w:val="both"/>
      </w:pPr>
      <w:r>
        <w:rPr>
          <w:sz w:val="20"/>
        </w:rPr>
        <w:t xml:space="preserve">- ПМП в последние дни и часы жизни;</w:t>
      </w:r>
    </w:p>
    <w:p>
      <w:pPr>
        <w:pStyle w:val="0"/>
        <w:spacing w:before="200" w:line-rule="auto"/>
        <w:ind w:firstLine="540"/>
        <w:jc w:val="both"/>
      </w:pPr>
      <w:r>
        <w:rPr>
          <w:sz w:val="20"/>
        </w:rPr>
        <w:t xml:space="preserve">5) особенности питания пациента паллиативного профиля, нутритивную поддержку, методы введения (естественный путем через рот, энтеральный, парентеральный);</w:t>
      </w:r>
    </w:p>
    <w:p>
      <w:pPr>
        <w:pStyle w:val="0"/>
        <w:spacing w:before="200" w:line-rule="auto"/>
        <w:ind w:firstLine="540"/>
        <w:jc w:val="both"/>
      </w:pPr>
      <w:r>
        <w:rPr>
          <w:sz w:val="20"/>
        </w:rPr>
        <w:t xml:space="preserve">6) коммуникацию с пациентами и их близкими и их психологическую поддержку: общие принципы, сообщение тяжелых новостей (диагноз, прогноз, сообщение о смерти), поддержка близких после смерти пациента.</w:t>
      </w:r>
    </w:p>
    <w:p>
      <w:pPr>
        <w:pStyle w:val="0"/>
        <w:spacing w:before="200" w:line-rule="auto"/>
        <w:ind w:firstLine="540"/>
        <w:jc w:val="both"/>
      </w:pPr>
      <w:r>
        <w:rPr>
          <w:sz w:val="20"/>
        </w:rPr>
        <w:t xml:space="preserve">Период обучения: 40 часов - 144 часов (сертификационный курс дополнительного профессионального образования).</w:t>
      </w:r>
    </w:p>
    <w:p>
      <w:pPr>
        <w:pStyle w:val="0"/>
        <w:spacing w:before="200" w:line-rule="auto"/>
        <w:ind w:firstLine="540"/>
        <w:jc w:val="both"/>
      </w:pPr>
      <w:r>
        <w:rPr>
          <w:sz w:val="20"/>
        </w:rPr>
        <w:t xml:space="preserve">Обучение младшего и среднего медицинского персонала, оказывающих ПМП, в обязательном порядке должно включать (формат - очный (теория и отработка практических навыков)):</w:t>
      </w:r>
    </w:p>
    <w:p>
      <w:pPr>
        <w:pStyle w:val="0"/>
        <w:spacing w:before="200" w:line-rule="auto"/>
        <w:ind w:firstLine="540"/>
        <w:jc w:val="both"/>
      </w:pPr>
      <w:r>
        <w:rPr>
          <w:sz w:val="20"/>
        </w:rPr>
        <w:t xml:space="preserve">1) этику и философию паллиативной медицинской помощи;</w:t>
      </w:r>
    </w:p>
    <w:p>
      <w:pPr>
        <w:pStyle w:val="0"/>
        <w:spacing w:before="200" w:line-rule="auto"/>
        <w:ind w:firstLine="540"/>
        <w:jc w:val="both"/>
      </w:pPr>
      <w:r>
        <w:rPr>
          <w:sz w:val="20"/>
        </w:rPr>
        <w:t xml:space="preserve">2) организацию ухода;</w:t>
      </w:r>
    </w:p>
    <w:p>
      <w:pPr>
        <w:pStyle w:val="0"/>
        <w:spacing w:before="200" w:line-rule="auto"/>
        <w:ind w:firstLine="540"/>
        <w:jc w:val="both"/>
      </w:pPr>
      <w:r>
        <w:rPr>
          <w:sz w:val="20"/>
        </w:rPr>
        <w:t xml:space="preserve">3) гигиену пациента: техники выполнения гигиенических манипуляций, частота выполнения, коммуникация с пациентом, этические аспекты;</w:t>
      </w:r>
    </w:p>
    <w:p>
      <w:pPr>
        <w:pStyle w:val="0"/>
        <w:spacing w:before="200" w:line-rule="auto"/>
        <w:ind w:firstLine="540"/>
        <w:jc w:val="both"/>
      </w:pPr>
      <w:r>
        <w:rPr>
          <w:sz w:val="20"/>
        </w:rPr>
        <w:t xml:space="preserve">4) перемещение и позиционирование пациента (в кровати и за пределами кровати): техники перемещения и позиционирования, безопасность пациента и ухаживающего, использование специального оборудования;</w:t>
      </w:r>
    </w:p>
    <w:p>
      <w:pPr>
        <w:pStyle w:val="0"/>
        <w:spacing w:before="200" w:line-rule="auto"/>
        <w:ind w:firstLine="540"/>
        <w:jc w:val="both"/>
      </w:pPr>
      <w:r>
        <w:rPr>
          <w:sz w:val="20"/>
        </w:rPr>
        <w:t xml:space="preserve">5) профилактику и лечение ран и пролежней;</w:t>
      </w:r>
    </w:p>
    <w:p>
      <w:pPr>
        <w:pStyle w:val="0"/>
        <w:spacing w:before="200" w:line-rule="auto"/>
        <w:ind w:firstLine="540"/>
        <w:jc w:val="both"/>
      </w:pPr>
      <w:r>
        <w:rPr>
          <w:sz w:val="20"/>
        </w:rPr>
        <w:t xml:space="preserve">6) кормление пациента, уход за стомами: организация питания, особенности питания при различных состояниях, оценка функции глотания и нарушение глотания; меню; кормление через зонд и гастростому;</w:t>
      </w:r>
    </w:p>
    <w:p>
      <w:pPr>
        <w:pStyle w:val="0"/>
        <w:spacing w:before="200" w:line-rule="auto"/>
        <w:ind w:firstLine="540"/>
        <w:jc w:val="both"/>
      </w:pPr>
      <w:r>
        <w:rPr>
          <w:sz w:val="20"/>
        </w:rPr>
        <w:t xml:space="preserve">7) опорожнение: оценка функций, использование впитывающего белья, использование специального оборудования (мочевого катетера, калоприемника), помощь при запорах, этические аспекты;</w:t>
      </w:r>
    </w:p>
    <w:p>
      <w:pPr>
        <w:pStyle w:val="0"/>
        <w:spacing w:before="200" w:line-rule="auto"/>
        <w:ind w:firstLine="540"/>
        <w:jc w:val="both"/>
      </w:pPr>
      <w:r>
        <w:rPr>
          <w:sz w:val="20"/>
        </w:rPr>
        <w:t xml:space="preserve">8) особенности ухода за пациентами при различных заболеваниях;</w:t>
      </w:r>
    </w:p>
    <w:p>
      <w:pPr>
        <w:pStyle w:val="0"/>
        <w:spacing w:before="200" w:line-rule="auto"/>
        <w:ind w:firstLine="540"/>
        <w:jc w:val="both"/>
      </w:pPr>
      <w:r>
        <w:rPr>
          <w:sz w:val="20"/>
        </w:rPr>
        <w:t xml:space="preserve">9) коммуникацию с больным и его близкими;</w:t>
      </w:r>
    </w:p>
    <w:p>
      <w:pPr>
        <w:pStyle w:val="0"/>
        <w:spacing w:before="200" w:line-rule="auto"/>
        <w:ind w:firstLine="540"/>
        <w:jc w:val="both"/>
      </w:pPr>
      <w:r>
        <w:rPr>
          <w:sz w:val="20"/>
        </w:rPr>
        <w:t xml:space="preserve">10) инфекционную безопасность при работе с пациентом;</w:t>
      </w:r>
    </w:p>
    <w:p>
      <w:pPr>
        <w:pStyle w:val="0"/>
        <w:spacing w:before="200" w:line-rule="auto"/>
        <w:ind w:firstLine="540"/>
        <w:jc w:val="both"/>
      </w:pPr>
      <w:r>
        <w:rPr>
          <w:sz w:val="20"/>
        </w:rPr>
        <w:t xml:space="preserve">11) лекарственную безопасность (только для среднего медицинского персонала);</w:t>
      </w:r>
    </w:p>
    <w:p>
      <w:pPr>
        <w:pStyle w:val="0"/>
        <w:spacing w:before="200" w:line-rule="auto"/>
        <w:ind w:firstLine="540"/>
        <w:jc w:val="both"/>
      </w:pPr>
      <w:r>
        <w:rPr>
          <w:sz w:val="20"/>
        </w:rPr>
        <w:t xml:space="preserve">12) управление болью (только для среднего медицинского персонала).</w:t>
      </w:r>
    </w:p>
    <w:p>
      <w:pPr>
        <w:pStyle w:val="0"/>
        <w:spacing w:before="200" w:line-rule="auto"/>
        <w:ind w:firstLine="540"/>
        <w:jc w:val="both"/>
      </w:pPr>
      <w:r>
        <w:rPr>
          <w:sz w:val="20"/>
        </w:rPr>
        <w:t xml:space="preserve">Период обучения: 40 часов - 144 часов (сертификационный курс дополнительного профессионального образования).</w:t>
      </w:r>
    </w:p>
    <w:p>
      <w:pPr>
        <w:pStyle w:val="0"/>
        <w:spacing w:before="200" w:line-rule="auto"/>
        <w:ind w:firstLine="540"/>
        <w:jc w:val="both"/>
      </w:pPr>
      <w:r>
        <w:rPr>
          <w:sz w:val="20"/>
        </w:rPr>
        <w:t xml:space="preserve">Кроме того, принимая во внимание, что главные внештатные детский и взрослый специалисты по ПМП (далее - ГВС) являются наиболее компетентными сотрудниками ПМП, являются основными проводниками философии ПМП, необходимо:</w:t>
      </w:r>
    </w:p>
    <w:p>
      <w:pPr>
        <w:pStyle w:val="0"/>
        <w:spacing w:before="200" w:line-rule="auto"/>
        <w:ind w:firstLine="540"/>
        <w:jc w:val="both"/>
      </w:pPr>
      <w:r>
        <w:rPr>
          <w:sz w:val="20"/>
        </w:rPr>
        <w:t xml:space="preserve">- проводить непрерывное обучение ГВС новым методикам оказания ПМП. ГВС должны проходить практику в других регионах для обмена опытом и сбора лучших практик, а также для участия в конференциях и семинарах по ПМП как в качестве слушателя, так и в качестве спикера;</w:t>
      </w:r>
    </w:p>
    <w:p>
      <w:pPr>
        <w:pStyle w:val="0"/>
        <w:spacing w:before="200" w:line-rule="auto"/>
        <w:ind w:firstLine="540"/>
        <w:jc w:val="both"/>
      </w:pPr>
      <w:r>
        <w:rPr>
          <w:sz w:val="20"/>
        </w:rPr>
        <w:t xml:space="preserve">- совершенствовать должностные инструкции ГВС. В должностные обязанности должно входить:</w:t>
      </w:r>
    </w:p>
    <w:p>
      <w:pPr>
        <w:pStyle w:val="0"/>
        <w:spacing w:before="200" w:line-rule="auto"/>
        <w:ind w:firstLine="540"/>
        <w:jc w:val="both"/>
      </w:pPr>
      <w:r>
        <w:rPr>
          <w:sz w:val="20"/>
        </w:rPr>
        <w:t xml:space="preserve">- курирование медицинских организаций и организаций соцобслуживания, в которых находятся/могут находиться пациенты, нуждающиеся в оказании ПМП (предусмотреть снижение лечебной нагрузки);</w:t>
      </w:r>
    </w:p>
    <w:p>
      <w:pPr>
        <w:pStyle w:val="0"/>
        <w:spacing w:before="200" w:line-rule="auto"/>
        <w:ind w:firstLine="540"/>
        <w:jc w:val="both"/>
      </w:pPr>
      <w:r>
        <w:rPr>
          <w:sz w:val="20"/>
        </w:rPr>
        <w:t xml:space="preserve">- согласование закупок оборудования и лекарственных препаратов для отделений ПМП, хосписов, амбулаторного звена по оказанию ПМП;</w:t>
      </w:r>
    </w:p>
    <w:p>
      <w:pPr>
        <w:pStyle w:val="0"/>
        <w:spacing w:before="200" w:line-rule="auto"/>
        <w:ind w:firstLine="540"/>
        <w:jc w:val="both"/>
      </w:pPr>
      <w:r>
        <w:rPr>
          <w:sz w:val="20"/>
        </w:rPr>
        <w:t xml:space="preserve">- контроль за ведением регистра пациентов, нуждающихся в ПМП;</w:t>
      </w:r>
    </w:p>
    <w:p>
      <w:pPr>
        <w:pStyle w:val="0"/>
        <w:spacing w:before="200" w:line-rule="auto"/>
        <w:ind w:firstLine="540"/>
        <w:jc w:val="both"/>
      </w:pPr>
      <w:r>
        <w:rPr>
          <w:sz w:val="20"/>
        </w:rPr>
        <w:t xml:space="preserve">- контроль за проведением информационной кампании по оказанию ПМП среди населения и согласование основных направлений информирования;</w:t>
      </w:r>
    </w:p>
    <w:p>
      <w:pPr>
        <w:pStyle w:val="0"/>
        <w:spacing w:before="200" w:line-rule="auto"/>
        <w:ind w:firstLine="540"/>
        <w:jc w:val="both"/>
      </w:pPr>
      <w:r>
        <w:rPr>
          <w:sz w:val="20"/>
        </w:rPr>
        <w:t xml:space="preserve">- взаимодействие со СМИ по вопросам оказания ПМП в городе Севастополе;</w:t>
      </w:r>
    </w:p>
    <w:p>
      <w:pPr>
        <w:pStyle w:val="0"/>
        <w:spacing w:before="200" w:line-rule="auto"/>
        <w:ind w:firstLine="540"/>
        <w:jc w:val="both"/>
      </w:pPr>
      <w:r>
        <w:rPr>
          <w:sz w:val="20"/>
        </w:rPr>
        <w:t xml:space="preserve">- проведение обучающих семинаров и лекций для медицинского персонала, участвующего в оказании ПМП;</w:t>
      </w:r>
    </w:p>
    <w:p>
      <w:pPr>
        <w:pStyle w:val="0"/>
        <w:spacing w:before="200" w:line-rule="auto"/>
        <w:ind w:firstLine="540"/>
        <w:jc w:val="both"/>
      </w:pPr>
      <w:r>
        <w:rPr>
          <w:sz w:val="20"/>
        </w:rPr>
        <w:t xml:space="preserve">- методологическая поддержка при разработке региональной стратегии развития паллиативной медицинской помощи в городе Севастополе.</w:t>
      </w:r>
    </w:p>
    <w:p>
      <w:pPr>
        <w:pStyle w:val="0"/>
        <w:spacing w:before="200" w:line-rule="auto"/>
        <w:ind w:firstLine="540"/>
        <w:jc w:val="both"/>
      </w:pPr>
      <w:r>
        <w:rPr>
          <w:sz w:val="20"/>
        </w:rPr>
        <w:t xml:space="preserve">В результате реализации Программы планируется, что повысится уровень знаний о ПМП не только среди медицинского персонала, задействованного в оказании паллиативной медицинской помощь, но и родственников и близких, которым пришлось столкнуться с необходимостью освоения такого вида помощи.</w:t>
      </w:r>
    </w:p>
    <w:p>
      <w:pPr>
        <w:pStyle w:val="0"/>
      </w:pPr>
      <w:r>
        <w:rPr>
          <w:sz w:val="20"/>
        </w:rPr>
      </w:r>
    </w:p>
    <w:p>
      <w:pPr>
        <w:pStyle w:val="2"/>
        <w:outlineLvl w:val="2"/>
        <w:jc w:val="center"/>
      </w:pPr>
      <w:r>
        <w:rPr>
          <w:sz w:val="20"/>
        </w:rPr>
        <w:t xml:space="preserve">Совершенствование межведомственного взаимодействия</w:t>
      </w:r>
    </w:p>
    <w:p>
      <w:pPr>
        <w:pStyle w:val="2"/>
        <w:jc w:val="center"/>
      </w:pPr>
      <w:r>
        <w:rPr>
          <w:sz w:val="20"/>
        </w:rPr>
        <w:t xml:space="preserve">медицинских организаций и организаций</w:t>
      </w:r>
    </w:p>
    <w:p>
      <w:pPr>
        <w:pStyle w:val="2"/>
        <w:jc w:val="center"/>
      </w:pPr>
      <w:r>
        <w:rPr>
          <w:sz w:val="20"/>
        </w:rPr>
        <w:t xml:space="preserve">социального обслуживания</w:t>
      </w:r>
    </w:p>
    <w:p>
      <w:pPr>
        <w:pStyle w:val="0"/>
        <w:jc w:val="center"/>
      </w:pPr>
      <w:r>
        <w:rPr>
          <w:sz w:val="20"/>
        </w:rPr>
      </w:r>
    </w:p>
    <w:p>
      <w:pPr>
        <w:pStyle w:val="0"/>
        <w:ind w:firstLine="540"/>
        <w:jc w:val="both"/>
      </w:pPr>
      <w:r>
        <w:rPr>
          <w:sz w:val="20"/>
        </w:rPr>
        <w:t xml:space="preserve">Залогом успешной реализации настоящей Программы является высокий уровень межведомственного взаимодействия между медицинскими организациями и организациями социального обслуживания.</w:t>
      </w:r>
    </w:p>
    <w:p>
      <w:pPr>
        <w:pStyle w:val="0"/>
        <w:spacing w:before="200" w:line-rule="auto"/>
        <w:ind w:firstLine="540"/>
        <w:jc w:val="both"/>
      </w:pPr>
      <w:r>
        <w:rPr>
          <w:sz w:val="20"/>
        </w:rPr>
        <w:t xml:space="preserve">В соответствии с действующим </w:t>
      </w:r>
      <w:hyperlink w:history="0" r:id="rId757"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ПМП на законодательном уровне предусмотрено межведомственное взаимодействие медицинских организаций и социальных учреждений. Положение устанавливает механизмы, повышающие доступность инкурабельным пациентам социального обслуживания:</w:t>
      </w:r>
    </w:p>
    <w:p>
      <w:pPr>
        <w:pStyle w:val="0"/>
        <w:spacing w:before="200" w:line-rule="auto"/>
        <w:ind w:firstLine="540"/>
        <w:jc w:val="both"/>
      </w:pPr>
      <w:r>
        <w:rPr>
          <w:sz w:val="20"/>
        </w:rPr>
        <w:t xml:space="preserve">- медицинские организации обязаны информировать пациентов о возможностях и условиях социального обслуживания в субъекте Российской Федерации и о порядке его получения;</w:t>
      </w:r>
    </w:p>
    <w:p>
      <w:pPr>
        <w:pStyle w:val="0"/>
        <w:spacing w:before="200" w:line-rule="auto"/>
        <w:ind w:firstLine="540"/>
        <w:jc w:val="both"/>
      </w:pPr>
      <w:r>
        <w:rPr>
          <w:sz w:val="20"/>
        </w:rPr>
        <w:t xml:space="preserve">- медицинские организации обязаны направлять в органы социальной защиты сообщение о необходимости оказания пациентам, утратившим способность к самообслуживанию, социальных услуг;</w:t>
      </w:r>
    </w:p>
    <w:p>
      <w:pPr>
        <w:pStyle w:val="0"/>
        <w:spacing w:before="200" w:line-rule="auto"/>
        <w:ind w:firstLine="540"/>
        <w:jc w:val="both"/>
      </w:pPr>
      <w:r>
        <w:rPr>
          <w:sz w:val="20"/>
        </w:rPr>
        <w:t xml:space="preserve">- установлены короткие сроки принятия органами социальной защиты населения решений о социальном обслуживании пациентов, утративших способность к самообслуживанию, в том числе при планируемой выписке из стационара;</w:t>
      </w:r>
    </w:p>
    <w:p>
      <w:pPr>
        <w:pStyle w:val="0"/>
        <w:spacing w:before="200" w:line-rule="auto"/>
        <w:ind w:firstLine="540"/>
        <w:jc w:val="both"/>
      </w:pPr>
      <w:r>
        <w:rPr>
          <w:sz w:val="20"/>
        </w:rPr>
        <w:t xml:space="preserve">- организовать срочные социальные услуги.</w:t>
      </w:r>
    </w:p>
    <w:p>
      <w:pPr>
        <w:pStyle w:val="0"/>
        <w:spacing w:before="200" w:line-rule="auto"/>
        <w:ind w:firstLine="540"/>
        <w:jc w:val="both"/>
      </w:pPr>
      <w:r>
        <w:rPr>
          <w:sz w:val="20"/>
        </w:rPr>
        <w:t xml:space="preserve">Кроме того, Положение регламентирует взаимодействие в целях установления пациенту, нуждающемуся в оказании ПМП, инвалидности:</w:t>
      </w:r>
    </w:p>
    <w:p>
      <w:pPr>
        <w:pStyle w:val="0"/>
        <w:spacing w:before="200" w:line-rule="auto"/>
        <w:ind w:firstLine="540"/>
        <w:jc w:val="both"/>
      </w:pPr>
      <w:r>
        <w:rPr>
          <w:sz w:val="20"/>
        </w:rPr>
        <w:t xml:space="preserve">- обязанность медицинской организации одновременно с принятием решения о наличии у пациента показаний к оказанию ПМП принимать решение о направлении пациента на медико-социальную экспертизу;</w:t>
      </w:r>
    </w:p>
    <w:p>
      <w:pPr>
        <w:pStyle w:val="0"/>
        <w:spacing w:before="200" w:line-rule="auto"/>
        <w:ind w:firstLine="540"/>
        <w:jc w:val="both"/>
      </w:pPr>
      <w:r>
        <w:rPr>
          <w:sz w:val="20"/>
        </w:rPr>
        <w:t xml:space="preserve">- короткие сроки совершения как медицинскими организациями, так и Бюро МСЭ регламентных процедур, необходимых для признания таких пациентов инвалидами;</w:t>
      </w:r>
    </w:p>
    <w:p>
      <w:pPr>
        <w:pStyle w:val="0"/>
        <w:spacing w:before="200" w:line-rule="auto"/>
        <w:ind w:firstLine="540"/>
        <w:jc w:val="both"/>
      </w:pPr>
      <w:r>
        <w:rPr>
          <w:sz w:val="20"/>
        </w:rPr>
        <w:t xml:space="preserve">- установлено, что решение о признании пациента, нуждающегося в оказании ПМП, инвалидом принимается МСЭ в течение трех рабочих дней.</w:t>
      </w:r>
    </w:p>
    <w:p>
      <w:pPr>
        <w:pStyle w:val="0"/>
        <w:spacing w:before="200" w:line-rule="auto"/>
        <w:ind w:firstLine="540"/>
        <w:jc w:val="both"/>
      </w:pPr>
      <w:r>
        <w:rPr>
          <w:sz w:val="20"/>
        </w:rPr>
        <w:t xml:space="preserve">Вместе с тем на момент утверждения Программы межведомственное взаимодействие при оказании паллиативной медицинской помощи практически не работает: инкурабельные больные должны самостоятельно добиваться направления на медико-социальную экспертизу, социальной помощи, социального обслуживания на дому.</w:t>
      </w:r>
    </w:p>
    <w:p>
      <w:pPr>
        <w:pStyle w:val="0"/>
        <w:spacing w:before="200" w:line-rule="auto"/>
        <w:ind w:firstLine="540"/>
        <w:jc w:val="both"/>
      </w:pPr>
      <w:r>
        <w:rPr>
          <w:sz w:val="20"/>
        </w:rPr>
        <w:t xml:space="preserve">ПМП не доступна в полном объеме в отделениях милосердия стационарных организациях социального обслуживания (среди проживающих в отделениях милосердия многие - тяжелобольные люди, прогноз жизни которых не превышает полугода - года, им недоступно лечение тяжких проявлений заболевания с использованием наркотических и психотропных лекарственных препаратов, т.к. такие препараты не закупаются интернатами, такие граждане не наблюдаются врачами по паллиативной медицинской помощи).</w:t>
      </w:r>
    </w:p>
    <w:p>
      <w:pPr>
        <w:pStyle w:val="0"/>
        <w:spacing w:before="200" w:line-rule="auto"/>
        <w:ind w:firstLine="540"/>
        <w:jc w:val="both"/>
      </w:pPr>
      <w:r>
        <w:rPr>
          <w:sz w:val="20"/>
        </w:rPr>
        <w:t xml:space="preserve">Имеют место дефекты маршрутизации пациентов: часто паллиативные койки заняты непрофильными пациентами. Паллиативная койка формально есть, она учитывается в статистических данных, но фактически на ней пребывает человек, которому нужна не паллиативная, а социальная помощь, а иногда - медицинская реабилитация. В результате увеличивается финансовая нагрузка на бюджет города Севастополя.</w:t>
      </w:r>
    </w:p>
    <w:p>
      <w:pPr>
        <w:pStyle w:val="0"/>
        <w:spacing w:before="200" w:line-rule="auto"/>
        <w:ind w:firstLine="540"/>
        <w:jc w:val="both"/>
      </w:pPr>
      <w:r>
        <w:rPr>
          <w:sz w:val="20"/>
        </w:rPr>
        <w:t xml:space="preserve">В рамках настоящей Программы будут решены следующие задачи:</w:t>
      </w:r>
    </w:p>
    <w:p>
      <w:pPr>
        <w:pStyle w:val="0"/>
        <w:spacing w:before="200" w:line-rule="auto"/>
        <w:ind w:firstLine="540"/>
        <w:jc w:val="both"/>
      </w:pPr>
      <w:r>
        <w:rPr>
          <w:sz w:val="20"/>
        </w:rPr>
        <w:t xml:space="preserve">- оптимизация коечного фонда медицинских организаций, оказывающих ПМП, и организаций соцобслуживания с учетом имеющейся в городе Севастополе потребности в местах проживания социально незащищенных слоев населения, кому не требуется ПМП;</w:t>
      </w:r>
    </w:p>
    <w:p>
      <w:pPr>
        <w:pStyle w:val="0"/>
        <w:spacing w:before="200" w:line-rule="auto"/>
        <w:ind w:firstLine="540"/>
        <w:jc w:val="both"/>
      </w:pPr>
      <w:r>
        <w:rPr>
          <w:sz w:val="20"/>
        </w:rPr>
        <w:t xml:space="preserve">- сплошной скрининг пациентов, которым присвоен статус пациента, нуждающегося в ПМП, в том числе находящихся в медицинских организациях и организациях соцобслуживания, на предмет прохождении медико-социальной экспертизы, признания таких пациентов инвалидами. К концу 1-го полугодия 2020 г. все пациенты, нуждающиеся в оказании ПМП, должны быть признаны инвалидами;</w:t>
      </w:r>
    </w:p>
    <w:p>
      <w:pPr>
        <w:pStyle w:val="0"/>
        <w:spacing w:before="200" w:line-rule="auto"/>
        <w:ind w:firstLine="540"/>
        <w:jc w:val="both"/>
      </w:pPr>
      <w:r>
        <w:rPr>
          <w:sz w:val="20"/>
        </w:rPr>
        <w:t xml:space="preserve">- скрининг пациентов, получающих ПМП на дому, на предмет соответствия ИПРА степени их инвалидизации. К концу 1-го полугодия 2020 такие пациенты, нуждающиеся в оказании ПМП, должны получить обновленные ИПРА;</w:t>
      </w:r>
    </w:p>
    <w:p>
      <w:pPr>
        <w:pStyle w:val="0"/>
        <w:spacing w:before="200" w:line-rule="auto"/>
        <w:ind w:firstLine="540"/>
        <w:jc w:val="both"/>
      </w:pPr>
      <w:r>
        <w:rPr>
          <w:sz w:val="20"/>
        </w:rPr>
        <w:t xml:space="preserve">- диспансеризация (не реже 1 раза в год) проживающих в отделениях милосердия организаций соцобслуживания под руководством главного внештатного взрослого и детского специалиста по ПМП;</w:t>
      </w:r>
    </w:p>
    <w:p>
      <w:pPr>
        <w:pStyle w:val="0"/>
        <w:spacing w:before="200" w:line-rule="auto"/>
        <w:ind w:firstLine="540"/>
        <w:jc w:val="both"/>
      </w:pPr>
      <w:r>
        <w:rPr>
          <w:sz w:val="20"/>
        </w:rPr>
        <w:t xml:space="preserve">- повышение уровня межведомственного взаимодействия выездной патронажной бригады ПМП и организаций социального обслуживания при оказании ПМП на дому;</w:t>
      </w:r>
    </w:p>
    <w:p>
      <w:pPr>
        <w:pStyle w:val="0"/>
        <w:spacing w:before="200" w:line-rule="auto"/>
        <w:ind w:firstLine="540"/>
        <w:jc w:val="both"/>
      </w:pPr>
      <w:r>
        <w:rPr>
          <w:sz w:val="20"/>
        </w:rPr>
        <w:t xml:space="preserve">- обеспечение роста количества пациентов, переведенных из структурных подразделений медицинских организаций, оказывающих ПМП, в организации социального обслуживания;</w:t>
      </w:r>
    </w:p>
    <w:p>
      <w:pPr>
        <w:pStyle w:val="0"/>
        <w:spacing w:before="200" w:line-rule="auto"/>
        <w:ind w:firstLine="540"/>
        <w:jc w:val="both"/>
      </w:pPr>
      <w:r>
        <w:rPr>
          <w:sz w:val="20"/>
        </w:rPr>
        <w:t xml:space="preserve">- обеспечение роста количества проживающих, переведенных из организаций соцобслуживания в структурные подразделения медицинских организаций, оказывающие паллиативную медицинскую помощь;</w:t>
      </w:r>
    </w:p>
    <w:p>
      <w:pPr>
        <w:pStyle w:val="0"/>
        <w:spacing w:before="200" w:line-rule="auto"/>
        <w:ind w:firstLine="540"/>
        <w:jc w:val="both"/>
      </w:pPr>
      <w:r>
        <w:rPr>
          <w:sz w:val="20"/>
        </w:rPr>
        <w:t xml:space="preserve">- увеличение коечного фонда социальных гостиниц;</w:t>
      </w:r>
    </w:p>
    <w:p>
      <w:pPr>
        <w:pStyle w:val="0"/>
        <w:spacing w:before="200" w:line-rule="auto"/>
        <w:ind w:firstLine="540"/>
        <w:jc w:val="both"/>
      </w:pPr>
      <w:r>
        <w:rPr>
          <w:sz w:val="20"/>
        </w:rPr>
        <w:t xml:space="preserve">- обеспечение роста проживающих в отделениях милосердия организаций соцобслуживания, которым назначены обезболивающие лекарственные препараты, в том числе наркотические и психотропные лекарственные препараты;</w:t>
      </w:r>
    </w:p>
    <w:p>
      <w:pPr>
        <w:pStyle w:val="0"/>
        <w:spacing w:before="200" w:line-rule="auto"/>
        <w:ind w:firstLine="540"/>
        <w:jc w:val="both"/>
      </w:pPr>
      <w:r>
        <w:rPr>
          <w:sz w:val="20"/>
        </w:rPr>
        <w:t xml:space="preserve">- совершенствование штатного расписания и повышение качества используемого оборудования в целях облегчения состояния паллиативного пациента;</w:t>
      </w:r>
    </w:p>
    <w:p>
      <w:pPr>
        <w:pStyle w:val="0"/>
        <w:spacing w:before="200" w:line-rule="auto"/>
        <w:ind w:firstLine="540"/>
        <w:jc w:val="both"/>
      </w:pPr>
      <w:r>
        <w:rPr>
          <w:sz w:val="20"/>
        </w:rPr>
        <w:t xml:space="preserve">- внесение изменений в уставы детских домов-интернатов, в которых открыты отделения милосердия, в целях возможности детей, достигших 18 летнего возраста, дальнейшего проживания в таких организациях соцобслуживания, без возрастных ограничений, без обязательного перевода в психоневрологические интернаты.</w:t>
      </w:r>
    </w:p>
    <w:p>
      <w:pPr>
        <w:pStyle w:val="0"/>
        <w:spacing w:before="200" w:line-rule="auto"/>
        <w:ind w:firstLine="540"/>
        <w:jc w:val="both"/>
      </w:pPr>
      <w:r>
        <w:rPr>
          <w:sz w:val="20"/>
        </w:rPr>
        <w:t xml:space="preserve">Для целей обеспечения контроля реализации вышеуказанных мер в городе Севастополе будет организован сбор соответствующей статистической отчетности.</w:t>
      </w:r>
    </w:p>
    <w:p>
      <w:pPr>
        <w:pStyle w:val="0"/>
        <w:spacing w:before="200" w:line-rule="auto"/>
        <w:ind w:firstLine="540"/>
        <w:jc w:val="both"/>
      </w:pPr>
      <w:r>
        <w:rPr>
          <w:sz w:val="20"/>
        </w:rPr>
        <w:t xml:space="preserve">Основными приоритетами в рамках вышеуказанных изменений являются:</w:t>
      </w:r>
    </w:p>
    <w:p>
      <w:pPr>
        <w:pStyle w:val="0"/>
        <w:spacing w:before="200" w:line-rule="auto"/>
        <w:ind w:firstLine="540"/>
        <w:jc w:val="both"/>
      </w:pPr>
      <w:r>
        <w:rPr>
          <w:sz w:val="20"/>
        </w:rPr>
        <w:t xml:space="preserve">1) повышение эффективности бюджетных денежных средств в результате перевода пациента, нуждающегося в ПМП, в организации соцобслуживания;</w:t>
      </w:r>
    </w:p>
    <w:p>
      <w:pPr>
        <w:pStyle w:val="0"/>
        <w:spacing w:before="200" w:line-rule="auto"/>
        <w:ind w:firstLine="540"/>
        <w:jc w:val="both"/>
      </w:pPr>
      <w:r>
        <w:rPr>
          <w:sz w:val="20"/>
        </w:rPr>
        <w:t xml:space="preserve">2) высвобождение бюджетных денежных средств в результате сокращения коечного фонда в стационарах для создания качественной ПМП на дому, по месту проживания нуждающегося в ПМП;</w:t>
      </w:r>
    </w:p>
    <w:p>
      <w:pPr>
        <w:pStyle w:val="0"/>
        <w:spacing w:before="200" w:line-rule="auto"/>
        <w:ind w:firstLine="540"/>
        <w:jc w:val="both"/>
      </w:pPr>
      <w:r>
        <w:rPr>
          <w:sz w:val="20"/>
        </w:rPr>
        <w:t xml:space="preserve">3) создание рабочих мест для социальных работников;</w:t>
      </w:r>
    </w:p>
    <w:p>
      <w:pPr>
        <w:pStyle w:val="0"/>
        <w:spacing w:before="200" w:line-rule="auto"/>
        <w:ind w:firstLine="540"/>
        <w:jc w:val="both"/>
      </w:pPr>
      <w:r>
        <w:rPr>
          <w:sz w:val="20"/>
        </w:rPr>
        <w:t xml:space="preserve">4) увеличение количества получателей социальных услуг.</w:t>
      </w:r>
    </w:p>
    <w:p>
      <w:pPr>
        <w:pStyle w:val="0"/>
        <w:spacing w:before="200" w:line-rule="auto"/>
        <w:ind w:firstLine="540"/>
        <w:jc w:val="both"/>
      </w:pPr>
      <w:r>
        <w:rPr>
          <w:sz w:val="20"/>
        </w:rPr>
        <w:t xml:space="preserve">С учетом финансовых возможностей города Севастополя отдельно будет проработан вопрос информатизации межведомственного взаимодействия в целях, в том числе, доступности системы учета пациентов, признанных нуждающимися в оказании ПМП, не только медицинским организациям, но и организациям соцобслуживания, при оказании паллиативным пациентам государственных и муниципальных услуг.</w:t>
      </w:r>
    </w:p>
    <w:p>
      <w:pPr>
        <w:pStyle w:val="0"/>
      </w:pPr>
      <w:r>
        <w:rPr>
          <w:sz w:val="20"/>
        </w:rPr>
      </w:r>
    </w:p>
    <w:p>
      <w:pPr>
        <w:pStyle w:val="2"/>
        <w:outlineLvl w:val="2"/>
        <w:jc w:val="center"/>
      </w:pPr>
      <w:r>
        <w:rPr>
          <w:sz w:val="20"/>
        </w:rPr>
        <w:t xml:space="preserve">Расходование федеральной субсидии в целях развития</w:t>
      </w:r>
    </w:p>
    <w:p>
      <w:pPr>
        <w:pStyle w:val="2"/>
        <w:jc w:val="center"/>
      </w:pPr>
      <w:r>
        <w:rPr>
          <w:sz w:val="20"/>
        </w:rPr>
        <w:t xml:space="preserve">паллиативной медицинской помощи</w:t>
      </w:r>
    </w:p>
    <w:p>
      <w:pPr>
        <w:pStyle w:val="0"/>
        <w:jc w:val="center"/>
      </w:pPr>
      <w:r>
        <w:rPr>
          <w:sz w:val="20"/>
        </w:rPr>
      </w:r>
    </w:p>
    <w:p>
      <w:pPr>
        <w:pStyle w:val="0"/>
        <w:ind w:firstLine="540"/>
        <w:jc w:val="both"/>
      </w:pPr>
      <w:r>
        <w:rPr>
          <w:sz w:val="20"/>
        </w:rPr>
        <w:t xml:space="preserve">Министерство здравоохранения Российской Федерации в целях эффективной реализации государственной </w:t>
      </w:r>
      <w:hyperlink w:history="0" r:id="rId758"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программы</w:t>
        </w:r>
      </w:hyperlink>
      <w:r>
        <w:rPr>
          <w:sz w:val="20"/>
        </w:rPr>
        <w:t xml:space="preserve"> Российской Федерации "Развитие здравоохранения", утвержденной постановлением Правительства Российской Федерации от 26.12.2017 N 1640, предоставляет и распределяет субсидии из федерального бюджета бюджетам субъектов Российской Федерации, в том числе бюджету города Севастополя, в целях софинансирования реализации государственных программ субъектов Российской Федерации, содержащих мероприятия по развитию системы паллиативной медицинской помощи. Субсидии предоставляются в целях софинансирования расходных обязательств субъектов Российской Федерации, связанных с реализацией следующих мероприятий:</w:t>
      </w:r>
    </w:p>
    <w:p>
      <w:pPr>
        <w:pStyle w:val="0"/>
        <w:spacing w:before="200" w:line-rule="auto"/>
        <w:ind w:firstLine="540"/>
        <w:jc w:val="both"/>
      </w:pPr>
      <w:r>
        <w:rPr>
          <w:sz w:val="20"/>
        </w:rPr>
        <w:t xml:space="preserve">1) обеспечение лекарственными препаратами, в том числе для обезболивания;</w:t>
      </w:r>
    </w:p>
    <w:p>
      <w:pPr>
        <w:pStyle w:val="0"/>
        <w:spacing w:before="200" w:line-rule="auto"/>
        <w:ind w:firstLine="540"/>
        <w:jc w:val="both"/>
      </w:pPr>
      <w:r>
        <w:rPr>
          <w:sz w:val="20"/>
        </w:rPr>
        <w:t xml:space="preserve">2) обеспечение медицинских организаций, оказывающих паллиативную медицинскую помощь, медицинскими изделиями, в том числе для использования на дому.</w:t>
      </w:r>
    </w:p>
    <w:p>
      <w:pPr>
        <w:pStyle w:val="0"/>
        <w:spacing w:before="200" w:line-rule="auto"/>
        <w:ind w:firstLine="540"/>
        <w:jc w:val="both"/>
      </w:pPr>
      <w:r>
        <w:rPr>
          <w:sz w:val="20"/>
        </w:rPr>
        <w:t xml:space="preserve">На момент утверждения Программы рассматривается возможность внесения изменений в </w:t>
      </w:r>
      <w:hyperlink w:history="0" r:id="rId759"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программу</w:t>
        </w:r>
      </w:hyperlink>
      <w:r>
        <w:rPr>
          <w:sz w:val="20"/>
        </w:rPr>
        <w:t xml:space="preserve"> Российской Федерации "Развитие здравоохранения" с целью возможности финансирования со стороны региона мероприятий, не обеспеченных региональным бюджетом. В рамках настоящей Программы целесообразно расходование бюджетных денежных средств по следующим направлениям:</w:t>
      </w:r>
    </w:p>
    <w:p>
      <w:pPr>
        <w:pStyle w:val="0"/>
        <w:spacing w:before="200" w:line-rule="auto"/>
        <w:ind w:firstLine="540"/>
        <w:jc w:val="both"/>
      </w:pPr>
      <w:r>
        <w:rPr>
          <w:sz w:val="20"/>
        </w:rPr>
        <w:t xml:space="preserve">1) обеспечение лекарственными препаратами, в том числе для обезболивания, в том числе обеспечение до 100 процентов расчетной потребности в инвазивных и неинвазивных наркотических лекарственных препаратах;</w:t>
      </w:r>
    </w:p>
    <w:p>
      <w:pPr>
        <w:pStyle w:val="0"/>
        <w:spacing w:before="200" w:line-rule="auto"/>
        <w:ind w:firstLine="540"/>
        <w:jc w:val="both"/>
      </w:pPr>
      <w:r>
        <w:rPr>
          <w:sz w:val="20"/>
        </w:rPr>
        <w:t xml:space="preserve">2) обеспечение медицинских организаций, оказывающих паллиативную медицинскую помощь:</w:t>
      </w:r>
    </w:p>
    <w:p>
      <w:pPr>
        <w:pStyle w:val="0"/>
        <w:spacing w:before="200" w:line-rule="auto"/>
        <w:ind w:firstLine="540"/>
        <w:jc w:val="both"/>
      </w:pPr>
      <w:r>
        <w:rPr>
          <w:sz w:val="20"/>
        </w:rPr>
        <w:t xml:space="preserve">- медицинскими изделиями, в том числе для использования на дому, в соответствии с </w:t>
      </w:r>
      <w:hyperlink w:history="0" r:id="rId760"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ПМП (функциональные кровати, ванны-каталки и пр.);</w:t>
      </w:r>
    </w:p>
    <w:p>
      <w:pPr>
        <w:pStyle w:val="0"/>
        <w:spacing w:before="200" w:line-rule="auto"/>
        <w:ind w:firstLine="540"/>
        <w:jc w:val="both"/>
      </w:pPr>
      <w:r>
        <w:rPr>
          <w:sz w:val="20"/>
        </w:rPr>
        <w:t xml:space="preserve">- средствами по уходу за пациентами, нуждающимися в ПМП;</w:t>
      </w:r>
    </w:p>
    <w:p>
      <w:pPr>
        <w:pStyle w:val="0"/>
        <w:spacing w:before="200" w:line-rule="auto"/>
        <w:ind w:firstLine="540"/>
        <w:jc w:val="both"/>
      </w:pPr>
      <w:r>
        <w:rPr>
          <w:sz w:val="20"/>
        </w:rPr>
        <w:t xml:space="preserve">- легковым немедицинским транспортом для отделений выездной патронажной паллиативной медицинской помощи;</w:t>
      </w:r>
    </w:p>
    <w:p>
      <w:pPr>
        <w:pStyle w:val="0"/>
        <w:spacing w:before="200" w:line-rule="auto"/>
        <w:ind w:firstLine="540"/>
        <w:jc w:val="both"/>
      </w:pPr>
      <w:r>
        <w:rPr>
          <w:sz w:val="20"/>
        </w:rPr>
        <w:t xml:space="preserve">3) обеспечение лиц, нуждающихся в ПМП на дому, медицинскими изделиями для ИВЛ;</w:t>
      </w:r>
    </w:p>
    <w:p>
      <w:pPr>
        <w:pStyle w:val="0"/>
        <w:spacing w:before="200" w:line-rule="auto"/>
        <w:ind w:firstLine="540"/>
        <w:jc w:val="both"/>
      </w:pPr>
      <w:r>
        <w:rPr>
          <w:sz w:val="20"/>
        </w:rPr>
        <w:t xml:space="preserve">4) создание условий для использования телемедицины как в стационарных, так и амбулаторных условиях оказания ПМП нуждающимся в такой помощи;</w:t>
      </w:r>
    </w:p>
    <w:p>
      <w:pPr>
        <w:pStyle w:val="0"/>
        <w:spacing w:before="200" w:line-rule="auto"/>
        <w:ind w:firstLine="540"/>
        <w:jc w:val="both"/>
      </w:pPr>
      <w:r>
        <w:rPr>
          <w:sz w:val="20"/>
        </w:rPr>
        <w:t xml:space="preserve">5) очное обучение руководителей медицинских организаций, оказывающих ПМП, лучшим практикам оказания ПМП;</w:t>
      </w:r>
    </w:p>
    <w:p>
      <w:pPr>
        <w:pStyle w:val="0"/>
        <w:spacing w:before="200" w:line-rule="auto"/>
        <w:ind w:firstLine="540"/>
        <w:jc w:val="both"/>
      </w:pPr>
      <w:r>
        <w:rPr>
          <w:sz w:val="20"/>
        </w:rPr>
        <w:t xml:space="preserve">6) создание условий в медицинских организациях, оказывающих ПМП, отвечающих лицензионным требованиям по хранению наркотических и психотропных лекарственных препаратов;</w:t>
      </w:r>
    </w:p>
    <w:p>
      <w:pPr>
        <w:pStyle w:val="0"/>
        <w:spacing w:before="200" w:line-rule="auto"/>
        <w:ind w:firstLine="540"/>
        <w:jc w:val="both"/>
      </w:pPr>
      <w:r>
        <w:rPr>
          <w:sz w:val="20"/>
        </w:rPr>
        <w:t xml:space="preserve">7) создание Центра координации предоставления помощи и поддержки пациентам, нуждающимся в паллиативной медицинской помощи;</w:t>
      </w:r>
    </w:p>
    <w:p>
      <w:pPr>
        <w:pStyle w:val="0"/>
        <w:spacing w:before="200" w:line-rule="auto"/>
        <w:ind w:firstLine="540"/>
        <w:jc w:val="both"/>
      </w:pPr>
      <w:r>
        <w:rPr>
          <w:sz w:val="20"/>
        </w:rPr>
        <w:t xml:space="preserve">8) проведение информационных кампаний для населения о ПМП;</w:t>
      </w:r>
    </w:p>
    <w:p>
      <w:pPr>
        <w:pStyle w:val="0"/>
        <w:spacing w:before="200" w:line-rule="auto"/>
        <w:ind w:firstLine="540"/>
        <w:jc w:val="both"/>
      </w:pPr>
      <w:r>
        <w:rPr>
          <w:sz w:val="20"/>
        </w:rPr>
        <w:t xml:space="preserve">9) создание ресурсных (прокатных) центров, снабжающих пациентов, нуждающихся в ПМП, необходимым оборудованием до момента выдачи оборудования в соответствии с ИПРА;</w:t>
      </w:r>
    </w:p>
    <w:p>
      <w:pPr>
        <w:pStyle w:val="0"/>
        <w:spacing w:before="200" w:line-rule="auto"/>
        <w:ind w:firstLine="540"/>
        <w:jc w:val="both"/>
      </w:pPr>
      <w:r>
        <w:rPr>
          <w:sz w:val="20"/>
        </w:rPr>
        <w:t xml:space="preserve">10) иные расходы в соответствии с требованиями законодательства.</w:t>
      </w:r>
    </w:p>
    <w:p>
      <w:pPr>
        <w:pStyle w:val="0"/>
        <w:spacing w:before="200" w:line-rule="auto"/>
        <w:ind w:firstLine="540"/>
        <w:jc w:val="both"/>
      </w:pPr>
      <w:r>
        <w:rPr>
          <w:sz w:val="20"/>
        </w:rPr>
        <w:t xml:space="preserve">Расходование на указанные цели будет возможным после внесения соответствующих изменений в </w:t>
      </w:r>
      <w:hyperlink w:history="0" r:id="rId761"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программу</w:t>
        </w:r>
      </w:hyperlink>
      <w:r>
        <w:rPr>
          <w:sz w:val="20"/>
        </w:rPr>
        <w:t xml:space="preserve"> Российской Федерации "Развитие здравоохранения".</w:t>
      </w:r>
    </w:p>
    <w:p>
      <w:pPr>
        <w:pStyle w:val="0"/>
      </w:pPr>
      <w:r>
        <w:rPr>
          <w:sz w:val="20"/>
        </w:rPr>
      </w:r>
    </w:p>
    <w:p>
      <w:pPr>
        <w:pStyle w:val="2"/>
        <w:outlineLvl w:val="2"/>
        <w:jc w:val="center"/>
      </w:pPr>
      <w:r>
        <w:rPr>
          <w:sz w:val="20"/>
        </w:rPr>
        <w:t xml:space="preserve">Совершенствование системы внешних коммуникаций в рамках</w:t>
      </w:r>
    </w:p>
    <w:p>
      <w:pPr>
        <w:pStyle w:val="2"/>
        <w:jc w:val="center"/>
      </w:pPr>
      <w:r>
        <w:rPr>
          <w:sz w:val="20"/>
        </w:rPr>
        <w:t xml:space="preserve">развития паллиативной медицинской помощи</w:t>
      </w:r>
    </w:p>
    <w:p>
      <w:pPr>
        <w:pStyle w:val="0"/>
        <w:jc w:val="center"/>
      </w:pPr>
      <w:r>
        <w:rPr>
          <w:sz w:val="20"/>
        </w:rPr>
      </w:r>
    </w:p>
    <w:p>
      <w:pPr>
        <w:pStyle w:val="0"/>
        <w:ind w:firstLine="540"/>
        <w:jc w:val="both"/>
      </w:pPr>
      <w:r>
        <w:rPr>
          <w:sz w:val="20"/>
        </w:rPr>
        <w:t xml:space="preserve">Для оказания качественной паллиативной медицинской помощи в систему и процесс оказания ПМП должны быть вовлечены не только пациенты, их родственники и близкие, представители системы здравоохранения и социальной защиты города Севастополя, но и представители других сфер.</w:t>
      </w:r>
    </w:p>
    <w:p>
      <w:pPr>
        <w:pStyle w:val="0"/>
      </w:pPr>
      <w:r>
        <w:rPr>
          <w:sz w:val="20"/>
        </w:rPr>
      </w:r>
    </w:p>
    <w:p>
      <w:pPr>
        <w:pStyle w:val="0"/>
        <w:jc w:val="center"/>
      </w:pPr>
      <w:r>
        <w:rPr>
          <w:sz w:val="20"/>
        </w:rPr>
        <w:t xml:space="preserve">Рисунок 16. Участники системы внешних коммуникаций</w:t>
      </w:r>
    </w:p>
    <w:p>
      <w:pPr>
        <w:pStyle w:val="0"/>
        <w:jc w:val="center"/>
      </w:pPr>
      <w:r>
        <w:rPr>
          <w:sz w:val="20"/>
        </w:rPr>
      </w:r>
    </w:p>
    <w:p>
      <w:pPr>
        <w:pStyle w:val="0"/>
        <w:jc w:val="center"/>
      </w:pPr>
      <w:r>
        <w:rPr>
          <w:position w:val="-278"/>
        </w:rPr>
        <w:drawing>
          <wp:inline distT="0" distB="0" distL="0" distR="0">
            <wp:extent cx="5041265" cy="3657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a:extLst>
                        <a:ext uri="{28A0092B-C50C-407E-A947-70E740481C1C}">
                          <a14:useLocalDpi xmlns:a14="http://schemas.microsoft.com/office/drawing/2010/main" val="0"/>
                        </a:ext>
                      </a:extLst>
                    </a:blip>
                    <a:srcRect/>
                    <a:stretch>
                      <a:fillRect/>
                    </a:stretch>
                  </pic:blipFill>
                  <pic:spPr bwMode="auto">
                    <a:xfrm>
                      <a:off x="0" y="0"/>
                      <a:ext cx="5041265" cy="365760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К 2025 году в рамках настоящей Программы в целях совершенствования системы внешних коммуникаций в рамках развития ПМП планируется:</w:t>
      </w:r>
    </w:p>
    <w:p>
      <w:pPr>
        <w:pStyle w:val="0"/>
        <w:spacing w:before="200" w:line-rule="auto"/>
        <w:ind w:firstLine="540"/>
        <w:jc w:val="both"/>
      </w:pPr>
      <w:r>
        <w:rPr>
          <w:sz w:val="20"/>
        </w:rPr>
        <w:t xml:space="preserve">1) проведение информационной кампании среди жителей города Севастополя о правах и возможностях в рамках паллиативной медицинской помощи, об обезболивании, где можно отоварить рецепт на наркотические и психотропные лекарственные препараты, где можно получить психологическую помощь и поддержку;</w:t>
      </w:r>
    </w:p>
    <w:p>
      <w:pPr>
        <w:pStyle w:val="0"/>
        <w:spacing w:before="200" w:line-rule="auto"/>
        <w:ind w:firstLine="540"/>
        <w:jc w:val="both"/>
      </w:pPr>
      <w:r>
        <w:rPr>
          <w:sz w:val="20"/>
        </w:rPr>
        <w:t xml:space="preserve">2) привлечение коммерческих предприятий и индивидуальных предпринимателей для оказания спонсорской помощи медицинским организациям, оказывающим паллиативную медицинскую помощь;</w:t>
      </w:r>
    </w:p>
    <w:p>
      <w:pPr>
        <w:pStyle w:val="0"/>
        <w:spacing w:before="200" w:line-rule="auto"/>
        <w:ind w:firstLine="540"/>
        <w:jc w:val="both"/>
      </w:pPr>
      <w:r>
        <w:rPr>
          <w:sz w:val="20"/>
        </w:rPr>
        <w:t xml:space="preserve">3) создание и координация сообщества волонтеров, желающих оказывать постоянную или эпизодическую помощь паллиативным пациентам в городе Севастополе;</w:t>
      </w:r>
    </w:p>
    <w:p>
      <w:pPr>
        <w:pStyle w:val="0"/>
        <w:spacing w:before="200" w:line-rule="auto"/>
        <w:ind w:firstLine="540"/>
        <w:jc w:val="both"/>
      </w:pPr>
      <w:r>
        <w:rPr>
          <w:sz w:val="20"/>
        </w:rPr>
        <w:t xml:space="preserve">4) формирование актуального перечня медицинских организаций и организаций соцобслуживания, в которых находятся пациенты, нуждающиеся в ПМП, готовых взаимодействовать с волонтерами и спонсорами, опубличивание таких данных;</w:t>
      </w:r>
    </w:p>
    <w:p>
      <w:pPr>
        <w:pStyle w:val="0"/>
        <w:spacing w:before="200" w:line-rule="auto"/>
        <w:ind w:firstLine="540"/>
        <w:jc w:val="both"/>
      </w:pPr>
      <w:r>
        <w:rPr>
          <w:sz w:val="20"/>
        </w:rPr>
        <w:t xml:space="preserve">5) внедрение в медицинские организации, оказывающие ПМП, тематической документации по координации работы с волонтерами (помощь непосредственно в медицинской организации, помощь с транспортными услугами для пациентов, материальная помощь, например, покупка и доставка в медицинскую организацию цветов, сезонных фруктов и овощей и т.д.);</w:t>
      </w:r>
    </w:p>
    <w:p>
      <w:pPr>
        <w:pStyle w:val="0"/>
        <w:spacing w:before="200" w:line-rule="auto"/>
        <w:ind w:firstLine="540"/>
        <w:jc w:val="both"/>
      </w:pPr>
      <w:r>
        <w:rPr>
          <w:sz w:val="20"/>
        </w:rPr>
        <w:t xml:space="preserve">6) проведение ознакомительных занятий в профильных учебных заведениях по волонтерству.</w:t>
      </w:r>
    </w:p>
    <w:p>
      <w:pPr>
        <w:pStyle w:val="0"/>
        <w:spacing w:before="200" w:line-rule="auto"/>
        <w:ind w:firstLine="540"/>
        <w:jc w:val="both"/>
      </w:pPr>
      <w:r>
        <w:rPr>
          <w:sz w:val="20"/>
        </w:rPr>
        <w:t xml:space="preserve">Как отмечено в принципах развития ПМП настоящей Программы, в городе Севастополе к 2025 году будет обеспечено наращивание взаимодействия с:</w:t>
      </w:r>
    </w:p>
    <w:p>
      <w:pPr>
        <w:pStyle w:val="0"/>
        <w:spacing w:before="200" w:line-rule="auto"/>
        <w:ind w:firstLine="540"/>
        <w:jc w:val="both"/>
      </w:pPr>
      <w:r>
        <w:rPr>
          <w:sz w:val="20"/>
        </w:rPr>
        <w:t xml:space="preserve">- некоммерческими организациями, осуществляющими координацию волонтерской деятельности, в целях оказания немедицинской помощи пациентам, получающим ПМП. К 2025 году в городе Севастополе должно быть налажено взаимодействие не менее чем с 21 СОНКО;</w:t>
      </w:r>
    </w:p>
    <w:p>
      <w:pPr>
        <w:pStyle w:val="0"/>
        <w:spacing w:before="200" w:line-rule="auto"/>
        <w:ind w:firstLine="540"/>
        <w:jc w:val="both"/>
      </w:pPr>
      <w:r>
        <w:rPr>
          <w:sz w:val="20"/>
        </w:rPr>
        <w:t xml:space="preserve">- спонсорами и благотворителями. Доля внебюджетных денежных средств в финансировании ПМП должна составить к 2025 году не менее 5% от бюджетных расходов на ПМП.</w:t>
      </w:r>
    </w:p>
    <w:p>
      <w:pPr>
        <w:pStyle w:val="0"/>
        <w:spacing w:before="200" w:line-rule="auto"/>
        <w:ind w:firstLine="540"/>
        <w:jc w:val="both"/>
      </w:pPr>
      <w:r>
        <w:rPr>
          <w:sz w:val="20"/>
        </w:rPr>
        <w:t xml:space="preserve">Реализация вышеуказанных мер позволит обеспечить в городе Севастополе реализацию процессов взаимодействия гражданского общества, медицинских организаций и организаций соцобслуживания с целью улучшения качества жизни взрослых и детей, нуждающихся в паллиативной медицинской помощи, и облегчения работы сотрудников таких организаций и учреждений.</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1</w:t>
      </w:r>
    </w:p>
    <w:p>
      <w:pPr>
        <w:pStyle w:val="0"/>
        <w:jc w:val="center"/>
      </w:pPr>
      <w:r>
        <w:rPr>
          <w:sz w:val="20"/>
        </w:rPr>
      </w:r>
    </w:p>
    <w:bookmarkStart w:id="29770" w:name="P29770"/>
    <w:bookmarkEnd w:id="29770"/>
    <w:p>
      <w:pPr>
        <w:pStyle w:val="2"/>
        <w:jc w:val="center"/>
      </w:pPr>
      <w:r>
        <w:rPr>
          <w:sz w:val="20"/>
        </w:rPr>
        <w:t xml:space="preserve">Перечень региональных нормативных правовых актов,</w:t>
      </w:r>
    </w:p>
    <w:p>
      <w:pPr>
        <w:pStyle w:val="2"/>
        <w:jc w:val="center"/>
      </w:pPr>
      <w:r>
        <w:rPr>
          <w:sz w:val="20"/>
        </w:rPr>
        <w:t xml:space="preserve">регламентирующих оказание паллиативной медицинской помощи</w:t>
      </w:r>
    </w:p>
    <w:p>
      <w:pPr>
        <w:pStyle w:val="2"/>
        <w:jc w:val="center"/>
      </w:pPr>
      <w:r>
        <w:rPr>
          <w:sz w:val="20"/>
        </w:rPr>
        <w:t xml:space="preserve">в городе Севастополе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763"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10.11.2022 N 561-ПП)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835"/>
        <w:gridCol w:w="5669"/>
      </w:tblGrid>
      <w:tr>
        <w:tc>
          <w:tcPr>
            <w:tcW w:w="567" w:type="dxa"/>
          </w:tcPr>
          <w:p>
            <w:pPr>
              <w:pStyle w:val="0"/>
              <w:jc w:val="center"/>
            </w:pPr>
            <w:r>
              <w:rPr>
                <w:sz w:val="20"/>
              </w:rPr>
              <w:t xml:space="preserve">N</w:t>
            </w:r>
          </w:p>
        </w:tc>
        <w:tc>
          <w:tcPr>
            <w:tcW w:w="2835" w:type="dxa"/>
          </w:tcPr>
          <w:p>
            <w:pPr>
              <w:pStyle w:val="0"/>
              <w:jc w:val="center"/>
            </w:pPr>
            <w:r>
              <w:rPr>
                <w:sz w:val="20"/>
              </w:rPr>
              <w:t xml:space="preserve">Наименование нормативного правового акта</w:t>
            </w:r>
          </w:p>
        </w:tc>
        <w:tc>
          <w:tcPr>
            <w:tcW w:w="5669" w:type="dxa"/>
          </w:tcPr>
          <w:p>
            <w:pPr>
              <w:pStyle w:val="0"/>
              <w:jc w:val="center"/>
            </w:pPr>
            <w:r>
              <w:rPr>
                <w:sz w:val="20"/>
              </w:rPr>
              <w:t xml:space="preserve">Комментарии</w:t>
            </w:r>
          </w:p>
        </w:tc>
      </w:tr>
      <w:tr>
        <w:tc>
          <w:tcPr>
            <w:gridSpan w:val="3"/>
            <w:tcW w:w="9071" w:type="dxa"/>
          </w:tcPr>
          <w:p>
            <w:pPr>
              <w:pStyle w:val="0"/>
              <w:outlineLvl w:val="3"/>
              <w:jc w:val="both"/>
            </w:pPr>
            <w:r>
              <w:rPr>
                <w:sz w:val="20"/>
              </w:rPr>
              <w:t xml:space="preserve">Оказание паллиативной медицинской помощи</w:t>
            </w:r>
          </w:p>
        </w:tc>
      </w:tr>
      <w:tr>
        <w:tblPrEx>
          <w:tblBorders>
            <w:insideH w:val="nil"/>
          </w:tblBorders>
        </w:tblPrEx>
        <w:tc>
          <w:tcPr>
            <w:tcW w:w="567" w:type="dxa"/>
            <w:tcBorders>
              <w:bottom w:val="nil"/>
            </w:tcBorders>
          </w:tcPr>
          <w:p>
            <w:pPr>
              <w:pStyle w:val="0"/>
              <w:jc w:val="both"/>
            </w:pPr>
            <w:r>
              <w:rPr>
                <w:sz w:val="20"/>
              </w:rPr>
              <w:t xml:space="preserve">1.</w:t>
            </w:r>
          </w:p>
        </w:tc>
        <w:tc>
          <w:tcPr>
            <w:tcW w:w="2835" w:type="dxa"/>
            <w:tcBorders>
              <w:bottom w:val="nil"/>
            </w:tcBorders>
          </w:tcPr>
          <w:p>
            <w:pPr>
              <w:pStyle w:val="0"/>
              <w:jc w:val="both"/>
            </w:pPr>
            <w:hyperlink w:history="0" r:id="rId764" w:tooltip="Закон города Севастополя от 05.08.2014 N 54-ЗС (ред. от 03.10.2018) &quot;Об охране здоровья населения города Севастополя&quot; (принят Законодательным Собранием г. Севастополя 22.07.2014) {КонсультантПлюс}">
              <w:r>
                <w:rPr>
                  <w:sz w:val="20"/>
                  <w:color w:val="0000ff"/>
                </w:rPr>
                <w:t xml:space="preserve">Закон</w:t>
              </w:r>
            </w:hyperlink>
            <w:r>
              <w:rPr>
                <w:sz w:val="20"/>
              </w:rPr>
              <w:t xml:space="preserve"> города Севастополя от 05.08.2014 N 54-ЗС "Об охране здоровья населения города Севастополя"</w:t>
            </w:r>
          </w:p>
        </w:tc>
        <w:tc>
          <w:tcPr>
            <w:tcW w:w="5669" w:type="dxa"/>
            <w:tcBorders>
              <w:bottom w:val="nil"/>
            </w:tcBorders>
          </w:tcPr>
          <w:p>
            <w:pPr>
              <w:pStyle w:val="0"/>
              <w:jc w:val="both"/>
            </w:pPr>
            <w:r>
              <w:rPr>
                <w:sz w:val="20"/>
              </w:rPr>
              <w:t xml:space="preserve">К полномочиям исполнительного органа города Севастополя, уполномоченного в сфере охраны здоровья, в том числе относится организация оказания населению города Севастополя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в медицинских организациях, подведомственных исполнительному органу города Севастополя, уполномоченному в сфере охраны здоровья</w:t>
            </w:r>
          </w:p>
        </w:tc>
      </w:tr>
      <w:tr>
        <w:tblPrEx>
          <w:tblBorders>
            <w:insideH w:val="nil"/>
          </w:tblBorders>
        </w:tblPrEx>
        <w:tc>
          <w:tcPr>
            <w:gridSpan w:val="3"/>
            <w:tcW w:w="9071" w:type="dxa"/>
            <w:tcBorders>
              <w:top w:val="nil"/>
            </w:tcBorders>
          </w:tcPr>
          <w:p>
            <w:pPr>
              <w:pStyle w:val="0"/>
              <w:jc w:val="both"/>
            </w:pPr>
            <w:r>
              <w:rPr>
                <w:sz w:val="20"/>
              </w:rPr>
              <w:t xml:space="preserve">(в ред. </w:t>
            </w:r>
            <w:hyperlink w:history="0" r:id="rId765"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10.11.2022 N 561-ПП)</w:t>
            </w:r>
          </w:p>
        </w:tc>
      </w:tr>
      <w:tr>
        <w:tc>
          <w:tcPr>
            <w:tcW w:w="567" w:type="dxa"/>
          </w:tcPr>
          <w:p>
            <w:pPr>
              <w:pStyle w:val="0"/>
              <w:jc w:val="both"/>
            </w:pPr>
            <w:r>
              <w:rPr>
                <w:sz w:val="20"/>
              </w:rPr>
              <w:t xml:space="preserve">2.</w:t>
            </w:r>
          </w:p>
        </w:tc>
        <w:tc>
          <w:tcPr>
            <w:tcW w:w="2835" w:type="dxa"/>
          </w:tcPr>
          <w:p>
            <w:pPr>
              <w:pStyle w:val="0"/>
              <w:jc w:val="both"/>
            </w:pPr>
            <w:hyperlink w:history="0" r:id="rId766" w:tooltip="Постановление Правительства Севастополя от 17.03.2015 N 182-ПП (ред. от 29.07.2021) &quot;Об утверждении положения о Департаменте здравоохранения города Севастополя&quot; {КонсультантПлюс}">
              <w:r>
                <w:rPr>
                  <w:sz w:val="20"/>
                  <w:color w:val="0000ff"/>
                </w:rPr>
                <w:t xml:space="preserve">Постановление</w:t>
              </w:r>
            </w:hyperlink>
            <w:r>
              <w:rPr>
                <w:sz w:val="20"/>
              </w:rPr>
              <w:t xml:space="preserve"> Правительства Севастополя от 17.03.2015 N 182-ПП "Об утверждении положения о Департаменте здравоохранения города Севастополя"</w:t>
            </w:r>
          </w:p>
        </w:tc>
        <w:tc>
          <w:tcPr>
            <w:tcW w:w="5669" w:type="dxa"/>
          </w:tcPr>
          <w:p>
            <w:pPr>
              <w:pStyle w:val="0"/>
              <w:jc w:val="both"/>
            </w:pPr>
            <w:r>
              <w:rPr>
                <w:sz w:val="20"/>
              </w:rPr>
              <w:t xml:space="preserve">Департамент здравоохранения города Севастополя в соответствии с возложенными на него основными задачами организует оказание населению города Севастополя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в организациях, осуществляющих деятельность в сфере охраны здоровья</w:t>
            </w:r>
          </w:p>
        </w:tc>
      </w:tr>
      <w:tr>
        <w:tc>
          <w:tcPr>
            <w:tcW w:w="567" w:type="dxa"/>
          </w:tcPr>
          <w:p>
            <w:pPr>
              <w:pStyle w:val="0"/>
              <w:jc w:val="both"/>
            </w:pPr>
            <w:r>
              <w:rPr>
                <w:sz w:val="20"/>
              </w:rPr>
              <w:t xml:space="preserve">3.</w:t>
            </w:r>
          </w:p>
        </w:tc>
        <w:tc>
          <w:tcPr>
            <w:tcW w:w="2835" w:type="dxa"/>
          </w:tcPr>
          <w:p>
            <w:pPr>
              <w:pStyle w:val="0"/>
              <w:jc w:val="both"/>
            </w:pPr>
            <w:r>
              <w:rPr>
                <w:sz w:val="20"/>
              </w:rPr>
              <w:t xml:space="preserve">Государственная программа города Севастополя "Развитие здравоохранения в городе Севастополе"</w:t>
            </w:r>
          </w:p>
        </w:tc>
        <w:tc>
          <w:tcPr>
            <w:tcW w:w="5669" w:type="dxa"/>
          </w:tcPr>
          <w:p>
            <w:pPr>
              <w:pStyle w:val="0"/>
              <w:jc w:val="both"/>
            </w:pPr>
            <w:r>
              <w:rPr>
                <w:sz w:val="20"/>
              </w:rPr>
              <w:t xml:space="preserve">Одной из основных задач по достижению целевых показателей по снижению смертности от злокачественных новообразований (образований) является модернизация системы оказания паллиативной помощи больным со ЗНО.</w:t>
            </w:r>
          </w:p>
          <w:p>
            <w:pPr>
              <w:pStyle w:val="0"/>
              <w:jc w:val="both"/>
            </w:pPr>
            <w:r>
              <w:rPr>
                <w:sz w:val="20"/>
              </w:rPr>
              <w:t xml:space="preserve">Ожидаемые результаты реализации </w:t>
            </w:r>
            <w:hyperlink w:history="0" w:anchor="P968" w:tooltip="ПОДПРОГРАММА 2">
              <w:r>
                <w:rPr>
                  <w:sz w:val="20"/>
                  <w:color w:val="0000ff"/>
                </w:rPr>
                <w:t xml:space="preserve">подпрограммы 2</w:t>
              </w:r>
            </w:hyperlink>
            <w:r>
              <w:rPr>
                <w:sz w:val="20"/>
              </w:rPr>
              <w:t xml:space="preserve">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pPr>
              <w:pStyle w:val="0"/>
              <w:jc w:val="both"/>
            </w:pPr>
            <w:r>
              <w:rPr>
                <w:sz w:val="20"/>
              </w:rPr>
              <w:t xml:space="preserve">- доля посещений выездной патронажной службой на дому для оказания паллиативной медицинской помощи в общем количестве посещений по паллиативной медицинской помощи составит 52,4% за 2020 г.;</w:t>
            </w:r>
          </w:p>
          <w:p>
            <w:pPr>
              <w:pStyle w:val="0"/>
              <w:jc w:val="both"/>
            </w:pPr>
            <w:r>
              <w:rPr>
                <w:sz w:val="20"/>
              </w:rPr>
              <w:t xml:space="preserve">- уровень обеспеченности койками для оказания паллиативной медицинской помощи составляет 0,064 тыс. коек на 2020 г.</w:t>
            </w:r>
          </w:p>
          <w:p>
            <w:pPr>
              <w:pStyle w:val="0"/>
              <w:jc w:val="both"/>
            </w:pPr>
            <w:r>
              <w:rPr>
                <w:sz w:val="20"/>
              </w:rPr>
              <w:t xml:space="preserve">При сравнении расчетного норматива потребности в койках круглосуточного стационара и существующего коечного фонда выявлено, что при нормативе коек для оказания медицинской помощи за счет средств бюджета в количестве 905 существующий коечный фонд представлен 649 койками, дефицит - 256. Наибольшее отклонение наблюдается по психиатрии - 120, наркологии - 43 и паллиативной помощи - 62.</w:t>
            </w:r>
          </w:p>
          <w:p>
            <w:pPr>
              <w:pStyle w:val="0"/>
              <w:jc w:val="both"/>
            </w:pPr>
            <w:r>
              <w:rPr>
                <w:sz w:val="20"/>
              </w:rPr>
              <w:t xml:space="preserve">Обеспеченность паллиативными койками детского населения в 2018 году составила 0,3 на 100 тыс. населения.</w:t>
            </w:r>
          </w:p>
          <w:p>
            <w:pPr>
              <w:pStyle w:val="0"/>
              <w:jc w:val="both"/>
            </w:pPr>
            <w:r>
              <w:rPr>
                <w:sz w:val="20"/>
              </w:rPr>
              <w:t xml:space="preserve">Число больных со ЗНО, получивших паллиативную помощь: 2016 г. - 325, 2017 г. - 399, 2018 г. - 508.</w:t>
            </w:r>
          </w:p>
          <w:p>
            <w:pPr>
              <w:pStyle w:val="0"/>
              <w:jc w:val="both"/>
            </w:pPr>
            <w:r>
              <w:rPr>
                <w:sz w:val="20"/>
              </w:rPr>
              <w:t xml:space="preserve">Задачи региональной программы "Развитие здравоохранения" в части совершенствования паллиативной помощи онкологическим пациентам:</w:t>
            </w:r>
          </w:p>
          <w:p>
            <w:pPr>
              <w:pStyle w:val="0"/>
              <w:jc w:val="both"/>
            </w:pPr>
            <w:r>
              <w:rPr>
                <w:sz w:val="20"/>
              </w:rPr>
              <w:t xml:space="preserve">- актуализация маршрутизации пациентов, нуждающихся в оказании паллиативной медицинской помощи;</w:t>
            </w:r>
          </w:p>
          <w:p>
            <w:pPr>
              <w:pStyle w:val="0"/>
              <w:jc w:val="both"/>
            </w:pPr>
            <w:r>
              <w:rPr>
                <w:sz w:val="20"/>
              </w:rPr>
              <w:t xml:space="preserve">- выделение медицинских организаций, оказывающих паллиативную медицинскую помощь, в том числе пациентам со ЗНО;</w:t>
            </w:r>
          </w:p>
          <w:p>
            <w:pPr>
              <w:pStyle w:val="0"/>
              <w:jc w:val="both"/>
            </w:pPr>
            <w:r>
              <w:rPr>
                <w:sz w:val="20"/>
              </w:rPr>
              <w:t xml:space="preserve">- создание регистра пациентов, нуждающихся в паллиативной помощи, включая обезболивание, интеграция его в РМИС "Витакор" АИС ЛПУ;</w:t>
            </w:r>
          </w:p>
          <w:p>
            <w:pPr>
              <w:pStyle w:val="0"/>
              <w:jc w:val="both"/>
            </w:pPr>
            <w:r>
              <w:rPr>
                <w:sz w:val="20"/>
              </w:rPr>
              <w:t xml:space="preserve">- анализ и подготовка предложений по оптимизации службы паллиативной медицинской помощи города Севастополя;</w:t>
            </w:r>
          </w:p>
          <w:p>
            <w:pPr>
              <w:pStyle w:val="0"/>
              <w:jc w:val="both"/>
            </w:pPr>
            <w:r>
              <w:rPr>
                <w:sz w:val="20"/>
              </w:rPr>
              <w:t xml:space="preserve">- подготовка нормативных правовых актов, определяющих порядок контроля качества паллиативной медицинской помощи.</w:t>
            </w:r>
          </w:p>
          <w:p>
            <w:pPr>
              <w:pStyle w:val="0"/>
              <w:jc w:val="both"/>
            </w:pPr>
            <w:r>
              <w:rPr>
                <w:sz w:val="20"/>
              </w:rPr>
              <w:t xml:space="preserve">Комплекс мер по развитию паллиативной помощи онкологическим пациентам:</w:t>
            </w:r>
          </w:p>
          <w:p>
            <w:pPr>
              <w:pStyle w:val="0"/>
              <w:jc w:val="both"/>
            </w:pPr>
            <w:r>
              <w:rPr>
                <w:sz w:val="20"/>
              </w:rPr>
              <w:t xml:space="preserve">- определение доступности паллиативной медицинской помощи, анализ и подготовка предложений по оптимизации и разработке плана мероприятий по совершенствованию инфраструктуры паллиативной помощи - июнь - декабрь 2020 г.;</w:t>
            </w:r>
          </w:p>
          <w:p>
            <w:pPr>
              <w:pStyle w:val="0"/>
              <w:jc w:val="both"/>
            </w:pPr>
            <w:r>
              <w:rPr>
                <w:sz w:val="20"/>
              </w:rPr>
              <w:t xml:space="preserve">- формирование инфраструктуры паллиативной помощи как этапа ведения пациентов с распространенной формой злокачественного новообразования, дальнейшее развитие реабилитационной базы для онкологических пациентов, определение медицинских организаций для оказания паллиативной медицинской помощи онкологическим пациентам - июнь - декабрь 2020 г.;</w:t>
            </w:r>
          </w:p>
          <w:p>
            <w:pPr>
              <w:pStyle w:val="0"/>
              <w:jc w:val="both"/>
            </w:pPr>
            <w:r>
              <w:rPr>
                <w:sz w:val="20"/>
              </w:rPr>
              <w:t xml:space="preserve">- развитие сети кабинетов и отделений паллиативной помощи: в каждой городской больнице функционируют кабинеты паллиативной помощи, открыто отделение паллиативной помощи для соматических больных в ГБУЗС "Севастопольская городская больница N 9", функционирует отделение паллиативной помощи в ГБУЗС "СГОД" - январь - декабрь 2020 г.;</w:t>
            </w:r>
          </w:p>
          <w:p>
            <w:pPr>
              <w:pStyle w:val="0"/>
              <w:jc w:val="both"/>
            </w:pPr>
            <w:r>
              <w:rPr>
                <w:sz w:val="20"/>
              </w:rPr>
              <w:t xml:space="preserve">- обучение медицинских кадров (врачей, средних и младших медицинских работников) по вопросам паллиативной медицинской помощи - январь - декабрь 2020 г.;</w:t>
            </w:r>
          </w:p>
          <w:p>
            <w:pPr>
              <w:pStyle w:val="0"/>
              <w:jc w:val="both"/>
            </w:pPr>
            <w:r>
              <w:rPr>
                <w:sz w:val="20"/>
              </w:rPr>
              <w:t xml:space="preserve">- подготовка нормативно-правового акта по совершенствованию инфраструктуры паллиативной помощи (по завершении ремонта отделения паллиативной помощи в ГБУЗС "Севастопольская городская больница N 9") - июнь - декабрь 2020 г.;</w:t>
            </w:r>
          </w:p>
          <w:p>
            <w:pPr>
              <w:pStyle w:val="0"/>
              <w:jc w:val="both"/>
            </w:pPr>
            <w:r>
              <w:rPr>
                <w:sz w:val="20"/>
              </w:rPr>
              <w:t xml:space="preserve">- создание регистра пациентов, нуждающихся в паллиативной помощи, включая обезболивание, интеграция его в РМИС "Витакор" АИС ЛПУ - январь 2020 г.;</w:t>
            </w:r>
          </w:p>
          <w:p>
            <w:pPr>
              <w:pStyle w:val="0"/>
              <w:jc w:val="both"/>
            </w:pPr>
            <w:r>
              <w:rPr>
                <w:sz w:val="20"/>
              </w:rPr>
              <w:t xml:space="preserve">- контроль за качеством оказания паллиативной помощи взрослому населению - 2020 - 2024 годы;</w:t>
            </w:r>
          </w:p>
          <w:p>
            <w:pPr>
              <w:pStyle w:val="0"/>
              <w:jc w:val="both"/>
            </w:pPr>
            <w:r>
              <w:rPr>
                <w:sz w:val="20"/>
              </w:rPr>
              <w:t xml:space="preserve">- межведомственное взаимодействие с органами социальной защиты, пенсионного обеспечения, волонтерским движением по вопросам сотрудничества по развитию паллиативной помощи и уходу за пациентами на дому и в медицинских организациях - 2020 - 2024 годы;</w:t>
            </w:r>
          </w:p>
          <w:p>
            <w:pPr>
              <w:pStyle w:val="0"/>
              <w:jc w:val="both"/>
            </w:pPr>
            <w:r>
              <w:rPr>
                <w:sz w:val="20"/>
              </w:rPr>
              <w:t xml:space="preserve">- разработка мероприятий по межведомственному взаимодействию с органами социальной защиты, пенсионного обеспечения, религиозными организациями, волонтерским движением по вопросам сотрудничества по развитию паллиативной помощи и уходу за пациентами на дому и в медицинских организациях - январь - декабрь 2020 г.</w:t>
            </w:r>
          </w:p>
        </w:tc>
      </w:tr>
      <w:tr>
        <w:tc>
          <w:tcPr>
            <w:tcW w:w="567" w:type="dxa"/>
          </w:tcPr>
          <w:p>
            <w:pPr>
              <w:pStyle w:val="0"/>
              <w:jc w:val="both"/>
            </w:pPr>
            <w:r>
              <w:rPr>
                <w:sz w:val="20"/>
              </w:rPr>
              <w:t xml:space="preserve">4.</w:t>
            </w:r>
          </w:p>
        </w:tc>
        <w:tc>
          <w:tcPr>
            <w:tcW w:w="2835" w:type="dxa"/>
          </w:tcPr>
          <w:p>
            <w:pPr>
              <w:pStyle w:val="0"/>
              <w:jc w:val="both"/>
            </w:pPr>
            <w:r>
              <w:rPr>
                <w:sz w:val="20"/>
              </w:rPr>
              <w:t xml:space="preserve">Территориальная программа государственных гарантий бесплатного оказания гражданам медицинской помощи в городе Севастополе на текущий и плановые периоды</w:t>
            </w:r>
          </w:p>
        </w:tc>
        <w:tc>
          <w:tcPr>
            <w:tcW w:w="5669" w:type="dxa"/>
          </w:tcPr>
          <w:p>
            <w:pPr>
              <w:pStyle w:val="0"/>
              <w:jc w:val="both"/>
            </w:pPr>
            <w:r>
              <w:rPr>
                <w:sz w:val="20"/>
              </w:rPr>
              <w:t xml:space="preserve">В рамках Программы (за исключением медицинской помощи, оказываемой в рамках клинической апробации) бесплатно предоставляется, в том числе паллиативная медицинская помощь, в том числе паллиативная первичная медицинская помощь, включая доврачебную и врачебную, и паллиативная специализированная медицинская помощь.</w:t>
            </w:r>
          </w:p>
          <w:p>
            <w:pPr>
              <w:pStyle w:val="0"/>
              <w:jc w:val="both"/>
            </w:pPr>
            <w:r>
              <w:rPr>
                <w:sz w:val="20"/>
              </w:rPr>
              <w:t xml:space="preserve">Паллиативная медицинская помощь оказывается бесплатно в амбулаторных условиях, в том числе на дому, в условиях дневного стационара и стационарных условиях медицинскими работниками, прошедшими обучение по оказанию такой помощи.</w:t>
            </w:r>
          </w:p>
          <w:p>
            <w:pPr>
              <w:pStyle w:val="0"/>
              <w:jc w:val="both"/>
            </w:pPr>
            <w:r>
              <w:rPr>
                <w:sz w:val="20"/>
              </w:rPr>
              <w:t xml:space="preserve">Медицинские организации, оказывающие паллиативную медицинскую помощь, осуществляют взаимодействие с родственниками и иными членами семьи пациента или законным представителем пациента, лицами, осуществляющими уход за пациентом, добровольцами (волонтерами), а также организациями социального обслуживания, религиозными организациями, организациями, указанными в </w:t>
            </w:r>
            <w:hyperlink w:history="0" r:id="rId767"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части 2 статьи 6</w:t>
              </w:r>
            </w:hyperlink>
            <w:r>
              <w:rPr>
                <w:sz w:val="20"/>
              </w:rPr>
              <w:t xml:space="preserve"> Федерального закона "Об основах охраны здоровья граждан в Российской Федерации", в том числе в целях предоставления такому пациенту социальных услуг, мер социальной защиты (поддержки) в соответствии с законодательством Российской Федерации, мер психологической поддержки и духовной помощи.</w:t>
            </w:r>
          </w:p>
          <w:p>
            <w:pPr>
              <w:pStyle w:val="0"/>
              <w:jc w:val="both"/>
            </w:pPr>
            <w:r>
              <w:rPr>
                <w:sz w:val="20"/>
              </w:rPr>
              <w:t xml:space="preserve">Медицинская организация, к которой пациент прикреплен для получения первичной медико-санитарной помощи, организует оказание ему паллиативной первичной медицинской помощи медицинскими работниками, включая медицинских работников фельдшерских пунктов, фельдшерско-акушерских пунктов, врачебных амбулаторий и иных подразделений медицинских организаций, оказывающих первичную медико-санитарную помощь, во взаимодействии с выездными патронажными бригадами медицинских организаций, оказывающих паллиативную медицинскую помощь, и во взаимодействии с медицинскими организациями, оказывающими паллиативную специализированную медицинскую помощь.</w:t>
            </w:r>
          </w:p>
          <w:p>
            <w:pPr>
              <w:pStyle w:val="0"/>
              <w:jc w:val="both"/>
            </w:pPr>
            <w:r>
              <w:rPr>
                <w:sz w:val="20"/>
              </w:rPr>
              <w:t xml:space="preserve">Медицинские организации, оказывающие специализированную медицинскую помощь, в том числе паллиативную, в случае выявления пациента, нуждающегося в паллиативной первичной медицинской помощи в амбулаторных условиях, в том числе на дому, за 3 дня до осуществления выписки указанного пациента из медицинской организации, оказывающей специализированную медицинскую помощь, в том числе паллиативную, в стационарных условиях и условиях дневного стационара, информируют о нем медицинскую организацию, к которой такой пациент прикреплен для получения первичной медико-санитарной помощи, или близлежащую к месту его пребывания медицинскую организацию, оказывающую первичную медико-санитарную помощь.</w:t>
            </w:r>
          </w:p>
          <w:p>
            <w:pPr>
              <w:pStyle w:val="0"/>
              <w:jc w:val="both"/>
            </w:pPr>
            <w:r>
              <w:rPr>
                <w:sz w:val="20"/>
              </w:rPr>
              <w:t xml:space="preserve">За счет бюджетных ассигнований бюджетов субъектов Российской Федерации такие медицинские организации и их подразделения обеспечиваются медицинскими изделиями, предназначенными для поддержания функций органов и систем организма человека, для использования на дому по перечню, утверждаемому Министерством здравоохранения Российской Федерации, необходимыми лекарственными препаратами, в том числе наркотическими лекарственными препаратами и психотропными лекарственными препаратами.</w:t>
            </w:r>
          </w:p>
          <w:p>
            <w:pPr>
              <w:pStyle w:val="0"/>
              <w:jc w:val="both"/>
            </w:pPr>
            <w:r>
              <w:rPr>
                <w:sz w:val="20"/>
              </w:rPr>
              <w:t xml:space="preserve">В целях обеспечения пациентов, получающих паллиативную медицинскую помощь, наркотическими лекарственными препаратами и психотропными лекарственными препаратами органы исполнительной власти субъектов Российской Федерации вправе в соответствии с законодательством Российской Федерации в случае наличия потребности организовать изготовление в аптечных организациях наркотических лекарственных препаратов и психотропных лекарственных препаратов в неинвазивных лекарственных формах, в том числе применяемых у детей.</w:t>
            </w:r>
          </w:p>
          <w:p>
            <w:pPr>
              <w:pStyle w:val="0"/>
              <w:jc w:val="both"/>
            </w:pPr>
            <w:r>
              <w:rPr>
                <w:sz w:val="20"/>
              </w:rPr>
              <w:t xml:space="preserve">Мероприятия по развитию паллиативной медицинской помощи осуществляются в рамках соответствующих государственных программ субъектов Российской Федерации, включающих указанные мероприятия, а также целевые показатели их результативности.</w:t>
            </w:r>
          </w:p>
          <w:p>
            <w:pPr>
              <w:pStyle w:val="0"/>
              <w:jc w:val="both"/>
            </w:pPr>
            <w:r>
              <w:rPr>
                <w:sz w:val="20"/>
              </w:rPr>
              <w:t xml:space="preserve">При оказании в рамках Программы первичной медико-санитарной помощи в условиях дневного стационара и в неотложной форме, специализированной медицинской помощи, в том числе высокотехнологичной, скорой, в том числе скорой специализированной, медицинской помощи, паллиативной медицинской помощи в стационарных условиях, условиях дневного стационара и при посещениях на дому осуществляется обеспечение граждан лекарственными препаратами для медицинского применения и медицинскими изделиями, включенными в утвержденные Правительством Российской Федерации соответственно перечень жизненно необходимых и важнейших лекарственных препаратов и перечень медицинских изделий, имплантируемых в организм человека, а также медицинскими изделиями, предназначенными для поддержания функций органов и систем организма человека, для использования на дому при оказании паллиативной медицинской помощи в соответствии с перечнем, утверждаемым Министерством здравоохранения Российской Федерации.</w:t>
            </w:r>
          </w:p>
          <w:p>
            <w:pPr>
              <w:pStyle w:val="0"/>
              <w:jc w:val="both"/>
            </w:pPr>
            <w:hyperlink w:history="0" r:id="rId768" w:tooltip="Приказ Минздрава России от 10.07.2019 N 505н &quot;Об утверждении Порядка передачи от медицинской организации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оказании паллиативной медицинской помощи&quot; (Зарегистрировано в Минюсте России 23.09.2019 N 56024) {КонсультантПлюс}">
              <w:r>
                <w:rPr>
                  <w:sz w:val="20"/>
                  <w:color w:val="0000ff"/>
                </w:rPr>
                <w:t xml:space="preserve">Порядок</w:t>
              </w:r>
            </w:hyperlink>
            <w:r>
              <w:rPr>
                <w:sz w:val="20"/>
              </w:rPr>
              <w:t xml:space="preserve"> передачи от медицинской организации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оказании паллиативной медицинской помощи устанавливается Министерством здравоохранения Российской Федерации.</w:t>
            </w:r>
          </w:p>
          <w:p>
            <w:pPr>
              <w:pStyle w:val="0"/>
              <w:jc w:val="both"/>
            </w:pPr>
            <w:r>
              <w:rPr>
                <w:sz w:val="20"/>
              </w:rPr>
              <w:t xml:space="preserve">За счет бюджетных ассигнований города Севастополя осуществляется финансовое обеспечение:</w:t>
            </w:r>
          </w:p>
          <w:p>
            <w:pPr>
              <w:pStyle w:val="0"/>
              <w:jc w:val="both"/>
            </w:pPr>
            <w:r>
              <w:rPr>
                <w:sz w:val="20"/>
              </w:rPr>
              <w:t xml:space="preserve">паллиативной медицинской помощи, оказываемой амбулаторно, в том числе на дому, включая медицинскую помощь, оказываемую выездными патронажными бригадами, в дневном стационаре и стационарно, включая койки паллиативной медицинской помощи и койки сестринского ухода;</w:t>
            </w:r>
          </w:p>
          <w:p>
            <w:pPr>
              <w:pStyle w:val="0"/>
              <w:jc w:val="both"/>
            </w:pPr>
            <w:r>
              <w:rPr>
                <w:sz w:val="20"/>
              </w:rPr>
              <w:t xml:space="preserve">предоставления в рамках оказания паллиативной медицинской помощи для использования на дому медицинских изделий, предназначенных для поддержания функций органов и систем организма человека, по перечню, утверждаемому Министерством здравоохранения Российской Федерации, а также обеспечения лекарственными препаратами для обезболивания, включая наркотические лекарственные препараты и психотропные лекарственные препараты, при посещениях на дому.</w:t>
            </w:r>
          </w:p>
          <w:p>
            <w:pPr>
              <w:pStyle w:val="0"/>
              <w:jc w:val="both"/>
            </w:pPr>
            <w:r>
              <w:rPr>
                <w:sz w:val="20"/>
              </w:rPr>
              <w:t xml:space="preserve">Нормативы объема медицинской помощи по видам, условиям и формам ее оказания в целом по Программе определяются в единицах объема в расчете на 1 жителя в год, по территориальной программе обязательного медицинского страхования - в расчете на 1 застрахованное лицо. Нормативы объема медицинской помощи используются в целях планирования и финансово-экономического обоснования размера подушевых нормативов финансового обеспечения, предусмотренных Программой, и составляют:</w:t>
            </w:r>
          </w:p>
          <w:p>
            <w:pPr>
              <w:pStyle w:val="0"/>
              <w:jc w:val="both"/>
            </w:pPr>
            <w:r>
              <w:rPr>
                <w:sz w:val="20"/>
              </w:rPr>
              <w:t xml:space="preserve">для паллиативной медицинской помощи в амбулаторных условиях за счет бюджетных ассигнований соответствующих бюджетов на 2020 год - 0,0085 посещения на 1 жителя, на 2021 год - 0,009 посещения на 1 жителя, на 2022 год - 0,009 посещения на 1 жителя, в том числе при осуществлении посещений на дому выездными патронажными бригадами паллиативной медицинской помощи, на 2020 год - 0,015 посещения на 1 жителя, на 2021 год - 0,002 посещения на 1 жителя, на 2022 год - 0,002 посещения на 1 жителя;</w:t>
            </w:r>
          </w:p>
          <w:p>
            <w:pPr>
              <w:pStyle w:val="0"/>
              <w:jc w:val="both"/>
            </w:pPr>
            <w:r>
              <w:rPr>
                <w:sz w:val="20"/>
              </w:rPr>
              <w:t xml:space="preserve">за счет средств бюджета города Севастополя (включая случаи оказания паллиативной медицинской помощи в условиях дневного стационара) на 2020 год - 0,003628 случая лечения на 1 жителя, на 2021 год - 0,003613 случая лечения на 1 жителя, на 2022 год - 0,00346 случая лечения на 1 жителя;</w:t>
            </w:r>
          </w:p>
          <w:p>
            <w:pPr>
              <w:pStyle w:val="0"/>
              <w:jc w:val="both"/>
            </w:pPr>
            <w:r>
              <w:rPr>
                <w:sz w:val="20"/>
              </w:rPr>
              <w:t xml:space="preserve">для паллиативной медицинской помощи в стационарных условиях (койки паллиативной медицинской помощи и койки сестринского ухода) за счет средств бюджета города Севастополя на 2020 год - 0,08741 койко-дня на 1 жителя, на 2021 год - 0,0894 койко-дня на 1 жителя, на 2022 год - 0,0894 койко-дня на 1 жителя.</w:t>
            </w:r>
          </w:p>
          <w:p>
            <w:pPr>
              <w:pStyle w:val="0"/>
              <w:jc w:val="both"/>
            </w:pPr>
            <w:r>
              <w:rPr>
                <w:sz w:val="20"/>
              </w:rPr>
              <w:t xml:space="preserve">Нормативы финансовых затрат на единицу объема медицинской помощи для целей формирования Программы на 2020 год составляют:</w:t>
            </w:r>
          </w:p>
          <w:p>
            <w:pPr>
              <w:pStyle w:val="0"/>
              <w:jc w:val="both"/>
            </w:pPr>
            <w:r>
              <w:rPr>
                <w:sz w:val="20"/>
              </w:rPr>
              <w:t xml:space="preserve">на 1 посещение при оказании паллиативной медицинской помощи в амбулаторных условиях, в том числе на дому (за исключением посещений на дому выездными патронажными бригадами), за счет бюджета города Севастополя - 411,0 рубля;</w:t>
            </w:r>
          </w:p>
          <w:p>
            <w:pPr>
              <w:pStyle w:val="0"/>
              <w:jc w:val="both"/>
            </w:pPr>
            <w:r>
              <w:rPr>
                <w:sz w:val="20"/>
              </w:rPr>
              <w:t xml:space="preserve">на 1 посещение при оказании паллиативной медицинской помощи на дому выездными патронажными бригадами паллиативной медицинской помощи за счет бюджета города Севастополя (без учета расходов на оплату социальных услуг, оказываемых социальными работниками, и расходов для предоставления на дому медицинских изделий) - 2055,2 рубля;</w:t>
            </w:r>
          </w:p>
          <w:p>
            <w:pPr>
              <w:pStyle w:val="0"/>
              <w:jc w:val="both"/>
            </w:pPr>
            <w:r>
              <w:rPr>
                <w:sz w:val="20"/>
              </w:rPr>
              <w:t xml:space="preserve">на 1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за счет средств бюджета города Севастополя - 2110,4 рубля;</w:t>
            </w:r>
          </w:p>
          <w:p>
            <w:pPr>
              <w:pStyle w:val="0"/>
              <w:jc w:val="both"/>
            </w:pPr>
            <w:r>
              <w:rPr>
                <w:sz w:val="20"/>
              </w:rPr>
              <w:t xml:space="preserve">на 1 посещение при оказании паллиативной медицинской помощи в амбулаторных условиях, в том числе на дому (за исключением посещений на дому выездными патронажными бригадами), за счет средств соответствующих бюджетов на 2021 год - 477,1 рубля, на 2022 год - 503,9 рубля;</w:t>
            </w:r>
          </w:p>
          <w:p>
            <w:pPr>
              <w:pStyle w:val="0"/>
              <w:jc w:val="both"/>
            </w:pPr>
            <w:r>
              <w:rPr>
                <w:sz w:val="20"/>
              </w:rPr>
              <w:t xml:space="preserve">на 1 посещение при оказании паллиативной медицинской помощи на дому выездными патронажными бригадами паллиативной медицинской помощи за счет средств соответствующих бюджетов (без учета расходов на оплату социальных услуг, оказываемых социальными работниками, и расходов для предоставления на дому медицинских изделий) на 2021 год - 2134,4 рубля, на 2022 год - 2267,7 рубля;</w:t>
            </w:r>
          </w:p>
          <w:p>
            <w:pPr>
              <w:pStyle w:val="0"/>
              <w:jc w:val="both"/>
            </w:pPr>
            <w:r>
              <w:rPr>
                <w:sz w:val="20"/>
              </w:rPr>
              <w:t xml:space="preserve">на 1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за счет средств бюджета города Севастополя - на 2021 год - 2151,97 рубля, на 2022 год - 2312,0 рубля.</w:t>
            </w:r>
          </w:p>
          <w:p>
            <w:pPr>
              <w:pStyle w:val="0"/>
              <w:jc w:val="both"/>
            </w:pPr>
            <w:r>
              <w:rPr>
                <w:sz w:val="20"/>
              </w:rPr>
              <w:t xml:space="preserve">При оказании первичной медико-санитарной помощи в условиях дневного стационара и в неотложной форме, специализированной медицинской помощи, в том числе высокотехнологичной, скорой медицинской помощи, в том числе скорой специализированной, паллиативной медицинской помощи в стационарных условиях в рамках Территориальной программы граждане обеспечиваются лекарственными препаратами для медицинского применения, включенными в Перечень жизненно необходимых и важнейших лекарственных препаратов, утвержденный Правительством Российской Федерации, и медицинскими изделиями в соответствии со стандартами медицинской помощи.</w:t>
            </w:r>
          </w:p>
          <w:p>
            <w:pPr>
              <w:pStyle w:val="0"/>
              <w:jc w:val="both"/>
            </w:pPr>
            <w:r>
              <w:rPr>
                <w:sz w:val="20"/>
              </w:rPr>
              <w:t xml:space="preserve">Критерии качества медицинской помощи:</w:t>
            </w:r>
          </w:p>
          <w:p>
            <w:pPr>
              <w:pStyle w:val="0"/>
              <w:jc w:val="both"/>
            </w:pPr>
            <w:r>
              <w:rPr>
                <w:sz w:val="20"/>
              </w:rPr>
              <w:t xml:space="preserve">- доля пациентов, получивших паллиативную медицинскую помощь, в общем количестве пациентов, нуждающихся в паллиативной медицинской помощи: 2020 - 2022 годы - 100 процентов;</w:t>
            </w:r>
          </w:p>
          <w:p>
            <w:pPr>
              <w:pStyle w:val="0"/>
              <w:jc w:val="both"/>
            </w:pPr>
            <w:r>
              <w:rPr>
                <w:sz w:val="20"/>
              </w:rPr>
              <w:t xml:space="preserve">- 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 2020 - 2022 годы - 100 процентов.</w:t>
            </w:r>
          </w:p>
          <w:p>
            <w:pPr>
              <w:pStyle w:val="0"/>
              <w:jc w:val="both"/>
            </w:pPr>
            <w:r>
              <w:rPr>
                <w:sz w:val="20"/>
              </w:rPr>
              <w:t xml:space="preserve">Критерии доступности медицинской помощи:</w:t>
            </w:r>
          </w:p>
          <w:p>
            <w:pPr>
              <w:pStyle w:val="0"/>
              <w:jc w:val="both"/>
            </w:pPr>
            <w:r>
              <w:rPr>
                <w:sz w:val="20"/>
              </w:rPr>
              <w:t xml:space="preserve">- доля посещений выездной патронажной службой на дому для оказания паллиативной медицинской помощи взрослому населению в общем количестве посещений по паллиативной медицинской помощи взрослому населению: 2020 год - 20 процентов; 2021 год - 25 процентов; 2022 год - 30 процентов;</w:t>
            </w:r>
          </w:p>
          <w:p>
            <w:pPr>
              <w:pStyle w:val="0"/>
              <w:jc w:val="both"/>
            </w:pPr>
            <w:r>
              <w:rPr>
                <w:sz w:val="20"/>
              </w:rPr>
              <w:t xml:space="preserve">- число пациентов, получивших паллиативную медицинскую помощь по месту жительства, в том числе на дому: 2020 - 2022 годы - 4000 человек;</w:t>
            </w:r>
          </w:p>
          <w:p>
            <w:pPr>
              <w:pStyle w:val="0"/>
              <w:jc w:val="both"/>
            </w:pPr>
            <w:r>
              <w:rPr>
                <w:sz w:val="20"/>
              </w:rPr>
              <w:t xml:space="preserve">- число пациентов, которым оказана паллиативная медицинская помощь по месту их фактического пребывания за пределами субъекта Российской Федерации, на территории которого указанные пациенты зарегистрированы по месту жительства: 2020 - 2022 годы - 50 процентов</w:t>
            </w:r>
          </w:p>
        </w:tc>
      </w:tr>
      <w:tr>
        <w:tc>
          <w:tcPr>
            <w:tcW w:w="567" w:type="dxa"/>
          </w:tcPr>
          <w:p>
            <w:pPr>
              <w:pStyle w:val="0"/>
              <w:jc w:val="both"/>
            </w:pPr>
            <w:r>
              <w:rPr>
                <w:sz w:val="20"/>
              </w:rPr>
              <w:t xml:space="preserve">5.</w:t>
            </w:r>
          </w:p>
        </w:tc>
        <w:tc>
          <w:tcPr>
            <w:tcW w:w="2835" w:type="dxa"/>
          </w:tcPr>
          <w:p>
            <w:pPr>
              <w:pStyle w:val="0"/>
              <w:jc w:val="both"/>
            </w:pPr>
            <w:hyperlink w:history="0" r:id="rId769" w:tooltip="Постановление Правительства Севастополя от 30.07.2018 N 475-ПП &quot;Об утверждении Порядка расходования иного межбюджетного трансферта, предоставляемого в 2018 году из федерального бюджета бюджету города Севастополя в целях развития паллиативной медицинской помощи за счет средств резервного фонда Правительства Российской Федерации&quot; {КонсультантПлюс}">
              <w:r>
                <w:rPr>
                  <w:sz w:val="20"/>
                  <w:color w:val="0000ff"/>
                </w:rPr>
                <w:t xml:space="preserve">Порядок</w:t>
              </w:r>
            </w:hyperlink>
            <w:r>
              <w:rPr>
                <w:sz w:val="20"/>
              </w:rPr>
              <w:t xml:space="preserve"> расходования иного межбюджетного трансферта, предоставляемого в 2018 году из федерального бюджета бюджету города Севастополя в целях развития паллиативной медицинской помощи за счет средств резервного фонда Правительства Российской Федерации, утвержденный постановлением Правительства Севастополя от 30.07.2018 N 475-ПП</w:t>
            </w:r>
          </w:p>
        </w:tc>
        <w:tc>
          <w:tcPr>
            <w:tcW w:w="5669" w:type="dxa"/>
          </w:tcPr>
          <w:p>
            <w:pPr>
              <w:pStyle w:val="0"/>
              <w:jc w:val="both"/>
            </w:pPr>
            <w:r>
              <w:rPr>
                <w:sz w:val="20"/>
              </w:rPr>
              <w:t xml:space="preserve">Средства межбюджетного трансферта направляются на финансовое обеспечение расходов бюджета города Севастополя на обеспечение необходимыми лекарственными препаратами, включая обезболивающие, организацию мониторинга оказания паллиативной медицинской помощи взрослому населению и детям, обеспечение медицинских организаций, оказывающих паллиативную медицинскую помощь, медицинскими изделиями, в том числе для использования на дому, в соответствии с порядками оказания паллиативной медицинской помощи взрослому населению и детям.</w:t>
            </w:r>
          </w:p>
          <w:p>
            <w:pPr>
              <w:pStyle w:val="0"/>
              <w:jc w:val="both"/>
            </w:pPr>
            <w:r>
              <w:rPr>
                <w:sz w:val="20"/>
              </w:rPr>
              <w:t xml:space="preserve">Предельный объем средств, направляемых на финансовое обеспечение услуг по лекарственному обеспечению, устанавливается в размере не более 10% от общего объема расходов, предусмотренных в бюджете города Севастополя, за счет средств иного межбюджетного трансферта на 2018 год на обеспечение необходимыми лекарственными препаратами, включая обезболивающие, в целях оказания паллиативной медицинской помощи взрослому населению и детям.</w:t>
            </w:r>
          </w:p>
          <w:p>
            <w:pPr>
              <w:pStyle w:val="0"/>
              <w:jc w:val="both"/>
            </w:pPr>
            <w:r>
              <w:rPr>
                <w:sz w:val="20"/>
              </w:rPr>
              <w:t xml:space="preserve">В целях лекарственного обеспечения Департамент здравоохранения города Севастополя:</w:t>
            </w:r>
          </w:p>
          <w:p>
            <w:pPr>
              <w:pStyle w:val="0"/>
              <w:jc w:val="both"/>
            </w:pPr>
            <w:r>
              <w:rPr>
                <w:sz w:val="20"/>
              </w:rPr>
              <w:t xml:space="preserve">- проводит централизованные закупки лекарственного обеспечения в соответствии с определенной потребностью, в том числе осуществляет в установленном законодательством порядке подготовку документов, необходимых для размещения государственного заказа на поставку лекарственного обеспечения, обеспечивает своевременное заключение государственных контрактов по итогам размещения заказов, а также контроль за их исполнением;</w:t>
            </w:r>
          </w:p>
          <w:p>
            <w:pPr>
              <w:pStyle w:val="0"/>
              <w:jc w:val="both"/>
            </w:pPr>
            <w:r>
              <w:rPr>
                <w:sz w:val="20"/>
              </w:rPr>
              <w:t xml:space="preserve">- осуществляет мониторинг обеспечения необходимыми лекарственными препаратами, включая обезболивающие, в целях оказания паллиативной медицинской помощи взрослому населению и детям за счет средств иного межбюджетного трансферта</w:t>
            </w:r>
          </w:p>
        </w:tc>
      </w:tr>
      <w:tr>
        <w:tc>
          <w:tcPr>
            <w:tcW w:w="567" w:type="dxa"/>
          </w:tcPr>
          <w:p>
            <w:pPr>
              <w:pStyle w:val="0"/>
              <w:jc w:val="both"/>
            </w:pPr>
            <w:r>
              <w:rPr>
                <w:sz w:val="20"/>
              </w:rPr>
              <w:t xml:space="preserve">6.</w:t>
            </w:r>
          </w:p>
        </w:tc>
        <w:tc>
          <w:tcPr>
            <w:tcW w:w="2835" w:type="dxa"/>
          </w:tcPr>
          <w:p>
            <w:pPr>
              <w:pStyle w:val="0"/>
              <w:jc w:val="both"/>
            </w:pPr>
            <w:r>
              <w:rPr>
                <w:sz w:val="20"/>
              </w:rPr>
              <w:t xml:space="preserve">Приказ Департамента здравоохранения города Севастополя от 16.11.2017 N 1127 "Об утверждении порядка оказания паллиативной медицинской помощи взрослым"</w:t>
            </w:r>
          </w:p>
        </w:tc>
        <w:tc>
          <w:tcPr>
            <w:tcW w:w="5669" w:type="dxa"/>
          </w:tcPr>
          <w:p>
            <w:pPr>
              <w:pStyle w:val="0"/>
              <w:jc w:val="both"/>
            </w:pPr>
            <w:r>
              <w:rPr>
                <w:sz w:val="20"/>
              </w:rPr>
              <w:t xml:space="preserve">Определена маршрутизация пациентов</w:t>
            </w:r>
          </w:p>
        </w:tc>
      </w:tr>
      <w:tr>
        <w:tc>
          <w:tcPr>
            <w:tcW w:w="567" w:type="dxa"/>
          </w:tcPr>
          <w:p>
            <w:pPr>
              <w:pStyle w:val="0"/>
              <w:jc w:val="both"/>
            </w:pPr>
            <w:r>
              <w:rPr>
                <w:sz w:val="20"/>
              </w:rPr>
              <w:t xml:space="preserve">7.</w:t>
            </w:r>
          </w:p>
        </w:tc>
        <w:tc>
          <w:tcPr>
            <w:tcW w:w="2835" w:type="dxa"/>
          </w:tcPr>
          <w:p>
            <w:pPr>
              <w:pStyle w:val="0"/>
              <w:jc w:val="both"/>
            </w:pPr>
            <w:r>
              <w:rPr>
                <w:sz w:val="20"/>
              </w:rPr>
              <w:t xml:space="preserve">Приказ Департамента здравоохранения города Севастополя от 22.01.2018 N 62</w:t>
            </w:r>
          </w:p>
        </w:tc>
        <w:tc>
          <w:tcPr>
            <w:tcW w:w="5669" w:type="dxa"/>
          </w:tcPr>
          <w:p>
            <w:pPr>
              <w:pStyle w:val="0"/>
              <w:jc w:val="both"/>
            </w:pPr>
            <w:r>
              <w:rPr>
                <w:sz w:val="20"/>
              </w:rPr>
              <w:t xml:space="preserve">Приказом Департамента здравоохранения города Севастополя от 22.01.2018 N 62 утверждены:</w:t>
            </w:r>
          </w:p>
          <w:p>
            <w:pPr>
              <w:pStyle w:val="0"/>
              <w:jc w:val="both"/>
            </w:pPr>
            <w:r>
              <w:rPr>
                <w:sz w:val="20"/>
              </w:rPr>
              <w:t xml:space="preserve">- алгоритм оказания паллиативной медицинской помощи взрослому населению выездными патронажными бригадами в ГБУЗС "Севастопольская городская больница N 9";</w:t>
            </w:r>
          </w:p>
          <w:p>
            <w:pPr>
              <w:pStyle w:val="0"/>
              <w:jc w:val="both"/>
            </w:pPr>
            <w:r>
              <w:rPr>
                <w:sz w:val="20"/>
              </w:rPr>
              <w:t xml:space="preserve">- состав выездных паллиативных бригад;</w:t>
            </w:r>
          </w:p>
          <w:p>
            <w:pPr>
              <w:pStyle w:val="0"/>
              <w:jc w:val="both"/>
            </w:pPr>
            <w:r>
              <w:rPr>
                <w:sz w:val="20"/>
              </w:rPr>
              <w:t xml:space="preserve">- график выездных паллиативных бригад;</w:t>
            </w:r>
          </w:p>
          <w:p>
            <w:pPr>
              <w:pStyle w:val="0"/>
              <w:jc w:val="both"/>
            </w:pPr>
            <w:r>
              <w:rPr>
                <w:sz w:val="20"/>
              </w:rPr>
              <w:t xml:space="preserve">- форма реестра пациентов, нуждающихся в оказании паллиативной медицинской помощи;</w:t>
            </w:r>
          </w:p>
          <w:p>
            <w:pPr>
              <w:pStyle w:val="0"/>
              <w:jc w:val="both"/>
            </w:pPr>
            <w:r>
              <w:rPr>
                <w:sz w:val="20"/>
              </w:rPr>
              <w:t xml:space="preserve">- карта пациента паллиативной бригады</w:t>
            </w:r>
          </w:p>
        </w:tc>
      </w:tr>
      <w:tr>
        <w:tblPrEx>
          <w:tblBorders>
            <w:insideH w:val="nil"/>
          </w:tblBorders>
        </w:tblPrEx>
        <w:tc>
          <w:tcPr>
            <w:gridSpan w:val="3"/>
            <w:tcW w:w="9071"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Приказ Минздрава России от 14.04.2015 имеет номер 187н, а не 187.</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567" w:type="dxa"/>
            <w:tcBorders>
              <w:top w:val="nil"/>
            </w:tcBorders>
          </w:tcPr>
          <w:p>
            <w:pPr>
              <w:pStyle w:val="0"/>
              <w:jc w:val="both"/>
            </w:pPr>
            <w:r>
              <w:rPr>
                <w:sz w:val="20"/>
              </w:rPr>
            </w:r>
          </w:p>
        </w:tc>
        <w:tc>
          <w:tcPr>
            <w:tcW w:w="2835" w:type="dxa"/>
            <w:tcBorders>
              <w:top w:val="nil"/>
            </w:tcBorders>
          </w:tcPr>
          <w:p>
            <w:pPr>
              <w:pStyle w:val="0"/>
              <w:jc w:val="both"/>
            </w:pPr>
            <w:hyperlink w:history="0" r:id="rId770" w:tooltip="Приказ Департамента здравоохранения г. Севастополя от 22.03.2019 N 258 &quot;Об утверждении Порядка оказания медицинской помощи взрослому населению по профилю &quot;Анестезиология и реаниматология&quot; в медицинских организациях города Севастополя&quot; {КонсультантПлюс}">
              <w:r>
                <w:rPr>
                  <w:sz w:val="20"/>
                  <w:color w:val="0000ff"/>
                </w:rPr>
                <w:t xml:space="preserve">Приказ</w:t>
              </w:r>
            </w:hyperlink>
            <w:r>
              <w:rPr>
                <w:sz w:val="20"/>
              </w:rPr>
              <w:t xml:space="preserve"> Департамента здравоохранения города Севастополя от 22.03.2019 N 258 "Об утверждении Порядка оказания медицинской помощи взрослому населению по профилю "Анестезиология и реаниматология" в медицинских организациях города Севастополя"</w:t>
            </w:r>
          </w:p>
        </w:tc>
        <w:tc>
          <w:tcPr>
            <w:tcW w:w="5669" w:type="dxa"/>
            <w:tcBorders>
              <w:top w:val="nil"/>
            </w:tcBorders>
          </w:tcPr>
          <w:p>
            <w:pPr>
              <w:pStyle w:val="0"/>
              <w:jc w:val="both"/>
            </w:pPr>
            <w:r>
              <w:rPr>
                <w:sz w:val="20"/>
              </w:rPr>
              <w:t xml:space="preserve">Медицинская помощь по профилю "Анестезиология и реаниматология" оказывается в виде:</w:t>
            </w:r>
          </w:p>
          <w:p>
            <w:pPr>
              <w:pStyle w:val="0"/>
              <w:jc w:val="both"/>
            </w:pPr>
            <w:r>
              <w:rPr>
                <w:sz w:val="20"/>
              </w:rPr>
              <w:t xml:space="preserve">- первичной медико-санитарной помощи;</w:t>
            </w:r>
          </w:p>
          <w:p>
            <w:pPr>
              <w:pStyle w:val="0"/>
              <w:jc w:val="both"/>
            </w:pPr>
            <w:r>
              <w:rPr>
                <w:sz w:val="20"/>
              </w:rPr>
              <w:t xml:space="preserve">- скорой, в том числе скорой специализированной, медицинской помощи;</w:t>
            </w:r>
          </w:p>
          <w:p>
            <w:pPr>
              <w:pStyle w:val="0"/>
              <w:jc w:val="both"/>
            </w:pPr>
            <w:r>
              <w:rPr>
                <w:sz w:val="20"/>
              </w:rPr>
              <w:t xml:space="preserve">- специализированной, в том числе высокотехнологичной, медицинской помощи;</w:t>
            </w:r>
          </w:p>
          <w:p>
            <w:pPr>
              <w:pStyle w:val="0"/>
              <w:jc w:val="both"/>
            </w:pPr>
            <w:r>
              <w:rPr>
                <w:sz w:val="20"/>
              </w:rPr>
              <w:t xml:space="preserve">- паллиативной медицинской помощи.</w:t>
            </w:r>
          </w:p>
          <w:p>
            <w:pPr>
              <w:pStyle w:val="0"/>
              <w:jc w:val="both"/>
            </w:pPr>
            <w:r>
              <w:rPr>
                <w:sz w:val="20"/>
              </w:rPr>
              <w:t xml:space="preserve">Паллиативная медицинская помощь по профилю "Анестезиология и реаниматология" оказывается в соответствии с </w:t>
            </w:r>
            <w:hyperlink w:history="0" r:id="rId771" w:tooltip="Приказ Минздрава России от 14.04.2015 N 187н (ред. от 07.05.2018) &quot;Об утверждении Порядка оказания паллиативной медицинской помощи взрослому населению&quot; (Зарегистрировано в Минюсте России 08.05.2015 N 37182) ------------ Утратил силу или отменен {КонсультантПлюс}">
              <w:r>
                <w:rPr>
                  <w:sz w:val="20"/>
                  <w:color w:val="0000ff"/>
                </w:rPr>
                <w:t xml:space="preserve">Порядком</w:t>
              </w:r>
            </w:hyperlink>
            <w:r>
              <w:rPr>
                <w:sz w:val="20"/>
              </w:rPr>
              <w:t xml:space="preserve"> оказания паллиативной медицинской помощи взрослому населению, утвержденным приказом Министерства здравоохранения Российской Федерации от 14.04.2015 N 187</w:t>
            </w:r>
          </w:p>
        </w:tc>
      </w:tr>
      <w:tr>
        <w:tc>
          <w:tcPr>
            <w:tcW w:w="567" w:type="dxa"/>
          </w:tcPr>
          <w:p>
            <w:pPr>
              <w:pStyle w:val="0"/>
              <w:jc w:val="both"/>
            </w:pPr>
            <w:r>
              <w:rPr>
                <w:sz w:val="20"/>
              </w:rPr>
              <w:t xml:space="preserve">9.</w:t>
            </w:r>
          </w:p>
        </w:tc>
        <w:tc>
          <w:tcPr>
            <w:tcW w:w="2835" w:type="dxa"/>
          </w:tcPr>
          <w:p>
            <w:pPr>
              <w:pStyle w:val="0"/>
              <w:jc w:val="both"/>
            </w:pPr>
            <w:hyperlink w:history="0" r:id="rId772" w:tooltip="Приказ Департамента здравоохранения г. Севастополя от 25.11.2016 N 1558 (ред. от 13.06.2018) &quot;О совершенствовании организации медицинской помощи пациентам с острыми сердечно-сосудистыми заболеваниями в городе Севастополе&quot; (вместе с &quot;Порядком оказания медицинской помощи больным с острыми нарушениями мозгового кровообращения&quot;, &quot;Порядком организации оказания нейрохирургической медицинской помощи больным с острыми нарушениями мозгового кровообращения (включая субарахноидальные кровоизлияния)&quot;, &quot;Порядком оказани {КонсультантПлюс}">
              <w:r>
                <w:rPr>
                  <w:sz w:val="20"/>
                  <w:color w:val="0000ff"/>
                </w:rPr>
                <w:t xml:space="preserve">Приказ</w:t>
              </w:r>
            </w:hyperlink>
            <w:r>
              <w:rPr>
                <w:sz w:val="20"/>
              </w:rPr>
              <w:t xml:space="preserve"> Департамента здравоохранения города Севастополя от 25.11.2016 N 1558 (ред. от 13.06.2018) "О совершенствовании организации медицинской помощи пациентам с острыми сердечно-сосудистыми заболеваниями в городе Севастополе" (вместе с "</w:t>
            </w:r>
            <w:hyperlink w:history="0" r:id="rId773" w:tooltip="Приказ Департамента здравоохранения г. Севастополя от 25.11.2016 N 1558 (ред. от 13.06.2018) &quot;О совершенствовании организации медицинской помощи пациентам с острыми сердечно-сосудистыми заболеваниями в городе Севастополе&quot; (вместе с &quot;Порядком оказания медицинской помощи больным с острыми нарушениями мозгового кровообращения&quot;, &quot;Порядком организации оказания нейрохирургической медицинской помощи больным с острыми нарушениями мозгового кровообращения (включая субарахноидальные кровоизлияния)&quot;, &quot;Порядком оказани {КонсультантПлюс}">
              <w:r>
                <w:rPr>
                  <w:sz w:val="20"/>
                  <w:color w:val="0000ff"/>
                </w:rPr>
                <w:t xml:space="preserve">Порядком</w:t>
              </w:r>
            </w:hyperlink>
            <w:r>
              <w:rPr>
                <w:sz w:val="20"/>
              </w:rPr>
              <w:t xml:space="preserve"> оказания медицинской помощи больным с острыми нарушениями мозгового кровообращения", "</w:t>
            </w:r>
            <w:hyperlink w:history="0" r:id="rId774" w:tooltip="Приказ Департамента здравоохранения г. Севастополя от 25.11.2016 N 1558 (ред. от 13.06.2018) &quot;О совершенствовании организации медицинской помощи пациентам с острыми сердечно-сосудистыми заболеваниями в городе Севастополе&quot; (вместе с &quot;Порядком оказания медицинской помощи больным с острыми нарушениями мозгового кровообращения&quot;, &quot;Порядком организации оказания нейрохирургической медицинской помощи больным с острыми нарушениями мозгового кровообращения (включая субарахноидальные кровоизлияния)&quot;, &quot;Порядком оказани {КонсультантПлюс}">
              <w:r>
                <w:rPr>
                  <w:sz w:val="20"/>
                  <w:color w:val="0000ff"/>
                </w:rPr>
                <w:t xml:space="preserve">Порядком</w:t>
              </w:r>
            </w:hyperlink>
            <w:r>
              <w:rPr>
                <w:sz w:val="20"/>
              </w:rPr>
              <w:t xml:space="preserve"> организации оказания нейрохирургической медицинской помощи больным с острыми нарушениями мозгового кровообращения (включая субарахноидальные кровоизлияния)", "</w:t>
            </w:r>
            <w:hyperlink w:history="0" r:id="rId775" w:tooltip="Приказ Департамента здравоохранения г. Севастополя от 25.11.2016 N 1558 (ред. от 13.06.2018) &quot;О совершенствовании организации медицинской помощи пациентам с острыми сердечно-сосудистыми заболеваниями в городе Севастополе&quot; (вместе с &quot;Порядком оказания медицинской помощи больным с острыми нарушениями мозгового кровообращения&quot;, &quot;Порядком организации оказания нейрохирургической медицинской помощи больным с острыми нарушениями мозгового кровообращения (включая субарахноидальные кровоизлияния)&quot;, &quot;Порядком оказани {КонсультантПлюс}">
              <w:r>
                <w:rPr>
                  <w:sz w:val="20"/>
                  <w:color w:val="0000ff"/>
                </w:rPr>
                <w:t xml:space="preserve">Порядком</w:t>
              </w:r>
            </w:hyperlink>
            <w:r>
              <w:rPr>
                <w:sz w:val="20"/>
              </w:rPr>
              <w:t xml:space="preserve"> оказания медицинской помощи больным с острым коронарным синдромом")</w:t>
            </w:r>
          </w:p>
        </w:tc>
        <w:tc>
          <w:tcPr>
            <w:tcW w:w="5669" w:type="dxa"/>
          </w:tcPr>
          <w:p>
            <w:pPr>
              <w:pStyle w:val="0"/>
              <w:jc w:val="both"/>
            </w:pPr>
            <w:r>
              <w:rPr>
                <w:sz w:val="20"/>
              </w:rPr>
              <w:t xml:space="preserve">Больные с ОНМК, имеющие существенно ограниченные физические или психические возможности и нуждающиеся в интенсивной симптоматической терапии, психосоциальной помощи, длительном постороннем уходе, направляются в медицинские организации на паллиативные койки</w:t>
            </w:r>
          </w:p>
        </w:tc>
      </w:tr>
      <w:tr>
        <w:tc>
          <w:tcPr>
            <w:tcW w:w="567" w:type="dxa"/>
          </w:tcPr>
          <w:p>
            <w:pPr>
              <w:pStyle w:val="0"/>
              <w:jc w:val="both"/>
            </w:pPr>
            <w:r>
              <w:rPr>
                <w:sz w:val="20"/>
              </w:rPr>
              <w:t xml:space="preserve">10.</w:t>
            </w:r>
          </w:p>
        </w:tc>
        <w:tc>
          <w:tcPr>
            <w:tcW w:w="2835" w:type="dxa"/>
          </w:tcPr>
          <w:p>
            <w:pPr>
              <w:pStyle w:val="0"/>
              <w:jc w:val="both"/>
            </w:pPr>
            <w:hyperlink w:history="0" r:id="rId776" w:tooltip="Приказ Департамента здравоохранения г. Севастополя от 13.12.2017 N 1226 &quot;Об утверждении маршрутизации при оказании медицинской помощи взрослому населению при заболеваниях нервной системы в городе Севастополе&quot; (вместе с &quot;Положением об организации оказания медицинской помощи взрослому населению при заболеваниях нервной системы&quot;) {КонсультантПлюс}">
              <w:r>
                <w:rPr>
                  <w:sz w:val="20"/>
                  <w:color w:val="0000ff"/>
                </w:rPr>
                <w:t xml:space="preserve">Приказ</w:t>
              </w:r>
            </w:hyperlink>
            <w:r>
              <w:rPr>
                <w:sz w:val="20"/>
              </w:rPr>
              <w:t xml:space="preserve"> Департамента здравоохранения города Севастополя от 13.12.2017 N 1226 "Об утверждении маршрутизации при оказании медицинской помощи взрослому населению при заболеваниях нервной системы в городе Севастополе" (вместе с "</w:t>
            </w:r>
            <w:hyperlink w:history="0" r:id="rId777" w:tooltip="Приказ Департамента здравоохранения г. Севастополя от 13.12.2017 N 1226 &quot;Об утверждении маршрутизации при оказании медицинской помощи взрослому населению при заболеваниях нервной системы в городе Севастополе&quot; (вместе с &quot;Положением об организации оказания медицинской помощи взрослому населению при заболеваниях нервной системы&quot;) {КонсультантПлюс}">
              <w:r>
                <w:rPr>
                  <w:sz w:val="20"/>
                  <w:color w:val="0000ff"/>
                </w:rPr>
                <w:t xml:space="preserve">Положением</w:t>
              </w:r>
            </w:hyperlink>
            <w:r>
              <w:rPr>
                <w:sz w:val="20"/>
              </w:rPr>
              <w:t xml:space="preserve"> об организации оказания медицинской помощи взрослому населению при заболеваниях нервной системы")</w:t>
            </w:r>
          </w:p>
        </w:tc>
        <w:tc>
          <w:tcPr>
            <w:tcW w:w="5669" w:type="dxa"/>
          </w:tcPr>
          <w:p>
            <w:pPr>
              <w:pStyle w:val="0"/>
              <w:jc w:val="both"/>
            </w:pPr>
            <w:r>
              <w:rPr>
                <w:sz w:val="20"/>
              </w:rPr>
              <w:t xml:space="preserve">Паллиативная медицинская помощь пациентам с неврологическими заболеваниями осуществляется в соответствии с </w:t>
            </w:r>
            <w:hyperlink w:history="0" r:id="rId778" w:tooltip="Приказ Минздрава России от 14.04.2015 N 187н (ред. от 07.05.2018) &quot;Об утверждении Порядка оказания паллиативной медицинской помощи взрослому населению&quot; (Зарегистрировано в Минюсте России 08.05.2015 N 37182) ------------ Утратил силу или отменен {КонсультантПлюс}">
              <w:r>
                <w:rPr>
                  <w:sz w:val="20"/>
                  <w:color w:val="0000ff"/>
                </w:rPr>
                <w:t xml:space="preserve">Порядком</w:t>
              </w:r>
            </w:hyperlink>
            <w:r>
              <w:rPr>
                <w:sz w:val="20"/>
              </w:rPr>
              <w:t xml:space="preserve"> оказания паллиативной медицинской помощи взрослому населению, утвержденным приказом Министерства здравоохранения Российской Федерации от 14.04.2015 N 187н "Об утверждении Порядка оказания паллиативной медицинской помощи взрослому населению". При этом направление пациентов в отделение и кабинет паллиативной медицинской помощи осуществляется строго по направлению после согласования с заместителем главного врача медицинской организации</w:t>
            </w:r>
          </w:p>
        </w:tc>
      </w:tr>
      <w:tr>
        <w:tc>
          <w:tcPr>
            <w:tcW w:w="567" w:type="dxa"/>
          </w:tcPr>
          <w:p>
            <w:pPr>
              <w:pStyle w:val="0"/>
              <w:jc w:val="both"/>
            </w:pPr>
            <w:r>
              <w:rPr>
                <w:sz w:val="20"/>
              </w:rPr>
              <w:t xml:space="preserve">11.</w:t>
            </w:r>
          </w:p>
        </w:tc>
        <w:tc>
          <w:tcPr>
            <w:tcW w:w="2835" w:type="dxa"/>
          </w:tcPr>
          <w:p>
            <w:pPr>
              <w:pStyle w:val="0"/>
              <w:jc w:val="both"/>
            </w:pPr>
            <w:hyperlink w:history="0" r:id="rId779" w:tooltip="Приказ Департамента здравоохранения г. Севастополя от 19.02.2018 N 145 &quot;О маршрутизации пациентов со злокачественными новообразованиями&quot; (вместе с &quot;Перечнем обязательных клинико-диагностических исследований при выявлении или подозрении на наличие злокачественного новообразования, проводимых в рамках оказания первичной медико-санитарной медицинской помощи в медицинских организациях города Севастополя&quot;, &quot;Правилами оформления маршрутного листа пациента&quot;) {КонсультантПлюс}">
              <w:r>
                <w:rPr>
                  <w:sz w:val="20"/>
                  <w:color w:val="0000ff"/>
                </w:rPr>
                <w:t xml:space="preserve">Приказ</w:t>
              </w:r>
            </w:hyperlink>
            <w:r>
              <w:rPr>
                <w:sz w:val="20"/>
              </w:rPr>
              <w:t xml:space="preserve"> Департамента здравоохранения города Севастополя от 19.02.2018 N 145 "О маршрутизации пациентов со злокачественными новообразованиями"</w:t>
            </w:r>
          </w:p>
        </w:tc>
        <w:tc>
          <w:tcPr>
            <w:tcW w:w="5669" w:type="dxa"/>
          </w:tcPr>
          <w:p>
            <w:pPr>
              <w:pStyle w:val="0"/>
              <w:jc w:val="both"/>
            </w:pPr>
            <w:r>
              <w:rPr>
                <w:sz w:val="20"/>
              </w:rPr>
              <w:t xml:space="preserve">Приказом Департамента здравоохранения города Севастополя от 19.02.2018 N 145 утвержден </w:t>
            </w:r>
            <w:hyperlink w:history="0" r:id="rId780" w:tooltip="Приказ Департамента здравоохранения г. Севастополя от 19.02.2018 N 145 &quot;О маршрутизации пациентов со злокачественными новообразованиями&quot; (вместе с &quot;Перечнем обязательных клинико-диагностических исследований при выявлении или подозрении на наличие злокачественного новообразования, проводимых в рамках оказания первичной медико-санитарной медицинской помощи в медицинских организациях города Севастополя&quot;, &quot;Правилами оформления маршрутного листа пациента&quot;) {КонсультантПлюс}">
              <w:r>
                <w:rPr>
                  <w:sz w:val="20"/>
                  <w:color w:val="0000ff"/>
                </w:rPr>
                <w:t xml:space="preserve">Перечень</w:t>
              </w:r>
            </w:hyperlink>
            <w:r>
              <w:rPr>
                <w:sz w:val="20"/>
              </w:rPr>
              <w:t xml:space="preserve"> обязательных клинико-диагностических исследований при выявлении или подозрении на наличие злокачественного новообразования, проводимых в рамках оказания первичной медико-санитарной медицинской помощи в медицинских организациях города Севастополя, </w:t>
            </w:r>
            <w:hyperlink w:history="0" r:id="rId781" w:tooltip="Приказ Департамента здравоохранения г. Севастополя от 19.02.2018 N 145 &quot;О маршрутизации пациентов со злокачественными новообразованиями&quot; (вместе с &quot;Перечнем обязательных клинико-диагностических исследований при выявлении или подозрении на наличие злокачественного новообразования, проводимых в рамках оказания первичной медико-санитарной медицинской помощи в медицинских организациях города Севастополя&quot;, &quot;Правилами оформления маршрутного листа пациента&quot;) {КонсультантПлюс}">
              <w:r>
                <w:rPr>
                  <w:sz w:val="20"/>
                  <w:color w:val="0000ff"/>
                </w:rPr>
                <w:t xml:space="preserve">Правила</w:t>
              </w:r>
            </w:hyperlink>
            <w:r>
              <w:rPr>
                <w:sz w:val="20"/>
              </w:rPr>
              <w:t xml:space="preserve"> оформления маршрутного листа пациента, а также условия маршрутизации пациента в медицинские организации, оказывающие паллиативную медицинскую помощь</w:t>
            </w:r>
          </w:p>
        </w:tc>
      </w:tr>
      <w:tr>
        <w:tc>
          <w:tcPr>
            <w:tcW w:w="567" w:type="dxa"/>
          </w:tcPr>
          <w:p>
            <w:pPr>
              <w:pStyle w:val="0"/>
              <w:jc w:val="both"/>
            </w:pPr>
            <w:r>
              <w:rPr>
                <w:sz w:val="20"/>
              </w:rPr>
              <w:t xml:space="preserve">12.</w:t>
            </w:r>
          </w:p>
        </w:tc>
        <w:tc>
          <w:tcPr>
            <w:tcW w:w="2835" w:type="dxa"/>
          </w:tcPr>
          <w:p>
            <w:pPr>
              <w:pStyle w:val="0"/>
              <w:jc w:val="both"/>
            </w:pPr>
            <w:hyperlink w:history="0" r:id="rId782" w:tooltip="Приказ Департамента здравоохранения г. Севастополя от 29.12.2016 N 1732 &quot;Об организации оказания медицинской помощи детскому населению по профилю &quot;неврология&quot; в государственных учреждениях здравоохранения города Севастополя&quot; (вместе со &quot;Схемой маршрутизации несовершеннолетних при прохождении профилактических медицинских осмотров по профилю &quot;неврология&quot; в государственных учреждениях здравоохранения города Севастополя&quot;, &quot;Схемой маршрутизации пациентов при оказании специализированной медицинской помощи по проф {КонсультантПлюс}">
              <w:r>
                <w:rPr>
                  <w:sz w:val="20"/>
                  <w:color w:val="0000ff"/>
                </w:rPr>
                <w:t xml:space="preserve">Приказ</w:t>
              </w:r>
            </w:hyperlink>
            <w:r>
              <w:rPr>
                <w:sz w:val="20"/>
              </w:rPr>
              <w:t xml:space="preserve"> Департамента здравоохранения города Севастополя от 29.12.2016 N 1732 "Об организации оказания медицинской помощи детскому населению по профилю "неврология" в государственных учреждениях здравоохранения города Севастополя" (вместе со "</w:t>
            </w:r>
            <w:hyperlink w:history="0" r:id="rId783" w:tooltip="Приказ Департамента здравоохранения г. Севастополя от 29.12.2016 N 1732 &quot;Об организации оказания медицинской помощи детскому населению по профилю &quot;неврология&quot; в государственных учреждениях здравоохранения города Севастополя&quot; (вместе со &quot;Схемой маршрутизации несовершеннолетних при прохождении профилактических медицинских осмотров по профилю &quot;неврология&quot; в государственных учреждениях здравоохранения города Севастополя&quot;, &quot;Схемой маршрутизации пациентов при оказании специализированной медицинской помощи по проф {КонсультантПлюс}">
              <w:r>
                <w:rPr>
                  <w:sz w:val="20"/>
                  <w:color w:val="0000ff"/>
                </w:rPr>
                <w:t xml:space="preserve">Схемой</w:t>
              </w:r>
            </w:hyperlink>
            <w:r>
              <w:rPr>
                <w:sz w:val="20"/>
              </w:rPr>
              <w:t xml:space="preserve"> маршрутизации несовершеннолетних при прохождении профилактических медицинских осмотров по профилю "неврология" в государственных учреждениях здравоохранения города Севастополя", "</w:t>
            </w:r>
            <w:hyperlink w:history="0" r:id="rId784" w:tooltip="Приказ Департамента здравоохранения г. Севастополя от 29.12.2016 N 1732 &quot;Об организации оказания медицинской помощи детскому населению по профилю &quot;неврология&quot; в государственных учреждениях здравоохранения города Севастополя&quot; (вместе со &quot;Схемой маршрутизации несовершеннолетних при прохождении профилактических медицинских осмотров по профилю &quot;неврология&quot; в государственных учреждениях здравоохранения города Севастополя&quot;, &quot;Схемой маршрутизации пациентов при оказании специализированной медицинской помощи по проф {КонсультантПлюс}">
              <w:r>
                <w:rPr>
                  <w:sz w:val="20"/>
                  <w:color w:val="0000ff"/>
                </w:rPr>
                <w:t xml:space="preserve">Схемой</w:t>
              </w:r>
            </w:hyperlink>
            <w:r>
              <w:rPr>
                <w:sz w:val="20"/>
              </w:rPr>
              <w:t xml:space="preserve"> маршрутизации пациентов при оказании специализированной медицинской помощи по профилю "неврология" в государственных учреждениях здравоохранения города Севастополя", "</w:t>
            </w:r>
            <w:hyperlink w:history="0" r:id="rId785" w:tooltip="Приказ Департамента здравоохранения г. Севастополя от 29.12.2016 N 1732 &quot;Об организации оказания медицинской помощи детскому населению по профилю &quot;неврология&quot; в государственных учреждениях здравоохранения города Севастополя&quot; (вместе со &quot;Схемой маршрутизации несовершеннолетних при прохождении профилактических медицинских осмотров по профилю &quot;неврология&quot; в государственных учреждениях здравоохранения города Севастополя&quot;, &quot;Схемой маршрутизации пациентов при оказании специализированной медицинской помощи по проф {КонсультантПлюс}">
              <w:r>
                <w:rPr>
                  <w:sz w:val="20"/>
                  <w:color w:val="0000ff"/>
                </w:rPr>
                <w:t xml:space="preserve">Порядком</w:t>
              </w:r>
            </w:hyperlink>
            <w:r>
              <w:rPr>
                <w:sz w:val="20"/>
              </w:rPr>
              <w:t xml:space="preserve"> оказания медицинской помощи детскому населению по профилю "неврология" в государственных учреждениях здравоохранения города Севастополя")</w:t>
            </w:r>
          </w:p>
        </w:tc>
        <w:tc>
          <w:tcPr>
            <w:tcW w:w="5669" w:type="dxa"/>
          </w:tcPr>
          <w:p>
            <w:pPr>
              <w:pStyle w:val="0"/>
              <w:jc w:val="both"/>
            </w:pPr>
            <w:r>
              <w:rPr>
                <w:sz w:val="20"/>
              </w:rPr>
              <w:t xml:space="preserve">Медицинская помощь детям оказывается в том числе в виде паллиативной медицинской помощи.</w:t>
            </w:r>
          </w:p>
          <w:p>
            <w:pPr>
              <w:pStyle w:val="0"/>
              <w:jc w:val="both"/>
            </w:pPr>
            <w:r>
              <w:rPr>
                <w:sz w:val="20"/>
              </w:rPr>
              <w:t xml:space="preserve">При наличии медицинских показаний по решению врачебной комиссии больные для оказания паллиативной медицинской помощи госпитализируются на паллиативную койку в ГБУЗС "Городская больница N 5 - "Центр охраны здоровья матери и ребенка"</w:t>
            </w:r>
          </w:p>
        </w:tc>
      </w:tr>
      <w:tr>
        <w:tc>
          <w:tcPr>
            <w:gridSpan w:val="3"/>
            <w:tcW w:w="9071" w:type="dxa"/>
          </w:tcPr>
          <w:p>
            <w:pPr>
              <w:pStyle w:val="0"/>
              <w:outlineLvl w:val="3"/>
              <w:jc w:val="both"/>
            </w:pPr>
            <w:r>
              <w:rPr>
                <w:sz w:val="20"/>
              </w:rPr>
              <w:t xml:space="preserve">Обеспечение наркотическими лекарственными препаратами и психотропными лекарственными препаратами</w:t>
            </w:r>
          </w:p>
        </w:tc>
      </w:tr>
      <w:tr>
        <w:tc>
          <w:tcPr>
            <w:tcW w:w="567" w:type="dxa"/>
          </w:tcPr>
          <w:p>
            <w:pPr>
              <w:pStyle w:val="0"/>
              <w:jc w:val="both"/>
            </w:pPr>
            <w:r>
              <w:rPr>
                <w:sz w:val="20"/>
              </w:rPr>
              <w:t xml:space="preserve">13.</w:t>
            </w:r>
          </w:p>
        </w:tc>
        <w:tc>
          <w:tcPr>
            <w:tcW w:w="2835" w:type="dxa"/>
          </w:tcPr>
          <w:p>
            <w:pPr>
              <w:pStyle w:val="0"/>
              <w:jc w:val="both"/>
            </w:pPr>
            <w:hyperlink w:history="0" r:id="rId786" w:tooltip="Закон города Севастополя от 01.12.2015 N 209-ЗС &quot;О дополнительном лекарственном обеспечении льготных категорий граждан города Севастополя&quot; (принят Законодательным Собранием г. Севастополя 24.11.2015) {КонсультантПлюс}">
              <w:r>
                <w:rPr>
                  <w:sz w:val="20"/>
                  <w:color w:val="0000ff"/>
                </w:rPr>
                <w:t xml:space="preserve">Закон</w:t>
              </w:r>
            </w:hyperlink>
            <w:r>
              <w:rPr>
                <w:sz w:val="20"/>
              </w:rPr>
              <w:t xml:space="preserve"> города Севастополя от 01.12.2015 N 209-ЗС "О дополнительном лекарственном обеспечении льготных категорий граждан города Севастополя"</w:t>
            </w:r>
          </w:p>
        </w:tc>
        <w:tc>
          <w:tcPr>
            <w:tcW w:w="5669" w:type="dxa"/>
          </w:tcPr>
          <w:p>
            <w:pPr>
              <w:pStyle w:val="0"/>
              <w:jc w:val="both"/>
            </w:pPr>
            <w:r>
              <w:rPr>
                <w:sz w:val="20"/>
              </w:rPr>
              <w:t xml:space="preserve">Гражданам, постоянно проживающим в городе Севастополе или имеющим регистрацию по месту пребывания в городе Севастополе, оказываются меры дополнительной социальной поддержки по бесплатному обеспечению лекарственными средствами, перечисленными в </w:t>
            </w:r>
            <w:hyperlink w:history="0" r:id="rId787" w:tooltip="Закон города Севастополя от 01.12.2015 N 209-ЗС &quot;О дополнительном лекарственном обеспечении льготных категорий граждан города Севастополя&quot; (принят Законодательным Собранием г. Севастополя 24.11.2015) {КонсультантПлюс}">
              <w:r>
                <w:rPr>
                  <w:sz w:val="20"/>
                  <w:color w:val="0000ff"/>
                </w:rPr>
                <w:t xml:space="preserve">приложении</w:t>
              </w:r>
            </w:hyperlink>
            <w:r>
              <w:rPr>
                <w:sz w:val="20"/>
              </w:rPr>
              <w:t xml:space="preserve"> к Закону.</w:t>
            </w:r>
          </w:p>
          <w:p>
            <w:pPr>
              <w:pStyle w:val="0"/>
              <w:jc w:val="both"/>
            </w:pPr>
            <w:r>
              <w:rPr>
                <w:sz w:val="20"/>
              </w:rPr>
              <w:t xml:space="preserve">Расходы по обеспечению лекарственными средствами и изделиями медицинского назначения отдельных категорий граждан Российской Федерации, постоянно проживающих в городе Севастополе или имеющих регистрацию по месту пребывания в городе Севастополе, осуществляются за счет средств бюджета города Севастополя</w:t>
            </w:r>
          </w:p>
        </w:tc>
      </w:tr>
      <w:tr>
        <w:tc>
          <w:tcPr>
            <w:tcW w:w="567" w:type="dxa"/>
          </w:tcPr>
          <w:p>
            <w:pPr>
              <w:pStyle w:val="0"/>
              <w:jc w:val="both"/>
            </w:pPr>
            <w:r>
              <w:rPr>
                <w:sz w:val="20"/>
              </w:rPr>
              <w:t xml:space="preserve">14.</w:t>
            </w:r>
          </w:p>
        </w:tc>
        <w:tc>
          <w:tcPr>
            <w:tcW w:w="2835" w:type="dxa"/>
          </w:tcPr>
          <w:p>
            <w:pPr>
              <w:pStyle w:val="0"/>
              <w:jc w:val="both"/>
            </w:pPr>
            <w:hyperlink w:history="0" r:id="rId788" w:tooltip="Постановление Правительства Севастополя от 30.06.2015 N 576-ПП (ред. от 03.06.2019) &quot;О реализации мер социальной поддержки отдельных категорий граждан, проживающих в городе Севастополе, за счет средств бюджета города Севастополя по обеспечению лекарственными средствами и изделиями медицинского назначения и специализированными продуктами питания для детей-инвалидов, отпускаемыми по рецептам врачей бесплатно или с 50-процентной скидкой&quot; (вместе с &quot;Порядком обеспечения отдельных категорий граждан, проживающих  {КонсультантПлюс}">
              <w:r>
                <w:rPr>
                  <w:sz w:val="20"/>
                  <w:color w:val="0000ff"/>
                </w:rPr>
                <w:t xml:space="preserve">Постановление</w:t>
              </w:r>
            </w:hyperlink>
            <w:r>
              <w:rPr>
                <w:sz w:val="20"/>
              </w:rPr>
              <w:t xml:space="preserve"> Правительства Севастополя от 30.06.2015 N 576-ПП "О реализации мер социальной поддержки отдельных категорий граждан, проживающих в городе Севастополе, за счет средств бюджета города Севастополя по обеспечению лекарственными средствами и изделиями медицинского назначения, и специализированными продуктами питания для детей-инвалидов, отпускаемыми по рецептам врачей бесплатно или с 50-процентной скидкой"</w:t>
            </w:r>
          </w:p>
        </w:tc>
        <w:tc>
          <w:tcPr>
            <w:tcW w:w="5669" w:type="dxa"/>
          </w:tcPr>
          <w:p>
            <w:pPr>
              <w:pStyle w:val="0"/>
              <w:jc w:val="both"/>
            </w:pPr>
            <w:r>
              <w:rPr>
                <w:sz w:val="20"/>
              </w:rPr>
              <w:t xml:space="preserve">Главным распорядителем бюджетных средств является Департамент здравоохранения города Севастополя.</w:t>
            </w:r>
          </w:p>
          <w:p>
            <w:pPr>
              <w:pStyle w:val="0"/>
              <w:jc w:val="both"/>
            </w:pPr>
            <w:r>
              <w:rPr>
                <w:sz w:val="20"/>
              </w:rPr>
              <w:t xml:space="preserve">Бюджетные средства направляются непосредственно на закупку лекарственного обеспечения, в том числе на организацию процесса осуществления закупок лекарственного обеспечения, а также на обеспечение деятельности по приемке, ответственному хранению, обработке, распределению, комплектованию, транспортировке, контролю качества и передаче лекарственного обеспечения аптечным организациям для отпуска льготным категориям граждан.</w:t>
            </w:r>
          </w:p>
          <w:p>
            <w:pPr>
              <w:pStyle w:val="0"/>
              <w:jc w:val="both"/>
            </w:pPr>
            <w:r>
              <w:rPr>
                <w:sz w:val="20"/>
              </w:rPr>
              <w:t xml:space="preserve">Департамент здравоохранения осуществляет закупку лекарственного обеспечения в соответствии с потребностью в лекарственном обеспечении.</w:t>
            </w:r>
          </w:p>
          <w:p>
            <w:pPr>
              <w:pStyle w:val="0"/>
              <w:jc w:val="both"/>
            </w:pPr>
            <w:r>
              <w:rPr>
                <w:sz w:val="20"/>
              </w:rPr>
              <w:t xml:space="preserve">Полномочия по закупке лекарственного обеспечения или часть их по решению Департамента здравоохранения могут быть переданы государственному казенному учреждению (государственным казенным учреждениям), подведомственному (подведомственным) Департаменту здравоохранения.</w:t>
            </w:r>
          </w:p>
          <w:p>
            <w:pPr>
              <w:pStyle w:val="0"/>
              <w:jc w:val="both"/>
            </w:pPr>
            <w:r>
              <w:rPr>
                <w:sz w:val="20"/>
              </w:rPr>
              <w:t xml:space="preserve">Потребность в лекарственном обеспечении определяется на основании заявок, представляемых в Департамент здравоохранения подведомственными государственными учреждениями по форме и в сроки, определенные Департаментом здравоохранения.</w:t>
            </w:r>
          </w:p>
          <w:p>
            <w:pPr>
              <w:pStyle w:val="0"/>
              <w:jc w:val="both"/>
            </w:pPr>
            <w:r>
              <w:rPr>
                <w:sz w:val="20"/>
              </w:rPr>
              <w:t xml:space="preserve">Предельный объем средств, направляемых на финансовое обеспечение организации процесса осуществления закупок лекарственного обеспечения и услуг по лекарственному обеспечению, устанавливается в размере не более 10% от общего объема бюджетных средств</w:t>
            </w:r>
          </w:p>
        </w:tc>
      </w:tr>
      <w:tr>
        <w:tc>
          <w:tcPr>
            <w:tcW w:w="567" w:type="dxa"/>
          </w:tcPr>
          <w:p>
            <w:pPr>
              <w:pStyle w:val="0"/>
              <w:jc w:val="both"/>
            </w:pPr>
            <w:r>
              <w:rPr>
                <w:sz w:val="20"/>
              </w:rPr>
              <w:t xml:space="preserve">15.</w:t>
            </w:r>
          </w:p>
        </w:tc>
        <w:tc>
          <w:tcPr>
            <w:tcW w:w="2835" w:type="dxa"/>
          </w:tcPr>
          <w:p>
            <w:pPr>
              <w:pStyle w:val="0"/>
              <w:jc w:val="both"/>
            </w:pPr>
            <w:hyperlink w:history="0" r:id="rId789" w:tooltip="Приказ Департамента здравоохранения г. Севастополя от 30.08.2018 N 775 &quot;Об утверждении порядка взаимодействия участников, организующих и осуществляющих обеспечение отдельных категорий граждан по рецептам лекарственными препаратами, медицинскими изделиями и специализированными продуктами лечебного питания, закупаемыми за счет средств федерального и регионального бюджетов&quot; ------------ Утратил силу или отменен {КонсультантПлюс}">
              <w:r>
                <w:rPr>
                  <w:sz w:val="20"/>
                  <w:color w:val="0000ff"/>
                </w:rPr>
                <w:t xml:space="preserve">Приказ</w:t>
              </w:r>
            </w:hyperlink>
            <w:r>
              <w:rPr>
                <w:sz w:val="20"/>
              </w:rPr>
              <w:t xml:space="preserve"> Департамента здравоохранения города Севастополя от 30.08.2018 N 775 "Об утверждении порядка взаимодействия участников, организующих и осуществляющих обеспечение отдельных категорий граждан по рецептам лекарственными препаратами, медицинскими изделиями и специализированными продуктами лечебного питания, закупаемыми за счет средств федерального и регионального бюджетов"</w:t>
            </w:r>
          </w:p>
        </w:tc>
        <w:tc>
          <w:tcPr>
            <w:tcW w:w="5669" w:type="dxa"/>
          </w:tcPr>
          <w:p>
            <w:pPr>
              <w:pStyle w:val="0"/>
              <w:jc w:val="both"/>
            </w:pPr>
            <w:r>
              <w:rPr>
                <w:sz w:val="20"/>
              </w:rPr>
              <w:t xml:space="preserve">Право выписывать льготные рецепты предоставляется лечащим врачам, фельдшерам, акушерке в случае возложения на них полномочий лечащего врача в </w:t>
            </w:r>
            <w:hyperlink w:history="0" r:id="rId790" w:tooltip="Приказ Минздравсоцразвития России от 23.03.2012 N 252н (ред. от 31.10.2017) &quot;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 {КонсультантПлюс}">
              <w:r>
                <w:rPr>
                  <w:sz w:val="20"/>
                  <w:color w:val="0000ff"/>
                </w:rPr>
                <w:t xml:space="preserve">порядке</w:t>
              </w:r>
            </w:hyperlink>
            <w:r>
              <w:rPr>
                <w:sz w:val="20"/>
              </w:rPr>
              <w:t xml:space="preserve">, установленном приказом Министерства здравоохранения и социального развития Российской Федерации от 23.03.2012 N 252н, включенным в официальный справочник врачей (фельдшеров), имеющих право на выписку рецептов льготной категории граждан при оказании медицинской помощи. Справочник врачей утверждается приказом руководителя МО.</w:t>
            </w:r>
          </w:p>
          <w:p>
            <w:pPr>
              <w:pStyle w:val="0"/>
              <w:jc w:val="both"/>
            </w:pPr>
            <w:r>
              <w:rPr>
                <w:sz w:val="20"/>
              </w:rPr>
              <w:t xml:space="preserve">Право выписывать рецепты на лекарственные препараты гражданам, имеющим право на бесплатное получение лекарственных препаратов или получение лекарственных препаратов со скидкой, также имеют медицинские работники медицинских организаций, оказывающих медицинскую помощь в стационарных условиях. По решению руководителя медицинской организации при выписке из стационарного отделения медицинской организации пациента, имеющего соответствующие медицинские показания и направляемого для продолжения лечения в амбулаторных условиях, могут назначаться либо выдаваться одновременно с выпиской из истории болезни наркотические и психотропные лекарственные препараты списков II и III Перечня, сильнодействующие лекарственные препараты на срок приема пациентом до 5 дней.</w:t>
            </w:r>
          </w:p>
          <w:p>
            <w:pPr>
              <w:pStyle w:val="0"/>
              <w:jc w:val="both"/>
            </w:pPr>
            <w:r>
              <w:rPr>
                <w:sz w:val="20"/>
              </w:rPr>
              <w:t xml:space="preserve">На рецептурном бланке формы N 148-1/у-04(л) и формы N 148-1/у-06(л) рецепт выписывается медицинским работником в двух экземплярах, с одним экземпляром которого пациент обращается в аптечную организацию. Второй экземпляр рецепта приобщается к медицинской карте пациента.</w:t>
            </w:r>
          </w:p>
          <w:p>
            <w:pPr>
              <w:pStyle w:val="0"/>
              <w:jc w:val="both"/>
            </w:pPr>
            <w:r>
              <w:rPr>
                <w:sz w:val="20"/>
              </w:rPr>
              <w:t xml:space="preserve">Наркотические и психотропные лекарственные препараты списка II Перечня (за исключением лекарственных препаратов в виде трансдермальных терапевтических систем, а также лекарственных препаратов, содержащих наркотическое средство в сочетании с антагонистом опиоидных рецепторов) для лечения граждан, имеющих право на бесплатное получение лекарственных препаратов или получение лекарственных препаратов со скидкой, выписываются на специальном рецептурном бланке на наркотическое средство и психотропное вещество, к которому дополнительно выписываются рецепты в 1 экземпляре на рецептурном бланке формы N 148-1/у-04(л) или формы N 148-1/у-06(л).</w:t>
            </w:r>
          </w:p>
          <w:p>
            <w:pPr>
              <w:pStyle w:val="0"/>
              <w:jc w:val="both"/>
            </w:pPr>
            <w:r>
              <w:rPr>
                <w:sz w:val="20"/>
              </w:rPr>
              <w:t xml:space="preserve">Наркотические и психотропные лекарственные препараты списка II Перечня в виде трансдермальных терапевтических систем, наркотические лекарственные препараты списка II Перечня, содержащие наркотическое средство в сочетании с антагонистом опиоидных рецепторов, психотропные лекарственные препараты списка III Перечня, иные лекарственные средства, подлежащие предметно-количественному учету, лекарственные препараты, обладающие анаболической активностью, комбинированные лекарственные препараты, предназначенные для лечения граждан, имеющих право на бесплатное получение лекарственных препаратов или получение лекарственных препаратов со скидкой, выписываются на рецептурном бланке N 148-1/у-88, к которому дополнительно выписывается рецепт в 1 экземпляре на рецептурном бланке формы N 148-1/у-04(л) или формы N 148-1/у-06(л).</w:t>
            </w:r>
          </w:p>
          <w:p>
            <w:pPr>
              <w:pStyle w:val="0"/>
              <w:jc w:val="both"/>
            </w:pPr>
            <w:r>
              <w:rPr>
                <w:sz w:val="20"/>
              </w:rPr>
              <w:t xml:space="preserve">Рецепт на основании решения врачебной комиссии выписывается по представлению лечащего врача и руководителя МО в случае первичного назначения пациенту наркотических и психотропных лекарственных препаратов из списков II и III Перечня (в случае принятия руководителем медицинской организации решения о необходимости согласования назначения таких лекарственных препаратов с врачебной комиссией).</w:t>
            </w:r>
          </w:p>
          <w:p>
            <w:pPr>
              <w:pStyle w:val="0"/>
              <w:jc w:val="both"/>
            </w:pPr>
            <w:r>
              <w:rPr>
                <w:sz w:val="20"/>
              </w:rPr>
              <w:t xml:space="preserve">Назначение и выписывание наркотических и психотропных лекарственных препаратов из списков II и III Перечня производится пациентам с выраженным болевым синдромом любого генеза, а также пациентам с нарушением сна, судорожными состояниями, тревожными расстройствами, фобиями, психомоторным возбуждением самостоятельно медицинским работником либо медицинским работником по решению врачебной комиссии (в случае принятия руководителем медицинской организации решения о необходимости согласования первичного назначения таких лекарственных препаратов с врачебной комиссией).</w:t>
            </w:r>
          </w:p>
          <w:p>
            <w:pPr>
              <w:pStyle w:val="0"/>
              <w:jc w:val="both"/>
            </w:pPr>
            <w:r>
              <w:rPr>
                <w:sz w:val="20"/>
              </w:rPr>
              <w:t xml:space="preserve">Выписывание рецептов гражданам осуществляется в медицинской организации, к которой гражданин прикреплен по территориально-участковому принципу (либо в выбранной медицинской организации), включенной в перечень медицинских организаций - участников льготного лекарственного обеспечения.</w:t>
            </w:r>
          </w:p>
          <w:p>
            <w:pPr>
              <w:pStyle w:val="0"/>
              <w:jc w:val="both"/>
            </w:pPr>
            <w:r>
              <w:rPr>
                <w:sz w:val="20"/>
              </w:rPr>
              <w:t xml:space="preserve">При нахождении на территории Севастополя граждан, имеющих право на обеспечение необходимыми лекарственными препаратами за счет средств федерального бюджета, проживающих и зарегистрированных в иных регионах Российской Федерации (иногородние граждане), выписка льготных рецептов при обращении в медицинскую организацию осуществляется при предъявлении документов, указанных в </w:t>
            </w:r>
            <w:hyperlink w:history="0" r:id="rId791" w:tooltip="Приказ Департамента здравоохранения г. Севастополя от 30.08.2018 N 775 &quot;Об утверждении порядка взаимодействия участников, организующих и осуществляющих обеспечение отдельных категорий граждан по рецептам лекарственными препаратами, медицинскими изделиями и специализированными продуктами лечебного питания, закупаемыми за счет средств федерального и регионального бюджетов&quot; ------------ Утратил силу или отменен {КонсультантПлюс}">
              <w:r>
                <w:rPr>
                  <w:sz w:val="20"/>
                  <w:color w:val="0000ff"/>
                </w:rPr>
                <w:t xml:space="preserve">пункте 2.2</w:t>
              </w:r>
            </w:hyperlink>
            <w:r>
              <w:rPr>
                <w:sz w:val="20"/>
              </w:rPr>
              <w:t xml:space="preserve"> Порядка.</w:t>
            </w:r>
          </w:p>
          <w:p>
            <w:pPr>
              <w:pStyle w:val="0"/>
              <w:jc w:val="both"/>
            </w:pPr>
            <w:r>
              <w:rPr>
                <w:sz w:val="20"/>
              </w:rPr>
              <w:t xml:space="preserve">Внесение гражданина в Регистр региональных льготников (с учетом подтвержденного диагноза) в электронной системе выписки рецептов осуществляет уполномоченный специалист медицинской организации, на основании личного заявления гражданина или его законного представителя, на основании решения врачебной комиссии.</w:t>
            </w:r>
          </w:p>
          <w:p>
            <w:pPr>
              <w:pStyle w:val="0"/>
              <w:jc w:val="both"/>
            </w:pPr>
            <w:r>
              <w:rPr>
                <w:sz w:val="20"/>
              </w:rPr>
              <w:t xml:space="preserve">В случае отсутствия федерального льготника в Регистре федеральных льготников в электронной системе выписки рецептов уполномоченный специалист медицинской организации направляет гражданина, имеющего право на получение государственной социальной помощи в виде набора социальных услуг, в ОПФР для внесения гражданина в федеральный регистр.</w:t>
            </w:r>
          </w:p>
          <w:p>
            <w:pPr>
              <w:pStyle w:val="0"/>
              <w:jc w:val="both"/>
            </w:pPr>
            <w:r>
              <w:rPr>
                <w:sz w:val="20"/>
              </w:rPr>
              <w:t xml:space="preserve">Выписка рецептов на пациентов, не включенных в установленном порядке в Регистры льготников, не допускается.</w:t>
            </w:r>
          </w:p>
          <w:p>
            <w:pPr>
              <w:pStyle w:val="0"/>
              <w:jc w:val="both"/>
            </w:pPr>
            <w:r>
              <w:rPr>
                <w:sz w:val="20"/>
              </w:rPr>
              <w:t xml:space="preserve">2.7. Рецепты выписываются на имя пациента, для которого предназначены лекарственные препараты, и выдаются непосредственно пациенту.</w:t>
            </w:r>
          </w:p>
          <w:p>
            <w:pPr>
              <w:pStyle w:val="0"/>
              <w:jc w:val="both"/>
            </w:pPr>
            <w:r>
              <w:rPr>
                <w:sz w:val="20"/>
              </w:rPr>
              <w:t xml:space="preserve">Рецепты могут быть получены законным (уполномоченным) представителем пациента в соответствии с Федеральным </w:t>
            </w:r>
            <w:hyperlink w:history="0" r:id="rId792"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законом</w:t>
              </w:r>
            </w:hyperlink>
            <w:r>
              <w:rPr>
                <w:sz w:val="20"/>
              </w:rPr>
              <w:t xml:space="preserve"> от 21.11.2011 N 323-ФЗ "Об основах охраны здоровья граждан в Российской Федерации" на основании документов, подтверждающих право уполномоченного лица требовать от имени пациента. Факт выдачи рецепта на лекарственный препарат законному представителю фиксируется записью в медицинской карте пациента</w:t>
            </w:r>
          </w:p>
        </w:tc>
      </w:tr>
      <w:tr>
        <w:tc>
          <w:tcPr>
            <w:gridSpan w:val="3"/>
            <w:tcW w:w="9071" w:type="dxa"/>
          </w:tcPr>
          <w:p>
            <w:pPr>
              <w:pStyle w:val="0"/>
              <w:outlineLvl w:val="3"/>
              <w:jc w:val="both"/>
            </w:pPr>
            <w:r>
              <w:rPr>
                <w:sz w:val="20"/>
              </w:rPr>
              <w:t xml:space="preserve">Социальное обслуживание. Межведомственное взаимодействие</w:t>
            </w:r>
          </w:p>
        </w:tc>
      </w:tr>
      <w:tr>
        <w:tc>
          <w:tcPr>
            <w:tcW w:w="567" w:type="dxa"/>
          </w:tcPr>
          <w:p>
            <w:pPr>
              <w:pStyle w:val="0"/>
              <w:jc w:val="both"/>
            </w:pPr>
            <w:r>
              <w:rPr>
                <w:sz w:val="20"/>
              </w:rPr>
              <w:t xml:space="preserve">16.</w:t>
            </w:r>
          </w:p>
        </w:tc>
        <w:tc>
          <w:tcPr>
            <w:tcW w:w="2835" w:type="dxa"/>
          </w:tcPr>
          <w:p>
            <w:pPr>
              <w:pStyle w:val="0"/>
              <w:jc w:val="both"/>
            </w:pPr>
            <w:hyperlink w:history="0" r:id="rId793" w:tooltip="Закон города Севастополя от 30.12.2014 N 103-ЗС (ред. от 16.03.2023) &quot;О социальном обслуживании граждан в городе Севастополе&quot; (принят Законодательным Собранием г. Севастополя 30.12.2014) (вместе с &quot;Перечнем социальных услуг по видам социальных услуг, предоставляемых поставщиками социальных услуг в городе Севастополе&quot;) {КонсультантПлюс}">
              <w:r>
                <w:rPr>
                  <w:sz w:val="20"/>
                  <w:color w:val="0000ff"/>
                </w:rPr>
                <w:t xml:space="preserve">Закон</w:t>
              </w:r>
            </w:hyperlink>
            <w:r>
              <w:rPr>
                <w:sz w:val="20"/>
              </w:rPr>
              <w:t xml:space="preserve"> города Севастополя от 30.12.2014 N 103-ЗС "О социальном обслуживании граждан в городе Севастополе" (вместе с "</w:t>
            </w:r>
            <w:hyperlink w:history="0" r:id="rId794" w:tooltip="Закон города Севастополя от 30.12.2014 N 103-ЗС (ред. от 16.03.2023) &quot;О социальном обслуживании граждан в городе Севастополе&quot; (принят Законодательным Собранием г. Севастополя 30.12.2014) (вместе с &quot;Перечнем социальных услуг по видам социальных услуг, предоставляемых поставщиками социальных услуг в городе Севастополе&quot;) {КонсультантПлюс}">
              <w:r>
                <w:rPr>
                  <w:sz w:val="20"/>
                  <w:color w:val="0000ff"/>
                </w:rPr>
                <w:t xml:space="preserve">Перечнем</w:t>
              </w:r>
            </w:hyperlink>
            <w:r>
              <w:rPr>
                <w:sz w:val="20"/>
              </w:rPr>
              <w:t xml:space="preserve"> социальных услуг по видам социальных услуг, предоставляемых поставщиками социальных услуг в городе Севастополе")</w:t>
            </w:r>
          </w:p>
        </w:tc>
        <w:tc>
          <w:tcPr>
            <w:tcW w:w="5669" w:type="dxa"/>
          </w:tcPr>
          <w:p>
            <w:pPr>
              <w:pStyle w:val="0"/>
              <w:jc w:val="both"/>
            </w:pPr>
            <w:r>
              <w:rPr>
                <w:sz w:val="20"/>
              </w:rPr>
              <w:t xml:space="preserve">К полномочиям Правительства Севастополя в сфере социального обслуживания граждан относится:</w:t>
            </w:r>
          </w:p>
          <w:p>
            <w:pPr>
              <w:pStyle w:val="0"/>
              <w:jc w:val="both"/>
            </w:pPr>
            <w:r>
              <w:rPr>
                <w:sz w:val="20"/>
              </w:rPr>
              <w:t xml:space="preserve">1) определение уполномоченного органа города Севастополя, в том числе уполномоченного на признание граждан нуждающимися в социальном обслуживании, составление индивидуальной программы;</w:t>
            </w:r>
          </w:p>
          <w:p>
            <w:pPr>
              <w:pStyle w:val="0"/>
              <w:jc w:val="both"/>
            </w:pPr>
            <w:r>
              <w:rPr>
                <w:sz w:val="20"/>
              </w:rPr>
              <w:t xml:space="preserve">2) утверждение </w:t>
            </w:r>
            <w:hyperlink w:history="0" r:id="rId795" w:tooltip="Постановление Правительства Севастополя от 31.12.2014 N 696 (ред. от 27.10.2022) &quot;Об утверждении регламента межведомственного взаимодействия органов государственной власти города Севастополя в связи с реализацией полномочий в сфере социального обслуживания&quot; {КонсультантПлюс}">
              <w:r>
                <w:rPr>
                  <w:sz w:val="20"/>
                  <w:color w:val="0000ff"/>
                </w:rPr>
                <w:t xml:space="preserve">регламента</w:t>
              </w:r>
            </w:hyperlink>
            <w:r>
              <w:rPr>
                <w:sz w:val="20"/>
              </w:rPr>
              <w:t xml:space="preserve"> межведомственного взаимодействия государственных органов города Севастополя в связи с реализацией полномочий в сфере социального обслуживания;</w:t>
            </w:r>
          </w:p>
          <w:p>
            <w:pPr>
              <w:pStyle w:val="0"/>
              <w:jc w:val="both"/>
            </w:pPr>
            <w:r>
              <w:rPr>
                <w:sz w:val="20"/>
              </w:rPr>
              <w:t xml:space="preserve">3) утверждение государственных программ города Севастополя в сфере социального обслуживания, в том числе инвестиционных программ;</w:t>
            </w:r>
          </w:p>
          <w:p>
            <w:pPr>
              <w:pStyle w:val="0"/>
              <w:jc w:val="both"/>
            </w:pPr>
            <w:r>
              <w:rPr>
                <w:sz w:val="20"/>
              </w:rPr>
              <w:t xml:space="preserve">4) утверждение порядка межведомственного взаимодействия государственных органов города Севастополя при предоставлении социальных услуг и социального сопровождения;</w:t>
            </w:r>
          </w:p>
          <w:p>
            <w:pPr>
              <w:pStyle w:val="0"/>
              <w:jc w:val="both"/>
            </w:pPr>
            <w:r>
              <w:rPr>
                <w:sz w:val="20"/>
              </w:rPr>
              <w:t xml:space="preserve">5) утверждение размера и порядка выплаты компенсации за предоставление социальных услуг негосударственным организациям социального обслуживания (индивидуальным предпринимателям), включенным в реестр поставщиков социальных услуг города Севастополя;</w:t>
            </w:r>
          </w:p>
          <w:p>
            <w:pPr>
              <w:pStyle w:val="0"/>
              <w:jc w:val="both"/>
            </w:pPr>
            <w:r>
              <w:rPr>
                <w:sz w:val="20"/>
              </w:rPr>
              <w:t xml:space="preserve">6) утверждение порядка организации осуществления регионального государственного контроля (надзора) в сфере социального обслуживания граждан с указанием уполномоченного органа города Севастополя на осуществление такого контроля;</w:t>
            </w:r>
          </w:p>
          <w:p>
            <w:pPr>
              <w:pStyle w:val="0"/>
              <w:jc w:val="both"/>
            </w:pPr>
            <w:r>
              <w:rPr>
                <w:sz w:val="20"/>
              </w:rPr>
              <w:t xml:space="preserve">7) утверждение номенклатуры организаций социального обслуживания в городе Севастополе;</w:t>
            </w:r>
          </w:p>
          <w:p>
            <w:pPr>
              <w:pStyle w:val="0"/>
              <w:jc w:val="both"/>
            </w:pPr>
            <w:r>
              <w:rPr>
                <w:sz w:val="20"/>
              </w:rPr>
              <w:t xml:space="preserve">8) утверждение </w:t>
            </w:r>
            <w:hyperlink w:history="0" r:id="rId796" w:tooltip="Постановление Правительства Севастополя от 31.12.2014 N 716 (ред. от 25.05.2023) &quot;Об утверждении Порядка предоставления социальных услуг поставщиками социальных услуг в городе Севастополе&quot; {КонсультантПлюс}">
              <w:r>
                <w:rPr>
                  <w:sz w:val="20"/>
                  <w:color w:val="0000ff"/>
                </w:rPr>
                <w:t xml:space="preserve">порядка</w:t>
              </w:r>
            </w:hyperlink>
            <w:r>
              <w:rPr>
                <w:sz w:val="20"/>
              </w:rPr>
              <w:t xml:space="preserve"> предоставления социальных услуг поставщиками социальных услуг в городе Севастополе;</w:t>
            </w:r>
          </w:p>
          <w:p>
            <w:pPr>
              <w:pStyle w:val="0"/>
              <w:jc w:val="both"/>
            </w:pPr>
            <w:r>
              <w:rPr>
                <w:sz w:val="20"/>
              </w:rPr>
              <w:t xml:space="preserve">9) установление </w:t>
            </w:r>
            <w:hyperlink w:history="0" r:id="rId797" w:tooltip="Постановление Правительства Севастополя от 26.12.2014 N 660 &quot;О Порядке утверждения тарифов на социальные услуги на основании подушевых нормативов финансирования социальных услуг&quot; {КонсультантПлюс}">
              <w:r>
                <w:rPr>
                  <w:sz w:val="20"/>
                  <w:color w:val="0000ff"/>
                </w:rPr>
                <w:t xml:space="preserve">порядка</w:t>
              </w:r>
            </w:hyperlink>
            <w:r>
              <w:rPr>
                <w:sz w:val="20"/>
              </w:rPr>
              <w:t xml:space="preserve"> утверждения тарифов на социальные услуги на основании подушевых нормативов финансирования социальных услуг в городе Севастополе;</w:t>
            </w:r>
          </w:p>
          <w:p>
            <w:pPr>
              <w:pStyle w:val="0"/>
              <w:jc w:val="both"/>
            </w:pPr>
            <w:r>
              <w:rPr>
                <w:sz w:val="20"/>
              </w:rPr>
              <w:t xml:space="preserve">10) организация поддержки социально ориентированных некоммерческих организаций, благотворителей и добровольцев (волонтеров), осуществляющих деятельность в сфере социального обслуживания населения в соответствии с федеральным законодательством и законодательством города Севастополя;</w:t>
            </w:r>
          </w:p>
          <w:p>
            <w:pPr>
              <w:pStyle w:val="0"/>
              <w:jc w:val="both"/>
            </w:pPr>
            <w:r>
              <w:rPr>
                <w:sz w:val="20"/>
              </w:rPr>
              <w:t xml:space="preserve">10.1) создание условий для организации проведения независимой оценки качества оказания услуг организациями социального обслуживания;</w:t>
            </w:r>
          </w:p>
          <w:p>
            <w:pPr>
              <w:pStyle w:val="0"/>
              <w:jc w:val="both"/>
            </w:pPr>
            <w:r>
              <w:rPr>
                <w:sz w:val="20"/>
              </w:rPr>
              <w:t xml:space="preserve">10.2) внедрение стационарозамещающих технологий, а именно комплекса мер для лиц, указанных в </w:t>
            </w:r>
            <w:hyperlink w:history="0" r:id="rId798" w:tooltip="Федеральный закон от 28.12.2013 N 442-ФЗ (ред. от 28.04.2023) &quot;Об основах социального обслуживания граждан в Российской Федерации&quot; {КонсультантПлюс}">
              <w:r>
                <w:rPr>
                  <w:sz w:val="20"/>
                  <w:color w:val="0000ff"/>
                </w:rPr>
                <w:t xml:space="preserve">части 1 статьи 15</w:t>
              </w:r>
            </w:hyperlink>
            <w:r>
              <w:rPr>
                <w:sz w:val="20"/>
              </w:rPr>
              <w:t xml:space="preserve"> Федерального закона, по обеспечению охраны их здоровья и их реабилитации, полноценной жизнедеятельности, максимального продления нахождения в привычной для них среде обитания, поддержки их личностного и социального статуса, возможности получения квалифицированной помощи и поддержки по месту жительства;</w:t>
            </w:r>
          </w:p>
          <w:p>
            <w:pPr>
              <w:pStyle w:val="0"/>
              <w:jc w:val="both"/>
            </w:pPr>
            <w:r>
              <w:rPr>
                <w:sz w:val="20"/>
              </w:rPr>
              <w:t xml:space="preserve">11) осуществление иных полномочий в соответствии с федеральным законодательством и законодательством города Севастополя</w:t>
            </w:r>
          </w:p>
        </w:tc>
      </w:tr>
      <w:tr>
        <w:tc>
          <w:tcPr>
            <w:tcW w:w="567" w:type="dxa"/>
          </w:tcPr>
          <w:p>
            <w:pPr>
              <w:pStyle w:val="0"/>
              <w:jc w:val="both"/>
            </w:pPr>
            <w:r>
              <w:rPr>
                <w:sz w:val="20"/>
              </w:rPr>
              <w:t xml:space="preserve">17.</w:t>
            </w:r>
          </w:p>
        </w:tc>
        <w:tc>
          <w:tcPr>
            <w:tcW w:w="2835" w:type="dxa"/>
          </w:tcPr>
          <w:p>
            <w:pPr>
              <w:pStyle w:val="0"/>
              <w:jc w:val="both"/>
            </w:pPr>
            <w:hyperlink w:history="0" r:id="rId799" w:tooltip="Закон города Севастополя от 05.06.2019 N 507-ЗС (ред. от 05.10.2022) &quot;О порядке предоставления жилых помещений специализированного жилищного фонда города Севастополя&quot; (принят Законодательным Собранием г. Севастополя 21.05.2019) {КонсультантПлюс}">
              <w:r>
                <w:rPr>
                  <w:sz w:val="20"/>
                  <w:color w:val="0000ff"/>
                </w:rPr>
                <w:t xml:space="preserve">Закон</w:t>
              </w:r>
            </w:hyperlink>
            <w:r>
              <w:rPr>
                <w:sz w:val="20"/>
              </w:rPr>
              <w:t xml:space="preserve"> города Севастополя от 05.06.2019 N 507-ЗС "О порядке предоставления жилых помещений специализированного жилищного фонда города Севастополя"</w:t>
            </w:r>
          </w:p>
        </w:tc>
        <w:tc>
          <w:tcPr>
            <w:tcW w:w="5669" w:type="dxa"/>
          </w:tcPr>
          <w:p>
            <w:pPr>
              <w:pStyle w:val="0"/>
              <w:jc w:val="both"/>
            </w:pPr>
            <w:r>
              <w:rPr>
                <w:sz w:val="20"/>
              </w:rPr>
              <w:t xml:space="preserve">1. Жилые помещения в домах системы социального обслуживания граждан предназначаются для проживания граждан, являющихся получателями социальных услуг и признанных нуждающимися в социальном обслуживании.</w:t>
            </w:r>
          </w:p>
          <w:p>
            <w:pPr>
              <w:pStyle w:val="0"/>
              <w:jc w:val="both"/>
            </w:pPr>
            <w:r>
              <w:rPr>
                <w:sz w:val="20"/>
              </w:rPr>
              <w:t xml:space="preserve">2. К домам системы социального обслуживания граждан относятся специально построенные или переоборудованные здания, оснащенные необходимым для обеспечения жизнедеятельности и безопасности проживания граждан оборудованием, находящиеся в оперативном управлении организаций социального обслуживания и предназначенные для предоставления гражданам социальных услуг в соответствии с Федеральным </w:t>
            </w:r>
            <w:hyperlink w:history="0" r:id="rId800" w:tooltip="Федеральный закон от 28.12.2013 N 442-ФЗ (ред. от 28.04.2023) &quot;Об основах социального обслуживания граждан в Российской Федерации&quot; {КонсультантПлюс}">
              <w:r>
                <w:rPr>
                  <w:sz w:val="20"/>
                  <w:color w:val="0000ff"/>
                </w:rPr>
                <w:t xml:space="preserve">законом</w:t>
              </w:r>
            </w:hyperlink>
            <w:r>
              <w:rPr>
                <w:sz w:val="20"/>
              </w:rPr>
              <w:t xml:space="preserve"> от 28.12.2013 N 442-ФЗ "Об основах социального обслуживания граждан в Российской Федерации" и иными федеральными нормативными правовыми актами, </w:t>
            </w:r>
            <w:hyperlink w:history="0" r:id="rId801" w:tooltip="Закон города Севастополя от 30.12.2014 N 103-ЗС (ред. от 16.03.2023) &quot;О социальном обслуживании граждан в городе Севастополе&quot; (принят Законодательным Собранием г. Севастополя 30.12.2014) (вместе с &quot;Перечнем социальных услуг по видам социальных услуг, предоставляемых поставщиками социальных услуг в городе Севастополе&quot;) {КонсультантПлюс}">
              <w:r>
                <w:rPr>
                  <w:sz w:val="20"/>
                  <w:color w:val="0000ff"/>
                </w:rPr>
                <w:t xml:space="preserve">Законом</w:t>
              </w:r>
            </w:hyperlink>
            <w:r>
              <w:rPr>
                <w:sz w:val="20"/>
              </w:rPr>
              <w:t xml:space="preserve"> города Севастополя от 30.12.2014 N 103-ЗС "О социальном обслуживании граждан в городе Севастополе" и иными нормативными правовыми актами города Севастополя в области социального обслуживания граждан.</w:t>
            </w:r>
          </w:p>
          <w:p>
            <w:pPr>
              <w:pStyle w:val="0"/>
              <w:jc w:val="both"/>
            </w:pPr>
            <w:r>
              <w:rPr>
                <w:sz w:val="20"/>
              </w:rPr>
              <w:t xml:space="preserve">3. Порядок и условия отнесения граждан к категории лиц, которым предоставляются для проживания жилые помещения в домах системы социального обслуживания граждан, порядок и условия предоставления жилых помещений в домах системы социального обслуживания граждан, а также порядок пользования такими жилыми помещениями устанавливается Правительством Севастополя.</w:t>
            </w:r>
          </w:p>
          <w:p>
            <w:pPr>
              <w:pStyle w:val="0"/>
              <w:jc w:val="both"/>
            </w:pPr>
            <w:r>
              <w:rPr>
                <w:sz w:val="20"/>
              </w:rPr>
              <w:t xml:space="preserve">(Взято из: </w:t>
            </w:r>
            <w:hyperlink w:history="0" r:id="rId802" w:tooltip="Закон города Севастополя от 05.06.2019 N 507-ЗС (ред. от 05.10.2022) &quot;О порядке предоставления жилых помещений специализированного жилищного фонда города Севастополя&quot; (принят Законодательным Собранием г. Севастополя 21.05.2019) {КонсультантПлюс}">
              <w:r>
                <w:rPr>
                  <w:sz w:val="20"/>
                  <w:color w:val="0000ff"/>
                </w:rPr>
                <w:t xml:space="preserve">Статья 7</w:t>
              </w:r>
            </w:hyperlink>
            <w:r>
              <w:rPr>
                <w:sz w:val="20"/>
              </w:rPr>
              <w:t xml:space="preserve">. Предоставление жилых помещений в домах системы социального обслуживания граждан)</w:t>
            </w:r>
          </w:p>
        </w:tc>
      </w:tr>
      <w:tr>
        <w:tc>
          <w:tcPr>
            <w:tcW w:w="567" w:type="dxa"/>
          </w:tcPr>
          <w:p>
            <w:pPr>
              <w:pStyle w:val="0"/>
              <w:jc w:val="both"/>
            </w:pPr>
            <w:r>
              <w:rPr>
                <w:sz w:val="20"/>
              </w:rPr>
              <w:t xml:space="preserve">18.</w:t>
            </w:r>
          </w:p>
        </w:tc>
        <w:tc>
          <w:tcPr>
            <w:tcW w:w="2835" w:type="dxa"/>
          </w:tcPr>
          <w:p>
            <w:pPr>
              <w:pStyle w:val="0"/>
              <w:jc w:val="both"/>
            </w:pPr>
            <w:hyperlink w:history="0" r:id="rId803" w:tooltip="Приказ Департамента труда и социальной защиты населения г. Севастополя от 21.10.2019 N 375 (ред. от 19.11.2021) &quot;Об утверждении порядка формирования и ведения реестра поставщиков социальных услуг города Севастополя и регистра получателей социальных услуг в городе Севастополе&quot; (вместе с &quot;Положением о Комиссии по рассмотрению обращений юридических лиц и индивидуальных предпринимателей, осуществляющих деятельность в сфере социального обслуживания населения, в целях их включения в реестр поставщиков социальных  {КонсультантПлюс}">
              <w:r>
                <w:rPr>
                  <w:sz w:val="20"/>
                  <w:color w:val="0000ff"/>
                </w:rPr>
                <w:t xml:space="preserve">Приказ</w:t>
              </w:r>
            </w:hyperlink>
            <w:r>
              <w:rPr>
                <w:sz w:val="20"/>
              </w:rPr>
              <w:t xml:space="preserve"> Департамента труда и социальной защиты населения города Севастополя от 21.10.2019 N 375 "Об утверждении порядка формирования и ведения реестра поставщиков социальных услуг города Севастополя и регистра получателей социальных услуг в городе Севастополе"</w:t>
            </w:r>
          </w:p>
        </w:tc>
        <w:tc>
          <w:tcPr>
            <w:tcW w:w="5669" w:type="dxa"/>
          </w:tcPr>
          <w:p>
            <w:pPr>
              <w:pStyle w:val="0"/>
              <w:jc w:val="both"/>
            </w:pPr>
            <w:r>
              <w:rPr>
                <w:sz w:val="20"/>
              </w:rPr>
              <w:t xml:space="preserve">Основная цель ведения реестра поставщиков социальных услуг является формирование единого официального источника полной и достоверной информации о поставщиках социальных услуг города Севастополя.</w:t>
            </w:r>
          </w:p>
          <w:p>
            <w:pPr>
              <w:pStyle w:val="0"/>
              <w:jc w:val="both"/>
            </w:pPr>
            <w:r>
              <w:rPr>
                <w:sz w:val="20"/>
              </w:rPr>
              <w:t xml:space="preserve">Формирование и ведение реестра осуществляется Департаментом труда и социальной защиты населения города Севастополя (далее - Департамент, уполномоченный орган) в электронном виде на основании сведений, предоставляемых поставщиками социальных услуг (далее - сведения).</w:t>
            </w:r>
          </w:p>
          <w:p>
            <w:pPr>
              <w:pStyle w:val="0"/>
              <w:jc w:val="both"/>
            </w:pPr>
            <w:r>
              <w:rPr>
                <w:sz w:val="20"/>
              </w:rPr>
              <w:t xml:space="preserve">Для включения в реестр поставщики социальных услуг представляют в Комиссию по рассмотрению обращений юридических лиц и индивидуальных предпринимателей, осуществляющих деятельность в сфере социального обслуживания населения, в целях их включения в реестр поставщиков социальных услуг в городе Севастополе (далее - Комиссия) на бумажном носителе или в электронном виде заявление о включении в реестр и следующие документы:</w:t>
            </w:r>
          </w:p>
          <w:p>
            <w:pPr>
              <w:pStyle w:val="0"/>
              <w:jc w:val="both"/>
            </w:pPr>
            <w:r>
              <w:rPr>
                <w:sz w:val="20"/>
              </w:rPr>
              <w:t xml:space="preserve">- копии учредительных документов;</w:t>
            </w:r>
          </w:p>
          <w:p>
            <w:pPr>
              <w:pStyle w:val="0"/>
              <w:jc w:val="both"/>
            </w:pPr>
            <w:r>
              <w:rPr>
                <w:sz w:val="20"/>
              </w:rPr>
              <w:t xml:space="preserve">- копию свидетельства о государственной регистрации юридического лица, индивидуального предпринимателя, являющихся поставщиками социальных услуг;</w:t>
            </w:r>
          </w:p>
          <w:p>
            <w:pPr>
              <w:pStyle w:val="0"/>
              <w:jc w:val="both"/>
            </w:pPr>
            <w:r>
              <w:rPr>
                <w:sz w:val="20"/>
              </w:rPr>
              <w:t xml:space="preserve">- копию документа о назначении руководителя поставщика социальных услуг;</w:t>
            </w:r>
          </w:p>
          <w:p>
            <w:pPr>
              <w:pStyle w:val="0"/>
              <w:jc w:val="both"/>
            </w:pPr>
            <w:r>
              <w:rPr>
                <w:sz w:val="20"/>
              </w:rPr>
              <w:t xml:space="preserve">- копии лицензий, имеющихся у поставщика социальных услуг (при осуществлении деятельности, требующей в соответствии с законодательством Российской Федерации лицензирования);</w:t>
            </w:r>
          </w:p>
          <w:p>
            <w:pPr>
              <w:pStyle w:val="0"/>
              <w:jc w:val="both"/>
            </w:pPr>
            <w:r>
              <w:rPr>
                <w:sz w:val="20"/>
              </w:rPr>
              <w:t xml:space="preserve">- перечень предоставляемых социальных услуг по формам социального обслуживания и видам социальных услуг;</w:t>
            </w:r>
          </w:p>
          <w:p>
            <w:pPr>
              <w:pStyle w:val="0"/>
              <w:jc w:val="both"/>
            </w:pPr>
            <w:r>
              <w:rPr>
                <w:sz w:val="20"/>
              </w:rPr>
              <w:t xml:space="preserve">- тарифы на предоставляемые социальные услуги по формам социального обслуживания и видам социальных услуг;</w:t>
            </w:r>
          </w:p>
          <w:p>
            <w:pPr>
              <w:pStyle w:val="0"/>
              <w:jc w:val="both"/>
            </w:pPr>
            <w:r>
              <w:rPr>
                <w:sz w:val="20"/>
              </w:rPr>
              <w:t xml:space="preserve">- информацию об общем количестве мест, предназначенных для предоставления социальных услуг, о наличии свободных мест, в том числе по формам обслуживания;</w:t>
            </w:r>
          </w:p>
          <w:p>
            <w:pPr>
              <w:pStyle w:val="0"/>
              <w:jc w:val="both"/>
            </w:pPr>
            <w:r>
              <w:rPr>
                <w:sz w:val="20"/>
              </w:rPr>
              <w:t xml:space="preserve">- копии документов, подтверждающих наличие на праве собственности, аренды либо на иных законных основаниях недвижимого имущества, необходимого для предоставления социальных услуг (для поставщиков социальных услуг, предоставляющих социальные услуги в стационарной и (или) полустационарной форме);</w:t>
            </w:r>
          </w:p>
          <w:p>
            <w:pPr>
              <w:pStyle w:val="0"/>
              <w:jc w:val="both"/>
            </w:pPr>
            <w:r>
              <w:rPr>
                <w:sz w:val="20"/>
              </w:rPr>
              <w:t xml:space="preserve">- копию паспорта доступности объектов и предоставляемых в них социальных услуг для инвалидов (для заявителей, предоставляющих социальные услуги в стационарной и (или) полустационарной форме).</w:t>
            </w:r>
          </w:p>
          <w:p>
            <w:pPr>
              <w:pStyle w:val="0"/>
              <w:jc w:val="both"/>
            </w:pPr>
            <w:r>
              <w:rPr>
                <w:sz w:val="20"/>
              </w:rPr>
              <w:t xml:space="preserve">В дополнение к вышеизложенному перечню поставщики социальных услуг представляют:</w:t>
            </w:r>
          </w:p>
          <w:p>
            <w:pPr>
              <w:pStyle w:val="0"/>
              <w:jc w:val="both"/>
            </w:pPr>
            <w:r>
              <w:rPr>
                <w:sz w:val="20"/>
              </w:rPr>
              <w:t xml:space="preserve">- при предоставлении социальных услуг в стационарной и (или) полустационарной формах социального обслуживания:</w:t>
            </w:r>
          </w:p>
          <w:p>
            <w:pPr>
              <w:pStyle w:val="0"/>
              <w:jc w:val="both"/>
            </w:pPr>
            <w:r>
              <w:rPr>
                <w:sz w:val="20"/>
              </w:rPr>
              <w:t xml:space="preserve">a) копии актов проведенных проверок органами, осуществляющими государственный пожарный надзор, государственный санитарно-эпидемиологический надзор, государственный надзор в сфере здравоохранения и социального развития, предписаний и документов о выполнении предписаний за последние пять лет, копию удостоверения о прохождении пожарно-технического минимума сотрудника, ответственного за пожарную безопасность (или руководителя поставщика социальных услуг) (при наличии);</w:t>
            </w:r>
          </w:p>
          <w:p>
            <w:pPr>
              <w:pStyle w:val="0"/>
              <w:jc w:val="both"/>
            </w:pPr>
            <w:r>
              <w:rPr>
                <w:sz w:val="20"/>
              </w:rPr>
              <w:t xml:space="preserve">b) копии договоров (соглашений) с медицинскими организациями, имеющими лицензии на осуществление медицинской деятельности (в случае, если у поставщика социальных услуг отсутствует лицензия на осуществление медицинской деятельности) (при оказании социальных услуг, требующих наличия медицинской лицензии);</w:t>
            </w:r>
          </w:p>
          <w:p>
            <w:pPr>
              <w:pStyle w:val="0"/>
              <w:jc w:val="both"/>
            </w:pPr>
            <w:r>
              <w:rPr>
                <w:sz w:val="20"/>
              </w:rPr>
              <w:t xml:space="preserve">c) краткую информацию о подготовке, квалификации и опыте работы сотрудников с приложением копий дипломов;</w:t>
            </w:r>
          </w:p>
          <w:p>
            <w:pPr>
              <w:pStyle w:val="0"/>
              <w:jc w:val="both"/>
            </w:pPr>
            <w:r>
              <w:rPr>
                <w:sz w:val="20"/>
              </w:rPr>
              <w:t xml:space="preserve">d) сведения на бумажных и (или) электронных носителях, подтверждающие обеспечение доступа к информации о деятельности поставщика социальных услуг (фотографии информационных стендов в помещениях, сведения о размещении в средствах массовой информации, в сети Интернет, в том числе на официальном сайте поставщика социальных услуг) в соответствии со </w:t>
            </w:r>
            <w:hyperlink w:history="0" r:id="rId804" w:tooltip="Федеральный закон от 28.12.2013 N 442-ФЗ (ред. от 28.04.2023) &quot;Об основах социального обслуживания граждан в Российской Федерации&quot; {КонсультантПлюс}">
              <w:r>
                <w:rPr>
                  <w:sz w:val="20"/>
                  <w:color w:val="0000ff"/>
                </w:rPr>
                <w:t xml:space="preserve">статьями 9</w:t>
              </w:r>
            </w:hyperlink>
            <w:r>
              <w:rPr>
                <w:sz w:val="20"/>
              </w:rPr>
              <w:t xml:space="preserve">, </w:t>
            </w:r>
            <w:hyperlink w:history="0" r:id="rId805" w:tooltip="Федеральный закон от 28.12.2013 N 442-ФЗ (ред. от 28.04.2023) &quot;Об основах социального обслуживания граждан в Российской Федерации&quot; {КонсультантПлюс}">
              <w:r>
                <w:rPr>
                  <w:sz w:val="20"/>
                  <w:color w:val="0000ff"/>
                </w:rPr>
                <w:t xml:space="preserve">13</w:t>
              </w:r>
            </w:hyperlink>
            <w:r>
              <w:rPr>
                <w:sz w:val="20"/>
              </w:rPr>
              <w:t xml:space="preserve"> Федерального закона от 28.12.2013 N 442-ФЗ "Об основах социального обслуживания граждан в Российской Федерации";</w:t>
            </w:r>
          </w:p>
          <w:p>
            <w:pPr>
              <w:pStyle w:val="0"/>
              <w:jc w:val="both"/>
            </w:pPr>
            <w:r>
              <w:rPr>
                <w:sz w:val="20"/>
              </w:rPr>
              <w:t xml:space="preserve">- при предоставлении социальных услуг в форме социального обслуживания на дому:</w:t>
            </w:r>
          </w:p>
          <w:p>
            <w:pPr>
              <w:pStyle w:val="0"/>
              <w:jc w:val="both"/>
            </w:pPr>
            <w:r>
              <w:rPr>
                <w:sz w:val="20"/>
              </w:rPr>
              <w:t xml:space="preserve">a) краткую информацию о подготовке, квалификации и опыте работы сотрудников с приложением копий дипломов;</w:t>
            </w:r>
          </w:p>
          <w:p>
            <w:pPr>
              <w:pStyle w:val="0"/>
              <w:jc w:val="both"/>
            </w:pPr>
            <w:r>
              <w:rPr>
                <w:sz w:val="20"/>
              </w:rPr>
              <w:t xml:space="preserve">b) сведения на бумажных и (или) электронных носителях, подтверждающие обеспечение доступа к информации о деятельности поставщика социальных услуг (сведения о размещении в средствах массовой информации, в сети Интернет, в том числе на официальном сайте поставщика социальных услуг) в соответствии со </w:t>
            </w:r>
            <w:hyperlink w:history="0" r:id="rId806" w:tooltip="Федеральный закон от 28.12.2013 N 442-ФЗ (ред. от 28.04.2023) &quot;Об основах социального обслуживания граждан в Российской Федерации&quot; {КонсультантПлюс}">
              <w:r>
                <w:rPr>
                  <w:sz w:val="20"/>
                  <w:color w:val="0000ff"/>
                </w:rPr>
                <w:t xml:space="preserve">статьями 9</w:t>
              </w:r>
            </w:hyperlink>
            <w:r>
              <w:rPr>
                <w:sz w:val="20"/>
              </w:rPr>
              <w:t xml:space="preserve">, </w:t>
            </w:r>
            <w:hyperlink w:history="0" r:id="rId807" w:tooltip="Федеральный закон от 28.12.2013 N 442-ФЗ (ред. от 28.04.2023) &quot;Об основах социального обслуживания граждан в Российской Федерации&quot; {КонсультантПлюс}">
              <w:r>
                <w:rPr>
                  <w:sz w:val="20"/>
                  <w:color w:val="0000ff"/>
                </w:rPr>
                <w:t xml:space="preserve">13</w:t>
              </w:r>
            </w:hyperlink>
            <w:r>
              <w:rPr>
                <w:sz w:val="20"/>
              </w:rPr>
              <w:t xml:space="preserve"> Федерального закона от 28.12.2013 N 442-ФЗ "Об основах социального обслуживания граждан в Российской Федерации".</w:t>
            </w:r>
          </w:p>
          <w:p>
            <w:pPr>
              <w:pStyle w:val="0"/>
              <w:jc w:val="both"/>
            </w:pPr>
            <w:r>
              <w:rPr>
                <w:sz w:val="20"/>
              </w:rPr>
              <w:t xml:space="preserve">Основная цель ведения регистра получателей социальных услуг - формирование единого официального источника полной и достоверной информации о получателях социальных услуг, проживающих на территории города Севастополя.</w:t>
            </w:r>
          </w:p>
          <w:p>
            <w:pPr>
              <w:pStyle w:val="0"/>
              <w:jc w:val="both"/>
            </w:pPr>
            <w:r>
              <w:rPr>
                <w:sz w:val="20"/>
              </w:rPr>
              <w:t xml:space="preserve">Организация и координация работы по формированию и ведению регистра осуществляется Департаментом труда и социальной защиты населения города Севастополя.</w:t>
            </w:r>
          </w:p>
          <w:p>
            <w:pPr>
              <w:pStyle w:val="0"/>
              <w:jc w:val="both"/>
            </w:pPr>
            <w:r>
              <w:rPr>
                <w:sz w:val="20"/>
              </w:rPr>
              <w:t xml:space="preserve">Внесение данных в регистр осуществляется подведомственными Департаменту учреждениями социального обслуживания.</w:t>
            </w:r>
          </w:p>
          <w:p>
            <w:pPr>
              <w:pStyle w:val="0"/>
              <w:jc w:val="both"/>
            </w:pPr>
            <w:r>
              <w:rPr>
                <w:sz w:val="20"/>
              </w:rPr>
              <w:t xml:space="preserve">Негосударственные поставщики социальных услуг, включенные в реестр поставщиков социальных услуг, предоставляют учреждениям социального обслуживания, выдавшим индивидуальную программу предоставления социальных услуг, информацию о заключении договора не позднее 5 рабочих дней после принятия заявления поставщиком социальных услуг от получателя социальных услуг (для срочных социальных услуг) или заключения договора о предоставлении социальных услуг (для услуг, не являющихся срочными) для внесения в регистр.</w:t>
            </w:r>
          </w:p>
          <w:p>
            <w:pPr>
              <w:pStyle w:val="0"/>
              <w:jc w:val="both"/>
            </w:pPr>
            <w:r>
              <w:rPr>
                <w:sz w:val="20"/>
              </w:rPr>
              <w:t xml:space="preserve">Включение в регистр информации осуществляется учреждениями социального обслуживания не позднее 10 рабочих дней после принятия заявления поставщиком социальных услуг от получателя социальных услуг (для срочных социальных услуг) или заключения договора о предоставлении социальных услуг (для услуг, не являющихся срочными)</w:t>
            </w:r>
          </w:p>
        </w:tc>
      </w:tr>
      <w:tr>
        <w:tc>
          <w:tcPr>
            <w:tcW w:w="567" w:type="dxa"/>
          </w:tcPr>
          <w:p>
            <w:pPr>
              <w:pStyle w:val="0"/>
              <w:jc w:val="both"/>
            </w:pPr>
            <w:r>
              <w:rPr>
                <w:sz w:val="20"/>
              </w:rPr>
              <w:t xml:space="preserve">19.</w:t>
            </w:r>
          </w:p>
        </w:tc>
        <w:tc>
          <w:tcPr>
            <w:tcW w:w="2835" w:type="dxa"/>
          </w:tcPr>
          <w:p>
            <w:pPr>
              <w:pStyle w:val="0"/>
              <w:jc w:val="both"/>
            </w:pPr>
            <w:hyperlink w:history="0" r:id="rId808" w:tooltip="Постановление Правительства Севастополя от 11.11.2014 N 472 (ред. от 19.03.2018) &quot;Об утверждении номенклатуры организаций социального обслуживания&quot; {КонсультантПлюс}">
              <w:r>
                <w:rPr>
                  <w:sz w:val="20"/>
                  <w:color w:val="0000ff"/>
                </w:rPr>
                <w:t xml:space="preserve">Постановление</w:t>
              </w:r>
            </w:hyperlink>
            <w:r>
              <w:rPr>
                <w:sz w:val="20"/>
              </w:rPr>
              <w:t xml:space="preserve"> Правительства Севастополя от 11.11.2014 N 472 (ред. от 19.03.2018) "Об утверждении номенклатуры организаций социального обслуживания"</w:t>
            </w:r>
          </w:p>
        </w:tc>
        <w:tc>
          <w:tcPr>
            <w:tcW w:w="5669" w:type="dxa"/>
          </w:tcPr>
          <w:p>
            <w:pPr>
              <w:pStyle w:val="0"/>
              <w:jc w:val="both"/>
            </w:pPr>
            <w:r>
              <w:rPr>
                <w:sz w:val="20"/>
              </w:rPr>
              <w:t xml:space="preserve">Постановлением Правительства Севастополя от 11.11.2014 N 472 утверждена </w:t>
            </w:r>
            <w:hyperlink w:history="0" r:id="rId809" w:tooltip="Постановление Правительства Севастополя от 11.11.2014 N 472 (ред. от 19.03.2018) &quot;Об утверждении номенклатуры организаций социального обслуживания&quot; {КонсультантПлюс}">
              <w:r>
                <w:rPr>
                  <w:sz w:val="20"/>
                  <w:color w:val="0000ff"/>
                </w:rPr>
                <w:t xml:space="preserve">номенклатура</w:t>
              </w:r>
            </w:hyperlink>
            <w:r>
              <w:rPr>
                <w:sz w:val="20"/>
              </w:rPr>
              <w:t xml:space="preserve"> организаций социального обслуживания:</w:t>
            </w:r>
          </w:p>
          <w:p>
            <w:pPr>
              <w:pStyle w:val="0"/>
              <w:jc w:val="both"/>
            </w:pPr>
            <w:r>
              <w:rPr>
                <w:sz w:val="20"/>
              </w:rPr>
              <w:t xml:space="preserve">- дом-интернат для престарелых и инвалидов;</w:t>
            </w:r>
          </w:p>
          <w:p>
            <w:pPr>
              <w:pStyle w:val="0"/>
              <w:jc w:val="both"/>
            </w:pPr>
            <w:r>
              <w:rPr>
                <w:sz w:val="20"/>
              </w:rPr>
              <w:t xml:space="preserve">- комплексный центр социального обслуживания населения;</w:t>
            </w:r>
          </w:p>
          <w:p>
            <w:pPr>
              <w:pStyle w:val="0"/>
              <w:jc w:val="both"/>
            </w:pPr>
            <w:r>
              <w:rPr>
                <w:sz w:val="20"/>
              </w:rPr>
              <w:t xml:space="preserve">- реабилитационный центр для детей и подростков с ограниченными возможностями;</w:t>
            </w:r>
          </w:p>
          <w:p>
            <w:pPr>
              <w:pStyle w:val="0"/>
              <w:jc w:val="both"/>
            </w:pPr>
            <w:r>
              <w:rPr>
                <w:sz w:val="20"/>
              </w:rPr>
              <w:t xml:space="preserve">- социальный приют для детей и подростков;</w:t>
            </w:r>
          </w:p>
          <w:p>
            <w:pPr>
              <w:pStyle w:val="0"/>
              <w:jc w:val="both"/>
            </w:pPr>
            <w:r>
              <w:rPr>
                <w:sz w:val="20"/>
              </w:rPr>
              <w:t xml:space="preserve">- центр социальной помощи семье и детям;</w:t>
            </w:r>
          </w:p>
          <w:p>
            <w:pPr>
              <w:pStyle w:val="0"/>
              <w:jc w:val="both"/>
            </w:pPr>
            <w:r>
              <w:rPr>
                <w:sz w:val="20"/>
              </w:rPr>
              <w:t xml:space="preserve">- центр социальной и постинтернатной адаптации (помощи) для лиц из числа детей-сирот и детей, оставшихся без попечения родителей;</w:t>
            </w:r>
          </w:p>
          <w:p>
            <w:pPr>
              <w:pStyle w:val="0"/>
              <w:jc w:val="both"/>
            </w:pPr>
            <w:r>
              <w:rPr>
                <w:sz w:val="20"/>
              </w:rPr>
              <w:t xml:space="preserve">- центр (отделение) по работе с гражданами без определенного места жительства и занятий;</w:t>
            </w:r>
          </w:p>
          <w:p>
            <w:pPr>
              <w:pStyle w:val="0"/>
              <w:jc w:val="both"/>
            </w:pPr>
            <w:r>
              <w:rPr>
                <w:sz w:val="20"/>
              </w:rPr>
              <w:t xml:space="preserve">- центр помощи детям, оставшимся без попечения родителей;</w:t>
            </w:r>
          </w:p>
          <w:p>
            <w:pPr>
              <w:pStyle w:val="0"/>
              <w:jc w:val="both"/>
            </w:pPr>
            <w:r>
              <w:rPr>
                <w:sz w:val="20"/>
              </w:rPr>
              <w:t xml:space="preserve">- иные организации, осуществляющие социальное обслуживание</w:t>
            </w:r>
          </w:p>
        </w:tc>
      </w:tr>
      <w:tr>
        <w:tc>
          <w:tcPr>
            <w:tcW w:w="567" w:type="dxa"/>
          </w:tcPr>
          <w:p>
            <w:pPr>
              <w:pStyle w:val="0"/>
              <w:jc w:val="both"/>
            </w:pPr>
            <w:r>
              <w:rPr>
                <w:sz w:val="20"/>
              </w:rPr>
              <w:t xml:space="preserve">20.</w:t>
            </w:r>
          </w:p>
        </w:tc>
        <w:tc>
          <w:tcPr>
            <w:tcW w:w="2835" w:type="dxa"/>
          </w:tcPr>
          <w:p>
            <w:pPr>
              <w:pStyle w:val="0"/>
              <w:jc w:val="both"/>
            </w:pPr>
            <w:hyperlink w:history="0" r:id="rId810" w:tooltip="Постановление Правительства Севастополя от 18.05.2017 N 384-ПП (ред. от 30.10.2023) &quot;О реализации мероприятий, связанных с направлением граждан, постоянно проживающих на территории города Севастополя, в психоневрологические дома-интернаты, расположенные в других субъектах Российской Федерации&quot; (вместе с &quot;Порядком отбора субъектов Российской Федерации для предоставления иных межбюджетных трансфертов на предоставление социальных услуг в стационарной форме социального обслуживания гражданам, постоянно проживаю {КонсультантПлюс}">
              <w:r>
                <w:rPr>
                  <w:sz w:val="20"/>
                  <w:color w:val="0000ff"/>
                </w:rPr>
                <w:t xml:space="preserve">Постановление</w:t>
              </w:r>
            </w:hyperlink>
            <w:r>
              <w:rPr>
                <w:sz w:val="20"/>
              </w:rPr>
              <w:t xml:space="preserve"> Правительства Севастополя от 18.05.2017 N 384-ПП "О реализации мероприятий, связанных с направлением граждан, постоянно проживающих в городе Севастополе, в психоневрологические дома-интернаты, расположенные в других субъектах Российской Федерации"</w:t>
            </w:r>
          </w:p>
        </w:tc>
        <w:tc>
          <w:tcPr>
            <w:tcW w:w="5669" w:type="dxa"/>
          </w:tcPr>
          <w:p>
            <w:pPr>
              <w:pStyle w:val="0"/>
              <w:jc w:val="both"/>
            </w:pPr>
            <w:hyperlink w:history="0" r:id="rId811" w:tooltip="Постановление Правительства Севастополя от 18.05.2017 N 384-ПП (ред. от 30.10.2023) &quot;О реализации мероприятий, связанных с направлением граждан, постоянно проживающих на территории города Севастополя, в психоневрологические дома-интернаты, расположенные в других субъектах Российской Федерации&quot; (вместе с &quot;Порядком отбора субъектов Российской Федерации для предоставления иных межбюджетных трансфертов на предоставление социальных услуг в стационарной форме социального обслуживания гражданам, постоянно проживаю {КонсультантПлюс}">
              <w:r>
                <w:rPr>
                  <w:sz w:val="20"/>
                  <w:color w:val="0000ff"/>
                </w:rPr>
                <w:t xml:space="preserve">Постановлением</w:t>
              </w:r>
            </w:hyperlink>
            <w:r>
              <w:rPr>
                <w:sz w:val="20"/>
              </w:rPr>
              <w:t xml:space="preserve"> Правительства Севастополя от 18.05.2017 N 384-ПП утверждены:</w:t>
            </w:r>
          </w:p>
          <w:p>
            <w:pPr>
              <w:pStyle w:val="0"/>
              <w:jc w:val="both"/>
            </w:pPr>
            <w:r>
              <w:rPr>
                <w:sz w:val="20"/>
              </w:rPr>
              <w:t xml:space="preserve">- </w:t>
            </w:r>
            <w:hyperlink w:history="0" r:id="rId812" w:tooltip="Постановление Правительства Севастополя от 18.05.2017 N 384-ПП (ред. от 30.10.2023) &quot;О реализации мероприятий, связанных с направлением граждан, постоянно проживающих на территории города Севастополя, в психоневрологические дома-интернаты, расположенные в других субъектах Российской Федерации&quot; (вместе с &quot;Порядком отбора субъектов Российской Федерации для предоставления иных межбюджетных трансфертов на предоставление социальных услуг в стационарной форме социального обслуживания гражданам, постоянно проживаю {КонсультантПлюс}">
              <w:r>
                <w:rPr>
                  <w:sz w:val="20"/>
                  <w:color w:val="0000ff"/>
                </w:rPr>
                <w:t xml:space="preserve">Порядок</w:t>
              </w:r>
            </w:hyperlink>
            <w:r>
              <w:rPr>
                <w:sz w:val="20"/>
              </w:rPr>
              <w:t xml:space="preserve"> отбора субъектов Российской Федерации для предоставления иных межбюджетных трансфертов на предоставление социальных услуг в стационарной форме социального обслуживания гражданам города Севастополя, признанным в установленном порядке нуждающимися в стационарном социальном обслуживании в организации психоневрологического профиля,</w:t>
            </w:r>
          </w:p>
          <w:p>
            <w:pPr>
              <w:pStyle w:val="0"/>
              <w:jc w:val="both"/>
            </w:pPr>
            <w:r>
              <w:rPr>
                <w:sz w:val="20"/>
              </w:rPr>
              <w:t xml:space="preserve">- </w:t>
            </w:r>
            <w:hyperlink w:history="0" r:id="rId813" w:tooltip="Постановление Правительства Севастополя от 18.05.2017 N 384-ПП (ред. от 30.10.2023) &quot;О реализации мероприятий, связанных с направлением граждан, постоянно проживающих на территории города Севастополя, в психоневрологические дома-интернаты, расположенные в других субъектах Российской Федерации&quot; (вместе с &quot;Порядком отбора субъектов Российской Федерации для предоставления иных межбюджетных трансфертов на предоставление социальных услуг в стационарной форме социального обслуживания гражданам, постоянно проживаю {КонсультантПлюс}">
              <w:r>
                <w:rPr>
                  <w:sz w:val="20"/>
                  <w:color w:val="0000ff"/>
                </w:rPr>
                <w:t xml:space="preserve">Порядок</w:t>
              </w:r>
            </w:hyperlink>
            <w:r>
              <w:rPr>
                <w:sz w:val="20"/>
              </w:rPr>
              <w:t xml:space="preserve"> направления граждан, проживающих в городе Севастополе, в психоневрологические дома-интернаты, расположенные в других субъектах Российской Федерации,</w:t>
            </w:r>
          </w:p>
          <w:p>
            <w:pPr>
              <w:pStyle w:val="0"/>
              <w:jc w:val="both"/>
            </w:pPr>
            <w:r>
              <w:rPr>
                <w:sz w:val="20"/>
              </w:rPr>
              <w:t xml:space="preserve">- </w:t>
            </w:r>
            <w:hyperlink w:history="0" r:id="rId814" w:tooltip="Постановление Правительства Севастополя от 18.05.2017 N 384-ПП (ред. от 30.10.2023) &quot;О реализации мероприятий, связанных с направлением граждан, постоянно проживающих на территории города Севастополя, в психоневрологические дома-интернаты, расположенные в других субъектах Российской Федерации&quot; (вместе с &quot;Порядком отбора субъектов Российской Федерации для предоставления иных межбюджетных трансфертов на предоставление социальных услуг в стационарной форме социального обслуживания гражданам, постоянно проживаю {КонсультантПлюс}">
              <w:r>
                <w:rPr>
                  <w:sz w:val="20"/>
                  <w:color w:val="0000ff"/>
                </w:rPr>
                <w:t xml:space="preserve">Порядок</w:t>
              </w:r>
            </w:hyperlink>
            <w:r>
              <w:rPr>
                <w:sz w:val="20"/>
              </w:rPr>
              <w:t xml:space="preserve"> организации проезда гражданина и его сопровождающего до психоневрологического дома-интерната, а также обратной дороги для сопровождающего</w:t>
            </w:r>
          </w:p>
        </w:tc>
      </w:tr>
      <w:tr>
        <w:tc>
          <w:tcPr>
            <w:tcW w:w="567" w:type="dxa"/>
          </w:tcPr>
          <w:p>
            <w:pPr>
              <w:pStyle w:val="0"/>
              <w:jc w:val="both"/>
            </w:pPr>
            <w:r>
              <w:rPr>
                <w:sz w:val="20"/>
              </w:rPr>
              <w:t xml:space="preserve">21.</w:t>
            </w:r>
          </w:p>
        </w:tc>
        <w:tc>
          <w:tcPr>
            <w:tcW w:w="2835" w:type="dxa"/>
          </w:tcPr>
          <w:p>
            <w:pPr>
              <w:pStyle w:val="0"/>
              <w:jc w:val="both"/>
            </w:pPr>
            <w:hyperlink w:history="0" r:id="rId815" w:tooltip="Постановление Правительства Севастополя от 30.11.2017 N 888-ПП &quot;Об утверждении Порядка организации и осуществления регионального государственного контроля (надзора) в сфере социального обслуживания&quot; ------------ Утратил силу или отменен {КонсультантПлюс}">
              <w:r>
                <w:rPr>
                  <w:sz w:val="20"/>
                  <w:color w:val="0000ff"/>
                </w:rPr>
                <w:t xml:space="preserve">Постановление</w:t>
              </w:r>
            </w:hyperlink>
            <w:r>
              <w:rPr>
                <w:sz w:val="20"/>
              </w:rPr>
              <w:t xml:space="preserve"> Правительства Севастополя от 30.11.2017 N 888-ПП "Об утверждении Порядка организации и осуществления регионального государственного контроля (надзора) в сфере социального обслуживания"</w:t>
            </w:r>
          </w:p>
        </w:tc>
        <w:tc>
          <w:tcPr>
            <w:tcW w:w="5669" w:type="dxa"/>
          </w:tcPr>
          <w:p>
            <w:pPr>
              <w:pStyle w:val="0"/>
              <w:jc w:val="both"/>
            </w:pPr>
            <w:r>
              <w:rPr>
                <w:sz w:val="20"/>
              </w:rPr>
              <w:t xml:space="preserve">Региональный государственный контроль (надзор) в сфере социального обслуживания осуществляет Департамент труда и социальной защиты населения города Севастополя.</w:t>
            </w:r>
          </w:p>
          <w:p>
            <w:pPr>
              <w:pStyle w:val="0"/>
              <w:jc w:val="both"/>
            </w:pPr>
            <w:r>
              <w:rPr>
                <w:sz w:val="20"/>
              </w:rPr>
              <w:t xml:space="preserve">Региональный государственный контроль (надзор) осуществляется в отношении юридических лиц, независимо от их организационно-правовой формы, и (или) индивидуальных предпринимателей, осуществляющих социальное обслуживание в городе Севастополе.</w:t>
            </w:r>
          </w:p>
          <w:p>
            <w:pPr>
              <w:pStyle w:val="0"/>
              <w:jc w:val="both"/>
            </w:pPr>
            <w:r>
              <w:rPr>
                <w:sz w:val="20"/>
              </w:rPr>
              <w:t xml:space="preserve">Предметами проверки при осуществлении регионального государственного контроля (надзора) являются:</w:t>
            </w:r>
          </w:p>
          <w:p>
            <w:pPr>
              <w:pStyle w:val="0"/>
              <w:jc w:val="both"/>
            </w:pPr>
            <w:r>
              <w:rPr>
                <w:sz w:val="20"/>
              </w:rPr>
              <w:t xml:space="preserve">- соблюдение поставщиками социальных услуг требований, установленных Федеральным </w:t>
            </w:r>
            <w:hyperlink w:history="0" r:id="rId816" w:tooltip="Федеральный закон от 28.12.2013 N 442-ФЗ (ред. от 28.04.2023) &quot;Об основах социального обслуживания граждан в Российской Федерации&quot; {КонсультантПлюс}">
              <w:r>
                <w:rPr>
                  <w:sz w:val="20"/>
                  <w:color w:val="0000ff"/>
                </w:rPr>
                <w:t xml:space="preserve">законом</w:t>
              </w:r>
            </w:hyperlink>
            <w:r>
              <w:rPr>
                <w:sz w:val="20"/>
              </w:rPr>
              <w:t xml:space="preserve"> N 442-ФЗ и иными нормативными правовыми актами Российской Федерации и города Севастополя в сфере социального обслуживания граждан;</w:t>
            </w:r>
          </w:p>
          <w:p>
            <w:pPr>
              <w:pStyle w:val="0"/>
              <w:jc w:val="both"/>
            </w:pPr>
            <w:r>
              <w:rPr>
                <w:sz w:val="20"/>
              </w:rPr>
              <w:t xml:space="preserve">- обеспечение поставщиками социальных услуг доступности для инвалидов объектов и услуг в соответствии с Федеральным </w:t>
            </w:r>
            <w:hyperlink w:history="0" r:id="rId817"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законом</w:t>
              </w:r>
            </w:hyperlink>
            <w:r>
              <w:rPr>
                <w:sz w:val="20"/>
              </w:rPr>
              <w:t xml:space="preserve"> N 181-ФЗ и иными нормативными правовыми актами Российской Федерации, регулирующими вопросы обеспечения доступности для инвалидов объектов и услуг</w:t>
            </w:r>
          </w:p>
        </w:tc>
      </w:tr>
      <w:tr>
        <w:tc>
          <w:tcPr>
            <w:tcW w:w="567" w:type="dxa"/>
          </w:tcPr>
          <w:p>
            <w:pPr>
              <w:pStyle w:val="0"/>
              <w:jc w:val="both"/>
            </w:pPr>
            <w:r>
              <w:rPr>
                <w:sz w:val="20"/>
              </w:rPr>
              <w:t xml:space="preserve">22.</w:t>
            </w:r>
          </w:p>
        </w:tc>
        <w:tc>
          <w:tcPr>
            <w:tcW w:w="2835" w:type="dxa"/>
          </w:tcPr>
          <w:p>
            <w:pPr>
              <w:pStyle w:val="0"/>
              <w:jc w:val="both"/>
            </w:pPr>
            <w:hyperlink w:history="0" r:id="rId818" w:tooltip="Приказ Департамента труда и социальной защиты населения г. Севастополя от 29.03.2016 N 123 (ред. от 14.07.2020) &quot;Об утверждении нормативов штатной численности организаций социального обслуживания города Севастополя&quot; ------------ Утратил силу или отменен {КонсультантПлюс}">
              <w:r>
                <w:rPr>
                  <w:sz w:val="20"/>
                  <w:color w:val="0000ff"/>
                </w:rPr>
                <w:t xml:space="preserve">Приказ</w:t>
              </w:r>
            </w:hyperlink>
            <w:r>
              <w:rPr>
                <w:sz w:val="20"/>
              </w:rPr>
              <w:t xml:space="preserve"> Департамента труда и социальной защиты населения города Севастополя от 29.03.2016 N 123 "Об утверждении нормативов штатной численности организаций социального обслуживания города Севастополя"</w:t>
            </w:r>
          </w:p>
        </w:tc>
        <w:tc>
          <w:tcPr>
            <w:tcW w:w="5669" w:type="dxa"/>
          </w:tcPr>
          <w:p>
            <w:pPr>
              <w:pStyle w:val="0"/>
              <w:jc w:val="both"/>
            </w:pPr>
            <w:r>
              <w:rPr>
                <w:sz w:val="20"/>
              </w:rPr>
              <w:t xml:space="preserve">Приказом Департамента труда и социальной защиты населения города Севастополя от 29.03.2016 N 123 утверждены </w:t>
            </w:r>
            <w:hyperlink w:history="0" r:id="rId819" w:tooltip="Приказ Департамента труда и социальной защиты населения г. Севастополя от 29.03.2016 N 123 (ред. от 14.07.2020) &quot;Об утверждении нормативов штатной численности организаций социального обслуживания города Севастополя&quot; ------------ Утратил силу или отменен {КонсультантПлюс}">
              <w:r>
                <w:rPr>
                  <w:sz w:val="20"/>
                  <w:color w:val="0000ff"/>
                </w:rPr>
                <w:t xml:space="preserve">нормативы</w:t>
              </w:r>
            </w:hyperlink>
            <w:r>
              <w:rPr>
                <w:sz w:val="20"/>
              </w:rPr>
              <w:t xml:space="preserve"> штатной численности организаций социального обслуживания города Севастополя</w:t>
            </w:r>
          </w:p>
        </w:tc>
      </w:tr>
      <w:tr>
        <w:tc>
          <w:tcPr>
            <w:tcW w:w="567" w:type="dxa"/>
          </w:tcPr>
          <w:p>
            <w:pPr>
              <w:pStyle w:val="0"/>
              <w:jc w:val="both"/>
            </w:pPr>
            <w:r>
              <w:rPr>
                <w:sz w:val="20"/>
              </w:rPr>
              <w:t xml:space="preserve">23.</w:t>
            </w:r>
          </w:p>
        </w:tc>
        <w:tc>
          <w:tcPr>
            <w:tcW w:w="2835" w:type="dxa"/>
          </w:tcPr>
          <w:p>
            <w:pPr>
              <w:pStyle w:val="0"/>
              <w:jc w:val="both"/>
            </w:pPr>
            <w:hyperlink w:history="0" r:id="rId820" w:tooltip="Приказ Департамента труда и социальной защиты населения г. Севастополя от 21.06.2019 N 225 (ред. от 07.12.2022) &quot;Об утверждении норм питания в организациях социального обслуживания города Севастополя&quot; (вместе с &quot;Нормами питания получателей социальных услуг, предоставляемых в доме-интернате для престарелых и инвалидов&quot;, &quot;Нормами питания получателей социальных услуг, предоставляемых в социальном приюте для детей и подростков&quot;) {КонсультантПлюс}">
              <w:r>
                <w:rPr>
                  <w:sz w:val="20"/>
                  <w:color w:val="0000ff"/>
                </w:rPr>
                <w:t xml:space="preserve">Приказ</w:t>
              </w:r>
            </w:hyperlink>
            <w:r>
              <w:rPr>
                <w:sz w:val="20"/>
              </w:rPr>
              <w:t xml:space="preserve"> Департамента труда и социальной защиты населения города Севастополя от 21.06.2019 N 225 "Об утверждении норм питания в организациях социального обслуживания города Севастополя"</w:t>
            </w:r>
          </w:p>
        </w:tc>
        <w:tc>
          <w:tcPr>
            <w:tcW w:w="5669" w:type="dxa"/>
          </w:tcPr>
          <w:p>
            <w:pPr>
              <w:pStyle w:val="0"/>
              <w:jc w:val="both"/>
            </w:pPr>
            <w:r>
              <w:rPr>
                <w:sz w:val="20"/>
              </w:rPr>
              <w:t xml:space="preserve">Приказом Департамента труда и социальной защиты населения города Севастополя от 21.06.2019 N 225 утверждены </w:t>
            </w:r>
            <w:hyperlink w:history="0" r:id="rId821" w:tooltip="Приказ Департамента труда и социальной защиты населения г. Севастополя от 21.06.2019 N 225 (ред. от 07.12.2022) &quot;Об утверждении норм питания в организациях социального обслуживания города Севастополя&quot; (вместе с &quot;Нормами питания получателей социальных услуг, предоставляемых в доме-интернате для престарелых и инвалидов&quot;, &quot;Нормами питания получателей социальных услуг, предоставляемых в социальном приюте для детей и подростков&quot;) {КонсультантПлюс}">
              <w:r>
                <w:rPr>
                  <w:sz w:val="20"/>
                  <w:color w:val="0000ff"/>
                </w:rPr>
                <w:t xml:space="preserve">Нормы</w:t>
              </w:r>
            </w:hyperlink>
            <w:r>
              <w:rPr>
                <w:sz w:val="20"/>
              </w:rPr>
              <w:t xml:space="preserve"> питания получателей социальных услуг, предоставляемых в доме-интернате для престарелых и инвалидов, </w:t>
            </w:r>
            <w:hyperlink w:history="0" r:id="rId822" w:tooltip="Приказ Департамента труда и социальной защиты населения г. Севастополя от 21.06.2019 N 225 (ред. от 07.12.2022) &quot;Об утверждении норм питания в организациях социального обслуживания города Севастополя&quot; (вместе с &quot;Нормами питания получателей социальных услуг, предоставляемых в доме-интернате для престарелых и инвалидов&quot;, &quot;Нормами питания получателей социальных услуг, предоставляемых в социальном приюте для детей и подростков&quot;) {КонсультантПлюс}">
              <w:r>
                <w:rPr>
                  <w:sz w:val="20"/>
                  <w:color w:val="0000ff"/>
                </w:rPr>
                <w:t xml:space="preserve">Нормы</w:t>
              </w:r>
            </w:hyperlink>
            <w:r>
              <w:rPr>
                <w:sz w:val="20"/>
              </w:rPr>
              <w:t xml:space="preserve"> питания получателей социальных услуг, предоставляемых в социальном приюте для детей и подростков</w:t>
            </w:r>
          </w:p>
        </w:tc>
      </w:tr>
      <w:tr>
        <w:tc>
          <w:tcPr>
            <w:tcW w:w="567" w:type="dxa"/>
          </w:tcPr>
          <w:p>
            <w:pPr>
              <w:pStyle w:val="0"/>
              <w:jc w:val="both"/>
            </w:pPr>
            <w:r>
              <w:rPr>
                <w:sz w:val="20"/>
              </w:rPr>
              <w:t xml:space="preserve">24.</w:t>
            </w:r>
          </w:p>
        </w:tc>
        <w:tc>
          <w:tcPr>
            <w:tcW w:w="2835" w:type="dxa"/>
          </w:tcPr>
          <w:p>
            <w:pPr>
              <w:pStyle w:val="0"/>
              <w:jc w:val="both"/>
            </w:pPr>
            <w:hyperlink w:history="0" r:id="rId823" w:tooltip="Приказ Департамента труда и социальной защиты населения г. Севастополя от 25.02.2019 N 76 (ред. от 29.12.2020) &quot;Об утверждении подушевых нормативов финансирования социальных услуг и тарифов на социальные услуги, предоставляемые в городе Севастополе в различных формах социального обслуживания&quot; (вместе с &quot;Подушевыми нормативами финансирования социальных услуг, тарифами на социальные услуги, предоставляемые в форме социального обслуживания на дому&quot;, &quot;Подушевыми нормативами финансирования социальных услуг, тари ------------ Утратил силу или отменен {КонсультантПлюс}">
              <w:r>
                <w:rPr>
                  <w:sz w:val="20"/>
                  <w:color w:val="0000ff"/>
                </w:rPr>
                <w:t xml:space="preserve">Приказ</w:t>
              </w:r>
            </w:hyperlink>
            <w:r>
              <w:rPr>
                <w:sz w:val="20"/>
              </w:rPr>
              <w:t xml:space="preserve"> Департамента труда и социальной защиты населения города Севастополя от 25.02.2019 N 76 "Об утверждении подушевых нормативов финансирования социальных услуг и тарифов на социальные услуги, предоставляемые в городе Севастополе в различных формах социального обслуживания"</w:t>
            </w:r>
          </w:p>
        </w:tc>
        <w:tc>
          <w:tcPr>
            <w:tcW w:w="5669" w:type="dxa"/>
          </w:tcPr>
          <w:p>
            <w:pPr>
              <w:pStyle w:val="0"/>
              <w:jc w:val="both"/>
            </w:pPr>
            <w:hyperlink w:history="0" r:id="rId824" w:tooltip="Приказ Департамента труда и социальной защиты населения г. Севастополя от 25.02.2019 N 76 (ред. от 29.12.2020) &quot;Об утверждении подушевых нормативов финансирования социальных услуг и тарифов на социальные услуги, предоставляемые в городе Севастополе в различных формах социального обслуживания&quot; (вместе с &quot;Подушевыми нормативами финансирования социальных услуг, тарифами на социальные услуги, предоставляемые в форме социального обслуживания на дому&quot;, &quot;Подушевыми нормативами финансирования социальных услуг, тари ------------ Утратил силу или отменен {КонсультантПлюс}">
              <w:r>
                <w:rPr>
                  <w:sz w:val="20"/>
                  <w:color w:val="0000ff"/>
                </w:rPr>
                <w:t xml:space="preserve">Приказом</w:t>
              </w:r>
            </w:hyperlink>
            <w:r>
              <w:rPr>
                <w:sz w:val="20"/>
              </w:rPr>
              <w:t xml:space="preserve"> Департамента труда и социальной защиты населения города Севастополя от 25.02.2019 N 76 утверждены Подушевые нормативы финансирования социальных услуг, тарифы на социальные услуги, предоставляемые в форме социального обслуживания на дому, Подушевые нормативы финансирования социальных услуг, тарифы на социальные услуги, предоставляемые в полустационарной форме социального обслуживания, Подушевые нормативы финансирования социальных услуг, тарифы на социальные услуги, предоставляемые в стационарной форме социального обслуживания</w:t>
            </w:r>
          </w:p>
        </w:tc>
      </w:tr>
      <w:tr>
        <w:tc>
          <w:tcPr>
            <w:tcW w:w="567" w:type="dxa"/>
          </w:tcPr>
          <w:p>
            <w:pPr>
              <w:pStyle w:val="0"/>
              <w:jc w:val="both"/>
            </w:pPr>
            <w:r>
              <w:rPr>
                <w:sz w:val="20"/>
              </w:rPr>
              <w:t xml:space="preserve">25.</w:t>
            </w:r>
          </w:p>
        </w:tc>
        <w:tc>
          <w:tcPr>
            <w:tcW w:w="2835" w:type="dxa"/>
          </w:tcPr>
          <w:p>
            <w:pPr>
              <w:pStyle w:val="0"/>
              <w:jc w:val="both"/>
            </w:pPr>
            <w:hyperlink w:history="0" r:id="rId825" w:tooltip="Приказ Департамента труда и социальной защиты населения г. Севастополя от 22.06.2018 N 242 (ред. от 15.09.2023) &quot;Об организации работы по признанию граждан нуждающимися в социальном обслуживании на территории города Севастополя, определению индивидуальной потребности в социальных услугах, составлению и пересмотру индивидуальной программы предоставления социальных услуг&quot; (вместе с &quot;Порядком признания граждан нуждающимися в социальном обслуживании на территории города Севастополя (за исключением нуждаемости в {КонсультантПлюс}">
              <w:r>
                <w:rPr>
                  <w:sz w:val="20"/>
                  <w:color w:val="0000ff"/>
                </w:rPr>
                <w:t xml:space="preserve">Приказ</w:t>
              </w:r>
            </w:hyperlink>
            <w:r>
              <w:rPr>
                <w:sz w:val="20"/>
              </w:rPr>
              <w:t xml:space="preserve"> Департамента труда и социальной защиты населения города Севастополя от 22.06.2018 N 242 (ред. от 07.11.2018) "Об утверждении Порядка признания гражданина нуждающимся в социальном обслуживании, определения индивидуальной потребности в социальных услугах, составления индивидуальной программы предоставления социальных услуг"</w:t>
            </w:r>
          </w:p>
        </w:tc>
        <w:tc>
          <w:tcPr>
            <w:tcW w:w="5669" w:type="dxa"/>
          </w:tcPr>
          <w:p>
            <w:pPr>
              <w:pStyle w:val="0"/>
              <w:jc w:val="both"/>
            </w:pPr>
            <w:hyperlink w:history="0" r:id="rId826" w:tooltip="Приказ Департамента труда и социальной защиты населения г. Севастополя от 22.06.2018 N 242 (ред. от 15.09.2023) &quot;Об организации работы по признанию граждан нуждающимися в социальном обслуживании на территории города Севастополя, определению индивидуальной потребности в социальных услугах, составлению и пересмотру индивидуальной программы предоставления социальных услуг&quot; (вместе с &quot;Порядком признания граждан нуждающимися в социальном обслуживании на территории города Севастополя (за исключением нуждаемости в {КонсультантПлюс}">
              <w:r>
                <w:rPr>
                  <w:sz w:val="20"/>
                  <w:color w:val="0000ff"/>
                </w:rPr>
                <w:t xml:space="preserve">Приказом</w:t>
              </w:r>
            </w:hyperlink>
            <w:r>
              <w:rPr>
                <w:sz w:val="20"/>
              </w:rPr>
              <w:t xml:space="preserve"> Департамента труда и социальной защиты населения города Севастополя от 22.06.2018 N 242 утверждены:</w:t>
            </w:r>
          </w:p>
          <w:p>
            <w:pPr>
              <w:pStyle w:val="0"/>
              <w:jc w:val="both"/>
            </w:pPr>
            <w:r>
              <w:rPr>
                <w:sz w:val="20"/>
              </w:rPr>
              <w:t xml:space="preserve">- </w:t>
            </w:r>
            <w:hyperlink w:history="0" r:id="rId827" w:tooltip="Приказ Департамента труда и социальной защиты населения г. Севастополя от 22.06.2018 N 242 (ред. от 15.09.2023) &quot;Об организации работы по признанию граждан нуждающимися в социальном обслуживании на территории города Севастополя, определению индивидуальной потребности в социальных услугах, составлению и пересмотру индивидуальной программы предоставления социальных услуг&quot; (вместе с &quot;Порядком признания граждан нуждающимися в социальном обслуживании на территории города Севастополя (за исключением нуждаемости в {КонсультантПлюс}">
              <w:r>
                <w:rPr>
                  <w:sz w:val="20"/>
                  <w:color w:val="0000ff"/>
                </w:rPr>
                <w:t xml:space="preserve">Порядок</w:t>
              </w:r>
            </w:hyperlink>
            <w:r>
              <w:rPr>
                <w:sz w:val="20"/>
              </w:rPr>
              <w:t xml:space="preserve"> признания граждан нуждающимися в социальном обслуживании на территории города Севастополя, определения индивидуальной потребности в социальных услугах, составления индивидуальной программы предоставления социальных услуг,</w:t>
            </w:r>
          </w:p>
          <w:p>
            <w:pPr>
              <w:pStyle w:val="0"/>
              <w:jc w:val="both"/>
            </w:pPr>
            <w:r>
              <w:rPr>
                <w:sz w:val="20"/>
              </w:rPr>
              <w:t xml:space="preserve">- Типовое </w:t>
            </w:r>
            <w:hyperlink w:history="0" r:id="rId828" w:tooltip="Приказ Департамента труда и социальной защиты населения г. Севастополя от 22.06.2018 N 242 (ред. от 15.09.2023) &quot;Об организации работы по признанию граждан нуждающимися в социальном обслуживании на территории города Севастополя, определению индивидуальной потребности в социальных услугах, составлению и пересмотру индивидуальной программы предоставления социальных услуг&quot; (вместе с &quot;Порядком признания граждан нуждающимися в социальном обслуживании на территории города Севастополя (за исключением нуждаемости в {КонсультантПлюс}">
              <w:r>
                <w:rPr>
                  <w:sz w:val="20"/>
                  <w:color w:val="0000ff"/>
                </w:rPr>
                <w:t xml:space="preserve">Положение</w:t>
              </w:r>
            </w:hyperlink>
            <w:r>
              <w:rPr>
                <w:sz w:val="20"/>
              </w:rPr>
              <w:t xml:space="preserve"> о комиссии по признанию граждан нуждающимися в социальном обслуживании и определению их потребности в социальных услугах,</w:t>
            </w:r>
          </w:p>
          <w:p>
            <w:pPr>
              <w:pStyle w:val="0"/>
              <w:jc w:val="both"/>
            </w:pPr>
            <w:r>
              <w:rPr>
                <w:sz w:val="20"/>
              </w:rPr>
              <w:t xml:space="preserve">- </w:t>
            </w:r>
            <w:hyperlink w:history="0" r:id="rId829" w:tooltip="Приказ Департамента труда и социальной защиты населения г. Севастополя от 22.06.2018 N 242 (ред. от 15.09.2023) &quot;Об организации работы по признанию граждан нуждающимися в социальном обслуживании на территории города Севастополя, определению индивидуальной потребности в социальных услугах, составлению и пересмотру индивидуальной программы предоставления социальных услуг&quot; (вместе с &quot;Порядком признания граждан нуждающимися в социальном обслуживании на территории города Севастополя (за исключением нуждаемости в {КонсультантПлюс}">
              <w:r>
                <w:rPr>
                  <w:sz w:val="20"/>
                  <w:color w:val="0000ff"/>
                </w:rPr>
                <w:t xml:space="preserve">Положение</w:t>
              </w:r>
            </w:hyperlink>
            <w:r>
              <w:rPr>
                <w:sz w:val="20"/>
              </w:rPr>
              <w:t xml:space="preserve"> о комиссии по признанию граждан нуждающимися в стационарном социальном обслуживании и определению их индивидуальной потребности в социальных услугах в городе Севастополе при Департаменте труда и социальной защиты населения города Севастополя</w:t>
            </w:r>
          </w:p>
        </w:tc>
      </w:tr>
      <w:tr>
        <w:tc>
          <w:tcPr>
            <w:tcW w:w="567" w:type="dxa"/>
          </w:tcPr>
          <w:p>
            <w:pPr>
              <w:pStyle w:val="0"/>
              <w:jc w:val="both"/>
            </w:pPr>
            <w:r>
              <w:rPr>
                <w:sz w:val="20"/>
              </w:rPr>
              <w:t xml:space="preserve">26.</w:t>
            </w:r>
          </w:p>
        </w:tc>
        <w:tc>
          <w:tcPr>
            <w:tcW w:w="2835" w:type="dxa"/>
          </w:tcPr>
          <w:p>
            <w:pPr>
              <w:pStyle w:val="0"/>
              <w:jc w:val="both"/>
            </w:pPr>
            <w:hyperlink w:history="0" r:id="rId830" w:tooltip="Приказ Департамента труда и социальной защиты населения г. Севастополя от 23.11.2016 N 535 (ред. от 20.04.2022) &quot;Об утверждении Административного регламента предоставления государственной услуги &quot;Предоставление путевки (направления) гражданам, нуждающимся в стационарном социальном обслуживании&quot; ------------ Утратил силу или отменен {КонсультантПлюс}">
              <w:r>
                <w:rPr>
                  <w:sz w:val="20"/>
                  <w:color w:val="0000ff"/>
                </w:rPr>
                <w:t xml:space="preserve">Приказ</w:t>
              </w:r>
            </w:hyperlink>
            <w:r>
              <w:rPr>
                <w:sz w:val="20"/>
              </w:rPr>
              <w:t xml:space="preserve"> Департамента труда и социальной защиты населения города Севастополя от 23.11.2016 N 535 "Об утверждении Административного регламента предоставления государственной услуги "Предоставление путевки (направления) гражданам, нуждающимся в стационарном социальном обслуживании"</w:t>
            </w:r>
          </w:p>
        </w:tc>
        <w:tc>
          <w:tcPr>
            <w:tcW w:w="5669" w:type="dxa"/>
          </w:tcPr>
          <w:p>
            <w:pPr>
              <w:pStyle w:val="0"/>
              <w:jc w:val="both"/>
            </w:pPr>
            <w:r>
              <w:rPr>
                <w:sz w:val="20"/>
              </w:rPr>
              <w:t xml:space="preserve">Регламент устанавливает стандарты, сроки и последовательность административных процедур (действий) в ходе предоставления Департаментом труда и социальной защиты населения города Севастополя и управлениями труда и социальной защиты населения районов города Севастополя государственной услуги, порядок взаимодействия между должностными лицами, взаимодействия с заявителем, иными органами государственной власти, участвующими в предоставлении государственной услуги</w:t>
            </w:r>
          </w:p>
        </w:tc>
      </w:tr>
      <w:tr>
        <w:tc>
          <w:tcPr>
            <w:tcW w:w="567" w:type="dxa"/>
          </w:tcPr>
          <w:p>
            <w:pPr>
              <w:pStyle w:val="0"/>
              <w:jc w:val="both"/>
            </w:pPr>
            <w:r>
              <w:rPr>
                <w:sz w:val="20"/>
              </w:rPr>
              <w:t xml:space="preserve">27.</w:t>
            </w:r>
          </w:p>
        </w:tc>
        <w:tc>
          <w:tcPr>
            <w:tcW w:w="2835" w:type="dxa"/>
          </w:tcPr>
          <w:p>
            <w:pPr>
              <w:pStyle w:val="0"/>
              <w:jc w:val="both"/>
            </w:pPr>
            <w:hyperlink w:history="0" r:id="rId831" w:tooltip="Постановление Правительства Севастополя от 31.12.2014 N 716 (ред. от 25.05.2023) &quot;Об утверждении Порядка предоставления социальных услуг поставщиками социальных услуг в городе Севастополе&quot; {КонсультантПлюс}">
              <w:r>
                <w:rPr>
                  <w:sz w:val="20"/>
                  <w:color w:val="0000ff"/>
                </w:rPr>
                <w:t xml:space="preserve">Порядок</w:t>
              </w:r>
            </w:hyperlink>
            <w:r>
              <w:rPr>
                <w:sz w:val="20"/>
              </w:rPr>
              <w:t xml:space="preserve"> предоставления социальных услуг поставщиками социальных услуг в городе Севастополе, утв. постановлением Правительства Севастополя от 31.12.2014 N 716</w:t>
            </w:r>
          </w:p>
        </w:tc>
        <w:tc>
          <w:tcPr>
            <w:tcW w:w="5669" w:type="dxa"/>
          </w:tcPr>
          <w:p>
            <w:pPr>
              <w:pStyle w:val="0"/>
              <w:jc w:val="both"/>
            </w:pPr>
            <w:hyperlink w:history="0" r:id="rId832" w:tooltip="Постановление Правительства Севастополя от 31.12.2014 N 716 (ред. от 25.05.2023) &quot;Об утверждении Порядка предоставления социальных услуг поставщиками социальных услуг в городе Севастополе&quot; {КонсультантПлюс}">
              <w:r>
                <w:rPr>
                  <w:sz w:val="20"/>
                  <w:color w:val="0000ff"/>
                </w:rPr>
                <w:t xml:space="preserve">Порядок</w:t>
              </w:r>
            </w:hyperlink>
            <w:r>
              <w:rPr>
                <w:sz w:val="20"/>
              </w:rPr>
              <w:t xml:space="preserve"> предоставления социальных услуг поставщиками социальных услуг в городе Севастополе устанавливает наименования и стандарты социальных услуг, правила предоставления социальных услуг юридическими лицами, независимо от их организационно-правовой формы, и (или) индивидуальными предпринимателями, осуществляющими социальное обслуживание, перечень документов, необходимых для получения социальных услуг, а также требования к деятельности поставщиков социальных услуг</w:t>
            </w:r>
          </w:p>
        </w:tc>
      </w:tr>
      <w:tr>
        <w:tc>
          <w:tcPr>
            <w:tcW w:w="567" w:type="dxa"/>
          </w:tcPr>
          <w:p>
            <w:pPr>
              <w:pStyle w:val="0"/>
              <w:jc w:val="both"/>
            </w:pPr>
            <w:r>
              <w:rPr>
                <w:sz w:val="20"/>
              </w:rPr>
              <w:t xml:space="preserve">28.</w:t>
            </w:r>
          </w:p>
        </w:tc>
        <w:tc>
          <w:tcPr>
            <w:tcW w:w="2835" w:type="dxa"/>
          </w:tcPr>
          <w:p>
            <w:pPr>
              <w:pStyle w:val="0"/>
              <w:jc w:val="both"/>
            </w:pPr>
            <w:hyperlink w:history="0" r:id="rId833" w:tooltip="Приказ Департамента труда и социальной защиты населения г. Севастополя от 21.10.2019 N 374 (ред. от 16.03.2021) &quot;Об утверждении паспортов ключевых показателей результативности контрольной (надзорной) деятельности&quot; (вместе с &quot;Паспортом ключевого показателя результативности осуществления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quot;, &quot;Паспортом ключевого показателя результа {КонсультантПлюс}">
              <w:r>
                <w:rPr>
                  <w:sz w:val="20"/>
                  <w:color w:val="0000ff"/>
                </w:rPr>
                <w:t xml:space="preserve">Приказ</w:t>
              </w:r>
            </w:hyperlink>
            <w:r>
              <w:rPr>
                <w:sz w:val="20"/>
              </w:rPr>
              <w:t xml:space="preserve"> Департамента труда и социальной защиты населения города Севастополя от 21.10.2019 N 374 "Об утверждении паспортов ключевых показателей результативности контрольной (надзорной) деятельности"</w:t>
            </w:r>
          </w:p>
        </w:tc>
        <w:tc>
          <w:tcPr>
            <w:tcW w:w="5669" w:type="dxa"/>
          </w:tcPr>
          <w:p>
            <w:pPr>
              <w:pStyle w:val="0"/>
              <w:jc w:val="both"/>
            </w:pPr>
            <w:hyperlink w:history="0" r:id="rId834" w:tooltip="Приказ Департамента труда и социальной защиты населения г. Севастополя от 21.10.2019 N 374 (ред. от 16.03.2021) &quot;Об утверждении паспортов ключевых показателей результативности контрольной (надзорной) деятельности&quot; (вместе с &quot;Паспортом ключевого показателя результативности осуществления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quot;, &quot;Паспортом ключевого показателя результа {КонсультантПлюс}">
              <w:r>
                <w:rPr>
                  <w:sz w:val="20"/>
                  <w:color w:val="0000ff"/>
                </w:rPr>
                <w:t xml:space="preserve">Приказом</w:t>
              </w:r>
            </w:hyperlink>
            <w:r>
              <w:rPr>
                <w:sz w:val="20"/>
              </w:rPr>
              <w:t xml:space="preserve"> Департамента труда и социальной защиты населения города Севастополя от 21.10.2019 N 374 утверждены:</w:t>
            </w:r>
          </w:p>
          <w:p>
            <w:pPr>
              <w:pStyle w:val="0"/>
              <w:jc w:val="both"/>
            </w:pPr>
            <w:r>
              <w:rPr>
                <w:sz w:val="20"/>
              </w:rPr>
              <w:t xml:space="preserve">- </w:t>
            </w:r>
            <w:hyperlink w:history="0" r:id="rId835" w:tooltip="Приказ Департамента труда и социальной защиты населения г. Севастополя от 21.10.2019 N 374 (ред. от 16.03.2021) &quot;Об утверждении паспортов ключевых показателей результативности контрольной (надзорной) деятельности&quot; (вместе с &quot;Паспортом ключевого показателя результативности осуществления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quot;, &quot;Паспортом ключевого показателя результа {КонсультантПлюс}">
              <w:r>
                <w:rPr>
                  <w:sz w:val="20"/>
                  <w:color w:val="0000ff"/>
                </w:rPr>
                <w:t xml:space="preserve">паспорт</w:t>
              </w:r>
            </w:hyperlink>
            <w:r>
              <w:rPr>
                <w:sz w:val="20"/>
              </w:rPr>
              <w:t xml:space="preserve"> ключевого показателя результативности осуществления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p>
            <w:pPr>
              <w:pStyle w:val="0"/>
              <w:jc w:val="both"/>
            </w:pPr>
            <w:r>
              <w:rPr>
                <w:sz w:val="20"/>
              </w:rPr>
              <w:t xml:space="preserve">- </w:t>
            </w:r>
            <w:hyperlink w:history="0" r:id="rId836" w:tooltip="Приказ Департамента труда и социальной защиты населения г. Севастополя от 21.10.2019 N 374 (ред. от 16.03.2021) &quot;Об утверждении паспортов ключевых показателей результативности контрольной (надзорной) деятельности&quot; (вместе с &quot;Паспортом ключевого показателя результативности осуществления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quot;, &quot;Паспортом ключевого показателя результа {КонсультантПлюс}">
              <w:r>
                <w:rPr>
                  <w:sz w:val="20"/>
                  <w:color w:val="0000ff"/>
                </w:rPr>
                <w:t xml:space="preserve">паспорт</w:t>
              </w:r>
            </w:hyperlink>
            <w:r>
              <w:rPr>
                <w:sz w:val="20"/>
              </w:rPr>
              <w:t xml:space="preserve"> ключевого показателя результативности регионального государственного контроля (надзора) в сфере социального обслуживания</w:t>
            </w:r>
          </w:p>
        </w:tc>
      </w:tr>
      <w:tr>
        <w:tc>
          <w:tcPr>
            <w:tcW w:w="567" w:type="dxa"/>
          </w:tcPr>
          <w:p>
            <w:pPr>
              <w:pStyle w:val="0"/>
              <w:jc w:val="both"/>
            </w:pPr>
            <w:r>
              <w:rPr>
                <w:sz w:val="20"/>
              </w:rPr>
              <w:t xml:space="preserve">29.</w:t>
            </w:r>
          </w:p>
        </w:tc>
        <w:tc>
          <w:tcPr>
            <w:tcW w:w="2835" w:type="dxa"/>
          </w:tcPr>
          <w:p>
            <w:pPr>
              <w:pStyle w:val="0"/>
              <w:jc w:val="both"/>
            </w:pPr>
            <w:hyperlink w:history="0" r:id="rId837" w:tooltip="Приказ Департамента труда и социальной защиты населения г. Севастополя от 03.04.2019 N 127 (ред. от 30.11.2022) &quot;Об организации работы по определению нуждаемости и составлению индивидуальных программ получателям социальных услуг в Государственном казенном учреждении &quot;Севастопольский городской комплексный центр социального обслуживания&quot; {КонсультантПлюс}">
              <w:r>
                <w:rPr>
                  <w:sz w:val="20"/>
                  <w:color w:val="0000ff"/>
                </w:rPr>
                <w:t xml:space="preserve">Приказ</w:t>
              </w:r>
            </w:hyperlink>
            <w:r>
              <w:rPr>
                <w:sz w:val="20"/>
              </w:rPr>
              <w:t xml:space="preserve"> Департамента труда и социальной защиты населения города Севастополя от 03.04.2019 N 127 "Об организации работы по определению нуждаемости и составлению индивидуальных программ получателям социальных услуг в Государственном казенном учреждении "Севастопольский городской комплексный центр социального обслуживания"</w:t>
            </w:r>
          </w:p>
        </w:tc>
        <w:tc>
          <w:tcPr>
            <w:tcW w:w="5669" w:type="dxa"/>
          </w:tcPr>
          <w:p>
            <w:pPr>
              <w:pStyle w:val="0"/>
              <w:jc w:val="both"/>
            </w:pPr>
            <w:hyperlink w:history="0" r:id="rId838" w:tooltip="Приказ Департамента труда и социальной защиты населения г. Севастополя от 03.04.2019 N 127 (ред. от 30.11.2022) &quot;Об организации работы по определению нуждаемости и составлению индивидуальных программ получателям социальных услуг в Государственном казенном учреждении &quot;Севастопольский городской комплексный центр социального обслуживания&quot; {КонсультантПлюс}">
              <w:r>
                <w:rPr>
                  <w:sz w:val="20"/>
                  <w:color w:val="0000ff"/>
                </w:rPr>
                <w:t xml:space="preserve">Приказом</w:t>
              </w:r>
            </w:hyperlink>
            <w:r>
              <w:rPr>
                <w:sz w:val="20"/>
              </w:rPr>
              <w:t xml:space="preserve"> Департамента труда и социальной защиты населения города Севастополя от 03.04.2019 N 127 утверждены:</w:t>
            </w:r>
          </w:p>
          <w:p>
            <w:pPr>
              <w:pStyle w:val="0"/>
              <w:jc w:val="both"/>
            </w:pPr>
            <w:r>
              <w:rPr>
                <w:sz w:val="20"/>
              </w:rPr>
              <w:t xml:space="preserve">- </w:t>
            </w:r>
            <w:hyperlink w:history="0" r:id="rId839" w:tooltip="Приказ Департамента труда и социальной защиты населения г. Севастополя от 03.04.2019 N 127 (ред. от 30.11.2022) &quot;Об организации работы по определению нуждаемости и составлению индивидуальных программ получателям социальных услуг в Государственном казенном учреждении &quot;Севастопольский городской комплексный центр социального обслуживания&quot; {КонсультантПлюс}">
              <w:r>
                <w:rPr>
                  <w:sz w:val="20"/>
                  <w:color w:val="0000ff"/>
                </w:rPr>
                <w:t xml:space="preserve">Перечень</w:t>
              </w:r>
            </w:hyperlink>
            <w:r>
              <w:rPr>
                <w:sz w:val="20"/>
              </w:rPr>
              <w:t xml:space="preserve"> социальных услуг, предоставляемых Региональной общественной организацией инвалидов "Ассоциация работающих инвалидов Севастополя",</w:t>
            </w:r>
          </w:p>
          <w:p>
            <w:pPr>
              <w:pStyle w:val="0"/>
              <w:jc w:val="both"/>
            </w:pPr>
            <w:r>
              <w:rPr>
                <w:sz w:val="20"/>
              </w:rPr>
              <w:t xml:space="preserve">- </w:t>
            </w:r>
            <w:hyperlink w:history="0" r:id="rId840" w:tooltip="Приказ Департамента труда и социальной защиты населения г. Севастополя от 03.04.2019 N 127 (ред. от 30.11.2022) &quot;Об организации работы по определению нуждаемости и составлению индивидуальных программ получателям социальных услуг в Государственном казенном учреждении &quot;Севастопольский городской комплексный центр социального обслуживания&quot; {КонсультантПлюс}">
              <w:r>
                <w:rPr>
                  <w:sz w:val="20"/>
                  <w:color w:val="0000ff"/>
                </w:rPr>
                <w:t xml:space="preserve">Перечень</w:t>
              </w:r>
            </w:hyperlink>
            <w:r>
              <w:rPr>
                <w:sz w:val="20"/>
              </w:rPr>
              <w:t xml:space="preserve"> социальных услуг, предоставляемых Региональной общественной организацией "Инвалиды Севастополя"</w:t>
            </w:r>
          </w:p>
        </w:tc>
      </w:tr>
      <w:tr>
        <w:tc>
          <w:tcPr>
            <w:tcW w:w="567" w:type="dxa"/>
          </w:tcPr>
          <w:p>
            <w:pPr>
              <w:pStyle w:val="0"/>
              <w:jc w:val="both"/>
            </w:pPr>
            <w:r>
              <w:rPr>
                <w:sz w:val="20"/>
              </w:rPr>
              <w:t xml:space="preserve">30.</w:t>
            </w:r>
          </w:p>
        </w:tc>
        <w:tc>
          <w:tcPr>
            <w:tcW w:w="2835" w:type="dxa"/>
          </w:tcPr>
          <w:p>
            <w:pPr>
              <w:pStyle w:val="0"/>
              <w:jc w:val="both"/>
            </w:pPr>
            <w:hyperlink w:history="0" r:id="rId841" w:tooltip="Постановление Правительства Севастополя от 31.12.2014 N 696 (ред. от 27.10.2022) &quot;Об утверждении регламента межведомственного взаимодействия органов государственной власти города Севастополя в связи с реализацией полномочий в сфере социального обслуживания&quot; {КонсультантПлюс}">
              <w:r>
                <w:rPr>
                  <w:sz w:val="20"/>
                  <w:color w:val="0000ff"/>
                </w:rPr>
                <w:t xml:space="preserve">Постановление</w:t>
              </w:r>
            </w:hyperlink>
            <w:r>
              <w:rPr>
                <w:sz w:val="20"/>
              </w:rPr>
              <w:t xml:space="preserve"> Правительства Севастополя от 31.12.2014 N 696 (ред. от 29.11.2018) "Об утверждении регламента межведомственного взаимодействия органов государственной власти Севастополя в связи с реализацией полномочий в сфере социального обслуживания"</w:t>
            </w:r>
          </w:p>
        </w:tc>
        <w:tc>
          <w:tcPr>
            <w:tcW w:w="5669" w:type="dxa"/>
          </w:tcPr>
          <w:p>
            <w:pPr>
              <w:pStyle w:val="0"/>
              <w:jc w:val="both"/>
            </w:pPr>
            <w:r>
              <w:rPr>
                <w:sz w:val="20"/>
              </w:rPr>
              <w:t xml:space="preserve">Межведомственное взаимодействие в связи с реализацией полномочий в сфере социального обслуживания осуществляется в целях обеспечения предоставления социальных услуг гражданам, признанным нуждающимися в социальном обслуживании, а также содействия в предоставлении гражданам, в том числе родителям, опекунам, попечителям, иным законным представителям несовершеннолетних детей, медицинской, психологической, педагогической, юридической, социальной помощи, не относящейся к социальным услугам.</w:t>
            </w:r>
          </w:p>
          <w:p>
            <w:pPr>
              <w:pStyle w:val="0"/>
              <w:jc w:val="both"/>
            </w:pPr>
            <w:r>
              <w:rPr>
                <w:sz w:val="20"/>
              </w:rPr>
              <w:t xml:space="preserve">Предметом межведомственного взаимодействия органов государственной власти города Севастополя в связи с реализацией полномочий в сфере социального обслуживания являются:</w:t>
            </w:r>
          </w:p>
          <w:p>
            <w:pPr>
              <w:pStyle w:val="0"/>
              <w:jc w:val="both"/>
            </w:pPr>
            <w:r>
              <w:rPr>
                <w:sz w:val="20"/>
              </w:rPr>
              <w:t xml:space="preserve">- реализация индивидуальных программ граждан, нуждающихся в социальном обслуживании, в части мероприятий социального сопровождения;</w:t>
            </w:r>
          </w:p>
          <w:p>
            <w:pPr>
              <w:pStyle w:val="0"/>
              <w:jc w:val="both"/>
            </w:pPr>
            <w:r>
              <w:rPr>
                <w:sz w:val="20"/>
              </w:rPr>
              <w:t xml:space="preserve">- осуществление профилактики обстоятельств, обусловливающих нуждаемость в социальном обслуживании;</w:t>
            </w:r>
          </w:p>
          <w:p>
            <w:pPr>
              <w:pStyle w:val="0"/>
              <w:jc w:val="both"/>
            </w:pPr>
            <w:r>
              <w:rPr>
                <w:sz w:val="20"/>
              </w:rPr>
              <w:t xml:space="preserve">- выявление граждан, нуждающихся в предоставлении социальных услуг, социальном сопровождении;</w:t>
            </w:r>
          </w:p>
          <w:p>
            <w:pPr>
              <w:pStyle w:val="0"/>
              <w:jc w:val="both"/>
            </w:pPr>
            <w:r>
              <w:rPr>
                <w:sz w:val="20"/>
              </w:rPr>
              <w:t xml:space="preserve">- реализация системы мер по обеспечению социальной адаптации и интеграции в общество граждан без определенного места жительства и занятий, в том числе и из числа граждан, освободившихся из мест лишения свободы, и недопущению иждивенчества указанной группы лиц (схема взаимодействия приведена в </w:t>
            </w:r>
            <w:hyperlink w:history="0" r:id="rId842" w:tooltip="Постановление Правительства Севастополя от 31.12.2014 N 696 (ред. от 27.10.2022) &quot;Об утверждении регламента межведомственного взаимодействия органов государственной власти города Севастополя в связи с реализацией полномочий в сфере социального обслуживания&quot; {КонсультантПлюс}">
              <w:r>
                <w:rPr>
                  <w:sz w:val="20"/>
                  <w:color w:val="0000ff"/>
                </w:rPr>
                <w:t xml:space="preserve">приложении N 1</w:t>
              </w:r>
            </w:hyperlink>
            <w:r>
              <w:rPr>
                <w:sz w:val="20"/>
              </w:rPr>
              <w:t xml:space="preserve"> к Регламенту)</w:t>
            </w:r>
          </w:p>
        </w:tc>
      </w:tr>
      <w:tr>
        <w:tc>
          <w:tcPr>
            <w:tcW w:w="567" w:type="dxa"/>
          </w:tcPr>
          <w:p>
            <w:pPr>
              <w:pStyle w:val="0"/>
              <w:jc w:val="both"/>
            </w:pPr>
            <w:r>
              <w:rPr>
                <w:sz w:val="20"/>
              </w:rPr>
              <w:t xml:space="preserve">31.</w:t>
            </w:r>
          </w:p>
        </w:tc>
        <w:tc>
          <w:tcPr>
            <w:tcW w:w="2835" w:type="dxa"/>
          </w:tcPr>
          <w:p>
            <w:pPr>
              <w:pStyle w:val="0"/>
              <w:jc w:val="both"/>
            </w:pPr>
            <w:hyperlink w:history="0" r:id="rId843" w:tooltip="Постановление Правительства Севастополя от 31.12.2014 N 688 (ред. от 27.10.2022) &quot;Об утверждении порядка межведомственного взаимодействия органов государственной власти Севастополя при предоставлении социальных услуг и социального сопровождения&quot; {КонсультантПлюс}">
              <w:r>
                <w:rPr>
                  <w:sz w:val="20"/>
                  <w:color w:val="0000ff"/>
                </w:rPr>
                <w:t xml:space="preserve">Постановление</w:t>
              </w:r>
            </w:hyperlink>
            <w:r>
              <w:rPr>
                <w:sz w:val="20"/>
              </w:rPr>
              <w:t xml:space="preserve"> Правительства Севастополя от 31.12.2014 N 688 (ред. от 04.10.2018) "Об утверждении порядка межведомственного взаимодействия органов государственной власти Севастополя при предоставлении социальных услуг и социального сопровождения"</w:t>
            </w:r>
          </w:p>
        </w:tc>
        <w:tc>
          <w:tcPr>
            <w:tcW w:w="5669" w:type="dxa"/>
          </w:tcPr>
          <w:p>
            <w:pPr>
              <w:pStyle w:val="0"/>
              <w:jc w:val="both"/>
            </w:pPr>
            <w:hyperlink w:history="0" r:id="rId844" w:tooltip="Постановление Правительства Севастополя от 31.12.2014 N 688 (ред. от 27.10.2022) &quot;Об утверждении порядка межведомственного взаимодействия органов государственной власти Севастополя при предоставлении социальных услуг и социального сопровождения&quot; {КонсультантПлюс}">
              <w:r>
                <w:rPr>
                  <w:sz w:val="20"/>
                  <w:color w:val="0000ff"/>
                </w:rPr>
                <w:t xml:space="preserve">Порядок</w:t>
              </w:r>
            </w:hyperlink>
            <w:r>
              <w:rPr>
                <w:sz w:val="20"/>
              </w:rPr>
              <w:t xml:space="preserve"> межведомственного взаимодействия органов государственной власти Севастополя при предоставлении социальных услуг и социального сопровождения разработан в целях обеспечения своевременного и качественного предоставления социальных услуг и содействия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 гражданам, нуждающимся в социальном обслуживании, на территории города Севастополя и направлен на повышение эффективности и скоординированности действий органов государственной власти Севастополя в рамках осуществления межведомственного взаимодействия</w:t>
            </w:r>
          </w:p>
        </w:tc>
      </w:tr>
      <w:tr>
        <w:tc>
          <w:tcPr>
            <w:tcW w:w="567" w:type="dxa"/>
          </w:tcPr>
          <w:p>
            <w:pPr>
              <w:pStyle w:val="0"/>
              <w:jc w:val="both"/>
            </w:pPr>
            <w:r>
              <w:rPr>
                <w:sz w:val="20"/>
              </w:rPr>
              <w:t xml:space="preserve">32.</w:t>
            </w:r>
          </w:p>
        </w:tc>
        <w:tc>
          <w:tcPr>
            <w:tcW w:w="2835" w:type="dxa"/>
          </w:tcPr>
          <w:p>
            <w:pPr>
              <w:pStyle w:val="0"/>
              <w:jc w:val="both"/>
            </w:pPr>
            <w:hyperlink w:history="0" r:id="rId845" w:tooltip="Постановление Правительства Севастополя от 26.02.2016 N 110-ПП &quot;Об утверждении Положения и Правил по организации регионального межведомственного электронного взаимодействия в городе Севастополе&quot; (вместе с &quot;Положением о региональной системе межведомственного электронного взаимодействия города Севастополя&quot;, &quot;Правилами обеспечения межведомственного электронного взаимодействия в городе Севастополе&quot;) {КонсультантПлюс}">
              <w:r>
                <w:rPr>
                  <w:sz w:val="20"/>
                  <w:color w:val="0000ff"/>
                </w:rPr>
                <w:t xml:space="preserve">Постановление</w:t>
              </w:r>
            </w:hyperlink>
            <w:r>
              <w:rPr>
                <w:sz w:val="20"/>
              </w:rPr>
              <w:t xml:space="preserve"> Правительства Севастополя от 26.02.2016 N 110-ПП "Об утверждении Положения и Правил по организации регионального межведомственного электронного взаимодействия в городе Севастополе"</w:t>
            </w:r>
          </w:p>
        </w:tc>
        <w:tc>
          <w:tcPr>
            <w:tcW w:w="5669" w:type="dxa"/>
          </w:tcPr>
          <w:p>
            <w:pPr>
              <w:pStyle w:val="0"/>
              <w:jc w:val="both"/>
            </w:pPr>
            <w:hyperlink w:history="0" r:id="rId846" w:tooltip="Постановление Правительства Севастополя от 26.02.2016 N 110-ПП &quot;Об утверждении Положения и Правил по организации регионального межведомственного электронного взаимодействия в городе Севастополе&quot; (вместе с &quot;Положением о региональной системе межведомственного электронного взаимодействия города Севастополя&quot;, &quot;Правилами обеспечения межведомственного электронного взаимодействия в городе Севастополе&quot;) {КонсультантПлюс}">
              <w:r>
                <w:rPr>
                  <w:sz w:val="20"/>
                  <w:color w:val="0000ff"/>
                </w:rPr>
                <w:t xml:space="preserve">Постановлением</w:t>
              </w:r>
            </w:hyperlink>
            <w:r>
              <w:rPr>
                <w:sz w:val="20"/>
              </w:rPr>
              <w:t xml:space="preserve"> Правительства Севастополя от 26.02.2016 N 110-ПП утверждены:</w:t>
            </w:r>
          </w:p>
          <w:p>
            <w:pPr>
              <w:pStyle w:val="0"/>
              <w:jc w:val="both"/>
            </w:pPr>
            <w:r>
              <w:rPr>
                <w:sz w:val="20"/>
              </w:rPr>
              <w:t xml:space="preserve">- </w:t>
            </w:r>
            <w:hyperlink w:history="0" r:id="rId847" w:tooltip="Постановление Правительства Севастополя от 26.02.2016 N 110-ПП &quot;Об утверждении Положения и Правил по организации регионального межведомственного электронного взаимодействия в городе Севастополе&quot; (вместе с &quot;Положением о региональной системе межведомственного электронного взаимодействия города Севастополя&quot;, &quot;Правилами обеспечения межведомственного электронного взаимодействия в городе Севастополе&quot;) {КонсультантПлюс}">
              <w:r>
                <w:rPr>
                  <w:sz w:val="20"/>
                  <w:color w:val="0000ff"/>
                </w:rPr>
                <w:t xml:space="preserve">Положение</w:t>
              </w:r>
            </w:hyperlink>
            <w:r>
              <w:rPr>
                <w:sz w:val="20"/>
              </w:rPr>
              <w:t xml:space="preserve"> о региональной системе межведомственного электронного взаимодействия города Севастополя;</w:t>
            </w:r>
          </w:p>
          <w:p>
            <w:pPr>
              <w:pStyle w:val="0"/>
              <w:jc w:val="both"/>
            </w:pPr>
            <w:r>
              <w:rPr>
                <w:sz w:val="20"/>
              </w:rPr>
              <w:t xml:space="preserve">- </w:t>
            </w:r>
            <w:hyperlink w:history="0" r:id="rId848" w:tooltip="Постановление Правительства Севастополя от 26.02.2016 N 110-ПП &quot;Об утверждении Положения и Правил по организации регионального межведомственного электронного взаимодействия в городе Севастополе&quot; (вместе с &quot;Положением о региональной системе межведомственного электронного взаимодействия города Севастополя&quot;, &quot;Правилами обеспечения межведомственного электронного взаимодействия в городе Севастополе&quot;) {КонсультантПлюс}">
              <w:r>
                <w:rPr>
                  <w:sz w:val="20"/>
                  <w:color w:val="0000ff"/>
                </w:rPr>
                <w:t xml:space="preserve">Правила</w:t>
              </w:r>
            </w:hyperlink>
            <w:r>
              <w:rPr>
                <w:sz w:val="20"/>
              </w:rPr>
              <w:t xml:space="preserve"> обеспечения межведомственного электронного взаимодействия в городе Севастополе</w:t>
            </w:r>
          </w:p>
        </w:tc>
      </w:tr>
      <w:tr>
        <w:tc>
          <w:tcPr>
            <w:gridSpan w:val="3"/>
            <w:tcW w:w="9071" w:type="dxa"/>
          </w:tcPr>
          <w:p>
            <w:pPr>
              <w:pStyle w:val="0"/>
              <w:outlineLvl w:val="3"/>
              <w:jc w:val="both"/>
            </w:pPr>
            <w:r>
              <w:rPr>
                <w:sz w:val="20"/>
              </w:rPr>
              <w:t xml:space="preserve">Поддержка социально ориентированных некоммерческих организаций</w:t>
            </w:r>
          </w:p>
        </w:tc>
      </w:tr>
      <w:tr>
        <w:tc>
          <w:tcPr>
            <w:tcW w:w="567" w:type="dxa"/>
          </w:tcPr>
          <w:p>
            <w:pPr>
              <w:pStyle w:val="0"/>
              <w:jc w:val="both"/>
            </w:pPr>
            <w:r>
              <w:rPr>
                <w:sz w:val="20"/>
              </w:rPr>
              <w:t xml:space="preserve">33.</w:t>
            </w:r>
          </w:p>
        </w:tc>
        <w:tc>
          <w:tcPr>
            <w:tcW w:w="2835" w:type="dxa"/>
          </w:tcPr>
          <w:p>
            <w:pPr>
              <w:pStyle w:val="0"/>
              <w:jc w:val="both"/>
            </w:pPr>
            <w:hyperlink w:history="0" r:id="rId849" w:tooltip="Закон города Севастополя от 22.02.2018 N 401-ЗС (ред. от 05.10.2022) &quot;О государственной поддержке социально ориентированных некоммерческих организаций в городе Севастополе&quot; (принят Законодательным Собранием г. Севастополя 13.02.2018) {КонсультантПлюс}">
              <w:r>
                <w:rPr>
                  <w:sz w:val="20"/>
                  <w:color w:val="0000ff"/>
                </w:rPr>
                <w:t xml:space="preserve">Закон</w:t>
              </w:r>
            </w:hyperlink>
            <w:r>
              <w:rPr>
                <w:sz w:val="20"/>
              </w:rPr>
              <w:t xml:space="preserve"> города Севастополя от 22.02.2018 N 401-ЗС "О государственной поддержке социально ориентированных некоммерческих организаций в городе Севастополе"</w:t>
            </w:r>
          </w:p>
        </w:tc>
        <w:tc>
          <w:tcPr>
            <w:tcW w:w="5669" w:type="dxa"/>
          </w:tcPr>
          <w:p>
            <w:pPr>
              <w:pStyle w:val="0"/>
              <w:jc w:val="both"/>
            </w:pPr>
            <w:r>
              <w:rPr>
                <w:sz w:val="20"/>
              </w:rPr>
              <w:t xml:space="preserve">Закон устанавливает дополнительные виды деятельности для признания некоммерческих организаций социально ориентированными некоммерческими организациями в городе Севастополе, регулирует отношения, возникающие в связи с оказанием им государственной поддержки, а также определяет полномочия органов государственной власти города Севастополя по вопросам государственной поддержки социально ориентированных некоммерческих организаций</w:t>
            </w:r>
          </w:p>
        </w:tc>
      </w:tr>
      <w:tr>
        <w:tc>
          <w:tcPr>
            <w:tcW w:w="567" w:type="dxa"/>
          </w:tcPr>
          <w:p>
            <w:pPr>
              <w:pStyle w:val="0"/>
              <w:jc w:val="both"/>
            </w:pPr>
            <w:r>
              <w:rPr>
                <w:sz w:val="20"/>
              </w:rPr>
              <w:t xml:space="preserve">34.</w:t>
            </w:r>
          </w:p>
        </w:tc>
        <w:tc>
          <w:tcPr>
            <w:tcW w:w="2835" w:type="dxa"/>
          </w:tcPr>
          <w:p>
            <w:pPr>
              <w:pStyle w:val="0"/>
              <w:jc w:val="both"/>
            </w:pPr>
            <w:hyperlink w:history="0" r:id="rId850" w:tooltip="Постановление Правительства Севастополя от 31.08.2015 N 829-ПП (ред. от 31.03.2022) &quot;О создании конкурсной комиссии по отбору проектов (программ) социально ориентированных некоммерческих организаций&quot; (вместе с &quot;Положением о конкурсной комиссии по отбору проектов (программ) социально ориентированных некоммерческих организаций&quot;) {КонсультантПлюс}">
              <w:r>
                <w:rPr>
                  <w:sz w:val="20"/>
                  <w:color w:val="0000ff"/>
                </w:rPr>
                <w:t xml:space="preserve">Постановление</w:t>
              </w:r>
            </w:hyperlink>
            <w:r>
              <w:rPr>
                <w:sz w:val="20"/>
              </w:rPr>
              <w:t xml:space="preserve"> Правительства Севастополя от 31.08.2015 N 829-ПП "О создании конкурсной комиссии по отбору проектов (программ) социально ориентированных некоммерческих организаций"</w:t>
            </w:r>
          </w:p>
        </w:tc>
        <w:tc>
          <w:tcPr>
            <w:tcW w:w="5669" w:type="dxa"/>
          </w:tcPr>
          <w:p>
            <w:pPr>
              <w:pStyle w:val="0"/>
              <w:jc w:val="both"/>
            </w:pPr>
            <w:r>
              <w:rPr>
                <w:sz w:val="20"/>
              </w:rPr>
              <w:t xml:space="preserve">Постановлением Правительства Севастополя от 31.08.2015 N 829-ПП утверждено </w:t>
            </w:r>
            <w:hyperlink w:history="0" r:id="rId851" w:tooltip="Постановление Правительства Севастополя от 31.08.2015 N 829-ПП (ред. от 31.03.2022) &quot;О создании конкурсной комиссии по отбору проектов (программ) социально ориентированных некоммерческих организаций&quot; (вместе с &quot;Положением о конкурсной комиссии по отбору проектов (программ) социально ориентированных некоммерческих организаций&quot;) {КонсультантПлюс}">
              <w:r>
                <w:rPr>
                  <w:sz w:val="20"/>
                  <w:color w:val="0000ff"/>
                </w:rPr>
                <w:t xml:space="preserve">Положение</w:t>
              </w:r>
            </w:hyperlink>
            <w:r>
              <w:rPr>
                <w:sz w:val="20"/>
              </w:rPr>
              <w:t xml:space="preserve"> о конкурсной комиссии по отбору проектов (программ) социально ориентированных некоммерческих организаций</w:t>
            </w:r>
          </w:p>
        </w:tc>
      </w:tr>
      <w:tr>
        <w:tc>
          <w:tcPr>
            <w:tcW w:w="567" w:type="dxa"/>
          </w:tcPr>
          <w:p>
            <w:pPr>
              <w:pStyle w:val="0"/>
              <w:jc w:val="both"/>
            </w:pPr>
            <w:r>
              <w:rPr>
                <w:sz w:val="20"/>
              </w:rPr>
              <w:t xml:space="preserve">35.</w:t>
            </w:r>
          </w:p>
        </w:tc>
        <w:tc>
          <w:tcPr>
            <w:tcW w:w="2835" w:type="dxa"/>
          </w:tcPr>
          <w:p>
            <w:pPr>
              <w:pStyle w:val="0"/>
              <w:jc w:val="both"/>
            </w:pPr>
            <w:hyperlink w:history="0" r:id="rId852" w:tooltip="Постановление Правительства Севастополя от 28.01.2015 N 56-ПП (ред. от 28.09.2022) &quot;Об утверждении Порядка предоставления субсидий на конкурсной основе социально ориентированным некоммерческим организациям в Севастополе&quot; {КонсультантПлюс}">
              <w:r>
                <w:rPr>
                  <w:sz w:val="20"/>
                  <w:color w:val="0000ff"/>
                </w:rPr>
                <w:t xml:space="preserve">Постановление</w:t>
              </w:r>
            </w:hyperlink>
            <w:r>
              <w:rPr>
                <w:sz w:val="20"/>
              </w:rPr>
              <w:t xml:space="preserve"> Правительства Севастополя от 28.01.2015 N 56-ПП (ред. от 22.04.2019) "Об утверждении Порядка предоставления субсидий на конкурсной основе социально ориентированным некоммерческим организациям в Севастополе"</w:t>
            </w:r>
          </w:p>
        </w:tc>
        <w:tc>
          <w:tcPr>
            <w:tcW w:w="5669" w:type="dxa"/>
          </w:tcPr>
          <w:p>
            <w:pPr>
              <w:pStyle w:val="0"/>
              <w:jc w:val="both"/>
            </w:pPr>
            <w:r>
              <w:rPr>
                <w:sz w:val="20"/>
              </w:rPr>
              <w:t xml:space="preserve">Порядок устанавливает цели, порядок и условия предоставления и расходования средств бюджета города Севастополя, предусмотренных в форме субсидий на конкурсной основе социально ориентированным некоммерческим организациям в Севастополе.</w:t>
            </w:r>
          </w:p>
          <w:p>
            <w:pPr>
              <w:pStyle w:val="0"/>
              <w:jc w:val="both"/>
            </w:pPr>
            <w:r>
              <w:rPr>
                <w:sz w:val="20"/>
              </w:rPr>
              <w:t xml:space="preserve">Субсидии предоставляются в целях государственной поддержки деятельности СОНКО по реализации их лучших проектов, направленных на решение социальных проблем, согласно видам деятельности, установленным </w:t>
            </w:r>
            <w:hyperlink w:history="0" r:id="rId853" w:tooltip="Федеральный закон от 12.01.1996 N 7-ФЗ (ред. от 31.07.2023) &quot;О некоммерческих организациях&quot; {КонсультантПлюс}">
              <w:r>
                <w:rPr>
                  <w:sz w:val="20"/>
                  <w:color w:val="0000ff"/>
                </w:rPr>
                <w:t xml:space="preserve">статьей 31.1</w:t>
              </w:r>
            </w:hyperlink>
            <w:r>
              <w:rPr>
                <w:sz w:val="20"/>
              </w:rPr>
              <w:t xml:space="preserve"> Федерального закона от 12.01.1996 N 7-ФЗ "О некоммерческих организациях", </w:t>
            </w:r>
            <w:hyperlink w:history="0" r:id="rId854" w:tooltip="Закон города Севастополя от 22.02.2018 N 401-ЗС (ред. от 05.10.2022) &quot;О государственной поддержке социально ориентированных некоммерческих организаций в городе Севастополе&quot; (принят Законодательным Собранием г. Севастополя 13.02.2018) {КонсультантПлюс}">
              <w:r>
                <w:rPr>
                  <w:sz w:val="20"/>
                  <w:color w:val="0000ff"/>
                </w:rPr>
                <w:t xml:space="preserve">пунктом 2 статьи 4</w:t>
              </w:r>
            </w:hyperlink>
            <w:r>
              <w:rPr>
                <w:sz w:val="20"/>
              </w:rPr>
              <w:t xml:space="preserve"> Закона города Севастополя от 22.02.2018 N 401-ЗС "О государственной поддержке социально ориентированных некоммерческих организаций в городе Севастополе"</w:t>
            </w:r>
          </w:p>
        </w:tc>
      </w:tr>
      <w:tr>
        <w:tc>
          <w:tcPr>
            <w:tcW w:w="567" w:type="dxa"/>
          </w:tcPr>
          <w:p>
            <w:pPr>
              <w:pStyle w:val="0"/>
              <w:jc w:val="both"/>
            </w:pPr>
            <w:r>
              <w:rPr>
                <w:sz w:val="20"/>
              </w:rPr>
              <w:t xml:space="preserve">36.</w:t>
            </w:r>
          </w:p>
        </w:tc>
        <w:tc>
          <w:tcPr>
            <w:tcW w:w="2835" w:type="dxa"/>
          </w:tcPr>
          <w:p>
            <w:pPr>
              <w:pStyle w:val="0"/>
              <w:jc w:val="both"/>
            </w:pPr>
            <w:hyperlink w:history="0" r:id="rId855" w:tooltip="Постановление Правительства Севастополя от 31.05.2018 N 340-ПП &quot;О формировании и ведении реестра социально ориентированных некоммерческих организаций - получателей поддержки, оказываемой исполнительными органами государственной власти города Севастополя&quot; {КонсультантПлюс}">
              <w:r>
                <w:rPr>
                  <w:sz w:val="20"/>
                  <w:color w:val="0000ff"/>
                </w:rPr>
                <w:t xml:space="preserve">Постановление</w:t>
              </w:r>
            </w:hyperlink>
            <w:r>
              <w:rPr>
                <w:sz w:val="20"/>
              </w:rPr>
              <w:t xml:space="preserve"> Правительства Севастополя от 31.05.2018 N 340-ПП "О формировании и ведении реестра социально ориентированных некоммерческих организаций - получателей поддержки, оказываемой исполнительными органами государственной власти города Севастополя"</w:t>
            </w:r>
          </w:p>
        </w:tc>
        <w:tc>
          <w:tcPr>
            <w:tcW w:w="5669" w:type="dxa"/>
          </w:tcPr>
          <w:p>
            <w:pPr>
              <w:pStyle w:val="0"/>
              <w:jc w:val="both"/>
            </w:pPr>
            <w:r>
              <w:rPr>
                <w:sz w:val="20"/>
              </w:rPr>
              <w:t xml:space="preserve">Постановлением Правительства Севастополя от 31.05.2018 N 340-ПП установлено, что </w:t>
            </w:r>
            <w:hyperlink w:history="0" r:id="rId856" w:tooltip="Постановление Правительства Севастополя от 31.05.2018 N 340-ПП &quot;О формировании и ведении реестра социально ориентированных некоммерческих организаций - получателей поддержки, оказываемой исполнительными органами государственной власти города Севастополя&quot; {КонсультантПлюс}">
              <w:r>
                <w:rPr>
                  <w:sz w:val="20"/>
                  <w:color w:val="0000ff"/>
                </w:rPr>
                <w:t xml:space="preserve">Реестр</w:t>
              </w:r>
            </w:hyperlink>
            <w:r>
              <w:rPr>
                <w:sz w:val="20"/>
              </w:rPr>
              <w:t xml:space="preserve"> социально ориентированных некоммерческих организаций ведется в электронном виде на официальном сайте Правительства Севастополя в информационно-телекоммуникационной сети "Интернет" по форме согласно приложению к постановлению с соблюдением требований к технологическим, программным, лингвистическим, правовым и организационным средствам обеспечения пользования указанными реестрами социально ориентированных некоммерческих организаций - получателей поддержки, утвержденных Приказом</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2</w:t>
      </w:r>
    </w:p>
    <w:p>
      <w:pPr>
        <w:pStyle w:val="0"/>
        <w:jc w:val="center"/>
      </w:pPr>
      <w:r>
        <w:rPr>
          <w:sz w:val="20"/>
        </w:rPr>
      </w:r>
    </w:p>
    <w:bookmarkStart w:id="30060" w:name="P30060"/>
    <w:bookmarkEnd w:id="30060"/>
    <w:p>
      <w:pPr>
        <w:pStyle w:val="2"/>
        <w:jc w:val="center"/>
      </w:pPr>
      <w:r>
        <w:rPr>
          <w:sz w:val="20"/>
        </w:rPr>
        <w:t xml:space="preserve">Расчет потребности в койках ПМП взрослым</w:t>
      </w:r>
    </w:p>
    <w:p>
      <w:pPr>
        <w:pStyle w:val="2"/>
        <w:jc w:val="center"/>
      </w:pPr>
      <w:r>
        <w:rPr>
          <w:sz w:val="20"/>
        </w:rPr>
        <w:t xml:space="preserve">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552"/>
        <w:gridCol w:w="1749"/>
        <w:gridCol w:w="1749"/>
        <w:gridCol w:w="2410"/>
      </w:tblGrid>
      <w:tr>
        <w:tc>
          <w:tcPr>
            <w:tcW w:w="567" w:type="dxa"/>
          </w:tcPr>
          <w:p>
            <w:pPr>
              <w:pStyle w:val="0"/>
              <w:jc w:val="center"/>
            </w:pPr>
            <w:r>
              <w:rPr>
                <w:sz w:val="20"/>
              </w:rPr>
              <w:t xml:space="preserve">N</w:t>
            </w:r>
          </w:p>
        </w:tc>
        <w:tc>
          <w:tcPr>
            <w:tcW w:w="2552" w:type="dxa"/>
          </w:tcPr>
          <w:p>
            <w:pPr>
              <w:pStyle w:val="0"/>
              <w:jc w:val="center"/>
            </w:pPr>
            <w:r>
              <w:rPr>
                <w:sz w:val="20"/>
              </w:rPr>
              <w:t xml:space="preserve">Наименование района</w:t>
            </w:r>
          </w:p>
        </w:tc>
        <w:tc>
          <w:tcPr>
            <w:tcW w:w="1749" w:type="dxa"/>
          </w:tcPr>
          <w:p>
            <w:pPr>
              <w:pStyle w:val="0"/>
              <w:jc w:val="center"/>
            </w:pPr>
            <w:r>
              <w:rPr>
                <w:sz w:val="20"/>
              </w:rPr>
              <w:t xml:space="preserve">Население всего, чел.</w:t>
            </w:r>
          </w:p>
        </w:tc>
        <w:tc>
          <w:tcPr>
            <w:tcW w:w="1749" w:type="dxa"/>
          </w:tcPr>
          <w:p>
            <w:pPr>
              <w:pStyle w:val="0"/>
              <w:jc w:val="center"/>
            </w:pPr>
            <w:r>
              <w:rPr>
                <w:sz w:val="20"/>
              </w:rPr>
              <w:t xml:space="preserve">Население взрослое, чел.</w:t>
            </w:r>
          </w:p>
        </w:tc>
        <w:tc>
          <w:tcPr>
            <w:tcW w:w="2410" w:type="dxa"/>
          </w:tcPr>
          <w:p>
            <w:pPr>
              <w:pStyle w:val="0"/>
              <w:jc w:val="center"/>
            </w:pPr>
            <w:r>
              <w:rPr>
                <w:sz w:val="20"/>
              </w:rPr>
              <w:t xml:space="preserve">Потребность в ПМП койках, шт. (7 коек ПМП на 100000 взрослого населения)</w:t>
            </w:r>
          </w:p>
        </w:tc>
      </w:tr>
      <w:tr>
        <w:tc>
          <w:tcPr>
            <w:tcW w:w="567" w:type="dxa"/>
          </w:tcPr>
          <w:p>
            <w:pPr>
              <w:pStyle w:val="0"/>
              <w:jc w:val="both"/>
            </w:pPr>
            <w:r>
              <w:rPr>
                <w:sz w:val="20"/>
              </w:rPr>
              <w:t xml:space="preserve">1</w:t>
            </w:r>
          </w:p>
        </w:tc>
        <w:tc>
          <w:tcPr>
            <w:tcW w:w="2552" w:type="dxa"/>
          </w:tcPr>
          <w:p>
            <w:pPr>
              <w:pStyle w:val="0"/>
              <w:jc w:val="both"/>
            </w:pPr>
            <w:r>
              <w:rPr>
                <w:sz w:val="20"/>
              </w:rPr>
              <w:t xml:space="preserve">Гагаринский район</w:t>
            </w:r>
          </w:p>
        </w:tc>
        <w:tc>
          <w:tcPr>
            <w:tcW w:w="1749" w:type="dxa"/>
          </w:tcPr>
          <w:p>
            <w:pPr>
              <w:pStyle w:val="0"/>
              <w:jc w:val="center"/>
            </w:pPr>
            <w:r>
              <w:rPr>
                <w:sz w:val="20"/>
              </w:rPr>
              <w:t xml:space="preserve">155795</w:t>
            </w:r>
          </w:p>
        </w:tc>
        <w:tc>
          <w:tcPr>
            <w:tcW w:w="1749" w:type="dxa"/>
          </w:tcPr>
          <w:p>
            <w:pPr>
              <w:pStyle w:val="0"/>
              <w:jc w:val="center"/>
            </w:pPr>
            <w:r>
              <w:rPr>
                <w:sz w:val="20"/>
              </w:rPr>
              <w:t xml:space="preserve">122576</w:t>
            </w:r>
          </w:p>
        </w:tc>
        <w:tc>
          <w:tcPr>
            <w:tcW w:w="2410" w:type="dxa"/>
          </w:tcPr>
          <w:p>
            <w:pPr>
              <w:pStyle w:val="0"/>
              <w:jc w:val="center"/>
            </w:pPr>
            <w:r>
              <w:rPr>
                <w:sz w:val="20"/>
              </w:rPr>
              <w:t xml:space="preserve">8,6</w:t>
            </w:r>
          </w:p>
        </w:tc>
      </w:tr>
      <w:tr>
        <w:tc>
          <w:tcPr>
            <w:tcW w:w="567" w:type="dxa"/>
          </w:tcPr>
          <w:p>
            <w:pPr>
              <w:pStyle w:val="0"/>
              <w:jc w:val="both"/>
            </w:pPr>
            <w:r>
              <w:rPr>
                <w:sz w:val="20"/>
              </w:rPr>
              <w:t xml:space="preserve">2</w:t>
            </w:r>
          </w:p>
        </w:tc>
        <w:tc>
          <w:tcPr>
            <w:tcW w:w="2552" w:type="dxa"/>
          </w:tcPr>
          <w:p>
            <w:pPr>
              <w:pStyle w:val="0"/>
              <w:jc w:val="both"/>
            </w:pPr>
            <w:r>
              <w:rPr>
                <w:sz w:val="20"/>
              </w:rPr>
              <w:t xml:space="preserve">Ленинский район</w:t>
            </w:r>
          </w:p>
        </w:tc>
        <w:tc>
          <w:tcPr>
            <w:tcW w:w="1749" w:type="dxa"/>
          </w:tcPr>
          <w:p>
            <w:pPr>
              <w:pStyle w:val="0"/>
              <w:jc w:val="center"/>
            </w:pPr>
            <w:r>
              <w:rPr>
                <w:sz w:val="20"/>
              </w:rPr>
              <w:t xml:space="preserve">117430</w:t>
            </w:r>
          </w:p>
        </w:tc>
        <w:tc>
          <w:tcPr>
            <w:tcW w:w="1749" w:type="dxa"/>
          </w:tcPr>
          <w:p>
            <w:pPr>
              <w:pStyle w:val="0"/>
              <w:jc w:val="center"/>
            </w:pPr>
            <w:r>
              <w:rPr>
                <w:sz w:val="20"/>
              </w:rPr>
              <w:t xml:space="preserve">98025</w:t>
            </w:r>
          </w:p>
        </w:tc>
        <w:tc>
          <w:tcPr>
            <w:tcW w:w="2410" w:type="dxa"/>
          </w:tcPr>
          <w:p>
            <w:pPr>
              <w:pStyle w:val="0"/>
              <w:jc w:val="center"/>
            </w:pPr>
            <w:r>
              <w:rPr>
                <w:sz w:val="20"/>
              </w:rPr>
              <w:t xml:space="preserve">6,9</w:t>
            </w:r>
          </w:p>
        </w:tc>
      </w:tr>
      <w:tr>
        <w:tc>
          <w:tcPr>
            <w:tcW w:w="567" w:type="dxa"/>
          </w:tcPr>
          <w:p>
            <w:pPr>
              <w:pStyle w:val="0"/>
              <w:jc w:val="both"/>
            </w:pPr>
            <w:r>
              <w:rPr>
                <w:sz w:val="20"/>
              </w:rPr>
              <w:t xml:space="preserve">3</w:t>
            </w:r>
          </w:p>
        </w:tc>
        <w:tc>
          <w:tcPr>
            <w:tcW w:w="2552" w:type="dxa"/>
          </w:tcPr>
          <w:p>
            <w:pPr>
              <w:pStyle w:val="0"/>
              <w:jc w:val="both"/>
            </w:pPr>
            <w:r>
              <w:rPr>
                <w:sz w:val="20"/>
              </w:rPr>
              <w:t xml:space="preserve">Нахимовский район</w:t>
            </w:r>
          </w:p>
        </w:tc>
        <w:tc>
          <w:tcPr>
            <w:tcW w:w="1749" w:type="dxa"/>
          </w:tcPr>
          <w:p>
            <w:pPr>
              <w:pStyle w:val="0"/>
              <w:jc w:val="center"/>
            </w:pPr>
            <w:r>
              <w:rPr>
                <w:sz w:val="20"/>
              </w:rPr>
              <w:t xml:space="preserve">118730</w:t>
            </w:r>
          </w:p>
        </w:tc>
        <w:tc>
          <w:tcPr>
            <w:tcW w:w="1749" w:type="dxa"/>
          </w:tcPr>
          <w:p>
            <w:pPr>
              <w:pStyle w:val="0"/>
              <w:jc w:val="center"/>
            </w:pPr>
            <w:r>
              <w:rPr>
                <w:sz w:val="20"/>
              </w:rPr>
              <w:t xml:space="preserve">97493</w:t>
            </w:r>
          </w:p>
        </w:tc>
        <w:tc>
          <w:tcPr>
            <w:tcW w:w="2410" w:type="dxa"/>
          </w:tcPr>
          <w:p>
            <w:pPr>
              <w:pStyle w:val="0"/>
              <w:jc w:val="center"/>
            </w:pPr>
            <w:r>
              <w:rPr>
                <w:sz w:val="20"/>
              </w:rPr>
              <w:t xml:space="preserve">6,8</w:t>
            </w:r>
          </w:p>
        </w:tc>
      </w:tr>
      <w:tr>
        <w:tc>
          <w:tcPr>
            <w:tcW w:w="567" w:type="dxa"/>
          </w:tcPr>
          <w:p>
            <w:pPr>
              <w:pStyle w:val="0"/>
              <w:jc w:val="both"/>
            </w:pPr>
            <w:r>
              <w:rPr>
                <w:sz w:val="20"/>
              </w:rPr>
              <w:t xml:space="preserve">4</w:t>
            </w:r>
          </w:p>
        </w:tc>
        <w:tc>
          <w:tcPr>
            <w:tcW w:w="2552" w:type="dxa"/>
          </w:tcPr>
          <w:p>
            <w:pPr>
              <w:pStyle w:val="0"/>
              <w:jc w:val="both"/>
            </w:pPr>
            <w:r>
              <w:rPr>
                <w:sz w:val="20"/>
              </w:rPr>
              <w:t xml:space="preserve">Балаклавский район</w:t>
            </w:r>
          </w:p>
        </w:tc>
        <w:tc>
          <w:tcPr>
            <w:tcW w:w="1749" w:type="dxa"/>
          </w:tcPr>
          <w:p>
            <w:pPr>
              <w:pStyle w:val="0"/>
              <w:jc w:val="center"/>
            </w:pPr>
            <w:r>
              <w:rPr>
                <w:sz w:val="20"/>
              </w:rPr>
              <w:t xml:space="preserve">51257</w:t>
            </w:r>
          </w:p>
        </w:tc>
        <w:tc>
          <w:tcPr>
            <w:tcW w:w="1749" w:type="dxa"/>
          </w:tcPr>
          <w:p>
            <w:pPr>
              <w:pStyle w:val="0"/>
              <w:jc w:val="center"/>
            </w:pPr>
            <w:r>
              <w:rPr>
                <w:sz w:val="20"/>
              </w:rPr>
              <w:t xml:space="preserve">41658</w:t>
            </w:r>
          </w:p>
        </w:tc>
        <w:tc>
          <w:tcPr>
            <w:tcW w:w="2410" w:type="dxa"/>
          </w:tcPr>
          <w:p>
            <w:pPr>
              <w:pStyle w:val="0"/>
              <w:jc w:val="center"/>
            </w:pPr>
            <w:r>
              <w:rPr>
                <w:sz w:val="20"/>
              </w:rPr>
              <w:t xml:space="preserve">2,9</w:t>
            </w:r>
          </w:p>
        </w:tc>
      </w:tr>
      <w:tr>
        <w:tc>
          <w:tcPr>
            <w:tcW w:w="567" w:type="dxa"/>
          </w:tcPr>
          <w:p>
            <w:pPr>
              <w:pStyle w:val="0"/>
              <w:jc w:val="both"/>
            </w:pPr>
            <w:r>
              <w:rPr>
                <w:sz w:val="20"/>
              </w:rPr>
            </w:r>
          </w:p>
        </w:tc>
        <w:tc>
          <w:tcPr>
            <w:tcW w:w="2552" w:type="dxa"/>
          </w:tcPr>
          <w:p>
            <w:pPr>
              <w:pStyle w:val="0"/>
              <w:jc w:val="both"/>
            </w:pPr>
            <w:r>
              <w:rPr>
                <w:sz w:val="20"/>
              </w:rPr>
              <w:t xml:space="preserve">Итого</w:t>
            </w:r>
          </w:p>
        </w:tc>
        <w:tc>
          <w:tcPr>
            <w:tcW w:w="1749" w:type="dxa"/>
          </w:tcPr>
          <w:p>
            <w:pPr>
              <w:pStyle w:val="0"/>
              <w:jc w:val="center"/>
            </w:pPr>
            <w:r>
              <w:rPr>
                <w:sz w:val="20"/>
              </w:rPr>
              <w:t xml:space="preserve">443212</w:t>
            </w:r>
          </w:p>
        </w:tc>
        <w:tc>
          <w:tcPr>
            <w:tcW w:w="1749" w:type="dxa"/>
          </w:tcPr>
          <w:p>
            <w:pPr>
              <w:pStyle w:val="0"/>
              <w:jc w:val="center"/>
            </w:pPr>
            <w:r>
              <w:rPr>
                <w:sz w:val="20"/>
              </w:rPr>
              <w:t xml:space="preserve">359752</w:t>
            </w:r>
          </w:p>
        </w:tc>
        <w:tc>
          <w:tcPr>
            <w:tcW w:w="2410" w:type="dxa"/>
          </w:tcPr>
          <w:p>
            <w:pPr>
              <w:pStyle w:val="0"/>
              <w:jc w:val="center"/>
            </w:pPr>
            <w:r>
              <w:rPr>
                <w:sz w:val="20"/>
              </w:rPr>
              <w:t xml:space="preserve">25,2</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3</w:t>
      </w:r>
    </w:p>
    <w:p>
      <w:pPr>
        <w:pStyle w:val="0"/>
        <w:jc w:val="center"/>
      </w:pPr>
      <w:r>
        <w:rPr>
          <w:sz w:val="20"/>
        </w:rPr>
      </w:r>
    </w:p>
    <w:bookmarkStart w:id="30100" w:name="P30100"/>
    <w:bookmarkEnd w:id="30100"/>
    <w:p>
      <w:pPr>
        <w:pStyle w:val="2"/>
        <w:jc w:val="center"/>
      </w:pPr>
      <w:r>
        <w:rPr>
          <w:sz w:val="20"/>
        </w:rPr>
        <w:t xml:space="preserve">Расчет потребности в койках сестринского ухода</w:t>
      </w:r>
    </w:p>
    <w:p>
      <w:pPr>
        <w:pStyle w:val="2"/>
        <w:jc w:val="center"/>
      </w:pPr>
      <w:r>
        <w:rPr>
          <w:sz w:val="20"/>
        </w:rPr>
        <w:t xml:space="preserve">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552"/>
        <w:gridCol w:w="1749"/>
        <w:gridCol w:w="1749"/>
        <w:gridCol w:w="2410"/>
      </w:tblGrid>
      <w:tr>
        <w:tc>
          <w:tcPr>
            <w:tcW w:w="567" w:type="dxa"/>
          </w:tcPr>
          <w:p>
            <w:pPr>
              <w:pStyle w:val="0"/>
              <w:jc w:val="center"/>
            </w:pPr>
            <w:r>
              <w:rPr>
                <w:sz w:val="20"/>
              </w:rPr>
              <w:t xml:space="preserve">N</w:t>
            </w:r>
          </w:p>
        </w:tc>
        <w:tc>
          <w:tcPr>
            <w:tcW w:w="2552" w:type="dxa"/>
          </w:tcPr>
          <w:p>
            <w:pPr>
              <w:pStyle w:val="0"/>
              <w:jc w:val="center"/>
            </w:pPr>
            <w:r>
              <w:rPr>
                <w:sz w:val="20"/>
              </w:rPr>
              <w:t xml:space="preserve">Наименование района</w:t>
            </w:r>
          </w:p>
        </w:tc>
        <w:tc>
          <w:tcPr>
            <w:tcW w:w="1749" w:type="dxa"/>
          </w:tcPr>
          <w:p>
            <w:pPr>
              <w:pStyle w:val="0"/>
              <w:jc w:val="center"/>
            </w:pPr>
            <w:r>
              <w:rPr>
                <w:sz w:val="20"/>
              </w:rPr>
              <w:t xml:space="preserve">Население всего, чел.</w:t>
            </w:r>
          </w:p>
        </w:tc>
        <w:tc>
          <w:tcPr>
            <w:tcW w:w="1749" w:type="dxa"/>
          </w:tcPr>
          <w:p>
            <w:pPr>
              <w:pStyle w:val="0"/>
              <w:jc w:val="center"/>
            </w:pPr>
            <w:r>
              <w:rPr>
                <w:sz w:val="20"/>
              </w:rPr>
              <w:t xml:space="preserve">Население взрослое, чел.</w:t>
            </w:r>
          </w:p>
        </w:tc>
        <w:tc>
          <w:tcPr>
            <w:tcW w:w="2410" w:type="dxa"/>
          </w:tcPr>
          <w:p>
            <w:pPr>
              <w:pStyle w:val="0"/>
              <w:jc w:val="center"/>
            </w:pPr>
            <w:r>
              <w:rPr>
                <w:sz w:val="20"/>
              </w:rPr>
              <w:t xml:space="preserve">Потребность в СУ койках, шт. (3 койки СУ на 100000 взрослого населения)</w:t>
            </w:r>
          </w:p>
        </w:tc>
      </w:tr>
      <w:tr>
        <w:tc>
          <w:tcPr>
            <w:tcW w:w="567" w:type="dxa"/>
          </w:tcPr>
          <w:p>
            <w:pPr>
              <w:pStyle w:val="0"/>
              <w:jc w:val="both"/>
            </w:pPr>
            <w:r>
              <w:rPr>
                <w:sz w:val="20"/>
              </w:rPr>
              <w:t xml:space="preserve">1</w:t>
            </w:r>
          </w:p>
        </w:tc>
        <w:tc>
          <w:tcPr>
            <w:tcW w:w="2552" w:type="dxa"/>
          </w:tcPr>
          <w:p>
            <w:pPr>
              <w:pStyle w:val="0"/>
              <w:jc w:val="both"/>
            </w:pPr>
            <w:r>
              <w:rPr>
                <w:sz w:val="20"/>
              </w:rPr>
              <w:t xml:space="preserve">Гагаринский район</w:t>
            </w:r>
          </w:p>
        </w:tc>
        <w:tc>
          <w:tcPr>
            <w:tcW w:w="1749" w:type="dxa"/>
          </w:tcPr>
          <w:p>
            <w:pPr>
              <w:pStyle w:val="0"/>
              <w:jc w:val="center"/>
            </w:pPr>
            <w:r>
              <w:rPr>
                <w:sz w:val="20"/>
              </w:rPr>
              <w:t xml:space="preserve">155795</w:t>
            </w:r>
          </w:p>
        </w:tc>
        <w:tc>
          <w:tcPr>
            <w:tcW w:w="1749" w:type="dxa"/>
          </w:tcPr>
          <w:p>
            <w:pPr>
              <w:pStyle w:val="0"/>
              <w:jc w:val="center"/>
            </w:pPr>
            <w:r>
              <w:rPr>
                <w:sz w:val="20"/>
              </w:rPr>
              <w:t xml:space="preserve">122576</w:t>
            </w:r>
          </w:p>
        </w:tc>
        <w:tc>
          <w:tcPr>
            <w:tcW w:w="2410" w:type="dxa"/>
          </w:tcPr>
          <w:p>
            <w:pPr>
              <w:pStyle w:val="0"/>
              <w:jc w:val="center"/>
            </w:pPr>
            <w:r>
              <w:rPr>
                <w:sz w:val="20"/>
              </w:rPr>
              <w:t xml:space="preserve">3,7</w:t>
            </w:r>
          </w:p>
        </w:tc>
      </w:tr>
      <w:tr>
        <w:tc>
          <w:tcPr>
            <w:tcW w:w="567" w:type="dxa"/>
          </w:tcPr>
          <w:p>
            <w:pPr>
              <w:pStyle w:val="0"/>
              <w:jc w:val="both"/>
            </w:pPr>
            <w:r>
              <w:rPr>
                <w:sz w:val="20"/>
              </w:rPr>
              <w:t xml:space="preserve">2</w:t>
            </w:r>
          </w:p>
        </w:tc>
        <w:tc>
          <w:tcPr>
            <w:tcW w:w="2552" w:type="dxa"/>
          </w:tcPr>
          <w:p>
            <w:pPr>
              <w:pStyle w:val="0"/>
              <w:jc w:val="both"/>
            </w:pPr>
            <w:r>
              <w:rPr>
                <w:sz w:val="20"/>
              </w:rPr>
              <w:t xml:space="preserve">Ленинский район</w:t>
            </w:r>
          </w:p>
        </w:tc>
        <w:tc>
          <w:tcPr>
            <w:tcW w:w="1749" w:type="dxa"/>
          </w:tcPr>
          <w:p>
            <w:pPr>
              <w:pStyle w:val="0"/>
              <w:jc w:val="center"/>
            </w:pPr>
            <w:r>
              <w:rPr>
                <w:sz w:val="20"/>
              </w:rPr>
              <w:t xml:space="preserve">117430</w:t>
            </w:r>
          </w:p>
        </w:tc>
        <w:tc>
          <w:tcPr>
            <w:tcW w:w="1749" w:type="dxa"/>
          </w:tcPr>
          <w:p>
            <w:pPr>
              <w:pStyle w:val="0"/>
              <w:jc w:val="center"/>
            </w:pPr>
            <w:r>
              <w:rPr>
                <w:sz w:val="20"/>
              </w:rPr>
              <w:t xml:space="preserve">98025</w:t>
            </w:r>
          </w:p>
        </w:tc>
        <w:tc>
          <w:tcPr>
            <w:tcW w:w="2410" w:type="dxa"/>
          </w:tcPr>
          <w:p>
            <w:pPr>
              <w:pStyle w:val="0"/>
              <w:jc w:val="center"/>
            </w:pPr>
            <w:r>
              <w:rPr>
                <w:sz w:val="20"/>
              </w:rPr>
              <w:t xml:space="preserve">2,9</w:t>
            </w:r>
          </w:p>
        </w:tc>
      </w:tr>
      <w:tr>
        <w:tc>
          <w:tcPr>
            <w:tcW w:w="567" w:type="dxa"/>
          </w:tcPr>
          <w:p>
            <w:pPr>
              <w:pStyle w:val="0"/>
              <w:jc w:val="both"/>
            </w:pPr>
            <w:r>
              <w:rPr>
                <w:sz w:val="20"/>
              </w:rPr>
              <w:t xml:space="preserve">3</w:t>
            </w:r>
          </w:p>
        </w:tc>
        <w:tc>
          <w:tcPr>
            <w:tcW w:w="2552" w:type="dxa"/>
          </w:tcPr>
          <w:p>
            <w:pPr>
              <w:pStyle w:val="0"/>
              <w:jc w:val="both"/>
            </w:pPr>
            <w:r>
              <w:rPr>
                <w:sz w:val="20"/>
              </w:rPr>
              <w:t xml:space="preserve">Нахимовский район</w:t>
            </w:r>
          </w:p>
        </w:tc>
        <w:tc>
          <w:tcPr>
            <w:tcW w:w="1749" w:type="dxa"/>
          </w:tcPr>
          <w:p>
            <w:pPr>
              <w:pStyle w:val="0"/>
              <w:jc w:val="center"/>
            </w:pPr>
            <w:r>
              <w:rPr>
                <w:sz w:val="20"/>
              </w:rPr>
              <w:t xml:space="preserve">118730</w:t>
            </w:r>
          </w:p>
        </w:tc>
        <w:tc>
          <w:tcPr>
            <w:tcW w:w="1749" w:type="dxa"/>
          </w:tcPr>
          <w:p>
            <w:pPr>
              <w:pStyle w:val="0"/>
              <w:jc w:val="center"/>
            </w:pPr>
            <w:r>
              <w:rPr>
                <w:sz w:val="20"/>
              </w:rPr>
              <w:t xml:space="preserve">97493</w:t>
            </w:r>
          </w:p>
        </w:tc>
        <w:tc>
          <w:tcPr>
            <w:tcW w:w="2410" w:type="dxa"/>
          </w:tcPr>
          <w:p>
            <w:pPr>
              <w:pStyle w:val="0"/>
              <w:jc w:val="center"/>
            </w:pPr>
            <w:r>
              <w:rPr>
                <w:sz w:val="20"/>
              </w:rPr>
              <w:t xml:space="preserve">2,9</w:t>
            </w:r>
          </w:p>
        </w:tc>
      </w:tr>
      <w:tr>
        <w:tc>
          <w:tcPr>
            <w:tcW w:w="567" w:type="dxa"/>
          </w:tcPr>
          <w:p>
            <w:pPr>
              <w:pStyle w:val="0"/>
              <w:jc w:val="both"/>
            </w:pPr>
            <w:r>
              <w:rPr>
                <w:sz w:val="20"/>
              </w:rPr>
              <w:t xml:space="preserve">4</w:t>
            </w:r>
          </w:p>
        </w:tc>
        <w:tc>
          <w:tcPr>
            <w:tcW w:w="2552" w:type="dxa"/>
          </w:tcPr>
          <w:p>
            <w:pPr>
              <w:pStyle w:val="0"/>
              <w:jc w:val="both"/>
            </w:pPr>
            <w:r>
              <w:rPr>
                <w:sz w:val="20"/>
              </w:rPr>
              <w:t xml:space="preserve">Балаклавский район</w:t>
            </w:r>
          </w:p>
        </w:tc>
        <w:tc>
          <w:tcPr>
            <w:tcW w:w="1749" w:type="dxa"/>
          </w:tcPr>
          <w:p>
            <w:pPr>
              <w:pStyle w:val="0"/>
              <w:jc w:val="center"/>
            </w:pPr>
            <w:r>
              <w:rPr>
                <w:sz w:val="20"/>
              </w:rPr>
              <w:t xml:space="preserve">51257</w:t>
            </w:r>
          </w:p>
        </w:tc>
        <w:tc>
          <w:tcPr>
            <w:tcW w:w="1749" w:type="dxa"/>
          </w:tcPr>
          <w:p>
            <w:pPr>
              <w:pStyle w:val="0"/>
              <w:jc w:val="center"/>
            </w:pPr>
            <w:r>
              <w:rPr>
                <w:sz w:val="20"/>
              </w:rPr>
              <w:t xml:space="preserve">41658</w:t>
            </w:r>
          </w:p>
        </w:tc>
        <w:tc>
          <w:tcPr>
            <w:tcW w:w="2410" w:type="dxa"/>
          </w:tcPr>
          <w:p>
            <w:pPr>
              <w:pStyle w:val="0"/>
              <w:jc w:val="center"/>
            </w:pPr>
            <w:r>
              <w:rPr>
                <w:sz w:val="20"/>
              </w:rPr>
              <w:t xml:space="preserve">1,2</w:t>
            </w:r>
          </w:p>
        </w:tc>
      </w:tr>
      <w:tr>
        <w:tc>
          <w:tcPr>
            <w:tcW w:w="567" w:type="dxa"/>
          </w:tcPr>
          <w:p>
            <w:pPr>
              <w:pStyle w:val="0"/>
              <w:jc w:val="both"/>
            </w:pPr>
            <w:r>
              <w:rPr>
                <w:sz w:val="20"/>
              </w:rPr>
            </w:r>
          </w:p>
        </w:tc>
        <w:tc>
          <w:tcPr>
            <w:tcW w:w="2552" w:type="dxa"/>
          </w:tcPr>
          <w:p>
            <w:pPr>
              <w:pStyle w:val="0"/>
              <w:jc w:val="both"/>
            </w:pPr>
            <w:r>
              <w:rPr>
                <w:sz w:val="20"/>
              </w:rPr>
              <w:t xml:space="preserve">Итого</w:t>
            </w:r>
          </w:p>
        </w:tc>
        <w:tc>
          <w:tcPr>
            <w:tcW w:w="1749" w:type="dxa"/>
          </w:tcPr>
          <w:p>
            <w:pPr>
              <w:pStyle w:val="0"/>
              <w:jc w:val="center"/>
            </w:pPr>
            <w:r>
              <w:rPr>
                <w:sz w:val="20"/>
              </w:rPr>
              <w:t xml:space="preserve">443212</w:t>
            </w:r>
          </w:p>
        </w:tc>
        <w:tc>
          <w:tcPr>
            <w:tcW w:w="1749" w:type="dxa"/>
          </w:tcPr>
          <w:p>
            <w:pPr>
              <w:pStyle w:val="0"/>
              <w:jc w:val="center"/>
            </w:pPr>
            <w:r>
              <w:rPr>
                <w:sz w:val="20"/>
              </w:rPr>
              <w:t xml:space="preserve">359752</w:t>
            </w:r>
          </w:p>
        </w:tc>
        <w:tc>
          <w:tcPr>
            <w:tcW w:w="2410" w:type="dxa"/>
          </w:tcPr>
          <w:p>
            <w:pPr>
              <w:pStyle w:val="0"/>
              <w:jc w:val="center"/>
            </w:pPr>
            <w:r>
              <w:rPr>
                <w:sz w:val="20"/>
              </w:rPr>
              <w:t xml:space="preserve">10,8</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4</w:t>
      </w:r>
    </w:p>
    <w:p>
      <w:pPr>
        <w:pStyle w:val="0"/>
        <w:jc w:val="center"/>
      </w:pPr>
      <w:r>
        <w:rPr>
          <w:sz w:val="20"/>
        </w:rPr>
      </w:r>
    </w:p>
    <w:bookmarkStart w:id="30140" w:name="P30140"/>
    <w:bookmarkEnd w:id="30140"/>
    <w:p>
      <w:pPr>
        <w:pStyle w:val="2"/>
        <w:jc w:val="center"/>
      </w:pPr>
      <w:r>
        <w:rPr>
          <w:sz w:val="20"/>
        </w:rPr>
        <w:t xml:space="preserve">Расчет потребности в амбулаторной помощи взрослым</w:t>
      </w:r>
    </w:p>
    <w:p>
      <w:pPr>
        <w:pStyle w:val="2"/>
        <w:jc w:val="center"/>
      </w:pPr>
      <w:r>
        <w:rPr>
          <w:sz w:val="20"/>
        </w:rPr>
        <w:t xml:space="preserve">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552"/>
        <w:gridCol w:w="1749"/>
        <w:gridCol w:w="1749"/>
        <w:gridCol w:w="2410"/>
      </w:tblGrid>
      <w:tr>
        <w:tc>
          <w:tcPr>
            <w:tcW w:w="567" w:type="dxa"/>
          </w:tcPr>
          <w:p>
            <w:pPr>
              <w:pStyle w:val="0"/>
              <w:jc w:val="center"/>
            </w:pPr>
            <w:r>
              <w:rPr>
                <w:sz w:val="20"/>
              </w:rPr>
              <w:t xml:space="preserve">N</w:t>
            </w:r>
          </w:p>
        </w:tc>
        <w:tc>
          <w:tcPr>
            <w:tcW w:w="2552" w:type="dxa"/>
          </w:tcPr>
          <w:p>
            <w:pPr>
              <w:pStyle w:val="0"/>
              <w:jc w:val="center"/>
            </w:pPr>
            <w:r>
              <w:rPr>
                <w:sz w:val="20"/>
              </w:rPr>
              <w:t xml:space="preserve">Наименование района</w:t>
            </w:r>
          </w:p>
        </w:tc>
        <w:tc>
          <w:tcPr>
            <w:tcW w:w="1749" w:type="dxa"/>
          </w:tcPr>
          <w:p>
            <w:pPr>
              <w:pStyle w:val="0"/>
              <w:jc w:val="center"/>
            </w:pPr>
            <w:r>
              <w:rPr>
                <w:sz w:val="20"/>
              </w:rPr>
              <w:t xml:space="preserve">Население всего, чел.</w:t>
            </w:r>
          </w:p>
        </w:tc>
        <w:tc>
          <w:tcPr>
            <w:tcW w:w="1749" w:type="dxa"/>
          </w:tcPr>
          <w:p>
            <w:pPr>
              <w:pStyle w:val="0"/>
              <w:jc w:val="center"/>
            </w:pPr>
            <w:r>
              <w:rPr>
                <w:sz w:val="20"/>
              </w:rPr>
              <w:t xml:space="preserve">Население взрослое, чел.</w:t>
            </w:r>
          </w:p>
        </w:tc>
        <w:tc>
          <w:tcPr>
            <w:tcW w:w="2410" w:type="dxa"/>
          </w:tcPr>
          <w:p>
            <w:pPr>
              <w:pStyle w:val="0"/>
              <w:jc w:val="center"/>
            </w:pPr>
            <w:r>
              <w:rPr>
                <w:sz w:val="20"/>
              </w:rPr>
              <w:t xml:space="preserve">Потребность во врачах</w:t>
            </w:r>
          </w:p>
        </w:tc>
      </w:tr>
      <w:tr>
        <w:tc>
          <w:tcPr>
            <w:tcW w:w="567" w:type="dxa"/>
          </w:tcPr>
          <w:p>
            <w:pPr>
              <w:pStyle w:val="0"/>
              <w:jc w:val="both"/>
            </w:pPr>
            <w:r>
              <w:rPr>
                <w:sz w:val="20"/>
              </w:rPr>
              <w:t xml:space="preserve">1</w:t>
            </w:r>
          </w:p>
        </w:tc>
        <w:tc>
          <w:tcPr>
            <w:tcW w:w="2552" w:type="dxa"/>
          </w:tcPr>
          <w:p>
            <w:pPr>
              <w:pStyle w:val="0"/>
              <w:jc w:val="both"/>
            </w:pPr>
            <w:r>
              <w:rPr>
                <w:sz w:val="20"/>
              </w:rPr>
              <w:t xml:space="preserve">Гагаринский район</w:t>
            </w:r>
          </w:p>
        </w:tc>
        <w:tc>
          <w:tcPr>
            <w:tcW w:w="1749" w:type="dxa"/>
          </w:tcPr>
          <w:p>
            <w:pPr>
              <w:pStyle w:val="0"/>
              <w:jc w:val="center"/>
            </w:pPr>
            <w:r>
              <w:rPr>
                <w:sz w:val="20"/>
              </w:rPr>
              <w:t xml:space="preserve">155795</w:t>
            </w:r>
          </w:p>
        </w:tc>
        <w:tc>
          <w:tcPr>
            <w:tcW w:w="1749" w:type="dxa"/>
          </w:tcPr>
          <w:p>
            <w:pPr>
              <w:pStyle w:val="0"/>
              <w:jc w:val="center"/>
            </w:pPr>
            <w:r>
              <w:rPr>
                <w:sz w:val="20"/>
              </w:rPr>
              <w:t xml:space="preserve">122576</w:t>
            </w:r>
          </w:p>
        </w:tc>
        <w:tc>
          <w:tcPr>
            <w:tcW w:w="2410" w:type="dxa"/>
          </w:tcPr>
          <w:p>
            <w:pPr>
              <w:pStyle w:val="0"/>
              <w:jc w:val="center"/>
            </w:pPr>
            <w:r>
              <w:rPr>
                <w:sz w:val="20"/>
              </w:rPr>
              <w:t xml:space="preserve">1,2</w:t>
            </w:r>
          </w:p>
        </w:tc>
      </w:tr>
      <w:tr>
        <w:tc>
          <w:tcPr>
            <w:tcW w:w="567" w:type="dxa"/>
          </w:tcPr>
          <w:p>
            <w:pPr>
              <w:pStyle w:val="0"/>
              <w:jc w:val="both"/>
            </w:pPr>
            <w:r>
              <w:rPr>
                <w:sz w:val="20"/>
              </w:rPr>
              <w:t xml:space="preserve">2</w:t>
            </w:r>
          </w:p>
        </w:tc>
        <w:tc>
          <w:tcPr>
            <w:tcW w:w="2552" w:type="dxa"/>
          </w:tcPr>
          <w:p>
            <w:pPr>
              <w:pStyle w:val="0"/>
              <w:jc w:val="both"/>
            </w:pPr>
            <w:r>
              <w:rPr>
                <w:sz w:val="20"/>
              </w:rPr>
              <w:t xml:space="preserve">Ленинский район</w:t>
            </w:r>
          </w:p>
        </w:tc>
        <w:tc>
          <w:tcPr>
            <w:tcW w:w="1749" w:type="dxa"/>
          </w:tcPr>
          <w:p>
            <w:pPr>
              <w:pStyle w:val="0"/>
              <w:jc w:val="center"/>
            </w:pPr>
            <w:r>
              <w:rPr>
                <w:sz w:val="20"/>
              </w:rPr>
              <w:t xml:space="preserve">117430</w:t>
            </w:r>
          </w:p>
        </w:tc>
        <w:tc>
          <w:tcPr>
            <w:tcW w:w="1749" w:type="dxa"/>
          </w:tcPr>
          <w:p>
            <w:pPr>
              <w:pStyle w:val="0"/>
              <w:jc w:val="center"/>
            </w:pPr>
            <w:r>
              <w:rPr>
                <w:sz w:val="20"/>
              </w:rPr>
              <w:t xml:space="preserve">98025</w:t>
            </w:r>
          </w:p>
        </w:tc>
        <w:tc>
          <w:tcPr>
            <w:tcW w:w="2410" w:type="dxa"/>
          </w:tcPr>
          <w:p>
            <w:pPr>
              <w:pStyle w:val="0"/>
              <w:jc w:val="center"/>
            </w:pPr>
            <w:r>
              <w:rPr>
                <w:sz w:val="20"/>
              </w:rPr>
              <w:t xml:space="preserve">1,0</w:t>
            </w:r>
          </w:p>
        </w:tc>
      </w:tr>
      <w:tr>
        <w:tc>
          <w:tcPr>
            <w:tcW w:w="567" w:type="dxa"/>
          </w:tcPr>
          <w:p>
            <w:pPr>
              <w:pStyle w:val="0"/>
              <w:jc w:val="both"/>
            </w:pPr>
            <w:r>
              <w:rPr>
                <w:sz w:val="20"/>
              </w:rPr>
              <w:t xml:space="preserve">3</w:t>
            </w:r>
          </w:p>
        </w:tc>
        <w:tc>
          <w:tcPr>
            <w:tcW w:w="2552" w:type="dxa"/>
          </w:tcPr>
          <w:p>
            <w:pPr>
              <w:pStyle w:val="0"/>
              <w:jc w:val="both"/>
            </w:pPr>
            <w:r>
              <w:rPr>
                <w:sz w:val="20"/>
              </w:rPr>
              <w:t xml:space="preserve">Нахимовский район</w:t>
            </w:r>
          </w:p>
        </w:tc>
        <w:tc>
          <w:tcPr>
            <w:tcW w:w="1749" w:type="dxa"/>
          </w:tcPr>
          <w:p>
            <w:pPr>
              <w:pStyle w:val="0"/>
              <w:jc w:val="center"/>
            </w:pPr>
            <w:r>
              <w:rPr>
                <w:sz w:val="20"/>
              </w:rPr>
              <w:t xml:space="preserve">118730</w:t>
            </w:r>
          </w:p>
        </w:tc>
        <w:tc>
          <w:tcPr>
            <w:tcW w:w="1749" w:type="dxa"/>
          </w:tcPr>
          <w:p>
            <w:pPr>
              <w:pStyle w:val="0"/>
              <w:jc w:val="center"/>
            </w:pPr>
            <w:r>
              <w:rPr>
                <w:sz w:val="20"/>
              </w:rPr>
              <w:t xml:space="preserve">97493</w:t>
            </w:r>
          </w:p>
        </w:tc>
        <w:tc>
          <w:tcPr>
            <w:tcW w:w="2410" w:type="dxa"/>
          </w:tcPr>
          <w:p>
            <w:pPr>
              <w:pStyle w:val="0"/>
              <w:jc w:val="center"/>
            </w:pPr>
            <w:r>
              <w:rPr>
                <w:sz w:val="20"/>
              </w:rPr>
              <w:t xml:space="preserve">1,0</w:t>
            </w:r>
          </w:p>
        </w:tc>
      </w:tr>
      <w:tr>
        <w:tc>
          <w:tcPr>
            <w:tcW w:w="567" w:type="dxa"/>
          </w:tcPr>
          <w:p>
            <w:pPr>
              <w:pStyle w:val="0"/>
              <w:jc w:val="both"/>
            </w:pPr>
            <w:r>
              <w:rPr>
                <w:sz w:val="20"/>
              </w:rPr>
              <w:t xml:space="preserve">4</w:t>
            </w:r>
          </w:p>
        </w:tc>
        <w:tc>
          <w:tcPr>
            <w:tcW w:w="2552" w:type="dxa"/>
          </w:tcPr>
          <w:p>
            <w:pPr>
              <w:pStyle w:val="0"/>
              <w:jc w:val="both"/>
            </w:pPr>
            <w:r>
              <w:rPr>
                <w:sz w:val="20"/>
              </w:rPr>
              <w:t xml:space="preserve">Балаклавский район</w:t>
            </w:r>
          </w:p>
        </w:tc>
        <w:tc>
          <w:tcPr>
            <w:tcW w:w="1749" w:type="dxa"/>
          </w:tcPr>
          <w:p>
            <w:pPr>
              <w:pStyle w:val="0"/>
              <w:jc w:val="center"/>
            </w:pPr>
            <w:r>
              <w:rPr>
                <w:sz w:val="20"/>
              </w:rPr>
              <w:t xml:space="preserve">51257</w:t>
            </w:r>
          </w:p>
        </w:tc>
        <w:tc>
          <w:tcPr>
            <w:tcW w:w="1749" w:type="dxa"/>
          </w:tcPr>
          <w:p>
            <w:pPr>
              <w:pStyle w:val="0"/>
              <w:jc w:val="center"/>
            </w:pPr>
            <w:r>
              <w:rPr>
                <w:sz w:val="20"/>
              </w:rPr>
              <w:t xml:space="preserve">41658</w:t>
            </w:r>
          </w:p>
        </w:tc>
        <w:tc>
          <w:tcPr>
            <w:tcW w:w="2410" w:type="dxa"/>
          </w:tcPr>
          <w:p>
            <w:pPr>
              <w:pStyle w:val="0"/>
              <w:jc w:val="center"/>
            </w:pPr>
            <w:r>
              <w:rPr>
                <w:sz w:val="20"/>
              </w:rPr>
              <w:t xml:space="preserve">0,4</w:t>
            </w:r>
          </w:p>
        </w:tc>
      </w:tr>
      <w:tr>
        <w:tc>
          <w:tcPr>
            <w:tcW w:w="567" w:type="dxa"/>
          </w:tcPr>
          <w:p>
            <w:pPr>
              <w:pStyle w:val="0"/>
              <w:jc w:val="both"/>
            </w:pPr>
            <w:r>
              <w:rPr>
                <w:sz w:val="20"/>
              </w:rPr>
            </w:r>
          </w:p>
        </w:tc>
        <w:tc>
          <w:tcPr>
            <w:tcW w:w="2552" w:type="dxa"/>
          </w:tcPr>
          <w:p>
            <w:pPr>
              <w:pStyle w:val="0"/>
              <w:jc w:val="both"/>
            </w:pPr>
            <w:r>
              <w:rPr>
                <w:sz w:val="20"/>
              </w:rPr>
              <w:t xml:space="preserve">Итого</w:t>
            </w:r>
          </w:p>
        </w:tc>
        <w:tc>
          <w:tcPr>
            <w:tcW w:w="1749" w:type="dxa"/>
          </w:tcPr>
          <w:p>
            <w:pPr>
              <w:pStyle w:val="0"/>
              <w:jc w:val="center"/>
            </w:pPr>
            <w:r>
              <w:rPr>
                <w:sz w:val="20"/>
              </w:rPr>
              <w:t xml:space="preserve">443212</w:t>
            </w:r>
          </w:p>
        </w:tc>
        <w:tc>
          <w:tcPr>
            <w:tcW w:w="1749" w:type="dxa"/>
          </w:tcPr>
          <w:p>
            <w:pPr>
              <w:pStyle w:val="0"/>
              <w:jc w:val="center"/>
            </w:pPr>
            <w:r>
              <w:rPr>
                <w:sz w:val="20"/>
              </w:rPr>
              <w:t xml:space="preserve">359752</w:t>
            </w:r>
          </w:p>
        </w:tc>
        <w:tc>
          <w:tcPr>
            <w:tcW w:w="2410" w:type="dxa"/>
          </w:tcPr>
          <w:p>
            <w:pPr>
              <w:pStyle w:val="0"/>
              <w:jc w:val="center"/>
            </w:pPr>
            <w:r>
              <w:rPr>
                <w:sz w:val="20"/>
              </w:rPr>
              <w:t xml:space="preserve">3,6</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5</w:t>
      </w:r>
    </w:p>
    <w:p>
      <w:pPr>
        <w:pStyle w:val="0"/>
        <w:jc w:val="center"/>
      </w:pPr>
      <w:r>
        <w:rPr>
          <w:sz w:val="20"/>
        </w:rPr>
      </w:r>
    </w:p>
    <w:bookmarkStart w:id="30180" w:name="P30180"/>
    <w:bookmarkEnd w:id="30180"/>
    <w:p>
      <w:pPr>
        <w:pStyle w:val="2"/>
        <w:jc w:val="center"/>
      </w:pPr>
      <w:r>
        <w:rPr>
          <w:sz w:val="20"/>
        </w:rPr>
        <w:t xml:space="preserve">Расчет потребности в койках ПМП детям</w:t>
      </w:r>
    </w:p>
    <w:p>
      <w:pPr>
        <w:pStyle w:val="2"/>
        <w:jc w:val="center"/>
      </w:pPr>
      <w:r>
        <w:rPr>
          <w:sz w:val="20"/>
        </w:rPr>
        <w:t xml:space="preserve">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552"/>
        <w:gridCol w:w="1749"/>
        <w:gridCol w:w="1749"/>
        <w:gridCol w:w="2410"/>
      </w:tblGrid>
      <w:tr>
        <w:tc>
          <w:tcPr>
            <w:tcW w:w="567" w:type="dxa"/>
          </w:tcPr>
          <w:p>
            <w:pPr>
              <w:pStyle w:val="0"/>
              <w:jc w:val="center"/>
            </w:pPr>
            <w:r>
              <w:rPr>
                <w:sz w:val="20"/>
              </w:rPr>
              <w:t xml:space="preserve">N</w:t>
            </w:r>
          </w:p>
        </w:tc>
        <w:tc>
          <w:tcPr>
            <w:tcW w:w="2552" w:type="dxa"/>
          </w:tcPr>
          <w:p>
            <w:pPr>
              <w:pStyle w:val="0"/>
              <w:jc w:val="center"/>
            </w:pPr>
            <w:r>
              <w:rPr>
                <w:sz w:val="20"/>
              </w:rPr>
              <w:t xml:space="preserve">Наименование района</w:t>
            </w:r>
          </w:p>
        </w:tc>
        <w:tc>
          <w:tcPr>
            <w:tcW w:w="1749" w:type="dxa"/>
          </w:tcPr>
          <w:p>
            <w:pPr>
              <w:pStyle w:val="0"/>
              <w:jc w:val="center"/>
            </w:pPr>
            <w:r>
              <w:rPr>
                <w:sz w:val="20"/>
              </w:rPr>
              <w:t xml:space="preserve">Население всего, чел.</w:t>
            </w:r>
          </w:p>
        </w:tc>
        <w:tc>
          <w:tcPr>
            <w:tcW w:w="1749" w:type="dxa"/>
          </w:tcPr>
          <w:p>
            <w:pPr>
              <w:pStyle w:val="0"/>
              <w:jc w:val="center"/>
            </w:pPr>
            <w:r>
              <w:rPr>
                <w:sz w:val="20"/>
              </w:rPr>
              <w:t xml:space="preserve">Население детское, чел.</w:t>
            </w:r>
          </w:p>
        </w:tc>
        <w:tc>
          <w:tcPr>
            <w:tcW w:w="2410" w:type="dxa"/>
          </w:tcPr>
          <w:p>
            <w:pPr>
              <w:pStyle w:val="0"/>
              <w:jc w:val="center"/>
            </w:pPr>
            <w:r>
              <w:rPr>
                <w:sz w:val="20"/>
              </w:rPr>
              <w:t xml:space="preserve">Потребность в ПМП койках, шт. (2 койки на 100000 детского населения)</w:t>
            </w:r>
          </w:p>
        </w:tc>
      </w:tr>
      <w:tr>
        <w:tc>
          <w:tcPr>
            <w:tcW w:w="567" w:type="dxa"/>
          </w:tcPr>
          <w:p>
            <w:pPr>
              <w:pStyle w:val="0"/>
              <w:jc w:val="both"/>
            </w:pPr>
            <w:r>
              <w:rPr>
                <w:sz w:val="20"/>
              </w:rPr>
              <w:t xml:space="preserve">1</w:t>
            </w:r>
          </w:p>
        </w:tc>
        <w:tc>
          <w:tcPr>
            <w:tcW w:w="2552" w:type="dxa"/>
          </w:tcPr>
          <w:p>
            <w:pPr>
              <w:pStyle w:val="0"/>
              <w:jc w:val="both"/>
            </w:pPr>
            <w:r>
              <w:rPr>
                <w:sz w:val="20"/>
              </w:rPr>
              <w:t xml:space="preserve">Гагаринский район</w:t>
            </w:r>
          </w:p>
        </w:tc>
        <w:tc>
          <w:tcPr>
            <w:tcW w:w="1749" w:type="dxa"/>
          </w:tcPr>
          <w:p>
            <w:pPr>
              <w:pStyle w:val="0"/>
              <w:jc w:val="center"/>
            </w:pPr>
            <w:r>
              <w:rPr>
                <w:sz w:val="20"/>
              </w:rPr>
              <w:t xml:space="preserve">155795</w:t>
            </w:r>
          </w:p>
        </w:tc>
        <w:tc>
          <w:tcPr>
            <w:tcW w:w="1749" w:type="dxa"/>
          </w:tcPr>
          <w:p>
            <w:pPr>
              <w:pStyle w:val="0"/>
              <w:jc w:val="center"/>
            </w:pPr>
            <w:r>
              <w:rPr>
                <w:sz w:val="20"/>
              </w:rPr>
              <w:t xml:space="preserve">33219</w:t>
            </w:r>
          </w:p>
        </w:tc>
        <w:tc>
          <w:tcPr>
            <w:tcW w:w="2410" w:type="dxa"/>
          </w:tcPr>
          <w:p>
            <w:pPr>
              <w:pStyle w:val="0"/>
              <w:jc w:val="center"/>
            </w:pPr>
            <w:r>
              <w:rPr>
                <w:sz w:val="20"/>
              </w:rPr>
              <w:t xml:space="preserve">0,7</w:t>
            </w:r>
          </w:p>
        </w:tc>
      </w:tr>
      <w:tr>
        <w:tc>
          <w:tcPr>
            <w:tcW w:w="567" w:type="dxa"/>
          </w:tcPr>
          <w:p>
            <w:pPr>
              <w:pStyle w:val="0"/>
              <w:jc w:val="both"/>
            </w:pPr>
            <w:r>
              <w:rPr>
                <w:sz w:val="20"/>
              </w:rPr>
              <w:t xml:space="preserve">2</w:t>
            </w:r>
          </w:p>
        </w:tc>
        <w:tc>
          <w:tcPr>
            <w:tcW w:w="2552" w:type="dxa"/>
          </w:tcPr>
          <w:p>
            <w:pPr>
              <w:pStyle w:val="0"/>
              <w:jc w:val="both"/>
            </w:pPr>
            <w:r>
              <w:rPr>
                <w:sz w:val="20"/>
              </w:rPr>
              <w:t xml:space="preserve">Ленинский район</w:t>
            </w:r>
          </w:p>
        </w:tc>
        <w:tc>
          <w:tcPr>
            <w:tcW w:w="1749" w:type="dxa"/>
          </w:tcPr>
          <w:p>
            <w:pPr>
              <w:pStyle w:val="0"/>
              <w:jc w:val="center"/>
            </w:pPr>
            <w:r>
              <w:rPr>
                <w:sz w:val="20"/>
              </w:rPr>
              <w:t xml:space="preserve">117430</w:t>
            </w:r>
          </w:p>
        </w:tc>
        <w:tc>
          <w:tcPr>
            <w:tcW w:w="1749" w:type="dxa"/>
          </w:tcPr>
          <w:p>
            <w:pPr>
              <w:pStyle w:val="0"/>
              <w:jc w:val="center"/>
            </w:pPr>
            <w:r>
              <w:rPr>
                <w:sz w:val="20"/>
              </w:rPr>
              <w:t xml:space="preserve">19405</w:t>
            </w:r>
          </w:p>
        </w:tc>
        <w:tc>
          <w:tcPr>
            <w:tcW w:w="2410" w:type="dxa"/>
          </w:tcPr>
          <w:p>
            <w:pPr>
              <w:pStyle w:val="0"/>
              <w:jc w:val="center"/>
            </w:pPr>
            <w:r>
              <w:rPr>
                <w:sz w:val="20"/>
              </w:rPr>
              <w:t xml:space="preserve">0,4</w:t>
            </w:r>
          </w:p>
        </w:tc>
      </w:tr>
      <w:tr>
        <w:tc>
          <w:tcPr>
            <w:tcW w:w="567" w:type="dxa"/>
          </w:tcPr>
          <w:p>
            <w:pPr>
              <w:pStyle w:val="0"/>
              <w:jc w:val="both"/>
            </w:pPr>
            <w:r>
              <w:rPr>
                <w:sz w:val="20"/>
              </w:rPr>
              <w:t xml:space="preserve">3</w:t>
            </w:r>
          </w:p>
        </w:tc>
        <w:tc>
          <w:tcPr>
            <w:tcW w:w="2552" w:type="dxa"/>
          </w:tcPr>
          <w:p>
            <w:pPr>
              <w:pStyle w:val="0"/>
              <w:jc w:val="both"/>
            </w:pPr>
            <w:r>
              <w:rPr>
                <w:sz w:val="20"/>
              </w:rPr>
              <w:t xml:space="preserve">Нахимовский район</w:t>
            </w:r>
          </w:p>
        </w:tc>
        <w:tc>
          <w:tcPr>
            <w:tcW w:w="1749" w:type="dxa"/>
          </w:tcPr>
          <w:p>
            <w:pPr>
              <w:pStyle w:val="0"/>
              <w:jc w:val="center"/>
            </w:pPr>
            <w:r>
              <w:rPr>
                <w:sz w:val="20"/>
              </w:rPr>
              <w:t xml:space="preserve">118730</w:t>
            </w:r>
          </w:p>
        </w:tc>
        <w:tc>
          <w:tcPr>
            <w:tcW w:w="1749" w:type="dxa"/>
          </w:tcPr>
          <w:p>
            <w:pPr>
              <w:pStyle w:val="0"/>
              <w:jc w:val="center"/>
            </w:pPr>
            <w:r>
              <w:rPr>
                <w:sz w:val="20"/>
              </w:rPr>
              <w:t xml:space="preserve">21237</w:t>
            </w:r>
          </w:p>
        </w:tc>
        <w:tc>
          <w:tcPr>
            <w:tcW w:w="2410" w:type="dxa"/>
          </w:tcPr>
          <w:p>
            <w:pPr>
              <w:pStyle w:val="0"/>
              <w:jc w:val="center"/>
            </w:pPr>
            <w:r>
              <w:rPr>
                <w:sz w:val="20"/>
              </w:rPr>
              <w:t xml:space="preserve">0,4</w:t>
            </w:r>
          </w:p>
        </w:tc>
      </w:tr>
      <w:tr>
        <w:tc>
          <w:tcPr>
            <w:tcW w:w="567" w:type="dxa"/>
          </w:tcPr>
          <w:p>
            <w:pPr>
              <w:pStyle w:val="0"/>
              <w:jc w:val="both"/>
            </w:pPr>
            <w:r>
              <w:rPr>
                <w:sz w:val="20"/>
              </w:rPr>
              <w:t xml:space="preserve">4</w:t>
            </w:r>
          </w:p>
        </w:tc>
        <w:tc>
          <w:tcPr>
            <w:tcW w:w="2552" w:type="dxa"/>
          </w:tcPr>
          <w:p>
            <w:pPr>
              <w:pStyle w:val="0"/>
              <w:jc w:val="both"/>
            </w:pPr>
            <w:r>
              <w:rPr>
                <w:sz w:val="20"/>
              </w:rPr>
              <w:t xml:space="preserve">Балаклавский район</w:t>
            </w:r>
          </w:p>
        </w:tc>
        <w:tc>
          <w:tcPr>
            <w:tcW w:w="1749" w:type="dxa"/>
          </w:tcPr>
          <w:p>
            <w:pPr>
              <w:pStyle w:val="0"/>
              <w:jc w:val="center"/>
            </w:pPr>
            <w:r>
              <w:rPr>
                <w:sz w:val="20"/>
              </w:rPr>
              <w:t xml:space="preserve">51257</w:t>
            </w:r>
          </w:p>
        </w:tc>
        <w:tc>
          <w:tcPr>
            <w:tcW w:w="1749" w:type="dxa"/>
          </w:tcPr>
          <w:p>
            <w:pPr>
              <w:pStyle w:val="0"/>
              <w:jc w:val="center"/>
            </w:pPr>
            <w:r>
              <w:rPr>
                <w:sz w:val="20"/>
              </w:rPr>
              <w:t xml:space="preserve">9599</w:t>
            </w:r>
          </w:p>
        </w:tc>
        <w:tc>
          <w:tcPr>
            <w:tcW w:w="2410" w:type="dxa"/>
          </w:tcPr>
          <w:p>
            <w:pPr>
              <w:pStyle w:val="0"/>
              <w:jc w:val="center"/>
            </w:pPr>
            <w:r>
              <w:rPr>
                <w:sz w:val="20"/>
              </w:rPr>
              <w:t xml:space="preserve">0,2</w:t>
            </w:r>
          </w:p>
        </w:tc>
      </w:tr>
      <w:tr>
        <w:tc>
          <w:tcPr>
            <w:tcW w:w="567" w:type="dxa"/>
          </w:tcPr>
          <w:p>
            <w:pPr>
              <w:pStyle w:val="0"/>
              <w:jc w:val="both"/>
            </w:pPr>
            <w:r>
              <w:rPr>
                <w:sz w:val="20"/>
              </w:rPr>
            </w:r>
          </w:p>
        </w:tc>
        <w:tc>
          <w:tcPr>
            <w:tcW w:w="2552" w:type="dxa"/>
          </w:tcPr>
          <w:p>
            <w:pPr>
              <w:pStyle w:val="0"/>
              <w:jc w:val="both"/>
            </w:pPr>
            <w:r>
              <w:rPr>
                <w:sz w:val="20"/>
              </w:rPr>
              <w:t xml:space="preserve">Итого</w:t>
            </w:r>
          </w:p>
        </w:tc>
        <w:tc>
          <w:tcPr>
            <w:tcW w:w="1749" w:type="dxa"/>
          </w:tcPr>
          <w:p>
            <w:pPr>
              <w:pStyle w:val="0"/>
              <w:jc w:val="center"/>
            </w:pPr>
            <w:r>
              <w:rPr>
                <w:sz w:val="20"/>
              </w:rPr>
              <w:t xml:space="preserve">443212</w:t>
            </w:r>
          </w:p>
        </w:tc>
        <w:tc>
          <w:tcPr>
            <w:tcW w:w="1749" w:type="dxa"/>
          </w:tcPr>
          <w:p>
            <w:pPr>
              <w:pStyle w:val="0"/>
              <w:jc w:val="center"/>
            </w:pPr>
            <w:r>
              <w:rPr>
                <w:sz w:val="20"/>
              </w:rPr>
              <w:t xml:space="preserve">83460</w:t>
            </w:r>
          </w:p>
        </w:tc>
        <w:tc>
          <w:tcPr>
            <w:tcW w:w="2410" w:type="dxa"/>
          </w:tcPr>
          <w:p>
            <w:pPr>
              <w:pStyle w:val="0"/>
              <w:jc w:val="center"/>
            </w:pPr>
            <w:r>
              <w:rPr>
                <w:sz w:val="20"/>
              </w:rPr>
              <w:t xml:space="preserve">1,7</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6</w:t>
      </w:r>
    </w:p>
    <w:p>
      <w:pPr>
        <w:pStyle w:val="0"/>
        <w:jc w:val="center"/>
      </w:pPr>
      <w:r>
        <w:rPr>
          <w:sz w:val="20"/>
        </w:rPr>
      </w:r>
    </w:p>
    <w:bookmarkStart w:id="30220" w:name="P30220"/>
    <w:bookmarkEnd w:id="30220"/>
    <w:p>
      <w:pPr>
        <w:pStyle w:val="2"/>
        <w:jc w:val="center"/>
      </w:pPr>
      <w:r>
        <w:rPr>
          <w:sz w:val="20"/>
        </w:rPr>
        <w:t xml:space="preserve">Расчет потребности в амбулаторной помощи детскому населению</w:t>
      </w:r>
    </w:p>
    <w:p>
      <w:pPr>
        <w:pStyle w:val="2"/>
        <w:jc w:val="center"/>
      </w:pPr>
      <w:r>
        <w:rPr>
          <w:sz w:val="20"/>
        </w:rPr>
        <w:t xml:space="preserve">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552"/>
        <w:gridCol w:w="1749"/>
        <w:gridCol w:w="1749"/>
        <w:gridCol w:w="2410"/>
      </w:tblGrid>
      <w:tr>
        <w:tc>
          <w:tcPr>
            <w:tcW w:w="567" w:type="dxa"/>
          </w:tcPr>
          <w:p>
            <w:pPr>
              <w:pStyle w:val="0"/>
              <w:jc w:val="center"/>
            </w:pPr>
            <w:r>
              <w:rPr>
                <w:sz w:val="20"/>
              </w:rPr>
              <w:t xml:space="preserve">N</w:t>
            </w:r>
          </w:p>
        </w:tc>
        <w:tc>
          <w:tcPr>
            <w:tcW w:w="2552" w:type="dxa"/>
          </w:tcPr>
          <w:p>
            <w:pPr>
              <w:pStyle w:val="0"/>
              <w:jc w:val="center"/>
            </w:pPr>
            <w:r>
              <w:rPr>
                <w:sz w:val="20"/>
              </w:rPr>
              <w:t xml:space="preserve">Наименование района</w:t>
            </w:r>
          </w:p>
        </w:tc>
        <w:tc>
          <w:tcPr>
            <w:tcW w:w="1749" w:type="dxa"/>
          </w:tcPr>
          <w:p>
            <w:pPr>
              <w:pStyle w:val="0"/>
              <w:jc w:val="center"/>
            </w:pPr>
            <w:r>
              <w:rPr>
                <w:sz w:val="20"/>
              </w:rPr>
              <w:t xml:space="preserve">Население всего, чел.</w:t>
            </w:r>
          </w:p>
        </w:tc>
        <w:tc>
          <w:tcPr>
            <w:tcW w:w="1749" w:type="dxa"/>
          </w:tcPr>
          <w:p>
            <w:pPr>
              <w:pStyle w:val="0"/>
              <w:jc w:val="center"/>
            </w:pPr>
            <w:r>
              <w:rPr>
                <w:sz w:val="20"/>
              </w:rPr>
              <w:t xml:space="preserve">Население детское, чел.</w:t>
            </w:r>
          </w:p>
        </w:tc>
        <w:tc>
          <w:tcPr>
            <w:tcW w:w="2410" w:type="dxa"/>
          </w:tcPr>
          <w:p>
            <w:pPr>
              <w:pStyle w:val="0"/>
              <w:jc w:val="center"/>
            </w:pPr>
            <w:r>
              <w:rPr>
                <w:sz w:val="20"/>
              </w:rPr>
              <w:t xml:space="preserve">Потребность во врачах &lt;17&gt;, чел.</w:t>
            </w:r>
          </w:p>
        </w:tc>
      </w:tr>
      <w:tr>
        <w:tc>
          <w:tcPr>
            <w:tcW w:w="567" w:type="dxa"/>
          </w:tcPr>
          <w:p>
            <w:pPr>
              <w:pStyle w:val="0"/>
              <w:jc w:val="both"/>
            </w:pPr>
            <w:r>
              <w:rPr>
                <w:sz w:val="20"/>
              </w:rPr>
              <w:t xml:space="preserve">1</w:t>
            </w:r>
          </w:p>
        </w:tc>
        <w:tc>
          <w:tcPr>
            <w:tcW w:w="2552" w:type="dxa"/>
          </w:tcPr>
          <w:p>
            <w:pPr>
              <w:pStyle w:val="0"/>
              <w:jc w:val="both"/>
            </w:pPr>
            <w:r>
              <w:rPr>
                <w:sz w:val="20"/>
              </w:rPr>
              <w:t xml:space="preserve">Гагаринский район</w:t>
            </w:r>
          </w:p>
        </w:tc>
        <w:tc>
          <w:tcPr>
            <w:tcW w:w="1749" w:type="dxa"/>
          </w:tcPr>
          <w:p>
            <w:pPr>
              <w:pStyle w:val="0"/>
              <w:jc w:val="center"/>
            </w:pPr>
            <w:r>
              <w:rPr>
                <w:sz w:val="20"/>
              </w:rPr>
              <w:t xml:space="preserve">155795</w:t>
            </w:r>
          </w:p>
        </w:tc>
        <w:tc>
          <w:tcPr>
            <w:tcW w:w="1749" w:type="dxa"/>
          </w:tcPr>
          <w:p>
            <w:pPr>
              <w:pStyle w:val="0"/>
              <w:jc w:val="center"/>
            </w:pPr>
            <w:r>
              <w:rPr>
                <w:sz w:val="20"/>
              </w:rPr>
              <w:t xml:space="preserve">33219</w:t>
            </w:r>
          </w:p>
        </w:tc>
        <w:tc>
          <w:tcPr>
            <w:tcW w:w="2410" w:type="dxa"/>
          </w:tcPr>
          <w:p>
            <w:pPr>
              <w:pStyle w:val="0"/>
              <w:jc w:val="center"/>
            </w:pPr>
            <w:r>
              <w:rPr>
                <w:sz w:val="20"/>
              </w:rPr>
              <w:t xml:space="preserve">0,7</w:t>
            </w:r>
          </w:p>
        </w:tc>
      </w:tr>
      <w:tr>
        <w:tc>
          <w:tcPr>
            <w:tcW w:w="567" w:type="dxa"/>
          </w:tcPr>
          <w:p>
            <w:pPr>
              <w:pStyle w:val="0"/>
              <w:jc w:val="both"/>
            </w:pPr>
            <w:r>
              <w:rPr>
                <w:sz w:val="20"/>
              </w:rPr>
              <w:t xml:space="preserve">2</w:t>
            </w:r>
          </w:p>
        </w:tc>
        <w:tc>
          <w:tcPr>
            <w:tcW w:w="2552" w:type="dxa"/>
          </w:tcPr>
          <w:p>
            <w:pPr>
              <w:pStyle w:val="0"/>
              <w:jc w:val="both"/>
            </w:pPr>
            <w:r>
              <w:rPr>
                <w:sz w:val="20"/>
              </w:rPr>
              <w:t xml:space="preserve">Ленинский район</w:t>
            </w:r>
          </w:p>
        </w:tc>
        <w:tc>
          <w:tcPr>
            <w:tcW w:w="1749" w:type="dxa"/>
          </w:tcPr>
          <w:p>
            <w:pPr>
              <w:pStyle w:val="0"/>
              <w:jc w:val="center"/>
            </w:pPr>
            <w:r>
              <w:rPr>
                <w:sz w:val="20"/>
              </w:rPr>
              <w:t xml:space="preserve">117430</w:t>
            </w:r>
          </w:p>
        </w:tc>
        <w:tc>
          <w:tcPr>
            <w:tcW w:w="1749" w:type="dxa"/>
          </w:tcPr>
          <w:p>
            <w:pPr>
              <w:pStyle w:val="0"/>
              <w:jc w:val="center"/>
            </w:pPr>
            <w:r>
              <w:rPr>
                <w:sz w:val="20"/>
              </w:rPr>
              <w:t xml:space="preserve">19405</w:t>
            </w:r>
          </w:p>
        </w:tc>
        <w:tc>
          <w:tcPr>
            <w:tcW w:w="2410" w:type="dxa"/>
          </w:tcPr>
          <w:p>
            <w:pPr>
              <w:pStyle w:val="0"/>
              <w:jc w:val="center"/>
            </w:pPr>
            <w:r>
              <w:rPr>
                <w:sz w:val="20"/>
              </w:rPr>
              <w:t xml:space="preserve">0,4</w:t>
            </w:r>
          </w:p>
        </w:tc>
      </w:tr>
      <w:tr>
        <w:tc>
          <w:tcPr>
            <w:tcW w:w="567" w:type="dxa"/>
          </w:tcPr>
          <w:p>
            <w:pPr>
              <w:pStyle w:val="0"/>
              <w:jc w:val="both"/>
            </w:pPr>
            <w:r>
              <w:rPr>
                <w:sz w:val="20"/>
              </w:rPr>
              <w:t xml:space="preserve">3</w:t>
            </w:r>
          </w:p>
        </w:tc>
        <w:tc>
          <w:tcPr>
            <w:tcW w:w="2552" w:type="dxa"/>
          </w:tcPr>
          <w:p>
            <w:pPr>
              <w:pStyle w:val="0"/>
              <w:jc w:val="both"/>
            </w:pPr>
            <w:r>
              <w:rPr>
                <w:sz w:val="20"/>
              </w:rPr>
              <w:t xml:space="preserve">Нахимовский район</w:t>
            </w:r>
          </w:p>
        </w:tc>
        <w:tc>
          <w:tcPr>
            <w:tcW w:w="1749" w:type="dxa"/>
          </w:tcPr>
          <w:p>
            <w:pPr>
              <w:pStyle w:val="0"/>
              <w:jc w:val="center"/>
            </w:pPr>
            <w:r>
              <w:rPr>
                <w:sz w:val="20"/>
              </w:rPr>
              <w:t xml:space="preserve">118730</w:t>
            </w:r>
          </w:p>
        </w:tc>
        <w:tc>
          <w:tcPr>
            <w:tcW w:w="1749" w:type="dxa"/>
          </w:tcPr>
          <w:p>
            <w:pPr>
              <w:pStyle w:val="0"/>
              <w:jc w:val="center"/>
            </w:pPr>
            <w:r>
              <w:rPr>
                <w:sz w:val="20"/>
              </w:rPr>
              <w:t xml:space="preserve">21237</w:t>
            </w:r>
          </w:p>
        </w:tc>
        <w:tc>
          <w:tcPr>
            <w:tcW w:w="2410" w:type="dxa"/>
          </w:tcPr>
          <w:p>
            <w:pPr>
              <w:pStyle w:val="0"/>
              <w:jc w:val="center"/>
            </w:pPr>
            <w:r>
              <w:rPr>
                <w:sz w:val="20"/>
              </w:rPr>
              <w:t xml:space="preserve">0,4</w:t>
            </w:r>
          </w:p>
        </w:tc>
      </w:tr>
      <w:tr>
        <w:tc>
          <w:tcPr>
            <w:tcW w:w="567" w:type="dxa"/>
          </w:tcPr>
          <w:p>
            <w:pPr>
              <w:pStyle w:val="0"/>
              <w:jc w:val="both"/>
            </w:pPr>
            <w:r>
              <w:rPr>
                <w:sz w:val="20"/>
              </w:rPr>
              <w:t xml:space="preserve">4</w:t>
            </w:r>
          </w:p>
        </w:tc>
        <w:tc>
          <w:tcPr>
            <w:tcW w:w="2552" w:type="dxa"/>
          </w:tcPr>
          <w:p>
            <w:pPr>
              <w:pStyle w:val="0"/>
              <w:jc w:val="both"/>
            </w:pPr>
            <w:r>
              <w:rPr>
                <w:sz w:val="20"/>
              </w:rPr>
              <w:t xml:space="preserve">Балаклавский район</w:t>
            </w:r>
          </w:p>
        </w:tc>
        <w:tc>
          <w:tcPr>
            <w:tcW w:w="1749" w:type="dxa"/>
          </w:tcPr>
          <w:p>
            <w:pPr>
              <w:pStyle w:val="0"/>
              <w:jc w:val="center"/>
            </w:pPr>
            <w:r>
              <w:rPr>
                <w:sz w:val="20"/>
              </w:rPr>
              <w:t xml:space="preserve">51257</w:t>
            </w:r>
          </w:p>
        </w:tc>
        <w:tc>
          <w:tcPr>
            <w:tcW w:w="1749" w:type="dxa"/>
          </w:tcPr>
          <w:p>
            <w:pPr>
              <w:pStyle w:val="0"/>
              <w:jc w:val="center"/>
            </w:pPr>
            <w:r>
              <w:rPr>
                <w:sz w:val="20"/>
              </w:rPr>
              <w:t xml:space="preserve">9599</w:t>
            </w:r>
          </w:p>
        </w:tc>
        <w:tc>
          <w:tcPr>
            <w:tcW w:w="2410" w:type="dxa"/>
          </w:tcPr>
          <w:p>
            <w:pPr>
              <w:pStyle w:val="0"/>
              <w:jc w:val="center"/>
            </w:pPr>
            <w:r>
              <w:rPr>
                <w:sz w:val="20"/>
              </w:rPr>
              <w:t xml:space="preserve">0,2</w:t>
            </w:r>
          </w:p>
        </w:tc>
      </w:tr>
      <w:tr>
        <w:tc>
          <w:tcPr>
            <w:tcW w:w="567" w:type="dxa"/>
          </w:tcPr>
          <w:p>
            <w:pPr>
              <w:pStyle w:val="0"/>
              <w:jc w:val="both"/>
            </w:pPr>
            <w:r>
              <w:rPr>
                <w:sz w:val="20"/>
              </w:rPr>
            </w:r>
          </w:p>
        </w:tc>
        <w:tc>
          <w:tcPr>
            <w:tcW w:w="2552" w:type="dxa"/>
          </w:tcPr>
          <w:p>
            <w:pPr>
              <w:pStyle w:val="0"/>
              <w:jc w:val="both"/>
            </w:pPr>
            <w:r>
              <w:rPr>
                <w:sz w:val="20"/>
              </w:rPr>
              <w:t xml:space="preserve">Итого</w:t>
            </w:r>
          </w:p>
        </w:tc>
        <w:tc>
          <w:tcPr>
            <w:tcW w:w="1749" w:type="dxa"/>
          </w:tcPr>
          <w:p>
            <w:pPr>
              <w:pStyle w:val="0"/>
              <w:jc w:val="center"/>
            </w:pPr>
            <w:r>
              <w:rPr>
                <w:sz w:val="20"/>
              </w:rPr>
              <w:t xml:space="preserve">443212</w:t>
            </w:r>
          </w:p>
        </w:tc>
        <w:tc>
          <w:tcPr>
            <w:tcW w:w="1749" w:type="dxa"/>
          </w:tcPr>
          <w:p>
            <w:pPr>
              <w:pStyle w:val="0"/>
              <w:jc w:val="center"/>
            </w:pPr>
            <w:r>
              <w:rPr>
                <w:sz w:val="20"/>
              </w:rPr>
              <w:t xml:space="preserve">83460</w:t>
            </w:r>
          </w:p>
        </w:tc>
        <w:tc>
          <w:tcPr>
            <w:tcW w:w="2410" w:type="dxa"/>
          </w:tcPr>
          <w:p>
            <w:pPr>
              <w:pStyle w:val="0"/>
              <w:jc w:val="center"/>
            </w:pPr>
            <w:r>
              <w:rPr>
                <w:sz w:val="20"/>
              </w:rPr>
              <w:t xml:space="preserve">1,7</w:t>
            </w:r>
          </w:p>
        </w:tc>
      </w:tr>
    </w:tbl>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&lt;17&gt; Из расчета 1 врач-педиатр на 50000 городского населения. Данные по детскому населению в разбивке на городское и сельское населения не предоставлены.</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7</w:t>
      </w:r>
    </w:p>
    <w:p>
      <w:pPr>
        <w:pStyle w:val="0"/>
        <w:jc w:val="center"/>
      </w:pPr>
      <w:r>
        <w:rPr>
          <w:sz w:val="20"/>
        </w:rPr>
      </w:r>
    </w:p>
    <w:bookmarkStart w:id="30263" w:name="P30263"/>
    <w:bookmarkEnd w:id="30263"/>
    <w:p>
      <w:pPr>
        <w:pStyle w:val="2"/>
        <w:jc w:val="center"/>
      </w:pPr>
      <w:r>
        <w:rPr>
          <w:sz w:val="20"/>
        </w:rPr>
        <w:t xml:space="preserve">Расчет потребности в койках ПМП взрослым</w:t>
      </w:r>
    </w:p>
    <w:p>
      <w:pPr>
        <w:pStyle w:val="2"/>
        <w:jc w:val="center"/>
      </w:pPr>
      <w:r>
        <w:rPr>
          <w:sz w:val="20"/>
        </w:rPr>
        <w:t xml:space="preserve">в городе Севастополе в соответствии с целевой моделью</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757"/>
        <w:gridCol w:w="1204"/>
        <w:gridCol w:w="1247"/>
        <w:gridCol w:w="1247"/>
        <w:gridCol w:w="2211"/>
        <w:gridCol w:w="1134"/>
        <w:gridCol w:w="1134"/>
      </w:tblGrid>
      <w:tr>
        <w:tc>
          <w:tcPr>
            <w:tcW w:w="567" w:type="dxa"/>
          </w:tcPr>
          <w:p>
            <w:pPr>
              <w:pStyle w:val="0"/>
              <w:jc w:val="center"/>
            </w:pPr>
            <w:r>
              <w:rPr>
                <w:sz w:val="20"/>
              </w:rPr>
              <w:t xml:space="preserve">N</w:t>
            </w:r>
          </w:p>
        </w:tc>
        <w:tc>
          <w:tcPr>
            <w:tcW w:w="1757" w:type="dxa"/>
          </w:tcPr>
          <w:p>
            <w:pPr>
              <w:pStyle w:val="0"/>
              <w:jc w:val="center"/>
            </w:pPr>
            <w:r>
              <w:rPr>
                <w:sz w:val="20"/>
              </w:rPr>
              <w:t xml:space="preserve">Наименование района</w:t>
            </w:r>
          </w:p>
        </w:tc>
        <w:tc>
          <w:tcPr>
            <w:tcW w:w="1204" w:type="dxa"/>
          </w:tcPr>
          <w:p>
            <w:pPr>
              <w:pStyle w:val="0"/>
              <w:jc w:val="center"/>
            </w:pPr>
            <w:r>
              <w:rPr>
                <w:sz w:val="20"/>
              </w:rPr>
              <w:t xml:space="preserve">Население взрослые</w:t>
            </w:r>
          </w:p>
        </w:tc>
        <w:tc>
          <w:tcPr>
            <w:tcW w:w="1247" w:type="dxa"/>
          </w:tcPr>
          <w:p>
            <w:pPr>
              <w:pStyle w:val="0"/>
              <w:jc w:val="center"/>
            </w:pPr>
            <w:r>
              <w:rPr>
                <w:sz w:val="20"/>
              </w:rPr>
              <w:t xml:space="preserve">Потребность в ПМП койках</w:t>
            </w:r>
          </w:p>
        </w:tc>
        <w:tc>
          <w:tcPr>
            <w:tcW w:w="1247" w:type="dxa"/>
          </w:tcPr>
          <w:p>
            <w:pPr>
              <w:pStyle w:val="0"/>
              <w:jc w:val="center"/>
            </w:pPr>
            <w:r>
              <w:rPr>
                <w:sz w:val="20"/>
              </w:rPr>
              <w:t xml:space="preserve">ГБУЗС "ГБ N 1 им. Н.И. Пирогова"</w:t>
            </w:r>
          </w:p>
        </w:tc>
        <w:tc>
          <w:tcPr>
            <w:tcW w:w="2211" w:type="dxa"/>
          </w:tcPr>
          <w:p>
            <w:pPr>
              <w:pStyle w:val="0"/>
              <w:jc w:val="center"/>
            </w:pPr>
            <w:r>
              <w:rPr>
                <w:sz w:val="20"/>
              </w:rPr>
              <w:t xml:space="preserve">ГБУЗС "Севастопольский городской онкологический диспансер им. А.А. Задорожного"</w:t>
            </w:r>
          </w:p>
        </w:tc>
        <w:tc>
          <w:tcPr>
            <w:tcW w:w="1134" w:type="dxa"/>
          </w:tcPr>
          <w:p>
            <w:pPr>
              <w:pStyle w:val="0"/>
              <w:jc w:val="center"/>
            </w:pPr>
            <w:r>
              <w:rPr>
                <w:sz w:val="20"/>
              </w:rPr>
              <w:t xml:space="preserve">ГБУЗС "ГБ N 9"</w:t>
            </w:r>
          </w:p>
        </w:tc>
        <w:tc>
          <w:tcPr>
            <w:tcW w:w="1134" w:type="dxa"/>
          </w:tcPr>
          <w:p>
            <w:pPr>
              <w:pStyle w:val="0"/>
              <w:jc w:val="center"/>
            </w:pPr>
            <w:r>
              <w:rPr>
                <w:sz w:val="20"/>
              </w:rPr>
              <w:t xml:space="preserve">ГБУЗС "ГБ N 4"</w:t>
            </w:r>
          </w:p>
        </w:tc>
      </w:tr>
      <w:tr>
        <w:tc>
          <w:tcPr>
            <w:gridSpan w:val="4"/>
            <w:tcW w:w="4775" w:type="dxa"/>
          </w:tcPr>
          <w:p>
            <w:pPr>
              <w:pStyle w:val="0"/>
              <w:jc w:val="both"/>
            </w:pPr>
            <w:r>
              <w:rPr>
                <w:sz w:val="20"/>
              </w:rPr>
              <w:t xml:space="preserve">Предложение - 35 койки ПМП</w:t>
            </w:r>
          </w:p>
        </w:tc>
        <w:tc>
          <w:tcPr>
            <w:tcW w:w="1247" w:type="dxa"/>
          </w:tcPr>
          <w:p>
            <w:pPr>
              <w:pStyle w:val="0"/>
              <w:jc w:val="center"/>
            </w:pPr>
            <w:r>
              <w:rPr>
                <w:sz w:val="20"/>
              </w:rPr>
              <w:t xml:space="preserve">5</w:t>
            </w:r>
          </w:p>
        </w:tc>
        <w:tc>
          <w:tcPr>
            <w:tcW w:w="2211" w:type="dxa"/>
          </w:tcPr>
          <w:p>
            <w:pPr>
              <w:pStyle w:val="0"/>
              <w:jc w:val="center"/>
            </w:pPr>
            <w:r>
              <w:rPr>
                <w:sz w:val="20"/>
              </w:rPr>
              <w:t xml:space="preserve">20</w:t>
            </w:r>
          </w:p>
        </w:tc>
        <w:tc>
          <w:tcPr>
            <w:tcW w:w="1134" w:type="dxa"/>
          </w:tcPr>
          <w:p>
            <w:pPr>
              <w:pStyle w:val="0"/>
              <w:jc w:val="center"/>
            </w:pPr>
            <w:r>
              <w:rPr>
                <w:sz w:val="20"/>
              </w:rPr>
              <w:t xml:space="preserve">10</w:t>
            </w:r>
          </w:p>
        </w:tc>
        <w:tc>
          <w:tcPr>
            <w:tcW w:w="1134" w:type="dxa"/>
          </w:tcPr>
          <w:p>
            <w:pPr>
              <w:pStyle w:val="0"/>
              <w:jc w:val="center"/>
            </w:pPr>
            <w:r>
              <w:rPr>
                <w:sz w:val="20"/>
              </w:rPr>
              <w:t xml:space="preserve">0</w:t>
            </w:r>
          </w:p>
        </w:tc>
      </w:tr>
      <w:tr>
        <w:tc>
          <w:tcPr>
            <w:gridSpan w:val="4"/>
            <w:tcW w:w="4775" w:type="dxa"/>
          </w:tcPr>
          <w:p>
            <w:pPr>
              <w:pStyle w:val="0"/>
              <w:jc w:val="both"/>
            </w:pPr>
            <w:r>
              <w:rPr>
                <w:sz w:val="20"/>
              </w:rPr>
              <w:t xml:space="preserve">На момент утверждение Программы - 42 койки ПМП</w:t>
            </w:r>
          </w:p>
        </w:tc>
        <w:tc>
          <w:tcPr>
            <w:tcW w:w="1247" w:type="dxa"/>
          </w:tcPr>
          <w:p>
            <w:pPr>
              <w:pStyle w:val="0"/>
              <w:jc w:val="center"/>
            </w:pPr>
            <w:r>
              <w:rPr>
                <w:sz w:val="20"/>
              </w:rPr>
              <w:t xml:space="preserve">10</w:t>
            </w:r>
          </w:p>
        </w:tc>
        <w:tc>
          <w:tcPr>
            <w:tcW w:w="2211" w:type="dxa"/>
          </w:tcPr>
          <w:p>
            <w:pPr>
              <w:pStyle w:val="0"/>
              <w:jc w:val="center"/>
            </w:pPr>
            <w:r>
              <w:rPr>
                <w:sz w:val="20"/>
              </w:rPr>
              <w:t xml:space="preserve">20</w:t>
            </w:r>
          </w:p>
        </w:tc>
        <w:tc>
          <w:tcPr>
            <w:tcW w:w="1134" w:type="dxa"/>
          </w:tcPr>
          <w:p>
            <w:pPr>
              <w:pStyle w:val="0"/>
              <w:jc w:val="center"/>
            </w:pPr>
            <w:r>
              <w:rPr>
                <w:sz w:val="20"/>
              </w:rPr>
              <w:t xml:space="preserve">7</w:t>
            </w:r>
          </w:p>
        </w:tc>
        <w:tc>
          <w:tcPr>
            <w:tcW w:w="1134" w:type="dxa"/>
          </w:tcPr>
          <w:p>
            <w:pPr>
              <w:pStyle w:val="0"/>
              <w:jc w:val="center"/>
            </w:pPr>
            <w:r>
              <w:rPr>
                <w:sz w:val="20"/>
              </w:rPr>
              <w:t xml:space="preserve">5</w:t>
            </w:r>
          </w:p>
        </w:tc>
      </w:tr>
      <w:tr>
        <w:tc>
          <w:tcPr>
            <w:gridSpan w:val="4"/>
            <w:tcW w:w="4775" w:type="dxa"/>
          </w:tcPr>
          <w:p>
            <w:pPr>
              <w:pStyle w:val="0"/>
              <w:jc w:val="both"/>
            </w:pPr>
            <w:r>
              <w:rPr>
                <w:sz w:val="20"/>
              </w:rPr>
              <w:t xml:space="preserve">Расчетная потребность в койках - 24,9 койки ПМП</w:t>
            </w:r>
          </w:p>
        </w:tc>
        <w:tc>
          <w:tcPr>
            <w:gridSpan w:val="3"/>
            <w:tcW w:w="4592" w:type="dxa"/>
          </w:tcPr>
          <w:p>
            <w:pPr>
              <w:pStyle w:val="0"/>
              <w:jc w:val="center"/>
            </w:pPr>
            <w:r>
              <w:rPr>
                <w:sz w:val="20"/>
              </w:rPr>
              <w:t xml:space="preserve">25,2</w:t>
            </w:r>
          </w:p>
        </w:tc>
        <w:tc>
          <w:tcPr>
            <w:tcW w:w="1134" w:type="dxa"/>
          </w:tcPr>
          <w:p>
            <w:pPr>
              <w:pStyle w:val="0"/>
              <w:jc w:val="center"/>
            </w:pPr>
            <w:r>
              <w:rPr>
                <w:sz w:val="20"/>
              </w:rPr>
              <w:t xml:space="preserve">-</w:t>
            </w:r>
          </w:p>
        </w:tc>
      </w:tr>
      <w:tr>
        <w:tc>
          <w:tcPr>
            <w:tcW w:w="567" w:type="dxa"/>
          </w:tcPr>
          <w:p>
            <w:pPr>
              <w:pStyle w:val="0"/>
              <w:jc w:val="both"/>
            </w:pPr>
            <w:r>
              <w:rPr>
                <w:sz w:val="20"/>
              </w:rPr>
              <w:t xml:space="preserve">1</w:t>
            </w:r>
          </w:p>
        </w:tc>
        <w:tc>
          <w:tcPr>
            <w:tcW w:w="1757" w:type="dxa"/>
          </w:tcPr>
          <w:p>
            <w:pPr>
              <w:pStyle w:val="0"/>
              <w:jc w:val="both"/>
            </w:pPr>
            <w:r>
              <w:rPr>
                <w:sz w:val="20"/>
              </w:rPr>
              <w:t xml:space="preserve">Гагаринский район</w:t>
            </w:r>
          </w:p>
        </w:tc>
        <w:tc>
          <w:tcPr>
            <w:tcW w:w="1204" w:type="dxa"/>
          </w:tcPr>
          <w:p>
            <w:pPr>
              <w:pStyle w:val="0"/>
              <w:jc w:val="center"/>
            </w:pPr>
            <w:r>
              <w:rPr>
                <w:sz w:val="20"/>
              </w:rPr>
              <w:t xml:space="preserve">122576</w:t>
            </w:r>
          </w:p>
        </w:tc>
        <w:tc>
          <w:tcPr>
            <w:tcW w:w="1247" w:type="dxa"/>
          </w:tcPr>
          <w:p>
            <w:pPr>
              <w:pStyle w:val="0"/>
              <w:jc w:val="center"/>
            </w:pPr>
            <w:r>
              <w:rPr>
                <w:sz w:val="20"/>
              </w:rPr>
              <w:t xml:space="preserve">8,6</w:t>
            </w:r>
          </w:p>
        </w:tc>
        <w:tc>
          <w:tcPr>
            <w:gridSpan w:val="3"/>
            <w:tcW w:w="4592" w:type="dxa"/>
          </w:tcPr>
          <w:p>
            <w:pPr>
              <w:pStyle w:val="0"/>
              <w:jc w:val="center"/>
            </w:pPr>
            <w:r>
              <w:rPr>
                <w:sz w:val="20"/>
              </w:rPr>
              <w:t xml:space="preserve">8,6</w:t>
            </w:r>
          </w:p>
        </w:tc>
        <w:tc>
          <w:tcPr>
            <w:tcW w:w="1134" w:type="dxa"/>
          </w:tcPr>
          <w:p>
            <w:pPr>
              <w:pStyle w:val="0"/>
              <w:jc w:val="center"/>
            </w:pPr>
            <w:r>
              <w:rPr>
                <w:sz w:val="20"/>
              </w:rPr>
              <w:t xml:space="preserve">-</w:t>
            </w:r>
          </w:p>
        </w:tc>
      </w:tr>
      <w:tr>
        <w:tc>
          <w:tcPr>
            <w:tcW w:w="567" w:type="dxa"/>
          </w:tcPr>
          <w:p>
            <w:pPr>
              <w:pStyle w:val="0"/>
              <w:jc w:val="both"/>
            </w:pPr>
            <w:r>
              <w:rPr>
                <w:sz w:val="20"/>
              </w:rPr>
              <w:t xml:space="preserve">2</w:t>
            </w:r>
          </w:p>
        </w:tc>
        <w:tc>
          <w:tcPr>
            <w:tcW w:w="1757" w:type="dxa"/>
          </w:tcPr>
          <w:p>
            <w:pPr>
              <w:pStyle w:val="0"/>
              <w:jc w:val="both"/>
            </w:pPr>
            <w:r>
              <w:rPr>
                <w:sz w:val="20"/>
              </w:rPr>
              <w:t xml:space="preserve">Ленинский район</w:t>
            </w:r>
          </w:p>
        </w:tc>
        <w:tc>
          <w:tcPr>
            <w:tcW w:w="1204" w:type="dxa"/>
          </w:tcPr>
          <w:p>
            <w:pPr>
              <w:pStyle w:val="0"/>
              <w:jc w:val="center"/>
            </w:pPr>
            <w:r>
              <w:rPr>
                <w:sz w:val="20"/>
              </w:rPr>
              <w:t xml:space="preserve">98025</w:t>
            </w:r>
          </w:p>
        </w:tc>
        <w:tc>
          <w:tcPr>
            <w:tcW w:w="1247" w:type="dxa"/>
          </w:tcPr>
          <w:p>
            <w:pPr>
              <w:pStyle w:val="0"/>
              <w:jc w:val="center"/>
            </w:pPr>
            <w:r>
              <w:rPr>
                <w:sz w:val="20"/>
              </w:rPr>
              <w:t xml:space="preserve">6,9</w:t>
            </w:r>
          </w:p>
        </w:tc>
        <w:tc>
          <w:tcPr>
            <w:gridSpan w:val="3"/>
            <w:tcW w:w="4592" w:type="dxa"/>
          </w:tcPr>
          <w:p>
            <w:pPr>
              <w:pStyle w:val="0"/>
              <w:jc w:val="center"/>
            </w:pPr>
            <w:r>
              <w:rPr>
                <w:sz w:val="20"/>
              </w:rPr>
              <w:t xml:space="preserve">6,9</w:t>
            </w:r>
          </w:p>
        </w:tc>
        <w:tc>
          <w:tcPr>
            <w:tcW w:w="1134" w:type="dxa"/>
          </w:tcPr>
          <w:p>
            <w:pPr>
              <w:pStyle w:val="0"/>
              <w:jc w:val="center"/>
            </w:pPr>
            <w:r>
              <w:rPr>
                <w:sz w:val="20"/>
              </w:rPr>
              <w:t xml:space="preserve">-</w:t>
            </w:r>
          </w:p>
        </w:tc>
      </w:tr>
      <w:tr>
        <w:tc>
          <w:tcPr>
            <w:tcW w:w="567" w:type="dxa"/>
          </w:tcPr>
          <w:p>
            <w:pPr>
              <w:pStyle w:val="0"/>
              <w:jc w:val="both"/>
            </w:pPr>
            <w:r>
              <w:rPr>
                <w:sz w:val="20"/>
              </w:rPr>
              <w:t xml:space="preserve">3</w:t>
            </w:r>
          </w:p>
        </w:tc>
        <w:tc>
          <w:tcPr>
            <w:tcW w:w="1757" w:type="dxa"/>
          </w:tcPr>
          <w:p>
            <w:pPr>
              <w:pStyle w:val="0"/>
              <w:jc w:val="both"/>
            </w:pPr>
            <w:r>
              <w:rPr>
                <w:sz w:val="20"/>
              </w:rPr>
              <w:t xml:space="preserve">Нахимовский район</w:t>
            </w:r>
          </w:p>
        </w:tc>
        <w:tc>
          <w:tcPr>
            <w:tcW w:w="1204" w:type="dxa"/>
          </w:tcPr>
          <w:p>
            <w:pPr>
              <w:pStyle w:val="0"/>
              <w:jc w:val="center"/>
            </w:pPr>
            <w:r>
              <w:rPr>
                <w:sz w:val="20"/>
              </w:rPr>
              <w:t xml:space="preserve">97493</w:t>
            </w:r>
          </w:p>
        </w:tc>
        <w:tc>
          <w:tcPr>
            <w:tcW w:w="1247" w:type="dxa"/>
          </w:tcPr>
          <w:p>
            <w:pPr>
              <w:pStyle w:val="0"/>
              <w:jc w:val="center"/>
            </w:pPr>
            <w:r>
              <w:rPr>
                <w:sz w:val="20"/>
              </w:rPr>
              <w:t xml:space="preserve">6,8</w:t>
            </w:r>
          </w:p>
        </w:tc>
        <w:tc>
          <w:tcPr>
            <w:gridSpan w:val="3"/>
            <w:tcW w:w="4592" w:type="dxa"/>
          </w:tcPr>
          <w:p>
            <w:pPr>
              <w:pStyle w:val="0"/>
              <w:jc w:val="center"/>
            </w:pPr>
            <w:r>
              <w:rPr>
                <w:sz w:val="20"/>
              </w:rPr>
              <w:t xml:space="preserve">6,8</w:t>
            </w:r>
          </w:p>
        </w:tc>
        <w:tc>
          <w:tcPr>
            <w:tcW w:w="1134" w:type="dxa"/>
          </w:tcPr>
          <w:p>
            <w:pPr>
              <w:pStyle w:val="0"/>
              <w:jc w:val="center"/>
            </w:pPr>
            <w:r>
              <w:rPr>
                <w:sz w:val="20"/>
              </w:rPr>
              <w:t xml:space="preserve">-</w:t>
            </w:r>
          </w:p>
        </w:tc>
      </w:tr>
      <w:tr>
        <w:tc>
          <w:tcPr>
            <w:tcW w:w="567" w:type="dxa"/>
          </w:tcPr>
          <w:p>
            <w:pPr>
              <w:pStyle w:val="0"/>
              <w:jc w:val="both"/>
            </w:pPr>
            <w:r>
              <w:rPr>
                <w:sz w:val="20"/>
              </w:rPr>
              <w:t xml:space="preserve">4</w:t>
            </w:r>
          </w:p>
        </w:tc>
        <w:tc>
          <w:tcPr>
            <w:tcW w:w="1757" w:type="dxa"/>
          </w:tcPr>
          <w:p>
            <w:pPr>
              <w:pStyle w:val="0"/>
              <w:jc w:val="both"/>
            </w:pPr>
            <w:r>
              <w:rPr>
                <w:sz w:val="20"/>
              </w:rPr>
              <w:t xml:space="preserve">Балаклавский район</w:t>
            </w:r>
          </w:p>
        </w:tc>
        <w:tc>
          <w:tcPr>
            <w:tcW w:w="1204" w:type="dxa"/>
          </w:tcPr>
          <w:p>
            <w:pPr>
              <w:pStyle w:val="0"/>
              <w:jc w:val="center"/>
            </w:pPr>
            <w:r>
              <w:rPr>
                <w:sz w:val="20"/>
              </w:rPr>
              <w:t xml:space="preserve">41658</w:t>
            </w:r>
          </w:p>
        </w:tc>
        <w:tc>
          <w:tcPr>
            <w:tcW w:w="1247" w:type="dxa"/>
          </w:tcPr>
          <w:p>
            <w:pPr>
              <w:pStyle w:val="0"/>
              <w:jc w:val="center"/>
            </w:pPr>
            <w:r>
              <w:rPr>
                <w:sz w:val="20"/>
              </w:rPr>
              <w:t xml:space="preserve">2,9</w:t>
            </w:r>
          </w:p>
        </w:tc>
        <w:tc>
          <w:tcPr>
            <w:gridSpan w:val="3"/>
            <w:tcW w:w="4592" w:type="dxa"/>
          </w:tcPr>
          <w:p>
            <w:pPr>
              <w:pStyle w:val="0"/>
              <w:jc w:val="center"/>
            </w:pPr>
            <w:r>
              <w:rPr>
                <w:sz w:val="20"/>
              </w:rPr>
              <w:t xml:space="preserve">2,9</w:t>
            </w:r>
          </w:p>
        </w:tc>
        <w:tc>
          <w:tcPr>
            <w:tcW w:w="1134" w:type="dxa"/>
          </w:tcPr>
          <w:p>
            <w:pPr>
              <w:pStyle w:val="0"/>
              <w:jc w:val="center"/>
            </w:pPr>
            <w:r>
              <w:rPr>
                <w:sz w:val="20"/>
              </w:rPr>
              <w:t xml:space="preserve">-</w:t>
            </w:r>
          </w:p>
        </w:tc>
      </w:tr>
      <w:tr>
        <w:tc>
          <w:tcPr>
            <w:tcW w:w="567" w:type="dxa"/>
          </w:tcPr>
          <w:p>
            <w:pPr>
              <w:pStyle w:val="0"/>
              <w:jc w:val="both"/>
            </w:pPr>
            <w:r>
              <w:rPr>
                <w:sz w:val="20"/>
              </w:rPr>
            </w:r>
          </w:p>
        </w:tc>
        <w:tc>
          <w:tcPr>
            <w:tcW w:w="1757" w:type="dxa"/>
          </w:tcPr>
          <w:p>
            <w:pPr>
              <w:pStyle w:val="0"/>
              <w:jc w:val="both"/>
            </w:pPr>
            <w:r>
              <w:rPr>
                <w:sz w:val="20"/>
              </w:rPr>
              <w:t xml:space="preserve">Итого</w:t>
            </w:r>
          </w:p>
        </w:tc>
        <w:tc>
          <w:tcPr>
            <w:tcW w:w="1204" w:type="dxa"/>
          </w:tcPr>
          <w:p>
            <w:pPr>
              <w:pStyle w:val="0"/>
              <w:jc w:val="center"/>
            </w:pPr>
            <w:r>
              <w:rPr>
                <w:sz w:val="20"/>
              </w:rPr>
              <w:t xml:space="preserve">359752</w:t>
            </w:r>
          </w:p>
        </w:tc>
        <w:tc>
          <w:tcPr>
            <w:tcW w:w="1247" w:type="dxa"/>
          </w:tcPr>
          <w:p>
            <w:pPr>
              <w:pStyle w:val="0"/>
              <w:jc w:val="center"/>
            </w:pPr>
            <w:r>
              <w:rPr>
                <w:sz w:val="20"/>
              </w:rPr>
              <w:t xml:space="preserve">25,2</w:t>
            </w:r>
          </w:p>
        </w:tc>
        <w:tc>
          <w:tcPr>
            <w:gridSpan w:val="3"/>
            <w:tcW w:w="4592" w:type="dxa"/>
          </w:tcPr>
          <w:p>
            <w:pPr>
              <w:pStyle w:val="0"/>
              <w:jc w:val="center"/>
            </w:pPr>
            <w:r>
              <w:rPr>
                <w:sz w:val="20"/>
              </w:rPr>
            </w:r>
          </w:p>
        </w:tc>
        <w:tc>
          <w:tcPr>
            <w:tcW w:w="1134" w:type="dxa"/>
          </w:tcPr>
          <w:p>
            <w:pPr>
              <w:pStyle w:val="0"/>
              <w:jc w:val="center"/>
            </w:pPr>
            <w:r>
              <w:rPr>
                <w:sz w:val="20"/>
              </w:rPr>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8</w:t>
      </w:r>
    </w:p>
    <w:p>
      <w:pPr>
        <w:pStyle w:val="0"/>
        <w:jc w:val="center"/>
      </w:pPr>
      <w:r>
        <w:rPr>
          <w:sz w:val="20"/>
        </w:rPr>
      </w:r>
    </w:p>
    <w:bookmarkStart w:id="30324" w:name="P30324"/>
    <w:bookmarkEnd w:id="30324"/>
    <w:p>
      <w:pPr>
        <w:pStyle w:val="2"/>
        <w:jc w:val="center"/>
      </w:pPr>
      <w:r>
        <w:rPr>
          <w:sz w:val="20"/>
        </w:rPr>
        <w:t xml:space="preserve">Расчет потребности в койках сестринского ухода</w:t>
      </w:r>
    </w:p>
    <w:p>
      <w:pPr>
        <w:pStyle w:val="2"/>
        <w:jc w:val="center"/>
      </w:pPr>
      <w:r>
        <w:rPr>
          <w:sz w:val="20"/>
        </w:rPr>
        <w:t xml:space="preserve">в городе Севастополе в соответствии с целевой моделью</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2664"/>
        <w:gridCol w:w="1417"/>
        <w:gridCol w:w="1531"/>
        <w:gridCol w:w="2835"/>
      </w:tblGrid>
      <w:tr>
        <w:tc>
          <w:tcPr>
            <w:tcW w:w="623" w:type="dxa"/>
          </w:tcPr>
          <w:p>
            <w:pPr>
              <w:pStyle w:val="0"/>
              <w:jc w:val="center"/>
            </w:pPr>
            <w:r>
              <w:rPr>
                <w:sz w:val="20"/>
              </w:rPr>
              <w:t xml:space="preserve">N</w:t>
            </w:r>
          </w:p>
        </w:tc>
        <w:tc>
          <w:tcPr>
            <w:tcW w:w="2664" w:type="dxa"/>
          </w:tcPr>
          <w:p>
            <w:pPr>
              <w:pStyle w:val="0"/>
              <w:jc w:val="center"/>
            </w:pPr>
            <w:r>
              <w:rPr>
                <w:sz w:val="20"/>
              </w:rPr>
              <w:t xml:space="preserve">Наименование района</w:t>
            </w:r>
          </w:p>
        </w:tc>
        <w:tc>
          <w:tcPr>
            <w:tcW w:w="1417" w:type="dxa"/>
          </w:tcPr>
          <w:p>
            <w:pPr>
              <w:pStyle w:val="0"/>
              <w:jc w:val="center"/>
            </w:pPr>
            <w:r>
              <w:rPr>
                <w:sz w:val="20"/>
              </w:rPr>
              <w:t xml:space="preserve">Население взрослые</w:t>
            </w:r>
          </w:p>
        </w:tc>
        <w:tc>
          <w:tcPr>
            <w:tcW w:w="1531" w:type="dxa"/>
          </w:tcPr>
          <w:p>
            <w:pPr>
              <w:pStyle w:val="0"/>
              <w:jc w:val="center"/>
            </w:pPr>
            <w:r>
              <w:rPr>
                <w:sz w:val="20"/>
              </w:rPr>
              <w:t xml:space="preserve">Потребность в СУ койках</w:t>
            </w:r>
          </w:p>
        </w:tc>
        <w:tc>
          <w:tcPr>
            <w:tcW w:w="2835" w:type="dxa"/>
          </w:tcPr>
          <w:p>
            <w:pPr>
              <w:pStyle w:val="0"/>
              <w:jc w:val="center"/>
            </w:pPr>
            <w:r>
              <w:rPr>
                <w:sz w:val="20"/>
              </w:rPr>
              <w:t xml:space="preserve">ГБУЗС "Севастопольская ГБ N 9"</w:t>
            </w:r>
          </w:p>
        </w:tc>
      </w:tr>
      <w:tr>
        <w:tc>
          <w:tcPr>
            <w:gridSpan w:val="4"/>
            <w:tcW w:w="6235" w:type="dxa"/>
          </w:tcPr>
          <w:p>
            <w:pPr>
              <w:pStyle w:val="0"/>
              <w:jc w:val="both"/>
            </w:pPr>
            <w:r>
              <w:rPr>
                <w:sz w:val="20"/>
              </w:rPr>
              <w:t xml:space="preserve">Предложение - 20 коек СУ</w:t>
            </w:r>
          </w:p>
        </w:tc>
        <w:tc>
          <w:tcPr>
            <w:tcW w:w="2835" w:type="dxa"/>
          </w:tcPr>
          <w:p>
            <w:pPr>
              <w:pStyle w:val="0"/>
              <w:jc w:val="center"/>
            </w:pPr>
            <w:r>
              <w:rPr>
                <w:sz w:val="20"/>
              </w:rPr>
              <w:t xml:space="preserve">20</w:t>
            </w:r>
          </w:p>
        </w:tc>
      </w:tr>
      <w:tr>
        <w:tc>
          <w:tcPr>
            <w:gridSpan w:val="4"/>
            <w:tcW w:w="6235" w:type="dxa"/>
          </w:tcPr>
          <w:p>
            <w:pPr>
              <w:pStyle w:val="0"/>
              <w:jc w:val="both"/>
            </w:pPr>
            <w:r>
              <w:rPr>
                <w:sz w:val="20"/>
              </w:rPr>
              <w:t xml:space="preserve">На момент утверждения Программы - 30 коек СУ</w:t>
            </w:r>
          </w:p>
        </w:tc>
        <w:tc>
          <w:tcPr>
            <w:tcW w:w="2835" w:type="dxa"/>
          </w:tcPr>
          <w:p>
            <w:pPr>
              <w:pStyle w:val="0"/>
              <w:jc w:val="center"/>
            </w:pPr>
            <w:r>
              <w:rPr>
                <w:sz w:val="20"/>
              </w:rPr>
              <w:t xml:space="preserve">30</w:t>
            </w:r>
          </w:p>
        </w:tc>
      </w:tr>
      <w:tr>
        <w:tc>
          <w:tcPr>
            <w:gridSpan w:val="4"/>
            <w:tcW w:w="6235" w:type="dxa"/>
          </w:tcPr>
          <w:p>
            <w:pPr>
              <w:pStyle w:val="0"/>
              <w:jc w:val="both"/>
            </w:pPr>
            <w:r>
              <w:rPr>
                <w:sz w:val="20"/>
              </w:rPr>
              <w:t xml:space="preserve">Расчетная потребность в койках - 10,7 койки СУ</w:t>
            </w:r>
          </w:p>
        </w:tc>
        <w:tc>
          <w:tcPr>
            <w:tcW w:w="2835" w:type="dxa"/>
          </w:tcPr>
          <w:p>
            <w:pPr>
              <w:pStyle w:val="0"/>
              <w:jc w:val="center"/>
            </w:pPr>
            <w:r>
              <w:rPr>
                <w:sz w:val="20"/>
              </w:rPr>
              <w:t xml:space="preserve">10,7</w:t>
            </w:r>
          </w:p>
        </w:tc>
      </w:tr>
      <w:tr>
        <w:tc>
          <w:tcPr>
            <w:tcW w:w="623" w:type="dxa"/>
          </w:tcPr>
          <w:p>
            <w:pPr>
              <w:pStyle w:val="0"/>
              <w:jc w:val="both"/>
            </w:pPr>
            <w:r>
              <w:rPr>
                <w:sz w:val="20"/>
              </w:rPr>
              <w:t xml:space="preserve">1</w:t>
            </w:r>
          </w:p>
        </w:tc>
        <w:tc>
          <w:tcPr>
            <w:tcW w:w="2664" w:type="dxa"/>
          </w:tcPr>
          <w:p>
            <w:pPr>
              <w:pStyle w:val="0"/>
              <w:jc w:val="both"/>
            </w:pPr>
            <w:r>
              <w:rPr>
                <w:sz w:val="20"/>
              </w:rPr>
              <w:t xml:space="preserve">Гагаринский район</w:t>
            </w:r>
          </w:p>
        </w:tc>
        <w:tc>
          <w:tcPr>
            <w:tcW w:w="1417" w:type="dxa"/>
          </w:tcPr>
          <w:p>
            <w:pPr>
              <w:pStyle w:val="0"/>
              <w:jc w:val="center"/>
            </w:pPr>
            <w:r>
              <w:rPr>
                <w:sz w:val="20"/>
              </w:rPr>
              <w:t xml:space="preserve">122576</w:t>
            </w:r>
          </w:p>
        </w:tc>
        <w:tc>
          <w:tcPr>
            <w:tcW w:w="1531" w:type="dxa"/>
          </w:tcPr>
          <w:p>
            <w:pPr>
              <w:pStyle w:val="0"/>
              <w:jc w:val="center"/>
            </w:pPr>
            <w:r>
              <w:rPr>
                <w:sz w:val="20"/>
              </w:rPr>
              <w:t xml:space="preserve">3,7</w:t>
            </w:r>
          </w:p>
        </w:tc>
        <w:tc>
          <w:tcPr>
            <w:tcW w:w="2835" w:type="dxa"/>
          </w:tcPr>
          <w:p>
            <w:pPr>
              <w:pStyle w:val="0"/>
              <w:jc w:val="center"/>
            </w:pPr>
            <w:r>
              <w:rPr>
                <w:sz w:val="20"/>
              </w:rPr>
              <w:t xml:space="preserve">3,6</w:t>
            </w:r>
          </w:p>
        </w:tc>
      </w:tr>
      <w:tr>
        <w:tc>
          <w:tcPr>
            <w:tcW w:w="623" w:type="dxa"/>
          </w:tcPr>
          <w:p>
            <w:pPr>
              <w:pStyle w:val="0"/>
              <w:jc w:val="both"/>
            </w:pPr>
            <w:r>
              <w:rPr>
                <w:sz w:val="20"/>
              </w:rPr>
              <w:t xml:space="preserve">2</w:t>
            </w:r>
          </w:p>
        </w:tc>
        <w:tc>
          <w:tcPr>
            <w:tcW w:w="2664" w:type="dxa"/>
          </w:tcPr>
          <w:p>
            <w:pPr>
              <w:pStyle w:val="0"/>
              <w:jc w:val="both"/>
            </w:pPr>
            <w:r>
              <w:rPr>
                <w:sz w:val="20"/>
              </w:rPr>
              <w:t xml:space="preserve">Ленинский район</w:t>
            </w:r>
          </w:p>
        </w:tc>
        <w:tc>
          <w:tcPr>
            <w:tcW w:w="1417" w:type="dxa"/>
          </w:tcPr>
          <w:p>
            <w:pPr>
              <w:pStyle w:val="0"/>
              <w:jc w:val="center"/>
            </w:pPr>
            <w:r>
              <w:rPr>
                <w:sz w:val="20"/>
              </w:rPr>
              <w:t xml:space="preserve">98025</w:t>
            </w:r>
          </w:p>
        </w:tc>
        <w:tc>
          <w:tcPr>
            <w:tcW w:w="1531" w:type="dxa"/>
          </w:tcPr>
          <w:p>
            <w:pPr>
              <w:pStyle w:val="0"/>
              <w:jc w:val="center"/>
            </w:pPr>
            <w:r>
              <w:rPr>
                <w:sz w:val="20"/>
              </w:rPr>
              <w:t xml:space="preserve">2,9</w:t>
            </w:r>
          </w:p>
        </w:tc>
        <w:tc>
          <w:tcPr>
            <w:tcW w:w="2835" w:type="dxa"/>
          </w:tcPr>
          <w:p>
            <w:pPr>
              <w:pStyle w:val="0"/>
              <w:jc w:val="center"/>
            </w:pPr>
            <w:r>
              <w:rPr>
                <w:sz w:val="20"/>
              </w:rPr>
              <w:t xml:space="preserve">2,9</w:t>
            </w:r>
          </w:p>
        </w:tc>
      </w:tr>
      <w:tr>
        <w:tc>
          <w:tcPr>
            <w:tcW w:w="623" w:type="dxa"/>
          </w:tcPr>
          <w:p>
            <w:pPr>
              <w:pStyle w:val="0"/>
              <w:jc w:val="both"/>
            </w:pPr>
            <w:r>
              <w:rPr>
                <w:sz w:val="20"/>
              </w:rPr>
              <w:t xml:space="preserve">3</w:t>
            </w:r>
          </w:p>
        </w:tc>
        <w:tc>
          <w:tcPr>
            <w:tcW w:w="2664" w:type="dxa"/>
          </w:tcPr>
          <w:p>
            <w:pPr>
              <w:pStyle w:val="0"/>
              <w:jc w:val="both"/>
            </w:pPr>
            <w:r>
              <w:rPr>
                <w:sz w:val="20"/>
              </w:rPr>
              <w:t xml:space="preserve">Нахимовский район</w:t>
            </w:r>
          </w:p>
        </w:tc>
        <w:tc>
          <w:tcPr>
            <w:tcW w:w="1417" w:type="dxa"/>
          </w:tcPr>
          <w:p>
            <w:pPr>
              <w:pStyle w:val="0"/>
              <w:jc w:val="center"/>
            </w:pPr>
            <w:r>
              <w:rPr>
                <w:sz w:val="20"/>
              </w:rPr>
              <w:t xml:space="preserve">97493</w:t>
            </w:r>
          </w:p>
        </w:tc>
        <w:tc>
          <w:tcPr>
            <w:tcW w:w="1531" w:type="dxa"/>
          </w:tcPr>
          <w:p>
            <w:pPr>
              <w:pStyle w:val="0"/>
              <w:jc w:val="center"/>
            </w:pPr>
            <w:r>
              <w:rPr>
                <w:sz w:val="20"/>
              </w:rPr>
              <w:t xml:space="preserve">2,9</w:t>
            </w:r>
          </w:p>
        </w:tc>
        <w:tc>
          <w:tcPr>
            <w:tcW w:w="2835" w:type="dxa"/>
          </w:tcPr>
          <w:p>
            <w:pPr>
              <w:pStyle w:val="0"/>
              <w:jc w:val="center"/>
            </w:pPr>
            <w:r>
              <w:rPr>
                <w:sz w:val="20"/>
              </w:rPr>
              <w:t xml:space="preserve">2,9</w:t>
            </w:r>
          </w:p>
        </w:tc>
      </w:tr>
      <w:tr>
        <w:tc>
          <w:tcPr>
            <w:tcW w:w="623" w:type="dxa"/>
          </w:tcPr>
          <w:p>
            <w:pPr>
              <w:pStyle w:val="0"/>
              <w:jc w:val="both"/>
            </w:pPr>
            <w:r>
              <w:rPr>
                <w:sz w:val="20"/>
              </w:rPr>
              <w:t xml:space="preserve">4</w:t>
            </w:r>
          </w:p>
        </w:tc>
        <w:tc>
          <w:tcPr>
            <w:tcW w:w="2664" w:type="dxa"/>
          </w:tcPr>
          <w:p>
            <w:pPr>
              <w:pStyle w:val="0"/>
              <w:jc w:val="both"/>
            </w:pPr>
            <w:r>
              <w:rPr>
                <w:sz w:val="20"/>
              </w:rPr>
              <w:t xml:space="preserve">Балаклавский район</w:t>
            </w:r>
          </w:p>
        </w:tc>
        <w:tc>
          <w:tcPr>
            <w:tcW w:w="1417" w:type="dxa"/>
          </w:tcPr>
          <w:p>
            <w:pPr>
              <w:pStyle w:val="0"/>
              <w:jc w:val="center"/>
            </w:pPr>
            <w:r>
              <w:rPr>
                <w:sz w:val="20"/>
              </w:rPr>
              <w:t xml:space="preserve">41658</w:t>
            </w:r>
          </w:p>
        </w:tc>
        <w:tc>
          <w:tcPr>
            <w:tcW w:w="1531" w:type="dxa"/>
          </w:tcPr>
          <w:p>
            <w:pPr>
              <w:pStyle w:val="0"/>
              <w:jc w:val="center"/>
            </w:pPr>
            <w:r>
              <w:rPr>
                <w:sz w:val="20"/>
              </w:rPr>
              <w:t xml:space="preserve">1,2</w:t>
            </w:r>
          </w:p>
        </w:tc>
        <w:tc>
          <w:tcPr>
            <w:tcW w:w="2835" w:type="dxa"/>
          </w:tcPr>
          <w:p>
            <w:pPr>
              <w:pStyle w:val="0"/>
              <w:jc w:val="center"/>
            </w:pPr>
            <w:r>
              <w:rPr>
                <w:sz w:val="20"/>
              </w:rPr>
              <w:t xml:space="preserve">1,2</w:t>
            </w:r>
          </w:p>
        </w:tc>
      </w:tr>
      <w:tr>
        <w:tc>
          <w:tcPr>
            <w:tcW w:w="623" w:type="dxa"/>
          </w:tcPr>
          <w:p>
            <w:pPr>
              <w:pStyle w:val="0"/>
              <w:jc w:val="both"/>
            </w:pPr>
            <w:r>
              <w:rPr>
                <w:sz w:val="20"/>
              </w:rPr>
            </w:r>
          </w:p>
        </w:tc>
        <w:tc>
          <w:tcPr>
            <w:tcW w:w="2664" w:type="dxa"/>
          </w:tcPr>
          <w:p>
            <w:pPr>
              <w:pStyle w:val="0"/>
              <w:jc w:val="both"/>
            </w:pPr>
            <w:r>
              <w:rPr>
                <w:sz w:val="20"/>
              </w:rPr>
              <w:t xml:space="preserve">Итого</w:t>
            </w:r>
          </w:p>
        </w:tc>
        <w:tc>
          <w:tcPr>
            <w:tcW w:w="1417" w:type="dxa"/>
          </w:tcPr>
          <w:p>
            <w:pPr>
              <w:pStyle w:val="0"/>
              <w:jc w:val="center"/>
            </w:pPr>
            <w:r>
              <w:rPr>
                <w:sz w:val="20"/>
              </w:rPr>
              <w:t xml:space="preserve">359752</w:t>
            </w:r>
          </w:p>
        </w:tc>
        <w:tc>
          <w:tcPr>
            <w:tcW w:w="1531" w:type="dxa"/>
          </w:tcPr>
          <w:p>
            <w:pPr>
              <w:pStyle w:val="0"/>
              <w:jc w:val="center"/>
            </w:pPr>
            <w:r>
              <w:rPr>
                <w:sz w:val="20"/>
              </w:rPr>
              <w:t xml:space="preserve">10,8</w:t>
            </w:r>
          </w:p>
        </w:tc>
        <w:tc>
          <w:tcPr>
            <w:tcW w:w="2835" w:type="dxa"/>
          </w:tcPr>
          <w:p>
            <w:pPr>
              <w:pStyle w:val="0"/>
              <w:jc w:val="center"/>
            </w:pPr>
            <w:r>
              <w:rPr>
                <w:sz w:val="20"/>
              </w:rPr>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9</w:t>
      </w:r>
    </w:p>
    <w:p>
      <w:pPr>
        <w:pStyle w:val="0"/>
        <w:jc w:val="center"/>
      </w:pPr>
      <w:r>
        <w:rPr>
          <w:sz w:val="20"/>
        </w:rPr>
      </w:r>
    </w:p>
    <w:bookmarkStart w:id="30370" w:name="P30370"/>
    <w:bookmarkEnd w:id="30370"/>
    <w:p>
      <w:pPr>
        <w:pStyle w:val="2"/>
        <w:jc w:val="center"/>
      </w:pPr>
      <w:r>
        <w:rPr>
          <w:sz w:val="20"/>
        </w:rPr>
        <w:t xml:space="preserve">Расчет потребности в ПМП в амбулаторных условиях</w:t>
      </w:r>
    </w:p>
    <w:p>
      <w:pPr>
        <w:pStyle w:val="2"/>
        <w:jc w:val="center"/>
      </w:pPr>
      <w:r>
        <w:rPr>
          <w:sz w:val="20"/>
        </w:rPr>
        <w:t xml:space="preserve">взрослому населению в городе Севастополе</w:t>
      </w:r>
    </w:p>
    <w:p>
      <w:pPr>
        <w:pStyle w:val="2"/>
        <w:jc w:val="center"/>
      </w:pPr>
      <w:r>
        <w:rPr>
          <w:sz w:val="20"/>
        </w:rPr>
        <w:t xml:space="preserve">в соответствии с целевой моделью</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2267"/>
        <w:gridCol w:w="1190"/>
        <w:gridCol w:w="1360"/>
        <w:gridCol w:w="2097"/>
        <w:gridCol w:w="1530"/>
      </w:tblGrid>
      <w:tr>
        <w:tc>
          <w:tcPr>
            <w:tcW w:w="623" w:type="dxa"/>
          </w:tcPr>
          <w:p>
            <w:pPr>
              <w:pStyle w:val="0"/>
              <w:jc w:val="center"/>
            </w:pPr>
            <w:r>
              <w:rPr>
                <w:sz w:val="20"/>
              </w:rPr>
              <w:t xml:space="preserve">N</w:t>
            </w:r>
          </w:p>
        </w:tc>
        <w:tc>
          <w:tcPr>
            <w:tcW w:w="2267" w:type="dxa"/>
          </w:tcPr>
          <w:p>
            <w:pPr>
              <w:pStyle w:val="0"/>
              <w:jc w:val="center"/>
            </w:pPr>
            <w:r>
              <w:rPr>
                <w:sz w:val="20"/>
              </w:rPr>
              <w:t xml:space="preserve">Наименование района</w:t>
            </w:r>
          </w:p>
        </w:tc>
        <w:tc>
          <w:tcPr>
            <w:tcW w:w="1190" w:type="dxa"/>
          </w:tcPr>
          <w:p>
            <w:pPr>
              <w:pStyle w:val="0"/>
              <w:jc w:val="center"/>
            </w:pPr>
            <w:r>
              <w:rPr>
                <w:sz w:val="20"/>
              </w:rPr>
              <w:t xml:space="preserve">Население взрослое</w:t>
            </w:r>
          </w:p>
        </w:tc>
        <w:tc>
          <w:tcPr>
            <w:tcW w:w="1360" w:type="dxa"/>
          </w:tcPr>
          <w:p>
            <w:pPr>
              <w:pStyle w:val="0"/>
              <w:jc w:val="center"/>
            </w:pPr>
            <w:r>
              <w:rPr>
                <w:sz w:val="20"/>
              </w:rPr>
              <w:t xml:space="preserve">Потребность во врачах ПМП</w:t>
            </w:r>
          </w:p>
        </w:tc>
        <w:tc>
          <w:tcPr>
            <w:tcW w:w="2097" w:type="dxa"/>
          </w:tcPr>
          <w:p>
            <w:pPr>
              <w:pStyle w:val="0"/>
              <w:jc w:val="center"/>
            </w:pPr>
            <w:r>
              <w:rPr>
                <w:sz w:val="20"/>
              </w:rPr>
              <w:t xml:space="preserve">ГБУЗС "Севастопольский городской онкологический диспансер им. А.А. Задорожного"</w:t>
            </w:r>
          </w:p>
        </w:tc>
        <w:tc>
          <w:tcPr>
            <w:tcW w:w="1530" w:type="dxa"/>
          </w:tcPr>
          <w:p>
            <w:pPr>
              <w:pStyle w:val="0"/>
              <w:jc w:val="center"/>
            </w:pPr>
            <w:r>
              <w:rPr>
                <w:sz w:val="20"/>
              </w:rPr>
              <w:t xml:space="preserve">ГБУЗС "Севастопольская ГБ N 9"</w:t>
            </w:r>
          </w:p>
        </w:tc>
      </w:tr>
      <w:tr>
        <w:tc>
          <w:tcPr>
            <w:gridSpan w:val="4"/>
            <w:tcW w:w="5440" w:type="dxa"/>
          </w:tcPr>
          <w:p>
            <w:pPr>
              <w:pStyle w:val="0"/>
              <w:jc w:val="both"/>
            </w:pPr>
            <w:r>
              <w:rPr>
                <w:sz w:val="20"/>
              </w:rPr>
              <w:t xml:space="preserve">Рекомендованный график работы</w:t>
            </w:r>
          </w:p>
        </w:tc>
        <w:tc>
          <w:tcPr>
            <w:tcW w:w="2097" w:type="dxa"/>
          </w:tcPr>
          <w:p>
            <w:pPr>
              <w:pStyle w:val="0"/>
              <w:jc w:val="center"/>
            </w:pPr>
            <w:r>
              <w:rPr>
                <w:sz w:val="20"/>
              </w:rPr>
              <w:t xml:space="preserve">5/2</w:t>
            </w:r>
          </w:p>
        </w:tc>
        <w:tc>
          <w:tcPr>
            <w:tcW w:w="1530" w:type="dxa"/>
          </w:tcPr>
          <w:p>
            <w:pPr>
              <w:pStyle w:val="0"/>
              <w:jc w:val="center"/>
            </w:pPr>
            <w:r>
              <w:rPr>
                <w:sz w:val="20"/>
              </w:rPr>
              <w:t xml:space="preserve">5/2</w:t>
            </w:r>
          </w:p>
        </w:tc>
      </w:tr>
      <w:tr>
        <w:tc>
          <w:tcPr>
            <w:gridSpan w:val="4"/>
            <w:tcW w:w="5440" w:type="dxa"/>
          </w:tcPr>
          <w:p>
            <w:pPr>
              <w:pStyle w:val="0"/>
              <w:jc w:val="both"/>
            </w:pPr>
            <w:r>
              <w:rPr>
                <w:sz w:val="20"/>
              </w:rPr>
              <w:t xml:space="preserve">Рекомендованное кол-во врачей - 4</w:t>
            </w:r>
          </w:p>
        </w:tc>
        <w:tc>
          <w:tcPr>
            <w:tcW w:w="2097" w:type="dxa"/>
          </w:tcPr>
          <w:p>
            <w:pPr>
              <w:pStyle w:val="0"/>
              <w:jc w:val="center"/>
            </w:pPr>
            <w:r>
              <w:rPr>
                <w:sz w:val="20"/>
              </w:rPr>
              <w:t xml:space="preserve">2</w:t>
            </w:r>
          </w:p>
        </w:tc>
        <w:tc>
          <w:tcPr>
            <w:tcW w:w="1530" w:type="dxa"/>
          </w:tcPr>
          <w:p>
            <w:pPr>
              <w:pStyle w:val="0"/>
              <w:jc w:val="center"/>
            </w:pPr>
            <w:r>
              <w:rPr>
                <w:sz w:val="20"/>
              </w:rPr>
              <w:t xml:space="preserve">2</w:t>
            </w:r>
          </w:p>
        </w:tc>
      </w:tr>
      <w:tr>
        <w:tc>
          <w:tcPr>
            <w:gridSpan w:val="4"/>
            <w:tcW w:w="5440" w:type="dxa"/>
          </w:tcPr>
          <w:p>
            <w:pPr>
              <w:pStyle w:val="0"/>
              <w:jc w:val="both"/>
            </w:pPr>
            <w:r>
              <w:rPr>
                <w:sz w:val="20"/>
              </w:rPr>
              <w:t xml:space="preserve">Расчетная потребность во врачах ПМП - 3,6</w:t>
            </w:r>
          </w:p>
        </w:tc>
        <w:tc>
          <w:tcPr>
            <w:gridSpan w:val="2"/>
            <w:tcW w:w="3627" w:type="dxa"/>
          </w:tcPr>
          <w:p>
            <w:pPr>
              <w:pStyle w:val="0"/>
              <w:jc w:val="center"/>
            </w:pPr>
            <w:r>
              <w:rPr>
                <w:sz w:val="20"/>
              </w:rPr>
              <w:t xml:space="preserve">3,6</w:t>
            </w:r>
          </w:p>
        </w:tc>
      </w:tr>
      <w:tr>
        <w:tc>
          <w:tcPr>
            <w:tcW w:w="623" w:type="dxa"/>
          </w:tcPr>
          <w:p>
            <w:pPr>
              <w:pStyle w:val="0"/>
              <w:jc w:val="both"/>
            </w:pPr>
            <w:r>
              <w:rPr>
                <w:sz w:val="20"/>
              </w:rPr>
              <w:t xml:space="preserve">1</w:t>
            </w:r>
          </w:p>
        </w:tc>
        <w:tc>
          <w:tcPr>
            <w:tcW w:w="2267" w:type="dxa"/>
          </w:tcPr>
          <w:p>
            <w:pPr>
              <w:pStyle w:val="0"/>
              <w:jc w:val="both"/>
            </w:pPr>
            <w:r>
              <w:rPr>
                <w:sz w:val="20"/>
              </w:rPr>
              <w:t xml:space="preserve">Гагаринский район</w:t>
            </w:r>
          </w:p>
        </w:tc>
        <w:tc>
          <w:tcPr>
            <w:tcW w:w="1190" w:type="dxa"/>
          </w:tcPr>
          <w:p>
            <w:pPr>
              <w:pStyle w:val="0"/>
              <w:jc w:val="center"/>
            </w:pPr>
            <w:r>
              <w:rPr>
                <w:sz w:val="20"/>
              </w:rPr>
              <w:t xml:space="preserve">122576</w:t>
            </w:r>
          </w:p>
        </w:tc>
        <w:tc>
          <w:tcPr>
            <w:tcW w:w="1360" w:type="dxa"/>
          </w:tcPr>
          <w:p>
            <w:pPr>
              <w:pStyle w:val="0"/>
              <w:jc w:val="center"/>
            </w:pPr>
            <w:r>
              <w:rPr>
                <w:sz w:val="20"/>
              </w:rPr>
              <w:t xml:space="preserve">1,2</w:t>
            </w:r>
          </w:p>
        </w:tc>
        <w:tc>
          <w:tcPr>
            <w:gridSpan w:val="2"/>
            <w:tcW w:w="3627" w:type="dxa"/>
          </w:tcPr>
          <w:p>
            <w:pPr>
              <w:pStyle w:val="0"/>
              <w:jc w:val="center"/>
            </w:pPr>
            <w:r>
              <w:rPr>
                <w:sz w:val="20"/>
              </w:rPr>
              <w:t xml:space="preserve">1,2</w:t>
            </w:r>
          </w:p>
        </w:tc>
      </w:tr>
      <w:tr>
        <w:tc>
          <w:tcPr>
            <w:tcW w:w="623" w:type="dxa"/>
          </w:tcPr>
          <w:p>
            <w:pPr>
              <w:pStyle w:val="0"/>
              <w:jc w:val="both"/>
            </w:pPr>
            <w:r>
              <w:rPr>
                <w:sz w:val="20"/>
              </w:rPr>
              <w:t xml:space="preserve">2</w:t>
            </w:r>
          </w:p>
        </w:tc>
        <w:tc>
          <w:tcPr>
            <w:tcW w:w="2267" w:type="dxa"/>
          </w:tcPr>
          <w:p>
            <w:pPr>
              <w:pStyle w:val="0"/>
              <w:jc w:val="both"/>
            </w:pPr>
            <w:r>
              <w:rPr>
                <w:sz w:val="20"/>
              </w:rPr>
              <w:t xml:space="preserve">Ленинский район</w:t>
            </w:r>
          </w:p>
        </w:tc>
        <w:tc>
          <w:tcPr>
            <w:tcW w:w="1190" w:type="dxa"/>
          </w:tcPr>
          <w:p>
            <w:pPr>
              <w:pStyle w:val="0"/>
              <w:jc w:val="center"/>
            </w:pPr>
            <w:r>
              <w:rPr>
                <w:sz w:val="20"/>
              </w:rPr>
              <w:t xml:space="preserve">98025</w:t>
            </w:r>
          </w:p>
        </w:tc>
        <w:tc>
          <w:tcPr>
            <w:tcW w:w="1360" w:type="dxa"/>
          </w:tcPr>
          <w:p>
            <w:pPr>
              <w:pStyle w:val="0"/>
              <w:jc w:val="center"/>
            </w:pPr>
            <w:r>
              <w:rPr>
                <w:sz w:val="20"/>
              </w:rPr>
              <w:t xml:space="preserve">1,0</w:t>
            </w:r>
          </w:p>
        </w:tc>
        <w:tc>
          <w:tcPr>
            <w:gridSpan w:val="2"/>
            <w:tcW w:w="3627" w:type="dxa"/>
          </w:tcPr>
          <w:p>
            <w:pPr>
              <w:pStyle w:val="0"/>
              <w:jc w:val="center"/>
            </w:pPr>
            <w:r>
              <w:rPr>
                <w:sz w:val="20"/>
              </w:rPr>
              <w:t xml:space="preserve">1,0</w:t>
            </w:r>
          </w:p>
        </w:tc>
      </w:tr>
      <w:tr>
        <w:tc>
          <w:tcPr>
            <w:tcW w:w="623" w:type="dxa"/>
          </w:tcPr>
          <w:p>
            <w:pPr>
              <w:pStyle w:val="0"/>
              <w:jc w:val="both"/>
            </w:pPr>
            <w:r>
              <w:rPr>
                <w:sz w:val="20"/>
              </w:rPr>
              <w:t xml:space="preserve">3</w:t>
            </w:r>
          </w:p>
        </w:tc>
        <w:tc>
          <w:tcPr>
            <w:tcW w:w="2267" w:type="dxa"/>
          </w:tcPr>
          <w:p>
            <w:pPr>
              <w:pStyle w:val="0"/>
              <w:jc w:val="both"/>
            </w:pPr>
            <w:r>
              <w:rPr>
                <w:sz w:val="20"/>
              </w:rPr>
              <w:t xml:space="preserve">Нахимовский район</w:t>
            </w:r>
          </w:p>
        </w:tc>
        <w:tc>
          <w:tcPr>
            <w:tcW w:w="1190" w:type="dxa"/>
          </w:tcPr>
          <w:p>
            <w:pPr>
              <w:pStyle w:val="0"/>
              <w:jc w:val="center"/>
            </w:pPr>
            <w:r>
              <w:rPr>
                <w:sz w:val="20"/>
              </w:rPr>
              <w:t xml:space="preserve">97493</w:t>
            </w:r>
          </w:p>
        </w:tc>
        <w:tc>
          <w:tcPr>
            <w:tcW w:w="1360" w:type="dxa"/>
          </w:tcPr>
          <w:p>
            <w:pPr>
              <w:pStyle w:val="0"/>
              <w:jc w:val="center"/>
            </w:pPr>
            <w:r>
              <w:rPr>
                <w:sz w:val="20"/>
              </w:rPr>
              <w:t xml:space="preserve">1,0</w:t>
            </w:r>
          </w:p>
        </w:tc>
        <w:tc>
          <w:tcPr>
            <w:gridSpan w:val="2"/>
            <w:tcW w:w="3627" w:type="dxa"/>
          </w:tcPr>
          <w:p>
            <w:pPr>
              <w:pStyle w:val="0"/>
              <w:jc w:val="center"/>
            </w:pPr>
            <w:r>
              <w:rPr>
                <w:sz w:val="20"/>
              </w:rPr>
              <w:t xml:space="preserve">1,0</w:t>
            </w:r>
          </w:p>
        </w:tc>
      </w:tr>
      <w:tr>
        <w:tc>
          <w:tcPr>
            <w:tcW w:w="623" w:type="dxa"/>
          </w:tcPr>
          <w:p>
            <w:pPr>
              <w:pStyle w:val="0"/>
              <w:jc w:val="both"/>
            </w:pPr>
            <w:r>
              <w:rPr>
                <w:sz w:val="20"/>
              </w:rPr>
              <w:t xml:space="preserve">4</w:t>
            </w:r>
          </w:p>
        </w:tc>
        <w:tc>
          <w:tcPr>
            <w:tcW w:w="2267" w:type="dxa"/>
          </w:tcPr>
          <w:p>
            <w:pPr>
              <w:pStyle w:val="0"/>
              <w:jc w:val="both"/>
            </w:pPr>
            <w:r>
              <w:rPr>
                <w:sz w:val="20"/>
              </w:rPr>
              <w:t xml:space="preserve">Балаклавский район</w:t>
            </w:r>
          </w:p>
        </w:tc>
        <w:tc>
          <w:tcPr>
            <w:tcW w:w="1190" w:type="dxa"/>
          </w:tcPr>
          <w:p>
            <w:pPr>
              <w:pStyle w:val="0"/>
              <w:jc w:val="center"/>
            </w:pPr>
            <w:r>
              <w:rPr>
                <w:sz w:val="20"/>
              </w:rPr>
              <w:t xml:space="preserve">41658</w:t>
            </w:r>
          </w:p>
        </w:tc>
        <w:tc>
          <w:tcPr>
            <w:tcW w:w="1360" w:type="dxa"/>
          </w:tcPr>
          <w:p>
            <w:pPr>
              <w:pStyle w:val="0"/>
              <w:jc w:val="center"/>
            </w:pPr>
            <w:r>
              <w:rPr>
                <w:sz w:val="20"/>
              </w:rPr>
              <w:t xml:space="preserve">0,4</w:t>
            </w:r>
          </w:p>
        </w:tc>
        <w:tc>
          <w:tcPr>
            <w:gridSpan w:val="2"/>
            <w:tcW w:w="3627" w:type="dxa"/>
          </w:tcPr>
          <w:p>
            <w:pPr>
              <w:pStyle w:val="0"/>
              <w:jc w:val="center"/>
            </w:pPr>
            <w:r>
              <w:rPr>
                <w:sz w:val="20"/>
              </w:rPr>
              <w:t xml:space="preserve">0,4</w:t>
            </w:r>
          </w:p>
        </w:tc>
      </w:tr>
      <w:tr>
        <w:tc>
          <w:tcPr>
            <w:tcW w:w="623" w:type="dxa"/>
          </w:tcPr>
          <w:p>
            <w:pPr>
              <w:pStyle w:val="0"/>
              <w:jc w:val="both"/>
            </w:pPr>
            <w:r>
              <w:rPr>
                <w:sz w:val="20"/>
              </w:rPr>
            </w:r>
          </w:p>
        </w:tc>
        <w:tc>
          <w:tcPr>
            <w:tcW w:w="2267" w:type="dxa"/>
          </w:tcPr>
          <w:p>
            <w:pPr>
              <w:pStyle w:val="0"/>
              <w:jc w:val="both"/>
            </w:pPr>
            <w:r>
              <w:rPr>
                <w:sz w:val="20"/>
              </w:rPr>
              <w:t xml:space="preserve">Итого</w:t>
            </w:r>
          </w:p>
        </w:tc>
        <w:tc>
          <w:tcPr>
            <w:tcW w:w="1190" w:type="dxa"/>
          </w:tcPr>
          <w:p>
            <w:pPr>
              <w:pStyle w:val="0"/>
              <w:jc w:val="center"/>
            </w:pPr>
            <w:r>
              <w:rPr>
                <w:sz w:val="20"/>
              </w:rPr>
              <w:t xml:space="preserve">359752</w:t>
            </w:r>
          </w:p>
        </w:tc>
        <w:tc>
          <w:tcPr>
            <w:tcW w:w="1360" w:type="dxa"/>
          </w:tcPr>
          <w:p>
            <w:pPr>
              <w:pStyle w:val="0"/>
              <w:jc w:val="center"/>
            </w:pPr>
            <w:r>
              <w:rPr>
                <w:sz w:val="20"/>
              </w:rPr>
              <w:t xml:space="preserve">3,6</w:t>
            </w:r>
          </w:p>
        </w:tc>
        <w:tc>
          <w:tcPr>
            <w:gridSpan w:val="2"/>
            <w:tcW w:w="3627" w:type="dxa"/>
          </w:tcPr>
          <w:p>
            <w:pPr>
              <w:pStyle w:val="0"/>
              <w:jc w:val="center"/>
            </w:pPr>
            <w:r>
              <w:rPr>
                <w:sz w:val="20"/>
              </w:rPr>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10</w:t>
      </w:r>
    </w:p>
    <w:p>
      <w:pPr>
        <w:pStyle w:val="0"/>
        <w:jc w:val="center"/>
      </w:pPr>
      <w:r>
        <w:rPr>
          <w:sz w:val="20"/>
        </w:rPr>
      </w:r>
    </w:p>
    <w:p>
      <w:pPr>
        <w:pStyle w:val="2"/>
        <w:jc w:val="center"/>
      </w:pPr>
      <w:r>
        <w:rPr>
          <w:sz w:val="20"/>
        </w:rPr>
        <w:t xml:space="preserve">Расчет потребности в ПМП в стационарных условиях</w:t>
      </w:r>
    </w:p>
    <w:p>
      <w:pPr>
        <w:pStyle w:val="2"/>
        <w:jc w:val="center"/>
      </w:pPr>
      <w:r>
        <w:rPr>
          <w:sz w:val="20"/>
        </w:rPr>
        <w:t xml:space="preserve">детскому населению в городе Севастополе</w:t>
      </w:r>
    </w:p>
    <w:p>
      <w:pPr>
        <w:pStyle w:val="2"/>
        <w:jc w:val="center"/>
      </w:pPr>
      <w:r>
        <w:rPr>
          <w:sz w:val="20"/>
        </w:rPr>
        <w:t xml:space="preserve">в соответствии с целевой моделью</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2664"/>
        <w:gridCol w:w="1417"/>
        <w:gridCol w:w="1531"/>
        <w:gridCol w:w="2835"/>
      </w:tblGrid>
      <w:tr>
        <w:tc>
          <w:tcPr>
            <w:tcW w:w="623" w:type="dxa"/>
          </w:tcPr>
          <w:p>
            <w:pPr>
              <w:pStyle w:val="0"/>
              <w:jc w:val="center"/>
            </w:pPr>
            <w:r>
              <w:rPr>
                <w:sz w:val="20"/>
              </w:rPr>
              <w:t xml:space="preserve">N</w:t>
            </w:r>
          </w:p>
        </w:tc>
        <w:tc>
          <w:tcPr>
            <w:tcW w:w="2664" w:type="dxa"/>
          </w:tcPr>
          <w:p>
            <w:pPr>
              <w:pStyle w:val="0"/>
              <w:jc w:val="center"/>
            </w:pPr>
            <w:r>
              <w:rPr>
                <w:sz w:val="20"/>
              </w:rPr>
              <w:t xml:space="preserve">Наименование района</w:t>
            </w:r>
          </w:p>
        </w:tc>
        <w:tc>
          <w:tcPr>
            <w:tcW w:w="1417" w:type="dxa"/>
          </w:tcPr>
          <w:p>
            <w:pPr>
              <w:pStyle w:val="0"/>
              <w:jc w:val="center"/>
            </w:pPr>
            <w:r>
              <w:rPr>
                <w:sz w:val="20"/>
              </w:rPr>
              <w:t xml:space="preserve">Население детское</w:t>
            </w:r>
          </w:p>
        </w:tc>
        <w:tc>
          <w:tcPr>
            <w:tcW w:w="1531" w:type="dxa"/>
          </w:tcPr>
          <w:p>
            <w:pPr>
              <w:pStyle w:val="0"/>
              <w:jc w:val="center"/>
            </w:pPr>
            <w:r>
              <w:rPr>
                <w:sz w:val="20"/>
              </w:rPr>
              <w:t xml:space="preserve">Потребность во врачах ПМП</w:t>
            </w:r>
          </w:p>
        </w:tc>
        <w:tc>
          <w:tcPr>
            <w:tcW w:w="2835" w:type="dxa"/>
          </w:tcPr>
          <w:p>
            <w:pPr>
              <w:pStyle w:val="0"/>
              <w:jc w:val="center"/>
            </w:pPr>
            <w:r>
              <w:rPr>
                <w:sz w:val="20"/>
              </w:rPr>
              <w:t xml:space="preserve">ГБУЗС "ГБ N 5"</w:t>
            </w:r>
          </w:p>
        </w:tc>
      </w:tr>
      <w:tr>
        <w:tc>
          <w:tcPr>
            <w:gridSpan w:val="4"/>
            <w:tcW w:w="6235" w:type="dxa"/>
          </w:tcPr>
          <w:p>
            <w:pPr>
              <w:pStyle w:val="0"/>
              <w:jc w:val="both"/>
            </w:pPr>
            <w:r>
              <w:rPr>
                <w:sz w:val="20"/>
              </w:rPr>
              <w:t xml:space="preserve">Предложение - 2 койки ПМП</w:t>
            </w:r>
          </w:p>
        </w:tc>
        <w:tc>
          <w:tcPr>
            <w:tcW w:w="2835" w:type="dxa"/>
          </w:tcPr>
          <w:p>
            <w:pPr>
              <w:pStyle w:val="0"/>
              <w:jc w:val="center"/>
            </w:pPr>
            <w:r>
              <w:rPr>
                <w:sz w:val="20"/>
              </w:rPr>
              <w:t xml:space="preserve">2</w:t>
            </w:r>
          </w:p>
        </w:tc>
      </w:tr>
      <w:tr>
        <w:tc>
          <w:tcPr>
            <w:gridSpan w:val="4"/>
            <w:tcW w:w="6235" w:type="dxa"/>
          </w:tcPr>
          <w:p>
            <w:pPr>
              <w:pStyle w:val="0"/>
              <w:jc w:val="both"/>
            </w:pPr>
            <w:r>
              <w:rPr>
                <w:sz w:val="20"/>
              </w:rPr>
              <w:t xml:space="preserve">На момент утверждения Программы - 2 койки ПМП</w:t>
            </w:r>
          </w:p>
        </w:tc>
        <w:tc>
          <w:tcPr>
            <w:tcW w:w="2835" w:type="dxa"/>
          </w:tcPr>
          <w:p>
            <w:pPr>
              <w:pStyle w:val="0"/>
              <w:jc w:val="center"/>
            </w:pPr>
            <w:r>
              <w:rPr>
                <w:sz w:val="20"/>
              </w:rPr>
              <w:t xml:space="preserve">2</w:t>
            </w:r>
          </w:p>
        </w:tc>
      </w:tr>
      <w:tr>
        <w:tc>
          <w:tcPr>
            <w:gridSpan w:val="4"/>
            <w:tcW w:w="6235" w:type="dxa"/>
          </w:tcPr>
          <w:p>
            <w:pPr>
              <w:pStyle w:val="0"/>
              <w:jc w:val="both"/>
            </w:pPr>
            <w:r>
              <w:rPr>
                <w:sz w:val="20"/>
              </w:rPr>
              <w:t xml:space="preserve">Расчетная потребность в койках - 1,6 койки СУ</w:t>
            </w:r>
          </w:p>
        </w:tc>
        <w:tc>
          <w:tcPr>
            <w:tcW w:w="2835" w:type="dxa"/>
          </w:tcPr>
          <w:p>
            <w:pPr>
              <w:pStyle w:val="0"/>
              <w:jc w:val="center"/>
            </w:pPr>
            <w:r>
              <w:rPr>
                <w:sz w:val="20"/>
              </w:rPr>
              <w:t xml:space="preserve">1,7</w:t>
            </w:r>
          </w:p>
        </w:tc>
      </w:tr>
      <w:tr>
        <w:tc>
          <w:tcPr>
            <w:tcW w:w="623" w:type="dxa"/>
          </w:tcPr>
          <w:p>
            <w:pPr>
              <w:pStyle w:val="0"/>
              <w:jc w:val="both"/>
            </w:pPr>
            <w:r>
              <w:rPr>
                <w:sz w:val="20"/>
              </w:rPr>
              <w:t xml:space="preserve">1</w:t>
            </w:r>
          </w:p>
        </w:tc>
        <w:tc>
          <w:tcPr>
            <w:tcW w:w="2664" w:type="dxa"/>
          </w:tcPr>
          <w:p>
            <w:pPr>
              <w:pStyle w:val="0"/>
              <w:jc w:val="both"/>
            </w:pPr>
            <w:r>
              <w:rPr>
                <w:sz w:val="20"/>
              </w:rPr>
              <w:t xml:space="preserve">Гагаринский район</w:t>
            </w:r>
          </w:p>
        </w:tc>
        <w:tc>
          <w:tcPr>
            <w:tcW w:w="1417" w:type="dxa"/>
          </w:tcPr>
          <w:p>
            <w:pPr>
              <w:pStyle w:val="0"/>
              <w:jc w:val="center"/>
            </w:pPr>
            <w:r>
              <w:rPr>
                <w:sz w:val="20"/>
              </w:rPr>
              <w:t xml:space="preserve">33219</w:t>
            </w:r>
          </w:p>
        </w:tc>
        <w:tc>
          <w:tcPr>
            <w:tcW w:w="1531" w:type="dxa"/>
          </w:tcPr>
          <w:p>
            <w:pPr>
              <w:pStyle w:val="0"/>
              <w:jc w:val="center"/>
            </w:pPr>
            <w:r>
              <w:rPr>
                <w:sz w:val="20"/>
              </w:rPr>
              <w:t xml:space="preserve">0,7</w:t>
            </w:r>
          </w:p>
        </w:tc>
        <w:tc>
          <w:tcPr>
            <w:tcW w:w="2835" w:type="dxa"/>
          </w:tcPr>
          <w:p>
            <w:pPr>
              <w:pStyle w:val="0"/>
              <w:jc w:val="center"/>
            </w:pPr>
            <w:r>
              <w:rPr>
                <w:sz w:val="20"/>
              </w:rPr>
              <w:t xml:space="preserve">0,7</w:t>
            </w:r>
          </w:p>
        </w:tc>
      </w:tr>
      <w:tr>
        <w:tc>
          <w:tcPr>
            <w:tcW w:w="623" w:type="dxa"/>
          </w:tcPr>
          <w:p>
            <w:pPr>
              <w:pStyle w:val="0"/>
              <w:jc w:val="both"/>
            </w:pPr>
            <w:r>
              <w:rPr>
                <w:sz w:val="20"/>
              </w:rPr>
              <w:t xml:space="preserve">2</w:t>
            </w:r>
          </w:p>
        </w:tc>
        <w:tc>
          <w:tcPr>
            <w:tcW w:w="2664" w:type="dxa"/>
          </w:tcPr>
          <w:p>
            <w:pPr>
              <w:pStyle w:val="0"/>
              <w:jc w:val="both"/>
            </w:pPr>
            <w:r>
              <w:rPr>
                <w:sz w:val="20"/>
              </w:rPr>
              <w:t xml:space="preserve">Ленинский район</w:t>
            </w:r>
          </w:p>
        </w:tc>
        <w:tc>
          <w:tcPr>
            <w:tcW w:w="1417" w:type="dxa"/>
          </w:tcPr>
          <w:p>
            <w:pPr>
              <w:pStyle w:val="0"/>
              <w:jc w:val="center"/>
            </w:pPr>
            <w:r>
              <w:rPr>
                <w:sz w:val="20"/>
              </w:rPr>
              <w:t xml:space="preserve">19405</w:t>
            </w:r>
          </w:p>
        </w:tc>
        <w:tc>
          <w:tcPr>
            <w:tcW w:w="1531" w:type="dxa"/>
          </w:tcPr>
          <w:p>
            <w:pPr>
              <w:pStyle w:val="0"/>
              <w:jc w:val="center"/>
            </w:pPr>
            <w:r>
              <w:rPr>
                <w:sz w:val="20"/>
              </w:rPr>
              <w:t xml:space="preserve">0,4</w:t>
            </w:r>
          </w:p>
        </w:tc>
        <w:tc>
          <w:tcPr>
            <w:tcW w:w="2835" w:type="dxa"/>
          </w:tcPr>
          <w:p>
            <w:pPr>
              <w:pStyle w:val="0"/>
              <w:jc w:val="center"/>
            </w:pPr>
            <w:r>
              <w:rPr>
                <w:sz w:val="20"/>
              </w:rPr>
              <w:t xml:space="preserve">0,4</w:t>
            </w:r>
          </w:p>
        </w:tc>
      </w:tr>
      <w:tr>
        <w:tc>
          <w:tcPr>
            <w:tcW w:w="623" w:type="dxa"/>
          </w:tcPr>
          <w:p>
            <w:pPr>
              <w:pStyle w:val="0"/>
              <w:jc w:val="both"/>
            </w:pPr>
            <w:r>
              <w:rPr>
                <w:sz w:val="20"/>
              </w:rPr>
              <w:t xml:space="preserve">3</w:t>
            </w:r>
          </w:p>
        </w:tc>
        <w:tc>
          <w:tcPr>
            <w:tcW w:w="2664" w:type="dxa"/>
          </w:tcPr>
          <w:p>
            <w:pPr>
              <w:pStyle w:val="0"/>
              <w:jc w:val="both"/>
            </w:pPr>
            <w:r>
              <w:rPr>
                <w:sz w:val="20"/>
              </w:rPr>
              <w:t xml:space="preserve">Нахимовский район</w:t>
            </w:r>
          </w:p>
        </w:tc>
        <w:tc>
          <w:tcPr>
            <w:tcW w:w="1417" w:type="dxa"/>
          </w:tcPr>
          <w:p>
            <w:pPr>
              <w:pStyle w:val="0"/>
              <w:jc w:val="center"/>
            </w:pPr>
            <w:r>
              <w:rPr>
                <w:sz w:val="20"/>
              </w:rPr>
              <w:t xml:space="preserve">21237</w:t>
            </w:r>
          </w:p>
        </w:tc>
        <w:tc>
          <w:tcPr>
            <w:tcW w:w="1531" w:type="dxa"/>
          </w:tcPr>
          <w:p>
            <w:pPr>
              <w:pStyle w:val="0"/>
              <w:jc w:val="center"/>
            </w:pPr>
            <w:r>
              <w:rPr>
                <w:sz w:val="20"/>
              </w:rPr>
              <w:t xml:space="preserve">0,4</w:t>
            </w:r>
          </w:p>
        </w:tc>
        <w:tc>
          <w:tcPr>
            <w:tcW w:w="2835" w:type="dxa"/>
          </w:tcPr>
          <w:p>
            <w:pPr>
              <w:pStyle w:val="0"/>
              <w:jc w:val="center"/>
            </w:pPr>
            <w:r>
              <w:rPr>
                <w:sz w:val="20"/>
              </w:rPr>
              <w:t xml:space="preserve">0,4</w:t>
            </w:r>
          </w:p>
        </w:tc>
      </w:tr>
      <w:tr>
        <w:tc>
          <w:tcPr>
            <w:tcW w:w="623" w:type="dxa"/>
          </w:tcPr>
          <w:p>
            <w:pPr>
              <w:pStyle w:val="0"/>
              <w:jc w:val="both"/>
            </w:pPr>
            <w:r>
              <w:rPr>
                <w:sz w:val="20"/>
              </w:rPr>
              <w:t xml:space="preserve">4</w:t>
            </w:r>
          </w:p>
        </w:tc>
        <w:tc>
          <w:tcPr>
            <w:tcW w:w="2664" w:type="dxa"/>
          </w:tcPr>
          <w:p>
            <w:pPr>
              <w:pStyle w:val="0"/>
              <w:jc w:val="both"/>
            </w:pPr>
            <w:r>
              <w:rPr>
                <w:sz w:val="20"/>
              </w:rPr>
              <w:t xml:space="preserve">Балаклавский район</w:t>
            </w:r>
          </w:p>
        </w:tc>
        <w:tc>
          <w:tcPr>
            <w:tcW w:w="1417" w:type="dxa"/>
          </w:tcPr>
          <w:p>
            <w:pPr>
              <w:pStyle w:val="0"/>
              <w:jc w:val="center"/>
            </w:pPr>
            <w:r>
              <w:rPr>
                <w:sz w:val="20"/>
              </w:rPr>
              <w:t xml:space="preserve">9599</w:t>
            </w:r>
          </w:p>
        </w:tc>
        <w:tc>
          <w:tcPr>
            <w:tcW w:w="1531" w:type="dxa"/>
          </w:tcPr>
          <w:p>
            <w:pPr>
              <w:pStyle w:val="0"/>
              <w:jc w:val="center"/>
            </w:pPr>
            <w:r>
              <w:rPr>
                <w:sz w:val="20"/>
              </w:rPr>
              <w:t xml:space="preserve">0,2</w:t>
            </w:r>
          </w:p>
        </w:tc>
        <w:tc>
          <w:tcPr>
            <w:tcW w:w="2835" w:type="dxa"/>
          </w:tcPr>
          <w:p>
            <w:pPr>
              <w:pStyle w:val="0"/>
              <w:jc w:val="center"/>
            </w:pPr>
            <w:r>
              <w:rPr>
                <w:sz w:val="20"/>
              </w:rPr>
              <w:t xml:space="preserve">0,2</w:t>
            </w:r>
          </w:p>
        </w:tc>
      </w:tr>
      <w:tr>
        <w:tc>
          <w:tcPr>
            <w:tcW w:w="623" w:type="dxa"/>
          </w:tcPr>
          <w:p>
            <w:pPr>
              <w:pStyle w:val="0"/>
              <w:jc w:val="both"/>
            </w:pPr>
            <w:r>
              <w:rPr>
                <w:sz w:val="20"/>
              </w:rPr>
            </w:r>
          </w:p>
        </w:tc>
        <w:tc>
          <w:tcPr>
            <w:tcW w:w="2664" w:type="dxa"/>
          </w:tcPr>
          <w:p>
            <w:pPr>
              <w:pStyle w:val="0"/>
              <w:jc w:val="both"/>
            </w:pPr>
            <w:r>
              <w:rPr>
                <w:sz w:val="20"/>
              </w:rPr>
              <w:t xml:space="preserve">Итого</w:t>
            </w:r>
          </w:p>
        </w:tc>
        <w:tc>
          <w:tcPr>
            <w:tcW w:w="1417" w:type="dxa"/>
          </w:tcPr>
          <w:p>
            <w:pPr>
              <w:pStyle w:val="0"/>
              <w:jc w:val="center"/>
            </w:pPr>
            <w:r>
              <w:rPr>
                <w:sz w:val="20"/>
              </w:rPr>
              <w:t xml:space="preserve">83460</w:t>
            </w:r>
          </w:p>
        </w:tc>
        <w:tc>
          <w:tcPr>
            <w:tcW w:w="1531" w:type="dxa"/>
          </w:tcPr>
          <w:p>
            <w:pPr>
              <w:pStyle w:val="0"/>
              <w:jc w:val="center"/>
            </w:pPr>
            <w:r>
              <w:rPr>
                <w:sz w:val="20"/>
              </w:rPr>
              <w:t xml:space="preserve">1,7</w:t>
            </w:r>
          </w:p>
        </w:tc>
        <w:tc>
          <w:tcPr>
            <w:tcW w:w="2835" w:type="dxa"/>
          </w:tcPr>
          <w:p>
            <w:pPr>
              <w:pStyle w:val="0"/>
              <w:jc w:val="center"/>
            </w:pPr>
            <w:r>
              <w:rPr>
                <w:sz w:val="20"/>
              </w:rPr>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11</w:t>
      </w:r>
    </w:p>
    <w:p>
      <w:pPr>
        <w:pStyle w:val="0"/>
        <w:jc w:val="center"/>
      </w:pPr>
      <w:r>
        <w:rPr>
          <w:sz w:val="20"/>
        </w:rPr>
      </w:r>
    </w:p>
    <w:bookmarkStart w:id="30467" w:name="P30467"/>
    <w:bookmarkEnd w:id="30467"/>
    <w:p>
      <w:pPr>
        <w:pStyle w:val="2"/>
        <w:jc w:val="center"/>
      </w:pPr>
      <w:r>
        <w:rPr>
          <w:sz w:val="20"/>
        </w:rPr>
        <w:t xml:space="preserve">Расчет потребности в ПМП в амбулаторных условиях</w:t>
      </w:r>
    </w:p>
    <w:p>
      <w:pPr>
        <w:pStyle w:val="2"/>
        <w:jc w:val="center"/>
      </w:pPr>
      <w:r>
        <w:rPr>
          <w:sz w:val="20"/>
        </w:rPr>
        <w:t xml:space="preserve">детскому населению в городе Севастополе</w:t>
      </w:r>
    </w:p>
    <w:p>
      <w:pPr>
        <w:pStyle w:val="2"/>
        <w:jc w:val="center"/>
      </w:pPr>
      <w:r>
        <w:rPr>
          <w:sz w:val="20"/>
        </w:rPr>
        <w:t xml:space="preserve">в соответствии с целевой моделью</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2664"/>
        <w:gridCol w:w="1417"/>
        <w:gridCol w:w="1531"/>
        <w:gridCol w:w="2835"/>
      </w:tblGrid>
      <w:tr>
        <w:tc>
          <w:tcPr>
            <w:tcW w:w="623" w:type="dxa"/>
          </w:tcPr>
          <w:p>
            <w:pPr>
              <w:pStyle w:val="0"/>
              <w:jc w:val="center"/>
            </w:pPr>
            <w:r>
              <w:rPr>
                <w:sz w:val="20"/>
              </w:rPr>
              <w:t xml:space="preserve">N</w:t>
            </w:r>
          </w:p>
        </w:tc>
        <w:tc>
          <w:tcPr>
            <w:tcW w:w="2664" w:type="dxa"/>
          </w:tcPr>
          <w:p>
            <w:pPr>
              <w:pStyle w:val="0"/>
              <w:jc w:val="center"/>
            </w:pPr>
            <w:r>
              <w:rPr>
                <w:sz w:val="20"/>
              </w:rPr>
              <w:t xml:space="preserve">Наименование района</w:t>
            </w:r>
          </w:p>
        </w:tc>
        <w:tc>
          <w:tcPr>
            <w:tcW w:w="1417" w:type="dxa"/>
          </w:tcPr>
          <w:p>
            <w:pPr>
              <w:pStyle w:val="0"/>
              <w:jc w:val="center"/>
            </w:pPr>
            <w:r>
              <w:rPr>
                <w:sz w:val="20"/>
              </w:rPr>
              <w:t xml:space="preserve">Население детское</w:t>
            </w:r>
          </w:p>
        </w:tc>
        <w:tc>
          <w:tcPr>
            <w:tcW w:w="1531" w:type="dxa"/>
          </w:tcPr>
          <w:p>
            <w:pPr>
              <w:pStyle w:val="0"/>
              <w:jc w:val="center"/>
            </w:pPr>
            <w:r>
              <w:rPr>
                <w:sz w:val="20"/>
              </w:rPr>
              <w:t xml:space="preserve">Потребность во врачах ПМП</w:t>
            </w:r>
          </w:p>
        </w:tc>
        <w:tc>
          <w:tcPr>
            <w:tcW w:w="2835" w:type="dxa"/>
          </w:tcPr>
          <w:p>
            <w:pPr>
              <w:pStyle w:val="0"/>
              <w:jc w:val="center"/>
            </w:pPr>
            <w:r>
              <w:rPr>
                <w:sz w:val="20"/>
              </w:rPr>
              <w:t xml:space="preserve">ГБУЗС "ГБ N 5"</w:t>
            </w:r>
          </w:p>
        </w:tc>
      </w:tr>
      <w:tr>
        <w:tc>
          <w:tcPr>
            <w:gridSpan w:val="4"/>
            <w:tcW w:w="6235" w:type="dxa"/>
          </w:tcPr>
          <w:p>
            <w:pPr>
              <w:pStyle w:val="0"/>
              <w:jc w:val="both"/>
            </w:pPr>
            <w:r>
              <w:rPr>
                <w:sz w:val="20"/>
              </w:rPr>
              <w:t xml:space="preserve">Рекомендованный график работы</w:t>
            </w:r>
          </w:p>
        </w:tc>
        <w:tc>
          <w:tcPr>
            <w:tcW w:w="2835" w:type="dxa"/>
          </w:tcPr>
          <w:p>
            <w:pPr>
              <w:pStyle w:val="0"/>
              <w:jc w:val="center"/>
            </w:pPr>
            <w:r>
              <w:rPr>
                <w:sz w:val="20"/>
              </w:rPr>
              <w:t xml:space="preserve">5/2</w:t>
            </w:r>
          </w:p>
        </w:tc>
      </w:tr>
      <w:tr>
        <w:tc>
          <w:tcPr>
            <w:gridSpan w:val="4"/>
            <w:tcW w:w="6235" w:type="dxa"/>
          </w:tcPr>
          <w:p>
            <w:pPr>
              <w:pStyle w:val="0"/>
              <w:jc w:val="both"/>
            </w:pPr>
            <w:r>
              <w:rPr>
                <w:sz w:val="20"/>
              </w:rPr>
              <w:t xml:space="preserve">Рекомендованное кол-во врачей - 2</w:t>
            </w:r>
          </w:p>
        </w:tc>
        <w:tc>
          <w:tcPr>
            <w:tcW w:w="2835" w:type="dxa"/>
          </w:tcPr>
          <w:p>
            <w:pPr>
              <w:pStyle w:val="0"/>
              <w:jc w:val="center"/>
            </w:pPr>
            <w:r>
              <w:rPr>
                <w:sz w:val="20"/>
              </w:rPr>
              <w:t xml:space="preserve">2</w:t>
            </w:r>
          </w:p>
        </w:tc>
      </w:tr>
      <w:tr>
        <w:tc>
          <w:tcPr>
            <w:gridSpan w:val="4"/>
            <w:tcW w:w="6235" w:type="dxa"/>
          </w:tcPr>
          <w:p>
            <w:pPr>
              <w:pStyle w:val="0"/>
              <w:jc w:val="both"/>
            </w:pPr>
            <w:r>
              <w:rPr>
                <w:sz w:val="20"/>
              </w:rPr>
              <w:t xml:space="preserve">Расчетная потребность во врачах ПМП - 4,6</w:t>
            </w:r>
          </w:p>
        </w:tc>
        <w:tc>
          <w:tcPr>
            <w:tcW w:w="2835" w:type="dxa"/>
          </w:tcPr>
          <w:p>
            <w:pPr>
              <w:pStyle w:val="0"/>
              <w:jc w:val="center"/>
            </w:pPr>
            <w:r>
              <w:rPr>
                <w:sz w:val="20"/>
              </w:rPr>
              <w:t xml:space="preserve">1,7</w:t>
            </w:r>
          </w:p>
        </w:tc>
      </w:tr>
      <w:tr>
        <w:tc>
          <w:tcPr>
            <w:tcW w:w="623" w:type="dxa"/>
          </w:tcPr>
          <w:p>
            <w:pPr>
              <w:pStyle w:val="0"/>
              <w:jc w:val="both"/>
            </w:pPr>
            <w:r>
              <w:rPr>
                <w:sz w:val="20"/>
              </w:rPr>
              <w:t xml:space="preserve">1</w:t>
            </w:r>
          </w:p>
        </w:tc>
        <w:tc>
          <w:tcPr>
            <w:tcW w:w="2664" w:type="dxa"/>
          </w:tcPr>
          <w:p>
            <w:pPr>
              <w:pStyle w:val="0"/>
              <w:jc w:val="both"/>
            </w:pPr>
            <w:r>
              <w:rPr>
                <w:sz w:val="20"/>
              </w:rPr>
              <w:t xml:space="preserve">Гагаринский район</w:t>
            </w:r>
          </w:p>
        </w:tc>
        <w:tc>
          <w:tcPr>
            <w:tcW w:w="1417" w:type="dxa"/>
          </w:tcPr>
          <w:p>
            <w:pPr>
              <w:pStyle w:val="0"/>
              <w:jc w:val="center"/>
            </w:pPr>
            <w:r>
              <w:rPr>
                <w:sz w:val="20"/>
              </w:rPr>
              <w:t xml:space="preserve">33219</w:t>
            </w:r>
          </w:p>
        </w:tc>
        <w:tc>
          <w:tcPr>
            <w:tcW w:w="1531" w:type="dxa"/>
          </w:tcPr>
          <w:p>
            <w:pPr>
              <w:pStyle w:val="0"/>
              <w:jc w:val="center"/>
            </w:pPr>
            <w:r>
              <w:rPr>
                <w:sz w:val="20"/>
              </w:rPr>
              <w:t xml:space="preserve">0,7</w:t>
            </w:r>
          </w:p>
        </w:tc>
        <w:tc>
          <w:tcPr>
            <w:tcW w:w="2835" w:type="dxa"/>
          </w:tcPr>
          <w:p>
            <w:pPr>
              <w:pStyle w:val="0"/>
              <w:jc w:val="center"/>
            </w:pPr>
            <w:r>
              <w:rPr>
                <w:sz w:val="20"/>
              </w:rPr>
              <w:t xml:space="preserve">0,7</w:t>
            </w:r>
          </w:p>
        </w:tc>
      </w:tr>
      <w:tr>
        <w:tc>
          <w:tcPr>
            <w:tcW w:w="623" w:type="dxa"/>
          </w:tcPr>
          <w:p>
            <w:pPr>
              <w:pStyle w:val="0"/>
              <w:jc w:val="both"/>
            </w:pPr>
            <w:r>
              <w:rPr>
                <w:sz w:val="20"/>
              </w:rPr>
              <w:t xml:space="preserve">2</w:t>
            </w:r>
          </w:p>
        </w:tc>
        <w:tc>
          <w:tcPr>
            <w:tcW w:w="2664" w:type="dxa"/>
          </w:tcPr>
          <w:p>
            <w:pPr>
              <w:pStyle w:val="0"/>
              <w:jc w:val="both"/>
            </w:pPr>
            <w:r>
              <w:rPr>
                <w:sz w:val="20"/>
              </w:rPr>
              <w:t xml:space="preserve">Ленинский район</w:t>
            </w:r>
          </w:p>
        </w:tc>
        <w:tc>
          <w:tcPr>
            <w:tcW w:w="1417" w:type="dxa"/>
          </w:tcPr>
          <w:p>
            <w:pPr>
              <w:pStyle w:val="0"/>
              <w:jc w:val="center"/>
            </w:pPr>
            <w:r>
              <w:rPr>
                <w:sz w:val="20"/>
              </w:rPr>
              <w:t xml:space="preserve">19405</w:t>
            </w:r>
          </w:p>
        </w:tc>
        <w:tc>
          <w:tcPr>
            <w:tcW w:w="1531" w:type="dxa"/>
          </w:tcPr>
          <w:p>
            <w:pPr>
              <w:pStyle w:val="0"/>
              <w:jc w:val="center"/>
            </w:pPr>
            <w:r>
              <w:rPr>
                <w:sz w:val="20"/>
              </w:rPr>
              <w:t xml:space="preserve">0,4</w:t>
            </w:r>
          </w:p>
        </w:tc>
        <w:tc>
          <w:tcPr>
            <w:tcW w:w="2835" w:type="dxa"/>
          </w:tcPr>
          <w:p>
            <w:pPr>
              <w:pStyle w:val="0"/>
              <w:jc w:val="center"/>
            </w:pPr>
            <w:r>
              <w:rPr>
                <w:sz w:val="20"/>
              </w:rPr>
              <w:t xml:space="preserve">0,4</w:t>
            </w:r>
          </w:p>
        </w:tc>
      </w:tr>
      <w:tr>
        <w:tc>
          <w:tcPr>
            <w:tcW w:w="623" w:type="dxa"/>
          </w:tcPr>
          <w:p>
            <w:pPr>
              <w:pStyle w:val="0"/>
              <w:jc w:val="both"/>
            </w:pPr>
            <w:r>
              <w:rPr>
                <w:sz w:val="20"/>
              </w:rPr>
              <w:t xml:space="preserve">3</w:t>
            </w:r>
          </w:p>
        </w:tc>
        <w:tc>
          <w:tcPr>
            <w:tcW w:w="2664" w:type="dxa"/>
          </w:tcPr>
          <w:p>
            <w:pPr>
              <w:pStyle w:val="0"/>
              <w:jc w:val="both"/>
            </w:pPr>
            <w:r>
              <w:rPr>
                <w:sz w:val="20"/>
              </w:rPr>
              <w:t xml:space="preserve">Нахимовский район</w:t>
            </w:r>
          </w:p>
        </w:tc>
        <w:tc>
          <w:tcPr>
            <w:tcW w:w="1417" w:type="dxa"/>
          </w:tcPr>
          <w:p>
            <w:pPr>
              <w:pStyle w:val="0"/>
              <w:jc w:val="center"/>
            </w:pPr>
            <w:r>
              <w:rPr>
                <w:sz w:val="20"/>
              </w:rPr>
              <w:t xml:space="preserve">21237</w:t>
            </w:r>
          </w:p>
        </w:tc>
        <w:tc>
          <w:tcPr>
            <w:tcW w:w="1531" w:type="dxa"/>
          </w:tcPr>
          <w:p>
            <w:pPr>
              <w:pStyle w:val="0"/>
              <w:jc w:val="center"/>
            </w:pPr>
            <w:r>
              <w:rPr>
                <w:sz w:val="20"/>
              </w:rPr>
              <w:t xml:space="preserve">0,4</w:t>
            </w:r>
          </w:p>
        </w:tc>
        <w:tc>
          <w:tcPr>
            <w:tcW w:w="2835" w:type="dxa"/>
          </w:tcPr>
          <w:p>
            <w:pPr>
              <w:pStyle w:val="0"/>
              <w:jc w:val="center"/>
            </w:pPr>
            <w:r>
              <w:rPr>
                <w:sz w:val="20"/>
              </w:rPr>
              <w:t xml:space="preserve">0,4</w:t>
            </w:r>
          </w:p>
        </w:tc>
      </w:tr>
      <w:tr>
        <w:tc>
          <w:tcPr>
            <w:tcW w:w="623" w:type="dxa"/>
          </w:tcPr>
          <w:p>
            <w:pPr>
              <w:pStyle w:val="0"/>
              <w:jc w:val="both"/>
            </w:pPr>
            <w:r>
              <w:rPr>
                <w:sz w:val="20"/>
              </w:rPr>
              <w:t xml:space="preserve">4</w:t>
            </w:r>
          </w:p>
        </w:tc>
        <w:tc>
          <w:tcPr>
            <w:tcW w:w="2664" w:type="dxa"/>
          </w:tcPr>
          <w:p>
            <w:pPr>
              <w:pStyle w:val="0"/>
              <w:jc w:val="both"/>
            </w:pPr>
            <w:r>
              <w:rPr>
                <w:sz w:val="20"/>
              </w:rPr>
              <w:t xml:space="preserve">Балаклавский район</w:t>
            </w:r>
          </w:p>
        </w:tc>
        <w:tc>
          <w:tcPr>
            <w:tcW w:w="1417" w:type="dxa"/>
          </w:tcPr>
          <w:p>
            <w:pPr>
              <w:pStyle w:val="0"/>
              <w:jc w:val="center"/>
            </w:pPr>
            <w:r>
              <w:rPr>
                <w:sz w:val="20"/>
              </w:rPr>
              <w:t xml:space="preserve">9599</w:t>
            </w:r>
          </w:p>
        </w:tc>
        <w:tc>
          <w:tcPr>
            <w:tcW w:w="1531" w:type="dxa"/>
          </w:tcPr>
          <w:p>
            <w:pPr>
              <w:pStyle w:val="0"/>
              <w:jc w:val="center"/>
            </w:pPr>
            <w:r>
              <w:rPr>
                <w:sz w:val="20"/>
              </w:rPr>
              <w:t xml:space="preserve">0,2</w:t>
            </w:r>
          </w:p>
        </w:tc>
        <w:tc>
          <w:tcPr>
            <w:tcW w:w="2835" w:type="dxa"/>
          </w:tcPr>
          <w:p>
            <w:pPr>
              <w:pStyle w:val="0"/>
              <w:jc w:val="center"/>
            </w:pPr>
            <w:r>
              <w:rPr>
                <w:sz w:val="20"/>
              </w:rPr>
              <w:t xml:space="preserve">0,2</w:t>
            </w:r>
          </w:p>
        </w:tc>
      </w:tr>
      <w:tr>
        <w:tc>
          <w:tcPr>
            <w:tcW w:w="623" w:type="dxa"/>
          </w:tcPr>
          <w:p>
            <w:pPr>
              <w:pStyle w:val="0"/>
              <w:jc w:val="both"/>
            </w:pPr>
            <w:r>
              <w:rPr>
                <w:sz w:val="20"/>
              </w:rPr>
            </w:r>
          </w:p>
        </w:tc>
        <w:tc>
          <w:tcPr>
            <w:tcW w:w="2664" w:type="dxa"/>
          </w:tcPr>
          <w:p>
            <w:pPr>
              <w:pStyle w:val="0"/>
              <w:jc w:val="both"/>
            </w:pPr>
            <w:r>
              <w:rPr>
                <w:sz w:val="20"/>
              </w:rPr>
              <w:t xml:space="preserve">Итого</w:t>
            </w:r>
          </w:p>
        </w:tc>
        <w:tc>
          <w:tcPr>
            <w:tcW w:w="1417" w:type="dxa"/>
          </w:tcPr>
          <w:p>
            <w:pPr>
              <w:pStyle w:val="0"/>
              <w:jc w:val="center"/>
            </w:pPr>
            <w:r>
              <w:rPr>
                <w:sz w:val="20"/>
              </w:rPr>
              <w:t xml:space="preserve">83460</w:t>
            </w:r>
          </w:p>
        </w:tc>
        <w:tc>
          <w:tcPr>
            <w:tcW w:w="1531" w:type="dxa"/>
          </w:tcPr>
          <w:p>
            <w:pPr>
              <w:pStyle w:val="0"/>
              <w:jc w:val="center"/>
            </w:pPr>
            <w:r>
              <w:rPr>
                <w:sz w:val="20"/>
              </w:rPr>
              <w:t xml:space="preserve">1,7</w:t>
            </w:r>
          </w:p>
        </w:tc>
        <w:tc>
          <w:tcPr>
            <w:tcW w:w="2835" w:type="dxa"/>
          </w:tcPr>
          <w:p>
            <w:pPr>
              <w:pStyle w:val="0"/>
              <w:jc w:val="center"/>
            </w:pPr>
            <w:r>
              <w:rPr>
                <w:sz w:val="20"/>
              </w:rPr>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2"/>
        <w:jc w:val="right"/>
      </w:pPr>
      <w:r>
        <w:rPr>
          <w:sz w:val="20"/>
        </w:rPr>
        <w:t xml:space="preserve">Приложение 12</w:t>
      </w:r>
    </w:p>
    <w:p>
      <w:pPr>
        <w:pStyle w:val="0"/>
        <w:jc w:val="center"/>
      </w:pPr>
      <w:r>
        <w:rPr>
          <w:sz w:val="20"/>
        </w:rPr>
      </w:r>
    </w:p>
    <w:p>
      <w:pPr>
        <w:pStyle w:val="2"/>
        <w:jc w:val="center"/>
      </w:pPr>
      <w:r>
        <w:rPr>
          <w:sz w:val="20"/>
        </w:rPr>
        <w:t xml:space="preserve">Ресурсное обеспечение и прогнозная (справочная) оценка</w:t>
      </w:r>
    </w:p>
    <w:p>
      <w:pPr>
        <w:pStyle w:val="2"/>
        <w:jc w:val="center"/>
      </w:pPr>
      <w:r>
        <w:rPr>
          <w:sz w:val="20"/>
        </w:rPr>
        <w:t xml:space="preserve">расходов на реализацию Региональной программы</w:t>
      </w:r>
    </w:p>
    <w:p>
      <w:pPr>
        <w:pStyle w:val="2"/>
        <w:jc w:val="center"/>
      </w:pPr>
      <w:r>
        <w:rPr>
          <w:sz w:val="20"/>
        </w:rPr>
        <w:t xml:space="preserve">"Развитие системы оказания паллиативной медицинской помощи</w:t>
      </w:r>
    </w:p>
    <w:p>
      <w:pPr>
        <w:pStyle w:val="2"/>
        <w:jc w:val="center"/>
      </w:pPr>
      <w:r>
        <w:rPr>
          <w:sz w:val="20"/>
        </w:rPr>
        <w:t xml:space="preserve">в городе Севастополе"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57"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02.03.2023 N 108-ПП)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9"/>
        <w:gridCol w:w="2041"/>
        <w:gridCol w:w="1134"/>
        <w:gridCol w:w="1134"/>
        <w:gridCol w:w="1191"/>
        <w:gridCol w:w="1134"/>
        <w:gridCol w:w="1134"/>
        <w:gridCol w:w="1134"/>
        <w:gridCol w:w="1134"/>
        <w:gridCol w:w="1134"/>
        <w:gridCol w:w="1247"/>
      </w:tblGrid>
      <w:tr>
        <w:tc>
          <w:tcPr>
            <w:tcW w:w="1989" w:type="dxa"/>
            <w:vMerge w:val="restart"/>
          </w:tcPr>
          <w:p>
            <w:pPr>
              <w:pStyle w:val="0"/>
              <w:jc w:val="center"/>
            </w:pPr>
            <w:r>
              <w:rPr>
                <w:sz w:val="20"/>
              </w:rPr>
              <w:t xml:space="preserve">Наименование государственной программы, подпрограммы, мероприятий</w:t>
            </w:r>
          </w:p>
        </w:tc>
        <w:tc>
          <w:tcPr>
            <w:tcW w:w="2041" w:type="dxa"/>
            <w:vMerge w:val="restart"/>
          </w:tcPr>
          <w:p>
            <w:pPr>
              <w:pStyle w:val="0"/>
              <w:jc w:val="center"/>
            </w:pPr>
            <w:r>
              <w:rPr>
                <w:sz w:val="20"/>
              </w:rPr>
              <w:t xml:space="preserve">Источники финансирования</w:t>
            </w:r>
          </w:p>
        </w:tc>
        <w:tc>
          <w:tcPr>
            <w:gridSpan w:val="9"/>
            <w:tcW w:w="10376" w:type="dxa"/>
          </w:tcPr>
          <w:p>
            <w:pPr>
              <w:pStyle w:val="0"/>
              <w:jc w:val="center"/>
            </w:pPr>
            <w:r>
              <w:rPr>
                <w:sz w:val="20"/>
              </w:rPr>
              <w:t xml:space="preserve">Оценка расходов по годам реализации государственной программы (тыс. рублей)</w:t>
            </w:r>
          </w:p>
        </w:tc>
      </w:tr>
      <w:tr>
        <w:tc>
          <w:tcPr>
            <w:vMerge w:val="continue"/>
          </w:tcPr>
          <w:p/>
        </w:tc>
        <w:tc>
          <w:tcPr>
            <w:vMerge w:val="continue"/>
          </w:tcPr>
          <w:p/>
        </w:tc>
        <w:tc>
          <w:tcPr>
            <w:tcW w:w="1134" w:type="dxa"/>
          </w:tcPr>
          <w:p>
            <w:pPr>
              <w:pStyle w:val="0"/>
              <w:jc w:val="center"/>
            </w:pPr>
            <w:r>
              <w:rPr>
                <w:sz w:val="20"/>
              </w:rPr>
              <w:t xml:space="preserve">2018 год</w:t>
            </w:r>
          </w:p>
        </w:tc>
        <w:tc>
          <w:tcPr>
            <w:tcW w:w="1134" w:type="dxa"/>
          </w:tcPr>
          <w:p>
            <w:pPr>
              <w:pStyle w:val="0"/>
              <w:jc w:val="center"/>
            </w:pPr>
            <w:r>
              <w:rPr>
                <w:sz w:val="20"/>
              </w:rPr>
              <w:t xml:space="preserve">2019 год</w:t>
            </w:r>
          </w:p>
        </w:tc>
        <w:tc>
          <w:tcPr>
            <w:tcW w:w="1191" w:type="dxa"/>
          </w:tcPr>
          <w:p>
            <w:pPr>
              <w:pStyle w:val="0"/>
              <w:jc w:val="center"/>
            </w:pPr>
            <w:r>
              <w:rPr>
                <w:sz w:val="20"/>
              </w:rPr>
              <w:t xml:space="preserve">2020 год</w:t>
            </w:r>
          </w:p>
        </w:tc>
        <w:tc>
          <w:tcPr>
            <w:tcW w:w="1134" w:type="dxa"/>
          </w:tcPr>
          <w:p>
            <w:pPr>
              <w:pStyle w:val="0"/>
              <w:jc w:val="center"/>
            </w:pPr>
            <w:r>
              <w:rPr>
                <w:sz w:val="20"/>
              </w:rPr>
              <w:t xml:space="preserve">2021 год</w:t>
            </w:r>
          </w:p>
        </w:tc>
        <w:tc>
          <w:tcPr>
            <w:tcW w:w="1134" w:type="dxa"/>
          </w:tcPr>
          <w:p>
            <w:pPr>
              <w:pStyle w:val="0"/>
              <w:jc w:val="center"/>
            </w:pPr>
            <w:r>
              <w:rPr>
                <w:sz w:val="20"/>
              </w:rPr>
              <w:t xml:space="preserve">2022 год</w:t>
            </w:r>
          </w:p>
        </w:tc>
        <w:tc>
          <w:tcPr>
            <w:tcW w:w="1134" w:type="dxa"/>
          </w:tcPr>
          <w:p>
            <w:pPr>
              <w:pStyle w:val="0"/>
              <w:jc w:val="center"/>
            </w:pPr>
            <w:r>
              <w:rPr>
                <w:sz w:val="20"/>
              </w:rPr>
              <w:t xml:space="preserve">2023 год</w:t>
            </w:r>
          </w:p>
        </w:tc>
        <w:tc>
          <w:tcPr>
            <w:tcW w:w="1134" w:type="dxa"/>
          </w:tcPr>
          <w:p>
            <w:pPr>
              <w:pStyle w:val="0"/>
              <w:jc w:val="center"/>
            </w:pPr>
            <w:r>
              <w:rPr>
                <w:sz w:val="20"/>
              </w:rPr>
              <w:t xml:space="preserve">2024 год</w:t>
            </w:r>
          </w:p>
        </w:tc>
        <w:tc>
          <w:tcPr>
            <w:tcW w:w="1134" w:type="dxa"/>
          </w:tcPr>
          <w:p>
            <w:pPr>
              <w:pStyle w:val="0"/>
              <w:jc w:val="center"/>
            </w:pPr>
            <w:r>
              <w:rPr>
                <w:sz w:val="20"/>
              </w:rPr>
              <w:t xml:space="preserve">2025 год</w:t>
            </w:r>
          </w:p>
        </w:tc>
        <w:tc>
          <w:tcPr>
            <w:tcW w:w="1247" w:type="dxa"/>
          </w:tcPr>
          <w:p>
            <w:pPr>
              <w:pStyle w:val="0"/>
              <w:jc w:val="center"/>
            </w:pPr>
            <w:r>
              <w:rPr>
                <w:sz w:val="20"/>
              </w:rPr>
              <w:t xml:space="preserve">Всего за 2017 - 2024 годы</w:t>
            </w:r>
          </w:p>
        </w:tc>
      </w:tr>
      <w:tr>
        <w:tc>
          <w:tcPr>
            <w:tcW w:w="1989" w:type="dxa"/>
            <w:vMerge w:val="restart"/>
          </w:tcPr>
          <w:p>
            <w:pPr>
              <w:pStyle w:val="0"/>
              <w:jc w:val="both"/>
            </w:pPr>
            <w:r>
              <w:rPr>
                <w:sz w:val="20"/>
              </w:rPr>
              <w:t xml:space="preserve">Развитие паллиативной медицинской помощи</w:t>
            </w:r>
          </w:p>
        </w:tc>
        <w:tc>
          <w:tcPr>
            <w:tcW w:w="2041" w:type="dxa"/>
          </w:tcPr>
          <w:p>
            <w:pPr>
              <w:pStyle w:val="0"/>
              <w:jc w:val="both"/>
            </w:pPr>
            <w:r>
              <w:rPr>
                <w:sz w:val="20"/>
              </w:rPr>
              <w:t xml:space="preserve">Всего</w:t>
            </w:r>
          </w:p>
        </w:tc>
        <w:tc>
          <w:tcPr>
            <w:tcW w:w="1134" w:type="dxa"/>
          </w:tcPr>
          <w:p>
            <w:pPr>
              <w:pStyle w:val="0"/>
              <w:jc w:val="center"/>
            </w:pPr>
            <w:r>
              <w:rPr>
                <w:sz w:val="20"/>
              </w:rPr>
              <w:t xml:space="preserve">19106,1</w:t>
            </w:r>
          </w:p>
        </w:tc>
        <w:tc>
          <w:tcPr>
            <w:tcW w:w="1134" w:type="dxa"/>
          </w:tcPr>
          <w:p>
            <w:pPr>
              <w:pStyle w:val="0"/>
              <w:jc w:val="center"/>
            </w:pPr>
            <w:r>
              <w:rPr>
                <w:sz w:val="20"/>
              </w:rPr>
              <w:t xml:space="preserve">17207,7</w:t>
            </w:r>
          </w:p>
        </w:tc>
        <w:tc>
          <w:tcPr>
            <w:tcW w:w="1191" w:type="dxa"/>
          </w:tcPr>
          <w:p>
            <w:pPr>
              <w:pStyle w:val="0"/>
              <w:jc w:val="center"/>
            </w:pPr>
            <w:r>
              <w:rPr>
                <w:sz w:val="20"/>
              </w:rPr>
              <w:t xml:space="preserve">27244,0</w:t>
            </w:r>
          </w:p>
        </w:tc>
        <w:tc>
          <w:tcPr>
            <w:tcW w:w="1134" w:type="dxa"/>
          </w:tcPr>
          <w:p>
            <w:pPr>
              <w:pStyle w:val="0"/>
              <w:jc w:val="center"/>
            </w:pPr>
            <w:r>
              <w:rPr>
                <w:sz w:val="20"/>
              </w:rPr>
              <w:t xml:space="preserve">18507,8</w:t>
            </w:r>
          </w:p>
        </w:tc>
        <w:tc>
          <w:tcPr>
            <w:tcW w:w="1134" w:type="dxa"/>
          </w:tcPr>
          <w:p>
            <w:pPr>
              <w:pStyle w:val="0"/>
              <w:jc w:val="center"/>
            </w:pPr>
            <w:r>
              <w:rPr>
                <w:sz w:val="20"/>
              </w:rPr>
              <w:t xml:space="preserve">15790,1</w:t>
            </w:r>
          </w:p>
        </w:tc>
        <w:tc>
          <w:tcPr>
            <w:tcW w:w="1134" w:type="dxa"/>
          </w:tcPr>
          <w:p>
            <w:pPr>
              <w:pStyle w:val="0"/>
              <w:jc w:val="center"/>
            </w:pPr>
            <w:r>
              <w:rPr>
                <w:sz w:val="20"/>
              </w:rPr>
              <w:t xml:space="preserve">15714,4</w:t>
            </w:r>
          </w:p>
        </w:tc>
        <w:tc>
          <w:tcPr>
            <w:tcW w:w="1134" w:type="dxa"/>
          </w:tcPr>
          <w:p>
            <w:pPr>
              <w:pStyle w:val="0"/>
              <w:jc w:val="center"/>
            </w:pPr>
            <w:r>
              <w:rPr>
                <w:sz w:val="20"/>
              </w:rPr>
              <w:t xml:space="preserve">15714,4</w:t>
            </w:r>
          </w:p>
        </w:tc>
        <w:tc>
          <w:tcPr>
            <w:tcW w:w="1134" w:type="dxa"/>
          </w:tcPr>
          <w:p>
            <w:pPr>
              <w:pStyle w:val="0"/>
              <w:jc w:val="center"/>
            </w:pPr>
            <w:r>
              <w:rPr>
                <w:sz w:val="20"/>
              </w:rPr>
              <w:t xml:space="preserve">15748,2</w:t>
            </w:r>
          </w:p>
        </w:tc>
        <w:tc>
          <w:tcPr>
            <w:tcW w:w="1247" w:type="dxa"/>
          </w:tcPr>
          <w:p>
            <w:pPr>
              <w:pStyle w:val="0"/>
              <w:jc w:val="center"/>
            </w:pPr>
            <w:r>
              <w:rPr>
                <w:sz w:val="20"/>
              </w:rPr>
              <w:t xml:space="preserve">145032,7</w:t>
            </w:r>
          </w:p>
        </w:tc>
      </w:tr>
      <w:tr>
        <w:tc>
          <w:tcPr>
            <w:vMerge w:val="continue"/>
          </w:tcPr>
          <w:p/>
        </w:tc>
        <w:tc>
          <w:tcPr>
            <w:tcW w:w="2041" w:type="dxa"/>
          </w:tcPr>
          <w:p>
            <w:pPr>
              <w:pStyle w:val="0"/>
              <w:jc w:val="both"/>
            </w:pPr>
            <w:r>
              <w:rPr>
                <w:sz w:val="20"/>
              </w:rPr>
              <w:t xml:space="preserve">федеральный бюджет (ФЦП)</w:t>
            </w:r>
          </w:p>
        </w:tc>
        <w:tc>
          <w:tcPr>
            <w:tcW w:w="1134" w:type="dxa"/>
          </w:tcPr>
          <w:p>
            <w:pPr>
              <w:pStyle w:val="0"/>
              <w:jc w:val="center"/>
            </w:pPr>
            <w:r>
              <w:rPr>
                <w:sz w:val="20"/>
              </w:rPr>
              <w:t xml:space="preserve">0,0</w:t>
            </w:r>
          </w:p>
        </w:tc>
        <w:tc>
          <w:tcPr>
            <w:tcW w:w="1134" w:type="dxa"/>
          </w:tcPr>
          <w:p>
            <w:pPr>
              <w:pStyle w:val="0"/>
              <w:jc w:val="center"/>
            </w:pPr>
            <w:r>
              <w:rPr>
                <w:sz w:val="20"/>
              </w:rPr>
              <w:t xml:space="preserve">0,0</w:t>
            </w:r>
          </w:p>
        </w:tc>
        <w:tc>
          <w:tcPr>
            <w:tcW w:w="1191" w:type="dxa"/>
          </w:tcPr>
          <w:p>
            <w:pPr>
              <w:pStyle w:val="0"/>
              <w:jc w:val="center"/>
            </w:pPr>
            <w:r>
              <w:rPr>
                <w:sz w:val="20"/>
              </w:rPr>
              <w:t xml:space="preserve">0,0</w:t>
            </w:r>
          </w:p>
        </w:tc>
        <w:tc>
          <w:tcPr>
            <w:tcW w:w="1134" w:type="dxa"/>
          </w:tcPr>
          <w:p>
            <w:pPr>
              <w:pStyle w:val="0"/>
              <w:jc w:val="center"/>
            </w:pPr>
            <w:r>
              <w:rPr>
                <w:sz w:val="20"/>
              </w:rPr>
              <w:t xml:space="preserve">0,0</w:t>
            </w:r>
          </w:p>
        </w:tc>
        <w:tc>
          <w:tcPr>
            <w:tcW w:w="1134" w:type="dxa"/>
          </w:tcPr>
          <w:p>
            <w:pPr>
              <w:pStyle w:val="0"/>
              <w:jc w:val="center"/>
            </w:pPr>
            <w:r>
              <w:rPr>
                <w:sz w:val="20"/>
              </w:rPr>
              <w:t xml:space="preserve">0,0</w:t>
            </w:r>
          </w:p>
        </w:tc>
        <w:tc>
          <w:tcPr>
            <w:tcW w:w="1134" w:type="dxa"/>
          </w:tcPr>
          <w:p>
            <w:pPr>
              <w:pStyle w:val="0"/>
              <w:jc w:val="center"/>
            </w:pPr>
            <w:r>
              <w:rPr>
                <w:sz w:val="20"/>
              </w:rPr>
              <w:t xml:space="preserve">0,0</w:t>
            </w:r>
          </w:p>
        </w:tc>
        <w:tc>
          <w:tcPr>
            <w:tcW w:w="1134" w:type="dxa"/>
          </w:tcPr>
          <w:p>
            <w:pPr>
              <w:pStyle w:val="0"/>
              <w:jc w:val="center"/>
            </w:pPr>
            <w:r>
              <w:rPr>
                <w:sz w:val="20"/>
              </w:rPr>
              <w:t xml:space="preserve">0,0</w:t>
            </w:r>
          </w:p>
        </w:tc>
        <w:tc>
          <w:tcPr>
            <w:tcW w:w="1134" w:type="dxa"/>
          </w:tcPr>
          <w:p>
            <w:pPr>
              <w:pStyle w:val="0"/>
              <w:jc w:val="center"/>
            </w:pPr>
            <w:r>
              <w:rPr>
                <w:sz w:val="20"/>
              </w:rPr>
              <w:t xml:space="preserve">0,0</w:t>
            </w:r>
          </w:p>
        </w:tc>
        <w:tc>
          <w:tcPr>
            <w:tcW w:w="1247" w:type="dxa"/>
          </w:tcPr>
          <w:p>
            <w:pPr>
              <w:pStyle w:val="0"/>
              <w:jc w:val="center"/>
            </w:pPr>
            <w:r>
              <w:rPr>
                <w:sz w:val="20"/>
              </w:rPr>
              <w:t xml:space="preserve">0,0</w:t>
            </w:r>
          </w:p>
        </w:tc>
      </w:tr>
      <w:tr>
        <w:tc>
          <w:tcPr>
            <w:vMerge w:val="continue"/>
          </w:tcPr>
          <w:p/>
        </w:tc>
        <w:tc>
          <w:tcPr>
            <w:tcW w:w="2041" w:type="dxa"/>
          </w:tcPr>
          <w:p>
            <w:pPr>
              <w:pStyle w:val="0"/>
              <w:jc w:val="both"/>
            </w:pPr>
            <w:r>
              <w:rPr>
                <w:sz w:val="20"/>
              </w:rPr>
              <w:t xml:space="preserve">федеральный бюджет (др. источники)</w:t>
            </w:r>
          </w:p>
        </w:tc>
        <w:tc>
          <w:tcPr>
            <w:tcW w:w="1134" w:type="dxa"/>
          </w:tcPr>
          <w:p>
            <w:pPr>
              <w:pStyle w:val="0"/>
              <w:jc w:val="center"/>
            </w:pPr>
            <w:r>
              <w:rPr>
                <w:sz w:val="20"/>
              </w:rPr>
              <w:t xml:space="preserve">19106,1</w:t>
            </w:r>
          </w:p>
        </w:tc>
        <w:tc>
          <w:tcPr>
            <w:tcW w:w="1134" w:type="dxa"/>
          </w:tcPr>
          <w:p>
            <w:pPr>
              <w:pStyle w:val="0"/>
              <w:jc w:val="center"/>
            </w:pPr>
            <w:r>
              <w:rPr>
                <w:sz w:val="20"/>
              </w:rPr>
              <w:t xml:space="preserve">16347,3</w:t>
            </w:r>
          </w:p>
        </w:tc>
        <w:tc>
          <w:tcPr>
            <w:tcW w:w="1191" w:type="dxa"/>
          </w:tcPr>
          <w:p>
            <w:pPr>
              <w:pStyle w:val="0"/>
              <w:jc w:val="center"/>
            </w:pPr>
            <w:r>
              <w:rPr>
                <w:sz w:val="20"/>
              </w:rPr>
              <w:t xml:space="preserve">25881,8</w:t>
            </w:r>
          </w:p>
        </w:tc>
        <w:tc>
          <w:tcPr>
            <w:tcW w:w="1134" w:type="dxa"/>
          </w:tcPr>
          <w:p>
            <w:pPr>
              <w:pStyle w:val="0"/>
              <w:jc w:val="center"/>
            </w:pPr>
            <w:r>
              <w:rPr>
                <w:sz w:val="20"/>
              </w:rPr>
              <w:t xml:space="preserve">17582,3</w:t>
            </w:r>
          </w:p>
        </w:tc>
        <w:tc>
          <w:tcPr>
            <w:tcW w:w="1134" w:type="dxa"/>
          </w:tcPr>
          <w:p>
            <w:pPr>
              <w:pStyle w:val="0"/>
              <w:jc w:val="center"/>
            </w:pPr>
            <w:r>
              <w:rPr>
                <w:sz w:val="20"/>
              </w:rPr>
              <w:t xml:space="preserve">15000,6</w:t>
            </w:r>
          </w:p>
        </w:tc>
        <w:tc>
          <w:tcPr>
            <w:tcW w:w="1134" w:type="dxa"/>
          </w:tcPr>
          <w:p>
            <w:pPr>
              <w:pStyle w:val="0"/>
              <w:jc w:val="center"/>
            </w:pPr>
            <w:r>
              <w:rPr>
                <w:sz w:val="20"/>
              </w:rPr>
              <w:t xml:space="preserve">14928,7</w:t>
            </w:r>
          </w:p>
        </w:tc>
        <w:tc>
          <w:tcPr>
            <w:tcW w:w="1134" w:type="dxa"/>
          </w:tcPr>
          <w:p>
            <w:pPr>
              <w:pStyle w:val="0"/>
              <w:jc w:val="center"/>
            </w:pPr>
            <w:r>
              <w:rPr>
                <w:sz w:val="20"/>
              </w:rPr>
              <w:t xml:space="preserve">14928,7</w:t>
            </w:r>
          </w:p>
        </w:tc>
        <w:tc>
          <w:tcPr>
            <w:tcW w:w="1134" w:type="dxa"/>
          </w:tcPr>
          <w:p>
            <w:pPr>
              <w:pStyle w:val="0"/>
              <w:jc w:val="center"/>
            </w:pPr>
            <w:r>
              <w:rPr>
                <w:sz w:val="20"/>
              </w:rPr>
              <w:t xml:space="preserve">14645,8</w:t>
            </w:r>
          </w:p>
        </w:tc>
        <w:tc>
          <w:tcPr>
            <w:tcW w:w="1247" w:type="dxa"/>
          </w:tcPr>
          <w:p>
            <w:pPr>
              <w:pStyle w:val="0"/>
              <w:jc w:val="center"/>
            </w:pPr>
            <w:r>
              <w:rPr>
                <w:sz w:val="20"/>
              </w:rPr>
              <w:t xml:space="preserve">138421,3</w:t>
            </w:r>
          </w:p>
        </w:tc>
      </w:tr>
      <w:tr>
        <w:tc>
          <w:tcPr>
            <w:vMerge w:val="continue"/>
          </w:tcPr>
          <w:p/>
        </w:tc>
        <w:tc>
          <w:tcPr>
            <w:tcW w:w="2041" w:type="dxa"/>
          </w:tcPr>
          <w:p>
            <w:pPr>
              <w:pStyle w:val="0"/>
              <w:jc w:val="both"/>
            </w:pPr>
            <w:r>
              <w:rPr>
                <w:sz w:val="20"/>
              </w:rPr>
              <w:t xml:space="preserve">бюджет города Севастополя</w:t>
            </w:r>
          </w:p>
        </w:tc>
        <w:tc>
          <w:tcPr>
            <w:tcW w:w="1134" w:type="dxa"/>
          </w:tcPr>
          <w:p>
            <w:pPr>
              <w:pStyle w:val="0"/>
              <w:jc w:val="center"/>
            </w:pPr>
            <w:r>
              <w:rPr>
                <w:sz w:val="20"/>
              </w:rPr>
              <w:t xml:space="preserve">0,0</w:t>
            </w:r>
          </w:p>
        </w:tc>
        <w:tc>
          <w:tcPr>
            <w:tcW w:w="1134" w:type="dxa"/>
          </w:tcPr>
          <w:p>
            <w:pPr>
              <w:pStyle w:val="0"/>
              <w:jc w:val="center"/>
            </w:pPr>
            <w:r>
              <w:rPr>
                <w:sz w:val="20"/>
              </w:rPr>
              <w:t xml:space="preserve">860,4</w:t>
            </w:r>
          </w:p>
        </w:tc>
        <w:tc>
          <w:tcPr>
            <w:tcW w:w="1191" w:type="dxa"/>
          </w:tcPr>
          <w:p>
            <w:pPr>
              <w:pStyle w:val="0"/>
              <w:jc w:val="center"/>
            </w:pPr>
            <w:r>
              <w:rPr>
                <w:sz w:val="20"/>
              </w:rPr>
              <w:t xml:space="preserve">1362,2</w:t>
            </w:r>
          </w:p>
        </w:tc>
        <w:tc>
          <w:tcPr>
            <w:tcW w:w="1134" w:type="dxa"/>
          </w:tcPr>
          <w:p>
            <w:pPr>
              <w:pStyle w:val="0"/>
              <w:jc w:val="center"/>
            </w:pPr>
            <w:r>
              <w:rPr>
                <w:sz w:val="20"/>
              </w:rPr>
              <w:t xml:space="preserve">925,5</w:t>
            </w:r>
          </w:p>
        </w:tc>
        <w:tc>
          <w:tcPr>
            <w:tcW w:w="1134" w:type="dxa"/>
          </w:tcPr>
          <w:p>
            <w:pPr>
              <w:pStyle w:val="0"/>
              <w:jc w:val="center"/>
            </w:pPr>
            <w:r>
              <w:rPr>
                <w:sz w:val="20"/>
              </w:rPr>
              <w:t xml:space="preserve">789,5</w:t>
            </w:r>
          </w:p>
        </w:tc>
        <w:tc>
          <w:tcPr>
            <w:tcW w:w="1134" w:type="dxa"/>
          </w:tcPr>
          <w:p>
            <w:pPr>
              <w:pStyle w:val="0"/>
              <w:jc w:val="center"/>
            </w:pPr>
            <w:r>
              <w:rPr>
                <w:sz w:val="20"/>
              </w:rPr>
              <w:t xml:space="preserve">785,7</w:t>
            </w:r>
          </w:p>
        </w:tc>
        <w:tc>
          <w:tcPr>
            <w:tcW w:w="1134" w:type="dxa"/>
          </w:tcPr>
          <w:p>
            <w:pPr>
              <w:pStyle w:val="0"/>
              <w:jc w:val="center"/>
            </w:pPr>
            <w:r>
              <w:rPr>
                <w:sz w:val="20"/>
              </w:rPr>
              <w:t xml:space="preserve">785,7</w:t>
            </w:r>
          </w:p>
        </w:tc>
        <w:tc>
          <w:tcPr>
            <w:tcW w:w="1134" w:type="dxa"/>
          </w:tcPr>
          <w:p>
            <w:pPr>
              <w:pStyle w:val="0"/>
              <w:jc w:val="center"/>
            </w:pPr>
            <w:r>
              <w:rPr>
                <w:sz w:val="20"/>
              </w:rPr>
              <w:t xml:space="preserve">1102,4</w:t>
            </w:r>
          </w:p>
        </w:tc>
        <w:tc>
          <w:tcPr>
            <w:tcW w:w="1247" w:type="dxa"/>
          </w:tcPr>
          <w:p>
            <w:pPr>
              <w:pStyle w:val="0"/>
              <w:jc w:val="center"/>
            </w:pPr>
            <w:r>
              <w:rPr>
                <w:sz w:val="20"/>
              </w:rPr>
              <w:t xml:space="preserve">6611,4</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11</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bookmarkStart w:id="30585" w:name="P30585"/>
    <w:bookmarkEnd w:id="30585"/>
    <w:p>
      <w:pPr>
        <w:pStyle w:val="2"/>
        <w:jc w:val="center"/>
      </w:pPr>
      <w:r>
        <w:rPr>
          <w:sz w:val="20"/>
        </w:rPr>
        <w:t xml:space="preserve">Региональная программа "Модернизация первичного звена</w:t>
      </w:r>
    </w:p>
    <w:p>
      <w:pPr>
        <w:pStyle w:val="2"/>
        <w:jc w:val="center"/>
      </w:pPr>
      <w:r>
        <w:rPr>
          <w:sz w:val="20"/>
        </w:rPr>
        <w:t xml:space="preserve">здравоохранения города Севастополя"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Севастополя от 15.06.2022 </w:t>
            </w:r>
            <w:hyperlink w:history="0" r:id="rId858" w:tooltip="Постановление Правительства Севастополя от 15.06.2022 N 25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251-ПП</w:t>
              </w:r>
            </w:hyperlink>
            <w:r>
              <w:rPr>
                <w:sz w:val="20"/>
                <w:color w:val="392c69"/>
              </w:rPr>
              <w:t xml:space="preserve">,</w:t>
            </w:r>
          </w:p>
          <w:p>
            <w:pPr>
              <w:pStyle w:val="0"/>
              <w:jc w:val="center"/>
            </w:pPr>
            <w:r>
              <w:rPr>
                <w:sz w:val="20"/>
                <w:color w:val="392c69"/>
              </w:rPr>
              <w:t xml:space="preserve">от 31.08.2022 </w:t>
            </w:r>
            <w:hyperlink w:history="0" r:id="rId859" w:tooltip="Постановление Правительства Севастополя от 31.08.2022 N 403-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403-ПП</w:t>
              </w:r>
            </w:hyperlink>
            <w:r>
              <w:rPr>
                <w:sz w:val="20"/>
                <w:color w:val="392c69"/>
              </w:rPr>
              <w:t xml:space="preserve">, от 08.12.2022 </w:t>
            </w:r>
            <w:hyperlink w:history="0" r:id="rId860"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638-ПП</w:t>
              </w:r>
            </w:hyperlink>
            <w:r>
              <w:rPr>
                <w:sz w:val="20"/>
                <w:color w:val="392c69"/>
              </w:rPr>
              <w:t xml:space="preserve">, от 02.03.2023 </w:t>
            </w:r>
            <w:hyperlink w:history="0" r:id="rId861"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108-ПП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2"/>
        <w:jc w:val="center"/>
      </w:pPr>
      <w:r>
        <w:rPr>
          <w:sz w:val="20"/>
        </w:rPr>
        <w:t xml:space="preserve">Общие сведения</w:t>
      </w:r>
    </w:p>
    <w:p>
      <w:pPr>
        <w:pStyle w:val="0"/>
        <w:jc w:val="center"/>
      </w:pPr>
      <w:r>
        <w:rPr>
          <w:sz w:val="20"/>
        </w:rPr>
      </w:r>
    </w:p>
    <w:p>
      <w:pPr>
        <w:pStyle w:val="0"/>
        <w:ind w:firstLine="540"/>
        <w:jc w:val="both"/>
      </w:pPr>
      <w:r>
        <w:rPr>
          <w:sz w:val="20"/>
        </w:rPr>
        <w:t xml:space="preserve">Город Севастополь входит в состав Южного федерального округа. Общая численность населения города Севастополя на 01.01.2020 (по данным Росстата) составляет 449,158 тыс. человек, в том числе детей (0 - 17 лет) - 83,460 тыс. человек.</w:t>
      </w:r>
    </w:p>
    <w:p>
      <w:pPr>
        <w:pStyle w:val="0"/>
        <w:spacing w:before="200" w:line-rule="auto"/>
        <w:ind w:firstLine="540"/>
        <w:jc w:val="both"/>
      </w:pPr>
      <w:r>
        <w:rPr>
          <w:sz w:val="20"/>
        </w:rPr>
        <w:t xml:space="preserve">Данные (паспорта медицинских организаций, справочники и отчеты по населенным пунктам (далее - паспорт МО)), размещенные в информационной системе по адресу: https://pasreg.rosminzdrav.ru, о численности населения города Севастополя соответствуют численности населения на 01.01.2020 по данным Росстата.</w:t>
      </w:r>
    </w:p>
    <w:p>
      <w:pPr>
        <w:pStyle w:val="0"/>
        <w:spacing w:before="200" w:line-rule="auto"/>
        <w:ind w:firstLine="540"/>
        <w:jc w:val="both"/>
      </w:pPr>
      <w:r>
        <w:rPr>
          <w:sz w:val="20"/>
        </w:rPr>
        <w:t xml:space="preserve">Муниципальное устройство города Севастополя включает в себя 10 муниципальных округов.</w:t>
      </w:r>
    </w:p>
    <w:p>
      <w:pPr>
        <w:pStyle w:val="0"/>
        <w:spacing w:before="200" w:line-rule="auto"/>
        <w:ind w:firstLine="540"/>
        <w:jc w:val="both"/>
      </w:pPr>
      <w:r>
        <w:rPr>
          <w:sz w:val="20"/>
        </w:rPr>
        <w:t xml:space="preserve">У муниципальных округов города Севастополя отсутствуют полномочия на реализацию мероприятий в сфере охраны здоровья. Все медицинские организации подведомственны Департаменту здравоохранения города Севастополя.</w:t>
      </w:r>
    </w:p>
    <w:p>
      <w:pPr>
        <w:pStyle w:val="0"/>
        <w:spacing w:before="200" w:line-rule="auto"/>
        <w:ind w:firstLine="540"/>
        <w:jc w:val="both"/>
      </w:pPr>
      <w:r>
        <w:rPr>
          <w:sz w:val="20"/>
        </w:rPr>
        <w:t xml:space="preserve">В соответствии с приложением N 5 к методическим рекомендациям по разработке региональных программ модернизации первичного звена здравоохранения Минздрава России (далее - методические рекомендации) в городе Севастополе подготовлены:</w:t>
      </w:r>
    </w:p>
    <w:p>
      <w:pPr>
        <w:pStyle w:val="0"/>
        <w:spacing w:before="200" w:line-rule="auto"/>
        <w:ind w:firstLine="540"/>
        <w:jc w:val="both"/>
      </w:pPr>
      <w:r>
        <w:rPr>
          <w:sz w:val="20"/>
        </w:rPr>
        <w:t xml:space="preserve">- блок-схема действующей сети медицинских организаций города Севастополя и их структурных подразделений, в том числе оказывающих первичную медико-санитарную помощь (далее - ПМСП), по состоянию на текущий момент (а также с учетом сведений, представленных по итогам 2019 года в формах федерального статистического наблюдения N 30 "Сведения о медицинской организации" и N 47 "Сведения о сети и деятельности медицинских организаций") в соответствии с номенклатурой медицинских организаций;</w:t>
      </w:r>
    </w:p>
    <w:p>
      <w:pPr>
        <w:pStyle w:val="0"/>
        <w:spacing w:before="200" w:line-rule="auto"/>
        <w:ind w:firstLine="540"/>
        <w:jc w:val="both"/>
      </w:pPr>
      <w:r>
        <w:rPr>
          <w:sz w:val="20"/>
        </w:rPr>
        <w:t xml:space="preserve">- карты-схемы размещения медицинских организаций (центральных районных больниц (далее - ЦРБ), районных больниц (далее - РБ), участковых больниц (далее - УБ)) с зонированием территории города Севастополя в зависимости от обслуживаемой территории в рамках оказания ПМСП, с формированием соответствующего перечня медицинских организаций и указанием зданий медицинских организаций, требующих сноса, реконструкции, капитального ремонта и наличия вертолетных площадок;</w:t>
      </w:r>
    </w:p>
    <w:p>
      <w:pPr>
        <w:pStyle w:val="0"/>
        <w:spacing w:before="200" w:line-rule="auto"/>
        <w:ind w:firstLine="540"/>
        <w:jc w:val="both"/>
      </w:pPr>
      <w:r>
        <w:rPr>
          <w:sz w:val="20"/>
        </w:rPr>
        <w:t xml:space="preserve">- полные комплекты карт-схем размещения медицинских организаций. Таким образом, комплекты карт-схем размещения медицинских организаций города Севастополя представлены в разрезе всех муниципальных районов и городских округов.</w:t>
      </w:r>
    </w:p>
    <w:p>
      <w:pPr>
        <w:pStyle w:val="0"/>
        <w:spacing w:before="200" w:line-rule="auto"/>
        <w:ind w:firstLine="540"/>
        <w:jc w:val="both"/>
      </w:pPr>
      <w:r>
        <w:rPr>
          <w:sz w:val="20"/>
        </w:rPr>
        <w:t xml:space="preserve">На территории города Севастополя находится 43 населенных пункта. Населенные пункты с нулевой численностью населения и населенные пункты, не имеющие прикрепления к медицинской организации, структурному подразделению медицинской организации, на территории города Севастополя отсутствуют.</w:t>
      </w:r>
    </w:p>
    <w:p>
      <w:pPr>
        <w:pStyle w:val="0"/>
        <w:spacing w:before="200" w:line-rule="auto"/>
        <w:ind w:firstLine="540"/>
        <w:jc w:val="both"/>
      </w:pPr>
      <w:r>
        <w:rPr>
          <w:sz w:val="20"/>
        </w:rPr>
        <w:t xml:space="preserve">Анализ сети медицинских организаций и структурных подразделений города Севастополя показывает, что сведения по сети медицинских организаций и структурных подразделений, внесенных в паспорт медицинских организаций и представленных на картах-схемах размещения медицинских организаций по городу Севастополю, идентичны данным федерального статистического наблюдения (далее - ФСН) за 2019 год.</w:t>
      </w:r>
    </w:p>
    <w:p>
      <w:pPr>
        <w:pStyle w:val="0"/>
        <w:ind w:firstLine="540"/>
        <w:jc w:val="both"/>
      </w:pPr>
      <w:r>
        <w:rPr>
          <w:sz w:val="20"/>
        </w:rPr>
      </w:r>
    </w:p>
    <w:p>
      <w:pPr>
        <w:pStyle w:val="2"/>
        <w:outlineLvl w:val="2"/>
        <w:jc w:val="center"/>
      </w:pPr>
      <w:r>
        <w:rPr>
          <w:sz w:val="20"/>
        </w:rPr>
        <w:t xml:space="preserve">Анализ территориального планирования доступности оказания</w:t>
      </w:r>
    </w:p>
    <w:p>
      <w:pPr>
        <w:pStyle w:val="2"/>
        <w:jc w:val="center"/>
      </w:pPr>
      <w:r>
        <w:rPr>
          <w:sz w:val="20"/>
        </w:rPr>
        <w:t xml:space="preserve">первичной медико-санитарной помощи в рамках планирования</w:t>
      </w:r>
    </w:p>
    <w:p>
      <w:pPr>
        <w:pStyle w:val="2"/>
        <w:jc w:val="center"/>
      </w:pPr>
      <w:r>
        <w:rPr>
          <w:sz w:val="20"/>
        </w:rPr>
        <w:t xml:space="preserve">мероприятий региональной программы модернизации</w:t>
      </w:r>
    </w:p>
    <w:p>
      <w:pPr>
        <w:pStyle w:val="2"/>
        <w:jc w:val="center"/>
      </w:pPr>
      <w:r>
        <w:rPr>
          <w:sz w:val="20"/>
        </w:rPr>
        <w:t xml:space="preserve">первичного звена</w:t>
      </w:r>
    </w:p>
    <w:p>
      <w:pPr>
        <w:pStyle w:val="0"/>
        <w:jc w:val="center"/>
      </w:pPr>
      <w:r>
        <w:rPr>
          <w:sz w:val="20"/>
        </w:rPr>
      </w:r>
    </w:p>
    <w:p>
      <w:pPr>
        <w:pStyle w:val="0"/>
        <w:ind w:firstLine="540"/>
        <w:jc w:val="both"/>
      </w:pPr>
      <w:r>
        <w:rPr>
          <w:sz w:val="20"/>
        </w:rPr>
        <w:t xml:space="preserve">Анализ территориального планирования оказания медицинской помощи имеющейся численности населения в рамках действующей сети медицинских организаций, входящих в структурные подразделения, показал, что в городе Севастополе отсутствуют медицинские организации, входящие в структурные подразделения, обслуживающие население большей или меньшей численности, рекомендованной в рамках </w:t>
      </w:r>
      <w:hyperlink w:history="0" r:id="rId862" w:tooltip="Приказ Минздрава России от 27.02.2016 N 132н &quot;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quot; (Зарегистрировано в Минюсте России 22.03.2016 N 41485) {КонсультантПлюс}">
        <w:r>
          <w:rPr>
            <w:sz w:val="20"/>
            <w:color w:val="0000ff"/>
          </w:rPr>
          <w:t xml:space="preserve">приказа</w:t>
        </w:r>
      </w:hyperlink>
      <w:r>
        <w:rPr>
          <w:sz w:val="20"/>
        </w:rP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w:t>
      </w:r>
      <w:hyperlink w:history="0" r:id="rId863"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приказа</w:t>
        </w:r>
      </w:hyperlink>
      <w:r>
        <w:rPr>
          <w:sz w:val="20"/>
        </w:rP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pPr>
        <w:pStyle w:val="0"/>
        <w:spacing w:before="200" w:line-rule="auto"/>
        <w:ind w:firstLine="540"/>
        <w:jc w:val="both"/>
      </w:pPr>
      <w:r>
        <w:rPr>
          <w:sz w:val="20"/>
        </w:rPr>
        <w:t xml:space="preserve">Перечень медицинских организаций и их структурных подразделений, на базе которых оказывается ПМСП населению по типам медицинских организаций, с указанием численности обслуживаемого населения, а также сопоставление этих данных с численностью населения (</w:t>
      </w:r>
      <w:hyperlink w:history="0" r:id="rId864"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пункт 1.34.26</w:t>
        </w:r>
      </w:hyperlink>
      <w:r>
        <w:rPr>
          <w:sz w:val="20"/>
        </w:rPr>
        <w:t xml:space="preserve"> ФПСР; Статистический бюллетень "Численность населения Российской Федерации по муниципальным образованиям").</w:t>
      </w:r>
    </w:p>
    <w:p>
      <w:pPr>
        <w:pStyle w:val="0"/>
        <w:jc w:val="both"/>
      </w:pPr>
      <w:r>
        <w:rPr>
          <w:sz w:val="20"/>
        </w:rPr>
      </w:r>
    </w:p>
    <w:p>
      <w:pPr>
        <w:pStyle w:val="2"/>
        <w:outlineLvl w:val="2"/>
        <w:jc w:val="center"/>
      </w:pPr>
      <w:r>
        <w:rPr>
          <w:sz w:val="20"/>
        </w:rPr>
        <w:t xml:space="preserve">Вопросы территориального планирования, оставшиеся</w:t>
      </w:r>
    </w:p>
    <w:p>
      <w:pPr>
        <w:pStyle w:val="2"/>
        <w:jc w:val="center"/>
      </w:pPr>
      <w:r>
        <w:rPr>
          <w:sz w:val="20"/>
        </w:rPr>
        <w:t xml:space="preserve">нерешенными в рамках планируемых мероприятий региональной</w:t>
      </w:r>
    </w:p>
    <w:p>
      <w:pPr>
        <w:pStyle w:val="2"/>
        <w:jc w:val="center"/>
      </w:pPr>
      <w:r>
        <w:rPr>
          <w:sz w:val="20"/>
        </w:rPr>
        <w:t xml:space="preserve">программы модернизации первичного звена за период</w:t>
      </w:r>
    </w:p>
    <w:p>
      <w:pPr>
        <w:pStyle w:val="2"/>
        <w:jc w:val="center"/>
      </w:pPr>
      <w:r>
        <w:rPr>
          <w:sz w:val="20"/>
        </w:rPr>
        <w:t xml:space="preserve">с 2021 по 2025 годы</w:t>
      </w:r>
    </w:p>
    <w:p>
      <w:pPr>
        <w:pStyle w:val="0"/>
        <w:ind w:firstLine="540"/>
        <w:jc w:val="both"/>
      </w:pPr>
      <w:r>
        <w:rPr>
          <w:sz w:val="20"/>
        </w:rPr>
      </w:r>
    </w:p>
    <w:p>
      <w:pPr>
        <w:pStyle w:val="0"/>
        <w:ind w:firstLine="540"/>
        <w:jc w:val="both"/>
      </w:pPr>
      <w:r>
        <w:rPr>
          <w:sz w:val="20"/>
        </w:rPr>
        <w:t xml:space="preserve">По результатам проведения мероприятий за период 2021 - 2025 годы планируется, что после 2025 года:</w:t>
      </w:r>
    </w:p>
    <w:p>
      <w:pPr>
        <w:pStyle w:val="0"/>
        <w:spacing w:before="200" w:line-rule="auto"/>
        <w:ind w:firstLine="540"/>
        <w:jc w:val="both"/>
      </w:pPr>
      <w:r>
        <w:rPr>
          <w:sz w:val="20"/>
        </w:rPr>
        <w:t xml:space="preserve">- не останется медицинских организаций, входящих в структурные подразделения, обслуживающих меньше рекомендуемой численности населения;</w:t>
      </w:r>
    </w:p>
    <w:p>
      <w:pPr>
        <w:pStyle w:val="0"/>
        <w:spacing w:before="200" w:line-rule="auto"/>
        <w:ind w:firstLine="540"/>
        <w:jc w:val="both"/>
      </w:pPr>
      <w:r>
        <w:rPr>
          <w:sz w:val="20"/>
        </w:rPr>
        <w:t xml:space="preserve">- не останется медицинских организаций, входящих в структурные подразделения, обслуживающих больше рекомендуемой численности населения;</w:t>
      </w:r>
    </w:p>
    <w:p>
      <w:pPr>
        <w:pStyle w:val="0"/>
        <w:spacing w:before="200" w:line-rule="auto"/>
        <w:ind w:firstLine="540"/>
        <w:jc w:val="both"/>
      </w:pPr>
      <w:r>
        <w:rPr>
          <w:sz w:val="20"/>
        </w:rPr>
        <w:t xml:space="preserve">- не останется медицинских организаций, входящих в структурные подразделения, обслуживающих рекомендуемую численность населения, но в отношении которых необходимо изменение вида медицинской организации, входящей в структурное подразделение;</w:t>
      </w:r>
    </w:p>
    <w:p>
      <w:pPr>
        <w:pStyle w:val="0"/>
        <w:spacing w:before="200" w:line-rule="auto"/>
        <w:ind w:firstLine="540"/>
        <w:jc w:val="both"/>
      </w:pPr>
      <w:r>
        <w:rPr>
          <w:sz w:val="20"/>
        </w:rPr>
        <w:t xml:space="preserve">- не останется населенных пунктов вне зоны доступа к медицинской помощи.</w:t>
      </w:r>
    </w:p>
    <w:p>
      <w:pPr>
        <w:pStyle w:val="0"/>
        <w:spacing w:before="200" w:line-rule="auto"/>
        <w:ind w:firstLine="540"/>
        <w:jc w:val="both"/>
      </w:pPr>
      <w:r>
        <w:rPr>
          <w:sz w:val="20"/>
        </w:rPr>
        <w:t xml:space="preserve">Перечень приложений к региональной программе "Модернизация первичного звена здравоохранения в городе Севастополе" (далее - Программа):</w:t>
      </w:r>
    </w:p>
    <w:p>
      <w:pPr>
        <w:pStyle w:val="0"/>
        <w:spacing w:before="200" w:line-rule="auto"/>
        <w:ind w:firstLine="540"/>
        <w:jc w:val="both"/>
      </w:pPr>
      <w:r>
        <w:rPr>
          <w:sz w:val="20"/>
        </w:rPr>
        <w:t xml:space="preserve">приложение N 1 "</w:t>
      </w:r>
      <w:hyperlink w:history="0" w:anchor="P30643" w:tooltip="ПАСПОРТ">
        <w:r>
          <w:rPr>
            <w:sz w:val="20"/>
            <w:color w:val="0000ff"/>
          </w:rPr>
          <w:t xml:space="preserve">Паспорт</w:t>
        </w:r>
      </w:hyperlink>
      <w:r>
        <w:rPr>
          <w:sz w:val="20"/>
        </w:rPr>
        <w:t xml:space="preserve"> Программы";</w:t>
      </w:r>
    </w:p>
    <w:p>
      <w:pPr>
        <w:pStyle w:val="0"/>
        <w:spacing w:before="200" w:line-rule="auto"/>
        <w:ind w:firstLine="540"/>
        <w:jc w:val="both"/>
      </w:pPr>
      <w:r>
        <w:rPr>
          <w:sz w:val="20"/>
        </w:rPr>
        <w:t xml:space="preserve">приложение N 2 "</w:t>
      </w:r>
      <w:hyperlink w:history="0" w:anchor="P30828" w:tooltip="План мероприятий по реализации Программы">
        <w:r>
          <w:rPr>
            <w:sz w:val="20"/>
            <w:color w:val="0000ff"/>
          </w:rPr>
          <w:t xml:space="preserve">План</w:t>
        </w:r>
      </w:hyperlink>
      <w:r>
        <w:rPr>
          <w:sz w:val="20"/>
        </w:rPr>
        <w:t xml:space="preserve"> мероприятий по реализации Программы";</w:t>
      </w:r>
    </w:p>
    <w:p>
      <w:pPr>
        <w:pStyle w:val="0"/>
        <w:spacing w:before="200" w:line-rule="auto"/>
        <w:ind w:firstLine="540"/>
        <w:jc w:val="both"/>
      </w:pPr>
      <w:r>
        <w:rPr>
          <w:sz w:val="20"/>
        </w:rPr>
        <w:t xml:space="preserve">приложение N 3 "</w:t>
      </w:r>
      <w:hyperlink w:history="0" w:anchor="P31139" w:tooltip="Сведения о целях и задачах Программы (РП)">
        <w:r>
          <w:rPr>
            <w:sz w:val="20"/>
            <w:color w:val="0000ff"/>
          </w:rPr>
          <w:t xml:space="preserve">Сведения</w:t>
        </w:r>
      </w:hyperlink>
      <w:r>
        <w:rPr>
          <w:sz w:val="20"/>
        </w:rPr>
        <w:t xml:space="preserve"> о целях и задачах Программы";</w:t>
      </w:r>
    </w:p>
    <w:p>
      <w:pPr>
        <w:pStyle w:val="0"/>
        <w:spacing w:before="200" w:line-rule="auto"/>
        <w:ind w:firstLine="540"/>
        <w:jc w:val="both"/>
      </w:pPr>
      <w:hyperlink w:history="0" w:anchor="P31311" w:tooltip="Приложение N 4">
        <w:r>
          <w:rPr>
            <w:sz w:val="20"/>
            <w:color w:val="0000ff"/>
          </w:rPr>
          <w:t xml:space="preserve">приложение N 4</w:t>
        </w:r>
      </w:hyperlink>
      <w:r>
        <w:rPr>
          <w:sz w:val="20"/>
        </w:rPr>
        <w:t xml:space="preserve"> "Ресурсное обеспечение Программы";</w:t>
      </w:r>
    </w:p>
    <w:p>
      <w:pPr>
        <w:pStyle w:val="0"/>
        <w:spacing w:before="200" w:line-rule="auto"/>
        <w:ind w:firstLine="540"/>
        <w:jc w:val="both"/>
      </w:pPr>
      <w:r>
        <w:rPr>
          <w:sz w:val="20"/>
        </w:rPr>
        <w:t xml:space="preserve">приложение N 5 "</w:t>
      </w:r>
      <w:hyperlink w:history="0" w:anchor="P33968" w:tooltip="Схема размещения медицинских организаций, участвующих">
        <w:r>
          <w:rPr>
            <w:sz w:val="20"/>
            <w:color w:val="0000ff"/>
          </w:rPr>
          <w:t xml:space="preserve">Схема</w:t>
        </w:r>
      </w:hyperlink>
      <w:r>
        <w:rPr>
          <w:sz w:val="20"/>
        </w:rPr>
        <w:t xml:space="preserve"> размещения медицинских организаций, участвующих в Программе (территориальное планирование)";</w:t>
      </w:r>
    </w:p>
    <w:p>
      <w:pPr>
        <w:pStyle w:val="0"/>
        <w:spacing w:before="200" w:line-rule="auto"/>
        <w:ind w:firstLine="540"/>
        <w:jc w:val="both"/>
      </w:pPr>
      <w:r>
        <w:rPr>
          <w:sz w:val="20"/>
        </w:rPr>
        <w:t xml:space="preserve">приложение N 6 "</w:t>
      </w:r>
      <w:hyperlink w:history="0" w:anchor="P36954" w:tooltip="Перечень основных нормативных правовых актов, на основе">
        <w:r>
          <w:rPr>
            <w:sz w:val="20"/>
            <w:color w:val="0000ff"/>
          </w:rPr>
          <w:t xml:space="preserve">Перечень</w:t>
        </w:r>
      </w:hyperlink>
      <w:r>
        <w:rPr>
          <w:sz w:val="20"/>
        </w:rPr>
        <w:t xml:space="preserve"> основных нормативных правовых актов, на основе которых разработана Программа";</w:t>
      </w:r>
    </w:p>
    <w:p>
      <w:pPr>
        <w:pStyle w:val="0"/>
        <w:spacing w:before="200" w:line-rule="auto"/>
        <w:ind w:firstLine="540"/>
        <w:jc w:val="both"/>
      </w:pPr>
      <w:r>
        <w:rPr>
          <w:sz w:val="20"/>
        </w:rPr>
        <w:t xml:space="preserve">приложение N 7 "</w:t>
      </w:r>
      <w:hyperlink w:history="0" w:anchor="P37028" w:tooltip="Строительство (снос, реконструкция, новое строительство)">
        <w:r>
          <w:rPr>
            <w:sz w:val="20"/>
            <w:color w:val="0000ff"/>
          </w:rPr>
          <w:t xml:space="preserve">Строительство</w:t>
        </w:r>
      </w:hyperlink>
      <w:r>
        <w:rPr>
          <w:sz w:val="20"/>
        </w:rPr>
        <w:t xml:space="preserve"> (снос, реконструкция, новое строительство) медицинских организаций Программы";</w:t>
      </w:r>
    </w:p>
    <w:p>
      <w:pPr>
        <w:pStyle w:val="0"/>
        <w:spacing w:before="200" w:line-rule="auto"/>
        <w:ind w:firstLine="540"/>
        <w:jc w:val="both"/>
      </w:pPr>
      <w:r>
        <w:rPr>
          <w:sz w:val="20"/>
        </w:rPr>
        <w:t xml:space="preserve">приложение N 8 "Сводный </w:t>
      </w:r>
      <w:hyperlink w:history="0" w:anchor="P37374" w:tooltip="Сводный перечень оборудования, в том числе медицинских">
        <w:r>
          <w:rPr>
            <w:sz w:val="20"/>
            <w:color w:val="0000ff"/>
          </w:rPr>
          <w:t xml:space="preserve">перечень</w:t>
        </w:r>
      </w:hyperlink>
      <w:r>
        <w:rPr>
          <w:sz w:val="20"/>
        </w:rPr>
        <w:t xml:space="preserve"> оборудования, в том числе медицинских изделий (далее - МИ), отсутствующих, подлежащих замене в связи с износом в соответствии с утвержденными порядками, положениями и правилами оказания медицинской помощи в медицинских организациях города Севастополя";</w:t>
      </w:r>
    </w:p>
    <w:p>
      <w:pPr>
        <w:pStyle w:val="0"/>
        <w:spacing w:before="200" w:line-rule="auto"/>
        <w:ind w:firstLine="540"/>
        <w:jc w:val="both"/>
      </w:pPr>
      <w:r>
        <w:rPr>
          <w:sz w:val="20"/>
        </w:rPr>
        <w:t xml:space="preserve">приложение N 9 "</w:t>
      </w:r>
      <w:hyperlink w:history="0" w:anchor="P37915" w:tooltip="Оснащение медицинских организаций">
        <w:r>
          <w:rPr>
            <w:sz w:val="20"/>
            <w:color w:val="0000ff"/>
          </w:rPr>
          <w:t xml:space="preserve">Оснащение</w:t>
        </w:r>
      </w:hyperlink>
      <w:r>
        <w:rPr>
          <w:sz w:val="20"/>
        </w:rPr>
        <w:t xml:space="preserve"> медицинских организаций автотранспортными средствами";</w:t>
      </w:r>
    </w:p>
    <w:p>
      <w:pPr>
        <w:pStyle w:val="0"/>
        <w:spacing w:before="200" w:line-rule="auto"/>
        <w:ind w:firstLine="540"/>
        <w:jc w:val="both"/>
      </w:pPr>
      <w:r>
        <w:rPr>
          <w:sz w:val="20"/>
        </w:rPr>
        <w:t xml:space="preserve">приложение N 10 "</w:t>
      </w:r>
      <w:hyperlink w:history="0" w:anchor="P38141" w:tooltip="Анализ кадрового обеспечения медицинских организаций города">
        <w:r>
          <w:rPr>
            <w:sz w:val="20"/>
            <w:color w:val="0000ff"/>
          </w:rPr>
          <w:t xml:space="preserve">Анализ</w:t>
        </w:r>
      </w:hyperlink>
      <w:r>
        <w:rPr>
          <w:sz w:val="20"/>
        </w:rPr>
        <w:t xml:space="preserve"> кадрового обеспечения медицинских организаций города Севастополя, оказывающих первичную медико-санитарную помощь".</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1</w:t>
      </w:r>
    </w:p>
    <w:p>
      <w:pPr>
        <w:pStyle w:val="0"/>
        <w:jc w:val="right"/>
      </w:pPr>
      <w:r>
        <w:rPr>
          <w:sz w:val="20"/>
        </w:rPr>
        <w:t xml:space="preserve">к региональной программе</w:t>
      </w:r>
    </w:p>
    <w:p>
      <w:pPr>
        <w:pStyle w:val="0"/>
        <w:jc w:val="right"/>
      </w:pPr>
      <w:r>
        <w:rPr>
          <w:sz w:val="20"/>
        </w:rPr>
        <w:t xml:space="preserve">"Модернизация первичного звена</w:t>
      </w:r>
    </w:p>
    <w:p>
      <w:pPr>
        <w:pStyle w:val="0"/>
        <w:jc w:val="right"/>
      </w:pPr>
      <w:r>
        <w:rPr>
          <w:sz w:val="20"/>
        </w:rPr>
        <w:t xml:space="preserve">здравоохранения города Севастополя"</w:t>
      </w:r>
    </w:p>
    <w:p>
      <w:pPr>
        <w:pStyle w:val="0"/>
      </w:pPr>
      <w:r>
        <w:rPr>
          <w:sz w:val="20"/>
        </w:rPr>
      </w:r>
    </w:p>
    <w:bookmarkStart w:id="30643" w:name="P30643"/>
    <w:bookmarkEnd w:id="30643"/>
    <w:p>
      <w:pPr>
        <w:pStyle w:val="2"/>
        <w:jc w:val="center"/>
      </w:pPr>
      <w:r>
        <w:rPr>
          <w:sz w:val="20"/>
        </w:rPr>
        <w:t xml:space="preserve">ПАСПОРТ</w:t>
      </w:r>
    </w:p>
    <w:p>
      <w:pPr>
        <w:pStyle w:val="2"/>
        <w:jc w:val="center"/>
      </w:pPr>
      <w:r>
        <w:rPr>
          <w:sz w:val="20"/>
        </w:rPr>
        <w:t xml:space="preserve">региональной программы "Модернизация первичного звена</w:t>
      </w:r>
    </w:p>
    <w:p>
      <w:pPr>
        <w:pStyle w:val="2"/>
        <w:jc w:val="center"/>
      </w:pPr>
      <w:r>
        <w:rPr>
          <w:sz w:val="20"/>
        </w:rPr>
        <w:t xml:space="preserve">здравоохранения города Севастополя" (далее - Программа)</w:t>
      </w:r>
    </w:p>
    <w:p>
      <w:pPr>
        <w:pStyle w:val="0"/>
      </w:pPr>
      <w:r>
        <w:rPr>
          <w:sz w:val="20"/>
        </w:rPr>
      </w:r>
    </w:p>
    <w:p>
      <w:pPr>
        <w:pStyle w:val="0"/>
        <w:ind w:firstLine="540"/>
        <w:jc w:val="both"/>
      </w:pPr>
      <w:r>
        <w:rPr>
          <w:sz w:val="20"/>
        </w:rPr>
        <w:t xml:space="preserve">Сроки реализации Программы 2021 - 2025 годы.</w:t>
      </w:r>
    </w:p>
    <w:p>
      <w:pPr>
        <w:pStyle w:val="0"/>
        <w:spacing w:before="200" w:line-rule="auto"/>
        <w:ind w:firstLine="540"/>
        <w:jc w:val="both"/>
      </w:pPr>
      <w:r>
        <w:rPr>
          <w:sz w:val="20"/>
        </w:rPr>
        <w:t xml:space="preserve">Разработчик Программы: Департамент здравоохранения города Севастополя.</w:t>
      </w:r>
    </w:p>
    <w:p>
      <w:pPr>
        <w:pStyle w:val="0"/>
        <w:spacing w:before="200" w:line-rule="auto"/>
        <w:ind w:firstLine="540"/>
        <w:jc w:val="both"/>
      </w:pPr>
      <w:r>
        <w:rPr>
          <w:sz w:val="20"/>
        </w:rPr>
        <w:t xml:space="preserve">Участники Программы: Департамент капитального строительства города Севастополя, Департамент транспорта и развития дорожно-транспортной инфраструктуры города Севастополя, медицинские организации, подведомственные Департаменту здравоохранения города Севастополя.</w:t>
      </w:r>
    </w:p>
    <w:p>
      <w:pPr>
        <w:pStyle w:val="0"/>
        <w:spacing w:before="200" w:line-rule="auto"/>
        <w:ind w:firstLine="540"/>
        <w:jc w:val="both"/>
      </w:pPr>
      <w:r>
        <w:rPr>
          <w:sz w:val="20"/>
        </w:rPr>
        <w:t xml:space="preserve">Цель Программы: создание условий для повышения доступности и качества оказания первичной медико-санитарной помощи в соответствии с законодательством.</w:t>
      </w:r>
    </w:p>
    <w:p>
      <w:pPr>
        <w:pStyle w:val="0"/>
        <w:spacing w:before="200" w:line-rule="auto"/>
        <w:ind w:firstLine="540"/>
        <w:jc w:val="both"/>
      </w:pPr>
      <w:r>
        <w:rPr>
          <w:sz w:val="20"/>
        </w:rPr>
        <w:t xml:space="preserve">Значения Программы по годам реализации:</w:t>
      </w:r>
    </w:p>
    <w:p>
      <w:pPr>
        <w:pStyle w:val="0"/>
        <w:spacing w:before="200" w:line-rule="auto"/>
        <w:ind w:firstLine="540"/>
        <w:jc w:val="both"/>
      </w:pPr>
      <w:r>
        <w:rPr>
          <w:sz w:val="20"/>
        </w:rPr>
        <w:t xml:space="preserve">1. Дефицит мощности медицинских организаций первичного звена, число посещений в смену:</w:t>
      </w:r>
    </w:p>
    <w:p>
      <w:pPr>
        <w:pStyle w:val="0"/>
        <w:spacing w:before="200" w:line-rule="auto"/>
        <w:ind w:firstLine="540"/>
        <w:jc w:val="both"/>
      </w:pPr>
      <w:r>
        <w:rPr>
          <w:sz w:val="20"/>
        </w:rPr>
        <w:t xml:space="preserve">- в 2021 году - 1200 посещений в смену;</w:t>
      </w:r>
    </w:p>
    <w:p>
      <w:pPr>
        <w:pStyle w:val="0"/>
        <w:spacing w:before="200" w:line-rule="auto"/>
        <w:ind w:firstLine="540"/>
        <w:jc w:val="both"/>
      </w:pPr>
      <w:r>
        <w:rPr>
          <w:sz w:val="20"/>
        </w:rPr>
        <w:t xml:space="preserve">- в 2022 году - 1100 посещений в смену;</w:t>
      </w:r>
    </w:p>
    <w:p>
      <w:pPr>
        <w:pStyle w:val="0"/>
        <w:spacing w:before="200" w:line-rule="auto"/>
        <w:ind w:firstLine="540"/>
        <w:jc w:val="both"/>
      </w:pPr>
      <w:r>
        <w:rPr>
          <w:sz w:val="20"/>
        </w:rPr>
        <w:t xml:space="preserve">- в 2023 году - 1000 посещений в смену;</w:t>
      </w:r>
    </w:p>
    <w:p>
      <w:pPr>
        <w:pStyle w:val="0"/>
        <w:spacing w:before="200" w:line-rule="auto"/>
        <w:ind w:firstLine="540"/>
        <w:jc w:val="both"/>
      </w:pPr>
      <w:r>
        <w:rPr>
          <w:sz w:val="20"/>
        </w:rPr>
        <w:t xml:space="preserve">- в 2024 году - 0 посещений в смену;</w:t>
      </w:r>
    </w:p>
    <w:p>
      <w:pPr>
        <w:pStyle w:val="0"/>
        <w:spacing w:before="200" w:line-rule="auto"/>
        <w:ind w:firstLine="540"/>
        <w:jc w:val="both"/>
      </w:pPr>
      <w:r>
        <w:rPr>
          <w:sz w:val="20"/>
        </w:rPr>
        <w:t xml:space="preserve">- в 2025 году - 0 посещений в смену.</w:t>
      </w:r>
    </w:p>
    <w:p>
      <w:pPr>
        <w:pStyle w:val="0"/>
        <w:spacing w:before="200" w:line-rule="auto"/>
        <w:ind w:firstLine="540"/>
        <w:jc w:val="both"/>
      </w:pPr>
      <w:r>
        <w:rPr>
          <w:sz w:val="20"/>
        </w:rPr>
        <w:t xml:space="preserve">2. Доля медицинских организаций первичного звена здравоохранения города Севастополя, полностью оснащенных медицинским оборудованием в соответствии со стандартами оснащения, в общем количестве медицинских организаций первичного звена здравоохранения города Севастополя, %:</w:t>
      </w:r>
    </w:p>
    <w:p>
      <w:pPr>
        <w:pStyle w:val="0"/>
        <w:spacing w:before="200" w:line-rule="auto"/>
        <w:ind w:firstLine="540"/>
        <w:jc w:val="both"/>
      </w:pPr>
      <w:r>
        <w:rPr>
          <w:sz w:val="20"/>
        </w:rPr>
        <w:t xml:space="preserve">- в 2021 году - 60%;</w:t>
      </w:r>
    </w:p>
    <w:p>
      <w:pPr>
        <w:pStyle w:val="0"/>
        <w:spacing w:before="200" w:line-rule="auto"/>
        <w:ind w:firstLine="540"/>
        <w:jc w:val="both"/>
      </w:pPr>
      <w:r>
        <w:rPr>
          <w:sz w:val="20"/>
        </w:rPr>
        <w:t xml:space="preserve">- в 2022 году - 80%;</w:t>
      </w:r>
    </w:p>
    <w:p>
      <w:pPr>
        <w:pStyle w:val="0"/>
        <w:spacing w:before="200" w:line-rule="auto"/>
        <w:ind w:firstLine="540"/>
        <w:jc w:val="both"/>
      </w:pPr>
      <w:r>
        <w:rPr>
          <w:sz w:val="20"/>
        </w:rPr>
        <w:t xml:space="preserve">- в 2023 году - 100%;</w:t>
      </w:r>
    </w:p>
    <w:p>
      <w:pPr>
        <w:pStyle w:val="0"/>
        <w:spacing w:before="200" w:line-rule="auto"/>
        <w:ind w:firstLine="540"/>
        <w:jc w:val="both"/>
      </w:pPr>
      <w:r>
        <w:rPr>
          <w:sz w:val="20"/>
        </w:rPr>
        <w:t xml:space="preserve">- в 2024 году - 100%;</w:t>
      </w:r>
    </w:p>
    <w:p>
      <w:pPr>
        <w:pStyle w:val="0"/>
        <w:spacing w:before="200" w:line-rule="auto"/>
        <w:ind w:firstLine="540"/>
        <w:jc w:val="both"/>
      </w:pPr>
      <w:r>
        <w:rPr>
          <w:sz w:val="20"/>
        </w:rPr>
        <w:t xml:space="preserve">- в 2025 году - 100%.</w:t>
      </w:r>
    </w:p>
    <w:p>
      <w:pPr>
        <w:pStyle w:val="0"/>
        <w:spacing w:before="200" w:line-rule="auto"/>
        <w:ind w:firstLine="540"/>
        <w:jc w:val="both"/>
      </w:pPr>
      <w:r>
        <w:rPr>
          <w:sz w:val="20"/>
        </w:rPr>
        <w:t xml:space="preserve">3. Дефицит врачей и среднего медицинского персонала в первичном звене здравоохранения города Севастополя, человек:</w:t>
      </w:r>
    </w:p>
    <w:p>
      <w:pPr>
        <w:pStyle w:val="0"/>
        <w:spacing w:before="200" w:line-rule="auto"/>
        <w:ind w:firstLine="540"/>
        <w:jc w:val="both"/>
      </w:pPr>
      <w:r>
        <w:rPr>
          <w:sz w:val="20"/>
        </w:rPr>
        <w:t xml:space="preserve">- в 2021 году - 503 чел.;</w:t>
      </w:r>
    </w:p>
    <w:p>
      <w:pPr>
        <w:pStyle w:val="0"/>
        <w:spacing w:before="200" w:line-rule="auto"/>
        <w:ind w:firstLine="540"/>
        <w:jc w:val="both"/>
      </w:pPr>
      <w:r>
        <w:rPr>
          <w:sz w:val="20"/>
        </w:rPr>
        <w:t xml:space="preserve">- в 2022 году - 400 чел.;</w:t>
      </w:r>
    </w:p>
    <w:p>
      <w:pPr>
        <w:pStyle w:val="0"/>
        <w:spacing w:before="200" w:line-rule="auto"/>
        <w:ind w:firstLine="540"/>
        <w:jc w:val="both"/>
      </w:pPr>
      <w:r>
        <w:rPr>
          <w:sz w:val="20"/>
        </w:rPr>
        <w:t xml:space="preserve">- в 2023 году - 250 чел.;</w:t>
      </w:r>
    </w:p>
    <w:p>
      <w:pPr>
        <w:pStyle w:val="0"/>
        <w:spacing w:before="200" w:line-rule="auto"/>
        <w:ind w:firstLine="540"/>
        <w:jc w:val="both"/>
      </w:pPr>
      <w:r>
        <w:rPr>
          <w:sz w:val="20"/>
        </w:rPr>
        <w:t xml:space="preserve">- в 2024 году - 150 чел.;</w:t>
      </w:r>
    </w:p>
    <w:p>
      <w:pPr>
        <w:pStyle w:val="0"/>
        <w:spacing w:before="200" w:line-rule="auto"/>
        <w:ind w:firstLine="540"/>
        <w:jc w:val="both"/>
      </w:pPr>
      <w:r>
        <w:rPr>
          <w:sz w:val="20"/>
        </w:rPr>
        <w:t xml:space="preserve">- в 2025 году - 0 чел.</w:t>
      </w:r>
    </w:p>
    <w:p>
      <w:pPr>
        <w:pStyle w:val="0"/>
        <w:spacing w:before="200" w:line-rule="auto"/>
        <w:ind w:firstLine="540"/>
        <w:jc w:val="both"/>
      </w:pPr>
      <w:r>
        <w:rPr>
          <w:sz w:val="20"/>
        </w:rPr>
        <w:t xml:space="preserve">4. Укомплектованность врачебных должностей в подразделениях, оказывающих медицинскую помощь в амбулаторных условиях города Севастополя, физическими лицами при коэффициенте совместительства 1,2, %:</w:t>
      </w:r>
    </w:p>
    <w:p>
      <w:pPr>
        <w:pStyle w:val="0"/>
        <w:spacing w:before="200" w:line-rule="auto"/>
        <w:ind w:firstLine="540"/>
        <w:jc w:val="both"/>
      </w:pPr>
      <w:r>
        <w:rPr>
          <w:sz w:val="20"/>
        </w:rPr>
        <w:t xml:space="preserve">- в 2021 году - 85,2%;</w:t>
      </w:r>
    </w:p>
    <w:p>
      <w:pPr>
        <w:pStyle w:val="0"/>
        <w:spacing w:before="200" w:line-rule="auto"/>
        <w:ind w:firstLine="540"/>
        <w:jc w:val="both"/>
      </w:pPr>
      <w:r>
        <w:rPr>
          <w:sz w:val="20"/>
        </w:rPr>
        <w:t xml:space="preserve">- в 2022 году - 89,2%;</w:t>
      </w:r>
    </w:p>
    <w:p>
      <w:pPr>
        <w:pStyle w:val="0"/>
        <w:spacing w:before="200" w:line-rule="auto"/>
        <w:ind w:firstLine="540"/>
        <w:jc w:val="both"/>
      </w:pPr>
      <w:r>
        <w:rPr>
          <w:sz w:val="20"/>
        </w:rPr>
        <w:t xml:space="preserve">- в 2023 году - 95,2%;</w:t>
      </w:r>
    </w:p>
    <w:p>
      <w:pPr>
        <w:pStyle w:val="0"/>
        <w:spacing w:before="200" w:line-rule="auto"/>
        <w:ind w:firstLine="540"/>
        <w:jc w:val="both"/>
      </w:pPr>
      <w:r>
        <w:rPr>
          <w:sz w:val="20"/>
        </w:rPr>
        <w:t xml:space="preserve">- в 2024 году - 98,6%;</w:t>
      </w:r>
    </w:p>
    <w:p>
      <w:pPr>
        <w:pStyle w:val="0"/>
        <w:spacing w:before="200" w:line-rule="auto"/>
        <w:ind w:firstLine="540"/>
        <w:jc w:val="both"/>
      </w:pPr>
      <w:r>
        <w:rPr>
          <w:sz w:val="20"/>
        </w:rPr>
        <w:t xml:space="preserve">- в 2025 году - 98,6%.</w:t>
      </w:r>
    </w:p>
    <w:p>
      <w:pPr>
        <w:pStyle w:val="0"/>
        <w:spacing w:before="200" w:line-rule="auto"/>
        <w:ind w:firstLine="540"/>
        <w:jc w:val="both"/>
      </w:pPr>
      <w:r>
        <w:rPr>
          <w:sz w:val="20"/>
        </w:rPr>
        <w:t xml:space="preserve">5. Укомплектованность должностей среднего медицинского персонала в подразделениях, оказывающих медицинскую помощь в амбулаторных условиях города Севастополя, физическими лицами при коэффициенте совместительства 1,2, %:</w:t>
      </w:r>
    </w:p>
    <w:p>
      <w:pPr>
        <w:pStyle w:val="0"/>
        <w:spacing w:before="200" w:line-rule="auto"/>
        <w:ind w:firstLine="540"/>
        <w:jc w:val="both"/>
      </w:pPr>
      <w:r>
        <w:rPr>
          <w:sz w:val="20"/>
        </w:rPr>
        <w:t xml:space="preserve">- в 2020 году - 74,2%;</w:t>
      </w:r>
    </w:p>
    <w:p>
      <w:pPr>
        <w:pStyle w:val="0"/>
        <w:spacing w:before="200" w:line-rule="auto"/>
        <w:ind w:firstLine="540"/>
        <w:jc w:val="both"/>
      </w:pPr>
      <w:r>
        <w:rPr>
          <w:sz w:val="20"/>
        </w:rPr>
        <w:t xml:space="preserve">- в 2021 году - 76,5%;</w:t>
      </w:r>
    </w:p>
    <w:p>
      <w:pPr>
        <w:pStyle w:val="0"/>
        <w:spacing w:before="200" w:line-rule="auto"/>
        <w:ind w:firstLine="540"/>
        <w:jc w:val="both"/>
      </w:pPr>
      <w:r>
        <w:rPr>
          <w:sz w:val="20"/>
        </w:rPr>
        <w:t xml:space="preserve">- в 2022 году - 80%;</w:t>
      </w:r>
    </w:p>
    <w:p>
      <w:pPr>
        <w:pStyle w:val="0"/>
        <w:spacing w:before="200" w:line-rule="auto"/>
        <w:ind w:firstLine="540"/>
        <w:jc w:val="both"/>
      </w:pPr>
      <w:r>
        <w:rPr>
          <w:sz w:val="20"/>
        </w:rPr>
        <w:t xml:space="preserve">- в 2023 году - 84%;</w:t>
      </w:r>
    </w:p>
    <w:p>
      <w:pPr>
        <w:pStyle w:val="0"/>
        <w:spacing w:before="200" w:line-rule="auto"/>
        <w:ind w:firstLine="540"/>
        <w:jc w:val="both"/>
      </w:pPr>
      <w:r>
        <w:rPr>
          <w:sz w:val="20"/>
        </w:rPr>
        <w:t xml:space="preserve">- в 2024 году - 96%;</w:t>
      </w:r>
    </w:p>
    <w:p>
      <w:pPr>
        <w:pStyle w:val="0"/>
        <w:spacing w:before="200" w:line-rule="auto"/>
        <w:ind w:firstLine="540"/>
        <w:jc w:val="both"/>
      </w:pPr>
      <w:r>
        <w:rPr>
          <w:sz w:val="20"/>
        </w:rPr>
        <w:t xml:space="preserve">- в 2025 году - 96%.</w:t>
      </w:r>
    </w:p>
    <w:p>
      <w:pPr>
        <w:pStyle w:val="0"/>
        <w:spacing w:before="200" w:line-rule="auto"/>
        <w:ind w:firstLine="540"/>
        <w:jc w:val="both"/>
      </w:pPr>
      <w:r>
        <w:rPr>
          <w:sz w:val="20"/>
        </w:rPr>
        <w:t xml:space="preserve">6. Численность врачей государственных медицинских организаций, оказывающих медицинскую помощь в амбулаторных условиях, человек:</w:t>
      </w:r>
    </w:p>
    <w:p>
      <w:pPr>
        <w:pStyle w:val="0"/>
        <w:spacing w:before="200" w:line-rule="auto"/>
        <w:ind w:firstLine="540"/>
        <w:jc w:val="both"/>
      </w:pPr>
      <w:r>
        <w:rPr>
          <w:sz w:val="20"/>
        </w:rPr>
        <w:t xml:space="preserve">- в 2020 году - 753 чел.;</w:t>
      </w:r>
    </w:p>
    <w:p>
      <w:pPr>
        <w:pStyle w:val="0"/>
        <w:spacing w:before="200" w:line-rule="auto"/>
        <w:ind w:firstLine="540"/>
        <w:jc w:val="both"/>
      </w:pPr>
      <w:r>
        <w:rPr>
          <w:sz w:val="20"/>
        </w:rPr>
        <w:t xml:space="preserve">- в 2021 году - 789 чел.;</w:t>
      </w:r>
    </w:p>
    <w:p>
      <w:pPr>
        <w:pStyle w:val="0"/>
        <w:spacing w:before="200" w:line-rule="auto"/>
        <w:ind w:firstLine="540"/>
        <w:jc w:val="both"/>
      </w:pPr>
      <w:r>
        <w:rPr>
          <w:sz w:val="20"/>
        </w:rPr>
        <w:t xml:space="preserve">- в 2022 году - 826 чел.;</w:t>
      </w:r>
    </w:p>
    <w:p>
      <w:pPr>
        <w:pStyle w:val="0"/>
        <w:spacing w:before="200" w:line-rule="auto"/>
        <w:ind w:firstLine="540"/>
        <w:jc w:val="both"/>
      </w:pPr>
      <w:r>
        <w:rPr>
          <w:sz w:val="20"/>
        </w:rPr>
        <w:t xml:space="preserve">- в 2023 году - 881 чел.;</w:t>
      </w:r>
    </w:p>
    <w:p>
      <w:pPr>
        <w:pStyle w:val="0"/>
        <w:spacing w:before="200" w:line-rule="auto"/>
        <w:ind w:firstLine="540"/>
        <w:jc w:val="both"/>
      </w:pPr>
      <w:r>
        <w:rPr>
          <w:sz w:val="20"/>
        </w:rPr>
        <w:t xml:space="preserve">- в 2024 году - 913 чел.;</w:t>
      </w:r>
    </w:p>
    <w:p>
      <w:pPr>
        <w:pStyle w:val="0"/>
        <w:spacing w:before="200" w:line-rule="auto"/>
        <w:ind w:firstLine="540"/>
        <w:jc w:val="both"/>
      </w:pPr>
      <w:r>
        <w:rPr>
          <w:sz w:val="20"/>
        </w:rPr>
        <w:t xml:space="preserve">- в 2025 году - 913 чел.</w:t>
      </w:r>
    </w:p>
    <w:p>
      <w:pPr>
        <w:pStyle w:val="0"/>
        <w:spacing w:before="200" w:line-rule="auto"/>
        <w:ind w:firstLine="540"/>
        <w:jc w:val="both"/>
      </w:pPr>
      <w:r>
        <w:rPr>
          <w:sz w:val="20"/>
        </w:rPr>
        <w:t xml:space="preserve">7. Численность врачей государственных медицинских организаций, оказывающих медицинскую помощь в амбулаторных условиях, человек:</w:t>
      </w:r>
    </w:p>
    <w:p>
      <w:pPr>
        <w:pStyle w:val="0"/>
        <w:spacing w:before="200" w:line-rule="auto"/>
        <w:ind w:firstLine="540"/>
        <w:jc w:val="both"/>
      </w:pPr>
      <w:r>
        <w:rPr>
          <w:sz w:val="20"/>
        </w:rPr>
        <w:t xml:space="preserve">- в 2020 году - 753 чел.;</w:t>
      </w:r>
    </w:p>
    <w:p>
      <w:pPr>
        <w:pStyle w:val="0"/>
        <w:spacing w:before="200" w:line-rule="auto"/>
        <w:ind w:firstLine="540"/>
        <w:jc w:val="both"/>
      </w:pPr>
      <w:r>
        <w:rPr>
          <w:sz w:val="20"/>
        </w:rPr>
        <w:t xml:space="preserve">- в 2021 году - 789 чел.;</w:t>
      </w:r>
    </w:p>
    <w:p>
      <w:pPr>
        <w:pStyle w:val="0"/>
        <w:spacing w:before="200" w:line-rule="auto"/>
        <w:ind w:firstLine="540"/>
        <w:jc w:val="both"/>
      </w:pPr>
      <w:r>
        <w:rPr>
          <w:sz w:val="20"/>
        </w:rPr>
        <w:t xml:space="preserve">- в 2022 году - 826 чел.;</w:t>
      </w:r>
    </w:p>
    <w:p>
      <w:pPr>
        <w:pStyle w:val="0"/>
        <w:spacing w:before="200" w:line-rule="auto"/>
        <w:ind w:firstLine="540"/>
        <w:jc w:val="both"/>
      </w:pPr>
      <w:r>
        <w:rPr>
          <w:sz w:val="20"/>
        </w:rPr>
        <w:t xml:space="preserve">- в 2023 году - 881 чел.;</w:t>
      </w:r>
    </w:p>
    <w:p>
      <w:pPr>
        <w:pStyle w:val="0"/>
        <w:spacing w:before="200" w:line-rule="auto"/>
        <w:ind w:firstLine="540"/>
        <w:jc w:val="both"/>
      </w:pPr>
      <w:r>
        <w:rPr>
          <w:sz w:val="20"/>
        </w:rPr>
        <w:t xml:space="preserve">- в 2024 году - 913 чел.;</w:t>
      </w:r>
    </w:p>
    <w:p>
      <w:pPr>
        <w:pStyle w:val="0"/>
        <w:spacing w:before="200" w:line-rule="auto"/>
        <w:ind w:firstLine="540"/>
        <w:jc w:val="both"/>
      </w:pPr>
      <w:r>
        <w:rPr>
          <w:sz w:val="20"/>
        </w:rPr>
        <w:t xml:space="preserve">- в 2025 году - 913 чел.</w:t>
      </w:r>
    </w:p>
    <w:p>
      <w:pPr>
        <w:pStyle w:val="0"/>
        <w:spacing w:before="200" w:line-rule="auto"/>
        <w:ind w:firstLine="540"/>
        <w:jc w:val="both"/>
      </w:pPr>
      <w:r>
        <w:rPr>
          <w:sz w:val="20"/>
        </w:rPr>
        <w:t xml:space="preserve">8. Численность среднего медицинского персонала государственных медицинских организаций, оказывающего медицинскую помощь в амбулаторных условиях, человек:</w:t>
      </w:r>
    </w:p>
    <w:p>
      <w:pPr>
        <w:pStyle w:val="0"/>
        <w:spacing w:before="200" w:line-rule="auto"/>
        <w:ind w:firstLine="540"/>
        <w:jc w:val="both"/>
      </w:pPr>
      <w:r>
        <w:rPr>
          <w:sz w:val="20"/>
        </w:rPr>
        <w:t xml:space="preserve">- в 2020 году - 1009 чел.;</w:t>
      </w:r>
    </w:p>
    <w:p>
      <w:pPr>
        <w:pStyle w:val="0"/>
        <w:spacing w:before="200" w:line-rule="auto"/>
        <w:ind w:firstLine="540"/>
        <w:jc w:val="both"/>
      </w:pPr>
      <w:r>
        <w:rPr>
          <w:sz w:val="20"/>
        </w:rPr>
        <w:t xml:space="preserve">- в 2021 году - 1040 чел.;</w:t>
      </w:r>
    </w:p>
    <w:p>
      <w:pPr>
        <w:pStyle w:val="0"/>
        <w:spacing w:before="200" w:line-rule="auto"/>
        <w:ind w:firstLine="540"/>
        <w:jc w:val="both"/>
      </w:pPr>
      <w:r>
        <w:rPr>
          <w:sz w:val="20"/>
        </w:rPr>
        <w:t xml:space="preserve">- в 2022 году - 1088 чел.;</w:t>
      </w:r>
    </w:p>
    <w:p>
      <w:pPr>
        <w:pStyle w:val="0"/>
        <w:spacing w:before="200" w:line-rule="auto"/>
        <w:ind w:firstLine="540"/>
        <w:jc w:val="both"/>
      </w:pPr>
      <w:r>
        <w:rPr>
          <w:sz w:val="20"/>
        </w:rPr>
        <w:t xml:space="preserve">- в 2023 году - 1142 чел.;</w:t>
      </w:r>
    </w:p>
    <w:p>
      <w:pPr>
        <w:pStyle w:val="0"/>
        <w:spacing w:before="200" w:line-rule="auto"/>
        <w:ind w:firstLine="540"/>
        <w:jc w:val="both"/>
      </w:pPr>
      <w:r>
        <w:rPr>
          <w:sz w:val="20"/>
        </w:rPr>
        <w:t xml:space="preserve">- в 2024 году - 1306 чел.;</w:t>
      </w:r>
    </w:p>
    <w:p>
      <w:pPr>
        <w:pStyle w:val="0"/>
        <w:spacing w:before="200" w:line-rule="auto"/>
        <w:ind w:firstLine="540"/>
        <w:jc w:val="both"/>
      </w:pPr>
      <w:r>
        <w:rPr>
          <w:sz w:val="20"/>
        </w:rPr>
        <w:t xml:space="preserve">- в 2025 году - 1306 чел.</w:t>
      </w:r>
    </w:p>
    <w:p>
      <w:pPr>
        <w:pStyle w:val="0"/>
        <w:spacing w:before="200" w:line-rule="auto"/>
        <w:ind w:firstLine="540"/>
        <w:jc w:val="both"/>
      </w:pPr>
      <w:r>
        <w:rPr>
          <w:sz w:val="20"/>
        </w:rPr>
        <w:t xml:space="preserve">9. Оснащенность медицинских организаций, участвующих в региональной программе, цифровыми медицинскими изделиями и сервисами дистанционного мониторинга состояния здоровья пациентов, %:</w:t>
      </w:r>
    </w:p>
    <w:p>
      <w:pPr>
        <w:pStyle w:val="0"/>
        <w:spacing w:before="200" w:line-rule="auto"/>
        <w:ind w:firstLine="540"/>
        <w:jc w:val="both"/>
      </w:pPr>
      <w:r>
        <w:rPr>
          <w:sz w:val="20"/>
        </w:rPr>
        <w:t xml:space="preserve">- в 2021 году - 20%;</w:t>
      </w:r>
    </w:p>
    <w:p>
      <w:pPr>
        <w:pStyle w:val="0"/>
        <w:spacing w:before="200" w:line-rule="auto"/>
        <w:ind w:firstLine="540"/>
        <w:jc w:val="both"/>
      </w:pPr>
      <w:r>
        <w:rPr>
          <w:sz w:val="20"/>
        </w:rPr>
        <w:t xml:space="preserve">- в 2022 году - 40%;</w:t>
      </w:r>
    </w:p>
    <w:p>
      <w:pPr>
        <w:pStyle w:val="0"/>
        <w:spacing w:before="200" w:line-rule="auto"/>
        <w:ind w:firstLine="540"/>
        <w:jc w:val="both"/>
      </w:pPr>
      <w:r>
        <w:rPr>
          <w:sz w:val="20"/>
        </w:rPr>
        <w:t xml:space="preserve">- в 2023 году - 60%;</w:t>
      </w:r>
    </w:p>
    <w:p>
      <w:pPr>
        <w:pStyle w:val="0"/>
        <w:spacing w:before="200" w:line-rule="auto"/>
        <w:ind w:firstLine="540"/>
        <w:jc w:val="both"/>
      </w:pPr>
      <w:r>
        <w:rPr>
          <w:sz w:val="20"/>
        </w:rPr>
        <w:t xml:space="preserve">- в 2024 году - 80%;</w:t>
      </w:r>
    </w:p>
    <w:p>
      <w:pPr>
        <w:pStyle w:val="0"/>
        <w:spacing w:before="200" w:line-rule="auto"/>
        <w:ind w:firstLine="540"/>
        <w:jc w:val="both"/>
      </w:pPr>
      <w:r>
        <w:rPr>
          <w:sz w:val="20"/>
        </w:rPr>
        <w:t xml:space="preserve">- в 2025 году - 100%.</w:t>
      </w:r>
    </w:p>
    <w:p>
      <w:pPr>
        <w:pStyle w:val="0"/>
        <w:spacing w:before="200" w:line-rule="auto"/>
        <w:ind w:firstLine="540"/>
        <w:jc w:val="both"/>
      </w:pPr>
      <w:r>
        <w:rPr>
          <w:sz w:val="20"/>
        </w:rPr>
        <w:t xml:space="preserve">Задачи региональной программы:</w:t>
      </w:r>
    </w:p>
    <w:p>
      <w:pPr>
        <w:pStyle w:val="0"/>
        <w:spacing w:before="200" w:line-rule="auto"/>
        <w:ind w:firstLine="540"/>
        <w:jc w:val="both"/>
      </w:pPr>
      <w:r>
        <w:rPr>
          <w:sz w:val="20"/>
        </w:rPr>
        <w:t xml:space="preserve">- осуществить мероприятия по строительству, реконструкции, капитальному ремонту объектов здравоохранения, участвующих в региональной программе;</w:t>
      </w:r>
    </w:p>
    <w:p>
      <w:pPr>
        <w:pStyle w:val="0"/>
        <w:spacing w:before="200" w:line-rule="auto"/>
        <w:ind w:firstLine="540"/>
        <w:jc w:val="both"/>
      </w:pPr>
      <w:r>
        <w:rPr>
          <w:sz w:val="20"/>
        </w:rPr>
        <w:t xml:space="preserve">- оснастить медицинские организации, участвующие в региональной программе, современным медицинским оборудованием в соответствии с порядками оказания медицинской помощи;</w:t>
      </w:r>
    </w:p>
    <w:p>
      <w:pPr>
        <w:pStyle w:val="0"/>
        <w:spacing w:before="200" w:line-rule="auto"/>
        <w:ind w:firstLine="540"/>
        <w:jc w:val="both"/>
      </w:pPr>
      <w:r>
        <w:rPr>
          <w:sz w:val="20"/>
        </w:rPr>
        <w:t xml:space="preserve">- обновить автопарк санитарных автомобилей в медицинских организациях, участвующих в региональной программе;</w:t>
      </w:r>
    </w:p>
    <w:p>
      <w:pPr>
        <w:pStyle w:val="0"/>
        <w:spacing w:before="200" w:line-rule="auto"/>
        <w:ind w:firstLine="540"/>
        <w:jc w:val="both"/>
      </w:pPr>
      <w:r>
        <w:rPr>
          <w:sz w:val="20"/>
        </w:rPr>
        <w:t xml:space="preserve">- устранить дефицит кадров в первичном звене здравоохранения и повысить уровень их квалификации;</w:t>
      </w:r>
    </w:p>
    <w:p>
      <w:pPr>
        <w:pStyle w:val="0"/>
        <w:spacing w:before="200" w:line-rule="auto"/>
        <w:ind w:firstLine="540"/>
        <w:jc w:val="both"/>
      </w:pPr>
      <w:r>
        <w:rPr>
          <w:sz w:val="20"/>
        </w:rPr>
        <w:t xml:space="preserve">- сформировать систему дистанционного наблюдения за состоянием здоровья пациентов.</w:t>
      </w:r>
    </w:p>
    <w:p>
      <w:pPr>
        <w:pStyle w:val="0"/>
        <w:spacing w:before="200" w:line-rule="auto"/>
        <w:ind w:firstLine="540"/>
        <w:jc w:val="both"/>
      </w:pPr>
      <w:r>
        <w:rPr>
          <w:sz w:val="20"/>
        </w:rPr>
        <w:t xml:space="preserve">Параметры финансового обеспечения реализации региональной программы. Общий размер финансового обеспечения составляет 1494504,0 тыс. рублей, из которых общий размер средств федерального бюджета - 1436244,8 тыс. рублей, средств бюджета города Севастополя - 58259,2 тыс. рублей, в том числе:</w:t>
      </w:r>
    </w:p>
    <w:p>
      <w:pPr>
        <w:pStyle w:val="0"/>
        <w:spacing w:before="200" w:line-rule="auto"/>
        <w:ind w:firstLine="540"/>
        <w:jc w:val="both"/>
      </w:pPr>
      <w:r>
        <w:rPr>
          <w:sz w:val="20"/>
        </w:rPr>
        <w:t xml:space="preserve">- на 2021 год - 276103,7 тыс. рублей, в том числе средств федерального бюджета - 259928,6 тыс. рублей, средств бюджета города Севастополя - 16175,1 тыс. рублей;</w:t>
      </w:r>
    </w:p>
    <w:p>
      <w:pPr>
        <w:pStyle w:val="0"/>
        <w:spacing w:before="200" w:line-rule="auto"/>
        <w:ind w:firstLine="540"/>
        <w:jc w:val="both"/>
      </w:pPr>
      <w:r>
        <w:rPr>
          <w:sz w:val="20"/>
        </w:rPr>
        <w:t xml:space="preserve">- на 2022 год - 282403,1 тыс. рублей, в том числе средств федерального бюджета - 261403,6 тыс. рублей, средств бюджета города Севастополя - 20999,5 тыс. рублей;</w:t>
      </w:r>
    </w:p>
    <w:p>
      <w:pPr>
        <w:pStyle w:val="0"/>
        <w:spacing w:before="200" w:line-rule="auto"/>
        <w:ind w:firstLine="540"/>
        <w:jc w:val="both"/>
      </w:pPr>
      <w:r>
        <w:rPr>
          <w:sz w:val="20"/>
        </w:rPr>
        <w:t xml:space="preserve">- на 2023 год - 267427,8 тыс. рублей, в том числе средств федерального бюджета - 261403,6 тыс. рублей, средств бюджета города Севастополя - 6024,2 тыс. рублей;</w:t>
      </w:r>
    </w:p>
    <w:p>
      <w:pPr>
        <w:pStyle w:val="0"/>
        <w:spacing w:before="200" w:line-rule="auto"/>
        <w:ind w:firstLine="540"/>
        <w:jc w:val="both"/>
      </w:pPr>
      <w:r>
        <w:rPr>
          <w:sz w:val="20"/>
        </w:rPr>
        <w:t xml:space="preserve">- на 2024 год - 267427,8 тыс. рублей, в том числе средств федерального бюджета - 261403,6 тыс. рублей, средств бюджета города Севастополя - 6024,2 тыс. рублей;</w:t>
      </w:r>
    </w:p>
    <w:p>
      <w:pPr>
        <w:pStyle w:val="0"/>
        <w:spacing w:before="200" w:line-rule="auto"/>
        <w:ind w:firstLine="540"/>
        <w:jc w:val="both"/>
      </w:pPr>
      <w:r>
        <w:rPr>
          <w:sz w:val="20"/>
        </w:rPr>
        <w:t xml:space="preserve">- на 2025 год - 401141,6 тыс. рублей, в том числе средств федерального бюджета - 392105,4 тыс. рублей, средств бюджета города Севастополя - 9036,2 тыс. рублей.</w:t>
      </w:r>
    </w:p>
    <w:p>
      <w:pPr>
        <w:pStyle w:val="0"/>
      </w:pPr>
      <w:r>
        <w:rPr>
          <w:sz w:val="20"/>
        </w:rPr>
      </w:r>
    </w:p>
    <w:p>
      <w:pPr>
        <w:pStyle w:val="2"/>
        <w:outlineLvl w:val="3"/>
        <w:jc w:val="center"/>
      </w:pPr>
      <w:r>
        <w:rPr>
          <w:sz w:val="20"/>
        </w:rPr>
        <w:t xml:space="preserve">I. Основные цели и задачи Программы</w:t>
      </w:r>
    </w:p>
    <w:p>
      <w:pPr>
        <w:pStyle w:val="0"/>
        <w:jc w:val="center"/>
      </w:pPr>
      <w:r>
        <w:rPr>
          <w:sz w:val="20"/>
        </w:rPr>
      </w:r>
    </w:p>
    <w:p>
      <w:pPr>
        <w:pStyle w:val="0"/>
        <w:ind w:firstLine="540"/>
        <w:jc w:val="both"/>
      </w:pPr>
      <w:r>
        <w:rPr>
          <w:sz w:val="20"/>
        </w:rPr>
        <w:t xml:space="preserve">Программа разработана во исполнение </w:t>
      </w:r>
      <w:hyperlink w:history="0" r:id="rId865" w:tooltip="&quot;Перечень поручений по итогам совещания по вопросам модернизации первичного звена здравоохранения&quot; (утв. Президентом РФ 02.09.2019 N Пр-1755) {КонсультантПлюс}">
        <w:r>
          <w:rPr>
            <w:sz w:val="20"/>
            <w:color w:val="0000ff"/>
          </w:rPr>
          <w:t xml:space="preserve">подпункта "в" пункта 2</w:t>
        </w:r>
      </w:hyperlink>
      <w:r>
        <w:rPr>
          <w:sz w:val="20"/>
        </w:rPr>
        <w:t xml:space="preserve"> перечня поручений Президента Российской Федерации по итогам совещания по вопросам модернизации первичного звена здравоохранения от 20.08.2019 N Пр-1755 и в целях реализации </w:t>
      </w:r>
      <w:hyperlink w:history="0" r:id="rId866" w:tooltip="Постановление Правительства РФ от 09.10.2019 N 1304 (ред. от 01.03.2023) &quot;О модернизации первичного звена здравоохранения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09.10.2019 N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w:t>
      </w:r>
    </w:p>
    <w:p>
      <w:pPr>
        <w:pStyle w:val="0"/>
        <w:spacing w:before="200" w:line-rule="auto"/>
        <w:ind w:firstLine="540"/>
        <w:jc w:val="both"/>
      </w:pPr>
      <w:r>
        <w:rPr>
          <w:sz w:val="20"/>
        </w:rPr>
        <w:t xml:space="preserve">Цель Программы: создание условий для повышения доступности и качества оказания первичной медико-санитарной помощи в соответствии с законодательством.</w:t>
      </w:r>
    </w:p>
    <w:p>
      <w:pPr>
        <w:pStyle w:val="0"/>
        <w:spacing w:before="200" w:line-rule="auto"/>
        <w:ind w:firstLine="540"/>
        <w:jc w:val="both"/>
      </w:pPr>
      <w:r>
        <w:rPr>
          <w:sz w:val="20"/>
        </w:rPr>
        <w:t xml:space="preserve">Для достижения поставленных целей предполагается решение следующих задач:</w:t>
      </w:r>
    </w:p>
    <w:p>
      <w:pPr>
        <w:pStyle w:val="0"/>
        <w:spacing w:before="200" w:line-rule="auto"/>
        <w:ind w:firstLine="540"/>
        <w:jc w:val="both"/>
      </w:pPr>
      <w:r>
        <w:rPr>
          <w:sz w:val="20"/>
        </w:rPr>
        <w:t xml:space="preserve">- осуществление мероприятий по строительству, реконструкции, капитальному ремонту объектов здравоохранения, участвующих в региональной программе;</w:t>
      </w:r>
    </w:p>
    <w:p>
      <w:pPr>
        <w:pStyle w:val="0"/>
        <w:spacing w:before="200" w:line-rule="auto"/>
        <w:ind w:firstLine="540"/>
        <w:jc w:val="both"/>
      </w:pPr>
      <w:r>
        <w:rPr>
          <w:sz w:val="20"/>
        </w:rPr>
        <w:t xml:space="preserve">- оснащение медицинских организаций, участвующих в региональной программе, современным медицинским, в том числе диагностическим, оборудованием в соответствии с порядками оказания медицинской помощи;</w:t>
      </w:r>
    </w:p>
    <w:p>
      <w:pPr>
        <w:pStyle w:val="0"/>
        <w:spacing w:before="200" w:line-rule="auto"/>
        <w:ind w:firstLine="540"/>
        <w:jc w:val="both"/>
      </w:pPr>
      <w:r>
        <w:rPr>
          <w:sz w:val="20"/>
        </w:rPr>
        <w:t xml:space="preserve">- обновление автопарка санитарных автомобилей в медицинских организациях, участвующих в региональной программе;</w:t>
      </w:r>
    </w:p>
    <w:p>
      <w:pPr>
        <w:pStyle w:val="0"/>
        <w:spacing w:before="200" w:line-rule="auto"/>
        <w:ind w:firstLine="540"/>
        <w:jc w:val="both"/>
      </w:pPr>
      <w:r>
        <w:rPr>
          <w:sz w:val="20"/>
        </w:rPr>
        <w:t xml:space="preserve">- обеспечение притока медицинских кадров в медицинские организации, участвующие в региональной программе;</w:t>
      </w:r>
    </w:p>
    <w:p>
      <w:pPr>
        <w:pStyle w:val="0"/>
        <w:spacing w:before="200" w:line-rule="auto"/>
        <w:ind w:firstLine="540"/>
        <w:jc w:val="both"/>
      </w:pPr>
      <w:r>
        <w:rPr>
          <w:sz w:val="20"/>
        </w:rPr>
        <w:t xml:space="preserve">- формирование системы дистанционного наблюдения за состоянием здоровья пациента.</w:t>
      </w:r>
    </w:p>
    <w:p>
      <w:pPr>
        <w:pStyle w:val="0"/>
        <w:spacing w:before="200" w:line-rule="auto"/>
        <w:ind w:firstLine="540"/>
        <w:jc w:val="both"/>
      </w:pPr>
      <w:r>
        <w:rPr>
          <w:sz w:val="20"/>
        </w:rPr>
        <w:t xml:space="preserve">Цели и задачи Программы связаны с реализацией государственной программы "Развитие здравоохранения в городе Севастополе", содержащей мероприятия по повышению качества и доступности первичной медико-санитарной помощи, а также с реализацией региональной составляющей федерального проекта "Развитие системы оказания первичной медико-санитарной помощи".</w:t>
      </w:r>
    </w:p>
    <w:p>
      <w:pPr>
        <w:pStyle w:val="0"/>
        <w:spacing w:before="200" w:line-rule="auto"/>
        <w:ind w:firstLine="540"/>
        <w:jc w:val="both"/>
      </w:pPr>
      <w:r>
        <w:rPr>
          <w:sz w:val="20"/>
        </w:rPr>
        <w:t xml:space="preserve">Ответственным за достижение целей и задач Программы является Департамент здравоохранения города Севастополя. Участниками (соисполнителями) Программы являются Департамент капитального строительства города Севастополя, Департамент транспорта и развития дорожно-транспортной инфраструктуры города Севастополя, медицинские организации, подведомственные Департаменту здравоохранения города Севастополя.</w:t>
      </w:r>
    </w:p>
    <w:p>
      <w:pPr>
        <w:pStyle w:val="0"/>
        <w:jc w:val="center"/>
      </w:pPr>
      <w:r>
        <w:rPr>
          <w:sz w:val="20"/>
        </w:rPr>
      </w:r>
    </w:p>
    <w:p>
      <w:pPr>
        <w:pStyle w:val="2"/>
        <w:outlineLvl w:val="3"/>
        <w:jc w:val="center"/>
      </w:pPr>
      <w:r>
        <w:rPr>
          <w:sz w:val="20"/>
        </w:rPr>
        <w:t xml:space="preserve">II. Ожидаемые результаты реализации Программы,</w:t>
      </w:r>
    </w:p>
    <w:p>
      <w:pPr>
        <w:pStyle w:val="2"/>
        <w:jc w:val="center"/>
      </w:pPr>
      <w:r>
        <w:rPr>
          <w:sz w:val="20"/>
        </w:rPr>
        <w:t xml:space="preserve">целевые индикаторы</w:t>
      </w:r>
    </w:p>
    <w:p>
      <w:pPr>
        <w:pStyle w:val="0"/>
        <w:jc w:val="center"/>
      </w:pPr>
      <w:r>
        <w:rPr>
          <w:sz w:val="20"/>
        </w:rPr>
      </w:r>
    </w:p>
    <w:p>
      <w:pPr>
        <w:pStyle w:val="0"/>
        <w:ind w:firstLine="540"/>
        <w:jc w:val="both"/>
      </w:pPr>
      <w:r>
        <w:rPr>
          <w:sz w:val="20"/>
        </w:rPr>
        <w:t xml:space="preserve">Программа является одним из инструментов, обеспечивающих достижение к 2024 целей, предусмотренных государственной программой "Развитие здравоохранения в городе Севастополе".</w:t>
      </w:r>
    </w:p>
    <w:p>
      <w:pPr>
        <w:pStyle w:val="0"/>
        <w:spacing w:before="200" w:line-rule="auto"/>
        <w:ind w:firstLine="540"/>
        <w:jc w:val="both"/>
      </w:pPr>
      <w:r>
        <w:rPr>
          <w:sz w:val="20"/>
        </w:rPr>
        <w:t xml:space="preserve">Реализация Программы позволит обеспечить растущую потребность населения города Севастополя в оказании доступной и качественной первичной медико-санитарной помощи.</w:t>
      </w:r>
    </w:p>
    <w:p>
      <w:pPr>
        <w:pStyle w:val="0"/>
        <w:spacing w:before="200" w:line-rule="auto"/>
        <w:ind w:firstLine="540"/>
        <w:jc w:val="both"/>
      </w:pPr>
      <w:r>
        <w:rPr>
          <w:sz w:val="20"/>
        </w:rPr>
        <w:t xml:space="preserve">В городе Севастополе существуют учреждения здравоохранения, в которых созданы недостаточно комфортные условия, имеются очереди к врачам-специалистам, высокая нагрузка на медицинских работников.</w:t>
      </w:r>
    </w:p>
    <w:p>
      <w:pPr>
        <w:pStyle w:val="0"/>
        <w:spacing w:before="200" w:line-rule="auto"/>
        <w:ind w:firstLine="540"/>
        <w:jc w:val="both"/>
      </w:pPr>
      <w:r>
        <w:rPr>
          <w:sz w:val="20"/>
        </w:rPr>
        <w:t xml:space="preserve">Остро стоит проблема материально-технического оснащения объектов здравоохранения, на базе которых оказывается первичная медико-санитарная помощь, устарело оборудование, высок уровень износа санитарного автотранспорта.</w:t>
      </w:r>
    </w:p>
    <w:p>
      <w:pPr>
        <w:pStyle w:val="0"/>
        <w:spacing w:before="200" w:line-rule="auto"/>
        <w:ind w:firstLine="540"/>
        <w:jc w:val="both"/>
      </w:pPr>
      <w:r>
        <w:rPr>
          <w:sz w:val="20"/>
        </w:rPr>
        <w:t xml:space="preserve">В рамках Программы планируется устранить дефицит мощности медицинских организаций первичного звена, число посещений в смену:</w:t>
      </w:r>
    </w:p>
    <w:p>
      <w:pPr>
        <w:pStyle w:val="0"/>
        <w:spacing w:before="200" w:line-rule="auto"/>
        <w:ind w:firstLine="540"/>
        <w:jc w:val="both"/>
      </w:pPr>
      <w:r>
        <w:rPr>
          <w:sz w:val="20"/>
        </w:rPr>
        <w:t xml:space="preserve">в 2021 году - 1200 посещений в смену;</w:t>
      </w:r>
    </w:p>
    <w:p>
      <w:pPr>
        <w:pStyle w:val="0"/>
        <w:spacing w:before="200" w:line-rule="auto"/>
        <w:ind w:firstLine="540"/>
        <w:jc w:val="both"/>
      </w:pPr>
      <w:r>
        <w:rPr>
          <w:sz w:val="20"/>
        </w:rPr>
        <w:t xml:space="preserve">в 2022 году - 1100 посещений в смену;</w:t>
      </w:r>
    </w:p>
    <w:p>
      <w:pPr>
        <w:pStyle w:val="0"/>
        <w:spacing w:before="200" w:line-rule="auto"/>
        <w:ind w:firstLine="540"/>
        <w:jc w:val="both"/>
      </w:pPr>
      <w:r>
        <w:rPr>
          <w:sz w:val="20"/>
        </w:rPr>
        <w:t xml:space="preserve">в 2023 году - 1000 посещений в смену;</w:t>
      </w:r>
    </w:p>
    <w:p>
      <w:pPr>
        <w:pStyle w:val="0"/>
        <w:spacing w:before="200" w:line-rule="auto"/>
        <w:ind w:firstLine="540"/>
        <w:jc w:val="both"/>
      </w:pPr>
      <w:r>
        <w:rPr>
          <w:sz w:val="20"/>
        </w:rPr>
        <w:t xml:space="preserve">в 2024 году - 0 посещений в смену;</w:t>
      </w:r>
    </w:p>
    <w:p>
      <w:pPr>
        <w:pStyle w:val="0"/>
        <w:spacing w:before="200" w:line-rule="auto"/>
        <w:ind w:firstLine="540"/>
        <w:jc w:val="both"/>
      </w:pPr>
      <w:r>
        <w:rPr>
          <w:sz w:val="20"/>
        </w:rPr>
        <w:t xml:space="preserve">в 2025 году - 0 посещений в смену.</w:t>
      </w:r>
    </w:p>
    <w:p>
      <w:pPr>
        <w:pStyle w:val="0"/>
        <w:spacing w:before="200" w:line-rule="auto"/>
        <w:ind w:firstLine="540"/>
        <w:jc w:val="both"/>
      </w:pPr>
      <w:r>
        <w:rPr>
          <w:sz w:val="20"/>
        </w:rPr>
        <w:t xml:space="preserve">Планируется увеличить долю медицинских организаций первичного звена здравоохранения города Севастополя, полностью оснащенных медицинским оборудованием в соответствии со стандартами оснащения, в общем количестве медицинских организаций первичного звена здравоохранения города Севастополя, %:</w:t>
      </w:r>
    </w:p>
    <w:p>
      <w:pPr>
        <w:pStyle w:val="0"/>
        <w:spacing w:before="200" w:line-rule="auto"/>
        <w:ind w:firstLine="540"/>
        <w:jc w:val="both"/>
      </w:pPr>
      <w:r>
        <w:rPr>
          <w:sz w:val="20"/>
        </w:rPr>
        <w:t xml:space="preserve">в 2021 году - 60%;</w:t>
      </w:r>
    </w:p>
    <w:p>
      <w:pPr>
        <w:pStyle w:val="0"/>
        <w:spacing w:before="200" w:line-rule="auto"/>
        <w:ind w:firstLine="540"/>
        <w:jc w:val="both"/>
      </w:pPr>
      <w:r>
        <w:rPr>
          <w:sz w:val="20"/>
        </w:rPr>
        <w:t xml:space="preserve">в 2022 году - 80%;</w:t>
      </w:r>
    </w:p>
    <w:p>
      <w:pPr>
        <w:pStyle w:val="0"/>
        <w:spacing w:before="200" w:line-rule="auto"/>
        <w:ind w:firstLine="540"/>
        <w:jc w:val="both"/>
      </w:pPr>
      <w:r>
        <w:rPr>
          <w:sz w:val="20"/>
        </w:rPr>
        <w:t xml:space="preserve">в 2023 году - 100%;</w:t>
      </w:r>
    </w:p>
    <w:p>
      <w:pPr>
        <w:pStyle w:val="0"/>
        <w:spacing w:before="200" w:line-rule="auto"/>
        <w:ind w:firstLine="540"/>
        <w:jc w:val="both"/>
      </w:pPr>
      <w:r>
        <w:rPr>
          <w:sz w:val="20"/>
        </w:rPr>
        <w:t xml:space="preserve">в 2024 году - 100%;</w:t>
      </w:r>
    </w:p>
    <w:p>
      <w:pPr>
        <w:pStyle w:val="0"/>
        <w:spacing w:before="200" w:line-rule="auto"/>
        <w:ind w:firstLine="540"/>
        <w:jc w:val="both"/>
      </w:pPr>
      <w:r>
        <w:rPr>
          <w:sz w:val="20"/>
        </w:rPr>
        <w:t xml:space="preserve">в 2025 году - 100%.</w:t>
      </w:r>
    </w:p>
    <w:p>
      <w:pPr>
        <w:pStyle w:val="0"/>
        <w:spacing w:before="200" w:line-rule="auto"/>
        <w:ind w:firstLine="540"/>
        <w:jc w:val="both"/>
      </w:pPr>
      <w:r>
        <w:rPr>
          <w:sz w:val="20"/>
        </w:rPr>
        <w:t xml:space="preserve">В рамках Программы предполагается снизить дефицит врачей в первичном звене здравоохранения города Севастополя, человек:</w:t>
      </w:r>
    </w:p>
    <w:p>
      <w:pPr>
        <w:pStyle w:val="0"/>
        <w:spacing w:before="200" w:line-rule="auto"/>
        <w:ind w:firstLine="540"/>
        <w:jc w:val="both"/>
      </w:pPr>
      <w:r>
        <w:rPr>
          <w:sz w:val="20"/>
        </w:rPr>
        <w:t xml:space="preserve">в 2021 году - 503 чел.;</w:t>
      </w:r>
    </w:p>
    <w:p>
      <w:pPr>
        <w:pStyle w:val="0"/>
        <w:spacing w:before="200" w:line-rule="auto"/>
        <w:ind w:firstLine="540"/>
        <w:jc w:val="both"/>
      </w:pPr>
      <w:r>
        <w:rPr>
          <w:sz w:val="20"/>
        </w:rPr>
        <w:t xml:space="preserve">в 2022 году - 400 чел.;</w:t>
      </w:r>
    </w:p>
    <w:p>
      <w:pPr>
        <w:pStyle w:val="0"/>
        <w:spacing w:before="200" w:line-rule="auto"/>
        <w:ind w:firstLine="540"/>
        <w:jc w:val="both"/>
      </w:pPr>
      <w:r>
        <w:rPr>
          <w:sz w:val="20"/>
        </w:rPr>
        <w:t xml:space="preserve">в 2023 году - 250 чел.;</w:t>
      </w:r>
    </w:p>
    <w:p>
      <w:pPr>
        <w:pStyle w:val="0"/>
        <w:spacing w:before="200" w:line-rule="auto"/>
        <w:ind w:firstLine="540"/>
        <w:jc w:val="both"/>
      </w:pPr>
      <w:r>
        <w:rPr>
          <w:sz w:val="20"/>
        </w:rPr>
        <w:t xml:space="preserve">в 2024 году - 150 чел.;</w:t>
      </w:r>
    </w:p>
    <w:p>
      <w:pPr>
        <w:pStyle w:val="0"/>
        <w:spacing w:before="200" w:line-rule="auto"/>
        <w:ind w:firstLine="540"/>
        <w:jc w:val="both"/>
      </w:pPr>
      <w:r>
        <w:rPr>
          <w:sz w:val="20"/>
        </w:rPr>
        <w:t xml:space="preserve">в 2025 году - 0 чел.</w:t>
      </w:r>
    </w:p>
    <w:p>
      <w:pPr>
        <w:pStyle w:val="0"/>
        <w:spacing w:before="200" w:line-rule="auto"/>
        <w:ind w:firstLine="540"/>
        <w:jc w:val="both"/>
      </w:pPr>
      <w:r>
        <w:rPr>
          <w:sz w:val="20"/>
        </w:rPr>
        <w:t xml:space="preserve">Планируется увеличить оснащенность медицинских организаций, участвующих в региональной программе, цифровыми медицинскими изделиями и сервисами дистанционного мониторинга состояния здоровья пациентов, %:</w:t>
      </w:r>
    </w:p>
    <w:p>
      <w:pPr>
        <w:pStyle w:val="0"/>
        <w:spacing w:before="200" w:line-rule="auto"/>
        <w:ind w:firstLine="540"/>
        <w:jc w:val="both"/>
      </w:pPr>
      <w:r>
        <w:rPr>
          <w:sz w:val="20"/>
        </w:rPr>
        <w:t xml:space="preserve">в 2021 году - 20%;</w:t>
      </w:r>
    </w:p>
    <w:p>
      <w:pPr>
        <w:pStyle w:val="0"/>
        <w:spacing w:before="200" w:line-rule="auto"/>
        <w:ind w:firstLine="540"/>
        <w:jc w:val="both"/>
      </w:pPr>
      <w:r>
        <w:rPr>
          <w:sz w:val="20"/>
        </w:rPr>
        <w:t xml:space="preserve">в 2022 году - 40%;</w:t>
      </w:r>
    </w:p>
    <w:p>
      <w:pPr>
        <w:pStyle w:val="0"/>
        <w:spacing w:before="200" w:line-rule="auto"/>
        <w:ind w:firstLine="540"/>
        <w:jc w:val="both"/>
      </w:pPr>
      <w:r>
        <w:rPr>
          <w:sz w:val="20"/>
        </w:rPr>
        <w:t xml:space="preserve">в 2023 году - 60%;</w:t>
      </w:r>
    </w:p>
    <w:p>
      <w:pPr>
        <w:pStyle w:val="0"/>
        <w:spacing w:before="200" w:line-rule="auto"/>
        <w:ind w:firstLine="540"/>
        <w:jc w:val="both"/>
      </w:pPr>
      <w:r>
        <w:rPr>
          <w:sz w:val="20"/>
        </w:rPr>
        <w:t xml:space="preserve">в 2024 году - 80%;</w:t>
      </w:r>
    </w:p>
    <w:p>
      <w:pPr>
        <w:pStyle w:val="0"/>
        <w:spacing w:before="200" w:line-rule="auto"/>
        <w:ind w:firstLine="540"/>
        <w:jc w:val="both"/>
      </w:pPr>
      <w:r>
        <w:rPr>
          <w:sz w:val="20"/>
        </w:rPr>
        <w:t xml:space="preserve">в 2025 году - 100%.</w:t>
      </w:r>
    </w:p>
    <w:p>
      <w:pPr>
        <w:pStyle w:val="0"/>
        <w:jc w:val="center"/>
      </w:pPr>
      <w:r>
        <w:rPr>
          <w:sz w:val="20"/>
        </w:rPr>
      </w:r>
    </w:p>
    <w:p>
      <w:pPr>
        <w:pStyle w:val="2"/>
        <w:outlineLvl w:val="3"/>
        <w:jc w:val="center"/>
      </w:pPr>
      <w:r>
        <w:rPr>
          <w:sz w:val="20"/>
        </w:rPr>
        <w:t xml:space="preserve">III. Перечень и описание программных мероприятий</w:t>
      </w:r>
    </w:p>
    <w:p>
      <w:pPr>
        <w:pStyle w:val="0"/>
        <w:jc w:val="center"/>
      </w:pPr>
      <w:r>
        <w:rPr>
          <w:sz w:val="20"/>
        </w:rPr>
      </w:r>
    </w:p>
    <w:p>
      <w:pPr>
        <w:pStyle w:val="0"/>
        <w:ind w:firstLine="540"/>
        <w:jc w:val="both"/>
      </w:pPr>
      <w:r>
        <w:rPr>
          <w:sz w:val="20"/>
        </w:rPr>
        <w:t xml:space="preserve">Программа реализуется в 2021 - 2025 годах.</w:t>
      </w:r>
    </w:p>
    <w:p>
      <w:pPr>
        <w:pStyle w:val="0"/>
        <w:spacing w:before="200" w:line-rule="auto"/>
        <w:ind w:firstLine="540"/>
        <w:jc w:val="both"/>
      </w:pPr>
      <w:r>
        <w:rPr>
          <w:sz w:val="20"/>
        </w:rPr>
        <w:t xml:space="preserve">Общий размер финансового обеспечения составляет 1494504,0 тыс. рублей, из которых общий размер средств федерального бюджета составляет 1436244,8 тыс. рублей, средств бюджета города Севастополя 58259,2 тыс. рублей, в том числе:</w:t>
      </w:r>
    </w:p>
    <w:p>
      <w:pPr>
        <w:pStyle w:val="0"/>
        <w:spacing w:before="200" w:line-rule="auto"/>
        <w:ind w:firstLine="540"/>
        <w:jc w:val="both"/>
      </w:pPr>
      <w:r>
        <w:rPr>
          <w:sz w:val="20"/>
        </w:rPr>
        <w:t xml:space="preserve">- на 2021 год - 276103,7 тыс. рублей, в том числе средств федерального бюджета - 259928,6 тыс. рублей, средств бюджета города Севастополя - 16175,1 тыс. рублей;</w:t>
      </w:r>
    </w:p>
    <w:p>
      <w:pPr>
        <w:pStyle w:val="0"/>
        <w:spacing w:before="200" w:line-rule="auto"/>
        <w:ind w:firstLine="540"/>
        <w:jc w:val="both"/>
      </w:pPr>
      <w:r>
        <w:rPr>
          <w:sz w:val="20"/>
        </w:rPr>
        <w:t xml:space="preserve">- на 2022 год - 282403,1 тыс. рублей, в том числе средств федерального бюджета - 261403,6 тыс. рублей, средств бюджета города Севастополя - 20999,5 тыс. рублей;</w:t>
      </w:r>
    </w:p>
    <w:p>
      <w:pPr>
        <w:pStyle w:val="0"/>
        <w:spacing w:before="200" w:line-rule="auto"/>
        <w:ind w:firstLine="540"/>
        <w:jc w:val="both"/>
      </w:pPr>
      <w:r>
        <w:rPr>
          <w:sz w:val="20"/>
        </w:rPr>
        <w:t xml:space="preserve">- на 2023 год - 267427,8 тыс. рублей, в том числе средств федерального бюджета - 261403,6 тыс. рублей, средств бюджета города Севастополя - 6024,2 тыс. рублей;</w:t>
      </w:r>
    </w:p>
    <w:p>
      <w:pPr>
        <w:pStyle w:val="0"/>
        <w:spacing w:before="200" w:line-rule="auto"/>
        <w:ind w:firstLine="540"/>
        <w:jc w:val="both"/>
      </w:pPr>
      <w:r>
        <w:rPr>
          <w:sz w:val="20"/>
        </w:rPr>
        <w:t xml:space="preserve">- на 2024 год - 267427,8 тыс. рублей, в том числе средств федерального бюджета - 261403,6 тыс. рублей, средств бюджета города Севастополя - 6024,2 тыс. рублей;</w:t>
      </w:r>
    </w:p>
    <w:p>
      <w:pPr>
        <w:pStyle w:val="0"/>
        <w:spacing w:before="200" w:line-rule="auto"/>
        <w:ind w:firstLine="540"/>
        <w:jc w:val="both"/>
      </w:pPr>
      <w:r>
        <w:rPr>
          <w:sz w:val="20"/>
        </w:rPr>
        <w:t xml:space="preserve">- на 2025 год - 401141,6 тыс. рублей, в том числе средств федерального бюджета - 392105,4 тыс. рублей, средств бюджета города Севастополя - 9036,2 тыс. рублей.</w:t>
      </w:r>
    </w:p>
    <w:p>
      <w:pPr>
        <w:pStyle w:val="0"/>
        <w:spacing w:before="200" w:line-rule="auto"/>
        <w:ind w:firstLine="540"/>
        <w:jc w:val="both"/>
      </w:pPr>
      <w:r>
        <w:rPr>
          <w:sz w:val="20"/>
        </w:rPr>
        <w:t xml:space="preserve">Достижение цели и решение поставленных задач в Программе осуществляются путем выполнения следующих взаимоувязанных по срокам реализации, ресурсам и источникам финансового обеспечения мероприятий Программы.</w:t>
      </w:r>
    </w:p>
    <w:p>
      <w:pPr>
        <w:pStyle w:val="0"/>
        <w:spacing w:before="200" w:line-rule="auto"/>
        <w:ind w:firstLine="540"/>
        <w:jc w:val="both"/>
      </w:pPr>
      <w:r>
        <w:rPr>
          <w:sz w:val="20"/>
        </w:rPr>
        <w:t xml:space="preserve">Для решения задачи 1 "Осуществление мероприятий по строительству, реконструкции, капитальному ремонту объектов здравоохранения, участвующих в региональной программе" предусмотрена реализация мероприятий по строительству новых объектов здравоохранения.</w:t>
      </w:r>
    </w:p>
    <w:p>
      <w:pPr>
        <w:pStyle w:val="0"/>
        <w:spacing w:before="200" w:line-rule="auto"/>
        <w:ind w:firstLine="540"/>
        <w:jc w:val="both"/>
      </w:pPr>
      <w:r>
        <w:rPr>
          <w:sz w:val="20"/>
        </w:rPr>
        <w:t xml:space="preserve">Ответственные за реализацию данного мероприятия: Департамент здравоохранения города Севастополя, Департамент капитального строительства города Севастополя.</w:t>
      </w:r>
    </w:p>
    <w:p>
      <w:pPr>
        <w:pStyle w:val="0"/>
        <w:spacing w:before="200" w:line-rule="auto"/>
        <w:ind w:firstLine="540"/>
        <w:jc w:val="both"/>
      </w:pPr>
      <w:r>
        <w:rPr>
          <w:sz w:val="20"/>
        </w:rPr>
        <w:t xml:space="preserve">Для реализации задачи 2 "Оснащение медицинских организаций, участвующих в региональной программе, современным медицинским, в том числе диагностическим, оборудованием в соответствии с порядками оказания медицинской помощи" предусмотрена реализация мероприятия "Закупка медицинского оборудования для медицинских организаций, оказывающих первичную медико-санитарную помощь, в целях приведения в соответствие с порядками и стандартами оснащения".</w:t>
      </w:r>
    </w:p>
    <w:p>
      <w:pPr>
        <w:pStyle w:val="0"/>
        <w:spacing w:before="200" w:line-rule="auto"/>
        <w:ind w:firstLine="540"/>
        <w:jc w:val="both"/>
      </w:pPr>
      <w:r>
        <w:rPr>
          <w:sz w:val="20"/>
        </w:rPr>
        <w:t xml:space="preserve">Ответственным за реализацию данного мероприятия является Департамент здравоохранения города Севастополя.</w:t>
      </w:r>
    </w:p>
    <w:p>
      <w:pPr>
        <w:pStyle w:val="0"/>
        <w:spacing w:before="200" w:line-rule="auto"/>
        <w:ind w:firstLine="540"/>
        <w:jc w:val="both"/>
      </w:pPr>
      <w:r>
        <w:rPr>
          <w:sz w:val="20"/>
        </w:rPr>
        <w:t xml:space="preserve">Для реализации задачи 3 "Обновление автопарка санитарных автомобилей в медицинских организациях, участвующих в региональной программе" предусмотрена закупка санитарных автомобилей для медицинских организаций, оказывающих первичную медико-санитарную помощь, в целях обеспечения потребности в автотранспорте.</w:t>
      </w:r>
    </w:p>
    <w:p>
      <w:pPr>
        <w:pStyle w:val="0"/>
        <w:spacing w:before="200" w:line-rule="auto"/>
        <w:ind w:firstLine="540"/>
        <w:jc w:val="both"/>
      </w:pPr>
      <w:r>
        <w:rPr>
          <w:sz w:val="20"/>
        </w:rPr>
        <w:t xml:space="preserve">Ответственным за реализацию данного мероприятия является Департамент здравоохранения города Севастополя.</w:t>
      </w:r>
    </w:p>
    <w:p>
      <w:pPr>
        <w:pStyle w:val="0"/>
        <w:spacing w:before="200" w:line-rule="auto"/>
        <w:ind w:firstLine="540"/>
        <w:jc w:val="both"/>
      </w:pPr>
      <w:r>
        <w:rPr>
          <w:sz w:val="20"/>
        </w:rPr>
        <w:t xml:space="preserve">Для реализации задачи 4 "Обеспечение притока медицинских кадров в медицинские организации, участвующие в региональной программе" предусмотрено усиление мер социальной поддержки в первичном звене для врачей и среднего медицинского персонала.</w:t>
      </w:r>
    </w:p>
    <w:p>
      <w:pPr>
        <w:pStyle w:val="0"/>
        <w:spacing w:before="200" w:line-rule="auto"/>
        <w:ind w:firstLine="540"/>
        <w:jc w:val="both"/>
      </w:pPr>
      <w:r>
        <w:rPr>
          <w:sz w:val="20"/>
        </w:rPr>
        <w:t xml:space="preserve">Ответственным за реализацию данного мероприятия является Департамент здравоохранения города Севастополя.</w:t>
      </w:r>
    </w:p>
    <w:p>
      <w:pPr>
        <w:pStyle w:val="0"/>
        <w:spacing w:before="200" w:line-rule="auto"/>
        <w:ind w:firstLine="540"/>
        <w:jc w:val="both"/>
      </w:pPr>
      <w:r>
        <w:rPr>
          <w:sz w:val="20"/>
        </w:rPr>
        <w:t xml:space="preserve">Для реализации задачи 5 "Формирование системы дистанционного наблюдения за состоянием здоровья пациента" предусмотрено создание единого цифрового контура здравоохранения города Севастополя.</w:t>
      </w:r>
    </w:p>
    <w:p>
      <w:pPr>
        <w:pStyle w:val="0"/>
        <w:spacing w:before="200" w:line-rule="auto"/>
        <w:ind w:firstLine="540"/>
        <w:jc w:val="both"/>
      </w:pPr>
      <w:r>
        <w:rPr>
          <w:sz w:val="20"/>
        </w:rPr>
        <w:t xml:space="preserve">Ответственным за реализацию данного мероприятия является ГБУЗС "МИАЦ".</w:t>
      </w:r>
    </w:p>
    <w:p>
      <w:pPr>
        <w:pStyle w:val="0"/>
        <w:jc w:val="center"/>
      </w:pPr>
      <w:r>
        <w:rPr>
          <w:sz w:val="20"/>
        </w:rPr>
      </w:r>
    </w:p>
    <w:p>
      <w:pPr>
        <w:pStyle w:val="2"/>
        <w:outlineLvl w:val="3"/>
        <w:jc w:val="center"/>
      </w:pPr>
      <w:r>
        <w:rPr>
          <w:sz w:val="20"/>
        </w:rPr>
        <w:t xml:space="preserve">IV. Срок реализации региональной программы "Модернизация</w:t>
      </w:r>
    </w:p>
    <w:p>
      <w:pPr>
        <w:pStyle w:val="2"/>
        <w:jc w:val="center"/>
      </w:pPr>
      <w:r>
        <w:rPr>
          <w:sz w:val="20"/>
        </w:rPr>
        <w:t xml:space="preserve">первичного звена здравоохранения города Севастополя"</w:t>
      </w:r>
    </w:p>
    <w:p>
      <w:pPr>
        <w:pStyle w:val="0"/>
        <w:jc w:val="center"/>
      </w:pPr>
      <w:r>
        <w:rPr>
          <w:sz w:val="20"/>
        </w:rPr>
      </w:r>
    </w:p>
    <w:p>
      <w:pPr>
        <w:pStyle w:val="0"/>
        <w:ind w:firstLine="540"/>
        <w:jc w:val="both"/>
      </w:pPr>
      <w:r>
        <w:rPr>
          <w:sz w:val="20"/>
        </w:rPr>
        <w:t xml:space="preserve">Программа реализуется в 2021 - 2025 годах.</w:t>
      </w:r>
    </w:p>
    <w:p>
      <w:pPr>
        <w:pStyle w:val="0"/>
        <w:jc w:val="center"/>
      </w:pPr>
      <w:r>
        <w:rPr>
          <w:sz w:val="20"/>
        </w:rPr>
      </w:r>
    </w:p>
    <w:p>
      <w:pPr>
        <w:pStyle w:val="2"/>
        <w:outlineLvl w:val="3"/>
        <w:jc w:val="center"/>
      </w:pPr>
      <w:r>
        <w:rPr>
          <w:sz w:val="20"/>
        </w:rPr>
        <w:t xml:space="preserve">V. Система управления реализацией Программы</w:t>
      </w:r>
    </w:p>
    <w:p>
      <w:pPr>
        <w:pStyle w:val="0"/>
        <w:jc w:val="center"/>
      </w:pPr>
      <w:r>
        <w:rPr>
          <w:sz w:val="20"/>
        </w:rPr>
      </w:r>
    </w:p>
    <w:p>
      <w:pPr>
        <w:pStyle w:val="0"/>
        <w:ind w:firstLine="540"/>
        <w:jc w:val="both"/>
      </w:pPr>
      <w:r>
        <w:rPr>
          <w:sz w:val="20"/>
        </w:rPr>
        <w:t xml:space="preserve">Разработчиком Программы является Департамент здравоохранения города Севастополя, который осуществляет управление реализацией Программы:</w:t>
      </w:r>
    </w:p>
    <w:p>
      <w:pPr>
        <w:pStyle w:val="0"/>
        <w:spacing w:before="200" w:line-rule="auto"/>
        <w:ind w:firstLine="540"/>
        <w:jc w:val="both"/>
      </w:pPr>
      <w:r>
        <w:rPr>
          <w:sz w:val="20"/>
        </w:rPr>
        <w:t xml:space="preserve">- определяет формы и методы управления реализацией Программы;</w:t>
      </w:r>
    </w:p>
    <w:p>
      <w:pPr>
        <w:pStyle w:val="0"/>
        <w:spacing w:before="200" w:line-rule="auto"/>
        <w:ind w:firstLine="540"/>
        <w:jc w:val="both"/>
      </w:pPr>
      <w:r>
        <w:rPr>
          <w:sz w:val="20"/>
        </w:rPr>
        <w:t xml:space="preserve">- осуществляет планирование реализации мероприятий Программы;</w:t>
      </w:r>
    </w:p>
    <w:p>
      <w:pPr>
        <w:pStyle w:val="0"/>
        <w:spacing w:before="200" w:line-rule="auto"/>
        <w:ind w:firstLine="540"/>
        <w:jc w:val="both"/>
      </w:pPr>
      <w:r>
        <w:rPr>
          <w:sz w:val="20"/>
        </w:rPr>
        <w:t xml:space="preserve">- обеспечивает эффективное использование средств;</w:t>
      </w:r>
    </w:p>
    <w:p>
      <w:pPr>
        <w:pStyle w:val="0"/>
        <w:spacing w:before="200" w:line-rule="auto"/>
        <w:ind w:firstLine="540"/>
        <w:jc w:val="both"/>
      </w:pPr>
      <w:r>
        <w:rPr>
          <w:sz w:val="20"/>
        </w:rPr>
        <w:t xml:space="preserve">- проводит мониторинг эффективности реализации мероприятий Программы и расходования бюджетных средств и формирует отчеты о ходе реализации Программы;</w:t>
      </w:r>
    </w:p>
    <w:p>
      <w:pPr>
        <w:pStyle w:val="0"/>
        <w:spacing w:before="200" w:line-rule="auto"/>
        <w:ind w:firstLine="540"/>
        <w:jc w:val="both"/>
      </w:pPr>
      <w:r>
        <w:rPr>
          <w:sz w:val="20"/>
        </w:rPr>
        <w:t xml:space="preserve">- размещает на официальном сайте Департамента здравоохранения города Севастополя в информационно-телекоммуникационной сети "Интернет" информацию о ходе и результатах реализации Программы;</w:t>
      </w:r>
    </w:p>
    <w:p>
      <w:pPr>
        <w:pStyle w:val="0"/>
        <w:spacing w:before="200" w:line-rule="auto"/>
        <w:ind w:firstLine="540"/>
        <w:jc w:val="both"/>
      </w:pPr>
      <w:r>
        <w:rPr>
          <w:sz w:val="20"/>
        </w:rPr>
        <w:t xml:space="preserve">- отвечает за обеспечение хода реализации Программы и достижение ее конечных результатов;</w:t>
      </w:r>
    </w:p>
    <w:p>
      <w:pPr>
        <w:pStyle w:val="0"/>
        <w:spacing w:before="200" w:line-rule="auto"/>
        <w:ind w:firstLine="540"/>
        <w:jc w:val="both"/>
      </w:pPr>
      <w:r>
        <w:rPr>
          <w:sz w:val="20"/>
        </w:rPr>
        <w:t xml:space="preserve">- подготавливает при необходимости предложения об уточнении мероприятий Программы на очередной финансовый год, уточняет затраты на реализацию мероприятий Программы, а также обеспечивает механизм ее выполнения.</w:t>
      </w:r>
    </w:p>
    <w:p>
      <w:pPr>
        <w:pStyle w:val="0"/>
        <w:spacing w:before="200" w:line-rule="auto"/>
        <w:ind w:firstLine="540"/>
        <w:jc w:val="both"/>
      </w:pPr>
      <w:r>
        <w:rPr>
          <w:sz w:val="20"/>
        </w:rPr>
        <w:t xml:space="preserve">Участниками Программы являются Департамент капитального строительства города Севастополя, Департамент транспорта и развития дорожно-транспортной инфраструктуры города Севастополя, медицинские организации, подведомственные Департаменту здравоохранения города Севастополя, которые:</w:t>
      </w:r>
    </w:p>
    <w:p>
      <w:pPr>
        <w:pStyle w:val="0"/>
        <w:spacing w:before="200" w:line-rule="auto"/>
        <w:ind w:firstLine="540"/>
        <w:jc w:val="both"/>
      </w:pPr>
      <w:r>
        <w:rPr>
          <w:sz w:val="20"/>
        </w:rPr>
        <w:t xml:space="preserve">- несут ответственность за достижение показателей, характеризующих степень реализации мероприятий;</w:t>
      </w:r>
    </w:p>
    <w:p>
      <w:pPr>
        <w:pStyle w:val="0"/>
        <w:spacing w:before="200" w:line-rule="auto"/>
        <w:ind w:firstLine="540"/>
        <w:jc w:val="both"/>
      </w:pPr>
      <w:r>
        <w:rPr>
          <w:sz w:val="20"/>
        </w:rPr>
        <w:t xml:space="preserve">- обеспечивают эффективное использование средств, выделяемых на реализацию мероприятий, ответственными за выполнение которых являются;</w:t>
      </w:r>
    </w:p>
    <w:p>
      <w:pPr>
        <w:pStyle w:val="0"/>
        <w:spacing w:before="200" w:line-rule="auto"/>
        <w:ind w:firstLine="540"/>
        <w:jc w:val="both"/>
      </w:pPr>
      <w:r>
        <w:rPr>
          <w:sz w:val="20"/>
        </w:rPr>
        <w:t xml:space="preserve">- представляют Департаменту здравоохранения города Севастополя отчеты о ходе реализации мероприятий Программы;</w:t>
      </w:r>
    </w:p>
    <w:p>
      <w:pPr>
        <w:pStyle w:val="0"/>
        <w:spacing w:before="200" w:line-rule="auto"/>
        <w:ind w:firstLine="540"/>
        <w:jc w:val="both"/>
      </w:pPr>
      <w:r>
        <w:rPr>
          <w:sz w:val="20"/>
        </w:rPr>
        <w:t xml:space="preserve">- участвуют в подготовке аналитических материалов о ходе работ по реализации Программы, достигнутых результатах и эффективности использования финансовых средств.</w:t>
      </w:r>
    </w:p>
    <w:p>
      <w:pPr>
        <w:pStyle w:val="0"/>
        <w:spacing w:before="200" w:line-rule="auto"/>
        <w:ind w:firstLine="540"/>
        <w:jc w:val="both"/>
      </w:pPr>
      <w:r>
        <w:rPr>
          <w:sz w:val="20"/>
        </w:rPr>
        <w:t xml:space="preserve">Руководителем Программы является директор Департамента здравоохранения города Севастополя.</w:t>
      </w:r>
    </w:p>
    <w:p>
      <w:pPr>
        <w:pStyle w:val="0"/>
        <w:spacing w:before="200" w:line-rule="auto"/>
        <w:ind w:firstLine="540"/>
        <w:jc w:val="both"/>
      </w:pPr>
      <w:r>
        <w:rPr>
          <w:sz w:val="20"/>
        </w:rPr>
        <w:t xml:space="preserve">Руководитель Программы:</w:t>
      </w:r>
    </w:p>
    <w:p>
      <w:pPr>
        <w:pStyle w:val="0"/>
        <w:spacing w:before="200" w:line-rule="auto"/>
        <w:ind w:firstLine="540"/>
        <w:jc w:val="both"/>
      </w:pPr>
      <w:r>
        <w:rPr>
          <w:sz w:val="20"/>
        </w:rPr>
        <w:t xml:space="preserve">- несет персональную ответственность за реализацию Программы и ее конечные результаты;</w:t>
      </w:r>
    </w:p>
    <w:p>
      <w:pPr>
        <w:pStyle w:val="0"/>
        <w:spacing w:before="200" w:line-rule="auto"/>
        <w:ind w:firstLine="540"/>
        <w:jc w:val="both"/>
      </w:pPr>
      <w:r>
        <w:rPr>
          <w:sz w:val="20"/>
        </w:rPr>
        <w:t xml:space="preserve">- определяет формы и методы управления реализацией Программы;</w:t>
      </w:r>
    </w:p>
    <w:p>
      <w:pPr>
        <w:pStyle w:val="0"/>
        <w:spacing w:before="200" w:line-rule="auto"/>
        <w:ind w:firstLine="540"/>
        <w:jc w:val="both"/>
      </w:pPr>
      <w:r>
        <w:rPr>
          <w:sz w:val="20"/>
        </w:rPr>
        <w:t xml:space="preserve">- определяет порядок привлечения работников к выполнению мероприятий Программы и порядок оперативной корректировки планов-графиков реализации мероприятий Программы.</w:t>
      </w:r>
    </w:p>
    <w:p>
      <w:pPr>
        <w:pStyle w:val="0"/>
        <w:spacing w:before="200" w:line-rule="auto"/>
        <w:ind w:firstLine="540"/>
        <w:jc w:val="both"/>
      </w:pPr>
      <w:r>
        <w:rPr>
          <w:sz w:val="20"/>
        </w:rPr>
        <w:t xml:space="preserve">По инициативе руководителя Программы в Программу могут вноситься изменения.</w:t>
      </w:r>
    </w:p>
    <w:p>
      <w:pPr>
        <w:pStyle w:val="0"/>
        <w:spacing w:before="200" w:line-rule="auto"/>
        <w:ind w:firstLine="540"/>
        <w:jc w:val="both"/>
      </w:pPr>
      <w:r>
        <w:rPr>
          <w:sz w:val="20"/>
        </w:rPr>
        <w:t xml:space="preserve">Оперативное сопровождение Программы возлагается на ГБУЗС "МИАЦ". ГБУЗС "МИАЦ" осуществляет следующие полномочия:</w:t>
      </w:r>
    </w:p>
    <w:p>
      <w:pPr>
        <w:pStyle w:val="0"/>
        <w:spacing w:before="200" w:line-rule="auto"/>
        <w:ind w:firstLine="540"/>
        <w:jc w:val="both"/>
      </w:pPr>
      <w:r>
        <w:rPr>
          <w:sz w:val="20"/>
        </w:rPr>
        <w:t xml:space="preserve">- составление сводной аналитической отчетности о ходе реализации Программы;</w:t>
      </w:r>
    </w:p>
    <w:p>
      <w:pPr>
        <w:pStyle w:val="0"/>
        <w:spacing w:before="200" w:line-rule="auto"/>
        <w:ind w:firstLine="540"/>
        <w:jc w:val="both"/>
      </w:pPr>
      <w:r>
        <w:rPr>
          <w:sz w:val="20"/>
        </w:rPr>
        <w:t xml:space="preserve">- анализ эффективности реализации мероприятий Программы.</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2</w:t>
      </w:r>
    </w:p>
    <w:p>
      <w:pPr>
        <w:pStyle w:val="0"/>
        <w:jc w:val="right"/>
      </w:pPr>
      <w:r>
        <w:rPr>
          <w:sz w:val="20"/>
        </w:rPr>
        <w:t xml:space="preserve">к региональной программе</w:t>
      </w:r>
    </w:p>
    <w:p>
      <w:pPr>
        <w:pStyle w:val="0"/>
        <w:jc w:val="right"/>
      </w:pPr>
      <w:r>
        <w:rPr>
          <w:sz w:val="20"/>
        </w:rPr>
        <w:t xml:space="preserve">"Модернизация первичного звена</w:t>
      </w:r>
    </w:p>
    <w:p>
      <w:pPr>
        <w:pStyle w:val="0"/>
        <w:jc w:val="right"/>
      </w:pPr>
      <w:r>
        <w:rPr>
          <w:sz w:val="20"/>
        </w:rPr>
        <w:t xml:space="preserve">здравоохранения города Севастополя"</w:t>
      </w:r>
    </w:p>
    <w:p>
      <w:pPr>
        <w:pStyle w:val="0"/>
      </w:pPr>
      <w:r>
        <w:rPr>
          <w:sz w:val="20"/>
        </w:rPr>
      </w:r>
    </w:p>
    <w:bookmarkStart w:id="30828" w:name="P30828"/>
    <w:bookmarkEnd w:id="30828"/>
    <w:p>
      <w:pPr>
        <w:pStyle w:val="2"/>
        <w:jc w:val="center"/>
      </w:pPr>
      <w:r>
        <w:rPr>
          <w:sz w:val="20"/>
        </w:rPr>
        <w:t xml:space="preserve">План мероприятий по реализации Программы</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3911"/>
        <w:gridCol w:w="1530"/>
        <w:gridCol w:w="1530"/>
        <w:gridCol w:w="2664"/>
        <w:gridCol w:w="3401"/>
      </w:tblGrid>
      <w:tr>
        <w:tc>
          <w:tcPr>
            <w:tcW w:w="566" w:type="dxa"/>
            <w:vMerge w:val="restart"/>
          </w:tcPr>
          <w:p>
            <w:pPr>
              <w:pStyle w:val="0"/>
              <w:jc w:val="center"/>
            </w:pPr>
            <w:r>
              <w:rPr>
                <w:sz w:val="20"/>
              </w:rPr>
              <w:t xml:space="preserve">N п/п</w:t>
            </w:r>
          </w:p>
        </w:tc>
        <w:tc>
          <w:tcPr>
            <w:tcW w:w="3911" w:type="dxa"/>
            <w:vMerge w:val="restart"/>
          </w:tcPr>
          <w:p>
            <w:pPr>
              <w:pStyle w:val="0"/>
              <w:jc w:val="center"/>
            </w:pPr>
            <w:r>
              <w:rPr>
                <w:sz w:val="20"/>
              </w:rPr>
              <w:t xml:space="preserve">Наименование мероприятия</w:t>
            </w:r>
          </w:p>
        </w:tc>
        <w:tc>
          <w:tcPr>
            <w:gridSpan w:val="2"/>
            <w:tcW w:w="3060" w:type="dxa"/>
          </w:tcPr>
          <w:p>
            <w:pPr>
              <w:pStyle w:val="0"/>
              <w:jc w:val="center"/>
            </w:pPr>
            <w:r>
              <w:rPr>
                <w:sz w:val="20"/>
              </w:rPr>
              <w:t xml:space="preserve">Срок реализации</w:t>
            </w:r>
          </w:p>
        </w:tc>
        <w:tc>
          <w:tcPr>
            <w:tcW w:w="2664" w:type="dxa"/>
            <w:vMerge w:val="restart"/>
          </w:tcPr>
          <w:p>
            <w:pPr>
              <w:pStyle w:val="0"/>
              <w:jc w:val="center"/>
            </w:pPr>
            <w:r>
              <w:rPr>
                <w:sz w:val="20"/>
              </w:rPr>
              <w:t xml:space="preserve">Ответственный исполнитель</w:t>
            </w:r>
          </w:p>
        </w:tc>
        <w:tc>
          <w:tcPr>
            <w:tcW w:w="3401" w:type="dxa"/>
            <w:vMerge w:val="restart"/>
          </w:tcPr>
          <w:p>
            <w:pPr>
              <w:pStyle w:val="0"/>
              <w:jc w:val="center"/>
            </w:pPr>
            <w:r>
              <w:rPr>
                <w:sz w:val="20"/>
              </w:rPr>
              <w:t xml:space="preserve">Вид документа и характеристика результата</w:t>
            </w:r>
          </w:p>
        </w:tc>
      </w:tr>
      <w:tr>
        <w:tc>
          <w:tcPr>
            <w:vMerge w:val="continue"/>
          </w:tcPr>
          <w:p/>
        </w:tc>
        <w:tc>
          <w:tcPr>
            <w:vMerge w:val="continue"/>
          </w:tcPr>
          <w:p/>
        </w:tc>
        <w:tc>
          <w:tcPr>
            <w:tcW w:w="1530" w:type="dxa"/>
          </w:tcPr>
          <w:p>
            <w:pPr>
              <w:pStyle w:val="0"/>
              <w:jc w:val="center"/>
            </w:pPr>
            <w:r>
              <w:rPr>
                <w:sz w:val="20"/>
              </w:rPr>
              <w:t xml:space="preserve">начало</w:t>
            </w:r>
          </w:p>
        </w:tc>
        <w:tc>
          <w:tcPr>
            <w:tcW w:w="1530" w:type="dxa"/>
          </w:tcPr>
          <w:p>
            <w:pPr>
              <w:pStyle w:val="0"/>
              <w:jc w:val="center"/>
            </w:pPr>
            <w:r>
              <w:rPr>
                <w:sz w:val="20"/>
              </w:rPr>
              <w:t xml:space="preserve">окончание</w:t>
            </w:r>
          </w:p>
        </w:tc>
        <w:tc>
          <w:tcPr>
            <w:vMerge w:val="continue"/>
          </w:tcPr>
          <w:p/>
        </w:tc>
        <w:tc>
          <w:tcPr>
            <w:vMerge w:val="continue"/>
          </w:tcPr>
          <w:p/>
        </w:tc>
      </w:tr>
      <w:tr>
        <w:tc>
          <w:tcPr>
            <w:tcW w:w="566" w:type="dxa"/>
          </w:tcPr>
          <w:p>
            <w:pPr>
              <w:pStyle w:val="0"/>
              <w:jc w:val="center"/>
            </w:pPr>
            <w:r>
              <w:rPr>
                <w:sz w:val="20"/>
              </w:rPr>
              <w:t xml:space="preserve">1</w:t>
            </w:r>
          </w:p>
        </w:tc>
        <w:tc>
          <w:tcPr>
            <w:tcW w:w="3911" w:type="dxa"/>
          </w:tcPr>
          <w:p>
            <w:pPr>
              <w:pStyle w:val="0"/>
              <w:jc w:val="center"/>
            </w:pPr>
            <w:r>
              <w:rPr>
                <w:sz w:val="20"/>
              </w:rPr>
              <w:t xml:space="preserve">2</w:t>
            </w:r>
          </w:p>
        </w:tc>
        <w:tc>
          <w:tcPr>
            <w:tcW w:w="1530" w:type="dxa"/>
          </w:tcPr>
          <w:p>
            <w:pPr>
              <w:pStyle w:val="0"/>
              <w:jc w:val="center"/>
            </w:pPr>
            <w:r>
              <w:rPr>
                <w:sz w:val="20"/>
              </w:rPr>
              <w:t xml:space="preserve">3</w:t>
            </w:r>
          </w:p>
        </w:tc>
        <w:tc>
          <w:tcPr>
            <w:tcW w:w="1530" w:type="dxa"/>
          </w:tcPr>
          <w:p>
            <w:pPr>
              <w:pStyle w:val="0"/>
              <w:jc w:val="center"/>
            </w:pPr>
            <w:r>
              <w:rPr>
                <w:sz w:val="20"/>
              </w:rPr>
              <w:t xml:space="preserve">4</w:t>
            </w:r>
          </w:p>
        </w:tc>
        <w:tc>
          <w:tcPr>
            <w:tcW w:w="2664" w:type="dxa"/>
          </w:tcPr>
          <w:p>
            <w:pPr>
              <w:pStyle w:val="0"/>
              <w:jc w:val="center"/>
            </w:pPr>
            <w:r>
              <w:rPr>
                <w:sz w:val="20"/>
              </w:rPr>
              <w:t xml:space="preserve">5</w:t>
            </w:r>
          </w:p>
        </w:tc>
        <w:tc>
          <w:tcPr>
            <w:tcW w:w="3401" w:type="dxa"/>
          </w:tcPr>
          <w:p>
            <w:pPr>
              <w:pStyle w:val="0"/>
              <w:jc w:val="center"/>
            </w:pPr>
            <w:r>
              <w:rPr>
                <w:sz w:val="20"/>
              </w:rPr>
              <w:t xml:space="preserve">6</w:t>
            </w:r>
          </w:p>
        </w:tc>
      </w:tr>
      <w:tr>
        <w:tc>
          <w:tcPr>
            <w:tcW w:w="566" w:type="dxa"/>
          </w:tcPr>
          <w:p>
            <w:pPr>
              <w:pStyle w:val="0"/>
              <w:jc w:val="both"/>
            </w:pPr>
            <w:r>
              <w:rPr>
                <w:sz w:val="20"/>
              </w:rPr>
              <w:t xml:space="preserve">1.</w:t>
            </w:r>
          </w:p>
        </w:tc>
        <w:tc>
          <w:tcPr>
            <w:tcW w:w="3911" w:type="dxa"/>
          </w:tcPr>
          <w:p>
            <w:pPr>
              <w:pStyle w:val="0"/>
              <w:jc w:val="both"/>
            </w:pPr>
            <w:r>
              <w:rPr>
                <w:sz w:val="20"/>
              </w:rPr>
              <w:t xml:space="preserve">Строительство и оснащение новой поликлиники взрослого населения ГБУЗС "Городская больница N 1 им. Н.И. Пирогова", ул. Тараса Шевченко</w:t>
            </w:r>
          </w:p>
        </w:tc>
        <w:tc>
          <w:tcPr>
            <w:tcW w:w="1530" w:type="dxa"/>
          </w:tcPr>
          <w:p>
            <w:pPr>
              <w:pStyle w:val="0"/>
              <w:jc w:val="both"/>
            </w:pPr>
            <w:r>
              <w:rPr>
                <w:sz w:val="20"/>
              </w:rPr>
              <w:t xml:space="preserve">2021</w:t>
            </w:r>
          </w:p>
        </w:tc>
        <w:tc>
          <w:tcPr>
            <w:tcW w:w="1530" w:type="dxa"/>
          </w:tcPr>
          <w:p>
            <w:pPr>
              <w:pStyle w:val="0"/>
              <w:jc w:val="both"/>
            </w:pPr>
            <w:r>
              <w:rPr>
                <w:sz w:val="20"/>
              </w:rPr>
              <w:t xml:space="preserve">2025</w:t>
            </w:r>
          </w:p>
        </w:tc>
        <w:tc>
          <w:tcPr>
            <w:tcW w:w="2664" w:type="dxa"/>
          </w:tcPr>
          <w:p>
            <w:pPr>
              <w:pStyle w:val="0"/>
              <w:jc w:val="both"/>
            </w:pPr>
            <w:r>
              <w:rPr>
                <w:sz w:val="20"/>
              </w:rPr>
              <w:t xml:space="preserve">Департамент капитального строительства города Севастополя</w:t>
            </w:r>
          </w:p>
        </w:tc>
        <w:tc>
          <w:tcPr>
            <w:tcW w:w="3401" w:type="dxa"/>
          </w:tcPr>
          <w:p>
            <w:pPr>
              <w:pStyle w:val="0"/>
              <w:jc w:val="both"/>
            </w:pPr>
            <w:r>
              <w:rPr>
                <w:sz w:val="20"/>
              </w:rPr>
              <w:t xml:space="preserve">Акт ввода в эксплуатацию</w:t>
            </w:r>
          </w:p>
        </w:tc>
      </w:tr>
      <w:tr>
        <w:tc>
          <w:tcPr>
            <w:tcW w:w="566" w:type="dxa"/>
          </w:tcPr>
          <w:p>
            <w:pPr>
              <w:pStyle w:val="0"/>
              <w:jc w:val="both"/>
            </w:pPr>
            <w:r>
              <w:rPr>
                <w:sz w:val="20"/>
              </w:rPr>
              <w:t xml:space="preserve">2.</w:t>
            </w:r>
          </w:p>
        </w:tc>
        <w:tc>
          <w:tcPr>
            <w:tcW w:w="3911" w:type="dxa"/>
          </w:tcPr>
          <w:p>
            <w:pPr>
              <w:pStyle w:val="0"/>
              <w:jc w:val="both"/>
            </w:pPr>
            <w:r>
              <w:rPr>
                <w:sz w:val="20"/>
              </w:rPr>
              <w:t xml:space="preserve">Строительство и оснащение врачебной амбулатории, ГБУЗС "Городская больница N 1 им. Н.И. Пирогова", Фиолентовское шоссе</w:t>
            </w:r>
          </w:p>
        </w:tc>
        <w:tc>
          <w:tcPr>
            <w:tcW w:w="1530" w:type="dxa"/>
          </w:tcPr>
          <w:p>
            <w:pPr>
              <w:pStyle w:val="0"/>
              <w:jc w:val="both"/>
            </w:pPr>
            <w:r>
              <w:rPr>
                <w:sz w:val="20"/>
              </w:rPr>
              <w:t xml:space="preserve">2021</w:t>
            </w:r>
          </w:p>
        </w:tc>
        <w:tc>
          <w:tcPr>
            <w:tcW w:w="1530" w:type="dxa"/>
          </w:tcPr>
          <w:p>
            <w:pPr>
              <w:pStyle w:val="0"/>
              <w:jc w:val="both"/>
            </w:pPr>
            <w:r>
              <w:rPr>
                <w:sz w:val="20"/>
              </w:rPr>
              <w:t xml:space="preserve">2023</w:t>
            </w:r>
          </w:p>
        </w:tc>
        <w:tc>
          <w:tcPr>
            <w:tcW w:w="2664" w:type="dxa"/>
          </w:tcPr>
          <w:p>
            <w:pPr>
              <w:pStyle w:val="0"/>
              <w:jc w:val="both"/>
            </w:pPr>
            <w:r>
              <w:rPr>
                <w:sz w:val="20"/>
              </w:rPr>
              <w:t xml:space="preserve">Департамент капитального строительства города Севастополя</w:t>
            </w:r>
          </w:p>
        </w:tc>
        <w:tc>
          <w:tcPr>
            <w:tcW w:w="3401" w:type="dxa"/>
          </w:tcPr>
          <w:p>
            <w:pPr>
              <w:pStyle w:val="0"/>
              <w:jc w:val="both"/>
            </w:pPr>
            <w:r>
              <w:rPr>
                <w:sz w:val="20"/>
              </w:rPr>
              <w:t xml:space="preserve">Акт ввода в эксплуатацию</w:t>
            </w:r>
          </w:p>
        </w:tc>
      </w:tr>
      <w:tr>
        <w:tc>
          <w:tcPr>
            <w:tcW w:w="566" w:type="dxa"/>
          </w:tcPr>
          <w:p>
            <w:pPr>
              <w:pStyle w:val="0"/>
              <w:jc w:val="both"/>
            </w:pPr>
            <w:r>
              <w:rPr>
                <w:sz w:val="20"/>
              </w:rPr>
              <w:t xml:space="preserve">3.</w:t>
            </w:r>
          </w:p>
        </w:tc>
        <w:tc>
          <w:tcPr>
            <w:tcW w:w="3911" w:type="dxa"/>
          </w:tcPr>
          <w:p>
            <w:pPr>
              <w:pStyle w:val="0"/>
              <w:jc w:val="both"/>
            </w:pPr>
            <w:r>
              <w:rPr>
                <w:sz w:val="20"/>
              </w:rPr>
              <w:t xml:space="preserve">Подготовка помещений к установке крупнотоннажного оборудования</w:t>
            </w:r>
          </w:p>
        </w:tc>
        <w:tc>
          <w:tcPr>
            <w:tcW w:w="1530" w:type="dxa"/>
          </w:tcPr>
          <w:p>
            <w:pPr>
              <w:pStyle w:val="0"/>
              <w:jc w:val="both"/>
            </w:pPr>
            <w:r>
              <w:rPr>
                <w:sz w:val="20"/>
              </w:rPr>
              <w:t xml:space="preserve">2021</w:t>
            </w:r>
          </w:p>
        </w:tc>
        <w:tc>
          <w:tcPr>
            <w:tcW w:w="1530" w:type="dxa"/>
          </w:tcPr>
          <w:p>
            <w:pPr>
              <w:pStyle w:val="0"/>
              <w:jc w:val="both"/>
            </w:pPr>
            <w:r>
              <w:rPr>
                <w:sz w:val="20"/>
              </w:rPr>
              <w:t xml:space="preserve">2025</w:t>
            </w:r>
          </w:p>
        </w:tc>
        <w:tc>
          <w:tcPr>
            <w:tcW w:w="2664" w:type="dxa"/>
          </w:tcPr>
          <w:p>
            <w:pPr>
              <w:pStyle w:val="0"/>
              <w:jc w:val="both"/>
            </w:pPr>
            <w:r>
              <w:rPr>
                <w:sz w:val="20"/>
              </w:rPr>
              <w:t xml:space="preserve">Департамент здравоохранения города Севастополя, Департамент капитального строительства города Севастополя, главные врачи медицинских организаций (далее - МО)</w:t>
            </w:r>
          </w:p>
        </w:tc>
        <w:tc>
          <w:tcPr>
            <w:tcW w:w="3401" w:type="dxa"/>
          </w:tcPr>
          <w:p>
            <w:pPr>
              <w:pStyle w:val="0"/>
              <w:jc w:val="both"/>
            </w:pPr>
            <w:r>
              <w:rPr>
                <w:sz w:val="20"/>
              </w:rPr>
              <w:t xml:space="preserve">Акт ввода в эксплуатацию</w:t>
            </w:r>
          </w:p>
        </w:tc>
      </w:tr>
      <w:tr>
        <w:tc>
          <w:tcPr>
            <w:tcW w:w="566" w:type="dxa"/>
          </w:tcPr>
          <w:p>
            <w:pPr>
              <w:pStyle w:val="0"/>
              <w:jc w:val="both"/>
            </w:pPr>
            <w:r>
              <w:rPr>
                <w:sz w:val="20"/>
              </w:rPr>
              <w:t xml:space="preserve">4.</w:t>
            </w:r>
          </w:p>
        </w:tc>
        <w:tc>
          <w:tcPr>
            <w:tcW w:w="3911" w:type="dxa"/>
          </w:tcPr>
          <w:p>
            <w:pPr>
              <w:pStyle w:val="0"/>
              <w:jc w:val="both"/>
            </w:pPr>
            <w:r>
              <w:rPr>
                <w:sz w:val="20"/>
              </w:rPr>
              <w:t xml:space="preserve">Приобретение автомобильного транспорта для медицинских организаций первичного звена</w:t>
            </w:r>
          </w:p>
        </w:tc>
        <w:tc>
          <w:tcPr>
            <w:tcW w:w="1530" w:type="dxa"/>
          </w:tcPr>
          <w:p>
            <w:pPr>
              <w:pStyle w:val="0"/>
              <w:jc w:val="both"/>
            </w:pPr>
            <w:r>
              <w:rPr>
                <w:sz w:val="20"/>
              </w:rPr>
              <w:t xml:space="preserve">2021</w:t>
            </w:r>
          </w:p>
        </w:tc>
        <w:tc>
          <w:tcPr>
            <w:tcW w:w="1530" w:type="dxa"/>
          </w:tcPr>
          <w:p>
            <w:pPr>
              <w:pStyle w:val="0"/>
              <w:jc w:val="both"/>
            </w:pPr>
            <w:r>
              <w:rPr>
                <w:sz w:val="20"/>
              </w:rPr>
              <w:t xml:space="preserve">2021</w:t>
            </w:r>
          </w:p>
        </w:tc>
        <w:tc>
          <w:tcPr>
            <w:tcW w:w="2664" w:type="dxa"/>
          </w:tcPr>
          <w:p>
            <w:pPr>
              <w:pStyle w:val="0"/>
              <w:jc w:val="both"/>
            </w:pPr>
            <w:r>
              <w:rPr>
                <w:sz w:val="20"/>
              </w:rPr>
              <w:t xml:space="preserve">Департамент здравоохранения города Севастополя, ГБУЗС "МИАЦ"</w:t>
            </w:r>
          </w:p>
        </w:tc>
        <w:tc>
          <w:tcPr>
            <w:tcW w:w="3401" w:type="dxa"/>
          </w:tcPr>
          <w:p>
            <w:pPr>
              <w:pStyle w:val="0"/>
              <w:jc w:val="both"/>
            </w:pPr>
            <w:r>
              <w:rPr>
                <w:sz w:val="20"/>
              </w:rPr>
              <w:t xml:space="preserve">Акт ввода в эксплуатацию, регистрация транспортного средства</w:t>
            </w:r>
          </w:p>
        </w:tc>
      </w:tr>
      <w:tr>
        <w:tc>
          <w:tcPr>
            <w:tcW w:w="566" w:type="dxa"/>
          </w:tcPr>
          <w:p>
            <w:pPr>
              <w:pStyle w:val="0"/>
              <w:jc w:val="both"/>
            </w:pPr>
            <w:r>
              <w:rPr>
                <w:sz w:val="20"/>
              </w:rPr>
              <w:t xml:space="preserve">5.</w:t>
            </w:r>
          </w:p>
        </w:tc>
        <w:tc>
          <w:tcPr>
            <w:tcW w:w="3911" w:type="dxa"/>
          </w:tcPr>
          <w:p>
            <w:pPr>
              <w:pStyle w:val="0"/>
              <w:jc w:val="both"/>
            </w:pPr>
            <w:r>
              <w:rPr>
                <w:sz w:val="20"/>
              </w:rPr>
              <w:t xml:space="preserve">Оснащение цифровыми медицинскими изделиями с функцией передачи данных и сервисами дистанционного мониторинга ФАП и ВА</w:t>
            </w:r>
          </w:p>
        </w:tc>
        <w:tc>
          <w:tcPr>
            <w:tcW w:w="1530" w:type="dxa"/>
          </w:tcPr>
          <w:p>
            <w:pPr>
              <w:pStyle w:val="0"/>
              <w:jc w:val="both"/>
            </w:pPr>
            <w:r>
              <w:rPr>
                <w:sz w:val="20"/>
              </w:rPr>
              <w:t xml:space="preserve">01.01.2021</w:t>
            </w:r>
          </w:p>
        </w:tc>
        <w:tc>
          <w:tcPr>
            <w:tcW w:w="1530" w:type="dxa"/>
          </w:tcPr>
          <w:p>
            <w:pPr>
              <w:pStyle w:val="0"/>
              <w:jc w:val="both"/>
            </w:pPr>
            <w:r>
              <w:rPr>
                <w:sz w:val="20"/>
              </w:rPr>
              <w:t xml:space="preserve">01.12.2021</w:t>
            </w:r>
          </w:p>
        </w:tc>
        <w:tc>
          <w:tcPr>
            <w:tcW w:w="2664" w:type="dxa"/>
          </w:tcPr>
          <w:p>
            <w:pPr>
              <w:pStyle w:val="0"/>
              <w:jc w:val="both"/>
            </w:pPr>
            <w:r>
              <w:rPr>
                <w:sz w:val="20"/>
              </w:rPr>
              <w:t xml:space="preserve">Департамент здравоохранения города Севастополя, ГБУЗС "МИАЦ"</w:t>
            </w:r>
          </w:p>
        </w:tc>
        <w:tc>
          <w:tcPr>
            <w:tcW w:w="3401" w:type="dxa"/>
          </w:tcPr>
          <w:p>
            <w:pPr>
              <w:pStyle w:val="0"/>
              <w:jc w:val="both"/>
            </w:pPr>
            <w:r>
              <w:rPr>
                <w:sz w:val="20"/>
              </w:rPr>
              <w:t xml:space="preserve">Акт ввода в эксплуатацию</w:t>
            </w:r>
          </w:p>
        </w:tc>
      </w:tr>
      <w:tr>
        <w:tc>
          <w:tcPr>
            <w:tcW w:w="566" w:type="dxa"/>
          </w:tcPr>
          <w:p>
            <w:pPr>
              <w:pStyle w:val="0"/>
              <w:jc w:val="both"/>
            </w:pPr>
            <w:r>
              <w:rPr>
                <w:sz w:val="20"/>
              </w:rPr>
              <w:t xml:space="preserve">6.</w:t>
            </w:r>
          </w:p>
        </w:tc>
        <w:tc>
          <w:tcPr>
            <w:tcW w:w="3911" w:type="dxa"/>
          </w:tcPr>
          <w:p>
            <w:pPr>
              <w:pStyle w:val="0"/>
              <w:jc w:val="both"/>
            </w:pPr>
            <w:r>
              <w:rPr>
                <w:sz w:val="20"/>
              </w:rPr>
              <w:t xml:space="preserve">Организация межведомственного взаимодействия и информационной кампании в сфере пропаганды здорового образа жизни: снижение потребления табачной продукции, снижение потребления алкогольной продукции, повышение физической активности, создание культуры здорового питания у населения города Севастополя</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Заместитель Губернатора - Председателя Правительства Севастополя, директор Департамента здравоохранения города Севастополя, главный врач ГБУЗС "Центр профилактики"</w:t>
            </w:r>
          </w:p>
        </w:tc>
        <w:tc>
          <w:tcPr>
            <w:tcW w:w="3401" w:type="dxa"/>
          </w:tcPr>
          <w:p>
            <w:pPr>
              <w:pStyle w:val="0"/>
              <w:jc w:val="both"/>
            </w:pPr>
            <w:r>
              <w:rPr>
                <w:sz w:val="20"/>
              </w:rPr>
              <w:t xml:space="preserve">Ежегодный отчет о проведенных мероприятиях по снижению факторов риска заболеваний населения</w:t>
            </w:r>
          </w:p>
        </w:tc>
      </w:tr>
      <w:tr>
        <w:tc>
          <w:tcPr>
            <w:tcW w:w="566" w:type="dxa"/>
          </w:tcPr>
          <w:p>
            <w:pPr>
              <w:pStyle w:val="0"/>
              <w:jc w:val="both"/>
            </w:pPr>
            <w:r>
              <w:rPr>
                <w:sz w:val="20"/>
              </w:rPr>
              <w:t xml:space="preserve">7.</w:t>
            </w:r>
          </w:p>
        </w:tc>
        <w:tc>
          <w:tcPr>
            <w:tcW w:w="3911" w:type="dxa"/>
          </w:tcPr>
          <w:p>
            <w:pPr>
              <w:pStyle w:val="0"/>
              <w:jc w:val="both"/>
            </w:pPr>
            <w:r>
              <w:rPr>
                <w:sz w:val="20"/>
              </w:rPr>
              <w:t xml:space="preserve">Определение групп риска по нозологиям методом анкетирования при проведении профилактических осмотров, диспансеризации</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Директор Департамента здравоохранения города Севастополя, главные врачи медицинских организаций</w:t>
            </w:r>
          </w:p>
        </w:tc>
        <w:tc>
          <w:tcPr>
            <w:tcW w:w="3401" w:type="dxa"/>
          </w:tcPr>
          <w:p>
            <w:pPr>
              <w:pStyle w:val="0"/>
              <w:jc w:val="both"/>
            </w:pPr>
            <w:r>
              <w:rPr>
                <w:sz w:val="20"/>
              </w:rPr>
              <w:t xml:space="preserve">Формирование списков групп риска из прикрепленного населения, постановка на диспансерный учет</w:t>
            </w:r>
          </w:p>
        </w:tc>
      </w:tr>
      <w:tr>
        <w:tc>
          <w:tcPr>
            <w:tcW w:w="566" w:type="dxa"/>
          </w:tcPr>
          <w:p>
            <w:pPr>
              <w:pStyle w:val="0"/>
              <w:jc w:val="both"/>
            </w:pPr>
            <w:r>
              <w:rPr>
                <w:sz w:val="20"/>
              </w:rPr>
              <w:t xml:space="preserve">8.</w:t>
            </w:r>
          </w:p>
        </w:tc>
        <w:tc>
          <w:tcPr>
            <w:tcW w:w="3911" w:type="dxa"/>
          </w:tcPr>
          <w:p>
            <w:pPr>
              <w:pStyle w:val="0"/>
              <w:jc w:val="both"/>
            </w:pPr>
            <w:r>
              <w:rPr>
                <w:sz w:val="20"/>
              </w:rPr>
              <w:t xml:space="preserve">Мероприятия по повышению мотивации населения к своевременной диагностике и лечению хронических заболеваний</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Директор Департамента здравоохранения города Севастополя, главный врач ГБУЗС "МИАЦ", главный врач ГБУЗС "Севастопольский онкологический диспансер им. А.А. Задорожного" (далее - СГОД)</w:t>
            </w:r>
          </w:p>
        </w:tc>
        <w:tc>
          <w:tcPr>
            <w:tcW w:w="3401" w:type="dxa"/>
          </w:tcPr>
          <w:p>
            <w:pPr>
              <w:pStyle w:val="0"/>
              <w:jc w:val="both"/>
            </w:pPr>
            <w:r>
              <w:rPr>
                <w:sz w:val="20"/>
              </w:rPr>
              <w:t xml:space="preserve">Увеличение доли раннего выявления злокачественных новообразований, хронических заболеваний</w:t>
            </w:r>
          </w:p>
        </w:tc>
      </w:tr>
      <w:tr>
        <w:tc>
          <w:tcPr>
            <w:tcW w:w="566" w:type="dxa"/>
          </w:tcPr>
          <w:p>
            <w:pPr>
              <w:pStyle w:val="0"/>
              <w:jc w:val="both"/>
            </w:pPr>
            <w:r>
              <w:rPr>
                <w:sz w:val="20"/>
              </w:rPr>
              <w:t xml:space="preserve">9.</w:t>
            </w:r>
          </w:p>
        </w:tc>
        <w:tc>
          <w:tcPr>
            <w:tcW w:w="3911" w:type="dxa"/>
          </w:tcPr>
          <w:p>
            <w:pPr>
              <w:pStyle w:val="0"/>
              <w:jc w:val="both"/>
            </w:pPr>
            <w:r>
              <w:rPr>
                <w:sz w:val="20"/>
              </w:rPr>
              <w:t xml:space="preserve">Пропаганда необходимости своевременного прохождения диспансеризации среди населения</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Главный врач ГБУЗС "МИАЦ"</w:t>
            </w:r>
          </w:p>
        </w:tc>
        <w:tc>
          <w:tcPr>
            <w:tcW w:w="3401" w:type="dxa"/>
          </w:tcPr>
          <w:p>
            <w:pPr>
              <w:pStyle w:val="0"/>
              <w:jc w:val="both"/>
            </w:pPr>
            <w:r>
              <w:rPr>
                <w:sz w:val="20"/>
              </w:rPr>
              <w:t xml:space="preserve">Не менее одного ролика в год с ежедневной демонстрацией на TV и наружной рекламе, регулярные публикации в печатных и интернет-изданиях, социальных сетях</w:t>
            </w:r>
          </w:p>
        </w:tc>
      </w:tr>
      <w:tr>
        <w:tc>
          <w:tcPr>
            <w:tcW w:w="566" w:type="dxa"/>
          </w:tcPr>
          <w:p>
            <w:pPr>
              <w:pStyle w:val="0"/>
              <w:jc w:val="both"/>
            </w:pPr>
            <w:r>
              <w:rPr>
                <w:sz w:val="20"/>
              </w:rPr>
              <w:t xml:space="preserve">10.</w:t>
            </w:r>
          </w:p>
        </w:tc>
        <w:tc>
          <w:tcPr>
            <w:tcW w:w="3911" w:type="dxa"/>
          </w:tcPr>
          <w:p>
            <w:pPr>
              <w:pStyle w:val="0"/>
              <w:jc w:val="both"/>
            </w:pPr>
            <w:r>
              <w:rPr>
                <w:sz w:val="20"/>
              </w:rPr>
              <w:t xml:space="preserve">Анализ показателей численности населения, прошедшего диспансеризацию (первый и второй этапы)</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Главный врач ГБУЗС "МИАЦ"</w:t>
            </w:r>
          </w:p>
        </w:tc>
        <w:tc>
          <w:tcPr>
            <w:tcW w:w="3401" w:type="dxa"/>
          </w:tcPr>
          <w:p>
            <w:pPr>
              <w:pStyle w:val="0"/>
              <w:jc w:val="both"/>
            </w:pPr>
            <w:r>
              <w:rPr>
                <w:sz w:val="20"/>
              </w:rPr>
              <w:t xml:space="preserve">Охват диспансеризацией до 70% населения</w:t>
            </w:r>
          </w:p>
        </w:tc>
      </w:tr>
      <w:tr>
        <w:tc>
          <w:tcPr>
            <w:tcW w:w="566" w:type="dxa"/>
          </w:tcPr>
          <w:p>
            <w:pPr>
              <w:pStyle w:val="0"/>
              <w:jc w:val="both"/>
            </w:pPr>
            <w:r>
              <w:rPr>
                <w:sz w:val="20"/>
              </w:rPr>
              <w:t xml:space="preserve">11.</w:t>
            </w:r>
          </w:p>
        </w:tc>
        <w:tc>
          <w:tcPr>
            <w:tcW w:w="3911" w:type="dxa"/>
          </w:tcPr>
          <w:p>
            <w:pPr>
              <w:pStyle w:val="0"/>
              <w:jc w:val="both"/>
            </w:pPr>
            <w:r>
              <w:rPr>
                <w:sz w:val="20"/>
              </w:rPr>
              <w:t xml:space="preserve">Мероприятия по информированию специалистов отрасли здравоохранения о системе непрерывного медицинского образования</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Начальник отдела кадровой работы Организационно-правового управления Департамента здравоохранения города Севастополя</w:t>
            </w:r>
          </w:p>
        </w:tc>
        <w:tc>
          <w:tcPr>
            <w:tcW w:w="3401" w:type="dxa"/>
          </w:tcPr>
          <w:p>
            <w:pPr>
              <w:pStyle w:val="0"/>
              <w:jc w:val="both"/>
            </w:pPr>
            <w:r>
              <w:rPr>
                <w:sz w:val="20"/>
              </w:rPr>
              <w:t xml:space="preserve">Справочная информация на официальном сайте Департамента здравоохранения города Севастополя</w:t>
            </w:r>
          </w:p>
        </w:tc>
      </w:tr>
      <w:tr>
        <w:tc>
          <w:tcPr>
            <w:tcW w:w="566" w:type="dxa"/>
          </w:tcPr>
          <w:p>
            <w:pPr>
              <w:pStyle w:val="0"/>
              <w:jc w:val="both"/>
            </w:pPr>
            <w:r>
              <w:rPr>
                <w:sz w:val="20"/>
              </w:rPr>
              <w:t xml:space="preserve">12.</w:t>
            </w:r>
          </w:p>
        </w:tc>
        <w:tc>
          <w:tcPr>
            <w:tcW w:w="3911" w:type="dxa"/>
          </w:tcPr>
          <w:p>
            <w:pPr>
              <w:pStyle w:val="0"/>
              <w:jc w:val="both"/>
            </w:pPr>
            <w:r>
              <w:rPr>
                <w:sz w:val="20"/>
              </w:rPr>
              <w:t xml:space="preserve">Организационное обеспечение проведения процедуры аккредитации специалистов</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Севастопольское государственное бюджетное образовательное учреждение профессионального образования "Севастопольский медицинский колледж имени Жени Дерюгиной"</w:t>
            </w:r>
          </w:p>
        </w:tc>
        <w:tc>
          <w:tcPr>
            <w:tcW w:w="3401" w:type="dxa"/>
          </w:tcPr>
          <w:p>
            <w:pPr>
              <w:pStyle w:val="0"/>
              <w:jc w:val="both"/>
            </w:pPr>
            <w:r>
              <w:rPr>
                <w:sz w:val="20"/>
              </w:rPr>
              <w:t xml:space="preserve">Отчеты о дооснащении симуляционного центра и локальные акты организации, на базе которой создан аккредитационно-симуляционный центр.</w:t>
            </w:r>
          </w:p>
          <w:p>
            <w:pPr>
              <w:pStyle w:val="0"/>
              <w:jc w:val="both"/>
            </w:pPr>
            <w:r>
              <w:rPr>
                <w:sz w:val="20"/>
              </w:rPr>
              <w:t xml:space="preserve">Обеспечена возможность отработки специалистами со средним медицинским образованием практических навыков в рамках повышения квалификации на базе аккредитационно-симуляционного центра</w:t>
            </w:r>
          </w:p>
        </w:tc>
      </w:tr>
      <w:tr>
        <w:tc>
          <w:tcPr>
            <w:tcW w:w="566" w:type="dxa"/>
          </w:tcPr>
          <w:p>
            <w:pPr>
              <w:pStyle w:val="0"/>
              <w:jc w:val="both"/>
            </w:pPr>
            <w:r>
              <w:rPr>
                <w:sz w:val="20"/>
              </w:rPr>
              <w:t xml:space="preserve">13.</w:t>
            </w:r>
          </w:p>
        </w:tc>
        <w:tc>
          <w:tcPr>
            <w:tcW w:w="3911" w:type="dxa"/>
          </w:tcPr>
          <w:p>
            <w:pPr>
              <w:pStyle w:val="0"/>
              <w:jc w:val="both"/>
            </w:pPr>
            <w:r>
              <w:rPr>
                <w:sz w:val="20"/>
              </w:rPr>
              <w:t xml:space="preserve">Расчет прогнозной потребности во врачах и среднем медицинском персонале для медицинских организаций, находящихся в ведении Департамента здравоохранения города Севастополя</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Определена ежегодная прогнозная потребность в медицинском персонале</w:t>
            </w:r>
          </w:p>
        </w:tc>
      </w:tr>
      <w:tr>
        <w:tc>
          <w:tcPr>
            <w:tcW w:w="566" w:type="dxa"/>
          </w:tcPr>
          <w:p>
            <w:pPr>
              <w:pStyle w:val="0"/>
              <w:jc w:val="both"/>
            </w:pPr>
            <w:r>
              <w:rPr>
                <w:sz w:val="20"/>
              </w:rPr>
              <w:t xml:space="preserve">14.</w:t>
            </w:r>
          </w:p>
        </w:tc>
        <w:tc>
          <w:tcPr>
            <w:tcW w:w="3911" w:type="dxa"/>
          </w:tcPr>
          <w:p>
            <w:pPr>
              <w:pStyle w:val="0"/>
              <w:jc w:val="both"/>
            </w:pPr>
            <w:r>
              <w:rPr>
                <w:sz w:val="20"/>
              </w:rPr>
              <w:t xml:space="preserve">Проведение конкурса на включение в кадровый резерв управленческих кадров для организаций системы здравоохранения</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ГБУЗС "МИАЦ",</w:t>
            </w:r>
          </w:p>
          <w:p>
            <w:pPr>
              <w:pStyle w:val="0"/>
              <w:jc w:val="both"/>
            </w:pPr>
            <w:r>
              <w:rPr>
                <w:sz w:val="20"/>
              </w:rPr>
              <w:t xml:space="preserve">начальник Организационно-правового управления Департамента здравоохранения города Севастополя, начальник отдела кадровой работы Организационно-правового управления Департамента здравоохранения города Севастополя</w:t>
            </w:r>
          </w:p>
        </w:tc>
        <w:tc>
          <w:tcPr>
            <w:tcW w:w="3401" w:type="dxa"/>
          </w:tcPr>
          <w:p>
            <w:pPr>
              <w:pStyle w:val="0"/>
              <w:jc w:val="both"/>
            </w:pPr>
            <w:r>
              <w:rPr>
                <w:sz w:val="20"/>
              </w:rPr>
              <w:t xml:space="preserve">Отчет Департамента здравоохранения города Севастополя в Минздрав России о расчетной прогнозной потребности во врачах и среднем медицинском персонале для медицинских организаций.</w:t>
            </w:r>
          </w:p>
          <w:p>
            <w:pPr>
              <w:pStyle w:val="0"/>
              <w:jc w:val="both"/>
            </w:pPr>
            <w:r>
              <w:rPr>
                <w:sz w:val="20"/>
              </w:rPr>
              <w:t xml:space="preserve">Произведен расчет прогнозной потребности во врачах и среднем медицинском персонале для медицинских организаций города Севастополя на 2020 год.</w:t>
            </w:r>
          </w:p>
          <w:p>
            <w:pPr>
              <w:pStyle w:val="0"/>
              <w:jc w:val="both"/>
            </w:pPr>
            <w:r>
              <w:rPr>
                <w:sz w:val="20"/>
              </w:rPr>
              <w:t xml:space="preserve">Повышение эффективности планирования объемов подготовки специалистов для системы здравоохранения.</w:t>
            </w:r>
          </w:p>
          <w:p>
            <w:pPr>
              <w:pStyle w:val="0"/>
              <w:jc w:val="both"/>
            </w:pPr>
            <w:r>
              <w:rPr>
                <w:sz w:val="20"/>
              </w:rPr>
              <w:t xml:space="preserve">Приказ Департамента здравоохранения города Севастополя о формировании кадрового резерва.</w:t>
            </w:r>
          </w:p>
          <w:p>
            <w:pPr>
              <w:pStyle w:val="0"/>
              <w:jc w:val="both"/>
            </w:pPr>
            <w:r>
              <w:rPr>
                <w:sz w:val="20"/>
              </w:rPr>
              <w:t xml:space="preserve">Обеспечена возможность профессионального роста работающих специалистов, сформирован кадровый резерв специалистов, готовых к замещению вакантных руководящих должностей в организациях</w:t>
            </w:r>
          </w:p>
        </w:tc>
      </w:tr>
      <w:tr>
        <w:tc>
          <w:tcPr>
            <w:tcW w:w="566" w:type="dxa"/>
          </w:tcPr>
          <w:p>
            <w:pPr>
              <w:pStyle w:val="0"/>
              <w:jc w:val="both"/>
            </w:pPr>
            <w:r>
              <w:rPr>
                <w:sz w:val="20"/>
              </w:rPr>
              <w:t xml:space="preserve">15.</w:t>
            </w:r>
          </w:p>
        </w:tc>
        <w:tc>
          <w:tcPr>
            <w:tcW w:w="3911" w:type="dxa"/>
          </w:tcPr>
          <w:p>
            <w:pPr>
              <w:pStyle w:val="0"/>
              <w:jc w:val="both"/>
            </w:pPr>
            <w:r>
              <w:rPr>
                <w:sz w:val="20"/>
              </w:rPr>
              <w:t xml:space="preserve">Внедрение единых организационных требований/рекомендаций к организации профориентационной работы среди школьников города Севастополя в сфере здравоохранения</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31.12.2021</w:t>
            </w:r>
          </w:p>
        </w:tc>
        <w:tc>
          <w:tcPr>
            <w:tcW w:w="2664" w:type="dxa"/>
          </w:tcPr>
          <w:p>
            <w:pPr>
              <w:pStyle w:val="0"/>
              <w:jc w:val="both"/>
            </w:pPr>
            <w:r>
              <w:rPr>
                <w:sz w:val="20"/>
              </w:rPr>
              <w:t xml:space="preserve">Начальник отдела кадровой работы Организационно-правового управления Департамента здравоохранения города Севастополя</w:t>
            </w:r>
          </w:p>
        </w:tc>
        <w:tc>
          <w:tcPr>
            <w:tcW w:w="3401" w:type="dxa"/>
          </w:tcPr>
          <w:p>
            <w:pPr>
              <w:pStyle w:val="0"/>
              <w:jc w:val="both"/>
            </w:pPr>
            <w:r>
              <w:rPr>
                <w:sz w:val="20"/>
              </w:rPr>
              <w:t xml:space="preserve">Отчет Департамента о проведенной профориентационной работе среди школьников города Севастополя в сфере здравоохранения. Реализация концепции профориентационной работы среди школьников в сфере здравоохранения.</w:t>
            </w:r>
          </w:p>
          <w:p>
            <w:pPr>
              <w:pStyle w:val="0"/>
              <w:jc w:val="both"/>
            </w:pPr>
            <w:r>
              <w:rPr>
                <w:sz w:val="20"/>
              </w:rPr>
              <w:t xml:space="preserve">Привлечение выпускников для поступления в образовательные учреждения медицинского профиля</w:t>
            </w:r>
          </w:p>
        </w:tc>
      </w:tr>
      <w:tr>
        <w:tc>
          <w:tcPr>
            <w:tcW w:w="566" w:type="dxa"/>
          </w:tcPr>
          <w:p>
            <w:pPr>
              <w:pStyle w:val="0"/>
              <w:jc w:val="both"/>
            </w:pPr>
            <w:r>
              <w:rPr>
                <w:sz w:val="20"/>
              </w:rPr>
              <w:t xml:space="preserve">16.</w:t>
            </w:r>
          </w:p>
        </w:tc>
        <w:tc>
          <w:tcPr>
            <w:tcW w:w="3911" w:type="dxa"/>
          </w:tcPr>
          <w:p>
            <w:pPr>
              <w:pStyle w:val="0"/>
              <w:jc w:val="both"/>
            </w:pPr>
            <w:r>
              <w:rPr>
                <w:sz w:val="20"/>
              </w:rPr>
              <w:t xml:space="preserve">Формирование ежегодной заявки на выделение квоты целевого обучения образовательным и научным организациям, реализующим образовательные программы по специальностям и направлениям подготовки и (или) укрупненным группам специальностей и направлений подготовки для обучения по образовательным программам высшего образования в области "Здравоохранение и медицинские науки" с учетом необходимости кадрового обеспечения и в целях реализации мероприятий регионального проекта:</w:t>
            </w:r>
          </w:p>
          <w:p>
            <w:pPr>
              <w:pStyle w:val="0"/>
              <w:jc w:val="both"/>
            </w:pPr>
            <w:r>
              <w:rPr>
                <w:sz w:val="20"/>
              </w:rPr>
              <w:t xml:space="preserve">- по снижению смертности от онкологических и сердечно-сосудистых заболеваний;</w:t>
            </w:r>
          </w:p>
          <w:p>
            <w:pPr>
              <w:pStyle w:val="0"/>
              <w:jc w:val="both"/>
            </w:pPr>
            <w:r>
              <w:rPr>
                <w:sz w:val="20"/>
              </w:rPr>
              <w:t xml:space="preserve">- развитие системы оказания первичной медико-санитарной помощи;</w:t>
            </w:r>
          </w:p>
          <w:p>
            <w:pPr>
              <w:pStyle w:val="0"/>
              <w:jc w:val="both"/>
            </w:pPr>
            <w:r>
              <w:rPr>
                <w:sz w:val="20"/>
              </w:rPr>
              <w:t xml:space="preserve">- борьба с сердечно-сосудистыми заболеваниями;</w:t>
            </w:r>
          </w:p>
          <w:p>
            <w:pPr>
              <w:pStyle w:val="0"/>
              <w:jc w:val="both"/>
            </w:pPr>
            <w:r>
              <w:rPr>
                <w:sz w:val="20"/>
              </w:rPr>
              <w:t xml:space="preserve">- борьба с онкологическими заболеваниями;</w:t>
            </w:r>
          </w:p>
          <w:p>
            <w:pPr>
              <w:pStyle w:val="0"/>
              <w:jc w:val="both"/>
            </w:pPr>
            <w:r>
              <w:rPr>
                <w:sz w:val="20"/>
              </w:rPr>
              <w:t xml:space="preserve">- развитие детского здравоохранения;</w:t>
            </w:r>
          </w:p>
          <w:p>
            <w:pPr>
              <w:pStyle w:val="0"/>
              <w:jc w:val="both"/>
            </w:pPr>
            <w:r>
              <w:rPr>
                <w:sz w:val="20"/>
              </w:rPr>
              <w:t xml:space="preserve">- оказание паллиативной медицинской помощи</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Заместитель директора Департамента здравоохранения города Севастополя,</w:t>
            </w:r>
          </w:p>
          <w:p>
            <w:pPr>
              <w:pStyle w:val="0"/>
              <w:jc w:val="both"/>
            </w:pPr>
            <w:r>
              <w:rPr>
                <w:sz w:val="20"/>
              </w:rPr>
              <w:t xml:space="preserve">начальник Организационно-правового управления Департамента здравоохранения города Севастополя,</w:t>
            </w:r>
          </w:p>
          <w:p>
            <w:pPr>
              <w:pStyle w:val="0"/>
              <w:jc w:val="both"/>
            </w:pPr>
            <w:r>
              <w:rPr>
                <w:sz w:val="20"/>
              </w:rPr>
              <w:t xml:space="preserve">начальник отдела кадровой работы Организационно-правового управления Департамента здравоохранения города Севастополя</w:t>
            </w:r>
          </w:p>
        </w:tc>
        <w:tc>
          <w:tcPr>
            <w:tcW w:w="3401" w:type="dxa"/>
          </w:tcPr>
          <w:p>
            <w:pPr>
              <w:pStyle w:val="0"/>
              <w:jc w:val="both"/>
            </w:pPr>
            <w:r>
              <w:rPr>
                <w:sz w:val="20"/>
              </w:rPr>
              <w:t xml:space="preserve">Заявка в Минздрав России на выделение квоты целевого обучения, ее опубликование в автоматизированной системе Министерства здравоохранения Российской Федерации. Информационные письма в образовательные организации высшего образования о структуре и объемах квоты целевого обучения</w:t>
            </w:r>
          </w:p>
        </w:tc>
      </w:tr>
      <w:tr>
        <w:tc>
          <w:tcPr>
            <w:tcW w:w="566" w:type="dxa"/>
          </w:tcPr>
          <w:p>
            <w:pPr>
              <w:pStyle w:val="0"/>
              <w:jc w:val="both"/>
            </w:pPr>
            <w:r>
              <w:rPr>
                <w:sz w:val="20"/>
              </w:rPr>
              <w:t xml:space="preserve">17.</w:t>
            </w:r>
          </w:p>
        </w:tc>
        <w:tc>
          <w:tcPr>
            <w:tcW w:w="3911" w:type="dxa"/>
          </w:tcPr>
          <w:p>
            <w:pPr>
              <w:pStyle w:val="0"/>
              <w:jc w:val="both"/>
            </w:pPr>
            <w:r>
              <w:rPr>
                <w:sz w:val="20"/>
              </w:rPr>
              <w:t xml:space="preserve">Создание условий для прохождения практики обучающихся по договорам о целевом обучении в медицинских организациях - заказчиках целевого обучения (потенциальных работодателях)</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Директор Департамента здравоохранения города Севастополя</w:t>
            </w:r>
          </w:p>
        </w:tc>
        <w:tc>
          <w:tcPr>
            <w:tcW w:w="3401" w:type="dxa"/>
          </w:tcPr>
          <w:p>
            <w:pPr>
              <w:pStyle w:val="0"/>
              <w:jc w:val="both"/>
            </w:pPr>
            <w:r>
              <w:rPr>
                <w:sz w:val="20"/>
              </w:rPr>
              <w:t xml:space="preserve">Совершенствование качества подготовки медицинских специалистов.</w:t>
            </w:r>
          </w:p>
          <w:p>
            <w:pPr>
              <w:pStyle w:val="0"/>
              <w:jc w:val="both"/>
            </w:pPr>
            <w:r>
              <w:rPr>
                <w:sz w:val="20"/>
              </w:rPr>
              <w:t xml:space="preserve">Обеспечены условия, направленные на формирование, закрепление, развитие практических навыков и компетенций у обучающихся, и создана база для прохождения практики</w:t>
            </w:r>
          </w:p>
        </w:tc>
      </w:tr>
      <w:tr>
        <w:tc>
          <w:tcPr>
            <w:tcW w:w="566" w:type="dxa"/>
          </w:tcPr>
          <w:p>
            <w:pPr>
              <w:pStyle w:val="0"/>
              <w:jc w:val="both"/>
            </w:pPr>
            <w:r>
              <w:rPr>
                <w:sz w:val="20"/>
              </w:rPr>
              <w:t xml:space="preserve">18.</w:t>
            </w:r>
          </w:p>
        </w:tc>
        <w:tc>
          <w:tcPr>
            <w:tcW w:w="3911" w:type="dxa"/>
          </w:tcPr>
          <w:p>
            <w:pPr>
              <w:pStyle w:val="0"/>
              <w:jc w:val="both"/>
            </w:pPr>
            <w:r>
              <w:rPr>
                <w:sz w:val="20"/>
              </w:rPr>
              <w:t xml:space="preserve">Размещение на сайте Департамента здравоохранения города Севастополя порядка заключения договора о целевом обучении в медицинских образовательных организациях высшего образования, нормативно-правовых актов, направленных на социальную поддержку целевиков</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Директор Департамента здравоохранения города Севастополя, руководители МО</w:t>
            </w:r>
          </w:p>
        </w:tc>
        <w:tc>
          <w:tcPr>
            <w:tcW w:w="3401" w:type="dxa"/>
          </w:tcPr>
          <w:p>
            <w:pPr>
              <w:pStyle w:val="0"/>
              <w:jc w:val="both"/>
            </w:pPr>
            <w:r>
              <w:rPr>
                <w:sz w:val="20"/>
              </w:rPr>
              <w:t xml:space="preserve">Постановления Правительства Севастополя, приказы Департамента здравоохранения города Севастополя.</w:t>
            </w:r>
          </w:p>
          <w:p>
            <w:pPr>
              <w:pStyle w:val="0"/>
              <w:jc w:val="both"/>
            </w:pPr>
            <w:r>
              <w:rPr>
                <w:sz w:val="20"/>
              </w:rPr>
              <w:t xml:space="preserve">Привлечение специалистов для работы в государственных медицинских организациях города Севастополя</w:t>
            </w:r>
          </w:p>
        </w:tc>
      </w:tr>
      <w:tr>
        <w:tc>
          <w:tcPr>
            <w:tcW w:w="566" w:type="dxa"/>
          </w:tcPr>
          <w:p>
            <w:pPr>
              <w:pStyle w:val="0"/>
              <w:jc w:val="both"/>
            </w:pPr>
            <w:r>
              <w:rPr>
                <w:sz w:val="20"/>
              </w:rPr>
              <w:t xml:space="preserve">19.</w:t>
            </w:r>
          </w:p>
        </w:tc>
        <w:tc>
          <w:tcPr>
            <w:tcW w:w="3911" w:type="dxa"/>
          </w:tcPr>
          <w:p>
            <w:pPr>
              <w:pStyle w:val="0"/>
              <w:jc w:val="both"/>
            </w:pPr>
            <w:r>
              <w:rPr>
                <w:sz w:val="20"/>
              </w:rPr>
              <w:t xml:space="preserve">Предоставление доплаты к стипендии обучающимся в образовательных организациях высшего образования в рамках целевой подготовки в качестве мер социальной поддержки</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Начальник Организационно-правового управления Департамента здравоохранения города Севастополя,</w:t>
            </w:r>
          </w:p>
          <w:p>
            <w:pPr>
              <w:pStyle w:val="0"/>
              <w:jc w:val="both"/>
            </w:pPr>
            <w:r>
              <w:rPr>
                <w:sz w:val="20"/>
              </w:rPr>
              <w:t xml:space="preserve">начальник отдела кадровой работы Организационно-правового управления Департамента здравоохранения города Севастополя</w:t>
            </w:r>
          </w:p>
        </w:tc>
        <w:tc>
          <w:tcPr>
            <w:tcW w:w="3401" w:type="dxa"/>
          </w:tcPr>
          <w:p>
            <w:pPr>
              <w:pStyle w:val="0"/>
              <w:jc w:val="both"/>
            </w:pPr>
            <w:r>
              <w:rPr>
                <w:sz w:val="20"/>
              </w:rPr>
              <w:t xml:space="preserve">Приказ Департамента здравоохранения города Севастополя о выплатах мер социальной поддержки студентам, ординаторам, обучающимся в образовательных организациях высшего образования.</w:t>
            </w:r>
          </w:p>
          <w:p>
            <w:pPr>
              <w:pStyle w:val="0"/>
              <w:jc w:val="both"/>
            </w:pPr>
            <w:r>
              <w:rPr>
                <w:sz w:val="20"/>
              </w:rPr>
              <w:t xml:space="preserve">Сокращение дефицита и закрепление медицинских кадров в государственных медицинских организациях города Севастополя</w:t>
            </w:r>
          </w:p>
        </w:tc>
      </w:tr>
      <w:tr>
        <w:tc>
          <w:tcPr>
            <w:tcW w:w="566" w:type="dxa"/>
          </w:tcPr>
          <w:p>
            <w:pPr>
              <w:pStyle w:val="0"/>
              <w:jc w:val="both"/>
            </w:pPr>
            <w:r>
              <w:rPr>
                <w:sz w:val="20"/>
              </w:rPr>
              <w:t xml:space="preserve">20.</w:t>
            </w:r>
          </w:p>
        </w:tc>
        <w:tc>
          <w:tcPr>
            <w:tcW w:w="3911" w:type="dxa"/>
          </w:tcPr>
          <w:p>
            <w:pPr>
              <w:pStyle w:val="0"/>
              <w:jc w:val="both"/>
            </w:pPr>
            <w:r>
              <w:rPr>
                <w:sz w:val="20"/>
              </w:rPr>
              <w:t xml:space="preserve">Предоставление денежной компенсации за наем (поднаем) жилого помещения обучающимся в образовательных организациях высшего образования в рамках целевой подготовки в качестве мер социальной поддержки</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Заместитель директора - начальник Управления экономики и планирования Департамента здравоохранения города Севастополя,</w:t>
            </w:r>
          </w:p>
          <w:p>
            <w:pPr>
              <w:pStyle w:val="0"/>
              <w:jc w:val="both"/>
            </w:pPr>
            <w:r>
              <w:rPr>
                <w:sz w:val="20"/>
              </w:rPr>
              <w:t xml:space="preserve">начальник Организационно-правового управления Департамента здравоохранения города Севастополя</w:t>
            </w:r>
          </w:p>
        </w:tc>
        <w:tc>
          <w:tcPr>
            <w:tcW w:w="3401" w:type="dxa"/>
          </w:tcPr>
          <w:p>
            <w:pPr>
              <w:pStyle w:val="0"/>
              <w:jc w:val="both"/>
            </w:pPr>
            <w:r>
              <w:rPr>
                <w:sz w:val="20"/>
              </w:rPr>
              <w:t xml:space="preserve">Приказ Департамента здравоохранения города Севастополя о выплатах мер социальной поддержки студентам, ординаторам, обучающимся в образовательных организациях высшего образования.</w:t>
            </w:r>
          </w:p>
          <w:p>
            <w:pPr>
              <w:pStyle w:val="0"/>
              <w:jc w:val="both"/>
            </w:pPr>
            <w:r>
              <w:rPr>
                <w:sz w:val="20"/>
              </w:rPr>
              <w:t xml:space="preserve">Сокращение дефицита и закрепление медицинских кадров в государственных медицинских организациях города Севастополя</w:t>
            </w:r>
          </w:p>
        </w:tc>
      </w:tr>
      <w:tr>
        <w:tc>
          <w:tcPr>
            <w:tcW w:w="566" w:type="dxa"/>
          </w:tcPr>
          <w:p>
            <w:pPr>
              <w:pStyle w:val="0"/>
              <w:jc w:val="both"/>
            </w:pPr>
            <w:r>
              <w:rPr>
                <w:sz w:val="20"/>
              </w:rPr>
              <w:t xml:space="preserve">21.</w:t>
            </w:r>
          </w:p>
        </w:tc>
        <w:tc>
          <w:tcPr>
            <w:tcW w:w="3911" w:type="dxa"/>
          </w:tcPr>
          <w:p>
            <w:pPr>
              <w:pStyle w:val="0"/>
              <w:jc w:val="both"/>
            </w:pPr>
            <w:r>
              <w:rPr>
                <w:sz w:val="20"/>
              </w:rPr>
              <w:t xml:space="preserve">Оплата проезда к месту учебы обучающимся в образовательных организациях высшего образования в рамках целевой подготовки в качестве мер социальной поддержки</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Управление экономики и планирования Департамента здравоохранения города Севастополя,</w:t>
            </w:r>
          </w:p>
          <w:p>
            <w:pPr>
              <w:pStyle w:val="0"/>
              <w:jc w:val="both"/>
            </w:pPr>
            <w:r>
              <w:rPr>
                <w:sz w:val="20"/>
              </w:rPr>
              <w:t xml:space="preserve">начальник Организационно-правового управления Департамента здравоохранения города Севастополя</w:t>
            </w:r>
          </w:p>
        </w:tc>
        <w:tc>
          <w:tcPr>
            <w:tcW w:w="3401" w:type="dxa"/>
          </w:tcPr>
          <w:p>
            <w:pPr>
              <w:pStyle w:val="0"/>
              <w:jc w:val="both"/>
            </w:pPr>
            <w:r>
              <w:rPr>
                <w:sz w:val="20"/>
              </w:rPr>
              <w:t xml:space="preserve">Приказ Департамента здравоохранения города Севастополя о выплатах мер социальной поддержки студентам, ординаторам, обучающимся в образовательных организациях высшего образования.</w:t>
            </w:r>
          </w:p>
          <w:p>
            <w:pPr>
              <w:pStyle w:val="0"/>
              <w:jc w:val="both"/>
            </w:pPr>
            <w:r>
              <w:rPr>
                <w:sz w:val="20"/>
              </w:rPr>
              <w:t xml:space="preserve">Сокращение дефицита и закрепление медицинских кадров в государственных медицинских организациях города Севастополя</w:t>
            </w:r>
          </w:p>
        </w:tc>
      </w:tr>
      <w:tr>
        <w:tc>
          <w:tcPr>
            <w:tcW w:w="566" w:type="dxa"/>
          </w:tcPr>
          <w:p>
            <w:pPr>
              <w:pStyle w:val="0"/>
              <w:jc w:val="both"/>
            </w:pPr>
            <w:r>
              <w:rPr>
                <w:sz w:val="20"/>
              </w:rPr>
              <w:t xml:space="preserve">22.</w:t>
            </w:r>
          </w:p>
        </w:tc>
        <w:tc>
          <w:tcPr>
            <w:tcW w:w="3911" w:type="dxa"/>
          </w:tcPr>
          <w:p>
            <w:pPr>
              <w:pStyle w:val="0"/>
              <w:jc w:val="both"/>
            </w:pPr>
            <w:r>
              <w:rPr>
                <w:sz w:val="20"/>
              </w:rPr>
              <w:t xml:space="preserve">Профессиональная переподготовка и повышение квалификации врачей в учреждениях высшего и дополнительного профессионального образования в целях реализации мероприятий регионального проекта:</w:t>
            </w:r>
          </w:p>
          <w:p>
            <w:pPr>
              <w:pStyle w:val="0"/>
              <w:jc w:val="both"/>
            </w:pPr>
            <w:r>
              <w:rPr>
                <w:sz w:val="20"/>
              </w:rPr>
              <w:t xml:space="preserve">- по снижению смертности от онкологических и сердечно-сосудистых заболеваний;</w:t>
            </w:r>
          </w:p>
          <w:p>
            <w:pPr>
              <w:pStyle w:val="0"/>
              <w:jc w:val="both"/>
            </w:pPr>
            <w:r>
              <w:rPr>
                <w:sz w:val="20"/>
              </w:rPr>
              <w:t xml:space="preserve">- развитие системы оказания первичной медико-санитарной помощи;</w:t>
            </w:r>
          </w:p>
          <w:p>
            <w:pPr>
              <w:pStyle w:val="0"/>
              <w:jc w:val="both"/>
            </w:pPr>
            <w:r>
              <w:rPr>
                <w:sz w:val="20"/>
              </w:rPr>
              <w:t xml:space="preserve">- борьба с сердечно-сосудистыми заболеваниями;</w:t>
            </w:r>
          </w:p>
          <w:p>
            <w:pPr>
              <w:pStyle w:val="0"/>
              <w:jc w:val="both"/>
            </w:pPr>
            <w:r>
              <w:rPr>
                <w:sz w:val="20"/>
              </w:rPr>
              <w:t xml:space="preserve">- борьба с онкологическими заболеваниями; развитие детского здравоохранения;</w:t>
            </w:r>
          </w:p>
          <w:p>
            <w:pPr>
              <w:pStyle w:val="0"/>
              <w:jc w:val="both"/>
            </w:pPr>
            <w:r>
              <w:rPr>
                <w:sz w:val="20"/>
              </w:rPr>
              <w:t xml:space="preserve">- оказание паллиативной медицинской помощи</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Управление экономики и планирования Департамента здравоохранения города Севастополя,</w:t>
            </w:r>
          </w:p>
          <w:p>
            <w:pPr>
              <w:pStyle w:val="0"/>
              <w:jc w:val="both"/>
            </w:pPr>
            <w:r>
              <w:rPr>
                <w:sz w:val="20"/>
              </w:rPr>
              <w:t xml:space="preserve">начальник Организационно-правового управления Департамента здравоохранения города Севастополя</w:t>
            </w:r>
          </w:p>
        </w:tc>
        <w:tc>
          <w:tcPr>
            <w:tcW w:w="3401" w:type="dxa"/>
          </w:tcPr>
          <w:p>
            <w:pPr>
              <w:pStyle w:val="0"/>
              <w:jc w:val="both"/>
            </w:pPr>
            <w:r>
              <w:rPr>
                <w:sz w:val="20"/>
              </w:rPr>
              <w:t xml:space="preserve">Отчеты руководителей государственных медицинских учреждений. Прохождение переподготовки и повышения квалификации врачей</w:t>
            </w:r>
          </w:p>
        </w:tc>
      </w:tr>
      <w:tr>
        <w:tc>
          <w:tcPr>
            <w:tcW w:w="566" w:type="dxa"/>
          </w:tcPr>
          <w:p>
            <w:pPr>
              <w:pStyle w:val="0"/>
              <w:jc w:val="both"/>
            </w:pPr>
            <w:r>
              <w:rPr>
                <w:sz w:val="20"/>
              </w:rPr>
              <w:t xml:space="preserve">23.</w:t>
            </w:r>
          </w:p>
        </w:tc>
        <w:tc>
          <w:tcPr>
            <w:tcW w:w="3911" w:type="dxa"/>
          </w:tcPr>
          <w:p>
            <w:pPr>
              <w:pStyle w:val="0"/>
              <w:jc w:val="both"/>
            </w:pPr>
            <w:r>
              <w:rPr>
                <w:sz w:val="20"/>
              </w:rPr>
              <w:t xml:space="preserve">Профессиональная переподготовка и повышение квалификации специалистов со средним медицинским и фармацевтическим образованием</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Руководители МО</w:t>
            </w:r>
          </w:p>
        </w:tc>
        <w:tc>
          <w:tcPr>
            <w:tcW w:w="3401" w:type="dxa"/>
          </w:tcPr>
          <w:p>
            <w:pPr>
              <w:pStyle w:val="0"/>
              <w:jc w:val="both"/>
            </w:pPr>
            <w:r>
              <w:rPr>
                <w:sz w:val="20"/>
              </w:rPr>
              <w:t xml:space="preserve">Отчеты руководителей государственных медицинских учреждений. Прохождение переподготовки и повышения квалификации специалистов со средним медицинским и фармацевтическим образованием</w:t>
            </w:r>
          </w:p>
        </w:tc>
      </w:tr>
      <w:tr>
        <w:tc>
          <w:tcPr>
            <w:tcW w:w="566" w:type="dxa"/>
          </w:tcPr>
          <w:p>
            <w:pPr>
              <w:pStyle w:val="0"/>
              <w:jc w:val="both"/>
            </w:pPr>
            <w:r>
              <w:rPr>
                <w:sz w:val="20"/>
              </w:rPr>
              <w:t xml:space="preserve">24.</w:t>
            </w:r>
          </w:p>
        </w:tc>
        <w:tc>
          <w:tcPr>
            <w:tcW w:w="3911" w:type="dxa"/>
          </w:tcPr>
          <w:p>
            <w:pPr>
              <w:pStyle w:val="0"/>
              <w:jc w:val="both"/>
            </w:pPr>
            <w:r>
              <w:rPr>
                <w:sz w:val="20"/>
              </w:rPr>
              <w:t xml:space="preserve">Организационные мероприятия по открытию в городе Севастополе филиала медицинской академии имени С.И. Георгиевского ФГАОУ ВО "КФУ им. В.И. Вернадского" для обеспечения условий практической подготовки обучающихся по специальностям "Здравоохранение и медицинские науки"</w:t>
            </w:r>
          </w:p>
        </w:tc>
        <w:tc>
          <w:tcPr>
            <w:tcW w:w="1530" w:type="dxa"/>
          </w:tcPr>
          <w:p>
            <w:pPr>
              <w:pStyle w:val="0"/>
              <w:jc w:val="both"/>
            </w:pPr>
            <w:r>
              <w:rPr>
                <w:sz w:val="20"/>
              </w:rPr>
              <w:t xml:space="preserve">01.01.2021</w:t>
            </w:r>
          </w:p>
        </w:tc>
        <w:tc>
          <w:tcPr>
            <w:tcW w:w="1530" w:type="dxa"/>
          </w:tcPr>
          <w:p>
            <w:pPr>
              <w:pStyle w:val="0"/>
              <w:jc w:val="both"/>
            </w:pPr>
            <w:r>
              <w:rPr>
                <w:sz w:val="20"/>
              </w:rPr>
              <w:t xml:space="preserve">01.12.2021</w:t>
            </w:r>
          </w:p>
        </w:tc>
        <w:tc>
          <w:tcPr>
            <w:tcW w:w="2664" w:type="dxa"/>
          </w:tcPr>
          <w:p>
            <w:pPr>
              <w:pStyle w:val="0"/>
              <w:jc w:val="both"/>
            </w:pPr>
            <w:r>
              <w:rPr>
                <w:sz w:val="20"/>
              </w:rPr>
              <w:t xml:space="preserve">Руководители МО</w:t>
            </w:r>
          </w:p>
        </w:tc>
        <w:tc>
          <w:tcPr>
            <w:tcW w:w="3401" w:type="dxa"/>
          </w:tcPr>
          <w:p>
            <w:pPr>
              <w:pStyle w:val="0"/>
              <w:jc w:val="both"/>
            </w:pPr>
            <w:r>
              <w:rPr>
                <w:sz w:val="20"/>
              </w:rPr>
              <w:t xml:space="preserve">Проведен анализ возможности открытия филиала медицинской академии им. С.И. Георгиевского ФГАОУ ВО "КФУ им. В.И. Вернадского" для обеспечения условий практической подготовки обучающихся по специальностям "Здравоохранение и медицинские науки"</w:t>
            </w:r>
          </w:p>
        </w:tc>
      </w:tr>
      <w:tr>
        <w:tc>
          <w:tcPr>
            <w:tcW w:w="566" w:type="dxa"/>
          </w:tcPr>
          <w:p>
            <w:pPr>
              <w:pStyle w:val="0"/>
              <w:jc w:val="both"/>
            </w:pPr>
            <w:r>
              <w:rPr>
                <w:sz w:val="20"/>
              </w:rPr>
              <w:t xml:space="preserve">25.</w:t>
            </w:r>
          </w:p>
        </w:tc>
        <w:tc>
          <w:tcPr>
            <w:tcW w:w="3911" w:type="dxa"/>
          </w:tcPr>
          <w:p>
            <w:pPr>
              <w:pStyle w:val="0"/>
              <w:jc w:val="both"/>
            </w:pPr>
            <w:r>
              <w:rPr>
                <w:sz w:val="20"/>
              </w:rPr>
              <w:t xml:space="preserve">Увеличение объемов государственного задания Севастопольскому государственному бюджетному образовательному учреждению профессионального образования "Севастопольский медицинский колледж имени Жени Дерюгиной", реализующему программы среднего профессионального образования, с учетом необходимости кадрового обеспечения</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31.12.2021</w:t>
            </w:r>
          </w:p>
        </w:tc>
        <w:tc>
          <w:tcPr>
            <w:tcW w:w="2664" w:type="dxa"/>
          </w:tcPr>
          <w:p>
            <w:pPr>
              <w:pStyle w:val="0"/>
              <w:jc w:val="both"/>
            </w:pPr>
            <w:r>
              <w:rPr>
                <w:sz w:val="20"/>
              </w:rPr>
              <w:t xml:space="preserve">Директор Департамента здравоохранения города Севастополя,</w:t>
            </w:r>
          </w:p>
          <w:p>
            <w:pPr>
              <w:pStyle w:val="0"/>
              <w:jc w:val="both"/>
            </w:pPr>
            <w:r>
              <w:rPr>
                <w:sz w:val="20"/>
              </w:rPr>
              <w:t xml:space="preserve">заместитель директора Департамента здравоохранения города Севастополя</w:t>
            </w:r>
          </w:p>
        </w:tc>
        <w:tc>
          <w:tcPr>
            <w:tcW w:w="3401" w:type="dxa"/>
          </w:tcPr>
          <w:p>
            <w:pPr>
              <w:pStyle w:val="0"/>
              <w:jc w:val="both"/>
            </w:pPr>
            <w:r>
              <w:rPr>
                <w:sz w:val="20"/>
              </w:rPr>
              <w:t xml:space="preserve">Приказ Департамента здравоохранения города Севастополя об установлении государственного задания. Отчет Департамента здравоохранения города Севастополя в Минздрав России о состоянии кадровой системы. Приказ Департамента здравоохранения города Севастополя об утверждении контрольных цифр приема по профессиям и специальностям для обучения по образовательным программам среднего профессионального образования за счет бюджетных ассигнований бюджета города Севастополя.</w:t>
            </w:r>
          </w:p>
          <w:p>
            <w:pPr>
              <w:pStyle w:val="0"/>
              <w:jc w:val="both"/>
            </w:pPr>
            <w:r>
              <w:rPr>
                <w:sz w:val="20"/>
              </w:rPr>
              <w:t xml:space="preserve">Увеличено количество выпускников со средним медицинским профессиональным образованием</w:t>
            </w:r>
          </w:p>
        </w:tc>
      </w:tr>
      <w:tr>
        <w:tc>
          <w:tcPr>
            <w:tcW w:w="566" w:type="dxa"/>
          </w:tcPr>
          <w:p>
            <w:pPr>
              <w:pStyle w:val="0"/>
              <w:jc w:val="both"/>
            </w:pPr>
            <w:r>
              <w:rPr>
                <w:sz w:val="20"/>
              </w:rPr>
              <w:t xml:space="preserve">26.</w:t>
            </w:r>
          </w:p>
        </w:tc>
        <w:tc>
          <w:tcPr>
            <w:tcW w:w="3911" w:type="dxa"/>
          </w:tcPr>
          <w:p>
            <w:pPr>
              <w:pStyle w:val="0"/>
              <w:jc w:val="both"/>
            </w:pPr>
            <w:r>
              <w:rPr>
                <w:sz w:val="20"/>
              </w:rPr>
              <w:t xml:space="preserve">Увеличение численности выпускников Севастопольского государственного бюджетного образовательного учреждения профессионального образования "Севастопольский медицинский колледж имени Жени Дерюгиной", успешно прошедших процедуру аккредитации специалистов</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Отчет СГБОУ ПО "Севастопольский медицинский колледж имени Жени Дерюгиной". Доклад Департамента здравоохранения города Севастополя о результатах проведения процедуры аккредитации.</w:t>
            </w:r>
          </w:p>
          <w:p>
            <w:pPr>
              <w:pStyle w:val="0"/>
              <w:jc w:val="both"/>
            </w:pPr>
            <w:r>
              <w:rPr>
                <w:sz w:val="20"/>
              </w:rPr>
              <w:t xml:space="preserve">Совершенствование качества подготовки медицинских специалистов</w:t>
            </w:r>
          </w:p>
        </w:tc>
      </w:tr>
      <w:tr>
        <w:tc>
          <w:tcPr>
            <w:tcW w:w="566" w:type="dxa"/>
          </w:tcPr>
          <w:p>
            <w:pPr>
              <w:pStyle w:val="0"/>
              <w:jc w:val="both"/>
            </w:pPr>
            <w:r>
              <w:rPr>
                <w:sz w:val="20"/>
              </w:rPr>
              <w:t xml:space="preserve">27.</w:t>
            </w:r>
          </w:p>
        </w:tc>
        <w:tc>
          <w:tcPr>
            <w:tcW w:w="3911" w:type="dxa"/>
          </w:tcPr>
          <w:p>
            <w:pPr>
              <w:pStyle w:val="0"/>
              <w:jc w:val="both"/>
            </w:pPr>
            <w:r>
              <w:rPr>
                <w:sz w:val="20"/>
              </w:rPr>
              <w:t xml:space="preserve">Реализация регионального плана мероприятий по совершенствованию систем оплаты труда работников, направленного на увеличение доли выплат по окладам в структуре заработной платы до 55 - 60%</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Отчет Департамента здравоохранения города Севастополя в Минздрав России.</w:t>
            </w:r>
          </w:p>
          <w:p>
            <w:pPr>
              <w:pStyle w:val="0"/>
              <w:jc w:val="both"/>
            </w:pPr>
            <w:r>
              <w:rPr>
                <w:sz w:val="20"/>
              </w:rPr>
              <w:t xml:space="preserve">Достижение установленной доли выплат по окладам в структуре заработной платы</w:t>
            </w:r>
          </w:p>
        </w:tc>
      </w:tr>
      <w:tr>
        <w:tc>
          <w:tcPr>
            <w:tcW w:w="566" w:type="dxa"/>
          </w:tcPr>
          <w:p>
            <w:pPr>
              <w:pStyle w:val="0"/>
              <w:jc w:val="both"/>
            </w:pPr>
            <w:r>
              <w:rPr>
                <w:sz w:val="20"/>
              </w:rPr>
              <w:t xml:space="preserve">28.</w:t>
            </w:r>
          </w:p>
        </w:tc>
        <w:tc>
          <w:tcPr>
            <w:tcW w:w="3911" w:type="dxa"/>
          </w:tcPr>
          <w:p>
            <w:pPr>
              <w:pStyle w:val="0"/>
              <w:jc w:val="both"/>
            </w:pPr>
            <w:r>
              <w:rPr>
                <w:sz w:val="20"/>
              </w:rPr>
              <w:t xml:space="preserve">Мониторинг структур заработных плат медицинских работников</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Директор Департамента здравоохранения города Севастополя,</w:t>
            </w:r>
          </w:p>
          <w:p>
            <w:pPr>
              <w:pStyle w:val="0"/>
              <w:jc w:val="both"/>
            </w:pPr>
            <w:r>
              <w:rPr>
                <w:sz w:val="20"/>
              </w:rPr>
              <w:t xml:space="preserve">Управление экономики и планирования Департамента здравоохранения города Севастополя</w:t>
            </w:r>
          </w:p>
        </w:tc>
        <w:tc>
          <w:tcPr>
            <w:tcW w:w="3401" w:type="dxa"/>
          </w:tcPr>
          <w:p>
            <w:pPr>
              <w:pStyle w:val="0"/>
              <w:jc w:val="both"/>
            </w:pPr>
            <w:r>
              <w:rPr>
                <w:sz w:val="20"/>
              </w:rPr>
              <w:t xml:space="preserve">В Минздрав России представлены отчеты Департамента здравоохранения города Севастополя</w:t>
            </w:r>
          </w:p>
        </w:tc>
      </w:tr>
      <w:tr>
        <w:tc>
          <w:tcPr>
            <w:tcW w:w="566" w:type="dxa"/>
          </w:tcPr>
          <w:p>
            <w:pPr>
              <w:pStyle w:val="0"/>
              <w:jc w:val="both"/>
            </w:pPr>
            <w:r>
              <w:rPr>
                <w:sz w:val="20"/>
              </w:rPr>
              <w:t xml:space="preserve">29.</w:t>
            </w:r>
          </w:p>
        </w:tc>
        <w:tc>
          <w:tcPr>
            <w:tcW w:w="3911" w:type="dxa"/>
          </w:tcPr>
          <w:p>
            <w:pPr>
              <w:pStyle w:val="0"/>
              <w:jc w:val="both"/>
            </w:pPr>
            <w:r>
              <w:rPr>
                <w:sz w:val="20"/>
              </w:rPr>
              <w:t xml:space="preserve">Обеспечение поддержания достигнутых уровней средних заработных плат врачей и среднего медицинского персонала в медицинских организациях, подведомственных Департаменту здравоохранения города Севастополя, в соответствии с </w:t>
            </w:r>
            <w:hyperlink w:history="0" r:id="rId867" w:tooltip="Указ Президента РФ от 07.05.2012 N 597 &quot;О мероприятиях по реализации государственной социальной политики&quot; {КонсультантПлюс}">
              <w:r>
                <w:rPr>
                  <w:sz w:val="20"/>
                  <w:color w:val="0000ff"/>
                </w:rPr>
                <w:t xml:space="preserve">Указом</w:t>
              </w:r>
            </w:hyperlink>
            <w:r>
              <w:rPr>
                <w:sz w:val="20"/>
              </w:rPr>
              <w:t xml:space="preserve"> Президента Российской Федерации от 7 мая 2012 г. N 597</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64" w:type="dxa"/>
          </w:tcPr>
          <w:p>
            <w:pPr>
              <w:pStyle w:val="0"/>
              <w:jc w:val="both"/>
            </w:pPr>
            <w:r>
              <w:rPr>
                <w:sz w:val="20"/>
              </w:rPr>
              <w:t xml:space="preserve">Директор Департамента здравоохранения города Севастополя,</w:t>
            </w:r>
          </w:p>
          <w:p>
            <w:pPr>
              <w:pStyle w:val="0"/>
              <w:jc w:val="both"/>
            </w:pPr>
            <w:r>
              <w:rPr>
                <w:sz w:val="20"/>
              </w:rPr>
              <w:t xml:space="preserve">Управление экономики и планирования Департамента здравоохранения города Севастополя</w:t>
            </w:r>
          </w:p>
        </w:tc>
        <w:tc>
          <w:tcPr>
            <w:tcW w:w="3401" w:type="dxa"/>
          </w:tcPr>
          <w:p>
            <w:pPr>
              <w:pStyle w:val="0"/>
              <w:jc w:val="both"/>
            </w:pPr>
            <w:r>
              <w:rPr>
                <w:sz w:val="20"/>
              </w:rPr>
              <w:t xml:space="preserve">В Минздрав России представлены отчеты Департамента здравоохранения города Севастополя</w:t>
            </w:r>
          </w:p>
        </w:tc>
      </w:tr>
      <w:tr>
        <w:tc>
          <w:tcPr>
            <w:tcW w:w="566" w:type="dxa"/>
          </w:tcPr>
          <w:p>
            <w:pPr>
              <w:pStyle w:val="0"/>
              <w:jc w:val="both"/>
            </w:pPr>
            <w:r>
              <w:rPr>
                <w:sz w:val="20"/>
              </w:rPr>
              <w:t xml:space="preserve">30.</w:t>
            </w:r>
          </w:p>
        </w:tc>
        <w:tc>
          <w:tcPr>
            <w:tcW w:w="3911" w:type="dxa"/>
          </w:tcPr>
          <w:p>
            <w:pPr>
              <w:pStyle w:val="0"/>
              <w:jc w:val="both"/>
            </w:pPr>
            <w:r>
              <w:rPr>
                <w:sz w:val="20"/>
              </w:rPr>
              <w:t xml:space="preserve">Поэтапное внедрение отраслевой системы оплаты труда медицинских работников</w:t>
            </w:r>
          </w:p>
        </w:tc>
        <w:tc>
          <w:tcPr>
            <w:tcW w:w="1530" w:type="dxa"/>
          </w:tcPr>
          <w:p>
            <w:pPr>
              <w:pStyle w:val="0"/>
              <w:jc w:val="both"/>
            </w:pPr>
            <w:r>
              <w:rPr>
                <w:sz w:val="20"/>
              </w:rPr>
              <w:t xml:space="preserve">Ежегодно,</w:t>
            </w:r>
          </w:p>
          <w:p>
            <w:pPr>
              <w:pStyle w:val="0"/>
              <w:jc w:val="both"/>
            </w:pPr>
            <w:r>
              <w:rPr>
                <w:sz w:val="20"/>
              </w:rPr>
              <w:t xml:space="preserve">с 01.01.2021</w:t>
            </w:r>
          </w:p>
        </w:tc>
        <w:tc>
          <w:tcPr>
            <w:tcW w:w="1530" w:type="dxa"/>
          </w:tcPr>
          <w:p>
            <w:pPr>
              <w:pStyle w:val="0"/>
              <w:jc w:val="both"/>
            </w:pPr>
            <w:r>
              <w:rPr>
                <w:sz w:val="20"/>
              </w:rPr>
              <w:t xml:space="preserve">Ежегодно,</w:t>
            </w:r>
          </w:p>
          <w:p>
            <w:pPr>
              <w:pStyle w:val="0"/>
              <w:jc w:val="both"/>
            </w:pPr>
            <w:r>
              <w:rPr>
                <w:sz w:val="20"/>
              </w:rPr>
              <w:t xml:space="preserve">до 31.12.2025</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Ежегодный отчет о ходе исполнения.</w:t>
            </w:r>
          </w:p>
          <w:p>
            <w:pPr>
              <w:pStyle w:val="0"/>
              <w:jc w:val="both"/>
            </w:pPr>
            <w:r>
              <w:rPr>
                <w:sz w:val="20"/>
              </w:rPr>
              <w:t xml:space="preserve">Увеличение заработной платы медицинских работников медицинских организаций, оказывающих первичную медико-санитарную помощь скорую медицинскую помощь, медицинских работников центральных районных и районных больниц</w:t>
            </w:r>
          </w:p>
        </w:tc>
      </w:tr>
      <w:tr>
        <w:tc>
          <w:tcPr>
            <w:tcW w:w="566" w:type="dxa"/>
          </w:tcPr>
          <w:p>
            <w:pPr>
              <w:pStyle w:val="0"/>
              <w:jc w:val="both"/>
            </w:pPr>
            <w:r>
              <w:rPr>
                <w:sz w:val="20"/>
              </w:rPr>
              <w:t xml:space="preserve">31.</w:t>
            </w:r>
          </w:p>
        </w:tc>
        <w:tc>
          <w:tcPr>
            <w:tcW w:w="3911" w:type="dxa"/>
          </w:tcPr>
          <w:p>
            <w:pPr>
              <w:pStyle w:val="0"/>
              <w:jc w:val="both"/>
            </w:pPr>
            <w:r>
              <w:rPr>
                <w:sz w:val="20"/>
              </w:rPr>
              <w:t xml:space="preserve">Укомплектование медицинских организаций, оказывающих первичную медико-санитарную помощь, центральных районных и районных больниц медицинскими работниками</w:t>
            </w:r>
          </w:p>
        </w:tc>
        <w:tc>
          <w:tcPr>
            <w:tcW w:w="1530" w:type="dxa"/>
          </w:tcPr>
          <w:p>
            <w:pPr>
              <w:pStyle w:val="0"/>
              <w:jc w:val="both"/>
            </w:pPr>
            <w:r>
              <w:rPr>
                <w:sz w:val="20"/>
              </w:rPr>
              <w:t xml:space="preserve">С 01.01.2021,</w:t>
            </w:r>
          </w:p>
          <w:p>
            <w:pPr>
              <w:pStyle w:val="0"/>
              <w:jc w:val="both"/>
            </w:pPr>
            <w:r>
              <w:rPr>
                <w:sz w:val="20"/>
              </w:rPr>
              <w:t xml:space="preserve">далее - ежегодно</w:t>
            </w:r>
          </w:p>
        </w:tc>
        <w:tc>
          <w:tcPr>
            <w:tcW w:w="1530" w:type="dxa"/>
          </w:tcPr>
          <w:p>
            <w:pPr>
              <w:pStyle w:val="0"/>
              <w:jc w:val="both"/>
            </w:pPr>
            <w:r>
              <w:rPr>
                <w:sz w:val="20"/>
              </w:rPr>
              <w:t xml:space="preserve">Ежеквартально,</w:t>
            </w:r>
          </w:p>
          <w:p>
            <w:pPr>
              <w:pStyle w:val="0"/>
              <w:jc w:val="both"/>
            </w:pPr>
            <w:r>
              <w:rPr>
                <w:sz w:val="20"/>
              </w:rPr>
              <w:t xml:space="preserve">до 15-го числа месяца, следующего за отчетным</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Ежеквартальный отчет о ходе исполнения.</w:t>
            </w:r>
          </w:p>
          <w:p>
            <w:pPr>
              <w:pStyle w:val="0"/>
              <w:jc w:val="both"/>
            </w:pPr>
            <w:r>
              <w:rPr>
                <w:sz w:val="20"/>
              </w:rPr>
              <w:t xml:space="preserve">Медицинские организации, оказывающие первичную медико-санитарную помощь, центральные районные и районные больницы укомплектованы медицинскими работниками</w:t>
            </w:r>
          </w:p>
        </w:tc>
      </w:tr>
      <w:tr>
        <w:tc>
          <w:tcPr>
            <w:tcW w:w="566" w:type="dxa"/>
          </w:tcPr>
          <w:p>
            <w:pPr>
              <w:pStyle w:val="0"/>
              <w:jc w:val="both"/>
            </w:pPr>
            <w:r>
              <w:rPr>
                <w:sz w:val="20"/>
              </w:rPr>
              <w:t xml:space="preserve">32.</w:t>
            </w:r>
          </w:p>
        </w:tc>
        <w:tc>
          <w:tcPr>
            <w:tcW w:w="3911" w:type="dxa"/>
          </w:tcPr>
          <w:p>
            <w:pPr>
              <w:pStyle w:val="0"/>
              <w:jc w:val="both"/>
            </w:pPr>
            <w:r>
              <w:rPr>
                <w:sz w:val="20"/>
              </w:rPr>
              <w:t xml:space="preserve">Увеличение заявки на целевое обучение врачей в соответствии с дефицитными специальностями первичного звена здравоохранения</w:t>
            </w:r>
          </w:p>
        </w:tc>
        <w:tc>
          <w:tcPr>
            <w:tcW w:w="1530" w:type="dxa"/>
          </w:tcPr>
          <w:p>
            <w:pPr>
              <w:pStyle w:val="0"/>
              <w:jc w:val="both"/>
            </w:pPr>
            <w:r>
              <w:rPr>
                <w:sz w:val="20"/>
              </w:rPr>
              <w:t xml:space="preserve">С 01.01.2021,</w:t>
            </w:r>
          </w:p>
          <w:p>
            <w:pPr>
              <w:pStyle w:val="0"/>
              <w:jc w:val="both"/>
            </w:pPr>
            <w:r>
              <w:rPr>
                <w:sz w:val="20"/>
              </w:rPr>
              <w:t xml:space="preserve">далее - ежегодно</w:t>
            </w:r>
          </w:p>
        </w:tc>
        <w:tc>
          <w:tcPr>
            <w:tcW w:w="1530" w:type="dxa"/>
          </w:tcPr>
          <w:p>
            <w:pPr>
              <w:pStyle w:val="0"/>
              <w:jc w:val="both"/>
            </w:pPr>
            <w:r>
              <w:rPr>
                <w:sz w:val="20"/>
              </w:rPr>
              <w:t xml:space="preserve">Ежегодно,</w:t>
            </w:r>
          </w:p>
          <w:p>
            <w:pPr>
              <w:pStyle w:val="0"/>
              <w:jc w:val="both"/>
            </w:pPr>
            <w:r>
              <w:rPr>
                <w:sz w:val="20"/>
              </w:rPr>
              <w:t xml:space="preserve">до 15.09.2025</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Ежегодный отчет о ходе исполнения.</w:t>
            </w:r>
          </w:p>
          <w:p>
            <w:pPr>
              <w:pStyle w:val="0"/>
              <w:jc w:val="both"/>
            </w:pPr>
            <w:r>
              <w:rPr>
                <w:sz w:val="20"/>
              </w:rPr>
              <w:t xml:space="preserve">Увеличение числа врачей, оказывающих первичную медико-санитарную помощь и скорую медицинскую помощь</w:t>
            </w:r>
          </w:p>
        </w:tc>
      </w:tr>
      <w:tr>
        <w:tc>
          <w:tcPr>
            <w:tcW w:w="566" w:type="dxa"/>
          </w:tcPr>
          <w:p>
            <w:pPr>
              <w:pStyle w:val="0"/>
              <w:jc w:val="both"/>
            </w:pPr>
            <w:r>
              <w:rPr>
                <w:sz w:val="20"/>
              </w:rPr>
              <w:t xml:space="preserve">33.</w:t>
            </w:r>
          </w:p>
        </w:tc>
        <w:tc>
          <w:tcPr>
            <w:tcW w:w="3911" w:type="dxa"/>
          </w:tcPr>
          <w:p>
            <w:pPr>
              <w:pStyle w:val="0"/>
              <w:jc w:val="both"/>
            </w:pPr>
            <w:r>
              <w:rPr>
                <w:sz w:val="20"/>
              </w:rPr>
              <w:t xml:space="preserve">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1530" w:type="dxa"/>
          </w:tcPr>
          <w:p>
            <w:pPr>
              <w:pStyle w:val="0"/>
              <w:jc w:val="both"/>
            </w:pPr>
            <w:r>
              <w:rPr>
                <w:sz w:val="20"/>
              </w:rPr>
              <w:t xml:space="preserve">С 01.01.2021,</w:t>
            </w:r>
          </w:p>
          <w:p>
            <w:pPr>
              <w:pStyle w:val="0"/>
              <w:jc w:val="both"/>
            </w:pPr>
            <w:r>
              <w:rPr>
                <w:sz w:val="20"/>
              </w:rPr>
              <w:t xml:space="preserve">далее - ежегодно</w:t>
            </w:r>
          </w:p>
        </w:tc>
        <w:tc>
          <w:tcPr>
            <w:tcW w:w="1530" w:type="dxa"/>
          </w:tcPr>
          <w:p>
            <w:pPr>
              <w:pStyle w:val="0"/>
              <w:jc w:val="both"/>
            </w:pPr>
            <w:r>
              <w:rPr>
                <w:sz w:val="20"/>
              </w:rPr>
              <w:t xml:space="preserve">Ежегодно,</w:t>
            </w:r>
          </w:p>
          <w:p>
            <w:pPr>
              <w:pStyle w:val="0"/>
              <w:jc w:val="both"/>
            </w:pPr>
            <w:r>
              <w:rPr>
                <w:sz w:val="20"/>
              </w:rPr>
              <w:t xml:space="preserve">до 15.09.2025</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Ежегодный отчет о ходе исполнения.</w:t>
            </w:r>
          </w:p>
          <w:p>
            <w:pPr>
              <w:pStyle w:val="0"/>
              <w:jc w:val="both"/>
            </w:pPr>
            <w:r>
              <w:rPr>
                <w:sz w:val="20"/>
              </w:rPr>
              <w:t xml:space="preserve">Увеличение численности среднего медицинского персонала в медицинских организациях субъектов Российской Федерации</w:t>
            </w:r>
          </w:p>
        </w:tc>
      </w:tr>
      <w:tr>
        <w:tc>
          <w:tcPr>
            <w:tcW w:w="566" w:type="dxa"/>
          </w:tcPr>
          <w:p>
            <w:pPr>
              <w:pStyle w:val="0"/>
              <w:jc w:val="both"/>
            </w:pPr>
            <w:r>
              <w:rPr>
                <w:sz w:val="20"/>
              </w:rPr>
              <w:t xml:space="preserve">34.</w:t>
            </w:r>
          </w:p>
        </w:tc>
        <w:tc>
          <w:tcPr>
            <w:tcW w:w="3911" w:type="dxa"/>
          </w:tcPr>
          <w:p>
            <w:pPr>
              <w:pStyle w:val="0"/>
              <w:jc w:val="both"/>
            </w:pPr>
            <w:r>
              <w:rPr>
                <w:sz w:val="20"/>
              </w:rPr>
              <w:t xml:space="preserve">Разработка и реализация региональных мер стимулирования 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 с населением до 50 тыс. человек</w:t>
            </w:r>
          </w:p>
        </w:tc>
        <w:tc>
          <w:tcPr>
            <w:tcW w:w="1530" w:type="dxa"/>
          </w:tcPr>
          <w:p>
            <w:pPr>
              <w:pStyle w:val="0"/>
              <w:jc w:val="both"/>
            </w:pPr>
            <w:r>
              <w:rPr>
                <w:sz w:val="20"/>
              </w:rPr>
              <w:t xml:space="preserve">С 01.01.2021,</w:t>
            </w:r>
          </w:p>
          <w:p>
            <w:pPr>
              <w:pStyle w:val="0"/>
              <w:jc w:val="both"/>
            </w:pPr>
            <w:r>
              <w:rPr>
                <w:sz w:val="20"/>
              </w:rPr>
              <w:t xml:space="preserve">далее - ежегодно</w:t>
            </w:r>
          </w:p>
        </w:tc>
        <w:tc>
          <w:tcPr>
            <w:tcW w:w="1530" w:type="dxa"/>
          </w:tcPr>
          <w:p>
            <w:pPr>
              <w:pStyle w:val="0"/>
              <w:jc w:val="both"/>
            </w:pPr>
            <w:r>
              <w:rPr>
                <w:sz w:val="20"/>
              </w:rPr>
              <w:t xml:space="preserve">Ежегодно,</w:t>
            </w:r>
          </w:p>
          <w:p>
            <w:pPr>
              <w:pStyle w:val="0"/>
              <w:jc w:val="both"/>
            </w:pPr>
            <w:r>
              <w:rPr>
                <w:sz w:val="20"/>
              </w:rPr>
              <w:t xml:space="preserve">до 31.12.2025</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Ежегодный отчет о ходе исполнения.</w:t>
            </w:r>
          </w:p>
          <w:p>
            <w:pPr>
              <w:pStyle w:val="0"/>
              <w:jc w:val="both"/>
            </w:pPr>
            <w:r>
              <w:rPr>
                <w:sz w:val="20"/>
              </w:rPr>
              <w:t xml:space="preserve">Увеличение числа врачей и фельдшеров, прибывших (переехавших) на работу в сельские населенные пункты, рабочие поселки, поселки городского типа, города с населением до 50 тыс. человек</w:t>
            </w:r>
          </w:p>
        </w:tc>
      </w:tr>
      <w:tr>
        <w:tc>
          <w:tcPr>
            <w:tcW w:w="566" w:type="dxa"/>
          </w:tcPr>
          <w:p>
            <w:pPr>
              <w:pStyle w:val="0"/>
              <w:jc w:val="both"/>
            </w:pPr>
            <w:r>
              <w:rPr>
                <w:sz w:val="20"/>
              </w:rPr>
              <w:t xml:space="preserve">35.</w:t>
            </w:r>
          </w:p>
        </w:tc>
        <w:tc>
          <w:tcPr>
            <w:tcW w:w="3911" w:type="dxa"/>
          </w:tcPr>
          <w:p>
            <w:pPr>
              <w:pStyle w:val="0"/>
              <w:jc w:val="both"/>
            </w:pPr>
            <w:r>
              <w:rPr>
                <w:sz w:val="20"/>
              </w:rPr>
              <w:t xml:space="preserve">Разработка и реализация региональных мер социальной поддержки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в том числе их приоритетное обеспечение служебным жильем, использование иных механизмов обеспечения жильем</w:t>
            </w:r>
          </w:p>
        </w:tc>
        <w:tc>
          <w:tcPr>
            <w:tcW w:w="1530" w:type="dxa"/>
          </w:tcPr>
          <w:p>
            <w:pPr>
              <w:pStyle w:val="0"/>
              <w:jc w:val="both"/>
            </w:pPr>
            <w:r>
              <w:rPr>
                <w:sz w:val="20"/>
              </w:rPr>
              <w:t xml:space="preserve">С 01.01.2021,</w:t>
            </w:r>
          </w:p>
          <w:p>
            <w:pPr>
              <w:pStyle w:val="0"/>
              <w:jc w:val="both"/>
            </w:pPr>
            <w:r>
              <w:rPr>
                <w:sz w:val="20"/>
              </w:rPr>
              <w:t xml:space="preserve">далее - ежегодно</w:t>
            </w:r>
          </w:p>
        </w:tc>
        <w:tc>
          <w:tcPr>
            <w:tcW w:w="1530" w:type="dxa"/>
          </w:tcPr>
          <w:p>
            <w:pPr>
              <w:pStyle w:val="0"/>
              <w:jc w:val="both"/>
            </w:pPr>
            <w:r>
              <w:rPr>
                <w:sz w:val="20"/>
              </w:rPr>
              <w:t xml:space="preserve">Ежеквартально, до 15-го числа месяца, следующего за отчетным</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Ежеквартальный отчет о ходе исполнения. Создание условий и мотивации для закрепления медицинских работников медицинских организаций, уменьшение оттока кадров из государственного сектора отрасли здравоохранения</w:t>
            </w:r>
          </w:p>
        </w:tc>
      </w:tr>
      <w:tr>
        <w:tc>
          <w:tcPr>
            <w:tcW w:w="566" w:type="dxa"/>
          </w:tcPr>
          <w:p>
            <w:pPr>
              <w:pStyle w:val="0"/>
              <w:jc w:val="both"/>
            </w:pPr>
            <w:r>
              <w:rPr>
                <w:sz w:val="20"/>
              </w:rPr>
              <w:t xml:space="preserve">36.</w:t>
            </w:r>
          </w:p>
        </w:tc>
        <w:tc>
          <w:tcPr>
            <w:tcW w:w="3911" w:type="dxa"/>
          </w:tcPr>
          <w:p>
            <w:pPr>
              <w:pStyle w:val="0"/>
              <w:jc w:val="both"/>
            </w:pPr>
            <w:r>
              <w:rPr>
                <w:sz w:val="20"/>
              </w:rPr>
              <w:t xml:space="preserve">Включение в показатели эффективности деятельности руководителей медицинских организаций показателей, характеризующих обеспечение медицинских организаций медицинскими работниками</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31.12.2021</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Отчет о результатах исполнения по итогам 2020 года. Повышение укомплектованности медицинских организаций, оказывающих первичную медико-санитарную помощь и скорую медицинскую помощь</w:t>
            </w:r>
          </w:p>
        </w:tc>
      </w:tr>
      <w:tr>
        <w:tc>
          <w:tcPr>
            <w:tcW w:w="566" w:type="dxa"/>
          </w:tcPr>
          <w:p>
            <w:pPr>
              <w:pStyle w:val="0"/>
              <w:jc w:val="both"/>
            </w:pPr>
            <w:r>
              <w:rPr>
                <w:sz w:val="20"/>
              </w:rPr>
              <w:t xml:space="preserve">37.</w:t>
            </w:r>
          </w:p>
        </w:tc>
        <w:tc>
          <w:tcPr>
            <w:tcW w:w="3911" w:type="dxa"/>
          </w:tcPr>
          <w:p>
            <w:pPr>
              <w:pStyle w:val="0"/>
              <w:jc w:val="both"/>
            </w:pPr>
            <w:r>
              <w:rPr>
                <w:sz w:val="20"/>
              </w:rPr>
              <w:t xml:space="preserve">Внедрение механизма наставничества в отношении врачей - молодых специалистов, прошедших целевое обучение</w:t>
            </w:r>
          </w:p>
        </w:tc>
        <w:tc>
          <w:tcPr>
            <w:tcW w:w="1530" w:type="dxa"/>
          </w:tcPr>
          <w:p>
            <w:pPr>
              <w:pStyle w:val="0"/>
              <w:jc w:val="both"/>
            </w:pPr>
            <w:r>
              <w:rPr>
                <w:sz w:val="20"/>
              </w:rPr>
              <w:t xml:space="preserve">Ежегодно,</w:t>
            </w:r>
          </w:p>
          <w:p>
            <w:pPr>
              <w:pStyle w:val="0"/>
              <w:jc w:val="both"/>
            </w:pPr>
            <w:r>
              <w:rPr>
                <w:sz w:val="20"/>
              </w:rPr>
              <w:t xml:space="preserve">с 01.01.2021</w:t>
            </w:r>
          </w:p>
        </w:tc>
        <w:tc>
          <w:tcPr>
            <w:tcW w:w="1530" w:type="dxa"/>
          </w:tcPr>
          <w:p>
            <w:pPr>
              <w:pStyle w:val="0"/>
              <w:jc w:val="both"/>
            </w:pPr>
            <w:r>
              <w:rPr>
                <w:sz w:val="20"/>
              </w:rPr>
              <w:t xml:space="preserve">Ежеквартально, до 15-го числа месяца, следующего за отчетным</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Ежеквартальный отчет о ходе исполнения. Повышение числа молодых врачей в медицинских организациях государственной и муниципальной систем здравоохранения</w:t>
            </w:r>
          </w:p>
        </w:tc>
      </w:tr>
      <w:tr>
        <w:tc>
          <w:tcPr>
            <w:tcW w:w="566" w:type="dxa"/>
          </w:tcPr>
          <w:p>
            <w:pPr>
              <w:pStyle w:val="0"/>
              <w:jc w:val="both"/>
            </w:pPr>
            <w:r>
              <w:rPr>
                <w:sz w:val="20"/>
              </w:rPr>
              <w:t xml:space="preserve">38.</w:t>
            </w:r>
          </w:p>
        </w:tc>
        <w:tc>
          <w:tcPr>
            <w:tcW w:w="3911" w:type="dxa"/>
          </w:tcPr>
          <w:p>
            <w:pPr>
              <w:pStyle w:val="0"/>
              <w:jc w:val="both"/>
            </w:pPr>
            <w:r>
              <w:rPr>
                <w:sz w:val="20"/>
              </w:rPr>
              <w:t xml:space="preserve">Мероприятия по обеспечению транспортной доступности медицинских организаций</w:t>
            </w:r>
          </w:p>
        </w:tc>
        <w:tc>
          <w:tcPr>
            <w:tcW w:w="1530" w:type="dxa"/>
          </w:tcPr>
          <w:p>
            <w:pPr>
              <w:pStyle w:val="0"/>
              <w:jc w:val="both"/>
            </w:pPr>
            <w:r>
              <w:rPr>
                <w:sz w:val="20"/>
              </w:rPr>
              <w:t xml:space="preserve">01.01.2021</w:t>
            </w:r>
          </w:p>
        </w:tc>
        <w:tc>
          <w:tcPr>
            <w:tcW w:w="1530" w:type="dxa"/>
          </w:tcPr>
          <w:p>
            <w:pPr>
              <w:pStyle w:val="0"/>
              <w:jc w:val="both"/>
            </w:pPr>
            <w:r>
              <w:rPr>
                <w:sz w:val="20"/>
              </w:rPr>
              <w:t xml:space="preserve">01.12.2021</w:t>
            </w:r>
          </w:p>
        </w:tc>
        <w:tc>
          <w:tcPr>
            <w:tcW w:w="2664" w:type="dxa"/>
          </w:tcPr>
          <w:p>
            <w:pPr>
              <w:pStyle w:val="0"/>
              <w:jc w:val="both"/>
            </w:pPr>
            <w:r>
              <w:rPr>
                <w:sz w:val="20"/>
              </w:rPr>
              <w:t xml:space="preserve">Департамент транспорта и развития дорожно-транспортной инфраструктуры города Севастополя</w:t>
            </w:r>
          </w:p>
        </w:tc>
        <w:tc>
          <w:tcPr>
            <w:tcW w:w="3401" w:type="dxa"/>
          </w:tcPr>
          <w:p>
            <w:pPr>
              <w:pStyle w:val="0"/>
              <w:jc w:val="both"/>
            </w:pPr>
            <w:r>
              <w:rPr>
                <w:sz w:val="20"/>
              </w:rPr>
              <w:t xml:space="preserve">Изменение маршрутов движения общественного транспорта с целью обеспечения 30 минутного доезда до медицинских организаций</w:t>
            </w:r>
          </w:p>
        </w:tc>
      </w:tr>
      <w:tr>
        <w:tc>
          <w:tcPr>
            <w:tcW w:w="566" w:type="dxa"/>
          </w:tcPr>
          <w:p>
            <w:pPr>
              <w:pStyle w:val="0"/>
              <w:jc w:val="both"/>
            </w:pPr>
            <w:r>
              <w:rPr>
                <w:sz w:val="20"/>
              </w:rPr>
              <w:t xml:space="preserve">39.</w:t>
            </w:r>
          </w:p>
        </w:tc>
        <w:tc>
          <w:tcPr>
            <w:tcW w:w="3911" w:type="dxa"/>
          </w:tcPr>
          <w:p>
            <w:pPr>
              <w:pStyle w:val="0"/>
              <w:jc w:val="both"/>
            </w:pPr>
            <w:r>
              <w:rPr>
                <w:sz w:val="20"/>
              </w:rPr>
              <w:t xml:space="preserve">Создание системы контроля за реализацией мероприятий программы модернизации первичного звена здравоохранения города Севастополя</w:t>
            </w:r>
          </w:p>
        </w:tc>
        <w:tc>
          <w:tcPr>
            <w:tcW w:w="1530" w:type="dxa"/>
          </w:tcPr>
          <w:p>
            <w:pPr>
              <w:pStyle w:val="0"/>
              <w:jc w:val="both"/>
            </w:pPr>
            <w:r>
              <w:rPr>
                <w:sz w:val="20"/>
              </w:rPr>
              <w:t xml:space="preserve">01.01.2021</w:t>
            </w:r>
          </w:p>
        </w:tc>
        <w:tc>
          <w:tcPr>
            <w:tcW w:w="1530" w:type="dxa"/>
          </w:tcPr>
          <w:p>
            <w:pPr>
              <w:pStyle w:val="0"/>
              <w:jc w:val="both"/>
            </w:pPr>
            <w:r>
              <w:rPr>
                <w:sz w:val="20"/>
              </w:rPr>
              <w:t xml:space="preserve">01.02.2021</w:t>
            </w:r>
          </w:p>
        </w:tc>
        <w:tc>
          <w:tcPr>
            <w:tcW w:w="2664" w:type="dxa"/>
          </w:tcPr>
          <w:p>
            <w:pPr>
              <w:pStyle w:val="0"/>
              <w:jc w:val="both"/>
            </w:pPr>
            <w:r>
              <w:rPr>
                <w:sz w:val="20"/>
              </w:rPr>
              <w:t xml:space="preserve">Департамент здравоохранения города Севастополя</w:t>
            </w:r>
          </w:p>
        </w:tc>
        <w:tc>
          <w:tcPr>
            <w:tcW w:w="3401" w:type="dxa"/>
          </w:tcPr>
          <w:p>
            <w:pPr>
              <w:pStyle w:val="0"/>
              <w:jc w:val="both"/>
            </w:pPr>
            <w:r>
              <w:rPr>
                <w:sz w:val="20"/>
              </w:rPr>
              <w:t xml:space="preserve">Приказ Департамента здравоохранения города Севастополя. Определены ответственные за контроль и предоставление отчетности</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3</w:t>
      </w:r>
    </w:p>
    <w:p>
      <w:pPr>
        <w:pStyle w:val="0"/>
        <w:jc w:val="right"/>
      </w:pPr>
      <w:r>
        <w:rPr>
          <w:sz w:val="20"/>
        </w:rPr>
        <w:t xml:space="preserve">к региональной программе</w:t>
      </w:r>
    </w:p>
    <w:p>
      <w:pPr>
        <w:pStyle w:val="0"/>
        <w:jc w:val="right"/>
      </w:pPr>
      <w:r>
        <w:rPr>
          <w:sz w:val="20"/>
        </w:rPr>
        <w:t xml:space="preserve">"Модернизация первичного звена</w:t>
      </w:r>
    </w:p>
    <w:p>
      <w:pPr>
        <w:pStyle w:val="0"/>
        <w:jc w:val="right"/>
      </w:pPr>
      <w:r>
        <w:rPr>
          <w:sz w:val="20"/>
        </w:rPr>
        <w:t xml:space="preserve">здравоохранения города Севастополя"</w:t>
      </w:r>
    </w:p>
    <w:p>
      <w:pPr>
        <w:pStyle w:val="0"/>
      </w:pPr>
      <w:r>
        <w:rPr>
          <w:sz w:val="20"/>
        </w:rPr>
      </w:r>
    </w:p>
    <w:bookmarkStart w:id="31139" w:name="P31139"/>
    <w:bookmarkEnd w:id="31139"/>
    <w:p>
      <w:pPr>
        <w:pStyle w:val="2"/>
        <w:jc w:val="center"/>
      </w:pPr>
      <w:r>
        <w:rPr>
          <w:sz w:val="20"/>
        </w:rPr>
        <w:t xml:space="preserve">Сведения о целях и задачах Программы (РП)</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68"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08.12.2022 N 638-ПП)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8"/>
        <w:gridCol w:w="3402"/>
        <w:gridCol w:w="3572"/>
        <w:gridCol w:w="2778"/>
        <w:gridCol w:w="1276"/>
        <w:gridCol w:w="1020"/>
        <w:gridCol w:w="1020"/>
        <w:gridCol w:w="1020"/>
        <w:gridCol w:w="1020"/>
        <w:gridCol w:w="1021"/>
      </w:tblGrid>
      <w:tr>
        <w:tc>
          <w:tcPr>
            <w:tcW w:w="488" w:type="dxa"/>
            <w:vMerge w:val="restart"/>
          </w:tcPr>
          <w:p>
            <w:pPr>
              <w:pStyle w:val="0"/>
              <w:jc w:val="center"/>
            </w:pPr>
            <w:r>
              <w:rPr>
                <w:sz w:val="20"/>
              </w:rPr>
              <w:t xml:space="preserve">N п/п</w:t>
            </w:r>
          </w:p>
        </w:tc>
        <w:tc>
          <w:tcPr>
            <w:tcW w:w="3402" w:type="dxa"/>
            <w:vMerge w:val="restart"/>
          </w:tcPr>
          <w:p>
            <w:pPr>
              <w:pStyle w:val="0"/>
              <w:jc w:val="center"/>
            </w:pPr>
            <w:r>
              <w:rPr>
                <w:sz w:val="20"/>
              </w:rPr>
              <w:t xml:space="preserve">Цель РП и ОИВ, ответственный за ее достижение</w:t>
            </w:r>
          </w:p>
        </w:tc>
        <w:tc>
          <w:tcPr>
            <w:tcW w:w="3572" w:type="dxa"/>
            <w:vMerge w:val="restart"/>
          </w:tcPr>
          <w:p>
            <w:pPr>
              <w:pStyle w:val="0"/>
              <w:jc w:val="center"/>
            </w:pPr>
            <w:r>
              <w:rPr>
                <w:sz w:val="20"/>
              </w:rPr>
              <w:t xml:space="preserve">Задача РП и ОИВ, ответственный за ее решение</w:t>
            </w:r>
          </w:p>
        </w:tc>
        <w:tc>
          <w:tcPr>
            <w:gridSpan w:val="7"/>
            <w:tcW w:w="9155" w:type="dxa"/>
          </w:tcPr>
          <w:p>
            <w:pPr>
              <w:pStyle w:val="0"/>
              <w:jc w:val="center"/>
            </w:pPr>
            <w:r>
              <w:rPr>
                <w:sz w:val="20"/>
              </w:rPr>
              <w:t xml:space="preserve">Целевой показатель</w:t>
            </w:r>
          </w:p>
        </w:tc>
      </w:tr>
      <w:tr>
        <w:tc>
          <w:tcPr>
            <w:vMerge w:val="continue"/>
          </w:tcPr>
          <w:p/>
        </w:tc>
        <w:tc>
          <w:tcPr>
            <w:vMerge w:val="continue"/>
          </w:tcPr>
          <w:p/>
        </w:tc>
        <w:tc>
          <w:tcPr>
            <w:vMerge w:val="continue"/>
          </w:tcPr>
          <w:p/>
        </w:tc>
        <w:tc>
          <w:tcPr>
            <w:tcW w:w="2778" w:type="dxa"/>
          </w:tcPr>
          <w:p>
            <w:pPr>
              <w:pStyle w:val="0"/>
              <w:jc w:val="center"/>
            </w:pPr>
            <w:r>
              <w:rPr>
                <w:sz w:val="20"/>
              </w:rPr>
              <w:t xml:space="preserve">наименование и единица измерения</w:t>
            </w:r>
          </w:p>
        </w:tc>
        <w:tc>
          <w:tcPr>
            <w:tcW w:w="1276" w:type="dxa"/>
          </w:tcPr>
          <w:p>
            <w:pPr>
              <w:pStyle w:val="0"/>
              <w:jc w:val="center"/>
            </w:pPr>
            <w:r>
              <w:rPr>
                <w:sz w:val="20"/>
              </w:rPr>
              <w:t xml:space="preserve">значение в базовом году (2019)</w:t>
            </w:r>
          </w:p>
        </w:tc>
        <w:tc>
          <w:tcPr>
            <w:tcW w:w="1020" w:type="dxa"/>
          </w:tcPr>
          <w:p>
            <w:pPr>
              <w:pStyle w:val="0"/>
              <w:jc w:val="center"/>
            </w:pPr>
            <w:r>
              <w:rPr>
                <w:sz w:val="20"/>
              </w:rPr>
              <w:t xml:space="preserve">2021</w:t>
            </w:r>
          </w:p>
        </w:tc>
        <w:tc>
          <w:tcPr>
            <w:tcW w:w="1020" w:type="dxa"/>
          </w:tcPr>
          <w:p>
            <w:pPr>
              <w:pStyle w:val="0"/>
              <w:jc w:val="center"/>
            </w:pPr>
            <w:r>
              <w:rPr>
                <w:sz w:val="20"/>
              </w:rPr>
              <w:t xml:space="preserve">2022</w:t>
            </w:r>
          </w:p>
        </w:tc>
        <w:tc>
          <w:tcPr>
            <w:tcW w:w="1020" w:type="dxa"/>
          </w:tcPr>
          <w:p>
            <w:pPr>
              <w:pStyle w:val="0"/>
              <w:jc w:val="center"/>
            </w:pPr>
            <w:r>
              <w:rPr>
                <w:sz w:val="20"/>
              </w:rPr>
              <w:t xml:space="preserve">2023</w:t>
            </w:r>
          </w:p>
        </w:tc>
        <w:tc>
          <w:tcPr>
            <w:tcW w:w="1020" w:type="dxa"/>
          </w:tcPr>
          <w:p>
            <w:pPr>
              <w:pStyle w:val="0"/>
              <w:jc w:val="center"/>
            </w:pPr>
            <w:r>
              <w:rPr>
                <w:sz w:val="20"/>
              </w:rPr>
              <w:t xml:space="preserve">2024</w:t>
            </w:r>
          </w:p>
        </w:tc>
        <w:tc>
          <w:tcPr>
            <w:tcW w:w="1021" w:type="dxa"/>
          </w:tcPr>
          <w:p>
            <w:pPr>
              <w:pStyle w:val="0"/>
              <w:jc w:val="center"/>
            </w:pPr>
            <w:r>
              <w:rPr>
                <w:sz w:val="20"/>
              </w:rPr>
              <w:t xml:space="preserve">2025</w:t>
            </w:r>
          </w:p>
        </w:tc>
      </w:tr>
      <w:tr>
        <w:tc>
          <w:tcPr>
            <w:tcW w:w="488" w:type="dxa"/>
          </w:tcPr>
          <w:p>
            <w:pPr>
              <w:pStyle w:val="0"/>
              <w:jc w:val="center"/>
            </w:pPr>
            <w:r>
              <w:rPr>
                <w:sz w:val="20"/>
              </w:rPr>
              <w:t xml:space="preserve">1</w:t>
            </w:r>
          </w:p>
        </w:tc>
        <w:tc>
          <w:tcPr>
            <w:tcW w:w="3402" w:type="dxa"/>
          </w:tcPr>
          <w:p>
            <w:pPr>
              <w:pStyle w:val="0"/>
              <w:jc w:val="center"/>
            </w:pPr>
            <w:r>
              <w:rPr>
                <w:sz w:val="20"/>
              </w:rPr>
              <w:t xml:space="preserve">2</w:t>
            </w:r>
          </w:p>
        </w:tc>
        <w:tc>
          <w:tcPr>
            <w:tcW w:w="3572" w:type="dxa"/>
          </w:tcPr>
          <w:p>
            <w:pPr>
              <w:pStyle w:val="0"/>
              <w:jc w:val="center"/>
            </w:pPr>
            <w:r>
              <w:rPr>
                <w:sz w:val="20"/>
              </w:rPr>
              <w:t xml:space="preserve">3</w:t>
            </w:r>
          </w:p>
        </w:tc>
        <w:tc>
          <w:tcPr>
            <w:tcW w:w="2778" w:type="dxa"/>
          </w:tcPr>
          <w:p>
            <w:pPr>
              <w:pStyle w:val="0"/>
              <w:jc w:val="center"/>
            </w:pPr>
            <w:r>
              <w:rPr>
                <w:sz w:val="20"/>
              </w:rPr>
              <w:t xml:space="preserve">4</w:t>
            </w:r>
          </w:p>
        </w:tc>
        <w:tc>
          <w:tcPr>
            <w:tcW w:w="1276" w:type="dxa"/>
          </w:tcPr>
          <w:p>
            <w:pPr>
              <w:pStyle w:val="0"/>
              <w:jc w:val="center"/>
            </w:pPr>
            <w:r>
              <w:rPr>
                <w:sz w:val="20"/>
              </w:rPr>
              <w:t xml:space="preserve">5</w:t>
            </w:r>
          </w:p>
        </w:tc>
        <w:tc>
          <w:tcPr>
            <w:tcW w:w="1020" w:type="dxa"/>
          </w:tcPr>
          <w:p>
            <w:pPr>
              <w:pStyle w:val="0"/>
              <w:jc w:val="center"/>
            </w:pPr>
            <w:r>
              <w:rPr>
                <w:sz w:val="20"/>
              </w:rPr>
              <w:t xml:space="preserve">6</w:t>
            </w:r>
          </w:p>
        </w:tc>
        <w:tc>
          <w:tcPr>
            <w:tcW w:w="1020" w:type="dxa"/>
          </w:tcPr>
          <w:p>
            <w:pPr>
              <w:pStyle w:val="0"/>
              <w:jc w:val="center"/>
            </w:pPr>
            <w:r>
              <w:rPr>
                <w:sz w:val="20"/>
              </w:rPr>
              <w:t xml:space="preserve">7</w:t>
            </w:r>
          </w:p>
        </w:tc>
        <w:tc>
          <w:tcPr>
            <w:tcW w:w="1020" w:type="dxa"/>
          </w:tcPr>
          <w:p>
            <w:pPr>
              <w:pStyle w:val="0"/>
              <w:jc w:val="center"/>
            </w:pPr>
            <w:r>
              <w:rPr>
                <w:sz w:val="20"/>
              </w:rPr>
              <w:t xml:space="preserve">8</w:t>
            </w:r>
          </w:p>
        </w:tc>
        <w:tc>
          <w:tcPr>
            <w:tcW w:w="1020" w:type="dxa"/>
          </w:tcPr>
          <w:p>
            <w:pPr>
              <w:pStyle w:val="0"/>
              <w:jc w:val="center"/>
            </w:pPr>
            <w:r>
              <w:rPr>
                <w:sz w:val="20"/>
              </w:rPr>
              <w:t xml:space="preserve">9</w:t>
            </w:r>
          </w:p>
        </w:tc>
        <w:tc>
          <w:tcPr>
            <w:tcW w:w="1021" w:type="dxa"/>
          </w:tcPr>
          <w:p>
            <w:pPr>
              <w:pStyle w:val="0"/>
              <w:jc w:val="center"/>
            </w:pPr>
            <w:r>
              <w:rPr>
                <w:sz w:val="20"/>
              </w:rPr>
              <w:t xml:space="preserve">10</w:t>
            </w:r>
          </w:p>
        </w:tc>
      </w:tr>
      <w:tr>
        <w:tc>
          <w:tcPr>
            <w:tcW w:w="488" w:type="dxa"/>
            <w:tcBorders>
              <w:bottom w:val="nil"/>
            </w:tcBorders>
            <w:vMerge w:val="restart"/>
          </w:tcPr>
          <w:p>
            <w:pPr>
              <w:pStyle w:val="0"/>
              <w:jc w:val="both"/>
            </w:pPr>
            <w:r>
              <w:rPr>
                <w:sz w:val="20"/>
              </w:rPr>
              <w:t xml:space="preserve">1</w:t>
            </w:r>
          </w:p>
        </w:tc>
        <w:tc>
          <w:tcPr>
            <w:tcW w:w="3402" w:type="dxa"/>
            <w:tcBorders>
              <w:bottom w:val="nil"/>
            </w:tcBorders>
            <w:vMerge w:val="restart"/>
          </w:tcPr>
          <w:p>
            <w:pPr>
              <w:pStyle w:val="0"/>
              <w:jc w:val="both"/>
            </w:pPr>
            <w:r>
              <w:rPr>
                <w:sz w:val="20"/>
              </w:rPr>
              <w:t xml:space="preserve">Цель N 1. Обеспечение доступности и качества оказания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w:t>
            </w:r>
          </w:p>
          <w:p>
            <w:pPr>
              <w:pStyle w:val="0"/>
              <w:jc w:val="both"/>
            </w:pPr>
            <w:r>
              <w:rPr>
                <w:sz w:val="20"/>
              </w:rPr>
              <w:t xml:space="preserve">Департамент здравоохранения города Севастополя;</w:t>
            </w:r>
          </w:p>
          <w:p>
            <w:pPr>
              <w:pStyle w:val="0"/>
              <w:jc w:val="both"/>
            </w:pPr>
            <w:r>
              <w:rPr>
                <w:sz w:val="20"/>
              </w:rPr>
              <w:t xml:space="preserve">руководители медицинских организаций, подведомственных Департаменту здравоохранения города Севастополя</w:t>
            </w:r>
          </w:p>
        </w:tc>
        <w:tc>
          <w:tcPr>
            <w:tcW w:w="3572" w:type="dxa"/>
            <w:vMerge w:val="restart"/>
          </w:tcPr>
          <w:p>
            <w:pPr>
              <w:pStyle w:val="0"/>
              <w:jc w:val="both"/>
            </w:pPr>
            <w:r>
              <w:rPr>
                <w:sz w:val="20"/>
              </w:rPr>
              <w:t xml:space="preserve">Задача N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p>
            <w:pPr>
              <w:pStyle w:val="0"/>
              <w:jc w:val="both"/>
            </w:pPr>
            <w:r>
              <w:rPr>
                <w:sz w:val="20"/>
              </w:rPr>
              <w:t xml:space="preserve">Департамент здравоохранения города Севастополя</w:t>
            </w:r>
          </w:p>
        </w:tc>
        <w:tc>
          <w:tcPr>
            <w:tcW w:w="2778" w:type="dxa"/>
          </w:tcPr>
          <w:p>
            <w:pPr>
              <w:pStyle w:val="0"/>
              <w:jc w:val="both"/>
            </w:pPr>
            <w:r>
              <w:rPr>
                <w:sz w:val="20"/>
              </w:rPr>
              <w:t xml:space="preserve">1. 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 (процент)</w:t>
            </w:r>
          </w:p>
        </w:tc>
        <w:tc>
          <w:tcPr>
            <w:tcW w:w="1276" w:type="dxa"/>
          </w:tcPr>
          <w:p>
            <w:pPr>
              <w:pStyle w:val="0"/>
              <w:jc w:val="center"/>
            </w:pPr>
            <w:r>
              <w:rPr>
                <w:sz w:val="20"/>
              </w:rPr>
              <w:t xml:space="preserve">46,4</w:t>
            </w:r>
          </w:p>
        </w:tc>
        <w:tc>
          <w:tcPr>
            <w:tcW w:w="1020" w:type="dxa"/>
          </w:tcPr>
          <w:p>
            <w:pPr>
              <w:pStyle w:val="0"/>
              <w:jc w:val="center"/>
            </w:pPr>
            <w:r>
              <w:rPr>
                <w:sz w:val="20"/>
              </w:rPr>
              <w:t xml:space="preserve">45,0</w:t>
            </w:r>
          </w:p>
        </w:tc>
        <w:tc>
          <w:tcPr>
            <w:tcW w:w="1020" w:type="dxa"/>
          </w:tcPr>
          <w:p>
            <w:pPr>
              <w:pStyle w:val="0"/>
              <w:jc w:val="center"/>
            </w:pPr>
            <w:r>
              <w:rPr>
                <w:sz w:val="20"/>
              </w:rPr>
              <w:t xml:space="preserve">35,0</w:t>
            </w:r>
          </w:p>
        </w:tc>
        <w:tc>
          <w:tcPr>
            <w:tcW w:w="1020" w:type="dxa"/>
          </w:tcPr>
          <w:p>
            <w:pPr>
              <w:pStyle w:val="0"/>
              <w:jc w:val="center"/>
            </w:pPr>
            <w:r>
              <w:rPr>
                <w:sz w:val="20"/>
              </w:rPr>
              <w:t xml:space="preserve">30,0</w:t>
            </w:r>
          </w:p>
        </w:tc>
        <w:tc>
          <w:tcPr>
            <w:tcW w:w="1020" w:type="dxa"/>
          </w:tcPr>
          <w:p>
            <w:pPr>
              <w:pStyle w:val="0"/>
              <w:jc w:val="center"/>
            </w:pPr>
            <w:r>
              <w:rPr>
                <w:sz w:val="20"/>
              </w:rPr>
              <w:t xml:space="preserve">20,0</w:t>
            </w:r>
          </w:p>
        </w:tc>
        <w:tc>
          <w:tcPr>
            <w:tcW w:w="1021" w:type="dxa"/>
          </w:tcPr>
          <w:p>
            <w:pPr>
              <w:pStyle w:val="0"/>
              <w:jc w:val="center"/>
            </w:pPr>
            <w:r>
              <w:rPr>
                <w:sz w:val="20"/>
              </w:rPr>
              <w:t xml:space="preserve">15,0</w:t>
            </w:r>
          </w:p>
        </w:tc>
      </w:tr>
      <w:tr>
        <w:tc>
          <w:tcPr>
            <w:tcBorders>
              <w:bottom w:val="nil"/>
            </w:tcBorders>
            <w:vMerge w:val="continue"/>
          </w:tcPr>
          <w:p/>
        </w:tc>
        <w:tc>
          <w:tcPr>
            <w:tcBorders>
              <w:bottom w:val="nil"/>
            </w:tcBorders>
            <w:vMerge w:val="continue"/>
          </w:tcPr>
          <w:p/>
        </w:tc>
        <w:tc>
          <w:tcPr>
            <w:vMerge w:val="continue"/>
          </w:tcPr>
          <w:p/>
        </w:tc>
        <w:tc>
          <w:tcPr>
            <w:tcW w:w="2778" w:type="dxa"/>
          </w:tcPr>
          <w:p>
            <w:pPr>
              <w:pStyle w:val="0"/>
              <w:jc w:val="both"/>
            </w:pPr>
            <w:r>
              <w:rPr>
                <w:sz w:val="20"/>
              </w:rPr>
              <w:t xml:space="preserve">2. Доля охвата населения Российской Федерации первичной медико-санитарной помощью (процент)</w:t>
            </w:r>
          </w:p>
        </w:tc>
        <w:tc>
          <w:tcPr>
            <w:tcW w:w="1276"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1" w:type="dxa"/>
          </w:tcPr>
          <w:p>
            <w:pPr>
              <w:pStyle w:val="0"/>
              <w:jc w:val="center"/>
            </w:pPr>
            <w:r>
              <w:rPr>
                <w:sz w:val="20"/>
              </w:rPr>
              <w:t xml:space="preserve">100</w:t>
            </w:r>
          </w:p>
        </w:tc>
      </w:tr>
      <w:tr>
        <w:tc>
          <w:tcPr>
            <w:tcBorders>
              <w:bottom w:val="nil"/>
            </w:tcBorders>
            <w:vMerge w:val="continue"/>
          </w:tcPr>
          <w:p/>
        </w:tc>
        <w:tc>
          <w:tcPr>
            <w:tcBorders>
              <w:bottom w:val="nil"/>
            </w:tcBorders>
            <w:vMerge w:val="continue"/>
          </w:tcPr>
          <w:p/>
        </w:tc>
        <w:tc>
          <w:tcPr>
            <w:tcW w:w="3572" w:type="dxa"/>
            <w:tcBorders>
              <w:bottom w:val="nil"/>
            </w:tcBorders>
            <w:vMerge w:val="restart"/>
          </w:tcPr>
          <w:p>
            <w:pPr>
              <w:pStyle w:val="0"/>
              <w:jc w:val="both"/>
            </w:pPr>
            <w:r>
              <w:rPr>
                <w:sz w:val="20"/>
              </w:rPr>
              <w:t xml:space="preserve">Задача N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p>
            <w:pPr>
              <w:pStyle w:val="0"/>
              <w:jc w:val="both"/>
            </w:pPr>
            <w:r>
              <w:rPr>
                <w:sz w:val="20"/>
              </w:rPr>
              <w:t xml:space="preserve">Департамент здравоохранения города Севастополя</w:t>
            </w:r>
          </w:p>
        </w:tc>
        <w:tc>
          <w:tcPr>
            <w:tcW w:w="2778" w:type="dxa"/>
          </w:tcPr>
          <w:p>
            <w:pPr>
              <w:pStyle w:val="0"/>
              <w:jc w:val="both"/>
            </w:pPr>
            <w:r>
              <w:rPr>
                <w:sz w:val="20"/>
              </w:rPr>
              <w:t xml:space="preserve">3. Число посещений сельскими жителями медицинских организаций на 1 человека в год</w:t>
            </w:r>
          </w:p>
        </w:tc>
        <w:tc>
          <w:tcPr>
            <w:tcW w:w="1276" w:type="dxa"/>
          </w:tcPr>
          <w:p>
            <w:pPr>
              <w:pStyle w:val="0"/>
              <w:jc w:val="center"/>
            </w:pPr>
            <w:r>
              <w:rPr>
                <w:sz w:val="20"/>
              </w:rPr>
              <w:t xml:space="preserve">7,3</w:t>
            </w:r>
          </w:p>
        </w:tc>
        <w:tc>
          <w:tcPr>
            <w:tcW w:w="1020" w:type="dxa"/>
          </w:tcPr>
          <w:p>
            <w:pPr>
              <w:pStyle w:val="0"/>
              <w:jc w:val="center"/>
            </w:pPr>
            <w:r>
              <w:rPr>
                <w:sz w:val="20"/>
              </w:rPr>
              <w:t xml:space="preserve">-</w:t>
            </w:r>
          </w:p>
        </w:tc>
        <w:tc>
          <w:tcPr>
            <w:tcW w:w="1020" w:type="dxa"/>
          </w:tcPr>
          <w:p>
            <w:pPr>
              <w:pStyle w:val="0"/>
              <w:jc w:val="center"/>
            </w:pPr>
            <w:r>
              <w:rPr>
                <w:sz w:val="20"/>
              </w:rPr>
              <w:t xml:space="preserve">6,3</w:t>
            </w:r>
          </w:p>
        </w:tc>
        <w:tc>
          <w:tcPr>
            <w:tcW w:w="1020" w:type="dxa"/>
          </w:tcPr>
          <w:p>
            <w:pPr>
              <w:pStyle w:val="0"/>
              <w:jc w:val="center"/>
            </w:pPr>
            <w:r>
              <w:rPr>
                <w:sz w:val="20"/>
              </w:rPr>
              <w:t xml:space="preserve">6,5</w:t>
            </w:r>
          </w:p>
        </w:tc>
        <w:tc>
          <w:tcPr>
            <w:tcW w:w="1020" w:type="dxa"/>
          </w:tcPr>
          <w:p>
            <w:pPr>
              <w:pStyle w:val="0"/>
              <w:jc w:val="center"/>
            </w:pPr>
            <w:r>
              <w:rPr>
                <w:sz w:val="20"/>
              </w:rPr>
              <w:t xml:space="preserve">6,7</w:t>
            </w:r>
          </w:p>
        </w:tc>
        <w:tc>
          <w:tcPr>
            <w:tcW w:w="1021" w:type="dxa"/>
          </w:tcPr>
          <w:p>
            <w:pPr>
              <w:pStyle w:val="0"/>
              <w:jc w:val="center"/>
            </w:pPr>
            <w:r>
              <w:rPr>
                <w:sz w:val="20"/>
              </w:rPr>
              <w:t xml:space="preserve">6,8</w:t>
            </w:r>
          </w:p>
        </w:tc>
      </w:tr>
      <w:tr>
        <w:tc>
          <w:tcPr>
            <w:tcBorders>
              <w:bottom w:val="nil"/>
            </w:tcBorders>
            <w:vMerge w:val="continue"/>
          </w:tcPr>
          <w:p/>
        </w:tc>
        <w:tc>
          <w:tcPr>
            <w:tcBorders>
              <w:bottom w:val="nil"/>
            </w:tcBorders>
            <w:vMerge w:val="continue"/>
          </w:tcPr>
          <w:p/>
        </w:tc>
        <w:tc>
          <w:tcPr>
            <w:tcBorders>
              <w:bottom w:val="nil"/>
            </w:tcBorders>
            <w:vMerge w:val="continue"/>
          </w:tcPr>
          <w:p/>
        </w:tc>
        <w:tc>
          <w:tcPr>
            <w:tcW w:w="2778" w:type="dxa"/>
          </w:tcPr>
          <w:p>
            <w:pPr>
              <w:pStyle w:val="0"/>
              <w:jc w:val="both"/>
            </w:pPr>
            <w:r>
              <w:rPr>
                <w:sz w:val="20"/>
              </w:rPr>
              <w:t xml:space="preserve">4. Число посещений медицинскими работниками пациентов на дому</w:t>
            </w:r>
          </w:p>
        </w:tc>
        <w:tc>
          <w:tcPr>
            <w:tcW w:w="1276" w:type="dxa"/>
          </w:tcPr>
          <w:p>
            <w:pPr>
              <w:pStyle w:val="0"/>
              <w:jc w:val="center"/>
            </w:pPr>
            <w:r>
              <w:rPr>
                <w:sz w:val="20"/>
              </w:rPr>
              <w:t xml:space="preserve">156499</w:t>
            </w:r>
          </w:p>
        </w:tc>
        <w:tc>
          <w:tcPr>
            <w:tcW w:w="1020" w:type="dxa"/>
          </w:tcPr>
          <w:p>
            <w:pPr>
              <w:pStyle w:val="0"/>
              <w:jc w:val="center"/>
            </w:pPr>
            <w:r>
              <w:rPr>
                <w:sz w:val="20"/>
              </w:rPr>
              <w:t xml:space="preserve">160406</w:t>
            </w:r>
          </w:p>
        </w:tc>
        <w:tc>
          <w:tcPr>
            <w:tcW w:w="1020" w:type="dxa"/>
          </w:tcPr>
          <w:p>
            <w:pPr>
              <w:pStyle w:val="0"/>
              <w:jc w:val="center"/>
            </w:pPr>
            <w:r>
              <w:rPr>
                <w:sz w:val="20"/>
              </w:rPr>
              <w:t xml:space="preserve">160856</w:t>
            </w:r>
          </w:p>
        </w:tc>
        <w:tc>
          <w:tcPr>
            <w:tcW w:w="1020" w:type="dxa"/>
          </w:tcPr>
          <w:p>
            <w:pPr>
              <w:pStyle w:val="0"/>
              <w:jc w:val="center"/>
            </w:pPr>
            <w:r>
              <w:rPr>
                <w:sz w:val="20"/>
              </w:rPr>
              <w:t xml:space="preserve">160728</w:t>
            </w:r>
          </w:p>
        </w:tc>
        <w:tc>
          <w:tcPr>
            <w:tcW w:w="1020" w:type="dxa"/>
          </w:tcPr>
          <w:p>
            <w:pPr>
              <w:pStyle w:val="0"/>
              <w:jc w:val="center"/>
            </w:pPr>
            <w:r>
              <w:rPr>
                <w:sz w:val="20"/>
              </w:rPr>
              <w:t xml:space="preserve">160631</w:t>
            </w:r>
          </w:p>
        </w:tc>
        <w:tc>
          <w:tcPr>
            <w:tcW w:w="1021" w:type="dxa"/>
          </w:tcPr>
          <w:p>
            <w:pPr>
              <w:pStyle w:val="0"/>
              <w:jc w:val="center"/>
            </w:pPr>
            <w:r>
              <w:rPr>
                <w:sz w:val="20"/>
              </w:rPr>
              <w:t xml:space="preserve">160510</w:t>
            </w:r>
          </w:p>
        </w:tc>
      </w:tr>
      <w:tr>
        <w:tblPrEx>
          <w:tblBorders>
            <w:insideH w:val="nil"/>
          </w:tblBorders>
        </w:tblPrEx>
        <w:tc>
          <w:tcPr>
            <w:tcBorders>
              <w:bottom w:val="nil"/>
            </w:tcBorders>
            <w:vMerge w:val="continue"/>
          </w:tcPr>
          <w:p/>
        </w:tc>
        <w:tc>
          <w:tcPr>
            <w:tcBorders>
              <w:bottom w:val="nil"/>
            </w:tcBorders>
            <w:vMerge w:val="continue"/>
          </w:tcPr>
          <w:p/>
        </w:tc>
        <w:tc>
          <w:tcPr>
            <w:tcBorders>
              <w:bottom w:val="nil"/>
            </w:tcBorders>
            <w:vMerge w:val="continue"/>
          </w:tcPr>
          <w:p/>
        </w:tc>
        <w:tc>
          <w:tcPr>
            <w:tcW w:w="2778" w:type="dxa"/>
            <w:tcBorders>
              <w:bottom w:val="nil"/>
            </w:tcBorders>
          </w:tcPr>
          <w:p>
            <w:pPr>
              <w:pStyle w:val="0"/>
              <w:jc w:val="both"/>
            </w:pPr>
            <w:r>
              <w:rPr>
                <w:sz w:val="20"/>
              </w:rPr>
              <w:t xml:space="preserve">5. Повышение комфортности получения медицинских услуг</w:t>
            </w:r>
          </w:p>
        </w:tc>
        <w:tc>
          <w:tcPr>
            <w:tcW w:w="1276" w:type="dxa"/>
            <w:tcBorders>
              <w:bottom w:val="nil"/>
            </w:tcBorders>
          </w:tcPr>
          <w:p>
            <w:pPr>
              <w:pStyle w:val="0"/>
              <w:jc w:val="center"/>
            </w:pPr>
            <w:r>
              <w:rPr>
                <w:sz w:val="20"/>
              </w:rPr>
              <w:t xml:space="preserve">40</w:t>
            </w:r>
          </w:p>
        </w:tc>
        <w:tc>
          <w:tcPr>
            <w:tcW w:w="1020" w:type="dxa"/>
            <w:tcBorders>
              <w:bottom w:val="nil"/>
            </w:tcBorders>
          </w:tcPr>
          <w:p>
            <w:pPr>
              <w:pStyle w:val="0"/>
              <w:jc w:val="center"/>
            </w:pPr>
            <w:r>
              <w:rPr>
                <w:sz w:val="20"/>
              </w:rPr>
              <w:t xml:space="preserve">50</w:t>
            </w:r>
          </w:p>
        </w:tc>
        <w:tc>
          <w:tcPr>
            <w:tcW w:w="1020" w:type="dxa"/>
            <w:tcBorders>
              <w:bottom w:val="nil"/>
            </w:tcBorders>
          </w:tcPr>
          <w:p>
            <w:pPr>
              <w:pStyle w:val="0"/>
              <w:jc w:val="center"/>
            </w:pPr>
            <w:r>
              <w:rPr>
                <w:sz w:val="20"/>
              </w:rPr>
              <w:t xml:space="preserve">60</w:t>
            </w:r>
          </w:p>
        </w:tc>
        <w:tc>
          <w:tcPr>
            <w:tcW w:w="1020" w:type="dxa"/>
            <w:tcBorders>
              <w:bottom w:val="nil"/>
            </w:tcBorders>
          </w:tcPr>
          <w:p>
            <w:pPr>
              <w:pStyle w:val="0"/>
              <w:jc w:val="center"/>
            </w:pPr>
            <w:r>
              <w:rPr>
                <w:sz w:val="20"/>
              </w:rPr>
              <w:t xml:space="preserve">70</w:t>
            </w:r>
          </w:p>
        </w:tc>
        <w:tc>
          <w:tcPr>
            <w:tcW w:w="1020" w:type="dxa"/>
            <w:tcBorders>
              <w:bottom w:val="nil"/>
            </w:tcBorders>
          </w:tcPr>
          <w:p>
            <w:pPr>
              <w:pStyle w:val="0"/>
              <w:jc w:val="center"/>
            </w:pPr>
            <w:r>
              <w:rPr>
                <w:sz w:val="20"/>
              </w:rPr>
              <w:t xml:space="preserve">80</w:t>
            </w:r>
          </w:p>
        </w:tc>
        <w:tc>
          <w:tcPr>
            <w:tcW w:w="1021" w:type="dxa"/>
            <w:tcBorders>
              <w:bottom w:val="nil"/>
            </w:tcBorders>
          </w:tcPr>
          <w:p>
            <w:pPr>
              <w:pStyle w:val="0"/>
              <w:jc w:val="center"/>
            </w:pPr>
            <w:r>
              <w:rPr>
                <w:sz w:val="20"/>
              </w:rPr>
              <w:t xml:space="preserve">90</w:t>
            </w:r>
          </w:p>
        </w:tc>
      </w:tr>
      <w:tr>
        <w:tblPrEx>
          <w:tblBorders>
            <w:insideH w:val="nil"/>
          </w:tblBorders>
        </w:tblPrEx>
        <w:tc>
          <w:tcPr>
            <w:gridSpan w:val="10"/>
            <w:tcW w:w="16617" w:type="dxa"/>
            <w:tcBorders>
              <w:top w:val="nil"/>
            </w:tcBorders>
          </w:tcPr>
          <w:p>
            <w:pPr>
              <w:pStyle w:val="0"/>
              <w:jc w:val="both"/>
            </w:pPr>
            <w:r>
              <w:rPr>
                <w:sz w:val="20"/>
              </w:rPr>
              <w:t xml:space="preserve">(п. 1 в ред. </w:t>
            </w:r>
            <w:hyperlink w:history="0" r:id="rId869"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08.12.2022 N 638-ПП)</w:t>
            </w:r>
          </w:p>
        </w:tc>
      </w:tr>
      <w:tr>
        <w:tc>
          <w:tcPr>
            <w:tcW w:w="488" w:type="dxa"/>
            <w:vMerge w:val="restart"/>
          </w:tcPr>
          <w:p>
            <w:pPr>
              <w:pStyle w:val="0"/>
              <w:jc w:val="both"/>
            </w:pPr>
            <w:r>
              <w:rPr>
                <w:sz w:val="20"/>
              </w:rPr>
              <w:t xml:space="preserve">2</w:t>
            </w:r>
          </w:p>
        </w:tc>
        <w:tc>
          <w:tcPr>
            <w:tcW w:w="3402" w:type="dxa"/>
            <w:vMerge w:val="restart"/>
          </w:tcPr>
          <w:p>
            <w:pPr>
              <w:pStyle w:val="0"/>
              <w:jc w:val="both"/>
            </w:pPr>
            <w:r>
              <w:rPr>
                <w:sz w:val="20"/>
              </w:rPr>
              <w:t xml:space="preserve">Цель N 2. Ликвидировать дефицит медицинских кадров в первичном звене здравоохранения города Севастополя.</w:t>
            </w:r>
          </w:p>
          <w:p>
            <w:pPr>
              <w:pStyle w:val="0"/>
              <w:jc w:val="both"/>
            </w:pPr>
            <w:r>
              <w:rPr>
                <w:sz w:val="20"/>
              </w:rPr>
              <w:t xml:space="preserve">Департамент здравоохранения города Севастополя;</w:t>
            </w:r>
          </w:p>
          <w:p>
            <w:pPr>
              <w:pStyle w:val="0"/>
              <w:jc w:val="both"/>
            </w:pPr>
            <w:r>
              <w:rPr>
                <w:sz w:val="20"/>
              </w:rPr>
              <w:t xml:space="preserve">руководители медицинских организаций, подведомственных Департаменту здравоохранения города Севастополя</w:t>
            </w:r>
          </w:p>
        </w:tc>
        <w:tc>
          <w:tcPr>
            <w:tcW w:w="3572" w:type="dxa"/>
          </w:tcPr>
          <w:p>
            <w:pPr>
              <w:pStyle w:val="0"/>
              <w:jc w:val="both"/>
            </w:pPr>
            <w:r>
              <w:rPr>
                <w:sz w:val="20"/>
              </w:rPr>
              <w:t xml:space="preserve">Задача N 4. Устранить дефицит кадров в первичном звене здравоохранения и повысить уровень их квалификации.</w:t>
            </w:r>
          </w:p>
          <w:p>
            <w:pPr>
              <w:pStyle w:val="0"/>
              <w:jc w:val="both"/>
            </w:pPr>
            <w:r>
              <w:rPr>
                <w:sz w:val="20"/>
              </w:rPr>
              <w:t xml:space="preserve">Департамент здравоохранения города Севастополя;</w:t>
            </w:r>
          </w:p>
          <w:p>
            <w:pPr>
              <w:pStyle w:val="0"/>
              <w:jc w:val="both"/>
            </w:pPr>
            <w:r>
              <w:rPr>
                <w:sz w:val="20"/>
              </w:rPr>
              <w:t xml:space="preserve">руководители медицинских организаций, подведомственных Департаменту здравоохранения города Севастополя</w:t>
            </w:r>
          </w:p>
        </w:tc>
        <w:tc>
          <w:tcPr>
            <w:tcW w:w="2778" w:type="dxa"/>
          </w:tcPr>
          <w:p>
            <w:pPr>
              <w:pStyle w:val="0"/>
              <w:jc w:val="both"/>
            </w:pPr>
            <w:r>
              <w:rPr>
                <w:sz w:val="20"/>
              </w:rPr>
              <w:t xml:space="preserve">7. Дефицит врачей и среднего медицинского персонала в первичном звене здравоохранения города Севастополя, человек</w:t>
            </w:r>
          </w:p>
        </w:tc>
        <w:tc>
          <w:tcPr>
            <w:tcW w:w="1276" w:type="dxa"/>
          </w:tcPr>
          <w:p>
            <w:pPr>
              <w:pStyle w:val="0"/>
              <w:jc w:val="center"/>
            </w:pPr>
            <w:r>
              <w:rPr>
                <w:sz w:val="20"/>
              </w:rPr>
              <w:t xml:space="preserve">503</w:t>
            </w:r>
          </w:p>
        </w:tc>
        <w:tc>
          <w:tcPr>
            <w:tcW w:w="1020" w:type="dxa"/>
          </w:tcPr>
          <w:p>
            <w:pPr>
              <w:pStyle w:val="0"/>
              <w:jc w:val="center"/>
            </w:pPr>
            <w:r>
              <w:rPr>
                <w:sz w:val="20"/>
              </w:rPr>
              <w:t xml:space="preserve">503</w:t>
            </w:r>
          </w:p>
        </w:tc>
        <w:tc>
          <w:tcPr>
            <w:tcW w:w="1020" w:type="dxa"/>
          </w:tcPr>
          <w:p>
            <w:pPr>
              <w:pStyle w:val="0"/>
              <w:jc w:val="center"/>
            </w:pPr>
            <w:r>
              <w:rPr>
                <w:sz w:val="20"/>
              </w:rPr>
              <w:t xml:space="preserve">400</w:t>
            </w:r>
          </w:p>
        </w:tc>
        <w:tc>
          <w:tcPr>
            <w:tcW w:w="1020" w:type="dxa"/>
          </w:tcPr>
          <w:p>
            <w:pPr>
              <w:pStyle w:val="0"/>
              <w:jc w:val="center"/>
            </w:pPr>
            <w:r>
              <w:rPr>
                <w:sz w:val="20"/>
              </w:rPr>
              <w:t xml:space="preserve">250</w:t>
            </w:r>
          </w:p>
        </w:tc>
        <w:tc>
          <w:tcPr>
            <w:tcW w:w="1020" w:type="dxa"/>
          </w:tcPr>
          <w:p>
            <w:pPr>
              <w:pStyle w:val="0"/>
              <w:jc w:val="center"/>
            </w:pPr>
            <w:r>
              <w:rPr>
                <w:sz w:val="20"/>
              </w:rPr>
              <w:t xml:space="preserve">150</w:t>
            </w:r>
          </w:p>
        </w:tc>
        <w:tc>
          <w:tcPr>
            <w:tcW w:w="1021" w:type="dxa"/>
          </w:tcPr>
          <w:p>
            <w:pPr>
              <w:pStyle w:val="0"/>
              <w:jc w:val="center"/>
            </w:pPr>
            <w:r>
              <w:rPr>
                <w:sz w:val="20"/>
              </w:rPr>
              <w:t xml:space="preserve">0</w:t>
            </w:r>
          </w:p>
        </w:tc>
      </w:tr>
      <w:tr>
        <w:tc>
          <w:tcPr>
            <w:vMerge w:val="continue"/>
          </w:tcPr>
          <w:p/>
        </w:tc>
        <w:tc>
          <w:tcPr>
            <w:vMerge w:val="continue"/>
          </w:tcPr>
          <w:p/>
        </w:tc>
        <w:tc>
          <w:tcPr>
            <w:tcW w:w="3572" w:type="dxa"/>
          </w:tcPr>
          <w:p>
            <w:pPr>
              <w:pStyle w:val="0"/>
              <w:jc w:val="both"/>
            </w:pPr>
            <w:r>
              <w:rPr>
                <w:sz w:val="20"/>
              </w:rPr>
              <w:t xml:space="preserve">Задача N 5. Доукомплектовать врачебные должности в подразделениях, оказывающих медицинскую помощь в амбулаторных условиях города Севастополя.</w:t>
            </w:r>
          </w:p>
          <w:p>
            <w:pPr>
              <w:pStyle w:val="0"/>
              <w:jc w:val="both"/>
            </w:pPr>
            <w:r>
              <w:rPr>
                <w:sz w:val="20"/>
              </w:rPr>
              <w:t xml:space="preserve">Департамент здравоохранения города Севастополя;</w:t>
            </w:r>
          </w:p>
          <w:p>
            <w:pPr>
              <w:pStyle w:val="0"/>
              <w:jc w:val="both"/>
            </w:pPr>
            <w:r>
              <w:rPr>
                <w:sz w:val="20"/>
              </w:rPr>
              <w:t xml:space="preserve">руководители медицинских организаций, подведомственных Департаменту здравоохранения города Севастополя</w:t>
            </w:r>
          </w:p>
        </w:tc>
        <w:tc>
          <w:tcPr>
            <w:tcW w:w="2778" w:type="dxa"/>
          </w:tcPr>
          <w:p>
            <w:pPr>
              <w:pStyle w:val="0"/>
              <w:jc w:val="both"/>
            </w:pPr>
            <w:r>
              <w:rPr>
                <w:sz w:val="20"/>
              </w:rPr>
              <w:t xml:space="preserve">8. Укомплектованность врачебных должностей в подразделениях, оказывающих медицинскую помощь в амбулаторных условиях города Севастополя физическими лицами при коэффициенте совместительства - 1,2%</w:t>
            </w:r>
          </w:p>
        </w:tc>
        <w:tc>
          <w:tcPr>
            <w:tcW w:w="1276" w:type="dxa"/>
          </w:tcPr>
          <w:p>
            <w:pPr>
              <w:pStyle w:val="0"/>
              <w:jc w:val="center"/>
            </w:pPr>
            <w:r>
              <w:rPr>
                <w:sz w:val="20"/>
              </w:rPr>
              <w:t xml:space="preserve">79,1</w:t>
            </w:r>
          </w:p>
        </w:tc>
        <w:tc>
          <w:tcPr>
            <w:tcW w:w="1020" w:type="dxa"/>
          </w:tcPr>
          <w:p>
            <w:pPr>
              <w:pStyle w:val="0"/>
              <w:jc w:val="center"/>
            </w:pPr>
            <w:r>
              <w:rPr>
                <w:sz w:val="20"/>
              </w:rPr>
              <w:t xml:space="preserve">81,3</w:t>
            </w:r>
          </w:p>
        </w:tc>
        <w:tc>
          <w:tcPr>
            <w:tcW w:w="1020" w:type="dxa"/>
          </w:tcPr>
          <w:p>
            <w:pPr>
              <w:pStyle w:val="0"/>
              <w:jc w:val="center"/>
            </w:pPr>
            <w:r>
              <w:rPr>
                <w:sz w:val="20"/>
              </w:rPr>
              <w:t xml:space="preserve">85,2</w:t>
            </w:r>
          </w:p>
        </w:tc>
        <w:tc>
          <w:tcPr>
            <w:tcW w:w="1020" w:type="dxa"/>
          </w:tcPr>
          <w:p>
            <w:pPr>
              <w:pStyle w:val="0"/>
              <w:jc w:val="center"/>
            </w:pPr>
            <w:r>
              <w:rPr>
                <w:sz w:val="20"/>
              </w:rPr>
              <w:t xml:space="preserve">89,2</w:t>
            </w:r>
          </w:p>
        </w:tc>
        <w:tc>
          <w:tcPr>
            <w:tcW w:w="1020" w:type="dxa"/>
          </w:tcPr>
          <w:p>
            <w:pPr>
              <w:pStyle w:val="0"/>
              <w:jc w:val="center"/>
            </w:pPr>
            <w:r>
              <w:rPr>
                <w:sz w:val="20"/>
              </w:rPr>
              <w:t xml:space="preserve">95,2</w:t>
            </w:r>
          </w:p>
        </w:tc>
        <w:tc>
          <w:tcPr>
            <w:tcW w:w="1021" w:type="dxa"/>
          </w:tcPr>
          <w:p>
            <w:pPr>
              <w:pStyle w:val="0"/>
              <w:jc w:val="center"/>
            </w:pPr>
            <w:r>
              <w:rPr>
                <w:sz w:val="20"/>
              </w:rPr>
              <w:t xml:space="preserve">98,6</w:t>
            </w:r>
          </w:p>
        </w:tc>
      </w:tr>
      <w:tr>
        <w:tc>
          <w:tcPr>
            <w:vMerge w:val="continue"/>
          </w:tcPr>
          <w:p/>
        </w:tc>
        <w:tc>
          <w:tcPr>
            <w:vMerge w:val="continue"/>
          </w:tcPr>
          <w:p/>
        </w:tc>
        <w:tc>
          <w:tcPr>
            <w:tcW w:w="3572" w:type="dxa"/>
          </w:tcPr>
          <w:p>
            <w:pPr>
              <w:pStyle w:val="0"/>
              <w:jc w:val="both"/>
            </w:pPr>
            <w:r>
              <w:rPr>
                <w:sz w:val="20"/>
              </w:rPr>
              <w:t xml:space="preserve">Задача N 6. Доукомплектовать должности среднего медицинского персонала в подразделениях, оказывающих медицинскую помощь в амбулаторных условиях города Севастополя.</w:t>
            </w:r>
          </w:p>
          <w:p>
            <w:pPr>
              <w:pStyle w:val="0"/>
              <w:jc w:val="both"/>
            </w:pPr>
            <w:r>
              <w:rPr>
                <w:sz w:val="20"/>
              </w:rPr>
              <w:t xml:space="preserve">Департамент здравоохранения города Севастополя;</w:t>
            </w:r>
          </w:p>
          <w:p>
            <w:pPr>
              <w:pStyle w:val="0"/>
              <w:jc w:val="both"/>
            </w:pPr>
            <w:r>
              <w:rPr>
                <w:sz w:val="20"/>
              </w:rPr>
              <w:t xml:space="preserve">руководители медицинских организаций, подведомственных Департаменту здравоохранения города Севастополя</w:t>
            </w:r>
          </w:p>
        </w:tc>
        <w:tc>
          <w:tcPr>
            <w:tcW w:w="2778" w:type="dxa"/>
          </w:tcPr>
          <w:p>
            <w:pPr>
              <w:pStyle w:val="0"/>
              <w:jc w:val="both"/>
            </w:pPr>
            <w:r>
              <w:rPr>
                <w:sz w:val="20"/>
              </w:rPr>
              <w:t xml:space="preserve">9. Укомплектованность должностей среднего медицинского персонала в подразделениях, оказывающих медицинскую помощь в амбулаторных условиях города Севастополя, физическими лицами при коэффициенте совместительства - 1,2%</w:t>
            </w:r>
          </w:p>
        </w:tc>
        <w:tc>
          <w:tcPr>
            <w:tcW w:w="1276" w:type="dxa"/>
          </w:tcPr>
          <w:p>
            <w:pPr>
              <w:pStyle w:val="0"/>
              <w:jc w:val="center"/>
            </w:pPr>
            <w:r>
              <w:rPr>
                <w:sz w:val="20"/>
              </w:rPr>
              <w:t xml:space="preserve">72,9</w:t>
            </w:r>
          </w:p>
        </w:tc>
        <w:tc>
          <w:tcPr>
            <w:tcW w:w="1020" w:type="dxa"/>
          </w:tcPr>
          <w:p>
            <w:pPr>
              <w:pStyle w:val="0"/>
              <w:jc w:val="center"/>
            </w:pPr>
            <w:r>
              <w:rPr>
                <w:sz w:val="20"/>
              </w:rPr>
              <w:t xml:space="preserve">74,2</w:t>
            </w:r>
          </w:p>
        </w:tc>
        <w:tc>
          <w:tcPr>
            <w:tcW w:w="1020" w:type="dxa"/>
          </w:tcPr>
          <w:p>
            <w:pPr>
              <w:pStyle w:val="0"/>
              <w:jc w:val="center"/>
            </w:pPr>
            <w:r>
              <w:rPr>
                <w:sz w:val="20"/>
              </w:rPr>
              <w:t xml:space="preserve">76,5</w:t>
            </w:r>
          </w:p>
        </w:tc>
        <w:tc>
          <w:tcPr>
            <w:tcW w:w="1020" w:type="dxa"/>
          </w:tcPr>
          <w:p>
            <w:pPr>
              <w:pStyle w:val="0"/>
              <w:jc w:val="center"/>
            </w:pPr>
            <w:r>
              <w:rPr>
                <w:sz w:val="20"/>
              </w:rPr>
              <w:t xml:space="preserve">80</w:t>
            </w:r>
          </w:p>
        </w:tc>
        <w:tc>
          <w:tcPr>
            <w:tcW w:w="1020" w:type="dxa"/>
          </w:tcPr>
          <w:p>
            <w:pPr>
              <w:pStyle w:val="0"/>
              <w:jc w:val="center"/>
            </w:pPr>
            <w:r>
              <w:rPr>
                <w:sz w:val="20"/>
              </w:rPr>
              <w:t xml:space="preserve">84</w:t>
            </w:r>
          </w:p>
        </w:tc>
        <w:tc>
          <w:tcPr>
            <w:tcW w:w="1021" w:type="dxa"/>
          </w:tcPr>
          <w:p>
            <w:pPr>
              <w:pStyle w:val="0"/>
              <w:jc w:val="center"/>
            </w:pPr>
            <w:r>
              <w:rPr>
                <w:sz w:val="20"/>
              </w:rPr>
              <w:t xml:space="preserve">96</w:t>
            </w:r>
          </w:p>
        </w:tc>
      </w:tr>
      <w:tr>
        <w:tc>
          <w:tcPr>
            <w:vMerge w:val="continue"/>
          </w:tcPr>
          <w:p/>
        </w:tc>
        <w:tc>
          <w:tcPr>
            <w:vMerge w:val="continue"/>
          </w:tcPr>
          <w:p/>
        </w:tc>
        <w:tc>
          <w:tcPr>
            <w:tcW w:w="3572" w:type="dxa"/>
          </w:tcPr>
          <w:p>
            <w:pPr>
              <w:pStyle w:val="0"/>
              <w:jc w:val="both"/>
            </w:pPr>
            <w:r>
              <w:rPr>
                <w:sz w:val="20"/>
              </w:rPr>
              <w:t xml:space="preserve">Задача N 7. Увеличить численность врачей государственных медицинских организаций, оказывающих медицинскую помощь в амбулаторных условиях, человек.</w:t>
            </w:r>
          </w:p>
          <w:p>
            <w:pPr>
              <w:pStyle w:val="0"/>
              <w:jc w:val="both"/>
            </w:pPr>
            <w:r>
              <w:rPr>
                <w:sz w:val="20"/>
              </w:rPr>
              <w:t xml:space="preserve">Департамент здравоохранения города Севастополя;</w:t>
            </w:r>
          </w:p>
          <w:p>
            <w:pPr>
              <w:pStyle w:val="0"/>
              <w:jc w:val="both"/>
            </w:pPr>
            <w:r>
              <w:rPr>
                <w:sz w:val="20"/>
              </w:rPr>
              <w:t xml:space="preserve">руководители медицинских организаций, подведомственных Департаменту здравоохранения города Севастополя</w:t>
            </w:r>
          </w:p>
        </w:tc>
        <w:tc>
          <w:tcPr>
            <w:tcW w:w="2778" w:type="dxa"/>
          </w:tcPr>
          <w:p>
            <w:pPr>
              <w:pStyle w:val="0"/>
              <w:jc w:val="both"/>
            </w:pPr>
            <w:r>
              <w:rPr>
                <w:sz w:val="20"/>
              </w:rPr>
              <w:t xml:space="preserve">10. Численность врачей государственных медицинских организаций, оказывающих медицинскую помощь в амбулаторных условиях, человек</w:t>
            </w:r>
          </w:p>
        </w:tc>
        <w:tc>
          <w:tcPr>
            <w:tcW w:w="1276" w:type="dxa"/>
          </w:tcPr>
          <w:p>
            <w:pPr>
              <w:pStyle w:val="0"/>
              <w:jc w:val="center"/>
            </w:pPr>
            <w:r>
              <w:rPr>
                <w:sz w:val="20"/>
              </w:rPr>
              <w:t xml:space="preserve">705</w:t>
            </w:r>
          </w:p>
        </w:tc>
        <w:tc>
          <w:tcPr>
            <w:tcW w:w="1020" w:type="dxa"/>
          </w:tcPr>
          <w:p>
            <w:pPr>
              <w:pStyle w:val="0"/>
              <w:jc w:val="center"/>
            </w:pPr>
            <w:r>
              <w:rPr>
                <w:sz w:val="20"/>
              </w:rPr>
              <w:t xml:space="preserve">753</w:t>
            </w:r>
          </w:p>
        </w:tc>
        <w:tc>
          <w:tcPr>
            <w:tcW w:w="1020" w:type="dxa"/>
          </w:tcPr>
          <w:p>
            <w:pPr>
              <w:pStyle w:val="0"/>
              <w:jc w:val="center"/>
            </w:pPr>
            <w:r>
              <w:rPr>
                <w:sz w:val="20"/>
              </w:rPr>
              <w:t xml:space="preserve">789</w:t>
            </w:r>
          </w:p>
        </w:tc>
        <w:tc>
          <w:tcPr>
            <w:tcW w:w="1020" w:type="dxa"/>
          </w:tcPr>
          <w:p>
            <w:pPr>
              <w:pStyle w:val="0"/>
              <w:jc w:val="center"/>
            </w:pPr>
            <w:r>
              <w:rPr>
                <w:sz w:val="20"/>
              </w:rPr>
              <w:t xml:space="preserve">826</w:t>
            </w:r>
          </w:p>
        </w:tc>
        <w:tc>
          <w:tcPr>
            <w:tcW w:w="1020" w:type="dxa"/>
          </w:tcPr>
          <w:p>
            <w:pPr>
              <w:pStyle w:val="0"/>
              <w:jc w:val="center"/>
            </w:pPr>
            <w:r>
              <w:rPr>
                <w:sz w:val="20"/>
              </w:rPr>
              <w:t xml:space="preserve">881</w:t>
            </w:r>
          </w:p>
        </w:tc>
        <w:tc>
          <w:tcPr>
            <w:tcW w:w="1021" w:type="dxa"/>
          </w:tcPr>
          <w:p>
            <w:pPr>
              <w:pStyle w:val="0"/>
              <w:jc w:val="center"/>
            </w:pPr>
            <w:r>
              <w:rPr>
                <w:sz w:val="20"/>
              </w:rPr>
              <w:t xml:space="preserve">913</w:t>
            </w:r>
          </w:p>
        </w:tc>
      </w:tr>
      <w:tr>
        <w:tc>
          <w:tcPr>
            <w:vMerge w:val="continue"/>
          </w:tcPr>
          <w:p/>
        </w:tc>
        <w:tc>
          <w:tcPr>
            <w:vMerge w:val="continue"/>
          </w:tcPr>
          <w:p/>
        </w:tc>
        <w:tc>
          <w:tcPr>
            <w:tcW w:w="3572" w:type="dxa"/>
          </w:tcPr>
          <w:p>
            <w:pPr>
              <w:pStyle w:val="0"/>
              <w:jc w:val="both"/>
            </w:pPr>
            <w:r>
              <w:rPr>
                <w:sz w:val="20"/>
              </w:rPr>
              <w:t xml:space="preserve">Задача N 8. Увеличить численность среднего медицинского персонала государственных медицинских организаций, оказывающего медицинскую помощь в амбулаторных условиях, человек.</w:t>
            </w:r>
          </w:p>
          <w:p>
            <w:pPr>
              <w:pStyle w:val="0"/>
              <w:jc w:val="both"/>
            </w:pPr>
            <w:r>
              <w:rPr>
                <w:sz w:val="20"/>
              </w:rPr>
              <w:t xml:space="preserve">Департамент здравоохранения города Севастополя;</w:t>
            </w:r>
          </w:p>
          <w:p>
            <w:pPr>
              <w:pStyle w:val="0"/>
              <w:jc w:val="both"/>
            </w:pPr>
            <w:r>
              <w:rPr>
                <w:sz w:val="20"/>
              </w:rPr>
              <w:t xml:space="preserve">руководители медицинских организаций, подведомственных Департаменту здравоохранения города Севастополя</w:t>
            </w:r>
          </w:p>
        </w:tc>
        <w:tc>
          <w:tcPr>
            <w:tcW w:w="2778" w:type="dxa"/>
          </w:tcPr>
          <w:p>
            <w:pPr>
              <w:pStyle w:val="0"/>
              <w:jc w:val="both"/>
            </w:pPr>
            <w:r>
              <w:rPr>
                <w:sz w:val="20"/>
              </w:rPr>
              <w:t xml:space="preserve">11. Численность среднего медицинского персонала государственных медицинских организаций, оказывающего медицинскую помощь в амбулаторных условиях, человек</w:t>
            </w:r>
          </w:p>
        </w:tc>
        <w:tc>
          <w:tcPr>
            <w:tcW w:w="1276" w:type="dxa"/>
          </w:tcPr>
          <w:p>
            <w:pPr>
              <w:pStyle w:val="0"/>
              <w:jc w:val="center"/>
            </w:pPr>
            <w:r>
              <w:rPr>
                <w:sz w:val="20"/>
              </w:rPr>
              <w:t xml:space="preserve">1030</w:t>
            </w:r>
          </w:p>
        </w:tc>
        <w:tc>
          <w:tcPr>
            <w:tcW w:w="1020" w:type="dxa"/>
          </w:tcPr>
          <w:p>
            <w:pPr>
              <w:pStyle w:val="0"/>
              <w:jc w:val="center"/>
            </w:pPr>
            <w:r>
              <w:rPr>
                <w:sz w:val="20"/>
              </w:rPr>
              <w:t xml:space="preserve">1009</w:t>
            </w:r>
          </w:p>
        </w:tc>
        <w:tc>
          <w:tcPr>
            <w:tcW w:w="1020" w:type="dxa"/>
          </w:tcPr>
          <w:p>
            <w:pPr>
              <w:pStyle w:val="0"/>
              <w:jc w:val="center"/>
            </w:pPr>
            <w:r>
              <w:rPr>
                <w:sz w:val="20"/>
              </w:rPr>
              <w:t xml:space="preserve">1040</w:t>
            </w:r>
          </w:p>
        </w:tc>
        <w:tc>
          <w:tcPr>
            <w:tcW w:w="1020" w:type="dxa"/>
          </w:tcPr>
          <w:p>
            <w:pPr>
              <w:pStyle w:val="0"/>
              <w:jc w:val="center"/>
            </w:pPr>
            <w:r>
              <w:rPr>
                <w:sz w:val="20"/>
              </w:rPr>
              <w:t xml:space="preserve">1088</w:t>
            </w:r>
          </w:p>
        </w:tc>
        <w:tc>
          <w:tcPr>
            <w:tcW w:w="1020" w:type="dxa"/>
          </w:tcPr>
          <w:p>
            <w:pPr>
              <w:pStyle w:val="0"/>
              <w:jc w:val="center"/>
            </w:pPr>
            <w:r>
              <w:rPr>
                <w:sz w:val="20"/>
              </w:rPr>
              <w:t xml:space="preserve">1142</w:t>
            </w:r>
          </w:p>
        </w:tc>
        <w:tc>
          <w:tcPr>
            <w:tcW w:w="1021" w:type="dxa"/>
          </w:tcPr>
          <w:p>
            <w:pPr>
              <w:pStyle w:val="0"/>
              <w:jc w:val="center"/>
            </w:pPr>
            <w:r>
              <w:rPr>
                <w:sz w:val="20"/>
              </w:rPr>
              <w:t xml:space="preserve">1306</w:t>
            </w:r>
          </w:p>
        </w:tc>
      </w:tr>
      <w:tr>
        <w:tc>
          <w:tcPr>
            <w:vMerge w:val="continue"/>
          </w:tcPr>
          <w:p/>
        </w:tc>
        <w:tc>
          <w:tcPr>
            <w:vMerge w:val="continue"/>
          </w:tcPr>
          <w:p/>
        </w:tc>
        <w:tc>
          <w:tcPr>
            <w:tcW w:w="3572" w:type="dxa"/>
          </w:tcPr>
          <w:p>
            <w:pPr>
              <w:pStyle w:val="0"/>
              <w:jc w:val="both"/>
            </w:pPr>
            <w:r>
              <w:rPr>
                <w:sz w:val="20"/>
              </w:rPr>
              <w:t xml:space="preserve">Задача N 9. Повысить эффективность трудоустройства выпускников, завершивших обучение в рамках целевой подготовки по специальностям специалитета.</w:t>
            </w:r>
          </w:p>
          <w:p>
            <w:pPr>
              <w:pStyle w:val="0"/>
              <w:jc w:val="both"/>
            </w:pPr>
            <w:r>
              <w:rPr>
                <w:sz w:val="20"/>
              </w:rPr>
              <w:t xml:space="preserve">Департамент здравоохранения города Севастополя;</w:t>
            </w:r>
          </w:p>
          <w:p>
            <w:pPr>
              <w:pStyle w:val="0"/>
              <w:jc w:val="both"/>
            </w:pPr>
            <w:r>
              <w:rPr>
                <w:sz w:val="20"/>
              </w:rPr>
              <w:t xml:space="preserve">руководители медицинских организаций, подведомственных Департаменту здравоохранения города Севастополя</w:t>
            </w:r>
          </w:p>
        </w:tc>
        <w:tc>
          <w:tcPr>
            <w:tcW w:w="2778" w:type="dxa"/>
          </w:tcPr>
          <w:p>
            <w:pPr>
              <w:pStyle w:val="0"/>
              <w:jc w:val="both"/>
            </w:pPr>
            <w:r>
              <w:rPr>
                <w:sz w:val="20"/>
              </w:rPr>
              <w:t xml:space="preserve">12. Эффективность трудоустройства выпускников, завершивших обучение в рамках целевой подготовки по специальностям специалитета "Педиатрия" и "Лечебное дело", %</w:t>
            </w:r>
          </w:p>
        </w:tc>
        <w:tc>
          <w:tcPr>
            <w:tcW w:w="1276"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28</w:t>
            </w:r>
          </w:p>
        </w:tc>
        <w:tc>
          <w:tcPr>
            <w:tcW w:w="1020" w:type="dxa"/>
          </w:tcPr>
          <w:p>
            <w:pPr>
              <w:pStyle w:val="0"/>
              <w:jc w:val="center"/>
            </w:pPr>
            <w:r>
              <w:rPr>
                <w:sz w:val="20"/>
              </w:rPr>
              <w:t xml:space="preserve">58</w:t>
            </w:r>
          </w:p>
        </w:tc>
        <w:tc>
          <w:tcPr>
            <w:tcW w:w="1021" w:type="dxa"/>
          </w:tcPr>
          <w:p>
            <w:pPr>
              <w:pStyle w:val="0"/>
              <w:jc w:val="center"/>
            </w:pPr>
            <w:r>
              <w:rPr>
                <w:sz w:val="20"/>
              </w:rPr>
              <w:t xml:space="preserve">68</w:t>
            </w:r>
          </w:p>
        </w:tc>
      </w:tr>
      <w:tr>
        <w:tc>
          <w:tcPr>
            <w:vMerge w:val="continue"/>
          </w:tcPr>
          <w:p/>
        </w:tc>
        <w:tc>
          <w:tcPr>
            <w:vMerge w:val="continue"/>
          </w:tcPr>
          <w:p/>
        </w:tc>
        <w:tc>
          <w:tcPr>
            <w:tcW w:w="3572" w:type="dxa"/>
          </w:tcPr>
          <w:p>
            <w:pPr>
              <w:pStyle w:val="0"/>
              <w:jc w:val="both"/>
            </w:pPr>
            <w:r>
              <w:rPr>
                <w:sz w:val="20"/>
              </w:rPr>
              <w:t xml:space="preserve">Задача N 10. Повысить эффективность трудоустройства выпускников, завершивших обучение в рамках целевой подготовки по специальностям ординатуры.</w:t>
            </w:r>
          </w:p>
          <w:p>
            <w:pPr>
              <w:pStyle w:val="0"/>
              <w:jc w:val="both"/>
            </w:pPr>
            <w:r>
              <w:rPr>
                <w:sz w:val="20"/>
              </w:rPr>
              <w:t xml:space="preserve">Департамент здравоохранения города Севастополя;</w:t>
            </w:r>
          </w:p>
          <w:p>
            <w:pPr>
              <w:pStyle w:val="0"/>
              <w:jc w:val="both"/>
            </w:pPr>
            <w:r>
              <w:rPr>
                <w:sz w:val="20"/>
              </w:rPr>
              <w:t xml:space="preserve">руководители медицинских организаций, подведомственных Департаменту здравоохранения города Севастополя</w:t>
            </w:r>
          </w:p>
        </w:tc>
        <w:tc>
          <w:tcPr>
            <w:tcW w:w="2778" w:type="dxa"/>
          </w:tcPr>
          <w:p>
            <w:pPr>
              <w:pStyle w:val="0"/>
              <w:jc w:val="both"/>
            </w:pPr>
            <w:r>
              <w:rPr>
                <w:sz w:val="20"/>
              </w:rPr>
              <w:t xml:space="preserve">13. Эффективность трудоустройства выпускников, завершивших обучение в рамках целевой подготовки по специальностям ординатуры, %</w:t>
            </w:r>
          </w:p>
        </w:tc>
        <w:tc>
          <w:tcPr>
            <w:tcW w:w="1276" w:type="dxa"/>
          </w:tcPr>
          <w:p>
            <w:pPr>
              <w:pStyle w:val="0"/>
              <w:jc w:val="center"/>
            </w:pPr>
            <w:r>
              <w:rPr>
                <w:sz w:val="20"/>
              </w:rPr>
              <w:t xml:space="preserve">80</w:t>
            </w:r>
          </w:p>
        </w:tc>
        <w:tc>
          <w:tcPr>
            <w:tcW w:w="1020" w:type="dxa"/>
          </w:tcPr>
          <w:p>
            <w:pPr>
              <w:pStyle w:val="0"/>
              <w:jc w:val="center"/>
            </w:pPr>
            <w:r>
              <w:rPr>
                <w:sz w:val="20"/>
              </w:rPr>
              <w:t xml:space="preserve">80,9</w:t>
            </w:r>
          </w:p>
        </w:tc>
        <w:tc>
          <w:tcPr>
            <w:tcW w:w="1020" w:type="dxa"/>
          </w:tcPr>
          <w:p>
            <w:pPr>
              <w:pStyle w:val="0"/>
              <w:jc w:val="center"/>
            </w:pPr>
            <w:r>
              <w:rPr>
                <w:sz w:val="20"/>
              </w:rPr>
              <w:t xml:space="preserve">85,2</w:t>
            </w:r>
          </w:p>
        </w:tc>
        <w:tc>
          <w:tcPr>
            <w:tcW w:w="1020" w:type="dxa"/>
          </w:tcPr>
          <w:p>
            <w:pPr>
              <w:pStyle w:val="0"/>
              <w:jc w:val="center"/>
            </w:pPr>
            <w:r>
              <w:rPr>
                <w:sz w:val="20"/>
              </w:rPr>
              <w:t xml:space="preserve">89,4</w:t>
            </w:r>
          </w:p>
        </w:tc>
        <w:tc>
          <w:tcPr>
            <w:tcW w:w="1020" w:type="dxa"/>
          </w:tcPr>
          <w:p>
            <w:pPr>
              <w:pStyle w:val="0"/>
              <w:jc w:val="center"/>
            </w:pPr>
            <w:r>
              <w:rPr>
                <w:sz w:val="20"/>
              </w:rPr>
              <w:t xml:space="preserve">93,7</w:t>
            </w:r>
          </w:p>
        </w:tc>
        <w:tc>
          <w:tcPr>
            <w:tcW w:w="1021" w:type="dxa"/>
          </w:tcPr>
          <w:p>
            <w:pPr>
              <w:pStyle w:val="0"/>
              <w:jc w:val="center"/>
            </w:pPr>
            <w:r>
              <w:rPr>
                <w:sz w:val="20"/>
              </w:rPr>
              <w:t xml:space="preserve">98,0</w:t>
            </w:r>
          </w:p>
        </w:tc>
      </w:tr>
      <w:tr>
        <w:tc>
          <w:tcPr>
            <w:vMerge w:val="continue"/>
          </w:tcPr>
          <w:p/>
        </w:tc>
        <w:tc>
          <w:tcPr>
            <w:vMerge w:val="continue"/>
          </w:tcPr>
          <w:p/>
        </w:tc>
        <w:tc>
          <w:tcPr>
            <w:tcW w:w="3572" w:type="dxa"/>
          </w:tcPr>
          <w:p>
            <w:pPr>
              <w:pStyle w:val="0"/>
              <w:jc w:val="both"/>
            </w:pPr>
            <w:r>
              <w:rPr>
                <w:sz w:val="20"/>
              </w:rPr>
              <w:t xml:space="preserve">Задача N 11. Повысить эффективность трудоустройства выпускников образовательных организаций среднего профессионального образования в государственные медицинские организации.</w:t>
            </w:r>
          </w:p>
          <w:p>
            <w:pPr>
              <w:pStyle w:val="0"/>
              <w:jc w:val="both"/>
            </w:pPr>
            <w:r>
              <w:rPr>
                <w:sz w:val="20"/>
              </w:rPr>
              <w:t xml:space="preserve">Департамент здравоохранения города Севастополя;</w:t>
            </w:r>
          </w:p>
          <w:p>
            <w:pPr>
              <w:pStyle w:val="0"/>
              <w:jc w:val="both"/>
            </w:pPr>
            <w:r>
              <w:rPr>
                <w:sz w:val="20"/>
              </w:rPr>
              <w:t xml:space="preserve">руководители медицинских организаций, подведомственных Департаменту здравоохранения города Севастополя</w:t>
            </w:r>
          </w:p>
        </w:tc>
        <w:tc>
          <w:tcPr>
            <w:tcW w:w="2778" w:type="dxa"/>
          </w:tcPr>
          <w:p>
            <w:pPr>
              <w:pStyle w:val="0"/>
              <w:jc w:val="both"/>
            </w:pPr>
            <w:r>
              <w:rPr>
                <w:sz w:val="20"/>
              </w:rPr>
              <w:t xml:space="preserve">14. Эффективность трудоустройства выпускников образовательных организаций среднего профессионального образования в государственные медицинские организации, на базе которых оказывается первичная медико-санитарная помощь, %</w:t>
            </w:r>
          </w:p>
        </w:tc>
        <w:tc>
          <w:tcPr>
            <w:tcW w:w="1276" w:type="dxa"/>
          </w:tcPr>
          <w:p>
            <w:pPr>
              <w:pStyle w:val="0"/>
              <w:jc w:val="center"/>
            </w:pPr>
            <w:r>
              <w:rPr>
                <w:sz w:val="20"/>
              </w:rPr>
              <w:t xml:space="preserve">80</w:t>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75</w:t>
            </w:r>
          </w:p>
        </w:tc>
        <w:tc>
          <w:tcPr>
            <w:tcW w:w="1020" w:type="dxa"/>
          </w:tcPr>
          <w:p>
            <w:pPr>
              <w:pStyle w:val="0"/>
              <w:jc w:val="center"/>
            </w:pPr>
            <w:r>
              <w:rPr>
                <w:sz w:val="20"/>
              </w:rPr>
              <w:t xml:space="preserve">80</w:t>
            </w:r>
          </w:p>
        </w:tc>
        <w:tc>
          <w:tcPr>
            <w:tcW w:w="1021" w:type="dxa"/>
          </w:tcPr>
          <w:p>
            <w:pPr>
              <w:pStyle w:val="0"/>
              <w:jc w:val="center"/>
            </w:pPr>
            <w:r>
              <w:rPr>
                <w:sz w:val="20"/>
              </w:rPr>
              <w:t xml:space="preserve">85</w:t>
            </w:r>
          </w:p>
        </w:tc>
      </w:tr>
      <w:tr>
        <w:tc>
          <w:tcPr>
            <w:tcW w:w="488" w:type="dxa"/>
          </w:tcPr>
          <w:p>
            <w:pPr>
              <w:pStyle w:val="0"/>
              <w:jc w:val="both"/>
            </w:pPr>
            <w:r>
              <w:rPr>
                <w:sz w:val="20"/>
              </w:rPr>
              <w:t xml:space="preserve">3</w:t>
            </w:r>
          </w:p>
        </w:tc>
        <w:tc>
          <w:tcPr>
            <w:tcW w:w="3402" w:type="dxa"/>
          </w:tcPr>
          <w:p>
            <w:pPr>
              <w:pStyle w:val="0"/>
              <w:jc w:val="both"/>
            </w:pPr>
            <w:r>
              <w:rPr>
                <w:sz w:val="20"/>
              </w:rPr>
              <w:t xml:space="preserve">Цель N 3. Увеличить оснащенность медицинских организаций, участвующих в региональной программе, цифровыми медицинскими изделиями и сервисами дистанционного мониторинга состояния здоровья пациентов.</w:t>
            </w:r>
          </w:p>
          <w:p>
            <w:pPr>
              <w:pStyle w:val="0"/>
              <w:jc w:val="both"/>
            </w:pPr>
            <w:r>
              <w:rPr>
                <w:sz w:val="20"/>
              </w:rPr>
              <w:t xml:space="preserve">Департамент здравоохранения города Севастополя;</w:t>
            </w:r>
          </w:p>
          <w:p>
            <w:pPr>
              <w:pStyle w:val="0"/>
              <w:jc w:val="both"/>
            </w:pPr>
            <w:r>
              <w:rPr>
                <w:sz w:val="20"/>
              </w:rPr>
              <w:t xml:space="preserve">ГБУЗС "МИАЦ"</w:t>
            </w:r>
          </w:p>
        </w:tc>
        <w:tc>
          <w:tcPr>
            <w:tcW w:w="3572" w:type="dxa"/>
          </w:tcPr>
          <w:p>
            <w:pPr>
              <w:pStyle w:val="0"/>
              <w:jc w:val="both"/>
            </w:pPr>
            <w:r>
              <w:rPr>
                <w:sz w:val="20"/>
              </w:rPr>
              <w:t xml:space="preserve">Задача N 12. Сформировать систему дистанционного мониторинга за состоянием здоровья пациента.</w:t>
            </w:r>
          </w:p>
          <w:p>
            <w:pPr>
              <w:pStyle w:val="0"/>
              <w:jc w:val="both"/>
            </w:pPr>
            <w:r>
              <w:rPr>
                <w:sz w:val="20"/>
              </w:rPr>
              <w:t xml:space="preserve">Департамент здравоохранения города Севастополя;</w:t>
            </w:r>
          </w:p>
          <w:p>
            <w:pPr>
              <w:pStyle w:val="0"/>
              <w:jc w:val="both"/>
            </w:pPr>
            <w:r>
              <w:rPr>
                <w:sz w:val="20"/>
              </w:rPr>
              <w:t xml:space="preserve">ГБУЗС "МИАЦ"</w:t>
            </w:r>
          </w:p>
        </w:tc>
        <w:tc>
          <w:tcPr>
            <w:tcW w:w="2778" w:type="dxa"/>
          </w:tcPr>
          <w:p>
            <w:pPr>
              <w:pStyle w:val="0"/>
              <w:jc w:val="both"/>
            </w:pPr>
            <w:r>
              <w:rPr>
                <w:sz w:val="20"/>
              </w:rPr>
              <w:t xml:space="preserve">15. Оснащенность медицинских организаций, участвующих в региональной программе, цифровыми медицинскими изделиями и сервисами дистанционного мониторинга состояния здоровья пациентов, %</w:t>
            </w:r>
          </w:p>
        </w:tc>
        <w:tc>
          <w:tcPr>
            <w:tcW w:w="1276" w:type="dxa"/>
          </w:tcPr>
          <w:p>
            <w:pPr>
              <w:pStyle w:val="0"/>
              <w:jc w:val="center"/>
            </w:pPr>
            <w:r>
              <w:rPr>
                <w:sz w:val="20"/>
              </w:rPr>
              <w:t xml:space="preserve">0</w:t>
            </w:r>
          </w:p>
        </w:tc>
        <w:tc>
          <w:tcPr>
            <w:tcW w:w="1020" w:type="dxa"/>
          </w:tcPr>
          <w:p>
            <w:pPr>
              <w:pStyle w:val="0"/>
              <w:jc w:val="center"/>
            </w:pPr>
            <w:r>
              <w:rPr>
                <w:sz w:val="20"/>
              </w:rPr>
              <w:t xml:space="preserve">20</w:t>
            </w:r>
          </w:p>
        </w:tc>
        <w:tc>
          <w:tcPr>
            <w:tcW w:w="1020" w:type="dxa"/>
          </w:tcPr>
          <w:p>
            <w:pPr>
              <w:pStyle w:val="0"/>
              <w:jc w:val="center"/>
            </w:pPr>
            <w:r>
              <w:rPr>
                <w:sz w:val="20"/>
              </w:rPr>
              <w:t xml:space="preserve">40</w:t>
            </w:r>
          </w:p>
        </w:tc>
        <w:tc>
          <w:tcPr>
            <w:tcW w:w="1020" w:type="dxa"/>
          </w:tcPr>
          <w:p>
            <w:pPr>
              <w:pStyle w:val="0"/>
              <w:jc w:val="center"/>
            </w:pPr>
            <w:r>
              <w:rPr>
                <w:sz w:val="20"/>
              </w:rPr>
              <w:t xml:space="preserve">60</w:t>
            </w:r>
          </w:p>
        </w:tc>
        <w:tc>
          <w:tcPr>
            <w:tcW w:w="1020" w:type="dxa"/>
          </w:tcPr>
          <w:p>
            <w:pPr>
              <w:pStyle w:val="0"/>
              <w:jc w:val="center"/>
            </w:pPr>
            <w:r>
              <w:rPr>
                <w:sz w:val="20"/>
              </w:rPr>
              <w:t xml:space="preserve">80</w:t>
            </w:r>
          </w:p>
        </w:tc>
        <w:tc>
          <w:tcPr>
            <w:tcW w:w="1021" w:type="dxa"/>
          </w:tcPr>
          <w:p>
            <w:pPr>
              <w:pStyle w:val="0"/>
              <w:jc w:val="center"/>
            </w:pPr>
            <w:r>
              <w:rPr>
                <w:sz w:val="20"/>
              </w:rPr>
              <w:t xml:space="preserve">100</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bookmarkStart w:id="31311" w:name="P31311"/>
    <w:bookmarkEnd w:id="31311"/>
    <w:p>
      <w:pPr>
        <w:pStyle w:val="0"/>
        <w:outlineLvl w:val="2"/>
        <w:jc w:val="right"/>
      </w:pPr>
      <w:r>
        <w:rPr>
          <w:sz w:val="20"/>
        </w:rPr>
        <w:t xml:space="preserve">Приложение N 4</w:t>
      </w:r>
    </w:p>
    <w:p>
      <w:pPr>
        <w:pStyle w:val="0"/>
        <w:jc w:val="right"/>
      </w:pPr>
      <w:r>
        <w:rPr>
          <w:sz w:val="20"/>
        </w:rPr>
        <w:t xml:space="preserve">к региональной программе</w:t>
      </w:r>
    </w:p>
    <w:p>
      <w:pPr>
        <w:pStyle w:val="0"/>
        <w:jc w:val="right"/>
      </w:pPr>
      <w:r>
        <w:rPr>
          <w:sz w:val="20"/>
        </w:rPr>
        <w:t xml:space="preserve">"Модернизация первичного звена</w:t>
      </w:r>
    </w:p>
    <w:p>
      <w:pPr>
        <w:pStyle w:val="0"/>
        <w:jc w:val="right"/>
      </w:pPr>
      <w:r>
        <w:rPr>
          <w:sz w:val="20"/>
        </w:rPr>
        <w:t xml:space="preserve">здравоохранения города Севастополя"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70"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02.03.2023 N 108-ПП)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outlineLvl w:val="3"/>
        <w:jc w:val="right"/>
      </w:pPr>
      <w:r>
        <w:rPr>
          <w:sz w:val="20"/>
        </w:rPr>
        <w:t xml:space="preserve">Таблица 1</w:t>
      </w:r>
    </w:p>
    <w:p>
      <w:pPr>
        <w:pStyle w:val="0"/>
      </w:pPr>
      <w:r>
        <w:rPr>
          <w:sz w:val="20"/>
        </w:rPr>
      </w:r>
    </w:p>
    <w:p>
      <w:pPr>
        <w:pStyle w:val="2"/>
        <w:jc w:val="center"/>
      </w:pPr>
      <w:r>
        <w:rPr>
          <w:sz w:val="20"/>
        </w:rPr>
        <w:t xml:space="preserve">Ресурсное обеспечение региональной программы</w:t>
      </w:r>
    </w:p>
    <w:p>
      <w:pPr>
        <w:pStyle w:val="2"/>
        <w:jc w:val="center"/>
      </w:pPr>
      <w:r>
        <w:rPr>
          <w:sz w:val="20"/>
        </w:rPr>
        <w:t xml:space="preserve">"Модернизация первичного звена</w:t>
      </w:r>
    </w:p>
    <w:p>
      <w:pPr>
        <w:pStyle w:val="2"/>
        <w:jc w:val="center"/>
      </w:pPr>
      <w:r>
        <w:rPr>
          <w:sz w:val="20"/>
        </w:rPr>
        <w:t xml:space="preserve">здравоохранения города Севастополя" (далее - РП)</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3458"/>
        <w:gridCol w:w="794"/>
        <w:gridCol w:w="850"/>
        <w:gridCol w:w="949"/>
        <w:gridCol w:w="851"/>
        <w:gridCol w:w="1361"/>
        <w:gridCol w:w="1361"/>
        <w:gridCol w:w="1361"/>
        <w:gridCol w:w="1361"/>
        <w:gridCol w:w="1361"/>
        <w:gridCol w:w="1361"/>
      </w:tblGrid>
      <w:tr>
        <w:tc>
          <w:tcPr>
            <w:tcW w:w="737" w:type="dxa"/>
            <w:vMerge w:val="restart"/>
          </w:tcPr>
          <w:p>
            <w:pPr>
              <w:pStyle w:val="0"/>
              <w:jc w:val="center"/>
            </w:pPr>
            <w:r>
              <w:rPr>
                <w:sz w:val="20"/>
              </w:rPr>
              <w:t xml:space="preserve">N п/п</w:t>
            </w:r>
          </w:p>
        </w:tc>
        <w:tc>
          <w:tcPr>
            <w:tcW w:w="3458" w:type="dxa"/>
            <w:vMerge w:val="restart"/>
          </w:tcPr>
          <w:p>
            <w:pPr>
              <w:pStyle w:val="0"/>
              <w:jc w:val="center"/>
            </w:pPr>
            <w:r>
              <w:rPr>
                <w:sz w:val="20"/>
              </w:rPr>
              <w:t xml:space="preserve">Наименование мероприятия и источники его финансового обеспечения</w:t>
            </w:r>
          </w:p>
        </w:tc>
        <w:tc>
          <w:tcPr>
            <w:gridSpan w:val="4"/>
            <w:tcW w:w="3444" w:type="dxa"/>
          </w:tcPr>
          <w:p>
            <w:pPr>
              <w:pStyle w:val="0"/>
              <w:jc w:val="center"/>
            </w:pPr>
            <w:r>
              <w:rPr>
                <w:sz w:val="20"/>
              </w:rPr>
              <w:t xml:space="preserve">КБК</w:t>
            </w:r>
          </w:p>
        </w:tc>
        <w:tc>
          <w:tcPr>
            <w:gridSpan w:val="6"/>
            <w:tcW w:w="8166" w:type="dxa"/>
          </w:tcPr>
          <w:p>
            <w:pPr>
              <w:pStyle w:val="0"/>
              <w:jc w:val="center"/>
            </w:pPr>
            <w:r>
              <w:rPr>
                <w:sz w:val="20"/>
              </w:rPr>
              <w:t xml:space="preserve">Объемы финансового обеспечения по годам реализации РП (тыс. рублей)</w:t>
            </w:r>
          </w:p>
        </w:tc>
      </w:tr>
      <w:tr>
        <w:tc>
          <w:tcPr>
            <w:vMerge w:val="continue"/>
          </w:tcPr>
          <w:p/>
        </w:tc>
        <w:tc>
          <w:tcPr>
            <w:vMerge w:val="continue"/>
          </w:tcPr>
          <w:p/>
        </w:tc>
        <w:tc>
          <w:tcPr>
            <w:tcW w:w="794" w:type="dxa"/>
          </w:tcPr>
          <w:p>
            <w:pPr>
              <w:pStyle w:val="0"/>
              <w:jc w:val="center"/>
            </w:pPr>
            <w:r>
              <w:rPr>
                <w:sz w:val="20"/>
              </w:rPr>
              <w:t xml:space="preserve">глава</w:t>
            </w:r>
          </w:p>
        </w:tc>
        <w:tc>
          <w:tcPr>
            <w:tcW w:w="850" w:type="dxa"/>
          </w:tcPr>
          <w:p>
            <w:pPr>
              <w:pStyle w:val="0"/>
              <w:jc w:val="center"/>
            </w:pPr>
            <w:r>
              <w:rPr>
                <w:sz w:val="20"/>
              </w:rPr>
              <w:t xml:space="preserve">раздел/подраздел</w:t>
            </w:r>
          </w:p>
        </w:tc>
        <w:tc>
          <w:tcPr>
            <w:tcW w:w="949" w:type="dxa"/>
          </w:tcPr>
          <w:p>
            <w:pPr>
              <w:pStyle w:val="0"/>
              <w:jc w:val="center"/>
            </w:pPr>
            <w:r>
              <w:rPr>
                <w:sz w:val="20"/>
              </w:rPr>
              <w:t xml:space="preserve">нецелевая статья</w:t>
            </w:r>
          </w:p>
        </w:tc>
        <w:tc>
          <w:tcPr>
            <w:tcW w:w="851" w:type="dxa"/>
          </w:tcPr>
          <w:p>
            <w:pPr>
              <w:pStyle w:val="0"/>
              <w:jc w:val="center"/>
            </w:pPr>
            <w:r>
              <w:rPr>
                <w:sz w:val="20"/>
              </w:rPr>
              <w:t xml:space="preserve">вид расходов</w:t>
            </w:r>
          </w:p>
        </w:tc>
        <w:tc>
          <w:tcPr>
            <w:tcW w:w="1361" w:type="dxa"/>
          </w:tcPr>
          <w:p>
            <w:pPr>
              <w:pStyle w:val="0"/>
              <w:jc w:val="center"/>
            </w:pPr>
            <w:r>
              <w:rPr>
                <w:sz w:val="20"/>
              </w:rPr>
              <w:t xml:space="preserve">2021 год</w:t>
            </w:r>
          </w:p>
        </w:tc>
        <w:tc>
          <w:tcPr>
            <w:tcW w:w="1361" w:type="dxa"/>
          </w:tcPr>
          <w:p>
            <w:pPr>
              <w:pStyle w:val="0"/>
              <w:jc w:val="center"/>
            </w:pPr>
            <w:r>
              <w:rPr>
                <w:sz w:val="20"/>
              </w:rPr>
              <w:t xml:space="preserve">2022 год</w:t>
            </w:r>
          </w:p>
        </w:tc>
        <w:tc>
          <w:tcPr>
            <w:tcW w:w="1361" w:type="dxa"/>
          </w:tcPr>
          <w:p>
            <w:pPr>
              <w:pStyle w:val="0"/>
              <w:jc w:val="center"/>
            </w:pPr>
            <w:r>
              <w:rPr>
                <w:sz w:val="20"/>
              </w:rPr>
              <w:t xml:space="preserve">2023 год</w:t>
            </w:r>
          </w:p>
        </w:tc>
        <w:tc>
          <w:tcPr>
            <w:tcW w:w="1361" w:type="dxa"/>
          </w:tcPr>
          <w:p>
            <w:pPr>
              <w:pStyle w:val="0"/>
              <w:jc w:val="center"/>
            </w:pPr>
            <w:r>
              <w:rPr>
                <w:sz w:val="20"/>
              </w:rPr>
              <w:t xml:space="preserve">2024 год</w:t>
            </w:r>
          </w:p>
        </w:tc>
        <w:tc>
          <w:tcPr>
            <w:tcW w:w="1361" w:type="dxa"/>
          </w:tcPr>
          <w:p>
            <w:pPr>
              <w:pStyle w:val="0"/>
              <w:jc w:val="center"/>
            </w:pPr>
            <w:r>
              <w:rPr>
                <w:sz w:val="20"/>
              </w:rPr>
              <w:t xml:space="preserve">2025 год</w:t>
            </w:r>
          </w:p>
        </w:tc>
        <w:tc>
          <w:tcPr>
            <w:tcW w:w="1361" w:type="dxa"/>
          </w:tcPr>
          <w:p>
            <w:pPr>
              <w:pStyle w:val="0"/>
              <w:jc w:val="center"/>
            </w:pPr>
            <w:r>
              <w:rPr>
                <w:sz w:val="20"/>
              </w:rPr>
              <w:t xml:space="preserve">2021 - 2025 годы (итого)</w:t>
            </w:r>
          </w:p>
        </w:tc>
      </w:tr>
      <w:tr>
        <w:tc>
          <w:tcPr>
            <w:tcW w:w="737" w:type="dxa"/>
          </w:tcPr>
          <w:p>
            <w:pPr>
              <w:pStyle w:val="0"/>
              <w:jc w:val="center"/>
            </w:pPr>
            <w:r>
              <w:rPr>
                <w:sz w:val="20"/>
              </w:rPr>
              <w:t xml:space="preserve">1</w:t>
            </w:r>
          </w:p>
        </w:tc>
        <w:tc>
          <w:tcPr>
            <w:tcW w:w="3458" w:type="dxa"/>
          </w:tcPr>
          <w:p>
            <w:pPr>
              <w:pStyle w:val="0"/>
              <w:jc w:val="center"/>
            </w:pPr>
            <w:r>
              <w:rPr>
                <w:sz w:val="20"/>
              </w:rPr>
              <w:t xml:space="preserve">2</w:t>
            </w:r>
          </w:p>
        </w:tc>
        <w:tc>
          <w:tcPr>
            <w:tcW w:w="794" w:type="dxa"/>
          </w:tcPr>
          <w:p>
            <w:pPr>
              <w:pStyle w:val="0"/>
              <w:jc w:val="center"/>
            </w:pPr>
            <w:r>
              <w:rPr>
                <w:sz w:val="20"/>
              </w:rPr>
              <w:t xml:space="preserve">3</w:t>
            </w:r>
          </w:p>
        </w:tc>
        <w:tc>
          <w:tcPr>
            <w:tcW w:w="850" w:type="dxa"/>
          </w:tcPr>
          <w:p>
            <w:pPr>
              <w:pStyle w:val="0"/>
              <w:jc w:val="center"/>
            </w:pPr>
            <w:r>
              <w:rPr>
                <w:sz w:val="20"/>
              </w:rPr>
              <w:t xml:space="preserve">4</w:t>
            </w:r>
          </w:p>
        </w:tc>
        <w:tc>
          <w:tcPr>
            <w:tcW w:w="949" w:type="dxa"/>
          </w:tcPr>
          <w:p>
            <w:pPr>
              <w:pStyle w:val="0"/>
              <w:jc w:val="center"/>
            </w:pPr>
            <w:r>
              <w:rPr>
                <w:sz w:val="20"/>
              </w:rPr>
              <w:t xml:space="preserve">5</w:t>
            </w:r>
          </w:p>
        </w:tc>
        <w:tc>
          <w:tcPr>
            <w:tcW w:w="851" w:type="dxa"/>
          </w:tcPr>
          <w:p>
            <w:pPr>
              <w:pStyle w:val="0"/>
              <w:jc w:val="center"/>
            </w:pPr>
            <w:r>
              <w:rPr>
                <w:sz w:val="20"/>
              </w:rPr>
              <w:t xml:space="preserve">6</w:t>
            </w:r>
          </w:p>
        </w:tc>
        <w:tc>
          <w:tcPr>
            <w:tcW w:w="1361" w:type="dxa"/>
          </w:tcPr>
          <w:p>
            <w:pPr>
              <w:pStyle w:val="0"/>
              <w:jc w:val="center"/>
            </w:pPr>
            <w:r>
              <w:rPr>
                <w:sz w:val="20"/>
              </w:rPr>
              <w:t xml:space="preserve">7</w:t>
            </w:r>
          </w:p>
        </w:tc>
        <w:tc>
          <w:tcPr>
            <w:tcW w:w="1361" w:type="dxa"/>
          </w:tcPr>
          <w:p>
            <w:pPr>
              <w:pStyle w:val="0"/>
              <w:jc w:val="center"/>
            </w:pPr>
            <w:r>
              <w:rPr>
                <w:sz w:val="20"/>
              </w:rPr>
              <w:t xml:space="preserve">8</w:t>
            </w:r>
          </w:p>
        </w:tc>
        <w:tc>
          <w:tcPr>
            <w:tcW w:w="1361" w:type="dxa"/>
          </w:tcPr>
          <w:p>
            <w:pPr>
              <w:pStyle w:val="0"/>
              <w:jc w:val="center"/>
            </w:pPr>
            <w:r>
              <w:rPr>
                <w:sz w:val="20"/>
              </w:rPr>
              <w:t xml:space="preserve">9</w:t>
            </w:r>
          </w:p>
        </w:tc>
        <w:tc>
          <w:tcPr>
            <w:tcW w:w="1361" w:type="dxa"/>
          </w:tcPr>
          <w:p>
            <w:pPr>
              <w:pStyle w:val="0"/>
              <w:jc w:val="center"/>
            </w:pPr>
            <w:r>
              <w:rPr>
                <w:sz w:val="20"/>
              </w:rPr>
              <w:t xml:space="preserve">10</w:t>
            </w:r>
          </w:p>
        </w:tc>
        <w:tc>
          <w:tcPr>
            <w:tcW w:w="1361" w:type="dxa"/>
          </w:tcPr>
          <w:p>
            <w:pPr>
              <w:pStyle w:val="0"/>
              <w:jc w:val="center"/>
            </w:pPr>
            <w:r>
              <w:rPr>
                <w:sz w:val="20"/>
              </w:rPr>
              <w:t xml:space="preserve">11</w:t>
            </w:r>
          </w:p>
        </w:tc>
        <w:tc>
          <w:tcPr>
            <w:tcW w:w="1361" w:type="dxa"/>
          </w:tcPr>
          <w:p>
            <w:pPr>
              <w:pStyle w:val="0"/>
              <w:jc w:val="center"/>
            </w:pPr>
            <w:r>
              <w:rPr>
                <w:sz w:val="20"/>
              </w:rPr>
              <w:t xml:space="preserve">12</w:t>
            </w:r>
          </w:p>
        </w:tc>
      </w:tr>
      <w:tr>
        <w:tc>
          <w:tcPr>
            <w:tcW w:w="737" w:type="dxa"/>
            <w:vMerge w:val="restart"/>
          </w:tcPr>
          <w:p>
            <w:pPr>
              <w:pStyle w:val="0"/>
              <w:jc w:val="both"/>
            </w:pPr>
            <w:r>
              <w:rPr>
                <w:sz w:val="20"/>
              </w:rPr>
            </w:r>
          </w:p>
        </w:tc>
        <w:tc>
          <w:tcPr>
            <w:tcW w:w="3458" w:type="dxa"/>
          </w:tcPr>
          <w:p>
            <w:pPr>
              <w:pStyle w:val="0"/>
              <w:jc w:val="both"/>
            </w:pPr>
            <w:r>
              <w:rPr>
                <w:sz w:val="20"/>
              </w:rPr>
              <w:t xml:space="preserve">Всего, в том числе:</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276103,7</w:t>
            </w:r>
          </w:p>
        </w:tc>
        <w:tc>
          <w:tcPr>
            <w:tcW w:w="1361" w:type="dxa"/>
          </w:tcPr>
          <w:p>
            <w:pPr>
              <w:pStyle w:val="0"/>
              <w:jc w:val="center"/>
            </w:pPr>
            <w:r>
              <w:rPr>
                <w:sz w:val="20"/>
              </w:rPr>
              <w:t xml:space="preserve">282403,1</w:t>
            </w:r>
          </w:p>
        </w:tc>
        <w:tc>
          <w:tcPr>
            <w:tcW w:w="1361" w:type="dxa"/>
          </w:tcPr>
          <w:p>
            <w:pPr>
              <w:pStyle w:val="0"/>
              <w:jc w:val="center"/>
            </w:pPr>
            <w:r>
              <w:rPr>
                <w:sz w:val="20"/>
              </w:rPr>
              <w:t xml:space="preserve">267427,80</w:t>
            </w:r>
          </w:p>
        </w:tc>
        <w:tc>
          <w:tcPr>
            <w:tcW w:w="1361" w:type="dxa"/>
          </w:tcPr>
          <w:p>
            <w:pPr>
              <w:pStyle w:val="0"/>
              <w:jc w:val="center"/>
            </w:pPr>
            <w:r>
              <w:rPr>
                <w:sz w:val="20"/>
              </w:rPr>
              <w:t xml:space="preserve">267427,80</w:t>
            </w:r>
          </w:p>
        </w:tc>
        <w:tc>
          <w:tcPr>
            <w:tcW w:w="1361" w:type="dxa"/>
          </w:tcPr>
          <w:p>
            <w:pPr>
              <w:pStyle w:val="0"/>
              <w:jc w:val="center"/>
            </w:pPr>
            <w:r>
              <w:rPr>
                <w:sz w:val="20"/>
              </w:rPr>
              <w:t xml:space="preserve">401141,60</w:t>
            </w:r>
          </w:p>
        </w:tc>
        <w:tc>
          <w:tcPr>
            <w:tcW w:w="1361" w:type="dxa"/>
          </w:tcPr>
          <w:p>
            <w:pPr>
              <w:pStyle w:val="0"/>
              <w:jc w:val="center"/>
            </w:pPr>
            <w:r>
              <w:rPr>
                <w:sz w:val="20"/>
              </w:rPr>
              <w:t xml:space="preserve">1494504,0</w:t>
            </w:r>
          </w:p>
        </w:tc>
      </w:tr>
      <w:tr>
        <w:tc>
          <w:tcPr>
            <w:vMerge w:val="continue"/>
          </w:tcP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16175,1</w:t>
            </w:r>
          </w:p>
        </w:tc>
        <w:tc>
          <w:tcPr>
            <w:tcW w:w="1361" w:type="dxa"/>
          </w:tcPr>
          <w:p>
            <w:pPr>
              <w:pStyle w:val="0"/>
              <w:jc w:val="center"/>
            </w:pPr>
            <w:r>
              <w:rPr>
                <w:sz w:val="20"/>
              </w:rPr>
              <w:t xml:space="preserve">20999,50</w:t>
            </w:r>
          </w:p>
        </w:tc>
        <w:tc>
          <w:tcPr>
            <w:tcW w:w="1361" w:type="dxa"/>
          </w:tcPr>
          <w:p>
            <w:pPr>
              <w:pStyle w:val="0"/>
              <w:jc w:val="center"/>
            </w:pPr>
            <w:r>
              <w:rPr>
                <w:sz w:val="20"/>
              </w:rPr>
              <w:t xml:space="preserve">6024,20</w:t>
            </w:r>
          </w:p>
        </w:tc>
        <w:tc>
          <w:tcPr>
            <w:tcW w:w="1361" w:type="dxa"/>
          </w:tcPr>
          <w:p>
            <w:pPr>
              <w:pStyle w:val="0"/>
              <w:jc w:val="center"/>
            </w:pPr>
            <w:r>
              <w:rPr>
                <w:sz w:val="20"/>
              </w:rPr>
              <w:t xml:space="preserve">6024,20</w:t>
            </w:r>
          </w:p>
        </w:tc>
        <w:tc>
          <w:tcPr>
            <w:tcW w:w="1361" w:type="dxa"/>
          </w:tcPr>
          <w:p>
            <w:pPr>
              <w:pStyle w:val="0"/>
              <w:jc w:val="center"/>
            </w:pPr>
            <w:r>
              <w:rPr>
                <w:sz w:val="20"/>
              </w:rPr>
              <w:t xml:space="preserve">9036,10</w:t>
            </w:r>
          </w:p>
        </w:tc>
        <w:tc>
          <w:tcPr>
            <w:tcW w:w="1361" w:type="dxa"/>
          </w:tcPr>
          <w:p>
            <w:pPr>
              <w:pStyle w:val="0"/>
              <w:jc w:val="center"/>
            </w:pPr>
            <w:r>
              <w:rPr>
                <w:sz w:val="20"/>
              </w:rPr>
              <w:t xml:space="preserve">58259,1</w:t>
            </w:r>
          </w:p>
        </w:tc>
      </w:tr>
      <w:tr>
        <w:tc>
          <w:tcPr>
            <w:vMerge w:val="continue"/>
          </w:tcPr>
          <w:p/>
        </w:tc>
        <w:tc>
          <w:tcPr>
            <w:tcW w:w="3458" w:type="dxa"/>
          </w:tcPr>
          <w:p>
            <w:pPr>
              <w:pStyle w:val="0"/>
              <w:jc w:val="both"/>
            </w:pPr>
            <w:r>
              <w:rPr>
                <w:sz w:val="20"/>
              </w:rPr>
              <w:t xml:space="preserve">в т.ч. за счет межбюджетных трансфертов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259928,6</w:t>
            </w:r>
          </w:p>
        </w:tc>
        <w:tc>
          <w:tcPr>
            <w:tcW w:w="1361" w:type="dxa"/>
          </w:tcPr>
          <w:p>
            <w:pPr>
              <w:pStyle w:val="0"/>
              <w:jc w:val="center"/>
            </w:pPr>
            <w:r>
              <w:rPr>
                <w:sz w:val="20"/>
              </w:rPr>
              <w:t xml:space="preserve">261403,60</w:t>
            </w:r>
          </w:p>
        </w:tc>
        <w:tc>
          <w:tcPr>
            <w:tcW w:w="1361" w:type="dxa"/>
          </w:tcPr>
          <w:p>
            <w:pPr>
              <w:pStyle w:val="0"/>
              <w:jc w:val="center"/>
            </w:pPr>
            <w:r>
              <w:rPr>
                <w:sz w:val="20"/>
              </w:rPr>
              <w:t xml:space="preserve">261403,60</w:t>
            </w:r>
          </w:p>
        </w:tc>
        <w:tc>
          <w:tcPr>
            <w:tcW w:w="1361" w:type="dxa"/>
          </w:tcPr>
          <w:p>
            <w:pPr>
              <w:pStyle w:val="0"/>
              <w:jc w:val="center"/>
            </w:pPr>
            <w:r>
              <w:rPr>
                <w:sz w:val="20"/>
              </w:rPr>
              <w:t xml:space="preserve">261403,60</w:t>
            </w:r>
          </w:p>
        </w:tc>
        <w:tc>
          <w:tcPr>
            <w:tcW w:w="1361" w:type="dxa"/>
          </w:tcPr>
          <w:p>
            <w:pPr>
              <w:pStyle w:val="0"/>
              <w:jc w:val="center"/>
            </w:pPr>
            <w:r>
              <w:rPr>
                <w:sz w:val="20"/>
              </w:rPr>
              <w:t xml:space="preserve">392105,50</w:t>
            </w:r>
          </w:p>
        </w:tc>
        <w:tc>
          <w:tcPr>
            <w:tcW w:w="1361" w:type="dxa"/>
          </w:tcPr>
          <w:p>
            <w:pPr>
              <w:pStyle w:val="0"/>
              <w:jc w:val="center"/>
            </w:pPr>
            <w:r>
              <w:rPr>
                <w:sz w:val="20"/>
              </w:rPr>
              <w:t xml:space="preserve">1436244,9</w:t>
            </w:r>
          </w:p>
        </w:tc>
      </w:tr>
      <w:tr>
        <w:tc>
          <w:tcPr>
            <w:vMerge w:val="continue"/>
          </w:tcP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vMerge w:val="continue"/>
          </w:tcPr>
          <w:p/>
        </w:tc>
        <w:tc>
          <w:tcPr>
            <w:tcW w:w="3458" w:type="dxa"/>
          </w:tcPr>
          <w:p>
            <w:pPr>
              <w:pStyle w:val="0"/>
              <w:jc w:val="both"/>
            </w:pPr>
            <w:r>
              <w:rPr>
                <w:sz w:val="20"/>
              </w:rPr>
              <w:t xml:space="preserve">в т.ч. за счет межбюджетных трансфертов из бюджетов субъектов Российской Федерации</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vMerge w:val="continue"/>
          </w:tcP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vMerge w:val="continue"/>
          </w:tcP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vMerge w:val="continue"/>
          </w:tcP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w:t>
            </w:r>
          </w:p>
        </w:tc>
        <w:tc>
          <w:tcPr>
            <w:tcW w:w="3458" w:type="dxa"/>
          </w:tcPr>
          <w:p>
            <w:pPr>
              <w:pStyle w:val="0"/>
              <w:jc w:val="both"/>
            </w:pPr>
            <w:r>
              <w:rPr>
                <w:sz w:val="20"/>
              </w:rPr>
              <w:t xml:space="preserve">Мероприятие 1. Осуществление нового строительства (его завершение), замены зданий в случае высокой степени износа, наличия избыточных площадей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200578,7</w:t>
            </w:r>
          </w:p>
        </w:tc>
        <w:tc>
          <w:tcPr>
            <w:tcW w:w="1361" w:type="dxa"/>
          </w:tcPr>
          <w:p>
            <w:pPr>
              <w:pStyle w:val="0"/>
              <w:jc w:val="center"/>
            </w:pPr>
            <w:r>
              <w:rPr>
                <w:sz w:val="20"/>
              </w:rPr>
              <w:t xml:space="preserve">212403,10</w:t>
            </w:r>
          </w:p>
        </w:tc>
        <w:tc>
          <w:tcPr>
            <w:tcW w:w="1361" w:type="dxa"/>
          </w:tcPr>
          <w:p>
            <w:pPr>
              <w:pStyle w:val="0"/>
              <w:jc w:val="center"/>
            </w:pPr>
            <w:r>
              <w:rPr>
                <w:sz w:val="20"/>
              </w:rPr>
              <w:t xml:space="preserve">267427,80</w:t>
            </w:r>
          </w:p>
        </w:tc>
        <w:tc>
          <w:tcPr>
            <w:tcW w:w="1361" w:type="dxa"/>
          </w:tcPr>
          <w:p>
            <w:pPr>
              <w:pStyle w:val="0"/>
              <w:jc w:val="center"/>
            </w:pPr>
            <w:r>
              <w:rPr>
                <w:sz w:val="20"/>
              </w:rPr>
              <w:t xml:space="preserve">267427,80</w:t>
            </w:r>
          </w:p>
        </w:tc>
        <w:tc>
          <w:tcPr>
            <w:tcW w:w="1361" w:type="dxa"/>
          </w:tcPr>
          <w:p>
            <w:pPr>
              <w:pStyle w:val="0"/>
              <w:jc w:val="center"/>
            </w:pPr>
            <w:r>
              <w:rPr>
                <w:sz w:val="20"/>
              </w:rPr>
              <w:t xml:space="preserve">341141,60</w:t>
            </w:r>
          </w:p>
        </w:tc>
        <w:tc>
          <w:tcPr>
            <w:tcW w:w="1361" w:type="dxa"/>
          </w:tcPr>
          <w:p>
            <w:pPr>
              <w:pStyle w:val="0"/>
              <w:jc w:val="center"/>
            </w:pPr>
            <w:r>
              <w:rPr>
                <w:sz w:val="20"/>
              </w:rPr>
              <w:t xml:space="preserve">1288979,0</w:t>
            </w:r>
          </w:p>
        </w:tc>
      </w:tr>
      <w:tr>
        <w:tc>
          <w:tcPr>
            <w:tcW w:w="737" w:type="dxa"/>
            <w:vMerge w:val="restart"/>
          </w:tcPr>
          <w:p>
            <w:pPr>
              <w:pStyle w:val="0"/>
              <w:jc w:val="both"/>
            </w:pPr>
            <w:r>
              <w:rPr>
                <w:sz w:val="20"/>
              </w:rPr>
              <w:t xml:space="preserve">1.1.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200578,7</w:t>
            </w:r>
          </w:p>
        </w:tc>
        <w:tc>
          <w:tcPr>
            <w:tcW w:w="1361" w:type="dxa"/>
          </w:tcPr>
          <w:p>
            <w:pPr>
              <w:pStyle w:val="0"/>
              <w:jc w:val="center"/>
            </w:pPr>
            <w:r>
              <w:rPr>
                <w:sz w:val="20"/>
              </w:rPr>
              <w:t xml:space="preserve">212403,10</w:t>
            </w:r>
          </w:p>
        </w:tc>
        <w:tc>
          <w:tcPr>
            <w:tcW w:w="1361" w:type="dxa"/>
          </w:tcPr>
          <w:p>
            <w:pPr>
              <w:pStyle w:val="0"/>
              <w:jc w:val="center"/>
            </w:pPr>
            <w:r>
              <w:rPr>
                <w:sz w:val="20"/>
              </w:rPr>
              <w:t xml:space="preserve">267427,80</w:t>
            </w:r>
          </w:p>
        </w:tc>
        <w:tc>
          <w:tcPr>
            <w:tcW w:w="1361" w:type="dxa"/>
          </w:tcPr>
          <w:p>
            <w:pPr>
              <w:pStyle w:val="0"/>
              <w:jc w:val="center"/>
            </w:pPr>
            <w:r>
              <w:rPr>
                <w:sz w:val="20"/>
              </w:rPr>
              <w:t xml:space="preserve">267427,80</w:t>
            </w:r>
          </w:p>
        </w:tc>
        <w:tc>
          <w:tcPr>
            <w:tcW w:w="1361" w:type="dxa"/>
          </w:tcPr>
          <w:p>
            <w:pPr>
              <w:pStyle w:val="0"/>
              <w:jc w:val="center"/>
            </w:pPr>
            <w:r>
              <w:rPr>
                <w:sz w:val="20"/>
              </w:rPr>
              <w:t xml:space="preserve">341141,60</w:t>
            </w:r>
          </w:p>
        </w:tc>
        <w:tc>
          <w:tcPr>
            <w:tcW w:w="1361" w:type="dxa"/>
          </w:tcPr>
          <w:p>
            <w:pPr>
              <w:pStyle w:val="0"/>
              <w:jc w:val="center"/>
            </w:pPr>
            <w:r>
              <w:rPr>
                <w:sz w:val="20"/>
              </w:rPr>
              <w:t xml:space="preserve">1288979,0</w:t>
            </w:r>
          </w:p>
        </w:tc>
      </w:tr>
      <w:tr>
        <w:tc>
          <w:tcPr>
            <w:vMerge w:val="continue"/>
          </w:tcP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14440,6</w:t>
            </w:r>
          </w:p>
        </w:tc>
        <w:tc>
          <w:tcPr>
            <w:tcW w:w="1361" w:type="dxa"/>
          </w:tcPr>
          <w:p>
            <w:pPr>
              <w:pStyle w:val="0"/>
              <w:jc w:val="center"/>
            </w:pPr>
            <w:r>
              <w:rPr>
                <w:sz w:val="20"/>
              </w:rPr>
              <w:t xml:space="preserve">19422,60</w:t>
            </w:r>
          </w:p>
        </w:tc>
        <w:tc>
          <w:tcPr>
            <w:tcW w:w="1361" w:type="dxa"/>
          </w:tcPr>
          <w:p>
            <w:pPr>
              <w:pStyle w:val="0"/>
              <w:jc w:val="center"/>
            </w:pPr>
            <w:r>
              <w:rPr>
                <w:sz w:val="20"/>
              </w:rPr>
              <w:t xml:space="preserve">6024,20</w:t>
            </w:r>
          </w:p>
        </w:tc>
        <w:tc>
          <w:tcPr>
            <w:tcW w:w="1361" w:type="dxa"/>
          </w:tcPr>
          <w:p>
            <w:pPr>
              <w:pStyle w:val="0"/>
              <w:jc w:val="center"/>
            </w:pPr>
            <w:r>
              <w:rPr>
                <w:sz w:val="20"/>
              </w:rPr>
              <w:t xml:space="preserve">6024,20</w:t>
            </w:r>
          </w:p>
        </w:tc>
        <w:tc>
          <w:tcPr>
            <w:tcW w:w="1361" w:type="dxa"/>
          </w:tcPr>
          <w:p>
            <w:pPr>
              <w:pStyle w:val="0"/>
              <w:jc w:val="center"/>
            </w:pPr>
            <w:r>
              <w:rPr>
                <w:sz w:val="20"/>
              </w:rPr>
              <w:t xml:space="preserve">7684,60</w:t>
            </w:r>
          </w:p>
        </w:tc>
        <w:tc>
          <w:tcPr>
            <w:tcW w:w="1361" w:type="dxa"/>
          </w:tcPr>
          <w:p>
            <w:pPr>
              <w:pStyle w:val="0"/>
              <w:jc w:val="center"/>
            </w:pPr>
            <w:r>
              <w:rPr>
                <w:sz w:val="20"/>
              </w:rPr>
              <w:t xml:space="preserve">53596,2</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186138,10</w:t>
            </w:r>
          </w:p>
        </w:tc>
        <w:tc>
          <w:tcPr>
            <w:tcW w:w="1361" w:type="dxa"/>
          </w:tcPr>
          <w:p>
            <w:pPr>
              <w:pStyle w:val="0"/>
              <w:jc w:val="center"/>
            </w:pPr>
            <w:r>
              <w:rPr>
                <w:sz w:val="20"/>
              </w:rPr>
              <w:t xml:space="preserve">192980,50</w:t>
            </w:r>
          </w:p>
        </w:tc>
        <w:tc>
          <w:tcPr>
            <w:tcW w:w="1361" w:type="dxa"/>
          </w:tcPr>
          <w:p>
            <w:pPr>
              <w:pStyle w:val="0"/>
              <w:jc w:val="center"/>
            </w:pPr>
            <w:r>
              <w:rPr>
                <w:sz w:val="20"/>
              </w:rPr>
              <w:t xml:space="preserve">261403,60</w:t>
            </w:r>
          </w:p>
        </w:tc>
        <w:tc>
          <w:tcPr>
            <w:tcW w:w="1361" w:type="dxa"/>
          </w:tcPr>
          <w:p>
            <w:pPr>
              <w:pStyle w:val="0"/>
              <w:jc w:val="center"/>
            </w:pPr>
            <w:r>
              <w:rPr>
                <w:sz w:val="20"/>
              </w:rPr>
              <w:t xml:space="preserve">261403,60</w:t>
            </w:r>
          </w:p>
        </w:tc>
        <w:tc>
          <w:tcPr>
            <w:tcW w:w="1361" w:type="dxa"/>
          </w:tcPr>
          <w:p>
            <w:pPr>
              <w:pStyle w:val="0"/>
              <w:jc w:val="center"/>
            </w:pPr>
            <w:r>
              <w:rPr>
                <w:sz w:val="20"/>
              </w:rPr>
              <w:t xml:space="preserve">333457,00</w:t>
            </w:r>
          </w:p>
        </w:tc>
        <w:tc>
          <w:tcPr>
            <w:tcW w:w="1361" w:type="dxa"/>
          </w:tcPr>
          <w:p>
            <w:pPr>
              <w:pStyle w:val="0"/>
              <w:jc w:val="center"/>
            </w:pPr>
            <w:r>
              <w:rPr>
                <w:sz w:val="20"/>
              </w:rPr>
              <w:t xml:space="preserve">1235382,8</w:t>
            </w:r>
          </w:p>
        </w:tc>
      </w:tr>
      <w:tr>
        <w:tc>
          <w:tcPr>
            <w:tcW w:w="737" w:type="dxa"/>
          </w:tcPr>
          <w:p>
            <w:pPr>
              <w:pStyle w:val="0"/>
              <w:jc w:val="both"/>
            </w:pPr>
            <w:r>
              <w:rPr>
                <w:sz w:val="20"/>
              </w:rPr>
              <w:t xml:space="preserve">1.3.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w:t>
            </w:r>
          </w:p>
        </w:tc>
        <w:tc>
          <w:tcPr>
            <w:tcW w:w="3458" w:type="dxa"/>
          </w:tcPr>
          <w:p>
            <w:pPr>
              <w:pStyle w:val="0"/>
              <w:jc w:val="both"/>
            </w:pPr>
            <w:r>
              <w:rPr>
                <w:sz w:val="20"/>
              </w:rPr>
              <w:t xml:space="preserve">Мероприятие 2. Осуществление реконструкции (ее завершение)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3.</w:t>
            </w:r>
          </w:p>
        </w:tc>
        <w:tc>
          <w:tcPr>
            <w:tcW w:w="3458" w:type="dxa"/>
          </w:tcPr>
          <w:p>
            <w:pPr>
              <w:pStyle w:val="0"/>
              <w:jc w:val="both"/>
            </w:pPr>
            <w:r>
              <w:rPr>
                <w:sz w:val="20"/>
              </w:rPr>
              <w:t xml:space="preserve">Мероприятие 3. 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3.1.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3.2.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3.3.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3.4.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3.5.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3.6.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4.</w:t>
            </w:r>
          </w:p>
        </w:tc>
        <w:tc>
          <w:tcPr>
            <w:tcW w:w="3458" w:type="dxa"/>
          </w:tcPr>
          <w:p>
            <w:pPr>
              <w:pStyle w:val="0"/>
              <w:jc w:val="both"/>
            </w:pPr>
            <w:r>
              <w:rPr>
                <w:sz w:val="20"/>
              </w:rPr>
              <w:t xml:space="preserve">Мероприятие 4. Приобретение объектов недвижимого имущества, с даты ввода в эксплуатацию которых прошло не более 5 лет, и некапитальных строений, с даты завершения строительства которых прошло не более 5 лет, а также земельных участков, на которых они находятся, для размещения медицинских организаций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4.1.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4.2.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4.3.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4.4.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4.5.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4.6.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5.</w:t>
            </w:r>
          </w:p>
        </w:tc>
        <w:tc>
          <w:tcPr>
            <w:tcW w:w="3458" w:type="dxa"/>
          </w:tcPr>
          <w:p>
            <w:pPr>
              <w:pStyle w:val="0"/>
              <w:jc w:val="both"/>
            </w:pPr>
            <w:r>
              <w:rPr>
                <w:sz w:val="20"/>
              </w:rPr>
              <w:t xml:space="preserve">Мероприятие 5. Приобретение и монтаж быстровозводимых модульных конструкций врачебных амбулаторий, центров (отделений) общей врачебной практики (семейной медицины), фельдшерско-акушерских пунктов, фельдшерских здравпунктов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5.1.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5.2.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5.3.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5.4.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5.5.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5.6.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6.</w:t>
            </w:r>
          </w:p>
        </w:tc>
        <w:tc>
          <w:tcPr>
            <w:tcW w:w="3458" w:type="dxa"/>
          </w:tcPr>
          <w:p>
            <w:pPr>
              <w:pStyle w:val="0"/>
              <w:jc w:val="both"/>
            </w:pPr>
            <w:r>
              <w:rPr>
                <w:sz w:val="20"/>
              </w:rPr>
              <w:t xml:space="preserve">Мероприятие 6. Оснащение автомобильным транспортом медицинских организаций, оказывающих первичную медико-санитарную помощь, центральных районных и районных больниц, расположенных в сельской местности, поселках городского типа и малых городах (с численностью населения до 50 тыс. человек),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5525,0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5525,0</w:t>
            </w:r>
          </w:p>
        </w:tc>
      </w:tr>
      <w:tr>
        <w:tc>
          <w:tcPr>
            <w:tcW w:w="737" w:type="dxa"/>
          </w:tcPr>
          <w:p>
            <w:pPr>
              <w:pStyle w:val="0"/>
              <w:jc w:val="both"/>
            </w:pPr>
            <w:r>
              <w:rPr>
                <w:sz w:val="20"/>
              </w:rPr>
              <w:t xml:space="preserve">6.1.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5525,0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5525,0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6.2.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157,60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157,60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5367,4</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5367,4</w:t>
            </w:r>
          </w:p>
        </w:tc>
      </w:tr>
      <w:tr>
        <w:tc>
          <w:tcPr>
            <w:tcW w:w="737" w:type="dxa"/>
          </w:tcPr>
          <w:p>
            <w:pPr>
              <w:pStyle w:val="0"/>
              <w:jc w:val="both"/>
            </w:pPr>
            <w:r>
              <w:rPr>
                <w:sz w:val="20"/>
              </w:rPr>
              <w:t xml:space="preserve">6.3.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6.4.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6.5.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6.6.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7.</w:t>
            </w:r>
          </w:p>
        </w:tc>
        <w:tc>
          <w:tcPr>
            <w:tcW w:w="3458" w:type="dxa"/>
          </w:tcPr>
          <w:p>
            <w:pPr>
              <w:pStyle w:val="0"/>
              <w:jc w:val="both"/>
            </w:pPr>
            <w:r>
              <w:rPr>
                <w:sz w:val="20"/>
              </w:rPr>
              <w:t xml:space="preserve">Мероприятие 7. 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оказания медицинской помощи</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70000,00</w:t>
            </w:r>
          </w:p>
        </w:tc>
        <w:tc>
          <w:tcPr>
            <w:tcW w:w="1361" w:type="dxa"/>
          </w:tcPr>
          <w:p>
            <w:pPr>
              <w:pStyle w:val="0"/>
              <w:jc w:val="center"/>
            </w:pPr>
            <w:r>
              <w:rPr>
                <w:sz w:val="20"/>
              </w:rPr>
              <w:t xml:space="preserve">70000,00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60000,00</w:t>
            </w:r>
          </w:p>
        </w:tc>
        <w:tc>
          <w:tcPr>
            <w:tcW w:w="1361" w:type="dxa"/>
          </w:tcPr>
          <w:p>
            <w:pPr>
              <w:pStyle w:val="0"/>
              <w:jc w:val="center"/>
            </w:pPr>
            <w:r>
              <w:rPr>
                <w:sz w:val="20"/>
              </w:rPr>
              <w:t xml:space="preserve">200000,00</w:t>
            </w:r>
          </w:p>
        </w:tc>
      </w:tr>
      <w:tr>
        <w:tc>
          <w:tcPr>
            <w:tcW w:w="737" w:type="dxa"/>
          </w:tcPr>
          <w:p>
            <w:pPr>
              <w:pStyle w:val="0"/>
              <w:jc w:val="both"/>
            </w:pPr>
            <w:r>
              <w:rPr>
                <w:sz w:val="20"/>
              </w:rPr>
              <w:t xml:space="preserve">7.1.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70000,00</w:t>
            </w:r>
          </w:p>
        </w:tc>
        <w:tc>
          <w:tcPr>
            <w:tcW w:w="1361" w:type="dxa"/>
          </w:tcPr>
          <w:p>
            <w:pPr>
              <w:pStyle w:val="0"/>
              <w:jc w:val="center"/>
            </w:pPr>
            <w:r>
              <w:rPr>
                <w:sz w:val="20"/>
              </w:rPr>
              <w:t xml:space="preserve">70000,00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60000,00</w:t>
            </w:r>
          </w:p>
        </w:tc>
        <w:tc>
          <w:tcPr>
            <w:tcW w:w="1361" w:type="dxa"/>
          </w:tcPr>
          <w:p>
            <w:pPr>
              <w:pStyle w:val="0"/>
              <w:jc w:val="center"/>
            </w:pPr>
            <w:r>
              <w:rPr>
                <w:sz w:val="20"/>
              </w:rPr>
              <w:t xml:space="preserve">200000,00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7.2.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1576,90</w:t>
            </w:r>
          </w:p>
        </w:tc>
        <w:tc>
          <w:tcPr>
            <w:tcW w:w="1361" w:type="dxa"/>
          </w:tcPr>
          <w:p>
            <w:pPr>
              <w:pStyle w:val="0"/>
              <w:jc w:val="center"/>
            </w:pPr>
            <w:r>
              <w:rPr>
                <w:sz w:val="20"/>
              </w:rPr>
              <w:t xml:space="preserve">1576,90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1351,50</w:t>
            </w:r>
          </w:p>
        </w:tc>
        <w:tc>
          <w:tcPr>
            <w:tcW w:w="1361" w:type="dxa"/>
          </w:tcPr>
          <w:p>
            <w:pPr>
              <w:pStyle w:val="0"/>
              <w:jc w:val="center"/>
            </w:pPr>
            <w:r>
              <w:rPr>
                <w:sz w:val="20"/>
              </w:rPr>
              <w:t xml:space="preserve">4505,30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68423,10</w:t>
            </w:r>
          </w:p>
        </w:tc>
        <w:tc>
          <w:tcPr>
            <w:tcW w:w="1361" w:type="dxa"/>
          </w:tcPr>
          <w:p>
            <w:pPr>
              <w:pStyle w:val="0"/>
              <w:jc w:val="center"/>
            </w:pPr>
            <w:r>
              <w:rPr>
                <w:sz w:val="20"/>
              </w:rPr>
              <w:t xml:space="preserve">68423,10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58648,50</w:t>
            </w:r>
          </w:p>
        </w:tc>
        <w:tc>
          <w:tcPr>
            <w:tcW w:w="1361" w:type="dxa"/>
          </w:tcPr>
          <w:p>
            <w:pPr>
              <w:pStyle w:val="0"/>
              <w:jc w:val="center"/>
            </w:pPr>
            <w:r>
              <w:rPr>
                <w:sz w:val="20"/>
              </w:rPr>
              <w:t xml:space="preserve">195494,70</w:t>
            </w:r>
          </w:p>
        </w:tc>
      </w:tr>
      <w:tr>
        <w:tc>
          <w:tcPr>
            <w:tcW w:w="737" w:type="dxa"/>
          </w:tcPr>
          <w:p>
            <w:pPr>
              <w:pStyle w:val="0"/>
              <w:jc w:val="both"/>
            </w:pPr>
            <w:r>
              <w:rPr>
                <w:sz w:val="20"/>
              </w:rPr>
              <w:t xml:space="preserve">7.3.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7.4.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7.5.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7.6.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8.</w:t>
            </w:r>
          </w:p>
        </w:tc>
        <w:tc>
          <w:tcPr>
            <w:tcW w:w="3458" w:type="dxa"/>
          </w:tcPr>
          <w:p>
            <w:pPr>
              <w:pStyle w:val="0"/>
              <w:jc w:val="both"/>
            </w:pPr>
            <w:r>
              <w:rPr>
                <w:sz w:val="20"/>
              </w:rPr>
              <w:t xml:space="preserve">Мероприятие 8. Утверждение и поэтапное внедрение отраслевой системы оплаты труда медицинских работников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8.1.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8.2.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8.3.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8.4.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8.5.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8.6.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9.</w:t>
            </w:r>
          </w:p>
        </w:tc>
        <w:tc>
          <w:tcPr>
            <w:tcW w:w="3458" w:type="dxa"/>
          </w:tcPr>
          <w:p>
            <w:pPr>
              <w:pStyle w:val="0"/>
              <w:jc w:val="both"/>
            </w:pPr>
            <w:r>
              <w:rPr>
                <w:sz w:val="20"/>
              </w:rPr>
              <w:t xml:space="preserve">Мероприятие 9. Принятие мер по укомплектованию медицинских организаций, оказывающих первичную медико-санитарную помощь, центральных районных и районных больниц медицинскими работниками в соответствии с целевыми показателями, указанными в паспортах таких медицинских организаций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9.1.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9.2.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9.3.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9.4.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9.5.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9.6.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10.</w:t>
            </w:r>
          </w:p>
        </w:tc>
        <w:tc>
          <w:tcPr>
            <w:tcW w:w="3458" w:type="dxa"/>
          </w:tcPr>
          <w:p>
            <w:pPr>
              <w:pStyle w:val="0"/>
              <w:jc w:val="both"/>
            </w:pPr>
            <w:r>
              <w:rPr>
                <w:sz w:val="20"/>
              </w:rPr>
              <w:t xml:space="preserve">Мероприятие 10. Увеличение заявок на целевое обучение врачей в соответствии с дефицитными специальностями первичного звена здравоохранения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10.1.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10.2.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10.3.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10.4.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10.5.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10.6.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11.</w:t>
            </w:r>
          </w:p>
        </w:tc>
        <w:tc>
          <w:tcPr>
            <w:tcW w:w="3458" w:type="dxa"/>
          </w:tcPr>
          <w:p>
            <w:pPr>
              <w:pStyle w:val="0"/>
              <w:jc w:val="both"/>
            </w:pPr>
            <w:r>
              <w:rPr>
                <w:sz w:val="20"/>
              </w:rPr>
              <w:t xml:space="preserve">Мероприятие 11. 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11.1.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11.2.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11.3.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11.4.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11.5.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11.6.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12.</w:t>
            </w:r>
          </w:p>
        </w:tc>
        <w:tc>
          <w:tcPr>
            <w:tcW w:w="3458" w:type="dxa"/>
          </w:tcPr>
          <w:p>
            <w:pPr>
              <w:pStyle w:val="0"/>
              <w:jc w:val="both"/>
            </w:pPr>
            <w:r>
              <w:rPr>
                <w:sz w:val="20"/>
              </w:rPr>
              <w:t xml:space="preserve">Мероприятие 12. Разработка и реализация региональных мер стимулирования 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 с населением до 50 тыс. человек</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12.1.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12.2.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12.3.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12.4.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12.5.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12.6.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13.</w:t>
            </w:r>
          </w:p>
        </w:tc>
        <w:tc>
          <w:tcPr>
            <w:tcW w:w="3458" w:type="dxa"/>
          </w:tcPr>
          <w:p>
            <w:pPr>
              <w:pStyle w:val="0"/>
              <w:jc w:val="both"/>
            </w:pPr>
            <w:r>
              <w:rPr>
                <w:sz w:val="20"/>
              </w:rPr>
              <w:t xml:space="preserve">Мероприятие 13. Разработка и реализация региональных мер социальной поддержки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в том числе их приоритетное обеспечение служебным жильем, использование иных механизмов обеспечения жильем</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13.1.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13.2.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13.3.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13.4.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13.5.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13.6.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14.</w:t>
            </w:r>
          </w:p>
        </w:tc>
        <w:tc>
          <w:tcPr>
            <w:tcW w:w="3458" w:type="dxa"/>
          </w:tcPr>
          <w:p>
            <w:pPr>
              <w:pStyle w:val="0"/>
              <w:jc w:val="both"/>
            </w:pPr>
            <w:r>
              <w:rPr>
                <w:sz w:val="20"/>
              </w:rPr>
              <w:t xml:space="preserve">Мероприятие 14. Включение в показатели эффективности деятельности руководителей медицинских организаций показателей, характеризующих обеспечение медицинских организаций медицинскими работниками</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14.1.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14.2.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14.3.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14.4.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14.5.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14.6.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15.</w:t>
            </w:r>
          </w:p>
        </w:tc>
        <w:tc>
          <w:tcPr>
            <w:tcW w:w="3458" w:type="dxa"/>
          </w:tcPr>
          <w:p>
            <w:pPr>
              <w:pStyle w:val="0"/>
              <w:jc w:val="both"/>
            </w:pPr>
            <w:r>
              <w:rPr>
                <w:sz w:val="20"/>
              </w:rPr>
              <w:t xml:space="preserve">Мероприятие 15. Разработка механизма наставничества в отношении врачей - молодых специалистов, прошедших целевое обучение</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15.1.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15.2.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15.3.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15.4.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15.5.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15.6.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16.</w:t>
            </w:r>
          </w:p>
        </w:tc>
        <w:tc>
          <w:tcPr>
            <w:tcW w:w="3458" w:type="dxa"/>
          </w:tcPr>
          <w:p>
            <w:pPr>
              <w:pStyle w:val="0"/>
              <w:jc w:val="both"/>
            </w:pPr>
            <w:r>
              <w:rPr>
                <w:sz w:val="20"/>
              </w:rPr>
              <w:t xml:space="preserve">Мероприятие 16. Внесение изменений в территориальную программу государственных гарантий бесплатного оказания гражданам медицинской помощи в части обеспечения потребности в дорогостоящих диагностических исследованиях, проводимых в амбулаторных условиях, и выделение их из подушевого норматива финансирования оказания первичной медико-санитарной помощи</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16.1.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16.2.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16.3.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16.4.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16.5.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16.6.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17.</w:t>
            </w:r>
          </w:p>
        </w:tc>
        <w:tc>
          <w:tcPr>
            <w:tcW w:w="3458" w:type="dxa"/>
          </w:tcPr>
          <w:p>
            <w:pPr>
              <w:pStyle w:val="0"/>
              <w:jc w:val="both"/>
            </w:pPr>
            <w:r>
              <w:rPr>
                <w:sz w:val="20"/>
              </w:rPr>
              <w:t xml:space="preserve">Мероприятие 17. Внесение изменений в территориальную программу государственных гарантий бесплатного оказания гражданам медицинской помощи в части введения коэффициентов дифференциации для подушевого норматива финансирования на прикрепившихся лиц для медицинских организаций, расположенных в сельской местности, рабочих поселках, поселках городского типа и малых городах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17.1.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17.2.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17.3.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17.4.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17.5.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17.6.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18.</w:t>
            </w:r>
          </w:p>
        </w:tc>
        <w:tc>
          <w:tcPr>
            <w:tcW w:w="3458" w:type="dxa"/>
          </w:tcPr>
          <w:p>
            <w:pPr>
              <w:pStyle w:val="0"/>
              <w:jc w:val="both"/>
            </w:pPr>
            <w:r>
              <w:rPr>
                <w:sz w:val="20"/>
              </w:rPr>
              <w:t xml:space="preserve">Мероприятие 18. Стимулирование руководителей и медицинских работников медицинских организаций первичного звена здравоохранения, внедряющих новую модель оказания гражданам первичной медико-санитарной помощи</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18.1.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18.2.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18.3.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18.4.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18.5.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18.6.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19.</w:t>
            </w:r>
          </w:p>
        </w:tc>
        <w:tc>
          <w:tcPr>
            <w:tcW w:w="3458" w:type="dxa"/>
          </w:tcPr>
          <w:p>
            <w:pPr>
              <w:pStyle w:val="0"/>
              <w:jc w:val="both"/>
            </w:pPr>
            <w:r>
              <w:rPr>
                <w:sz w:val="20"/>
              </w:rPr>
              <w:t xml:space="preserve">Мероприятие 19. Обеспечение бездефицитного финансового обеспечения оказания медицинской помощи в рамках территориальной программы государственных гарантий бесплатного оказания гражданам медицинской помощи с учетом реализации мероприятий региональной программы</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19.1.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19.2.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19.3.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19.4.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19.5.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19.6.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20.</w:t>
            </w:r>
          </w:p>
        </w:tc>
        <w:tc>
          <w:tcPr>
            <w:tcW w:w="3458" w:type="dxa"/>
          </w:tcPr>
          <w:p>
            <w:pPr>
              <w:pStyle w:val="0"/>
              <w:jc w:val="both"/>
            </w:pPr>
            <w:r>
              <w:rPr>
                <w:sz w:val="20"/>
              </w:rPr>
              <w:t xml:space="preserve">Мероприятие 20. Участие в реализации пилотного проекта по вовлечению частных медицинских организаций в оказание медико-социальных услуг лицам в возрасте 65 лет и старше</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20.1.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20.2.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20.3.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20.4.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20.5.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20.6.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21.</w:t>
            </w:r>
          </w:p>
        </w:tc>
        <w:tc>
          <w:tcPr>
            <w:tcW w:w="3458" w:type="dxa"/>
          </w:tcPr>
          <w:p>
            <w:pPr>
              <w:pStyle w:val="0"/>
              <w:jc w:val="both"/>
            </w:pPr>
            <w:r>
              <w:rPr>
                <w:sz w:val="20"/>
              </w:rPr>
              <w:t xml:space="preserve">Мероприятие 21. Обеспечение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21.1.</w:t>
            </w:r>
          </w:p>
        </w:tc>
        <w:tc>
          <w:tcPr>
            <w:tcW w:w="3458" w:type="dxa"/>
          </w:tcPr>
          <w:p>
            <w:pPr>
              <w:pStyle w:val="0"/>
              <w:jc w:val="both"/>
            </w:pPr>
            <w:r>
              <w:rPr>
                <w:sz w:val="20"/>
              </w:rPr>
              <w:t xml:space="preserve">Всего</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из них:</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21.2.</w:t>
            </w:r>
          </w:p>
        </w:tc>
        <w:tc>
          <w:tcPr>
            <w:tcW w:w="3458" w:type="dxa"/>
          </w:tcPr>
          <w:p>
            <w:pPr>
              <w:pStyle w:val="0"/>
              <w:jc w:val="both"/>
            </w:pPr>
            <w:r>
              <w:rPr>
                <w:sz w:val="20"/>
              </w:rPr>
              <w:t xml:space="preserve">Бюджет города Севастополя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федерального бюджета</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21.3.</w:t>
            </w:r>
          </w:p>
        </w:tc>
        <w:tc>
          <w:tcPr>
            <w:tcW w:w="3458" w:type="dxa"/>
          </w:tcPr>
          <w:p>
            <w:pPr>
              <w:pStyle w:val="0"/>
              <w:jc w:val="both"/>
            </w:pPr>
            <w:r>
              <w:rPr>
                <w:sz w:val="20"/>
              </w:rPr>
              <w:t xml:space="preserve">Бюджеты муниципальных образований</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r>
          </w:p>
        </w:tc>
        <w:tc>
          <w:tcPr>
            <w:tcW w:w="3458" w:type="dxa"/>
          </w:tcPr>
          <w:p>
            <w:pPr>
              <w:pStyle w:val="0"/>
              <w:jc w:val="both"/>
            </w:pPr>
            <w:r>
              <w:rPr>
                <w:sz w:val="20"/>
              </w:rPr>
              <w:t xml:space="preserve">межбюджетные трансферты из бюджетов субъектов РФ</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21.4.</w:t>
            </w:r>
          </w:p>
        </w:tc>
        <w:tc>
          <w:tcPr>
            <w:tcW w:w="3458" w:type="dxa"/>
          </w:tcPr>
          <w:p>
            <w:pPr>
              <w:pStyle w:val="0"/>
              <w:jc w:val="both"/>
            </w:pPr>
            <w:r>
              <w:rPr>
                <w:sz w:val="20"/>
              </w:rPr>
              <w:t xml:space="preserve">Средства государственных внебюджетных фондов</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21.5.</w:t>
            </w:r>
          </w:p>
        </w:tc>
        <w:tc>
          <w:tcPr>
            <w:tcW w:w="3458" w:type="dxa"/>
          </w:tcPr>
          <w:p>
            <w:pPr>
              <w:pStyle w:val="0"/>
              <w:jc w:val="both"/>
            </w:pPr>
            <w:r>
              <w:rPr>
                <w:sz w:val="20"/>
              </w:rPr>
              <w:t xml:space="preserve">Средства юридических лиц</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r>
        <w:tc>
          <w:tcPr>
            <w:tcW w:w="737" w:type="dxa"/>
          </w:tcPr>
          <w:p>
            <w:pPr>
              <w:pStyle w:val="0"/>
              <w:jc w:val="both"/>
            </w:pPr>
            <w:r>
              <w:rPr>
                <w:sz w:val="20"/>
              </w:rPr>
              <w:t xml:space="preserve">21.6.</w:t>
            </w:r>
          </w:p>
        </w:tc>
        <w:tc>
          <w:tcPr>
            <w:tcW w:w="3458" w:type="dxa"/>
          </w:tcPr>
          <w:p>
            <w:pPr>
              <w:pStyle w:val="0"/>
              <w:jc w:val="both"/>
            </w:pPr>
            <w:r>
              <w:rPr>
                <w:sz w:val="20"/>
              </w:rPr>
              <w:t xml:space="preserve">Объем дополнительной потребности в финансовых ресурсах на реализацию мероприятия</w:t>
            </w:r>
          </w:p>
        </w:tc>
        <w:tc>
          <w:tcPr>
            <w:tcW w:w="794" w:type="dxa"/>
          </w:tcPr>
          <w:p>
            <w:pPr>
              <w:pStyle w:val="0"/>
              <w:jc w:val="center"/>
            </w:pPr>
            <w:r>
              <w:rPr>
                <w:sz w:val="20"/>
              </w:rPr>
              <w:t xml:space="preserve">X</w:t>
            </w:r>
          </w:p>
        </w:tc>
        <w:tc>
          <w:tcPr>
            <w:tcW w:w="850" w:type="dxa"/>
          </w:tcPr>
          <w:p>
            <w:pPr>
              <w:pStyle w:val="0"/>
              <w:jc w:val="center"/>
            </w:pPr>
            <w:r>
              <w:rPr>
                <w:sz w:val="20"/>
              </w:rPr>
              <w:t xml:space="preserve">X</w:t>
            </w:r>
          </w:p>
        </w:tc>
        <w:tc>
          <w:tcPr>
            <w:tcW w:w="949" w:type="dxa"/>
          </w:tcPr>
          <w:p>
            <w:pPr>
              <w:pStyle w:val="0"/>
              <w:jc w:val="center"/>
            </w:pPr>
            <w:r>
              <w:rPr>
                <w:sz w:val="20"/>
              </w:rPr>
              <w:t xml:space="preserve">X</w:t>
            </w:r>
          </w:p>
        </w:tc>
        <w:tc>
          <w:tcPr>
            <w:tcW w:w="851" w:type="dxa"/>
          </w:tcPr>
          <w:p>
            <w:pPr>
              <w:pStyle w:val="0"/>
              <w:jc w:val="center"/>
            </w:pPr>
            <w:r>
              <w:rPr>
                <w:sz w:val="20"/>
              </w:rPr>
              <w:t xml:space="preserve">X</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c>
          <w:tcPr>
            <w:tcW w:w="1361" w:type="dxa"/>
          </w:tcPr>
          <w:p>
            <w:pPr>
              <w:pStyle w:val="0"/>
              <w:jc w:val="center"/>
            </w:pPr>
            <w:r>
              <w:rPr>
                <w:sz w:val="20"/>
              </w:rPr>
              <w:t xml:space="preserve">0</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right"/>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5</w:t>
      </w:r>
    </w:p>
    <w:p>
      <w:pPr>
        <w:pStyle w:val="0"/>
        <w:jc w:val="right"/>
      </w:pPr>
      <w:r>
        <w:rPr>
          <w:sz w:val="20"/>
        </w:rPr>
        <w:t xml:space="preserve">к региональной программе</w:t>
      </w:r>
    </w:p>
    <w:p>
      <w:pPr>
        <w:pStyle w:val="0"/>
        <w:jc w:val="right"/>
      </w:pPr>
      <w:r>
        <w:rPr>
          <w:sz w:val="20"/>
        </w:rPr>
        <w:t xml:space="preserve">"Модернизация первичного звена</w:t>
      </w:r>
    </w:p>
    <w:p>
      <w:pPr>
        <w:pStyle w:val="0"/>
        <w:jc w:val="right"/>
      </w:pPr>
      <w:r>
        <w:rPr>
          <w:sz w:val="20"/>
        </w:rPr>
        <w:t xml:space="preserve">здравоохранения города Севастополя"</w:t>
      </w:r>
    </w:p>
    <w:p>
      <w:pPr>
        <w:pStyle w:val="0"/>
      </w:pPr>
      <w:r>
        <w:rPr>
          <w:sz w:val="20"/>
        </w:rPr>
      </w:r>
    </w:p>
    <w:bookmarkStart w:id="33968" w:name="P33968"/>
    <w:bookmarkEnd w:id="33968"/>
    <w:p>
      <w:pPr>
        <w:pStyle w:val="2"/>
        <w:jc w:val="center"/>
      </w:pPr>
      <w:r>
        <w:rPr>
          <w:sz w:val="20"/>
        </w:rPr>
        <w:t xml:space="preserve">Схема размещения медицинских организаций, участвующих</w:t>
      </w:r>
    </w:p>
    <w:p>
      <w:pPr>
        <w:pStyle w:val="2"/>
        <w:jc w:val="center"/>
      </w:pPr>
      <w:r>
        <w:rPr>
          <w:sz w:val="20"/>
        </w:rPr>
        <w:t xml:space="preserve">в региональной программе модернизации (терпланирование)</w:t>
      </w:r>
    </w:p>
    <w:p>
      <w:pPr>
        <w:pStyle w:val="0"/>
        <w:jc w:val="right"/>
      </w:pPr>
      <w:r>
        <w:rPr>
          <w:sz w:val="20"/>
        </w:rPr>
      </w:r>
    </w:p>
    <w:p>
      <w:pPr>
        <w:pStyle w:val="0"/>
        <w:outlineLvl w:val="3"/>
        <w:jc w:val="right"/>
      </w:pPr>
      <w:r>
        <w:rPr>
          <w:sz w:val="20"/>
        </w:rPr>
        <w:t xml:space="preserve">Таблица 1</w:t>
      </w:r>
    </w:p>
    <w:p>
      <w:pPr>
        <w:pStyle w:val="0"/>
      </w:pPr>
      <w:r>
        <w:rPr>
          <w:sz w:val="20"/>
        </w:rPr>
      </w:r>
    </w:p>
    <w:p>
      <w:pPr>
        <w:pStyle w:val="2"/>
        <w:jc w:val="center"/>
      </w:pPr>
      <w:r>
        <w:rPr>
          <w:sz w:val="20"/>
        </w:rPr>
        <w:t xml:space="preserve">Структура прикрепления населения Севастополя к медицинским</w:t>
      </w:r>
    </w:p>
    <w:p>
      <w:pPr>
        <w:pStyle w:val="2"/>
        <w:jc w:val="center"/>
      </w:pPr>
      <w:r>
        <w:rPr>
          <w:sz w:val="20"/>
        </w:rPr>
        <w:t xml:space="preserve">объектам, оказывающим первичную медико-санитарную помощь</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05"/>
        <w:gridCol w:w="925"/>
        <w:gridCol w:w="925"/>
        <w:gridCol w:w="925"/>
        <w:gridCol w:w="926"/>
        <w:gridCol w:w="1555"/>
        <w:gridCol w:w="1417"/>
        <w:gridCol w:w="1417"/>
        <w:gridCol w:w="1019"/>
        <w:gridCol w:w="1019"/>
        <w:gridCol w:w="1020"/>
      </w:tblGrid>
      <w:tr>
        <w:tc>
          <w:tcPr>
            <w:tcW w:w="2405" w:type="dxa"/>
          </w:tcPr>
          <w:p>
            <w:pPr>
              <w:pStyle w:val="0"/>
              <w:jc w:val="center"/>
            </w:pPr>
            <w:r>
              <w:rPr>
                <w:sz w:val="20"/>
              </w:rPr>
              <w:t xml:space="preserve">Наименование населенного пункта</w:t>
            </w:r>
          </w:p>
        </w:tc>
        <w:tc>
          <w:tcPr>
            <w:gridSpan w:val="2"/>
            <w:tcW w:w="1850" w:type="dxa"/>
          </w:tcPr>
          <w:p>
            <w:pPr>
              <w:pStyle w:val="0"/>
              <w:jc w:val="center"/>
            </w:pPr>
            <w:r>
              <w:rPr>
                <w:sz w:val="20"/>
              </w:rPr>
              <w:t xml:space="preserve">Численность взрослого населения, чел. (2020/2025)</w:t>
            </w:r>
          </w:p>
        </w:tc>
        <w:tc>
          <w:tcPr>
            <w:gridSpan w:val="2"/>
            <w:tcW w:w="1851" w:type="dxa"/>
          </w:tcPr>
          <w:p>
            <w:pPr>
              <w:pStyle w:val="0"/>
              <w:jc w:val="center"/>
            </w:pPr>
            <w:r>
              <w:rPr>
                <w:sz w:val="20"/>
              </w:rPr>
              <w:t xml:space="preserve">Численность детского населения, чел. (2020/2025)</w:t>
            </w:r>
          </w:p>
        </w:tc>
        <w:tc>
          <w:tcPr>
            <w:tcW w:w="1555" w:type="dxa"/>
          </w:tcPr>
          <w:p>
            <w:pPr>
              <w:pStyle w:val="0"/>
              <w:jc w:val="center"/>
            </w:pPr>
            <w:r>
              <w:rPr>
                <w:sz w:val="20"/>
              </w:rPr>
              <w:t xml:space="preserve">Медицинские объекты, расположенные в населенном пункте &lt;*&gt;</w:t>
            </w:r>
          </w:p>
        </w:tc>
        <w:tc>
          <w:tcPr>
            <w:tcW w:w="1417" w:type="dxa"/>
          </w:tcPr>
          <w:p>
            <w:pPr>
              <w:pStyle w:val="0"/>
              <w:jc w:val="center"/>
            </w:pPr>
            <w:r>
              <w:rPr>
                <w:sz w:val="20"/>
              </w:rPr>
              <w:t xml:space="preserve">ФАПы и ВА, к которым прикреплено население</w:t>
            </w:r>
          </w:p>
        </w:tc>
        <w:tc>
          <w:tcPr>
            <w:tcW w:w="1417" w:type="dxa"/>
          </w:tcPr>
          <w:p>
            <w:pPr>
              <w:pStyle w:val="0"/>
              <w:jc w:val="center"/>
            </w:pPr>
            <w:r>
              <w:rPr>
                <w:sz w:val="20"/>
              </w:rPr>
              <w:t xml:space="preserve">Поликлиника, к которой прикреплено население</w:t>
            </w:r>
          </w:p>
        </w:tc>
        <w:tc>
          <w:tcPr>
            <w:tcW w:w="1019" w:type="dxa"/>
          </w:tcPr>
          <w:p>
            <w:pPr>
              <w:pStyle w:val="0"/>
              <w:jc w:val="center"/>
            </w:pPr>
            <w:r>
              <w:rPr>
                <w:sz w:val="20"/>
              </w:rPr>
              <w:t xml:space="preserve">Расстояние до ФАП, км</w:t>
            </w:r>
          </w:p>
        </w:tc>
        <w:tc>
          <w:tcPr>
            <w:tcW w:w="1019" w:type="dxa"/>
          </w:tcPr>
          <w:p>
            <w:pPr>
              <w:pStyle w:val="0"/>
              <w:jc w:val="center"/>
            </w:pPr>
            <w:r>
              <w:rPr>
                <w:sz w:val="20"/>
              </w:rPr>
              <w:t xml:space="preserve">Расстояние до ВА, км</w:t>
            </w:r>
          </w:p>
        </w:tc>
        <w:tc>
          <w:tcPr>
            <w:tcW w:w="1020" w:type="dxa"/>
          </w:tcPr>
          <w:p>
            <w:pPr>
              <w:pStyle w:val="0"/>
              <w:jc w:val="center"/>
            </w:pPr>
            <w:r>
              <w:rPr>
                <w:sz w:val="20"/>
              </w:rPr>
              <w:t xml:space="preserve">Расстояние до поликлиники, км</w:t>
            </w:r>
          </w:p>
        </w:tc>
      </w:tr>
      <w:tr>
        <w:tc>
          <w:tcPr>
            <w:tcW w:w="2405" w:type="dxa"/>
          </w:tcPr>
          <w:p>
            <w:pPr>
              <w:pStyle w:val="0"/>
              <w:jc w:val="both"/>
            </w:pPr>
            <w:r>
              <w:rPr>
                <w:sz w:val="20"/>
              </w:rPr>
              <w:t xml:space="preserve">г. Севастополь (без сельских населенных пунктов)</w:t>
            </w:r>
          </w:p>
        </w:tc>
        <w:tc>
          <w:tcPr>
            <w:tcW w:w="925" w:type="dxa"/>
          </w:tcPr>
          <w:p>
            <w:pPr>
              <w:pStyle w:val="0"/>
              <w:jc w:val="center"/>
            </w:pPr>
            <w:r>
              <w:rPr>
                <w:sz w:val="20"/>
              </w:rPr>
              <w:t xml:space="preserve">304511</w:t>
            </w:r>
          </w:p>
        </w:tc>
        <w:tc>
          <w:tcPr>
            <w:tcW w:w="925" w:type="dxa"/>
          </w:tcPr>
          <w:p>
            <w:pPr>
              <w:pStyle w:val="0"/>
              <w:jc w:val="center"/>
            </w:pPr>
            <w:r>
              <w:rPr>
                <w:sz w:val="20"/>
              </w:rPr>
              <w:t xml:space="preserve">333532</w:t>
            </w:r>
          </w:p>
        </w:tc>
        <w:tc>
          <w:tcPr>
            <w:tcW w:w="925" w:type="dxa"/>
          </w:tcPr>
          <w:p>
            <w:pPr>
              <w:pStyle w:val="0"/>
              <w:jc w:val="center"/>
            </w:pPr>
            <w:r>
              <w:rPr>
                <w:sz w:val="20"/>
              </w:rPr>
              <w:t xml:space="preserve">70007</w:t>
            </w:r>
          </w:p>
        </w:tc>
        <w:tc>
          <w:tcPr>
            <w:tcW w:w="926" w:type="dxa"/>
          </w:tcPr>
          <w:p>
            <w:pPr>
              <w:pStyle w:val="0"/>
              <w:jc w:val="center"/>
            </w:pPr>
            <w:r>
              <w:rPr>
                <w:sz w:val="20"/>
              </w:rPr>
              <w:t xml:space="preserve">79988</w:t>
            </w:r>
          </w:p>
        </w:tc>
        <w:tc>
          <w:tcPr>
            <w:tcW w:w="1555" w:type="dxa"/>
          </w:tcPr>
          <w:p>
            <w:pPr>
              <w:pStyle w:val="0"/>
              <w:jc w:val="both"/>
            </w:pPr>
            <w:r>
              <w:rPr>
                <w:sz w:val="20"/>
              </w:rPr>
              <w:t xml:space="preserve">П1, П2, П3, П4, П5</w:t>
            </w:r>
          </w:p>
        </w:tc>
        <w:tc>
          <w:tcPr>
            <w:tcW w:w="1417" w:type="dxa"/>
          </w:tcPr>
          <w:p>
            <w:pPr>
              <w:pStyle w:val="0"/>
              <w:jc w:val="center"/>
            </w:pPr>
            <w:r>
              <w:rPr>
                <w:sz w:val="20"/>
              </w:rPr>
              <w:t xml:space="preserve">x</w:t>
            </w:r>
          </w:p>
        </w:tc>
        <w:tc>
          <w:tcPr>
            <w:tcW w:w="1417" w:type="dxa"/>
          </w:tcPr>
          <w:p>
            <w:pPr>
              <w:pStyle w:val="0"/>
              <w:jc w:val="both"/>
            </w:pPr>
            <w:r>
              <w:rPr>
                <w:sz w:val="20"/>
              </w:rPr>
              <w:t xml:space="preserve">П1, П2, П3, П4, П5</w:t>
            </w:r>
          </w:p>
        </w:tc>
        <w:tc>
          <w:tcPr>
            <w:tcW w:w="1019" w:type="dxa"/>
          </w:tcPr>
          <w:p>
            <w:pPr>
              <w:pStyle w:val="0"/>
              <w:jc w:val="center"/>
            </w:pPr>
            <w:r>
              <w:rPr>
                <w:sz w:val="20"/>
              </w:rPr>
              <w:t xml:space="preserve">x</w:t>
            </w:r>
          </w:p>
        </w:tc>
        <w:tc>
          <w:tcPr>
            <w:tcW w:w="1019" w:type="dxa"/>
          </w:tcPr>
          <w:p>
            <w:pPr>
              <w:pStyle w:val="0"/>
              <w:jc w:val="center"/>
            </w:pPr>
            <w:r>
              <w:rPr>
                <w:sz w:val="20"/>
              </w:rPr>
              <w:t xml:space="preserve">x</w:t>
            </w:r>
          </w:p>
        </w:tc>
        <w:tc>
          <w:tcPr>
            <w:tcW w:w="1020" w:type="dxa"/>
          </w:tcPr>
          <w:p>
            <w:pPr>
              <w:pStyle w:val="0"/>
              <w:jc w:val="center"/>
            </w:pPr>
            <w:r>
              <w:rPr>
                <w:sz w:val="20"/>
              </w:rPr>
              <w:t xml:space="preserve">0</w:t>
            </w:r>
          </w:p>
        </w:tc>
      </w:tr>
      <w:tr>
        <w:tc>
          <w:tcPr>
            <w:tcW w:w="2405" w:type="dxa"/>
          </w:tcPr>
          <w:p>
            <w:pPr>
              <w:pStyle w:val="0"/>
              <w:jc w:val="both"/>
            </w:pPr>
            <w:r>
              <w:rPr>
                <w:sz w:val="20"/>
              </w:rPr>
              <w:t xml:space="preserve">г. Инкерман (без сельских населенных пунктов)</w:t>
            </w:r>
          </w:p>
        </w:tc>
        <w:tc>
          <w:tcPr>
            <w:tcW w:w="925" w:type="dxa"/>
          </w:tcPr>
          <w:p>
            <w:pPr>
              <w:pStyle w:val="0"/>
              <w:jc w:val="center"/>
            </w:pPr>
            <w:r>
              <w:rPr>
                <w:sz w:val="20"/>
              </w:rPr>
              <w:t xml:space="preserve">8275</w:t>
            </w:r>
          </w:p>
        </w:tc>
        <w:tc>
          <w:tcPr>
            <w:tcW w:w="925" w:type="dxa"/>
          </w:tcPr>
          <w:p>
            <w:pPr>
              <w:pStyle w:val="0"/>
              <w:jc w:val="center"/>
            </w:pPr>
            <w:r>
              <w:rPr>
                <w:sz w:val="20"/>
              </w:rPr>
              <w:t xml:space="preserve">9063</w:t>
            </w:r>
          </w:p>
        </w:tc>
        <w:tc>
          <w:tcPr>
            <w:tcW w:w="925" w:type="dxa"/>
          </w:tcPr>
          <w:p>
            <w:pPr>
              <w:pStyle w:val="0"/>
              <w:jc w:val="center"/>
            </w:pPr>
            <w:r>
              <w:rPr>
                <w:sz w:val="20"/>
              </w:rPr>
              <w:t xml:space="preserve">1903</w:t>
            </w:r>
          </w:p>
        </w:tc>
        <w:tc>
          <w:tcPr>
            <w:tcW w:w="926" w:type="dxa"/>
          </w:tcPr>
          <w:p>
            <w:pPr>
              <w:pStyle w:val="0"/>
              <w:jc w:val="center"/>
            </w:pPr>
            <w:r>
              <w:rPr>
                <w:sz w:val="20"/>
              </w:rPr>
              <w:t xml:space="preserve">2174</w:t>
            </w:r>
          </w:p>
        </w:tc>
        <w:tc>
          <w:tcPr>
            <w:tcW w:w="1555" w:type="dxa"/>
          </w:tcPr>
          <w:p>
            <w:pPr>
              <w:pStyle w:val="0"/>
              <w:jc w:val="both"/>
            </w:pPr>
            <w:r>
              <w:rPr>
                <w:sz w:val="20"/>
              </w:rPr>
              <w:t xml:space="preserve">П3</w:t>
            </w:r>
          </w:p>
        </w:tc>
        <w:tc>
          <w:tcPr>
            <w:tcW w:w="1417" w:type="dxa"/>
          </w:tcPr>
          <w:p>
            <w:pPr>
              <w:pStyle w:val="0"/>
              <w:jc w:val="center"/>
            </w:pPr>
            <w:r>
              <w:rPr>
                <w:sz w:val="20"/>
              </w:rPr>
              <w:t xml:space="preserve">x</w:t>
            </w:r>
          </w:p>
        </w:tc>
        <w:tc>
          <w:tcPr>
            <w:tcW w:w="1417" w:type="dxa"/>
          </w:tcPr>
          <w:p>
            <w:pPr>
              <w:pStyle w:val="0"/>
              <w:jc w:val="both"/>
            </w:pPr>
            <w:r>
              <w:rPr>
                <w:sz w:val="20"/>
              </w:rPr>
              <w:t xml:space="preserve">П3</w:t>
            </w:r>
          </w:p>
        </w:tc>
        <w:tc>
          <w:tcPr>
            <w:tcW w:w="1019" w:type="dxa"/>
          </w:tcPr>
          <w:p>
            <w:pPr>
              <w:pStyle w:val="0"/>
              <w:jc w:val="center"/>
            </w:pPr>
            <w:r>
              <w:rPr>
                <w:sz w:val="20"/>
              </w:rPr>
              <w:t xml:space="preserve">x</w:t>
            </w:r>
          </w:p>
        </w:tc>
        <w:tc>
          <w:tcPr>
            <w:tcW w:w="1019" w:type="dxa"/>
          </w:tcPr>
          <w:p>
            <w:pPr>
              <w:pStyle w:val="0"/>
              <w:jc w:val="center"/>
            </w:pPr>
            <w:r>
              <w:rPr>
                <w:sz w:val="20"/>
              </w:rPr>
              <w:t xml:space="preserve">x</w:t>
            </w:r>
          </w:p>
        </w:tc>
        <w:tc>
          <w:tcPr>
            <w:tcW w:w="1020" w:type="dxa"/>
          </w:tcPr>
          <w:p>
            <w:pPr>
              <w:pStyle w:val="0"/>
              <w:jc w:val="center"/>
            </w:pPr>
            <w:r>
              <w:rPr>
                <w:sz w:val="20"/>
              </w:rPr>
              <w:t xml:space="preserve">0</w:t>
            </w:r>
          </w:p>
        </w:tc>
      </w:tr>
      <w:tr>
        <w:tc>
          <w:tcPr>
            <w:tcW w:w="2405" w:type="dxa"/>
          </w:tcPr>
          <w:p>
            <w:pPr>
              <w:pStyle w:val="0"/>
              <w:jc w:val="both"/>
            </w:pPr>
            <w:r>
              <w:rPr>
                <w:sz w:val="20"/>
              </w:rPr>
              <w:t xml:space="preserve">г. Балаклава (без сельских населенных пунктов)</w:t>
            </w:r>
          </w:p>
        </w:tc>
        <w:tc>
          <w:tcPr>
            <w:tcW w:w="925" w:type="dxa"/>
          </w:tcPr>
          <w:p>
            <w:pPr>
              <w:pStyle w:val="0"/>
              <w:jc w:val="center"/>
            </w:pPr>
            <w:r>
              <w:rPr>
                <w:sz w:val="20"/>
              </w:rPr>
              <w:t xml:space="preserve">18664</w:t>
            </w:r>
          </w:p>
        </w:tc>
        <w:tc>
          <w:tcPr>
            <w:tcW w:w="925" w:type="dxa"/>
          </w:tcPr>
          <w:p>
            <w:pPr>
              <w:pStyle w:val="0"/>
              <w:jc w:val="center"/>
            </w:pPr>
            <w:r>
              <w:rPr>
                <w:sz w:val="20"/>
              </w:rPr>
              <w:t xml:space="preserve">20443</w:t>
            </w:r>
          </w:p>
        </w:tc>
        <w:tc>
          <w:tcPr>
            <w:tcW w:w="925" w:type="dxa"/>
          </w:tcPr>
          <w:p>
            <w:pPr>
              <w:pStyle w:val="0"/>
              <w:jc w:val="center"/>
            </w:pPr>
            <w:r>
              <w:rPr>
                <w:sz w:val="20"/>
              </w:rPr>
              <w:t xml:space="preserve">4291</w:t>
            </w:r>
          </w:p>
        </w:tc>
        <w:tc>
          <w:tcPr>
            <w:tcW w:w="926" w:type="dxa"/>
          </w:tcPr>
          <w:p>
            <w:pPr>
              <w:pStyle w:val="0"/>
              <w:jc w:val="center"/>
            </w:pPr>
            <w:r>
              <w:rPr>
                <w:sz w:val="20"/>
              </w:rPr>
              <w:t xml:space="preserve">4903</w:t>
            </w:r>
          </w:p>
        </w:tc>
        <w:tc>
          <w:tcPr>
            <w:tcW w:w="1555" w:type="dxa"/>
          </w:tcPr>
          <w:p>
            <w:pPr>
              <w:pStyle w:val="0"/>
              <w:jc w:val="both"/>
            </w:pPr>
            <w:r>
              <w:rPr>
                <w:sz w:val="20"/>
              </w:rPr>
              <w:t xml:space="preserve">П2</w:t>
            </w:r>
          </w:p>
        </w:tc>
        <w:tc>
          <w:tcPr>
            <w:tcW w:w="1417" w:type="dxa"/>
          </w:tcPr>
          <w:p>
            <w:pPr>
              <w:pStyle w:val="0"/>
              <w:jc w:val="center"/>
            </w:pPr>
            <w:r>
              <w:rPr>
                <w:sz w:val="20"/>
              </w:rPr>
              <w:t xml:space="preserve">x</w:t>
            </w:r>
          </w:p>
        </w:tc>
        <w:tc>
          <w:tcPr>
            <w:tcW w:w="1417" w:type="dxa"/>
          </w:tcPr>
          <w:p>
            <w:pPr>
              <w:pStyle w:val="0"/>
              <w:jc w:val="both"/>
            </w:pPr>
            <w:r>
              <w:rPr>
                <w:sz w:val="20"/>
              </w:rPr>
              <w:t xml:space="preserve">П2</w:t>
            </w:r>
          </w:p>
        </w:tc>
        <w:tc>
          <w:tcPr>
            <w:tcW w:w="1019" w:type="dxa"/>
          </w:tcPr>
          <w:p>
            <w:pPr>
              <w:pStyle w:val="0"/>
              <w:jc w:val="center"/>
            </w:pPr>
            <w:r>
              <w:rPr>
                <w:sz w:val="20"/>
              </w:rPr>
              <w:t xml:space="preserve">x</w:t>
            </w:r>
          </w:p>
        </w:tc>
        <w:tc>
          <w:tcPr>
            <w:tcW w:w="1019" w:type="dxa"/>
          </w:tcPr>
          <w:p>
            <w:pPr>
              <w:pStyle w:val="0"/>
              <w:jc w:val="center"/>
            </w:pPr>
            <w:r>
              <w:rPr>
                <w:sz w:val="20"/>
              </w:rPr>
              <w:t xml:space="preserve">x</w:t>
            </w:r>
          </w:p>
        </w:tc>
        <w:tc>
          <w:tcPr>
            <w:tcW w:w="1020" w:type="dxa"/>
          </w:tcPr>
          <w:p>
            <w:pPr>
              <w:pStyle w:val="0"/>
              <w:jc w:val="center"/>
            </w:pPr>
            <w:r>
              <w:rPr>
                <w:sz w:val="20"/>
              </w:rPr>
              <w:t xml:space="preserve">0</w:t>
            </w:r>
          </w:p>
        </w:tc>
      </w:tr>
      <w:tr>
        <w:tc>
          <w:tcPr>
            <w:tcW w:w="2405" w:type="dxa"/>
          </w:tcPr>
          <w:p>
            <w:pPr>
              <w:pStyle w:val="0"/>
              <w:jc w:val="both"/>
            </w:pPr>
            <w:r>
              <w:rPr>
                <w:sz w:val="20"/>
              </w:rPr>
              <w:t xml:space="preserve">поселок Кача</w:t>
            </w:r>
          </w:p>
        </w:tc>
        <w:tc>
          <w:tcPr>
            <w:tcW w:w="925" w:type="dxa"/>
          </w:tcPr>
          <w:p>
            <w:pPr>
              <w:pStyle w:val="0"/>
              <w:jc w:val="center"/>
            </w:pPr>
            <w:r>
              <w:rPr>
                <w:sz w:val="20"/>
              </w:rPr>
              <w:t xml:space="preserve">3993</w:t>
            </w:r>
          </w:p>
        </w:tc>
        <w:tc>
          <w:tcPr>
            <w:tcW w:w="925" w:type="dxa"/>
          </w:tcPr>
          <w:p>
            <w:pPr>
              <w:pStyle w:val="0"/>
              <w:jc w:val="center"/>
            </w:pPr>
            <w:r>
              <w:rPr>
                <w:sz w:val="20"/>
              </w:rPr>
              <w:t xml:space="preserve">4374</w:t>
            </w:r>
          </w:p>
        </w:tc>
        <w:tc>
          <w:tcPr>
            <w:tcW w:w="925" w:type="dxa"/>
          </w:tcPr>
          <w:p>
            <w:pPr>
              <w:pStyle w:val="0"/>
              <w:jc w:val="center"/>
            </w:pPr>
            <w:r>
              <w:rPr>
                <w:sz w:val="20"/>
              </w:rPr>
              <w:t xml:space="preserve">918</w:t>
            </w:r>
          </w:p>
        </w:tc>
        <w:tc>
          <w:tcPr>
            <w:tcW w:w="926" w:type="dxa"/>
          </w:tcPr>
          <w:p>
            <w:pPr>
              <w:pStyle w:val="0"/>
              <w:jc w:val="center"/>
            </w:pPr>
            <w:r>
              <w:rPr>
                <w:sz w:val="20"/>
              </w:rPr>
              <w:t xml:space="preserve">1049</w:t>
            </w:r>
          </w:p>
        </w:tc>
        <w:tc>
          <w:tcPr>
            <w:tcW w:w="1555" w:type="dxa"/>
          </w:tcPr>
          <w:p>
            <w:pPr>
              <w:pStyle w:val="0"/>
              <w:jc w:val="both"/>
            </w:pPr>
            <w:r>
              <w:rPr>
                <w:sz w:val="20"/>
              </w:rPr>
              <w:t xml:space="preserve">ВА1</w:t>
            </w:r>
          </w:p>
        </w:tc>
        <w:tc>
          <w:tcPr>
            <w:tcW w:w="1417" w:type="dxa"/>
          </w:tcPr>
          <w:p>
            <w:pPr>
              <w:pStyle w:val="0"/>
              <w:jc w:val="both"/>
            </w:pPr>
            <w:r>
              <w:rPr>
                <w:sz w:val="20"/>
              </w:rPr>
              <w:t xml:space="preserve">ВА1</w:t>
            </w:r>
          </w:p>
        </w:tc>
        <w:tc>
          <w:tcPr>
            <w:tcW w:w="1417" w:type="dxa"/>
          </w:tcPr>
          <w:p>
            <w:pPr>
              <w:pStyle w:val="0"/>
              <w:jc w:val="both"/>
            </w:pPr>
            <w:r>
              <w:rPr>
                <w:sz w:val="20"/>
              </w:rPr>
              <w:t xml:space="preserve">П1</w:t>
            </w:r>
          </w:p>
        </w:tc>
        <w:tc>
          <w:tcPr>
            <w:tcW w:w="1019" w:type="dxa"/>
          </w:tcPr>
          <w:p>
            <w:pPr>
              <w:pStyle w:val="0"/>
              <w:jc w:val="center"/>
            </w:pPr>
            <w:r>
              <w:rPr>
                <w:sz w:val="20"/>
              </w:rPr>
              <w:t xml:space="preserve">x</w:t>
            </w:r>
          </w:p>
        </w:tc>
        <w:tc>
          <w:tcPr>
            <w:tcW w:w="1019" w:type="dxa"/>
          </w:tcPr>
          <w:p>
            <w:pPr>
              <w:pStyle w:val="0"/>
              <w:jc w:val="center"/>
            </w:pPr>
            <w:r>
              <w:rPr>
                <w:sz w:val="20"/>
              </w:rPr>
              <w:t xml:space="preserve">0</w:t>
            </w:r>
          </w:p>
        </w:tc>
        <w:tc>
          <w:tcPr>
            <w:tcW w:w="1020" w:type="dxa"/>
          </w:tcPr>
          <w:p>
            <w:pPr>
              <w:pStyle w:val="0"/>
              <w:jc w:val="center"/>
            </w:pPr>
            <w:r>
              <w:rPr>
                <w:sz w:val="20"/>
              </w:rPr>
              <w:t xml:space="preserve">23</w:t>
            </w:r>
          </w:p>
        </w:tc>
      </w:tr>
      <w:tr>
        <w:tc>
          <w:tcPr>
            <w:tcW w:w="2405" w:type="dxa"/>
          </w:tcPr>
          <w:p>
            <w:pPr>
              <w:pStyle w:val="0"/>
              <w:jc w:val="both"/>
            </w:pPr>
            <w:r>
              <w:rPr>
                <w:sz w:val="20"/>
              </w:rPr>
              <w:t xml:space="preserve">село Хмельницкое (Балаклавский район города Севастополя)</w:t>
            </w:r>
          </w:p>
        </w:tc>
        <w:tc>
          <w:tcPr>
            <w:tcW w:w="925" w:type="dxa"/>
          </w:tcPr>
          <w:p>
            <w:pPr>
              <w:pStyle w:val="0"/>
              <w:jc w:val="center"/>
            </w:pPr>
            <w:r>
              <w:rPr>
                <w:sz w:val="20"/>
              </w:rPr>
              <w:t xml:space="preserve">537</w:t>
            </w:r>
          </w:p>
        </w:tc>
        <w:tc>
          <w:tcPr>
            <w:tcW w:w="925" w:type="dxa"/>
          </w:tcPr>
          <w:p>
            <w:pPr>
              <w:pStyle w:val="0"/>
              <w:jc w:val="center"/>
            </w:pPr>
            <w:r>
              <w:rPr>
                <w:sz w:val="20"/>
              </w:rPr>
              <w:t xml:space="preserve">547</w:t>
            </w:r>
          </w:p>
        </w:tc>
        <w:tc>
          <w:tcPr>
            <w:tcW w:w="925" w:type="dxa"/>
          </w:tcPr>
          <w:p>
            <w:pPr>
              <w:pStyle w:val="0"/>
              <w:jc w:val="center"/>
            </w:pPr>
            <w:r>
              <w:rPr>
                <w:sz w:val="20"/>
              </w:rPr>
              <w:t xml:space="preserve">142</w:t>
            </w:r>
          </w:p>
        </w:tc>
        <w:tc>
          <w:tcPr>
            <w:tcW w:w="926" w:type="dxa"/>
          </w:tcPr>
          <w:p>
            <w:pPr>
              <w:pStyle w:val="0"/>
              <w:jc w:val="center"/>
            </w:pPr>
            <w:r>
              <w:rPr>
                <w:sz w:val="20"/>
              </w:rPr>
              <w:t xml:space="preserve">144</w:t>
            </w:r>
          </w:p>
        </w:tc>
        <w:tc>
          <w:tcPr>
            <w:tcW w:w="1555" w:type="dxa"/>
          </w:tcPr>
          <w:p>
            <w:pPr>
              <w:pStyle w:val="0"/>
              <w:jc w:val="both"/>
            </w:pPr>
            <w:r>
              <w:rPr>
                <w:sz w:val="20"/>
              </w:rPr>
              <w:t xml:space="preserve">ФАП1</w:t>
            </w:r>
          </w:p>
        </w:tc>
        <w:tc>
          <w:tcPr>
            <w:tcW w:w="1417" w:type="dxa"/>
          </w:tcPr>
          <w:p>
            <w:pPr>
              <w:pStyle w:val="0"/>
              <w:jc w:val="both"/>
            </w:pPr>
            <w:r>
              <w:rPr>
                <w:sz w:val="20"/>
              </w:rPr>
              <w:t xml:space="preserve">ФАП1</w:t>
            </w:r>
          </w:p>
        </w:tc>
        <w:tc>
          <w:tcPr>
            <w:tcW w:w="1417" w:type="dxa"/>
          </w:tcPr>
          <w:p>
            <w:pPr>
              <w:pStyle w:val="0"/>
              <w:jc w:val="both"/>
            </w:pPr>
            <w:r>
              <w:rPr>
                <w:sz w:val="20"/>
              </w:rPr>
              <w:t xml:space="preserve">П2</w:t>
            </w:r>
          </w:p>
        </w:tc>
        <w:tc>
          <w:tcPr>
            <w:tcW w:w="1019" w:type="dxa"/>
          </w:tcPr>
          <w:p>
            <w:pPr>
              <w:pStyle w:val="0"/>
              <w:jc w:val="center"/>
            </w:pPr>
            <w:r>
              <w:rPr>
                <w:sz w:val="20"/>
              </w:rPr>
              <w:t xml:space="preserve">0</w:t>
            </w:r>
          </w:p>
        </w:tc>
        <w:tc>
          <w:tcPr>
            <w:tcW w:w="1019" w:type="dxa"/>
          </w:tcPr>
          <w:p>
            <w:pPr>
              <w:pStyle w:val="0"/>
              <w:jc w:val="center"/>
            </w:pPr>
            <w:r>
              <w:rPr>
                <w:sz w:val="20"/>
              </w:rPr>
              <w:t xml:space="preserve">x</w:t>
            </w:r>
          </w:p>
        </w:tc>
        <w:tc>
          <w:tcPr>
            <w:tcW w:w="1020" w:type="dxa"/>
          </w:tcPr>
          <w:p>
            <w:pPr>
              <w:pStyle w:val="0"/>
              <w:jc w:val="center"/>
            </w:pPr>
            <w:r>
              <w:rPr>
                <w:sz w:val="20"/>
              </w:rPr>
              <w:t xml:space="preserve">8</w:t>
            </w:r>
          </w:p>
        </w:tc>
      </w:tr>
      <w:tr>
        <w:tc>
          <w:tcPr>
            <w:tcW w:w="2405" w:type="dxa"/>
          </w:tcPr>
          <w:p>
            <w:pPr>
              <w:pStyle w:val="0"/>
              <w:jc w:val="both"/>
            </w:pPr>
            <w:r>
              <w:rPr>
                <w:sz w:val="20"/>
              </w:rPr>
              <w:t xml:space="preserve">село Первомайское (Балаклавский район города Севастополя)</w:t>
            </w:r>
          </w:p>
        </w:tc>
        <w:tc>
          <w:tcPr>
            <w:tcW w:w="925" w:type="dxa"/>
          </w:tcPr>
          <w:p>
            <w:pPr>
              <w:pStyle w:val="0"/>
              <w:jc w:val="center"/>
            </w:pPr>
            <w:r>
              <w:rPr>
                <w:sz w:val="20"/>
              </w:rPr>
              <w:t xml:space="preserve">741</w:t>
            </w:r>
          </w:p>
        </w:tc>
        <w:tc>
          <w:tcPr>
            <w:tcW w:w="925" w:type="dxa"/>
          </w:tcPr>
          <w:p>
            <w:pPr>
              <w:pStyle w:val="0"/>
              <w:jc w:val="center"/>
            </w:pPr>
            <w:r>
              <w:rPr>
                <w:sz w:val="20"/>
              </w:rPr>
              <w:t xml:space="preserve">754</w:t>
            </w:r>
          </w:p>
        </w:tc>
        <w:tc>
          <w:tcPr>
            <w:tcW w:w="925" w:type="dxa"/>
          </w:tcPr>
          <w:p>
            <w:pPr>
              <w:pStyle w:val="0"/>
              <w:jc w:val="center"/>
            </w:pPr>
            <w:r>
              <w:rPr>
                <w:sz w:val="20"/>
              </w:rPr>
              <w:t xml:space="preserve">195</w:t>
            </w:r>
          </w:p>
        </w:tc>
        <w:tc>
          <w:tcPr>
            <w:tcW w:w="926" w:type="dxa"/>
          </w:tcPr>
          <w:p>
            <w:pPr>
              <w:pStyle w:val="0"/>
              <w:jc w:val="center"/>
            </w:pPr>
            <w:r>
              <w:rPr>
                <w:sz w:val="20"/>
              </w:rPr>
              <w:t xml:space="preserve">199</w:t>
            </w:r>
          </w:p>
        </w:tc>
        <w:tc>
          <w:tcPr>
            <w:tcW w:w="1555" w:type="dxa"/>
          </w:tcPr>
          <w:p>
            <w:pPr>
              <w:pStyle w:val="0"/>
              <w:jc w:val="both"/>
            </w:pPr>
            <w:r>
              <w:rPr>
                <w:sz w:val="20"/>
              </w:rPr>
              <w:t xml:space="preserve">ФАП2</w:t>
            </w:r>
          </w:p>
        </w:tc>
        <w:tc>
          <w:tcPr>
            <w:tcW w:w="1417" w:type="dxa"/>
          </w:tcPr>
          <w:p>
            <w:pPr>
              <w:pStyle w:val="0"/>
              <w:jc w:val="both"/>
            </w:pPr>
            <w:r>
              <w:rPr>
                <w:sz w:val="20"/>
              </w:rPr>
              <w:t xml:space="preserve">ФАП2</w:t>
            </w:r>
          </w:p>
        </w:tc>
        <w:tc>
          <w:tcPr>
            <w:tcW w:w="1417" w:type="dxa"/>
          </w:tcPr>
          <w:p>
            <w:pPr>
              <w:pStyle w:val="0"/>
              <w:jc w:val="both"/>
            </w:pPr>
            <w:r>
              <w:rPr>
                <w:sz w:val="20"/>
              </w:rPr>
              <w:t xml:space="preserve">П2</w:t>
            </w:r>
          </w:p>
        </w:tc>
        <w:tc>
          <w:tcPr>
            <w:tcW w:w="1019" w:type="dxa"/>
          </w:tcPr>
          <w:p>
            <w:pPr>
              <w:pStyle w:val="0"/>
              <w:jc w:val="center"/>
            </w:pPr>
            <w:r>
              <w:rPr>
                <w:sz w:val="20"/>
              </w:rPr>
              <w:t xml:space="preserve">0</w:t>
            </w:r>
          </w:p>
        </w:tc>
        <w:tc>
          <w:tcPr>
            <w:tcW w:w="1019" w:type="dxa"/>
          </w:tcPr>
          <w:p>
            <w:pPr>
              <w:pStyle w:val="0"/>
              <w:jc w:val="center"/>
            </w:pPr>
            <w:r>
              <w:rPr>
                <w:sz w:val="20"/>
              </w:rPr>
              <w:t xml:space="preserve">x</w:t>
            </w:r>
          </w:p>
        </w:tc>
        <w:tc>
          <w:tcPr>
            <w:tcW w:w="1020" w:type="dxa"/>
          </w:tcPr>
          <w:p>
            <w:pPr>
              <w:pStyle w:val="0"/>
              <w:jc w:val="center"/>
            </w:pPr>
            <w:r>
              <w:rPr>
                <w:sz w:val="20"/>
              </w:rPr>
              <w:t xml:space="preserve">5</w:t>
            </w:r>
          </w:p>
        </w:tc>
      </w:tr>
      <w:tr>
        <w:tc>
          <w:tcPr>
            <w:tcW w:w="2405" w:type="dxa"/>
          </w:tcPr>
          <w:p>
            <w:pPr>
              <w:pStyle w:val="0"/>
              <w:jc w:val="both"/>
            </w:pPr>
            <w:r>
              <w:rPr>
                <w:sz w:val="20"/>
              </w:rPr>
              <w:t xml:space="preserve">поселок Сахарная головка (Балаклавский район города Севастополя)</w:t>
            </w:r>
          </w:p>
        </w:tc>
        <w:tc>
          <w:tcPr>
            <w:tcW w:w="925" w:type="dxa"/>
          </w:tcPr>
          <w:p>
            <w:pPr>
              <w:pStyle w:val="0"/>
              <w:jc w:val="center"/>
            </w:pPr>
            <w:r>
              <w:rPr>
                <w:sz w:val="20"/>
              </w:rPr>
              <w:t xml:space="preserve">3350</w:t>
            </w:r>
          </w:p>
        </w:tc>
        <w:tc>
          <w:tcPr>
            <w:tcW w:w="925" w:type="dxa"/>
          </w:tcPr>
          <w:p>
            <w:pPr>
              <w:pStyle w:val="0"/>
              <w:jc w:val="center"/>
            </w:pPr>
            <w:r>
              <w:rPr>
                <w:sz w:val="20"/>
              </w:rPr>
              <w:t xml:space="preserve">3408</w:t>
            </w:r>
          </w:p>
        </w:tc>
        <w:tc>
          <w:tcPr>
            <w:tcW w:w="925" w:type="dxa"/>
          </w:tcPr>
          <w:p>
            <w:pPr>
              <w:pStyle w:val="0"/>
              <w:jc w:val="center"/>
            </w:pPr>
            <w:r>
              <w:rPr>
                <w:sz w:val="20"/>
              </w:rPr>
              <w:t xml:space="preserve">883</w:t>
            </w:r>
          </w:p>
        </w:tc>
        <w:tc>
          <w:tcPr>
            <w:tcW w:w="926" w:type="dxa"/>
          </w:tcPr>
          <w:p>
            <w:pPr>
              <w:pStyle w:val="0"/>
              <w:jc w:val="center"/>
            </w:pPr>
            <w:r>
              <w:rPr>
                <w:sz w:val="20"/>
              </w:rPr>
              <w:t xml:space="preserve">898</w:t>
            </w:r>
          </w:p>
        </w:tc>
        <w:tc>
          <w:tcPr>
            <w:tcW w:w="1555" w:type="dxa"/>
          </w:tcPr>
          <w:p>
            <w:pPr>
              <w:pStyle w:val="0"/>
              <w:jc w:val="both"/>
            </w:pPr>
            <w:r>
              <w:rPr>
                <w:sz w:val="20"/>
              </w:rPr>
              <w:t xml:space="preserve">ВА2</w:t>
            </w:r>
          </w:p>
        </w:tc>
        <w:tc>
          <w:tcPr>
            <w:tcW w:w="1417" w:type="dxa"/>
          </w:tcPr>
          <w:p>
            <w:pPr>
              <w:pStyle w:val="0"/>
              <w:jc w:val="both"/>
            </w:pPr>
            <w:r>
              <w:rPr>
                <w:sz w:val="20"/>
              </w:rPr>
              <w:t xml:space="preserve">ВА2</w:t>
            </w:r>
          </w:p>
        </w:tc>
        <w:tc>
          <w:tcPr>
            <w:tcW w:w="1417" w:type="dxa"/>
          </w:tcPr>
          <w:p>
            <w:pPr>
              <w:pStyle w:val="0"/>
              <w:jc w:val="both"/>
            </w:pPr>
            <w:r>
              <w:rPr>
                <w:sz w:val="20"/>
              </w:rPr>
              <w:t xml:space="preserve">П3</w:t>
            </w:r>
          </w:p>
        </w:tc>
        <w:tc>
          <w:tcPr>
            <w:tcW w:w="1019" w:type="dxa"/>
          </w:tcPr>
          <w:p>
            <w:pPr>
              <w:pStyle w:val="0"/>
              <w:jc w:val="center"/>
            </w:pPr>
            <w:r>
              <w:rPr>
                <w:sz w:val="20"/>
              </w:rPr>
              <w:t xml:space="preserve">x</w:t>
            </w:r>
          </w:p>
        </w:tc>
        <w:tc>
          <w:tcPr>
            <w:tcW w:w="1019" w:type="dxa"/>
          </w:tcPr>
          <w:p>
            <w:pPr>
              <w:pStyle w:val="0"/>
              <w:jc w:val="center"/>
            </w:pPr>
            <w:r>
              <w:rPr>
                <w:sz w:val="20"/>
              </w:rPr>
              <w:t xml:space="preserve">0</w:t>
            </w:r>
          </w:p>
        </w:tc>
        <w:tc>
          <w:tcPr>
            <w:tcW w:w="1020" w:type="dxa"/>
          </w:tcPr>
          <w:p>
            <w:pPr>
              <w:pStyle w:val="0"/>
              <w:jc w:val="center"/>
            </w:pPr>
            <w:r>
              <w:rPr>
                <w:sz w:val="20"/>
              </w:rPr>
              <w:t xml:space="preserve">8</w:t>
            </w:r>
          </w:p>
        </w:tc>
      </w:tr>
      <w:tr>
        <w:tc>
          <w:tcPr>
            <w:tcW w:w="2405" w:type="dxa"/>
          </w:tcPr>
          <w:p>
            <w:pPr>
              <w:pStyle w:val="0"/>
              <w:jc w:val="both"/>
            </w:pPr>
            <w:r>
              <w:rPr>
                <w:sz w:val="20"/>
              </w:rPr>
              <w:t xml:space="preserve">село Черноречье (Балаклавский район города Севастополя)</w:t>
            </w:r>
          </w:p>
        </w:tc>
        <w:tc>
          <w:tcPr>
            <w:tcW w:w="925" w:type="dxa"/>
          </w:tcPr>
          <w:p>
            <w:pPr>
              <w:pStyle w:val="0"/>
              <w:jc w:val="center"/>
            </w:pPr>
            <w:r>
              <w:rPr>
                <w:sz w:val="20"/>
              </w:rPr>
              <w:t xml:space="preserve">286</w:t>
            </w:r>
          </w:p>
        </w:tc>
        <w:tc>
          <w:tcPr>
            <w:tcW w:w="925" w:type="dxa"/>
          </w:tcPr>
          <w:p>
            <w:pPr>
              <w:pStyle w:val="0"/>
              <w:jc w:val="center"/>
            </w:pPr>
            <w:r>
              <w:rPr>
                <w:sz w:val="20"/>
              </w:rPr>
              <w:t xml:space="preserve">291</w:t>
            </w:r>
          </w:p>
        </w:tc>
        <w:tc>
          <w:tcPr>
            <w:tcW w:w="925" w:type="dxa"/>
          </w:tcPr>
          <w:p>
            <w:pPr>
              <w:pStyle w:val="0"/>
              <w:jc w:val="center"/>
            </w:pPr>
            <w:r>
              <w:rPr>
                <w:sz w:val="20"/>
              </w:rPr>
              <w:t xml:space="preserve">75</w:t>
            </w:r>
          </w:p>
        </w:tc>
        <w:tc>
          <w:tcPr>
            <w:tcW w:w="926" w:type="dxa"/>
          </w:tcPr>
          <w:p>
            <w:pPr>
              <w:pStyle w:val="0"/>
              <w:jc w:val="center"/>
            </w:pPr>
            <w:r>
              <w:rPr>
                <w:sz w:val="20"/>
              </w:rPr>
              <w:t xml:space="preserve">77</w:t>
            </w:r>
          </w:p>
        </w:tc>
        <w:tc>
          <w:tcPr>
            <w:tcW w:w="1555" w:type="dxa"/>
          </w:tcPr>
          <w:p>
            <w:pPr>
              <w:pStyle w:val="0"/>
              <w:jc w:val="both"/>
            </w:pPr>
            <w:r>
              <w:rPr>
                <w:sz w:val="20"/>
              </w:rPr>
            </w:r>
          </w:p>
        </w:tc>
        <w:tc>
          <w:tcPr>
            <w:tcW w:w="1417" w:type="dxa"/>
          </w:tcPr>
          <w:p>
            <w:pPr>
              <w:pStyle w:val="0"/>
              <w:jc w:val="both"/>
            </w:pPr>
            <w:r>
              <w:rPr>
                <w:sz w:val="20"/>
              </w:rPr>
              <w:t xml:space="preserve">ФАП1</w:t>
            </w:r>
          </w:p>
        </w:tc>
        <w:tc>
          <w:tcPr>
            <w:tcW w:w="1417" w:type="dxa"/>
          </w:tcPr>
          <w:p>
            <w:pPr>
              <w:pStyle w:val="0"/>
              <w:jc w:val="both"/>
            </w:pPr>
            <w:r>
              <w:rPr>
                <w:sz w:val="20"/>
              </w:rPr>
              <w:t xml:space="preserve">П2</w:t>
            </w:r>
          </w:p>
        </w:tc>
        <w:tc>
          <w:tcPr>
            <w:tcW w:w="1019" w:type="dxa"/>
          </w:tcPr>
          <w:p>
            <w:pPr>
              <w:pStyle w:val="0"/>
              <w:jc w:val="center"/>
            </w:pPr>
            <w:r>
              <w:rPr>
                <w:sz w:val="20"/>
              </w:rPr>
              <w:t xml:space="preserve">2</w:t>
            </w:r>
          </w:p>
        </w:tc>
        <w:tc>
          <w:tcPr>
            <w:tcW w:w="1019" w:type="dxa"/>
          </w:tcPr>
          <w:p>
            <w:pPr>
              <w:pStyle w:val="0"/>
              <w:jc w:val="center"/>
            </w:pPr>
            <w:r>
              <w:rPr>
                <w:sz w:val="20"/>
              </w:rPr>
              <w:t xml:space="preserve">x</w:t>
            </w:r>
          </w:p>
        </w:tc>
        <w:tc>
          <w:tcPr>
            <w:tcW w:w="1020" w:type="dxa"/>
          </w:tcPr>
          <w:p>
            <w:pPr>
              <w:pStyle w:val="0"/>
              <w:jc w:val="center"/>
            </w:pPr>
            <w:r>
              <w:rPr>
                <w:sz w:val="20"/>
              </w:rPr>
              <w:t xml:space="preserve">10</w:t>
            </w:r>
          </w:p>
        </w:tc>
      </w:tr>
      <w:tr>
        <w:tc>
          <w:tcPr>
            <w:tcW w:w="2405" w:type="dxa"/>
          </w:tcPr>
          <w:p>
            <w:pPr>
              <w:pStyle w:val="0"/>
              <w:jc w:val="both"/>
            </w:pPr>
            <w:r>
              <w:rPr>
                <w:sz w:val="20"/>
              </w:rPr>
              <w:t xml:space="preserve">село Флотское (Балаклавский район города Севастополя)</w:t>
            </w:r>
          </w:p>
        </w:tc>
        <w:tc>
          <w:tcPr>
            <w:tcW w:w="925" w:type="dxa"/>
          </w:tcPr>
          <w:p>
            <w:pPr>
              <w:pStyle w:val="0"/>
              <w:jc w:val="center"/>
            </w:pPr>
            <w:r>
              <w:rPr>
                <w:sz w:val="20"/>
              </w:rPr>
              <w:t xml:space="preserve">122</w:t>
            </w:r>
          </w:p>
        </w:tc>
        <w:tc>
          <w:tcPr>
            <w:tcW w:w="925" w:type="dxa"/>
          </w:tcPr>
          <w:p>
            <w:pPr>
              <w:pStyle w:val="0"/>
              <w:jc w:val="center"/>
            </w:pPr>
            <w:r>
              <w:rPr>
                <w:sz w:val="20"/>
              </w:rPr>
              <w:t xml:space="preserve">124</w:t>
            </w:r>
          </w:p>
        </w:tc>
        <w:tc>
          <w:tcPr>
            <w:tcW w:w="925" w:type="dxa"/>
          </w:tcPr>
          <w:p>
            <w:pPr>
              <w:pStyle w:val="0"/>
              <w:jc w:val="center"/>
            </w:pPr>
            <w:r>
              <w:rPr>
                <w:sz w:val="20"/>
              </w:rPr>
              <w:t xml:space="preserve">32</w:t>
            </w:r>
          </w:p>
        </w:tc>
        <w:tc>
          <w:tcPr>
            <w:tcW w:w="926" w:type="dxa"/>
          </w:tcPr>
          <w:p>
            <w:pPr>
              <w:pStyle w:val="0"/>
              <w:jc w:val="center"/>
            </w:pPr>
            <w:r>
              <w:rPr>
                <w:sz w:val="20"/>
              </w:rPr>
              <w:t xml:space="preserve">33</w:t>
            </w:r>
          </w:p>
        </w:tc>
        <w:tc>
          <w:tcPr>
            <w:tcW w:w="1555" w:type="dxa"/>
          </w:tcPr>
          <w:p>
            <w:pPr>
              <w:pStyle w:val="0"/>
              <w:jc w:val="both"/>
            </w:pPr>
            <w:r>
              <w:rPr>
                <w:sz w:val="20"/>
              </w:rPr>
            </w:r>
          </w:p>
        </w:tc>
        <w:tc>
          <w:tcPr>
            <w:tcW w:w="1417" w:type="dxa"/>
          </w:tcPr>
          <w:p>
            <w:pPr>
              <w:pStyle w:val="0"/>
              <w:jc w:val="both"/>
            </w:pPr>
            <w:r>
              <w:rPr>
                <w:sz w:val="20"/>
              </w:rPr>
            </w:r>
          </w:p>
        </w:tc>
        <w:tc>
          <w:tcPr>
            <w:tcW w:w="1417" w:type="dxa"/>
          </w:tcPr>
          <w:p>
            <w:pPr>
              <w:pStyle w:val="0"/>
              <w:jc w:val="both"/>
            </w:pPr>
            <w:r>
              <w:rPr>
                <w:sz w:val="20"/>
              </w:rPr>
              <w:t xml:space="preserve">П2</w:t>
            </w:r>
          </w:p>
        </w:tc>
        <w:tc>
          <w:tcPr>
            <w:tcW w:w="1019" w:type="dxa"/>
          </w:tcPr>
          <w:p>
            <w:pPr>
              <w:pStyle w:val="0"/>
              <w:jc w:val="center"/>
            </w:pPr>
            <w:r>
              <w:rPr>
                <w:sz w:val="20"/>
              </w:rPr>
              <w:t xml:space="preserve">x</w:t>
            </w:r>
          </w:p>
        </w:tc>
        <w:tc>
          <w:tcPr>
            <w:tcW w:w="1019" w:type="dxa"/>
          </w:tcPr>
          <w:p>
            <w:pPr>
              <w:pStyle w:val="0"/>
              <w:jc w:val="center"/>
            </w:pPr>
            <w:r>
              <w:rPr>
                <w:sz w:val="20"/>
              </w:rPr>
              <w:t xml:space="preserve">x</w:t>
            </w:r>
          </w:p>
        </w:tc>
        <w:tc>
          <w:tcPr>
            <w:tcW w:w="1020" w:type="dxa"/>
          </w:tcPr>
          <w:p>
            <w:pPr>
              <w:pStyle w:val="0"/>
              <w:jc w:val="center"/>
            </w:pPr>
            <w:r>
              <w:rPr>
                <w:sz w:val="20"/>
              </w:rPr>
              <w:t xml:space="preserve">5</w:t>
            </w:r>
          </w:p>
        </w:tc>
      </w:tr>
      <w:tr>
        <w:tc>
          <w:tcPr>
            <w:tcW w:w="2405" w:type="dxa"/>
          </w:tcPr>
          <w:p>
            <w:pPr>
              <w:pStyle w:val="0"/>
              <w:jc w:val="both"/>
            </w:pPr>
            <w:r>
              <w:rPr>
                <w:sz w:val="20"/>
              </w:rPr>
              <w:t xml:space="preserve">поселок 1-е отделение Золотой Балки (Балаклавский район города Севастополя)</w:t>
            </w:r>
          </w:p>
        </w:tc>
        <w:tc>
          <w:tcPr>
            <w:tcW w:w="925" w:type="dxa"/>
          </w:tcPr>
          <w:p>
            <w:pPr>
              <w:pStyle w:val="0"/>
              <w:jc w:val="center"/>
            </w:pPr>
            <w:r>
              <w:rPr>
                <w:sz w:val="20"/>
              </w:rPr>
              <w:t xml:space="preserve">425</w:t>
            </w:r>
          </w:p>
        </w:tc>
        <w:tc>
          <w:tcPr>
            <w:tcW w:w="925" w:type="dxa"/>
          </w:tcPr>
          <w:p>
            <w:pPr>
              <w:pStyle w:val="0"/>
              <w:jc w:val="center"/>
            </w:pPr>
            <w:r>
              <w:rPr>
                <w:sz w:val="20"/>
              </w:rPr>
              <w:t xml:space="preserve">432</w:t>
            </w:r>
          </w:p>
        </w:tc>
        <w:tc>
          <w:tcPr>
            <w:tcW w:w="925" w:type="dxa"/>
          </w:tcPr>
          <w:p>
            <w:pPr>
              <w:pStyle w:val="0"/>
              <w:jc w:val="center"/>
            </w:pPr>
            <w:r>
              <w:rPr>
                <w:sz w:val="20"/>
              </w:rPr>
              <w:t xml:space="preserve">112</w:t>
            </w:r>
          </w:p>
        </w:tc>
        <w:tc>
          <w:tcPr>
            <w:tcW w:w="926" w:type="dxa"/>
          </w:tcPr>
          <w:p>
            <w:pPr>
              <w:pStyle w:val="0"/>
              <w:jc w:val="center"/>
            </w:pPr>
            <w:r>
              <w:rPr>
                <w:sz w:val="20"/>
              </w:rPr>
              <w:t xml:space="preserve">114</w:t>
            </w:r>
          </w:p>
        </w:tc>
        <w:tc>
          <w:tcPr>
            <w:tcW w:w="1555" w:type="dxa"/>
          </w:tcPr>
          <w:p>
            <w:pPr>
              <w:pStyle w:val="0"/>
              <w:jc w:val="both"/>
            </w:pPr>
            <w:r>
              <w:rPr>
                <w:sz w:val="20"/>
              </w:rPr>
            </w:r>
          </w:p>
        </w:tc>
        <w:tc>
          <w:tcPr>
            <w:tcW w:w="1417" w:type="dxa"/>
          </w:tcPr>
          <w:p>
            <w:pPr>
              <w:pStyle w:val="0"/>
              <w:jc w:val="both"/>
            </w:pPr>
            <w:r>
              <w:rPr>
                <w:sz w:val="20"/>
              </w:rPr>
            </w:r>
          </w:p>
        </w:tc>
        <w:tc>
          <w:tcPr>
            <w:tcW w:w="1417" w:type="dxa"/>
          </w:tcPr>
          <w:p>
            <w:pPr>
              <w:pStyle w:val="0"/>
              <w:jc w:val="both"/>
            </w:pPr>
            <w:r>
              <w:rPr>
                <w:sz w:val="20"/>
              </w:rPr>
              <w:t xml:space="preserve">П2</w:t>
            </w:r>
          </w:p>
        </w:tc>
        <w:tc>
          <w:tcPr>
            <w:tcW w:w="1019" w:type="dxa"/>
          </w:tcPr>
          <w:p>
            <w:pPr>
              <w:pStyle w:val="0"/>
              <w:jc w:val="center"/>
            </w:pPr>
            <w:r>
              <w:rPr>
                <w:sz w:val="20"/>
              </w:rPr>
              <w:t xml:space="preserve">x</w:t>
            </w:r>
          </w:p>
        </w:tc>
        <w:tc>
          <w:tcPr>
            <w:tcW w:w="1019" w:type="dxa"/>
          </w:tcPr>
          <w:p>
            <w:pPr>
              <w:pStyle w:val="0"/>
              <w:jc w:val="center"/>
            </w:pPr>
            <w:r>
              <w:rPr>
                <w:sz w:val="20"/>
              </w:rPr>
              <w:t xml:space="preserve">x</w:t>
            </w:r>
          </w:p>
        </w:tc>
        <w:tc>
          <w:tcPr>
            <w:tcW w:w="1020" w:type="dxa"/>
          </w:tcPr>
          <w:p>
            <w:pPr>
              <w:pStyle w:val="0"/>
              <w:jc w:val="center"/>
            </w:pPr>
            <w:r>
              <w:rPr>
                <w:sz w:val="20"/>
              </w:rPr>
              <w:t xml:space="preserve">2</w:t>
            </w:r>
          </w:p>
        </w:tc>
      </w:tr>
      <w:tr>
        <w:tc>
          <w:tcPr>
            <w:tcW w:w="2405" w:type="dxa"/>
          </w:tcPr>
          <w:p>
            <w:pPr>
              <w:pStyle w:val="0"/>
              <w:jc w:val="both"/>
            </w:pPr>
            <w:r>
              <w:rPr>
                <w:sz w:val="20"/>
              </w:rPr>
              <w:t xml:space="preserve">поселок 3-е отделение Золотой Балки (Балаклавский район города Севастополя)</w:t>
            </w:r>
          </w:p>
        </w:tc>
        <w:tc>
          <w:tcPr>
            <w:tcW w:w="925" w:type="dxa"/>
          </w:tcPr>
          <w:p>
            <w:pPr>
              <w:pStyle w:val="0"/>
              <w:jc w:val="center"/>
            </w:pPr>
            <w:r>
              <w:rPr>
                <w:sz w:val="20"/>
              </w:rPr>
              <w:t xml:space="preserve">375</w:t>
            </w:r>
          </w:p>
        </w:tc>
        <w:tc>
          <w:tcPr>
            <w:tcW w:w="925" w:type="dxa"/>
          </w:tcPr>
          <w:p>
            <w:pPr>
              <w:pStyle w:val="0"/>
              <w:jc w:val="center"/>
            </w:pPr>
            <w:r>
              <w:rPr>
                <w:sz w:val="20"/>
              </w:rPr>
              <w:t xml:space="preserve">382</w:t>
            </w:r>
          </w:p>
        </w:tc>
        <w:tc>
          <w:tcPr>
            <w:tcW w:w="925" w:type="dxa"/>
          </w:tcPr>
          <w:p>
            <w:pPr>
              <w:pStyle w:val="0"/>
              <w:jc w:val="center"/>
            </w:pPr>
            <w:r>
              <w:rPr>
                <w:sz w:val="20"/>
              </w:rPr>
              <w:t xml:space="preserve">99</w:t>
            </w:r>
          </w:p>
        </w:tc>
        <w:tc>
          <w:tcPr>
            <w:tcW w:w="926" w:type="dxa"/>
          </w:tcPr>
          <w:p>
            <w:pPr>
              <w:pStyle w:val="0"/>
              <w:jc w:val="center"/>
            </w:pPr>
            <w:r>
              <w:rPr>
                <w:sz w:val="20"/>
              </w:rPr>
              <w:t xml:space="preserve">101</w:t>
            </w:r>
          </w:p>
        </w:tc>
        <w:tc>
          <w:tcPr>
            <w:tcW w:w="1555" w:type="dxa"/>
          </w:tcPr>
          <w:p>
            <w:pPr>
              <w:pStyle w:val="0"/>
              <w:jc w:val="both"/>
            </w:pPr>
            <w:r>
              <w:rPr>
                <w:sz w:val="20"/>
              </w:rPr>
            </w:r>
          </w:p>
        </w:tc>
        <w:tc>
          <w:tcPr>
            <w:tcW w:w="1417" w:type="dxa"/>
          </w:tcPr>
          <w:p>
            <w:pPr>
              <w:pStyle w:val="0"/>
              <w:jc w:val="both"/>
            </w:pPr>
            <w:r>
              <w:rPr>
                <w:sz w:val="20"/>
              </w:rPr>
            </w:r>
          </w:p>
        </w:tc>
        <w:tc>
          <w:tcPr>
            <w:tcW w:w="1417" w:type="dxa"/>
          </w:tcPr>
          <w:p>
            <w:pPr>
              <w:pStyle w:val="0"/>
              <w:jc w:val="both"/>
            </w:pPr>
            <w:r>
              <w:rPr>
                <w:sz w:val="20"/>
              </w:rPr>
              <w:t xml:space="preserve">П2</w:t>
            </w:r>
          </w:p>
        </w:tc>
        <w:tc>
          <w:tcPr>
            <w:tcW w:w="1019" w:type="dxa"/>
          </w:tcPr>
          <w:p>
            <w:pPr>
              <w:pStyle w:val="0"/>
              <w:jc w:val="center"/>
            </w:pPr>
            <w:r>
              <w:rPr>
                <w:sz w:val="20"/>
              </w:rPr>
              <w:t xml:space="preserve">x</w:t>
            </w:r>
          </w:p>
        </w:tc>
        <w:tc>
          <w:tcPr>
            <w:tcW w:w="1019" w:type="dxa"/>
          </w:tcPr>
          <w:p>
            <w:pPr>
              <w:pStyle w:val="0"/>
              <w:jc w:val="center"/>
            </w:pPr>
            <w:r>
              <w:rPr>
                <w:sz w:val="20"/>
              </w:rPr>
              <w:t xml:space="preserve">x</w:t>
            </w:r>
          </w:p>
        </w:tc>
        <w:tc>
          <w:tcPr>
            <w:tcW w:w="1020" w:type="dxa"/>
          </w:tcPr>
          <w:p>
            <w:pPr>
              <w:pStyle w:val="0"/>
              <w:jc w:val="center"/>
            </w:pPr>
            <w:r>
              <w:rPr>
                <w:sz w:val="20"/>
              </w:rPr>
              <w:t xml:space="preserve">4</w:t>
            </w:r>
          </w:p>
        </w:tc>
      </w:tr>
      <w:tr>
        <w:tc>
          <w:tcPr>
            <w:tcW w:w="2405" w:type="dxa"/>
          </w:tcPr>
          <w:p>
            <w:pPr>
              <w:pStyle w:val="0"/>
              <w:jc w:val="both"/>
            </w:pPr>
            <w:r>
              <w:rPr>
                <w:sz w:val="20"/>
              </w:rPr>
              <w:t xml:space="preserve">село Оборонное (Балаклавский район города Севастополя)</w:t>
            </w:r>
          </w:p>
        </w:tc>
        <w:tc>
          <w:tcPr>
            <w:tcW w:w="925" w:type="dxa"/>
          </w:tcPr>
          <w:p>
            <w:pPr>
              <w:pStyle w:val="0"/>
              <w:jc w:val="center"/>
            </w:pPr>
            <w:r>
              <w:rPr>
                <w:sz w:val="20"/>
              </w:rPr>
              <w:t xml:space="preserve">89</w:t>
            </w:r>
          </w:p>
        </w:tc>
        <w:tc>
          <w:tcPr>
            <w:tcW w:w="925" w:type="dxa"/>
          </w:tcPr>
          <w:p>
            <w:pPr>
              <w:pStyle w:val="0"/>
              <w:jc w:val="center"/>
            </w:pPr>
            <w:r>
              <w:rPr>
                <w:sz w:val="20"/>
              </w:rPr>
              <w:t xml:space="preserve">90</w:t>
            </w:r>
          </w:p>
        </w:tc>
        <w:tc>
          <w:tcPr>
            <w:tcW w:w="925" w:type="dxa"/>
          </w:tcPr>
          <w:p>
            <w:pPr>
              <w:pStyle w:val="0"/>
              <w:jc w:val="center"/>
            </w:pPr>
            <w:r>
              <w:rPr>
                <w:sz w:val="20"/>
              </w:rPr>
              <w:t xml:space="preserve">23</w:t>
            </w:r>
          </w:p>
        </w:tc>
        <w:tc>
          <w:tcPr>
            <w:tcW w:w="926" w:type="dxa"/>
          </w:tcPr>
          <w:p>
            <w:pPr>
              <w:pStyle w:val="0"/>
              <w:jc w:val="center"/>
            </w:pPr>
            <w:r>
              <w:rPr>
                <w:sz w:val="20"/>
              </w:rPr>
              <w:t xml:space="preserve">24</w:t>
            </w:r>
          </w:p>
        </w:tc>
        <w:tc>
          <w:tcPr>
            <w:tcW w:w="1555" w:type="dxa"/>
          </w:tcPr>
          <w:p>
            <w:pPr>
              <w:pStyle w:val="0"/>
              <w:jc w:val="both"/>
            </w:pPr>
            <w:r>
              <w:rPr>
                <w:sz w:val="20"/>
              </w:rPr>
            </w:r>
          </w:p>
        </w:tc>
        <w:tc>
          <w:tcPr>
            <w:tcW w:w="1417" w:type="dxa"/>
          </w:tcPr>
          <w:p>
            <w:pPr>
              <w:pStyle w:val="0"/>
              <w:jc w:val="both"/>
            </w:pPr>
            <w:r>
              <w:rPr>
                <w:sz w:val="20"/>
              </w:rPr>
            </w:r>
          </w:p>
        </w:tc>
        <w:tc>
          <w:tcPr>
            <w:tcW w:w="1417" w:type="dxa"/>
          </w:tcPr>
          <w:p>
            <w:pPr>
              <w:pStyle w:val="0"/>
              <w:jc w:val="both"/>
            </w:pPr>
            <w:r>
              <w:rPr>
                <w:sz w:val="20"/>
              </w:rPr>
              <w:t xml:space="preserve">П2</w:t>
            </w:r>
          </w:p>
        </w:tc>
        <w:tc>
          <w:tcPr>
            <w:tcW w:w="1019" w:type="dxa"/>
          </w:tcPr>
          <w:p>
            <w:pPr>
              <w:pStyle w:val="0"/>
              <w:jc w:val="center"/>
            </w:pPr>
            <w:r>
              <w:rPr>
                <w:sz w:val="20"/>
              </w:rPr>
              <w:t xml:space="preserve">2</w:t>
            </w:r>
          </w:p>
        </w:tc>
        <w:tc>
          <w:tcPr>
            <w:tcW w:w="1019" w:type="dxa"/>
          </w:tcPr>
          <w:p>
            <w:pPr>
              <w:pStyle w:val="0"/>
              <w:jc w:val="center"/>
            </w:pPr>
            <w:r>
              <w:rPr>
                <w:sz w:val="20"/>
              </w:rPr>
              <w:t xml:space="preserve">x</w:t>
            </w:r>
          </w:p>
        </w:tc>
        <w:tc>
          <w:tcPr>
            <w:tcW w:w="1020" w:type="dxa"/>
          </w:tcPr>
          <w:p>
            <w:pPr>
              <w:pStyle w:val="0"/>
              <w:jc w:val="center"/>
            </w:pPr>
            <w:r>
              <w:rPr>
                <w:sz w:val="20"/>
              </w:rPr>
              <w:t xml:space="preserve">5</w:t>
            </w:r>
          </w:p>
        </w:tc>
      </w:tr>
      <w:tr>
        <w:tc>
          <w:tcPr>
            <w:tcW w:w="2405" w:type="dxa"/>
          </w:tcPr>
          <w:p>
            <w:pPr>
              <w:pStyle w:val="0"/>
              <w:jc w:val="both"/>
            </w:pPr>
            <w:r>
              <w:rPr>
                <w:sz w:val="20"/>
              </w:rPr>
              <w:t xml:space="preserve">село Морозовка (Балаклавский район города Севастополя)</w:t>
            </w:r>
          </w:p>
        </w:tc>
        <w:tc>
          <w:tcPr>
            <w:tcW w:w="925" w:type="dxa"/>
          </w:tcPr>
          <w:p>
            <w:pPr>
              <w:pStyle w:val="0"/>
              <w:jc w:val="center"/>
            </w:pPr>
            <w:r>
              <w:rPr>
                <w:sz w:val="20"/>
              </w:rPr>
              <w:t xml:space="preserve">26</w:t>
            </w:r>
          </w:p>
        </w:tc>
        <w:tc>
          <w:tcPr>
            <w:tcW w:w="925" w:type="dxa"/>
          </w:tcPr>
          <w:p>
            <w:pPr>
              <w:pStyle w:val="0"/>
              <w:jc w:val="center"/>
            </w:pPr>
            <w:r>
              <w:rPr>
                <w:sz w:val="20"/>
              </w:rPr>
              <w:t xml:space="preserve">27</w:t>
            </w:r>
          </w:p>
        </w:tc>
        <w:tc>
          <w:tcPr>
            <w:tcW w:w="925" w:type="dxa"/>
          </w:tcPr>
          <w:p>
            <w:pPr>
              <w:pStyle w:val="0"/>
              <w:jc w:val="center"/>
            </w:pPr>
            <w:r>
              <w:rPr>
                <w:sz w:val="20"/>
              </w:rPr>
              <w:t xml:space="preserve">7</w:t>
            </w:r>
          </w:p>
        </w:tc>
        <w:tc>
          <w:tcPr>
            <w:tcW w:w="926" w:type="dxa"/>
          </w:tcPr>
          <w:p>
            <w:pPr>
              <w:pStyle w:val="0"/>
              <w:jc w:val="center"/>
            </w:pPr>
            <w:r>
              <w:rPr>
                <w:sz w:val="20"/>
              </w:rPr>
              <w:t xml:space="preserve">7</w:t>
            </w:r>
          </w:p>
        </w:tc>
        <w:tc>
          <w:tcPr>
            <w:tcW w:w="1555" w:type="dxa"/>
          </w:tcPr>
          <w:p>
            <w:pPr>
              <w:pStyle w:val="0"/>
              <w:jc w:val="both"/>
            </w:pPr>
            <w:r>
              <w:rPr>
                <w:sz w:val="20"/>
              </w:rPr>
              <w:t xml:space="preserve">ДХ</w:t>
            </w:r>
          </w:p>
        </w:tc>
        <w:tc>
          <w:tcPr>
            <w:tcW w:w="1417" w:type="dxa"/>
          </w:tcPr>
          <w:p>
            <w:pPr>
              <w:pStyle w:val="0"/>
              <w:jc w:val="both"/>
            </w:pPr>
            <w:r>
              <w:rPr>
                <w:sz w:val="20"/>
              </w:rPr>
              <w:t xml:space="preserve">ФАП7</w:t>
            </w:r>
          </w:p>
        </w:tc>
        <w:tc>
          <w:tcPr>
            <w:tcW w:w="1417" w:type="dxa"/>
          </w:tcPr>
          <w:p>
            <w:pPr>
              <w:pStyle w:val="0"/>
              <w:jc w:val="both"/>
            </w:pPr>
            <w:r>
              <w:rPr>
                <w:sz w:val="20"/>
              </w:rPr>
              <w:t xml:space="preserve">П2</w:t>
            </w:r>
          </w:p>
        </w:tc>
        <w:tc>
          <w:tcPr>
            <w:tcW w:w="1019" w:type="dxa"/>
          </w:tcPr>
          <w:p>
            <w:pPr>
              <w:pStyle w:val="0"/>
              <w:jc w:val="center"/>
            </w:pPr>
            <w:r>
              <w:rPr>
                <w:sz w:val="20"/>
              </w:rPr>
              <w:t xml:space="preserve">6</w:t>
            </w:r>
          </w:p>
        </w:tc>
        <w:tc>
          <w:tcPr>
            <w:tcW w:w="1019" w:type="dxa"/>
          </w:tcPr>
          <w:p>
            <w:pPr>
              <w:pStyle w:val="0"/>
              <w:jc w:val="center"/>
            </w:pPr>
            <w:r>
              <w:rPr>
                <w:sz w:val="20"/>
              </w:rPr>
              <w:t xml:space="preserve">x</w:t>
            </w:r>
          </w:p>
        </w:tc>
        <w:tc>
          <w:tcPr>
            <w:tcW w:w="1020" w:type="dxa"/>
          </w:tcPr>
          <w:p>
            <w:pPr>
              <w:pStyle w:val="0"/>
              <w:jc w:val="center"/>
            </w:pPr>
            <w:r>
              <w:rPr>
                <w:sz w:val="20"/>
              </w:rPr>
              <w:t xml:space="preserve">13</w:t>
            </w:r>
          </w:p>
        </w:tc>
      </w:tr>
      <w:tr>
        <w:tc>
          <w:tcPr>
            <w:tcW w:w="2405" w:type="dxa"/>
          </w:tcPr>
          <w:p>
            <w:pPr>
              <w:pStyle w:val="0"/>
              <w:jc w:val="both"/>
            </w:pPr>
            <w:r>
              <w:rPr>
                <w:sz w:val="20"/>
              </w:rPr>
              <w:t xml:space="preserve">село Орлиное (Балаклавский район города Севастополя)</w:t>
            </w:r>
          </w:p>
        </w:tc>
        <w:tc>
          <w:tcPr>
            <w:tcW w:w="925" w:type="dxa"/>
          </w:tcPr>
          <w:p>
            <w:pPr>
              <w:pStyle w:val="0"/>
              <w:jc w:val="center"/>
            </w:pPr>
            <w:r>
              <w:rPr>
                <w:sz w:val="20"/>
              </w:rPr>
              <w:t xml:space="preserve">1776</w:t>
            </w:r>
          </w:p>
        </w:tc>
        <w:tc>
          <w:tcPr>
            <w:tcW w:w="925" w:type="dxa"/>
          </w:tcPr>
          <w:p>
            <w:pPr>
              <w:pStyle w:val="0"/>
              <w:jc w:val="center"/>
            </w:pPr>
            <w:r>
              <w:rPr>
                <w:sz w:val="20"/>
              </w:rPr>
              <w:t xml:space="preserve">1807</w:t>
            </w:r>
          </w:p>
        </w:tc>
        <w:tc>
          <w:tcPr>
            <w:tcW w:w="925" w:type="dxa"/>
          </w:tcPr>
          <w:p>
            <w:pPr>
              <w:pStyle w:val="0"/>
              <w:jc w:val="center"/>
            </w:pPr>
            <w:r>
              <w:rPr>
                <w:sz w:val="20"/>
              </w:rPr>
              <w:t xml:space="preserve">468</w:t>
            </w:r>
          </w:p>
        </w:tc>
        <w:tc>
          <w:tcPr>
            <w:tcW w:w="926" w:type="dxa"/>
          </w:tcPr>
          <w:p>
            <w:pPr>
              <w:pStyle w:val="0"/>
              <w:jc w:val="center"/>
            </w:pPr>
            <w:r>
              <w:rPr>
                <w:sz w:val="20"/>
              </w:rPr>
              <w:t xml:space="preserve">476</w:t>
            </w:r>
          </w:p>
        </w:tc>
        <w:tc>
          <w:tcPr>
            <w:tcW w:w="1555" w:type="dxa"/>
          </w:tcPr>
          <w:p>
            <w:pPr>
              <w:pStyle w:val="0"/>
              <w:jc w:val="both"/>
            </w:pPr>
            <w:r>
              <w:rPr>
                <w:sz w:val="20"/>
              </w:rPr>
              <w:t xml:space="preserve">ВА3</w:t>
            </w:r>
          </w:p>
        </w:tc>
        <w:tc>
          <w:tcPr>
            <w:tcW w:w="1417" w:type="dxa"/>
          </w:tcPr>
          <w:p>
            <w:pPr>
              <w:pStyle w:val="0"/>
              <w:jc w:val="both"/>
            </w:pPr>
            <w:r>
              <w:rPr>
                <w:sz w:val="20"/>
              </w:rPr>
              <w:t xml:space="preserve">ВА3</w:t>
            </w:r>
          </w:p>
        </w:tc>
        <w:tc>
          <w:tcPr>
            <w:tcW w:w="1417" w:type="dxa"/>
          </w:tcPr>
          <w:p>
            <w:pPr>
              <w:pStyle w:val="0"/>
              <w:jc w:val="both"/>
            </w:pPr>
            <w:r>
              <w:rPr>
                <w:sz w:val="20"/>
              </w:rPr>
              <w:t xml:space="preserve">П2</w:t>
            </w:r>
          </w:p>
        </w:tc>
        <w:tc>
          <w:tcPr>
            <w:tcW w:w="1019" w:type="dxa"/>
          </w:tcPr>
          <w:p>
            <w:pPr>
              <w:pStyle w:val="0"/>
              <w:jc w:val="center"/>
            </w:pPr>
            <w:r>
              <w:rPr>
                <w:sz w:val="20"/>
              </w:rPr>
              <w:t xml:space="preserve">x</w:t>
            </w:r>
          </w:p>
        </w:tc>
        <w:tc>
          <w:tcPr>
            <w:tcW w:w="1019" w:type="dxa"/>
          </w:tcPr>
          <w:p>
            <w:pPr>
              <w:pStyle w:val="0"/>
              <w:jc w:val="center"/>
            </w:pPr>
            <w:r>
              <w:rPr>
                <w:sz w:val="20"/>
              </w:rPr>
              <w:t xml:space="preserve">0</w:t>
            </w:r>
          </w:p>
        </w:tc>
        <w:tc>
          <w:tcPr>
            <w:tcW w:w="1020" w:type="dxa"/>
          </w:tcPr>
          <w:p>
            <w:pPr>
              <w:pStyle w:val="0"/>
              <w:jc w:val="center"/>
            </w:pPr>
            <w:r>
              <w:rPr>
                <w:sz w:val="20"/>
              </w:rPr>
              <w:t xml:space="preserve">23</w:t>
            </w:r>
          </w:p>
        </w:tc>
      </w:tr>
      <w:tr>
        <w:tc>
          <w:tcPr>
            <w:tcW w:w="2405" w:type="dxa"/>
          </w:tcPr>
          <w:p>
            <w:pPr>
              <w:pStyle w:val="0"/>
              <w:jc w:val="both"/>
            </w:pPr>
            <w:r>
              <w:rPr>
                <w:sz w:val="20"/>
              </w:rPr>
              <w:t xml:space="preserve">село Кизиловое (Балаклавский район города Севастополя)</w:t>
            </w:r>
          </w:p>
        </w:tc>
        <w:tc>
          <w:tcPr>
            <w:tcW w:w="925" w:type="dxa"/>
          </w:tcPr>
          <w:p>
            <w:pPr>
              <w:pStyle w:val="0"/>
              <w:jc w:val="center"/>
            </w:pPr>
            <w:r>
              <w:rPr>
                <w:sz w:val="20"/>
              </w:rPr>
              <w:t xml:space="preserve">44</w:t>
            </w:r>
          </w:p>
        </w:tc>
        <w:tc>
          <w:tcPr>
            <w:tcW w:w="925" w:type="dxa"/>
          </w:tcPr>
          <w:p>
            <w:pPr>
              <w:pStyle w:val="0"/>
              <w:jc w:val="center"/>
            </w:pPr>
            <w:r>
              <w:rPr>
                <w:sz w:val="20"/>
              </w:rPr>
              <w:t xml:space="preserve">45</w:t>
            </w:r>
          </w:p>
        </w:tc>
        <w:tc>
          <w:tcPr>
            <w:tcW w:w="925" w:type="dxa"/>
          </w:tcPr>
          <w:p>
            <w:pPr>
              <w:pStyle w:val="0"/>
              <w:jc w:val="center"/>
            </w:pPr>
            <w:r>
              <w:rPr>
                <w:sz w:val="20"/>
              </w:rPr>
              <w:t xml:space="preserve">12</w:t>
            </w:r>
          </w:p>
        </w:tc>
        <w:tc>
          <w:tcPr>
            <w:tcW w:w="926" w:type="dxa"/>
          </w:tcPr>
          <w:p>
            <w:pPr>
              <w:pStyle w:val="0"/>
              <w:jc w:val="center"/>
            </w:pPr>
            <w:r>
              <w:rPr>
                <w:sz w:val="20"/>
              </w:rPr>
              <w:t xml:space="preserve">12</w:t>
            </w:r>
          </w:p>
        </w:tc>
        <w:tc>
          <w:tcPr>
            <w:tcW w:w="1555" w:type="dxa"/>
          </w:tcPr>
          <w:p>
            <w:pPr>
              <w:pStyle w:val="0"/>
              <w:jc w:val="both"/>
            </w:pPr>
            <w:r>
              <w:rPr>
                <w:sz w:val="20"/>
              </w:rPr>
            </w:r>
          </w:p>
        </w:tc>
        <w:tc>
          <w:tcPr>
            <w:tcW w:w="1417" w:type="dxa"/>
          </w:tcPr>
          <w:p>
            <w:pPr>
              <w:pStyle w:val="0"/>
              <w:jc w:val="both"/>
            </w:pPr>
            <w:r>
              <w:rPr>
                <w:sz w:val="20"/>
              </w:rPr>
              <w:t xml:space="preserve">ВА3</w:t>
            </w:r>
          </w:p>
        </w:tc>
        <w:tc>
          <w:tcPr>
            <w:tcW w:w="1417" w:type="dxa"/>
          </w:tcPr>
          <w:p>
            <w:pPr>
              <w:pStyle w:val="0"/>
              <w:jc w:val="both"/>
            </w:pPr>
            <w:r>
              <w:rPr>
                <w:sz w:val="20"/>
              </w:rPr>
              <w:t xml:space="preserve">П2</w:t>
            </w:r>
          </w:p>
        </w:tc>
        <w:tc>
          <w:tcPr>
            <w:tcW w:w="1019" w:type="dxa"/>
          </w:tcPr>
          <w:p>
            <w:pPr>
              <w:pStyle w:val="0"/>
              <w:jc w:val="center"/>
            </w:pPr>
            <w:r>
              <w:rPr>
                <w:sz w:val="20"/>
              </w:rPr>
              <w:t xml:space="preserve">x</w:t>
            </w:r>
          </w:p>
        </w:tc>
        <w:tc>
          <w:tcPr>
            <w:tcW w:w="1019" w:type="dxa"/>
          </w:tcPr>
          <w:p>
            <w:pPr>
              <w:pStyle w:val="0"/>
              <w:jc w:val="center"/>
            </w:pPr>
            <w:r>
              <w:rPr>
                <w:sz w:val="20"/>
              </w:rPr>
              <w:t xml:space="preserve">3</w:t>
            </w:r>
          </w:p>
        </w:tc>
        <w:tc>
          <w:tcPr>
            <w:tcW w:w="1020" w:type="dxa"/>
          </w:tcPr>
          <w:p>
            <w:pPr>
              <w:pStyle w:val="0"/>
              <w:jc w:val="center"/>
            </w:pPr>
            <w:r>
              <w:rPr>
                <w:sz w:val="20"/>
              </w:rPr>
              <w:t xml:space="preserve">26</w:t>
            </w:r>
          </w:p>
        </w:tc>
      </w:tr>
      <w:tr>
        <w:tc>
          <w:tcPr>
            <w:tcW w:w="2405" w:type="dxa"/>
          </w:tcPr>
          <w:p>
            <w:pPr>
              <w:pStyle w:val="0"/>
              <w:jc w:val="both"/>
            </w:pPr>
            <w:r>
              <w:rPr>
                <w:sz w:val="20"/>
              </w:rPr>
              <w:t xml:space="preserve">село Колхозное (Балаклавский район города Севастополя)</w:t>
            </w:r>
          </w:p>
        </w:tc>
        <w:tc>
          <w:tcPr>
            <w:tcW w:w="925" w:type="dxa"/>
          </w:tcPr>
          <w:p>
            <w:pPr>
              <w:pStyle w:val="0"/>
              <w:jc w:val="center"/>
            </w:pPr>
            <w:r>
              <w:rPr>
                <w:sz w:val="20"/>
              </w:rPr>
              <w:t xml:space="preserve">7</w:t>
            </w:r>
          </w:p>
        </w:tc>
        <w:tc>
          <w:tcPr>
            <w:tcW w:w="925" w:type="dxa"/>
          </w:tcPr>
          <w:p>
            <w:pPr>
              <w:pStyle w:val="0"/>
              <w:jc w:val="center"/>
            </w:pPr>
            <w:r>
              <w:rPr>
                <w:sz w:val="20"/>
              </w:rPr>
              <w:t xml:space="preserve">7</w:t>
            </w:r>
          </w:p>
        </w:tc>
        <w:tc>
          <w:tcPr>
            <w:tcW w:w="925" w:type="dxa"/>
          </w:tcPr>
          <w:p>
            <w:pPr>
              <w:pStyle w:val="0"/>
              <w:jc w:val="center"/>
            </w:pPr>
            <w:r>
              <w:rPr>
                <w:sz w:val="20"/>
              </w:rPr>
              <w:t xml:space="preserve">2</w:t>
            </w:r>
          </w:p>
        </w:tc>
        <w:tc>
          <w:tcPr>
            <w:tcW w:w="926" w:type="dxa"/>
          </w:tcPr>
          <w:p>
            <w:pPr>
              <w:pStyle w:val="0"/>
              <w:jc w:val="center"/>
            </w:pPr>
            <w:r>
              <w:rPr>
                <w:sz w:val="20"/>
              </w:rPr>
              <w:t xml:space="preserve">2</w:t>
            </w:r>
          </w:p>
        </w:tc>
        <w:tc>
          <w:tcPr>
            <w:tcW w:w="1555" w:type="dxa"/>
          </w:tcPr>
          <w:p>
            <w:pPr>
              <w:pStyle w:val="0"/>
              <w:jc w:val="both"/>
            </w:pPr>
            <w:r>
              <w:rPr>
                <w:sz w:val="20"/>
              </w:rPr>
            </w:r>
          </w:p>
        </w:tc>
        <w:tc>
          <w:tcPr>
            <w:tcW w:w="1417" w:type="dxa"/>
          </w:tcPr>
          <w:p>
            <w:pPr>
              <w:pStyle w:val="0"/>
              <w:jc w:val="both"/>
            </w:pPr>
            <w:r>
              <w:rPr>
                <w:sz w:val="20"/>
              </w:rPr>
              <w:t xml:space="preserve">ФАП4, ВА3</w:t>
            </w:r>
          </w:p>
        </w:tc>
        <w:tc>
          <w:tcPr>
            <w:tcW w:w="1417" w:type="dxa"/>
          </w:tcPr>
          <w:p>
            <w:pPr>
              <w:pStyle w:val="0"/>
              <w:jc w:val="both"/>
            </w:pPr>
            <w:r>
              <w:rPr>
                <w:sz w:val="20"/>
              </w:rPr>
              <w:t xml:space="preserve">П2</w:t>
            </w:r>
          </w:p>
        </w:tc>
        <w:tc>
          <w:tcPr>
            <w:tcW w:w="1019" w:type="dxa"/>
          </w:tcPr>
          <w:p>
            <w:pPr>
              <w:pStyle w:val="0"/>
              <w:jc w:val="center"/>
            </w:pPr>
            <w:r>
              <w:rPr>
                <w:sz w:val="20"/>
              </w:rPr>
              <w:t xml:space="preserve">3</w:t>
            </w:r>
          </w:p>
        </w:tc>
        <w:tc>
          <w:tcPr>
            <w:tcW w:w="1019" w:type="dxa"/>
          </w:tcPr>
          <w:p>
            <w:pPr>
              <w:pStyle w:val="0"/>
              <w:jc w:val="center"/>
            </w:pPr>
            <w:r>
              <w:rPr>
                <w:sz w:val="20"/>
              </w:rPr>
              <w:t xml:space="preserve">10</w:t>
            </w:r>
          </w:p>
        </w:tc>
        <w:tc>
          <w:tcPr>
            <w:tcW w:w="1020" w:type="dxa"/>
          </w:tcPr>
          <w:p>
            <w:pPr>
              <w:pStyle w:val="0"/>
              <w:jc w:val="center"/>
            </w:pPr>
            <w:r>
              <w:rPr>
                <w:sz w:val="20"/>
              </w:rPr>
              <w:t xml:space="preserve">34</w:t>
            </w:r>
          </w:p>
        </w:tc>
      </w:tr>
      <w:tr>
        <w:tc>
          <w:tcPr>
            <w:tcW w:w="2405" w:type="dxa"/>
          </w:tcPr>
          <w:p>
            <w:pPr>
              <w:pStyle w:val="0"/>
              <w:jc w:val="both"/>
            </w:pPr>
            <w:r>
              <w:rPr>
                <w:sz w:val="20"/>
              </w:rPr>
              <w:t xml:space="preserve">село Ново-Бобровка (Балаклавский район города Севастополя)</w:t>
            </w:r>
          </w:p>
        </w:tc>
        <w:tc>
          <w:tcPr>
            <w:tcW w:w="925" w:type="dxa"/>
          </w:tcPr>
          <w:p>
            <w:pPr>
              <w:pStyle w:val="0"/>
              <w:jc w:val="center"/>
            </w:pPr>
            <w:r>
              <w:rPr>
                <w:sz w:val="20"/>
              </w:rPr>
              <w:t xml:space="preserve">189</w:t>
            </w:r>
          </w:p>
        </w:tc>
        <w:tc>
          <w:tcPr>
            <w:tcW w:w="925" w:type="dxa"/>
          </w:tcPr>
          <w:p>
            <w:pPr>
              <w:pStyle w:val="0"/>
              <w:jc w:val="center"/>
            </w:pPr>
            <w:r>
              <w:rPr>
                <w:sz w:val="20"/>
              </w:rPr>
              <w:t xml:space="preserve">192</w:t>
            </w:r>
          </w:p>
        </w:tc>
        <w:tc>
          <w:tcPr>
            <w:tcW w:w="925" w:type="dxa"/>
          </w:tcPr>
          <w:p>
            <w:pPr>
              <w:pStyle w:val="0"/>
              <w:jc w:val="center"/>
            </w:pPr>
            <w:r>
              <w:rPr>
                <w:sz w:val="20"/>
              </w:rPr>
              <w:t xml:space="preserve">50</w:t>
            </w:r>
          </w:p>
        </w:tc>
        <w:tc>
          <w:tcPr>
            <w:tcW w:w="926" w:type="dxa"/>
          </w:tcPr>
          <w:p>
            <w:pPr>
              <w:pStyle w:val="0"/>
              <w:jc w:val="center"/>
            </w:pPr>
            <w:r>
              <w:rPr>
                <w:sz w:val="20"/>
              </w:rPr>
              <w:t xml:space="preserve">50</w:t>
            </w:r>
          </w:p>
        </w:tc>
        <w:tc>
          <w:tcPr>
            <w:tcW w:w="1555" w:type="dxa"/>
          </w:tcPr>
          <w:p>
            <w:pPr>
              <w:pStyle w:val="0"/>
              <w:jc w:val="both"/>
            </w:pPr>
            <w:r>
              <w:rPr>
                <w:sz w:val="20"/>
              </w:rPr>
            </w:r>
          </w:p>
        </w:tc>
        <w:tc>
          <w:tcPr>
            <w:tcW w:w="1417" w:type="dxa"/>
          </w:tcPr>
          <w:p>
            <w:pPr>
              <w:pStyle w:val="0"/>
              <w:jc w:val="both"/>
            </w:pPr>
            <w:r>
              <w:rPr>
                <w:sz w:val="20"/>
              </w:rPr>
              <w:t xml:space="preserve">ФАП3, ВА3</w:t>
            </w:r>
          </w:p>
        </w:tc>
        <w:tc>
          <w:tcPr>
            <w:tcW w:w="1417" w:type="dxa"/>
          </w:tcPr>
          <w:p>
            <w:pPr>
              <w:pStyle w:val="0"/>
              <w:jc w:val="both"/>
            </w:pPr>
            <w:r>
              <w:rPr>
                <w:sz w:val="20"/>
              </w:rPr>
              <w:t xml:space="preserve">П2</w:t>
            </w:r>
          </w:p>
        </w:tc>
        <w:tc>
          <w:tcPr>
            <w:tcW w:w="1019" w:type="dxa"/>
          </w:tcPr>
          <w:p>
            <w:pPr>
              <w:pStyle w:val="0"/>
              <w:jc w:val="center"/>
            </w:pPr>
            <w:r>
              <w:rPr>
                <w:sz w:val="20"/>
              </w:rPr>
              <w:t xml:space="preserve">2</w:t>
            </w:r>
          </w:p>
        </w:tc>
        <w:tc>
          <w:tcPr>
            <w:tcW w:w="1019" w:type="dxa"/>
          </w:tcPr>
          <w:p>
            <w:pPr>
              <w:pStyle w:val="0"/>
              <w:jc w:val="center"/>
            </w:pPr>
            <w:r>
              <w:rPr>
                <w:sz w:val="20"/>
              </w:rPr>
              <w:t xml:space="preserve">11</w:t>
            </w:r>
          </w:p>
        </w:tc>
        <w:tc>
          <w:tcPr>
            <w:tcW w:w="1020" w:type="dxa"/>
          </w:tcPr>
          <w:p>
            <w:pPr>
              <w:pStyle w:val="0"/>
              <w:jc w:val="center"/>
            </w:pPr>
            <w:r>
              <w:rPr>
                <w:sz w:val="20"/>
              </w:rPr>
              <w:t xml:space="preserve">34</w:t>
            </w:r>
          </w:p>
        </w:tc>
      </w:tr>
      <w:tr>
        <w:tc>
          <w:tcPr>
            <w:tcW w:w="2405" w:type="dxa"/>
          </w:tcPr>
          <w:p>
            <w:pPr>
              <w:pStyle w:val="0"/>
              <w:jc w:val="both"/>
            </w:pPr>
            <w:r>
              <w:rPr>
                <w:sz w:val="20"/>
              </w:rPr>
              <w:t xml:space="preserve">село Озерное (Балаклавский район города Севастополя)</w:t>
            </w:r>
          </w:p>
        </w:tc>
        <w:tc>
          <w:tcPr>
            <w:tcW w:w="925" w:type="dxa"/>
          </w:tcPr>
          <w:p>
            <w:pPr>
              <w:pStyle w:val="0"/>
              <w:jc w:val="center"/>
            </w:pPr>
            <w:r>
              <w:rPr>
                <w:sz w:val="20"/>
              </w:rPr>
              <w:t xml:space="preserve">123</w:t>
            </w:r>
          </w:p>
        </w:tc>
        <w:tc>
          <w:tcPr>
            <w:tcW w:w="925" w:type="dxa"/>
          </w:tcPr>
          <w:p>
            <w:pPr>
              <w:pStyle w:val="0"/>
              <w:jc w:val="center"/>
            </w:pPr>
            <w:r>
              <w:rPr>
                <w:sz w:val="20"/>
              </w:rPr>
              <w:t xml:space="preserve">125</w:t>
            </w:r>
          </w:p>
        </w:tc>
        <w:tc>
          <w:tcPr>
            <w:tcW w:w="925" w:type="dxa"/>
          </w:tcPr>
          <w:p>
            <w:pPr>
              <w:pStyle w:val="0"/>
              <w:jc w:val="center"/>
            </w:pPr>
            <w:r>
              <w:rPr>
                <w:sz w:val="20"/>
              </w:rPr>
              <w:t xml:space="preserve">32</w:t>
            </w:r>
          </w:p>
        </w:tc>
        <w:tc>
          <w:tcPr>
            <w:tcW w:w="926" w:type="dxa"/>
          </w:tcPr>
          <w:p>
            <w:pPr>
              <w:pStyle w:val="0"/>
              <w:jc w:val="center"/>
            </w:pPr>
            <w:r>
              <w:rPr>
                <w:sz w:val="20"/>
              </w:rPr>
              <w:t xml:space="preserve">33</w:t>
            </w:r>
          </w:p>
        </w:tc>
        <w:tc>
          <w:tcPr>
            <w:tcW w:w="1555" w:type="dxa"/>
          </w:tcPr>
          <w:p>
            <w:pPr>
              <w:pStyle w:val="0"/>
              <w:jc w:val="both"/>
            </w:pPr>
            <w:r>
              <w:rPr>
                <w:sz w:val="20"/>
              </w:rPr>
            </w:r>
          </w:p>
        </w:tc>
        <w:tc>
          <w:tcPr>
            <w:tcW w:w="1417" w:type="dxa"/>
          </w:tcPr>
          <w:p>
            <w:pPr>
              <w:pStyle w:val="0"/>
              <w:jc w:val="both"/>
            </w:pPr>
            <w:r>
              <w:rPr>
                <w:sz w:val="20"/>
              </w:rPr>
              <w:t xml:space="preserve">ФАП6, ВА3</w:t>
            </w:r>
          </w:p>
        </w:tc>
        <w:tc>
          <w:tcPr>
            <w:tcW w:w="1417" w:type="dxa"/>
          </w:tcPr>
          <w:p>
            <w:pPr>
              <w:pStyle w:val="0"/>
              <w:jc w:val="both"/>
            </w:pPr>
            <w:r>
              <w:rPr>
                <w:sz w:val="20"/>
              </w:rPr>
              <w:t xml:space="preserve">П2</w:t>
            </w:r>
          </w:p>
        </w:tc>
        <w:tc>
          <w:tcPr>
            <w:tcW w:w="1019" w:type="dxa"/>
          </w:tcPr>
          <w:p>
            <w:pPr>
              <w:pStyle w:val="0"/>
              <w:jc w:val="center"/>
            </w:pPr>
            <w:r>
              <w:rPr>
                <w:sz w:val="20"/>
              </w:rPr>
              <w:t xml:space="preserve">2</w:t>
            </w:r>
          </w:p>
        </w:tc>
        <w:tc>
          <w:tcPr>
            <w:tcW w:w="1019" w:type="dxa"/>
          </w:tcPr>
          <w:p>
            <w:pPr>
              <w:pStyle w:val="0"/>
              <w:jc w:val="center"/>
            </w:pPr>
            <w:r>
              <w:rPr>
                <w:sz w:val="20"/>
              </w:rPr>
              <w:t xml:space="preserve">6</w:t>
            </w:r>
          </w:p>
        </w:tc>
        <w:tc>
          <w:tcPr>
            <w:tcW w:w="1020" w:type="dxa"/>
          </w:tcPr>
          <w:p>
            <w:pPr>
              <w:pStyle w:val="0"/>
              <w:jc w:val="center"/>
            </w:pPr>
            <w:r>
              <w:rPr>
                <w:sz w:val="20"/>
              </w:rPr>
              <w:t xml:space="preserve">25</w:t>
            </w:r>
          </w:p>
        </w:tc>
      </w:tr>
      <w:tr>
        <w:tc>
          <w:tcPr>
            <w:tcW w:w="2405" w:type="dxa"/>
          </w:tcPr>
          <w:p>
            <w:pPr>
              <w:pStyle w:val="0"/>
              <w:jc w:val="both"/>
            </w:pPr>
            <w:r>
              <w:rPr>
                <w:sz w:val="20"/>
              </w:rPr>
              <w:t xml:space="preserve">село Павловка (Балаклавский район города Севастополя)</w:t>
            </w:r>
          </w:p>
        </w:tc>
        <w:tc>
          <w:tcPr>
            <w:tcW w:w="925" w:type="dxa"/>
          </w:tcPr>
          <w:p>
            <w:pPr>
              <w:pStyle w:val="0"/>
              <w:jc w:val="center"/>
            </w:pPr>
            <w:r>
              <w:rPr>
                <w:sz w:val="20"/>
              </w:rPr>
              <w:t xml:space="preserve">336</w:t>
            </w:r>
          </w:p>
        </w:tc>
        <w:tc>
          <w:tcPr>
            <w:tcW w:w="925" w:type="dxa"/>
          </w:tcPr>
          <w:p>
            <w:pPr>
              <w:pStyle w:val="0"/>
              <w:jc w:val="center"/>
            </w:pPr>
            <w:r>
              <w:rPr>
                <w:sz w:val="20"/>
              </w:rPr>
              <w:t xml:space="preserve">341</w:t>
            </w:r>
          </w:p>
        </w:tc>
        <w:tc>
          <w:tcPr>
            <w:tcW w:w="925" w:type="dxa"/>
          </w:tcPr>
          <w:p>
            <w:pPr>
              <w:pStyle w:val="0"/>
              <w:jc w:val="center"/>
            </w:pPr>
            <w:r>
              <w:rPr>
                <w:sz w:val="20"/>
              </w:rPr>
              <w:t xml:space="preserve">88</w:t>
            </w:r>
          </w:p>
        </w:tc>
        <w:tc>
          <w:tcPr>
            <w:tcW w:w="926" w:type="dxa"/>
          </w:tcPr>
          <w:p>
            <w:pPr>
              <w:pStyle w:val="0"/>
              <w:jc w:val="center"/>
            </w:pPr>
            <w:r>
              <w:rPr>
                <w:sz w:val="20"/>
              </w:rPr>
              <w:t xml:space="preserve">90</w:t>
            </w:r>
          </w:p>
        </w:tc>
        <w:tc>
          <w:tcPr>
            <w:tcW w:w="1555" w:type="dxa"/>
          </w:tcPr>
          <w:p>
            <w:pPr>
              <w:pStyle w:val="0"/>
              <w:jc w:val="both"/>
            </w:pPr>
            <w:r>
              <w:rPr>
                <w:sz w:val="20"/>
              </w:rPr>
            </w:r>
          </w:p>
        </w:tc>
        <w:tc>
          <w:tcPr>
            <w:tcW w:w="1417" w:type="dxa"/>
          </w:tcPr>
          <w:p>
            <w:pPr>
              <w:pStyle w:val="0"/>
              <w:jc w:val="both"/>
            </w:pPr>
            <w:r>
              <w:rPr>
                <w:sz w:val="20"/>
              </w:rPr>
              <w:t xml:space="preserve">ВА3</w:t>
            </w:r>
          </w:p>
        </w:tc>
        <w:tc>
          <w:tcPr>
            <w:tcW w:w="1417" w:type="dxa"/>
          </w:tcPr>
          <w:p>
            <w:pPr>
              <w:pStyle w:val="0"/>
              <w:jc w:val="both"/>
            </w:pPr>
            <w:r>
              <w:rPr>
                <w:sz w:val="20"/>
              </w:rPr>
              <w:t xml:space="preserve">П2</w:t>
            </w:r>
          </w:p>
        </w:tc>
        <w:tc>
          <w:tcPr>
            <w:tcW w:w="1019" w:type="dxa"/>
          </w:tcPr>
          <w:p>
            <w:pPr>
              <w:pStyle w:val="0"/>
              <w:jc w:val="center"/>
            </w:pPr>
            <w:r>
              <w:rPr>
                <w:sz w:val="20"/>
              </w:rPr>
              <w:t xml:space="preserve">x</w:t>
            </w:r>
          </w:p>
        </w:tc>
        <w:tc>
          <w:tcPr>
            <w:tcW w:w="1019" w:type="dxa"/>
          </w:tcPr>
          <w:p>
            <w:pPr>
              <w:pStyle w:val="0"/>
              <w:jc w:val="center"/>
            </w:pPr>
            <w:r>
              <w:rPr>
                <w:sz w:val="20"/>
              </w:rPr>
              <w:t xml:space="preserve">1</w:t>
            </w:r>
          </w:p>
        </w:tc>
        <w:tc>
          <w:tcPr>
            <w:tcW w:w="1020" w:type="dxa"/>
          </w:tcPr>
          <w:p>
            <w:pPr>
              <w:pStyle w:val="0"/>
              <w:jc w:val="center"/>
            </w:pPr>
            <w:r>
              <w:rPr>
                <w:sz w:val="20"/>
              </w:rPr>
              <w:t xml:space="preserve">25</w:t>
            </w:r>
          </w:p>
        </w:tc>
      </w:tr>
      <w:tr>
        <w:tc>
          <w:tcPr>
            <w:tcW w:w="2405" w:type="dxa"/>
          </w:tcPr>
          <w:p>
            <w:pPr>
              <w:pStyle w:val="0"/>
              <w:jc w:val="both"/>
            </w:pPr>
            <w:r>
              <w:rPr>
                <w:sz w:val="20"/>
              </w:rPr>
              <w:t xml:space="preserve">село Передовое (Балаклавский район города Севастополя)</w:t>
            </w:r>
          </w:p>
        </w:tc>
        <w:tc>
          <w:tcPr>
            <w:tcW w:w="925" w:type="dxa"/>
          </w:tcPr>
          <w:p>
            <w:pPr>
              <w:pStyle w:val="0"/>
              <w:jc w:val="center"/>
            </w:pPr>
            <w:r>
              <w:rPr>
                <w:sz w:val="20"/>
              </w:rPr>
              <w:t xml:space="preserve">533</w:t>
            </w:r>
          </w:p>
        </w:tc>
        <w:tc>
          <w:tcPr>
            <w:tcW w:w="925" w:type="dxa"/>
          </w:tcPr>
          <w:p>
            <w:pPr>
              <w:pStyle w:val="0"/>
              <w:jc w:val="center"/>
            </w:pPr>
            <w:r>
              <w:rPr>
                <w:sz w:val="20"/>
              </w:rPr>
              <w:t xml:space="preserve">542</w:t>
            </w:r>
          </w:p>
        </w:tc>
        <w:tc>
          <w:tcPr>
            <w:tcW w:w="925" w:type="dxa"/>
          </w:tcPr>
          <w:p>
            <w:pPr>
              <w:pStyle w:val="0"/>
              <w:jc w:val="center"/>
            </w:pPr>
            <w:r>
              <w:rPr>
                <w:sz w:val="20"/>
              </w:rPr>
              <w:t xml:space="preserve">140</w:t>
            </w:r>
          </w:p>
        </w:tc>
        <w:tc>
          <w:tcPr>
            <w:tcW w:w="926" w:type="dxa"/>
          </w:tcPr>
          <w:p>
            <w:pPr>
              <w:pStyle w:val="0"/>
              <w:jc w:val="center"/>
            </w:pPr>
            <w:r>
              <w:rPr>
                <w:sz w:val="20"/>
              </w:rPr>
              <w:t xml:space="preserve">143</w:t>
            </w:r>
          </w:p>
        </w:tc>
        <w:tc>
          <w:tcPr>
            <w:tcW w:w="1555" w:type="dxa"/>
          </w:tcPr>
          <w:p>
            <w:pPr>
              <w:pStyle w:val="0"/>
              <w:jc w:val="both"/>
            </w:pPr>
            <w:r>
              <w:rPr>
                <w:sz w:val="20"/>
              </w:rPr>
              <w:t xml:space="preserve">ФАП3</w:t>
            </w:r>
          </w:p>
        </w:tc>
        <w:tc>
          <w:tcPr>
            <w:tcW w:w="1417" w:type="dxa"/>
          </w:tcPr>
          <w:p>
            <w:pPr>
              <w:pStyle w:val="0"/>
              <w:jc w:val="both"/>
            </w:pPr>
            <w:r>
              <w:rPr>
                <w:sz w:val="20"/>
              </w:rPr>
              <w:t xml:space="preserve">ВА3</w:t>
            </w:r>
          </w:p>
        </w:tc>
        <w:tc>
          <w:tcPr>
            <w:tcW w:w="1417" w:type="dxa"/>
          </w:tcPr>
          <w:p>
            <w:pPr>
              <w:pStyle w:val="0"/>
              <w:jc w:val="both"/>
            </w:pPr>
            <w:r>
              <w:rPr>
                <w:sz w:val="20"/>
              </w:rPr>
              <w:t xml:space="preserve">П2</w:t>
            </w:r>
          </w:p>
        </w:tc>
        <w:tc>
          <w:tcPr>
            <w:tcW w:w="1019" w:type="dxa"/>
          </w:tcPr>
          <w:p>
            <w:pPr>
              <w:pStyle w:val="0"/>
              <w:jc w:val="center"/>
            </w:pPr>
            <w:r>
              <w:rPr>
                <w:sz w:val="20"/>
              </w:rPr>
              <w:t xml:space="preserve">0</w:t>
            </w:r>
          </w:p>
        </w:tc>
        <w:tc>
          <w:tcPr>
            <w:tcW w:w="1019" w:type="dxa"/>
          </w:tcPr>
          <w:p>
            <w:pPr>
              <w:pStyle w:val="0"/>
              <w:jc w:val="center"/>
            </w:pPr>
            <w:r>
              <w:rPr>
                <w:sz w:val="20"/>
              </w:rPr>
              <w:t xml:space="preserve">13</w:t>
            </w:r>
          </w:p>
        </w:tc>
        <w:tc>
          <w:tcPr>
            <w:tcW w:w="1020" w:type="dxa"/>
          </w:tcPr>
          <w:p>
            <w:pPr>
              <w:pStyle w:val="0"/>
              <w:jc w:val="center"/>
            </w:pPr>
            <w:r>
              <w:rPr>
                <w:sz w:val="20"/>
              </w:rPr>
              <w:t xml:space="preserve">29</w:t>
            </w:r>
          </w:p>
        </w:tc>
      </w:tr>
      <w:tr>
        <w:tc>
          <w:tcPr>
            <w:tcW w:w="2405" w:type="dxa"/>
          </w:tcPr>
          <w:p>
            <w:pPr>
              <w:pStyle w:val="0"/>
              <w:jc w:val="both"/>
            </w:pPr>
            <w:r>
              <w:rPr>
                <w:sz w:val="20"/>
              </w:rPr>
              <w:t xml:space="preserve">село Подгорное (Балаклавский район города Севастополя)</w:t>
            </w:r>
          </w:p>
        </w:tc>
        <w:tc>
          <w:tcPr>
            <w:tcW w:w="925" w:type="dxa"/>
          </w:tcPr>
          <w:p>
            <w:pPr>
              <w:pStyle w:val="0"/>
              <w:jc w:val="center"/>
            </w:pPr>
            <w:r>
              <w:rPr>
                <w:sz w:val="20"/>
              </w:rPr>
              <w:t xml:space="preserve">42</w:t>
            </w:r>
          </w:p>
        </w:tc>
        <w:tc>
          <w:tcPr>
            <w:tcW w:w="925" w:type="dxa"/>
          </w:tcPr>
          <w:p>
            <w:pPr>
              <w:pStyle w:val="0"/>
              <w:jc w:val="center"/>
            </w:pPr>
            <w:r>
              <w:rPr>
                <w:sz w:val="20"/>
              </w:rPr>
              <w:t xml:space="preserve">43</w:t>
            </w:r>
          </w:p>
        </w:tc>
        <w:tc>
          <w:tcPr>
            <w:tcW w:w="925" w:type="dxa"/>
          </w:tcPr>
          <w:p>
            <w:pPr>
              <w:pStyle w:val="0"/>
              <w:jc w:val="center"/>
            </w:pPr>
            <w:r>
              <w:rPr>
                <w:sz w:val="20"/>
              </w:rPr>
              <w:t xml:space="preserve">11</w:t>
            </w:r>
          </w:p>
        </w:tc>
        <w:tc>
          <w:tcPr>
            <w:tcW w:w="926" w:type="dxa"/>
          </w:tcPr>
          <w:p>
            <w:pPr>
              <w:pStyle w:val="0"/>
              <w:jc w:val="center"/>
            </w:pPr>
            <w:r>
              <w:rPr>
                <w:sz w:val="20"/>
              </w:rPr>
              <w:t xml:space="preserve">11</w:t>
            </w:r>
          </w:p>
        </w:tc>
        <w:tc>
          <w:tcPr>
            <w:tcW w:w="1555" w:type="dxa"/>
          </w:tcPr>
          <w:p>
            <w:pPr>
              <w:pStyle w:val="0"/>
              <w:jc w:val="both"/>
            </w:pPr>
            <w:r>
              <w:rPr>
                <w:sz w:val="20"/>
              </w:rPr>
            </w:r>
          </w:p>
        </w:tc>
        <w:tc>
          <w:tcPr>
            <w:tcW w:w="1417" w:type="dxa"/>
          </w:tcPr>
          <w:p>
            <w:pPr>
              <w:pStyle w:val="0"/>
              <w:jc w:val="both"/>
            </w:pPr>
            <w:r>
              <w:rPr>
                <w:sz w:val="20"/>
              </w:rPr>
              <w:t xml:space="preserve">ФАП4, ВА3</w:t>
            </w:r>
          </w:p>
        </w:tc>
        <w:tc>
          <w:tcPr>
            <w:tcW w:w="1417" w:type="dxa"/>
          </w:tcPr>
          <w:p>
            <w:pPr>
              <w:pStyle w:val="0"/>
              <w:jc w:val="both"/>
            </w:pPr>
            <w:r>
              <w:rPr>
                <w:sz w:val="20"/>
              </w:rPr>
              <w:t xml:space="preserve">П2</w:t>
            </w:r>
          </w:p>
        </w:tc>
        <w:tc>
          <w:tcPr>
            <w:tcW w:w="1019" w:type="dxa"/>
          </w:tcPr>
          <w:p>
            <w:pPr>
              <w:pStyle w:val="0"/>
              <w:jc w:val="center"/>
            </w:pPr>
            <w:r>
              <w:rPr>
                <w:sz w:val="20"/>
              </w:rPr>
              <w:t xml:space="preserve">3</w:t>
            </w:r>
          </w:p>
        </w:tc>
        <w:tc>
          <w:tcPr>
            <w:tcW w:w="1019" w:type="dxa"/>
          </w:tcPr>
          <w:p>
            <w:pPr>
              <w:pStyle w:val="0"/>
              <w:jc w:val="center"/>
            </w:pPr>
            <w:r>
              <w:rPr>
                <w:sz w:val="20"/>
              </w:rPr>
              <w:t xml:space="preserve">5</w:t>
            </w:r>
          </w:p>
        </w:tc>
        <w:tc>
          <w:tcPr>
            <w:tcW w:w="1020" w:type="dxa"/>
          </w:tcPr>
          <w:p>
            <w:pPr>
              <w:pStyle w:val="0"/>
              <w:jc w:val="center"/>
            </w:pPr>
            <w:r>
              <w:rPr>
                <w:sz w:val="20"/>
              </w:rPr>
              <w:t xml:space="preserve">27</w:t>
            </w:r>
          </w:p>
        </w:tc>
      </w:tr>
      <w:tr>
        <w:tc>
          <w:tcPr>
            <w:tcW w:w="2405" w:type="dxa"/>
          </w:tcPr>
          <w:p>
            <w:pPr>
              <w:pStyle w:val="0"/>
              <w:jc w:val="both"/>
            </w:pPr>
            <w:r>
              <w:rPr>
                <w:sz w:val="20"/>
              </w:rPr>
              <w:t xml:space="preserve">село Родниковое (Балаклавский район города Севастополя)</w:t>
            </w:r>
          </w:p>
        </w:tc>
        <w:tc>
          <w:tcPr>
            <w:tcW w:w="925" w:type="dxa"/>
          </w:tcPr>
          <w:p>
            <w:pPr>
              <w:pStyle w:val="0"/>
              <w:jc w:val="center"/>
            </w:pPr>
            <w:r>
              <w:rPr>
                <w:sz w:val="20"/>
              </w:rPr>
              <w:t xml:space="preserve">436</w:t>
            </w:r>
          </w:p>
        </w:tc>
        <w:tc>
          <w:tcPr>
            <w:tcW w:w="925" w:type="dxa"/>
          </w:tcPr>
          <w:p>
            <w:pPr>
              <w:pStyle w:val="0"/>
              <w:jc w:val="center"/>
            </w:pPr>
            <w:r>
              <w:rPr>
                <w:sz w:val="20"/>
              </w:rPr>
              <w:t xml:space="preserve">444</w:t>
            </w:r>
          </w:p>
        </w:tc>
        <w:tc>
          <w:tcPr>
            <w:tcW w:w="925" w:type="dxa"/>
          </w:tcPr>
          <w:p>
            <w:pPr>
              <w:pStyle w:val="0"/>
              <w:jc w:val="center"/>
            </w:pPr>
            <w:r>
              <w:rPr>
                <w:sz w:val="20"/>
              </w:rPr>
              <w:t xml:space="preserve">115</w:t>
            </w:r>
          </w:p>
        </w:tc>
        <w:tc>
          <w:tcPr>
            <w:tcW w:w="926" w:type="dxa"/>
          </w:tcPr>
          <w:p>
            <w:pPr>
              <w:pStyle w:val="0"/>
              <w:jc w:val="center"/>
            </w:pPr>
            <w:r>
              <w:rPr>
                <w:sz w:val="20"/>
              </w:rPr>
              <w:t xml:space="preserve">117</w:t>
            </w:r>
          </w:p>
        </w:tc>
        <w:tc>
          <w:tcPr>
            <w:tcW w:w="1555" w:type="dxa"/>
          </w:tcPr>
          <w:p>
            <w:pPr>
              <w:pStyle w:val="0"/>
              <w:jc w:val="both"/>
            </w:pPr>
            <w:r>
              <w:rPr>
                <w:sz w:val="20"/>
              </w:rPr>
              <w:t xml:space="preserve">ФАП4</w:t>
            </w:r>
          </w:p>
        </w:tc>
        <w:tc>
          <w:tcPr>
            <w:tcW w:w="1417" w:type="dxa"/>
          </w:tcPr>
          <w:p>
            <w:pPr>
              <w:pStyle w:val="0"/>
              <w:jc w:val="both"/>
            </w:pPr>
            <w:r>
              <w:rPr>
                <w:sz w:val="20"/>
              </w:rPr>
              <w:t xml:space="preserve">ВА3</w:t>
            </w:r>
          </w:p>
        </w:tc>
        <w:tc>
          <w:tcPr>
            <w:tcW w:w="1417" w:type="dxa"/>
          </w:tcPr>
          <w:p>
            <w:pPr>
              <w:pStyle w:val="0"/>
              <w:jc w:val="both"/>
            </w:pPr>
            <w:r>
              <w:rPr>
                <w:sz w:val="20"/>
              </w:rPr>
              <w:t xml:space="preserve">П2</w:t>
            </w:r>
          </w:p>
        </w:tc>
        <w:tc>
          <w:tcPr>
            <w:tcW w:w="1019" w:type="dxa"/>
          </w:tcPr>
          <w:p>
            <w:pPr>
              <w:pStyle w:val="0"/>
              <w:jc w:val="center"/>
            </w:pPr>
            <w:r>
              <w:rPr>
                <w:sz w:val="20"/>
              </w:rPr>
              <w:t xml:space="preserve">0</w:t>
            </w:r>
          </w:p>
        </w:tc>
        <w:tc>
          <w:tcPr>
            <w:tcW w:w="1019" w:type="dxa"/>
          </w:tcPr>
          <w:p>
            <w:pPr>
              <w:pStyle w:val="0"/>
              <w:jc w:val="center"/>
            </w:pPr>
            <w:r>
              <w:rPr>
                <w:sz w:val="20"/>
              </w:rPr>
              <w:t xml:space="preserve">7</w:t>
            </w:r>
          </w:p>
        </w:tc>
        <w:tc>
          <w:tcPr>
            <w:tcW w:w="1020" w:type="dxa"/>
          </w:tcPr>
          <w:p>
            <w:pPr>
              <w:pStyle w:val="0"/>
              <w:jc w:val="center"/>
            </w:pPr>
            <w:r>
              <w:rPr>
                <w:sz w:val="20"/>
              </w:rPr>
              <w:t xml:space="preserve">30</w:t>
            </w:r>
          </w:p>
        </w:tc>
      </w:tr>
      <w:tr>
        <w:tc>
          <w:tcPr>
            <w:tcW w:w="2405" w:type="dxa"/>
          </w:tcPr>
          <w:p>
            <w:pPr>
              <w:pStyle w:val="0"/>
              <w:jc w:val="both"/>
            </w:pPr>
            <w:r>
              <w:rPr>
                <w:sz w:val="20"/>
              </w:rPr>
              <w:t xml:space="preserve">село Россошанка (Балаклавский район города Севастополя)</w:t>
            </w:r>
          </w:p>
        </w:tc>
        <w:tc>
          <w:tcPr>
            <w:tcW w:w="925" w:type="dxa"/>
          </w:tcPr>
          <w:p>
            <w:pPr>
              <w:pStyle w:val="0"/>
              <w:jc w:val="center"/>
            </w:pPr>
            <w:r>
              <w:rPr>
                <w:sz w:val="20"/>
              </w:rPr>
              <w:t xml:space="preserve">112</w:t>
            </w:r>
          </w:p>
        </w:tc>
        <w:tc>
          <w:tcPr>
            <w:tcW w:w="925" w:type="dxa"/>
          </w:tcPr>
          <w:p>
            <w:pPr>
              <w:pStyle w:val="0"/>
              <w:jc w:val="center"/>
            </w:pPr>
            <w:r>
              <w:rPr>
                <w:sz w:val="20"/>
              </w:rPr>
              <w:t xml:space="preserve">114</w:t>
            </w:r>
          </w:p>
        </w:tc>
        <w:tc>
          <w:tcPr>
            <w:tcW w:w="925" w:type="dxa"/>
          </w:tcPr>
          <w:p>
            <w:pPr>
              <w:pStyle w:val="0"/>
              <w:jc w:val="center"/>
            </w:pPr>
            <w:r>
              <w:rPr>
                <w:sz w:val="20"/>
              </w:rPr>
              <w:t xml:space="preserve">29</w:t>
            </w:r>
          </w:p>
        </w:tc>
        <w:tc>
          <w:tcPr>
            <w:tcW w:w="926" w:type="dxa"/>
          </w:tcPr>
          <w:p>
            <w:pPr>
              <w:pStyle w:val="0"/>
              <w:jc w:val="center"/>
            </w:pPr>
            <w:r>
              <w:rPr>
                <w:sz w:val="20"/>
              </w:rPr>
              <w:t xml:space="preserve">30</w:t>
            </w:r>
          </w:p>
        </w:tc>
        <w:tc>
          <w:tcPr>
            <w:tcW w:w="1555" w:type="dxa"/>
          </w:tcPr>
          <w:p>
            <w:pPr>
              <w:pStyle w:val="0"/>
              <w:jc w:val="both"/>
            </w:pPr>
            <w:r>
              <w:rPr>
                <w:sz w:val="20"/>
              </w:rPr>
            </w:r>
          </w:p>
        </w:tc>
        <w:tc>
          <w:tcPr>
            <w:tcW w:w="1417" w:type="dxa"/>
          </w:tcPr>
          <w:p>
            <w:pPr>
              <w:pStyle w:val="0"/>
              <w:jc w:val="both"/>
            </w:pPr>
            <w:r>
              <w:rPr>
                <w:sz w:val="20"/>
              </w:rPr>
              <w:t xml:space="preserve">ФАП4, ВА3</w:t>
            </w:r>
          </w:p>
        </w:tc>
        <w:tc>
          <w:tcPr>
            <w:tcW w:w="1417" w:type="dxa"/>
          </w:tcPr>
          <w:p>
            <w:pPr>
              <w:pStyle w:val="0"/>
              <w:jc w:val="both"/>
            </w:pPr>
            <w:r>
              <w:rPr>
                <w:sz w:val="20"/>
              </w:rPr>
              <w:t xml:space="preserve">П2</w:t>
            </w:r>
          </w:p>
        </w:tc>
        <w:tc>
          <w:tcPr>
            <w:tcW w:w="1019" w:type="dxa"/>
          </w:tcPr>
          <w:p>
            <w:pPr>
              <w:pStyle w:val="0"/>
              <w:jc w:val="center"/>
            </w:pPr>
            <w:r>
              <w:rPr>
                <w:sz w:val="20"/>
              </w:rPr>
              <w:t xml:space="preserve">2</w:t>
            </w:r>
          </w:p>
        </w:tc>
        <w:tc>
          <w:tcPr>
            <w:tcW w:w="1019" w:type="dxa"/>
          </w:tcPr>
          <w:p>
            <w:pPr>
              <w:pStyle w:val="0"/>
              <w:jc w:val="center"/>
            </w:pPr>
            <w:r>
              <w:rPr>
                <w:sz w:val="20"/>
              </w:rPr>
              <w:t xml:space="preserve">9</w:t>
            </w:r>
          </w:p>
        </w:tc>
        <w:tc>
          <w:tcPr>
            <w:tcW w:w="1020" w:type="dxa"/>
          </w:tcPr>
          <w:p>
            <w:pPr>
              <w:pStyle w:val="0"/>
              <w:jc w:val="center"/>
            </w:pPr>
            <w:r>
              <w:rPr>
                <w:sz w:val="20"/>
              </w:rPr>
              <w:t xml:space="preserve">32</w:t>
            </w:r>
          </w:p>
        </w:tc>
      </w:tr>
      <w:tr>
        <w:tc>
          <w:tcPr>
            <w:tcW w:w="2405" w:type="dxa"/>
          </w:tcPr>
          <w:p>
            <w:pPr>
              <w:pStyle w:val="0"/>
              <w:jc w:val="both"/>
            </w:pPr>
            <w:r>
              <w:rPr>
                <w:sz w:val="20"/>
              </w:rPr>
              <w:t xml:space="preserve">село Тыловое (Балаклавский район города Севастополя)</w:t>
            </w:r>
          </w:p>
        </w:tc>
        <w:tc>
          <w:tcPr>
            <w:tcW w:w="925" w:type="dxa"/>
          </w:tcPr>
          <w:p>
            <w:pPr>
              <w:pStyle w:val="0"/>
              <w:jc w:val="center"/>
            </w:pPr>
            <w:r>
              <w:rPr>
                <w:sz w:val="20"/>
              </w:rPr>
              <w:t xml:space="preserve">458</w:t>
            </w:r>
          </w:p>
        </w:tc>
        <w:tc>
          <w:tcPr>
            <w:tcW w:w="925" w:type="dxa"/>
          </w:tcPr>
          <w:p>
            <w:pPr>
              <w:pStyle w:val="0"/>
              <w:jc w:val="center"/>
            </w:pPr>
            <w:r>
              <w:rPr>
                <w:sz w:val="20"/>
              </w:rPr>
              <w:t xml:space="preserve">466</w:t>
            </w:r>
          </w:p>
        </w:tc>
        <w:tc>
          <w:tcPr>
            <w:tcW w:w="925" w:type="dxa"/>
          </w:tcPr>
          <w:p>
            <w:pPr>
              <w:pStyle w:val="0"/>
              <w:jc w:val="center"/>
            </w:pPr>
            <w:r>
              <w:rPr>
                <w:sz w:val="20"/>
              </w:rPr>
              <w:t xml:space="preserve">121</w:t>
            </w:r>
          </w:p>
        </w:tc>
        <w:tc>
          <w:tcPr>
            <w:tcW w:w="926" w:type="dxa"/>
          </w:tcPr>
          <w:p>
            <w:pPr>
              <w:pStyle w:val="0"/>
              <w:jc w:val="center"/>
            </w:pPr>
            <w:r>
              <w:rPr>
                <w:sz w:val="20"/>
              </w:rPr>
              <w:t xml:space="preserve">123</w:t>
            </w:r>
          </w:p>
        </w:tc>
        <w:tc>
          <w:tcPr>
            <w:tcW w:w="1555" w:type="dxa"/>
          </w:tcPr>
          <w:p>
            <w:pPr>
              <w:pStyle w:val="0"/>
              <w:jc w:val="both"/>
            </w:pPr>
            <w:r>
              <w:rPr>
                <w:sz w:val="20"/>
              </w:rPr>
              <w:t xml:space="preserve">ФАП5</w:t>
            </w:r>
          </w:p>
        </w:tc>
        <w:tc>
          <w:tcPr>
            <w:tcW w:w="1417" w:type="dxa"/>
          </w:tcPr>
          <w:p>
            <w:pPr>
              <w:pStyle w:val="0"/>
              <w:jc w:val="both"/>
            </w:pPr>
            <w:r>
              <w:rPr>
                <w:sz w:val="20"/>
              </w:rPr>
              <w:t xml:space="preserve">ВА3</w:t>
            </w:r>
          </w:p>
        </w:tc>
        <w:tc>
          <w:tcPr>
            <w:tcW w:w="1417" w:type="dxa"/>
          </w:tcPr>
          <w:p>
            <w:pPr>
              <w:pStyle w:val="0"/>
              <w:jc w:val="both"/>
            </w:pPr>
            <w:r>
              <w:rPr>
                <w:sz w:val="20"/>
              </w:rPr>
              <w:t xml:space="preserve">П2</w:t>
            </w:r>
          </w:p>
        </w:tc>
        <w:tc>
          <w:tcPr>
            <w:tcW w:w="1019" w:type="dxa"/>
          </w:tcPr>
          <w:p>
            <w:pPr>
              <w:pStyle w:val="0"/>
              <w:jc w:val="center"/>
            </w:pPr>
            <w:r>
              <w:rPr>
                <w:sz w:val="20"/>
              </w:rPr>
              <w:t xml:space="preserve">0</w:t>
            </w:r>
          </w:p>
        </w:tc>
        <w:tc>
          <w:tcPr>
            <w:tcW w:w="1019" w:type="dxa"/>
          </w:tcPr>
          <w:p>
            <w:pPr>
              <w:pStyle w:val="0"/>
              <w:jc w:val="center"/>
            </w:pPr>
            <w:r>
              <w:rPr>
                <w:sz w:val="20"/>
              </w:rPr>
              <w:t xml:space="preserve">4</w:t>
            </w:r>
          </w:p>
        </w:tc>
        <w:tc>
          <w:tcPr>
            <w:tcW w:w="1020" w:type="dxa"/>
          </w:tcPr>
          <w:p>
            <w:pPr>
              <w:pStyle w:val="0"/>
              <w:jc w:val="center"/>
            </w:pPr>
            <w:r>
              <w:rPr>
                <w:sz w:val="20"/>
              </w:rPr>
              <w:t xml:space="preserve">27</w:t>
            </w:r>
          </w:p>
        </w:tc>
      </w:tr>
      <w:tr>
        <w:tc>
          <w:tcPr>
            <w:tcW w:w="2405" w:type="dxa"/>
          </w:tcPr>
          <w:p>
            <w:pPr>
              <w:pStyle w:val="0"/>
              <w:jc w:val="both"/>
            </w:pPr>
            <w:r>
              <w:rPr>
                <w:sz w:val="20"/>
              </w:rPr>
              <w:t xml:space="preserve">село Широкое (Балаклавский район города Севастополя)</w:t>
            </w:r>
          </w:p>
        </w:tc>
        <w:tc>
          <w:tcPr>
            <w:tcW w:w="925" w:type="dxa"/>
          </w:tcPr>
          <w:p>
            <w:pPr>
              <w:pStyle w:val="0"/>
              <w:jc w:val="center"/>
            </w:pPr>
            <w:r>
              <w:rPr>
                <w:sz w:val="20"/>
              </w:rPr>
              <w:t xml:space="preserve">484</w:t>
            </w:r>
          </w:p>
        </w:tc>
        <w:tc>
          <w:tcPr>
            <w:tcW w:w="925" w:type="dxa"/>
          </w:tcPr>
          <w:p>
            <w:pPr>
              <w:pStyle w:val="0"/>
              <w:jc w:val="center"/>
            </w:pPr>
            <w:r>
              <w:rPr>
                <w:sz w:val="20"/>
              </w:rPr>
              <w:t xml:space="preserve">492</w:t>
            </w:r>
          </w:p>
        </w:tc>
        <w:tc>
          <w:tcPr>
            <w:tcW w:w="925" w:type="dxa"/>
          </w:tcPr>
          <w:p>
            <w:pPr>
              <w:pStyle w:val="0"/>
              <w:jc w:val="center"/>
            </w:pPr>
            <w:r>
              <w:rPr>
                <w:sz w:val="20"/>
              </w:rPr>
              <w:t xml:space="preserve">127</w:t>
            </w:r>
          </w:p>
        </w:tc>
        <w:tc>
          <w:tcPr>
            <w:tcW w:w="926" w:type="dxa"/>
          </w:tcPr>
          <w:p>
            <w:pPr>
              <w:pStyle w:val="0"/>
              <w:jc w:val="center"/>
            </w:pPr>
            <w:r>
              <w:rPr>
                <w:sz w:val="20"/>
              </w:rPr>
              <w:t xml:space="preserve">130</w:t>
            </w:r>
          </w:p>
        </w:tc>
        <w:tc>
          <w:tcPr>
            <w:tcW w:w="1555" w:type="dxa"/>
          </w:tcPr>
          <w:p>
            <w:pPr>
              <w:pStyle w:val="0"/>
              <w:jc w:val="both"/>
            </w:pPr>
            <w:r>
              <w:rPr>
                <w:sz w:val="20"/>
              </w:rPr>
              <w:t xml:space="preserve">ФАП6</w:t>
            </w:r>
          </w:p>
        </w:tc>
        <w:tc>
          <w:tcPr>
            <w:tcW w:w="1417" w:type="dxa"/>
          </w:tcPr>
          <w:p>
            <w:pPr>
              <w:pStyle w:val="0"/>
              <w:jc w:val="both"/>
            </w:pPr>
            <w:r>
              <w:rPr>
                <w:sz w:val="20"/>
              </w:rPr>
              <w:t xml:space="preserve">ВА3</w:t>
            </w:r>
          </w:p>
        </w:tc>
        <w:tc>
          <w:tcPr>
            <w:tcW w:w="1417" w:type="dxa"/>
          </w:tcPr>
          <w:p>
            <w:pPr>
              <w:pStyle w:val="0"/>
              <w:jc w:val="both"/>
            </w:pPr>
            <w:r>
              <w:rPr>
                <w:sz w:val="20"/>
              </w:rPr>
              <w:t xml:space="preserve">П2</w:t>
            </w:r>
          </w:p>
        </w:tc>
        <w:tc>
          <w:tcPr>
            <w:tcW w:w="1019" w:type="dxa"/>
          </w:tcPr>
          <w:p>
            <w:pPr>
              <w:pStyle w:val="0"/>
              <w:jc w:val="center"/>
            </w:pPr>
            <w:r>
              <w:rPr>
                <w:sz w:val="20"/>
              </w:rPr>
              <w:t xml:space="preserve">0</w:t>
            </w:r>
          </w:p>
        </w:tc>
        <w:tc>
          <w:tcPr>
            <w:tcW w:w="1019" w:type="dxa"/>
          </w:tcPr>
          <w:p>
            <w:pPr>
              <w:pStyle w:val="0"/>
              <w:jc w:val="center"/>
            </w:pPr>
            <w:r>
              <w:rPr>
                <w:sz w:val="20"/>
              </w:rPr>
              <w:t xml:space="preserve">5</w:t>
            </w:r>
          </w:p>
        </w:tc>
        <w:tc>
          <w:tcPr>
            <w:tcW w:w="1020" w:type="dxa"/>
          </w:tcPr>
          <w:p>
            <w:pPr>
              <w:pStyle w:val="0"/>
              <w:jc w:val="center"/>
            </w:pPr>
            <w:r>
              <w:rPr>
                <w:sz w:val="20"/>
              </w:rPr>
              <w:t xml:space="preserve">23</w:t>
            </w:r>
          </w:p>
        </w:tc>
      </w:tr>
      <w:tr>
        <w:tc>
          <w:tcPr>
            <w:tcW w:w="2405" w:type="dxa"/>
          </w:tcPr>
          <w:p>
            <w:pPr>
              <w:pStyle w:val="0"/>
              <w:jc w:val="both"/>
            </w:pPr>
            <w:r>
              <w:rPr>
                <w:sz w:val="20"/>
              </w:rPr>
              <w:t xml:space="preserve">село Гончарное (Балаклавский район города Севастополя)</w:t>
            </w:r>
          </w:p>
        </w:tc>
        <w:tc>
          <w:tcPr>
            <w:tcW w:w="925" w:type="dxa"/>
          </w:tcPr>
          <w:p>
            <w:pPr>
              <w:pStyle w:val="0"/>
              <w:jc w:val="center"/>
            </w:pPr>
            <w:r>
              <w:rPr>
                <w:sz w:val="20"/>
              </w:rPr>
              <w:t xml:space="preserve">461</w:t>
            </w:r>
          </w:p>
        </w:tc>
        <w:tc>
          <w:tcPr>
            <w:tcW w:w="925" w:type="dxa"/>
          </w:tcPr>
          <w:p>
            <w:pPr>
              <w:pStyle w:val="0"/>
              <w:jc w:val="center"/>
            </w:pPr>
            <w:r>
              <w:rPr>
                <w:sz w:val="20"/>
              </w:rPr>
              <w:t xml:space="preserve">469</w:t>
            </w:r>
          </w:p>
        </w:tc>
        <w:tc>
          <w:tcPr>
            <w:tcW w:w="925" w:type="dxa"/>
          </w:tcPr>
          <w:p>
            <w:pPr>
              <w:pStyle w:val="0"/>
              <w:jc w:val="center"/>
            </w:pPr>
            <w:r>
              <w:rPr>
                <w:sz w:val="20"/>
              </w:rPr>
              <w:t xml:space="preserve">122</w:t>
            </w:r>
          </w:p>
        </w:tc>
        <w:tc>
          <w:tcPr>
            <w:tcW w:w="926" w:type="dxa"/>
          </w:tcPr>
          <w:p>
            <w:pPr>
              <w:pStyle w:val="0"/>
              <w:jc w:val="center"/>
            </w:pPr>
            <w:r>
              <w:rPr>
                <w:sz w:val="20"/>
              </w:rPr>
              <w:t xml:space="preserve">124</w:t>
            </w:r>
          </w:p>
        </w:tc>
        <w:tc>
          <w:tcPr>
            <w:tcW w:w="1555" w:type="dxa"/>
          </w:tcPr>
          <w:p>
            <w:pPr>
              <w:pStyle w:val="0"/>
              <w:jc w:val="both"/>
            </w:pPr>
            <w:r>
              <w:rPr>
                <w:sz w:val="20"/>
              </w:rPr>
              <w:t xml:space="preserve">ФАП7</w:t>
            </w:r>
          </w:p>
        </w:tc>
        <w:tc>
          <w:tcPr>
            <w:tcW w:w="1417" w:type="dxa"/>
          </w:tcPr>
          <w:p>
            <w:pPr>
              <w:pStyle w:val="0"/>
              <w:jc w:val="both"/>
            </w:pPr>
            <w:r>
              <w:rPr>
                <w:sz w:val="20"/>
              </w:rPr>
              <w:t xml:space="preserve">ВА3</w:t>
            </w:r>
          </w:p>
        </w:tc>
        <w:tc>
          <w:tcPr>
            <w:tcW w:w="1417" w:type="dxa"/>
          </w:tcPr>
          <w:p>
            <w:pPr>
              <w:pStyle w:val="0"/>
              <w:jc w:val="both"/>
            </w:pPr>
            <w:r>
              <w:rPr>
                <w:sz w:val="20"/>
              </w:rPr>
              <w:t xml:space="preserve">П2</w:t>
            </w:r>
          </w:p>
        </w:tc>
        <w:tc>
          <w:tcPr>
            <w:tcW w:w="1019" w:type="dxa"/>
          </w:tcPr>
          <w:p>
            <w:pPr>
              <w:pStyle w:val="0"/>
              <w:jc w:val="center"/>
            </w:pPr>
            <w:r>
              <w:rPr>
                <w:sz w:val="20"/>
              </w:rPr>
              <w:t xml:space="preserve">0</w:t>
            </w:r>
          </w:p>
        </w:tc>
        <w:tc>
          <w:tcPr>
            <w:tcW w:w="1019" w:type="dxa"/>
          </w:tcPr>
          <w:p>
            <w:pPr>
              <w:pStyle w:val="0"/>
              <w:jc w:val="center"/>
            </w:pPr>
            <w:r>
              <w:rPr>
                <w:sz w:val="20"/>
              </w:rPr>
              <w:t xml:space="preserve">8</w:t>
            </w:r>
          </w:p>
        </w:tc>
        <w:tc>
          <w:tcPr>
            <w:tcW w:w="1020" w:type="dxa"/>
          </w:tcPr>
          <w:p>
            <w:pPr>
              <w:pStyle w:val="0"/>
              <w:jc w:val="center"/>
            </w:pPr>
            <w:r>
              <w:rPr>
                <w:sz w:val="20"/>
              </w:rPr>
              <w:t xml:space="preserve">16</w:t>
            </w:r>
          </w:p>
        </w:tc>
      </w:tr>
      <w:tr>
        <w:tc>
          <w:tcPr>
            <w:tcW w:w="2405" w:type="dxa"/>
          </w:tcPr>
          <w:p>
            <w:pPr>
              <w:pStyle w:val="0"/>
              <w:jc w:val="both"/>
            </w:pPr>
            <w:r>
              <w:rPr>
                <w:sz w:val="20"/>
              </w:rPr>
              <w:t xml:space="preserve">село Резервное (Балаклавский район города Севастополя)</w:t>
            </w:r>
          </w:p>
        </w:tc>
        <w:tc>
          <w:tcPr>
            <w:tcW w:w="925" w:type="dxa"/>
          </w:tcPr>
          <w:p>
            <w:pPr>
              <w:pStyle w:val="0"/>
              <w:jc w:val="center"/>
            </w:pPr>
            <w:r>
              <w:rPr>
                <w:sz w:val="20"/>
              </w:rPr>
              <w:t xml:space="preserve">163</w:t>
            </w:r>
          </w:p>
        </w:tc>
        <w:tc>
          <w:tcPr>
            <w:tcW w:w="925" w:type="dxa"/>
          </w:tcPr>
          <w:p>
            <w:pPr>
              <w:pStyle w:val="0"/>
              <w:jc w:val="center"/>
            </w:pPr>
            <w:r>
              <w:rPr>
                <w:sz w:val="20"/>
              </w:rPr>
              <w:t xml:space="preserve">166</w:t>
            </w:r>
          </w:p>
        </w:tc>
        <w:tc>
          <w:tcPr>
            <w:tcW w:w="925" w:type="dxa"/>
          </w:tcPr>
          <w:p>
            <w:pPr>
              <w:pStyle w:val="0"/>
              <w:jc w:val="center"/>
            </w:pPr>
            <w:r>
              <w:rPr>
                <w:sz w:val="20"/>
              </w:rPr>
              <w:t xml:space="preserve">43</w:t>
            </w:r>
          </w:p>
        </w:tc>
        <w:tc>
          <w:tcPr>
            <w:tcW w:w="926" w:type="dxa"/>
          </w:tcPr>
          <w:p>
            <w:pPr>
              <w:pStyle w:val="0"/>
              <w:jc w:val="center"/>
            </w:pPr>
            <w:r>
              <w:rPr>
                <w:sz w:val="20"/>
              </w:rPr>
              <w:t xml:space="preserve">44</w:t>
            </w:r>
          </w:p>
        </w:tc>
        <w:tc>
          <w:tcPr>
            <w:tcW w:w="1555" w:type="dxa"/>
          </w:tcPr>
          <w:p>
            <w:pPr>
              <w:pStyle w:val="0"/>
              <w:jc w:val="both"/>
            </w:pPr>
            <w:r>
              <w:rPr>
                <w:sz w:val="20"/>
              </w:rPr>
            </w:r>
          </w:p>
        </w:tc>
        <w:tc>
          <w:tcPr>
            <w:tcW w:w="1417" w:type="dxa"/>
          </w:tcPr>
          <w:p>
            <w:pPr>
              <w:pStyle w:val="0"/>
              <w:jc w:val="both"/>
            </w:pPr>
            <w:r>
              <w:rPr>
                <w:sz w:val="20"/>
              </w:rPr>
              <w:t xml:space="preserve">ФАП7, ВА3</w:t>
            </w:r>
          </w:p>
        </w:tc>
        <w:tc>
          <w:tcPr>
            <w:tcW w:w="1417" w:type="dxa"/>
          </w:tcPr>
          <w:p>
            <w:pPr>
              <w:pStyle w:val="0"/>
              <w:jc w:val="both"/>
            </w:pPr>
            <w:r>
              <w:rPr>
                <w:sz w:val="20"/>
              </w:rPr>
              <w:t xml:space="preserve">П2</w:t>
            </w:r>
          </w:p>
        </w:tc>
        <w:tc>
          <w:tcPr>
            <w:tcW w:w="1019" w:type="dxa"/>
          </w:tcPr>
          <w:p>
            <w:pPr>
              <w:pStyle w:val="0"/>
              <w:jc w:val="center"/>
            </w:pPr>
            <w:r>
              <w:rPr>
                <w:sz w:val="20"/>
              </w:rPr>
              <w:t xml:space="preserve">1</w:t>
            </w:r>
          </w:p>
        </w:tc>
        <w:tc>
          <w:tcPr>
            <w:tcW w:w="1019" w:type="dxa"/>
          </w:tcPr>
          <w:p>
            <w:pPr>
              <w:pStyle w:val="0"/>
              <w:jc w:val="center"/>
            </w:pPr>
            <w:r>
              <w:rPr>
                <w:sz w:val="20"/>
              </w:rPr>
              <w:t xml:space="preserve">9</w:t>
            </w:r>
          </w:p>
        </w:tc>
        <w:tc>
          <w:tcPr>
            <w:tcW w:w="1020" w:type="dxa"/>
          </w:tcPr>
          <w:p>
            <w:pPr>
              <w:pStyle w:val="0"/>
              <w:jc w:val="center"/>
            </w:pPr>
            <w:r>
              <w:rPr>
                <w:sz w:val="20"/>
              </w:rPr>
              <w:t xml:space="preserve">17</w:t>
            </w:r>
          </w:p>
        </w:tc>
      </w:tr>
      <w:tr>
        <w:tc>
          <w:tcPr>
            <w:tcW w:w="2405" w:type="dxa"/>
          </w:tcPr>
          <w:p>
            <w:pPr>
              <w:pStyle w:val="0"/>
              <w:jc w:val="both"/>
            </w:pPr>
            <w:r>
              <w:rPr>
                <w:sz w:val="20"/>
              </w:rPr>
              <w:t xml:space="preserve">село Терновка (Балаклавский район города Севастополя)</w:t>
            </w:r>
          </w:p>
        </w:tc>
        <w:tc>
          <w:tcPr>
            <w:tcW w:w="925" w:type="dxa"/>
          </w:tcPr>
          <w:p>
            <w:pPr>
              <w:pStyle w:val="0"/>
              <w:jc w:val="center"/>
            </w:pPr>
            <w:r>
              <w:rPr>
                <w:sz w:val="20"/>
              </w:rPr>
              <w:t xml:space="preserve">1429</w:t>
            </w:r>
          </w:p>
        </w:tc>
        <w:tc>
          <w:tcPr>
            <w:tcW w:w="925" w:type="dxa"/>
          </w:tcPr>
          <w:p>
            <w:pPr>
              <w:pStyle w:val="0"/>
              <w:jc w:val="center"/>
            </w:pPr>
            <w:r>
              <w:rPr>
                <w:sz w:val="20"/>
              </w:rPr>
              <w:t xml:space="preserve">1453</w:t>
            </w:r>
          </w:p>
        </w:tc>
        <w:tc>
          <w:tcPr>
            <w:tcW w:w="925" w:type="dxa"/>
          </w:tcPr>
          <w:p>
            <w:pPr>
              <w:pStyle w:val="0"/>
              <w:jc w:val="center"/>
            </w:pPr>
            <w:r>
              <w:rPr>
                <w:sz w:val="20"/>
              </w:rPr>
              <w:t xml:space="preserve">376</w:t>
            </w:r>
          </w:p>
        </w:tc>
        <w:tc>
          <w:tcPr>
            <w:tcW w:w="926" w:type="dxa"/>
          </w:tcPr>
          <w:p>
            <w:pPr>
              <w:pStyle w:val="0"/>
              <w:jc w:val="center"/>
            </w:pPr>
            <w:r>
              <w:rPr>
                <w:sz w:val="20"/>
              </w:rPr>
              <w:t xml:space="preserve">383</w:t>
            </w:r>
          </w:p>
        </w:tc>
        <w:tc>
          <w:tcPr>
            <w:tcW w:w="1555" w:type="dxa"/>
          </w:tcPr>
          <w:p>
            <w:pPr>
              <w:pStyle w:val="0"/>
              <w:jc w:val="both"/>
            </w:pPr>
            <w:r>
              <w:rPr>
                <w:sz w:val="20"/>
              </w:rPr>
              <w:t xml:space="preserve">ВА4</w:t>
            </w:r>
          </w:p>
        </w:tc>
        <w:tc>
          <w:tcPr>
            <w:tcW w:w="1417" w:type="dxa"/>
          </w:tcPr>
          <w:p>
            <w:pPr>
              <w:pStyle w:val="0"/>
              <w:jc w:val="both"/>
            </w:pPr>
            <w:r>
              <w:rPr>
                <w:sz w:val="20"/>
              </w:rPr>
              <w:t xml:space="preserve">ВА4</w:t>
            </w:r>
          </w:p>
        </w:tc>
        <w:tc>
          <w:tcPr>
            <w:tcW w:w="1417" w:type="dxa"/>
          </w:tcPr>
          <w:p>
            <w:pPr>
              <w:pStyle w:val="0"/>
              <w:jc w:val="both"/>
            </w:pPr>
            <w:r>
              <w:rPr>
                <w:sz w:val="20"/>
              </w:rPr>
              <w:t xml:space="preserve">П2</w:t>
            </w:r>
          </w:p>
        </w:tc>
        <w:tc>
          <w:tcPr>
            <w:tcW w:w="1019" w:type="dxa"/>
          </w:tcPr>
          <w:p>
            <w:pPr>
              <w:pStyle w:val="0"/>
              <w:jc w:val="center"/>
            </w:pPr>
            <w:r>
              <w:rPr>
                <w:sz w:val="20"/>
              </w:rPr>
              <w:t xml:space="preserve">x</w:t>
            </w:r>
          </w:p>
        </w:tc>
        <w:tc>
          <w:tcPr>
            <w:tcW w:w="1019" w:type="dxa"/>
          </w:tcPr>
          <w:p>
            <w:pPr>
              <w:pStyle w:val="0"/>
              <w:jc w:val="center"/>
            </w:pPr>
            <w:r>
              <w:rPr>
                <w:sz w:val="20"/>
              </w:rPr>
              <w:t xml:space="preserve">0</w:t>
            </w:r>
          </w:p>
        </w:tc>
        <w:tc>
          <w:tcPr>
            <w:tcW w:w="1020" w:type="dxa"/>
          </w:tcPr>
          <w:p>
            <w:pPr>
              <w:pStyle w:val="0"/>
              <w:jc w:val="center"/>
            </w:pPr>
            <w:r>
              <w:rPr>
                <w:sz w:val="20"/>
              </w:rPr>
              <w:t xml:space="preserve">18</w:t>
            </w:r>
          </w:p>
        </w:tc>
      </w:tr>
      <w:tr>
        <w:tc>
          <w:tcPr>
            <w:tcW w:w="2405" w:type="dxa"/>
          </w:tcPr>
          <w:p>
            <w:pPr>
              <w:pStyle w:val="0"/>
              <w:jc w:val="both"/>
            </w:pPr>
            <w:r>
              <w:rPr>
                <w:sz w:val="20"/>
              </w:rPr>
              <w:t xml:space="preserve">село Родное (Балаклавский район города Севастополя)</w:t>
            </w:r>
          </w:p>
        </w:tc>
        <w:tc>
          <w:tcPr>
            <w:tcW w:w="925" w:type="dxa"/>
          </w:tcPr>
          <w:p>
            <w:pPr>
              <w:pStyle w:val="0"/>
              <w:jc w:val="center"/>
            </w:pPr>
            <w:r>
              <w:rPr>
                <w:sz w:val="20"/>
              </w:rPr>
              <w:t xml:space="preserve">561</w:t>
            </w:r>
          </w:p>
        </w:tc>
        <w:tc>
          <w:tcPr>
            <w:tcW w:w="925" w:type="dxa"/>
          </w:tcPr>
          <w:p>
            <w:pPr>
              <w:pStyle w:val="0"/>
              <w:jc w:val="center"/>
            </w:pPr>
            <w:r>
              <w:rPr>
                <w:sz w:val="20"/>
              </w:rPr>
              <w:t xml:space="preserve">571</w:t>
            </w:r>
          </w:p>
        </w:tc>
        <w:tc>
          <w:tcPr>
            <w:tcW w:w="925" w:type="dxa"/>
          </w:tcPr>
          <w:p>
            <w:pPr>
              <w:pStyle w:val="0"/>
              <w:jc w:val="center"/>
            </w:pPr>
            <w:r>
              <w:rPr>
                <w:sz w:val="20"/>
              </w:rPr>
              <w:t xml:space="preserve">148</w:t>
            </w:r>
          </w:p>
        </w:tc>
        <w:tc>
          <w:tcPr>
            <w:tcW w:w="926" w:type="dxa"/>
          </w:tcPr>
          <w:p>
            <w:pPr>
              <w:pStyle w:val="0"/>
              <w:jc w:val="center"/>
            </w:pPr>
            <w:r>
              <w:rPr>
                <w:sz w:val="20"/>
              </w:rPr>
              <w:t xml:space="preserve">150</w:t>
            </w:r>
          </w:p>
        </w:tc>
        <w:tc>
          <w:tcPr>
            <w:tcW w:w="1555" w:type="dxa"/>
          </w:tcPr>
          <w:p>
            <w:pPr>
              <w:pStyle w:val="0"/>
              <w:jc w:val="both"/>
            </w:pPr>
            <w:r>
              <w:rPr>
                <w:sz w:val="20"/>
              </w:rPr>
              <w:t xml:space="preserve">ФАП8</w:t>
            </w:r>
          </w:p>
        </w:tc>
        <w:tc>
          <w:tcPr>
            <w:tcW w:w="1417" w:type="dxa"/>
          </w:tcPr>
          <w:p>
            <w:pPr>
              <w:pStyle w:val="0"/>
              <w:jc w:val="both"/>
            </w:pPr>
            <w:r>
              <w:rPr>
                <w:sz w:val="20"/>
              </w:rPr>
              <w:t xml:space="preserve">ВА4</w:t>
            </w:r>
          </w:p>
        </w:tc>
        <w:tc>
          <w:tcPr>
            <w:tcW w:w="1417" w:type="dxa"/>
          </w:tcPr>
          <w:p>
            <w:pPr>
              <w:pStyle w:val="0"/>
              <w:jc w:val="both"/>
            </w:pPr>
            <w:r>
              <w:rPr>
                <w:sz w:val="20"/>
              </w:rPr>
              <w:t xml:space="preserve">П2</w:t>
            </w:r>
          </w:p>
        </w:tc>
        <w:tc>
          <w:tcPr>
            <w:tcW w:w="1019" w:type="dxa"/>
          </w:tcPr>
          <w:p>
            <w:pPr>
              <w:pStyle w:val="0"/>
              <w:jc w:val="center"/>
            </w:pPr>
            <w:r>
              <w:rPr>
                <w:sz w:val="20"/>
              </w:rPr>
              <w:t xml:space="preserve">0</w:t>
            </w:r>
          </w:p>
        </w:tc>
        <w:tc>
          <w:tcPr>
            <w:tcW w:w="1019" w:type="dxa"/>
          </w:tcPr>
          <w:p>
            <w:pPr>
              <w:pStyle w:val="0"/>
              <w:jc w:val="center"/>
            </w:pPr>
            <w:r>
              <w:rPr>
                <w:sz w:val="20"/>
              </w:rPr>
              <w:t xml:space="preserve">5</w:t>
            </w:r>
          </w:p>
        </w:tc>
        <w:tc>
          <w:tcPr>
            <w:tcW w:w="1020" w:type="dxa"/>
          </w:tcPr>
          <w:p>
            <w:pPr>
              <w:pStyle w:val="0"/>
              <w:jc w:val="center"/>
            </w:pPr>
            <w:r>
              <w:rPr>
                <w:sz w:val="20"/>
              </w:rPr>
              <w:t xml:space="preserve">18</w:t>
            </w:r>
          </w:p>
        </w:tc>
      </w:tr>
      <w:tr>
        <w:tc>
          <w:tcPr>
            <w:tcW w:w="2405" w:type="dxa"/>
          </w:tcPr>
          <w:p>
            <w:pPr>
              <w:pStyle w:val="0"/>
              <w:jc w:val="both"/>
            </w:pPr>
            <w:r>
              <w:rPr>
                <w:sz w:val="20"/>
              </w:rPr>
              <w:t xml:space="preserve">село Штурмовое (Балаклавский район города Севастополя)</w:t>
            </w:r>
          </w:p>
        </w:tc>
        <w:tc>
          <w:tcPr>
            <w:tcW w:w="925" w:type="dxa"/>
          </w:tcPr>
          <w:p>
            <w:pPr>
              <w:pStyle w:val="0"/>
              <w:jc w:val="center"/>
            </w:pPr>
            <w:r>
              <w:rPr>
                <w:sz w:val="20"/>
              </w:rPr>
              <w:t xml:space="preserve">1240</w:t>
            </w:r>
          </w:p>
        </w:tc>
        <w:tc>
          <w:tcPr>
            <w:tcW w:w="925" w:type="dxa"/>
          </w:tcPr>
          <w:p>
            <w:pPr>
              <w:pStyle w:val="0"/>
              <w:jc w:val="center"/>
            </w:pPr>
            <w:r>
              <w:rPr>
                <w:sz w:val="20"/>
              </w:rPr>
              <w:t xml:space="preserve">1262</w:t>
            </w:r>
          </w:p>
        </w:tc>
        <w:tc>
          <w:tcPr>
            <w:tcW w:w="925" w:type="dxa"/>
          </w:tcPr>
          <w:p>
            <w:pPr>
              <w:pStyle w:val="0"/>
              <w:jc w:val="center"/>
            </w:pPr>
            <w:r>
              <w:rPr>
                <w:sz w:val="20"/>
              </w:rPr>
              <w:t xml:space="preserve">327</w:t>
            </w:r>
          </w:p>
        </w:tc>
        <w:tc>
          <w:tcPr>
            <w:tcW w:w="926" w:type="dxa"/>
          </w:tcPr>
          <w:p>
            <w:pPr>
              <w:pStyle w:val="0"/>
              <w:jc w:val="center"/>
            </w:pPr>
            <w:r>
              <w:rPr>
                <w:sz w:val="20"/>
              </w:rPr>
              <w:t xml:space="preserve">332</w:t>
            </w:r>
          </w:p>
        </w:tc>
        <w:tc>
          <w:tcPr>
            <w:tcW w:w="1555" w:type="dxa"/>
          </w:tcPr>
          <w:p>
            <w:pPr>
              <w:pStyle w:val="0"/>
              <w:jc w:val="both"/>
            </w:pPr>
            <w:r>
              <w:rPr>
                <w:sz w:val="20"/>
              </w:rPr>
            </w:r>
          </w:p>
        </w:tc>
        <w:tc>
          <w:tcPr>
            <w:tcW w:w="1417" w:type="dxa"/>
          </w:tcPr>
          <w:p>
            <w:pPr>
              <w:pStyle w:val="0"/>
              <w:jc w:val="both"/>
            </w:pPr>
            <w:r>
              <w:rPr>
                <w:sz w:val="20"/>
              </w:rPr>
              <w:t xml:space="preserve">ВА2</w:t>
            </w:r>
          </w:p>
        </w:tc>
        <w:tc>
          <w:tcPr>
            <w:tcW w:w="1417" w:type="dxa"/>
          </w:tcPr>
          <w:p>
            <w:pPr>
              <w:pStyle w:val="0"/>
              <w:jc w:val="both"/>
            </w:pPr>
            <w:r>
              <w:rPr>
                <w:sz w:val="20"/>
              </w:rPr>
              <w:t xml:space="preserve">П3</w:t>
            </w:r>
          </w:p>
        </w:tc>
        <w:tc>
          <w:tcPr>
            <w:tcW w:w="1019" w:type="dxa"/>
          </w:tcPr>
          <w:p>
            <w:pPr>
              <w:pStyle w:val="0"/>
              <w:jc w:val="center"/>
            </w:pPr>
            <w:r>
              <w:rPr>
                <w:sz w:val="20"/>
              </w:rPr>
              <w:t xml:space="preserve">0</w:t>
            </w:r>
          </w:p>
        </w:tc>
        <w:tc>
          <w:tcPr>
            <w:tcW w:w="1019" w:type="dxa"/>
          </w:tcPr>
          <w:p>
            <w:pPr>
              <w:pStyle w:val="0"/>
              <w:jc w:val="center"/>
            </w:pPr>
            <w:r>
              <w:rPr>
                <w:sz w:val="20"/>
              </w:rPr>
              <w:t xml:space="preserve">2</w:t>
            </w:r>
          </w:p>
        </w:tc>
        <w:tc>
          <w:tcPr>
            <w:tcW w:w="1020" w:type="dxa"/>
          </w:tcPr>
          <w:p>
            <w:pPr>
              <w:pStyle w:val="0"/>
              <w:jc w:val="center"/>
            </w:pPr>
            <w:r>
              <w:rPr>
                <w:sz w:val="20"/>
              </w:rPr>
              <w:t xml:space="preserve">5</w:t>
            </w:r>
          </w:p>
        </w:tc>
      </w:tr>
      <w:tr>
        <w:tc>
          <w:tcPr>
            <w:tcW w:w="2405" w:type="dxa"/>
          </w:tcPr>
          <w:p>
            <w:pPr>
              <w:pStyle w:val="0"/>
              <w:jc w:val="both"/>
            </w:pPr>
            <w:r>
              <w:rPr>
                <w:sz w:val="20"/>
              </w:rPr>
              <w:t xml:space="preserve">село Верхнесадовое (Нахимовский район города Севастополя)</w:t>
            </w:r>
          </w:p>
        </w:tc>
        <w:tc>
          <w:tcPr>
            <w:tcW w:w="925" w:type="dxa"/>
          </w:tcPr>
          <w:p>
            <w:pPr>
              <w:pStyle w:val="0"/>
              <w:jc w:val="center"/>
            </w:pPr>
            <w:r>
              <w:rPr>
                <w:sz w:val="20"/>
              </w:rPr>
              <w:t xml:space="preserve">1972</w:t>
            </w:r>
          </w:p>
        </w:tc>
        <w:tc>
          <w:tcPr>
            <w:tcW w:w="925" w:type="dxa"/>
          </w:tcPr>
          <w:p>
            <w:pPr>
              <w:pStyle w:val="0"/>
              <w:jc w:val="center"/>
            </w:pPr>
            <w:r>
              <w:rPr>
                <w:sz w:val="20"/>
              </w:rPr>
              <w:t xml:space="preserve">2006</w:t>
            </w:r>
          </w:p>
        </w:tc>
        <w:tc>
          <w:tcPr>
            <w:tcW w:w="925" w:type="dxa"/>
          </w:tcPr>
          <w:p>
            <w:pPr>
              <w:pStyle w:val="0"/>
              <w:jc w:val="center"/>
            </w:pPr>
            <w:r>
              <w:rPr>
                <w:sz w:val="20"/>
              </w:rPr>
              <w:t xml:space="preserve">520</w:t>
            </w:r>
          </w:p>
        </w:tc>
        <w:tc>
          <w:tcPr>
            <w:tcW w:w="926" w:type="dxa"/>
          </w:tcPr>
          <w:p>
            <w:pPr>
              <w:pStyle w:val="0"/>
              <w:jc w:val="center"/>
            </w:pPr>
            <w:r>
              <w:rPr>
                <w:sz w:val="20"/>
              </w:rPr>
              <w:t xml:space="preserve">529</w:t>
            </w:r>
          </w:p>
        </w:tc>
        <w:tc>
          <w:tcPr>
            <w:tcW w:w="1555" w:type="dxa"/>
          </w:tcPr>
          <w:p>
            <w:pPr>
              <w:pStyle w:val="0"/>
              <w:jc w:val="both"/>
            </w:pPr>
            <w:r>
              <w:rPr>
                <w:sz w:val="20"/>
              </w:rPr>
              <w:t xml:space="preserve">ВА5</w:t>
            </w:r>
          </w:p>
        </w:tc>
        <w:tc>
          <w:tcPr>
            <w:tcW w:w="1417" w:type="dxa"/>
          </w:tcPr>
          <w:p>
            <w:pPr>
              <w:pStyle w:val="0"/>
              <w:jc w:val="both"/>
            </w:pPr>
            <w:r>
              <w:rPr>
                <w:sz w:val="20"/>
              </w:rPr>
              <w:t xml:space="preserve">ВА5</w:t>
            </w:r>
          </w:p>
        </w:tc>
        <w:tc>
          <w:tcPr>
            <w:tcW w:w="1417" w:type="dxa"/>
          </w:tcPr>
          <w:p>
            <w:pPr>
              <w:pStyle w:val="0"/>
              <w:jc w:val="both"/>
            </w:pPr>
            <w:r>
              <w:rPr>
                <w:sz w:val="20"/>
              </w:rPr>
              <w:t xml:space="preserve">П1</w:t>
            </w:r>
          </w:p>
        </w:tc>
        <w:tc>
          <w:tcPr>
            <w:tcW w:w="1019" w:type="dxa"/>
          </w:tcPr>
          <w:p>
            <w:pPr>
              <w:pStyle w:val="0"/>
              <w:jc w:val="center"/>
            </w:pPr>
            <w:r>
              <w:rPr>
                <w:sz w:val="20"/>
              </w:rPr>
              <w:t xml:space="preserve">x</w:t>
            </w:r>
          </w:p>
        </w:tc>
        <w:tc>
          <w:tcPr>
            <w:tcW w:w="1019" w:type="dxa"/>
          </w:tcPr>
          <w:p>
            <w:pPr>
              <w:pStyle w:val="0"/>
              <w:jc w:val="center"/>
            </w:pPr>
            <w:r>
              <w:rPr>
                <w:sz w:val="20"/>
              </w:rPr>
              <w:t xml:space="preserve">0</w:t>
            </w:r>
          </w:p>
        </w:tc>
        <w:tc>
          <w:tcPr>
            <w:tcW w:w="1020" w:type="dxa"/>
          </w:tcPr>
          <w:p>
            <w:pPr>
              <w:pStyle w:val="0"/>
              <w:jc w:val="center"/>
            </w:pPr>
            <w:r>
              <w:rPr>
                <w:sz w:val="20"/>
              </w:rPr>
              <w:t xml:space="preserve">20</w:t>
            </w:r>
          </w:p>
        </w:tc>
      </w:tr>
      <w:tr>
        <w:tc>
          <w:tcPr>
            <w:tcW w:w="2405" w:type="dxa"/>
          </w:tcPr>
          <w:p>
            <w:pPr>
              <w:pStyle w:val="0"/>
              <w:jc w:val="both"/>
            </w:pPr>
            <w:r>
              <w:rPr>
                <w:sz w:val="20"/>
              </w:rPr>
              <w:t xml:space="preserve">село Дальнее (Нахимовский район города Севастополя)</w:t>
            </w:r>
          </w:p>
        </w:tc>
        <w:tc>
          <w:tcPr>
            <w:tcW w:w="925" w:type="dxa"/>
          </w:tcPr>
          <w:p>
            <w:pPr>
              <w:pStyle w:val="0"/>
              <w:jc w:val="center"/>
            </w:pPr>
            <w:r>
              <w:rPr>
                <w:sz w:val="20"/>
              </w:rPr>
              <w:t xml:space="preserve">412</w:t>
            </w:r>
          </w:p>
        </w:tc>
        <w:tc>
          <w:tcPr>
            <w:tcW w:w="925" w:type="dxa"/>
          </w:tcPr>
          <w:p>
            <w:pPr>
              <w:pStyle w:val="0"/>
              <w:jc w:val="center"/>
            </w:pPr>
            <w:r>
              <w:rPr>
                <w:sz w:val="20"/>
              </w:rPr>
              <w:t xml:space="preserve">419</w:t>
            </w:r>
          </w:p>
        </w:tc>
        <w:tc>
          <w:tcPr>
            <w:tcW w:w="925" w:type="dxa"/>
          </w:tcPr>
          <w:p>
            <w:pPr>
              <w:pStyle w:val="0"/>
              <w:jc w:val="center"/>
            </w:pPr>
            <w:r>
              <w:rPr>
                <w:sz w:val="20"/>
              </w:rPr>
              <w:t xml:space="preserve">108</w:t>
            </w:r>
          </w:p>
        </w:tc>
        <w:tc>
          <w:tcPr>
            <w:tcW w:w="926" w:type="dxa"/>
          </w:tcPr>
          <w:p>
            <w:pPr>
              <w:pStyle w:val="0"/>
              <w:jc w:val="center"/>
            </w:pPr>
            <w:r>
              <w:rPr>
                <w:sz w:val="20"/>
              </w:rPr>
              <w:t xml:space="preserve">110</w:t>
            </w:r>
          </w:p>
        </w:tc>
        <w:tc>
          <w:tcPr>
            <w:tcW w:w="1555" w:type="dxa"/>
          </w:tcPr>
          <w:p>
            <w:pPr>
              <w:pStyle w:val="0"/>
              <w:jc w:val="both"/>
            </w:pPr>
            <w:r>
              <w:rPr>
                <w:sz w:val="20"/>
              </w:rPr>
              <w:t xml:space="preserve">ФАП9</w:t>
            </w:r>
          </w:p>
        </w:tc>
        <w:tc>
          <w:tcPr>
            <w:tcW w:w="1417" w:type="dxa"/>
          </w:tcPr>
          <w:p>
            <w:pPr>
              <w:pStyle w:val="0"/>
              <w:jc w:val="both"/>
            </w:pPr>
            <w:r>
              <w:rPr>
                <w:sz w:val="20"/>
              </w:rPr>
              <w:t xml:space="preserve">ВА5</w:t>
            </w:r>
          </w:p>
        </w:tc>
        <w:tc>
          <w:tcPr>
            <w:tcW w:w="1417" w:type="dxa"/>
          </w:tcPr>
          <w:p>
            <w:pPr>
              <w:pStyle w:val="0"/>
              <w:jc w:val="both"/>
            </w:pPr>
            <w:r>
              <w:rPr>
                <w:sz w:val="20"/>
              </w:rPr>
              <w:t xml:space="preserve">П1</w:t>
            </w:r>
          </w:p>
        </w:tc>
        <w:tc>
          <w:tcPr>
            <w:tcW w:w="1019" w:type="dxa"/>
          </w:tcPr>
          <w:p>
            <w:pPr>
              <w:pStyle w:val="0"/>
              <w:jc w:val="center"/>
            </w:pPr>
            <w:r>
              <w:rPr>
                <w:sz w:val="20"/>
              </w:rPr>
              <w:t xml:space="preserve">0</w:t>
            </w:r>
          </w:p>
        </w:tc>
        <w:tc>
          <w:tcPr>
            <w:tcW w:w="1019" w:type="dxa"/>
          </w:tcPr>
          <w:p>
            <w:pPr>
              <w:pStyle w:val="0"/>
              <w:jc w:val="center"/>
            </w:pPr>
            <w:r>
              <w:rPr>
                <w:sz w:val="20"/>
              </w:rPr>
              <w:t xml:space="preserve">7</w:t>
            </w:r>
          </w:p>
        </w:tc>
        <w:tc>
          <w:tcPr>
            <w:tcW w:w="1020" w:type="dxa"/>
          </w:tcPr>
          <w:p>
            <w:pPr>
              <w:pStyle w:val="0"/>
              <w:jc w:val="center"/>
            </w:pPr>
            <w:r>
              <w:rPr>
                <w:sz w:val="20"/>
              </w:rPr>
              <w:t xml:space="preserve">13</w:t>
            </w:r>
          </w:p>
        </w:tc>
      </w:tr>
      <w:tr>
        <w:tc>
          <w:tcPr>
            <w:tcW w:w="2405" w:type="dxa"/>
          </w:tcPr>
          <w:p>
            <w:pPr>
              <w:pStyle w:val="0"/>
              <w:jc w:val="both"/>
            </w:pPr>
            <w:r>
              <w:rPr>
                <w:sz w:val="20"/>
              </w:rPr>
              <w:t xml:space="preserve">село Камышлы (Нахимовский район города Севастополя)</w:t>
            </w:r>
          </w:p>
        </w:tc>
        <w:tc>
          <w:tcPr>
            <w:tcW w:w="925" w:type="dxa"/>
          </w:tcPr>
          <w:p>
            <w:pPr>
              <w:pStyle w:val="0"/>
              <w:jc w:val="center"/>
            </w:pPr>
            <w:r>
              <w:rPr>
                <w:sz w:val="20"/>
              </w:rPr>
              <w:t xml:space="preserve">47</w:t>
            </w:r>
          </w:p>
        </w:tc>
        <w:tc>
          <w:tcPr>
            <w:tcW w:w="925" w:type="dxa"/>
          </w:tcPr>
          <w:p>
            <w:pPr>
              <w:pStyle w:val="0"/>
              <w:jc w:val="center"/>
            </w:pPr>
            <w:r>
              <w:rPr>
                <w:sz w:val="20"/>
              </w:rPr>
              <w:t xml:space="preserve">48</w:t>
            </w:r>
          </w:p>
        </w:tc>
        <w:tc>
          <w:tcPr>
            <w:tcW w:w="925" w:type="dxa"/>
          </w:tcPr>
          <w:p>
            <w:pPr>
              <w:pStyle w:val="0"/>
              <w:jc w:val="center"/>
            </w:pPr>
            <w:r>
              <w:rPr>
                <w:sz w:val="20"/>
              </w:rPr>
              <w:t xml:space="preserve">12</w:t>
            </w:r>
          </w:p>
        </w:tc>
        <w:tc>
          <w:tcPr>
            <w:tcW w:w="926" w:type="dxa"/>
          </w:tcPr>
          <w:p>
            <w:pPr>
              <w:pStyle w:val="0"/>
              <w:jc w:val="center"/>
            </w:pPr>
            <w:r>
              <w:rPr>
                <w:sz w:val="20"/>
              </w:rPr>
              <w:t xml:space="preserve">13</w:t>
            </w:r>
          </w:p>
        </w:tc>
        <w:tc>
          <w:tcPr>
            <w:tcW w:w="1555" w:type="dxa"/>
          </w:tcPr>
          <w:p>
            <w:pPr>
              <w:pStyle w:val="0"/>
              <w:jc w:val="both"/>
            </w:pPr>
            <w:r>
              <w:rPr>
                <w:sz w:val="20"/>
              </w:rPr>
            </w:r>
          </w:p>
        </w:tc>
        <w:tc>
          <w:tcPr>
            <w:tcW w:w="1417" w:type="dxa"/>
          </w:tcPr>
          <w:p>
            <w:pPr>
              <w:pStyle w:val="0"/>
              <w:jc w:val="both"/>
            </w:pPr>
            <w:r>
              <w:rPr>
                <w:sz w:val="20"/>
              </w:rPr>
              <w:t xml:space="preserve">ФАП9, ВА5</w:t>
            </w:r>
          </w:p>
        </w:tc>
        <w:tc>
          <w:tcPr>
            <w:tcW w:w="1417" w:type="dxa"/>
          </w:tcPr>
          <w:p>
            <w:pPr>
              <w:pStyle w:val="0"/>
              <w:jc w:val="both"/>
            </w:pPr>
            <w:r>
              <w:rPr>
                <w:sz w:val="20"/>
              </w:rPr>
              <w:t xml:space="preserve">П1</w:t>
            </w:r>
          </w:p>
        </w:tc>
        <w:tc>
          <w:tcPr>
            <w:tcW w:w="1019" w:type="dxa"/>
          </w:tcPr>
          <w:p>
            <w:pPr>
              <w:pStyle w:val="0"/>
              <w:jc w:val="center"/>
            </w:pPr>
            <w:r>
              <w:rPr>
                <w:sz w:val="20"/>
              </w:rPr>
              <w:t xml:space="preserve">2</w:t>
            </w:r>
          </w:p>
        </w:tc>
        <w:tc>
          <w:tcPr>
            <w:tcW w:w="1019" w:type="dxa"/>
          </w:tcPr>
          <w:p>
            <w:pPr>
              <w:pStyle w:val="0"/>
              <w:jc w:val="center"/>
            </w:pPr>
            <w:r>
              <w:rPr>
                <w:sz w:val="20"/>
              </w:rPr>
              <w:t xml:space="preserve">9</w:t>
            </w:r>
          </w:p>
        </w:tc>
        <w:tc>
          <w:tcPr>
            <w:tcW w:w="1020" w:type="dxa"/>
          </w:tcPr>
          <w:p>
            <w:pPr>
              <w:pStyle w:val="0"/>
              <w:jc w:val="center"/>
            </w:pPr>
            <w:r>
              <w:rPr>
                <w:sz w:val="20"/>
              </w:rPr>
              <w:t xml:space="preserve">15</w:t>
            </w:r>
          </w:p>
        </w:tc>
      </w:tr>
      <w:tr>
        <w:tc>
          <w:tcPr>
            <w:tcW w:w="2405" w:type="dxa"/>
          </w:tcPr>
          <w:p>
            <w:pPr>
              <w:pStyle w:val="0"/>
              <w:jc w:val="both"/>
            </w:pPr>
            <w:r>
              <w:rPr>
                <w:sz w:val="20"/>
              </w:rPr>
              <w:t xml:space="preserve">село Пироговка (Нахимовский район города Севастополя)</w:t>
            </w:r>
          </w:p>
        </w:tc>
        <w:tc>
          <w:tcPr>
            <w:tcW w:w="925" w:type="dxa"/>
          </w:tcPr>
          <w:p>
            <w:pPr>
              <w:pStyle w:val="0"/>
              <w:jc w:val="center"/>
            </w:pPr>
            <w:r>
              <w:rPr>
                <w:sz w:val="20"/>
              </w:rPr>
              <w:t xml:space="preserve">256</w:t>
            </w:r>
          </w:p>
        </w:tc>
        <w:tc>
          <w:tcPr>
            <w:tcW w:w="925" w:type="dxa"/>
          </w:tcPr>
          <w:p>
            <w:pPr>
              <w:pStyle w:val="0"/>
              <w:jc w:val="center"/>
            </w:pPr>
            <w:r>
              <w:rPr>
                <w:sz w:val="20"/>
              </w:rPr>
              <w:t xml:space="preserve">260</w:t>
            </w:r>
          </w:p>
        </w:tc>
        <w:tc>
          <w:tcPr>
            <w:tcW w:w="925" w:type="dxa"/>
          </w:tcPr>
          <w:p>
            <w:pPr>
              <w:pStyle w:val="0"/>
              <w:jc w:val="center"/>
            </w:pPr>
            <w:r>
              <w:rPr>
                <w:sz w:val="20"/>
              </w:rPr>
              <w:t xml:space="preserve">67</w:t>
            </w:r>
          </w:p>
        </w:tc>
        <w:tc>
          <w:tcPr>
            <w:tcW w:w="926" w:type="dxa"/>
          </w:tcPr>
          <w:p>
            <w:pPr>
              <w:pStyle w:val="0"/>
              <w:jc w:val="center"/>
            </w:pPr>
            <w:r>
              <w:rPr>
                <w:sz w:val="20"/>
              </w:rPr>
              <w:t xml:space="preserve">69</w:t>
            </w:r>
          </w:p>
        </w:tc>
        <w:tc>
          <w:tcPr>
            <w:tcW w:w="1555" w:type="dxa"/>
          </w:tcPr>
          <w:p>
            <w:pPr>
              <w:pStyle w:val="0"/>
              <w:jc w:val="both"/>
            </w:pPr>
            <w:r>
              <w:rPr>
                <w:sz w:val="20"/>
              </w:rPr>
            </w:r>
          </w:p>
        </w:tc>
        <w:tc>
          <w:tcPr>
            <w:tcW w:w="1417" w:type="dxa"/>
          </w:tcPr>
          <w:p>
            <w:pPr>
              <w:pStyle w:val="0"/>
              <w:jc w:val="both"/>
            </w:pPr>
            <w:r>
              <w:rPr>
                <w:sz w:val="20"/>
              </w:rPr>
              <w:t xml:space="preserve">ВА5</w:t>
            </w:r>
          </w:p>
        </w:tc>
        <w:tc>
          <w:tcPr>
            <w:tcW w:w="1417" w:type="dxa"/>
          </w:tcPr>
          <w:p>
            <w:pPr>
              <w:pStyle w:val="0"/>
              <w:jc w:val="both"/>
            </w:pPr>
            <w:r>
              <w:rPr>
                <w:sz w:val="20"/>
              </w:rPr>
              <w:t xml:space="preserve">П1</w:t>
            </w:r>
          </w:p>
        </w:tc>
        <w:tc>
          <w:tcPr>
            <w:tcW w:w="1019" w:type="dxa"/>
          </w:tcPr>
          <w:p>
            <w:pPr>
              <w:pStyle w:val="0"/>
              <w:jc w:val="center"/>
            </w:pPr>
            <w:r>
              <w:rPr>
                <w:sz w:val="20"/>
              </w:rPr>
              <w:t xml:space="preserve">x</w:t>
            </w:r>
          </w:p>
        </w:tc>
        <w:tc>
          <w:tcPr>
            <w:tcW w:w="1019" w:type="dxa"/>
          </w:tcPr>
          <w:p>
            <w:pPr>
              <w:pStyle w:val="0"/>
              <w:jc w:val="center"/>
            </w:pPr>
            <w:r>
              <w:rPr>
                <w:sz w:val="20"/>
              </w:rPr>
              <w:t xml:space="preserve">1</w:t>
            </w:r>
          </w:p>
        </w:tc>
        <w:tc>
          <w:tcPr>
            <w:tcW w:w="1020" w:type="dxa"/>
          </w:tcPr>
          <w:p>
            <w:pPr>
              <w:pStyle w:val="0"/>
              <w:jc w:val="center"/>
            </w:pPr>
            <w:r>
              <w:rPr>
                <w:sz w:val="20"/>
              </w:rPr>
              <w:t xml:space="preserve">21</w:t>
            </w:r>
          </w:p>
        </w:tc>
      </w:tr>
      <w:tr>
        <w:tc>
          <w:tcPr>
            <w:tcW w:w="2405" w:type="dxa"/>
          </w:tcPr>
          <w:p>
            <w:pPr>
              <w:pStyle w:val="0"/>
              <w:jc w:val="both"/>
            </w:pPr>
            <w:r>
              <w:rPr>
                <w:sz w:val="20"/>
              </w:rPr>
              <w:t xml:space="preserve">село Поворотное (Нахимовский район города Севастополя)</w:t>
            </w:r>
          </w:p>
        </w:tc>
        <w:tc>
          <w:tcPr>
            <w:tcW w:w="925" w:type="dxa"/>
          </w:tcPr>
          <w:p>
            <w:pPr>
              <w:pStyle w:val="0"/>
              <w:jc w:val="center"/>
            </w:pPr>
            <w:r>
              <w:rPr>
                <w:sz w:val="20"/>
              </w:rPr>
              <w:t xml:space="preserve">208</w:t>
            </w:r>
          </w:p>
        </w:tc>
        <w:tc>
          <w:tcPr>
            <w:tcW w:w="925" w:type="dxa"/>
          </w:tcPr>
          <w:p>
            <w:pPr>
              <w:pStyle w:val="0"/>
              <w:jc w:val="center"/>
            </w:pPr>
            <w:r>
              <w:rPr>
                <w:sz w:val="20"/>
              </w:rPr>
              <w:t xml:space="preserve">212</w:t>
            </w:r>
          </w:p>
        </w:tc>
        <w:tc>
          <w:tcPr>
            <w:tcW w:w="925" w:type="dxa"/>
          </w:tcPr>
          <w:p>
            <w:pPr>
              <w:pStyle w:val="0"/>
              <w:jc w:val="center"/>
            </w:pPr>
            <w:r>
              <w:rPr>
                <w:sz w:val="20"/>
              </w:rPr>
              <w:t xml:space="preserve">55</w:t>
            </w:r>
          </w:p>
        </w:tc>
        <w:tc>
          <w:tcPr>
            <w:tcW w:w="926" w:type="dxa"/>
          </w:tcPr>
          <w:p>
            <w:pPr>
              <w:pStyle w:val="0"/>
              <w:jc w:val="center"/>
            </w:pPr>
            <w:r>
              <w:rPr>
                <w:sz w:val="20"/>
              </w:rPr>
              <w:t xml:space="preserve">56</w:t>
            </w:r>
          </w:p>
        </w:tc>
        <w:tc>
          <w:tcPr>
            <w:tcW w:w="1555" w:type="dxa"/>
          </w:tcPr>
          <w:p>
            <w:pPr>
              <w:pStyle w:val="0"/>
              <w:jc w:val="both"/>
            </w:pPr>
            <w:r>
              <w:rPr>
                <w:sz w:val="20"/>
              </w:rPr>
              <w:t xml:space="preserve">ФАП10</w:t>
            </w:r>
          </w:p>
        </w:tc>
        <w:tc>
          <w:tcPr>
            <w:tcW w:w="1417" w:type="dxa"/>
          </w:tcPr>
          <w:p>
            <w:pPr>
              <w:pStyle w:val="0"/>
              <w:jc w:val="both"/>
            </w:pPr>
            <w:r>
              <w:rPr>
                <w:sz w:val="20"/>
              </w:rPr>
              <w:t xml:space="preserve">ВА5</w:t>
            </w:r>
          </w:p>
        </w:tc>
        <w:tc>
          <w:tcPr>
            <w:tcW w:w="1417" w:type="dxa"/>
          </w:tcPr>
          <w:p>
            <w:pPr>
              <w:pStyle w:val="0"/>
              <w:jc w:val="both"/>
            </w:pPr>
            <w:r>
              <w:rPr>
                <w:sz w:val="20"/>
              </w:rPr>
              <w:t xml:space="preserve">П1</w:t>
            </w:r>
          </w:p>
        </w:tc>
        <w:tc>
          <w:tcPr>
            <w:tcW w:w="1019" w:type="dxa"/>
          </w:tcPr>
          <w:p>
            <w:pPr>
              <w:pStyle w:val="0"/>
              <w:jc w:val="center"/>
            </w:pPr>
            <w:r>
              <w:rPr>
                <w:sz w:val="20"/>
              </w:rPr>
              <w:t xml:space="preserve">0</w:t>
            </w:r>
          </w:p>
        </w:tc>
        <w:tc>
          <w:tcPr>
            <w:tcW w:w="1019" w:type="dxa"/>
          </w:tcPr>
          <w:p>
            <w:pPr>
              <w:pStyle w:val="0"/>
              <w:jc w:val="center"/>
            </w:pPr>
            <w:r>
              <w:rPr>
                <w:sz w:val="20"/>
              </w:rPr>
              <w:t xml:space="preserve">9</w:t>
            </w:r>
          </w:p>
        </w:tc>
        <w:tc>
          <w:tcPr>
            <w:tcW w:w="1020" w:type="dxa"/>
          </w:tcPr>
          <w:p>
            <w:pPr>
              <w:pStyle w:val="0"/>
              <w:jc w:val="center"/>
            </w:pPr>
            <w:r>
              <w:rPr>
                <w:sz w:val="20"/>
              </w:rPr>
              <w:t xml:space="preserve">10</w:t>
            </w:r>
          </w:p>
        </w:tc>
      </w:tr>
      <w:tr>
        <w:tc>
          <w:tcPr>
            <w:tcW w:w="2405" w:type="dxa"/>
          </w:tcPr>
          <w:p>
            <w:pPr>
              <w:pStyle w:val="0"/>
              <w:jc w:val="both"/>
            </w:pPr>
            <w:r>
              <w:rPr>
                <w:sz w:val="20"/>
              </w:rPr>
              <w:t xml:space="preserve">село Фронтовое (Нахимовский район города Севастополя)</w:t>
            </w:r>
          </w:p>
        </w:tc>
        <w:tc>
          <w:tcPr>
            <w:tcW w:w="925" w:type="dxa"/>
          </w:tcPr>
          <w:p>
            <w:pPr>
              <w:pStyle w:val="0"/>
              <w:jc w:val="center"/>
            </w:pPr>
            <w:r>
              <w:rPr>
                <w:sz w:val="20"/>
              </w:rPr>
              <w:t xml:space="preserve">830</w:t>
            </w:r>
          </w:p>
        </w:tc>
        <w:tc>
          <w:tcPr>
            <w:tcW w:w="925" w:type="dxa"/>
          </w:tcPr>
          <w:p>
            <w:pPr>
              <w:pStyle w:val="0"/>
              <w:jc w:val="center"/>
            </w:pPr>
            <w:r>
              <w:rPr>
                <w:sz w:val="20"/>
              </w:rPr>
              <w:t xml:space="preserve">845</w:t>
            </w:r>
          </w:p>
        </w:tc>
        <w:tc>
          <w:tcPr>
            <w:tcW w:w="925" w:type="dxa"/>
          </w:tcPr>
          <w:p>
            <w:pPr>
              <w:pStyle w:val="0"/>
              <w:jc w:val="center"/>
            </w:pPr>
            <w:r>
              <w:rPr>
                <w:sz w:val="20"/>
              </w:rPr>
              <w:t xml:space="preserve">219</w:t>
            </w:r>
          </w:p>
        </w:tc>
        <w:tc>
          <w:tcPr>
            <w:tcW w:w="926" w:type="dxa"/>
          </w:tcPr>
          <w:p>
            <w:pPr>
              <w:pStyle w:val="0"/>
              <w:jc w:val="center"/>
            </w:pPr>
            <w:r>
              <w:rPr>
                <w:sz w:val="20"/>
              </w:rPr>
              <w:t xml:space="preserve">223</w:t>
            </w:r>
          </w:p>
        </w:tc>
        <w:tc>
          <w:tcPr>
            <w:tcW w:w="1555" w:type="dxa"/>
          </w:tcPr>
          <w:p>
            <w:pPr>
              <w:pStyle w:val="0"/>
              <w:jc w:val="both"/>
            </w:pPr>
            <w:r>
              <w:rPr>
                <w:sz w:val="20"/>
              </w:rPr>
              <w:t xml:space="preserve">ФАП11</w:t>
            </w:r>
          </w:p>
        </w:tc>
        <w:tc>
          <w:tcPr>
            <w:tcW w:w="1417" w:type="dxa"/>
          </w:tcPr>
          <w:p>
            <w:pPr>
              <w:pStyle w:val="0"/>
              <w:jc w:val="both"/>
            </w:pPr>
            <w:r>
              <w:rPr>
                <w:sz w:val="20"/>
              </w:rPr>
              <w:t xml:space="preserve">ВА5</w:t>
            </w:r>
          </w:p>
        </w:tc>
        <w:tc>
          <w:tcPr>
            <w:tcW w:w="1417" w:type="dxa"/>
          </w:tcPr>
          <w:p>
            <w:pPr>
              <w:pStyle w:val="0"/>
              <w:jc w:val="both"/>
            </w:pPr>
            <w:r>
              <w:rPr>
                <w:sz w:val="20"/>
              </w:rPr>
              <w:t xml:space="preserve">П1</w:t>
            </w:r>
          </w:p>
        </w:tc>
        <w:tc>
          <w:tcPr>
            <w:tcW w:w="1019" w:type="dxa"/>
          </w:tcPr>
          <w:p>
            <w:pPr>
              <w:pStyle w:val="0"/>
              <w:jc w:val="center"/>
            </w:pPr>
            <w:r>
              <w:rPr>
                <w:sz w:val="20"/>
              </w:rPr>
              <w:t xml:space="preserve">0</w:t>
            </w:r>
          </w:p>
        </w:tc>
        <w:tc>
          <w:tcPr>
            <w:tcW w:w="1019" w:type="dxa"/>
          </w:tcPr>
          <w:p>
            <w:pPr>
              <w:pStyle w:val="0"/>
              <w:jc w:val="center"/>
            </w:pPr>
            <w:r>
              <w:rPr>
                <w:sz w:val="20"/>
              </w:rPr>
              <w:t xml:space="preserve">2</w:t>
            </w:r>
          </w:p>
        </w:tc>
        <w:tc>
          <w:tcPr>
            <w:tcW w:w="1020" w:type="dxa"/>
          </w:tcPr>
          <w:p>
            <w:pPr>
              <w:pStyle w:val="0"/>
              <w:jc w:val="center"/>
            </w:pPr>
            <w:r>
              <w:rPr>
                <w:sz w:val="20"/>
              </w:rPr>
              <w:t xml:space="preserve">22</w:t>
            </w:r>
          </w:p>
        </w:tc>
      </w:tr>
      <w:tr>
        <w:tc>
          <w:tcPr>
            <w:tcW w:w="2405" w:type="dxa"/>
          </w:tcPr>
          <w:p>
            <w:pPr>
              <w:pStyle w:val="0"/>
              <w:jc w:val="both"/>
            </w:pPr>
            <w:r>
              <w:rPr>
                <w:sz w:val="20"/>
              </w:rPr>
              <w:t xml:space="preserve">село Фруктовое (Нахимовский район города Севастополя)</w:t>
            </w:r>
          </w:p>
        </w:tc>
        <w:tc>
          <w:tcPr>
            <w:tcW w:w="925" w:type="dxa"/>
          </w:tcPr>
          <w:p>
            <w:pPr>
              <w:pStyle w:val="0"/>
              <w:jc w:val="center"/>
            </w:pPr>
            <w:r>
              <w:rPr>
                <w:sz w:val="20"/>
              </w:rPr>
              <w:t xml:space="preserve">602</w:t>
            </w:r>
          </w:p>
        </w:tc>
        <w:tc>
          <w:tcPr>
            <w:tcW w:w="925" w:type="dxa"/>
          </w:tcPr>
          <w:p>
            <w:pPr>
              <w:pStyle w:val="0"/>
              <w:jc w:val="center"/>
            </w:pPr>
            <w:r>
              <w:rPr>
                <w:sz w:val="20"/>
              </w:rPr>
              <w:t xml:space="preserve">613</w:t>
            </w:r>
          </w:p>
        </w:tc>
        <w:tc>
          <w:tcPr>
            <w:tcW w:w="925" w:type="dxa"/>
          </w:tcPr>
          <w:p>
            <w:pPr>
              <w:pStyle w:val="0"/>
              <w:jc w:val="center"/>
            </w:pPr>
            <w:r>
              <w:rPr>
                <w:sz w:val="20"/>
              </w:rPr>
              <w:t xml:space="preserve">159</w:t>
            </w:r>
          </w:p>
        </w:tc>
        <w:tc>
          <w:tcPr>
            <w:tcW w:w="926" w:type="dxa"/>
          </w:tcPr>
          <w:p>
            <w:pPr>
              <w:pStyle w:val="0"/>
              <w:jc w:val="center"/>
            </w:pPr>
            <w:r>
              <w:rPr>
                <w:sz w:val="20"/>
              </w:rPr>
              <w:t xml:space="preserve">161</w:t>
            </w:r>
          </w:p>
        </w:tc>
        <w:tc>
          <w:tcPr>
            <w:tcW w:w="1555" w:type="dxa"/>
          </w:tcPr>
          <w:p>
            <w:pPr>
              <w:pStyle w:val="0"/>
              <w:jc w:val="both"/>
            </w:pPr>
            <w:r>
              <w:rPr>
                <w:sz w:val="20"/>
              </w:rPr>
            </w:r>
          </w:p>
        </w:tc>
        <w:tc>
          <w:tcPr>
            <w:tcW w:w="1417" w:type="dxa"/>
          </w:tcPr>
          <w:p>
            <w:pPr>
              <w:pStyle w:val="0"/>
              <w:jc w:val="both"/>
            </w:pPr>
            <w:r>
              <w:rPr>
                <w:sz w:val="20"/>
              </w:rPr>
              <w:t xml:space="preserve">ФАП10, ВА5</w:t>
            </w:r>
          </w:p>
        </w:tc>
        <w:tc>
          <w:tcPr>
            <w:tcW w:w="1417" w:type="dxa"/>
          </w:tcPr>
          <w:p>
            <w:pPr>
              <w:pStyle w:val="0"/>
              <w:jc w:val="both"/>
            </w:pPr>
            <w:r>
              <w:rPr>
                <w:sz w:val="20"/>
              </w:rPr>
              <w:t xml:space="preserve">П1</w:t>
            </w:r>
          </w:p>
        </w:tc>
        <w:tc>
          <w:tcPr>
            <w:tcW w:w="1019" w:type="dxa"/>
          </w:tcPr>
          <w:p>
            <w:pPr>
              <w:pStyle w:val="0"/>
              <w:jc w:val="center"/>
            </w:pPr>
            <w:r>
              <w:rPr>
                <w:sz w:val="20"/>
              </w:rPr>
              <w:t xml:space="preserve">1</w:t>
            </w:r>
          </w:p>
        </w:tc>
        <w:tc>
          <w:tcPr>
            <w:tcW w:w="1019" w:type="dxa"/>
          </w:tcPr>
          <w:p>
            <w:pPr>
              <w:pStyle w:val="0"/>
              <w:jc w:val="center"/>
            </w:pPr>
            <w:r>
              <w:rPr>
                <w:sz w:val="20"/>
              </w:rPr>
              <w:t xml:space="preserve">9</w:t>
            </w:r>
          </w:p>
        </w:tc>
        <w:tc>
          <w:tcPr>
            <w:tcW w:w="1020" w:type="dxa"/>
          </w:tcPr>
          <w:p>
            <w:pPr>
              <w:pStyle w:val="0"/>
              <w:jc w:val="center"/>
            </w:pPr>
            <w:r>
              <w:rPr>
                <w:sz w:val="20"/>
              </w:rPr>
              <w:t xml:space="preserve">10</w:t>
            </w:r>
          </w:p>
        </w:tc>
      </w:tr>
      <w:tr>
        <w:tc>
          <w:tcPr>
            <w:tcW w:w="2405" w:type="dxa"/>
          </w:tcPr>
          <w:p>
            <w:pPr>
              <w:pStyle w:val="0"/>
              <w:jc w:val="both"/>
            </w:pPr>
            <w:r>
              <w:rPr>
                <w:sz w:val="20"/>
              </w:rPr>
              <w:t xml:space="preserve">село Андреевка (Нахимовский район города Севастополя)</w:t>
            </w:r>
          </w:p>
        </w:tc>
        <w:tc>
          <w:tcPr>
            <w:tcW w:w="925" w:type="dxa"/>
          </w:tcPr>
          <w:p>
            <w:pPr>
              <w:pStyle w:val="0"/>
              <w:jc w:val="center"/>
            </w:pPr>
            <w:r>
              <w:rPr>
                <w:sz w:val="20"/>
              </w:rPr>
              <w:t xml:space="preserve">1049</w:t>
            </w:r>
          </w:p>
        </w:tc>
        <w:tc>
          <w:tcPr>
            <w:tcW w:w="925" w:type="dxa"/>
          </w:tcPr>
          <w:p>
            <w:pPr>
              <w:pStyle w:val="0"/>
              <w:jc w:val="center"/>
            </w:pPr>
            <w:r>
              <w:rPr>
                <w:sz w:val="20"/>
              </w:rPr>
              <w:t xml:space="preserve">1068</w:t>
            </w:r>
          </w:p>
        </w:tc>
        <w:tc>
          <w:tcPr>
            <w:tcW w:w="925" w:type="dxa"/>
          </w:tcPr>
          <w:p>
            <w:pPr>
              <w:pStyle w:val="0"/>
              <w:jc w:val="center"/>
            </w:pPr>
            <w:r>
              <w:rPr>
                <w:sz w:val="20"/>
              </w:rPr>
              <w:t xml:space="preserve">277</w:t>
            </w:r>
          </w:p>
        </w:tc>
        <w:tc>
          <w:tcPr>
            <w:tcW w:w="926" w:type="dxa"/>
          </w:tcPr>
          <w:p>
            <w:pPr>
              <w:pStyle w:val="0"/>
              <w:jc w:val="center"/>
            </w:pPr>
            <w:r>
              <w:rPr>
                <w:sz w:val="20"/>
              </w:rPr>
              <w:t xml:space="preserve">281</w:t>
            </w:r>
          </w:p>
        </w:tc>
        <w:tc>
          <w:tcPr>
            <w:tcW w:w="1555" w:type="dxa"/>
          </w:tcPr>
          <w:p>
            <w:pPr>
              <w:pStyle w:val="0"/>
              <w:jc w:val="both"/>
            </w:pPr>
            <w:r>
              <w:rPr>
                <w:sz w:val="20"/>
              </w:rPr>
              <w:t xml:space="preserve">ФАП12</w:t>
            </w:r>
          </w:p>
        </w:tc>
        <w:tc>
          <w:tcPr>
            <w:tcW w:w="1417" w:type="dxa"/>
          </w:tcPr>
          <w:p>
            <w:pPr>
              <w:pStyle w:val="0"/>
              <w:jc w:val="both"/>
            </w:pPr>
            <w:r>
              <w:rPr>
                <w:sz w:val="20"/>
              </w:rPr>
              <w:t xml:space="preserve">ВА6</w:t>
            </w:r>
          </w:p>
        </w:tc>
        <w:tc>
          <w:tcPr>
            <w:tcW w:w="1417" w:type="dxa"/>
          </w:tcPr>
          <w:p>
            <w:pPr>
              <w:pStyle w:val="0"/>
              <w:jc w:val="both"/>
            </w:pPr>
            <w:r>
              <w:rPr>
                <w:sz w:val="20"/>
              </w:rPr>
              <w:t xml:space="preserve">П1</w:t>
            </w:r>
          </w:p>
        </w:tc>
        <w:tc>
          <w:tcPr>
            <w:tcW w:w="1019" w:type="dxa"/>
          </w:tcPr>
          <w:p>
            <w:pPr>
              <w:pStyle w:val="0"/>
              <w:jc w:val="center"/>
            </w:pPr>
            <w:r>
              <w:rPr>
                <w:sz w:val="20"/>
              </w:rPr>
              <w:t xml:space="preserve">0</w:t>
            </w:r>
          </w:p>
        </w:tc>
        <w:tc>
          <w:tcPr>
            <w:tcW w:w="1019" w:type="dxa"/>
          </w:tcPr>
          <w:p>
            <w:pPr>
              <w:pStyle w:val="0"/>
              <w:jc w:val="center"/>
            </w:pPr>
            <w:r>
              <w:rPr>
                <w:sz w:val="20"/>
              </w:rPr>
              <w:t xml:space="preserve">5</w:t>
            </w:r>
          </w:p>
        </w:tc>
        <w:tc>
          <w:tcPr>
            <w:tcW w:w="1020" w:type="dxa"/>
          </w:tcPr>
          <w:p>
            <w:pPr>
              <w:pStyle w:val="0"/>
              <w:jc w:val="center"/>
            </w:pPr>
            <w:r>
              <w:rPr>
                <w:sz w:val="20"/>
              </w:rPr>
              <w:t xml:space="preserve">27</w:t>
            </w:r>
          </w:p>
        </w:tc>
      </w:tr>
      <w:tr>
        <w:tc>
          <w:tcPr>
            <w:tcW w:w="2405" w:type="dxa"/>
          </w:tcPr>
          <w:p>
            <w:pPr>
              <w:pStyle w:val="0"/>
              <w:jc w:val="both"/>
            </w:pPr>
            <w:r>
              <w:rPr>
                <w:sz w:val="20"/>
              </w:rPr>
              <w:t xml:space="preserve">поселок Солнечный (Нахимовский район города Севастополя)</w:t>
            </w:r>
          </w:p>
        </w:tc>
        <w:tc>
          <w:tcPr>
            <w:tcW w:w="925" w:type="dxa"/>
          </w:tcPr>
          <w:p>
            <w:pPr>
              <w:pStyle w:val="0"/>
              <w:jc w:val="center"/>
            </w:pPr>
            <w:r>
              <w:rPr>
                <w:sz w:val="20"/>
              </w:rPr>
              <w:t xml:space="preserve">1327</w:t>
            </w:r>
          </w:p>
        </w:tc>
        <w:tc>
          <w:tcPr>
            <w:tcW w:w="925" w:type="dxa"/>
          </w:tcPr>
          <w:p>
            <w:pPr>
              <w:pStyle w:val="0"/>
              <w:jc w:val="center"/>
            </w:pPr>
            <w:r>
              <w:rPr>
                <w:sz w:val="20"/>
              </w:rPr>
              <w:t xml:space="preserve">1350</w:t>
            </w:r>
          </w:p>
        </w:tc>
        <w:tc>
          <w:tcPr>
            <w:tcW w:w="925" w:type="dxa"/>
          </w:tcPr>
          <w:p>
            <w:pPr>
              <w:pStyle w:val="0"/>
              <w:jc w:val="center"/>
            </w:pPr>
            <w:r>
              <w:rPr>
                <w:sz w:val="20"/>
              </w:rPr>
              <w:t xml:space="preserve">350</w:t>
            </w:r>
          </w:p>
        </w:tc>
        <w:tc>
          <w:tcPr>
            <w:tcW w:w="926" w:type="dxa"/>
          </w:tcPr>
          <w:p>
            <w:pPr>
              <w:pStyle w:val="0"/>
              <w:jc w:val="center"/>
            </w:pPr>
            <w:r>
              <w:rPr>
                <w:sz w:val="20"/>
              </w:rPr>
              <w:t xml:space="preserve">356</w:t>
            </w:r>
          </w:p>
        </w:tc>
        <w:tc>
          <w:tcPr>
            <w:tcW w:w="1555" w:type="dxa"/>
          </w:tcPr>
          <w:p>
            <w:pPr>
              <w:pStyle w:val="0"/>
              <w:jc w:val="both"/>
            </w:pPr>
            <w:r>
              <w:rPr>
                <w:sz w:val="20"/>
              </w:rPr>
              <w:t xml:space="preserve">ВА6</w:t>
            </w:r>
          </w:p>
        </w:tc>
        <w:tc>
          <w:tcPr>
            <w:tcW w:w="1417" w:type="dxa"/>
          </w:tcPr>
          <w:p>
            <w:pPr>
              <w:pStyle w:val="0"/>
              <w:jc w:val="both"/>
            </w:pPr>
            <w:r>
              <w:rPr>
                <w:sz w:val="20"/>
              </w:rPr>
              <w:t xml:space="preserve">ВА6</w:t>
            </w:r>
          </w:p>
        </w:tc>
        <w:tc>
          <w:tcPr>
            <w:tcW w:w="1417" w:type="dxa"/>
          </w:tcPr>
          <w:p>
            <w:pPr>
              <w:pStyle w:val="0"/>
              <w:jc w:val="both"/>
            </w:pPr>
            <w:r>
              <w:rPr>
                <w:sz w:val="20"/>
              </w:rPr>
              <w:t xml:space="preserve">П1</w:t>
            </w:r>
          </w:p>
        </w:tc>
        <w:tc>
          <w:tcPr>
            <w:tcW w:w="1019" w:type="dxa"/>
          </w:tcPr>
          <w:p>
            <w:pPr>
              <w:pStyle w:val="0"/>
              <w:jc w:val="center"/>
            </w:pPr>
            <w:r>
              <w:rPr>
                <w:sz w:val="20"/>
              </w:rPr>
              <w:t xml:space="preserve">x</w:t>
            </w:r>
          </w:p>
        </w:tc>
        <w:tc>
          <w:tcPr>
            <w:tcW w:w="1019" w:type="dxa"/>
          </w:tcPr>
          <w:p>
            <w:pPr>
              <w:pStyle w:val="0"/>
              <w:jc w:val="center"/>
            </w:pPr>
            <w:r>
              <w:rPr>
                <w:sz w:val="20"/>
              </w:rPr>
              <w:t xml:space="preserve">0</w:t>
            </w:r>
          </w:p>
        </w:tc>
        <w:tc>
          <w:tcPr>
            <w:tcW w:w="1020" w:type="dxa"/>
          </w:tcPr>
          <w:p>
            <w:pPr>
              <w:pStyle w:val="0"/>
              <w:jc w:val="center"/>
            </w:pPr>
            <w:r>
              <w:rPr>
                <w:sz w:val="20"/>
              </w:rPr>
              <w:t xml:space="preserve">27</w:t>
            </w:r>
          </w:p>
        </w:tc>
      </w:tr>
      <w:tr>
        <w:tc>
          <w:tcPr>
            <w:tcW w:w="2405" w:type="dxa"/>
          </w:tcPr>
          <w:p>
            <w:pPr>
              <w:pStyle w:val="0"/>
              <w:jc w:val="both"/>
            </w:pPr>
            <w:r>
              <w:rPr>
                <w:sz w:val="20"/>
              </w:rPr>
              <w:t xml:space="preserve">село Вишневое (Нахимовский район города Севастополя)</w:t>
            </w:r>
          </w:p>
        </w:tc>
        <w:tc>
          <w:tcPr>
            <w:tcW w:w="925" w:type="dxa"/>
          </w:tcPr>
          <w:p>
            <w:pPr>
              <w:pStyle w:val="0"/>
              <w:jc w:val="center"/>
            </w:pPr>
            <w:r>
              <w:rPr>
                <w:sz w:val="20"/>
              </w:rPr>
              <w:t xml:space="preserve">605</w:t>
            </w:r>
          </w:p>
        </w:tc>
        <w:tc>
          <w:tcPr>
            <w:tcW w:w="925" w:type="dxa"/>
          </w:tcPr>
          <w:p>
            <w:pPr>
              <w:pStyle w:val="0"/>
              <w:jc w:val="center"/>
            </w:pPr>
            <w:r>
              <w:rPr>
                <w:sz w:val="20"/>
              </w:rPr>
              <w:t xml:space="preserve">615</w:t>
            </w:r>
          </w:p>
        </w:tc>
        <w:tc>
          <w:tcPr>
            <w:tcW w:w="925" w:type="dxa"/>
          </w:tcPr>
          <w:p>
            <w:pPr>
              <w:pStyle w:val="0"/>
              <w:jc w:val="center"/>
            </w:pPr>
            <w:r>
              <w:rPr>
                <w:sz w:val="20"/>
              </w:rPr>
              <w:t xml:space="preserve">159</w:t>
            </w:r>
          </w:p>
        </w:tc>
        <w:tc>
          <w:tcPr>
            <w:tcW w:w="926" w:type="dxa"/>
          </w:tcPr>
          <w:p>
            <w:pPr>
              <w:pStyle w:val="0"/>
              <w:jc w:val="center"/>
            </w:pPr>
            <w:r>
              <w:rPr>
                <w:sz w:val="20"/>
              </w:rPr>
              <w:t xml:space="preserve">162</w:t>
            </w:r>
          </w:p>
        </w:tc>
        <w:tc>
          <w:tcPr>
            <w:tcW w:w="1555" w:type="dxa"/>
          </w:tcPr>
          <w:p>
            <w:pPr>
              <w:pStyle w:val="0"/>
              <w:jc w:val="both"/>
            </w:pPr>
            <w:r>
              <w:rPr>
                <w:sz w:val="20"/>
              </w:rPr>
              <w:t xml:space="preserve">ФАП13</w:t>
            </w:r>
          </w:p>
        </w:tc>
        <w:tc>
          <w:tcPr>
            <w:tcW w:w="1417" w:type="dxa"/>
          </w:tcPr>
          <w:p>
            <w:pPr>
              <w:pStyle w:val="0"/>
              <w:jc w:val="both"/>
            </w:pPr>
            <w:r>
              <w:rPr>
                <w:sz w:val="20"/>
              </w:rPr>
              <w:t xml:space="preserve">ВА7</w:t>
            </w:r>
          </w:p>
        </w:tc>
        <w:tc>
          <w:tcPr>
            <w:tcW w:w="1417" w:type="dxa"/>
          </w:tcPr>
          <w:p>
            <w:pPr>
              <w:pStyle w:val="0"/>
              <w:jc w:val="both"/>
            </w:pPr>
            <w:r>
              <w:rPr>
                <w:sz w:val="20"/>
              </w:rPr>
              <w:t xml:space="preserve">П1</w:t>
            </w:r>
          </w:p>
        </w:tc>
        <w:tc>
          <w:tcPr>
            <w:tcW w:w="1019" w:type="dxa"/>
          </w:tcPr>
          <w:p>
            <w:pPr>
              <w:pStyle w:val="0"/>
              <w:jc w:val="center"/>
            </w:pPr>
            <w:r>
              <w:rPr>
                <w:sz w:val="20"/>
              </w:rPr>
              <w:t xml:space="preserve">0</w:t>
            </w:r>
          </w:p>
        </w:tc>
        <w:tc>
          <w:tcPr>
            <w:tcW w:w="1019" w:type="dxa"/>
          </w:tcPr>
          <w:p>
            <w:pPr>
              <w:pStyle w:val="0"/>
              <w:jc w:val="center"/>
            </w:pPr>
            <w:r>
              <w:rPr>
                <w:sz w:val="20"/>
              </w:rPr>
              <w:t xml:space="preserve">3</w:t>
            </w:r>
          </w:p>
        </w:tc>
        <w:tc>
          <w:tcPr>
            <w:tcW w:w="1020" w:type="dxa"/>
          </w:tcPr>
          <w:p>
            <w:pPr>
              <w:pStyle w:val="0"/>
              <w:jc w:val="center"/>
            </w:pPr>
            <w:r>
              <w:rPr>
                <w:sz w:val="20"/>
              </w:rPr>
              <w:t xml:space="preserve">16</w:t>
            </w:r>
          </w:p>
        </w:tc>
      </w:tr>
      <w:tr>
        <w:tc>
          <w:tcPr>
            <w:tcW w:w="2405" w:type="dxa"/>
          </w:tcPr>
          <w:p>
            <w:pPr>
              <w:pStyle w:val="0"/>
              <w:jc w:val="both"/>
            </w:pPr>
            <w:r>
              <w:rPr>
                <w:sz w:val="20"/>
              </w:rPr>
              <w:t xml:space="preserve">село Полюшко (Нахимовский район города Севастополя)</w:t>
            </w:r>
          </w:p>
        </w:tc>
        <w:tc>
          <w:tcPr>
            <w:tcW w:w="925" w:type="dxa"/>
          </w:tcPr>
          <w:p>
            <w:pPr>
              <w:pStyle w:val="0"/>
              <w:jc w:val="center"/>
            </w:pPr>
            <w:r>
              <w:rPr>
                <w:sz w:val="20"/>
              </w:rPr>
              <w:t xml:space="preserve">1577</w:t>
            </w:r>
          </w:p>
        </w:tc>
        <w:tc>
          <w:tcPr>
            <w:tcW w:w="925" w:type="dxa"/>
          </w:tcPr>
          <w:p>
            <w:pPr>
              <w:pStyle w:val="0"/>
              <w:jc w:val="center"/>
            </w:pPr>
            <w:r>
              <w:rPr>
                <w:sz w:val="20"/>
              </w:rPr>
              <w:t xml:space="preserve">1604</w:t>
            </w:r>
          </w:p>
        </w:tc>
        <w:tc>
          <w:tcPr>
            <w:tcW w:w="925" w:type="dxa"/>
          </w:tcPr>
          <w:p>
            <w:pPr>
              <w:pStyle w:val="0"/>
              <w:jc w:val="center"/>
            </w:pPr>
            <w:r>
              <w:rPr>
                <w:sz w:val="20"/>
              </w:rPr>
              <w:t xml:space="preserve">415</w:t>
            </w:r>
          </w:p>
        </w:tc>
        <w:tc>
          <w:tcPr>
            <w:tcW w:w="926" w:type="dxa"/>
          </w:tcPr>
          <w:p>
            <w:pPr>
              <w:pStyle w:val="0"/>
              <w:jc w:val="center"/>
            </w:pPr>
            <w:r>
              <w:rPr>
                <w:sz w:val="20"/>
              </w:rPr>
              <w:t xml:space="preserve">423</w:t>
            </w:r>
          </w:p>
        </w:tc>
        <w:tc>
          <w:tcPr>
            <w:tcW w:w="1555" w:type="dxa"/>
          </w:tcPr>
          <w:p>
            <w:pPr>
              <w:pStyle w:val="0"/>
              <w:jc w:val="both"/>
            </w:pPr>
            <w:r>
              <w:rPr>
                <w:sz w:val="20"/>
              </w:rPr>
            </w:r>
          </w:p>
        </w:tc>
        <w:tc>
          <w:tcPr>
            <w:tcW w:w="1417" w:type="dxa"/>
          </w:tcPr>
          <w:p>
            <w:pPr>
              <w:pStyle w:val="0"/>
              <w:jc w:val="both"/>
            </w:pPr>
            <w:r>
              <w:rPr>
                <w:sz w:val="20"/>
              </w:rPr>
              <w:t xml:space="preserve">ВА7</w:t>
            </w:r>
          </w:p>
        </w:tc>
        <w:tc>
          <w:tcPr>
            <w:tcW w:w="1417" w:type="dxa"/>
          </w:tcPr>
          <w:p>
            <w:pPr>
              <w:pStyle w:val="0"/>
              <w:jc w:val="both"/>
            </w:pPr>
            <w:r>
              <w:rPr>
                <w:sz w:val="20"/>
              </w:rPr>
              <w:t xml:space="preserve">П1</w:t>
            </w:r>
          </w:p>
        </w:tc>
        <w:tc>
          <w:tcPr>
            <w:tcW w:w="1019" w:type="dxa"/>
          </w:tcPr>
          <w:p>
            <w:pPr>
              <w:pStyle w:val="0"/>
              <w:jc w:val="center"/>
            </w:pPr>
            <w:r>
              <w:rPr>
                <w:sz w:val="20"/>
              </w:rPr>
              <w:t xml:space="preserve">x</w:t>
            </w:r>
          </w:p>
        </w:tc>
        <w:tc>
          <w:tcPr>
            <w:tcW w:w="1019" w:type="dxa"/>
          </w:tcPr>
          <w:p>
            <w:pPr>
              <w:pStyle w:val="0"/>
              <w:jc w:val="center"/>
            </w:pPr>
            <w:r>
              <w:rPr>
                <w:sz w:val="20"/>
              </w:rPr>
              <w:t xml:space="preserve">2</w:t>
            </w:r>
          </w:p>
        </w:tc>
        <w:tc>
          <w:tcPr>
            <w:tcW w:w="1020" w:type="dxa"/>
          </w:tcPr>
          <w:p>
            <w:pPr>
              <w:pStyle w:val="0"/>
              <w:jc w:val="center"/>
            </w:pPr>
            <w:r>
              <w:rPr>
                <w:sz w:val="20"/>
              </w:rPr>
              <w:t xml:space="preserve">17</w:t>
            </w:r>
          </w:p>
        </w:tc>
      </w:tr>
      <w:tr>
        <w:tc>
          <w:tcPr>
            <w:tcW w:w="2405" w:type="dxa"/>
          </w:tcPr>
          <w:p>
            <w:pPr>
              <w:pStyle w:val="0"/>
              <w:jc w:val="both"/>
            </w:pPr>
            <w:r>
              <w:rPr>
                <w:sz w:val="20"/>
              </w:rPr>
              <w:t xml:space="preserve">село Орловка (Нахимовский район города Севастополя)</w:t>
            </w:r>
          </w:p>
        </w:tc>
        <w:tc>
          <w:tcPr>
            <w:tcW w:w="925" w:type="dxa"/>
          </w:tcPr>
          <w:p>
            <w:pPr>
              <w:pStyle w:val="0"/>
              <w:jc w:val="center"/>
            </w:pPr>
            <w:r>
              <w:rPr>
                <w:sz w:val="20"/>
              </w:rPr>
              <w:t xml:space="preserve">670</w:t>
            </w:r>
          </w:p>
        </w:tc>
        <w:tc>
          <w:tcPr>
            <w:tcW w:w="925" w:type="dxa"/>
          </w:tcPr>
          <w:p>
            <w:pPr>
              <w:pStyle w:val="0"/>
              <w:jc w:val="center"/>
            </w:pPr>
            <w:r>
              <w:rPr>
                <w:sz w:val="20"/>
              </w:rPr>
              <w:t xml:space="preserve">681</w:t>
            </w:r>
          </w:p>
        </w:tc>
        <w:tc>
          <w:tcPr>
            <w:tcW w:w="925" w:type="dxa"/>
          </w:tcPr>
          <w:p>
            <w:pPr>
              <w:pStyle w:val="0"/>
              <w:jc w:val="center"/>
            </w:pPr>
            <w:r>
              <w:rPr>
                <w:sz w:val="20"/>
              </w:rPr>
              <w:t xml:space="preserve">176</w:t>
            </w:r>
          </w:p>
        </w:tc>
        <w:tc>
          <w:tcPr>
            <w:tcW w:w="926" w:type="dxa"/>
          </w:tcPr>
          <w:p>
            <w:pPr>
              <w:pStyle w:val="0"/>
              <w:jc w:val="center"/>
            </w:pPr>
            <w:r>
              <w:rPr>
                <w:sz w:val="20"/>
              </w:rPr>
              <w:t xml:space="preserve">179</w:t>
            </w:r>
          </w:p>
        </w:tc>
        <w:tc>
          <w:tcPr>
            <w:tcW w:w="1555" w:type="dxa"/>
          </w:tcPr>
          <w:p>
            <w:pPr>
              <w:pStyle w:val="0"/>
              <w:jc w:val="both"/>
            </w:pPr>
            <w:r>
              <w:rPr>
                <w:sz w:val="20"/>
              </w:rPr>
            </w:r>
          </w:p>
        </w:tc>
        <w:tc>
          <w:tcPr>
            <w:tcW w:w="1417" w:type="dxa"/>
          </w:tcPr>
          <w:p>
            <w:pPr>
              <w:pStyle w:val="0"/>
              <w:jc w:val="both"/>
            </w:pPr>
            <w:r>
              <w:rPr>
                <w:sz w:val="20"/>
              </w:rPr>
              <w:t xml:space="preserve">ВА7</w:t>
            </w:r>
          </w:p>
        </w:tc>
        <w:tc>
          <w:tcPr>
            <w:tcW w:w="1417" w:type="dxa"/>
          </w:tcPr>
          <w:p>
            <w:pPr>
              <w:pStyle w:val="0"/>
              <w:jc w:val="both"/>
            </w:pPr>
            <w:r>
              <w:rPr>
                <w:sz w:val="20"/>
              </w:rPr>
              <w:t xml:space="preserve">П1</w:t>
            </w:r>
          </w:p>
        </w:tc>
        <w:tc>
          <w:tcPr>
            <w:tcW w:w="1019" w:type="dxa"/>
          </w:tcPr>
          <w:p>
            <w:pPr>
              <w:pStyle w:val="0"/>
              <w:jc w:val="center"/>
            </w:pPr>
            <w:r>
              <w:rPr>
                <w:sz w:val="20"/>
              </w:rPr>
              <w:t xml:space="preserve">x</w:t>
            </w:r>
          </w:p>
        </w:tc>
        <w:tc>
          <w:tcPr>
            <w:tcW w:w="1019" w:type="dxa"/>
          </w:tcPr>
          <w:p>
            <w:pPr>
              <w:pStyle w:val="0"/>
              <w:jc w:val="center"/>
            </w:pPr>
            <w:r>
              <w:rPr>
                <w:sz w:val="20"/>
              </w:rPr>
              <w:t xml:space="preserve">2</w:t>
            </w:r>
          </w:p>
        </w:tc>
        <w:tc>
          <w:tcPr>
            <w:tcW w:w="1020" w:type="dxa"/>
          </w:tcPr>
          <w:p>
            <w:pPr>
              <w:pStyle w:val="0"/>
              <w:jc w:val="center"/>
            </w:pPr>
            <w:r>
              <w:rPr>
                <w:sz w:val="20"/>
              </w:rPr>
              <w:t xml:space="preserve">17</w:t>
            </w:r>
          </w:p>
        </w:tc>
      </w:tr>
      <w:tr>
        <w:tc>
          <w:tcPr>
            <w:tcW w:w="2405" w:type="dxa"/>
          </w:tcPr>
          <w:p>
            <w:pPr>
              <w:pStyle w:val="0"/>
              <w:jc w:val="both"/>
            </w:pPr>
            <w:r>
              <w:rPr>
                <w:sz w:val="20"/>
              </w:rPr>
              <w:t xml:space="preserve">село Осипенко (Нахимовский район города Севастополя)</w:t>
            </w:r>
          </w:p>
        </w:tc>
        <w:tc>
          <w:tcPr>
            <w:tcW w:w="925" w:type="dxa"/>
          </w:tcPr>
          <w:p>
            <w:pPr>
              <w:pStyle w:val="0"/>
              <w:jc w:val="center"/>
            </w:pPr>
            <w:r>
              <w:rPr>
                <w:sz w:val="20"/>
              </w:rPr>
              <w:t xml:space="preserve">359</w:t>
            </w:r>
          </w:p>
        </w:tc>
        <w:tc>
          <w:tcPr>
            <w:tcW w:w="925" w:type="dxa"/>
          </w:tcPr>
          <w:p>
            <w:pPr>
              <w:pStyle w:val="0"/>
              <w:jc w:val="center"/>
            </w:pPr>
            <w:r>
              <w:rPr>
                <w:sz w:val="20"/>
              </w:rPr>
              <w:t xml:space="preserve">366</w:t>
            </w:r>
          </w:p>
        </w:tc>
        <w:tc>
          <w:tcPr>
            <w:tcW w:w="925" w:type="dxa"/>
          </w:tcPr>
          <w:p>
            <w:pPr>
              <w:pStyle w:val="0"/>
              <w:jc w:val="center"/>
            </w:pPr>
            <w:r>
              <w:rPr>
                <w:sz w:val="20"/>
              </w:rPr>
              <w:t xml:space="preserve">95</w:t>
            </w:r>
          </w:p>
        </w:tc>
        <w:tc>
          <w:tcPr>
            <w:tcW w:w="926" w:type="dxa"/>
          </w:tcPr>
          <w:p>
            <w:pPr>
              <w:pStyle w:val="0"/>
              <w:jc w:val="center"/>
            </w:pPr>
            <w:r>
              <w:rPr>
                <w:sz w:val="20"/>
              </w:rPr>
              <w:t xml:space="preserve">96</w:t>
            </w:r>
          </w:p>
        </w:tc>
        <w:tc>
          <w:tcPr>
            <w:tcW w:w="1555" w:type="dxa"/>
          </w:tcPr>
          <w:p>
            <w:pPr>
              <w:pStyle w:val="0"/>
              <w:jc w:val="both"/>
            </w:pPr>
            <w:r>
              <w:rPr>
                <w:sz w:val="20"/>
              </w:rPr>
              <w:t xml:space="preserve">ВА7</w:t>
            </w:r>
          </w:p>
        </w:tc>
        <w:tc>
          <w:tcPr>
            <w:tcW w:w="1417" w:type="dxa"/>
          </w:tcPr>
          <w:p>
            <w:pPr>
              <w:pStyle w:val="0"/>
              <w:jc w:val="both"/>
            </w:pPr>
            <w:r>
              <w:rPr>
                <w:sz w:val="20"/>
              </w:rPr>
              <w:t xml:space="preserve">ВА7</w:t>
            </w:r>
          </w:p>
        </w:tc>
        <w:tc>
          <w:tcPr>
            <w:tcW w:w="1417" w:type="dxa"/>
          </w:tcPr>
          <w:p>
            <w:pPr>
              <w:pStyle w:val="0"/>
              <w:jc w:val="both"/>
            </w:pPr>
            <w:r>
              <w:rPr>
                <w:sz w:val="20"/>
              </w:rPr>
              <w:t xml:space="preserve">П1</w:t>
            </w:r>
          </w:p>
        </w:tc>
        <w:tc>
          <w:tcPr>
            <w:tcW w:w="1019" w:type="dxa"/>
          </w:tcPr>
          <w:p>
            <w:pPr>
              <w:pStyle w:val="0"/>
              <w:jc w:val="center"/>
            </w:pPr>
            <w:r>
              <w:rPr>
                <w:sz w:val="20"/>
              </w:rPr>
              <w:t xml:space="preserve">x</w:t>
            </w:r>
          </w:p>
        </w:tc>
        <w:tc>
          <w:tcPr>
            <w:tcW w:w="1019" w:type="dxa"/>
          </w:tcPr>
          <w:p>
            <w:pPr>
              <w:pStyle w:val="0"/>
              <w:jc w:val="center"/>
            </w:pPr>
            <w:r>
              <w:rPr>
                <w:sz w:val="20"/>
              </w:rPr>
              <w:t xml:space="preserve">0</w:t>
            </w:r>
          </w:p>
        </w:tc>
        <w:tc>
          <w:tcPr>
            <w:tcW w:w="1020" w:type="dxa"/>
          </w:tcPr>
          <w:p>
            <w:pPr>
              <w:pStyle w:val="0"/>
              <w:jc w:val="center"/>
            </w:pPr>
            <w:r>
              <w:rPr>
                <w:sz w:val="20"/>
              </w:rPr>
              <w:t xml:space="preserve">19</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Расшифровка сокращений представлена в последующих таблицах.</w:t>
      </w:r>
    </w:p>
    <w:p>
      <w:pPr>
        <w:pStyle w:val="0"/>
        <w:ind w:firstLine="540"/>
        <w:jc w:val="both"/>
      </w:pPr>
      <w:r>
        <w:rPr>
          <w:sz w:val="20"/>
        </w:rPr>
      </w:r>
    </w:p>
    <w:p>
      <w:pPr>
        <w:pStyle w:val="0"/>
        <w:outlineLvl w:val="3"/>
        <w:jc w:val="right"/>
      </w:pPr>
      <w:r>
        <w:rPr>
          <w:sz w:val="20"/>
        </w:rPr>
        <w:t xml:space="preserve">Таблица 2</w:t>
      </w:r>
    </w:p>
    <w:p>
      <w:pPr>
        <w:pStyle w:val="0"/>
      </w:pPr>
      <w:r>
        <w:rPr>
          <w:sz w:val="20"/>
        </w:rPr>
      </w:r>
    </w:p>
    <w:p>
      <w:pPr>
        <w:pStyle w:val="2"/>
        <w:jc w:val="center"/>
      </w:pPr>
      <w:r>
        <w:rPr>
          <w:sz w:val="20"/>
        </w:rPr>
        <w:t xml:space="preserve">Перечень фельдшерско-акушерских пунктов</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1474"/>
        <w:gridCol w:w="1804"/>
        <w:gridCol w:w="1804"/>
      </w:tblGrid>
      <w:tr>
        <w:tc>
          <w:tcPr>
            <w:tcW w:w="3969" w:type="dxa"/>
          </w:tcPr>
          <w:p>
            <w:pPr>
              <w:pStyle w:val="0"/>
              <w:jc w:val="center"/>
            </w:pPr>
            <w:r>
              <w:rPr>
                <w:sz w:val="20"/>
              </w:rPr>
              <w:t xml:space="preserve">Населенный пункт</w:t>
            </w:r>
          </w:p>
        </w:tc>
        <w:tc>
          <w:tcPr>
            <w:tcW w:w="1474" w:type="dxa"/>
          </w:tcPr>
          <w:p>
            <w:pPr>
              <w:pStyle w:val="0"/>
              <w:jc w:val="center"/>
            </w:pPr>
            <w:r>
              <w:rPr>
                <w:sz w:val="20"/>
              </w:rPr>
              <w:t xml:space="preserve">Сокращенное название</w:t>
            </w:r>
          </w:p>
        </w:tc>
        <w:tc>
          <w:tcPr>
            <w:tcW w:w="1804" w:type="dxa"/>
          </w:tcPr>
          <w:p>
            <w:pPr>
              <w:pStyle w:val="0"/>
              <w:jc w:val="center"/>
            </w:pPr>
            <w:r>
              <w:rPr>
                <w:sz w:val="20"/>
              </w:rPr>
              <w:t xml:space="preserve">Количество обслуживаемого населения, 2020 год, чел.</w:t>
            </w:r>
          </w:p>
        </w:tc>
        <w:tc>
          <w:tcPr>
            <w:tcW w:w="1804" w:type="dxa"/>
          </w:tcPr>
          <w:p>
            <w:pPr>
              <w:pStyle w:val="0"/>
              <w:jc w:val="center"/>
            </w:pPr>
            <w:r>
              <w:rPr>
                <w:sz w:val="20"/>
              </w:rPr>
              <w:t xml:space="preserve">Количество обслуживаемого населения, 2025 год, чел.</w:t>
            </w:r>
          </w:p>
        </w:tc>
      </w:tr>
      <w:tr>
        <w:tc>
          <w:tcPr>
            <w:tcW w:w="3969" w:type="dxa"/>
          </w:tcPr>
          <w:p>
            <w:pPr>
              <w:pStyle w:val="0"/>
              <w:jc w:val="both"/>
            </w:pPr>
            <w:r>
              <w:rPr>
                <w:sz w:val="20"/>
              </w:rPr>
              <w:t xml:space="preserve">село Хмельницкое (Балаклавский район города Севастополя)</w:t>
            </w:r>
          </w:p>
        </w:tc>
        <w:tc>
          <w:tcPr>
            <w:tcW w:w="1474" w:type="dxa"/>
          </w:tcPr>
          <w:p>
            <w:pPr>
              <w:pStyle w:val="0"/>
              <w:jc w:val="both"/>
            </w:pPr>
            <w:r>
              <w:rPr>
                <w:sz w:val="20"/>
              </w:rPr>
              <w:t xml:space="preserve">ФАП1</w:t>
            </w:r>
          </w:p>
        </w:tc>
        <w:tc>
          <w:tcPr>
            <w:tcW w:w="1804" w:type="dxa"/>
          </w:tcPr>
          <w:p>
            <w:pPr>
              <w:pStyle w:val="0"/>
              <w:jc w:val="center"/>
            </w:pPr>
            <w:r>
              <w:rPr>
                <w:sz w:val="20"/>
              </w:rPr>
              <w:t xml:space="preserve">1040</w:t>
            </w:r>
          </w:p>
        </w:tc>
        <w:tc>
          <w:tcPr>
            <w:tcW w:w="1804" w:type="dxa"/>
          </w:tcPr>
          <w:p>
            <w:pPr>
              <w:pStyle w:val="0"/>
              <w:jc w:val="center"/>
            </w:pPr>
            <w:r>
              <w:rPr>
                <w:sz w:val="20"/>
              </w:rPr>
              <w:t xml:space="preserve">1059</w:t>
            </w:r>
          </w:p>
        </w:tc>
      </w:tr>
      <w:tr>
        <w:tc>
          <w:tcPr>
            <w:tcW w:w="3969" w:type="dxa"/>
          </w:tcPr>
          <w:p>
            <w:pPr>
              <w:pStyle w:val="0"/>
              <w:jc w:val="both"/>
            </w:pPr>
            <w:r>
              <w:rPr>
                <w:sz w:val="20"/>
              </w:rPr>
              <w:t xml:space="preserve">село Первомайское (Балаклавский район города Севастополя)</w:t>
            </w:r>
          </w:p>
        </w:tc>
        <w:tc>
          <w:tcPr>
            <w:tcW w:w="1474" w:type="dxa"/>
          </w:tcPr>
          <w:p>
            <w:pPr>
              <w:pStyle w:val="0"/>
              <w:jc w:val="both"/>
            </w:pPr>
            <w:r>
              <w:rPr>
                <w:sz w:val="20"/>
              </w:rPr>
              <w:t xml:space="preserve">ФАП2</w:t>
            </w:r>
          </w:p>
        </w:tc>
        <w:tc>
          <w:tcPr>
            <w:tcW w:w="1804" w:type="dxa"/>
          </w:tcPr>
          <w:p>
            <w:pPr>
              <w:pStyle w:val="0"/>
              <w:jc w:val="center"/>
            </w:pPr>
            <w:r>
              <w:rPr>
                <w:sz w:val="20"/>
              </w:rPr>
              <w:t xml:space="preserve">936</w:t>
            </w:r>
          </w:p>
        </w:tc>
        <w:tc>
          <w:tcPr>
            <w:tcW w:w="1804" w:type="dxa"/>
          </w:tcPr>
          <w:p>
            <w:pPr>
              <w:pStyle w:val="0"/>
              <w:jc w:val="center"/>
            </w:pPr>
            <w:r>
              <w:rPr>
                <w:sz w:val="20"/>
              </w:rPr>
              <w:t xml:space="preserve">953</w:t>
            </w:r>
          </w:p>
        </w:tc>
      </w:tr>
      <w:tr>
        <w:tc>
          <w:tcPr>
            <w:tcW w:w="3969" w:type="dxa"/>
          </w:tcPr>
          <w:p>
            <w:pPr>
              <w:pStyle w:val="0"/>
              <w:jc w:val="both"/>
            </w:pPr>
            <w:r>
              <w:rPr>
                <w:sz w:val="20"/>
              </w:rPr>
              <w:t xml:space="preserve">село Передовое (Балаклавский район города Севастополя)</w:t>
            </w:r>
          </w:p>
        </w:tc>
        <w:tc>
          <w:tcPr>
            <w:tcW w:w="1474" w:type="dxa"/>
          </w:tcPr>
          <w:p>
            <w:pPr>
              <w:pStyle w:val="0"/>
              <w:jc w:val="both"/>
            </w:pPr>
            <w:r>
              <w:rPr>
                <w:sz w:val="20"/>
              </w:rPr>
              <w:t xml:space="preserve">ФАП3</w:t>
            </w:r>
          </w:p>
        </w:tc>
        <w:tc>
          <w:tcPr>
            <w:tcW w:w="1804" w:type="dxa"/>
          </w:tcPr>
          <w:p>
            <w:pPr>
              <w:pStyle w:val="0"/>
              <w:jc w:val="center"/>
            </w:pPr>
            <w:r>
              <w:rPr>
                <w:sz w:val="20"/>
              </w:rPr>
              <w:t xml:space="preserve">912</w:t>
            </w:r>
          </w:p>
        </w:tc>
        <w:tc>
          <w:tcPr>
            <w:tcW w:w="1804" w:type="dxa"/>
          </w:tcPr>
          <w:p>
            <w:pPr>
              <w:pStyle w:val="0"/>
              <w:jc w:val="center"/>
            </w:pPr>
            <w:r>
              <w:rPr>
                <w:sz w:val="20"/>
              </w:rPr>
              <w:t xml:space="preserve">927</w:t>
            </w:r>
          </w:p>
        </w:tc>
      </w:tr>
      <w:tr>
        <w:tc>
          <w:tcPr>
            <w:tcW w:w="3969" w:type="dxa"/>
          </w:tcPr>
          <w:p>
            <w:pPr>
              <w:pStyle w:val="0"/>
              <w:jc w:val="both"/>
            </w:pPr>
            <w:r>
              <w:rPr>
                <w:sz w:val="20"/>
              </w:rPr>
              <w:t xml:space="preserve">село Родниковое (Балаклавский район города Севастополя)</w:t>
            </w:r>
          </w:p>
        </w:tc>
        <w:tc>
          <w:tcPr>
            <w:tcW w:w="1474" w:type="dxa"/>
          </w:tcPr>
          <w:p>
            <w:pPr>
              <w:pStyle w:val="0"/>
              <w:jc w:val="both"/>
            </w:pPr>
            <w:r>
              <w:rPr>
                <w:sz w:val="20"/>
              </w:rPr>
              <w:t xml:space="preserve">ФАП4</w:t>
            </w:r>
          </w:p>
        </w:tc>
        <w:tc>
          <w:tcPr>
            <w:tcW w:w="1804" w:type="dxa"/>
          </w:tcPr>
          <w:p>
            <w:pPr>
              <w:pStyle w:val="0"/>
              <w:jc w:val="center"/>
            </w:pPr>
            <w:r>
              <w:rPr>
                <w:sz w:val="20"/>
              </w:rPr>
              <w:t xml:space="preserve">754</w:t>
            </w:r>
          </w:p>
        </w:tc>
        <w:tc>
          <w:tcPr>
            <w:tcW w:w="1804" w:type="dxa"/>
          </w:tcPr>
          <w:p>
            <w:pPr>
              <w:pStyle w:val="0"/>
              <w:jc w:val="center"/>
            </w:pPr>
            <w:r>
              <w:rPr>
                <w:sz w:val="20"/>
              </w:rPr>
              <w:t xml:space="preserve">768</w:t>
            </w:r>
          </w:p>
        </w:tc>
      </w:tr>
      <w:tr>
        <w:tc>
          <w:tcPr>
            <w:tcW w:w="3969" w:type="dxa"/>
          </w:tcPr>
          <w:p>
            <w:pPr>
              <w:pStyle w:val="0"/>
              <w:jc w:val="both"/>
            </w:pPr>
            <w:r>
              <w:rPr>
                <w:sz w:val="20"/>
              </w:rPr>
              <w:t xml:space="preserve">село Тыловое (Балаклавский район города Севастополя)</w:t>
            </w:r>
          </w:p>
        </w:tc>
        <w:tc>
          <w:tcPr>
            <w:tcW w:w="1474" w:type="dxa"/>
          </w:tcPr>
          <w:p>
            <w:pPr>
              <w:pStyle w:val="0"/>
              <w:jc w:val="both"/>
            </w:pPr>
            <w:r>
              <w:rPr>
                <w:sz w:val="20"/>
              </w:rPr>
              <w:t xml:space="preserve">ФАП5</w:t>
            </w:r>
          </w:p>
        </w:tc>
        <w:tc>
          <w:tcPr>
            <w:tcW w:w="1804" w:type="dxa"/>
          </w:tcPr>
          <w:p>
            <w:pPr>
              <w:pStyle w:val="0"/>
              <w:jc w:val="center"/>
            </w:pPr>
            <w:r>
              <w:rPr>
                <w:sz w:val="20"/>
              </w:rPr>
              <w:t xml:space="preserve">579</w:t>
            </w:r>
          </w:p>
        </w:tc>
        <w:tc>
          <w:tcPr>
            <w:tcW w:w="1804" w:type="dxa"/>
          </w:tcPr>
          <w:p>
            <w:pPr>
              <w:pStyle w:val="0"/>
              <w:jc w:val="center"/>
            </w:pPr>
            <w:r>
              <w:rPr>
                <w:sz w:val="20"/>
              </w:rPr>
              <w:t xml:space="preserve">589</w:t>
            </w:r>
          </w:p>
        </w:tc>
      </w:tr>
      <w:tr>
        <w:tc>
          <w:tcPr>
            <w:tcW w:w="3969" w:type="dxa"/>
          </w:tcPr>
          <w:p>
            <w:pPr>
              <w:pStyle w:val="0"/>
              <w:jc w:val="both"/>
            </w:pPr>
            <w:r>
              <w:rPr>
                <w:sz w:val="20"/>
              </w:rPr>
              <w:t xml:space="preserve">село Широкое (Балаклавский район города Севастополя)</w:t>
            </w:r>
          </w:p>
        </w:tc>
        <w:tc>
          <w:tcPr>
            <w:tcW w:w="1474" w:type="dxa"/>
          </w:tcPr>
          <w:p>
            <w:pPr>
              <w:pStyle w:val="0"/>
              <w:jc w:val="both"/>
            </w:pPr>
            <w:r>
              <w:rPr>
                <w:sz w:val="20"/>
              </w:rPr>
              <w:t xml:space="preserve">ФАП6</w:t>
            </w:r>
          </w:p>
        </w:tc>
        <w:tc>
          <w:tcPr>
            <w:tcW w:w="1804" w:type="dxa"/>
          </w:tcPr>
          <w:p>
            <w:pPr>
              <w:pStyle w:val="0"/>
              <w:jc w:val="center"/>
            </w:pPr>
            <w:r>
              <w:rPr>
                <w:sz w:val="20"/>
              </w:rPr>
              <w:t xml:space="preserve">766</w:t>
            </w:r>
          </w:p>
        </w:tc>
        <w:tc>
          <w:tcPr>
            <w:tcW w:w="1804" w:type="dxa"/>
          </w:tcPr>
          <w:p>
            <w:pPr>
              <w:pStyle w:val="0"/>
              <w:jc w:val="center"/>
            </w:pPr>
            <w:r>
              <w:rPr>
                <w:sz w:val="20"/>
              </w:rPr>
              <w:t xml:space="preserve">780</w:t>
            </w:r>
          </w:p>
        </w:tc>
      </w:tr>
      <w:tr>
        <w:tc>
          <w:tcPr>
            <w:tcW w:w="3969" w:type="dxa"/>
          </w:tcPr>
          <w:p>
            <w:pPr>
              <w:pStyle w:val="0"/>
              <w:jc w:val="both"/>
            </w:pPr>
            <w:r>
              <w:rPr>
                <w:sz w:val="20"/>
              </w:rPr>
              <w:t xml:space="preserve">село Гончарное (Балаклавский район города Севастополя)</w:t>
            </w:r>
          </w:p>
        </w:tc>
        <w:tc>
          <w:tcPr>
            <w:tcW w:w="1474" w:type="dxa"/>
          </w:tcPr>
          <w:p>
            <w:pPr>
              <w:pStyle w:val="0"/>
              <w:jc w:val="both"/>
            </w:pPr>
            <w:r>
              <w:rPr>
                <w:sz w:val="20"/>
              </w:rPr>
              <w:t xml:space="preserve">ФАП7</w:t>
            </w:r>
          </w:p>
        </w:tc>
        <w:tc>
          <w:tcPr>
            <w:tcW w:w="1804" w:type="dxa"/>
          </w:tcPr>
          <w:p>
            <w:pPr>
              <w:pStyle w:val="0"/>
              <w:jc w:val="center"/>
            </w:pPr>
            <w:r>
              <w:rPr>
                <w:sz w:val="20"/>
              </w:rPr>
              <w:t xml:space="preserve">822</w:t>
            </w:r>
          </w:p>
        </w:tc>
        <w:tc>
          <w:tcPr>
            <w:tcW w:w="1804" w:type="dxa"/>
          </w:tcPr>
          <w:p>
            <w:pPr>
              <w:pStyle w:val="0"/>
              <w:jc w:val="center"/>
            </w:pPr>
            <w:r>
              <w:rPr>
                <w:sz w:val="20"/>
              </w:rPr>
              <w:t xml:space="preserve">837</w:t>
            </w:r>
          </w:p>
        </w:tc>
      </w:tr>
      <w:tr>
        <w:tc>
          <w:tcPr>
            <w:tcW w:w="3969" w:type="dxa"/>
          </w:tcPr>
          <w:p>
            <w:pPr>
              <w:pStyle w:val="0"/>
              <w:jc w:val="both"/>
            </w:pPr>
            <w:r>
              <w:rPr>
                <w:sz w:val="20"/>
              </w:rPr>
              <w:t xml:space="preserve">село Родное (Балаклавский район города Севастополя)</w:t>
            </w:r>
          </w:p>
        </w:tc>
        <w:tc>
          <w:tcPr>
            <w:tcW w:w="1474" w:type="dxa"/>
          </w:tcPr>
          <w:p>
            <w:pPr>
              <w:pStyle w:val="0"/>
              <w:jc w:val="both"/>
            </w:pPr>
            <w:r>
              <w:rPr>
                <w:sz w:val="20"/>
              </w:rPr>
              <w:t xml:space="preserve">ФАП8</w:t>
            </w:r>
          </w:p>
        </w:tc>
        <w:tc>
          <w:tcPr>
            <w:tcW w:w="1804" w:type="dxa"/>
          </w:tcPr>
          <w:p>
            <w:pPr>
              <w:pStyle w:val="0"/>
              <w:jc w:val="center"/>
            </w:pPr>
            <w:r>
              <w:rPr>
                <w:sz w:val="20"/>
              </w:rPr>
              <w:t xml:space="preserve">709</w:t>
            </w:r>
          </w:p>
        </w:tc>
        <w:tc>
          <w:tcPr>
            <w:tcW w:w="1804" w:type="dxa"/>
          </w:tcPr>
          <w:p>
            <w:pPr>
              <w:pStyle w:val="0"/>
              <w:jc w:val="center"/>
            </w:pPr>
            <w:r>
              <w:rPr>
                <w:sz w:val="20"/>
              </w:rPr>
              <w:t xml:space="preserve">721</w:t>
            </w:r>
          </w:p>
        </w:tc>
      </w:tr>
      <w:tr>
        <w:tc>
          <w:tcPr>
            <w:tcW w:w="3969" w:type="dxa"/>
          </w:tcPr>
          <w:p>
            <w:pPr>
              <w:pStyle w:val="0"/>
              <w:jc w:val="both"/>
            </w:pPr>
            <w:r>
              <w:rPr>
                <w:sz w:val="20"/>
              </w:rPr>
              <w:t xml:space="preserve">село Дальнее (Нахимовский район города Севастополя)</w:t>
            </w:r>
          </w:p>
        </w:tc>
        <w:tc>
          <w:tcPr>
            <w:tcW w:w="1474" w:type="dxa"/>
          </w:tcPr>
          <w:p>
            <w:pPr>
              <w:pStyle w:val="0"/>
              <w:jc w:val="both"/>
            </w:pPr>
            <w:r>
              <w:rPr>
                <w:sz w:val="20"/>
              </w:rPr>
              <w:t xml:space="preserve">ФАП9</w:t>
            </w:r>
          </w:p>
        </w:tc>
        <w:tc>
          <w:tcPr>
            <w:tcW w:w="1804" w:type="dxa"/>
          </w:tcPr>
          <w:p>
            <w:pPr>
              <w:pStyle w:val="0"/>
              <w:jc w:val="center"/>
            </w:pPr>
            <w:r>
              <w:rPr>
                <w:sz w:val="20"/>
              </w:rPr>
              <w:t xml:space="preserve">579</w:t>
            </w:r>
          </w:p>
        </w:tc>
        <w:tc>
          <w:tcPr>
            <w:tcW w:w="1804" w:type="dxa"/>
          </w:tcPr>
          <w:p>
            <w:pPr>
              <w:pStyle w:val="0"/>
              <w:jc w:val="center"/>
            </w:pPr>
            <w:r>
              <w:rPr>
                <w:sz w:val="20"/>
              </w:rPr>
              <w:t xml:space="preserve">590</w:t>
            </w:r>
          </w:p>
        </w:tc>
      </w:tr>
      <w:tr>
        <w:tc>
          <w:tcPr>
            <w:tcW w:w="3969" w:type="dxa"/>
          </w:tcPr>
          <w:p>
            <w:pPr>
              <w:pStyle w:val="0"/>
              <w:jc w:val="both"/>
            </w:pPr>
            <w:r>
              <w:rPr>
                <w:sz w:val="20"/>
              </w:rPr>
              <w:t xml:space="preserve">село Поворотное (Нахимовский район города Севастополя)</w:t>
            </w:r>
          </w:p>
        </w:tc>
        <w:tc>
          <w:tcPr>
            <w:tcW w:w="1474" w:type="dxa"/>
          </w:tcPr>
          <w:p>
            <w:pPr>
              <w:pStyle w:val="0"/>
              <w:jc w:val="both"/>
            </w:pPr>
            <w:r>
              <w:rPr>
                <w:sz w:val="20"/>
              </w:rPr>
              <w:t xml:space="preserve">ФАП10</w:t>
            </w:r>
          </w:p>
        </w:tc>
        <w:tc>
          <w:tcPr>
            <w:tcW w:w="1804" w:type="dxa"/>
          </w:tcPr>
          <w:p>
            <w:pPr>
              <w:pStyle w:val="0"/>
              <w:jc w:val="center"/>
            </w:pPr>
            <w:r>
              <w:rPr>
                <w:sz w:val="20"/>
              </w:rPr>
              <w:t xml:space="preserve">1024</w:t>
            </w:r>
          </w:p>
        </w:tc>
        <w:tc>
          <w:tcPr>
            <w:tcW w:w="1804" w:type="dxa"/>
          </w:tcPr>
          <w:p>
            <w:pPr>
              <w:pStyle w:val="0"/>
              <w:jc w:val="center"/>
            </w:pPr>
            <w:r>
              <w:rPr>
                <w:sz w:val="20"/>
              </w:rPr>
              <w:t xml:space="preserve">1042</w:t>
            </w:r>
          </w:p>
        </w:tc>
      </w:tr>
      <w:tr>
        <w:tc>
          <w:tcPr>
            <w:tcW w:w="3969" w:type="dxa"/>
          </w:tcPr>
          <w:p>
            <w:pPr>
              <w:pStyle w:val="0"/>
              <w:jc w:val="both"/>
            </w:pPr>
            <w:r>
              <w:rPr>
                <w:sz w:val="20"/>
              </w:rPr>
              <w:t xml:space="preserve">село Фронтовое (Нахимовский район города Севастополя)</w:t>
            </w:r>
          </w:p>
        </w:tc>
        <w:tc>
          <w:tcPr>
            <w:tcW w:w="1474" w:type="dxa"/>
          </w:tcPr>
          <w:p>
            <w:pPr>
              <w:pStyle w:val="0"/>
              <w:jc w:val="both"/>
            </w:pPr>
            <w:r>
              <w:rPr>
                <w:sz w:val="20"/>
              </w:rPr>
              <w:t xml:space="preserve">ФАП11</w:t>
            </w:r>
          </w:p>
        </w:tc>
        <w:tc>
          <w:tcPr>
            <w:tcW w:w="1804" w:type="dxa"/>
          </w:tcPr>
          <w:p>
            <w:pPr>
              <w:pStyle w:val="0"/>
              <w:jc w:val="center"/>
            </w:pPr>
            <w:r>
              <w:rPr>
                <w:sz w:val="20"/>
              </w:rPr>
              <w:t xml:space="preserve">1049</w:t>
            </w:r>
          </w:p>
        </w:tc>
        <w:tc>
          <w:tcPr>
            <w:tcW w:w="1804" w:type="dxa"/>
          </w:tcPr>
          <w:p>
            <w:pPr>
              <w:pStyle w:val="0"/>
              <w:jc w:val="center"/>
            </w:pPr>
            <w:r>
              <w:rPr>
                <w:sz w:val="20"/>
              </w:rPr>
              <w:t xml:space="preserve">1068</w:t>
            </w:r>
          </w:p>
        </w:tc>
      </w:tr>
      <w:tr>
        <w:tc>
          <w:tcPr>
            <w:tcW w:w="3969" w:type="dxa"/>
          </w:tcPr>
          <w:p>
            <w:pPr>
              <w:pStyle w:val="0"/>
              <w:jc w:val="both"/>
            </w:pPr>
            <w:r>
              <w:rPr>
                <w:sz w:val="20"/>
              </w:rPr>
              <w:t xml:space="preserve">село Андреевка (Нахимовский район города Севастополя)</w:t>
            </w:r>
          </w:p>
        </w:tc>
        <w:tc>
          <w:tcPr>
            <w:tcW w:w="1474" w:type="dxa"/>
          </w:tcPr>
          <w:p>
            <w:pPr>
              <w:pStyle w:val="0"/>
              <w:jc w:val="both"/>
            </w:pPr>
            <w:r>
              <w:rPr>
                <w:sz w:val="20"/>
              </w:rPr>
              <w:t xml:space="preserve">ФАП12</w:t>
            </w:r>
          </w:p>
        </w:tc>
        <w:tc>
          <w:tcPr>
            <w:tcW w:w="1804" w:type="dxa"/>
          </w:tcPr>
          <w:p>
            <w:pPr>
              <w:pStyle w:val="0"/>
              <w:jc w:val="center"/>
            </w:pPr>
            <w:r>
              <w:rPr>
                <w:sz w:val="20"/>
              </w:rPr>
              <w:t xml:space="preserve">1326</w:t>
            </w:r>
          </w:p>
        </w:tc>
        <w:tc>
          <w:tcPr>
            <w:tcW w:w="1804" w:type="dxa"/>
          </w:tcPr>
          <w:p>
            <w:pPr>
              <w:pStyle w:val="0"/>
              <w:jc w:val="center"/>
            </w:pPr>
            <w:r>
              <w:rPr>
                <w:sz w:val="20"/>
              </w:rPr>
              <w:t xml:space="preserve">1349</w:t>
            </w:r>
          </w:p>
        </w:tc>
      </w:tr>
      <w:tr>
        <w:tc>
          <w:tcPr>
            <w:tcW w:w="3969" w:type="dxa"/>
          </w:tcPr>
          <w:p>
            <w:pPr>
              <w:pStyle w:val="0"/>
              <w:jc w:val="both"/>
            </w:pPr>
            <w:r>
              <w:rPr>
                <w:sz w:val="20"/>
              </w:rPr>
              <w:t xml:space="preserve">село Вишневое (Нахимовский район города Севастополя)</w:t>
            </w:r>
          </w:p>
        </w:tc>
        <w:tc>
          <w:tcPr>
            <w:tcW w:w="1474" w:type="dxa"/>
          </w:tcPr>
          <w:p>
            <w:pPr>
              <w:pStyle w:val="0"/>
              <w:jc w:val="both"/>
            </w:pPr>
            <w:r>
              <w:rPr>
                <w:sz w:val="20"/>
              </w:rPr>
              <w:t xml:space="preserve">ФАП13</w:t>
            </w:r>
          </w:p>
        </w:tc>
        <w:tc>
          <w:tcPr>
            <w:tcW w:w="1804" w:type="dxa"/>
          </w:tcPr>
          <w:p>
            <w:pPr>
              <w:pStyle w:val="0"/>
              <w:jc w:val="center"/>
            </w:pPr>
            <w:r>
              <w:rPr>
                <w:sz w:val="20"/>
              </w:rPr>
              <w:t xml:space="preserve">764</w:t>
            </w:r>
          </w:p>
        </w:tc>
        <w:tc>
          <w:tcPr>
            <w:tcW w:w="1804" w:type="dxa"/>
          </w:tcPr>
          <w:p>
            <w:pPr>
              <w:pStyle w:val="0"/>
              <w:jc w:val="center"/>
            </w:pPr>
            <w:r>
              <w:rPr>
                <w:sz w:val="20"/>
              </w:rPr>
              <w:t xml:space="preserve">777</w:t>
            </w:r>
          </w:p>
        </w:tc>
      </w:tr>
    </w:tbl>
    <w:p>
      <w:pPr>
        <w:pStyle w:val="0"/>
      </w:pPr>
      <w:r>
        <w:rPr>
          <w:sz w:val="20"/>
        </w:rPr>
      </w:r>
    </w:p>
    <w:p>
      <w:pPr>
        <w:pStyle w:val="0"/>
        <w:outlineLvl w:val="3"/>
        <w:jc w:val="right"/>
      </w:pPr>
      <w:r>
        <w:rPr>
          <w:sz w:val="20"/>
        </w:rPr>
        <w:t xml:space="preserve">Таблица 3</w:t>
      </w:r>
    </w:p>
    <w:p>
      <w:pPr>
        <w:pStyle w:val="0"/>
      </w:pPr>
      <w:r>
        <w:rPr>
          <w:sz w:val="20"/>
        </w:rPr>
      </w:r>
    </w:p>
    <w:p>
      <w:pPr>
        <w:pStyle w:val="2"/>
        <w:jc w:val="center"/>
      </w:pPr>
      <w:r>
        <w:rPr>
          <w:sz w:val="20"/>
        </w:rPr>
        <w:t xml:space="preserve">Перечень врачебных амбулаторий</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1474"/>
        <w:gridCol w:w="1804"/>
        <w:gridCol w:w="1804"/>
      </w:tblGrid>
      <w:tr>
        <w:tc>
          <w:tcPr>
            <w:tcW w:w="3969" w:type="dxa"/>
          </w:tcPr>
          <w:p>
            <w:pPr>
              <w:pStyle w:val="0"/>
              <w:jc w:val="center"/>
            </w:pPr>
            <w:r>
              <w:rPr>
                <w:sz w:val="20"/>
              </w:rPr>
              <w:t xml:space="preserve">Населенный пункт</w:t>
            </w:r>
          </w:p>
        </w:tc>
        <w:tc>
          <w:tcPr>
            <w:tcW w:w="1474" w:type="dxa"/>
          </w:tcPr>
          <w:p>
            <w:pPr>
              <w:pStyle w:val="0"/>
              <w:jc w:val="center"/>
            </w:pPr>
            <w:r>
              <w:rPr>
                <w:sz w:val="20"/>
              </w:rPr>
              <w:t xml:space="preserve">Сокращенное название</w:t>
            </w:r>
          </w:p>
        </w:tc>
        <w:tc>
          <w:tcPr>
            <w:tcW w:w="1804" w:type="dxa"/>
          </w:tcPr>
          <w:p>
            <w:pPr>
              <w:pStyle w:val="0"/>
              <w:jc w:val="center"/>
            </w:pPr>
            <w:r>
              <w:rPr>
                <w:sz w:val="20"/>
              </w:rPr>
              <w:t xml:space="preserve">Количество обслуживаемого населения, 2020 год, чел.</w:t>
            </w:r>
          </w:p>
        </w:tc>
        <w:tc>
          <w:tcPr>
            <w:tcW w:w="1804" w:type="dxa"/>
          </w:tcPr>
          <w:p>
            <w:pPr>
              <w:pStyle w:val="0"/>
              <w:jc w:val="center"/>
            </w:pPr>
            <w:r>
              <w:rPr>
                <w:sz w:val="20"/>
              </w:rPr>
              <w:t xml:space="preserve">Количество обслуживаемого населения, 2025 год, чел.</w:t>
            </w:r>
          </w:p>
        </w:tc>
      </w:tr>
      <w:tr>
        <w:tc>
          <w:tcPr>
            <w:tcW w:w="3969" w:type="dxa"/>
          </w:tcPr>
          <w:p>
            <w:pPr>
              <w:pStyle w:val="0"/>
              <w:jc w:val="both"/>
            </w:pPr>
            <w:r>
              <w:rPr>
                <w:sz w:val="20"/>
              </w:rPr>
              <w:t xml:space="preserve">поселок Кача</w:t>
            </w:r>
          </w:p>
        </w:tc>
        <w:tc>
          <w:tcPr>
            <w:tcW w:w="1474" w:type="dxa"/>
          </w:tcPr>
          <w:p>
            <w:pPr>
              <w:pStyle w:val="0"/>
              <w:jc w:val="both"/>
            </w:pPr>
            <w:r>
              <w:rPr>
                <w:sz w:val="20"/>
              </w:rPr>
              <w:t xml:space="preserve">ВА1</w:t>
            </w:r>
          </w:p>
        </w:tc>
        <w:tc>
          <w:tcPr>
            <w:tcW w:w="1804" w:type="dxa"/>
          </w:tcPr>
          <w:p>
            <w:pPr>
              <w:pStyle w:val="0"/>
              <w:jc w:val="center"/>
            </w:pPr>
            <w:r>
              <w:rPr>
                <w:sz w:val="20"/>
              </w:rPr>
              <w:t xml:space="preserve">4911</w:t>
            </w:r>
          </w:p>
        </w:tc>
        <w:tc>
          <w:tcPr>
            <w:tcW w:w="1804" w:type="dxa"/>
          </w:tcPr>
          <w:p>
            <w:pPr>
              <w:pStyle w:val="0"/>
              <w:jc w:val="center"/>
            </w:pPr>
            <w:r>
              <w:rPr>
                <w:sz w:val="20"/>
              </w:rPr>
              <w:t xml:space="preserve">5423</w:t>
            </w:r>
          </w:p>
        </w:tc>
      </w:tr>
      <w:tr>
        <w:tc>
          <w:tcPr>
            <w:tcW w:w="3969" w:type="dxa"/>
          </w:tcPr>
          <w:p>
            <w:pPr>
              <w:pStyle w:val="0"/>
              <w:jc w:val="both"/>
            </w:pPr>
            <w:r>
              <w:rPr>
                <w:sz w:val="20"/>
              </w:rPr>
              <w:t xml:space="preserve">поселок Сахарная головка (Балаклавский район города Севастополя)</w:t>
            </w:r>
          </w:p>
        </w:tc>
        <w:tc>
          <w:tcPr>
            <w:tcW w:w="1474" w:type="dxa"/>
          </w:tcPr>
          <w:p>
            <w:pPr>
              <w:pStyle w:val="0"/>
              <w:jc w:val="both"/>
            </w:pPr>
            <w:r>
              <w:rPr>
                <w:sz w:val="20"/>
              </w:rPr>
              <w:t xml:space="preserve">ВА2</w:t>
            </w:r>
          </w:p>
        </w:tc>
        <w:tc>
          <w:tcPr>
            <w:tcW w:w="1804" w:type="dxa"/>
          </w:tcPr>
          <w:p>
            <w:pPr>
              <w:pStyle w:val="0"/>
              <w:jc w:val="center"/>
            </w:pPr>
            <w:r>
              <w:rPr>
                <w:sz w:val="20"/>
              </w:rPr>
              <w:t xml:space="preserve">5800</w:t>
            </w:r>
          </w:p>
        </w:tc>
        <w:tc>
          <w:tcPr>
            <w:tcW w:w="1804" w:type="dxa"/>
          </w:tcPr>
          <w:p>
            <w:pPr>
              <w:pStyle w:val="0"/>
              <w:jc w:val="center"/>
            </w:pPr>
            <w:r>
              <w:rPr>
                <w:sz w:val="20"/>
              </w:rPr>
              <w:t xml:space="preserve">5900</w:t>
            </w:r>
          </w:p>
        </w:tc>
      </w:tr>
      <w:tr>
        <w:tc>
          <w:tcPr>
            <w:tcW w:w="3969" w:type="dxa"/>
          </w:tcPr>
          <w:p>
            <w:pPr>
              <w:pStyle w:val="0"/>
              <w:jc w:val="both"/>
            </w:pPr>
            <w:r>
              <w:rPr>
                <w:sz w:val="20"/>
              </w:rPr>
              <w:t xml:space="preserve">село Орлиное (Балаклавский район города Севастополя)</w:t>
            </w:r>
          </w:p>
        </w:tc>
        <w:tc>
          <w:tcPr>
            <w:tcW w:w="1474" w:type="dxa"/>
          </w:tcPr>
          <w:p>
            <w:pPr>
              <w:pStyle w:val="0"/>
              <w:jc w:val="both"/>
            </w:pPr>
            <w:r>
              <w:rPr>
                <w:sz w:val="20"/>
              </w:rPr>
              <w:t xml:space="preserve">ВА3</w:t>
            </w:r>
          </w:p>
        </w:tc>
        <w:tc>
          <w:tcPr>
            <w:tcW w:w="1804" w:type="dxa"/>
          </w:tcPr>
          <w:p>
            <w:pPr>
              <w:pStyle w:val="0"/>
              <w:jc w:val="center"/>
            </w:pPr>
            <w:r>
              <w:rPr>
                <w:sz w:val="20"/>
              </w:rPr>
              <w:t xml:space="preserve">6524</w:t>
            </w:r>
          </w:p>
        </w:tc>
        <w:tc>
          <w:tcPr>
            <w:tcW w:w="1804" w:type="dxa"/>
          </w:tcPr>
          <w:p>
            <w:pPr>
              <w:pStyle w:val="0"/>
              <w:jc w:val="center"/>
            </w:pPr>
            <w:r>
              <w:rPr>
                <w:sz w:val="20"/>
              </w:rPr>
              <w:t xml:space="preserve">6638</w:t>
            </w:r>
          </w:p>
        </w:tc>
      </w:tr>
      <w:tr>
        <w:tc>
          <w:tcPr>
            <w:tcW w:w="3969" w:type="dxa"/>
          </w:tcPr>
          <w:p>
            <w:pPr>
              <w:pStyle w:val="0"/>
              <w:jc w:val="both"/>
            </w:pPr>
            <w:r>
              <w:rPr>
                <w:sz w:val="20"/>
              </w:rPr>
              <w:t xml:space="preserve">село Терновка (Балаклавский район города Севастополя)</w:t>
            </w:r>
          </w:p>
        </w:tc>
        <w:tc>
          <w:tcPr>
            <w:tcW w:w="1474" w:type="dxa"/>
          </w:tcPr>
          <w:p>
            <w:pPr>
              <w:pStyle w:val="0"/>
              <w:jc w:val="both"/>
            </w:pPr>
            <w:r>
              <w:rPr>
                <w:sz w:val="20"/>
              </w:rPr>
              <w:t xml:space="preserve">ВА4</w:t>
            </w:r>
          </w:p>
        </w:tc>
        <w:tc>
          <w:tcPr>
            <w:tcW w:w="1804" w:type="dxa"/>
          </w:tcPr>
          <w:p>
            <w:pPr>
              <w:pStyle w:val="0"/>
              <w:jc w:val="center"/>
            </w:pPr>
            <w:r>
              <w:rPr>
                <w:sz w:val="20"/>
              </w:rPr>
              <w:t xml:space="preserve">2514</w:t>
            </w:r>
          </w:p>
        </w:tc>
        <w:tc>
          <w:tcPr>
            <w:tcW w:w="1804" w:type="dxa"/>
          </w:tcPr>
          <w:p>
            <w:pPr>
              <w:pStyle w:val="0"/>
              <w:jc w:val="center"/>
            </w:pPr>
            <w:r>
              <w:rPr>
                <w:sz w:val="20"/>
              </w:rPr>
              <w:t xml:space="preserve">2557</w:t>
            </w:r>
          </w:p>
        </w:tc>
      </w:tr>
      <w:tr>
        <w:tc>
          <w:tcPr>
            <w:tcW w:w="3969" w:type="dxa"/>
          </w:tcPr>
          <w:p>
            <w:pPr>
              <w:pStyle w:val="0"/>
              <w:jc w:val="both"/>
            </w:pPr>
            <w:r>
              <w:rPr>
                <w:sz w:val="20"/>
              </w:rPr>
              <w:t xml:space="preserve">село Верхнесадовое (Нахимовский район города Севастополя)</w:t>
            </w:r>
          </w:p>
        </w:tc>
        <w:tc>
          <w:tcPr>
            <w:tcW w:w="1474" w:type="dxa"/>
          </w:tcPr>
          <w:p>
            <w:pPr>
              <w:pStyle w:val="0"/>
              <w:jc w:val="both"/>
            </w:pPr>
            <w:r>
              <w:rPr>
                <w:sz w:val="20"/>
              </w:rPr>
              <w:t xml:space="preserve">ВА5</w:t>
            </w:r>
          </w:p>
        </w:tc>
        <w:tc>
          <w:tcPr>
            <w:tcW w:w="1804" w:type="dxa"/>
          </w:tcPr>
          <w:p>
            <w:pPr>
              <w:pStyle w:val="0"/>
              <w:jc w:val="center"/>
            </w:pPr>
            <w:r>
              <w:rPr>
                <w:sz w:val="20"/>
              </w:rPr>
              <w:t xml:space="preserve">5467</w:t>
            </w:r>
          </w:p>
        </w:tc>
        <w:tc>
          <w:tcPr>
            <w:tcW w:w="1804" w:type="dxa"/>
          </w:tcPr>
          <w:p>
            <w:pPr>
              <w:pStyle w:val="0"/>
              <w:jc w:val="center"/>
            </w:pPr>
            <w:r>
              <w:rPr>
                <w:sz w:val="20"/>
              </w:rPr>
              <w:t xml:space="preserve">5564</w:t>
            </w:r>
          </w:p>
        </w:tc>
      </w:tr>
      <w:tr>
        <w:tc>
          <w:tcPr>
            <w:tcW w:w="3969" w:type="dxa"/>
          </w:tcPr>
          <w:p>
            <w:pPr>
              <w:pStyle w:val="0"/>
              <w:jc w:val="both"/>
            </w:pPr>
            <w:r>
              <w:rPr>
                <w:sz w:val="20"/>
              </w:rPr>
              <w:t xml:space="preserve">поселок Солнечный (Нахимовский район города Севастополя)</w:t>
            </w:r>
          </w:p>
        </w:tc>
        <w:tc>
          <w:tcPr>
            <w:tcW w:w="1474" w:type="dxa"/>
          </w:tcPr>
          <w:p>
            <w:pPr>
              <w:pStyle w:val="0"/>
              <w:jc w:val="both"/>
            </w:pPr>
            <w:r>
              <w:rPr>
                <w:sz w:val="20"/>
              </w:rPr>
              <w:t xml:space="preserve">ВА6</w:t>
            </w:r>
          </w:p>
        </w:tc>
        <w:tc>
          <w:tcPr>
            <w:tcW w:w="1804" w:type="dxa"/>
          </w:tcPr>
          <w:p>
            <w:pPr>
              <w:pStyle w:val="0"/>
              <w:jc w:val="center"/>
            </w:pPr>
            <w:r>
              <w:rPr>
                <w:sz w:val="20"/>
              </w:rPr>
              <w:t xml:space="preserve">3003</w:t>
            </w:r>
          </w:p>
        </w:tc>
        <w:tc>
          <w:tcPr>
            <w:tcW w:w="1804" w:type="dxa"/>
          </w:tcPr>
          <w:p>
            <w:pPr>
              <w:pStyle w:val="0"/>
              <w:jc w:val="center"/>
            </w:pPr>
            <w:r>
              <w:rPr>
                <w:sz w:val="20"/>
              </w:rPr>
              <w:t xml:space="preserve">3055</w:t>
            </w:r>
          </w:p>
        </w:tc>
      </w:tr>
      <w:tr>
        <w:tc>
          <w:tcPr>
            <w:tcW w:w="3969" w:type="dxa"/>
          </w:tcPr>
          <w:p>
            <w:pPr>
              <w:pStyle w:val="0"/>
              <w:jc w:val="both"/>
            </w:pPr>
            <w:r>
              <w:rPr>
                <w:sz w:val="20"/>
              </w:rPr>
              <w:t xml:space="preserve">село Осипенко (Нахимовский район города Севастополя)</w:t>
            </w:r>
          </w:p>
        </w:tc>
        <w:tc>
          <w:tcPr>
            <w:tcW w:w="1474" w:type="dxa"/>
          </w:tcPr>
          <w:p>
            <w:pPr>
              <w:pStyle w:val="0"/>
              <w:jc w:val="both"/>
            </w:pPr>
            <w:r>
              <w:rPr>
                <w:sz w:val="20"/>
              </w:rPr>
              <w:t xml:space="preserve">ВА7</w:t>
            </w:r>
          </w:p>
        </w:tc>
        <w:tc>
          <w:tcPr>
            <w:tcW w:w="1804" w:type="dxa"/>
          </w:tcPr>
          <w:p>
            <w:pPr>
              <w:pStyle w:val="0"/>
              <w:jc w:val="center"/>
            </w:pPr>
            <w:r>
              <w:rPr>
                <w:sz w:val="20"/>
              </w:rPr>
              <w:t xml:space="preserve">4056</w:t>
            </w:r>
          </w:p>
        </w:tc>
        <w:tc>
          <w:tcPr>
            <w:tcW w:w="1804" w:type="dxa"/>
          </w:tcPr>
          <w:p>
            <w:pPr>
              <w:pStyle w:val="0"/>
              <w:jc w:val="center"/>
            </w:pPr>
            <w:r>
              <w:rPr>
                <w:sz w:val="20"/>
              </w:rPr>
              <w:t xml:space="preserve">4126</w:t>
            </w:r>
          </w:p>
        </w:tc>
      </w:tr>
    </w:tbl>
    <w:p>
      <w:pPr>
        <w:pStyle w:val="0"/>
        <w:ind w:firstLine="540"/>
        <w:jc w:val="both"/>
      </w:pPr>
      <w:r>
        <w:rPr>
          <w:sz w:val="20"/>
        </w:rPr>
      </w:r>
    </w:p>
    <w:p>
      <w:pPr>
        <w:pStyle w:val="0"/>
        <w:outlineLvl w:val="3"/>
        <w:jc w:val="right"/>
      </w:pPr>
      <w:r>
        <w:rPr>
          <w:sz w:val="20"/>
        </w:rPr>
        <w:t xml:space="preserve">Таблица 4</w:t>
      </w:r>
    </w:p>
    <w:p>
      <w:pPr>
        <w:pStyle w:val="0"/>
      </w:pPr>
      <w:r>
        <w:rPr>
          <w:sz w:val="20"/>
        </w:rPr>
      </w:r>
    </w:p>
    <w:p>
      <w:pPr>
        <w:pStyle w:val="2"/>
        <w:jc w:val="center"/>
      </w:pPr>
      <w:r>
        <w:rPr>
          <w:sz w:val="20"/>
        </w:rPr>
        <w:t xml:space="preserve">Перечень поликлиник</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29"/>
        <w:gridCol w:w="3685"/>
      </w:tblGrid>
      <w:tr>
        <w:tc>
          <w:tcPr>
            <w:tcW w:w="5329" w:type="dxa"/>
          </w:tcPr>
          <w:p>
            <w:pPr>
              <w:pStyle w:val="0"/>
              <w:jc w:val="center"/>
            </w:pPr>
            <w:r>
              <w:rPr>
                <w:sz w:val="20"/>
              </w:rPr>
              <w:t xml:space="preserve">Населенный пункт</w:t>
            </w:r>
          </w:p>
        </w:tc>
        <w:tc>
          <w:tcPr>
            <w:tcW w:w="3685" w:type="dxa"/>
          </w:tcPr>
          <w:p>
            <w:pPr>
              <w:pStyle w:val="0"/>
              <w:jc w:val="center"/>
            </w:pPr>
            <w:r>
              <w:rPr>
                <w:sz w:val="20"/>
              </w:rPr>
              <w:t xml:space="preserve">Сокращенное название</w:t>
            </w:r>
          </w:p>
        </w:tc>
      </w:tr>
      <w:tr>
        <w:tc>
          <w:tcPr>
            <w:tcW w:w="5329" w:type="dxa"/>
          </w:tcPr>
          <w:p>
            <w:pPr>
              <w:pStyle w:val="0"/>
              <w:jc w:val="both"/>
            </w:pPr>
            <w:r>
              <w:rPr>
                <w:sz w:val="20"/>
              </w:rPr>
              <w:t xml:space="preserve">Поликлиника ГБ N 4</w:t>
            </w:r>
          </w:p>
        </w:tc>
        <w:tc>
          <w:tcPr>
            <w:tcW w:w="3685" w:type="dxa"/>
          </w:tcPr>
          <w:p>
            <w:pPr>
              <w:pStyle w:val="0"/>
              <w:jc w:val="center"/>
            </w:pPr>
            <w:r>
              <w:rPr>
                <w:sz w:val="20"/>
              </w:rPr>
              <w:t xml:space="preserve">П1</w:t>
            </w:r>
          </w:p>
        </w:tc>
      </w:tr>
      <w:tr>
        <w:tc>
          <w:tcPr>
            <w:tcW w:w="5329" w:type="dxa"/>
          </w:tcPr>
          <w:p>
            <w:pPr>
              <w:pStyle w:val="0"/>
              <w:jc w:val="both"/>
            </w:pPr>
            <w:r>
              <w:rPr>
                <w:sz w:val="20"/>
              </w:rPr>
              <w:t xml:space="preserve">Поликлиника ГБ N 9 (Балаклава)</w:t>
            </w:r>
          </w:p>
        </w:tc>
        <w:tc>
          <w:tcPr>
            <w:tcW w:w="3685" w:type="dxa"/>
          </w:tcPr>
          <w:p>
            <w:pPr>
              <w:pStyle w:val="0"/>
              <w:jc w:val="center"/>
            </w:pPr>
            <w:r>
              <w:rPr>
                <w:sz w:val="20"/>
              </w:rPr>
              <w:t xml:space="preserve">П2</w:t>
            </w:r>
          </w:p>
        </w:tc>
      </w:tr>
      <w:tr>
        <w:tc>
          <w:tcPr>
            <w:tcW w:w="5329" w:type="dxa"/>
          </w:tcPr>
          <w:p>
            <w:pPr>
              <w:pStyle w:val="0"/>
              <w:jc w:val="both"/>
            </w:pPr>
            <w:r>
              <w:rPr>
                <w:sz w:val="20"/>
              </w:rPr>
              <w:t xml:space="preserve">Поликлиника ГБ N 9 (Инкерман)</w:t>
            </w:r>
          </w:p>
        </w:tc>
        <w:tc>
          <w:tcPr>
            <w:tcW w:w="3685" w:type="dxa"/>
          </w:tcPr>
          <w:p>
            <w:pPr>
              <w:pStyle w:val="0"/>
              <w:jc w:val="center"/>
            </w:pPr>
            <w:r>
              <w:rPr>
                <w:sz w:val="20"/>
              </w:rPr>
              <w:t xml:space="preserve">П3</w:t>
            </w:r>
          </w:p>
        </w:tc>
      </w:tr>
      <w:tr>
        <w:tc>
          <w:tcPr>
            <w:tcW w:w="5329" w:type="dxa"/>
          </w:tcPr>
          <w:p>
            <w:pPr>
              <w:pStyle w:val="0"/>
              <w:jc w:val="both"/>
            </w:pPr>
            <w:r>
              <w:rPr>
                <w:sz w:val="20"/>
              </w:rPr>
              <w:t xml:space="preserve">Поликлиники ГБ N 1</w:t>
            </w:r>
          </w:p>
        </w:tc>
        <w:tc>
          <w:tcPr>
            <w:tcW w:w="3685" w:type="dxa"/>
          </w:tcPr>
          <w:p>
            <w:pPr>
              <w:pStyle w:val="0"/>
              <w:jc w:val="center"/>
            </w:pPr>
            <w:r>
              <w:rPr>
                <w:sz w:val="20"/>
              </w:rPr>
              <w:t xml:space="preserve">П4</w:t>
            </w:r>
          </w:p>
        </w:tc>
      </w:tr>
      <w:tr>
        <w:tc>
          <w:tcPr>
            <w:tcW w:w="5329" w:type="dxa"/>
          </w:tcPr>
          <w:p>
            <w:pPr>
              <w:pStyle w:val="0"/>
              <w:jc w:val="both"/>
            </w:pPr>
            <w:r>
              <w:rPr>
                <w:sz w:val="20"/>
              </w:rPr>
              <w:t xml:space="preserve">Поликлиники ГБ N 5</w:t>
            </w:r>
          </w:p>
        </w:tc>
        <w:tc>
          <w:tcPr>
            <w:tcW w:w="3685" w:type="dxa"/>
          </w:tcPr>
          <w:p>
            <w:pPr>
              <w:pStyle w:val="0"/>
              <w:jc w:val="center"/>
            </w:pPr>
            <w:r>
              <w:rPr>
                <w:sz w:val="20"/>
              </w:rPr>
              <w:t xml:space="preserve">П5</w:t>
            </w:r>
          </w:p>
        </w:tc>
      </w:tr>
    </w:tbl>
    <w:p>
      <w:pPr>
        <w:pStyle w:val="0"/>
      </w:pPr>
      <w:r>
        <w:rPr>
          <w:sz w:val="20"/>
        </w:rPr>
      </w:r>
    </w:p>
    <w:p>
      <w:pPr>
        <w:pStyle w:val="0"/>
        <w:outlineLvl w:val="3"/>
        <w:jc w:val="right"/>
      </w:pPr>
      <w:r>
        <w:rPr>
          <w:sz w:val="20"/>
        </w:rPr>
        <w:t xml:space="preserve">Рисунок 1</w:t>
      </w:r>
    </w:p>
    <w:p>
      <w:pPr>
        <w:pStyle w:val="0"/>
      </w:pPr>
      <w:r>
        <w:rPr>
          <w:sz w:val="20"/>
        </w:rPr>
      </w:r>
    </w:p>
    <w:p>
      <w:pPr>
        <w:pStyle w:val="2"/>
        <w:jc w:val="center"/>
      </w:pPr>
      <w:r>
        <w:rPr>
          <w:sz w:val="20"/>
        </w:rPr>
        <w:t xml:space="preserve">Блок-схема действующей сети медицинских организаций субъекта</w:t>
      </w:r>
    </w:p>
    <w:p>
      <w:pPr>
        <w:pStyle w:val="2"/>
        <w:jc w:val="center"/>
      </w:pPr>
      <w:r>
        <w:rPr>
          <w:sz w:val="20"/>
        </w:rPr>
        <w:t xml:space="preserve">Российской Федерации</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left w:val="single" w:sz="4"/>
          <w:insideV w:val="single" w:sz="4"/>
        </w:tblBorders>
        <w:tblCellMar>
          <w:top w:w="102" w:type="dxa"/>
          <w:left w:w="62" w:type="dxa"/>
          <w:bottom w:w="102" w:type="dxa"/>
          <w:right w:w="62" w:type="dxa"/>
        </w:tblCellMar>
      </w:tblPr>
      <w:tblGrid>
        <w:gridCol w:w="340"/>
        <w:gridCol w:w="510"/>
        <w:gridCol w:w="1588"/>
        <w:gridCol w:w="964"/>
        <w:gridCol w:w="566"/>
        <w:gridCol w:w="340"/>
        <w:gridCol w:w="340"/>
        <w:gridCol w:w="340"/>
        <w:gridCol w:w="510"/>
        <w:gridCol w:w="2608"/>
        <w:gridCol w:w="340"/>
        <w:gridCol w:w="340"/>
        <w:gridCol w:w="510"/>
        <w:gridCol w:w="3798"/>
        <w:gridCol w:w="340"/>
        <w:gridCol w:w="340"/>
        <w:gridCol w:w="340"/>
        <w:gridCol w:w="513"/>
        <w:gridCol w:w="1387"/>
        <w:gridCol w:w="1388"/>
        <w:gridCol w:w="510"/>
        <w:gridCol w:w="400"/>
      </w:tblGrid>
      <w:tr>
        <w:tblPrEx>
          <w:tblBorders>
            <w:left w:val="nil"/>
            <w:insideV w:val="nil"/>
          </w:tblBorders>
        </w:tblPrEx>
        <w:tc>
          <w:tcPr>
            <w:gridSpan w:val="3"/>
            <w:tcW w:w="2438" w:type="dxa"/>
            <w:tcBorders>
              <w:top w:val="nil"/>
              <w:bottom w:val="nil"/>
            </w:tcBorders>
          </w:tcPr>
          <w:p>
            <w:pPr>
              <w:pStyle w:val="0"/>
              <w:jc w:val="both"/>
            </w:pPr>
            <w:r>
              <w:rPr>
                <w:sz w:val="20"/>
              </w:rPr>
            </w:r>
          </w:p>
        </w:tc>
        <w:tc>
          <w:tcPr>
            <w:tcW w:w="964" w:type="dxa"/>
            <w:tcBorders>
              <w:top w:val="nil"/>
              <w:bottom w:val="single" w:sz="4"/>
              <w:right w:val="single" w:sz="4"/>
            </w:tcBorders>
          </w:tcPr>
          <w:p>
            <w:pPr>
              <w:pStyle w:val="0"/>
              <w:jc w:val="both"/>
            </w:pPr>
            <w:r>
              <w:rPr>
                <w:sz w:val="20"/>
              </w:rPr>
            </w:r>
          </w:p>
        </w:tc>
        <w:tc>
          <w:tcPr>
            <w:gridSpan w:val="14"/>
            <w:tcW w:w="11225" w:type="dxa"/>
            <w:tcBorders>
              <w:top w:val="single" w:sz="4"/>
              <w:left w:val="single" w:sz="4"/>
              <w:bottom w:val="single" w:sz="4"/>
              <w:right w:val="single" w:sz="4"/>
            </w:tcBorders>
            <w:vMerge w:val="restart"/>
          </w:tcPr>
          <w:p>
            <w:pPr>
              <w:pStyle w:val="0"/>
              <w:jc w:val="center"/>
            </w:pPr>
            <w:r>
              <w:rPr>
                <w:sz w:val="20"/>
              </w:rPr>
              <w:t xml:space="preserve">Текущая сеть медицинских организаций (самостоятельные юридические лица) в городе Севастополе</w:t>
            </w:r>
          </w:p>
        </w:tc>
        <w:tc>
          <w:tcPr>
            <w:tcW w:w="1387" w:type="dxa"/>
            <w:tcBorders>
              <w:top w:val="nil"/>
              <w:left w:val="single" w:sz="4"/>
              <w:bottom w:val="single" w:sz="4"/>
            </w:tcBorders>
          </w:tcPr>
          <w:p>
            <w:pPr>
              <w:pStyle w:val="0"/>
              <w:jc w:val="both"/>
            </w:pPr>
            <w:r>
              <w:rPr>
                <w:sz w:val="20"/>
              </w:rPr>
            </w:r>
          </w:p>
        </w:tc>
        <w:tc>
          <w:tcPr>
            <w:gridSpan w:val="3"/>
            <w:tcW w:w="2298" w:type="dxa"/>
            <w:tcBorders>
              <w:top w:val="nil"/>
              <w:bottom w:val="nil"/>
            </w:tcBorders>
          </w:tcPr>
          <w:p>
            <w:pPr>
              <w:pStyle w:val="0"/>
              <w:jc w:val="right"/>
            </w:pPr>
            <w:r>
              <w:rPr>
                <w:sz w:val="20"/>
              </w:rPr>
            </w:r>
          </w:p>
        </w:tc>
      </w:tr>
      <w:tr>
        <w:tblPrEx>
          <w:tblBorders>
            <w:left w:val="nil"/>
          </w:tblBorders>
        </w:tblPrEx>
        <w:tc>
          <w:tcPr>
            <w:gridSpan w:val="3"/>
            <w:tcW w:w="2438" w:type="dxa"/>
            <w:tcBorders>
              <w:top w:val="nil"/>
              <w:left w:val="nil"/>
              <w:bottom w:val="nil"/>
            </w:tcBorders>
          </w:tcPr>
          <w:p>
            <w:pPr>
              <w:pStyle w:val="0"/>
              <w:jc w:val="both"/>
            </w:pPr>
            <w:r>
              <w:rPr>
                <w:sz w:val="20"/>
              </w:rPr>
            </w:r>
          </w:p>
        </w:tc>
        <w:tc>
          <w:tcPr>
            <w:tcW w:w="964" w:type="dxa"/>
            <w:tcBorders>
              <w:top w:val="single" w:sz="4"/>
              <w:bottom w:val="nil"/>
            </w:tcBorders>
          </w:tcPr>
          <w:p>
            <w:pPr>
              <w:pStyle w:val="0"/>
              <w:jc w:val="both"/>
            </w:pPr>
            <w:r>
              <w:rPr>
                <w:sz w:val="20"/>
              </w:rPr>
            </w:r>
          </w:p>
        </w:tc>
        <w:tc>
          <w:tcPr>
            <w:gridSpan w:val="14"/>
            <w:tcBorders>
              <w:top w:val="single" w:sz="4"/>
              <w:bottom w:val="single" w:sz="4"/>
            </w:tcBorders>
            <w:vMerge w:val="continue"/>
          </w:tcPr>
          <w:p/>
        </w:tc>
        <w:tc>
          <w:tcPr>
            <w:tcW w:w="1387" w:type="dxa"/>
            <w:tcBorders>
              <w:top w:val="single" w:sz="4"/>
              <w:bottom w:val="nil"/>
            </w:tcBorders>
          </w:tcPr>
          <w:p>
            <w:pPr>
              <w:pStyle w:val="0"/>
              <w:jc w:val="both"/>
            </w:pPr>
            <w:r>
              <w:rPr>
                <w:sz w:val="20"/>
              </w:rPr>
            </w:r>
          </w:p>
        </w:tc>
        <w:tc>
          <w:tcPr>
            <w:tcW w:w="1388" w:type="dxa"/>
            <w:tcBorders>
              <w:top w:val="nil"/>
              <w:bottom w:val="nil"/>
              <w:right w:val="nil"/>
            </w:tcBorders>
          </w:tcPr>
          <w:p>
            <w:pPr>
              <w:pStyle w:val="0"/>
              <w:jc w:val="both"/>
            </w:pPr>
            <w:r>
              <w:rPr>
                <w:sz w:val="20"/>
              </w:rPr>
            </w:r>
          </w:p>
        </w:tc>
        <w:tc>
          <w:tcPr>
            <w:tcW w:w="510" w:type="dxa"/>
            <w:tcBorders>
              <w:top w:val="nil"/>
              <w:left w:val="nil"/>
              <w:bottom w:val="nil"/>
              <w:right w:val="nil"/>
            </w:tcBorders>
          </w:tcPr>
          <w:p>
            <w:pPr>
              <w:pStyle w:val="0"/>
              <w:jc w:val="right"/>
            </w:pPr>
            <w:r>
              <w:rPr>
                <w:sz w:val="20"/>
              </w:rPr>
            </w:r>
          </w:p>
        </w:tc>
        <w:tc>
          <w:tcPr>
            <w:tcW w:w="400" w:type="dxa"/>
            <w:tcBorders>
              <w:top w:val="nil"/>
              <w:left w:val="nil"/>
              <w:bottom w:val="nil"/>
              <w:right w:val="nil"/>
            </w:tcBorders>
          </w:tcPr>
          <w:p>
            <w:pPr>
              <w:pStyle w:val="0"/>
              <w:jc w:val="both"/>
            </w:pPr>
            <w:r>
              <w:rPr>
                <w:sz w:val="20"/>
              </w:rPr>
            </w:r>
          </w:p>
        </w:tc>
      </w:tr>
      <w:tr>
        <w:tblPrEx>
          <w:tblBorders>
            <w:left w:val="nil"/>
            <w:insideV w:val="nil"/>
          </w:tblBorders>
        </w:tblPrEx>
        <w:tc>
          <w:tcPr>
            <w:tcW w:w="340" w:type="dxa"/>
            <w:tcBorders>
              <w:top w:val="nil"/>
              <w:bottom w:val="nil"/>
            </w:tcBorders>
          </w:tcPr>
          <w:p>
            <w:pPr>
              <w:pStyle w:val="0"/>
              <w:jc w:val="center"/>
            </w:pPr>
            <w:r>
              <w:rPr>
                <w:sz w:val="20"/>
              </w:rPr>
            </w:r>
          </w:p>
        </w:tc>
        <w:tc>
          <w:tcPr>
            <w:tcW w:w="510" w:type="dxa"/>
            <w:tcBorders>
              <w:top w:val="nil"/>
              <w:bottom w:val="nil"/>
            </w:tcBorders>
          </w:tcPr>
          <w:p>
            <w:pPr>
              <w:pStyle w:val="0"/>
              <w:jc w:val="center"/>
            </w:pPr>
            <w:r>
              <w:rPr>
                <w:sz w:val="20"/>
              </w:rPr>
            </w:r>
          </w:p>
        </w:tc>
        <w:tc>
          <w:tcPr>
            <w:gridSpan w:val="3"/>
            <w:tcW w:w="3118" w:type="dxa"/>
            <w:tcBorders>
              <w:top w:val="nil"/>
              <w:bottom w:val="single" w:sz="4"/>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340" w:type="dxa"/>
            <w:tcBorders>
              <w:top w:val="single" w:sz="4"/>
              <w:bottom w:val="nil"/>
            </w:tcBorders>
          </w:tcPr>
          <w:p>
            <w:pPr>
              <w:pStyle w:val="0"/>
              <w:jc w:val="center"/>
            </w:pPr>
            <w:r>
              <w:rPr>
                <w:sz w:val="20"/>
              </w:rPr>
            </w:r>
          </w:p>
        </w:tc>
        <w:tc>
          <w:tcPr>
            <w:tcW w:w="340" w:type="dxa"/>
            <w:tcBorders>
              <w:top w:val="single" w:sz="4"/>
              <w:bottom w:val="nil"/>
            </w:tcBorders>
          </w:tcPr>
          <w:p>
            <w:pPr>
              <w:pStyle w:val="0"/>
              <w:jc w:val="center"/>
            </w:pPr>
            <w:r>
              <w:rPr>
                <w:sz w:val="20"/>
              </w:rPr>
            </w:r>
          </w:p>
        </w:tc>
        <w:tc>
          <w:tcPr>
            <w:tcW w:w="340" w:type="dxa"/>
            <w:tcBorders>
              <w:top w:val="single" w:sz="4"/>
              <w:bottom w:val="nil"/>
            </w:tcBorders>
          </w:tcPr>
          <w:p>
            <w:pPr>
              <w:pStyle w:val="0"/>
              <w:jc w:val="center"/>
            </w:pPr>
            <w:r>
              <w:rPr>
                <w:sz w:val="20"/>
              </w:rPr>
            </w:r>
          </w:p>
        </w:tc>
        <w:tc>
          <w:tcPr>
            <w:tcW w:w="510" w:type="dxa"/>
            <w:tcBorders>
              <w:top w:val="single" w:sz="4"/>
              <w:bottom w:val="nil"/>
            </w:tcBorders>
          </w:tcPr>
          <w:p>
            <w:pPr>
              <w:pStyle w:val="0"/>
              <w:jc w:val="center"/>
            </w:pPr>
            <w:r>
              <w:rPr>
                <w:sz w:val="20"/>
              </w:rPr>
            </w:r>
          </w:p>
        </w:tc>
        <w:tc>
          <w:tcPr>
            <w:tcW w:w="2608" w:type="dxa"/>
            <w:tcBorders>
              <w:top w:val="single" w:sz="4"/>
              <w:bottom w:val="single" w:sz="4"/>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340" w:type="dxa"/>
            <w:tcBorders>
              <w:top w:val="single" w:sz="4"/>
              <w:bottom w:val="nil"/>
            </w:tcBorders>
          </w:tcPr>
          <w:p>
            <w:pPr>
              <w:pStyle w:val="0"/>
              <w:jc w:val="center"/>
            </w:pPr>
            <w:r>
              <w:rPr>
                <w:sz w:val="20"/>
              </w:rPr>
            </w:r>
          </w:p>
        </w:tc>
        <w:tc>
          <w:tcPr>
            <w:tcW w:w="340" w:type="dxa"/>
            <w:tcBorders>
              <w:top w:val="single" w:sz="4"/>
              <w:bottom w:val="nil"/>
            </w:tcBorders>
          </w:tcPr>
          <w:p>
            <w:pPr>
              <w:pStyle w:val="0"/>
              <w:jc w:val="center"/>
            </w:pPr>
            <w:r>
              <w:rPr>
                <w:sz w:val="20"/>
              </w:rPr>
            </w:r>
          </w:p>
        </w:tc>
        <w:tc>
          <w:tcPr>
            <w:tcW w:w="510" w:type="dxa"/>
            <w:tcBorders>
              <w:top w:val="single" w:sz="4"/>
              <w:bottom w:val="nil"/>
            </w:tcBorders>
          </w:tcPr>
          <w:p>
            <w:pPr>
              <w:pStyle w:val="0"/>
              <w:jc w:val="center"/>
            </w:pPr>
            <w:r>
              <w:rPr>
                <w:sz w:val="20"/>
              </w:rPr>
            </w:r>
          </w:p>
        </w:tc>
        <w:tc>
          <w:tcPr>
            <w:tcW w:w="3798" w:type="dxa"/>
            <w:tcBorders>
              <w:top w:val="single" w:sz="4"/>
              <w:bottom w:val="single" w:sz="4"/>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340" w:type="dxa"/>
            <w:tcBorders>
              <w:top w:val="single" w:sz="4"/>
              <w:bottom w:val="nil"/>
              <w:right w:val="single" w:sz="4"/>
            </w:tcBorders>
          </w:tcPr>
          <w:p>
            <w:pPr>
              <w:pStyle w:val="0"/>
              <w:jc w:val="center"/>
            </w:pPr>
            <w:r>
              <w:rPr>
                <w:sz w:val="20"/>
              </w:rPr>
            </w:r>
          </w:p>
        </w:tc>
        <w:tc>
          <w:tcPr>
            <w:tcW w:w="340" w:type="dxa"/>
            <w:tcBorders>
              <w:top w:val="single" w:sz="4"/>
              <w:left w:val="single" w:sz="4"/>
              <w:bottom w:val="nil"/>
              <w:right w:val="single" w:sz="4"/>
            </w:tcBorders>
          </w:tcPr>
          <w:p>
            <w:pPr>
              <w:pStyle w:val="0"/>
              <w:jc w:val="center"/>
            </w:pPr>
            <w:r>
              <w:rPr>
                <w:sz w:val="20"/>
              </w:rPr>
            </w:r>
          </w:p>
        </w:tc>
        <w:tc>
          <w:tcPr>
            <w:tcW w:w="340" w:type="dxa"/>
            <w:tcBorders>
              <w:top w:val="single" w:sz="4"/>
              <w:left w:val="single" w:sz="4"/>
              <w:bottom w:val="nil"/>
            </w:tcBorders>
          </w:tcPr>
          <w:p>
            <w:pPr>
              <w:pStyle w:val="0"/>
              <w:jc w:val="center"/>
            </w:pPr>
            <w:r>
              <w:rPr>
                <w:sz w:val="20"/>
              </w:rPr>
            </w:r>
          </w:p>
        </w:tc>
        <w:tc>
          <w:tcPr>
            <w:tcW w:w="513" w:type="dxa"/>
            <w:tcBorders>
              <w:top w:val="single" w:sz="4"/>
              <w:bottom w:val="nil"/>
            </w:tcBorders>
          </w:tcPr>
          <w:p>
            <w:pPr>
              <w:pStyle w:val="0"/>
              <w:jc w:val="center"/>
            </w:pPr>
            <w:r>
              <w:rPr>
                <w:sz w:val="20"/>
              </w:rPr>
            </w:r>
          </w:p>
        </w:tc>
        <w:tc>
          <w:tcPr>
            <w:gridSpan w:val="2"/>
            <w:tcW w:w="2775" w:type="dxa"/>
            <w:tcBorders>
              <w:top w:val="nil"/>
              <w:bottom w:val="single" w:sz="4"/>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510" w:type="dxa"/>
            <w:tcBorders>
              <w:top w:val="nil"/>
              <w:bottom w:val="nil"/>
            </w:tcBorders>
          </w:tcPr>
          <w:p>
            <w:pPr>
              <w:pStyle w:val="0"/>
              <w:jc w:val="right"/>
            </w:pPr>
            <w:r>
              <w:rPr>
                <w:sz w:val="20"/>
              </w:rPr>
            </w:r>
          </w:p>
        </w:tc>
        <w:tc>
          <w:tcPr>
            <w:tcW w:w="400" w:type="dxa"/>
            <w:tcBorders>
              <w:top w:val="nil"/>
              <w:bottom w:val="nil"/>
            </w:tcBorders>
          </w:tcPr>
          <w:p>
            <w:pPr>
              <w:pStyle w:val="0"/>
              <w:jc w:val="center"/>
            </w:pPr>
            <w:r>
              <w:rPr>
                <w:sz w:val="20"/>
              </w:rPr>
            </w:r>
          </w:p>
        </w:tc>
      </w:tr>
      <w:tr>
        <w:tblPrEx>
          <w:tblBorders>
            <w:left w:val="nil"/>
          </w:tblBorders>
        </w:tblPrEx>
        <w:tc>
          <w:tcPr>
            <w:tcW w:w="340" w:type="dxa"/>
            <w:tcBorders>
              <w:top w:val="nil"/>
              <w:left w:val="nil"/>
              <w:bottom w:val="single" w:sz="4"/>
              <w:right w:val="nil"/>
            </w:tcBorders>
          </w:tcPr>
          <w:p>
            <w:pPr>
              <w:pStyle w:val="0"/>
              <w:jc w:val="both"/>
            </w:pPr>
            <w:r>
              <w:rPr>
                <w:sz w:val="20"/>
              </w:rPr>
            </w:r>
          </w:p>
        </w:tc>
        <w:tc>
          <w:tcPr>
            <w:tcW w:w="510" w:type="dxa"/>
            <w:tcBorders>
              <w:top w:val="nil"/>
              <w:left w:val="nil"/>
              <w:bottom w:val="single" w:sz="4"/>
            </w:tcBorders>
          </w:tcPr>
          <w:p>
            <w:pPr>
              <w:pStyle w:val="0"/>
              <w:jc w:val="both"/>
            </w:pPr>
            <w:r>
              <w:rPr>
                <w:sz w:val="20"/>
              </w:rPr>
            </w:r>
          </w:p>
        </w:tc>
        <w:tc>
          <w:tcPr>
            <w:gridSpan w:val="3"/>
            <w:tcW w:w="3118" w:type="dxa"/>
            <w:tcBorders>
              <w:top w:val="single" w:sz="4"/>
              <w:bottom w:val="single" w:sz="4"/>
            </w:tcBorders>
            <w:vMerge w:val="restart"/>
          </w:tcPr>
          <w:p>
            <w:pPr>
              <w:pStyle w:val="0"/>
              <w:jc w:val="both"/>
            </w:pPr>
            <w:r>
              <w:rPr>
                <w:sz w:val="20"/>
              </w:rPr>
              <w:t xml:space="preserve">Больницы, всего - 9</w:t>
            </w:r>
          </w:p>
        </w:tc>
        <w:tc>
          <w:tcPr>
            <w:tcW w:w="340" w:type="dxa"/>
            <w:tcBorders>
              <w:top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r>
          </w:p>
        </w:tc>
        <w:tc>
          <w:tcPr>
            <w:tcW w:w="340" w:type="dxa"/>
            <w:tcBorders>
              <w:top w:val="nil"/>
              <w:left w:val="nil"/>
              <w:bottom w:val="single" w:sz="4"/>
              <w:right w:val="nil"/>
            </w:tcBorders>
          </w:tcPr>
          <w:p>
            <w:pPr>
              <w:pStyle w:val="0"/>
              <w:jc w:val="both"/>
            </w:pPr>
            <w:r>
              <w:rPr>
                <w:sz w:val="20"/>
              </w:rPr>
            </w:r>
          </w:p>
        </w:tc>
        <w:tc>
          <w:tcPr>
            <w:tcW w:w="510" w:type="dxa"/>
            <w:tcBorders>
              <w:top w:val="nil"/>
              <w:left w:val="nil"/>
              <w:bottom w:val="single" w:sz="4"/>
            </w:tcBorders>
          </w:tcPr>
          <w:p>
            <w:pPr>
              <w:pStyle w:val="0"/>
              <w:jc w:val="both"/>
            </w:pPr>
            <w:r>
              <w:rPr>
                <w:sz w:val="20"/>
              </w:rPr>
            </w:r>
          </w:p>
        </w:tc>
        <w:tc>
          <w:tcPr>
            <w:tcW w:w="2608" w:type="dxa"/>
            <w:tcBorders>
              <w:top w:val="single" w:sz="4"/>
              <w:bottom w:val="single" w:sz="4"/>
            </w:tcBorders>
            <w:vMerge w:val="restart"/>
          </w:tcPr>
          <w:p>
            <w:pPr>
              <w:pStyle w:val="0"/>
              <w:jc w:val="both"/>
            </w:pPr>
            <w:r>
              <w:rPr>
                <w:sz w:val="20"/>
              </w:rPr>
              <w:t xml:space="preserve">Диспансеры - 3</w:t>
            </w:r>
          </w:p>
        </w:tc>
        <w:tc>
          <w:tcPr>
            <w:tcW w:w="340" w:type="dxa"/>
            <w:tcBorders>
              <w:top w:val="nil"/>
              <w:bottom w:val="nil"/>
              <w:right w:val="nil"/>
            </w:tcBorders>
          </w:tcPr>
          <w:p>
            <w:pPr>
              <w:pStyle w:val="0"/>
              <w:jc w:val="both"/>
            </w:pPr>
            <w:r>
              <w:rPr>
                <w:sz w:val="20"/>
              </w:rPr>
            </w:r>
          </w:p>
        </w:tc>
        <w:tc>
          <w:tcPr>
            <w:tcW w:w="340" w:type="dxa"/>
            <w:tcBorders>
              <w:top w:val="nil"/>
              <w:left w:val="nil"/>
              <w:bottom w:val="single" w:sz="4"/>
              <w:right w:val="nil"/>
            </w:tcBorders>
          </w:tcPr>
          <w:p>
            <w:pPr>
              <w:pStyle w:val="0"/>
              <w:jc w:val="both"/>
            </w:pPr>
            <w:r>
              <w:rPr>
                <w:sz w:val="20"/>
              </w:rPr>
            </w:r>
          </w:p>
        </w:tc>
        <w:tc>
          <w:tcPr>
            <w:tcW w:w="510" w:type="dxa"/>
            <w:tcBorders>
              <w:top w:val="nil"/>
              <w:left w:val="nil"/>
              <w:bottom w:val="single" w:sz="4"/>
            </w:tcBorders>
          </w:tcPr>
          <w:p>
            <w:pPr>
              <w:pStyle w:val="0"/>
              <w:jc w:val="both"/>
            </w:pPr>
            <w:r>
              <w:rPr>
                <w:sz w:val="20"/>
              </w:rPr>
            </w:r>
          </w:p>
        </w:tc>
        <w:tc>
          <w:tcPr>
            <w:tcW w:w="3798" w:type="dxa"/>
            <w:tcBorders>
              <w:top w:val="single" w:sz="4"/>
              <w:bottom w:val="single" w:sz="4"/>
            </w:tcBorders>
            <w:vMerge w:val="restart"/>
          </w:tcPr>
          <w:p>
            <w:pPr>
              <w:pStyle w:val="0"/>
              <w:jc w:val="both"/>
            </w:pPr>
            <w:r>
              <w:rPr>
                <w:sz w:val="20"/>
              </w:rPr>
              <w:t xml:space="preserve">Самостоятельные МО - 2</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W w:w="2775" w:type="dxa"/>
            <w:tcBorders>
              <w:top w:val="single" w:sz="4"/>
              <w:bottom w:val="single" w:sz="4"/>
            </w:tcBorders>
            <w:vMerge w:val="restart"/>
          </w:tcPr>
          <w:p>
            <w:pPr>
              <w:pStyle w:val="0"/>
              <w:jc w:val="both"/>
            </w:pPr>
            <w:r>
              <w:rPr>
                <w:sz w:val="20"/>
              </w:rPr>
              <w:t xml:space="preserve">Учреждения особого типа - 5</w:t>
            </w:r>
          </w:p>
        </w:tc>
        <w:tc>
          <w:tcPr>
            <w:tcW w:w="510" w:type="dxa"/>
            <w:tcBorders>
              <w:top w:val="nil"/>
              <w:bottom w:val="single" w:sz="4"/>
              <w:right w:val="nil"/>
            </w:tcBorders>
          </w:tcPr>
          <w:p>
            <w:pPr>
              <w:pStyle w:val="0"/>
              <w:jc w:val="right"/>
            </w:pPr>
            <w:r>
              <w:rPr>
                <w:sz w:val="20"/>
              </w:rPr>
            </w:r>
          </w:p>
        </w:tc>
        <w:tc>
          <w:tcPr>
            <w:tcW w:w="400" w:type="dxa"/>
            <w:tcBorders>
              <w:top w:val="nil"/>
              <w:left w:val="nil"/>
              <w:bottom w:val="single" w:sz="4"/>
              <w:right w:val="nil"/>
            </w:tcBorders>
          </w:tcPr>
          <w:p>
            <w:pPr>
              <w:pStyle w:val="0"/>
              <w:jc w:val="both"/>
            </w:pPr>
            <w:r>
              <w:rPr>
                <w:sz w:val="20"/>
              </w:rPr>
            </w:r>
          </w:p>
        </w:tc>
      </w:tr>
      <w:tr>
        <w:tblPrEx>
          <w:tblBorders>
            <w:right w:val="single" w:sz="4"/>
          </w:tblBorders>
        </w:tblPrEx>
        <w:tc>
          <w:tcPr>
            <w:tcW w:w="340" w:type="dxa"/>
            <w:tcBorders>
              <w:top w:val="single" w:sz="4"/>
              <w:bottom w:val="nil"/>
              <w:right w:val="nil"/>
            </w:tcBorders>
          </w:tcPr>
          <w:p>
            <w:pPr>
              <w:pStyle w:val="0"/>
              <w:jc w:val="both"/>
            </w:pPr>
            <w:r>
              <w:rPr>
                <w:sz w:val="20"/>
              </w:rPr>
            </w:r>
          </w:p>
        </w:tc>
        <w:tc>
          <w:tcPr>
            <w:tcW w:w="510" w:type="dxa"/>
            <w:tcBorders>
              <w:top w:val="single" w:sz="4"/>
              <w:left w:val="nil"/>
              <w:bottom w:val="nil"/>
            </w:tcBorders>
          </w:tcPr>
          <w:p>
            <w:pPr>
              <w:pStyle w:val="0"/>
              <w:jc w:val="both"/>
            </w:pPr>
            <w:r>
              <w:rPr>
                <w:sz w:val="20"/>
              </w:rPr>
            </w:r>
          </w:p>
        </w:tc>
        <w:tc>
          <w:tcPr>
            <w:gridSpan w:val="3"/>
            <w:tcBorders>
              <w:top w:val="single" w:sz="4"/>
              <w:bottom w:val="single" w:sz="4"/>
            </w:tcBorders>
            <w:vMerge w:val="continue"/>
          </w:tcPr>
          <w:p/>
        </w:tc>
        <w:tc>
          <w:tcPr>
            <w:tcW w:w="340" w:type="dxa"/>
            <w:tcBorders>
              <w:top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W w:w="510" w:type="dxa"/>
            <w:tcBorders>
              <w:top w:val="single" w:sz="4"/>
              <w:left w:val="nil"/>
              <w:bottom w:val="nil"/>
            </w:tcBorders>
          </w:tcPr>
          <w:p>
            <w:pPr>
              <w:pStyle w:val="0"/>
              <w:jc w:val="both"/>
            </w:pPr>
            <w:r>
              <w:rPr>
                <w:sz w:val="20"/>
              </w:rPr>
            </w: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W w:w="510" w:type="dxa"/>
            <w:tcBorders>
              <w:top w:val="single" w:sz="4"/>
              <w:left w:val="nil"/>
              <w:bottom w:val="nil"/>
            </w:tcBorders>
          </w:tcPr>
          <w:p>
            <w:pPr>
              <w:pStyle w:val="0"/>
              <w:jc w:val="both"/>
            </w:pPr>
            <w:r>
              <w:rPr>
                <w:sz w:val="20"/>
              </w:rPr>
            </w: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Borders>
              <w:top w:val="single" w:sz="4"/>
              <w:bottom w:val="single" w:sz="4"/>
            </w:tcBorders>
            <w:vMerge w:val="continue"/>
          </w:tcPr>
          <w:p/>
        </w:tc>
        <w:tc>
          <w:tcPr>
            <w:tcW w:w="510" w:type="dxa"/>
            <w:tcBorders>
              <w:top w:val="single" w:sz="4"/>
              <w:bottom w:val="nil"/>
              <w:right w:val="nil"/>
            </w:tcBorders>
          </w:tcPr>
          <w:p>
            <w:pPr>
              <w:pStyle w:val="0"/>
              <w:jc w:val="right"/>
            </w:pPr>
            <w:r>
              <w:rPr>
                <w:sz w:val="20"/>
              </w:rPr>
            </w:r>
          </w:p>
        </w:tc>
        <w:tc>
          <w:tcPr>
            <w:tcW w:w="400" w:type="dxa"/>
            <w:tcBorders>
              <w:top w:val="single" w:sz="4"/>
              <w:left w:val="nil"/>
              <w:bottom w:val="nil"/>
            </w:tcBorders>
          </w:tcPr>
          <w:p>
            <w:pPr>
              <w:pStyle w:val="0"/>
              <w:jc w:val="both"/>
            </w:pPr>
            <w:r>
              <w:rPr>
                <w:sz w:val="20"/>
              </w:rPr>
            </w:r>
          </w:p>
        </w:tc>
      </w:tr>
      <w:tr>
        <w:tblPrEx>
          <w:tblBorders>
            <w:right w:val="single" w:sz="4"/>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right w:val="single" w:sz="4"/>
            </w:tcBorders>
          </w:tcPr>
          <w:p>
            <w:pPr>
              <w:pStyle w:val="0"/>
              <w:jc w:val="both"/>
            </w:pPr>
            <w:r>
              <w:rPr>
                <w:sz w:val="20"/>
              </w:rPr>
            </w:r>
          </w:p>
        </w:tc>
      </w:tr>
      <w:tr>
        <w:tblPrEx>
          <w:tblBorders>
            <w:right w:val="single" w:sz="4"/>
          </w:tblBorders>
        </w:tblPrEx>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Областные, краевые, республиканские больницы (включая клинические)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Противотуберкулезные - 1</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Поликлиники, всего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W w:w="2775" w:type="dxa"/>
            <w:tcBorders>
              <w:top w:val="single" w:sz="4"/>
              <w:bottom w:val="single" w:sz="4"/>
            </w:tcBorders>
            <w:vMerge w:val="restart"/>
          </w:tcPr>
          <w:p>
            <w:pPr>
              <w:pStyle w:val="0"/>
              <w:jc w:val="both"/>
            </w:pPr>
            <w:r>
              <w:rPr>
                <w:sz w:val="20"/>
              </w:rPr>
              <w:t xml:space="preserve">в т.ч. центры медицинской профилактики - 1</w:t>
            </w:r>
          </w:p>
        </w:tc>
        <w:tc>
          <w:tcPr>
            <w:tcW w:w="510" w:type="dxa"/>
            <w:vAlign w:val="center"/>
            <w:tcBorders>
              <w:top w:val="nil"/>
              <w:bottom w:val="nil"/>
              <w:right w:val="nil"/>
            </w:tcBorders>
            <w:vMerge w:val="restart"/>
          </w:tcPr>
          <w:p>
            <w:pPr>
              <w:pStyle w:val="0"/>
              <w:jc w:val="right"/>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400" w:type="dxa"/>
            <w:tcBorders>
              <w:top w:val="nil"/>
              <w:left w:val="nil"/>
              <w:bottom w:val="single" w:sz="4"/>
            </w:tcBorders>
          </w:tcPr>
          <w:p>
            <w:pPr>
              <w:pStyle w:val="0"/>
              <w:jc w:val="both"/>
            </w:pPr>
            <w:r>
              <w:rPr>
                <w:sz w:val="20"/>
              </w:rPr>
            </w:r>
          </w:p>
        </w:tc>
      </w:tr>
      <w:tr>
        <w:tblPrEx>
          <w:tblBorders>
            <w:right w:val="single" w:sz="4"/>
          </w:tblBorders>
        </w:tblPrEx>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Borders>
              <w:top w:val="single" w:sz="4"/>
              <w:bottom w:val="single" w:sz="4"/>
            </w:tcBorders>
            <w:vMerge w:val="continue"/>
          </w:tcPr>
          <w:p/>
        </w:tc>
        <w:tc>
          <w:tcPr>
            <w:tcBorders>
              <w:top w:val="nil"/>
              <w:bottom w:val="nil"/>
              <w:right w:val="nil"/>
            </w:tcBorders>
            <w:vMerge w:val="continue"/>
          </w:tcPr>
          <w:p/>
        </w:tc>
        <w:tc>
          <w:tcPr>
            <w:tcW w:w="400" w:type="dxa"/>
            <w:tcBorders>
              <w:top w:val="single" w:sz="4"/>
              <w:left w:val="nil"/>
              <w:bottom w:val="nil"/>
            </w:tcBorders>
          </w:tcPr>
          <w:p>
            <w:pPr>
              <w:pStyle w:val="0"/>
              <w:jc w:val="both"/>
            </w:pPr>
            <w:r>
              <w:rPr>
                <w:sz w:val="20"/>
              </w:rPr>
            </w:r>
          </w:p>
        </w:tc>
      </w:tr>
      <w:tr>
        <w:tblPrEx>
          <w:tblBorders>
            <w:right w:val="single" w:sz="4"/>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right w:val="single" w:sz="4"/>
            </w:tcBorders>
          </w:tcPr>
          <w:p>
            <w:pPr>
              <w:pStyle w:val="0"/>
              <w:jc w:val="both"/>
            </w:pPr>
            <w:r>
              <w:rPr>
                <w:sz w:val="20"/>
              </w:rPr>
            </w:r>
          </w:p>
        </w:tc>
      </w:tr>
      <w:tr>
        <w:tblPrEx>
          <w:tblBorders>
            <w:right w:val="single" w:sz="4"/>
          </w:tblBorders>
        </w:tblPrEx>
        <w:tc>
          <w:tcPr>
            <w:tcW w:w="340" w:type="dxa"/>
            <w:tcBorders>
              <w:top w:val="nil"/>
              <w:bottom w:val="single" w:sz="4"/>
              <w:right w:val="nil"/>
            </w:tcBorders>
            <w:vMerge w:val="restart"/>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Детские областные, краевые, республиканские больницы (включая клинические) - 0</w:t>
            </w:r>
          </w:p>
        </w:tc>
        <w:tc>
          <w:tcPr>
            <w:tcW w:w="340" w:type="dxa"/>
            <w:tcBorders>
              <w:top w:val="nil"/>
              <w:bottom w:val="nil"/>
            </w:tcBorders>
            <w:vMerge w:val="restart"/>
          </w:tcPr>
          <w:p>
            <w:pPr>
              <w:pStyle w:val="0"/>
              <w:jc w:val="both"/>
            </w:pPr>
            <w:r>
              <w:rPr>
                <w:sz w:val="20"/>
              </w:rPr>
            </w:r>
          </w:p>
        </w:tc>
        <w:tc>
          <w:tcPr>
            <w:tcW w:w="340" w:type="dxa"/>
            <w:tcBorders>
              <w:top w:val="nil"/>
              <w:bottom w:val="nil"/>
            </w:tcBorders>
            <w:vMerge w:val="restart"/>
          </w:tcPr>
          <w:p>
            <w:pPr>
              <w:pStyle w:val="0"/>
              <w:jc w:val="both"/>
            </w:pPr>
            <w:r>
              <w:rPr>
                <w:sz w:val="20"/>
              </w:rPr>
            </w:r>
          </w:p>
        </w:tc>
        <w:tc>
          <w:tcPr>
            <w:tcW w:w="340" w:type="dxa"/>
            <w:tcBorders>
              <w:top w:val="nil"/>
              <w:bottom w:val="single" w:sz="4"/>
              <w:right w:val="nil"/>
            </w:tcBorders>
            <w:vMerge w:val="restart"/>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Онкологические - 1</w:t>
            </w:r>
          </w:p>
        </w:tc>
        <w:tc>
          <w:tcPr>
            <w:tcW w:w="340" w:type="dxa"/>
            <w:tcBorders>
              <w:top w:val="nil"/>
              <w:bottom w:val="nil"/>
            </w:tcBorders>
            <w:vMerge w:val="restart"/>
          </w:tcPr>
          <w:p>
            <w:pPr>
              <w:pStyle w:val="0"/>
              <w:jc w:val="both"/>
            </w:pPr>
            <w:r>
              <w:rPr>
                <w:sz w:val="20"/>
              </w:rPr>
            </w:r>
          </w:p>
        </w:tc>
        <w:tc>
          <w:tcPr>
            <w:tcW w:w="340" w:type="dxa"/>
            <w:tcBorders>
              <w:top w:val="nil"/>
              <w:bottom w:val="single" w:sz="4"/>
              <w:right w:val="nil"/>
            </w:tcBorders>
            <w:vMerge w:val="restart"/>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Амбулатории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W w:w="2775" w:type="dxa"/>
            <w:tcBorders>
              <w:top w:val="single" w:sz="4"/>
              <w:bottom w:val="single" w:sz="4"/>
            </w:tcBorders>
            <w:vMerge w:val="restart"/>
          </w:tcPr>
          <w:p>
            <w:pPr>
              <w:pStyle w:val="0"/>
              <w:jc w:val="both"/>
            </w:pPr>
            <w:r>
              <w:rPr>
                <w:sz w:val="20"/>
              </w:rPr>
              <w:t xml:space="preserve">Патолого-анатомические бюро - 0</w:t>
            </w:r>
          </w:p>
        </w:tc>
        <w:tc>
          <w:tcPr>
            <w:tcW w:w="510" w:type="dxa"/>
            <w:vAlign w:val="center"/>
            <w:tcBorders>
              <w:top w:val="nil"/>
              <w:bottom w:val="nil"/>
              <w:right w:val="nil"/>
            </w:tcBorders>
            <w:vMerge w:val="restart"/>
          </w:tcPr>
          <w:p>
            <w:pPr>
              <w:pStyle w:val="0"/>
              <w:jc w:val="right"/>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400" w:type="dxa"/>
            <w:tcBorders>
              <w:top w:val="nil"/>
              <w:left w:val="nil"/>
              <w:bottom w:val="single" w:sz="4"/>
            </w:tcBorders>
          </w:tcPr>
          <w:p>
            <w:pPr>
              <w:pStyle w:val="0"/>
              <w:jc w:val="both"/>
            </w:pPr>
            <w:r>
              <w:rPr>
                <w:sz w:val="20"/>
              </w:rPr>
            </w:r>
          </w:p>
        </w:tc>
      </w:tr>
      <w:tr>
        <w:tblPrEx>
          <w:tblBorders>
            <w:right w:val="single" w:sz="4"/>
          </w:tblBorders>
        </w:tblPrEx>
        <w:tc>
          <w:tcPr>
            <w:tcBorders>
              <w:top w:val="nil"/>
              <w:bottom w:val="single" w:sz="4"/>
              <w:right w:val="nil"/>
            </w:tcBorders>
            <w:vMerge w:val="continue"/>
          </w:tcPr>
          <w:p/>
        </w:tc>
        <w:tc>
          <w:tcPr>
            <w:tcBorders>
              <w:top w:val="nil"/>
              <w:left w:val="nil"/>
              <w:bottom w:val="nil"/>
            </w:tcBorders>
            <w:vMerge w:val="continue"/>
          </w:tcPr>
          <w:p/>
        </w:tc>
        <w:tc>
          <w:tcPr>
            <w:gridSpan w:val="3"/>
            <w:tcBorders>
              <w:top w:val="single" w:sz="4"/>
              <w:bottom w:val="single" w:sz="4"/>
            </w:tcBorders>
            <w:vMerge w:val="continue"/>
          </w:tcPr>
          <w:p/>
        </w:tc>
        <w:tc>
          <w:tcPr>
            <w:tcBorders>
              <w:top w:val="nil"/>
              <w:bottom w:val="nil"/>
            </w:tcBorders>
            <w:vMerge w:val="continue"/>
          </w:tcPr>
          <w:p/>
        </w:tc>
        <w:tc>
          <w:tcPr>
            <w:tcBorders>
              <w:top w:val="nil"/>
              <w:bottom w:val="nil"/>
            </w:tcBorders>
            <w:vMerge w:val="continue"/>
          </w:tcPr>
          <w:p/>
        </w:tc>
        <w:tc>
          <w:tcPr>
            <w:tcBorders>
              <w:top w:val="nil"/>
              <w:bottom w:val="single" w:sz="4"/>
              <w:right w:val="nil"/>
            </w:tcBorders>
            <w:vMerge w:val="continue"/>
          </w:tcPr>
          <w:p/>
        </w:tc>
        <w:tc>
          <w:tcPr>
            <w:tcBorders>
              <w:top w:val="nil"/>
              <w:left w:val="nil"/>
              <w:bottom w:val="nil"/>
            </w:tcBorders>
            <w:vMerge w:val="continue"/>
          </w:tcPr>
          <w:p/>
        </w:tc>
        <w:tc>
          <w:tcPr>
            <w:tcBorders>
              <w:top w:val="single" w:sz="4"/>
              <w:bottom w:val="single" w:sz="4"/>
            </w:tcBorders>
            <w:vMerge w:val="continue"/>
          </w:tcPr>
          <w:p/>
        </w:tc>
        <w:tc>
          <w:tcPr>
            <w:tcBorders>
              <w:top w:val="nil"/>
              <w:bottom w:val="nil"/>
            </w:tcBorders>
            <w:vMerge w:val="continue"/>
          </w:tcPr>
          <w:p/>
        </w:tc>
        <w:tc>
          <w:tcPr>
            <w:tcBorders>
              <w:top w:val="nil"/>
              <w:bottom w:val="single" w:sz="4"/>
              <w:right w:val="nil"/>
            </w:tcBorders>
            <w:vMerge w:val="continue"/>
          </w:tcP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vMerge w:val="restart"/>
          </w:tcPr>
          <w:p>
            <w:pPr>
              <w:pStyle w:val="0"/>
              <w:jc w:val="both"/>
            </w:pPr>
            <w:r>
              <w:rPr>
                <w:sz w:val="20"/>
              </w:rPr>
            </w:r>
          </w:p>
        </w:tc>
        <w:tc>
          <w:tcPr>
            <w:tcW w:w="340" w:type="dxa"/>
            <w:tcBorders>
              <w:top w:val="nil"/>
              <w:bottom w:val="nil"/>
            </w:tcBorders>
            <w:vMerge w:val="restart"/>
          </w:tcPr>
          <w:p>
            <w:pPr>
              <w:pStyle w:val="0"/>
              <w:jc w:val="both"/>
            </w:pPr>
            <w:r>
              <w:rPr>
                <w:sz w:val="20"/>
              </w:rPr>
            </w:r>
          </w:p>
        </w:tc>
        <w:tc>
          <w:tcPr>
            <w:tcW w:w="340" w:type="dxa"/>
            <w:tcBorders>
              <w:top w:val="nil"/>
              <w:bottom w:val="nil"/>
              <w:right w:val="nil"/>
            </w:tcBorders>
            <w:vMerge w:val="restart"/>
          </w:tcPr>
          <w:p>
            <w:pPr>
              <w:pStyle w:val="0"/>
              <w:jc w:val="both"/>
            </w:pPr>
            <w:r>
              <w:rPr>
                <w:sz w:val="20"/>
              </w:rPr>
            </w:r>
          </w:p>
        </w:tc>
        <w:tc>
          <w:tcPr>
            <w:tcW w:w="513" w:type="dxa"/>
            <w:tcBorders>
              <w:top w:val="nil"/>
              <w:left w:val="nil"/>
              <w:bottom w:val="nil"/>
            </w:tcBorders>
            <w:vMerge w:val="restart"/>
          </w:tcPr>
          <w:p>
            <w:pPr>
              <w:pStyle w:val="0"/>
              <w:jc w:val="both"/>
            </w:pPr>
            <w:r>
              <w:rPr>
                <w:sz w:val="20"/>
              </w:rPr>
            </w:r>
          </w:p>
        </w:tc>
        <w:tc>
          <w:tcPr>
            <w:gridSpan w:val="2"/>
            <w:tcBorders>
              <w:top w:val="single" w:sz="4"/>
              <w:bottom w:val="single" w:sz="4"/>
            </w:tcBorders>
            <w:vMerge w:val="continue"/>
          </w:tcPr>
          <w:p/>
        </w:tc>
        <w:tc>
          <w:tcPr>
            <w:tcBorders>
              <w:top w:val="nil"/>
              <w:bottom w:val="nil"/>
              <w:right w:val="nil"/>
            </w:tcBorders>
            <w:vMerge w:val="continue"/>
          </w:tcPr>
          <w:p/>
        </w:tc>
        <w:tc>
          <w:tcPr>
            <w:tcW w:w="400" w:type="dxa"/>
            <w:tcBorders>
              <w:top w:val="single" w:sz="4"/>
              <w:left w:val="nil"/>
              <w:bottom w:val="nil"/>
            </w:tcBorders>
            <w:vMerge w:val="restart"/>
          </w:tcPr>
          <w:p>
            <w:pPr>
              <w:pStyle w:val="0"/>
              <w:jc w:val="both"/>
            </w:pPr>
            <w:r>
              <w:rPr>
                <w:sz w:val="20"/>
              </w:rPr>
            </w:r>
          </w:p>
        </w:tc>
      </w:tr>
      <w:tr>
        <w:tblPrEx>
          <w:tblBorders>
            <w:right w:val="single" w:sz="4"/>
          </w:tblBorders>
        </w:tblPrEx>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Borders>
              <w:top w:val="nil"/>
              <w:bottom w:val="nil"/>
            </w:tcBorders>
            <w:vMerge w:val="continue"/>
          </w:tcPr>
          <w:p/>
        </w:tc>
        <w:tc>
          <w:tcPr>
            <w:tcBorders>
              <w:top w:val="nil"/>
              <w:bottom w:val="nil"/>
            </w:tcBorders>
            <w:vMerge w:val="continue"/>
          </w:tcP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Borders>
              <w:top w:val="nil"/>
              <w:bottom w:val="nil"/>
            </w:tcBorders>
            <w:vMerge w:val="continue"/>
          </w:tcP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Borders>
              <w:top w:val="nil"/>
              <w:bottom w:val="nil"/>
            </w:tcBorders>
            <w:vMerge w:val="continue"/>
          </w:tcPr>
          <w:p/>
        </w:tc>
        <w:tc>
          <w:tcPr>
            <w:tcBorders>
              <w:top w:val="nil"/>
              <w:bottom w:val="nil"/>
            </w:tcBorders>
            <w:vMerge w:val="continue"/>
          </w:tcPr>
          <w:p/>
        </w:tc>
        <w:tc>
          <w:tcPr>
            <w:tcBorders>
              <w:top w:val="nil"/>
              <w:bottom w:val="nil"/>
              <w:right w:val="nil"/>
            </w:tcBorders>
            <w:vMerge w:val="continue"/>
          </w:tcPr>
          <w:p/>
        </w:tc>
        <w:tc>
          <w:tcPr>
            <w:tcBorders>
              <w:top w:val="nil"/>
              <w:left w:val="nil"/>
              <w:bottom w:val="nil"/>
            </w:tcBorders>
            <w:vMerge w:val="continue"/>
          </w:tcPr>
          <w:p/>
        </w:tc>
        <w:tc>
          <w:tcPr>
            <w:gridSpan w:val="2"/>
            <w:tcBorders>
              <w:top w:val="single" w:sz="4"/>
              <w:bottom w:val="single" w:sz="4"/>
            </w:tcBorders>
            <w:vMerge w:val="continue"/>
          </w:tcPr>
          <w:p/>
        </w:tc>
        <w:tc>
          <w:tcPr>
            <w:tcBorders>
              <w:top w:val="nil"/>
              <w:bottom w:val="nil"/>
              <w:right w:val="nil"/>
            </w:tcBorders>
            <w:vMerge w:val="continue"/>
          </w:tcPr>
          <w:p/>
        </w:tc>
        <w:tc>
          <w:tcPr>
            <w:tcBorders>
              <w:top w:val="single" w:sz="4"/>
              <w:left w:val="nil"/>
              <w:bottom w:val="nil"/>
            </w:tcBorders>
            <w:vMerge w:val="continue"/>
          </w:tcPr>
          <w:p/>
        </w:tc>
      </w:tr>
      <w:tr>
        <w:tblPrEx>
          <w:tblBorders>
            <w:right w:val="single" w:sz="4"/>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right w:val="single" w:sz="4"/>
            </w:tcBorders>
          </w:tcPr>
          <w:p>
            <w:pPr>
              <w:pStyle w:val="0"/>
              <w:jc w:val="both"/>
            </w:pPr>
            <w:r>
              <w:rPr>
                <w:sz w:val="20"/>
              </w:rPr>
            </w:r>
          </w:p>
        </w:tc>
      </w:tr>
      <w:tr>
        <w:tblPrEx>
          <w:tblBorders>
            <w:right w:val="single" w:sz="4"/>
          </w:tblBorders>
        </w:tblPrEx>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Городские больницы (включая клинические) - 4</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Кожно-венерологические - 1</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в т.ч. расположенные в сельских поселениях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W w:w="2775" w:type="dxa"/>
            <w:tcBorders>
              <w:top w:val="single" w:sz="4"/>
              <w:bottom w:val="single" w:sz="4"/>
            </w:tcBorders>
            <w:vMerge w:val="restart"/>
          </w:tcPr>
          <w:p>
            <w:pPr>
              <w:pStyle w:val="0"/>
              <w:jc w:val="both"/>
            </w:pPr>
            <w:r>
              <w:rPr>
                <w:sz w:val="20"/>
              </w:rPr>
              <w:t xml:space="preserve">Бюро судебно-медицинской экспертизы - 1</w:t>
            </w:r>
          </w:p>
        </w:tc>
        <w:tc>
          <w:tcPr>
            <w:tcW w:w="510" w:type="dxa"/>
            <w:vAlign w:val="center"/>
            <w:tcBorders>
              <w:top w:val="nil"/>
              <w:bottom w:val="nil"/>
              <w:right w:val="nil"/>
            </w:tcBorders>
            <w:vMerge w:val="restart"/>
          </w:tcPr>
          <w:p>
            <w:pPr>
              <w:pStyle w:val="0"/>
              <w:jc w:val="right"/>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400" w:type="dxa"/>
            <w:tcBorders>
              <w:top w:val="nil"/>
              <w:left w:val="nil"/>
              <w:bottom w:val="single" w:sz="4"/>
            </w:tcBorders>
          </w:tcPr>
          <w:p>
            <w:pPr>
              <w:pStyle w:val="0"/>
              <w:jc w:val="both"/>
            </w:pPr>
            <w:r>
              <w:rPr>
                <w:sz w:val="20"/>
              </w:rPr>
            </w:r>
          </w:p>
        </w:tc>
      </w:tr>
      <w:tr>
        <w:tblPrEx>
          <w:tblBorders>
            <w:right w:val="single" w:sz="4"/>
          </w:tblBorders>
        </w:tblPrEx>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Borders>
              <w:top w:val="single" w:sz="4"/>
              <w:bottom w:val="single" w:sz="4"/>
            </w:tcBorders>
            <w:vMerge w:val="continue"/>
          </w:tcPr>
          <w:p/>
        </w:tc>
        <w:tc>
          <w:tcPr>
            <w:tcBorders>
              <w:top w:val="nil"/>
              <w:bottom w:val="nil"/>
              <w:right w:val="nil"/>
            </w:tcBorders>
            <w:vMerge w:val="continue"/>
          </w:tcPr>
          <w:p/>
        </w:tc>
        <w:tc>
          <w:tcPr>
            <w:tcW w:w="400" w:type="dxa"/>
            <w:tcBorders>
              <w:top w:val="single" w:sz="4"/>
              <w:left w:val="nil"/>
              <w:bottom w:val="nil"/>
            </w:tcBorders>
          </w:tcPr>
          <w:p>
            <w:pPr>
              <w:pStyle w:val="0"/>
              <w:jc w:val="both"/>
            </w:pPr>
            <w:r>
              <w:rPr>
                <w:sz w:val="20"/>
              </w:rPr>
            </w:r>
          </w:p>
        </w:tc>
      </w:tr>
      <w:tr>
        <w:tblPrEx>
          <w:tblBorders>
            <w:right w:val="single" w:sz="4"/>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right w:val="single" w:sz="4"/>
            </w:tcBorders>
          </w:tcPr>
          <w:p>
            <w:pPr>
              <w:pStyle w:val="0"/>
              <w:jc w:val="both"/>
            </w:pPr>
            <w:r>
              <w:rPr>
                <w:sz w:val="20"/>
              </w:rPr>
            </w:r>
          </w:p>
        </w:tc>
      </w:tr>
      <w:tr>
        <w:tblPrEx>
          <w:tblBorders>
            <w:right w:val="single" w:sz="4"/>
          </w:tblBorders>
        </w:tblPrEx>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Детские городские больницы (включая клинические) - 1</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Психоневрологические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Детские поликлиники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W w:w="2775" w:type="dxa"/>
            <w:tcBorders>
              <w:top w:val="single" w:sz="4"/>
              <w:bottom w:val="single" w:sz="4"/>
            </w:tcBorders>
            <w:vMerge w:val="restart"/>
          </w:tcPr>
          <w:p>
            <w:pPr>
              <w:pStyle w:val="0"/>
              <w:jc w:val="both"/>
            </w:pPr>
            <w:r>
              <w:rPr>
                <w:sz w:val="20"/>
              </w:rPr>
              <w:t xml:space="preserve">Мед. информационно-аналитический центр - 1</w:t>
            </w:r>
          </w:p>
        </w:tc>
        <w:tc>
          <w:tcPr>
            <w:tcW w:w="510" w:type="dxa"/>
            <w:vAlign w:val="center"/>
            <w:tcBorders>
              <w:top w:val="nil"/>
              <w:bottom w:val="nil"/>
              <w:right w:val="nil"/>
            </w:tcBorders>
            <w:vMerge w:val="restart"/>
          </w:tcPr>
          <w:p>
            <w:pPr>
              <w:pStyle w:val="0"/>
              <w:jc w:val="right"/>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400" w:type="dxa"/>
            <w:tcBorders>
              <w:top w:val="nil"/>
              <w:left w:val="nil"/>
              <w:bottom w:val="single" w:sz="4"/>
            </w:tcBorders>
          </w:tcPr>
          <w:p>
            <w:pPr>
              <w:pStyle w:val="0"/>
              <w:jc w:val="both"/>
            </w:pPr>
            <w:r>
              <w:rPr>
                <w:sz w:val="20"/>
              </w:rPr>
            </w:r>
          </w:p>
        </w:tc>
      </w:tr>
      <w:tr>
        <w:tblPrEx>
          <w:tblBorders>
            <w:right w:val="single" w:sz="4"/>
          </w:tblBorders>
        </w:tblPrEx>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Borders>
              <w:top w:val="single" w:sz="4"/>
              <w:bottom w:val="single" w:sz="4"/>
            </w:tcBorders>
            <w:vMerge w:val="continue"/>
          </w:tcPr>
          <w:p/>
        </w:tc>
        <w:tc>
          <w:tcPr>
            <w:tcBorders>
              <w:top w:val="nil"/>
              <w:bottom w:val="nil"/>
              <w:right w:val="nil"/>
            </w:tcBorders>
            <w:vMerge w:val="continue"/>
          </w:tcPr>
          <w:p/>
        </w:tc>
        <w:tc>
          <w:tcPr>
            <w:tcW w:w="400" w:type="dxa"/>
            <w:tcBorders>
              <w:top w:val="single" w:sz="4"/>
              <w:left w:val="nil"/>
              <w:bottom w:val="nil"/>
            </w:tcBorders>
          </w:tcPr>
          <w:p>
            <w:pPr>
              <w:pStyle w:val="0"/>
              <w:jc w:val="both"/>
            </w:pPr>
            <w:r>
              <w:rPr>
                <w:sz w:val="20"/>
              </w:rPr>
            </w:r>
          </w:p>
        </w:tc>
      </w:tr>
      <w:tr>
        <w:tblPrEx>
          <w:tblBorders>
            <w:right w:val="single" w:sz="4"/>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right w:val="single" w:sz="4"/>
            </w:tcBorders>
          </w:tcPr>
          <w:p>
            <w:pPr>
              <w:pStyle w:val="0"/>
              <w:jc w:val="both"/>
            </w:pPr>
            <w:r>
              <w:rPr>
                <w:sz w:val="20"/>
              </w:rPr>
            </w:r>
          </w:p>
        </w:tc>
      </w:tr>
      <w:tr>
        <w:tblPrEx>
          <w:tblBorders>
            <w:right w:val="single" w:sz="4"/>
          </w:tblBorders>
        </w:tblPrEx>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Городские больницы скорой медицинской помощи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Врачебно-физкультурные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Хозрасчетные поликлиники, амбулатории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W w:w="2775" w:type="dxa"/>
            <w:tcBorders>
              <w:top w:val="single" w:sz="4"/>
              <w:bottom w:val="single" w:sz="4"/>
            </w:tcBorders>
            <w:vMerge w:val="restart"/>
          </w:tcPr>
          <w:p>
            <w:pPr>
              <w:pStyle w:val="0"/>
              <w:jc w:val="both"/>
            </w:pPr>
            <w:r>
              <w:rPr>
                <w:sz w:val="20"/>
              </w:rPr>
              <w:t xml:space="preserve">ОМЦ резерв - 0</w:t>
            </w:r>
          </w:p>
        </w:tc>
        <w:tc>
          <w:tcPr>
            <w:tcW w:w="510" w:type="dxa"/>
            <w:vAlign w:val="center"/>
            <w:tcBorders>
              <w:top w:val="nil"/>
              <w:bottom w:val="nil"/>
              <w:right w:val="nil"/>
            </w:tcBorders>
            <w:vMerge w:val="restart"/>
          </w:tcPr>
          <w:p>
            <w:pPr>
              <w:pStyle w:val="0"/>
              <w:jc w:val="right"/>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400" w:type="dxa"/>
            <w:tcBorders>
              <w:top w:val="nil"/>
              <w:left w:val="nil"/>
              <w:bottom w:val="single" w:sz="4"/>
            </w:tcBorders>
          </w:tcPr>
          <w:p>
            <w:pPr>
              <w:pStyle w:val="0"/>
              <w:jc w:val="both"/>
            </w:pPr>
            <w:r>
              <w:rPr>
                <w:sz w:val="20"/>
              </w:rPr>
            </w:r>
          </w:p>
        </w:tc>
      </w:tr>
      <w:tr>
        <w:tblPrEx>
          <w:tblBorders>
            <w:right w:val="single" w:sz="4"/>
          </w:tblBorders>
        </w:tblPrEx>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Borders>
              <w:top w:val="single" w:sz="4"/>
              <w:bottom w:val="single" w:sz="4"/>
            </w:tcBorders>
            <w:vMerge w:val="continue"/>
          </w:tcPr>
          <w:p/>
        </w:tc>
        <w:tc>
          <w:tcPr>
            <w:tcBorders>
              <w:top w:val="nil"/>
              <w:bottom w:val="nil"/>
              <w:right w:val="nil"/>
            </w:tcBorders>
            <w:vMerge w:val="continue"/>
          </w:tcPr>
          <w:p/>
        </w:tc>
        <w:tc>
          <w:tcPr>
            <w:tcW w:w="400" w:type="dxa"/>
            <w:tcBorders>
              <w:top w:val="single" w:sz="4"/>
              <w:left w:val="nil"/>
              <w:bottom w:val="nil"/>
            </w:tcBorders>
          </w:tcPr>
          <w:p>
            <w:pPr>
              <w:pStyle w:val="0"/>
              <w:jc w:val="both"/>
            </w:pPr>
            <w:r>
              <w:rPr>
                <w:sz w:val="20"/>
              </w:rPr>
            </w:r>
          </w:p>
        </w:tc>
      </w:tr>
      <w:tr>
        <w:tblPrEx>
          <w:tblBorders>
            <w:right w:val="single" w:sz="4"/>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right w:val="single" w:sz="4"/>
            </w:tcBorders>
          </w:tcPr>
          <w:p>
            <w:pPr>
              <w:pStyle w:val="0"/>
              <w:jc w:val="both"/>
            </w:pPr>
            <w:r>
              <w:rPr>
                <w:sz w:val="20"/>
              </w:rPr>
            </w:r>
          </w:p>
        </w:tc>
      </w:tr>
      <w:tr>
        <w:tblPrEx>
          <w:tblBorders>
            <w:right w:val="single" w:sz="4"/>
          </w:tblBorders>
        </w:tblPrEx>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Госпитали ветеранов войн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Наркологические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Медицинские диагностические центры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W w:w="2775" w:type="dxa"/>
            <w:tcBorders>
              <w:top w:val="single" w:sz="4"/>
              <w:bottom w:val="single" w:sz="4"/>
            </w:tcBorders>
            <w:vMerge w:val="restart"/>
          </w:tcPr>
          <w:p>
            <w:pPr>
              <w:pStyle w:val="0"/>
              <w:jc w:val="both"/>
            </w:pPr>
            <w:r>
              <w:rPr>
                <w:sz w:val="20"/>
              </w:rPr>
              <w:t xml:space="preserve">Дезинфекционная станция - 0</w:t>
            </w:r>
          </w:p>
        </w:tc>
        <w:tc>
          <w:tcPr>
            <w:tcW w:w="510" w:type="dxa"/>
            <w:vAlign w:val="center"/>
            <w:tcBorders>
              <w:top w:val="nil"/>
              <w:bottom w:val="nil"/>
              <w:right w:val="nil"/>
            </w:tcBorders>
            <w:vMerge w:val="restart"/>
          </w:tcPr>
          <w:p>
            <w:pPr>
              <w:pStyle w:val="0"/>
              <w:jc w:val="right"/>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400" w:type="dxa"/>
            <w:tcBorders>
              <w:top w:val="nil"/>
              <w:left w:val="nil"/>
              <w:bottom w:val="single" w:sz="4"/>
            </w:tcBorders>
          </w:tcPr>
          <w:p>
            <w:pPr>
              <w:pStyle w:val="0"/>
              <w:jc w:val="both"/>
            </w:pPr>
            <w:r>
              <w:rPr>
                <w:sz w:val="20"/>
              </w:rPr>
            </w:r>
          </w:p>
        </w:tc>
      </w:tr>
      <w:tr>
        <w:tblPrEx>
          <w:tblBorders>
            <w:right w:val="single" w:sz="4"/>
          </w:tblBorders>
        </w:tblPrEx>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Borders>
              <w:top w:val="single" w:sz="4"/>
              <w:bottom w:val="single" w:sz="4"/>
            </w:tcBorders>
            <w:vMerge w:val="continue"/>
          </w:tcPr>
          <w:p/>
        </w:tc>
        <w:tc>
          <w:tcPr>
            <w:tcBorders>
              <w:top w:val="nil"/>
              <w:bottom w:val="nil"/>
              <w:right w:val="nil"/>
            </w:tcBorders>
            <w:vMerge w:val="continue"/>
          </w:tcPr>
          <w:p/>
        </w:tc>
        <w:tc>
          <w:tcPr>
            <w:tcW w:w="400" w:type="dxa"/>
            <w:tcBorders>
              <w:top w:val="single" w:sz="4"/>
              <w:left w:val="nil"/>
              <w:bottom w:val="nil"/>
            </w:tcBorders>
          </w:tcPr>
          <w:p>
            <w:pPr>
              <w:pStyle w:val="0"/>
              <w:jc w:val="both"/>
            </w:pPr>
            <w:r>
              <w:rPr>
                <w:sz w:val="20"/>
              </w:rPr>
            </w:r>
          </w:p>
        </w:tc>
      </w:tr>
      <w:tr>
        <w:tblPrEx>
          <w:tblBorders>
            <w:right w:val="single" w:sz="4"/>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right w:val="single" w:sz="4"/>
            </w:tcBorders>
          </w:tcPr>
          <w:p>
            <w:pPr>
              <w:pStyle w:val="0"/>
              <w:jc w:val="both"/>
            </w:pPr>
            <w:r>
              <w:rPr>
                <w:sz w:val="20"/>
              </w:rPr>
            </w:r>
          </w:p>
        </w:tc>
      </w:tr>
      <w:tr>
        <w:tblPrEx>
          <w:tblBorders>
            <w:right w:val="single" w:sz="4"/>
          </w:tblBorders>
        </w:tblPrEx>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Специализированные больницы, всего - 2</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Кардиологические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Женские консультации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W w:w="2775" w:type="dxa"/>
            <w:tcBorders>
              <w:top w:val="single" w:sz="4"/>
              <w:bottom w:val="single" w:sz="4"/>
            </w:tcBorders>
            <w:vMerge w:val="restart"/>
          </w:tcPr>
          <w:p>
            <w:pPr>
              <w:pStyle w:val="0"/>
              <w:jc w:val="both"/>
            </w:pPr>
            <w:r>
              <w:rPr>
                <w:sz w:val="20"/>
              </w:rPr>
              <w:t xml:space="preserve">ТЦМК - 0</w:t>
            </w:r>
          </w:p>
        </w:tc>
        <w:tc>
          <w:tcPr>
            <w:tcW w:w="510" w:type="dxa"/>
            <w:vAlign w:val="center"/>
            <w:tcBorders>
              <w:top w:val="nil"/>
              <w:bottom w:val="nil"/>
              <w:right w:val="nil"/>
            </w:tcBorders>
            <w:vMerge w:val="restart"/>
          </w:tcPr>
          <w:p>
            <w:pPr>
              <w:pStyle w:val="0"/>
              <w:jc w:val="right"/>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400" w:type="dxa"/>
            <w:tcBorders>
              <w:top w:val="nil"/>
              <w:left w:val="nil"/>
              <w:bottom w:val="single" w:sz="4"/>
            </w:tcBorders>
          </w:tcPr>
          <w:p>
            <w:pPr>
              <w:pStyle w:val="0"/>
              <w:jc w:val="both"/>
            </w:pPr>
            <w:r>
              <w:rPr>
                <w:sz w:val="20"/>
              </w:rPr>
            </w:r>
          </w:p>
        </w:tc>
      </w:tr>
      <w:tr>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513" w:type="dxa"/>
            <w:tcBorders>
              <w:top w:val="nil"/>
              <w:left w:val="nil"/>
              <w:bottom w:val="nil"/>
            </w:tcBorders>
          </w:tcPr>
          <w:p>
            <w:pPr>
              <w:pStyle w:val="0"/>
              <w:jc w:val="both"/>
            </w:pPr>
            <w:r>
              <w:rPr>
                <w:sz w:val="20"/>
              </w:rPr>
            </w:r>
          </w:p>
        </w:tc>
        <w:tc>
          <w:tcPr>
            <w:gridSpan w:val="2"/>
            <w:tcBorders>
              <w:top w:val="single" w:sz="4"/>
              <w:bottom w:val="single" w:sz="4"/>
            </w:tcBorders>
            <w:vMerge w:val="continue"/>
          </w:tcPr>
          <w:p/>
        </w:tc>
        <w:tc>
          <w:tcPr>
            <w:tcBorders>
              <w:top w:val="nil"/>
              <w:bottom w:val="nil"/>
              <w:right w:val="nil"/>
            </w:tcBorders>
            <w:vMerge w:val="continue"/>
          </w:tcPr>
          <w:p/>
        </w:tc>
        <w:tc>
          <w:tcPr>
            <w:tcW w:w="400" w:type="dxa"/>
            <w:tcBorders>
              <w:top w:val="single" w:sz="4"/>
              <w:left w:val="nil"/>
              <w:bottom w:val="nil"/>
              <w:right w:val="nil"/>
            </w:tcBorders>
          </w:tcPr>
          <w:p>
            <w:pPr>
              <w:pStyle w:val="0"/>
              <w:jc w:val="both"/>
            </w:pPr>
            <w:r>
              <w:rPr>
                <w:sz w:val="20"/>
              </w:rPr>
            </w:r>
          </w:p>
        </w:tc>
      </w:tr>
      <w:tr>
        <w:tblPrEx>
          <w:tblBorders>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tcBorders>
          </w:tcPr>
          <w:p>
            <w:pPr>
              <w:pStyle w:val="0"/>
              <w:jc w:val="both"/>
            </w:pPr>
            <w:r>
              <w:rPr>
                <w:sz w:val="20"/>
              </w:rPr>
            </w:r>
          </w:p>
        </w:tc>
      </w:tr>
      <w:tr>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в том числе: инфекционные для взрослых - 1</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340" w:type="dxa"/>
            <w:tcBorders>
              <w:top w:val="nil"/>
              <w:left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Больницы сельских районов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Стоматологические поликлиники, всего - 2</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3"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2"/>
            <w:tcW w:w="2775" w:type="dxa"/>
            <w:tcBorders>
              <w:top w:val="single" w:sz="4"/>
              <w:bottom w:val="single" w:sz="4"/>
            </w:tcBorders>
            <w:vMerge w:val="restart"/>
          </w:tcPr>
          <w:p>
            <w:pPr>
              <w:pStyle w:val="0"/>
              <w:jc w:val="both"/>
            </w:pPr>
            <w:r>
              <w:rPr>
                <w:sz w:val="20"/>
              </w:rPr>
              <w:t xml:space="preserve">Станции скорой медицинской помощи - 1</w:t>
            </w:r>
          </w:p>
        </w:tc>
        <w:tc>
          <w:tcPr>
            <w:tcW w:w="510" w:type="dxa"/>
            <w:tcBorders>
              <w:top w:val="nil"/>
              <w:bottom w:val="nil"/>
              <w:right w:val="nil"/>
            </w:tcBorders>
          </w:tcPr>
          <w:p>
            <w:pPr>
              <w:pStyle w:val="0"/>
              <w:jc w:val="right"/>
            </w:pPr>
            <w:r>
              <w:rPr>
                <w:sz w:val="20"/>
              </w:rPr>
            </w:r>
          </w:p>
        </w:tc>
        <w:tc>
          <w:tcPr>
            <w:tcW w:w="400" w:type="dxa"/>
            <w:tcBorders>
              <w:top w:val="nil"/>
              <w:left w:val="nil"/>
              <w:bottom w:val="nil"/>
              <w:right w:val="nil"/>
            </w:tcBorders>
          </w:tcPr>
          <w:p>
            <w:pPr>
              <w:pStyle w:val="0"/>
              <w:jc w:val="both"/>
            </w:pPr>
            <w:r>
              <w:rPr>
                <w:sz w:val="20"/>
              </w:rPr>
            </w:r>
          </w:p>
        </w:tc>
      </w:tr>
      <w:tr>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2"/>
            <w:tcBorders>
              <w:top w:val="single" w:sz="4"/>
              <w:bottom w:val="single" w:sz="4"/>
            </w:tcBorders>
            <w:vMerge w:val="continue"/>
          </w:tcPr>
          <w:p/>
        </w:tc>
        <w:tc>
          <w:tcPr>
            <w:tcW w:w="510" w:type="dxa"/>
            <w:tcBorders>
              <w:top w:val="nil"/>
              <w:bottom w:val="nil"/>
              <w:right w:val="nil"/>
            </w:tcBorders>
          </w:tcPr>
          <w:p>
            <w:pPr>
              <w:pStyle w:val="0"/>
              <w:jc w:val="right"/>
            </w:pPr>
            <w:r>
              <w:rPr>
                <w:sz w:val="20"/>
              </w:rPr>
            </w:r>
          </w:p>
        </w:tc>
        <w:tc>
          <w:tcPr>
            <w:tcW w:w="400" w:type="dxa"/>
            <w:tcBorders>
              <w:top w:val="nil"/>
              <w:left w:val="nil"/>
              <w:bottom w:val="nil"/>
              <w:right w:val="nil"/>
            </w:tcBorders>
          </w:tcPr>
          <w:p>
            <w:pPr>
              <w:pStyle w:val="0"/>
              <w:jc w:val="both"/>
            </w:pPr>
            <w:r>
              <w:rPr>
                <w:sz w:val="20"/>
              </w:rPr>
            </w:r>
          </w:p>
        </w:tc>
      </w:tr>
      <w:tr>
        <w:tblPrEx>
          <w:tblBorders>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tcBorders>
          </w:tcPr>
          <w:p>
            <w:pPr>
              <w:pStyle w:val="0"/>
              <w:jc w:val="both"/>
            </w:pPr>
            <w:r>
              <w:rPr>
                <w:sz w:val="20"/>
              </w:rPr>
            </w:r>
          </w:p>
        </w:tc>
      </w:tr>
      <w:tr>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инфекционные для детей - 1</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340" w:type="dxa"/>
            <w:tcBorders>
              <w:top w:val="nil"/>
              <w:left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в т.ч. центральные районные больницы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в т.ч. для взрослых - 1</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3"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2"/>
            <w:tcW w:w="2775" w:type="dxa"/>
            <w:tcBorders>
              <w:top w:val="single" w:sz="4"/>
              <w:bottom w:val="single" w:sz="4"/>
            </w:tcBorders>
            <w:vMerge w:val="restart"/>
          </w:tcPr>
          <w:p>
            <w:pPr>
              <w:pStyle w:val="0"/>
              <w:jc w:val="both"/>
            </w:pPr>
            <w:r>
              <w:rPr>
                <w:sz w:val="20"/>
              </w:rPr>
              <w:t xml:space="preserve">Центры (отделения) переливания кости - 1</w:t>
            </w:r>
          </w:p>
        </w:tc>
        <w:tc>
          <w:tcPr>
            <w:tcW w:w="510" w:type="dxa"/>
            <w:tcBorders>
              <w:top w:val="nil"/>
              <w:bottom w:val="nil"/>
              <w:right w:val="nil"/>
            </w:tcBorders>
          </w:tcPr>
          <w:p>
            <w:pPr>
              <w:pStyle w:val="0"/>
              <w:jc w:val="right"/>
            </w:pPr>
            <w:r>
              <w:rPr>
                <w:sz w:val="20"/>
              </w:rPr>
            </w:r>
          </w:p>
        </w:tc>
        <w:tc>
          <w:tcPr>
            <w:tcW w:w="400" w:type="dxa"/>
            <w:tcBorders>
              <w:top w:val="nil"/>
              <w:left w:val="nil"/>
              <w:bottom w:val="nil"/>
              <w:right w:val="nil"/>
            </w:tcBorders>
          </w:tcPr>
          <w:p>
            <w:pPr>
              <w:pStyle w:val="0"/>
              <w:jc w:val="both"/>
            </w:pPr>
            <w:r>
              <w:rPr>
                <w:sz w:val="20"/>
              </w:rPr>
            </w:r>
          </w:p>
        </w:tc>
      </w:tr>
      <w:tr>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2"/>
            <w:tcBorders>
              <w:top w:val="single" w:sz="4"/>
              <w:bottom w:val="single" w:sz="4"/>
            </w:tcBorders>
            <w:vMerge w:val="continue"/>
          </w:tcPr>
          <w:p/>
        </w:tc>
        <w:tc>
          <w:tcPr>
            <w:tcW w:w="510" w:type="dxa"/>
            <w:tcBorders>
              <w:top w:val="nil"/>
              <w:bottom w:val="nil"/>
              <w:right w:val="nil"/>
            </w:tcBorders>
          </w:tcPr>
          <w:p>
            <w:pPr>
              <w:pStyle w:val="0"/>
              <w:jc w:val="right"/>
            </w:pPr>
            <w:r>
              <w:rPr>
                <w:sz w:val="20"/>
              </w:rPr>
            </w:r>
          </w:p>
        </w:tc>
        <w:tc>
          <w:tcPr>
            <w:tcW w:w="400" w:type="dxa"/>
            <w:tcBorders>
              <w:top w:val="nil"/>
              <w:left w:val="nil"/>
              <w:bottom w:val="nil"/>
              <w:right w:val="nil"/>
            </w:tcBorders>
          </w:tcPr>
          <w:p>
            <w:pPr>
              <w:pStyle w:val="0"/>
              <w:jc w:val="both"/>
            </w:pPr>
            <w:r>
              <w:rPr>
                <w:sz w:val="20"/>
              </w:rPr>
            </w:r>
          </w:p>
        </w:tc>
      </w:tr>
      <w:tr>
        <w:tblPrEx>
          <w:tblBorders>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tcBorders>
          </w:tcPr>
          <w:p>
            <w:pPr>
              <w:pStyle w:val="0"/>
              <w:jc w:val="both"/>
            </w:pPr>
            <w:r>
              <w:rPr>
                <w:sz w:val="20"/>
              </w:rPr>
            </w:r>
          </w:p>
        </w:tc>
      </w:tr>
      <w:tr>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туберкулезные больницы для взрослых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340" w:type="dxa"/>
            <w:tcBorders>
              <w:top w:val="nil"/>
              <w:left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районные больницы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для детей - 1</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3"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2"/>
            <w:tcW w:w="2775" w:type="dxa"/>
            <w:tcBorders>
              <w:top w:val="single" w:sz="4"/>
              <w:bottom w:val="single" w:sz="4"/>
            </w:tcBorders>
            <w:vMerge w:val="restart"/>
          </w:tcPr>
          <w:p>
            <w:pPr>
              <w:pStyle w:val="0"/>
              <w:jc w:val="both"/>
            </w:pPr>
            <w:r>
              <w:rPr>
                <w:sz w:val="20"/>
              </w:rPr>
              <w:t xml:space="preserve">Санатории - 0</w:t>
            </w:r>
          </w:p>
        </w:tc>
        <w:tc>
          <w:tcPr>
            <w:tcW w:w="510" w:type="dxa"/>
            <w:tcBorders>
              <w:top w:val="nil"/>
              <w:bottom w:val="nil"/>
              <w:right w:val="nil"/>
            </w:tcBorders>
          </w:tcPr>
          <w:p>
            <w:pPr>
              <w:pStyle w:val="0"/>
              <w:jc w:val="right"/>
            </w:pPr>
            <w:r>
              <w:rPr>
                <w:sz w:val="20"/>
              </w:rPr>
            </w:r>
          </w:p>
        </w:tc>
        <w:tc>
          <w:tcPr>
            <w:tcW w:w="400" w:type="dxa"/>
            <w:tcBorders>
              <w:top w:val="nil"/>
              <w:left w:val="nil"/>
              <w:bottom w:val="nil"/>
              <w:right w:val="nil"/>
            </w:tcBorders>
          </w:tcPr>
          <w:p>
            <w:pPr>
              <w:pStyle w:val="0"/>
              <w:jc w:val="both"/>
            </w:pPr>
            <w:r>
              <w:rPr>
                <w:sz w:val="20"/>
              </w:rPr>
            </w:r>
          </w:p>
        </w:tc>
      </w:tr>
      <w:tr>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2"/>
            <w:tcBorders>
              <w:top w:val="single" w:sz="4"/>
              <w:bottom w:val="single" w:sz="4"/>
            </w:tcBorders>
            <w:vMerge w:val="continue"/>
          </w:tcPr>
          <w:p/>
        </w:tc>
        <w:tc>
          <w:tcPr>
            <w:tcW w:w="510" w:type="dxa"/>
            <w:tcBorders>
              <w:top w:val="nil"/>
              <w:bottom w:val="nil"/>
              <w:right w:val="nil"/>
            </w:tcBorders>
          </w:tcPr>
          <w:p>
            <w:pPr>
              <w:pStyle w:val="0"/>
              <w:jc w:val="right"/>
            </w:pPr>
            <w:r>
              <w:rPr>
                <w:sz w:val="20"/>
              </w:rPr>
            </w:r>
          </w:p>
        </w:tc>
        <w:tc>
          <w:tcPr>
            <w:tcW w:w="400" w:type="dxa"/>
            <w:tcBorders>
              <w:top w:val="nil"/>
              <w:left w:val="nil"/>
              <w:bottom w:val="nil"/>
              <w:right w:val="nil"/>
            </w:tcBorders>
          </w:tcPr>
          <w:p>
            <w:pPr>
              <w:pStyle w:val="0"/>
              <w:jc w:val="both"/>
            </w:pPr>
            <w:r>
              <w:rPr>
                <w:sz w:val="20"/>
              </w:rPr>
            </w:r>
          </w:p>
        </w:tc>
      </w:tr>
      <w:tr>
        <w:tblPrEx>
          <w:tblBorders>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tcBorders>
          </w:tcPr>
          <w:p>
            <w:pPr>
              <w:pStyle w:val="0"/>
              <w:jc w:val="both"/>
            </w:pPr>
            <w:r>
              <w:rPr>
                <w:sz w:val="20"/>
              </w:rPr>
            </w:r>
          </w:p>
        </w:tc>
      </w:tr>
      <w:tr>
        <w:tc>
          <w:tcPr>
            <w:tcW w:w="340" w:type="dxa"/>
            <w:tcBorders>
              <w:top w:val="nil"/>
              <w:bottom w:val="single" w:sz="4"/>
              <w:right w:val="nil"/>
            </w:tcBorders>
            <w:vMerge w:val="restart"/>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Психоневрологические и психиатрические больницы - 1</w:t>
            </w:r>
          </w:p>
        </w:tc>
        <w:tc>
          <w:tcPr>
            <w:tcW w:w="340" w:type="dxa"/>
            <w:tcBorders>
              <w:top w:val="nil"/>
              <w:bottom w:val="nil"/>
            </w:tcBorders>
          </w:tcPr>
          <w:p>
            <w:pPr>
              <w:pStyle w:val="0"/>
              <w:jc w:val="both"/>
            </w:pPr>
            <w:r>
              <w:rPr>
                <w:sz w:val="20"/>
              </w:rPr>
            </w:r>
          </w:p>
        </w:tc>
        <w:tc>
          <w:tcPr>
            <w:tcW w:w="340" w:type="dxa"/>
            <w:tcBorders>
              <w:top w:val="nil"/>
              <w:bottom w:val="single" w:sz="4"/>
              <w:right w:val="nil"/>
            </w:tcBorders>
            <w:vMerge w:val="restart"/>
          </w:tcPr>
          <w:p>
            <w:pPr>
              <w:pStyle w:val="0"/>
              <w:jc w:val="both"/>
            </w:pPr>
            <w:r>
              <w:rPr>
                <w:sz w:val="20"/>
              </w:rPr>
            </w:r>
          </w:p>
        </w:tc>
        <w:tc>
          <w:tcPr>
            <w:tcW w:w="340" w:type="dxa"/>
            <w:tcBorders>
              <w:top w:val="nil"/>
              <w:left w:val="nil"/>
              <w:bottom w:val="single" w:sz="4"/>
              <w:right w:val="nil"/>
            </w:tcBorders>
            <w:vMerge w:val="restart"/>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участковые больницы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Центры по профилактике и борьбе со СПИДом и инфекционными заболеваниями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vMerge w:val="restart"/>
          </w:tcPr>
          <w:p>
            <w:pPr>
              <w:pStyle w:val="0"/>
              <w:jc w:val="both"/>
            </w:pPr>
            <w:r>
              <w:rPr>
                <w:sz w:val="20"/>
              </w:rPr>
            </w:r>
          </w:p>
        </w:tc>
        <w:tc>
          <w:tcPr>
            <w:tcW w:w="513"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2"/>
            <w:tcW w:w="2775" w:type="dxa"/>
            <w:tcBorders>
              <w:top w:val="single" w:sz="4"/>
              <w:bottom w:val="single" w:sz="4"/>
            </w:tcBorders>
            <w:vMerge w:val="restart"/>
          </w:tcPr>
          <w:p>
            <w:pPr>
              <w:pStyle w:val="0"/>
              <w:jc w:val="both"/>
            </w:pPr>
            <w:r>
              <w:rPr>
                <w:sz w:val="20"/>
              </w:rPr>
              <w:t xml:space="preserve">в т.ч. для детей - 0</w:t>
            </w:r>
          </w:p>
        </w:tc>
        <w:tc>
          <w:tcPr>
            <w:tcW w:w="510" w:type="dxa"/>
            <w:tcBorders>
              <w:top w:val="nil"/>
              <w:bottom w:val="nil"/>
              <w:right w:val="nil"/>
            </w:tcBorders>
          </w:tcPr>
          <w:p>
            <w:pPr>
              <w:pStyle w:val="0"/>
              <w:jc w:val="right"/>
            </w:pPr>
            <w:r>
              <w:rPr>
                <w:sz w:val="20"/>
              </w:rPr>
            </w:r>
          </w:p>
        </w:tc>
        <w:tc>
          <w:tcPr>
            <w:tcW w:w="400" w:type="dxa"/>
            <w:tcBorders>
              <w:top w:val="nil"/>
              <w:left w:val="nil"/>
              <w:bottom w:val="nil"/>
              <w:right w:val="nil"/>
            </w:tcBorders>
          </w:tcPr>
          <w:p>
            <w:pPr>
              <w:pStyle w:val="0"/>
              <w:jc w:val="both"/>
            </w:pPr>
            <w:r>
              <w:rPr>
                <w:sz w:val="20"/>
              </w:rPr>
            </w:r>
          </w:p>
        </w:tc>
      </w:tr>
      <w:tr>
        <w:tc>
          <w:tcPr>
            <w:tcBorders>
              <w:top w:val="nil"/>
              <w:bottom w:val="single" w:sz="4"/>
              <w:right w:val="nil"/>
            </w:tcBorders>
            <w:vMerge w:val="continue"/>
          </w:tcP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vMerge w:val="restart"/>
          </w:tcPr>
          <w:p>
            <w:pPr>
              <w:pStyle w:val="0"/>
              <w:jc w:val="both"/>
            </w:pPr>
            <w:r>
              <w:rPr>
                <w:sz w:val="20"/>
              </w:rPr>
            </w:r>
          </w:p>
        </w:tc>
        <w:tc>
          <w:tcPr>
            <w:tcBorders>
              <w:top w:val="nil"/>
              <w:bottom w:val="single" w:sz="4"/>
              <w:right w:val="nil"/>
            </w:tcBorders>
            <w:vMerge w:val="continue"/>
          </w:tcPr>
          <w:p/>
        </w:tc>
        <w:tc>
          <w:tcPr>
            <w:tcBorders>
              <w:top w:val="nil"/>
              <w:left w:val="nil"/>
              <w:bottom w:val="single" w:sz="4"/>
              <w:right w:val="nil"/>
            </w:tcBorders>
            <w:vMerge w:val="continue"/>
          </w:tcP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vMerge w:val="restart"/>
          </w:tcPr>
          <w:p>
            <w:pPr>
              <w:pStyle w:val="0"/>
              <w:jc w:val="both"/>
            </w:pPr>
            <w:r>
              <w:rPr>
                <w:sz w:val="20"/>
              </w:rPr>
            </w:r>
          </w:p>
        </w:tc>
        <w:tc>
          <w:tcPr>
            <w:tcW w:w="340" w:type="dxa"/>
            <w:tcBorders>
              <w:top w:val="single" w:sz="4"/>
              <w:bottom w:val="nil"/>
              <w:right w:val="nil"/>
            </w:tcBorders>
            <w:vMerge w:val="restart"/>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vMerge w:val="restart"/>
          </w:tcPr>
          <w:p>
            <w:pPr>
              <w:pStyle w:val="0"/>
              <w:jc w:val="both"/>
            </w:pPr>
            <w:r>
              <w:rPr>
                <w:sz w:val="20"/>
              </w:rPr>
            </w:r>
          </w:p>
        </w:tc>
        <w:tc>
          <w:tcPr>
            <w:tcW w:w="340" w:type="dxa"/>
            <w:tcBorders>
              <w:top w:val="nil"/>
              <w:bottom w:val="nil"/>
            </w:tcBorders>
            <w:vMerge w:val="restart"/>
          </w:tcPr>
          <w:p>
            <w:pPr>
              <w:pStyle w:val="0"/>
              <w:jc w:val="both"/>
            </w:pPr>
            <w:r>
              <w:rPr>
                <w:sz w:val="20"/>
              </w:rPr>
            </w:r>
          </w:p>
        </w:tc>
        <w:tc>
          <w:tcPr>
            <w:tcBorders>
              <w:top w:val="nil"/>
              <w:bottom w:val="single" w:sz="4"/>
              <w:right w:val="nil"/>
            </w:tcBorders>
            <w:vMerge w:val="continue"/>
          </w:tcPr>
          <w:p/>
        </w:tc>
        <w:tc>
          <w:tcPr>
            <w:tcBorders>
              <w:top w:val="nil"/>
              <w:left w:val="nil"/>
              <w:bottom w:val="nil"/>
            </w:tcBorders>
            <w:vMerge w:val="continue"/>
          </w:tcPr>
          <w:p/>
        </w:tc>
        <w:tc>
          <w:tcPr>
            <w:gridSpan w:val="2"/>
            <w:tcBorders>
              <w:top w:val="single" w:sz="4"/>
              <w:bottom w:val="single" w:sz="4"/>
            </w:tcBorders>
            <w:vMerge w:val="continue"/>
          </w:tcPr>
          <w:p/>
        </w:tc>
        <w:tc>
          <w:tcPr>
            <w:tcW w:w="510" w:type="dxa"/>
            <w:tcBorders>
              <w:top w:val="nil"/>
              <w:bottom w:val="nil"/>
              <w:right w:val="nil"/>
            </w:tcBorders>
            <w:vMerge w:val="restart"/>
          </w:tcPr>
          <w:p>
            <w:pPr>
              <w:pStyle w:val="0"/>
              <w:jc w:val="right"/>
            </w:pPr>
            <w:r>
              <w:rPr>
                <w:sz w:val="20"/>
              </w:rPr>
            </w:r>
          </w:p>
        </w:tc>
        <w:tc>
          <w:tcPr>
            <w:tcW w:w="400" w:type="dxa"/>
            <w:tcBorders>
              <w:top w:val="nil"/>
              <w:left w:val="nil"/>
              <w:bottom w:val="nil"/>
              <w:right w:val="nil"/>
            </w:tcBorders>
            <w:vMerge w:val="restart"/>
          </w:tcPr>
          <w:p>
            <w:pPr>
              <w:pStyle w:val="0"/>
              <w:jc w:val="both"/>
            </w:pPr>
            <w:r>
              <w:rPr>
                <w:sz w:val="20"/>
              </w:rPr>
            </w:r>
          </w:p>
        </w:tc>
      </w:tr>
      <w:tr>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Borders>
              <w:top w:val="nil"/>
              <w:bottom w:val="nil"/>
            </w:tcBorders>
            <w:vMerge w:val="continue"/>
          </w:tcPr>
          <w:p/>
        </w:tc>
        <w:tc>
          <w:tcPr>
            <w:tcW w:w="340" w:type="dxa"/>
            <w:tcBorders>
              <w:top w:val="single" w:sz="4"/>
              <w:bottom w:val="nil"/>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Borders>
              <w:top w:val="nil"/>
              <w:bottom w:val="nil"/>
            </w:tcBorders>
            <w:vMerge w:val="continue"/>
          </w:tcPr>
          <w:p/>
        </w:tc>
        <w:tc>
          <w:tcPr>
            <w:tcBorders>
              <w:top w:val="single" w:sz="4"/>
              <w:bottom w:val="nil"/>
              <w:right w:val="nil"/>
            </w:tcBorders>
            <w:vMerge w:val="continue"/>
          </w:tcPr>
          <w:p/>
        </w:tc>
        <w:tc>
          <w:tcPr>
            <w:tcBorders>
              <w:top w:val="nil"/>
              <w:left w:val="nil"/>
              <w:bottom w:val="nil"/>
            </w:tcBorders>
            <w:vMerge w:val="continue"/>
          </w:tcPr>
          <w:p/>
        </w:tc>
        <w:tc>
          <w:tcPr>
            <w:tcBorders>
              <w:top w:val="single" w:sz="4"/>
              <w:bottom w:val="single" w:sz="4"/>
            </w:tcBorders>
            <w:vMerge w:val="continue"/>
          </w:tcPr>
          <w:p/>
        </w:tc>
        <w:tc>
          <w:tcPr>
            <w:tcBorders>
              <w:top w:val="nil"/>
              <w:bottom w:val="nil"/>
            </w:tcBorders>
            <w:vMerge w:val="continue"/>
          </w:tcPr>
          <w:p/>
        </w:tc>
        <w:tc>
          <w:tcPr>
            <w:tcBorders>
              <w:top w:val="nil"/>
              <w:bottom w:val="nil"/>
            </w:tcBorders>
            <w:vMerge w:val="continue"/>
          </w:tcPr>
          <w:p/>
        </w:tc>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2"/>
            <w:tcBorders>
              <w:top w:val="single" w:sz="4"/>
              <w:bottom w:val="single" w:sz="4"/>
            </w:tcBorders>
            <w:vMerge w:val="continue"/>
          </w:tcPr>
          <w:p/>
        </w:tc>
        <w:tc>
          <w:tcPr>
            <w:tcBorders>
              <w:top w:val="nil"/>
              <w:bottom w:val="nil"/>
              <w:right w:val="nil"/>
            </w:tcBorders>
            <w:vMerge w:val="continue"/>
          </w:tcPr>
          <w:p/>
        </w:tc>
        <w:tc>
          <w:tcPr>
            <w:tcBorders>
              <w:top w:val="nil"/>
              <w:left w:val="nil"/>
              <w:bottom w:val="nil"/>
              <w:right w:val="nil"/>
            </w:tcBorders>
            <w:vMerge w:val="continue"/>
          </w:tcPr>
          <w:p/>
        </w:tc>
      </w:tr>
      <w:tr>
        <w:tblPrEx>
          <w:tblBorders>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tcBorders>
          </w:tcPr>
          <w:p>
            <w:pPr>
              <w:pStyle w:val="0"/>
              <w:jc w:val="both"/>
            </w:pPr>
            <w:r>
              <w:rPr>
                <w:sz w:val="20"/>
              </w:rPr>
            </w:r>
          </w:p>
        </w:tc>
      </w:tr>
      <w:tr>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bottom w:val="single" w:sz="4"/>
            </w:tcBorders>
            <w:vMerge w:val="restart"/>
          </w:tcPr>
          <w:p>
            <w:pPr>
              <w:pStyle w:val="0"/>
              <w:jc w:val="both"/>
            </w:pPr>
            <w:r>
              <w:rPr>
                <w:sz w:val="20"/>
              </w:rPr>
              <w:t xml:space="preserve">Наркологические больницы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340" w:type="dxa"/>
            <w:tcBorders>
              <w:top w:val="nil"/>
              <w:left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bottom w:val="single" w:sz="4"/>
            </w:tcBorders>
            <w:vMerge w:val="restart"/>
          </w:tcPr>
          <w:p>
            <w:pPr>
              <w:pStyle w:val="0"/>
              <w:jc w:val="both"/>
            </w:pPr>
            <w:r>
              <w:rPr>
                <w:sz w:val="20"/>
              </w:rPr>
              <w:t xml:space="preserve">Больницы (дома) сестринского ухода - 0</w:t>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0"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3798" w:type="dxa"/>
            <w:tcBorders>
              <w:top w:val="single" w:sz="4"/>
              <w:bottom w:val="single" w:sz="4"/>
            </w:tcBorders>
            <w:vMerge w:val="restart"/>
          </w:tcPr>
          <w:p>
            <w:pPr>
              <w:pStyle w:val="0"/>
              <w:jc w:val="both"/>
            </w:pPr>
            <w:r>
              <w:rPr>
                <w:sz w:val="20"/>
              </w:rPr>
              <w:t xml:space="preserve">Центры восстановительной медицины и реабилитации - 0</w:t>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single" w:sz="4"/>
              <w:right w:val="nil"/>
            </w:tcBorders>
          </w:tcPr>
          <w:p>
            <w:pPr>
              <w:pStyle w:val="0"/>
              <w:jc w:val="both"/>
            </w:pPr>
            <w:r>
              <w:rPr>
                <w:sz w:val="20"/>
              </w:rPr>
            </w:r>
          </w:p>
        </w:tc>
        <w:tc>
          <w:tcPr>
            <w:tcW w:w="513" w:type="dxa"/>
            <w:vAlign w:val="center"/>
            <w:tcBorders>
              <w:top w:val="nil"/>
              <w:left w:val="nil"/>
              <w:bottom w:val="nil"/>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2"/>
            <w:tcW w:w="2775" w:type="dxa"/>
            <w:tcBorders>
              <w:top w:val="single" w:sz="4"/>
              <w:bottom w:val="single" w:sz="4"/>
            </w:tcBorders>
            <w:vMerge w:val="restart"/>
          </w:tcPr>
          <w:p>
            <w:pPr>
              <w:pStyle w:val="0"/>
              <w:jc w:val="both"/>
            </w:pPr>
            <w:r>
              <w:rPr>
                <w:sz w:val="20"/>
              </w:rPr>
              <w:t xml:space="preserve">Дома ребенка - 1</w:t>
            </w:r>
          </w:p>
        </w:tc>
        <w:tc>
          <w:tcPr>
            <w:tcW w:w="510" w:type="dxa"/>
            <w:tcBorders>
              <w:top w:val="nil"/>
              <w:bottom w:val="nil"/>
              <w:right w:val="nil"/>
            </w:tcBorders>
          </w:tcPr>
          <w:p>
            <w:pPr>
              <w:pStyle w:val="0"/>
              <w:jc w:val="right"/>
            </w:pPr>
            <w:r>
              <w:rPr>
                <w:sz w:val="20"/>
              </w:rPr>
            </w:r>
          </w:p>
        </w:tc>
        <w:tc>
          <w:tcPr>
            <w:tcW w:w="400" w:type="dxa"/>
            <w:tcBorders>
              <w:top w:val="nil"/>
              <w:left w:val="nil"/>
              <w:bottom w:val="nil"/>
              <w:right w:val="nil"/>
            </w:tcBorders>
          </w:tcPr>
          <w:p>
            <w:pPr>
              <w:pStyle w:val="0"/>
              <w:jc w:val="both"/>
            </w:pPr>
            <w:r>
              <w:rPr>
                <w:sz w:val="20"/>
              </w:rPr>
            </w:r>
          </w:p>
        </w:tc>
      </w:tr>
      <w:tr>
        <w:tc>
          <w:tcPr>
            <w:tcW w:w="340" w:type="dxa"/>
            <w:tcBorders>
              <w:top w:val="single" w:sz="4"/>
              <w:bottom w:val="nil"/>
              <w:right w:val="nil"/>
            </w:tcBorders>
          </w:tcPr>
          <w:p>
            <w:pPr>
              <w:pStyle w:val="0"/>
              <w:jc w:val="both"/>
            </w:pPr>
            <w:r>
              <w:rPr>
                <w:sz w:val="20"/>
              </w:rPr>
            </w:r>
          </w:p>
        </w:tc>
        <w:tc>
          <w:tcPr>
            <w:tcBorders>
              <w:top w:val="nil"/>
              <w:left w:val="nil"/>
              <w:bottom w:val="nil"/>
            </w:tcBorders>
            <w:vMerge w:val="continue"/>
          </w:tcPr>
          <w:p/>
        </w:tc>
        <w:tc>
          <w:tcPr>
            <w:gridSpan w:val="3"/>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r>
          </w:p>
        </w:tc>
        <w:tc>
          <w:tcPr>
            <w:tcBorders>
              <w:top w:val="nil"/>
              <w:left w:val="nil"/>
              <w:bottom w:val="nil"/>
            </w:tcBorders>
            <w:vMerge w:val="continue"/>
          </w:tcPr>
          <w:p/>
        </w:tc>
        <w:tc>
          <w:tcPr>
            <w:tcBorders>
              <w:top w:val="single" w:sz="4"/>
              <w:bottom w:val="single" w:sz="4"/>
            </w:tcBorders>
            <w:vMerge w:val="continue"/>
          </w:tcPr>
          <w:p/>
        </w:tc>
        <w:tc>
          <w:tcPr>
            <w:tcW w:w="340" w:type="dxa"/>
            <w:tcBorders>
              <w:top w:val="nil"/>
              <w:bottom w:val="nil"/>
            </w:tcBorders>
          </w:tcPr>
          <w:p>
            <w:pPr>
              <w:pStyle w:val="0"/>
              <w:jc w:val="both"/>
            </w:pPr>
            <w:r>
              <w:rPr>
                <w:sz w:val="20"/>
              </w:rPr>
            </w:r>
          </w:p>
        </w:tc>
        <w:tc>
          <w:tcPr>
            <w:tcW w:w="340" w:type="dxa"/>
            <w:tcBorders>
              <w:top w:val="nil"/>
              <w:bottom w:val="nil"/>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r>
          </w:p>
        </w:tc>
        <w:tc>
          <w:tcPr>
            <w:tcBorders>
              <w:top w:val="nil"/>
              <w:left w:val="nil"/>
              <w:bottom w:val="nil"/>
            </w:tcBorders>
            <w:vMerge w:val="continue"/>
          </w:tcPr>
          <w:p/>
        </w:tc>
        <w:tc>
          <w:tcPr>
            <w:gridSpan w:val="2"/>
            <w:tcBorders>
              <w:top w:val="single" w:sz="4"/>
              <w:bottom w:val="single" w:sz="4"/>
            </w:tcBorders>
            <w:vMerge w:val="continue"/>
          </w:tcPr>
          <w:p/>
        </w:tc>
        <w:tc>
          <w:tcPr>
            <w:tcW w:w="510" w:type="dxa"/>
            <w:tcBorders>
              <w:top w:val="nil"/>
              <w:bottom w:val="nil"/>
              <w:right w:val="nil"/>
            </w:tcBorders>
          </w:tcPr>
          <w:p>
            <w:pPr>
              <w:pStyle w:val="0"/>
              <w:jc w:val="right"/>
            </w:pPr>
            <w:r>
              <w:rPr>
                <w:sz w:val="20"/>
              </w:rPr>
            </w:r>
          </w:p>
        </w:tc>
        <w:tc>
          <w:tcPr>
            <w:tcW w:w="400" w:type="dxa"/>
            <w:tcBorders>
              <w:top w:val="nil"/>
              <w:left w:val="nil"/>
              <w:bottom w:val="nil"/>
              <w:right w:val="nil"/>
            </w:tcBorders>
          </w:tcPr>
          <w:p>
            <w:pPr>
              <w:pStyle w:val="0"/>
              <w:jc w:val="both"/>
            </w:pPr>
            <w:r>
              <w:rPr>
                <w:sz w:val="20"/>
              </w:rPr>
            </w:r>
          </w:p>
        </w:tc>
      </w:tr>
      <w:tr>
        <w:tblPrEx>
          <w:tblBorders>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single" w:sz="4"/>
              <w:bottom w:val="nil"/>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single" w:sz="4"/>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tcBorders>
          </w:tcPr>
          <w:p>
            <w:pPr>
              <w:pStyle w:val="0"/>
              <w:jc w:val="both"/>
            </w:pPr>
            <w:r>
              <w:rPr>
                <w:sz w:val="20"/>
              </w:rPr>
            </w:r>
          </w:p>
        </w:tc>
      </w:tr>
      <w:tr>
        <w:tblPrEx>
          <w:tblBorders>
            <w:insideV w:val="nil"/>
          </w:tblBorders>
        </w:tblPrEx>
        <w:tc>
          <w:tcPr>
            <w:tcW w:w="340" w:type="dxa"/>
            <w:tcBorders>
              <w:top w:val="nil"/>
              <w:left w:val="single" w:sz="4"/>
              <w:bottom w:val="single" w:sz="4"/>
            </w:tcBorders>
          </w:tcPr>
          <w:p>
            <w:pPr>
              <w:pStyle w:val="0"/>
              <w:jc w:val="both"/>
            </w:pPr>
            <w:r>
              <w:rPr>
                <w:sz w:val="20"/>
              </w:rPr>
            </w:r>
          </w:p>
        </w:tc>
        <w:tc>
          <w:tcPr>
            <w:tcW w:w="510" w:type="dxa"/>
            <w:vAlign w:val="center"/>
            <w:tcBorders>
              <w:top w:val="nil"/>
              <w:bottom w:val="nil"/>
              <w:right w:val="single" w:sz="4"/>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left w:val="single" w:sz="4"/>
              <w:bottom w:val="single" w:sz="4"/>
              <w:right w:val="single" w:sz="4"/>
            </w:tcBorders>
            <w:vMerge w:val="restart"/>
          </w:tcPr>
          <w:p>
            <w:pPr>
              <w:pStyle w:val="0"/>
              <w:jc w:val="both"/>
            </w:pPr>
            <w:r>
              <w:rPr>
                <w:sz w:val="20"/>
              </w:rPr>
              <w:t xml:space="preserve">Родильные дома - 0</w:t>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single" w:sz="4"/>
            </w:tcBorders>
          </w:tcPr>
          <w:p>
            <w:pPr>
              <w:pStyle w:val="0"/>
              <w:jc w:val="both"/>
            </w:pPr>
            <w:r>
              <w:rPr>
                <w:sz w:val="20"/>
              </w:rPr>
            </w:r>
          </w:p>
        </w:tc>
        <w:tc>
          <w:tcPr>
            <w:tcW w:w="340" w:type="dxa"/>
            <w:tcBorders>
              <w:top w:val="nil"/>
              <w:bottom w:val="single" w:sz="4"/>
            </w:tcBorders>
          </w:tcPr>
          <w:p>
            <w:pPr>
              <w:pStyle w:val="0"/>
              <w:jc w:val="both"/>
            </w:pPr>
            <w:r>
              <w:rPr>
                <w:sz w:val="20"/>
              </w:rPr>
            </w:r>
          </w:p>
        </w:tc>
        <w:tc>
          <w:tcPr>
            <w:tcW w:w="510" w:type="dxa"/>
            <w:vAlign w:val="center"/>
            <w:tcBorders>
              <w:top w:val="nil"/>
              <w:bottom w:val="nil"/>
              <w:right w:val="single" w:sz="4"/>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left w:val="single" w:sz="4"/>
              <w:bottom w:val="single" w:sz="4"/>
              <w:right w:val="single" w:sz="4"/>
            </w:tcBorders>
            <w:vMerge w:val="restart"/>
          </w:tcPr>
          <w:p>
            <w:pPr>
              <w:pStyle w:val="0"/>
              <w:jc w:val="both"/>
            </w:pPr>
            <w:r>
              <w:rPr>
                <w:sz w:val="20"/>
              </w:rPr>
              <w:t xml:space="preserve">Хосписы - 0</w:t>
            </w: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nil"/>
              <w:bottom w:val="nil"/>
            </w:tcBorders>
            <w:vMerge w:val="restart"/>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single" w:sz="4"/>
            </w:tcBorders>
          </w:tcPr>
          <w:p>
            <w:pPr>
              <w:pStyle w:val="0"/>
              <w:jc w:val="both"/>
            </w:pPr>
            <w:r>
              <w:rPr>
                <w:sz w:val="20"/>
              </w:rPr>
            </w:r>
          </w:p>
        </w:tc>
        <w:tc>
          <w:tcPr>
            <w:tcW w:w="340" w:type="dxa"/>
            <w:tcBorders>
              <w:top w:val="nil"/>
              <w:bottom w:val="single" w:sz="4"/>
            </w:tcBorders>
          </w:tcPr>
          <w:p>
            <w:pPr>
              <w:pStyle w:val="0"/>
              <w:jc w:val="both"/>
            </w:pPr>
            <w:r>
              <w:rPr>
                <w:sz w:val="20"/>
              </w:rPr>
            </w:r>
          </w:p>
        </w:tc>
        <w:tc>
          <w:tcPr>
            <w:tcW w:w="513" w:type="dxa"/>
            <w:vAlign w:val="center"/>
            <w:tcBorders>
              <w:top w:val="nil"/>
              <w:bottom w:val="nil"/>
              <w:right w:val="single" w:sz="4"/>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2"/>
            <w:tcW w:w="2775" w:type="dxa"/>
            <w:tcBorders>
              <w:top w:val="single" w:sz="4"/>
              <w:left w:val="single" w:sz="4"/>
              <w:bottom w:val="single" w:sz="4"/>
              <w:right w:val="single" w:sz="4"/>
            </w:tcBorders>
            <w:vMerge w:val="restart"/>
          </w:tcPr>
          <w:p>
            <w:pPr>
              <w:pStyle w:val="0"/>
              <w:jc w:val="both"/>
            </w:pPr>
            <w:r>
              <w:rPr>
                <w:sz w:val="20"/>
              </w:rPr>
              <w:t xml:space="preserve">Иные учреждения - 0</w:t>
            </w:r>
          </w:p>
        </w:tc>
        <w:tc>
          <w:tcPr>
            <w:tcW w:w="510" w:type="dxa"/>
            <w:tcBorders>
              <w:top w:val="nil"/>
              <w:left w:val="single" w:sz="4"/>
              <w:bottom w:val="nil"/>
            </w:tcBorders>
          </w:tcPr>
          <w:p>
            <w:pPr>
              <w:pStyle w:val="0"/>
              <w:jc w:val="right"/>
            </w:pPr>
            <w:r>
              <w:rPr>
                <w:sz w:val="20"/>
              </w:rPr>
            </w:r>
          </w:p>
        </w:tc>
        <w:tc>
          <w:tcPr>
            <w:tcW w:w="400" w:type="dxa"/>
            <w:tcBorders>
              <w:top w:val="nil"/>
              <w:bottom w:val="nil"/>
            </w:tcBorders>
          </w:tcPr>
          <w:p>
            <w:pPr>
              <w:pStyle w:val="0"/>
              <w:jc w:val="both"/>
            </w:pPr>
            <w:r>
              <w:rPr>
                <w:sz w:val="20"/>
              </w:rPr>
            </w:r>
          </w:p>
        </w:tc>
      </w:tr>
      <w:tr>
        <w:tblPrEx>
          <w:tblBorders>
            <w:insideV w:val="nil"/>
          </w:tblBorders>
        </w:tblPrEx>
        <w:tc>
          <w:tcPr>
            <w:tcW w:w="340" w:type="dxa"/>
            <w:tcBorders>
              <w:top w:val="single" w:sz="4"/>
              <w:left w:val="single" w:sz="4"/>
              <w:bottom w:val="nil"/>
            </w:tcBorders>
          </w:tcPr>
          <w:p>
            <w:pPr>
              <w:pStyle w:val="0"/>
              <w:jc w:val="both"/>
            </w:pPr>
            <w:r>
              <w:rPr>
                <w:sz w:val="20"/>
              </w:rPr>
            </w:r>
          </w:p>
        </w:tc>
        <w:tc>
          <w:tcPr>
            <w:tcBorders>
              <w:top w:val="nil"/>
              <w:bottom w:val="nil"/>
              <w:right w:val="single" w:sz="4"/>
            </w:tcBorders>
            <w:vMerge w:val="continue"/>
          </w:tcPr>
          <w:p/>
        </w:tc>
        <w:tc>
          <w:tcPr>
            <w:gridSpan w:val="3"/>
            <w:tcBorders>
              <w:top w:val="single" w:sz="4"/>
              <w:left w:val="single" w:sz="4"/>
              <w:bottom w:val="single" w:sz="4"/>
              <w:right w:val="single" w:sz="4"/>
            </w:tcBorders>
            <w:vMerge w:val="continue"/>
          </w:tcPr>
          <w:p/>
        </w:tc>
        <w:tc>
          <w:tcPr>
            <w:tcW w:w="340" w:type="dxa"/>
            <w:tcBorders>
              <w:top w:val="nil"/>
              <w:left w:val="single" w:sz="4"/>
              <w:bottom w:val="nil"/>
              <w:right w:val="single" w:sz="4"/>
            </w:tcBorders>
          </w:tcPr>
          <w:p>
            <w:pPr>
              <w:pStyle w:val="0"/>
              <w:jc w:val="both"/>
            </w:pPr>
            <w:r>
              <w:rPr>
                <w:sz w:val="20"/>
              </w:rPr>
            </w:r>
          </w:p>
        </w:tc>
        <w:tc>
          <w:tcPr>
            <w:tcW w:w="340" w:type="dxa"/>
            <w:tcBorders>
              <w:top w:val="single" w:sz="4"/>
              <w:left w:val="single" w:sz="4"/>
              <w:bottom w:val="nil"/>
            </w:tcBorders>
          </w:tcPr>
          <w:p>
            <w:pPr>
              <w:pStyle w:val="0"/>
              <w:jc w:val="both"/>
            </w:pPr>
            <w:r>
              <w:rPr>
                <w:sz w:val="20"/>
              </w:rPr>
            </w:r>
          </w:p>
        </w:tc>
        <w:tc>
          <w:tcPr>
            <w:tcW w:w="340" w:type="dxa"/>
            <w:tcBorders>
              <w:top w:val="single" w:sz="4"/>
              <w:bottom w:val="nil"/>
            </w:tcBorders>
          </w:tcPr>
          <w:p>
            <w:pPr>
              <w:pStyle w:val="0"/>
              <w:jc w:val="both"/>
            </w:pPr>
            <w:r>
              <w:rPr>
                <w:sz w:val="20"/>
              </w:rPr>
            </w:r>
          </w:p>
        </w:tc>
        <w:tc>
          <w:tcPr>
            <w:tcBorders>
              <w:top w:val="nil"/>
              <w:bottom w:val="nil"/>
              <w:right w:val="single" w:sz="4"/>
            </w:tcBorders>
            <w:vMerge w:val="continue"/>
          </w:tcPr>
          <w:p/>
        </w:tc>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Borders>
              <w:top w:val="nil"/>
              <w:bottom w:val="nil"/>
            </w:tcBorders>
            <w:vMerge w:val="continue"/>
          </w:tcPr>
          <w:p/>
        </w:tc>
        <w:tc>
          <w:tcPr>
            <w:tcW w:w="340" w:type="dxa"/>
            <w:tcBorders>
              <w:top w:val="nil"/>
              <w:bottom w:val="nil"/>
            </w:tcBorders>
          </w:tcPr>
          <w:p>
            <w:pPr>
              <w:pStyle w:val="0"/>
              <w:jc w:val="both"/>
            </w:pPr>
            <w:r>
              <w:rPr>
                <w:sz w:val="20"/>
              </w:rPr>
            </w:r>
          </w:p>
        </w:tc>
        <w:tc>
          <w:tcPr>
            <w:tcW w:w="340" w:type="dxa"/>
            <w:tcBorders>
              <w:top w:val="single" w:sz="4"/>
              <w:bottom w:val="nil"/>
            </w:tcBorders>
          </w:tcPr>
          <w:p>
            <w:pPr>
              <w:pStyle w:val="0"/>
              <w:jc w:val="both"/>
            </w:pPr>
            <w:r>
              <w:rPr>
                <w:sz w:val="20"/>
              </w:rPr>
            </w:r>
          </w:p>
        </w:tc>
        <w:tc>
          <w:tcPr>
            <w:tcW w:w="340" w:type="dxa"/>
            <w:tcBorders>
              <w:top w:val="single" w:sz="4"/>
              <w:bottom w:val="nil"/>
            </w:tcBorders>
          </w:tcPr>
          <w:p>
            <w:pPr>
              <w:pStyle w:val="0"/>
              <w:jc w:val="both"/>
            </w:pPr>
            <w:r>
              <w:rPr>
                <w:sz w:val="20"/>
              </w:rPr>
            </w:r>
          </w:p>
        </w:tc>
        <w:tc>
          <w:tcPr>
            <w:tcBorders>
              <w:top w:val="nil"/>
              <w:bottom w:val="nil"/>
              <w:right w:val="single" w:sz="4"/>
            </w:tcBorders>
            <w:vMerge w:val="continue"/>
          </w:tcPr>
          <w:p/>
        </w:tc>
        <w:tc>
          <w:tcPr>
            <w:gridSpan w:val="2"/>
            <w:tcBorders>
              <w:top w:val="single" w:sz="4"/>
              <w:left w:val="single" w:sz="4"/>
              <w:bottom w:val="single" w:sz="4"/>
              <w:right w:val="single" w:sz="4"/>
            </w:tcBorders>
            <w:vMerge w:val="continue"/>
          </w:tcPr>
          <w:p/>
        </w:tc>
        <w:tc>
          <w:tcPr>
            <w:tcW w:w="510" w:type="dxa"/>
            <w:tcBorders>
              <w:top w:val="nil"/>
              <w:left w:val="single" w:sz="4"/>
              <w:bottom w:val="nil"/>
            </w:tcBorders>
          </w:tcPr>
          <w:p>
            <w:pPr>
              <w:pStyle w:val="0"/>
              <w:jc w:val="right"/>
            </w:pPr>
            <w:r>
              <w:rPr>
                <w:sz w:val="20"/>
              </w:rPr>
            </w:r>
          </w:p>
        </w:tc>
        <w:tc>
          <w:tcPr>
            <w:tcW w:w="400" w:type="dxa"/>
            <w:tcBorders>
              <w:top w:val="nil"/>
              <w:bottom w:val="nil"/>
            </w:tcBorders>
          </w:tcPr>
          <w:p>
            <w:pPr>
              <w:pStyle w:val="0"/>
              <w:jc w:val="both"/>
            </w:pPr>
            <w:r>
              <w:rPr>
                <w:sz w:val="20"/>
              </w:rPr>
            </w:r>
          </w:p>
        </w:tc>
      </w:tr>
      <w:tr>
        <w:tblPrEx>
          <w:tblBorders>
            <w:insideV w:val="nil"/>
          </w:tblBorders>
        </w:tblPrEx>
        <w:tc>
          <w:tcPr>
            <w:tcW w:w="340" w:type="dxa"/>
            <w:tcBorders>
              <w:top w:val="nil"/>
              <w:left w:val="single" w:sz="4"/>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gridSpan w:val="3"/>
            <w:tcW w:w="3118" w:type="dxa"/>
            <w:tcBorders>
              <w:top w:val="single" w:sz="4"/>
              <w:bottom w:val="single" w:sz="4"/>
            </w:tcBorders>
          </w:tcPr>
          <w:p>
            <w:pPr>
              <w:pStyle w:val="0"/>
              <w:jc w:val="both"/>
            </w:pPr>
            <w:r>
              <w:rPr>
                <w:sz w:val="20"/>
              </w:rPr>
            </w:r>
          </w:p>
        </w:tc>
        <w:tc>
          <w:tcPr>
            <w:tcW w:w="340" w:type="dxa"/>
            <w:tcBorders>
              <w:top w:val="nil"/>
              <w:bottom w:val="nil"/>
              <w:right w:val="single" w:sz="4"/>
            </w:tcBorders>
          </w:tcPr>
          <w:p>
            <w:pPr>
              <w:pStyle w:val="0"/>
              <w:jc w:val="both"/>
            </w:pPr>
            <w:r>
              <w:rPr>
                <w:sz w:val="20"/>
              </w:rPr>
            </w: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2608" w:type="dxa"/>
            <w:tcBorders>
              <w:top w:val="single" w:sz="4"/>
              <w:bottom w:val="single" w:sz="4"/>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single" w:sz="4"/>
              <w:bottom w:val="nil"/>
            </w:tcBorders>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tcBorders>
          </w:tcPr>
          <w:p>
            <w:pPr>
              <w:pStyle w:val="0"/>
              <w:jc w:val="both"/>
            </w:pPr>
            <w:r>
              <w:rPr>
                <w:sz w:val="20"/>
              </w:rPr>
            </w:r>
          </w:p>
        </w:tc>
      </w:tr>
      <w:tr>
        <w:tblPrEx>
          <w:tblBorders>
            <w:insideV w:val="nil"/>
          </w:tblBorders>
        </w:tblPrEx>
        <w:tc>
          <w:tcPr>
            <w:tcW w:w="340" w:type="dxa"/>
            <w:tcBorders>
              <w:top w:val="nil"/>
              <w:left w:val="single" w:sz="4"/>
              <w:bottom w:val="single" w:sz="4"/>
            </w:tcBorders>
          </w:tcPr>
          <w:p>
            <w:pPr>
              <w:pStyle w:val="0"/>
              <w:jc w:val="both"/>
            </w:pPr>
            <w:r>
              <w:rPr>
                <w:sz w:val="20"/>
              </w:rPr>
            </w:r>
          </w:p>
        </w:tc>
        <w:tc>
          <w:tcPr>
            <w:tcW w:w="510" w:type="dxa"/>
            <w:vAlign w:val="center"/>
            <w:tcBorders>
              <w:top w:val="nil"/>
              <w:bottom w:val="nil"/>
              <w:right w:val="single" w:sz="4"/>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gridSpan w:val="3"/>
            <w:tcW w:w="3118" w:type="dxa"/>
            <w:tcBorders>
              <w:top w:val="single" w:sz="4"/>
              <w:left w:val="single" w:sz="4"/>
              <w:bottom w:val="single" w:sz="4"/>
              <w:right w:val="single" w:sz="4"/>
            </w:tcBorders>
            <w:vMerge w:val="restart"/>
          </w:tcPr>
          <w:p>
            <w:pPr>
              <w:pStyle w:val="0"/>
              <w:jc w:val="both"/>
            </w:pPr>
            <w:r>
              <w:rPr>
                <w:sz w:val="20"/>
              </w:rPr>
              <w:t xml:space="preserve">Перинатальные центры - 0</w:t>
            </w:r>
          </w:p>
        </w:tc>
        <w:tc>
          <w:tcPr>
            <w:tcW w:w="340" w:type="dxa"/>
            <w:tcBorders>
              <w:top w:val="nil"/>
              <w:left w:val="single" w:sz="4"/>
              <w:bottom w:val="nil"/>
              <w:right w:val="single" w:sz="4"/>
            </w:tcBorders>
          </w:tcPr>
          <w:p>
            <w:pPr>
              <w:pStyle w:val="0"/>
              <w:jc w:val="both"/>
            </w:pPr>
            <w:r>
              <w:rPr>
                <w:sz w:val="20"/>
              </w:rPr>
            </w:r>
          </w:p>
        </w:tc>
        <w:tc>
          <w:tcPr>
            <w:tcW w:w="340" w:type="dxa"/>
            <w:tcBorders>
              <w:top w:val="nil"/>
              <w:left w:val="single" w:sz="4"/>
              <w:bottom w:val="single" w:sz="4"/>
            </w:tcBorders>
          </w:tcPr>
          <w:p>
            <w:pPr>
              <w:pStyle w:val="0"/>
              <w:jc w:val="both"/>
            </w:pPr>
            <w:r>
              <w:rPr>
                <w:sz w:val="20"/>
              </w:rPr>
            </w:r>
          </w:p>
        </w:tc>
        <w:tc>
          <w:tcPr>
            <w:tcW w:w="340" w:type="dxa"/>
            <w:tcBorders>
              <w:top w:val="nil"/>
              <w:bottom w:val="single" w:sz="4"/>
            </w:tcBorders>
          </w:tcPr>
          <w:p>
            <w:pPr>
              <w:pStyle w:val="0"/>
              <w:jc w:val="both"/>
            </w:pPr>
            <w:r>
              <w:rPr>
                <w:sz w:val="20"/>
              </w:rPr>
            </w:r>
          </w:p>
        </w:tc>
        <w:tc>
          <w:tcPr>
            <w:tcW w:w="510" w:type="dxa"/>
            <w:vAlign w:val="center"/>
            <w:tcBorders>
              <w:top w:val="nil"/>
              <w:bottom w:val="nil"/>
              <w:right w:val="single" w:sz="4"/>
            </w:tcBorders>
            <w:vMerge w:val="restart"/>
          </w:tcPr>
          <w:p>
            <w:pPr>
              <w:pStyle w:val="0"/>
              <w:jc w:val="both"/>
            </w:pPr>
            <w:r>
              <w:rPr>
                <w:position w:val="-1"/>
              </w:rPr>
              <w:drawing>
                <wp:inline distT="0" distB="0" distL="0" distR="0">
                  <wp:extent cx="190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2608" w:type="dxa"/>
            <w:tcBorders>
              <w:top w:val="single" w:sz="4"/>
              <w:left w:val="single" w:sz="4"/>
              <w:bottom w:val="single" w:sz="4"/>
              <w:right w:val="single" w:sz="4"/>
            </w:tcBorders>
            <w:vMerge w:val="restart"/>
          </w:tcPr>
          <w:p>
            <w:pPr>
              <w:pStyle w:val="0"/>
              <w:jc w:val="both"/>
            </w:pPr>
            <w:r>
              <w:rPr>
                <w:sz w:val="20"/>
              </w:rPr>
              <w:t xml:space="preserve">Прочие больничные учреждения - 0</w:t>
            </w: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W w:w="3798" w:type="dxa"/>
            <w:tcBorders>
              <w:top w:val="nil"/>
              <w:bottom w:val="nil"/>
            </w:tcBorders>
            <w:vMerge w:val="restart"/>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W w:w="2775" w:type="dxa"/>
            <w:tcBorders>
              <w:top w:val="nil"/>
              <w:bottom w:val="nil"/>
            </w:tcBorders>
            <w:vMerge w:val="restart"/>
          </w:tcPr>
          <w:p>
            <w:pPr>
              <w:pStyle w:val="0"/>
              <w:jc w:val="both"/>
            </w:pPr>
            <w:r>
              <w:rPr>
                <w:sz w:val="20"/>
              </w:rPr>
            </w:r>
          </w:p>
        </w:tc>
        <w:tc>
          <w:tcPr>
            <w:tcW w:w="510" w:type="dxa"/>
            <w:tcBorders>
              <w:top w:val="nil"/>
              <w:bottom w:val="nil"/>
            </w:tcBorders>
          </w:tcPr>
          <w:p>
            <w:pPr>
              <w:pStyle w:val="0"/>
              <w:jc w:val="right"/>
            </w:pPr>
            <w:r>
              <w:rPr>
                <w:sz w:val="20"/>
              </w:rPr>
            </w:r>
          </w:p>
        </w:tc>
        <w:tc>
          <w:tcPr>
            <w:tcW w:w="400" w:type="dxa"/>
            <w:tcBorders>
              <w:top w:val="nil"/>
              <w:bottom w:val="nil"/>
            </w:tcBorders>
          </w:tcPr>
          <w:p>
            <w:pPr>
              <w:pStyle w:val="0"/>
              <w:jc w:val="both"/>
            </w:pPr>
            <w:r>
              <w:rPr>
                <w:sz w:val="20"/>
              </w:rPr>
            </w:r>
          </w:p>
        </w:tc>
      </w:tr>
      <w:tr>
        <w:tblPrEx>
          <w:tblBorders>
            <w:left w:val="nil"/>
            <w:insideV w:val="nil"/>
          </w:tblBorders>
        </w:tblPrEx>
        <w:tc>
          <w:tcPr>
            <w:tcW w:w="340" w:type="dxa"/>
            <w:tcBorders>
              <w:top w:val="single" w:sz="4"/>
              <w:bottom w:val="nil"/>
            </w:tcBorders>
          </w:tcPr>
          <w:p>
            <w:pPr>
              <w:pStyle w:val="0"/>
              <w:jc w:val="both"/>
            </w:pPr>
            <w:r>
              <w:rPr>
                <w:sz w:val="20"/>
              </w:rPr>
            </w:r>
          </w:p>
        </w:tc>
        <w:tc>
          <w:tcPr>
            <w:tcBorders>
              <w:top w:val="nil"/>
              <w:bottom w:val="nil"/>
              <w:right w:val="single" w:sz="4"/>
            </w:tcBorders>
            <w:vMerge w:val="continue"/>
          </w:tcPr>
          <w:p/>
        </w:tc>
        <w:tc>
          <w:tcPr>
            <w:gridSpan w:val="3"/>
            <w:tcBorders>
              <w:top w:val="single" w:sz="4"/>
              <w:left w:val="single" w:sz="4"/>
              <w:bottom w:val="single" w:sz="4"/>
              <w:right w:val="single" w:sz="4"/>
            </w:tcBorders>
            <w:vMerge w:val="continue"/>
          </w:tcPr>
          <w:p/>
        </w:tc>
        <w:tc>
          <w:tcPr>
            <w:tcW w:w="340" w:type="dxa"/>
            <w:tcBorders>
              <w:top w:val="nil"/>
              <w:left w:val="single" w:sz="4"/>
              <w:bottom w:val="nil"/>
            </w:tcBorders>
          </w:tcPr>
          <w:p>
            <w:pPr>
              <w:pStyle w:val="0"/>
              <w:jc w:val="both"/>
            </w:pPr>
            <w:r>
              <w:rPr>
                <w:sz w:val="20"/>
              </w:rPr>
            </w:r>
          </w:p>
        </w:tc>
        <w:tc>
          <w:tcPr>
            <w:tcW w:w="340" w:type="dxa"/>
            <w:tcBorders>
              <w:top w:val="single" w:sz="4"/>
              <w:bottom w:val="nil"/>
            </w:tcBorders>
          </w:tcPr>
          <w:p>
            <w:pPr>
              <w:pStyle w:val="0"/>
              <w:jc w:val="both"/>
            </w:pPr>
            <w:r>
              <w:rPr>
                <w:sz w:val="20"/>
              </w:rPr>
            </w:r>
          </w:p>
        </w:tc>
        <w:tc>
          <w:tcPr>
            <w:tcW w:w="340" w:type="dxa"/>
            <w:tcBorders>
              <w:top w:val="single" w:sz="4"/>
              <w:bottom w:val="nil"/>
            </w:tcBorders>
          </w:tcPr>
          <w:p>
            <w:pPr>
              <w:pStyle w:val="0"/>
              <w:jc w:val="both"/>
            </w:pPr>
            <w:r>
              <w:rPr>
                <w:sz w:val="20"/>
              </w:rPr>
            </w:r>
          </w:p>
        </w:tc>
        <w:tc>
          <w:tcPr>
            <w:tcBorders>
              <w:top w:val="nil"/>
              <w:bottom w:val="nil"/>
              <w:right w:val="single" w:sz="4"/>
            </w:tcBorders>
            <w:vMerge w:val="continue"/>
          </w:tcPr>
          <w:p/>
        </w:tc>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0" w:type="dxa"/>
            <w:tcBorders>
              <w:top w:val="nil"/>
              <w:bottom w:val="nil"/>
            </w:tcBorders>
          </w:tcPr>
          <w:p>
            <w:pPr>
              <w:pStyle w:val="0"/>
              <w:jc w:val="both"/>
            </w:pPr>
            <w:r>
              <w:rPr>
                <w:sz w:val="20"/>
              </w:rPr>
            </w:r>
          </w:p>
        </w:tc>
        <w:tc>
          <w:tcPr>
            <w:tcBorders>
              <w:top w:val="nil"/>
              <w:bottom w:val="nil"/>
            </w:tcBorders>
            <w:vMerge w:val="continue"/>
          </w:tcP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340" w:type="dxa"/>
            <w:tcBorders>
              <w:top w:val="nil"/>
              <w:bottom w:val="nil"/>
            </w:tcBorders>
          </w:tcPr>
          <w:p>
            <w:pPr>
              <w:pStyle w:val="0"/>
              <w:jc w:val="both"/>
            </w:pPr>
            <w:r>
              <w:rPr>
                <w:sz w:val="20"/>
              </w:rPr>
            </w:r>
          </w:p>
        </w:tc>
        <w:tc>
          <w:tcPr>
            <w:tcW w:w="513" w:type="dxa"/>
            <w:tcBorders>
              <w:top w:val="nil"/>
              <w:bottom w:val="nil"/>
            </w:tcBorders>
          </w:tcPr>
          <w:p>
            <w:pPr>
              <w:pStyle w:val="0"/>
              <w:jc w:val="both"/>
            </w:pPr>
            <w:r>
              <w:rPr>
                <w:sz w:val="20"/>
              </w:rPr>
            </w:r>
          </w:p>
        </w:tc>
        <w:tc>
          <w:tcPr>
            <w:gridSpan w:val="2"/>
            <w:tcBorders>
              <w:top w:val="nil"/>
              <w:bottom w:val="nil"/>
            </w:tcBorders>
            <w:vMerge w:val="continue"/>
          </w:tcPr>
          <w:p/>
        </w:tc>
        <w:tc>
          <w:tcPr>
            <w:tcW w:w="510" w:type="dxa"/>
            <w:tcBorders>
              <w:top w:val="nil"/>
              <w:bottom w:val="nil"/>
            </w:tcBorders>
          </w:tcPr>
          <w:p>
            <w:pPr>
              <w:pStyle w:val="0"/>
              <w:jc w:val="right"/>
            </w:pPr>
            <w:r>
              <w:rPr>
                <w:sz w:val="20"/>
              </w:rPr>
            </w:r>
          </w:p>
        </w:tc>
        <w:tc>
          <w:tcPr>
            <w:tcW w:w="400" w:type="dxa"/>
            <w:tcBorders>
              <w:top w:val="nil"/>
              <w:bottom w:val="nil"/>
            </w:tcBorders>
          </w:tcPr>
          <w:p>
            <w:pPr>
              <w:pStyle w:val="0"/>
              <w:jc w:val="both"/>
            </w:pPr>
            <w:r>
              <w:rPr>
                <w:sz w:val="20"/>
              </w:rPr>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0"/>
        <w:outlineLvl w:val="3"/>
        <w:jc w:val="right"/>
      </w:pPr>
      <w:r>
        <w:rPr>
          <w:sz w:val="20"/>
        </w:rPr>
        <w:t xml:space="preserve">Рисунок 2</w:t>
      </w:r>
    </w:p>
    <w:p>
      <w:pPr>
        <w:pStyle w:val="0"/>
      </w:pPr>
      <w:r>
        <w:rPr>
          <w:sz w:val="20"/>
        </w:rPr>
      </w:r>
    </w:p>
    <w:p>
      <w:pPr>
        <w:pStyle w:val="2"/>
        <w:jc w:val="center"/>
      </w:pPr>
      <w:r>
        <w:rPr>
          <w:sz w:val="20"/>
        </w:rPr>
        <w:t xml:space="preserve">Блок-схема действующей сети медицинских организаций субъекта</w:t>
      </w:r>
    </w:p>
    <w:p>
      <w:pPr>
        <w:pStyle w:val="2"/>
        <w:jc w:val="center"/>
      </w:pPr>
      <w:r>
        <w:rPr>
          <w:sz w:val="20"/>
        </w:rPr>
        <w:t xml:space="preserve">Российской Федерации, оказывающих первичную</w:t>
      </w:r>
    </w:p>
    <w:p>
      <w:pPr>
        <w:pStyle w:val="2"/>
        <w:jc w:val="center"/>
      </w:pPr>
      <w:r>
        <w:rPr>
          <w:sz w:val="20"/>
        </w:rPr>
        <w:t xml:space="preserve">медико-санитарную помощь</w:t>
      </w:r>
    </w:p>
    <w:p>
      <w:pPr>
        <w:pStyle w:val="0"/>
        <w:jc w:val="center"/>
      </w:pPr>
      <w:r>
        <w:rPr>
          <w:sz w:val="20"/>
        </w:rPr>
      </w:r>
    </w:p>
    <w:tbl>
      <w:tblPr>
        <w:tblInd w:w="0" w:type="dxa"/>
        <w:tblLayout w:type="fixed"/>
        <w:tblBorders>
          <w:bottom w:val="single" w:sz="4"/>
          <w:insideH w:val="single" w:sz="4"/>
        </w:tblBorders>
        <w:tblCellMar>
          <w:top w:w="102" w:type="dxa"/>
          <w:left w:w="62" w:type="dxa"/>
          <w:bottom w:w="102" w:type="dxa"/>
          <w:right w:w="62" w:type="dxa"/>
        </w:tblCellMar>
      </w:tblPr>
      <w:tblGrid>
        <w:gridCol w:w="1077"/>
        <w:gridCol w:w="3628"/>
        <w:gridCol w:w="1134"/>
        <w:gridCol w:w="454"/>
        <w:gridCol w:w="2835"/>
        <w:gridCol w:w="1361"/>
        <w:gridCol w:w="1191"/>
      </w:tblGrid>
      <w:tr>
        <w:tblPrEx>
          <w:tblBorders>
            <w:insideV w:val="single" w:sz="4"/>
            <w:insideH w:val="nil"/>
          </w:tblBorders>
        </w:tblPrEx>
        <w:tc>
          <w:tcPr>
            <w:tcW w:w="1077" w:type="dxa"/>
            <w:tcBorders>
              <w:top w:val="nil"/>
              <w:left w:val="nil"/>
              <w:bottom w:val="nil"/>
            </w:tcBorders>
          </w:tcPr>
          <w:p>
            <w:pPr>
              <w:pStyle w:val="0"/>
              <w:jc w:val="center"/>
            </w:pPr>
            <w:r>
              <w:rPr>
                <w:sz w:val="20"/>
              </w:rPr>
            </w:r>
          </w:p>
        </w:tc>
        <w:tc>
          <w:tcPr>
            <w:gridSpan w:val="4"/>
            <w:tcW w:w="8051" w:type="dxa"/>
          </w:tcPr>
          <w:p>
            <w:pPr>
              <w:pStyle w:val="0"/>
              <w:jc w:val="center"/>
            </w:pPr>
            <w:r>
              <w:rPr>
                <w:sz w:val="20"/>
              </w:rPr>
              <w:t xml:space="preserve">Существующая сеть медицинских организаций, оказывающих первичную медико-санитарную помощь (далее - ПМСП) в городе Севастополе</w:t>
            </w:r>
          </w:p>
        </w:tc>
        <w:tc>
          <w:tcPr>
            <w:gridSpan w:val="2"/>
            <w:tcW w:w="2552" w:type="dxa"/>
            <w:tcBorders>
              <w:top w:val="nil"/>
              <w:bottom w:val="nil"/>
              <w:right w:val="nil"/>
            </w:tcBorders>
          </w:tcPr>
          <w:p>
            <w:pPr>
              <w:pStyle w:val="0"/>
              <w:jc w:val="center"/>
            </w:pPr>
            <w:r>
              <w:rPr>
                <w:sz w:val="20"/>
              </w:rPr>
            </w:r>
          </w:p>
        </w:tc>
      </w:tr>
      <w:tr>
        <w:tc>
          <w:tcPr>
            <w:tcW w:w="1077" w:type="dxa"/>
            <w:tcBorders>
              <w:top w:val="nil"/>
              <w:left w:val="nil"/>
              <w:right w:val="nil"/>
            </w:tcBorders>
          </w:tcPr>
          <w:p>
            <w:pPr>
              <w:pStyle w:val="0"/>
              <w:jc w:val="center"/>
            </w:pPr>
            <w:r>
              <w:rPr>
                <w:sz w:val="20"/>
              </w:rPr>
            </w:r>
          </w:p>
        </w:tc>
        <w:tc>
          <w:tcPr>
            <w:tcW w:w="3628" w:type="dxa"/>
            <w:tcBorders>
              <w:left w:val="nil"/>
              <w:right w:val="nil"/>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1134" w:type="dxa"/>
            <w:tcBorders>
              <w:left w:val="nil"/>
              <w:right w:val="nil"/>
            </w:tcBorders>
          </w:tcPr>
          <w:p>
            <w:pPr>
              <w:pStyle w:val="0"/>
              <w:jc w:val="both"/>
            </w:pPr>
            <w:r>
              <w:rPr>
                <w:sz w:val="20"/>
              </w:rPr>
            </w:r>
          </w:p>
        </w:tc>
        <w:tc>
          <w:tcPr>
            <w:tcW w:w="454" w:type="dxa"/>
            <w:tcBorders>
              <w:left w:val="nil"/>
              <w:bottom w:val="nil"/>
              <w:right w:val="nil"/>
            </w:tcBorders>
          </w:tcPr>
          <w:p>
            <w:pPr>
              <w:pStyle w:val="0"/>
              <w:jc w:val="center"/>
            </w:pPr>
            <w:r>
              <w:rPr>
                <w:sz w:val="20"/>
              </w:rPr>
            </w:r>
          </w:p>
        </w:tc>
        <w:tc>
          <w:tcPr>
            <w:gridSpan w:val="2"/>
            <w:tcW w:w="4196" w:type="dxa"/>
            <w:tcBorders>
              <w:top w:val="nil"/>
              <w:left w:val="nil"/>
              <w:right w:val="nil"/>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1191" w:type="dxa"/>
            <w:tcBorders>
              <w:top w:val="nil"/>
              <w:left w:val="nil"/>
              <w:right w:val="nil"/>
            </w:tcBorders>
          </w:tcPr>
          <w:p>
            <w:pPr>
              <w:pStyle w:val="0"/>
              <w:jc w:val="both"/>
            </w:pPr>
            <w:r>
              <w:rPr>
                <w:sz w:val="20"/>
              </w:rPr>
            </w:r>
          </w:p>
        </w:tc>
      </w:tr>
      <w:tr>
        <w:tblPrEx>
          <w:tblBorders>
            <w:left w:val="single" w:sz="4"/>
            <w:right w:val="single" w:sz="4"/>
            <w:insideV w:val="single" w:sz="4"/>
          </w:tblBorders>
        </w:tblPrEx>
        <w:tc>
          <w:tcPr>
            <w:gridSpan w:val="3"/>
            <w:tcW w:w="5839" w:type="dxa"/>
          </w:tcPr>
          <w:p>
            <w:pPr>
              <w:pStyle w:val="0"/>
              <w:jc w:val="center"/>
            </w:pPr>
            <w:r>
              <w:rPr>
                <w:sz w:val="20"/>
              </w:rPr>
              <w:t xml:space="preserve">Самостоятельные МО</w:t>
            </w:r>
          </w:p>
        </w:tc>
        <w:tc>
          <w:tcPr>
            <w:tcW w:w="454" w:type="dxa"/>
            <w:tcBorders>
              <w:top w:val="nil"/>
              <w:bottom w:val="nil"/>
            </w:tcBorders>
          </w:tcPr>
          <w:p>
            <w:pPr>
              <w:pStyle w:val="0"/>
              <w:jc w:val="center"/>
            </w:pPr>
            <w:r>
              <w:rPr>
                <w:sz w:val="20"/>
              </w:rPr>
            </w:r>
          </w:p>
        </w:tc>
        <w:tc>
          <w:tcPr>
            <w:gridSpan w:val="3"/>
            <w:tcW w:w="5387" w:type="dxa"/>
          </w:tcPr>
          <w:p>
            <w:pPr>
              <w:pStyle w:val="0"/>
              <w:jc w:val="center"/>
            </w:pPr>
            <w:r>
              <w:rPr>
                <w:sz w:val="20"/>
              </w:rPr>
              <w:t xml:space="preserve">Структурные подразделения</w:t>
            </w:r>
          </w:p>
        </w:tc>
      </w:tr>
      <w:tr>
        <w:tc>
          <w:tcPr>
            <w:gridSpan w:val="3"/>
            <w:tcW w:w="5839" w:type="dxa"/>
            <w:tcBorders>
              <w:left w:val="nil"/>
              <w:right w:val="nil"/>
            </w:tcBorders>
          </w:tcPr>
          <w:p>
            <w:pPr>
              <w:pStyle w:val="0"/>
              <w:jc w:val="both"/>
            </w:pPr>
            <w:r>
              <w:rPr>
                <w:sz w:val="20"/>
              </w:rPr>
            </w:r>
          </w:p>
        </w:tc>
        <w:tc>
          <w:tcPr>
            <w:tcW w:w="454" w:type="dxa"/>
            <w:tcBorders>
              <w:top w:val="nil"/>
              <w:left w:val="nil"/>
              <w:bottom w:val="nil"/>
              <w:right w:val="nil"/>
            </w:tcBorders>
            <w:vMerge w:val="restart"/>
          </w:tcPr>
          <w:p>
            <w:pPr>
              <w:pStyle w:val="0"/>
              <w:jc w:val="center"/>
            </w:pPr>
            <w:r>
              <w:rPr>
                <w:sz w:val="20"/>
              </w:rPr>
            </w:r>
          </w:p>
        </w:tc>
        <w:tc>
          <w:tcPr>
            <w:gridSpan w:val="3"/>
            <w:tcW w:w="5387" w:type="dxa"/>
            <w:tcBorders>
              <w:left w:val="nil"/>
              <w:right w:val="nil"/>
            </w:tcBorders>
          </w:tcPr>
          <w:p>
            <w:pPr>
              <w:pStyle w:val="0"/>
              <w:jc w:val="both"/>
            </w:pPr>
            <w:r>
              <w:rPr>
                <w:sz w:val="20"/>
              </w:rPr>
            </w:r>
          </w:p>
        </w:tc>
      </w:tr>
      <w:tr>
        <w:tblPrEx>
          <w:tblBorders>
            <w:left w:val="single" w:sz="4"/>
            <w:right w:val="single" w:sz="4"/>
          </w:tblBorders>
        </w:tblPrEx>
        <w:tc>
          <w:tcPr>
            <w:gridSpan w:val="2"/>
            <w:tcW w:w="4705" w:type="dxa"/>
            <w:tcBorders>
              <w:left w:val="single" w:sz="4"/>
              <w:right w:val="nil"/>
            </w:tcBorders>
          </w:tcPr>
          <w:p>
            <w:pPr>
              <w:pStyle w:val="0"/>
              <w:jc w:val="both"/>
            </w:pPr>
            <w:r>
              <w:rPr>
                <w:sz w:val="20"/>
              </w:rPr>
              <w:t xml:space="preserve">Поликлиники, всего - 0</w:t>
            </w:r>
          </w:p>
        </w:tc>
        <w:tc>
          <w:tcPr>
            <w:tcW w:w="1134" w:type="dxa"/>
            <w:tcBorders>
              <w:left w:val="nil"/>
              <w:right w:val="single" w:sz="4"/>
            </w:tcBorders>
          </w:tcPr>
          <w:p>
            <w:pPr>
              <w:pStyle w:val="0"/>
              <w:jc w:val="center"/>
            </w:pPr>
            <w:r>
              <w:rPr>
                <w:position w:val="-4"/>
              </w:rPr>
              <w:drawing>
                <wp:inline distT="0" distB="0" distL="0" distR="0">
                  <wp:extent cx="18288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Borders>
              <w:top w:val="nil"/>
              <w:left w:val="nil"/>
              <w:bottom w:val="nil"/>
              <w:right w:val="nil"/>
            </w:tcBorders>
            <w:vMerge w:val="continue"/>
          </w:tcPr>
          <w:p/>
        </w:tc>
        <w:tc>
          <w:tcPr>
            <w:gridSpan w:val="2"/>
            <w:tcW w:w="4196" w:type="dxa"/>
            <w:tcBorders>
              <w:left w:val="single" w:sz="4"/>
              <w:right w:val="nil"/>
            </w:tcBorders>
          </w:tcPr>
          <w:p>
            <w:pPr>
              <w:pStyle w:val="0"/>
              <w:jc w:val="both"/>
            </w:pPr>
            <w:r>
              <w:rPr>
                <w:sz w:val="20"/>
              </w:rPr>
              <w:t xml:space="preserve">Центр (отделение, кабинет) ОВП - 0</w:t>
            </w:r>
          </w:p>
        </w:tc>
        <w:tc>
          <w:tcPr>
            <w:tcW w:w="1191" w:type="dxa"/>
            <w:tcBorders>
              <w:left w:val="nil"/>
              <w:right w:val="single" w:sz="4"/>
            </w:tcBorders>
          </w:tcPr>
          <w:p>
            <w:pPr>
              <w:pStyle w:val="0"/>
              <w:jc w:val="center"/>
            </w:pPr>
            <w:r>
              <w:rPr>
                <w:position w:val="-3"/>
              </w:rPr>
              <w:drawing>
                <wp:inline distT="0" distB="0" distL="0" distR="0">
                  <wp:extent cx="54864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a:extLst>
                              <a:ext uri="{28A0092B-C50C-407E-A947-70E740481C1C}">
                                <a14:useLocalDpi xmlns:a14="http://schemas.microsoft.com/office/drawing/2010/main" val="0"/>
                              </a:ext>
                            </a:extLst>
                          </a:blip>
                          <a:srcRect/>
                          <a:stretch>
                            <a:fillRect/>
                          </a:stretch>
                        </pic:blipFill>
                        <pic:spPr bwMode="auto">
                          <a:xfrm>
                            <a:off x="0" y="0"/>
                            <a:ext cx="548640" cy="176530"/>
                          </a:xfrm>
                          <a:prstGeom prst="rect">
                            <a:avLst/>
                          </a:prstGeom>
                          <a:noFill/>
                          <a:ln>
                            <a:noFill/>
                          </a:ln>
                        </pic:spPr>
                      </pic:pic>
                    </a:graphicData>
                  </a:graphic>
                </wp:inline>
              </w:drawing>
            </w:r>
          </w:p>
        </w:tc>
      </w:tr>
      <w:tr>
        <w:tc>
          <w:tcPr>
            <w:gridSpan w:val="3"/>
            <w:tcW w:w="5839" w:type="dxa"/>
            <w:tcBorders>
              <w:left w:val="nil"/>
              <w:right w:val="nil"/>
            </w:tcBorders>
          </w:tcPr>
          <w:p>
            <w:pPr>
              <w:pStyle w:val="0"/>
              <w:jc w:val="center"/>
            </w:pPr>
            <w:r>
              <w:rPr>
                <w:sz w:val="20"/>
              </w:rPr>
            </w:r>
          </w:p>
        </w:tc>
        <w:tc>
          <w:tcPr>
            <w:tcBorders>
              <w:top w:val="nil"/>
              <w:left w:val="nil"/>
              <w:bottom w:val="nil"/>
              <w:right w:val="nil"/>
            </w:tcBorders>
            <w:vMerge w:val="continue"/>
          </w:tcPr>
          <w:p/>
        </w:tc>
        <w:tc>
          <w:tcPr>
            <w:gridSpan w:val="3"/>
            <w:tcW w:w="5387" w:type="dxa"/>
            <w:tcBorders>
              <w:left w:val="nil"/>
              <w:right w:val="nil"/>
            </w:tcBorders>
          </w:tcPr>
          <w:p>
            <w:pPr>
              <w:pStyle w:val="0"/>
              <w:jc w:val="both"/>
            </w:pPr>
            <w:r>
              <w:rPr>
                <w:sz w:val="20"/>
              </w:rPr>
            </w:r>
          </w:p>
        </w:tc>
      </w:tr>
      <w:tr>
        <w:tblPrEx>
          <w:tblBorders>
            <w:left w:val="single" w:sz="4"/>
            <w:right w:val="single" w:sz="4"/>
          </w:tblBorders>
        </w:tblPrEx>
        <w:tc>
          <w:tcPr>
            <w:gridSpan w:val="2"/>
            <w:tcW w:w="4705" w:type="dxa"/>
            <w:tcBorders>
              <w:left w:val="single" w:sz="4"/>
              <w:right w:val="nil"/>
            </w:tcBorders>
          </w:tcPr>
          <w:p>
            <w:pPr>
              <w:pStyle w:val="0"/>
              <w:jc w:val="both"/>
            </w:pPr>
            <w:r>
              <w:rPr>
                <w:sz w:val="20"/>
              </w:rPr>
              <w:t xml:space="preserve">Амбулатории - 0</w:t>
            </w:r>
          </w:p>
        </w:tc>
        <w:tc>
          <w:tcPr>
            <w:tcW w:w="1134" w:type="dxa"/>
            <w:tcBorders>
              <w:left w:val="nil"/>
              <w:right w:val="single" w:sz="4"/>
            </w:tcBorders>
          </w:tcPr>
          <w:p>
            <w:pPr>
              <w:pStyle w:val="0"/>
              <w:jc w:val="center"/>
            </w:pPr>
            <w:r>
              <w:rPr>
                <w:position w:val="-2"/>
              </w:rPr>
              <w:drawing>
                <wp:inline distT="0" distB="0" distL="0" distR="0">
                  <wp:extent cx="18288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p>
        </w:tc>
        <w:tc>
          <w:tcPr>
            <w:tcBorders>
              <w:top w:val="nil"/>
              <w:left w:val="nil"/>
              <w:bottom w:val="nil"/>
              <w:right w:val="nil"/>
            </w:tcBorders>
            <w:vMerge w:val="continue"/>
          </w:tcPr>
          <w:p/>
        </w:tc>
        <w:tc>
          <w:tcPr>
            <w:gridSpan w:val="2"/>
            <w:tcW w:w="4196" w:type="dxa"/>
            <w:tcBorders>
              <w:left w:val="single" w:sz="4"/>
              <w:right w:val="nil"/>
            </w:tcBorders>
          </w:tcPr>
          <w:p>
            <w:pPr>
              <w:pStyle w:val="0"/>
              <w:jc w:val="both"/>
            </w:pPr>
            <w:r>
              <w:rPr>
                <w:sz w:val="20"/>
              </w:rPr>
              <w:t xml:space="preserve">ФАП - 13</w:t>
            </w:r>
          </w:p>
        </w:tc>
        <w:tc>
          <w:tcPr>
            <w:tcW w:w="1191" w:type="dxa"/>
            <w:tcBorders>
              <w:left w:val="nil"/>
              <w:right w:val="single" w:sz="4"/>
            </w:tcBorders>
          </w:tcPr>
          <w:p>
            <w:pPr>
              <w:pStyle w:val="0"/>
              <w:jc w:val="center"/>
            </w:pPr>
            <w:r>
              <w:rPr>
                <w:position w:val="-4"/>
              </w:rPr>
              <w:drawing>
                <wp:inline distT="0" distB="0" distL="0" distR="0">
                  <wp:extent cx="60960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a:extLst>
                              <a:ext uri="{28A0092B-C50C-407E-A947-70E740481C1C}">
                                <a14:useLocalDpi xmlns:a14="http://schemas.microsoft.com/office/drawing/2010/main" val="0"/>
                              </a:ext>
                            </a:extLst>
                          </a:blip>
                          <a:srcRect/>
                          <a:stretch>
                            <a:fillRect/>
                          </a:stretch>
                        </pic:blipFill>
                        <pic:spPr bwMode="auto">
                          <a:xfrm>
                            <a:off x="0" y="0"/>
                            <a:ext cx="609600" cy="182880"/>
                          </a:xfrm>
                          <a:prstGeom prst="rect">
                            <a:avLst/>
                          </a:prstGeom>
                          <a:noFill/>
                          <a:ln>
                            <a:noFill/>
                          </a:ln>
                        </pic:spPr>
                      </pic:pic>
                    </a:graphicData>
                  </a:graphic>
                </wp:inline>
              </w:drawing>
            </w:r>
          </w:p>
        </w:tc>
      </w:tr>
      <w:tr>
        <w:tc>
          <w:tcPr>
            <w:gridSpan w:val="3"/>
            <w:tcW w:w="5839" w:type="dxa"/>
            <w:tcBorders>
              <w:left w:val="nil"/>
              <w:right w:val="nil"/>
            </w:tcBorders>
          </w:tcPr>
          <w:p>
            <w:pPr>
              <w:pStyle w:val="0"/>
              <w:jc w:val="both"/>
            </w:pPr>
            <w:r>
              <w:rPr>
                <w:sz w:val="20"/>
              </w:rPr>
            </w:r>
          </w:p>
        </w:tc>
        <w:tc>
          <w:tcPr>
            <w:tcBorders>
              <w:top w:val="nil"/>
              <w:left w:val="nil"/>
              <w:bottom w:val="nil"/>
              <w:right w:val="nil"/>
            </w:tcBorders>
            <w:vMerge w:val="continue"/>
          </w:tcPr>
          <w:p/>
        </w:tc>
        <w:tc>
          <w:tcPr>
            <w:gridSpan w:val="3"/>
            <w:tcW w:w="5387" w:type="dxa"/>
            <w:tcBorders>
              <w:left w:val="nil"/>
              <w:right w:val="nil"/>
            </w:tcBorders>
          </w:tcPr>
          <w:p>
            <w:pPr>
              <w:pStyle w:val="0"/>
              <w:jc w:val="both"/>
            </w:pPr>
            <w:r>
              <w:rPr>
                <w:sz w:val="20"/>
              </w:rPr>
            </w:r>
          </w:p>
        </w:tc>
      </w:tr>
      <w:tr>
        <w:tblPrEx>
          <w:tblBorders>
            <w:left w:val="single" w:sz="4"/>
            <w:right w:val="single" w:sz="4"/>
          </w:tblBorders>
        </w:tblPrEx>
        <w:tc>
          <w:tcPr>
            <w:gridSpan w:val="3"/>
            <w:tcW w:w="5839" w:type="dxa"/>
            <w:tcBorders>
              <w:left w:val="single" w:sz="4"/>
              <w:right w:val="single" w:sz="4"/>
            </w:tcBorders>
          </w:tcPr>
          <w:p>
            <w:pPr>
              <w:pStyle w:val="0"/>
              <w:jc w:val="both"/>
            </w:pPr>
            <w:r>
              <w:rPr>
                <w:sz w:val="20"/>
              </w:rPr>
              <w:t xml:space="preserve">в т.ч. расположенные в сельских поселениях - 0</w:t>
            </w:r>
          </w:p>
        </w:tc>
        <w:tc>
          <w:tcPr>
            <w:tcBorders>
              <w:top w:val="nil"/>
              <w:left w:val="nil"/>
              <w:bottom w:val="nil"/>
              <w:right w:val="nil"/>
            </w:tcBorders>
            <w:vMerge w:val="continue"/>
          </w:tcPr>
          <w:p/>
        </w:tc>
        <w:tc>
          <w:tcPr>
            <w:gridSpan w:val="2"/>
            <w:tcW w:w="4196" w:type="dxa"/>
            <w:tcBorders>
              <w:left w:val="single" w:sz="4"/>
              <w:right w:val="nil"/>
            </w:tcBorders>
          </w:tcPr>
          <w:p>
            <w:pPr>
              <w:pStyle w:val="0"/>
              <w:jc w:val="both"/>
            </w:pPr>
            <w:r>
              <w:rPr>
                <w:sz w:val="20"/>
              </w:rPr>
              <w:t xml:space="preserve">Фельдшерский пункт - 0</w:t>
            </w:r>
          </w:p>
        </w:tc>
        <w:tc>
          <w:tcPr>
            <w:tcW w:w="1191" w:type="dxa"/>
            <w:tcBorders>
              <w:left w:val="nil"/>
              <w:right w:val="single" w:sz="4"/>
            </w:tcBorders>
          </w:tcPr>
          <w:p>
            <w:pPr>
              <w:pStyle w:val="0"/>
              <w:jc w:val="center"/>
            </w:pPr>
            <w:r>
              <w:rPr>
                <w:position w:val="-3"/>
              </w:rPr>
              <w:drawing>
                <wp:inline distT="0" distB="0" distL="0" distR="0">
                  <wp:extent cx="41465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a:extLst>
                              <a:ext uri="{28A0092B-C50C-407E-A947-70E740481C1C}">
                                <a14:useLocalDpi xmlns:a14="http://schemas.microsoft.com/office/drawing/2010/main" val="0"/>
                              </a:ext>
                            </a:extLst>
                          </a:blip>
                          <a:srcRect/>
                          <a:stretch>
                            <a:fillRect/>
                          </a:stretch>
                        </pic:blipFill>
                        <pic:spPr bwMode="auto">
                          <a:xfrm>
                            <a:off x="0" y="0"/>
                            <a:ext cx="414655" cy="176530"/>
                          </a:xfrm>
                          <a:prstGeom prst="rect">
                            <a:avLst/>
                          </a:prstGeom>
                          <a:noFill/>
                          <a:ln>
                            <a:noFill/>
                          </a:ln>
                        </pic:spPr>
                      </pic:pic>
                    </a:graphicData>
                  </a:graphic>
                </wp:inline>
              </w:drawing>
            </w:r>
          </w:p>
        </w:tc>
      </w:tr>
      <w:tr>
        <w:tc>
          <w:tcPr>
            <w:gridSpan w:val="3"/>
            <w:tcW w:w="5839" w:type="dxa"/>
            <w:tcBorders>
              <w:left w:val="nil"/>
              <w:right w:val="nil"/>
            </w:tcBorders>
          </w:tcPr>
          <w:p>
            <w:pPr>
              <w:pStyle w:val="0"/>
              <w:jc w:val="both"/>
            </w:pPr>
            <w:r>
              <w:rPr>
                <w:sz w:val="20"/>
              </w:rPr>
            </w:r>
          </w:p>
        </w:tc>
        <w:tc>
          <w:tcPr>
            <w:tcBorders>
              <w:top w:val="nil"/>
              <w:left w:val="nil"/>
              <w:bottom w:val="nil"/>
              <w:right w:val="nil"/>
            </w:tcBorders>
            <w:vMerge w:val="continue"/>
          </w:tcPr>
          <w:p/>
        </w:tc>
        <w:tc>
          <w:tcPr>
            <w:gridSpan w:val="3"/>
            <w:tcW w:w="5387" w:type="dxa"/>
            <w:tcBorders>
              <w:left w:val="nil"/>
              <w:right w:val="nil"/>
            </w:tcBorders>
          </w:tcPr>
          <w:p>
            <w:pPr>
              <w:pStyle w:val="0"/>
              <w:jc w:val="both"/>
            </w:pPr>
            <w:r>
              <w:rPr>
                <w:sz w:val="20"/>
              </w:rPr>
            </w:r>
          </w:p>
        </w:tc>
      </w:tr>
      <w:tr>
        <w:tblPrEx>
          <w:tblBorders>
            <w:left w:val="single" w:sz="4"/>
            <w:right w:val="single" w:sz="4"/>
          </w:tblBorders>
        </w:tblPrEx>
        <w:tc>
          <w:tcPr>
            <w:gridSpan w:val="2"/>
            <w:tcW w:w="4705" w:type="dxa"/>
            <w:tcBorders>
              <w:left w:val="single" w:sz="4"/>
              <w:right w:val="nil"/>
            </w:tcBorders>
          </w:tcPr>
          <w:p>
            <w:pPr>
              <w:pStyle w:val="0"/>
              <w:jc w:val="both"/>
            </w:pPr>
            <w:r>
              <w:rPr>
                <w:sz w:val="20"/>
              </w:rPr>
              <w:t xml:space="preserve">Детская поликлиника - 0</w:t>
            </w:r>
          </w:p>
        </w:tc>
        <w:tc>
          <w:tcPr>
            <w:tcW w:w="1134" w:type="dxa"/>
            <w:tcBorders>
              <w:left w:val="nil"/>
              <w:right w:val="single" w:sz="4"/>
            </w:tcBorders>
          </w:tcPr>
          <w:p>
            <w:pPr>
              <w:pStyle w:val="0"/>
              <w:jc w:val="center"/>
            </w:pPr>
            <w:r>
              <w:rPr>
                <w:position w:val="-4"/>
              </w:rPr>
              <w:drawing>
                <wp:inline distT="0" distB="0" distL="0" distR="0">
                  <wp:extent cx="3111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a:extLst>
                              <a:ext uri="{28A0092B-C50C-407E-A947-70E740481C1C}">
                                <a14:useLocalDpi xmlns:a14="http://schemas.microsoft.com/office/drawing/2010/main" val="0"/>
                              </a:ext>
                            </a:extLst>
                          </a:blip>
                          <a:srcRect/>
                          <a:stretch>
                            <a:fillRect/>
                          </a:stretch>
                        </pic:blipFill>
                        <pic:spPr bwMode="auto">
                          <a:xfrm>
                            <a:off x="0" y="0"/>
                            <a:ext cx="311150" cy="182880"/>
                          </a:xfrm>
                          <a:prstGeom prst="rect">
                            <a:avLst/>
                          </a:prstGeom>
                          <a:noFill/>
                          <a:ln>
                            <a:noFill/>
                          </a:ln>
                        </pic:spPr>
                      </pic:pic>
                    </a:graphicData>
                  </a:graphic>
                </wp:inline>
              </w:drawing>
            </w:r>
          </w:p>
        </w:tc>
        <w:tc>
          <w:tcPr>
            <w:tcBorders>
              <w:top w:val="nil"/>
              <w:left w:val="nil"/>
              <w:bottom w:val="nil"/>
              <w:right w:val="nil"/>
            </w:tcBorders>
            <w:vMerge w:val="continue"/>
          </w:tcPr>
          <w:p/>
        </w:tc>
        <w:tc>
          <w:tcPr>
            <w:gridSpan w:val="2"/>
            <w:tcW w:w="4196" w:type="dxa"/>
            <w:tcBorders>
              <w:left w:val="single" w:sz="4"/>
              <w:right w:val="nil"/>
            </w:tcBorders>
          </w:tcPr>
          <w:p>
            <w:pPr>
              <w:pStyle w:val="0"/>
              <w:jc w:val="both"/>
            </w:pPr>
            <w:r>
              <w:rPr>
                <w:sz w:val="20"/>
              </w:rPr>
              <w:t xml:space="preserve">Амбулатории - 7</w:t>
            </w:r>
          </w:p>
        </w:tc>
        <w:tc>
          <w:tcPr>
            <w:tcW w:w="1191" w:type="dxa"/>
            <w:tcBorders>
              <w:left w:val="nil"/>
              <w:right w:val="single" w:sz="4"/>
            </w:tcBorders>
          </w:tcPr>
          <w:p>
            <w:pPr>
              <w:pStyle w:val="0"/>
              <w:jc w:val="center"/>
            </w:pPr>
            <w:r>
              <w:rPr>
                <w:position w:val="-2"/>
              </w:rPr>
              <w:drawing>
                <wp:inline distT="0" distB="0" distL="0" distR="0">
                  <wp:extent cx="18288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p>
        </w:tc>
      </w:tr>
      <w:tr>
        <w:tblPrEx>
          <w:tblBorders>
            <w:insideH w:val="nil"/>
          </w:tblBorders>
        </w:tblPrEx>
        <w:tc>
          <w:tcPr>
            <w:gridSpan w:val="3"/>
            <w:tcW w:w="5839" w:type="dxa"/>
            <w:tcBorders>
              <w:left w:val="nil"/>
              <w:right w:val="nil"/>
            </w:tcBorders>
          </w:tcPr>
          <w:p>
            <w:pPr>
              <w:pStyle w:val="0"/>
              <w:jc w:val="center"/>
            </w:pPr>
            <w:r>
              <w:rPr>
                <w:sz w:val="20"/>
              </w:rPr>
            </w:r>
          </w:p>
        </w:tc>
        <w:tc>
          <w:tcPr>
            <w:tcW w:w="454" w:type="dxa"/>
            <w:tcBorders>
              <w:top w:val="nil"/>
              <w:left w:val="nil"/>
              <w:bottom w:val="nil"/>
              <w:right w:val="nil"/>
            </w:tcBorders>
          </w:tcPr>
          <w:p>
            <w:pPr>
              <w:pStyle w:val="0"/>
              <w:jc w:val="center"/>
            </w:pPr>
            <w:r>
              <w:rPr>
                <w:sz w:val="20"/>
              </w:rPr>
            </w:r>
          </w:p>
        </w:tc>
        <w:tc>
          <w:tcPr>
            <w:gridSpan w:val="3"/>
            <w:tcW w:w="5387" w:type="dxa"/>
            <w:tcBorders>
              <w:left w:val="nil"/>
              <w:bottom w:val="nil"/>
              <w:right w:val="nil"/>
            </w:tcBorders>
          </w:tcPr>
          <w:p>
            <w:pPr>
              <w:pStyle w:val="0"/>
              <w:jc w:val="center"/>
            </w:pPr>
            <w:r>
              <w:rPr>
                <w:sz w:val="20"/>
              </w:rPr>
            </w:r>
          </w:p>
        </w:tc>
      </w:tr>
      <w:tr>
        <w:tblPrEx>
          <w:tblBorders>
            <w:left w:val="single" w:sz="4"/>
            <w:insideH w:val="nil"/>
          </w:tblBorders>
        </w:tblPrEx>
        <w:tc>
          <w:tcPr>
            <w:gridSpan w:val="2"/>
            <w:tcW w:w="4705" w:type="dxa"/>
            <w:tcBorders>
              <w:left w:val="single" w:sz="4"/>
              <w:right w:val="nil"/>
            </w:tcBorders>
          </w:tcPr>
          <w:p>
            <w:pPr>
              <w:pStyle w:val="0"/>
              <w:jc w:val="both"/>
            </w:pPr>
            <w:r>
              <w:rPr>
                <w:sz w:val="20"/>
              </w:rPr>
              <w:t xml:space="preserve">Медицинские диагностические центры - 0</w:t>
            </w:r>
          </w:p>
        </w:tc>
        <w:tc>
          <w:tcPr>
            <w:tcW w:w="1134" w:type="dxa"/>
            <w:tcBorders>
              <w:left w:val="nil"/>
              <w:right w:val="single" w:sz="4"/>
            </w:tcBorders>
          </w:tcPr>
          <w:p>
            <w:pPr>
              <w:pStyle w:val="0"/>
              <w:jc w:val="center"/>
            </w:pPr>
            <w:r>
              <w:rPr>
                <w:position w:val="-4"/>
              </w:rPr>
              <w:drawing>
                <wp:inline distT="0" distB="0" distL="0" distR="0">
                  <wp:extent cx="35941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a:extLst>
                              <a:ext uri="{28A0092B-C50C-407E-A947-70E740481C1C}">
                                <a14:useLocalDpi xmlns:a14="http://schemas.microsoft.com/office/drawing/2010/main" val="0"/>
                              </a:ext>
                            </a:extLst>
                          </a:blip>
                          <a:srcRect/>
                          <a:stretch>
                            <a:fillRect/>
                          </a:stretch>
                        </pic:blipFill>
                        <pic:spPr bwMode="auto">
                          <a:xfrm>
                            <a:off x="0" y="0"/>
                            <a:ext cx="359410" cy="189230"/>
                          </a:xfrm>
                          <a:prstGeom prst="rect">
                            <a:avLst/>
                          </a:prstGeom>
                          <a:noFill/>
                          <a:ln>
                            <a:noFill/>
                          </a:ln>
                        </pic:spPr>
                      </pic:pic>
                    </a:graphicData>
                  </a:graphic>
                </wp:inline>
              </w:drawing>
            </w:r>
          </w:p>
        </w:tc>
        <w:tc>
          <w:tcPr>
            <w:tcW w:w="454" w:type="dxa"/>
            <w:tcBorders>
              <w:top w:val="nil"/>
              <w:left w:val="single" w:sz="4"/>
              <w:bottom w:val="nil"/>
              <w:right w:val="nil"/>
            </w:tcBorders>
          </w:tcPr>
          <w:p>
            <w:pPr>
              <w:pStyle w:val="0"/>
              <w:jc w:val="center"/>
            </w:pPr>
            <w:r>
              <w:rPr>
                <w:sz w:val="20"/>
              </w:rPr>
            </w:r>
          </w:p>
        </w:tc>
        <w:tc>
          <w:tcPr>
            <w:gridSpan w:val="3"/>
            <w:tcW w:w="5387" w:type="dxa"/>
            <w:tcBorders>
              <w:top w:val="nil"/>
              <w:left w:val="nil"/>
              <w:bottom w:val="nil"/>
              <w:right w:val="nil"/>
            </w:tcBorders>
          </w:tcPr>
          <w:p>
            <w:pPr>
              <w:pStyle w:val="0"/>
              <w:jc w:val="center"/>
            </w:pPr>
            <w:r>
              <w:rPr>
                <w:sz w:val="20"/>
              </w:rPr>
            </w:r>
          </w:p>
        </w:tc>
      </w:tr>
      <w:tr>
        <w:tc>
          <w:tcPr>
            <w:gridSpan w:val="3"/>
            <w:tcW w:w="5839" w:type="dxa"/>
            <w:tcBorders>
              <w:left w:val="nil"/>
              <w:right w:val="nil"/>
            </w:tcBorders>
          </w:tcPr>
          <w:p>
            <w:pPr>
              <w:pStyle w:val="0"/>
              <w:jc w:val="center"/>
            </w:pPr>
            <w:r>
              <w:rPr>
                <w:sz w:val="20"/>
              </w:rPr>
            </w:r>
          </w:p>
        </w:tc>
        <w:tc>
          <w:tcPr>
            <w:gridSpan w:val="4"/>
            <w:tcW w:w="5841" w:type="dxa"/>
            <w:tcBorders>
              <w:top w:val="nil"/>
              <w:left w:val="nil"/>
              <w:bottom w:val="nil"/>
              <w:right w:val="nil"/>
            </w:tcBorders>
            <w:vMerge w:val="restart"/>
          </w:tcPr>
          <w:p>
            <w:pPr>
              <w:pStyle w:val="0"/>
              <w:jc w:val="center"/>
            </w:pPr>
            <w:r>
              <w:rPr>
                <w:sz w:val="20"/>
              </w:rPr>
            </w:r>
          </w:p>
        </w:tc>
      </w:tr>
      <w:tr>
        <w:tblPrEx>
          <w:tblBorders>
            <w:left w:val="single" w:sz="4"/>
          </w:tblBorders>
        </w:tblPrEx>
        <w:tc>
          <w:tcPr>
            <w:gridSpan w:val="2"/>
            <w:tcW w:w="4705" w:type="dxa"/>
            <w:tcBorders>
              <w:left w:val="single" w:sz="4"/>
              <w:right w:val="nil"/>
            </w:tcBorders>
          </w:tcPr>
          <w:p>
            <w:pPr>
              <w:pStyle w:val="0"/>
              <w:jc w:val="both"/>
            </w:pPr>
            <w:r>
              <w:rPr>
                <w:sz w:val="20"/>
              </w:rPr>
              <w:t xml:space="preserve">в т.ч. медицинские диагностические центры детские - 0</w:t>
            </w:r>
          </w:p>
        </w:tc>
        <w:tc>
          <w:tcPr>
            <w:tcW w:w="1134" w:type="dxa"/>
            <w:tcBorders>
              <w:left w:val="nil"/>
              <w:right w:val="single" w:sz="4"/>
            </w:tcBorders>
          </w:tcPr>
          <w:p>
            <w:pPr>
              <w:pStyle w:val="0"/>
              <w:jc w:val="center"/>
            </w:pPr>
            <w:r>
              <w:rPr>
                <w:position w:val="-4"/>
              </w:rPr>
              <w:drawing>
                <wp:inline distT="0" distB="0" distL="0" distR="0">
                  <wp:extent cx="50609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a:extLst>
                              <a:ext uri="{28A0092B-C50C-407E-A947-70E740481C1C}">
                                <a14:useLocalDpi xmlns:a14="http://schemas.microsoft.com/office/drawing/2010/main" val="0"/>
                              </a:ext>
                            </a:extLst>
                          </a:blip>
                          <a:srcRect/>
                          <a:stretch>
                            <a:fillRect/>
                          </a:stretch>
                        </pic:blipFill>
                        <pic:spPr bwMode="auto">
                          <a:xfrm>
                            <a:off x="0" y="0"/>
                            <a:ext cx="506095" cy="182880"/>
                          </a:xfrm>
                          <a:prstGeom prst="rect">
                            <a:avLst/>
                          </a:prstGeom>
                          <a:noFill/>
                          <a:ln>
                            <a:noFill/>
                          </a:ln>
                        </pic:spPr>
                      </pic:pic>
                    </a:graphicData>
                  </a:graphic>
                </wp:inline>
              </w:drawing>
            </w:r>
          </w:p>
        </w:tc>
        <w:tc>
          <w:tcPr>
            <w:gridSpan w:val="4"/>
            <w:tcBorders>
              <w:top w:val="nil"/>
              <w:left w:val="nil"/>
              <w:bottom w:val="nil"/>
              <w:right w:val="nil"/>
            </w:tcBorders>
            <w:vMerge w:val="continue"/>
          </w:tcPr>
          <w:p/>
        </w:tc>
      </w:tr>
      <w:tr>
        <w:tc>
          <w:tcPr>
            <w:gridSpan w:val="3"/>
            <w:tcW w:w="5839" w:type="dxa"/>
            <w:tcBorders>
              <w:left w:val="nil"/>
              <w:right w:val="nil"/>
            </w:tcBorders>
          </w:tcPr>
          <w:p>
            <w:pPr>
              <w:pStyle w:val="0"/>
              <w:jc w:val="both"/>
            </w:pPr>
            <w:r>
              <w:rPr>
                <w:sz w:val="20"/>
              </w:rPr>
            </w:r>
          </w:p>
        </w:tc>
        <w:tc>
          <w:tcPr>
            <w:gridSpan w:val="4"/>
            <w:tcBorders>
              <w:top w:val="nil"/>
              <w:left w:val="nil"/>
              <w:bottom w:val="nil"/>
              <w:right w:val="nil"/>
            </w:tcBorders>
            <w:vMerge w:val="continue"/>
          </w:tcPr>
          <w:p/>
        </w:tc>
      </w:tr>
      <w:tr>
        <w:tblPrEx>
          <w:tblBorders>
            <w:left w:val="single" w:sz="4"/>
          </w:tblBorders>
        </w:tblPrEx>
        <w:tc>
          <w:tcPr>
            <w:gridSpan w:val="2"/>
            <w:tcW w:w="4705" w:type="dxa"/>
            <w:tcBorders>
              <w:left w:val="single" w:sz="4"/>
              <w:right w:val="nil"/>
            </w:tcBorders>
          </w:tcPr>
          <w:p>
            <w:pPr>
              <w:pStyle w:val="0"/>
              <w:jc w:val="both"/>
            </w:pPr>
            <w:r>
              <w:rPr>
                <w:sz w:val="20"/>
              </w:rPr>
              <w:t xml:space="preserve">Женская консультация - 0</w:t>
            </w:r>
          </w:p>
        </w:tc>
        <w:tc>
          <w:tcPr>
            <w:tcW w:w="1134" w:type="dxa"/>
            <w:tcBorders>
              <w:left w:val="nil"/>
              <w:right w:val="single" w:sz="4"/>
            </w:tcBorders>
          </w:tcPr>
          <w:p>
            <w:pPr>
              <w:pStyle w:val="0"/>
              <w:jc w:val="center"/>
            </w:pPr>
            <w:r>
              <w:rPr>
                <w:position w:val="-3"/>
              </w:rPr>
              <w:drawing>
                <wp:inline distT="0" distB="0" distL="0" distR="0">
                  <wp:extent cx="43307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a:extLst>
                              <a:ext uri="{28A0092B-C50C-407E-A947-70E740481C1C}">
                                <a14:useLocalDpi xmlns:a14="http://schemas.microsoft.com/office/drawing/2010/main" val="0"/>
                              </a:ext>
                            </a:extLst>
                          </a:blip>
                          <a:srcRect/>
                          <a:stretch>
                            <a:fillRect/>
                          </a:stretch>
                        </pic:blipFill>
                        <pic:spPr bwMode="auto">
                          <a:xfrm>
                            <a:off x="0" y="0"/>
                            <a:ext cx="433070" cy="176530"/>
                          </a:xfrm>
                          <a:prstGeom prst="rect">
                            <a:avLst/>
                          </a:prstGeom>
                          <a:noFill/>
                          <a:ln>
                            <a:noFill/>
                          </a:ln>
                        </pic:spPr>
                      </pic:pic>
                    </a:graphicData>
                  </a:graphic>
                </wp:inline>
              </w:drawing>
            </w:r>
          </w:p>
        </w:tc>
        <w:tc>
          <w:tcPr>
            <w:gridSpan w:val="4"/>
            <w:tcBorders>
              <w:top w:val="nil"/>
              <w:left w:val="nil"/>
              <w:bottom w:val="nil"/>
              <w:right w:val="nil"/>
            </w:tcBorders>
            <w:vMerge w:val="continue"/>
          </w:tcPr>
          <w:p/>
        </w:tc>
      </w:tr>
      <w:tr>
        <w:tc>
          <w:tcPr>
            <w:gridSpan w:val="3"/>
            <w:tcW w:w="5839" w:type="dxa"/>
            <w:tcBorders>
              <w:left w:val="nil"/>
              <w:right w:val="nil"/>
            </w:tcBorders>
          </w:tcPr>
          <w:p>
            <w:pPr>
              <w:pStyle w:val="0"/>
              <w:jc w:val="both"/>
            </w:pPr>
            <w:r>
              <w:rPr>
                <w:sz w:val="20"/>
              </w:rPr>
            </w:r>
          </w:p>
        </w:tc>
        <w:tc>
          <w:tcPr>
            <w:gridSpan w:val="4"/>
            <w:tcBorders>
              <w:top w:val="nil"/>
              <w:left w:val="nil"/>
              <w:bottom w:val="nil"/>
              <w:right w:val="nil"/>
            </w:tcBorders>
            <w:vMerge w:val="continue"/>
          </w:tcPr>
          <w:p/>
        </w:tc>
      </w:tr>
      <w:tr>
        <w:tblPrEx>
          <w:tblBorders>
            <w:left w:val="single" w:sz="4"/>
          </w:tblBorders>
        </w:tblPrEx>
        <w:tc>
          <w:tcPr>
            <w:gridSpan w:val="2"/>
            <w:tcW w:w="4705" w:type="dxa"/>
            <w:tcBorders>
              <w:left w:val="single" w:sz="4"/>
              <w:right w:val="nil"/>
            </w:tcBorders>
          </w:tcPr>
          <w:p>
            <w:pPr>
              <w:pStyle w:val="0"/>
              <w:jc w:val="both"/>
            </w:pPr>
            <w:r>
              <w:rPr>
                <w:sz w:val="20"/>
              </w:rPr>
              <w:t xml:space="preserve">Стоматологические поликлиники, всего - 2</w:t>
            </w:r>
          </w:p>
        </w:tc>
        <w:tc>
          <w:tcPr>
            <w:tcW w:w="1134" w:type="dxa"/>
            <w:tcBorders>
              <w:left w:val="nil"/>
              <w:right w:val="single" w:sz="4"/>
            </w:tcBorders>
          </w:tcPr>
          <w:p>
            <w:pPr>
              <w:pStyle w:val="0"/>
              <w:jc w:val="center"/>
            </w:pPr>
            <w:r>
              <w:rPr>
                <w:position w:val="-4"/>
              </w:rPr>
              <w:drawing>
                <wp:inline distT="0" distB="0" distL="0" distR="0">
                  <wp:extent cx="35941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a:extLst>
                              <a:ext uri="{28A0092B-C50C-407E-A947-70E740481C1C}">
                                <a14:useLocalDpi xmlns:a14="http://schemas.microsoft.com/office/drawing/2010/main" val="0"/>
                              </a:ext>
                            </a:extLst>
                          </a:blip>
                          <a:srcRect/>
                          <a:stretch>
                            <a:fillRect/>
                          </a:stretch>
                        </pic:blipFill>
                        <pic:spPr bwMode="auto">
                          <a:xfrm>
                            <a:off x="0" y="0"/>
                            <a:ext cx="359410" cy="182880"/>
                          </a:xfrm>
                          <a:prstGeom prst="rect">
                            <a:avLst/>
                          </a:prstGeom>
                          <a:noFill/>
                          <a:ln>
                            <a:noFill/>
                          </a:ln>
                        </pic:spPr>
                      </pic:pic>
                    </a:graphicData>
                  </a:graphic>
                </wp:inline>
              </w:drawing>
            </w:r>
          </w:p>
        </w:tc>
        <w:tc>
          <w:tcPr>
            <w:gridSpan w:val="4"/>
            <w:tcBorders>
              <w:top w:val="nil"/>
              <w:left w:val="nil"/>
              <w:bottom w:val="nil"/>
              <w:right w:val="nil"/>
            </w:tcBorders>
            <w:vMerge w:val="continue"/>
          </w:tcPr>
          <w:p/>
        </w:tc>
      </w:tr>
      <w:tr>
        <w:tc>
          <w:tcPr>
            <w:gridSpan w:val="3"/>
            <w:tcW w:w="5839" w:type="dxa"/>
            <w:tcBorders>
              <w:left w:val="nil"/>
              <w:right w:val="nil"/>
            </w:tcBorders>
          </w:tcPr>
          <w:p>
            <w:pPr>
              <w:pStyle w:val="0"/>
              <w:jc w:val="both"/>
            </w:pPr>
            <w:r>
              <w:rPr>
                <w:sz w:val="20"/>
              </w:rPr>
            </w:r>
          </w:p>
        </w:tc>
        <w:tc>
          <w:tcPr>
            <w:gridSpan w:val="4"/>
            <w:tcBorders>
              <w:top w:val="nil"/>
              <w:left w:val="nil"/>
              <w:bottom w:val="nil"/>
              <w:right w:val="nil"/>
            </w:tcBorders>
            <w:vMerge w:val="continue"/>
          </w:tcPr>
          <w:p/>
        </w:tc>
      </w:tr>
      <w:tr>
        <w:tblPrEx>
          <w:tblBorders>
            <w:left w:val="single" w:sz="4"/>
          </w:tblBorders>
        </w:tblPrEx>
        <w:tc>
          <w:tcPr>
            <w:gridSpan w:val="2"/>
            <w:tcW w:w="4705" w:type="dxa"/>
            <w:tcBorders>
              <w:left w:val="single" w:sz="4"/>
              <w:right w:val="nil"/>
            </w:tcBorders>
          </w:tcPr>
          <w:p>
            <w:pPr>
              <w:pStyle w:val="0"/>
              <w:jc w:val="both"/>
            </w:pPr>
            <w:r>
              <w:rPr>
                <w:sz w:val="20"/>
              </w:rPr>
              <w:t xml:space="preserve">Детская стоматологическая поликлиника - 1</w:t>
            </w:r>
          </w:p>
        </w:tc>
        <w:tc>
          <w:tcPr>
            <w:tcW w:w="1134" w:type="dxa"/>
            <w:tcBorders>
              <w:left w:val="nil"/>
              <w:right w:val="single" w:sz="4"/>
            </w:tcBorders>
          </w:tcPr>
          <w:p>
            <w:pPr>
              <w:pStyle w:val="0"/>
              <w:jc w:val="center"/>
            </w:pPr>
            <w:r>
              <w:rPr>
                <w:position w:val="-3"/>
              </w:rPr>
              <w:drawing>
                <wp:inline distT="0" distB="0" distL="0" distR="0">
                  <wp:extent cx="46926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a:extLst>
                              <a:ext uri="{28A0092B-C50C-407E-A947-70E740481C1C}">
                                <a14:useLocalDpi xmlns:a14="http://schemas.microsoft.com/office/drawing/2010/main" val="0"/>
                              </a:ext>
                            </a:extLst>
                          </a:blip>
                          <a:srcRect/>
                          <a:stretch>
                            <a:fillRect/>
                          </a:stretch>
                        </pic:blipFill>
                        <pic:spPr bwMode="auto">
                          <a:xfrm>
                            <a:off x="0" y="0"/>
                            <a:ext cx="469265" cy="176530"/>
                          </a:xfrm>
                          <a:prstGeom prst="rect">
                            <a:avLst/>
                          </a:prstGeom>
                          <a:noFill/>
                          <a:ln>
                            <a:noFill/>
                          </a:ln>
                        </pic:spPr>
                      </pic:pic>
                    </a:graphicData>
                  </a:graphic>
                </wp:inline>
              </w:drawing>
            </w:r>
          </w:p>
        </w:tc>
        <w:tc>
          <w:tcPr>
            <w:gridSpan w:val="4"/>
            <w:tcBorders>
              <w:top w:val="nil"/>
              <w:left w:val="nil"/>
              <w:bottom w:val="nil"/>
              <w:right w:val="nil"/>
            </w:tcBorders>
            <w:vMerge w:val="continue"/>
          </w:tcPr>
          <w:p/>
        </w:tc>
      </w:tr>
    </w:tbl>
    <w:p>
      <w:pPr>
        <w:pStyle w:val="0"/>
      </w:pPr>
      <w:r>
        <w:rPr>
          <w:sz w:val="20"/>
        </w:rPr>
      </w:r>
    </w:p>
    <w:p>
      <w:pPr>
        <w:pStyle w:val="0"/>
        <w:outlineLvl w:val="3"/>
        <w:jc w:val="right"/>
      </w:pPr>
      <w:r>
        <w:rPr>
          <w:sz w:val="20"/>
        </w:rPr>
        <w:t xml:space="preserve">Рисунок 3</w:t>
      </w:r>
    </w:p>
    <w:p>
      <w:pPr>
        <w:pStyle w:val="0"/>
        <w:jc w:val="right"/>
      </w:pPr>
      <w:r>
        <w:rPr>
          <w:sz w:val="20"/>
        </w:rPr>
      </w:r>
    </w:p>
    <w:p>
      <w:pPr>
        <w:pStyle w:val="2"/>
        <w:jc w:val="center"/>
      </w:pPr>
      <w:r>
        <w:rPr>
          <w:sz w:val="20"/>
        </w:rPr>
        <w:t xml:space="preserve">Блок-схема оптимальной сети медицинских организаций субъекта</w:t>
      </w:r>
    </w:p>
    <w:p>
      <w:pPr>
        <w:pStyle w:val="2"/>
        <w:jc w:val="center"/>
      </w:pPr>
      <w:r>
        <w:rPr>
          <w:sz w:val="20"/>
        </w:rPr>
        <w:t xml:space="preserve">Российской Федерации</w:t>
      </w:r>
    </w:p>
    <w:p>
      <w:pPr>
        <w:pStyle w:val="0"/>
        <w:jc w:val="center"/>
      </w:pPr>
      <w:r>
        <w:rPr>
          <w:sz w:val="20"/>
        </w:rPr>
      </w:r>
    </w:p>
    <w:tbl>
      <w:tblPr>
        <w:tblInd w:w="0" w:type="dxa"/>
        <w:tblLayout w:type="fixed"/>
        <w:tblBorders>
          <w:bottom w:val="single" w:sz="4"/>
          <w:insideH w:val="single" w:sz="4"/>
        </w:tblBorders>
        <w:tblCellMar>
          <w:top w:w="102" w:type="dxa"/>
          <w:left w:w="62" w:type="dxa"/>
          <w:bottom w:w="102" w:type="dxa"/>
          <w:right w:w="62" w:type="dxa"/>
        </w:tblCellMar>
      </w:tblPr>
      <w:tblGrid>
        <w:gridCol w:w="850"/>
        <w:gridCol w:w="3685"/>
        <w:gridCol w:w="1134"/>
        <w:gridCol w:w="397"/>
        <w:gridCol w:w="4139"/>
        <w:gridCol w:w="1247"/>
        <w:gridCol w:w="397"/>
        <w:gridCol w:w="734"/>
        <w:gridCol w:w="1062"/>
        <w:gridCol w:w="1247"/>
        <w:gridCol w:w="1134"/>
      </w:tblGrid>
      <w:tr>
        <w:tblPrEx>
          <w:tblBorders>
            <w:insideV w:val="single" w:sz="4"/>
            <w:insideH w:val="nil"/>
          </w:tblBorders>
        </w:tblPrEx>
        <w:tc>
          <w:tcPr>
            <w:tcW w:w="850" w:type="dxa"/>
            <w:tcBorders>
              <w:top w:val="nil"/>
              <w:left w:val="nil"/>
              <w:bottom w:val="nil"/>
            </w:tcBorders>
            <w:vMerge w:val="restart"/>
          </w:tcPr>
          <w:p>
            <w:pPr>
              <w:pStyle w:val="0"/>
              <w:jc w:val="both"/>
            </w:pPr>
            <w:r>
              <w:rPr>
                <w:sz w:val="20"/>
              </w:rPr>
            </w:r>
          </w:p>
        </w:tc>
        <w:tc>
          <w:tcPr>
            <w:gridSpan w:val="7"/>
            <w:tcW w:w="11733" w:type="dxa"/>
            <w:vMerge w:val="restart"/>
          </w:tcPr>
          <w:p>
            <w:pPr>
              <w:pStyle w:val="0"/>
              <w:jc w:val="center"/>
            </w:pPr>
            <w:r>
              <w:rPr>
                <w:sz w:val="20"/>
              </w:rPr>
              <w:t xml:space="preserve">Оптимальная сеть медицинских организаций, оказывающих ПМСП в городе Севастополе</w:t>
            </w:r>
          </w:p>
        </w:tc>
        <w:tc>
          <w:tcPr>
            <w:gridSpan w:val="3"/>
            <w:tcW w:w="3443" w:type="dxa"/>
            <w:tcBorders>
              <w:top w:val="nil"/>
              <w:bottom w:val="nil"/>
              <w:right w:val="nil"/>
            </w:tcBorders>
          </w:tcPr>
          <w:p>
            <w:pPr>
              <w:pStyle w:val="0"/>
              <w:jc w:val="both"/>
            </w:pPr>
            <w:r>
              <w:rPr>
                <w:sz w:val="20"/>
              </w:rPr>
            </w:r>
          </w:p>
        </w:tc>
      </w:tr>
      <w:tr>
        <w:tblPrEx>
          <w:tblBorders>
            <w:insideV w:val="single" w:sz="4"/>
            <w:insideH w:val="nil"/>
          </w:tblBorders>
        </w:tblPrEx>
        <w:tc>
          <w:tcPr>
            <w:tcBorders>
              <w:top w:val="nil"/>
              <w:left w:val="nil"/>
              <w:bottom w:val="nil"/>
            </w:tcBorders>
            <w:vMerge w:val="continue"/>
          </w:tcPr>
          <w:p/>
        </w:tc>
        <w:tc>
          <w:tcPr>
            <w:gridSpan w:val="7"/>
            <w:vMerge w:val="continue"/>
          </w:tcPr>
          <w:p/>
        </w:tc>
        <w:tc>
          <w:tcPr>
            <w:tcW w:w="1062" w:type="dxa"/>
            <w:tcBorders>
              <w:bottom w:val="nil"/>
            </w:tcBorders>
          </w:tcPr>
          <w:p>
            <w:pPr>
              <w:pStyle w:val="0"/>
              <w:jc w:val="both"/>
            </w:pPr>
            <w:r>
              <w:rPr>
                <w:sz w:val="20"/>
              </w:rPr>
            </w:r>
          </w:p>
        </w:tc>
        <w:tc>
          <w:tcPr>
            <w:tcW w:w="1247" w:type="dxa"/>
            <w:tcBorders>
              <w:top w:val="nil"/>
              <w:bottom w:val="nil"/>
              <w:right w:val="nil"/>
            </w:tcBorders>
          </w:tcPr>
          <w:p>
            <w:pPr>
              <w:pStyle w:val="0"/>
              <w:jc w:val="both"/>
            </w:pPr>
            <w:r>
              <w:rPr>
                <w:sz w:val="20"/>
              </w:rPr>
            </w:r>
          </w:p>
        </w:tc>
        <w:tc>
          <w:tcPr>
            <w:tcW w:w="1134" w:type="dxa"/>
            <w:tcBorders>
              <w:top w:val="nil"/>
              <w:left w:val="nil"/>
              <w:bottom w:val="nil"/>
              <w:right w:val="nil"/>
            </w:tcBorders>
          </w:tcPr>
          <w:p>
            <w:pPr>
              <w:pStyle w:val="0"/>
              <w:jc w:val="both"/>
            </w:pPr>
            <w:r>
              <w:rPr>
                <w:sz w:val="20"/>
              </w:rPr>
            </w:r>
          </w:p>
        </w:tc>
      </w:tr>
      <w:tr>
        <w:tc>
          <w:tcPr>
            <w:tcW w:w="850" w:type="dxa"/>
            <w:tcBorders>
              <w:top w:val="nil"/>
              <w:left w:val="nil"/>
              <w:right w:val="nil"/>
            </w:tcBorders>
          </w:tcPr>
          <w:p>
            <w:pPr>
              <w:pStyle w:val="0"/>
              <w:jc w:val="both"/>
            </w:pPr>
            <w:r>
              <w:rPr>
                <w:sz w:val="20"/>
              </w:rPr>
            </w:r>
          </w:p>
        </w:tc>
        <w:tc>
          <w:tcPr>
            <w:tcW w:w="3685" w:type="dxa"/>
            <w:tcBorders>
              <w:left w:val="nil"/>
              <w:right w:val="nil"/>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1134" w:type="dxa"/>
            <w:tcBorders>
              <w:left w:val="nil"/>
              <w:right w:val="nil"/>
            </w:tcBorders>
          </w:tcPr>
          <w:p>
            <w:pPr>
              <w:pStyle w:val="0"/>
              <w:jc w:val="both"/>
            </w:pPr>
            <w:r>
              <w:rPr>
                <w:sz w:val="20"/>
              </w:rPr>
            </w:r>
          </w:p>
        </w:tc>
        <w:tc>
          <w:tcPr>
            <w:tcW w:w="397" w:type="dxa"/>
            <w:tcBorders>
              <w:left w:val="nil"/>
              <w:bottom w:val="nil"/>
              <w:right w:val="nil"/>
            </w:tcBorders>
          </w:tcPr>
          <w:p>
            <w:pPr>
              <w:pStyle w:val="0"/>
              <w:jc w:val="both"/>
            </w:pPr>
            <w:r>
              <w:rPr>
                <w:sz w:val="20"/>
              </w:rPr>
            </w:r>
          </w:p>
        </w:tc>
        <w:tc>
          <w:tcPr>
            <w:tcW w:w="4139" w:type="dxa"/>
            <w:tcBorders>
              <w:left w:val="nil"/>
              <w:right w:val="nil"/>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1247" w:type="dxa"/>
            <w:tcBorders>
              <w:left w:val="nil"/>
              <w:right w:val="nil"/>
            </w:tcBorders>
          </w:tcPr>
          <w:p>
            <w:pPr>
              <w:pStyle w:val="0"/>
              <w:jc w:val="both"/>
            </w:pPr>
            <w:r>
              <w:rPr>
                <w:sz w:val="20"/>
              </w:rPr>
            </w:r>
          </w:p>
        </w:tc>
        <w:tc>
          <w:tcPr>
            <w:tcW w:w="397" w:type="dxa"/>
            <w:tcBorders>
              <w:left w:val="nil"/>
              <w:bottom w:val="nil"/>
              <w:right w:val="nil"/>
            </w:tcBorders>
          </w:tcPr>
          <w:p>
            <w:pPr>
              <w:pStyle w:val="0"/>
              <w:jc w:val="both"/>
            </w:pPr>
            <w:r>
              <w:rPr>
                <w:sz w:val="20"/>
              </w:rPr>
            </w:r>
          </w:p>
        </w:tc>
        <w:tc>
          <w:tcPr>
            <w:tcW w:w="734" w:type="dxa"/>
            <w:tcBorders>
              <w:left w:val="nil"/>
              <w:right w:val="nil"/>
            </w:tcBorders>
          </w:tcPr>
          <w:p>
            <w:pPr>
              <w:pStyle w:val="0"/>
              <w:jc w:val="both"/>
            </w:pPr>
            <w:r>
              <w:rPr>
                <w:sz w:val="20"/>
              </w:rPr>
            </w:r>
          </w:p>
        </w:tc>
        <w:tc>
          <w:tcPr>
            <w:gridSpan w:val="2"/>
            <w:tcW w:w="2309" w:type="dxa"/>
            <w:tcBorders>
              <w:top w:val="nil"/>
              <w:left w:val="nil"/>
              <w:right w:val="nil"/>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1134" w:type="dxa"/>
            <w:tcBorders>
              <w:top w:val="nil"/>
              <w:left w:val="nil"/>
              <w:right w:val="nil"/>
            </w:tcBorders>
          </w:tcPr>
          <w:p>
            <w:pPr>
              <w:pStyle w:val="0"/>
              <w:jc w:val="both"/>
            </w:pPr>
            <w:r>
              <w:rPr>
                <w:sz w:val="20"/>
              </w:rPr>
            </w:r>
          </w:p>
        </w:tc>
      </w:tr>
      <w:tr>
        <w:tblPrEx>
          <w:tblBorders>
            <w:left w:val="single" w:sz="4"/>
            <w:right w:val="single" w:sz="4"/>
          </w:tblBorders>
        </w:tblPrEx>
        <w:tc>
          <w:tcPr>
            <w:gridSpan w:val="3"/>
            <w:tcW w:w="5669" w:type="dxa"/>
            <w:tcBorders>
              <w:left w:val="single" w:sz="4"/>
              <w:right w:val="single" w:sz="4"/>
            </w:tcBorders>
          </w:tcPr>
          <w:p>
            <w:pPr>
              <w:pStyle w:val="0"/>
              <w:jc w:val="center"/>
            </w:pPr>
            <w:r>
              <w:rPr>
                <w:sz w:val="20"/>
              </w:rPr>
              <w:t xml:space="preserve">Самостоятельные МО</w:t>
            </w:r>
          </w:p>
        </w:tc>
        <w:tc>
          <w:tcPr>
            <w:tcW w:w="397" w:type="dxa"/>
            <w:tcBorders>
              <w:top w:val="nil"/>
              <w:left w:val="nil"/>
              <w:bottom w:val="nil"/>
              <w:right w:val="nil"/>
            </w:tcBorders>
            <w:vMerge w:val="restart"/>
          </w:tcPr>
          <w:p>
            <w:pPr>
              <w:pStyle w:val="0"/>
              <w:jc w:val="both"/>
            </w:pPr>
            <w:r>
              <w:rPr>
                <w:sz w:val="20"/>
              </w:rPr>
            </w:r>
          </w:p>
        </w:tc>
        <w:tc>
          <w:tcPr>
            <w:gridSpan w:val="2"/>
            <w:tcW w:w="5386" w:type="dxa"/>
            <w:tcBorders>
              <w:left w:val="single" w:sz="4"/>
              <w:right w:val="single" w:sz="4"/>
            </w:tcBorders>
          </w:tcPr>
          <w:p>
            <w:pPr>
              <w:pStyle w:val="0"/>
              <w:jc w:val="center"/>
            </w:pPr>
            <w:r>
              <w:rPr>
                <w:sz w:val="20"/>
              </w:rPr>
              <w:t xml:space="preserve">Структурные подразделения</w:t>
            </w:r>
          </w:p>
        </w:tc>
        <w:tc>
          <w:tcPr>
            <w:tcW w:w="397" w:type="dxa"/>
            <w:tcBorders>
              <w:top w:val="nil"/>
              <w:left w:val="nil"/>
              <w:bottom w:val="nil"/>
              <w:right w:val="nil"/>
            </w:tcBorders>
            <w:vMerge w:val="restart"/>
          </w:tcPr>
          <w:p>
            <w:pPr>
              <w:pStyle w:val="0"/>
              <w:jc w:val="both"/>
            </w:pPr>
            <w:r>
              <w:rPr>
                <w:sz w:val="20"/>
              </w:rPr>
            </w:r>
          </w:p>
        </w:tc>
        <w:tc>
          <w:tcPr>
            <w:gridSpan w:val="4"/>
            <w:tcW w:w="4177" w:type="dxa"/>
            <w:tcBorders>
              <w:left w:val="single" w:sz="4"/>
              <w:right w:val="single" w:sz="4"/>
            </w:tcBorders>
          </w:tcPr>
          <w:p>
            <w:pPr>
              <w:pStyle w:val="0"/>
              <w:jc w:val="center"/>
            </w:pPr>
            <w:r>
              <w:rPr>
                <w:sz w:val="20"/>
              </w:rPr>
              <w:t xml:space="preserve">Прочее</w:t>
            </w:r>
          </w:p>
        </w:tc>
      </w:tr>
      <w:tr>
        <w:tc>
          <w:tcPr>
            <w:gridSpan w:val="3"/>
            <w:tcW w:w="5669" w:type="dxa"/>
            <w:tcBorders>
              <w:left w:val="nil"/>
              <w:right w:val="nil"/>
            </w:tcBorders>
          </w:tcPr>
          <w:p>
            <w:pPr>
              <w:pStyle w:val="0"/>
              <w:jc w:val="both"/>
            </w:pPr>
            <w:r>
              <w:rPr>
                <w:sz w:val="20"/>
              </w:rPr>
            </w:r>
          </w:p>
        </w:tc>
        <w:tc>
          <w:tcPr>
            <w:tcBorders>
              <w:top w:val="nil"/>
              <w:left w:val="nil"/>
              <w:bottom w:val="nil"/>
              <w:right w:val="nil"/>
            </w:tcBorders>
            <w:vMerge w:val="continue"/>
          </w:tcPr>
          <w:p/>
        </w:tc>
        <w:tc>
          <w:tcPr>
            <w:gridSpan w:val="2"/>
            <w:tcW w:w="5386" w:type="dxa"/>
            <w:tcBorders>
              <w:left w:val="nil"/>
              <w:right w:val="nil"/>
            </w:tcBorders>
          </w:tcPr>
          <w:p>
            <w:pPr>
              <w:pStyle w:val="0"/>
              <w:jc w:val="both"/>
            </w:pPr>
            <w:r>
              <w:rPr>
                <w:sz w:val="20"/>
              </w:rPr>
            </w:r>
          </w:p>
        </w:tc>
        <w:tc>
          <w:tcPr>
            <w:tcBorders>
              <w:top w:val="nil"/>
              <w:left w:val="nil"/>
              <w:bottom w:val="nil"/>
              <w:right w:val="nil"/>
            </w:tcBorders>
            <w:vMerge w:val="continue"/>
          </w:tcPr>
          <w:p/>
        </w:tc>
        <w:tc>
          <w:tcPr>
            <w:gridSpan w:val="4"/>
            <w:tcW w:w="4177" w:type="dxa"/>
            <w:tcBorders>
              <w:left w:val="nil"/>
              <w:right w:val="nil"/>
            </w:tcBorders>
          </w:tcPr>
          <w:p>
            <w:pPr>
              <w:pStyle w:val="0"/>
              <w:jc w:val="both"/>
            </w:pPr>
            <w:r>
              <w:rPr>
                <w:sz w:val="20"/>
              </w:rPr>
            </w:r>
          </w:p>
        </w:tc>
      </w:tr>
      <w:tr>
        <w:tblPrEx>
          <w:tblBorders>
            <w:left w:val="single" w:sz="4"/>
            <w:right w:val="single" w:sz="4"/>
          </w:tblBorders>
        </w:tblPrEx>
        <w:tc>
          <w:tcPr>
            <w:gridSpan w:val="2"/>
            <w:tcW w:w="4535" w:type="dxa"/>
            <w:tcBorders>
              <w:left w:val="single" w:sz="4"/>
              <w:right w:val="nil"/>
            </w:tcBorders>
          </w:tcPr>
          <w:p>
            <w:pPr>
              <w:pStyle w:val="0"/>
              <w:jc w:val="both"/>
            </w:pPr>
            <w:r>
              <w:rPr>
                <w:sz w:val="20"/>
              </w:rPr>
              <w:t xml:space="preserve">Поликлиники, всего - 0</w:t>
            </w:r>
          </w:p>
        </w:tc>
        <w:tc>
          <w:tcPr>
            <w:tcW w:w="1134" w:type="dxa"/>
            <w:tcBorders>
              <w:left w:val="nil"/>
              <w:right w:val="single" w:sz="4"/>
            </w:tcBorders>
          </w:tcPr>
          <w:p>
            <w:pPr>
              <w:pStyle w:val="0"/>
              <w:jc w:val="center"/>
            </w:pPr>
            <w:r>
              <w:rPr>
                <w:position w:val="-4"/>
              </w:rPr>
              <w:drawing>
                <wp:inline distT="0" distB="0" distL="0" distR="0">
                  <wp:extent cx="18288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Borders>
              <w:top w:val="nil"/>
              <w:left w:val="nil"/>
              <w:bottom w:val="nil"/>
              <w:right w:val="nil"/>
            </w:tcBorders>
            <w:vMerge w:val="continue"/>
          </w:tcPr>
          <w:p/>
        </w:tc>
        <w:tc>
          <w:tcPr>
            <w:tcW w:w="4139" w:type="dxa"/>
            <w:tcBorders>
              <w:left w:val="single" w:sz="4"/>
              <w:right w:val="nil"/>
            </w:tcBorders>
          </w:tcPr>
          <w:p>
            <w:pPr>
              <w:pStyle w:val="0"/>
              <w:jc w:val="both"/>
            </w:pPr>
            <w:r>
              <w:rPr>
                <w:sz w:val="20"/>
              </w:rPr>
              <w:t xml:space="preserve">Центр (отделение, кабинет) ОВП - 0</w:t>
            </w:r>
          </w:p>
        </w:tc>
        <w:tc>
          <w:tcPr>
            <w:tcW w:w="1247" w:type="dxa"/>
            <w:tcBorders>
              <w:left w:val="nil"/>
              <w:right w:val="single" w:sz="4"/>
            </w:tcBorders>
          </w:tcPr>
          <w:p>
            <w:pPr>
              <w:pStyle w:val="0"/>
              <w:jc w:val="center"/>
            </w:pPr>
            <w:r>
              <w:rPr>
                <w:position w:val="-3"/>
              </w:rPr>
              <w:drawing>
                <wp:inline distT="0" distB="0" distL="0" distR="0">
                  <wp:extent cx="54864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a:extLst>
                              <a:ext uri="{28A0092B-C50C-407E-A947-70E740481C1C}">
                                <a14:useLocalDpi xmlns:a14="http://schemas.microsoft.com/office/drawing/2010/main" val="0"/>
                              </a:ext>
                            </a:extLst>
                          </a:blip>
                          <a:srcRect/>
                          <a:stretch>
                            <a:fillRect/>
                          </a:stretch>
                        </pic:blipFill>
                        <pic:spPr bwMode="auto">
                          <a:xfrm>
                            <a:off x="0" y="0"/>
                            <a:ext cx="548640" cy="176530"/>
                          </a:xfrm>
                          <a:prstGeom prst="rect">
                            <a:avLst/>
                          </a:prstGeom>
                          <a:noFill/>
                          <a:ln>
                            <a:noFill/>
                          </a:ln>
                        </pic:spPr>
                      </pic:pic>
                    </a:graphicData>
                  </a:graphic>
                </wp:inline>
              </w:drawing>
            </w:r>
          </w:p>
        </w:tc>
        <w:tc>
          <w:tcPr>
            <w:tcBorders>
              <w:top w:val="nil"/>
              <w:left w:val="nil"/>
              <w:bottom w:val="nil"/>
              <w:right w:val="nil"/>
            </w:tcBorders>
            <w:vMerge w:val="continue"/>
          </w:tcPr>
          <w:p/>
        </w:tc>
        <w:tc>
          <w:tcPr>
            <w:gridSpan w:val="3"/>
            <w:tcW w:w="3043" w:type="dxa"/>
            <w:tcBorders>
              <w:left w:val="single" w:sz="4"/>
              <w:right w:val="nil"/>
            </w:tcBorders>
          </w:tcPr>
          <w:p>
            <w:pPr>
              <w:pStyle w:val="0"/>
              <w:jc w:val="both"/>
            </w:pPr>
            <w:r>
              <w:rPr>
                <w:sz w:val="20"/>
              </w:rPr>
              <w:t xml:space="preserve">Вертолетная площадка - 1</w:t>
            </w:r>
          </w:p>
        </w:tc>
        <w:tc>
          <w:tcPr>
            <w:tcW w:w="1134" w:type="dxa"/>
            <w:tcBorders>
              <w:left w:val="nil"/>
              <w:right w:val="single" w:sz="4"/>
            </w:tcBorders>
          </w:tcPr>
          <w:p>
            <w:pPr>
              <w:pStyle w:val="0"/>
              <w:jc w:val="center"/>
            </w:pPr>
            <w:r>
              <w:rPr>
                <w:position w:val="-12"/>
              </w:rPr>
              <w:drawing>
                <wp:inline distT="0" distB="0" distL="0" distR="0">
                  <wp:extent cx="433070" cy="280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a:extLst>
                              <a:ext uri="{28A0092B-C50C-407E-A947-70E740481C1C}">
                                <a14:useLocalDpi xmlns:a14="http://schemas.microsoft.com/office/drawing/2010/main" val="0"/>
                              </a:ext>
                            </a:extLst>
                          </a:blip>
                          <a:srcRect/>
                          <a:stretch>
                            <a:fillRect/>
                          </a:stretch>
                        </pic:blipFill>
                        <pic:spPr bwMode="auto">
                          <a:xfrm>
                            <a:off x="0" y="0"/>
                            <a:ext cx="433070" cy="280670"/>
                          </a:xfrm>
                          <a:prstGeom prst="rect">
                            <a:avLst/>
                          </a:prstGeom>
                          <a:noFill/>
                          <a:ln>
                            <a:noFill/>
                          </a:ln>
                        </pic:spPr>
                      </pic:pic>
                    </a:graphicData>
                  </a:graphic>
                </wp:inline>
              </w:drawing>
            </w:r>
          </w:p>
        </w:tc>
      </w:tr>
      <w:tr>
        <w:tc>
          <w:tcPr>
            <w:gridSpan w:val="3"/>
            <w:tcW w:w="5669" w:type="dxa"/>
            <w:tcBorders>
              <w:left w:val="nil"/>
              <w:right w:val="nil"/>
            </w:tcBorders>
          </w:tcPr>
          <w:p>
            <w:pPr>
              <w:pStyle w:val="0"/>
              <w:jc w:val="both"/>
            </w:pPr>
            <w:r>
              <w:rPr>
                <w:sz w:val="20"/>
              </w:rPr>
            </w:r>
          </w:p>
        </w:tc>
        <w:tc>
          <w:tcPr>
            <w:tcBorders>
              <w:top w:val="nil"/>
              <w:left w:val="nil"/>
              <w:bottom w:val="nil"/>
              <w:right w:val="nil"/>
            </w:tcBorders>
            <w:vMerge w:val="continue"/>
          </w:tcPr>
          <w:p/>
        </w:tc>
        <w:tc>
          <w:tcPr>
            <w:gridSpan w:val="2"/>
            <w:tcW w:w="5386" w:type="dxa"/>
            <w:tcBorders>
              <w:left w:val="nil"/>
              <w:right w:val="nil"/>
            </w:tcBorders>
          </w:tcPr>
          <w:p>
            <w:pPr>
              <w:pStyle w:val="0"/>
              <w:jc w:val="both"/>
            </w:pPr>
            <w:r>
              <w:rPr>
                <w:sz w:val="20"/>
              </w:rPr>
            </w:r>
          </w:p>
        </w:tc>
        <w:tc>
          <w:tcPr>
            <w:tcBorders>
              <w:top w:val="nil"/>
              <w:left w:val="nil"/>
              <w:bottom w:val="nil"/>
              <w:right w:val="nil"/>
            </w:tcBorders>
            <w:vMerge w:val="continue"/>
          </w:tcPr>
          <w:p/>
        </w:tc>
        <w:tc>
          <w:tcPr>
            <w:gridSpan w:val="4"/>
            <w:tcW w:w="4177" w:type="dxa"/>
            <w:tcBorders>
              <w:left w:val="nil"/>
              <w:bottom w:val="nil"/>
              <w:right w:val="nil"/>
            </w:tcBorders>
            <w:vMerge w:val="restart"/>
          </w:tcPr>
          <w:p>
            <w:pPr>
              <w:pStyle w:val="0"/>
              <w:jc w:val="both"/>
            </w:pPr>
            <w:r>
              <w:rPr>
                <w:sz w:val="20"/>
              </w:rPr>
            </w:r>
          </w:p>
        </w:tc>
      </w:tr>
      <w:tr>
        <w:tblPrEx>
          <w:tblBorders>
            <w:left w:val="single" w:sz="4"/>
          </w:tblBorders>
        </w:tblPrEx>
        <w:tc>
          <w:tcPr>
            <w:gridSpan w:val="2"/>
            <w:tcW w:w="4535" w:type="dxa"/>
            <w:tcBorders>
              <w:left w:val="single" w:sz="4"/>
              <w:right w:val="nil"/>
            </w:tcBorders>
          </w:tcPr>
          <w:p>
            <w:pPr>
              <w:pStyle w:val="0"/>
              <w:jc w:val="both"/>
            </w:pPr>
            <w:r>
              <w:rPr>
                <w:sz w:val="20"/>
              </w:rPr>
              <w:t xml:space="preserve">Амбулатории - 0</w:t>
            </w:r>
          </w:p>
        </w:tc>
        <w:tc>
          <w:tcPr>
            <w:tcW w:w="1134" w:type="dxa"/>
            <w:tcBorders>
              <w:left w:val="nil"/>
              <w:right w:val="single" w:sz="4"/>
            </w:tcBorders>
          </w:tcPr>
          <w:p>
            <w:pPr>
              <w:pStyle w:val="0"/>
              <w:jc w:val="center"/>
            </w:pPr>
            <w:r>
              <w:rPr>
                <w:position w:val="-2"/>
              </w:rPr>
              <w:drawing>
                <wp:inline distT="0" distB="0" distL="0" distR="0">
                  <wp:extent cx="18288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p>
        </w:tc>
        <w:tc>
          <w:tcPr>
            <w:tcBorders>
              <w:top w:val="nil"/>
              <w:left w:val="nil"/>
              <w:bottom w:val="nil"/>
              <w:right w:val="nil"/>
            </w:tcBorders>
            <w:vMerge w:val="continue"/>
          </w:tcPr>
          <w:p/>
        </w:tc>
        <w:tc>
          <w:tcPr>
            <w:tcW w:w="4139" w:type="dxa"/>
            <w:tcBorders>
              <w:left w:val="single" w:sz="4"/>
              <w:right w:val="nil"/>
            </w:tcBorders>
          </w:tcPr>
          <w:p>
            <w:pPr>
              <w:pStyle w:val="0"/>
              <w:jc w:val="both"/>
            </w:pPr>
            <w:r>
              <w:rPr>
                <w:sz w:val="20"/>
              </w:rPr>
              <w:t xml:space="preserve">ФАП - 13</w:t>
            </w:r>
          </w:p>
        </w:tc>
        <w:tc>
          <w:tcPr>
            <w:tcW w:w="1247" w:type="dxa"/>
            <w:tcBorders>
              <w:left w:val="nil"/>
              <w:right w:val="single" w:sz="4"/>
            </w:tcBorders>
          </w:tcPr>
          <w:p>
            <w:pPr>
              <w:pStyle w:val="0"/>
              <w:jc w:val="center"/>
            </w:pPr>
            <w:r>
              <w:rPr>
                <w:position w:val="-4"/>
              </w:rPr>
              <w:drawing>
                <wp:inline distT="0" distB="0" distL="0" distR="0">
                  <wp:extent cx="60960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a:extLst>
                              <a:ext uri="{28A0092B-C50C-407E-A947-70E740481C1C}">
                                <a14:useLocalDpi xmlns:a14="http://schemas.microsoft.com/office/drawing/2010/main" val="0"/>
                              </a:ext>
                            </a:extLst>
                          </a:blip>
                          <a:srcRect/>
                          <a:stretch>
                            <a:fillRect/>
                          </a:stretch>
                        </pic:blipFill>
                        <pic:spPr bwMode="auto">
                          <a:xfrm>
                            <a:off x="0" y="0"/>
                            <a:ext cx="609600" cy="182880"/>
                          </a:xfrm>
                          <a:prstGeom prst="rect">
                            <a:avLst/>
                          </a:prstGeom>
                          <a:noFill/>
                          <a:ln>
                            <a:noFill/>
                          </a:ln>
                        </pic:spPr>
                      </pic:pic>
                    </a:graphicData>
                  </a:graphic>
                </wp:inline>
              </w:drawing>
            </w:r>
          </w:p>
        </w:tc>
        <w:tc>
          <w:tcPr>
            <w:tcBorders>
              <w:top w:val="nil"/>
              <w:left w:val="nil"/>
              <w:bottom w:val="nil"/>
              <w:right w:val="nil"/>
            </w:tcBorders>
            <w:vMerge w:val="continue"/>
          </w:tcPr>
          <w:p/>
        </w:tc>
        <w:tc>
          <w:tcPr>
            <w:gridSpan w:val="4"/>
            <w:tcBorders>
              <w:left w:val="nil"/>
              <w:bottom w:val="nil"/>
              <w:right w:val="nil"/>
            </w:tcBorders>
            <w:vMerge w:val="continue"/>
          </w:tcPr>
          <w:p/>
        </w:tc>
      </w:tr>
      <w:tr>
        <w:tc>
          <w:tcPr>
            <w:gridSpan w:val="3"/>
            <w:tcW w:w="5669" w:type="dxa"/>
            <w:tcBorders>
              <w:left w:val="nil"/>
              <w:right w:val="nil"/>
            </w:tcBorders>
          </w:tcPr>
          <w:p>
            <w:pPr>
              <w:pStyle w:val="0"/>
              <w:jc w:val="both"/>
            </w:pPr>
            <w:r>
              <w:rPr>
                <w:sz w:val="20"/>
              </w:rPr>
            </w:r>
          </w:p>
        </w:tc>
        <w:tc>
          <w:tcPr>
            <w:tcW w:w="397" w:type="dxa"/>
            <w:tcBorders>
              <w:top w:val="nil"/>
              <w:left w:val="nil"/>
              <w:bottom w:val="nil"/>
              <w:right w:val="nil"/>
            </w:tcBorders>
            <w:vMerge w:val="restart"/>
          </w:tcPr>
          <w:p>
            <w:pPr>
              <w:pStyle w:val="0"/>
              <w:jc w:val="both"/>
            </w:pPr>
            <w:r>
              <w:rPr>
                <w:sz w:val="20"/>
              </w:rPr>
            </w:r>
          </w:p>
        </w:tc>
        <w:tc>
          <w:tcPr>
            <w:gridSpan w:val="2"/>
            <w:tcW w:w="5386" w:type="dxa"/>
            <w:tcBorders>
              <w:left w:val="nil"/>
              <w:right w:val="nil"/>
            </w:tcBorders>
          </w:tcPr>
          <w:p>
            <w:pPr>
              <w:pStyle w:val="0"/>
              <w:jc w:val="both"/>
            </w:pPr>
            <w:r>
              <w:rPr>
                <w:sz w:val="20"/>
              </w:rPr>
            </w:r>
          </w:p>
        </w:tc>
        <w:tc>
          <w:tcPr>
            <w:tcBorders>
              <w:top w:val="nil"/>
              <w:left w:val="nil"/>
              <w:bottom w:val="nil"/>
              <w:right w:val="nil"/>
            </w:tcBorders>
            <w:vMerge w:val="continue"/>
          </w:tcPr>
          <w:p/>
        </w:tc>
        <w:tc>
          <w:tcPr>
            <w:gridSpan w:val="4"/>
            <w:tcBorders>
              <w:left w:val="nil"/>
              <w:bottom w:val="nil"/>
              <w:right w:val="nil"/>
            </w:tcBorders>
            <w:vMerge w:val="continue"/>
          </w:tcPr>
          <w:p/>
        </w:tc>
      </w:tr>
      <w:tr>
        <w:tblPrEx>
          <w:tblBorders>
            <w:left w:val="single" w:sz="4"/>
          </w:tblBorders>
        </w:tblPrEx>
        <w:tc>
          <w:tcPr>
            <w:gridSpan w:val="3"/>
            <w:tcW w:w="5669" w:type="dxa"/>
            <w:tcBorders>
              <w:left w:val="single" w:sz="4"/>
              <w:right w:val="single" w:sz="4"/>
            </w:tcBorders>
          </w:tcPr>
          <w:p>
            <w:pPr>
              <w:pStyle w:val="0"/>
              <w:jc w:val="both"/>
            </w:pPr>
            <w:r>
              <w:rPr>
                <w:sz w:val="20"/>
              </w:rPr>
              <w:t xml:space="preserve">в т.ч. расположенные в сельских поселениях - 0</w:t>
            </w:r>
          </w:p>
        </w:tc>
        <w:tc>
          <w:tcPr>
            <w:tcBorders>
              <w:top w:val="nil"/>
              <w:left w:val="nil"/>
              <w:bottom w:val="nil"/>
              <w:right w:val="nil"/>
            </w:tcBorders>
            <w:vMerge w:val="continue"/>
          </w:tcPr>
          <w:p/>
        </w:tc>
        <w:tc>
          <w:tcPr>
            <w:tcW w:w="4139" w:type="dxa"/>
            <w:tcBorders>
              <w:left w:val="single" w:sz="4"/>
              <w:right w:val="nil"/>
            </w:tcBorders>
          </w:tcPr>
          <w:p>
            <w:pPr>
              <w:pStyle w:val="0"/>
              <w:jc w:val="both"/>
            </w:pPr>
            <w:r>
              <w:rPr>
                <w:sz w:val="20"/>
              </w:rPr>
              <w:t xml:space="preserve">Фельдшерский пункт - 0</w:t>
            </w:r>
          </w:p>
        </w:tc>
        <w:tc>
          <w:tcPr>
            <w:tcW w:w="1247" w:type="dxa"/>
            <w:tcBorders>
              <w:left w:val="nil"/>
              <w:right w:val="single" w:sz="4"/>
            </w:tcBorders>
          </w:tcPr>
          <w:p>
            <w:pPr>
              <w:pStyle w:val="0"/>
              <w:jc w:val="center"/>
            </w:pPr>
            <w:r>
              <w:rPr>
                <w:position w:val="-3"/>
              </w:rPr>
              <w:drawing>
                <wp:inline distT="0" distB="0" distL="0" distR="0">
                  <wp:extent cx="41465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a:extLst>
                              <a:ext uri="{28A0092B-C50C-407E-A947-70E740481C1C}">
                                <a14:useLocalDpi xmlns:a14="http://schemas.microsoft.com/office/drawing/2010/main" val="0"/>
                              </a:ext>
                            </a:extLst>
                          </a:blip>
                          <a:srcRect/>
                          <a:stretch>
                            <a:fillRect/>
                          </a:stretch>
                        </pic:blipFill>
                        <pic:spPr bwMode="auto">
                          <a:xfrm>
                            <a:off x="0" y="0"/>
                            <a:ext cx="414655" cy="176530"/>
                          </a:xfrm>
                          <a:prstGeom prst="rect">
                            <a:avLst/>
                          </a:prstGeom>
                          <a:noFill/>
                          <a:ln>
                            <a:noFill/>
                          </a:ln>
                        </pic:spPr>
                      </pic:pic>
                    </a:graphicData>
                  </a:graphic>
                </wp:inline>
              </w:drawing>
            </w:r>
          </w:p>
        </w:tc>
        <w:tc>
          <w:tcPr>
            <w:tcBorders>
              <w:top w:val="nil"/>
              <w:left w:val="nil"/>
              <w:bottom w:val="nil"/>
              <w:right w:val="nil"/>
            </w:tcBorders>
            <w:vMerge w:val="continue"/>
          </w:tcPr>
          <w:p/>
        </w:tc>
        <w:tc>
          <w:tcPr>
            <w:gridSpan w:val="4"/>
            <w:tcBorders>
              <w:left w:val="nil"/>
              <w:bottom w:val="nil"/>
              <w:right w:val="nil"/>
            </w:tcBorders>
            <w:vMerge w:val="continue"/>
          </w:tcPr>
          <w:p/>
        </w:tc>
      </w:tr>
      <w:tr>
        <w:tc>
          <w:tcPr>
            <w:gridSpan w:val="3"/>
            <w:tcW w:w="5669" w:type="dxa"/>
            <w:tcBorders>
              <w:left w:val="nil"/>
              <w:right w:val="nil"/>
            </w:tcBorders>
          </w:tcPr>
          <w:p>
            <w:pPr>
              <w:pStyle w:val="0"/>
              <w:jc w:val="both"/>
            </w:pPr>
            <w:r>
              <w:rPr>
                <w:sz w:val="20"/>
              </w:rPr>
            </w:r>
          </w:p>
        </w:tc>
        <w:tc>
          <w:tcPr>
            <w:tcBorders>
              <w:top w:val="nil"/>
              <w:left w:val="nil"/>
              <w:bottom w:val="nil"/>
              <w:right w:val="nil"/>
            </w:tcBorders>
            <w:vMerge w:val="continue"/>
          </w:tcPr>
          <w:p/>
        </w:tc>
        <w:tc>
          <w:tcPr>
            <w:gridSpan w:val="2"/>
            <w:tcW w:w="5386" w:type="dxa"/>
            <w:tcBorders>
              <w:left w:val="nil"/>
              <w:right w:val="nil"/>
            </w:tcBorders>
          </w:tcPr>
          <w:p>
            <w:pPr>
              <w:pStyle w:val="0"/>
              <w:jc w:val="both"/>
            </w:pPr>
            <w:r>
              <w:rPr>
                <w:sz w:val="20"/>
              </w:rPr>
            </w:r>
          </w:p>
        </w:tc>
        <w:tc>
          <w:tcPr>
            <w:tcBorders>
              <w:top w:val="nil"/>
              <w:left w:val="nil"/>
              <w:bottom w:val="nil"/>
              <w:right w:val="nil"/>
            </w:tcBorders>
            <w:vMerge w:val="continue"/>
          </w:tcPr>
          <w:p/>
        </w:tc>
        <w:tc>
          <w:tcPr>
            <w:gridSpan w:val="4"/>
            <w:tcBorders>
              <w:left w:val="nil"/>
              <w:bottom w:val="nil"/>
              <w:right w:val="nil"/>
            </w:tcBorders>
            <w:vMerge w:val="continue"/>
          </w:tcPr>
          <w:p/>
        </w:tc>
      </w:tr>
      <w:tr>
        <w:tblPrEx>
          <w:tblBorders>
            <w:left w:val="single" w:sz="4"/>
          </w:tblBorders>
        </w:tblPrEx>
        <w:tc>
          <w:tcPr>
            <w:gridSpan w:val="2"/>
            <w:tcW w:w="4535" w:type="dxa"/>
            <w:tcBorders>
              <w:left w:val="single" w:sz="4"/>
              <w:right w:val="nil"/>
            </w:tcBorders>
          </w:tcPr>
          <w:p>
            <w:pPr>
              <w:pStyle w:val="0"/>
              <w:jc w:val="both"/>
            </w:pPr>
            <w:r>
              <w:rPr>
                <w:sz w:val="20"/>
              </w:rPr>
              <w:t xml:space="preserve">Детская поликлиника - 0</w:t>
            </w:r>
          </w:p>
        </w:tc>
        <w:tc>
          <w:tcPr>
            <w:tcW w:w="1134" w:type="dxa"/>
            <w:tcBorders>
              <w:left w:val="nil"/>
              <w:right w:val="single" w:sz="4"/>
            </w:tcBorders>
          </w:tcPr>
          <w:p>
            <w:pPr>
              <w:pStyle w:val="0"/>
              <w:jc w:val="center"/>
            </w:pPr>
            <w:r>
              <w:rPr>
                <w:position w:val="-4"/>
              </w:rPr>
              <w:drawing>
                <wp:inline distT="0" distB="0" distL="0" distR="0">
                  <wp:extent cx="3111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a:extLst>
                              <a:ext uri="{28A0092B-C50C-407E-A947-70E740481C1C}">
                                <a14:useLocalDpi xmlns:a14="http://schemas.microsoft.com/office/drawing/2010/main" val="0"/>
                              </a:ext>
                            </a:extLst>
                          </a:blip>
                          <a:srcRect/>
                          <a:stretch>
                            <a:fillRect/>
                          </a:stretch>
                        </pic:blipFill>
                        <pic:spPr bwMode="auto">
                          <a:xfrm>
                            <a:off x="0" y="0"/>
                            <a:ext cx="311150" cy="182880"/>
                          </a:xfrm>
                          <a:prstGeom prst="rect">
                            <a:avLst/>
                          </a:prstGeom>
                          <a:noFill/>
                          <a:ln>
                            <a:noFill/>
                          </a:ln>
                        </pic:spPr>
                      </pic:pic>
                    </a:graphicData>
                  </a:graphic>
                </wp:inline>
              </w:drawing>
            </w:r>
          </w:p>
        </w:tc>
        <w:tc>
          <w:tcPr>
            <w:tcBorders>
              <w:top w:val="nil"/>
              <w:left w:val="nil"/>
              <w:bottom w:val="nil"/>
              <w:right w:val="nil"/>
            </w:tcBorders>
            <w:vMerge w:val="continue"/>
          </w:tcPr>
          <w:p/>
        </w:tc>
        <w:tc>
          <w:tcPr>
            <w:tcW w:w="4139" w:type="dxa"/>
            <w:tcBorders>
              <w:left w:val="single" w:sz="4"/>
              <w:right w:val="nil"/>
            </w:tcBorders>
          </w:tcPr>
          <w:p>
            <w:pPr>
              <w:pStyle w:val="0"/>
              <w:jc w:val="both"/>
            </w:pPr>
            <w:r>
              <w:rPr>
                <w:sz w:val="20"/>
              </w:rPr>
              <w:t xml:space="preserve">Амбулатории - 8</w:t>
            </w:r>
          </w:p>
        </w:tc>
        <w:tc>
          <w:tcPr>
            <w:tcW w:w="1247" w:type="dxa"/>
            <w:tcBorders>
              <w:left w:val="nil"/>
              <w:right w:val="single" w:sz="4"/>
            </w:tcBorders>
          </w:tcPr>
          <w:p>
            <w:pPr>
              <w:pStyle w:val="0"/>
              <w:jc w:val="center"/>
            </w:pPr>
            <w:r>
              <w:rPr>
                <w:position w:val="-2"/>
              </w:rPr>
              <w:drawing>
                <wp:inline distT="0" distB="0" distL="0" distR="0">
                  <wp:extent cx="18288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p>
        </w:tc>
        <w:tc>
          <w:tcPr>
            <w:tcBorders>
              <w:top w:val="nil"/>
              <w:left w:val="nil"/>
              <w:bottom w:val="nil"/>
              <w:right w:val="nil"/>
            </w:tcBorders>
            <w:vMerge w:val="continue"/>
          </w:tcPr>
          <w:p/>
        </w:tc>
        <w:tc>
          <w:tcPr>
            <w:gridSpan w:val="4"/>
            <w:tcBorders>
              <w:left w:val="nil"/>
              <w:bottom w:val="nil"/>
              <w:right w:val="nil"/>
            </w:tcBorders>
            <w:vMerge w:val="continue"/>
          </w:tcPr>
          <w:p/>
        </w:tc>
      </w:tr>
      <w:tr>
        <w:tc>
          <w:tcPr>
            <w:gridSpan w:val="3"/>
            <w:tcW w:w="5669" w:type="dxa"/>
            <w:tcBorders>
              <w:left w:val="nil"/>
              <w:right w:val="nil"/>
            </w:tcBorders>
          </w:tcPr>
          <w:p>
            <w:pPr>
              <w:pStyle w:val="0"/>
              <w:jc w:val="both"/>
            </w:pPr>
            <w:r>
              <w:rPr>
                <w:sz w:val="20"/>
              </w:rPr>
            </w:r>
          </w:p>
        </w:tc>
        <w:tc>
          <w:tcPr>
            <w:gridSpan w:val="8"/>
            <w:tcW w:w="10357" w:type="dxa"/>
            <w:tcBorders>
              <w:top w:val="nil"/>
              <w:left w:val="nil"/>
              <w:bottom w:val="nil"/>
              <w:right w:val="nil"/>
            </w:tcBorders>
            <w:vMerge w:val="restart"/>
          </w:tcPr>
          <w:p>
            <w:pPr>
              <w:pStyle w:val="0"/>
              <w:jc w:val="both"/>
            </w:pPr>
            <w:r>
              <w:rPr>
                <w:sz w:val="20"/>
              </w:rPr>
            </w:r>
          </w:p>
        </w:tc>
      </w:tr>
      <w:tr>
        <w:tblPrEx>
          <w:tblBorders>
            <w:left w:val="single" w:sz="4"/>
          </w:tblBorders>
        </w:tblPrEx>
        <w:tc>
          <w:tcPr>
            <w:gridSpan w:val="2"/>
            <w:tcW w:w="4535" w:type="dxa"/>
            <w:tcBorders>
              <w:left w:val="single" w:sz="4"/>
              <w:right w:val="nil"/>
            </w:tcBorders>
          </w:tcPr>
          <w:p>
            <w:pPr>
              <w:pStyle w:val="0"/>
              <w:jc w:val="both"/>
            </w:pPr>
            <w:r>
              <w:rPr>
                <w:sz w:val="20"/>
              </w:rPr>
              <w:t xml:space="preserve">Медицинские диагностические центры - 0</w:t>
            </w:r>
          </w:p>
        </w:tc>
        <w:tc>
          <w:tcPr>
            <w:tcW w:w="1134" w:type="dxa"/>
            <w:tcBorders>
              <w:left w:val="nil"/>
              <w:right w:val="single" w:sz="4"/>
            </w:tcBorders>
          </w:tcPr>
          <w:p>
            <w:pPr>
              <w:pStyle w:val="0"/>
              <w:jc w:val="center"/>
            </w:pPr>
            <w:r>
              <w:rPr>
                <w:position w:val="-4"/>
              </w:rPr>
              <w:drawing>
                <wp:inline distT="0" distB="0" distL="0" distR="0">
                  <wp:extent cx="35941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a:extLst>
                              <a:ext uri="{28A0092B-C50C-407E-A947-70E740481C1C}">
                                <a14:useLocalDpi xmlns:a14="http://schemas.microsoft.com/office/drawing/2010/main" val="0"/>
                              </a:ext>
                            </a:extLst>
                          </a:blip>
                          <a:srcRect/>
                          <a:stretch>
                            <a:fillRect/>
                          </a:stretch>
                        </pic:blipFill>
                        <pic:spPr bwMode="auto">
                          <a:xfrm>
                            <a:off x="0" y="0"/>
                            <a:ext cx="359410" cy="189230"/>
                          </a:xfrm>
                          <a:prstGeom prst="rect">
                            <a:avLst/>
                          </a:prstGeom>
                          <a:noFill/>
                          <a:ln>
                            <a:noFill/>
                          </a:ln>
                        </pic:spPr>
                      </pic:pic>
                    </a:graphicData>
                  </a:graphic>
                </wp:inline>
              </w:drawing>
            </w:r>
          </w:p>
        </w:tc>
        <w:tc>
          <w:tcPr>
            <w:gridSpan w:val="8"/>
            <w:tcBorders>
              <w:top w:val="nil"/>
              <w:left w:val="nil"/>
              <w:bottom w:val="nil"/>
              <w:right w:val="nil"/>
            </w:tcBorders>
            <w:vMerge w:val="continue"/>
          </w:tcPr>
          <w:p/>
        </w:tc>
      </w:tr>
      <w:tr>
        <w:tc>
          <w:tcPr>
            <w:gridSpan w:val="3"/>
            <w:tcW w:w="5669" w:type="dxa"/>
            <w:tcBorders>
              <w:left w:val="nil"/>
              <w:right w:val="nil"/>
            </w:tcBorders>
          </w:tcPr>
          <w:p>
            <w:pPr>
              <w:pStyle w:val="0"/>
              <w:jc w:val="both"/>
            </w:pPr>
            <w:r>
              <w:rPr>
                <w:sz w:val="20"/>
              </w:rPr>
            </w:r>
          </w:p>
        </w:tc>
        <w:tc>
          <w:tcPr>
            <w:gridSpan w:val="8"/>
            <w:tcBorders>
              <w:top w:val="nil"/>
              <w:left w:val="nil"/>
              <w:bottom w:val="nil"/>
              <w:right w:val="nil"/>
            </w:tcBorders>
            <w:vMerge w:val="continue"/>
          </w:tcPr>
          <w:p/>
        </w:tc>
      </w:tr>
      <w:tr>
        <w:tblPrEx>
          <w:tblBorders>
            <w:left w:val="single" w:sz="4"/>
          </w:tblBorders>
        </w:tblPrEx>
        <w:tc>
          <w:tcPr>
            <w:gridSpan w:val="2"/>
            <w:tcW w:w="4535" w:type="dxa"/>
            <w:tcBorders>
              <w:left w:val="single" w:sz="4"/>
              <w:right w:val="nil"/>
            </w:tcBorders>
          </w:tcPr>
          <w:p>
            <w:pPr>
              <w:pStyle w:val="0"/>
              <w:jc w:val="both"/>
            </w:pPr>
            <w:r>
              <w:rPr>
                <w:sz w:val="20"/>
              </w:rPr>
              <w:t xml:space="preserve">в т.ч. медицинские диагностические центры детские - 0</w:t>
            </w:r>
          </w:p>
        </w:tc>
        <w:tc>
          <w:tcPr>
            <w:tcW w:w="1134" w:type="dxa"/>
            <w:tcBorders>
              <w:left w:val="nil"/>
              <w:right w:val="single" w:sz="4"/>
            </w:tcBorders>
          </w:tcPr>
          <w:p>
            <w:pPr>
              <w:pStyle w:val="0"/>
              <w:jc w:val="center"/>
            </w:pPr>
            <w:r>
              <w:rPr>
                <w:position w:val="-4"/>
              </w:rPr>
              <w:drawing>
                <wp:inline distT="0" distB="0" distL="0" distR="0">
                  <wp:extent cx="50609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a:extLst>
                              <a:ext uri="{28A0092B-C50C-407E-A947-70E740481C1C}">
                                <a14:useLocalDpi xmlns:a14="http://schemas.microsoft.com/office/drawing/2010/main" val="0"/>
                              </a:ext>
                            </a:extLst>
                          </a:blip>
                          <a:srcRect/>
                          <a:stretch>
                            <a:fillRect/>
                          </a:stretch>
                        </pic:blipFill>
                        <pic:spPr bwMode="auto">
                          <a:xfrm>
                            <a:off x="0" y="0"/>
                            <a:ext cx="506095" cy="182880"/>
                          </a:xfrm>
                          <a:prstGeom prst="rect">
                            <a:avLst/>
                          </a:prstGeom>
                          <a:noFill/>
                          <a:ln>
                            <a:noFill/>
                          </a:ln>
                        </pic:spPr>
                      </pic:pic>
                    </a:graphicData>
                  </a:graphic>
                </wp:inline>
              </w:drawing>
            </w:r>
          </w:p>
        </w:tc>
        <w:tc>
          <w:tcPr>
            <w:gridSpan w:val="8"/>
            <w:tcBorders>
              <w:top w:val="nil"/>
              <w:left w:val="nil"/>
              <w:bottom w:val="nil"/>
              <w:right w:val="nil"/>
            </w:tcBorders>
            <w:vMerge w:val="continue"/>
          </w:tcPr>
          <w:p/>
        </w:tc>
      </w:tr>
      <w:tr>
        <w:tc>
          <w:tcPr>
            <w:gridSpan w:val="3"/>
            <w:tcW w:w="5669" w:type="dxa"/>
            <w:tcBorders>
              <w:left w:val="nil"/>
              <w:right w:val="nil"/>
            </w:tcBorders>
          </w:tcPr>
          <w:p>
            <w:pPr>
              <w:pStyle w:val="0"/>
              <w:jc w:val="both"/>
            </w:pPr>
            <w:r>
              <w:rPr>
                <w:sz w:val="20"/>
              </w:rPr>
            </w:r>
          </w:p>
        </w:tc>
        <w:tc>
          <w:tcPr>
            <w:gridSpan w:val="8"/>
            <w:tcBorders>
              <w:top w:val="nil"/>
              <w:left w:val="nil"/>
              <w:bottom w:val="nil"/>
              <w:right w:val="nil"/>
            </w:tcBorders>
            <w:vMerge w:val="continue"/>
          </w:tcPr>
          <w:p/>
        </w:tc>
      </w:tr>
      <w:tr>
        <w:tblPrEx>
          <w:tblBorders>
            <w:left w:val="single" w:sz="4"/>
          </w:tblBorders>
        </w:tblPrEx>
        <w:tc>
          <w:tcPr>
            <w:gridSpan w:val="2"/>
            <w:tcW w:w="4535" w:type="dxa"/>
            <w:tcBorders>
              <w:left w:val="single" w:sz="4"/>
              <w:right w:val="nil"/>
            </w:tcBorders>
          </w:tcPr>
          <w:p>
            <w:pPr>
              <w:pStyle w:val="0"/>
              <w:jc w:val="both"/>
            </w:pPr>
            <w:r>
              <w:rPr>
                <w:sz w:val="20"/>
              </w:rPr>
              <w:t xml:space="preserve">Женская консультация - 0</w:t>
            </w:r>
          </w:p>
        </w:tc>
        <w:tc>
          <w:tcPr>
            <w:tcW w:w="1134" w:type="dxa"/>
            <w:tcBorders>
              <w:left w:val="nil"/>
              <w:right w:val="single" w:sz="4"/>
            </w:tcBorders>
          </w:tcPr>
          <w:p>
            <w:pPr>
              <w:pStyle w:val="0"/>
              <w:jc w:val="center"/>
            </w:pPr>
            <w:r>
              <w:rPr>
                <w:position w:val="-3"/>
              </w:rPr>
              <w:drawing>
                <wp:inline distT="0" distB="0" distL="0" distR="0">
                  <wp:extent cx="43307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a:extLst>
                              <a:ext uri="{28A0092B-C50C-407E-A947-70E740481C1C}">
                                <a14:useLocalDpi xmlns:a14="http://schemas.microsoft.com/office/drawing/2010/main" val="0"/>
                              </a:ext>
                            </a:extLst>
                          </a:blip>
                          <a:srcRect/>
                          <a:stretch>
                            <a:fillRect/>
                          </a:stretch>
                        </pic:blipFill>
                        <pic:spPr bwMode="auto">
                          <a:xfrm>
                            <a:off x="0" y="0"/>
                            <a:ext cx="433070" cy="176530"/>
                          </a:xfrm>
                          <a:prstGeom prst="rect">
                            <a:avLst/>
                          </a:prstGeom>
                          <a:noFill/>
                          <a:ln>
                            <a:noFill/>
                          </a:ln>
                        </pic:spPr>
                      </pic:pic>
                    </a:graphicData>
                  </a:graphic>
                </wp:inline>
              </w:drawing>
            </w:r>
          </w:p>
        </w:tc>
        <w:tc>
          <w:tcPr>
            <w:gridSpan w:val="8"/>
            <w:tcBorders>
              <w:top w:val="nil"/>
              <w:left w:val="nil"/>
              <w:bottom w:val="nil"/>
              <w:right w:val="nil"/>
            </w:tcBorders>
            <w:vMerge w:val="continue"/>
          </w:tcPr>
          <w:p/>
        </w:tc>
      </w:tr>
      <w:tr>
        <w:tc>
          <w:tcPr>
            <w:gridSpan w:val="3"/>
            <w:tcW w:w="5669" w:type="dxa"/>
            <w:tcBorders>
              <w:left w:val="nil"/>
              <w:right w:val="nil"/>
            </w:tcBorders>
          </w:tcPr>
          <w:p>
            <w:pPr>
              <w:pStyle w:val="0"/>
              <w:jc w:val="both"/>
            </w:pPr>
            <w:r>
              <w:rPr>
                <w:sz w:val="20"/>
              </w:rPr>
            </w:r>
          </w:p>
        </w:tc>
        <w:tc>
          <w:tcPr>
            <w:gridSpan w:val="8"/>
            <w:tcBorders>
              <w:top w:val="nil"/>
              <w:left w:val="nil"/>
              <w:bottom w:val="nil"/>
              <w:right w:val="nil"/>
            </w:tcBorders>
            <w:vMerge w:val="continue"/>
          </w:tcPr>
          <w:p/>
        </w:tc>
      </w:tr>
      <w:tr>
        <w:tblPrEx>
          <w:tblBorders>
            <w:left w:val="single" w:sz="4"/>
          </w:tblBorders>
        </w:tblPrEx>
        <w:tc>
          <w:tcPr>
            <w:gridSpan w:val="2"/>
            <w:tcW w:w="4535" w:type="dxa"/>
            <w:tcBorders>
              <w:left w:val="single" w:sz="4"/>
              <w:right w:val="nil"/>
            </w:tcBorders>
          </w:tcPr>
          <w:p>
            <w:pPr>
              <w:pStyle w:val="0"/>
              <w:jc w:val="both"/>
            </w:pPr>
            <w:r>
              <w:rPr>
                <w:sz w:val="20"/>
              </w:rPr>
              <w:t xml:space="preserve">Стоматологические поликлиники, всего - 2</w:t>
            </w:r>
          </w:p>
        </w:tc>
        <w:tc>
          <w:tcPr>
            <w:tcW w:w="1134" w:type="dxa"/>
            <w:tcBorders>
              <w:left w:val="nil"/>
              <w:right w:val="single" w:sz="4"/>
            </w:tcBorders>
          </w:tcPr>
          <w:p>
            <w:pPr>
              <w:pStyle w:val="0"/>
              <w:jc w:val="center"/>
            </w:pPr>
            <w:r>
              <w:rPr>
                <w:position w:val="-4"/>
              </w:rPr>
              <w:drawing>
                <wp:inline distT="0" distB="0" distL="0" distR="0">
                  <wp:extent cx="35941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a:extLst>
                              <a:ext uri="{28A0092B-C50C-407E-A947-70E740481C1C}">
                                <a14:useLocalDpi xmlns:a14="http://schemas.microsoft.com/office/drawing/2010/main" val="0"/>
                              </a:ext>
                            </a:extLst>
                          </a:blip>
                          <a:srcRect/>
                          <a:stretch>
                            <a:fillRect/>
                          </a:stretch>
                        </pic:blipFill>
                        <pic:spPr bwMode="auto">
                          <a:xfrm>
                            <a:off x="0" y="0"/>
                            <a:ext cx="359410" cy="182880"/>
                          </a:xfrm>
                          <a:prstGeom prst="rect">
                            <a:avLst/>
                          </a:prstGeom>
                          <a:noFill/>
                          <a:ln>
                            <a:noFill/>
                          </a:ln>
                        </pic:spPr>
                      </pic:pic>
                    </a:graphicData>
                  </a:graphic>
                </wp:inline>
              </w:drawing>
            </w:r>
          </w:p>
        </w:tc>
        <w:tc>
          <w:tcPr>
            <w:gridSpan w:val="8"/>
            <w:tcBorders>
              <w:top w:val="nil"/>
              <w:left w:val="nil"/>
              <w:bottom w:val="nil"/>
              <w:right w:val="nil"/>
            </w:tcBorders>
            <w:vMerge w:val="continue"/>
          </w:tcPr>
          <w:p/>
        </w:tc>
      </w:tr>
      <w:tr>
        <w:tc>
          <w:tcPr>
            <w:gridSpan w:val="3"/>
            <w:tcW w:w="5669" w:type="dxa"/>
            <w:tcBorders>
              <w:left w:val="nil"/>
              <w:right w:val="nil"/>
            </w:tcBorders>
          </w:tcPr>
          <w:p>
            <w:pPr>
              <w:pStyle w:val="0"/>
              <w:jc w:val="both"/>
            </w:pPr>
            <w:r>
              <w:rPr>
                <w:sz w:val="20"/>
              </w:rPr>
            </w:r>
          </w:p>
        </w:tc>
        <w:tc>
          <w:tcPr>
            <w:gridSpan w:val="8"/>
            <w:tcBorders>
              <w:top w:val="nil"/>
              <w:left w:val="nil"/>
              <w:bottom w:val="nil"/>
              <w:right w:val="nil"/>
            </w:tcBorders>
            <w:vMerge w:val="continue"/>
          </w:tcPr>
          <w:p/>
        </w:tc>
      </w:tr>
      <w:tr>
        <w:tblPrEx>
          <w:tblBorders>
            <w:left w:val="single" w:sz="4"/>
          </w:tblBorders>
        </w:tblPrEx>
        <w:tc>
          <w:tcPr>
            <w:gridSpan w:val="2"/>
            <w:tcW w:w="4535" w:type="dxa"/>
            <w:tcBorders>
              <w:left w:val="single" w:sz="4"/>
              <w:right w:val="nil"/>
            </w:tcBorders>
          </w:tcPr>
          <w:p>
            <w:pPr>
              <w:pStyle w:val="0"/>
              <w:jc w:val="both"/>
            </w:pPr>
            <w:r>
              <w:rPr>
                <w:sz w:val="20"/>
              </w:rPr>
              <w:t xml:space="preserve">Детская стоматологическая поликлиника - 1</w:t>
            </w:r>
          </w:p>
        </w:tc>
        <w:tc>
          <w:tcPr>
            <w:tcW w:w="1134" w:type="dxa"/>
            <w:tcBorders>
              <w:left w:val="nil"/>
              <w:right w:val="single" w:sz="4"/>
            </w:tcBorders>
          </w:tcPr>
          <w:p>
            <w:pPr>
              <w:pStyle w:val="0"/>
              <w:jc w:val="center"/>
            </w:pPr>
            <w:r>
              <w:rPr>
                <w:position w:val="-3"/>
              </w:rPr>
              <w:drawing>
                <wp:inline distT="0" distB="0" distL="0" distR="0">
                  <wp:extent cx="46926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a:extLst>
                              <a:ext uri="{28A0092B-C50C-407E-A947-70E740481C1C}">
                                <a14:useLocalDpi xmlns:a14="http://schemas.microsoft.com/office/drawing/2010/main" val="0"/>
                              </a:ext>
                            </a:extLst>
                          </a:blip>
                          <a:srcRect/>
                          <a:stretch>
                            <a:fillRect/>
                          </a:stretch>
                        </pic:blipFill>
                        <pic:spPr bwMode="auto">
                          <a:xfrm>
                            <a:off x="0" y="0"/>
                            <a:ext cx="469265" cy="176530"/>
                          </a:xfrm>
                          <a:prstGeom prst="rect">
                            <a:avLst/>
                          </a:prstGeom>
                          <a:noFill/>
                          <a:ln>
                            <a:noFill/>
                          </a:ln>
                        </pic:spPr>
                      </pic:pic>
                    </a:graphicData>
                  </a:graphic>
                </wp:inline>
              </w:drawing>
            </w:r>
          </w:p>
        </w:tc>
        <w:tc>
          <w:tcPr>
            <w:gridSpan w:val="8"/>
            <w:tcBorders>
              <w:top w:val="nil"/>
              <w:left w:val="nil"/>
              <w:bottom w:val="nil"/>
              <w:right w:val="nil"/>
            </w:tcBorders>
            <w:vMerge w:val="continue"/>
          </w:tcP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right"/>
      </w:pPr>
      <w:r>
        <w:rPr>
          <w:sz w:val="20"/>
        </w:rPr>
      </w:r>
    </w:p>
    <w:p>
      <w:pPr>
        <w:pStyle w:val="0"/>
        <w:outlineLvl w:val="3"/>
        <w:jc w:val="right"/>
      </w:pPr>
      <w:r>
        <w:rPr>
          <w:sz w:val="20"/>
        </w:rPr>
        <w:t xml:space="preserve">Рисунок 4</w:t>
      </w:r>
    </w:p>
    <w:p>
      <w:pPr>
        <w:pStyle w:val="0"/>
        <w:jc w:val="right"/>
      </w:pPr>
      <w:r>
        <w:rPr>
          <w:sz w:val="20"/>
        </w:rPr>
      </w:r>
    </w:p>
    <w:bookmarkStart w:id="35469" w:name="P35469"/>
    <w:bookmarkEnd w:id="35469"/>
    <w:p>
      <w:pPr>
        <w:pStyle w:val="2"/>
        <w:jc w:val="center"/>
      </w:pPr>
      <w:r>
        <w:rPr>
          <w:sz w:val="20"/>
        </w:rPr>
        <w:t xml:space="preserve">Карта-схема размещения на территории города Севастополя</w:t>
      </w:r>
    </w:p>
    <w:p>
      <w:pPr>
        <w:pStyle w:val="2"/>
        <w:jc w:val="center"/>
      </w:pPr>
      <w:r>
        <w:rPr>
          <w:sz w:val="20"/>
        </w:rPr>
        <w:t xml:space="preserve">медицинских организаций, оказывающих первичную</w:t>
      </w:r>
    </w:p>
    <w:p>
      <w:pPr>
        <w:pStyle w:val="2"/>
        <w:jc w:val="center"/>
      </w:pPr>
      <w:r>
        <w:rPr>
          <w:sz w:val="20"/>
        </w:rPr>
        <w:t xml:space="preserve">медико-санитарную помощь</w:t>
      </w:r>
    </w:p>
    <w:p>
      <w:pPr>
        <w:pStyle w:val="0"/>
        <w:jc w:val="center"/>
      </w:pPr>
      <w:r>
        <w:rPr>
          <w:sz w:val="20"/>
        </w:rPr>
      </w:r>
    </w:p>
    <w:p>
      <w:pPr>
        <w:pStyle w:val="2"/>
        <w:outlineLvl w:val="4"/>
        <w:jc w:val="center"/>
      </w:pPr>
      <w:r>
        <w:rPr>
          <w:sz w:val="20"/>
        </w:rPr>
        <w:t xml:space="preserve">Ленинский и Гагаринский районы города Севастополя</w:t>
      </w:r>
    </w:p>
    <w:p>
      <w:pPr>
        <w:pStyle w:val="0"/>
        <w:jc w:val="center"/>
      </w:pPr>
      <w:r>
        <w:rPr>
          <w:sz w:val="20"/>
        </w:rPr>
      </w:r>
    </w:p>
    <w:p>
      <w:pPr>
        <w:pStyle w:val="0"/>
        <w:jc w:val="center"/>
      </w:pPr>
      <w:r>
        <w:rPr>
          <w:position w:val="-211"/>
        </w:rPr>
        <w:drawing>
          <wp:inline distT="0" distB="0" distL="0" distR="0">
            <wp:extent cx="5041265" cy="280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a:extLst>
                        <a:ext uri="{28A0092B-C50C-407E-A947-70E740481C1C}">
                          <a14:useLocalDpi xmlns:a14="http://schemas.microsoft.com/office/drawing/2010/main" val="0"/>
                        </a:ext>
                      </a:extLst>
                    </a:blip>
                    <a:srcRect/>
                    <a:stretch>
                      <a:fillRect/>
                    </a:stretch>
                  </pic:blipFill>
                  <pic:spPr bwMode="auto">
                    <a:xfrm>
                      <a:off x="0" y="0"/>
                      <a:ext cx="5041265" cy="280987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На карте-схеме </w:t>
      </w:r>
      <w:hyperlink w:history="0" w:anchor="P35469" w:tooltip="Карта-схема размещения на территории города Севастополя">
        <w:r>
          <w:rPr>
            <w:sz w:val="20"/>
            <w:color w:val="0000ff"/>
          </w:rPr>
          <w:t xml:space="preserve">(рисунок 4)</w:t>
        </w:r>
      </w:hyperlink>
      <w:r>
        <w:rPr>
          <w:sz w:val="20"/>
        </w:rPr>
        <w:t xml:space="preserve"> отображены в том числе частные медицинские организации, оказывающие первичную медико-санитарную помощь. Медицинские организации, подведомственные Федеральному медико-биологическому агентству, на территории города Севастополя отсутствуют.</w:t>
      </w:r>
    </w:p>
    <w:p>
      <w:pPr>
        <w:pStyle w:val="0"/>
        <w:jc w:val="right"/>
      </w:pPr>
      <w:r>
        <w:rPr>
          <w:sz w:val="20"/>
        </w:rPr>
      </w:r>
    </w:p>
    <w:p>
      <w:pPr>
        <w:pStyle w:val="0"/>
        <w:outlineLvl w:val="3"/>
        <w:jc w:val="right"/>
      </w:pPr>
      <w:r>
        <w:rPr>
          <w:sz w:val="20"/>
        </w:rPr>
        <w:t xml:space="preserve">Таблица 5</w:t>
      </w:r>
    </w:p>
    <w:p>
      <w:pPr>
        <w:pStyle w:val="0"/>
      </w:pPr>
      <w:r>
        <w:rPr>
          <w:sz w:val="20"/>
        </w:rPr>
      </w:r>
    </w:p>
    <w:p>
      <w:pPr>
        <w:pStyle w:val="2"/>
        <w:jc w:val="center"/>
      </w:pPr>
      <w:r>
        <w:rPr>
          <w:sz w:val="20"/>
        </w:rPr>
        <w:t xml:space="preserve">Медицинские организации и их структурные подразделения,</w:t>
      </w:r>
    </w:p>
    <w:p>
      <w:pPr>
        <w:pStyle w:val="2"/>
        <w:jc w:val="center"/>
      </w:pPr>
      <w:r>
        <w:rPr>
          <w:sz w:val="20"/>
        </w:rPr>
        <w:t xml:space="preserve">на базе которых оказывается первичная медико-санитарная</w:t>
      </w:r>
    </w:p>
    <w:p>
      <w:pPr>
        <w:pStyle w:val="2"/>
        <w:jc w:val="center"/>
      </w:pPr>
      <w:r>
        <w:rPr>
          <w:sz w:val="20"/>
        </w:rPr>
        <w:t xml:space="preserve">помощь населению, по состоянию на 2020 год</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4"/>
        <w:gridCol w:w="3742"/>
        <w:gridCol w:w="1474"/>
        <w:gridCol w:w="1757"/>
        <w:gridCol w:w="1417"/>
      </w:tblGrid>
      <w:tr>
        <w:tc>
          <w:tcPr>
            <w:tcW w:w="664" w:type="dxa"/>
          </w:tcPr>
          <w:p>
            <w:pPr>
              <w:pStyle w:val="0"/>
              <w:jc w:val="center"/>
            </w:pPr>
            <w:r>
              <w:rPr>
                <w:sz w:val="20"/>
              </w:rPr>
              <w:t xml:space="preserve">N на карте</w:t>
            </w:r>
          </w:p>
        </w:tc>
        <w:tc>
          <w:tcPr>
            <w:tcW w:w="3742" w:type="dxa"/>
          </w:tcPr>
          <w:p>
            <w:pPr>
              <w:pStyle w:val="0"/>
              <w:jc w:val="center"/>
            </w:pPr>
            <w:r>
              <w:rPr>
                <w:sz w:val="20"/>
              </w:rPr>
              <w:t xml:space="preserve">Наименование медицинской организации</w:t>
            </w:r>
          </w:p>
        </w:tc>
        <w:tc>
          <w:tcPr>
            <w:tcW w:w="1474" w:type="dxa"/>
          </w:tcPr>
          <w:p>
            <w:pPr>
              <w:pStyle w:val="0"/>
              <w:jc w:val="center"/>
            </w:pPr>
            <w:r>
              <w:rPr>
                <w:sz w:val="20"/>
              </w:rPr>
              <w:t xml:space="preserve">Численность обслуживаемого населения</w:t>
            </w:r>
          </w:p>
        </w:tc>
        <w:tc>
          <w:tcPr>
            <w:tcW w:w="1757" w:type="dxa"/>
          </w:tcPr>
          <w:p>
            <w:pPr>
              <w:pStyle w:val="0"/>
              <w:jc w:val="center"/>
            </w:pPr>
            <w:r>
              <w:rPr>
                <w:sz w:val="20"/>
              </w:rPr>
              <w:t xml:space="preserve">Число зданий, требующих сноса, реконструкции, капитального ремонта</w:t>
            </w:r>
          </w:p>
        </w:tc>
        <w:tc>
          <w:tcPr>
            <w:tcW w:w="1417" w:type="dxa"/>
          </w:tcPr>
          <w:p>
            <w:pPr>
              <w:pStyle w:val="0"/>
              <w:jc w:val="center"/>
            </w:pPr>
            <w:r>
              <w:rPr>
                <w:sz w:val="20"/>
              </w:rPr>
              <w:t xml:space="preserve">Наличие специально оборудованной вертолетной площадки</w:t>
            </w:r>
          </w:p>
        </w:tc>
      </w:tr>
      <w:tr>
        <w:tc>
          <w:tcPr>
            <w:tcW w:w="664" w:type="dxa"/>
          </w:tcPr>
          <w:p>
            <w:pPr>
              <w:pStyle w:val="0"/>
              <w:jc w:val="center"/>
            </w:pPr>
            <w:r>
              <w:rPr>
                <w:sz w:val="20"/>
              </w:rPr>
              <w:t xml:space="preserve">1</w:t>
            </w:r>
          </w:p>
        </w:tc>
        <w:tc>
          <w:tcPr>
            <w:tcW w:w="3742" w:type="dxa"/>
          </w:tcPr>
          <w:p>
            <w:pPr>
              <w:pStyle w:val="0"/>
              <w:jc w:val="both"/>
            </w:pPr>
            <w:r>
              <w:rPr>
                <w:sz w:val="20"/>
              </w:rPr>
              <w:t xml:space="preserve">ГБУЗС "Городская больница N 1 им Н.И. Пирогова", поликлиника N 1</w:t>
            </w:r>
          </w:p>
        </w:tc>
        <w:tc>
          <w:tcPr>
            <w:tcW w:w="1474" w:type="dxa"/>
          </w:tcPr>
          <w:p>
            <w:pPr>
              <w:pStyle w:val="0"/>
              <w:jc w:val="center"/>
            </w:pPr>
            <w:r>
              <w:rPr>
                <w:sz w:val="20"/>
              </w:rPr>
              <w:t xml:space="preserve">26827</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2</w:t>
            </w:r>
          </w:p>
        </w:tc>
        <w:tc>
          <w:tcPr>
            <w:tcW w:w="3742" w:type="dxa"/>
          </w:tcPr>
          <w:p>
            <w:pPr>
              <w:pStyle w:val="0"/>
              <w:jc w:val="both"/>
            </w:pPr>
            <w:r>
              <w:rPr>
                <w:sz w:val="20"/>
              </w:rPr>
              <w:t xml:space="preserve">ГБУЗС "Городская больница N 1 им Н.И. Пирогова", поликлиника N 2</w:t>
            </w:r>
          </w:p>
        </w:tc>
        <w:tc>
          <w:tcPr>
            <w:tcW w:w="1474" w:type="dxa"/>
          </w:tcPr>
          <w:p>
            <w:pPr>
              <w:pStyle w:val="0"/>
              <w:jc w:val="center"/>
            </w:pPr>
            <w:r>
              <w:rPr>
                <w:sz w:val="20"/>
              </w:rPr>
              <w:t xml:space="preserve">61358</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w:t>
            </w:r>
          </w:p>
        </w:tc>
        <w:tc>
          <w:tcPr>
            <w:tcW w:w="3742" w:type="dxa"/>
          </w:tcPr>
          <w:p>
            <w:pPr>
              <w:pStyle w:val="0"/>
              <w:jc w:val="both"/>
            </w:pPr>
            <w:r>
              <w:rPr>
                <w:sz w:val="20"/>
              </w:rPr>
              <w:t xml:space="preserve">ГБУЗС "Городская больница N 1 им Н.И. Пирогова", поликлиника N 3</w:t>
            </w:r>
          </w:p>
        </w:tc>
        <w:tc>
          <w:tcPr>
            <w:tcW w:w="1474" w:type="dxa"/>
          </w:tcPr>
          <w:p>
            <w:pPr>
              <w:pStyle w:val="0"/>
              <w:jc w:val="center"/>
            </w:pPr>
            <w:r>
              <w:rPr>
                <w:sz w:val="20"/>
              </w:rPr>
              <w:t xml:space="preserve">35978</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4</w:t>
            </w:r>
          </w:p>
        </w:tc>
        <w:tc>
          <w:tcPr>
            <w:tcW w:w="3742" w:type="dxa"/>
          </w:tcPr>
          <w:p>
            <w:pPr>
              <w:pStyle w:val="0"/>
              <w:jc w:val="both"/>
            </w:pPr>
            <w:r>
              <w:rPr>
                <w:sz w:val="20"/>
              </w:rPr>
              <w:t xml:space="preserve">ГБУЗС "Городская больница N 1 им Н.И. Пирогова", поликлиника N 4</w:t>
            </w:r>
          </w:p>
        </w:tc>
        <w:tc>
          <w:tcPr>
            <w:tcW w:w="1474" w:type="dxa"/>
          </w:tcPr>
          <w:p>
            <w:pPr>
              <w:pStyle w:val="0"/>
              <w:jc w:val="center"/>
            </w:pPr>
            <w:r>
              <w:rPr>
                <w:sz w:val="20"/>
              </w:rPr>
              <w:t xml:space="preserve">71079</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6</w:t>
            </w:r>
          </w:p>
        </w:tc>
        <w:tc>
          <w:tcPr>
            <w:tcW w:w="3742" w:type="dxa"/>
          </w:tcPr>
          <w:p>
            <w:pPr>
              <w:pStyle w:val="0"/>
              <w:jc w:val="both"/>
            </w:pPr>
            <w:r>
              <w:rPr>
                <w:sz w:val="20"/>
              </w:rPr>
              <w:t xml:space="preserve">ГБУЗС "Городская больница N 1 им Н.И. Пирогова", поликлиника N 5</w:t>
            </w:r>
          </w:p>
        </w:tc>
        <w:tc>
          <w:tcPr>
            <w:tcW w:w="1474" w:type="dxa"/>
          </w:tcPr>
          <w:p>
            <w:pPr>
              <w:pStyle w:val="0"/>
              <w:jc w:val="center"/>
            </w:pPr>
            <w:r>
              <w:rPr>
                <w:sz w:val="20"/>
              </w:rPr>
              <w:t xml:space="preserve">56710</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8</w:t>
            </w:r>
          </w:p>
        </w:tc>
        <w:tc>
          <w:tcPr>
            <w:tcW w:w="3742" w:type="dxa"/>
          </w:tcPr>
          <w:p>
            <w:pPr>
              <w:pStyle w:val="0"/>
              <w:jc w:val="both"/>
            </w:pPr>
            <w:r>
              <w:rPr>
                <w:sz w:val="20"/>
              </w:rPr>
              <w:t xml:space="preserve">ГБУЗС "Городская больница N 1 им Н.И. Пирогова", поликлиническое отделение</w:t>
            </w:r>
          </w:p>
        </w:tc>
        <w:tc>
          <w:tcPr>
            <w:tcW w:w="1474" w:type="dxa"/>
          </w:tcPr>
          <w:p>
            <w:pPr>
              <w:pStyle w:val="0"/>
              <w:jc w:val="center"/>
            </w:pPr>
            <w:r>
              <w:rPr>
                <w:sz w:val="20"/>
              </w:rPr>
              <w:t xml:space="preserve">-</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9</w:t>
            </w:r>
          </w:p>
        </w:tc>
        <w:tc>
          <w:tcPr>
            <w:tcW w:w="3742" w:type="dxa"/>
          </w:tcPr>
          <w:p>
            <w:pPr>
              <w:pStyle w:val="0"/>
              <w:jc w:val="both"/>
            </w:pPr>
            <w:r>
              <w:rPr>
                <w:sz w:val="20"/>
              </w:rPr>
              <w:t xml:space="preserve">ГБУЗС "Городская больница N 1 им Н.И. Пирогова", поликлиническое отделение</w:t>
            </w:r>
          </w:p>
        </w:tc>
        <w:tc>
          <w:tcPr>
            <w:tcW w:w="1474" w:type="dxa"/>
          </w:tcPr>
          <w:p>
            <w:pPr>
              <w:pStyle w:val="0"/>
              <w:jc w:val="center"/>
            </w:pPr>
            <w:r>
              <w:rPr>
                <w:sz w:val="20"/>
              </w:rPr>
              <w:t xml:space="preserve">-</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10</w:t>
            </w:r>
          </w:p>
        </w:tc>
        <w:tc>
          <w:tcPr>
            <w:tcW w:w="3742" w:type="dxa"/>
          </w:tcPr>
          <w:p>
            <w:pPr>
              <w:pStyle w:val="0"/>
              <w:jc w:val="both"/>
            </w:pPr>
            <w:r>
              <w:rPr>
                <w:sz w:val="20"/>
              </w:rPr>
              <w:t xml:space="preserve">ГБУЗС "Городская больница N 1 им Н.И. Пирогова", амбулатория семейной медицины</w:t>
            </w:r>
          </w:p>
        </w:tc>
        <w:tc>
          <w:tcPr>
            <w:tcW w:w="1474" w:type="dxa"/>
          </w:tcPr>
          <w:p>
            <w:pPr>
              <w:pStyle w:val="0"/>
              <w:jc w:val="center"/>
            </w:pPr>
            <w:r>
              <w:rPr>
                <w:sz w:val="20"/>
              </w:rPr>
              <w:t xml:space="preserve">14189</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17</w:t>
            </w:r>
          </w:p>
        </w:tc>
        <w:tc>
          <w:tcPr>
            <w:tcW w:w="3742" w:type="dxa"/>
          </w:tcPr>
          <w:p>
            <w:pPr>
              <w:pStyle w:val="0"/>
              <w:jc w:val="both"/>
            </w:pPr>
            <w:r>
              <w:rPr>
                <w:sz w:val="20"/>
              </w:rPr>
              <w:t xml:space="preserve">ГБУЗС "Городская больница N 4", взрослая поликлиника</w:t>
            </w:r>
          </w:p>
        </w:tc>
        <w:tc>
          <w:tcPr>
            <w:tcW w:w="1474" w:type="dxa"/>
          </w:tcPr>
          <w:p>
            <w:pPr>
              <w:pStyle w:val="0"/>
              <w:jc w:val="center"/>
            </w:pPr>
            <w:r>
              <w:rPr>
                <w:sz w:val="20"/>
              </w:rPr>
              <w:t xml:space="preserve">33493</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18</w:t>
            </w:r>
          </w:p>
        </w:tc>
        <w:tc>
          <w:tcPr>
            <w:tcW w:w="3742" w:type="dxa"/>
          </w:tcPr>
          <w:p>
            <w:pPr>
              <w:pStyle w:val="0"/>
              <w:jc w:val="both"/>
            </w:pPr>
            <w:r>
              <w:rPr>
                <w:sz w:val="20"/>
              </w:rPr>
              <w:t xml:space="preserve">ГБУЗС "Городская больница N 4", детская поликлиника</w:t>
            </w:r>
          </w:p>
        </w:tc>
        <w:tc>
          <w:tcPr>
            <w:tcW w:w="1474" w:type="dxa"/>
          </w:tcPr>
          <w:p>
            <w:pPr>
              <w:pStyle w:val="0"/>
              <w:jc w:val="center"/>
            </w:pPr>
            <w:r>
              <w:rPr>
                <w:sz w:val="20"/>
              </w:rPr>
              <w:t xml:space="preserve">8916</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1</w:t>
            </w:r>
          </w:p>
        </w:tc>
        <w:tc>
          <w:tcPr>
            <w:tcW w:w="3742" w:type="dxa"/>
          </w:tcPr>
          <w:p>
            <w:pPr>
              <w:pStyle w:val="0"/>
              <w:jc w:val="both"/>
            </w:pPr>
            <w:r>
              <w:rPr>
                <w:sz w:val="20"/>
              </w:rPr>
              <w:t xml:space="preserve">ГБУЗС "Городская больница N 4", ФАП</w:t>
            </w:r>
          </w:p>
        </w:tc>
        <w:tc>
          <w:tcPr>
            <w:tcW w:w="1474" w:type="dxa"/>
          </w:tcPr>
          <w:p>
            <w:pPr>
              <w:pStyle w:val="0"/>
              <w:jc w:val="center"/>
            </w:pPr>
            <w:r>
              <w:rPr>
                <w:sz w:val="20"/>
              </w:rPr>
              <w:t xml:space="preserve">1574</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2</w:t>
            </w:r>
          </w:p>
        </w:tc>
        <w:tc>
          <w:tcPr>
            <w:tcW w:w="3742" w:type="dxa"/>
          </w:tcPr>
          <w:p>
            <w:pPr>
              <w:pStyle w:val="0"/>
              <w:jc w:val="both"/>
            </w:pPr>
            <w:r>
              <w:rPr>
                <w:sz w:val="20"/>
              </w:rPr>
              <w:t xml:space="preserve">ГБУЗС "Городская больница N 4", ФАП</w:t>
            </w:r>
          </w:p>
        </w:tc>
        <w:tc>
          <w:tcPr>
            <w:tcW w:w="1474" w:type="dxa"/>
          </w:tcPr>
          <w:p>
            <w:pPr>
              <w:pStyle w:val="0"/>
              <w:jc w:val="center"/>
            </w:pPr>
            <w:r>
              <w:rPr>
                <w:sz w:val="20"/>
              </w:rPr>
              <w:t xml:space="preserve">1299</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w:t>
            </w:r>
          </w:p>
        </w:tc>
        <w:tc>
          <w:tcPr>
            <w:tcW w:w="3742" w:type="dxa"/>
          </w:tcPr>
          <w:p>
            <w:pPr>
              <w:pStyle w:val="0"/>
              <w:jc w:val="both"/>
            </w:pPr>
            <w:r>
              <w:rPr>
                <w:sz w:val="20"/>
              </w:rPr>
              <w:t xml:space="preserve">ГБУЗС "Городская больница N 4", ФАП</w:t>
            </w:r>
          </w:p>
        </w:tc>
        <w:tc>
          <w:tcPr>
            <w:tcW w:w="1474" w:type="dxa"/>
          </w:tcPr>
          <w:p>
            <w:pPr>
              <w:pStyle w:val="0"/>
              <w:jc w:val="center"/>
            </w:pPr>
            <w:r>
              <w:rPr>
                <w:sz w:val="20"/>
              </w:rPr>
              <w:t xml:space="preserve">553</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4</w:t>
            </w:r>
          </w:p>
        </w:tc>
        <w:tc>
          <w:tcPr>
            <w:tcW w:w="3742" w:type="dxa"/>
          </w:tcPr>
          <w:p>
            <w:pPr>
              <w:pStyle w:val="0"/>
              <w:jc w:val="both"/>
            </w:pPr>
            <w:r>
              <w:rPr>
                <w:sz w:val="20"/>
              </w:rPr>
              <w:t xml:space="preserve">ГБУЗС "Городская больница N 4", ФАП</w:t>
            </w:r>
          </w:p>
        </w:tc>
        <w:tc>
          <w:tcPr>
            <w:tcW w:w="1474" w:type="dxa"/>
          </w:tcPr>
          <w:p>
            <w:pPr>
              <w:pStyle w:val="0"/>
              <w:jc w:val="center"/>
            </w:pPr>
            <w:r>
              <w:rPr>
                <w:sz w:val="20"/>
              </w:rPr>
              <w:t xml:space="preserve">867</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1</w:t>
            </w:r>
          </w:p>
        </w:tc>
        <w:tc>
          <w:tcPr>
            <w:tcW w:w="3742" w:type="dxa"/>
          </w:tcPr>
          <w:p>
            <w:pPr>
              <w:pStyle w:val="0"/>
              <w:jc w:val="both"/>
            </w:pPr>
            <w:r>
              <w:rPr>
                <w:sz w:val="20"/>
              </w:rPr>
              <w:t xml:space="preserve">ГБУЗС "Городская больница N 4", ВА</w:t>
            </w:r>
          </w:p>
        </w:tc>
        <w:tc>
          <w:tcPr>
            <w:tcW w:w="1474" w:type="dxa"/>
          </w:tcPr>
          <w:p>
            <w:pPr>
              <w:pStyle w:val="0"/>
              <w:jc w:val="center"/>
            </w:pPr>
            <w:r>
              <w:rPr>
                <w:sz w:val="20"/>
              </w:rPr>
              <w:t xml:space="preserve">1469</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2</w:t>
            </w:r>
          </w:p>
        </w:tc>
        <w:tc>
          <w:tcPr>
            <w:tcW w:w="3742" w:type="dxa"/>
          </w:tcPr>
          <w:p>
            <w:pPr>
              <w:pStyle w:val="0"/>
              <w:jc w:val="both"/>
            </w:pPr>
            <w:r>
              <w:rPr>
                <w:sz w:val="20"/>
              </w:rPr>
              <w:t xml:space="preserve">ГБУЗС "Городская больница N 4", ВА</w:t>
            </w:r>
          </w:p>
        </w:tc>
        <w:tc>
          <w:tcPr>
            <w:tcW w:w="1474" w:type="dxa"/>
          </w:tcPr>
          <w:p>
            <w:pPr>
              <w:pStyle w:val="0"/>
              <w:jc w:val="center"/>
            </w:pPr>
            <w:r>
              <w:rPr>
                <w:sz w:val="20"/>
              </w:rPr>
              <w:t xml:space="preserve">2911</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w:t>
            </w:r>
          </w:p>
        </w:tc>
        <w:tc>
          <w:tcPr>
            <w:tcW w:w="3742" w:type="dxa"/>
          </w:tcPr>
          <w:p>
            <w:pPr>
              <w:pStyle w:val="0"/>
              <w:jc w:val="both"/>
            </w:pPr>
            <w:r>
              <w:rPr>
                <w:sz w:val="20"/>
              </w:rPr>
              <w:t xml:space="preserve">ГБУЗС "Городская больница N 4", ВА</w:t>
            </w:r>
          </w:p>
        </w:tc>
        <w:tc>
          <w:tcPr>
            <w:tcW w:w="1474" w:type="dxa"/>
          </w:tcPr>
          <w:p>
            <w:pPr>
              <w:pStyle w:val="0"/>
              <w:jc w:val="center"/>
            </w:pPr>
            <w:r>
              <w:rPr>
                <w:sz w:val="20"/>
              </w:rPr>
              <w:t xml:space="preserve">2422</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4</w:t>
            </w:r>
          </w:p>
        </w:tc>
        <w:tc>
          <w:tcPr>
            <w:tcW w:w="3742" w:type="dxa"/>
          </w:tcPr>
          <w:p>
            <w:pPr>
              <w:pStyle w:val="0"/>
              <w:jc w:val="both"/>
            </w:pPr>
            <w:r>
              <w:rPr>
                <w:sz w:val="20"/>
              </w:rPr>
              <w:t xml:space="preserve">ГБУЗС "Городская больница N 4", ВА</w:t>
            </w:r>
          </w:p>
        </w:tc>
        <w:tc>
          <w:tcPr>
            <w:tcW w:w="1474" w:type="dxa"/>
          </w:tcPr>
          <w:p>
            <w:pPr>
              <w:pStyle w:val="0"/>
              <w:jc w:val="center"/>
            </w:pPr>
            <w:r>
              <w:rPr>
                <w:sz w:val="20"/>
              </w:rPr>
              <w:t xml:space="preserve">4516</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5</w:t>
            </w:r>
          </w:p>
        </w:tc>
        <w:tc>
          <w:tcPr>
            <w:tcW w:w="3742" w:type="dxa"/>
          </w:tcPr>
          <w:p>
            <w:pPr>
              <w:pStyle w:val="0"/>
              <w:jc w:val="both"/>
            </w:pPr>
            <w:r>
              <w:rPr>
                <w:sz w:val="20"/>
              </w:rPr>
              <w:t xml:space="preserve">ГБУЗС "Городская больница N 4", ВА</w:t>
            </w:r>
          </w:p>
        </w:tc>
        <w:tc>
          <w:tcPr>
            <w:tcW w:w="1474" w:type="dxa"/>
          </w:tcPr>
          <w:p>
            <w:pPr>
              <w:pStyle w:val="0"/>
              <w:jc w:val="center"/>
            </w:pPr>
            <w:r>
              <w:rPr>
                <w:sz w:val="20"/>
              </w:rPr>
              <w:t xml:space="preserve">846</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23</w:t>
            </w:r>
          </w:p>
        </w:tc>
        <w:tc>
          <w:tcPr>
            <w:tcW w:w="3742" w:type="dxa"/>
          </w:tcPr>
          <w:p>
            <w:pPr>
              <w:pStyle w:val="0"/>
              <w:jc w:val="both"/>
            </w:pPr>
            <w:r>
              <w:rPr>
                <w:sz w:val="20"/>
              </w:rPr>
              <w:t xml:space="preserve">ГБУЗС "Городская больница N 5 - "ЦОЗМиР", 1-е педиатрическое отделение поликлиники N 1</w:t>
            </w:r>
          </w:p>
        </w:tc>
        <w:tc>
          <w:tcPr>
            <w:tcW w:w="1474" w:type="dxa"/>
          </w:tcPr>
          <w:p>
            <w:pPr>
              <w:pStyle w:val="0"/>
              <w:jc w:val="center"/>
            </w:pPr>
            <w:r>
              <w:rPr>
                <w:sz w:val="20"/>
              </w:rPr>
              <w:t xml:space="preserve">7416</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24</w:t>
            </w:r>
          </w:p>
        </w:tc>
        <w:tc>
          <w:tcPr>
            <w:tcW w:w="3742" w:type="dxa"/>
          </w:tcPr>
          <w:p>
            <w:pPr>
              <w:pStyle w:val="0"/>
              <w:jc w:val="both"/>
            </w:pPr>
            <w:r>
              <w:rPr>
                <w:sz w:val="20"/>
              </w:rPr>
              <w:t xml:space="preserve">ГБУЗС "Городская больница N 5 - "ЦОЗМиР", 2-е педиатрическое отделение поликлиники N 1</w:t>
            </w:r>
          </w:p>
        </w:tc>
        <w:tc>
          <w:tcPr>
            <w:tcW w:w="1474" w:type="dxa"/>
          </w:tcPr>
          <w:p>
            <w:pPr>
              <w:pStyle w:val="0"/>
              <w:jc w:val="center"/>
            </w:pPr>
            <w:r>
              <w:rPr>
                <w:sz w:val="20"/>
              </w:rPr>
              <w:t xml:space="preserve">13446</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25</w:t>
            </w:r>
          </w:p>
        </w:tc>
        <w:tc>
          <w:tcPr>
            <w:tcW w:w="3742" w:type="dxa"/>
          </w:tcPr>
          <w:p>
            <w:pPr>
              <w:pStyle w:val="0"/>
              <w:jc w:val="both"/>
            </w:pPr>
            <w:r>
              <w:rPr>
                <w:sz w:val="20"/>
              </w:rPr>
              <w:t xml:space="preserve">ГБУЗС "Городская больница N 5 - "ЦОЗМиР", 3-е педиатрическое отделение поликлиники N 1</w:t>
            </w:r>
          </w:p>
        </w:tc>
        <w:tc>
          <w:tcPr>
            <w:tcW w:w="1474" w:type="dxa"/>
          </w:tcPr>
          <w:p>
            <w:pPr>
              <w:pStyle w:val="0"/>
              <w:jc w:val="center"/>
            </w:pPr>
            <w:r>
              <w:rPr>
                <w:sz w:val="20"/>
              </w:rPr>
              <w:t xml:space="preserve">6442</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26</w:t>
            </w:r>
          </w:p>
        </w:tc>
        <w:tc>
          <w:tcPr>
            <w:tcW w:w="3742" w:type="dxa"/>
          </w:tcPr>
          <w:p>
            <w:pPr>
              <w:pStyle w:val="0"/>
              <w:jc w:val="both"/>
            </w:pPr>
            <w:r>
              <w:rPr>
                <w:sz w:val="20"/>
              </w:rPr>
              <w:t xml:space="preserve">ГБУЗС "Городская больница N 5 - "ЦОЗМиР", 4-е педиатрическое отделение поликлиники N 1</w:t>
            </w:r>
          </w:p>
        </w:tc>
        <w:tc>
          <w:tcPr>
            <w:tcW w:w="1474" w:type="dxa"/>
          </w:tcPr>
          <w:p>
            <w:pPr>
              <w:pStyle w:val="0"/>
              <w:jc w:val="center"/>
            </w:pPr>
            <w:r>
              <w:rPr>
                <w:sz w:val="20"/>
              </w:rPr>
              <w:t xml:space="preserve">6236</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27</w:t>
            </w:r>
          </w:p>
        </w:tc>
        <w:tc>
          <w:tcPr>
            <w:tcW w:w="3742" w:type="dxa"/>
          </w:tcPr>
          <w:p>
            <w:pPr>
              <w:pStyle w:val="0"/>
              <w:jc w:val="both"/>
            </w:pPr>
            <w:r>
              <w:rPr>
                <w:sz w:val="20"/>
              </w:rPr>
              <w:t xml:space="preserve">ГБУЗС "Городская больница N 5 - "ЦОЗМиР", 1-е педиатрическое отделение поликлиники N 2</w:t>
            </w:r>
          </w:p>
        </w:tc>
        <w:tc>
          <w:tcPr>
            <w:tcW w:w="1474" w:type="dxa"/>
          </w:tcPr>
          <w:p>
            <w:pPr>
              <w:pStyle w:val="0"/>
              <w:jc w:val="center"/>
            </w:pPr>
            <w:r>
              <w:rPr>
                <w:sz w:val="20"/>
              </w:rPr>
              <w:t xml:space="preserve">5990</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28</w:t>
            </w:r>
          </w:p>
        </w:tc>
        <w:tc>
          <w:tcPr>
            <w:tcW w:w="3742" w:type="dxa"/>
          </w:tcPr>
          <w:p>
            <w:pPr>
              <w:pStyle w:val="0"/>
              <w:jc w:val="both"/>
            </w:pPr>
            <w:r>
              <w:rPr>
                <w:sz w:val="20"/>
              </w:rPr>
              <w:t xml:space="preserve">ГБУЗС "Городская больница N 5 - "ЦОЗМиР", 2-е педиатрическое отделение поликлиники N 2</w:t>
            </w:r>
          </w:p>
        </w:tc>
        <w:tc>
          <w:tcPr>
            <w:tcW w:w="1474" w:type="dxa"/>
          </w:tcPr>
          <w:p>
            <w:pPr>
              <w:pStyle w:val="0"/>
              <w:jc w:val="center"/>
            </w:pPr>
            <w:r>
              <w:rPr>
                <w:sz w:val="20"/>
              </w:rPr>
              <w:t xml:space="preserve">8961</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29</w:t>
            </w:r>
          </w:p>
        </w:tc>
        <w:tc>
          <w:tcPr>
            <w:tcW w:w="3742" w:type="dxa"/>
          </w:tcPr>
          <w:p>
            <w:pPr>
              <w:pStyle w:val="0"/>
              <w:jc w:val="both"/>
            </w:pPr>
            <w:r>
              <w:rPr>
                <w:sz w:val="20"/>
              </w:rPr>
              <w:t xml:space="preserve">ГБУЗС "Городская больница N 5 - "ЦОЗМиР", 3-е педиатрическое отделение поликлиники N 2</w:t>
            </w:r>
          </w:p>
        </w:tc>
        <w:tc>
          <w:tcPr>
            <w:tcW w:w="1474" w:type="dxa"/>
          </w:tcPr>
          <w:p>
            <w:pPr>
              <w:pStyle w:val="0"/>
              <w:jc w:val="center"/>
            </w:pPr>
            <w:r>
              <w:rPr>
                <w:sz w:val="20"/>
              </w:rPr>
              <w:t xml:space="preserve">6014</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30</w:t>
            </w:r>
          </w:p>
        </w:tc>
        <w:tc>
          <w:tcPr>
            <w:tcW w:w="3742" w:type="dxa"/>
          </w:tcPr>
          <w:p>
            <w:pPr>
              <w:pStyle w:val="0"/>
              <w:jc w:val="both"/>
            </w:pPr>
            <w:r>
              <w:rPr>
                <w:sz w:val="20"/>
              </w:rPr>
              <w:t xml:space="preserve">ГБУЗС "Городская больница N 5 - "ЦОЗМиР", 3-е педиатрическое отделение поликлиники N 2</w:t>
            </w:r>
          </w:p>
        </w:tc>
        <w:tc>
          <w:tcPr>
            <w:tcW w:w="1474" w:type="dxa"/>
          </w:tcPr>
          <w:p>
            <w:pPr>
              <w:pStyle w:val="0"/>
              <w:jc w:val="center"/>
            </w:pPr>
            <w:r>
              <w:rPr>
                <w:sz w:val="20"/>
              </w:rPr>
              <w:t xml:space="preserve">2424</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31</w:t>
            </w:r>
          </w:p>
        </w:tc>
        <w:tc>
          <w:tcPr>
            <w:tcW w:w="3742" w:type="dxa"/>
          </w:tcPr>
          <w:p>
            <w:pPr>
              <w:pStyle w:val="0"/>
              <w:jc w:val="both"/>
            </w:pPr>
            <w:r>
              <w:rPr>
                <w:sz w:val="20"/>
              </w:rPr>
              <w:t xml:space="preserve">ГБУЗС "Городская больница N 5 - "ЦОЗМиР", 4-е педиатрическое отделение поликлиники N 2</w:t>
            </w:r>
          </w:p>
        </w:tc>
        <w:tc>
          <w:tcPr>
            <w:tcW w:w="1474" w:type="dxa"/>
          </w:tcPr>
          <w:p>
            <w:pPr>
              <w:pStyle w:val="0"/>
              <w:jc w:val="center"/>
            </w:pPr>
            <w:r>
              <w:rPr>
                <w:sz w:val="20"/>
              </w:rPr>
              <w:t xml:space="preserve">3643</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32</w:t>
            </w:r>
          </w:p>
        </w:tc>
        <w:tc>
          <w:tcPr>
            <w:tcW w:w="3742" w:type="dxa"/>
          </w:tcPr>
          <w:p>
            <w:pPr>
              <w:pStyle w:val="0"/>
              <w:jc w:val="both"/>
            </w:pPr>
            <w:r>
              <w:rPr>
                <w:sz w:val="20"/>
              </w:rPr>
              <w:t xml:space="preserve">ГБУЗС "Городская больница N 5 - "ЦОЗМиР", 4-е педиатрическое отделение поликлиники N 2</w:t>
            </w:r>
          </w:p>
        </w:tc>
        <w:tc>
          <w:tcPr>
            <w:tcW w:w="1474" w:type="dxa"/>
          </w:tcPr>
          <w:p>
            <w:pPr>
              <w:pStyle w:val="0"/>
              <w:jc w:val="center"/>
            </w:pPr>
            <w:r>
              <w:rPr>
                <w:sz w:val="20"/>
              </w:rPr>
              <w:t xml:space="preserve">3495</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34</w:t>
            </w:r>
          </w:p>
        </w:tc>
        <w:tc>
          <w:tcPr>
            <w:tcW w:w="3742" w:type="dxa"/>
          </w:tcPr>
          <w:p>
            <w:pPr>
              <w:pStyle w:val="0"/>
              <w:jc w:val="both"/>
            </w:pPr>
            <w:r>
              <w:rPr>
                <w:sz w:val="20"/>
              </w:rPr>
              <w:t xml:space="preserve">ГБУЗС "Городская больница N 9", Поликлиника взрослая/детская</w:t>
            </w:r>
          </w:p>
        </w:tc>
        <w:tc>
          <w:tcPr>
            <w:tcW w:w="1474" w:type="dxa"/>
          </w:tcPr>
          <w:p>
            <w:pPr>
              <w:pStyle w:val="0"/>
              <w:jc w:val="center"/>
            </w:pPr>
            <w:r>
              <w:rPr>
                <w:sz w:val="20"/>
              </w:rPr>
              <w:t xml:space="preserve">22076</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35</w:t>
            </w:r>
          </w:p>
        </w:tc>
        <w:tc>
          <w:tcPr>
            <w:tcW w:w="3742" w:type="dxa"/>
          </w:tcPr>
          <w:p>
            <w:pPr>
              <w:pStyle w:val="0"/>
              <w:jc w:val="both"/>
            </w:pPr>
            <w:r>
              <w:rPr>
                <w:sz w:val="20"/>
              </w:rPr>
              <w:t xml:space="preserve">ГБУЗС "Городская больница N 9", взрослая</w:t>
            </w:r>
          </w:p>
        </w:tc>
        <w:tc>
          <w:tcPr>
            <w:tcW w:w="1474" w:type="dxa"/>
          </w:tcPr>
          <w:p>
            <w:pPr>
              <w:pStyle w:val="0"/>
              <w:jc w:val="center"/>
            </w:pPr>
            <w:r>
              <w:rPr>
                <w:sz w:val="20"/>
              </w:rPr>
              <w:t xml:space="preserve">15844</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36</w:t>
            </w:r>
          </w:p>
        </w:tc>
        <w:tc>
          <w:tcPr>
            <w:tcW w:w="3742" w:type="dxa"/>
          </w:tcPr>
          <w:p>
            <w:pPr>
              <w:pStyle w:val="0"/>
              <w:jc w:val="both"/>
            </w:pPr>
            <w:r>
              <w:rPr>
                <w:sz w:val="20"/>
              </w:rPr>
              <w:t xml:space="preserve">ГБУЗС "Городская больница N 9", детство</w:t>
            </w:r>
          </w:p>
        </w:tc>
        <w:tc>
          <w:tcPr>
            <w:tcW w:w="1474" w:type="dxa"/>
          </w:tcPr>
          <w:p>
            <w:pPr>
              <w:pStyle w:val="0"/>
              <w:jc w:val="center"/>
            </w:pPr>
            <w:r>
              <w:rPr>
                <w:sz w:val="20"/>
              </w:rPr>
              <w:t xml:space="preserve">3878</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38</w:t>
            </w:r>
          </w:p>
        </w:tc>
        <w:tc>
          <w:tcPr>
            <w:tcW w:w="3742" w:type="dxa"/>
          </w:tcPr>
          <w:p>
            <w:pPr>
              <w:pStyle w:val="0"/>
              <w:jc w:val="both"/>
            </w:pPr>
            <w:r>
              <w:rPr>
                <w:sz w:val="20"/>
              </w:rPr>
              <w:t xml:space="preserve">ГБУЗС "Городская больница N 9", здравпункт</w:t>
            </w:r>
          </w:p>
        </w:tc>
        <w:tc>
          <w:tcPr>
            <w:tcW w:w="1474" w:type="dxa"/>
          </w:tcPr>
          <w:p>
            <w:pPr>
              <w:pStyle w:val="0"/>
              <w:jc w:val="center"/>
            </w:pPr>
            <w:r>
              <w:rPr>
                <w:sz w:val="20"/>
              </w:rPr>
              <w:t xml:space="preserve">-</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39</w:t>
            </w:r>
          </w:p>
        </w:tc>
        <w:tc>
          <w:tcPr>
            <w:tcW w:w="3742" w:type="dxa"/>
          </w:tcPr>
          <w:p>
            <w:pPr>
              <w:pStyle w:val="0"/>
              <w:jc w:val="both"/>
            </w:pPr>
            <w:r>
              <w:rPr>
                <w:sz w:val="20"/>
              </w:rPr>
              <w:t xml:space="preserve">ГБУЗС "Городская больница N 9", здравпункт</w:t>
            </w:r>
          </w:p>
        </w:tc>
        <w:tc>
          <w:tcPr>
            <w:tcW w:w="1474" w:type="dxa"/>
          </w:tcPr>
          <w:p>
            <w:pPr>
              <w:pStyle w:val="0"/>
              <w:jc w:val="center"/>
            </w:pPr>
            <w:r>
              <w:rPr>
                <w:sz w:val="20"/>
              </w:rPr>
              <w:t xml:space="preserve">-</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6</w:t>
            </w:r>
          </w:p>
        </w:tc>
        <w:tc>
          <w:tcPr>
            <w:tcW w:w="3742" w:type="dxa"/>
          </w:tcPr>
          <w:p>
            <w:pPr>
              <w:pStyle w:val="0"/>
              <w:jc w:val="both"/>
            </w:pPr>
            <w:r>
              <w:rPr>
                <w:sz w:val="20"/>
              </w:rPr>
              <w:t xml:space="preserve">ГБУЗС "Городская больница N 9", ВА</w:t>
            </w:r>
          </w:p>
        </w:tc>
        <w:tc>
          <w:tcPr>
            <w:tcW w:w="1474" w:type="dxa"/>
          </w:tcPr>
          <w:p>
            <w:pPr>
              <w:pStyle w:val="0"/>
              <w:jc w:val="center"/>
            </w:pPr>
            <w:r>
              <w:rPr>
                <w:sz w:val="20"/>
              </w:rPr>
              <w:t xml:space="preserve">5729</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7</w:t>
            </w:r>
          </w:p>
        </w:tc>
        <w:tc>
          <w:tcPr>
            <w:tcW w:w="3742" w:type="dxa"/>
          </w:tcPr>
          <w:p>
            <w:pPr>
              <w:pStyle w:val="0"/>
              <w:jc w:val="both"/>
            </w:pPr>
            <w:r>
              <w:rPr>
                <w:sz w:val="20"/>
              </w:rPr>
              <w:t xml:space="preserve">ГБУЗС "Городская больница N 9", ВА</w:t>
            </w:r>
          </w:p>
        </w:tc>
        <w:tc>
          <w:tcPr>
            <w:tcW w:w="1474" w:type="dxa"/>
          </w:tcPr>
          <w:p>
            <w:pPr>
              <w:pStyle w:val="0"/>
              <w:jc w:val="center"/>
            </w:pPr>
            <w:r>
              <w:rPr>
                <w:sz w:val="20"/>
              </w:rPr>
              <w:t xml:space="preserve">2734</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8</w:t>
            </w:r>
          </w:p>
        </w:tc>
        <w:tc>
          <w:tcPr>
            <w:tcW w:w="3742" w:type="dxa"/>
          </w:tcPr>
          <w:p>
            <w:pPr>
              <w:pStyle w:val="0"/>
              <w:jc w:val="both"/>
            </w:pPr>
            <w:r>
              <w:rPr>
                <w:sz w:val="20"/>
              </w:rPr>
              <w:t xml:space="preserve">ГБУЗС "Городская больница N 9", ВА</w:t>
            </w:r>
          </w:p>
        </w:tc>
        <w:tc>
          <w:tcPr>
            <w:tcW w:w="1474" w:type="dxa"/>
          </w:tcPr>
          <w:p>
            <w:pPr>
              <w:pStyle w:val="0"/>
              <w:jc w:val="center"/>
            </w:pPr>
            <w:r>
              <w:rPr>
                <w:sz w:val="20"/>
              </w:rPr>
              <w:t xml:space="preserve">4758</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5</w:t>
            </w:r>
          </w:p>
        </w:tc>
        <w:tc>
          <w:tcPr>
            <w:tcW w:w="3742" w:type="dxa"/>
          </w:tcPr>
          <w:p>
            <w:pPr>
              <w:pStyle w:val="0"/>
              <w:jc w:val="both"/>
            </w:pPr>
            <w:r>
              <w:rPr>
                <w:sz w:val="20"/>
              </w:rPr>
              <w:t xml:space="preserve">ГБУЗС "Городская больница N 9", ФАП</w:t>
            </w:r>
          </w:p>
        </w:tc>
        <w:tc>
          <w:tcPr>
            <w:tcW w:w="1474" w:type="dxa"/>
          </w:tcPr>
          <w:p>
            <w:pPr>
              <w:pStyle w:val="0"/>
              <w:jc w:val="center"/>
            </w:pPr>
            <w:r>
              <w:rPr>
                <w:sz w:val="20"/>
              </w:rPr>
              <w:t xml:space="preserve">987</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6</w:t>
            </w:r>
          </w:p>
        </w:tc>
        <w:tc>
          <w:tcPr>
            <w:tcW w:w="3742" w:type="dxa"/>
          </w:tcPr>
          <w:p>
            <w:pPr>
              <w:pStyle w:val="0"/>
              <w:jc w:val="both"/>
            </w:pPr>
            <w:r>
              <w:rPr>
                <w:sz w:val="20"/>
              </w:rPr>
              <w:t xml:space="preserve">ГБУЗС "Городская больница N 9", ФАП</w:t>
            </w:r>
          </w:p>
        </w:tc>
        <w:tc>
          <w:tcPr>
            <w:tcW w:w="1474" w:type="dxa"/>
          </w:tcPr>
          <w:p>
            <w:pPr>
              <w:pStyle w:val="0"/>
              <w:jc w:val="center"/>
            </w:pPr>
            <w:r>
              <w:rPr>
                <w:sz w:val="20"/>
              </w:rPr>
              <w:t xml:space="preserve">1264</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7</w:t>
            </w:r>
          </w:p>
        </w:tc>
        <w:tc>
          <w:tcPr>
            <w:tcW w:w="3742" w:type="dxa"/>
          </w:tcPr>
          <w:p>
            <w:pPr>
              <w:pStyle w:val="0"/>
              <w:jc w:val="both"/>
            </w:pPr>
            <w:r>
              <w:rPr>
                <w:sz w:val="20"/>
              </w:rPr>
              <w:t xml:space="preserve">ГБУЗС "Городская больница N 9", ФАП</w:t>
            </w:r>
          </w:p>
        </w:tc>
        <w:tc>
          <w:tcPr>
            <w:tcW w:w="1474" w:type="dxa"/>
          </w:tcPr>
          <w:p>
            <w:pPr>
              <w:pStyle w:val="0"/>
              <w:jc w:val="center"/>
            </w:pPr>
            <w:r>
              <w:rPr>
                <w:sz w:val="20"/>
              </w:rPr>
              <w:t xml:space="preserve">823</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8</w:t>
            </w:r>
          </w:p>
        </w:tc>
        <w:tc>
          <w:tcPr>
            <w:tcW w:w="3742" w:type="dxa"/>
          </w:tcPr>
          <w:p>
            <w:pPr>
              <w:pStyle w:val="0"/>
              <w:jc w:val="both"/>
            </w:pPr>
            <w:r>
              <w:rPr>
                <w:sz w:val="20"/>
              </w:rPr>
              <w:t xml:space="preserve">ГБУЗС "Городская больница N 9", ФАП</w:t>
            </w:r>
          </w:p>
        </w:tc>
        <w:tc>
          <w:tcPr>
            <w:tcW w:w="1474" w:type="dxa"/>
          </w:tcPr>
          <w:p>
            <w:pPr>
              <w:pStyle w:val="0"/>
              <w:jc w:val="center"/>
            </w:pPr>
            <w:r>
              <w:rPr>
                <w:sz w:val="20"/>
              </w:rPr>
              <w:t xml:space="preserve">954</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9</w:t>
            </w:r>
          </w:p>
        </w:tc>
        <w:tc>
          <w:tcPr>
            <w:tcW w:w="3742" w:type="dxa"/>
          </w:tcPr>
          <w:p>
            <w:pPr>
              <w:pStyle w:val="0"/>
              <w:jc w:val="both"/>
            </w:pPr>
            <w:r>
              <w:rPr>
                <w:sz w:val="20"/>
              </w:rPr>
              <w:t xml:space="preserve">ГБУЗС "Городская больница N 9", ФАП</w:t>
            </w:r>
          </w:p>
        </w:tc>
        <w:tc>
          <w:tcPr>
            <w:tcW w:w="1474" w:type="dxa"/>
          </w:tcPr>
          <w:p>
            <w:pPr>
              <w:pStyle w:val="0"/>
              <w:jc w:val="center"/>
            </w:pPr>
            <w:r>
              <w:rPr>
                <w:sz w:val="20"/>
              </w:rPr>
              <w:t xml:space="preserve">967</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10</w:t>
            </w:r>
          </w:p>
        </w:tc>
        <w:tc>
          <w:tcPr>
            <w:tcW w:w="3742" w:type="dxa"/>
          </w:tcPr>
          <w:p>
            <w:pPr>
              <w:pStyle w:val="0"/>
              <w:jc w:val="both"/>
            </w:pPr>
            <w:r>
              <w:rPr>
                <w:sz w:val="20"/>
              </w:rPr>
              <w:t xml:space="preserve">ГБУЗС "Городская больница N 9", ФАП</w:t>
            </w:r>
          </w:p>
        </w:tc>
        <w:tc>
          <w:tcPr>
            <w:tcW w:w="1474" w:type="dxa"/>
          </w:tcPr>
          <w:p>
            <w:pPr>
              <w:pStyle w:val="0"/>
              <w:jc w:val="center"/>
            </w:pPr>
            <w:r>
              <w:rPr>
                <w:sz w:val="20"/>
              </w:rPr>
              <w:t xml:space="preserve">895</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11</w:t>
            </w:r>
          </w:p>
        </w:tc>
        <w:tc>
          <w:tcPr>
            <w:tcW w:w="3742" w:type="dxa"/>
          </w:tcPr>
          <w:p>
            <w:pPr>
              <w:pStyle w:val="0"/>
              <w:jc w:val="both"/>
            </w:pPr>
            <w:r>
              <w:rPr>
                <w:sz w:val="20"/>
              </w:rPr>
              <w:t xml:space="preserve">ГБУЗС "Городская больница N 9", ФАП</w:t>
            </w:r>
          </w:p>
        </w:tc>
        <w:tc>
          <w:tcPr>
            <w:tcW w:w="1474" w:type="dxa"/>
          </w:tcPr>
          <w:p>
            <w:pPr>
              <w:pStyle w:val="0"/>
              <w:jc w:val="center"/>
            </w:pPr>
            <w:r>
              <w:rPr>
                <w:sz w:val="20"/>
              </w:rPr>
              <w:t xml:space="preserve">973</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r>
        <w:tc>
          <w:tcPr>
            <w:tcW w:w="664" w:type="dxa"/>
          </w:tcPr>
          <w:p>
            <w:pPr>
              <w:pStyle w:val="0"/>
              <w:jc w:val="center"/>
            </w:pPr>
            <w:r>
              <w:rPr>
                <w:sz w:val="20"/>
              </w:rPr>
              <w:t xml:space="preserve">12</w:t>
            </w:r>
          </w:p>
        </w:tc>
        <w:tc>
          <w:tcPr>
            <w:tcW w:w="3742" w:type="dxa"/>
          </w:tcPr>
          <w:p>
            <w:pPr>
              <w:pStyle w:val="0"/>
              <w:jc w:val="both"/>
            </w:pPr>
            <w:r>
              <w:rPr>
                <w:sz w:val="20"/>
              </w:rPr>
              <w:t xml:space="preserve">ГБУЗС "Городская больница N 9", ФАП</w:t>
            </w:r>
          </w:p>
        </w:tc>
        <w:tc>
          <w:tcPr>
            <w:tcW w:w="1474" w:type="dxa"/>
          </w:tcPr>
          <w:p>
            <w:pPr>
              <w:pStyle w:val="0"/>
              <w:jc w:val="center"/>
            </w:pPr>
            <w:r>
              <w:rPr>
                <w:sz w:val="20"/>
              </w:rPr>
              <w:t xml:space="preserve">470</w:t>
            </w:r>
          </w:p>
        </w:tc>
        <w:tc>
          <w:tcPr>
            <w:tcW w:w="1757" w:type="dxa"/>
          </w:tcPr>
          <w:p>
            <w:pPr>
              <w:pStyle w:val="0"/>
              <w:jc w:val="center"/>
            </w:pPr>
            <w:r>
              <w:rPr>
                <w:sz w:val="20"/>
              </w:rPr>
              <w:t xml:space="preserve">-</w:t>
            </w:r>
          </w:p>
        </w:tc>
        <w:tc>
          <w:tcPr>
            <w:tcW w:w="1417" w:type="dxa"/>
          </w:tcPr>
          <w:p>
            <w:pPr>
              <w:pStyle w:val="0"/>
              <w:jc w:val="center"/>
            </w:pPr>
            <w:r>
              <w:rPr>
                <w:sz w:val="20"/>
              </w:rPr>
              <w:t xml:space="preserve">-</w:t>
            </w:r>
          </w:p>
        </w:tc>
      </w:tr>
    </w:tbl>
    <w:p>
      <w:pPr>
        <w:pStyle w:val="0"/>
      </w:pPr>
      <w:r>
        <w:rPr>
          <w:sz w:val="20"/>
        </w:rPr>
      </w:r>
    </w:p>
    <w:p>
      <w:pPr>
        <w:pStyle w:val="0"/>
        <w:outlineLvl w:val="3"/>
        <w:jc w:val="right"/>
      </w:pPr>
      <w:r>
        <w:rPr>
          <w:sz w:val="20"/>
        </w:rPr>
        <w:t xml:space="preserve">Рисунок 5</w:t>
      </w:r>
    </w:p>
    <w:p>
      <w:pPr>
        <w:pStyle w:val="0"/>
        <w:jc w:val="center"/>
      </w:pPr>
      <w:r>
        <w:rPr>
          <w:sz w:val="20"/>
        </w:rPr>
      </w:r>
    </w:p>
    <w:p>
      <w:pPr>
        <w:pStyle w:val="2"/>
        <w:jc w:val="center"/>
      </w:pPr>
      <w:r>
        <w:rPr>
          <w:sz w:val="20"/>
        </w:rPr>
        <w:t xml:space="preserve">Карта-схема размещения на территории города Севастополя</w:t>
      </w:r>
    </w:p>
    <w:p>
      <w:pPr>
        <w:pStyle w:val="2"/>
        <w:jc w:val="center"/>
      </w:pPr>
      <w:r>
        <w:rPr>
          <w:sz w:val="20"/>
        </w:rPr>
        <w:t xml:space="preserve">медицинских организаций, оказывающих первичную</w:t>
      </w:r>
    </w:p>
    <w:p>
      <w:pPr>
        <w:pStyle w:val="2"/>
        <w:jc w:val="center"/>
      </w:pPr>
      <w:r>
        <w:rPr>
          <w:sz w:val="20"/>
        </w:rPr>
        <w:t xml:space="preserve">медико-санитарную помощь</w:t>
      </w:r>
    </w:p>
    <w:p>
      <w:pPr>
        <w:pStyle w:val="0"/>
        <w:jc w:val="center"/>
      </w:pPr>
      <w:r>
        <w:rPr>
          <w:sz w:val="20"/>
        </w:rPr>
      </w:r>
    </w:p>
    <w:p>
      <w:pPr>
        <w:pStyle w:val="2"/>
        <w:outlineLvl w:val="4"/>
        <w:jc w:val="center"/>
      </w:pPr>
      <w:r>
        <w:rPr>
          <w:sz w:val="20"/>
        </w:rPr>
        <w:t xml:space="preserve">Балаклавский район города Севастополя, город Инкерман</w:t>
      </w:r>
    </w:p>
    <w:p>
      <w:pPr>
        <w:pStyle w:val="0"/>
        <w:jc w:val="center"/>
      </w:pPr>
      <w:r>
        <w:rPr>
          <w:sz w:val="20"/>
        </w:rPr>
      </w:r>
    </w:p>
    <w:p>
      <w:pPr>
        <w:pStyle w:val="0"/>
        <w:jc w:val="center"/>
      </w:pPr>
      <w:r>
        <w:rPr>
          <w:position w:val="-206"/>
        </w:rPr>
        <w:drawing>
          <wp:inline distT="0" distB="0" distL="0" distR="0">
            <wp:extent cx="5041265" cy="27489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a:extLst>
                        <a:ext uri="{28A0092B-C50C-407E-A947-70E740481C1C}">
                          <a14:useLocalDpi xmlns:a14="http://schemas.microsoft.com/office/drawing/2010/main" val="0"/>
                        </a:ext>
                      </a:extLst>
                    </a:blip>
                    <a:srcRect/>
                    <a:stretch>
                      <a:fillRect/>
                    </a:stretch>
                  </pic:blipFill>
                  <pic:spPr bwMode="auto">
                    <a:xfrm>
                      <a:off x="0" y="0"/>
                      <a:ext cx="5041265" cy="2748915"/>
                    </a:xfrm>
                    <a:prstGeom prst="rect">
                      <a:avLst/>
                    </a:prstGeom>
                    <a:noFill/>
                    <a:ln>
                      <a:noFill/>
                    </a:ln>
                  </pic:spPr>
                </pic:pic>
              </a:graphicData>
            </a:graphic>
          </wp:inline>
        </w:drawing>
      </w:r>
    </w:p>
    <w:p>
      <w:pPr>
        <w:pStyle w:val="0"/>
        <w:jc w:val="right"/>
      </w:pPr>
      <w:r>
        <w:rPr>
          <w:sz w:val="20"/>
        </w:rPr>
      </w:r>
    </w:p>
    <w:p>
      <w:pPr>
        <w:pStyle w:val="0"/>
        <w:outlineLvl w:val="3"/>
        <w:jc w:val="right"/>
      </w:pPr>
      <w:r>
        <w:rPr>
          <w:sz w:val="20"/>
        </w:rPr>
        <w:t xml:space="preserve">Рисунок 6</w:t>
      </w:r>
    </w:p>
    <w:p>
      <w:pPr>
        <w:pStyle w:val="0"/>
        <w:jc w:val="center"/>
      </w:pPr>
      <w:r>
        <w:rPr>
          <w:sz w:val="20"/>
        </w:rPr>
      </w:r>
    </w:p>
    <w:p>
      <w:pPr>
        <w:pStyle w:val="2"/>
        <w:jc w:val="center"/>
      </w:pPr>
      <w:r>
        <w:rPr>
          <w:sz w:val="20"/>
        </w:rPr>
        <w:t xml:space="preserve">Карта-схема размещения на территории города Севастополя</w:t>
      </w:r>
    </w:p>
    <w:p>
      <w:pPr>
        <w:pStyle w:val="2"/>
        <w:jc w:val="center"/>
      </w:pPr>
      <w:r>
        <w:rPr>
          <w:sz w:val="20"/>
        </w:rPr>
        <w:t xml:space="preserve">медицинских организаций, оказывающих первичную</w:t>
      </w:r>
    </w:p>
    <w:p>
      <w:pPr>
        <w:pStyle w:val="2"/>
        <w:jc w:val="center"/>
      </w:pPr>
      <w:r>
        <w:rPr>
          <w:sz w:val="20"/>
        </w:rPr>
        <w:t xml:space="preserve">медико-санитарную помощь</w:t>
      </w:r>
    </w:p>
    <w:p>
      <w:pPr>
        <w:pStyle w:val="0"/>
        <w:jc w:val="center"/>
      </w:pPr>
      <w:r>
        <w:rPr>
          <w:sz w:val="20"/>
        </w:rPr>
      </w:r>
    </w:p>
    <w:p>
      <w:pPr>
        <w:pStyle w:val="2"/>
        <w:outlineLvl w:val="4"/>
        <w:jc w:val="center"/>
      </w:pPr>
      <w:r>
        <w:rPr>
          <w:sz w:val="20"/>
        </w:rPr>
        <w:t xml:space="preserve">Северная сторона</w:t>
      </w:r>
    </w:p>
    <w:p>
      <w:pPr>
        <w:pStyle w:val="0"/>
        <w:jc w:val="center"/>
      </w:pPr>
      <w:r>
        <w:rPr>
          <w:sz w:val="20"/>
        </w:rPr>
      </w:r>
    </w:p>
    <w:p>
      <w:pPr>
        <w:pStyle w:val="0"/>
        <w:jc w:val="center"/>
      </w:pPr>
      <w:r>
        <w:rPr>
          <w:position w:val="-211"/>
        </w:rPr>
        <w:drawing>
          <wp:inline distT="0" distB="0" distL="0" distR="0">
            <wp:extent cx="5041265" cy="280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a:extLst>
                        <a:ext uri="{28A0092B-C50C-407E-A947-70E740481C1C}">
                          <a14:useLocalDpi xmlns:a14="http://schemas.microsoft.com/office/drawing/2010/main" val="0"/>
                        </a:ext>
                      </a:extLst>
                    </a:blip>
                    <a:srcRect/>
                    <a:stretch>
                      <a:fillRect/>
                    </a:stretch>
                  </pic:blipFill>
                  <pic:spPr bwMode="auto">
                    <a:xfrm>
                      <a:off x="0" y="0"/>
                      <a:ext cx="5041265" cy="2809875"/>
                    </a:xfrm>
                    <a:prstGeom prst="rect">
                      <a:avLst/>
                    </a:prstGeom>
                    <a:noFill/>
                    <a:ln>
                      <a:noFill/>
                    </a:ln>
                  </pic:spPr>
                </pic:pic>
              </a:graphicData>
            </a:graphic>
          </wp:inline>
        </w:drawing>
      </w:r>
    </w:p>
    <w:p>
      <w:pPr>
        <w:pStyle w:val="0"/>
      </w:pPr>
      <w:r>
        <w:rPr>
          <w:sz w:val="20"/>
        </w:rPr>
      </w:r>
    </w:p>
    <w:p>
      <w:pPr>
        <w:pStyle w:val="0"/>
        <w:outlineLvl w:val="3"/>
        <w:jc w:val="right"/>
      </w:pPr>
      <w:r>
        <w:rPr>
          <w:sz w:val="20"/>
        </w:rPr>
        <w:t xml:space="preserve">Таблица 6</w:t>
      </w:r>
    </w:p>
    <w:p>
      <w:pPr>
        <w:pStyle w:val="0"/>
      </w:pPr>
      <w:r>
        <w:rPr>
          <w:sz w:val="20"/>
        </w:rPr>
      </w:r>
    </w:p>
    <w:p>
      <w:pPr>
        <w:pStyle w:val="2"/>
        <w:jc w:val="center"/>
      </w:pPr>
      <w:r>
        <w:rPr>
          <w:sz w:val="20"/>
        </w:rPr>
        <w:t xml:space="preserve">Медицинские организации и их структурные подразделения,</w:t>
      </w:r>
    </w:p>
    <w:p>
      <w:pPr>
        <w:pStyle w:val="2"/>
        <w:jc w:val="center"/>
      </w:pPr>
      <w:r>
        <w:rPr>
          <w:sz w:val="20"/>
        </w:rPr>
        <w:t xml:space="preserve">на базе которых оказывается первичная медико-санитарная</w:t>
      </w:r>
    </w:p>
    <w:p>
      <w:pPr>
        <w:pStyle w:val="2"/>
        <w:jc w:val="center"/>
      </w:pPr>
      <w:r>
        <w:rPr>
          <w:sz w:val="20"/>
        </w:rPr>
        <w:t xml:space="preserve">помощь населению, по состоянию к 2025 году</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4"/>
        <w:gridCol w:w="3685"/>
        <w:gridCol w:w="2665"/>
        <w:gridCol w:w="2268"/>
        <w:gridCol w:w="1928"/>
        <w:gridCol w:w="2381"/>
      </w:tblGrid>
      <w:tr>
        <w:tc>
          <w:tcPr>
            <w:tcW w:w="664" w:type="dxa"/>
          </w:tcPr>
          <w:p>
            <w:pPr>
              <w:pStyle w:val="0"/>
              <w:jc w:val="center"/>
            </w:pPr>
            <w:r>
              <w:rPr>
                <w:sz w:val="20"/>
              </w:rPr>
              <w:t xml:space="preserve">N на карте</w:t>
            </w:r>
          </w:p>
        </w:tc>
        <w:tc>
          <w:tcPr>
            <w:tcW w:w="3685" w:type="dxa"/>
          </w:tcPr>
          <w:p>
            <w:pPr>
              <w:pStyle w:val="0"/>
              <w:jc w:val="center"/>
            </w:pPr>
            <w:r>
              <w:rPr>
                <w:sz w:val="20"/>
              </w:rPr>
              <w:t xml:space="preserve">Наименование медицинской организации</w:t>
            </w:r>
          </w:p>
        </w:tc>
        <w:tc>
          <w:tcPr>
            <w:tcW w:w="2665" w:type="dxa"/>
          </w:tcPr>
          <w:p>
            <w:pPr>
              <w:pStyle w:val="0"/>
              <w:jc w:val="center"/>
            </w:pPr>
            <w:r>
              <w:rPr>
                <w:sz w:val="20"/>
              </w:rPr>
              <w:t xml:space="preserve">Тип медицинской организации</w:t>
            </w:r>
          </w:p>
        </w:tc>
        <w:tc>
          <w:tcPr>
            <w:tcW w:w="2268" w:type="dxa"/>
          </w:tcPr>
          <w:p>
            <w:pPr>
              <w:pStyle w:val="0"/>
              <w:jc w:val="center"/>
            </w:pPr>
            <w:r>
              <w:rPr>
                <w:sz w:val="20"/>
              </w:rPr>
              <w:t xml:space="preserve">Обслуживаемые населенные пункты</w:t>
            </w:r>
          </w:p>
        </w:tc>
        <w:tc>
          <w:tcPr>
            <w:tcW w:w="1928" w:type="dxa"/>
          </w:tcPr>
          <w:p>
            <w:pPr>
              <w:pStyle w:val="0"/>
              <w:jc w:val="center"/>
            </w:pPr>
            <w:r>
              <w:rPr>
                <w:sz w:val="20"/>
              </w:rPr>
              <w:t xml:space="preserve">Мощность (посещений в смену)</w:t>
            </w:r>
          </w:p>
        </w:tc>
        <w:tc>
          <w:tcPr>
            <w:tcW w:w="2381" w:type="dxa"/>
          </w:tcPr>
          <w:p>
            <w:pPr>
              <w:pStyle w:val="0"/>
              <w:jc w:val="center"/>
            </w:pPr>
            <w:r>
              <w:rPr>
                <w:sz w:val="20"/>
              </w:rPr>
              <w:t xml:space="preserve">Строительство нового объекта либо изменение типа МО</w:t>
            </w:r>
          </w:p>
        </w:tc>
      </w:tr>
      <w:tr>
        <w:tc>
          <w:tcPr>
            <w:tcW w:w="664" w:type="dxa"/>
          </w:tcPr>
          <w:p>
            <w:pPr>
              <w:pStyle w:val="0"/>
              <w:jc w:val="center"/>
            </w:pPr>
            <w:r>
              <w:rPr>
                <w:sz w:val="20"/>
              </w:rPr>
              <w:t xml:space="preserve">1</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Поликлиника N 1</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250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2</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Поликлиника N 2</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550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3</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Поликлиника N 3</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200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4</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Поликлиника N 4</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400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6</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Поликлиника N 5</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320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8</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Поликлиническое отделение</w:t>
            </w:r>
          </w:p>
        </w:tc>
        <w:tc>
          <w:tcPr>
            <w:tcW w:w="2268" w:type="dxa"/>
          </w:tcPr>
          <w:p>
            <w:pPr>
              <w:pStyle w:val="0"/>
              <w:jc w:val="both"/>
            </w:pPr>
            <w:r>
              <w:rPr>
                <w:sz w:val="20"/>
              </w:rPr>
              <w:t xml:space="preserve">г. Севастополь</w:t>
            </w:r>
          </w:p>
        </w:tc>
        <w:tc>
          <w:tcPr>
            <w:tcW w:w="1928" w:type="dxa"/>
          </w:tcPr>
          <w:p>
            <w:pPr>
              <w:pStyle w:val="0"/>
              <w:jc w:val="center"/>
            </w:pPr>
            <w:r>
              <w:rPr>
                <w:sz w:val="20"/>
              </w:rPr>
            </w:r>
          </w:p>
        </w:tc>
        <w:tc>
          <w:tcPr>
            <w:tcW w:w="2381" w:type="dxa"/>
          </w:tcPr>
          <w:p>
            <w:pPr>
              <w:pStyle w:val="0"/>
              <w:jc w:val="both"/>
            </w:pPr>
            <w:r>
              <w:rPr>
                <w:sz w:val="20"/>
              </w:rPr>
              <w:t xml:space="preserve">нет</w:t>
            </w:r>
          </w:p>
        </w:tc>
      </w:tr>
      <w:tr>
        <w:tc>
          <w:tcPr>
            <w:tcW w:w="664" w:type="dxa"/>
          </w:tcPr>
          <w:p>
            <w:pPr>
              <w:pStyle w:val="0"/>
              <w:jc w:val="center"/>
            </w:pPr>
            <w:r>
              <w:rPr>
                <w:sz w:val="20"/>
              </w:rPr>
              <w:t xml:space="preserve">9</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Поликлиническое отделение</w:t>
            </w:r>
          </w:p>
        </w:tc>
        <w:tc>
          <w:tcPr>
            <w:tcW w:w="2268" w:type="dxa"/>
          </w:tcPr>
          <w:p>
            <w:pPr>
              <w:pStyle w:val="0"/>
              <w:jc w:val="both"/>
            </w:pPr>
            <w:r>
              <w:rPr>
                <w:sz w:val="20"/>
              </w:rPr>
              <w:t xml:space="preserve">г. Севастополь</w:t>
            </w:r>
          </w:p>
        </w:tc>
        <w:tc>
          <w:tcPr>
            <w:tcW w:w="1928" w:type="dxa"/>
          </w:tcPr>
          <w:p>
            <w:pPr>
              <w:pStyle w:val="0"/>
              <w:jc w:val="center"/>
            </w:pPr>
            <w:r>
              <w:rPr>
                <w:sz w:val="20"/>
              </w:rPr>
            </w:r>
          </w:p>
        </w:tc>
        <w:tc>
          <w:tcPr>
            <w:tcW w:w="2381" w:type="dxa"/>
          </w:tcPr>
          <w:p>
            <w:pPr>
              <w:pStyle w:val="0"/>
              <w:jc w:val="both"/>
            </w:pPr>
            <w:r>
              <w:rPr>
                <w:sz w:val="20"/>
              </w:rPr>
              <w:t xml:space="preserve">нет</w:t>
            </w:r>
          </w:p>
        </w:tc>
      </w:tr>
      <w:tr>
        <w:tc>
          <w:tcPr>
            <w:tcW w:w="664" w:type="dxa"/>
          </w:tcPr>
          <w:p>
            <w:pPr>
              <w:pStyle w:val="0"/>
              <w:jc w:val="center"/>
            </w:pPr>
            <w:r>
              <w:rPr>
                <w:sz w:val="20"/>
              </w:rPr>
              <w:t xml:space="preserve">10</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Амбулатория общей практики и семейной медицины</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120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17</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Поликлиника взрослая</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320</w:t>
            </w:r>
          </w:p>
        </w:tc>
        <w:tc>
          <w:tcPr>
            <w:tcW w:w="2381" w:type="dxa"/>
          </w:tcPr>
          <w:p>
            <w:pPr>
              <w:pStyle w:val="0"/>
              <w:jc w:val="both"/>
            </w:pPr>
            <w:r>
              <w:rPr>
                <w:sz w:val="20"/>
              </w:rPr>
              <w:t xml:space="preserve">строительство</w:t>
            </w:r>
          </w:p>
        </w:tc>
      </w:tr>
      <w:tr>
        <w:tc>
          <w:tcPr>
            <w:tcW w:w="664" w:type="dxa"/>
          </w:tcPr>
          <w:p>
            <w:pPr>
              <w:pStyle w:val="0"/>
              <w:jc w:val="center"/>
            </w:pPr>
            <w:r>
              <w:rPr>
                <w:sz w:val="20"/>
              </w:rPr>
              <w:t xml:space="preserve">6</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Поликлиника взрослая</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320</w:t>
            </w:r>
          </w:p>
        </w:tc>
        <w:tc>
          <w:tcPr>
            <w:tcW w:w="2381" w:type="dxa"/>
          </w:tcPr>
          <w:p>
            <w:pPr>
              <w:pStyle w:val="0"/>
              <w:jc w:val="both"/>
            </w:pPr>
            <w:r>
              <w:rPr>
                <w:sz w:val="20"/>
              </w:rPr>
              <w:t xml:space="preserve">строительство (ФЦП)</w:t>
            </w:r>
          </w:p>
        </w:tc>
      </w:tr>
      <w:tr>
        <w:tc>
          <w:tcPr>
            <w:tcW w:w="664" w:type="dxa"/>
          </w:tcPr>
          <w:p>
            <w:pPr>
              <w:pStyle w:val="0"/>
              <w:jc w:val="center"/>
            </w:pPr>
            <w:r>
              <w:rPr>
                <w:sz w:val="20"/>
              </w:rPr>
              <w:t xml:space="preserve">9</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Поликлиника взрослая</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320</w:t>
            </w:r>
          </w:p>
        </w:tc>
        <w:tc>
          <w:tcPr>
            <w:tcW w:w="2381" w:type="dxa"/>
          </w:tcPr>
          <w:p>
            <w:pPr>
              <w:pStyle w:val="0"/>
              <w:jc w:val="both"/>
            </w:pPr>
            <w:r>
              <w:rPr>
                <w:sz w:val="20"/>
              </w:rPr>
              <w:t xml:space="preserve">строительство (ФЦП)</w:t>
            </w:r>
          </w:p>
        </w:tc>
      </w:tr>
      <w:tr>
        <w:tc>
          <w:tcPr>
            <w:tcW w:w="664" w:type="dxa"/>
          </w:tcPr>
          <w:p>
            <w:pPr>
              <w:pStyle w:val="0"/>
              <w:jc w:val="center"/>
            </w:pPr>
            <w:r>
              <w:rPr>
                <w:sz w:val="20"/>
              </w:rPr>
              <w:t xml:space="preserve">17</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Поликлиника взрослая</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250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18</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Поликлиника детская</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250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1</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ФАП</w:t>
            </w:r>
          </w:p>
        </w:tc>
        <w:tc>
          <w:tcPr>
            <w:tcW w:w="2268" w:type="dxa"/>
          </w:tcPr>
          <w:p>
            <w:pPr>
              <w:pStyle w:val="0"/>
              <w:jc w:val="both"/>
            </w:pPr>
            <w:r>
              <w:rPr>
                <w:sz w:val="20"/>
              </w:rPr>
              <w:t xml:space="preserve">с. Андреевка</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2</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ФАП</w:t>
            </w:r>
          </w:p>
        </w:tc>
        <w:tc>
          <w:tcPr>
            <w:tcW w:w="2268" w:type="dxa"/>
          </w:tcPr>
          <w:p>
            <w:pPr>
              <w:pStyle w:val="0"/>
              <w:jc w:val="both"/>
            </w:pPr>
            <w:r>
              <w:rPr>
                <w:sz w:val="20"/>
              </w:rPr>
              <w:t xml:space="preserve">с. Фронтовое</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3</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ФАП</w:t>
            </w:r>
          </w:p>
        </w:tc>
        <w:tc>
          <w:tcPr>
            <w:tcW w:w="2268" w:type="dxa"/>
          </w:tcPr>
          <w:p>
            <w:pPr>
              <w:pStyle w:val="0"/>
              <w:jc w:val="both"/>
            </w:pPr>
            <w:r>
              <w:rPr>
                <w:sz w:val="20"/>
              </w:rPr>
              <w:t xml:space="preserve">с. Дальнее</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4</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ФАП</w:t>
            </w:r>
          </w:p>
        </w:tc>
        <w:tc>
          <w:tcPr>
            <w:tcW w:w="2268" w:type="dxa"/>
          </w:tcPr>
          <w:p>
            <w:pPr>
              <w:pStyle w:val="0"/>
              <w:jc w:val="both"/>
            </w:pPr>
            <w:r>
              <w:rPr>
                <w:sz w:val="20"/>
              </w:rPr>
              <w:t xml:space="preserve">с. Поворотное</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16</w:t>
            </w:r>
          </w:p>
        </w:tc>
        <w:tc>
          <w:tcPr>
            <w:tcW w:w="3685" w:type="dxa"/>
          </w:tcPr>
          <w:p>
            <w:pPr>
              <w:pStyle w:val="0"/>
              <w:jc w:val="both"/>
            </w:pPr>
            <w:r>
              <w:rPr>
                <w:sz w:val="20"/>
              </w:rPr>
              <w:t xml:space="preserve">ГБУЗС "Городская больница N 1 им Н.И. Пирогова"</w:t>
            </w:r>
          </w:p>
        </w:tc>
        <w:tc>
          <w:tcPr>
            <w:tcW w:w="2665" w:type="dxa"/>
          </w:tcPr>
          <w:p>
            <w:pPr>
              <w:pStyle w:val="0"/>
              <w:jc w:val="both"/>
            </w:pPr>
            <w:r>
              <w:rPr>
                <w:sz w:val="20"/>
              </w:rPr>
              <w:t xml:space="preserve">ВА</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100</w:t>
            </w:r>
          </w:p>
        </w:tc>
        <w:tc>
          <w:tcPr>
            <w:tcW w:w="2381" w:type="dxa"/>
          </w:tcPr>
          <w:p>
            <w:pPr>
              <w:pStyle w:val="0"/>
              <w:jc w:val="both"/>
            </w:pPr>
            <w:r>
              <w:rPr>
                <w:sz w:val="20"/>
              </w:rPr>
              <w:t xml:space="preserve">строительство</w:t>
            </w:r>
          </w:p>
        </w:tc>
      </w:tr>
      <w:tr>
        <w:tc>
          <w:tcPr>
            <w:tcW w:w="664" w:type="dxa"/>
          </w:tcPr>
          <w:p>
            <w:pPr>
              <w:pStyle w:val="0"/>
              <w:jc w:val="center"/>
            </w:pPr>
            <w:r>
              <w:rPr>
                <w:sz w:val="20"/>
              </w:rPr>
              <w:t xml:space="preserve">1</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ВА</w:t>
            </w:r>
          </w:p>
        </w:tc>
        <w:tc>
          <w:tcPr>
            <w:tcW w:w="2268" w:type="dxa"/>
          </w:tcPr>
          <w:p>
            <w:pPr>
              <w:pStyle w:val="0"/>
              <w:jc w:val="both"/>
            </w:pPr>
            <w:r>
              <w:rPr>
                <w:sz w:val="20"/>
              </w:rPr>
              <w:t xml:space="preserve">п. Солнечный</w:t>
            </w:r>
          </w:p>
        </w:tc>
        <w:tc>
          <w:tcPr>
            <w:tcW w:w="1928" w:type="dxa"/>
          </w:tcPr>
          <w:p>
            <w:pPr>
              <w:pStyle w:val="0"/>
              <w:jc w:val="center"/>
            </w:pPr>
            <w:r>
              <w:rPr>
                <w:sz w:val="20"/>
              </w:rPr>
              <w:t xml:space="preserve">60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2</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ВА</w:t>
            </w:r>
          </w:p>
        </w:tc>
        <w:tc>
          <w:tcPr>
            <w:tcW w:w="2268" w:type="dxa"/>
          </w:tcPr>
          <w:p>
            <w:pPr>
              <w:pStyle w:val="0"/>
              <w:jc w:val="both"/>
            </w:pPr>
            <w:r>
              <w:rPr>
                <w:sz w:val="20"/>
              </w:rPr>
              <w:t xml:space="preserve">с. Осипенко</w:t>
            </w:r>
          </w:p>
        </w:tc>
        <w:tc>
          <w:tcPr>
            <w:tcW w:w="1928" w:type="dxa"/>
          </w:tcPr>
          <w:p>
            <w:pPr>
              <w:pStyle w:val="0"/>
              <w:jc w:val="center"/>
            </w:pPr>
            <w:r>
              <w:rPr>
                <w:sz w:val="20"/>
              </w:rPr>
              <w:t xml:space="preserve">60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3</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ВА</w:t>
            </w:r>
          </w:p>
        </w:tc>
        <w:tc>
          <w:tcPr>
            <w:tcW w:w="2268" w:type="dxa"/>
          </w:tcPr>
          <w:p>
            <w:pPr>
              <w:pStyle w:val="0"/>
              <w:jc w:val="both"/>
            </w:pPr>
            <w:r>
              <w:rPr>
                <w:sz w:val="20"/>
              </w:rPr>
              <w:t xml:space="preserve">с. Верхнесадовое</w:t>
            </w:r>
          </w:p>
        </w:tc>
        <w:tc>
          <w:tcPr>
            <w:tcW w:w="1928" w:type="dxa"/>
          </w:tcPr>
          <w:p>
            <w:pPr>
              <w:pStyle w:val="0"/>
              <w:jc w:val="center"/>
            </w:pPr>
            <w:r>
              <w:rPr>
                <w:sz w:val="20"/>
              </w:rPr>
              <w:t xml:space="preserve">60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4</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ВА</w:t>
            </w:r>
          </w:p>
        </w:tc>
        <w:tc>
          <w:tcPr>
            <w:tcW w:w="2268" w:type="dxa"/>
          </w:tcPr>
          <w:p>
            <w:pPr>
              <w:pStyle w:val="0"/>
              <w:jc w:val="both"/>
            </w:pPr>
            <w:r>
              <w:rPr>
                <w:sz w:val="20"/>
              </w:rPr>
              <w:t xml:space="preserve">п. Кача</w:t>
            </w:r>
          </w:p>
        </w:tc>
        <w:tc>
          <w:tcPr>
            <w:tcW w:w="1928" w:type="dxa"/>
          </w:tcPr>
          <w:p>
            <w:pPr>
              <w:pStyle w:val="0"/>
              <w:jc w:val="center"/>
            </w:pPr>
            <w:r>
              <w:rPr>
                <w:sz w:val="20"/>
              </w:rPr>
              <w:t xml:space="preserve">60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5</w:t>
            </w:r>
          </w:p>
        </w:tc>
        <w:tc>
          <w:tcPr>
            <w:tcW w:w="3685" w:type="dxa"/>
          </w:tcPr>
          <w:p>
            <w:pPr>
              <w:pStyle w:val="0"/>
              <w:jc w:val="both"/>
            </w:pPr>
            <w:r>
              <w:rPr>
                <w:sz w:val="20"/>
              </w:rPr>
              <w:t xml:space="preserve">ГБУЗС "Городская больница N 4"</w:t>
            </w:r>
          </w:p>
        </w:tc>
        <w:tc>
          <w:tcPr>
            <w:tcW w:w="2665" w:type="dxa"/>
          </w:tcPr>
          <w:p>
            <w:pPr>
              <w:pStyle w:val="0"/>
              <w:jc w:val="both"/>
            </w:pPr>
            <w:r>
              <w:rPr>
                <w:sz w:val="20"/>
              </w:rPr>
              <w:t xml:space="preserve">ВА</w:t>
            </w:r>
          </w:p>
        </w:tc>
        <w:tc>
          <w:tcPr>
            <w:tcW w:w="2268" w:type="dxa"/>
          </w:tcPr>
          <w:p>
            <w:pPr>
              <w:pStyle w:val="0"/>
              <w:jc w:val="both"/>
            </w:pPr>
            <w:r>
              <w:rPr>
                <w:sz w:val="20"/>
              </w:rPr>
              <w:t xml:space="preserve">с. Вишневое</w:t>
            </w:r>
          </w:p>
        </w:tc>
        <w:tc>
          <w:tcPr>
            <w:tcW w:w="1928" w:type="dxa"/>
          </w:tcPr>
          <w:p>
            <w:pPr>
              <w:pStyle w:val="0"/>
              <w:jc w:val="center"/>
            </w:pPr>
            <w:r>
              <w:rPr>
                <w:sz w:val="20"/>
              </w:rPr>
              <w:t xml:space="preserve">17</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23</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1-е педиатрическое отделение поликлиники N 1</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150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24</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2-е педиатрическое отделение поликлиники N 1</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300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25</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3-е педиатрическое отделение поликлиники N 1</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120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26</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4-е педиатрическое отделение поликлиники N 1</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70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27</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1-е педиатрическое отделение поликлиники N 2</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128</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28</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2-е педиатрическое отделение поликлиники N 2</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314</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29</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3-е педиатрическое отделение поликлиники N 2</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238</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30</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3-е педиатрическое отделение поликлиники N 2</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80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31</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4-е педиатрическое отделение поликлиники N 2</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120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32</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4-е педиатрическое отделение поликлиники N 2</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120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10</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Детская поликлиника</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200</w:t>
            </w:r>
          </w:p>
        </w:tc>
        <w:tc>
          <w:tcPr>
            <w:tcW w:w="2381" w:type="dxa"/>
          </w:tcPr>
          <w:p>
            <w:pPr>
              <w:pStyle w:val="0"/>
              <w:jc w:val="both"/>
            </w:pPr>
            <w:r>
              <w:rPr>
                <w:sz w:val="20"/>
              </w:rPr>
              <w:t xml:space="preserve">строительство (ФЦП)</w:t>
            </w:r>
          </w:p>
        </w:tc>
      </w:tr>
      <w:tr>
        <w:tc>
          <w:tcPr>
            <w:tcW w:w="664" w:type="dxa"/>
          </w:tcPr>
          <w:p>
            <w:pPr>
              <w:pStyle w:val="0"/>
              <w:jc w:val="center"/>
            </w:pPr>
            <w:r>
              <w:rPr>
                <w:sz w:val="20"/>
              </w:rPr>
              <w:t xml:space="preserve">11</w:t>
            </w:r>
          </w:p>
        </w:tc>
        <w:tc>
          <w:tcPr>
            <w:tcW w:w="3685" w:type="dxa"/>
          </w:tcPr>
          <w:p>
            <w:pPr>
              <w:pStyle w:val="0"/>
              <w:jc w:val="both"/>
            </w:pPr>
            <w:r>
              <w:rPr>
                <w:sz w:val="20"/>
              </w:rPr>
              <w:t xml:space="preserve">ГБУЗС "Городская больница N 5 - "ЦОЗМиР"</w:t>
            </w:r>
          </w:p>
        </w:tc>
        <w:tc>
          <w:tcPr>
            <w:tcW w:w="2665" w:type="dxa"/>
          </w:tcPr>
          <w:p>
            <w:pPr>
              <w:pStyle w:val="0"/>
              <w:jc w:val="both"/>
            </w:pPr>
            <w:r>
              <w:rPr>
                <w:sz w:val="20"/>
              </w:rPr>
              <w:t xml:space="preserve">Детская поликлиника</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100</w:t>
            </w:r>
          </w:p>
        </w:tc>
        <w:tc>
          <w:tcPr>
            <w:tcW w:w="2381" w:type="dxa"/>
          </w:tcPr>
          <w:p>
            <w:pPr>
              <w:pStyle w:val="0"/>
              <w:jc w:val="both"/>
            </w:pPr>
            <w:r>
              <w:rPr>
                <w:sz w:val="20"/>
              </w:rPr>
              <w:t xml:space="preserve">строительство (ФЦП)</w:t>
            </w:r>
          </w:p>
        </w:tc>
      </w:tr>
      <w:tr>
        <w:tc>
          <w:tcPr>
            <w:tcW w:w="664" w:type="dxa"/>
          </w:tcPr>
          <w:p>
            <w:pPr>
              <w:pStyle w:val="0"/>
              <w:jc w:val="center"/>
            </w:pPr>
            <w:r>
              <w:rPr>
                <w:sz w:val="20"/>
              </w:rPr>
              <w:t xml:space="preserve">34</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Поликлиника взрослая/детская</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250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35</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Поликлиника взрослая</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200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36</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Поликлиника детская</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50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38</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Здравпункт</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39</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Здравпункт</w:t>
            </w:r>
          </w:p>
        </w:tc>
        <w:tc>
          <w:tcPr>
            <w:tcW w:w="2268"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6</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ВА</w:t>
            </w:r>
          </w:p>
        </w:tc>
        <w:tc>
          <w:tcPr>
            <w:tcW w:w="2268" w:type="dxa"/>
          </w:tcPr>
          <w:p>
            <w:pPr>
              <w:pStyle w:val="0"/>
              <w:jc w:val="both"/>
            </w:pPr>
            <w:r>
              <w:rPr>
                <w:sz w:val="20"/>
              </w:rPr>
              <w:t xml:space="preserve">с. Орлиное</w:t>
            </w:r>
          </w:p>
        </w:tc>
        <w:tc>
          <w:tcPr>
            <w:tcW w:w="1928" w:type="dxa"/>
          </w:tcPr>
          <w:p>
            <w:pPr>
              <w:pStyle w:val="0"/>
              <w:jc w:val="center"/>
            </w:pPr>
            <w:r>
              <w:rPr>
                <w:sz w:val="20"/>
              </w:rPr>
              <w:t xml:space="preserve">60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7</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ВА</w:t>
            </w:r>
          </w:p>
        </w:tc>
        <w:tc>
          <w:tcPr>
            <w:tcW w:w="2268" w:type="dxa"/>
          </w:tcPr>
          <w:p>
            <w:pPr>
              <w:pStyle w:val="0"/>
              <w:jc w:val="both"/>
            </w:pPr>
            <w:r>
              <w:rPr>
                <w:sz w:val="20"/>
              </w:rPr>
              <w:t xml:space="preserve">с. Терновка</w:t>
            </w:r>
          </w:p>
        </w:tc>
        <w:tc>
          <w:tcPr>
            <w:tcW w:w="1928" w:type="dxa"/>
          </w:tcPr>
          <w:p>
            <w:pPr>
              <w:pStyle w:val="0"/>
              <w:jc w:val="center"/>
            </w:pPr>
            <w:r>
              <w:rPr>
                <w:sz w:val="20"/>
              </w:rPr>
              <w:t xml:space="preserve">30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8</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ВА</w:t>
            </w:r>
          </w:p>
        </w:tc>
        <w:tc>
          <w:tcPr>
            <w:tcW w:w="2268" w:type="dxa"/>
          </w:tcPr>
          <w:p>
            <w:pPr>
              <w:pStyle w:val="0"/>
              <w:jc w:val="both"/>
            </w:pPr>
            <w:r>
              <w:rPr>
                <w:sz w:val="20"/>
              </w:rPr>
              <w:t xml:space="preserve">п. Сахарная головка</w:t>
            </w:r>
          </w:p>
        </w:tc>
        <w:tc>
          <w:tcPr>
            <w:tcW w:w="1928" w:type="dxa"/>
          </w:tcPr>
          <w:p>
            <w:pPr>
              <w:pStyle w:val="0"/>
              <w:jc w:val="center"/>
            </w:pPr>
            <w:r>
              <w:rPr>
                <w:sz w:val="20"/>
              </w:rPr>
              <w:t xml:space="preserve">60</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5</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ФАП</w:t>
            </w:r>
          </w:p>
        </w:tc>
        <w:tc>
          <w:tcPr>
            <w:tcW w:w="2268" w:type="dxa"/>
          </w:tcPr>
          <w:p>
            <w:pPr>
              <w:pStyle w:val="0"/>
              <w:jc w:val="both"/>
            </w:pPr>
            <w:r>
              <w:rPr>
                <w:sz w:val="20"/>
              </w:rPr>
              <w:t xml:space="preserve">с. Широкое</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6</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ФАП</w:t>
            </w:r>
          </w:p>
        </w:tc>
        <w:tc>
          <w:tcPr>
            <w:tcW w:w="2268" w:type="dxa"/>
          </w:tcPr>
          <w:p>
            <w:pPr>
              <w:pStyle w:val="0"/>
              <w:jc w:val="both"/>
            </w:pPr>
            <w:r>
              <w:rPr>
                <w:sz w:val="20"/>
              </w:rPr>
              <w:t xml:space="preserve">с. Передовое</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7</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ФАП</w:t>
            </w:r>
          </w:p>
        </w:tc>
        <w:tc>
          <w:tcPr>
            <w:tcW w:w="2268" w:type="dxa"/>
          </w:tcPr>
          <w:p>
            <w:pPr>
              <w:pStyle w:val="0"/>
              <w:jc w:val="both"/>
            </w:pPr>
            <w:r>
              <w:rPr>
                <w:sz w:val="20"/>
              </w:rPr>
              <w:t xml:space="preserve">с. Гончарное</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8</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ФАП</w:t>
            </w:r>
          </w:p>
        </w:tc>
        <w:tc>
          <w:tcPr>
            <w:tcW w:w="2268" w:type="dxa"/>
          </w:tcPr>
          <w:p>
            <w:pPr>
              <w:pStyle w:val="0"/>
              <w:jc w:val="both"/>
            </w:pPr>
            <w:r>
              <w:rPr>
                <w:sz w:val="20"/>
              </w:rPr>
              <w:t xml:space="preserve">с. Родниковое</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9</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ФАП</w:t>
            </w:r>
          </w:p>
        </w:tc>
        <w:tc>
          <w:tcPr>
            <w:tcW w:w="2268" w:type="dxa"/>
          </w:tcPr>
          <w:p>
            <w:pPr>
              <w:pStyle w:val="0"/>
              <w:jc w:val="both"/>
            </w:pPr>
            <w:r>
              <w:rPr>
                <w:sz w:val="20"/>
              </w:rPr>
              <w:t xml:space="preserve">с. Первомайка</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10</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ФАП</w:t>
            </w:r>
          </w:p>
        </w:tc>
        <w:tc>
          <w:tcPr>
            <w:tcW w:w="2268" w:type="dxa"/>
          </w:tcPr>
          <w:p>
            <w:pPr>
              <w:pStyle w:val="0"/>
              <w:jc w:val="both"/>
            </w:pPr>
            <w:r>
              <w:rPr>
                <w:sz w:val="20"/>
              </w:rPr>
              <w:t xml:space="preserve">с. Родное</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11</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ФАП</w:t>
            </w:r>
          </w:p>
        </w:tc>
        <w:tc>
          <w:tcPr>
            <w:tcW w:w="2268" w:type="dxa"/>
          </w:tcPr>
          <w:p>
            <w:pPr>
              <w:pStyle w:val="0"/>
              <w:jc w:val="both"/>
            </w:pPr>
            <w:r>
              <w:rPr>
                <w:sz w:val="20"/>
              </w:rPr>
              <w:t xml:space="preserve">с. Хмельницкое</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r>
        <w:tc>
          <w:tcPr>
            <w:tcW w:w="664" w:type="dxa"/>
          </w:tcPr>
          <w:p>
            <w:pPr>
              <w:pStyle w:val="0"/>
              <w:jc w:val="center"/>
            </w:pPr>
            <w:r>
              <w:rPr>
                <w:sz w:val="20"/>
              </w:rPr>
              <w:t xml:space="preserve">12</w:t>
            </w:r>
          </w:p>
        </w:tc>
        <w:tc>
          <w:tcPr>
            <w:tcW w:w="3685" w:type="dxa"/>
          </w:tcPr>
          <w:p>
            <w:pPr>
              <w:pStyle w:val="0"/>
              <w:jc w:val="both"/>
            </w:pPr>
            <w:r>
              <w:rPr>
                <w:sz w:val="20"/>
              </w:rPr>
              <w:t xml:space="preserve">ГБУЗС "Городская больница N 9"</w:t>
            </w:r>
          </w:p>
        </w:tc>
        <w:tc>
          <w:tcPr>
            <w:tcW w:w="2665" w:type="dxa"/>
          </w:tcPr>
          <w:p>
            <w:pPr>
              <w:pStyle w:val="0"/>
              <w:jc w:val="both"/>
            </w:pPr>
            <w:r>
              <w:rPr>
                <w:sz w:val="20"/>
              </w:rPr>
              <w:t xml:space="preserve">ФАП</w:t>
            </w:r>
          </w:p>
        </w:tc>
        <w:tc>
          <w:tcPr>
            <w:tcW w:w="2268" w:type="dxa"/>
          </w:tcPr>
          <w:p>
            <w:pPr>
              <w:pStyle w:val="0"/>
              <w:jc w:val="both"/>
            </w:pPr>
            <w:r>
              <w:rPr>
                <w:sz w:val="20"/>
              </w:rPr>
              <w:t xml:space="preserve">с. Тыловое</w:t>
            </w:r>
          </w:p>
        </w:tc>
        <w:tc>
          <w:tcPr>
            <w:tcW w:w="1928" w:type="dxa"/>
          </w:tcPr>
          <w:p>
            <w:pPr>
              <w:pStyle w:val="0"/>
              <w:jc w:val="center"/>
            </w:pPr>
            <w:r>
              <w:rPr>
                <w:sz w:val="20"/>
              </w:rPr>
              <w:t xml:space="preserve">-</w:t>
            </w:r>
          </w:p>
        </w:tc>
        <w:tc>
          <w:tcPr>
            <w:tcW w:w="2381" w:type="dxa"/>
          </w:tcPr>
          <w:p>
            <w:pPr>
              <w:pStyle w:val="0"/>
              <w:jc w:val="both"/>
            </w:pPr>
            <w:r>
              <w:rPr>
                <w:sz w:val="20"/>
              </w:rPr>
              <w:t xml:space="preserve">нет</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0"/>
        <w:outlineLvl w:val="3"/>
        <w:jc w:val="right"/>
      </w:pPr>
      <w:r>
        <w:rPr>
          <w:sz w:val="20"/>
        </w:rPr>
        <w:t xml:space="preserve">Таблица 7</w:t>
      </w:r>
    </w:p>
    <w:p>
      <w:pPr>
        <w:pStyle w:val="0"/>
      </w:pPr>
      <w:r>
        <w:rPr>
          <w:sz w:val="20"/>
        </w:rPr>
      </w:r>
    </w:p>
    <w:p>
      <w:pPr>
        <w:pStyle w:val="2"/>
        <w:jc w:val="center"/>
      </w:pPr>
      <w:r>
        <w:rPr>
          <w:sz w:val="20"/>
        </w:rPr>
        <w:t xml:space="preserve">Медицинские организации и их структурные подразделения,</w:t>
      </w:r>
    </w:p>
    <w:p>
      <w:pPr>
        <w:pStyle w:val="2"/>
        <w:jc w:val="center"/>
      </w:pPr>
      <w:r>
        <w:rPr>
          <w:sz w:val="20"/>
        </w:rPr>
        <w:t xml:space="preserve">на базе которых оказывается ПМСП</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27"/>
        <w:gridCol w:w="2248"/>
        <w:gridCol w:w="1587"/>
        <w:gridCol w:w="1928"/>
        <w:gridCol w:w="1701"/>
        <w:gridCol w:w="1304"/>
        <w:gridCol w:w="962"/>
        <w:gridCol w:w="963"/>
        <w:gridCol w:w="964"/>
        <w:gridCol w:w="1191"/>
      </w:tblGrid>
      <w:tr>
        <w:tc>
          <w:tcPr>
            <w:tcW w:w="727" w:type="dxa"/>
            <w:vMerge w:val="restart"/>
          </w:tcPr>
          <w:p>
            <w:pPr>
              <w:pStyle w:val="0"/>
              <w:jc w:val="center"/>
            </w:pPr>
            <w:r>
              <w:rPr>
                <w:sz w:val="20"/>
              </w:rPr>
              <w:t xml:space="preserve">N на карте</w:t>
            </w:r>
          </w:p>
        </w:tc>
        <w:tc>
          <w:tcPr>
            <w:tcW w:w="2248" w:type="dxa"/>
            <w:vMerge w:val="restart"/>
          </w:tcPr>
          <w:p>
            <w:pPr>
              <w:pStyle w:val="0"/>
              <w:jc w:val="center"/>
            </w:pPr>
            <w:r>
              <w:rPr>
                <w:sz w:val="20"/>
              </w:rPr>
              <w:t xml:space="preserve">Наименование медицинской организации</w:t>
            </w:r>
          </w:p>
        </w:tc>
        <w:tc>
          <w:tcPr>
            <w:tcW w:w="1587" w:type="dxa"/>
            <w:vMerge w:val="restart"/>
          </w:tcPr>
          <w:p>
            <w:pPr>
              <w:pStyle w:val="0"/>
              <w:jc w:val="center"/>
            </w:pPr>
            <w:r>
              <w:rPr>
                <w:sz w:val="20"/>
              </w:rPr>
              <w:t xml:space="preserve">Тип медицинской организации</w:t>
            </w:r>
          </w:p>
        </w:tc>
        <w:tc>
          <w:tcPr>
            <w:tcW w:w="1928" w:type="dxa"/>
            <w:vMerge w:val="restart"/>
          </w:tcPr>
          <w:p>
            <w:pPr>
              <w:pStyle w:val="0"/>
              <w:jc w:val="center"/>
            </w:pPr>
            <w:r>
              <w:rPr>
                <w:sz w:val="20"/>
              </w:rPr>
              <w:t xml:space="preserve">Непосредственно обслуживаемые населенные пункты, закрепленные по участковому принципу</w:t>
            </w:r>
          </w:p>
        </w:tc>
        <w:tc>
          <w:tcPr>
            <w:tcW w:w="1701" w:type="dxa"/>
            <w:vMerge w:val="restart"/>
          </w:tcPr>
          <w:p>
            <w:pPr>
              <w:pStyle w:val="0"/>
              <w:jc w:val="center"/>
            </w:pPr>
            <w:r>
              <w:rPr>
                <w:sz w:val="20"/>
              </w:rPr>
              <w:t xml:space="preserve">Численность населения в обслуживаемых населенных пунктах, закрепленных по участковому принципу</w:t>
            </w:r>
          </w:p>
        </w:tc>
        <w:tc>
          <w:tcPr>
            <w:tcW w:w="1304" w:type="dxa"/>
            <w:vMerge w:val="restart"/>
          </w:tcPr>
          <w:p>
            <w:pPr>
              <w:pStyle w:val="0"/>
              <w:jc w:val="center"/>
            </w:pPr>
            <w:r>
              <w:rPr>
                <w:sz w:val="20"/>
              </w:rPr>
              <w:t xml:space="preserve">Плановая (проектная) мощность (число посещений в смену)</w:t>
            </w:r>
          </w:p>
        </w:tc>
        <w:tc>
          <w:tcPr>
            <w:gridSpan w:val="2"/>
            <w:tcW w:w="1925" w:type="dxa"/>
          </w:tcPr>
          <w:p>
            <w:pPr>
              <w:pStyle w:val="0"/>
              <w:jc w:val="center"/>
            </w:pPr>
            <w:r>
              <w:rPr>
                <w:sz w:val="20"/>
              </w:rPr>
              <w:t xml:space="preserve">Плановые объемы по ТПГГ (число посещений)</w:t>
            </w:r>
          </w:p>
        </w:tc>
        <w:tc>
          <w:tcPr>
            <w:tcW w:w="964" w:type="dxa"/>
            <w:vMerge w:val="restart"/>
          </w:tcPr>
          <w:p>
            <w:pPr>
              <w:pStyle w:val="0"/>
              <w:jc w:val="center"/>
            </w:pPr>
            <w:r>
              <w:rPr>
                <w:sz w:val="20"/>
              </w:rPr>
              <w:t xml:space="preserve">Находится в арендованном помещении</w:t>
            </w:r>
          </w:p>
        </w:tc>
        <w:tc>
          <w:tcPr>
            <w:tcW w:w="1191" w:type="dxa"/>
            <w:vMerge w:val="restart"/>
          </w:tcPr>
          <w:p>
            <w:pPr>
              <w:pStyle w:val="0"/>
              <w:jc w:val="center"/>
            </w:pPr>
            <w:r>
              <w:rPr>
                <w:sz w:val="20"/>
              </w:rPr>
              <w:t xml:space="preserve">Здание требует сноса, реконструкции, капитального ремонта</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962" w:type="dxa"/>
          </w:tcPr>
          <w:p>
            <w:pPr>
              <w:pStyle w:val="0"/>
              <w:jc w:val="center"/>
            </w:pPr>
            <w:r>
              <w:rPr>
                <w:sz w:val="20"/>
              </w:rPr>
              <w:t xml:space="preserve">всего</w:t>
            </w:r>
          </w:p>
        </w:tc>
        <w:tc>
          <w:tcPr>
            <w:tcW w:w="963" w:type="dxa"/>
          </w:tcPr>
          <w:p>
            <w:pPr>
              <w:pStyle w:val="0"/>
              <w:jc w:val="center"/>
            </w:pPr>
            <w:r>
              <w:rPr>
                <w:sz w:val="20"/>
              </w:rPr>
              <w:t xml:space="preserve">в том числе по ОМС</w:t>
            </w:r>
          </w:p>
        </w:tc>
        <w:tc>
          <w:tcPr>
            <w:vMerge w:val="continue"/>
          </w:tcPr>
          <w:p/>
        </w:tc>
        <w:tc>
          <w:tcPr>
            <w:vMerge w:val="continue"/>
          </w:tcPr>
          <w:p/>
        </w:tc>
      </w:tr>
      <w:tr>
        <w:tc>
          <w:tcPr>
            <w:tcW w:w="727" w:type="dxa"/>
          </w:tcPr>
          <w:p>
            <w:pPr>
              <w:pStyle w:val="0"/>
              <w:jc w:val="center"/>
            </w:pPr>
            <w:r>
              <w:rPr>
                <w:sz w:val="20"/>
              </w:rPr>
              <w:t xml:space="preserve">1</w:t>
            </w:r>
          </w:p>
        </w:tc>
        <w:tc>
          <w:tcPr>
            <w:tcW w:w="2248" w:type="dxa"/>
          </w:tcPr>
          <w:p>
            <w:pPr>
              <w:pStyle w:val="0"/>
              <w:jc w:val="both"/>
            </w:pPr>
            <w:r>
              <w:rPr>
                <w:sz w:val="20"/>
              </w:rPr>
              <w:t xml:space="preserve">ГБУЗС "Городская больница N 1 им. Н.И. Пирогова"</w:t>
            </w:r>
          </w:p>
        </w:tc>
        <w:tc>
          <w:tcPr>
            <w:tcW w:w="1587" w:type="dxa"/>
          </w:tcPr>
          <w:p>
            <w:pPr>
              <w:pStyle w:val="0"/>
              <w:jc w:val="both"/>
            </w:pPr>
            <w:r>
              <w:rPr>
                <w:sz w:val="20"/>
              </w:rPr>
              <w:t xml:space="preserve">Поликлиника N 1</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26827</w:t>
            </w:r>
          </w:p>
        </w:tc>
        <w:tc>
          <w:tcPr>
            <w:tcW w:w="1304" w:type="dxa"/>
          </w:tcPr>
          <w:p>
            <w:pPr>
              <w:pStyle w:val="0"/>
              <w:jc w:val="center"/>
            </w:pPr>
            <w:r>
              <w:rPr>
                <w:sz w:val="20"/>
              </w:rPr>
              <w:t xml:space="preserve">250</w:t>
            </w:r>
          </w:p>
        </w:tc>
        <w:tc>
          <w:tcPr>
            <w:tcW w:w="962" w:type="dxa"/>
          </w:tcPr>
          <w:p>
            <w:pPr>
              <w:pStyle w:val="0"/>
              <w:jc w:val="center"/>
            </w:pPr>
            <w:r>
              <w:rPr>
                <w:sz w:val="20"/>
              </w:rPr>
              <w:t xml:space="preserve">18944</w:t>
            </w:r>
          </w:p>
        </w:tc>
        <w:tc>
          <w:tcPr>
            <w:tcW w:w="963" w:type="dxa"/>
          </w:tcPr>
          <w:p>
            <w:pPr>
              <w:pStyle w:val="0"/>
              <w:jc w:val="center"/>
            </w:pPr>
            <w:r>
              <w:rPr>
                <w:sz w:val="20"/>
              </w:rPr>
              <w:t xml:space="preserve">18944</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w:t>
            </w:r>
          </w:p>
        </w:tc>
        <w:tc>
          <w:tcPr>
            <w:tcW w:w="2248" w:type="dxa"/>
          </w:tcPr>
          <w:p>
            <w:pPr>
              <w:pStyle w:val="0"/>
              <w:jc w:val="both"/>
            </w:pPr>
            <w:r>
              <w:rPr>
                <w:sz w:val="20"/>
              </w:rPr>
              <w:t xml:space="preserve">ГБУЗС "Городская больница N 1 им. Н.И. Пирогова"</w:t>
            </w:r>
          </w:p>
        </w:tc>
        <w:tc>
          <w:tcPr>
            <w:tcW w:w="1587" w:type="dxa"/>
          </w:tcPr>
          <w:p>
            <w:pPr>
              <w:pStyle w:val="0"/>
              <w:jc w:val="both"/>
            </w:pPr>
            <w:r>
              <w:rPr>
                <w:sz w:val="20"/>
              </w:rPr>
              <w:t xml:space="preserve">Поликлиника N 2</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61358</w:t>
            </w:r>
          </w:p>
        </w:tc>
        <w:tc>
          <w:tcPr>
            <w:tcW w:w="1304" w:type="dxa"/>
          </w:tcPr>
          <w:p>
            <w:pPr>
              <w:pStyle w:val="0"/>
              <w:jc w:val="center"/>
            </w:pPr>
            <w:r>
              <w:rPr>
                <w:sz w:val="20"/>
              </w:rPr>
              <w:t xml:space="preserve">550</w:t>
            </w:r>
          </w:p>
        </w:tc>
        <w:tc>
          <w:tcPr>
            <w:tcW w:w="962" w:type="dxa"/>
          </w:tcPr>
          <w:p>
            <w:pPr>
              <w:pStyle w:val="0"/>
              <w:jc w:val="center"/>
            </w:pPr>
            <w:r>
              <w:rPr>
                <w:sz w:val="20"/>
              </w:rPr>
              <w:t xml:space="preserve">29768</w:t>
            </w:r>
          </w:p>
        </w:tc>
        <w:tc>
          <w:tcPr>
            <w:tcW w:w="963" w:type="dxa"/>
          </w:tcPr>
          <w:p>
            <w:pPr>
              <w:pStyle w:val="0"/>
              <w:jc w:val="center"/>
            </w:pPr>
            <w:r>
              <w:rPr>
                <w:sz w:val="20"/>
              </w:rPr>
              <w:t xml:space="preserve">29768</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3</w:t>
            </w:r>
          </w:p>
        </w:tc>
        <w:tc>
          <w:tcPr>
            <w:tcW w:w="2248" w:type="dxa"/>
          </w:tcPr>
          <w:p>
            <w:pPr>
              <w:pStyle w:val="0"/>
              <w:jc w:val="both"/>
            </w:pPr>
            <w:r>
              <w:rPr>
                <w:sz w:val="20"/>
              </w:rPr>
              <w:t xml:space="preserve">ГБУЗС "Городская больница N 1 им. Н.И. Пирогова"</w:t>
            </w:r>
          </w:p>
        </w:tc>
        <w:tc>
          <w:tcPr>
            <w:tcW w:w="1587" w:type="dxa"/>
          </w:tcPr>
          <w:p>
            <w:pPr>
              <w:pStyle w:val="0"/>
              <w:jc w:val="both"/>
            </w:pPr>
            <w:r>
              <w:rPr>
                <w:sz w:val="20"/>
              </w:rPr>
              <w:t xml:space="preserve">Поликлиника N 3</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35978</w:t>
            </w:r>
          </w:p>
        </w:tc>
        <w:tc>
          <w:tcPr>
            <w:tcW w:w="1304" w:type="dxa"/>
          </w:tcPr>
          <w:p>
            <w:pPr>
              <w:pStyle w:val="0"/>
              <w:jc w:val="center"/>
            </w:pPr>
            <w:r>
              <w:rPr>
                <w:sz w:val="20"/>
              </w:rPr>
              <w:t xml:space="preserve">200</w:t>
            </w:r>
          </w:p>
        </w:tc>
        <w:tc>
          <w:tcPr>
            <w:tcW w:w="962" w:type="dxa"/>
          </w:tcPr>
          <w:p>
            <w:pPr>
              <w:pStyle w:val="0"/>
              <w:jc w:val="center"/>
            </w:pPr>
            <w:r>
              <w:rPr>
                <w:sz w:val="20"/>
              </w:rPr>
              <w:t xml:space="preserve">58488</w:t>
            </w:r>
          </w:p>
        </w:tc>
        <w:tc>
          <w:tcPr>
            <w:tcW w:w="963" w:type="dxa"/>
          </w:tcPr>
          <w:p>
            <w:pPr>
              <w:pStyle w:val="0"/>
              <w:jc w:val="center"/>
            </w:pPr>
            <w:r>
              <w:rPr>
                <w:sz w:val="20"/>
              </w:rPr>
              <w:t xml:space="preserve">58488</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w:t>
            </w:r>
          </w:p>
        </w:tc>
        <w:tc>
          <w:tcPr>
            <w:tcW w:w="2248" w:type="dxa"/>
          </w:tcPr>
          <w:p>
            <w:pPr>
              <w:pStyle w:val="0"/>
              <w:jc w:val="both"/>
            </w:pPr>
            <w:r>
              <w:rPr>
                <w:sz w:val="20"/>
              </w:rPr>
              <w:t xml:space="preserve">ГБУЗС "Городская больница N 1 им. Н.И. Пирогова"</w:t>
            </w:r>
          </w:p>
        </w:tc>
        <w:tc>
          <w:tcPr>
            <w:tcW w:w="1587" w:type="dxa"/>
          </w:tcPr>
          <w:p>
            <w:pPr>
              <w:pStyle w:val="0"/>
              <w:jc w:val="both"/>
            </w:pPr>
            <w:r>
              <w:rPr>
                <w:sz w:val="20"/>
              </w:rPr>
              <w:t xml:space="preserve">Поликлиника N 4</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71079</w:t>
            </w:r>
          </w:p>
        </w:tc>
        <w:tc>
          <w:tcPr>
            <w:tcW w:w="1304" w:type="dxa"/>
          </w:tcPr>
          <w:p>
            <w:pPr>
              <w:pStyle w:val="0"/>
              <w:jc w:val="center"/>
            </w:pPr>
            <w:r>
              <w:rPr>
                <w:sz w:val="20"/>
              </w:rPr>
              <w:t xml:space="preserve">400</w:t>
            </w:r>
          </w:p>
        </w:tc>
        <w:tc>
          <w:tcPr>
            <w:tcW w:w="962" w:type="dxa"/>
          </w:tcPr>
          <w:p>
            <w:pPr>
              <w:pStyle w:val="0"/>
              <w:jc w:val="center"/>
            </w:pPr>
            <w:r>
              <w:rPr>
                <w:sz w:val="20"/>
              </w:rPr>
              <w:t xml:space="preserve">23538</w:t>
            </w:r>
          </w:p>
        </w:tc>
        <w:tc>
          <w:tcPr>
            <w:tcW w:w="963" w:type="dxa"/>
          </w:tcPr>
          <w:p>
            <w:pPr>
              <w:pStyle w:val="0"/>
              <w:jc w:val="center"/>
            </w:pPr>
            <w:r>
              <w:rPr>
                <w:sz w:val="20"/>
              </w:rPr>
              <w:t xml:space="preserve">23538</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5</w:t>
            </w:r>
          </w:p>
        </w:tc>
        <w:tc>
          <w:tcPr>
            <w:tcW w:w="2248" w:type="dxa"/>
          </w:tcPr>
          <w:p>
            <w:pPr>
              <w:pStyle w:val="0"/>
              <w:jc w:val="both"/>
            </w:pPr>
            <w:r>
              <w:rPr>
                <w:sz w:val="20"/>
              </w:rPr>
              <w:t xml:space="preserve">ГБУЗС "Городская больница N 1 им. Н.И. Пирогова"</w:t>
            </w:r>
          </w:p>
        </w:tc>
        <w:tc>
          <w:tcPr>
            <w:tcW w:w="1587" w:type="dxa"/>
          </w:tcPr>
          <w:p>
            <w:pPr>
              <w:pStyle w:val="0"/>
              <w:jc w:val="both"/>
            </w:pPr>
            <w:r>
              <w:rPr>
                <w:sz w:val="20"/>
              </w:rPr>
              <w:t xml:space="preserve">Поликлиника N 5</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56710</w:t>
            </w:r>
          </w:p>
        </w:tc>
        <w:tc>
          <w:tcPr>
            <w:tcW w:w="1304" w:type="dxa"/>
          </w:tcPr>
          <w:p>
            <w:pPr>
              <w:pStyle w:val="0"/>
              <w:jc w:val="center"/>
            </w:pPr>
            <w:r>
              <w:rPr>
                <w:sz w:val="20"/>
              </w:rPr>
              <w:t xml:space="preserve">320</w:t>
            </w:r>
          </w:p>
        </w:tc>
        <w:tc>
          <w:tcPr>
            <w:tcW w:w="962" w:type="dxa"/>
          </w:tcPr>
          <w:p>
            <w:pPr>
              <w:pStyle w:val="0"/>
              <w:jc w:val="center"/>
            </w:pPr>
            <w:r>
              <w:rPr>
                <w:sz w:val="20"/>
              </w:rPr>
              <w:t xml:space="preserve">24804</w:t>
            </w:r>
          </w:p>
        </w:tc>
        <w:tc>
          <w:tcPr>
            <w:tcW w:w="963" w:type="dxa"/>
          </w:tcPr>
          <w:p>
            <w:pPr>
              <w:pStyle w:val="0"/>
              <w:jc w:val="center"/>
            </w:pPr>
            <w:r>
              <w:rPr>
                <w:sz w:val="20"/>
              </w:rPr>
              <w:t xml:space="preserve">24804</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6</w:t>
            </w:r>
          </w:p>
        </w:tc>
        <w:tc>
          <w:tcPr>
            <w:tcW w:w="2248" w:type="dxa"/>
          </w:tcPr>
          <w:p>
            <w:pPr>
              <w:pStyle w:val="0"/>
              <w:jc w:val="both"/>
            </w:pPr>
            <w:r>
              <w:rPr>
                <w:sz w:val="20"/>
              </w:rPr>
              <w:t xml:space="preserve">ГБУЗС "Городская больница N 1 им. Н.И. Пирогова"</w:t>
            </w:r>
          </w:p>
        </w:tc>
        <w:tc>
          <w:tcPr>
            <w:tcW w:w="1587" w:type="dxa"/>
          </w:tcPr>
          <w:p>
            <w:pPr>
              <w:pStyle w:val="0"/>
              <w:jc w:val="both"/>
            </w:pPr>
            <w:r>
              <w:rPr>
                <w:sz w:val="20"/>
              </w:rPr>
              <w:t xml:space="preserve">Поликлиническое отделение</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w:t>
            </w:r>
          </w:p>
        </w:tc>
        <w:tc>
          <w:tcPr>
            <w:tcW w:w="1304" w:type="dxa"/>
          </w:tcPr>
          <w:p>
            <w:pPr>
              <w:pStyle w:val="0"/>
              <w:jc w:val="center"/>
            </w:pPr>
            <w:r>
              <w:rPr>
                <w:sz w:val="20"/>
              </w:rPr>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7</w:t>
            </w:r>
          </w:p>
        </w:tc>
        <w:tc>
          <w:tcPr>
            <w:tcW w:w="2248" w:type="dxa"/>
          </w:tcPr>
          <w:p>
            <w:pPr>
              <w:pStyle w:val="0"/>
              <w:jc w:val="both"/>
            </w:pPr>
            <w:r>
              <w:rPr>
                <w:sz w:val="20"/>
              </w:rPr>
              <w:t xml:space="preserve">ГБУЗС "Городская больница N 1 им. Н.И. Пирогова"</w:t>
            </w:r>
          </w:p>
        </w:tc>
        <w:tc>
          <w:tcPr>
            <w:tcW w:w="1587" w:type="dxa"/>
          </w:tcPr>
          <w:p>
            <w:pPr>
              <w:pStyle w:val="0"/>
              <w:jc w:val="both"/>
            </w:pPr>
            <w:r>
              <w:rPr>
                <w:sz w:val="20"/>
              </w:rPr>
              <w:t xml:space="preserve">Поликлиническое отделение</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w:t>
            </w:r>
          </w:p>
        </w:tc>
        <w:tc>
          <w:tcPr>
            <w:tcW w:w="1304" w:type="dxa"/>
          </w:tcPr>
          <w:p>
            <w:pPr>
              <w:pStyle w:val="0"/>
              <w:jc w:val="center"/>
            </w:pPr>
            <w:r>
              <w:rPr>
                <w:sz w:val="20"/>
              </w:rPr>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8</w:t>
            </w:r>
          </w:p>
        </w:tc>
        <w:tc>
          <w:tcPr>
            <w:tcW w:w="2248" w:type="dxa"/>
          </w:tcPr>
          <w:p>
            <w:pPr>
              <w:pStyle w:val="0"/>
              <w:jc w:val="both"/>
            </w:pPr>
            <w:r>
              <w:rPr>
                <w:sz w:val="20"/>
              </w:rPr>
              <w:t xml:space="preserve">ГБУЗС "Городская больница N 1 им. Н.И. Пирогова"</w:t>
            </w:r>
          </w:p>
        </w:tc>
        <w:tc>
          <w:tcPr>
            <w:tcW w:w="1587" w:type="dxa"/>
          </w:tcPr>
          <w:p>
            <w:pPr>
              <w:pStyle w:val="0"/>
              <w:jc w:val="both"/>
            </w:pPr>
            <w:r>
              <w:rPr>
                <w:sz w:val="20"/>
              </w:rPr>
              <w:t xml:space="preserve">Амбулатория общей практики и семейной медицины</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14189</w:t>
            </w:r>
          </w:p>
        </w:tc>
        <w:tc>
          <w:tcPr>
            <w:tcW w:w="1304" w:type="dxa"/>
          </w:tcPr>
          <w:p>
            <w:pPr>
              <w:pStyle w:val="0"/>
              <w:jc w:val="center"/>
            </w:pPr>
            <w:r>
              <w:rPr>
                <w:sz w:val="20"/>
              </w:rPr>
              <w:t xml:space="preserve">120</w:t>
            </w:r>
          </w:p>
        </w:tc>
        <w:tc>
          <w:tcPr>
            <w:tcW w:w="962" w:type="dxa"/>
          </w:tcPr>
          <w:p>
            <w:pPr>
              <w:pStyle w:val="0"/>
              <w:jc w:val="center"/>
            </w:pPr>
            <w:r>
              <w:rPr>
                <w:sz w:val="20"/>
              </w:rPr>
              <w:t xml:space="preserve">8088</w:t>
            </w:r>
          </w:p>
        </w:tc>
        <w:tc>
          <w:tcPr>
            <w:tcW w:w="963" w:type="dxa"/>
          </w:tcPr>
          <w:p>
            <w:pPr>
              <w:pStyle w:val="0"/>
              <w:jc w:val="center"/>
            </w:pPr>
            <w:r>
              <w:rPr>
                <w:sz w:val="20"/>
              </w:rPr>
              <w:t xml:space="preserve">8088</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12</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Поликлиника взрослая</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33493</w:t>
            </w:r>
          </w:p>
        </w:tc>
        <w:tc>
          <w:tcPr>
            <w:tcW w:w="1304" w:type="dxa"/>
          </w:tcPr>
          <w:p>
            <w:pPr>
              <w:pStyle w:val="0"/>
              <w:jc w:val="center"/>
            </w:pPr>
            <w:r>
              <w:rPr>
                <w:sz w:val="20"/>
              </w:rPr>
              <w:t xml:space="preserve">250</w:t>
            </w:r>
          </w:p>
        </w:tc>
        <w:tc>
          <w:tcPr>
            <w:tcW w:w="962" w:type="dxa"/>
          </w:tcPr>
          <w:p>
            <w:pPr>
              <w:pStyle w:val="0"/>
              <w:jc w:val="center"/>
            </w:pPr>
            <w:r>
              <w:rPr>
                <w:sz w:val="20"/>
              </w:rPr>
              <w:t xml:space="preserve">26803</w:t>
            </w:r>
          </w:p>
        </w:tc>
        <w:tc>
          <w:tcPr>
            <w:tcW w:w="963" w:type="dxa"/>
          </w:tcPr>
          <w:p>
            <w:pPr>
              <w:pStyle w:val="0"/>
              <w:jc w:val="center"/>
            </w:pPr>
            <w:r>
              <w:rPr>
                <w:sz w:val="20"/>
              </w:rPr>
              <w:t xml:space="preserve">26803</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13</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Поликлиника детская</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8916</w:t>
            </w:r>
          </w:p>
        </w:tc>
        <w:tc>
          <w:tcPr>
            <w:tcW w:w="1304" w:type="dxa"/>
          </w:tcPr>
          <w:p>
            <w:pPr>
              <w:pStyle w:val="0"/>
              <w:jc w:val="center"/>
            </w:pPr>
            <w:r>
              <w:rPr>
                <w:sz w:val="20"/>
              </w:rPr>
              <w:t xml:space="preserve">250</w:t>
            </w:r>
          </w:p>
        </w:tc>
        <w:tc>
          <w:tcPr>
            <w:tcW w:w="962" w:type="dxa"/>
          </w:tcPr>
          <w:p>
            <w:pPr>
              <w:pStyle w:val="0"/>
              <w:jc w:val="center"/>
            </w:pPr>
            <w:r>
              <w:rPr>
                <w:sz w:val="20"/>
              </w:rPr>
              <w:t xml:space="preserve">49842</w:t>
            </w:r>
          </w:p>
        </w:tc>
        <w:tc>
          <w:tcPr>
            <w:tcW w:w="963" w:type="dxa"/>
          </w:tcPr>
          <w:p>
            <w:pPr>
              <w:pStyle w:val="0"/>
              <w:jc w:val="center"/>
            </w:pPr>
            <w:r>
              <w:rPr>
                <w:sz w:val="20"/>
              </w:rPr>
              <w:t xml:space="preserve">49842</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14</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ФАП</w:t>
            </w:r>
          </w:p>
        </w:tc>
        <w:tc>
          <w:tcPr>
            <w:tcW w:w="1928" w:type="dxa"/>
          </w:tcPr>
          <w:p>
            <w:pPr>
              <w:pStyle w:val="0"/>
              <w:jc w:val="both"/>
            </w:pPr>
            <w:r>
              <w:rPr>
                <w:sz w:val="20"/>
              </w:rPr>
              <w:t xml:space="preserve">с. Андреевка</w:t>
            </w:r>
          </w:p>
        </w:tc>
        <w:tc>
          <w:tcPr>
            <w:tcW w:w="1701" w:type="dxa"/>
          </w:tcPr>
          <w:p>
            <w:pPr>
              <w:pStyle w:val="0"/>
              <w:jc w:val="center"/>
            </w:pPr>
            <w:r>
              <w:rPr>
                <w:sz w:val="20"/>
              </w:rPr>
              <w:t xml:space="preserve">1326</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15</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ФАП</w:t>
            </w:r>
          </w:p>
        </w:tc>
        <w:tc>
          <w:tcPr>
            <w:tcW w:w="1928" w:type="dxa"/>
          </w:tcPr>
          <w:p>
            <w:pPr>
              <w:pStyle w:val="0"/>
              <w:jc w:val="both"/>
            </w:pPr>
            <w:r>
              <w:rPr>
                <w:sz w:val="20"/>
              </w:rPr>
              <w:t xml:space="preserve">с. Фронтовое</w:t>
            </w:r>
          </w:p>
        </w:tc>
        <w:tc>
          <w:tcPr>
            <w:tcW w:w="1701" w:type="dxa"/>
          </w:tcPr>
          <w:p>
            <w:pPr>
              <w:pStyle w:val="0"/>
              <w:jc w:val="center"/>
            </w:pPr>
            <w:r>
              <w:rPr>
                <w:sz w:val="20"/>
              </w:rPr>
              <w:t xml:space="preserve">1049</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16</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ФАП</w:t>
            </w:r>
          </w:p>
        </w:tc>
        <w:tc>
          <w:tcPr>
            <w:tcW w:w="1928" w:type="dxa"/>
          </w:tcPr>
          <w:p>
            <w:pPr>
              <w:pStyle w:val="0"/>
              <w:jc w:val="both"/>
            </w:pPr>
            <w:r>
              <w:rPr>
                <w:sz w:val="20"/>
              </w:rPr>
              <w:t xml:space="preserve">с. Дальнее</w:t>
            </w:r>
          </w:p>
        </w:tc>
        <w:tc>
          <w:tcPr>
            <w:tcW w:w="1701" w:type="dxa"/>
          </w:tcPr>
          <w:p>
            <w:pPr>
              <w:pStyle w:val="0"/>
              <w:jc w:val="center"/>
            </w:pPr>
            <w:r>
              <w:rPr>
                <w:sz w:val="20"/>
              </w:rPr>
              <w:t xml:space="preserve">579</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17</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ФАП</w:t>
            </w:r>
          </w:p>
        </w:tc>
        <w:tc>
          <w:tcPr>
            <w:tcW w:w="1928" w:type="dxa"/>
          </w:tcPr>
          <w:p>
            <w:pPr>
              <w:pStyle w:val="0"/>
              <w:jc w:val="both"/>
            </w:pPr>
            <w:r>
              <w:rPr>
                <w:sz w:val="20"/>
              </w:rPr>
              <w:t xml:space="preserve">с. Поворотное</w:t>
            </w:r>
          </w:p>
        </w:tc>
        <w:tc>
          <w:tcPr>
            <w:tcW w:w="1701" w:type="dxa"/>
          </w:tcPr>
          <w:p>
            <w:pPr>
              <w:pStyle w:val="0"/>
              <w:jc w:val="center"/>
            </w:pPr>
            <w:r>
              <w:rPr>
                <w:sz w:val="20"/>
              </w:rPr>
              <w:t xml:space="preserve">1024</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19</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ВА</w:t>
            </w:r>
          </w:p>
        </w:tc>
        <w:tc>
          <w:tcPr>
            <w:tcW w:w="1928" w:type="dxa"/>
          </w:tcPr>
          <w:p>
            <w:pPr>
              <w:pStyle w:val="0"/>
              <w:jc w:val="both"/>
            </w:pPr>
            <w:r>
              <w:rPr>
                <w:sz w:val="20"/>
              </w:rPr>
              <w:t xml:space="preserve">п. Солнечный</w:t>
            </w:r>
          </w:p>
        </w:tc>
        <w:tc>
          <w:tcPr>
            <w:tcW w:w="1701" w:type="dxa"/>
          </w:tcPr>
          <w:p>
            <w:pPr>
              <w:pStyle w:val="0"/>
              <w:jc w:val="center"/>
            </w:pPr>
            <w:r>
              <w:rPr>
                <w:sz w:val="20"/>
              </w:rPr>
              <w:t xml:space="preserve">3003</w:t>
            </w:r>
          </w:p>
        </w:tc>
        <w:tc>
          <w:tcPr>
            <w:tcW w:w="1304" w:type="dxa"/>
          </w:tcPr>
          <w:p>
            <w:pPr>
              <w:pStyle w:val="0"/>
              <w:jc w:val="center"/>
            </w:pPr>
            <w:r>
              <w:rPr>
                <w:sz w:val="20"/>
              </w:rPr>
              <w:t xml:space="preserve">60</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20</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ВА</w:t>
            </w:r>
          </w:p>
        </w:tc>
        <w:tc>
          <w:tcPr>
            <w:tcW w:w="1928" w:type="dxa"/>
          </w:tcPr>
          <w:p>
            <w:pPr>
              <w:pStyle w:val="0"/>
              <w:jc w:val="both"/>
            </w:pPr>
            <w:r>
              <w:rPr>
                <w:sz w:val="20"/>
              </w:rPr>
              <w:t xml:space="preserve">с. Осипенко</w:t>
            </w:r>
          </w:p>
        </w:tc>
        <w:tc>
          <w:tcPr>
            <w:tcW w:w="1701" w:type="dxa"/>
          </w:tcPr>
          <w:p>
            <w:pPr>
              <w:pStyle w:val="0"/>
              <w:jc w:val="center"/>
            </w:pPr>
            <w:r>
              <w:rPr>
                <w:sz w:val="20"/>
              </w:rPr>
              <w:t xml:space="preserve">4056</w:t>
            </w:r>
          </w:p>
        </w:tc>
        <w:tc>
          <w:tcPr>
            <w:tcW w:w="1304" w:type="dxa"/>
          </w:tcPr>
          <w:p>
            <w:pPr>
              <w:pStyle w:val="0"/>
              <w:jc w:val="center"/>
            </w:pPr>
            <w:r>
              <w:rPr>
                <w:sz w:val="20"/>
              </w:rPr>
              <w:t xml:space="preserve">60</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21</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ВА</w:t>
            </w:r>
          </w:p>
        </w:tc>
        <w:tc>
          <w:tcPr>
            <w:tcW w:w="1928" w:type="dxa"/>
          </w:tcPr>
          <w:p>
            <w:pPr>
              <w:pStyle w:val="0"/>
              <w:jc w:val="both"/>
            </w:pPr>
            <w:r>
              <w:rPr>
                <w:sz w:val="20"/>
              </w:rPr>
              <w:t xml:space="preserve">с. Верхнесадовое</w:t>
            </w:r>
          </w:p>
        </w:tc>
        <w:tc>
          <w:tcPr>
            <w:tcW w:w="1701" w:type="dxa"/>
          </w:tcPr>
          <w:p>
            <w:pPr>
              <w:pStyle w:val="0"/>
              <w:jc w:val="center"/>
            </w:pPr>
            <w:r>
              <w:rPr>
                <w:sz w:val="20"/>
              </w:rPr>
              <w:t xml:space="preserve">5467</w:t>
            </w:r>
          </w:p>
        </w:tc>
        <w:tc>
          <w:tcPr>
            <w:tcW w:w="1304" w:type="dxa"/>
          </w:tcPr>
          <w:p>
            <w:pPr>
              <w:pStyle w:val="0"/>
              <w:jc w:val="center"/>
            </w:pPr>
            <w:r>
              <w:rPr>
                <w:sz w:val="20"/>
              </w:rPr>
              <w:t xml:space="preserve">60</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22</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ВА</w:t>
            </w:r>
          </w:p>
        </w:tc>
        <w:tc>
          <w:tcPr>
            <w:tcW w:w="1928" w:type="dxa"/>
          </w:tcPr>
          <w:p>
            <w:pPr>
              <w:pStyle w:val="0"/>
              <w:jc w:val="both"/>
            </w:pPr>
            <w:r>
              <w:rPr>
                <w:sz w:val="20"/>
              </w:rPr>
              <w:t xml:space="preserve">пгт Кача</w:t>
            </w:r>
          </w:p>
        </w:tc>
        <w:tc>
          <w:tcPr>
            <w:tcW w:w="1701" w:type="dxa"/>
          </w:tcPr>
          <w:p>
            <w:pPr>
              <w:pStyle w:val="0"/>
              <w:jc w:val="center"/>
            </w:pPr>
            <w:r>
              <w:rPr>
                <w:sz w:val="20"/>
              </w:rPr>
              <w:t xml:space="preserve">4911</w:t>
            </w:r>
          </w:p>
        </w:tc>
        <w:tc>
          <w:tcPr>
            <w:tcW w:w="1304" w:type="dxa"/>
          </w:tcPr>
          <w:p>
            <w:pPr>
              <w:pStyle w:val="0"/>
              <w:jc w:val="center"/>
            </w:pPr>
            <w:r>
              <w:rPr>
                <w:sz w:val="20"/>
              </w:rPr>
              <w:t xml:space="preserve">60</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23</w:t>
            </w:r>
          </w:p>
        </w:tc>
        <w:tc>
          <w:tcPr>
            <w:tcW w:w="2248" w:type="dxa"/>
          </w:tcPr>
          <w:p>
            <w:pPr>
              <w:pStyle w:val="0"/>
              <w:jc w:val="both"/>
            </w:pPr>
            <w:r>
              <w:rPr>
                <w:sz w:val="20"/>
              </w:rPr>
              <w:t xml:space="preserve">ГБУЗС "Городская больница N 4"</w:t>
            </w:r>
          </w:p>
        </w:tc>
        <w:tc>
          <w:tcPr>
            <w:tcW w:w="1587" w:type="dxa"/>
          </w:tcPr>
          <w:p>
            <w:pPr>
              <w:pStyle w:val="0"/>
              <w:jc w:val="both"/>
            </w:pPr>
            <w:r>
              <w:rPr>
                <w:sz w:val="20"/>
              </w:rPr>
              <w:t xml:space="preserve">ФАП</w:t>
            </w:r>
          </w:p>
        </w:tc>
        <w:tc>
          <w:tcPr>
            <w:tcW w:w="1928" w:type="dxa"/>
          </w:tcPr>
          <w:p>
            <w:pPr>
              <w:pStyle w:val="0"/>
              <w:jc w:val="both"/>
            </w:pPr>
            <w:r>
              <w:rPr>
                <w:sz w:val="20"/>
              </w:rPr>
              <w:t xml:space="preserve">с. Вишневое</w:t>
            </w:r>
          </w:p>
        </w:tc>
        <w:tc>
          <w:tcPr>
            <w:tcW w:w="1701" w:type="dxa"/>
          </w:tcPr>
          <w:p>
            <w:pPr>
              <w:pStyle w:val="0"/>
              <w:jc w:val="center"/>
            </w:pPr>
            <w:r>
              <w:rPr>
                <w:sz w:val="20"/>
              </w:rPr>
              <w:t xml:space="preserve">-</w:t>
            </w:r>
          </w:p>
        </w:tc>
        <w:tc>
          <w:tcPr>
            <w:tcW w:w="1304" w:type="dxa"/>
          </w:tcPr>
          <w:p>
            <w:pPr>
              <w:pStyle w:val="0"/>
              <w:jc w:val="center"/>
            </w:pPr>
            <w:r>
              <w:rPr>
                <w:sz w:val="20"/>
              </w:rPr>
              <w:t xml:space="preserve">17</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24</w:t>
            </w:r>
          </w:p>
        </w:tc>
        <w:tc>
          <w:tcPr>
            <w:tcW w:w="2248" w:type="dxa"/>
          </w:tcPr>
          <w:p>
            <w:pPr>
              <w:pStyle w:val="0"/>
              <w:jc w:val="both"/>
            </w:pPr>
            <w:r>
              <w:rPr>
                <w:sz w:val="20"/>
              </w:rPr>
              <w:t xml:space="preserve">ГБУЗС "Городская больница N 5 - "ЦОЗМиР"</w:t>
            </w:r>
          </w:p>
        </w:tc>
        <w:tc>
          <w:tcPr>
            <w:tcW w:w="1587" w:type="dxa"/>
          </w:tcPr>
          <w:p>
            <w:pPr>
              <w:pStyle w:val="0"/>
              <w:jc w:val="both"/>
            </w:pPr>
            <w:r>
              <w:rPr>
                <w:sz w:val="20"/>
              </w:rPr>
              <w:t xml:space="preserve">1-е педиатрическое отделение поликлиники N 1</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7416</w:t>
            </w:r>
          </w:p>
        </w:tc>
        <w:tc>
          <w:tcPr>
            <w:tcW w:w="1304" w:type="dxa"/>
          </w:tcPr>
          <w:p>
            <w:pPr>
              <w:pStyle w:val="0"/>
              <w:jc w:val="center"/>
            </w:pPr>
            <w:r>
              <w:rPr>
                <w:sz w:val="20"/>
              </w:rPr>
              <w:t xml:space="preserve">150</w:t>
            </w:r>
          </w:p>
        </w:tc>
        <w:tc>
          <w:tcPr>
            <w:tcW w:w="962" w:type="dxa"/>
          </w:tcPr>
          <w:p>
            <w:pPr>
              <w:pStyle w:val="0"/>
              <w:jc w:val="center"/>
            </w:pPr>
            <w:r>
              <w:rPr>
                <w:sz w:val="20"/>
              </w:rPr>
              <w:t xml:space="preserve">115527</w:t>
            </w:r>
          </w:p>
        </w:tc>
        <w:tc>
          <w:tcPr>
            <w:tcW w:w="963" w:type="dxa"/>
          </w:tcPr>
          <w:p>
            <w:pPr>
              <w:pStyle w:val="0"/>
              <w:jc w:val="center"/>
            </w:pPr>
            <w:r>
              <w:rPr>
                <w:sz w:val="20"/>
              </w:rPr>
              <w:t xml:space="preserve">115527</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25</w:t>
            </w:r>
          </w:p>
        </w:tc>
        <w:tc>
          <w:tcPr>
            <w:tcW w:w="2248" w:type="dxa"/>
          </w:tcPr>
          <w:p>
            <w:pPr>
              <w:pStyle w:val="0"/>
              <w:jc w:val="both"/>
            </w:pPr>
            <w:r>
              <w:rPr>
                <w:sz w:val="20"/>
              </w:rPr>
              <w:t xml:space="preserve">ГБУЗС "Городская больница N 5 - "ЦОЗМиР"</w:t>
            </w:r>
          </w:p>
        </w:tc>
        <w:tc>
          <w:tcPr>
            <w:tcW w:w="1587" w:type="dxa"/>
          </w:tcPr>
          <w:p>
            <w:pPr>
              <w:pStyle w:val="0"/>
              <w:jc w:val="both"/>
            </w:pPr>
            <w:r>
              <w:rPr>
                <w:sz w:val="20"/>
              </w:rPr>
              <w:t xml:space="preserve">2-е педиатрическое отделение поликлиники N 1</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13446</w:t>
            </w:r>
          </w:p>
        </w:tc>
        <w:tc>
          <w:tcPr>
            <w:tcW w:w="1304" w:type="dxa"/>
          </w:tcPr>
          <w:p>
            <w:pPr>
              <w:pStyle w:val="0"/>
              <w:jc w:val="center"/>
            </w:pPr>
            <w:r>
              <w:rPr>
                <w:sz w:val="20"/>
              </w:rPr>
              <w:t xml:space="preserve">300</w:t>
            </w:r>
          </w:p>
        </w:tc>
        <w:tc>
          <w:tcPr>
            <w:tcW w:w="962" w:type="dxa"/>
          </w:tcPr>
          <w:p>
            <w:pPr>
              <w:pStyle w:val="0"/>
              <w:jc w:val="center"/>
            </w:pPr>
            <w:r>
              <w:rPr>
                <w:sz w:val="20"/>
              </w:rPr>
              <w:t xml:space="preserve">115527</w:t>
            </w:r>
          </w:p>
        </w:tc>
        <w:tc>
          <w:tcPr>
            <w:tcW w:w="963" w:type="dxa"/>
          </w:tcPr>
          <w:p>
            <w:pPr>
              <w:pStyle w:val="0"/>
              <w:jc w:val="center"/>
            </w:pPr>
            <w:r>
              <w:rPr>
                <w:sz w:val="20"/>
              </w:rPr>
              <w:t xml:space="preserve">115527</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26</w:t>
            </w:r>
          </w:p>
        </w:tc>
        <w:tc>
          <w:tcPr>
            <w:tcW w:w="2248" w:type="dxa"/>
          </w:tcPr>
          <w:p>
            <w:pPr>
              <w:pStyle w:val="0"/>
              <w:jc w:val="both"/>
            </w:pPr>
            <w:r>
              <w:rPr>
                <w:sz w:val="20"/>
              </w:rPr>
              <w:t xml:space="preserve">ГБУЗС "Городская больница N 5 - "ЦОЗМиР"</w:t>
            </w:r>
          </w:p>
        </w:tc>
        <w:tc>
          <w:tcPr>
            <w:tcW w:w="1587" w:type="dxa"/>
          </w:tcPr>
          <w:p>
            <w:pPr>
              <w:pStyle w:val="0"/>
              <w:jc w:val="both"/>
            </w:pPr>
            <w:r>
              <w:rPr>
                <w:sz w:val="20"/>
              </w:rPr>
              <w:t xml:space="preserve">3-е педиатрическое отделение поликлиники N 1</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6442</w:t>
            </w:r>
          </w:p>
        </w:tc>
        <w:tc>
          <w:tcPr>
            <w:tcW w:w="1304" w:type="dxa"/>
          </w:tcPr>
          <w:p>
            <w:pPr>
              <w:pStyle w:val="0"/>
              <w:jc w:val="center"/>
            </w:pPr>
            <w:r>
              <w:rPr>
                <w:sz w:val="20"/>
              </w:rPr>
              <w:t xml:space="preserve">120</w:t>
            </w:r>
          </w:p>
        </w:tc>
        <w:tc>
          <w:tcPr>
            <w:tcW w:w="962" w:type="dxa"/>
          </w:tcPr>
          <w:p>
            <w:pPr>
              <w:pStyle w:val="0"/>
              <w:jc w:val="center"/>
            </w:pPr>
            <w:r>
              <w:rPr>
                <w:sz w:val="20"/>
              </w:rPr>
              <w:t xml:space="preserve">115527</w:t>
            </w:r>
          </w:p>
        </w:tc>
        <w:tc>
          <w:tcPr>
            <w:tcW w:w="963" w:type="dxa"/>
          </w:tcPr>
          <w:p>
            <w:pPr>
              <w:pStyle w:val="0"/>
              <w:jc w:val="center"/>
            </w:pPr>
            <w:r>
              <w:rPr>
                <w:sz w:val="20"/>
              </w:rPr>
              <w:t xml:space="preserve">115527</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27</w:t>
            </w:r>
          </w:p>
        </w:tc>
        <w:tc>
          <w:tcPr>
            <w:tcW w:w="2248" w:type="dxa"/>
          </w:tcPr>
          <w:p>
            <w:pPr>
              <w:pStyle w:val="0"/>
              <w:jc w:val="both"/>
            </w:pPr>
            <w:r>
              <w:rPr>
                <w:sz w:val="20"/>
              </w:rPr>
              <w:t xml:space="preserve">ГБУЗС "Городская больница N 5 - "ЦОЗМиР"</w:t>
            </w:r>
          </w:p>
        </w:tc>
        <w:tc>
          <w:tcPr>
            <w:tcW w:w="1587" w:type="dxa"/>
          </w:tcPr>
          <w:p>
            <w:pPr>
              <w:pStyle w:val="0"/>
              <w:jc w:val="both"/>
            </w:pPr>
            <w:r>
              <w:rPr>
                <w:sz w:val="20"/>
              </w:rPr>
              <w:t xml:space="preserve">4-е педиатрическое отделение поликлиники N 1</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6236</w:t>
            </w:r>
          </w:p>
        </w:tc>
        <w:tc>
          <w:tcPr>
            <w:tcW w:w="1304" w:type="dxa"/>
          </w:tcPr>
          <w:p>
            <w:pPr>
              <w:pStyle w:val="0"/>
              <w:jc w:val="center"/>
            </w:pPr>
            <w:r>
              <w:rPr>
                <w:sz w:val="20"/>
              </w:rPr>
              <w:t xml:space="preserve">70</w:t>
            </w:r>
          </w:p>
        </w:tc>
        <w:tc>
          <w:tcPr>
            <w:tcW w:w="962" w:type="dxa"/>
          </w:tcPr>
          <w:p>
            <w:pPr>
              <w:pStyle w:val="0"/>
              <w:jc w:val="center"/>
            </w:pPr>
            <w:r>
              <w:rPr>
                <w:sz w:val="20"/>
              </w:rPr>
              <w:t xml:space="preserve">115527</w:t>
            </w:r>
          </w:p>
        </w:tc>
        <w:tc>
          <w:tcPr>
            <w:tcW w:w="963" w:type="dxa"/>
          </w:tcPr>
          <w:p>
            <w:pPr>
              <w:pStyle w:val="0"/>
              <w:jc w:val="center"/>
            </w:pPr>
            <w:r>
              <w:rPr>
                <w:sz w:val="20"/>
              </w:rPr>
              <w:t xml:space="preserve">115527</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28</w:t>
            </w:r>
          </w:p>
        </w:tc>
        <w:tc>
          <w:tcPr>
            <w:tcW w:w="2248" w:type="dxa"/>
          </w:tcPr>
          <w:p>
            <w:pPr>
              <w:pStyle w:val="0"/>
              <w:jc w:val="both"/>
            </w:pPr>
            <w:r>
              <w:rPr>
                <w:sz w:val="20"/>
              </w:rPr>
              <w:t xml:space="preserve">ГБУЗС "Городская больница N 5 - "ЦОЗМиР"</w:t>
            </w:r>
          </w:p>
        </w:tc>
        <w:tc>
          <w:tcPr>
            <w:tcW w:w="1587" w:type="dxa"/>
          </w:tcPr>
          <w:p>
            <w:pPr>
              <w:pStyle w:val="0"/>
              <w:jc w:val="both"/>
            </w:pPr>
            <w:r>
              <w:rPr>
                <w:sz w:val="20"/>
              </w:rPr>
              <w:t xml:space="preserve">1-е педиатрическое отделение поликлиники N 2</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5990</w:t>
            </w:r>
          </w:p>
        </w:tc>
        <w:tc>
          <w:tcPr>
            <w:tcW w:w="1304" w:type="dxa"/>
          </w:tcPr>
          <w:p>
            <w:pPr>
              <w:pStyle w:val="0"/>
              <w:jc w:val="center"/>
            </w:pPr>
            <w:r>
              <w:rPr>
                <w:sz w:val="20"/>
              </w:rPr>
              <w:t xml:space="preserve">128</w:t>
            </w:r>
          </w:p>
        </w:tc>
        <w:tc>
          <w:tcPr>
            <w:tcW w:w="962" w:type="dxa"/>
          </w:tcPr>
          <w:p>
            <w:pPr>
              <w:pStyle w:val="0"/>
              <w:jc w:val="center"/>
            </w:pPr>
            <w:r>
              <w:rPr>
                <w:sz w:val="20"/>
              </w:rPr>
              <w:t xml:space="preserve">111933</w:t>
            </w:r>
          </w:p>
        </w:tc>
        <w:tc>
          <w:tcPr>
            <w:tcW w:w="963" w:type="dxa"/>
          </w:tcPr>
          <w:p>
            <w:pPr>
              <w:pStyle w:val="0"/>
              <w:jc w:val="center"/>
            </w:pPr>
            <w:r>
              <w:rPr>
                <w:sz w:val="20"/>
              </w:rPr>
              <w:t xml:space="preserve">111933</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29</w:t>
            </w:r>
          </w:p>
        </w:tc>
        <w:tc>
          <w:tcPr>
            <w:tcW w:w="2248" w:type="dxa"/>
          </w:tcPr>
          <w:p>
            <w:pPr>
              <w:pStyle w:val="0"/>
              <w:jc w:val="both"/>
            </w:pPr>
            <w:r>
              <w:rPr>
                <w:sz w:val="20"/>
              </w:rPr>
              <w:t xml:space="preserve">ГБУЗС "Городская больница N 5 - "ЦОЗМиР"</w:t>
            </w:r>
          </w:p>
        </w:tc>
        <w:tc>
          <w:tcPr>
            <w:tcW w:w="1587" w:type="dxa"/>
          </w:tcPr>
          <w:p>
            <w:pPr>
              <w:pStyle w:val="0"/>
              <w:jc w:val="both"/>
            </w:pPr>
            <w:r>
              <w:rPr>
                <w:sz w:val="20"/>
              </w:rPr>
              <w:t xml:space="preserve">2-е педиатрическое отделение поликлиники N 2</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8961</w:t>
            </w:r>
          </w:p>
        </w:tc>
        <w:tc>
          <w:tcPr>
            <w:tcW w:w="1304" w:type="dxa"/>
          </w:tcPr>
          <w:p>
            <w:pPr>
              <w:pStyle w:val="0"/>
              <w:jc w:val="center"/>
            </w:pPr>
            <w:r>
              <w:rPr>
                <w:sz w:val="20"/>
              </w:rPr>
              <w:t xml:space="preserve">314</w:t>
            </w:r>
          </w:p>
        </w:tc>
        <w:tc>
          <w:tcPr>
            <w:tcW w:w="962" w:type="dxa"/>
          </w:tcPr>
          <w:p>
            <w:pPr>
              <w:pStyle w:val="0"/>
              <w:jc w:val="center"/>
            </w:pPr>
            <w:r>
              <w:rPr>
                <w:sz w:val="20"/>
              </w:rPr>
              <w:t xml:space="preserve">111933</w:t>
            </w:r>
          </w:p>
        </w:tc>
        <w:tc>
          <w:tcPr>
            <w:tcW w:w="963" w:type="dxa"/>
          </w:tcPr>
          <w:p>
            <w:pPr>
              <w:pStyle w:val="0"/>
              <w:jc w:val="center"/>
            </w:pPr>
            <w:r>
              <w:rPr>
                <w:sz w:val="20"/>
              </w:rPr>
              <w:t xml:space="preserve">111933</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30</w:t>
            </w:r>
          </w:p>
        </w:tc>
        <w:tc>
          <w:tcPr>
            <w:tcW w:w="2248" w:type="dxa"/>
          </w:tcPr>
          <w:p>
            <w:pPr>
              <w:pStyle w:val="0"/>
              <w:jc w:val="both"/>
            </w:pPr>
            <w:r>
              <w:rPr>
                <w:sz w:val="20"/>
              </w:rPr>
              <w:t xml:space="preserve">ГБУЗС "Городская больница N 5 - "ЦОЗМиР"</w:t>
            </w:r>
          </w:p>
        </w:tc>
        <w:tc>
          <w:tcPr>
            <w:tcW w:w="1587" w:type="dxa"/>
          </w:tcPr>
          <w:p>
            <w:pPr>
              <w:pStyle w:val="0"/>
              <w:jc w:val="both"/>
            </w:pPr>
            <w:r>
              <w:rPr>
                <w:sz w:val="20"/>
              </w:rPr>
              <w:t xml:space="preserve">3-е педиатрическое отделение поликлиники N 2</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6014</w:t>
            </w:r>
          </w:p>
        </w:tc>
        <w:tc>
          <w:tcPr>
            <w:tcW w:w="1304" w:type="dxa"/>
          </w:tcPr>
          <w:p>
            <w:pPr>
              <w:pStyle w:val="0"/>
              <w:jc w:val="center"/>
            </w:pPr>
            <w:r>
              <w:rPr>
                <w:sz w:val="20"/>
              </w:rPr>
              <w:t xml:space="preserve">238</w:t>
            </w:r>
          </w:p>
        </w:tc>
        <w:tc>
          <w:tcPr>
            <w:tcW w:w="962" w:type="dxa"/>
          </w:tcPr>
          <w:p>
            <w:pPr>
              <w:pStyle w:val="0"/>
              <w:jc w:val="center"/>
            </w:pPr>
            <w:r>
              <w:rPr>
                <w:sz w:val="20"/>
              </w:rPr>
              <w:t xml:space="preserve">111933</w:t>
            </w:r>
          </w:p>
        </w:tc>
        <w:tc>
          <w:tcPr>
            <w:tcW w:w="963" w:type="dxa"/>
          </w:tcPr>
          <w:p>
            <w:pPr>
              <w:pStyle w:val="0"/>
              <w:jc w:val="center"/>
            </w:pPr>
            <w:r>
              <w:rPr>
                <w:sz w:val="20"/>
              </w:rPr>
              <w:t xml:space="preserve">111933</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31</w:t>
            </w:r>
          </w:p>
        </w:tc>
        <w:tc>
          <w:tcPr>
            <w:tcW w:w="2248" w:type="dxa"/>
          </w:tcPr>
          <w:p>
            <w:pPr>
              <w:pStyle w:val="0"/>
              <w:jc w:val="both"/>
            </w:pPr>
            <w:r>
              <w:rPr>
                <w:sz w:val="20"/>
              </w:rPr>
              <w:t xml:space="preserve">ГБУЗС "Городская больница N 5 - "ЦОЗМиР"</w:t>
            </w:r>
          </w:p>
        </w:tc>
        <w:tc>
          <w:tcPr>
            <w:tcW w:w="1587" w:type="dxa"/>
          </w:tcPr>
          <w:p>
            <w:pPr>
              <w:pStyle w:val="0"/>
              <w:jc w:val="both"/>
            </w:pPr>
            <w:r>
              <w:rPr>
                <w:sz w:val="20"/>
              </w:rPr>
              <w:t xml:space="preserve">3-е педиатрическое отделение поликлиники N 2</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2424</w:t>
            </w:r>
          </w:p>
        </w:tc>
        <w:tc>
          <w:tcPr>
            <w:tcW w:w="1304" w:type="dxa"/>
          </w:tcPr>
          <w:p>
            <w:pPr>
              <w:pStyle w:val="0"/>
              <w:jc w:val="center"/>
            </w:pPr>
            <w:r>
              <w:rPr>
                <w:sz w:val="20"/>
              </w:rPr>
              <w:t xml:space="preserve">80</w:t>
            </w:r>
          </w:p>
        </w:tc>
        <w:tc>
          <w:tcPr>
            <w:tcW w:w="962" w:type="dxa"/>
          </w:tcPr>
          <w:p>
            <w:pPr>
              <w:pStyle w:val="0"/>
              <w:jc w:val="center"/>
            </w:pPr>
            <w:r>
              <w:rPr>
                <w:sz w:val="20"/>
              </w:rPr>
              <w:t xml:space="preserve">111933</w:t>
            </w:r>
          </w:p>
        </w:tc>
        <w:tc>
          <w:tcPr>
            <w:tcW w:w="963" w:type="dxa"/>
          </w:tcPr>
          <w:p>
            <w:pPr>
              <w:pStyle w:val="0"/>
              <w:jc w:val="center"/>
            </w:pPr>
            <w:r>
              <w:rPr>
                <w:sz w:val="20"/>
              </w:rPr>
              <w:t xml:space="preserve">111933</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32</w:t>
            </w:r>
          </w:p>
        </w:tc>
        <w:tc>
          <w:tcPr>
            <w:tcW w:w="2248" w:type="dxa"/>
          </w:tcPr>
          <w:p>
            <w:pPr>
              <w:pStyle w:val="0"/>
              <w:jc w:val="both"/>
            </w:pPr>
            <w:r>
              <w:rPr>
                <w:sz w:val="20"/>
              </w:rPr>
              <w:t xml:space="preserve">ГБУЗС "Городская больница N 5 - "ЦОЗМиР"</w:t>
            </w:r>
          </w:p>
        </w:tc>
        <w:tc>
          <w:tcPr>
            <w:tcW w:w="1587" w:type="dxa"/>
          </w:tcPr>
          <w:p>
            <w:pPr>
              <w:pStyle w:val="0"/>
              <w:jc w:val="both"/>
            </w:pPr>
            <w:r>
              <w:rPr>
                <w:sz w:val="20"/>
              </w:rPr>
              <w:t xml:space="preserve">4-е педиатрическое отделение поликлиники N 2</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3643</w:t>
            </w:r>
          </w:p>
        </w:tc>
        <w:tc>
          <w:tcPr>
            <w:tcW w:w="1304" w:type="dxa"/>
          </w:tcPr>
          <w:p>
            <w:pPr>
              <w:pStyle w:val="0"/>
              <w:jc w:val="center"/>
            </w:pPr>
            <w:r>
              <w:rPr>
                <w:sz w:val="20"/>
              </w:rPr>
              <w:t xml:space="preserve">120</w:t>
            </w:r>
          </w:p>
        </w:tc>
        <w:tc>
          <w:tcPr>
            <w:tcW w:w="962" w:type="dxa"/>
          </w:tcPr>
          <w:p>
            <w:pPr>
              <w:pStyle w:val="0"/>
              <w:jc w:val="center"/>
            </w:pPr>
            <w:r>
              <w:rPr>
                <w:sz w:val="20"/>
              </w:rPr>
              <w:t xml:space="preserve">111933</w:t>
            </w:r>
          </w:p>
        </w:tc>
        <w:tc>
          <w:tcPr>
            <w:tcW w:w="963" w:type="dxa"/>
          </w:tcPr>
          <w:p>
            <w:pPr>
              <w:pStyle w:val="0"/>
              <w:jc w:val="center"/>
            </w:pPr>
            <w:r>
              <w:rPr>
                <w:sz w:val="20"/>
              </w:rPr>
              <w:t xml:space="preserve">111933</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33</w:t>
            </w:r>
          </w:p>
        </w:tc>
        <w:tc>
          <w:tcPr>
            <w:tcW w:w="2248" w:type="dxa"/>
          </w:tcPr>
          <w:p>
            <w:pPr>
              <w:pStyle w:val="0"/>
              <w:jc w:val="both"/>
            </w:pPr>
            <w:r>
              <w:rPr>
                <w:sz w:val="20"/>
              </w:rPr>
              <w:t xml:space="preserve">ГБУЗС "Городская больница N 5 - "ЦОЗМиР"</w:t>
            </w:r>
          </w:p>
        </w:tc>
        <w:tc>
          <w:tcPr>
            <w:tcW w:w="1587" w:type="dxa"/>
          </w:tcPr>
          <w:p>
            <w:pPr>
              <w:pStyle w:val="0"/>
              <w:jc w:val="both"/>
            </w:pPr>
            <w:r>
              <w:rPr>
                <w:sz w:val="20"/>
              </w:rPr>
              <w:t xml:space="preserve">4-е педиатрическое отделение поликлиники N 2</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3495</w:t>
            </w:r>
          </w:p>
        </w:tc>
        <w:tc>
          <w:tcPr>
            <w:tcW w:w="1304" w:type="dxa"/>
          </w:tcPr>
          <w:p>
            <w:pPr>
              <w:pStyle w:val="0"/>
              <w:jc w:val="center"/>
            </w:pPr>
            <w:r>
              <w:rPr>
                <w:sz w:val="20"/>
              </w:rPr>
              <w:t xml:space="preserve">120</w:t>
            </w:r>
          </w:p>
        </w:tc>
        <w:tc>
          <w:tcPr>
            <w:tcW w:w="962" w:type="dxa"/>
          </w:tcPr>
          <w:p>
            <w:pPr>
              <w:pStyle w:val="0"/>
              <w:jc w:val="center"/>
            </w:pPr>
            <w:r>
              <w:rPr>
                <w:sz w:val="20"/>
              </w:rPr>
              <w:t xml:space="preserve">111933</w:t>
            </w:r>
          </w:p>
        </w:tc>
        <w:tc>
          <w:tcPr>
            <w:tcW w:w="963" w:type="dxa"/>
          </w:tcPr>
          <w:p>
            <w:pPr>
              <w:pStyle w:val="0"/>
              <w:jc w:val="center"/>
            </w:pPr>
            <w:r>
              <w:rPr>
                <w:sz w:val="20"/>
              </w:rPr>
              <w:t xml:space="preserve">111933</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36</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Поликлиника взрослая/детская</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22076</w:t>
            </w:r>
          </w:p>
        </w:tc>
        <w:tc>
          <w:tcPr>
            <w:tcW w:w="1304" w:type="dxa"/>
          </w:tcPr>
          <w:p>
            <w:pPr>
              <w:pStyle w:val="0"/>
              <w:jc w:val="center"/>
            </w:pPr>
            <w:r>
              <w:rPr>
                <w:sz w:val="20"/>
              </w:rPr>
              <w:t xml:space="preserve">250</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37</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Поликлиника взрослая</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15844</w:t>
            </w:r>
          </w:p>
        </w:tc>
        <w:tc>
          <w:tcPr>
            <w:tcW w:w="1304" w:type="dxa"/>
          </w:tcPr>
          <w:p>
            <w:pPr>
              <w:pStyle w:val="0"/>
              <w:jc w:val="center"/>
            </w:pPr>
            <w:r>
              <w:rPr>
                <w:sz w:val="20"/>
              </w:rPr>
              <w:t xml:space="preserve">200</w:t>
            </w:r>
          </w:p>
        </w:tc>
        <w:tc>
          <w:tcPr>
            <w:tcW w:w="962" w:type="dxa"/>
          </w:tcPr>
          <w:p>
            <w:pPr>
              <w:pStyle w:val="0"/>
              <w:jc w:val="center"/>
            </w:pPr>
            <w:r>
              <w:rPr>
                <w:sz w:val="20"/>
              </w:rPr>
              <w:t xml:space="preserve">15715</w:t>
            </w:r>
          </w:p>
        </w:tc>
        <w:tc>
          <w:tcPr>
            <w:tcW w:w="963" w:type="dxa"/>
          </w:tcPr>
          <w:p>
            <w:pPr>
              <w:pStyle w:val="0"/>
              <w:jc w:val="center"/>
            </w:pPr>
            <w:r>
              <w:rPr>
                <w:sz w:val="20"/>
              </w:rPr>
              <w:t xml:space="preserve">15715</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38</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Поликлиника детская</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3878</w:t>
            </w:r>
          </w:p>
        </w:tc>
        <w:tc>
          <w:tcPr>
            <w:tcW w:w="1304" w:type="dxa"/>
          </w:tcPr>
          <w:p>
            <w:pPr>
              <w:pStyle w:val="0"/>
              <w:jc w:val="center"/>
            </w:pPr>
            <w:r>
              <w:rPr>
                <w:sz w:val="20"/>
              </w:rPr>
              <w:t xml:space="preserve">50</w:t>
            </w:r>
          </w:p>
        </w:tc>
        <w:tc>
          <w:tcPr>
            <w:tcW w:w="962" w:type="dxa"/>
          </w:tcPr>
          <w:p>
            <w:pPr>
              <w:pStyle w:val="0"/>
              <w:jc w:val="center"/>
            </w:pPr>
            <w:r>
              <w:rPr>
                <w:sz w:val="20"/>
              </w:rPr>
              <w:t xml:space="preserve">33657</w:t>
            </w:r>
          </w:p>
        </w:tc>
        <w:tc>
          <w:tcPr>
            <w:tcW w:w="963" w:type="dxa"/>
          </w:tcPr>
          <w:p>
            <w:pPr>
              <w:pStyle w:val="0"/>
              <w:jc w:val="center"/>
            </w:pPr>
            <w:r>
              <w:rPr>
                <w:sz w:val="20"/>
              </w:rPr>
              <w:t xml:space="preserve">33657</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39</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Здравпункт</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40</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Здравпункт</w:t>
            </w:r>
          </w:p>
        </w:tc>
        <w:tc>
          <w:tcPr>
            <w:tcW w:w="1928" w:type="dxa"/>
          </w:tcPr>
          <w:p>
            <w:pPr>
              <w:pStyle w:val="0"/>
              <w:jc w:val="both"/>
            </w:pPr>
            <w:r>
              <w:rPr>
                <w:sz w:val="20"/>
              </w:rPr>
              <w:t xml:space="preserve">г. Севастополь</w:t>
            </w:r>
          </w:p>
        </w:tc>
        <w:tc>
          <w:tcPr>
            <w:tcW w:w="1701" w:type="dxa"/>
          </w:tcPr>
          <w:p>
            <w:pPr>
              <w:pStyle w:val="0"/>
              <w:jc w:val="center"/>
            </w:pPr>
            <w:r>
              <w:rPr>
                <w:sz w:val="20"/>
              </w:rPr>
              <w:t xml:space="preserve">-</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41</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ВА</w:t>
            </w:r>
          </w:p>
        </w:tc>
        <w:tc>
          <w:tcPr>
            <w:tcW w:w="1928" w:type="dxa"/>
          </w:tcPr>
          <w:p>
            <w:pPr>
              <w:pStyle w:val="0"/>
              <w:jc w:val="both"/>
            </w:pPr>
            <w:r>
              <w:rPr>
                <w:sz w:val="20"/>
              </w:rPr>
              <w:t xml:space="preserve">с. Орлиное</w:t>
            </w:r>
          </w:p>
        </w:tc>
        <w:tc>
          <w:tcPr>
            <w:tcW w:w="1701" w:type="dxa"/>
          </w:tcPr>
          <w:p>
            <w:pPr>
              <w:pStyle w:val="0"/>
              <w:jc w:val="center"/>
            </w:pPr>
            <w:r>
              <w:rPr>
                <w:sz w:val="20"/>
              </w:rPr>
              <w:t xml:space="preserve">5729</w:t>
            </w:r>
          </w:p>
        </w:tc>
        <w:tc>
          <w:tcPr>
            <w:tcW w:w="1304" w:type="dxa"/>
          </w:tcPr>
          <w:p>
            <w:pPr>
              <w:pStyle w:val="0"/>
              <w:jc w:val="center"/>
            </w:pPr>
            <w:r>
              <w:rPr>
                <w:sz w:val="20"/>
              </w:rPr>
              <w:t xml:space="preserve">60</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42</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ВА</w:t>
            </w:r>
          </w:p>
        </w:tc>
        <w:tc>
          <w:tcPr>
            <w:tcW w:w="1928" w:type="dxa"/>
          </w:tcPr>
          <w:p>
            <w:pPr>
              <w:pStyle w:val="0"/>
              <w:jc w:val="both"/>
            </w:pPr>
            <w:r>
              <w:rPr>
                <w:sz w:val="20"/>
              </w:rPr>
              <w:t xml:space="preserve">с. Терновка</w:t>
            </w:r>
          </w:p>
        </w:tc>
        <w:tc>
          <w:tcPr>
            <w:tcW w:w="1701" w:type="dxa"/>
          </w:tcPr>
          <w:p>
            <w:pPr>
              <w:pStyle w:val="0"/>
              <w:jc w:val="center"/>
            </w:pPr>
            <w:r>
              <w:rPr>
                <w:sz w:val="20"/>
              </w:rPr>
              <w:t xml:space="preserve">2734</w:t>
            </w:r>
          </w:p>
        </w:tc>
        <w:tc>
          <w:tcPr>
            <w:tcW w:w="1304" w:type="dxa"/>
          </w:tcPr>
          <w:p>
            <w:pPr>
              <w:pStyle w:val="0"/>
              <w:jc w:val="center"/>
            </w:pPr>
            <w:r>
              <w:rPr>
                <w:sz w:val="20"/>
              </w:rPr>
              <w:t xml:space="preserve">30</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43</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ВА</w:t>
            </w:r>
          </w:p>
        </w:tc>
        <w:tc>
          <w:tcPr>
            <w:tcW w:w="1928" w:type="dxa"/>
          </w:tcPr>
          <w:p>
            <w:pPr>
              <w:pStyle w:val="0"/>
              <w:jc w:val="both"/>
            </w:pPr>
            <w:r>
              <w:rPr>
                <w:sz w:val="20"/>
              </w:rPr>
              <w:t xml:space="preserve">п. Сахарная головка</w:t>
            </w:r>
          </w:p>
        </w:tc>
        <w:tc>
          <w:tcPr>
            <w:tcW w:w="1701" w:type="dxa"/>
          </w:tcPr>
          <w:p>
            <w:pPr>
              <w:pStyle w:val="0"/>
              <w:jc w:val="center"/>
            </w:pPr>
            <w:r>
              <w:rPr>
                <w:sz w:val="20"/>
              </w:rPr>
              <w:t xml:space="preserve">4758</w:t>
            </w:r>
          </w:p>
        </w:tc>
        <w:tc>
          <w:tcPr>
            <w:tcW w:w="1304" w:type="dxa"/>
          </w:tcPr>
          <w:p>
            <w:pPr>
              <w:pStyle w:val="0"/>
              <w:jc w:val="center"/>
            </w:pPr>
            <w:r>
              <w:rPr>
                <w:sz w:val="20"/>
              </w:rPr>
              <w:t xml:space="preserve">60</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44</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ФАП</w:t>
            </w:r>
          </w:p>
        </w:tc>
        <w:tc>
          <w:tcPr>
            <w:tcW w:w="1928" w:type="dxa"/>
          </w:tcPr>
          <w:p>
            <w:pPr>
              <w:pStyle w:val="0"/>
              <w:jc w:val="both"/>
            </w:pPr>
            <w:r>
              <w:rPr>
                <w:sz w:val="20"/>
              </w:rPr>
              <w:t xml:space="preserve">с. Широкое</w:t>
            </w:r>
          </w:p>
        </w:tc>
        <w:tc>
          <w:tcPr>
            <w:tcW w:w="1701" w:type="dxa"/>
          </w:tcPr>
          <w:p>
            <w:pPr>
              <w:pStyle w:val="0"/>
              <w:jc w:val="center"/>
            </w:pPr>
            <w:r>
              <w:rPr>
                <w:sz w:val="20"/>
              </w:rPr>
              <w:t xml:space="preserve">987</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45</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ФАП</w:t>
            </w:r>
          </w:p>
        </w:tc>
        <w:tc>
          <w:tcPr>
            <w:tcW w:w="1928" w:type="dxa"/>
          </w:tcPr>
          <w:p>
            <w:pPr>
              <w:pStyle w:val="0"/>
              <w:jc w:val="both"/>
            </w:pPr>
            <w:r>
              <w:rPr>
                <w:sz w:val="20"/>
              </w:rPr>
              <w:t xml:space="preserve">с. Передовое</w:t>
            </w:r>
          </w:p>
        </w:tc>
        <w:tc>
          <w:tcPr>
            <w:tcW w:w="1701" w:type="dxa"/>
          </w:tcPr>
          <w:p>
            <w:pPr>
              <w:pStyle w:val="0"/>
              <w:jc w:val="center"/>
            </w:pPr>
            <w:r>
              <w:rPr>
                <w:sz w:val="20"/>
              </w:rPr>
              <w:t xml:space="preserve">1264</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46</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ФАП</w:t>
            </w:r>
          </w:p>
        </w:tc>
        <w:tc>
          <w:tcPr>
            <w:tcW w:w="1928" w:type="dxa"/>
          </w:tcPr>
          <w:p>
            <w:pPr>
              <w:pStyle w:val="0"/>
              <w:jc w:val="both"/>
            </w:pPr>
            <w:r>
              <w:rPr>
                <w:sz w:val="20"/>
              </w:rPr>
              <w:t xml:space="preserve">с. Гончарное</w:t>
            </w:r>
          </w:p>
        </w:tc>
        <w:tc>
          <w:tcPr>
            <w:tcW w:w="1701" w:type="dxa"/>
          </w:tcPr>
          <w:p>
            <w:pPr>
              <w:pStyle w:val="0"/>
              <w:jc w:val="center"/>
            </w:pPr>
            <w:r>
              <w:rPr>
                <w:sz w:val="20"/>
              </w:rPr>
              <w:t xml:space="preserve">823</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47</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ФАП</w:t>
            </w:r>
          </w:p>
        </w:tc>
        <w:tc>
          <w:tcPr>
            <w:tcW w:w="1928" w:type="dxa"/>
          </w:tcPr>
          <w:p>
            <w:pPr>
              <w:pStyle w:val="0"/>
              <w:jc w:val="both"/>
            </w:pPr>
            <w:r>
              <w:rPr>
                <w:sz w:val="20"/>
              </w:rPr>
              <w:t xml:space="preserve">с. Родниковое</w:t>
            </w:r>
          </w:p>
        </w:tc>
        <w:tc>
          <w:tcPr>
            <w:tcW w:w="1701" w:type="dxa"/>
          </w:tcPr>
          <w:p>
            <w:pPr>
              <w:pStyle w:val="0"/>
              <w:jc w:val="center"/>
            </w:pPr>
            <w:r>
              <w:rPr>
                <w:sz w:val="20"/>
              </w:rPr>
              <w:t xml:space="preserve">954</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48</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ФАП</w:t>
            </w:r>
          </w:p>
        </w:tc>
        <w:tc>
          <w:tcPr>
            <w:tcW w:w="1928" w:type="dxa"/>
          </w:tcPr>
          <w:p>
            <w:pPr>
              <w:pStyle w:val="0"/>
              <w:jc w:val="both"/>
            </w:pPr>
            <w:r>
              <w:rPr>
                <w:sz w:val="20"/>
              </w:rPr>
              <w:t xml:space="preserve">с. Первомайка</w:t>
            </w:r>
          </w:p>
        </w:tc>
        <w:tc>
          <w:tcPr>
            <w:tcW w:w="1701" w:type="dxa"/>
          </w:tcPr>
          <w:p>
            <w:pPr>
              <w:pStyle w:val="0"/>
              <w:jc w:val="center"/>
            </w:pPr>
            <w:r>
              <w:rPr>
                <w:sz w:val="20"/>
              </w:rPr>
              <w:t xml:space="preserve">967</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49</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ФАП</w:t>
            </w:r>
          </w:p>
        </w:tc>
        <w:tc>
          <w:tcPr>
            <w:tcW w:w="1928" w:type="dxa"/>
          </w:tcPr>
          <w:p>
            <w:pPr>
              <w:pStyle w:val="0"/>
              <w:jc w:val="both"/>
            </w:pPr>
            <w:r>
              <w:rPr>
                <w:sz w:val="20"/>
              </w:rPr>
              <w:t xml:space="preserve">с. Родное</w:t>
            </w:r>
          </w:p>
        </w:tc>
        <w:tc>
          <w:tcPr>
            <w:tcW w:w="1701" w:type="dxa"/>
          </w:tcPr>
          <w:p>
            <w:pPr>
              <w:pStyle w:val="0"/>
              <w:jc w:val="center"/>
            </w:pPr>
            <w:r>
              <w:rPr>
                <w:sz w:val="20"/>
              </w:rPr>
              <w:t xml:space="preserve">895</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50</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ФАП</w:t>
            </w:r>
          </w:p>
        </w:tc>
        <w:tc>
          <w:tcPr>
            <w:tcW w:w="1928" w:type="dxa"/>
          </w:tcPr>
          <w:p>
            <w:pPr>
              <w:pStyle w:val="0"/>
              <w:jc w:val="both"/>
            </w:pPr>
            <w:r>
              <w:rPr>
                <w:sz w:val="20"/>
              </w:rPr>
              <w:t xml:space="preserve">с. Хмельницкое</w:t>
            </w:r>
          </w:p>
        </w:tc>
        <w:tc>
          <w:tcPr>
            <w:tcW w:w="1701" w:type="dxa"/>
          </w:tcPr>
          <w:p>
            <w:pPr>
              <w:pStyle w:val="0"/>
              <w:jc w:val="center"/>
            </w:pPr>
            <w:r>
              <w:rPr>
                <w:sz w:val="20"/>
              </w:rPr>
              <w:t xml:space="preserve">973</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r>
        <w:tc>
          <w:tcPr>
            <w:tcW w:w="727" w:type="dxa"/>
          </w:tcPr>
          <w:p>
            <w:pPr>
              <w:pStyle w:val="0"/>
              <w:jc w:val="center"/>
            </w:pPr>
            <w:r>
              <w:rPr>
                <w:sz w:val="20"/>
              </w:rPr>
              <w:t xml:space="preserve">51</w:t>
            </w:r>
          </w:p>
        </w:tc>
        <w:tc>
          <w:tcPr>
            <w:tcW w:w="2248" w:type="dxa"/>
          </w:tcPr>
          <w:p>
            <w:pPr>
              <w:pStyle w:val="0"/>
              <w:jc w:val="both"/>
            </w:pPr>
            <w:r>
              <w:rPr>
                <w:sz w:val="20"/>
              </w:rPr>
              <w:t xml:space="preserve">ГБУЗС "Городская больница N 9"</w:t>
            </w:r>
          </w:p>
        </w:tc>
        <w:tc>
          <w:tcPr>
            <w:tcW w:w="1587" w:type="dxa"/>
          </w:tcPr>
          <w:p>
            <w:pPr>
              <w:pStyle w:val="0"/>
              <w:jc w:val="both"/>
            </w:pPr>
            <w:r>
              <w:rPr>
                <w:sz w:val="20"/>
              </w:rPr>
              <w:t xml:space="preserve">ФАП</w:t>
            </w:r>
          </w:p>
        </w:tc>
        <w:tc>
          <w:tcPr>
            <w:tcW w:w="1928" w:type="dxa"/>
          </w:tcPr>
          <w:p>
            <w:pPr>
              <w:pStyle w:val="0"/>
              <w:jc w:val="both"/>
            </w:pPr>
            <w:r>
              <w:rPr>
                <w:sz w:val="20"/>
              </w:rPr>
              <w:t xml:space="preserve">с. Тыловое</w:t>
            </w:r>
          </w:p>
        </w:tc>
        <w:tc>
          <w:tcPr>
            <w:tcW w:w="1701" w:type="dxa"/>
          </w:tcPr>
          <w:p>
            <w:pPr>
              <w:pStyle w:val="0"/>
              <w:jc w:val="center"/>
            </w:pPr>
            <w:r>
              <w:rPr>
                <w:sz w:val="20"/>
              </w:rPr>
              <w:t xml:space="preserve">470</w:t>
            </w:r>
          </w:p>
        </w:tc>
        <w:tc>
          <w:tcPr>
            <w:tcW w:w="1304" w:type="dxa"/>
          </w:tcPr>
          <w:p>
            <w:pPr>
              <w:pStyle w:val="0"/>
              <w:jc w:val="center"/>
            </w:pPr>
            <w:r>
              <w:rPr>
                <w:sz w:val="20"/>
              </w:rPr>
              <w:t xml:space="preserve">-</w:t>
            </w:r>
          </w:p>
        </w:tc>
        <w:tc>
          <w:tcPr>
            <w:tcW w:w="962" w:type="dxa"/>
          </w:tcPr>
          <w:p>
            <w:pPr>
              <w:pStyle w:val="0"/>
              <w:jc w:val="center"/>
            </w:pPr>
            <w:r>
              <w:rPr>
                <w:sz w:val="20"/>
              </w:rPr>
              <w:t xml:space="preserve">-</w:t>
            </w:r>
          </w:p>
        </w:tc>
        <w:tc>
          <w:tcPr>
            <w:tcW w:w="963" w:type="dxa"/>
          </w:tcPr>
          <w:p>
            <w:pPr>
              <w:pStyle w:val="0"/>
              <w:jc w:val="center"/>
            </w:pPr>
            <w:r>
              <w:rPr>
                <w:sz w:val="20"/>
              </w:rPr>
              <w:t xml:space="preserve">-</w:t>
            </w:r>
          </w:p>
        </w:tc>
        <w:tc>
          <w:tcPr>
            <w:tcW w:w="964" w:type="dxa"/>
          </w:tcPr>
          <w:p>
            <w:pPr>
              <w:pStyle w:val="0"/>
              <w:jc w:val="both"/>
            </w:pPr>
            <w:r>
              <w:rPr>
                <w:sz w:val="20"/>
              </w:rPr>
              <w:t xml:space="preserve">нет</w:t>
            </w:r>
          </w:p>
        </w:tc>
        <w:tc>
          <w:tcPr>
            <w:tcW w:w="1191" w:type="dxa"/>
          </w:tcPr>
          <w:p>
            <w:pPr>
              <w:pStyle w:val="0"/>
              <w:jc w:val="both"/>
            </w:pPr>
            <w:r>
              <w:rPr>
                <w:sz w:val="20"/>
              </w:rPr>
              <w:t xml:space="preserve">нет</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0"/>
        <w:outlineLvl w:val="3"/>
        <w:jc w:val="right"/>
      </w:pPr>
      <w:r>
        <w:rPr>
          <w:sz w:val="20"/>
        </w:rPr>
        <w:t xml:space="preserve">Таблица 8</w:t>
      </w:r>
    </w:p>
    <w:p>
      <w:pPr>
        <w:pStyle w:val="0"/>
      </w:pPr>
      <w:r>
        <w:rPr>
          <w:sz w:val="20"/>
        </w:rPr>
      </w:r>
    </w:p>
    <w:p>
      <w:pPr>
        <w:pStyle w:val="2"/>
        <w:jc w:val="center"/>
      </w:pPr>
      <w:r>
        <w:rPr>
          <w:sz w:val="20"/>
        </w:rPr>
        <w:t xml:space="preserve">Населенные пункты с численностью населения более 100</w:t>
      </w:r>
    </w:p>
    <w:p>
      <w:pPr>
        <w:pStyle w:val="2"/>
        <w:jc w:val="center"/>
      </w:pPr>
      <w:r>
        <w:rPr>
          <w:sz w:val="20"/>
        </w:rPr>
        <w:t xml:space="preserve">человек, расположенные вне зоны доступности медицинских</w:t>
      </w:r>
    </w:p>
    <w:p>
      <w:pPr>
        <w:pStyle w:val="2"/>
        <w:jc w:val="center"/>
      </w:pPr>
      <w:r>
        <w:rPr>
          <w:sz w:val="20"/>
        </w:rPr>
        <w:t xml:space="preserve">организаций, оказывающих ПМСП</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1417"/>
        <w:gridCol w:w="794"/>
        <w:gridCol w:w="2381"/>
        <w:gridCol w:w="1587"/>
        <w:gridCol w:w="1134"/>
        <w:gridCol w:w="1020"/>
      </w:tblGrid>
      <w:tr>
        <w:tc>
          <w:tcPr>
            <w:tcW w:w="737" w:type="dxa"/>
          </w:tcPr>
          <w:p>
            <w:pPr>
              <w:pStyle w:val="0"/>
              <w:jc w:val="center"/>
            </w:pPr>
            <w:r>
              <w:rPr>
                <w:sz w:val="20"/>
              </w:rPr>
              <w:t xml:space="preserve">N на карте</w:t>
            </w:r>
          </w:p>
        </w:tc>
        <w:tc>
          <w:tcPr>
            <w:tcW w:w="1417" w:type="dxa"/>
          </w:tcPr>
          <w:p>
            <w:pPr>
              <w:pStyle w:val="0"/>
              <w:jc w:val="center"/>
            </w:pPr>
            <w:r>
              <w:rPr>
                <w:sz w:val="20"/>
              </w:rPr>
              <w:t xml:space="preserve">Наименование населенного пункта</w:t>
            </w:r>
          </w:p>
        </w:tc>
        <w:tc>
          <w:tcPr>
            <w:tcW w:w="794" w:type="dxa"/>
          </w:tcPr>
          <w:p>
            <w:pPr>
              <w:pStyle w:val="0"/>
              <w:jc w:val="center"/>
            </w:pPr>
            <w:r>
              <w:rPr>
                <w:sz w:val="20"/>
              </w:rPr>
              <w:t xml:space="preserve">Численность населения</w:t>
            </w:r>
          </w:p>
        </w:tc>
        <w:tc>
          <w:tcPr>
            <w:tcW w:w="2381" w:type="dxa"/>
          </w:tcPr>
          <w:p>
            <w:pPr>
              <w:pStyle w:val="0"/>
              <w:jc w:val="center"/>
            </w:pPr>
            <w:r>
              <w:rPr>
                <w:sz w:val="20"/>
              </w:rPr>
              <w:t xml:space="preserve">Наименование ближайшей медицинской организации и структурного подразделения, оказывающих ПМСП</w:t>
            </w:r>
          </w:p>
        </w:tc>
        <w:tc>
          <w:tcPr>
            <w:tcW w:w="1587" w:type="dxa"/>
          </w:tcPr>
          <w:p>
            <w:pPr>
              <w:pStyle w:val="0"/>
              <w:jc w:val="center"/>
            </w:pPr>
            <w:r>
              <w:rPr>
                <w:sz w:val="20"/>
              </w:rPr>
              <w:t xml:space="preserve">Расстояние до медицинской организации по дорогам общего пользования (км)</w:t>
            </w:r>
          </w:p>
        </w:tc>
        <w:tc>
          <w:tcPr>
            <w:tcW w:w="1134" w:type="dxa"/>
          </w:tcPr>
          <w:p>
            <w:pPr>
              <w:pStyle w:val="0"/>
              <w:jc w:val="center"/>
            </w:pPr>
            <w:r>
              <w:rPr>
                <w:sz w:val="20"/>
              </w:rPr>
              <w:t xml:space="preserve">Тип объекта, планируемого к размещению</w:t>
            </w:r>
          </w:p>
        </w:tc>
        <w:tc>
          <w:tcPr>
            <w:tcW w:w="1020" w:type="dxa"/>
          </w:tcPr>
          <w:p>
            <w:pPr>
              <w:pStyle w:val="0"/>
              <w:jc w:val="center"/>
            </w:pPr>
            <w:r>
              <w:rPr>
                <w:sz w:val="20"/>
              </w:rPr>
              <w:t xml:space="preserve">Год обеспечения объектом</w:t>
            </w:r>
          </w:p>
        </w:tc>
      </w:tr>
      <w:tr>
        <w:tc>
          <w:tcPr>
            <w:tcW w:w="737" w:type="dxa"/>
          </w:tcPr>
          <w:p>
            <w:pPr>
              <w:pStyle w:val="0"/>
              <w:jc w:val="center"/>
            </w:pPr>
            <w:r>
              <w:rPr>
                <w:sz w:val="20"/>
              </w:rPr>
              <w:t xml:space="preserve">1</w:t>
            </w:r>
          </w:p>
        </w:tc>
        <w:tc>
          <w:tcPr>
            <w:tcW w:w="1417" w:type="dxa"/>
          </w:tcPr>
          <w:p>
            <w:pPr>
              <w:pStyle w:val="0"/>
              <w:jc w:val="center"/>
            </w:pPr>
            <w:r>
              <w:rPr>
                <w:sz w:val="20"/>
              </w:rPr>
              <w:t xml:space="preserve">-</w:t>
            </w:r>
          </w:p>
        </w:tc>
        <w:tc>
          <w:tcPr>
            <w:tcW w:w="794" w:type="dxa"/>
          </w:tcPr>
          <w:p>
            <w:pPr>
              <w:pStyle w:val="0"/>
              <w:jc w:val="center"/>
            </w:pPr>
            <w:r>
              <w:rPr>
                <w:sz w:val="20"/>
              </w:rPr>
              <w:t xml:space="preserve">-</w:t>
            </w:r>
          </w:p>
        </w:tc>
        <w:tc>
          <w:tcPr>
            <w:tcW w:w="2381" w:type="dxa"/>
          </w:tcPr>
          <w:p>
            <w:pPr>
              <w:pStyle w:val="0"/>
              <w:jc w:val="center"/>
            </w:pPr>
            <w:r>
              <w:rPr>
                <w:sz w:val="20"/>
              </w:rPr>
              <w:t xml:space="preserve">-</w:t>
            </w:r>
          </w:p>
        </w:tc>
        <w:tc>
          <w:tcPr>
            <w:tcW w:w="1587" w:type="dxa"/>
          </w:tcPr>
          <w:p>
            <w:pPr>
              <w:pStyle w:val="0"/>
              <w:jc w:val="center"/>
            </w:pPr>
            <w:r>
              <w:rPr>
                <w:sz w:val="20"/>
              </w:rPr>
              <w:t xml:space="preserve">-</w:t>
            </w:r>
          </w:p>
        </w:tc>
        <w:tc>
          <w:tcPr>
            <w:tcW w:w="1134" w:type="dxa"/>
          </w:tcPr>
          <w:p>
            <w:pPr>
              <w:pStyle w:val="0"/>
              <w:jc w:val="center"/>
            </w:pPr>
            <w:r>
              <w:rPr>
                <w:sz w:val="20"/>
              </w:rPr>
              <w:t xml:space="preserve">-</w:t>
            </w:r>
          </w:p>
        </w:tc>
        <w:tc>
          <w:tcPr>
            <w:tcW w:w="1020" w:type="dxa"/>
          </w:tcPr>
          <w:p>
            <w:pPr>
              <w:pStyle w:val="0"/>
              <w:jc w:val="center"/>
            </w:pPr>
            <w:r>
              <w:rPr>
                <w:sz w:val="20"/>
              </w:rPr>
              <w:t xml:space="preserve">-</w:t>
            </w:r>
          </w:p>
        </w:tc>
      </w:tr>
    </w:tbl>
    <w:p>
      <w:pPr>
        <w:pStyle w:val="0"/>
        <w:jc w:val="center"/>
      </w:pPr>
      <w:r>
        <w:rPr>
          <w:sz w:val="20"/>
        </w:rPr>
      </w:r>
    </w:p>
    <w:p>
      <w:pPr>
        <w:pStyle w:val="0"/>
        <w:ind w:firstLine="540"/>
        <w:jc w:val="both"/>
      </w:pPr>
      <w:r>
        <w:rPr>
          <w:sz w:val="20"/>
        </w:rPr>
        <w:t xml:space="preserve">В городе Севастополе находится 5 населенных пунктов с числом жителей от 1 до 100 человек, 7 - с числом жителей от 101 до 300 человек, 21 - с числом жителей от 301 до 2000 человек.</w:t>
      </w:r>
    </w:p>
    <w:p>
      <w:pPr>
        <w:pStyle w:val="0"/>
        <w:ind w:firstLine="540"/>
        <w:jc w:val="both"/>
      </w:pPr>
      <w:r>
        <w:rPr>
          <w:sz w:val="20"/>
        </w:rPr>
      </w:r>
    </w:p>
    <w:p>
      <w:pPr>
        <w:pStyle w:val="0"/>
        <w:outlineLvl w:val="3"/>
        <w:jc w:val="right"/>
      </w:pPr>
      <w:r>
        <w:rPr>
          <w:sz w:val="20"/>
        </w:rPr>
        <w:t xml:space="preserve">Рисунок 7</w:t>
      </w:r>
    </w:p>
    <w:p>
      <w:pPr>
        <w:pStyle w:val="0"/>
        <w:jc w:val="right"/>
      </w:pPr>
      <w:r>
        <w:rPr>
          <w:sz w:val="20"/>
        </w:rPr>
      </w:r>
    </w:p>
    <w:p>
      <w:pPr>
        <w:pStyle w:val="2"/>
        <w:jc w:val="center"/>
      </w:pPr>
      <w:r>
        <w:rPr>
          <w:sz w:val="20"/>
        </w:rPr>
        <w:t xml:space="preserve">Карта-схема оптимального размещения на территории города</w:t>
      </w:r>
    </w:p>
    <w:p>
      <w:pPr>
        <w:pStyle w:val="2"/>
        <w:jc w:val="center"/>
      </w:pPr>
      <w:r>
        <w:rPr>
          <w:sz w:val="20"/>
        </w:rPr>
        <w:t xml:space="preserve">Севастополя медицинских организаций, оказывающих первичную</w:t>
      </w:r>
    </w:p>
    <w:p>
      <w:pPr>
        <w:pStyle w:val="2"/>
        <w:jc w:val="center"/>
      </w:pPr>
      <w:r>
        <w:rPr>
          <w:sz w:val="20"/>
        </w:rPr>
        <w:t xml:space="preserve">медико-санитарную помощь, по состоянию к 2025 году</w:t>
      </w:r>
    </w:p>
    <w:p>
      <w:pPr>
        <w:pStyle w:val="0"/>
        <w:jc w:val="center"/>
      </w:pPr>
      <w:r>
        <w:rPr>
          <w:sz w:val="20"/>
        </w:rPr>
      </w:r>
    </w:p>
    <w:p>
      <w:pPr>
        <w:pStyle w:val="2"/>
        <w:outlineLvl w:val="4"/>
        <w:jc w:val="center"/>
      </w:pPr>
      <w:r>
        <w:rPr>
          <w:sz w:val="20"/>
        </w:rPr>
        <w:t xml:space="preserve">Ленинский и Гагаринский районы города Севастополя</w:t>
      </w:r>
    </w:p>
    <w:p>
      <w:pPr>
        <w:pStyle w:val="0"/>
        <w:jc w:val="center"/>
      </w:pPr>
      <w:r>
        <w:rPr>
          <w:sz w:val="20"/>
        </w:rPr>
      </w:r>
    </w:p>
    <w:p>
      <w:pPr>
        <w:pStyle w:val="0"/>
        <w:jc w:val="center"/>
      </w:pPr>
      <w:r>
        <w:rPr>
          <w:position w:val="-200"/>
        </w:rPr>
        <w:drawing>
          <wp:inline distT="0" distB="0" distL="0" distR="0">
            <wp:extent cx="5041265" cy="2675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a:extLst>
                        <a:ext uri="{28A0092B-C50C-407E-A947-70E740481C1C}">
                          <a14:useLocalDpi xmlns:a14="http://schemas.microsoft.com/office/drawing/2010/main" val="0"/>
                        </a:ext>
                      </a:extLst>
                    </a:blip>
                    <a:srcRect/>
                    <a:stretch>
                      <a:fillRect/>
                    </a:stretch>
                  </pic:blipFill>
                  <pic:spPr bwMode="auto">
                    <a:xfrm>
                      <a:off x="0" y="0"/>
                      <a:ext cx="5041265" cy="2675890"/>
                    </a:xfrm>
                    <a:prstGeom prst="rect">
                      <a:avLst/>
                    </a:prstGeom>
                    <a:noFill/>
                    <a:ln>
                      <a:noFill/>
                    </a:ln>
                  </pic:spPr>
                </pic:pic>
              </a:graphicData>
            </a:graphic>
          </wp:inline>
        </w:drawing>
      </w:r>
    </w:p>
    <w:p>
      <w:pPr>
        <w:pStyle w:val="0"/>
        <w:jc w:val="center"/>
      </w:pPr>
      <w:r>
        <w:rPr>
          <w:sz w:val="20"/>
        </w:rPr>
      </w:r>
    </w:p>
    <w:p>
      <w:pPr>
        <w:pStyle w:val="0"/>
        <w:outlineLvl w:val="3"/>
        <w:jc w:val="right"/>
      </w:pPr>
      <w:r>
        <w:rPr>
          <w:sz w:val="20"/>
        </w:rPr>
        <w:t xml:space="preserve">Таблица 9</w:t>
      </w:r>
    </w:p>
    <w:p>
      <w:pPr>
        <w:pStyle w:val="0"/>
      </w:pPr>
      <w:r>
        <w:rPr>
          <w:sz w:val="20"/>
        </w:rPr>
      </w:r>
    </w:p>
    <w:p>
      <w:pPr>
        <w:pStyle w:val="2"/>
        <w:jc w:val="center"/>
      </w:pPr>
      <w:r>
        <w:rPr>
          <w:sz w:val="20"/>
        </w:rPr>
        <w:t xml:space="preserve">Медицинские организации и их структурные подразделения,</w:t>
      </w:r>
    </w:p>
    <w:p>
      <w:pPr>
        <w:pStyle w:val="2"/>
        <w:jc w:val="center"/>
      </w:pPr>
      <w:r>
        <w:rPr>
          <w:sz w:val="20"/>
        </w:rPr>
        <w:t xml:space="preserve">на базе которых оказывается первичная медико-санитарная</w:t>
      </w:r>
    </w:p>
    <w:p>
      <w:pPr>
        <w:pStyle w:val="2"/>
        <w:jc w:val="center"/>
      </w:pPr>
      <w:r>
        <w:rPr>
          <w:sz w:val="20"/>
        </w:rPr>
        <w:t xml:space="preserve">помощь населению, по состоянию к 2025 году</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00"/>
        <w:gridCol w:w="2341"/>
        <w:gridCol w:w="2268"/>
        <w:gridCol w:w="2265"/>
        <w:gridCol w:w="1928"/>
        <w:gridCol w:w="1531"/>
        <w:gridCol w:w="2438"/>
      </w:tblGrid>
      <w:tr>
        <w:tc>
          <w:tcPr>
            <w:tcW w:w="800" w:type="dxa"/>
          </w:tcPr>
          <w:p>
            <w:pPr>
              <w:pStyle w:val="0"/>
              <w:jc w:val="center"/>
            </w:pPr>
            <w:r>
              <w:rPr>
                <w:sz w:val="20"/>
              </w:rPr>
              <w:t xml:space="preserve">N на карте</w:t>
            </w:r>
          </w:p>
        </w:tc>
        <w:tc>
          <w:tcPr>
            <w:tcW w:w="2341" w:type="dxa"/>
          </w:tcPr>
          <w:p>
            <w:pPr>
              <w:pStyle w:val="0"/>
              <w:jc w:val="center"/>
            </w:pPr>
            <w:r>
              <w:rPr>
                <w:sz w:val="20"/>
              </w:rPr>
              <w:t xml:space="preserve">Наименование медицинской организации</w:t>
            </w:r>
          </w:p>
        </w:tc>
        <w:tc>
          <w:tcPr>
            <w:tcW w:w="2268" w:type="dxa"/>
          </w:tcPr>
          <w:p>
            <w:pPr>
              <w:pStyle w:val="0"/>
              <w:jc w:val="center"/>
            </w:pPr>
            <w:r>
              <w:rPr>
                <w:sz w:val="20"/>
              </w:rPr>
              <w:t xml:space="preserve">Тип медицинской организации</w:t>
            </w:r>
          </w:p>
        </w:tc>
        <w:tc>
          <w:tcPr>
            <w:tcW w:w="2265" w:type="dxa"/>
          </w:tcPr>
          <w:p>
            <w:pPr>
              <w:pStyle w:val="0"/>
              <w:jc w:val="center"/>
            </w:pPr>
            <w:r>
              <w:rPr>
                <w:sz w:val="20"/>
              </w:rPr>
              <w:t xml:space="preserve">Обслуживаемые населенные пункты</w:t>
            </w:r>
          </w:p>
        </w:tc>
        <w:tc>
          <w:tcPr>
            <w:tcW w:w="1928" w:type="dxa"/>
          </w:tcPr>
          <w:p>
            <w:pPr>
              <w:pStyle w:val="0"/>
              <w:jc w:val="center"/>
            </w:pPr>
            <w:r>
              <w:rPr>
                <w:sz w:val="20"/>
              </w:rPr>
              <w:t xml:space="preserve">Численность обслуживаемого населения</w:t>
            </w:r>
          </w:p>
        </w:tc>
        <w:tc>
          <w:tcPr>
            <w:tcW w:w="1531" w:type="dxa"/>
          </w:tcPr>
          <w:p>
            <w:pPr>
              <w:pStyle w:val="0"/>
              <w:jc w:val="center"/>
            </w:pPr>
            <w:r>
              <w:rPr>
                <w:sz w:val="20"/>
              </w:rPr>
              <w:t xml:space="preserve">Мощность (посещений в смену)</w:t>
            </w:r>
          </w:p>
        </w:tc>
        <w:tc>
          <w:tcPr>
            <w:tcW w:w="2438" w:type="dxa"/>
          </w:tcPr>
          <w:p>
            <w:pPr>
              <w:pStyle w:val="0"/>
              <w:jc w:val="center"/>
            </w:pPr>
            <w:r>
              <w:rPr>
                <w:sz w:val="20"/>
              </w:rPr>
              <w:t xml:space="preserve">Строительство нового объекта либо изменение типа МО</w:t>
            </w:r>
          </w:p>
        </w:tc>
      </w:tr>
      <w:tr>
        <w:tc>
          <w:tcPr>
            <w:tcW w:w="800" w:type="dxa"/>
          </w:tcPr>
          <w:p>
            <w:pPr>
              <w:pStyle w:val="0"/>
              <w:jc w:val="center"/>
            </w:pPr>
            <w:r>
              <w:rPr>
                <w:sz w:val="20"/>
              </w:rPr>
              <w:t xml:space="preserve">1</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Поликлиника N 1</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26827</w:t>
            </w:r>
          </w:p>
        </w:tc>
        <w:tc>
          <w:tcPr>
            <w:tcW w:w="1531" w:type="dxa"/>
          </w:tcPr>
          <w:p>
            <w:pPr>
              <w:pStyle w:val="0"/>
              <w:jc w:val="center"/>
            </w:pPr>
            <w:r>
              <w:rPr>
                <w:sz w:val="20"/>
              </w:rPr>
              <w:t xml:space="preserve">250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Поликлиника N 2</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61358</w:t>
            </w:r>
          </w:p>
        </w:tc>
        <w:tc>
          <w:tcPr>
            <w:tcW w:w="1531" w:type="dxa"/>
          </w:tcPr>
          <w:p>
            <w:pPr>
              <w:pStyle w:val="0"/>
              <w:jc w:val="center"/>
            </w:pPr>
            <w:r>
              <w:rPr>
                <w:sz w:val="20"/>
              </w:rPr>
              <w:t xml:space="preserve">550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3</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Поликлиника N 3</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35978</w:t>
            </w:r>
          </w:p>
        </w:tc>
        <w:tc>
          <w:tcPr>
            <w:tcW w:w="1531" w:type="dxa"/>
          </w:tcPr>
          <w:p>
            <w:pPr>
              <w:pStyle w:val="0"/>
              <w:jc w:val="center"/>
            </w:pPr>
            <w:r>
              <w:rPr>
                <w:sz w:val="20"/>
              </w:rPr>
              <w:t xml:space="preserve">200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Поликлиника N 4</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71079</w:t>
            </w:r>
          </w:p>
        </w:tc>
        <w:tc>
          <w:tcPr>
            <w:tcW w:w="1531" w:type="dxa"/>
          </w:tcPr>
          <w:p>
            <w:pPr>
              <w:pStyle w:val="0"/>
              <w:jc w:val="center"/>
            </w:pPr>
            <w:r>
              <w:rPr>
                <w:sz w:val="20"/>
              </w:rPr>
              <w:t xml:space="preserve">400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5</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Поликлиника N 5</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56710</w:t>
            </w:r>
          </w:p>
        </w:tc>
        <w:tc>
          <w:tcPr>
            <w:tcW w:w="1531" w:type="dxa"/>
          </w:tcPr>
          <w:p>
            <w:pPr>
              <w:pStyle w:val="0"/>
              <w:jc w:val="center"/>
            </w:pPr>
            <w:r>
              <w:rPr>
                <w:sz w:val="20"/>
              </w:rPr>
              <w:t xml:space="preserve">320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6</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Поликлиническое отделение</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1531" w:type="dxa"/>
          </w:tcPr>
          <w:p>
            <w:pPr>
              <w:pStyle w:val="0"/>
              <w:jc w:val="center"/>
            </w:pPr>
            <w:r>
              <w:rPr>
                <w:sz w:val="20"/>
              </w:rPr>
            </w:r>
          </w:p>
        </w:tc>
        <w:tc>
          <w:tcPr>
            <w:tcW w:w="2438" w:type="dxa"/>
          </w:tcPr>
          <w:p>
            <w:pPr>
              <w:pStyle w:val="0"/>
              <w:jc w:val="both"/>
            </w:pPr>
            <w:r>
              <w:rPr>
                <w:sz w:val="20"/>
              </w:rPr>
              <w:t xml:space="preserve">нет</w:t>
            </w:r>
          </w:p>
        </w:tc>
      </w:tr>
      <w:tr>
        <w:tc>
          <w:tcPr>
            <w:tcW w:w="800" w:type="dxa"/>
          </w:tcPr>
          <w:p>
            <w:pPr>
              <w:pStyle w:val="0"/>
              <w:jc w:val="center"/>
            </w:pPr>
            <w:r>
              <w:rPr>
                <w:sz w:val="20"/>
              </w:rPr>
              <w:t xml:space="preserve">7</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Поликлиническое отделение</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1531" w:type="dxa"/>
          </w:tcPr>
          <w:p>
            <w:pPr>
              <w:pStyle w:val="0"/>
              <w:jc w:val="center"/>
            </w:pPr>
            <w:r>
              <w:rPr>
                <w:sz w:val="20"/>
              </w:rPr>
            </w:r>
          </w:p>
        </w:tc>
        <w:tc>
          <w:tcPr>
            <w:tcW w:w="2438" w:type="dxa"/>
          </w:tcPr>
          <w:p>
            <w:pPr>
              <w:pStyle w:val="0"/>
              <w:jc w:val="both"/>
            </w:pPr>
            <w:r>
              <w:rPr>
                <w:sz w:val="20"/>
              </w:rPr>
              <w:t xml:space="preserve">нет</w:t>
            </w:r>
          </w:p>
        </w:tc>
      </w:tr>
      <w:tr>
        <w:tc>
          <w:tcPr>
            <w:tcW w:w="800" w:type="dxa"/>
          </w:tcPr>
          <w:p>
            <w:pPr>
              <w:pStyle w:val="0"/>
              <w:jc w:val="center"/>
            </w:pPr>
            <w:r>
              <w:rPr>
                <w:sz w:val="20"/>
              </w:rPr>
              <w:t xml:space="preserve">8</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Амбулатория общей практики и семейной медицины</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14189</w:t>
            </w:r>
          </w:p>
        </w:tc>
        <w:tc>
          <w:tcPr>
            <w:tcW w:w="1531" w:type="dxa"/>
          </w:tcPr>
          <w:p>
            <w:pPr>
              <w:pStyle w:val="0"/>
              <w:jc w:val="center"/>
            </w:pPr>
            <w:r>
              <w:rPr>
                <w:sz w:val="20"/>
              </w:rPr>
              <w:t xml:space="preserve">120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9</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Поликлиника взрослая</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1531" w:type="dxa"/>
          </w:tcPr>
          <w:p>
            <w:pPr>
              <w:pStyle w:val="0"/>
              <w:jc w:val="center"/>
            </w:pPr>
            <w:r>
              <w:rPr>
                <w:sz w:val="20"/>
              </w:rPr>
              <w:t xml:space="preserve">320</w:t>
            </w:r>
          </w:p>
        </w:tc>
        <w:tc>
          <w:tcPr>
            <w:tcW w:w="2438" w:type="dxa"/>
          </w:tcPr>
          <w:p>
            <w:pPr>
              <w:pStyle w:val="0"/>
              <w:jc w:val="both"/>
            </w:pPr>
            <w:r>
              <w:rPr>
                <w:sz w:val="20"/>
              </w:rPr>
              <w:t xml:space="preserve">строительство</w:t>
            </w:r>
          </w:p>
        </w:tc>
      </w:tr>
      <w:tr>
        <w:tc>
          <w:tcPr>
            <w:tcW w:w="800" w:type="dxa"/>
          </w:tcPr>
          <w:p>
            <w:pPr>
              <w:pStyle w:val="0"/>
              <w:jc w:val="center"/>
            </w:pPr>
            <w:r>
              <w:rPr>
                <w:sz w:val="20"/>
              </w:rPr>
              <w:t xml:space="preserve">10</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Поликлиника взрослая</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1531" w:type="dxa"/>
          </w:tcPr>
          <w:p>
            <w:pPr>
              <w:pStyle w:val="0"/>
              <w:jc w:val="center"/>
            </w:pPr>
            <w:r>
              <w:rPr>
                <w:sz w:val="20"/>
              </w:rPr>
              <w:t xml:space="preserve">320</w:t>
            </w:r>
          </w:p>
        </w:tc>
        <w:tc>
          <w:tcPr>
            <w:tcW w:w="2438" w:type="dxa"/>
          </w:tcPr>
          <w:p>
            <w:pPr>
              <w:pStyle w:val="0"/>
              <w:jc w:val="both"/>
            </w:pPr>
            <w:r>
              <w:rPr>
                <w:sz w:val="20"/>
              </w:rPr>
              <w:t xml:space="preserve">строительство (ФЦП)</w:t>
            </w:r>
          </w:p>
        </w:tc>
      </w:tr>
      <w:tr>
        <w:tc>
          <w:tcPr>
            <w:tcW w:w="800" w:type="dxa"/>
          </w:tcPr>
          <w:p>
            <w:pPr>
              <w:pStyle w:val="0"/>
              <w:jc w:val="center"/>
            </w:pPr>
            <w:r>
              <w:rPr>
                <w:sz w:val="20"/>
              </w:rPr>
              <w:t xml:space="preserve">11</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Поликлиника взрослая</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1531" w:type="dxa"/>
          </w:tcPr>
          <w:p>
            <w:pPr>
              <w:pStyle w:val="0"/>
              <w:jc w:val="center"/>
            </w:pPr>
            <w:r>
              <w:rPr>
                <w:sz w:val="20"/>
              </w:rPr>
              <w:t xml:space="preserve">320</w:t>
            </w:r>
          </w:p>
        </w:tc>
        <w:tc>
          <w:tcPr>
            <w:tcW w:w="2438" w:type="dxa"/>
          </w:tcPr>
          <w:p>
            <w:pPr>
              <w:pStyle w:val="0"/>
              <w:jc w:val="both"/>
            </w:pPr>
            <w:r>
              <w:rPr>
                <w:sz w:val="20"/>
              </w:rPr>
              <w:t xml:space="preserve">строительство (ФЦП)</w:t>
            </w:r>
          </w:p>
        </w:tc>
      </w:tr>
      <w:tr>
        <w:tc>
          <w:tcPr>
            <w:tcW w:w="800" w:type="dxa"/>
          </w:tcPr>
          <w:p>
            <w:pPr>
              <w:pStyle w:val="0"/>
              <w:jc w:val="center"/>
            </w:pPr>
            <w:r>
              <w:rPr>
                <w:sz w:val="20"/>
              </w:rPr>
              <w:t xml:space="preserve">12</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Поликлиника взрослая</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33493</w:t>
            </w:r>
          </w:p>
        </w:tc>
        <w:tc>
          <w:tcPr>
            <w:tcW w:w="1531" w:type="dxa"/>
          </w:tcPr>
          <w:p>
            <w:pPr>
              <w:pStyle w:val="0"/>
              <w:jc w:val="center"/>
            </w:pPr>
            <w:r>
              <w:rPr>
                <w:sz w:val="20"/>
              </w:rPr>
              <w:t xml:space="preserve">250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13</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Поликлиника детская</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8916</w:t>
            </w:r>
          </w:p>
        </w:tc>
        <w:tc>
          <w:tcPr>
            <w:tcW w:w="1531" w:type="dxa"/>
          </w:tcPr>
          <w:p>
            <w:pPr>
              <w:pStyle w:val="0"/>
              <w:jc w:val="center"/>
            </w:pPr>
            <w:r>
              <w:rPr>
                <w:sz w:val="20"/>
              </w:rPr>
              <w:t xml:space="preserve">250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14</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ФАП</w:t>
            </w:r>
          </w:p>
        </w:tc>
        <w:tc>
          <w:tcPr>
            <w:tcW w:w="2265" w:type="dxa"/>
          </w:tcPr>
          <w:p>
            <w:pPr>
              <w:pStyle w:val="0"/>
              <w:jc w:val="both"/>
            </w:pPr>
            <w:r>
              <w:rPr>
                <w:sz w:val="20"/>
              </w:rPr>
              <w:t xml:space="preserve">с. Андреевка</w:t>
            </w:r>
          </w:p>
        </w:tc>
        <w:tc>
          <w:tcPr>
            <w:tcW w:w="1928" w:type="dxa"/>
          </w:tcPr>
          <w:p>
            <w:pPr>
              <w:pStyle w:val="0"/>
              <w:jc w:val="center"/>
            </w:pPr>
            <w:r>
              <w:rPr>
                <w:sz w:val="20"/>
              </w:rPr>
              <w:t xml:space="preserve">1326</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15</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ФАП</w:t>
            </w:r>
          </w:p>
        </w:tc>
        <w:tc>
          <w:tcPr>
            <w:tcW w:w="2265" w:type="dxa"/>
          </w:tcPr>
          <w:p>
            <w:pPr>
              <w:pStyle w:val="0"/>
              <w:jc w:val="both"/>
            </w:pPr>
            <w:r>
              <w:rPr>
                <w:sz w:val="20"/>
              </w:rPr>
              <w:t xml:space="preserve">с. Фронтовое</w:t>
            </w:r>
          </w:p>
        </w:tc>
        <w:tc>
          <w:tcPr>
            <w:tcW w:w="1928" w:type="dxa"/>
          </w:tcPr>
          <w:p>
            <w:pPr>
              <w:pStyle w:val="0"/>
              <w:jc w:val="center"/>
            </w:pPr>
            <w:r>
              <w:rPr>
                <w:sz w:val="20"/>
              </w:rPr>
              <w:t xml:space="preserve">1049</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16</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ФАП</w:t>
            </w:r>
          </w:p>
        </w:tc>
        <w:tc>
          <w:tcPr>
            <w:tcW w:w="2265" w:type="dxa"/>
          </w:tcPr>
          <w:p>
            <w:pPr>
              <w:pStyle w:val="0"/>
              <w:jc w:val="both"/>
            </w:pPr>
            <w:r>
              <w:rPr>
                <w:sz w:val="20"/>
              </w:rPr>
              <w:t xml:space="preserve">с. Дальнее</w:t>
            </w:r>
          </w:p>
        </w:tc>
        <w:tc>
          <w:tcPr>
            <w:tcW w:w="1928" w:type="dxa"/>
          </w:tcPr>
          <w:p>
            <w:pPr>
              <w:pStyle w:val="0"/>
              <w:jc w:val="center"/>
            </w:pPr>
            <w:r>
              <w:rPr>
                <w:sz w:val="20"/>
              </w:rPr>
              <w:t xml:space="preserve">579</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17</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ФАП</w:t>
            </w:r>
          </w:p>
        </w:tc>
        <w:tc>
          <w:tcPr>
            <w:tcW w:w="2265" w:type="dxa"/>
          </w:tcPr>
          <w:p>
            <w:pPr>
              <w:pStyle w:val="0"/>
              <w:jc w:val="both"/>
            </w:pPr>
            <w:r>
              <w:rPr>
                <w:sz w:val="20"/>
              </w:rPr>
              <w:t xml:space="preserve">с. Поворотное</w:t>
            </w:r>
          </w:p>
        </w:tc>
        <w:tc>
          <w:tcPr>
            <w:tcW w:w="1928" w:type="dxa"/>
          </w:tcPr>
          <w:p>
            <w:pPr>
              <w:pStyle w:val="0"/>
              <w:jc w:val="center"/>
            </w:pPr>
            <w:r>
              <w:rPr>
                <w:sz w:val="20"/>
              </w:rPr>
              <w:t xml:space="preserve">1024</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18</w:t>
            </w:r>
          </w:p>
        </w:tc>
        <w:tc>
          <w:tcPr>
            <w:tcW w:w="2341" w:type="dxa"/>
          </w:tcPr>
          <w:p>
            <w:pPr>
              <w:pStyle w:val="0"/>
              <w:jc w:val="both"/>
            </w:pPr>
            <w:r>
              <w:rPr>
                <w:sz w:val="20"/>
              </w:rPr>
              <w:t xml:space="preserve">ГБУЗС "Городская больница N 1 им. Н.И. Пирогова"</w:t>
            </w:r>
          </w:p>
        </w:tc>
        <w:tc>
          <w:tcPr>
            <w:tcW w:w="2268" w:type="dxa"/>
          </w:tcPr>
          <w:p>
            <w:pPr>
              <w:pStyle w:val="0"/>
              <w:jc w:val="both"/>
            </w:pPr>
            <w:r>
              <w:rPr>
                <w:sz w:val="20"/>
              </w:rPr>
              <w:t xml:space="preserve">ВА</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1531" w:type="dxa"/>
          </w:tcPr>
          <w:p>
            <w:pPr>
              <w:pStyle w:val="0"/>
              <w:jc w:val="center"/>
            </w:pPr>
            <w:r>
              <w:rPr>
                <w:sz w:val="20"/>
              </w:rPr>
              <w:t xml:space="preserve">100</w:t>
            </w:r>
          </w:p>
        </w:tc>
        <w:tc>
          <w:tcPr>
            <w:tcW w:w="2438" w:type="dxa"/>
          </w:tcPr>
          <w:p>
            <w:pPr>
              <w:pStyle w:val="0"/>
              <w:jc w:val="both"/>
            </w:pPr>
            <w:r>
              <w:rPr>
                <w:sz w:val="20"/>
              </w:rPr>
              <w:t xml:space="preserve">строительство</w:t>
            </w:r>
          </w:p>
        </w:tc>
      </w:tr>
      <w:tr>
        <w:tc>
          <w:tcPr>
            <w:tcW w:w="800" w:type="dxa"/>
          </w:tcPr>
          <w:p>
            <w:pPr>
              <w:pStyle w:val="0"/>
              <w:jc w:val="center"/>
            </w:pPr>
            <w:r>
              <w:rPr>
                <w:sz w:val="20"/>
              </w:rPr>
              <w:t xml:space="preserve">19</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ВА</w:t>
            </w:r>
          </w:p>
        </w:tc>
        <w:tc>
          <w:tcPr>
            <w:tcW w:w="2265" w:type="dxa"/>
          </w:tcPr>
          <w:p>
            <w:pPr>
              <w:pStyle w:val="0"/>
              <w:jc w:val="both"/>
            </w:pPr>
            <w:r>
              <w:rPr>
                <w:sz w:val="20"/>
              </w:rPr>
              <w:t xml:space="preserve">п. Солнечный</w:t>
            </w:r>
          </w:p>
        </w:tc>
        <w:tc>
          <w:tcPr>
            <w:tcW w:w="1928" w:type="dxa"/>
          </w:tcPr>
          <w:p>
            <w:pPr>
              <w:pStyle w:val="0"/>
              <w:jc w:val="center"/>
            </w:pPr>
            <w:r>
              <w:rPr>
                <w:sz w:val="20"/>
              </w:rPr>
              <w:t xml:space="preserve">3003</w:t>
            </w:r>
          </w:p>
        </w:tc>
        <w:tc>
          <w:tcPr>
            <w:tcW w:w="1531" w:type="dxa"/>
          </w:tcPr>
          <w:p>
            <w:pPr>
              <w:pStyle w:val="0"/>
              <w:jc w:val="center"/>
            </w:pPr>
            <w:r>
              <w:rPr>
                <w:sz w:val="20"/>
              </w:rPr>
              <w:t xml:space="preserve">60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20</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ВА</w:t>
            </w:r>
          </w:p>
        </w:tc>
        <w:tc>
          <w:tcPr>
            <w:tcW w:w="2265" w:type="dxa"/>
          </w:tcPr>
          <w:p>
            <w:pPr>
              <w:pStyle w:val="0"/>
              <w:jc w:val="both"/>
            </w:pPr>
            <w:r>
              <w:rPr>
                <w:sz w:val="20"/>
              </w:rPr>
              <w:t xml:space="preserve">с. Осипенко</w:t>
            </w:r>
          </w:p>
        </w:tc>
        <w:tc>
          <w:tcPr>
            <w:tcW w:w="1928" w:type="dxa"/>
          </w:tcPr>
          <w:p>
            <w:pPr>
              <w:pStyle w:val="0"/>
              <w:jc w:val="center"/>
            </w:pPr>
            <w:r>
              <w:rPr>
                <w:sz w:val="20"/>
              </w:rPr>
              <w:t xml:space="preserve">4056</w:t>
            </w:r>
          </w:p>
        </w:tc>
        <w:tc>
          <w:tcPr>
            <w:tcW w:w="1531" w:type="dxa"/>
          </w:tcPr>
          <w:p>
            <w:pPr>
              <w:pStyle w:val="0"/>
              <w:jc w:val="center"/>
            </w:pPr>
            <w:r>
              <w:rPr>
                <w:sz w:val="20"/>
              </w:rPr>
              <w:t xml:space="preserve">60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21</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ВА</w:t>
            </w:r>
          </w:p>
        </w:tc>
        <w:tc>
          <w:tcPr>
            <w:tcW w:w="2265" w:type="dxa"/>
          </w:tcPr>
          <w:p>
            <w:pPr>
              <w:pStyle w:val="0"/>
              <w:jc w:val="both"/>
            </w:pPr>
            <w:r>
              <w:rPr>
                <w:sz w:val="20"/>
              </w:rPr>
              <w:t xml:space="preserve">с. Верхнесадовое</w:t>
            </w:r>
          </w:p>
        </w:tc>
        <w:tc>
          <w:tcPr>
            <w:tcW w:w="1928" w:type="dxa"/>
          </w:tcPr>
          <w:p>
            <w:pPr>
              <w:pStyle w:val="0"/>
              <w:jc w:val="center"/>
            </w:pPr>
            <w:r>
              <w:rPr>
                <w:sz w:val="20"/>
              </w:rPr>
              <w:t xml:space="preserve">5467</w:t>
            </w:r>
          </w:p>
        </w:tc>
        <w:tc>
          <w:tcPr>
            <w:tcW w:w="1531" w:type="dxa"/>
          </w:tcPr>
          <w:p>
            <w:pPr>
              <w:pStyle w:val="0"/>
              <w:jc w:val="center"/>
            </w:pPr>
            <w:r>
              <w:rPr>
                <w:sz w:val="20"/>
              </w:rPr>
              <w:t xml:space="preserve">60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22</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ВА</w:t>
            </w:r>
          </w:p>
        </w:tc>
        <w:tc>
          <w:tcPr>
            <w:tcW w:w="2265" w:type="dxa"/>
          </w:tcPr>
          <w:p>
            <w:pPr>
              <w:pStyle w:val="0"/>
              <w:jc w:val="both"/>
            </w:pPr>
            <w:r>
              <w:rPr>
                <w:sz w:val="20"/>
              </w:rPr>
              <w:t xml:space="preserve">п. Кача</w:t>
            </w:r>
          </w:p>
        </w:tc>
        <w:tc>
          <w:tcPr>
            <w:tcW w:w="1928" w:type="dxa"/>
          </w:tcPr>
          <w:p>
            <w:pPr>
              <w:pStyle w:val="0"/>
              <w:jc w:val="center"/>
            </w:pPr>
            <w:r>
              <w:rPr>
                <w:sz w:val="20"/>
              </w:rPr>
              <w:t xml:space="preserve">4911</w:t>
            </w:r>
          </w:p>
        </w:tc>
        <w:tc>
          <w:tcPr>
            <w:tcW w:w="1531" w:type="dxa"/>
          </w:tcPr>
          <w:p>
            <w:pPr>
              <w:pStyle w:val="0"/>
              <w:jc w:val="center"/>
            </w:pPr>
            <w:r>
              <w:rPr>
                <w:sz w:val="20"/>
              </w:rPr>
              <w:t xml:space="preserve">60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23</w:t>
            </w:r>
          </w:p>
        </w:tc>
        <w:tc>
          <w:tcPr>
            <w:tcW w:w="2341" w:type="dxa"/>
          </w:tcPr>
          <w:p>
            <w:pPr>
              <w:pStyle w:val="0"/>
              <w:jc w:val="both"/>
            </w:pPr>
            <w:r>
              <w:rPr>
                <w:sz w:val="20"/>
              </w:rPr>
              <w:t xml:space="preserve">ГБУЗС "Городская больница N 4"</w:t>
            </w:r>
          </w:p>
        </w:tc>
        <w:tc>
          <w:tcPr>
            <w:tcW w:w="2268" w:type="dxa"/>
          </w:tcPr>
          <w:p>
            <w:pPr>
              <w:pStyle w:val="0"/>
              <w:jc w:val="both"/>
            </w:pPr>
            <w:r>
              <w:rPr>
                <w:sz w:val="20"/>
              </w:rPr>
              <w:t xml:space="preserve">ФАП</w:t>
            </w:r>
          </w:p>
        </w:tc>
        <w:tc>
          <w:tcPr>
            <w:tcW w:w="2265" w:type="dxa"/>
          </w:tcPr>
          <w:p>
            <w:pPr>
              <w:pStyle w:val="0"/>
              <w:jc w:val="both"/>
            </w:pPr>
            <w:r>
              <w:rPr>
                <w:sz w:val="20"/>
              </w:rPr>
              <w:t xml:space="preserve">с. Вишневое</w:t>
            </w:r>
          </w:p>
        </w:tc>
        <w:tc>
          <w:tcPr>
            <w:tcW w:w="1928" w:type="dxa"/>
          </w:tcPr>
          <w:p>
            <w:pPr>
              <w:pStyle w:val="0"/>
              <w:jc w:val="center"/>
            </w:pPr>
            <w:r>
              <w:rPr>
                <w:sz w:val="20"/>
              </w:rPr>
              <w:t xml:space="preserve">-</w:t>
            </w:r>
          </w:p>
        </w:tc>
        <w:tc>
          <w:tcPr>
            <w:tcW w:w="1531" w:type="dxa"/>
          </w:tcPr>
          <w:p>
            <w:pPr>
              <w:pStyle w:val="0"/>
              <w:jc w:val="center"/>
            </w:pPr>
            <w:r>
              <w:rPr>
                <w:sz w:val="20"/>
              </w:rPr>
              <w:t xml:space="preserve">17</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24</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1-е педиатрическое отделение поликлиники N 1</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7416</w:t>
            </w:r>
          </w:p>
        </w:tc>
        <w:tc>
          <w:tcPr>
            <w:tcW w:w="1531" w:type="dxa"/>
          </w:tcPr>
          <w:p>
            <w:pPr>
              <w:pStyle w:val="0"/>
              <w:jc w:val="center"/>
            </w:pPr>
            <w:r>
              <w:rPr>
                <w:sz w:val="20"/>
              </w:rPr>
              <w:t xml:space="preserve">150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25</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2-е педиатрическое отделение поликлиники N 1</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13446</w:t>
            </w:r>
          </w:p>
        </w:tc>
        <w:tc>
          <w:tcPr>
            <w:tcW w:w="1531" w:type="dxa"/>
          </w:tcPr>
          <w:p>
            <w:pPr>
              <w:pStyle w:val="0"/>
              <w:jc w:val="center"/>
            </w:pPr>
            <w:r>
              <w:rPr>
                <w:sz w:val="20"/>
              </w:rPr>
              <w:t xml:space="preserve">300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26</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3-е педиатрическое отделение поликлиники N 1</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6442</w:t>
            </w:r>
          </w:p>
        </w:tc>
        <w:tc>
          <w:tcPr>
            <w:tcW w:w="1531" w:type="dxa"/>
          </w:tcPr>
          <w:p>
            <w:pPr>
              <w:pStyle w:val="0"/>
              <w:jc w:val="center"/>
            </w:pPr>
            <w:r>
              <w:rPr>
                <w:sz w:val="20"/>
              </w:rPr>
              <w:t xml:space="preserve">120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27</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4-е педиатрическое отделение поликлиники N 1</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6236</w:t>
            </w:r>
          </w:p>
        </w:tc>
        <w:tc>
          <w:tcPr>
            <w:tcW w:w="1531" w:type="dxa"/>
          </w:tcPr>
          <w:p>
            <w:pPr>
              <w:pStyle w:val="0"/>
              <w:jc w:val="center"/>
            </w:pPr>
            <w:r>
              <w:rPr>
                <w:sz w:val="20"/>
              </w:rPr>
              <w:t xml:space="preserve">70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28</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1-е педиатрическое отделение поликлиники N 2</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5990</w:t>
            </w:r>
          </w:p>
        </w:tc>
        <w:tc>
          <w:tcPr>
            <w:tcW w:w="1531" w:type="dxa"/>
          </w:tcPr>
          <w:p>
            <w:pPr>
              <w:pStyle w:val="0"/>
              <w:jc w:val="center"/>
            </w:pPr>
            <w:r>
              <w:rPr>
                <w:sz w:val="20"/>
              </w:rPr>
              <w:t xml:space="preserve">128</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29</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2-е педиатрическое отделение поликлиники N 2</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8961</w:t>
            </w:r>
          </w:p>
        </w:tc>
        <w:tc>
          <w:tcPr>
            <w:tcW w:w="1531" w:type="dxa"/>
          </w:tcPr>
          <w:p>
            <w:pPr>
              <w:pStyle w:val="0"/>
              <w:jc w:val="center"/>
            </w:pPr>
            <w:r>
              <w:rPr>
                <w:sz w:val="20"/>
              </w:rPr>
              <w:t xml:space="preserve">314</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30</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3-е педиатрическое отделение поликлиники N 2</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6014</w:t>
            </w:r>
          </w:p>
        </w:tc>
        <w:tc>
          <w:tcPr>
            <w:tcW w:w="1531" w:type="dxa"/>
          </w:tcPr>
          <w:p>
            <w:pPr>
              <w:pStyle w:val="0"/>
              <w:jc w:val="center"/>
            </w:pPr>
            <w:r>
              <w:rPr>
                <w:sz w:val="20"/>
              </w:rPr>
              <w:t xml:space="preserve">238</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31</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3-е педиатрическое отделение поликлиники N 2</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2424</w:t>
            </w:r>
          </w:p>
        </w:tc>
        <w:tc>
          <w:tcPr>
            <w:tcW w:w="1531" w:type="dxa"/>
          </w:tcPr>
          <w:p>
            <w:pPr>
              <w:pStyle w:val="0"/>
              <w:jc w:val="center"/>
            </w:pPr>
            <w:r>
              <w:rPr>
                <w:sz w:val="20"/>
              </w:rPr>
              <w:t xml:space="preserve">80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32</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4-е педиатрическое отделение поликлиники N 2</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3643</w:t>
            </w:r>
          </w:p>
        </w:tc>
        <w:tc>
          <w:tcPr>
            <w:tcW w:w="1531" w:type="dxa"/>
          </w:tcPr>
          <w:p>
            <w:pPr>
              <w:pStyle w:val="0"/>
              <w:jc w:val="center"/>
            </w:pPr>
            <w:r>
              <w:rPr>
                <w:sz w:val="20"/>
              </w:rPr>
              <w:t xml:space="preserve">120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33</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4-е педиатрическое отделение поликлиники N 2</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3495</w:t>
            </w:r>
          </w:p>
        </w:tc>
        <w:tc>
          <w:tcPr>
            <w:tcW w:w="1531" w:type="dxa"/>
          </w:tcPr>
          <w:p>
            <w:pPr>
              <w:pStyle w:val="0"/>
              <w:jc w:val="center"/>
            </w:pPr>
            <w:r>
              <w:rPr>
                <w:sz w:val="20"/>
              </w:rPr>
              <w:t xml:space="preserve">120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34</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Детская поликлиника</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1531" w:type="dxa"/>
          </w:tcPr>
          <w:p>
            <w:pPr>
              <w:pStyle w:val="0"/>
              <w:jc w:val="center"/>
            </w:pPr>
            <w:r>
              <w:rPr>
                <w:sz w:val="20"/>
              </w:rPr>
              <w:t xml:space="preserve">200</w:t>
            </w:r>
          </w:p>
        </w:tc>
        <w:tc>
          <w:tcPr>
            <w:tcW w:w="2438" w:type="dxa"/>
          </w:tcPr>
          <w:p>
            <w:pPr>
              <w:pStyle w:val="0"/>
              <w:jc w:val="both"/>
            </w:pPr>
            <w:r>
              <w:rPr>
                <w:sz w:val="20"/>
              </w:rPr>
              <w:t xml:space="preserve">строительство (ФЦП)</w:t>
            </w:r>
          </w:p>
        </w:tc>
      </w:tr>
      <w:tr>
        <w:tc>
          <w:tcPr>
            <w:tcW w:w="800" w:type="dxa"/>
          </w:tcPr>
          <w:p>
            <w:pPr>
              <w:pStyle w:val="0"/>
              <w:jc w:val="center"/>
            </w:pPr>
            <w:r>
              <w:rPr>
                <w:sz w:val="20"/>
              </w:rPr>
              <w:t xml:space="preserve">35</w:t>
            </w:r>
          </w:p>
        </w:tc>
        <w:tc>
          <w:tcPr>
            <w:tcW w:w="2341" w:type="dxa"/>
          </w:tcPr>
          <w:p>
            <w:pPr>
              <w:pStyle w:val="0"/>
              <w:jc w:val="both"/>
            </w:pPr>
            <w:r>
              <w:rPr>
                <w:sz w:val="20"/>
              </w:rPr>
              <w:t xml:space="preserve">ГБУЗС "Городская больница N 5 - "ЦОЗМиР"</w:t>
            </w:r>
          </w:p>
        </w:tc>
        <w:tc>
          <w:tcPr>
            <w:tcW w:w="2268" w:type="dxa"/>
          </w:tcPr>
          <w:p>
            <w:pPr>
              <w:pStyle w:val="0"/>
              <w:jc w:val="both"/>
            </w:pPr>
            <w:r>
              <w:rPr>
                <w:sz w:val="20"/>
              </w:rPr>
              <w:t xml:space="preserve">Детская поликлиника</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1531" w:type="dxa"/>
          </w:tcPr>
          <w:p>
            <w:pPr>
              <w:pStyle w:val="0"/>
              <w:jc w:val="center"/>
            </w:pPr>
            <w:r>
              <w:rPr>
                <w:sz w:val="20"/>
              </w:rPr>
              <w:t xml:space="preserve">100</w:t>
            </w:r>
          </w:p>
        </w:tc>
        <w:tc>
          <w:tcPr>
            <w:tcW w:w="2438" w:type="dxa"/>
          </w:tcPr>
          <w:p>
            <w:pPr>
              <w:pStyle w:val="0"/>
              <w:jc w:val="both"/>
            </w:pPr>
            <w:r>
              <w:rPr>
                <w:sz w:val="20"/>
              </w:rPr>
              <w:t xml:space="preserve">строительство (ФЦП)</w:t>
            </w:r>
          </w:p>
        </w:tc>
      </w:tr>
      <w:tr>
        <w:tc>
          <w:tcPr>
            <w:tcW w:w="800" w:type="dxa"/>
          </w:tcPr>
          <w:p>
            <w:pPr>
              <w:pStyle w:val="0"/>
              <w:jc w:val="center"/>
            </w:pPr>
            <w:r>
              <w:rPr>
                <w:sz w:val="20"/>
              </w:rPr>
              <w:t xml:space="preserve">36</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Поликлиника взрослая/детская</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22076</w:t>
            </w:r>
          </w:p>
        </w:tc>
        <w:tc>
          <w:tcPr>
            <w:tcW w:w="1531" w:type="dxa"/>
          </w:tcPr>
          <w:p>
            <w:pPr>
              <w:pStyle w:val="0"/>
              <w:jc w:val="center"/>
            </w:pPr>
            <w:r>
              <w:rPr>
                <w:sz w:val="20"/>
              </w:rPr>
              <w:t xml:space="preserve">250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37</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Поликлиника взрослая</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15844</w:t>
            </w:r>
          </w:p>
        </w:tc>
        <w:tc>
          <w:tcPr>
            <w:tcW w:w="1531" w:type="dxa"/>
          </w:tcPr>
          <w:p>
            <w:pPr>
              <w:pStyle w:val="0"/>
              <w:jc w:val="center"/>
            </w:pPr>
            <w:r>
              <w:rPr>
                <w:sz w:val="20"/>
              </w:rPr>
              <w:t xml:space="preserve">200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38</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Поликлиника детская</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3878</w:t>
            </w:r>
          </w:p>
        </w:tc>
        <w:tc>
          <w:tcPr>
            <w:tcW w:w="1531" w:type="dxa"/>
          </w:tcPr>
          <w:p>
            <w:pPr>
              <w:pStyle w:val="0"/>
              <w:jc w:val="center"/>
            </w:pPr>
            <w:r>
              <w:rPr>
                <w:sz w:val="20"/>
              </w:rPr>
              <w:t xml:space="preserve">50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39</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Здравпункт</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40</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Здравпункт</w:t>
            </w:r>
          </w:p>
        </w:tc>
        <w:tc>
          <w:tcPr>
            <w:tcW w:w="2265" w:type="dxa"/>
          </w:tcPr>
          <w:p>
            <w:pPr>
              <w:pStyle w:val="0"/>
              <w:jc w:val="both"/>
            </w:pPr>
            <w:r>
              <w:rPr>
                <w:sz w:val="20"/>
              </w:rPr>
              <w:t xml:space="preserve">г. Севастополь</w:t>
            </w:r>
          </w:p>
        </w:tc>
        <w:tc>
          <w:tcPr>
            <w:tcW w:w="1928" w:type="dxa"/>
          </w:tcPr>
          <w:p>
            <w:pPr>
              <w:pStyle w:val="0"/>
              <w:jc w:val="center"/>
            </w:pPr>
            <w:r>
              <w:rPr>
                <w:sz w:val="20"/>
              </w:rPr>
              <w:t xml:space="preserve">-</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41</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ВА</w:t>
            </w:r>
          </w:p>
        </w:tc>
        <w:tc>
          <w:tcPr>
            <w:tcW w:w="2265" w:type="dxa"/>
          </w:tcPr>
          <w:p>
            <w:pPr>
              <w:pStyle w:val="0"/>
              <w:jc w:val="both"/>
            </w:pPr>
            <w:r>
              <w:rPr>
                <w:sz w:val="20"/>
              </w:rPr>
              <w:t xml:space="preserve">с. Орлиное</w:t>
            </w:r>
          </w:p>
        </w:tc>
        <w:tc>
          <w:tcPr>
            <w:tcW w:w="1928" w:type="dxa"/>
          </w:tcPr>
          <w:p>
            <w:pPr>
              <w:pStyle w:val="0"/>
              <w:jc w:val="center"/>
            </w:pPr>
            <w:r>
              <w:rPr>
                <w:sz w:val="20"/>
              </w:rPr>
              <w:t xml:space="preserve">5729</w:t>
            </w:r>
          </w:p>
        </w:tc>
        <w:tc>
          <w:tcPr>
            <w:tcW w:w="1531" w:type="dxa"/>
          </w:tcPr>
          <w:p>
            <w:pPr>
              <w:pStyle w:val="0"/>
              <w:jc w:val="center"/>
            </w:pPr>
            <w:r>
              <w:rPr>
                <w:sz w:val="20"/>
              </w:rPr>
              <w:t xml:space="preserve">60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42</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ВА</w:t>
            </w:r>
          </w:p>
        </w:tc>
        <w:tc>
          <w:tcPr>
            <w:tcW w:w="2265" w:type="dxa"/>
          </w:tcPr>
          <w:p>
            <w:pPr>
              <w:pStyle w:val="0"/>
              <w:jc w:val="both"/>
            </w:pPr>
            <w:r>
              <w:rPr>
                <w:sz w:val="20"/>
              </w:rPr>
              <w:t xml:space="preserve">с. Терновка</w:t>
            </w:r>
          </w:p>
        </w:tc>
        <w:tc>
          <w:tcPr>
            <w:tcW w:w="1928" w:type="dxa"/>
          </w:tcPr>
          <w:p>
            <w:pPr>
              <w:pStyle w:val="0"/>
              <w:jc w:val="center"/>
            </w:pPr>
            <w:r>
              <w:rPr>
                <w:sz w:val="20"/>
              </w:rPr>
              <w:t xml:space="preserve">2734</w:t>
            </w:r>
          </w:p>
        </w:tc>
        <w:tc>
          <w:tcPr>
            <w:tcW w:w="1531" w:type="dxa"/>
          </w:tcPr>
          <w:p>
            <w:pPr>
              <w:pStyle w:val="0"/>
              <w:jc w:val="center"/>
            </w:pPr>
            <w:r>
              <w:rPr>
                <w:sz w:val="20"/>
              </w:rPr>
              <w:t xml:space="preserve">30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43</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ВА</w:t>
            </w:r>
          </w:p>
        </w:tc>
        <w:tc>
          <w:tcPr>
            <w:tcW w:w="2265" w:type="dxa"/>
          </w:tcPr>
          <w:p>
            <w:pPr>
              <w:pStyle w:val="0"/>
              <w:jc w:val="both"/>
            </w:pPr>
            <w:r>
              <w:rPr>
                <w:sz w:val="20"/>
              </w:rPr>
              <w:t xml:space="preserve">п. Сахарная головка</w:t>
            </w:r>
          </w:p>
        </w:tc>
        <w:tc>
          <w:tcPr>
            <w:tcW w:w="1928" w:type="dxa"/>
          </w:tcPr>
          <w:p>
            <w:pPr>
              <w:pStyle w:val="0"/>
              <w:jc w:val="center"/>
            </w:pPr>
            <w:r>
              <w:rPr>
                <w:sz w:val="20"/>
              </w:rPr>
              <w:t xml:space="preserve">4758</w:t>
            </w:r>
          </w:p>
        </w:tc>
        <w:tc>
          <w:tcPr>
            <w:tcW w:w="1531" w:type="dxa"/>
          </w:tcPr>
          <w:p>
            <w:pPr>
              <w:pStyle w:val="0"/>
              <w:jc w:val="center"/>
            </w:pPr>
            <w:r>
              <w:rPr>
                <w:sz w:val="20"/>
              </w:rPr>
              <w:t xml:space="preserve">60</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44</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ФАП</w:t>
            </w:r>
          </w:p>
        </w:tc>
        <w:tc>
          <w:tcPr>
            <w:tcW w:w="2265" w:type="dxa"/>
          </w:tcPr>
          <w:p>
            <w:pPr>
              <w:pStyle w:val="0"/>
              <w:jc w:val="both"/>
            </w:pPr>
            <w:r>
              <w:rPr>
                <w:sz w:val="20"/>
              </w:rPr>
              <w:t xml:space="preserve">с. Широкое</w:t>
            </w:r>
          </w:p>
        </w:tc>
        <w:tc>
          <w:tcPr>
            <w:tcW w:w="1928" w:type="dxa"/>
          </w:tcPr>
          <w:p>
            <w:pPr>
              <w:pStyle w:val="0"/>
              <w:jc w:val="center"/>
            </w:pPr>
            <w:r>
              <w:rPr>
                <w:sz w:val="20"/>
              </w:rPr>
              <w:t xml:space="preserve">987</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45</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ФАП</w:t>
            </w:r>
          </w:p>
        </w:tc>
        <w:tc>
          <w:tcPr>
            <w:tcW w:w="2265" w:type="dxa"/>
          </w:tcPr>
          <w:p>
            <w:pPr>
              <w:pStyle w:val="0"/>
              <w:jc w:val="both"/>
            </w:pPr>
            <w:r>
              <w:rPr>
                <w:sz w:val="20"/>
              </w:rPr>
              <w:t xml:space="preserve">с. Передовое</w:t>
            </w:r>
          </w:p>
        </w:tc>
        <w:tc>
          <w:tcPr>
            <w:tcW w:w="1928" w:type="dxa"/>
          </w:tcPr>
          <w:p>
            <w:pPr>
              <w:pStyle w:val="0"/>
              <w:jc w:val="center"/>
            </w:pPr>
            <w:r>
              <w:rPr>
                <w:sz w:val="20"/>
              </w:rPr>
              <w:t xml:space="preserve">1264</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46</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ФАП</w:t>
            </w:r>
          </w:p>
        </w:tc>
        <w:tc>
          <w:tcPr>
            <w:tcW w:w="2265" w:type="dxa"/>
          </w:tcPr>
          <w:p>
            <w:pPr>
              <w:pStyle w:val="0"/>
              <w:jc w:val="both"/>
            </w:pPr>
            <w:r>
              <w:rPr>
                <w:sz w:val="20"/>
              </w:rPr>
              <w:t xml:space="preserve">с. Гончарное</w:t>
            </w:r>
          </w:p>
        </w:tc>
        <w:tc>
          <w:tcPr>
            <w:tcW w:w="1928" w:type="dxa"/>
          </w:tcPr>
          <w:p>
            <w:pPr>
              <w:pStyle w:val="0"/>
              <w:jc w:val="center"/>
            </w:pPr>
            <w:r>
              <w:rPr>
                <w:sz w:val="20"/>
              </w:rPr>
              <w:t xml:space="preserve">823</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47</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ФАП</w:t>
            </w:r>
          </w:p>
        </w:tc>
        <w:tc>
          <w:tcPr>
            <w:tcW w:w="2265" w:type="dxa"/>
          </w:tcPr>
          <w:p>
            <w:pPr>
              <w:pStyle w:val="0"/>
              <w:jc w:val="both"/>
            </w:pPr>
            <w:r>
              <w:rPr>
                <w:sz w:val="20"/>
              </w:rPr>
              <w:t xml:space="preserve">с. Родниковое</w:t>
            </w:r>
          </w:p>
        </w:tc>
        <w:tc>
          <w:tcPr>
            <w:tcW w:w="1928" w:type="dxa"/>
          </w:tcPr>
          <w:p>
            <w:pPr>
              <w:pStyle w:val="0"/>
              <w:jc w:val="center"/>
            </w:pPr>
            <w:r>
              <w:rPr>
                <w:sz w:val="20"/>
              </w:rPr>
              <w:t xml:space="preserve">954</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48</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ФАП</w:t>
            </w:r>
          </w:p>
        </w:tc>
        <w:tc>
          <w:tcPr>
            <w:tcW w:w="2265" w:type="dxa"/>
          </w:tcPr>
          <w:p>
            <w:pPr>
              <w:pStyle w:val="0"/>
              <w:jc w:val="both"/>
            </w:pPr>
            <w:r>
              <w:rPr>
                <w:sz w:val="20"/>
              </w:rPr>
              <w:t xml:space="preserve">с. Первомайка</w:t>
            </w:r>
          </w:p>
        </w:tc>
        <w:tc>
          <w:tcPr>
            <w:tcW w:w="1928" w:type="dxa"/>
          </w:tcPr>
          <w:p>
            <w:pPr>
              <w:pStyle w:val="0"/>
              <w:jc w:val="center"/>
            </w:pPr>
            <w:r>
              <w:rPr>
                <w:sz w:val="20"/>
              </w:rPr>
              <w:t xml:space="preserve">967</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49</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ФАП</w:t>
            </w:r>
          </w:p>
        </w:tc>
        <w:tc>
          <w:tcPr>
            <w:tcW w:w="2265" w:type="dxa"/>
          </w:tcPr>
          <w:p>
            <w:pPr>
              <w:pStyle w:val="0"/>
              <w:jc w:val="both"/>
            </w:pPr>
            <w:r>
              <w:rPr>
                <w:sz w:val="20"/>
              </w:rPr>
              <w:t xml:space="preserve">с. Родное</w:t>
            </w:r>
          </w:p>
        </w:tc>
        <w:tc>
          <w:tcPr>
            <w:tcW w:w="1928" w:type="dxa"/>
          </w:tcPr>
          <w:p>
            <w:pPr>
              <w:pStyle w:val="0"/>
              <w:jc w:val="center"/>
            </w:pPr>
            <w:r>
              <w:rPr>
                <w:sz w:val="20"/>
              </w:rPr>
              <w:t xml:space="preserve">895</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50</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ФАП</w:t>
            </w:r>
          </w:p>
        </w:tc>
        <w:tc>
          <w:tcPr>
            <w:tcW w:w="2265" w:type="dxa"/>
          </w:tcPr>
          <w:p>
            <w:pPr>
              <w:pStyle w:val="0"/>
              <w:jc w:val="both"/>
            </w:pPr>
            <w:r>
              <w:rPr>
                <w:sz w:val="20"/>
              </w:rPr>
              <w:t xml:space="preserve">с. Хмельницкое</w:t>
            </w:r>
          </w:p>
        </w:tc>
        <w:tc>
          <w:tcPr>
            <w:tcW w:w="1928" w:type="dxa"/>
          </w:tcPr>
          <w:p>
            <w:pPr>
              <w:pStyle w:val="0"/>
              <w:jc w:val="center"/>
            </w:pPr>
            <w:r>
              <w:rPr>
                <w:sz w:val="20"/>
              </w:rPr>
              <w:t xml:space="preserve">973</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r>
        <w:tc>
          <w:tcPr>
            <w:tcW w:w="800" w:type="dxa"/>
          </w:tcPr>
          <w:p>
            <w:pPr>
              <w:pStyle w:val="0"/>
              <w:jc w:val="center"/>
            </w:pPr>
            <w:r>
              <w:rPr>
                <w:sz w:val="20"/>
              </w:rPr>
              <w:t xml:space="preserve">51</w:t>
            </w:r>
          </w:p>
        </w:tc>
        <w:tc>
          <w:tcPr>
            <w:tcW w:w="2341" w:type="dxa"/>
          </w:tcPr>
          <w:p>
            <w:pPr>
              <w:pStyle w:val="0"/>
              <w:jc w:val="both"/>
            </w:pPr>
            <w:r>
              <w:rPr>
                <w:sz w:val="20"/>
              </w:rPr>
              <w:t xml:space="preserve">ГБУЗС "Городская больница N 9"</w:t>
            </w:r>
          </w:p>
        </w:tc>
        <w:tc>
          <w:tcPr>
            <w:tcW w:w="2268" w:type="dxa"/>
          </w:tcPr>
          <w:p>
            <w:pPr>
              <w:pStyle w:val="0"/>
              <w:jc w:val="both"/>
            </w:pPr>
            <w:r>
              <w:rPr>
                <w:sz w:val="20"/>
              </w:rPr>
              <w:t xml:space="preserve">ФАП</w:t>
            </w:r>
          </w:p>
        </w:tc>
        <w:tc>
          <w:tcPr>
            <w:tcW w:w="2265" w:type="dxa"/>
          </w:tcPr>
          <w:p>
            <w:pPr>
              <w:pStyle w:val="0"/>
              <w:jc w:val="both"/>
            </w:pPr>
            <w:r>
              <w:rPr>
                <w:sz w:val="20"/>
              </w:rPr>
              <w:t xml:space="preserve">с. Тыловое</w:t>
            </w:r>
          </w:p>
        </w:tc>
        <w:tc>
          <w:tcPr>
            <w:tcW w:w="1928" w:type="dxa"/>
          </w:tcPr>
          <w:p>
            <w:pPr>
              <w:pStyle w:val="0"/>
              <w:jc w:val="center"/>
            </w:pPr>
            <w:r>
              <w:rPr>
                <w:sz w:val="20"/>
              </w:rPr>
              <w:t xml:space="preserve">470</w:t>
            </w:r>
          </w:p>
        </w:tc>
        <w:tc>
          <w:tcPr>
            <w:tcW w:w="1531" w:type="dxa"/>
          </w:tcPr>
          <w:p>
            <w:pPr>
              <w:pStyle w:val="0"/>
              <w:jc w:val="center"/>
            </w:pPr>
            <w:r>
              <w:rPr>
                <w:sz w:val="20"/>
              </w:rPr>
              <w:t xml:space="preserve">-</w:t>
            </w:r>
          </w:p>
        </w:tc>
        <w:tc>
          <w:tcPr>
            <w:tcW w:w="2438" w:type="dxa"/>
          </w:tcPr>
          <w:p>
            <w:pPr>
              <w:pStyle w:val="0"/>
              <w:jc w:val="both"/>
            </w:pPr>
            <w:r>
              <w:rPr>
                <w:sz w:val="20"/>
              </w:rPr>
              <w:t xml:space="preserve">нет</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0"/>
        <w:outlineLvl w:val="3"/>
        <w:jc w:val="right"/>
      </w:pPr>
      <w:r>
        <w:rPr>
          <w:sz w:val="20"/>
        </w:rPr>
        <w:t xml:space="preserve">Таблица 10</w:t>
      </w:r>
    </w:p>
    <w:p>
      <w:pPr>
        <w:pStyle w:val="0"/>
      </w:pPr>
      <w:r>
        <w:rPr>
          <w:sz w:val="20"/>
        </w:rPr>
      </w:r>
    </w:p>
    <w:p>
      <w:pPr>
        <w:pStyle w:val="2"/>
        <w:jc w:val="center"/>
      </w:pPr>
      <w:r>
        <w:rPr>
          <w:sz w:val="20"/>
        </w:rPr>
        <w:t xml:space="preserve">Населенные пункты с численностью населения более 100</w:t>
      </w:r>
    </w:p>
    <w:p>
      <w:pPr>
        <w:pStyle w:val="2"/>
        <w:jc w:val="center"/>
      </w:pPr>
      <w:r>
        <w:rPr>
          <w:sz w:val="20"/>
        </w:rPr>
        <w:t xml:space="preserve">человек, расположенные вне зоны доступности медицинских</w:t>
      </w:r>
    </w:p>
    <w:p>
      <w:pPr>
        <w:pStyle w:val="2"/>
        <w:jc w:val="center"/>
      </w:pPr>
      <w:r>
        <w:rPr>
          <w:sz w:val="20"/>
        </w:rPr>
        <w:t xml:space="preserve">организаций, оказывающих ПМСП, по состоянию к 2025 году</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
        <w:gridCol w:w="1757"/>
        <w:gridCol w:w="907"/>
        <w:gridCol w:w="2438"/>
        <w:gridCol w:w="1757"/>
        <w:gridCol w:w="1474"/>
      </w:tblGrid>
      <w:tr>
        <w:tc>
          <w:tcPr>
            <w:tcW w:w="731" w:type="dxa"/>
          </w:tcPr>
          <w:p>
            <w:pPr>
              <w:pStyle w:val="0"/>
              <w:jc w:val="center"/>
            </w:pPr>
            <w:r>
              <w:rPr>
                <w:sz w:val="20"/>
              </w:rPr>
              <w:t xml:space="preserve">N на карте</w:t>
            </w:r>
          </w:p>
        </w:tc>
        <w:tc>
          <w:tcPr>
            <w:tcW w:w="1757" w:type="dxa"/>
          </w:tcPr>
          <w:p>
            <w:pPr>
              <w:pStyle w:val="0"/>
              <w:jc w:val="center"/>
            </w:pPr>
            <w:r>
              <w:rPr>
                <w:sz w:val="20"/>
              </w:rPr>
              <w:t xml:space="preserve">Наименование НП</w:t>
            </w:r>
          </w:p>
        </w:tc>
        <w:tc>
          <w:tcPr>
            <w:tcW w:w="907" w:type="dxa"/>
          </w:tcPr>
          <w:p>
            <w:pPr>
              <w:pStyle w:val="0"/>
              <w:jc w:val="center"/>
            </w:pPr>
            <w:r>
              <w:rPr>
                <w:sz w:val="20"/>
              </w:rPr>
              <w:t xml:space="preserve">Численность населения</w:t>
            </w:r>
          </w:p>
        </w:tc>
        <w:tc>
          <w:tcPr>
            <w:tcW w:w="2438" w:type="dxa"/>
          </w:tcPr>
          <w:p>
            <w:pPr>
              <w:pStyle w:val="0"/>
              <w:jc w:val="center"/>
            </w:pPr>
            <w:r>
              <w:rPr>
                <w:sz w:val="20"/>
              </w:rPr>
              <w:t xml:space="preserve">Наименование ближайшей МО и структурного подразделения, оказывающих ПМСП</w:t>
            </w:r>
          </w:p>
        </w:tc>
        <w:tc>
          <w:tcPr>
            <w:tcW w:w="1757" w:type="dxa"/>
          </w:tcPr>
          <w:p>
            <w:pPr>
              <w:pStyle w:val="0"/>
              <w:jc w:val="center"/>
            </w:pPr>
            <w:r>
              <w:rPr>
                <w:sz w:val="20"/>
              </w:rPr>
              <w:t xml:space="preserve">Расстояние до МО по дорогам общего пользования (км)</w:t>
            </w:r>
          </w:p>
        </w:tc>
        <w:tc>
          <w:tcPr>
            <w:tcW w:w="1474" w:type="dxa"/>
          </w:tcPr>
          <w:p>
            <w:pPr>
              <w:pStyle w:val="0"/>
              <w:jc w:val="center"/>
            </w:pPr>
            <w:r>
              <w:rPr>
                <w:sz w:val="20"/>
              </w:rPr>
              <w:t xml:space="preserve">Причина необеспечения доступности</w:t>
            </w:r>
          </w:p>
        </w:tc>
      </w:tr>
      <w:tr>
        <w:tc>
          <w:tcPr>
            <w:tcW w:w="731" w:type="dxa"/>
          </w:tcPr>
          <w:p>
            <w:pPr>
              <w:pStyle w:val="0"/>
              <w:jc w:val="center"/>
            </w:pPr>
            <w:r>
              <w:rPr>
                <w:sz w:val="20"/>
              </w:rPr>
              <w:t xml:space="preserve">1</w:t>
            </w:r>
          </w:p>
        </w:tc>
        <w:tc>
          <w:tcPr>
            <w:tcW w:w="1757" w:type="dxa"/>
          </w:tcPr>
          <w:p>
            <w:pPr>
              <w:pStyle w:val="0"/>
              <w:jc w:val="center"/>
            </w:pPr>
            <w:r>
              <w:rPr>
                <w:sz w:val="20"/>
              </w:rPr>
              <w:t xml:space="preserve">-</w:t>
            </w:r>
          </w:p>
        </w:tc>
        <w:tc>
          <w:tcPr>
            <w:tcW w:w="907" w:type="dxa"/>
          </w:tcPr>
          <w:p>
            <w:pPr>
              <w:pStyle w:val="0"/>
              <w:jc w:val="center"/>
            </w:pPr>
            <w:r>
              <w:rPr>
                <w:sz w:val="20"/>
              </w:rPr>
              <w:t xml:space="preserve">-</w:t>
            </w:r>
          </w:p>
        </w:tc>
        <w:tc>
          <w:tcPr>
            <w:tcW w:w="2438" w:type="dxa"/>
          </w:tcPr>
          <w:p>
            <w:pPr>
              <w:pStyle w:val="0"/>
              <w:jc w:val="center"/>
            </w:pPr>
            <w:r>
              <w:rPr>
                <w:sz w:val="20"/>
              </w:rPr>
              <w:t xml:space="preserve">-</w:t>
            </w:r>
          </w:p>
        </w:tc>
        <w:tc>
          <w:tcPr>
            <w:tcW w:w="1757" w:type="dxa"/>
          </w:tcPr>
          <w:p>
            <w:pPr>
              <w:pStyle w:val="0"/>
              <w:jc w:val="center"/>
            </w:pPr>
            <w:r>
              <w:rPr>
                <w:sz w:val="20"/>
              </w:rPr>
              <w:t xml:space="preserve">-</w:t>
            </w:r>
          </w:p>
        </w:tc>
        <w:tc>
          <w:tcPr>
            <w:tcW w:w="1474" w:type="dxa"/>
          </w:tcPr>
          <w:p>
            <w:pPr>
              <w:pStyle w:val="0"/>
              <w:jc w:val="center"/>
            </w:pPr>
            <w:r>
              <w:rPr>
                <w:sz w:val="20"/>
              </w:rPr>
              <w:t xml:space="preserve">-</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6</w:t>
      </w:r>
    </w:p>
    <w:p>
      <w:pPr>
        <w:pStyle w:val="0"/>
        <w:jc w:val="right"/>
      </w:pPr>
      <w:r>
        <w:rPr>
          <w:sz w:val="20"/>
        </w:rPr>
        <w:t xml:space="preserve">к региональной программе</w:t>
      </w:r>
    </w:p>
    <w:p>
      <w:pPr>
        <w:pStyle w:val="0"/>
        <w:jc w:val="right"/>
      </w:pPr>
      <w:r>
        <w:rPr>
          <w:sz w:val="20"/>
        </w:rPr>
        <w:t xml:space="preserve">"Модернизация первичного звена</w:t>
      </w:r>
    </w:p>
    <w:p>
      <w:pPr>
        <w:pStyle w:val="0"/>
        <w:jc w:val="right"/>
      </w:pPr>
      <w:r>
        <w:rPr>
          <w:sz w:val="20"/>
        </w:rPr>
        <w:t xml:space="preserve">здравоохранения города Севастополя"</w:t>
      </w:r>
    </w:p>
    <w:p>
      <w:pPr>
        <w:pStyle w:val="0"/>
      </w:pPr>
      <w:r>
        <w:rPr>
          <w:sz w:val="20"/>
        </w:rPr>
      </w:r>
    </w:p>
    <w:bookmarkStart w:id="36954" w:name="P36954"/>
    <w:bookmarkEnd w:id="36954"/>
    <w:p>
      <w:pPr>
        <w:pStyle w:val="2"/>
        <w:jc w:val="center"/>
      </w:pPr>
      <w:r>
        <w:rPr>
          <w:sz w:val="20"/>
        </w:rPr>
        <w:t xml:space="preserve">Перечень основных нормативных правовых актов, на основе</w:t>
      </w:r>
    </w:p>
    <w:p>
      <w:pPr>
        <w:pStyle w:val="2"/>
        <w:jc w:val="center"/>
      </w:pPr>
      <w:r>
        <w:rPr>
          <w:sz w:val="20"/>
        </w:rPr>
        <w:t xml:space="preserve">которых разработана региональная программа</w:t>
      </w:r>
    </w:p>
    <w:p>
      <w:pPr>
        <w:pStyle w:val="0"/>
      </w:pPr>
      <w:r>
        <w:rPr>
          <w:sz w:val="20"/>
        </w:rPr>
      </w:r>
    </w:p>
    <w:p>
      <w:pPr>
        <w:pStyle w:val="0"/>
        <w:ind w:firstLine="540"/>
        <w:jc w:val="both"/>
      </w:pPr>
      <w:r>
        <w:rPr>
          <w:sz w:val="20"/>
        </w:rPr>
        <w:t xml:space="preserve">1. </w:t>
      </w:r>
      <w:hyperlink w:history="0" r:id="rId892" w:tooltip="Постановление Правительства РФ от 09.10.2019 N 1304 (ред. от 01.03.2023) &quot;О модернизации первичного звена здравоохранения Российской Федерации&quot; {КонсультантПлюс}">
        <w:r>
          <w:rPr>
            <w:sz w:val="20"/>
            <w:color w:val="0000ff"/>
          </w:rPr>
          <w:t xml:space="preserve">Постановление</w:t>
        </w:r>
      </w:hyperlink>
      <w:r>
        <w:rPr>
          <w:sz w:val="20"/>
        </w:rPr>
        <w:t xml:space="preserve"> Правительства Российской Федерации от 09.10.2019 N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w:t>
      </w:r>
    </w:p>
    <w:p>
      <w:pPr>
        <w:pStyle w:val="0"/>
        <w:spacing w:before="200" w:line-rule="auto"/>
        <w:ind w:firstLine="540"/>
        <w:jc w:val="both"/>
      </w:pPr>
      <w:r>
        <w:rPr>
          <w:sz w:val="20"/>
        </w:rPr>
        <w:t xml:space="preserve">2. </w:t>
      </w:r>
      <w:hyperlink w:history="0" r:id="rId893"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Статья 33</w:t>
        </w:r>
      </w:hyperlink>
      <w:r>
        <w:rPr>
          <w:sz w:val="20"/>
        </w:rPr>
        <w:t xml:space="preserve"> Федерального закона от 21.11.2011 N 323-ФЗ "Об основах охраны здоровья граждан в Российской Федерации", согласно которой:</w:t>
      </w:r>
    </w:p>
    <w:p>
      <w:pPr>
        <w:pStyle w:val="0"/>
        <w:spacing w:before="200" w:line-rule="auto"/>
        <w:ind w:firstLine="540"/>
        <w:jc w:val="both"/>
      </w:pPr>
      <w:r>
        <w:rPr>
          <w:sz w:val="20"/>
        </w:rPr>
        <w:t xml:space="preserve">- 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pPr>
        <w:pStyle w:val="0"/>
        <w:spacing w:before="200" w:line-rule="auto"/>
        <w:ind w:firstLine="540"/>
        <w:jc w:val="both"/>
      </w:pPr>
      <w:r>
        <w:rPr>
          <w:sz w:val="20"/>
        </w:rPr>
        <w:t xml:space="preserve">- организация оказания первичной медико-санитарной помощи гражданам в целях приближения к их месту жительства, месту работы или обучения осуществляется по территориально-участковому принципу, предусматривающему формирование групп обслуживаемого населения по месту жительства, месту работы или учебы в определенных организациях, с учетом положений </w:t>
      </w:r>
      <w:hyperlink w:history="0" r:id="rId894"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статьи 21</w:t>
        </w:r>
      </w:hyperlink>
      <w:r>
        <w:rPr>
          <w:sz w:val="20"/>
        </w:rPr>
        <w:t xml:space="preserve"> настоящего Федерального закона (выбор врача и медицинской организации);</w:t>
      </w:r>
    </w:p>
    <w:p>
      <w:pPr>
        <w:pStyle w:val="0"/>
        <w:spacing w:before="200" w:line-rule="auto"/>
        <w:ind w:firstLine="540"/>
        <w:jc w:val="both"/>
      </w:pPr>
      <w:r>
        <w:rPr>
          <w:sz w:val="20"/>
        </w:rPr>
        <w:t xml:space="preserve">- 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pPr>
        <w:pStyle w:val="0"/>
        <w:spacing w:before="200" w:line-rule="auto"/>
        <w:ind w:firstLine="540"/>
        <w:jc w:val="both"/>
      </w:pPr>
      <w:r>
        <w:rPr>
          <w:sz w:val="20"/>
        </w:rPr>
        <w:t xml:space="preserve">- 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pPr>
        <w:pStyle w:val="0"/>
        <w:spacing w:before="200" w:line-rule="auto"/>
        <w:ind w:firstLine="540"/>
        <w:jc w:val="both"/>
      </w:pPr>
      <w:r>
        <w:rPr>
          <w:sz w:val="20"/>
        </w:rPr>
        <w:t xml:space="preserve">- 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pPr>
        <w:pStyle w:val="0"/>
        <w:spacing w:before="200" w:line-rule="auto"/>
        <w:ind w:firstLine="540"/>
        <w:jc w:val="both"/>
      </w:pPr>
      <w:r>
        <w:rPr>
          <w:sz w:val="20"/>
        </w:rPr>
        <w:t xml:space="preserve">- первичная медико-санитарная помощь оказывается в амбулаторных условиях и в условиях дневного стационара;</w:t>
      </w:r>
    </w:p>
    <w:p>
      <w:pPr>
        <w:pStyle w:val="0"/>
        <w:spacing w:before="200" w:line-rule="auto"/>
        <w:ind w:firstLine="540"/>
        <w:jc w:val="both"/>
      </w:pPr>
      <w:r>
        <w:rPr>
          <w:sz w:val="20"/>
        </w:rPr>
        <w:t xml:space="preserve">- в целях оказания гражданам первичной медико-санитарной помощи при внезапных острых заболеваниях, состояниях, обострении хронических заболеваний, не сопровождающихся угрозой жизни пациента и не требующих экстренной медицинской помощи, в структуре медицинских организаций могут создаваться подразделения медицинской помощи, оказывающие указанную помощь в неотложной форме.</w:t>
      </w:r>
    </w:p>
    <w:p>
      <w:pPr>
        <w:pStyle w:val="0"/>
        <w:spacing w:before="200" w:line-rule="auto"/>
        <w:ind w:firstLine="540"/>
        <w:jc w:val="both"/>
      </w:pPr>
      <w:r>
        <w:rPr>
          <w:sz w:val="20"/>
        </w:rPr>
        <w:t xml:space="preserve">3. </w:t>
      </w:r>
      <w:hyperlink w:history="0" r:id="rId895"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Приказом</w:t>
        </w:r>
      </w:hyperlink>
      <w:r>
        <w:rPr>
          <w:sz w:val="20"/>
        </w:rP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 урегулированы:</w:t>
      </w:r>
    </w:p>
    <w:p>
      <w:pPr>
        <w:pStyle w:val="0"/>
        <w:spacing w:before="200" w:line-rule="auto"/>
        <w:ind w:firstLine="540"/>
        <w:jc w:val="both"/>
      </w:pPr>
      <w:r>
        <w:rPr>
          <w:sz w:val="20"/>
        </w:rPr>
        <w:t xml:space="preserve">- виды участков и численность прикрепленного населения на участках;</w:t>
      </w:r>
    </w:p>
    <w:p>
      <w:pPr>
        <w:pStyle w:val="0"/>
        <w:spacing w:before="200" w:line-rule="auto"/>
        <w:ind w:firstLine="540"/>
        <w:jc w:val="both"/>
      </w:pPr>
      <w:r>
        <w:rPr>
          <w:sz w:val="20"/>
        </w:rPr>
        <w:t xml:space="preserve">- вопросы создания при медицинских организациях сети фельдшерско-акушерских пунктов и фельдшерских здравпунктов на селе в зависимости от численности населения и удаленности от другой медицинской организации, а также организации оказания первой помощи с привлечением одного из домовых хозяйств;</w:t>
      </w:r>
    </w:p>
    <w:p>
      <w:pPr>
        <w:pStyle w:val="0"/>
        <w:spacing w:before="200" w:line-rule="auto"/>
        <w:ind w:firstLine="540"/>
        <w:jc w:val="both"/>
      </w:pPr>
      <w:r>
        <w:rPr>
          <w:sz w:val="20"/>
        </w:rPr>
        <w:t xml:space="preserve">- правила организации деятельности, рекомендуемые штатные нормативы и стандарты оснащения отдельных подразделений поликлиники (кабинет (отделение) доврачебной помощи, регистратура, отделение (кабинет) неотложной медицинской помощи, кабинет врача общей практики (семейного врача), мобильная медицинская бригада поликлиники, дневной стационар), врачебной амбулатории, фельдшерско-акушерского пункта, фельдшерского здравпункта, центра (отделения) общей врачебной практики (семейной медицины).</w:t>
      </w:r>
    </w:p>
    <w:p>
      <w:pPr>
        <w:pStyle w:val="0"/>
        <w:spacing w:before="200" w:line-rule="auto"/>
        <w:ind w:firstLine="540"/>
        <w:jc w:val="both"/>
      </w:pPr>
      <w:r>
        <w:rPr>
          <w:sz w:val="20"/>
        </w:rPr>
        <w:t xml:space="preserve">4. Приказ Минздравсоцразвития России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p>
      <w:pPr>
        <w:pStyle w:val="0"/>
        <w:spacing w:before="200" w:line-rule="auto"/>
        <w:ind w:firstLine="540"/>
        <w:jc w:val="both"/>
      </w:pPr>
      <w:r>
        <w:rPr>
          <w:sz w:val="20"/>
        </w:rPr>
        <w:t xml:space="preserve">5. </w:t>
      </w:r>
      <w:hyperlink w:history="0" r:id="rId896"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Приказом</w:t>
        </w:r>
      </w:hyperlink>
      <w:r>
        <w:rPr>
          <w:sz w:val="20"/>
        </w:rPr>
        <w:t xml:space="preserve"> Минздрава России от 07.03.2018 N 92н "Об утверждении Положения об организации оказания первичной медико-санитарной помощи детям" урегулированы:</w:t>
      </w:r>
    </w:p>
    <w:p>
      <w:pPr>
        <w:pStyle w:val="0"/>
        <w:spacing w:before="200" w:line-rule="auto"/>
        <w:ind w:firstLine="540"/>
        <w:jc w:val="both"/>
      </w:pPr>
      <w:r>
        <w:rPr>
          <w:sz w:val="20"/>
        </w:rPr>
        <w:t xml:space="preserve">- рекомендуемая численность прикрепленных детей на участке (800 детей);</w:t>
      </w:r>
    </w:p>
    <w:p>
      <w:pPr>
        <w:pStyle w:val="0"/>
        <w:spacing w:before="200" w:line-rule="auto"/>
        <w:ind w:firstLine="540"/>
        <w:jc w:val="both"/>
      </w:pPr>
      <w:r>
        <w:rPr>
          <w:sz w:val="20"/>
        </w:rPr>
        <w:t xml:space="preserve">- разделение медицинских организаций, оказывающих первичную медико-санитарную помощь детям:</w:t>
      </w:r>
    </w:p>
    <w:p>
      <w:pPr>
        <w:pStyle w:val="0"/>
        <w:spacing w:before="200" w:line-rule="auto"/>
        <w:ind w:firstLine="540"/>
        <w:jc w:val="both"/>
      </w:pPr>
      <w:r>
        <w:rPr>
          <w:sz w:val="20"/>
        </w:rPr>
        <w:t xml:space="preserve">- первая группа - поликлиники, поликлинические отделения при центральных районных больницах и районных больницах, оказывающие первичную медико-санитарную помощь детям;</w:t>
      </w:r>
    </w:p>
    <w:p>
      <w:pPr>
        <w:pStyle w:val="0"/>
        <w:spacing w:before="200" w:line-rule="auto"/>
        <w:ind w:firstLine="540"/>
        <w:jc w:val="both"/>
      </w:pPr>
      <w:r>
        <w:rPr>
          <w:sz w:val="20"/>
        </w:rPr>
        <w:t xml:space="preserve">- вторая группа - самостоятельные детские поликлиники, поликлинические отделения в составе городских поликлиник, в том числе детских больниц и центральных районных больниц, исполняющих функции межрайонных центров;</w:t>
      </w:r>
    </w:p>
    <w:p>
      <w:pPr>
        <w:pStyle w:val="0"/>
        <w:spacing w:before="200" w:line-rule="auto"/>
        <w:ind w:firstLine="540"/>
        <w:jc w:val="both"/>
      </w:pPr>
      <w:r>
        <w:rPr>
          <w:sz w:val="20"/>
        </w:rPr>
        <w:t xml:space="preserve">- третья группа - самостоятельные консультативно-диагностические центры для детей, а также консультативно-диагностические центры и детские поликлиники (отделения) в структуре республиканских, краевых, областных, окружных, городских больниц;</w:t>
      </w:r>
    </w:p>
    <w:p>
      <w:pPr>
        <w:pStyle w:val="0"/>
        <w:spacing w:before="200" w:line-rule="auto"/>
        <w:ind w:firstLine="540"/>
        <w:jc w:val="both"/>
      </w:pPr>
      <w:r>
        <w:rPr>
          <w:sz w:val="20"/>
        </w:rPr>
        <w:t xml:space="preserve">- правила организации деятельности, рекомендуемые штатные нормативы и стандарты оснащения кабинета врача-педиатра участкового, детской поликлиники (детского поликлинического отделения) - стандарт оснащения разграничен по уровням.</w:t>
      </w:r>
    </w:p>
    <w:p>
      <w:pPr>
        <w:pStyle w:val="0"/>
        <w:spacing w:before="200" w:line-rule="auto"/>
        <w:ind w:firstLine="540"/>
        <w:jc w:val="both"/>
      </w:pPr>
      <w:r>
        <w:rPr>
          <w:sz w:val="20"/>
        </w:rPr>
        <w:t xml:space="preserve">6. Совместным </w:t>
      </w:r>
      <w:hyperlink w:history="0" r:id="rId897"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приказом</w:t>
        </w:r>
      </w:hyperlink>
      <w:r>
        <w:rPr>
          <w:sz w:val="20"/>
        </w:rPr>
        <w:t xml:space="preserve"> от 31.05.2019 N 345н Минздрава России и N 372н Минтруда России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 определены требования к подразделениям, оказывающим паллиативную медицинскую помощь в амбулаторных условиях, в условиях дневного стационара, стационарных условиях.</w:t>
      </w:r>
    </w:p>
    <w:p>
      <w:pPr>
        <w:pStyle w:val="0"/>
        <w:spacing w:before="200" w:line-rule="auto"/>
        <w:ind w:firstLine="540"/>
        <w:jc w:val="both"/>
      </w:pPr>
      <w:r>
        <w:rPr>
          <w:sz w:val="20"/>
        </w:rPr>
        <w:t xml:space="preserve">7. </w:t>
      </w:r>
      <w:hyperlink w:history="0" r:id="rId898"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Статья 34</w:t>
        </w:r>
      </w:hyperlink>
      <w:r>
        <w:rPr>
          <w:sz w:val="20"/>
        </w:rPr>
        <w:t xml:space="preserve"> Федерального закона от 21.11.2011 N 323-ФЗ "Об основах охраны здоровья граждан в Российской Федерации":</w:t>
      </w:r>
    </w:p>
    <w:p>
      <w:pPr>
        <w:pStyle w:val="0"/>
        <w:spacing w:before="200" w:line-rule="auto"/>
        <w:ind w:firstLine="540"/>
        <w:jc w:val="both"/>
      </w:pPr>
      <w:r>
        <w:rPr>
          <w:sz w:val="20"/>
        </w:rPr>
        <w:t xml:space="preserve">- специализированная медицинская помощь оказывается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pPr>
        <w:pStyle w:val="0"/>
        <w:spacing w:before="200" w:line-rule="auto"/>
        <w:ind w:firstLine="540"/>
        <w:jc w:val="both"/>
      </w:pPr>
      <w:r>
        <w:rPr>
          <w:sz w:val="20"/>
        </w:rPr>
        <w:t xml:space="preserve">- специализированная медицинская помощь оказывается в стационарных условиях и в условиях дневного стационара.</w:t>
      </w:r>
    </w:p>
    <w:p>
      <w:pPr>
        <w:pStyle w:val="0"/>
        <w:spacing w:before="200" w:line-rule="auto"/>
        <w:ind w:firstLine="540"/>
        <w:jc w:val="both"/>
      </w:pPr>
      <w:r>
        <w:rPr>
          <w:sz w:val="20"/>
        </w:rPr>
        <w:t xml:space="preserve">8. </w:t>
      </w:r>
      <w:hyperlink w:history="0" r:id="rId899" w:tooltip="Приказ Минздрава России от 02.12.2014 N 796н (ред. от 27.08.2015) &quot;Об утверждении Положения об организации оказания специализированной, в том числе высокотехнологичной, медицинской помощи&quot; (Зарегистрировано в Минюсте России 02.02.2015 N 35821) {КонсультантПлюс}">
        <w:r>
          <w:rPr>
            <w:sz w:val="20"/>
            <w:color w:val="0000ff"/>
          </w:rPr>
          <w:t xml:space="preserve">Приказ</w:t>
        </w:r>
      </w:hyperlink>
      <w:r>
        <w:rPr>
          <w:sz w:val="20"/>
        </w:rPr>
        <w:t xml:space="preserve"> Минздрава России от 02.12.2014 N 796н "Об утверждении Положения об организации оказания специализированной, в том числе высокотехнологичной, медицинской помощи" регулирует только вопросы направления для оказания специализированной медицинской помощи. Вследствие этого применяется приказ Минздрава СССР от 31.07.1963 N 395 "О состоянии и мерах по дальнейшему улучшению стационарного обслуживания населения СССР" (вместе с Положением о городской больнице, Положением о клинической больнице, Положением об областной (краевой, республиканской) больнице, Положением о центральной районной больнице, иными положениями).</w:t>
      </w:r>
    </w:p>
    <w:p>
      <w:pPr>
        <w:pStyle w:val="0"/>
        <w:spacing w:before="200" w:line-rule="auto"/>
        <w:ind w:firstLine="540"/>
        <w:jc w:val="both"/>
      </w:pPr>
      <w:r>
        <w:rPr>
          <w:sz w:val="20"/>
        </w:rPr>
        <w:t xml:space="preserve">9. Порядки оказания медицинской помощи по профилям, заболеваниям или состояниям (группам заболеваний или состояний).</w:t>
      </w:r>
    </w:p>
    <w:p>
      <w:pPr>
        <w:pStyle w:val="0"/>
        <w:spacing w:before="200" w:line-rule="auto"/>
        <w:ind w:firstLine="540"/>
        <w:jc w:val="both"/>
      </w:pPr>
      <w:r>
        <w:rPr>
          <w:sz w:val="20"/>
        </w:rPr>
        <w:t xml:space="preserve">10. Размещение медицинских организаций осуществляется в соответствии с приказами Министерства здравоохранения Российской Федерации:</w:t>
      </w:r>
    </w:p>
    <w:p>
      <w:pPr>
        <w:pStyle w:val="0"/>
        <w:spacing w:before="200" w:line-rule="auto"/>
        <w:ind w:firstLine="540"/>
        <w:jc w:val="both"/>
      </w:pPr>
      <w:r>
        <w:rPr>
          <w:sz w:val="20"/>
        </w:rPr>
        <w:t xml:space="preserve">- от 27.02.2016 </w:t>
      </w:r>
      <w:hyperlink w:history="0" r:id="rId900" w:tooltip="Приказ Минздрава России от 27.02.2016 N 132н &quot;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quot; (Зарегистрировано в Минюсте России 22.03.2016 N 41485) {КонсультантПлюс}">
        <w:r>
          <w:rPr>
            <w:sz w:val="20"/>
            <w:color w:val="0000ff"/>
          </w:rPr>
          <w:t xml:space="preserve">N 132н</w:t>
        </w:r>
      </w:hyperlink>
      <w:r>
        <w:rPr>
          <w:sz w:val="20"/>
        </w:rPr>
        <w:t xml:space="preserve"> "Об утверждении Требований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pPr>
        <w:pStyle w:val="0"/>
        <w:spacing w:before="200" w:line-rule="auto"/>
        <w:ind w:firstLine="540"/>
        <w:jc w:val="both"/>
      </w:pPr>
      <w:r>
        <w:rPr>
          <w:sz w:val="20"/>
        </w:rPr>
        <w:t xml:space="preserve">- от 20.04.2018 </w:t>
      </w:r>
      <w:hyperlink w:history="0" r:id="rId901" w:tooltip="Приказ Минздрава России от 20.04.2018 N 182 &quot;Об утверждении методических рекомендаций о применении нормативов и норм ресурсной обеспеченности населения в сфере здравоохранения&quot; {КонсультантПлюс}">
        <w:r>
          <w:rPr>
            <w:sz w:val="20"/>
            <w:color w:val="0000ff"/>
          </w:rPr>
          <w:t xml:space="preserve">N 182</w:t>
        </w:r>
      </w:hyperlink>
      <w:r>
        <w:rPr>
          <w:sz w:val="20"/>
        </w:rPr>
        <w:t xml:space="preserve"> "Об утверждении методических рекомендации о применении нормативов и норм ресурсной обеспеченности населения в сфере здравоохранения". Рекомендуется разграничение медицинских организаций по уровням:</w:t>
      </w:r>
    </w:p>
    <w:p>
      <w:pPr>
        <w:pStyle w:val="0"/>
        <w:spacing w:before="200" w:line-rule="auto"/>
        <w:ind w:firstLine="540"/>
        <w:jc w:val="both"/>
      </w:pPr>
      <w:r>
        <w:rPr>
          <w:sz w:val="20"/>
        </w:rPr>
        <w:t xml:space="preserve">первый уровень - медицинские организации, оказывающие населению первичную медико-санитарную помощь, и (или) паллиативную медицинскую помощь, и (или) скорую, в том числе скорую специализированную, медицинскую помощь, и (или) специализированную (за исключением высокотехнологичной) медицинскую помощь;</w:t>
      </w:r>
    </w:p>
    <w:p>
      <w:pPr>
        <w:pStyle w:val="0"/>
        <w:spacing w:before="200" w:line-rule="auto"/>
        <w:ind w:firstLine="540"/>
        <w:jc w:val="both"/>
      </w:pPr>
      <w:r>
        <w:rPr>
          <w:sz w:val="20"/>
        </w:rPr>
        <w:t xml:space="preserve">второй уровень - медицинские организации, имеющие в своей структуре отделения и (или) центры, оказывающие преимущественно специализированную (за исключением высокотехнологичной) медицинскую помощь населению по широкому перечню профилей медицинской помощи и (или) диспансеры (противотуберкулезные, психоневрологические, наркологические и иные);</w:t>
      </w:r>
    </w:p>
    <w:p>
      <w:pPr>
        <w:pStyle w:val="0"/>
        <w:spacing w:before="200" w:line-rule="auto"/>
        <w:ind w:firstLine="540"/>
        <w:jc w:val="both"/>
      </w:pPr>
      <w:r>
        <w:rPr>
          <w:sz w:val="20"/>
        </w:rPr>
        <w:t xml:space="preserve">третий уровень - медицинские организации, имеющие в своей структуре подразделения, оказывающие высокотехнологичную медицинскую помощь.</w:t>
      </w:r>
    </w:p>
    <w:p>
      <w:pPr>
        <w:pStyle w:val="0"/>
        <w:spacing w:before="200" w:line-rule="auto"/>
        <w:ind w:firstLine="540"/>
        <w:jc w:val="both"/>
      </w:pPr>
      <w:r>
        <w:rPr>
          <w:sz w:val="20"/>
        </w:rPr>
        <w:t xml:space="preserve">11. Иные требования к организации оказания медицинской помощи:</w:t>
      </w:r>
    </w:p>
    <w:p>
      <w:pPr>
        <w:pStyle w:val="0"/>
        <w:spacing w:before="200" w:line-rule="auto"/>
        <w:ind w:firstLine="540"/>
        <w:jc w:val="both"/>
      </w:pPr>
      <w:r>
        <w:rPr>
          <w:sz w:val="20"/>
        </w:rPr>
        <w:t xml:space="preserve">11.1. Право пациента выбора врача и медицинской организации:</w:t>
      </w:r>
    </w:p>
    <w:p>
      <w:pPr>
        <w:pStyle w:val="0"/>
        <w:spacing w:before="200" w:line-rule="auto"/>
        <w:ind w:firstLine="540"/>
        <w:jc w:val="both"/>
      </w:pPr>
      <w:r>
        <w:rPr>
          <w:sz w:val="20"/>
        </w:rPr>
        <w:t xml:space="preserve">- </w:t>
      </w:r>
      <w:hyperlink w:history="0" r:id="rId902"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статья 21</w:t>
        </w:r>
      </w:hyperlink>
      <w:r>
        <w:rPr>
          <w:sz w:val="20"/>
        </w:rPr>
        <w:t xml:space="preserve"> Федерального закона от 21.11.2011 N 323-ФЗ "Об основах охраны здоровья граждан в Российской Федерации";</w:t>
      </w:r>
    </w:p>
    <w:p>
      <w:pPr>
        <w:pStyle w:val="0"/>
        <w:spacing w:before="200" w:line-rule="auto"/>
        <w:ind w:firstLine="540"/>
        <w:jc w:val="both"/>
      </w:pPr>
      <w:r>
        <w:rPr>
          <w:sz w:val="20"/>
        </w:rPr>
        <w:t xml:space="preserve">- </w:t>
      </w:r>
      <w:hyperlink w:history="0" r:id="rId903" w:tooltip="Приказ Минздравсоцразвития России от 26.04.2012 N 406н &quot;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quot; (Зарегистрировано в Минюсте России 21.05.2012 N 24278) {КонсультантПлюс}">
        <w:r>
          <w:rPr>
            <w:sz w:val="20"/>
            <w:color w:val="0000ff"/>
          </w:rPr>
          <w:t xml:space="preserve">приказ</w:t>
        </w:r>
      </w:hyperlink>
      <w:r>
        <w:rPr>
          <w:sz w:val="20"/>
        </w:rPr>
        <w:t xml:space="preserve"> Минздравсоцразвития России от 26.04.2012 N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p>
    <w:p>
      <w:pPr>
        <w:pStyle w:val="0"/>
        <w:spacing w:before="200" w:line-rule="auto"/>
        <w:ind w:firstLine="540"/>
        <w:jc w:val="both"/>
      </w:pPr>
      <w:r>
        <w:rPr>
          <w:sz w:val="20"/>
        </w:rPr>
        <w:t xml:space="preserve">- </w:t>
      </w:r>
      <w:hyperlink w:history="0" r:id="rId904" w:tooltip="Приказ Минздрава России от 21.12.2012 N 1342н &quot;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quot; (Зарегистрировано в Минюсте России 12.03.2013 N 27617) {КонсультантПлюс}">
        <w:r>
          <w:rPr>
            <w:sz w:val="20"/>
            <w:color w:val="0000ff"/>
          </w:rPr>
          <w:t xml:space="preserve">приказ</w:t>
        </w:r>
      </w:hyperlink>
      <w:r>
        <w:rPr>
          <w:sz w:val="20"/>
        </w:rPr>
        <w:t xml:space="preserve"> Минздрава России от 21.12.2012 N 1342н "Об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w:t>
      </w:r>
    </w:p>
    <w:p>
      <w:pPr>
        <w:pStyle w:val="0"/>
        <w:spacing w:before="200" w:line-rule="auto"/>
        <w:ind w:firstLine="540"/>
        <w:jc w:val="both"/>
      </w:pPr>
      <w:r>
        <w:rPr>
          <w:sz w:val="20"/>
        </w:rPr>
        <w:t xml:space="preserve">11.2. Проведение диспансеризации и профилактических осмотров:</w:t>
      </w:r>
    </w:p>
    <w:p>
      <w:pPr>
        <w:pStyle w:val="0"/>
        <w:spacing w:before="200" w:line-rule="auto"/>
        <w:ind w:firstLine="540"/>
        <w:jc w:val="both"/>
      </w:pPr>
      <w:r>
        <w:rPr>
          <w:sz w:val="20"/>
        </w:rPr>
        <w:t xml:space="preserve">- </w:t>
      </w:r>
      <w:hyperlink w:history="0" r:id="rId905" w:tooltip="Приказ Минздрава России от 13.03.2019 N 124н (ред. от 02.12.2020) &quot;Об утверждении порядка проведения профилактического медицинского осмотра и диспансеризации определенных групп взрослого населения&quot; (Зарегистрировано в Минюсте России 24.04.2019 N 54495) ------------ Утратил силу или отменен {КонсультантПлюс}">
        <w:r>
          <w:rPr>
            <w:sz w:val="20"/>
            <w:color w:val="0000ff"/>
          </w:rPr>
          <w:t xml:space="preserve">приказ</w:t>
        </w:r>
      </w:hyperlink>
      <w:r>
        <w:rPr>
          <w:sz w:val="20"/>
        </w:rPr>
        <w:t xml:space="preserve"> Минздрава России от 13.03.2019 N 124н "Об утверждении порядка проведения профилактического медицинского осмотра и диспансеризации определенных групп взрослого населения";</w:t>
      </w:r>
    </w:p>
    <w:p>
      <w:pPr>
        <w:pStyle w:val="0"/>
        <w:spacing w:before="200" w:line-rule="auto"/>
        <w:ind w:firstLine="540"/>
        <w:jc w:val="both"/>
      </w:pPr>
      <w:r>
        <w:rPr>
          <w:sz w:val="20"/>
        </w:rPr>
        <w:t xml:space="preserve">- </w:t>
      </w:r>
      <w:hyperlink w:history="0" r:id="rId906"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ннолетнего&quot;, &quot;Порядком заполнения и сроки представления формы статистической отчетности N 030-ПО/о-17 &quot;Сведения о профилактических медицинских осмотрах несовершеннолетних&quot;) (Зарегистрировано в Минюсте России 18.08.2017 N 47855) {КонсультантПлюс}">
        <w:r>
          <w:rPr>
            <w:sz w:val="20"/>
            <w:color w:val="0000ff"/>
          </w:rPr>
          <w:t xml:space="preserve">приказ</w:t>
        </w:r>
      </w:hyperlink>
      <w:r>
        <w:rPr>
          <w:sz w:val="20"/>
        </w:rPr>
        <w:t xml:space="preserve"> Минздрава России от 10.08.2017 N 514н "О Порядке проведения профилактических медицинских осмотров несовершеннолетних";</w:t>
      </w:r>
    </w:p>
    <w:p>
      <w:pPr>
        <w:pStyle w:val="0"/>
        <w:spacing w:before="200" w:line-rule="auto"/>
        <w:ind w:firstLine="540"/>
        <w:jc w:val="both"/>
      </w:pPr>
      <w:r>
        <w:rPr>
          <w:sz w:val="20"/>
        </w:rPr>
        <w:t xml:space="preserve">- </w:t>
      </w:r>
      <w:hyperlink w:history="0" r:id="rId907" w:tooltip="Приказ Минздрава России от 16.05.2019 N 302н (ред. от 19.11.2020) &quot;Об утверждении Порядка прохождения несовершеннолетними диспансерного наблюдения, в том числе в период обучения и воспитания в образовательных организациях&quot; (Зарегистрировано в Минюсте России 07.06.2019 N 54887) {КонсультантПлюс}">
        <w:r>
          <w:rPr>
            <w:sz w:val="20"/>
            <w:color w:val="0000ff"/>
          </w:rPr>
          <w:t xml:space="preserve">приказ</w:t>
        </w:r>
      </w:hyperlink>
      <w:r>
        <w:rPr>
          <w:sz w:val="20"/>
        </w:rPr>
        <w:t xml:space="preserve"> Минздрава России от 16.05.2019 N 302н "Об утверждении Порядка прохождения несовершеннолетними диспансерного наблюдения, в том числе в период обучения и воспитания в образовательных организациях";</w:t>
      </w:r>
    </w:p>
    <w:p>
      <w:pPr>
        <w:pStyle w:val="0"/>
        <w:spacing w:before="200" w:line-rule="auto"/>
        <w:ind w:firstLine="540"/>
        <w:jc w:val="both"/>
      </w:pPr>
      <w:r>
        <w:rPr>
          <w:sz w:val="20"/>
        </w:rPr>
        <w:t xml:space="preserve">- </w:t>
      </w:r>
      <w:hyperlink w:history="0" r:id="rId908" w:tooltip="Приказ Минздрава России от 15.02.2013 N 72н (ред. от 19.11.2020) &quot;О проведении диспансеризации пребывающих в стационарных учреждениях детей-сирот и детей, находящихся в трудной жизненной ситуации&quot; (вместе с &quot;Порядком проведения диспансеризации пребывающих в стационарных учреждениях детей-сирот и детей, находящихся в трудной жизненной ситуации&quot;) (Зарегистрировано в Минюсте России 02.04.2013 N 27964) {КонсультантПлюс}">
        <w:r>
          <w:rPr>
            <w:sz w:val="20"/>
            <w:color w:val="0000ff"/>
          </w:rPr>
          <w:t xml:space="preserve">приказ</w:t>
        </w:r>
      </w:hyperlink>
      <w:r>
        <w:rPr>
          <w:sz w:val="20"/>
        </w:rPr>
        <w:t xml:space="preserve"> Минздрава России от 15.02.2013 N 72н "О проведении диспансеризации пребывающих в стационарных учреждениях детей-сирот и детей, находящихся в трудной жизненной ситуации";</w:t>
      </w:r>
    </w:p>
    <w:p>
      <w:pPr>
        <w:pStyle w:val="0"/>
        <w:spacing w:before="200" w:line-rule="auto"/>
        <w:ind w:firstLine="540"/>
        <w:jc w:val="both"/>
      </w:pPr>
      <w:r>
        <w:rPr>
          <w:sz w:val="20"/>
        </w:rPr>
        <w:t xml:space="preserve">- </w:t>
      </w:r>
      <w:hyperlink w:history="0" r:id="rId909" w:tooltip="Приказ Минздрава России от 11.04.2013 N 216н (ред. от 19.11.2020) &quot;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quot; (Зарегистрировано в Минюсте России 21.05.2013 N 28454) ------------ Утратил силу или отменен {КонсультантПлюс}">
        <w:r>
          <w:rPr>
            <w:sz w:val="20"/>
            <w:color w:val="0000ff"/>
          </w:rPr>
          <w:t xml:space="preserve">приказ</w:t>
        </w:r>
      </w:hyperlink>
      <w:r>
        <w:rPr>
          <w:sz w:val="20"/>
        </w:rPr>
        <w:t xml:space="preserve"> Минздрава России от 11.04.2013 N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pPr>
        <w:pStyle w:val="0"/>
        <w:spacing w:before="200" w:line-rule="auto"/>
        <w:ind w:firstLine="540"/>
        <w:jc w:val="both"/>
      </w:pPr>
      <w:r>
        <w:rPr>
          <w:sz w:val="20"/>
        </w:rPr>
        <w:t xml:space="preserve">- </w:t>
      </w:r>
      <w:hyperlink w:history="0" r:id="rId910" w:tooltip="Приказ Минздрава России от 05.11.2013 N 822н (ред. от 21.02.2020) &quot;Об утверждении Порядка оказания медицинской помощи несовершеннолетним, в том числе в период обучения и воспитания в образовательных организациях&quot; (Зарегистрировано в Минюсте России 17.01.2014 N 31045) {КонсультантПлюс}">
        <w:r>
          <w:rPr>
            <w:sz w:val="20"/>
            <w:color w:val="0000ff"/>
          </w:rPr>
          <w:t xml:space="preserve">приказ</w:t>
        </w:r>
      </w:hyperlink>
      <w:r>
        <w:rPr>
          <w:sz w:val="20"/>
        </w:rPr>
        <w:t xml:space="preserve"> Минздрава России от 05.11.2013 N 822н "Об утверждении Порядка оказания медицинской помощи несовершеннолетним, в том числе в период обучения и воспитания в образовательных организациях".</w:t>
      </w:r>
    </w:p>
    <w:p>
      <w:pPr>
        <w:pStyle w:val="0"/>
        <w:spacing w:before="200" w:line-rule="auto"/>
        <w:ind w:firstLine="540"/>
        <w:jc w:val="both"/>
      </w:pPr>
      <w:r>
        <w:rPr>
          <w:sz w:val="20"/>
        </w:rPr>
        <w:t xml:space="preserve">11.3. </w:t>
      </w:r>
      <w:hyperlink w:history="0" r:id="rId911" w:tooltip="Приказ ФФОМС от 21.11.2018 N 247 (ред. от 20.01.2020) &quot;Об установлении Требований к структуре и содержанию тарифного соглашения&quot; (Зарегистрировано в Минюсте России 25.12.2018 N 53153) ------------ Утратил силу или отменен {КонсультантПлюс}">
        <w:r>
          <w:rPr>
            <w:sz w:val="20"/>
            <w:color w:val="0000ff"/>
          </w:rPr>
          <w:t xml:space="preserve">Требования</w:t>
        </w:r>
      </w:hyperlink>
      <w:r>
        <w:rPr>
          <w:sz w:val="20"/>
        </w:rPr>
        <w:t xml:space="preserve"> к тарификации в зависимости от уровня оказания медицинской помощи установлены приказом Федерального фонда обязательного медицинского страхования от 21.11.2018 N 247 "Об установлении Требований к структуре и содержанию тарифного соглашения" и содержат коэффициенты уровня оказания медицинской помощи для групп медицинских организаций и (или) структурных подразделений медицинских организаций:</w:t>
      </w:r>
    </w:p>
    <w:p>
      <w:pPr>
        <w:pStyle w:val="0"/>
        <w:spacing w:before="200" w:line-rule="auto"/>
        <w:ind w:firstLine="540"/>
        <w:jc w:val="both"/>
      </w:pPr>
      <w:r>
        <w:rPr>
          <w:sz w:val="20"/>
        </w:rPr>
        <w:t xml:space="preserve">1) коэффициент первого уровня оказания медицинской помощи - для медицинских организаций и (или) структурных подразделений медицинских организаций, оказывающих населению в пределах муниципального образования (внутригородского округа) первичную медико-санитарную помощь, и (или) специализированную (за исключением высокотехнологичной) медицинскую помощь, и (или) скорую, в том числе скорую специализированную, медицинскую помощь;</w:t>
      </w:r>
    </w:p>
    <w:p>
      <w:pPr>
        <w:pStyle w:val="0"/>
        <w:spacing w:before="200" w:line-rule="auto"/>
        <w:ind w:firstLine="540"/>
        <w:jc w:val="both"/>
      </w:pPr>
      <w:r>
        <w:rPr>
          <w:sz w:val="20"/>
        </w:rPr>
        <w:t xml:space="preserve">2) коэффициент второго уровня оказания медицинской помощи - для медицинских организаций и (или) структурных подразделений медицинских организаций, имеющих в своей структуре отделения и (или) центры, оказывающие медицинскую помощь (за исключением высокотехнологичной) населению, а также для специализированных больниц, больниц скорой медицинской помощи, центров, диспансеров;</w:t>
      </w:r>
    </w:p>
    <w:p>
      <w:pPr>
        <w:pStyle w:val="0"/>
        <w:spacing w:before="200" w:line-rule="auto"/>
        <w:ind w:firstLine="540"/>
        <w:jc w:val="both"/>
      </w:pPr>
      <w:r>
        <w:rPr>
          <w:sz w:val="20"/>
        </w:rPr>
        <w:t xml:space="preserve">3) коэффициент третьего уровня оказания медицинской помощи - для медицинских организаций и (или) структурных подразделений медицинских организаций, оказывающих населению высокотехнологичную медицинскую помощь.</w:t>
      </w:r>
    </w:p>
    <w:p>
      <w:pPr>
        <w:pStyle w:val="0"/>
        <w:spacing w:before="200" w:line-rule="auto"/>
        <w:ind w:firstLine="540"/>
        <w:jc w:val="both"/>
      </w:pPr>
      <w:r>
        <w:rPr>
          <w:sz w:val="20"/>
        </w:rPr>
        <w:t xml:space="preserve">11.4. Требования к проведению строительства и капитальным ремонтам медицинских организаций утверждены:</w:t>
      </w:r>
    </w:p>
    <w:p>
      <w:pPr>
        <w:pStyle w:val="0"/>
        <w:spacing w:before="200" w:line-rule="auto"/>
        <w:ind w:firstLine="540"/>
        <w:jc w:val="both"/>
      </w:pPr>
      <w:r>
        <w:rPr>
          <w:sz w:val="20"/>
        </w:rPr>
        <w:t xml:space="preserve">- </w:t>
      </w:r>
      <w:hyperlink w:history="0" r:id="rId912" w:tooltip="Постановление Главного государственного санитарного врача РФ от 18.05.2010 N 58 (ред. от 10.06.2016) &quot;Об утверждении СанПиН 2.1.3.2630-10 &quot;Санитарно-эпидемиологические требования к организациям, осуществляющим медицинскую деятельность&quot; (вместе с &quot;СанПиН 2.1.3.2630-10. Санитарно-эпидемиологические правила и нормативы...&quot;) (Зарегистрировано в Минюсте России 09.08.2010 N 18094) ------------ Утратил силу или отменен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18.05.2010 N 58 "Об утверждении СанПиН 2.1.3.2630-10 "Санитарно-эпидемиологические требования к организациям, осуществляющим медицинскую деятельность" (в частности, утверждены требования к устройству, оборудованию и эксплуатации ФАП);</w:t>
      </w:r>
    </w:p>
    <w:p>
      <w:pPr>
        <w:pStyle w:val="0"/>
        <w:spacing w:before="200" w:line-rule="auto"/>
        <w:ind w:firstLine="540"/>
        <w:jc w:val="both"/>
      </w:pPr>
      <w:r>
        <w:rPr>
          <w:sz w:val="20"/>
        </w:rPr>
        <w:t xml:space="preserve">- Федеральным </w:t>
      </w:r>
      <w:hyperlink w:history="0" r:id="rId913"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законом</w:t>
        </w:r>
      </w:hyperlink>
      <w:r>
        <w:rPr>
          <w:sz w:val="20"/>
        </w:rPr>
        <w:t xml:space="preserve"> Российской Федерации от 29.12.2004 N 190-ФЗ "Градостроительный кодекс Российской Федерации";</w:t>
      </w:r>
    </w:p>
    <w:p>
      <w:pPr>
        <w:pStyle w:val="0"/>
        <w:spacing w:before="200" w:line-rule="auto"/>
        <w:ind w:firstLine="540"/>
        <w:jc w:val="both"/>
      </w:pPr>
      <w:r>
        <w:rPr>
          <w:sz w:val="20"/>
        </w:rPr>
        <w:t xml:space="preserve">- сводом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утвержденным </w:t>
      </w:r>
      <w:hyperlink w:history="0" r:id="rId914" w:tooltip="Приказ Минстроя России от 30.12.2016 N 1034/пр (ред. от 10.02.2017) &quot;Об утверждении СП 42.13330 &quot;СНиП 2.07.01-89* Градостроительство. Планировка и застройка городских и сельских поселений&quot; {КонсультантПлюс}">
        <w:r>
          <w:rPr>
            <w:sz w:val="20"/>
            <w:color w:val="0000ff"/>
          </w:rPr>
          <w:t xml:space="preserve">приказом</w:t>
        </w:r>
      </w:hyperlink>
      <w:r>
        <w:rPr>
          <w:sz w:val="20"/>
        </w:rPr>
        <w:t xml:space="preserve"> Минстроя России от 30.12.2016 N 1034/пр;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Приказ Минстроя России издан 18.12.2017, а не 18.02.2014 и имеет номер 1682/пр, а не 58пр.</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 сводом правил "СП 319.1325800.2017. Свод правил. Здания и помещения медицинских организаций. Правила эксплуатации", утвержденным </w:t>
      </w:r>
      <w:hyperlink w:history="0" r:id="rId915" w:tooltip="Приказ Минстроя России от 18.12.2017 N 1682/пр &quot;Об утверждении свода правил &quot;Здания и помещения медицинских организаций. Правила эксплуатации&quot; {КонсультантПлюс}">
        <w:r>
          <w:rPr>
            <w:sz w:val="20"/>
            <w:color w:val="0000ff"/>
          </w:rPr>
          <w:t xml:space="preserve">приказом</w:t>
        </w:r>
      </w:hyperlink>
      <w:r>
        <w:rPr>
          <w:sz w:val="20"/>
        </w:rPr>
        <w:t xml:space="preserve"> Минстроя России от 18.02.2014 N 58пр;</w:t>
      </w:r>
    </w:p>
    <w:p>
      <w:pPr>
        <w:pStyle w:val="0"/>
        <w:spacing w:before="200" w:line-rule="auto"/>
        <w:ind w:firstLine="540"/>
        <w:jc w:val="both"/>
      </w:pPr>
      <w:r>
        <w:rPr>
          <w:sz w:val="20"/>
        </w:rPr>
        <w:t xml:space="preserve">- сводом правил "СП 158.13330.2014. Свод правил. Здания и помещения медицинских организаций. Правила проектирования", утвержденным </w:t>
      </w:r>
      <w:hyperlink w:history="0" r:id="rId916" w:tooltip="Приказ Минстроя России от 18.02.2014 N 58/пр &quot;Об утверждении свода правил &quot;Здания и помещения медицинских организаций. Правила проектирования&quot; {КонсультантПлюс}">
        <w:r>
          <w:rPr>
            <w:sz w:val="20"/>
            <w:color w:val="0000ff"/>
          </w:rPr>
          <w:t xml:space="preserve">приказом</w:t>
        </w:r>
      </w:hyperlink>
      <w:r>
        <w:rPr>
          <w:sz w:val="20"/>
        </w:rPr>
        <w:t xml:space="preserve"> Минстроя России от 18.02.2014 N 58пр;</w:t>
      </w:r>
    </w:p>
    <w:p>
      <w:pPr>
        <w:pStyle w:val="0"/>
        <w:spacing w:before="200" w:line-rule="auto"/>
        <w:ind w:firstLine="540"/>
        <w:jc w:val="both"/>
      </w:pPr>
      <w:r>
        <w:rPr>
          <w:sz w:val="20"/>
        </w:rPr>
        <w:t xml:space="preserve">- сводом правил "СП 59.13330.2016. Свод правил. Доступность зданий и сооружений для маломобильных групп населения" утвержденным </w:t>
      </w:r>
      <w:hyperlink w:history="0" r:id="rId917" w:tooltip="Приказ Минстроя России от 14.11.2016 N 798/пр (ред. от 10.02.2017) &quot;Об утверждении СП 59.13330 &quot;СНиП 35-01-2001 Доступность зданий и сооружений для маломобильных групп населения&quot; ------------ Утратил силу или отменен {КонсультантПлюс}">
        <w:r>
          <w:rPr>
            <w:sz w:val="20"/>
            <w:color w:val="0000ff"/>
          </w:rPr>
          <w:t xml:space="preserve">приказом</w:t>
        </w:r>
      </w:hyperlink>
      <w:r>
        <w:rPr>
          <w:sz w:val="20"/>
        </w:rPr>
        <w:t xml:space="preserve"> Минстроя России от 14.11.2016 N 798пр;</w:t>
      </w:r>
    </w:p>
    <w:p>
      <w:pPr>
        <w:pStyle w:val="0"/>
        <w:spacing w:before="200" w:line-rule="auto"/>
        <w:ind w:firstLine="540"/>
        <w:jc w:val="both"/>
      </w:pPr>
      <w:r>
        <w:rPr>
          <w:sz w:val="20"/>
        </w:rPr>
        <w:t xml:space="preserve">- СП 255.1325800.2016 "Здания и сооружения. Правила эксплуатации. Основные положения";</w:t>
      </w:r>
    </w:p>
    <w:p>
      <w:pPr>
        <w:pStyle w:val="0"/>
        <w:spacing w:before="200" w:line-rule="auto"/>
        <w:ind w:firstLine="540"/>
        <w:jc w:val="both"/>
      </w:pPr>
      <w:r>
        <w:rPr>
          <w:sz w:val="20"/>
        </w:rPr>
        <w:t xml:space="preserve">- ГОСТ 31937-2011 "Здания и сооружения. Правила обследования и мониторинга технического состояния".</w:t>
      </w:r>
    </w:p>
    <w:p>
      <w:pPr>
        <w:pStyle w:val="0"/>
        <w:spacing w:before="200" w:line-rule="auto"/>
        <w:ind w:firstLine="540"/>
        <w:jc w:val="both"/>
      </w:pPr>
      <w:r>
        <w:rPr>
          <w:sz w:val="20"/>
        </w:rPr>
        <w:t xml:space="preserve">12. Использование оборудования с дистанционной передачей данных для дистанционного наблюдения за состоянием здоровья пациента осуществляется в соответствии с требованиями </w:t>
      </w:r>
      <w:hyperlink w:history="0" r:id="rId918"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статьи 36.2</w:t>
        </w:r>
      </w:hyperlink>
      <w:r>
        <w:rPr>
          <w:sz w:val="20"/>
        </w:rPr>
        <w:t xml:space="preserve"> Федерального закона от 21 ноября 2011 г. N 323-ФЗ "Об основах охраны здоровья граждан в Российской Федерации" и </w:t>
      </w:r>
      <w:hyperlink w:history="0" r:id="rId919" w:tooltip="Приказ Минздрава России от 30.11.2017 N 965н &quot;Об утверждении порядка организации и оказания медицинской помощи с применением телемедицинских технологий&quot; (Зарегистрировано в Минюсте России 09.01.2018 N 49577) {КонсультантПлюс}">
        <w:r>
          <w:rPr>
            <w:sz w:val="20"/>
            <w:color w:val="0000ff"/>
          </w:rPr>
          <w:t xml:space="preserve">приказа</w:t>
        </w:r>
      </w:hyperlink>
      <w:r>
        <w:rPr>
          <w:sz w:val="20"/>
        </w:rPr>
        <w:t xml:space="preserve"> Минздрава России от 30.11.2017 N 965н "Об утверждении порядка организации и оказания медицинской помощи с применением телемедицинских технологий".</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7</w:t>
      </w:r>
    </w:p>
    <w:p>
      <w:pPr>
        <w:pStyle w:val="0"/>
        <w:jc w:val="right"/>
      </w:pPr>
      <w:r>
        <w:rPr>
          <w:sz w:val="20"/>
        </w:rPr>
        <w:t xml:space="preserve">к региональной программе</w:t>
      </w:r>
    </w:p>
    <w:p>
      <w:pPr>
        <w:pStyle w:val="0"/>
        <w:jc w:val="right"/>
      </w:pPr>
      <w:r>
        <w:rPr>
          <w:sz w:val="20"/>
        </w:rPr>
        <w:t xml:space="preserve">"Модернизация первичного звена</w:t>
      </w:r>
    </w:p>
    <w:p>
      <w:pPr>
        <w:pStyle w:val="0"/>
        <w:jc w:val="right"/>
      </w:pPr>
      <w:r>
        <w:rPr>
          <w:sz w:val="20"/>
        </w:rPr>
        <w:t xml:space="preserve">здравоохранения города Севастополя"</w:t>
      </w:r>
    </w:p>
    <w:p>
      <w:pPr>
        <w:pStyle w:val="0"/>
      </w:pPr>
      <w:r>
        <w:rPr>
          <w:sz w:val="20"/>
        </w:rPr>
      </w:r>
    </w:p>
    <w:bookmarkStart w:id="37028" w:name="P37028"/>
    <w:bookmarkEnd w:id="37028"/>
    <w:p>
      <w:pPr>
        <w:pStyle w:val="2"/>
        <w:jc w:val="center"/>
      </w:pPr>
      <w:r>
        <w:rPr>
          <w:sz w:val="20"/>
        </w:rPr>
        <w:t xml:space="preserve">Строительство (снос, реконструкция, новое строительство)</w:t>
      </w:r>
    </w:p>
    <w:p>
      <w:pPr>
        <w:pStyle w:val="2"/>
        <w:jc w:val="center"/>
      </w:pPr>
      <w:r>
        <w:rPr>
          <w:sz w:val="20"/>
        </w:rPr>
        <w:t xml:space="preserve">медицинских организаций региональной программы (РП)</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20"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02.03.2023 N 108-ПП)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ind w:firstLine="540"/>
        <w:jc w:val="both"/>
      </w:pPr>
      <w:r>
        <w:rPr>
          <w:sz w:val="20"/>
        </w:rPr>
        <w:t xml:space="preserve">По состоянию на конец 2019 года износ зданий и сооружений системы здравоохранения города Севастополя составляет порядка 87%. В связи с этим в 2016 - 2018 годах проведена работа по определению потребности в финансировании проведения капитальных ремонтов и строительства новых объектов здравоохранения. В целях реализации указанных мероприятий было выделено соответствующее финансирование в рамках федеральной целевой </w:t>
      </w:r>
      <w:hyperlink w:history="0" r:id="rId921" w:tooltip="Постановление Правительства РФ от 11.08.2014 N 790 (ред. от 30.12.2021) &quot;Об утверждении федеральной целевой программы &quot;Социально-экономическое развитие Республики Крым и г. Севастополя до 2025 года&quot; {КонсультантПлюс}">
        <w:r>
          <w:rPr>
            <w:sz w:val="20"/>
            <w:color w:val="0000ff"/>
          </w:rPr>
          <w:t xml:space="preserve">программы</w:t>
        </w:r>
      </w:hyperlink>
      <w:r>
        <w:rPr>
          <w:sz w:val="20"/>
        </w:rPr>
        <w:t xml:space="preserve"> "Социально-экономическое развитие Республики Крым и г. Севастополя до 2025 года", утвержденной постановлением Правительства Российской Федерации от 11.08.2014 N 790 (далее - ФЦП), а также по соглашению между Правительством Москвы и Правительством Севастополя. Доведенное и запланированное финансирование полностью покрывает необходимые затраты на проведение капитальных ремонтов и (или) реконструкции зданий, сооружений первичного звена здравоохранения города Севастополя.</w:t>
      </w:r>
    </w:p>
    <w:p>
      <w:pPr>
        <w:pStyle w:val="0"/>
        <w:spacing w:before="200" w:line-rule="auto"/>
        <w:ind w:firstLine="540"/>
        <w:jc w:val="both"/>
      </w:pPr>
      <w:r>
        <w:rPr>
          <w:sz w:val="20"/>
        </w:rPr>
        <w:t xml:space="preserve">В целях реализации задач настоящей региональной программы "Модернизация первичного звена здравоохранения города Севастополя" (далее - Региональная программа), направленных на устранение дефицита мощностей амбулаторно-поликлинической сети, предполагается строительство поликлиники на 400 посещений в смену и врачебной амбулатории на 100 посещений в смену, что позволит компенсировать недостаток площадей для обеспечения жителей города Севастополя доступной первичной медико-санитарной помощью. Для размещения поликлиники на 400 посещений в смену был выбран быстрорастущий, стремительно развивающийся пятый микрорайон (улица Шевченко). Размещение врачебной амбулатории в пределах городской черты планируется на территории, до настоящего момента не обслуживаемой медицинскими организациями, с расположенными на этой территории садовыми товариществами (район мыса Фиолент).</w:t>
      </w:r>
    </w:p>
    <w:p>
      <w:pPr>
        <w:pStyle w:val="0"/>
        <w:spacing w:before="200" w:line-rule="auto"/>
        <w:ind w:firstLine="540"/>
        <w:jc w:val="both"/>
      </w:pPr>
      <w:r>
        <w:rPr>
          <w:sz w:val="20"/>
        </w:rPr>
        <w:t xml:space="preserve">Возможность строительства данных объектов ранее не рассматривалась и не имела источников финансирования. Оценка стоимости строительства "под ключ" вместе с подготовительными работами и оснащением современным оборудованием приведена в разделе "Ресурсное обеспечение региональной программы" с учетом сложившихся цен на строительство аналогичных объектов в рамках реализации ФЦП. В стоимость строительства новых объектов здравоохранения в рамках Региональной программы входит также оснащение необходимым медицинским оборудованием и медицинскими изделиями согласно порядкам и стандартам оказания медицинской помощи, утвержденным приказами Министерства здравоохранения Российской Федерации. За основу взяты проекты-аналоги с аналогичной мощностью, проектная документация на которые была разработана в рамках реализации ФЦП.</w:t>
      </w:r>
    </w:p>
    <w:p>
      <w:pPr>
        <w:pStyle w:val="0"/>
        <w:spacing w:before="200" w:line-rule="auto"/>
        <w:ind w:firstLine="540"/>
        <w:jc w:val="both"/>
      </w:pPr>
      <w:r>
        <w:rPr>
          <w:sz w:val="20"/>
        </w:rPr>
        <w:t xml:space="preserve">2. Расчет стоимости произведен с применением данных объектов, аналогичных по назначению, проектной мощности, природным и иным условиям территории, на которой планируется осуществлять строительство объекта, находящегося в реестре использования повторных объектов.</w:t>
      </w:r>
    </w:p>
    <w:p>
      <w:pPr>
        <w:pStyle w:val="0"/>
        <w:spacing w:before="200" w:line-rule="auto"/>
        <w:ind w:firstLine="540"/>
        <w:jc w:val="both"/>
      </w:pPr>
      <w:r>
        <w:rPr>
          <w:sz w:val="20"/>
        </w:rPr>
        <w:t xml:space="preserve">Строительство указанных объектов позволит достичь к 2025 году целевых показателей, установленных региональными составляющими федеральных проектов в рамках национальных проектов "Здравоохранение" и "Демография". Обеспечит доступность оказания медицинской помощи населению города Севастополя с учетом прогнозируемого увеличения количества населения.</w:t>
      </w:r>
    </w:p>
    <w:p>
      <w:pPr>
        <w:pStyle w:val="0"/>
        <w:ind w:firstLine="540"/>
        <w:jc w:val="both"/>
      </w:pPr>
      <w:r>
        <w:rPr>
          <w:sz w:val="20"/>
        </w:rPr>
      </w:r>
    </w:p>
    <w:p>
      <w:pPr>
        <w:pStyle w:val="0"/>
        <w:jc w:val="right"/>
      </w:pPr>
      <w:r>
        <w:rPr>
          <w:sz w:val="20"/>
        </w:rPr>
        <w:t xml:space="preserve">Таблица 1</w:t>
      </w:r>
    </w:p>
    <w:p>
      <w:pPr>
        <w:pStyle w:val="0"/>
      </w:pPr>
      <w:r>
        <w:rPr>
          <w:sz w:val="20"/>
        </w:rPr>
      </w:r>
    </w:p>
    <w:p>
      <w:pPr>
        <w:pStyle w:val="0"/>
        <w:jc w:val="center"/>
      </w:pPr>
      <w:r>
        <w:rPr>
          <w:sz w:val="20"/>
        </w:rPr>
        <w:t xml:space="preserve">Строительство (реконструкция, капитальный ремонт)</w:t>
      </w:r>
    </w:p>
    <w:p>
      <w:pPr>
        <w:pStyle w:val="0"/>
        <w:jc w:val="center"/>
      </w:pPr>
      <w:r>
        <w:rPr>
          <w:sz w:val="20"/>
        </w:rPr>
        <w:t xml:space="preserve">медицинских организаций, подведомственных Департаменту</w:t>
      </w:r>
    </w:p>
    <w:p>
      <w:pPr>
        <w:pStyle w:val="0"/>
        <w:jc w:val="center"/>
      </w:pPr>
      <w:r>
        <w:rPr>
          <w:sz w:val="20"/>
        </w:rPr>
        <w:t xml:space="preserve">здравоохранения города Севастополя, расположенных</w:t>
      </w:r>
    </w:p>
    <w:p>
      <w:pPr>
        <w:pStyle w:val="0"/>
        <w:jc w:val="center"/>
      </w:pPr>
      <w:r>
        <w:rPr>
          <w:sz w:val="20"/>
        </w:rPr>
        <w:t xml:space="preserve">на территории города Севастополя, оказывающих первичную</w:t>
      </w:r>
    </w:p>
    <w:p>
      <w:pPr>
        <w:pStyle w:val="0"/>
        <w:jc w:val="center"/>
      </w:pPr>
      <w:r>
        <w:rPr>
          <w:sz w:val="20"/>
        </w:rPr>
        <w:t xml:space="preserve">медико-санитарную помощь взрослым и детям, их обособленных</w:t>
      </w:r>
    </w:p>
    <w:p>
      <w:pPr>
        <w:pStyle w:val="0"/>
        <w:jc w:val="center"/>
      </w:pPr>
      <w:r>
        <w:rPr>
          <w:sz w:val="20"/>
        </w:rPr>
        <w:t xml:space="preserve">структурных подразделений, центральных районных</w:t>
      </w:r>
    </w:p>
    <w:p>
      <w:pPr>
        <w:pStyle w:val="0"/>
        <w:jc w:val="center"/>
      </w:pPr>
      <w:r>
        <w:rPr>
          <w:sz w:val="20"/>
        </w:rPr>
        <w:t xml:space="preserve">и районных больниц</w:t>
      </w:r>
    </w:p>
    <w:p>
      <w:pPr>
        <w:pStyle w:val="0"/>
        <w:jc w:val="center"/>
      </w:pPr>
      <w:r>
        <w:rPr>
          <w:sz w:val="20"/>
        </w:rPr>
        <w:t xml:space="preserve">(в ред. </w:t>
      </w:r>
      <w:hyperlink w:history="0" r:id="rId922"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w:t>
      </w:r>
    </w:p>
    <w:p>
      <w:pPr>
        <w:pStyle w:val="0"/>
        <w:jc w:val="center"/>
      </w:pPr>
      <w:r>
        <w:rPr>
          <w:sz w:val="20"/>
        </w:rPr>
        <w:t xml:space="preserve">от 02.03.2023 N 108-ПП)</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871"/>
        <w:gridCol w:w="1871"/>
        <w:gridCol w:w="1871"/>
        <w:gridCol w:w="774"/>
        <w:gridCol w:w="2041"/>
        <w:gridCol w:w="1134"/>
        <w:gridCol w:w="2041"/>
        <w:gridCol w:w="1020"/>
        <w:gridCol w:w="1701"/>
        <w:gridCol w:w="1928"/>
        <w:gridCol w:w="1814"/>
        <w:gridCol w:w="1814"/>
        <w:gridCol w:w="1701"/>
        <w:gridCol w:w="1757"/>
        <w:gridCol w:w="1701"/>
      </w:tblGrid>
      <w:tr>
        <w:tc>
          <w:tcPr>
            <w:tcW w:w="567" w:type="dxa"/>
            <w:vMerge w:val="restart"/>
          </w:tcPr>
          <w:p>
            <w:pPr>
              <w:pStyle w:val="0"/>
              <w:jc w:val="center"/>
            </w:pPr>
            <w:r>
              <w:rPr>
                <w:sz w:val="20"/>
              </w:rPr>
              <w:t xml:space="preserve">N п/п</w:t>
            </w:r>
          </w:p>
        </w:tc>
        <w:tc>
          <w:tcPr>
            <w:tcW w:w="1871" w:type="dxa"/>
            <w:vMerge w:val="restart"/>
          </w:tcPr>
          <w:p>
            <w:pPr>
              <w:pStyle w:val="0"/>
              <w:jc w:val="center"/>
            </w:pPr>
            <w:r>
              <w:rPr>
                <w:sz w:val="20"/>
              </w:rPr>
              <w:t xml:space="preserve">Наименование юридического лица</w:t>
            </w:r>
          </w:p>
        </w:tc>
        <w:tc>
          <w:tcPr>
            <w:tcW w:w="1871" w:type="dxa"/>
            <w:vMerge w:val="restart"/>
          </w:tcPr>
          <w:p>
            <w:pPr>
              <w:pStyle w:val="0"/>
              <w:jc w:val="center"/>
            </w:pPr>
            <w:r>
              <w:rPr>
                <w:sz w:val="20"/>
              </w:rPr>
              <w:t xml:space="preserve">Наименование объекта</w:t>
            </w:r>
          </w:p>
        </w:tc>
        <w:tc>
          <w:tcPr>
            <w:tcW w:w="1871" w:type="dxa"/>
            <w:vMerge w:val="restart"/>
          </w:tcPr>
          <w:p>
            <w:pPr>
              <w:pStyle w:val="0"/>
              <w:jc w:val="center"/>
            </w:pPr>
            <w:r>
              <w:rPr>
                <w:sz w:val="20"/>
              </w:rPr>
              <w:t xml:space="preserve">Адрес объекта</w:t>
            </w:r>
          </w:p>
        </w:tc>
        <w:tc>
          <w:tcPr>
            <w:tcW w:w="774" w:type="dxa"/>
            <w:vMerge w:val="restart"/>
          </w:tcPr>
          <w:p>
            <w:pPr>
              <w:pStyle w:val="0"/>
              <w:jc w:val="center"/>
            </w:pPr>
            <w:r>
              <w:rPr>
                <w:sz w:val="20"/>
              </w:rPr>
              <w:t xml:space="preserve">Износ (%)</w:t>
            </w:r>
          </w:p>
        </w:tc>
        <w:tc>
          <w:tcPr>
            <w:tcW w:w="2041" w:type="dxa"/>
            <w:vMerge w:val="restart"/>
          </w:tcPr>
          <w:p>
            <w:pPr>
              <w:pStyle w:val="0"/>
              <w:jc w:val="center"/>
            </w:pPr>
            <w:r>
              <w:rPr>
                <w:sz w:val="20"/>
              </w:rPr>
              <w:t xml:space="preserve">Планируемое мероприятие (реконструкция, строительство взамен существующего, новое строительство, комплексный капремонт, выборочный капремонт)</w:t>
            </w:r>
          </w:p>
        </w:tc>
        <w:tc>
          <w:tcPr>
            <w:tcW w:w="1134" w:type="dxa"/>
            <w:vMerge w:val="restart"/>
          </w:tcPr>
          <w:p>
            <w:pPr>
              <w:pStyle w:val="0"/>
              <w:jc w:val="center"/>
            </w:pPr>
            <w:r>
              <w:rPr>
                <w:sz w:val="20"/>
              </w:rPr>
              <w:t xml:space="preserve">Наличие детских подразделений (да/нет)</w:t>
            </w:r>
          </w:p>
        </w:tc>
        <w:tc>
          <w:tcPr>
            <w:tcW w:w="2041" w:type="dxa"/>
            <w:vMerge w:val="restart"/>
          </w:tcPr>
          <w:p>
            <w:pPr>
              <w:pStyle w:val="0"/>
              <w:jc w:val="center"/>
            </w:pPr>
            <w:r>
              <w:rPr>
                <w:sz w:val="20"/>
              </w:rPr>
              <w:t xml:space="preserve">Количество населения, обслуживаемое медицинской организацией (структурным подразделением)</w:t>
            </w:r>
          </w:p>
        </w:tc>
        <w:tc>
          <w:tcPr>
            <w:tcW w:w="1020" w:type="dxa"/>
            <w:vMerge w:val="restart"/>
          </w:tcPr>
          <w:p>
            <w:pPr>
              <w:pStyle w:val="0"/>
              <w:jc w:val="center"/>
            </w:pPr>
            <w:r>
              <w:rPr>
                <w:sz w:val="20"/>
              </w:rPr>
              <w:t xml:space="preserve">Объем работ (кв. м)</w:t>
            </w:r>
          </w:p>
        </w:tc>
        <w:tc>
          <w:tcPr>
            <w:tcW w:w="1701" w:type="dxa"/>
            <w:vMerge w:val="restart"/>
          </w:tcPr>
          <w:p>
            <w:pPr>
              <w:pStyle w:val="0"/>
              <w:jc w:val="center"/>
            </w:pPr>
            <w:r>
              <w:rPr>
                <w:sz w:val="20"/>
              </w:rPr>
              <w:t xml:space="preserve">Мощность планируемого объекта (посещений в смену, койко-мест для стационаров)</w:t>
            </w:r>
          </w:p>
        </w:tc>
        <w:tc>
          <w:tcPr>
            <w:tcW w:w="1928" w:type="dxa"/>
            <w:vMerge w:val="restart"/>
          </w:tcPr>
          <w:p>
            <w:pPr>
              <w:pStyle w:val="0"/>
              <w:jc w:val="center"/>
            </w:pPr>
            <w:r>
              <w:rPr>
                <w:sz w:val="20"/>
              </w:rPr>
              <w:t xml:space="preserve">Планируемая стоимость работ (руб.)</w:t>
            </w:r>
          </w:p>
        </w:tc>
        <w:tc>
          <w:tcPr>
            <w:gridSpan w:val="5"/>
            <w:tcW w:w="8787" w:type="dxa"/>
          </w:tcPr>
          <w:p>
            <w:pPr>
              <w:pStyle w:val="0"/>
              <w:jc w:val="center"/>
            </w:pPr>
            <w:r>
              <w:rPr>
                <w:sz w:val="20"/>
              </w:rPr>
              <w:t xml:space="preserve">В том числе по годам</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814" w:type="dxa"/>
          </w:tcPr>
          <w:p>
            <w:pPr>
              <w:pStyle w:val="0"/>
              <w:jc w:val="center"/>
            </w:pPr>
            <w:r>
              <w:rPr>
                <w:sz w:val="20"/>
              </w:rPr>
              <w:t xml:space="preserve">2021 год</w:t>
            </w:r>
          </w:p>
        </w:tc>
        <w:tc>
          <w:tcPr>
            <w:tcW w:w="1814" w:type="dxa"/>
          </w:tcPr>
          <w:p>
            <w:pPr>
              <w:pStyle w:val="0"/>
              <w:jc w:val="center"/>
            </w:pPr>
            <w:r>
              <w:rPr>
                <w:sz w:val="20"/>
              </w:rPr>
              <w:t xml:space="preserve">2022 год</w:t>
            </w:r>
          </w:p>
        </w:tc>
        <w:tc>
          <w:tcPr>
            <w:tcW w:w="1701" w:type="dxa"/>
          </w:tcPr>
          <w:p>
            <w:pPr>
              <w:pStyle w:val="0"/>
              <w:jc w:val="center"/>
            </w:pPr>
            <w:r>
              <w:rPr>
                <w:sz w:val="20"/>
              </w:rPr>
              <w:t xml:space="preserve">2023 год</w:t>
            </w:r>
          </w:p>
        </w:tc>
        <w:tc>
          <w:tcPr>
            <w:tcW w:w="1757" w:type="dxa"/>
          </w:tcPr>
          <w:p>
            <w:pPr>
              <w:pStyle w:val="0"/>
              <w:jc w:val="center"/>
            </w:pPr>
            <w:r>
              <w:rPr>
                <w:sz w:val="20"/>
              </w:rPr>
              <w:t xml:space="preserve">2024 год</w:t>
            </w:r>
          </w:p>
        </w:tc>
        <w:tc>
          <w:tcPr>
            <w:tcW w:w="1701" w:type="dxa"/>
          </w:tcPr>
          <w:p>
            <w:pPr>
              <w:pStyle w:val="0"/>
              <w:jc w:val="center"/>
            </w:pPr>
            <w:r>
              <w:rPr>
                <w:sz w:val="20"/>
              </w:rPr>
              <w:t xml:space="preserve">2025 год</w:t>
            </w:r>
          </w:p>
        </w:tc>
      </w:tr>
      <w:tr>
        <w:tc>
          <w:tcPr>
            <w:tcW w:w="567" w:type="dxa"/>
          </w:tcPr>
          <w:p>
            <w:pPr>
              <w:pStyle w:val="0"/>
              <w:jc w:val="center"/>
            </w:pPr>
            <w:r>
              <w:rPr>
                <w:sz w:val="20"/>
              </w:rPr>
              <w:t xml:space="preserve">1</w:t>
            </w:r>
          </w:p>
        </w:tc>
        <w:tc>
          <w:tcPr>
            <w:tcW w:w="1871" w:type="dxa"/>
          </w:tcPr>
          <w:p>
            <w:pPr>
              <w:pStyle w:val="0"/>
              <w:jc w:val="center"/>
            </w:pPr>
            <w:r>
              <w:rPr>
                <w:sz w:val="20"/>
              </w:rPr>
              <w:t xml:space="preserve">2</w:t>
            </w:r>
          </w:p>
        </w:tc>
        <w:tc>
          <w:tcPr>
            <w:tcW w:w="1871" w:type="dxa"/>
          </w:tcPr>
          <w:p>
            <w:pPr>
              <w:pStyle w:val="0"/>
              <w:jc w:val="center"/>
            </w:pPr>
            <w:r>
              <w:rPr>
                <w:sz w:val="20"/>
              </w:rPr>
              <w:t xml:space="preserve">3</w:t>
            </w:r>
          </w:p>
        </w:tc>
        <w:tc>
          <w:tcPr>
            <w:tcW w:w="1871" w:type="dxa"/>
          </w:tcPr>
          <w:p>
            <w:pPr>
              <w:pStyle w:val="0"/>
              <w:jc w:val="center"/>
            </w:pPr>
            <w:r>
              <w:rPr>
                <w:sz w:val="20"/>
              </w:rPr>
              <w:t xml:space="preserve">4</w:t>
            </w:r>
          </w:p>
        </w:tc>
        <w:tc>
          <w:tcPr>
            <w:tcW w:w="774" w:type="dxa"/>
          </w:tcPr>
          <w:p>
            <w:pPr>
              <w:pStyle w:val="0"/>
              <w:jc w:val="center"/>
            </w:pPr>
            <w:r>
              <w:rPr>
                <w:sz w:val="20"/>
              </w:rPr>
              <w:t xml:space="preserve">5</w:t>
            </w:r>
          </w:p>
        </w:tc>
        <w:tc>
          <w:tcPr>
            <w:tcW w:w="2041" w:type="dxa"/>
          </w:tcPr>
          <w:p>
            <w:pPr>
              <w:pStyle w:val="0"/>
              <w:jc w:val="center"/>
            </w:pPr>
            <w:r>
              <w:rPr>
                <w:sz w:val="20"/>
              </w:rPr>
              <w:t xml:space="preserve">6</w:t>
            </w:r>
          </w:p>
        </w:tc>
        <w:tc>
          <w:tcPr>
            <w:tcW w:w="1134" w:type="dxa"/>
          </w:tcPr>
          <w:p>
            <w:pPr>
              <w:pStyle w:val="0"/>
              <w:jc w:val="center"/>
            </w:pPr>
            <w:r>
              <w:rPr>
                <w:sz w:val="20"/>
              </w:rPr>
              <w:t xml:space="preserve">7</w:t>
            </w:r>
          </w:p>
        </w:tc>
        <w:tc>
          <w:tcPr>
            <w:tcW w:w="2041" w:type="dxa"/>
          </w:tcPr>
          <w:p>
            <w:pPr>
              <w:pStyle w:val="0"/>
              <w:jc w:val="center"/>
            </w:pPr>
            <w:r>
              <w:rPr>
                <w:sz w:val="20"/>
              </w:rPr>
              <w:t xml:space="preserve">8</w:t>
            </w:r>
          </w:p>
        </w:tc>
        <w:tc>
          <w:tcPr>
            <w:tcW w:w="1020" w:type="dxa"/>
          </w:tcPr>
          <w:p>
            <w:pPr>
              <w:pStyle w:val="0"/>
              <w:jc w:val="center"/>
            </w:pPr>
            <w:r>
              <w:rPr>
                <w:sz w:val="20"/>
              </w:rPr>
              <w:t xml:space="preserve">9</w:t>
            </w:r>
          </w:p>
        </w:tc>
        <w:tc>
          <w:tcPr>
            <w:tcW w:w="1701" w:type="dxa"/>
          </w:tcPr>
          <w:p>
            <w:pPr>
              <w:pStyle w:val="0"/>
              <w:jc w:val="center"/>
            </w:pPr>
            <w:r>
              <w:rPr>
                <w:sz w:val="20"/>
              </w:rPr>
              <w:t xml:space="preserve">10</w:t>
            </w:r>
          </w:p>
        </w:tc>
        <w:tc>
          <w:tcPr>
            <w:tcW w:w="1928" w:type="dxa"/>
          </w:tcPr>
          <w:p>
            <w:pPr>
              <w:pStyle w:val="0"/>
              <w:jc w:val="center"/>
            </w:pPr>
            <w:r>
              <w:rPr>
                <w:sz w:val="20"/>
              </w:rPr>
              <w:t xml:space="preserve">11</w:t>
            </w:r>
          </w:p>
        </w:tc>
        <w:tc>
          <w:tcPr>
            <w:tcW w:w="1814" w:type="dxa"/>
          </w:tcPr>
          <w:p>
            <w:pPr>
              <w:pStyle w:val="0"/>
              <w:jc w:val="center"/>
            </w:pPr>
            <w:r>
              <w:rPr>
                <w:sz w:val="20"/>
              </w:rPr>
              <w:t xml:space="preserve">12</w:t>
            </w:r>
          </w:p>
        </w:tc>
        <w:tc>
          <w:tcPr>
            <w:tcW w:w="1814" w:type="dxa"/>
          </w:tcPr>
          <w:p>
            <w:pPr>
              <w:pStyle w:val="0"/>
              <w:jc w:val="center"/>
            </w:pPr>
            <w:r>
              <w:rPr>
                <w:sz w:val="20"/>
              </w:rPr>
              <w:t xml:space="preserve">13</w:t>
            </w:r>
          </w:p>
        </w:tc>
        <w:tc>
          <w:tcPr>
            <w:tcW w:w="1701" w:type="dxa"/>
          </w:tcPr>
          <w:p>
            <w:pPr>
              <w:pStyle w:val="0"/>
              <w:jc w:val="center"/>
            </w:pPr>
            <w:r>
              <w:rPr>
                <w:sz w:val="20"/>
              </w:rPr>
              <w:t xml:space="preserve">14</w:t>
            </w:r>
          </w:p>
        </w:tc>
        <w:tc>
          <w:tcPr>
            <w:tcW w:w="1757" w:type="dxa"/>
          </w:tcPr>
          <w:p>
            <w:pPr>
              <w:pStyle w:val="0"/>
              <w:jc w:val="center"/>
            </w:pPr>
            <w:r>
              <w:rPr>
                <w:sz w:val="20"/>
              </w:rPr>
              <w:t xml:space="preserve">15</w:t>
            </w:r>
          </w:p>
        </w:tc>
        <w:tc>
          <w:tcPr>
            <w:tcW w:w="1701" w:type="dxa"/>
          </w:tcPr>
          <w:p>
            <w:pPr>
              <w:pStyle w:val="0"/>
              <w:jc w:val="center"/>
            </w:pPr>
            <w:r>
              <w:rPr>
                <w:sz w:val="20"/>
              </w:rPr>
              <w:t xml:space="preserve">16</w:t>
            </w:r>
          </w:p>
        </w:tc>
      </w:tr>
      <w:tr>
        <w:tc>
          <w:tcPr>
            <w:tcW w:w="567" w:type="dxa"/>
          </w:tcPr>
          <w:p>
            <w:pPr>
              <w:pStyle w:val="0"/>
              <w:jc w:val="both"/>
            </w:pPr>
            <w:r>
              <w:rPr>
                <w:sz w:val="20"/>
              </w:rPr>
              <w:t xml:space="preserve">1</w:t>
            </w:r>
          </w:p>
        </w:tc>
        <w:tc>
          <w:tcPr>
            <w:tcW w:w="1871" w:type="dxa"/>
          </w:tcPr>
          <w:p>
            <w:pPr>
              <w:pStyle w:val="0"/>
              <w:jc w:val="both"/>
            </w:pPr>
            <w:r>
              <w:rPr>
                <w:sz w:val="20"/>
              </w:rPr>
              <w:t xml:space="preserve">ГБУЗС "Городская больница N 1 им. Н.И. Пирогова"</w:t>
            </w:r>
          </w:p>
        </w:tc>
        <w:tc>
          <w:tcPr>
            <w:tcW w:w="1871" w:type="dxa"/>
          </w:tcPr>
          <w:p>
            <w:pPr>
              <w:pStyle w:val="0"/>
              <w:jc w:val="both"/>
            </w:pPr>
            <w:r>
              <w:rPr>
                <w:sz w:val="20"/>
              </w:rPr>
              <w:t xml:space="preserve">Врачебная амбулатория ГБУЗС "Городская больница N 1 им. Н.И. Пирогова", на 100 посещений в смену</w:t>
            </w:r>
          </w:p>
        </w:tc>
        <w:tc>
          <w:tcPr>
            <w:tcW w:w="1871" w:type="dxa"/>
          </w:tcPr>
          <w:p>
            <w:pPr>
              <w:pStyle w:val="0"/>
              <w:jc w:val="both"/>
            </w:pPr>
            <w:r>
              <w:rPr>
                <w:sz w:val="20"/>
              </w:rPr>
              <w:t xml:space="preserve">г. Севастополь, Фиолентовское шоссе</w:t>
            </w:r>
          </w:p>
        </w:tc>
        <w:tc>
          <w:tcPr>
            <w:tcW w:w="774" w:type="dxa"/>
          </w:tcPr>
          <w:p>
            <w:pPr>
              <w:pStyle w:val="0"/>
              <w:jc w:val="center"/>
            </w:pPr>
            <w:r>
              <w:rPr>
                <w:sz w:val="20"/>
              </w:rPr>
              <w:t xml:space="preserve">0</w:t>
            </w:r>
          </w:p>
        </w:tc>
        <w:tc>
          <w:tcPr>
            <w:tcW w:w="2041" w:type="dxa"/>
          </w:tcPr>
          <w:p>
            <w:pPr>
              <w:pStyle w:val="0"/>
              <w:jc w:val="both"/>
            </w:pPr>
            <w:r>
              <w:rPr>
                <w:sz w:val="20"/>
              </w:rPr>
              <w:t xml:space="preserve">Новое строительство</w:t>
            </w:r>
          </w:p>
        </w:tc>
        <w:tc>
          <w:tcPr>
            <w:tcW w:w="1134" w:type="dxa"/>
          </w:tcPr>
          <w:p>
            <w:pPr>
              <w:pStyle w:val="0"/>
              <w:jc w:val="both"/>
            </w:pPr>
            <w:r>
              <w:rPr>
                <w:sz w:val="20"/>
              </w:rPr>
              <w:t xml:space="preserve">Да</w:t>
            </w:r>
          </w:p>
        </w:tc>
        <w:tc>
          <w:tcPr>
            <w:tcW w:w="2041" w:type="dxa"/>
          </w:tcPr>
          <w:p>
            <w:pPr>
              <w:pStyle w:val="0"/>
              <w:jc w:val="center"/>
            </w:pPr>
            <w:r>
              <w:rPr>
                <w:sz w:val="20"/>
              </w:rPr>
              <w:t xml:space="preserve">10000</w:t>
            </w:r>
          </w:p>
        </w:tc>
        <w:tc>
          <w:tcPr>
            <w:tcW w:w="1020" w:type="dxa"/>
          </w:tcPr>
          <w:p>
            <w:pPr>
              <w:pStyle w:val="0"/>
              <w:jc w:val="center"/>
            </w:pPr>
            <w:r>
              <w:rPr>
                <w:sz w:val="20"/>
              </w:rPr>
              <w:t xml:space="preserve">1487</w:t>
            </w:r>
          </w:p>
        </w:tc>
        <w:tc>
          <w:tcPr>
            <w:tcW w:w="1701" w:type="dxa"/>
          </w:tcPr>
          <w:p>
            <w:pPr>
              <w:pStyle w:val="0"/>
              <w:jc w:val="center"/>
            </w:pPr>
            <w:r>
              <w:rPr>
                <w:sz w:val="20"/>
              </w:rPr>
              <w:t xml:space="preserve">100</w:t>
            </w:r>
          </w:p>
        </w:tc>
        <w:tc>
          <w:tcPr>
            <w:tcW w:w="1928" w:type="dxa"/>
          </w:tcPr>
          <w:p>
            <w:pPr>
              <w:pStyle w:val="0"/>
              <w:jc w:val="center"/>
            </w:pPr>
            <w:r>
              <w:rPr>
                <w:sz w:val="20"/>
              </w:rPr>
              <w:t xml:space="preserve">411637650,00</w:t>
            </w:r>
          </w:p>
        </w:tc>
        <w:tc>
          <w:tcPr>
            <w:tcW w:w="1814" w:type="dxa"/>
          </w:tcPr>
          <w:p>
            <w:pPr>
              <w:pStyle w:val="0"/>
              <w:jc w:val="center"/>
            </w:pPr>
            <w:r>
              <w:rPr>
                <w:sz w:val="20"/>
              </w:rPr>
              <w:t xml:space="preserve">64246400,00</w:t>
            </w:r>
          </w:p>
        </w:tc>
        <w:tc>
          <w:tcPr>
            <w:tcW w:w="1814" w:type="dxa"/>
          </w:tcPr>
          <w:p>
            <w:pPr>
              <w:pStyle w:val="0"/>
              <w:jc w:val="center"/>
            </w:pPr>
            <w:r>
              <w:rPr>
                <w:sz w:val="20"/>
              </w:rPr>
              <w:t xml:space="preserve">86264700,00</w:t>
            </w:r>
          </w:p>
        </w:tc>
        <w:tc>
          <w:tcPr>
            <w:tcW w:w="1701" w:type="dxa"/>
          </w:tcPr>
          <w:p>
            <w:pPr>
              <w:pStyle w:val="0"/>
              <w:jc w:val="center"/>
            </w:pPr>
            <w:r>
              <w:rPr>
                <w:sz w:val="20"/>
              </w:rPr>
              <w:t xml:space="preserve">261126550,00</w:t>
            </w:r>
          </w:p>
        </w:tc>
        <w:tc>
          <w:tcPr>
            <w:tcW w:w="1757" w:type="dxa"/>
          </w:tcPr>
          <w:p>
            <w:pPr>
              <w:pStyle w:val="0"/>
              <w:jc w:val="center"/>
            </w:pPr>
            <w:r>
              <w:rPr>
                <w:sz w:val="20"/>
              </w:rPr>
              <w:t xml:space="preserve">0,00</w:t>
            </w:r>
          </w:p>
        </w:tc>
        <w:tc>
          <w:tcPr>
            <w:tcW w:w="1701" w:type="dxa"/>
          </w:tcPr>
          <w:p>
            <w:pPr>
              <w:pStyle w:val="0"/>
              <w:jc w:val="center"/>
            </w:pPr>
            <w:r>
              <w:rPr>
                <w:sz w:val="20"/>
              </w:rPr>
              <w:t xml:space="preserve">0,00</w:t>
            </w:r>
          </w:p>
        </w:tc>
      </w:tr>
      <w:tr>
        <w:tc>
          <w:tcPr>
            <w:tcW w:w="567" w:type="dxa"/>
          </w:tcPr>
          <w:p>
            <w:pPr>
              <w:pStyle w:val="0"/>
              <w:jc w:val="both"/>
            </w:pPr>
            <w:r>
              <w:rPr>
                <w:sz w:val="20"/>
              </w:rPr>
              <w:t xml:space="preserve">2</w:t>
            </w:r>
          </w:p>
        </w:tc>
        <w:tc>
          <w:tcPr>
            <w:tcW w:w="1871" w:type="dxa"/>
          </w:tcPr>
          <w:p>
            <w:pPr>
              <w:pStyle w:val="0"/>
              <w:jc w:val="both"/>
            </w:pPr>
            <w:r>
              <w:rPr>
                <w:sz w:val="20"/>
              </w:rPr>
              <w:t xml:space="preserve">ГБУЗС "Городская больница N 1 им. Н.И. Пирогова"</w:t>
            </w:r>
          </w:p>
        </w:tc>
        <w:tc>
          <w:tcPr>
            <w:tcW w:w="1871" w:type="dxa"/>
          </w:tcPr>
          <w:p>
            <w:pPr>
              <w:pStyle w:val="0"/>
              <w:jc w:val="both"/>
            </w:pPr>
            <w:r>
              <w:rPr>
                <w:sz w:val="20"/>
              </w:rPr>
              <w:t xml:space="preserve">Поликлиника ГБУЗС "Городская больница N 1 им. Н.И. Пирогова", на 400 посещений в смену</w:t>
            </w:r>
          </w:p>
        </w:tc>
        <w:tc>
          <w:tcPr>
            <w:tcW w:w="1871" w:type="dxa"/>
          </w:tcPr>
          <w:p>
            <w:pPr>
              <w:pStyle w:val="0"/>
              <w:jc w:val="both"/>
            </w:pPr>
            <w:r>
              <w:rPr>
                <w:sz w:val="20"/>
              </w:rPr>
              <w:t xml:space="preserve">г. Севастополь, ул. Молодых Строителей</w:t>
            </w:r>
          </w:p>
        </w:tc>
        <w:tc>
          <w:tcPr>
            <w:tcW w:w="774" w:type="dxa"/>
          </w:tcPr>
          <w:p>
            <w:pPr>
              <w:pStyle w:val="0"/>
              <w:jc w:val="center"/>
            </w:pPr>
            <w:r>
              <w:rPr>
                <w:sz w:val="20"/>
              </w:rPr>
              <w:t xml:space="preserve">0</w:t>
            </w:r>
          </w:p>
        </w:tc>
        <w:tc>
          <w:tcPr>
            <w:tcW w:w="2041" w:type="dxa"/>
          </w:tcPr>
          <w:p>
            <w:pPr>
              <w:pStyle w:val="0"/>
              <w:jc w:val="both"/>
            </w:pPr>
            <w:r>
              <w:rPr>
                <w:sz w:val="20"/>
              </w:rPr>
              <w:t xml:space="preserve">Новое строительство</w:t>
            </w:r>
          </w:p>
        </w:tc>
        <w:tc>
          <w:tcPr>
            <w:tcW w:w="1134" w:type="dxa"/>
          </w:tcPr>
          <w:p>
            <w:pPr>
              <w:pStyle w:val="0"/>
              <w:jc w:val="both"/>
            </w:pPr>
            <w:r>
              <w:rPr>
                <w:sz w:val="20"/>
              </w:rPr>
              <w:t xml:space="preserve">Нет</w:t>
            </w:r>
          </w:p>
        </w:tc>
        <w:tc>
          <w:tcPr>
            <w:tcW w:w="2041" w:type="dxa"/>
          </w:tcPr>
          <w:p>
            <w:pPr>
              <w:pStyle w:val="0"/>
              <w:jc w:val="center"/>
            </w:pPr>
            <w:r>
              <w:rPr>
                <w:sz w:val="20"/>
              </w:rPr>
              <w:t xml:space="preserve">35000</w:t>
            </w:r>
          </w:p>
        </w:tc>
        <w:tc>
          <w:tcPr>
            <w:tcW w:w="1020" w:type="dxa"/>
          </w:tcPr>
          <w:p>
            <w:pPr>
              <w:pStyle w:val="0"/>
              <w:jc w:val="center"/>
            </w:pPr>
            <w:r>
              <w:rPr>
                <w:sz w:val="20"/>
              </w:rPr>
              <w:t xml:space="preserve">3308</w:t>
            </w:r>
          </w:p>
        </w:tc>
        <w:tc>
          <w:tcPr>
            <w:tcW w:w="1701" w:type="dxa"/>
          </w:tcPr>
          <w:p>
            <w:pPr>
              <w:pStyle w:val="0"/>
              <w:jc w:val="center"/>
            </w:pPr>
            <w:r>
              <w:rPr>
                <w:sz w:val="20"/>
              </w:rPr>
              <w:t xml:space="preserve">400</w:t>
            </w:r>
          </w:p>
        </w:tc>
        <w:tc>
          <w:tcPr>
            <w:tcW w:w="1928" w:type="dxa"/>
          </w:tcPr>
          <w:p>
            <w:pPr>
              <w:pStyle w:val="0"/>
              <w:jc w:val="center"/>
            </w:pPr>
            <w:r>
              <w:rPr>
                <w:sz w:val="20"/>
              </w:rPr>
              <w:t xml:space="preserve">877341350,00</w:t>
            </w:r>
          </w:p>
        </w:tc>
        <w:tc>
          <w:tcPr>
            <w:tcW w:w="1814" w:type="dxa"/>
          </w:tcPr>
          <w:p>
            <w:pPr>
              <w:pStyle w:val="0"/>
              <w:jc w:val="center"/>
            </w:pPr>
            <w:r>
              <w:rPr>
                <w:sz w:val="20"/>
              </w:rPr>
              <w:t xml:space="preserve">136332300,00</w:t>
            </w:r>
          </w:p>
        </w:tc>
        <w:tc>
          <w:tcPr>
            <w:tcW w:w="1814" w:type="dxa"/>
          </w:tcPr>
          <w:p>
            <w:pPr>
              <w:pStyle w:val="0"/>
              <w:jc w:val="center"/>
            </w:pPr>
            <w:r>
              <w:rPr>
                <w:sz w:val="20"/>
              </w:rPr>
              <w:t xml:space="preserve">126138400,00</w:t>
            </w:r>
          </w:p>
        </w:tc>
        <w:tc>
          <w:tcPr>
            <w:tcW w:w="1701" w:type="dxa"/>
          </w:tcPr>
          <w:p>
            <w:pPr>
              <w:pStyle w:val="0"/>
              <w:jc w:val="center"/>
            </w:pPr>
            <w:r>
              <w:rPr>
                <w:sz w:val="20"/>
              </w:rPr>
              <w:t xml:space="preserve">6301250,00</w:t>
            </w:r>
          </w:p>
        </w:tc>
        <w:tc>
          <w:tcPr>
            <w:tcW w:w="1757" w:type="dxa"/>
          </w:tcPr>
          <w:p>
            <w:pPr>
              <w:pStyle w:val="0"/>
              <w:jc w:val="center"/>
            </w:pPr>
            <w:r>
              <w:rPr>
                <w:sz w:val="20"/>
              </w:rPr>
              <w:t xml:space="preserve">267427800,00</w:t>
            </w:r>
          </w:p>
        </w:tc>
        <w:tc>
          <w:tcPr>
            <w:tcW w:w="1701" w:type="dxa"/>
          </w:tcPr>
          <w:p>
            <w:pPr>
              <w:pStyle w:val="0"/>
              <w:jc w:val="center"/>
            </w:pPr>
            <w:r>
              <w:rPr>
                <w:sz w:val="20"/>
              </w:rPr>
              <w:t xml:space="preserve">341141600,00</w:t>
            </w:r>
          </w:p>
        </w:tc>
      </w:tr>
      <w:tr>
        <w:tc>
          <w:tcPr>
            <w:tcW w:w="567" w:type="dxa"/>
          </w:tcPr>
          <w:p>
            <w:pPr>
              <w:pStyle w:val="0"/>
              <w:jc w:val="both"/>
            </w:pPr>
            <w:r>
              <w:rPr>
                <w:sz w:val="20"/>
              </w:rPr>
              <w:t xml:space="preserve">3</w:t>
            </w:r>
          </w:p>
        </w:tc>
        <w:tc>
          <w:tcPr>
            <w:tcW w:w="1871" w:type="dxa"/>
          </w:tcPr>
          <w:p>
            <w:pPr>
              <w:pStyle w:val="0"/>
              <w:jc w:val="both"/>
            </w:pPr>
            <w:r>
              <w:rPr>
                <w:sz w:val="20"/>
              </w:rPr>
              <w:t xml:space="preserve">ИТОГО</w:t>
            </w:r>
          </w:p>
        </w:tc>
        <w:tc>
          <w:tcPr>
            <w:tcW w:w="1871" w:type="dxa"/>
          </w:tcPr>
          <w:p>
            <w:pPr>
              <w:pStyle w:val="0"/>
              <w:jc w:val="center"/>
            </w:pPr>
            <w:r>
              <w:rPr>
                <w:sz w:val="20"/>
              </w:rPr>
              <w:t xml:space="preserve">-</w:t>
            </w:r>
          </w:p>
        </w:tc>
        <w:tc>
          <w:tcPr>
            <w:tcW w:w="1871" w:type="dxa"/>
          </w:tcPr>
          <w:p>
            <w:pPr>
              <w:pStyle w:val="0"/>
              <w:jc w:val="center"/>
            </w:pPr>
            <w:r>
              <w:rPr>
                <w:sz w:val="20"/>
              </w:rPr>
              <w:t xml:space="preserve">-</w:t>
            </w:r>
          </w:p>
        </w:tc>
        <w:tc>
          <w:tcPr>
            <w:tcW w:w="774" w:type="dxa"/>
          </w:tcPr>
          <w:p>
            <w:pPr>
              <w:pStyle w:val="0"/>
              <w:jc w:val="center"/>
            </w:pPr>
            <w:r>
              <w:rPr>
                <w:sz w:val="20"/>
              </w:rPr>
              <w:t xml:space="preserve">0</w:t>
            </w:r>
          </w:p>
        </w:tc>
        <w:tc>
          <w:tcPr>
            <w:tcW w:w="2041" w:type="dxa"/>
          </w:tcPr>
          <w:p>
            <w:pPr>
              <w:pStyle w:val="0"/>
              <w:jc w:val="center"/>
            </w:pPr>
            <w:r>
              <w:rPr>
                <w:sz w:val="20"/>
              </w:rPr>
              <w:t xml:space="preserve">-</w:t>
            </w:r>
          </w:p>
        </w:tc>
        <w:tc>
          <w:tcPr>
            <w:tcW w:w="1134" w:type="dxa"/>
          </w:tcPr>
          <w:p>
            <w:pPr>
              <w:pStyle w:val="0"/>
              <w:jc w:val="center"/>
            </w:pPr>
            <w:r>
              <w:rPr>
                <w:sz w:val="20"/>
              </w:rPr>
              <w:t xml:space="preserve">-</w:t>
            </w:r>
          </w:p>
        </w:tc>
        <w:tc>
          <w:tcPr>
            <w:tcW w:w="2041" w:type="dxa"/>
          </w:tcPr>
          <w:p>
            <w:pPr>
              <w:pStyle w:val="0"/>
              <w:jc w:val="center"/>
            </w:pPr>
            <w:r>
              <w:rPr>
                <w:sz w:val="20"/>
              </w:rPr>
              <w:t xml:space="preserve">-</w:t>
            </w:r>
          </w:p>
        </w:tc>
        <w:tc>
          <w:tcPr>
            <w:tcW w:w="1020" w:type="dxa"/>
          </w:tcPr>
          <w:p>
            <w:pPr>
              <w:pStyle w:val="0"/>
              <w:jc w:val="center"/>
            </w:pPr>
            <w:r>
              <w:rPr>
                <w:sz w:val="20"/>
              </w:rPr>
              <w:t xml:space="preserve">4795</w:t>
            </w:r>
          </w:p>
        </w:tc>
        <w:tc>
          <w:tcPr>
            <w:tcW w:w="1701" w:type="dxa"/>
          </w:tcPr>
          <w:p>
            <w:pPr>
              <w:pStyle w:val="0"/>
              <w:jc w:val="center"/>
            </w:pPr>
            <w:r>
              <w:rPr>
                <w:sz w:val="20"/>
              </w:rPr>
              <w:t xml:space="preserve">500</w:t>
            </w:r>
          </w:p>
        </w:tc>
        <w:tc>
          <w:tcPr>
            <w:tcW w:w="1928" w:type="dxa"/>
          </w:tcPr>
          <w:p>
            <w:pPr>
              <w:pStyle w:val="0"/>
              <w:jc w:val="center"/>
            </w:pPr>
            <w:r>
              <w:rPr>
                <w:sz w:val="20"/>
              </w:rPr>
              <w:t xml:space="preserve">1288979000,00</w:t>
            </w:r>
          </w:p>
        </w:tc>
        <w:tc>
          <w:tcPr>
            <w:tcW w:w="1814" w:type="dxa"/>
          </w:tcPr>
          <w:p>
            <w:pPr>
              <w:pStyle w:val="0"/>
              <w:jc w:val="center"/>
            </w:pPr>
            <w:r>
              <w:rPr>
                <w:sz w:val="20"/>
              </w:rPr>
              <w:t xml:space="preserve">200578700,00</w:t>
            </w:r>
          </w:p>
        </w:tc>
        <w:tc>
          <w:tcPr>
            <w:tcW w:w="1814" w:type="dxa"/>
          </w:tcPr>
          <w:p>
            <w:pPr>
              <w:pStyle w:val="0"/>
              <w:jc w:val="center"/>
            </w:pPr>
            <w:r>
              <w:rPr>
                <w:sz w:val="20"/>
              </w:rPr>
              <w:t xml:space="preserve">212403100,00</w:t>
            </w:r>
          </w:p>
        </w:tc>
        <w:tc>
          <w:tcPr>
            <w:tcW w:w="1701" w:type="dxa"/>
          </w:tcPr>
          <w:p>
            <w:pPr>
              <w:pStyle w:val="0"/>
              <w:jc w:val="center"/>
            </w:pPr>
            <w:r>
              <w:rPr>
                <w:sz w:val="20"/>
              </w:rPr>
              <w:t xml:space="preserve">267427800,00</w:t>
            </w:r>
          </w:p>
        </w:tc>
        <w:tc>
          <w:tcPr>
            <w:tcW w:w="1757" w:type="dxa"/>
          </w:tcPr>
          <w:p>
            <w:pPr>
              <w:pStyle w:val="0"/>
              <w:jc w:val="center"/>
            </w:pPr>
            <w:r>
              <w:rPr>
                <w:sz w:val="20"/>
              </w:rPr>
              <w:t xml:space="preserve">267427800,00</w:t>
            </w:r>
          </w:p>
        </w:tc>
        <w:tc>
          <w:tcPr>
            <w:tcW w:w="1701" w:type="dxa"/>
          </w:tcPr>
          <w:p>
            <w:pPr>
              <w:pStyle w:val="0"/>
              <w:jc w:val="center"/>
            </w:pPr>
            <w:r>
              <w:rPr>
                <w:sz w:val="20"/>
              </w:rPr>
              <w:t xml:space="preserve">341141600,00</w:t>
            </w:r>
          </w:p>
        </w:tc>
      </w:tr>
    </w:tbl>
    <w:p>
      <w:pPr>
        <w:pStyle w:val="0"/>
        <w:jc w:val="both"/>
      </w:pPr>
      <w:r>
        <w:rPr>
          <w:sz w:val="20"/>
        </w:rPr>
      </w:r>
    </w:p>
    <w:p>
      <w:pPr>
        <w:pStyle w:val="0"/>
        <w:jc w:val="right"/>
      </w:pPr>
      <w:r>
        <w:rPr>
          <w:sz w:val="20"/>
        </w:rPr>
        <w:t xml:space="preserve">Таблица 2</w:t>
      </w:r>
    </w:p>
    <w:p>
      <w:pPr>
        <w:pStyle w:val="0"/>
      </w:pPr>
      <w:r>
        <w:rPr>
          <w:sz w:val="20"/>
        </w:rPr>
      </w:r>
    </w:p>
    <w:p>
      <w:pPr>
        <w:pStyle w:val="0"/>
        <w:jc w:val="center"/>
      </w:pPr>
      <w:r>
        <w:rPr>
          <w:sz w:val="20"/>
        </w:rPr>
        <w:t xml:space="preserve">Капитальный ремонт медицинских организаций, подведомственных</w:t>
      </w:r>
    </w:p>
    <w:p>
      <w:pPr>
        <w:pStyle w:val="0"/>
        <w:jc w:val="center"/>
      </w:pPr>
      <w:r>
        <w:rPr>
          <w:sz w:val="20"/>
        </w:rPr>
        <w:t xml:space="preserve">Департаменту здравоохранения города Севастополя,</w:t>
      </w:r>
    </w:p>
    <w:p>
      <w:pPr>
        <w:pStyle w:val="0"/>
        <w:jc w:val="center"/>
      </w:pPr>
      <w:r>
        <w:rPr>
          <w:sz w:val="20"/>
        </w:rPr>
        <w:t xml:space="preserve">расположенных на территории города Севастополя, оказывающих</w:t>
      </w:r>
    </w:p>
    <w:p>
      <w:pPr>
        <w:pStyle w:val="0"/>
        <w:jc w:val="center"/>
      </w:pPr>
      <w:r>
        <w:rPr>
          <w:sz w:val="20"/>
        </w:rPr>
        <w:t xml:space="preserve">первичную медико-санитарную помощь взрослым и детям,</w:t>
      </w:r>
    </w:p>
    <w:p>
      <w:pPr>
        <w:pStyle w:val="0"/>
        <w:jc w:val="center"/>
      </w:pPr>
      <w:r>
        <w:rPr>
          <w:sz w:val="20"/>
        </w:rPr>
        <w:t xml:space="preserve">их обособленных структурных подразделений, центральных</w:t>
      </w:r>
    </w:p>
    <w:p>
      <w:pPr>
        <w:pStyle w:val="0"/>
        <w:jc w:val="center"/>
      </w:pPr>
      <w:r>
        <w:rPr>
          <w:sz w:val="20"/>
        </w:rPr>
        <w:t xml:space="preserve">районных и районных больниц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361"/>
        <w:gridCol w:w="1587"/>
        <w:gridCol w:w="1247"/>
        <w:gridCol w:w="774"/>
        <w:gridCol w:w="1549"/>
        <w:gridCol w:w="1531"/>
        <w:gridCol w:w="1191"/>
        <w:gridCol w:w="964"/>
        <w:gridCol w:w="1474"/>
        <w:gridCol w:w="1474"/>
        <w:gridCol w:w="888"/>
        <w:gridCol w:w="888"/>
        <w:gridCol w:w="888"/>
        <w:gridCol w:w="888"/>
        <w:gridCol w:w="889"/>
      </w:tblGrid>
      <w:tr>
        <w:tc>
          <w:tcPr>
            <w:tcW w:w="567" w:type="dxa"/>
            <w:vMerge w:val="restart"/>
          </w:tcPr>
          <w:p>
            <w:pPr>
              <w:pStyle w:val="0"/>
              <w:jc w:val="center"/>
            </w:pPr>
            <w:r>
              <w:rPr>
                <w:sz w:val="20"/>
              </w:rPr>
              <w:t xml:space="preserve">N п/п</w:t>
            </w:r>
          </w:p>
        </w:tc>
        <w:tc>
          <w:tcPr>
            <w:tcW w:w="1361" w:type="dxa"/>
            <w:vMerge w:val="restart"/>
          </w:tcPr>
          <w:p>
            <w:pPr>
              <w:pStyle w:val="0"/>
              <w:jc w:val="center"/>
            </w:pPr>
            <w:r>
              <w:rPr>
                <w:sz w:val="20"/>
              </w:rPr>
              <w:t xml:space="preserve">Наименование юридического лица</w:t>
            </w:r>
          </w:p>
        </w:tc>
        <w:tc>
          <w:tcPr>
            <w:tcW w:w="1587" w:type="dxa"/>
            <w:vMerge w:val="restart"/>
          </w:tcPr>
          <w:p>
            <w:pPr>
              <w:pStyle w:val="0"/>
              <w:jc w:val="center"/>
            </w:pPr>
            <w:r>
              <w:rPr>
                <w:sz w:val="20"/>
              </w:rPr>
              <w:t xml:space="preserve">Наименование объекта</w:t>
            </w:r>
          </w:p>
        </w:tc>
        <w:tc>
          <w:tcPr>
            <w:tcW w:w="1247" w:type="dxa"/>
            <w:vMerge w:val="restart"/>
          </w:tcPr>
          <w:p>
            <w:pPr>
              <w:pStyle w:val="0"/>
              <w:jc w:val="center"/>
            </w:pPr>
            <w:r>
              <w:rPr>
                <w:sz w:val="20"/>
              </w:rPr>
              <w:t xml:space="preserve">Адрес объекта</w:t>
            </w:r>
          </w:p>
        </w:tc>
        <w:tc>
          <w:tcPr>
            <w:tcW w:w="774" w:type="dxa"/>
            <w:vMerge w:val="restart"/>
          </w:tcPr>
          <w:p>
            <w:pPr>
              <w:pStyle w:val="0"/>
              <w:jc w:val="center"/>
            </w:pPr>
            <w:r>
              <w:rPr>
                <w:sz w:val="20"/>
              </w:rPr>
              <w:t xml:space="preserve">Износ (%)</w:t>
            </w:r>
          </w:p>
        </w:tc>
        <w:tc>
          <w:tcPr>
            <w:tcW w:w="1549" w:type="dxa"/>
            <w:vMerge w:val="restart"/>
          </w:tcPr>
          <w:p>
            <w:pPr>
              <w:pStyle w:val="0"/>
              <w:jc w:val="center"/>
            </w:pPr>
            <w:r>
              <w:rPr>
                <w:sz w:val="20"/>
              </w:rPr>
              <w:t xml:space="preserve">Планируемое мероприятие (капитальный ремонт, выборочный ремонт)</w:t>
            </w:r>
          </w:p>
        </w:tc>
        <w:tc>
          <w:tcPr>
            <w:tcW w:w="1531" w:type="dxa"/>
            <w:vMerge w:val="restart"/>
          </w:tcPr>
          <w:p>
            <w:pPr>
              <w:pStyle w:val="0"/>
              <w:jc w:val="center"/>
            </w:pPr>
            <w:r>
              <w:rPr>
                <w:sz w:val="20"/>
              </w:rPr>
              <w:t xml:space="preserve">Количество населения, обслуживаемого медицинской организацией</w:t>
            </w:r>
          </w:p>
        </w:tc>
        <w:tc>
          <w:tcPr>
            <w:tcW w:w="1191" w:type="dxa"/>
            <w:vMerge w:val="restart"/>
          </w:tcPr>
          <w:p>
            <w:pPr>
              <w:pStyle w:val="0"/>
              <w:jc w:val="center"/>
            </w:pPr>
            <w:r>
              <w:rPr>
                <w:sz w:val="20"/>
              </w:rPr>
              <w:t xml:space="preserve">Площадь объектов (кв. м)</w:t>
            </w:r>
          </w:p>
        </w:tc>
        <w:tc>
          <w:tcPr>
            <w:tcW w:w="964" w:type="dxa"/>
            <w:vMerge w:val="restart"/>
          </w:tcPr>
          <w:p>
            <w:pPr>
              <w:pStyle w:val="0"/>
              <w:jc w:val="center"/>
            </w:pPr>
            <w:r>
              <w:rPr>
                <w:sz w:val="20"/>
              </w:rPr>
              <w:t xml:space="preserve">Мощность объекта</w:t>
            </w:r>
          </w:p>
        </w:tc>
        <w:tc>
          <w:tcPr>
            <w:tcW w:w="1474" w:type="dxa"/>
            <w:vMerge w:val="restart"/>
          </w:tcPr>
          <w:p>
            <w:pPr>
              <w:pStyle w:val="0"/>
              <w:jc w:val="center"/>
            </w:pPr>
            <w:r>
              <w:rPr>
                <w:sz w:val="20"/>
              </w:rPr>
              <w:t xml:space="preserve">Наименование ремонтных работ (если выборочный капремонт)</w:t>
            </w:r>
          </w:p>
        </w:tc>
        <w:tc>
          <w:tcPr>
            <w:tcW w:w="1474" w:type="dxa"/>
            <w:vMerge w:val="restart"/>
          </w:tcPr>
          <w:p>
            <w:pPr>
              <w:pStyle w:val="0"/>
              <w:jc w:val="center"/>
            </w:pPr>
            <w:r>
              <w:rPr>
                <w:sz w:val="20"/>
              </w:rPr>
              <w:t xml:space="preserve">Планируемая стоимость работ (руб.)</w:t>
            </w:r>
          </w:p>
        </w:tc>
        <w:tc>
          <w:tcPr>
            <w:gridSpan w:val="5"/>
            <w:tcW w:w="4441" w:type="dxa"/>
          </w:tcPr>
          <w:p>
            <w:pPr>
              <w:pStyle w:val="0"/>
              <w:jc w:val="center"/>
            </w:pPr>
            <w:r>
              <w:rPr>
                <w:sz w:val="20"/>
              </w:rPr>
              <w:t xml:space="preserve">В том числе по годам</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888" w:type="dxa"/>
          </w:tcPr>
          <w:p>
            <w:pPr>
              <w:pStyle w:val="0"/>
              <w:jc w:val="center"/>
            </w:pPr>
            <w:r>
              <w:rPr>
                <w:sz w:val="20"/>
              </w:rPr>
              <w:t xml:space="preserve">2021</w:t>
            </w:r>
          </w:p>
        </w:tc>
        <w:tc>
          <w:tcPr>
            <w:tcW w:w="888" w:type="dxa"/>
          </w:tcPr>
          <w:p>
            <w:pPr>
              <w:pStyle w:val="0"/>
              <w:jc w:val="center"/>
            </w:pPr>
            <w:r>
              <w:rPr>
                <w:sz w:val="20"/>
              </w:rPr>
              <w:t xml:space="preserve">2022</w:t>
            </w:r>
          </w:p>
        </w:tc>
        <w:tc>
          <w:tcPr>
            <w:tcW w:w="888" w:type="dxa"/>
          </w:tcPr>
          <w:p>
            <w:pPr>
              <w:pStyle w:val="0"/>
              <w:jc w:val="center"/>
            </w:pPr>
            <w:r>
              <w:rPr>
                <w:sz w:val="20"/>
              </w:rPr>
              <w:t xml:space="preserve">2023</w:t>
            </w:r>
          </w:p>
        </w:tc>
        <w:tc>
          <w:tcPr>
            <w:tcW w:w="888" w:type="dxa"/>
          </w:tcPr>
          <w:p>
            <w:pPr>
              <w:pStyle w:val="0"/>
              <w:jc w:val="center"/>
            </w:pPr>
            <w:r>
              <w:rPr>
                <w:sz w:val="20"/>
              </w:rPr>
              <w:t xml:space="preserve">2024</w:t>
            </w:r>
          </w:p>
        </w:tc>
        <w:tc>
          <w:tcPr>
            <w:tcW w:w="889" w:type="dxa"/>
          </w:tcPr>
          <w:p>
            <w:pPr>
              <w:pStyle w:val="0"/>
              <w:jc w:val="center"/>
            </w:pPr>
            <w:r>
              <w:rPr>
                <w:sz w:val="20"/>
              </w:rPr>
              <w:t xml:space="preserve">2025</w:t>
            </w:r>
          </w:p>
        </w:tc>
      </w:tr>
      <w:tr>
        <w:tc>
          <w:tcPr>
            <w:tcW w:w="567" w:type="dxa"/>
          </w:tcPr>
          <w:p>
            <w:pPr>
              <w:pStyle w:val="0"/>
              <w:jc w:val="center"/>
            </w:pPr>
            <w:r>
              <w:rPr>
                <w:sz w:val="20"/>
              </w:rPr>
              <w:t xml:space="preserve">1</w:t>
            </w:r>
          </w:p>
        </w:tc>
        <w:tc>
          <w:tcPr>
            <w:tcW w:w="1361" w:type="dxa"/>
          </w:tcPr>
          <w:p>
            <w:pPr>
              <w:pStyle w:val="0"/>
              <w:jc w:val="center"/>
            </w:pPr>
            <w:r>
              <w:rPr>
                <w:sz w:val="20"/>
              </w:rPr>
              <w:t xml:space="preserve">2</w:t>
            </w:r>
          </w:p>
        </w:tc>
        <w:tc>
          <w:tcPr>
            <w:tcW w:w="1587" w:type="dxa"/>
          </w:tcPr>
          <w:p>
            <w:pPr>
              <w:pStyle w:val="0"/>
              <w:jc w:val="center"/>
            </w:pPr>
            <w:r>
              <w:rPr>
                <w:sz w:val="20"/>
              </w:rPr>
              <w:t xml:space="preserve">3</w:t>
            </w:r>
          </w:p>
        </w:tc>
        <w:tc>
          <w:tcPr>
            <w:tcW w:w="1247" w:type="dxa"/>
          </w:tcPr>
          <w:p>
            <w:pPr>
              <w:pStyle w:val="0"/>
              <w:jc w:val="center"/>
            </w:pPr>
            <w:r>
              <w:rPr>
                <w:sz w:val="20"/>
              </w:rPr>
              <w:t xml:space="preserve">4</w:t>
            </w:r>
          </w:p>
        </w:tc>
        <w:tc>
          <w:tcPr>
            <w:tcW w:w="774" w:type="dxa"/>
          </w:tcPr>
          <w:p>
            <w:pPr>
              <w:pStyle w:val="0"/>
              <w:jc w:val="center"/>
            </w:pPr>
            <w:r>
              <w:rPr>
                <w:sz w:val="20"/>
              </w:rPr>
              <w:t xml:space="preserve">5</w:t>
            </w:r>
          </w:p>
        </w:tc>
        <w:tc>
          <w:tcPr>
            <w:tcW w:w="1549" w:type="dxa"/>
          </w:tcPr>
          <w:p>
            <w:pPr>
              <w:pStyle w:val="0"/>
              <w:jc w:val="center"/>
            </w:pPr>
            <w:r>
              <w:rPr>
                <w:sz w:val="20"/>
              </w:rPr>
              <w:t xml:space="preserve">6</w:t>
            </w:r>
          </w:p>
        </w:tc>
        <w:tc>
          <w:tcPr>
            <w:tcW w:w="1531" w:type="dxa"/>
          </w:tcPr>
          <w:p>
            <w:pPr>
              <w:pStyle w:val="0"/>
              <w:jc w:val="center"/>
            </w:pPr>
            <w:r>
              <w:rPr>
                <w:sz w:val="20"/>
              </w:rPr>
              <w:t xml:space="preserve">7</w:t>
            </w:r>
          </w:p>
        </w:tc>
        <w:tc>
          <w:tcPr>
            <w:tcW w:w="1191" w:type="dxa"/>
          </w:tcPr>
          <w:p>
            <w:pPr>
              <w:pStyle w:val="0"/>
              <w:jc w:val="center"/>
            </w:pPr>
            <w:r>
              <w:rPr>
                <w:sz w:val="20"/>
              </w:rPr>
              <w:t xml:space="preserve">8</w:t>
            </w:r>
          </w:p>
        </w:tc>
        <w:tc>
          <w:tcPr>
            <w:tcW w:w="964" w:type="dxa"/>
          </w:tcPr>
          <w:p>
            <w:pPr>
              <w:pStyle w:val="0"/>
              <w:jc w:val="center"/>
            </w:pPr>
            <w:r>
              <w:rPr>
                <w:sz w:val="20"/>
              </w:rPr>
              <w:t xml:space="preserve">9</w:t>
            </w:r>
          </w:p>
        </w:tc>
        <w:tc>
          <w:tcPr>
            <w:tcW w:w="1474" w:type="dxa"/>
          </w:tcPr>
          <w:p>
            <w:pPr>
              <w:pStyle w:val="0"/>
              <w:jc w:val="center"/>
            </w:pPr>
            <w:r>
              <w:rPr>
                <w:sz w:val="20"/>
              </w:rPr>
              <w:t xml:space="preserve">10</w:t>
            </w:r>
          </w:p>
        </w:tc>
        <w:tc>
          <w:tcPr>
            <w:tcW w:w="1474" w:type="dxa"/>
          </w:tcPr>
          <w:p>
            <w:pPr>
              <w:pStyle w:val="0"/>
              <w:jc w:val="center"/>
            </w:pPr>
            <w:r>
              <w:rPr>
                <w:sz w:val="20"/>
              </w:rPr>
              <w:t xml:space="preserve">11</w:t>
            </w:r>
          </w:p>
        </w:tc>
        <w:tc>
          <w:tcPr>
            <w:tcW w:w="888" w:type="dxa"/>
          </w:tcPr>
          <w:p>
            <w:pPr>
              <w:pStyle w:val="0"/>
              <w:jc w:val="center"/>
            </w:pPr>
            <w:r>
              <w:rPr>
                <w:sz w:val="20"/>
              </w:rPr>
              <w:t xml:space="preserve">12</w:t>
            </w:r>
          </w:p>
        </w:tc>
        <w:tc>
          <w:tcPr>
            <w:tcW w:w="888" w:type="dxa"/>
          </w:tcPr>
          <w:p>
            <w:pPr>
              <w:pStyle w:val="0"/>
              <w:jc w:val="center"/>
            </w:pPr>
            <w:r>
              <w:rPr>
                <w:sz w:val="20"/>
              </w:rPr>
              <w:t xml:space="preserve">13</w:t>
            </w:r>
          </w:p>
        </w:tc>
        <w:tc>
          <w:tcPr>
            <w:tcW w:w="888" w:type="dxa"/>
          </w:tcPr>
          <w:p>
            <w:pPr>
              <w:pStyle w:val="0"/>
              <w:jc w:val="center"/>
            </w:pPr>
            <w:r>
              <w:rPr>
                <w:sz w:val="20"/>
              </w:rPr>
              <w:t xml:space="preserve">14</w:t>
            </w:r>
          </w:p>
        </w:tc>
        <w:tc>
          <w:tcPr>
            <w:tcW w:w="888" w:type="dxa"/>
          </w:tcPr>
          <w:p>
            <w:pPr>
              <w:pStyle w:val="0"/>
              <w:jc w:val="center"/>
            </w:pPr>
            <w:r>
              <w:rPr>
                <w:sz w:val="20"/>
              </w:rPr>
              <w:t xml:space="preserve">15</w:t>
            </w:r>
          </w:p>
        </w:tc>
        <w:tc>
          <w:tcPr>
            <w:tcW w:w="889" w:type="dxa"/>
          </w:tcPr>
          <w:p>
            <w:pPr>
              <w:pStyle w:val="0"/>
              <w:jc w:val="center"/>
            </w:pPr>
            <w:r>
              <w:rPr>
                <w:sz w:val="20"/>
              </w:rPr>
              <w:t xml:space="preserve">16</w:t>
            </w:r>
          </w:p>
        </w:tc>
      </w:tr>
      <w:tr>
        <w:tc>
          <w:tcPr>
            <w:tcW w:w="567" w:type="dxa"/>
          </w:tcPr>
          <w:p>
            <w:pPr>
              <w:pStyle w:val="0"/>
              <w:jc w:val="both"/>
            </w:pPr>
            <w:r>
              <w:rPr>
                <w:sz w:val="20"/>
              </w:rPr>
              <w:t xml:space="preserve">1</w:t>
            </w:r>
          </w:p>
        </w:tc>
        <w:tc>
          <w:tcPr>
            <w:tcW w:w="1361" w:type="dxa"/>
          </w:tcPr>
          <w:p>
            <w:pPr>
              <w:pStyle w:val="0"/>
              <w:jc w:val="center"/>
            </w:pPr>
            <w:r>
              <w:rPr>
                <w:sz w:val="20"/>
              </w:rPr>
              <w:t xml:space="preserve">-</w:t>
            </w:r>
          </w:p>
        </w:tc>
        <w:tc>
          <w:tcPr>
            <w:tcW w:w="1587" w:type="dxa"/>
          </w:tcPr>
          <w:p>
            <w:pPr>
              <w:pStyle w:val="0"/>
              <w:jc w:val="center"/>
            </w:pPr>
            <w:r>
              <w:rPr>
                <w:sz w:val="20"/>
              </w:rPr>
              <w:t xml:space="preserve">-</w:t>
            </w:r>
          </w:p>
        </w:tc>
        <w:tc>
          <w:tcPr>
            <w:tcW w:w="1247" w:type="dxa"/>
          </w:tcPr>
          <w:p>
            <w:pPr>
              <w:pStyle w:val="0"/>
              <w:jc w:val="center"/>
            </w:pPr>
            <w:r>
              <w:rPr>
                <w:sz w:val="20"/>
              </w:rPr>
              <w:t xml:space="preserve">-</w:t>
            </w:r>
          </w:p>
        </w:tc>
        <w:tc>
          <w:tcPr>
            <w:tcW w:w="774" w:type="dxa"/>
          </w:tcPr>
          <w:p>
            <w:pPr>
              <w:pStyle w:val="0"/>
              <w:jc w:val="center"/>
            </w:pPr>
            <w:r>
              <w:rPr>
                <w:sz w:val="20"/>
              </w:rPr>
              <w:t xml:space="preserve">-</w:t>
            </w:r>
          </w:p>
        </w:tc>
        <w:tc>
          <w:tcPr>
            <w:tcW w:w="1549" w:type="dxa"/>
          </w:tcPr>
          <w:p>
            <w:pPr>
              <w:pStyle w:val="0"/>
              <w:jc w:val="center"/>
            </w:pPr>
            <w:r>
              <w:rPr>
                <w:sz w:val="20"/>
              </w:rPr>
              <w:t xml:space="preserve">-</w:t>
            </w:r>
          </w:p>
        </w:tc>
        <w:tc>
          <w:tcPr>
            <w:tcW w:w="1531" w:type="dxa"/>
          </w:tcPr>
          <w:p>
            <w:pPr>
              <w:pStyle w:val="0"/>
              <w:jc w:val="center"/>
            </w:pPr>
            <w:r>
              <w:rPr>
                <w:sz w:val="20"/>
              </w:rPr>
              <w:t xml:space="preserve">-</w:t>
            </w:r>
          </w:p>
        </w:tc>
        <w:tc>
          <w:tcPr>
            <w:tcW w:w="1191" w:type="dxa"/>
          </w:tcPr>
          <w:p>
            <w:pPr>
              <w:pStyle w:val="0"/>
              <w:jc w:val="center"/>
            </w:pPr>
            <w:r>
              <w:rPr>
                <w:sz w:val="20"/>
              </w:rPr>
              <w:t xml:space="preserve">-</w:t>
            </w:r>
          </w:p>
        </w:tc>
        <w:tc>
          <w:tcPr>
            <w:tcW w:w="964" w:type="dxa"/>
          </w:tcPr>
          <w:p>
            <w:pPr>
              <w:pStyle w:val="0"/>
              <w:jc w:val="center"/>
            </w:pPr>
            <w:r>
              <w:rPr>
                <w:sz w:val="20"/>
              </w:rPr>
              <w:t xml:space="preserve">-</w:t>
            </w:r>
          </w:p>
        </w:tc>
        <w:tc>
          <w:tcPr>
            <w:tcW w:w="1474" w:type="dxa"/>
          </w:tcPr>
          <w:p>
            <w:pPr>
              <w:pStyle w:val="0"/>
              <w:jc w:val="center"/>
            </w:pPr>
            <w:r>
              <w:rPr>
                <w:sz w:val="20"/>
              </w:rPr>
              <w:t xml:space="preserve">-</w:t>
            </w:r>
          </w:p>
        </w:tc>
        <w:tc>
          <w:tcPr>
            <w:tcW w:w="1474"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9" w:type="dxa"/>
          </w:tcPr>
          <w:p>
            <w:pPr>
              <w:pStyle w:val="0"/>
              <w:jc w:val="center"/>
            </w:pPr>
            <w:r>
              <w:rPr>
                <w:sz w:val="20"/>
              </w:rPr>
              <w:t xml:space="preserve">-</w:t>
            </w:r>
          </w:p>
        </w:tc>
      </w:tr>
      <w:tr>
        <w:tc>
          <w:tcPr>
            <w:tcW w:w="567" w:type="dxa"/>
          </w:tcPr>
          <w:p>
            <w:pPr>
              <w:pStyle w:val="0"/>
              <w:jc w:val="both"/>
            </w:pPr>
            <w:r>
              <w:rPr>
                <w:sz w:val="20"/>
              </w:rPr>
              <w:t xml:space="preserve">2</w:t>
            </w:r>
          </w:p>
        </w:tc>
        <w:tc>
          <w:tcPr>
            <w:tcW w:w="1361" w:type="dxa"/>
          </w:tcPr>
          <w:p>
            <w:pPr>
              <w:pStyle w:val="0"/>
              <w:jc w:val="both"/>
            </w:pPr>
            <w:r>
              <w:rPr>
                <w:sz w:val="20"/>
              </w:rPr>
              <w:t xml:space="preserve">ИТОГО</w:t>
            </w:r>
          </w:p>
        </w:tc>
        <w:tc>
          <w:tcPr>
            <w:tcW w:w="1587" w:type="dxa"/>
          </w:tcPr>
          <w:p>
            <w:pPr>
              <w:pStyle w:val="0"/>
              <w:jc w:val="center"/>
            </w:pPr>
            <w:r>
              <w:rPr>
                <w:sz w:val="20"/>
              </w:rPr>
              <w:t xml:space="preserve">-</w:t>
            </w:r>
          </w:p>
        </w:tc>
        <w:tc>
          <w:tcPr>
            <w:tcW w:w="1247" w:type="dxa"/>
          </w:tcPr>
          <w:p>
            <w:pPr>
              <w:pStyle w:val="0"/>
              <w:jc w:val="center"/>
            </w:pPr>
            <w:r>
              <w:rPr>
                <w:sz w:val="20"/>
              </w:rPr>
              <w:t xml:space="preserve">-</w:t>
            </w:r>
          </w:p>
        </w:tc>
        <w:tc>
          <w:tcPr>
            <w:tcW w:w="774" w:type="dxa"/>
          </w:tcPr>
          <w:p>
            <w:pPr>
              <w:pStyle w:val="0"/>
              <w:jc w:val="center"/>
            </w:pPr>
            <w:r>
              <w:rPr>
                <w:sz w:val="20"/>
              </w:rPr>
              <w:t xml:space="preserve">-</w:t>
            </w:r>
          </w:p>
        </w:tc>
        <w:tc>
          <w:tcPr>
            <w:tcW w:w="1549" w:type="dxa"/>
          </w:tcPr>
          <w:p>
            <w:pPr>
              <w:pStyle w:val="0"/>
              <w:jc w:val="center"/>
            </w:pPr>
            <w:r>
              <w:rPr>
                <w:sz w:val="20"/>
              </w:rPr>
              <w:t xml:space="preserve">-</w:t>
            </w:r>
          </w:p>
        </w:tc>
        <w:tc>
          <w:tcPr>
            <w:tcW w:w="1531" w:type="dxa"/>
          </w:tcPr>
          <w:p>
            <w:pPr>
              <w:pStyle w:val="0"/>
              <w:jc w:val="center"/>
            </w:pPr>
            <w:r>
              <w:rPr>
                <w:sz w:val="20"/>
              </w:rPr>
              <w:t xml:space="preserve">-</w:t>
            </w:r>
          </w:p>
        </w:tc>
        <w:tc>
          <w:tcPr>
            <w:tcW w:w="1191" w:type="dxa"/>
          </w:tcPr>
          <w:p>
            <w:pPr>
              <w:pStyle w:val="0"/>
              <w:jc w:val="center"/>
            </w:pPr>
            <w:r>
              <w:rPr>
                <w:sz w:val="20"/>
              </w:rPr>
              <w:t xml:space="preserve">-</w:t>
            </w:r>
          </w:p>
        </w:tc>
        <w:tc>
          <w:tcPr>
            <w:tcW w:w="964" w:type="dxa"/>
          </w:tcPr>
          <w:p>
            <w:pPr>
              <w:pStyle w:val="0"/>
              <w:jc w:val="center"/>
            </w:pPr>
            <w:r>
              <w:rPr>
                <w:sz w:val="20"/>
              </w:rPr>
              <w:t xml:space="preserve">-</w:t>
            </w:r>
          </w:p>
        </w:tc>
        <w:tc>
          <w:tcPr>
            <w:tcW w:w="1474" w:type="dxa"/>
          </w:tcPr>
          <w:p>
            <w:pPr>
              <w:pStyle w:val="0"/>
              <w:jc w:val="center"/>
            </w:pPr>
            <w:r>
              <w:rPr>
                <w:sz w:val="20"/>
              </w:rPr>
              <w:t xml:space="preserve">-</w:t>
            </w:r>
          </w:p>
        </w:tc>
        <w:tc>
          <w:tcPr>
            <w:tcW w:w="1474"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9" w:type="dxa"/>
          </w:tcPr>
          <w:p>
            <w:pPr>
              <w:pStyle w:val="0"/>
              <w:jc w:val="center"/>
            </w:pPr>
            <w:r>
              <w:rPr>
                <w:sz w:val="20"/>
              </w:rPr>
              <w:t xml:space="preserve">-</w:t>
            </w:r>
          </w:p>
        </w:tc>
      </w:tr>
    </w:tbl>
    <w:p>
      <w:pPr>
        <w:pStyle w:val="0"/>
        <w:jc w:val="center"/>
      </w:pPr>
      <w:r>
        <w:rPr>
          <w:sz w:val="20"/>
        </w:rPr>
      </w:r>
    </w:p>
    <w:p>
      <w:pPr>
        <w:pStyle w:val="0"/>
        <w:jc w:val="right"/>
      </w:pPr>
      <w:r>
        <w:rPr>
          <w:sz w:val="20"/>
        </w:rPr>
        <w:t xml:space="preserve">Таблица 3</w:t>
      </w:r>
    </w:p>
    <w:p>
      <w:pPr>
        <w:pStyle w:val="0"/>
      </w:pPr>
      <w:r>
        <w:rPr>
          <w:sz w:val="20"/>
        </w:rPr>
      </w:r>
    </w:p>
    <w:p>
      <w:pPr>
        <w:pStyle w:val="0"/>
        <w:jc w:val="center"/>
      </w:pPr>
      <w:r>
        <w:rPr>
          <w:sz w:val="20"/>
        </w:rPr>
        <w:t xml:space="preserve">Приобретение и монтаж быстровозводимых модульных конструкций</w:t>
      </w:r>
    </w:p>
    <w:p>
      <w:pPr>
        <w:pStyle w:val="0"/>
        <w:jc w:val="center"/>
      </w:pPr>
      <w:r>
        <w:rPr>
          <w:sz w:val="20"/>
        </w:rPr>
        <w:t xml:space="preserve">врачебных амбулаторий, центров (отделений) общей врачебной</w:t>
      </w:r>
    </w:p>
    <w:p>
      <w:pPr>
        <w:pStyle w:val="0"/>
        <w:jc w:val="center"/>
      </w:pPr>
      <w:r>
        <w:rPr>
          <w:sz w:val="20"/>
        </w:rPr>
        <w:t xml:space="preserve">практики (семейной медицины), фельдшерско-акушерских</w:t>
      </w:r>
    </w:p>
    <w:p>
      <w:pPr>
        <w:pStyle w:val="0"/>
        <w:jc w:val="center"/>
      </w:pPr>
      <w:r>
        <w:rPr>
          <w:sz w:val="20"/>
        </w:rPr>
        <w:t xml:space="preserve">пунктов, фельдшерских здравпунктов, подведомственных</w:t>
      </w:r>
    </w:p>
    <w:p>
      <w:pPr>
        <w:pStyle w:val="0"/>
        <w:jc w:val="center"/>
      </w:pPr>
      <w:r>
        <w:rPr>
          <w:sz w:val="20"/>
        </w:rPr>
        <w:t xml:space="preserve">Департаменту здравоохранения города Севастополя,</w:t>
      </w:r>
    </w:p>
    <w:p>
      <w:pPr>
        <w:pStyle w:val="0"/>
        <w:jc w:val="center"/>
      </w:pPr>
      <w:r>
        <w:rPr>
          <w:sz w:val="20"/>
        </w:rPr>
        <w:t xml:space="preserve">расположенных на территории города Севастополя, оказывающих</w:t>
      </w:r>
    </w:p>
    <w:p>
      <w:pPr>
        <w:pStyle w:val="0"/>
        <w:jc w:val="center"/>
      </w:pPr>
      <w:r>
        <w:rPr>
          <w:sz w:val="20"/>
        </w:rPr>
        <w:t xml:space="preserve">первичную медико-санитарную помощь взрослым и детям,</w:t>
      </w:r>
    </w:p>
    <w:p>
      <w:pPr>
        <w:pStyle w:val="0"/>
        <w:jc w:val="center"/>
      </w:pPr>
      <w:r>
        <w:rPr>
          <w:sz w:val="20"/>
        </w:rPr>
        <w:t xml:space="preserve">их обособленных структурных подразделений, центральных</w:t>
      </w:r>
    </w:p>
    <w:p>
      <w:pPr>
        <w:pStyle w:val="0"/>
        <w:jc w:val="center"/>
      </w:pPr>
      <w:r>
        <w:rPr>
          <w:sz w:val="20"/>
        </w:rPr>
        <w:t xml:space="preserve">районных и районных больниц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361"/>
        <w:gridCol w:w="1587"/>
        <w:gridCol w:w="1077"/>
        <w:gridCol w:w="1531"/>
        <w:gridCol w:w="737"/>
        <w:gridCol w:w="1701"/>
        <w:gridCol w:w="1077"/>
        <w:gridCol w:w="1077"/>
        <w:gridCol w:w="1189"/>
        <w:gridCol w:w="1474"/>
        <w:gridCol w:w="888"/>
        <w:gridCol w:w="888"/>
        <w:gridCol w:w="888"/>
        <w:gridCol w:w="888"/>
        <w:gridCol w:w="889"/>
      </w:tblGrid>
      <w:tr>
        <w:tc>
          <w:tcPr>
            <w:tcW w:w="567" w:type="dxa"/>
            <w:vMerge w:val="restart"/>
          </w:tcPr>
          <w:p>
            <w:pPr>
              <w:pStyle w:val="0"/>
              <w:jc w:val="center"/>
            </w:pPr>
            <w:r>
              <w:rPr>
                <w:sz w:val="20"/>
              </w:rPr>
              <w:t xml:space="preserve">N п/п</w:t>
            </w:r>
          </w:p>
        </w:tc>
        <w:tc>
          <w:tcPr>
            <w:tcW w:w="1361" w:type="dxa"/>
            <w:vMerge w:val="restart"/>
          </w:tcPr>
          <w:p>
            <w:pPr>
              <w:pStyle w:val="0"/>
              <w:jc w:val="center"/>
            </w:pPr>
            <w:r>
              <w:rPr>
                <w:sz w:val="20"/>
              </w:rPr>
              <w:t xml:space="preserve">Наименование юридического лица</w:t>
            </w:r>
          </w:p>
        </w:tc>
        <w:tc>
          <w:tcPr>
            <w:tcW w:w="1587" w:type="dxa"/>
            <w:vMerge w:val="restart"/>
          </w:tcPr>
          <w:p>
            <w:pPr>
              <w:pStyle w:val="0"/>
              <w:jc w:val="center"/>
            </w:pPr>
            <w:r>
              <w:rPr>
                <w:sz w:val="20"/>
              </w:rPr>
              <w:t xml:space="preserve">Наименование объекта</w:t>
            </w:r>
          </w:p>
        </w:tc>
        <w:tc>
          <w:tcPr>
            <w:tcW w:w="1077" w:type="dxa"/>
            <w:vMerge w:val="restart"/>
          </w:tcPr>
          <w:p>
            <w:pPr>
              <w:pStyle w:val="0"/>
              <w:jc w:val="center"/>
            </w:pPr>
            <w:r>
              <w:rPr>
                <w:sz w:val="20"/>
              </w:rPr>
              <w:t xml:space="preserve">Адрес объекта</w:t>
            </w:r>
          </w:p>
        </w:tc>
        <w:tc>
          <w:tcPr>
            <w:tcW w:w="1531" w:type="dxa"/>
            <w:vMerge w:val="restart"/>
          </w:tcPr>
          <w:p>
            <w:pPr>
              <w:pStyle w:val="0"/>
              <w:jc w:val="center"/>
            </w:pPr>
            <w:r>
              <w:rPr>
                <w:sz w:val="20"/>
              </w:rPr>
              <w:t xml:space="preserve">Планируемое мероприятие (приобретение и монтаж быстровозводимых модульных конструкций)</w:t>
            </w:r>
          </w:p>
        </w:tc>
        <w:tc>
          <w:tcPr>
            <w:tcW w:w="737" w:type="dxa"/>
            <w:vMerge w:val="restart"/>
          </w:tcPr>
          <w:p>
            <w:pPr>
              <w:pStyle w:val="0"/>
              <w:jc w:val="center"/>
            </w:pPr>
            <w:r>
              <w:rPr>
                <w:sz w:val="20"/>
              </w:rPr>
              <w:t xml:space="preserve">Износ (%)</w:t>
            </w:r>
          </w:p>
        </w:tc>
        <w:tc>
          <w:tcPr>
            <w:tcW w:w="1701" w:type="dxa"/>
            <w:vMerge w:val="restart"/>
          </w:tcPr>
          <w:p>
            <w:pPr>
              <w:pStyle w:val="0"/>
              <w:jc w:val="center"/>
            </w:pPr>
            <w:r>
              <w:rPr>
                <w:sz w:val="20"/>
              </w:rPr>
              <w:t xml:space="preserve">Количество населения, обслуживаемого медицинской организацией (структурным подразделением)</w:t>
            </w:r>
          </w:p>
        </w:tc>
        <w:tc>
          <w:tcPr>
            <w:tcW w:w="1077" w:type="dxa"/>
            <w:vMerge w:val="restart"/>
          </w:tcPr>
          <w:p>
            <w:pPr>
              <w:pStyle w:val="0"/>
              <w:jc w:val="center"/>
            </w:pPr>
            <w:r>
              <w:rPr>
                <w:sz w:val="20"/>
              </w:rPr>
              <w:t xml:space="preserve">Наличие детских подразделений (да/нет)</w:t>
            </w:r>
          </w:p>
        </w:tc>
        <w:tc>
          <w:tcPr>
            <w:tcW w:w="1077" w:type="dxa"/>
            <w:vMerge w:val="restart"/>
          </w:tcPr>
          <w:p>
            <w:pPr>
              <w:pStyle w:val="0"/>
              <w:jc w:val="center"/>
            </w:pPr>
            <w:r>
              <w:rPr>
                <w:sz w:val="20"/>
              </w:rPr>
              <w:t xml:space="preserve">Площадь объектов (кв. м)</w:t>
            </w:r>
          </w:p>
        </w:tc>
        <w:tc>
          <w:tcPr>
            <w:tcW w:w="1189" w:type="dxa"/>
            <w:vMerge w:val="restart"/>
          </w:tcPr>
          <w:p>
            <w:pPr>
              <w:pStyle w:val="0"/>
              <w:jc w:val="center"/>
            </w:pPr>
            <w:r>
              <w:rPr>
                <w:sz w:val="20"/>
              </w:rPr>
              <w:t xml:space="preserve">Мощность объекта</w:t>
            </w:r>
          </w:p>
        </w:tc>
        <w:tc>
          <w:tcPr>
            <w:tcW w:w="1474" w:type="dxa"/>
            <w:vMerge w:val="restart"/>
          </w:tcPr>
          <w:p>
            <w:pPr>
              <w:pStyle w:val="0"/>
              <w:jc w:val="center"/>
            </w:pPr>
            <w:r>
              <w:rPr>
                <w:sz w:val="20"/>
              </w:rPr>
              <w:t xml:space="preserve">Планируемая стоимость работ (руб.)</w:t>
            </w:r>
          </w:p>
        </w:tc>
        <w:tc>
          <w:tcPr>
            <w:gridSpan w:val="5"/>
            <w:tcW w:w="4441" w:type="dxa"/>
          </w:tcPr>
          <w:p>
            <w:pPr>
              <w:pStyle w:val="0"/>
              <w:jc w:val="center"/>
            </w:pPr>
            <w:r>
              <w:rPr>
                <w:sz w:val="20"/>
              </w:rPr>
              <w:t xml:space="preserve">В том числе по годам</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888" w:type="dxa"/>
          </w:tcPr>
          <w:p>
            <w:pPr>
              <w:pStyle w:val="0"/>
              <w:jc w:val="center"/>
            </w:pPr>
            <w:r>
              <w:rPr>
                <w:sz w:val="20"/>
              </w:rPr>
              <w:t xml:space="preserve">2021</w:t>
            </w:r>
          </w:p>
        </w:tc>
        <w:tc>
          <w:tcPr>
            <w:tcW w:w="888" w:type="dxa"/>
          </w:tcPr>
          <w:p>
            <w:pPr>
              <w:pStyle w:val="0"/>
              <w:jc w:val="center"/>
            </w:pPr>
            <w:r>
              <w:rPr>
                <w:sz w:val="20"/>
              </w:rPr>
              <w:t xml:space="preserve">2022</w:t>
            </w:r>
          </w:p>
        </w:tc>
        <w:tc>
          <w:tcPr>
            <w:tcW w:w="888" w:type="dxa"/>
          </w:tcPr>
          <w:p>
            <w:pPr>
              <w:pStyle w:val="0"/>
              <w:jc w:val="center"/>
            </w:pPr>
            <w:r>
              <w:rPr>
                <w:sz w:val="20"/>
              </w:rPr>
              <w:t xml:space="preserve">2023</w:t>
            </w:r>
          </w:p>
        </w:tc>
        <w:tc>
          <w:tcPr>
            <w:tcW w:w="888" w:type="dxa"/>
          </w:tcPr>
          <w:p>
            <w:pPr>
              <w:pStyle w:val="0"/>
              <w:jc w:val="center"/>
            </w:pPr>
            <w:r>
              <w:rPr>
                <w:sz w:val="20"/>
              </w:rPr>
              <w:t xml:space="preserve">2024</w:t>
            </w:r>
          </w:p>
        </w:tc>
        <w:tc>
          <w:tcPr>
            <w:tcW w:w="889" w:type="dxa"/>
          </w:tcPr>
          <w:p>
            <w:pPr>
              <w:pStyle w:val="0"/>
              <w:jc w:val="center"/>
            </w:pPr>
            <w:r>
              <w:rPr>
                <w:sz w:val="20"/>
              </w:rPr>
              <w:t xml:space="preserve">2025</w:t>
            </w:r>
          </w:p>
        </w:tc>
      </w:tr>
      <w:tr>
        <w:tc>
          <w:tcPr>
            <w:tcW w:w="567" w:type="dxa"/>
          </w:tcPr>
          <w:p>
            <w:pPr>
              <w:pStyle w:val="0"/>
              <w:jc w:val="center"/>
            </w:pPr>
            <w:r>
              <w:rPr>
                <w:sz w:val="20"/>
              </w:rPr>
              <w:t xml:space="preserve">1</w:t>
            </w:r>
          </w:p>
        </w:tc>
        <w:tc>
          <w:tcPr>
            <w:tcW w:w="1361" w:type="dxa"/>
          </w:tcPr>
          <w:p>
            <w:pPr>
              <w:pStyle w:val="0"/>
              <w:jc w:val="center"/>
            </w:pPr>
            <w:r>
              <w:rPr>
                <w:sz w:val="20"/>
              </w:rPr>
              <w:t xml:space="preserve">2</w:t>
            </w:r>
          </w:p>
        </w:tc>
        <w:tc>
          <w:tcPr>
            <w:tcW w:w="1587" w:type="dxa"/>
          </w:tcPr>
          <w:p>
            <w:pPr>
              <w:pStyle w:val="0"/>
              <w:jc w:val="center"/>
            </w:pPr>
            <w:r>
              <w:rPr>
                <w:sz w:val="20"/>
              </w:rPr>
              <w:t xml:space="preserve">3</w:t>
            </w:r>
          </w:p>
        </w:tc>
        <w:tc>
          <w:tcPr>
            <w:tcW w:w="1077" w:type="dxa"/>
          </w:tcPr>
          <w:p>
            <w:pPr>
              <w:pStyle w:val="0"/>
              <w:jc w:val="center"/>
            </w:pPr>
            <w:r>
              <w:rPr>
                <w:sz w:val="20"/>
              </w:rPr>
              <w:t xml:space="preserve">4</w:t>
            </w:r>
          </w:p>
        </w:tc>
        <w:tc>
          <w:tcPr>
            <w:tcW w:w="1531" w:type="dxa"/>
          </w:tcPr>
          <w:p>
            <w:pPr>
              <w:pStyle w:val="0"/>
              <w:jc w:val="center"/>
            </w:pPr>
            <w:r>
              <w:rPr>
                <w:sz w:val="20"/>
              </w:rPr>
              <w:t xml:space="preserve">5</w:t>
            </w:r>
          </w:p>
        </w:tc>
        <w:tc>
          <w:tcPr>
            <w:tcW w:w="737" w:type="dxa"/>
          </w:tcPr>
          <w:p>
            <w:pPr>
              <w:pStyle w:val="0"/>
              <w:jc w:val="center"/>
            </w:pPr>
            <w:r>
              <w:rPr>
                <w:sz w:val="20"/>
              </w:rPr>
              <w:t xml:space="preserve">6</w:t>
            </w:r>
          </w:p>
        </w:tc>
        <w:tc>
          <w:tcPr>
            <w:tcW w:w="1701" w:type="dxa"/>
          </w:tcPr>
          <w:p>
            <w:pPr>
              <w:pStyle w:val="0"/>
              <w:jc w:val="center"/>
            </w:pPr>
            <w:r>
              <w:rPr>
                <w:sz w:val="20"/>
              </w:rPr>
              <w:t xml:space="preserve">7</w:t>
            </w:r>
          </w:p>
        </w:tc>
        <w:tc>
          <w:tcPr>
            <w:tcW w:w="1077" w:type="dxa"/>
          </w:tcPr>
          <w:p>
            <w:pPr>
              <w:pStyle w:val="0"/>
              <w:jc w:val="center"/>
            </w:pPr>
            <w:r>
              <w:rPr>
                <w:sz w:val="20"/>
              </w:rPr>
              <w:t xml:space="preserve">8</w:t>
            </w:r>
          </w:p>
        </w:tc>
        <w:tc>
          <w:tcPr>
            <w:tcW w:w="1077" w:type="dxa"/>
          </w:tcPr>
          <w:p>
            <w:pPr>
              <w:pStyle w:val="0"/>
              <w:jc w:val="center"/>
            </w:pPr>
            <w:r>
              <w:rPr>
                <w:sz w:val="20"/>
              </w:rPr>
              <w:t xml:space="preserve">9</w:t>
            </w:r>
          </w:p>
        </w:tc>
        <w:tc>
          <w:tcPr>
            <w:tcW w:w="1189" w:type="dxa"/>
          </w:tcPr>
          <w:p>
            <w:pPr>
              <w:pStyle w:val="0"/>
              <w:jc w:val="center"/>
            </w:pPr>
            <w:r>
              <w:rPr>
                <w:sz w:val="20"/>
              </w:rPr>
              <w:t xml:space="preserve">10</w:t>
            </w:r>
          </w:p>
        </w:tc>
        <w:tc>
          <w:tcPr>
            <w:tcW w:w="1474" w:type="dxa"/>
          </w:tcPr>
          <w:p>
            <w:pPr>
              <w:pStyle w:val="0"/>
              <w:jc w:val="center"/>
            </w:pPr>
            <w:r>
              <w:rPr>
                <w:sz w:val="20"/>
              </w:rPr>
              <w:t xml:space="preserve">11</w:t>
            </w:r>
          </w:p>
        </w:tc>
        <w:tc>
          <w:tcPr>
            <w:tcW w:w="888" w:type="dxa"/>
          </w:tcPr>
          <w:p>
            <w:pPr>
              <w:pStyle w:val="0"/>
              <w:jc w:val="center"/>
            </w:pPr>
            <w:r>
              <w:rPr>
                <w:sz w:val="20"/>
              </w:rPr>
              <w:t xml:space="preserve">12</w:t>
            </w:r>
          </w:p>
        </w:tc>
        <w:tc>
          <w:tcPr>
            <w:tcW w:w="888" w:type="dxa"/>
          </w:tcPr>
          <w:p>
            <w:pPr>
              <w:pStyle w:val="0"/>
              <w:jc w:val="center"/>
            </w:pPr>
            <w:r>
              <w:rPr>
                <w:sz w:val="20"/>
              </w:rPr>
              <w:t xml:space="preserve">13</w:t>
            </w:r>
          </w:p>
        </w:tc>
        <w:tc>
          <w:tcPr>
            <w:tcW w:w="888" w:type="dxa"/>
          </w:tcPr>
          <w:p>
            <w:pPr>
              <w:pStyle w:val="0"/>
              <w:jc w:val="center"/>
            </w:pPr>
            <w:r>
              <w:rPr>
                <w:sz w:val="20"/>
              </w:rPr>
              <w:t xml:space="preserve">14</w:t>
            </w:r>
          </w:p>
        </w:tc>
        <w:tc>
          <w:tcPr>
            <w:tcW w:w="888" w:type="dxa"/>
          </w:tcPr>
          <w:p>
            <w:pPr>
              <w:pStyle w:val="0"/>
              <w:jc w:val="center"/>
            </w:pPr>
            <w:r>
              <w:rPr>
                <w:sz w:val="20"/>
              </w:rPr>
              <w:t xml:space="preserve">15</w:t>
            </w:r>
          </w:p>
        </w:tc>
        <w:tc>
          <w:tcPr>
            <w:tcW w:w="889" w:type="dxa"/>
          </w:tcPr>
          <w:p>
            <w:pPr>
              <w:pStyle w:val="0"/>
              <w:jc w:val="center"/>
            </w:pPr>
            <w:r>
              <w:rPr>
                <w:sz w:val="20"/>
              </w:rPr>
              <w:t xml:space="preserve">16</w:t>
            </w:r>
          </w:p>
        </w:tc>
      </w:tr>
      <w:tr>
        <w:tc>
          <w:tcPr>
            <w:tcW w:w="567" w:type="dxa"/>
          </w:tcPr>
          <w:p>
            <w:pPr>
              <w:pStyle w:val="0"/>
              <w:jc w:val="both"/>
            </w:pPr>
            <w:r>
              <w:rPr>
                <w:sz w:val="20"/>
              </w:rPr>
              <w:t xml:space="preserve">1</w:t>
            </w:r>
          </w:p>
        </w:tc>
        <w:tc>
          <w:tcPr>
            <w:tcW w:w="1361" w:type="dxa"/>
          </w:tcPr>
          <w:p>
            <w:pPr>
              <w:pStyle w:val="0"/>
              <w:jc w:val="center"/>
            </w:pPr>
            <w:r>
              <w:rPr>
                <w:sz w:val="20"/>
              </w:rPr>
              <w:t xml:space="preserve">-</w:t>
            </w:r>
          </w:p>
        </w:tc>
        <w:tc>
          <w:tcPr>
            <w:tcW w:w="1587" w:type="dxa"/>
          </w:tcPr>
          <w:p>
            <w:pPr>
              <w:pStyle w:val="0"/>
              <w:jc w:val="center"/>
            </w:pPr>
            <w:r>
              <w:rPr>
                <w:sz w:val="20"/>
              </w:rPr>
              <w:t xml:space="preserve">-</w:t>
            </w:r>
          </w:p>
        </w:tc>
        <w:tc>
          <w:tcPr>
            <w:tcW w:w="1077" w:type="dxa"/>
          </w:tcPr>
          <w:p>
            <w:pPr>
              <w:pStyle w:val="0"/>
              <w:jc w:val="center"/>
            </w:pPr>
            <w:r>
              <w:rPr>
                <w:sz w:val="20"/>
              </w:rPr>
              <w:t xml:space="preserve">-</w:t>
            </w:r>
          </w:p>
        </w:tc>
        <w:tc>
          <w:tcPr>
            <w:tcW w:w="1531" w:type="dxa"/>
          </w:tcPr>
          <w:p>
            <w:pPr>
              <w:pStyle w:val="0"/>
              <w:jc w:val="center"/>
            </w:pPr>
            <w:r>
              <w:rPr>
                <w:sz w:val="20"/>
              </w:rPr>
              <w:t xml:space="preserve">-</w:t>
            </w:r>
          </w:p>
        </w:tc>
        <w:tc>
          <w:tcPr>
            <w:tcW w:w="737" w:type="dxa"/>
          </w:tcPr>
          <w:p>
            <w:pPr>
              <w:pStyle w:val="0"/>
              <w:jc w:val="center"/>
            </w:pPr>
            <w:r>
              <w:rPr>
                <w:sz w:val="20"/>
              </w:rPr>
              <w:t xml:space="preserve">-</w:t>
            </w:r>
          </w:p>
        </w:tc>
        <w:tc>
          <w:tcPr>
            <w:tcW w:w="1701" w:type="dxa"/>
          </w:tcPr>
          <w:p>
            <w:pPr>
              <w:pStyle w:val="0"/>
              <w:jc w:val="center"/>
            </w:pPr>
            <w:r>
              <w:rPr>
                <w:sz w:val="20"/>
              </w:rPr>
              <w:t xml:space="preserve">-</w:t>
            </w:r>
          </w:p>
        </w:tc>
        <w:tc>
          <w:tcPr>
            <w:tcW w:w="1077" w:type="dxa"/>
          </w:tcPr>
          <w:p>
            <w:pPr>
              <w:pStyle w:val="0"/>
              <w:jc w:val="center"/>
            </w:pPr>
            <w:r>
              <w:rPr>
                <w:sz w:val="20"/>
              </w:rPr>
              <w:t xml:space="preserve">-</w:t>
            </w:r>
          </w:p>
        </w:tc>
        <w:tc>
          <w:tcPr>
            <w:tcW w:w="1077" w:type="dxa"/>
          </w:tcPr>
          <w:p>
            <w:pPr>
              <w:pStyle w:val="0"/>
              <w:jc w:val="center"/>
            </w:pPr>
            <w:r>
              <w:rPr>
                <w:sz w:val="20"/>
              </w:rPr>
              <w:t xml:space="preserve">-</w:t>
            </w:r>
          </w:p>
        </w:tc>
        <w:tc>
          <w:tcPr>
            <w:tcW w:w="1189" w:type="dxa"/>
          </w:tcPr>
          <w:p>
            <w:pPr>
              <w:pStyle w:val="0"/>
              <w:jc w:val="center"/>
            </w:pPr>
            <w:r>
              <w:rPr>
                <w:sz w:val="20"/>
              </w:rPr>
              <w:t xml:space="preserve">-</w:t>
            </w:r>
          </w:p>
        </w:tc>
        <w:tc>
          <w:tcPr>
            <w:tcW w:w="1474"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9" w:type="dxa"/>
          </w:tcPr>
          <w:p>
            <w:pPr>
              <w:pStyle w:val="0"/>
              <w:jc w:val="center"/>
            </w:pPr>
            <w:r>
              <w:rPr>
                <w:sz w:val="20"/>
              </w:rPr>
              <w:t xml:space="preserve">-</w:t>
            </w:r>
          </w:p>
        </w:tc>
      </w:tr>
      <w:tr>
        <w:tc>
          <w:tcPr>
            <w:tcW w:w="567" w:type="dxa"/>
          </w:tcPr>
          <w:p>
            <w:pPr>
              <w:pStyle w:val="0"/>
              <w:jc w:val="both"/>
            </w:pPr>
            <w:r>
              <w:rPr>
                <w:sz w:val="20"/>
              </w:rPr>
              <w:t xml:space="preserve">2</w:t>
            </w:r>
          </w:p>
        </w:tc>
        <w:tc>
          <w:tcPr>
            <w:tcW w:w="1361" w:type="dxa"/>
          </w:tcPr>
          <w:p>
            <w:pPr>
              <w:pStyle w:val="0"/>
              <w:jc w:val="both"/>
            </w:pPr>
            <w:r>
              <w:rPr>
                <w:sz w:val="20"/>
              </w:rPr>
              <w:t xml:space="preserve">ИТОГО</w:t>
            </w:r>
          </w:p>
        </w:tc>
        <w:tc>
          <w:tcPr>
            <w:tcW w:w="1587" w:type="dxa"/>
          </w:tcPr>
          <w:p>
            <w:pPr>
              <w:pStyle w:val="0"/>
              <w:jc w:val="center"/>
            </w:pPr>
            <w:r>
              <w:rPr>
                <w:sz w:val="20"/>
              </w:rPr>
              <w:t xml:space="preserve">-</w:t>
            </w:r>
          </w:p>
        </w:tc>
        <w:tc>
          <w:tcPr>
            <w:tcW w:w="1077" w:type="dxa"/>
          </w:tcPr>
          <w:p>
            <w:pPr>
              <w:pStyle w:val="0"/>
              <w:jc w:val="center"/>
            </w:pPr>
            <w:r>
              <w:rPr>
                <w:sz w:val="20"/>
              </w:rPr>
              <w:t xml:space="preserve">-</w:t>
            </w:r>
          </w:p>
        </w:tc>
        <w:tc>
          <w:tcPr>
            <w:tcW w:w="1531" w:type="dxa"/>
          </w:tcPr>
          <w:p>
            <w:pPr>
              <w:pStyle w:val="0"/>
              <w:jc w:val="center"/>
            </w:pPr>
            <w:r>
              <w:rPr>
                <w:sz w:val="20"/>
              </w:rPr>
              <w:t xml:space="preserve">-</w:t>
            </w:r>
          </w:p>
        </w:tc>
        <w:tc>
          <w:tcPr>
            <w:tcW w:w="737" w:type="dxa"/>
          </w:tcPr>
          <w:p>
            <w:pPr>
              <w:pStyle w:val="0"/>
              <w:jc w:val="center"/>
            </w:pPr>
            <w:r>
              <w:rPr>
                <w:sz w:val="20"/>
              </w:rPr>
              <w:t xml:space="preserve">-</w:t>
            </w:r>
          </w:p>
        </w:tc>
        <w:tc>
          <w:tcPr>
            <w:tcW w:w="1701" w:type="dxa"/>
          </w:tcPr>
          <w:p>
            <w:pPr>
              <w:pStyle w:val="0"/>
              <w:jc w:val="center"/>
            </w:pPr>
            <w:r>
              <w:rPr>
                <w:sz w:val="20"/>
              </w:rPr>
              <w:t xml:space="preserve">-</w:t>
            </w:r>
          </w:p>
        </w:tc>
        <w:tc>
          <w:tcPr>
            <w:tcW w:w="1077" w:type="dxa"/>
          </w:tcPr>
          <w:p>
            <w:pPr>
              <w:pStyle w:val="0"/>
              <w:jc w:val="center"/>
            </w:pPr>
            <w:r>
              <w:rPr>
                <w:sz w:val="20"/>
              </w:rPr>
              <w:t xml:space="preserve">-</w:t>
            </w:r>
          </w:p>
        </w:tc>
        <w:tc>
          <w:tcPr>
            <w:tcW w:w="1077" w:type="dxa"/>
          </w:tcPr>
          <w:p>
            <w:pPr>
              <w:pStyle w:val="0"/>
              <w:jc w:val="center"/>
            </w:pPr>
            <w:r>
              <w:rPr>
                <w:sz w:val="20"/>
              </w:rPr>
              <w:t xml:space="preserve">-</w:t>
            </w:r>
          </w:p>
        </w:tc>
        <w:tc>
          <w:tcPr>
            <w:tcW w:w="1189" w:type="dxa"/>
          </w:tcPr>
          <w:p>
            <w:pPr>
              <w:pStyle w:val="0"/>
              <w:jc w:val="center"/>
            </w:pPr>
            <w:r>
              <w:rPr>
                <w:sz w:val="20"/>
              </w:rPr>
              <w:t xml:space="preserve">-</w:t>
            </w:r>
          </w:p>
        </w:tc>
        <w:tc>
          <w:tcPr>
            <w:tcW w:w="1474"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9" w:type="dxa"/>
          </w:tcPr>
          <w:p>
            <w:pPr>
              <w:pStyle w:val="0"/>
              <w:jc w:val="center"/>
            </w:pPr>
            <w:r>
              <w:rPr>
                <w:sz w:val="20"/>
              </w:rPr>
              <w:t xml:space="preserve">-</w:t>
            </w:r>
          </w:p>
        </w:tc>
      </w:tr>
    </w:tbl>
    <w:p>
      <w:pPr>
        <w:pStyle w:val="0"/>
        <w:jc w:val="both"/>
      </w:pPr>
      <w:r>
        <w:rPr>
          <w:sz w:val="20"/>
        </w:rPr>
      </w:r>
    </w:p>
    <w:p>
      <w:pPr>
        <w:pStyle w:val="0"/>
        <w:jc w:val="right"/>
      </w:pPr>
      <w:r>
        <w:rPr>
          <w:sz w:val="20"/>
        </w:rPr>
        <w:t xml:space="preserve">Таблица 4</w:t>
      </w:r>
    </w:p>
    <w:p>
      <w:pPr>
        <w:pStyle w:val="0"/>
        <w:jc w:val="center"/>
      </w:pPr>
      <w:r>
        <w:rPr>
          <w:sz w:val="20"/>
        </w:rPr>
      </w:r>
    </w:p>
    <w:p>
      <w:pPr>
        <w:pStyle w:val="0"/>
        <w:jc w:val="center"/>
      </w:pPr>
      <w:r>
        <w:rPr>
          <w:sz w:val="20"/>
        </w:rPr>
        <w:t xml:space="preserve">Приобретение объектов недвижимого имущества, с даты ввода</w:t>
      </w:r>
    </w:p>
    <w:p>
      <w:pPr>
        <w:pStyle w:val="0"/>
        <w:jc w:val="center"/>
      </w:pPr>
      <w:r>
        <w:rPr>
          <w:sz w:val="20"/>
        </w:rPr>
        <w:t xml:space="preserve">в эксплуатацию которых прошло не более 5 лет,</w:t>
      </w:r>
    </w:p>
    <w:p>
      <w:pPr>
        <w:pStyle w:val="0"/>
        <w:jc w:val="center"/>
      </w:pPr>
      <w:r>
        <w:rPr>
          <w:sz w:val="20"/>
        </w:rPr>
        <w:t xml:space="preserve">и некапитальных строений, с даты завершения строительства</w:t>
      </w:r>
    </w:p>
    <w:p>
      <w:pPr>
        <w:pStyle w:val="0"/>
        <w:jc w:val="center"/>
      </w:pPr>
      <w:r>
        <w:rPr>
          <w:sz w:val="20"/>
        </w:rPr>
        <w:t xml:space="preserve">которых прошло не более 5 лет, а также земельных участков,</w:t>
      </w:r>
    </w:p>
    <w:p>
      <w:pPr>
        <w:pStyle w:val="0"/>
        <w:jc w:val="center"/>
      </w:pPr>
      <w:r>
        <w:rPr>
          <w:sz w:val="20"/>
        </w:rPr>
        <w:t xml:space="preserve">на которых они находятся, для размещения медицинских</w:t>
      </w:r>
    </w:p>
    <w:p>
      <w:pPr>
        <w:pStyle w:val="0"/>
        <w:jc w:val="center"/>
      </w:pPr>
      <w:r>
        <w:rPr>
          <w:sz w:val="20"/>
        </w:rPr>
        <w:t xml:space="preserve">организаций, подведомственных Департаменту здравоохранения</w:t>
      </w:r>
    </w:p>
    <w:p>
      <w:pPr>
        <w:pStyle w:val="0"/>
        <w:jc w:val="center"/>
      </w:pPr>
      <w:r>
        <w:rPr>
          <w:sz w:val="20"/>
        </w:rPr>
        <w:t xml:space="preserve">города Севастополя, расположенных на территории города</w:t>
      </w:r>
    </w:p>
    <w:p>
      <w:pPr>
        <w:pStyle w:val="0"/>
        <w:jc w:val="center"/>
      </w:pPr>
      <w:r>
        <w:rPr>
          <w:sz w:val="20"/>
        </w:rPr>
        <w:t xml:space="preserve">Севастополя, оказывающих первичную медико-санитарную помощь</w:t>
      </w:r>
    </w:p>
    <w:p>
      <w:pPr>
        <w:pStyle w:val="0"/>
        <w:jc w:val="center"/>
      </w:pPr>
      <w:r>
        <w:rPr>
          <w:sz w:val="20"/>
        </w:rPr>
        <w:t xml:space="preserve">взрослым и детям, их обособленных структурных подразделений,</w:t>
      </w:r>
    </w:p>
    <w:p>
      <w:pPr>
        <w:pStyle w:val="0"/>
        <w:jc w:val="center"/>
      </w:pPr>
      <w:r>
        <w:rPr>
          <w:sz w:val="20"/>
        </w:rPr>
        <w:t xml:space="preserve">центральных районных и районных больниц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361"/>
        <w:gridCol w:w="1587"/>
        <w:gridCol w:w="1077"/>
        <w:gridCol w:w="1531"/>
        <w:gridCol w:w="737"/>
        <w:gridCol w:w="1701"/>
        <w:gridCol w:w="1077"/>
        <w:gridCol w:w="1077"/>
        <w:gridCol w:w="1189"/>
        <w:gridCol w:w="1474"/>
        <w:gridCol w:w="888"/>
        <w:gridCol w:w="888"/>
        <w:gridCol w:w="888"/>
        <w:gridCol w:w="888"/>
        <w:gridCol w:w="889"/>
      </w:tblGrid>
      <w:tr>
        <w:tc>
          <w:tcPr>
            <w:tcW w:w="567" w:type="dxa"/>
            <w:vMerge w:val="restart"/>
          </w:tcPr>
          <w:p>
            <w:pPr>
              <w:pStyle w:val="0"/>
              <w:jc w:val="center"/>
            </w:pPr>
            <w:r>
              <w:rPr>
                <w:sz w:val="20"/>
              </w:rPr>
              <w:t xml:space="preserve">N п/п</w:t>
            </w:r>
          </w:p>
        </w:tc>
        <w:tc>
          <w:tcPr>
            <w:tcW w:w="1361" w:type="dxa"/>
            <w:vMerge w:val="restart"/>
          </w:tcPr>
          <w:p>
            <w:pPr>
              <w:pStyle w:val="0"/>
              <w:jc w:val="center"/>
            </w:pPr>
            <w:r>
              <w:rPr>
                <w:sz w:val="20"/>
              </w:rPr>
              <w:t xml:space="preserve">Наименование юридического лица</w:t>
            </w:r>
          </w:p>
        </w:tc>
        <w:tc>
          <w:tcPr>
            <w:tcW w:w="1587" w:type="dxa"/>
            <w:vMerge w:val="restart"/>
          </w:tcPr>
          <w:p>
            <w:pPr>
              <w:pStyle w:val="0"/>
              <w:jc w:val="center"/>
            </w:pPr>
            <w:r>
              <w:rPr>
                <w:sz w:val="20"/>
              </w:rPr>
              <w:t xml:space="preserve">Наименование объекта</w:t>
            </w:r>
          </w:p>
        </w:tc>
        <w:tc>
          <w:tcPr>
            <w:tcW w:w="1077" w:type="dxa"/>
            <w:vMerge w:val="restart"/>
          </w:tcPr>
          <w:p>
            <w:pPr>
              <w:pStyle w:val="0"/>
              <w:jc w:val="center"/>
            </w:pPr>
            <w:r>
              <w:rPr>
                <w:sz w:val="20"/>
              </w:rPr>
              <w:t xml:space="preserve">Адрес объекта</w:t>
            </w:r>
          </w:p>
        </w:tc>
        <w:tc>
          <w:tcPr>
            <w:tcW w:w="1531" w:type="dxa"/>
            <w:vMerge w:val="restart"/>
          </w:tcPr>
          <w:p>
            <w:pPr>
              <w:pStyle w:val="0"/>
              <w:jc w:val="center"/>
            </w:pPr>
            <w:r>
              <w:rPr>
                <w:sz w:val="20"/>
              </w:rPr>
              <w:t xml:space="preserve">Планируемое мероприятие (приобретение объектов недвижимого имущества, некапитальных строений)</w:t>
            </w:r>
          </w:p>
        </w:tc>
        <w:tc>
          <w:tcPr>
            <w:tcW w:w="737" w:type="dxa"/>
            <w:vMerge w:val="restart"/>
          </w:tcPr>
          <w:p>
            <w:pPr>
              <w:pStyle w:val="0"/>
              <w:jc w:val="center"/>
            </w:pPr>
            <w:r>
              <w:rPr>
                <w:sz w:val="20"/>
              </w:rPr>
              <w:t xml:space="preserve">Износ (%)</w:t>
            </w:r>
          </w:p>
        </w:tc>
        <w:tc>
          <w:tcPr>
            <w:tcW w:w="1701" w:type="dxa"/>
            <w:vMerge w:val="restart"/>
          </w:tcPr>
          <w:p>
            <w:pPr>
              <w:pStyle w:val="0"/>
              <w:jc w:val="center"/>
            </w:pPr>
            <w:r>
              <w:rPr>
                <w:sz w:val="20"/>
              </w:rPr>
              <w:t xml:space="preserve">Количество населения, обслуживаемого медицинской организацией (структурным подразделением)</w:t>
            </w:r>
          </w:p>
        </w:tc>
        <w:tc>
          <w:tcPr>
            <w:tcW w:w="1077" w:type="dxa"/>
            <w:vMerge w:val="restart"/>
          </w:tcPr>
          <w:p>
            <w:pPr>
              <w:pStyle w:val="0"/>
              <w:jc w:val="center"/>
            </w:pPr>
            <w:r>
              <w:rPr>
                <w:sz w:val="20"/>
              </w:rPr>
              <w:t xml:space="preserve">Наличие детских подразделений (да/нет)</w:t>
            </w:r>
          </w:p>
        </w:tc>
        <w:tc>
          <w:tcPr>
            <w:tcW w:w="1077" w:type="dxa"/>
            <w:vMerge w:val="restart"/>
          </w:tcPr>
          <w:p>
            <w:pPr>
              <w:pStyle w:val="0"/>
              <w:jc w:val="center"/>
            </w:pPr>
            <w:r>
              <w:rPr>
                <w:sz w:val="20"/>
              </w:rPr>
              <w:t xml:space="preserve">Площадь объектов (кв. м)</w:t>
            </w:r>
          </w:p>
        </w:tc>
        <w:tc>
          <w:tcPr>
            <w:tcW w:w="1189" w:type="dxa"/>
            <w:vMerge w:val="restart"/>
          </w:tcPr>
          <w:p>
            <w:pPr>
              <w:pStyle w:val="0"/>
              <w:jc w:val="center"/>
            </w:pPr>
            <w:r>
              <w:rPr>
                <w:sz w:val="20"/>
              </w:rPr>
              <w:t xml:space="preserve">Мощность объекта</w:t>
            </w:r>
          </w:p>
        </w:tc>
        <w:tc>
          <w:tcPr>
            <w:tcW w:w="1474" w:type="dxa"/>
            <w:vMerge w:val="restart"/>
          </w:tcPr>
          <w:p>
            <w:pPr>
              <w:pStyle w:val="0"/>
              <w:jc w:val="center"/>
            </w:pPr>
            <w:r>
              <w:rPr>
                <w:sz w:val="20"/>
              </w:rPr>
              <w:t xml:space="preserve">Планируемая стоимость работ (руб.)</w:t>
            </w:r>
          </w:p>
        </w:tc>
        <w:tc>
          <w:tcPr>
            <w:gridSpan w:val="5"/>
            <w:tcW w:w="4441" w:type="dxa"/>
          </w:tcPr>
          <w:p>
            <w:pPr>
              <w:pStyle w:val="0"/>
              <w:jc w:val="center"/>
            </w:pPr>
            <w:r>
              <w:rPr>
                <w:sz w:val="20"/>
              </w:rPr>
              <w:t xml:space="preserve">В том числе по годам</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888" w:type="dxa"/>
          </w:tcPr>
          <w:p>
            <w:pPr>
              <w:pStyle w:val="0"/>
              <w:jc w:val="center"/>
            </w:pPr>
            <w:r>
              <w:rPr>
                <w:sz w:val="20"/>
              </w:rPr>
              <w:t xml:space="preserve">2021</w:t>
            </w:r>
          </w:p>
        </w:tc>
        <w:tc>
          <w:tcPr>
            <w:tcW w:w="888" w:type="dxa"/>
          </w:tcPr>
          <w:p>
            <w:pPr>
              <w:pStyle w:val="0"/>
              <w:jc w:val="center"/>
            </w:pPr>
            <w:r>
              <w:rPr>
                <w:sz w:val="20"/>
              </w:rPr>
              <w:t xml:space="preserve">2022</w:t>
            </w:r>
          </w:p>
        </w:tc>
        <w:tc>
          <w:tcPr>
            <w:tcW w:w="888" w:type="dxa"/>
          </w:tcPr>
          <w:p>
            <w:pPr>
              <w:pStyle w:val="0"/>
              <w:jc w:val="center"/>
            </w:pPr>
            <w:r>
              <w:rPr>
                <w:sz w:val="20"/>
              </w:rPr>
              <w:t xml:space="preserve">2023</w:t>
            </w:r>
          </w:p>
        </w:tc>
        <w:tc>
          <w:tcPr>
            <w:tcW w:w="888" w:type="dxa"/>
          </w:tcPr>
          <w:p>
            <w:pPr>
              <w:pStyle w:val="0"/>
              <w:jc w:val="center"/>
            </w:pPr>
            <w:r>
              <w:rPr>
                <w:sz w:val="20"/>
              </w:rPr>
              <w:t xml:space="preserve">2024</w:t>
            </w:r>
          </w:p>
        </w:tc>
        <w:tc>
          <w:tcPr>
            <w:tcW w:w="889" w:type="dxa"/>
          </w:tcPr>
          <w:p>
            <w:pPr>
              <w:pStyle w:val="0"/>
              <w:jc w:val="center"/>
            </w:pPr>
            <w:r>
              <w:rPr>
                <w:sz w:val="20"/>
              </w:rPr>
              <w:t xml:space="preserve">2025</w:t>
            </w:r>
          </w:p>
        </w:tc>
      </w:tr>
      <w:tr>
        <w:tc>
          <w:tcPr>
            <w:tcW w:w="567" w:type="dxa"/>
          </w:tcPr>
          <w:p>
            <w:pPr>
              <w:pStyle w:val="0"/>
              <w:jc w:val="center"/>
            </w:pPr>
            <w:r>
              <w:rPr>
                <w:sz w:val="20"/>
              </w:rPr>
              <w:t xml:space="preserve">1</w:t>
            </w:r>
          </w:p>
        </w:tc>
        <w:tc>
          <w:tcPr>
            <w:tcW w:w="1361" w:type="dxa"/>
          </w:tcPr>
          <w:p>
            <w:pPr>
              <w:pStyle w:val="0"/>
              <w:jc w:val="center"/>
            </w:pPr>
            <w:r>
              <w:rPr>
                <w:sz w:val="20"/>
              </w:rPr>
              <w:t xml:space="preserve">2</w:t>
            </w:r>
          </w:p>
        </w:tc>
        <w:tc>
          <w:tcPr>
            <w:tcW w:w="1587" w:type="dxa"/>
          </w:tcPr>
          <w:p>
            <w:pPr>
              <w:pStyle w:val="0"/>
              <w:jc w:val="center"/>
            </w:pPr>
            <w:r>
              <w:rPr>
                <w:sz w:val="20"/>
              </w:rPr>
              <w:t xml:space="preserve">3</w:t>
            </w:r>
          </w:p>
        </w:tc>
        <w:tc>
          <w:tcPr>
            <w:tcW w:w="1077" w:type="dxa"/>
          </w:tcPr>
          <w:p>
            <w:pPr>
              <w:pStyle w:val="0"/>
              <w:jc w:val="center"/>
            </w:pPr>
            <w:r>
              <w:rPr>
                <w:sz w:val="20"/>
              </w:rPr>
              <w:t xml:space="preserve">4</w:t>
            </w:r>
          </w:p>
        </w:tc>
        <w:tc>
          <w:tcPr>
            <w:tcW w:w="1531" w:type="dxa"/>
          </w:tcPr>
          <w:p>
            <w:pPr>
              <w:pStyle w:val="0"/>
              <w:jc w:val="center"/>
            </w:pPr>
            <w:r>
              <w:rPr>
                <w:sz w:val="20"/>
              </w:rPr>
              <w:t xml:space="preserve">5</w:t>
            </w:r>
          </w:p>
        </w:tc>
        <w:tc>
          <w:tcPr>
            <w:tcW w:w="737" w:type="dxa"/>
          </w:tcPr>
          <w:p>
            <w:pPr>
              <w:pStyle w:val="0"/>
              <w:jc w:val="center"/>
            </w:pPr>
            <w:r>
              <w:rPr>
                <w:sz w:val="20"/>
              </w:rPr>
              <w:t xml:space="preserve">6</w:t>
            </w:r>
          </w:p>
        </w:tc>
        <w:tc>
          <w:tcPr>
            <w:tcW w:w="1701" w:type="dxa"/>
          </w:tcPr>
          <w:p>
            <w:pPr>
              <w:pStyle w:val="0"/>
              <w:jc w:val="center"/>
            </w:pPr>
            <w:r>
              <w:rPr>
                <w:sz w:val="20"/>
              </w:rPr>
              <w:t xml:space="preserve">7</w:t>
            </w:r>
          </w:p>
        </w:tc>
        <w:tc>
          <w:tcPr>
            <w:tcW w:w="1077" w:type="dxa"/>
          </w:tcPr>
          <w:p>
            <w:pPr>
              <w:pStyle w:val="0"/>
              <w:jc w:val="center"/>
            </w:pPr>
            <w:r>
              <w:rPr>
                <w:sz w:val="20"/>
              </w:rPr>
              <w:t xml:space="preserve">8</w:t>
            </w:r>
          </w:p>
        </w:tc>
        <w:tc>
          <w:tcPr>
            <w:tcW w:w="1077" w:type="dxa"/>
          </w:tcPr>
          <w:p>
            <w:pPr>
              <w:pStyle w:val="0"/>
              <w:jc w:val="center"/>
            </w:pPr>
            <w:r>
              <w:rPr>
                <w:sz w:val="20"/>
              </w:rPr>
              <w:t xml:space="preserve">9</w:t>
            </w:r>
          </w:p>
        </w:tc>
        <w:tc>
          <w:tcPr>
            <w:tcW w:w="1189" w:type="dxa"/>
          </w:tcPr>
          <w:p>
            <w:pPr>
              <w:pStyle w:val="0"/>
              <w:jc w:val="center"/>
            </w:pPr>
            <w:r>
              <w:rPr>
                <w:sz w:val="20"/>
              </w:rPr>
              <w:t xml:space="preserve">10</w:t>
            </w:r>
          </w:p>
        </w:tc>
        <w:tc>
          <w:tcPr>
            <w:tcW w:w="1474" w:type="dxa"/>
          </w:tcPr>
          <w:p>
            <w:pPr>
              <w:pStyle w:val="0"/>
              <w:jc w:val="center"/>
            </w:pPr>
            <w:r>
              <w:rPr>
                <w:sz w:val="20"/>
              </w:rPr>
              <w:t xml:space="preserve">11</w:t>
            </w:r>
          </w:p>
        </w:tc>
        <w:tc>
          <w:tcPr>
            <w:tcW w:w="888" w:type="dxa"/>
          </w:tcPr>
          <w:p>
            <w:pPr>
              <w:pStyle w:val="0"/>
              <w:jc w:val="center"/>
            </w:pPr>
            <w:r>
              <w:rPr>
                <w:sz w:val="20"/>
              </w:rPr>
              <w:t xml:space="preserve">12</w:t>
            </w:r>
          </w:p>
        </w:tc>
        <w:tc>
          <w:tcPr>
            <w:tcW w:w="888" w:type="dxa"/>
          </w:tcPr>
          <w:p>
            <w:pPr>
              <w:pStyle w:val="0"/>
              <w:jc w:val="center"/>
            </w:pPr>
            <w:r>
              <w:rPr>
                <w:sz w:val="20"/>
              </w:rPr>
              <w:t xml:space="preserve">13</w:t>
            </w:r>
          </w:p>
        </w:tc>
        <w:tc>
          <w:tcPr>
            <w:tcW w:w="888" w:type="dxa"/>
          </w:tcPr>
          <w:p>
            <w:pPr>
              <w:pStyle w:val="0"/>
              <w:jc w:val="center"/>
            </w:pPr>
            <w:r>
              <w:rPr>
                <w:sz w:val="20"/>
              </w:rPr>
              <w:t xml:space="preserve">14</w:t>
            </w:r>
          </w:p>
        </w:tc>
        <w:tc>
          <w:tcPr>
            <w:tcW w:w="888" w:type="dxa"/>
          </w:tcPr>
          <w:p>
            <w:pPr>
              <w:pStyle w:val="0"/>
              <w:jc w:val="center"/>
            </w:pPr>
            <w:r>
              <w:rPr>
                <w:sz w:val="20"/>
              </w:rPr>
              <w:t xml:space="preserve">15</w:t>
            </w:r>
          </w:p>
        </w:tc>
        <w:tc>
          <w:tcPr>
            <w:tcW w:w="889" w:type="dxa"/>
          </w:tcPr>
          <w:p>
            <w:pPr>
              <w:pStyle w:val="0"/>
              <w:jc w:val="center"/>
            </w:pPr>
            <w:r>
              <w:rPr>
                <w:sz w:val="20"/>
              </w:rPr>
              <w:t xml:space="preserve">16</w:t>
            </w:r>
          </w:p>
        </w:tc>
      </w:tr>
      <w:tr>
        <w:tc>
          <w:tcPr>
            <w:tcW w:w="567" w:type="dxa"/>
          </w:tcPr>
          <w:p>
            <w:pPr>
              <w:pStyle w:val="0"/>
              <w:jc w:val="both"/>
            </w:pPr>
            <w:r>
              <w:rPr>
                <w:sz w:val="20"/>
              </w:rPr>
              <w:t xml:space="preserve">1</w:t>
            </w:r>
          </w:p>
        </w:tc>
        <w:tc>
          <w:tcPr>
            <w:tcW w:w="1361" w:type="dxa"/>
          </w:tcPr>
          <w:p>
            <w:pPr>
              <w:pStyle w:val="0"/>
              <w:jc w:val="center"/>
            </w:pPr>
            <w:r>
              <w:rPr>
                <w:sz w:val="20"/>
              </w:rPr>
              <w:t xml:space="preserve">-</w:t>
            </w:r>
          </w:p>
        </w:tc>
        <w:tc>
          <w:tcPr>
            <w:tcW w:w="1587" w:type="dxa"/>
          </w:tcPr>
          <w:p>
            <w:pPr>
              <w:pStyle w:val="0"/>
              <w:jc w:val="center"/>
            </w:pPr>
            <w:r>
              <w:rPr>
                <w:sz w:val="20"/>
              </w:rPr>
              <w:t xml:space="preserve">-</w:t>
            </w:r>
          </w:p>
        </w:tc>
        <w:tc>
          <w:tcPr>
            <w:tcW w:w="1077" w:type="dxa"/>
          </w:tcPr>
          <w:p>
            <w:pPr>
              <w:pStyle w:val="0"/>
              <w:jc w:val="center"/>
            </w:pPr>
            <w:r>
              <w:rPr>
                <w:sz w:val="20"/>
              </w:rPr>
              <w:t xml:space="preserve">-</w:t>
            </w:r>
          </w:p>
        </w:tc>
        <w:tc>
          <w:tcPr>
            <w:tcW w:w="1531" w:type="dxa"/>
          </w:tcPr>
          <w:p>
            <w:pPr>
              <w:pStyle w:val="0"/>
              <w:jc w:val="center"/>
            </w:pPr>
            <w:r>
              <w:rPr>
                <w:sz w:val="20"/>
              </w:rPr>
              <w:t xml:space="preserve">-</w:t>
            </w:r>
          </w:p>
        </w:tc>
        <w:tc>
          <w:tcPr>
            <w:tcW w:w="737" w:type="dxa"/>
          </w:tcPr>
          <w:p>
            <w:pPr>
              <w:pStyle w:val="0"/>
              <w:jc w:val="center"/>
            </w:pPr>
            <w:r>
              <w:rPr>
                <w:sz w:val="20"/>
              </w:rPr>
            </w:r>
          </w:p>
        </w:tc>
        <w:tc>
          <w:tcPr>
            <w:tcW w:w="1701" w:type="dxa"/>
          </w:tcPr>
          <w:p>
            <w:pPr>
              <w:pStyle w:val="0"/>
              <w:jc w:val="center"/>
            </w:pPr>
            <w:r>
              <w:rPr>
                <w:sz w:val="20"/>
              </w:rPr>
              <w:t xml:space="preserve">-</w:t>
            </w:r>
          </w:p>
        </w:tc>
        <w:tc>
          <w:tcPr>
            <w:tcW w:w="1077" w:type="dxa"/>
          </w:tcPr>
          <w:p>
            <w:pPr>
              <w:pStyle w:val="0"/>
              <w:jc w:val="center"/>
            </w:pPr>
            <w:r>
              <w:rPr>
                <w:sz w:val="20"/>
              </w:rPr>
              <w:t xml:space="preserve">-</w:t>
            </w:r>
          </w:p>
        </w:tc>
        <w:tc>
          <w:tcPr>
            <w:tcW w:w="1077" w:type="dxa"/>
          </w:tcPr>
          <w:p>
            <w:pPr>
              <w:pStyle w:val="0"/>
              <w:jc w:val="center"/>
            </w:pPr>
            <w:r>
              <w:rPr>
                <w:sz w:val="20"/>
              </w:rPr>
              <w:t xml:space="preserve">-</w:t>
            </w:r>
          </w:p>
        </w:tc>
        <w:tc>
          <w:tcPr>
            <w:tcW w:w="1189" w:type="dxa"/>
          </w:tcPr>
          <w:p>
            <w:pPr>
              <w:pStyle w:val="0"/>
              <w:jc w:val="center"/>
            </w:pPr>
            <w:r>
              <w:rPr>
                <w:sz w:val="20"/>
              </w:rPr>
              <w:t xml:space="preserve">-</w:t>
            </w:r>
          </w:p>
        </w:tc>
        <w:tc>
          <w:tcPr>
            <w:tcW w:w="1474"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9" w:type="dxa"/>
          </w:tcPr>
          <w:p>
            <w:pPr>
              <w:pStyle w:val="0"/>
              <w:jc w:val="center"/>
            </w:pPr>
            <w:r>
              <w:rPr>
                <w:sz w:val="20"/>
              </w:rPr>
              <w:t xml:space="preserve">-</w:t>
            </w:r>
          </w:p>
        </w:tc>
      </w:tr>
      <w:tr>
        <w:tc>
          <w:tcPr>
            <w:tcW w:w="567" w:type="dxa"/>
          </w:tcPr>
          <w:p>
            <w:pPr>
              <w:pStyle w:val="0"/>
              <w:jc w:val="both"/>
            </w:pPr>
            <w:r>
              <w:rPr>
                <w:sz w:val="20"/>
              </w:rPr>
              <w:t xml:space="preserve">2</w:t>
            </w:r>
          </w:p>
        </w:tc>
        <w:tc>
          <w:tcPr>
            <w:tcW w:w="1361" w:type="dxa"/>
          </w:tcPr>
          <w:p>
            <w:pPr>
              <w:pStyle w:val="0"/>
              <w:jc w:val="both"/>
            </w:pPr>
            <w:r>
              <w:rPr>
                <w:sz w:val="20"/>
              </w:rPr>
              <w:t xml:space="preserve">ИТОГО</w:t>
            </w:r>
          </w:p>
        </w:tc>
        <w:tc>
          <w:tcPr>
            <w:tcW w:w="1587" w:type="dxa"/>
          </w:tcPr>
          <w:p>
            <w:pPr>
              <w:pStyle w:val="0"/>
              <w:jc w:val="center"/>
            </w:pPr>
            <w:r>
              <w:rPr>
                <w:sz w:val="20"/>
              </w:rPr>
              <w:t xml:space="preserve">-</w:t>
            </w:r>
          </w:p>
        </w:tc>
        <w:tc>
          <w:tcPr>
            <w:tcW w:w="1077" w:type="dxa"/>
          </w:tcPr>
          <w:p>
            <w:pPr>
              <w:pStyle w:val="0"/>
              <w:jc w:val="center"/>
            </w:pPr>
            <w:r>
              <w:rPr>
                <w:sz w:val="20"/>
              </w:rPr>
              <w:t xml:space="preserve">-</w:t>
            </w:r>
          </w:p>
        </w:tc>
        <w:tc>
          <w:tcPr>
            <w:tcW w:w="1531" w:type="dxa"/>
          </w:tcPr>
          <w:p>
            <w:pPr>
              <w:pStyle w:val="0"/>
              <w:jc w:val="center"/>
            </w:pPr>
            <w:r>
              <w:rPr>
                <w:sz w:val="20"/>
              </w:rPr>
              <w:t xml:space="preserve">-</w:t>
            </w:r>
          </w:p>
        </w:tc>
        <w:tc>
          <w:tcPr>
            <w:tcW w:w="737" w:type="dxa"/>
          </w:tcPr>
          <w:p>
            <w:pPr>
              <w:pStyle w:val="0"/>
              <w:jc w:val="center"/>
            </w:pPr>
            <w:r>
              <w:rPr>
                <w:sz w:val="20"/>
              </w:rPr>
            </w:r>
          </w:p>
        </w:tc>
        <w:tc>
          <w:tcPr>
            <w:tcW w:w="1701" w:type="dxa"/>
          </w:tcPr>
          <w:p>
            <w:pPr>
              <w:pStyle w:val="0"/>
              <w:jc w:val="center"/>
            </w:pPr>
            <w:r>
              <w:rPr>
                <w:sz w:val="20"/>
              </w:rPr>
              <w:t xml:space="preserve">-</w:t>
            </w:r>
          </w:p>
        </w:tc>
        <w:tc>
          <w:tcPr>
            <w:tcW w:w="1077" w:type="dxa"/>
          </w:tcPr>
          <w:p>
            <w:pPr>
              <w:pStyle w:val="0"/>
              <w:jc w:val="center"/>
            </w:pPr>
            <w:r>
              <w:rPr>
                <w:sz w:val="20"/>
              </w:rPr>
              <w:t xml:space="preserve">-</w:t>
            </w:r>
          </w:p>
        </w:tc>
        <w:tc>
          <w:tcPr>
            <w:tcW w:w="1077" w:type="dxa"/>
          </w:tcPr>
          <w:p>
            <w:pPr>
              <w:pStyle w:val="0"/>
              <w:jc w:val="center"/>
            </w:pPr>
            <w:r>
              <w:rPr>
                <w:sz w:val="20"/>
              </w:rPr>
              <w:t xml:space="preserve">-</w:t>
            </w:r>
          </w:p>
        </w:tc>
        <w:tc>
          <w:tcPr>
            <w:tcW w:w="1189" w:type="dxa"/>
          </w:tcPr>
          <w:p>
            <w:pPr>
              <w:pStyle w:val="0"/>
              <w:jc w:val="center"/>
            </w:pPr>
            <w:r>
              <w:rPr>
                <w:sz w:val="20"/>
              </w:rPr>
              <w:t xml:space="preserve">-</w:t>
            </w:r>
          </w:p>
        </w:tc>
        <w:tc>
          <w:tcPr>
            <w:tcW w:w="1474"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8" w:type="dxa"/>
          </w:tcPr>
          <w:p>
            <w:pPr>
              <w:pStyle w:val="0"/>
              <w:jc w:val="center"/>
            </w:pPr>
            <w:r>
              <w:rPr>
                <w:sz w:val="20"/>
              </w:rPr>
              <w:t xml:space="preserve">-</w:t>
            </w:r>
          </w:p>
        </w:tc>
        <w:tc>
          <w:tcPr>
            <w:tcW w:w="889" w:type="dxa"/>
          </w:tcPr>
          <w:p>
            <w:pPr>
              <w:pStyle w:val="0"/>
              <w:jc w:val="center"/>
            </w:pPr>
            <w:r>
              <w:rPr>
                <w:sz w:val="20"/>
              </w:rPr>
              <w:t xml:space="preserve">-</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8</w:t>
      </w:r>
    </w:p>
    <w:p>
      <w:pPr>
        <w:pStyle w:val="0"/>
        <w:jc w:val="right"/>
      </w:pPr>
      <w:r>
        <w:rPr>
          <w:sz w:val="20"/>
        </w:rPr>
        <w:t xml:space="preserve">к региональной программе</w:t>
      </w:r>
    </w:p>
    <w:p>
      <w:pPr>
        <w:pStyle w:val="0"/>
        <w:jc w:val="right"/>
      </w:pPr>
      <w:r>
        <w:rPr>
          <w:sz w:val="20"/>
        </w:rPr>
        <w:t xml:space="preserve">"Модернизация первичного звена</w:t>
      </w:r>
    </w:p>
    <w:p>
      <w:pPr>
        <w:pStyle w:val="0"/>
        <w:jc w:val="right"/>
      </w:pPr>
      <w:r>
        <w:rPr>
          <w:sz w:val="20"/>
        </w:rPr>
        <w:t xml:space="preserve">здравоохранения города Севастополя"</w:t>
      </w:r>
    </w:p>
    <w:p>
      <w:pPr>
        <w:pStyle w:val="0"/>
      </w:pPr>
      <w:r>
        <w:rPr>
          <w:sz w:val="20"/>
        </w:rPr>
      </w:r>
    </w:p>
    <w:bookmarkStart w:id="37374" w:name="P37374"/>
    <w:bookmarkEnd w:id="37374"/>
    <w:p>
      <w:pPr>
        <w:pStyle w:val="2"/>
        <w:jc w:val="center"/>
      </w:pPr>
      <w:r>
        <w:rPr>
          <w:sz w:val="20"/>
        </w:rPr>
        <w:t xml:space="preserve">Сводный перечень оборудования, в том числе медицинских</w:t>
      </w:r>
    </w:p>
    <w:p>
      <w:pPr>
        <w:pStyle w:val="2"/>
        <w:jc w:val="center"/>
      </w:pPr>
      <w:r>
        <w:rPr>
          <w:sz w:val="20"/>
        </w:rPr>
        <w:t xml:space="preserve">изделий (далее - МИ), отсутствующего, подлежащего замене</w:t>
      </w:r>
    </w:p>
    <w:p>
      <w:pPr>
        <w:pStyle w:val="2"/>
        <w:jc w:val="center"/>
      </w:pPr>
      <w:r>
        <w:rPr>
          <w:sz w:val="20"/>
        </w:rPr>
        <w:t xml:space="preserve">в связи с износом в соответствии с утвержденными порядками,</w:t>
      </w:r>
    </w:p>
    <w:p>
      <w:pPr>
        <w:pStyle w:val="2"/>
        <w:jc w:val="center"/>
      </w:pPr>
      <w:r>
        <w:rPr>
          <w:sz w:val="20"/>
        </w:rPr>
        <w:t xml:space="preserve">положениями и правилами оказания медицинской помощи</w:t>
      </w:r>
    </w:p>
    <w:p>
      <w:pPr>
        <w:pStyle w:val="2"/>
        <w:jc w:val="center"/>
      </w:pPr>
      <w:r>
        <w:rPr>
          <w:sz w:val="20"/>
        </w:rPr>
        <w:t xml:space="preserve">в медицинских организациях города Севастополя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Севастополя от 31.08.2022 </w:t>
            </w:r>
            <w:hyperlink w:history="0" r:id="rId923" w:tooltip="Постановление Правительства Севастополя от 31.08.2022 N 403-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403-ПП</w:t>
              </w:r>
            </w:hyperlink>
            <w:r>
              <w:rPr>
                <w:sz w:val="20"/>
                <w:color w:val="392c69"/>
              </w:rPr>
              <w:t xml:space="preserve">,</w:t>
            </w:r>
          </w:p>
          <w:p>
            <w:pPr>
              <w:pStyle w:val="0"/>
              <w:jc w:val="center"/>
            </w:pPr>
            <w:r>
              <w:rPr>
                <w:sz w:val="20"/>
                <w:color w:val="392c69"/>
              </w:rPr>
              <w:t xml:space="preserve">от 08.12.2022 </w:t>
            </w:r>
            <w:hyperlink w:history="0" r:id="rId924"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638-ПП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outlineLvl w:val="3"/>
        <w:jc w:val="right"/>
      </w:pPr>
      <w:r>
        <w:rPr>
          <w:sz w:val="20"/>
        </w:rPr>
        <w:t xml:space="preserve">Таблица 1</w:t>
      </w:r>
    </w:p>
    <w:p>
      <w:pPr>
        <w:pStyle w:val="0"/>
      </w:pPr>
      <w:r>
        <w:rPr>
          <w:sz w:val="20"/>
        </w:rPr>
      </w:r>
    </w:p>
    <w:p>
      <w:pPr>
        <w:pStyle w:val="2"/>
        <w:jc w:val="center"/>
      </w:pPr>
      <w:r>
        <w:rPr>
          <w:sz w:val="20"/>
        </w:rPr>
        <w:t xml:space="preserve">Перечень оборудования, в том числе МИ, отсутствующего</w:t>
      </w:r>
    </w:p>
    <w:p>
      <w:pPr>
        <w:pStyle w:val="2"/>
        <w:jc w:val="center"/>
      </w:pPr>
      <w:r>
        <w:rPr>
          <w:sz w:val="20"/>
        </w:rPr>
        <w:t xml:space="preserve">в соответствии с утвержденными порядками, положениями</w:t>
      </w:r>
    </w:p>
    <w:p>
      <w:pPr>
        <w:pStyle w:val="2"/>
        <w:jc w:val="center"/>
      </w:pPr>
      <w:r>
        <w:rPr>
          <w:sz w:val="20"/>
        </w:rPr>
        <w:t xml:space="preserve">и правилами в медицинских организациях, подведомственных</w:t>
      </w:r>
    </w:p>
    <w:p>
      <w:pPr>
        <w:pStyle w:val="2"/>
        <w:jc w:val="center"/>
      </w:pPr>
      <w:r>
        <w:rPr>
          <w:sz w:val="20"/>
        </w:rPr>
        <w:t xml:space="preserve">Департаменту здравоохранения города Севастополя,</w:t>
      </w:r>
    </w:p>
    <w:p>
      <w:pPr>
        <w:pStyle w:val="2"/>
        <w:jc w:val="center"/>
      </w:pPr>
      <w:r>
        <w:rPr>
          <w:sz w:val="20"/>
        </w:rPr>
        <w:t xml:space="preserve">расположенных на территории города Севастополя, оказывающих</w:t>
      </w:r>
    </w:p>
    <w:p>
      <w:pPr>
        <w:pStyle w:val="2"/>
        <w:jc w:val="center"/>
      </w:pPr>
      <w:r>
        <w:rPr>
          <w:sz w:val="20"/>
        </w:rPr>
        <w:t xml:space="preserve">первичную медико-санитарную помощь взрослым и детям,</w:t>
      </w:r>
    </w:p>
    <w:p>
      <w:pPr>
        <w:pStyle w:val="2"/>
        <w:jc w:val="center"/>
      </w:pPr>
      <w:r>
        <w:rPr>
          <w:sz w:val="20"/>
        </w:rPr>
        <w:t xml:space="preserve">их обособленных структурных подразделениях, центральных</w:t>
      </w:r>
    </w:p>
    <w:p>
      <w:pPr>
        <w:pStyle w:val="2"/>
        <w:jc w:val="center"/>
      </w:pPr>
      <w:r>
        <w:rPr>
          <w:sz w:val="20"/>
        </w:rPr>
        <w:t xml:space="preserve">районных и районных больницах</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928"/>
        <w:gridCol w:w="1474"/>
        <w:gridCol w:w="1247"/>
        <w:gridCol w:w="1587"/>
        <w:gridCol w:w="1701"/>
        <w:gridCol w:w="1644"/>
        <w:gridCol w:w="1191"/>
        <w:gridCol w:w="1757"/>
        <w:gridCol w:w="1077"/>
        <w:gridCol w:w="1247"/>
        <w:gridCol w:w="1928"/>
        <w:gridCol w:w="2098"/>
        <w:gridCol w:w="1020"/>
        <w:gridCol w:w="1077"/>
      </w:tblGrid>
      <w:tr>
        <w:tc>
          <w:tcPr>
            <w:tcW w:w="567" w:type="dxa"/>
          </w:tcPr>
          <w:p>
            <w:pPr>
              <w:pStyle w:val="0"/>
              <w:jc w:val="center"/>
            </w:pPr>
            <w:r>
              <w:rPr>
                <w:sz w:val="20"/>
              </w:rPr>
              <w:t xml:space="preserve">N п/п</w:t>
            </w:r>
          </w:p>
        </w:tc>
        <w:tc>
          <w:tcPr>
            <w:tcW w:w="1928" w:type="dxa"/>
          </w:tcPr>
          <w:p>
            <w:pPr>
              <w:pStyle w:val="0"/>
              <w:jc w:val="center"/>
            </w:pPr>
            <w:r>
              <w:rPr>
                <w:sz w:val="20"/>
              </w:rPr>
              <w:t xml:space="preserve">Полное наименование медицинской организации (МО)</w:t>
            </w:r>
          </w:p>
        </w:tc>
        <w:tc>
          <w:tcPr>
            <w:tcW w:w="1474" w:type="dxa"/>
          </w:tcPr>
          <w:p>
            <w:pPr>
              <w:pStyle w:val="0"/>
              <w:jc w:val="center"/>
            </w:pPr>
            <w:r>
              <w:rPr>
                <w:sz w:val="20"/>
              </w:rPr>
              <w:t xml:space="preserve">ИНН</w:t>
            </w:r>
          </w:p>
        </w:tc>
        <w:tc>
          <w:tcPr>
            <w:tcW w:w="1247" w:type="dxa"/>
          </w:tcPr>
          <w:p>
            <w:pPr>
              <w:pStyle w:val="0"/>
              <w:jc w:val="center"/>
            </w:pPr>
            <w:r>
              <w:rPr>
                <w:sz w:val="20"/>
              </w:rPr>
              <w:t xml:space="preserve">Тип медицинской организации в соответствии с номенклатурой медицинской организации</w:t>
            </w:r>
          </w:p>
        </w:tc>
        <w:tc>
          <w:tcPr>
            <w:tcW w:w="1587" w:type="dxa"/>
          </w:tcPr>
          <w:p>
            <w:pPr>
              <w:pStyle w:val="0"/>
              <w:jc w:val="center"/>
            </w:pPr>
            <w:r>
              <w:rPr>
                <w:sz w:val="20"/>
              </w:rPr>
              <w:t xml:space="preserve">Здание, в котором планируется разместить медицинское изделие</w:t>
            </w:r>
          </w:p>
        </w:tc>
        <w:tc>
          <w:tcPr>
            <w:tcW w:w="1701" w:type="dxa"/>
          </w:tcPr>
          <w:p>
            <w:pPr>
              <w:pStyle w:val="0"/>
              <w:jc w:val="center"/>
            </w:pPr>
            <w:r>
              <w:rPr>
                <w:sz w:val="20"/>
              </w:rPr>
              <w:t xml:space="preserve">Фактический адрес здания</w:t>
            </w:r>
          </w:p>
        </w:tc>
        <w:tc>
          <w:tcPr>
            <w:tcW w:w="1644" w:type="dxa"/>
          </w:tcPr>
          <w:p>
            <w:pPr>
              <w:pStyle w:val="0"/>
              <w:jc w:val="center"/>
            </w:pPr>
            <w:r>
              <w:rPr>
                <w:sz w:val="20"/>
              </w:rPr>
              <w:t xml:space="preserve">Наименование населенного пункта, в котором располагается структурное подразделение</w:t>
            </w:r>
          </w:p>
        </w:tc>
        <w:tc>
          <w:tcPr>
            <w:tcW w:w="1191" w:type="dxa"/>
          </w:tcPr>
          <w:p>
            <w:pPr>
              <w:pStyle w:val="0"/>
              <w:jc w:val="center"/>
            </w:pPr>
            <w:r>
              <w:rPr>
                <w:sz w:val="20"/>
              </w:rPr>
              <w:t xml:space="preserve">Численность населения населенного пункта, в котором расположена МО, чел.</w:t>
            </w:r>
          </w:p>
        </w:tc>
        <w:tc>
          <w:tcPr>
            <w:tcW w:w="1757" w:type="dxa"/>
          </w:tcPr>
          <w:p>
            <w:pPr>
              <w:pStyle w:val="0"/>
              <w:jc w:val="center"/>
            </w:pPr>
            <w:r>
              <w:rPr>
                <w:sz w:val="20"/>
              </w:rPr>
              <w:t xml:space="preserve">Наименование структурного подразделения</w:t>
            </w:r>
          </w:p>
        </w:tc>
        <w:tc>
          <w:tcPr>
            <w:tcW w:w="1077" w:type="dxa"/>
          </w:tcPr>
          <w:p>
            <w:pPr>
              <w:pStyle w:val="0"/>
              <w:jc w:val="center"/>
            </w:pPr>
            <w:r>
              <w:rPr>
                <w:sz w:val="20"/>
              </w:rPr>
              <w:t xml:space="preserve">Вид кабинета (отделения)</w:t>
            </w:r>
          </w:p>
        </w:tc>
        <w:tc>
          <w:tcPr>
            <w:tcW w:w="1247" w:type="dxa"/>
          </w:tcPr>
          <w:p>
            <w:pPr>
              <w:pStyle w:val="0"/>
              <w:jc w:val="center"/>
            </w:pPr>
            <w:r>
              <w:rPr>
                <w:sz w:val="20"/>
              </w:rPr>
              <w:t xml:space="preserve">Условия оказания медицинской помощи (стационарно/амбулаторно)</w:t>
            </w:r>
          </w:p>
        </w:tc>
        <w:tc>
          <w:tcPr>
            <w:tcW w:w="1928" w:type="dxa"/>
          </w:tcPr>
          <w:p>
            <w:pPr>
              <w:pStyle w:val="0"/>
              <w:jc w:val="center"/>
            </w:pPr>
            <w:r>
              <w:rPr>
                <w:sz w:val="20"/>
              </w:rPr>
              <w:t xml:space="preserve">Наименование медицинского изделия</w:t>
            </w:r>
          </w:p>
        </w:tc>
        <w:tc>
          <w:tcPr>
            <w:tcW w:w="2098" w:type="dxa"/>
          </w:tcPr>
          <w:p>
            <w:pPr>
              <w:pStyle w:val="0"/>
              <w:jc w:val="center"/>
            </w:pPr>
            <w:r>
              <w:rPr>
                <w:sz w:val="20"/>
              </w:rPr>
              <w:t xml:space="preserve">Нормативный правовой акт, в соответствии с которым планируется приобретение медицинского изделия</w:t>
            </w:r>
          </w:p>
        </w:tc>
        <w:tc>
          <w:tcPr>
            <w:tcW w:w="1020" w:type="dxa"/>
          </w:tcPr>
          <w:p>
            <w:pPr>
              <w:pStyle w:val="0"/>
              <w:jc w:val="center"/>
            </w:pPr>
            <w:r>
              <w:rPr>
                <w:sz w:val="20"/>
              </w:rPr>
              <w:t xml:space="preserve">Требуемое количество медицинских изделий, ед.</w:t>
            </w:r>
          </w:p>
        </w:tc>
        <w:tc>
          <w:tcPr>
            <w:tcW w:w="1077" w:type="dxa"/>
          </w:tcPr>
          <w:p>
            <w:pPr>
              <w:pStyle w:val="0"/>
              <w:jc w:val="center"/>
            </w:pPr>
            <w:r>
              <w:rPr>
                <w:sz w:val="20"/>
              </w:rPr>
              <w:t xml:space="preserve">Планируемая дата приобретения (формат отражения данных: мм.гггг)</w:t>
            </w:r>
          </w:p>
        </w:tc>
      </w:tr>
      <w:tr>
        <w:tc>
          <w:tcPr>
            <w:tcW w:w="567" w:type="dxa"/>
          </w:tcPr>
          <w:p>
            <w:pPr>
              <w:pStyle w:val="0"/>
              <w:jc w:val="center"/>
            </w:pPr>
            <w:r>
              <w:rPr>
                <w:sz w:val="20"/>
              </w:rPr>
              <w:t xml:space="preserve">1</w:t>
            </w:r>
          </w:p>
        </w:tc>
        <w:tc>
          <w:tcPr>
            <w:tcW w:w="1928" w:type="dxa"/>
          </w:tcPr>
          <w:p>
            <w:pPr>
              <w:pStyle w:val="0"/>
              <w:jc w:val="center"/>
            </w:pPr>
            <w:r>
              <w:rPr>
                <w:sz w:val="20"/>
              </w:rPr>
              <w:t xml:space="preserve">2</w:t>
            </w:r>
          </w:p>
        </w:tc>
        <w:tc>
          <w:tcPr>
            <w:tcW w:w="1474" w:type="dxa"/>
          </w:tcPr>
          <w:p>
            <w:pPr>
              <w:pStyle w:val="0"/>
              <w:jc w:val="center"/>
            </w:pPr>
            <w:r>
              <w:rPr>
                <w:sz w:val="20"/>
              </w:rPr>
              <w:t xml:space="preserve">3</w:t>
            </w:r>
          </w:p>
        </w:tc>
        <w:tc>
          <w:tcPr>
            <w:tcW w:w="1247" w:type="dxa"/>
          </w:tcPr>
          <w:p>
            <w:pPr>
              <w:pStyle w:val="0"/>
              <w:jc w:val="center"/>
            </w:pPr>
            <w:r>
              <w:rPr>
                <w:sz w:val="20"/>
              </w:rPr>
              <w:t xml:space="preserve">4</w:t>
            </w:r>
          </w:p>
        </w:tc>
        <w:tc>
          <w:tcPr>
            <w:tcW w:w="1587" w:type="dxa"/>
          </w:tcPr>
          <w:p>
            <w:pPr>
              <w:pStyle w:val="0"/>
              <w:jc w:val="center"/>
            </w:pPr>
            <w:r>
              <w:rPr>
                <w:sz w:val="20"/>
              </w:rPr>
              <w:t xml:space="preserve">5</w:t>
            </w:r>
          </w:p>
        </w:tc>
        <w:tc>
          <w:tcPr>
            <w:tcW w:w="1701" w:type="dxa"/>
          </w:tcPr>
          <w:p>
            <w:pPr>
              <w:pStyle w:val="0"/>
              <w:jc w:val="center"/>
            </w:pPr>
            <w:r>
              <w:rPr>
                <w:sz w:val="20"/>
              </w:rPr>
              <w:t xml:space="preserve">6</w:t>
            </w:r>
          </w:p>
        </w:tc>
        <w:tc>
          <w:tcPr>
            <w:tcW w:w="1644" w:type="dxa"/>
          </w:tcPr>
          <w:p>
            <w:pPr>
              <w:pStyle w:val="0"/>
              <w:jc w:val="center"/>
            </w:pPr>
            <w:r>
              <w:rPr>
                <w:sz w:val="20"/>
              </w:rPr>
              <w:t xml:space="preserve">7</w:t>
            </w:r>
          </w:p>
        </w:tc>
        <w:tc>
          <w:tcPr>
            <w:tcW w:w="1191" w:type="dxa"/>
          </w:tcPr>
          <w:p>
            <w:pPr>
              <w:pStyle w:val="0"/>
              <w:jc w:val="center"/>
            </w:pPr>
            <w:r>
              <w:rPr>
                <w:sz w:val="20"/>
              </w:rPr>
              <w:t xml:space="preserve">8</w:t>
            </w:r>
          </w:p>
        </w:tc>
        <w:tc>
          <w:tcPr>
            <w:tcW w:w="1757" w:type="dxa"/>
          </w:tcPr>
          <w:p>
            <w:pPr>
              <w:pStyle w:val="0"/>
              <w:jc w:val="center"/>
            </w:pPr>
            <w:r>
              <w:rPr>
                <w:sz w:val="20"/>
              </w:rPr>
              <w:t xml:space="preserve">9</w:t>
            </w:r>
          </w:p>
        </w:tc>
        <w:tc>
          <w:tcPr>
            <w:tcW w:w="1077" w:type="dxa"/>
          </w:tcPr>
          <w:p>
            <w:pPr>
              <w:pStyle w:val="0"/>
              <w:jc w:val="center"/>
            </w:pPr>
            <w:r>
              <w:rPr>
                <w:sz w:val="20"/>
              </w:rPr>
              <w:t xml:space="preserve">10</w:t>
            </w:r>
          </w:p>
        </w:tc>
        <w:tc>
          <w:tcPr>
            <w:tcW w:w="1247" w:type="dxa"/>
          </w:tcPr>
          <w:p>
            <w:pPr>
              <w:pStyle w:val="0"/>
              <w:jc w:val="center"/>
            </w:pPr>
            <w:r>
              <w:rPr>
                <w:sz w:val="20"/>
              </w:rPr>
              <w:t xml:space="preserve">11</w:t>
            </w:r>
          </w:p>
        </w:tc>
        <w:tc>
          <w:tcPr>
            <w:tcW w:w="1928" w:type="dxa"/>
          </w:tcPr>
          <w:p>
            <w:pPr>
              <w:pStyle w:val="0"/>
              <w:jc w:val="center"/>
            </w:pPr>
            <w:r>
              <w:rPr>
                <w:sz w:val="20"/>
              </w:rPr>
              <w:t xml:space="preserve">12</w:t>
            </w:r>
          </w:p>
        </w:tc>
        <w:tc>
          <w:tcPr>
            <w:tcW w:w="2098" w:type="dxa"/>
          </w:tcPr>
          <w:p>
            <w:pPr>
              <w:pStyle w:val="0"/>
              <w:jc w:val="center"/>
            </w:pPr>
            <w:r>
              <w:rPr>
                <w:sz w:val="20"/>
              </w:rPr>
              <w:t xml:space="preserve">13</w:t>
            </w:r>
          </w:p>
        </w:tc>
        <w:tc>
          <w:tcPr>
            <w:tcW w:w="1020" w:type="dxa"/>
          </w:tcPr>
          <w:p>
            <w:pPr>
              <w:pStyle w:val="0"/>
              <w:jc w:val="center"/>
            </w:pPr>
            <w:r>
              <w:rPr>
                <w:sz w:val="20"/>
              </w:rPr>
              <w:t xml:space="preserve">14</w:t>
            </w:r>
          </w:p>
        </w:tc>
        <w:tc>
          <w:tcPr>
            <w:tcW w:w="1077" w:type="dxa"/>
          </w:tcPr>
          <w:p>
            <w:pPr>
              <w:pStyle w:val="0"/>
              <w:jc w:val="center"/>
            </w:pPr>
            <w:r>
              <w:rPr>
                <w:sz w:val="20"/>
              </w:rPr>
              <w:t xml:space="preserve">15</w:t>
            </w:r>
          </w:p>
        </w:tc>
      </w:tr>
      <w:tr>
        <w:tc>
          <w:tcPr>
            <w:tcW w:w="567" w:type="dxa"/>
          </w:tcPr>
          <w:p>
            <w:pPr>
              <w:pStyle w:val="0"/>
              <w:jc w:val="both"/>
            </w:pPr>
            <w:r>
              <w:rPr>
                <w:sz w:val="20"/>
              </w:rPr>
              <w:t xml:space="preserve">1</w:t>
            </w:r>
          </w:p>
        </w:tc>
        <w:tc>
          <w:tcPr>
            <w:tcW w:w="1928" w:type="dxa"/>
          </w:tcPr>
          <w:p>
            <w:pPr>
              <w:pStyle w:val="0"/>
              <w:jc w:val="both"/>
            </w:pPr>
            <w:r>
              <w:rPr>
                <w:sz w:val="20"/>
              </w:rPr>
              <w:t xml:space="preserve">Государственное бюджетное учреждение здравоохранения Севастополя "Городская больница N 5 - "Центр охраны здоровья матери и ребенка"</w:t>
            </w:r>
          </w:p>
        </w:tc>
        <w:tc>
          <w:tcPr>
            <w:tcW w:w="1474" w:type="dxa"/>
          </w:tcPr>
          <w:p>
            <w:pPr>
              <w:pStyle w:val="0"/>
              <w:jc w:val="center"/>
            </w:pPr>
            <w:r>
              <w:rPr>
                <w:sz w:val="20"/>
              </w:rPr>
              <w:t xml:space="preserve">9204021260</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Второе педиатрическое отделение поликлиники N 2 (ул. Юмашева)</w:t>
            </w:r>
          </w:p>
        </w:tc>
        <w:tc>
          <w:tcPr>
            <w:tcW w:w="1701" w:type="dxa"/>
          </w:tcPr>
          <w:p>
            <w:pPr>
              <w:pStyle w:val="0"/>
              <w:jc w:val="both"/>
            </w:pPr>
            <w:r>
              <w:rPr>
                <w:sz w:val="20"/>
              </w:rPr>
              <w:t xml:space="preserve">г. Севастополь, ул. Адмирала Юмашева, 19г</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Второе педиатрическое отделение поликлиники N 2</w:t>
            </w:r>
          </w:p>
        </w:tc>
        <w:tc>
          <w:tcPr>
            <w:tcW w:w="1077" w:type="dxa"/>
          </w:tcPr>
          <w:p>
            <w:pPr>
              <w:pStyle w:val="0"/>
              <w:jc w:val="both"/>
            </w:pPr>
            <w:r>
              <w:rPr>
                <w:sz w:val="20"/>
              </w:rPr>
              <w:t xml:space="preserve">Кабинет МРТ</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Магнитно-резонансный томограф со сверхпроводящим магнитом</w:t>
            </w:r>
          </w:p>
        </w:tc>
        <w:tc>
          <w:tcPr>
            <w:tcW w:w="2098" w:type="dxa"/>
          </w:tcPr>
          <w:p>
            <w:pPr>
              <w:pStyle w:val="0"/>
              <w:jc w:val="both"/>
            </w:pPr>
            <w:hyperlink w:history="0" r:id="rId925"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Министерства здравоохранения РФ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(далее - Приказ N 1379н), </w:t>
            </w:r>
            <w:hyperlink w:history="0" r:id="rId926" w:tooltip="Приказ Минздравсоцразвития России от 16.04.2012 N 366н (ред. от 21.02.2020) &quot;Об утверждении Порядка оказания педиатрической помощи&quot; (Зарегистрировано в Минюсте России 29.05.2012 N 24361) {КонсультантПлюс}">
              <w:r>
                <w:rPr>
                  <w:sz w:val="20"/>
                  <w:color w:val="0000ff"/>
                </w:rPr>
                <w:t xml:space="preserve">приказ</w:t>
              </w:r>
            </w:hyperlink>
            <w:r>
              <w:rPr>
                <w:sz w:val="20"/>
              </w:rPr>
              <w:t xml:space="preserve"> Министерства здравоохранения и социального развития РФ от 16 апреля 2012 г. N 366н "Об утверждении Порядка оказания педиатрической помощи" (с изменениями и дополнениями)</w:t>
            </w:r>
          </w:p>
        </w:tc>
        <w:tc>
          <w:tcPr>
            <w:tcW w:w="1020" w:type="dxa"/>
          </w:tcPr>
          <w:p>
            <w:pPr>
              <w:pStyle w:val="0"/>
              <w:jc w:val="center"/>
            </w:pPr>
            <w:r>
              <w:rPr>
                <w:sz w:val="20"/>
              </w:rPr>
              <w:t xml:space="preserve">1</w:t>
            </w:r>
          </w:p>
        </w:tc>
        <w:tc>
          <w:tcPr>
            <w:tcW w:w="1077" w:type="dxa"/>
          </w:tcPr>
          <w:p>
            <w:pPr>
              <w:pStyle w:val="0"/>
              <w:jc w:val="both"/>
            </w:pPr>
            <w:r>
              <w:rPr>
                <w:sz w:val="20"/>
              </w:rPr>
              <w:t xml:space="preserve">10.2021</w:t>
            </w:r>
          </w:p>
        </w:tc>
      </w:tr>
      <w:tr>
        <w:tc>
          <w:tcPr>
            <w:tcW w:w="567" w:type="dxa"/>
          </w:tcPr>
          <w:p>
            <w:pPr>
              <w:pStyle w:val="0"/>
              <w:jc w:val="both"/>
            </w:pPr>
            <w:r>
              <w:rPr>
                <w:sz w:val="20"/>
              </w:rPr>
              <w:t xml:space="preserve">2</w:t>
            </w:r>
          </w:p>
        </w:tc>
        <w:tc>
          <w:tcPr>
            <w:tcW w:w="1928" w:type="dxa"/>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Поликлиника для взрослых</w:t>
            </w:r>
          </w:p>
        </w:tc>
        <w:tc>
          <w:tcPr>
            <w:tcW w:w="1701" w:type="dxa"/>
          </w:tcPr>
          <w:p>
            <w:pPr>
              <w:pStyle w:val="0"/>
              <w:jc w:val="both"/>
            </w:pPr>
            <w:r>
              <w:rPr>
                <w:sz w:val="20"/>
              </w:rPr>
              <w:t xml:space="preserve">г. Севастополь, ул. Мира, д. 5</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Поликлиника взрослая</w:t>
            </w:r>
          </w:p>
        </w:tc>
        <w:tc>
          <w:tcPr>
            <w:tcW w:w="1077" w:type="dxa"/>
          </w:tcPr>
          <w:p>
            <w:pPr>
              <w:pStyle w:val="0"/>
              <w:jc w:val="both"/>
            </w:pPr>
            <w:r>
              <w:rPr>
                <w:sz w:val="20"/>
              </w:rPr>
              <w:t xml:space="preserve">Кабинет маммографии</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Аппарат рентгеновский маммографический цифровой или аналоговый</w:t>
            </w:r>
          </w:p>
        </w:tc>
        <w:tc>
          <w:tcPr>
            <w:tcW w:w="2098" w:type="dxa"/>
          </w:tcPr>
          <w:p>
            <w:pPr>
              <w:pStyle w:val="0"/>
              <w:jc w:val="both"/>
            </w:pPr>
            <w:hyperlink w:history="0" r:id="rId927"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28"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Министерства здравоохранения и социального развития РФ от 15 мая 2012 г. N 543н "Об утверждении Положения об организации оказания первичной медико-санитарной помощи взрослому населению" (с изменениями и дополнениями) (далее - Приказ N 543н)</w:t>
            </w:r>
          </w:p>
        </w:tc>
        <w:tc>
          <w:tcPr>
            <w:tcW w:w="1020" w:type="dxa"/>
          </w:tcPr>
          <w:p>
            <w:pPr>
              <w:pStyle w:val="0"/>
              <w:jc w:val="center"/>
            </w:pPr>
            <w:r>
              <w:rPr>
                <w:sz w:val="20"/>
              </w:rPr>
              <w:t xml:space="preserve">1</w:t>
            </w:r>
          </w:p>
        </w:tc>
        <w:tc>
          <w:tcPr>
            <w:tcW w:w="1077" w:type="dxa"/>
          </w:tcPr>
          <w:p>
            <w:pPr>
              <w:pStyle w:val="0"/>
              <w:jc w:val="both"/>
            </w:pPr>
            <w:r>
              <w:rPr>
                <w:sz w:val="20"/>
              </w:rPr>
              <w:t xml:space="preserve">06.2025</w:t>
            </w:r>
          </w:p>
        </w:tc>
      </w:tr>
      <w:tr>
        <w:tc>
          <w:tcPr>
            <w:tcW w:w="567" w:type="dxa"/>
          </w:tcPr>
          <w:p>
            <w:pPr>
              <w:pStyle w:val="0"/>
              <w:jc w:val="both"/>
            </w:pPr>
            <w:r>
              <w:rPr>
                <w:sz w:val="20"/>
              </w:rPr>
              <w:t xml:space="preserve">3</w:t>
            </w:r>
          </w:p>
        </w:tc>
        <w:tc>
          <w:tcPr>
            <w:tcW w:w="1928" w:type="dxa"/>
          </w:tcPr>
          <w:p>
            <w:pPr>
              <w:pStyle w:val="0"/>
              <w:jc w:val="both"/>
            </w:pPr>
            <w:r>
              <w:rPr>
                <w:sz w:val="20"/>
              </w:rPr>
              <w:t xml:space="preserve">Государственное бюджетное учреждение здравоохранения Севастополя "Городская больница N 1 им. Н.И. Пирогова"</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Поликлиника N 5</w:t>
            </w:r>
          </w:p>
        </w:tc>
        <w:tc>
          <w:tcPr>
            <w:tcW w:w="1701" w:type="dxa"/>
          </w:tcPr>
          <w:p>
            <w:pPr>
              <w:pStyle w:val="0"/>
              <w:jc w:val="both"/>
            </w:pPr>
            <w:r>
              <w:rPr>
                <w:sz w:val="20"/>
              </w:rPr>
              <w:t xml:space="preserve">г. Севастополь, ул. Надеждинцев, 15</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Филиал N 2, рентгенологическое отделение</w:t>
            </w:r>
          </w:p>
        </w:tc>
        <w:tc>
          <w:tcPr>
            <w:tcW w:w="1077" w:type="dxa"/>
          </w:tcPr>
          <w:p>
            <w:pPr>
              <w:pStyle w:val="0"/>
              <w:jc w:val="both"/>
            </w:pPr>
            <w:r>
              <w:rPr>
                <w:sz w:val="20"/>
              </w:rPr>
              <w:t xml:space="preserve">Кабинет КТ</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Компьютерный томограф рентгеновский спиральный с многорядным детектором (многосрезовый)</w:t>
            </w:r>
          </w:p>
        </w:tc>
        <w:tc>
          <w:tcPr>
            <w:tcW w:w="2098" w:type="dxa"/>
          </w:tcPr>
          <w:p>
            <w:pPr>
              <w:pStyle w:val="0"/>
              <w:jc w:val="both"/>
            </w:pPr>
            <w:hyperlink w:history="0" r:id="rId929"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30"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10.2022</w:t>
            </w:r>
          </w:p>
        </w:tc>
      </w:tr>
      <w:tr>
        <w:tc>
          <w:tcPr>
            <w:tcW w:w="567" w:type="dxa"/>
          </w:tcPr>
          <w:p>
            <w:pPr>
              <w:pStyle w:val="0"/>
              <w:jc w:val="both"/>
            </w:pPr>
            <w:r>
              <w:rPr>
                <w:sz w:val="20"/>
              </w:rPr>
              <w:t xml:space="preserve">4</w:t>
            </w:r>
          </w:p>
        </w:tc>
        <w:tc>
          <w:tcPr>
            <w:tcW w:w="1928" w:type="dxa"/>
          </w:tcPr>
          <w:p>
            <w:pPr>
              <w:pStyle w:val="0"/>
              <w:jc w:val="both"/>
            </w:pPr>
            <w:r>
              <w:rPr>
                <w:sz w:val="20"/>
              </w:rPr>
              <w:t xml:space="preserve">Государственное бюджетное учреждение здравоохранения Севастополя "Городская больница N 1 им. Н.И. Пирогова"</w:t>
            </w:r>
          </w:p>
        </w:tc>
        <w:tc>
          <w:tcPr>
            <w:tcW w:w="1474" w:type="dxa"/>
          </w:tcPr>
          <w:p>
            <w:pPr>
              <w:pStyle w:val="0"/>
              <w:jc w:val="center"/>
            </w:pPr>
            <w:r>
              <w:rPr>
                <w:sz w:val="20"/>
              </w:rPr>
              <w:t xml:space="preserve">9204022136</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Поликлиника N 5</w:t>
            </w:r>
          </w:p>
        </w:tc>
        <w:tc>
          <w:tcPr>
            <w:tcW w:w="1701" w:type="dxa"/>
          </w:tcPr>
          <w:p>
            <w:pPr>
              <w:pStyle w:val="0"/>
              <w:jc w:val="both"/>
            </w:pPr>
            <w:r>
              <w:rPr>
                <w:sz w:val="20"/>
              </w:rPr>
              <w:t xml:space="preserve">г. Севастополь, пл. Геннериха, 1</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Филиал N 2, рентгенологическое отделение</w:t>
            </w:r>
          </w:p>
        </w:tc>
        <w:tc>
          <w:tcPr>
            <w:tcW w:w="1077" w:type="dxa"/>
          </w:tcPr>
          <w:p>
            <w:pPr>
              <w:pStyle w:val="0"/>
              <w:jc w:val="both"/>
            </w:pPr>
            <w:r>
              <w:rPr>
                <w:sz w:val="20"/>
              </w:rPr>
              <w:t xml:space="preserve">Кабинет маммографии</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Аппарат рентгеновский маммографический цифровой или аналоговый</w:t>
            </w:r>
          </w:p>
        </w:tc>
        <w:tc>
          <w:tcPr>
            <w:tcW w:w="2098" w:type="dxa"/>
          </w:tcPr>
          <w:p>
            <w:pPr>
              <w:pStyle w:val="0"/>
              <w:jc w:val="both"/>
            </w:pPr>
            <w:hyperlink w:history="0" r:id="rId931"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32"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06.2025</w:t>
            </w:r>
          </w:p>
        </w:tc>
      </w:tr>
      <w:tr>
        <w:tc>
          <w:tcPr>
            <w:tcW w:w="567" w:type="dxa"/>
          </w:tcPr>
          <w:p>
            <w:pPr>
              <w:pStyle w:val="0"/>
              <w:jc w:val="both"/>
            </w:pPr>
            <w:r>
              <w:rPr>
                <w:sz w:val="20"/>
              </w:rPr>
              <w:t xml:space="preserve">5</w:t>
            </w:r>
          </w:p>
        </w:tc>
        <w:tc>
          <w:tcPr>
            <w:tcW w:w="1928" w:type="dxa"/>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Поликлиника для взрослых</w:t>
            </w:r>
          </w:p>
        </w:tc>
        <w:tc>
          <w:tcPr>
            <w:tcW w:w="1701" w:type="dxa"/>
          </w:tcPr>
          <w:p>
            <w:pPr>
              <w:pStyle w:val="0"/>
              <w:jc w:val="both"/>
            </w:pPr>
            <w:r>
              <w:rPr>
                <w:sz w:val="20"/>
              </w:rPr>
              <w:t xml:space="preserve">г. Севастополь, ул. Мира, д. 5</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Поликлиника взрослая</w:t>
            </w:r>
          </w:p>
        </w:tc>
        <w:tc>
          <w:tcPr>
            <w:tcW w:w="1077" w:type="dxa"/>
          </w:tcPr>
          <w:p>
            <w:pPr>
              <w:pStyle w:val="0"/>
              <w:jc w:val="both"/>
            </w:pPr>
            <w:r>
              <w:rPr>
                <w:sz w:val="20"/>
              </w:rPr>
              <w:t xml:space="preserve">Флюорографический кабинет</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Аппарат рентгеновский для флюорографии легких цифровой или аналоговый</w:t>
            </w:r>
          </w:p>
        </w:tc>
        <w:tc>
          <w:tcPr>
            <w:tcW w:w="2098" w:type="dxa"/>
          </w:tcPr>
          <w:p>
            <w:pPr>
              <w:pStyle w:val="0"/>
              <w:jc w:val="both"/>
            </w:pPr>
            <w:hyperlink w:history="0" r:id="rId933"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34"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06.2025</w:t>
            </w:r>
          </w:p>
        </w:tc>
      </w:tr>
      <w:tr>
        <w:tc>
          <w:tcPr>
            <w:tcW w:w="567" w:type="dxa"/>
          </w:tcPr>
          <w:p>
            <w:pPr>
              <w:pStyle w:val="0"/>
              <w:jc w:val="both"/>
            </w:pPr>
            <w:r>
              <w:rPr>
                <w:sz w:val="20"/>
              </w:rPr>
              <w:t xml:space="preserve">6</w:t>
            </w:r>
          </w:p>
        </w:tc>
        <w:tc>
          <w:tcPr>
            <w:tcW w:w="1928" w:type="dxa"/>
          </w:tcPr>
          <w:p>
            <w:pPr>
              <w:pStyle w:val="0"/>
              <w:jc w:val="both"/>
            </w:pPr>
            <w:r>
              <w:rPr>
                <w:sz w:val="20"/>
              </w:rPr>
              <w:t xml:space="preserve">Государственное бюджетное учреждение здравоохранения Севастополя "Городская больница N 4"</w:t>
            </w:r>
          </w:p>
        </w:tc>
        <w:tc>
          <w:tcPr>
            <w:tcW w:w="1474" w:type="dxa"/>
          </w:tcPr>
          <w:p>
            <w:pPr>
              <w:pStyle w:val="0"/>
              <w:jc w:val="center"/>
            </w:pPr>
            <w:r>
              <w:rPr>
                <w:sz w:val="20"/>
              </w:rPr>
              <w:t xml:space="preserve">9203007199</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Здание поликлиники</w:t>
            </w:r>
          </w:p>
        </w:tc>
        <w:tc>
          <w:tcPr>
            <w:tcW w:w="1701" w:type="dxa"/>
          </w:tcPr>
          <w:p>
            <w:pPr>
              <w:pStyle w:val="0"/>
              <w:jc w:val="both"/>
            </w:pPr>
            <w:r>
              <w:rPr>
                <w:sz w:val="20"/>
              </w:rPr>
              <w:t xml:space="preserve">г. Севастополь, ул. Леваневского, 25</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Поликлиника для взрослого населения</w:t>
            </w:r>
          </w:p>
        </w:tc>
        <w:tc>
          <w:tcPr>
            <w:tcW w:w="1077" w:type="dxa"/>
          </w:tcPr>
          <w:p>
            <w:pPr>
              <w:pStyle w:val="0"/>
              <w:jc w:val="both"/>
            </w:pPr>
            <w:r>
              <w:rPr>
                <w:sz w:val="20"/>
              </w:rPr>
              <w:t xml:space="preserve">Флюорографический кабинет</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Аппарат рентгеновский для флюорографии легких цифровой или аналоговый</w:t>
            </w:r>
          </w:p>
        </w:tc>
        <w:tc>
          <w:tcPr>
            <w:tcW w:w="2098" w:type="dxa"/>
          </w:tcPr>
          <w:p>
            <w:pPr>
              <w:pStyle w:val="0"/>
              <w:jc w:val="both"/>
            </w:pPr>
            <w:hyperlink w:history="0" r:id="rId935"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36"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06.2025</w:t>
            </w:r>
          </w:p>
        </w:tc>
      </w:tr>
      <w:tr>
        <w:tc>
          <w:tcPr>
            <w:tcW w:w="567" w:type="dxa"/>
          </w:tcPr>
          <w:p>
            <w:pPr>
              <w:pStyle w:val="0"/>
              <w:jc w:val="both"/>
            </w:pPr>
            <w:r>
              <w:rPr>
                <w:sz w:val="20"/>
              </w:rPr>
              <w:t xml:space="preserve">7</w:t>
            </w:r>
          </w:p>
        </w:tc>
        <w:tc>
          <w:tcPr>
            <w:tcW w:w="1928" w:type="dxa"/>
          </w:tcPr>
          <w:p>
            <w:pPr>
              <w:pStyle w:val="0"/>
              <w:jc w:val="both"/>
            </w:pPr>
            <w:r>
              <w:rPr>
                <w:sz w:val="20"/>
              </w:rPr>
              <w:t xml:space="preserve">Государственное бюджетное учреждение здравоохранения Севастополя "Городская больница N 4"</w:t>
            </w:r>
          </w:p>
        </w:tc>
        <w:tc>
          <w:tcPr>
            <w:tcW w:w="1474" w:type="dxa"/>
          </w:tcPr>
          <w:p>
            <w:pPr>
              <w:pStyle w:val="0"/>
              <w:jc w:val="center"/>
            </w:pPr>
            <w:r>
              <w:rPr>
                <w:sz w:val="20"/>
              </w:rPr>
              <w:t xml:space="preserve">9203007199</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Здание поликлиники</w:t>
            </w:r>
          </w:p>
        </w:tc>
        <w:tc>
          <w:tcPr>
            <w:tcW w:w="1701" w:type="dxa"/>
          </w:tcPr>
          <w:p>
            <w:pPr>
              <w:pStyle w:val="0"/>
              <w:jc w:val="both"/>
            </w:pPr>
            <w:r>
              <w:rPr>
                <w:sz w:val="20"/>
              </w:rPr>
              <w:t xml:space="preserve">г. Севастополь, ул. Леваневского, 25</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Поликлиника для взрослого населения</w:t>
            </w:r>
          </w:p>
        </w:tc>
        <w:tc>
          <w:tcPr>
            <w:tcW w:w="1077" w:type="dxa"/>
          </w:tcPr>
          <w:p>
            <w:pPr>
              <w:pStyle w:val="0"/>
              <w:jc w:val="both"/>
            </w:pPr>
            <w:r>
              <w:rPr>
                <w:sz w:val="20"/>
              </w:rPr>
              <w:t xml:space="preserve">Кабинет УЗД</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Система ультразвуковой визуализации универсальная, с питанием от батареи</w:t>
            </w:r>
          </w:p>
        </w:tc>
        <w:tc>
          <w:tcPr>
            <w:tcW w:w="2098" w:type="dxa"/>
          </w:tcPr>
          <w:p>
            <w:pPr>
              <w:pStyle w:val="0"/>
              <w:jc w:val="both"/>
            </w:pPr>
            <w:hyperlink w:history="0" r:id="rId937"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38"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06.2025</w:t>
            </w:r>
          </w:p>
        </w:tc>
      </w:tr>
      <w:tr>
        <w:tc>
          <w:tcPr>
            <w:tcW w:w="567" w:type="dxa"/>
          </w:tcPr>
          <w:p>
            <w:pPr>
              <w:pStyle w:val="0"/>
              <w:jc w:val="both"/>
            </w:pPr>
            <w:r>
              <w:rPr>
                <w:sz w:val="20"/>
              </w:rPr>
              <w:t xml:space="preserve">8</w:t>
            </w:r>
          </w:p>
        </w:tc>
        <w:tc>
          <w:tcPr>
            <w:tcW w:w="1928" w:type="dxa"/>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Поликлиника для взрослых</w:t>
            </w:r>
          </w:p>
        </w:tc>
        <w:tc>
          <w:tcPr>
            <w:tcW w:w="1701" w:type="dxa"/>
          </w:tcPr>
          <w:p>
            <w:pPr>
              <w:pStyle w:val="0"/>
              <w:jc w:val="both"/>
            </w:pPr>
            <w:r>
              <w:rPr>
                <w:sz w:val="20"/>
              </w:rPr>
              <w:t xml:space="preserve">г. Севастополь, ул. Мира, д. 5</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Поликлиника взрослая</w:t>
            </w:r>
          </w:p>
        </w:tc>
        <w:tc>
          <w:tcPr>
            <w:tcW w:w="1077" w:type="dxa"/>
          </w:tcPr>
          <w:p>
            <w:pPr>
              <w:pStyle w:val="0"/>
              <w:jc w:val="both"/>
            </w:pPr>
            <w:r>
              <w:rPr>
                <w:sz w:val="20"/>
              </w:rPr>
              <w:t xml:space="preserve">Кабинет УЗД</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Система ультразвуковой визуализации универсальная, с питанием от батареи</w:t>
            </w:r>
          </w:p>
        </w:tc>
        <w:tc>
          <w:tcPr>
            <w:tcW w:w="2098" w:type="dxa"/>
          </w:tcPr>
          <w:p>
            <w:pPr>
              <w:pStyle w:val="0"/>
              <w:jc w:val="both"/>
            </w:pPr>
            <w:hyperlink w:history="0" r:id="rId939"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40"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06.2025</w:t>
            </w:r>
          </w:p>
        </w:tc>
      </w:tr>
      <w:tr>
        <w:tc>
          <w:tcPr>
            <w:tcW w:w="567" w:type="dxa"/>
          </w:tcPr>
          <w:p>
            <w:pPr>
              <w:pStyle w:val="0"/>
              <w:jc w:val="both"/>
            </w:pPr>
            <w:r>
              <w:rPr>
                <w:sz w:val="20"/>
              </w:rPr>
              <w:t xml:space="preserve">9</w:t>
            </w:r>
          </w:p>
        </w:tc>
        <w:tc>
          <w:tcPr>
            <w:tcW w:w="1928" w:type="dxa"/>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Здание взрослой поликлиники, г. Инкерман</w:t>
            </w:r>
          </w:p>
        </w:tc>
        <w:tc>
          <w:tcPr>
            <w:tcW w:w="1701" w:type="dxa"/>
          </w:tcPr>
          <w:p>
            <w:pPr>
              <w:pStyle w:val="0"/>
              <w:jc w:val="both"/>
            </w:pPr>
            <w:r>
              <w:rPr>
                <w:sz w:val="20"/>
              </w:rPr>
              <w:t xml:space="preserve">г. Севастополь, г. Инкерман, ул. Умрихина, 16</w:t>
            </w:r>
          </w:p>
        </w:tc>
        <w:tc>
          <w:tcPr>
            <w:tcW w:w="1644" w:type="dxa"/>
          </w:tcPr>
          <w:p>
            <w:pPr>
              <w:pStyle w:val="0"/>
              <w:jc w:val="both"/>
            </w:pPr>
            <w:r>
              <w:rPr>
                <w:sz w:val="20"/>
              </w:rPr>
              <w:t xml:space="preserve">г. Инкерман</w:t>
            </w:r>
          </w:p>
        </w:tc>
        <w:tc>
          <w:tcPr>
            <w:tcW w:w="1191" w:type="dxa"/>
          </w:tcPr>
          <w:p>
            <w:pPr>
              <w:pStyle w:val="0"/>
              <w:jc w:val="center"/>
            </w:pPr>
            <w:r>
              <w:rPr>
                <w:sz w:val="20"/>
              </w:rPr>
              <w:t xml:space="preserve">509992</w:t>
            </w:r>
          </w:p>
        </w:tc>
        <w:tc>
          <w:tcPr>
            <w:tcW w:w="1757" w:type="dxa"/>
          </w:tcPr>
          <w:p>
            <w:pPr>
              <w:pStyle w:val="0"/>
              <w:jc w:val="both"/>
            </w:pPr>
            <w:r>
              <w:rPr>
                <w:sz w:val="20"/>
              </w:rPr>
              <w:t xml:space="preserve">Поликлиника, г. Инкерман</w:t>
            </w:r>
          </w:p>
        </w:tc>
        <w:tc>
          <w:tcPr>
            <w:tcW w:w="1077" w:type="dxa"/>
          </w:tcPr>
          <w:p>
            <w:pPr>
              <w:pStyle w:val="0"/>
              <w:jc w:val="both"/>
            </w:pPr>
            <w:r>
              <w:rPr>
                <w:sz w:val="20"/>
              </w:rPr>
              <w:t xml:space="preserve">Кабинет неотложной помощи</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Система ультразвуковой визуализации универсальная, с питанием от батареи</w:t>
            </w:r>
          </w:p>
        </w:tc>
        <w:tc>
          <w:tcPr>
            <w:tcW w:w="2098" w:type="dxa"/>
          </w:tcPr>
          <w:p>
            <w:pPr>
              <w:pStyle w:val="0"/>
              <w:jc w:val="both"/>
            </w:pPr>
            <w:hyperlink w:history="0" r:id="rId941"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42"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06.2025</w:t>
            </w:r>
          </w:p>
        </w:tc>
      </w:tr>
      <w:tr>
        <w:tc>
          <w:tcPr>
            <w:tcW w:w="567" w:type="dxa"/>
          </w:tcPr>
          <w:p>
            <w:pPr>
              <w:pStyle w:val="0"/>
              <w:jc w:val="both"/>
            </w:pPr>
            <w:r>
              <w:rPr>
                <w:sz w:val="20"/>
              </w:rPr>
              <w:t xml:space="preserve">10</w:t>
            </w:r>
          </w:p>
        </w:tc>
        <w:tc>
          <w:tcPr>
            <w:tcW w:w="1928" w:type="dxa"/>
          </w:tcPr>
          <w:p>
            <w:pPr>
              <w:pStyle w:val="0"/>
              <w:jc w:val="both"/>
            </w:pPr>
            <w:r>
              <w:rPr>
                <w:sz w:val="20"/>
              </w:rPr>
              <w:t xml:space="preserve">Государственное бюджетное учреждение здравоохранения Севастополя "Городская больница N 1 им. Н.И. Пирогова"</w:t>
            </w:r>
          </w:p>
        </w:tc>
        <w:tc>
          <w:tcPr>
            <w:tcW w:w="1474" w:type="dxa"/>
          </w:tcPr>
          <w:p>
            <w:pPr>
              <w:pStyle w:val="0"/>
              <w:jc w:val="center"/>
            </w:pPr>
            <w:r>
              <w:rPr>
                <w:sz w:val="20"/>
              </w:rPr>
              <w:t xml:space="preserve">9204022136</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Поликлиника N 1</w:t>
            </w:r>
          </w:p>
        </w:tc>
        <w:tc>
          <w:tcPr>
            <w:tcW w:w="1701" w:type="dxa"/>
          </w:tcPr>
          <w:p>
            <w:pPr>
              <w:pStyle w:val="0"/>
              <w:jc w:val="both"/>
            </w:pPr>
            <w:r>
              <w:rPr>
                <w:sz w:val="20"/>
              </w:rPr>
              <w:t xml:space="preserve">г. Севастополь, пл. Восставших, 1</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Поликлиника N 1, кабинет неотложной помощи</w:t>
            </w:r>
          </w:p>
        </w:tc>
        <w:tc>
          <w:tcPr>
            <w:tcW w:w="1077" w:type="dxa"/>
          </w:tcPr>
          <w:p>
            <w:pPr>
              <w:pStyle w:val="0"/>
              <w:jc w:val="both"/>
            </w:pPr>
            <w:r>
              <w:rPr>
                <w:sz w:val="20"/>
              </w:rPr>
              <w:t xml:space="preserve">Кабинет неотложной помощи</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Система ультразвуковой визуализации универсальная, с питанием от батареи</w:t>
            </w:r>
          </w:p>
        </w:tc>
        <w:tc>
          <w:tcPr>
            <w:tcW w:w="2098" w:type="dxa"/>
          </w:tcPr>
          <w:p>
            <w:pPr>
              <w:pStyle w:val="0"/>
              <w:jc w:val="both"/>
            </w:pPr>
            <w:hyperlink w:history="0" r:id="rId943"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44"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06.2025</w:t>
            </w:r>
          </w:p>
        </w:tc>
      </w:tr>
      <w:tr>
        <w:tc>
          <w:tcPr>
            <w:tcW w:w="567" w:type="dxa"/>
          </w:tcPr>
          <w:p>
            <w:pPr>
              <w:pStyle w:val="0"/>
              <w:jc w:val="both"/>
            </w:pPr>
            <w:r>
              <w:rPr>
                <w:sz w:val="20"/>
              </w:rPr>
              <w:t xml:space="preserve">11</w:t>
            </w:r>
          </w:p>
        </w:tc>
        <w:tc>
          <w:tcPr>
            <w:tcW w:w="1928" w:type="dxa"/>
          </w:tcPr>
          <w:p>
            <w:pPr>
              <w:pStyle w:val="0"/>
              <w:jc w:val="both"/>
            </w:pPr>
            <w:r>
              <w:rPr>
                <w:sz w:val="20"/>
              </w:rPr>
              <w:t xml:space="preserve">Государственное бюджетное учреждение здравоохранения Севастополя "Городская больница N 1 им. Н.И. Пирогова"</w:t>
            </w:r>
          </w:p>
        </w:tc>
        <w:tc>
          <w:tcPr>
            <w:tcW w:w="1474" w:type="dxa"/>
          </w:tcPr>
          <w:p>
            <w:pPr>
              <w:pStyle w:val="0"/>
              <w:jc w:val="center"/>
            </w:pPr>
            <w:r>
              <w:rPr>
                <w:sz w:val="20"/>
              </w:rPr>
              <w:t xml:space="preserve">9204022136</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Поликлиника N 2</w:t>
            </w:r>
          </w:p>
        </w:tc>
        <w:tc>
          <w:tcPr>
            <w:tcW w:w="1701" w:type="dxa"/>
          </w:tcPr>
          <w:p>
            <w:pPr>
              <w:pStyle w:val="0"/>
              <w:jc w:val="both"/>
            </w:pPr>
            <w:r>
              <w:rPr>
                <w:sz w:val="20"/>
              </w:rPr>
              <w:t xml:space="preserve">г. Севастополь, ул. Ерошенко, 11</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Поликлиника N 2, кабинет неотложной помощи</w:t>
            </w:r>
          </w:p>
        </w:tc>
        <w:tc>
          <w:tcPr>
            <w:tcW w:w="1077" w:type="dxa"/>
          </w:tcPr>
          <w:p>
            <w:pPr>
              <w:pStyle w:val="0"/>
              <w:jc w:val="both"/>
            </w:pPr>
            <w:r>
              <w:rPr>
                <w:sz w:val="20"/>
              </w:rPr>
              <w:t xml:space="preserve">Кабинет неотложной помощи</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Система ультразвуковой визуализации универсальная, с питанием от батареи</w:t>
            </w:r>
          </w:p>
        </w:tc>
        <w:tc>
          <w:tcPr>
            <w:tcW w:w="2098" w:type="dxa"/>
          </w:tcPr>
          <w:p>
            <w:pPr>
              <w:pStyle w:val="0"/>
              <w:jc w:val="both"/>
            </w:pPr>
            <w:hyperlink w:history="0" r:id="rId945"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46"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06.2025</w:t>
            </w:r>
          </w:p>
        </w:tc>
      </w:tr>
      <w:tr>
        <w:tc>
          <w:tcPr>
            <w:tcW w:w="567" w:type="dxa"/>
          </w:tcPr>
          <w:p>
            <w:pPr>
              <w:pStyle w:val="0"/>
              <w:jc w:val="both"/>
            </w:pPr>
            <w:r>
              <w:rPr>
                <w:sz w:val="20"/>
              </w:rPr>
              <w:t xml:space="preserve">12</w:t>
            </w:r>
          </w:p>
        </w:tc>
        <w:tc>
          <w:tcPr>
            <w:tcW w:w="1928" w:type="dxa"/>
          </w:tcPr>
          <w:p>
            <w:pPr>
              <w:pStyle w:val="0"/>
              <w:jc w:val="both"/>
            </w:pPr>
            <w:r>
              <w:rPr>
                <w:sz w:val="20"/>
              </w:rPr>
              <w:t xml:space="preserve">Государственное бюджетное учреждение здравоохранения Севастополя "Городская больница N 1 им. Н.И. Пирогова"</w:t>
            </w:r>
          </w:p>
        </w:tc>
        <w:tc>
          <w:tcPr>
            <w:tcW w:w="1474" w:type="dxa"/>
          </w:tcPr>
          <w:p>
            <w:pPr>
              <w:pStyle w:val="0"/>
              <w:jc w:val="center"/>
            </w:pPr>
            <w:r>
              <w:rPr>
                <w:sz w:val="20"/>
              </w:rPr>
              <w:t xml:space="preserve">9204022136</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Поликлиника N 3</w:t>
            </w:r>
          </w:p>
        </w:tc>
        <w:tc>
          <w:tcPr>
            <w:tcW w:w="1701" w:type="dxa"/>
          </w:tcPr>
          <w:p>
            <w:pPr>
              <w:pStyle w:val="0"/>
              <w:jc w:val="both"/>
            </w:pPr>
            <w:r>
              <w:rPr>
                <w:sz w:val="20"/>
              </w:rPr>
              <w:t xml:space="preserve">г. Севастополь, ул. Бориса Михайлова, 4</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Поликлиника N 4, кабинет неотложной медицинской помощи</w:t>
            </w:r>
          </w:p>
        </w:tc>
        <w:tc>
          <w:tcPr>
            <w:tcW w:w="1077" w:type="dxa"/>
          </w:tcPr>
          <w:p>
            <w:pPr>
              <w:pStyle w:val="0"/>
              <w:jc w:val="both"/>
            </w:pPr>
            <w:r>
              <w:rPr>
                <w:sz w:val="20"/>
              </w:rPr>
              <w:t xml:space="preserve">Кабинет неотложной помощи</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Система ультразвуковой визуализации универсальная, с питанием от батареи</w:t>
            </w:r>
          </w:p>
        </w:tc>
        <w:tc>
          <w:tcPr>
            <w:tcW w:w="2098" w:type="dxa"/>
          </w:tcPr>
          <w:p>
            <w:pPr>
              <w:pStyle w:val="0"/>
              <w:jc w:val="both"/>
            </w:pPr>
            <w:hyperlink w:history="0" r:id="rId947"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48"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06.2025</w:t>
            </w:r>
          </w:p>
        </w:tc>
      </w:tr>
      <w:tr>
        <w:tblPrEx>
          <w:tblBorders>
            <w:insideH w:val="nil"/>
          </w:tblBorders>
        </w:tblPrEx>
        <w:tc>
          <w:tcPr>
            <w:tcW w:w="567" w:type="dxa"/>
            <w:tcBorders>
              <w:bottom w:val="nil"/>
            </w:tcBorders>
          </w:tcPr>
          <w:p>
            <w:pPr>
              <w:pStyle w:val="0"/>
              <w:jc w:val="both"/>
            </w:pPr>
            <w:r>
              <w:rPr>
                <w:sz w:val="20"/>
              </w:rPr>
              <w:t xml:space="preserve">13</w:t>
            </w:r>
          </w:p>
        </w:tc>
        <w:tc>
          <w:tcPr>
            <w:tcW w:w="1928" w:type="dxa"/>
            <w:tcBorders>
              <w:bottom w:val="nil"/>
            </w:tcBorders>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Borders>
              <w:bottom w:val="nil"/>
            </w:tcBorders>
          </w:tcPr>
          <w:p>
            <w:pPr>
              <w:pStyle w:val="0"/>
              <w:jc w:val="center"/>
            </w:pPr>
            <w:r>
              <w:rPr>
                <w:sz w:val="20"/>
              </w:rPr>
              <w:t xml:space="preserve">9202002504</w:t>
            </w:r>
          </w:p>
        </w:tc>
        <w:tc>
          <w:tcPr>
            <w:tcW w:w="1247" w:type="dxa"/>
            <w:tcBorders>
              <w:bottom w:val="nil"/>
            </w:tcBorders>
          </w:tcPr>
          <w:p>
            <w:pPr>
              <w:pStyle w:val="0"/>
              <w:jc w:val="both"/>
            </w:pPr>
            <w:r>
              <w:rPr>
                <w:sz w:val="20"/>
              </w:rPr>
              <w:t xml:space="preserve">Государственная</w:t>
            </w:r>
          </w:p>
        </w:tc>
        <w:tc>
          <w:tcPr>
            <w:tcW w:w="1587" w:type="dxa"/>
            <w:tcBorders>
              <w:bottom w:val="nil"/>
            </w:tcBorders>
          </w:tcPr>
          <w:p>
            <w:pPr>
              <w:pStyle w:val="0"/>
              <w:jc w:val="both"/>
            </w:pPr>
            <w:r>
              <w:rPr>
                <w:sz w:val="20"/>
              </w:rPr>
              <w:t xml:space="preserve">Поликлиника для взрослых</w:t>
            </w:r>
          </w:p>
        </w:tc>
        <w:tc>
          <w:tcPr>
            <w:tcW w:w="1701" w:type="dxa"/>
            <w:tcBorders>
              <w:bottom w:val="nil"/>
            </w:tcBorders>
          </w:tcPr>
          <w:p>
            <w:pPr>
              <w:pStyle w:val="0"/>
              <w:jc w:val="both"/>
            </w:pPr>
            <w:r>
              <w:rPr>
                <w:sz w:val="20"/>
              </w:rPr>
              <w:t xml:space="preserve">Г. Севастополь, ул. Мира, д. 5</w:t>
            </w:r>
          </w:p>
        </w:tc>
        <w:tc>
          <w:tcPr>
            <w:tcW w:w="1644" w:type="dxa"/>
            <w:tcBorders>
              <w:bottom w:val="nil"/>
            </w:tcBorders>
          </w:tcPr>
          <w:p>
            <w:pPr>
              <w:pStyle w:val="0"/>
              <w:jc w:val="both"/>
            </w:pPr>
            <w:r>
              <w:rPr>
                <w:sz w:val="20"/>
              </w:rPr>
              <w:t xml:space="preserve">Г. Севастополь</w:t>
            </w:r>
          </w:p>
        </w:tc>
        <w:tc>
          <w:tcPr>
            <w:tcW w:w="1191" w:type="dxa"/>
            <w:tcBorders>
              <w:bottom w:val="nil"/>
            </w:tcBorders>
          </w:tcPr>
          <w:p>
            <w:pPr>
              <w:pStyle w:val="0"/>
              <w:jc w:val="center"/>
            </w:pPr>
            <w:r>
              <w:rPr>
                <w:sz w:val="20"/>
              </w:rPr>
              <w:t xml:space="preserve">509992</w:t>
            </w:r>
          </w:p>
        </w:tc>
        <w:tc>
          <w:tcPr>
            <w:tcW w:w="1757" w:type="dxa"/>
            <w:tcBorders>
              <w:bottom w:val="nil"/>
            </w:tcBorders>
          </w:tcPr>
          <w:p>
            <w:pPr>
              <w:pStyle w:val="0"/>
              <w:jc w:val="both"/>
            </w:pPr>
            <w:r>
              <w:rPr>
                <w:sz w:val="20"/>
              </w:rPr>
              <w:t xml:space="preserve">Поликлиника взрослая</w:t>
            </w:r>
          </w:p>
        </w:tc>
        <w:tc>
          <w:tcPr>
            <w:tcW w:w="1077" w:type="dxa"/>
            <w:tcBorders>
              <w:bottom w:val="nil"/>
            </w:tcBorders>
          </w:tcPr>
          <w:p>
            <w:pPr>
              <w:pStyle w:val="0"/>
              <w:jc w:val="both"/>
            </w:pPr>
            <w:r>
              <w:rPr>
                <w:sz w:val="20"/>
              </w:rPr>
              <w:t xml:space="preserve">Кабинет УЗД</w:t>
            </w:r>
          </w:p>
        </w:tc>
        <w:tc>
          <w:tcPr>
            <w:tcW w:w="1247" w:type="dxa"/>
            <w:tcBorders>
              <w:bottom w:val="nil"/>
            </w:tcBorders>
          </w:tcPr>
          <w:p>
            <w:pPr>
              <w:pStyle w:val="0"/>
              <w:jc w:val="both"/>
            </w:pPr>
            <w:r>
              <w:rPr>
                <w:sz w:val="20"/>
              </w:rPr>
              <w:t xml:space="preserve">Амбулаторно</w:t>
            </w:r>
          </w:p>
        </w:tc>
        <w:tc>
          <w:tcPr>
            <w:tcW w:w="1928" w:type="dxa"/>
            <w:tcBorders>
              <w:bottom w:val="nil"/>
            </w:tcBorders>
          </w:tcPr>
          <w:p>
            <w:pPr>
              <w:pStyle w:val="0"/>
              <w:jc w:val="both"/>
            </w:pPr>
            <w:r>
              <w:rPr>
                <w:sz w:val="20"/>
              </w:rPr>
              <w:t xml:space="preserve">Система ультразвуковой визуализации универсальная, с питанием от батареи</w:t>
            </w:r>
          </w:p>
        </w:tc>
        <w:tc>
          <w:tcPr>
            <w:tcW w:w="2098" w:type="dxa"/>
            <w:tcBorders>
              <w:bottom w:val="nil"/>
            </w:tcBorders>
          </w:tcPr>
          <w:p>
            <w:pPr>
              <w:pStyle w:val="0"/>
              <w:jc w:val="both"/>
            </w:pPr>
            <w:hyperlink w:history="0" r:id="rId949"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50"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Borders>
              <w:bottom w:val="nil"/>
            </w:tcBorders>
          </w:tcPr>
          <w:p>
            <w:pPr>
              <w:pStyle w:val="0"/>
              <w:jc w:val="center"/>
            </w:pPr>
            <w:r>
              <w:rPr>
                <w:sz w:val="20"/>
              </w:rPr>
              <w:t xml:space="preserve">1</w:t>
            </w:r>
          </w:p>
        </w:tc>
        <w:tc>
          <w:tcPr>
            <w:tcW w:w="1077" w:type="dxa"/>
            <w:tcBorders>
              <w:bottom w:val="nil"/>
            </w:tcBorders>
          </w:tcPr>
          <w:p>
            <w:pPr>
              <w:pStyle w:val="0"/>
              <w:jc w:val="both"/>
            </w:pPr>
            <w:r>
              <w:rPr>
                <w:sz w:val="20"/>
              </w:rPr>
              <w:t xml:space="preserve">12.2021</w:t>
            </w:r>
          </w:p>
        </w:tc>
      </w:tr>
      <w:tr>
        <w:tblPrEx>
          <w:tblBorders>
            <w:insideH w:val="nil"/>
          </w:tblBorders>
        </w:tblPrEx>
        <w:tc>
          <w:tcPr>
            <w:gridSpan w:val="15"/>
            <w:tcW w:w="21543" w:type="dxa"/>
            <w:tcBorders>
              <w:top w:val="nil"/>
            </w:tcBorders>
          </w:tcPr>
          <w:p>
            <w:pPr>
              <w:pStyle w:val="0"/>
              <w:jc w:val="both"/>
            </w:pPr>
            <w:r>
              <w:rPr>
                <w:sz w:val="20"/>
              </w:rPr>
              <w:t xml:space="preserve">(п. 13 в ред. </w:t>
            </w:r>
            <w:hyperlink w:history="0" r:id="rId951" w:tooltip="Постановление Правительства Севастополя от 08.12.2022 N 63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08.12.2022 N 638-ПП)</w:t>
            </w:r>
          </w:p>
        </w:tc>
      </w:tr>
      <w:tr>
        <w:tc>
          <w:tcPr>
            <w:tcW w:w="567" w:type="dxa"/>
          </w:tcPr>
          <w:p>
            <w:pPr>
              <w:pStyle w:val="0"/>
              <w:jc w:val="both"/>
            </w:pPr>
            <w:r>
              <w:rPr>
                <w:sz w:val="20"/>
              </w:rPr>
              <w:t xml:space="preserve">14</w:t>
            </w:r>
          </w:p>
        </w:tc>
        <w:tc>
          <w:tcPr>
            <w:tcW w:w="1928" w:type="dxa"/>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Поликлиника для взрослых</w:t>
            </w:r>
          </w:p>
        </w:tc>
        <w:tc>
          <w:tcPr>
            <w:tcW w:w="1701" w:type="dxa"/>
          </w:tcPr>
          <w:p>
            <w:pPr>
              <w:pStyle w:val="0"/>
              <w:jc w:val="both"/>
            </w:pPr>
            <w:r>
              <w:rPr>
                <w:sz w:val="20"/>
              </w:rPr>
              <w:t xml:space="preserve">г. Севастополь, ул. Мира, д. 5</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Поликлиника взрослая</w:t>
            </w:r>
          </w:p>
        </w:tc>
        <w:tc>
          <w:tcPr>
            <w:tcW w:w="1077" w:type="dxa"/>
          </w:tcPr>
          <w:p>
            <w:pPr>
              <w:pStyle w:val="0"/>
              <w:jc w:val="both"/>
            </w:pPr>
            <w:r>
              <w:rPr>
                <w:sz w:val="20"/>
              </w:rPr>
              <w:t xml:space="preserve">Кабинет врача - акушера-гинеколога</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Кольпоскоп</w:t>
            </w:r>
          </w:p>
        </w:tc>
        <w:tc>
          <w:tcPr>
            <w:tcW w:w="2098" w:type="dxa"/>
          </w:tcPr>
          <w:p>
            <w:pPr>
              <w:pStyle w:val="0"/>
              <w:jc w:val="both"/>
            </w:pPr>
            <w:hyperlink w:history="0" r:id="rId952"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53" w:tooltip="Приказ Минздрава России от 20.10.2020 N 1130н &quot;Об утверждении Порядка оказания медицинской помощи по профилю &quot;акушерство и гинекология&quot; (Зарегистрировано в Минюсте России 12.11.2020 N 60869) {КонсультантПлюс}">
              <w:r>
                <w:rPr>
                  <w:sz w:val="20"/>
                  <w:color w:val="0000ff"/>
                </w:rPr>
                <w:t xml:space="preserve">Приказ</w:t>
              </w:r>
            </w:hyperlink>
            <w:r>
              <w:rPr>
                <w:sz w:val="20"/>
              </w:rPr>
              <w:t xml:space="preserve"> Министерства здравоохранения Российской Федерации от 20 октября 2020 г. N 1130н "Об утверждении Порядка оказания медицинской помощи по профилю "акушерство и гинекология"</w:t>
            </w:r>
          </w:p>
        </w:tc>
        <w:tc>
          <w:tcPr>
            <w:tcW w:w="1020" w:type="dxa"/>
          </w:tcPr>
          <w:p>
            <w:pPr>
              <w:pStyle w:val="0"/>
              <w:jc w:val="center"/>
            </w:pPr>
            <w:r>
              <w:rPr>
                <w:sz w:val="20"/>
              </w:rPr>
              <w:t xml:space="preserve">1</w:t>
            </w:r>
          </w:p>
        </w:tc>
        <w:tc>
          <w:tcPr>
            <w:tcW w:w="1077" w:type="dxa"/>
          </w:tcPr>
          <w:p>
            <w:pPr>
              <w:pStyle w:val="0"/>
              <w:jc w:val="both"/>
            </w:pPr>
            <w:r>
              <w:rPr>
                <w:sz w:val="20"/>
              </w:rPr>
              <w:t xml:space="preserve">12.2022</w:t>
            </w:r>
          </w:p>
        </w:tc>
      </w:tr>
      <w:tr>
        <w:tc>
          <w:tcPr>
            <w:tcW w:w="567" w:type="dxa"/>
          </w:tcPr>
          <w:p>
            <w:pPr>
              <w:pStyle w:val="0"/>
              <w:jc w:val="both"/>
            </w:pPr>
            <w:r>
              <w:rPr>
                <w:sz w:val="20"/>
              </w:rPr>
              <w:t xml:space="preserve">15</w:t>
            </w:r>
          </w:p>
        </w:tc>
        <w:tc>
          <w:tcPr>
            <w:tcW w:w="1928" w:type="dxa"/>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ФАП, с. Хмельницкое</w:t>
            </w:r>
          </w:p>
        </w:tc>
        <w:tc>
          <w:tcPr>
            <w:tcW w:w="1701" w:type="dxa"/>
          </w:tcPr>
          <w:p>
            <w:pPr>
              <w:pStyle w:val="0"/>
              <w:jc w:val="both"/>
            </w:pPr>
            <w:r>
              <w:rPr>
                <w:sz w:val="20"/>
              </w:rPr>
              <w:t xml:space="preserve">с. Хмельницкое, Сумской пр., 5а</w:t>
            </w:r>
          </w:p>
        </w:tc>
        <w:tc>
          <w:tcPr>
            <w:tcW w:w="1644" w:type="dxa"/>
          </w:tcPr>
          <w:p>
            <w:pPr>
              <w:pStyle w:val="0"/>
              <w:jc w:val="both"/>
            </w:pPr>
            <w:r>
              <w:rPr>
                <w:sz w:val="20"/>
              </w:rPr>
              <w:t xml:space="preserve">г. Севастополь, с. Хмельницкое</w:t>
            </w:r>
          </w:p>
        </w:tc>
        <w:tc>
          <w:tcPr>
            <w:tcW w:w="1191" w:type="dxa"/>
          </w:tcPr>
          <w:p>
            <w:pPr>
              <w:pStyle w:val="0"/>
              <w:jc w:val="center"/>
            </w:pPr>
            <w:r>
              <w:rPr>
                <w:sz w:val="20"/>
              </w:rPr>
              <w:t xml:space="preserve">679</w:t>
            </w:r>
          </w:p>
        </w:tc>
        <w:tc>
          <w:tcPr>
            <w:tcW w:w="1757" w:type="dxa"/>
          </w:tcPr>
          <w:p>
            <w:pPr>
              <w:pStyle w:val="0"/>
              <w:jc w:val="both"/>
            </w:pPr>
            <w:r>
              <w:rPr>
                <w:sz w:val="20"/>
              </w:rPr>
              <w:t xml:space="preserve">ФАП</w:t>
            </w:r>
          </w:p>
        </w:tc>
        <w:tc>
          <w:tcPr>
            <w:tcW w:w="1077" w:type="dxa"/>
          </w:tcPr>
          <w:p>
            <w:pPr>
              <w:pStyle w:val="0"/>
              <w:jc w:val="both"/>
            </w:pPr>
            <w:r>
              <w:rPr>
                <w:sz w:val="20"/>
              </w:rPr>
              <w:t xml:space="preserve">Кабинет фельдшера</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Тонометр портативный для измерения внутриглазного давления</w:t>
            </w:r>
          </w:p>
        </w:tc>
        <w:tc>
          <w:tcPr>
            <w:tcW w:w="2098" w:type="dxa"/>
          </w:tcPr>
          <w:p>
            <w:pPr>
              <w:pStyle w:val="0"/>
              <w:jc w:val="both"/>
            </w:pPr>
            <w:hyperlink w:history="0" r:id="rId954"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55"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12.2022</w:t>
            </w:r>
          </w:p>
        </w:tc>
      </w:tr>
      <w:tr>
        <w:tc>
          <w:tcPr>
            <w:tcW w:w="567" w:type="dxa"/>
          </w:tcPr>
          <w:p>
            <w:pPr>
              <w:pStyle w:val="0"/>
              <w:jc w:val="both"/>
            </w:pPr>
            <w:r>
              <w:rPr>
                <w:sz w:val="20"/>
              </w:rPr>
              <w:t xml:space="preserve">16</w:t>
            </w:r>
          </w:p>
        </w:tc>
        <w:tc>
          <w:tcPr>
            <w:tcW w:w="1928" w:type="dxa"/>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ФАП, с. Первомайское</w:t>
            </w:r>
          </w:p>
        </w:tc>
        <w:tc>
          <w:tcPr>
            <w:tcW w:w="1701" w:type="dxa"/>
          </w:tcPr>
          <w:p>
            <w:pPr>
              <w:pStyle w:val="0"/>
              <w:jc w:val="both"/>
            </w:pPr>
            <w:r>
              <w:rPr>
                <w:sz w:val="20"/>
              </w:rPr>
              <w:t xml:space="preserve">с. Первомайское, ул. Разъездная, 2а</w:t>
            </w:r>
          </w:p>
        </w:tc>
        <w:tc>
          <w:tcPr>
            <w:tcW w:w="1644" w:type="dxa"/>
          </w:tcPr>
          <w:p>
            <w:pPr>
              <w:pStyle w:val="0"/>
              <w:jc w:val="both"/>
            </w:pPr>
            <w:r>
              <w:rPr>
                <w:sz w:val="20"/>
              </w:rPr>
              <w:t xml:space="preserve">г. Севастополь, с. Первомайское</w:t>
            </w:r>
          </w:p>
        </w:tc>
        <w:tc>
          <w:tcPr>
            <w:tcW w:w="1191" w:type="dxa"/>
          </w:tcPr>
          <w:p>
            <w:pPr>
              <w:pStyle w:val="0"/>
              <w:jc w:val="center"/>
            </w:pPr>
            <w:r>
              <w:rPr>
                <w:sz w:val="20"/>
              </w:rPr>
              <w:t xml:space="preserve">936</w:t>
            </w:r>
          </w:p>
        </w:tc>
        <w:tc>
          <w:tcPr>
            <w:tcW w:w="1757" w:type="dxa"/>
          </w:tcPr>
          <w:p>
            <w:pPr>
              <w:pStyle w:val="0"/>
              <w:jc w:val="both"/>
            </w:pPr>
            <w:r>
              <w:rPr>
                <w:sz w:val="20"/>
              </w:rPr>
              <w:t xml:space="preserve">ФАП</w:t>
            </w:r>
          </w:p>
        </w:tc>
        <w:tc>
          <w:tcPr>
            <w:tcW w:w="1077" w:type="dxa"/>
          </w:tcPr>
          <w:p>
            <w:pPr>
              <w:pStyle w:val="0"/>
              <w:jc w:val="both"/>
            </w:pPr>
            <w:r>
              <w:rPr>
                <w:sz w:val="20"/>
              </w:rPr>
              <w:t xml:space="preserve">Кабинет фельдшера</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Тонометр портативный для измерения внутриглазного давления</w:t>
            </w:r>
          </w:p>
        </w:tc>
        <w:tc>
          <w:tcPr>
            <w:tcW w:w="2098" w:type="dxa"/>
          </w:tcPr>
          <w:p>
            <w:pPr>
              <w:pStyle w:val="0"/>
              <w:jc w:val="both"/>
            </w:pPr>
            <w:hyperlink w:history="0" r:id="rId956"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57"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12.2022</w:t>
            </w:r>
          </w:p>
        </w:tc>
      </w:tr>
      <w:tr>
        <w:tc>
          <w:tcPr>
            <w:tcW w:w="567" w:type="dxa"/>
          </w:tcPr>
          <w:p>
            <w:pPr>
              <w:pStyle w:val="0"/>
              <w:jc w:val="both"/>
            </w:pPr>
            <w:r>
              <w:rPr>
                <w:sz w:val="20"/>
              </w:rPr>
              <w:t xml:space="preserve">17</w:t>
            </w:r>
          </w:p>
        </w:tc>
        <w:tc>
          <w:tcPr>
            <w:tcW w:w="1928" w:type="dxa"/>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ФАП, с. Родное</w:t>
            </w:r>
          </w:p>
        </w:tc>
        <w:tc>
          <w:tcPr>
            <w:tcW w:w="1701" w:type="dxa"/>
          </w:tcPr>
          <w:p>
            <w:pPr>
              <w:pStyle w:val="0"/>
              <w:jc w:val="both"/>
            </w:pPr>
            <w:r>
              <w:rPr>
                <w:sz w:val="20"/>
              </w:rPr>
              <w:t xml:space="preserve">с. Родное, ул. Центральная, 23а</w:t>
            </w:r>
          </w:p>
        </w:tc>
        <w:tc>
          <w:tcPr>
            <w:tcW w:w="1644" w:type="dxa"/>
          </w:tcPr>
          <w:p>
            <w:pPr>
              <w:pStyle w:val="0"/>
              <w:jc w:val="both"/>
            </w:pPr>
            <w:r>
              <w:rPr>
                <w:sz w:val="20"/>
              </w:rPr>
              <w:t xml:space="preserve">г. Севастополь, с. Родное</w:t>
            </w:r>
          </w:p>
        </w:tc>
        <w:tc>
          <w:tcPr>
            <w:tcW w:w="1191" w:type="dxa"/>
          </w:tcPr>
          <w:p>
            <w:pPr>
              <w:pStyle w:val="0"/>
              <w:jc w:val="center"/>
            </w:pPr>
            <w:r>
              <w:rPr>
                <w:sz w:val="20"/>
              </w:rPr>
              <w:t xml:space="preserve">709</w:t>
            </w:r>
          </w:p>
        </w:tc>
        <w:tc>
          <w:tcPr>
            <w:tcW w:w="1757" w:type="dxa"/>
          </w:tcPr>
          <w:p>
            <w:pPr>
              <w:pStyle w:val="0"/>
              <w:jc w:val="both"/>
            </w:pPr>
            <w:r>
              <w:rPr>
                <w:sz w:val="20"/>
              </w:rPr>
              <w:t xml:space="preserve">ФАП</w:t>
            </w:r>
          </w:p>
        </w:tc>
        <w:tc>
          <w:tcPr>
            <w:tcW w:w="1077" w:type="dxa"/>
          </w:tcPr>
          <w:p>
            <w:pPr>
              <w:pStyle w:val="0"/>
              <w:jc w:val="both"/>
            </w:pPr>
            <w:r>
              <w:rPr>
                <w:sz w:val="20"/>
              </w:rPr>
              <w:t xml:space="preserve">Кабинет фельдшера</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Тонометр портативный для измерения внутриглазного давления</w:t>
            </w:r>
          </w:p>
        </w:tc>
        <w:tc>
          <w:tcPr>
            <w:tcW w:w="2098" w:type="dxa"/>
          </w:tcPr>
          <w:p>
            <w:pPr>
              <w:pStyle w:val="0"/>
              <w:jc w:val="both"/>
            </w:pPr>
            <w:hyperlink w:history="0" r:id="rId958"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59"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12.2022</w:t>
            </w:r>
          </w:p>
        </w:tc>
      </w:tr>
      <w:tr>
        <w:tc>
          <w:tcPr>
            <w:tcW w:w="567" w:type="dxa"/>
          </w:tcPr>
          <w:p>
            <w:pPr>
              <w:pStyle w:val="0"/>
              <w:jc w:val="both"/>
            </w:pPr>
            <w:r>
              <w:rPr>
                <w:sz w:val="20"/>
              </w:rPr>
              <w:t xml:space="preserve">18</w:t>
            </w:r>
          </w:p>
        </w:tc>
        <w:tc>
          <w:tcPr>
            <w:tcW w:w="1928" w:type="dxa"/>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ФАП, с. Передовое</w:t>
            </w:r>
          </w:p>
        </w:tc>
        <w:tc>
          <w:tcPr>
            <w:tcW w:w="1701" w:type="dxa"/>
          </w:tcPr>
          <w:p>
            <w:pPr>
              <w:pStyle w:val="0"/>
              <w:jc w:val="both"/>
            </w:pPr>
            <w:r>
              <w:rPr>
                <w:sz w:val="20"/>
              </w:rPr>
              <w:t xml:space="preserve">с. Передовое, ул. Хромченко, 16</w:t>
            </w:r>
          </w:p>
        </w:tc>
        <w:tc>
          <w:tcPr>
            <w:tcW w:w="1644" w:type="dxa"/>
          </w:tcPr>
          <w:p>
            <w:pPr>
              <w:pStyle w:val="0"/>
              <w:jc w:val="both"/>
            </w:pPr>
            <w:r>
              <w:rPr>
                <w:sz w:val="20"/>
              </w:rPr>
              <w:t xml:space="preserve">г. Севастополь, с. Передовое</w:t>
            </w:r>
          </w:p>
        </w:tc>
        <w:tc>
          <w:tcPr>
            <w:tcW w:w="1191" w:type="dxa"/>
          </w:tcPr>
          <w:p>
            <w:pPr>
              <w:pStyle w:val="0"/>
              <w:jc w:val="center"/>
            </w:pPr>
            <w:r>
              <w:rPr>
                <w:sz w:val="20"/>
              </w:rPr>
              <w:t xml:space="preserve">673</w:t>
            </w:r>
          </w:p>
        </w:tc>
        <w:tc>
          <w:tcPr>
            <w:tcW w:w="1757" w:type="dxa"/>
          </w:tcPr>
          <w:p>
            <w:pPr>
              <w:pStyle w:val="0"/>
              <w:jc w:val="both"/>
            </w:pPr>
            <w:r>
              <w:rPr>
                <w:sz w:val="20"/>
              </w:rPr>
              <w:t xml:space="preserve">ФАП</w:t>
            </w:r>
          </w:p>
        </w:tc>
        <w:tc>
          <w:tcPr>
            <w:tcW w:w="1077" w:type="dxa"/>
          </w:tcPr>
          <w:p>
            <w:pPr>
              <w:pStyle w:val="0"/>
              <w:jc w:val="both"/>
            </w:pPr>
            <w:r>
              <w:rPr>
                <w:sz w:val="20"/>
              </w:rPr>
              <w:t xml:space="preserve">Кабинет фельдшера</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Тонометр портативный для измерения внутриглазного давления</w:t>
            </w:r>
          </w:p>
        </w:tc>
        <w:tc>
          <w:tcPr>
            <w:tcW w:w="2098" w:type="dxa"/>
          </w:tcPr>
          <w:p>
            <w:pPr>
              <w:pStyle w:val="0"/>
              <w:jc w:val="both"/>
            </w:pPr>
            <w:hyperlink w:history="0" r:id="rId960"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61"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12.2022</w:t>
            </w:r>
          </w:p>
        </w:tc>
      </w:tr>
      <w:tr>
        <w:tc>
          <w:tcPr>
            <w:tcW w:w="567" w:type="dxa"/>
          </w:tcPr>
          <w:p>
            <w:pPr>
              <w:pStyle w:val="0"/>
              <w:jc w:val="both"/>
            </w:pPr>
            <w:r>
              <w:rPr>
                <w:sz w:val="20"/>
              </w:rPr>
              <w:t xml:space="preserve">19</w:t>
            </w:r>
          </w:p>
        </w:tc>
        <w:tc>
          <w:tcPr>
            <w:tcW w:w="1928" w:type="dxa"/>
          </w:tcPr>
          <w:p>
            <w:pPr>
              <w:pStyle w:val="0"/>
              <w:jc w:val="both"/>
            </w:pPr>
            <w:r>
              <w:rPr>
                <w:sz w:val="20"/>
              </w:rPr>
              <w:t xml:space="preserve">Государственное бюджетное учреждение здравоохранения Севастополя "Севастопольская городская больница N 9"</w:t>
            </w:r>
          </w:p>
        </w:tc>
        <w:tc>
          <w:tcPr>
            <w:tcW w:w="1474" w:type="dxa"/>
          </w:tcPr>
          <w:p>
            <w:pPr>
              <w:pStyle w:val="0"/>
              <w:jc w:val="center"/>
            </w:pPr>
            <w:r>
              <w:rPr>
                <w:sz w:val="20"/>
              </w:rPr>
              <w:t xml:space="preserve">9202002504</w:t>
            </w:r>
          </w:p>
        </w:tc>
        <w:tc>
          <w:tcPr>
            <w:tcW w:w="1247" w:type="dxa"/>
          </w:tcPr>
          <w:p>
            <w:pPr>
              <w:pStyle w:val="0"/>
              <w:jc w:val="both"/>
            </w:pPr>
            <w:r>
              <w:rPr>
                <w:sz w:val="20"/>
              </w:rPr>
              <w:t xml:space="preserve">Государственная</w:t>
            </w:r>
          </w:p>
        </w:tc>
        <w:tc>
          <w:tcPr>
            <w:tcW w:w="1587" w:type="dxa"/>
          </w:tcPr>
          <w:p>
            <w:pPr>
              <w:pStyle w:val="0"/>
              <w:jc w:val="both"/>
            </w:pPr>
            <w:r>
              <w:rPr>
                <w:sz w:val="20"/>
              </w:rPr>
              <w:t xml:space="preserve">Здание детской поликлиники</w:t>
            </w:r>
          </w:p>
        </w:tc>
        <w:tc>
          <w:tcPr>
            <w:tcW w:w="1701" w:type="dxa"/>
          </w:tcPr>
          <w:p>
            <w:pPr>
              <w:pStyle w:val="0"/>
              <w:jc w:val="both"/>
            </w:pPr>
            <w:r>
              <w:rPr>
                <w:sz w:val="20"/>
              </w:rPr>
              <w:t xml:space="preserve">г. Севастополь, Умрихина, 8</w:t>
            </w:r>
          </w:p>
        </w:tc>
        <w:tc>
          <w:tcPr>
            <w:tcW w:w="1644" w:type="dxa"/>
          </w:tcPr>
          <w:p>
            <w:pPr>
              <w:pStyle w:val="0"/>
              <w:jc w:val="both"/>
            </w:pPr>
            <w:r>
              <w:rPr>
                <w:sz w:val="20"/>
              </w:rPr>
              <w:t xml:space="preserve">г. Севастополь</w:t>
            </w:r>
          </w:p>
        </w:tc>
        <w:tc>
          <w:tcPr>
            <w:tcW w:w="1191" w:type="dxa"/>
          </w:tcPr>
          <w:p>
            <w:pPr>
              <w:pStyle w:val="0"/>
              <w:jc w:val="center"/>
            </w:pPr>
            <w:r>
              <w:rPr>
                <w:sz w:val="20"/>
              </w:rPr>
              <w:t xml:space="preserve">509992</w:t>
            </w:r>
          </w:p>
        </w:tc>
        <w:tc>
          <w:tcPr>
            <w:tcW w:w="1757" w:type="dxa"/>
          </w:tcPr>
          <w:p>
            <w:pPr>
              <w:pStyle w:val="0"/>
              <w:jc w:val="both"/>
            </w:pPr>
            <w:r>
              <w:rPr>
                <w:sz w:val="20"/>
              </w:rPr>
              <w:t xml:space="preserve">Детская поликлиника, г. Инкерман</w:t>
            </w:r>
          </w:p>
        </w:tc>
        <w:tc>
          <w:tcPr>
            <w:tcW w:w="1077" w:type="dxa"/>
          </w:tcPr>
          <w:p>
            <w:pPr>
              <w:pStyle w:val="0"/>
              <w:jc w:val="both"/>
            </w:pPr>
            <w:r>
              <w:rPr>
                <w:sz w:val="20"/>
              </w:rPr>
              <w:t xml:space="preserve">Кабинет УЗД</w:t>
            </w:r>
          </w:p>
        </w:tc>
        <w:tc>
          <w:tcPr>
            <w:tcW w:w="1247" w:type="dxa"/>
          </w:tcPr>
          <w:p>
            <w:pPr>
              <w:pStyle w:val="0"/>
              <w:jc w:val="both"/>
            </w:pPr>
            <w:r>
              <w:rPr>
                <w:sz w:val="20"/>
              </w:rPr>
              <w:t xml:space="preserve">Амбулаторно</w:t>
            </w:r>
          </w:p>
        </w:tc>
        <w:tc>
          <w:tcPr>
            <w:tcW w:w="1928" w:type="dxa"/>
          </w:tcPr>
          <w:p>
            <w:pPr>
              <w:pStyle w:val="0"/>
              <w:jc w:val="both"/>
            </w:pPr>
            <w:r>
              <w:rPr>
                <w:sz w:val="20"/>
              </w:rPr>
              <w:t xml:space="preserve">Система ультразвуковой визуализации универсальная, с питанием от батареи</w:t>
            </w:r>
          </w:p>
        </w:tc>
        <w:tc>
          <w:tcPr>
            <w:tcW w:w="2098" w:type="dxa"/>
          </w:tcPr>
          <w:p>
            <w:pPr>
              <w:pStyle w:val="0"/>
              <w:jc w:val="both"/>
            </w:pPr>
            <w:hyperlink w:history="0" r:id="rId962" w:tooltip="Приказ Минздрава России от 28.12.2020 N 1379н (ред. от 14.05.2021) &quo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quot; (Зарегистрировано в Минюсте России 09.02.2021 N 62437) {КонсультантПлюс}">
              <w:r>
                <w:rPr>
                  <w:sz w:val="20"/>
                  <w:color w:val="0000ff"/>
                </w:rPr>
                <w:t xml:space="preserve">Приказ</w:t>
              </w:r>
            </w:hyperlink>
            <w:r>
              <w:rPr>
                <w:sz w:val="20"/>
              </w:rPr>
              <w:t xml:space="preserve"> N 1379н, </w:t>
            </w:r>
            <w:hyperlink w:history="0" r:id="rId963"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N 543н</w:t>
            </w:r>
          </w:p>
        </w:tc>
        <w:tc>
          <w:tcPr>
            <w:tcW w:w="1020" w:type="dxa"/>
          </w:tcPr>
          <w:p>
            <w:pPr>
              <w:pStyle w:val="0"/>
              <w:jc w:val="center"/>
            </w:pPr>
            <w:r>
              <w:rPr>
                <w:sz w:val="20"/>
              </w:rPr>
              <w:t xml:space="preserve">1</w:t>
            </w:r>
          </w:p>
        </w:tc>
        <w:tc>
          <w:tcPr>
            <w:tcW w:w="1077" w:type="dxa"/>
          </w:tcPr>
          <w:p>
            <w:pPr>
              <w:pStyle w:val="0"/>
              <w:jc w:val="both"/>
            </w:pPr>
            <w:r>
              <w:rPr>
                <w:sz w:val="20"/>
              </w:rPr>
              <w:t xml:space="preserve">12.2022</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0"/>
        <w:outlineLvl w:val="3"/>
        <w:jc w:val="right"/>
      </w:pPr>
      <w:r>
        <w:rPr>
          <w:sz w:val="20"/>
        </w:rPr>
        <w:t xml:space="preserve">Таблица 2</w:t>
      </w:r>
    </w:p>
    <w:p>
      <w:pPr>
        <w:pStyle w:val="0"/>
        <w:jc w:val="center"/>
      </w:pPr>
      <w:r>
        <w:rPr>
          <w:sz w:val="20"/>
        </w:rPr>
      </w:r>
    </w:p>
    <w:p>
      <w:pPr>
        <w:pStyle w:val="2"/>
        <w:jc w:val="center"/>
      </w:pPr>
      <w:r>
        <w:rPr>
          <w:sz w:val="20"/>
        </w:rPr>
        <w:t xml:space="preserve">Сводный перечень оборудования, в том числе медицинских</w:t>
      </w:r>
    </w:p>
    <w:p>
      <w:pPr>
        <w:pStyle w:val="2"/>
        <w:jc w:val="center"/>
      </w:pPr>
      <w:r>
        <w:rPr>
          <w:sz w:val="20"/>
        </w:rPr>
        <w:t xml:space="preserve">изделий, подлежащих замене в связи с износом в соответствии</w:t>
      </w:r>
    </w:p>
    <w:p>
      <w:pPr>
        <w:pStyle w:val="2"/>
        <w:jc w:val="center"/>
      </w:pPr>
      <w:r>
        <w:rPr>
          <w:sz w:val="20"/>
        </w:rPr>
        <w:t xml:space="preserve">с утвержденными порядками, положениями и правилами</w:t>
      </w:r>
    </w:p>
    <w:p>
      <w:pPr>
        <w:pStyle w:val="2"/>
        <w:jc w:val="center"/>
      </w:pPr>
      <w:r>
        <w:rPr>
          <w:sz w:val="20"/>
        </w:rPr>
        <w:t xml:space="preserve">в медицинских организациях города Севастополя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191"/>
        <w:gridCol w:w="709"/>
        <w:gridCol w:w="1701"/>
        <w:gridCol w:w="1417"/>
        <w:gridCol w:w="993"/>
        <w:gridCol w:w="1644"/>
        <w:gridCol w:w="1531"/>
        <w:gridCol w:w="1134"/>
        <w:gridCol w:w="1361"/>
        <w:gridCol w:w="1191"/>
        <w:gridCol w:w="993"/>
        <w:gridCol w:w="964"/>
        <w:gridCol w:w="1522"/>
      </w:tblGrid>
      <w:tr>
        <w:tc>
          <w:tcPr>
            <w:tcW w:w="567" w:type="dxa"/>
          </w:tcPr>
          <w:p>
            <w:pPr>
              <w:pStyle w:val="0"/>
              <w:jc w:val="center"/>
            </w:pPr>
            <w:r>
              <w:rPr>
                <w:sz w:val="20"/>
              </w:rPr>
              <w:t xml:space="preserve">N п/п</w:t>
            </w:r>
          </w:p>
        </w:tc>
        <w:tc>
          <w:tcPr>
            <w:tcW w:w="1191" w:type="dxa"/>
          </w:tcPr>
          <w:p>
            <w:pPr>
              <w:pStyle w:val="0"/>
              <w:jc w:val="center"/>
            </w:pPr>
            <w:r>
              <w:rPr>
                <w:sz w:val="20"/>
              </w:rPr>
              <w:t xml:space="preserve">Полное наименование медицинской организации</w:t>
            </w:r>
          </w:p>
        </w:tc>
        <w:tc>
          <w:tcPr>
            <w:tcW w:w="709" w:type="dxa"/>
          </w:tcPr>
          <w:p>
            <w:pPr>
              <w:pStyle w:val="0"/>
              <w:jc w:val="center"/>
            </w:pPr>
            <w:r>
              <w:rPr>
                <w:sz w:val="20"/>
              </w:rPr>
              <w:t xml:space="preserve">ИНН</w:t>
            </w:r>
          </w:p>
        </w:tc>
        <w:tc>
          <w:tcPr>
            <w:tcW w:w="1701" w:type="dxa"/>
          </w:tcPr>
          <w:p>
            <w:pPr>
              <w:pStyle w:val="0"/>
              <w:jc w:val="center"/>
            </w:pPr>
            <w:r>
              <w:rPr>
                <w:sz w:val="20"/>
              </w:rPr>
              <w:t xml:space="preserve">Тип медицинской организации в соответствии с номенклатурой медицинской организации</w:t>
            </w:r>
          </w:p>
        </w:tc>
        <w:tc>
          <w:tcPr>
            <w:tcW w:w="1417" w:type="dxa"/>
          </w:tcPr>
          <w:p>
            <w:pPr>
              <w:pStyle w:val="0"/>
              <w:jc w:val="center"/>
            </w:pPr>
            <w:r>
              <w:rPr>
                <w:sz w:val="20"/>
              </w:rPr>
              <w:t xml:space="preserve">Здание, в котором планируется разместить МИ</w:t>
            </w:r>
          </w:p>
        </w:tc>
        <w:tc>
          <w:tcPr>
            <w:tcW w:w="993" w:type="dxa"/>
          </w:tcPr>
          <w:p>
            <w:pPr>
              <w:pStyle w:val="0"/>
              <w:jc w:val="center"/>
            </w:pPr>
            <w:r>
              <w:rPr>
                <w:sz w:val="20"/>
              </w:rPr>
              <w:t xml:space="preserve">Фактический адрес здания</w:t>
            </w:r>
          </w:p>
        </w:tc>
        <w:tc>
          <w:tcPr>
            <w:tcW w:w="1644" w:type="dxa"/>
          </w:tcPr>
          <w:p>
            <w:pPr>
              <w:pStyle w:val="0"/>
              <w:jc w:val="center"/>
            </w:pPr>
            <w:r>
              <w:rPr>
                <w:sz w:val="20"/>
              </w:rPr>
              <w:t xml:space="preserve">Наименование населенного пункта, в котором располагается структурное подразделение</w:t>
            </w:r>
          </w:p>
        </w:tc>
        <w:tc>
          <w:tcPr>
            <w:tcW w:w="1531" w:type="dxa"/>
          </w:tcPr>
          <w:p>
            <w:pPr>
              <w:pStyle w:val="0"/>
              <w:jc w:val="center"/>
            </w:pPr>
            <w:r>
              <w:rPr>
                <w:sz w:val="20"/>
              </w:rPr>
              <w:t xml:space="preserve">Численность населения населенного пункта, в котором расположена медицинская организация, чел.</w:t>
            </w:r>
          </w:p>
        </w:tc>
        <w:tc>
          <w:tcPr>
            <w:tcW w:w="1134" w:type="dxa"/>
          </w:tcPr>
          <w:p>
            <w:pPr>
              <w:pStyle w:val="0"/>
              <w:jc w:val="center"/>
            </w:pPr>
            <w:r>
              <w:rPr>
                <w:sz w:val="20"/>
              </w:rPr>
              <w:t xml:space="preserve">Наименование структурного подразделения</w:t>
            </w:r>
          </w:p>
        </w:tc>
        <w:tc>
          <w:tcPr>
            <w:tcW w:w="1361" w:type="dxa"/>
          </w:tcPr>
          <w:p>
            <w:pPr>
              <w:pStyle w:val="0"/>
              <w:jc w:val="center"/>
            </w:pPr>
            <w:r>
              <w:rPr>
                <w:sz w:val="20"/>
              </w:rPr>
              <w:t xml:space="preserve">Вид кабинета (отделения)</w:t>
            </w:r>
          </w:p>
        </w:tc>
        <w:tc>
          <w:tcPr>
            <w:tcW w:w="1191" w:type="dxa"/>
          </w:tcPr>
          <w:p>
            <w:pPr>
              <w:pStyle w:val="0"/>
              <w:jc w:val="center"/>
            </w:pPr>
            <w:r>
              <w:rPr>
                <w:sz w:val="20"/>
              </w:rPr>
              <w:t xml:space="preserve">Условия оказания медицинской помощи (стационарно/амбулаторно)</w:t>
            </w:r>
          </w:p>
        </w:tc>
        <w:tc>
          <w:tcPr>
            <w:tcW w:w="993" w:type="dxa"/>
          </w:tcPr>
          <w:p>
            <w:pPr>
              <w:pStyle w:val="0"/>
              <w:jc w:val="center"/>
            </w:pPr>
            <w:r>
              <w:rPr>
                <w:sz w:val="20"/>
              </w:rPr>
              <w:t xml:space="preserve">Код вида МИ</w:t>
            </w:r>
          </w:p>
        </w:tc>
        <w:tc>
          <w:tcPr>
            <w:tcW w:w="964" w:type="dxa"/>
          </w:tcPr>
          <w:p>
            <w:pPr>
              <w:pStyle w:val="0"/>
              <w:jc w:val="center"/>
            </w:pPr>
            <w:r>
              <w:rPr>
                <w:sz w:val="20"/>
              </w:rPr>
              <w:t xml:space="preserve">Наименование МИ</w:t>
            </w:r>
          </w:p>
        </w:tc>
        <w:tc>
          <w:tcPr>
            <w:tcW w:w="1522" w:type="dxa"/>
          </w:tcPr>
          <w:p>
            <w:pPr>
              <w:pStyle w:val="0"/>
              <w:jc w:val="center"/>
            </w:pPr>
            <w:r>
              <w:rPr>
                <w:sz w:val="20"/>
              </w:rPr>
              <w:t xml:space="preserve">Количество МИ в наличии в медицинской организации (ед.)</w:t>
            </w:r>
          </w:p>
        </w:tc>
      </w:tr>
      <w:tr>
        <w:tc>
          <w:tcPr>
            <w:tcW w:w="567" w:type="dxa"/>
          </w:tcPr>
          <w:p>
            <w:pPr>
              <w:pStyle w:val="0"/>
              <w:jc w:val="center"/>
            </w:pPr>
            <w:r>
              <w:rPr>
                <w:sz w:val="20"/>
              </w:rPr>
              <w:t xml:space="preserve">1</w:t>
            </w:r>
          </w:p>
        </w:tc>
        <w:tc>
          <w:tcPr>
            <w:tcW w:w="1191" w:type="dxa"/>
          </w:tcPr>
          <w:p>
            <w:pPr>
              <w:pStyle w:val="0"/>
              <w:jc w:val="center"/>
            </w:pPr>
            <w:r>
              <w:rPr>
                <w:sz w:val="20"/>
              </w:rPr>
              <w:t xml:space="preserve">2</w:t>
            </w:r>
          </w:p>
        </w:tc>
        <w:tc>
          <w:tcPr>
            <w:tcW w:w="709" w:type="dxa"/>
          </w:tcPr>
          <w:p>
            <w:pPr>
              <w:pStyle w:val="0"/>
              <w:jc w:val="center"/>
            </w:pPr>
            <w:r>
              <w:rPr>
                <w:sz w:val="20"/>
              </w:rPr>
              <w:t xml:space="preserve">3</w:t>
            </w:r>
          </w:p>
        </w:tc>
        <w:tc>
          <w:tcPr>
            <w:tcW w:w="1701" w:type="dxa"/>
          </w:tcPr>
          <w:p>
            <w:pPr>
              <w:pStyle w:val="0"/>
              <w:jc w:val="center"/>
            </w:pPr>
            <w:r>
              <w:rPr>
                <w:sz w:val="20"/>
              </w:rPr>
              <w:t xml:space="preserve">4</w:t>
            </w:r>
          </w:p>
        </w:tc>
        <w:tc>
          <w:tcPr>
            <w:tcW w:w="1417" w:type="dxa"/>
          </w:tcPr>
          <w:p>
            <w:pPr>
              <w:pStyle w:val="0"/>
              <w:jc w:val="center"/>
            </w:pPr>
            <w:r>
              <w:rPr>
                <w:sz w:val="20"/>
              </w:rPr>
              <w:t xml:space="preserve">5</w:t>
            </w:r>
          </w:p>
        </w:tc>
        <w:tc>
          <w:tcPr>
            <w:tcW w:w="993" w:type="dxa"/>
          </w:tcPr>
          <w:p>
            <w:pPr>
              <w:pStyle w:val="0"/>
              <w:jc w:val="center"/>
            </w:pPr>
            <w:r>
              <w:rPr>
                <w:sz w:val="20"/>
              </w:rPr>
              <w:t xml:space="preserve">6</w:t>
            </w:r>
          </w:p>
        </w:tc>
        <w:tc>
          <w:tcPr>
            <w:tcW w:w="1644" w:type="dxa"/>
          </w:tcPr>
          <w:p>
            <w:pPr>
              <w:pStyle w:val="0"/>
              <w:jc w:val="center"/>
            </w:pPr>
            <w:r>
              <w:rPr>
                <w:sz w:val="20"/>
              </w:rPr>
              <w:t xml:space="preserve">7</w:t>
            </w:r>
          </w:p>
        </w:tc>
        <w:tc>
          <w:tcPr>
            <w:tcW w:w="1531" w:type="dxa"/>
          </w:tcPr>
          <w:p>
            <w:pPr>
              <w:pStyle w:val="0"/>
              <w:jc w:val="center"/>
            </w:pPr>
            <w:r>
              <w:rPr>
                <w:sz w:val="20"/>
              </w:rPr>
              <w:t xml:space="preserve">8</w:t>
            </w:r>
          </w:p>
        </w:tc>
        <w:tc>
          <w:tcPr>
            <w:tcW w:w="1134" w:type="dxa"/>
          </w:tcPr>
          <w:p>
            <w:pPr>
              <w:pStyle w:val="0"/>
              <w:jc w:val="center"/>
            </w:pPr>
            <w:r>
              <w:rPr>
                <w:sz w:val="20"/>
              </w:rPr>
              <w:t xml:space="preserve">9</w:t>
            </w:r>
          </w:p>
        </w:tc>
        <w:tc>
          <w:tcPr>
            <w:tcW w:w="1361" w:type="dxa"/>
          </w:tcPr>
          <w:p>
            <w:pPr>
              <w:pStyle w:val="0"/>
              <w:jc w:val="center"/>
            </w:pPr>
            <w:r>
              <w:rPr>
                <w:sz w:val="20"/>
              </w:rPr>
              <w:t xml:space="preserve">10</w:t>
            </w:r>
          </w:p>
        </w:tc>
        <w:tc>
          <w:tcPr>
            <w:tcW w:w="1191" w:type="dxa"/>
          </w:tcPr>
          <w:p>
            <w:pPr>
              <w:pStyle w:val="0"/>
              <w:jc w:val="center"/>
            </w:pPr>
            <w:r>
              <w:rPr>
                <w:sz w:val="20"/>
              </w:rPr>
              <w:t xml:space="preserve">11</w:t>
            </w:r>
          </w:p>
        </w:tc>
        <w:tc>
          <w:tcPr>
            <w:tcW w:w="993" w:type="dxa"/>
          </w:tcPr>
          <w:p>
            <w:pPr>
              <w:pStyle w:val="0"/>
              <w:jc w:val="center"/>
            </w:pPr>
            <w:r>
              <w:rPr>
                <w:sz w:val="20"/>
              </w:rPr>
              <w:t xml:space="preserve">12</w:t>
            </w:r>
          </w:p>
        </w:tc>
        <w:tc>
          <w:tcPr>
            <w:tcW w:w="964" w:type="dxa"/>
          </w:tcPr>
          <w:p>
            <w:pPr>
              <w:pStyle w:val="0"/>
              <w:jc w:val="center"/>
            </w:pPr>
            <w:r>
              <w:rPr>
                <w:sz w:val="20"/>
              </w:rPr>
              <w:t xml:space="preserve">13</w:t>
            </w:r>
          </w:p>
        </w:tc>
        <w:tc>
          <w:tcPr>
            <w:tcW w:w="1522" w:type="dxa"/>
          </w:tcPr>
          <w:p>
            <w:pPr>
              <w:pStyle w:val="0"/>
              <w:jc w:val="center"/>
            </w:pPr>
            <w:r>
              <w:rPr>
                <w:sz w:val="20"/>
              </w:rPr>
              <w:t xml:space="preserve">14</w:t>
            </w:r>
          </w:p>
        </w:tc>
      </w:tr>
      <w:tr>
        <w:tc>
          <w:tcPr>
            <w:tcW w:w="567" w:type="dxa"/>
          </w:tcPr>
          <w:p>
            <w:pPr>
              <w:pStyle w:val="0"/>
              <w:jc w:val="both"/>
            </w:pPr>
            <w:r>
              <w:rPr>
                <w:sz w:val="20"/>
              </w:rPr>
              <w:t xml:space="preserve">1</w:t>
            </w:r>
          </w:p>
        </w:tc>
        <w:tc>
          <w:tcPr>
            <w:tcW w:w="1191" w:type="dxa"/>
          </w:tcPr>
          <w:p>
            <w:pPr>
              <w:pStyle w:val="0"/>
              <w:jc w:val="center"/>
            </w:pPr>
            <w:r>
              <w:rPr>
                <w:sz w:val="20"/>
              </w:rPr>
              <w:t xml:space="preserve">-</w:t>
            </w:r>
          </w:p>
        </w:tc>
        <w:tc>
          <w:tcPr>
            <w:tcW w:w="709" w:type="dxa"/>
          </w:tcPr>
          <w:p>
            <w:pPr>
              <w:pStyle w:val="0"/>
              <w:jc w:val="center"/>
            </w:pPr>
            <w:r>
              <w:rPr>
                <w:sz w:val="20"/>
              </w:rPr>
              <w:t xml:space="preserve">-</w:t>
            </w:r>
          </w:p>
        </w:tc>
        <w:tc>
          <w:tcPr>
            <w:tcW w:w="1701" w:type="dxa"/>
          </w:tcPr>
          <w:p>
            <w:pPr>
              <w:pStyle w:val="0"/>
              <w:jc w:val="center"/>
            </w:pPr>
            <w:r>
              <w:rPr>
                <w:sz w:val="20"/>
              </w:rPr>
              <w:t xml:space="preserve">-</w:t>
            </w:r>
          </w:p>
        </w:tc>
        <w:tc>
          <w:tcPr>
            <w:tcW w:w="1417" w:type="dxa"/>
          </w:tcPr>
          <w:p>
            <w:pPr>
              <w:pStyle w:val="0"/>
              <w:jc w:val="center"/>
            </w:pPr>
            <w:r>
              <w:rPr>
                <w:sz w:val="20"/>
              </w:rPr>
              <w:t xml:space="preserve">-</w:t>
            </w:r>
          </w:p>
        </w:tc>
        <w:tc>
          <w:tcPr>
            <w:tcW w:w="993" w:type="dxa"/>
          </w:tcPr>
          <w:p>
            <w:pPr>
              <w:pStyle w:val="0"/>
              <w:jc w:val="center"/>
            </w:pPr>
            <w:r>
              <w:rPr>
                <w:sz w:val="20"/>
              </w:rPr>
              <w:t xml:space="preserve">-</w:t>
            </w:r>
          </w:p>
        </w:tc>
        <w:tc>
          <w:tcPr>
            <w:tcW w:w="1644" w:type="dxa"/>
          </w:tcPr>
          <w:p>
            <w:pPr>
              <w:pStyle w:val="0"/>
              <w:jc w:val="center"/>
            </w:pPr>
            <w:r>
              <w:rPr>
                <w:sz w:val="20"/>
              </w:rPr>
              <w:t xml:space="preserve">-</w:t>
            </w:r>
          </w:p>
        </w:tc>
        <w:tc>
          <w:tcPr>
            <w:tcW w:w="1531" w:type="dxa"/>
          </w:tcPr>
          <w:p>
            <w:pPr>
              <w:pStyle w:val="0"/>
              <w:jc w:val="center"/>
            </w:pPr>
            <w:r>
              <w:rPr>
                <w:sz w:val="20"/>
              </w:rPr>
              <w:t xml:space="preserve">-</w:t>
            </w:r>
          </w:p>
        </w:tc>
        <w:tc>
          <w:tcPr>
            <w:tcW w:w="1134" w:type="dxa"/>
          </w:tcPr>
          <w:p>
            <w:pPr>
              <w:pStyle w:val="0"/>
              <w:jc w:val="center"/>
            </w:pPr>
            <w:r>
              <w:rPr>
                <w:sz w:val="20"/>
              </w:rPr>
              <w:t xml:space="preserve">-</w:t>
            </w:r>
          </w:p>
        </w:tc>
        <w:tc>
          <w:tcPr>
            <w:tcW w:w="1361" w:type="dxa"/>
          </w:tcPr>
          <w:p>
            <w:pPr>
              <w:pStyle w:val="0"/>
              <w:jc w:val="center"/>
            </w:pPr>
            <w:r>
              <w:rPr>
                <w:sz w:val="20"/>
              </w:rPr>
              <w:t xml:space="preserve">-</w:t>
            </w:r>
          </w:p>
        </w:tc>
        <w:tc>
          <w:tcPr>
            <w:tcW w:w="1191" w:type="dxa"/>
          </w:tcPr>
          <w:p>
            <w:pPr>
              <w:pStyle w:val="0"/>
              <w:jc w:val="center"/>
            </w:pPr>
            <w:r>
              <w:rPr>
                <w:sz w:val="20"/>
              </w:rPr>
              <w:t xml:space="preserve">-</w:t>
            </w:r>
          </w:p>
        </w:tc>
        <w:tc>
          <w:tcPr>
            <w:tcW w:w="993" w:type="dxa"/>
          </w:tcPr>
          <w:p>
            <w:pPr>
              <w:pStyle w:val="0"/>
              <w:jc w:val="center"/>
            </w:pPr>
            <w:r>
              <w:rPr>
                <w:sz w:val="20"/>
              </w:rPr>
              <w:t xml:space="preserve">-</w:t>
            </w:r>
          </w:p>
        </w:tc>
        <w:tc>
          <w:tcPr>
            <w:tcW w:w="964" w:type="dxa"/>
          </w:tcPr>
          <w:p>
            <w:pPr>
              <w:pStyle w:val="0"/>
              <w:jc w:val="center"/>
            </w:pPr>
            <w:r>
              <w:rPr>
                <w:sz w:val="20"/>
              </w:rPr>
              <w:t xml:space="preserve">-</w:t>
            </w:r>
          </w:p>
        </w:tc>
        <w:tc>
          <w:tcPr>
            <w:tcW w:w="1522" w:type="dxa"/>
          </w:tcPr>
          <w:p>
            <w:pPr>
              <w:pStyle w:val="0"/>
              <w:jc w:val="center"/>
            </w:pPr>
            <w:r>
              <w:rPr>
                <w:sz w:val="20"/>
              </w:rPr>
              <w:t xml:space="preserve">0</w:t>
            </w:r>
          </w:p>
        </w:tc>
      </w:tr>
      <w:tr>
        <w:tc>
          <w:tcPr>
            <w:tcW w:w="567" w:type="dxa"/>
          </w:tcPr>
          <w:p>
            <w:pPr>
              <w:pStyle w:val="0"/>
              <w:jc w:val="both"/>
            </w:pPr>
            <w:r>
              <w:rPr>
                <w:sz w:val="20"/>
              </w:rPr>
              <w:t xml:space="preserve">2</w:t>
            </w:r>
          </w:p>
        </w:tc>
        <w:tc>
          <w:tcPr>
            <w:tcW w:w="1191" w:type="dxa"/>
          </w:tcPr>
          <w:p>
            <w:pPr>
              <w:pStyle w:val="0"/>
              <w:jc w:val="both"/>
            </w:pPr>
            <w:r>
              <w:rPr>
                <w:sz w:val="20"/>
              </w:rPr>
              <w:t xml:space="preserve">ИТОГО</w:t>
            </w:r>
          </w:p>
        </w:tc>
        <w:tc>
          <w:tcPr>
            <w:tcW w:w="709" w:type="dxa"/>
          </w:tcPr>
          <w:p>
            <w:pPr>
              <w:pStyle w:val="0"/>
              <w:jc w:val="center"/>
            </w:pPr>
            <w:r>
              <w:rPr>
                <w:sz w:val="20"/>
              </w:rPr>
              <w:t xml:space="preserve">Х</w:t>
            </w:r>
          </w:p>
        </w:tc>
        <w:tc>
          <w:tcPr>
            <w:tcW w:w="1701" w:type="dxa"/>
          </w:tcPr>
          <w:p>
            <w:pPr>
              <w:pStyle w:val="0"/>
              <w:jc w:val="center"/>
            </w:pPr>
            <w:r>
              <w:rPr>
                <w:sz w:val="20"/>
              </w:rPr>
              <w:t xml:space="preserve">Х</w:t>
            </w:r>
          </w:p>
        </w:tc>
        <w:tc>
          <w:tcPr>
            <w:tcW w:w="1417" w:type="dxa"/>
          </w:tcPr>
          <w:p>
            <w:pPr>
              <w:pStyle w:val="0"/>
              <w:jc w:val="center"/>
            </w:pPr>
            <w:r>
              <w:rPr>
                <w:sz w:val="20"/>
              </w:rPr>
              <w:t xml:space="preserve">Х</w:t>
            </w:r>
          </w:p>
        </w:tc>
        <w:tc>
          <w:tcPr>
            <w:tcW w:w="993" w:type="dxa"/>
          </w:tcPr>
          <w:p>
            <w:pPr>
              <w:pStyle w:val="0"/>
              <w:jc w:val="center"/>
            </w:pPr>
            <w:r>
              <w:rPr>
                <w:sz w:val="20"/>
              </w:rPr>
              <w:t xml:space="preserve">Х</w:t>
            </w:r>
          </w:p>
        </w:tc>
        <w:tc>
          <w:tcPr>
            <w:tcW w:w="1644" w:type="dxa"/>
          </w:tcPr>
          <w:p>
            <w:pPr>
              <w:pStyle w:val="0"/>
              <w:jc w:val="center"/>
            </w:pPr>
            <w:r>
              <w:rPr>
                <w:sz w:val="20"/>
              </w:rPr>
              <w:t xml:space="preserve">Х</w:t>
            </w:r>
          </w:p>
        </w:tc>
        <w:tc>
          <w:tcPr>
            <w:tcW w:w="1531" w:type="dxa"/>
          </w:tcPr>
          <w:p>
            <w:pPr>
              <w:pStyle w:val="0"/>
              <w:jc w:val="center"/>
            </w:pPr>
            <w:r>
              <w:rPr>
                <w:sz w:val="20"/>
              </w:rPr>
              <w:t xml:space="preserve">Х</w:t>
            </w:r>
          </w:p>
        </w:tc>
        <w:tc>
          <w:tcPr>
            <w:tcW w:w="1134" w:type="dxa"/>
          </w:tcPr>
          <w:p>
            <w:pPr>
              <w:pStyle w:val="0"/>
              <w:jc w:val="center"/>
            </w:pPr>
            <w:r>
              <w:rPr>
                <w:sz w:val="20"/>
              </w:rPr>
              <w:t xml:space="preserve">Х</w:t>
            </w:r>
          </w:p>
        </w:tc>
        <w:tc>
          <w:tcPr>
            <w:tcW w:w="1361" w:type="dxa"/>
          </w:tcPr>
          <w:p>
            <w:pPr>
              <w:pStyle w:val="0"/>
              <w:jc w:val="center"/>
            </w:pPr>
            <w:r>
              <w:rPr>
                <w:sz w:val="20"/>
              </w:rPr>
              <w:t xml:space="preserve">Х</w:t>
            </w:r>
          </w:p>
        </w:tc>
        <w:tc>
          <w:tcPr>
            <w:tcW w:w="1191" w:type="dxa"/>
          </w:tcPr>
          <w:p>
            <w:pPr>
              <w:pStyle w:val="0"/>
              <w:jc w:val="center"/>
            </w:pPr>
            <w:r>
              <w:rPr>
                <w:sz w:val="20"/>
              </w:rPr>
              <w:t xml:space="preserve">Х</w:t>
            </w:r>
          </w:p>
        </w:tc>
        <w:tc>
          <w:tcPr>
            <w:tcW w:w="993" w:type="dxa"/>
          </w:tcPr>
          <w:p>
            <w:pPr>
              <w:pStyle w:val="0"/>
              <w:jc w:val="center"/>
            </w:pPr>
            <w:r>
              <w:rPr>
                <w:sz w:val="20"/>
              </w:rPr>
              <w:t xml:space="preserve">Х</w:t>
            </w:r>
          </w:p>
        </w:tc>
        <w:tc>
          <w:tcPr>
            <w:tcW w:w="964" w:type="dxa"/>
          </w:tcPr>
          <w:p>
            <w:pPr>
              <w:pStyle w:val="0"/>
              <w:jc w:val="center"/>
            </w:pPr>
            <w:r>
              <w:rPr>
                <w:sz w:val="20"/>
              </w:rPr>
              <w:t xml:space="preserve">Х</w:t>
            </w:r>
          </w:p>
        </w:tc>
        <w:tc>
          <w:tcPr>
            <w:tcW w:w="1522" w:type="dxa"/>
          </w:tcPr>
          <w:p>
            <w:pPr>
              <w:pStyle w:val="0"/>
              <w:jc w:val="center"/>
            </w:pPr>
            <w:r>
              <w:rPr>
                <w:sz w:val="20"/>
              </w:rPr>
              <w:t xml:space="preserve">0</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0"/>
        <w:outlineLvl w:val="3"/>
        <w:jc w:val="right"/>
      </w:pPr>
      <w:r>
        <w:rPr>
          <w:sz w:val="20"/>
        </w:rPr>
        <w:t xml:space="preserve">Таблица 3</w:t>
      </w:r>
    </w:p>
    <w:p>
      <w:pPr>
        <w:pStyle w:val="0"/>
        <w:jc w:val="right"/>
      </w:pPr>
      <w:r>
        <w:rPr>
          <w:sz w:val="20"/>
        </w:rPr>
      </w:r>
    </w:p>
    <w:p>
      <w:pPr>
        <w:pStyle w:val="2"/>
        <w:jc w:val="center"/>
      </w:pPr>
      <w:r>
        <w:rPr>
          <w:sz w:val="20"/>
        </w:rPr>
        <w:t xml:space="preserve">Сводный перечень оборудования, в том числе медицинских</w:t>
      </w:r>
    </w:p>
    <w:p>
      <w:pPr>
        <w:pStyle w:val="2"/>
        <w:jc w:val="center"/>
      </w:pPr>
      <w:r>
        <w:rPr>
          <w:sz w:val="20"/>
        </w:rPr>
        <w:t xml:space="preserve">изделий, отсутствующих в соответствии с утвержденными</w:t>
      </w:r>
    </w:p>
    <w:p>
      <w:pPr>
        <w:pStyle w:val="2"/>
        <w:jc w:val="center"/>
      </w:pPr>
      <w:r>
        <w:rPr>
          <w:sz w:val="20"/>
        </w:rPr>
        <w:t xml:space="preserve">порядками, положениями и правилами в медицинских</w:t>
      </w:r>
    </w:p>
    <w:p>
      <w:pPr>
        <w:pStyle w:val="2"/>
        <w:jc w:val="center"/>
      </w:pPr>
      <w:r>
        <w:rPr>
          <w:sz w:val="20"/>
        </w:rPr>
        <w:t xml:space="preserve">организациях, подведомственных Департаменту здравоохранения</w:t>
      </w:r>
    </w:p>
    <w:p>
      <w:pPr>
        <w:pStyle w:val="2"/>
        <w:jc w:val="center"/>
      </w:pPr>
      <w:r>
        <w:rPr>
          <w:sz w:val="20"/>
        </w:rPr>
        <w:t xml:space="preserve">города Севастополя, расположенных на территории города</w:t>
      </w:r>
    </w:p>
    <w:p>
      <w:pPr>
        <w:pStyle w:val="2"/>
        <w:jc w:val="center"/>
      </w:pPr>
      <w:r>
        <w:rPr>
          <w:sz w:val="20"/>
        </w:rPr>
        <w:t xml:space="preserve">Севастополя, оказывающих первичную медико-санитарную помощь</w:t>
      </w:r>
    </w:p>
    <w:p>
      <w:pPr>
        <w:pStyle w:val="2"/>
        <w:jc w:val="center"/>
      </w:pPr>
      <w:r>
        <w:rPr>
          <w:sz w:val="20"/>
        </w:rPr>
        <w:t xml:space="preserve">взрослым и детям, их обособленных структурных</w:t>
      </w:r>
    </w:p>
    <w:p>
      <w:pPr>
        <w:pStyle w:val="2"/>
        <w:jc w:val="center"/>
      </w:pPr>
      <w:r>
        <w:rPr>
          <w:sz w:val="20"/>
        </w:rPr>
        <w:t xml:space="preserve">подразделениях, центральных районных и районных больницах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3627"/>
        <w:gridCol w:w="793"/>
        <w:gridCol w:w="793"/>
        <w:gridCol w:w="793"/>
        <w:gridCol w:w="793"/>
        <w:gridCol w:w="793"/>
        <w:gridCol w:w="907"/>
      </w:tblGrid>
      <w:tr>
        <w:tc>
          <w:tcPr>
            <w:tcW w:w="566" w:type="dxa"/>
            <w:vMerge w:val="restart"/>
          </w:tcPr>
          <w:p>
            <w:pPr>
              <w:pStyle w:val="0"/>
              <w:jc w:val="center"/>
            </w:pPr>
            <w:r>
              <w:rPr>
                <w:sz w:val="20"/>
              </w:rPr>
              <w:t xml:space="preserve">N п/п</w:t>
            </w:r>
          </w:p>
        </w:tc>
        <w:tc>
          <w:tcPr>
            <w:tcW w:w="3627" w:type="dxa"/>
            <w:vMerge w:val="restart"/>
          </w:tcPr>
          <w:p>
            <w:pPr>
              <w:pStyle w:val="0"/>
              <w:jc w:val="center"/>
            </w:pPr>
            <w:r>
              <w:rPr>
                <w:sz w:val="20"/>
              </w:rPr>
              <w:t xml:space="preserve">Наименование МИ</w:t>
            </w:r>
          </w:p>
        </w:tc>
        <w:tc>
          <w:tcPr>
            <w:gridSpan w:val="6"/>
            <w:tcW w:w="4872" w:type="dxa"/>
          </w:tcPr>
          <w:p>
            <w:pPr>
              <w:pStyle w:val="0"/>
              <w:jc w:val="center"/>
            </w:pPr>
            <w:r>
              <w:rPr>
                <w:sz w:val="20"/>
              </w:rPr>
              <w:t xml:space="preserve">Планируемое количество МИ по годам приобретения (ед.)</w:t>
            </w:r>
          </w:p>
        </w:tc>
      </w:tr>
      <w:tr>
        <w:tc>
          <w:tcPr>
            <w:vMerge w:val="continue"/>
          </w:tcPr>
          <w:p/>
        </w:tc>
        <w:tc>
          <w:tcPr>
            <w:vMerge w:val="continue"/>
          </w:tcPr>
          <w:p/>
        </w:tc>
        <w:tc>
          <w:tcPr>
            <w:tcW w:w="793" w:type="dxa"/>
          </w:tcPr>
          <w:p>
            <w:pPr>
              <w:pStyle w:val="0"/>
              <w:jc w:val="center"/>
            </w:pPr>
            <w:r>
              <w:rPr>
                <w:sz w:val="20"/>
              </w:rPr>
              <w:t xml:space="preserve">2021</w:t>
            </w:r>
          </w:p>
        </w:tc>
        <w:tc>
          <w:tcPr>
            <w:tcW w:w="793" w:type="dxa"/>
          </w:tcPr>
          <w:p>
            <w:pPr>
              <w:pStyle w:val="0"/>
              <w:jc w:val="center"/>
            </w:pPr>
            <w:r>
              <w:rPr>
                <w:sz w:val="20"/>
              </w:rPr>
              <w:t xml:space="preserve">2022</w:t>
            </w:r>
          </w:p>
        </w:tc>
        <w:tc>
          <w:tcPr>
            <w:tcW w:w="793" w:type="dxa"/>
          </w:tcPr>
          <w:p>
            <w:pPr>
              <w:pStyle w:val="0"/>
              <w:jc w:val="center"/>
            </w:pPr>
            <w:r>
              <w:rPr>
                <w:sz w:val="20"/>
              </w:rPr>
              <w:t xml:space="preserve">2023</w:t>
            </w:r>
          </w:p>
        </w:tc>
        <w:tc>
          <w:tcPr>
            <w:tcW w:w="793" w:type="dxa"/>
          </w:tcPr>
          <w:p>
            <w:pPr>
              <w:pStyle w:val="0"/>
              <w:jc w:val="center"/>
            </w:pPr>
            <w:r>
              <w:rPr>
                <w:sz w:val="20"/>
              </w:rPr>
              <w:t xml:space="preserve">2024</w:t>
            </w:r>
          </w:p>
        </w:tc>
        <w:tc>
          <w:tcPr>
            <w:tcW w:w="793" w:type="dxa"/>
          </w:tcPr>
          <w:p>
            <w:pPr>
              <w:pStyle w:val="0"/>
              <w:jc w:val="center"/>
            </w:pPr>
            <w:r>
              <w:rPr>
                <w:sz w:val="20"/>
              </w:rPr>
              <w:t xml:space="preserve">2025</w:t>
            </w:r>
          </w:p>
        </w:tc>
        <w:tc>
          <w:tcPr>
            <w:tcW w:w="907" w:type="dxa"/>
          </w:tcPr>
          <w:p>
            <w:pPr>
              <w:pStyle w:val="0"/>
              <w:jc w:val="center"/>
            </w:pPr>
            <w:r>
              <w:rPr>
                <w:sz w:val="20"/>
              </w:rPr>
              <w:t xml:space="preserve">всего 2021 - 2025</w:t>
            </w:r>
          </w:p>
        </w:tc>
      </w:tr>
      <w:tr>
        <w:tc>
          <w:tcPr>
            <w:tcW w:w="566" w:type="dxa"/>
          </w:tcPr>
          <w:p>
            <w:pPr>
              <w:pStyle w:val="0"/>
              <w:jc w:val="center"/>
            </w:pPr>
            <w:r>
              <w:rPr>
                <w:sz w:val="20"/>
              </w:rPr>
              <w:t xml:space="preserve">1</w:t>
            </w:r>
          </w:p>
        </w:tc>
        <w:tc>
          <w:tcPr>
            <w:tcW w:w="3627" w:type="dxa"/>
          </w:tcPr>
          <w:p>
            <w:pPr>
              <w:pStyle w:val="0"/>
              <w:jc w:val="center"/>
            </w:pPr>
            <w:r>
              <w:rPr>
                <w:sz w:val="20"/>
              </w:rPr>
              <w:t xml:space="preserve">2</w:t>
            </w:r>
          </w:p>
        </w:tc>
        <w:tc>
          <w:tcPr>
            <w:tcW w:w="793" w:type="dxa"/>
          </w:tcPr>
          <w:p>
            <w:pPr>
              <w:pStyle w:val="0"/>
              <w:jc w:val="center"/>
            </w:pPr>
            <w:r>
              <w:rPr>
                <w:sz w:val="20"/>
              </w:rPr>
              <w:t xml:space="preserve">3</w:t>
            </w:r>
          </w:p>
        </w:tc>
        <w:tc>
          <w:tcPr>
            <w:tcW w:w="793" w:type="dxa"/>
          </w:tcPr>
          <w:p>
            <w:pPr>
              <w:pStyle w:val="0"/>
              <w:jc w:val="center"/>
            </w:pPr>
            <w:r>
              <w:rPr>
                <w:sz w:val="20"/>
              </w:rPr>
              <w:t xml:space="preserve">4</w:t>
            </w:r>
          </w:p>
        </w:tc>
        <w:tc>
          <w:tcPr>
            <w:tcW w:w="793" w:type="dxa"/>
          </w:tcPr>
          <w:p>
            <w:pPr>
              <w:pStyle w:val="0"/>
              <w:jc w:val="center"/>
            </w:pPr>
            <w:r>
              <w:rPr>
                <w:sz w:val="20"/>
              </w:rPr>
              <w:t xml:space="preserve">5</w:t>
            </w:r>
          </w:p>
        </w:tc>
        <w:tc>
          <w:tcPr>
            <w:tcW w:w="793" w:type="dxa"/>
          </w:tcPr>
          <w:p>
            <w:pPr>
              <w:pStyle w:val="0"/>
              <w:jc w:val="center"/>
            </w:pPr>
            <w:r>
              <w:rPr>
                <w:sz w:val="20"/>
              </w:rPr>
              <w:t xml:space="preserve">6</w:t>
            </w:r>
          </w:p>
        </w:tc>
        <w:tc>
          <w:tcPr>
            <w:tcW w:w="793" w:type="dxa"/>
          </w:tcPr>
          <w:p>
            <w:pPr>
              <w:pStyle w:val="0"/>
              <w:jc w:val="center"/>
            </w:pPr>
            <w:r>
              <w:rPr>
                <w:sz w:val="20"/>
              </w:rPr>
              <w:t xml:space="preserve">7</w:t>
            </w:r>
          </w:p>
        </w:tc>
        <w:tc>
          <w:tcPr>
            <w:tcW w:w="907" w:type="dxa"/>
          </w:tcPr>
          <w:p>
            <w:pPr>
              <w:pStyle w:val="0"/>
              <w:jc w:val="center"/>
            </w:pPr>
            <w:r>
              <w:rPr>
                <w:sz w:val="20"/>
              </w:rPr>
              <w:t xml:space="preserve">8</w:t>
            </w:r>
          </w:p>
        </w:tc>
      </w:tr>
      <w:tr>
        <w:tc>
          <w:tcPr>
            <w:tcW w:w="566" w:type="dxa"/>
          </w:tcPr>
          <w:p>
            <w:pPr>
              <w:pStyle w:val="0"/>
              <w:jc w:val="both"/>
            </w:pPr>
            <w:r>
              <w:rPr>
                <w:sz w:val="20"/>
              </w:rPr>
              <w:t xml:space="preserve">1</w:t>
            </w:r>
          </w:p>
        </w:tc>
        <w:tc>
          <w:tcPr>
            <w:tcW w:w="3627" w:type="dxa"/>
          </w:tcPr>
          <w:p>
            <w:pPr>
              <w:pStyle w:val="0"/>
              <w:jc w:val="both"/>
            </w:pPr>
            <w:r>
              <w:rPr>
                <w:sz w:val="20"/>
              </w:rPr>
              <w:t xml:space="preserve">Аппарат рентгеновский для флюорографии легких цифровой или аналоговый</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2</w:t>
            </w:r>
          </w:p>
        </w:tc>
        <w:tc>
          <w:tcPr>
            <w:tcW w:w="907" w:type="dxa"/>
          </w:tcPr>
          <w:p>
            <w:pPr>
              <w:pStyle w:val="0"/>
              <w:jc w:val="center"/>
            </w:pPr>
            <w:r>
              <w:rPr>
                <w:sz w:val="20"/>
              </w:rPr>
              <w:t xml:space="preserve">2</w:t>
            </w:r>
          </w:p>
        </w:tc>
      </w:tr>
      <w:tr>
        <w:tc>
          <w:tcPr>
            <w:tcW w:w="566" w:type="dxa"/>
          </w:tcPr>
          <w:p>
            <w:pPr>
              <w:pStyle w:val="0"/>
              <w:jc w:val="both"/>
            </w:pPr>
            <w:r>
              <w:rPr>
                <w:sz w:val="20"/>
              </w:rPr>
              <w:t xml:space="preserve">2</w:t>
            </w:r>
          </w:p>
        </w:tc>
        <w:tc>
          <w:tcPr>
            <w:tcW w:w="3627" w:type="dxa"/>
          </w:tcPr>
          <w:p>
            <w:pPr>
              <w:pStyle w:val="0"/>
              <w:jc w:val="both"/>
            </w:pPr>
            <w:r>
              <w:rPr>
                <w:sz w:val="20"/>
              </w:rPr>
              <w:t xml:space="preserve">Аппарат рентгеновский маммографический цифровой или аналоговый</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2</w:t>
            </w:r>
          </w:p>
        </w:tc>
        <w:tc>
          <w:tcPr>
            <w:tcW w:w="907" w:type="dxa"/>
          </w:tcPr>
          <w:p>
            <w:pPr>
              <w:pStyle w:val="0"/>
              <w:jc w:val="center"/>
            </w:pPr>
            <w:r>
              <w:rPr>
                <w:sz w:val="20"/>
              </w:rPr>
              <w:t xml:space="preserve">2</w:t>
            </w:r>
          </w:p>
        </w:tc>
      </w:tr>
      <w:tr>
        <w:tc>
          <w:tcPr>
            <w:tcW w:w="566" w:type="dxa"/>
          </w:tcPr>
          <w:p>
            <w:pPr>
              <w:pStyle w:val="0"/>
              <w:jc w:val="both"/>
            </w:pPr>
            <w:r>
              <w:rPr>
                <w:sz w:val="20"/>
              </w:rPr>
              <w:t xml:space="preserve">3</w:t>
            </w:r>
          </w:p>
        </w:tc>
        <w:tc>
          <w:tcPr>
            <w:tcW w:w="3627" w:type="dxa"/>
          </w:tcPr>
          <w:p>
            <w:pPr>
              <w:pStyle w:val="0"/>
              <w:jc w:val="both"/>
            </w:pPr>
            <w:r>
              <w:rPr>
                <w:sz w:val="20"/>
              </w:rPr>
              <w:t xml:space="preserve">Компьютерный томограф рентгеновский спиральный с многорядным детектором (многосрезовый)</w:t>
            </w:r>
          </w:p>
        </w:tc>
        <w:tc>
          <w:tcPr>
            <w:tcW w:w="793" w:type="dxa"/>
          </w:tcPr>
          <w:p>
            <w:pPr>
              <w:pStyle w:val="0"/>
              <w:jc w:val="center"/>
            </w:pPr>
            <w:r>
              <w:rPr>
                <w:sz w:val="20"/>
              </w:rPr>
              <w:t xml:space="preserve">0</w:t>
            </w:r>
          </w:p>
        </w:tc>
        <w:tc>
          <w:tcPr>
            <w:tcW w:w="793" w:type="dxa"/>
          </w:tcPr>
          <w:p>
            <w:pPr>
              <w:pStyle w:val="0"/>
              <w:jc w:val="center"/>
            </w:pPr>
            <w:r>
              <w:rPr>
                <w:sz w:val="20"/>
              </w:rPr>
              <w:t xml:space="preserve">1</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907" w:type="dxa"/>
          </w:tcPr>
          <w:p>
            <w:pPr>
              <w:pStyle w:val="0"/>
              <w:jc w:val="center"/>
            </w:pPr>
            <w:r>
              <w:rPr>
                <w:sz w:val="20"/>
              </w:rPr>
              <w:t xml:space="preserve">1</w:t>
            </w:r>
          </w:p>
        </w:tc>
      </w:tr>
      <w:tr>
        <w:tc>
          <w:tcPr>
            <w:tcW w:w="566" w:type="dxa"/>
          </w:tcPr>
          <w:p>
            <w:pPr>
              <w:pStyle w:val="0"/>
              <w:jc w:val="both"/>
            </w:pPr>
            <w:r>
              <w:rPr>
                <w:sz w:val="20"/>
              </w:rPr>
              <w:t xml:space="preserve">4</w:t>
            </w:r>
          </w:p>
        </w:tc>
        <w:tc>
          <w:tcPr>
            <w:tcW w:w="3627" w:type="dxa"/>
          </w:tcPr>
          <w:p>
            <w:pPr>
              <w:pStyle w:val="0"/>
              <w:jc w:val="both"/>
            </w:pPr>
            <w:r>
              <w:rPr>
                <w:sz w:val="20"/>
              </w:rPr>
              <w:t xml:space="preserve">Магнитно-резонансный томограф со сверхпроводящим магнитом</w:t>
            </w:r>
          </w:p>
        </w:tc>
        <w:tc>
          <w:tcPr>
            <w:tcW w:w="793" w:type="dxa"/>
          </w:tcPr>
          <w:p>
            <w:pPr>
              <w:pStyle w:val="0"/>
              <w:jc w:val="center"/>
            </w:pPr>
            <w:r>
              <w:rPr>
                <w:sz w:val="20"/>
              </w:rPr>
              <w:t xml:space="preserve">1</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907" w:type="dxa"/>
          </w:tcPr>
          <w:p>
            <w:pPr>
              <w:pStyle w:val="0"/>
              <w:jc w:val="center"/>
            </w:pPr>
            <w:r>
              <w:rPr>
                <w:sz w:val="20"/>
              </w:rPr>
              <w:t xml:space="preserve">1</w:t>
            </w:r>
          </w:p>
        </w:tc>
      </w:tr>
      <w:tr>
        <w:tc>
          <w:tcPr>
            <w:tcW w:w="566" w:type="dxa"/>
          </w:tcPr>
          <w:p>
            <w:pPr>
              <w:pStyle w:val="0"/>
              <w:jc w:val="both"/>
            </w:pPr>
            <w:r>
              <w:rPr>
                <w:sz w:val="20"/>
              </w:rPr>
              <w:t xml:space="preserve">5</w:t>
            </w:r>
          </w:p>
        </w:tc>
        <w:tc>
          <w:tcPr>
            <w:tcW w:w="3627" w:type="dxa"/>
          </w:tcPr>
          <w:p>
            <w:pPr>
              <w:pStyle w:val="0"/>
              <w:jc w:val="both"/>
            </w:pPr>
            <w:r>
              <w:rPr>
                <w:sz w:val="20"/>
              </w:rPr>
              <w:t xml:space="preserve">Система ультразвуковой визуализации универсальная, с питанием от батареи</w:t>
            </w:r>
          </w:p>
        </w:tc>
        <w:tc>
          <w:tcPr>
            <w:tcW w:w="793" w:type="dxa"/>
          </w:tcPr>
          <w:p>
            <w:pPr>
              <w:pStyle w:val="0"/>
              <w:jc w:val="center"/>
            </w:pPr>
            <w:r>
              <w:rPr>
                <w:sz w:val="20"/>
              </w:rPr>
              <w:t xml:space="preserve">1</w:t>
            </w:r>
          </w:p>
        </w:tc>
        <w:tc>
          <w:tcPr>
            <w:tcW w:w="793" w:type="dxa"/>
          </w:tcPr>
          <w:p>
            <w:pPr>
              <w:pStyle w:val="0"/>
              <w:jc w:val="center"/>
            </w:pPr>
            <w:r>
              <w:rPr>
                <w:sz w:val="20"/>
              </w:rPr>
              <w:t xml:space="preserve">1</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6</w:t>
            </w:r>
          </w:p>
        </w:tc>
        <w:tc>
          <w:tcPr>
            <w:tcW w:w="907" w:type="dxa"/>
          </w:tcPr>
          <w:p>
            <w:pPr>
              <w:pStyle w:val="0"/>
              <w:jc w:val="center"/>
            </w:pPr>
            <w:r>
              <w:rPr>
                <w:sz w:val="20"/>
              </w:rPr>
              <w:t xml:space="preserve">8</w:t>
            </w:r>
          </w:p>
        </w:tc>
      </w:tr>
      <w:tr>
        <w:tc>
          <w:tcPr>
            <w:tcW w:w="566" w:type="dxa"/>
          </w:tcPr>
          <w:p>
            <w:pPr>
              <w:pStyle w:val="0"/>
              <w:jc w:val="both"/>
            </w:pPr>
            <w:r>
              <w:rPr>
                <w:sz w:val="20"/>
              </w:rPr>
              <w:t xml:space="preserve">6</w:t>
            </w:r>
          </w:p>
        </w:tc>
        <w:tc>
          <w:tcPr>
            <w:tcW w:w="3627" w:type="dxa"/>
          </w:tcPr>
          <w:p>
            <w:pPr>
              <w:pStyle w:val="0"/>
              <w:jc w:val="both"/>
            </w:pPr>
            <w:r>
              <w:rPr>
                <w:sz w:val="20"/>
              </w:rPr>
              <w:t xml:space="preserve">Кольпоскоп</w:t>
            </w:r>
          </w:p>
        </w:tc>
        <w:tc>
          <w:tcPr>
            <w:tcW w:w="793" w:type="dxa"/>
          </w:tcPr>
          <w:p>
            <w:pPr>
              <w:pStyle w:val="0"/>
              <w:jc w:val="center"/>
            </w:pPr>
            <w:r>
              <w:rPr>
                <w:sz w:val="20"/>
              </w:rPr>
              <w:t xml:space="preserve">0</w:t>
            </w:r>
          </w:p>
        </w:tc>
        <w:tc>
          <w:tcPr>
            <w:tcW w:w="793" w:type="dxa"/>
          </w:tcPr>
          <w:p>
            <w:pPr>
              <w:pStyle w:val="0"/>
              <w:jc w:val="center"/>
            </w:pPr>
            <w:r>
              <w:rPr>
                <w:sz w:val="20"/>
              </w:rPr>
              <w:t xml:space="preserve">1</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907" w:type="dxa"/>
          </w:tcPr>
          <w:p>
            <w:pPr>
              <w:pStyle w:val="0"/>
              <w:jc w:val="center"/>
            </w:pPr>
            <w:r>
              <w:rPr>
                <w:sz w:val="20"/>
              </w:rPr>
              <w:t xml:space="preserve">1</w:t>
            </w:r>
          </w:p>
        </w:tc>
      </w:tr>
      <w:tr>
        <w:tc>
          <w:tcPr>
            <w:tcW w:w="566" w:type="dxa"/>
          </w:tcPr>
          <w:p>
            <w:pPr>
              <w:pStyle w:val="0"/>
              <w:jc w:val="both"/>
            </w:pPr>
            <w:r>
              <w:rPr>
                <w:sz w:val="20"/>
              </w:rPr>
              <w:t xml:space="preserve">7</w:t>
            </w:r>
          </w:p>
        </w:tc>
        <w:tc>
          <w:tcPr>
            <w:tcW w:w="3627" w:type="dxa"/>
          </w:tcPr>
          <w:p>
            <w:pPr>
              <w:pStyle w:val="0"/>
              <w:jc w:val="both"/>
            </w:pPr>
            <w:r>
              <w:rPr>
                <w:sz w:val="20"/>
              </w:rPr>
              <w:t xml:space="preserve">Тонометр портативный для измерения внутриглазного давления</w:t>
            </w:r>
          </w:p>
        </w:tc>
        <w:tc>
          <w:tcPr>
            <w:tcW w:w="793" w:type="dxa"/>
          </w:tcPr>
          <w:p>
            <w:pPr>
              <w:pStyle w:val="0"/>
              <w:jc w:val="center"/>
            </w:pPr>
            <w:r>
              <w:rPr>
                <w:sz w:val="20"/>
              </w:rPr>
              <w:t xml:space="preserve">0</w:t>
            </w:r>
          </w:p>
        </w:tc>
        <w:tc>
          <w:tcPr>
            <w:tcW w:w="793" w:type="dxa"/>
          </w:tcPr>
          <w:p>
            <w:pPr>
              <w:pStyle w:val="0"/>
              <w:jc w:val="center"/>
            </w:pPr>
            <w:r>
              <w:rPr>
                <w:sz w:val="20"/>
              </w:rPr>
              <w:t xml:space="preserve">4</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907" w:type="dxa"/>
          </w:tcPr>
          <w:p>
            <w:pPr>
              <w:pStyle w:val="0"/>
              <w:jc w:val="center"/>
            </w:pPr>
            <w:r>
              <w:rPr>
                <w:sz w:val="20"/>
              </w:rPr>
              <w:t xml:space="preserve">4</w:t>
            </w:r>
          </w:p>
        </w:tc>
      </w:tr>
      <w:tr>
        <w:tc>
          <w:tcPr>
            <w:tcW w:w="566" w:type="dxa"/>
          </w:tcPr>
          <w:p>
            <w:pPr>
              <w:pStyle w:val="0"/>
              <w:jc w:val="both"/>
            </w:pPr>
            <w:r>
              <w:rPr>
                <w:sz w:val="20"/>
              </w:rPr>
            </w:r>
          </w:p>
        </w:tc>
        <w:tc>
          <w:tcPr>
            <w:tcW w:w="3627" w:type="dxa"/>
          </w:tcPr>
          <w:p>
            <w:pPr>
              <w:pStyle w:val="0"/>
              <w:jc w:val="both"/>
            </w:pPr>
            <w:r>
              <w:rPr>
                <w:sz w:val="20"/>
              </w:rPr>
              <w:t xml:space="preserve">ИТОГО:</w:t>
            </w:r>
          </w:p>
        </w:tc>
        <w:tc>
          <w:tcPr>
            <w:tcW w:w="793" w:type="dxa"/>
          </w:tcPr>
          <w:p>
            <w:pPr>
              <w:pStyle w:val="0"/>
              <w:jc w:val="center"/>
            </w:pPr>
            <w:r>
              <w:rPr>
                <w:sz w:val="20"/>
              </w:rPr>
              <w:t xml:space="preserve">2</w:t>
            </w:r>
          </w:p>
        </w:tc>
        <w:tc>
          <w:tcPr>
            <w:tcW w:w="793" w:type="dxa"/>
          </w:tcPr>
          <w:p>
            <w:pPr>
              <w:pStyle w:val="0"/>
              <w:jc w:val="center"/>
            </w:pPr>
            <w:r>
              <w:rPr>
                <w:sz w:val="20"/>
              </w:rPr>
              <w:t xml:space="preserve">7</w:t>
            </w:r>
          </w:p>
        </w:tc>
        <w:tc>
          <w:tcPr>
            <w:tcW w:w="793" w:type="dxa"/>
          </w:tcPr>
          <w:p>
            <w:pPr>
              <w:pStyle w:val="0"/>
              <w:jc w:val="center"/>
            </w:pPr>
            <w:r>
              <w:rPr>
                <w:sz w:val="20"/>
              </w:rPr>
              <w:t xml:space="preserve">0</w:t>
            </w:r>
          </w:p>
        </w:tc>
        <w:tc>
          <w:tcPr>
            <w:tcW w:w="793" w:type="dxa"/>
          </w:tcPr>
          <w:p>
            <w:pPr>
              <w:pStyle w:val="0"/>
              <w:jc w:val="center"/>
            </w:pPr>
            <w:r>
              <w:rPr>
                <w:sz w:val="20"/>
              </w:rPr>
              <w:t xml:space="preserve">0</w:t>
            </w:r>
          </w:p>
        </w:tc>
        <w:tc>
          <w:tcPr>
            <w:tcW w:w="793" w:type="dxa"/>
          </w:tcPr>
          <w:p>
            <w:pPr>
              <w:pStyle w:val="0"/>
              <w:jc w:val="center"/>
            </w:pPr>
            <w:r>
              <w:rPr>
                <w:sz w:val="20"/>
              </w:rPr>
              <w:t xml:space="preserve">10</w:t>
            </w:r>
          </w:p>
        </w:tc>
        <w:tc>
          <w:tcPr>
            <w:tcW w:w="907" w:type="dxa"/>
          </w:tcPr>
          <w:p>
            <w:pPr>
              <w:pStyle w:val="0"/>
              <w:jc w:val="center"/>
            </w:pPr>
            <w:r>
              <w:rPr>
                <w:sz w:val="20"/>
              </w:rPr>
              <w:t xml:space="preserve">19</w:t>
            </w:r>
          </w:p>
        </w:tc>
      </w:tr>
    </w:tbl>
    <w:p>
      <w:pPr>
        <w:pStyle w:val="0"/>
        <w:jc w:val="both"/>
      </w:pPr>
      <w:r>
        <w:rPr>
          <w:sz w:val="20"/>
        </w:rPr>
      </w:r>
    </w:p>
    <w:p>
      <w:pPr>
        <w:pStyle w:val="0"/>
        <w:outlineLvl w:val="3"/>
        <w:jc w:val="right"/>
      </w:pPr>
      <w:r>
        <w:rPr>
          <w:sz w:val="20"/>
        </w:rPr>
        <w:t xml:space="preserve">Таблица 4</w:t>
      </w:r>
    </w:p>
    <w:p>
      <w:pPr>
        <w:pStyle w:val="0"/>
        <w:jc w:val="both"/>
      </w:pPr>
      <w:r>
        <w:rPr>
          <w:sz w:val="20"/>
        </w:rPr>
      </w:r>
    </w:p>
    <w:p>
      <w:pPr>
        <w:pStyle w:val="2"/>
        <w:jc w:val="center"/>
      </w:pPr>
      <w:r>
        <w:rPr>
          <w:sz w:val="20"/>
        </w:rPr>
        <w:t xml:space="preserve">Сводный перечень оборудования, в том числе медицинских</w:t>
      </w:r>
    </w:p>
    <w:p>
      <w:pPr>
        <w:pStyle w:val="2"/>
        <w:jc w:val="center"/>
      </w:pPr>
      <w:r>
        <w:rPr>
          <w:sz w:val="20"/>
        </w:rPr>
        <w:t xml:space="preserve">изделий (МИ), подлежащих замене в связи с износом</w:t>
      </w:r>
    </w:p>
    <w:p>
      <w:pPr>
        <w:pStyle w:val="2"/>
        <w:jc w:val="center"/>
      </w:pPr>
      <w:r>
        <w:rPr>
          <w:sz w:val="20"/>
        </w:rPr>
        <w:t xml:space="preserve">в соответствии с утвержденными порядками, положениями</w:t>
      </w:r>
    </w:p>
    <w:p>
      <w:pPr>
        <w:pStyle w:val="2"/>
        <w:jc w:val="center"/>
      </w:pPr>
      <w:r>
        <w:rPr>
          <w:sz w:val="20"/>
        </w:rPr>
        <w:t xml:space="preserve">и правилами в медицинских организациях, подведомственных</w:t>
      </w:r>
    </w:p>
    <w:p>
      <w:pPr>
        <w:pStyle w:val="2"/>
        <w:jc w:val="center"/>
      </w:pPr>
      <w:r>
        <w:rPr>
          <w:sz w:val="20"/>
        </w:rPr>
        <w:t xml:space="preserve">Департаменту здравоохранения города Севастополя,</w:t>
      </w:r>
    </w:p>
    <w:p>
      <w:pPr>
        <w:pStyle w:val="2"/>
        <w:jc w:val="center"/>
      </w:pPr>
      <w:r>
        <w:rPr>
          <w:sz w:val="20"/>
        </w:rPr>
        <w:t xml:space="preserve">расположенных на территории города Севастополя, оказывающих</w:t>
      </w:r>
    </w:p>
    <w:p>
      <w:pPr>
        <w:pStyle w:val="2"/>
        <w:jc w:val="center"/>
      </w:pPr>
      <w:r>
        <w:rPr>
          <w:sz w:val="20"/>
        </w:rPr>
        <w:t xml:space="preserve">первичную медико-санитарную помощь взрослым и детям,</w:t>
      </w:r>
    </w:p>
    <w:p>
      <w:pPr>
        <w:pStyle w:val="2"/>
        <w:jc w:val="center"/>
      </w:pPr>
      <w:r>
        <w:rPr>
          <w:sz w:val="20"/>
        </w:rPr>
        <w:t xml:space="preserve">их обособленных структурных подразделениях, центральных</w:t>
      </w:r>
    </w:p>
    <w:p>
      <w:pPr>
        <w:pStyle w:val="2"/>
        <w:jc w:val="center"/>
      </w:pPr>
      <w:r>
        <w:rPr>
          <w:sz w:val="20"/>
        </w:rPr>
        <w:t xml:space="preserve">районных и районных больницах</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456"/>
        <w:gridCol w:w="819"/>
        <w:gridCol w:w="819"/>
        <w:gridCol w:w="819"/>
        <w:gridCol w:w="819"/>
        <w:gridCol w:w="822"/>
        <w:gridCol w:w="907"/>
      </w:tblGrid>
      <w:tr>
        <w:tc>
          <w:tcPr>
            <w:tcW w:w="567" w:type="dxa"/>
            <w:vMerge w:val="restart"/>
          </w:tcPr>
          <w:p>
            <w:pPr>
              <w:pStyle w:val="0"/>
              <w:jc w:val="center"/>
            </w:pPr>
            <w:r>
              <w:rPr>
                <w:sz w:val="20"/>
              </w:rPr>
              <w:t xml:space="preserve">N п/п</w:t>
            </w:r>
          </w:p>
        </w:tc>
        <w:tc>
          <w:tcPr>
            <w:tcW w:w="3456" w:type="dxa"/>
            <w:vMerge w:val="restart"/>
          </w:tcPr>
          <w:p>
            <w:pPr>
              <w:pStyle w:val="0"/>
              <w:jc w:val="center"/>
            </w:pPr>
            <w:r>
              <w:rPr>
                <w:sz w:val="20"/>
              </w:rPr>
              <w:t xml:space="preserve">Наименование МИ</w:t>
            </w:r>
          </w:p>
        </w:tc>
        <w:tc>
          <w:tcPr>
            <w:gridSpan w:val="6"/>
            <w:tcW w:w="5005" w:type="dxa"/>
          </w:tcPr>
          <w:p>
            <w:pPr>
              <w:pStyle w:val="0"/>
              <w:jc w:val="center"/>
            </w:pPr>
            <w:r>
              <w:rPr>
                <w:sz w:val="20"/>
              </w:rPr>
              <w:t xml:space="preserve">Планируемое количество МИ по годам приобретения (ед.)</w:t>
            </w:r>
          </w:p>
        </w:tc>
      </w:tr>
      <w:tr>
        <w:tc>
          <w:tcPr>
            <w:vMerge w:val="continue"/>
          </w:tcPr>
          <w:p/>
        </w:tc>
        <w:tc>
          <w:tcPr>
            <w:vMerge w:val="continue"/>
          </w:tcPr>
          <w:p/>
        </w:tc>
        <w:tc>
          <w:tcPr>
            <w:tcW w:w="819" w:type="dxa"/>
          </w:tcPr>
          <w:p>
            <w:pPr>
              <w:pStyle w:val="0"/>
              <w:jc w:val="center"/>
            </w:pPr>
            <w:r>
              <w:rPr>
                <w:sz w:val="20"/>
              </w:rPr>
              <w:t xml:space="preserve">2021</w:t>
            </w:r>
          </w:p>
        </w:tc>
        <w:tc>
          <w:tcPr>
            <w:tcW w:w="819" w:type="dxa"/>
          </w:tcPr>
          <w:p>
            <w:pPr>
              <w:pStyle w:val="0"/>
              <w:jc w:val="center"/>
            </w:pPr>
            <w:r>
              <w:rPr>
                <w:sz w:val="20"/>
              </w:rPr>
              <w:t xml:space="preserve">2022</w:t>
            </w:r>
          </w:p>
        </w:tc>
        <w:tc>
          <w:tcPr>
            <w:tcW w:w="819" w:type="dxa"/>
          </w:tcPr>
          <w:p>
            <w:pPr>
              <w:pStyle w:val="0"/>
              <w:jc w:val="center"/>
            </w:pPr>
            <w:r>
              <w:rPr>
                <w:sz w:val="20"/>
              </w:rPr>
              <w:t xml:space="preserve">2023</w:t>
            </w:r>
          </w:p>
        </w:tc>
        <w:tc>
          <w:tcPr>
            <w:tcW w:w="819" w:type="dxa"/>
          </w:tcPr>
          <w:p>
            <w:pPr>
              <w:pStyle w:val="0"/>
              <w:jc w:val="center"/>
            </w:pPr>
            <w:r>
              <w:rPr>
                <w:sz w:val="20"/>
              </w:rPr>
              <w:t xml:space="preserve">2024</w:t>
            </w:r>
          </w:p>
        </w:tc>
        <w:tc>
          <w:tcPr>
            <w:tcW w:w="822" w:type="dxa"/>
          </w:tcPr>
          <w:p>
            <w:pPr>
              <w:pStyle w:val="0"/>
              <w:jc w:val="center"/>
            </w:pPr>
            <w:r>
              <w:rPr>
                <w:sz w:val="20"/>
              </w:rPr>
              <w:t xml:space="preserve">2025</w:t>
            </w:r>
          </w:p>
        </w:tc>
        <w:tc>
          <w:tcPr>
            <w:tcW w:w="907" w:type="dxa"/>
          </w:tcPr>
          <w:p>
            <w:pPr>
              <w:pStyle w:val="0"/>
              <w:jc w:val="center"/>
            </w:pPr>
            <w:r>
              <w:rPr>
                <w:sz w:val="20"/>
              </w:rPr>
              <w:t xml:space="preserve">всего 2021 - 2025</w:t>
            </w:r>
          </w:p>
        </w:tc>
      </w:tr>
      <w:tr>
        <w:tc>
          <w:tcPr>
            <w:tcW w:w="567" w:type="dxa"/>
          </w:tcPr>
          <w:p>
            <w:pPr>
              <w:pStyle w:val="0"/>
              <w:jc w:val="center"/>
            </w:pPr>
            <w:r>
              <w:rPr>
                <w:sz w:val="20"/>
              </w:rPr>
              <w:t xml:space="preserve">1</w:t>
            </w:r>
          </w:p>
        </w:tc>
        <w:tc>
          <w:tcPr>
            <w:tcW w:w="3456" w:type="dxa"/>
          </w:tcPr>
          <w:p>
            <w:pPr>
              <w:pStyle w:val="0"/>
              <w:jc w:val="center"/>
            </w:pPr>
            <w:r>
              <w:rPr>
                <w:sz w:val="20"/>
              </w:rPr>
              <w:t xml:space="preserve">2</w:t>
            </w:r>
          </w:p>
        </w:tc>
        <w:tc>
          <w:tcPr>
            <w:tcW w:w="819" w:type="dxa"/>
          </w:tcPr>
          <w:p>
            <w:pPr>
              <w:pStyle w:val="0"/>
              <w:jc w:val="center"/>
            </w:pPr>
            <w:r>
              <w:rPr>
                <w:sz w:val="20"/>
              </w:rPr>
              <w:t xml:space="preserve">3</w:t>
            </w:r>
          </w:p>
        </w:tc>
        <w:tc>
          <w:tcPr>
            <w:tcW w:w="819" w:type="dxa"/>
          </w:tcPr>
          <w:p>
            <w:pPr>
              <w:pStyle w:val="0"/>
              <w:jc w:val="center"/>
            </w:pPr>
            <w:r>
              <w:rPr>
                <w:sz w:val="20"/>
              </w:rPr>
              <w:t xml:space="preserve">4</w:t>
            </w:r>
          </w:p>
        </w:tc>
        <w:tc>
          <w:tcPr>
            <w:tcW w:w="819" w:type="dxa"/>
          </w:tcPr>
          <w:p>
            <w:pPr>
              <w:pStyle w:val="0"/>
              <w:jc w:val="center"/>
            </w:pPr>
            <w:r>
              <w:rPr>
                <w:sz w:val="20"/>
              </w:rPr>
              <w:t xml:space="preserve">5</w:t>
            </w:r>
          </w:p>
        </w:tc>
        <w:tc>
          <w:tcPr>
            <w:tcW w:w="819" w:type="dxa"/>
          </w:tcPr>
          <w:p>
            <w:pPr>
              <w:pStyle w:val="0"/>
              <w:jc w:val="center"/>
            </w:pPr>
            <w:r>
              <w:rPr>
                <w:sz w:val="20"/>
              </w:rPr>
              <w:t xml:space="preserve">6</w:t>
            </w:r>
          </w:p>
        </w:tc>
        <w:tc>
          <w:tcPr>
            <w:tcW w:w="822" w:type="dxa"/>
          </w:tcPr>
          <w:p>
            <w:pPr>
              <w:pStyle w:val="0"/>
              <w:jc w:val="center"/>
            </w:pPr>
            <w:r>
              <w:rPr>
                <w:sz w:val="20"/>
              </w:rPr>
              <w:t xml:space="preserve">7</w:t>
            </w:r>
          </w:p>
        </w:tc>
        <w:tc>
          <w:tcPr>
            <w:tcW w:w="907" w:type="dxa"/>
          </w:tcPr>
          <w:p>
            <w:pPr>
              <w:pStyle w:val="0"/>
              <w:jc w:val="center"/>
            </w:pPr>
            <w:r>
              <w:rPr>
                <w:sz w:val="20"/>
              </w:rPr>
              <w:t xml:space="preserve">8</w:t>
            </w:r>
          </w:p>
        </w:tc>
      </w:tr>
      <w:tr>
        <w:tc>
          <w:tcPr>
            <w:tcW w:w="567" w:type="dxa"/>
          </w:tcPr>
          <w:p>
            <w:pPr>
              <w:pStyle w:val="0"/>
              <w:jc w:val="center"/>
            </w:pPr>
            <w:r>
              <w:rPr>
                <w:sz w:val="20"/>
              </w:rPr>
            </w:r>
          </w:p>
        </w:tc>
        <w:tc>
          <w:tcPr>
            <w:tcW w:w="3456" w:type="dxa"/>
          </w:tcPr>
          <w:p>
            <w:pPr>
              <w:pStyle w:val="0"/>
              <w:jc w:val="both"/>
            </w:pPr>
            <w:r>
              <w:rPr>
                <w:sz w:val="20"/>
              </w:rPr>
              <w:t xml:space="preserve">ИТОГО:</w:t>
            </w:r>
          </w:p>
        </w:tc>
        <w:tc>
          <w:tcPr>
            <w:tcW w:w="819" w:type="dxa"/>
          </w:tcPr>
          <w:p>
            <w:pPr>
              <w:pStyle w:val="0"/>
              <w:jc w:val="center"/>
            </w:pPr>
            <w:r>
              <w:rPr>
                <w:sz w:val="20"/>
              </w:rPr>
              <w:t xml:space="preserve">0</w:t>
            </w:r>
          </w:p>
        </w:tc>
        <w:tc>
          <w:tcPr>
            <w:tcW w:w="819" w:type="dxa"/>
          </w:tcPr>
          <w:p>
            <w:pPr>
              <w:pStyle w:val="0"/>
              <w:jc w:val="center"/>
            </w:pPr>
            <w:r>
              <w:rPr>
                <w:sz w:val="20"/>
              </w:rPr>
              <w:t xml:space="preserve">0</w:t>
            </w:r>
          </w:p>
        </w:tc>
        <w:tc>
          <w:tcPr>
            <w:tcW w:w="819" w:type="dxa"/>
          </w:tcPr>
          <w:p>
            <w:pPr>
              <w:pStyle w:val="0"/>
              <w:jc w:val="center"/>
            </w:pPr>
            <w:r>
              <w:rPr>
                <w:sz w:val="20"/>
              </w:rPr>
              <w:t xml:space="preserve">0</w:t>
            </w:r>
          </w:p>
        </w:tc>
        <w:tc>
          <w:tcPr>
            <w:tcW w:w="819" w:type="dxa"/>
          </w:tcPr>
          <w:p>
            <w:pPr>
              <w:pStyle w:val="0"/>
              <w:jc w:val="center"/>
            </w:pPr>
            <w:r>
              <w:rPr>
                <w:sz w:val="20"/>
              </w:rPr>
              <w:t xml:space="preserve">0</w:t>
            </w:r>
          </w:p>
        </w:tc>
        <w:tc>
          <w:tcPr>
            <w:tcW w:w="822" w:type="dxa"/>
          </w:tcPr>
          <w:p>
            <w:pPr>
              <w:pStyle w:val="0"/>
              <w:jc w:val="center"/>
            </w:pPr>
            <w:r>
              <w:rPr>
                <w:sz w:val="20"/>
              </w:rPr>
              <w:t xml:space="preserve">0</w:t>
            </w:r>
          </w:p>
        </w:tc>
        <w:tc>
          <w:tcPr>
            <w:tcW w:w="907" w:type="dxa"/>
          </w:tcPr>
          <w:p>
            <w:pPr>
              <w:pStyle w:val="0"/>
              <w:jc w:val="center"/>
            </w:pPr>
            <w:r>
              <w:rPr>
                <w:sz w:val="20"/>
              </w:rPr>
              <w:t xml:space="preserve">0</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9</w:t>
      </w:r>
    </w:p>
    <w:p>
      <w:pPr>
        <w:pStyle w:val="0"/>
        <w:jc w:val="right"/>
      </w:pPr>
      <w:r>
        <w:rPr>
          <w:sz w:val="20"/>
        </w:rPr>
        <w:t xml:space="preserve">к региональной программе</w:t>
      </w:r>
    </w:p>
    <w:p>
      <w:pPr>
        <w:pStyle w:val="0"/>
        <w:jc w:val="right"/>
      </w:pPr>
      <w:r>
        <w:rPr>
          <w:sz w:val="20"/>
        </w:rPr>
        <w:t xml:space="preserve">"Модернизация первичного звена</w:t>
      </w:r>
    </w:p>
    <w:p>
      <w:pPr>
        <w:pStyle w:val="0"/>
        <w:jc w:val="right"/>
      </w:pPr>
      <w:r>
        <w:rPr>
          <w:sz w:val="20"/>
        </w:rPr>
        <w:t xml:space="preserve">здравоохранения города Севастополя"</w:t>
      </w:r>
    </w:p>
    <w:p>
      <w:pPr>
        <w:pStyle w:val="0"/>
      </w:pPr>
      <w:r>
        <w:rPr>
          <w:sz w:val="20"/>
        </w:rPr>
      </w:r>
    </w:p>
    <w:bookmarkStart w:id="37915" w:name="P37915"/>
    <w:bookmarkEnd w:id="37915"/>
    <w:p>
      <w:pPr>
        <w:pStyle w:val="2"/>
        <w:jc w:val="center"/>
      </w:pPr>
      <w:r>
        <w:rPr>
          <w:sz w:val="20"/>
        </w:rPr>
        <w:t xml:space="preserve">Оснащение медицинских организаций</w:t>
      </w:r>
    </w:p>
    <w:p>
      <w:pPr>
        <w:pStyle w:val="2"/>
        <w:jc w:val="center"/>
      </w:pPr>
      <w:r>
        <w:rPr>
          <w:sz w:val="20"/>
        </w:rPr>
        <w:t xml:space="preserve">автотранспортными средствами</w:t>
      </w:r>
    </w:p>
    <w:p>
      <w:pPr>
        <w:pStyle w:val="0"/>
      </w:pPr>
      <w:r>
        <w:rPr>
          <w:sz w:val="20"/>
        </w:rPr>
      </w:r>
    </w:p>
    <w:p>
      <w:pPr>
        <w:pStyle w:val="0"/>
        <w:outlineLvl w:val="3"/>
        <w:jc w:val="right"/>
      </w:pPr>
      <w:r>
        <w:rPr>
          <w:sz w:val="20"/>
        </w:rPr>
        <w:t xml:space="preserve">Таблица 1</w:t>
      </w:r>
    </w:p>
    <w:p>
      <w:pPr>
        <w:pStyle w:val="0"/>
      </w:pPr>
      <w:r>
        <w:rPr>
          <w:sz w:val="20"/>
        </w:rPr>
      </w:r>
    </w:p>
    <w:p>
      <w:pPr>
        <w:pStyle w:val="2"/>
        <w:jc w:val="center"/>
      </w:pPr>
      <w:r>
        <w:rPr>
          <w:sz w:val="20"/>
        </w:rPr>
        <w:t xml:space="preserve">Перечень автотранспорта, планируемого к замене</w:t>
      </w:r>
    </w:p>
    <w:p>
      <w:pPr>
        <w:pStyle w:val="2"/>
        <w:jc w:val="center"/>
      </w:pPr>
      <w:r>
        <w:rPr>
          <w:sz w:val="20"/>
        </w:rPr>
        <w:t xml:space="preserve">в медицинских организациях</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279"/>
        <w:gridCol w:w="737"/>
        <w:gridCol w:w="1757"/>
        <w:gridCol w:w="1644"/>
        <w:gridCol w:w="1304"/>
        <w:gridCol w:w="1417"/>
        <w:gridCol w:w="1191"/>
        <w:gridCol w:w="737"/>
        <w:gridCol w:w="737"/>
        <w:gridCol w:w="680"/>
        <w:gridCol w:w="737"/>
        <w:gridCol w:w="782"/>
      </w:tblGrid>
      <w:tr>
        <w:tc>
          <w:tcPr>
            <w:tcW w:w="567" w:type="dxa"/>
            <w:vMerge w:val="restart"/>
          </w:tcPr>
          <w:p>
            <w:pPr>
              <w:pStyle w:val="0"/>
              <w:jc w:val="center"/>
            </w:pPr>
            <w:r>
              <w:rPr>
                <w:sz w:val="20"/>
              </w:rPr>
              <w:t xml:space="preserve">N п/п</w:t>
            </w:r>
          </w:p>
        </w:tc>
        <w:tc>
          <w:tcPr>
            <w:tcW w:w="1279" w:type="dxa"/>
            <w:vMerge w:val="restart"/>
          </w:tcPr>
          <w:p>
            <w:pPr>
              <w:pStyle w:val="0"/>
              <w:jc w:val="center"/>
            </w:pPr>
            <w:r>
              <w:rPr>
                <w:sz w:val="20"/>
              </w:rPr>
              <w:t xml:space="preserve">Учреждение (полное наименование)</w:t>
            </w:r>
          </w:p>
        </w:tc>
        <w:tc>
          <w:tcPr>
            <w:tcW w:w="737" w:type="dxa"/>
            <w:vMerge w:val="restart"/>
          </w:tcPr>
          <w:p>
            <w:pPr>
              <w:pStyle w:val="0"/>
              <w:jc w:val="center"/>
            </w:pPr>
            <w:r>
              <w:rPr>
                <w:sz w:val="20"/>
              </w:rPr>
              <w:t xml:space="preserve">ИНН</w:t>
            </w:r>
          </w:p>
        </w:tc>
        <w:tc>
          <w:tcPr>
            <w:tcW w:w="1757" w:type="dxa"/>
            <w:vMerge w:val="restart"/>
          </w:tcPr>
          <w:p>
            <w:pPr>
              <w:pStyle w:val="0"/>
              <w:jc w:val="center"/>
            </w:pPr>
            <w:r>
              <w:rPr>
                <w:sz w:val="20"/>
              </w:rPr>
              <w:t xml:space="preserve">Наименование структурного подразделения, использующего транспортное средство</w:t>
            </w:r>
          </w:p>
        </w:tc>
        <w:tc>
          <w:tcPr>
            <w:tcW w:w="1644" w:type="dxa"/>
            <w:vMerge w:val="restart"/>
          </w:tcPr>
          <w:p>
            <w:pPr>
              <w:pStyle w:val="0"/>
              <w:jc w:val="center"/>
            </w:pPr>
            <w:r>
              <w:rPr>
                <w:sz w:val="20"/>
              </w:rPr>
              <w:t xml:space="preserve">Условия оказания медицинской помощи структурного подразделения (стационарно/амбулаторно)</w:t>
            </w:r>
          </w:p>
        </w:tc>
        <w:tc>
          <w:tcPr>
            <w:tcW w:w="1304" w:type="dxa"/>
            <w:vMerge w:val="restart"/>
          </w:tcPr>
          <w:p>
            <w:pPr>
              <w:pStyle w:val="0"/>
              <w:jc w:val="center"/>
            </w:pPr>
            <w:r>
              <w:rPr>
                <w:sz w:val="20"/>
              </w:rPr>
              <w:t xml:space="preserve">Тип транспорта</w:t>
            </w:r>
          </w:p>
        </w:tc>
        <w:tc>
          <w:tcPr>
            <w:tcW w:w="1417" w:type="dxa"/>
            <w:vMerge w:val="restart"/>
          </w:tcPr>
          <w:p>
            <w:pPr>
              <w:pStyle w:val="0"/>
              <w:jc w:val="center"/>
            </w:pPr>
            <w:r>
              <w:rPr>
                <w:sz w:val="20"/>
              </w:rPr>
              <w:t xml:space="preserve">Модель транспортного средства</w:t>
            </w:r>
          </w:p>
        </w:tc>
        <w:tc>
          <w:tcPr>
            <w:tcW w:w="1191" w:type="dxa"/>
            <w:vMerge w:val="restart"/>
          </w:tcPr>
          <w:p>
            <w:pPr>
              <w:pStyle w:val="0"/>
              <w:jc w:val="center"/>
            </w:pPr>
            <w:r>
              <w:rPr>
                <w:sz w:val="20"/>
              </w:rPr>
              <w:t xml:space="preserve">Дата выпуска транспортного средства (по ПТС)</w:t>
            </w:r>
          </w:p>
        </w:tc>
        <w:tc>
          <w:tcPr>
            <w:gridSpan w:val="5"/>
            <w:tcW w:w="3673" w:type="dxa"/>
          </w:tcPr>
          <w:p>
            <w:pPr>
              <w:pStyle w:val="0"/>
              <w:jc w:val="center"/>
            </w:pPr>
            <w:r>
              <w:rPr>
                <w:sz w:val="20"/>
              </w:rPr>
              <w:t xml:space="preserve">Транспортное средство подлежит замене в следующем году в расчете от даты выпуска (ед.)</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737" w:type="dxa"/>
          </w:tcPr>
          <w:p>
            <w:pPr>
              <w:pStyle w:val="0"/>
              <w:jc w:val="center"/>
            </w:pPr>
            <w:r>
              <w:rPr>
                <w:sz w:val="20"/>
              </w:rPr>
              <w:t xml:space="preserve">2021</w:t>
            </w:r>
          </w:p>
        </w:tc>
        <w:tc>
          <w:tcPr>
            <w:tcW w:w="737" w:type="dxa"/>
          </w:tcPr>
          <w:p>
            <w:pPr>
              <w:pStyle w:val="0"/>
              <w:jc w:val="center"/>
            </w:pPr>
            <w:r>
              <w:rPr>
                <w:sz w:val="20"/>
              </w:rPr>
              <w:t xml:space="preserve">2022</w:t>
            </w:r>
          </w:p>
        </w:tc>
        <w:tc>
          <w:tcPr>
            <w:tcW w:w="680" w:type="dxa"/>
          </w:tcPr>
          <w:p>
            <w:pPr>
              <w:pStyle w:val="0"/>
              <w:jc w:val="center"/>
            </w:pPr>
            <w:r>
              <w:rPr>
                <w:sz w:val="20"/>
              </w:rPr>
              <w:t xml:space="preserve">2023</w:t>
            </w:r>
          </w:p>
        </w:tc>
        <w:tc>
          <w:tcPr>
            <w:tcW w:w="737" w:type="dxa"/>
          </w:tcPr>
          <w:p>
            <w:pPr>
              <w:pStyle w:val="0"/>
              <w:jc w:val="center"/>
            </w:pPr>
            <w:r>
              <w:rPr>
                <w:sz w:val="20"/>
              </w:rPr>
              <w:t xml:space="preserve">2024</w:t>
            </w:r>
          </w:p>
        </w:tc>
        <w:tc>
          <w:tcPr>
            <w:tcW w:w="782" w:type="dxa"/>
          </w:tcPr>
          <w:p>
            <w:pPr>
              <w:pStyle w:val="0"/>
              <w:jc w:val="center"/>
            </w:pPr>
            <w:r>
              <w:rPr>
                <w:sz w:val="20"/>
              </w:rPr>
              <w:t xml:space="preserve">2025</w:t>
            </w:r>
          </w:p>
        </w:tc>
      </w:tr>
      <w:tr>
        <w:tc>
          <w:tcPr>
            <w:tcW w:w="567" w:type="dxa"/>
          </w:tcPr>
          <w:p>
            <w:pPr>
              <w:pStyle w:val="0"/>
              <w:jc w:val="both"/>
            </w:pPr>
            <w:r>
              <w:rPr>
                <w:sz w:val="20"/>
              </w:rPr>
              <w:t xml:space="preserve">1</w:t>
            </w:r>
          </w:p>
        </w:tc>
        <w:tc>
          <w:tcPr>
            <w:tcW w:w="1279" w:type="dxa"/>
          </w:tcPr>
          <w:p>
            <w:pPr>
              <w:pStyle w:val="0"/>
              <w:jc w:val="center"/>
            </w:pPr>
            <w:r>
              <w:rPr>
                <w:sz w:val="20"/>
              </w:rPr>
              <w:t xml:space="preserve">-</w:t>
            </w:r>
          </w:p>
        </w:tc>
        <w:tc>
          <w:tcPr>
            <w:tcW w:w="737" w:type="dxa"/>
          </w:tcPr>
          <w:p>
            <w:pPr>
              <w:pStyle w:val="0"/>
              <w:jc w:val="center"/>
            </w:pPr>
            <w:r>
              <w:rPr>
                <w:sz w:val="20"/>
              </w:rPr>
              <w:t xml:space="preserve">-</w:t>
            </w:r>
          </w:p>
        </w:tc>
        <w:tc>
          <w:tcPr>
            <w:tcW w:w="1757" w:type="dxa"/>
          </w:tcPr>
          <w:p>
            <w:pPr>
              <w:pStyle w:val="0"/>
              <w:jc w:val="center"/>
            </w:pPr>
            <w:r>
              <w:rPr>
                <w:sz w:val="20"/>
              </w:rPr>
              <w:t xml:space="preserve">-</w:t>
            </w:r>
          </w:p>
        </w:tc>
        <w:tc>
          <w:tcPr>
            <w:tcW w:w="1644" w:type="dxa"/>
          </w:tcPr>
          <w:p>
            <w:pPr>
              <w:pStyle w:val="0"/>
              <w:jc w:val="center"/>
            </w:pPr>
            <w:r>
              <w:rPr>
                <w:sz w:val="20"/>
              </w:rPr>
              <w:t xml:space="preserve">-</w:t>
            </w:r>
          </w:p>
        </w:tc>
        <w:tc>
          <w:tcPr>
            <w:tcW w:w="1304" w:type="dxa"/>
          </w:tcPr>
          <w:p>
            <w:pPr>
              <w:pStyle w:val="0"/>
              <w:jc w:val="center"/>
            </w:pPr>
            <w:r>
              <w:rPr>
                <w:sz w:val="20"/>
              </w:rPr>
              <w:t xml:space="preserve">-</w:t>
            </w:r>
          </w:p>
        </w:tc>
        <w:tc>
          <w:tcPr>
            <w:tcW w:w="1417" w:type="dxa"/>
          </w:tcPr>
          <w:p>
            <w:pPr>
              <w:pStyle w:val="0"/>
              <w:jc w:val="center"/>
            </w:pPr>
            <w:r>
              <w:rPr>
                <w:sz w:val="20"/>
              </w:rPr>
              <w:t xml:space="preserve">-</w:t>
            </w:r>
          </w:p>
        </w:tc>
        <w:tc>
          <w:tcPr>
            <w:tcW w:w="1191"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80" w:type="dxa"/>
          </w:tcPr>
          <w:p>
            <w:pPr>
              <w:pStyle w:val="0"/>
              <w:jc w:val="center"/>
            </w:pPr>
            <w:r>
              <w:rPr>
                <w:sz w:val="20"/>
              </w:rPr>
              <w:t xml:space="preserve">-</w:t>
            </w:r>
          </w:p>
        </w:tc>
        <w:tc>
          <w:tcPr>
            <w:tcW w:w="737" w:type="dxa"/>
          </w:tcPr>
          <w:p>
            <w:pPr>
              <w:pStyle w:val="0"/>
              <w:jc w:val="center"/>
            </w:pPr>
            <w:r>
              <w:rPr>
                <w:sz w:val="20"/>
              </w:rPr>
              <w:t xml:space="preserve">-</w:t>
            </w:r>
          </w:p>
        </w:tc>
        <w:tc>
          <w:tcPr>
            <w:tcW w:w="782" w:type="dxa"/>
          </w:tcPr>
          <w:p>
            <w:pPr>
              <w:pStyle w:val="0"/>
              <w:jc w:val="center"/>
            </w:pPr>
            <w:r>
              <w:rPr>
                <w:sz w:val="20"/>
              </w:rPr>
              <w:t xml:space="preserve">-</w:t>
            </w:r>
          </w:p>
        </w:tc>
      </w:tr>
    </w:tbl>
    <w:p>
      <w:pPr>
        <w:pStyle w:val="0"/>
        <w:jc w:val="center"/>
      </w:pPr>
      <w:r>
        <w:rPr>
          <w:sz w:val="20"/>
        </w:rPr>
      </w:r>
    </w:p>
    <w:p>
      <w:pPr>
        <w:pStyle w:val="0"/>
        <w:outlineLvl w:val="3"/>
        <w:jc w:val="right"/>
      </w:pPr>
      <w:r>
        <w:rPr>
          <w:sz w:val="20"/>
        </w:rPr>
        <w:t xml:space="preserve">Таблица 2</w:t>
      </w:r>
    </w:p>
    <w:p>
      <w:pPr>
        <w:pStyle w:val="0"/>
      </w:pPr>
      <w:r>
        <w:rPr>
          <w:sz w:val="20"/>
        </w:rPr>
      </w:r>
    </w:p>
    <w:p>
      <w:pPr>
        <w:pStyle w:val="2"/>
        <w:jc w:val="center"/>
      </w:pPr>
      <w:r>
        <w:rPr>
          <w:sz w:val="20"/>
        </w:rPr>
        <w:t xml:space="preserve">Перечень автотранспорта, планируемого к приобретению</w:t>
      </w:r>
    </w:p>
    <w:p>
      <w:pPr>
        <w:pStyle w:val="2"/>
        <w:jc w:val="center"/>
      </w:pPr>
      <w:r>
        <w:rPr>
          <w:sz w:val="20"/>
        </w:rPr>
        <w:t xml:space="preserve">в медицинских организациях города Севастополя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417"/>
        <w:gridCol w:w="1417"/>
        <w:gridCol w:w="1792"/>
        <w:gridCol w:w="1644"/>
        <w:gridCol w:w="2948"/>
        <w:gridCol w:w="759"/>
        <w:gridCol w:w="759"/>
        <w:gridCol w:w="759"/>
        <w:gridCol w:w="759"/>
        <w:gridCol w:w="760"/>
      </w:tblGrid>
      <w:tr>
        <w:tc>
          <w:tcPr>
            <w:tcW w:w="567" w:type="dxa"/>
            <w:vMerge w:val="restart"/>
          </w:tcPr>
          <w:p>
            <w:pPr>
              <w:pStyle w:val="0"/>
              <w:jc w:val="center"/>
            </w:pPr>
            <w:r>
              <w:rPr>
                <w:sz w:val="20"/>
              </w:rPr>
              <w:t xml:space="preserve">N п/п</w:t>
            </w:r>
          </w:p>
        </w:tc>
        <w:tc>
          <w:tcPr>
            <w:tcW w:w="1417" w:type="dxa"/>
            <w:vMerge w:val="restart"/>
          </w:tcPr>
          <w:p>
            <w:pPr>
              <w:pStyle w:val="0"/>
              <w:jc w:val="center"/>
            </w:pPr>
            <w:r>
              <w:rPr>
                <w:sz w:val="20"/>
              </w:rPr>
              <w:t xml:space="preserve">Учреждение (полное наименование)</w:t>
            </w:r>
          </w:p>
        </w:tc>
        <w:tc>
          <w:tcPr>
            <w:tcW w:w="1417" w:type="dxa"/>
            <w:vMerge w:val="restart"/>
          </w:tcPr>
          <w:p>
            <w:pPr>
              <w:pStyle w:val="0"/>
              <w:jc w:val="center"/>
            </w:pPr>
            <w:r>
              <w:rPr>
                <w:sz w:val="20"/>
              </w:rPr>
              <w:t xml:space="preserve">ИНН</w:t>
            </w:r>
          </w:p>
        </w:tc>
        <w:tc>
          <w:tcPr>
            <w:tcW w:w="1792" w:type="dxa"/>
            <w:vMerge w:val="restart"/>
          </w:tcPr>
          <w:p>
            <w:pPr>
              <w:pStyle w:val="0"/>
              <w:jc w:val="center"/>
            </w:pPr>
            <w:r>
              <w:rPr>
                <w:sz w:val="20"/>
              </w:rPr>
              <w:t xml:space="preserve">Наименование структурного подразделения, использующего транспортное средство</w:t>
            </w:r>
          </w:p>
        </w:tc>
        <w:tc>
          <w:tcPr>
            <w:tcW w:w="1644" w:type="dxa"/>
            <w:vMerge w:val="restart"/>
          </w:tcPr>
          <w:p>
            <w:pPr>
              <w:pStyle w:val="0"/>
              <w:jc w:val="center"/>
            </w:pPr>
            <w:r>
              <w:rPr>
                <w:sz w:val="20"/>
              </w:rPr>
              <w:t xml:space="preserve">Условия оказания медицинской помощи структурного подразделения (стационарно/амбулаторно)</w:t>
            </w:r>
          </w:p>
        </w:tc>
        <w:tc>
          <w:tcPr>
            <w:tcW w:w="2948" w:type="dxa"/>
            <w:vMerge w:val="restart"/>
          </w:tcPr>
          <w:p>
            <w:pPr>
              <w:pStyle w:val="0"/>
              <w:jc w:val="center"/>
            </w:pPr>
            <w:r>
              <w:rPr>
                <w:sz w:val="20"/>
              </w:rPr>
              <w:t xml:space="preserve">Тип транспорта</w:t>
            </w:r>
          </w:p>
        </w:tc>
        <w:tc>
          <w:tcPr>
            <w:gridSpan w:val="5"/>
            <w:tcW w:w="3796" w:type="dxa"/>
          </w:tcPr>
          <w:p>
            <w:pPr>
              <w:pStyle w:val="0"/>
              <w:jc w:val="center"/>
            </w:pPr>
            <w:r>
              <w:rPr>
                <w:sz w:val="20"/>
              </w:rPr>
              <w:t xml:space="preserve">Транспортное средство, планируемое к приобретению в следующем году (ед.)</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759" w:type="dxa"/>
          </w:tcPr>
          <w:p>
            <w:pPr>
              <w:pStyle w:val="0"/>
              <w:jc w:val="center"/>
            </w:pPr>
            <w:r>
              <w:rPr>
                <w:sz w:val="20"/>
              </w:rPr>
              <w:t xml:space="preserve">2021</w:t>
            </w:r>
          </w:p>
        </w:tc>
        <w:tc>
          <w:tcPr>
            <w:tcW w:w="759" w:type="dxa"/>
          </w:tcPr>
          <w:p>
            <w:pPr>
              <w:pStyle w:val="0"/>
              <w:jc w:val="center"/>
            </w:pPr>
            <w:r>
              <w:rPr>
                <w:sz w:val="20"/>
              </w:rPr>
              <w:t xml:space="preserve">2022</w:t>
            </w:r>
          </w:p>
        </w:tc>
        <w:tc>
          <w:tcPr>
            <w:tcW w:w="759" w:type="dxa"/>
          </w:tcPr>
          <w:p>
            <w:pPr>
              <w:pStyle w:val="0"/>
              <w:jc w:val="center"/>
            </w:pPr>
            <w:r>
              <w:rPr>
                <w:sz w:val="20"/>
              </w:rPr>
              <w:t xml:space="preserve">2023</w:t>
            </w:r>
          </w:p>
        </w:tc>
        <w:tc>
          <w:tcPr>
            <w:tcW w:w="759" w:type="dxa"/>
          </w:tcPr>
          <w:p>
            <w:pPr>
              <w:pStyle w:val="0"/>
              <w:jc w:val="center"/>
            </w:pPr>
            <w:r>
              <w:rPr>
                <w:sz w:val="20"/>
              </w:rPr>
              <w:t xml:space="preserve">2024</w:t>
            </w:r>
          </w:p>
        </w:tc>
        <w:tc>
          <w:tcPr>
            <w:tcW w:w="760" w:type="dxa"/>
          </w:tcPr>
          <w:p>
            <w:pPr>
              <w:pStyle w:val="0"/>
              <w:jc w:val="center"/>
            </w:pPr>
            <w:r>
              <w:rPr>
                <w:sz w:val="20"/>
              </w:rPr>
              <w:t xml:space="preserve">2025</w:t>
            </w:r>
          </w:p>
        </w:tc>
      </w:tr>
      <w:tr>
        <w:tc>
          <w:tcPr>
            <w:tcW w:w="567" w:type="dxa"/>
          </w:tcPr>
          <w:p>
            <w:pPr>
              <w:pStyle w:val="0"/>
              <w:jc w:val="both"/>
            </w:pPr>
            <w:r>
              <w:rPr>
                <w:sz w:val="20"/>
              </w:rPr>
              <w:t xml:space="preserve">1</w:t>
            </w:r>
          </w:p>
        </w:tc>
        <w:tc>
          <w:tcPr>
            <w:tcW w:w="1417" w:type="dxa"/>
          </w:tcPr>
          <w:p>
            <w:pPr>
              <w:pStyle w:val="0"/>
              <w:jc w:val="both"/>
            </w:pPr>
            <w:r>
              <w:rPr>
                <w:sz w:val="20"/>
              </w:rPr>
              <w:t xml:space="preserve">ГБУЗС "Городская больница N 4"</w:t>
            </w:r>
          </w:p>
        </w:tc>
        <w:tc>
          <w:tcPr>
            <w:tcW w:w="1417" w:type="dxa"/>
          </w:tcPr>
          <w:p>
            <w:pPr>
              <w:pStyle w:val="0"/>
              <w:jc w:val="center"/>
            </w:pPr>
            <w:r>
              <w:rPr>
                <w:sz w:val="20"/>
              </w:rPr>
              <w:t xml:space="preserve">9203007199</w:t>
            </w:r>
          </w:p>
        </w:tc>
        <w:tc>
          <w:tcPr>
            <w:tcW w:w="1792" w:type="dxa"/>
          </w:tcPr>
          <w:p>
            <w:pPr>
              <w:pStyle w:val="0"/>
              <w:jc w:val="both"/>
            </w:pPr>
            <w:r>
              <w:rPr>
                <w:sz w:val="20"/>
              </w:rPr>
              <w:t xml:space="preserve">Врачебная амбулатория, с. Верхнесадовое</w:t>
            </w:r>
          </w:p>
        </w:tc>
        <w:tc>
          <w:tcPr>
            <w:tcW w:w="1644" w:type="dxa"/>
          </w:tcPr>
          <w:p>
            <w:pPr>
              <w:pStyle w:val="0"/>
              <w:jc w:val="both"/>
            </w:pPr>
            <w:r>
              <w:rPr>
                <w:sz w:val="20"/>
              </w:rPr>
              <w:t xml:space="preserve">амбулаторно</w:t>
            </w:r>
          </w:p>
        </w:tc>
        <w:tc>
          <w:tcPr>
            <w:tcW w:w="294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59" w:type="dxa"/>
          </w:tcPr>
          <w:p>
            <w:pPr>
              <w:pStyle w:val="0"/>
              <w:jc w:val="center"/>
            </w:pPr>
            <w:r>
              <w:rPr>
                <w:sz w:val="20"/>
              </w:rPr>
              <w:t xml:space="preserve">1</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60" w:type="dxa"/>
          </w:tcPr>
          <w:p>
            <w:pPr>
              <w:pStyle w:val="0"/>
              <w:jc w:val="center"/>
            </w:pPr>
            <w:r>
              <w:rPr>
                <w:sz w:val="20"/>
              </w:rPr>
              <w:t xml:space="preserve">0</w:t>
            </w:r>
          </w:p>
        </w:tc>
      </w:tr>
      <w:tr>
        <w:tc>
          <w:tcPr>
            <w:tcW w:w="567" w:type="dxa"/>
          </w:tcPr>
          <w:p>
            <w:pPr>
              <w:pStyle w:val="0"/>
              <w:jc w:val="both"/>
            </w:pPr>
            <w:r>
              <w:rPr>
                <w:sz w:val="20"/>
              </w:rPr>
              <w:t xml:space="preserve">2</w:t>
            </w:r>
          </w:p>
        </w:tc>
        <w:tc>
          <w:tcPr>
            <w:tcW w:w="1417" w:type="dxa"/>
          </w:tcPr>
          <w:p>
            <w:pPr>
              <w:pStyle w:val="0"/>
              <w:jc w:val="both"/>
            </w:pPr>
            <w:r>
              <w:rPr>
                <w:sz w:val="20"/>
              </w:rPr>
              <w:t xml:space="preserve">ГБУЗС "Городская больница N 9"</w:t>
            </w:r>
          </w:p>
        </w:tc>
        <w:tc>
          <w:tcPr>
            <w:tcW w:w="1417" w:type="dxa"/>
          </w:tcPr>
          <w:p>
            <w:pPr>
              <w:pStyle w:val="0"/>
              <w:jc w:val="center"/>
            </w:pPr>
            <w:r>
              <w:rPr>
                <w:sz w:val="20"/>
              </w:rPr>
              <w:t xml:space="preserve">9202002504</w:t>
            </w:r>
          </w:p>
        </w:tc>
        <w:tc>
          <w:tcPr>
            <w:tcW w:w="1792" w:type="dxa"/>
          </w:tcPr>
          <w:p>
            <w:pPr>
              <w:pStyle w:val="0"/>
              <w:jc w:val="both"/>
            </w:pPr>
            <w:r>
              <w:rPr>
                <w:sz w:val="20"/>
              </w:rPr>
              <w:t xml:space="preserve">Сельская врачебная амбулатория, с. Орлиное</w:t>
            </w:r>
          </w:p>
        </w:tc>
        <w:tc>
          <w:tcPr>
            <w:tcW w:w="1644" w:type="dxa"/>
          </w:tcPr>
          <w:p>
            <w:pPr>
              <w:pStyle w:val="0"/>
              <w:jc w:val="both"/>
            </w:pPr>
            <w:r>
              <w:rPr>
                <w:sz w:val="20"/>
              </w:rPr>
              <w:t xml:space="preserve">амбулаторно</w:t>
            </w:r>
          </w:p>
        </w:tc>
        <w:tc>
          <w:tcPr>
            <w:tcW w:w="294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59" w:type="dxa"/>
          </w:tcPr>
          <w:p>
            <w:pPr>
              <w:pStyle w:val="0"/>
              <w:jc w:val="center"/>
            </w:pPr>
            <w:r>
              <w:rPr>
                <w:sz w:val="20"/>
              </w:rPr>
              <w:t xml:space="preserve">1</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60" w:type="dxa"/>
          </w:tcPr>
          <w:p>
            <w:pPr>
              <w:pStyle w:val="0"/>
              <w:jc w:val="center"/>
            </w:pPr>
            <w:r>
              <w:rPr>
                <w:sz w:val="20"/>
              </w:rPr>
              <w:t xml:space="preserve">0</w:t>
            </w:r>
          </w:p>
        </w:tc>
      </w:tr>
      <w:tr>
        <w:tc>
          <w:tcPr>
            <w:tcW w:w="567" w:type="dxa"/>
          </w:tcPr>
          <w:p>
            <w:pPr>
              <w:pStyle w:val="0"/>
              <w:jc w:val="both"/>
            </w:pPr>
            <w:r>
              <w:rPr>
                <w:sz w:val="20"/>
              </w:rPr>
              <w:t xml:space="preserve">3</w:t>
            </w:r>
          </w:p>
        </w:tc>
        <w:tc>
          <w:tcPr>
            <w:tcW w:w="1417" w:type="dxa"/>
          </w:tcPr>
          <w:p>
            <w:pPr>
              <w:pStyle w:val="0"/>
              <w:jc w:val="both"/>
            </w:pPr>
            <w:r>
              <w:rPr>
                <w:sz w:val="20"/>
              </w:rPr>
              <w:t xml:space="preserve">ГБУЗС "Городская больница N 4"</w:t>
            </w:r>
          </w:p>
        </w:tc>
        <w:tc>
          <w:tcPr>
            <w:tcW w:w="1417" w:type="dxa"/>
          </w:tcPr>
          <w:p>
            <w:pPr>
              <w:pStyle w:val="0"/>
              <w:jc w:val="center"/>
            </w:pPr>
            <w:r>
              <w:rPr>
                <w:sz w:val="20"/>
              </w:rPr>
              <w:t xml:space="preserve">9203007199</w:t>
            </w:r>
          </w:p>
        </w:tc>
        <w:tc>
          <w:tcPr>
            <w:tcW w:w="1792" w:type="dxa"/>
          </w:tcPr>
          <w:p>
            <w:pPr>
              <w:pStyle w:val="0"/>
              <w:jc w:val="both"/>
            </w:pPr>
            <w:r>
              <w:rPr>
                <w:sz w:val="20"/>
              </w:rPr>
              <w:t xml:space="preserve">Врачебная амбулатория, п. Кача</w:t>
            </w:r>
          </w:p>
        </w:tc>
        <w:tc>
          <w:tcPr>
            <w:tcW w:w="1644" w:type="dxa"/>
          </w:tcPr>
          <w:p>
            <w:pPr>
              <w:pStyle w:val="0"/>
              <w:jc w:val="both"/>
            </w:pPr>
            <w:r>
              <w:rPr>
                <w:sz w:val="20"/>
              </w:rPr>
              <w:t xml:space="preserve">амбулаторно</w:t>
            </w:r>
          </w:p>
        </w:tc>
        <w:tc>
          <w:tcPr>
            <w:tcW w:w="294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59" w:type="dxa"/>
          </w:tcPr>
          <w:p>
            <w:pPr>
              <w:pStyle w:val="0"/>
              <w:jc w:val="center"/>
            </w:pPr>
            <w:r>
              <w:rPr>
                <w:sz w:val="20"/>
              </w:rPr>
              <w:t xml:space="preserve">1</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60" w:type="dxa"/>
          </w:tcPr>
          <w:p>
            <w:pPr>
              <w:pStyle w:val="0"/>
              <w:jc w:val="center"/>
            </w:pPr>
            <w:r>
              <w:rPr>
                <w:sz w:val="20"/>
              </w:rPr>
              <w:t xml:space="preserve">0</w:t>
            </w:r>
          </w:p>
        </w:tc>
      </w:tr>
      <w:tr>
        <w:tc>
          <w:tcPr>
            <w:tcW w:w="567" w:type="dxa"/>
          </w:tcPr>
          <w:p>
            <w:pPr>
              <w:pStyle w:val="0"/>
              <w:jc w:val="both"/>
            </w:pPr>
            <w:r>
              <w:rPr>
                <w:sz w:val="20"/>
              </w:rPr>
              <w:t xml:space="preserve">4</w:t>
            </w:r>
          </w:p>
        </w:tc>
        <w:tc>
          <w:tcPr>
            <w:tcW w:w="1417" w:type="dxa"/>
          </w:tcPr>
          <w:p>
            <w:pPr>
              <w:pStyle w:val="0"/>
              <w:jc w:val="both"/>
            </w:pPr>
            <w:r>
              <w:rPr>
                <w:sz w:val="20"/>
              </w:rPr>
              <w:t xml:space="preserve">ГБУЗС "Городская больница N 4"</w:t>
            </w:r>
          </w:p>
        </w:tc>
        <w:tc>
          <w:tcPr>
            <w:tcW w:w="1417" w:type="dxa"/>
          </w:tcPr>
          <w:p>
            <w:pPr>
              <w:pStyle w:val="0"/>
              <w:jc w:val="center"/>
            </w:pPr>
            <w:r>
              <w:rPr>
                <w:sz w:val="20"/>
              </w:rPr>
              <w:t xml:space="preserve">9203007199</w:t>
            </w:r>
          </w:p>
        </w:tc>
        <w:tc>
          <w:tcPr>
            <w:tcW w:w="1792" w:type="dxa"/>
          </w:tcPr>
          <w:p>
            <w:pPr>
              <w:pStyle w:val="0"/>
              <w:jc w:val="both"/>
            </w:pPr>
            <w:r>
              <w:rPr>
                <w:sz w:val="20"/>
              </w:rPr>
              <w:t xml:space="preserve">Врачебная амбулатория, п. Солнечный</w:t>
            </w:r>
          </w:p>
        </w:tc>
        <w:tc>
          <w:tcPr>
            <w:tcW w:w="1644" w:type="dxa"/>
          </w:tcPr>
          <w:p>
            <w:pPr>
              <w:pStyle w:val="0"/>
              <w:jc w:val="both"/>
            </w:pPr>
            <w:r>
              <w:rPr>
                <w:sz w:val="20"/>
              </w:rPr>
              <w:t xml:space="preserve">амбулаторно</w:t>
            </w:r>
          </w:p>
        </w:tc>
        <w:tc>
          <w:tcPr>
            <w:tcW w:w="294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59" w:type="dxa"/>
          </w:tcPr>
          <w:p>
            <w:pPr>
              <w:pStyle w:val="0"/>
              <w:jc w:val="center"/>
            </w:pPr>
            <w:r>
              <w:rPr>
                <w:sz w:val="20"/>
              </w:rPr>
              <w:t xml:space="preserve">1</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60" w:type="dxa"/>
          </w:tcPr>
          <w:p>
            <w:pPr>
              <w:pStyle w:val="0"/>
              <w:jc w:val="center"/>
            </w:pPr>
            <w:r>
              <w:rPr>
                <w:sz w:val="20"/>
              </w:rPr>
              <w:t xml:space="preserve">0</w:t>
            </w:r>
          </w:p>
        </w:tc>
      </w:tr>
      <w:tr>
        <w:tc>
          <w:tcPr>
            <w:tcW w:w="567" w:type="dxa"/>
          </w:tcPr>
          <w:p>
            <w:pPr>
              <w:pStyle w:val="0"/>
              <w:jc w:val="both"/>
            </w:pPr>
            <w:r>
              <w:rPr>
                <w:sz w:val="20"/>
              </w:rPr>
              <w:t xml:space="preserve">5</w:t>
            </w:r>
          </w:p>
        </w:tc>
        <w:tc>
          <w:tcPr>
            <w:tcW w:w="1417" w:type="dxa"/>
          </w:tcPr>
          <w:p>
            <w:pPr>
              <w:pStyle w:val="0"/>
              <w:jc w:val="both"/>
            </w:pPr>
            <w:r>
              <w:rPr>
                <w:sz w:val="20"/>
              </w:rPr>
              <w:t xml:space="preserve">ГБУЗС "Городская больница N 4"</w:t>
            </w:r>
          </w:p>
        </w:tc>
        <w:tc>
          <w:tcPr>
            <w:tcW w:w="1417" w:type="dxa"/>
          </w:tcPr>
          <w:p>
            <w:pPr>
              <w:pStyle w:val="0"/>
              <w:jc w:val="center"/>
            </w:pPr>
            <w:r>
              <w:rPr>
                <w:sz w:val="20"/>
              </w:rPr>
              <w:t xml:space="preserve">9203007199</w:t>
            </w:r>
          </w:p>
        </w:tc>
        <w:tc>
          <w:tcPr>
            <w:tcW w:w="1792" w:type="dxa"/>
          </w:tcPr>
          <w:p>
            <w:pPr>
              <w:pStyle w:val="0"/>
              <w:jc w:val="both"/>
            </w:pPr>
            <w:r>
              <w:rPr>
                <w:sz w:val="20"/>
              </w:rPr>
              <w:t xml:space="preserve">Врачебная амбулатория, с. Осипенко</w:t>
            </w:r>
          </w:p>
        </w:tc>
        <w:tc>
          <w:tcPr>
            <w:tcW w:w="1644" w:type="dxa"/>
          </w:tcPr>
          <w:p>
            <w:pPr>
              <w:pStyle w:val="0"/>
              <w:jc w:val="both"/>
            </w:pPr>
            <w:r>
              <w:rPr>
                <w:sz w:val="20"/>
              </w:rPr>
              <w:t xml:space="preserve">амбулаторно</w:t>
            </w:r>
          </w:p>
        </w:tc>
        <w:tc>
          <w:tcPr>
            <w:tcW w:w="294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59" w:type="dxa"/>
          </w:tcPr>
          <w:p>
            <w:pPr>
              <w:pStyle w:val="0"/>
              <w:jc w:val="center"/>
            </w:pPr>
            <w:r>
              <w:rPr>
                <w:sz w:val="20"/>
              </w:rPr>
              <w:t xml:space="preserve">1</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60" w:type="dxa"/>
          </w:tcPr>
          <w:p>
            <w:pPr>
              <w:pStyle w:val="0"/>
              <w:jc w:val="center"/>
            </w:pPr>
            <w:r>
              <w:rPr>
                <w:sz w:val="20"/>
              </w:rPr>
              <w:t xml:space="preserve">0</w:t>
            </w:r>
          </w:p>
        </w:tc>
      </w:tr>
      <w:tr>
        <w:tc>
          <w:tcPr>
            <w:tcW w:w="567" w:type="dxa"/>
          </w:tcPr>
          <w:p>
            <w:pPr>
              <w:pStyle w:val="0"/>
              <w:jc w:val="both"/>
            </w:pPr>
            <w:r>
              <w:rPr>
                <w:sz w:val="20"/>
              </w:rPr>
              <w:t xml:space="preserve">6</w:t>
            </w:r>
          </w:p>
        </w:tc>
        <w:tc>
          <w:tcPr>
            <w:tcW w:w="1417" w:type="dxa"/>
          </w:tcPr>
          <w:p>
            <w:pPr>
              <w:pStyle w:val="0"/>
              <w:jc w:val="both"/>
            </w:pPr>
            <w:r>
              <w:rPr>
                <w:sz w:val="20"/>
              </w:rPr>
              <w:t xml:space="preserve">ГБУЗС "Городская больница N 9"</w:t>
            </w:r>
          </w:p>
        </w:tc>
        <w:tc>
          <w:tcPr>
            <w:tcW w:w="1417" w:type="dxa"/>
          </w:tcPr>
          <w:p>
            <w:pPr>
              <w:pStyle w:val="0"/>
              <w:jc w:val="center"/>
            </w:pPr>
            <w:r>
              <w:rPr>
                <w:sz w:val="20"/>
              </w:rPr>
              <w:t xml:space="preserve">9202002504</w:t>
            </w:r>
          </w:p>
        </w:tc>
        <w:tc>
          <w:tcPr>
            <w:tcW w:w="1792" w:type="dxa"/>
          </w:tcPr>
          <w:p>
            <w:pPr>
              <w:pStyle w:val="0"/>
              <w:jc w:val="both"/>
            </w:pPr>
            <w:r>
              <w:rPr>
                <w:sz w:val="20"/>
              </w:rPr>
              <w:t xml:space="preserve">Амбулатория общей практики семейной медицины, с. Терновка</w:t>
            </w:r>
          </w:p>
        </w:tc>
        <w:tc>
          <w:tcPr>
            <w:tcW w:w="1644" w:type="dxa"/>
          </w:tcPr>
          <w:p>
            <w:pPr>
              <w:pStyle w:val="0"/>
              <w:jc w:val="both"/>
            </w:pPr>
            <w:r>
              <w:rPr>
                <w:sz w:val="20"/>
              </w:rPr>
              <w:t xml:space="preserve">амбулаторно</w:t>
            </w:r>
          </w:p>
        </w:tc>
        <w:tc>
          <w:tcPr>
            <w:tcW w:w="294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59" w:type="dxa"/>
          </w:tcPr>
          <w:p>
            <w:pPr>
              <w:pStyle w:val="0"/>
              <w:jc w:val="center"/>
            </w:pPr>
            <w:r>
              <w:rPr>
                <w:sz w:val="20"/>
              </w:rPr>
              <w:t xml:space="preserve">1</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60" w:type="dxa"/>
          </w:tcPr>
          <w:p>
            <w:pPr>
              <w:pStyle w:val="0"/>
              <w:jc w:val="center"/>
            </w:pPr>
            <w:r>
              <w:rPr>
                <w:sz w:val="20"/>
              </w:rPr>
              <w:t xml:space="preserve">0</w:t>
            </w:r>
          </w:p>
        </w:tc>
      </w:tr>
      <w:tr>
        <w:tc>
          <w:tcPr>
            <w:tcW w:w="567" w:type="dxa"/>
          </w:tcPr>
          <w:p>
            <w:pPr>
              <w:pStyle w:val="0"/>
              <w:jc w:val="both"/>
            </w:pPr>
            <w:r>
              <w:rPr>
                <w:sz w:val="20"/>
              </w:rPr>
              <w:t xml:space="preserve">7</w:t>
            </w:r>
          </w:p>
        </w:tc>
        <w:tc>
          <w:tcPr>
            <w:tcW w:w="1417" w:type="dxa"/>
          </w:tcPr>
          <w:p>
            <w:pPr>
              <w:pStyle w:val="0"/>
              <w:jc w:val="both"/>
            </w:pPr>
            <w:r>
              <w:rPr>
                <w:sz w:val="20"/>
              </w:rPr>
              <w:t xml:space="preserve">ГБУЗС "Городская больница N 9"</w:t>
            </w:r>
          </w:p>
        </w:tc>
        <w:tc>
          <w:tcPr>
            <w:tcW w:w="1417" w:type="dxa"/>
          </w:tcPr>
          <w:p>
            <w:pPr>
              <w:pStyle w:val="0"/>
              <w:jc w:val="center"/>
            </w:pPr>
            <w:r>
              <w:rPr>
                <w:sz w:val="20"/>
              </w:rPr>
              <w:t xml:space="preserve">9202002504</w:t>
            </w:r>
          </w:p>
        </w:tc>
        <w:tc>
          <w:tcPr>
            <w:tcW w:w="1792" w:type="dxa"/>
          </w:tcPr>
          <w:p>
            <w:pPr>
              <w:pStyle w:val="0"/>
              <w:jc w:val="both"/>
            </w:pPr>
            <w:r>
              <w:rPr>
                <w:sz w:val="20"/>
              </w:rPr>
              <w:t xml:space="preserve">Врачебная амбулатория, п. Сахарная головка</w:t>
            </w:r>
          </w:p>
        </w:tc>
        <w:tc>
          <w:tcPr>
            <w:tcW w:w="1644" w:type="dxa"/>
          </w:tcPr>
          <w:p>
            <w:pPr>
              <w:pStyle w:val="0"/>
              <w:jc w:val="both"/>
            </w:pPr>
            <w:r>
              <w:rPr>
                <w:sz w:val="20"/>
              </w:rPr>
              <w:t xml:space="preserve">амбулаторно</w:t>
            </w:r>
          </w:p>
        </w:tc>
        <w:tc>
          <w:tcPr>
            <w:tcW w:w="294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59" w:type="dxa"/>
          </w:tcPr>
          <w:p>
            <w:pPr>
              <w:pStyle w:val="0"/>
              <w:jc w:val="center"/>
            </w:pPr>
            <w:r>
              <w:rPr>
                <w:sz w:val="20"/>
              </w:rPr>
              <w:t xml:space="preserve">1</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60" w:type="dxa"/>
          </w:tcPr>
          <w:p>
            <w:pPr>
              <w:pStyle w:val="0"/>
              <w:jc w:val="center"/>
            </w:pPr>
            <w:r>
              <w:rPr>
                <w:sz w:val="20"/>
              </w:rPr>
              <w:t xml:space="preserve">0</w:t>
            </w:r>
          </w:p>
        </w:tc>
      </w:tr>
      <w:tr>
        <w:tc>
          <w:tcPr>
            <w:tcW w:w="567" w:type="dxa"/>
          </w:tcPr>
          <w:p>
            <w:pPr>
              <w:pStyle w:val="0"/>
              <w:jc w:val="both"/>
            </w:pPr>
            <w:r>
              <w:rPr>
                <w:sz w:val="20"/>
              </w:rPr>
              <w:t xml:space="preserve">8</w:t>
            </w:r>
          </w:p>
        </w:tc>
        <w:tc>
          <w:tcPr>
            <w:tcW w:w="1417" w:type="dxa"/>
          </w:tcPr>
          <w:p>
            <w:pPr>
              <w:pStyle w:val="0"/>
              <w:jc w:val="both"/>
            </w:pPr>
            <w:r>
              <w:rPr>
                <w:sz w:val="20"/>
              </w:rPr>
              <w:t xml:space="preserve">ГБУЗС "Городская больница N 9"</w:t>
            </w:r>
          </w:p>
        </w:tc>
        <w:tc>
          <w:tcPr>
            <w:tcW w:w="1417" w:type="dxa"/>
          </w:tcPr>
          <w:p>
            <w:pPr>
              <w:pStyle w:val="0"/>
              <w:jc w:val="center"/>
            </w:pPr>
            <w:r>
              <w:rPr>
                <w:sz w:val="20"/>
              </w:rPr>
              <w:t xml:space="preserve">9202002504</w:t>
            </w:r>
          </w:p>
        </w:tc>
        <w:tc>
          <w:tcPr>
            <w:tcW w:w="1792" w:type="dxa"/>
          </w:tcPr>
          <w:p>
            <w:pPr>
              <w:pStyle w:val="0"/>
              <w:jc w:val="both"/>
            </w:pPr>
            <w:r>
              <w:rPr>
                <w:sz w:val="20"/>
              </w:rPr>
              <w:t xml:space="preserve">ФАП, с. Хмельницкое</w:t>
            </w:r>
          </w:p>
        </w:tc>
        <w:tc>
          <w:tcPr>
            <w:tcW w:w="1644" w:type="dxa"/>
          </w:tcPr>
          <w:p>
            <w:pPr>
              <w:pStyle w:val="0"/>
              <w:jc w:val="both"/>
            </w:pPr>
            <w:r>
              <w:rPr>
                <w:sz w:val="20"/>
              </w:rPr>
              <w:t xml:space="preserve">амбулаторно</w:t>
            </w:r>
          </w:p>
        </w:tc>
        <w:tc>
          <w:tcPr>
            <w:tcW w:w="294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59" w:type="dxa"/>
          </w:tcPr>
          <w:p>
            <w:pPr>
              <w:pStyle w:val="0"/>
              <w:jc w:val="center"/>
            </w:pPr>
            <w:r>
              <w:rPr>
                <w:sz w:val="20"/>
              </w:rPr>
              <w:t xml:space="preserve">1</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60" w:type="dxa"/>
          </w:tcPr>
          <w:p>
            <w:pPr>
              <w:pStyle w:val="0"/>
              <w:jc w:val="center"/>
            </w:pPr>
            <w:r>
              <w:rPr>
                <w:sz w:val="20"/>
              </w:rPr>
              <w:t xml:space="preserve">0</w:t>
            </w:r>
          </w:p>
        </w:tc>
      </w:tr>
      <w:tr>
        <w:tc>
          <w:tcPr>
            <w:tcW w:w="567" w:type="dxa"/>
          </w:tcPr>
          <w:p>
            <w:pPr>
              <w:pStyle w:val="0"/>
              <w:jc w:val="both"/>
            </w:pPr>
            <w:r>
              <w:rPr>
                <w:sz w:val="20"/>
              </w:rPr>
              <w:t xml:space="preserve">9</w:t>
            </w:r>
          </w:p>
        </w:tc>
        <w:tc>
          <w:tcPr>
            <w:tcW w:w="1417" w:type="dxa"/>
          </w:tcPr>
          <w:p>
            <w:pPr>
              <w:pStyle w:val="0"/>
              <w:jc w:val="both"/>
            </w:pPr>
            <w:r>
              <w:rPr>
                <w:sz w:val="20"/>
              </w:rPr>
              <w:t xml:space="preserve">ГБУЗС "Городская больница N 9"</w:t>
            </w:r>
          </w:p>
        </w:tc>
        <w:tc>
          <w:tcPr>
            <w:tcW w:w="1417" w:type="dxa"/>
          </w:tcPr>
          <w:p>
            <w:pPr>
              <w:pStyle w:val="0"/>
              <w:jc w:val="center"/>
            </w:pPr>
            <w:r>
              <w:rPr>
                <w:sz w:val="20"/>
              </w:rPr>
              <w:t xml:space="preserve">9202002504</w:t>
            </w:r>
          </w:p>
        </w:tc>
        <w:tc>
          <w:tcPr>
            <w:tcW w:w="1792" w:type="dxa"/>
          </w:tcPr>
          <w:p>
            <w:pPr>
              <w:pStyle w:val="0"/>
              <w:jc w:val="both"/>
            </w:pPr>
            <w:r>
              <w:rPr>
                <w:sz w:val="20"/>
              </w:rPr>
              <w:t xml:space="preserve">ФАП, с. Первомайское</w:t>
            </w:r>
          </w:p>
        </w:tc>
        <w:tc>
          <w:tcPr>
            <w:tcW w:w="1644" w:type="dxa"/>
          </w:tcPr>
          <w:p>
            <w:pPr>
              <w:pStyle w:val="0"/>
              <w:jc w:val="both"/>
            </w:pPr>
            <w:r>
              <w:rPr>
                <w:sz w:val="20"/>
              </w:rPr>
              <w:t xml:space="preserve">амбулаторно</w:t>
            </w:r>
          </w:p>
        </w:tc>
        <w:tc>
          <w:tcPr>
            <w:tcW w:w="294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59" w:type="dxa"/>
          </w:tcPr>
          <w:p>
            <w:pPr>
              <w:pStyle w:val="0"/>
              <w:jc w:val="center"/>
            </w:pPr>
            <w:r>
              <w:rPr>
                <w:sz w:val="20"/>
              </w:rPr>
              <w:t xml:space="preserve">1</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60" w:type="dxa"/>
          </w:tcPr>
          <w:p>
            <w:pPr>
              <w:pStyle w:val="0"/>
              <w:jc w:val="center"/>
            </w:pPr>
            <w:r>
              <w:rPr>
                <w:sz w:val="20"/>
              </w:rPr>
              <w:t xml:space="preserve">0</w:t>
            </w:r>
          </w:p>
        </w:tc>
      </w:tr>
      <w:tr>
        <w:tc>
          <w:tcPr>
            <w:tcW w:w="567" w:type="dxa"/>
          </w:tcPr>
          <w:p>
            <w:pPr>
              <w:pStyle w:val="0"/>
              <w:jc w:val="both"/>
            </w:pPr>
            <w:r>
              <w:rPr>
                <w:sz w:val="20"/>
              </w:rPr>
              <w:t xml:space="preserve">10</w:t>
            </w:r>
          </w:p>
        </w:tc>
        <w:tc>
          <w:tcPr>
            <w:tcW w:w="1417" w:type="dxa"/>
          </w:tcPr>
          <w:p>
            <w:pPr>
              <w:pStyle w:val="0"/>
              <w:jc w:val="both"/>
            </w:pPr>
            <w:r>
              <w:rPr>
                <w:sz w:val="20"/>
              </w:rPr>
              <w:t xml:space="preserve">ГБУЗС "Городская больница N 4"</w:t>
            </w:r>
          </w:p>
        </w:tc>
        <w:tc>
          <w:tcPr>
            <w:tcW w:w="1417" w:type="dxa"/>
          </w:tcPr>
          <w:p>
            <w:pPr>
              <w:pStyle w:val="0"/>
              <w:jc w:val="center"/>
            </w:pPr>
            <w:r>
              <w:rPr>
                <w:sz w:val="20"/>
              </w:rPr>
              <w:t xml:space="preserve">9203007199</w:t>
            </w:r>
          </w:p>
        </w:tc>
        <w:tc>
          <w:tcPr>
            <w:tcW w:w="1792" w:type="dxa"/>
          </w:tcPr>
          <w:p>
            <w:pPr>
              <w:pStyle w:val="0"/>
              <w:jc w:val="both"/>
            </w:pPr>
            <w:r>
              <w:rPr>
                <w:sz w:val="20"/>
              </w:rPr>
              <w:t xml:space="preserve">ФАП, с. Поворотное</w:t>
            </w:r>
          </w:p>
        </w:tc>
        <w:tc>
          <w:tcPr>
            <w:tcW w:w="1644" w:type="dxa"/>
          </w:tcPr>
          <w:p>
            <w:pPr>
              <w:pStyle w:val="0"/>
              <w:jc w:val="both"/>
            </w:pPr>
            <w:r>
              <w:rPr>
                <w:sz w:val="20"/>
              </w:rPr>
              <w:t xml:space="preserve">амбулаторно</w:t>
            </w:r>
          </w:p>
        </w:tc>
        <w:tc>
          <w:tcPr>
            <w:tcW w:w="294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59" w:type="dxa"/>
          </w:tcPr>
          <w:p>
            <w:pPr>
              <w:pStyle w:val="0"/>
              <w:jc w:val="center"/>
            </w:pPr>
            <w:r>
              <w:rPr>
                <w:sz w:val="20"/>
              </w:rPr>
              <w:t xml:space="preserve">1</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59" w:type="dxa"/>
          </w:tcPr>
          <w:p>
            <w:pPr>
              <w:pStyle w:val="0"/>
              <w:jc w:val="center"/>
            </w:pPr>
            <w:r>
              <w:rPr>
                <w:sz w:val="20"/>
              </w:rPr>
              <w:t xml:space="preserve">0</w:t>
            </w:r>
          </w:p>
        </w:tc>
        <w:tc>
          <w:tcPr>
            <w:tcW w:w="760" w:type="dxa"/>
          </w:tcPr>
          <w:p>
            <w:pPr>
              <w:pStyle w:val="0"/>
              <w:jc w:val="center"/>
            </w:pPr>
            <w:r>
              <w:rPr>
                <w:sz w:val="20"/>
              </w:rPr>
              <w:t xml:space="preserve">0</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both"/>
      </w:pPr>
      <w:r>
        <w:rPr>
          <w:sz w:val="20"/>
        </w:rPr>
      </w:r>
    </w:p>
    <w:p>
      <w:pPr>
        <w:pStyle w:val="0"/>
        <w:outlineLvl w:val="3"/>
        <w:jc w:val="right"/>
      </w:pPr>
      <w:r>
        <w:rPr>
          <w:sz w:val="20"/>
        </w:rPr>
        <w:t xml:space="preserve">Таблица 3</w:t>
      </w:r>
    </w:p>
    <w:p>
      <w:pPr>
        <w:pStyle w:val="0"/>
        <w:jc w:val="right"/>
      </w:pPr>
      <w:r>
        <w:rPr>
          <w:sz w:val="20"/>
        </w:rPr>
      </w:r>
    </w:p>
    <w:p>
      <w:pPr>
        <w:pStyle w:val="2"/>
        <w:jc w:val="center"/>
      </w:pPr>
      <w:r>
        <w:rPr>
          <w:sz w:val="20"/>
        </w:rPr>
        <w:t xml:space="preserve">Сводный перечень автотранспорта,</w:t>
      </w:r>
    </w:p>
    <w:p>
      <w:pPr>
        <w:pStyle w:val="2"/>
        <w:jc w:val="center"/>
      </w:pPr>
      <w:r>
        <w:rPr>
          <w:sz w:val="20"/>
        </w:rPr>
        <w:t xml:space="preserve">планируемого к замене 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458"/>
        <w:gridCol w:w="815"/>
        <w:gridCol w:w="815"/>
        <w:gridCol w:w="815"/>
        <w:gridCol w:w="815"/>
        <w:gridCol w:w="819"/>
        <w:gridCol w:w="964"/>
      </w:tblGrid>
      <w:tr>
        <w:tc>
          <w:tcPr>
            <w:tcW w:w="567" w:type="dxa"/>
            <w:vMerge w:val="restart"/>
          </w:tcPr>
          <w:p>
            <w:pPr>
              <w:pStyle w:val="0"/>
              <w:jc w:val="center"/>
            </w:pPr>
            <w:r>
              <w:rPr>
                <w:sz w:val="20"/>
              </w:rPr>
              <w:t xml:space="preserve">N п/п</w:t>
            </w:r>
          </w:p>
        </w:tc>
        <w:tc>
          <w:tcPr>
            <w:tcW w:w="3458" w:type="dxa"/>
            <w:vMerge w:val="restart"/>
          </w:tcPr>
          <w:p>
            <w:pPr>
              <w:pStyle w:val="0"/>
              <w:jc w:val="center"/>
            </w:pPr>
            <w:r>
              <w:rPr>
                <w:sz w:val="20"/>
              </w:rPr>
              <w:t xml:space="preserve">Наименование автотранспорта</w:t>
            </w:r>
          </w:p>
        </w:tc>
        <w:tc>
          <w:tcPr>
            <w:gridSpan w:val="6"/>
            <w:tcW w:w="5043" w:type="dxa"/>
          </w:tcPr>
          <w:p>
            <w:pPr>
              <w:pStyle w:val="0"/>
              <w:jc w:val="center"/>
            </w:pPr>
            <w:r>
              <w:rPr>
                <w:sz w:val="20"/>
              </w:rPr>
              <w:t xml:space="preserve">Планируемое количество автотранспорта по годам приобретения</w:t>
            </w:r>
          </w:p>
        </w:tc>
      </w:tr>
      <w:tr>
        <w:tc>
          <w:tcPr>
            <w:vMerge w:val="continue"/>
          </w:tcPr>
          <w:p/>
        </w:tc>
        <w:tc>
          <w:tcPr>
            <w:vMerge w:val="continue"/>
          </w:tcPr>
          <w:p/>
        </w:tc>
        <w:tc>
          <w:tcPr>
            <w:tcW w:w="815" w:type="dxa"/>
          </w:tcPr>
          <w:p>
            <w:pPr>
              <w:pStyle w:val="0"/>
              <w:jc w:val="center"/>
            </w:pPr>
            <w:r>
              <w:rPr>
                <w:sz w:val="20"/>
              </w:rPr>
              <w:t xml:space="preserve">2021</w:t>
            </w:r>
          </w:p>
        </w:tc>
        <w:tc>
          <w:tcPr>
            <w:tcW w:w="815" w:type="dxa"/>
          </w:tcPr>
          <w:p>
            <w:pPr>
              <w:pStyle w:val="0"/>
              <w:jc w:val="center"/>
            </w:pPr>
            <w:r>
              <w:rPr>
                <w:sz w:val="20"/>
              </w:rPr>
              <w:t xml:space="preserve">2022</w:t>
            </w:r>
          </w:p>
        </w:tc>
        <w:tc>
          <w:tcPr>
            <w:tcW w:w="815" w:type="dxa"/>
          </w:tcPr>
          <w:p>
            <w:pPr>
              <w:pStyle w:val="0"/>
              <w:jc w:val="center"/>
            </w:pPr>
            <w:r>
              <w:rPr>
                <w:sz w:val="20"/>
              </w:rPr>
              <w:t xml:space="preserve">2023</w:t>
            </w:r>
          </w:p>
        </w:tc>
        <w:tc>
          <w:tcPr>
            <w:tcW w:w="815" w:type="dxa"/>
          </w:tcPr>
          <w:p>
            <w:pPr>
              <w:pStyle w:val="0"/>
              <w:jc w:val="center"/>
            </w:pPr>
            <w:r>
              <w:rPr>
                <w:sz w:val="20"/>
              </w:rPr>
              <w:t xml:space="preserve">2024</w:t>
            </w:r>
          </w:p>
        </w:tc>
        <w:tc>
          <w:tcPr>
            <w:tcW w:w="819" w:type="dxa"/>
          </w:tcPr>
          <w:p>
            <w:pPr>
              <w:pStyle w:val="0"/>
              <w:jc w:val="center"/>
            </w:pPr>
            <w:r>
              <w:rPr>
                <w:sz w:val="20"/>
              </w:rPr>
              <w:t xml:space="preserve">2025</w:t>
            </w:r>
          </w:p>
        </w:tc>
        <w:tc>
          <w:tcPr>
            <w:tcW w:w="964" w:type="dxa"/>
          </w:tcPr>
          <w:p>
            <w:pPr>
              <w:pStyle w:val="0"/>
              <w:jc w:val="center"/>
            </w:pPr>
            <w:r>
              <w:rPr>
                <w:sz w:val="20"/>
              </w:rPr>
              <w:t xml:space="preserve">Всего 2021 - 2025</w:t>
            </w:r>
          </w:p>
        </w:tc>
      </w:tr>
      <w:tr>
        <w:tc>
          <w:tcPr>
            <w:tcW w:w="567" w:type="dxa"/>
          </w:tcPr>
          <w:p>
            <w:pPr>
              <w:pStyle w:val="0"/>
              <w:jc w:val="both"/>
            </w:pPr>
            <w:r>
              <w:rPr>
                <w:sz w:val="20"/>
              </w:rPr>
              <w:t xml:space="preserve">1</w:t>
            </w:r>
          </w:p>
        </w:tc>
        <w:tc>
          <w:tcPr>
            <w:tcW w:w="345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815" w:type="dxa"/>
          </w:tcPr>
          <w:p>
            <w:pPr>
              <w:pStyle w:val="0"/>
              <w:jc w:val="center"/>
            </w:pPr>
            <w:r>
              <w:rPr>
                <w:sz w:val="20"/>
              </w:rPr>
              <w:t xml:space="preserve">0</w:t>
            </w:r>
          </w:p>
        </w:tc>
        <w:tc>
          <w:tcPr>
            <w:tcW w:w="815" w:type="dxa"/>
          </w:tcPr>
          <w:p>
            <w:pPr>
              <w:pStyle w:val="0"/>
              <w:jc w:val="center"/>
            </w:pPr>
            <w:r>
              <w:rPr>
                <w:sz w:val="20"/>
              </w:rPr>
              <w:t xml:space="preserve">0</w:t>
            </w:r>
          </w:p>
        </w:tc>
        <w:tc>
          <w:tcPr>
            <w:tcW w:w="815" w:type="dxa"/>
          </w:tcPr>
          <w:p>
            <w:pPr>
              <w:pStyle w:val="0"/>
              <w:jc w:val="center"/>
            </w:pPr>
            <w:r>
              <w:rPr>
                <w:sz w:val="20"/>
              </w:rPr>
              <w:t xml:space="preserve">0</w:t>
            </w:r>
          </w:p>
        </w:tc>
        <w:tc>
          <w:tcPr>
            <w:tcW w:w="815" w:type="dxa"/>
          </w:tcPr>
          <w:p>
            <w:pPr>
              <w:pStyle w:val="0"/>
              <w:jc w:val="center"/>
            </w:pPr>
            <w:r>
              <w:rPr>
                <w:sz w:val="20"/>
              </w:rPr>
              <w:t xml:space="preserve">0</w:t>
            </w:r>
          </w:p>
        </w:tc>
        <w:tc>
          <w:tcPr>
            <w:tcW w:w="819" w:type="dxa"/>
          </w:tcPr>
          <w:p>
            <w:pPr>
              <w:pStyle w:val="0"/>
              <w:jc w:val="center"/>
            </w:pPr>
            <w:r>
              <w:rPr>
                <w:sz w:val="20"/>
              </w:rPr>
              <w:t xml:space="preserve">0</w:t>
            </w:r>
          </w:p>
        </w:tc>
        <w:tc>
          <w:tcPr>
            <w:tcW w:w="964" w:type="dxa"/>
          </w:tcPr>
          <w:p>
            <w:pPr>
              <w:pStyle w:val="0"/>
              <w:jc w:val="center"/>
            </w:pPr>
            <w:r>
              <w:rPr>
                <w:sz w:val="20"/>
              </w:rPr>
              <w:t xml:space="preserve">0</w:t>
            </w:r>
          </w:p>
        </w:tc>
      </w:tr>
    </w:tbl>
    <w:p>
      <w:pPr>
        <w:pStyle w:val="0"/>
      </w:pPr>
      <w:r>
        <w:rPr>
          <w:sz w:val="20"/>
        </w:rPr>
      </w:r>
    </w:p>
    <w:p>
      <w:pPr>
        <w:pStyle w:val="0"/>
        <w:outlineLvl w:val="3"/>
        <w:jc w:val="right"/>
      </w:pPr>
      <w:r>
        <w:rPr>
          <w:sz w:val="20"/>
        </w:rPr>
        <w:t xml:space="preserve">Таблица 4</w:t>
      </w:r>
    </w:p>
    <w:p>
      <w:pPr>
        <w:pStyle w:val="0"/>
      </w:pPr>
      <w:r>
        <w:rPr>
          <w:sz w:val="20"/>
        </w:rPr>
      </w:r>
    </w:p>
    <w:p>
      <w:pPr>
        <w:pStyle w:val="2"/>
        <w:jc w:val="center"/>
      </w:pPr>
      <w:r>
        <w:rPr>
          <w:sz w:val="20"/>
        </w:rPr>
        <w:t xml:space="preserve">Сводный перечень автотранспорта,</w:t>
      </w:r>
    </w:p>
    <w:p>
      <w:pPr>
        <w:pStyle w:val="2"/>
        <w:jc w:val="center"/>
      </w:pPr>
      <w:r>
        <w:rPr>
          <w:sz w:val="20"/>
        </w:rPr>
        <w:t xml:space="preserve">планируемого к приобретению 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458"/>
        <w:gridCol w:w="815"/>
        <w:gridCol w:w="815"/>
        <w:gridCol w:w="815"/>
        <w:gridCol w:w="815"/>
        <w:gridCol w:w="819"/>
        <w:gridCol w:w="964"/>
      </w:tblGrid>
      <w:tr>
        <w:tc>
          <w:tcPr>
            <w:tcW w:w="567" w:type="dxa"/>
            <w:vMerge w:val="restart"/>
          </w:tcPr>
          <w:p>
            <w:pPr>
              <w:pStyle w:val="0"/>
              <w:jc w:val="center"/>
            </w:pPr>
            <w:r>
              <w:rPr>
                <w:sz w:val="20"/>
              </w:rPr>
              <w:t xml:space="preserve">N п/п</w:t>
            </w:r>
          </w:p>
        </w:tc>
        <w:tc>
          <w:tcPr>
            <w:tcW w:w="3458" w:type="dxa"/>
            <w:vMerge w:val="restart"/>
          </w:tcPr>
          <w:p>
            <w:pPr>
              <w:pStyle w:val="0"/>
              <w:jc w:val="center"/>
            </w:pPr>
            <w:r>
              <w:rPr>
                <w:sz w:val="20"/>
              </w:rPr>
              <w:t xml:space="preserve">Наименование автотранспорта</w:t>
            </w:r>
          </w:p>
        </w:tc>
        <w:tc>
          <w:tcPr>
            <w:gridSpan w:val="6"/>
            <w:tcW w:w="5043" w:type="dxa"/>
          </w:tcPr>
          <w:p>
            <w:pPr>
              <w:pStyle w:val="0"/>
              <w:jc w:val="center"/>
            </w:pPr>
            <w:r>
              <w:rPr>
                <w:sz w:val="20"/>
              </w:rPr>
              <w:t xml:space="preserve">Планируемое количество автотранспорта по годам приобретения</w:t>
            </w:r>
          </w:p>
        </w:tc>
      </w:tr>
      <w:tr>
        <w:tc>
          <w:tcPr>
            <w:vMerge w:val="continue"/>
          </w:tcPr>
          <w:p/>
        </w:tc>
        <w:tc>
          <w:tcPr>
            <w:vMerge w:val="continue"/>
          </w:tcPr>
          <w:p/>
        </w:tc>
        <w:tc>
          <w:tcPr>
            <w:tcW w:w="815" w:type="dxa"/>
          </w:tcPr>
          <w:p>
            <w:pPr>
              <w:pStyle w:val="0"/>
              <w:jc w:val="center"/>
            </w:pPr>
            <w:r>
              <w:rPr>
                <w:sz w:val="20"/>
              </w:rPr>
              <w:t xml:space="preserve">2021</w:t>
            </w:r>
          </w:p>
        </w:tc>
        <w:tc>
          <w:tcPr>
            <w:tcW w:w="815" w:type="dxa"/>
          </w:tcPr>
          <w:p>
            <w:pPr>
              <w:pStyle w:val="0"/>
              <w:jc w:val="center"/>
            </w:pPr>
            <w:r>
              <w:rPr>
                <w:sz w:val="20"/>
              </w:rPr>
              <w:t xml:space="preserve">2022</w:t>
            </w:r>
          </w:p>
        </w:tc>
        <w:tc>
          <w:tcPr>
            <w:tcW w:w="815" w:type="dxa"/>
          </w:tcPr>
          <w:p>
            <w:pPr>
              <w:pStyle w:val="0"/>
              <w:jc w:val="center"/>
            </w:pPr>
            <w:r>
              <w:rPr>
                <w:sz w:val="20"/>
              </w:rPr>
              <w:t xml:space="preserve">2023</w:t>
            </w:r>
          </w:p>
        </w:tc>
        <w:tc>
          <w:tcPr>
            <w:tcW w:w="815" w:type="dxa"/>
          </w:tcPr>
          <w:p>
            <w:pPr>
              <w:pStyle w:val="0"/>
              <w:jc w:val="center"/>
            </w:pPr>
            <w:r>
              <w:rPr>
                <w:sz w:val="20"/>
              </w:rPr>
              <w:t xml:space="preserve">2024</w:t>
            </w:r>
          </w:p>
        </w:tc>
        <w:tc>
          <w:tcPr>
            <w:tcW w:w="819" w:type="dxa"/>
          </w:tcPr>
          <w:p>
            <w:pPr>
              <w:pStyle w:val="0"/>
              <w:jc w:val="center"/>
            </w:pPr>
            <w:r>
              <w:rPr>
                <w:sz w:val="20"/>
              </w:rPr>
              <w:t xml:space="preserve">2025</w:t>
            </w:r>
          </w:p>
        </w:tc>
        <w:tc>
          <w:tcPr>
            <w:tcW w:w="964" w:type="dxa"/>
          </w:tcPr>
          <w:p>
            <w:pPr>
              <w:pStyle w:val="0"/>
              <w:jc w:val="center"/>
            </w:pPr>
            <w:r>
              <w:rPr>
                <w:sz w:val="20"/>
              </w:rPr>
              <w:t xml:space="preserve">Всего 2021 - 2025</w:t>
            </w:r>
          </w:p>
        </w:tc>
      </w:tr>
      <w:tr>
        <w:tc>
          <w:tcPr>
            <w:tcW w:w="567" w:type="dxa"/>
          </w:tcPr>
          <w:p>
            <w:pPr>
              <w:pStyle w:val="0"/>
              <w:jc w:val="both"/>
            </w:pPr>
            <w:r>
              <w:rPr>
                <w:sz w:val="20"/>
              </w:rPr>
              <w:t xml:space="preserve">1</w:t>
            </w:r>
          </w:p>
        </w:tc>
        <w:tc>
          <w:tcPr>
            <w:tcW w:w="3458" w:type="dxa"/>
          </w:tcPr>
          <w:p>
            <w:pPr>
              <w:pStyle w:val="0"/>
              <w:jc w:val="both"/>
            </w:pPr>
            <w:r>
              <w:rPr>
                <w:sz w:val="20"/>
              </w:rP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815" w:type="dxa"/>
          </w:tcPr>
          <w:p>
            <w:pPr>
              <w:pStyle w:val="0"/>
              <w:jc w:val="center"/>
            </w:pPr>
            <w:r>
              <w:rPr>
                <w:sz w:val="20"/>
              </w:rPr>
              <w:t xml:space="preserve">10</w:t>
            </w:r>
          </w:p>
        </w:tc>
        <w:tc>
          <w:tcPr>
            <w:tcW w:w="815" w:type="dxa"/>
          </w:tcPr>
          <w:p>
            <w:pPr>
              <w:pStyle w:val="0"/>
              <w:jc w:val="center"/>
            </w:pPr>
            <w:r>
              <w:rPr>
                <w:sz w:val="20"/>
              </w:rPr>
              <w:t xml:space="preserve">0</w:t>
            </w:r>
          </w:p>
        </w:tc>
        <w:tc>
          <w:tcPr>
            <w:tcW w:w="815" w:type="dxa"/>
          </w:tcPr>
          <w:p>
            <w:pPr>
              <w:pStyle w:val="0"/>
              <w:jc w:val="center"/>
            </w:pPr>
            <w:r>
              <w:rPr>
                <w:sz w:val="20"/>
              </w:rPr>
              <w:t xml:space="preserve">0</w:t>
            </w:r>
          </w:p>
        </w:tc>
        <w:tc>
          <w:tcPr>
            <w:tcW w:w="815" w:type="dxa"/>
          </w:tcPr>
          <w:p>
            <w:pPr>
              <w:pStyle w:val="0"/>
              <w:jc w:val="center"/>
            </w:pPr>
            <w:r>
              <w:rPr>
                <w:sz w:val="20"/>
              </w:rPr>
              <w:t xml:space="preserve">0</w:t>
            </w:r>
          </w:p>
        </w:tc>
        <w:tc>
          <w:tcPr>
            <w:tcW w:w="819" w:type="dxa"/>
          </w:tcPr>
          <w:p>
            <w:pPr>
              <w:pStyle w:val="0"/>
              <w:jc w:val="center"/>
            </w:pPr>
            <w:r>
              <w:rPr>
                <w:sz w:val="20"/>
              </w:rPr>
              <w:t xml:space="preserve">0</w:t>
            </w:r>
          </w:p>
        </w:tc>
        <w:tc>
          <w:tcPr>
            <w:tcW w:w="964" w:type="dxa"/>
          </w:tcPr>
          <w:p>
            <w:pPr>
              <w:pStyle w:val="0"/>
              <w:jc w:val="center"/>
            </w:pPr>
            <w:r>
              <w:rPr>
                <w:sz w:val="20"/>
              </w:rPr>
              <w:t xml:space="preserve">8</w:t>
            </w:r>
          </w:p>
        </w:tc>
      </w:tr>
      <w:tr>
        <w:tc>
          <w:tcPr>
            <w:gridSpan w:val="2"/>
            <w:tcW w:w="4025" w:type="dxa"/>
          </w:tcPr>
          <w:p>
            <w:pPr>
              <w:pStyle w:val="0"/>
              <w:jc w:val="both"/>
            </w:pPr>
            <w:r>
              <w:rPr>
                <w:sz w:val="20"/>
              </w:rPr>
              <w:t xml:space="preserve">ИТОГО</w:t>
            </w:r>
          </w:p>
        </w:tc>
        <w:tc>
          <w:tcPr>
            <w:tcW w:w="815" w:type="dxa"/>
          </w:tcPr>
          <w:p>
            <w:pPr>
              <w:pStyle w:val="0"/>
              <w:jc w:val="center"/>
            </w:pPr>
            <w:r>
              <w:rPr>
                <w:sz w:val="20"/>
              </w:rPr>
              <w:t xml:space="preserve">10</w:t>
            </w:r>
          </w:p>
        </w:tc>
        <w:tc>
          <w:tcPr>
            <w:tcW w:w="815" w:type="dxa"/>
          </w:tcPr>
          <w:p>
            <w:pPr>
              <w:pStyle w:val="0"/>
              <w:jc w:val="center"/>
            </w:pPr>
            <w:r>
              <w:rPr>
                <w:sz w:val="20"/>
              </w:rPr>
              <w:t xml:space="preserve">0</w:t>
            </w:r>
          </w:p>
        </w:tc>
        <w:tc>
          <w:tcPr>
            <w:tcW w:w="815" w:type="dxa"/>
          </w:tcPr>
          <w:p>
            <w:pPr>
              <w:pStyle w:val="0"/>
              <w:jc w:val="center"/>
            </w:pPr>
            <w:r>
              <w:rPr>
                <w:sz w:val="20"/>
              </w:rPr>
              <w:t xml:space="preserve">0</w:t>
            </w:r>
          </w:p>
        </w:tc>
        <w:tc>
          <w:tcPr>
            <w:tcW w:w="815" w:type="dxa"/>
          </w:tcPr>
          <w:p>
            <w:pPr>
              <w:pStyle w:val="0"/>
              <w:jc w:val="center"/>
            </w:pPr>
            <w:r>
              <w:rPr>
                <w:sz w:val="20"/>
              </w:rPr>
              <w:t xml:space="preserve">0</w:t>
            </w:r>
          </w:p>
        </w:tc>
        <w:tc>
          <w:tcPr>
            <w:tcW w:w="819" w:type="dxa"/>
          </w:tcPr>
          <w:p>
            <w:pPr>
              <w:pStyle w:val="0"/>
              <w:jc w:val="center"/>
            </w:pPr>
            <w:r>
              <w:rPr>
                <w:sz w:val="20"/>
              </w:rPr>
              <w:t xml:space="preserve">0</w:t>
            </w:r>
          </w:p>
        </w:tc>
        <w:tc>
          <w:tcPr>
            <w:tcW w:w="964" w:type="dxa"/>
          </w:tcPr>
          <w:p>
            <w:pPr>
              <w:pStyle w:val="0"/>
              <w:jc w:val="center"/>
            </w:pPr>
            <w:r>
              <w:rPr>
                <w:sz w:val="20"/>
              </w:rPr>
              <w:t xml:space="preserve">8</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10</w:t>
      </w:r>
    </w:p>
    <w:p>
      <w:pPr>
        <w:pStyle w:val="0"/>
        <w:jc w:val="right"/>
      </w:pPr>
      <w:r>
        <w:rPr>
          <w:sz w:val="20"/>
        </w:rPr>
        <w:t xml:space="preserve">к региональной программе</w:t>
      </w:r>
    </w:p>
    <w:p>
      <w:pPr>
        <w:pStyle w:val="0"/>
        <w:jc w:val="right"/>
      </w:pPr>
      <w:r>
        <w:rPr>
          <w:sz w:val="20"/>
        </w:rPr>
        <w:t xml:space="preserve">"Модернизация первичного звена</w:t>
      </w:r>
    </w:p>
    <w:p>
      <w:pPr>
        <w:pStyle w:val="0"/>
        <w:jc w:val="right"/>
      </w:pPr>
      <w:r>
        <w:rPr>
          <w:sz w:val="20"/>
        </w:rPr>
        <w:t xml:space="preserve">здравоохранения города Севастополя"</w:t>
      </w:r>
    </w:p>
    <w:p>
      <w:pPr>
        <w:pStyle w:val="0"/>
      </w:pPr>
      <w:r>
        <w:rPr>
          <w:sz w:val="20"/>
        </w:rPr>
      </w:r>
    </w:p>
    <w:bookmarkStart w:id="38141" w:name="P38141"/>
    <w:bookmarkEnd w:id="38141"/>
    <w:p>
      <w:pPr>
        <w:pStyle w:val="2"/>
        <w:jc w:val="center"/>
      </w:pPr>
      <w:r>
        <w:rPr>
          <w:sz w:val="20"/>
        </w:rPr>
        <w:t xml:space="preserve">Анализ кадрового обеспечения медицинских организаций города</w:t>
      </w:r>
    </w:p>
    <w:p>
      <w:pPr>
        <w:pStyle w:val="2"/>
        <w:jc w:val="center"/>
      </w:pPr>
      <w:r>
        <w:rPr>
          <w:sz w:val="20"/>
        </w:rPr>
        <w:t xml:space="preserve">Севастополя, оказывающих первичную медико-санитарную помощь</w:t>
      </w:r>
    </w:p>
    <w:p>
      <w:pPr>
        <w:pStyle w:val="0"/>
      </w:pPr>
      <w:r>
        <w:rPr>
          <w:sz w:val="20"/>
        </w:rPr>
      </w:r>
    </w:p>
    <w:p>
      <w:pPr>
        <w:pStyle w:val="0"/>
        <w:ind w:firstLine="540"/>
        <w:jc w:val="both"/>
      </w:pPr>
      <w:r>
        <w:rPr>
          <w:sz w:val="20"/>
        </w:rPr>
        <w:t xml:space="preserve">1. По состоянию на 31 декабря 2019 г. в первичном звене государственного здравоохранения города Севастополя работало 715 врачей. Врачей станций и отделений скорой медицинской помощи - 43 человека. В результате реализации программных мероприятий показатель численности врачей в первичном звене здравоохранения должен составить 748 человек.</w:t>
      </w:r>
    </w:p>
    <w:p>
      <w:pPr>
        <w:pStyle w:val="0"/>
        <w:jc w:val="right"/>
      </w:pPr>
      <w:r>
        <w:rPr>
          <w:sz w:val="20"/>
        </w:rPr>
      </w:r>
    </w:p>
    <w:p>
      <w:pPr>
        <w:pStyle w:val="0"/>
        <w:jc w:val="right"/>
      </w:pPr>
      <w:r>
        <w:rPr>
          <w:sz w:val="20"/>
        </w:rPr>
        <w:t xml:space="preserve">Таблица 1</w:t>
      </w:r>
    </w:p>
    <w:p>
      <w:pPr>
        <w:pStyle w:val="0"/>
        <w:jc w:val="right"/>
      </w:pPr>
      <w:r>
        <w:rPr>
          <w:sz w:val="20"/>
        </w:rPr>
      </w:r>
    </w:p>
    <w:p>
      <w:pPr>
        <w:pStyle w:val="0"/>
        <w:jc w:val="center"/>
      </w:pPr>
      <w:r>
        <w:rPr>
          <w:sz w:val="20"/>
        </w:rPr>
        <w:t xml:space="preserve">Врачи, занятые в первичном звене государственной</w:t>
      </w:r>
    </w:p>
    <w:p>
      <w:pPr>
        <w:pStyle w:val="0"/>
        <w:jc w:val="center"/>
      </w:pPr>
      <w:r>
        <w:rPr>
          <w:sz w:val="20"/>
        </w:rPr>
        <w:t xml:space="preserve">системы здравоохранения (чел.)</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39"/>
        <w:gridCol w:w="1015"/>
        <w:gridCol w:w="1015"/>
        <w:gridCol w:w="1015"/>
        <w:gridCol w:w="1015"/>
        <w:gridCol w:w="1015"/>
        <w:gridCol w:w="1015"/>
        <w:gridCol w:w="1015"/>
      </w:tblGrid>
      <w:tr>
        <w:tc>
          <w:tcPr>
            <w:tcW w:w="1939" w:type="dxa"/>
          </w:tcPr>
          <w:p>
            <w:pPr>
              <w:pStyle w:val="0"/>
              <w:jc w:val="both"/>
            </w:pPr>
            <w:r>
              <w:rPr>
                <w:sz w:val="20"/>
              </w:rPr>
              <w:t xml:space="preserve">Год</w:t>
            </w:r>
          </w:p>
        </w:tc>
        <w:tc>
          <w:tcPr>
            <w:tcW w:w="1015" w:type="dxa"/>
          </w:tcPr>
          <w:p>
            <w:pPr>
              <w:pStyle w:val="0"/>
              <w:jc w:val="center"/>
            </w:pPr>
            <w:r>
              <w:rPr>
                <w:sz w:val="20"/>
              </w:rPr>
              <w:t xml:space="preserve">2019</w:t>
            </w:r>
          </w:p>
        </w:tc>
        <w:tc>
          <w:tcPr>
            <w:tcW w:w="1015" w:type="dxa"/>
          </w:tcPr>
          <w:p>
            <w:pPr>
              <w:pStyle w:val="0"/>
              <w:jc w:val="center"/>
            </w:pPr>
            <w:r>
              <w:rPr>
                <w:sz w:val="20"/>
              </w:rPr>
              <w:t xml:space="preserve">2020</w:t>
            </w:r>
          </w:p>
        </w:tc>
        <w:tc>
          <w:tcPr>
            <w:tcW w:w="1015" w:type="dxa"/>
          </w:tcPr>
          <w:p>
            <w:pPr>
              <w:pStyle w:val="0"/>
              <w:jc w:val="center"/>
            </w:pPr>
            <w:r>
              <w:rPr>
                <w:sz w:val="20"/>
              </w:rPr>
              <w:t xml:space="preserve">2021</w:t>
            </w:r>
          </w:p>
        </w:tc>
        <w:tc>
          <w:tcPr>
            <w:tcW w:w="1015" w:type="dxa"/>
          </w:tcPr>
          <w:p>
            <w:pPr>
              <w:pStyle w:val="0"/>
              <w:jc w:val="center"/>
            </w:pPr>
            <w:r>
              <w:rPr>
                <w:sz w:val="20"/>
              </w:rPr>
              <w:t xml:space="preserve">2022</w:t>
            </w:r>
          </w:p>
        </w:tc>
        <w:tc>
          <w:tcPr>
            <w:tcW w:w="1015" w:type="dxa"/>
          </w:tcPr>
          <w:p>
            <w:pPr>
              <w:pStyle w:val="0"/>
              <w:jc w:val="center"/>
            </w:pPr>
            <w:r>
              <w:rPr>
                <w:sz w:val="20"/>
              </w:rPr>
              <w:t xml:space="preserve">2023</w:t>
            </w:r>
          </w:p>
        </w:tc>
        <w:tc>
          <w:tcPr>
            <w:tcW w:w="1015" w:type="dxa"/>
          </w:tcPr>
          <w:p>
            <w:pPr>
              <w:pStyle w:val="0"/>
              <w:jc w:val="center"/>
            </w:pPr>
            <w:r>
              <w:rPr>
                <w:sz w:val="20"/>
              </w:rPr>
              <w:t xml:space="preserve">2024</w:t>
            </w:r>
          </w:p>
        </w:tc>
        <w:tc>
          <w:tcPr>
            <w:tcW w:w="1015" w:type="dxa"/>
          </w:tcPr>
          <w:p>
            <w:pPr>
              <w:pStyle w:val="0"/>
              <w:jc w:val="center"/>
            </w:pPr>
            <w:r>
              <w:rPr>
                <w:sz w:val="20"/>
              </w:rPr>
              <w:t xml:space="preserve">2025</w:t>
            </w:r>
          </w:p>
        </w:tc>
      </w:tr>
      <w:tr>
        <w:tc>
          <w:tcPr>
            <w:tcW w:w="1939" w:type="dxa"/>
          </w:tcPr>
          <w:p>
            <w:pPr>
              <w:pStyle w:val="0"/>
              <w:jc w:val="both"/>
            </w:pPr>
            <w:r>
              <w:rPr>
                <w:sz w:val="20"/>
              </w:rPr>
              <w:t xml:space="preserve">Кол-во, чел.</w:t>
            </w:r>
          </w:p>
        </w:tc>
        <w:tc>
          <w:tcPr>
            <w:tcW w:w="1015" w:type="dxa"/>
          </w:tcPr>
          <w:p>
            <w:pPr>
              <w:pStyle w:val="0"/>
              <w:jc w:val="center"/>
            </w:pPr>
            <w:r>
              <w:rPr>
                <w:sz w:val="20"/>
              </w:rPr>
              <w:t xml:space="preserve">715</w:t>
            </w:r>
          </w:p>
        </w:tc>
        <w:tc>
          <w:tcPr>
            <w:tcW w:w="1015" w:type="dxa"/>
          </w:tcPr>
          <w:p>
            <w:pPr>
              <w:pStyle w:val="0"/>
              <w:jc w:val="center"/>
            </w:pPr>
            <w:r>
              <w:rPr>
                <w:sz w:val="20"/>
              </w:rPr>
              <w:t xml:space="preserve">719</w:t>
            </w:r>
          </w:p>
        </w:tc>
        <w:tc>
          <w:tcPr>
            <w:tcW w:w="1015" w:type="dxa"/>
          </w:tcPr>
          <w:p>
            <w:pPr>
              <w:pStyle w:val="0"/>
              <w:jc w:val="center"/>
            </w:pPr>
            <w:r>
              <w:rPr>
                <w:sz w:val="20"/>
              </w:rPr>
              <w:t xml:space="preserve">722</w:t>
            </w:r>
          </w:p>
        </w:tc>
        <w:tc>
          <w:tcPr>
            <w:tcW w:w="1015" w:type="dxa"/>
          </w:tcPr>
          <w:p>
            <w:pPr>
              <w:pStyle w:val="0"/>
              <w:jc w:val="center"/>
            </w:pPr>
            <w:r>
              <w:rPr>
                <w:sz w:val="20"/>
              </w:rPr>
              <w:t xml:space="preserve">726</w:t>
            </w:r>
          </w:p>
        </w:tc>
        <w:tc>
          <w:tcPr>
            <w:tcW w:w="1015" w:type="dxa"/>
          </w:tcPr>
          <w:p>
            <w:pPr>
              <w:pStyle w:val="0"/>
              <w:jc w:val="center"/>
            </w:pPr>
            <w:r>
              <w:rPr>
                <w:sz w:val="20"/>
              </w:rPr>
              <w:t xml:space="preserve">732</w:t>
            </w:r>
          </w:p>
        </w:tc>
        <w:tc>
          <w:tcPr>
            <w:tcW w:w="1015" w:type="dxa"/>
          </w:tcPr>
          <w:p>
            <w:pPr>
              <w:pStyle w:val="0"/>
              <w:jc w:val="center"/>
            </w:pPr>
            <w:r>
              <w:rPr>
                <w:sz w:val="20"/>
              </w:rPr>
              <w:t xml:space="preserve">748</w:t>
            </w:r>
          </w:p>
        </w:tc>
        <w:tc>
          <w:tcPr>
            <w:tcW w:w="1015" w:type="dxa"/>
          </w:tcPr>
          <w:p>
            <w:pPr>
              <w:pStyle w:val="0"/>
              <w:jc w:val="center"/>
            </w:pPr>
            <w:r>
              <w:rPr>
                <w:sz w:val="20"/>
              </w:rPr>
              <w:t xml:space="preserve">748</w:t>
            </w:r>
          </w:p>
        </w:tc>
      </w:tr>
    </w:tbl>
    <w:p>
      <w:pPr>
        <w:pStyle w:val="0"/>
        <w:ind w:firstLine="540"/>
        <w:jc w:val="both"/>
      </w:pPr>
      <w:r>
        <w:rPr>
          <w:sz w:val="20"/>
        </w:rPr>
      </w:r>
    </w:p>
    <w:p>
      <w:pPr>
        <w:pStyle w:val="0"/>
        <w:ind w:firstLine="540"/>
        <w:jc w:val="both"/>
      </w:pPr>
      <w:r>
        <w:rPr>
          <w:sz w:val="20"/>
        </w:rPr>
        <w:t xml:space="preserve">По состоянию на 31 декабря 2019 г. коэффициент совместительства врачей в первичном звене здравоохранения составлял 1,19; коэффициент совместительства врачей, оказывающих скорую медицинскую помощь, - 1,35.</w:t>
      </w:r>
    </w:p>
    <w:p>
      <w:pPr>
        <w:pStyle w:val="0"/>
        <w:spacing w:before="200" w:line-rule="auto"/>
        <w:ind w:firstLine="540"/>
        <w:jc w:val="both"/>
      </w:pPr>
      <w:r>
        <w:rPr>
          <w:sz w:val="20"/>
        </w:rPr>
        <w:t xml:space="preserve">В результате реализации программных мероприятий показатель коэффициента совместительства врачей в первичном звене здравоохранения должен составить не более 1,2.</w:t>
      </w:r>
    </w:p>
    <w:p>
      <w:pPr>
        <w:pStyle w:val="0"/>
        <w:jc w:val="right"/>
      </w:pPr>
      <w:r>
        <w:rPr>
          <w:sz w:val="20"/>
        </w:rPr>
      </w:r>
    </w:p>
    <w:p>
      <w:pPr>
        <w:pStyle w:val="0"/>
        <w:jc w:val="right"/>
      </w:pPr>
      <w:r>
        <w:rPr>
          <w:sz w:val="20"/>
        </w:rPr>
        <w:t xml:space="preserve">Таблица 2</w:t>
      </w:r>
    </w:p>
    <w:p>
      <w:pPr>
        <w:pStyle w:val="0"/>
        <w:jc w:val="right"/>
      </w:pPr>
      <w:r>
        <w:rPr>
          <w:sz w:val="20"/>
        </w:rPr>
      </w:r>
    </w:p>
    <w:p>
      <w:pPr>
        <w:pStyle w:val="0"/>
        <w:jc w:val="center"/>
      </w:pPr>
      <w:r>
        <w:rPr>
          <w:sz w:val="20"/>
        </w:rPr>
        <w:t xml:space="preserve">Коэффициент совместительства врачей, занятых</w:t>
      </w:r>
    </w:p>
    <w:p>
      <w:pPr>
        <w:pStyle w:val="0"/>
        <w:jc w:val="center"/>
      </w:pPr>
      <w:r>
        <w:rPr>
          <w:sz w:val="20"/>
        </w:rPr>
        <w:t xml:space="preserve">в первичном звене государственной системы здравоохранения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39"/>
        <w:gridCol w:w="1015"/>
        <w:gridCol w:w="1015"/>
        <w:gridCol w:w="1015"/>
        <w:gridCol w:w="1015"/>
        <w:gridCol w:w="1015"/>
        <w:gridCol w:w="1015"/>
        <w:gridCol w:w="1015"/>
      </w:tblGrid>
      <w:tr>
        <w:tc>
          <w:tcPr>
            <w:tcW w:w="1939" w:type="dxa"/>
          </w:tcPr>
          <w:p>
            <w:pPr>
              <w:pStyle w:val="0"/>
              <w:jc w:val="both"/>
            </w:pPr>
            <w:r>
              <w:rPr>
                <w:sz w:val="20"/>
              </w:rPr>
              <w:t xml:space="preserve">Год</w:t>
            </w:r>
          </w:p>
        </w:tc>
        <w:tc>
          <w:tcPr>
            <w:tcW w:w="1015" w:type="dxa"/>
          </w:tcPr>
          <w:p>
            <w:pPr>
              <w:pStyle w:val="0"/>
              <w:jc w:val="center"/>
            </w:pPr>
            <w:r>
              <w:rPr>
                <w:sz w:val="20"/>
              </w:rPr>
              <w:t xml:space="preserve">2019</w:t>
            </w:r>
          </w:p>
        </w:tc>
        <w:tc>
          <w:tcPr>
            <w:tcW w:w="1015" w:type="dxa"/>
          </w:tcPr>
          <w:p>
            <w:pPr>
              <w:pStyle w:val="0"/>
              <w:jc w:val="center"/>
            </w:pPr>
            <w:r>
              <w:rPr>
                <w:sz w:val="20"/>
              </w:rPr>
              <w:t xml:space="preserve">2020</w:t>
            </w:r>
          </w:p>
        </w:tc>
        <w:tc>
          <w:tcPr>
            <w:tcW w:w="1015" w:type="dxa"/>
          </w:tcPr>
          <w:p>
            <w:pPr>
              <w:pStyle w:val="0"/>
              <w:jc w:val="center"/>
            </w:pPr>
            <w:r>
              <w:rPr>
                <w:sz w:val="20"/>
              </w:rPr>
              <w:t xml:space="preserve">2021</w:t>
            </w:r>
          </w:p>
        </w:tc>
        <w:tc>
          <w:tcPr>
            <w:tcW w:w="1015" w:type="dxa"/>
          </w:tcPr>
          <w:p>
            <w:pPr>
              <w:pStyle w:val="0"/>
              <w:jc w:val="center"/>
            </w:pPr>
            <w:r>
              <w:rPr>
                <w:sz w:val="20"/>
              </w:rPr>
              <w:t xml:space="preserve">2022</w:t>
            </w:r>
          </w:p>
        </w:tc>
        <w:tc>
          <w:tcPr>
            <w:tcW w:w="1015" w:type="dxa"/>
          </w:tcPr>
          <w:p>
            <w:pPr>
              <w:pStyle w:val="0"/>
              <w:jc w:val="center"/>
            </w:pPr>
            <w:r>
              <w:rPr>
                <w:sz w:val="20"/>
              </w:rPr>
              <w:t xml:space="preserve">2023</w:t>
            </w:r>
          </w:p>
        </w:tc>
        <w:tc>
          <w:tcPr>
            <w:tcW w:w="1015" w:type="dxa"/>
          </w:tcPr>
          <w:p>
            <w:pPr>
              <w:pStyle w:val="0"/>
              <w:jc w:val="center"/>
            </w:pPr>
            <w:r>
              <w:rPr>
                <w:sz w:val="20"/>
              </w:rPr>
              <w:t xml:space="preserve">2024</w:t>
            </w:r>
          </w:p>
        </w:tc>
        <w:tc>
          <w:tcPr>
            <w:tcW w:w="1015" w:type="dxa"/>
          </w:tcPr>
          <w:p>
            <w:pPr>
              <w:pStyle w:val="0"/>
              <w:jc w:val="center"/>
            </w:pPr>
            <w:r>
              <w:rPr>
                <w:sz w:val="20"/>
              </w:rPr>
              <w:t xml:space="preserve">2025</w:t>
            </w:r>
          </w:p>
        </w:tc>
      </w:tr>
      <w:tr>
        <w:tc>
          <w:tcPr>
            <w:tcW w:w="1939" w:type="dxa"/>
          </w:tcPr>
          <w:p>
            <w:pPr>
              <w:pStyle w:val="0"/>
              <w:jc w:val="both"/>
            </w:pPr>
            <w:r>
              <w:rPr>
                <w:sz w:val="20"/>
              </w:rPr>
              <w:t xml:space="preserve">Коэффициент совместительства</w:t>
            </w:r>
          </w:p>
        </w:tc>
        <w:tc>
          <w:tcPr>
            <w:tcW w:w="1015" w:type="dxa"/>
          </w:tcPr>
          <w:p>
            <w:pPr>
              <w:pStyle w:val="0"/>
              <w:jc w:val="center"/>
            </w:pPr>
            <w:r>
              <w:rPr>
                <w:sz w:val="20"/>
              </w:rPr>
              <w:t xml:space="preserve">1,19</w:t>
            </w:r>
          </w:p>
        </w:tc>
        <w:tc>
          <w:tcPr>
            <w:tcW w:w="1015" w:type="dxa"/>
          </w:tcPr>
          <w:p>
            <w:pPr>
              <w:pStyle w:val="0"/>
              <w:jc w:val="center"/>
            </w:pPr>
            <w:r>
              <w:rPr>
                <w:sz w:val="20"/>
              </w:rPr>
              <w:t xml:space="preserve">1,2</w:t>
            </w:r>
          </w:p>
        </w:tc>
        <w:tc>
          <w:tcPr>
            <w:tcW w:w="1015" w:type="dxa"/>
          </w:tcPr>
          <w:p>
            <w:pPr>
              <w:pStyle w:val="0"/>
              <w:jc w:val="center"/>
            </w:pPr>
            <w:r>
              <w:rPr>
                <w:sz w:val="20"/>
              </w:rPr>
              <w:t xml:space="preserve">1,2</w:t>
            </w:r>
          </w:p>
        </w:tc>
        <w:tc>
          <w:tcPr>
            <w:tcW w:w="1015" w:type="dxa"/>
          </w:tcPr>
          <w:p>
            <w:pPr>
              <w:pStyle w:val="0"/>
              <w:jc w:val="center"/>
            </w:pPr>
            <w:r>
              <w:rPr>
                <w:sz w:val="20"/>
              </w:rPr>
              <w:t xml:space="preserve">1,2</w:t>
            </w:r>
          </w:p>
        </w:tc>
        <w:tc>
          <w:tcPr>
            <w:tcW w:w="1015" w:type="dxa"/>
          </w:tcPr>
          <w:p>
            <w:pPr>
              <w:pStyle w:val="0"/>
              <w:jc w:val="center"/>
            </w:pPr>
            <w:r>
              <w:rPr>
                <w:sz w:val="20"/>
              </w:rPr>
              <w:t xml:space="preserve">1,2</w:t>
            </w:r>
          </w:p>
        </w:tc>
        <w:tc>
          <w:tcPr>
            <w:tcW w:w="1015" w:type="dxa"/>
          </w:tcPr>
          <w:p>
            <w:pPr>
              <w:pStyle w:val="0"/>
              <w:jc w:val="center"/>
            </w:pPr>
            <w:r>
              <w:rPr>
                <w:sz w:val="20"/>
              </w:rPr>
              <w:t xml:space="preserve">1,2</w:t>
            </w:r>
          </w:p>
        </w:tc>
        <w:tc>
          <w:tcPr>
            <w:tcW w:w="1015" w:type="dxa"/>
          </w:tcPr>
          <w:p>
            <w:pPr>
              <w:pStyle w:val="0"/>
              <w:jc w:val="center"/>
            </w:pPr>
            <w:r>
              <w:rPr>
                <w:sz w:val="20"/>
              </w:rPr>
              <w:t xml:space="preserve">1,2</w:t>
            </w:r>
          </w:p>
        </w:tc>
      </w:tr>
    </w:tbl>
    <w:p>
      <w:pPr>
        <w:pStyle w:val="0"/>
        <w:jc w:val="both"/>
      </w:pPr>
      <w:r>
        <w:rPr>
          <w:sz w:val="20"/>
        </w:rPr>
      </w:r>
    </w:p>
    <w:p>
      <w:pPr>
        <w:pStyle w:val="0"/>
        <w:ind w:firstLine="540"/>
        <w:jc w:val="both"/>
      </w:pPr>
      <w:r>
        <w:rPr>
          <w:sz w:val="20"/>
        </w:rPr>
        <w:t xml:space="preserve">По состоянию на 31 декабря 2019 г. в первичном звене государственного здравоохранения города Севастополя работало 1369 средних медицинских работников. В результате реализации программных мероприятий показатель численности средних медицинских работников в первичном звене здравоохранения должен составить 1430 человек.</w:t>
      </w:r>
    </w:p>
    <w:p>
      <w:pPr>
        <w:pStyle w:val="0"/>
        <w:jc w:val="both"/>
      </w:pPr>
      <w:r>
        <w:rPr>
          <w:sz w:val="20"/>
        </w:rPr>
      </w:r>
    </w:p>
    <w:p>
      <w:pPr>
        <w:pStyle w:val="0"/>
        <w:jc w:val="right"/>
      </w:pPr>
      <w:r>
        <w:rPr>
          <w:sz w:val="20"/>
        </w:rPr>
        <w:t xml:space="preserve">Таблица 3</w:t>
      </w:r>
    </w:p>
    <w:p>
      <w:pPr>
        <w:pStyle w:val="0"/>
        <w:jc w:val="right"/>
      </w:pPr>
      <w:r>
        <w:rPr>
          <w:sz w:val="20"/>
        </w:rPr>
      </w:r>
    </w:p>
    <w:p>
      <w:pPr>
        <w:pStyle w:val="0"/>
        <w:jc w:val="center"/>
      </w:pPr>
      <w:r>
        <w:rPr>
          <w:sz w:val="20"/>
        </w:rPr>
        <w:t xml:space="preserve">Средние медицинские работники, занятые в первичном звене</w:t>
      </w:r>
    </w:p>
    <w:p>
      <w:pPr>
        <w:pStyle w:val="0"/>
        <w:jc w:val="center"/>
      </w:pPr>
      <w:r>
        <w:rPr>
          <w:sz w:val="20"/>
        </w:rPr>
        <w:t xml:space="preserve">государственной системы здравоохранения (чел.)</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39"/>
        <w:gridCol w:w="1015"/>
        <w:gridCol w:w="1015"/>
        <w:gridCol w:w="1015"/>
        <w:gridCol w:w="1015"/>
        <w:gridCol w:w="1015"/>
        <w:gridCol w:w="1015"/>
        <w:gridCol w:w="1015"/>
      </w:tblGrid>
      <w:tr>
        <w:tc>
          <w:tcPr>
            <w:tcW w:w="1939" w:type="dxa"/>
          </w:tcPr>
          <w:p>
            <w:pPr>
              <w:pStyle w:val="0"/>
              <w:jc w:val="both"/>
            </w:pPr>
            <w:r>
              <w:rPr>
                <w:sz w:val="20"/>
              </w:rPr>
              <w:t xml:space="preserve">Год</w:t>
            </w:r>
          </w:p>
        </w:tc>
        <w:tc>
          <w:tcPr>
            <w:tcW w:w="1015" w:type="dxa"/>
          </w:tcPr>
          <w:p>
            <w:pPr>
              <w:pStyle w:val="0"/>
              <w:jc w:val="center"/>
            </w:pPr>
            <w:r>
              <w:rPr>
                <w:sz w:val="20"/>
              </w:rPr>
              <w:t xml:space="preserve">2019</w:t>
            </w:r>
          </w:p>
        </w:tc>
        <w:tc>
          <w:tcPr>
            <w:tcW w:w="1015" w:type="dxa"/>
          </w:tcPr>
          <w:p>
            <w:pPr>
              <w:pStyle w:val="0"/>
              <w:jc w:val="center"/>
            </w:pPr>
            <w:r>
              <w:rPr>
                <w:sz w:val="20"/>
              </w:rPr>
              <w:t xml:space="preserve">2020</w:t>
            </w:r>
          </w:p>
        </w:tc>
        <w:tc>
          <w:tcPr>
            <w:tcW w:w="1015" w:type="dxa"/>
          </w:tcPr>
          <w:p>
            <w:pPr>
              <w:pStyle w:val="0"/>
              <w:jc w:val="center"/>
            </w:pPr>
            <w:r>
              <w:rPr>
                <w:sz w:val="20"/>
              </w:rPr>
              <w:t xml:space="preserve">2021</w:t>
            </w:r>
          </w:p>
        </w:tc>
        <w:tc>
          <w:tcPr>
            <w:tcW w:w="1015" w:type="dxa"/>
          </w:tcPr>
          <w:p>
            <w:pPr>
              <w:pStyle w:val="0"/>
              <w:jc w:val="center"/>
            </w:pPr>
            <w:r>
              <w:rPr>
                <w:sz w:val="20"/>
              </w:rPr>
              <w:t xml:space="preserve">2022</w:t>
            </w:r>
          </w:p>
        </w:tc>
        <w:tc>
          <w:tcPr>
            <w:tcW w:w="1015" w:type="dxa"/>
          </w:tcPr>
          <w:p>
            <w:pPr>
              <w:pStyle w:val="0"/>
              <w:jc w:val="center"/>
            </w:pPr>
            <w:r>
              <w:rPr>
                <w:sz w:val="20"/>
              </w:rPr>
              <w:t xml:space="preserve">2023</w:t>
            </w:r>
          </w:p>
        </w:tc>
        <w:tc>
          <w:tcPr>
            <w:tcW w:w="1015" w:type="dxa"/>
          </w:tcPr>
          <w:p>
            <w:pPr>
              <w:pStyle w:val="0"/>
              <w:jc w:val="center"/>
            </w:pPr>
            <w:r>
              <w:rPr>
                <w:sz w:val="20"/>
              </w:rPr>
              <w:t xml:space="preserve">2024</w:t>
            </w:r>
          </w:p>
        </w:tc>
        <w:tc>
          <w:tcPr>
            <w:tcW w:w="1015" w:type="dxa"/>
          </w:tcPr>
          <w:p>
            <w:pPr>
              <w:pStyle w:val="0"/>
              <w:jc w:val="center"/>
            </w:pPr>
            <w:r>
              <w:rPr>
                <w:sz w:val="20"/>
              </w:rPr>
              <w:t xml:space="preserve">2025</w:t>
            </w:r>
          </w:p>
        </w:tc>
      </w:tr>
      <w:tr>
        <w:tc>
          <w:tcPr>
            <w:tcW w:w="1939" w:type="dxa"/>
          </w:tcPr>
          <w:p>
            <w:pPr>
              <w:pStyle w:val="0"/>
              <w:jc w:val="both"/>
            </w:pPr>
            <w:r>
              <w:rPr>
                <w:sz w:val="20"/>
              </w:rPr>
              <w:t xml:space="preserve">Количество, чел.</w:t>
            </w:r>
          </w:p>
        </w:tc>
        <w:tc>
          <w:tcPr>
            <w:tcW w:w="1015" w:type="dxa"/>
          </w:tcPr>
          <w:p>
            <w:pPr>
              <w:pStyle w:val="0"/>
              <w:jc w:val="center"/>
            </w:pPr>
            <w:r>
              <w:rPr>
                <w:sz w:val="20"/>
              </w:rPr>
              <w:t xml:space="preserve">1354</w:t>
            </w:r>
          </w:p>
        </w:tc>
        <w:tc>
          <w:tcPr>
            <w:tcW w:w="1015" w:type="dxa"/>
          </w:tcPr>
          <w:p>
            <w:pPr>
              <w:pStyle w:val="0"/>
              <w:jc w:val="center"/>
            </w:pPr>
            <w:r>
              <w:rPr>
                <w:sz w:val="20"/>
              </w:rPr>
              <w:t xml:space="preserve">1369</w:t>
            </w:r>
          </w:p>
        </w:tc>
        <w:tc>
          <w:tcPr>
            <w:tcW w:w="1015" w:type="dxa"/>
          </w:tcPr>
          <w:p>
            <w:pPr>
              <w:pStyle w:val="0"/>
              <w:jc w:val="center"/>
            </w:pPr>
            <w:r>
              <w:rPr>
                <w:sz w:val="20"/>
              </w:rPr>
              <w:t xml:space="preserve">1384</w:t>
            </w:r>
          </w:p>
        </w:tc>
        <w:tc>
          <w:tcPr>
            <w:tcW w:w="1015" w:type="dxa"/>
          </w:tcPr>
          <w:p>
            <w:pPr>
              <w:pStyle w:val="0"/>
              <w:jc w:val="center"/>
            </w:pPr>
            <w:r>
              <w:rPr>
                <w:sz w:val="20"/>
              </w:rPr>
              <w:t xml:space="preserve">1399</w:t>
            </w:r>
          </w:p>
        </w:tc>
        <w:tc>
          <w:tcPr>
            <w:tcW w:w="1015" w:type="dxa"/>
          </w:tcPr>
          <w:p>
            <w:pPr>
              <w:pStyle w:val="0"/>
              <w:jc w:val="center"/>
            </w:pPr>
            <w:r>
              <w:rPr>
                <w:sz w:val="20"/>
              </w:rPr>
              <w:t xml:space="preserve">1414</w:t>
            </w:r>
          </w:p>
        </w:tc>
        <w:tc>
          <w:tcPr>
            <w:tcW w:w="1015" w:type="dxa"/>
          </w:tcPr>
          <w:p>
            <w:pPr>
              <w:pStyle w:val="0"/>
              <w:jc w:val="center"/>
            </w:pPr>
            <w:r>
              <w:rPr>
                <w:sz w:val="20"/>
              </w:rPr>
              <w:t xml:space="preserve">1430</w:t>
            </w:r>
          </w:p>
        </w:tc>
        <w:tc>
          <w:tcPr>
            <w:tcW w:w="1015" w:type="dxa"/>
          </w:tcPr>
          <w:p>
            <w:pPr>
              <w:pStyle w:val="0"/>
              <w:jc w:val="center"/>
            </w:pPr>
            <w:r>
              <w:rPr>
                <w:sz w:val="20"/>
              </w:rPr>
              <w:t xml:space="preserve">1430</w:t>
            </w:r>
          </w:p>
        </w:tc>
      </w:tr>
    </w:tbl>
    <w:p>
      <w:pPr>
        <w:pStyle w:val="0"/>
        <w:jc w:val="both"/>
      </w:pPr>
      <w:r>
        <w:rPr>
          <w:sz w:val="20"/>
        </w:rPr>
      </w:r>
    </w:p>
    <w:p>
      <w:pPr>
        <w:pStyle w:val="0"/>
        <w:ind w:firstLine="540"/>
        <w:jc w:val="both"/>
      </w:pPr>
      <w:r>
        <w:rPr>
          <w:sz w:val="20"/>
        </w:rPr>
        <w:t xml:space="preserve">По состоянию на 31 декабря 2019 г. коэффициент совместительства средних медицинских работников в первичном звене здравоохранения составлял 1,3. Коэффициент совместительства средних медицинских работников, оказывающих скорую медицинскую помощь, - 1,31. В результате реализации программных мероприятий показатель коэффициента совместительства врачей в первичном звене здравоохранения должен составить не более 1,2.</w:t>
      </w:r>
    </w:p>
    <w:p>
      <w:pPr>
        <w:pStyle w:val="0"/>
        <w:jc w:val="right"/>
      </w:pPr>
      <w:r>
        <w:rPr>
          <w:sz w:val="20"/>
        </w:rPr>
      </w:r>
    </w:p>
    <w:p>
      <w:pPr>
        <w:pStyle w:val="0"/>
        <w:jc w:val="right"/>
      </w:pPr>
      <w:r>
        <w:rPr>
          <w:sz w:val="20"/>
        </w:rPr>
        <w:t xml:space="preserve">Таблица 4</w:t>
      </w:r>
    </w:p>
    <w:p>
      <w:pPr>
        <w:pStyle w:val="0"/>
        <w:jc w:val="right"/>
      </w:pPr>
      <w:r>
        <w:rPr>
          <w:sz w:val="20"/>
        </w:rPr>
      </w:r>
    </w:p>
    <w:p>
      <w:pPr>
        <w:pStyle w:val="0"/>
        <w:jc w:val="center"/>
      </w:pPr>
      <w:r>
        <w:rPr>
          <w:sz w:val="20"/>
        </w:rPr>
        <w:t xml:space="preserve">Коэффициент совместительства средних медицинских работников,</w:t>
      </w:r>
    </w:p>
    <w:p>
      <w:pPr>
        <w:pStyle w:val="0"/>
        <w:jc w:val="center"/>
      </w:pPr>
      <w:r>
        <w:rPr>
          <w:sz w:val="20"/>
        </w:rPr>
        <w:t xml:space="preserve">занятых в первичном звене государственной</w:t>
      </w:r>
    </w:p>
    <w:p>
      <w:pPr>
        <w:pStyle w:val="0"/>
        <w:jc w:val="center"/>
      </w:pPr>
      <w:r>
        <w:rPr>
          <w:sz w:val="20"/>
        </w:rPr>
        <w:t xml:space="preserve">системы здравоохранения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39"/>
        <w:gridCol w:w="1015"/>
        <w:gridCol w:w="1015"/>
        <w:gridCol w:w="1015"/>
        <w:gridCol w:w="1015"/>
        <w:gridCol w:w="1015"/>
        <w:gridCol w:w="1015"/>
        <w:gridCol w:w="1015"/>
      </w:tblGrid>
      <w:tr>
        <w:tc>
          <w:tcPr>
            <w:tcW w:w="1939" w:type="dxa"/>
          </w:tcPr>
          <w:p>
            <w:pPr>
              <w:pStyle w:val="0"/>
              <w:jc w:val="both"/>
            </w:pPr>
            <w:r>
              <w:rPr>
                <w:sz w:val="20"/>
              </w:rPr>
              <w:t xml:space="preserve">Год</w:t>
            </w:r>
          </w:p>
        </w:tc>
        <w:tc>
          <w:tcPr>
            <w:tcW w:w="1015" w:type="dxa"/>
          </w:tcPr>
          <w:p>
            <w:pPr>
              <w:pStyle w:val="0"/>
              <w:jc w:val="center"/>
            </w:pPr>
            <w:r>
              <w:rPr>
                <w:sz w:val="20"/>
              </w:rPr>
              <w:t xml:space="preserve">2019</w:t>
            </w:r>
          </w:p>
        </w:tc>
        <w:tc>
          <w:tcPr>
            <w:tcW w:w="1015" w:type="dxa"/>
          </w:tcPr>
          <w:p>
            <w:pPr>
              <w:pStyle w:val="0"/>
              <w:jc w:val="center"/>
            </w:pPr>
            <w:r>
              <w:rPr>
                <w:sz w:val="20"/>
              </w:rPr>
              <w:t xml:space="preserve">2020</w:t>
            </w:r>
          </w:p>
        </w:tc>
        <w:tc>
          <w:tcPr>
            <w:tcW w:w="1015" w:type="dxa"/>
          </w:tcPr>
          <w:p>
            <w:pPr>
              <w:pStyle w:val="0"/>
              <w:jc w:val="center"/>
            </w:pPr>
            <w:r>
              <w:rPr>
                <w:sz w:val="20"/>
              </w:rPr>
              <w:t xml:space="preserve">2021</w:t>
            </w:r>
          </w:p>
        </w:tc>
        <w:tc>
          <w:tcPr>
            <w:tcW w:w="1015" w:type="dxa"/>
          </w:tcPr>
          <w:p>
            <w:pPr>
              <w:pStyle w:val="0"/>
              <w:jc w:val="center"/>
            </w:pPr>
            <w:r>
              <w:rPr>
                <w:sz w:val="20"/>
              </w:rPr>
              <w:t xml:space="preserve">2022</w:t>
            </w:r>
          </w:p>
        </w:tc>
        <w:tc>
          <w:tcPr>
            <w:tcW w:w="1015" w:type="dxa"/>
          </w:tcPr>
          <w:p>
            <w:pPr>
              <w:pStyle w:val="0"/>
              <w:jc w:val="center"/>
            </w:pPr>
            <w:r>
              <w:rPr>
                <w:sz w:val="20"/>
              </w:rPr>
              <w:t xml:space="preserve">2023</w:t>
            </w:r>
          </w:p>
        </w:tc>
        <w:tc>
          <w:tcPr>
            <w:tcW w:w="1015" w:type="dxa"/>
          </w:tcPr>
          <w:p>
            <w:pPr>
              <w:pStyle w:val="0"/>
              <w:jc w:val="center"/>
            </w:pPr>
            <w:r>
              <w:rPr>
                <w:sz w:val="20"/>
              </w:rPr>
              <w:t xml:space="preserve">2024</w:t>
            </w:r>
          </w:p>
        </w:tc>
        <w:tc>
          <w:tcPr>
            <w:tcW w:w="1015" w:type="dxa"/>
          </w:tcPr>
          <w:p>
            <w:pPr>
              <w:pStyle w:val="0"/>
              <w:jc w:val="center"/>
            </w:pPr>
            <w:r>
              <w:rPr>
                <w:sz w:val="20"/>
              </w:rPr>
              <w:t xml:space="preserve">2025</w:t>
            </w:r>
          </w:p>
        </w:tc>
      </w:tr>
      <w:tr>
        <w:tc>
          <w:tcPr>
            <w:tcW w:w="1939" w:type="dxa"/>
          </w:tcPr>
          <w:p>
            <w:pPr>
              <w:pStyle w:val="0"/>
              <w:jc w:val="both"/>
            </w:pPr>
            <w:r>
              <w:rPr>
                <w:sz w:val="20"/>
              </w:rPr>
              <w:t xml:space="preserve">Коэффициент совместительства</w:t>
            </w:r>
          </w:p>
        </w:tc>
        <w:tc>
          <w:tcPr>
            <w:tcW w:w="1015" w:type="dxa"/>
          </w:tcPr>
          <w:p>
            <w:pPr>
              <w:pStyle w:val="0"/>
              <w:jc w:val="center"/>
            </w:pPr>
            <w:r>
              <w:rPr>
                <w:sz w:val="20"/>
              </w:rPr>
              <w:t xml:space="preserve">1,3</w:t>
            </w:r>
          </w:p>
        </w:tc>
        <w:tc>
          <w:tcPr>
            <w:tcW w:w="1015" w:type="dxa"/>
          </w:tcPr>
          <w:p>
            <w:pPr>
              <w:pStyle w:val="0"/>
              <w:jc w:val="center"/>
            </w:pPr>
            <w:r>
              <w:rPr>
                <w:sz w:val="20"/>
              </w:rPr>
              <w:t xml:space="preserve">1,25</w:t>
            </w:r>
          </w:p>
        </w:tc>
        <w:tc>
          <w:tcPr>
            <w:tcW w:w="1015" w:type="dxa"/>
          </w:tcPr>
          <w:p>
            <w:pPr>
              <w:pStyle w:val="0"/>
              <w:jc w:val="center"/>
            </w:pPr>
            <w:r>
              <w:rPr>
                <w:sz w:val="20"/>
              </w:rPr>
              <w:t xml:space="preserve">1,23</w:t>
            </w:r>
          </w:p>
        </w:tc>
        <w:tc>
          <w:tcPr>
            <w:tcW w:w="1015" w:type="dxa"/>
          </w:tcPr>
          <w:p>
            <w:pPr>
              <w:pStyle w:val="0"/>
              <w:jc w:val="center"/>
            </w:pPr>
            <w:r>
              <w:rPr>
                <w:sz w:val="20"/>
              </w:rPr>
              <w:t xml:space="preserve">1,22</w:t>
            </w:r>
          </w:p>
        </w:tc>
        <w:tc>
          <w:tcPr>
            <w:tcW w:w="1015" w:type="dxa"/>
          </w:tcPr>
          <w:p>
            <w:pPr>
              <w:pStyle w:val="0"/>
              <w:jc w:val="center"/>
            </w:pPr>
            <w:r>
              <w:rPr>
                <w:sz w:val="20"/>
              </w:rPr>
              <w:t xml:space="preserve">1,21</w:t>
            </w:r>
          </w:p>
        </w:tc>
        <w:tc>
          <w:tcPr>
            <w:tcW w:w="1015" w:type="dxa"/>
          </w:tcPr>
          <w:p>
            <w:pPr>
              <w:pStyle w:val="0"/>
              <w:jc w:val="center"/>
            </w:pPr>
            <w:r>
              <w:rPr>
                <w:sz w:val="20"/>
              </w:rPr>
              <w:t xml:space="preserve">1,2</w:t>
            </w:r>
          </w:p>
        </w:tc>
        <w:tc>
          <w:tcPr>
            <w:tcW w:w="1015" w:type="dxa"/>
          </w:tcPr>
          <w:p>
            <w:pPr>
              <w:pStyle w:val="0"/>
              <w:jc w:val="center"/>
            </w:pPr>
            <w:r>
              <w:rPr>
                <w:sz w:val="20"/>
              </w:rPr>
              <w:t xml:space="preserve">1,2</w:t>
            </w:r>
          </w:p>
        </w:tc>
      </w:tr>
    </w:tbl>
    <w:p>
      <w:pPr>
        <w:pStyle w:val="0"/>
        <w:jc w:val="both"/>
      </w:pPr>
      <w:r>
        <w:rPr>
          <w:sz w:val="20"/>
        </w:rPr>
      </w:r>
    </w:p>
    <w:p>
      <w:pPr>
        <w:pStyle w:val="0"/>
        <w:ind w:firstLine="540"/>
        <w:jc w:val="both"/>
      </w:pPr>
      <w:r>
        <w:rPr>
          <w:sz w:val="20"/>
        </w:rPr>
        <w:t xml:space="preserve">Увеличение численности врачебного и среднего медицинского персонала соотносится по объемам с подготовкой по программам высшего образования - программам специалитета и программам ординатуры по каждой дефицитной специальности на период реализации региональной программы, а также с показателями регионального проекта в рамках федерального проекта "Медицинские кадры России".</w:t>
      </w:r>
    </w:p>
    <w:p>
      <w:pPr>
        <w:pStyle w:val="0"/>
        <w:spacing w:before="200" w:line-rule="auto"/>
        <w:ind w:firstLine="540"/>
        <w:jc w:val="both"/>
      </w:pPr>
      <w:r>
        <w:rPr>
          <w:sz w:val="20"/>
        </w:rPr>
        <w:t xml:space="preserve">2. В кадровый сегмент региональной программы включены мероприятия, реализация которых направлена на сокращение дефицита медицинских работников медицинских организаций, участвующих в программе модернизации первичного звена здравоохранения.</w:t>
      </w:r>
    </w:p>
    <w:p>
      <w:pPr>
        <w:pStyle w:val="0"/>
        <w:spacing w:before="200" w:line-rule="auto"/>
        <w:ind w:firstLine="540"/>
        <w:jc w:val="both"/>
      </w:pPr>
      <w:r>
        <w:rPr>
          <w:sz w:val="20"/>
        </w:rPr>
        <w:t xml:space="preserve">2.1. Анализ обеспеченности кадрами первичного звена регионального здравоохранения с учетом территориального планирования города Севастополя, транспортной доступности населенных пунктов, численности прикрепленного (обслуживаемого) населения, территориальных особенностей.</w:t>
      </w:r>
    </w:p>
    <w:p>
      <w:pPr>
        <w:pStyle w:val="0"/>
        <w:spacing w:before="200" w:line-rule="auto"/>
        <w:ind w:firstLine="540"/>
        <w:jc w:val="both"/>
      </w:pPr>
      <w:r>
        <w:rPr>
          <w:sz w:val="20"/>
        </w:rPr>
        <w:t xml:space="preserve">Мероприятие состоит из оценки дефицита кадров, включения в показатели оценки руководителей государственных медицинских организаций города Севастополя обеспечения коэффициента совместительства не более 1,2, включения в показатели оценки руководителей государственных медицинских организаций города Севастополя показателя укомплектованности - не менее 95%.</w:t>
      </w:r>
    </w:p>
    <w:p>
      <w:pPr>
        <w:pStyle w:val="0"/>
        <w:spacing w:before="200" w:line-rule="auto"/>
        <w:ind w:firstLine="540"/>
        <w:jc w:val="both"/>
      </w:pPr>
      <w:r>
        <w:rPr>
          <w:sz w:val="20"/>
        </w:rPr>
        <w:t xml:space="preserve">По данным Федеральной службы государственной статистики население города Севастополя на 1 января 2019 г. составило 443212 человек, в том числе сельское население - 30649 человек (6,9% населения).</w:t>
      </w:r>
    </w:p>
    <w:p>
      <w:pPr>
        <w:pStyle w:val="0"/>
        <w:spacing w:before="200" w:line-rule="auto"/>
        <w:ind w:firstLine="540"/>
        <w:jc w:val="both"/>
      </w:pPr>
      <w:r>
        <w:rPr>
          <w:sz w:val="20"/>
        </w:rPr>
        <w:t xml:space="preserve">Обеспеченность врачами, работающими в медицинских организациях государственной системы здравоохранения города Севастополя, на 31 декабря 2015 г. составила 36,3 на 10000 населения, на 31 декабря 2019 г. - 33,6 на 10000 населения, что ниже показателя по Российской Федерации (37,4). Динамика показателя обеспеченности населения муниципальных образований города Севастополя врачами в период с 2013 по 2019 год представлена в </w:t>
      </w:r>
      <w:hyperlink w:history="0" w:anchor="P38251" w:tooltip="Обеспеченность врачами всех специальностей">
        <w:r>
          <w:rPr>
            <w:sz w:val="20"/>
            <w:color w:val="0000ff"/>
          </w:rPr>
          <w:t xml:space="preserve">таблице 5</w:t>
        </w:r>
      </w:hyperlink>
      <w:r>
        <w:rPr>
          <w:sz w:val="20"/>
        </w:rPr>
        <w:t xml:space="preserve">.</w:t>
      </w:r>
    </w:p>
    <w:p>
      <w:pPr>
        <w:pStyle w:val="0"/>
        <w:ind w:firstLine="540"/>
        <w:jc w:val="both"/>
      </w:pPr>
      <w:r>
        <w:rPr>
          <w:sz w:val="20"/>
        </w:rPr>
      </w:r>
    </w:p>
    <w:p>
      <w:pPr>
        <w:pStyle w:val="0"/>
        <w:jc w:val="right"/>
      </w:pPr>
      <w:r>
        <w:rPr>
          <w:sz w:val="20"/>
        </w:rPr>
        <w:t xml:space="preserve">Таблица 5</w:t>
      </w:r>
    </w:p>
    <w:p>
      <w:pPr>
        <w:pStyle w:val="0"/>
      </w:pPr>
      <w:r>
        <w:rPr>
          <w:sz w:val="20"/>
        </w:rPr>
      </w:r>
    </w:p>
    <w:bookmarkStart w:id="38251" w:name="P38251"/>
    <w:bookmarkEnd w:id="38251"/>
    <w:p>
      <w:pPr>
        <w:pStyle w:val="0"/>
        <w:jc w:val="center"/>
      </w:pPr>
      <w:r>
        <w:rPr>
          <w:sz w:val="20"/>
        </w:rPr>
        <w:t xml:space="preserve">Обеспеченность врачами всех специальностей</w:t>
      </w:r>
    </w:p>
    <w:p>
      <w:pPr>
        <w:pStyle w:val="0"/>
        <w:jc w:val="center"/>
      </w:pPr>
      <w:r>
        <w:rPr>
          <w:sz w:val="20"/>
        </w:rPr>
        <w:t xml:space="preserve">на 10 тыс. населения (чел.) в разрезе</w:t>
      </w:r>
    </w:p>
    <w:p>
      <w:pPr>
        <w:pStyle w:val="0"/>
        <w:jc w:val="center"/>
      </w:pPr>
      <w:r>
        <w:rPr>
          <w:sz w:val="20"/>
        </w:rPr>
        <w:t xml:space="preserve">муниципальных образований</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907"/>
        <w:gridCol w:w="1117"/>
        <w:gridCol w:w="1117"/>
        <w:gridCol w:w="1117"/>
        <w:gridCol w:w="1117"/>
        <w:gridCol w:w="1119"/>
      </w:tblGrid>
      <w:tr>
        <w:tc>
          <w:tcPr>
            <w:tcW w:w="567" w:type="dxa"/>
            <w:vMerge w:val="restart"/>
          </w:tcPr>
          <w:p>
            <w:pPr>
              <w:pStyle w:val="0"/>
              <w:jc w:val="center"/>
            </w:pPr>
            <w:r>
              <w:rPr>
                <w:sz w:val="20"/>
              </w:rPr>
              <w:t xml:space="preserve">N п/п</w:t>
            </w:r>
          </w:p>
        </w:tc>
        <w:tc>
          <w:tcPr>
            <w:tcW w:w="2907" w:type="dxa"/>
            <w:vMerge w:val="restart"/>
          </w:tcPr>
          <w:p>
            <w:pPr>
              <w:pStyle w:val="0"/>
              <w:jc w:val="center"/>
            </w:pPr>
            <w:r>
              <w:rPr>
                <w:sz w:val="20"/>
              </w:rPr>
              <w:t xml:space="preserve">Наименование муниципального образования</w:t>
            </w:r>
          </w:p>
        </w:tc>
        <w:tc>
          <w:tcPr>
            <w:gridSpan w:val="5"/>
            <w:tcW w:w="5587" w:type="dxa"/>
          </w:tcPr>
          <w:p>
            <w:pPr>
              <w:pStyle w:val="0"/>
              <w:jc w:val="center"/>
            </w:pPr>
            <w:r>
              <w:rPr>
                <w:sz w:val="20"/>
              </w:rPr>
              <w:t xml:space="preserve">Обеспеченность врачами всех специальностей на 10 тыс. населения</w:t>
            </w:r>
          </w:p>
        </w:tc>
      </w:tr>
      <w:tr>
        <w:tc>
          <w:tcPr>
            <w:vMerge w:val="continue"/>
          </w:tcPr>
          <w:p/>
        </w:tc>
        <w:tc>
          <w:tcPr>
            <w:vMerge w:val="continue"/>
          </w:tcPr>
          <w:p/>
        </w:tc>
        <w:tc>
          <w:tcPr>
            <w:tcW w:w="1117" w:type="dxa"/>
          </w:tcPr>
          <w:p>
            <w:pPr>
              <w:pStyle w:val="0"/>
              <w:jc w:val="center"/>
            </w:pPr>
            <w:r>
              <w:rPr>
                <w:sz w:val="20"/>
              </w:rPr>
              <w:t xml:space="preserve">2015</w:t>
            </w:r>
          </w:p>
        </w:tc>
        <w:tc>
          <w:tcPr>
            <w:tcW w:w="1117" w:type="dxa"/>
          </w:tcPr>
          <w:p>
            <w:pPr>
              <w:pStyle w:val="0"/>
              <w:jc w:val="center"/>
            </w:pPr>
            <w:r>
              <w:rPr>
                <w:sz w:val="20"/>
              </w:rPr>
              <w:t xml:space="preserve">2016</w:t>
            </w:r>
          </w:p>
        </w:tc>
        <w:tc>
          <w:tcPr>
            <w:tcW w:w="1117" w:type="dxa"/>
          </w:tcPr>
          <w:p>
            <w:pPr>
              <w:pStyle w:val="0"/>
              <w:jc w:val="center"/>
            </w:pPr>
            <w:r>
              <w:rPr>
                <w:sz w:val="20"/>
              </w:rPr>
              <w:t xml:space="preserve">2017</w:t>
            </w:r>
          </w:p>
        </w:tc>
        <w:tc>
          <w:tcPr>
            <w:tcW w:w="1117" w:type="dxa"/>
          </w:tcPr>
          <w:p>
            <w:pPr>
              <w:pStyle w:val="0"/>
              <w:jc w:val="center"/>
            </w:pPr>
            <w:r>
              <w:rPr>
                <w:sz w:val="20"/>
              </w:rPr>
              <w:t xml:space="preserve">2018</w:t>
            </w:r>
          </w:p>
        </w:tc>
        <w:tc>
          <w:tcPr>
            <w:tcW w:w="1119" w:type="dxa"/>
          </w:tcPr>
          <w:p>
            <w:pPr>
              <w:pStyle w:val="0"/>
              <w:jc w:val="center"/>
            </w:pPr>
            <w:r>
              <w:rPr>
                <w:sz w:val="20"/>
              </w:rPr>
              <w:t xml:space="preserve">2019</w:t>
            </w:r>
          </w:p>
        </w:tc>
      </w:tr>
      <w:tr>
        <w:tc>
          <w:tcPr>
            <w:tcW w:w="567" w:type="dxa"/>
          </w:tcPr>
          <w:p>
            <w:pPr>
              <w:pStyle w:val="0"/>
              <w:jc w:val="both"/>
            </w:pPr>
            <w:r>
              <w:rPr>
                <w:sz w:val="20"/>
              </w:rPr>
              <w:t xml:space="preserve">1</w:t>
            </w:r>
          </w:p>
        </w:tc>
        <w:tc>
          <w:tcPr>
            <w:tcW w:w="2907" w:type="dxa"/>
          </w:tcPr>
          <w:p>
            <w:pPr>
              <w:pStyle w:val="0"/>
              <w:jc w:val="both"/>
            </w:pPr>
            <w:r>
              <w:rPr>
                <w:sz w:val="20"/>
              </w:rPr>
              <w:t xml:space="preserve">г. Севастополь</w:t>
            </w:r>
          </w:p>
        </w:tc>
        <w:tc>
          <w:tcPr>
            <w:tcW w:w="1117" w:type="dxa"/>
          </w:tcPr>
          <w:p>
            <w:pPr>
              <w:pStyle w:val="0"/>
              <w:jc w:val="center"/>
            </w:pPr>
            <w:r>
              <w:rPr>
                <w:sz w:val="20"/>
              </w:rPr>
              <w:t xml:space="preserve">35,7</w:t>
            </w:r>
          </w:p>
        </w:tc>
        <w:tc>
          <w:tcPr>
            <w:tcW w:w="1117" w:type="dxa"/>
          </w:tcPr>
          <w:p>
            <w:pPr>
              <w:pStyle w:val="0"/>
              <w:jc w:val="center"/>
            </w:pPr>
            <w:r>
              <w:rPr>
                <w:sz w:val="20"/>
              </w:rPr>
              <w:t xml:space="preserve">34,69</w:t>
            </w:r>
          </w:p>
        </w:tc>
        <w:tc>
          <w:tcPr>
            <w:tcW w:w="1117" w:type="dxa"/>
          </w:tcPr>
          <w:p>
            <w:pPr>
              <w:pStyle w:val="0"/>
              <w:jc w:val="center"/>
            </w:pPr>
            <w:r>
              <w:rPr>
                <w:sz w:val="20"/>
              </w:rPr>
              <w:t xml:space="preserve">34,5</w:t>
            </w:r>
          </w:p>
        </w:tc>
        <w:tc>
          <w:tcPr>
            <w:tcW w:w="1117" w:type="dxa"/>
          </w:tcPr>
          <w:p>
            <w:pPr>
              <w:pStyle w:val="0"/>
              <w:jc w:val="center"/>
            </w:pPr>
            <w:r>
              <w:rPr>
                <w:sz w:val="20"/>
              </w:rPr>
              <w:t xml:space="preserve">34,14</w:t>
            </w:r>
          </w:p>
        </w:tc>
        <w:tc>
          <w:tcPr>
            <w:tcW w:w="1119" w:type="dxa"/>
          </w:tcPr>
          <w:p>
            <w:pPr>
              <w:pStyle w:val="0"/>
              <w:jc w:val="center"/>
            </w:pPr>
            <w:r>
              <w:rPr>
                <w:sz w:val="20"/>
              </w:rPr>
              <w:t xml:space="preserve">34,45</w:t>
            </w:r>
          </w:p>
        </w:tc>
      </w:tr>
    </w:tbl>
    <w:p>
      <w:pPr>
        <w:pStyle w:val="0"/>
        <w:ind w:firstLine="540"/>
        <w:jc w:val="both"/>
      </w:pPr>
      <w:r>
        <w:rPr>
          <w:sz w:val="20"/>
        </w:rPr>
      </w:r>
    </w:p>
    <w:p>
      <w:pPr>
        <w:pStyle w:val="0"/>
        <w:ind w:firstLine="540"/>
        <w:jc w:val="both"/>
      </w:pPr>
      <w:r>
        <w:rPr>
          <w:sz w:val="20"/>
        </w:rPr>
        <w:t xml:space="preserve">По среднему медицинскому персоналу наблюдается снижение показателя обеспеченности.</w:t>
      </w:r>
    </w:p>
    <w:p>
      <w:pPr>
        <w:pStyle w:val="0"/>
        <w:spacing w:before="200" w:line-rule="auto"/>
        <w:ind w:firstLine="540"/>
        <w:jc w:val="both"/>
      </w:pPr>
      <w:r>
        <w:rPr>
          <w:sz w:val="20"/>
        </w:rPr>
        <w:t xml:space="preserve">На 31 декабря 2019 г. обеспеченность медицинских организаций государственной системы здравоохранения города Севастополя составила 73,13 на 10 тыс. населения, что ниже данного показателя по Российской Федерации (86,2).</w:t>
      </w:r>
    </w:p>
    <w:p>
      <w:pPr>
        <w:pStyle w:val="0"/>
        <w:spacing w:before="200" w:line-rule="auto"/>
        <w:ind w:firstLine="540"/>
        <w:jc w:val="both"/>
      </w:pPr>
      <w:r>
        <w:rPr>
          <w:sz w:val="20"/>
        </w:rPr>
        <w:t xml:space="preserve">Динамика показателя обеспеченности средним медицинским персоналом в 2015 - 2019 годах представлена в </w:t>
      </w:r>
      <w:hyperlink w:history="0" w:anchor="P38277" w:tooltip="Обеспеченность средним медицинским персоналом">
        <w:r>
          <w:rPr>
            <w:sz w:val="20"/>
            <w:color w:val="0000ff"/>
          </w:rPr>
          <w:t xml:space="preserve">таблице 6</w:t>
        </w:r>
      </w:hyperlink>
      <w:r>
        <w:rPr>
          <w:sz w:val="20"/>
        </w:rPr>
        <w:t xml:space="preserve">.</w:t>
      </w:r>
    </w:p>
    <w:p>
      <w:pPr>
        <w:pStyle w:val="0"/>
        <w:ind w:firstLine="540"/>
        <w:jc w:val="both"/>
      </w:pPr>
      <w:r>
        <w:rPr>
          <w:sz w:val="20"/>
        </w:rPr>
      </w:r>
    </w:p>
    <w:p>
      <w:pPr>
        <w:pStyle w:val="0"/>
        <w:jc w:val="right"/>
      </w:pPr>
      <w:r>
        <w:rPr>
          <w:sz w:val="20"/>
        </w:rPr>
        <w:t xml:space="preserve">Таблица 6</w:t>
      </w:r>
    </w:p>
    <w:p>
      <w:pPr>
        <w:pStyle w:val="0"/>
      </w:pPr>
      <w:r>
        <w:rPr>
          <w:sz w:val="20"/>
        </w:rPr>
      </w:r>
    </w:p>
    <w:bookmarkStart w:id="38277" w:name="P38277"/>
    <w:bookmarkEnd w:id="38277"/>
    <w:p>
      <w:pPr>
        <w:pStyle w:val="0"/>
        <w:jc w:val="center"/>
      </w:pPr>
      <w:r>
        <w:rPr>
          <w:sz w:val="20"/>
        </w:rPr>
        <w:t xml:space="preserve">Обеспеченность средним медицинским персоналом</w:t>
      </w:r>
    </w:p>
    <w:p>
      <w:pPr>
        <w:pStyle w:val="0"/>
        <w:jc w:val="center"/>
      </w:pPr>
      <w:r>
        <w:rPr>
          <w:sz w:val="20"/>
        </w:rPr>
        <w:t xml:space="preserve">на 10 тыс. (чел.) в разрезе муниципальных образований</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907"/>
        <w:gridCol w:w="1117"/>
        <w:gridCol w:w="1117"/>
        <w:gridCol w:w="1117"/>
        <w:gridCol w:w="1117"/>
        <w:gridCol w:w="1119"/>
      </w:tblGrid>
      <w:tr>
        <w:tc>
          <w:tcPr>
            <w:tcW w:w="567" w:type="dxa"/>
            <w:vMerge w:val="restart"/>
          </w:tcPr>
          <w:p>
            <w:pPr>
              <w:pStyle w:val="0"/>
              <w:jc w:val="center"/>
            </w:pPr>
            <w:r>
              <w:rPr>
                <w:sz w:val="20"/>
              </w:rPr>
              <w:t xml:space="preserve">N п/п</w:t>
            </w:r>
          </w:p>
        </w:tc>
        <w:tc>
          <w:tcPr>
            <w:tcW w:w="2907" w:type="dxa"/>
            <w:vMerge w:val="restart"/>
          </w:tcPr>
          <w:p>
            <w:pPr>
              <w:pStyle w:val="0"/>
              <w:jc w:val="center"/>
            </w:pPr>
            <w:r>
              <w:rPr>
                <w:sz w:val="20"/>
              </w:rPr>
              <w:t xml:space="preserve">Наименование муниципального образования</w:t>
            </w:r>
          </w:p>
        </w:tc>
        <w:tc>
          <w:tcPr>
            <w:gridSpan w:val="5"/>
            <w:tcW w:w="5587" w:type="dxa"/>
          </w:tcPr>
          <w:p>
            <w:pPr>
              <w:pStyle w:val="0"/>
              <w:jc w:val="center"/>
            </w:pPr>
            <w:r>
              <w:rPr>
                <w:sz w:val="20"/>
              </w:rPr>
              <w:t xml:space="preserve">Обеспеченность средним медицинским персоналом на 10 тыс. населения</w:t>
            </w:r>
          </w:p>
        </w:tc>
      </w:tr>
      <w:tr>
        <w:tc>
          <w:tcPr>
            <w:vMerge w:val="continue"/>
          </w:tcPr>
          <w:p/>
        </w:tc>
        <w:tc>
          <w:tcPr>
            <w:vMerge w:val="continue"/>
          </w:tcPr>
          <w:p/>
        </w:tc>
        <w:tc>
          <w:tcPr>
            <w:tcW w:w="1117" w:type="dxa"/>
          </w:tcPr>
          <w:p>
            <w:pPr>
              <w:pStyle w:val="0"/>
              <w:jc w:val="center"/>
            </w:pPr>
            <w:r>
              <w:rPr>
                <w:sz w:val="20"/>
              </w:rPr>
              <w:t xml:space="preserve">2015</w:t>
            </w:r>
          </w:p>
        </w:tc>
        <w:tc>
          <w:tcPr>
            <w:tcW w:w="1117" w:type="dxa"/>
          </w:tcPr>
          <w:p>
            <w:pPr>
              <w:pStyle w:val="0"/>
              <w:jc w:val="center"/>
            </w:pPr>
            <w:r>
              <w:rPr>
                <w:sz w:val="20"/>
              </w:rPr>
              <w:t xml:space="preserve">2016</w:t>
            </w:r>
          </w:p>
        </w:tc>
        <w:tc>
          <w:tcPr>
            <w:tcW w:w="1117" w:type="dxa"/>
          </w:tcPr>
          <w:p>
            <w:pPr>
              <w:pStyle w:val="0"/>
              <w:jc w:val="center"/>
            </w:pPr>
            <w:r>
              <w:rPr>
                <w:sz w:val="20"/>
              </w:rPr>
              <w:t xml:space="preserve">2017</w:t>
            </w:r>
          </w:p>
        </w:tc>
        <w:tc>
          <w:tcPr>
            <w:tcW w:w="1117" w:type="dxa"/>
          </w:tcPr>
          <w:p>
            <w:pPr>
              <w:pStyle w:val="0"/>
              <w:jc w:val="center"/>
            </w:pPr>
            <w:r>
              <w:rPr>
                <w:sz w:val="20"/>
              </w:rPr>
              <w:t xml:space="preserve">2018</w:t>
            </w:r>
          </w:p>
        </w:tc>
        <w:tc>
          <w:tcPr>
            <w:tcW w:w="1119" w:type="dxa"/>
          </w:tcPr>
          <w:p>
            <w:pPr>
              <w:pStyle w:val="0"/>
              <w:jc w:val="center"/>
            </w:pPr>
            <w:r>
              <w:rPr>
                <w:sz w:val="20"/>
              </w:rPr>
              <w:t xml:space="preserve">2019</w:t>
            </w:r>
          </w:p>
        </w:tc>
      </w:tr>
      <w:tr>
        <w:tc>
          <w:tcPr>
            <w:tcW w:w="567" w:type="dxa"/>
          </w:tcPr>
          <w:p>
            <w:pPr>
              <w:pStyle w:val="0"/>
              <w:jc w:val="both"/>
            </w:pPr>
            <w:r>
              <w:rPr>
                <w:sz w:val="20"/>
              </w:rPr>
              <w:t xml:space="preserve">1</w:t>
            </w:r>
          </w:p>
        </w:tc>
        <w:tc>
          <w:tcPr>
            <w:tcW w:w="2907" w:type="dxa"/>
          </w:tcPr>
          <w:p>
            <w:pPr>
              <w:pStyle w:val="0"/>
              <w:jc w:val="both"/>
            </w:pPr>
            <w:r>
              <w:rPr>
                <w:sz w:val="20"/>
              </w:rPr>
              <w:t xml:space="preserve">г. Севастополь</w:t>
            </w:r>
          </w:p>
        </w:tc>
        <w:tc>
          <w:tcPr>
            <w:tcW w:w="1117" w:type="dxa"/>
          </w:tcPr>
          <w:p>
            <w:pPr>
              <w:pStyle w:val="0"/>
              <w:jc w:val="center"/>
            </w:pPr>
            <w:r>
              <w:rPr>
                <w:sz w:val="20"/>
              </w:rPr>
              <w:t xml:space="preserve">81,4</w:t>
            </w:r>
          </w:p>
        </w:tc>
        <w:tc>
          <w:tcPr>
            <w:tcW w:w="1117" w:type="dxa"/>
          </w:tcPr>
          <w:p>
            <w:pPr>
              <w:pStyle w:val="0"/>
              <w:jc w:val="center"/>
            </w:pPr>
            <w:r>
              <w:rPr>
                <w:sz w:val="20"/>
              </w:rPr>
              <w:t xml:space="preserve">73,85</w:t>
            </w:r>
          </w:p>
        </w:tc>
        <w:tc>
          <w:tcPr>
            <w:tcW w:w="1117" w:type="dxa"/>
          </w:tcPr>
          <w:p>
            <w:pPr>
              <w:pStyle w:val="0"/>
              <w:jc w:val="center"/>
            </w:pPr>
            <w:r>
              <w:rPr>
                <w:sz w:val="20"/>
              </w:rPr>
              <w:t xml:space="preserve">76,7</w:t>
            </w:r>
          </w:p>
        </w:tc>
        <w:tc>
          <w:tcPr>
            <w:tcW w:w="1117" w:type="dxa"/>
          </w:tcPr>
          <w:p>
            <w:pPr>
              <w:pStyle w:val="0"/>
              <w:jc w:val="center"/>
            </w:pPr>
            <w:r>
              <w:rPr>
                <w:sz w:val="20"/>
              </w:rPr>
              <w:t xml:space="preserve">71,1</w:t>
            </w:r>
          </w:p>
        </w:tc>
        <w:tc>
          <w:tcPr>
            <w:tcW w:w="1119" w:type="dxa"/>
          </w:tcPr>
          <w:p>
            <w:pPr>
              <w:pStyle w:val="0"/>
              <w:jc w:val="center"/>
            </w:pPr>
            <w:r>
              <w:rPr>
                <w:sz w:val="20"/>
              </w:rPr>
              <w:t xml:space="preserve">73,13</w:t>
            </w:r>
          </w:p>
        </w:tc>
      </w:tr>
    </w:tbl>
    <w:p>
      <w:pPr>
        <w:pStyle w:val="0"/>
        <w:ind w:firstLine="540"/>
        <w:jc w:val="both"/>
      </w:pPr>
      <w:r>
        <w:rPr>
          <w:sz w:val="20"/>
        </w:rPr>
      </w:r>
    </w:p>
    <w:p>
      <w:pPr>
        <w:pStyle w:val="0"/>
        <w:ind w:firstLine="540"/>
        <w:jc w:val="both"/>
      </w:pPr>
      <w:r>
        <w:rPr>
          <w:sz w:val="20"/>
        </w:rPr>
        <w:t xml:space="preserve">Показатель обеспеченности населения врачами, оказывающими медицинскую помощь в амбулаторных условиях, на 31 декабря 2019 г. составил 16,17 на 10 тыс. населения.</w:t>
      </w:r>
    </w:p>
    <w:p>
      <w:pPr>
        <w:pStyle w:val="0"/>
        <w:spacing w:before="200" w:line-rule="auto"/>
        <w:ind w:firstLine="540"/>
        <w:jc w:val="both"/>
      </w:pPr>
      <w:r>
        <w:rPr>
          <w:sz w:val="20"/>
        </w:rPr>
        <w:t xml:space="preserve">Укомплектованность врачебных должностей в подразделениях, оказывающих медицинскую помощь в амбулаторных условиях, физическими лицами составляет 76,08% (при коэффициенте совместительства - 1,2), 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- 75,7% (при коэффициенте совместительства - 1,2), плановый показатель к 2024 году по врачам - 98,6% и среднему медицинскому персоналу - 96% (при коэффициенте совместительства не более 1,2).</w:t>
      </w:r>
    </w:p>
    <w:p>
      <w:pPr>
        <w:pStyle w:val="0"/>
        <w:spacing w:before="200" w:line-rule="auto"/>
        <w:ind w:firstLine="540"/>
        <w:jc w:val="both"/>
      </w:pPr>
      <w:r>
        <w:rPr>
          <w:sz w:val="20"/>
        </w:rPr>
        <w:t xml:space="preserve">Укомплектованность физическими лицами врачей и среднего медицинского персонала в динамике за 2014 - 2019 годы представлена в </w:t>
      </w:r>
      <w:hyperlink w:history="0" w:anchor="P38302" w:tooltip="Укомплектованность физическими лицами (врачами, %)">
        <w:r>
          <w:rPr>
            <w:sz w:val="20"/>
            <w:color w:val="0000ff"/>
          </w:rPr>
          <w:t xml:space="preserve">таблицах 7</w:t>
        </w:r>
      </w:hyperlink>
      <w:r>
        <w:rPr>
          <w:sz w:val="20"/>
        </w:rPr>
        <w:t xml:space="preserve"> и </w:t>
      </w:r>
      <w:hyperlink w:history="0" w:anchor="P38323" w:tooltip="Укомплектованность физическими лицами (средний">
        <w:r>
          <w:rPr>
            <w:sz w:val="20"/>
            <w:color w:val="0000ff"/>
          </w:rPr>
          <w:t xml:space="preserve">8</w:t>
        </w:r>
      </w:hyperlink>
      <w:r>
        <w:rPr>
          <w:sz w:val="20"/>
        </w:rPr>
        <w:t xml:space="preserve"> соответственно.</w:t>
      </w:r>
    </w:p>
    <w:p>
      <w:pPr>
        <w:pStyle w:val="0"/>
        <w:ind w:firstLine="540"/>
        <w:jc w:val="both"/>
      </w:pPr>
      <w:r>
        <w:rPr>
          <w:sz w:val="20"/>
        </w:rPr>
      </w:r>
    </w:p>
    <w:p>
      <w:pPr>
        <w:pStyle w:val="0"/>
        <w:jc w:val="right"/>
      </w:pPr>
      <w:r>
        <w:rPr>
          <w:sz w:val="20"/>
        </w:rPr>
        <w:t xml:space="preserve">Таблица 7</w:t>
      </w:r>
    </w:p>
    <w:p>
      <w:pPr>
        <w:pStyle w:val="0"/>
      </w:pPr>
      <w:r>
        <w:rPr>
          <w:sz w:val="20"/>
        </w:rPr>
      </w:r>
    </w:p>
    <w:bookmarkStart w:id="38302" w:name="P38302"/>
    <w:bookmarkEnd w:id="38302"/>
    <w:p>
      <w:pPr>
        <w:pStyle w:val="0"/>
        <w:jc w:val="center"/>
      </w:pPr>
      <w:r>
        <w:rPr>
          <w:sz w:val="20"/>
        </w:rPr>
        <w:t xml:space="preserve">Укомплектованность физическими лицами (врачами, %)</w:t>
      </w:r>
    </w:p>
    <w:p>
      <w:pPr>
        <w:pStyle w:val="0"/>
        <w:jc w:val="center"/>
      </w:pPr>
      <w:r>
        <w:rPr>
          <w:sz w:val="20"/>
        </w:rPr>
        <w:t xml:space="preserve">в разрезе муниципальных образований</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907"/>
        <w:gridCol w:w="1117"/>
        <w:gridCol w:w="1117"/>
        <w:gridCol w:w="1117"/>
        <w:gridCol w:w="1117"/>
        <w:gridCol w:w="1119"/>
      </w:tblGrid>
      <w:tr>
        <w:tc>
          <w:tcPr>
            <w:tcW w:w="567" w:type="dxa"/>
            <w:vMerge w:val="restart"/>
          </w:tcPr>
          <w:p>
            <w:pPr>
              <w:pStyle w:val="0"/>
              <w:jc w:val="center"/>
            </w:pPr>
            <w:r>
              <w:rPr>
                <w:sz w:val="20"/>
              </w:rPr>
              <w:t xml:space="preserve">N п/п</w:t>
            </w:r>
          </w:p>
        </w:tc>
        <w:tc>
          <w:tcPr>
            <w:tcW w:w="2907" w:type="dxa"/>
            <w:vMerge w:val="restart"/>
          </w:tcPr>
          <w:p>
            <w:pPr>
              <w:pStyle w:val="0"/>
              <w:jc w:val="center"/>
            </w:pPr>
            <w:r>
              <w:rPr>
                <w:sz w:val="20"/>
              </w:rPr>
              <w:t xml:space="preserve">Наименование муниципального образования</w:t>
            </w:r>
          </w:p>
        </w:tc>
        <w:tc>
          <w:tcPr>
            <w:gridSpan w:val="5"/>
            <w:tcW w:w="5587" w:type="dxa"/>
          </w:tcPr>
          <w:p>
            <w:pPr>
              <w:pStyle w:val="0"/>
              <w:jc w:val="center"/>
            </w:pPr>
            <w:r>
              <w:rPr>
                <w:sz w:val="20"/>
              </w:rPr>
              <w:t xml:space="preserve">Укомплектованность физическими лицами (врачи)</w:t>
            </w:r>
          </w:p>
        </w:tc>
      </w:tr>
      <w:tr>
        <w:tc>
          <w:tcPr>
            <w:vMerge w:val="continue"/>
          </w:tcPr>
          <w:p/>
        </w:tc>
        <w:tc>
          <w:tcPr>
            <w:vMerge w:val="continue"/>
          </w:tcPr>
          <w:p/>
        </w:tc>
        <w:tc>
          <w:tcPr>
            <w:tcW w:w="1117" w:type="dxa"/>
          </w:tcPr>
          <w:p>
            <w:pPr>
              <w:pStyle w:val="0"/>
              <w:jc w:val="center"/>
            </w:pPr>
            <w:r>
              <w:rPr>
                <w:sz w:val="20"/>
              </w:rPr>
              <w:t xml:space="preserve">2015</w:t>
            </w:r>
          </w:p>
        </w:tc>
        <w:tc>
          <w:tcPr>
            <w:tcW w:w="1117" w:type="dxa"/>
          </w:tcPr>
          <w:p>
            <w:pPr>
              <w:pStyle w:val="0"/>
              <w:jc w:val="center"/>
            </w:pPr>
            <w:r>
              <w:rPr>
                <w:sz w:val="20"/>
              </w:rPr>
              <w:t xml:space="preserve">2016</w:t>
            </w:r>
          </w:p>
        </w:tc>
        <w:tc>
          <w:tcPr>
            <w:tcW w:w="1117" w:type="dxa"/>
          </w:tcPr>
          <w:p>
            <w:pPr>
              <w:pStyle w:val="0"/>
              <w:jc w:val="center"/>
            </w:pPr>
            <w:r>
              <w:rPr>
                <w:sz w:val="20"/>
              </w:rPr>
              <w:t xml:space="preserve">2017</w:t>
            </w:r>
          </w:p>
        </w:tc>
        <w:tc>
          <w:tcPr>
            <w:tcW w:w="1117" w:type="dxa"/>
          </w:tcPr>
          <w:p>
            <w:pPr>
              <w:pStyle w:val="0"/>
              <w:jc w:val="center"/>
            </w:pPr>
            <w:r>
              <w:rPr>
                <w:sz w:val="20"/>
              </w:rPr>
              <w:t xml:space="preserve">2018</w:t>
            </w:r>
          </w:p>
        </w:tc>
        <w:tc>
          <w:tcPr>
            <w:tcW w:w="1119" w:type="dxa"/>
          </w:tcPr>
          <w:p>
            <w:pPr>
              <w:pStyle w:val="0"/>
              <w:jc w:val="center"/>
            </w:pPr>
            <w:r>
              <w:rPr>
                <w:sz w:val="20"/>
              </w:rPr>
              <w:t xml:space="preserve">2019</w:t>
            </w:r>
          </w:p>
        </w:tc>
      </w:tr>
      <w:tr>
        <w:tc>
          <w:tcPr>
            <w:tcW w:w="567" w:type="dxa"/>
          </w:tcPr>
          <w:p>
            <w:pPr>
              <w:pStyle w:val="0"/>
              <w:jc w:val="both"/>
            </w:pPr>
            <w:r>
              <w:rPr>
                <w:sz w:val="20"/>
              </w:rPr>
              <w:t xml:space="preserve">1</w:t>
            </w:r>
          </w:p>
        </w:tc>
        <w:tc>
          <w:tcPr>
            <w:tcW w:w="2907" w:type="dxa"/>
          </w:tcPr>
          <w:p>
            <w:pPr>
              <w:pStyle w:val="0"/>
              <w:jc w:val="both"/>
            </w:pPr>
            <w:r>
              <w:rPr>
                <w:sz w:val="20"/>
              </w:rPr>
              <w:t xml:space="preserve">г. Севастополь</w:t>
            </w:r>
          </w:p>
        </w:tc>
        <w:tc>
          <w:tcPr>
            <w:tcW w:w="1117" w:type="dxa"/>
          </w:tcPr>
          <w:p>
            <w:pPr>
              <w:pStyle w:val="0"/>
              <w:jc w:val="center"/>
            </w:pPr>
            <w:r>
              <w:rPr>
                <w:sz w:val="20"/>
              </w:rPr>
              <w:t xml:space="preserve">67,7</w:t>
            </w:r>
          </w:p>
        </w:tc>
        <w:tc>
          <w:tcPr>
            <w:tcW w:w="1117" w:type="dxa"/>
          </w:tcPr>
          <w:p>
            <w:pPr>
              <w:pStyle w:val="0"/>
              <w:jc w:val="center"/>
            </w:pPr>
            <w:r>
              <w:rPr>
                <w:sz w:val="20"/>
              </w:rPr>
              <w:t xml:space="preserve">62,6</w:t>
            </w:r>
          </w:p>
        </w:tc>
        <w:tc>
          <w:tcPr>
            <w:tcW w:w="1117" w:type="dxa"/>
          </w:tcPr>
          <w:p>
            <w:pPr>
              <w:pStyle w:val="0"/>
              <w:jc w:val="center"/>
            </w:pPr>
            <w:r>
              <w:rPr>
                <w:sz w:val="20"/>
              </w:rPr>
              <w:t xml:space="preserve">63,4</w:t>
            </w:r>
          </w:p>
        </w:tc>
        <w:tc>
          <w:tcPr>
            <w:tcW w:w="1117" w:type="dxa"/>
          </w:tcPr>
          <w:p>
            <w:pPr>
              <w:pStyle w:val="0"/>
              <w:jc w:val="center"/>
            </w:pPr>
            <w:r>
              <w:rPr>
                <w:sz w:val="20"/>
              </w:rPr>
              <w:t xml:space="preserve">63,5</w:t>
            </w:r>
          </w:p>
        </w:tc>
        <w:tc>
          <w:tcPr>
            <w:tcW w:w="1119" w:type="dxa"/>
          </w:tcPr>
          <w:p>
            <w:pPr>
              <w:pStyle w:val="0"/>
              <w:jc w:val="center"/>
            </w:pPr>
            <w:r>
              <w:rPr>
                <w:sz w:val="20"/>
              </w:rPr>
              <w:t xml:space="preserve">63,4</w:t>
            </w:r>
          </w:p>
        </w:tc>
      </w:tr>
    </w:tbl>
    <w:p>
      <w:pPr>
        <w:pStyle w:val="0"/>
      </w:pPr>
      <w:r>
        <w:rPr>
          <w:sz w:val="20"/>
        </w:rPr>
      </w:r>
    </w:p>
    <w:p>
      <w:pPr>
        <w:pStyle w:val="0"/>
        <w:jc w:val="right"/>
      </w:pPr>
      <w:r>
        <w:rPr>
          <w:sz w:val="20"/>
        </w:rPr>
        <w:t xml:space="preserve">Таблица 8</w:t>
      </w:r>
    </w:p>
    <w:p>
      <w:pPr>
        <w:pStyle w:val="0"/>
      </w:pPr>
      <w:r>
        <w:rPr>
          <w:sz w:val="20"/>
        </w:rPr>
      </w:r>
    </w:p>
    <w:bookmarkStart w:id="38323" w:name="P38323"/>
    <w:bookmarkEnd w:id="38323"/>
    <w:p>
      <w:pPr>
        <w:pStyle w:val="0"/>
        <w:jc w:val="center"/>
      </w:pPr>
      <w:r>
        <w:rPr>
          <w:sz w:val="20"/>
        </w:rPr>
        <w:t xml:space="preserve">Укомплектованность физическими лицами (средний</w:t>
      </w:r>
    </w:p>
    <w:p>
      <w:pPr>
        <w:pStyle w:val="0"/>
        <w:jc w:val="center"/>
      </w:pPr>
      <w:r>
        <w:rPr>
          <w:sz w:val="20"/>
        </w:rPr>
        <w:t xml:space="preserve">медперсонал, %) в разрезе муниципальных образований</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907"/>
        <w:gridCol w:w="1117"/>
        <w:gridCol w:w="1117"/>
        <w:gridCol w:w="1117"/>
        <w:gridCol w:w="1117"/>
        <w:gridCol w:w="1119"/>
      </w:tblGrid>
      <w:tr>
        <w:tc>
          <w:tcPr>
            <w:tcW w:w="567" w:type="dxa"/>
            <w:vMerge w:val="restart"/>
          </w:tcPr>
          <w:p>
            <w:pPr>
              <w:pStyle w:val="0"/>
              <w:jc w:val="center"/>
            </w:pPr>
            <w:r>
              <w:rPr>
                <w:sz w:val="20"/>
              </w:rPr>
              <w:t xml:space="preserve">N п/п</w:t>
            </w:r>
          </w:p>
        </w:tc>
        <w:tc>
          <w:tcPr>
            <w:tcW w:w="2907" w:type="dxa"/>
            <w:vMerge w:val="restart"/>
          </w:tcPr>
          <w:p>
            <w:pPr>
              <w:pStyle w:val="0"/>
              <w:jc w:val="center"/>
            </w:pPr>
            <w:r>
              <w:rPr>
                <w:sz w:val="20"/>
              </w:rPr>
              <w:t xml:space="preserve">Наименование муниципального образования</w:t>
            </w:r>
          </w:p>
        </w:tc>
        <w:tc>
          <w:tcPr>
            <w:gridSpan w:val="5"/>
            <w:tcW w:w="5587" w:type="dxa"/>
          </w:tcPr>
          <w:p>
            <w:pPr>
              <w:pStyle w:val="0"/>
              <w:jc w:val="center"/>
            </w:pPr>
            <w:r>
              <w:rPr>
                <w:sz w:val="20"/>
              </w:rPr>
              <w:t xml:space="preserve">Укомплектованность физическими лицами (средний медперсонал)</w:t>
            </w:r>
          </w:p>
        </w:tc>
      </w:tr>
      <w:tr>
        <w:tc>
          <w:tcPr>
            <w:vMerge w:val="continue"/>
          </w:tcPr>
          <w:p/>
        </w:tc>
        <w:tc>
          <w:tcPr>
            <w:vMerge w:val="continue"/>
          </w:tcPr>
          <w:p/>
        </w:tc>
        <w:tc>
          <w:tcPr>
            <w:tcW w:w="1117" w:type="dxa"/>
          </w:tcPr>
          <w:p>
            <w:pPr>
              <w:pStyle w:val="0"/>
              <w:jc w:val="center"/>
            </w:pPr>
            <w:r>
              <w:rPr>
                <w:sz w:val="20"/>
              </w:rPr>
              <w:t xml:space="preserve">2015</w:t>
            </w:r>
          </w:p>
        </w:tc>
        <w:tc>
          <w:tcPr>
            <w:tcW w:w="1117" w:type="dxa"/>
          </w:tcPr>
          <w:p>
            <w:pPr>
              <w:pStyle w:val="0"/>
              <w:jc w:val="center"/>
            </w:pPr>
            <w:r>
              <w:rPr>
                <w:sz w:val="20"/>
              </w:rPr>
              <w:t xml:space="preserve">2016</w:t>
            </w:r>
          </w:p>
        </w:tc>
        <w:tc>
          <w:tcPr>
            <w:tcW w:w="1117" w:type="dxa"/>
          </w:tcPr>
          <w:p>
            <w:pPr>
              <w:pStyle w:val="0"/>
              <w:jc w:val="center"/>
            </w:pPr>
            <w:r>
              <w:rPr>
                <w:sz w:val="20"/>
              </w:rPr>
              <w:t xml:space="preserve">2017</w:t>
            </w:r>
          </w:p>
        </w:tc>
        <w:tc>
          <w:tcPr>
            <w:tcW w:w="1117" w:type="dxa"/>
          </w:tcPr>
          <w:p>
            <w:pPr>
              <w:pStyle w:val="0"/>
              <w:jc w:val="center"/>
            </w:pPr>
            <w:r>
              <w:rPr>
                <w:sz w:val="20"/>
              </w:rPr>
              <w:t xml:space="preserve">2018</w:t>
            </w:r>
          </w:p>
        </w:tc>
        <w:tc>
          <w:tcPr>
            <w:tcW w:w="1119" w:type="dxa"/>
          </w:tcPr>
          <w:p>
            <w:pPr>
              <w:pStyle w:val="0"/>
              <w:jc w:val="center"/>
            </w:pPr>
            <w:r>
              <w:rPr>
                <w:sz w:val="20"/>
              </w:rPr>
              <w:t xml:space="preserve">2019</w:t>
            </w:r>
          </w:p>
        </w:tc>
      </w:tr>
      <w:tr>
        <w:tc>
          <w:tcPr>
            <w:tcW w:w="567" w:type="dxa"/>
          </w:tcPr>
          <w:p>
            <w:pPr>
              <w:pStyle w:val="0"/>
              <w:jc w:val="both"/>
            </w:pPr>
            <w:r>
              <w:rPr>
                <w:sz w:val="20"/>
              </w:rPr>
              <w:t xml:space="preserve">1</w:t>
            </w:r>
          </w:p>
        </w:tc>
        <w:tc>
          <w:tcPr>
            <w:tcW w:w="2907" w:type="dxa"/>
          </w:tcPr>
          <w:p>
            <w:pPr>
              <w:pStyle w:val="0"/>
              <w:jc w:val="both"/>
            </w:pPr>
            <w:r>
              <w:rPr>
                <w:sz w:val="20"/>
              </w:rPr>
              <w:t xml:space="preserve">г. Севастополь</w:t>
            </w:r>
          </w:p>
        </w:tc>
        <w:tc>
          <w:tcPr>
            <w:tcW w:w="1117" w:type="dxa"/>
          </w:tcPr>
          <w:p>
            <w:pPr>
              <w:pStyle w:val="0"/>
              <w:jc w:val="center"/>
            </w:pPr>
            <w:r>
              <w:rPr>
                <w:sz w:val="20"/>
              </w:rPr>
              <w:t xml:space="preserve">75,9</w:t>
            </w:r>
          </w:p>
        </w:tc>
        <w:tc>
          <w:tcPr>
            <w:tcW w:w="1117" w:type="dxa"/>
          </w:tcPr>
          <w:p>
            <w:pPr>
              <w:pStyle w:val="0"/>
              <w:jc w:val="center"/>
            </w:pPr>
            <w:r>
              <w:rPr>
                <w:sz w:val="20"/>
              </w:rPr>
              <w:t xml:space="preserve">65,5</w:t>
            </w:r>
          </w:p>
        </w:tc>
        <w:tc>
          <w:tcPr>
            <w:tcW w:w="1117" w:type="dxa"/>
          </w:tcPr>
          <w:p>
            <w:pPr>
              <w:pStyle w:val="0"/>
              <w:jc w:val="center"/>
            </w:pPr>
            <w:r>
              <w:rPr>
                <w:sz w:val="20"/>
              </w:rPr>
              <w:t xml:space="preserve">71,5</w:t>
            </w:r>
          </w:p>
        </w:tc>
        <w:tc>
          <w:tcPr>
            <w:tcW w:w="1117" w:type="dxa"/>
          </w:tcPr>
          <w:p>
            <w:pPr>
              <w:pStyle w:val="0"/>
              <w:jc w:val="center"/>
            </w:pPr>
            <w:r>
              <w:rPr>
                <w:sz w:val="20"/>
              </w:rPr>
              <w:t xml:space="preserve">66,3</w:t>
            </w:r>
          </w:p>
        </w:tc>
        <w:tc>
          <w:tcPr>
            <w:tcW w:w="1119" w:type="dxa"/>
          </w:tcPr>
          <w:p>
            <w:pPr>
              <w:pStyle w:val="0"/>
              <w:jc w:val="center"/>
            </w:pPr>
            <w:r>
              <w:rPr>
                <w:sz w:val="20"/>
              </w:rPr>
              <w:t xml:space="preserve">63,1</w:t>
            </w:r>
          </w:p>
        </w:tc>
      </w:tr>
    </w:tbl>
    <w:p>
      <w:pPr>
        <w:pStyle w:val="0"/>
        <w:ind w:firstLine="540"/>
        <w:jc w:val="both"/>
      </w:pPr>
      <w:r>
        <w:rPr>
          <w:sz w:val="20"/>
        </w:rPr>
      </w:r>
    </w:p>
    <w:p>
      <w:pPr>
        <w:pStyle w:val="0"/>
        <w:ind w:firstLine="540"/>
        <w:jc w:val="both"/>
      </w:pPr>
      <w:r>
        <w:rPr>
          <w:sz w:val="20"/>
        </w:rPr>
        <w:t xml:space="preserve">Сельскому населению города Севастополя медицинская помощь оказывается в двух городских больницах: ГБУЗС "Городская больница N 4" и ГБУЗС "Городская больница N 9", и структурных подразделениях медицинских организаций, которыми являются 14 ФАП, 7 врачебных амбулаторий и 3 участка ОВП.</w:t>
      </w:r>
    </w:p>
    <w:p>
      <w:pPr>
        <w:pStyle w:val="0"/>
        <w:spacing w:before="200" w:line-rule="auto"/>
        <w:ind w:firstLine="540"/>
        <w:jc w:val="both"/>
      </w:pPr>
      <w:r>
        <w:rPr>
          <w:sz w:val="20"/>
        </w:rPr>
        <w:t xml:space="preserve">С 2016 года в городе Севастополе наблюдается снижение численности врачей общей практики (семейный врач) и среднего медицинского персонала ФАП.</w:t>
      </w:r>
    </w:p>
    <w:p>
      <w:pPr>
        <w:pStyle w:val="0"/>
        <w:spacing w:before="200" w:line-rule="auto"/>
        <w:ind w:firstLine="540"/>
        <w:jc w:val="both"/>
      </w:pPr>
      <w:r>
        <w:rPr>
          <w:sz w:val="20"/>
        </w:rPr>
        <w:t xml:space="preserve">Численность врачей общей практики, врачей-терапевтов участковых, врачей-педиатров участковых, среднего медицинского персонала на ФАП с 2014 по 2019 годы представлена в </w:t>
      </w:r>
      <w:hyperlink w:history="0" w:anchor="P38348" w:tooltip="Численность штатных, занятых должностей, физических лиц,">
        <w:r>
          <w:rPr>
            <w:sz w:val="20"/>
            <w:color w:val="0000ff"/>
          </w:rPr>
          <w:t xml:space="preserve">таблице 9</w:t>
        </w:r>
      </w:hyperlink>
      <w:r>
        <w:rPr>
          <w:sz w:val="20"/>
        </w:rPr>
        <w:t xml:space="preserve">.</w:t>
      </w:r>
    </w:p>
    <w:p>
      <w:pPr>
        <w:pStyle w:val="0"/>
        <w:ind w:firstLine="540"/>
        <w:jc w:val="both"/>
      </w:pPr>
      <w:r>
        <w:rPr>
          <w:sz w:val="20"/>
        </w:rPr>
      </w:r>
    </w:p>
    <w:p>
      <w:pPr>
        <w:pStyle w:val="0"/>
        <w:jc w:val="right"/>
      </w:pPr>
      <w:r>
        <w:rPr>
          <w:sz w:val="20"/>
        </w:rPr>
        <w:t xml:space="preserve">Таблица 9</w:t>
      </w:r>
    </w:p>
    <w:p>
      <w:pPr>
        <w:pStyle w:val="0"/>
      </w:pPr>
      <w:r>
        <w:rPr>
          <w:sz w:val="20"/>
        </w:rPr>
      </w:r>
    </w:p>
    <w:bookmarkStart w:id="38348" w:name="P38348"/>
    <w:bookmarkEnd w:id="38348"/>
    <w:p>
      <w:pPr>
        <w:pStyle w:val="0"/>
        <w:jc w:val="center"/>
      </w:pPr>
      <w:r>
        <w:rPr>
          <w:sz w:val="20"/>
        </w:rPr>
        <w:t xml:space="preserve">Численность штатных, занятых должностей, физических лиц,</w:t>
      </w:r>
    </w:p>
    <w:p>
      <w:pPr>
        <w:pStyle w:val="0"/>
        <w:jc w:val="center"/>
      </w:pPr>
      <w:r>
        <w:rPr>
          <w:sz w:val="20"/>
        </w:rPr>
        <w:t xml:space="preserve">оказывающих помощь в амбулаторных условиях</w:t>
      </w:r>
    </w:p>
    <w:p>
      <w:pPr>
        <w:pStyle w:val="0"/>
        <w:jc w:val="center"/>
      </w:pPr>
      <w:r>
        <w:rPr>
          <w:sz w:val="20"/>
        </w:rPr>
        <w:t xml:space="preserve">(абсолютные значения)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1218"/>
        <w:gridCol w:w="1218"/>
        <w:gridCol w:w="1218"/>
        <w:gridCol w:w="1218"/>
        <w:gridCol w:w="1219"/>
      </w:tblGrid>
      <w:tr>
        <w:tc>
          <w:tcPr>
            <w:gridSpan w:val="6"/>
            <w:tcW w:w="9039" w:type="dxa"/>
          </w:tcPr>
          <w:p>
            <w:pPr>
              <w:pStyle w:val="0"/>
              <w:jc w:val="center"/>
            </w:pPr>
            <w:r>
              <w:rPr>
                <w:sz w:val="20"/>
              </w:rPr>
              <w:t xml:space="preserve">Годы</w:t>
            </w:r>
          </w:p>
        </w:tc>
      </w:tr>
      <w:tr>
        <w:tc>
          <w:tcPr>
            <w:tcW w:w="2948" w:type="dxa"/>
          </w:tcPr>
          <w:p>
            <w:pPr>
              <w:pStyle w:val="0"/>
              <w:jc w:val="center"/>
            </w:pPr>
            <w:r>
              <w:rPr>
                <w:sz w:val="20"/>
              </w:rPr>
            </w:r>
          </w:p>
        </w:tc>
        <w:tc>
          <w:tcPr>
            <w:tcW w:w="1218" w:type="dxa"/>
          </w:tcPr>
          <w:p>
            <w:pPr>
              <w:pStyle w:val="0"/>
              <w:jc w:val="center"/>
            </w:pPr>
            <w:r>
              <w:rPr>
                <w:sz w:val="20"/>
              </w:rPr>
              <w:t xml:space="preserve">2015</w:t>
            </w:r>
          </w:p>
        </w:tc>
        <w:tc>
          <w:tcPr>
            <w:tcW w:w="1218" w:type="dxa"/>
          </w:tcPr>
          <w:p>
            <w:pPr>
              <w:pStyle w:val="0"/>
              <w:jc w:val="center"/>
            </w:pPr>
            <w:r>
              <w:rPr>
                <w:sz w:val="20"/>
              </w:rPr>
              <w:t xml:space="preserve">2016</w:t>
            </w:r>
          </w:p>
        </w:tc>
        <w:tc>
          <w:tcPr>
            <w:tcW w:w="1218" w:type="dxa"/>
          </w:tcPr>
          <w:p>
            <w:pPr>
              <w:pStyle w:val="0"/>
              <w:jc w:val="center"/>
            </w:pPr>
            <w:r>
              <w:rPr>
                <w:sz w:val="20"/>
              </w:rPr>
              <w:t xml:space="preserve">2017</w:t>
            </w:r>
          </w:p>
        </w:tc>
        <w:tc>
          <w:tcPr>
            <w:tcW w:w="1218" w:type="dxa"/>
          </w:tcPr>
          <w:p>
            <w:pPr>
              <w:pStyle w:val="0"/>
              <w:jc w:val="center"/>
            </w:pPr>
            <w:r>
              <w:rPr>
                <w:sz w:val="20"/>
              </w:rPr>
              <w:t xml:space="preserve">2018</w:t>
            </w:r>
          </w:p>
        </w:tc>
        <w:tc>
          <w:tcPr>
            <w:tcW w:w="1219" w:type="dxa"/>
          </w:tcPr>
          <w:p>
            <w:pPr>
              <w:pStyle w:val="0"/>
              <w:jc w:val="center"/>
            </w:pPr>
            <w:r>
              <w:rPr>
                <w:sz w:val="20"/>
              </w:rPr>
              <w:t xml:space="preserve">2019</w:t>
            </w:r>
          </w:p>
        </w:tc>
      </w:tr>
      <w:tr>
        <w:tc>
          <w:tcPr>
            <w:gridSpan w:val="6"/>
            <w:tcW w:w="9039" w:type="dxa"/>
          </w:tcPr>
          <w:p>
            <w:pPr>
              <w:pStyle w:val="0"/>
              <w:jc w:val="center"/>
            </w:pPr>
            <w:r>
              <w:rPr>
                <w:sz w:val="20"/>
              </w:rPr>
              <w:t xml:space="preserve">Врач общей практики (семейный врач)</w:t>
            </w:r>
          </w:p>
        </w:tc>
      </w:tr>
      <w:tr>
        <w:tc>
          <w:tcPr>
            <w:tcW w:w="2948" w:type="dxa"/>
          </w:tcPr>
          <w:p>
            <w:pPr>
              <w:pStyle w:val="0"/>
              <w:jc w:val="both"/>
            </w:pPr>
            <w:r>
              <w:rPr>
                <w:sz w:val="20"/>
              </w:rPr>
              <w:t xml:space="preserve">Штатные</w:t>
            </w:r>
          </w:p>
        </w:tc>
        <w:tc>
          <w:tcPr>
            <w:tcW w:w="1218" w:type="dxa"/>
          </w:tcPr>
          <w:p>
            <w:pPr>
              <w:pStyle w:val="0"/>
              <w:jc w:val="center"/>
            </w:pPr>
            <w:r>
              <w:rPr>
                <w:sz w:val="20"/>
              </w:rPr>
              <w:t xml:space="preserve">59</w:t>
            </w:r>
          </w:p>
        </w:tc>
        <w:tc>
          <w:tcPr>
            <w:tcW w:w="1218" w:type="dxa"/>
          </w:tcPr>
          <w:p>
            <w:pPr>
              <w:pStyle w:val="0"/>
              <w:jc w:val="center"/>
            </w:pPr>
            <w:r>
              <w:rPr>
                <w:sz w:val="20"/>
              </w:rPr>
              <w:t xml:space="preserve">43,75</w:t>
            </w:r>
          </w:p>
        </w:tc>
        <w:tc>
          <w:tcPr>
            <w:tcW w:w="1218" w:type="dxa"/>
          </w:tcPr>
          <w:p>
            <w:pPr>
              <w:pStyle w:val="0"/>
              <w:jc w:val="center"/>
            </w:pPr>
            <w:r>
              <w:rPr>
                <w:sz w:val="20"/>
              </w:rPr>
              <w:t xml:space="preserve">41,5</w:t>
            </w:r>
          </w:p>
        </w:tc>
        <w:tc>
          <w:tcPr>
            <w:tcW w:w="1218" w:type="dxa"/>
          </w:tcPr>
          <w:p>
            <w:pPr>
              <w:pStyle w:val="0"/>
              <w:jc w:val="center"/>
            </w:pPr>
            <w:r>
              <w:rPr>
                <w:sz w:val="20"/>
              </w:rPr>
              <w:t xml:space="preserve">39,25</w:t>
            </w:r>
          </w:p>
        </w:tc>
        <w:tc>
          <w:tcPr>
            <w:tcW w:w="1219" w:type="dxa"/>
          </w:tcPr>
          <w:p>
            <w:pPr>
              <w:pStyle w:val="0"/>
              <w:jc w:val="center"/>
            </w:pPr>
            <w:r>
              <w:rPr>
                <w:sz w:val="20"/>
              </w:rPr>
              <w:t xml:space="preserve">35,5</w:t>
            </w:r>
          </w:p>
        </w:tc>
      </w:tr>
      <w:tr>
        <w:tc>
          <w:tcPr>
            <w:tcW w:w="2948" w:type="dxa"/>
          </w:tcPr>
          <w:p>
            <w:pPr>
              <w:pStyle w:val="0"/>
              <w:jc w:val="both"/>
            </w:pPr>
            <w:r>
              <w:rPr>
                <w:sz w:val="20"/>
              </w:rPr>
              <w:t xml:space="preserve">Занятые</w:t>
            </w:r>
          </w:p>
        </w:tc>
        <w:tc>
          <w:tcPr>
            <w:tcW w:w="1218" w:type="dxa"/>
          </w:tcPr>
          <w:p>
            <w:pPr>
              <w:pStyle w:val="0"/>
              <w:jc w:val="center"/>
            </w:pPr>
            <w:r>
              <w:rPr>
                <w:sz w:val="20"/>
              </w:rPr>
              <w:t xml:space="preserve">45</w:t>
            </w:r>
          </w:p>
        </w:tc>
        <w:tc>
          <w:tcPr>
            <w:tcW w:w="1218" w:type="dxa"/>
          </w:tcPr>
          <w:p>
            <w:pPr>
              <w:pStyle w:val="0"/>
              <w:jc w:val="center"/>
            </w:pPr>
            <w:r>
              <w:rPr>
                <w:sz w:val="20"/>
              </w:rPr>
              <w:t xml:space="preserve">36</w:t>
            </w:r>
          </w:p>
        </w:tc>
        <w:tc>
          <w:tcPr>
            <w:tcW w:w="1218" w:type="dxa"/>
          </w:tcPr>
          <w:p>
            <w:pPr>
              <w:pStyle w:val="0"/>
              <w:jc w:val="center"/>
            </w:pPr>
            <w:r>
              <w:rPr>
                <w:sz w:val="20"/>
              </w:rPr>
              <w:t xml:space="preserve">23,25</w:t>
            </w:r>
          </w:p>
        </w:tc>
        <w:tc>
          <w:tcPr>
            <w:tcW w:w="1218" w:type="dxa"/>
          </w:tcPr>
          <w:p>
            <w:pPr>
              <w:pStyle w:val="0"/>
              <w:jc w:val="center"/>
            </w:pPr>
            <w:r>
              <w:rPr>
                <w:sz w:val="20"/>
              </w:rPr>
              <w:t xml:space="preserve">19,75</w:t>
            </w:r>
          </w:p>
        </w:tc>
        <w:tc>
          <w:tcPr>
            <w:tcW w:w="1219" w:type="dxa"/>
          </w:tcPr>
          <w:p>
            <w:pPr>
              <w:pStyle w:val="0"/>
              <w:jc w:val="center"/>
            </w:pPr>
            <w:r>
              <w:rPr>
                <w:sz w:val="20"/>
              </w:rPr>
              <w:t xml:space="preserve">20,5</w:t>
            </w:r>
          </w:p>
        </w:tc>
      </w:tr>
      <w:tr>
        <w:tc>
          <w:tcPr>
            <w:tcW w:w="2948" w:type="dxa"/>
          </w:tcPr>
          <w:p>
            <w:pPr>
              <w:pStyle w:val="0"/>
              <w:jc w:val="both"/>
            </w:pPr>
            <w:r>
              <w:rPr>
                <w:sz w:val="20"/>
              </w:rPr>
              <w:t xml:space="preserve">Физические лица</w:t>
            </w:r>
          </w:p>
        </w:tc>
        <w:tc>
          <w:tcPr>
            <w:tcW w:w="1218" w:type="dxa"/>
          </w:tcPr>
          <w:p>
            <w:pPr>
              <w:pStyle w:val="0"/>
              <w:jc w:val="center"/>
            </w:pPr>
            <w:r>
              <w:rPr>
                <w:sz w:val="20"/>
              </w:rPr>
              <w:t xml:space="preserve">37</w:t>
            </w:r>
          </w:p>
        </w:tc>
        <w:tc>
          <w:tcPr>
            <w:tcW w:w="1218" w:type="dxa"/>
          </w:tcPr>
          <w:p>
            <w:pPr>
              <w:pStyle w:val="0"/>
              <w:jc w:val="center"/>
            </w:pPr>
            <w:r>
              <w:rPr>
                <w:sz w:val="20"/>
              </w:rPr>
              <w:t xml:space="preserve">31</w:t>
            </w:r>
          </w:p>
        </w:tc>
        <w:tc>
          <w:tcPr>
            <w:tcW w:w="1218" w:type="dxa"/>
          </w:tcPr>
          <w:p>
            <w:pPr>
              <w:pStyle w:val="0"/>
              <w:jc w:val="center"/>
            </w:pPr>
            <w:r>
              <w:rPr>
                <w:sz w:val="20"/>
              </w:rPr>
              <w:t xml:space="preserve">23</w:t>
            </w:r>
          </w:p>
        </w:tc>
        <w:tc>
          <w:tcPr>
            <w:tcW w:w="1218" w:type="dxa"/>
          </w:tcPr>
          <w:p>
            <w:pPr>
              <w:pStyle w:val="0"/>
              <w:jc w:val="center"/>
            </w:pPr>
            <w:r>
              <w:rPr>
                <w:sz w:val="20"/>
              </w:rPr>
              <w:t xml:space="preserve">20</w:t>
            </w:r>
          </w:p>
        </w:tc>
        <w:tc>
          <w:tcPr>
            <w:tcW w:w="1219" w:type="dxa"/>
          </w:tcPr>
          <w:p>
            <w:pPr>
              <w:pStyle w:val="0"/>
              <w:jc w:val="center"/>
            </w:pPr>
            <w:r>
              <w:rPr>
                <w:sz w:val="20"/>
              </w:rPr>
              <w:t xml:space="preserve">18</w:t>
            </w:r>
          </w:p>
        </w:tc>
      </w:tr>
      <w:tr>
        <w:tc>
          <w:tcPr>
            <w:gridSpan w:val="6"/>
            <w:tcW w:w="9039" w:type="dxa"/>
          </w:tcPr>
          <w:p>
            <w:pPr>
              <w:pStyle w:val="0"/>
              <w:jc w:val="center"/>
            </w:pPr>
            <w:r>
              <w:rPr>
                <w:sz w:val="20"/>
              </w:rPr>
              <w:t xml:space="preserve">Врач-терапевт участковый</w:t>
            </w:r>
          </w:p>
        </w:tc>
      </w:tr>
      <w:tr>
        <w:tc>
          <w:tcPr>
            <w:tcW w:w="2948" w:type="dxa"/>
          </w:tcPr>
          <w:p>
            <w:pPr>
              <w:pStyle w:val="0"/>
              <w:jc w:val="both"/>
            </w:pPr>
            <w:r>
              <w:rPr>
                <w:sz w:val="20"/>
              </w:rPr>
              <w:t xml:space="preserve">Штатные</w:t>
            </w:r>
          </w:p>
        </w:tc>
        <w:tc>
          <w:tcPr>
            <w:tcW w:w="1218" w:type="dxa"/>
          </w:tcPr>
          <w:p>
            <w:pPr>
              <w:pStyle w:val="0"/>
              <w:jc w:val="center"/>
            </w:pPr>
            <w:r>
              <w:rPr>
                <w:sz w:val="20"/>
              </w:rPr>
              <w:t xml:space="preserve">108,95</w:t>
            </w:r>
          </w:p>
        </w:tc>
        <w:tc>
          <w:tcPr>
            <w:tcW w:w="1218" w:type="dxa"/>
          </w:tcPr>
          <w:p>
            <w:pPr>
              <w:pStyle w:val="0"/>
              <w:jc w:val="center"/>
            </w:pPr>
            <w:r>
              <w:rPr>
                <w:sz w:val="20"/>
              </w:rPr>
              <w:t xml:space="preserve">128</w:t>
            </w:r>
          </w:p>
        </w:tc>
        <w:tc>
          <w:tcPr>
            <w:tcW w:w="1218" w:type="dxa"/>
          </w:tcPr>
          <w:p>
            <w:pPr>
              <w:pStyle w:val="0"/>
              <w:jc w:val="center"/>
            </w:pPr>
            <w:r>
              <w:rPr>
                <w:sz w:val="20"/>
              </w:rPr>
              <w:t xml:space="preserve">134,75</w:t>
            </w:r>
          </w:p>
        </w:tc>
        <w:tc>
          <w:tcPr>
            <w:tcW w:w="1218" w:type="dxa"/>
          </w:tcPr>
          <w:p>
            <w:pPr>
              <w:pStyle w:val="0"/>
              <w:jc w:val="center"/>
            </w:pPr>
            <w:r>
              <w:rPr>
                <w:sz w:val="20"/>
              </w:rPr>
              <w:t xml:space="preserve">128,5</w:t>
            </w:r>
          </w:p>
        </w:tc>
        <w:tc>
          <w:tcPr>
            <w:tcW w:w="1219" w:type="dxa"/>
          </w:tcPr>
          <w:p>
            <w:pPr>
              <w:pStyle w:val="0"/>
              <w:jc w:val="center"/>
            </w:pPr>
            <w:r>
              <w:rPr>
                <w:sz w:val="20"/>
              </w:rPr>
              <w:t xml:space="preserve">131,75</w:t>
            </w:r>
          </w:p>
        </w:tc>
      </w:tr>
      <w:tr>
        <w:tc>
          <w:tcPr>
            <w:tcW w:w="2948" w:type="dxa"/>
          </w:tcPr>
          <w:p>
            <w:pPr>
              <w:pStyle w:val="0"/>
              <w:jc w:val="both"/>
            </w:pPr>
            <w:r>
              <w:rPr>
                <w:sz w:val="20"/>
              </w:rPr>
              <w:t xml:space="preserve">Занятые</w:t>
            </w:r>
          </w:p>
        </w:tc>
        <w:tc>
          <w:tcPr>
            <w:tcW w:w="1218" w:type="dxa"/>
          </w:tcPr>
          <w:p>
            <w:pPr>
              <w:pStyle w:val="0"/>
              <w:jc w:val="center"/>
            </w:pPr>
            <w:r>
              <w:rPr>
                <w:sz w:val="20"/>
              </w:rPr>
              <w:t xml:space="preserve">77,25</w:t>
            </w:r>
          </w:p>
        </w:tc>
        <w:tc>
          <w:tcPr>
            <w:tcW w:w="1218" w:type="dxa"/>
          </w:tcPr>
          <w:p>
            <w:pPr>
              <w:pStyle w:val="0"/>
              <w:jc w:val="center"/>
            </w:pPr>
            <w:r>
              <w:rPr>
                <w:sz w:val="20"/>
              </w:rPr>
              <w:t xml:space="preserve">73</w:t>
            </w:r>
          </w:p>
        </w:tc>
        <w:tc>
          <w:tcPr>
            <w:tcW w:w="1218" w:type="dxa"/>
          </w:tcPr>
          <w:p>
            <w:pPr>
              <w:pStyle w:val="0"/>
              <w:jc w:val="center"/>
            </w:pPr>
            <w:r>
              <w:rPr>
                <w:sz w:val="20"/>
              </w:rPr>
              <w:t xml:space="preserve">104</w:t>
            </w:r>
          </w:p>
        </w:tc>
        <w:tc>
          <w:tcPr>
            <w:tcW w:w="1218" w:type="dxa"/>
          </w:tcPr>
          <w:p>
            <w:pPr>
              <w:pStyle w:val="0"/>
              <w:jc w:val="center"/>
            </w:pPr>
            <w:r>
              <w:rPr>
                <w:sz w:val="20"/>
              </w:rPr>
              <w:t xml:space="preserve">87,75</w:t>
            </w:r>
          </w:p>
        </w:tc>
        <w:tc>
          <w:tcPr>
            <w:tcW w:w="1219" w:type="dxa"/>
          </w:tcPr>
          <w:p>
            <w:pPr>
              <w:pStyle w:val="0"/>
              <w:jc w:val="center"/>
            </w:pPr>
            <w:r>
              <w:rPr>
                <w:sz w:val="20"/>
              </w:rPr>
              <w:t xml:space="preserve">104,75</w:t>
            </w:r>
          </w:p>
        </w:tc>
      </w:tr>
      <w:tr>
        <w:tc>
          <w:tcPr>
            <w:tcW w:w="2948" w:type="dxa"/>
          </w:tcPr>
          <w:p>
            <w:pPr>
              <w:pStyle w:val="0"/>
              <w:jc w:val="both"/>
            </w:pPr>
            <w:r>
              <w:rPr>
                <w:sz w:val="20"/>
              </w:rPr>
              <w:t xml:space="preserve">Физические лица</w:t>
            </w:r>
          </w:p>
        </w:tc>
        <w:tc>
          <w:tcPr>
            <w:tcW w:w="1218" w:type="dxa"/>
          </w:tcPr>
          <w:p>
            <w:pPr>
              <w:pStyle w:val="0"/>
              <w:jc w:val="center"/>
            </w:pPr>
            <w:r>
              <w:rPr>
                <w:sz w:val="20"/>
              </w:rPr>
              <w:t xml:space="preserve">59</w:t>
            </w:r>
          </w:p>
        </w:tc>
        <w:tc>
          <w:tcPr>
            <w:tcW w:w="1218" w:type="dxa"/>
          </w:tcPr>
          <w:p>
            <w:pPr>
              <w:pStyle w:val="0"/>
              <w:jc w:val="center"/>
            </w:pPr>
            <w:r>
              <w:rPr>
                <w:sz w:val="20"/>
              </w:rPr>
              <w:t xml:space="preserve">60</w:t>
            </w:r>
          </w:p>
        </w:tc>
        <w:tc>
          <w:tcPr>
            <w:tcW w:w="1218" w:type="dxa"/>
          </w:tcPr>
          <w:p>
            <w:pPr>
              <w:pStyle w:val="0"/>
              <w:jc w:val="center"/>
            </w:pPr>
            <w:r>
              <w:rPr>
                <w:sz w:val="20"/>
              </w:rPr>
              <w:t xml:space="preserve">86</w:t>
            </w:r>
          </w:p>
        </w:tc>
        <w:tc>
          <w:tcPr>
            <w:tcW w:w="1218" w:type="dxa"/>
          </w:tcPr>
          <w:p>
            <w:pPr>
              <w:pStyle w:val="0"/>
              <w:jc w:val="center"/>
            </w:pPr>
            <w:r>
              <w:rPr>
                <w:sz w:val="20"/>
              </w:rPr>
              <w:t xml:space="preserve">78</w:t>
            </w:r>
          </w:p>
        </w:tc>
        <w:tc>
          <w:tcPr>
            <w:tcW w:w="1219" w:type="dxa"/>
          </w:tcPr>
          <w:p>
            <w:pPr>
              <w:pStyle w:val="0"/>
              <w:jc w:val="center"/>
            </w:pPr>
            <w:r>
              <w:rPr>
                <w:sz w:val="20"/>
              </w:rPr>
              <w:t xml:space="preserve">87</w:t>
            </w:r>
          </w:p>
        </w:tc>
      </w:tr>
      <w:tr>
        <w:tc>
          <w:tcPr>
            <w:gridSpan w:val="6"/>
            <w:tcW w:w="9039" w:type="dxa"/>
          </w:tcPr>
          <w:p>
            <w:pPr>
              <w:pStyle w:val="0"/>
              <w:jc w:val="center"/>
            </w:pPr>
            <w:r>
              <w:rPr>
                <w:sz w:val="20"/>
              </w:rPr>
              <w:t xml:space="preserve">Врач-педиатр участковый</w:t>
            </w:r>
          </w:p>
        </w:tc>
      </w:tr>
      <w:tr>
        <w:tc>
          <w:tcPr>
            <w:tcW w:w="2948" w:type="dxa"/>
          </w:tcPr>
          <w:p>
            <w:pPr>
              <w:pStyle w:val="0"/>
              <w:jc w:val="both"/>
            </w:pPr>
            <w:r>
              <w:rPr>
                <w:sz w:val="20"/>
              </w:rPr>
              <w:t xml:space="preserve">Штатные</w:t>
            </w:r>
          </w:p>
        </w:tc>
        <w:tc>
          <w:tcPr>
            <w:tcW w:w="1218" w:type="dxa"/>
          </w:tcPr>
          <w:p>
            <w:pPr>
              <w:pStyle w:val="0"/>
              <w:jc w:val="center"/>
            </w:pPr>
            <w:r>
              <w:rPr>
                <w:sz w:val="20"/>
              </w:rPr>
              <w:t xml:space="preserve">79,75</w:t>
            </w:r>
          </w:p>
        </w:tc>
        <w:tc>
          <w:tcPr>
            <w:tcW w:w="1218" w:type="dxa"/>
          </w:tcPr>
          <w:p>
            <w:pPr>
              <w:pStyle w:val="0"/>
              <w:jc w:val="center"/>
            </w:pPr>
            <w:r>
              <w:rPr>
                <w:sz w:val="20"/>
              </w:rPr>
              <w:t xml:space="preserve">93</w:t>
            </w:r>
          </w:p>
        </w:tc>
        <w:tc>
          <w:tcPr>
            <w:tcW w:w="1218" w:type="dxa"/>
          </w:tcPr>
          <w:p>
            <w:pPr>
              <w:pStyle w:val="0"/>
              <w:jc w:val="center"/>
            </w:pPr>
            <w:r>
              <w:rPr>
                <w:sz w:val="20"/>
              </w:rPr>
              <w:t xml:space="preserve">95,5</w:t>
            </w:r>
          </w:p>
        </w:tc>
        <w:tc>
          <w:tcPr>
            <w:tcW w:w="1218" w:type="dxa"/>
          </w:tcPr>
          <w:p>
            <w:pPr>
              <w:pStyle w:val="0"/>
              <w:jc w:val="center"/>
            </w:pPr>
            <w:r>
              <w:rPr>
                <w:sz w:val="20"/>
              </w:rPr>
              <w:t xml:space="preserve">96,5</w:t>
            </w:r>
          </w:p>
        </w:tc>
        <w:tc>
          <w:tcPr>
            <w:tcW w:w="1219" w:type="dxa"/>
          </w:tcPr>
          <w:p>
            <w:pPr>
              <w:pStyle w:val="0"/>
              <w:jc w:val="center"/>
            </w:pPr>
            <w:r>
              <w:rPr>
                <w:sz w:val="20"/>
              </w:rPr>
              <w:t xml:space="preserve">97,5</w:t>
            </w:r>
          </w:p>
        </w:tc>
      </w:tr>
      <w:tr>
        <w:tc>
          <w:tcPr>
            <w:tcW w:w="2948" w:type="dxa"/>
          </w:tcPr>
          <w:p>
            <w:pPr>
              <w:pStyle w:val="0"/>
              <w:jc w:val="both"/>
            </w:pPr>
            <w:r>
              <w:rPr>
                <w:sz w:val="20"/>
              </w:rPr>
              <w:t xml:space="preserve">Занятые</w:t>
            </w:r>
          </w:p>
        </w:tc>
        <w:tc>
          <w:tcPr>
            <w:tcW w:w="1218" w:type="dxa"/>
          </w:tcPr>
          <w:p>
            <w:pPr>
              <w:pStyle w:val="0"/>
              <w:jc w:val="center"/>
            </w:pPr>
            <w:r>
              <w:rPr>
                <w:sz w:val="20"/>
              </w:rPr>
              <w:t xml:space="preserve">74</w:t>
            </w:r>
          </w:p>
        </w:tc>
        <w:tc>
          <w:tcPr>
            <w:tcW w:w="1218" w:type="dxa"/>
          </w:tcPr>
          <w:p>
            <w:pPr>
              <w:pStyle w:val="0"/>
              <w:jc w:val="center"/>
            </w:pPr>
            <w:r>
              <w:rPr>
                <w:sz w:val="20"/>
              </w:rPr>
              <w:t xml:space="preserve">83,5</w:t>
            </w:r>
          </w:p>
        </w:tc>
        <w:tc>
          <w:tcPr>
            <w:tcW w:w="1218" w:type="dxa"/>
          </w:tcPr>
          <w:p>
            <w:pPr>
              <w:pStyle w:val="0"/>
              <w:jc w:val="center"/>
            </w:pPr>
            <w:r>
              <w:rPr>
                <w:sz w:val="20"/>
              </w:rPr>
              <w:t xml:space="preserve">86</w:t>
            </w:r>
          </w:p>
        </w:tc>
        <w:tc>
          <w:tcPr>
            <w:tcW w:w="1218" w:type="dxa"/>
          </w:tcPr>
          <w:p>
            <w:pPr>
              <w:pStyle w:val="0"/>
              <w:jc w:val="center"/>
            </w:pPr>
            <w:r>
              <w:rPr>
                <w:sz w:val="20"/>
              </w:rPr>
              <w:t xml:space="preserve">84</w:t>
            </w:r>
          </w:p>
        </w:tc>
        <w:tc>
          <w:tcPr>
            <w:tcW w:w="1219" w:type="dxa"/>
          </w:tcPr>
          <w:p>
            <w:pPr>
              <w:pStyle w:val="0"/>
              <w:jc w:val="center"/>
            </w:pPr>
            <w:r>
              <w:rPr>
                <w:sz w:val="20"/>
              </w:rPr>
              <w:t xml:space="preserve">83,5</w:t>
            </w:r>
          </w:p>
        </w:tc>
      </w:tr>
      <w:tr>
        <w:tc>
          <w:tcPr>
            <w:tcW w:w="2948" w:type="dxa"/>
          </w:tcPr>
          <w:p>
            <w:pPr>
              <w:pStyle w:val="0"/>
              <w:jc w:val="both"/>
            </w:pPr>
            <w:r>
              <w:rPr>
                <w:sz w:val="20"/>
              </w:rPr>
              <w:t xml:space="preserve">Физические лица</w:t>
            </w:r>
          </w:p>
        </w:tc>
        <w:tc>
          <w:tcPr>
            <w:tcW w:w="1218" w:type="dxa"/>
          </w:tcPr>
          <w:p>
            <w:pPr>
              <w:pStyle w:val="0"/>
              <w:jc w:val="center"/>
            </w:pPr>
            <w:r>
              <w:rPr>
                <w:sz w:val="20"/>
              </w:rPr>
              <w:t xml:space="preserve">60</w:t>
            </w:r>
          </w:p>
        </w:tc>
        <w:tc>
          <w:tcPr>
            <w:tcW w:w="1218" w:type="dxa"/>
          </w:tcPr>
          <w:p>
            <w:pPr>
              <w:pStyle w:val="0"/>
              <w:jc w:val="center"/>
            </w:pPr>
            <w:r>
              <w:rPr>
                <w:sz w:val="20"/>
              </w:rPr>
              <w:t xml:space="preserve">68</w:t>
            </w:r>
          </w:p>
        </w:tc>
        <w:tc>
          <w:tcPr>
            <w:tcW w:w="1218" w:type="dxa"/>
          </w:tcPr>
          <w:p>
            <w:pPr>
              <w:pStyle w:val="0"/>
              <w:jc w:val="center"/>
            </w:pPr>
            <w:r>
              <w:rPr>
                <w:sz w:val="20"/>
              </w:rPr>
              <w:t xml:space="preserve">69</w:t>
            </w:r>
          </w:p>
        </w:tc>
        <w:tc>
          <w:tcPr>
            <w:tcW w:w="1218" w:type="dxa"/>
          </w:tcPr>
          <w:p>
            <w:pPr>
              <w:pStyle w:val="0"/>
              <w:jc w:val="center"/>
            </w:pPr>
            <w:r>
              <w:rPr>
                <w:sz w:val="20"/>
              </w:rPr>
              <w:t xml:space="preserve">69</w:t>
            </w:r>
          </w:p>
        </w:tc>
        <w:tc>
          <w:tcPr>
            <w:tcW w:w="1219" w:type="dxa"/>
          </w:tcPr>
          <w:p>
            <w:pPr>
              <w:pStyle w:val="0"/>
              <w:jc w:val="center"/>
            </w:pPr>
            <w:r>
              <w:rPr>
                <w:sz w:val="20"/>
              </w:rPr>
              <w:t xml:space="preserve">69</w:t>
            </w:r>
          </w:p>
        </w:tc>
      </w:tr>
      <w:tr>
        <w:tc>
          <w:tcPr>
            <w:gridSpan w:val="6"/>
            <w:tcW w:w="9039" w:type="dxa"/>
          </w:tcPr>
          <w:p>
            <w:pPr>
              <w:pStyle w:val="0"/>
              <w:jc w:val="center"/>
            </w:pPr>
            <w:r>
              <w:rPr>
                <w:sz w:val="20"/>
              </w:rPr>
              <w:t xml:space="preserve">Фельдшер ФАП</w:t>
            </w:r>
          </w:p>
        </w:tc>
      </w:tr>
      <w:tr>
        <w:tc>
          <w:tcPr>
            <w:tcW w:w="2948" w:type="dxa"/>
          </w:tcPr>
          <w:p>
            <w:pPr>
              <w:pStyle w:val="0"/>
              <w:jc w:val="both"/>
            </w:pPr>
            <w:r>
              <w:rPr>
                <w:sz w:val="20"/>
              </w:rPr>
              <w:t xml:space="preserve">Штатные</w:t>
            </w:r>
          </w:p>
        </w:tc>
        <w:tc>
          <w:tcPr>
            <w:tcW w:w="1218" w:type="dxa"/>
          </w:tcPr>
          <w:p>
            <w:pPr>
              <w:pStyle w:val="0"/>
              <w:jc w:val="center"/>
            </w:pPr>
            <w:r>
              <w:rPr>
                <w:sz w:val="20"/>
              </w:rPr>
              <w:t xml:space="preserve">3,25</w:t>
            </w:r>
          </w:p>
        </w:tc>
        <w:tc>
          <w:tcPr>
            <w:tcW w:w="1218" w:type="dxa"/>
          </w:tcPr>
          <w:p>
            <w:pPr>
              <w:pStyle w:val="0"/>
              <w:jc w:val="center"/>
            </w:pPr>
            <w:r>
              <w:rPr>
                <w:sz w:val="20"/>
              </w:rPr>
              <w:t xml:space="preserve">10,25</w:t>
            </w:r>
          </w:p>
        </w:tc>
        <w:tc>
          <w:tcPr>
            <w:tcW w:w="1218" w:type="dxa"/>
          </w:tcPr>
          <w:p>
            <w:pPr>
              <w:pStyle w:val="0"/>
              <w:jc w:val="center"/>
            </w:pPr>
            <w:r>
              <w:rPr>
                <w:sz w:val="20"/>
              </w:rPr>
              <w:t xml:space="preserve">9,25</w:t>
            </w:r>
          </w:p>
        </w:tc>
        <w:tc>
          <w:tcPr>
            <w:tcW w:w="1218" w:type="dxa"/>
          </w:tcPr>
          <w:p>
            <w:pPr>
              <w:pStyle w:val="0"/>
              <w:jc w:val="center"/>
            </w:pPr>
            <w:r>
              <w:rPr>
                <w:sz w:val="20"/>
              </w:rPr>
              <w:t xml:space="preserve">10,25</w:t>
            </w:r>
          </w:p>
        </w:tc>
        <w:tc>
          <w:tcPr>
            <w:tcW w:w="1219" w:type="dxa"/>
          </w:tcPr>
          <w:p>
            <w:pPr>
              <w:pStyle w:val="0"/>
              <w:jc w:val="center"/>
            </w:pPr>
            <w:r>
              <w:rPr>
                <w:sz w:val="20"/>
              </w:rPr>
              <w:t xml:space="preserve">13,25</w:t>
            </w:r>
          </w:p>
        </w:tc>
      </w:tr>
      <w:tr>
        <w:tc>
          <w:tcPr>
            <w:tcW w:w="2948" w:type="dxa"/>
          </w:tcPr>
          <w:p>
            <w:pPr>
              <w:pStyle w:val="0"/>
              <w:jc w:val="both"/>
            </w:pPr>
            <w:r>
              <w:rPr>
                <w:sz w:val="20"/>
              </w:rPr>
              <w:t xml:space="preserve">Занятые</w:t>
            </w:r>
          </w:p>
        </w:tc>
        <w:tc>
          <w:tcPr>
            <w:tcW w:w="1218" w:type="dxa"/>
          </w:tcPr>
          <w:p>
            <w:pPr>
              <w:pStyle w:val="0"/>
              <w:jc w:val="center"/>
            </w:pPr>
            <w:r>
              <w:rPr>
                <w:sz w:val="20"/>
              </w:rPr>
              <w:t xml:space="preserve">3,25</w:t>
            </w:r>
          </w:p>
        </w:tc>
        <w:tc>
          <w:tcPr>
            <w:tcW w:w="1218" w:type="dxa"/>
          </w:tcPr>
          <w:p>
            <w:pPr>
              <w:pStyle w:val="0"/>
              <w:jc w:val="center"/>
            </w:pPr>
            <w:r>
              <w:rPr>
                <w:sz w:val="20"/>
              </w:rPr>
              <w:t xml:space="preserve">10,25</w:t>
            </w:r>
          </w:p>
        </w:tc>
        <w:tc>
          <w:tcPr>
            <w:tcW w:w="1218" w:type="dxa"/>
          </w:tcPr>
          <w:p>
            <w:pPr>
              <w:pStyle w:val="0"/>
              <w:jc w:val="center"/>
            </w:pPr>
            <w:r>
              <w:rPr>
                <w:sz w:val="20"/>
              </w:rPr>
              <w:t xml:space="preserve">8,75</w:t>
            </w:r>
          </w:p>
        </w:tc>
        <w:tc>
          <w:tcPr>
            <w:tcW w:w="1218" w:type="dxa"/>
          </w:tcPr>
          <w:p>
            <w:pPr>
              <w:pStyle w:val="0"/>
              <w:jc w:val="center"/>
            </w:pPr>
            <w:r>
              <w:rPr>
                <w:sz w:val="20"/>
              </w:rPr>
              <w:t xml:space="preserve">8,25</w:t>
            </w:r>
          </w:p>
        </w:tc>
        <w:tc>
          <w:tcPr>
            <w:tcW w:w="1219" w:type="dxa"/>
          </w:tcPr>
          <w:p>
            <w:pPr>
              <w:pStyle w:val="0"/>
              <w:jc w:val="center"/>
            </w:pPr>
            <w:r>
              <w:rPr>
                <w:sz w:val="20"/>
              </w:rPr>
              <w:t xml:space="preserve">8,5</w:t>
            </w:r>
          </w:p>
        </w:tc>
      </w:tr>
      <w:tr>
        <w:tc>
          <w:tcPr>
            <w:tcW w:w="2948" w:type="dxa"/>
          </w:tcPr>
          <w:p>
            <w:pPr>
              <w:pStyle w:val="0"/>
              <w:jc w:val="both"/>
            </w:pPr>
            <w:r>
              <w:rPr>
                <w:sz w:val="20"/>
              </w:rPr>
              <w:t xml:space="preserve">Физические лица</w:t>
            </w:r>
          </w:p>
        </w:tc>
        <w:tc>
          <w:tcPr>
            <w:tcW w:w="1218" w:type="dxa"/>
          </w:tcPr>
          <w:p>
            <w:pPr>
              <w:pStyle w:val="0"/>
              <w:jc w:val="center"/>
            </w:pPr>
            <w:r>
              <w:rPr>
                <w:sz w:val="20"/>
              </w:rPr>
              <w:t xml:space="preserve">3</w:t>
            </w:r>
          </w:p>
        </w:tc>
        <w:tc>
          <w:tcPr>
            <w:tcW w:w="1218" w:type="dxa"/>
          </w:tcPr>
          <w:p>
            <w:pPr>
              <w:pStyle w:val="0"/>
              <w:jc w:val="center"/>
            </w:pPr>
            <w:r>
              <w:rPr>
                <w:sz w:val="20"/>
              </w:rPr>
              <w:t xml:space="preserve">10</w:t>
            </w:r>
          </w:p>
        </w:tc>
        <w:tc>
          <w:tcPr>
            <w:tcW w:w="1218" w:type="dxa"/>
          </w:tcPr>
          <w:p>
            <w:pPr>
              <w:pStyle w:val="0"/>
              <w:jc w:val="center"/>
            </w:pPr>
            <w:r>
              <w:rPr>
                <w:sz w:val="20"/>
              </w:rPr>
              <w:t xml:space="preserve">8</w:t>
            </w:r>
          </w:p>
        </w:tc>
        <w:tc>
          <w:tcPr>
            <w:tcW w:w="1218" w:type="dxa"/>
          </w:tcPr>
          <w:p>
            <w:pPr>
              <w:pStyle w:val="0"/>
              <w:jc w:val="center"/>
            </w:pPr>
            <w:r>
              <w:rPr>
                <w:sz w:val="20"/>
              </w:rPr>
              <w:t xml:space="preserve">6</w:t>
            </w:r>
          </w:p>
        </w:tc>
        <w:tc>
          <w:tcPr>
            <w:tcW w:w="1219" w:type="dxa"/>
          </w:tcPr>
          <w:p>
            <w:pPr>
              <w:pStyle w:val="0"/>
              <w:jc w:val="center"/>
            </w:pPr>
            <w:r>
              <w:rPr>
                <w:sz w:val="20"/>
              </w:rPr>
              <w:t xml:space="preserve">8</w:t>
            </w:r>
          </w:p>
        </w:tc>
      </w:tr>
      <w:tr>
        <w:tc>
          <w:tcPr>
            <w:gridSpan w:val="6"/>
            <w:tcW w:w="9039" w:type="dxa"/>
          </w:tcPr>
          <w:p>
            <w:pPr>
              <w:pStyle w:val="0"/>
              <w:jc w:val="center"/>
            </w:pPr>
            <w:r>
              <w:rPr>
                <w:sz w:val="20"/>
              </w:rPr>
              <w:t xml:space="preserve">Акушерка ФАП</w:t>
            </w:r>
          </w:p>
        </w:tc>
      </w:tr>
      <w:tr>
        <w:tc>
          <w:tcPr>
            <w:tcW w:w="2948" w:type="dxa"/>
          </w:tcPr>
          <w:p>
            <w:pPr>
              <w:pStyle w:val="0"/>
              <w:jc w:val="both"/>
            </w:pPr>
            <w:r>
              <w:rPr>
                <w:sz w:val="20"/>
              </w:rPr>
              <w:t xml:space="preserve">Штатные</w:t>
            </w:r>
          </w:p>
        </w:tc>
        <w:tc>
          <w:tcPr>
            <w:tcW w:w="1218" w:type="dxa"/>
          </w:tcPr>
          <w:p>
            <w:pPr>
              <w:pStyle w:val="0"/>
              <w:jc w:val="center"/>
            </w:pPr>
            <w:r>
              <w:rPr>
                <w:sz w:val="20"/>
              </w:rPr>
              <w:t xml:space="preserve">2,5</w:t>
            </w:r>
          </w:p>
        </w:tc>
        <w:tc>
          <w:tcPr>
            <w:tcW w:w="1218" w:type="dxa"/>
          </w:tcPr>
          <w:p>
            <w:pPr>
              <w:pStyle w:val="0"/>
              <w:jc w:val="center"/>
            </w:pPr>
            <w:r>
              <w:rPr>
                <w:sz w:val="20"/>
              </w:rPr>
              <w:t xml:space="preserve">2,5</w:t>
            </w:r>
          </w:p>
        </w:tc>
        <w:tc>
          <w:tcPr>
            <w:tcW w:w="1218" w:type="dxa"/>
          </w:tcPr>
          <w:p>
            <w:pPr>
              <w:pStyle w:val="0"/>
              <w:jc w:val="center"/>
            </w:pPr>
            <w:r>
              <w:rPr>
                <w:sz w:val="20"/>
              </w:rPr>
              <w:t xml:space="preserve">0</w:t>
            </w:r>
          </w:p>
        </w:tc>
        <w:tc>
          <w:tcPr>
            <w:tcW w:w="1218" w:type="dxa"/>
          </w:tcPr>
          <w:p>
            <w:pPr>
              <w:pStyle w:val="0"/>
              <w:jc w:val="center"/>
            </w:pPr>
            <w:r>
              <w:rPr>
                <w:sz w:val="20"/>
              </w:rPr>
              <w:t xml:space="preserve">0</w:t>
            </w:r>
          </w:p>
        </w:tc>
        <w:tc>
          <w:tcPr>
            <w:tcW w:w="1219" w:type="dxa"/>
          </w:tcPr>
          <w:p>
            <w:pPr>
              <w:pStyle w:val="0"/>
              <w:jc w:val="center"/>
            </w:pPr>
            <w:r>
              <w:rPr>
                <w:sz w:val="20"/>
              </w:rPr>
              <w:t xml:space="preserve">0,5</w:t>
            </w:r>
          </w:p>
        </w:tc>
      </w:tr>
      <w:tr>
        <w:tc>
          <w:tcPr>
            <w:tcW w:w="2948" w:type="dxa"/>
          </w:tcPr>
          <w:p>
            <w:pPr>
              <w:pStyle w:val="0"/>
              <w:jc w:val="both"/>
            </w:pPr>
            <w:r>
              <w:rPr>
                <w:sz w:val="20"/>
              </w:rPr>
              <w:t xml:space="preserve">Занятые</w:t>
            </w:r>
          </w:p>
        </w:tc>
        <w:tc>
          <w:tcPr>
            <w:tcW w:w="1218" w:type="dxa"/>
          </w:tcPr>
          <w:p>
            <w:pPr>
              <w:pStyle w:val="0"/>
              <w:jc w:val="center"/>
            </w:pPr>
            <w:r>
              <w:rPr>
                <w:sz w:val="20"/>
              </w:rPr>
              <w:t xml:space="preserve">2,5</w:t>
            </w:r>
          </w:p>
        </w:tc>
        <w:tc>
          <w:tcPr>
            <w:tcW w:w="1218" w:type="dxa"/>
          </w:tcPr>
          <w:p>
            <w:pPr>
              <w:pStyle w:val="0"/>
              <w:jc w:val="center"/>
            </w:pPr>
            <w:r>
              <w:rPr>
                <w:sz w:val="20"/>
              </w:rPr>
              <w:t xml:space="preserve">2</w:t>
            </w:r>
          </w:p>
        </w:tc>
        <w:tc>
          <w:tcPr>
            <w:tcW w:w="1218" w:type="dxa"/>
          </w:tcPr>
          <w:p>
            <w:pPr>
              <w:pStyle w:val="0"/>
              <w:jc w:val="center"/>
            </w:pPr>
            <w:r>
              <w:rPr>
                <w:sz w:val="20"/>
              </w:rPr>
              <w:t xml:space="preserve">0</w:t>
            </w:r>
          </w:p>
        </w:tc>
        <w:tc>
          <w:tcPr>
            <w:tcW w:w="1218" w:type="dxa"/>
          </w:tcPr>
          <w:p>
            <w:pPr>
              <w:pStyle w:val="0"/>
              <w:jc w:val="center"/>
            </w:pPr>
            <w:r>
              <w:rPr>
                <w:sz w:val="20"/>
              </w:rPr>
              <w:t xml:space="preserve">0</w:t>
            </w:r>
          </w:p>
        </w:tc>
        <w:tc>
          <w:tcPr>
            <w:tcW w:w="1219" w:type="dxa"/>
          </w:tcPr>
          <w:p>
            <w:pPr>
              <w:pStyle w:val="0"/>
              <w:jc w:val="center"/>
            </w:pPr>
            <w:r>
              <w:rPr>
                <w:sz w:val="20"/>
              </w:rPr>
              <w:t xml:space="preserve">0</w:t>
            </w:r>
          </w:p>
        </w:tc>
      </w:tr>
      <w:tr>
        <w:tc>
          <w:tcPr>
            <w:tcW w:w="2948" w:type="dxa"/>
          </w:tcPr>
          <w:p>
            <w:pPr>
              <w:pStyle w:val="0"/>
              <w:jc w:val="both"/>
            </w:pPr>
            <w:r>
              <w:rPr>
                <w:sz w:val="20"/>
              </w:rPr>
              <w:t xml:space="preserve">Физические лица</w:t>
            </w:r>
          </w:p>
        </w:tc>
        <w:tc>
          <w:tcPr>
            <w:tcW w:w="1218" w:type="dxa"/>
          </w:tcPr>
          <w:p>
            <w:pPr>
              <w:pStyle w:val="0"/>
              <w:jc w:val="center"/>
            </w:pPr>
            <w:r>
              <w:rPr>
                <w:sz w:val="20"/>
              </w:rPr>
              <w:t xml:space="preserve">3</w:t>
            </w:r>
          </w:p>
        </w:tc>
        <w:tc>
          <w:tcPr>
            <w:tcW w:w="1218" w:type="dxa"/>
          </w:tcPr>
          <w:p>
            <w:pPr>
              <w:pStyle w:val="0"/>
              <w:jc w:val="center"/>
            </w:pPr>
            <w:r>
              <w:rPr>
                <w:sz w:val="20"/>
              </w:rPr>
              <w:t xml:space="preserve">2</w:t>
            </w:r>
          </w:p>
        </w:tc>
        <w:tc>
          <w:tcPr>
            <w:tcW w:w="1218" w:type="dxa"/>
          </w:tcPr>
          <w:p>
            <w:pPr>
              <w:pStyle w:val="0"/>
              <w:jc w:val="center"/>
            </w:pPr>
            <w:r>
              <w:rPr>
                <w:sz w:val="20"/>
              </w:rPr>
              <w:t xml:space="preserve">0</w:t>
            </w:r>
          </w:p>
        </w:tc>
        <w:tc>
          <w:tcPr>
            <w:tcW w:w="1218" w:type="dxa"/>
          </w:tcPr>
          <w:p>
            <w:pPr>
              <w:pStyle w:val="0"/>
              <w:jc w:val="center"/>
            </w:pPr>
            <w:r>
              <w:rPr>
                <w:sz w:val="20"/>
              </w:rPr>
              <w:t xml:space="preserve">0</w:t>
            </w:r>
          </w:p>
        </w:tc>
        <w:tc>
          <w:tcPr>
            <w:tcW w:w="1219" w:type="dxa"/>
          </w:tcPr>
          <w:p>
            <w:pPr>
              <w:pStyle w:val="0"/>
              <w:jc w:val="center"/>
            </w:pPr>
            <w:r>
              <w:rPr>
                <w:sz w:val="20"/>
              </w:rPr>
              <w:t xml:space="preserve">0</w:t>
            </w:r>
          </w:p>
        </w:tc>
      </w:tr>
      <w:tr>
        <w:tc>
          <w:tcPr>
            <w:gridSpan w:val="6"/>
            <w:tcW w:w="9039" w:type="dxa"/>
          </w:tcPr>
          <w:p>
            <w:pPr>
              <w:pStyle w:val="0"/>
              <w:jc w:val="center"/>
            </w:pPr>
            <w:r>
              <w:rPr>
                <w:sz w:val="20"/>
              </w:rPr>
              <w:t xml:space="preserve">Медицинская сестра ФАП</w:t>
            </w:r>
          </w:p>
        </w:tc>
      </w:tr>
      <w:tr>
        <w:tc>
          <w:tcPr>
            <w:tcW w:w="2948" w:type="dxa"/>
          </w:tcPr>
          <w:p>
            <w:pPr>
              <w:pStyle w:val="0"/>
              <w:jc w:val="both"/>
            </w:pPr>
            <w:r>
              <w:rPr>
                <w:sz w:val="20"/>
              </w:rPr>
              <w:t xml:space="preserve">Штатные</w:t>
            </w:r>
          </w:p>
        </w:tc>
        <w:tc>
          <w:tcPr>
            <w:tcW w:w="1218" w:type="dxa"/>
          </w:tcPr>
          <w:p>
            <w:pPr>
              <w:pStyle w:val="0"/>
              <w:jc w:val="center"/>
            </w:pPr>
            <w:r>
              <w:rPr>
                <w:sz w:val="20"/>
              </w:rPr>
              <w:t xml:space="preserve">15</w:t>
            </w:r>
          </w:p>
        </w:tc>
        <w:tc>
          <w:tcPr>
            <w:tcW w:w="1218" w:type="dxa"/>
          </w:tcPr>
          <w:p>
            <w:pPr>
              <w:pStyle w:val="0"/>
              <w:jc w:val="center"/>
            </w:pPr>
            <w:r>
              <w:rPr>
                <w:sz w:val="20"/>
              </w:rPr>
              <w:t xml:space="preserve">7,75</w:t>
            </w:r>
          </w:p>
        </w:tc>
        <w:tc>
          <w:tcPr>
            <w:tcW w:w="1218" w:type="dxa"/>
          </w:tcPr>
          <w:p>
            <w:pPr>
              <w:pStyle w:val="0"/>
              <w:jc w:val="center"/>
            </w:pPr>
            <w:r>
              <w:rPr>
                <w:sz w:val="20"/>
              </w:rPr>
              <w:t xml:space="preserve">5</w:t>
            </w:r>
          </w:p>
        </w:tc>
        <w:tc>
          <w:tcPr>
            <w:tcW w:w="1218" w:type="dxa"/>
          </w:tcPr>
          <w:p>
            <w:pPr>
              <w:pStyle w:val="0"/>
              <w:jc w:val="center"/>
            </w:pPr>
            <w:r>
              <w:rPr>
                <w:sz w:val="20"/>
              </w:rPr>
              <w:t xml:space="preserve">2</w:t>
            </w:r>
          </w:p>
        </w:tc>
        <w:tc>
          <w:tcPr>
            <w:tcW w:w="1219" w:type="dxa"/>
          </w:tcPr>
          <w:p>
            <w:pPr>
              <w:pStyle w:val="0"/>
              <w:jc w:val="center"/>
            </w:pPr>
            <w:r>
              <w:rPr>
                <w:sz w:val="20"/>
              </w:rPr>
              <w:t xml:space="preserve">2</w:t>
            </w:r>
          </w:p>
        </w:tc>
      </w:tr>
      <w:tr>
        <w:tc>
          <w:tcPr>
            <w:tcW w:w="2948" w:type="dxa"/>
          </w:tcPr>
          <w:p>
            <w:pPr>
              <w:pStyle w:val="0"/>
              <w:jc w:val="both"/>
            </w:pPr>
            <w:r>
              <w:rPr>
                <w:sz w:val="20"/>
              </w:rPr>
              <w:t xml:space="preserve">Занятые</w:t>
            </w:r>
          </w:p>
        </w:tc>
        <w:tc>
          <w:tcPr>
            <w:tcW w:w="1218" w:type="dxa"/>
          </w:tcPr>
          <w:p>
            <w:pPr>
              <w:pStyle w:val="0"/>
              <w:jc w:val="center"/>
            </w:pPr>
            <w:r>
              <w:rPr>
                <w:sz w:val="20"/>
              </w:rPr>
              <w:t xml:space="preserve">14</w:t>
            </w:r>
          </w:p>
        </w:tc>
        <w:tc>
          <w:tcPr>
            <w:tcW w:w="1218" w:type="dxa"/>
          </w:tcPr>
          <w:p>
            <w:pPr>
              <w:pStyle w:val="0"/>
              <w:jc w:val="center"/>
            </w:pPr>
            <w:r>
              <w:rPr>
                <w:sz w:val="20"/>
              </w:rPr>
              <w:t xml:space="preserve">4,25</w:t>
            </w:r>
          </w:p>
        </w:tc>
        <w:tc>
          <w:tcPr>
            <w:tcW w:w="1218" w:type="dxa"/>
          </w:tcPr>
          <w:p>
            <w:pPr>
              <w:pStyle w:val="0"/>
              <w:jc w:val="center"/>
            </w:pPr>
            <w:r>
              <w:rPr>
                <w:sz w:val="20"/>
              </w:rPr>
              <w:t xml:space="preserve">4</w:t>
            </w:r>
          </w:p>
        </w:tc>
        <w:tc>
          <w:tcPr>
            <w:tcW w:w="1218" w:type="dxa"/>
          </w:tcPr>
          <w:p>
            <w:pPr>
              <w:pStyle w:val="0"/>
              <w:jc w:val="center"/>
            </w:pPr>
            <w:r>
              <w:rPr>
                <w:sz w:val="20"/>
              </w:rPr>
              <w:t xml:space="preserve">1,75</w:t>
            </w:r>
          </w:p>
        </w:tc>
        <w:tc>
          <w:tcPr>
            <w:tcW w:w="1219" w:type="dxa"/>
          </w:tcPr>
          <w:p>
            <w:pPr>
              <w:pStyle w:val="0"/>
              <w:jc w:val="center"/>
            </w:pPr>
            <w:r>
              <w:rPr>
                <w:sz w:val="20"/>
              </w:rPr>
              <w:t xml:space="preserve">1</w:t>
            </w:r>
          </w:p>
        </w:tc>
      </w:tr>
      <w:tr>
        <w:tc>
          <w:tcPr>
            <w:tcW w:w="2948" w:type="dxa"/>
          </w:tcPr>
          <w:p>
            <w:pPr>
              <w:pStyle w:val="0"/>
              <w:jc w:val="both"/>
            </w:pPr>
            <w:r>
              <w:rPr>
                <w:sz w:val="20"/>
              </w:rPr>
              <w:t xml:space="preserve">Физические лица</w:t>
            </w:r>
          </w:p>
        </w:tc>
        <w:tc>
          <w:tcPr>
            <w:tcW w:w="1218" w:type="dxa"/>
          </w:tcPr>
          <w:p>
            <w:pPr>
              <w:pStyle w:val="0"/>
              <w:jc w:val="center"/>
            </w:pPr>
            <w:r>
              <w:rPr>
                <w:sz w:val="20"/>
              </w:rPr>
              <w:t xml:space="preserve">11</w:t>
            </w:r>
          </w:p>
        </w:tc>
        <w:tc>
          <w:tcPr>
            <w:tcW w:w="1218" w:type="dxa"/>
          </w:tcPr>
          <w:p>
            <w:pPr>
              <w:pStyle w:val="0"/>
              <w:jc w:val="center"/>
            </w:pPr>
            <w:r>
              <w:rPr>
                <w:sz w:val="20"/>
              </w:rPr>
              <w:t xml:space="preserve">4</w:t>
            </w:r>
          </w:p>
        </w:tc>
        <w:tc>
          <w:tcPr>
            <w:tcW w:w="1218" w:type="dxa"/>
          </w:tcPr>
          <w:p>
            <w:pPr>
              <w:pStyle w:val="0"/>
              <w:jc w:val="center"/>
            </w:pPr>
            <w:r>
              <w:rPr>
                <w:sz w:val="20"/>
              </w:rPr>
              <w:t xml:space="preserve">4</w:t>
            </w:r>
          </w:p>
        </w:tc>
        <w:tc>
          <w:tcPr>
            <w:tcW w:w="1218" w:type="dxa"/>
          </w:tcPr>
          <w:p>
            <w:pPr>
              <w:pStyle w:val="0"/>
              <w:jc w:val="center"/>
            </w:pPr>
            <w:r>
              <w:rPr>
                <w:sz w:val="20"/>
              </w:rPr>
              <w:t xml:space="preserve">2</w:t>
            </w:r>
          </w:p>
        </w:tc>
        <w:tc>
          <w:tcPr>
            <w:tcW w:w="1219" w:type="dxa"/>
          </w:tcPr>
          <w:p>
            <w:pPr>
              <w:pStyle w:val="0"/>
              <w:jc w:val="center"/>
            </w:pPr>
            <w:r>
              <w:rPr>
                <w:sz w:val="20"/>
              </w:rPr>
              <w:t xml:space="preserve">1</w:t>
            </w:r>
          </w:p>
        </w:tc>
      </w:tr>
    </w:tbl>
    <w:p>
      <w:pPr>
        <w:pStyle w:val="0"/>
        <w:jc w:val="center"/>
      </w:pPr>
      <w:r>
        <w:rPr>
          <w:sz w:val="20"/>
        </w:rPr>
      </w:r>
    </w:p>
    <w:p>
      <w:pPr>
        <w:pStyle w:val="0"/>
        <w:jc w:val="right"/>
      </w:pPr>
      <w:r>
        <w:rPr>
          <w:sz w:val="20"/>
        </w:rPr>
        <w:t xml:space="preserve">Таблица 10</w:t>
      </w:r>
    </w:p>
    <w:p>
      <w:pPr>
        <w:pStyle w:val="0"/>
        <w:jc w:val="right"/>
      </w:pPr>
      <w:r>
        <w:rPr>
          <w:sz w:val="20"/>
        </w:rPr>
      </w:r>
    </w:p>
    <w:p>
      <w:pPr>
        <w:pStyle w:val="0"/>
        <w:jc w:val="center"/>
      </w:pPr>
      <w:r>
        <w:rPr>
          <w:sz w:val="20"/>
        </w:rPr>
        <w:t xml:space="preserve">Оценка уровня обеспеченности населения врачами</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304"/>
        <w:gridCol w:w="1276"/>
        <w:gridCol w:w="1191"/>
        <w:gridCol w:w="1304"/>
        <w:gridCol w:w="1304"/>
        <w:gridCol w:w="1191"/>
        <w:gridCol w:w="1304"/>
        <w:gridCol w:w="1304"/>
        <w:gridCol w:w="1191"/>
      </w:tblGrid>
      <w:tr>
        <w:tc>
          <w:tcPr>
            <w:tcW w:w="2211" w:type="dxa"/>
            <w:vMerge w:val="restart"/>
          </w:tcPr>
          <w:p>
            <w:pPr>
              <w:pStyle w:val="0"/>
              <w:jc w:val="center"/>
            </w:pPr>
            <w:r>
              <w:rPr>
                <w:sz w:val="20"/>
              </w:rPr>
              <w:t xml:space="preserve">Наименование муниципального района</w:t>
            </w:r>
          </w:p>
        </w:tc>
        <w:tc>
          <w:tcPr>
            <w:gridSpan w:val="3"/>
            <w:tcW w:w="3771" w:type="dxa"/>
          </w:tcPr>
          <w:p>
            <w:pPr>
              <w:pStyle w:val="0"/>
              <w:jc w:val="center"/>
            </w:pPr>
            <w:r>
              <w:rPr>
                <w:sz w:val="20"/>
              </w:rPr>
              <w:t xml:space="preserve">Врачи, всего</w:t>
            </w:r>
          </w:p>
        </w:tc>
        <w:tc>
          <w:tcPr>
            <w:gridSpan w:val="3"/>
            <w:tcW w:w="3799" w:type="dxa"/>
          </w:tcPr>
          <w:p>
            <w:pPr>
              <w:pStyle w:val="0"/>
              <w:jc w:val="center"/>
            </w:pPr>
            <w:r>
              <w:rPr>
                <w:sz w:val="20"/>
              </w:rPr>
              <w:t xml:space="preserve">Врачи, оказывающие медицинскую помощь в амбулаторных условиях</w:t>
            </w:r>
          </w:p>
        </w:tc>
        <w:tc>
          <w:tcPr>
            <w:gridSpan w:val="3"/>
            <w:tcW w:w="3799" w:type="dxa"/>
          </w:tcPr>
          <w:p>
            <w:pPr>
              <w:pStyle w:val="0"/>
              <w:jc w:val="center"/>
            </w:pPr>
            <w:r>
              <w:rPr>
                <w:sz w:val="20"/>
              </w:rPr>
              <w:t xml:space="preserve">Врачи-терапевты участковые, врачи-педиатры участковые, врачи общей практики (семейные врачи)</w:t>
            </w:r>
          </w:p>
        </w:tc>
      </w:tr>
      <w:tr>
        <w:tc>
          <w:tcPr>
            <w:vMerge w:val="continue"/>
          </w:tcPr>
          <w:p/>
        </w:tc>
        <w:tc>
          <w:tcPr>
            <w:tcW w:w="1304" w:type="dxa"/>
          </w:tcPr>
          <w:p>
            <w:pPr>
              <w:pStyle w:val="0"/>
              <w:jc w:val="center"/>
            </w:pPr>
            <w:r>
              <w:rPr>
                <w:sz w:val="20"/>
              </w:rPr>
              <w:t xml:space="preserve">Обеспеченность на 10 тысяч населения</w:t>
            </w:r>
          </w:p>
        </w:tc>
        <w:tc>
          <w:tcPr>
            <w:tcW w:w="1276"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c>
          <w:tcPr>
            <w:tcW w:w="1304" w:type="dxa"/>
          </w:tcPr>
          <w:p>
            <w:pPr>
              <w:pStyle w:val="0"/>
              <w:jc w:val="center"/>
            </w:pPr>
            <w:r>
              <w:rPr>
                <w:sz w:val="20"/>
              </w:rPr>
              <w:t xml:space="preserve">Обеспеченность на 10 тысяч населения</w:t>
            </w:r>
          </w:p>
        </w:tc>
        <w:tc>
          <w:tcPr>
            <w:tcW w:w="1304"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c>
          <w:tcPr>
            <w:tcW w:w="1304" w:type="dxa"/>
          </w:tcPr>
          <w:p>
            <w:pPr>
              <w:pStyle w:val="0"/>
              <w:jc w:val="center"/>
            </w:pPr>
            <w:r>
              <w:rPr>
                <w:sz w:val="20"/>
              </w:rPr>
              <w:t xml:space="preserve">Обеспеченность на 10 тысяч населения</w:t>
            </w:r>
          </w:p>
        </w:tc>
        <w:tc>
          <w:tcPr>
            <w:tcW w:w="1304"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r>
      <w:tr>
        <w:tc>
          <w:tcPr>
            <w:tcW w:w="2211" w:type="dxa"/>
          </w:tcPr>
          <w:p>
            <w:pPr>
              <w:pStyle w:val="0"/>
              <w:jc w:val="both"/>
            </w:pPr>
            <w:r>
              <w:rPr>
                <w:sz w:val="20"/>
              </w:rPr>
              <w:t xml:space="preserve">г. Севастополь</w:t>
            </w:r>
          </w:p>
        </w:tc>
        <w:tc>
          <w:tcPr>
            <w:tcW w:w="1304" w:type="dxa"/>
          </w:tcPr>
          <w:p>
            <w:pPr>
              <w:pStyle w:val="0"/>
              <w:jc w:val="center"/>
            </w:pPr>
            <w:r>
              <w:rPr>
                <w:sz w:val="20"/>
              </w:rPr>
              <w:t xml:space="preserve">33,89</w:t>
            </w:r>
          </w:p>
        </w:tc>
        <w:tc>
          <w:tcPr>
            <w:tcW w:w="1276" w:type="dxa"/>
          </w:tcPr>
          <w:p>
            <w:pPr>
              <w:pStyle w:val="0"/>
              <w:jc w:val="center"/>
            </w:pPr>
            <w:r>
              <w:rPr>
                <w:sz w:val="20"/>
              </w:rPr>
              <w:t xml:space="preserve">77,0</w:t>
            </w:r>
          </w:p>
        </w:tc>
        <w:tc>
          <w:tcPr>
            <w:tcW w:w="1191" w:type="dxa"/>
          </w:tcPr>
          <w:p>
            <w:pPr>
              <w:pStyle w:val="0"/>
              <w:jc w:val="center"/>
            </w:pPr>
            <w:r>
              <w:rPr>
                <w:sz w:val="20"/>
              </w:rPr>
              <w:t xml:space="preserve">1,24</w:t>
            </w:r>
          </w:p>
        </w:tc>
        <w:tc>
          <w:tcPr>
            <w:tcW w:w="1304" w:type="dxa"/>
          </w:tcPr>
          <w:p>
            <w:pPr>
              <w:pStyle w:val="0"/>
              <w:jc w:val="center"/>
            </w:pPr>
            <w:r>
              <w:rPr>
                <w:sz w:val="20"/>
              </w:rPr>
              <w:t xml:space="preserve">15,91</w:t>
            </w:r>
          </w:p>
        </w:tc>
        <w:tc>
          <w:tcPr>
            <w:tcW w:w="1304" w:type="dxa"/>
          </w:tcPr>
          <w:p>
            <w:pPr>
              <w:pStyle w:val="0"/>
              <w:jc w:val="center"/>
            </w:pPr>
            <w:r>
              <w:rPr>
                <w:sz w:val="20"/>
              </w:rPr>
              <w:t xml:space="preserve">76,08</w:t>
            </w:r>
          </w:p>
        </w:tc>
        <w:tc>
          <w:tcPr>
            <w:tcW w:w="1191" w:type="dxa"/>
          </w:tcPr>
          <w:p>
            <w:pPr>
              <w:pStyle w:val="0"/>
              <w:jc w:val="center"/>
            </w:pPr>
            <w:r>
              <w:rPr>
                <w:sz w:val="20"/>
              </w:rPr>
              <w:t xml:space="preserve">1,19</w:t>
            </w:r>
          </w:p>
        </w:tc>
        <w:tc>
          <w:tcPr>
            <w:tcW w:w="1304" w:type="dxa"/>
          </w:tcPr>
          <w:p>
            <w:pPr>
              <w:pStyle w:val="0"/>
              <w:jc w:val="center"/>
            </w:pPr>
            <w:r>
              <w:rPr>
                <w:sz w:val="20"/>
              </w:rPr>
              <w:t xml:space="preserve">3,9</w:t>
            </w:r>
          </w:p>
        </w:tc>
        <w:tc>
          <w:tcPr>
            <w:tcW w:w="1304" w:type="dxa"/>
          </w:tcPr>
          <w:p>
            <w:pPr>
              <w:pStyle w:val="0"/>
              <w:jc w:val="center"/>
            </w:pPr>
            <w:r>
              <w:rPr>
                <w:sz w:val="20"/>
              </w:rPr>
              <w:t xml:space="preserve">78,87</w:t>
            </w:r>
          </w:p>
        </w:tc>
        <w:tc>
          <w:tcPr>
            <w:tcW w:w="1191" w:type="dxa"/>
          </w:tcPr>
          <w:p>
            <w:pPr>
              <w:pStyle w:val="0"/>
              <w:jc w:val="center"/>
            </w:pPr>
            <w:r>
              <w:rPr>
                <w:sz w:val="20"/>
              </w:rPr>
              <w:t xml:space="preserve">1,21</w:t>
            </w:r>
          </w:p>
        </w:tc>
      </w:tr>
    </w:tbl>
    <w:p>
      <w:pPr>
        <w:pStyle w:val="0"/>
      </w:pPr>
      <w:r>
        <w:rPr>
          <w:sz w:val="20"/>
        </w:rPr>
      </w:r>
    </w:p>
    <w:p>
      <w:pPr>
        <w:pStyle w:val="0"/>
        <w:jc w:val="right"/>
      </w:pPr>
      <w:r>
        <w:rPr>
          <w:sz w:val="20"/>
        </w:rPr>
        <w:t xml:space="preserve">Таблица 11</w:t>
      </w:r>
    </w:p>
    <w:p>
      <w:pPr>
        <w:pStyle w:val="0"/>
      </w:pPr>
      <w:r>
        <w:rPr>
          <w:sz w:val="20"/>
        </w:rPr>
      </w:r>
    </w:p>
    <w:p>
      <w:pPr>
        <w:pStyle w:val="0"/>
        <w:jc w:val="center"/>
      </w:pPr>
      <w:r>
        <w:rPr>
          <w:sz w:val="20"/>
        </w:rPr>
        <w:t xml:space="preserve">Сравнительная характеристика врачебных кадров</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304"/>
        <w:gridCol w:w="1276"/>
        <w:gridCol w:w="1191"/>
        <w:gridCol w:w="1304"/>
        <w:gridCol w:w="1304"/>
        <w:gridCol w:w="1191"/>
        <w:gridCol w:w="1304"/>
        <w:gridCol w:w="1304"/>
        <w:gridCol w:w="1191"/>
        <w:gridCol w:w="1644"/>
      </w:tblGrid>
      <w:tr>
        <w:tc>
          <w:tcPr>
            <w:tcW w:w="2211" w:type="dxa"/>
            <w:vMerge w:val="restart"/>
          </w:tcPr>
          <w:p>
            <w:pPr>
              <w:pStyle w:val="0"/>
              <w:jc w:val="center"/>
            </w:pPr>
            <w:r>
              <w:rPr>
                <w:sz w:val="20"/>
              </w:rPr>
              <w:t xml:space="preserve">Наименование муниципального района</w:t>
            </w:r>
          </w:p>
        </w:tc>
        <w:tc>
          <w:tcPr>
            <w:gridSpan w:val="3"/>
            <w:tcW w:w="3771" w:type="dxa"/>
          </w:tcPr>
          <w:p>
            <w:pPr>
              <w:pStyle w:val="0"/>
              <w:jc w:val="center"/>
            </w:pPr>
            <w:r>
              <w:rPr>
                <w:sz w:val="20"/>
              </w:rPr>
              <w:t xml:space="preserve">Врачи, всего</w:t>
            </w:r>
          </w:p>
        </w:tc>
        <w:tc>
          <w:tcPr>
            <w:gridSpan w:val="3"/>
            <w:tcW w:w="3799" w:type="dxa"/>
          </w:tcPr>
          <w:p>
            <w:pPr>
              <w:pStyle w:val="0"/>
              <w:jc w:val="center"/>
            </w:pPr>
            <w:r>
              <w:rPr>
                <w:sz w:val="20"/>
              </w:rPr>
              <w:t xml:space="preserve">Врачи, оказывающие медицинскую помощь в амбулаторных условиях</w:t>
            </w:r>
          </w:p>
        </w:tc>
        <w:tc>
          <w:tcPr>
            <w:gridSpan w:val="3"/>
            <w:tcW w:w="3799" w:type="dxa"/>
          </w:tcPr>
          <w:p>
            <w:pPr>
              <w:pStyle w:val="0"/>
              <w:jc w:val="center"/>
            </w:pPr>
            <w:r>
              <w:rPr>
                <w:sz w:val="20"/>
              </w:rPr>
              <w:t xml:space="preserve">Врачи-терапевты участковые, врачи-педиатры участковые, врачи общей практики (семейные врачи)</w:t>
            </w:r>
          </w:p>
        </w:tc>
        <w:tc>
          <w:tcPr>
            <w:tcW w:w="1644" w:type="dxa"/>
            <w:vMerge w:val="restart"/>
          </w:tcPr>
          <w:p>
            <w:pPr>
              <w:pStyle w:val="0"/>
              <w:jc w:val="center"/>
            </w:pPr>
            <w:r>
              <w:rPr>
                <w:sz w:val="20"/>
              </w:rPr>
              <w:t xml:space="preserve">Суммарный коэффициент обеспеченности врачами (КОВ)</w:t>
            </w:r>
          </w:p>
        </w:tc>
      </w:tr>
      <w:tr>
        <w:tc>
          <w:tcPr>
            <w:vMerge w:val="continue"/>
          </w:tcPr>
          <w:p/>
        </w:tc>
        <w:tc>
          <w:tcPr>
            <w:tcW w:w="1304" w:type="dxa"/>
          </w:tcPr>
          <w:p>
            <w:pPr>
              <w:pStyle w:val="0"/>
              <w:jc w:val="center"/>
            </w:pPr>
            <w:r>
              <w:rPr>
                <w:sz w:val="20"/>
              </w:rPr>
              <w:t xml:space="preserve">Обеспеченность на 10 тысяч населения</w:t>
            </w:r>
          </w:p>
        </w:tc>
        <w:tc>
          <w:tcPr>
            <w:tcW w:w="1276"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c>
          <w:tcPr>
            <w:tcW w:w="1304" w:type="dxa"/>
          </w:tcPr>
          <w:p>
            <w:pPr>
              <w:pStyle w:val="0"/>
              <w:jc w:val="center"/>
            </w:pPr>
            <w:r>
              <w:rPr>
                <w:sz w:val="20"/>
              </w:rPr>
              <w:t xml:space="preserve">Обеспеченность на 10 тысяч населения</w:t>
            </w:r>
          </w:p>
        </w:tc>
        <w:tc>
          <w:tcPr>
            <w:tcW w:w="1304"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c>
          <w:tcPr>
            <w:tcW w:w="1304" w:type="dxa"/>
          </w:tcPr>
          <w:p>
            <w:pPr>
              <w:pStyle w:val="0"/>
              <w:jc w:val="center"/>
            </w:pPr>
            <w:r>
              <w:rPr>
                <w:sz w:val="20"/>
              </w:rPr>
              <w:t xml:space="preserve">Обеспеченность на 10 тысяч населения</w:t>
            </w:r>
          </w:p>
        </w:tc>
        <w:tc>
          <w:tcPr>
            <w:tcW w:w="1304"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c>
          <w:tcPr>
            <w:vMerge w:val="continue"/>
          </w:tcPr>
          <w:p/>
        </w:tc>
      </w:tr>
      <w:tr>
        <w:tc>
          <w:tcPr>
            <w:tcW w:w="2211" w:type="dxa"/>
          </w:tcPr>
          <w:p>
            <w:pPr>
              <w:pStyle w:val="0"/>
              <w:jc w:val="both"/>
            </w:pPr>
            <w:r>
              <w:rPr>
                <w:sz w:val="20"/>
              </w:rPr>
              <w:t xml:space="preserve">г. Севастополь</w:t>
            </w:r>
          </w:p>
        </w:tc>
        <w:tc>
          <w:tcPr>
            <w:tcW w:w="1304" w:type="dxa"/>
          </w:tcPr>
          <w:p>
            <w:pPr>
              <w:pStyle w:val="0"/>
              <w:jc w:val="center"/>
            </w:pPr>
            <w:r>
              <w:rPr>
                <w:sz w:val="20"/>
              </w:rPr>
              <w:t xml:space="preserve">33,89</w:t>
            </w:r>
          </w:p>
        </w:tc>
        <w:tc>
          <w:tcPr>
            <w:tcW w:w="1276" w:type="dxa"/>
          </w:tcPr>
          <w:p>
            <w:pPr>
              <w:pStyle w:val="0"/>
              <w:jc w:val="center"/>
            </w:pPr>
            <w:r>
              <w:rPr>
                <w:sz w:val="20"/>
              </w:rPr>
              <w:t xml:space="preserve">77,0</w:t>
            </w:r>
          </w:p>
        </w:tc>
        <w:tc>
          <w:tcPr>
            <w:tcW w:w="1191" w:type="dxa"/>
          </w:tcPr>
          <w:p>
            <w:pPr>
              <w:pStyle w:val="0"/>
              <w:jc w:val="center"/>
            </w:pPr>
            <w:r>
              <w:rPr>
                <w:sz w:val="20"/>
              </w:rPr>
              <w:t xml:space="preserve">1,24</w:t>
            </w:r>
          </w:p>
        </w:tc>
        <w:tc>
          <w:tcPr>
            <w:tcW w:w="1304" w:type="dxa"/>
          </w:tcPr>
          <w:p>
            <w:pPr>
              <w:pStyle w:val="0"/>
              <w:jc w:val="center"/>
            </w:pPr>
            <w:r>
              <w:rPr>
                <w:sz w:val="20"/>
              </w:rPr>
              <w:t xml:space="preserve">15,91</w:t>
            </w:r>
          </w:p>
        </w:tc>
        <w:tc>
          <w:tcPr>
            <w:tcW w:w="1304" w:type="dxa"/>
          </w:tcPr>
          <w:p>
            <w:pPr>
              <w:pStyle w:val="0"/>
              <w:jc w:val="center"/>
            </w:pPr>
            <w:r>
              <w:rPr>
                <w:sz w:val="20"/>
              </w:rPr>
              <w:t xml:space="preserve">76,08</w:t>
            </w:r>
          </w:p>
        </w:tc>
        <w:tc>
          <w:tcPr>
            <w:tcW w:w="1191" w:type="dxa"/>
          </w:tcPr>
          <w:p>
            <w:pPr>
              <w:pStyle w:val="0"/>
              <w:jc w:val="center"/>
            </w:pPr>
            <w:r>
              <w:rPr>
                <w:sz w:val="20"/>
              </w:rPr>
              <w:t xml:space="preserve">1,19</w:t>
            </w:r>
          </w:p>
        </w:tc>
        <w:tc>
          <w:tcPr>
            <w:tcW w:w="1304" w:type="dxa"/>
          </w:tcPr>
          <w:p>
            <w:pPr>
              <w:pStyle w:val="0"/>
              <w:jc w:val="center"/>
            </w:pPr>
            <w:r>
              <w:rPr>
                <w:sz w:val="20"/>
              </w:rPr>
              <w:t xml:space="preserve">3,9</w:t>
            </w:r>
          </w:p>
        </w:tc>
        <w:tc>
          <w:tcPr>
            <w:tcW w:w="1304" w:type="dxa"/>
          </w:tcPr>
          <w:p>
            <w:pPr>
              <w:pStyle w:val="0"/>
              <w:jc w:val="center"/>
            </w:pPr>
            <w:r>
              <w:rPr>
                <w:sz w:val="20"/>
              </w:rPr>
              <w:t xml:space="preserve">78,87</w:t>
            </w:r>
          </w:p>
        </w:tc>
        <w:tc>
          <w:tcPr>
            <w:tcW w:w="1191" w:type="dxa"/>
          </w:tcPr>
          <w:p>
            <w:pPr>
              <w:pStyle w:val="0"/>
              <w:jc w:val="center"/>
            </w:pPr>
            <w:r>
              <w:rPr>
                <w:sz w:val="20"/>
              </w:rPr>
              <w:t xml:space="preserve">1,21</w:t>
            </w:r>
          </w:p>
        </w:tc>
        <w:tc>
          <w:tcPr>
            <w:tcW w:w="1644" w:type="dxa"/>
          </w:tcPr>
          <w:p>
            <w:pPr>
              <w:pStyle w:val="0"/>
              <w:jc w:val="center"/>
            </w:pPr>
            <w:r>
              <w:rPr>
                <w:sz w:val="20"/>
              </w:rPr>
              <w:t xml:space="preserve">32,14</w:t>
            </w:r>
          </w:p>
        </w:tc>
      </w:tr>
    </w:tbl>
    <w:p>
      <w:pPr>
        <w:pStyle w:val="0"/>
      </w:pPr>
      <w:r>
        <w:rPr>
          <w:sz w:val="20"/>
        </w:rPr>
      </w:r>
    </w:p>
    <w:p>
      <w:pPr>
        <w:pStyle w:val="0"/>
        <w:jc w:val="right"/>
      </w:pPr>
      <w:r>
        <w:rPr>
          <w:sz w:val="20"/>
        </w:rPr>
        <w:t xml:space="preserve">Таблица 12</w:t>
      </w:r>
    </w:p>
    <w:p>
      <w:pPr>
        <w:pStyle w:val="0"/>
      </w:pPr>
      <w:r>
        <w:rPr>
          <w:sz w:val="20"/>
        </w:rPr>
      </w:r>
    </w:p>
    <w:p>
      <w:pPr>
        <w:pStyle w:val="0"/>
        <w:jc w:val="center"/>
      </w:pPr>
      <w:r>
        <w:rPr>
          <w:sz w:val="20"/>
        </w:rPr>
        <w:t xml:space="preserve">Распределение по коэффициенту обеспеченности медицинскими</w:t>
      </w:r>
    </w:p>
    <w:p>
      <w:pPr>
        <w:pStyle w:val="0"/>
        <w:jc w:val="center"/>
      </w:pPr>
      <w:r>
        <w:rPr>
          <w:sz w:val="20"/>
        </w:rPr>
        <w:t xml:space="preserve">кадрами, врачи (КОВ), 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16"/>
        <w:gridCol w:w="2716"/>
        <w:gridCol w:w="2716"/>
        <w:gridCol w:w="2716"/>
        <w:gridCol w:w="2719"/>
      </w:tblGrid>
      <w:tr>
        <w:tc>
          <w:tcPr>
            <w:tcW w:w="2716" w:type="dxa"/>
          </w:tcPr>
          <w:p>
            <w:pPr>
              <w:pStyle w:val="0"/>
              <w:jc w:val="center"/>
            </w:pPr>
            <w:r>
              <w:rPr>
                <w:sz w:val="20"/>
              </w:rPr>
              <w:t xml:space="preserve">I группа</w:t>
            </w:r>
          </w:p>
        </w:tc>
        <w:tc>
          <w:tcPr>
            <w:tcW w:w="2716" w:type="dxa"/>
          </w:tcPr>
          <w:p>
            <w:pPr>
              <w:pStyle w:val="0"/>
              <w:jc w:val="center"/>
            </w:pPr>
            <w:r>
              <w:rPr>
                <w:sz w:val="20"/>
              </w:rPr>
              <w:t xml:space="preserve">II группа</w:t>
            </w:r>
          </w:p>
        </w:tc>
        <w:tc>
          <w:tcPr>
            <w:tcW w:w="2716" w:type="dxa"/>
          </w:tcPr>
          <w:p>
            <w:pPr>
              <w:pStyle w:val="0"/>
              <w:jc w:val="center"/>
            </w:pPr>
            <w:r>
              <w:rPr>
                <w:sz w:val="20"/>
              </w:rPr>
              <w:t xml:space="preserve">III группа</w:t>
            </w:r>
          </w:p>
        </w:tc>
        <w:tc>
          <w:tcPr>
            <w:tcW w:w="2716" w:type="dxa"/>
          </w:tcPr>
          <w:p>
            <w:pPr>
              <w:pStyle w:val="0"/>
              <w:jc w:val="center"/>
            </w:pPr>
            <w:r>
              <w:rPr>
                <w:sz w:val="20"/>
              </w:rPr>
              <w:t xml:space="preserve">IV группа</w:t>
            </w:r>
          </w:p>
        </w:tc>
        <w:tc>
          <w:tcPr>
            <w:tcW w:w="2719" w:type="dxa"/>
          </w:tcPr>
          <w:p>
            <w:pPr>
              <w:pStyle w:val="0"/>
              <w:jc w:val="center"/>
            </w:pPr>
            <w:r>
              <w:rPr>
                <w:sz w:val="20"/>
              </w:rPr>
              <w:t xml:space="preserve">V группа</w:t>
            </w:r>
          </w:p>
        </w:tc>
      </w:tr>
      <w:tr>
        <w:tc>
          <w:tcPr>
            <w:tcW w:w="2716" w:type="dxa"/>
          </w:tcPr>
          <w:p>
            <w:pPr>
              <w:pStyle w:val="0"/>
              <w:jc w:val="center"/>
            </w:pPr>
            <w:r>
              <w:rPr>
                <w:sz w:val="20"/>
              </w:rPr>
              <w:t xml:space="preserve">Крайне низкий КОВ</w:t>
            </w:r>
          </w:p>
        </w:tc>
        <w:tc>
          <w:tcPr>
            <w:tcW w:w="2716" w:type="dxa"/>
          </w:tcPr>
          <w:p>
            <w:pPr>
              <w:pStyle w:val="0"/>
              <w:jc w:val="center"/>
            </w:pPr>
            <w:r>
              <w:rPr>
                <w:sz w:val="20"/>
              </w:rPr>
              <w:t xml:space="preserve">Низкий КОВ</w:t>
            </w:r>
          </w:p>
        </w:tc>
        <w:tc>
          <w:tcPr>
            <w:tcW w:w="2716" w:type="dxa"/>
          </w:tcPr>
          <w:p>
            <w:pPr>
              <w:pStyle w:val="0"/>
              <w:jc w:val="center"/>
            </w:pPr>
            <w:r>
              <w:rPr>
                <w:sz w:val="20"/>
              </w:rPr>
              <w:t xml:space="preserve">Средний КОВ</w:t>
            </w:r>
          </w:p>
        </w:tc>
        <w:tc>
          <w:tcPr>
            <w:tcW w:w="2716" w:type="dxa"/>
          </w:tcPr>
          <w:p>
            <w:pPr>
              <w:pStyle w:val="0"/>
              <w:jc w:val="center"/>
            </w:pPr>
            <w:r>
              <w:rPr>
                <w:sz w:val="20"/>
              </w:rPr>
              <w:t xml:space="preserve">Высокий КОВ</w:t>
            </w:r>
          </w:p>
        </w:tc>
        <w:tc>
          <w:tcPr>
            <w:tcW w:w="2719" w:type="dxa"/>
          </w:tcPr>
          <w:p>
            <w:pPr>
              <w:pStyle w:val="0"/>
              <w:jc w:val="center"/>
            </w:pPr>
            <w:r>
              <w:rPr>
                <w:sz w:val="20"/>
              </w:rPr>
              <w:t xml:space="preserve">Крайне высокий КОВ</w:t>
            </w:r>
          </w:p>
        </w:tc>
      </w:tr>
      <w:tr>
        <w:tc>
          <w:tcPr>
            <w:tcW w:w="2716" w:type="dxa"/>
          </w:tcPr>
          <w:p>
            <w:pPr>
              <w:pStyle w:val="0"/>
              <w:jc w:val="both"/>
            </w:pPr>
            <w:r>
              <w:rPr>
                <w:sz w:val="20"/>
              </w:rPr>
              <w:t xml:space="preserve">Минимальные показатели обеспеченности и укомплектованности врачами и врачами участковой службы при максимальном коэффициенте их совместительства. Низкая обеспеченность и минимальная укомплектованность врачами, оказывающими медицинскую помощь в амбулаторных условиях, при максимальном коэффициенте их совместительства. Обеспеченность и укомплектованность значительно ниже, а коэффициент совместительства значительно выше показателей по городу Севастополю</w:t>
            </w:r>
          </w:p>
        </w:tc>
        <w:tc>
          <w:tcPr>
            <w:tcW w:w="2716" w:type="dxa"/>
          </w:tcPr>
          <w:p>
            <w:pPr>
              <w:pStyle w:val="0"/>
              <w:jc w:val="both"/>
            </w:pPr>
            <w:r>
              <w:rPr>
                <w:sz w:val="20"/>
              </w:rPr>
              <w:t xml:space="preserve">Низкие показатели обеспеченности и укомплектованности врачами и врачами участковой службы при высоком коэффициенте их совместительства. Минимальная обеспеченность врачами, оказывающими медицинскую помощь в амбулаторных условиях, при низких показателях укомплектованности и коэффициента совместительства. Обеспеченность и укомплектованность ниже показателей по городу Севастополю. Коэффициент совместительства всего и в амбулаторном звене выше, а в участковой службе - на уровне показателей в среднем по городу Севастополю</w:t>
            </w:r>
          </w:p>
        </w:tc>
        <w:tc>
          <w:tcPr>
            <w:tcW w:w="2716" w:type="dxa"/>
          </w:tcPr>
          <w:p>
            <w:pPr>
              <w:pStyle w:val="0"/>
              <w:jc w:val="both"/>
            </w:pPr>
            <w:r>
              <w:rPr>
                <w:sz w:val="20"/>
              </w:rPr>
              <w:t xml:space="preserve">Средние значения обеспеченности врачами при средних показателях укомплектованности и коэффициента совместительства. Средние значения обеспеченности врачами, оказывающими медицинскую помощь в амбулаторных условиях, и врачами участковой службы, при высоких коэффициентах их укомплектованности и низких значениях коэффициентов совместительства. Показатель обеспеченности выше показателя в среднем по городу Севастополю. Укомплектованность врачами всего и в амбулаторном звене ниже, а в участковой службе выше показателей по городу Севастополю. Коэффициент совместительства всего и в амбулаторном звене выше, а в участковой службе - на уровне показателей по городу Севастополю</w:t>
            </w:r>
          </w:p>
        </w:tc>
        <w:tc>
          <w:tcPr>
            <w:tcW w:w="2716" w:type="dxa"/>
          </w:tcPr>
          <w:p>
            <w:pPr>
              <w:pStyle w:val="0"/>
              <w:jc w:val="both"/>
            </w:pPr>
            <w:r>
              <w:rPr>
                <w:sz w:val="20"/>
              </w:rPr>
              <w:t xml:space="preserve">Высокая обеспеченность и средняя укомплектованность врачами при среднем значении коэффициента совместительства. Высокие значения коэффициентов обеспеченности и укомплектованности врачами, оказывающими медицинскую помощь в амбулаторных условиях, и врачами участковой службы при низких значениях коэффициентов их совместительства. Показатель обеспеченности и укомплектованности выше показателей по городу Севастополю. Коэффициент совместительства в целом по врачам и в амбулаторном звене на одном уровне по городу Севастополю, а в участковой службе - ниже показателей по городу Севастополю</w:t>
            </w:r>
          </w:p>
        </w:tc>
        <w:tc>
          <w:tcPr>
            <w:tcW w:w="2719" w:type="dxa"/>
          </w:tcPr>
          <w:p>
            <w:pPr>
              <w:pStyle w:val="0"/>
              <w:jc w:val="both"/>
            </w:pPr>
            <w:r>
              <w:rPr>
                <w:sz w:val="20"/>
              </w:rPr>
              <w:t xml:space="preserve">Высокие показатели обеспеченности, крайне высокие коэффициенты укомплектованности при минимальных значениях коэффициентов совместительства врачами, оказывающими медицинскую помощь в амбулаторных условиях и врачей участковой службы. Обеспеченность и укомплектованность значительно выше, а коэффициент совместительства ниже показателей по городу Севастополю</w:t>
            </w:r>
          </w:p>
        </w:tc>
      </w:tr>
      <w:tr>
        <w:tc>
          <w:tcPr>
            <w:tcW w:w="2716" w:type="dxa"/>
          </w:tcPr>
          <w:p>
            <w:pPr>
              <w:pStyle w:val="0"/>
              <w:jc w:val="both"/>
            </w:pPr>
            <w:r>
              <w:rPr>
                <w:sz w:val="20"/>
              </w:rPr>
            </w:r>
          </w:p>
        </w:tc>
        <w:tc>
          <w:tcPr>
            <w:tcW w:w="2716" w:type="dxa"/>
          </w:tcPr>
          <w:p>
            <w:pPr>
              <w:pStyle w:val="0"/>
              <w:jc w:val="both"/>
            </w:pPr>
            <w:r>
              <w:rPr>
                <w:sz w:val="20"/>
              </w:rPr>
            </w:r>
          </w:p>
        </w:tc>
        <w:tc>
          <w:tcPr>
            <w:tcW w:w="2716" w:type="dxa"/>
          </w:tcPr>
          <w:p>
            <w:pPr>
              <w:pStyle w:val="0"/>
              <w:jc w:val="both"/>
            </w:pPr>
            <w:r>
              <w:rPr>
                <w:sz w:val="20"/>
              </w:rPr>
              <w:t xml:space="preserve">г. Севастополь</w:t>
            </w:r>
          </w:p>
        </w:tc>
        <w:tc>
          <w:tcPr>
            <w:tcW w:w="2716" w:type="dxa"/>
          </w:tcPr>
          <w:p>
            <w:pPr>
              <w:pStyle w:val="0"/>
              <w:jc w:val="both"/>
            </w:pPr>
            <w:r>
              <w:rPr>
                <w:sz w:val="20"/>
              </w:rPr>
            </w:r>
          </w:p>
        </w:tc>
        <w:tc>
          <w:tcPr>
            <w:tcW w:w="2719" w:type="dxa"/>
          </w:tcPr>
          <w:p>
            <w:pPr>
              <w:pStyle w:val="0"/>
              <w:jc w:val="both"/>
            </w:pPr>
            <w:r>
              <w:rPr>
                <w:sz w:val="20"/>
              </w:rPr>
            </w:r>
          </w:p>
        </w:tc>
      </w:tr>
    </w:tbl>
    <w:p>
      <w:pPr>
        <w:pStyle w:val="0"/>
      </w:pPr>
      <w:r>
        <w:rPr>
          <w:sz w:val="20"/>
        </w:rPr>
      </w:r>
    </w:p>
    <w:p>
      <w:pPr>
        <w:pStyle w:val="0"/>
        <w:jc w:val="right"/>
      </w:pPr>
      <w:r>
        <w:rPr>
          <w:sz w:val="20"/>
        </w:rPr>
        <w:t xml:space="preserve">Таблица 13</w:t>
      </w:r>
    </w:p>
    <w:p>
      <w:pPr>
        <w:pStyle w:val="0"/>
      </w:pPr>
      <w:r>
        <w:rPr>
          <w:sz w:val="20"/>
        </w:rPr>
      </w:r>
    </w:p>
    <w:p>
      <w:pPr>
        <w:pStyle w:val="0"/>
        <w:jc w:val="center"/>
      </w:pPr>
      <w:r>
        <w:rPr>
          <w:sz w:val="20"/>
        </w:rPr>
        <w:t xml:space="preserve">Оценка уровня обеспеченности населения средним</w:t>
      </w:r>
    </w:p>
    <w:p>
      <w:pPr>
        <w:pStyle w:val="0"/>
        <w:jc w:val="center"/>
      </w:pPr>
      <w:r>
        <w:rPr>
          <w:sz w:val="20"/>
        </w:rPr>
        <w:t xml:space="preserve">медицинским персоналом</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304"/>
        <w:gridCol w:w="1276"/>
        <w:gridCol w:w="1191"/>
        <w:gridCol w:w="1304"/>
        <w:gridCol w:w="1304"/>
        <w:gridCol w:w="1191"/>
        <w:gridCol w:w="1304"/>
        <w:gridCol w:w="1304"/>
        <w:gridCol w:w="1191"/>
      </w:tblGrid>
      <w:tr>
        <w:tc>
          <w:tcPr>
            <w:tcW w:w="2211" w:type="dxa"/>
            <w:vMerge w:val="restart"/>
          </w:tcPr>
          <w:p>
            <w:pPr>
              <w:pStyle w:val="0"/>
              <w:jc w:val="center"/>
            </w:pPr>
            <w:r>
              <w:rPr>
                <w:sz w:val="20"/>
              </w:rPr>
              <w:t xml:space="preserve">Наименование муниципального района</w:t>
            </w:r>
          </w:p>
        </w:tc>
        <w:tc>
          <w:tcPr>
            <w:gridSpan w:val="3"/>
            <w:tcW w:w="3771" w:type="dxa"/>
          </w:tcPr>
          <w:p>
            <w:pPr>
              <w:pStyle w:val="0"/>
              <w:jc w:val="center"/>
            </w:pPr>
            <w:r>
              <w:rPr>
                <w:sz w:val="20"/>
              </w:rPr>
              <w:t xml:space="preserve">Средний медицинский персонал (СМП), всего</w:t>
            </w:r>
          </w:p>
        </w:tc>
        <w:tc>
          <w:tcPr>
            <w:gridSpan w:val="3"/>
            <w:tcW w:w="3799" w:type="dxa"/>
          </w:tcPr>
          <w:p>
            <w:pPr>
              <w:pStyle w:val="0"/>
              <w:jc w:val="center"/>
            </w:pPr>
            <w:r>
              <w:rPr>
                <w:sz w:val="20"/>
              </w:rPr>
              <w:t xml:space="preserve">СМП в амбулаторных условиях</w:t>
            </w:r>
          </w:p>
        </w:tc>
        <w:tc>
          <w:tcPr>
            <w:gridSpan w:val="3"/>
            <w:tcW w:w="3799" w:type="dxa"/>
          </w:tcPr>
          <w:p>
            <w:pPr>
              <w:pStyle w:val="0"/>
              <w:jc w:val="center"/>
            </w:pPr>
            <w:r>
              <w:rPr>
                <w:sz w:val="20"/>
              </w:rPr>
              <w:t xml:space="preserve">СМП, работающие с врачами-терапевтами участковыми, врачами-педиатрами участковыми, врачами общей практики (семейными врачами)</w:t>
            </w:r>
          </w:p>
        </w:tc>
      </w:tr>
      <w:tr>
        <w:tc>
          <w:tcPr>
            <w:vMerge w:val="continue"/>
          </w:tcPr>
          <w:p/>
        </w:tc>
        <w:tc>
          <w:tcPr>
            <w:tcW w:w="1304" w:type="dxa"/>
          </w:tcPr>
          <w:p>
            <w:pPr>
              <w:pStyle w:val="0"/>
              <w:jc w:val="center"/>
            </w:pPr>
            <w:r>
              <w:rPr>
                <w:sz w:val="20"/>
              </w:rPr>
              <w:t xml:space="preserve">Обеспеченность на 10 тысяч населения</w:t>
            </w:r>
          </w:p>
        </w:tc>
        <w:tc>
          <w:tcPr>
            <w:tcW w:w="1276"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c>
          <w:tcPr>
            <w:tcW w:w="1304" w:type="dxa"/>
          </w:tcPr>
          <w:p>
            <w:pPr>
              <w:pStyle w:val="0"/>
              <w:jc w:val="center"/>
            </w:pPr>
            <w:r>
              <w:rPr>
                <w:sz w:val="20"/>
              </w:rPr>
              <w:t xml:space="preserve">Обеспеченность на 10 тысяч населения</w:t>
            </w:r>
          </w:p>
        </w:tc>
        <w:tc>
          <w:tcPr>
            <w:tcW w:w="1304"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c>
          <w:tcPr>
            <w:tcW w:w="1304" w:type="dxa"/>
          </w:tcPr>
          <w:p>
            <w:pPr>
              <w:pStyle w:val="0"/>
              <w:jc w:val="center"/>
            </w:pPr>
            <w:r>
              <w:rPr>
                <w:sz w:val="20"/>
              </w:rPr>
              <w:t xml:space="preserve">Обеспеченность на 10 тысяч населения</w:t>
            </w:r>
          </w:p>
        </w:tc>
        <w:tc>
          <w:tcPr>
            <w:tcW w:w="1304"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r>
      <w:tr>
        <w:tc>
          <w:tcPr>
            <w:tcW w:w="2211" w:type="dxa"/>
          </w:tcPr>
          <w:p>
            <w:pPr>
              <w:pStyle w:val="0"/>
              <w:jc w:val="center"/>
            </w:pPr>
            <w:r>
              <w:rPr>
                <w:sz w:val="20"/>
              </w:rPr>
              <w:t xml:space="preserve">1</w:t>
            </w:r>
          </w:p>
        </w:tc>
        <w:tc>
          <w:tcPr>
            <w:tcW w:w="1304" w:type="dxa"/>
          </w:tcPr>
          <w:p>
            <w:pPr>
              <w:pStyle w:val="0"/>
              <w:jc w:val="center"/>
            </w:pPr>
            <w:r>
              <w:rPr>
                <w:sz w:val="20"/>
              </w:rPr>
              <w:t xml:space="preserve">2</w:t>
            </w:r>
          </w:p>
        </w:tc>
        <w:tc>
          <w:tcPr>
            <w:tcW w:w="1276" w:type="dxa"/>
          </w:tcPr>
          <w:p>
            <w:pPr>
              <w:pStyle w:val="0"/>
              <w:jc w:val="center"/>
            </w:pPr>
            <w:r>
              <w:rPr>
                <w:sz w:val="20"/>
              </w:rPr>
              <w:t xml:space="preserve">3</w:t>
            </w:r>
          </w:p>
        </w:tc>
        <w:tc>
          <w:tcPr>
            <w:tcW w:w="1191" w:type="dxa"/>
          </w:tcPr>
          <w:p>
            <w:pPr>
              <w:pStyle w:val="0"/>
              <w:jc w:val="center"/>
            </w:pPr>
            <w:r>
              <w:rPr>
                <w:sz w:val="20"/>
              </w:rPr>
              <w:t xml:space="preserve">4</w:t>
            </w:r>
          </w:p>
        </w:tc>
        <w:tc>
          <w:tcPr>
            <w:tcW w:w="1304" w:type="dxa"/>
          </w:tcPr>
          <w:p>
            <w:pPr>
              <w:pStyle w:val="0"/>
              <w:jc w:val="center"/>
            </w:pPr>
            <w:r>
              <w:rPr>
                <w:sz w:val="20"/>
              </w:rPr>
              <w:t xml:space="preserve">5</w:t>
            </w:r>
          </w:p>
        </w:tc>
        <w:tc>
          <w:tcPr>
            <w:tcW w:w="1304" w:type="dxa"/>
          </w:tcPr>
          <w:p>
            <w:pPr>
              <w:pStyle w:val="0"/>
              <w:jc w:val="center"/>
            </w:pPr>
            <w:r>
              <w:rPr>
                <w:sz w:val="20"/>
              </w:rPr>
              <w:t xml:space="preserve">6</w:t>
            </w:r>
          </w:p>
        </w:tc>
        <w:tc>
          <w:tcPr>
            <w:tcW w:w="1191" w:type="dxa"/>
          </w:tcPr>
          <w:p>
            <w:pPr>
              <w:pStyle w:val="0"/>
              <w:jc w:val="center"/>
            </w:pPr>
            <w:r>
              <w:rPr>
                <w:sz w:val="20"/>
              </w:rPr>
              <w:t xml:space="preserve">7</w:t>
            </w:r>
          </w:p>
        </w:tc>
        <w:tc>
          <w:tcPr>
            <w:tcW w:w="1304" w:type="dxa"/>
          </w:tcPr>
          <w:p>
            <w:pPr>
              <w:pStyle w:val="0"/>
              <w:jc w:val="center"/>
            </w:pPr>
            <w:r>
              <w:rPr>
                <w:sz w:val="20"/>
              </w:rPr>
              <w:t xml:space="preserve">8</w:t>
            </w:r>
          </w:p>
        </w:tc>
        <w:tc>
          <w:tcPr>
            <w:tcW w:w="1304" w:type="dxa"/>
          </w:tcPr>
          <w:p>
            <w:pPr>
              <w:pStyle w:val="0"/>
              <w:jc w:val="center"/>
            </w:pPr>
            <w:r>
              <w:rPr>
                <w:sz w:val="20"/>
              </w:rPr>
              <w:t xml:space="preserve">9</w:t>
            </w:r>
          </w:p>
        </w:tc>
        <w:tc>
          <w:tcPr>
            <w:tcW w:w="1191" w:type="dxa"/>
          </w:tcPr>
          <w:p>
            <w:pPr>
              <w:pStyle w:val="0"/>
              <w:jc w:val="center"/>
            </w:pPr>
            <w:r>
              <w:rPr>
                <w:sz w:val="20"/>
              </w:rPr>
              <w:t xml:space="preserve">10</w:t>
            </w:r>
          </w:p>
        </w:tc>
      </w:tr>
      <w:tr>
        <w:tc>
          <w:tcPr>
            <w:tcW w:w="2211" w:type="dxa"/>
          </w:tcPr>
          <w:p>
            <w:pPr>
              <w:pStyle w:val="0"/>
              <w:jc w:val="both"/>
            </w:pPr>
            <w:r>
              <w:rPr>
                <w:sz w:val="20"/>
              </w:rPr>
              <w:t xml:space="preserve">г. Севастополь</w:t>
            </w:r>
          </w:p>
        </w:tc>
        <w:tc>
          <w:tcPr>
            <w:tcW w:w="1304" w:type="dxa"/>
          </w:tcPr>
          <w:p>
            <w:pPr>
              <w:pStyle w:val="0"/>
              <w:jc w:val="center"/>
            </w:pPr>
            <w:r>
              <w:rPr>
                <w:sz w:val="20"/>
              </w:rPr>
              <w:t xml:space="preserve">69,1</w:t>
            </w:r>
          </w:p>
        </w:tc>
        <w:tc>
          <w:tcPr>
            <w:tcW w:w="1276" w:type="dxa"/>
          </w:tcPr>
          <w:p>
            <w:pPr>
              <w:pStyle w:val="0"/>
              <w:jc w:val="center"/>
            </w:pPr>
            <w:r>
              <w:rPr>
                <w:sz w:val="20"/>
              </w:rPr>
              <w:t xml:space="preserve">84,49</w:t>
            </w:r>
          </w:p>
        </w:tc>
        <w:tc>
          <w:tcPr>
            <w:tcW w:w="1191" w:type="dxa"/>
          </w:tcPr>
          <w:p>
            <w:pPr>
              <w:pStyle w:val="0"/>
              <w:jc w:val="center"/>
            </w:pPr>
            <w:r>
              <w:rPr>
                <w:sz w:val="20"/>
              </w:rPr>
              <w:t xml:space="preserve">1,21</w:t>
            </w:r>
          </w:p>
        </w:tc>
        <w:tc>
          <w:tcPr>
            <w:tcW w:w="1304" w:type="dxa"/>
          </w:tcPr>
          <w:p>
            <w:pPr>
              <w:pStyle w:val="0"/>
              <w:jc w:val="center"/>
            </w:pPr>
            <w:r>
              <w:rPr>
                <w:sz w:val="20"/>
              </w:rPr>
              <w:t xml:space="preserve">23,24</w:t>
            </w:r>
          </w:p>
        </w:tc>
        <w:tc>
          <w:tcPr>
            <w:tcW w:w="1304" w:type="dxa"/>
          </w:tcPr>
          <w:p>
            <w:pPr>
              <w:pStyle w:val="0"/>
              <w:jc w:val="center"/>
            </w:pPr>
            <w:r>
              <w:rPr>
                <w:sz w:val="20"/>
              </w:rPr>
              <w:t xml:space="preserve">45,7</w:t>
            </w:r>
          </w:p>
        </w:tc>
        <w:tc>
          <w:tcPr>
            <w:tcW w:w="1191" w:type="dxa"/>
          </w:tcPr>
          <w:p>
            <w:pPr>
              <w:pStyle w:val="0"/>
              <w:jc w:val="center"/>
            </w:pPr>
            <w:r>
              <w:rPr>
                <w:sz w:val="20"/>
              </w:rPr>
              <w:t xml:space="preserve">1,31</w:t>
            </w:r>
          </w:p>
        </w:tc>
        <w:tc>
          <w:tcPr>
            <w:tcW w:w="1304" w:type="dxa"/>
          </w:tcPr>
          <w:p>
            <w:pPr>
              <w:pStyle w:val="0"/>
              <w:jc w:val="center"/>
            </w:pPr>
            <w:r>
              <w:rPr>
                <w:sz w:val="20"/>
              </w:rPr>
              <w:t xml:space="preserve">4,4</w:t>
            </w:r>
          </w:p>
        </w:tc>
        <w:tc>
          <w:tcPr>
            <w:tcW w:w="1304" w:type="dxa"/>
          </w:tcPr>
          <w:p>
            <w:pPr>
              <w:pStyle w:val="0"/>
              <w:jc w:val="center"/>
            </w:pPr>
            <w:r>
              <w:rPr>
                <w:sz w:val="20"/>
              </w:rPr>
              <w:t xml:space="preserve">84,1</w:t>
            </w:r>
          </w:p>
        </w:tc>
        <w:tc>
          <w:tcPr>
            <w:tcW w:w="1191" w:type="dxa"/>
          </w:tcPr>
          <w:p>
            <w:pPr>
              <w:pStyle w:val="0"/>
              <w:jc w:val="center"/>
            </w:pPr>
            <w:r>
              <w:rPr>
                <w:sz w:val="20"/>
              </w:rPr>
              <w:t xml:space="preserve">1,19</w:t>
            </w:r>
          </w:p>
        </w:tc>
      </w:tr>
    </w:tbl>
    <w:p>
      <w:pPr>
        <w:pStyle w:val="0"/>
        <w:jc w:val="right"/>
      </w:pPr>
      <w:r>
        <w:rPr>
          <w:sz w:val="20"/>
        </w:rPr>
      </w:r>
    </w:p>
    <w:p>
      <w:pPr>
        <w:pStyle w:val="0"/>
        <w:jc w:val="right"/>
      </w:pPr>
      <w:r>
        <w:rPr>
          <w:sz w:val="20"/>
        </w:rPr>
        <w:t xml:space="preserve">Таблица 14</w:t>
      </w:r>
    </w:p>
    <w:p>
      <w:pPr>
        <w:pStyle w:val="0"/>
        <w:jc w:val="right"/>
      </w:pPr>
      <w:r>
        <w:rPr>
          <w:sz w:val="20"/>
        </w:rPr>
      </w:r>
    </w:p>
    <w:p>
      <w:pPr>
        <w:pStyle w:val="0"/>
        <w:jc w:val="center"/>
      </w:pPr>
      <w:r>
        <w:rPr>
          <w:sz w:val="20"/>
        </w:rPr>
        <w:t xml:space="preserve">Сравнительная характеристика среднего медицинского</w:t>
      </w:r>
    </w:p>
    <w:p>
      <w:pPr>
        <w:pStyle w:val="0"/>
        <w:jc w:val="center"/>
      </w:pPr>
      <w:r>
        <w:rPr>
          <w:sz w:val="20"/>
        </w:rPr>
        <w:t xml:space="preserve">персонала (СМП)</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304"/>
        <w:gridCol w:w="1276"/>
        <w:gridCol w:w="1191"/>
        <w:gridCol w:w="1304"/>
        <w:gridCol w:w="1304"/>
        <w:gridCol w:w="1191"/>
        <w:gridCol w:w="1304"/>
        <w:gridCol w:w="1304"/>
        <w:gridCol w:w="1191"/>
        <w:gridCol w:w="1871"/>
      </w:tblGrid>
      <w:tr>
        <w:tc>
          <w:tcPr>
            <w:tcW w:w="2211" w:type="dxa"/>
            <w:vMerge w:val="restart"/>
          </w:tcPr>
          <w:p>
            <w:pPr>
              <w:pStyle w:val="0"/>
              <w:jc w:val="center"/>
            </w:pPr>
            <w:r>
              <w:rPr>
                <w:sz w:val="20"/>
              </w:rPr>
              <w:t xml:space="preserve">Наименование муниципального района</w:t>
            </w:r>
          </w:p>
        </w:tc>
        <w:tc>
          <w:tcPr>
            <w:gridSpan w:val="3"/>
            <w:tcW w:w="3771" w:type="dxa"/>
          </w:tcPr>
          <w:p>
            <w:pPr>
              <w:pStyle w:val="0"/>
              <w:jc w:val="center"/>
            </w:pPr>
            <w:r>
              <w:rPr>
                <w:sz w:val="20"/>
              </w:rPr>
              <w:t xml:space="preserve">Средний медицинский персонал (СМП), всего</w:t>
            </w:r>
          </w:p>
        </w:tc>
        <w:tc>
          <w:tcPr>
            <w:gridSpan w:val="3"/>
            <w:tcW w:w="3799" w:type="dxa"/>
          </w:tcPr>
          <w:p>
            <w:pPr>
              <w:pStyle w:val="0"/>
              <w:jc w:val="center"/>
            </w:pPr>
            <w:r>
              <w:rPr>
                <w:sz w:val="20"/>
              </w:rPr>
              <w:t xml:space="preserve">СМП в амбулаторных условиях</w:t>
            </w:r>
          </w:p>
        </w:tc>
        <w:tc>
          <w:tcPr>
            <w:gridSpan w:val="3"/>
            <w:tcW w:w="3799" w:type="dxa"/>
          </w:tcPr>
          <w:p>
            <w:pPr>
              <w:pStyle w:val="0"/>
              <w:jc w:val="center"/>
            </w:pPr>
            <w:r>
              <w:rPr>
                <w:sz w:val="20"/>
              </w:rPr>
              <w:t xml:space="preserve">СМП, работающие с врачами-терапевтами участковыми, врачами-педиатрами участковыми, врачами общей практики (семейными врачами)</w:t>
            </w:r>
          </w:p>
        </w:tc>
        <w:tc>
          <w:tcPr>
            <w:tcW w:w="1871" w:type="dxa"/>
            <w:vMerge w:val="restart"/>
          </w:tcPr>
          <w:p>
            <w:pPr>
              <w:pStyle w:val="0"/>
              <w:jc w:val="center"/>
            </w:pPr>
            <w:r>
              <w:rPr>
                <w:sz w:val="20"/>
              </w:rPr>
              <w:t xml:space="preserve">Суммарный коэффициент обеспеченности медицинскими кадрами, СМП (КОСМП)</w:t>
            </w:r>
          </w:p>
        </w:tc>
      </w:tr>
      <w:tr>
        <w:tc>
          <w:tcPr>
            <w:vMerge w:val="continue"/>
          </w:tcPr>
          <w:p/>
        </w:tc>
        <w:tc>
          <w:tcPr>
            <w:tcW w:w="1304" w:type="dxa"/>
          </w:tcPr>
          <w:p>
            <w:pPr>
              <w:pStyle w:val="0"/>
              <w:jc w:val="center"/>
            </w:pPr>
            <w:r>
              <w:rPr>
                <w:sz w:val="20"/>
              </w:rPr>
              <w:t xml:space="preserve">Обеспеченность на 10 тысяч населения</w:t>
            </w:r>
          </w:p>
        </w:tc>
        <w:tc>
          <w:tcPr>
            <w:tcW w:w="1276"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c>
          <w:tcPr>
            <w:tcW w:w="1304" w:type="dxa"/>
          </w:tcPr>
          <w:p>
            <w:pPr>
              <w:pStyle w:val="0"/>
              <w:jc w:val="center"/>
            </w:pPr>
            <w:r>
              <w:rPr>
                <w:sz w:val="20"/>
              </w:rPr>
              <w:t xml:space="preserve">Обеспеченность на 10 тысяч населения</w:t>
            </w:r>
          </w:p>
        </w:tc>
        <w:tc>
          <w:tcPr>
            <w:tcW w:w="1304"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c>
          <w:tcPr>
            <w:tcW w:w="1304" w:type="dxa"/>
          </w:tcPr>
          <w:p>
            <w:pPr>
              <w:pStyle w:val="0"/>
              <w:jc w:val="center"/>
            </w:pPr>
            <w:r>
              <w:rPr>
                <w:sz w:val="20"/>
              </w:rPr>
              <w:t xml:space="preserve">Обеспеченность на 10 тысяч населения</w:t>
            </w:r>
          </w:p>
        </w:tc>
        <w:tc>
          <w:tcPr>
            <w:tcW w:w="1304" w:type="dxa"/>
          </w:tcPr>
          <w:p>
            <w:pPr>
              <w:pStyle w:val="0"/>
              <w:jc w:val="center"/>
            </w:pPr>
            <w:r>
              <w:rPr>
                <w:sz w:val="20"/>
              </w:rPr>
              <w:t xml:space="preserve">Укомплектованность, %</w:t>
            </w:r>
          </w:p>
        </w:tc>
        <w:tc>
          <w:tcPr>
            <w:tcW w:w="1191" w:type="dxa"/>
          </w:tcPr>
          <w:p>
            <w:pPr>
              <w:pStyle w:val="0"/>
              <w:jc w:val="center"/>
            </w:pPr>
            <w:r>
              <w:rPr>
                <w:sz w:val="20"/>
              </w:rPr>
              <w:t xml:space="preserve">Коэффициент совместительства</w:t>
            </w:r>
          </w:p>
        </w:tc>
        <w:tc>
          <w:tcPr>
            <w:vMerge w:val="continue"/>
          </w:tcPr>
          <w:p/>
        </w:tc>
      </w:tr>
      <w:tr>
        <w:tc>
          <w:tcPr>
            <w:tcW w:w="2211" w:type="dxa"/>
          </w:tcPr>
          <w:p>
            <w:pPr>
              <w:pStyle w:val="0"/>
              <w:jc w:val="center"/>
            </w:pPr>
            <w:r>
              <w:rPr>
                <w:sz w:val="20"/>
              </w:rPr>
              <w:t xml:space="preserve">1</w:t>
            </w:r>
          </w:p>
        </w:tc>
        <w:tc>
          <w:tcPr>
            <w:tcW w:w="1304" w:type="dxa"/>
          </w:tcPr>
          <w:p>
            <w:pPr>
              <w:pStyle w:val="0"/>
              <w:jc w:val="center"/>
            </w:pPr>
            <w:r>
              <w:rPr>
                <w:sz w:val="20"/>
              </w:rPr>
              <w:t xml:space="preserve">2</w:t>
            </w:r>
          </w:p>
        </w:tc>
        <w:tc>
          <w:tcPr>
            <w:tcW w:w="1276" w:type="dxa"/>
          </w:tcPr>
          <w:p>
            <w:pPr>
              <w:pStyle w:val="0"/>
              <w:jc w:val="center"/>
            </w:pPr>
            <w:r>
              <w:rPr>
                <w:sz w:val="20"/>
              </w:rPr>
              <w:t xml:space="preserve">3</w:t>
            </w:r>
          </w:p>
        </w:tc>
        <w:tc>
          <w:tcPr>
            <w:tcW w:w="1191" w:type="dxa"/>
          </w:tcPr>
          <w:p>
            <w:pPr>
              <w:pStyle w:val="0"/>
              <w:jc w:val="center"/>
            </w:pPr>
            <w:r>
              <w:rPr>
                <w:sz w:val="20"/>
              </w:rPr>
              <w:t xml:space="preserve">4</w:t>
            </w:r>
          </w:p>
        </w:tc>
        <w:tc>
          <w:tcPr>
            <w:tcW w:w="1304" w:type="dxa"/>
          </w:tcPr>
          <w:p>
            <w:pPr>
              <w:pStyle w:val="0"/>
              <w:jc w:val="center"/>
            </w:pPr>
            <w:r>
              <w:rPr>
                <w:sz w:val="20"/>
              </w:rPr>
              <w:t xml:space="preserve">5</w:t>
            </w:r>
          </w:p>
        </w:tc>
        <w:tc>
          <w:tcPr>
            <w:tcW w:w="1304" w:type="dxa"/>
          </w:tcPr>
          <w:p>
            <w:pPr>
              <w:pStyle w:val="0"/>
              <w:jc w:val="center"/>
            </w:pPr>
            <w:r>
              <w:rPr>
                <w:sz w:val="20"/>
              </w:rPr>
              <w:t xml:space="preserve">6</w:t>
            </w:r>
          </w:p>
        </w:tc>
        <w:tc>
          <w:tcPr>
            <w:tcW w:w="1191" w:type="dxa"/>
          </w:tcPr>
          <w:p>
            <w:pPr>
              <w:pStyle w:val="0"/>
              <w:jc w:val="center"/>
            </w:pPr>
            <w:r>
              <w:rPr>
                <w:sz w:val="20"/>
              </w:rPr>
              <w:t xml:space="preserve">7</w:t>
            </w:r>
          </w:p>
        </w:tc>
        <w:tc>
          <w:tcPr>
            <w:tcW w:w="1304" w:type="dxa"/>
          </w:tcPr>
          <w:p>
            <w:pPr>
              <w:pStyle w:val="0"/>
              <w:jc w:val="center"/>
            </w:pPr>
            <w:r>
              <w:rPr>
                <w:sz w:val="20"/>
              </w:rPr>
              <w:t xml:space="preserve">8</w:t>
            </w:r>
          </w:p>
        </w:tc>
        <w:tc>
          <w:tcPr>
            <w:tcW w:w="1304" w:type="dxa"/>
          </w:tcPr>
          <w:p>
            <w:pPr>
              <w:pStyle w:val="0"/>
              <w:jc w:val="center"/>
            </w:pPr>
            <w:r>
              <w:rPr>
                <w:sz w:val="20"/>
              </w:rPr>
              <w:t xml:space="preserve">9</w:t>
            </w:r>
          </w:p>
        </w:tc>
        <w:tc>
          <w:tcPr>
            <w:tcW w:w="1191" w:type="dxa"/>
          </w:tcPr>
          <w:p>
            <w:pPr>
              <w:pStyle w:val="0"/>
              <w:jc w:val="center"/>
            </w:pPr>
            <w:r>
              <w:rPr>
                <w:sz w:val="20"/>
              </w:rPr>
              <w:t xml:space="preserve">10</w:t>
            </w:r>
          </w:p>
        </w:tc>
        <w:tc>
          <w:tcPr>
            <w:tcW w:w="1871" w:type="dxa"/>
          </w:tcPr>
          <w:p>
            <w:pPr>
              <w:pStyle w:val="0"/>
              <w:jc w:val="center"/>
            </w:pPr>
            <w:r>
              <w:rPr>
                <w:sz w:val="20"/>
              </w:rPr>
              <w:t xml:space="preserve">11</w:t>
            </w:r>
          </w:p>
        </w:tc>
      </w:tr>
      <w:tr>
        <w:tc>
          <w:tcPr>
            <w:tcW w:w="2211" w:type="dxa"/>
          </w:tcPr>
          <w:p>
            <w:pPr>
              <w:pStyle w:val="0"/>
              <w:jc w:val="both"/>
            </w:pPr>
            <w:r>
              <w:rPr>
                <w:sz w:val="20"/>
              </w:rPr>
              <w:t xml:space="preserve">г. Севастополь</w:t>
            </w:r>
          </w:p>
        </w:tc>
        <w:tc>
          <w:tcPr>
            <w:tcW w:w="1304" w:type="dxa"/>
          </w:tcPr>
          <w:p>
            <w:pPr>
              <w:pStyle w:val="0"/>
              <w:jc w:val="center"/>
            </w:pPr>
            <w:r>
              <w:rPr>
                <w:sz w:val="20"/>
              </w:rPr>
              <w:t xml:space="preserve">69,1</w:t>
            </w:r>
          </w:p>
        </w:tc>
        <w:tc>
          <w:tcPr>
            <w:tcW w:w="1276" w:type="dxa"/>
          </w:tcPr>
          <w:p>
            <w:pPr>
              <w:pStyle w:val="0"/>
              <w:jc w:val="center"/>
            </w:pPr>
            <w:r>
              <w:rPr>
                <w:sz w:val="20"/>
              </w:rPr>
              <w:t xml:space="preserve">84,49</w:t>
            </w:r>
          </w:p>
        </w:tc>
        <w:tc>
          <w:tcPr>
            <w:tcW w:w="1191" w:type="dxa"/>
          </w:tcPr>
          <w:p>
            <w:pPr>
              <w:pStyle w:val="0"/>
              <w:jc w:val="center"/>
            </w:pPr>
            <w:r>
              <w:rPr>
                <w:sz w:val="20"/>
              </w:rPr>
              <w:t xml:space="preserve">1,21</w:t>
            </w:r>
          </w:p>
        </w:tc>
        <w:tc>
          <w:tcPr>
            <w:tcW w:w="1304" w:type="dxa"/>
          </w:tcPr>
          <w:p>
            <w:pPr>
              <w:pStyle w:val="0"/>
              <w:jc w:val="center"/>
            </w:pPr>
            <w:r>
              <w:rPr>
                <w:sz w:val="20"/>
              </w:rPr>
              <w:t xml:space="preserve">23,24</w:t>
            </w:r>
          </w:p>
        </w:tc>
        <w:tc>
          <w:tcPr>
            <w:tcW w:w="1304" w:type="dxa"/>
          </w:tcPr>
          <w:p>
            <w:pPr>
              <w:pStyle w:val="0"/>
              <w:jc w:val="center"/>
            </w:pPr>
            <w:r>
              <w:rPr>
                <w:sz w:val="20"/>
              </w:rPr>
              <w:t xml:space="preserve">45,7</w:t>
            </w:r>
          </w:p>
        </w:tc>
        <w:tc>
          <w:tcPr>
            <w:tcW w:w="1191" w:type="dxa"/>
          </w:tcPr>
          <w:p>
            <w:pPr>
              <w:pStyle w:val="0"/>
              <w:jc w:val="center"/>
            </w:pPr>
            <w:r>
              <w:rPr>
                <w:sz w:val="20"/>
              </w:rPr>
              <w:t xml:space="preserve">1,31</w:t>
            </w:r>
          </w:p>
        </w:tc>
        <w:tc>
          <w:tcPr>
            <w:tcW w:w="1304" w:type="dxa"/>
          </w:tcPr>
          <w:p>
            <w:pPr>
              <w:pStyle w:val="0"/>
              <w:jc w:val="center"/>
            </w:pPr>
            <w:r>
              <w:rPr>
                <w:sz w:val="20"/>
              </w:rPr>
              <w:t xml:space="preserve">4,4</w:t>
            </w:r>
          </w:p>
        </w:tc>
        <w:tc>
          <w:tcPr>
            <w:tcW w:w="1304" w:type="dxa"/>
          </w:tcPr>
          <w:p>
            <w:pPr>
              <w:pStyle w:val="0"/>
              <w:jc w:val="center"/>
            </w:pPr>
            <w:r>
              <w:rPr>
                <w:sz w:val="20"/>
              </w:rPr>
              <w:t xml:space="preserve">84,1</w:t>
            </w:r>
          </w:p>
        </w:tc>
        <w:tc>
          <w:tcPr>
            <w:tcW w:w="1191" w:type="dxa"/>
          </w:tcPr>
          <w:p>
            <w:pPr>
              <w:pStyle w:val="0"/>
              <w:jc w:val="center"/>
            </w:pPr>
            <w:r>
              <w:rPr>
                <w:sz w:val="20"/>
              </w:rPr>
              <w:t xml:space="preserve">1,19</w:t>
            </w:r>
          </w:p>
        </w:tc>
        <w:tc>
          <w:tcPr>
            <w:tcW w:w="1871" w:type="dxa"/>
          </w:tcPr>
          <w:p>
            <w:pPr>
              <w:pStyle w:val="0"/>
              <w:jc w:val="center"/>
            </w:pPr>
            <w:r>
              <w:rPr>
                <w:sz w:val="20"/>
              </w:rPr>
              <w:t xml:space="preserve">34,97</w:t>
            </w:r>
          </w:p>
        </w:tc>
      </w:tr>
    </w:tbl>
    <w:p>
      <w:pPr>
        <w:pStyle w:val="0"/>
      </w:pPr>
      <w:r>
        <w:rPr>
          <w:sz w:val="20"/>
        </w:rPr>
      </w:r>
    </w:p>
    <w:p>
      <w:pPr>
        <w:pStyle w:val="0"/>
        <w:jc w:val="right"/>
      </w:pPr>
      <w:r>
        <w:rPr>
          <w:sz w:val="20"/>
        </w:rPr>
        <w:t xml:space="preserve">Таблица 15</w:t>
      </w:r>
    </w:p>
    <w:p>
      <w:pPr>
        <w:pStyle w:val="0"/>
      </w:pPr>
      <w:r>
        <w:rPr>
          <w:sz w:val="20"/>
        </w:rPr>
      </w:r>
    </w:p>
    <w:p>
      <w:pPr>
        <w:pStyle w:val="0"/>
        <w:jc w:val="center"/>
      </w:pPr>
      <w:r>
        <w:rPr>
          <w:sz w:val="20"/>
        </w:rPr>
        <w:t xml:space="preserve">Распределение муниципальных образований по коэффициенту</w:t>
      </w:r>
    </w:p>
    <w:p>
      <w:pPr>
        <w:pStyle w:val="0"/>
        <w:jc w:val="center"/>
      </w:pPr>
      <w:r>
        <w:rPr>
          <w:sz w:val="20"/>
        </w:rPr>
        <w:t xml:space="preserve">обеспеченности средним медицинским персоналом (КОСМП)</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16"/>
        <w:gridCol w:w="2716"/>
        <w:gridCol w:w="2716"/>
        <w:gridCol w:w="2716"/>
        <w:gridCol w:w="2719"/>
      </w:tblGrid>
      <w:tr>
        <w:tc>
          <w:tcPr>
            <w:tcW w:w="2716" w:type="dxa"/>
          </w:tcPr>
          <w:p>
            <w:pPr>
              <w:pStyle w:val="0"/>
              <w:jc w:val="center"/>
            </w:pPr>
            <w:r>
              <w:rPr>
                <w:sz w:val="20"/>
              </w:rPr>
              <w:t xml:space="preserve">I группа</w:t>
            </w:r>
          </w:p>
        </w:tc>
        <w:tc>
          <w:tcPr>
            <w:tcW w:w="2716" w:type="dxa"/>
          </w:tcPr>
          <w:p>
            <w:pPr>
              <w:pStyle w:val="0"/>
              <w:jc w:val="center"/>
            </w:pPr>
            <w:r>
              <w:rPr>
                <w:sz w:val="20"/>
              </w:rPr>
              <w:t xml:space="preserve">II группа</w:t>
            </w:r>
          </w:p>
        </w:tc>
        <w:tc>
          <w:tcPr>
            <w:tcW w:w="2716" w:type="dxa"/>
          </w:tcPr>
          <w:p>
            <w:pPr>
              <w:pStyle w:val="0"/>
              <w:jc w:val="center"/>
            </w:pPr>
            <w:r>
              <w:rPr>
                <w:sz w:val="20"/>
              </w:rPr>
              <w:t xml:space="preserve">III группа</w:t>
            </w:r>
          </w:p>
        </w:tc>
        <w:tc>
          <w:tcPr>
            <w:tcW w:w="2716" w:type="dxa"/>
          </w:tcPr>
          <w:p>
            <w:pPr>
              <w:pStyle w:val="0"/>
              <w:jc w:val="center"/>
            </w:pPr>
            <w:r>
              <w:rPr>
                <w:sz w:val="20"/>
              </w:rPr>
              <w:t xml:space="preserve">IV группа</w:t>
            </w:r>
          </w:p>
        </w:tc>
        <w:tc>
          <w:tcPr>
            <w:tcW w:w="2719" w:type="dxa"/>
          </w:tcPr>
          <w:p>
            <w:pPr>
              <w:pStyle w:val="0"/>
              <w:jc w:val="center"/>
            </w:pPr>
            <w:r>
              <w:rPr>
                <w:sz w:val="20"/>
              </w:rPr>
              <w:t xml:space="preserve">V группа</w:t>
            </w:r>
          </w:p>
        </w:tc>
      </w:tr>
      <w:tr>
        <w:tc>
          <w:tcPr>
            <w:tcW w:w="2716" w:type="dxa"/>
          </w:tcPr>
          <w:p>
            <w:pPr>
              <w:pStyle w:val="0"/>
              <w:jc w:val="center"/>
            </w:pPr>
            <w:r>
              <w:rPr>
                <w:sz w:val="20"/>
              </w:rPr>
              <w:t xml:space="preserve">Крайне низкий КОСМП</w:t>
            </w:r>
          </w:p>
        </w:tc>
        <w:tc>
          <w:tcPr>
            <w:tcW w:w="2716" w:type="dxa"/>
          </w:tcPr>
          <w:p>
            <w:pPr>
              <w:pStyle w:val="0"/>
              <w:jc w:val="center"/>
            </w:pPr>
            <w:r>
              <w:rPr>
                <w:sz w:val="20"/>
              </w:rPr>
              <w:t xml:space="preserve">Низкий КОСМП</w:t>
            </w:r>
          </w:p>
        </w:tc>
        <w:tc>
          <w:tcPr>
            <w:tcW w:w="2716" w:type="dxa"/>
          </w:tcPr>
          <w:p>
            <w:pPr>
              <w:pStyle w:val="0"/>
              <w:jc w:val="center"/>
            </w:pPr>
            <w:r>
              <w:rPr>
                <w:sz w:val="20"/>
              </w:rPr>
              <w:t xml:space="preserve">Средний КОСМП</w:t>
            </w:r>
          </w:p>
        </w:tc>
        <w:tc>
          <w:tcPr>
            <w:tcW w:w="2716" w:type="dxa"/>
          </w:tcPr>
          <w:p>
            <w:pPr>
              <w:pStyle w:val="0"/>
              <w:jc w:val="center"/>
            </w:pPr>
            <w:r>
              <w:rPr>
                <w:sz w:val="20"/>
              </w:rPr>
              <w:t xml:space="preserve">Высокий КОСМП</w:t>
            </w:r>
          </w:p>
        </w:tc>
        <w:tc>
          <w:tcPr>
            <w:tcW w:w="2719" w:type="dxa"/>
          </w:tcPr>
          <w:p>
            <w:pPr>
              <w:pStyle w:val="0"/>
              <w:jc w:val="center"/>
            </w:pPr>
            <w:r>
              <w:rPr>
                <w:sz w:val="20"/>
              </w:rPr>
              <w:t xml:space="preserve">Крайне высокий КОСМП</w:t>
            </w:r>
          </w:p>
        </w:tc>
      </w:tr>
      <w:tr>
        <w:tc>
          <w:tcPr>
            <w:tcW w:w="2716" w:type="dxa"/>
          </w:tcPr>
          <w:p>
            <w:pPr>
              <w:pStyle w:val="0"/>
              <w:jc w:val="both"/>
            </w:pPr>
            <w:r>
              <w:rPr>
                <w:sz w:val="20"/>
              </w:rPr>
              <w:t xml:space="preserve">Минимальные показатели обеспеченности и укомплектованности средним медицинским персоналом (СМП), СМП, оказывающим медицинскую помощь в амбулаторных условиях, а также работающим с врачами участковой службы, при максимальных коэффициентах их совместительства. Обеспеченность и укомплектованность значительно ниже показателей по городу Севастополю СМП: всего, амбулаторного звена и участковой службы. Коэффициент совместительства выше показателей по городу Севастополю всего и в участковой службе, в амбулаторном звене показатель - на уровне среднего по г. Севастополю</w:t>
            </w:r>
          </w:p>
        </w:tc>
        <w:tc>
          <w:tcPr>
            <w:tcW w:w="2716" w:type="dxa"/>
          </w:tcPr>
          <w:p>
            <w:pPr>
              <w:pStyle w:val="0"/>
              <w:jc w:val="both"/>
            </w:pPr>
            <w:r>
              <w:rPr>
                <w:sz w:val="20"/>
              </w:rPr>
              <w:t xml:space="preserve">Низкие показатели обеспеченности и укомплектованности СМП, СМП, оказывающим медицинскую помощь в амбулаторных условиях, а также работающим с врачами участковой службы, при высоких коэффициентах их совместительства. Обеспеченность и укомплектованность ниже показателей по городу Севастополю СМП: всего, амбулаторного звена и участковой службы. Коэффициент совместительства выше показателей по городу Севастополю всего и в участковой службе, в амбулаторном звене показатель - на уровне среднего по г. Севастополю</w:t>
            </w:r>
          </w:p>
        </w:tc>
        <w:tc>
          <w:tcPr>
            <w:tcW w:w="2716" w:type="dxa"/>
          </w:tcPr>
          <w:p>
            <w:pPr>
              <w:pStyle w:val="0"/>
              <w:jc w:val="both"/>
            </w:pPr>
            <w:r>
              <w:rPr>
                <w:sz w:val="20"/>
              </w:rPr>
              <w:t xml:space="preserve">Средние показатели обеспеченности и высокая укомплектованность СМП, СМП, оказывающим медицинскую помощь в амбулаторных условиях, а также работающим с врачами участковой службы, при среднем значении коэффициента их совместительства. Обеспеченность и укомплектованность выше показателей по городу Севастополю СМП: всего, амбулаторного звена и участковой службы. Коэффициент совместительства - на уровне показателей по городу Севастополю всего и в участковой службе, в амбулаторном звене ниже, чем в среднем по г. Севастополю</w:t>
            </w:r>
          </w:p>
        </w:tc>
        <w:tc>
          <w:tcPr>
            <w:tcW w:w="2716" w:type="dxa"/>
          </w:tcPr>
          <w:p>
            <w:pPr>
              <w:pStyle w:val="0"/>
              <w:jc w:val="both"/>
            </w:pPr>
            <w:r>
              <w:rPr>
                <w:sz w:val="20"/>
              </w:rPr>
              <w:t xml:space="preserve">Высокие обеспеченность и укомплектованность СМП, СМП, оказывающим медицинскую помощь в амбулаторных условиях, а также работающим с врачами участковой службы, при минимальных значениях коэффициентов их совместительства. Обеспеченность и укомплектованность выше показателей по городу Севастополю во всех категориях СМП: всего, амбулаторного звена и участковой службы. Коэффициенты совместительства ниже показателей по городу Севастополю СМП: всего, амбулаторного звена и участковой службы</w:t>
            </w:r>
          </w:p>
        </w:tc>
        <w:tc>
          <w:tcPr>
            <w:tcW w:w="2719" w:type="dxa"/>
          </w:tcPr>
          <w:p>
            <w:pPr>
              <w:pStyle w:val="0"/>
              <w:jc w:val="both"/>
            </w:pPr>
            <w:r>
              <w:rPr>
                <w:sz w:val="20"/>
              </w:rPr>
              <w:t xml:space="preserve">Максимальные показатели обеспеченности и укомплектованности СМП, при среднем значении коэффициента совместительства. Максимальные показатели обеспеченности и укомплектованности СМП, оказывающим медицинскую помощь в амбулаторных условиях, а также работающим с врачами участковой службы, при минимальном значении коэффициента их совместительства. Обеспеченность и укомплектованность значительно выше показателей по городу Севастополю СМП: всего, амбулаторного звена и участковой службы. Коэффициенты совместительства ниже показателей по городу Севастополю в амбулаторном звене и участковой службе. Коэффициенты совместительства в целом по СМП - на уровне показателя по г. Севастополю</w:t>
            </w:r>
          </w:p>
        </w:tc>
      </w:tr>
      <w:tr>
        <w:tc>
          <w:tcPr>
            <w:tcW w:w="2716" w:type="dxa"/>
          </w:tcPr>
          <w:p>
            <w:pPr>
              <w:pStyle w:val="0"/>
              <w:jc w:val="both"/>
            </w:pPr>
            <w:r>
              <w:rPr>
                <w:sz w:val="20"/>
              </w:rPr>
            </w:r>
          </w:p>
        </w:tc>
        <w:tc>
          <w:tcPr>
            <w:tcW w:w="2716" w:type="dxa"/>
          </w:tcPr>
          <w:p>
            <w:pPr>
              <w:pStyle w:val="0"/>
              <w:jc w:val="both"/>
            </w:pPr>
            <w:r>
              <w:rPr>
                <w:sz w:val="20"/>
              </w:rPr>
            </w:r>
          </w:p>
        </w:tc>
        <w:tc>
          <w:tcPr>
            <w:tcW w:w="2716" w:type="dxa"/>
          </w:tcPr>
          <w:p>
            <w:pPr>
              <w:pStyle w:val="0"/>
              <w:jc w:val="both"/>
            </w:pPr>
            <w:r>
              <w:rPr>
                <w:sz w:val="20"/>
              </w:rPr>
              <w:t xml:space="preserve">г. Севастополь</w:t>
            </w:r>
          </w:p>
        </w:tc>
        <w:tc>
          <w:tcPr>
            <w:tcW w:w="2716" w:type="dxa"/>
          </w:tcPr>
          <w:p>
            <w:pPr>
              <w:pStyle w:val="0"/>
              <w:jc w:val="both"/>
            </w:pPr>
            <w:r>
              <w:rPr>
                <w:sz w:val="20"/>
              </w:rPr>
            </w:r>
          </w:p>
        </w:tc>
        <w:tc>
          <w:tcPr>
            <w:tcW w:w="2719" w:type="dxa"/>
          </w:tcPr>
          <w:p>
            <w:pPr>
              <w:pStyle w:val="0"/>
              <w:jc w:val="both"/>
            </w:pPr>
            <w:r>
              <w:rPr>
                <w:sz w:val="20"/>
              </w:rPr>
            </w:r>
          </w:p>
        </w:tc>
      </w:tr>
    </w:tbl>
    <w:p>
      <w:pPr>
        <w:pStyle w:val="0"/>
        <w:jc w:val="both"/>
      </w:pPr>
      <w:r>
        <w:rPr>
          <w:sz w:val="20"/>
        </w:rPr>
      </w:r>
    </w:p>
    <w:p>
      <w:pPr>
        <w:pStyle w:val="0"/>
        <w:jc w:val="right"/>
      </w:pPr>
      <w:r>
        <w:rPr>
          <w:sz w:val="20"/>
        </w:rPr>
        <w:t xml:space="preserve">Таблица 16</w:t>
      </w:r>
    </w:p>
    <w:p>
      <w:pPr>
        <w:pStyle w:val="0"/>
      </w:pPr>
      <w:r>
        <w:rPr>
          <w:sz w:val="20"/>
        </w:rPr>
      </w:r>
    </w:p>
    <w:p>
      <w:pPr>
        <w:pStyle w:val="0"/>
        <w:jc w:val="center"/>
      </w:pPr>
      <w:r>
        <w:rPr>
          <w:sz w:val="20"/>
        </w:rPr>
        <w:t xml:space="preserve">Ранжирование муниципальных образований по интегральному</w:t>
      </w:r>
    </w:p>
    <w:p>
      <w:pPr>
        <w:pStyle w:val="0"/>
        <w:jc w:val="center"/>
      </w:pPr>
      <w:r>
        <w:rPr>
          <w:sz w:val="20"/>
        </w:rPr>
        <w:t xml:space="preserve">коэффициенту обеспеченности медицинскими кадрами (КОМК)</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1928"/>
        <w:gridCol w:w="2665"/>
        <w:gridCol w:w="2957"/>
        <w:gridCol w:w="3107"/>
      </w:tblGrid>
      <w:tr>
        <w:tc>
          <w:tcPr>
            <w:tcW w:w="2948" w:type="dxa"/>
            <w:vMerge w:val="restart"/>
          </w:tcPr>
          <w:p>
            <w:pPr>
              <w:pStyle w:val="0"/>
              <w:jc w:val="center"/>
            </w:pPr>
            <w:r>
              <w:rPr>
                <w:sz w:val="20"/>
              </w:rPr>
              <w:t xml:space="preserve">Наименование муниципального района</w:t>
            </w:r>
          </w:p>
        </w:tc>
        <w:tc>
          <w:tcPr>
            <w:tcW w:w="1928" w:type="dxa"/>
            <w:vMerge w:val="restart"/>
          </w:tcPr>
          <w:p>
            <w:pPr>
              <w:pStyle w:val="0"/>
              <w:jc w:val="center"/>
            </w:pPr>
            <w:r>
              <w:rPr>
                <w:sz w:val="20"/>
              </w:rPr>
              <w:t xml:space="preserve">КОВ (коэффициент обеспеченности, врачи)</w:t>
            </w:r>
          </w:p>
        </w:tc>
        <w:tc>
          <w:tcPr>
            <w:tcW w:w="2665" w:type="dxa"/>
            <w:vMerge w:val="restart"/>
          </w:tcPr>
          <w:p>
            <w:pPr>
              <w:pStyle w:val="0"/>
              <w:jc w:val="center"/>
            </w:pPr>
            <w:r>
              <w:rPr>
                <w:sz w:val="20"/>
              </w:rPr>
              <w:t xml:space="preserve">КОСМП (коэффициент обеспеченности, средний медицинский персонал)</w:t>
            </w:r>
          </w:p>
        </w:tc>
        <w:tc>
          <w:tcPr>
            <w:gridSpan w:val="2"/>
            <w:tcW w:w="6064" w:type="dxa"/>
          </w:tcPr>
          <w:p>
            <w:pPr>
              <w:pStyle w:val="0"/>
              <w:jc w:val="center"/>
            </w:pPr>
            <w:r>
              <w:rPr>
                <w:sz w:val="20"/>
              </w:rPr>
              <w:t xml:space="preserve">Коэффициент обеспеченности медицинскими кадрами (КОМК) &lt;*&gt;</w:t>
            </w:r>
          </w:p>
        </w:tc>
      </w:tr>
      <w:tr>
        <w:tc>
          <w:tcPr>
            <w:vMerge w:val="continue"/>
          </w:tcPr>
          <w:p/>
        </w:tc>
        <w:tc>
          <w:tcPr>
            <w:vMerge w:val="continue"/>
          </w:tcPr>
          <w:p/>
        </w:tc>
        <w:tc>
          <w:tcPr>
            <w:vMerge w:val="continue"/>
          </w:tcPr>
          <w:p/>
        </w:tc>
        <w:tc>
          <w:tcPr>
            <w:tcW w:w="2957" w:type="dxa"/>
          </w:tcPr>
          <w:p>
            <w:pPr>
              <w:pStyle w:val="0"/>
              <w:jc w:val="center"/>
            </w:pPr>
            <w:r>
              <w:rPr>
                <w:sz w:val="20"/>
              </w:rPr>
              <w:t xml:space="preserve">Значение</w:t>
            </w:r>
          </w:p>
        </w:tc>
        <w:tc>
          <w:tcPr>
            <w:tcW w:w="3107" w:type="dxa"/>
          </w:tcPr>
          <w:p>
            <w:pPr>
              <w:pStyle w:val="0"/>
              <w:jc w:val="center"/>
            </w:pPr>
            <w:r>
              <w:rPr>
                <w:sz w:val="20"/>
              </w:rPr>
              <w:t xml:space="preserve">Ранговое место</w:t>
            </w:r>
          </w:p>
        </w:tc>
      </w:tr>
      <w:tr>
        <w:tc>
          <w:tcPr>
            <w:tcW w:w="2948" w:type="dxa"/>
          </w:tcPr>
          <w:p>
            <w:pPr>
              <w:pStyle w:val="0"/>
              <w:jc w:val="both"/>
            </w:pPr>
            <w:r>
              <w:rPr>
                <w:sz w:val="20"/>
              </w:rPr>
              <w:t xml:space="preserve">г. Севастополь</w:t>
            </w:r>
          </w:p>
        </w:tc>
        <w:tc>
          <w:tcPr>
            <w:tcW w:w="1928" w:type="dxa"/>
          </w:tcPr>
          <w:p>
            <w:pPr>
              <w:pStyle w:val="0"/>
              <w:jc w:val="center"/>
            </w:pPr>
            <w:r>
              <w:rPr>
                <w:sz w:val="20"/>
              </w:rPr>
              <w:t xml:space="preserve">32,14</w:t>
            </w:r>
          </w:p>
        </w:tc>
        <w:tc>
          <w:tcPr>
            <w:tcW w:w="2665" w:type="dxa"/>
          </w:tcPr>
          <w:p>
            <w:pPr>
              <w:pStyle w:val="0"/>
              <w:jc w:val="center"/>
            </w:pPr>
            <w:r>
              <w:rPr>
                <w:sz w:val="20"/>
              </w:rPr>
              <w:t xml:space="preserve">34,97</w:t>
            </w:r>
          </w:p>
        </w:tc>
        <w:tc>
          <w:tcPr>
            <w:tcW w:w="2957" w:type="dxa"/>
          </w:tcPr>
          <w:p>
            <w:pPr>
              <w:pStyle w:val="0"/>
              <w:jc w:val="center"/>
            </w:pPr>
            <w:r>
              <w:rPr>
                <w:sz w:val="20"/>
              </w:rPr>
              <w:t xml:space="preserve">III + IV</w:t>
            </w:r>
          </w:p>
        </w:tc>
        <w:tc>
          <w:tcPr>
            <w:tcW w:w="3107" w:type="dxa"/>
          </w:tcPr>
          <w:p>
            <w:pPr>
              <w:pStyle w:val="0"/>
              <w:jc w:val="center"/>
            </w:pPr>
            <w:r>
              <w:rPr>
                <w:sz w:val="20"/>
              </w:rPr>
              <w:t xml:space="preserve">IV</w:t>
            </w:r>
          </w:p>
        </w:tc>
      </w:tr>
    </w:tbl>
    <w:p>
      <w:pPr>
        <w:pStyle w:val="0"/>
      </w:pPr>
      <w:r>
        <w:rPr>
          <w:sz w:val="20"/>
        </w:rPr>
      </w:r>
    </w:p>
    <w:p>
      <w:pPr>
        <w:pStyle w:val="0"/>
        <w:jc w:val="right"/>
      </w:pPr>
      <w:r>
        <w:rPr>
          <w:sz w:val="20"/>
        </w:rPr>
        <w:t xml:space="preserve">Таблица 17</w:t>
      </w:r>
    </w:p>
    <w:p>
      <w:pPr>
        <w:pStyle w:val="0"/>
      </w:pPr>
      <w:r>
        <w:rPr>
          <w:sz w:val="20"/>
        </w:rPr>
      </w:r>
    </w:p>
    <w:p>
      <w:pPr>
        <w:pStyle w:val="0"/>
        <w:jc w:val="center"/>
      </w:pPr>
      <w:r>
        <w:rPr>
          <w:sz w:val="20"/>
        </w:rPr>
        <w:t xml:space="preserve">Распределение по коэффициенту доступности медицинских кадров</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16"/>
        <w:gridCol w:w="2716"/>
        <w:gridCol w:w="2716"/>
        <w:gridCol w:w="2716"/>
        <w:gridCol w:w="2719"/>
      </w:tblGrid>
      <w:tr>
        <w:tc>
          <w:tcPr>
            <w:tcW w:w="2716" w:type="dxa"/>
          </w:tcPr>
          <w:p>
            <w:pPr>
              <w:pStyle w:val="0"/>
              <w:jc w:val="center"/>
            </w:pPr>
            <w:r>
              <w:rPr>
                <w:sz w:val="20"/>
              </w:rPr>
              <w:t xml:space="preserve">I группа</w:t>
            </w:r>
          </w:p>
        </w:tc>
        <w:tc>
          <w:tcPr>
            <w:tcW w:w="2716" w:type="dxa"/>
          </w:tcPr>
          <w:p>
            <w:pPr>
              <w:pStyle w:val="0"/>
              <w:jc w:val="center"/>
            </w:pPr>
            <w:r>
              <w:rPr>
                <w:sz w:val="20"/>
              </w:rPr>
              <w:t xml:space="preserve">II группа</w:t>
            </w:r>
          </w:p>
        </w:tc>
        <w:tc>
          <w:tcPr>
            <w:tcW w:w="2716" w:type="dxa"/>
          </w:tcPr>
          <w:p>
            <w:pPr>
              <w:pStyle w:val="0"/>
              <w:jc w:val="center"/>
            </w:pPr>
            <w:r>
              <w:rPr>
                <w:sz w:val="20"/>
              </w:rPr>
              <w:t xml:space="preserve">III группа</w:t>
            </w:r>
          </w:p>
        </w:tc>
        <w:tc>
          <w:tcPr>
            <w:tcW w:w="2716" w:type="dxa"/>
          </w:tcPr>
          <w:p>
            <w:pPr>
              <w:pStyle w:val="0"/>
              <w:jc w:val="center"/>
            </w:pPr>
            <w:r>
              <w:rPr>
                <w:sz w:val="20"/>
              </w:rPr>
              <w:t xml:space="preserve">IV группа</w:t>
            </w:r>
          </w:p>
        </w:tc>
        <w:tc>
          <w:tcPr>
            <w:tcW w:w="2719" w:type="dxa"/>
          </w:tcPr>
          <w:p>
            <w:pPr>
              <w:pStyle w:val="0"/>
              <w:jc w:val="center"/>
            </w:pPr>
            <w:r>
              <w:rPr>
                <w:sz w:val="20"/>
              </w:rPr>
              <w:t xml:space="preserve">V группа</w:t>
            </w:r>
          </w:p>
        </w:tc>
      </w:tr>
      <w:tr>
        <w:tc>
          <w:tcPr>
            <w:tcW w:w="2716" w:type="dxa"/>
          </w:tcPr>
          <w:p>
            <w:pPr>
              <w:pStyle w:val="0"/>
              <w:jc w:val="center"/>
            </w:pPr>
            <w:r>
              <w:rPr>
                <w:sz w:val="20"/>
              </w:rPr>
              <w:t xml:space="preserve">Крайне низкий КОМК</w:t>
            </w:r>
          </w:p>
        </w:tc>
        <w:tc>
          <w:tcPr>
            <w:tcW w:w="2716" w:type="dxa"/>
          </w:tcPr>
          <w:p>
            <w:pPr>
              <w:pStyle w:val="0"/>
              <w:jc w:val="center"/>
            </w:pPr>
            <w:r>
              <w:rPr>
                <w:sz w:val="20"/>
              </w:rPr>
              <w:t xml:space="preserve">Низкий КОМК</w:t>
            </w:r>
          </w:p>
        </w:tc>
        <w:tc>
          <w:tcPr>
            <w:tcW w:w="2716" w:type="dxa"/>
          </w:tcPr>
          <w:p>
            <w:pPr>
              <w:pStyle w:val="0"/>
              <w:jc w:val="center"/>
            </w:pPr>
            <w:r>
              <w:rPr>
                <w:sz w:val="20"/>
              </w:rPr>
              <w:t xml:space="preserve">Средний КОМК</w:t>
            </w:r>
          </w:p>
        </w:tc>
        <w:tc>
          <w:tcPr>
            <w:tcW w:w="2716" w:type="dxa"/>
          </w:tcPr>
          <w:p>
            <w:pPr>
              <w:pStyle w:val="0"/>
              <w:jc w:val="center"/>
            </w:pPr>
            <w:r>
              <w:rPr>
                <w:sz w:val="20"/>
              </w:rPr>
              <w:t xml:space="preserve">Высокий КОМК</w:t>
            </w:r>
          </w:p>
        </w:tc>
        <w:tc>
          <w:tcPr>
            <w:tcW w:w="2719" w:type="dxa"/>
          </w:tcPr>
          <w:p>
            <w:pPr>
              <w:pStyle w:val="0"/>
              <w:jc w:val="center"/>
            </w:pPr>
            <w:r>
              <w:rPr>
                <w:sz w:val="20"/>
              </w:rPr>
              <w:t xml:space="preserve">Крайне высокий КОМК</w:t>
            </w:r>
          </w:p>
        </w:tc>
      </w:tr>
      <w:tr>
        <w:tc>
          <w:tcPr>
            <w:tcW w:w="2716" w:type="dxa"/>
          </w:tcPr>
          <w:p>
            <w:pPr>
              <w:pStyle w:val="0"/>
              <w:jc w:val="both"/>
            </w:pPr>
            <w:r>
              <w:rPr>
                <w:sz w:val="20"/>
              </w:rPr>
              <w:t xml:space="preserve">Крайне низкий коэффициент доступности медицинских кадров обусловлен, прежде всего, крайне низкими коэффициентами доступности врачей и в меньшей степени - крайне низкими и низкими коэффициентами доступности СМП. Характерны минимальные показатели обеспеченности и укомплектованности при крайне высоких коэффициентах совместительства как врачей, так и среднего медицинского персонала (всего, амбулаторные условия, участковая служба)</w:t>
            </w:r>
          </w:p>
        </w:tc>
        <w:tc>
          <w:tcPr>
            <w:tcW w:w="2716" w:type="dxa"/>
          </w:tcPr>
          <w:p>
            <w:pPr>
              <w:pStyle w:val="0"/>
              <w:jc w:val="both"/>
            </w:pPr>
            <w:r>
              <w:rPr>
                <w:sz w:val="20"/>
              </w:rPr>
              <w:t xml:space="preserve">Низкий коэффициент доступности медицинских кадров обусловлен низкими коэффициентами доступности врачей и СМП. Характерны низкие и средние показатели обеспеченности и укомплектованности при высоких коэффициентах совместительства врачей и СМП в целом и в амбулаторных условиях, а также средние показатели обеспеченности, укомплектованности, коэффициенты совместительства врачей и СМП участковой службы</w:t>
            </w:r>
          </w:p>
        </w:tc>
        <w:tc>
          <w:tcPr>
            <w:tcW w:w="2716" w:type="dxa"/>
          </w:tcPr>
          <w:p>
            <w:pPr>
              <w:pStyle w:val="0"/>
              <w:jc w:val="both"/>
            </w:pPr>
            <w:r>
              <w:rPr>
                <w:sz w:val="20"/>
              </w:rPr>
              <w:t xml:space="preserve">Средний коэффициент доступности медицинских кадров обусловлен, прежде всего, средними коэффициентами доступности СМП и в меньшей степени - средними коэффициентами доступности врачей. Характерны средние и высокие показатели обеспеченности и укомплектованности медицинскими кадрами при средних и низких коэффициентах совместительства как врачей, так и СМП в амбулаторных условиях и участковой службе, а также средние показатели обеспеченности, укомплектованности при высоких коэффициентах совместительства врачей и СМП</w:t>
            </w:r>
          </w:p>
        </w:tc>
        <w:tc>
          <w:tcPr>
            <w:tcW w:w="2716" w:type="dxa"/>
          </w:tcPr>
          <w:p>
            <w:pPr>
              <w:pStyle w:val="0"/>
              <w:jc w:val="both"/>
            </w:pPr>
            <w:r>
              <w:rPr>
                <w:sz w:val="20"/>
              </w:rPr>
              <w:t xml:space="preserve">Высокий коэффициент доступности медицинских кадров обусловлен, прежде всего, высокими коэффициентами доступности СМП и в меньшей степени - средними коэффициентами доступности врачей. Характерны высокие показатели обеспеченности и укомплектованности медицинскими кадрами при низких коэффициентах совместительства как врачей, так и СМП в амбулаторных условиях и участковой службе, а также высокие показатели обеспеченности, укомплектованности при высоких коэффициентах совместительства врачей и СМП в целом</w:t>
            </w:r>
          </w:p>
        </w:tc>
        <w:tc>
          <w:tcPr>
            <w:tcW w:w="2719" w:type="dxa"/>
          </w:tcPr>
          <w:p>
            <w:pPr>
              <w:pStyle w:val="0"/>
              <w:jc w:val="both"/>
            </w:pPr>
            <w:r>
              <w:rPr>
                <w:sz w:val="20"/>
              </w:rPr>
              <w:t xml:space="preserve">Крайне высокий коэффициент доступности медицинских кадров обусловлен крайне высокими и высокими коэффициентами доступности врачей и крайне высокими коэффициентами доступности СМП. Характерны крайне высокие и высокие показатели обеспеченности и укомплектованности при минимальных коэффициентах совместительства как врачей, так и СМП (всего, амбулаторные условия, участковая служба)</w:t>
            </w:r>
          </w:p>
        </w:tc>
      </w:tr>
      <w:tr>
        <w:tc>
          <w:tcPr>
            <w:tcW w:w="2716" w:type="dxa"/>
          </w:tcPr>
          <w:p>
            <w:pPr>
              <w:pStyle w:val="0"/>
              <w:jc w:val="both"/>
            </w:pPr>
            <w:r>
              <w:rPr>
                <w:sz w:val="20"/>
              </w:rPr>
            </w:r>
          </w:p>
        </w:tc>
        <w:tc>
          <w:tcPr>
            <w:tcW w:w="2716" w:type="dxa"/>
          </w:tcPr>
          <w:p>
            <w:pPr>
              <w:pStyle w:val="0"/>
              <w:jc w:val="both"/>
            </w:pPr>
            <w:r>
              <w:rPr>
                <w:sz w:val="20"/>
              </w:rPr>
            </w:r>
          </w:p>
        </w:tc>
        <w:tc>
          <w:tcPr>
            <w:tcW w:w="2716" w:type="dxa"/>
          </w:tcPr>
          <w:p>
            <w:pPr>
              <w:pStyle w:val="0"/>
              <w:jc w:val="both"/>
            </w:pPr>
            <w:r>
              <w:rPr>
                <w:sz w:val="20"/>
              </w:rPr>
              <w:t xml:space="preserve">г. Севастополь</w:t>
            </w:r>
          </w:p>
        </w:tc>
        <w:tc>
          <w:tcPr>
            <w:tcW w:w="2716" w:type="dxa"/>
          </w:tcPr>
          <w:p>
            <w:pPr>
              <w:pStyle w:val="0"/>
              <w:jc w:val="both"/>
            </w:pPr>
            <w:r>
              <w:rPr>
                <w:sz w:val="20"/>
              </w:rPr>
            </w:r>
          </w:p>
        </w:tc>
        <w:tc>
          <w:tcPr>
            <w:tcW w:w="2719" w:type="dxa"/>
          </w:tcPr>
          <w:p>
            <w:pPr>
              <w:pStyle w:val="0"/>
              <w:jc w:val="both"/>
            </w:pPr>
            <w:r>
              <w:rPr>
                <w:sz w:val="20"/>
              </w:rPr>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both"/>
      </w:pPr>
      <w:r>
        <w:rPr>
          <w:sz w:val="20"/>
        </w:rPr>
      </w:r>
    </w:p>
    <w:p>
      <w:pPr>
        <w:pStyle w:val="0"/>
        <w:jc w:val="right"/>
      </w:pPr>
      <w:r>
        <w:rPr>
          <w:sz w:val="20"/>
        </w:rPr>
        <w:t xml:space="preserve">Таблица 18</w:t>
      </w:r>
    </w:p>
    <w:p>
      <w:pPr>
        <w:pStyle w:val="0"/>
      </w:pPr>
      <w:r>
        <w:rPr>
          <w:sz w:val="20"/>
        </w:rPr>
      </w:r>
    </w:p>
    <w:p>
      <w:pPr>
        <w:pStyle w:val="0"/>
        <w:jc w:val="center"/>
      </w:pPr>
      <w:r>
        <w:rPr>
          <w:sz w:val="20"/>
        </w:rPr>
        <w:t xml:space="preserve">Распределение муниципальных образований по интегральному</w:t>
      </w:r>
    </w:p>
    <w:p>
      <w:pPr>
        <w:pStyle w:val="0"/>
        <w:jc w:val="center"/>
      </w:pPr>
      <w:r>
        <w:rPr>
          <w:sz w:val="20"/>
        </w:rPr>
        <w:t xml:space="preserve">коэффициенту обеспеченности медицинскими кадрами (КОМК)</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757"/>
        <w:gridCol w:w="5613"/>
      </w:tblGrid>
      <w:tr>
        <w:tc>
          <w:tcPr>
            <w:tcW w:w="1701" w:type="dxa"/>
          </w:tcPr>
          <w:p>
            <w:pPr>
              <w:pStyle w:val="0"/>
              <w:jc w:val="center"/>
            </w:pPr>
            <w:r>
              <w:rPr>
                <w:sz w:val="20"/>
              </w:rPr>
              <w:t xml:space="preserve">Группа</w:t>
            </w:r>
          </w:p>
        </w:tc>
        <w:tc>
          <w:tcPr>
            <w:tcW w:w="1757" w:type="dxa"/>
          </w:tcPr>
          <w:p>
            <w:pPr>
              <w:pStyle w:val="0"/>
              <w:jc w:val="center"/>
            </w:pPr>
            <w:r>
              <w:rPr>
                <w:sz w:val="20"/>
              </w:rPr>
              <w:t xml:space="preserve">Наименование субъекта РФ</w:t>
            </w:r>
          </w:p>
        </w:tc>
        <w:tc>
          <w:tcPr>
            <w:tcW w:w="5613" w:type="dxa"/>
          </w:tcPr>
          <w:p>
            <w:pPr>
              <w:pStyle w:val="0"/>
              <w:jc w:val="center"/>
            </w:pPr>
            <w:r>
              <w:rPr>
                <w:sz w:val="20"/>
              </w:rPr>
              <w:t xml:space="preserve">Рекомендованные первоочередные мероприятия по улучшению (стабилизации) кадрового потенциала</w:t>
            </w:r>
          </w:p>
        </w:tc>
      </w:tr>
      <w:tr>
        <w:tc>
          <w:tcPr>
            <w:tcW w:w="1701" w:type="dxa"/>
            <w:tcBorders>
              <w:bottom w:val="nil"/>
            </w:tcBorders>
          </w:tcPr>
          <w:p>
            <w:pPr>
              <w:pStyle w:val="0"/>
              <w:jc w:val="center"/>
            </w:pPr>
            <w:r>
              <w:rPr>
                <w:sz w:val="20"/>
              </w:rPr>
              <w:t xml:space="preserve">IV</w:t>
            </w:r>
          </w:p>
        </w:tc>
        <w:tc>
          <w:tcPr>
            <w:tcW w:w="1757" w:type="dxa"/>
            <w:vMerge w:val="restart"/>
          </w:tcPr>
          <w:p>
            <w:pPr>
              <w:pStyle w:val="0"/>
              <w:jc w:val="both"/>
            </w:pPr>
            <w:r>
              <w:rPr>
                <w:sz w:val="20"/>
              </w:rPr>
              <w:t xml:space="preserve">г. Севастополь</w:t>
            </w:r>
          </w:p>
        </w:tc>
        <w:tc>
          <w:tcPr>
            <w:tcW w:w="5613" w:type="dxa"/>
            <w:vMerge w:val="restart"/>
          </w:tcPr>
          <w:p>
            <w:pPr>
              <w:pStyle w:val="0"/>
              <w:jc w:val="both"/>
            </w:pPr>
            <w:r>
              <w:rPr>
                <w:sz w:val="20"/>
              </w:rPr>
              <w:t xml:space="preserve">1. Планирование необходимой численности и структуры кадров с учетом мероприятий по улучшению доступности медицинской помощи и маршрутизации пациентов.</w:t>
            </w:r>
          </w:p>
          <w:p>
            <w:pPr>
              <w:pStyle w:val="0"/>
              <w:jc w:val="both"/>
            </w:pPr>
            <w:r>
              <w:rPr>
                <w:sz w:val="20"/>
              </w:rPr>
              <w:t xml:space="preserve">2. Оценка штатных расписаний медицинских организаций и приведение в соответствие с потребностью в медицинских специалистах исходя из планирования сети и видов оказания медицинской помощи.</w:t>
            </w:r>
          </w:p>
          <w:p>
            <w:pPr>
              <w:pStyle w:val="0"/>
              <w:jc w:val="both"/>
            </w:pPr>
            <w:r>
              <w:rPr>
                <w:sz w:val="20"/>
              </w:rPr>
              <w:t xml:space="preserve">3. Повышение престижа врача и среднего медицинского работника.</w:t>
            </w:r>
          </w:p>
          <w:p>
            <w:pPr>
              <w:pStyle w:val="0"/>
              <w:jc w:val="both"/>
            </w:pPr>
            <w:r>
              <w:rPr>
                <w:sz w:val="20"/>
              </w:rPr>
              <w:t xml:space="preserve">4. Повышение качества подготовки и уровня квалификации медицинских кадров.</w:t>
            </w:r>
          </w:p>
          <w:p>
            <w:pPr>
              <w:pStyle w:val="0"/>
              <w:jc w:val="both"/>
            </w:pPr>
            <w:r>
              <w:rPr>
                <w:sz w:val="20"/>
              </w:rPr>
              <w:t xml:space="preserve">5. Внедрение новых моделей организации медицинской помощи. Перераспределение обязанностей между врачом и медицинской сестрой, немедицинским персоналом с целью увеличения доступности врачебной помощи.</w:t>
            </w:r>
          </w:p>
          <w:p>
            <w:pPr>
              <w:pStyle w:val="0"/>
              <w:jc w:val="both"/>
            </w:pPr>
            <w:r>
              <w:rPr>
                <w:sz w:val="20"/>
              </w:rPr>
              <w:t xml:space="preserve">6. Расширение мер социальной поддержки за счет бюджетных ассигнований бюджета города Севастополя, в т.ч. компенсация расходов на оплату жилья, внеочередное предоставление места в дошкольных образовательных организациях, единовременные выплаты врачам, фельдшерам, прибывшим из других субъектов РФ, по особо востребованным специальностям</w:t>
            </w:r>
          </w:p>
        </w:tc>
      </w:tr>
      <w:tr>
        <w:tblPrEx>
          <w:tblBorders>
            <w:insideH w:val="nil"/>
          </w:tblBorders>
        </w:tblPrEx>
        <w:tc>
          <w:tcPr>
            <w:tcW w:w="1701" w:type="dxa"/>
            <w:tcBorders>
              <w:top w:val="nil"/>
            </w:tcBorders>
          </w:tcPr>
          <w:p>
            <w:pPr>
              <w:pStyle w:val="0"/>
              <w:jc w:val="both"/>
            </w:pPr>
            <w:r>
              <w:rPr>
                <w:sz w:val="20"/>
              </w:rPr>
              <w:t xml:space="preserve">Высокий КОМК - стабильная кадровая ситуация</w:t>
            </w:r>
          </w:p>
        </w:tc>
        <w:tc>
          <w:tcPr>
            <w:vMerge w:val="continue"/>
          </w:tcPr>
          <w:p/>
        </w:tc>
        <w:tc>
          <w:tcPr>
            <w:vMerge w:val="continue"/>
          </w:tcPr>
          <w:p/>
        </w:tc>
      </w:tr>
    </w:tbl>
    <w:p>
      <w:pPr>
        <w:pStyle w:val="0"/>
        <w:ind w:firstLine="540"/>
        <w:jc w:val="both"/>
      </w:pPr>
      <w:r>
        <w:rPr>
          <w:sz w:val="20"/>
        </w:rPr>
      </w:r>
    </w:p>
    <w:p>
      <w:pPr>
        <w:pStyle w:val="0"/>
        <w:ind w:firstLine="540"/>
        <w:jc w:val="both"/>
      </w:pPr>
      <w:r>
        <w:rPr>
          <w:sz w:val="20"/>
        </w:rPr>
        <w:t xml:space="preserve">2.2. Управление штатным расписанием - формирование с учетом нормативов на основании численности прикрепленного населения, географии населенного пункта, нормативов, закрепленных территориальной программой государственных гарантий бесплатного оказания гражданам медицинской помощи, структуры заболеваемости, маршрутизации пациентов, реальной нагрузки на врачей.</w:t>
      </w:r>
    </w:p>
    <w:p>
      <w:pPr>
        <w:pStyle w:val="0"/>
        <w:spacing w:before="200" w:line-rule="auto"/>
        <w:ind w:firstLine="540"/>
        <w:jc w:val="both"/>
      </w:pPr>
      <w:r>
        <w:rPr>
          <w:sz w:val="20"/>
        </w:rPr>
        <w:t xml:space="preserve">Мероприятие состоит из:</w:t>
      </w:r>
    </w:p>
    <w:p>
      <w:pPr>
        <w:pStyle w:val="0"/>
        <w:spacing w:before="200" w:line-rule="auto"/>
        <w:ind w:firstLine="540"/>
        <w:jc w:val="both"/>
      </w:pPr>
      <w:r>
        <w:rPr>
          <w:sz w:val="20"/>
        </w:rPr>
        <w:t xml:space="preserve">2.2.1. Анализа организационной и штатной численности медицинских работников в государственных медицинских организациях города Севастополя, корректировки организационной и штатной численности медицинских работников с учетом региональных особенностей (коэффициента геолокации).</w:t>
      </w:r>
    </w:p>
    <w:p>
      <w:pPr>
        <w:pStyle w:val="0"/>
        <w:spacing w:before="200" w:line-rule="auto"/>
        <w:ind w:firstLine="540"/>
        <w:jc w:val="both"/>
      </w:pPr>
      <w:r>
        <w:rPr>
          <w:sz w:val="20"/>
        </w:rPr>
        <w:t xml:space="preserve">2.2.2. Согласования с Минздравом России организационной и штатной численности медицинских работников и коэффициента геолокации.</w:t>
      </w:r>
    </w:p>
    <w:p>
      <w:pPr>
        <w:pStyle w:val="0"/>
        <w:spacing w:before="200" w:line-rule="auto"/>
        <w:ind w:firstLine="540"/>
        <w:jc w:val="both"/>
      </w:pPr>
      <w:r>
        <w:rPr>
          <w:sz w:val="20"/>
        </w:rPr>
        <w:t xml:space="preserve">2.2.3. Принятия нормативного правового акта, определяющего организационную и штатную численность медицинских работников в государственных медицинских организациях города Севастополя.</w:t>
      </w:r>
    </w:p>
    <w:p>
      <w:pPr>
        <w:pStyle w:val="0"/>
        <w:spacing w:before="200" w:line-rule="auto"/>
        <w:ind w:firstLine="540"/>
        <w:jc w:val="both"/>
      </w:pPr>
      <w:r>
        <w:rPr>
          <w:sz w:val="20"/>
        </w:rPr>
        <w:t xml:space="preserve">2.2.4. Разработки плана мероприятий по изменению штатной численности медицинских работников в государственных медицинских организациях города Севастополя.</w:t>
      </w:r>
    </w:p>
    <w:p>
      <w:pPr>
        <w:pStyle w:val="0"/>
        <w:spacing w:before="200" w:line-rule="auto"/>
        <w:ind w:firstLine="540"/>
        <w:jc w:val="both"/>
      </w:pPr>
      <w:r>
        <w:rPr>
          <w:sz w:val="20"/>
        </w:rPr>
        <w:t xml:space="preserve">2.2.5. Проведения организационно-штатных мероприятий.</w:t>
      </w:r>
    </w:p>
    <w:p>
      <w:pPr>
        <w:pStyle w:val="0"/>
        <w:spacing w:before="200" w:line-rule="auto"/>
        <w:ind w:firstLine="540"/>
        <w:jc w:val="both"/>
      </w:pPr>
      <w:r>
        <w:rPr>
          <w:sz w:val="20"/>
        </w:rPr>
        <w:t xml:space="preserve">Здравоохранение города Севастополя на протяжении последних пяти лет характеризуется кадровым дефицитом.</w:t>
      </w:r>
    </w:p>
    <w:p>
      <w:pPr>
        <w:pStyle w:val="0"/>
        <w:spacing w:before="200" w:line-rule="auto"/>
        <w:ind w:firstLine="540"/>
        <w:jc w:val="both"/>
      </w:pPr>
      <w:r>
        <w:rPr>
          <w:sz w:val="20"/>
        </w:rPr>
        <w:t xml:space="preserve">Ресурсная обеспеченность населения в сфере здравоохранения рассчитывается с учетом нормативов объемов медицинской помощи в расчете на одного жителя (одно застрахованное лицо), установленных территориальной программой государственных гарантий бесплатного оказания гражданам медицинской помощи, а также порядков оказания медицинской помощи и стандартов медицинской помощи.</w:t>
      </w:r>
    </w:p>
    <w:p>
      <w:pPr>
        <w:pStyle w:val="0"/>
        <w:spacing w:before="200" w:line-rule="auto"/>
        <w:ind w:firstLine="540"/>
        <w:jc w:val="both"/>
      </w:pPr>
      <w:r>
        <w:rPr>
          <w:sz w:val="20"/>
        </w:rPr>
        <w:t xml:space="preserve">При определении объемов оказания медицинской помощи учитываются:</w:t>
      </w:r>
    </w:p>
    <w:p>
      <w:pPr>
        <w:pStyle w:val="0"/>
        <w:spacing w:before="200" w:line-rule="auto"/>
        <w:ind w:firstLine="540"/>
        <w:jc w:val="both"/>
      </w:pPr>
      <w:r>
        <w:rPr>
          <w:sz w:val="20"/>
        </w:rPr>
        <w:t xml:space="preserve">- особенности половозрастного состава населения;</w:t>
      </w:r>
    </w:p>
    <w:p>
      <w:pPr>
        <w:pStyle w:val="0"/>
        <w:spacing w:before="200" w:line-rule="auto"/>
        <w:ind w:firstLine="540"/>
        <w:jc w:val="both"/>
      </w:pPr>
      <w:r>
        <w:rPr>
          <w:sz w:val="20"/>
        </w:rPr>
        <w:t xml:space="preserve">- уровень и структура заболеваемости населения;</w:t>
      </w:r>
    </w:p>
    <w:p>
      <w:pPr>
        <w:pStyle w:val="0"/>
        <w:spacing w:before="200" w:line-rule="auto"/>
        <w:ind w:firstLine="540"/>
        <w:jc w:val="both"/>
      </w:pPr>
      <w:r>
        <w:rPr>
          <w:sz w:val="20"/>
        </w:rPr>
        <w:t xml:space="preserve">- уровень и структура смертности населения;</w:t>
      </w:r>
    </w:p>
    <w:p>
      <w:pPr>
        <w:pStyle w:val="0"/>
        <w:spacing w:before="200" w:line-rule="auto"/>
        <w:ind w:firstLine="540"/>
        <w:jc w:val="both"/>
      </w:pPr>
      <w:r>
        <w:rPr>
          <w:sz w:val="20"/>
        </w:rPr>
        <w:t xml:space="preserve">- географические особенности региона и транспортная доступность медицинских организаций.</w:t>
      </w:r>
    </w:p>
    <w:p>
      <w:pPr>
        <w:pStyle w:val="0"/>
        <w:spacing w:before="200" w:line-rule="auto"/>
        <w:ind w:firstLine="540"/>
        <w:jc w:val="both"/>
      </w:pPr>
      <w:r>
        <w:rPr>
          <w:sz w:val="20"/>
        </w:rPr>
        <w:t xml:space="preserve">Несмотря на сложившийся кадровый дефицит объемы медицинской помощи, оказываемой в рамках территориальной программы государственных гарантий бесплатного оказания гражданам медицинской помощи, сбалансированы, в целом соответствуют федеральным нормативам.</w:t>
      </w:r>
    </w:p>
    <w:p>
      <w:pPr>
        <w:pStyle w:val="0"/>
        <w:spacing w:before="200" w:line-rule="auto"/>
        <w:ind w:firstLine="540"/>
        <w:jc w:val="both"/>
      </w:pPr>
      <w:r>
        <w:rPr>
          <w:sz w:val="20"/>
        </w:rPr>
        <w:t xml:space="preserve">Штатные должности специалистов медицинских организаций устанавливаются медицинскими организациями на основании плановых объемов медицинской помощи, оказываемой в амбулаторных условиях, условиях дневного стационара, стационарных условиях, а также вне стационара структурными подразделениями скорой, в том числе специализированной, медицинской помощи с учетом порядков оказания медицинской помощи, рекомендуемого числа посещений в год на одну должность врача.</w:t>
      </w:r>
    </w:p>
    <w:p>
      <w:pPr>
        <w:pStyle w:val="0"/>
        <w:spacing w:before="200" w:line-rule="auto"/>
        <w:ind w:firstLine="540"/>
        <w:jc w:val="both"/>
      </w:pPr>
      <w:r>
        <w:rPr>
          <w:sz w:val="20"/>
        </w:rPr>
        <w:t xml:space="preserve">Совместно с ФГБУ ЦНИИОИЗ Минздрава России была определена и согласована потребность во врачах и среднем медицинском персонале первичного звена здравоохранения (общая потребность - 479 человек, из них врачей-онкологов - 42 человека, врачей-оториноларингологов - 29 человек, врачей-педиатров участковых - 14 человек, врачей-терапевтов участковых - 84 человека, врачей общей практики (семейных) - 12 человек, врачей-инфекционистов - 17 человек, врачей-дерматовенерологов - 5 человек, врачей - акушеров-гинекологов в поликлиниках - 8 человек и врачей скорой медицинской помощи - 57 человек).</w:t>
      </w:r>
    </w:p>
    <w:p>
      <w:pPr>
        <w:pStyle w:val="0"/>
        <w:spacing w:before="200" w:line-rule="auto"/>
        <w:ind w:firstLine="540"/>
        <w:jc w:val="both"/>
      </w:pPr>
      <w:r>
        <w:rPr>
          <w:sz w:val="20"/>
        </w:rPr>
        <w:t xml:space="preserve">Сложившееся положение приводит к значительному превышению нагрузки на врачей по сравнению с нормативными (врачи - онкологи, оториноларингологи, педиатры участковые, терапевты участковые, общей практики (семейные), инфекционисты), в некоторых случаях нагрузка на одну должность врача не дотягивает до норматива (дерматовенерологи, акушеры-гинекологи).</w:t>
      </w:r>
    </w:p>
    <w:p>
      <w:pPr>
        <w:pStyle w:val="0"/>
        <w:spacing w:before="200" w:line-rule="auto"/>
        <w:ind w:firstLine="540"/>
        <w:jc w:val="both"/>
      </w:pPr>
      <w:r>
        <w:rPr>
          <w:sz w:val="20"/>
        </w:rPr>
        <w:t xml:space="preserve">Потребность в среднем медицинском персонале составляет 257 специалистов, в частности: акушерок - 49 человек, фельдшеров - 67 человек, медицинских сестер врачей-терапевтов участковых - 97 человек, медицинских сестер врачей-педиатров участковых - 8 человек, медицинских сестер врачей общей практики (семейной медицины) - 4 человека.</w:t>
      </w:r>
    </w:p>
    <w:p>
      <w:pPr>
        <w:pStyle w:val="0"/>
        <w:spacing w:before="200" w:line-rule="auto"/>
        <w:ind w:firstLine="540"/>
        <w:jc w:val="both"/>
      </w:pPr>
      <w:r>
        <w:rPr>
          <w:sz w:val="20"/>
        </w:rPr>
        <w:t xml:space="preserve">Помимо непосредственно дефицита кадров существуют кадровые диспропорции, а именно:</w:t>
      </w:r>
    </w:p>
    <w:p>
      <w:pPr>
        <w:pStyle w:val="0"/>
        <w:spacing w:before="200" w:line-rule="auto"/>
        <w:ind w:firstLine="540"/>
        <w:jc w:val="both"/>
      </w:pPr>
      <w:r>
        <w:rPr>
          <w:sz w:val="20"/>
        </w:rPr>
        <w:t xml:space="preserve">- неравномерная концентрация медицинских работников в городах и дефицит их в сельской местности;</w:t>
      </w:r>
    </w:p>
    <w:p>
      <w:pPr>
        <w:pStyle w:val="0"/>
        <w:spacing w:before="200" w:line-rule="auto"/>
        <w:ind w:firstLine="540"/>
        <w:jc w:val="both"/>
      </w:pPr>
      <w:r>
        <w:rPr>
          <w:sz w:val="20"/>
        </w:rPr>
        <w:t xml:space="preserve">- профицит кадров в стационарных учреждениях (230 врачей и 541 специалист со средним медицинским образованием), их дефицит в амбулаторно-поликлиническом звене (479 врачей и 257 специалистов среднего медицинского персонала). Для снижения профицита кадров в стационарных учреждениях планируется создание консультативно-диагностических отделений для связи с амбулаторно-поликлиническим звеном;</w:t>
      </w:r>
    </w:p>
    <w:p>
      <w:pPr>
        <w:pStyle w:val="0"/>
        <w:spacing w:before="200" w:line-rule="auto"/>
        <w:ind w:firstLine="540"/>
        <w:jc w:val="both"/>
      </w:pPr>
      <w:r>
        <w:rPr>
          <w:sz w:val="20"/>
        </w:rPr>
        <w:t xml:space="preserve">- между численностью врачей и среднего медицинского персонала (соотношение врачей к среднему медицинскому персоналу составляет 1 к 1,9);</w:t>
      </w:r>
    </w:p>
    <w:p>
      <w:pPr>
        <w:pStyle w:val="0"/>
        <w:spacing w:before="200" w:line-rule="auto"/>
        <w:ind w:firstLine="540"/>
        <w:jc w:val="both"/>
      </w:pPr>
      <w:r>
        <w:rPr>
          <w:sz w:val="20"/>
        </w:rPr>
        <w:t xml:space="preserve">- между специалистами пенсионного возраста и молодыми специалистами (доля специалистов пенсионного возраста составляет 16,9%, доля молодых специалистов - 29,8%).</w:t>
      </w:r>
    </w:p>
    <w:p>
      <w:pPr>
        <w:pStyle w:val="0"/>
        <w:spacing w:before="200" w:line-rule="auto"/>
        <w:ind w:firstLine="540"/>
        <w:jc w:val="both"/>
      </w:pPr>
      <w:r>
        <w:rPr>
          <w:sz w:val="20"/>
        </w:rPr>
        <w:t xml:space="preserve">Оценка потребности системы здравоохранения города Севастополя в медицинских кадрах проводится ежегодно на основании методик, утвержденных приказами Минздрава России от 29 ноября 2019 г. </w:t>
      </w:r>
      <w:hyperlink w:history="0" r:id="rId964" w:tooltip="Приказ Минздрава России от 29.11.2019 N 974 &quot;Об утверждении методики расчета потребности во врачебных кадрах&quot; {КонсультантПлюс}">
        <w:r>
          <w:rPr>
            <w:sz w:val="20"/>
            <w:color w:val="0000ff"/>
          </w:rPr>
          <w:t xml:space="preserve">N 974</w:t>
        </w:r>
      </w:hyperlink>
      <w:r>
        <w:rPr>
          <w:sz w:val="20"/>
        </w:rPr>
        <w:t xml:space="preserve"> "Об утверждении методики расчета потребности во врачебных кадрах" и от 29 ноября 2019 г. </w:t>
      </w:r>
      <w:hyperlink w:history="0" r:id="rId965" w:tooltip="Приказ Минздрава России от 29.11.2019 N 973 &quot;Об утверждении методики расчета потребности в специалистах со средним медицинским образованием&quot; {КонсультантПлюс}">
        <w:r>
          <w:rPr>
            <w:sz w:val="20"/>
            <w:color w:val="0000ff"/>
          </w:rPr>
          <w:t xml:space="preserve">N 973</w:t>
        </w:r>
      </w:hyperlink>
      <w:r>
        <w:rPr>
          <w:sz w:val="20"/>
        </w:rPr>
        <w:t xml:space="preserve"> "Об утверждении методики расчета потребности в специалистах со средним медицинским образованием".</w:t>
      </w:r>
    </w:p>
    <w:p>
      <w:pPr>
        <w:pStyle w:val="0"/>
        <w:spacing w:before="200" w:line-rule="auto"/>
        <w:ind w:firstLine="540"/>
        <w:jc w:val="both"/>
      </w:pPr>
      <w:r>
        <w:rPr>
          <w:sz w:val="20"/>
        </w:rPr>
        <w:t xml:space="preserve">2.3. Для привлечения молодых специалистов в сфере здравоохранения в городе Севастополе проводится работа по заключению договоров о целевом обучении с выпускниками школ и медицинских вузов на обучение в ФГАОУ ВО "Первый Московский государственный медицинский университет имени И.М. Сеченова" Минздрава России, ФГБОУ ВО "Первый Санкт-Петербургский государственный медицинский университет имени академика И.П. Павлова" Минздрава России, ФГБОУ ВО "Кубанский государственный медицинский университет" Минздрава России, Крымская медицинская академия им. С.И. Георгиевского ФГАОУ ВО "КФУ им. В.И. Вернадского".</w:t>
      </w:r>
    </w:p>
    <w:p>
      <w:pPr>
        <w:pStyle w:val="0"/>
        <w:spacing w:before="200" w:line-rule="auto"/>
        <w:ind w:firstLine="540"/>
        <w:jc w:val="both"/>
      </w:pPr>
      <w:r>
        <w:rPr>
          <w:sz w:val="20"/>
        </w:rPr>
        <w:t xml:space="preserve">В 2019 году поступило: бакалавриат - 1 человек, специалитет - 57 человек, ординатура - 16 человек.</w:t>
      </w:r>
    </w:p>
    <w:p>
      <w:pPr>
        <w:pStyle w:val="0"/>
        <w:spacing w:before="200" w:line-rule="auto"/>
        <w:ind w:firstLine="540"/>
        <w:jc w:val="both"/>
      </w:pPr>
      <w:r>
        <w:rPr>
          <w:sz w:val="20"/>
        </w:rPr>
        <w:t xml:space="preserve">В 2020 году поступило: специалитет - 53 человека, ординатура - 44 человека, медицинский колледж - 179 человек.</w:t>
      </w:r>
    </w:p>
    <w:p>
      <w:pPr>
        <w:pStyle w:val="0"/>
        <w:spacing w:before="200" w:line-rule="auto"/>
        <w:ind w:firstLine="540"/>
        <w:jc w:val="both"/>
      </w:pPr>
      <w:r>
        <w:rPr>
          <w:sz w:val="20"/>
        </w:rPr>
        <w:t xml:space="preserve">Планируемый приток кадров за счет выпускников вузов по годам.</w:t>
      </w:r>
    </w:p>
    <w:p>
      <w:pPr>
        <w:pStyle w:val="0"/>
        <w:spacing w:before="200" w:line-rule="auto"/>
        <w:ind w:firstLine="540"/>
        <w:jc w:val="both"/>
      </w:pPr>
      <w:r>
        <w:rPr>
          <w:sz w:val="20"/>
        </w:rPr>
        <w:t xml:space="preserve">Специалитет: 2020 год - 24 человека; 2021 год - 25 человек; 2022 год - 30 человек; 2023 год - 24 человека; 2024 год - 28 человек, 2025 год - 59 человек.</w:t>
      </w:r>
    </w:p>
    <w:p>
      <w:pPr>
        <w:pStyle w:val="0"/>
        <w:spacing w:before="200" w:line-rule="auto"/>
        <w:ind w:firstLine="540"/>
        <w:jc w:val="both"/>
      </w:pPr>
      <w:r>
        <w:rPr>
          <w:sz w:val="20"/>
        </w:rPr>
        <w:t xml:space="preserve">Ординатура: 2020 год - 26 человек; 2021 год - 16 человек; 2022 год - 44 человека.</w:t>
      </w:r>
    </w:p>
    <w:p>
      <w:pPr>
        <w:pStyle w:val="0"/>
        <w:spacing w:before="200" w:line-rule="auto"/>
        <w:ind w:firstLine="540"/>
        <w:jc w:val="both"/>
      </w:pPr>
      <w:r>
        <w:rPr>
          <w:sz w:val="20"/>
        </w:rPr>
        <w:t xml:space="preserve">Планируемый приток кадров за счет выпускников СГБОУ ПО "Севастопольский медицинский колледж имени Жени Дерюгиной" по годам: 2022 год - 27 человек; 2023 год - 118 человек, 2024 - 165 человек.</w:t>
      </w:r>
    </w:p>
    <w:p>
      <w:pPr>
        <w:pStyle w:val="0"/>
        <w:spacing w:before="200" w:line-rule="auto"/>
        <w:ind w:firstLine="540"/>
        <w:jc w:val="both"/>
      </w:pPr>
      <w:r>
        <w:rPr>
          <w:sz w:val="20"/>
        </w:rPr>
        <w:t xml:space="preserve">С 2019 года в качестве мер социальной поддержки для лиц, обучающихся по договорам о целевом обучении по программам специалитета, ординатуры, предусмотрены:</w:t>
      </w:r>
    </w:p>
    <w:p>
      <w:pPr>
        <w:pStyle w:val="0"/>
        <w:spacing w:before="200" w:line-rule="auto"/>
        <w:ind w:firstLine="540"/>
        <w:jc w:val="both"/>
      </w:pPr>
      <w:r>
        <w:rPr>
          <w:sz w:val="20"/>
        </w:rPr>
        <w:t xml:space="preserve">- доплаты к государственной академической стипендии и (или) государственной социальной стипендии студентам в течение двух последних лет обучения, доплаты к государственной стипендии ординаторам в течение всего срока обучения в размере 3000 рублей в месяц;</w:t>
      </w:r>
    </w:p>
    <w:p>
      <w:pPr>
        <w:pStyle w:val="0"/>
        <w:spacing w:before="200" w:line-rule="auto"/>
        <w:ind w:firstLine="540"/>
        <w:jc w:val="both"/>
      </w:pPr>
      <w:r>
        <w:rPr>
          <w:sz w:val="20"/>
        </w:rPr>
        <w:t xml:space="preserve">- компенсационные выплаты за наем жилья (жилого помещения в общежитии) студентам в течение двух последних лет обучения, ординаторам в течение всего срока обучения в размере 6000 рублей в месяц;</w:t>
      </w:r>
    </w:p>
    <w:p>
      <w:pPr>
        <w:pStyle w:val="0"/>
        <w:spacing w:before="200" w:line-rule="auto"/>
        <w:ind w:firstLine="540"/>
        <w:jc w:val="both"/>
      </w:pPr>
      <w:r>
        <w:rPr>
          <w:sz w:val="20"/>
        </w:rPr>
        <w:t xml:space="preserve">- возмещение расходов на проезд к месту учебы и обратно к месту постоянного проживания в течение всего срока обучения в размере, не превышающем 10000 рублей, один раз в год.</w:t>
      </w:r>
    </w:p>
    <w:p>
      <w:pPr>
        <w:pStyle w:val="0"/>
        <w:spacing w:before="200" w:line-rule="auto"/>
        <w:ind w:firstLine="540"/>
        <w:jc w:val="both"/>
      </w:pPr>
      <w:r>
        <w:rPr>
          <w:sz w:val="20"/>
        </w:rPr>
        <w:t xml:space="preserve">Для лиц, обучающихся по договорам о целевом обучении, по программам среднего профессионального образования в период обучения в СГБОУПО "Севастопольский медицинский колледж имени Жени Дерюгиной" предусмотрена ежемесячная денежная выплата на приобретение учебной литературы и письменных принадлежностей в размере 500 рублей.</w:t>
      </w:r>
    </w:p>
    <w:p>
      <w:pPr>
        <w:pStyle w:val="0"/>
        <w:spacing w:before="200" w:line-rule="auto"/>
        <w:ind w:firstLine="540"/>
        <w:jc w:val="both"/>
      </w:pPr>
      <w:r>
        <w:rPr>
          <w:sz w:val="20"/>
        </w:rPr>
        <w:t xml:space="preserve">После получения свидетельства об аккредитации специалиста в первичное звено в 2019 году трудоустроилось 58 врачей и 114 специалистов со средним медицинским образованием (2018 год - 55 и 126 соответственно, 2017 год - 33 врача).</w:t>
      </w:r>
    </w:p>
    <w:p>
      <w:pPr>
        <w:pStyle w:val="0"/>
        <w:spacing w:before="200" w:line-rule="auto"/>
        <w:ind w:firstLine="540"/>
        <w:jc w:val="both"/>
      </w:pPr>
      <w:r>
        <w:rPr>
          <w:sz w:val="20"/>
        </w:rPr>
        <w:t xml:space="preserve">2.4. Обеспечение медицинскими кадрами (целевое обучение (специалитет, ординатура); планирование подготовки и переподготовки за счет средств федерального и регионального бюджетов, средств нормированного страхового запаса, привлечение медицинских работников за счет средств нормированного страхового запаса территориального фонда обязательного медицинского страхования на оплату труда медицинских работников).</w:t>
      </w:r>
    </w:p>
    <w:p>
      <w:pPr>
        <w:pStyle w:val="0"/>
        <w:spacing w:before="200" w:line-rule="auto"/>
        <w:ind w:firstLine="540"/>
        <w:jc w:val="both"/>
      </w:pPr>
      <w:r>
        <w:rPr>
          <w:sz w:val="20"/>
        </w:rPr>
        <w:t xml:space="preserve">По данным Федеральной службы государственной статистики, в городе Севастополе к 2024 году численность населения будет составлять 481 тысячу человек. Для оказания первичной медико-санитарной помощи к 2025 году нужно 748 врачей и 1430 средних медицинских работников.</w:t>
      </w:r>
    </w:p>
    <w:p>
      <w:pPr>
        <w:pStyle w:val="0"/>
        <w:spacing w:before="200" w:line-rule="auto"/>
        <w:ind w:firstLine="540"/>
        <w:jc w:val="both"/>
      </w:pPr>
      <w:r>
        <w:rPr>
          <w:sz w:val="20"/>
        </w:rPr>
        <w:t xml:space="preserve">План покрытия потребности в медицинских кадрах представлен в </w:t>
      </w:r>
      <w:hyperlink w:history="0" w:anchor="P38769" w:tooltip="Дефицит медицинских кадров">
        <w:r>
          <w:rPr>
            <w:sz w:val="20"/>
            <w:color w:val="0000ff"/>
          </w:rPr>
          <w:t xml:space="preserve">таблице 18.1</w:t>
        </w:r>
      </w:hyperlink>
      <w:r>
        <w:rPr>
          <w:sz w:val="20"/>
        </w:rPr>
        <w:t xml:space="preserve">.</w:t>
      </w:r>
    </w:p>
    <w:p>
      <w:pPr>
        <w:pStyle w:val="0"/>
        <w:jc w:val="both"/>
      </w:pPr>
      <w:r>
        <w:rPr>
          <w:sz w:val="20"/>
        </w:rPr>
      </w:r>
    </w:p>
    <w:p>
      <w:pPr>
        <w:pStyle w:val="0"/>
        <w:jc w:val="right"/>
      </w:pPr>
      <w:r>
        <w:rPr>
          <w:sz w:val="20"/>
        </w:rPr>
        <w:t xml:space="preserve">Таблица 18.1</w:t>
      </w:r>
    </w:p>
    <w:p>
      <w:pPr>
        <w:pStyle w:val="0"/>
        <w:jc w:val="both"/>
      </w:pPr>
      <w:r>
        <w:rPr>
          <w:sz w:val="20"/>
        </w:rPr>
      </w:r>
    </w:p>
    <w:bookmarkStart w:id="38769" w:name="P38769"/>
    <w:bookmarkEnd w:id="38769"/>
    <w:p>
      <w:pPr>
        <w:pStyle w:val="0"/>
        <w:jc w:val="center"/>
      </w:pPr>
      <w:r>
        <w:rPr>
          <w:sz w:val="20"/>
        </w:rPr>
        <w:t xml:space="preserve">Дефицит медицинских кадров</w:t>
      </w:r>
    </w:p>
    <w:p>
      <w:pPr>
        <w:pStyle w:val="0"/>
        <w:jc w:val="center"/>
      </w:pPr>
      <w:r>
        <w:rPr>
          <w:sz w:val="20"/>
        </w:rPr>
        <w:t xml:space="preserve">(план покрытия потребности в медицинских кадрах)</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1020"/>
        <w:gridCol w:w="1052"/>
        <w:gridCol w:w="1052"/>
        <w:gridCol w:w="949"/>
        <w:gridCol w:w="944"/>
        <w:gridCol w:w="944"/>
        <w:gridCol w:w="944"/>
      </w:tblGrid>
      <w:tr>
        <w:tc>
          <w:tcPr>
            <w:tcW w:w="2154" w:type="dxa"/>
            <w:vMerge w:val="restart"/>
          </w:tcPr>
          <w:p>
            <w:pPr>
              <w:pStyle w:val="0"/>
              <w:jc w:val="center"/>
            </w:pPr>
            <w:r>
              <w:rPr>
                <w:sz w:val="20"/>
              </w:rPr>
              <w:t xml:space="preserve">Должности</w:t>
            </w:r>
          </w:p>
        </w:tc>
        <w:tc>
          <w:tcPr>
            <w:gridSpan w:val="4"/>
            <w:tcW w:w="4073" w:type="dxa"/>
          </w:tcPr>
          <w:p>
            <w:pPr>
              <w:pStyle w:val="0"/>
              <w:jc w:val="center"/>
            </w:pPr>
            <w:r>
              <w:rPr>
                <w:sz w:val="20"/>
              </w:rPr>
              <w:t xml:space="preserve">Дефицит врачебных кадров в медицинских организациях подчинения субъекта (с учетом планирования объемов)</w:t>
            </w:r>
          </w:p>
        </w:tc>
        <w:tc>
          <w:tcPr>
            <w:gridSpan w:val="3"/>
            <w:tcW w:w="2832" w:type="dxa"/>
          </w:tcPr>
          <w:p>
            <w:pPr>
              <w:pStyle w:val="0"/>
              <w:jc w:val="center"/>
            </w:pPr>
            <w:r>
              <w:rPr>
                <w:sz w:val="20"/>
              </w:rPr>
              <w:t xml:space="preserve">Планирование закрытия дефицита (с учетом программных мероприятий, планирования сети)</w:t>
            </w:r>
          </w:p>
        </w:tc>
      </w:tr>
      <w:tr>
        <w:tc>
          <w:tcPr>
            <w:vMerge w:val="continue"/>
          </w:tcPr>
          <w:p/>
        </w:tc>
        <w:tc>
          <w:tcPr>
            <w:tcW w:w="1020" w:type="dxa"/>
          </w:tcPr>
          <w:p>
            <w:pPr>
              <w:pStyle w:val="0"/>
              <w:jc w:val="center"/>
            </w:pPr>
            <w:r>
              <w:rPr>
                <w:sz w:val="20"/>
              </w:rPr>
              <w:t xml:space="preserve">Всего</w:t>
            </w:r>
          </w:p>
        </w:tc>
        <w:tc>
          <w:tcPr>
            <w:tcW w:w="1052" w:type="dxa"/>
          </w:tcPr>
          <w:p>
            <w:pPr>
              <w:pStyle w:val="0"/>
              <w:jc w:val="center"/>
            </w:pPr>
            <w:r>
              <w:rPr>
                <w:sz w:val="20"/>
              </w:rPr>
              <w:t xml:space="preserve">Поликлиника</w:t>
            </w:r>
          </w:p>
        </w:tc>
        <w:tc>
          <w:tcPr>
            <w:tcW w:w="1052" w:type="dxa"/>
          </w:tcPr>
          <w:p>
            <w:pPr>
              <w:pStyle w:val="0"/>
              <w:jc w:val="center"/>
            </w:pPr>
            <w:r>
              <w:rPr>
                <w:sz w:val="20"/>
              </w:rPr>
              <w:t xml:space="preserve">Стационар</w:t>
            </w:r>
          </w:p>
        </w:tc>
        <w:tc>
          <w:tcPr>
            <w:tcW w:w="949" w:type="dxa"/>
          </w:tcPr>
          <w:p>
            <w:pPr>
              <w:pStyle w:val="0"/>
              <w:jc w:val="center"/>
            </w:pPr>
            <w:r>
              <w:rPr>
                <w:sz w:val="20"/>
              </w:rPr>
              <w:t xml:space="preserve">Особый тип</w:t>
            </w:r>
          </w:p>
        </w:tc>
        <w:tc>
          <w:tcPr>
            <w:tcW w:w="944" w:type="dxa"/>
          </w:tcPr>
          <w:p>
            <w:pPr>
              <w:pStyle w:val="0"/>
              <w:jc w:val="center"/>
            </w:pPr>
            <w:r>
              <w:rPr>
                <w:sz w:val="20"/>
              </w:rPr>
              <w:t xml:space="preserve">2020</w:t>
            </w:r>
          </w:p>
        </w:tc>
        <w:tc>
          <w:tcPr>
            <w:tcW w:w="944" w:type="dxa"/>
          </w:tcPr>
          <w:p>
            <w:pPr>
              <w:pStyle w:val="0"/>
              <w:jc w:val="center"/>
            </w:pPr>
            <w:r>
              <w:rPr>
                <w:sz w:val="20"/>
              </w:rPr>
              <w:t xml:space="preserve">2021</w:t>
            </w:r>
          </w:p>
        </w:tc>
        <w:tc>
          <w:tcPr>
            <w:tcW w:w="944" w:type="dxa"/>
          </w:tcPr>
          <w:p>
            <w:pPr>
              <w:pStyle w:val="0"/>
              <w:jc w:val="center"/>
            </w:pPr>
            <w:r>
              <w:rPr>
                <w:sz w:val="20"/>
              </w:rPr>
              <w:t xml:space="preserve">2022</w:t>
            </w:r>
          </w:p>
        </w:tc>
      </w:tr>
      <w:tr>
        <w:tc>
          <w:tcPr>
            <w:tcW w:w="2154" w:type="dxa"/>
          </w:tcPr>
          <w:p>
            <w:pPr>
              <w:pStyle w:val="0"/>
              <w:jc w:val="both"/>
            </w:pPr>
            <w:r>
              <w:rPr>
                <w:sz w:val="20"/>
              </w:rPr>
              <w:t xml:space="preserve">акушеры-гинекологи</w:t>
            </w:r>
          </w:p>
        </w:tc>
        <w:tc>
          <w:tcPr>
            <w:tcW w:w="1020" w:type="dxa"/>
          </w:tcPr>
          <w:p>
            <w:pPr>
              <w:pStyle w:val="0"/>
              <w:jc w:val="center"/>
            </w:pPr>
            <w:r>
              <w:rPr>
                <w:sz w:val="20"/>
              </w:rPr>
              <w:t xml:space="preserve">13</w:t>
            </w:r>
          </w:p>
        </w:tc>
        <w:tc>
          <w:tcPr>
            <w:tcW w:w="1052" w:type="dxa"/>
          </w:tcPr>
          <w:p>
            <w:pPr>
              <w:pStyle w:val="0"/>
              <w:jc w:val="center"/>
            </w:pPr>
            <w:r>
              <w:rPr>
                <w:sz w:val="20"/>
              </w:rPr>
              <w:t xml:space="preserve">-2</w:t>
            </w:r>
          </w:p>
        </w:tc>
        <w:tc>
          <w:tcPr>
            <w:tcW w:w="1052" w:type="dxa"/>
          </w:tcPr>
          <w:p>
            <w:pPr>
              <w:pStyle w:val="0"/>
              <w:jc w:val="center"/>
            </w:pPr>
            <w:r>
              <w:rPr>
                <w:sz w:val="20"/>
              </w:rPr>
              <w:t xml:space="preserve">15</w:t>
            </w:r>
          </w:p>
        </w:tc>
        <w:tc>
          <w:tcPr>
            <w:tcW w:w="949" w:type="dxa"/>
          </w:tcPr>
          <w:p>
            <w:pPr>
              <w:pStyle w:val="0"/>
              <w:jc w:val="center"/>
            </w:pPr>
            <w:r>
              <w:rPr>
                <w:sz w:val="20"/>
              </w:rPr>
            </w:r>
          </w:p>
        </w:tc>
        <w:tc>
          <w:tcPr>
            <w:tcW w:w="944" w:type="dxa"/>
          </w:tcPr>
          <w:p>
            <w:pPr>
              <w:pStyle w:val="0"/>
              <w:jc w:val="center"/>
            </w:pPr>
            <w:r>
              <w:rPr>
                <w:sz w:val="20"/>
              </w:rPr>
              <w:t xml:space="preserve">6</w:t>
            </w:r>
          </w:p>
        </w:tc>
        <w:tc>
          <w:tcPr>
            <w:tcW w:w="944" w:type="dxa"/>
          </w:tcPr>
          <w:p>
            <w:pPr>
              <w:pStyle w:val="0"/>
              <w:jc w:val="center"/>
            </w:pPr>
            <w:r>
              <w:rPr>
                <w:sz w:val="20"/>
              </w:rPr>
              <w:t xml:space="preserve">5</w:t>
            </w:r>
          </w:p>
        </w:tc>
        <w:tc>
          <w:tcPr>
            <w:tcW w:w="944" w:type="dxa"/>
          </w:tcPr>
          <w:p>
            <w:pPr>
              <w:pStyle w:val="0"/>
              <w:jc w:val="center"/>
            </w:pPr>
            <w:r>
              <w:rPr>
                <w:sz w:val="20"/>
              </w:rPr>
              <w:t xml:space="preserve">2</w:t>
            </w:r>
          </w:p>
        </w:tc>
      </w:tr>
      <w:tr>
        <w:tc>
          <w:tcPr>
            <w:tcW w:w="2154" w:type="dxa"/>
          </w:tcPr>
          <w:p>
            <w:pPr>
              <w:pStyle w:val="0"/>
              <w:jc w:val="both"/>
            </w:pPr>
            <w:r>
              <w:rPr>
                <w:sz w:val="20"/>
              </w:rPr>
              <w:t xml:space="preserve">аллергологи-иммунологи</w:t>
            </w:r>
          </w:p>
        </w:tc>
        <w:tc>
          <w:tcPr>
            <w:tcW w:w="1020" w:type="dxa"/>
          </w:tcPr>
          <w:p>
            <w:pPr>
              <w:pStyle w:val="0"/>
              <w:jc w:val="center"/>
            </w:pPr>
            <w:r>
              <w:rPr>
                <w:sz w:val="20"/>
              </w:rPr>
              <w:t xml:space="preserve">-3</w:t>
            </w:r>
          </w:p>
        </w:tc>
        <w:tc>
          <w:tcPr>
            <w:tcW w:w="1052" w:type="dxa"/>
          </w:tcPr>
          <w:p>
            <w:pPr>
              <w:pStyle w:val="0"/>
              <w:jc w:val="center"/>
            </w:pPr>
            <w:r>
              <w:rPr>
                <w:sz w:val="20"/>
              </w:rPr>
              <w:t xml:space="preserve">-3</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гастроэнтерологи</w:t>
            </w:r>
          </w:p>
        </w:tc>
        <w:tc>
          <w:tcPr>
            <w:tcW w:w="1020" w:type="dxa"/>
          </w:tcPr>
          <w:p>
            <w:pPr>
              <w:pStyle w:val="0"/>
              <w:jc w:val="center"/>
            </w:pPr>
            <w:r>
              <w:rPr>
                <w:sz w:val="20"/>
              </w:rPr>
            </w:r>
          </w:p>
        </w:tc>
        <w:tc>
          <w:tcPr>
            <w:tcW w:w="1052" w:type="dxa"/>
          </w:tcPr>
          <w:p>
            <w:pPr>
              <w:pStyle w:val="0"/>
              <w:jc w:val="center"/>
            </w:pPr>
            <w:r>
              <w:rPr>
                <w:sz w:val="20"/>
              </w:rPr>
              <w:t xml:space="preserve">1</w:t>
            </w:r>
          </w:p>
        </w:tc>
        <w:tc>
          <w:tcPr>
            <w:tcW w:w="1052" w:type="dxa"/>
          </w:tcPr>
          <w:p>
            <w:pPr>
              <w:pStyle w:val="0"/>
              <w:jc w:val="center"/>
            </w:pPr>
            <w:r>
              <w:rPr>
                <w:sz w:val="20"/>
              </w:rPr>
              <w:t xml:space="preserve">-1</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1</w:t>
            </w:r>
          </w:p>
        </w:tc>
      </w:tr>
      <w:tr>
        <w:tc>
          <w:tcPr>
            <w:tcW w:w="2154" w:type="dxa"/>
          </w:tcPr>
          <w:p>
            <w:pPr>
              <w:pStyle w:val="0"/>
              <w:jc w:val="both"/>
            </w:pPr>
            <w:r>
              <w:rPr>
                <w:sz w:val="20"/>
              </w:rPr>
              <w:t xml:space="preserve">гематологи</w:t>
            </w:r>
          </w:p>
        </w:tc>
        <w:tc>
          <w:tcPr>
            <w:tcW w:w="1020" w:type="dxa"/>
          </w:tcPr>
          <w:p>
            <w:pPr>
              <w:pStyle w:val="0"/>
              <w:jc w:val="center"/>
            </w:pPr>
            <w:r>
              <w:rPr>
                <w:sz w:val="20"/>
              </w:rPr>
              <w:t xml:space="preserve">-2</w:t>
            </w:r>
          </w:p>
        </w:tc>
        <w:tc>
          <w:tcPr>
            <w:tcW w:w="1052" w:type="dxa"/>
          </w:tcPr>
          <w:p>
            <w:pPr>
              <w:pStyle w:val="0"/>
              <w:jc w:val="center"/>
            </w:pPr>
            <w:r>
              <w:rPr>
                <w:sz w:val="20"/>
              </w:rPr>
            </w:r>
          </w:p>
        </w:tc>
        <w:tc>
          <w:tcPr>
            <w:tcW w:w="1052" w:type="dxa"/>
          </w:tcPr>
          <w:p>
            <w:pPr>
              <w:pStyle w:val="0"/>
              <w:jc w:val="center"/>
            </w:pPr>
            <w:r>
              <w:rPr>
                <w:sz w:val="20"/>
              </w:rPr>
              <w:t xml:space="preserve">-2</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генетики</w:t>
            </w:r>
          </w:p>
        </w:tc>
        <w:tc>
          <w:tcPr>
            <w:tcW w:w="1020" w:type="dxa"/>
          </w:tcPr>
          <w:p>
            <w:pPr>
              <w:pStyle w:val="0"/>
              <w:jc w:val="center"/>
            </w:pPr>
            <w:r>
              <w:rPr>
                <w:sz w:val="20"/>
              </w:rPr>
              <w:t xml:space="preserve">-1</w:t>
            </w:r>
          </w:p>
        </w:tc>
        <w:tc>
          <w:tcPr>
            <w:tcW w:w="1052" w:type="dxa"/>
          </w:tcPr>
          <w:p>
            <w:pPr>
              <w:pStyle w:val="0"/>
              <w:jc w:val="center"/>
            </w:pPr>
            <w:r>
              <w:rPr>
                <w:sz w:val="20"/>
              </w:rPr>
              <w:t xml:space="preserve">-1</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t xml:space="preserve">1</w:t>
            </w:r>
          </w:p>
        </w:tc>
        <w:tc>
          <w:tcPr>
            <w:tcW w:w="944" w:type="dxa"/>
          </w:tcPr>
          <w:p>
            <w:pPr>
              <w:pStyle w:val="0"/>
              <w:jc w:val="center"/>
            </w:pPr>
            <w:r>
              <w:rPr>
                <w:sz w:val="20"/>
              </w:rPr>
            </w:r>
          </w:p>
        </w:tc>
        <w:tc>
          <w:tcPr>
            <w:tcW w:w="944" w:type="dxa"/>
          </w:tcPr>
          <w:p>
            <w:pPr>
              <w:pStyle w:val="0"/>
              <w:jc w:val="center"/>
            </w:pPr>
            <w:r>
              <w:rPr>
                <w:sz w:val="20"/>
              </w:rPr>
              <w:t xml:space="preserve">1</w:t>
            </w:r>
          </w:p>
        </w:tc>
      </w:tr>
      <w:tr>
        <w:tc>
          <w:tcPr>
            <w:tcW w:w="2154" w:type="dxa"/>
          </w:tcPr>
          <w:p>
            <w:pPr>
              <w:pStyle w:val="0"/>
              <w:jc w:val="both"/>
            </w:pPr>
            <w:r>
              <w:rPr>
                <w:sz w:val="20"/>
              </w:rPr>
              <w:t xml:space="preserve">гериатры</w:t>
            </w:r>
          </w:p>
        </w:tc>
        <w:tc>
          <w:tcPr>
            <w:tcW w:w="1020" w:type="dxa"/>
          </w:tcPr>
          <w:p>
            <w:pPr>
              <w:pStyle w:val="0"/>
              <w:jc w:val="center"/>
            </w:pPr>
            <w:r>
              <w:rPr>
                <w:sz w:val="20"/>
              </w:rPr>
              <w:t xml:space="preserve">-2</w:t>
            </w:r>
          </w:p>
        </w:tc>
        <w:tc>
          <w:tcPr>
            <w:tcW w:w="1052" w:type="dxa"/>
          </w:tcPr>
          <w:p>
            <w:pPr>
              <w:pStyle w:val="0"/>
              <w:jc w:val="center"/>
            </w:pPr>
            <w:r>
              <w:rPr>
                <w:sz w:val="20"/>
              </w:rPr>
              <w:t xml:space="preserve">-2</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дерматовенерологи</w:t>
            </w:r>
          </w:p>
        </w:tc>
        <w:tc>
          <w:tcPr>
            <w:tcW w:w="1020" w:type="dxa"/>
          </w:tcPr>
          <w:p>
            <w:pPr>
              <w:pStyle w:val="0"/>
              <w:jc w:val="center"/>
            </w:pPr>
            <w:r>
              <w:rPr>
                <w:sz w:val="20"/>
              </w:rPr>
              <w:t xml:space="preserve">5</w:t>
            </w:r>
          </w:p>
        </w:tc>
        <w:tc>
          <w:tcPr>
            <w:tcW w:w="1052" w:type="dxa"/>
          </w:tcPr>
          <w:p>
            <w:pPr>
              <w:pStyle w:val="0"/>
              <w:jc w:val="center"/>
            </w:pPr>
            <w:r>
              <w:rPr>
                <w:sz w:val="20"/>
              </w:rPr>
              <w:t xml:space="preserve">6</w:t>
            </w:r>
          </w:p>
        </w:tc>
        <w:tc>
          <w:tcPr>
            <w:tcW w:w="1052" w:type="dxa"/>
          </w:tcPr>
          <w:p>
            <w:pPr>
              <w:pStyle w:val="0"/>
              <w:jc w:val="center"/>
            </w:pPr>
            <w:r>
              <w:rPr>
                <w:sz w:val="20"/>
              </w:rPr>
              <w:t xml:space="preserve">-1</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инфекционисты</w:t>
            </w:r>
          </w:p>
        </w:tc>
        <w:tc>
          <w:tcPr>
            <w:tcW w:w="1020" w:type="dxa"/>
          </w:tcPr>
          <w:p>
            <w:pPr>
              <w:pStyle w:val="0"/>
              <w:jc w:val="center"/>
            </w:pPr>
            <w:r>
              <w:rPr>
                <w:sz w:val="20"/>
              </w:rPr>
              <w:t xml:space="preserve">-9</w:t>
            </w:r>
          </w:p>
        </w:tc>
        <w:tc>
          <w:tcPr>
            <w:tcW w:w="1052" w:type="dxa"/>
          </w:tcPr>
          <w:p>
            <w:pPr>
              <w:pStyle w:val="0"/>
              <w:jc w:val="center"/>
            </w:pPr>
            <w:r>
              <w:rPr>
                <w:sz w:val="20"/>
              </w:rPr>
              <w:t xml:space="preserve">-8</w:t>
            </w:r>
          </w:p>
        </w:tc>
        <w:tc>
          <w:tcPr>
            <w:tcW w:w="1052" w:type="dxa"/>
          </w:tcPr>
          <w:p>
            <w:pPr>
              <w:pStyle w:val="0"/>
              <w:jc w:val="center"/>
            </w:pPr>
            <w:r>
              <w:rPr>
                <w:sz w:val="20"/>
              </w:rPr>
              <w:t xml:space="preserve">-1</w:t>
            </w:r>
          </w:p>
        </w:tc>
        <w:tc>
          <w:tcPr>
            <w:tcW w:w="949" w:type="dxa"/>
          </w:tcPr>
          <w:p>
            <w:pPr>
              <w:pStyle w:val="0"/>
              <w:jc w:val="center"/>
            </w:pPr>
            <w:r>
              <w:rPr>
                <w:sz w:val="20"/>
              </w:rPr>
            </w:r>
          </w:p>
        </w:tc>
        <w:tc>
          <w:tcPr>
            <w:tcW w:w="944" w:type="dxa"/>
          </w:tcPr>
          <w:p>
            <w:pPr>
              <w:pStyle w:val="0"/>
              <w:jc w:val="center"/>
            </w:pPr>
            <w:r>
              <w:rPr>
                <w:sz w:val="20"/>
              </w:rPr>
              <w:t xml:space="preserve">1</w:t>
            </w:r>
          </w:p>
        </w:tc>
        <w:tc>
          <w:tcPr>
            <w:tcW w:w="944" w:type="dxa"/>
          </w:tcPr>
          <w:p>
            <w:pPr>
              <w:pStyle w:val="0"/>
              <w:jc w:val="center"/>
            </w:pPr>
            <w:r>
              <w:rPr>
                <w:sz w:val="20"/>
              </w:rPr>
              <w:t xml:space="preserve">1</w:t>
            </w:r>
          </w:p>
        </w:tc>
        <w:tc>
          <w:tcPr>
            <w:tcW w:w="944" w:type="dxa"/>
          </w:tcPr>
          <w:p>
            <w:pPr>
              <w:pStyle w:val="0"/>
              <w:jc w:val="center"/>
            </w:pPr>
            <w:r>
              <w:rPr>
                <w:sz w:val="20"/>
              </w:rPr>
              <w:t xml:space="preserve">2</w:t>
            </w:r>
          </w:p>
        </w:tc>
      </w:tr>
      <w:tr>
        <w:tc>
          <w:tcPr>
            <w:tcW w:w="2154" w:type="dxa"/>
          </w:tcPr>
          <w:p>
            <w:pPr>
              <w:pStyle w:val="0"/>
              <w:jc w:val="both"/>
            </w:pPr>
            <w:r>
              <w:rPr>
                <w:sz w:val="20"/>
              </w:rPr>
              <w:t xml:space="preserve">кардиологи</w:t>
            </w:r>
          </w:p>
        </w:tc>
        <w:tc>
          <w:tcPr>
            <w:tcW w:w="1020" w:type="dxa"/>
          </w:tcPr>
          <w:p>
            <w:pPr>
              <w:pStyle w:val="0"/>
              <w:jc w:val="center"/>
            </w:pPr>
            <w:r>
              <w:rPr>
                <w:sz w:val="20"/>
              </w:rPr>
              <w:t xml:space="preserve">-14</w:t>
            </w:r>
          </w:p>
        </w:tc>
        <w:tc>
          <w:tcPr>
            <w:tcW w:w="1052" w:type="dxa"/>
          </w:tcPr>
          <w:p>
            <w:pPr>
              <w:pStyle w:val="0"/>
              <w:jc w:val="center"/>
            </w:pPr>
            <w:r>
              <w:rPr>
                <w:sz w:val="20"/>
              </w:rPr>
            </w:r>
          </w:p>
        </w:tc>
        <w:tc>
          <w:tcPr>
            <w:tcW w:w="1052" w:type="dxa"/>
          </w:tcPr>
          <w:p>
            <w:pPr>
              <w:pStyle w:val="0"/>
              <w:jc w:val="center"/>
            </w:pPr>
            <w:r>
              <w:rPr>
                <w:sz w:val="20"/>
              </w:rPr>
              <w:t xml:space="preserve">-14</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2</w:t>
            </w:r>
          </w:p>
        </w:tc>
      </w:tr>
      <w:tr>
        <w:tc>
          <w:tcPr>
            <w:tcW w:w="2154" w:type="dxa"/>
          </w:tcPr>
          <w:p>
            <w:pPr>
              <w:pStyle w:val="0"/>
              <w:jc w:val="both"/>
            </w:pPr>
            <w:r>
              <w:rPr>
                <w:sz w:val="20"/>
              </w:rPr>
              <w:t xml:space="preserve">кардиологи детские</w:t>
            </w:r>
          </w:p>
        </w:tc>
        <w:tc>
          <w:tcPr>
            <w:tcW w:w="1020" w:type="dxa"/>
          </w:tcPr>
          <w:p>
            <w:pPr>
              <w:pStyle w:val="0"/>
              <w:jc w:val="center"/>
            </w:pPr>
            <w:r>
              <w:rPr>
                <w:sz w:val="20"/>
              </w:rPr>
              <w:t xml:space="preserve">-2</w:t>
            </w:r>
          </w:p>
        </w:tc>
        <w:tc>
          <w:tcPr>
            <w:tcW w:w="1052" w:type="dxa"/>
          </w:tcPr>
          <w:p>
            <w:pPr>
              <w:pStyle w:val="0"/>
              <w:jc w:val="center"/>
            </w:pPr>
            <w:r>
              <w:rPr>
                <w:sz w:val="20"/>
              </w:rPr>
              <w:t xml:space="preserve">-3</w:t>
            </w:r>
          </w:p>
        </w:tc>
        <w:tc>
          <w:tcPr>
            <w:tcW w:w="1052" w:type="dxa"/>
          </w:tcPr>
          <w:p>
            <w:pPr>
              <w:pStyle w:val="0"/>
              <w:jc w:val="center"/>
            </w:pPr>
            <w:r>
              <w:rPr>
                <w:sz w:val="20"/>
              </w:rPr>
              <w:t xml:space="preserve">1</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2</w:t>
            </w:r>
          </w:p>
        </w:tc>
      </w:tr>
      <w:tr>
        <w:tc>
          <w:tcPr>
            <w:tcW w:w="2154" w:type="dxa"/>
          </w:tcPr>
          <w:p>
            <w:pPr>
              <w:pStyle w:val="0"/>
              <w:jc w:val="both"/>
            </w:pPr>
            <w:r>
              <w:rPr>
                <w:sz w:val="20"/>
              </w:rPr>
              <w:t xml:space="preserve">колопроктологи</w:t>
            </w:r>
          </w:p>
        </w:tc>
        <w:tc>
          <w:tcPr>
            <w:tcW w:w="1020" w:type="dxa"/>
          </w:tcPr>
          <w:p>
            <w:pPr>
              <w:pStyle w:val="0"/>
              <w:jc w:val="center"/>
            </w:pPr>
            <w:r>
              <w:rPr>
                <w:sz w:val="20"/>
              </w:rPr>
              <w:t xml:space="preserve">-2</w:t>
            </w:r>
          </w:p>
        </w:tc>
        <w:tc>
          <w:tcPr>
            <w:tcW w:w="1052" w:type="dxa"/>
          </w:tcPr>
          <w:p>
            <w:pPr>
              <w:pStyle w:val="0"/>
              <w:jc w:val="center"/>
            </w:pPr>
            <w:r>
              <w:rPr>
                <w:sz w:val="20"/>
              </w:rPr>
              <w:t xml:space="preserve">-1</w:t>
            </w:r>
          </w:p>
        </w:tc>
        <w:tc>
          <w:tcPr>
            <w:tcW w:w="1052" w:type="dxa"/>
          </w:tcPr>
          <w:p>
            <w:pPr>
              <w:pStyle w:val="0"/>
              <w:jc w:val="center"/>
            </w:pPr>
            <w:r>
              <w:rPr>
                <w:sz w:val="20"/>
              </w:rPr>
              <w:t xml:space="preserve">-1</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косметологи</w:t>
            </w:r>
          </w:p>
        </w:tc>
        <w:tc>
          <w:tcPr>
            <w:tcW w:w="1020" w:type="dxa"/>
          </w:tcPr>
          <w:p>
            <w:pPr>
              <w:pStyle w:val="0"/>
              <w:jc w:val="center"/>
            </w:pPr>
            <w:r>
              <w:rPr>
                <w:sz w:val="20"/>
              </w:rPr>
            </w:r>
          </w:p>
        </w:tc>
        <w:tc>
          <w:tcPr>
            <w:tcW w:w="1052" w:type="dxa"/>
          </w:tcPr>
          <w:p>
            <w:pPr>
              <w:pStyle w:val="0"/>
              <w:jc w:val="center"/>
            </w:pPr>
            <w:r>
              <w:rPr>
                <w:sz w:val="20"/>
              </w:rPr>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неврологи</w:t>
            </w:r>
          </w:p>
        </w:tc>
        <w:tc>
          <w:tcPr>
            <w:tcW w:w="1020" w:type="dxa"/>
          </w:tcPr>
          <w:p>
            <w:pPr>
              <w:pStyle w:val="0"/>
              <w:jc w:val="center"/>
            </w:pPr>
            <w:r>
              <w:rPr>
                <w:sz w:val="20"/>
              </w:rPr>
              <w:t xml:space="preserve">2</w:t>
            </w:r>
          </w:p>
        </w:tc>
        <w:tc>
          <w:tcPr>
            <w:tcW w:w="1052" w:type="dxa"/>
          </w:tcPr>
          <w:p>
            <w:pPr>
              <w:pStyle w:val="0"/>
              <w:jc w:val="center"/>
            </w:pPr>
            <w:r>
              <w:rPr>
                <w:sz w:val="20"/>
              </w:rPr>
              <w:t xml:space="preserve">-6</w:t>
            </w:r>
          </w:p>
        </w:tc>
        <w:tc>
          <w:tcPr>
            <w:tcW w:w="1052" w:type="dxa"/>
          </w:tcPr>
          <w:p>
            <w:pPr>
              <w:pStyle w:val="0"/>
              <w:jc w:val="center"/>
            </w:pPr>
            <w:r>
              <w:rPr>
                <w:sz w:val="20"/>
              </w:rPr>
              <w:t xml:space="preserve">8</w:t>
            </w:r>
          </w:p>
        </w:tc>
        <w:tc>
          <w:tcPr>
            <w:tcW w:w="949" w:type="dxa"/>
          </w:tcPr>
          <w:p>
            <w:pPr>
              <w:pStyle w:val="0"/>
              <w:jc w:val="center"/>
            </w:pPr>
            <w:r>
              <w:rPr>
                <w:sz w:val="20"/>
              </w:rPr>
            </w:r>
          </w:p>
        </w:tc>
        <w:tc>
          <w:tcPr>
            <w:tcW w:w="944" w:type="dxa"/>
          </w:tcPr>
          <w:p>
            <w:pPr>
              <w:pStyle w:val="0"/>
              <w:jc w:val="center"/>
            </w:pPr>
            <w:r>
              <w:rPr>
                <w:sz w:val="20"/>
              </w:rPr>
              <w:t xml:space="preserve">2</w:t>
            </w:r>
          </w:p>
        </w:tc>
        <w:tc>
          <w:tcPr>
            <w:tcW w:w="944" w:type="dxa"/>
          </w:tcPr>
          <w:p>
            <w:pPr>
              <w:pStyle w:val="0"/>
              <w:jc w:val="center"/>
            </w:pPr>
            <w:r>
              <w:rPr>
                <w:sz w:val="20"/>
              </w:rPr>
            </w:r>
          </w:p>
        </w:tc>
        <w:tc>
          <w:tcPr>
            <w:tcW w:w="944" w:type="dxa"/>
          </w:tcPr>
          <w:p>
            <w:pPr>
              <w:pStyle w:val="0"/>
              <w:jc w:val="center"/>
            </w:pPr>
            <w:r>
              <w:rPr>
                <w:sz w:val="20"/>
              </w:rPr>
              <w:t xml:space="preserve">3</w:t>
            </w:r>
          </w:p>
        </w:tc>
      </w:tr>
      <w:tr>
        <w:tc>
          <w:tcPr>
            <w:tcW w:w="2154" w:type="dxa"/>
          </w:tcPr>
          <w:p>
            <w:pPr>
              <w:pStyle w:val="0"/>
              <w:jc w:val="both"/>
            </w:pPr>
            <w:r>
              <w:rPr>
                <w:sz w:val="20"/>
              </w:rPr>
              <w:t xml:space="preserve">нейрохирурги</w:t>
            </w:r>
          </w:p>
        </w:tc>
        <w:tc>
          <w:tcPr>
            <w:tcW w:w="1020" w:type="dxa"/>
          </w:tcPr>
          <w:p>
            <w:pPr>
              <w:pStyle w:val="0"/>
              <w:jc w:val="center"/>
            </w:pPr>
            <w:r>
              <w:rPr>
                <w:sz w:val="20"/>
              </w:rPr>
              <w:t xml:space="preserve">4</w:t>
            </w:r>
          </w:p>
        </w:tc>
        <w:tc>
          <w:tcPr>
            <w:tcW w:w="1052" w:type="dxa"/>
          </w:tcPr>
          <w:p>
            <w:pPr>
              <w:pStyle w:val="0"/>
              <w:jc w:val="center"/>
            </w:pPr>
            <w:r>
              <w:rPr>
                <w:sz w:val="20"/>
              </w:rPr>
              <w:t xml:space="preserve">-1</w:t>
            </w:r>
          </w:p>
        </w:tc>
        <w:tc>
          <w:tcPr>
            <w:tcW w:w="1052" w:type="dxa"/>
          </w:tcPr>
          <w:p>
            <w:pPr>
              <w:pStyle w:val="0"/>
              <w:jc w:val="center"/>
            </w:pPr>
            <w:r>
              <w:rPr>
                <w:sz w:val="20"/>
              </w:rPr>
              <w:t xml:space="preserve">5</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1</w:t>
            </w:r>
          </w:p>
        </w:tc>
      </w:tr>
      <w:tr>
        <w:tc>
          <w:tcPr>
            <w:tcW w:w="2154" w:type="dxa"/>
          </w:tcPr>
          <w:p>
            <w:pPr>
              <w:pStyle w:val="0"/>
              <w:jc w:val="both"/>
            </w:pPr>
            <w:r>
              <w:rPr>
                <w:sz w:val="20"/>
              </w:rPr>
              <w:t xml:space="preserve">неонатологи</w:t>
            </w:r>
          </w:p>
        </w:tc>
        <w:tc>
          <w:tcPr>
            <w:tcW w:w="1020" w:type="dxa"/>
          </w:tcPr>
          <w:p>
            <w:pPr>
              <w:pStyle w:val="0"/>
              <w:jc w:val="center"/>
            </w:pPr>
            <w:r>
              <w:rPr>
                <w:sz w:val="20"/>
              </w:rPr>
              <w:t xml:space="preserve">-8</w:t>
            </w:r>
          </w:p>
        </w:tc>
        <w:tc>
          <w:tcPr>
            <w:tcW w:w="1052" w:type="dxa"/>
          </w:tcPr>
          <w:p>
            <w:pPr>
              <w:pStyle w:val="0"/>
              <w:jc w:val="center"/>
            </w:pPr>
            <w:r>
              <w:rPr>
                <w:sz w:val="20"/>
              </w:rPr>
            </w:r>
          </w:p>
        </w:tc>
        <w:tc>
          <w:tcPr>
            <w:tcW w:w="1052" w:type="dxa"/>
          </w:tcPr>
          <w:p>
            <w:pPr>
              <w:pStyle w:val="0"/>
              <w:jc w:val="center"/>
            </w:pPr>
            <w:r>
              <w:rPr>
                <w:sz w:val="20"/>
              </w:rPr>
              <w:t xml:space="preserve">-8</w:t>
            </w:r>
          </w:p>
        </w:tc>
        <w:tc>
          <w:tcPr>
            <w:tcW w:w="949" w:type="dxa"/>
          </w:tcPr>
          <w:p>
            <w:pPr>
              <w:pStyle w:val="0"/>
              <w:jc w:val="center"/>
            </w:pPr>
            <w:r>
              <w:rPr>
                <w:sz w:val="20"/>
              </w:rPr>
            </w:r>
          </w:p>
        </w:tc>
        <w:tc>
          <w:tcPr>
            <w:tcW w:w="944" w:type="dxa"/>
          </w:tcPr>
          <w:p>
            <w:pPr>
              <w:pStyle w:val="0"/>
              <w:jc w:val="center"/>
            </w:pPr>
            <w:r>
              <w:rPr>
                <w:sz w:val="20"/>
              </w:rPr>
              <w:t xml:space="preserve">1</w:t>
            </w:r>
          </w:p>
        </w:tc>
        <w:tc>
          <w:tcPr>
            <w:tcW w:w="944" w:type="dxa"/>
          </w:tcPr>
          <w:p>
            <w:pPr>
              <w:pStyle w:val="0"/>
              <w:jc w:val="center"/>
            </w:pPr>
            <w:r>
              <w:rPr>
                <w:sz w:val="20"/>
              </w:rPr>
            </w:r>
          </w:p>
        </w:tc>
        <w:tc>
          <w:tcPr>
            <w:tcW w:w="944" w:type="dxa"/>
          </w:tcPr>
          <w:p>
            <w:pPr>
              <w:pStyle w:val="0"/>
              <w:jc w:val="center"/>
            </w:pPr>
            <w:r>
              <w:rPr>
                <w:sz w:val="20"/>
              </w:rPr>
              <w:t xml:space="preserve">2</w:t>
            </w:r>
          </w:p>
        </w:tc>
      </w:tr>
      <w:tr>
        <w:tc>
          <w:tcPr>
            <w:tcW w:w="2154" w:type="dxa"/>
          </w:tcPr>
          <w:p>
            <w:pPr>
              <w:pStyle w:val="0"/>
              <w:jc w:val="both"/>
            </w:pPr>
            <w:r>
              <w:rPr>
                <w:sz w:val="20"/>
              </w:rPr>
              <w:t xml:space="preserve">нефрологи</w:t>
            </w:r>
          </w:p>
        </w:tc>
        <w:tc>
          <w:tcPr>
            <w:tcW w:w="1020" w:type="dxa"/>
          </w:tcPr>
          <w:p>
            <w:pPr>
              <w:pStyle w:val="0"/>
              <w:jc w:val="center"/>
            </w:pPr>
            <w:r>
              <w:rPr>
                <w:sz w:val="20"/>
              </w:rPr>
            </w:r>
          </w:p>
        </w:tc>
        <w:tc>
          <w:tcPr>
            <w:tcW w:w="1052" w:type="dxa"/>
          </w:tcPr>
          <w:p>
            <w:pPr>
              <w:pStyle w:val="0"/>
              <w:jc w:val="center"/>
            </w:pPr>
            <w:r>
              <w:rPr>
                <w:sz w:val="20"/>
              </w:rPr>
              <w:t xml:space="preserve">-1</w:t>
            </w:r>
          </w:p>
        </w:tc>
        <w:tc>
          <w:tcPr>
            <w:tcW w:w="1052" w:type="dxa"/>
          </w:tcPr>
          <w:p>
            <w:pPr>
              <w:pStyle w:val="0"/>
              <w:jc w:val="center"/>
            </w:pPr>
            <w:r>
              <w:rPr>
                <w:sz w:val="20"/>
              </w:rPr>
              <w:t xml:space="preserve">1</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общей практики (семейные)</w:t>
            </w:r>
          </w:p>
        </w:tc>
        <w:tc>
          <w:tcPr>
            <w:tcW w:w="1020" w:type="dxa"/>
          </w:tcPr>
          <w:p>
            <w:pPr>
              <w:pStyle w:val="0"/>
              <w:jc w:val="center"/>
            </w:pPr>
            <w:r>
              <w:rPr>
                <w:sz w:val="20"/>
              </w:rPr>
              <w:t xml:space="preserve">-18</w:t>
            </w:r>
          </w:p>
        </w:tc>
        <w:tc>
          <w:tcPr>
            <w:tcW w:w="1052" w:type="dxa"/>
          </w:tcPr>
          <w:p>
            <w:pPr>
              <w:pStyle w:val="0"/>
              <w:jc w:val="center"/>
            </w:pPr>
            <w:r>
              <w:rPr>
                <w:sz w:val="20"/>
              </w:rPr>
              <w:t xml:space="preserve">-18</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2</w:t>
            </w:r>
          </w:p>
        </w:tc>
      </w:tr>
      <w:tr>
        <w:tc>
          <w:tcPr>
            <w:tcW w:w="2154" w:type="dxa"/>
          </w:tcPr>
          <w:p>
            <w:pPr>
              <w:pStyle w:val="0"/>
              <w:jc w:val="both"/>
            </w:pPr>
            <w:r>
              <w:rPr>
                <w:sz w:val="20"/>
              </w:rPr>
              <w:t xml:space="preserve">онкологи</w:t>
            </w:r>
          </w:p>
        </w:tc>
        <w:tc>
          <w:tcPr>
            <w:tcW w:w="1020" w:type="dxa"/>
          </w:tcPr>
          <w:p>
            <w:pPr>
              <w:pStyle w:val="0"/>
              <w:jc w:val="center"/>
            </w:pPr>
            <w:r>
              <w:rPr>
                <w:sz w:val="20"/>
              </w:rPr>
              <w:t xml:space="preserve">-22</w:t>
            </w:r>
          </w:p>
        </w:tc>
        <w:tc>
          <w:tcPr>
            <w:tcW w:w="1052" w:type="dxa"/>
          </w:tcPr>
          <w:p>
            <w:pPr>
              <w:pStyle w:val="0"/>
              <w:jc w:val="center"/>
            </w:pPr>
            <w:r>
              <w:rPr>
                <w:sz w:val="20"/>
              </w:rPr>
              <w:t xml:space="preserve">-5</w:t>
            </w:r>
          </w:p>
        </w:tc>
        <w:tc>
          <w:tcPr>
            <w:tcW w:w="1052" w:type="dxa"/>
          </w:tcPr>
          <w:p>
            <w:pPr>
              <w:pStyle w:val="0"/>
              <w:jc w:val="center"/>
            </w:pPr>
            <w:r>
              <w:rPr>
                <w:sz w:val="20"/>
              </w:rPr>
              <w:t xml:space="preserve">-17</w:t>
            </w:r>
          </w:p>
        </w:tc>
        <w:tc>
          <w:tcPr>
            <w:tcW w:w="949" w:type="dxa"/>
          </w:tcPr>
          <w:p>
            <w:pPr>
              <w:pStyle w:val="0"/>
              <w:jc w:val="center"/>
            </w:pPr>
            <w:r>
              <w:rPr>
                <w:sz w:val="20"/>
              </w:rPr>
            </w:r>
          </w:p>
        </w:tc>
        <w:tc>
          <w:tcPr>
            <w:tcW w:w="944" w:type="dxa"/>
          </w:tcPr>
          <w:p>
            <w:pPr>
              <w:pStyle w:val="0"/>
              <w:jc w:val="center"/>
            </w:pPr>
            <w:r>
              <w:rPr>
                <w:sz w:val="20"/>
              </w:rPr>
              <w:t xml:space="preserve">1</w:t>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онкологи детские</w:t>
            </w:r>
          </w:p>
        </w:tc>
        <w:tc>
          <w:tcPr>
            <w:tcW w:w="1020" w:type="dxa"/>
          </w:tcPr>
          <w:p>
            <w:pPr>
              <w:pStyle w:val="0"/>
              <w:jc w:val="center"/>
            </w:pPr>
            <w:r>
              <w:rPr>
                <w:sz w:val="20"/>
              </w:rPr>
            </w:r>
          </w:p>
        </w:tc>
        <w:tc>
          <w:tcPr>
            <w:tcW w:w="1052" w:type="dxa"/>
          </w:tcPr>
          <w:p>
            <w:pPr>
              <w:pStyle w:val="0"/>
              <w:jc w:val="center"/>
            </w:pPr>
            <w:r>
              <w:rPr>
                <w:sz w:val="20"/>
              </w:rPr>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1</w:t>
            </w:r>
          </w:p>
        </w:tc>
      </w:tr>
      <w:tr>
        <w:tc>
          <w:tcPr>
            <w:tcW w:w="2154" w:type="dxa"/>
          </w:tcPr>
          <w:p>
            <w:pPr>
              <w:pStyle w:val="0"/>
              <w:jc w:val="both"/>
            </w:pPr>
            <w:r>
              <w:rPr>
                <w:sz w:val="20"/>
              </w:rPr>
              <w:t xml:space="preserve">оториноларингологи, включая сурдологов-оториноларингологов</w:t>
            </w:r>
          </w:p>
        </w:tc>
        <w:tc>
          <w:tcPr>
            <w:tcW w:w="1020" w:type="dxa"/>
          </w:tcPr>
          <w:p>
            <w:pPr>
              <w:pStyle w:val="0"/>
              <w:jc w:val="center"/>
            </w:pPr>
            <w:r>
              <w:rPr>
                <w:sz w:val="20"/>
              </w:rPr>
              <w:t xml:space="preserve">8</w:t>
            </w:r>
          </w:p>
        </w:tc>
        <w:tc>
          <w:tcPr>
            <w:tcW w:w="1052" w:type="dxa"/>
          </w:tcPr>
          <w:p>
            <w:pPr>
              <w:pStyle w:val="0"/>
              <w:jc w:val="center"/>
            </w:pPr>
            <w:r>
              <w:rPr>
                <w:sz w:val="20"/>
              </w:rPr>
              <w:t xml:space="preserve">-3</w:t>
            </w:r>
          </w:p>
        </w:tc>
        <w:tc>
          <w:tcPr>
            <w:tcW w:w="1052" w:type="dxa"/>
          </w:tcPr>
          <w:p>
            <w:pPr>
              <w:pStyle w:val="0"/>
              <w:jc w:val="center"/>
            </w:pPr>
            <w:r>
              <w:rPr>
                <w:sz w:val="20"/>
              </w:rPr>
              <w:t xml:space="preserve">11</w:t>
            </w:r>
          </w:p>
        </w:tc>
        <w:tc>
          <w:tcPr>
            <w:tcW w:w="949" w:type="dxa"/>
          </w:tcPr>
          <w:p>
            <w:pPr>
              <w:pStyle w:val="0"/>
              <w:jc w:val="center"/>
            </w:pPr>
            <w:r>
              <w:rPr>
                <w:sz w:val="20"/>
              </w:rPr>
            </w:r>
          </w:p>
        </w:tc>
        <w:tc>
          <w:tcPr>
            <w:tcW w:w="944" w:type="dxa"/>
          </w:tcPr>
          <w:p>
            <w:pPr>
              <w:pStyle w:val="0"/>
              <w:jc w:val="center"/>
            </w:pPr>
            <w:r>
              <w:rPr>
                <w:sz w:val="20"/>
              </w:rPr>
              <w:t xml:space="preserve">1</w:t>
            </w:r>
          </w:p>
        </w:tc>
        <w:tc>
          <w:tcPr>
            <w:tcW w:w="944" w:type="dxa"/>
          </w:tcPr>
          <w:p>
            <w:pPr>
              <w:pStyle w:val="0"/>
              <w:jc w:val="center"/>
            </w:pPr>
            <w:r>
              <w:rPr>
                <w:sz w:val="20"/>
              </w:rPr>
            </w:r>
          </w:p>
        </w:tc>
        <w:tc>
          <w:tcPr>
            <w:tcW w:w="944" w:type="dxa"/>
          </w:tcPr>
          <w:p>
            <w:pPr>
              <w:pStyle w:val="0"/>
              <w:jc w:val="center"/>
            </w:pPr>
            <w:r>
              <w:rPr>
                <w:sz w:val="20"/>
              </w:rPr>
              <w:t xml:space="preserve">1</w:t>
            </w:r>
          </w:p>
        </w:tc>
      </w:tr>
      <w:tr>
        <w:tc>
          <w:tcPr>
            <w:tcW w:w="2154" w:type="dxa"/>
          </w:tcPr>
          <w:p>
            <w:pPr>
              <w:pStyle w:val="0"/>
              <w:jc w:val="both"/>
            </w:pPr>
            <w:r>
              <w:rPr>
                <w:sz w:val="20"/>
              </w:rPr>
              <w:t xml:space="preserve">офтальмологи</w:t>
            </w:r>
          </w:p>
        </w:tc>
        <w:tc>
          <w:tcPr>
            <w:tcW w:w="1020" w:type="dxa"/>
          </w:tcPr>
          <w:p>
            <w:pPr>
              <w:pStyle w:val="0"/>
              <w:jc w:val="center"/>
            </w:pPr>
            <w:r>
              <w:rPr>
                <w:sz w:val="20"/>
              </w:rPr>
              <w:t xml:space="preserve">4</w:t>
            </w:r>
          </w:p>
        </w:tc>
        <w:tc>
          <w:tcPr>
            <w:tcW w:w="1052" w:type="dxa"/>
          </w:tcPr>
          <w:p>
            <w:pPr>
              <w:pStyle w:val="0"/>
              <w:jc w:val="center"/>
            </w:pPr>
            <w:r>
              <w:rPr>
                <w:sz w:val="20"/>
              </w:rPr>
              <w:t xml:space="preserve">-9</w:t>
            </w:r>
          </w:p>
        </w:tc>
        <w:tc>
          <w:tcPr>
            <w:tcW w:w="1052" w:type="dxa"/>
          </w:tcPr>
          <w:p>
            <w:pPr>
              <w:pStyle w:val="0"/>
              <w:jc w:val="center"/>
            </w:pPr>
            <w:r>
              <w:rPr>
                <w:sz w:val="20"/>
              </w:rPr>
              <w:t xml:space="preserve">13</w:t>
            </w:r>
          </w:p>
        </w:tc>
        <w:tc>
          <w:tcPr>
            <w:tcW w:w="949" w:type="dxa"/>
          </w:tcPr>
          <w:p>
            <w:pPr>
              <w:pStyle w:val="0"/>
              <w:jc w:val="center"/>
            </w:pPr>
            <w:r>
              <w:rPr>
                <w:sz w:val="20"/>
              </w:rPr>
            </w:r>
          </w:p>
        </w:tc>
        <w:tc>
          <w:tcPr>
            <w:tcW w:w="944" w:type="dxa"/>
          </w:tcPr>
          <w:p>
            <w:pPr>
              <w:pStyle w:val="0"/>
              <w:jc w:val="center"/>
            </w:pPr>
            <w:r>
              <w:rPr>
                <w:sz w:val="20"/>
              </w:rPr>
              <w:t xml:space="preserve">1</w:t>
            </w:r>
          </w:p>
        </w:tc>
        <w:tc>
          <w:tcPr>
            <w:tcW w:w="944" w:type="dxa"/>
          </w:tcPr>
          <w:p>
            <w:pPr>
              <w:pStyle w:val="0"/>
              <w:jc w:val="center"/>
            </w:pPr>
            <w:r>
              <w:rPr>
                <w:sz w:val="20"/>
              </w:rPr>
            </w:r>
          </w:p>
        </w:tc>
        <w:tc>
          <w:tcPr>
            <w:tcW w:w="944" w:type="dxa"/>
          </w:tcPr>
          <w:p>
            <w:pPr>
              <w:pStyle w:val="0"/>
              <w:jc w:val="center"/>
            </w:pPr>
            <w:r>
              <w:rPr>
                <w:sz w:val="20"/>
              </w:rPr>
              <w:t xml:space="preserve">2</w:t>
            </w:r>
          </w:p>
        </w:tc>
      </w:tr>
      <w:tr>
        <w:tc>
          <w:tcPr>
            <w:tcW w:w="2154" w:type="dxa"/>
          </w:tcPr>
          <w:p>
            <w:pPr>
              <w:pStyle w:val="0"/>
              <w:jc w:val="both"/>
            </w:pPr>
            <w:r>
              <w:rPr>
                <w:sz w:val="20"/>
              </w:rPr>
              <w:t xml:space="preserve">педиатры</w:t>
            </w:r>
          </w:p>
        </w:tc>
        <w:tc>
          <w:tcPr>
            <w:tcW w:w="1020" w:type="dxa"/>
          </w:tcPr>
          <w:p>
            <w:pPr>
              <w:pStyle w:val="0"/>
              <w:jc w:val="center"/>
            </w:pPr>
            <w:r>
              <w:rPr>
                <w:sz w:val="20"/>
              </w:rPr>
              <w:t xml:space="preserve">-24</w:t>
            </w:r>
          </w:p>
        </w:tc>
        <w:tc>
          <w:tcPr>
            <w:tcW w:w="1052" w:type="dxa"/>
          </w:tcPr>
          <w:p>
            <w:pPr>
              <w:pStyle w:val="0"/>
              <w:jc w:val="center"/>
            </w:pPr>
            <w:r>
              <w:rPr>
                <w:sz w:val="20"/>
              </w:rPr>
              <w:t xml:space="preserve">-23</w:t>
            </w:r>
          </w:p>
        </w:tc>
        <w:tc>
          <w:tcPr>
            <w:tcW w:w="1052" w:type="dxa"/>
          </w:tcPr>
          <w:p>
            <w:pPr>
              <w:pStyle w:val="0"/>
              <w:jc w:val="center"/>
            </w:pPr>
            <w:r>
              <w:rPr>
                <w:sz w:val="20"/>
              </w:rPr>
              <w:t xml:space="preserve">-1</w:t>
            </w:r>
          </w:p>
        </w:tc>
        <w:tc>
          <w:tcPr>
            <w:tcW w:w="949" w:type="dxa"/>
          </w:tcPr>
          <w:p>
            <w:pPr>
              <w:pStyle w:val="0"/>
              <w:jc w:val="center"/>
            </w:pPr>
            <w:r>
              <w:rPr>
                <w:sz w:val="20"/>
              </w:rPr>
            </w:r>
          </w:p>
        </w:tc>
        <w:tc>
          <w:tcPr>
            <w:tcW w:w="944" w:type="dxa"/>
          </w:tcPr>
          <w:p>
            <w:pPr>
              <w:pStyle w:val="0"/>
              <w:jc w:val="center"/>
            </w:pPr>
            <w:r>
              <w:rPr>
                <w:sz w:val="20"/>
              </w:rPr>
              <w:t xml:space="preserve">1</w:t>
            </w:r>
          </w:p>
        </w:tc>
        <w:tc>
          <w:tcPr>
            <w:tcW w:w="944" w:type="dxa"/>
          </w:tcPr>
          <w:p>
            <w:pPr>
              <w:pStyle w:val="0"/>
              <w:jc w:val="center"/>
            </w:pPr>
            <w:r>
              <w:rPr>
                <w:sz w:val="20"/>
              </w:rPr>
              <w:t xml:space="preserve">1</w:t>
            </w:r>
          </w:p>
        </w:tc>
        <w:tc>
          <w:tcPr>
            <w:tcW w:w="944" w:type="dxa"/>
          </w:tcPr>
          <w:p>
            <w:pPr>
              <w:pStyle w:val="0"/>
              <w:jc w:val="center"/>
            </w:pPr>
            <w:r>
              <w:rPr>
                <w:sz w:val="20"/>
              </w:rPr>
              <w:t xml:space="preserve">5</w:t>
            </w:r>
          </w:p>
        </w:tc>
      </w:tr>
      <w:tr>
        <w:tc>
          <w:tcPr>
            <w:tcW w:w="2154" w:type="dxa"/>
          </w:tcPr>
          <w:p>
            <w:pPr>
              <w:pStyle w:val="0"/>
              <w:jc w:val="both"/>
            </w:pPr>
            <w:r>
              <w:rPr>
                <w:sz w:val="20"/>
              </w:rPr>
              <w:t xml:space="preserve">педиатры участковые</w:t>
            </w:r>
          </w:p>
        </w:tc>
        <w:tc>
          <w:tcPr>
            <w:tcW w:w="1020" w:type="dxa"/>
          </w:tcPr>
          <w:p>
            <w:pPr>
              <w:pStyle w:val="0"/>
              <w:jc w:val="center"/>
            </w:pPr>
            <w:r>
              <w:rPr>
                <w:sz w:val="20"/>
              </w:rPr>
              <w:t xml:space="preserve">-25</w:t>
            </w:r>
          </w:p>
        </w:tc>
        <w:tc>
          <w:tcPr>
            <w:tcW w:w="1052" w:type="dxa"/>
          </w:tcPr>
          <w:p>
            <w:pPr>
              <w:pStyle w:val="0"/>
              <w:jc w:val="center"/>
            </w:pPr>
            <w:r>
              <w:rPr>
                <w:sz w:val="20"/>
              </w:rPr>
              <w:t xml:space="preserve">-25</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t xml:space="preserve">7</w:t>
            </w:r>
          </w:p>
        </w:tc>
        <w:tc>
          <w:tcPr>
            <w:tcW w:w="944" w:type="dxa"/>
          </w:tcPr>
          <w:p>
            <w:pPr>
              <w:pStyle w:val="0"/>
              <w:jc w:val="center"/>
            </w:pPr>
            <w:r>
              <w:rPr>
                <w:sz w:val="20"/>
              </w:rPr>
              <w:t xml:space="preserve">1</w:t>
            </w:r>
          </w:p>
        </w:tc>
        <w:tc>
          <w:tcPr>
            <w:tcW w:w="944" w:type="dxa"/>
          </w:tcPr>
          <w:p>
            <w:pPr>
              <w:pStyle w:val="0"/>
              <w:jc w:val="center"/>
            </w:pPr>
            <w:r>
              <w:rPr>
                <w:sz w:val="20"/>
              </w:rPr>
              <w:t xml:space="preserve">2</w:t>
            </w:r>
          </w:p>
        </w:tc>
      </w:tr>
      <w:tr>
        <w:tc>
          <w:tcPr>
            <w:tcW w:w="2154" w:type="dxa"/>
          </w:tcPr>
          <w:p>
            <w:pPr>
              <w:pStyle w:val="0"/>
              <w:jc w:val="both"/>
            </w:pPr>
            <w:r>
              <w:rPr>
                <w:sz w:val="20"/>
              </w:rPr>
              <w:t xml:space="preserve">по паллиативной медицинской помощи</w:t>
            </w:r>
          </w:p>
        </w:tc>
        <w:tc>
          <w:tcPr>
            <w:tcW w:w="1020" w:type="dxa"/>
          </w:tcPr>
          <w:p>
            <w:pPr>
              <w:pStyle w:val="0"/>
              <w:jc w:val="center"/>
            </w:pPr>
            <w:r>
              <w:rPr>
                <w:sz w:val="20"/>
              </w:rPr>
              <w:t xml:space="preserve">-5</w:t>
            </w:r>
          </w:p>
        </w:tc>
        <w:tc>
          <w:tcPr>
            <w:tcW w:w="1052" w:type="dxa"/>
          </w:tcPr>
          <w:p>
            <w:pPr>
              <w:pStyle w:val="0"/>
              <w:jc w:val="center"/>
            </w:pPr>
            <w:r>
              <w:rPr>
                <w:sz w:val="20"/>
              </w:rPr>
            </w:r>
          </w:p>
        </w:tc>
        <w:tc>
          <w:tcPr>
            <w:tcW w:w="1052" w:type="dxa"/>
          </w:tcPr>
          <w:p>
            <w:pPr>
              <w:pStyle w:val="0"/>
              <w:jc w:val="center"/>
            </w:pPr>
            <w:r>
              <w:rPr>
                <w:sz w:val="20"/>
              </w:rPr>
              <w:t xml:space="preserve">-5</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по медицинской профилактике</w:t>
            </w:r>
          </w:p>
        </w:tc>
        <w:tc>
          <w:tcPr>
            <w:tcW w:w="1020" w:type="dxa"/>
          </w:tcPr>
          <w:p>
            <w:pPr>
              <w:pStyle w:val="0"/>
              <w:jc w:val="center"/>
            </w:pPr>
            <w:r>
              <w:rPr>
                <w:sz w:val="20"/>
              </w:rPr>
              <w:t xml:space="preserve">2</w:t>
            </w:r>
          </w:p>
        </w:tc>
        <w:tc>
          <w:tcPr>
            <w:tcW w:w="1052" w:type="dxa"/>
          </w:tcPr>
          <w:p>
            <w:pPr>
              <w:pStyle w:val="0"/>
              <w:jc w:val="center"/>
            </w:pPr>
            <w:r>
              <w:rPr>
                <w:sz w:val="20"/>
              </w:rPr>
              <w:t xml:space="preserve">4</w:t>
            </w:r>
          </w:p>
        </w:tc>
        <w:tc>
          <w:tcPr>
            <w:tcW w:w="1052" w:type="dxa"/>
          </w:tcPr>
          <w:p>
            <w:pPr>
              <w:pStyle w:val="0"/>
              <w:jc w:val="center"/>
            </w:pPr>
            <w:r>
              <w:rPr>
                <w:sz w:val="20"/>
              </w:rPr>
              <w:t xml:space="preserve">-2</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по медицинской реабилитации</w:t>
            </w:r>
          </w:p>
        </w:tc>
        <w:tc>
          <w:tcPr>
            <w:tcW w:w="1020" w:type="dxa"/>
          </w:tcPr>
          <w:p>
            <w:pPr>
              <w:pStyle w:val="0"/>
              <w:jc w:val="center"/>
            </w:pPr>
            <w:r>
              <w:rPr>
                <w:sz w:val="20"/>
              </w:rPr>
            </w:r>
          </w:p>
        </w:tc>
        <w:tc>
          <w:tcPr>
            <w:tcW w:w="1052" w:type="dxa"/>
          </w:tcPr>
          <w:p>
            <w:pPr>
              <w:pStyle w:val="0"/>
              <w:jc w:val="center"/>
            </w:pPr>
            <w:r>
              <w:rPr>
                <w:sz w:val="20"/>
              </w:rPr>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профпатологи</w:t>
            </w:r>
          </w:p>
        </w:tc>
        <w:tc>
          <w:tcPr>
            <w:tcW w:w="1020" w:type="dxa"/>
          </w:tcPr>
          <w:p>
            <w:pPr>
              <w:pStyle w:val="0"/>
              <w:jc w:val="center"/>
            </w:pPr>
            <w:r>
              <w:rPr>
                <w:sz w:val="20"/>
              </w:rPr>
            </w:r>
          </w:p>
        </w:tc>
        <w:tc>
          <w:tcPr>
            <w:tcW w:w="1052" w:type="dxa"/>
          </w:tcPr>
          <w:p>
            <w:pPr>
              <w:pStyle w:val="0"/>
              <w:jc w:val="center"/>
            </w:pPr>
            <w:r>
              <w:rPr>
                <w:sz w:val="20"/>
              </w:rPr>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психиатры</w:t>
            </w:r>
          </w:p>
        </w:tc>
        <w:tc>
          <w:tcPr>
            <w:tcW w:w="1020" w:type="dxa"/>
          </w:tcPr>
          <w:p>
            <w:pPr>
              <w:pStyle w:val="0"/>
              <w:jc w:val="center"/>
            </w:pPr>
            <w:r>
              <w:rPr>
                <w:sz w:val="20"/>
              </w:rPr>
              <w:t xml:space="preserve">-5</w:t>
            </w:r>
          </w:p>
        </w:tc>
        <w:tc>
          <w:tcPr>
            <w:tcW w:w="1052" w:type="dxa"/>
          </w:tcPr>
          <w:p>
            <w:pPr>
              <w:pStyle w:val="0"/>
              <w:jc w:val="center"/>
            </w:pPr>
            <w:r>
              <w:rPr>
                <w:sz w:val="20"/>
              </w:rPr>
              <w:t xml:space="preserve">1</w:t>
            </w:r>
          </w:p>
        </w:tc>
        <w:tc>
          <w:tcPr>
            <w:tcW w:w="1052" w:type="dxa"/>
          </w:tcPr>
          <w:p>
            <w:pPr>
              <w:pStyle w:val="0"/>
              <w:jc w:val="center"/>
            </w:pPr>
            <w:r>
              <w:rPr>
                <w:sz w:val="20"/>
              </w:rPr>
              <w:t xml:space="preserve">-6</w:t>
            </w:r>
          </w:p>
        </w:tc>
        <w:tc>
          <w:tcPr>
            <w:tcW w:w="949" w:type="dxa"/>
          </w:tcPr>
          <w:p>
            <w:pPr>
              <w:pStyle w:val="0"/>
              <w:jc w:val="center"/>
            </w:pPr>
            <w:r>
              <w:rPr>
                <w:sz w:val="20"/>
              </w:rPr>
            </w:r>
          </w:p>
        </w:tc>
        <w:tc>
          <w:tcPr>
            <w:tcW w:w="944" w:type="dxa"/>
          </w:tcPr>
          <w:p>
            <w:pPr>
              <w:pStyle w:val="0"/>
              <w:jc w:val="center"/>
            </w:pPr>
            <w:r>
              <w:rPr>
                <w:sz w:val="20"/>
              </w:rPr>
              <w:t xml:space="preserve">2</w:t>
            </w:r>
          </w:p>
        </w:tc>
        <w:tc>
          <w:tcPr>
            <w:tcW w:w="944" w:type="dxa"/>
          </w:tcPr>
          <w:p>
            <w:pPr>
              <w:pStyle w:val="0"/>
              <w:jc w:val="center"/>
            </w:pPr>
            <w:r>
              <w:rPr>
                <w:sz w:val="20"/>
              </w:rPr>
            </w:r>
          </w:p>
        </w:tc>
        <w:tc>
          <w:tcPr>
            <w:tcW w:w="944" w:type="dxa"/>
          </w:tcPr>
          <w:p>
            <w:pPr>
              <w:pStyle w:val="0"/>
              <w:jc w:val="center"/>
            </w:pPr>
            <w:r>
              <w:rPr>
                <w:sz w:val="20"/>
              </w:rPr>
              <w:t xml:space="preserve">2</w:t>
            </w:r>
          </w:p>
        </w:tc>
      </w:tr>
      <w:tr>
        <w:tc>
          <w:tcPr>
            <w:tcW w:w="2154" w:type="dxa"/>
          </w:tcPr>
          <w:p>
            <w:pPr>
              <w:pStyle w:val="0"/>
              <w:jc w:val="both"/>
            </w:pPr>
            <w:r>
              <w:rPr>
                <w:sz w:val="20"/>
              </w:rPr>
              <w:t xml:space="preserve">психиатры детские и подростковые</w:t>
            </w:r>
          </w:p>
        </w:tc>
        <w:tc>
          <w:tcPr>
            <w:tcW w:w="1020" w:type="dxa"/>
          </w:tcPr>
          <w:p>
            <w:pPr>
              <w:pStyle w:val="0"/>
              <w:jc w:val="center"/>
            </w:pPr>
            <w:r>
              <w:rPr>
                <w:sz w:val="20"/>
              </w:rPr>
              <w:t xml:space="preserve">1</w:t>
            </w:r>
          </w:p>
        </w:tc>
        <w:tc>
          <w:tcPr>
            <w:tcW w:w="1052" w:type="dxa"/>
          </w:tcPr>
          <w:p>
            <w:pPr>
              <w:pStyle w:val="0"/>
              <w:jc w:val="center"/>
            </w:pPr>
            <w:r>
              <w:rPr>
                <w:sz w:val="20"/>
              </w:rPr>
              <w:t xml:space="preserve">2</w:t>
            </w:r>
          </w:p>
        </w:tc>
        <w:tc>
          <w:tcPr>
            <w:tcW w:w="1052" w:type="dxa"/>
          </w:tcPr>
          <w:p>
            <w:pPr>
              <w:pStyle w:val="0"/>
              <w:jc w:val="center"/>
            </w:pPr>
            <w:r>
              <w:rPr>
                <w:sz w:val="20"/>
              </w:rPr>
              <w:t xml:space="preserve">-1</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психотерапевты</w:t>
            </w:r>
          </w:p>
        </w:tc>
        <w:tc>
          <w:tcPr>
            <w:tcW w:w="1020" w:type="dxa"/>
          </w:tcPr>
          <w:p>
            <w:pPr>
              <w:pStyle w:val="0"/>
              <w:jc w:val="center"/>
            </w:pPr>
            <w:r>
              <w:rPr>
                <w:sz w:val="20"/>
              </w:rPr>
              <w:t xml:space="preserve">3</w:t>
            </w:r>
          </w:p>
        </w:tc>
        <w:tc>
          <w:tcPr>
            <w:tcW w:w="1052" w:type="dxa"/>
          </w:tcPr>
          <w:p>
            <w:pPr>
              <w:pStyle w:val="0"/>
              <w:jc w:val="center"/>
            </w:pPr>
            <w:r>
              <w:rPr>
                <w:sz w:val="20"/>
              </w:rPr>
              <w:t xml:space="preserve">1</w:t>
            </w:r>
          </w:p>
        </w:tc>
        <w:tc>
          <w:tcPr>
            <w:tcW w:w="1052" w:type="dxa"/>
          </w:tcPr>
          <w:p>
            <w:pPr>
              <w:pStyle w:val="0"/>
              <w:jc w:val="center"/>
            </w:pPr>
            <w:r>
              <w:rPr>
                <w:sz w:val="20"/>
              </w:rPr>
              <w:t xml:space="preserve">2</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психиатры-наркологи</w:t>
            </w:r>
          </w:p>
        </w:tc>
        <w:tc>
          <w:tcPr>
            <w:tcW w:w="1020" w:type="dxa"/>
          </w:tcPr>
          <w:p>
            <w:pPr>
              <w:pStyle w:val="0"/>
              <w:jc w:val="center"/>
            </w:pPr>
            <w:r>
              <w:rPr>
                <w:sz w:val="20"/>
              </w:rPr>
              <w:t xml:space="preserve">1</w:t>
            </w:r>
          </w:p>
        </w:tc>
        <w:tc>
          <w:tcPr>
            <w:tcW w:w="1052" w:type="dxa"/>
          </w:tcPr>
          <w:p>
            <w:pPr>
              <w:pStyle w:val="0"/>
              <w:jc w:val="center"/>
            </w:pPr>
            <w:r>
              <w:rPr>
                <w:sz w:val="20"/>
              </w:rPr>
              <w:t xml:space="preserve">4</w:t>
            </w:r>
          </w:p>
        </w:tc>
        <w:tc>
          <w:tcPr>
            <w:tcW w:w="1052" w:type="dxa"/>
          </w:tcPr>
          <w:p>
            <w:pPr>
              <w:pStyle w:val="0"/>
              <w:jc w:val="center"/>
            </w:pPr>
            <w:r>
              <w:rPr>
                <w:sz w:val="20"/>
              </w:rPr>
              <w:t xml:space="preserve">-3</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2</w:t>
            </w:r>
          </w:p>
        </w:tc>
      </w:tr>
      <w:tr>
        <w:tc>
          <w:tcPr>
            <w:tcW w:w="2154" w:type="dxa"/>
          </w:tcPr>
          <w:p>
            <w:pPr>
              <w:pStyle w:val="0"/>
              <w:jc w:val="both"/>
            </w:pPr>
            <w:r>
              <w:rPr>
                <w:sz w:val="20"/>
              </w:rPr>
              <w:t xml:space="preserve">пульмонологи</w:t>
            </w:r>
          </w:p>
        </w:tc>
        <w:tc>
          <w:tcPr>
            <w:tcW w:w="1020" w:type="dxa"/>
          </w:tcPr>
          <w:p>
            <w:pPr>
              <w:pStyle w:val="0"/>
              <w:jc w:val="center"/>
            </w:pPr>
            <w:r>
              <w:rPr>
                <w:sz w:val="20"/>
              </w:rPr>
              <w:t xml:space="preserve">-2</w:t>
            </w:r>
          </w:p>
        </w:tc>
        <w:tc>
          <w:tcPr>
            <w:tcW w:w="1052" w:type="dxa"/>
          </w:tcPr>
          <w:p>
            <w:pPr>
              <w:pStyle w:val="0"/>
              <w:jc w:val="center"/>
            </w:pPr>
            <w:r>
              <w:rPr>
                <w:sz w:val="20"/>
              </w:rPr>
              <w:t xml:space="preserve">-2</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1</w:t>
            </w:r>
          </w:p>
        </w:tc>
      </w:tr>
      <w:tr>
        <w:tc>
          <w:tcPr>
            <w:tcW w:w="2154" w:type="dxa"/>
          </w:tcPr>
          <w:p>
            <w:pPr>
              <w:pStyle w:val="0"/>
              <w:jc w:val="both"/>
            </w:pPr>
            <w:r>
              <w:rPr>
                <w:sz w:val="20"/>
              </w:rPr>
              <w:t xml:space="preserve">радиологи</w:t>
            </w:r>
          </w:p>
        </w:tc>
        <w:tc>
          <w:tcPr>
            <w:tcW w:w="1020" w:type="dxa"/>
          </w:tcPr>
          <w:p>
            <w:pPr>
              <w:pStyle w:val="0"/>
              <w:jc w:val="center"/>
            </w:pPr>
            <w:r>
              <w:rPr>
                <w:sz w:val="20"/>
              </w:rPr>
            </w:r>
          </w:p>
        </w:tc>
        <w:tc>
          <w:tcPr>
            <w:tcW w:w="1052" w:type="dxa"/>
          </w:tcPr>
          <w:p>
            <w:pPr>
              <w:pStyle w:val="0"/>
              <w:jc w:val="center"/>
            </w:pPr>
            <w:r>
              <w:rPr>
                <w:sz w:val="20"/>
              </w:rPr>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радиотерапевты</w:t>
            </w:r>
          </w:p>
        </w:tc>
        <w:tc>
          <w:tcPr>
            <w:tcW w:w="1020" w:type="dxa"/>
          </w:tcPr>
          <w:p>
            <w:pPr>
              <w:pStyle w:val="0"/>
              <w:jc w:val="center"/>
            </w:pPr>
            <w:r>
              <w:rPr>
                <w:sz w:val="20"/>
              </w:rPr>
              <w:t xml:space="preserve">2</w:t>
            </w:r>
          </w:p>
        </w:tc>
        <w:tc>
          <w:tcPr>
            <w:tcW w:w="1052" w:type="dxa"/>
          </w:tcPr>
          <w:p>
            <w:pPr>
              <w:pStyle w:val="0"/>
              <w:jc w:val="center"/>
            </w:pPr>
            <w:r>
              <w:rPr>
                <w:sz w:val="20"/>
              </w:rPr>
            </w:r>
          </w:p>
        </w:tc>
        <w:tc>
          <w:tcPr>
            <w:tcW w:w="1052" w:type="dxa"/>
          </w:tcPr>
          <w:p>
            <w:pPr>
              <w:pStyle w:val="0"/>
              <w:jc w:val="center"/>
            </w:pPr>
            <w:r>
              <w:rPr>
                <w:sz w:val="20"/>
              </w:rPr>
              <w:t xml:space="preserve">2</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ревматологи</w:t>
            </w:r>
          </w:p>
        </w:tc>
        <w:tc>
          <w:tcPr>
            <w:tcW w:w="1020" w:type="dxa"/>
          </w:tcPr>
          <w:p>
            <w:pPr>
              <w:pStyle w:val="0"/>
              <w:jc w:val="center"/>
            </w:pPr>
            <w:r>
              <w:rPr>
                <w:sz w:val="20"/>
              </w:rPr>
              <w:t xml:space="preserve">1</w:t>
            </w:r>
          </w:p>
        </w:tc>
        <w:tc>
          <w:tcPr>
            <w:tcW w:w="1052" w:type="dxa"/>
          </w:tcPr>
          <w:p>
            <w:pPr>
              <w:pStyle w:val="0"/>
              <w:jc w:val="center"/>
            </w:pPr>
            <w:r>
              <w:rPr>
                <w:sz w:val="20"/>
              </w:rPr>
              <w:t xml:space="preserve">1</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1</w:t>
            </w:r>
          </w:p>
        </w:tc>
      </w:tr>
      <w:tr>
        <w:tc>
          <w:tcPr>
            <w:tcW w:w="2154" w:type="dxa"/>
          </w:tcPr>
          <w:p>
            <w:pPr>
              <w:pStyle w:val="0"/>
              <w:jc w:val="both"/>
            </w:pPr>
            <w:r>
              <w:rPr>
                <w:sz w:val="20"/>
              </w:rPr>
              <w:t xml:space="preserve">скорой медицинской помощи</w:t>
            </w:r>
          </w:p>
        </w:tc>
        <w:tc>
          <w:tcPr>
            <w:tcW w:w="1020" w:type="dxa"/>
          </w:tcPr>
          <w:p>
            <w:pPr>
              <w:pStyle w:val="0"/>
              <w:jc w:val="center"/>
            </w:pPr>
            <w:r>
              <w:rPr>
                <w:sz w:val="20"/>
              </w:rPr>
              <w:t xml:space="preserve">-32</w:t>
            </w:r>
          </w:p>
        </w:tc>
        <w:tc>
          <w:tcPr>
            <w:tcW w:w="1052" w:type="dxa"/>
          </w:tcPr>
          <w:p>
            <w:pPr>
              <w:pStyle w:val="0"/>
              <w:jc w:val="center"/>
            </w:pPr>
            <w:r>
              <w:rPr>
                <w:sz w:val="20"/>
              </w:rPr>
              <w:t xml:space="preserve">-32</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стоматологи</w:t>
            </w:r>
          </w:p>
        </w:tc>
        <w:tc>
          <w:tcPr>
            <w:tcW w:w="1020" w:type="dxa"/>
          </w:tcPr>
          <w:p>
            <w:pPr>
              <w:pStyle w:val="0"/>
              <w:jc w:val="center"/>
            </w:pPr>
            <w:r>
              <w:rPr>
                <w:sz w:val="20"/>
              </w:rPr>
              <w:t xml:space="preserve">26</w:t>
            </w:r>
          </w:p>
        </w:tc>
        <w:tc>
          <w:tcPr>
            <w:tcW w:w="1052" w:type="dxa"/>
          </w:tcPr>
          <w:p>
            <w:pPr>
              <w:pStyle w:val="0"/>
              <w:jc w:val="center"/>
            </w:pPr>
            <w:r>
              <w:rPr>
                <w:sz w:val="20"/>
              </w:rPr>
              <w:t xml:space="preserve">16</w:t>
            </w:r>
          </w:p>
        </w:tc>
        <w:tc>
          <w:tcPr>
            <w:tcW w:w="1052" w:type="dxa"/>
          </w:tcPr>
          <w:p>
            <w:pPr>
              <w:pStyle w:val="0"/>
              <w:jc w:val="center"/>
            </w:pPr>
            <w:r>
              <w:rPr>
                <w:sz w:val="20"/>
              </w:rPr>
              <w:t xml:space="preserve">10</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травматологи-ортопеды</w:t>
            </w:r>
          </w:p>
        </w:tc>
        <w:tc>
          <w:tcPr>
            <w:tcW w:w="1020" w:type="dxa"/>
          </w:tcPr>
          <w:p>
            <w:pPr>
              <w:pStyle w:val="0"/>
              <w:jc w:val="center"/>
            </w:pPr>
            <w:r>
              <w:rPr>
                <w:sz w:val="20"/>
              </w:rPr>
              <w:t xml:space="preserve">7</w:t>
            </w:r>
          </w:p>
        </w:tc>
        <w:tc>
          <w:tcPr>
            <w:tcW w:w="1052" w:type="dxa"/>
          </w:tcPr>
          <w:p>
            <w:pPr>
              <w:pStyle w:val="0"/>
              <w:jc w:val="center"/>
            </w:pPr>
            <w:r>
              <w:rPr>
                <w:sz w:val="20"/>
              </w:rPr>
              <w:t xml:space="preserve">-5</w:t>
            </w:r>
          </w:p>
        </w:tc>
        <w:tc>
          <w:tcPr>
            <w:tcW w:w="1052" w:type="dxa"/>
          </w:tcPr>
          <w:p>
            <w:pPr>
              <w:pStyle w:val="0"/>
              <w:jc w:val="center"/>
            </w:pPr>
            <w:r>
              <w:rPr>
                <w:sz w:val="20"/>
              </w:rPr>
              <w:t xml:space="preserve">12</w:t>
            </w:r>
          </w:p>
        </w:tc>
        <w:tc>
          <w:tcPr>
            <w:tcW w:w="949" w:type="dxa"/>
          </w:tcPr>
          <w:p>
            <w:pPr>
              <w:pStyle w:val="0"/>
              <w:jc w:val="center"/>
            </w:pPr>
            <w:r>
              <w:rPr>
                <w:sz w:val="20"/>
              </w:rPr>
            </w:r>
          </w:p>
        </w:tc>
        <w:tc>
          <w:tcPr>
            <w:tcW w:w="944" w:type="dxa"/>
          </w:tcPr>
          <w:p>
            <w:pPr>
              <w:pStyle w:val="0"/>
              <w:jc w:val="center"/>
            </w:pPr>
            <w:r>
              <w:rPr>
                <w:sz w:val="20"/>
              </w:rPr>
              <w:t xml:space="preserve">1</w:t>
            </w:r>
          </w:p>
        </w:tc>
        <w:tc>
          <w:tcPr>
            <w:tcW w:w="944" w:type="dxa"/>
          </w:tcPr>
          <w:p>
            <w:pPr>
              <w:pStyle w:val="0"/>
              <w:jc w:val="center"/>
            </w:pPr>
            <w:r>
              <w:rPr>
                <w:sz w:val="20"/>
              </w:rPr>
            </w:r>
          </w:p>
        </w:tc>
        <w:tc>
          <w:tcPr>
            <w:tcW w:w="944" w:type="dxa"/>
          </w:tcPr>
          <w:p>
            <w:pPr>
              <w:pStyle w:val="0"/>
              <w:jc w:val="center"/>
            </w:pPr>
            <w:r>
              <w:rPr>
                <w:sz w:val="20"/>
              </w:rPr>
              <w:t xml:space="preserve">2</w:t>
            </w:r>
          </w:p>
        </w:tc>
      </w:tr>
      <w:tr>
        <w:tc>
          <w:tcPr>
            <w:tcW w:w="2154" w:type="dxa"/>
          </w:tcPr>
          <w:p>
            <w:pPr>
              <w:pStyle w:val="0"/>
              <w:jc w:val="both"/>
            </w:pPr>
            <w:r>
              <w:rPr>
                <w:sz w:val="20"/>
              </w:rPr>
              <w:t xml:space="preserve">терапевты</w:t>
            </w:r>
          </w:p>
        </w:tc>
        <w:tc>
          <w:tcPr>
            <w:tcW w:w="1020" w:type="dxa"/>
          </w:tcPr>
          <w:p>
            <w:pPr>
              <w:pStyle w:val="0"/>
              <w:jc w:val="center"/>
            </w:pPr>
            <w:r>
              <w:rPr>
                <w:sz w:val="20"/>
              </w:rPr>
              <w:t xml:space="preserve">19</w:t>
            </w:r>
          </w:p>
        </w:tc>
        <w:tc>
          <w:tcPr>
            <w:tcW w:w="1052" w:type="dxa"/>
          </w:tcPr>
          <w:p>
            <w:pPr>
              <w:pStyle w:val="0"/>
              <w:jc w:val="center"/>
            </w:pPr>
            <w:r>
              <w:rPr>
                <w:sz w:val="20"/>
              </w:rPr>
              <w:t xml:space="preserve">11</w:t>
            </w:r>
          </w:p>
        </w:tc>
        <w:tc>
          <w:tcPr>
            <w:tcW w:w="1052" w:type="dxa"/>
          </w:tcPr>
          <w:p>
            <w:pPr>
              <w:pStyle w:val="0"/>
              <w:jc w:val="center"/>
            </w:pPr>
            <w:r>
              <w:rPr>
                <w:sz w:val="20"/>
              </w:rPr>
              <w:t xml:space="preserve">8</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4</w:t>
            </w:r>
          </w:p>
        </w:tc>
      </w:tr>
      <w:tr>
        <w:tc>
          <w:tcPr>
            <w:tcW w:w="2154" w:type="dxa"/>
          </w:tcPr>
          <w:p>
            <w:pPr>
              <w:pStyle w:val="0"/>
              <w:jc w:val="both"/>
            </w:pPr>
            <w:r>
              <w:rPr>
                <w:sz w:val="20"/>
              </w:rPr>
              <w:t xml:space="preserve">терапевты участковые</w:t>
            </w:r>
          </w:p>
        </w:tc>
        <w:tc>
          <w:tcPr>
            <w:tcW w:w="1020" w:type="dxa"/>
          </w:tcPr>
          <w:p>
            <w:pPr>
              <w:pStyle w:val="0"/>
              <w:jc w:val="center"/>
            </w:pPr>
            <w:r>
              <w:rPr>
                <w:sz w:val="20"/>
              </w:rPr>
              <w:t xml:space="preserve">-50</w:t>
            </w:r>
          </w:p>
        </w:tc>
        <w:tc>
          <w:tcPr>
            <w:tcW w:w="1052" w:type="dxa"/>
          </w:tcPr>
          <w:p>
            <w:pPr>
              <w:pStyle w:val="0"/>
              <w:jc w:val="center"/>
            </w:pPr>
            <w:r>
              <w:rPr>
                <w:sz w:val="20"/>
              </w:rPr>
              <w:t xml:space="preserve">-50</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t xml:space="preserve">15</w:t>
            </w:r>
          </w:p>
        </w:tc>
        <w:tc>
          <w:tcPr>
            <w:tcW w:w="944" w:type="dxa"/>
          </w:tcPr>
          <w:p>
            <w:pPr>
              <w:pStyle w:val="0"/>
              <w:jc w:val="center"/>
            </w:pPr>
            <w:r>
              <w:rPr>
                <w:sz w:val="20"/>
              </w:rPr>
              <w:t xml:space="preserve">19</w:t>
            </w:r>
          </w:p>
        </w:tc>
        <w:tc>
          <w:tcPr>
            <w:tcW w:w="944" w:type="dxa"/>
          </w:tcPr>
          <w:p>
            <w:pPr>
              <w:pStyle w:val="0"/>
              <w:jc w:val="center"/>
            </w:pPr>
            <w:r>
              <w:rPr>
                <w:sz w:val="20"/>
              </w:rPr>
              <w:t xml:space="preserve">15</w:t>
            </w:r>
          </w:p>
        </w:tc>
      </w:tr>
      <w:tr>
        <w:tc>
          <w:tcPr>
            <w:tcW w:w="2154" w:type="dxa"/>
          </w:tcPr>
          <w:p>
            <w:pPr>
              <w:pStyle w:val="0"/>
              <w:jc w:val="both"/>
            </w:pPr>
            <w:r>
              <w:rPr>
                <w:sz w:val="20"/>
              </w:rPr>
              <w:t xml:space="preserve">токсикологи</w:t>
            </w:r>
          </w:p>
        </w:tc>
        <w:tc>
          <w:tcPr>
            <w:tcW w:w="1020" w:type="dxa"/>
          </w:tcPr>
          <w:p>
            <w:pPr>
              <w:pStyle w:val="0"/>
              <w:jc w:val="center"/>
            </w:pPr>
            <w:r>
              <w:rPr>
                <w:sz w:val="20"/>
              </w:rPr>
            </w:r>
          </w:p>
        </w:tc>
        <w:tc>
          <w:tcPr>
            <w:tcW w:w="1052" w:type="dxa"/>
          </w:tcPr>
          <w:p>
            <w:pPr>
              <w:pStyle w:val="0"/>
              <w:jc w:val="center"/>
            </w:pPr>
            <w:r>
              <w:rPr>
                <w:sz w:val="20"/>
              </w:rPr>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урологи</w:t>
            </w:r>
          </w:p>
        </w:tc>
        <w:tc>
          <w:tcPr>
            <w:tcW w:w="1020" w:type="dxa"/>
          </w:tcPr>
          <w:p>
            <w:pPr>
              <w:pStyle w:val="0"/>
              <w:jc w:val="center"/>
            </w:pPr>
            <w:r>
              <w:rPr>
                <w:sz w:val="20"/>
              </w:rPr>
            </w:r>
          </w:p>
        </w:tc>
        <w:tc>
          <w:tcPr>
            <w:tcW w:w="1052" w:type="dxa"/>
          </w:tcPr>
          <w:p>
            <w:pPr>
              <w:pStyle w:val="0"/>
              <w:jc w:val="center"/>
            </w:pPr>
            <w:r>
              <w:rPr>
                <w:sz w:val="20"/>
              </w:rPr>
              <w:t xml:space="preserve">-7</w:t>
            </w:r>
          </w:p>
        </w:tc>
        <w:tc>
          <w:tcPr>
            <w:tcW w:w="1052" w:type="dxa"/>
          </w:tcPr>
          <w:p>
            <w:pPr>
              <w:pStyle w:val="0"/>
              <w:jc w:val="center"/>
            </w:pPr>
            <w:r>
              <w:rPr>
                <w:sz w:val="20"/>
              </w:rPr>
              <w:t xml:space="preserve">7</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урологи-андрологи</w:t>
            </w:r>
          </w:p>
        </w:tc>
        <w:tc>
          <w:tcPr>
            <w:tcW w:w="1020" w:type="dxa"/>
          </w:tcPr>
          <w:p>
            <w:pPr>
              <w:pStyle w:val="0"/>
              <w:jc w:val="center"/>
            </w:pPr>
            <w:r>
              <w:rPr>
                <w:sz w:val="20"/>
              </w:rPr>
              <w:t xml:space="preserve">-5</w:t>
            </w:r>
          </w:p>
        </w:tc>
        <w:tc>
          <w:tcPr>
            <w:tcW w:w="1052" w:type="dxa"/>
          </w:tcPr>
          <w:p>
            <w:pPr>
              <w:pStyle w:val="0"/>
              <w:jc w:val="center"/>
            </w:pPr>
            <w:r>
              <w:rPr>
                <w:sz w:val="20"/>
              </w:rPr>
              <w:t xml:space="preserve">-5</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фтизиатры</w:t>
            </w:r>
          </w:p>
        </w:tc>
        <w:tc>
          <w:tcPr>
            <w:tcW w:w="1020" w:type="dxa"/>
          </w:tcPr>
          <w:p>
            <w:pPr>
              <w:pStyle w:val="0"/>
              <w:jc w:val="center"/>
            </w:pPr>
            <w:r>
              <w:rPr>
                <w:sz w:val="20"/>
              </w:rPr>
              <w:t xml:space="preserve">-1</w:t>
            </w:r>
          </w:p>
        </w:tc>
        <w:tc>
          <w:tcPr>
            <w:tcW w:w="1052" w:type="dxa"/>
          </w:tcPr>
          <w:p>
            <w:pPr>
              <w:pStyle w:val="0"/>
              <w:jc w:val="center"/>
            </w:pPr>
            <w:r>
              <w:rPr>
                <w:sz w:val="20"/>
              </w:rPr>
              <w:t xml:space="preserve">-1</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t xml:space="preserve">3</w:t>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хирурги</w:t>
            </w:r>
          </w:p>
        </w:tc>
        <w:tc>
          <w:tcPr>
            <w:tcW w:w="1020" w:type="dxa"/>
          </w:tcPr>
          <w:p>
            <w:pPr>
              <w:pStyle w:val="0"/>
              <w:jc w:val="center"/>
            </w:pPr>
            <w:r>
              <w:rPr>
                <w:sz w:val="20"/>
              </w:rPr>
              <w:t xml:space="preserve">9</w:t>
            </w:r>
          </w:p>
        </w:tc>
        <w:tc>
          <w:tcPr>
            <w:tcW w:w="1052" w:type="dxa"/>
          </w:tcPr>
          <w:p>
            <w:pPr>
              <w:pStyle w:val="0"/>
              <w:jc w:val="center"/>
            </w:pPr>
            <w:r>
              <w:rPr>
                <w:sz w:val="20"/>
              </w:rPr>
              <w:t xml:space="preserve">-4</w:t>
            </w:r>
          </w:p>
        </w:tc>
        <w:tc>
          <w:tcPr>
            <w:tcW w:w="1052" w:type="dxa"/>
          </w:tcPr>
          <w:p>
            <w:pPr>
              <w:pStyle w:val="0"/>
              <w:jc w:val="center"/>
            </w:pPr>
            <w:r>
              <w:rPr>
                <w:sz w:val="20"/>
              </w:rPr>
              <w:t xml:space="preserve">13</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1</w:t>
            </w:r>
          </w:p>
        </w:tc>
      </w:tr>
      <w:tr>
        <w:tc>
          <w:tcPr>
            <w:tcW w:w="2154" w:type="dxa"/>
          </w:tcPr>
          <w:p>
            <w:pPr>
              <w:pStyle w:val="0"/>
              <w:jc w:val="both"/>
            </w:pPr>
            <w:r>
              <w:rPr>
                <w:sz w:val="20"/>
              </w:rPr>
              <w:t xml:space="preserve">хирурги детские</w:t>
            </w:r>
          </w:p>
        </w:tc>
        <w:tc>
          <w:tcPr>
            <w:tcW w:w="1020" w:type="dxa"/>
          </w:tcPr>
          <w:p>
            <w:pPr>
              <w:pStyle w:val="0"/>
              <w:jc w:val="center"/>
            </w:pPr>
            <w:r>
              <w:rPr>
                <w:sz w:val="20"/>
              </w:rPr>
              <w:t xml:space="preserve">3</w:t>
            </w:r>
          </w:p>
        </w:tc>
        <w:tc>
          <w:tcPr>
            <w:tcW w:w="1052" w:type="dxa"/>
          </w:tcPr>
          <w:p>
            <w:pPr>
              <w:pStyle w:val="0"/>
              <w:jc w:val="center"/>
            </w:pPr>
            <w:r>
              <w:rPr>
                <w:sz w:val="20"/>
              </w:rPr>
              <w:t xml:space="preserve">-6</w:t>
            </w:r>
          </w:p>
        </w:tc>
        <w:tc>
          <w:tcPr>
            <w:tcW w:w="1052" w:type="dxa"/>
          </w:tcPr>
          <w:p>
            <w:pPr>
              <w:pStyle w:val="0"/>
              <w:jc w:val="center"/>
            </w:pPr>
            <w:r>
              <w:rPr>
                <w:sz w:val="20"/>
              </w:rPr>
              <w:t xml:space="preserve">9</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3</w:t>
            </w:r>
          </w:p>
        </w:tc>
      </w:tr>
      <w:tr>
        <w:tc>
          <w:tcPr>
            <w:tcW w:w="2154" w:type="dxa"/>
          </w:tcPr>
          <w:p>
            <w:pPr>
              <w:pStyle w:val="0"/>
              <w:jc w:val="both"/>
            </w:pPr>
            <w:r>
              <w:rPr>
                <w:sz w:val="20"/>
              </w:rPr>
              <w:t xml:space="preserve">хирурги пластические</w:t>
            </w:r>
          </w:p>
        </w:tc>
        <w:tc>
          <w:tcPr>
            <w:tcW w:w="1020" w:type="dxa"/>
          </w:tcPr>
          <w:p>
            <w:pPr>
              <w:pStyle w:val="0"/>
              <w:jc w:val="center"/>
            </w:pPr>
            <w:r>
              <w:rPr>
                <w:sz w:val="20"/>
              </w:rPr>
              <w:t xml:space="preserve">-2</w:t>
            </w:r>
          </w:p>
        </w:tc>
        <w:tc>
          <w:tcPr>
            <w:tcW w:w="1052" w:type="dxa"/>
          </w:tcPr>
          <w:p>
            <w:pPr>
              <w:pStyle w:val="0"/>
              <w:jc w:val="center"/>
            </w:pPr>
            <w:r>
              <w:rPr>
                <w:sz w:val="20"/>
              </w:rPr>
            </w:r>
          </w:p>
        </w:tc>
        <w:tc>
          <w:tcPr>
            <w:tcW w:w="1052" w:type="dxa"/>
          </w:tcPr>
          <w:p>
            <w:pPr>
              <w:pStyle w:val="0"/>
              <w:jc w:val="center"/>
            </w:pPr>
            <w:r>
              <w:rPr>
                <w:sz w:val="20"/>
              </w:rPr>
              <w:t xml:space="preserve">-2</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сердечно-сосудистые хирурги</w:t>
            </w:r>
          </w:p>
        </w:tc>
        <w:tc>
          <w:tcPr>
            <w:tcW w:w="1020" w:type="dxa"/>
          </w:tcPr>
          <w:p>
            <w:pPr>
              <w:pStyle w:val="0"/>
              <w:jc w:val="center"/>
            </w:pPr>
            <w:r>
              <w:rPr>
                <w:sz w:val="20"/>
              </w:rPr>
              <w:t xml:space="preserve">-9</w:t>
            </w:r>
          </w:p>
        </w:tc>
        <w:tc>
          <w:tcPr>
            <w:tcW w:w="1052" w:type="dxa"/>
          </w:tcPr>
          <w:p>
            <w:pPr>
              <w:pStyle w:val="0"/>
              <w:jc w:val="center"/>
            </w:pPr>
            <w:r>
              <w:rPr>
                <w:sz w:val="20"/>
              </w:rPr>
              <w:t xml:space="preserve">-2</w:t>
            </w:r>
          </w:p>
        </w:tc>
        <w:tc>
          <w:tcPr>
            <w:tcW w:w="1052" w:type="dxa"/>
          </w:tcPr>
          <w:p>
            <w:pPr>
              <w:pStyle w:val="0"/>
              <w:jc w:val="center"/>
            </w:pPr>
            <w:r>
              <w:rPr>
                <w:sz w:val="20"/>
              </w:rPr>
              <w:t xml:space="preserve">-7</w:t>
            </w:r>
          </w:p>
        </w:tc>
        <w:tc>
          <w:tcPr>
            <w:tcW w:w="949" w:type="dxa"/>
          </w:tcPr>
          <w:p>
            <w:pPr>
              <w:pStyle w:val="0"/>
              <w:jc w:val="center"/>
            </w:pPr>
            <w:r>
              <w:rPr>
                <w:sz w:val="20"/>
              </w:rPr>
            </w:r>
          </w:p>
        </w:tc>
        <w:tc>
          <w:tcPr>
            <w:tcW w:w="944" w:type="dxa"/>
          </w:tcPr>
          <w:p>
            <w:pPr>
              <w:pStyle w:val="0"/>
              <w:jc w:val="center"/>
            </w:pPr>
            <w:r>
              <w:rPr>
                <w:sz w:val="20"/>
              </w:rPr>
              <w:t xml:space="preserve">1</w:t>
            </w:r>
          </w:p>
        </w:tc>
        <w:tc>
          <w:tcPr>
            <w:tcW w:w="944" w:type="dxa"/>
          </w:tcPr>
          <w:p>
            <w:pPr>
              <w:pStyle w:val="0"/>
              <w:jc w:val="center"/>
            </w:pPr>
            <w:r>
              <w:rPr>
                <w:sz w:val="20"/>
              </w:rPr>
              <w:t xml:space="preserve">1</w:t>
            </w:r>
          </w:p>
        </w:tc>
        <w:tc>
          <w:tcPr>
            <w:tcW w:w="944" w:type="dxa"/>
          </w:tcPr>
          <w:p>
            <w:pPr>
              <w:pStyle w:val="0"/>
              <w:jc w:val="center"/>
            </w:pPr>
            <w:r>
              <w:rPr>
                <w:sz w:val="20"/>
              </w:rPr>
            </w:r>
          </w:p>
        </w:tc>
      </w:tr>
      <w:tr>
        <w:tc>
          <w:tcPr>
            <w:tcW w:w="2154" w:type="dxa"/>
          </w:tcPr>
          <w:p>
            <w:pPr>
              <w:pStyle w:val="0"/>
              <w:jc w:val="both"/>
            </w:pPr>
            <w:r>
              <w:rPr>
                <w:sz w:val="20"/>
              </w:rPr>
              <w:t xml:space="preserve">торакальные хирурги</w:t>
            </w:r>
          </w:p>
        </w:tc>
        <w:tc>
          <w:tcPr>
            <w:tcW w:w="1020" w:type="dxa"/>
          </w:tcPr>
          <w:p>
            <w:pPr>
              <w:pStyle w:val="0"/>
              <w:jc w:val="center"/>
            </w:pPr>
            <w:r>
              <w:rPr>
                <w:sz w:val="20"/>
              </w:rPr>
            </w:r>
          </w:p>
        </w:tc>
        <w:tc>
          <w:tcPr>
            <w:tcW w:w="1052" w:type="dxa"/>
          </w:tcPr>
          <w:p>
            <w:pPr>
              <w:pStyle w:val="0"/>
              <w:jc w:val="center"/>
            </w:pPr>
            <w:r>
              <w:rPr>
                <w:sz w:val="20"/>
              </w:rPr>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челюстно-лицевые хирурги</w:t>
            </w:r>
          </w:p>
        </w:tc>
        <w:tc>
          <w:tcPr>
            <w:tcW w:w="1020" w:type="dxa"/>
          </w:tcPr>
          <w:p>
            <w:pPr>
              <w:pStyle w:val="0"/>
              <w:jc w:val="center"/>
            </w:pPr>
            <w:r>
              <w:rPr>
                <w:sz w:val="20"/>
              </w:rPr>
              <w:t xml:space="preserve">-2</w:t>
            </w:r>
          </w:p>
        </w:tc>
        <w:tc>
          <w:tcPr>
            <w:tcW w:w="1052" w:type="dxa"/>
          </w:tcPr>
          <w:p>
            <w:pPr>
              <w:pStyle w:val="0"/>
              <w:jc w:val="center"/>
            </w:pPr>
            <w:r>
              <w:rPr>
                <w:sz w:val="20"/>
              </w:rPr>
              <w:t xml:space="preserve">-2</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эндокринологи</w:t>
            </w:r>
          </w:p>
        </w:tc>
        <w:tc>
          <w:tcPr>
            <w:tcW w:w="1020" w:type="dxa"/>
          </w:tcPr>
          <w:p>
            <w:pPr>
              <w:pStyle w:val="0"/>
              <w:jc w:val="center"/>
            </w:pPr>
            <w:r>
              <w:rPr>
                <w:sz w:val="20"/>
              </w:rPr>
              <w:t xml:space="preserve">-1</w:t>
            </w:r>
          </w:p>
        </w:tc>
        <w:tc>
          <w:tcPr>
            <w:tcW w:w="1052" w:type="dxa"/>
          </w:tcPr>
          <w:p>
            <w:pPr>
              <w:pStyle w:val="0"/>
              <w:jc w:val="center"/>
            </w:pPr>
            <w:r>
              <w:rPr>
                <w:sz w:val="20"/>
              </w:rPr>
              <w:t xml:space="preserve">-5</w:t>
            </w:r>
          </w:p>
        </w:tc>
        <w:tc>
          <w:tcPr>
            <w:tcW w:w="1052" w:type="dxa"/>
          </w:tcPr>
          <w:p>
            <w:pPr>
              <w:pStyle w:val="0"/>
              <w:jc w:val="center"/>
            </w:pPr>
            <w:r>
              <w:rPr>
                <w:sz w:val="20"/>
              </w:rPr>
              <w:t xml:space="preserve">4</w:t>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эндокринологи детские</w:t>
            </w:r>
          </w:p>
        </w:tc>
        <w:tc>
          <w:tcPr>
            <w:tcW w:w="1020" w:type="dxa"/>
          </w:tcPr>
          <w:p>
            <w:pPr>
              <w:pStyle w:val="0"/>
              <w:jc w:val="center"/>
            </w:pPr>
            <w:r>
              <w:rPr>
                <w:sz w:val="20"/>
              </w:rPr>
              <w:t xml:space="preserve">-2</w:t>
            </w:r>
          </w:p>
        </w:tc>
        <w:tc>
          <w:tcPr>
            <w:tcW w:w="1052" w:type="dxa"/>
          </w:tcPr>
          <w:p>
            <w:pPr>
              <w:pStyle w:val="0"/>
              <w:jc w:val="center"/>
            </w:pPr>
            <w:r>
              <w:rPr>
                <w:sz w:val="20"/>
              </w:rPr>
              <w:t xml:space="preserve">-2</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t xml:space="preserve">2</w:t>
            </w:r>
          </w:p>
        </w:tc>
      </w:tr>
      <w:tr>
        <w:tc>
          <w:tcPr>
            <w:tcW w:w="2154" w:type="dxa"/>
          </w:tcPr>
          <w:p>
            <w:pPr>
              <w:pStyle w:val="0"/>
              <w:jc w:val="both"/>
            </w:pPr>
            <w:r>
              <w:rPr>
                <w:sz w:val="20"/>
              </w:rPr>
              <w:t xml:space="preserve">прочие</w:t>
            </w:r>
          </w:p>
        </w:tc>
        <w:tc>
          <w:tcPr>
            <w:tcW w:w="1020" w:type="dxa"/>
          </w:tcPr>
          <w:p>
            <w:pPr>
              <w:pStyle w:val="0"/>
              <w:jc w:val="center"/>
            </w:pPr>
            <w:r>
              <w:rPr>
                <w:sz w:val="20"/>
              </w:rPr>
              <w:t xml:space="preserve">-3</w:t>
            </w:r>
          </w:p>
        </w:tc>
        <w:tc>
          <w:tcPr>
            <w:tcW w:w="1052" w:type="dxa"/>
          </w:tcPr>
          <w:p>
            <w:pPr>
              <w:pStyle w:val="0"/>
              <w:jc w:val="center"/>
            </w:pPr>
            <w:r>
              <w:rPr>
                <w:sz w:val="20"/>
              </w:rPr>
              <w:t xml:space="preserve">-3</w:t>
            </w:r>
          </w:p>
        </w:tc>
        <w:tc>
          <w:tcPr>
            <w:tcW w:w="1052" w:type="dxa"/>
          </w:tcPr>
          <w:p>
            <w:pPr>
              <w:pStyle w:val="0"/>
              <w:jc w:val="center"/>
            </w:pPr>
            <w:r>
              <w:rPr>
                <w:sz w:val="20"/>
              </w:rPr>
            </w:r>
          </w:p>
        </w:tc>
        <w:tc>
          <w:tcPr>
            <w:tcW w:w="949"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c>
          <w:tcPr>
            <w:tcW w:w="944" w:type="dxa"/>
          </w:tcPr>
          <w:p>
            <w:pPr>
              <w:pStyle w:val="0"/>
              <w:jc w:val="center"/>
            </w:pPr>
            <w:r>
              <w:rPr>
                <w:sz w:val="20"/>
              </w:rPr>
            </w:r>
          </w:p>
        </w:tc>
      </w:tr>
      <w:tr>
        <w:tc>
          <w:tcPr>
            <w:tcW w:w="2154" w:type="dxa"/>
          </w:tcPr>
          <w:p>
            <w:pPr>
              <w:pStyle w:val="0"/>
              <w:jc w:val="both"/>
            </w:pPr>
            <w:r>
              <w:rPr>
                <w:sz w:val="20"/>
              </w:rPr>
              <w:t xml:space="preserve">итого врачей клинических специальностей</w:t>
            </w:r>
          </w:p>
        </w:tc>
        <w:tc>
          <w:tcPr>
            <w:tcW w:w="1020" w:type="dxa"/>
          </w:tcPr>
          <w:p>
            <w:pPr>
              <w:pStyle w:val="0"/>
              <w:jc w:val="center"/>
            </w:pPr>
            <w:r>
              <w:rPr>
                <w:sz w:val="20"/>
              </w:rPr>
              <w:t xml:space="preserve">-141</w:t>
            </w:r>
          </w:p>
        </w:tc>
        <w:tc>
          <w:tcPr>
            <w:tcW w:w="1052" w:type="dxa"/>
          </w:tcPr>
          <w:p>
            <w:pPr>
              <w:pStyle w:val="0"/>
              <w:jc w:val="center"/>
            </w:pPr>
            <w:r>
              <w:rPr>
                <w:sz w:val="20"/>
              </w:rPr>
              <w:t xml:space="preserve">-190</w:t>
            </w:r>
          </w:p>
        </w:tc>
        <w:tc>
          <w:tcPr>
            <w:tcW w:w="1052" w:type="dxa"/>
          </w:tcPr>
          <w:p>
            <w:pPr>
              <w:pStyle w:val="0"/>
              <w:jc w:val="center"/>
            </w:pPr>
            <w:r>
              <w:rPr>
                <w:sz w:val="20"/>
              </w:rPr>
              <w:t xml:space="preserve">49</w:t>
            </w:r>
          </w:p>
        </w:tc>
        <w:tc>
          <w:tcPr>
            <w:tcW w:w="949" w:type="dxa"/>
          </w:tcPr>
          <w:p>
            <w:pPr>
              <w:pStyle w:val="0"/>
              <w:jc w:val="center"/>
            </w:pPr>
            <w:r>
              <w:rPr>
                <w:sz w:val="20"/>
              </w:rPr>
            </w:r>
          </w:p>
        </w:tc>
        <w:tc>
          <w:tcPr>
            <w:tcW w:w="944" w:type="dxa"/>
          </w:tcPr>
          <w:p>
            <w:pPr>
              <w:pStyle w:val="0"/>
              <w:jc w:val="center"/>
            </w:pPr>
            <w:r>
              <w:rPr>
                <w:sz w:val="20"/>
              </w:rPr>
              <w:t xml:space="preserve">44</w:t>
            </w:r>
          </w:p>
        </w:tc>
        <w:tc>
          <w:tcPr>
            <w:tcW w:w="944" w:type="dxa"/>
          </w:tcPr>
          <w:p>
            <w:pPr>
              <w:pStyle w:val="0"/>
              <w:jc w:val="center"/>
            </w:pPr>
            <w:r>
              <w:rPr>
                <w:sz w:val="20"/>
              </w:rPr>
              <w:t xml:space="preserve">28</w:t>
            </w:r>
          </w:p>
        </w:tc>
        <w:tc>
          <w:tcPr>
            <w:tcW w:w="944" w:type="dxa"/>
          </w:tcPr>
          <w:p>
            <w:pPr>
              <w:pStyle w:val="0"/>
              <w:jc w:val="center"/>
            </w:pPr>
            <w:r>
              <w:rPr>
                <w:sz w:val="20"/>
              </w:rPr>
              <w:t xml:space="preserve">62</w:t>
            </w:r>
          </w:p>
        </w:tc>
      </w:tr>
      <w:tr>
        <w:tc>
          <w:tcPr>
            <w:tcW w:w="2154" w:type="dxa"/>
          </w:tcPr>
          <w:p>
            <w:pPr>
              <w:pStyle w:val="0"/>
              <w:jc w:val="both"/>
            </w:pPr>
            <w:r>
              <w:rPr>
                <w:sz w:val="20"/>
              </w:rPr>
              <w:t xml:space="preserve">врачи-специалисты лечебно-диагностической группы</w:t>
            </w:r>
          </w:p>
        </w:tc>
        <w:tc>
          <w:tcPr>
            <w:tcW w:w="1020" w:type="dxa"/>
          </w:tcPr>
          <w:p>
            <w:pPr>
              <w:pStyle w:val="0"/>
              <w:jc w:val="center"/>
            </w:pPr>
            <w:r>
              <w:rPr>
                <w:sz w:val="20"/>
              </w:rPr>
              <w:t xml:space="preserve">55</w:t>
            </w:r>
          </w:p>
        </w:tc>
        <w:tc>
          <w:tcPr>
            <w:tcW w:w="1052" w:type="dxa"/>
          </w:tcPr>
          <w:p>
            <w:pPr>
              <w:pStyle w:val="0"/>
              <w:jc w:val="center"/>
            </w:pPr>
            <w:r>
              <w:rPr>
                <w:sz w:val="20"/>
              </w:rPr>
              <w:t xml:space="preserve">-7</w:t>
            </w:r>
          </w:p>
        </w:tc>
        <w:tc>
          <w:tcPr>
            <w:tcW w:w="1052" w:type="dxa"/>
          </w:tcPr>
          <w:p>
            <w:pPr>
              <w:pStyle w:val="0"/>
              <w:jc w:val="center"/>
            </w:pPr>
            <w:r>
              <w:rPr>
                <w:sz w:val="20"/>
              </w:rPr>
              <w:t xml:space="preserve">62</w:t>
            </w:r>
          </w:p>
        </w:tc>
        <w:tc>
          <w:tcPr>
            <w:tcW w:w="949" w:type="dxa"/>
          </w:tcPr>
          <w:p>
            <w:pPr>
              <w:pStyle w:val="0"/>
              <w:jc w:val="center"/>
            </w:pPr>
            <w:r>
              <w:rPr>
                <w:sz w:val="20"/>
              </w:rPr>
            </w:r>
          </w:p>
        </w:tc>
        <w:tc>
          <w:tcPr>
            <w:tcW w:w="944" w:type="dxa"/>
          </w:tcPr>
          <w:p>
            <w:pPr>
              <w:pStyle w:val="0"/>
              <w:jc w:val="center"/>
            </w:pPr>
            <w:r>
              <w:rPr>
                <w:sz w:val="20"/>
              </w:rPr>
              <w:t xml:space="preserve">4</w:t>
            </w:r>
          </w:p>
        </w:tc>
        <w:tc>
          <w:tcPr>
            <w:tcW w:w="944" w:type="dxa"/>
          </w:tcPr>
          <w:p>
            <w:pPr>
              <w:pStyle w:val="0"/>
              <w:jc w:val="center"/>
            </w:pPr>
            <w:r>
              <w:rPr>
                <w:sz w:val="20"/>
              </w:rPr>
            </w:r>
          </w:p>
        </w:tc>
        <w:tc>
          <w:tcPr>
            <w:tcW w:w="944" w:type="dxa"/>
          </w:tcPr>
          <w:p>
            <w:pPr>
              <w:pStyle w:val="0"/>
              <w:jc w:val="center"/>
            </w:pPr>
            <w:r>
              <w:rPr>
                <w:sz w:val="20"/>
              </w:rPr>
            </w:r>
          </w:p>
        </w:tc>
      </w:tr>
    </w:tbl>
    <w:p>
      <w:pPr>
        <w:pStyle w:val="0"/>
        <w:jc w:val="center"/>
      </w:pPr>
      <w:r>
        <w:rPr>
          <w:sz w:val="20"/>
        </w:rPr>
      </w:r>
    </w:p>
    <w:p>
      <w:pPr>
        <w:pStyle w:val="0"/>
        <w:jc w:val="right"/>
      </w:pPr>
      <w:r>
        <w:rPr>
          <w:sz w:val="20"/>
        </w:rPr>
        <w:t xml:space="preserve">Таблица 19</w:t>
      </w:r>
    </w:p>
    <w:p>
      <w:pPr>
        <w:pStyle w:val="0"/>
        <w:jc w:val="center"/>
      </w:pPr>
      <w:r>
        <w:rPr>
          <w:sz w:val="20"/>
        </w:rPr>
      </w:r>
    </w:p>
    <w:p>
      <w:pPr>
        <w:pStyle w:val="0"/>
        <w:jc w:val="center"/>
      </w:pPr>
      <w:r>
        <w:rPr>
          <w:sz w:val="20"/>
        </w:rPr>
        <w:t xml:space="preserve">Информация о количестве модернизируемых объектов</w:t>
      </w:r>
    </w:p>
    <w:p>
      <w:pPr>
        <w:pStyle w:val="0"/>
        <w:jc w:val="center"/>
      </w:pPr>
      <w:r>
        <w:rPr>
          <w:sz w:val="20"/>
        </w:rPr>
        <w:t xml:space="preserve">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644"/>
        <w:gridCol w:w="1360"/>
        <w:gridCol w:w="1814"/>
        <w:gridCol w:w="1264"/>
        <w:gridCol w:w="1264"/>
      </w:tblGrid>
      <w:tr>
        <w:tc>
          <w:tcPr>
            <w:tcW w:w="1701" w:type="dxa"/>
            <w:vMerge w:val="restart"/>
          </w:tcPr>
          <w:p>
            <w:pPr>
              <w:pStyle w:val="0"/>
              <w:jc w:val="center"/>
            </w:pPr>
            <w:r>
              <w:rPr>
                <w:sz w:val="20"/>
              </w:rPr>
              <w:t xml:space="preserve">Тип МО до модернизации</w:t>
            </w:r>
          </w:p>
        </w:tc>
        <w:tc>
          <w:tcPr>
            <w:tcW w:w="1644" w:type="dxa"/>
            <w:vMerge w:val="restart"/>
          </w:tcPr>
          <w:p>
            <w:pPr>
              <w:pStyle w:val="0"/>
              <w:jc w:val="center"/>
            </w:pPr>
            <w:r>
              <w:rPr>
                <w:sz w:val="20"/>
              </w:rPr>
              <w:t xml:space="preserve">Тип МО после модернизации</w:t>
            </w:r>
          </w:p>
        </w:tc>
        <w:tc>
          <w:tcPr>
            <w:tcW w:w="1360" w:type="dxa"/>
            <w:vMerge w:val="restart"/>
          </w:tcPr>
          <w:p>
            <w:pPr>
              <w:pStyle w:val="0"/>
              <w:jc w:val="center"/>
            </w:pPr>
            <w:r>
              <w:rPr>
                <w:sz w:val="20"/>
              </w:rPr>
              <w:t xml:space="preserve">Количество объектов</w:t>
            </w:r>
          </w:p>
        </w:tc>
        <w:tc>
          <w:tcPr>
            <w:tcW w:w="1814" w:type="dxa"/>
            <w:vMerge w:val="restart"/>
          </w:tcPr>
          <w:p>
            <w:pPr>
              <w:pStyle w:val="0"/>
              <w:jc w:val="center"/>
            </w:pPr>
            <w:r>
              <w:rPr>
                <w:sz w:val="20"/>
              </w:rPr>
              <w:t xml:space="preserve">Тип модернизации</w:t>
            </w:r>
          </w:p>
        </w:tc>
        <w:tc>
          <w:tcPr>
            <w:gridSpan w:val="2"/>
            <w:tcW w:w="2528" w:type="dxa"/>
          </w:tcPr>
          <w:p>
            <w:pPr>
              <w:pStyle w:val="0"/>
              <w:jc w:val="center"/>
            </w:pPr>
            <w:r>
              <w:rPr>
                <w:sz w:val="20"/>
              </w:rPr>
              <w:t xml:space="preserve">Изменение штатного расписания</w:t>
            </w:r>
          </w:p>
        </w:tc>
      </w:tr>
      <w:tr>
        <w:tc>
          <w:tcPr>
            <w:vMerge w:val="continue"/>
          </w:tcPr>
          <w:p/>
        </w:tc>
        <w:tc>
          <w:tcPr>
            <w:vMerge w:val="continue"/>
          </w:tcPr>
          <w:p/>
        </w:tc>
        <w:tc>
          <w:tcPr>
            <w:vMerge w:val="continue"/>
          </w:tcPr>
          <w:p/>
        </w:tc>
        <w:tc>
          <w:tcPr>
            <w:vMerge w:val="continue"/>
          </w:tcPr>
          <w:p/>
        </w:tc>
        <w:tc>
          <w:tcPr>
            <w:tcW w:w="1264" w:type="dxa"/>
          </w:tcPr>
          <w:p>
            <w:pPr>
              <w:pStyle w:val="0"/>
              <w:jc w:val="center"/>
            </w:pPr>
            <w:r>
              <w:rPr>
                <w:sz w:val="20"/>
              </w:rPr>
              <w:t xml:space="preserve">Врачи</w:t>
            </w:r>
          </w:p>
        </w:tc>
        <w:tc>
          <w:tcPr>
            <w:tcW w:w="1264" w:type="dxa"/>
          </w:tcPr>
          <w:p>
            <w:pPr>
              <w:pStyle w:val="0"/>
              <w:jc w:val="center"/>
            </w:pPr>
            <w:r>
              <w:rPr>
                <w:sz w:val="20"/>
              </w:rPr>
              <w:t xml:space="preserve">СМР</w:t>
            </w:r>
          </w:p>
        </w:tc>
      </w:tr>
      <w:tr>
        <w:tc>
          <w:tcPr>
            <w:tcW w:w="1701" w:type="dxa"/>
          </w:tcPr>
          <w:p>
            <w:pPr>
              <w:pStyle w:val="0"/>
              <w:jc w:val="both"/>
            </w:pPr>
            <w:r>
              <w:rPr>
                <w:sz w:val="20"/>
              </w:rPr>
              <w:t xml:space="preserve">Городская поликлиника</w:t>
            </w:r>
          </w:p>
        </w:tc>
        <w:tc>
          <w:tcPr>
            <w:tcW w:w="1644" w:type="dxa"/>
          </w:tcPr>
          <w:p>
            <w:pPr>
              <w:pStyle w:val="0"/>
              <w:jc w:val="both"/>
            </w:pPr>
            <w:r>
              <w:rPr>
                <w:sz w:val="20"/>
              </w:rPr>
              <w:t xml:space="preserve">Городская поликлиника</w:t>
            </w:r>
          </w:p>
        </w:tc>
        <w:tc>
          <w:tcPr>
            <w:tcW w:w="1360" w:type="dxa"/>
          </w:tcPr>
          <w:p>
            <w:pPr>
              <w:pStyle w:val="0"/>
              <w:jc w:val="center"/>
            </w:pPr>
            <w:r>
              <w:rPr>
                <w:sz w:val="20"/>
              </w:rPr>
              <w:t xml:space="preserve">1</w:t>
            </w:r>
          </w:p>
        </w:tc>
        <w:tc>
          <w:tcPr>
            <w:tcW w:w="1814" w:type="dxa"/>
          </w:tcPr>
          <w:p>
            <w:pPr>
              <w:pStyle w:val="0"/>
              <w:jc w:val="both"/>
            </w:pPr>
            <w:r>
              <w:rPr>
                <w:sz w:val="20"/>
              </w:rPr>
              <w:t xml:space="preserve">Строительство нового объекта</w:t>
            </w:r>
          </w:p>
        </w:tc>
        <w:tc>
          <w:tcPr>
            <w:tcW w:w="1264" w:type="dxa"/>
          </w:tcPr>
          <w:p>
            <w:pPr>
              <w:pStyle w:val="0"/>
              <w:jc w:val="center"/>
            </w:pPr>
            <w:r>
              <w:rPr>
                <w:sz w:val="20"/>
              </w:rPr>
              <w:t xml:space="preserve">0</w:t>
            </w:r>
          </w:p>
        </w:tc>
        <w:tc>
          <w:tcPr>
            <w:tcW w:w="1264" w:type="dxa"/>
          </w:tcPr>
          <w:p>
            <w:pPr>
              <w:pStyle w:val="0"/>
              <w:jc w:val="center"/>
            </w:pPr>
            <w:r>
              <w:rPr>
                <w:sz w:val="20"/>
              </w:rPr>
              <w:t xml:space="preserve">0</w:t>
            </w:r>
          </w:p>
        </w:tc>
      </w:tr>
      <w:tr>
        <w:tc>
          <w:tcPr>
            <w:tcW w:w="1701" w:type="dxa"/>
          </w:tcPr>
          <w:p>
            <w:pPr>
              <w:pStyle w:val="0"/>
              <w:jc w:val="both"/>
            </w:pPr>
            <w:r>
              <w:rPr>
                <w:sz w:val="20"/>
              </w:rPr>
              <w:t xml:space="preserve">Врачебная амбулатория</w:t>
            </w:r>
          </w:p>
        </w:tc>
        <w:tc>
          <w:tcPr>
            <w:tcW w:w="1644" w:type="dxa"/>
          </w:tcPr>
          <w:p>
            <w:pPr>
              <w:pStyle w:val="0"/>
              <w:jc w:val="both"/>
            </w:pPr>
            <w:r>
              <w:rPr>
                <w:sz w:val="20"/>
              </w:rPr>
              <w:t xml:space="preserve">Врачебная амбулатория</w:t>
            </w:r>
          </w:p>
        </w:tc>
        <w:tc>
          <w:tcPr>
            <w:tcW w:w="1360" w:type="dxa"/>
          </w:tcPr>
          <w:p>
            <w:pPr>
              <w:pStyle w:val="0"/>
              <w:jc w:val="center"/>
            </w:pPr>
            <w:r>
              <w:rPr>
                <w:sz w:val="20"/>
              </w:rPr>
              <w:t xml:space="preserve">1</w:t>
            </w:r>
          </w:p>
        </w:tc>
        <w:tc>
          <w:tcPr>
            <w:tcW w:w="1814" w:type="dxa"/>
          </w:tcPr>
          <w:p>
            <w:pPr>
              <w:pStyle w:val="0"/>
              <w:jc w:val="both"/>
            </w:pPr>
            <w:r>
              <w:rPr>
                <w:sz w:val="20"/>
              </w:rPr>
              <w:t xml:space="preserve">Строительство нового объекта</w:t>
            </w:r>
          </w:p>
        </w:tc>
        <w:tc>
          <w:tcPr>
            <w:tcW w:w="1264" w:type="dxa"/>
          </w:tcPr>
          <w:p>
            <w:pPr>
              <w:pStyle w:val="0"/>
              <w:jc w:val="center"/>
            </w:pPr>
            <w:r>
              <w:rPr>
                <w:sz w:val="20"/>
              </w:rPr>
              <w:t xml:space="preserve">0</w:t>
            </w:r>
          </w:p>
        </w:tc>
        <w:tc>
          <w:tcPr>
            <w:tcW w:w="1264" w:type="dxa"/>
          </w:tcPr>
          <w:p>
            <w:pPr>
              <w:pStyle w:val="0"/>
              <w:jc w:val="center"/>
            </w:pPr>
            <w:r>
              <w:rPr>
                <w:sz w:val="20"/>
              </w:rPr>
              <w:t xml:space="preserve">0</w:t>
            </w:r>
          </w:p>
        </w:tc>
      </w:tr>
      <w:tr>
        <w:tc>
          <w:tcPr>
            <w:gridSpan w:val="2"/>
            <w:tcW w:w="3345" w:type="dxa"/>
          </w:tcPr>
          <w:p>
            <w:pPr>
              <w:pStyle w:val="0"/>
              <w:jc w:val="both"/>
            </w:pPr>
            <w:r>
              <w:rPr>
                <w:sz w:val="20"/>
              </w:rPr>
              <w:t xml:space="preserve">Итого</w:t>
            </w:r>
          </w:p>
        </w:tc>
        <w:tc>
          <w:tcPr>
            <w:tcW w:w="1360" w:type="dxa"/>
          </w:tcPr>
          <w:p>
            <w:pPr>
              <w:pStyle w:val="0"/>
              <w:jc w:val="center"/>
            </w:pPr>
            <w:r>
              <w:rPr>
                <w:sz w:val="20"/>
              </w:rPr>
              <w:t xml:space="preserve">2</w:t>
            </w:r>
          </w:p>
        </w:tc>
        <w:tc>
          <w:tcPr>
            <w:tcW w:w="1814" w:type="dxa"/>
          </w:tcPr>
          <w:p>
            <w:pPr>
              <w:pStyle w:val="0"/>
              <w:jc w:val="center"/>
            </w:pPr>
            <w:r>
              <w:rPr>
                <w:sz w:val="20"/>
              </w:rPr>
            </w:r>
          </w:p>
        </w:tc>
        <w:tc>
          <w:tcPr>
            <w:tcW w:w="1264" w:type="dxa"/>
          </w:tcPr>
          <w:p>
            <w:pPr>
              <w:pStyle w:val="0"/>
              <w:jc w:val="center"/>
            </w:pPr>
            <w:r>
              <w:rPr>
                <w:sz w:val="20"/>
              </w:rPr>
              <w:t xml:space="preserve">0</w:t>
            </w:r>
          </w:p>
        </w:tc>
        <w:tc>
          <w:tcPr>
            <w:tcW w:w="1264" w:type="dxa"/>
          </w:tcPr>
          <w:p>
            <w:pPr>
              <w:pStyle w:val="0"/>
              <w:jc w:val="center"/>
            </w:pPr>
            <w:r>
              <w:rPr>
                <w:sz w:val="20"/>
              </w:rPr>
              <w:t xml:space="preserve">0</w:t>
            </w:r>
          </w:p>
        </w:tc>
      </w:tr>
    </w:tbl>
    <w:p>
      <w:pPr>
        <w:pStyle w:val="0"/>
      </w:pPr>
      <w:r>
        <w:rPr>
          <w:sz w:val="20"/>
        </w:rPr>
      </w:r>
    </w:p>
    <w:p>
      <w:pPr>
        <w:pStyle w:val="0"/>
        <w:jc w:val="center"/>
      </w:pPr>
      <w:r>
        <w:rPr>
          <w:sz w:val="20"/>
        </w:rPr>
        <w:t xml:space="preserve">Перечень модернизируемых объектов города Севастополя</w:t>
      </w:r>
    </w:p>
    <w:p>
      <w:pPr>
        <w:pStyle w:val="0"/>
        <w:jc w:val="center"/>
      </w:pPr>
      <w:r>
        <w:rPr>
          <w:sz w:val="20"/>
        </w:rPr>
      </w:r>
    </w:p>
    <w:p>
      <w:pPr>
        <w:pStyle w:val="0"/>
        <w:ind w:firstLine="540"/>
        <w:jc w:val="both"/>
      </w:pPr>
      <w:r>
        <w:rPr>
          <w:sz w:val="20"/>
        </w:rPr>
        <w:t xml:space="preserve">ГБУЗС "Городская больница N 1 им. Н.И. Пирогова". Вид модернизации - строительство нового здания поликлиники.</w:t>
      </w:r>
    </w:p>
    <w:p>
      <w:pPr>
        <w:pStyle w:val="0"/>
      </w:pPr>
      <w:r>
        <w:rPr>
          <w:sz w:val="20"/>
        </w:rPr>
      </w:r>
    </w:p>
    <w:p>
      <w:pPr>
        <w:pStyle w:val="0"/>
        <w:jc w:val="right"/>
      </w:pPr>
      <w:r>
        <w:rPr>
          <w:sz w:val="20"/>
        </w:rPr>
        <w:t xml:space="preserve">Таблица 20</w:t>
      </w:r>
    </w:p>
    <w:p>
      <w:pPr>
        <w:pStyle w:val="0"/>
        <w:jc w:val="right"/>
      </w:pPr>
      <w:r>
        <w:rPr>
          <w:sz w:val="20"/>
        </w:rPr>
      </w:r>
    </w:p>
    <w:p>
      <w:pPr>
        <w:pStyle w:val="0"/>
        <w:jc w:val="center"/>
      </w:pPr>
      <w:r>
        <w:rPr>
          <w:sz w:val="20"/>
        </w:rPr>
        <w:t xml:space="preserve">Изменение штатного расписания модернизируемого объекта</w:t>
      </w:r>
    </w:p>
    <w:p>
      <w:pPr>
        <w:pStyle w:val="0"/>
        <w:jc w:val="center"/>
      </w:pPr>
      <w:r>
        <w:rPr>
          <w:sz w:val="20"/>
        </w:rPr>
      </w:r>
    </w:p>
    <w:p>
      <w:pPr>
        <w:pStyle w:val="0"/>
        <w:ind w:firstLine="540"/>
        <w:jc w:val="both"/>
      </w:pPr>
      <w:r>
        <w:rPr>
          <w:sz w:val="20"/>
        </w:rPr>
        <w:t xml:space="preserve">В рамках модернизации будет изменено штатное расписание - часть врачебных должностей и должностей среднего медицинского персонала будут перераспределены из других структурных подразделений ГБУЗС "Городская больница N 1 им. Н.И. Пирогова":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5329"/>
        <w:gridCol w:w="1757"/>
      </w:tblGrid>
      <w:tr>
        <w:tc>
          <w:tcPr>
            <w:tcW w:w="1984" w:type="dxa"/>
          </w:tcPr>
          <w:p>
            <w:pPr>
              <w:pStyle w:val="0"/>
              <w:jc w:val="center"/>
            </w:pPr>
            <w:r>
              <w:rPr>
                <w:sz w:val="20"/>
              </w:rPr>
              <w:t xml:space="preserve">Сокращение ставок</w:t>
            </w:r>
          </w:p>
        </w:tc>
        <w:tc>
          <w:tcPr>
            <w:tcW w:w="5329" w:type="dxa"/>
          </w:tcPr>
          <w:p>
            <w:pPr>
              <w:pStyle w:val="0"/>
              <w:jc w:val="center"/>
            </w:pPr>
            <w:r>
              <w:rPr>
                <w:sz w:val="20"/>
              </w:rPr>
              <w:t xml:space="preserve">Должности, которые будут перераспределены из других структурных подразделений ГБУЗС "Городская больница N 1 им. Н.И. Пирогова"</w:t>
            </w:r>
          </w:p>
        </w:tc>
        <w:tc>
          <w:tcPr>
            <w:tcW w:w="1757" w:type="dxa"/>
          </w:tcPr>
          <w:p>
            <w:pPr>
              <w:pStyle w:val="0"/>
              <w:jc w:val="center"/>
            </w:pPr>
            <w:r>
              <w:rPr>
                <w:sz w:val="20"/>
              </w:rPr>
            </w:r>
          </w:p>
        </w:tc>
      </w:tr>
      <w:tr>
        <w:tc>
          <w:tcPr>
            <w:tcW w:w="1984" w:type="dxa"/>
          </w:tcPr>
          <w:p>
            <w:pPr>
              <w:pStyle w:val="0"/>
              <w:jc w:val="center"/>
            </w:pPr>
            <w:r>
              <w:rPr>
                <w:sz w:val="20"/>
              </w:rPr>
              <w:t xml:space="preserve">Наименование должности</w:t>
            </w:r>
          </w:p>
        </w:tc>
        <w:tc>
          <w:tcPr>
            <w:tcW w:w="5329" w:type="dxa"/>
          </w:tcPr>
          <w:p>
            <w:pPr>
              <w:pStyle w:val="0"/>
              <w:jc w:val="center"/>
            </w:pPr>
            <w:r>
              <w:rPr>
                <w:sz w:val="20"/>
              </w:rPr>
              <w:t xml:space="preserve">Наименование должности</w:t>
            </w:r>
          </w:p>
        </w:tc>
        <w:tc>
          <w:tcPr>
            <w:tcW w:w="1757" w:type="dxa"/>
          </w:tcPr>
          <w:p>
            <w:pPr>
              <w:pStyle w:val="0"/>
              <w:jc w:val="center"/>
            </w:pPr>
            <w:r>
              <w:rPr>
                <w:sz w:val="20"/>
              </w:rPr>
              <w:t xml:space="preserve">Количество должностей</w:t>
            </w:r>
          </w:p>
        </w:tc>
      </w:tr>
      <w:tr>
        <w:tc>
          <w:tcPr>
            <w:tcW w:w="1984" w:type="dxa"/>
          </w:tcPr>
          <w:p>
            <w:pPr>
              <w:pStyle w:val="0"/>
              <w:jc w:val="both"/>
            </w:pPr>
            <w:r>
              <w:rPr>
                <w:sz w:val="20"/>
              </w:rPr>
            </w:r>
          </w:p>
        </w:tc>
        <w:tc>
          <w:tcPr>
            <w:tcW w:w="5329" w:type="dxa"/>
          </w:tcPr>
          <w:p>
            <w:pPr>
              <w:pStyle w:val="0"/>
              <w:jc w:val="both"/>
            </w:pPr>
            <w:r>
              <w:rPr>
                <w:sz w:val="20"/>
              </w:rPr>
              <w:t xml:space="preserve">Врач отделения неотложной медицинской помощи</w:t>
            </w:r>
          </w:p>
        </w:tc>
        <w:tc>
          <w:tcPr>
            <w:tcW w:w="1757" w:type="dxa"/>
          </w:tcPr>
          <w:p>
            <w:pPr>
              <w:pStyle w:val="0"/>
              <w:jc w:val="center"/>
            </w:pPr>
            <w:r>
              <w:rPr>
                <w:sz w:val="20"/>
              </w:rPr>
              <w:t xml:space="preserve">3,00</w:t>
            </w:r>
          </w:p>
        </w:tc>
      </w:tr>
      <w:tr>
        <w:tc>
          <w:tcPr>
            <w:tcW w:w="1984" w:type="dxa"/>
          </w:tcPr>
          <w:p>
            <w:pPr>
              <w:pStyle w:val="0"/>
              <w:jc w:val="both"/>
            </w:pPr>
            <w:r>
              <w:rPr>
                <w:sz w:val="20"/>
              </w:rPr>
            </w:r>
          </w:p>
        </w:tc>
        <w:tc>
          <w:tcPr>
            <w:tcW w:w="5329" w:type="dxa"/>
          </w:tcPr>
          <w:p>
            <w:pPr>
              <w:pStyle w:val="0"/>
              <w:jc w:val="both"/>
            </w:pPr>
            <w:r>
              <w:rPr>
                <w:sz w:val="20"/>
              </w:rPr>
              <w:t xml:space="preserve">Врач-терапевт</w:t>
            </w:r>
          </w:p>
        </w:tc>
        <w:tc>
          <w:tcPr>
            <w:tcW w:w="1757" w:type="dxa"/>
          </w:tcPr>
          <w:p>
            <w:pPr>
              <w:pStyle w:val="0"/>
              <w:jc w:val="center"/>
            </w:pPr>
            <w:r>
              <w:rPr>
                <w:sz w:val="20"/>
              </w:rPr>
              <w:t xml:space="preserve">14,00</w:t>
            </w:r>
          </w:p>
        </w:tc>
      </w:tr>
      <w:tr>
        <w:tc>
          <w:tcPr>
            <w:tcW w:w="1984" w:type="dxa"/>
          </w:tcPr>
          <w:p>
            <w:pPr>
              <w:pStyle w:val="0"/>
              <w:jc w:val="both"/>
            </w:pPr>
            <w:r>
              <w:rPr>
                <w:sz w:val="20"/>
              </w:rPr>
            </w:r>
          </w:p>
        </w:tc>
        <w:tc>
          <w:tcPr>
            <w:tcW w:w="5329" w:type="dxa"/>
          </w:tcPr>
          <w:p>
            <w:pPr>
              <w:pStyle w:val="0"/>
              <w:jc w:val="both"/>
            </w:pPr>
            <w:r>
              <w:rPr>
                <w:sz w:val="20"/>
              </w:rPr>
              <w:t xml:space="preserve">Врач-хирург</w:t>
            </w:r>
          </w:p>
        </w:tc>
        <w:tc>
          <w:tcPr>
            <w:tcW w:w="1757" w:type="dxa"/>
          </w:tcPr>
          <w:p>
            <w:pPr>
              <w:pStyle w:val="0"/>
              <w:jc w:val="center"/>
            </w:pPr>
            <w:r>
              <w:rPr>
                <w:sz w:val="20"/>
              </w:rPr>
              <w:t xml:space="preserve">2,00</w:t>
            </w:r>
          </w:p>
        </w:tc>
      </w:tr>
      <w:tr>
        <w:tc>
          <w:tcPr>
            <w:tcW w:w="1984" w:type="dxa"/>
          </w:tcPr>
          <w:p>
            <w:pPr>
              <w:pStyle w:val="0"/>
              <w:jc w:val="both"/>
            </w:pPr>
            <w:r>
              <w:rPr>
                <w:sz w:val="20"/>
              </w:rPr>
            </w:r>
          </w:p>
        </w:tc>
        <w:tc>
          <w:tcPr>
            <w:tcW w:w="5329" w:type="dxa"/>
          </w:tcPr>
          <w:p>
            <w:pPr>
              <w:pStyle w:val="0"/>
              <w:jc w:val="both"/>
            </w:pPr>
            <w:r>
              <w:rPr>
                <w:sz w:val="20"/>
              </w:rPr>
              <w:t xml:space="preserve">Врач-офтальмолог</w:t>
            </w:r>
          </w:p>
        </w:tc>
        <w:tc>
          <w:tcPr>
            <w:tcW w:w="1757" w:type="dxa"/>
          </w:tcPr>
          <w:p>
            <w:pPr>
              <w:pStyle w:val="0"/>
              <w:jc w:val="center"/>
            </w:pPr>
            <w:r>
              <w:rPr>
                <w:sz w:val="20"/>
              </w:rPr>
              <w:t xml:space="preserve">2,00</w:t>
            </w:r>
          </w:p>
        </w:tc>
      </w:tr>
      <w:tr>
        <w:tc>
          <w:tcPr>
            <w:tcW w:w="1984" w:type="dxa"/>
          </w:tcPr>
          <w:p>
            <w:pPr>
              <w:pStyle w:val="0"/>
              <w:jc w:val="both"/>
            </w:pPr>
            <w:r>
              <w:rPr>
                <w:sz w:val="20"/>
              </w:rPr>
            </w:r>
          </w:p>
        </w:tc>
        <w:tc>
          <w:tcPr>
            <w:tcW w:w="5329" w:type="dxa"/>
          </w:tcPr>
          <w:p>
            <w:pPr>
              <w:pStyle w:val="0"/>
              <w:jc w:val="both"/>
            </w:pPr>
            <w:r>
              <w:rPr>
                <w:sz w:val="20"/>
              </w:rPr>
              <w:t xml:space="preserve">Врач - акушер-гинеколог</w:t>
            </w:r>
          </w:p>
        </w:tc>
        <w:tc>
          <w:tcPr>
            <w:tcW w:w="1757" w:type="dxa"/>
          </w:tcPr>
          <w:p>
            <w:pPr>
              <w:pStyle w:val="0"/>
              <w:jc w:val="center"/>
            </w:pPr>
            <w:r>
              <w:rPr>
                <w:sz w:val="20"/>
              </w:rPr>
              <w:t xml:space="preserve">9,00</w:t>
            </w:r>
          </w:p>
        </w:tc>
      </w:tr>
      <w:tr>
        <w:tc>
          <w:tcPr>
            <w:tcW w:w="1984" w:type="dxa"/>
          </w:tcPr>
          <w:p>
            <w:pPr>
              <w:pStyle w:val="0"/>
              <w:jc w:val="both"/>
            </w:pPr>
            <w:r>
              <w:rPr>
                <w:sz w:val="20"/>
              </w:rPr>
            </w:r>
          </w:p>
        </w:tc>
        <w:tc>
          <w:tcPr>
            <w:tcW w:w="5329" w:type="dxa"/>
          </w:tcPr>
          <w:p>
            <w:pPr>
              <w:pStyle w:val="0"/>
              <w:jc w:val="both"/>
            </w:pPr>
            <w:r>
              <w:rPr>
                <w:sz w:val="20"/>
              </w:rPr>
              <w:t xml:space="preserve">Врач - травматолог-ортопед</w:t>
            </w:r>
          </w:p>
        </w:tc>
        <w:tc>
          <w:tcPr>
            <w:tcW w:w="1757" w:type="dxa"/>
          </w:tcPr>
          <w:p>
            <w:pPr>
              <w:pStyle w:val="0"/>
              <w:jc w:val="center"/>
            </w:pPr>
            <w:r>
              <w:rPr>
                <w:sz w:val="20"/>
              </w:rPr>
              <w:t xml:space="preserve">2,00</w:t>
            </w:r>
          </w:p>
        </w:tc>
      </w:tr>
      <w:tr>
        <w:tc>
          <w:tcPr>
            <w:tcW w:w="1984" w:type="dxa"/>
          </w:tcPr>
          <w:p>
            <w:pPr>
              <w:pStyle w:val="0"/>
              <w:jc w:val="both"/>
            </w:pPr>
            <w:r>
              <w:rPr>
                <w:sz w:val="20"/>
              </w:rPr>
            </w:r>
          </w:p>
        </w:tc>
        <w:tc>
          <w:tcPr>
            <w:tcW w:w="5329" w:type="dxa"/>
          </w:tcPr>
          <w:p>
            <w:pPr>
              <w:pStyle w:val="0"/>
              <w:jc w:val="both"/>
            </w:pPr>
            <w:r>
              <w:rPr>
                <w:sz w:val="20"/>
              </w:rPr>
              <w:t xml:space="preserve">Врач-оториноларинголог</w:t>
            </w:r>
          </w:p>
        </w:tc>
        <w:tc>
          <w:tcPr>
            <w:tcW w:w="1757" w:type="dxa"/>
          </w:tcPr>
          <w:p>
            <w:pPr>
              <w:pStyle w:val="0"/>
              <w:jc w:val="center"/>
            </w:pPr>
            <w:r>
              <w:rPr>
                <w:sz w:val="20"/>
              </w:rPr>
              <w:t xml:space="preserve">2,00</w:t>
            </w:r>
          </w:p>
        </w:tc>
      </w:tr>
      <w:tr>
        <w:tc>
          <w:tcPr>
            <w:tcW w:w="1984" w:type="dxa"/>
          </w:tcPr>
          <w:p>
            <w:pPr>
              <w:pStyle w:val="0"/>
              <w:jc w:val="both"/>
            </w:pPr>
            <w:r>
              <w:rPr>
                <w:sz w:val="20"/>
              </w:rPr>
            </w:r>
          </w:p>
        </w:tc>
        <w:tc>
          <w:tcPr>
            <w:tcW w:w="5329" w:type="dxa"/>
          </w:tcPr>
          <w:p>
            <w:pPr>
              <w:pStyle w:val="0"/>
              <w:jc w:val="both"/>
            </w:pPr>
            <w:r>
              <w:rPr>
                <w:sz w:val="20"/>
              </w:rPr>
              <w:t xml:space="preserve">Врач-уролог</w:t>
            </w:r>
          </w:p>
        </w:tc>
        <w:tc>
          <w:tcPr>
            <w:tcW w:w="1757" w:type="dxa"/>
          </w:tcPr>
          <w:p>
            <w:pPr>
              <w:pStyle w:val="0"/>
              <w:jc w:val="center"/>
            </w:pPr>
            <w:r>
              <w:rPr>
                <w:sz w:val="20"/>
              </w:rPr>
              <w:t xml:space="preserve">1,00</w:t>
            </w:r>
          </w:p>
        </w:tc>
      </w:tr>
      <w:tr>
        <w:tc>
          <w:tcPr>
            <w:tcW w:w="1984" w:type="dxa"/>
          </w:tcPr>
          <w:p>
            <w:pPr>
              <w:pStyle w:val="0"/>
              <w:jc w:val="both"/>
            </w:pPr>
            <w:r>
              <w:rPr>
                <w:sz w:val="20"/>
              </w:rPr>
            </w:r>
          </w:p>
        </w:tc>
        <w:tc>
          <w:tcPr>
            <w:tcW w:w="5329" w:type="dxa"/>
          </w:tcPr>
          <w:p>
            <w:pPr>
              <w:pStyle w:val="0"/>
              <w:jc w:val="both"/>
            </w:pPr>
            <w:r>
              <w:rPr>
                <w:sz w:val="20"/>
              </w:rPr>
              <w:t xml:space="preserve">Врач-инфекционист</w:t>
            </w:r>
          </w:p>
        </w:tc>
        <w:tc>
          <w:tcPr>
            <w:tcW w:w="1757" w:type="dxa"/>
          </w:tcPr>
          <w:p>
            <w:pPr>
              <w:pStyle w:val="0"/>
              <w:jc w:val="center"/>
            </w:pPr>
            <w:r>
              <w:rPr>
                <w:sz w:val="20"/>
              </w:rPr>
              <w:t xml:space="preserve">1,00</w:t>
            </w:r>
          </w:p>
        </w:tc>
      </w:tr>
      <w:tr>
        <w:tc>
          <w:tcPr>
            <w:tcW w:w="1984" w:type="dxa"/>
          </w:tcPr>
          <w:p>
            <w:pPr>
              <w:pStyle w:val="0"/>
              <w:jc w:val="both"/>
            </w:pPr>
            <w:r>
              <w:rPr>
                <w:sz w:val="20"/>
              </w:rPr>
            </w:r>
          </w:p>
        </w:tc>
        <w:tc>
          <w:tcPr>
            <w:tcW w:w="5329" w:type="dxa"/>
          </w:tcPr>
          <w:p>
            <w:pPr>
              <w:pStyle w:val="0"/>
              <w:jc w:val="both"/>
            </w:pPr>
            <w:r>
              <w:rPr>
                <w:sz w:val="20"/>
              </w:rPr>
              <w:t xml:space="preserve">Врач-эндоскопист</w:t>
            </w:r>
          </w:p>
        </w:tc>
        <w:tc>
          <w:tcPr>
            <w:tcW w:w="1757" w:type="dxa"/>
          </w:tcPr>
          <w:p>
            <w:pPr>
              <w:pStyle w:val="0"/>
              <w:jc w:val="center"/>
            </w:pPr>
            <w:r>
              <w:rPr>
                <w:sz w:val="20"/>
              </w:rPr>
              <w:t xml:space="preserve">6,00</w:t>
            </w:r>
          </w:p>
        </w:tc>
      </w:tr>
      <w:tr>
        <w:tc>
          <w:tcPr>
            <w:tcW w:w="1984" w:type="dxa"/>
          </w:tcPr>
          <w:p>
            <w:pPr>
              <w:pStyle w:val="0"/>
              <w:jc w:val="both"/>
            </w:pPr>
            <w:r>
              <w:rPr>
                <w:sz w:val="20"/>
              </w:rPr>
            </w:r>
          </w:p>
        </w:tc>
        <w:tc>
          <w:tcPr>
            <w:tcW w:w="5329" w:type="dxa"/>
          </w:tcPr>
          <w:p>
            <w:pPr>
              <w:pStyle w:val="0"/>
              <w:jc w:val="both"/>
            </w:pPr>
            <w:r>
              <w:rPr>
                <w:sz w:val="20"/>
              </w:rPr>
              <w:t xml:space="preserve">Врач-рентгенолог</w:t>
            </w:r>
          </w:p>
        </w:tc>
        <w:tc>
          <w:tcPr>
            <w:tcW w:w="1757" w:type="dxa"/>
          </w:tcPr>
          <w:p>
            <w:pPr>
              <w:pStyle w:val="0"/>
              <w:jc w:val="center"/>
            </w:pPr>
            <w:r>
              <w:rPr>
                <w:sz w:val="20"/>
              </w:rPr>
              <w:t xml:space="preserve">3,00</w:t>
            </w:r>
          </w:p>
        </w:tc>
      </w:tr>
      <w:tr>
        <w:tc>
          <w:tcPr>
            <w:tcW w:w="1984" w:type="dxa"/>
          </w:tcPr>
          <w:p>
            <w:pPr>
              <w:pStyle w:val="0"/>
              <w:jc w:val="both"/>
            </w:pPr>
            <w:r>
              <w:rPr>
                <w:sz w:val="20"/>
              </w:rPr>
            </w:r>
          </w:p>
        </w:tc>
        <w:tc>
          <w:tcPr>
            <w:tcW w:w="5329" w:type="dxa"/>
          </w:tcPr>
          <w:p>
            <w:pPr>
              <w:pStyle w:val="0"/>
              <w:jc w:val="both"/>
            </w:pPr>
            <w:r>
              <w:rPr>
                <w:sz w:val="20"/>
              </w:rPr>
              <w:t xml:space="preserve">Врач функциональной диагностики</w:t>
            </w:r>
          </w:p>
        </w:tc>
        <w:tc>
          <w:tcPr>
            <w:tcW w:w="1757" w:type="dxa"/>
          </w:tcPr>
          <w:p>
            <w:pPr>
              <w:pStyle w:val="0"/>
              <w:jc w:val="center"/>
            </w:pPr>
            <w:r>
              <w:rPr>
                <w:sz w:val="20"/>
              </w:rPr>
              <w:t xml:space="preserve">3,00</w:t>
            </w:r>
          </w:p>
        </w:tc>
      </w:tr>
      <w:tr>
        <w:tc>
          <w:tcPr>
            <w:tcW w:w="1984" w:type="dxa"/>
          </w:tcPr>
          <w:p>
            <w:pPr>
              <w:pStyle w:val="0"/>
              <w:jc w:val="both"/>
            </w:pPr>
            <w:r>
              <w:rPr>
                <w:sz w:val="20"/>
              </w:rPr>
            </w:r>
          </w:p>
        </w:tc>
        <w:tc>
          <w:tcPr>
            <w:tcW w:w="5329" w:type="dxa"/>
          </w:tcPr>
          <w:p>
            <w:pPr>
              <w:pStyle w:val="0"/>
              <w:jc w:val="both"/>
            </w:pPr>
            <w:r>
              <w:rPr>
                <w:sz w:val="20"/>
              </w:rPr>
              <w:t xml:space="preserve">Врач ультразвуковой диагностики</w:t>
            </w:r>
          </w:p>
        </w:tc>
        <w:tc>
          <w:tcPr>
            <w:tcW w:w="1757" w:type="dxa"/>
          </w:tcPr>
          <w:p>
            <w:pPr>
              <w:pStyle w:val="0"/>
              <w:jc w:val="center"/>
            </w:pPr>
            <w:r>
              <w:rPr>
                <w:sz w:val="20"/>
              </w:rPr>
              <w:t xml:space="preserve">3,00</w:t>
            </w:r>
          </w:p>
        </w:tc>
      </w:tr>
      <w:tr>
        <w:tc>
          <w:tcPr>
            <w:tcW w:w="1984" w:type="dxa"/>
          </w:tcPr>
          <w:p>
            <w:pPr>
              <w:pStyle w:val="0"/>
              <w:jc w:val="both"/>
            </w:pPr>
            <w:r>
              <w:rPr>
                <w:sz w:val="20"/>
              </w:rPr>
            </w:r>
          </w:p>
        </w:tc>
        <w:tc>
          <w:tcPr>
            <w:tcW w:w="5329" w:type="dxa"/>
          </w:tcPr>
          <w:p>
            <w:pPr>
              <w:pStyle w:val="0"/>
              <w:jc w:val="both"/>
            </w:pPr>
            <w:r>
              <w:rPr>
                <w:sz w:val="20"/>
              </w:rPr>
              <w:t xml:space="preserve">ИТОГО ВРАЧЕЙ</w:t>
            </w:r>
          </w:p>
        </w:tc>
        <w:tc>
          <w:tcPr>
            <w:tcW w:w="1757" w:type="dxa"/>
          </w:tcPr>
          <w:p>
            <w:pPr>
              <w:pStyle w:val="0"/>
              <w:jc w:val="center"/>
            </w:pPr>
            <w:r>
              <w:rPr>
                <w:sz w:val="20"/>
              </w:rPr>
              <w:t xml:space="preserve">51,00</w:t>
            </w:r>
          </w:p>
        </w:tc>
      </w:tr>
      <w:tr>
        <w:tc>
          <w:tcPr>
            <w:tcW w:w="1984" w:type="dxa"/>
          </w:tcPr>
          <w:p>
            <w:pPr>
              <w:pStyle w:val="0"/>
              <w:jc w:val="both"/>
            </w:pPr>
            <w:r>
              <w:rPr>
                <w:sz w:val="20"/>
              </w:rPr>
            </w:r>
          </w:p>
        </w:tc>
        <w:tc>
          <w:tcPr>
            <w:tcW w:w="5329" w:type="dxa"/>
          </w:tcPr>
          <w:p>
            <w:pPr>
              <w:pStyle w:val="0"/>
              <w:jc w:val="both"/>
            </w:pPr>
            <w:r>
              <w:rPr>
                <w:sz w:val="20"/>
              </w:rPr>
              <w:t xml:space="preserve">Медицинская сестра участковая</w:t>
            </w:r>
          </w:p>
        </w:tc>
        <w:tc>
          <w:tcPr>
            <w:tcW w:w="1757" w:type="dxa"/>
          </w:tcPr>
          <w:p>
            <w:pPr>
              <w:pStyle w:val="0"/>
              <w:jc w:val="center"/>
            </w:pPr>
            <w:r>
              <w:rPr>
                <w:sz w:val="20"/>
              </w:rPr>
              <w:t xml:space="preserve">14,00</w:t>
            </w:r>
          </w:p>
        </w:tc>
      </w:tr>
      <w:tr>
        <w:tc>
          <w:tcPr>
            <w:tcW w:w="1984" w:type="dxa"/>
          </w:tcPr>
          <w:p>
            <w:pPr>
              <w:pStyle w:val="0"/>
              <w:jc w:val="both"/>
            </w:pPr>
            <w:r>
              <w:rPr>
                <w:sz w:val="20"/>
              </w:rPr>
            </w:r>
          </w:p>
        </w:tc>
        <w:tc>
          <w:tcPr>
            <w:tcW w:w="5329" w:type="dxa"/>
          </w:tcPr>
          <w:p>
            <w:pPr>
              <w:pStyle w:val="0"/>
              <w:jc w:val="both"/>
            </w:pPr>
            <w:r>
              <w:rPr>
                <w:sz w:val="20"/>
              </w:rPr>
              <w:t xml:space="preserve">Рентгенолаборант</w:t>
            </w:r>
          </w:p>
        </w:tc>
        <w:tc>
          <w:tcPr>
            <w:tcW w:w="1757" w:type="dxa"/>
          </w:tcPr>
          <w:p>
            <w:pPr>
              <w:pStyle w:val="0"/>
              <w:jc w:val="center"/>
            </w:pPr>
            <w:r>
              <w:rPr>
                <w:sz w:val="20"/>
              </w:rPr>
              <w:t xml:space="preserve">3,00</w:t>
            </w:r>
          </w:p>
        </w:tc>
      </w:tr>
      <w:tr>
        <w:tc>
          <w:tcPr>
            <w:tcW w:w="1984" w:type="dxa"/>
          </w:tcPr>
          <w:p>
            <w:pPr>
              <w:pStyle w:val="0"/>
              <w:jc w:val="both"/>
            </w:pPr>
            <w:r>
              <w:rPr>
                <w:sz w:val="20"/>
              </w:rPr>
            </w:r>
          </w:p>
        </w:tc>
        <w:tc>
          <w:tcPr>
            <w:tcW w:w="5329" w:type="dxa"/>
          </w:tcPr>
          <w:p>
            <w:pPr>
              <w:pStyle w:val="0"/>
              <w:jc w:val="both"/>
            </w:pPr>
            <w:r>
              <w:rPr>
                <w:sz w:val="20"/>
              </w:rPr>
              <w:t xml:space="preserve">Медицинские сестры кабинетов</w:t>
            </w:r>
          </w:p>
        </w:tc>
        <w:tc>
          <w:tcPr>
            <w:tcW w:w="1757" w:type="dxa"/>
          </w:tcPr>
          <w:p>
            <w:pPr>
              <w:pStyle w:val="0"/>
              <w:jc w:val="center"/>
            </w:pPr>
            <w:r>
              <w:rPr>
                <w:sz w:val="20"/>
              </w:rPr>
              <w:t xml:space="preserve">48,00</w:t>
            </w:r>
          </w:p>
        </w:tc>
      </w:tr>
      <w:tr>
        <w:tc>
          <w:tcPr>
            <w:tcW w:w="1984" w:type="dxa"/>
          </w:tcPr>
          <w:p>
            <w:pPr>
              <w:pStyle w:val="0"/>
              <w:jc w:val="both"/>
            </w:pPr>
            <w:r>
              <w:rPr>
                <w:sz w:val="20"/>
              </w:rPr>
            </w:r>
          </w:p>
        </w:tc>
        <w:tc>
          <w:tcPr>
            <w:tcW w:w="5329" w:type="dxa"/>
          </w:tcPr>
          <w:p>
            <w:pPr>
              <w:pStyle w:val="0"/>
              <w:jc w:val="both"/>
            </w:pPr>
            <w:r>
              <w:rPr>
                <w:sz w:val="20"/>
              </w:rPr>
              <w:t xml:space="preserve">ИТОГО среднего медицинского персонала</w:t>
            </w:r>
          </w:p>
        </w:tc>
        <w:tc>
          <w:tcPr>
            <w:tcW w:w="1757" w:type="dxa"/>
          </w:tcPr>
          <w:p>
            <w:pPr>
              <w:pStyle w:val="0"/>
              <w:jc w:val="center"/>
            </w:pPr>
            <w:r>
              <w:rPr>
                <w:sz w:val="20"/>
              </w:rPr>
              <w:t xml:space="preserve">65,00</w:t>
            </w:r>
          </w:p>
        </w:tc>
      </w:tr>
      <w:tr>
        <w:tc>
          <w:tcPr>
            <w:tcW w:w="1984" w:type="dxa"/>
          </w:tcPr>
          <w:p>
            <w:pPr>
              <w:pStyle w:val="0"/>
              <w:jc w:val="both"/>
            </w:pPr>
            <w:r>
              <w:rPr>
                <w:sz w:val="20"/>
              </w:rPr>
            </w:r>
          </w:p>
        </w:tc>
        <w:tc>
          <w:tcPr>
            <w:tcW w:w="5329" w:type="dxa"/>
          </w:tcPr>
          <w:p>
            <w:pPr>
              <w:pStyle w:val="0"/>
              <w:jc w:val="both"/>
            </w:pPr>
            <w:r>
              <w:rPr>
                <w:sz w:val="20"/>
              </w:rPr>
              <w:t xml:space="preserve">ВСЕГО:</w:t>
            </w:r>
          </w:p>
        </w:tc>
        <w:tc>
          <w:tcPr>
            <w:tcW w:w="1757" w:type="dxa"/>
          </w:tcPr>
          <w:p>
            <w:pPr>
              <w:pStyle w:val="0"/>
              <w:jc w:val="center"/>
            </w:pPr>
            <w:r>
              <w:rPr>
                <w:sz w:val="20"/>
              </w:rPr>
              <w:t xml:space="preserve">116,00</w:t>
            </w:r>
          </w:p>
        </w:tc>
      </w:tr>
    </w:tbl>
    <w:p>
      <w:pPr>
        <w:pStyle w:val="0"/>
      </w:pPr>
      <w:r>
        <w:rPr>
          <w:sz w:val="20"/>
        </w:rPr>
      </w:r>
    </w:p>
    <w:p>
      <w:pPr>
        <w:pStyle w:val="0"/>
        <w:jc w:val="right"/>
      </w:pPr>
      <w:r>
        <w:rPr>
          <w:sz w:val="20"/>
        </w:rPr>
        <w:t xml:space="preserve">Таблица 21</w:t>
      </w:r>
    </w:p>
    <w:p>
      <w:pPr>
        <w:pStyle w:val="0"/>
        <w:jc w:val="center"/>
      </w:pPr>
      <w:r>
        <w:rPr>
          <w:sz w:val="20"/>
        </w:rPr>
      </w:r>
    </w:p>
    <w:p>
      <w:pPr>
        <w:pStyle w:val="0"/>
        <w:jc w:val="center"/>
      </w:pPr>
      <w:r>
        <w:rPr>
          <w:sz w:val="20"/>
        </w:rPr>
        <w:t xml:space="preserve">Обоснование изменения штатного расписания</w:t>
      </w:r>
    </w:p>
    <w:p>
      <w:pPr>
        <w:pStyle w:val="0"/>
        <w:jc w:val="center"/>
      </w:pPr>
      <w:r>
        <w:rPr>
          <w:sz w:val="20"/>
        </w:rPr>
        <w:t xml:space="preserve">модернизируемого объекта</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985"/>
        <w:gridCol w:w="1871"/>
        <w:gridCol w:w="1304"/>
        <w:gridCol w:w="1019"/>
        <w:gridCol w:w="1019"/>
        <w:gridCol w:w="1077"/>
        <w:gridCol w:w="1701"/>
        <w:gridCol w:w="3061"/>
      </w:tblGrid>
      <w:tr>
        <w:tc>
          <w:tcPr>
            <w:tcW w:w="567" w:type="dxa"/>
          </w:tcPr>
          <w:p>
            <w:pPr>
              <w:pStyle w:val="0"/>
              <w:jc w:val="center"/>
            </w:pPr>
            <w:r>
              <w:rPr>
                <w:sz w:val="20"/>
              </w:rPr>
              <w:t xml:space="preserve">N п/п</w:t>
            </w:r>
          </w:p>
        </w:tc>
        <w:tc>
          <w:tcPr>
            <w:tcW w:w="1985" w:type="dxa"/>
          </w:tcPr>
          <w:p>
            <w:pPr>
              <w:pStyle w:val="0"/>
              <w:jc w:val="center"/>
            </w:pPr>
            <w:r>
              <w:rPr>
                <w:sz w:val="20"/>
              </w:rPr>
              <w:t xml:space="preserve">Наименование объекта до модернизации с указанием типа модернизируемого объекта (ФАП, ВА, УБ, ЦРБ, РБ, городская поликлиника, больница и т.п.)</w:t>
            </w:r>
          </w:p>
        </w:tc>
        <w:tc>
          <w:tcPr>
            <w:tcW w:w="1871" w:type="dxa"/>
          </w:tcPr>
          <w:p>
            <w:pPr>
              <w:pStyle w:val="0"/>
              <w:jc w:val="center"/>
            </w:pPr>
            <w:r>
              <w:rPr>
                <w:sz w:val="20"/>
              </w:rPr>
              <w:t xml:space="preserve">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304" w:type="dxa"/>
          </w:tcPr>
          <w:p>
            <w:pPr>
              <w:pStyle w:val="0"/>
              <w:jc w:val="center"/>
            </w:pPr>
            <w:r>
              <w:rPr>
                <w:sz w:val="20"/>
              </w:rPr>
              <w:t xml:space="preserve">Обоснование модернизации объекта</w:t>
            </w:r>
          </w:p>
        </w:tc>
        <w:tc>
          <w:tcPr>
            <w:tcW w:w="1019" w:type="dxa"/>
          </w:tcPr>
          <w:p>
            <w:pPr>
              <w:pStyle w:val="0"/>
              <w:jc w:val="center"/>
            </w:pPr>
            <w:r>
              <w:rPr>
                <w:sz w:val="20"/>
              </w:rPr>
              <w:t xml:space="preserve">Количество штатных должностей на 2020 год, ед.</w:t>
            </w:r>
          </w:p>
        </w:tc>
        <w:tc>
          <w:tcPr>
            <w:tcW w:w="1019" w:type="dxa"/>
          </w:tcPr>
          <w:p>
            <w:pPr>
              <w:pStyle w:val="0"/>
              <w:jc w:val="center"/>
            </w:pPr>
            <w:r>
              <w:rPr>
                <w:sz w:val="20"/>
              </w:rPr>
              <w:t xml:space="preserve">Количество штатных должностей на 2025 год, ед.</w:t>
            </w:r>
          </w:p>
        </w:tc>
        <w:tc>
          <w:tcPr>
            <w:tcW w:w="1077" w:type="dxa"/>
          </w:tcPr>
          <w:p>
            <w:pPr>
              <w:pStyle w:val="0"/>
              <w:jc w:val="center"/>
            </w:pPr>
            <w:r>
              <w:rPr>
                <w:sz w:val="20"/>
              </w:rPr>
              <w:t xml:space="preserve">Итоговое отклонение от штатного расписания, 2020 год</w:t>
            </w:r>
          </w:p>
        </w:tc>
        <w:tc>
          <w:tcPr>
            <w:tcW w:w="1701" w:type="dxa"/>
          </w:tcPr>
          <w:p>
            <w:pPr>
              <w:pStyle w:val="0"/>
              <w:jc w:val="center"/>
            </w:pPr>
            <w:r>
              <w:rPr>
                <w:sz w:val="20"/>
              </w:rPr>
              <w:t xml:space="preserve">Обоснование изменения штатного расписания</w:t>
            </w:r>
          </w:p>
        </w:tc>
        <w:tc>
          <w:tcPr>
            <w:tcW w:w="3061" w:type="dxa"/>
          </w:tcPr>
          <w:p>
            <w:pPr>
              <w:pStyle w:val="0"/>
              <w:jc w:val="center"/>
            </w:pPr>
            <w:r>
              <w:rPr>
                <w:sz w:val="20"/>
              </w:rPr>
              <w:t xml:space="preserve">Источник привлечения медицинского работника</w:t>
            </w:r>
          </w:p>
        </w:tc>
      </w:tr>
      <w:tr>
        <w:tc>
          <w:tcPr>
            <w:tcW w:w="567" w:type="dxa"/>
          </w:tcPr>
          <w:p>
            <w:pPr>
              <w:pStyle w:val="0"/>
              <w:jc w:val="both"/>
            </w:pPr>
            <w:r>
              <w:rPr>
                <w:sz w:val="20"/>
              </w:rPr>
              <w:t xml:space="preserve">1</w:t>
            </w:r>
          </w:p>
        </w:tc>
        <w:tc>
          <w:tcPr>
            <w:tcW w:w="1985" w:type="dxa"/>
          </w:tcPr>
          <w:p>
            <w:pPr>
              <w:pStyle w:val="0"/>
              <w:jc w:val="both"/>
            </w:pPr>
            <w:r>
              <w:rPr>
                <w:sz w:val="20"/>
              </w:rPr>
              <w:t xml:space="preserve">ГБУЗС "Городская больница N 1 им. Н.И. Пирогова"</w:t>
            </w:r>
          </w:p>
        </w:tc>
        <w:tc>
          <w:tcPr>
            <w:tcW w:w="1871" w:type="dxa"/>
          </w:tcPr>
          <w:p>
            <w:pPr>
              <w:pStyle w:val="0"/>
              <w:jc w:val="both"/>
            </w:pPr>
            <w:r>
              <w:rPr>
                <w:sz w:val="20"/>
              </w:rPr>
              <w:t xml:space="preserve">Поликлиника на 400 посещений в смену</w:t>
            </w:r>
          </w:p>
        </w:tc>
        <w:tc>
          <w:tcPr>
            <w:tcW w:w="1304" w:type="dxa"/>
          </w:tcPr>
          <w:p>
            <w:pPr>
              <w:pStyle w:val="0"/>
              <w:jc w:val="both"/>
            </w:pPr>
            <w:r>
              <w:rPr>
                <w:sz w:val="20"/>
              </w:rPr>
              <w:t xml:space="preserve">Строительство</w:t>
            </w:r>
          </w:p>
        </w:tc>
        <w:tc>
          <w:tcPr>
            <w:tcW w:w="1019" w:type="dxa"/>
          </w:tcPr>
          <w:p>
            <w:pPr>
              <w:pStyle w:val="0"/>
              <w:jc w:val="center"/>
            </w:pPr>
            <w:r>
              <w:rPr>
                <w:sz w:val="20"/>
              </w:rPr>
              <w:t xml:space="preserve">0</w:t>
            </w:r>
          </w:p>
        </w:tc>
        <w:tc>
          <w:tcPr>
            <w:tcW w:w="1019" w:type="dxa"/>
          </w:tcPr>
          <w:p>
            <w:pPr>
              <w:pStyle w:val="0"/>
              <w:jc w:val="center"/>
            </w:pPr>
            <w:r>
              <w:rPr>
                <w:sz w:val="20"/>
              </w:rPr>
            </w:r>
          </w:p>
        </w:tc>
        <w:tc>
          <w:tcPr>
            <w:tcW w:w="1077" w:type="dxa"/>
          </w:tcPr>
          <w:p>
            <w:pPr>
              <w:pStyle w:val="0"/>
              <w:jc w:val="center"/>
            </w:pPr>
            <w:r>
              <w:rPr>
                <w:sz w:val="20"/>
              </w:rPr>
              <w:t xml:space="preserve">0</w:t>
            </w:r>
          </w:p>
        </w:tc>
        <w:tc>
          <w:tcPr>
            <w:tcW w:w="1701" w:type="dxa"/>
          </w:tcPr>
          <w:p>
            <w:pPr>
              <w:pStyle w:val="0"/>
              <w:jc w:val="both"/>
            </w:pPr>
            <w:r>
              <w:rPr>
                <w:sz w:val="20"/>
              </w:rPr>
              <w:t xml:space="preserve">Приведение штатной численности медицинских работников в соответствии с нормативами Минздрава России</w:t>
            </w:r>
          </w:p>
        </w:tc>
        <w:tc>
          <w:tcPr>
            <w:tcW w:w="3061" w:type="dxa"/>
          </w:tcPr>
          <w:p>
            <w:pPr>
              <w:pStyle w:val="0"/>
              <w:jc w:val="both"/>
            </w:pPr>
            <w:r>
              <w:rPr>
                <w:sz w:val="20"/>
              </w:rPr>
              <w:t xml:space="preserve">ФГАОУ ВО "КФУ им. В.И. Вернадского";</w:t>
            </w:r>
          </w:p>
          <w:p>
            <w:pPr>
              <w:pStyle w:val="0"/>
              <w:jc w:val="both"/>
            </w:pPr>
            <w:r>
              <w:rPr>
                <w:sz w:val="20"/>
              </w:rPr>
              <w:t xml:space="preserve">ФГБОУ ВО ПСПбГМУ им. И.П. Павлова Минздрава России, целевое обучение по программам специалитета, 2022 год, 2023 год;</w:t>
            </w:r>
          </w:p>
          <w:p>
            <w:pPr>
              <w:pStyle w:val="0"/>
              <w:jc w:val="both"/>
            </w:pPr>
            <w:r>
              <w:rPr>
                <w:sz w:val="20"/>
              </w:rPr>
              <w:t xml:space="preserve">ГБПОУ СМК "имени Жени Дерюгиной"</w:t>
            </w:r>
          </w:p>
        </w:tc>
      </w:tr>
      <w:tr>
        <w:tc>
          <w:tcPr>
            <w:tcW w:w="567" w:type="dxa"/>
          </w:tcPr>
          <w:p>
            <w:pPr>
              <w:pStyle w:val="0"/>
              <w:jc w:val="both"/>
            </w:pPr>
            <w:r>
              <w:rPr>
                <w:sz w:val="20"/>
              </w:rPr>
              <w:t xml:space="preserve">2</w:t>
            </w:r>
          </w:p>
        </w:tc>
        <w:tc>
          <w:tcPr>
            <w:tcW w:w="1985" w:type="dxa"/>
          </w:tcPr>
          <w:p>
            <w:pPr>
              <w:pStyle w:val="0"/>
              <w:jc w:val="both"/>
            </w:pPr>
            <w:r>
              <w:rPr>
                <w:sz w:val="20"/>
              </w:rPr>
              <w:t xml:space="preserve">ГБУЗС "Городская больница N 1 им. Н.И. Пирогова"</w:t>
            </w:r>
          </w:p>
        </w:tc>
        <w:tc>
          <w:tcPr>
            <w:tcW w:w="1871" w:type="dxa"/>
          </w:tcPr>
          <w:p>
            <w:pPr>
              <w:pStyle w:val="0"/>
              <w:jc w:val="both"/>
            </w:pPr>
            <w:r>
              <w:rPr>
                <w:sz w:val="20"/>
              </w:rPr>
              <w:t xml:space="preserve">Врачебная амбулатория на 100 посещений в смену</w:t>
            </w:r>
          </w:p>
        </w:tc>
        <w:tc>
          <w:tcPr>
            <w:tcW w:w="1304" w:type="dxa"/>
          </w:tcPr>
          <w:p>
            <w:pPr>
              <w:pStyle w:val="0"/>
              <w:jc w:val="both"/>
            </w:pPr>
            <w:r>
              <w:rPr>
                <w:sz w:val="20"/>
              </w:rPr>
              <w:t xml:space="preserve">Строительство</w:t>
            </w:r>
          </w:p>
        </w:tc>
        <w:tc>
          <w:tcPr>
            <w:tcW w:w="1019" w:type="dxa"/>
          </w:tcPr>
          <w:p>
            <w:pPr>
              <w:pStyle w:val="0"/>
              <w:jc w:val="center"/>
            </w:pPr>
            <w:r>
              <w:rPr>
                <w:sz w:val="20"/>
              </w:rPr>
              <w:t xml:space="preserve">0</w:t>
            </w:r>
          </w:p>
        </w:tc>
        <w:tc>
          <w:tcPr>
            <w:tcW w:w="1019" w:type="dxa"/>
          </w:tcPr>
          <w:p>
            <w:pPr>
              <w:pStyle w:val="0"/>
              <w:jc w:val="center"/>
            </w:pPr>
            <w:r>
              <w:rPr>
                <w:sz w:val="20"/>
              </w:rPr>
            </w:r>
          </w:p>
        </w:tc>
        <w:tc>
          <w:tcPr>
            <w:tcW w:w="1077" w:type="dxa"/>
          </w:tcPr>
          <w:p>
            <w:pPr>
              <w:pStyle w:val="0"/>
              <w:jc w:val="center"/>
            </w:pPr>
            <w:r>
              <w:rPr>
                <w:sz w:val="20"/>
              </w:rPr>
              <w:t xml:space="preserve">0</w:t>
            </w:r>
          </w:p>
        </w:tc>
        <w:tc>
          <w:tcPr>
            <w:tcW w:w="1701" w:type="dxa"/>
          </w:tcPr>
          <w:p>
            <w:pPr>
              <w:pStyle w:val="0"/>
              <w:jc w:val="both"/>
            </w:pPr>
            <w:r>
              <w:rPr>
                <w:sz w:val="20"/>
              </w:rPr>
              <w:t xml:space="preserve">Приведение штатной численности медицинских работников в соответствии с нормативами Минздрава России</w:t>
            </w:r>
          </w:p>
        </w:tc>
        <w:tc>
          <w:tcPr>
            <w:tcW w:w="3061" w:type="dxa"/>
          </w:tcPr>
          <w:p>
            <w:pPr>
              <w:pStyle w:val="0"/>
              <w:jc w:val="both"/>
            </w:pPr>
            <w:r>
              <w:rPr>
                <w:sz w:val="20"/>
              </w:rPr>
              <w:t xml:space="preserve">ФГАОУ ВО "КФУ им. В.И. Вернадского";</w:t>
            </w:r>
          </w:p>
          <w:p>
            <w:pPr>
              <w:pStyle w:val="0"/>
              <w:jc w:val="both"/>
            </w:pPr>
            <w:r>
              <w:rPr>
                <w:sz w:val="20"/>
              </w:rPr>
              <w:t xml:space="preserve">ФГБОУ ВО ПСПбГМУ им. И.П. Павлова Минздрава России, целевое обучение по программам специалитета, 2022 год, 2023 год;</w:t>
            </w:r>
          </w:p>
          <w:p>
            <w:pPr>
              <w:pStyle w:val="0"/>
              <w:jc w:val="both"/>
            </w:pPr>
            <w:r>
              <w:rPr>
                <w:sz w:val="20"/>
              </w:rPr>
              <w:t xml:space="preserve">ГБПОУ СМК "имени Жени Дерюгиной"</w:t>
            </w:r>
          </w:p>
        </w:tc>
      </w:tr>
    </w:tbl>
    <w:p>
      <w:pPr>
        <w:pStyle w:val="0"/>
        <w:jc w:val="center"/>
      </w:pPr>
      <w:r>
        <w:rPr>
          <w:sz w:val="20"/>
        </w:rPr>
      </w:r>
    </w:p>
    <w:p>
      <w:pPr>
        <w:pStyle w:val="0"/>
        <w:ind w:firstLine="540"/>
        <w:jc w:val="both"/>
      </w:pPr>
      <w:r>
        <w:rPr>
          <w:sz w:val="20"/>
        </w:rPr>
        <w:t xml:space="preserve">В рамках модернизации штатное расписание изменяться не будет. Кадры будут перераспределены из существующих структурных подразделений ГБУЗС "Городская больница N 1 им. Н.И. Пирогова".</w:t>
      </w:r>
    </w:p>
    <w:p>
      <w:pPr>
        <w:pStyle w:val="0"/>
        <w:jc w:val="right"/>
      </w:pPr>
      <w:r>
        <w:rPr>
          <w:sz w:val="20"/>
        </w:rPr>
      </w:r>
    </w:p>
    <w:p>
      <w:pPr>
        <w:pStyle w:val="0"/>
        <w:jc w:val="right"/>
      </w:pPr>
      <w:r>
        <w:rPr>
          <w:sz w:val="20"/>
        </w:rPr>
        <w:t xml:space="preserve">Таблица 22</w:t>
      </w:r>
    </w:p>
    <w:p>
      <w:pPr>
        <w:pStyle w:val="0"/>
      </w:pPr>
      <w:r>
        <w:rPr>
          <w:sz w:val="20"/>
        </w:rPr>
      </w:r>
    </w:p>
    <w:p>
      <w:pPr>
        <w:pStyle w:val="0"/>
        <w:jc w:val="center"/>
      </w:pPr>
      <w:r>
        <w:rPr>
          <w:sz w:val="20"/>
        </w:rPr>
        <w:t xml:space="preserve">Обоснование привлечения медицинского работника</w:t>
      </w:r>
    </w:p>
    <w:p>
      <w:pPr>
        <w:pStyle w:val="0"/>
        <w:jc w:val="center"/>
      </w:pPr>
      <w:r>
        <w:rPr>
          <w:sz w:val="20"/>
        </w:rPr>
        <w:t xml:space="preserve">на модернизируемый объект</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701"/>
        <w:gridCol w:w="1644"/>
        <w:gridCol w:w="1928"/>
        <w:gridCol w:w="2494"/>
        <w:gridCol w:w="1447"/>
        <w:gridCol w:w="2041"/>
        <w:gridCol w:w="1077"/>
        <w:gridCol w:w="2324"/>
      </w:tblGrid>
      <w:tr>
        <w:tc>
          <w:tcPr>
            <w:tcW w:w="1644" w:type="dxa"/>
          </w:tcPr>
          <w:p>
            <w:pPr>
              <w:pStyle w:val="0"/>
              <w:jc w:val="center"/>
            </w:pPr>
            <w:r>
              <w:rPr>
                <w:sz w:val="20"/>
              </w:rPr>
              <w:t xml:space="preserve">Наименование медицинской организации</w:t>
            </w:r>
          </w:p>
        </w:tc>
        <w:tc>
          <w:tcPr>
            <w:tcW w:w="1701" w:type="dxa"/>
          </w:tcPr>
          <w:p>
            <w:pPr>
              <w:pStyle w:val="0"/>
              <w:jc w:val="center"/>
            </w:pPr>
            <w:r>
              <w:rPr>
                <w:sz w:val="20"/>
              </w:rPr>
              <w:t xml:space="preserve">Наименование структурного подразделения</w:t>
            </w:r>
          </w:p>
        </w:tc>
        <w:tc>
          <w:tcPr>
            <w:tcW w:w="1644" w:type="dxa"/>
          </w:tcPr>
          <w:p>
            <w:pPr>
              <w:pStyle w:val="0"/>
              <w:jc w:val="center"/>
            </w:pPr>
            <w:r>
              <w:rPr>
                <w:sz w:val="20"/>
              </w:rPr>
              <w:t xml:space="preserve">Должность, на которую необходимо привлечь медицинского работника</w:t>
            </w:r>
          </w:p>
        </w:tc>
        <w:tc>
          <w:tcPr>
            <w:tcW w:w="1928" w:type="dxa"/>
          </w:tcPr>
          <w:p>
            <w:pPr>
              <w:pStyle w:val="0"/>
              <w:jc w:val="center"/>
            </w:pPr>
            <w:r>
              <w:rPr>
                <w:sz w:val="20"/>
              </w:rPr>
              <w:t xml:space="preserve">Срок, до которого необходимо привлечь медицинского работника (в соответствии с датой завершения модернизации медицинской организации)</w:t>
            </w:r>
          </w:p>
        </w:tc>
        <w:tc>
          <w:tcPr>
            <w:tcW w:w="2494" w:type="dxa"/>
          </w:tcPr>
          <w:p>
            <w:pPr>
              <w:pStyle w:val="0"/>
              <w:jc w:val="center"/>
            </w:pPr>
            <w:r>
              <w:rPr>
                <w:sz w:val="20"/>
              </w:rPr>
              <w:t xml:space="preserve">Источник привлечения медицинского работника (в случае трудоустройства после обучения указывается вид подготовки и сроки завершения подготовки)</w:t>
            </w:r>
          </w:p>
        </w:tc>
        <w:tc>
          <w:tcPr>
            <w:tcW w:w="1447" w:type="dxa"/>
          </w:tcPr>
          <w:p>
            <w:pPr>
              <w:pStyle w:val="0"/>
              <w:jc w:val="center"/>
            </w:pPr>
            <w:r>
              <w:rPr>
                <w:sz w:val="20"/>
              </w:rPr>
              <w:t xml:space="preserve">Плановый срок трудоустройства специалиста</w:t>
            </w:r>
          </w:p>
        </w:tc>
        <w:tc>
          <w:tcPr>
            <w:tcW w:w="2041" w:type="dxa"/>
          </w:tcPr>
          <w:p>
            <w:pPr>
              <w:pStyle w:val="0"/>
              <w:jc w:val="center"/>
            </w:pPr>
            <w:r>
              <w:rPr>
                <w:sz w:val="20"/>
              </w:rPr>
              <w:t xml:space="preserve">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1077" w:type="dxa"/>
          </w:tcPr>
          <w:p>
            <w:pPr>
              <w:pStyle w:val="0"/>
              <w:jc w:val="center"/>
            </w:pPr>
            <w:r>
              <w:rPr>
                <w:sz w:val="20"/>
              </w:rPr>
              <w:t xml:space="preserve">Коэффициент совмещения</w:t>
            </w:r>
          </w:p>
        </w:tc>
        <w:tc>
          <w:tcPr>
            <w:tcW w:w="2324" w:type="dxa"/>
          </w:tcPr>
          <w:p>
            <w:pPr>
              <w:pStyle w:val="0"/>
              <w:jc w:val="center"/>
            </w:pPr>
            <w:r>
              <w:rPr>
                <w:sz w:val="20"/>
              </w:rPr>
              <w:t xml:space="preserve">Ответственный от РОИВ за реализацию мероприятия (в должности не ниже заместителя руководителя РОИВ)</w:t>
            </w:r>
          </w:p>
        </w:tc>
      </w:tr>
      <w:tr>
        <w:tc>
          <w:tcPr>
            <w:tcW w:w="1644" w:type="dxa"/>
          </w:tcPr>
          <w:p>
            <w:pPr>
              <w:pStyle w:val="0"/>
              <w:jc w:val="center"/>
            </w:pPr>
            <w:r>
              <w:rPr>
                <w:sz w:val="20"/>
              </w:rPr>
              <w:t xml:space="preserve">1</w:t>
            </w:r>
          </w:p>
        </w:tc>
        <w:tc>
          <w:tcPr>
            <w:tcW w:w="1701" w:type="dxa"/>
          </w:tcPr>
          <w:p>
            <w:pPr>
              <w:pStyle w:val="0"/>
              <w:jc w:val="center"/>
            </w:pPr>
            <w:r>
              <w:rPr>
                <w:sz w:val="20"/>
              </w:rPr>
              <w:t xml:space="preserve">2</w:t>
            </w:r>
          </w:p>
        </w:tc>
        <w:tc>
          <w:tcPr>
            <w:tcW w:w="1644" w:type="dxa"/>
          </w:tcPr>
          <w:p>
            <w:pPr>
              <w:pStyle w:val="0"/>
              <w:jc w:val="center"/>
            </w:pPr>
            <w:r>
              <w:rPr>
                <w:sz w:val="20"/>
              </w:rPr>
              <w:t xml:space="preserve">3</w:t>
            </w:r>
          </w:p>
        </w:tc>
        <w:tc>
          <w:tcPr>
            <w:tcW w:w="1928" w:type="dxa"/>
          </w:tcPr>
          <w:p>
            <w:pPr>
              <w:pStyle w:val="0"/>
              <w:jc w:val="center"/>
            </w:pPr>
            <w:r>
              <w:rPr>
                <w:sz w:val="20"/>
              </w:rPr>
              <w:t xml:space="preserve">4</w:t>
            </w:r>
          </w:p>
        </w:tc>
        <w:tc>
          <w:tcPr>
            <w:tcW w:w="2494" w:type="dxa"/>
          </w:tcPr>
          <w:p>
            <w:pPr>
              <w:pStyle w:val="0"/>
              <w:jc w:val="center"/>
            </w:pPr>
            <w:r>
              <w:rPr>
                <w:sz w:val="20"/>
              </w:rPr>
              <w:t xml:space="preserve">5</w:t>
            </w:r>
          </w:p>
        </w:tc>
        <w:tc>
          <w:tcPr>
            <w:tcW w:w="1447" w:type="dxa"/>
          </w:tcPr>
          <w:p>
            <w:pPr>
              <w:pStyle w:val="0"/>
              <w:jc w:val="center"/>
            </w:pPr>
            <w:r>
              <w:rPr>
                <w:sz w:val="20"/>
              </w:rPr>
              <w:t xml:space="preserve">6</w:t>
            </w:r>
          </w:p>
        </w:tc>
        <w:tc>
          <w:tcPr>
            <w:tcW w:w="2041" w:type="dxa"/>
          </w:tcPr>
          <w:p>
            <w:pPr>
              <w:pStyle w:val="0"/>
              <w:jc w:val="center"/>
            </w:pPr>
            <w:r>
              <w:rPr>
                <w:sz w:val="20"/>
              </w:rPr>
              <w:t xml:space="preserve">7</w:t>
            </w:r>
          </w:p>
        </w:tc>
        <w:tc>
          <w:tcPr>
            <w:tcW w:w="1077" w:type="dxa"/>
          </w:tcPr>
          <w:p>
            <w:pPr>
              <w:pStyle w:val="0"/>
              <w:jc w:val="center"/>
            </w:pPr>
            <w:r>
              <w:rPr>
                <w:sz w:val="20"/>
              </w:rPr>
              <w:t xml:space="preserve">8</w:t>
            </w:r>
          </w:p>
        </w:tc>
        <w:tc>
          <w:tcPr>
            <w:tcW w:w="2324" w:type="dxa"/>
          </w:tcPr>
          <w:p>
            <w:pPr>
              <w:pStyle w:val="0"/>
              <w:jc w:val="center"/>
            </w:pPr>
            <w:r>
              <w:rPr>
                <w:sz w:val="20"/>
              </w:rPr>
              <w:t xml:space="preserve">9</w:t>
            </w:r>
          </w:p>
        </w:tc>
      </w:tr>
      <w:tr>
        <w:tc>
          <w:tcPr>
            <w:gridSpan w:val="9"/>
            <w:tcW w:w="16300" w:type="dxa"/>
          </w:tcPr>
          <w:p>
            <w:pPr>
              <w:pStyle w:val="0"/>
              <w:jc w:val="center"/>
            </w:pPr>
            <w:r>
              <w:rPr>
                <w:sz w:val="20"/>
              </w:rPr>
              <w:t xml:space="preserve">2020</w:t>
            </w:r>
          </w:p>
        </w:tc>
      </w:tr>
      <w:tr>
        <w:tc>
          <w:tcPr>
            <w:tcW w:w="1644" w:type="dxa"/>
          </w:tcPr>
          <w:p>
            <w:pPr>
              <w:pStyle w:val="0"/>
              <w:jc w:val="center"/>
            </w:pPr>
            <w:r>
              <w:rPr>
                <w:sz w:val="20"/>
              </w:rPr>
              <w:t xml:space="preserve">-</w:t>
            </w:r>
          </w:p>
        </w:tc>
        <w:tc>
          <w:tcPr>
            <w:tcW w:w="1701" w:type="dxa"/>
          </w:tcPr>
          <w:p>
            <w:pPr>
              <w:pStyle w:val="0"/>
              <w:jc w:val="center"/>
            </w:pPr>
            <w:r>
              <w:rPr>
                <w:sz w:val="20"/>
              </w:rPr>
              <w:t xml:space="preserve">-</w:t>
            </w:r>
          </w:p>
        </w:tc>
        <w:tc>
          <w:tcPr>
            <w:tcW w:w="1644" w:type="dxa"/>
          </w:tcPr>
          <w:p>
            <w:pPr>
              <w:pStyle w:val="0"/>
              <w:jc w:val="center"/>
            </w:pPr>
            <w:r>
              <w:rPr>
                <w:sz w:val="20"/>
              </w:rPr>
              <w:t xml:space="preserve">-</w:t>
            </w:r>
          </w:p>
        </w:tc>
        <w:tc>
          <w:tcPr>
            <w:tcW w:w="1928" w:type="dxa"/>
          </w:tcPr>
          <w:p>
            <w:pPr>
              <w:pStyle w:val="0"/>
              <w:jc w:val="center"/>
            </w:pPr>
            <w:r>
              <w:rPr>
                <w:sz w:val="20"/>
              </w:rPr>
              <w:t xml:space="preserve">-</w:t>
            </w:r>
          </w:p>
        </w:tc>
        <w:tc>
          <w:tcPr>
            <w:tcW w:w="2494" w:type="dxa"/>
          </w:tcPr>
          <w:p>
            <w:pPr>
              <w:pStyle w:val="0"/>
              <w:jc w:val="center"/>
            </w:pPr>
            <w:r>
              <w:rPr>
                <w:sz w:val="20"/>
              </w:rPr>
              <w:t xml:space="preserve">-</w:t>
            </w:r>
          </w:p>
        </w:tc>
        <w:tc>
          <w:tcPr>
            <w:tcW w:w="1447" w:type="dxa"/>
          </w:tcPr>
          <w:p>
            <w:pPr>
              <w:pStyle w:val="0"/>
              <w:jc w:val="center"/>
            </w:pPr>
            <w:r>
              <w:rPr>
                <w:sz w:val="20"/>
              </w:rPr>
              <w:t xml:space="preserve">-</w:t>
            </w:r>
          </w:p>
        </w:tc>
        <w:tc>
          <w:tcPr>
            <w:tcW w:w="2041" w:type="dxa"/>
          </w:tcPr>
          <w:p>
            <w:pPr>
              <w:pStyle w:val="0"/>
              <w:jc w:val="center"/>
            </w:pPr>
            <w:r>
              <w:rPr>
                <w:sz w:val="20"/>
              </w:rPr>
              <w:t xml:space="preserve">-</w:t>
            </w:r>
          </w:p>
        </w:tc>
        <w:tc>
          <w:tcPr>
            <w:tcW w:w="1077" w:type="dxa"/>
          </w:tcPr>
          <w:p>
            <w:pPr>
              <w:pStyle w:val="0"/>
              <w:jc w:val="center"/>
            </w:pPr>
            <w:r>
              <w:rPr>
                <w:sz w:val="20"/>
              </w:rPr>
              <w:t xml:space="preserve">-</w:t>
            </w:r>
          </w:p>
        </w:tc>
        <w:tc>
          <w:tcPr>
            <w:tcW w:w="2324" w:type="dxa"/>
          </w:tcPr>
          <w:p>
            <w:pPr>
              <w:pStyle w:val="0"/>
              <w:jc w:val="center"/>
            </w:pPr>
            <w:r>
              <w:rPr>
                <w:sz w:val="20"/>
              </w:rPr>
              <w:t xml:space="preserve">-</w:t>
            </w:r>
          </w:p>
        </w:tc>
      </w:tr>
      <w:tr>
        <w:tc>
          <w:tcPr>
            <w:gridSpan w:val="9"/>
            <w:tcW w:w="16300" w:type="dxa"/>
          </w:tcPr>
          <w:p>
            <w:pPr>
              <w:pStyle w:val="0"/>
              <w:jc w:val="center"/>
            </w:pPr>
            <w:r>
              <w:rPr>
                <w:sz w:val="20"/>
              </w:rPr>
              <w:t xml:space="preserve">2021</w:t>
            </w:r>
          </w:p>
        </w:tc>
      </w:tr>
      <w:tr>
        <w:tc>
          <w:tcPr>
            <w:tcW w:w="1644" w:type="dxa"/>
          </w:tcPr>
          <w:p>
            <w:pPr>
              <w:pStyle w:val="0"/>
              <w:jc w:val="center"/>
            </w:pPr>
            <w:r>
              <w:rPr>
                <w:sz w:val="20"/>
              </w:rPr>
              <w:t xml:space="preserve">-</w:t>
            </w:r>
          </w:p>
        </w:tc>
        <w:tc>
          <w:tcPr>
            <w:tcW w:w="1701" w:type="dxa"/>
          </w:tcPr>
          <w:p>
            <w:pPr>
              <w:pStyle w:val="0"/>
              <w:jc w:val="center"/>
            </w:pPr>
            <w:r>
              <w:rPr>
                <w:sz w:val="20"/>
              </w:rPr>
              <w:t xml:space="preserve">-</w:t>
            </w:r>
          </w:p>
        </w:tc>
        <w:tc>
          <w:tcPr>
            <w:tcW w:w="1644" w:type="dxa"/>
          </w:tcPr>
          <w:p>
            <w:pPr>
              <w:pStyle w:val="0"/>
              <w:jc w:val="center"/>
            </w:pPr>
            <w:r>
              <w:rPr>
                <w:sz w:val="20"/>
              </w:rPr>
              <w:t xml:space="preserve">-</w:t>
            </w:r>
          </w:p>
        </w:tc>
        <w:tc>
          <w:tcPr>
            <w:tcW w:w="1928" w:type="dxa"/>
          </w:tcPr>
          <w:p>
            <w:pPr>
              <w:pStyle w:val="0"/>
              <w:jc w:val="center"/>
            </w:pPr>
            <w:r>
              <w:rPr>
                <w:sz w:val="20"/>
              </w:rPr>
              <w:t xml:space="preserve">-</w:t>
            </w:r>
          </w:p>
        </w:tc>
        <w:tc>
          <w:tcPr>
            <w:tcW w:w="2494" w:type="dxa"/>
          </w:tcPr>
          <w:p>
            <w:pPr>
              <w:pStyle w:val="0"/>
              <w:jc w:val="center"/>
            </w:pPr>
            <w:r>
              <w:rPr>
                <w:sz w:val="20"/>
              </w:rPr>
              <w:t xml:space="preserve">-</w:t>
            </w:r>
          </w:p>
        </w:tc>
        <w:tc>
          <w:tcPr>
            <w:tcW w:w="1447" w:type="dxa"/>
          </w:tcPr>
          <w:p>
            <w:pPr>
              <w:pStyle w:val="0"/>
              <w:jc w:val="center"/>
            </w:pPr>
            <w:r>
              <w:rPr>
                <w:sz w:val="20"/>
              </w:rPr>
              <w:t xml:space="preserve">-</w:t>
            </w:r>
          </w:p>
        </w:tc>
        <w:tc>
          <w:tcPr>
            <w:tcW w:w="2041" w:type="dxa"/>
          </w:tcPr>
          <w:p>
            <w:pPr>
              <w:pStyle w:val="0"/>
              <w:jc w:val="center"/>
            </w:pPr>
            <w:r>
              <w:rPr>
                <w:sz w:val="20"/>
              </w:rPr>
              <w:t xml:space="preserve">-</w:t>
            </w:r>
          </w:p>
        </w:tc>
        <w:tc>
          <w:tcPr>
            <w:tcW w:w="1077" w:type="dxa"/>
          </w:tcPr>
          <w:p>
            <w:pPr>
              <w:pStyle w:val="0"/>
              <w:jc w:val="center"/>
            </w:pPr>
            <w:r>
              <w:rPr>
                <w:sz w:val="20"/>
              </w:rPr>
              <w:t xml:space="preserve">-</w:t>
            </w:r>
          </w:p>
        </w:tc>
        <w:tc>
          <w:tcPr>
            <w:tcW w:w="2324" w:type="dxa"/>
          </w:tcPr>
          <w:p>
            <w:pPr>
              <w:pStyle w:val="0"/>
              <w:jc w:val="center"/>
            </w:pPr>
            <w:r>
              <w:rPr>
                <w:sz w:val="20"/>
              </w:rPr>
              <w:t xml:space="preserve">-</w:t>
            </w:r>
          </w:p>
        </w:tc>
      </w:tr>
      <w:tr>
        <w:tc>
          <w:tcPr>
            <w:gridSpan w:val="9"/>
            <w:tcW w:w="16300" w:type="dxa"/>
          </w:tcPr>
          <w:p>
            <w:pPr>
              <w:pStyle w:val="0"/>
              <w:jc w:val="center"/>
            </w:pPr>
            <w:r>
              <w:rPr>
                <w:sz w:val="20"/>
              </w:rPr>
              <w:t xml:space="preserve">2022</w:t>
            </w:r>
          </w:p>
        </w:tc>
      </w:tr>
      <w:tr>
        <w:tc>
          <w:tcPr>
            <w:tcW w:w="1644" w:type="dxa"/>
          </w:tcPr>
          <w:p>
            <w:pPr>
              <w:pStyle w:val="0"/>
              <w:jc w:val="center"/>
            </w:pPr>
            <w:r>
              <w:rPr>
                <w:sz w:val="20"/>
              </w:rPr>
              <w:t xml:space="preserve">-</w:t>
            </w:r>
          </w:p>
        </w:tc>
        <w:tc>
          <w:tcPr>
            <w:tcW w:w="1701" w:type="dxa"/>
          </w:tcPr>
          <w:p>
            <w:pPr>
              <w:pStyle w:val="0"/>
              <w:jc w:val="center"/>
            </w:pPr>
            <w:r>
              <w:rPr>
                <w:sz w:val="20"/>
              </w:rPr>
              <w:t xml:space="preserve">-</w:t>
            </w:r>
          </w:p>
        </w:tc>
        <w:tc>
          <w:tcPr>
            <w:tcW w:w="1644" w:type="dxa"/>
          </w:tcPr>
          <w:p>
            <w:pPr>
              <w:pStyle w:val="0"/>
              <w:jc w:val="center"/>
            </w:pPr>
            <w:r>
              <w:rPr>
                <w:sz w:val="20"/>
              </w:rPr>
              <w:t xml:space="preserve">-</w:t>
            </w:r>
          </w:p>
        </w:tc>
        <w:tc>
          <w:tcPr>
            <w:tcW w:w="1928" w:type="dxa"/>
          </w:tcPr>
          <w:p>
            <w:pPr>
              <w:pStyle w:val="0"/>
              <w:jc w:val="center"/>
            </w:pPr>
            <w:r>
              <w:rPr>
                <w:sz w:val="20"/>
              </w:rPr>
              <w:t xml:space="preserve">-</w:t>
            </w:r>
          </w:p>
        </w:tc>
        <w:tc>
          <w:tcPr>
            <w:tcW w:w="2494" w:type="dxa"/>
          </w:tcPr>
          <w:p>
            <w:pPr>
              <w:pStyle w:val="0"/>
              <w:jc w:val="center"/>
            </w:pPr>
            <w:r>
              <w:rPr>
                <w:sz w:val="20"/>
              </w:rPr>
              <w:t xml:space="preserve">-</w:t>
            </w:r>
          </w:p>
        </w:tc>
        <w:tc>
          <w:tcPr>
            <w:tcW w:w="1447" w:type="dxa"/>
          </w:tcPr>
          <w:p>
            <w:pPr>
              <w:pStyle w:val="0"/>
              <w:jc w:val="center"/>
            </w:pPr>
            <w:r>
              <w:rPr>
                <w:sz w:val="20"/>
              </w:rPr>
              <w:t xml:space="preserve">-</w:t>
            </w:r>
          </w:p>
        </w:tc>
        <w:tc>
          <w:tcPr>
            <w:tcW w:w="2041" w:type="dxa"/>
          </w:tcPr>
          <w:p>
            <w:pPr>
              <w:pStyle w:val="0"/>
              <w:jc w:val="center"/>
            </w:pPr>
            <w:r>
              <w:rPr>
                <w:sz w:val="20"/>
              </w:rPr>
              <w:t xml:space="preserve">-</w:t>
            </w:r>
          </w:p>
        </w:tc>
        <w:tc>
          <w:tcPr>
            <w:tcW w:w="1077" w:type="dxa"/>
          </w:tcPr>
          <w:p>
            <w:pPr>
              <w:pStyle w:val="0"/>
              <w:jc w:val="center"/>
            </w:pPr>
            <w:r>
              <w:rPr>
                <w:sz w:val="20"/>
              </w:rPr>
              <w:t xml:space="preserve">-</w:t>
            </w:r>
          </w:p>
        </w:tc>
        <w:tc>
          <w:tcPr>
            <w:tcW w:w="2324" w:type="dxa"/>
          </w:tcPr>
          <w:p>
            <w:pPr>
              <w:pStyle w:val="0"/>
              <w:jc w:val="center"/>
            </w:pPr>
            <w:r>
              <w:rPr>
                <w:sz w:val="20"/>
              </w:rPr>
              <w:t xml:space="preserve">-</w:t>
            </w:r>
          </w:p>
        </w:tc>
      </w:tr>
      <w:tr>
        <w:tc>
          <w:tcPr>
            <w:gridSpan w:val="9"/>
            <w:tcW w:w="16300" w:type="dxa"/>
          </w:tcPr>
          <w:p>
            <w:pPr>
              <w:pStyle w:val="0"/>
              <w:jc w:val="center"/>
            </w:pPr>
            <w:r>
              <w:rPr>
                <w:sz w:val="20"/>
              </w:rPr>
              <w:t xml:space="preserve">2023</w:t>
            </w:r>
          </w:p>
        </w:tc>
      </w:tr>
      <w:tr>
        <w:tc>
          <w:tcPr>
            <w:tcW w:w="1644" w:type="dxa"/>
          </w:tcPr>
          <w:p>
            <w:pPr>
              <w:pStyle w:val="0"/>
              <w:jc w:val="center"/>
            </w:pPr>
            <w:r>
              <w:rPr>
                <w:sz w:val="20"/>
              </w:rPr>
              <w:t xml:space="preserve">-</w:t>
            </w:r>
          </w:p>
        </w:tc>
        <w:tc>
          <w:tcPr>
            <w:tcW w:w="1701" w:type="dxa"/>
          </w:tcPr>
          <w:p>
            <w:pPr>
              <w:pStyle w:val="0"/>
              <w:jc w:val="center"/>
            </w:pPr>
            <w:r>
              <w:rPr>
                <w:sz w:val="20"/>
              </w:rPr>
              <w:t xml:space="preserve">-</w:t>
            </w:r>
          </w:p>
        </w:tc>
        <w:tc>
          <w:tcPr>
            <w:tcW w:w="1644" w:type="dxa"/>
          </w:tcPr>
          <w:p>
            <w:pPr>
              <w:pStyle w:val="0"/>
              <w:jc w:val="center"/>
            </w:pPr>
            <w:r>
              <w:rPr>
                <w:sz w:val="20"/>
              </w:rPr>
              <w:t xml:space="preserve">-</w:t>
            </w:r>
          </w:p>
        </w:tc>
        <w:tc>
          <w:tcPr>
            <w:tcW w:w="1928" w:type="dxa"/>
          </w:tcPr>
          <w:p>
            <w:pPr>
              <w:pStyle w:val="0"/>
              <w:jc w:val="center"/>
            </w:pPr>
            <w:r>
              <w:rPr>
                <w:sz w:val="20"/>
              </w:rPr>
              <w:t xml:space="preserve">-</w:t>
            </w:r>
          </w:p>
        </w:tc>
        <w:tc>
          <w:tcPr>
            <w:tcW w:w="2494" w:type="dxa"/>
          </w:tcPr>
          <w:p>
            <w:pPr>
              <w:pStyle w:val="0"/>
              <w:jc w:val="center"/>
            </w:pPr>
            <w:r>
              <w:rPr>
                <w:sz w:val="20"/>
              </w:rPr>
              <w:t xml:space="preserve">-</w:t>
            </w:r>
          </w:p>
        </w:tc>
        <w:tc>
          <w:tcPr>
            <w:tcW w:w="1447" w:type="dxa"/>
          </w:tcPr>
          <w:p>
            <w:pPr>
              <w:pStyle w:val="0"/>
              <w:jc w:val="center"/>
            </w:pPr>
            <w:r>
              <w:rPr>
                <w:sz w:val="20"/>
              </w:rPr>
              <w:t xml:space="preserve">-</w:t>
            </w:r>
          </w:p>
        </w:tc>
        <w:tc>
          <w:tcPr>
            <w:tcW w:w="2041" w:type="dxa"/>
          </w:tcPr>
          <w:p>
            <w:pPr>
              <w:pStyle w:val="0"/>
              <w:jc w:val="center"/>
            </w:pPr>
            <w:r>
              <w:rPr>
                <w:sz w:val="20"/>
              </w:rPr>
              <w:t xml:space="preserve">-</w:t>
            </w:r>
          </w:p>
        </w:tc>
        <w:tc>
          <w:tcPr>
            <w:tcW w:w="1077" w:type="dxa"/>
          </w:tcPr>
          <w:p>
            <w:pPr>
              <w:pStyle w:val="0"/>
              <w:jc w:val="center"/>
            </w:pPr>
            <w:r>
              <w:rPr>
                <w:sz w:val="20"/>
              </w:rPr>
              <w:t xml:space="preserve">-</w:t>
            </w:r>
          </w:p>
        </w:tc>
        <w:tc>
          <w:tcPr>
            <w:tcW w:w="2324" w:type="dxa"/>
          </w:tcPr>
          <w:p>
            <w:pPr>
              <w:pStyle w:val="0"/>
              <w:jc w:val="center"/>
            </w:pPr>
            <w:r>
              <w:rPr>
                <w:sz w:val="20"/>
              </w:rPr>
              <w:t xml:space="preserve">-</w:t>
            </w:r>
          </w:p>
        </w:tc>
      </w:tr>
      <w:tr>
        <w:tc>
          <w:tcPr>
            <w:gridSpan w:val="9"/>
            <w:tcW w:w="16300" w:type="dxa"/>
          </w:tcPr>
          <w:p>
            <w:pPr>
              <w:pStyle w:val="0"/>
              <w:jc w:val="center"/>
            </w:pPr>
            <w:r>
              <w:rPr>
                <w:sz w:val="20"/>
              </w:rPr>
              <w:t xml:space="preserve">2024</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отделения неотложной медицинской помощи</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отделения неотложной медицинской помощи</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отделения неотложной медицинской помощи</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Врач-терапевт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Врач-хирург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Врач-хирург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Врач-офтальмолог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Врач-офтальмолог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акушер-гинеколог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акушер-гинеколог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акушер-гинеколог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акушер-гинеколог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акушер-гинеколог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акушер-гинеколог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акушер-гинеколог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акушер-гинеколог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акушер-гинеколог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травматолог-ортопед</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 травматолог-ортопед</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Врач-оториноларинголог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Врач-оториноларинголог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Врач-уролог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Врач-инфекционист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Врач-эндоскопист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Врач-эндоскопист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Врач-эндоскопист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Врач-эндоскопист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Врач-эндоскопист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Врач-эндоскопист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Врач-рентгенолог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Врач-рентгенолог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Врач-рентгенолог</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функциональной диагностики</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функциональной диагностики</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функциональной диагностики</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ультразвуковой диагностики</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ультразвуковой диагностики</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Врач ультразвуковой диагностики</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gridSpan w:val="9"/>
            <w:tcW w:w="16300" w:type="dxa"/>
          </w:tcPr>
          <w:p>
            <w:pPr>
              <w:pStyle w:val="0"/>
              <w:jc w:val="center"/>
            </w:pPr>
            <w:r>
              <w:rPr>
                <w:sz w:val="20"/>
              </w:rPr>
              <w:t xml:space="preserve">2025</w:t>
            </w:r>
          </w:p>
        </w:tc>
      </w:tr>
    </w:tbl>
    <w:p>
      <w:pPr>
        <w:pStyle w:val="0"/>
      </w:pPr>
      <w:r>
        <w:rPr>
          <w:sz w:val="20"/>
        </w:rPr>
      </w:r>
    </w:p>
    <w:p>
      <w:pPr>
        <w:pStyle w:val="0"/>
        <w:jc w:val="right"/>
      </w:pPr>
      <w:r>
        <w:rPr>
          <w:sz w:val="20"/>
        </w:rPr>
        <w:t xml:space="preserve">Таблица N 22.1</w:t>
      </w:r>
    </w:p>
    <w:p>
      <w:pPr>
        <w:pStyle w:val="0"/>
      </w:pPr>
      <w:r>
        <w:rPr>
          <w:sz w:val="20"/>
        </w:rPr>
      </w:r>
    </w:p>
    <w:p>
      <w:pPr>
        <w:pStyle w:val="0"/>
        <w:jc w:val="center"/>
      </w:pPr>
      <w:r>
        <w:rPr>
          <w:sz w:val="20"/>
        </w:rPr>
        <w:t xml:space="preserve">Источники и сроки привлечения среднего медицинского</w:t>
      </w:r>
    </w:p>
    <w:p>
      <w:pPr>
        <w:pStyle w:val="0"/>
        <w:jc w:val="center"/>
      </w:pPr>
      <w:r>
        <w:rPr>
          <w:sz w:val="20"/>
        </w:rPr>
        <w:t xml:space="preserve">персонала медицинской организацией в 2020 - 2025 годах</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701"/>
        <w:gridCol w:w="1644"/>
        <w:gridCol w:w="1928"/>
        <w:gridCol w:w="2494"/>
        <w:gridCol w:w="1447"/>
        <w:gridCol w:w="2041"/>
        <w:gridCol w:w="1077"/>
        <w:gridCol w:w="2324"/>
      </w:tblGrid>
      <w:tr>
        <w:tc>
          <w:tcPr>
            <w:tcW w:w="1644" w:type="dxa"/>
          </w:tcPr>
          <w:p>
            <w:pPr>
              <w:pStyle w:val="0"/>
              <w:jc w:val="center"/>
            </w:pPr>
            <w:r>
              <w:rPr>
                <w:sz w:val="20"/>
              </w:rPr>
              <w:t xml:space="preserve">Наименование медицинской организации</w:t>
            </w:r>
          </w:p>
        </w:tc>
        <w:tc>
          <w:tcPr>
            <w:tcW w:w="1701" w:type="dxa"/>
          </w:tcPr>
          <w:p>
            <w:pPr>
              <w:pStyle w:val="0"/>
              <w:jc w:val="center"/>
            </w:pPr>
            <w:r>
              <w:rPr>
                <w:sz w:val="20"/>
              </w:rPr>
              <w:t xml:space="preserve">Наименование структурного подразделения</w:t>
            </w:r>
          </w:p>
        </w:tc>
        <w:tc>
          <w:tcPr>
            <w:tcW w:w="1644" w:type="dxa"/>
          </w:tcPr>
          <w:p>
            <w:pPr>
              <w:pStyle w:val="0"/>
              <w:jc w:val="center"/>
            </w:pPr>
            <w:r>
              <w:rPr>
                <w:sz w:val="20"/>
              </w:rPr>
              <w:t xml:space="preserve">Должность, на которую необходимо привлечь медицинского работника</w:t>
            </w:r>
          </w:p>
        </w:tc>
        <w:tc>
          <w:tcPr>
            <w:tcW w:w="1928" w:type="dxa"/>
          </w:tcPr>
          <w:p>
            <w:pPr>
              <w:pStyle w:val="0"/>
              <w:jc w:val="center"/>
            </w:pPr>
            <w:r>
              <w:rPr>
                <w:sz w:val="20"/>
              </w:rPr>
              <w:t xml:space="preserve">Срок, до которого необходимо привлечь медицинского работника (в соответствии с датой завершения модернизации медицинской организации)</w:t>
            </w:r>
          </w:p>
        </w:tc>
        <w:tc>
          <w:tcPr>
            <w:tcW w:w="2494" w:type="dxa"/>
          </w:tcPr>
          <w:p>
            <w:pPr>
              <w:pStyle w:val="0"/>
              <w:jc w:val="center"/>
            </w:pPr>
            <w:r>
              <w:rPr>
                <w:sz w:val="20"/>
              </w:rPr>
              <w:t xml:space="preserve">Источник привлечения медицинского работника (в случае трудоустройства после обучения указывается вид подготовки и сроки завершения подготовки)</w:t>
            </w:r>
          </w:p>
        </w:tc>
        <w:tc>
          <w:tcPr>
            <w:tcW w:w="1447" w:type="dxa"/>
          </w:tcPr>
          <w:p>
            <w:pPr>
              <w:pStyle w:val="0"/>
              <w:jc w:val="center"/>
            </w:pPr>
            <w:r>
              <w:rPr>
                <w:sz w:val="20"/>
              </w:rPr>
              <w:t xml:space="preserve">Плановый срок трудоустройства специалиста</w:t>
            </w:r>
          </w:p>
        </w:tc>
        <w:tc>
          <w:tcPr>
            <w:tcW w:w="2041" w:type="dxa"/>
          </w:tcPr>
          <w:p>
            <w:pPr>
              <w:pStyle w:val="0"/>
              <w:jc w:val="center"/>
            </w:pPr>
            <w:r>
              <w:rPr>
                <w:sz w:val="20"/>
              </w:rPr>
              <w:t xml:space="preserve">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1077" w:type="dxa"/>
          </w:tcPr>
          <w:p>
            <w:pPr>
              <w:pStyle w:val="0"/>
              <w:jc w:val="center"/>
            </w:pPr>
            <w:r>
              <w:rPr>
                <w:sz w:val="20"/>
              </w:rPr>
              <w:t xml:space="preserve">Коэффициент совмещения</w:t>
            </w:r>
          </w:p>
        </w:tc>
        <w:tc>
          <w:tcPr>
            <w:tcW w:w="2324" w:type="dxa"/>
          </w:tcPr>
          <w:p>
            <w:pPr>
              <w:pStyle w:val="0"/>
              <w:jc w:val="center"/>
            </w:pPr>
            <w:r>
              <w:rPr>
                <w:sz w:val="20"/>
              </w:rPr>
              <w:t xml:space="preserve">Ответственный от РОИВ за реализацию мероприятия (в должности не ниже заместителя руководителя РОИВ)</w:t>
            </w:r>
          </w:p>
        </w:tc>
      </w:tr>
      <w:tr>
        <w:tc>
          <w:tcPr>
            <w:tcW w:w="1644" w:type="dxa"/>
          </w:tcPr>
          <w:p>
            <w:pPr>
              <w:pStyle w:val="0"/>
              <w:jc w:val="center"/>
            </w:pPr>
            <w:r>
              <w:rPr>
                <w:sz w:val="20"/>
              </w:rPr>
              <w:t xml:space="preserve">1</w:t>
            </w:r>
          </w:p>
        </w:tc>
        <w:tc>
          <w:tcPr>
            <w:tcW w:w="1701" w:type="dxa"/>
          </w:tcPr>
          <w:p>
            <w:pPr>
              <w:pStyle w:val="0"/>
              <w:jc w:val="center"/>
            </w:pPr>
            <w:r>
              <w:rPr>
                <w:sz w:val="20"/>
              </w:rPr>
              <w:t xml:space="preserve">2</w:t>
            </w:r>
          </w:p>
        </w:tc>
        <w:tc>
          <w:tcPr>
            <w:tcW w:w="1644" w:type="dxa"/>
          </w:tcPr>
          <w:p>
            <w:pPr>
              <w:pStyle w:val="0"/>
              <w:jc w:val="center"/>
            </w:pPr>
            <w:r>
              <w:rPr>
                <w:sz w:val="20"/>
              </w:rPr>
              <w:t xml:space="preserve">3</w:t>
            </w:r>
          </w:p>
        </w:tc>
        <w:tc>
          <w:tcPr>
            <w:tcW w:w="1928" w:type="dxa"/>
          </w:tcPr>
          <w:p>
            <w:pPr>
              <w:pStyle w:val="0"/>
              <w:jc w:val="center"/>
            </w:pPr>
            <w:r>
              <w:rPr>
                <w:sz w:val="20"/>
              </w:rPr>
              <w:t xml:space="preserve">4</w:t>
            </w:r>
          </w:p>
        </w:tc>
        <w:tc>
          <w:tcPr>
            <w:tcW w:w="2494" w:type="dxa"/>
          </w:tcPr>
          <w:p>
            <w:pPr>
              <w:pStyle w:val="0"/>
              <w:jc w:val="center"/>
            </w:pPr>
            <w:r>
              <w:rPr>
                <w:sz w:val="20"/>
              </w:rPr>
              <w:t xml:space="preserve">5</w:t>
            </w:r>
          </w:p>
        </w:tc>
        <w:tc>
          <w:tcPr>
            <w:tcW w:w="1447" w:type="dxa"/>
          </w:tcPr>
          <w:p>
            <w:pPr>
              <w:pStyle w:val="0"/>
              <w:jc w:val="center"/>
            </w:pPr>
            <w:r>
              <w:rPr>
                <w:sz w:val="20"/>
              </w:rPr>
              <w:t xml:space="preserve">6</w:t>
            </w:r>
          </w:p>
        </w:tc>
        <w:tc>
          <w:tcPr>
            <w:tcW w:w="2041" w:type="dxa"/>
          </w:tcPr>
          <w:p>
            <w:pPr>
              <w:pStyle w:val="0"/>
              <w:jc w:val="center"/>
            </w:pPr>
            <w:r>
              <w:rPr>
                <w:sz w:val="20"/>
              </w:rPr>
              <w:t xml:space="preserve">7</w:t>
            </w:r>
          </w:p>
        </w:tc>
        <w:tc>
          <w:tcPr>
            <w:tcW w:w="1077" w:type="dxa"/>
          </w:tcPr>
          <w:p>
            <w:pPr>
              <w:pStyle w:val="0"/>
              <w:jc w:val="center"/>
            </w:pPr>
            <w:r>
              <w:rPr>
                <w:sz w:val="20"/>
              </w:rPr>
              <w:t xml:space="preserve">8</w:t>
            </w:r>
          </w:p>
        </w:tc>
        <w:tc>
          <w:tcPr>
            <w:tcW w:w="2324" w:type="dxa"/>
          </w:tcPr>
          <w:p>
            <w:pPr>
              <w:pStyle w:val="0"/>
              <w:jc w:val="center"/>
            </w:pPr>
            <w:r>
              <w:rPr>
                <w:sz w:val="20"/>
              </w:rPr>
              <w:t xml:space="preserve">9</w:t>
            </w:r>
          </w:p>
        </w:tc>
      </w:tr>
      <w:tr>
        <w:tc>
          <w:tcPr>
            <w:gridSpan w:val="9"/>
            <w:tcW w:w="16300" w:type="dxa"/>
          </w:tcPr>
          <w:p>
            <w:pPr>
              <w:pStyle w:val="0"/>
              <w:jc w:val="center"/>
            </w:pPr>
            <w:r>
              <w:rPr>
                <w:sz w:val="20"/>
              </w:rPr>
              <w:t xml:space="preserve">2020</w:t>
            </w:r>
          </w:p>
        </w:tc>
      </w:tr>
      <w:tr>
        <w:tc>
          <w:tcPr>
            <w:tcW w:w="1644" w:type="dxa"/>
          </w:tcPr>
          <w:p>
            <w:pPr>
              <w:pStyle w:val="0"/>
              <w:jc w:val="center"/>
            </w:pPr>
            <w:r>
              <w:rPr>
                <w:sz w:val="20"/>
              </w:rPr>
              <w:t xml:space="preserve">-</w:t>
            </w:r>
          </w:p>
        </w:tc>
        <w:tc>
          <w:tcPr>
            <w:tcW w:w="1701" w:type="dxa"/>
          </w:tcPr>
          <w:p>
            <w:pPr>
              <w:pStyle w:val="0"/>
              <w:jc w:val="center"/>
            </w:pPr>
            <w:r>
              <w:rPr>
                <w:sz w:val="20"/>
              </w:rPr>
              <w:t xml:space="preserve">-</w:t>
            </w:r>
          </w:p>
        </w:tc>
        <w:tc>
          <w:tcPr>
            <w:tcW w:w="1644" w:type="dxa"/>
          </w:tcPr>
          <w:p>
            <w:pPr>
              <w:pStyle w:val="0"/>
              <w:jc w:val="center"/>
            </w:pPr>
            <w:r>
              <w:rPr>
                <w:sz w:val="20"/>
              </w:rPr>
              <w:t xml:space="preserve">-</w:t>
            </w:r>
          </w:p>
        </w:tc>
        <w:tc>
          <w:tcPr>
            <w:tcW w:w="1928" w:type="dxa"/>
          </w:tcPr>
          <w:p>
            <w:pPr>
              <w:pStyle w:val="0"/>
              <w:jc w:val="center"/>
            </w:pPr>
            <w:r>
              <w:rPr>
                <w:sz w:val="20"/>
              </w:rPr>
              <w:t xml:space="preserve">-</w:t>
            </w:r>
          </w:p>
        </w:tc>
        <w:tc>
          <w:tcPr>
            <w:tcW w:w="2494" w:type="dxa"/>
          </w:tcPr>
          <w:p>
            <w:pPr>
              <w:pStyle w:val="0"/>
              <w:jc w:val="center"/>
            </w:pPr>
            <w:r>
              <w:rPr>
                <w:sz w:val="20"/>
              </w:rPr>
              <w:t xml:space="preserve">-</w:t>
            </w:r>
          </w:p>
        </w:tc>
        <w:tc>
          <w:tcPr>
            <w:tcW w:w="1447" w:type="dxa"/>
          </w:tcPr>
          <w:p>
            <w:pPr>
              <w:pStyle w:val="0"/>
              <w:jc w:val="center"/>
            </w:pPr>
            <w:r>
              <w:rPr>
                <w:sz w:val="20"/>
              </w:rPr>
              <w:t xml:space="preserve">-</w:t>
            </w:r>
          </w:p>
        </w:tc>
        <w:tc>
          <w:tcPr>
            <w:tcW w:w="2041" w:type="dxa"/>
          </w:tcPr>
          <w:p>
            <w:pPr>
              <w:pStyle w:val="0"/>
              <w:jc w:val="center"/>
            </w:pPr>
            <w:r>
              <w:rPr>
                <w:sz w:val="20"/>
              </w:rPr>
              <w:t xml:space="preserve">-</w:t>
            </w:r>
          </w:p>
        </w:tc>
        <w:tc>
          <w:tcPr>
            <w:tcW w:w="1077" w:type="dxa"/>
          </w:tcPr>
          <w:p>
            <w:pPr>
              <w:pStyle w:val="0"/>
              <w:jc w:val="center"/>
            </w:pPr>
            <w:r>
              <w:rPr>
                <w:sz w:val="20"/>
              </w:rPr>
              <w:t xml:space="preserve">-</w:t>
            </w:r>
          </w:p>
        </w:tc>
        <w:tc>
          <w:tcPr>
            <w:tcW w:w="2324" w:type="dxa"/>
          </w:tcPr>
          <w:p>
            <w:pPr>
              <w:pStyle w:val="0"/>
              <w:jc w:val="center"/>
            </w:pPr>
            <w:r>
              <w:rPr>
                <w:sz w:val="20"/>
              </w:rPr>
              <w:t xml:space="preserve">-</w:t>
            </w:r>
          </w:p>
        </w:tc>
      </w:tr>
      <w:tr>
        <w:tc>
          <w:tcPr>
            <w:gridSpan w:val="9"/>
            <w:tcW w:w="16300" w:type="dxa"/>
          </w:tcPr>
          <w:p>
            <w:pPr>
              <w:pStyle w:val="0"/>
              <w:jc w:val="center"/>
            </w:pPr>
            <w:r>
              <w:rPr>
                <w:sz w:val="20"/>
              </w:rPr>
              <w:t xml:space="preserve">2021</w:t>
            </w:r>
          </w:p>
        </w:tc>
      </w:tr>
      <w:tr>
        <w:tc>
          <w:tcPr>
            <w:tcW w:w="1644" w:type="dxa"/>
          </w:tcPr>
          <w:p>
            <w:pPr>
              <w:pStyle w:val="0"/>
              <w:jc w:val="center"/>
            </w:pPr>
            <w:r>
              <w:rPr>
                <w:sz w:val="20"/>
              </w:rPr>
              <w:t xml:space="preserve">-</w:t>
            </w:r>
          </w:p>
        </w:tc>
        <w:tc>
          <w:tcPr>
            <w:tcW w:w="1701" w:type="dxa"/>
          </w:tcPr>
          <w:p>
            <w:pPr>
              <w:pStyle w:val="0"/>
              <w:jc w:val="center"/>
            </w:pPr>
            <w:r>
              <w:rPr>
                <w:sz w:val="20"/>
              </w:rPr>
              <w:t xml:space="preserve">-</w:t>
            </w:r>
          </w:p>
        </w:tc>
        <w:tc>
          <w:tcPr>
            <w:tcW w:w="1644" w:type="dxa"/>
          </w:tcPr>
          <w:p>
            <w:pPr>
              <w:pStyle w:val="0"/>
              <w:jc w:val="center"/>
            </w:pPr>
            <w:r>
              <w:rPr>
                <w:sz w:val="20"/>
              </w:rPr>
              <w:t xml:space="preserve">-</w:t>
            </w:r>
          </w:p>
        </w:tc>
        <w:tc>
          <w:tcPr>
            <w:tcW w:w="1928" w:type="dxa"/>
          </w:tcPr>
          <w:p>
            <w:pPr>
              <w:pStyle w:val="0"/>
              <w:jc w:val="center"/>
            </w:pPr>
            <w:r>
              <w:rPr>
                <w:sz w:val="20"/>
              </w:rPr>
              <w:t xml:space="preserve">-</w:t>
            </w:r>
          </w:p>
        </w:tc>
        <w:tc>
          <w:tcPr>
            <w:tcW w:w="2494" w:type="dxa"/>
          </w:tcPr>
          <w:p>
            <w:pPr>
              <w:pStyle w:val="0"/>
              <w:jc w:val="center"/>
            </w:pPr>
            <w:r>
              <w:rPr>
                <w:sz w:val="20"/>
              </w:rPr>
              <w:t xml:space="preserve">-</w:t>
            </w:r>
          </w:p>
        </w:tc>
        <w:tc>
          <w:tcPr>
            <w:tcW w:w="1447" w:type="dxa"/>
          </w:tcPr>
          <w:p>
            <w:pPr>
              <w:pStyle w:val="0"/>
              <w:jc w:val="center"/>
            </w:pPr>
            <w:r>
              <w:rPr>
                <w:sz w:val="20"/>
              </w:rPr>
              <w:t xml:space="preserve">-</w:t>
            </w:r>
          </w:p>
        </w:tc>
        <w:tc>
          <w:tcPr>
            <w:tcW w:w="2041" w:type="dxa"/>
          </w:tcPr>
          <w:p>
            <w:pPr>
              <w:pStyle w:val="0"/>
              <w:jc w:val="center"/>
            </w:pPr>
            <w:r>
              <w:rPr>
                <w:sz w:val="20"/>
              </w:rPr>
              <w:t xml:space="preserve">-</w:t>
            </w:r>
          </w:p>
        </w:tc>
        <w:tc>
          <w:tcPr>
            <w:tcW w:w="1077" w:type="dxa"/>
          </w:tcPr>
          <w:p>
            <w:pPr>
              <w:pStyle w:val="0"/>
              <w:jc w:val="center"/>
            </w:pPr>
            <w:r>
              <w:rPr>
                <w:sz w:val="20"/>
              </w:rPr>
              <w:t xml:space="preserve">-</w:t>
            </w:r>
          </w:p>
        </w:tc>
        <w:tc>
          <w:tcPr>
            <w:tcW w:w="2324" w:type="dxa"/>
          </w:tcPr>
          <w:p>
            <w:pPr>
              <w:pStyle w:val="0"/>
              <w:jc w:val="center"/>
            </w:pPr>
            <w:r>
              <w:rPr>
                <w:sz w:val="20"/>
              </w:rPr>
              <w:t xml:space="preserve">-</w:t>
            </w:r>
          </w:p>
        </w:tc>
      </w:tr>
      <w:tr>
        <w:tc>
          <w:tcPr>
            <w:gridSpan w:val="9"/>
            <w:tcW w:w="16300" w:type="dxa"/>
          </w:tcPr>
          <w:p>
            <w:pPr>
              <w:pStyle w:val="0"/>
              <w:jc w:val="center"/>
            </w:pPr>
            <w:r>
              <w:rPr>
                <w:sz w:val="20"/>
              </w:rPr>
              <w:t xml:space="preserve">2022</w:t>
            </w:r>
          </w:p>
        </w:tc>
      </w:tr>
      <w:tr>
        <w:tc>
          <w:tcPr>
            <w:tcW w:w="1644" w:type="dxa"/>
          </w:tcPr>
          <w:p>
            <w:pPr>
              <w:pStyle w:val="0"/>
              <w:jc w:val="center"/>
            </w:pPr>
            <w:r>
              <w:rPr>
                <w:sz w:val="20"/>
              </w:rPr>
              <w:t xml:space="preserve">-</w:t>
            </w:r>
          </w:p>
        </w:tc>
        <w:tc>
          <w:tcPr>
            <w:tcW w:w="1701" w:type="dxa"/>
          </w:tcPr>
          <w:p>
            <w:pPr>
              <w:pStyle w:val="0"/>
              <w:jc w:val="center"/>
            </w:pPr>
            <w:r>
              <w:rPr>
                <w:sz w:val="20"/>
              </w:rPr>
              <w:t xml:space="preserve">-</w:t>
            </w:r>
          </w:p>
        </w:tc>
        <w:tc>
          <w:tcPr>
            <w:tcW w:w="1644" w:type="dxa"/>
          </w:tcPr>
          <w:p>
            <w:pPr>
              <w:pStyle w:val="0"/>
              <w:jc w:val="center"/>
            </w:pPr>
            <w:r>
              <w:rPr>
                <w:sz w:val="20"/>
              </w:rPr>
              <w:t xml:space="preserve">-</w:t>
            </w:r>
          </w:p>
        </w:tc>
        <w:tc>
          <w:tcPr>
            <w:tcW w:w="1928" w:type="dxa"/>
          </w:tcPr>
          <w:p>
            <w:pPr>
              <w:pStyle w:val="0"/>
              <w:jc w:val="center"/>
            </w:pPr>
            <w:r>
              <w:rPr>
                <w:sz w:val="20"/>
              </w:rPr>
              <w:t xml:space="preserve">-</w:t>
            </w:r>
          </w:p>
        </w:tc>
        <w:tc>
          <w:tcPr>
            <w:tcW w:w="2494" w:type="dxa"/>
          </w:tcPr>
          <w:p>
            <w:pPr>
              <w:pStyle w:val="0"/>
              <w:jc w:val="center"/>
            </w:pPr>
            <w:r>
              <w:rPr>
                <w:sz w:val="20"/>
              </w:rPr>
              <w:t xml:space="preserve">-</w:t>
            </w:r>
          </w:p>
        </w:tc>
        <w:tc>
          <w:tcPr>
            <w:tcW w:w="1447" w:type="dxa"/>
          </w:tcPr>
          <w:p>
            <w:pPr>
              <w:pStyle w:val="0"/>
              <w:jc w:val="center"/>
            </w:pPr>
            <w:r>
              <w:rPr>
                <w:sz w:val="20"/>
              </w:rPr>
              <w:t xml:space="preserve">-</w:t>
            </w:r>
          </w:p>
        </w:tc>
        <w:tc>
          <w:tcPr>
            <w:tcW w:w="2041" w:type="dxa"/>
          </w:tcPr>
          <w:p>
            <w:pPr>
              <w:pStyle w:val="0"/>
              <w:jc w:val="center"/>
            </w:pPr>
            <w:r>
              <w:rPr>
                <w:sz w:val="20"/>
              </w:rPr>
              <w:t xml:space="preserve">-</w:t>
            </w:r>
          </w:p>
        </w:tc>
        <w:tc>
          <w:tcPr>
            <w:tcW w:w="1077" w:type="dxa"/>
          </w:tcPr>
          <w:p>
            <w:pPr>
              <w:pStyle w:val="0"/>
              <w:jc w:val="center"/>
            </w:pPr>
            <w:r>
              <w:rPr>
                <w:sz w:val="20"/>
              </w:rPr>
              <w:t xml:space="preserve">-</w:t>
            </w:r>
          </w:p>
        </w:tc>
        <w:tc>
          <w:tcPr>
            <w:tcW w:w="2324" w:type="dxa"/>
          </w:tcPr>
          <w:p>
            <w:pPr>
              <w:pStyle w:val="0"/>
              <w:jc w:val="center"/>
            </w:pPr>
            <w:r>
              <w:rPr>
                <w:sz w:val="20"/>
              </w:rPr>
              <w:t xml:space="preserve">-</w:t>
            </w:r>
          </w:p>
        </w:tc>
      </w:tr>
      <w:tr>
        <w:tc>
          <w:tcPr>
            <w:gridSpan w:val="9"/>
            <w:tcW w:w="16300" w:type="dxa"/>
          </w:tcPr>
          <w:p>
            <w:pPr>
              <w:pStyle w:val="0"/>
              <w:jc w:val="center"/>
            </w:pPr>
            <w:r>
              <w:rPr>
                <w:sz w:val="20"/>
              </w:rPr>
              <w:t xml:space="preserve">2023</w:t>
            </w:r>
          </w:p>
        </w:tc>
      </w:tr>
      <w:tr>
        <w:tc>
          <w:tcPr>
            <w:tcW w:w="1644" w:type="dxa"/>
          </w:tcPr>
          <w:p>
            <w:pPr>
              <w:pStyle w:val="0"/>
              <w:jc w:val="center"/>
            </w:pPr>
            <w:r>
              <w:rPr>
                <w:sz w:val="20"/>
              </w:rPr>
              <w:t xml:space="preserve">-</w:t>
            </w:r>
          </w:p>
        </w:tc>
        <w:tc>
          <w:tcPr>
            <w:tcW w:w="1701" w:type="dxa"/>
          </w:tcPr>
          <w:p>
            <w:pPr>
              <w:pStyle w:val="0"/>
              <w:jc w:val="center"/>
            </w:pPr>
            <w:r>
              <w:rPr>
                <w:sz w:val="20"/>
              </w:rPr>
              <w:t xml:space="preserve">-</w:t>
            </w:r>
          </w:p>
        </w:tc>
        <w:tc>
          <w:tcPr>
            <w:tcW w:w="1644" w:type="dxa"/>
          </w:tcPr>
          <w:p>
            <w:pPr>
              <w:pStyle w:val="0"/>
              <w:jc w:val="center"/>
            </w:pPr>
            <w:r>
              <w:rPr>
                <w:sz w:val="20"/>
              </w:rPr>
              <w:t xml:space="preserve">-</w:t>
            </w:r>
          </w:p>
        </w:tc>
        <w:tc>
          <w:tcPr>
            <w:tcW w:w="1928" w:type="dxa"/>
          </w:tcPr>
          <w:p>
            <w:pPr>
              <w:pStyle w:val="0"/>
              <w:jc w:val="center"/>
            </w:pPr>
            <w:r>
              <w:rPr>
                <w:sz w:val="20"/>
              </w:rPr>
              <w:t xml:space="preserve">-</w:t>
            </w:r>
          </w:p>
        </w:tc>
        <w:tc>
          <w:tcPr>
            <w:tcW w:w="2494" w:type="dxa"/>
          </w:tcPr>
          <w:p>
            <w:pPr>
              <w:pStyle w:val="0"/>
              <w:jc w:val="center"/>
            </w:pPr>
            <w:r>
              <w:rPr>
                <w:sz w:val="20"/>
              </w:rPr>
              <w:t xml:space="preserve">-</w:t>
            </w:r>
          </w:p>
        </w:tc>
        <w:tc>
          <w:tcPr>
            <w:tcW w:w="1447" w:type="dxa"/>
          </w:tcPr>
          <w:p>
            <w:pPr>
              <w:pStyle w:val="0"/>
              <w:jc w:val="center"/>
            </w:pPr>
            <w:r>
              <w:rPr>
                <w:sz w:val="20"/>
              </w:rPr>
              <w:t xml:space="preserve">-</w:t>
            </w:r>
          </w:p>
        </w:tc>
        <w:tc>
          <w:tcPr>
            <w:tcW w:w="2041" w:type="dxa"/>
          </w:tcPr>
          <w:p>
            <w:pPr>
              <w:pStyle w:val="0"/>
              <w:jc w:val="center"/>
            </w:pPr>
            <w:r>
              <w:rPr>
                <w:sz w:val="20"/>
              </w:rPr>
              <w:t xml:space="preserve">-</w:t>
            </w:r>
          </w:p>
        </w:tc>
        <w:tc>
          <w:tcPr>
            <w:tcW w:w="1077" w:type="dxa"/>
          </w:tcPr>
          <w:p>
            <w:pPr>
              <w:pStyle w:val="0"/>
              <w:jc w:val="center"/>
            </w:pPr>
            <w:r>
              <w:rPr>
                <w:sz w:val="20"/>
              </w:rPr>
              <w:t xml:space="preserve">-</w:t>
            </w:r>
          </w:p>
        </w:tc>
        <w:tc>
          <w:tcPr>
            <w:tcW w:w="2324" w:type="dxa"/>
          </w:tcPr>
          <w:p>
            <w:pPr>
              <w:pStyle w:val="0"/>
              <w:jc w:val="center"/>
            </w:pPr>
            <w:r>
              <w:rPr>
                <w:sz w:val="20"/>
              </w:rPr>
              <w:t xml:space="preserve">-</w:t>
            </w:r>
          </w:p>
        </w:tc>
      </w:tr>
      <w:tr>
        <w:tc>
          <w:tcPr>
            <w:gridSpan w:val="9"/>
            <w:tcW w:w="16300" w:type="dxa"/>
          </w:tcPr>
          <w:p>
            <w:pPr>
              <w:pStyle w:val="0"/>
              <w:jc w:val="center"/>
            </w:pPr>
            <w:r>
              <w:rPr>
                <w:sz w:val="20"/>
              </w:rPr>
              <w:t xml:space="preserve">2024</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Медицинская сестра участковая</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Рентгенолаборант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Рентгенолаборант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Рентгенолаборант</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tcW w:w="1644" w:type="dxa"/>
          </w:tcPr>
          <w:p>
            <w:pPr>
              <w:pStyle w:val="0"/>
              <w:jc w:val="both"/>
            </w:pPr>
            <w:r>
              <w:rPr>
                <w:sz w:val="20"/>
              </w:rPr>
              <w:t xml:space="preserve">ГБУЗС "Городская больница N 1 им. Н.И. Пирогова"</w:t>
            </w:r>
          </w:p>
        </w:tc>
        <w:tc>
          <w:tcPr>
            <w:tcW w:w="1701" w:type="dxa"/>
          </w:tcPr>
          <w:p>
            <w:pPr>
              <w:pStyle w:val="0"/>
              <w:jc w:val="both"/>
            </w:pPr>
            <w:r>
              <w:rPr>
                <w:sz w:val="20"/>
              </w:rPr>
              <w:t xml:space="preserve">Поликлиника на 400 посещений в смену</w:t>
            </w:r>
          </w:p>
        </w:tc>
        <w:tc>
          <w:tcPr>
            <w:tcW w:w="1644" w:type="dxa"/>
          </w:tcPr>
          <w:p>
            <w:pPr>
              <w:pStyle w:val="0"/>
              <w:jc w:val="both"/>
            </w:pPr>
            <w:r>
              <w:rPr>
                <w:sz w:val="20"/>
              </w:rPr>
              <w:t xml:space="preserve">Медицинские сестры кабинетов</w:t>
            </w:r>
          </w:p>
        </w:tc>
        <w:tc>
          <w:tcPr>
            <w:tcW w:w="1928" w:type="dxa"/>
          </w:tcPr>
          <w:p>
            <w:pPr>
              <w:pStyle w:val="0"/>
              <w:jc w:val="both"/>
            </w:pPr>
            <w:r>
              <w:rPr>
                <w:sz w:val="20"/>
              </w:rPr>
              <w:t xml:space="preserve">2024</w:t>
            </w:r>
          </w:p>
        </w:tc>
        <w:tc>
          <w:tcPr>
            <w:tcW w:w="2494" w:type="dxa"/>
          </w:tcPr>
          <w:p>
            <w:pPr>
              <w:pStyle w:val="0"/>
              <w:jc w:val="center"/>
            </w:pPr>
            <w:r>
              <w:rPr>
                <w:sz w:val="20"/>
              </w:rPr>
              <w:t xml:space="preserve">-</w:t>
            </w:r>
          </w:p>
        </w:tc>
        <w:tc>
          <w:tcPr>
            <w:tcW w:w="1447" w:type="dxa"/>
          </w:tcPr>
          <w:p>
            <w:pPr>
              <w:pStyle w:val="0"/>
              <w:jc w:val="both"/>
            </w:pPr>
            <w:r>
              <w:rPr>
                <w:sz w:val="20"/>
              </w:rPr>
              <w:t xml:space="preserve">2024</w:t>
            </w:r>
          </w:p>
        </w:tc>
        <w:tc>
          <w:tcPr>
            <w:tcW w:w="2041" w:type="dxa"/>
          </w:tcPr>
          <w:p>
            <w:pPr>
              <w:pStyle w:val="0"/>
              <w:jc w:val="both"/>
            </w:pPr>
            <w:r>
              <w:rPr>
                <w:sz w:val="20"/>
              </w:rPr>
              <w:t xml:space="preserve">Основная должность/совместительство</w:t>
            </w:r>
          </w:p>
        </w:tc>
        <w:tc>
          <w:tcPr>
            <w:tcW w:w="1077" w:type="dxa"/>
          </w:tcPr>
          <w:p>
            <w:pPr>
              <w:pStyle w:val="0"/>
              <w:jc w:val="both"/>
            </w:pPr>
            <w:r>
              <w:rPr>
                <w:sz w:val="20"/>
              </w:rPr>
              <w:t xml:space="preserve">до 1,2</w:t>
            </w:r>
          </w:p>
        </w:tc>
        <w:tc>
          <w:tcPr>
            <w:tcW w:w="2324" w:type="dxa"/>
          </w:tcPr>
          <w:p>
            <w:pPr>
              <w:pStyle w:val="0"/>
              <w:jc w:val="both"/>
            </w:pPr>
            <w:r>
              <w:rPr>
                <w:sz w:val="20"/>
              </w:rPr>
              <w:t xml:space="preserve">Заместитель директора Департамента здравоохранения города Севастополя</w:t>
            </w:r>
          </w:p>
        </w:tc>
      </w:tr>
      <w:tr>
        <w:tc>
          <w:tcPr>
            <w:gridSpan w:val="9"/>
            <w:tcW w:w="16300" w:type="dxa"/>
          </w:tcPr>
          <w:p>
            <w:pPr>
              <w:pStyle w:val="0"/>
              <w:jc w:val="center"/>
            </w:pPr>
            <w:r>
              <w:rPr>
                <w:sz w:val="20"/>
              </w:rPr>
              <w:t xml:space="preserve">2025</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0"/>
        <w:ind w:firstLine="540"/>
        <w:jc w:val="both"/>
      </w:pPr>
      <w:r>
        <w:rPr>
          <w:sz w:val="20"/>
        </w:rPr>
        <w:t xml:space="preserve">2.5. Закрепление в организации медицинских кадров, в том числе за счет формирования и расширения мер социальной поддержки работников первичного здравоохранения посредством проведения аудита мер социальной поддержки медицинских работников в области планирования потребности в служебном жилье и расходов на его наем, развития и поддержки института наставничества.</w:t>
      </w:r>
    </w:p>
    <w:p>
      <w:pPr>
        <w:pStyle w:val="0"/>
        <w:spacing w:before="200" w:line-rule="auto"/>
        <w:ind w:firstLine="540"/>
        <w:jc w:val="both"/>
      </w:pPr>
      <w:r>
        <w:rPr>
          <w:sz w:val="20"/>
        </w:rPr>
        <w:t xml:space="preserve">В настоящее время системы оплаты труда медицинских работников государственных учреждений здравоохранения города Севастополя регулируются </w:t>
      </w:r>
      <w:hyperlink w:history="0" r:id="rId966" w:tooltip="Закон города Севастополя от 06.02.2017 N 320-ЗС (ред. от 25.07.2017) &quot;Об условиях оплаты труда работников государственных учреждений города Севастополя&quot; (принят Законодательным Собранием г. Севастополя 24.01.2017) {КонсультантПлюс}">
        <w:r>
          <w:rPr>
            <w:sz w:val="20"/>
            <w:color w:val="0000ff"/>
          </w:rPr>
          <w:t xml:space="preserve">Законом</w:t>
        </w:r>
      </w:hyperlink>
      <w:r>
        <w:rPr>
          <w:sz w:val="20"/>
        </w:rPr>
        <w:t xml:space="preserve"> города Севастополя от 06.02.2017 N 320-ЗС "Об условиях оплаты труда работников государственных учреждений города Севастополя", постановлениями Правительства Севастополя от 06.04.2017 </w:t>
      </w:r>
      <w:hyperlink w:history="0" r:id="rId967" w:tooltip="Постановление Правительства Севастополя от 06.04.2017 N 282-ПП (ред. от 10.08.2021) &quot;Об утверждении Перечня видов выплат стимулирующего характера и Порядка установления выплат стимулирующего характера в государственных учреждениях города Севастополя&quot; {КонсультантПлюс}">
        <w:r>
          <w:rPr>
            <w:sz w:val="20"/>
            <w:color w:val="0000ff"/>
          </w:rPr>
          <w:t xml:space="preserve">N 282-ПП</w:t>
        </w:r>
      </w:hyperlink>
      <w:r>
        <w:rPr>
          <w:sz w:val="20"/>
        </w:rPr>
        <w:t xml:space="preserve"> "Об утверждении Перечня видов выплат стимулирующего характера и Порядка установления выплат стимулирующего характера в государственных учреждениях города Севастополя", от 06.04.2017 </w:t>
      </w:r>
      <w:hyperlink w:history="0" r:id="rId968" w:tooltip="Постановление Правительства Севастополя от 06.04.2017 N 283-ПП (ред. от 10.08.2021) &quot;Об утверждении Перечня видов выплат компенсационного характера и Порядка установления выплат компенсационного характера в государственных учреждениях города Севастополя&quot; {КонсультантПлюс}">
        <w:r>
          <w:rPr>
            <w:sz w:val="20"/>
            <w:color w:val="0000ff"/>
          </w:rPr>
          <w:t xml:space="preserve">N 283-ПП</w:t>
        </w:r>
      </w:hyperlink>
      <w:r>
        <w:rPr>
          <w:sz w:val="20"/>
        </w:rPr>
        <w:t xml:space="preserve"> "Об утверждении Перечня видов выплат компенсационного характера и Порядка установления выплат компенсационного характера в государственных учреждениях города Севастополя", от 27.04.2017 </w:t>
      </w:r>
      <w:hyperlink w:history="0" r:id="rId969" w:tooltip="Постановление Правительства Севастополя от 27.04.2017 N 349-ПП (ред. от 22.05.2020) &quot;Об установлении базовых окладов (базовых должностных окладов) работникам государственных учреждений в сфере здравоохранения города Севастополя и признании утратившим силу постановления Правительства Севастополя от 14.04.2015 N 280-ПП&quot; {КонсультантПлюс}">
        <w:r>
          <w:rPr>
            <w:sz w:val="20"/>
            <w:color w:val="0000ff"/>
          </w:rPr>
          <w:t xml:space="preserve">N 349-ПП</w:t>
        </w:r>
      </w:hyperlink>
      <w:r>
        <w:rPr>
          <w:sz w:val="20"/>
        </w:rPr>
        <w:t xml:space="preserve"> "Об установлении базовых окладов (базовых должностных окладов) работникам государственных учреждений в сфере здравоохранения города Севастополя" и признании утратившим силу постановления Правительства Севастополя от 14.04.2015 N 280-ПП".</w:t>
      </w:r>
    </w:p>
    <w:p>
      <w:pPr>
        <w:pStyle w:val="0"/>
        <w:spacing w:before="200" w:line-rule="auto"/>
        <w:ind w:firstLine="540"/>
        <w:jc w:val="both"/>
      </w:pPr>
      <w:r>
        <w:rPr>
          <w:sz w:val="20"/>
        </w:rPr>
        <w:t xml:space="preserve">Администрирование кадровой политики, развитие кадровых служб медицинских организаций (создание подразделений медицинских организаций (или расширение функционала отдела кадров) с обязательным включением в него функций по поиску кадров, работы с кадровыми агентствами, контролю выполнения работы врачей-наставников, планированию и контролю проведения дополнительного профессионального образования по программам повышения квалификации и профессиональной переподготовки сотрудников в рамках системы непрерывного медицинского образования, работе с вузами и колледжами, созданию и работе с кадровым резервом).</w:t>
      </w:r>
    </w:p>
    <w:p>
      <w:pPr>
        <w:pStyle w:val="0"/>
        <w:ind w:firstLine="540"/>
        <w:jc w:val="both"/>
      </w:pPr>
      <w:r>
        <w:rPr>
          <w:sz w:val="20"/>
        </w:rPr>
      </w:r>
    </w:p>
    <w:p>
      <w:pPr>
        <w:pStyle w:val="0"/>
        <w:jc w:val="right"/>
      </w:pPr>
      <w:r>
        <w:rPr>
          <w:sz w:val="20"/>
        </w:rPr>
        <w:t xml:space="preserve">Таблица 23</w:t>
      </w:r>
    </w:p>
    <w:p>
      <w:pPr>
        <w:pStyle w:val="0"/>
        <w:jc w:val="right"/>
      </w:pPr>
      <w:r>
        <w:rPr>
          <w:sz w:val="20"/>
        </w:rPr>
      </w:r>
    </w:p>
    <w:p>
      <w:pPr>
        <w:pStyle w:val="0"/>
        <w:jc w:val="center"/>
      </w:pPr>
      <w:r>
        <w:rPr>
          <w:sz w:val="20"/>
        </w:rPr>
        <w:t xml:space="preserve">План мероприятий по реализации раздела "Кадры</w:t>
      </w:r>
    </w:p>
    <w:p>
      <w:pPr>
        <w:pStyle w:val="0"/>
        <w:jc w:val="center"/>
      </w:pPr>
      <w:r>
        <w:rPr>
          <w:sz w:val="20"/>
        </w:rPr>
        <w:t xml:space="preserve">государственных медицинских организаций города Севастополя"</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3855"/>
        <w:gridCol w:w="1530"/>
        <w:gridCol w:w="1530"/>
        <w:gridCol w:w="2607"/>
        <w:gridCol w:w="3514"/>
      </w:tblGrid>
      <w:tr>
        <w:tc>
          <w:tcPr>
            <w:tcW w:w="566" w:type="dxa"/>
            <w:vMerge w:val="restart"/>
          </w:tcPr>
          <w:p>
            <w:pPr>
              <w:pStyle w:val="0"/>
              <w:jc w:val="center"/>
            </w:pPr>
            <w:r>
              <w:rPr>
                <w:sz w:val="20"/>
              </w:rPr>
              <w:t xml:space="preserve">N п/п</w:t>
            </w:r>
          </w:p>
        </w:tc>
        <w:tc>
          <w:tcPr>
            <w:tcW w:w="3855" w:type="dxa"/>
            <w:vMerge w:val="restart"/>
          </w:tcPr>
          <w:p>
            <w:pPr>
              <w:pStyle w:val="0"/>
              <w:jc w:val="center"/>
            </w:pPr>
            <w:r>
              <w:rPr>
                <w:sz w:val="20"/>
              </w:rPr>
              <w:t xml:space="preserve">Наименование мероприятия</w:t>
            </w:r>
          </w:p>
        </w:tc>
        <w:tc>
          <w:tcPr>
            <w:gridSpan w:val="2"/>
            <w:tcW w:w="3060" w:type="dxa"/>
          </w:tcPr>
          <w:p>
            <w:pPr>
              <w:pStyle w:val="0"/>
              <w:jc w:val="center"/>
            </w:pPr>
            <w:r>
              <w:rPr>
                <w:sz w:val="20"/>
              </w:rPr>
              <w:t xml:space="preserve">Срок реализации</w:t>
            </w:r>
          </w:p>
        </w:tc>
        <w:tc>
          <w:tcPr>
            <w:tcW w:w="2607" w:type="dxa"/>
            <w:vMerge w:val="restart"/>
          </w:tcPr>
          <w:p>
            <w:pPr>
              <w:pStyle w:val="0"/>
              <w:jc w:val="center"/>
            </w:pPr>
            <w:r>
              <w:rPr>
                <w:sz w:val="20"/>
              </w:rPr>
              <w:t xml:space="preserve">Ответственный исполнитель</w:t>
            </w:r>
          </w:p>
        </w:tc>
        <w:tc>
          <w:tcPr>
            <w:tcW w:w="3514" w:type="dxa"/>
            <w:vMerge w:val="restart"/>
          </w:tcPr>
          <w:p>
            <w:pPr>
              <w:pStyle w:val="0"/>
              <w:jc w:val="center"/>
            </w:pPr>
            <w:r>
              <w:rPr>
                <w:sz w:val="20"/>
              </w:rPr>
              <w:t xml:space="preserve">Вид документа и характеристика результата</w:t>
            </w:r>
          </w:p>
        </w:tc>
      </w:tr>
      <w:tr>
        <w:tc>
          <w:tcPr>
            <w:vMerge w:val="continue"/>
          </w:tcPr>
          <w:p/>
        </w:tc>
        <w:tc>
          <w:tcPr>
            <w:vMerge w:val="continue"/>
          </w:tcPr>
          <w:p/>
        </w:tc>
        <w:tc>
          <w:tcPr>
            <w:tcW w:w="1530" w:type="dxa"/>
          </w:tcPr>
          <w:p>
            <w:pPr>
              <w:pStyle w:val="0"/>
              <w:jc w:val="center"/>
            </w:pPr>
            <w:r>
              <w:rPr>
                <w:sz w:val="20"/>
              </w:rPr>
              <w:t xml:space="preserve">начало</w:t>
            </w:r>
          </w:p>
        </w:tc>
        <w:tc>
          <w:tcPr>
            <w:tcW w:w="1530" w:type="dxa"/>
          </w:tcPr>
          <w:p>
            <w:pPr>
              <w:pStyle w:val="0"/>
              <w:jc w:val="center"/>
            </w:pPr>
            <w:r>
              <w:rPr>
                <w:sz w:val="20"/>
              </w:rPr>
              <w:t xml:space="preserve">окончание</w:t>
            </w:r>
          </w:p>
        </w:tc>
        <w:tc>
          <w:tcPr>
            <w:vMerge w:val="continue"/>
          </w:tcPr>
          <w:p/>
        </w:tc>
        <w:tc>
          <w:tcPr>
            <w:vMerge w:val="continue"/>
          </w:tcPr>
          <w:p/>
        </w:tc>
      </w:tr>
      <w:tr>
        <w:tc>
          <w:tcPr>
            <w:tcW w:w="566" w:type="dxa"/>
          </w:tcPr>
          <w:p>
            <w:pPr>
              <w:pStyle w:val="0"/>
              <w:jc w:val="both"/>
            </w:pPr>
            <w:r>
              <w:rPr>
                <w:sz w:val="20"/>
              </w:rPr>
            </w:r>
          </w:p>
        </w:tc>
        <w:tc>
          <w:tcPr>
            <w:gridSpan w:val="5"/>
            <w:tcW w:w="13036" w:type="dxa"/>
          </w:tcPr>
          <w:p>
            <w:pPr>
              <w:pStyle w:val="0"/>
              <w:jc w:val="both"/>
            </w:pPr>
            <w:r>
              <w:rPr>
                <w:sz w:val="20"/>
              </w:rPr>
              <w:t xml:space="preserve">Задача: 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tc>
      </w:tr>
      <w:tr>
        <w:tc>
          <w:tcPr>
            <w:tcW w:w="566" w:type="dxa"/>
          </w:tcPr>
          <w:p>
            <w:pPr>
              <w:pStyle w:val="0"/>
              <w:jc w:val="both"/>
            </w:pPr>
            <w:r>
              <w:rPr>
                <w:sz w:val="20"/>
              </w:rPr>
              <w:t xml:space="preserve">1.</w:t>
            </w:r>
          </w:p>
        </w:tc>
        <w:tc>
          <w:tcPr>
            <w:tcW w:w="3855" w:type="dxa"/>
          </w:tcPr>
          <w:p>
            <w:pPr>
              <w:pStyle w:val="0"/>
              <w:jc w:val="both"/>
            </w:pPr>
            <w:r>
              <w:rPr>
                <w:sz w:val="20"/>
              </w:rPr>
              <w:t xml:space="preserve">Поэтапное внедрение отраслевой системы оплаты труда медицинских работников</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07" w:type="dxa"/>
          </w:tcPr>
          <w:p>
            <w:pPr>
              <w:pStyle w:val="0"/>
              <w:jc w:val="both"/>
            </w:pPr>
            <w:r>
              <w:rPr>
                <w:sz w:val="20"/>
              </w:rPr>
              <w:t xml:space="preserve">Департамент здравоохранения города Севастополя</w:t>
            </w:r>
          </w:p>
        </w:tc>
        <w:tc>
          <w:tcPr>
            <w:tcW w:w="3514" w:type="dxa"/>
          </w:tcPr>
          <w:p>
            <w:pPr>
              <w:pStyle w:val="0"/>
              <w:jc w:val="both"/>
            </w:pPr>
            <w:r>
              <w:rPr>
                <w:sz w:val="20"/>
              </w:rPr>
              <w:t xml:space="preserve">Отчет о реализации мероприятия и достижении ЦП (по увеличению заработной платы медицинских работников медицинских организаций, оказывающих первичную медико-санитарную помощь, скорую медицинскую помощь)</w:t>
            </w:r>
          </w:p>
        </w:tc>
      </w:tr>
      <w:tr>
        <w:tc>
          <w:tcPr>
            <w:tcW w:w="566" w:type="dxa"/>
          </w:tcPr>
          <w:p>
            <w:pPr>
              <w:pStyle w:val="0"/>
              <w:jc w:val="both"/>
            </w:pPr>
            <w:r>
              <w:rPr>
                <w:sz w:val="20"/>
              </w:rPr>
              <w:t xml:space="preserve">2.</w:t>
            </w:r>
          </w:p>
        </w:tc>
        <w:tc>
          <w:tcPr>
            <w:tcW w:w="3855" w:type="dxa"/>
          </w:tcPr>
          <w:p>
            <w:pPr>
              <w:pStyle w:val="0"/>
              <w:jc w:val="both"/>
            </w:pPr>
            <w:r>
              <w:rPr>
                <w:sz w:val="20"/>
              </w:rPr>
              <w:t xml:space="preserve">Принятие мер по укомплектованию медицинских организаций, оказывающих первичную медико-санитарную помощь</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07" w:type="dxa"/>
          </w:tcPr>
          <w:p>
            <w:pPr>
              <w:pStyle w:val="0"/>
              <w:jc w:val="both"/>
            </w:pPr>
            <w:r>
              <w:rPr>
                <w:sz w:val="20"/>
              </w:rPr>
              <w:t xml:space="preserve">Департамент здравоохранения города Севастополя</w:t>
            </w:r>
          </w:p>
        </w:tc>
        <w:tc>
          <w:tcPr>
            <w:tcW w:w="3514" w:type="dxa"/>
          </w:tcPr>
          <w:p>
            <w:pPr>
              <w:pStyle w:val="0"/>
              <w:jc w:val="both"/>
            </w:pPr>
            <w:r>
              <w:rPr>
                <w:sz w:val="20"/>
              </w:rPr>
              <w:t xml:space="preserve">Отчет о реализации мероприятия и достижении ЦП (по увеличению числа медицинских работников медицинских организаций, оказывающих первичную медико-санитарную помощь, скорую медицинскую помощь). Численность врачей и средних медицинских работников в медицинских организациях города Севастополя, оказывающих первичную медико-санитарную помощь, скорую медицинскую помощь, не менее:</w:t>
            </w:r>
          </w:p>
          <w:p>
            <w:pPr>
              <w:pStyle w:val="0"/>
              <w:jc w:val="both"/>
            </w:pPr>
            <w:r>
              <w:rPr>
                <w:sz w:val="20"/>
              </w:rPr>
              <w:t xml:space="preserve">к 2020 году - 719 и 1369 соответственно,</w:t>
            </w:r>
          </w:p>
          <w:p>
            <w:pPr>
              <w:pStyle w:val="0"/>
              <w:jc w:val="both"/>
            </w:pPr>
            <w:r>
              <w:rPr>
                <w:sz w:val="20"/>
              </w:rPr>
              <w:t xml:space="preserve">к 2021 году - 722 и 13684 соответственно,</w:t>
            </w:r>
          </w:p>
          <w:p>
            <w:pPr>
              <w:pStyle w:val="0"/>
              <w:jc w:val="both"/>
            </w:pPr>
            <w:r>
              <w:rPr>
                <w:sz w:val="20"/>
              </w:rPr>
              <w:t xml:space="preserve">к 2022 году - 726 и 1399 соответственно,</w:t>
            </w:r>
          </w:p>
          <w:p>
            <w:pPr>
              <w:pStyle w:val="0"/>
              <w:jc w:val="both"/>
            </w:pPr>
            <w:r>
              <w:rPr>
                <w:sz w:val="20"/>
              </w:rPr>
              <w:t xml:space="preserve">к 2023 году - 732 и 1414 соответственно,</w:t>
            </w:r>
          </w:p>
          <w:p>
            <w:pPr>
              <w:pStyle w:val="0"/>
              <w:jc w:val="both"/>
            </w:pPr>
            <w:r>
              <w:rPr>
                <w:sz w:val="20"/>
              </w:rPr>
              <w:t xml:space="preserve">к 2024 году - 748 и 1430 соответственно,</w:t>
            </w:r>
          </w:p>
          <w:p>
            <w:pPr>
              <w:pStyle w:val="0"/>
              <w:jc w:val="both"/>
            </w:pPr>
            <w:r>
              <w:rPr>
                <w:sz w:val="20"/>
              </w:rPr>
              <w:t xml:space="preserve">к 2025 году - 748 и 1430, соответственно</w:t>
            </w:r>
          </w:p>
        </w:tc>
      </w:tr>
      <w:tr>
        <w:tc>
          <w:tcPr>
            <w:tcW w:w="566" w:type="dxa"/>
          </w:tcPr>
          <w:p>
            <w:pPr>
              <w:pStyle w:val="0"/>
              <w:jc w:val="both"/>
            </w:pPr>
            <w:r>
              <w:rPr>
                <w:sz w:val="20"/>
              </w:rPr>
              <w:t xml:space="preserve">3.</w:t>
            </w:r>
          </w:p>
        </w:tc>
        <w:tc>
          <w:tcPr>
            <w:tcW w:w="3855" w:type="dxa"/>
          </w:tcPr>
          <w:p>
            <w:pPr>
              <w:pStyle w:val="0"/>
              <w:jc w:val="both"/>
            </w:pPr>
            <w:r>
              <w:rPr>
                <w:sz w:val="20"/>
              </w:rPr>
              <w:t xml:space="preserve">Оценка уровня заработной платы медицинских работников в медицинских организациях, оказывающих первичную медико-санитарную помощь, скорую медицинскую помощь, и эффективности применяемых систем оплаты труда</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07" w:type="dxa"/>
          </w:tcPr>
          <w:p>
            <w:pPr>
              <w:pStyle w:val="0"/>
              <w:jc w:val="both"/>
            </w:pPr>
            <w:r>
              <w:rPr>
                <w:sz w:val="20"/>
              </w:rPr>
              <w:t xml:space="preserve">Департамент здравоохранения города Севастополя</w:t>
            </w:r>
          </w:p>
        </w:tc>
        <w:tc>
          <w:tcPr>
            <w:tcW w:w="3514" w:type="dxa"/>
          </w:tcPr>
          <w:p>
            <w:pPr>
              <w:pStyle w:val="0"/>
              <w:jc w:val="both"/>
            </w:pPr>
            <w:r>
              <w:rPr>
                <w:sz w:val="20"/>
              </w:rPr>
              <w:t xml:space="preserve">Отчет о реализации мероприятия и достижении ЦП (по увеличению заработной платы медицинских работников медицинских организаций, оказывающих первичную медико-санитарную помощь, скорую медицинскую помощь)</w:t>
            </w:r>
          </w:p>
        </w:tc>
      </w:tr>
      <w:tr>
        <w:tc>
          <w:tcPr>
            <w:tcW w:w="566" w:type="dxa"/>
          </w:tcPr>
          <w:p>
            <w:pPr>
              <w:pStyle w:val="0"/>
              <w:jc w:val="both"/>
            </w:pPr>
            <w:r>
              <w:rPr>
                <w:sz w:val="20"/>
              </w:rPr>
              <w:t xml:space="preserve">4.</w:t>
            </w:r>
          </w:p>
        </w:tc>
        <w:tc>
          <w:tcPr>
            <w:tcW w:w="3855" w:type="dxa"/>
          </w:tcPr>
          <w:p>
            <w:pPr>
              <w:pStyle w:val="0"/>
              <w:jc w:val="both"/>
            </w:pPr>
            <w:r>
              <w:rPr>
                <w:sz w:val="20"/>
              </w:rPr>
              <w:t xml:space="preserve">Проведение анализа кадрового обеспечения медицинских организаций, включая анализ обоснованности существующей штатной численности медицинских работников, анализ нагрузки на медицинский персонал и причин ее отклонения от нормы в разрезе основных категорий и должностей, административно-территориальных образований</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07" w:type="dxa"/>
          </w:tcPr>
          <w:p>
            <w:pPr>
              <w:pStyle w:val="0"/>
              <w:jc w:val="both"/>
            </w:pPr>
            <w:r>
              <w:rPr>
                <w:sz w:val="20"/>
              </w:rPr>
              <w:t xml:space="preserve">Департамент здравоохранения города Севастополя</w:t>
            </w:r>
          </w:p>
        </w:tc>
        <w:tc>
          <w:tcPr>
            <w:tcW w:w="3514" w:type="dxa"/>
          </w:tcPr>
          <w:p>
            <w:pPr>
              <w:pStyle w:val="0"/>
              <w:jc w:val="both"/>
            </w:pPr>
            <w:r>
              <w:rPr>
                <w:sz w:val="20"/>
              </w:rPr>
              <w:t xml:space="preserve">Отчет о реализации мероприятия и достижении ЦП</w:t>
            </w:r>
          </w:p>
        </w:tc>
      </w:tr>
      <w:tr>
        <w:tc>
          <w:tcPr>
            <w:tcW w:w="566" w:type="dxa"/>
          </w:tcPr>
          <w:p>
            <w:pPr>
              <w:pStyle w:val="0"/>
              <w:jc w:val="both"/>
            </w:pPr>
            <w:r>
              <w:rPr>
                <w:sz w:val="20"/>
              </w:rPr>
              <w:t xml:space="preserve">5.</w:t>
            </w:r>
          </w:p>
        </w:tc>
        <w:tc>
          <w:tcPr>
            <w:tcW w:w="3855" w:type="dxa"/>
          </w:tcPr>
          <w:p>
            <w:pPr>
              <w:pStyle w:val="0"/>
              <w:jc w:val="both"/>
            </w:pPr>
            <w:r>
              <w:rPr>
                <w:sz w:val="20"/>
              </w:rPr>
              <w:t xml:space="preserve">Увеличение заявок на целевое обучение врачей в соответствии с дефицитными специальностями первичного звена здравоохранения (специалитет - до 70 - 75%, ординатура - до 100%)</w:t>
            </w:r>
          </w:p>
        </w:tc>
        <w:tc>
          <w:tcPr>
            <w:tcW w:w="1530" w:type="dxa"/>
          </w:tcPr>
          <w:p>
            <w:pPr>
              <w:pStyle w:val="0"/>
              <w:jc w:val="both"/>
            </w:pPr>
            <w:r>
              <w:rPr>
                <w:sz w:val="20"/>
              </w:rPr>
              <w:t xml:space="preserve">01.11.2020</w:t>
            </w:r>
          </w:p>
        </w:tc>
        <w:tc>
          <w:tcPr>
            <w:tcW w:w="1530" w:type="dxa"/>
          </w:tcPr>
          <w:p>
            <w:pPr>
              <w:pStyle w:val="0"/>
              <w:jc w:val="both"/>
            </w:pPr>
            <w:r>
              <w:rPr>
                <w:sz w:val="20"/>
              </w:rPr>
              <w:t xml:space="preserve">31.12.2025</w:t>
            </w:r>
          </w:p>
        </w:tc>
        <w:tc>
          <w:tcPr>
            <w:tcW w:w="2607" w:type="dxa"/>
          </w:tcPr>
          <w:p>
            <w:pPr>
              <w:pStyle w:val="0"/>
              <w:jc w:val="both"/>
            </w:pPr>
            <w:r>
              <w:rPr>
                <w:sz w:val="20"/>
              </w:rPr>
              <w:t xml:space="preserve">Департамент здравоохранения города Севастополя</w:t>
            </w:r>
          </w:p>
        </w:tc>
        <w:tc>
          <w:tcPr>
            <w:tcW w:w="3514" w:type="dxa"/>
          </w:tcPr>
          <w:p>
            <w:pPr>
              <w:pStyle w:val="0"/>
              <w:jc w:val="both"/>
            </w:pPr>
            <w:r>
              <w:rPr>
                <w:sz w:val="20"/>
              </w:rPr>
              <w:t xml:space="preserve">Отчет о реализации мероприятия и достижении ЦП (по увеличению числа врачей, оказывающих первичную медико-санитарную помощь, скорую медицинскую помощь)</w:t>
            </w:r>
          </w:p>
        </w:tc>
      </w:tr>
      <w:tr>
        <w:tc>
          <w:tcPr>
            <w:tcW w:w="566" w:type="dxa"/>
          </w:tcPr>
          <w:p>
            <w:pPr>
              <w:pStyle w:val="0"/>
              <w:jc w:val="both"/>
            </w:pPr>
            <w:r>
              <w:rPr>
                <w:sz w:val="20"/>
              </w:rPr>
              <w:t xml:space="preserve">6.</w:t>
            </w:r>
          </w:p>
        </w:tc>
        <w:tc>
          <w:tcPr>
            <w:tcW w:w="3855" w:type="dxa"/>
          </w:tcPr>
          <w:p>
            <w:pPr>
              <w:pStyle w:val="0"/>
              <w:jc w:val="both"/>
            </w:pPr>
            <w:r>
              <w:rPr>
                <w:sz w:val="20"/>
              </w:rPr>
              <w:t xml:space="preserve">Увеличение числа обучающихся профессиональных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07" w:type="dxa"/>
          </w:tcPr>
          <w:p>
            <w:pPr>
              <w:pStyle w:val="0"/>
              <w:jc w:val="both"/>
            </w:pPr>
            <w:r>
              <w:rPr>
                <w:sz w:val="20"/>
              </w:rPr>
              <w:t xml:space="preserve">Департамент здравоохранения города Севастополя</w:t>
            </w:r>
          </w:p>
        </w:tc>
        <w:tc>
          <w:tcPr>
            <w:tcW w:w="3514" w:type="dxa"/>
          </w:tcPr>
          <w:p>
            <w:pPr>
              <w:pStyle w:val="0"/>
              <w:jc w:val="both"/>
            </w:pPr>
            <w:r>
              <w:rPr>
                <w:sz w:val="20"/>
              </w:rPr>
              <w:t xml:space="preserve">Отчет о реализации мероприятия и достижении ЦП (по увеличению численности среднего медицинского персонала в медицинских организациях)</w:t>
            </w:r>
          </w:p>
        </w:tc>
      </w:tr>
      <w:tr>
        <w:tc>
          <w:tcPr>
            <w:tcW w:w="566" w:type="dxa"/>
          </w:tcPr>
          <w:p>
            <w:pPr>
              <w:pStyle w:val="0"/>
              <w:jc w:val="both"/>
            </w:pPr>
            <w:r>
              <w:rPr>
                <w:sz w:val="20"/>
              </w:rPr>
              <w:t xml:space="preserve">7.</w:t>
            </w:r>
          </w:p>
        </w:tc>
        <w:tc>
          <w:tcPr>
            <w:tcW w:w="3855" w:type="dxa"/>
          </w:tcPr>
          <w:p>
            <w:pPr>
              <w:pStyle w:val="0"/>
              <w:jc w:val="both"/>
            </w:pPr>
            <w:r>
              <w:rPr>
                <w:sz w:val="20"/>
              </w:rPr>
              <w:t xml:space="preserve">Планирование повышения квалификации и переподготовки за счет средств регионального бюджета, средств нормированного страхового запаса, привлечение медицинских работников</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07" w:type="dxa"/>
          </w:tcPr>
          <w:p>
            <w:pPr>
              <w:pStyle w:val="0"/>
              <w:jc w:val="both"/>
            </w:pPr>
            <w:r>
              <w:rPr>
                <w:sz w:val="20"/>
              </w:rPr>
              <w:t xml:space="preserve">Департамент здравоохранения города Севастополя</w:t>
            </w:r>
          </w:p>
        </w:tc>
        <w:tc>
          <w:tcPr>
            <w:tcW w:w="3514" w:type="dxa"/>
          </w:tcPr>
          <w:p>
            <w:pPr>
              <w:pStyle w:val="0"/>
              <w:jc w:val="both"/>
            </w:pPr>
            <w:r>
              <w:rPr>
                <w:sz w:val="20"/>
              </w:rPr>
              <w:t xml:space="preserve">Отчет о реализации мероприятия и достижении ЦП</w:t>
            </w:r>
          </w:p>
        </w:tc>
      </w:tr>
      <w:tr>
        <w:tc>
          <w:tcPr>
            <w:tcW w:w="566" w:type="dxa"/>
          </w:tcPr>
          <w:p>
            <w:pPr>
              <w:pStyle w:val="0"/>
              <w:jc w:val="both"/>
            </w:pPr>
            <w:r>
              <w:rPr>
                <w:sz w:val="20"/>
              </w:rPr>
              <w:t xml:space="preserve">8.</w:t>
            </w:r>
          </w:p>
        </w:tc>
        <w:tc>
          <w:tcPr>
            <w:tcW w:w="3855" w:type="dxa"/>
          </w:tcPr>
          <w:p>
            <w:pPr>
              <w:pStyle w:val="0"/>
              <w:jc w:val="both"/>
            </w:pPr>
            <w:r>
              <w:rPr>
                <w:sz w:val="20"/>
              </w:rPr>
              <w:t xml:space="preserve">Разработка и реализация региональных мер социальной поддержки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в том числе их приоритетное обеспечение служебным жильем, использование иных механизмов обеспечения жильем: предоставление ежемесячной денежной компенсации за наем (поднаем) жилых помещений работникам</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07" w:type="dxa"/>
          </w:tcPr>
          <w:p>
            <w:pPr>
              <w:pStyle w:val="0"/>
              <w:jc w:val="both"/>
            </w:pPr>
            <w:r>
              <w:rPr>
                <w:sz w:val="20"/>
              </w:rPr>
              <w:t xml:space="preserve">Департамент здравоохранения города Севастополя</w:t>
            </w:r>
          </w:p>
        </w:tc>
        <w:tc>
          <w:tcPr>
            <w:tcW w:w="3514" w:type="dxa"/>
          </w:tcPr>
          <w:p>
            <w:pPr>
              <w:pStyle w:val="0"/>
              <w:jc w:val="both"/>
            </w:pPr>
            <w:r>
              <w:rPr>
                <w:sz w:val="20"/>
              </w:rPr>
              <w:t xml:space="preserve">Отчет о реализации мероприятия и достижении ЦП (по включению в региональную программу модернизации первичного звена мероприятий в целях создания условий и мотивации для закрепления медицинских работников) медицинских организаций, уменьшение оттока кадров из государственного сектора отрасли здравоохранения</w:t>
            </w:r>
          </w:p>
        </w:tc>
      </w:tr>
      <w:tr>
        <w:tc>
          <w:tcPr>
            <w:tcW w:w="566" w:type="dxa"/>
          </w:tcPr>
          <w:p>
            <w:pPr>
              <w:pStyle w:val="0"/>
              <w:jc w:val="both"/>
            </w:pPr>
            <w:r>
              <w:rPr>
                <w:sz w:val="20"/>
              </w:rPr>
              <w:t xml:space="preserve">9.</w:t>
            </w:r>
          </w:p>
        </w:tc>
        <w:tc>
          <w:tcPr>
            <w:tcW w:w="3855" w:type="dxa"/>
          </w:tcPr>
          <w:p>
            <w:pPr>
              <w:pStyle w:val="0"/>
              <w:jc w:val="both"/>
            </w:pPr>
            <w:r>
              <w:rPr>
                <w:sz w:val="20"/>
              </w:rPr>
              <w:t xml:space="preserve">Включение в показатели эффективности деятельности руководителей медицинских организаций показателей, характеризующих обеспечение медицинских организаций медицинскими работниками</w:t>
            </w:r>
          </w:p>
        </w:tc>
        <w:tc>
          <w:tcPr>
            <w:tcW w:w="1530" w:type="dxa"/>
          </w:tcPr>
          <w:p>
            <w:pPr>
              <w:pStyle w:val="0"/>
              <w:jc w:val="both"/>
            </w:pPr>
            <w:r>
              <w:rPr>
                <w:sz w:val="20"/>
              </w:rPr>
              <w:t xml:space="preserve">01.01.2021</w:t>
            </w:r>
          </w:p>
        </w:tc>
        <w:tc>
          <w:tcPr>
            <w:tcW w:w="1530" w:type="dxa"/>
          </w:tcPr>
          <w:p>
            <w:pPr>
              <w:pStyle w:val="0"/>
              <w:jc w:val="both"/>
            </w:pPr>
            <w:r>
              <w:rPr>
                <w:sz w:val="20"/>
              </w:rPr>
              <w:t xml:space="preserve">31.12.2025</w:t>
            </w:r>
          </w:p>
        </w:tc>
        <w:tc>
          <w:tcPr>
            <w:tcW w:w="2607" w:type="dxa"/>
          </w:tcPr>
          <w:p>
            <w:pPr>
              <w:pStyle w:val="0"/>
              <w:jc w:val="both"/>
            </w:pPr>
            <w:r>
              <w:rPr>
                <w:sz w:val="20"/>
              </w:rPr>
              <w:t xml:space="preserve">Департамент здравоохранения города Севастополя</w:t>
            </w:r>
          </w:p>
        </w:tc>
        <w:tc>
          <w:tcPr>
            <w:tcW w:w="3514" w:type="dxa"/>
          </w:tcPr>
          <w:p>
            <w:pPr>
              <w:pStyle w:val="0"/>
              <w:jc w:val="both"/>
            </w:pPr>
            <w:r>
              <w:rPr>
                <w:sz w:val="20"/>
              </w:rPr>
              <w:t xml:space="preserve">Отчет о реализации мероприятия и достижении ЦП (по повышению укомплектованности медицинских организаций, оказывающих первичную медико-санитарную помощь, скорую медицинскую помощь)</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12</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p>
      <w:pPr>
        <w:pStyle w:val="2"/>
        <w:jc w:val="center"/>
      </w:pPr>
      <w:r>
        <w:rPr>
          <w:sz w:val="20"/>
        </w:rPr>
        <w:t xml:space="preserve">Региональная программа противодействия распространению</w:t>
      </w:r>
    </w:p>
    <w:p>
      <w:pPr>
        <w:pStyle w:val="2"/>
        <w:jc w:val="center"/>
      </w:pPr>
      <w:r>
        <w:rPr>
          <w:sz w:val="20"/>
        </w:rPr>
        <w:t xml:space="preserve">ВИЧ-инфекции в городе Севастополе на период до 2030 года</w:t>
      </w:r>
    </w:p>
    <w:p>
      <w:pPr>
        <w:pStyle w:val="2"/>
        <w:jc w:val="center"/>
      </w:pPr>
      <w:r>
        <w:rPr>
          <w:sz w:val="20"/>
        </w:rPr>
        <w:t xml:space="preserve">(далее - региональная программа)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Севастополя от 10.11.2022 </w:t>
            </w:r>
            <w:hyperlink w:history="0" r:id="rId970"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561-ПП</w:t>
              </w:r>
            </w:hyperlink>
            <w:r>
              <w:rPr>
                <w:sz w:val="20"/>
                <w:color w:val="392c69"/>
              </w:rPr>
              <w:t xml:space="preserve">,</w:t>
            </w:r>
          </w:p>
          <w:p>
            <w:pPr>
              <w:pStyle w:val="0"/>
              <w:jc w:val="center"/>
            </w:pPr>
            <w:r>
              <w:rPr>
                <w:sz w:val="20"/>
                <w:color w:val="392c69"/>
              </w:rPr>
              <w:t xml:space="preserve">от 02.03.2023 </w:t>
            </w:r>
            <w:hyperlink w:history="0" r:id="rId971"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N 108-ПП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2"/>
        <w:outlineLvl w:val="2"/>
        <w:jc w:val="center"/>
      </w:pPr>
      <w:r>
        <w:rPr>
          <w:sz w:val="20"/>
        </w:rPr>
        <w:t xml:space="preserve">Паспорт региональной программы</w:t>
      </w:r>
    </w:p>
    <w:p>
      <w:pPr>
        <w:pStyle w:val="0"/>
      </w:pPr>
      <w:r>
        <w:rPr>
          <w:sz w:val="20"/>
        </w:rPr>
      </w:r>
    </w:p>
    <w:p>
      <w:pPr>
        <w:pStyle w:val="0"/>
        <w:ind w:firstLine="540"/>
        <w:jc w:val="both"/>
      </w:pPr>
      <w:r>
        <w:rPr>
          <w:sz w:val="20"/>
        </w:rPr>
        <w:t xml:space="preserve">1. Ответственный исполнитель региональной программы: Департамент здравоохранения города Севастополя (далее - ДЗГС).</w:t>
      </w:r>
    </w:p>
    <w:p>
      <w:pPr>
        <w:pStyle w:val="0"/>
        <w:spacing w:before="200" w:line-rule="auto"/>
        <w:ind w:firstLine="540"/>
        <w:jc w:val="both"/>
      </w:pPr>
      <w:r>
        <w:rPr>
          <w:sz w:val="20"/>
        </w:rPr>
        <w:t xml:space="preserve">2. Соисполнители региональной программы:</w:t>
      </w:r>
    </w:p>
    <w:p>
      <w:pPr>
        <w:pStyle w:val="0"/>
        <w:spacing w:before="200" w:line-rule="auto"/>
        <w:ind w:firstLine="540"/>
        <w:jc w:val="both"/>
      </w:pPr>
      <w:r>
        <w:rPr>
          <w:sz w:val="20"/>
        </w:rPr>
        <w:t xml:space="preserve">- Департамент образования и науки города Севастополя;</w:t>
      </w:r>
    </w:p>
    <w:p>
      <w:pPr>
        <w:pStyle w:val="0"/>
        <w:spacing w:before="200" w:line-rule="auto"/>
        <w:ind w:firstLine="540"/>
        <w:jc w:val="both"/>
      </w:pPr>
      <w:r>
        <w:rPr>
          <w:sz w:val="20"/>
        </w:rPr>
        <w:t xml:space="preserve">- Департамент труда и социальной защиты населения города Севастополя;</w:t>
      </w:r>
    </w:p>
    <w:p>
      <w:pPr>
        <w:pStyle w:val="0"/>
        <w:spacing w:before="200" w:line-rule="auto"/>
        <w:ind w:firstLine="540"/>
        <w:jc w:val="both"/>
      </w:pPr>
      <w:r>
        <w:rPr>
          <w:sz w:val="20"/>
        </w:rPr>
        <w:t xml:space="preserve">- Управление по делам молодежи и спорта города Севастополя.</w:t>
      </w:r>
    </w:p>
    <w:p>
      <w:pPr>
        <w:pStyle w:val="0"/>
        <w:spacing w:before="200" w:line-rule="auto"/>
        <w:ind w:firstLine="540"/>
        <w:jc w:val="both"/>
      </w:pPr>
      <w:r>
        <w:rPr>
          <w:sz w:val="20"/>
        </w:rPr>
        <w:t xml:space="preserve">3. Участники региональной программы:</w:t>
      </w:r>
    </w:p>
    <w:p>
      <w:pPr>
        <w:pStyle w:val="0"/>
        <w:spacing w:before="200" w:line-rule="auto"/>
        <w:ind w:firstLine="540"/>
        <w:jc w:val="both"/>
      </w:pPr>
      <w:r>
        <w:rPr>
          <w:sz w:val="20"/>
        </w:rPr>
        <w:t xml:space="preserve">- государственные медицинские учреждения города Севастополя;</w:t>
      </w:r>
    </w:p>
    <w:p>
      <w:pPr>
        <w:pStyle w:val="0"/>
        <w:spacing w:before="200" w:line-rule="auto"/>
        <w:ind w:firstLine="540"/>
        <w:jc w:val="both"/>
      </w:pPr>
      <w:r>
        <w:rPr>
          <w:sz w:val="20"/>
        </w:rPr>
        <w:t xml:space="preserve">- территориальный отдел по городу федерального значения Севастополю Межрегионального управления Федеральной службы по надзору в сфере защиты прав потребителей и благополучия человека по Республике Крым и городу федерального значения Севастополю;</w:t>
      </w:r>
    </w:p>
    <w:p>
      <w:pPr>
        <w:pStyle w:val="0"/>
        <w:spacing w:before="200" w:line-rule="auto"/>
        <w:ind w:firstLine="540"/>
        <w:jc w:val="both"/>
      </w:pPr>
      <w:r>
        <w:rPr>
          <w:sz w:val="20"/>
        </w:rPr>
        <w:t xml:space="preserve">- Управление Министерства внутренних дел России по г. Севастополю;</w:t>
      </w:r>
    </w:p>
    <w:p>
      <w:pPr>
        <w:pStyle w:val="0"/>
        <w:spacing w:before="200" w:line-rule="auto"/>
        <w:ind w:firstLine="540"/>
        <w:jc w:val="both"/>
      </w:pPr>
      <w:r>
        <w:rPr>
          <w:sz w:val="20"/>
        </w:rPr>
        <w:t xml:space="preserve">- социально ориентированные некоммерческие организации (далее - СОНКО);</w:t>
      </w:r>
    </w:p>
    <w:p>
      <w:pPr>
        <w:pStyle w:val="0"/>
        <w:spacing w:before="200" w:line-rule="auto"/>
        <w:ind w:firstLine="540"/>
        <w:jc w:val="both"/>
      </w:pPr>
      <w:r>
        <w:rPr>
          <w:sz w:val="20"/>
        </w:rPr>
        <w:t xml:space="preserve">- профсоюзные организации.</w:t>
      </w:r>
    </w:p>
    <w:p>
      <w:pPr>
        <w:pStyle w:val="0"/>
        <w:spacing w:before="200" w:line-rule="auto"/>
        <w:ind w:firstLine="540"/>
        <w:jc w:val="both"/>
      </w:pPr>
      <w:r>
        <w:rPr>
          <w:sz w:val="20"/>
        </w:rPr>
        <w:t xml:space="preserve">4. Подпрограммы: без выделения подпрограмм.</w:t>
      </w:r>
    </w:p>
    <w:p>
      <w:pPr>
        <w:pStyle w:val="0"/>
        <w:spacing w:before="200" w:line-rule="auto"/>
        <w:ind w:firstLine="540"/>
        <w:jc w:val="both"/>
      </w:pPr>
      <w:r>
        <w:rPr>
          <w:sz w:val="20"/>
        </w:rPr>
        <w:t xml:space="preserve">5. Цели региональной программы:</w:t>
      </w:r>
    </w:p>
    <w:p>
      <w:pPr>
        <w:pStyle w:val="0"/>
        <w:spacing w:before="200" w:line-rule="auto"/>
        <w:ind w:firstLine="540"/>
        <w:jc w:val="both"/>
      </w:pPr>
      <w:r>
        <w:rPr>
          <w:sz w:val="20"/>
        </w:rPr>
        <w:t xml:space="preserve">реализация в городе Севастополе Государственной стратегии противодействия распространению ВИЧ-инфекции в Российской Федерации на период до 2030 года;</w:t>
      </w:r>
    </w:p>
    <w:p>
      <w:pPr>
        <w:pStyle w:val="0"/>
        <w:spacing w:before="200" w:line-rule="auto"/>
        <w:ind w:firstLine="540"/>
        <w:jc w:val="both"/>
      </w:pPr>
      <w:r>
        <w:rPr>
          <w:sz w:val="20"/>
        </w:rPr>
        <w:t xml:space="preserve">предупреждение распространения ВИЧ-инфекции на территории города Севастополя путем достижения постоянного снижения числа новых случаев ВИЧ-инфекции среди населения и снижения смертности от заболеваний, ассоциированных с ВИЧ-инфекцией и СПИДом.</w:t>
      </w:r>
    </w:p>
    <w:p>
      <w:pPr>
        <w:pStyle w:val="0"/>
        <w:spacing w:before="200" w:line-rule="auto"/>
        <w:ind w:firstLine="540"/>
        <w:jc w:val="both"/>
      </w:pPr>
      <w:r>
        <w:rPr>
          <w:sz w:val="20"/>
        </w:rPr>
        <w:t xml:space="preserve">6. Задачи региональной программы:</w:t>
      </w:r>
    </w:p>
    <w:p>
      <w:pPr>
        <w:pStyle w:val="0"/>
        <w:spacing w:before="200" w:line-rule="auto"/>
        <w:ind w:firstLine="540"/>
        <w:jc w:val="both"/>
      </w:pPr>
      <w:r>
        <w:rPr>
          <w:sz w:val="20"/>
        </w:rPr>
        <w:t xml:space="preserve">повышение информированности населения по вопросам ВИЧ-инфекции, а также формирование социальной среды, исключающей дискриминацию и стигматизацию по отношению к лицам с ВИЧ-инфекцией;</w:t>
      </w:r>
    </w:p>
    <w:p>
      <w:pPr>
        <w:pStyle w:val="0"/>
        <w:spacing w:before="200" w:line-rule="auto"/>
        <w:ind w:firstLine="540"/>
        <w:jc w:val="both"/>
      </w:pPr>
      <w:r>
        <w:rPr>
          <w:sz w:val="20"/>
        </w:rPr>
        <w:t xml:space="preserve">создание постоянно действующей системы информирования населения по вопросам ВИЧ-инфекции, разработка и внедрение межведомственных программ профилактики ВИЧ-инфекции среди ключевых и уязвимых групп населения, в том числе с привлечением к реализации общественных организаций и СОНКО;</w:t>
      </w:r>
    </w:p>
    <w:p>
      <w:pPr>
        <w:pStyle w:val="0"/>
        <w:spacing w:before="200" w:line-rule="auto"/>
        <w:ind w:firstLine="540"/>
        <w:jc w:val="both"/>
      </w:pPr>
      <w:r>
        <w:rPr>
          <w:sz w:val="20"/>
        </w:rPr>
        <w:t xml:space="preserve">повышение информированности профильных специалистов, особенно врачей первичного звена здравоохранения;</w:t>
      </w:r>
    </w:p>
    <w:p>
      <w:pPr>
        <w:pStyle w:val="0"/>
        <w:spacing w:before="200" w:line-rule="auto"/>
        <w:ind w:firstLine="540"/>
        <w:jc w:val="both"/>
      </w:pPr>
      <w:r>
        <w:rPr>
          <w:sz w:val="20"/>
        </w:rPr>
        <w:t xml:space="preserve">обеспечение охвата населения эффективным скринингом на ВИЧ-инфекцию, максимального охвата медицинским освидетельствованием на ВИЧ-инфекцию пациентов, обратившихся за медицинской помощью в медицинские учреждения города Севастополя, особенно в возрасте до 50 лет, беременных женщин, а также их половых партнеров, лиц, относящихся к особо уязвимым группам населения, в том числе с привлечением СОНКО. Внедрение современных подходов к тестированию;</w:t>
      </w:r>
    </w:p>
    <w:p>
      <w:pPr>
        <w:pStyle w:val="0"/>
        <w:spacing w:before="200" w:line-rule="auto"/>
        <w:ind w:firstLine="540"/>
        <w:jc w:val="both"/>
      </w:pPr>
      <w:r>
        <w:rPr>
          <w:sz w:val="20"/>
        </w:rPr>
        <w:t xml:space="preserve">увеличение охвата антиретровирусной терапией лиц с ВИЧ-инфекцией, бесперебойное обеспечение антиретровирусными препаратами, препаратами для лечения вирусных гепатитов B и C, оппортунистических заболеваний за счет бюджетов федерального и регионального уровней. Дальнейшее снижение рисков передачи ВИЧ от матери к ребенку;</w:t>
      </w:r>
    </w:p>
    <w:p>
      <w:pPr>
        <w:pStyle w:val="0"/>
        <w:spacing w:before="200" w:line-rule="auto"/>
        <w:ind w:firstLine="540"/>
        <w:jc w:val="both"/>
      </w:pPr>
      <w:r>
        <w:rPr>
          <w:sz w:val="20"/>
        </w:rPr>
        <w:t xml:space="preserve">предоставление социальной поддержки ВИЧ-инфицированным, обеспечение высокого качества жизни детей с ВИЧ-инфекцией. Обеспечение взаимодействия медицинских организаций и органов социальной защиты населения. Применение эффективных технологий социальной, образовательной, правовой поддержки детей с ВИЧ-инфекцией, профилактика сиротства среди детей с ВИЧ-инфекцией;</w:t>
      </w:r>
    </w:p>
    <w:p>
      <w:pPr>
        <w:pStyle w:val="0"/>
        <w:spacing w:before="200" w:line-rule="auto"/>
        <w:ind w:firstLine="540"/>
        <w:jc w:val="both"/>
      </w:pPr>
      <w:r>
        <w:rPr>
          <w:sz w:val="20"/>
        </w:rPr>
        <w:t xml:space="preserve">использование достижений науки и практики при проведении медицинской профилактики ВИЧ-инфекции и оказании медицинской помощи лицам с ВИЧ-инфекцией. Внедрение современных методов профилактики инфицирования ВИЧ, экспресс-диагностики ВИЧ-инфекции, ПЦР-диагностики (включая определение вирусной нагрузки и резистентности к противовирусным препаратам);</w:t>
      </w:r>
    </w:p>
    <w:p>
      <w:pPr>
        <w:pStyle w:val="0"/>
        <w:spacing w:before="200" w:line-rule="auto"/>
        <w:ind w:firstLine="540"/>
        <w:jc w:val="both"/>
      </w:pPr>
      <w:r>
        <w:rPr>
          <w:sz w:val="20"/>
        </w:rPr>
        <w:t xml:space="preserve">совершенствование эпидемиологического контроля и надзора за распространением ВИЧ в городе Севастополе. Проведение эпидемиологических, биоповеденческих исследований и мониторинга ВИЧ-инфекции на территории города Севастополя;</w:t>
      </w:r>
    </w:p>
    <w:p>
      <w:pPr>
        <w:pStyle w:val="0"/>
        <w:spacing w:before="200" w:line-rule="auto"/>
        <w:ind w:firstLine="540"/>
        <w:jc w:val="both"/>
      </w:pPr>
      <w:r>
        <w:rPr>
          <w:sz w:val="20"/>
        </w:rPr>
        <w:t xml:space="preserve">совершенствование организации деятельности, материально-технического и кадрового обеспечения организаций, оказывающих помощь лицам с ВИЧ-инфекцией. Применение дополнительных программ обучения врачей и среднего медицинского персонала по вопросам предупреждения передачи ВИЧ при оказании медицинской помощи, внедрение выездных (с использованием мобильных лабораторно-диагностических комплексов), стационарозамещающих форм работы и дистанционного консультирования, оснащение отделений Государственного бюджетного учреждения здравоохранения Севастополя "Городская инфекционная больница", участвующих в оказании медицинской помощи ВИЧ-инфицированным, в соответствии с порядками, утвержденными Минздравом России.</w:t>
      </w:r>
    </w:p>
    <w:p>
      <w:pPr>
        <w:pStyle w:val="0"/>
        <w:spacing w:before="200" w:line-rule="auto"/>
        <w:ind w:firstLine="540"/>
        <w:jc w:val="both"/>
      </w:pPr>
      <w:r>
        <w:rPr>
          <w:sz w:val="20"/>
        </w:rPr>
        <w:t xml:space="preserve">7. Целевые показатели (индикаторы) региональной программы:</w:t>
      </w:r>
    </w:p>
    <w:p>
      <w:pPr>
        <w:pStyle w:val="0"/>
        <w:spacing w:before="200" w:line-rule="auto"/>
        <w:ind w:firstLine="540"/>
        <w:jc w:val="both"/>
      </w:pPr>
      <w:r>
        <w:rPr>
          <w:sz w:val="20"/>
        </w:rPr>
        <w:t xml:space="preserve">охват медицинским освидетельствованием на ВИЧ-инфекцию населения города Севастополя;</w:t>
      </w:r>
    </w:p>
    <w:p>
      <w:pPr>
        <w:pStyle w:val="0"/>
        <w:spacing w:before="200" w:line-rule="auto"/>
        <w:ind w:firstLine="540"/>
        <w:jc w:val="both"/>
      </w:pPr>
      <w:r>
        <w:rPr>
          <w:sz w:val="20"/>
        </w:rPr>
        <w:t xml:space="preserve">доля лиц с ВИЧ-инфекцией, сведения о которых внесены в Федеральный регистр ВИЧ, в общем числе лиц с ВИЧ-инфекцией;</w:t>
      </w:r>
    </w:p>
    <w:p>
      <w:pPr>
        <w:pStyle w:val="0"/>
        <w:spacing w:before="200" w:line-rule="auto"/>
        <w:ind w:firstLine="540"/>
        <w:jc w:val="both"/>
      </w:pPr>
      <w:r>
        <w:rPr>
          <w:sz w:val="20"/>
        </w:rPr>
        <w:t xml:space="preserve">доля лиц с ВИЧ-инфекцией, получающих антивирусную терапию (далее - АРВТ), в общем числе лиц с ВИЧ-инфекцией, сведения о которых внесены в Федеральном регистре ВИЧ;</w:t>
      </w:r>
    </w:p>
    <w:p>
      <w:pPr>
        <w:pStyle w:val="0"/>
        <w:spacing w:before="200" w:line-rule="auto"/>
        <w:ind w:firstLine="540"/>
        <w:jc w:val="both"/>
      </w:pPr>
      <w:r>
        <w:rPr>
          <w:sz w:val="20"/>
        </w:rPr>
        <w:t xml:space="preserve">число новых случаев инфицирования ВИЧ, регистрируемых среди населения города Севастополя;</w:t>
      </w:r>
    </w:p>
    <w:p>
      <w:pPr>
        <w:pStyle w:val="0"/>
        <w:spacing w:before="200" w:line-rule="auto"/>
        <w:ind w:firstLine="540"/>
        <w:jc w:val="both"/>
      </w:pPr>
      <w:r>
        <w:rPr>
          <w:sz w:val="20"/>
        </w:rPr>
        <w:t xml:space="preserve">проведение химиопрофилактики передачи ВИЧ-инфекции от матери к ребенку во время беременности/родов/новорожденному.</w:t>
      </w:r>
    </w:p>
    <w:p>
      <w:pPr>
        <w:pStyle w:val="0"/>
        <w:spacing w:before="200" w:line-rule="auto"/>
        <w:ind w:firstLine="540"/>
        <w:jc w:val="both"/>
      </w:pPr>
      <w:r>
        <w:rPr>
          <w:sz w:val="20"/>
        </w:rPr>
        <w:t xml:space="preserve">8. Этапы и сроки реализации региональной программы: с 2021 по 2030 годы без выделения этапов реализации региональной программы.</w:t>
      </w:r>
    </w:p>
    <w:p>
      <w:pPr>
        <w:pStyle w:val="0"/>
        <w:spacing w:before="200" w:line-rule="auto"/>
        <w:ind w:firstLine="540"/>
        <w:jc w:val="both"/>
      </w:pPr>
      <w:r>
        <w:rPr>
          <w:sz w:val="20"/>
        </w:rPr>
        <w:t xml:space="preserve">9. Объемы финансирования Программы, всего, по годам и по источникам финансирования: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04"/>
        <w:gridCol w:w="1587"/>
        <w:gridCol w:w="1247"/>
        <w:gridCol w:w="2098"/>
        <w:gridCol w:w="1361"/>
        <w:gridCol w:w="1474"/>
      </w:tblGrid>
      <w:tr>
        <w:tc>
          <w:tcPr>
            <w:tcW w:w="1304" w:type="dxa"/>
          </w:tcPr>
          <w:p>
            <w:pPr>
              <w:pStyle w:val="0"/>
              <w:jc w:val="center"/>
            </w:pPr>
            <w:r>
              <w:rPr>
                <w:sz w:val="20"/>
              </w:rPr>
              <w:t xml:space="preserve">Годы</w:t>
            </w:r>
          </w:p>
        </w:tc>
        <w:tc>
          <w:tcPr>
            <w:tcW w:w="1587" w:type="dxa"/>
          </w:tcPr>
          <w:p>
            <w:pPr>
              <w:pStyle w:val="0"/>
              <w:jc w:val="center"/>
            </w:pPr>
            <w:r>
              <w:rPr>
                <w:sz w:val="20"/>
              </w:rPr>
              <w:t xml:space="preserve">Федеральный бюджет, тыс. руб.</w:t>
            </w:r>
          </w:p>
        </w:tc>
        <w:tc>
          <w:tcPr>
            <w:tcW w:w="1247" w:type="dxa"/>
          </w:tcPr>
          <w:p>
            <w:pPr>
              <w:pStyle w:val="0"/>
              <w:jc w:val="center"/>
            </w:pPr>
            <w:r>
              <w:rPr>
                <w:sz w:val="20"/>
              </w:rPr>
              <w:t xml:space="preserve">Бюджет города Севастополя, тыс. руб.</w:t>
            </w:r>
          </w:p>
        </w:tc>
        <w:tc>
          <w:tcPr>
            <w:tcW w:w="2098" w:type="dxa"/>
          </w:tcPr>
          <w:p>
            <w:pPr>
              <w:pStyle w:val="0"/>
              <w:jc w:val="center"/>
            </w:pPr>
            <w:r>
              <w:rPr>
                <w:sz w:val="20"/>
              </w:rPr>
              <w:t xml:space="preserve">Бюджеты других субъектов Российской Федерации (с указанием наименования субъекта), тыс. руб.</w:t>
            </w:r>
          </w:p>
        </w:tc>
        <w:tc>
          <w:tcPr>
            <w:tcW w:w="1361" w:type="dxa"/>
          </w:tcPr>
          <w:p>
            <w:pPr>
              <w:pStyle w:val="0"/>
              <w:jc w:val="center"/>
            </w:pPr>
            <w:r>
              <w:rPr>
                <w:sz w:val="20"/>
              </w:rPr>
              <w:t xml:space="preserve">Внебюджетные средства, тыс. руб.</w:t>
            </w:r>
          </w:p>
        </w:tc>
        <w:tc>
          <w:tcPr>
            <w:tcW w:w="1474" w:type="dxa"/>
          </w:tcPr>
          <w:p>
            <w:pPr>
              <w:pStyle w:val="0"/>
              <w:jc w:val="center"/>
            </w:pPr>
            <w:r>
              <w:rPr>
                <w:sz w:val="20"/>
              </w:rPr>
              <w:t xml:space="preserve">ИТОГО, тыс. руб.</w:t>
            </w:r>
          </w:p>
        </w:tc>
      </w:tr>
      <w:tr>
        <w:tc>
          <w:tcPr>
            <w:tcW w:w="1304" w:type="dxa"/>
          </w:tcPr>
          <w:p>
            <w:pPr>
              <w:pStyle w:val="0"/>
              <w:jc w:val="both"/>
            </w:pPr>
            <w:r>
              <w:rPr>
                <w:sz w:val="20"/>
              </w:rPr>
              <w:t xml:space="preserve">2021</w:t>
            </w:r>
          </w:p>
        </w:tc>
        <w:tc>
          <w:tcPr>
            <w:tcW w:w="1587" w:type="dxa"/>
          </w:tcPr>
          <w:p>
            <w:pPr>
              <w:pStyle w:val="0"/>
              <w:jc w:val="center"/>
            </w:pPr>
            <w:r>
              <w:rPr>
                <w:sz w:val="20"/>
              </w:rPr>
              <w:t xml:space="preserve">7048,0</w:t>
            </w:r>
          </w:p>
        </w:tc>
        <w:tc>
          <w:tcPr>
            <w:tcW w:w="1247" w:type="dxa"/>
          </w:tcPr>
          <w:p>
            <w:pPr>
              <w:pStyle w:val="0"/>
              <w:jc w:val="center"/>
            </w:pPr>
            <w:r>
              <w:rPr>
                <w:sz w:val="20"/>
              </w:rPr>
              <w:t xml:space="preserve">371,0</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7419,0</w:t>
            </w:r>
          </w:p>
        </w:tc>
      </w:tr>
      <w:tr>
        <w:tc>
          <w:tcPr>
            <w:tcW w:w="1304" w:type="dxa"/>
          </w:tcPr>
          <w:p>
            <w:pPr>
              <w:pStyle w:val="0"/>
              <w:jc w:val="both"/>
            </w:pPr>
            <w:r>
              <w:rPr>
                <w:sz w:val="20"/>
              </w:rPr>
              <w:t xml:space="preserve">2022</w:t>
            </w:r>
          </w:p>
        </w:tc>
        <w:tc>
          <w:tcPr>
            <w:tcW w:w="1587" w:type="dxa"/>
          </w:tcPr>
          <w:p>
            <w:pPr>
              <w:pStyle w:val="0"/>
              <w:jc w:val="center"/>
            </w:pPr>
            <w:r>
              <w:rPr>
                <w:sz w:val="20"/>
              </w:rPr>
              <w:t xml:space="preserve">4530,3</w:t>
            </w:r>
          </w:p>
        </w:tc>
        <w:tc>
          <w:tcPr>
            <w:tcW w:w="1247" w:type="dxa"/>
          </w:tcPr>
          <w:p>
            <w:pPr>
              <w:pStyle w:val="0"/>
              <w:jc w:val="center"/>
            </w:pPr>
            <w:r>
              <w:rPr>
                <w:sz w:val="20"/>
              </w:rPr>
              <w:t xml:space="preserve">238,4</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4768,7</w:t>
            </w:r>
          </w:p>
        </w:tc>
      </w:tr>
      <w:tr>
        <w:tc>
          <w:tcPr>
            <w:tcW w:w="1304" w:type="dxa"/>
          </w:tcPr>
          <w:p>
            <w:pPr>
              <w:pStyle w:val="0"/>
              <w:jc w:val="both"/>
            </w:pPr>
            <w:r>
              <w:rPr>
                <w:sz w:val="20"/>
              </w:rPr>
              <w:t xml:space="preserve">2023</w:t>
            </w:r>
          </w:p>
        </w:tc>
        <w:tc>
          <w:tcPr>
            <w:tcW w:w="1587" w:type="dxa"/>
          </w:tcPr>
          <w:p>
            <w:pPr>
              <w:pStyle w:val="0"/>
              <w:jc w:val="center"/>
            </w:pPr>
            <w:r>
              <w:rPr>
                <w:sz w:val="20"/>
              </w:rPr>
              <w:t xml:space="preserve">5290,5</w:t>
            </w:r>
          </w:p>
        </w:tc>
        <w:tc>
          <w:tcPr>
            <w:tcW w:w="1247" w:type="dxa"/>
          </w:tcPr>
          <w:p>
            <w:pPr>
              <w:pStyle w:val="0"/>
              <w:jc w:val="center"/>
            </w:pPr>
            <w:r>
              <w:rPr>
                <w:sz w:val="20"/>
              </w:rPr>
              <w:t xml:space="preserve">278,4</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5568,9</w:t>
            </w:r>
          </w:p>
        </w:tc>
      </w:tr>
      <w:tr>
        <w:tc>
          <w:tcPr>
            <w:tcW w:w="1304" w:type="dxa"/>
          </w:tcPr>
          <w:p>
            <w:pPr>
              <w:pStyle w:val="0"/>
              <w:jc w:val="both"/>
            </w:pPr>
            <w:r>
              <w:rPr>
                <w:sz w:val="20"/>
              </w:rPr>
              <w:t xml:space="preserve">2024</w:t>
            </w:r>
          </w:p>
        </w:tc>
        <w:tc>
          <w:tcPr>
            <w:tcW w:w="1587" w:type="dxa"/>
          </w:tcPr>
          <w:p>
            <w:pPr>
              <w:pStyle w:val="0"/>
              <w:jc w:val="center"/>
            </w:pPr>
            <w:r>
              <w:rPr>
                <w:sz w:val="20"/>
              </w:rPr>
              <w:t xml:space="preserve">5290,5</w:t>
            </w:r>
          </w:p>
        </w:tc>
        <w:tc>
          <w:tcPr>
            <w:tcW w:w="1247" w:type="dxa"/>
          </w:tcPr>
          <w:p>
            <w:pPr>
              <w:pStyle w:val="0"/>
              <w:jc w:val="center"/>
            </w:pPr>
            <w:r>
              <w:rPr>
                <w:sz w:val="20"/>
              </w:rPr>
              <w:t xml:space="preserve">278,4</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5568,9</w:t>
            </w:r>
          </w:p>
        </w:tc>
      </w:tr>
      <w:tr>
        <w:tc>
          <w:tcPr>
            <w:tcW w:w="1304" w:type="dxa"/>
          </w:tcPr>
          <w:p>
            <w:pPr>
              <w:pStyle w:val="0"/>
              <w:jc w:val="both"/>
            </w:pPr>
            <w:r>
              <w:rPr>
                <w:sz w:val="20"/>
              </w:rPr>
              <w:t xml:space="preserve">2025</w:t>
            </w:r>
          </w:p>
        </w:tc>
        <w:tc>
          <w:tcPr>
            <w:tcW w:w="1587" w:type="dxa"/>
          </w:tcPr>
          <w:p>
            <w:pPr>
              <w:pStyle w:val="0"/>
              <w:jc w:val="center"/>
            </w:pPr>
            <w:r>
              <w:rPr>
                <w:sz w:val="20"/>
              </w:rPr>
              <w:t xml:space="preserve">5203,9</w:t>
            </w:r>
          </w:p>
        </w:tc>
        <w:tc>
          <w:tcPr>
            <w:tcW w:w="1247" w:type="dxa"/>
          </w:tcPr>
          <w:p>
            <w:pPr>
              <w:pStyle w:val="0"/>
              <w:jc w:val="center"/>
            </w:pPr>
            <w:r>
              <w:rPr>
                <w:sz w:val="20"/>
              </w:rPr>
              <w:t xml:space="preserve">391,7</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5595,6</w:t>
            </w:r>
          </w:p>
        </w:tc>
      </w:tr>
      <w:tr>
        <w:tc>
          <w:tcPr>
            <w:tcW w:w="1304" w:type="dxa"/>
          </w:tcPr>
          <w:p>
            <w:pPr>
              <w:pStyle w:val="0"/>
              <w:jc w:val="both"/>
            </w:pPr>
            <w:r>
              <w:rPr>
                <w:sz w:val="20"/>
              </w:rPr>
              <w:t xml:space="preserve">2026</w:t>
            </w:r>
          </w:p>
        </w:tc>
        <w:tc>
          <w:tcPr>
            <w:tcW w:w="1587" w:type="dxa"/>
          </w:tcPr>
          <w:p>
            <w:pPr>
              <w:pStyle w:val="0"/>
              <w:jc w:val="center"/>
            </w:pPr>
            <w:r>
              <w:rPr>
                <w:sz w:val="20"/>
              </w:rPr>
              <w:t xml:space="preserve">5375,7</w:t>
            </w:r>
          </w:p>
        </w:tc>
        <w:tc>
          <w:tcPr>
            <w:tcW w:w="1247" w:type="dxa"/>
          </w:tcPr>
          <w:p>
            <w:pPr>
              <w:pStyle w:val="0"/>
              <w:jc w:val="center"/>
            </w:pPr>
            <w:r>
              <w:rPr>
                <w:sz w:val="20"/>
              </w:rPr>
              <w:t xml:space="preserve">404,7</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5780,4</w:t>
            </w:r>
          </w:p>
        </w:tc>
      </w:tr>
      <w:tr>
        <w:tc>
          <w:tcPr>
            <w:tcW w:w="1304" w:type="dxa"/>
          </w:tcPr>
          <w:p>
            <w:pPr>
              <w:pStyle w:val="0"/>
              <w:jc w:val="both"/>
            </w:pPr>
            <w:r>
              <w:rPr>
                <w:sz w:val="20"/>
              </w:rPr>
              <w:t xml:space="preserve">2027</w:t>
            </w:r>
          </w:p>
        </w:tc>
        <w:tc>
          <w:tcPr>
            <w:tcW w:w="1587" w:type="dxa"/>
          </w:tcPr>
          <w:p>
            <w:pPr>
              <w:pStyle w:val="0"/>
              <w:jc w:val="center"/>
            </w:pPr>
            <w:r>
              <w:rPr>
                <w:sz w:val="20"/>
              </w:rPr>
              <w:t xml:space="preserve">5542,7</w:t>
            </w:r>
          </w:p>
        </w:tc>
        <w:tc>
          <w:tcPr>
            <w:tcW w:w="1247" w:type="dxa"/>
          </w:tcPr>
          <w:p>
            <w:pPr>
              <w:pStyle w:val="0"/>
              <w:jc w:val="center"/>
            </w:pPr>
            <w:r>
              <w:rPr>
                <w:sz w:val="20"/>
              </w:rPr>
              <w:t xml:space="preserve">417,2</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5959,6</w:t>
            </w:r>
          </w:p>
        </w:tc>
      </w:tr>
      <w:tr>
        <w:tc>
          <w:tcPr>
            <w:tcW w:w="1304" w:type="dxa"/>
          </w:tcPr>
          <w:p>
            <w:pPr>
              <w:pStyle w:val="0"/>
              <w:jc w:val="both"/>
            </w:pPr>
            <w:r>
              <w:rPr>
                <w:sz w:val="20"/>
              </w:rPr>
              <w:t xml:space="preserve">2028</w:t>
            </w:r>
          </w:p>
        </w:tc>
        <w:tc>
          <w:tcPr>
            <w:tcW w:w="1587" w:type="dxa"/>
          </w:tcPr>
          <w:p>
            <w:pPr>
              <w:pStyle w:val="0"/>
              <w:jc w:val="center"/>
            </w:pPr>
            <w:r>
              <w:rPr>
                <w:sz w:val="20"/>
              </w:rPr>
              <w:t xml:space="preserve">5703,1</w:t>
            </w:r>
          </w:p>
        </w:tc>
        <w:tc>
          <w:tcPr>
            <w:tcW w:w="1247" w:type="dxa"/>
          </w:tcPr>
          <w:p>
            <w:pPr>
              <w:pStyle w:val="0"/>
              <w:jc w:val="center"/>
            </w:pPr>
            <w:r>
              <w:rPr>
                <w:sz w:val="20"/>
              </w:rPr>
              <w:t xml:space="preserve">429,3</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6132,4</w:t>
            </w:r>
          </w:p>
        </w:tc>
      </w:tr>
      <w:tr>
        <w:tc>
          <w:tcPr>
            <w:tcW w:w="1304" w:type="dxa"/>
          </w:tcPr>
          <w:p>
            <w:pPr>
              <w:pStyle w:val="0"/>
              <w:jc w:val="both"/>
            </w:pPr>
            <w:r>
              <w:rPr>
                <w:sz w:val="20"/>
              </w:rPr>
              <w:t xml:space="preserve">2029</w:t>
            </w:r>
          </w:p>
        </w:tc>
        <w:tc>
          <w:tcPr>
            <w:tcW w:w="1587" w:type="dxa"/>
          </w:tcPr>
          <w:p>
            <w:pPr>
              <w:pStyle w:val="0"/>
              <w:jc w:val="center"/>
            </w:pPr>
            <w:r>
              <w:rPr>
                <w:sz w:val="20"/>
              </w:rPr>
              <w:t xml:space="preserve">5862,7</w:t>
            </w:r>
          </w:p>
        </w:tc>
        <w:tc>
          <w:tcPr>
            <w:tcW w:w="1247" w:type="dxa"/>
          </w:tcPr>
          <w:p>
            <w:pPr>
              <w:pStyle w:val="0"/>
              <w:jc w:val="center"/>
            </w:pPr>
            <w:r>
              <w:rPr>
                <w:sz w:val="20"/>
              </w:rPr>
              <w:t xml:space="preserve">441,3</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6304,0</w:t>
            </w:r>
          </w:p>
        </w:tc>
      </w:tr>
      <w:tr>
        <w:tc>
          <w:tcPr>
            <w:tcW w:w="1304" w:type="dxa"/>
          </w:tcPr>
          <w:p>
            <w:pPr>
              <w:pStyle w:val="0"/>
              <w:jc w:val="both"/>
            </w:pPr>
            <w:r>
              <w:rPr>
                <w:sz w:val="20"/>
              </w:rPr>
              <w:t xml:space="preserve">2030</w:t>
            </w:r>
          </w:p>
        </w:tc>
        <w:tc>
          <w:tcPr>
            <w:tcW w:w="1587" w:type="dxa"/>
          </w:tcPr>
          <w:p>
            <w:pPr>
              <w:pStyle w:val="0"/>
              <w:jc w:val="center"/>
            </w:pPr>
            <w:r>
              <w:rPr>
                <w:sz w:val="20"/>
              </w:rPr>
              <w:t xml:space="preserve">6026,8</w:t>
            </w:r>
          </w:p>
        </w:tc>
        <w:tc>
          <w:tcPr>
            <w:tcW w:w="1247" w:type="dxa"/>
          </w:tcPr>
          <w:p>
            <w:pPr>
              <w:pStyle w:val="0"/>
              <w:jc w:val="center"/>
            </w:pPr>
            <w:r>
              <w:rPr>
                <w:sz w:val="20"/>
              </w:rPr>
              <w:t xml:space="preserve">453,7</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6480,5</w:t>
            </w:r>
          </w:p>
        </w:tc>
      </w:tr>
      <w:tr>
        <w:tc>
          <w:tcPr>
            <w:tcW w:w="1304" w:type="dxa"/>
          </w:tcPr>
          <w:p>
            <w:pPr>
              <w:pStyle w:val="0"/>
              <w:jc w:val="both"/>
            </w:pPr>
            <w:r>
              <w:rPr>
                <w:sz w:val="20"/>
              </w:rPr>
              <w:t xml:space="preserve">Всего</w:t>
            </w:r>
          </w:p>
        </w:tc>
        <w:tc>
          <w:tcPr>
            <w:tcW w:w="1587" w:type="dxa"/>
          </w:tcPr>
          <w:p>
            <w:pPr>
              <w:pStyle w:val="0"/>
              <w:jc w:val="center"/>
            </w:pPr>
            <w:r>
              <w:rPr>
                <w:sz w:val="20"/>
              </w:rPr>
              <w:t xml:space="preserve">55873,9</w:t>
            </w:r>
          </w:p>
        </w:tc>
        <w:tc>
          <w:tcPr>
            <w:tcW w:w="1247" w:type="dxa"/>
          </w:tcPr>
          <w:p>
            <w:pPr>
              <w:pStyle w:val="0"/>
              <w:jc w:val="center"/>
            </w:pPr>
            <w:r>
              <w:rPr>
                <w:sz w:val="20"/>
              </w:rPr>
              <w:t xml:space="preserve">3704,1</w:t>
            </w:r>
          </w:p>
        </w:tc>
        <w:tc>
          <w:tcPr>
            <w:tcW w:w="2098" w:type="dxa"/>
          </w:tcPr>
          <w:p>
            <w:pPr>
              <w:pStyle w:val="0"/>
              <w:jc w:val="center"/>
            </w:pPr>
            <w:r>
              <w:rPr>
                <w:sz w:val="20"/>
              </w:rPr>
              <w:t xml:space="preserve">0,0</w:t>
            </w:r>
          </w:p>
        </w:tc>
        <w:tc>
          <w:tcPr>
            <w:tcW w:w="1361" w:type="dxa"/>
          </w:tcPr>
          <w:p>
            <w:pPr>
              <w:pStyle w:val="0"/>
              <w:jc w:val="center"/>
            </w:pPr>
            <w:r>
              <w:rPr>
                <w:sz w:val="20"/>
              </w:rPr>
              <w:t xml:space="preserve">0,0</w:t>
            </w:r>
          </w:p>
        </w:tc>
        <w:tc>
          <w:tcPr>
            <w:tcW w:w="1474" w:type="dxa"/>
          </w:tcPr>
          <w:p>
            <w:pPr>
              <w:pStyle w:val="0"/>
              <w:jc w:val="center"/>
            </w:pPr>
            <w:r>
              <w:rPr>
                <w:sz w:val="20"/>
              </w:rPr>
              <w:t xml:space="preserve">59578,0</w:t>
            </w:r>
          </w:p>
        </w:tc>
      </w:tr>
    </w:tbl>
    <w:p>
      <w:pPr>
        <w:pStyle w:val="0"/>
        <w:jc w:val="both"/>
      </w:pPr>
      <w:r>
        <w:rPr>
          <w:sz w:val="20"/>
        </w:rPr>
        <w:t xml:space="preserve">(п. 9 в ред. </w:t>
      </w:r>
      <w:hyperlink w:history="0" r:id="rId972"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02.03.2023 N 108-ПП)</w:t>
      </w:r>
    </w:p>
    <w:p>
      <w:pPr>
        <w:pStyle w:val="0"/>
      </w:pPr>
      <w:r>
        <w:rPr>
          <w:sz w:val="20"/>
        </w:rPr>
      </w:r>
    </w:p>
    <w:p>
      <w:pPr>
        <w:pStyle w:val="0"/>
        <w:ind w:firstLine="540"/>
        <w:jc w:val="both"/>
      </w:pPr>
      <w:r>
        <w:rPr>
          <w:sz w:val="20"/>
        </w:rPr>
        <w:t xml:space="preserve">10. Ожидаемые результаты реализации региональной программы:</w:t>
      </w:r>
    </w:p>
    <w:p>
      <w:pPr>
        <w:pStyle w:val="0"/>
        <w:spacing w:before="200" w:line-rule="auto"/>
        <w:ind w:firstLine="540"/>
        <w:jc w:val="both"/>
      </w:pPr>
      <w:r>
        <w:rPr>
          <w:sz w:val="20"/>
        </w:rPr>
        <w:t xml:space="preserve">- уровень информированности населения по вопросам профилактики ВИЧ к 2030 году - 95%;</w:t>
      </w:r>
    </w:p>
    <w:p>
      <w:pPr>
        <w:pStyle w:val="0"/>
        <w:spacing w:before="200" w:line-rule="auto"/>
        <w:ind w:firstLine="540"/>
        <w:jc w:val="both"/>
      </w:pPr>
      <w:r>
        <w:rPr>
          <w:sz w:val="20"/>
        </w:rPr>
        <w:t xml:space="preserve">- охват медицинским освидетельствованием на ВИЧ-инфекцию населения города Севастополя к 2030 году - 39%;</w:t>
      </w:r>
    </w:p>
    <w:p>
      <w:pPr>
        <w:pStyle w:val="0"/>
        <w:spacing w:before="200" w:line-rule="auto"/>
        <w:ind w:firstLine="540"/>
        <w:jc w:val="both"/>
      </w:pPr>
      <w:r>
        <w:rPr>
          <w:sz w:val="20"/>
        </w:rPr>
        <w:t xml:space="preserve">- доля лиц с ВИЧ-инфекцией, сведения о которых внесены в Федеральный регистр ВИЧ, в общем числе лиц с ВИЧ-инфекцией к 2030 году - 95%;</w:t>
      </w:r>
    </w:p>
    <w:p>
      <w:pPr>
        <w:pStyle w:val="0"/>
        <w:spacing w:before="200" w:line-rule="auto"/>
        <w:ind w:firstLine="540"/>
        <w:jc w:val="both"/>
      </w:pPr>
      <w:r>
        <w:rPr>
          <w:sz w:val="20"/>
        </w:rPr>
        <w:t xml:space="preserve">- доля лиц с ВИЧ-инфекцией, получающих АРВТ, в общем числе лиц с ВИЧ-инфекцией, сведения о которых внесены в Федеральный регистр ВИЧ, к 2030 году - 95%;</w:t>
      </w:r>
    </w:p>
    <w:p>
      <w:pPr>
        <w:pStyle w:val="0"/>
        <w:spacing w:before="200" w:line-rule="auto"/>
        <w:ind w:firstLine="540"/>
        <w:jc w:val="both"/>
      </w:pPr>
      <w:r>
        <w:rPr>
          <w:sz w:val="20"/>
        </w:rPr>
        <w:t xml:space="preserve">- число новых случаев инфицирования ВИЧ, регистрируемых среди населения города Севастополя, к 2030 году - менее 150;</w:t>
      </w:r>
    </w:p>
    <w:p>
      <w:pPr>
        <w:pStyle w:val="0"/>
        <w:spacing w:before="200" w:line-rule="auto"/>
        <w:ind w:firstLine="540"/>
        <w:jc w:val="both"/>
      </w:pPr>
      <w:r>
        <w:rPr>
          <w:sz w:val="20"/>
        </w:rPr>
        <w:t xml:space="preserve">- снижение риска передачи ВИЧ-инфекции от матери к ребенку - менее 1%.</w:t>
      </w:r>
    </w:p>
    <w:p>
      <w:pPr>
        <w:pStyle w:val="0"/>
      </w:pPr>
      <w:r>
        <w:rPr>
          <w:sz w:val="20"/>
        </w:rPr>
      </w:r>
    </w:p>
    <w:p>
      <w:pPr>
        <w:pStyle w:val="2"/>
        <w:outlineLvl w:val="2"/>
        <w:jc w:val="center"/>
      </w:pPr>
      <w:r>
        <w:rPr>
          <w:sz w:val="20"/>
        </w:rPr>
        <w:t xml:space="preserve">Общие положения</w:t>
      </w:r>
    </w:p>
    <w:p>
      <w:pPr>
        <w:pStyle w:val="0"/>
        <w:jc w:val="center"/>
      </w:pPr>
      <w:r>
        <w:rPr>
          <w:sz w:val="20"/>
        </w:rPr>
      </w:r>
    </w:p>
    <w:p>
      <w:pPr>
        <w:pStyle w:val="0"/>
        <w:ind w:firstLine="540"/>
        <w:jc w:val="both"/>
      </w:pPr>
      <w:r>
        <w:rPr>
          <w:sz w:val="20"/>
        </w:rPr>
        <w:t xml:space="preserve">По данным Всемирной организации здравоохранения, ВИЧ-инфекция остается одной из основных проблем глобального общественного здравоохранения: на сегодняшний день она унесла более 33 миллионов человеческих жизней в мире. В 2019 году от причин, связанных с ВИЧ, во всем мире умерло 690000 человек. На конец 2019 года насчитывалось примерно 38 миллионов человек, живущих с ВИЧ-инфекцией, а число новых случаев инфицирования ВИЧ в 2019 году достигло 1,7 миллиона.</w:t>
      </w:r>
    </w:p>
    <w:p>
      <w:pPr>
        <w:pStyle w:val="0"/>
        <w:spacing w:before="200" w:line-rule="auto"/>
        <w:ind w:firstLine="540"/>
        <w:jc w:val="both"/>
      </w:pPr>
      <w:r>
        <w:rPr>
          <w:sz w:val="20"/>
        </w:rPr>
        <w:t xml:space="preserve">ВИЧ-инфекция - одна из наиболее серьезных проблем и для отечественного здравоохранения. В </w:t>
      </w:r>
      <w:hyperlink w:history="0" r:id="rId973"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постановлении</w:t>
        </w:r>
      </w:hyperlink>
      <w:r>
        <w:rPr>
          <w:sz w:val="20"/>
        </w:rPr>
        <w:t xml:space="preserve"> Правительства Российской Федерации от 01.12.2004 N 715 "Об утверждении перечня социально значимых заболеваний и перечня заболеваний, представляющих опасность для окружающих" ВИЧ-инфекция, гепатиты B и C признаются социально значимыми заболеваниями и вносятся в </w:t>
      </w:r>
      <w:hyperlink w:history="0" r:id="rId974"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перечень</w:t>
        </w:r>
      </w:hyperlink>
      <w:r>
        <w:rPr>
          <w:sz w:val="20"/>
        </w:rPr>
        <w:t xml:space="preserve"> заболеваний, представляющих опасность для окружающих.</w:t>
      </w:r>
    </w:p>
    <w:p>
      <w:pPr>
        <w:pStyle w:val="0"/>
        <w:spacing w:before="200" w:line-rule="auto"/>
        <w:ind w:firstLine="540"/>
        <w:jc w:val="both"/>
      </w:pPr>
      <w:r>
        <w:rPr>
          <w:sz w:val="20"/>
        </w:rPr>
        <w:t xml:space="preserve">Распоряжением Правительства Российской Федерации от 21.12.2020 N 3468-р (далее - Распоряжение) утверждена Государственная </w:t>
      </w:r>
      <w:hyperlink w:history="0" r:id="rId975" w:tooltip="Распоряжение Правительства РФ от 21.12.2020 N 3468-р &lt;Об утверждении Государственной стратегии противодействия распространению ВИЧ-инфекции в Российской Федерации на период до 2030 года&gt; {КонсультантПлюс}">
        <w:r>
          <w:rPr>
            <w:sz w:val="20"/>
            <w:color w:val="0000ff"/>
          </w:rPr>
          <w:t xml:space="preserve">стратегия</w:t>
        </w:r>
      </w:hyperlink>
      <w:r>
        <w:rPr>
          <w:sz w:val="20"/>
        </w:rPr>
        <w:t xml:space="preserve"> противодействия распространению ВИЧ-инфекции в Российской Федерации на период до 2030 года (далее - Стратегия). Стратегия является документом стратегического планирования, определяет цели, задачи и основные направления государственной политики по предупреждению распространения хронического заболевания, вызываемого ВИЧ-инфекцией. Распоряжением рекомендовано органам государственной власти субъектов Российской Федерации утвердить региональные программы противодействия распространению ВИЧ-инфекции на период до 2030 года.</w:t>
      </w:r>
    </w:p>
    <w:p>
      <w:pPr>
        <w:pStyle w:val="0"/>
        <w:spacing w:before="200" w:line-rule="auto"/>
        <w:ind w:firstLine="540"/>
        <w:jc w:val="both"/>
      </w:pPr>
      <w:r>
        <w:rPr>
          <w:sz w:val="20"/>
        </w:rPr>
        <w:t xml:space="preserve">В соответствии с данными федерального государственного статистического наблюдения за 2017 - 2019 годы отмечено стойкое снижение числа новых случаев ВИЧ-инфекции. Число впервые выявленных лиц с ВИЧ-инфекцией снизилось с 85,8 тыс. человек в 2017 году до 80,1 тыс. человек в 2019 году. Среди лиц с ВИЧ-инфекцией, у которых этот диагноз установлен в 2019 году, мужчины составили около 60%, а на возрастной период от 25 до 45 лет пришлось более 80% от общего числа случаев. Ежегодно отмечается рост числа лиц, обследованных на ВИЧ-инфекцию (в 2019 году прошли тестирование в Российской Федерации 28,5% населения). В 2019 году ВИЧ-инфекция была подтверждена только у 1,2% детей, рожденных от матерей с ВИЧ-инфекцией.</w:t>
      </w:r>
    </w:p>
    <w:p>
      <w:pPr>
        <w:pStyle w:val="0"/>
        <w:spacing w:before="200" w:line-rule="auto"/>
        <w:ind w:firstLine="540"/>
        <w:jc w:val="both"/>
      </w:pPr>
      <w:r>
        <w:rPr>
          <w:sz w:val="20"/>
        </w:rPr>
        <w:t xml:space="preserve">По предварительным данным Федеральной службы по надзору в сфере защиты прав потребителей и благополучия человека (далее - Роспотребнадзор), общее число зарегистрированных ВИЧ-инфицированных в Российской Федерации за все годы наблюдения на 31.12.2020 составило 1492998 человек, в том числе: 1104768 россиян, живущих с ВИЧ-инфекцией, и 388230 умерших. Показатель пораженности ВИЧ-инфекцией составил 752,8 на 100 тыс. населения Российской Федерации, а показатель заболеваемости - 49,1 на 100 тыс. населения Российской Федерации.</w:t>
      </w:r>
    </w:p>
    <w:p>
      <w:pPr>
        <w:pStyle w:val="0"/>
        <w:spacing w:before="200" w:line-rule="auto"/>
        <w:ind w:firstLine="540"/>
        <w:jc w:val="both"/>
      </w:pPr>
      <w:r>
        <w:rPr>
          <w:sz w:val="20"/>
        </w:rPr>
        <w:t xml:space="preserve">По уровню заболеваемости город Севастополь в 2020 году вошел в число 25 лидирующих по данному показателю регионов Российской Федерации, несмотря на снижение темпов прироста заболеваемости по сравнению с предыдущим периодом. В 2020 году было зарегистрировано 204 новых случая заболевания (показатель заболеваемости на 100 тыс. населения - 45,4), в 2019 году - 226 новых случаев (показатель заболеваемости на 100 тыс. населения - 51,0). Половой путь инфицирования среди новых случаев заболевания составил 60,8% (в 2019 году - 55,8%).</w:t>
      </w:r>
    </w:p>
    <w:p>
      <w:pPr>
        <w:pStyle w:val="0"/>
        <w:spacing w:before="200" w:line-rule="auto"/>
        <w:ind w:firstLine="540"/>
        <w:jc w:val="both"/>
      </w:pPr>
      <w:r>
        <w:rPr>
          <w:sz w:val="20"/>
        </w:rPr>
        <w:t xml:space="preserve">Наибольшая распространенность ВИЧ-инфекции отмечается в возрастной группе 35 - 54 года - 59,8%.</w:t>
      </w:r>
    </w:p>
    <w:p>
      <w:pPr>
        <w:pStyle w:val="0"/>
        <w:spacing w:before="200" w:line-rule="auto"/>
        <w:ind w:firstLine="540"/>
        <w:jc w:val="both"/>
      </w:pPr>
      <w:r>
        <w:rPr>
          <w:sz w:val="20"/>
        </w:rPr>
        <w:t xml:space="preserve">Пораженность ВИЧ-инфекцией среди общей популяции на 31 декабря 2020 г. составила 546,8 на 100 тыс. населения; на 31.12.2020 - 529,1 на 100 тыс. населения.</w:t>
      </w:r>
    </w:p>
    <w:p>
      <w:pPr>
        <w:pStyle w:val="0"/>
        <w:spacing w:before="200" w:line-rule="auto"/>
        <w:ind w:firstLine="540"/>
        <w:jc w:val="both"/>
      </w:pPr>
      <w:r>
        <w:rPr>
          <w:sz w:val="20"/>
        </w:rPr>
        <w:t xml:space="preserve">Среди всех причин смерти в городе Севастополе инфекционные заболевания в 2020 году составили 1,99%. Доля умерших от ВИЧ-инфекции - 76,6%. Показатель смертности от ВИЧ-инфекции на 100 тыс. населения - 21,2, что на 9,2% выше (на 8 случаев больше), чем в 2019 году (19,66, или 87 смертей).</w:t>
      </w:r>
    </w:p>
    <w:p>
      <w:pPr>
        <w:pStyle w:val="0"/>
        <w:spacing w:before="200" w:line-rule="auto"/>
        <w:ind w:firstLine="540"/>
        <w:jc w:val="both"/>
      </w:pPr>
      <w:r>
        <w:rPr>
          <w:sz w:val="20"/>
        </w:rPr>
        <w:t xml:space="preserve">Доля умерших в трудоспособном возрасте от ВИЧ - 97,9% (93 случая).</w:t>
      </w:r>
    </w:p>
    <w:p>
      <w:pPr>
        <w:pStyle w:val="0"/>
        <w:spacing w:before="200" w:line-rule="auto"/>
        <w:ind w:firstLine="540"/>
        <w:jc w:val="both"/>
      </w:pPr>
      <w:r>
        <w:rPr>
          <w:sz w:val="20"/>
        </w:rPr>
        <w:t xml:space="preserve">В рамках совершенствования организации медицинской помощи ВИЧ-инфицированным пациентам создан регистр пациентов, в котором на 31 декабря 2020 г. состояли 2456 человек, из них получали антиретровирусную терапию 1816 человек, таким образом, доля получавших противовирусное лечение от состоящих на учете составляла 73,9%.</w:t>
      </w:r>
    </w:p>
    <w:p>
      <w:pPr>
        <w:pStyle w:val="0"/>
        <w:spacing w:before="200" w:line-rule="auto"/>
        <w:ind w:firstLine="540"/>
        <w:jc w:val="both"/>
      </w:pPr>
      <w:r>
        <w:rPr>
          <w:sz w:val="20"/>
        </w:rPr>
        <w:t xml:space="preserve">Современная ситуация по ВИЧ-инфекции в городе Севастополе характеризуется увеличением масштабов и феминизацией эпидемии, расширением возрастной структуры заболевших, повышением роли полового пути передачи вируса на фоне снижения показателя заболеваемости.</w:t>
      </w:r>
    </w:p>
    <w:p>
      <w:pPr>
        <w:pStyle w:val="0"/>
        <w:ind w:firstLine="540"/>
        <w:jc w:val="both"/>
      </w:pPr>
      <w:r>
        <w:rPr>
          <w:sz w:val="20"/>
        </w:rPr>
      </w:r>
    </w:p>
    <w:p>
      <w:pPr>
        <w:pStyle w:val="2"/>
        <w:outlineLvl w:val="2"/>
        <w:jc w:val="center"/>
      </w:pPr>
      <w:r>
        <w:rPr>
          <w:sz w:val="20"/>
        </w:rPr>
        <w:t xml:space="preserve">Данные города Севастополя</w:t>
      </w:r>
    </w:p>
    <w:p>
      <w:pPr>
        <w:pStyle w:val="0"/>
        <w:jc w:val="center"/>
      </w:pPr>
      <w:r>
        <w:rPr>
          <w:sz w:val="20"/>
        </w:rPr>
      </w:r>
    </w:p>
    <w:p>
      <w:pPr>
        <w:pStyle w:val="0"/>
        <w:jc w:val="center"/>
      </w:pPr>
      <w:r>
        <w:rPr>
          <w:sz w:val="20"/>
        </w:rPr>
        <w:t xml:space="preserve">Показатели охвата тестированием и антиретровирусной</w:t>
      </w:r>
    </w:p>
    <w:p>
      <w:pPr>
        <w:pStyle w:val="0"/>
        <w:jc w:val="center"/>
      </w:pPr>
      <w:r>
        <w:rPr>
          <w:sz w:val="20"/>
        </w:rPr>
        <w:t xml:space="preserve">терапией, заболеваемости и смертности от ВИЧ</w:t>
      </w:r>
    </w:p>
    <w:p>
      <w:pPr>
        <w:pStyle w:val="0"/>
        <w:jc w:val="center"/>
      </w:pPr>
      <w:r>
        <w:rPr>
          <w:sz w:val="20"/>
        </w:rPr>
        <w:t xml:space="preserve">за период 2016 - 2020 гг.</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50"/>
        <w:gridCol w:w="1134"/>
        <w:gridCol w:w="1134"/>
        <w:gridCol w:w="1247"/>
        <w:gridCol w:w="1134"/>
        <w:gridCol w:w="1134"/>
      </w:tblGrid>
      <w:tr>
        <w:tc>
          <w:tcPr>
            <w:tcW w:w="3250" w:type="dxa"/>
          </w:tcPr>
          <w:p>
            <w:pPr>
              <w:pStyle w:val="0"/>
              <w:jc w:val="center"/>
            </w:pPr>
            <w:r>
              <w:rPr>
                <w:sz w:val="20"/>
              </w:rPr>
              <w:t xml:space="preserve">Показатели охвата тестированием и антиретровирусной терапией, заболеваемости и смертности от ВИЧ</w:t>
            </w:r>
          </w:p>
        </w:tc>
        <w:tc>
          <w:tcPr>
            <w:tcW w:w="1134" w:type="dxa"/>
          </w:tcPr>
          <w:p>
            <w:pPr>
              <w:pStyle w:val="0"/>
              <w:jc w:val="center"/>
            </w:pPr>
            <w:r>
              <w:rPr>
                <w:sz w:val="20"/>
              </w:rPr>
              <w:t xml:space="preserve">2016</w:t>
            </w:r>
          </w:p>
        </w:tc>
        <w:tc>
          <w:tcPr>
            <w:tcW w:w="1134" w:type="dxa"/>
          </w:tcPr>
          <w:p>
            <w:pPr>
              <w:pStyle w:val="0"/>
              <w:jc w:val="center"/>
            </w:pPr>
            <w:r>
              <w:rPr>
                <w:sz w:val="20"/>
              </w:rPr>
              <w:t xml:space="preserve">2017</w:t>
            </w:r>
          </w:p>
        </w:tc>
        <w:tc>
          <w:tcPr>
            <w:tcW w:w="1247" w:type="dxa"/>
          </w:tcPr>
          <w:p>
            <w:pPr>
              <w:pStyle w:val="0"/>
              <w:jc w:val="center"/>
            </w:pPr>
            <w:r>
              <w:rPr>
                <w:sz w:val="20"/>
              </w:rPr>
              <w:t xml:space="preserve">2018</w:t>
            </w:r>
          </w:p>
        </w:tc>
        <w:tc>
          <w:tcPr>
            <w:tcW w:w="1134" w:type="dxa"/>
          </w:tcPr>
          <w:p>
            <w:pPr>
              <w:pStyle w:val="0"/>
              <w:jc w:val="center"/>
            </w:pPr>
            <w:r>
              <w:rPr>
                <w:sz w:val="20"/>
              </w:rPr>
              <w:t xml:space="preserve">2019</w:t>
            </w:r>
          </w:p>
        </w:tc>
        <w:tc>
          <w:tcPr>
            <w:tcW w:w="1134" w:type="dxa"/>
          </w:tcPr>
          <w:p>
            <w:pPr>
              <w:pStyle w:val="0"/>
              <w:jc w:val="center"/>
            </w:pPr>
            <w:r>
              <w:rPr>
                <w:sz w:val="20"/>
              </w:rPr>
              <w:t xml:space="preserve">2020</w:t>
            </w:r>
          </w:p>
        </w:tc>
      </w:tr>
      <w:tr>
        <w:tc>
          <w:tcPr>
            <w:tcW w:w="3250" w:type="dxa"/>
          </w:tcPr>
          <w:p>
            <w:pPr>
              <w:pStyle w:val="0"/>
              <w:jc w:val="both"/>
            </w:pPr>
            <w:r>
              <w:rPr>
                <w:sz w:val="20"/>
              </w:rPr>
              <w:t xml:space="preserve">Население города (чел.)</w:t>
            </w:r>
          </w:p>
        </w:tc>
        <w:tc>
          <w:tcPr>
            <w:tcW w:w="1134" w:type="dxa"/>
          </w:tcPr>
          <w:p>
            <w:pPr>
              <w:pStyle w:val="0"/>
              <w:jc w:val="center"/>
            </w:pPr>
            <w:r>
              <w:rPr>
                <w:sz w:val="20"/>
              </w:rPr>
              <w:t xml:space="preserve">416263</w:t>
            </w:r>
          </w:p>
        </w:tc>
        <w:tc>
          <w:tcPr>
            <w:tcW w:w="1134" w:type="dxa"/>
          </w:tcPr>
          <w:p>
            <w:pPr>
              <w:pStyle w:val="0"/>
              <w:jc w:val="center"/>
            </w:pPr>
            <w:r>
              <w:rPr>
                <w:sz w:val="20"/>
              </w:rPr>
              <w:t xml:space="preserve">428753</w:t>
            </w:r>
          </w:p>
        </w:tc>
        <w:tc>
          <w:tcPr>
            <w:tcW w:w="1247" w:type="dxa"/>
          </w:tcPr>
          <w:p>
            <w:pPr>
              <w:pStyle w:val="0"/>
              <w:jc w:val="center"/>
            </w:pPr>
            <w:r>
              <w:rPr>
                <w:sz w:val="20"/>
              </w:rPr>
              <w:t xml:space="preserve">436670</w:t>
            </w:r>
          </w:p>
        </w:tc>
        <w:tc>
          <w:tcPr>
            <w:tcW w:w="1134" w:type="dxa"/>
          </w:tcPr>
          <w:p>
            <w:pPr>
              <w:pStyle w:val="0"/>
              <w:jc w:val="center"/>
            </w:pPr>
            <w:r>
              <w:rPr>
                <w:sz w:val="20"/>
              </w:rPr>
              <w:t xml:space="preserve">443413</w:t>
            </w:r>
          </w:p>
        </w:tc>
        <w:tc>
          <w:tcPr>
            <w:tcW w:w="1134" w:type="dxa"/>
          </w:tcPr>
          <w:p>
            <w:pPr>
              <w:pStyle w:val="0"/>
              <w:jc w:val="center"/>
            </w:pPr>
            <w:r>
              <w:rPr>
                <w:sz w:val="20"/>
              </w:rPr>
              <w:t xml:space="preserve">449138</w:t>
            </w:r>
          </w:p>
        </w:tc>
      </w:tr>
      <w:tr>
        <w:tc>
          <w:tcPr>
            <w:tcW w:w="3250" w:type="dxa"/>
          </w:tcPr>
          <w:p>
            <w:pPr>
              <w:pStyle w:val="0"/>
              <w:jc w:val="both"/>
            </w:pPr>
            <w:r>
              <w:rPr>
                <w:sz w:val="20"/>
              </w:rPr>
              <w:t xml:space="preserve">Проведено тестов на ВИЧ (абс.)</w:t>
            </w:r>
          </w:p>
        </w:tc>
        <w:tc>
          <w:tcPr>
            <w:tcW w:w="1134" w:type="dxa"/>
          </w:tcPr>
          <w:p>
            <w:pPr>
              <w:pStyle w:val="0"/>
              <w:jc w:val="center"/>
            </w:pPr>
            <w:r>
              <w:rPr>
                <w:sz w:val="20"/>
              </w:rPr>
              <w:t xml:space="preserve">60837</w:t>
            </w:r>
          </w:p>
        </w:tc>
        <w:tc>
          <w:tcPr>
            <w:tcW w:w="1134" w:type="dxa"/>
          </w:tcPr>
          <w:p>
            <w:pPr>
              <w:pStyle w:val="0"/>
              <w:jc w:val="center"/>
            </w:pPr>
            <w:r>
              <w:rPr>
                <w:sz w:val="20"/>
              </w:rPr>
              <w:t xml:space="preserve">81019</w:t>
            </w:r>
          </w:p>
        </w:tc>
        <w:tc>
          <w:tcPr>
            <w:tcW w:w="1247" w:type="dxa"/>
          </w:tcPr>
          <w:p>
            <w:pPr>
              <w:pStyle w:val="0"/>
              <w:jc w:val="center"/>
            </w:pPr>
            <w:r>
              <w:rPr>
                <w:sz w:val="20"/>
              </w:rPr>
              <w:t xml:space="preserve">90026</w:t>
            </w:r>
          </w:p>
        </w:tc>
        <w:tc>
          <w:tcPr>
            <w:tcW w:w="1134" w:type="dxa"/>
          </w:tcPr>
          <w:p>
            <w:pPr>
              <w:pStyle w:val="0"/>
              <w:jc w:val="center"/>
            </w:pPr>
            <w:r>
              <w:rPr>
                <w:sz w:val="20"/>
              </w:rPr>
              <w:t xml:space="preserve">113485</w:t>
            </w:r>
          </w:p>
        </w:tc>
        <w:tc>
          <w:tcPr>
            <w:tcW w:w="1134" w:type="dxa"/>
          </w:tcPr>
          <w:p>
            <w:pPr>
              <w:pStyle w:val="0"/>
              <w:jc w:val="center"/>
            </w:pPr>
            <w:r>
              <w:rPr>
                <w:sz w:val="20"/>
              </w:rPr>
              <w:t xml:space="preserve">104885</w:t>
            </w:r>
          </w:p>
        </w:tc>
      </w:tr>
      <w:tr>
        <w:tc>
          <w:tcPr>
            <w:tcW w:w="3250" w:type="dxa"/>
          </w:tcPr>
          <w:p>
            <w:pPr>
              <w:pStyle w:val="0"/>
              <w:jc w:val="both"/>
            </w:pPr>
            <w:r>
              <w:rPr>
                <w:sz w:val="20"/>
              </w:rPr>
              <w:t xml:space="preserve">Охват медицинским освидетельствованием на ВИЧ-инфекцию населения города Севастополя (%)</w:t>
            </w:r>
          </w:p>
        </w:tc>
        <w:tc>
          <w:tcPr>
            <w:tcW w:w="1134" w:type="dxa"/>
          </w:tcPr>
          <w:p>
            <w:pPr>
              <w:pStyle w:val="0"/>
              <w:jc w:val="center"/>
            </w:pPr>
            <w:r>
              <w:rPr>
                <w:sz w:val="20"/>
              </w:rPr>
              <w:t xml:space="preserve">14,6</w:t>
            </w:r>
          </w:p>
        </w:tc>
        <w:tc>
          <w:tcPr>
            <w:tcW w:w="1134" w:type="dxa"/>
          </w:tcPr>
          <w:p>
            <w:pPr>
              <w:pStyle w:val="0"/>
              <w:jc w:val="center"/>
            </w:pPr>
            <w:r>
              <w:rPr>
                <w:sz w:val="20"/>
              </w:rPr>
              <w:t xml:space="preserve">18,9</w:t>
            </w:r>
          </w:p>
        </w:tc>
        <w:tc>
          <w:tcPr>
            <w:tcW w:w="1247" w:type="dxa"/>
          </w:tcPr>
          <w:p>
            <w:pPr>
              <w:pStyle w:val="0"/>
              <w:jc w:val="center"/>
            </w:pPr>
            <w:r>
              <w:rPr>
                <w:sz w:val="20"/>
              </w:rPr>
              <w:t xml:space="preserve">20,6</w:t>
            </w:r>
          </w:p>
        </w:tc>
        <w:tc>
          <w:tcPr>
            <w:tcW w:w="1134" w:type="dxa"/>
          </w:tcPr>
          <w:p>
            <w:pPr>
              <w:pStyle w:val="0"/>
              <w:jc w:val="center"/>
            </w:pPr>
            <w:r>
              <w:rPr>
                <w:sz w:val="20"/>
              </w:rPr>
              <w:t xml:space="preserve">25,6</w:t>
            </w:r>
          </w:p>
        </w:tc>
        <w:tc>
          <w:tcPr>
            <w:tcW w:w="1134" w:type="dxa"/>
          </w:tcPr>
          <w:p>
            <w:pPr>
              <w:pStyle w:val="0"/>
              <w:jc w:val="center"/>
            </w:pPr>
            <w:r>
              <w:rPr>
                <w:sz w:val="20"/>
              </w:rPr>
              <w:t xml:space="preserve">23,4</w:t>
            </w:r>
          </w:p>
        </w:tc>
      </w:tr>
      <w:tr>
        <w:tc>
          <w:tcPr>
            <w:tcW w:w="3250" w:type="dxa"/>
          </w:tcPr>
          <w:p>
            <w:pPr>
              <w:pStyle w:val="0"/>
              <w:jc w:val="both"/>
            </w:pPr>
            <w:r>
              <w:rPr>
                <w:sz w:val="20"/>
              </w:rPr>
              <w:t xml:space="preserve">Доля лиц с ВИЧ-инфекцией, получающих АРВТ, в общем числе лиц с ВИЧ-инфекцией (абс./процент)</w:t>
            </w:r>
          </w:p>
        </w:tc>
        <w:tc>
          <w:tcPr>
            <w:tcW w:w="1134" w:type="dxa"/>
          </w:tcPr>
          <w:p>
            <w:pPr>
              <w:pStyle w:val="0"/>
              <w:jc w:val="center"/>
            </w:pPr>
            <w:r>
              <w:rPr>
                <w:sz w:val="20"/>
              </w:rPr>
              <w:t xml:space="preserve">1133/56,2</w:t>
            </w:r>
          </w:p>
        </w:tc>
        <w:tc>
          <w:tcPr>
            <w:tcW w:w="1134" w:type="dxa"/>
          </w:tcPr>
          <w:p>
            <w:pPr>
              <w:pStyle w:val="0"/>
              <w:jc w:val="center"/>
            </w:pPr>
            <w:r>
              <w:rPr>
                <w:sz w:val="20"/>
              </w:rPr>
              <w:t xml:space="preserve">1253/58,9</w:t>
            </w:r>
          </w:p>
        </w:tc>
        <w:tc>
          <w:tcPr>
            <w:tcW w:w="1247" w:type="dxa"/>
          </w:tcPr>
          <w:p>
            <w:pPr>
              <w:pStyle w:val="0"/>
              <w:jc w:val="center"/>
            </w:pPr>
            <w:r>
              <w:rPr>
                <w:sz w:val="20"/>
              </w:rPr>
              <w:t xml:space="preserve">1421/63,02</w:t>
            </w:r>
          </w:p>
        </w:tc>
        <w:tc>
          <w:tcPr>
            <w:tcW w:w="1134" w:type="dxa"/>
          </w:tcPr>
          <w:p>
            <w:pPr>
              <w:pStyle w:val="0"/>
              <w:jc w:val="center"/>
            </w:pPr>
            <w:r>
              <w:rPr>
                <w:sz w:val="20"/>
              </w:rPr>
              <w:t xml:space="preserve">1631/69,5</w:t>
            </w:r>
          </w:p>
        </w:tc>
        <w:tc>
          <w:tcPr>
            <w:tcW w:w="1134" w:type="dxa"/>
          </w:tcPr>
          <w:p>
            <w:pPr>
              <w:pStyle w:val="0"/>
              <w:jc w:val="center"/>
            </w:pPr>
            <w:r>
              <w:rPr>
                <w:sz w:val="20"/>
              </w:rPr>
              <w:t xml:space="preserve">1816/73,9</w:t>
            </w:r>
          </w:p>
        </w:tc>
      </w:tr>
      <w:tr>
        <w:tc>
          <w:tcPr>
            <w:tcW w:w="3250" w:type="dxa"/>
          </w:tcPr>
          <w:p>
            <w:pPr>
              <w:pStyle w:val="0"/>
              <w:jc w:val="both"/>
            </w:pPr>
            <w:r>
              <w:rPr>
                <w:sz w:val="20"/>
              </w:rPr>
              <w:t xml:space="preserve">Число новых случаев инфицирования ВИЧ, регистрируемых среди населения города Севастополя (чел.)</w:t>
            </w:r>
          </w:p>
        </w:tc>
        <w:tc>
          <w:tcPr>
            <w:tcW w:w="1134" w:type="dxa"/>
          </w:tcPr>
          <w:p>
            <w:pPr>
              <w:pStyle w:val="0"/>
              <w:jc w:val="center"/>
            </w:pPr>
            <w:r>
              <w:rPr>
                <w:sz w:val="20"/>
              </w:rPr>
              <w:t xml:space="preserve">214</w:t>
            </w:r>
          </w:p>
        </w:tc>
        <w:tc>
          <w:tcPr>
            <w:tcW w:w="1134" w:type="dxa"/>
          </w:tcPr>
          <w:p>
            <w:pPr>
              <w:pStyle w:val="0"/>
              <w:jc w:val="center"/>
            </w:pPr>
            <w:r>
              <w:rPr>
                <w:sz w:val="20"/>
              </w:rPr>
              <w:t xml:space="preserve">265</w:t>
            </w:r>
          </w:p>
        </w:tc>
        <w:tc>
          <w:tcPr>
            <w:tcW w:w="1247" w:type="dxa"/>
          </w:tcPr>
          <w:p>
            <w:pPr>
              <w:pStyle w:val="0"/>
              <w:jc w:val="center"/>
            </w:pPr>
            <w:r>
              <w:rPr>
                <w:sz w:val="20"/>
              </w:rPr>
              <w:t xml:space="preserve">255</w:t>
            </w:r>
          </w:p>
        </w:tc>
        <w:tc>
          <w:tcPr>
            <w:tcW w:w="1134" w:type="dxa"/>
          </w:tcPr>
          <w:p>
            <w:pPr>
              <w:pStyle w:val="0"/>
              <w:jc w:val="center"/>
            </w:pPr>
            <w:r>
              <w:rPr>
                <w:sz w:val="20"/>
              </w:rPr>
              <w:t xml:space="preserve">226</w:t>
            </w:r>
          </w:p>
        </w:tc>
        <w:tc>
          <w:tcPr>
            <w:tcW w:w="1134" w:type="dxa"/>
          </w:tcPr>
          <w:p>
            <w:pPr>
              <w:pStyle w:val="0"/>
              <w:jc w:val="center"/>
            </w:pPr>
            <w:r>
              <w:rPr>
                <w:sz w:val="20"/>
              </w:rPr>
              <w:t xml:space="preserve">204</w:t>
            </w:r>
          </w:p>
        </w:tc>
      </w:tr>
      <w:tr>
        <w:tc>
          <w:tcPr>
            <w:tcW w:w="3250" w:type="dxa"/>
          </w:tcPr>
          <w:p>
            <w:pPr>
              <w:pStyle w:val="0"/>
              <w:jc w:val="both"/>
            </w:pPr>
            <w:r>
              <w:rPr>
                <w:sz w:val="20"/>
              </w:rPr>
              <w:t xml:space="preserve">Смертность от ВИЧ на территории города Севастополя (абс./на 100 тыс. населения)</w:t>
            </w:r>
          </w:p>
        </w:tc>
        <w:tc>
          <w:tcPr>
            <w:tcW w:w="1134" w:type="dxa"/>
          </w:tcPr>
          <w:p>
            <w:pPr>
              <w:pStyle w:val="0"/>
              <w:jc w:val="center"/>
            </w:pPr>
            <w:r>
              <w:rPr>
                <w:sz w:val="20"/>
              </w:rPr>
              <w:t xml:space="preserve">57/13,7</w:t>
            </w:r>
          </w:p>
        </w:tc>
        <w:tc>
          <w:tcPr>
            <w:tcW w:w="1134" w:type="dxa"/>
          </w:tcPr>
          <w:p>
            <w:pPr>
              <w:pStyle w:val="0"/>
              <w:jc w:val="center"/>
            </w:pPr>
            <w:r>
              <w:rPr>
                <w:sz w:val="20"/>
              </w:rPr>
              <w:t xml:space="preserve">71/16,58</w:t>
            </w:r>
          </w:p>
        </w:tc>
        <w:tc>
          <w:tcPr>
            <w:tcW w:w="1247" w:type="dxa"/>
          </w:tcPr>
          <w:p>
            <w:pPr>
              <w:pStyle w:val="0"/>
              <w:jc w:val="center"/>
            </w:pPr>
            <w:r>
              <w:rPr>
                <w:sz w:val="20"/>
              </w:rPr>
              <w:t xml:space="preserve">74/16,97</w:t>
            </w:r>
          </w:p>
        </w:tc>
        <w:tc>
          <w:tcPr>
            <w:tcW w:w="1134" w:type="dxa"/>
          </w:tcPr>
          <w:p>
            <w:pPr>
              <w:pStyle w:val="0"/>
              <w:jc w:val="center"/>
            </w:pPr>
            <w:r>
              <w:rPr>
                <w:sz w:val="20"/>
              </w:rPr>
              <w:t xml:space="preserve">87/19,66</w:t>
            </w:r>
          </w:p>
        </w:tc>
        <w:tc>
          <w:tcPr>
            <w:tcW w:w="1134" w:type="dxa"/>
          </w:tcPr>
          <w:p>
            <w:pPr>
              <w:pStyle w:val="0"/>
              <w:jc w:val="center"/>
            </w:pPr>
            <w:r>
              <w:rPr>
                <w:sz w:val="20"/>
              </w:rPr>
              <w:t xml:space="preserve">95/21,2</w:t>
            </w:r>
          </w:p>
        </w:tc>
      </w:tr>
      <w:tr>
        <w:tc>
          <w:tcPr>
            <w:tcW w:w="3250" w:type="dxa"/>
          </w:tcPr>
          <w:p>
            <w:pPr>
              <w:pStyle w:val="0"/>
              <w:jc w:val="both"/>
            </w:pPr>
            <w:r>
              <w:rPr>
                <w:sz w:val="20"/>
              </w:rPr>
              <w:t xml:space="preserve">Смертность от ВИЧ в трудоспособном возрасте на территории города Севастополя (абс./на 100 тыс. населения трудоспособного возраста)</w:t>
            </w:r>
          </w:p>
        </w:tc>
        <w:tc>
          <w:tcPr>
            <w:tcW w:w="1134" w:type="dxa"/>
          </w:tcPr>
          <w:p>
            <w:pPr>
              <w:pStyle w:val="0"/>
              <w:jc w:val="center"/>
            </w:pPr>
            <w:r>
              <w:rPr>
                <w:sz w:val="20"/>
              </w:rPr>
              <w:t xml:space="preserve">52/24,3</w:t>
            </w:r>
          </w:p>
        </w:tc>
        <w:tc>
          <w:tcPr>
            <w:tcW w:w="1134" w:type="dxa"/>
          </w:tcPr>
          <w:p>
            <w:pPr>
              <w:pStyle w:val="0"/>
              <w:jc w:val="center"/>
            </w:pPr>
            <w:r>
              <w:rPr>
                <w:sz w:val="20"/>
              </w:rPr>
              <w:t xml:space="preserve">65/26,86</w:t>
            </w:r>
          </w:p>
        </w:tc>
        <w:tc>
          <w:tcPr>
            <w:tcW w:w="1247" w:type="dxa"/>
          </w:tcPr>
          <w:p>
            <w:pPr>
              <w:pStyle w:val="0"/>
              <w:jc w:val="center"/>
            </w:pPr>
            <w:r>
              <w:rPr>
                <w:sz w:val="20"/>
              </w:rPr>
              <w:t xml:space="preserve">71/29,05</w:t>
            </w:r>
          </w:p>
        </w:tc>
        <w:tc>
          <w:tcPr>
            <w:tcW w:w="1134" w:type="dxa"/>
          </w:tcPr>
          <w:p>
            <w:pPr>
              <w:pStyle w:val="0"/>
              <w:jc w:val="center"/>
            </w:pPr>
            <w:r>
              <w:rPr>
                <w:sz w:val="20"/>
              </w:rPr>
              <w:t xml:space="preserve">83/33,61</w:t>
            </w:r>
          </w:p>
        </w:tc>
        <w:tc>
          <w:tcPr>
            <w:tcW w:w="1134" w:type="dxa"/>
          </w:tcPr>
          <w:p>
            <w:pPr>
              <w:pStyle w:val="0"/>
              <w:jc w:val="center"/>
            </w:pPr>
            <w:r>
              <w:rPr>
                <w:sz w:val="20"/>
              </w:rPr>
              <w:t xml:space="preserve">93/37,45</w:t>
            </w:r>
          </w:p>
        </w:tc>
      </w:tr>
    </w:tbl>
    <w:p>
      <w:pPr>
        <w:pStyle w:val="0"/>
        <w:ind w:firstLine="540"/>
        <w:jc w:val="both"/>
      </w:pPr>
      <w:r>
        <w:rPr>
          <w:sz w:val="20"/>
        </w:rPr>
      </w:r>
    </w:p>
    <w:p>
      <w:pPr>
        <w:pStyle w:val="0"/>
        <w:ind w:firstLine="540"/>
        <w:jc w:val="both"/>
      </w:pPr>
      <w:r>
        <w:rPr>
          <w:sz w:val="20"/>
        </w:rPr>
        <w:t xml:space="preserve">Необходимость принятия региональной программы обусловлена неблагоприятной динамикой распространения ВИЧ-инфекции в городе Севастополе, усилением таких негативных тенденций как высокий уровень смертности и выход эпидемии из наиболее уязвимых групп населения в общую численность населения, что создает угрозы для демографической ситуации и экономического развития города Севастополя. Эпидемия ВИЧ-инфекции представляет собой социо-медико-биологическое явление, несущее угрозу жизни, здоровью и благополучию населения, благосостоянию и безопасности.</w:t>
      </w:r>
    </w:p>
    <w:p>
      <w:pPr>
        <w:pStyle w:val="0"/>
        <w:spacing w:before="200" w:line-rule="auto"/>
        <w:ind w:firstLine="540"/>
        <w:jc w:val="both"/>
      </w:pPr>
      <w:r>
        <w:rPr>
          <w:sz w:val="20"/>
        </w:rPr>
        <w:t xml:space="preserve">Реализация мероприятий региональной программы позволит оказать влияние на качество и продолжительность жизни ВИЧ-инфицированных граждан, сохранить трудовой потенциал, снизить риски дальнейшего распространения заболевания путем внедрения современных методов профилактики, диагностики и лечения.</w:t>
      </w:r>
    </w:p>
    <w:p>
      <w:pPr>
        <w:pStyle w:val="0"/>
        <w:spacing w:before="200" w:line-rule="auto"/>
        <w:ind w:firstLine="540"/>
        <w:jc w:val="both"/>
      </w:pPr>
      <w:r>
        <w:rPr>
          <w:sz w:val="20"/>
        </w:rPr>
        <w:t xml:space="preserve">Применение региональной программы решит следующие задачи:</w:t>
      </w:r>
    </w:p>
    <w:p>
      <w:pPr>
        <w:pStyle w:val="0"/>
        <w:spacing w:before="200" w:line-rule="auto"/>
        <w:ind w:firstLine="540"/>
        <w:jc w:val="both"/>
      </w:pPr>
      <w:r>
        <w:rPr>
          <w:sz w:val="20"/>
        </w:rPr>
        <w:t xml:space="preserve">1. Стабилизация эпидемической ситуации.</w:t>
      </w:r>
    </w:p>
    <w:p>
      <w:pPr>
        <w:pStyle w:val="0"/>
        <w:spacing w:before="200" w:line-rule="auto"/>
        <w:ind w:firstLine="540"/>
        <w:jc w:val="both"/>
      </w:pPr>
      <w:r>
        <w:rPr>
          <w:sz w:val="20"/>
        </w:rPr>
        <w:t xml:space="preserve">2. Снижение финансового бремени, связанного со стационарной нагрузкой.</w:t>
      </w:r>
    </w:p>
    <w:p>
      <w:pPr>
        <w:pStyle w:val="0"/>
        <w:spacing w:before="200" w:line-rule="auto"/>
        <w:ind w:firstLine="540"/>
        <w:jc w:val="both"/>
      </w:pPr>
      <w:r>
        <w:rPr>
          <w:sz w:val="20"/>
        </w:rPr>
        <w:t xml:space="preserve">3. Снижение заболеваемости и инвалидизации от причин, обусловленных ВИЧ-инфекцией, благодаря предотвращению развития оппортунистических заболеваний на фоне приема антиретровирусной терапии.</w:t>
      </w:r>
    </w:p>
    <w:p>
      <w:pPr>
        <w:pStyle w:val="0"/>
        <w:spacing w:before="200" w:line-rule="auto"/>
        <w:ind w:firstLine="540"/>
        <w:jc w:val="both"/>
      </w:pPr>
      <w:r>
        <w:rPr>
          <w:sz w:val="20"/>
        </w:rPr>
        <w:t xml:space="preserve">4. Снижение преждевременной смертности в трудоспособном возрасте.</w:t>
      </w:r>
    </w:p>
    <w:p>
      <w:pPr>
        <w:pStyle w:val="0"/>
        <w:spacing w:before="200" w:line-rule="auto"/>
        <w:ind w:firstLine="540"/>
        <w:jc w:val="both"/>
      </w:pPr>
      <w:r>
        <w:rPr>
          <w:sz w:val="20"/>
        </w:rPr>
        <w:t xml:space="preserve">5. Увеличение продолжительности жизни пациентов, инфицированных ВИЧ, и сохранение их трудоспособности на благо общества.</w:t>
      </w:r>
    </w:p>
    <w:p>
      <w:pPr>
        <w:pStyle w:val="0"/>
        <w:spacing w:before="200" w:line-rule="auto"/>
        <w:ind w:firstLine="540"/>
        <w:jc w:val="both"/>
      </w:pPr>
      <w:r>
        <w:rPr>
          <w:sz w:val="20"/>
        </w:rPr>
        <w:t xml:space="preserve">6. Предотвращение заражения детей, рожденных от ВИЧ-инфицированных матерей, позволит повысить потенциал развития региона в дальнейшей перспективе.</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1</w:t>
      </w:r>
    </w:p>
    <w:p>
      <w:pPr>
        <w:pStyle w:val="0"/>
        <w:jc w:val="right"/>
      </w:pPr>
      <w:r>
        <w:rPr>
          <w:sz w:val="20"/>
        </w:rPr>
        <w:t xml:space="preserve">к региональной программе</w:t>
      </w:r>
    </w:p>
    <w:p>
      <w:pPr>
        <w:pStyle w:val="0"/>
        <w:jc w:val="right"/>
      </w:pPr>
      <w:r>
        <w:rPr>
          <w:sz w:val="20"/>
        </w:rPr>
        <w:t xml:space="preserve">противодействия распространению ВИЧ-инфекции</w:t>
      </w:r>
    </w:p>
    <w:p>
      <w:pPr>
        <w:pStyle w:val="0"/>
        <w:jc w:val="right"/>
      </w:pPr>
      <w:r>
        <w:rPr>
          <w:sz w:val="20"/>
        </w:rPr>
        <w:t xml:space="preserve">в городе Севастополе на период до 2030 года</w:t>
      </w:r>
    </w:p>
    <w:p>
      <w:pPr>
        <w:pStyle w:val="0"/>
      </w:pPr>
      <w:r>
        <w:rPr>
          <w:sz w:val="20"/>
        </w:rPr>
      </w:r>
    </w:p>
    <w:p>
      <w:pPr>
        <w:pStyle w:val="2"/>
        <w:jc w:val="center"/>
      </w:pPr>
      <w:r>
        <w:rPr>
          <w:sz w:val="20"/>
        </w:rPr>
        <w:t xml:space="preserve">План мероприятий по реализации региональной программы</w:t>
      </w:r>
    </w:p>
    <w:p>
      <w:pPr>
        <w:pStyle w:val="2"/>
        <w:jc w:val="center"/>
      </w:pPr>
      <w:r>
        <w:rPr>
          <w:sz w:val="20"/>
        </w:rPr>
        <w:t xml:space="preserve">противодействия распространению ВИЧ-инфекции в городе</w:t>
      </w:r>
    </w:p>
    <w:p>
      <w:pPr>
        <w:pStyle w:val="2"/>
        <w:jc w:val="center"/>
      </w:pPr>
      <w:r>
        <w:rPr>
          <w:sz w:val="20"/>
        </w:rPr>
        <w:t xml:space="preserve">Севастополе на период до 2030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76"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10.11.2022 N 561-ПП)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3742"/>
        <w:gridCol w:w="3742"/>
      </w:tblGrid>
      <w:tr>
        <w:tc>
          <w:tcPr>
            <w:tcW w:w="1587" w:type="dxa"/>
          </w:tcPr>
          <w:p>
            <w:pPr>
              <w:pStyle w:val="0"/>
              <w:jc w:val="center"/>
            </w:pPr>
            <w:r>
              <w:rPr>
                <w:sz w:val="20"/>
              </w:rPr>
              <w:t xml:space="preserve">Сроки исполнения</w:t>
            </w:r>
          </w:p>
        </w:tc>
        <w:tc>
          <w:tcPr>
            <w:tcW w:w="3742" w:type="dxa"/>
          </w:tcPr>
          <w:p>
            <w:pPr>
              <w:pStyle w:val="0"/>
              <w:jc w:val="center"/>
            </w:pPr>
            <w:r>
              <w:rPr>
                <w:sz w:val="20"/>
              </w:rPr>
              <w:t xml:space="preserve">Наименование мероприятия</w:t>
            </w:r>
          </w:p>
        </w:tc>
        <w:tc>
          <w:tcPr>
            <w:tcW w:w="3742" w:type="dxa"/>
          </w:tcPr>
          <w:p>
            <w:pPr>
              <w:pStyle w:val="0"/>
              <w:jc w:val="center"/>
            </w:pPr>
            <w:r>
              <w:rPr>
                <w:sz w:val="20"/>
              </w:rPr>
              <w:t xml:space="preserve">Исполнители</w:t>
            </w:r>
          </w:p>
        </w:tc>
      </w:tr>
      <w:tr>
        <w:tc>
          <w:tcPr>
            <w:gridSpan w:val="3"/>
            <w:tcW w:w="9071" w:type="dxa"/>
          </w:tcPr>
          <w:p>
            <w:pPr>
              <w:pStyle w:val="0"/>
              <w:outlineLvl w:val="3"/>
              <w:jc w:val="both"/>
            </w:pPr>
            <w:r>
              <w:rPr>
                <w:sz w:val="20"/>
              </w:rPr>
              <w:t xml:space="preserve">I. Определение приоритетов и оценка потребности в ресурсах</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Утверждение плана работы Координационного совета при Правительстве Севастополя по предотвращению распространения ВИЧ-инфекции, туберкулеза и других социально значимых заболеваний (далее - Координационный совет)</w:t>
            </w:r>
          </w:p>
        </w:tc>
        <w:tc>
          <w:tcPr>
            <w:tcW w:w="3742" w:type="dxa"/>
          </w:tcPr>
          <w:p>
            <w:pPr>
              <w:pStyle w:val="0"/>
              <w:jc w:val="both"/>
            </w:pPr>
            <w:r>
              <w:rPr>
                <w:sz w:val="20"/>
              </w:rPr>
              <w:t xml:space="preserve">Председатель Координационного совета: заместитель Губернатора - Председателя Правительства Севастополя, координирующий работу по вопросам создания условий для развития системы здравоохранения города Севастополя;</w:t>
            </w:r>
          </w:p>
          <w:p>
            <w:pPr>
              <w:pStyle w:val="0"/>
              <w:jc w:val="both"/>
            </w:pPr>
            <w:r>
              <w:rPr>
                <w:sz w:val="20"/>
              </w:rPr>
              <w:t xml:space="preserve">заместитель председателя Координирующего совета: директор Департамента здравоохранения города Севастополя - член Правительства Севастополя;</w:t>
            </w:r>
          </w:p>
          <w:p>
            <w:pPr>
              <w:pStyle w:val="0"/>
              <w:jc w:val="both"/>
            </w:pPr>
            <w:r>
              <w:rPr>
                <w:sz w:val="20"/>
              </w:rPr>
              <w:t xml:space="preserve">ответственный секретарь Координирующего совета: главный внештатный специалист по проблемам диагностики и лечения ВИЧ-инфекции Департамента здравоохранения города Севастополя - главный врач ГБУЗС "Городская инфекционная больница";</w:t>
            </w:r>
          </w:p>
          <w:p>
            <w:pPr>
              <w:pStyle w:val="0"/>
              <w:jc w:val="both"/>
            </w:pPr>
            <w:r>
              <w:rPr>
                <w:sz w:val="20"/>
              </w:rPr>
              <w:t xml:space="preserve">секретарь Координационного совета: заведующий подразделением "Городской центр профилактики и борьбы с ВИЧ-инфекцией/СПИДом" ГБУЗС "Городская инфекционная больница";</w:t>
            </w:r>
          </w:p>
          <w:p>
            <w:pPr>
              <w:pStyle w:val="0"/>
              <w:jc w:val="both"/>
            </w:pPr>
            <w:r>
              <w:rPr>
                <w:sz w:val="20"/>
              </w:rPr>
              <w:t xml:space="preserve">члены Координационного совета:</w:t>
            </w:r>
          </w:p>
          <w:p>
            <w:pPr>
              <w:pStyle w:val="0"/>
              <w:jc w:val="both"/>
            </w:pPr>
            <w:r>
              <w:rPr>
                <w:sz w:val="20"/>
              </w:rPr>
              <w:t xml:space="preserve">- главный врач ГБУЗС "Центр крови";</w:t>
            </w:r>
          </w:p>
          <w:p>
            <w:pPr>
              <w:pStyle w:val="0"/>
              <w:jc w:val="both"/>
            </w:pPr>
            <w:r>
              <w:rPr>
                <w:sz w:val="20"/>
              </w:rPr>
              <w:t xml:space="preserve">- директор Департамента труда и социальной защиты населения города Севастополя - член Правительства Севастополя;</w:t>
            </w:r>
          </w:p>
          <w:p>
            <w:pPr>
              <w:pStyle w:val="0"/>
              <w:jc w:val="both"/>
            </w:pPr>
            <w:r>
              <w:rPr>
                <w:sz w:val="20"/>
              </w:rPr>
              <w:t xml:space="preserve">- начальник Управления по делам молодежи и спорта города Севастополя;</w:t>
            </w:r>
          </w:p>
          <w:p>
            <w:pPr>
              <w:pStyle w:val="0"/>
              <w:jc w:val="both"/>
            </w:pPr>
            <w:r>
              <w:rPr>
                <w:sz w:val="20"/>
              </w:rPr>
              <w:t xml:space="preserve">- представитель Управления Министерства внутренних дел России по г. Севастополю (по согласованию);</w:t>
            </w:r>
          </w:p>
          <w:p>
            <w:pPr>
              <w:pStyle w:val="0"/>
              <w:jc w:val="both"/>
            </w:pPr>
            <w:r>
              <w:rPr>
                <w:sz w:val="20"/>
              </w:rPr>
              <w:t xml:space="preserve">- представитель Управления Федеральной службы исполнения наказаний по Республике Крым г. Севастополю (по согласованию)</w:t>
            </w:r>
          </w:p>
          <w:p>
            <w:pPr>
              <w:pStyle w:val="0"/>
              <w:jc w:val="both"/>
            </w:pPr>
            <w:r>
              <w:rPr>
                <w:sz w:val="20"/>
              </w:rPr>
              <w:t xml:space="preserve">- главный внештатный специалист-фтизиатр Департамента здравоохранения города Севастополя - главный врач ГБУЗС "Севастопольский противотуберкулезный диспансер";</w:t>
            </w:r>
          </w:p>
          <w:p>
            <w:pPr>
              <w:pStyle w:val="0"/>
              <w:jc w:val="both"/>
            </w:pPr>
            <w:r>
              <w:rPr>
                <w:sz w:val="20"/>
              </w:rPr>
              <w:t xml:space="preserve">- региональный координатор в городе Севастополе Всероссийского общественного движения "Волонтеры-медики" (по согласованию);</w:t>
            </w:r>
          </w:p>
          <w:p>
            <w:pPr>
              <w:pStyle w:val="0"/>
              <w:jc w:val="both"/>
            </w:pPr>
            <w:r>
              <w:rPr>
                <w:sz w:val="20"/>
              </w:rPr>
              <w:t xml:space="preserve">- главный врач ГБУЗС "Городская больница N 5 - "Центр охраны здоровья матери и ребенка";</w:t>
            </w:r>
          </w:p>
          <w:p>
            <w:pPr>
              <w:pStyle w:val="0"/>
              <w:jc w:val="both"/>
            </w:pPr>
            <w:r>
              <w:rPr>
                <w:sz w:val="20"/>
              </w:rPr>
              <w:t xml:space="preserve">- начальник Территориального отдела по городу федерального значения Севастополю Межрегионального управления Роспотребнадзора по Республике Крым и городу федерального значения Севастополю;</w:t>
            </w:r>
          </w:p>
          <w:p>
            <w:pPr>
              <w:pStyle w:val="0"/>
              <w:jc w:val="both"/>
            </w:pPr>
            <w:r>
              <w:rPr>
                <w:sz w:val="20"/>
              </w:rPr>
              <w:t xml:space="preserve">- директор Департамента образования и науки города Севастополя - член Правительства Севастополя;</w:t>
            </w:r>
          </w:p>
          <w:p>
            <w:pPr>
              <w:pStyle w:val="0"/>
              <w:jc w:val="both"/>
            </w:pPr>
            <w:r>
              <w:rPr>
                <w:sz w:val="20"/>
              </w:rPr>
              <w:t xml:space="preserve">- главный врач ГБУЗС "Городская больница N 4";</w:t>
            </w:r>
          </w:p>
          <w:p>
            <w:pPr>
              <w:pStyle w:val="0"/>
              <w:jc w:val="both"/>
            </w:pPr>
            <w:r>
              <w:rPr>
                <w:sz w:val="20"/>
              </w:rPr>
              <w:t xml:space="preserve">- представитель Севастопольского регионального (городского) отделения Российского Красного Креста (по согласованию);</w:t>
            </w:r>
          </w:p>
          <w:p>
            <w:pPr>
              <w:pStyle w:val="0"/>
              <w:jc w:val="both"/>
            </w:pPr>
            <w:r>
              <w:rPr>
                <w:sz w:val="20"/>
              </w:rPr>
              <w:t xml:space="preserve">- главный врач ГБУЗС "Севастопольская городская психиатрическая больница";</w:t>
            </w:r>
          </w:p>
          <w:p>
            <w:pPr>
              <w:pStyle w:val="0"/>
              <w:jc w:val="both"/>
            </w:pPr>
            <w:r>
              <w:rPr>
                <w:sz w:val="20"/>
              </w:rPr>
              <w:t xml:space="preserve">- главный врач ГБУЗС "Севастопольский городской онкологический диспансер имени А.А. Задорожного";</w:t>
            </w:r>
          </w:p>
          <w:p>
            <w:pPr>
              <w:pStyle w:val="0"/>
              <w:jc w:val="both"/>
            </w:pPr>
            <w:r>
              <w:rPr>
                <w:sz w:val="20"/>
              </w:rPr>
              <w:t xml:space="preserve">- председатель постоянного комитета по здравоохранению и социальной политике Законодательного Собрания города Севастополя (по согласованию)</w:t>
            </w:r>
          </w:p>
        </w:tc>
      </w:tr>
      <w:tr>
        <w:tc>
          <w:tcPr>
            <w:tcW w:w="1587" w:type="dxa"/>
          </w:tcPr>
          <w:p>
            <w:pPr>
              <w:pStyle w:val="0"/>
              <w:jc w:val="both"/>
            </w:pPr>
            <w:r>
              <w:rPr>
                <w:sz w:val="20"/>
              </w:rPr>
              <w:t xml:space="preserve">2021 год</w:t>
            </w:r>
          </w:p>
        </w:tc>
        <w:tc>
          <w:tcPr>
            <w:tcW w:w="3742" w:type="dxa"/>
          </w:tcPr>
          <w:p>
            <w:pPr>
              <w:pStyle w:val="0"/>
              <w:jc w:val="both"/>
            </w:pPr>
            <w:r>
              <w:rPr>
                <w:sz w:val="20"/>
              </w:rPr>
              <w:t xml:space="preserve">Создание рабочей группы по контролю реализации региональной программы</w:t>
            </w:r>
          </w:p>
        </w:tc>
        <w:tc>
          <w:tcPr>
            <w:tcW w:w="3742" w:type="dxa"/>
          </w:tcPr>
          <w:p>
            <w:pPr>
              <w:pStyle w:val="0"/>
              <w:jc w:val="both"/>
            </w:pPr>
            <w:r>
              <w:rPr>
                <w:sz w:val="20"/>
              </w:rPr>
              <w:t xml:space="preserve">Департамент здравоохранения города Севастополя</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Подготовка и утверждение детального плана мероприятий противодействия распространению ВИЧ-инфекции в рамках работы Координационного совета</w:t>
            </w:r>
          </w:p>
        </w:tc>
        <w:tc>
          <w:tcPr>
            <w:tcW w:w="3742" w:type="dxa"/>
          </w:tcPr>
          <w:p>
            <w:pPr>
              <w:pStyle w:val="0"/>
              <w:jc w:val="both"/>
            </w:pPr>
            <w:r>
              <w:rPr>
                <w:sz w:val="20"/>
              </w:rPr>
              <w:t xml:space="preserve">Департамент здравоохранения города Севастополя;</w:t>
            </w:r>
          </w:p>
          <w:p>
            <w:pPr>
              <w:pStyle w:val="0"/>
              <w:jc w:val="both"/>
            </w:pPr>
            <w:r>
              <w:rPr>
                <w:sz w:val="20"/>
              </w:rPr>
              <w:t xml:space="preserve">Департамент образования и науки города Севастополя;</w:t>
            </w:r>
          </w:p>
          <w:p>
            <w:pPr>
              <w:pStyle w:val="0"/>
              <w:jc w:val="both"/>
            </w:pPr>
            <w:r>
              <w:rPr>
                <w:sz w:val="20"/>
              </w:rPr>
              <w:t xml:space="preserve">Департамент труда и социальной защиты населения города Севастополя;</w:t>
            </w:r>
          </w:p>
          <w:p>
            <w:pPr>
              <w:pStyle w:val="0"/>
              <w:jc w:val="both"/>
            </w:pPr>
            <w:r>
              <w:rPr>
                <w:sz w:val="20"/>
              </w:rPr>
              <w:t xml:space="preserve">Территориальный отдел по городу федерального значения Севастополю Межрегионального управления Роспотребнадзора по Республике Крым и городу федерального значения Севастополю;</w:t>
            </w:r>
          </w:p>
          <w:p>
            <w:pPr>
              <w:pStyle w:val="0"/>
              <w:jc w:val="both"/>
            </w:pPr>
            <w:r>
              <w:rPr>
                <w:sz w:val="20"/>
              </w:rPr>
              <w:t xml:space="preserve">Управление Министерства внутренних дел России по г. Севастополю;</w:t>
            </w:r>
          </w:p>
          <w:p>
            <w:pPr>
              <w:pStyle w:val="0"/>
              <w:jc w:val="both"/>
            </w:pPr>
            <w:r>
              <w:rPr>
                <w:sz w:val="20"/>
              </w:rPr>
              <w:t xml:space="preserve">СОНКО</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Проведение анализа эпидемиологической ситуации по ВИЧ-инфекции в городе Севастополе и оценка эффективности реализуемых мероприятий по противодействию распространения ВИЧ-инфекции, определение приоритетов на краткосрочную и долгосрочную перспективу</w:t>
            </w:r>
          </w:p>
        </w:tc>
        <w:tc>
          <w:tcPr>
            <w:tcW w:w="3742" w:type="dxa"/>
          </w:tcPr>
          <w:p>
            <w:pPr>
              <w:pStyle w:val="0"/>
              <w:jc w:val="both"/>
            </w:pPr>
            <w:r>
              <w:rPr>
                <w:sz w:val="20"/>
              </w:rPr>
              <w:t xml:space="preserve">Департамент здравоохранения города Севастополя;</w:t>
            </w:r>
          </w:p>
          <w:p>
            <w:pPr>
              <w:pStyle w:val="0"/>
              <w:jc w:val="both"/>
            </w:pPr>
            <w:r>
              <w:rPr>
                <w:sz w:val="20"/>
              </w:rPr>
              <w:t xml:space="preserve">Территориальный отдел по городу федерального значения Севастополю Межрегионального управления Роспотребнадзора по Республике Крым и городу федерального значения Севастополю;</w:t>
            </w:r>
          </w:p>
          <w:p>
            <w:pPr>
              <w:pStyle w:val="0"/>
              <w:jc w:val="both"/>
            </w:pPr>
            <w:r>
              <w:rPr>
                <w:sz w:val="20"/>
              </w:rPr>
              <w:t xml:space="preserve">Управление Министерства внутренних дел России по г. Севастополю</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Определение потребности в финансовых средствах для обеспечения мероприятий по противодействию распространения ВИЧ-инфекции:</w:t>
            </w:r>
          </w:p>
          <w:p>
            <w:pPr>
              <w:pStyle w:val="0"/>
              <w:jc w:val="both"/>
            </w:pPr>
            <w:r>
              <w:rPr>
                <w:sz w:val="20"/>
              </w:rPr>
              <w:t xml:space="preserve">1. По профилактике ВИЧ-инфекции, в том числе с привлечением СОНКО.</w:t>
            </w:r>
          </w:p>
          <w:p>
            <w:pPr>
              <w:pStyle w:val="0"/>
              <w:jc w:val="both"/>
            </w:pPr>
            <w:r>
              <w:rPr>
                <w:sz w:val="20"/>
              </w:rPr>
              <w:t xml:space="preserve">2. По закупке диагностических тест-систем и антиретровирусных препаратов.</w:t>
            </w:r>
          </w:p>
          <w:p>
            <w:pPr>
              <w:pStyle w:val="0"/>
              <w:jc w:val="both"/>
            </w:pPr>
            <w:r>
              <w:rPr>
                <w:sz w:val="20"/>
              </w:rPr>
              <w:t xml:space="preserve">3. По закупке препаратов для лечения и профилактики оппортунистических заболеваний и лечения вирусных гепатитов B и C.</w:t>
            </w:r>
          </w:p>
          <w:p>
            <w:pPr>
              <w:pStyle w:val="0"/>
              <w:jc w:val="both"/>
            </w:pPr>
            <w:r>
              <w:rPr>
                <w:sz w:val="20"/>
              </w:rPr>
              <w:t xml:space="preserve">4. По закупке дооснащения ПЦР-лаборатории и амбулаторно-поликлинического отделения "Центр СПИД"</w:t>
            </w:r>
          </w:p>
        </w:tc>
        <w:tc>
          <w:tcPr>
            <w:tcW w:w="3742" w:type="dxa"/>
          </w:tcPr>
          <w:p>
            <w:pPr>
              <w:pStyle w:val="0"/>
              <w:jc w:val="both"/>
            </w:pPr>
            <w:r>
              <w:rPr>
                <w:sz w:val="20"/>
              </w:rPr>
              <w:t xml:space="preserve">Департамент здравоохранения города Севастополя</w:t>
            </w:r>
          </w:p>
        </w:tc>
      </w:tr>
      <w:tr>
        <w:tc>
          <w:tcPr>
            <w:gridSpan w:val="3"/>
            <w:tcW w:w="9071" w:type="dxa"/>
          </w:tcPr>
          <w:p>
            <w:pPr>
              <w:pStyle w:val="0"/>
              <w:outlineLvl w:val="3"/>
              <w:jc w:val="both"/>
            </w:pPr>
            <w:r>
              <w:rPr>
                <w:sz w:val="20"/>
              </w:rPr>
              <w:t xml:space="preserve">II. Информирование населения по вопросам ВИЧ-инфекции и профилактики ВИЧ-инфекции</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Реализация информационно-просветительской кампании по вопросам ВИЧ-инфекции и ассоциированных с ней заболеваний, в том числе с привлечением СОНКО (в пределах компетенции):</w:t>
            </w:r>
          </w:p>
          <w:p>
            <w:pPr>
              <w:pStyle w:val="0"/>
              <w:jc w:val="both"/>
            </w:pPr>
            <w:r>
              <w:rPr>
                <w:sz w:val="20"/>
              </w:rPr>
              <w:t xml:space="preserve">1. Трансляция рекламных роликов по профилактике ВИЧ-инфекции на телевидении.</w:t>
            </w:r>
          </w:p>
          <w:p>
            <w:pPr>
              <w:pStyle w:val="0"/>
              <w:jc w:val="both"/>
            </w:pPr>
            <w:r>
              <w:rPr>
                <w:sz w:val="20"/>
              </w:rPr>
              <w:t xml:space="preserve">2. Трансляция информационных роликов по профилактике СПИДа по радио.</w:t>
            </w:r>
          </w:p>
          <w:p>
            <w:pPr>
              <w:pStyle w:val="0"/>
              <w:jc w:val="both"/>
            </w:pPr>
            <w:r>
              <w:rPr>
                <w:sz w:val="20"/>
              </w:rPr>
              <w:t xml:space="preserve">3. Установка билбордов в районах города Севастополя.</w:t>
            </w:r>
          </w:p>
          <w:p>
            <w:pPr>
              <w:pStyle w:val="0"/>
              <w:jc w:val="both"/>
            </w:pPr>
            <w:r>
              <w:rPr>
                <w:sz w:val="20"/>
              </w:rPr>
              <w:t xml:space="preserve">4. Выступления на телевидении, в СМИ по профилактике заражения, клинике и лечению ВИЧ-инфекции, вопросам консультирования и тестирования на ВИЧ.</w:t>
            </w:r>
          </w:p>
          <w:p>
            <w:pPr>
              <w:pStyle w:val="0"/>
              <w:jc w:val="both"/>
            </w:pPr>
            <w:r>
              <w:rPr>
                <w:sz w:val="20"/>
              </w:rPr>
              <w:t xml:space="preserve">5. Реклама на/в транспорте: листовки, оклейка бортов и стекол в транспорте с лозунгами к здоровому образу жизни через призму ВИЧ-инфекции.</w:t>
            </w:r>
          </w:p>
          <w:p>
            <w:pPr>
              <w:pStyle w:val="0"/>
              <w:jc w:val="both"/>
            </w:pPr>
            <w:r>
              <w:rPr>
                <w:sz w:val="20"/>
              </w:rPr>
              <w:t xml:space="preserve">6. Подготовка волонтеров по вопросам профилактики ВИЧ-инфекции.</w:t>
            </w:r>
          </w:p>
          <w:p>
            <w:pPr>
              <w:pStyle w:val="0"/>
              <w:jc w:val="both"/>
            </w:pPr>
            <w:r>
              <w:rPr>
                <w:sz w:val="20"/>
              </w:rPr>
              <w:t xml:space="preserve">7. Организация профилактических мероприятий в трудовых коллективах.</w:t>
            </w:r>
          </w:p>
          <w:p>
            <w:pPr>
              <w:pStyle w:val="0"/>
              <w:jc w:val="both"/>
            </w:pPr>
            <w:r>
              <w:rPr>
                <w:sz w:val="20"/>
              </w:rPr>
              <w:t xml:space="preserve">8. Реализация профилактических программ в уязвимых группах (потребители инъекционных наркотиков, работники коммерческих организаций)</w:t>
            </w:r>
          </w:p>
        </w:tc>
        <w:tc>
          <w:tcPr>
            <w:tcW w:w="3742" w:type="dxa"/>
          </w:tcPr>
          <w:p>
            <w:pPr>
              <w:pStyle w:val="0"/>
              <w:jc w:val="both"/>
            </w:pPr>
            <w:r>
              <w:rPr>
                <w:sz w:val="20"/>
              </w:rPr>
              <w:t xml:space="preserve">Департамент здравоохранения города Севастополя;</w:t>
            </w:r>
          </w:p>
          <w:p>
            <w:pPr>
              <w:pStyle w:val="0"/>
              <w:jc w:val="both"/>
            </w:pPr>
            <w:r>
              <w:rPr>
                <w:sz w:val="20"/>
              </w:rPr>
              <w:t xml:space="preserve">Департамент образования и науки города Севастополя;</w:t>
            </w:r>
          </w:p>
          <w:p>
            <w:pPr>
              <w:pStyle w:val="0"/>
              <w:jc w:val="both"/>
            </w:pPr>
            <w:r>
              <w:rPr>
                <w:sz w:val="20"/>
              </w:rPr>
              <w:t xml:space="preserve">Управление по делам молодежи и спорта города Севастополя;</w:t>
            </w:r>
          </w:p>
          <w:p>
            <w:pPr>
              <w:pStyle w:val="0"/>
              <w:jc w:val="both"/>
            </w:pPr>
            <w:r>
              <w:rPr>
                <w:sz w:val="20"/>
              </w:rPr>
              <w:t xml:space="preserve">профсоюзные организации;</w:t>
            </w:r>
          </w:p>
          <w:p>
            <w:pPr>
              <w:pStyle w:val="0"/>
              <w:jc w:val="both"/>
            </w:pPr>
            <w:r>
              <w:rPr>
                <w:sz w:val="20"/>
              </w:rPr>
              <w:t xml:space="preserve">СОНКО</w:t>
            </w:r>
          </w:p>
        </w:tc>
      </w:tr>
      <w:tr>
        <w:tc>
          <w:tcPr>
            <w:tcW w:w="1587" w:type="dxa"/>
          </w:tcPr>
          <w:p>
            <w:pPr>
              <w:pStyle w:val="0"/>
              <w:jc w:val="both"/>
            </w:pPr>
            <w:r>
              <w:rPr>
                <w:sz w:val="20"/>
              </w:rPr>
              <w:t xml:space="preserve">2021 год, далее - ежегодно</w:t>
            </w:r>
          </w:p>
        </w:tc>
        <w:tc>
          <w:tcPr>
            <w:tcW w:w="3742" w:type="dxa"/>
          </w:tcPr>
          <w:p>
            <w:pPr>
              <w:pStyle w:val="0"/>
              <w:jc w:val="both"/>
            </w:pPr>
            <w:r>
              <w:rPr>
                <w:sz w:val="20"/>
              </w:rPr>
              <w:t xml:space="preserve">Разработка и реализация региональных межведомственных программ по привлечению к обследованиям на ВИЧ-инфекцию и ассоциированные с ней заболевания лиц из ключевых групп населения, в том числе с участием социально ориентированных некоммерческих организаций: организация мобильных и выездных форм работы (аутрич-работы за пределами медицинских организаций) по консультированию и добровольному медицинскому освидетельствованию на ВИЧ-инфекцию в ключевых группах населения</w:t>
            </w:r>
          </w:p>
        </w:tc>
        <w:tc>
          <w:tcPr>
            <w:tcW w:w="3742" w:type="dxa"/>
          </w:tcPr>
          <w:p>
            <w:pPr>
              <w:pStyle w:val="0"/>
              <w:jc w:val="both"/>
            </w:pPr>
            <w:r>
              <w:rPr>
                <w:sz w:val="20"/>
              </w:rPr>
              <w:t xml:space="preserve">Департамент здравоохранения города Севастополя;</w:t>
            </w:r>
          </w:p>
          <w:p>
            <w:pPr>
              <w:pStyle w:val="0"/>
              <w:jc w:val="both"/>
            </w:pPr>
            <w:r>
              <w:rPr>
                <w:sz w:val="20"/>
              </w:rPr>
              <w:t xml:space="preserve">СОНКО</w:t>
            </w:r>
          </w:p>
        </w:tc>
      </w:tr>
      <w:tr>
        <w:tc>
          <w:tcPr>
            <w:tcW w:w="1587" w:type="dxa"/>
          </w:tcPr>
          <w:p>
            <w:pPr>
              <w:pStyle w:val="0"/>
              <w:jc w:val="both"/>
            </w:pPr>
            <w:r>
              <w:rPr>
                <w:sz w:val="20"/>
              </w:rPr>
            </w:r>
          </w:p>
        </w:tc>
        <w:tc>
          <w:tcPr>
            <w:tcW w:w="3742" w:type="dxa"/>
          </w:tcPr>
          <w:p>
            <w:pPr>
              <w:pStyle w:val="0"/>
              <w:jc w:val="both"/>
            </w:pPr>
            <w:r>
              <w:rPr>
                <w:sz w:val="20"/>
              </w:rPr>
              <w:t xml:space="preserve">Обеспечение эффективного выполнения мероприятий по профилактике внутрибольничного заражения и профессионального инфицирования ВИЧ-инфекцией: проведение обучающих семинаров, тренингов среди сотрудников медицинских организаций города Севастополя по клинике, лечению ВИЧ-инфекции, консультированию и тестированию на ВИЧ, постконтактной профилактике, нормативной базе ВИЧ/СПИД</w:t>
            </w:r>
          </w:p>
        </w:tc>
        <w:tc>
          <w:tcPr>
            <w:tcW w:w="3742" w:type="dxa"/>
          </w:tcPr>
          <w:p>
            <w:pPr>
              <w:pStyle w:val="0"/>
              <w:jc w:val="both"/>
            </w:pPr>
            <w:r>
              <w:rPr>
                <w:sz w:val="20"/>
              </w:rPr>
              <w:t xml:space="preserve">Департамент здравоохранения города Севастополя;</w:t>
            </w:r>
          </w:p>
          <w:p>
            <w:pPr>
              <w:pStyle w:val="0"/>
              <w:jc w:val="both"/>
            </w:pPr>
            <w:r>
              <w:rPr>
                <w:sz w:val="20"/>
              </w:rPr>
              <w:t xml:space="preserve">филиал Федерального бюджетного учреждения здравоохранения "Центр гигиены и эпидемиологии в Республике Крым и городе федерального значения Севастополе" в городе федерального значения Севастополе</w:t>
            </w:r>
          </w:p>
        </w:tc>
      </w:tr>
      <w:tr>
        <w:tc>
          <w:tcPr>
            <w:gridSpan w:val="3"/>
            <w:tcW w:w="9071" w:type="dxa"/>
          </w:tcPr>
          <w:p>
            <w:pPr>
              <w:pStyle w:val="0"/>
              <w:outlineLvl w:val="3"/>
              <w:jc w:val="both"/>
            </w:pPr>
            <w:r>
              <w:rPr>
                <w:sz w:val="20"/>
              </w:rPr>
              <w:t xml:space="preserve">III. Обеспечение охвата населения эффективным скринингом на ВИЧ-инфекцию</w:t>
            </w:r>
          </w:p>
        </w:tc>
      </w:tr>
      <w:tr>
        <w:tblPrEx>
          <w:tblBorders>
            <w:insideH w:val="nil"/>
          </w:tblBorders>
        </w:tblPrEx>
        <w:tc>
          <w:tcPr>
            <w:tcW w:w="1587" w:type="dxa"/>
            <w:tcBorders>
              <w:bottom w:val="nil"/>
            </w:tcBorders>
          </w:tcPr>
          <w:p>
            <w:pPr>
              <w:pStyle w:val="0"/>
              <w:jc w:val="both"/>
            </w:pPr>
            <w:r>
              <w:rPr>
                <w:sz w:val="20"/>
              </w:rPr>
              <w:t xml:space="preserve">2021 год, далее - ежегодно</w:t>
            </w:r>
          </w:p>
        </w:tc>
        <w:tc>
          <w:tcPr>
            <w:tcW w:w="3742" w:type="dxa"/>
            <w:tcBorders>
              <w:bottom w:val="nil"/>
            </w:tcBorders>
          </w:tcPr>
          <w:p>
            <w:pPr>
              <w:pStyle w:val="0"/>
              <w:jc w:val="both"/>
            </w:pPr>
            <w:r>
              <w:rPr>
                <w:sz w:val="20"/>
              </w:rPr>
              <w:t xml:space="preserve">Разработка/актуализация нормативных правовых актов исполнительного органа города Севастополя в сфере охраны здоровья, определяющих порядок выявления, оказания медицинской помощи (амбулаторно-поликлинической стационарной), психосоциальной и паллиативной помощи ВИЧ-инфицированным пациентам, профилактики ВИЧ-инфекции</w:t>
            </w:r>
          </w:p>
        </w:tc>
        <w:tc>
          <w:tcPr>
            <w:tcW w:w="3742" w:type="dxa"/>
            <w:tcBorders>
              <w:bottom w:val="nil"/>
            </w:tcBorders>
          </w:tcPr>
          <w:p>
            <w:pPr>
              <w:pStyle w:val="0"/>
              <w:jc w:val="both"/>
            </w:pPr>
            <w:r>
              <w:rPr>
                <w:sz w:val="20"/>
              </w:rPr>
              <w:t xml:space="preserve">Департамент здравоохранения города Севастополя</w:t>
            </w:r>
          </w:p>
        </w:tc>
      </w:tr>
      <w:tr>
        <w:tblPrEx>
          <w:tblBorders>
            <w:insideH w:val="nil"/>
          </w:tblBorders>
        </w:tblPrEx>
        <w:tc>
          <w:tcPr>
            <w:gridSpan w:val="3"/>
            <w:tcW w:w="9071" w:type="dxa"/>
            <w:tcBorders>
              <w:top w:val="nil"/>
            </w:tcBorders>
          </w:tcPr>
          <w:p>
            <w:pPr>
              <w:pStyle w:val="0"/>
              <w:jc w:val="both"/>
            </w:pPr>
            <w:r>
              <w:rPr>
                <w:sz w:val="20"/>
              </w:rPr>
              <w:t xml:space="preserve">(в ред. </w:t>
            </w:r>
            <w:hyperlink w:history="0" r:id="rId977" w:tooltip="Постановление Правительства Севастополя от 10.11.2022 N 561-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10.11.2022 N 561-ПП)</w:t>
            </w:r>
          </w:p>
        </w:tc>
      </w:tr>
      <w:tr>
        <w:tc>
          <w:tcPr>
            <w:tcW w:w="1587" w:type="dxa"/>
          </w:tcPr>
          <w:p>
            <w:pPr>
              <w:pStyle w:val="0"/>
              <w:jc w:val="both"/>
            </w:pPr>
            <w:r>
              <w:rPr>
                <w:sz w:val="20"/>
              </w:rPr>
              <w:t xml:space="preserve">2022</w:t>
            </w:r>
          </w:p>
        </w:tc>
        <w:tc>
          <w:tcPr>
            <w:tcW w:w="3742" w:type="dxa"/>
          </w:tcPr>
          <w:p>
            <w:pPr>
              <w:pStyle w:val="0"/>
              <w:jc w:val="both"/>
            </w:pPr>
            <w:r>
              <w:rPr>
                <w:sz w:val="20"/>
              </w:rPr>
              <w:t xml:space="preserve">Повышение эффективности работы медицинских организаций первичного звена здравоохранения по выявлению ВИЧ-инфекции, в том числе в отношении беременных женщин: внедрение выездных форм работы, в том числе с использованием мобильных амбулаторно-диагностических комплексов, открытие кабинетов дотестового и послетестового консультирования во всех лечебных учреждениях города Севастополя, подведомственных Департаменту здравоохранения города Севастополя</w:t>
            </w:r>
          </w:p>
        </w:tc>
        <w:tc>
          <w:tcPr>
            <w:tcW w:w="3742" w:type="dxa"/>
          </w:tcPr>
          <w:p>
            <w:pPr>
              <w:pStyle w:val="0"/>
              <w:jc w:val="both"/>
            </w:pPr>
            <w:r>
              <w:rPr>
                <w:sz w:val="20"/>
              </w:rPr>
              <w:t xml:space="preserve">Департамент здравоохранения города Севастополя</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Применение экспресс-тестов на ВИЧ в случаях необходимости проведения вертикальной профилактики ВИЧ-инфекции, предусматривающей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при родах) и другие ургентные ситуации</w:t>
            </w:r>
          </w:p>
        </w:tc>
        <w:tc>
          <w:tcPr>
            <w:tcW w:w="3742" w:type="dxa"/>
          </w:tcPr>
          <w:p>
            <w:pPr>
              <w:pStyle w:val="0"/>
              <w:jc w:val="both"/>
            </w:pPr>
            <w:r>
              <w:rPr>
                <w:sz w:val="20"/>
              </w:rPr>
              <w:t xml:space="preserve">Департамент здравоохранения города Севастополя</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Постконтактная профилактика, ВИЧ-тестирование на ВИЧ-инфекцию в случае аварийной ситуации</w:t>
            </w:r>
          </w:p>
        </w:tc>
        <w:tc>
          <w:tcPr>
            <w:tcW w:w="3742" w:type="dxa"/>
          </w:tcPr>
          <w:p>
            <w:pPr>
              <w:pStyle w:val="0"/>
              <w:jc w:val="both"/>
            </w:pPr>
            <w:r>
              <w:rPr>
                <w:sz w:val="20"/>
              </w:rPr>
              <w:t xml:space="preserve">Департамент здравоохранения города Севастополя</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Скрининговое обследование на ВИЧ-инфекцию в случае проведения санитарно-противоэпидемических (профилактических) мероприятий</w:t>
            </w:r>
          </w:p>
        </w:tc>
        <w:tc>
          <w:tcPr>
            <w:tcW w:w="3742" w:type="dxa"/>
          </w:tcPr>
          <w:p>
            <w:pPr>
              <w:pStyle w:val="0"/>
              <w:jc w:val="both"/>
            </w:pPr>
            <w:r>
              <w:rPr>
                <w:sz w:val="20"/>
              </w:rPr>
              <w:t xml:space="preserve">Департамент здравоохранения города Севастополя</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Проведение экспресс-оценки распространенности ВИЧ-инфекции при проведении выборочных эпидемиологических исследований на ВИЧ-инфекцию</w:t>
            </w:r>
          </w:p>
        </w:tc>
        <w:tc>
          <w:tcPr>
            <w:tcW w:w="3742" w:type="dxa"/>
          </w:tcPr>
          <w:p>
            <w:pPr>
              <w:pStyle w:val="0"/>
              <w:jc w:val="both"/>
            </w:pPr>
            <w:r>
              <w:rPr>
                <w:sz w:val="20"/>
              </w:rPr>
              <w:t xml:space="preserve">Департамент здравоохранения города Севастополя</w:t>
            </w:r>
          </w:p>
        </w:tc>
      </w:tr>
      <w:tr>
        <w:tc>
          <w:tcPr>
            <w:gridSpan w:val="3"/>
            <w:tcW w:w="9071" w:type="dxa"/>
          </w:tcPr>
          <w:p>
            <w:pPr>
              <w:pStyle w:val="0"/>
              <w:outlineLvl w:val="3"/>
              <w:jc w:val="both"/>
            </w:pPr>
            <w:r>
              <w:rPr>
                <w:sz w:val="20"/>
              </w:rPr>
              <w:t xml:space="preserve">IV. Увеличение охвата антиретровирусной терапией лиц с ВИЧ-инфекцией и дальнейшее снижение рисков передачи ВИЧ-инфекции от матери к ребенку</w:t>
            </w:r>
          </w:p>
        </w:tc>
      </w:tr>
      <w:tr>
        <w:tc>
          <w:tcPr>
            <w:tcW w:w="1587" w:type="dxa"/>
          </w:tcPr>
          <w:p>
            <w:pPr>
              <w:pStyle w:val="0"/>
              <w:jc w:val="both"/>
            </w:pPr>
            <w:r>
              <w:rPr>
                <w:sz w:val="20"/>
              </w:rPr>
              <w:t xml:space="preserve">2021 год</w:t>
            </w:r>
          </w:p>
        </w:tc>
        <w:tc>
          <w:tcPr>
            <w:tcW w:w="3742" w:type="dxa"/>
          </w:tcPr>
          <w:p>
            <w:pPr>
              <w:pStyle w:val="0"/>
              <w:jc w:val="both"/>
            </w:pPr>
            <w:r>
              <w:rPr>
                <w:sz w:val="20"/>
              </w:rPr>
              <w:t xml:space="preserve">Повышение доступности антиретровирусной терапии для больных ВИЧ-инфекцией: совершенствование нормативных актов города Севастополя с целью исключения возможности отказов в терапии лицам, не имеющим регистрации в городе Севастополе;</w:t>
            </w:r>
          </w:p>
          <w:p>
            <w:pPr>
              <w:pStyle w:val="0"/>
              <w:jc w:val="both"/>
            </w:pPr>
            <w:r>
              <w:rPr>
                <w:sz w:val="20"/>
              </w:rPr>
              <w:t xml:space="preserve">дополнительная закупка препаратов для лечения ВИЧ-инфекции и вирусных гепатитов B и C</w:t>
            </w:r>
          </w:p>
        </w:tc>
        <w:tc>
          <w:tcPr>
            <w:tcW w:w="3742" w:type="dxa"/>
          </w:tcPr>
          <w:p>
            <w:pPr>
              <w:pStyle w:val="0"/>
              <w:jc w:val="both"/>
            </w:pPr>
            <w:r>
              <w:rPr>
                <w:sz w:val="20"/>
              </w:rPr>
              <w:t xml:space="preserve">Департамент здравоохранения города Севастополя</w:t>
            </w:r>
          </w:p>
        </w:tc>
      </w:tr>
      <w:tr>
        <w:tc>
          <w:tcPr>
            <w:tcW w:w="1587" w:type="dxa"/>
          </w:tcPr>
          <w:p>
            <w:pPr>
              <w:pStyle w:val="0"/>
              <w:jc w:val="both"/>
            </w:pPr>
            <w:r>
              <w:rPr>
                <w:sz w:val="20"/>
              </w:rPr>
              <w:t xml:space="preserve">2022 год</w:t>
            </w:r>
          </w:p>
        </w:tc>
        <w:tc>
          <w:tcPr>
            <w:tcW w:w="3742" w:type="dxa"/>
          </w:tcPr>
          <w:p>
            <w:pPr>
              <w:pStyle w:val="0"/>
              <w:jc w:val="both"/>
            </w:pPr>
            <w:r>
              <w:rPr>
                <w:sz w:val="20"/>
              </w:rPr>
              <w:t xml:space="preserve">Повышение доступности антиретровирусной терапии для проведения превентивной химиопрофилактики лицам, подвергшимся риску заражения ВИЧ-инфекцией.</w:t>
            </w:r>
          </w:p>
          <w:p>
            <w:pPr>
              <w:pStyle w:val="0"/>
              <w:jc w:val="both"/>
            </w:pPr>
            <w:r>
              <w:rPr>
                <w:sz w:val="20"/>
              </w:rPr>
              <w:t xml:space="preserve">Внедрение доконтактной профилактики заражения ВИЧ-инфекцией в особо уязвимых группах населения</w:t>
            </w:r>
          </w:p>
        </w:tc>
        <w:tc>
          <w:tcPr>
            <w:tcW w:w="3742" w:type="dxa"/>
          </w:tcPr>
          <w:p>
            <w:pPr>
              <w:pStyle w:val="0"/>
              <w:jc w:val="both"/>
            </w:pPr>
            <w:r>
              <w:rPr>
                <w:sz w:val="20"/>
              </w:rPr>
              <w:t xml:space="preserve">Департамент здравоохранения города Севастополя</w:t>
            </w:r>
          </w:p>
        </w:tc>
      </w:tr>
      <w:tr>
        <w:tc>
          <w:tcPr>
            <w:gridSpan w:val="3"/>
            <w:tcW w:w="9071" w:type="dxa"/>
          </w:tcPr>
          <w:p>
            <w:pPr>
              <w:pStyle w:val="0"/>
              <w:outlineLvl w:val="3"/>
              <w:jc w:val="both"/>
            </w:pPr>
            <w:r>
              <w:rPr>
                <w:sz w:val="20"/>
              </w:rPr>
              <w:t xml:space="preserve">V. Предоставление социальной поддержки ВИЧ-инфицированным, обеспечение высокого качества жизни детей с ВИЧ-инфекцией</w:t>
            </w:r>
          </w:p>
        </w:tc>
      </w:tr>
      <w:tr>
        <w:tc>
          <w:tcPr>
            <w:tcW w:w="1587" w:type="dxa"/>
          </w:tcPr>
          <w:p>
            <w:pPr>
              <w:pStyle w:val="0"/>
              <w:jc w:val="both"/>
            </w:pPr>
            <w:r>
              <w:rPr>
                <w:sz w:val="20"/>
              </w:rPr>
              <w:t xml:space="preserve">2022 год</w:t>
            </w:r>
          </w:p>
        </w:tc>
        <w:tc>
          <w:tcPr>
            <w:tcW w:w="3742" w:type="dxa"/>
          </w:tcPr>
          <w:p>
            <w:pPr>
              <w:pStyle w:val="0"/>
              <w:jc w:val="both"/>
            </w:pPr>
            <w:r>
              <w:rPr>
                <w:sz w:val="20"/>
              </w:rPr>
              <w:t xml:space="preserve">Разработка региональных программ по медико-социальному сопровождению, психологической и юридической поддержке лиц с ВИЧ-инфекцией</w:t>
            </w:r>
          </w:p>
        </w:tc>
        <w:tc>
          <w:tcPr>
            <w:tcW w:w="3742" w:type="dxa"/>
          </w:tcPr>
          <w:p>
            <w:pPr>
              <w:pStyle w:val="0"/>
              <w:jc w:val="both"/>
            </w:pPr>
            <w:r>
              <w:rPr>
                <w:sz w:val="20"/>
              </w:rPr>
              <w:t xml:space="preserve">Департамент здравоохранения города Севастополя;</w:t>
            </w:r>
          </w:p>
          <w:p>
            <w:pPr>
              <w:pStyle w:val="0"/>
              <w:jc w:val="both"/>
            </w:pPr>
            <w:r>
              <w:rPr>
                <w:sz w:val="20"/>
              </w:rPr>
              <w:t xml:space="preserve">СОНКО</w:t>
            </w:r>
          </w:p>
        </w:tc>
      </w:tr>
      <w:tr>
        <w:tc>
          <w:tcPr>
            <w:tcW w:w="1587" w:type="dxa"/>
          </w:tcPr>
          <w:p>
            <w:pPr>
              <w:pStyle w:val="0"/>
              <w:jc w:val="both"/>
            </w:pPr>
            <w:r>
              <w:rPr>
                <w:sz w:val="20"/>
              </w:rPr>
              <w:t xml:space="preserve">2021 год</w:t>
            </w:r>
          </w:p>
        </w:tc>
        <w:tc>
          <w:tcPr>
            <w:tcW w:w="3742" w:type="dxa"/>
          </w:tcPr>
          <w:p>
            <w:pPr>
              <w:pStyle w:val="0"/>
              <w:jc w:val="both"/>
            </w:pPr>
            <w:r>
              <w:rPr>
                <w:sz w:val="20"/>
              </w:rPr>
              <w:t xml:space="preserve">Разработка и реализация программ по профилактике стигматизации и психолого-педагогической помощи обучающимся, инфицированным ВИЧ</w:t>
            </w:r>
          </w:p>
        </w:tc>
        <w:tc>
          <w:tcPr>
            <w:tcW w:w="3742" w:type="dxa"/>
          </w:tcPr>
          <w:p>
            <w:pPr>
              <w:pStyle w:val="0"/>
              <w:jc w:val="both"/>
            </w:pPr>
            <w:r>
              <w:rPr>
                <w:sz w:val="20"/>
              </w:rPr>
              <w:t xml:space="preserve">Департамент здравоохранения города Севастополя;</w:t>
            </w:r>
          </w:p>
          <w:p>
            <w:pPr>
              <w:pStyle w:val="0"/>
              <w:jc w:val="both"/>
            </w:pPr>
            <w:r>
              <w:rPr>
                <w:sz w:val="20"/>
              </w:rPr>
              <w:t xml:space="preserve">Департамент образования и науки города Севастополя;</w:t>
            </w:r>
          </w:p>
          <w:p>
            <w:pPr>
              <w:pStyle w:val="0"/>
              <w:jc w:val="both"/>
            </w:pPr>
            <w:r>
              <w:rPr>
                <w:sz w:val="20"/>
              </w:rPr>
              <w:t xml:space="preserve">Управление по делам молодежи и спорта города Севастополя;</w:t>
            </w:r>
          </w:p>
          <w:p>
            <w:pPr>
              <w:pStyle w:val="0"/>
              <w:jc w:val="both"/>
            </w:pPr>
            <w:r>
              <w:rPr>
                <w:sz w:val="20"/>
              </w:rPr>
              <w:t xml:space="preserve">СОНКО</w:t>
            </w:r>
          </w:p>
        </w:tc>
      </w:tr>
      <w:tr>
        <w:tc>
          <w:tcPr>
            <w:tcW w:w="1587" w:type="dxa"/>
          </w:tcPr>
          <w:p>
            <w:pPr>
              <w:pStyle w:val="0"/>
              <w:jc w:val="both"/>
            </w:pPr>
            <w:r>
              <w:rPr>
                <w:sz w:val="20"/>
              </w:rPr>
              <w:t xml:space="preserve">2022 год</w:t>
            </w:r>
          </w:p>
        </w:tc>
        <w:tc>
          <w:tcPr>
            <w:tcW w:w="3742" w:type="dxa"/>
          </w:tcPr>
          <w:p>
            <w:pPr>
              <w:pStyle w:val="0"/>
              <w:jc w:val="both"/>
            </w:pPr>
            <w:r>
              <w:rPr>
                <w:sz w:val="20"/>
              </w:rPr>
              <w:t xml:space="preserve">Разработка мер социальной поддержки ВИЧ-инфицированных женщин и рожденных от них детей</w:t>
            </w:r>
          </w:p>
        </w:tc>
        <w:tc>
          <w:tcPr>
            <w:tcW w:w="3742" w:type="dxa"/>
          </w:tcPr>
          <w:p>
            <w:pPr>
              <w:pStyle w:val="0"/>
              <w:jc w:val="both"/>
            </w:pPr>
            <w:r>
              <w:rPr>
                <w:sz w:val="20"/>
              </w:rPr>
              <w:t xml:space="preserve">Департамент здравоохранения города Севастополя;</w:t>
            </w:r>
          </w:p>
          <w:p>
            <w:pPr>
              <w:pStyle w:val="0"/>
              <w:jc w:val="both"/>
            </w:pPr>
            <w:r>
              <w:rPr>
                <w:sz w:val="20"/>
              </w:rPr>
              <w:t xml:space="preserve">СОНКО</w:t>
            </w:r>
          </w:p>
        </w:tc>
      </w:tr>
      <w:tr>
        <w:tc>
          <w:tcPr>
            <w:tcW w:w="1587" w:type="dxa"/>
          </w:tcPr>
          <w:p>
            <w:pPr>
              <w:pStyle w:val="0"/>
              <w:jc w:val="both"/>
            </w:pPr>
            <w:r>
              <w:rPr>
                <w:sz w:val="20"/>
              </w:rPr>
              <w:t xml:space="preserve">2021 год</w:t>
            </w:r>
          </w:p>
        </w:tc>
        <w:tc>
          <w:tcPr>
            <w:tcW w:w="3742" w:type="dxa"/>
          </w:tcPr>
          <w:p>
            <w:pPr>
              <w:pStyle w:val="0"/>
              <w:jc w:val="both"/>
            </w:pPr>
            <w:r>
              <w:rPr>
                <w:sz w:val="20"/>
              </w:rPr>
              <w:t xml:space="preserve">Организация обеспечения детей, рожденных ВИЧ-инфицированными матерями, искусственным питанием</w:t>
            </w:r>
          </w:p>
        </w:tc>
        <w:tc>
          <w:tcPr>
            <w:tcW w:w="3742" w:type="dxa"/>
          </w:tcPr>
          <w:p>
            <w:pPr>
              <w:pStyle w:val="0"/>
              <w:jc w:val="both"/>
            </w:pPr>
            <w:r>
              <w:rPr>
                <w:sz w:val="20"/>
              </w:rPr>
              <w:t xml:space="preserve">Департамент здравоохранения города Севастополя</w:t>
            </w:r>
          </w:p>
        </w:tc>
      </w:tr>
      <w:tr>
        <w:tc>
          <w:tcPr>
            <w:tcW w:w="1587" w:type="dxa"/>
          </w:tcPr>
          <w:p>
            <w:pPr>
              <w:pStyle w:val="0"/>
              <w:jc w:val="both"/>
            </w:pPr>
            <w:r>
              <w:rPr>
                <w:sz w:val="20"/>
              </w:rPr>
              <w:t xml:space="preserve">2021 год</w:t>
            </w:r>
          </w:p>
        </w:tc>
        <w:tc>
          <w:tcPr>
            <w:tcW w:w="3742" w:type="dxa"/>
          </w:tcPr>
          <w:p>
            <w:pPr>
              <w:pStyle w:val="0"/>
              <w:jc w:val="both"/>
            </w:pPr>
            <w:r>
              <w:rPr>
                <w:sz w:val="20"/>
              </w:rPr>
              <w:t xml:space="preserve">Совершенствование оказания паллиативной помощи ВИЧ-инфицированным - выделение паллиативных коек</w:t>
            </w:r>
          </w:p>
        </w:tc>
        <w:tc>
          <w:tcPr>
            <w:tcW w:w="3742" w:type="dxa"/>
          </w:tcPr>
          <w:p>
            <w:pPr>
              <w:pStyle w:val="0"/>
              <w:jc w:val="both"/>
            </w:pPr>
            <w:r>
              <w:rPr>
                <w:sz w:val="20"/>
              </w:rPr>
              <w:t xml:space="preserve">Департамент здравоохранения города Севастополя</w:t>
            </w:r>
          </w:p>
        </w:tc>
      </w:tr>
      <w:tr>
        <w:tc>
          <w:tcPr>
            <w:gridSpan w:val="3"/>
            <w:tcW w:w="9071" w:type="dxa"/>
          </w:tcPr>
          <w:p>
            <w:pPr>
              <w:pStyle w:val="0"/>
              <w:outlineLvl w:val="3"/>
              <w:jc w:val="both"/>
            </w:pPr>
            <w:r>
              <w:rPr>
                <w:sz w:val="20"/>
              </w:rPr>
              <w:t xml:space="preserve">VI. Использование достижений науки и практики при проведении медицинской профилактики ВИЧ-инфекции и оказании медицинской помощи лицам с ВИЧ-инфекцией</w:t>
            </w:r>
          </w:p>
        </w:tc>
      </w:tr>
      <w:tr>
        <w:tc>
          <w:tcPr>
            <w:tcW w:w="1587" w:type="dxa"/>
          </w:tcPr>
          <w:p>
            <w:pPr>
              <w:pStyle w:val="0"/>
              <w:jc w:val="both"/>
            </w:pPr>
            <w:r>
              <w:rPr>
                <w:sz w:val="20"/>
              </w:rPr>
              <w:t xml:space="preserve">2021 год</w:t>
            </w:r>
          </w:p>
        </w:tc>
        <w:tc>
          <w:tcPr>
            <w:tcW w:w="3742" w:type="dxa"/>
          </w:tcPr>
          <w:p>
            <w:pPr>
              <w:pStyle w:val="0"/>
              <w:jc w:val="both"/>
            </w:pPr>
            <w:r>
              <w:rPr>
                <w:sz w:val="20"/>
              </w:rPr>
              <w:t xml:space="preserve">Совершенствование ПЦР-диагностики:</w:t>
            </w:r>
          </w:p>
          <w:p>
            <w:pPr>
              <w:pStyle w:val="0"/>
              <w:jc w:val="both"/>
            </w:pPr>
            <w:r>
              <w:rPr>
                <w:sz w:val="20"/>
              </w:rPr>
              <w:t xml:space="preserve">- оснащение лаборатории на базе ГБУЗС "Городская инфекционная больница";</w:t>
            </w:r>
          </w:p>
          <w:p>
            <w:pPr>
              <w:pStyle w:val="0"/>
              <w:jc w:val="both"/>
            </w:pPr>
            <w:r>
              <w:rPr>
                <w:sz w:val="20"/>
              </w:rPr>
              <w:t xml:space="preserve">- ранняя диагностика ВИЧ-инфекции у детей;</w:t>
            </w:r>
          </w:p>
          <w:p>
            <w:pPr>
              <w:pStyle w:val="0"/>
              <w:jc w:val="both"/>
            </w:pPr>
            <w:r>
              <w:rPr>
                <w:sz w:val="20"/>
              </w:rPr>
              <w:t xml:space="preserve">- определение HLA 5701 (с целью исключения жизнеугрожающих аллергических реакций при назначении препарата абакавир в соответствии с клиническими рекомендациями лечения ВИЧ у взрослых и детей);</w:t>
            </w:r>
          </w:p>
          <w:p>
            <w:pPr>
              <w:pStyle w:val="0"/>
              <w:jc w:val="both"/>
            </w:pPr>
            <w:r>
              <w:rPr>
                <w:sz w:val="20"/>
              </w:rPr>
              <w:t xml:space="preserve">- определение устойчивости к антиретровирусным препаратам (проведение теста на резистентность в соответствии с клиническими рекомендациями)</w:t>
            </w:r>
          </w:p>
        </w:tc>
        <w:tc>
          <w:tcPr>
            <w:tcW w:w="3742" w:type="dxa"/>
          </w:tcPr>
          <w:p>
            <w:pPr>
              <w:pStyle w:val="0"/>
              <w:jc w:val="both"/>
            </w:pPr>
            <w:r>
              <w:rPr>
                <w:sz w:val="20"/>
              </w:rPr>
              <w:t xml:space="preserve">Департамент здравоохранения города Севастополя</w:t>
            </w:r>
          </w:p>
        </w:tc>
      </w:tr>
      <w:tr>
        <w:tc>
          <w:tcPr>
            <w:gridSpan w:val="3"/>
            <w:tcW w:w="9071" w:type="dxa"/>
          </w:tcPr>
          <w:p>
            <w:pPr>
              <w:pStyle w:val="0"/>
              <w:outlineLvl w:val="3"/>
              <w:jc w:val="both"/>
            </w:pPr>
            <w:r>
              <w:rPr>
                <w:sz w:val="20"/>
              </w:rPr>
              <w:t xml:space="preserve">VII. Совершенствование эпидемиологического контроля и надзора за распространением ВИЧ-инфекции в городе Севастополе</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Организация мониторинга отдельных медико-демографических показателей</w:t>
            </w:r>
          </w:p>
        </w:tc>
        <w:tc>
          <w:tcPr>
            <w:tcW w:w="3742" w:type="dxa"/>
          </w:tcPr>
          <w:p>
            <w:pPr>
              <w:pStyle w:val="0"/>
              <w:jc w:val="both"/>
            </w:pPr>
            <w:r>
              <w:rPr>
                <w:sz w:val="20"/>
              </w:rPr>
              <w:t xml:space="preserve">Департамент здравоохранения города Севастополя</w:t>
            </w:r>
          </w:p>
        </w:tc>
      </w:tr>
      <w:tr>
        <w:tc>
          <w:tcPr>
            <w:gridSpan w:val="3"/>
            <w:tcW w:w="9071" w:type="dxa"/>
          </w:tcPr>
          <w:p>
            <w:pPr>
              <w:pStyle w:val="0"/>
              <w:outlineLvl w:val="3"/>
              <w:jc w:val="both"/>
            </w:pPr>
            <w:r>
              <w:rPr>
                <w:sz w:val="20"/>
              </w:rPr>
              <w:t xml:space="preserve">VIII. Совершенствование организации деятельности, материально-технического и кадрового обеспечения организаций, оказывающих помощь лицам с ВИЧ-инфекцией</w:t>
            </w:r>
          </w:p>
        </w:tc>
      </w:tr>
      <w:tr>
        <w:tc>
          <w:tcPr>
            <w:tcW w:w="1587" w:type="dxa"/>
          </w:tcPr>
          <w:p>
            <w:pPr>
              <w:pStyle w:val="0"/>
              <w:jc w:val="both"/>
            </w:pPr>
            <w:r>
              <w:rPr>
                <w:sz w:val="20"/>
              </w:rPr>
              <w:t xml:space="preserve">Ежегодно</w:t>
            </w:r>
          </w:p>
        </w:tc>
        <w:tc>
          <w:tcPr>
            <w:tcW w:w="3742" w:type="dxa"/>
          </w:tcPr>
          <w:p>
            <w:pPr>
              <w:pStyle w:val="0"/>
              <w:jc w:val="both"/>
            </w:pPr>
            <w:r>
              <w:rPr>
                <w:sz w:val="20"/>
              </w:rPr>
              <w:t xml:space="preserve">Оснащение медицинских организаций города Севастополя, оказывающих медицинскую помощь больным ВИЧ-инфекцией, достаточными материально-техническими ресурсами и оборудованием для оказания медицинской помощи: проведение инвентаризации медицинских организаций, создание оптимальной инфраструктуры, дооснащение медицинским оборудованием в соответствии с порядком оказания медицинской помощи при ВИЧ-инфекции</w:t>
            </w:r>
          </w:p>
        </w:tc>
        <w:tc>
          <w:tcPr>
            <w:tcW w:w="3742" w:type="dxa"/>
          </w:tcPr>
          <w:p>
            <w:pPr>
              <w:pStyle w:val="0"/>
              <w:jc w:val="both"/>
            </w:pPr>
            <w:r>
              <w:rPr>
                <w:sz w:val="20"/>
              </w:rPr>
              <w:t xml:space="preserve">Департамент здравоохранения города Севастополя</w:t>
            </w:r>
          </w:p>
        </w:tc>
      </w:tr>
      <w:tr>
        <w:tc>
          <w:tcPr>
            <w:tcW w:w="1587" w:type="dxa"/>
          </w:tcPr>
          <w:p>
            <w:pPr>
              <w:pStyle w:val="0"/>
              <w:jc w:val="both"/>
            </w:pPr>
            <w:r>
              <w:rPr>
                <w:sz w:val="20"/>
              </w:rPr>
              <w:t xml:space="preserve">2021 год, далее - ежегодно</w:t>
            </w:r>
          </w:p>
        </w:tc>
        <w:tc>
          <w:tcPr>
            <w:tcW w:w="3742" w:type="dxa"/>
          </w:tcPr>
          <w:p>
            <w:pPr>
              <w:pStyle w:val="0"/>
              <w:jc w:val="both"/>
            </w:pPr>
            <w:r>
              <w:rPr>
                <w:sz w:val="20"/>
              </w:rPr>
              <w:t xml:space="preserve">Обеспечение подготовки кадров, оказывающих медицинскую помощь больным ВИЧ-инфекцией</w:t>
            </w:r>
          </w:p>
        </w:tc>
        <w:tc>
          <w:tcPr>
            <w:tcW w:w="3742" w:type="dxa"/>
          </w:tcPr>
          <w:p>
            <w:pPr>
              <w:pStyle w:val="0"/>
              <w:jc w:val="both"/>
            </w:pPr>
            <w:r>
              <w:rPr>
                <w:sz w:val="20"/>
              </w:rPr>
              <w:t xml:space="preserve">Департамент здравоохранения города Севастополя</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2</w:t>
      </w:r>
    </w:p>
    <w:p>
      <w:pPr>
        <w:pStyle w:val="0"/>
        <w:jc w:val="right"/>
      </w:pPr>
      <w:r>
        <w:rPr>
          <w:sz w:val="20"/>
        </w:rPr>
        <w:t xml:space="preserve">к региональной программе</w:t>
      </w:r>
    </w:p>
    <w:p>
      <w:pPr>
        <w:pStyle w:val="0"/>
        <w:jc w:val="right"/>
      </w:pPr>
      <w:r>
        <w:rPr>
          <w:sz w:val="20"/>
        </w:rPr>
        <w:t xml:space="preserve">противодействия распространению ВИЧ-инфекции</w:t>
      </w:r>
    </w:p>
    <w:p>
      <w:pPr>
        <w:pStyle w:val="0"/>
        <w:jc w:val="right"/>
      </w:pPr>
      <w:r>
        <w:rPr>
          <w:sz w:val="20"/>
        </w:rPr>
        <w:t xml:space="preserve">в городе Севастополе на период до 2030 года</w:t>
      </w:r>
    </w:p>
    <w:p>
      <w:pPr>
        <w:pStyle w:val="0"/>
      </w:pPr>
      <w:r>
        <w:rPr>
          <w:sz w:val="20"/>
        </w:rPr>
      </w:r>
    </w:p>
    <w:p>
      <w:pPr>
        <w:pStyle w:val="2"/>
        <w:jc w:val="center"/>
      </w:pPr>
      <w:r>
        <w:rPr>
          <w:sz w:val="20"/>
        </w:rPr>
        <w:t xml:space="preserve">Целевые показатели реализации региональной программы</w:t>
      </w:r>
    </w:p>
    <w:p>
      <w:pPr>
        <w:pStyle w:val="2"/>
        <w:jc w:val="center"/>
      </w:pPr>
      <w:r>
        <w:rPr>
          <w:sz w:val="20"/>
        </w:rPr>
        <w:t xml:space="preserve">противодействия распространению ВИЧ-инфекции в городе</w:t>
      </w:r>
    </w:p>
    <w:p>
      <w:pPr>
        <w:pStyle w:val="2"/>
        <w:jc w:val="center"/>
      </w:pPr>
      <w:r>
        <w:rPr>
          <w:sz w:val="20"/>
        </w:rPr>
        <w:t xml:space="preserve">Севастополе на период до 2030 года</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8"/>
        <w:gridCol w:w="658"/>
        <w:gridCol w:w="658"/>
        <w:gridCol w:w="658"/>
        <w:gridCol w:w="658"/>
        <w:gridCol w:w="658"/>
        <w:gridCol w:w="658"/>
        <w:gridCol w:w="658"/>
        <w:gridCol w:w="658"/>
        <w:gridCol w:w="664"/>
      </w:tblGrid>
      <w:tr>
        <w:tc>
          <w:tcPr>
            <w:tcW w:w="2438" w:type="dxa"/>
            <w:vMerge w:val="restart"/>
          </w:tcPr>
          <w:p>
            <w:pPr>
              <w:pStyle w:val="0"/>
              <w:jc w:val="center"/>
            </w:pPr>
            <w:r>
              <w:rPr>
                <w:sz w:val="20"/>
              </w:rPr>
              <w:t xml:space="preserve">Наименование критерия</w:t>
            </w:r>
          </w:p>
        </w:tc>
        <w:tc>
          <w:tcPr>
            <w:gridSpan w:val="10"/>
            <w:tcW w:w="6586" w:type="dxa"/>
          </w:tcPr>
          <w:p>
            <w:pPr>
              <w:pStyle w:val="0"/>
              <w:jc w:val="center"/>
            </w:pPr>
            <w:r>
              <w:rPr>
                <w:sz w:val="20"/>
              </w:rPr>
              <w:t xml:space="preserve">Значение критериев (не менее)</w:t>
            </w:r>
          </w:p>
        </w:tc>
      </w:tr>
      <w:tr>
        <w:tc>
          <w:tcPr>
            <w:vMerge w:val="continue"/>
          </w:tcPr>
          <w:p/>
        </w:tc>
        <w:tc>
          <w:tcPr>
            <w:tcW w:w="658" w:type="dxa"/>
          </w:tcPr>
          <w:p>
            <w:pPr>
              <w:pStyle w:val="0"/>
              <w:jc w:val="center"/>
            </w:pPr>
            <w:r>
              <w:rPr>
                <w:sz w:val="20"/>
              </w:rPr>
              <w:t xml:space="preserve">2021 год</w:t>
            </w:r>
          </w:p>
        </w:tc>
        <w:tc>
          <w:tcPr>
            <w:tcW w:w="658" w:type="dxa"/>
          </w:tcPr>
          <w:p>
            <w:pPr>
              <w:pStyle w:val="0"/>
              <w:jc w:val="center"/>
            </w:pPr>
            <w:r>
              <w:rPr>
                <w:sz w:val="20"/>
              </w:rPr>
              <w:t xml:space="preserve">2022 год</w:t>
            </w:r>
          </w:p>
        </w:tc>
        <w:tc>
          <w:tcPr>
            <w:tcW w:w="658" w:type="dxa"/>
          </w:tcPr>
          <w:p>
            <w:pPr>
              <w:pStyle w:val="0"/>
              <w:jc w:val="center"/>
            </w:pPr>
            <w:r>
              <w:rPr>
                <w:sz w:val="20"/>
              </w:rPr>
              <w:t xml:space="preserve">2023 год</w:t>
            </w:r>
          </w:p>
        </w:tc>
        <w:tc>
          <w:tcPr>
            <w:tcW w:w="658" w:type="dxa"/>
          </w:tcPr>
          <w:p>
            <w:pPr>
              <w:pStyle w:val="0"/>
              <w:jc w:val="center"/>
            </w:pPr>
            <w:r>
              <w:rPr>
                <w:sz w:val="20"/>
              </w:rPr>
              <w:t xml:space="preserve">2024 год</w:t>
            </w:r>
          </w:p>
        </w:tc>
        <w:tc>
          <w:tcPr>
            <w:tcW w:w="658" w:type="dxa"/>
          </w:tcPr>
          <w:p>
            <w:pPr>
              <w:pStyle w:val="0"/>
              <w:jc w:val="center"/>
            </w:pPr>
            <w:r>
              <w:rPr>
                <w:sz w:val="20"/>
              </w:rPr>
              <w:t xml:space="preserve">2025 год</w:t>
            </w:r>
          </w:p>
        </w:tc>
        <w:tc>
          <w:tcPr>
            <w:tcW w:w="658" w:type="dxa"/>
          </w:tcPr>
          <w:p>
            <w:pPr>
              <w:pStyle w:val="0"/>
              <w:jc w:val="center"/>
            </w:pPr>
            <w:r>
              <w:rPr>
                <w:sz w:val="20"/>
              </w:rPr>
              <w:t xml:space="preserve">2026 год</w:t>
            </w:r>
          </w:p>
        </w:tc>
        <w:tc>
          <w:tcPr>
            <w:tcW w:w="658" w:type="dxa"/>
          </w:tcPr>
          <w:p>
            <w:pPr>
              <w:pStyle w:val="0"/>
              <w:jc w:val="center"/>
            </w:pPr>
            <w:r>
              <w:rPr>
                <w:sz w:val="20"/>
              </w:rPr>
              <w:t xml:space="preserve">2027 год</w:t>
            </w:r>
          </w:p>
        </w:tc>
        <w:tc>
          <w:tcPr>
            <w:tcW w:w="658" w:type="dxa"/>
          </w:tcPr>
          <w:p>
            <w:pPr>
              <w:pStyle w:val="0"/>
              <w:jc w:val="center"/>
            </w:pPr>
            <w:r>
              <w:rPr>
                <w:sz w:val="20"/>
              </w:rPr>
              <w:t xml:space="preserve">2028 год</w:t>
            </w:r>
          </w:p>
        </w:tc>
        <w:tc>
          <w:tcPr>
            <w:tcW w:w="658" w:type="dxa"/>
          </w:tcPr>
          <w:p>
            <w:pPr>
              <w:pStyle w:val="0"/>
              <w:jc w:val="center"/>
            </w:pPr>
            <w:r>
              <w:rPr>
                <w:sz w:val="20"/>
              </w:rPr>
              <w:t xml:space="preserve">2029 год</w:t>
            </w:r>
          </w:p>
        </w:tc>
        <w:tc>
          <w:tcPr>
            <w:tcW w:w="664" w:type="dxa"/>
          </w:tcPr>
          <w:p>
            <w:pPr>
              <w:pStyle w:val="0"/>
              <w:jc w:val="center"/>
            </w:pPr>
            <w:r>
              <w:rPr>
                <w:sz w:val="20"/>
              </w:rPr>
              <w:t xml:space="preserve">2030 год</w:t>
            </w:r>
          </w:p>
        </w:tc>
      </w:tr>
      <w:tr>
        <w:tc>
          <w:tcPr>
            <w:tcW w:w="2438" w:type="dxa"/>
          </w:tcPr>
          <w:p>
            <w:pPr>
              <w:pStyle w:val="0"/>
              <w:jc w:val="both"/>
            </w:pPr>
            <w:r>
              <w:rPr>
                <w:sz w:val="20"/>
              </w:rPr>
              <w:t xml:space="preserve">Охват медицинским освидетельствованием на ВИЧ-инфекцию населения города Севастополя (процентов)</w:t>
            </w:r>
          </w:p>
        </w:tc>
        <w:tc>
          <w:tcPr>
            <w:tcW w:w="658" w:type="dxa"/>
          </w:tcPr>
          <w:p>
            <w:pPr>
              <w:pStyle w:val="0"/>
              <w:jc w:val="center"/>
            </w:pPr>
            <w:r>
              <w:rPr>
                <w:sz w:val="20"/>
              </w:rPr>
              <w:t xml:space="preserve">30</w:t>
            </w:r>
          </w:p>
        </w:tc>
        <w:tc>
          <w:tcPr>
            <w:tcW w:w="658" w:type="dxa"/>
          </w:tcPr>
          <w:p>
            <w:pPr>
              <w:pStyle w:val="0"/>
              <w:jc w:val="center"/>
            </w:pPr>
            <w:r>
              <w:rPr>
                <w:sz w:val="20"/>
              </w:rPr>
              <w:t xml:space="preserve">31</w:t>
            </w:r>
          </w:p>
        </w:tc>
        <w:tc>
          <w:tcPr>
            <w:tcW w:w="658" w:type="dxa"/>
          </w:tcPr>
          <w:p>
            <w:pPr>
              <w:pStyle w:val="0"/>
              <w:jc w:val="center"/>
            </w:pPr>
            <w:r>
              <w:rPr>
                <w:sz w:val="20"/>
              </w:rPr>
              <w:t xml:space="preserve">32</w:t>
            </w:r>
          </w:p>
        </w:tc>
        <w:tc>
          <w:tcPr>
            <w:tcW w:w="658" w:type="dxa"/>
          </w:tcPr>
          <w:p>
            <w:pPr>
              <w:pStyle w:val="0"/>
              <w:jc w:val="center"/>
            </w:pPr>
            <w:r>
              <w:rPr>
                <w:sz w:val="20"/>
              </w:rPr>
              <w:t xml:space="preserve">33</w:t>
            </w:r>
          </w:p>
        </w:tc>
        <w:tc>
          <w:tcPr>
            <w:tcW w:w="658" w:type="dxa"/>
          </w:tcPr>
          <w:p>
            <w:pPr>
              <w:pStyle w:val="0"/>
              <w:jc w:val="center"/>
            </w:pPr>
            <w:r>
              <w:rPr>
                <w:sz w:val="20"/>
              </w:rPr>
              <w:t xml:space="preserve">34</w:t>
            </w:r>
          </w:p>
        </w:tc>
        <w:tc>
          <w:tcPr>
            <w:tcW w:w="658" w:type="dxa"/>
          </w:tcPr>
          <w:p>
            <w:pPr>
              <w:pStyle w:val="0"/>
              <w:jc w:val="center"/>
            </w:pPr>
            <w:r>
              <w:rPr>
                <w:sz w:val="20"/>
              </w:rPr>
              <w:t xml:space="preserve">35</w:t>
            </w:r>
          </w:p>
        </w:tc>
        <w:tc>
          <w:tcPr>
            <w:tcW w:w="658" w:type="dxa"/>
          </w:tcPr>
          <w:p>
            <w:pPr>
              <w:pStyle w:val="0"/>
              <w:jc w:val="center"/>
            </w:pPr>
            <w:r>
              <w:rPr>
                <w:sz w:val="20"/>
              </w:rPr>
              <w:t xml:space="preserve">36</w:t>
            </w:r>
          </w:p>
        </w:tc>
        <w:tc>
          <w:tcPr>
            <w:tcW w:w="658" w:type="dxa"/>
          </w:tcPr>
          <w:p>
            <w:pPr>
              <w:pStyle w:val="0"/>
              <w:jc w:val="center"/>
            </w:pPr>
            <w:r>
              <w:rPr>
                <w:sz w:val="20"/>
              </w:rPr>
              <w:t xml:space="preserve">37</w:t>
            </w:r>
          </w:p>
        </w:tc>
        <w:tc>
          <w:tcPr>
            <w:tcW w:w="658" w:type="dxa"/>
          </w:tcPr>
          <w:p>
            <w:pPr>
              <w:pStyle w:val="0"/>
              <w:jc w:val="center"/>
            </w:pPr>
            <w:r>
              <w:rPr>
                <w:sz w:val="20"/>
              </w:rPr>
              <w:t xml:space="preserve">38</w:t>
            </w:r>
          </w:p>
        </w:tc>
        <w:tc>
          <w:tcPr>
            <w:tcW w:w="664" w:type="dxa"/>
          </w:tcPr>
          <w:p>
            <w:pPr>
              <w:pStyle w:val="0"/>
              <w:jc w:val="center"/>
            </w:pPr>
            <w:r>
              <w:rPr>
                <w:sz w:val="20"/>
              </w:rPr>
              <w:t xml:space="preserve">39</w:t>
            </w:r>
          </w:p>
        </w:tc>
      </w:tr>
      <w:tr>
        <w:tc>
          <w:tcPr>
            <w:tcW w:w="2438" w:type="dxa"/>
          </w:tcPr>
          <w:p>
            <w:pPr>
              <w:pStyle w:val="0"/>
              <w:jc w:val="both"/>
            </w:pPr>
            <w:r>
              <w:rPr>
                <w:sz w:val="20"/>
              </w:rPr>
              <w:t xml:space="preserve">Доля лиц с ВИЧ-инфекцией, сведения о которых внесены в ФР ВИЧ, в общем числе лиц с ВИЧ-инфекцией (процентов)</w:t>
            </w:r>
          </w:p>
        </w:tc>
        <w:tc>
          <w:tcPr>
            <w:tcW w:w="658" w:type="dxa"/>
          </w:tcPr>
          <w:p>
            <w:pPr>
              <w:pStyle w:val="0"/>
              <w:jc w:val="center"/>
            </w:pPr>
            <w:r>
              <w:rPr>
                <w:sz w:val="20"/>
              </w:rPr>
              <w:t xml:space="preserve">82,5</w:t>
            </w:r>
          </w:p>
        </w:tc>
        <w:tc>
          <w:tcPr>
            <w:tcW w:w="658" w:type="dxa"/>
          </w:tcPr>
          <w:p>
            <w:pPr>
              <w:pStyle w:val="0"/>
              <w:jc w:val="center"/>
            </w:pPr>
            <w:r>
              <w:rPr>
                <w:sz w:val="20"/>
              </w:rPr>
              <w:t xml:space="preserve">84</w:t>
            </w:r>
          </w:p>
        </w:tc>
        <w:tc>
          <w:tcPr>
            <w:tcW w:w="658" w:type="dxa"/>
          </w:tcPr>
          <w:p>
            <w:pPr>
              <w:pStyle w:val="0"/>
              <w:jc w:val="center"/>
            </w:pPr>
            <w:r>
              <w:rPr>
                <w:sz w:val="20"/>
              </w:rPr>
              <w:t xml:space="preserve">86</w:t>
            </w:r>
          </w:p>
        </w:tc>
        <w:tc>
          <w:tcPr>
            <w:tcW w:w="658" w:type="dxa"/>
          </w:tcPr>
          <w:p>
            <w:pPr>
              <w:pStyle w:val="0"/>
              <w:jc w:val="center"/>
            </w:pPr>
            <w:r>
              <w:rPr>
                <w:sz w:val="20"/>
              </w:rPr>
              <w:t xml:space="preserve">88</w:t>
            </w:r>
          </w:p>
        </w:tc>
        <w:tc>
          <w:tcPr>
            <w:tcW w:w="658" w:type="dxa"/>
          </w:tcPr>
          <w:p>
            <w:pPr>
              <w:pStyle w:val="0"/>
              <w:jc w:val="center"/>
            </w:pPr>
            <w:r>
              <w:rPr>
                <w:sz w:val="20"/>
              </w:rPr>
              <w:t xml:space="preserve">90</w:t>
            </w:r>
          </w:p>
        </w:tc>
        <w:tc>
          <w:tcPr>
            <w:tcW w:w="658" w:type="dxa"/>
          </w:tcPr>
          <w:p>
            <w:pPr>
              <w:pStyle w:val="0"/>
              <w:jc w:val="center"/>
            </w:pPr>
            <w:r>
              <w:rPr>
                <w:sz w:val="20"/>
              </w:rPr>
              <w:t xml:space="preserve">91</w:t>
            </w:r>
          </w:p>
        </w:tc>
        <w:tc>
          <w:tcPr>
            <w:tcW w:w="658" w:type="dxa"/>
          </w:tcPr>
          <w:p>
            <w:pPr>
              <w:pStyle w:val="0"/>
              <w:jc w:val="center"/>
            </w:pPr>
            <w:r>
              <w:rPr>
                <w:sz w:val="20"/>
              </w:rPr>
              <w:t xml:space="preserve">92</w:t>
            </w:r>
          </w:p>
        </w:tc>
        <w:tc>
          <w:tcPr>
            <w:tcW w:w="658" w:type="dxa"/>
          </w:tcPr>
          <w:p>
            <w:pPr>
              <w:pStyle w:val="0"/>
              <w:jc w:val="center"/>
            </w:pPr>
            <w:r>
              <w:rPr>
                <w:sz w:val="20"/>
              </w:rPr>
              <w:t xml:space="preserve">93</w:t>
            </w:r>
          </w:p>
        </w:tc>
        <w:tc>
          <w:tcPr>
            <w:tcW w:w="658" w:type="dxa"/>
          </w:tcPr>
          <w:p>
            <w:pPr>
              <w:pStyle w:val="0"/>
              <w:jc w:val="center"/>
            </w:pPr>
            <w:r>
              <w:rPr>
                <w:sz w:val="20"/>
              </w:rPr>
              <w:t xml:space="preserve">94</w:t>
            </w:r>
          </w:p>
        </w:tc>
        <w:tc>
          <w:tcPr>
            <w:tcW w:w="664" w:type="dxa"/>
          </w:tcPr>
          <w:p>
            <w:pPr>
              <w:pStyle w:val="0"/>
              <w:jc w:val="center"/>
            </w:pPr>
            <w:r>
              <w:rPr>
                <w:sz w:val="20"/>
              </w:rPr>
              <w:t xml:space="preserve">95</w:t>
            </w:r>
          </w:p>
        </w:tc>
      </w:tr>
      <w:tr>
        <w:tc>
          <w:tcPr>
            <w:tcW w:w="2438" w:type="dxa"/>
          </w:tcPr>
          <w:p>
            <w:pPr>
              <w:pStyle w:val="0"/>
              <w:jc w:val="both"/>
            </w:pPr>
            <w:r>
              <w:rPr>
                <w:sz w:val="20"/>
              </w:rPr>
              <w:t xml:space="preserve">Доля лиц с ВИЧ-инфекцией, получающих АРВТ, в общем числе лиц с ВИЧ-инфекцией, сведения о которых внесены в ФР ВИЧ (процентов)</w:t>
            </w:r>
          </w:p>
        </w:tc>
        <w:tc>
          <w:tcPr>
            <w:tcW w:w="658" w:type="dxa"/>
          </w:tcPr>
          <w:p>
            <w:pPr>
              <w:pStyle w:val="0"/>
              <w:jc w:val="center"/>
            </w:pPr>
            <w:r>
              <w:rPr>
                <w:sz w:val="20"/>
              </w:rPr>
              <w:t xml:space="preserve">75,4</w:t>
            </w:r>
          </w:p>
        </w:tc>
        <w:tc>
          <w:tcPr>
            <w:tcW w:w="658" w:type="dxa"/>
          </w:tcPr>
          <w:p>
            <w:pPr>
              <w:pStyle w:val="0"/>
              <w:jc w:val="center"/>
            </w:pPr>
            <w:r>
              <w:rPr>
                <w:sz w:val="20"/>
              </w:rPr>
              <w:t xml:space="preserve">80</w:t>
            </w:r>
          </w:p>
        </w:tc>
        <w:tc>
          <w:tcPr>
            <w:tcW w:w="658" w:type="dxa"/>
          </w:tcPr>
          <w:p>
            <w:pPr>
              <w:pStyle w:val="0"/>
              <w:jc w:val="center"/>
            </w:pPr>
            <w:r>
              <w:rPr>
                <w:sz w:val="20"/>
              </w:rPr>
              <w:t xml:space="preserve">84</w:t>
            </w:r>
          </w:p>
        </w:tc>
        <w:tc>
          <w:tcPr>
            <w:tcW w:w="658" w:type="dxa"/>
          </w:tcPr>
          <w:p>
            <w:pPr>
              <w:pStyle w:val="0"/>
              <w:jc w:val="center"/>
            </w:pPr>
            <w:r>
              <w:rPr>
                <w:sz w:val="20"/>
              </w:rPr>
              <w:t xml:space="preserve">87</w:t>
            </w:r>
          </w:p>
        </w:tc>
        <w:tc>
          <w:tcPr>
            <w:tcW w:w="658" w:type="dxa"/>
          </w:tcPr>
          <w:p>
            <w:pPr>
              <w:pStyle w:val="0"/>
              <w:jc w:val="center"/>
            </w:pPr>
            <w:r>
              <w:rPr>
                <w:sz w:val="20"/>
              </w:rPr>
              <w:t xml:space="preserve">90</w:t>
            </w:r>
          </w:p>
        </w:tc>
        <w:tc>
          <w:tcPr>
            <w:tcW w:w="658" w:type="dxa"/>
          </w:tcPr>
          <w:p>
            <w:pPr>
              <w:pStyle w:val="0"/>
              <w:jc w:val="center"/>
            </w:pPr>
            <w:r>
              <w:rPr>
                <w:sz w:val="20"/>
              </w:rPr>
              <w:t xml:space="preserve">91</w:t>
            </w:r>
          </w:p>
        </w:tc>
        <w:tc>
          <w:tcPr>
            <w:tcW w:w="658" w:type="dxa"/>
          </w:tcPr>
          <w:p>
            <w:pPr>
              <w:pStyle w:val="0"/>
              <w:jc w:val="center"/>
            </w:pPr>
            <w:r>
              <w:rPr>
                <w:sz w:val="20"/>
              </w:rPr>
              <w:t xml:space="preserve">92</w:t>
            </w:r>
          </w:p>
        </w:tc>
        <w:tc>
          <w:tcPr>
            <w:tcW w:w="658" w:type="dxa"/>
          </w:tcPr>
          <w:p>
            <w:pPr>
              <w:pStyle w:val="0"/>
              <w:jc w:val="center"/>
            </w:pPr>
            <w:r>
              <w:rPr>
                <w:sz w:val="20"/>
              </w:rPr>
              <w:t xml:space="preserve">93</w:t>
            </w:r>
          </w:p>
        </w:tc>
        <w:tc>
          <w:tcPr>
            <w:tcW w:w="658" w:type="dxa"/>
          </w:tcPr>
          <w:p>
            <w:pPr>
              <w:pStyle w:val="0"/>
              <w:jc w:val="center"/>
            </w:pPr>
            <w:r>
              <w:rPr>
                <w:sz w:val="20"/>
              </w:rPr>
              <w:t xml:space="preserve">94</w:t>
            </w:r>
          </w:p>
        </w:tc>
        <w:tc>
          <w:tcPr>
            <w:tcW w:w="664" w:type="dxa"/>
          </w:tcPr>
          <w:p>
            <w:pPr>
              <w:pStyle w:val="0"/>
              <w:jc w:val="center"/>
            </w:pPr>
            <w:r>
              <w:rPr>
                <w:sz w:val="20"/>
              </w:rPr>
              <w:t xml:space="preserve">95</w:t>
            </w:r>
          </w:p>
        </w:tc>
      </w:tr>
      <w:tr>
        <w:tc>
          <w:tcPr>
            <w:tcW w:w="2438" w:type="dxa"/>
          </w:tcPr>
          <w:p>
            <w:pPr>
              <w:pStyle w:val="0"/>
              <w:jc w:val="both"/>
            </w:pPr>
            <w:r>
              <w:rPr>
                <w:sz w:val="20"/>
              </w:rPr>
              <w:t xml:space="preserve">Число новых случаев инфицирования ВИЧ, регистрируемых среди населения города Севастополя (человек)</w:t>
            </w:r>
          </w:p>
        </w:tc>
        <w:tc>
          <w:tcPr>
            <w:tcW w:w="658" w:type="dxa"/>
          </w:tcPr>
          <w:p>
            <w:pPr>
              <w:pStyle w:val="0"/>
              <w:jc w:val="center"/>
            </w:pPr>
            <w:r>
              <w:rPr>
                <w:sz w:val="20"/>
              </w:rPr>
              <w:t xml:space="preserve">200</w:t>
            </w:r>
          </w:p>
        </w:tc>
        <w:tc>
          <w:tcPr>
            <w:tcW w:w="658" w:type="dxa"/>
          </w:tcPr>
          <w:p>
            <w:pPr>
              <w:pStyle w:val="0"/>
              <w:jc w:val="center"/>
            </w:pPr>
            <w:r>
              <w:rPr>
                <w:sz w:val="20"/>
              </w:rPr>
              <w:t xml:space="preserve">190</w:t>
            </w:r>
          </w:p>
        </w:tc>
        <w:tc>
          <w:tcPr>
            <w:tcW w:w="658" w:type="dxa"/>
          </w:tcPr>
          <w:p>
            <w:pPr>
              <w:pStyle w:val="0"/>
              <w:jc w:val="center"/>
            </w:pPr>
            <w:r>
              <w:rPr>
                <w:sz w:val="20"/>
              </w:rPr>
              <w:t xml:space="preserve">181</w:t>
            </w:r>
          </w:p>
        </w:tc>
        <w:tc>
          <w:tcPr>
            <w:tcW w:w="658" w:type="dxa"/>
          </w:tcPr>
          <w:p>
            <w:pPr>
              <w:pStyle w:val="0"/>
              <w:jc w:val="center"/>
            </w:pPr>
            <w:r>
              <w:rPr>
                <w:sz w:val="20"/>
              </w:rPr>
              <w:t xml:space="preserve">172</w:t>
            </w:r>
          </w:p>
        </w:tc>
        <w:tc>
          <w:tcPr>
            <w:tcW w:w="658" w:type="dxa"/>
          </w:tcPr>
          <w:p>
            <w:pPr>
              <w:pStyle w:val="0"/>
              <w:jc w:val="center"/>
            </w:pPr>
            <w:r>
              <w:rPr>
                <w:sz w:val="20"/>
              </w:rPr>
              <w:t xml:space="preserve">163</w:t>
            </w:r>
          </w:p>
        </w:tc>
        <w:tc>
          <w:tcPr>
            <w:tcW w:w="658" w:type="dxa"/>
          </w:tcPr>
          <w:p>
            <w:pPr>
              <w:pStyle w:val="0"/>
              <w:jc w:val="center"/>
            </w:pPr>
            <w:r>
              <w:rPr>
                <w:sz w:val="20"/>
              </w:rPr>
              <w:t xml:space="preserve">155</w:t>
            </w:r>
          </w:p>
        </w:tc>
        <w:tc>
          <w:tcPr>
            <w:tcW w:w="658" w:type="dxa"/>
          </w:tcPr>
          <w:p>
            <w:pPr>
              <w:pStyle w:val="0"/>
              <w:jc w:val="center"/>
            </w:pPr>
            <w:r>
              <w:rPr>
                <w:sz w:val="20"/>
              </w:rPr>
              <w:t xml:space="preserve">148</w:t>
            </w:r>
          </w:p>
        </w:tc>
        <w:tc>
          <w:tcPr>
            <w:tcW w:w="658" w:type="dxa"/>
          </w:tcPr>
          <w:p>
            <w:pPr>
              <w:pStyle w:val="0"/>
              <w:jc w:val="center"/>
            </w:pPr>
            <w:r>
              <w:rPr>
                <w:sz w:val="20"/>
              </w:rPr>
              <w:t xml:space="preserve">140</w:t>
            </w:r>
          </w:p>
        </w:tc>
        <w:tc>
          <w:tcPr>
            <w:tcW w:w="658" w:type="dxa"/>
          </w:tcPr>
          <w:p>
            <w:pPr>
              <w:pStyle w:val="0"/>
              <w:jc w:val="center"/>
            </w:pPr>
            <w:r>
              <w:rPr>
                <w:sz w:val="20"/>
              </w:rPr>
              <w:t xml:space="preserve">133</w:t>
            </w:r>
          </w:p>
        </w:tc>
        <w:tc>
          <w:tcPr>
            <w:tcW w:w="664" w:type="dxa"/>
          </w:tcPr>
          <w:p>
            <w:pPr>
              <w:pStyle w:val="0"/>
              <w:jc w:val="center"/>
            </w:pPr>
            <w:r>
              <w:rPr>
                <w:sz w:val="20"/>
              </w:rPr>
              <w:t xml:space="preserve">126</w:t>
            </w:r>
          </w:p>
        </w:tc>
      </w:tr>
      <w:tr>
        <w:tc>
          <w:tcPr>
            <w:tcW w:w="2438" w:type="dxa"/>
          </w:tcPr>
          <w:p>
            <w:pPr>
              <w:pStyle w:val="0"/>
              <w:jc w:val="both"/>
            </w:pPr>
            <w:r>
              <w:rPr>
                <w:sz w:val="20"/>
              </w:rPr>
              <w:t xml:space="preserve">Проведение химиопрофилактики передачи ВИЧ-инфекции от матери к ребенку (процентов)</w:t>
            </w:r>
          </w:p>
        </w:tc>
        <w:tc>
          <w:tcPr>
            <w:tcW w:w="658" w:type="dxa"/>
          </w:tcPr>
          <w:p>
            <w:pPr>
              <w:pStyle w:val="0"/>
              <w:jc w:val="center"/>
            </w:pPr>
            <w:r>
              <w:rPr>
                <w:sz w:val="20"/>
              </w:rPr>
            </w:r>
          </w:p>
        </w:tc>
        <w:tc>
          <w:tcPr>
            <w:tcW w:w="658" w:type="dxa"/>
          </w:tcPr>
          <w:p>
            <w:pPr>
              <w:pStyle w:val="0"/>
              <w:jc w:val="center"/>
            </w:pPr>
            <w:r>
              <w:rPr>
                <w:sz w:val="20"/>
              </w:rPr>
            </w:r>
          </w:p>
        </w:tc>
        <w:tc>
          <w:tcPr>
            <w:tcW w:w="658" w:type="dxa"/>
          </w:tcPr>
          <w:p>
            <w:pPr>
              <w:pStyle w:val="0"/>
              <w:jc w:val="center"/>
            </w:pPr>
            <w:r>
              <w:rPr>
                <w:sz w:val="20"/>
              </w:rPr>
            </w:r>
          </w:p>
        </w:tc>
        <w:tc>
          <w:tcPr>
            <w:tcW w:w="658" w:type="dxa"/>
          </w:tcPr>
          <w:p>
            <w:pPr>
              <w:pStyle w:val="0"/>
              <w:jc w:val="center"/>
            </w:pPr>
            <w:r>
              <w:rPr>
                <w:sz w:val="20"/>
              </w:rPr>
            </w:r>
          </w:p>
        </w:tc>
        <w:tc>
          <w:tcPr>
            <w:tcW w:w="658" w:type="dxa"/>
          </w:tcPr>
          <w:p>
            <w:pPr>
              <w:pStyle w:val="0"/>
              <w:jc w:val="center"/>
            </w:pPr>
            <w:r>
              <w:rPr>
                <w:sz w:val="20"/>
              </w:rPr>
            </w:r>
          </w:p>
        </w:tc>
        <w:tc>
          <w:tcPr>
            <w:tcW w:w="658" w:type="dxa"/>
          </w:tcPr>
          <w:p>
            <w:pPr>
              <w:pStyle w:val="0"/>
              <w:jc w:val="center"/>
            </w:pPr>
            <w:r>
              <w:rPr>
                <w:sz w:val="20"/>
              </w:rPr>
            </w:r>
          </w:p>
        </w:tc>
        <w:tc>
          <w:tcPr>
            <w:tcW w:w="658" w:type="dxa"/>
          </w:tcPr>
          <w:p>
            <w:pPr>
              <w:pStyle w:val="0"/>
              <w:jc w:val="center"/>
            </w:pPr>
            <w:r>
              <w:rPr>
                <w:sz w:val="20"/>
              </w:rPr>
            </w:r>
          </w:p>
        </w:tc>
        <w:tc>
          <w:tcPr>
            <w:tcW w:w="658" w:type="dxa"/>
          </w:tcPr>
          <w:p>
            <w:pPr>
              <w:pStyle w:val="0"/>
              <w:jc w:val="center"/>
            </w:pPr>
            <w:r>
              <w:rPr>
                <w:sz w:val="20"/>
              </w:rPr>
            </w:r>
          </w:p>
        </w:tc>
        <w:tc>
          <w:tcPr>
            <w:tcW w:w="658" w:type="dxa"/>
          </w:tcPr>
          <w:p>
            <w:pPr>
              <w:pStyle w:val="0"/>
              <w:jc w:val="center"/>
            </w:pPr>
            <w:r>
              <w:rPr>
                <w:sz w:val="20"/>
              </w:rPr>
            </w:r>
          </w:p>
        </w:tc>
        <w:tc>
          <w:tcPr>
            <w:tcW w:w="664" w:type="dxa"/>
          </w:tcPr>
          <w:p>
            <w:pPr>
              <w:pStyle w:val="0"/>
              <w:jc w:val="center"/>
            </w:pPr>
            <w:r>
              <w:rPr>
                <w:sz w:val="20"/>
              </w:rPr>
            </w:r>
          </w:p>
        </w:tc>
      </w:tr>
      <w:tr>
        <w:tc>
          <w:tcPr>
            <w:tcW w:w="2438" w:type="dxa"/>
          </w:tcPr>
          <w:p>
            <w:pPr>
              <w:pStyle w:val="0"/>
              <w:jc w:val="both"/>
            </w:pPr>
            <w:r>
              <w:rPr>
                <w:sz w:val="20"/>
              </w:rPr>
              <w:t xml:space="preserve">во время беременности</w:t>
            </w:r>
          </w:p>
        </w:tc>
        <w:tc>
          <w:tcPr>
            <w:tcW w:w="658" w:type="dxa"/>
          </w:tcPr>
          <w:p>
            <w:pPr>
              <w:pStyle w:val="0"/>
              <w:jc w:val="center"/>
            </w:pPr>
            <w:r>
              <w:rPr>
                <w:sz w:val="20"/>
              </w:rPr>
              <w:t xml:space="preserve">95,2</w:t>
            </w:r>
          </w:p>
        </w:tc>
        <w:tc>
          <w:tcPr>
            <w:tcW w:w="658" w:type="dxa"/>
          </w:tcPr>
          <w:p>
            <w:pPr>
              <w:pStyle w:val="0"/>
              <w:jc w:val="center"/>
            </w:pPr>
            <w:r>
              <w:rPr>
                <w:sz w:val="20"/>
              </w:rPr>
              <w:t xml:space="preserve">95,4</w:t>
            </w:r>
          </w:p>
        </w:tc>
        <w:tc>
          <w:tcPr>
            <w:tcW w:w="658" w:type="dxa"/>
          </w:tcPr>
          <w:p>
            <w:pPr>
              <w:pStyle w:val="0"/>
              <w:jc w:val="center"/>
            </w:pPr>
            <w:r>
              <w:rPr>
                <w:sz w:val="20"/>
              </w:rPr>
              <w:t xml:space="preserve">95,6</w:t>
            </w:r>
          </w:p>
        </w:tc>
        <w:tc>
          <w:tcPr>
            <w:tcW w:w="658" w:type="dxa"/>
          </w:tcPr>
          <w:p>
            <w:pPr>
              <w:pStyle w:val="0"/>
              <w:jc w:val="center"/>
            </w:pPr>
            <w:r>
              <w:rPr>
                <w:sz w:val="20"/>
              </w:rPr>
              <w:t xml:space="preserve">95,8</w:t>
            </w:r>
          </w:p>
        </w:tc>
        <w:tc>
          <w:tcPr>
            <w:tcW w:w="658" w:type="dxa"/>
          </w:tcPr>
          <w:p>
            <w:pPr>
              <w:pStyle w:val="0"/>
              <w:jc w:val="center"/>
            </w:pPr>
            <w:r>
              <w:rPr>
                <w:sz w:val="20"/>
              </w:rPr>
              <w:t xml:space="preserve">96</w:t>
            </w:r>
          </w:p>
        </w:tc>
        <w:tc>
          <w:tcPr>
            <w:tcW w:w="658" w:type="dxa"/>
          </w:tcPr>
          <w:p>
            <w:pPr>
              <w:pStyle w:val="0"/>
              <w:jc w:val="center"/>
            </w:pPr>
            <w:r>
              <w:rPr>
                <w:sz w:val="20"/>
              </w:rPr>
              <w:t xml:space="preserve">96,2</w:t>
            </w:r>
          </w:p>
        </w:tc>
        <w:tc>
          <w:tcPr>
            <w:tcW w:w="658" w:type="dxa"/>
          </w:tcPr>
          <w:p>
            <w:pPr>
              <w:pStyle w:val="0"/>
              <w:jc w:val="center"/>
            </w:pPr>
            <w:r>
              <w:rPr>
                <w:sz w:val="20"/>
              </w:rPr>
              <w:t xml:space="preserve">96,4</w:t>
            </w:r>
          </w:p>
        </w:tc>
        <w:tc>
          <w:tcPr>
            <w:tcW w:w="658" w:type="dxa"/>
          </w:tcPr>
          <w:p>
            <w:pPr>
              <w:pStyle w:val="0"/>
              <w:jc w:val="center"/>
            </w:pPr>
            <w:r>
              <w:rPr>
                <w:sz w:val="20"/>
              </w:rPr>
              <w:t xml:space="preserve">96,6</w:t>
            </w:r>
          </w:p>
        </w:tc>
        <w:tc>
          <w:tcPr>
            <w:tcW w:w="658" w:type="dxa"/>
          </w:tcPr>
          <w:p>
            <w:pPr>
              <w:pStyle w:val="0"/>
              <w:jc w:val="center"/>
            </w:pPr>
            <w:r>
              <w:rPr>
                <w:sz w:val="20"/>
              </w:rPr>
              <w:t xml:space="preserve">96,8</w:t>
            </w:r>
          </w:p>
        </w:tc>
        <w:tc>
          <w:tcPr>
            <w:tcW w:w="664" w:type="dxa"/>
          </w:tcPr>
          <w:p>
            <w:pPr>
              <w:pStyle w:val="0"/>
              <w:jc w:val="center"/>
            </w:pPr>
            <w:r>
              <w:rPr>
                <w:sz w:val="20"/>
              </w:rPr>
              <w:t xml:space="preserve">97</w:t>
            </w:r>
          </w:p>
        </w:tc>
      </w:tr>
      <w:tr>
        <w:tc>
          <w:tcPr>
            <w:tcW w:w="2438" w:type="dxa"/>
          </w:tcPr>
          <w:p>
            <w:pPr>
              <w:pStyle w:val="0"/>
              <w:jc w:val="both"/>
            </w:pPr>
            <w:r>
              <w:rPr>
                <w:sz w:val="20"/>
              </w:rPr>
              <w:t xml:space="preserve">во время родов</w:t>
            </w:r>
          </w:p>
        </w:tc>
        <w:tc>
          <w:tcPr>
            <w:tcW w:w="658" w:type="dxa"/>
          </w:tcPr>
          <w:p>
            <w:pPr>
              <w:pStyle w:val="0"/>
              <w:jc w:val="center"/>
            </w:pPr>
            <w:r>
              <w:rPr>
                <w:sz w:val="20"/>
              </w:rPr>
              <w:t xml:space="preserve">95,3</w:t>
            </w:r>
          </w:p>
        </w:tc>
        <w:tc>
          <w:tcPr>
            <w:tcW w:w="658" w:type="dxa"/>
          </w:tcPr>
          <w:p>
            <w:pPr>
              <w:pStyle w:val="0"/>
              <w:jc w:val="center"/>
            </w:pPr>
            <w:r>
              <w:rPr>
                <w:sz w:val="20"/>
              </w:rPr>
              <w:t xml:space="preserve">95,6</w:t>
            </w:r>
          </w:p>
        </w:tc>
        <w:tc>
          <w:tcPr>
            <w:tcW w:w="658" w:type="dxa"/>
          </w:tcPr>
          <w:p>
            <w:pPr>
              <w:pStyle w:val="0"/>
              <w:jc w:val="center"/>
            </w:pPr>
            <w:r>
              <w:rPr>
                <w:sz w:val="20"/>
              </w:rPr>
              <w:t xml:space="preserve">95,9</w:t>
            </w:r>
          </w:p>
        </w:tc>
        <w:tc>
          <w:tcPr>
            <w:tcW w:w="658" w:type="dxa"/>
          </w:tcPr>
          <w:p>
            <w:pPr>
              <w:pStyle w:val="0"/>
              <w:jc w:val="center"/>
            </w:pPr>
            <w:r>
              <w:rPr>
                <w:sz w:val="20"/>
              </w:rPr>
              <w:t xml:space="preserve">96,2</w:t>
            </w:r>
          </w:p>
        </w:tc>
        <w:tc>
          <w:tcPr>
            <w:tcW w:w="658" w:type="dxa"/>
          </w:tcPr>
          <w:p>
            <w:pPr>
              <w:pStyle w:val="0"/>
              <w:jc w:val="center"/>
            </w:pPr>
            <w:r>
              <w:rPr>
                <w:sz w:val="20"/>
              </w:rPr>
              <w:t xml:space="preserve">96,5</w:t>
            </w:r>
          </w:p>
        </w:tc>
        <w:tc>
          <w:tcPr>
            <w:tcW w:w="658" w:type="dxa"/>
          </w:tcPr>
          <w:p>
            <w:pPr>
              <w:pStyle w:val="0"/>
              <w:jc w:val="center"/>
            </w:pPr>
            <w:r>
              <w:rPr>
                <w:sz w:val="20"/>
              </w:rPr>
              <w:t xml:space="preserve">96,8</w:t>
            </w:r>
          </w:p>
        </w:tc>
        <w:tc>
          <w:tcPr>
            <w:tcW w:w="658" w:type="dxa"/>
          </w:tcPr>
          <w:p>
            <w:pPr>
              <w:pStyle w:val="0"/>
              <w:jc w:val="center"/>
            </w:pPr>
            <w:r>
              <w:rPr>
                <w:sz w:val="20"/>
              </w:rPr>
              <w:t xml:space="preserve">97,1</w:t>
            </w:r>
          </w:p>
        </w:tc>
        <w:tc>
          <w:tcPr>
            <w:tcW w:w="658" w:type="dxa"/>
          </w:tcPr>
          <w:p>
            <w:pPr>
              <w:pStyle w:val="0"/>
              <w:jc w:val="center"/>
            </w:pPr>
            <w:r>
              <w:rPr>
                <w:sz w:val="20"/>
              </w:rPr>
              <w:t xml:space="preserve">97,4</w:t>
            </w:r>
          </w:p>
        </w:tc>
        <w:tc>
          <w:tcPr>
            <w:tcW w:w="658" w:type="dxa"/>
          </w:tcPr>
          <w:p>
            <w:pPr>
              <w:pStyle w:val="0"/>
              <w:jc w:val="center"/>
            </w:pPr>
            <w:r>
              <w:rPr>
                <w:sz w:val="20"/>
              </w:rPr>
              <w:t xml:space="preserve">97,7</w:t>
            </w:r>
          </w:p>
        </w:tc>
        <w:tc>
          <w:tcPr>
            <w:tcW w:w="664" w:type="dxa"/>
          </w:tcPr>
          <w:p>
            <w:pPr>
              <w:pStyle w:val="0"/>
              <w:jc w:val="center"/>
            </w:pPr>
            <w:r>
              <w:rPr>
                <w:sz w:val="20"/>
              </w:rPr>
              <w:t xml:space="preserve">98</w:t>
            </w:r>
          </w:p>
        </w:tc>
      </w:tr>
      <w:tr>
        <w:tc>
          <w:tcPr>
            <w:tcW w:w="2438" w:type="dxa"/>
          </w:tcPr>
          <w:p>
            <w:pPr>
              <w:pStyle w:val="0"/>
              <w:jc w:val="both"/>
            </w:pPr>
            <w:r>
              <w:rPr>
                <w:sz w:val="20"/>
              </w:rPr>
              <w:t xml:space="preserve">новорожденному</w:t>
            </w:r>
          </w:p>
        </w:tc>
        <w:tc>
          <w:tcPr>
            <w:tcW w:w="658" w:type="dxa"/>
          </w:tcPr>
          <w:p>
            <w:pPr>
              <w:pStyle w:val="0"/>
              <w:jc w:val="center"/>
            </w:pPr>
            <w:r>
              <w:rPr>
                <w:sz w:val="20"/>
              </w:rPr>
              <w:t xml:space="preserve">100</w:t>
            </w:r>
          </w:p>
        </w:tc>
        <w:tc>
          <w:tcPr>
            <w:tcW w:w="658" w:type="dxa"/>
          </w:tcPr>
          <w:p>
            <w:pPr>
              <w:pStyle w:val="0"/>
              <w:jc w:val="center"/>
            </w:pPr>
            <w:r>
              <w:rPr>
                <w:sz w:val="20"/>
              </w:rPr>
              <w:t xml:space="preserve">100</w:t>
            </w:r>
          </w:p>
        </w:tc>
        <w:tc>
          <w:tcPr>
            <w:tcW w:w="658" w:type="dxa"/>
          </w:tcPr>
          <w:p>
            <w:pPr>
              <w:pStyle w:val="0"/>
              <w:jc w:val="center"/>
            </w:pPr>
            <w:r>
              <w:rPr>
                <w:sz w:val="20"/>
              </w:rPr>
              <w:t xml:space="preserve">100</w:t>
            </w:r>
          </w:p>
        </w:tc>
        <w:tc>
          <w:tcPr>
            <w:tcW w:w="658" w:type="dxa"/>
          </w:tcPr>
          <w:p>
            <w:pPr>
              <w:pStyle w:val="0"/>
              <w:jc w:val="center"/>
            </w:pPr>
            <w:r>
              <w:rPr>
                <w:sz w:val="20"/>
              </w:rPr>
              <w:t xml:space="preserve">100</w:t>
            </w:r>
          </w:p>
        </w:tc>
        <w:tc>
          <w:tcPr>
            <w:tcW w:w="658" w:type="dxa"/>
          </w:tcPr>
          <w:p>
            <w:pPr>
              <w:pStyle w:val="0"/>
              <w:jc w:val="center"/>
            </w:pPr>
            <w:r>
              <w:rPr>
                <w:sz w:val="20"/>
              </w:rPr>
              <w:t xml:space="preserve">100</w:t>
            </w:r>
          </w:p>
        </w:tc>
        <w:tc>
          <w:tcPr>
            <w:tcW w:w="658" w:type="dxa"/>
          </w:tcPr>
          <w:p>
            <w:pPr>
              <w:pStyle w:val="0"/>
              <w:jc w:val="center"/>
            </w:pPr>
            <w:r>
              <w:rPr>
                <w:sz w:val="20"/>
              </w:rPr>
              <w:t xml:space="preserve">100</w:t>
            </w:r>
          </w:p>
        </w:tc>
        <w:tc>
          <w:tcPr>
            <w:tcW w:w="658" w:type="dxa"/>
          </w:tcPr>
          <w:p>
            <w:pPr>
              <w:pStyle w:val="0"/>
              <w:jc w:val="center"/>
            </w:pPr>
            <w:r>
              <w:rPr>
                <w:sz w:val="20"/>
              </w:rPr>
              <w:t xml:space="preserve">100</w:t>
            </w:r>
          </w:p>
        </w:tc>
        <w:tc>
          <w:tcPr>
            <w:tcW w:w="658" w:type="dxa"/>
          </w:tcPr>
          <w:p>
            <w:pPr>
              <w:pStyle w:val="0"/>
              <w:jc w:val="center"/>
            </w:pPr>
            <w:r>
              <w:rPr>
                <w:sz w:val="20"/>
              </w:rPr>
              <w:t xml:space="preserve">100</w:t>
            </w:r>
          </w:p>
        </w:tc>
        <w:tc>
          <w:tcPr>
            <w:tcW w:w="658" w:type="dxa"/>
          </w:tcPr>
          <w:p>
            <w:pPr>
              <w:pStyle w:val="0"/>
              <w:jc w:val="center"/>
            </w:pPr>
            <w:r>
              <w:rPr>
                <w:sz w:val="20"/>
              </w:rPr>
              <w:t xml:space="preserve">100</w:t>
            </w:r>
          </w:p>
        </w:tc>
        <w:tc>
          <w:tcPr>
            <w:tcW w:w="664" w:type="dxa"/>
          </w:tcPr>
          <w:p>
            <w:pPr>
              <w:pStyle w:val="0"/>
              <w:jc w:val="center"/>
            </w:pPr>
            <w:r>
              <w:rPr>
                <w:sz w:val="20"/>
              </w:rPr>
              <w:t xml:space="preserve">100</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13</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bookmarkStart w:id="41118" w:name="P41118"/>
    <w:bookmarkEnd w:id="41118"/>
    <w:p>
      <w:pPr>
        <w:pStyle w:val="2"/>
        <w:jc w:val="center"/>
      </w:pPr>
      <w:r>
        <w:rPr>
          <w:sz w:val="20"/>
        </w:rPr>
        <w:t xml:space="preserve">Региональная программа</w:t>
      </w:r>
    </w:p>
    <w:p>
      <w:pPr>
        <w:pStyle w:val="2"/>
        <w:jc w:val="center"/>
      </w:pPr>
      <w:r>
        <w:rPr>
          <w:sz w:val="20"/>
        </w:rPr>
        <w:t xml:space="preserve">"Развитие службы крови в городе Севастополе"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78"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02.03.2023 N 108-ПП)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2"/>
        <w:outlineLvl w:val="2"/>
        <w:jc w:val="center"/>
      </w:pPr>
      <w:r>
        <w:rPr>
          <w:sz w:val="20"/>
        </w:rPr>
        <w:t xml:space="preserve">ПАСПОРТ</w:t>
      </w:r>
    </w:p>
    <w:p>
      <w:pPr>
        <w:pStyle w:val="2"/>
        <w:jc w:val="center"/>
      </w:pPr>
      <w:r>
        <w:rPr>
          <w:sz w:val="20"/>
        </w:rPr>
        <w:t xml:space="preserve">региональной программы "Развитие службы крови</w:t>
      </w:r>
    </w:p>
    <w:p>
      <w:pPr>
        <w:pStyle w:val="2"/>
        <w:jc w:val="center"/>
      </w:pPr>
      <w:r>
        <w:rPr>
          <w:sz w:val="20"/>
        </w:rPr>
        <w:t xml:space="preserve">в городе Севастополе"</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5953"/>
      </w:tblGrid>
      <w:tr>
        <w:tc>
          <w:tcPr>
            <w:tcW w:w="3118" w:type="dxa"/>
          </w:tcPr>
          <w:p>
            <w:pPr>
              <w:pStyle w:val="0"/>
              <w:jc w:val="both"/>
            </w:pPr>
            <w:r>
              <w:rPr>
                <w:sz w:val="20"/>
              </w:rPr>
              <w:t xml:space="preserve">Сроки реализации региональной программы "Развитие службы крови в городе Севастополе на 2019 2022 годы" (далее - региональная программа)</w:t>
            </w:r>
          </w:p>
        </w:tc>
        <w:tc>
          <w:tcPr>
            <w:tcW w:w="5953" w:type="dxa"/>
          </w:tcPr>
          <w:p>
            <w:pPr>
              <w:pStyle w:val="0"/>
              <w:jc w:val="both"/>
            </w:pPr>
            <w:r>
              <w:rPr>
                <w:sz w:val="20"/>
              </w:rPr>
              <w:t xml:space="preserve">2019 - 2025 годы</w:t>
            </w:r>
          </w:p>
        </w:tc>
      </w:tr>
      <w:tr>
        <w:tc>
          <w:tcPr>
            <w:tcW w:w="3118" w:type="dxa"/>
          </w:tcPr>
          <w:p>
            <w:pPr>
              <w:pStyle w:val="0"/>
              <w:jc w:val="both"/>
            </w:pPr>
            <w:r>
              <w:rPr>
                <w:sz w:val="20"/>
              </w:rPr>
              <w:t xml:space="preserve">Разработчик региональной программы</w:t>
            </w:r>
          </w:p>
        </w:tc>
        <w:tc>
          <w:tcPr>
            <w:tcW w:w="5953" w:type="dxa"/>
          </w:tcPr>
          <w:p>
            <w:pPr>
              <w:pStyle w:val="0"/>
              <w:jc w:val="both"/>
            </w:pPr>
            <w:r>
              <w:rPr>
                <w:sz w:val="20"/>
              </w:rPr>
              <w:t xml:space="preserve">Государственное бюджетное учреждение Севастополя "Центр крови"</w:t>
            </w:r>
          </w:p>
        </w:tc>
      </w:tr>
      <w:tr>
        <w:tc>
          <w:tcPr>
            <w:tcW w:w="3118" w:type="dxa"/>
          </w:tcPr>
          <w:p>
            <w:pPr>
              <w:pStyle w:val="0"/>
              <w:jc w:val="both"/>
            </w:pPr>
            <w:r>
              <w:rPr>
                <w:sz w:val="20"/>
              </w:rPr>
              <w:t xml:space="preserve">Координатор региональной программы</w:t>
            </w:r>
          </w:p>
        </w:tc>
        <w:tc>
          <w:tcPr>
            <w:tcW w:w="5953" w:type="dxa"/>
          </w:tcPr>
          <w:p>
            <w:pPr>
              <w:pStyle w:val="0"/>
              <w:jc w:val="both"/>
            </w:pPr>
            <w:r>
              <w:rPr>
                <w:sz w:val="20"/>
              </w:rPr>
              <w:t xml:space="preserve">Департамент здравоохранения города Севастополя</w:t>
            </w:r>
          </w:p>
        </w:tc>
      </w:tr>
      <w:tr>
        <w:tc>
          <w:tcPr>
            <w:tcW w:w="3118" w:type="dxa"/>
          </w:tcPr>
          <w:p>
            <w:pPr>
              <w:pStyle w:val="0"/>
              <w:jc w:val="both"/>
            </w:pPr>
            <w:r>
              <w:rPr>
                <w:sz w:val="20"/>
              </w:rPr>
              <w:t xml:space="preserve">Цели и задачи региональной программы</w:t>
            </w:r>
          </w:p>
        </w:tc>
        <w:tc>
          <w:tcPr>
            <w:tcW w:w="5953" w:type="dxa"/>
          </w:tcPr>
          <w:p>
            <w:pPr>
              <w:pStyle w:val="0"/>
              <w:jc w:val="both"/>
            </w:pPr>
            <w:r>
              <w:rPr>
                <w:sz w:val="20"/>
              </w:rPr>
              <w:t xml:space="preserve">Основные цели региональной программы:</w:t>
            </w:r>
          </w:p>
          <w:p>
            <w:pPr>
              <w:pStyle w:val="0"/>
              <w:jc w:val="both"/>
            </w:pPr>
            <w:r>
              <w:rPr>
                <w:sz w:val="20"/>
              </w:rPr>
              <w:t xml:space="preserve">- обеспечение потребности медицинских организаций, подведомственных Департаменту здравоохранения города Севастополя, безопасными компонентами донорской крови;</w:t>
            </w:r>
          </w:p>
          <w:p>
            <w:pPr>
              <w:pStyle w:val="0"/>
              <w:jc w:val="both"/>
            </w:pPr>
            <w:r>
              <w:rPr>
                <w:sz w:val="20"/>
              </w:rPr>
              <w:t xml:space="preserve">- повышение вирусобезопасности получаемых компонентов донорской крови;</w:t>
            </w:r>
          </w:p>
          <w:p>
            <w:pPr>
              <w:pStyle w:val="0"/>
              <w:jc w:val="both"/>
            </w:pPr>
            <w:r>
              <w:rPr>
                <w:sz w:val="20"/>
              </w:rPr>
              <w:t xml:space="preserve">- развитие единой базы данных по осуществлению мероприятий, связанных с обеспечением безопасности донорской крови, и ее компонентов;</w:t>
            </w:r>
          </w:p>
          <w:p>
            <w:pPr>
              <w:pStyle w:val="0"/>
              <w:jc w:val="both"/>
            </w:pPr>
            <w:r>
              <w:rPr>
                <w:sz w:val="20"/>
              </w:rPr>
              <w:t xml:space="preserve">- увеличение охвата населения безвозмездным донорством на территории города Севастополя;</w:t>
            </w:r>
          </w:p>
          <w:p>
            <w:pPr>
              <w:pStyle w:val="0"/>
              <w:jc w:val="both"/>
            </w:pPr>
            <w:r>
              <w:rPr>
                <w:sz w:val="20"/>
              </w:rPr>
              <w:t xml:space="preserve">- укрепление материально-технической базы службы крови.</w:t>
            </w:r>
          </w:p>
          <w:p>
            <w:pPr>
              <w:pStyle w:val="0"/>
              <w:jc w:val="both"/>
            </w:pPr>
            <w:r>
              <w:rPr>
                <w:sz w:val="20"/>
              </w:rPr>
              <w:t xml:space="preserve">Для достижения указанных целей необходимо решить следующие задачи:</w:t>
            </w:r>
          </w:p>
          <w:p>
            <w:pPr>
              <w:pStyle w:val="0"/>
              <w:jc w:val="both"/>
            </w:pPr>
            <w:r>
              <w:rPr>
                <w:sz w:val="20"/>
              </w:rPr>
              <w:t xml:space="preserve">- организация заготовки, хранения, транспортировки и обеспечения безопасности донорской крови и ее компонентов для безвозмездного обеспечения медицинских организаций, подведомственных Департаменту здравоохранения города Севастополя;</w:t>
            </w:r>
          </w:p>
          <w:p>
            <w:pPr>
              <w:pStyle w:val="0"/>
              <w:jc w:val="both"/>
            </w:pPr>
            <w:r>
              <w:rPr>
                <w:sz w:val="20"/>
              </w:rPr>
              <w:t xml:space="preserve">- развитие и ведение единой базы данных по осуществлению мероприятий, связанных с обеспечением безопасности донорской крови и ее компонентов;</w:t>
            </w:r>
          </w:p>
          <w:p>
            <w:pPr>
              <w:pStyle w:val="0"/>
              <w:jc w:val="both"/>
            </w:pPr>
            <w:r>
              <w:rPr>
                <w:sz w:val="20"/>
              </w:rPr>
              <w:t xml:space="preserve">- создание действенной и активной системы целенаправленной агитации и пропаганды безвозмездного донорства среди населения с участием широких кругов медицинской общественности и других общественных организаций;</w:t>
            </w:r>
          </w:p>
          <w:p>
            <w:pPr>
              <w:pStyle w:val="0"/>
              <w:jc w:val="both"/>
            </w:pPr>
            <w:r>
              <w:rPr>
                <w:sz w:val="20"/>
              </w:rPr>
              <w:t xml:space="preserve">- модернизация материально-технической базы службы крови города Севастополя для обеспечения безопасности донорской крови и ее компонентов</w:t>
            </w:r>
          </w:p>
        </w:tc>
      </w:tr>
      <w:tr>
        <w:tc>
          <w:tcPr>
            <w:tcW w:w="3118" w:type="dxa"/>
          </w:tcPr>
          <w:p>
            <w:pPr>
              <w:pStyle w:val="0"/>
              <w:jc w:val="both"/>
            </w:pPr>
            <w:r>
              <w:rPr>
                <w:sz w:val="20"/>
              </w:rPr>
              <w:t xml:space="preserve">Целевые показатели региональной программы</w:t>
            </w:r>
          </w:p>
        </w:tc>
        <w:tc>
          <w:tcPr>
            <w:tcW w:w="5953" w:type="dxa"/>
          </w:tcPr>
          <w:p>
            <w:pPr>
              <w:pStyle w:val="0"/>
              <w:jc w:val="both"/>
            </w:pPr>
            <w:r>
              <w:rPr>
                <w:sz w:val="20"/>
              </w:rPr>
              <w:t xml:space="preserve">- увеличение объема заготовки компонентов донорской крови автоматическими методами (процентов) в отчетном году;</w:t>
            </w:r>
          </w:p>
          <w:p>
            <w:pPr>
              <w:pStyle w:val="0"/>
              <w:jc w:val="both"/>
            </w:pPr>
            <w:r>
              <w:rPr>
                <w:sz w:val="20"/>
              </w:rPr>
              <w:t xml:space="preserve">- количество доноров крови и ее компонентов (на 1000 человек населения)</w:t>
            </w:r>
          </w:p>
        </w:tc>
      </w:tr>
      <w:tr>
        <w:tc>
          <w:tcPr>
            <w:tcW w:w="3118" w:type="dxa"/>
          </w:tcPr>
          <w:p>
            <w:pPr>
              <w:pStyle w:val="0"/>
              <w:jc w:val="both"/>
            </w:pPr>
            <w:r>
              <w:rPr>
                <w:sz w:val="20"/>
              </w:rPr>
              <w:t xml:space="preserve">Сроки и этапы реализации региональной программы</w:t>
            </w:r>
          </w:p>
        </w:tc>
        <w:tc>
          <w:tcPr>
            <w:tcW w:w="5953" w:type="dxa"/>
          </w:tcPr>
          <w:p>
            <w:pPr>
              <w:pStyle w:val="0"/>
              <w:jc w:val="both"/>
            </w:pPr>
            <w:r>
              <w:rPr>
                <w:sz w:val="20"/>
              </w:rPr>
              <w:t xml:space="preserve">2019 2025 годы</w:t>
            </w:r>
          </w:p>
        </w:tc>
      </w:tr>
      <w:tr>
        <w:tc>
          <w:tcPr>
            <w:tcW w:w="3118" w:type="dxa"/>
          </w:tcPr>
          <w:p>
            <w:pPr>
              <w:pStyle w:val="0"/>
              <w:jc w:val="both"/>
            </w:pPr>
            <w:r>
              <w:rPr>
                <w:sz w:val="20"/>
              </w:rPr>
              <w:t xml:space="preserve">Источник финансового обеспечения реализации региональной программы</w:t>
            </w:r>
          </w:p>
        </w:tc>
        <w:tc>
          <w:tcPr>
            <w:tcW w:w="5953" w:type="dxa"/>
          </w:tcPr>
          <w:p>
            <w:pPr>
              <w:pStyle w:val="0"/>
              <w:jc w:val="both"/>
            </w:pPr>
            <w:r>
              <w:rPr>
                <w:sz w:val="20"/>
              </w:rPr>
              <w:t xml:space="preserve">Реализация региональной программы осуществляется за счет средств федерального бюджета, предусмотренного ведомственной целевой </w:t>
            </w:r>
            <w:hyperlink w:history="0" r:id="rId979" w:tooltip="Приказ ФМБА России от 27.12.2018 N 293 (ред. от 30.09.2020) &quot;Об утверждении ведомственной целевой программы &quot;Развитие службы крови&quot; {КонсультантПлюс}">
              <w:r>
                <w:rPr>
                  <w:sz w:val="20"/>
                  <w:color w:val="0000ff"/>
                </w:rPr>
                <w:t xml:space="preserve">программой</w:t>
              </w:r>
            </w:hyperlink>
            <w:r>
              <w:rPr>
                <w:sz w:val="20"/>
              </w:rPr>
              <w:t xml:space="preserve"> "Развитие службы крови", утвержденной приказом Федерального медико-биологического агентства от 27.12.2018 N 293 (мероприятие 4 "Развитие службы крови Республики Крым и города федерального значения Севастополя")</w:t>
            </w:r>
          </w:p>
        </w:tc>
      </w:tr>
      <w:tr>
        <w:tc>
          <w:tcPr>
            <w:tcW w:w="3118" w:type="dxa"/>
          </w:tcPr>
          <w:p>
            <w:pPr>
              <w:pStyle w:val="0"/>
              <w:jc w:val="both"/>
            </w:pPr>
            <w:r>
              <w:rPr>
                <w:sz w:val="20"/>
              </w:rPr>
              <w:t xml:space="preserve">Ожидаемые конечные результаты реализации региональной программы</w:t>
            </w:r>
          </w:p>
        </w:tc>
        <w:tc>
          <w:tcPr>
            <w:tcW w:w="5953" w:type="dxa"/>
          </w:tcPr>
          <w:p>
            <w:pPr>
              <w:pStyle w:val="0"/>
              <w:jc w:val="both"/>
            </w:pPr>
            <w:r>
              <w:rPr>
                <w:sz w:val="20"/>
              </w:rPr>
              <w:t xml:space="preserve">1. Обеспечение потребности медицинских организаций, подведомственных Департаменту здравоохранения города Севастополя, безопасными компонентами донорской крови.</w:t>
            </w:r>
          </w:p>
          <w:p>
            <w:pPr>
              <w:pStyle w:val="0"/>
              <w:jc w:val="both"/>
            </w:pPr>
            <w:r>
              <w:rPr>
                <w:sz w:val="20"/>
              </w:rPr>
              <w:t xml:space="preserve">2. Увеличение объема заготовки компонентов донорской крови автоматическими методами (процентов) в отчетном году.</w:t>
            </w:r>
          </w:p>
          <w:p>
            <w:pPr>
              <w:pStyle w:val="0"/>
              <w:jc w:val="both"/>
            </w:pPr>
            <w:r>
              <w:rPr>
                <w:sz w:val="20"/>
              </w:rPr>
              <w:t xml:space="preserve">3. Увеличение количества доноров крови и ее компонентов (на 1000 человек населения)</w:t>
            </w:r>
          </w:p>
        </w:tc>
      </w:tr>
    </w:tbl>
    <w:p>
      <w:pPr>
        <w:pStyle w:val="0"/>
        <w:jc w:val="center"/>
      </w:pPr>
      <w:r>
        <w:rPr>
          <w:sz w:val="20"/>
        </w:rPr>
      </w:r>
    </w:p>
    <w:p>
      <w:pPr>
        <w:pStyle w:val="2"/>
        <w:outlineLvl w:val="2"/>
        <w:jc w:val="center"/>
      </w:pPr>
      <w:r>
        <w:rPr>
          <w:sz w:val="20"/>
        </w:rPr>
        <w:t xml:space="preserve">I. Характеристика проблемы, на решение которой направлена</w:t>
      </w:r>
    </w:p>
    <w:p>
      <w:pPr>
        <w:pStyle w:val="2"/>
        <w:jc w:val="center"/>
      </w:pPr>
      <w:r>
        <w:rPr>
          <w:sz w:val="20"/>
        </w:rPr>
        <w:t xml:space="preserve">региональная программа</w:t>
      </w:r>
    </w:p>
    <w:p>
      <w:pPr>
        <w:pStyle w:val="0"/>
        <w:ind w:firstLine="540"/>
        <w:jc w:val="both"/>
      </w:pPr>
      <w:r>
        <w:rPr>
          <w:sz w:val="20"/>
        </w:rPr>
      </w:r>
    </w:p>
    <w:p>
      <w:pPr>
        <w:pStyle w:val="0"/>
        <w:ind w:firstLine="540"/>
        <w:jc w:val="both"/>
      </w:pPr>
      <w:r>
        <w:rPr>
          <w:sz w:val="20"/>
        </w:rPr>
        <w:t xml:space="preserve">Разработке региональной программы предшествовал всесторонний анализ деятельности Государственного бюджетного учреждения Севастополя "Центр крови" (далее - ГБУЗС "Центр крови"), технологических возможностей по производству компонентов крови и устойчивости при возможном возникновении чрезвычайных ситуаций природного и техногенного характера.</w:t>
      </w:r>
    </w:p>
    <w:p>
      <w:pPr>
        <w:pStyle w:val="0"/>
        <w:spacing w:before="200" w:line-rule="auto"/>
        <w:ind w:firstLine="540"/>
        <w:jc w:val="both"/>
      </w:pPr>
      <w:r>
        <w:rPr>
          <w:sz w:val="20"/>
        </w:rPr>
        <w:t xml:space="preserve">Служба крови является одним из важнейших разделов здравоохранения, направленных на снижение смертности и инвалидности населения от несчастных случаев, острых и хронических заболеваний, в том числе при катастрофах и других чрезвычайных ситуациях. Стабильное ее функционирование неразрывно связано с сохранением в регионе донорского потенциала, необходимостью постоянного обновления и восполнения технического и специального оснащения, организацией современного технологического производства компонентов крови.</w:t>
      </w:r>
    </w:p>
    <w:p>
      <w:pPr>
        <w:pStyle w:val="0"/>
        <w:spacing w:before="200" w:line-rule="auto"/>
        <w:ind w:firstLine="540"/>
        <w:jc w:val="both"/>
      </w:pPr>
      <w:r>
        <w:rPr>
          <w:sz w:val="20"/>
        </w:rPr>
        <w:t xml:space="preserve">Совершенствование специализированной, в том числе высокотехнологичной, медицинской помощи обусловливает возрастающую потребность медицинских организаций в компонентах крови, единственным источником которых являются доноры. Именно в связи с этим непрерывно возрастает значение проблемы донорства.</w:t>
      </w:r>
    </w:p>
    <w:p>
      <w:pPr>
        <w:pStyle w:val="0"/>
        <w:spacing w:before="200" w:line-rule="auto"/>
        <w:ind w:firstLine="540"/>
        <w:jc w:val="both"/>
      </w:pPr>
      <w:r>
        <w:rPr>
          <w:sz w:val="20"/>
        </w:rPr>
        <w:t xml:space="preserve">Единственным источником донорской крови и плазмы является взрослый человек в возрасте от 18 лет, не имеющий противопоказаний к кроводаче и плазмодаче.</w:t>
      </w:r>
    </w:p>
    <w:p>
      <w:pPr>
        <w:pStyle w:val="0"/>
        <w:spacing w:before="200" w:line-rule="auto"/>
        <w:ind w:firstLine="540"/>
        <w:jc w:val="both"/>
      </w:pPr>
      <w:r>
        <w:rPr>
          <w:sz w:val="20"/>
        </w:rPr>
        <w:t xml:space="preserve">В последние годы отмечается недостаточная активность всех групп населения в вопросах безвозмездного донорства крови.</w:t>
      </w:r>
    </w:p>
    <w:p>
      <w:pPr>
        <w:pStyle w:val="0"/>
        <w:spacing w:before="200" w:line-rule="auto"/>
        <w:ind w:firstLine="540"/>
        <w:jc w:val="both"/>
      </w:pPr>
      <w:r>
        <w:rPr>
          <w:sz w:val="20"/>
        </w:rPr>
        <w:t xml:space="preserve">В настоящее время общепризнано, что заготовка, переработка и хранение крови и ее компонентов должны производиться с использованием только современных технологий, позволяющих улучшать качество переработки крови, заготовку плазмы крови и ее карантинизацию.</w:t>
      </w:r>
    </w:p>
    <w:p>
      <w:pPr>
        <w:pStyle w:val="0"/>
        <w:spacing w:before="200" w:line-rule="auto"/>
        <w:ind w:firstLine="540"/>
        <w:jc w:val="both"/>
      </w:pPr>
      <w:r>
        <w:rPr>
          <w:sz w:val="20"/>
        </w:rPr>
        <w:t xml:space="preserve">Значимость решаемых службой крови задач требует значительных материальных затрат. Медицинское и специальное имущество службы крови подлежит постоянному восполнению по мере расходования, износа и истечения срока эксплуатации. В настоящее время в учреждении службы крови имеется оборудование выработавшее свой ресурс, морально и технически устаревшее. В целях реализации мероприятий, связанных с обеспечением безопасности донорской крови и ее компонентов, необходимо дооснащение учреждения, в том числе ПЦР-оборудованием, единой информационной базой данных.</w:t>
      </w:r>
    </w:p>
    <w:p>
      <w:pPr>
        <w:pStyle w:val="0"/>
        <w:spacing w:before="200" w:line-rule="auto"/>
        <w:ind w:firstLine="540"/>
        <w:jc w:val="both"/>
      </w:pPr>
      <w:r>
        <w:rPr>
          <w:sz w:val="20"/>
        </w:rPr>
        <w:t xml:space="preserve">Реализация настоящей региональной программы к концу 2022 года создаст необходимые условия для устойчивого в течение последующих лет функционирования службы крови города Севастополя на качественно новом уровне.</w:t>
      </w:r>
    </w:p>
    <w:p>
      <w:pPr>
        <w:pStyle w:val="0"/>
        <w:ind w:firstLine="540"/>
        <w:jc w:val="both"/>
      </w:pPr>
      <w:r>
        <w:rPr>
          <w:sz w:val="20"/>
        </w:rPr>
      </w:r>
    </w:p>
    <w:p>
      <w:pPr>
        <w:pStyle w:val="2"/>
        <w:outlineLvl w:val="2"/>
        <w:jc w:val="center"/>
      </w:pPr>
      <w:r>
        <w:rPr>
          <w:sz w:val="20"/>
        </w:rPr>
        <w:t xml:space="preserve">II. Основные цели и задачи региональной программы, сроки</w:t>
      </w:r>
    </w:p>
    <w:p>
      <w:pPr>
        <w:pStyle w:val="2"/>
        <w:jc w:val="center"/>
      </w:pPr>
      <w:r>
        <w:rPr>
          <w:sz w:val="20"/>
        </w:rPr>
        <w:t xml:space="preserve">и этапы ее реализации, а также перечень целевых показателей</w:t>
      </w:r>
    </w:p>
    <w:p>
      <w:pPr>
        <w:pStyle w:val="2"/>
        <w:jc w:val="center"/>
      </w:pPr>
      <w:r>
        <w:rPr>
          <w:sz w:val="20"/>
        </w:rPr>
        <w:t xml:space="preserve">с указанием прогнозируемых значений, позволяющих оценить ход</w:t>
      </w:r>
    </w:p>
    <w:p>
      <w:pPr>
        <w:pStyle w:val="2"/>
        <w:jc w:val="center"/>
      </w:pPr>
      <w:r>
        <w:rPr>
          <w:sz w:val="20"/>
        </w:rPr>
        <w:t xml:space="preserve">реализации региональной программы</w:t>
      </w:r>
    </w:p>
    <w:p>
      <w:pPr>
        <w:pStyle w:val="0"/>
      </w:pPr>
      <w:r>
        <w:rPr>
          <w:sz w:val="20"/>
        </w:rPr>
      </w:r>
    </w:p>
    <w:p>
      <w:pPr>
        <w:pStyle w:val="0"/>
        <w:ind w:firstLine="540"/>
        <w:jc w:val="both"/>
      </w:pPr>
      <w:r>
        <w:rPr>
          <w:sz w:val="20"/>
        </w:rPr>
        <w:t xml:space="preserve">Целью региональной программы является обеспечение потребности медицинских организаций, подведомственных Департаменту здравоохранения города Севастополя, в безопасных компонентах донорской крови для клинического использования, заготовленных современными методами развития, и ведения единой базы данных по осуществлению мероприятий, связанных с обеспечением безопасности донорской крови и ее компонентов, развитием, организацией и пропагандой донорства крови и ее компонентов.</w:t>
      </w:r>
    </w:p>
    <w:p>
      <w:pPr>
        <w:pStyle w:val="0"/>
        <w:spacing w:before="200" w:line-rule="auto"/>
        <w:ind w:firstLine="540"/>
        <w:jc w:val="both"/>
      </w:pPr>
      <w:r>
        <w:rPr>
          <w:sz w:val="20"/>
        </w:rPr>
        <w:t xml:space="preserve">Для достижения указанных целей необходимы:</w:t>
      </w:r>
    </w:p>
    <w:p>
      <w:pPr>
        <w:pStyle w:val="0"/>
        <w:spacing w:before="200" w:line-rule="auto"/>
        <w:ind w:firstLine="540"/>
        <w:jc w:val="both"/>
      </w:pPr>
      <w:r>
        <w:rPr>
          <w:sz w:val="20"/>
        </w:rPr>
        <w:t xml:space="preserve">- модернизация материально-технической базы службы крови города Севастополя, приобретение медицинских изделий по заготовке, переработке, хранению и обеспечению безопасности донорской крови и ее компонентов;</w:t>
      </w:r>
    </w:p>
    <w:p>
      <w:pPr>
        <w:pStyle w:val="0"/>
        <w:spacing w:before="200" w:line-rule="auto"/>
        <w:ind w:firstLine="540"/>
        <w:jc w:val="both"/>
      </w:pPr>
      <w:r>
        <w:rPr>
          <w:sz w:val="20"/>
        </w:rPr>
        <w:t xml:space="preserve">- развитие и ведение единой базы данных по осуществлению мероприятий, связанных с обеспечением безопасности донорской крови и ее компонентов, развитием, организацией и пропагандой донорской крови и ее компонентов;</w:t>
      </w:r>
    </w:p>
    <w:p>
      <w:pPr>
        <w:pStyle w:val="0"/>
        <w:spacing w:before="200" w:line-rule="auto"/>
        <w:ind w:firstLine="540"/>
        <w:jc w:val="both"/>
      </w:pPr>
      <w:r>
        <w:rPr>
          <w:sz w:val="20"/>
        </w:rPr>
        <w:t xml:space="preserve">- обеспечение высокого уровня автоматизации, стандартизации технологических процессов;</w:t>
      </w:r>
    </w:p>
    <w:p>
      <w:pPr>
        <w:pStyle w:val="0"/>
        <w:spacing w:before="200" w:line-rule="auto"/>
        <w:ind w:firstLine="540"/>
        <w:jc w:val="both"/>
      </w:pPr>
      <w:r>
        <w:rPr>
          <w:sz w:val="20"/>
        </w:rPr>
        <w:t xml:space="preserve">- создание действенной и активной системы целенаправленной агитации и пропаганды донорства среди населения с участием широких кругов медицинской общественности и других общественных организаций.</w:t>
      </w:r>
    </w:p>
    <w:p>
      <w:pPr>
        <w:pStyle w:val="0"/>
        <w:spacing w:before="200" w:line-rule="auto"/>
        <w:ind w:firstLine="540"/>
        <w:jc w:val="both"/>
      </w:pPr>
      <w:r>
        <w:rPr>
          <w:sz w:val="20"/>
        </w:rPr>
        <w:t xml:space="preserve">Сроки реализации региональной программы: 2019 2022 годы.</w:t>
      </w:r>
    </w:p>
    <w:p>
      <w:pPr>
        <w:pStyle w:val="0"/>
        <w:spacing w:before="200" w:line-rule="auto"/>
        <w:ind w:firstLine="540"/>
        <w:jc w:val="both"/>
      </w:pPr>
      <w:r>
        <w:rPr>
          <w:sz w:val="20"/>
        </w:rPr>
        <w:t xml:space="preserve">В региональной программе предусматривается реализация комплекса взаимосвязанных мероприятий по развитию массового безвозмездного донорства, повышению качества заготовки, переработки и обследования донорской крови, улучшению качества оказания трансфузиологической помощи населению города Севастополя, в связи с чем отдельные этапы ее реализации не выделяются.</w:t>
      </w:r>
    </w:p>
    <w:p>
      <w:pPr>
        <w:pStyle w:val="0"/>
        <w:spacing w:before="200" w:line-rule="auto"/>
        <w:ind w:firstLine="540"/>
        <w:jc w:val="both"/>
      </w:pPr>
      <w:r>
        <w:rPr>
          <w:sz w:val="20"/>
        </w:rPr>
        <w:t xml:space="preserve">Плановые </w:t>
      </w:r>
      <w:hyperlink w:history="0" w:anchor="P41224" w:tooltip="Плановые значения целевых показателей региональной программы">
        <w:r>
          <w:rPr>
            <w:sz w:val="20"/>
            <w:color w:val="0000ff"/>
          </w:rPr>
          <w:t xml:space="preserve">значения</w:t>
        </w:r>
      </w:hyperlink>
      <w:r>
        <w:rPr>
          <w:sz w:val="20"/>
        </w:rPr>
        <w:t xml:space="preserve"> целевых показателей региональной программы приведены в приложении к ней.</w:t>
      </w:r>
    </w:p>
    <w:p>
      <w:pPr>
        <w:pStyle w:val="0"/>
        <w:jc w:val="center"/>
      </w:pPr>
      <w:r>
        <w:rPr>
          <w:sz w:val="20"/>
        </w:rPr>
      </w:r>
    </w:p>
    <w:p>
      <w:pPr>
        <w:pStyle w:val="2"/>
        <w:outlineLvl w:val="2"/>
        <w:jc w:val="center"/>
      </w:pPr>
      <w:r>
        <w:rPr>
          <w:sz w:val="20"/>
        </w:rPr>
        <w:t xml:space="preserve">IV. Обоснование ресурсного обеспечения</w:t>
      </w:r>
    </w:p>
    <w:p>
      <w:pPr>
        <w:pStyle w:val="2"/>
        <w:jc w:val="center"/>
      </w:pPr>
      <w:r>
        <w:rPr>
          <w:sz w:val="20"/>
        </w:rPr>
        <w:t xml:space="preserve">региональной программы</w:t>
      </w:r>
    </w:p>
    <w:p>
      <w:pPr>
        <w:pStyle w:val="0"/>
        <w:jc w:val="center"/>
      </w:pPr>
      <w:r>
        <w:rPr>
          <w:sz w:val="20"/>
        </w:rPr>
      </w:r>
    </w:p>
    <w:p>
      <w:pPr>
        <w:pStyle w:val="0"/>
        <w:ind w:firstLine="540"/>
        <w:jc w:val="both"/>
      </w:pPr>
      <w:r>
        <w:rPr>
          <w:sz w:val="20"/>
        </w:rPr>
        <w:t xml:space="preserve">В соответствии с Федеральным </w:t>
      </w:r>
      <w:hyperlink w:history="0" r:id="rId980" w:tooltip="Федеральный закон от 20.07.2012 N 125-ФЗ (ред. от 28.06.2022) &quot;О донорстве крови и ее компонентов&quot; {КонсультантПлюс}">
        <w:r>
          <w:rPr>
            <w:sz w:val="20"/>
            <w:color w:val="0000ff"/>
          </w:rPr>
          <w:t xml:space="preserve">законом</w:t>
        </w:r>
      </w:hyperlink>
      <w:r>
        <w:rPr>
          <w:sz w:val="20"/>
        </w:rPr>
        <w:t xml:space="preserve"> Российской Федерации от 20.07.2012 N 125-ФЗ "О донорстве крови и ее компонентов", </w:t>
      </w:r>
      <w:hyperlink w:history="0" r:id="rId981" w:tooltip="Приказ Минздравсоцразвития России от 28.03.2012 N 278н (ред. от 01.10.2012) &quot;Об утверждении требований к организациям здравоохранения (структурным подразделениям), осуществляющим заготовку, переработку, хранение и обеспечение безопасности донорской крови и ее компонентов, и перечня оборудования для их оснащения&quot; (Зарегистрировано в Минюсте России 04.05.2012 N 24048) ------------ Утратил силу или отменен {КонсультантПлюс}">
        <w:r>
          <w:rPr>
            <w:sz w:val="20"/>
            <w:color w:val="0000ff"/>
          </w:rPr>
          <w:t xml:space="preserve">приказом</w:t>
        </w:r>
      </w:hyperlink>
      <w:r>
        <w:rPr>
          <w:sz w:val="20"/>
        </w:rPr>
        <w:t xml:space="preserve"> Министерства здравоохранения и социального развития Российской Федерации от 28.03.2012 N 278н "Об утверждении требований к организациям здравоохранения, осуществляющим заготовку, переработку, хранение и обеспечение безопасности донорской кровью и ее компонентов и перечня оборудования для их оснащения" реализация региональной программы, в соответствии с целями государства в области безопасности и социальной политики, позволит обеспечить положительное общественное отношение к донорству и активное участие в нем населения, а также провести целый комплекс организационных, технологических мероприятий, что обеспечит сохранение и развитие производственной базы с применением современных аппаратных высокопроизводительных технологий заготовки донорской крови и ее компонентов. Осуществление мероприятий, направленных на совершенствование материально-технической базы учреждений службы крови, позволит более рационально использовать заготовленную донорскую кровь и ее компоненты, привести производство компонентов крови в соответствие с международными нормами.</w:t>
      </w:r>
    </w:p>
    <w:p>
      <w:pPr>
        <w:pStyle w:val="0"/>
      </w:pPr>
      <w:r>
        <w:rPr>
          <w:sz w:val="20"/>
        </w:rPr>
      </w:r>
    </w:p>
    <w:p>
      <w:pPr>
        <w:pStyle w:val="2"/>
        <w:outlineLvl w:val="2"/>
        <w:jc w:val="center"/>
      </w:pPr>
      <w:r>
        <w:rPr>
          <w:sz w:val="20"/>
        </w:rPr>
        <w:t xml:space="preserve">V. Механизм реализации региональной программы</w:t>
      </w:r>
    </w:p>
    <w:p>
      <w:pPr>
        <w:pStyle w:val="0"/>
      </w:pPr>
      <w:r>
        <w:rPr>
          <w:sz w:val="20"/>
        </w:rPr>
      </w:r>
    </w:p>
    <w:p>
      <w:pPr>
        <w:pStyle w:val="0"/>
        <w:ind w:firstLine="540"/>
        <w:jc w:val="both"/>
      </w:pPr>
      <w:r>
        <w:rPr>
          <w:sz w:val="20"/>
        </w:rPr>
        <w:t xml:space="preserve">Реализация региональной программы осуществляется в соответствии с </w:t>
      </w:r>
      <w:hyperlink w:history="0" r:id="rId982" w:tooltip="Приказ ФМБА России от 27.12.2018 N 293 (ред. от 30.09.2020) &quot;Об утверждении ведомственной целевой программы &quot;Развитие службы крови&quot; {КонсультантПлюс}">
        <w:r>
          <w:rPr>
            <w:sz w:val="20"/>
            <w:color w:val="0000ff"/>
          </w:rPr>
          <w:t xml:space="preserve">приказом</w:t>
        </w:r>
      </w:hyperlink>
      <w:r>
        <w:rPr>
          <w:sz w:val="20"/>
        </w:rPr>
        <w:t xml:space="preserve"> Федерального медико-биологического агентства от 27.12.2018 N 293 "Об утверждении ведомственной целевой программы "Развитие службы крови", который включает в себя мероприятия, направленные на развитие службы крови Республики Крым и города федерального значения Севастополя.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Постановление Правительства РФ издано 27.12.2012, а не 15.08.2019 и имеет номер 1447, а не 1053.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Порядок финансового обеспечения региональной программы установлен </w:t>
      </w:r>
      <w:hyperlink w:history="0" r:id="rId983" w:tooltip="Постановление Правительства РФ от 27.12.2012 N 1447 (ред. от 20.03.2023) &quot;О финансовом обеспечении за счет бюджетных ассигнований федерального бюджета мероприятий по развитию службы крови&quot; (вместе с &quot;Правила предоставления и распределения иных межбюджетных трансфертов из федерального бюджета бюджетам Республики Крым и г. Севастополя в целях софинансирования расходных обязательств Республики Крым и г. Севастополя, связанных с закупкой медицинских изделий по заготовке, хранению и обеспечению безопасности доно {КонсультантПлюс}">
        <w:r>
          <w:rPr>
            <w:sz w:val="20"/>
            <w:color w:val="0000ff"/>
          </w:rPr>
          <w:t xml:space="preserve">Правилами</w:t>
        </w:r>
      </w:hyperlink>
      <w:r>
        <w:rPr>
          <w:sz w:val="20"/>
        </w:rPr>
        <w:t xml:space="preserve"> предоставления и распределения иных межбюджетных трансфертов из федерального бюджета бюджету города Севастополя, в том числе в полном объеме,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 утвержденными постановлением Правительства Российской Федерации от 15.08.2019 N 1053 (далее - Правила).</w:t>
      </w:r>
    </w:p>
    <w:p>
      <w:pPr>
        <w:pStyle w:val="0"/>
        <w:spacing w:before="200" w:line-rule="auto"/>
        <w:ind w:firstLine="540"/>
        <w:jc w:val="both"/>
      </w:pPr>
      <w:r>
        <w:rPr>
          <w:sz w:val="20"/>
        </w:rPr>
        <w:t xml:space="preserve">Иные межбюджетные трансферты предоставляются бюджетам субъектов Российской Федерации в пределах лимитов бюджетных обязательств, доведенных до Федерального медико-биологического агентства как получателя средств федерального бюджета на предоставление иных межбюджетных трансфертов на цели, указанные в </w:t>
      </w:r>
      <w:hyperlink w:history="0" r:id="rId984" w:tooltip="Постановление Правительства РФ от 27.12.2012 N 1447 (ред. от 20.03.2023) &quot;О финансовом обеспечении за счет бюджетных ассигнований федерального бюджета мероприятий по развитию службы крови&quot; (вместе с &quot;Правила предоставления и распределения иных межбюджетных трансфертов из федерального бюджета бюджетам Республики Крым и г. Севастополя в целях софинансирования расходных обязательств Республики Крым и г. Севастополя, связанных с закупкой медицинских изделий по заготовке, хранению и обеспечению безопасности доно {КонсультантПлюс}">
        <w:r>
          <w:rPr>
            <w:sz w:val="20"/>
            <w:color w:val="0000ff"/>
          </w:rPr>
          <w:t xml:space="preserve">пункте 1</w:t>
        </w:r>
      </w:hyperlink>
      <w:r>
        <w:rPr>
          <w:sz w:val="20"/>
        </w:rPr>
        <w:t xml:space="preserve"> Правил.</w:t>
      </w:r>
    </w:p>
    <w:p>
      <w:pPr>
        <w:pStyle w:val="0"/>
        <w:spacing w:before="200" w:line-rule="auto"/>
        <w:ind w:firstLine="540"/>
        <w:jc w:val="both"/>
      </w:pPr>
      <w:r>
        <w:rPr>
          <w:sz w:val="20"/>
        </w:rPr>
        <w:t xml:space="preserve">В рамках реализации региональной программы ГБУЗС "Центр крови" должен реализовать следующие направления:</w:t>
      </w:r>
    </w:p>
    <w:p>
      <w:pPr>
        <w:pStyle w:val="0"/>
        <w:spacing w:before="200" w:line-rule="auto"/>
        <w:ind w:firstLine="540"/>
        <w:jc w:val="both"/>
      </w:pPr>
      <w:r>
        <w:rPr>
          <w:sz w:val="20"/>
        </w:rPr>
        <w:t xml:space="preserve">- по согласованию с Федеральным медико-биологическим агентством осуществить обоснование закупок и определить условия контракта, начальную (максимальную) цену контракта на закупку медицинских изделий по заготовке, переработке,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развития единой информационной базы данных в целях реализации мероприятий, связанных с обеспечением безопасности донорской крови и ее компонентов, а также программно-технических средств защиты указанной базы данных;</w:t>
      </w:r>
    </w:p>
    <w:p>
      <w:pPr>
        <w:pStyle w:val="0"/>
        <w:spacing w:before="200" w:line-rule="auto"/>
        <w:ind w:firstLine="540"/>
        <w:jc w:val="both"/>
      </w:pPr>
      <w:r>
        <w:rPr>
          <w:sz w:val="20"/>
        </w:rPr>
        <w:t xml:space="preserve">- обеспечить согласование характеристик закупаемых медицинских изделий и компьютерного оборудования с Федеральным медико-биологическим агентством;</w:t>
      </w:r>
    </w:p>
    <w:p>
      <w:pPr>
        <w:pStyle w:val="0"/>
        <w:spacing w:before="200" w:line-rule="auto"/>
        <w:ind w:firstLine="540"/>
        <w:jc w:val="both"/>
      </w:pPr>
      <w:r>
        <w:rPr>
          <w:sz w:val="20"/>
        </w:rPr>
        <w:t xml:space="preserve">- сформировать план закупок и план-график закупок в соответствии с потребностью в медицинских изделиях и компьютерном оборудовании;</w:t>
      </w:r>
    </w:p>
    <w:p>
      <w:pPr>
        <w:pStyle w:val="0"/>
        <w:spacing w:before="200" w:line-rule="auto"/>
        <w:ind w:firstLine="540"/>
        <w:jc w:val="both"/>
      </w:pPr>
      <w:r>
        <w:rPr>
          <w:sz w:val="20"/>
        </w:rPr>
        <w:t xml:space="preserve">- после определения поставщика заключить государственный контракт и обеспечить его исполнение в соответствии с законодательством Российской Федерации о контрактной системе в сфере закупок товаров, услуг для обеспечения государственных и муниципальных нужд;</w:t>
      </w:r>
    </w:p>
    <w:p>
      <w:pPr>
        <w:pStyle w:val="0"/>
        <w:spacing w:before="200" w:line-rule="auto"/>
        <w:ind w:firstLine="540"/>
        <w:jc w:val="both"/>
      </w:pPr>
      <w:r>
        <w:rPr>
          <w:sz w:val="20"/>
        </w:rPr>
        <w:t xml:space="preserve">- предоставить годовую отчетность о реализации региональной программы в срок до 1 февраля года, следующего за отчетным.</w:t>
      </w:r>
    </w:p>
    <w:p>
      <w:pPr>
        <w:pStyle w:val="0"/>
        <w:spacing w:before="200" w:line-rule="auto"/>
        <w:ind w:firstLine="540"/>
        <w:jc w:val="both"/>
      </w:pPr>
      <w:r>
        <w:rPr>
          <w:sz w:val="20"/>
        </w:rPr>
        <w:t xml:space="preserve">Сумма трансферта составляет:</w:t>
      </w:r>
    </w:p>
    <w:p>
      <w:pPr>
        <w:pStyle w:val="0"/>
        <w:jc w:val="both"/>
      </w:pPr>
      <w:r>
        <w:rPr>
          <w:sz w:val="20"/>
        </w:rPr>
        <w:t xml:space="preserve">(в ред. </w:t>
      </w:r>
      <w:hyperlink w:history="0" r:id="rId985"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02.03.2023 N 108-ПП)</w:t>
      </w:r>
    </w:p>
    <w:p>
      <w:pPr>
        <w:pStyle w:val="0"/>
        <w:spacing w:before="200" w:line-rule="auto"/>
        <w:ind w:firstLine="540"/>
        <w:jc w:val="both"/>
      </w:pPr>
      <w:r>
        <w:rPr>
          <w:sz w:val="20"/>
        </w:rPr>
        <w:t xml:space="preserve">2019 год - 45827,2 тыс. рублей;</w:t>
      </w:r>
    </w:p>
    <w:p>
      <w:pPr>
        <w:pStyle w:val="0"/>
        <w:jc w:val="both"/>
      </w:pPr>
      <w:r>
        <w:rPr>
          <w:sz w:val="20"/>
        </w:rPr>
        <w:t xml:space="preserve">(в ред. </w:t>
      </w:r>
      <w:hyperlink w:history="0" r:id="rId986"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02.03.2023 N 108-ПП)</w:t>
      </w:r>
    </w:p>
    <w:p>
      <w:pPr>
        <w:pStyle w:val="0"/>
        <w:spacing w:before="200" w:line-rule="auto"/>
        <w:ind w:firstLine="540"/>
        <w:jc w:val="both"/>
      </w:pPr>
      <w:r>
        <w:rPr>
          <w:sz w:val="20"/>
        </w:rPr>
        <w:t xml:space="preserve">2020 год - 47027,3 тыс. рублей;</w:t>
      </w:r>
    </w:p>
    <w:p>
      <w:pPr>
        <w:pStyle w:val="0"/>
        <w:jc w:val="both"/>
      </w:pPr>
      <w:r>
        <w:rPr>
          <w:sz w:val="20"/>
        </w:rPr>
        <w:t xml:space="preserve">(в ред. </w:t>
      </w:r>
      <w:hyperlink w:history="0" r:id="rId987"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02.03.2023 N 108-ПП)</w:t>
      </w:r>
    </w:p>
    <w:p>
      <w:pPr>
        <w:pStyle w:val="0"/>
        <w:spacing w:before="200" w:line-rule="auto"/>
        <w:ind w:firstLine="540"/>
        <w:jc w:val="both"/>
      </w:pPr>
      <w:r>
        <w:rPr>
          <w:sz w:val="20"/>
        </w:rPr>
        <w:t xml:space="preserve">2021 год - 42324,6 тыс. рублей;</w:t>
      </w:r>
    </w:p>
    <w:p>
      <w:pPr>
        <w:pStyle w:val="0"/>
        <w:jc w:val="both"/>
      </w:pPr>
      <w:r>
        <w:rPr>
          <w:sz w:val="20"/>
        </w:rPr>
        <w:t xml:space="preserve">(в ред. </w:t>
      </w:r>
      <w:hyperlink w:history="0" r:id="rId988"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02.03.2023 N 108-ПП)</w:t>
      </w:r>
    </w:p>
    <w:p>
      <w:pPr>
        <w:pStyle w:val="0"/>
        <w:spacing w:before="200" w:line-rule="auto"/>
        <w:ind w:firstLine="540"/>
        <w:jc w:val="both"/>
      </w:pPr>
      <w:r>
        <w:rPr>
          <w:sz w:val="20"/>
        </w:rPr>
        <w:t xml:space="preserve">2022 год - 42324,6 тыс. рублей;</w:t>
      </w:r>
    </w:p>
    <w:p>
      <w:pPr>
        <w:pStyle w:val="0"/>
        <w:jc w:val="both"/>
      </w:pPr>
      <w:r>
        <w:rPr>
          <w:sz w:val="20"/>
        </w:rPr>
        <w:t xml:space="preserve">(в ред. </w:t>
      </w:r>
      <w:hyperlink w:history="0" r:id="rId989"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02.03.2023 N 108-ПП)</w:t>
      </w:r>
    </w:p>
    <w:p>
      <w:pPr>
        <w:pStyle w:val="0"/>
        <w:spacing w:before="200" w:line-rule="auto"/>
        <w:ind w:firstLine="540"/>
        <w:jc w:val="both"/>
      </w:pPr>
      <w:r>
        <w:rPr>
          <w:sz w:val="20"/>
        </w:rPr>
        <w:t xml:space="preserve">2023 год - 38092,1 тыс. рублей.</w:t>
      </w:r>
    </w:p>
    <w:p>
      <w:pPr>
        <w:pStyle w:val="0"/>
        <w:jc w:val="both"/>
      </w:pPr>
      <w:r>
        <w:rPr>
          <w:sz w:val="20"/>
        </w:rPr>
        <w:t xml:space="preserve">(в ред. </w:t>
      </w:r>
      <w:hyperlink w:history="0" r:id="rId990" w:tooltip="Постановление Правительства Севастополя от 02.03.2023 N 10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rPr>
        <w:t xml:space="preserve"> Правительства Севастополя от 02.03.2023 N 108-ПП)</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w:t>
      </w:r>
    </w:p>
    <w:p>
      <w:pPr>
        <w:pStyle w:val="0"/>
        <w:jc w:val="right"/>
      </w:pPr>
      <w:r>
        <w:rPr>
          <w:sz w:val="20"/>
        </w:rPr>
        <w:t xml:space="preserve">к региональной программе</w:t>
      </w:r>
    </w:p>
    <w:p>
      <w:pPr>
        <w:pStyle w:val="0"/>
        <w:jc w:val="right"/>
      </w:pPr>
      <w:r>
        <w:rPr>
          <w:sz w:val="20"/>
        </w:rPr>
        <w:t xml:space="preserve">"Развитие службы крови</w:t>
      </w:r>
    </w:p>
    <w:p>
      <w:pPr>
        <w:pStyle w:val="0"/>
        <w:jc w:val="right"/>
      </w:pPr>
      <w:r>
        <w:rPr>
          <w:sz w:val="20"/>
        </w:rPr>
        <w:t xml:space="preserve">в городе Севастополе"</w:t>
      </w:r>
    </w:p>
    <w:p>
      <w:pPr>
        <w:pStyle w:val="0"/>
      </w:pPr>
      <w:r>
        <w:rPr>
          <w:sz w:val="20"/>
        </w:rPr>
      </w:r>
    </w:p>
    <w:bookmarkStart w:id="41224" w:name="P41224"/>
    <w:bookmarkEnd w:id="41224"/>
    <w:p>
      <w:pPr>
        <w:pStyle w:val="2"/>
        <w:jc w:val="center"/>
      </w:pPr>
      <w:r>
        <w:rPr>
          <w:sz w:val="20"/>
        </w:rPr>
        <w:t xml:space="preserve">Плановые значения целевых показателей региональной программы</w:t>
      </w:r>
    </w:p>
    <w:p>
      <w:pPr>
        <w:pStyle w:val="2"/>
        <w:jc w:val="center"/>
      </w:pPr>
      <w:r>
        <w:rPr>
          <w:sz w:val="20"/>
        </w:rPr>
        <w:t xml:space="preserve">"Развитие службы крови в городе Севастополе"</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97"/>
        <w:gridCol w:w="850"/>
        <w:gridCol w:w="1095"/>
        <w:gridCol w:w="1095"/>
        <w:gridCol w:w="1095"/>
        <w:gridCol w:w="1095"/>
        <w:gridCol w:w="1096"/>
      </w:tblGrid>
      <w:tr>
        <w:tc>
          <w:tcPr>
            <w:tcW w:w="2697" w:type="dxa"/>
            <w:vMerge w:val="restart"/>
          </w:tcPr>
          <w:p>
            <w:pPr>
              <w:pStyle w:val="0"/>
              <w:jc w:val="center"/>
            </w:pPr>
            <w:r>
              <w:rPr>
                <w:sz w:val="20"/>
              </w:rPr>
              <w:t xml:space="preserve">Наименование целевого показателя</w:t>
            </w:r>
          </w:p>
        </w:tc>
        <w:tc>
          <w:tcPr>
            <w:tcW w:w="850" w:type="dxa"/>
            <w:vMerge w:val="restart"/>
          </w:tcPr>
          <w:p>
            <w:pPr>
              <w:pStyle w:val="0"/>
              <w:jc w:val="center"/>
            </w:pPr>
            <w:r>
              <w:rPr>
                <w:sz w:val="20"/>
              </w:rPr>
              <w:t xml:space="preserve">Единица измерения</w:t>
            </w:r>
          </w:p>
        </w:tc>
        <w:tc>
          <w:tcPr>
            <w:gridSpan w:val="5"/>
            <w:tcW w:w="5476" w:type="dxa"/>
          </w:tcPr>
          <w:p>
            <w:pPr>
              <w:pStyle w:val="0"/>
              <w:jc w:val="center"/>
            </w:pPr>
            <w:r>
              <w:rPr>
                <w:sz w:val="20"/>
              </w:rPr>
              <w:t xml:space="preserve">Плановые значения целевых показателей региональной программы</w:t>
            </w:r>
          </w:p>
        </w:tc>
      </w:tr>
      <w:tr>
        <w:tc>
          <w:tcPr>
            <w:vMerge w:val="continue"/>
          </w:tcPr>
          <w:p/>
        </w:tc>
        <w:tc>
          <w:tcPr>
            <w:vMerge w:val="continue"/>
          </w:tcPr>
          <w:p/>
        </w:tc>
        <w:tc>
          <w:tcPr>
            <w:tcW w:w="1095" w:type="dxa"/>
          </w:tcPr>
          <w:p>
            <w:pPr>
              <w:pStyle w:val="0"/>
              <w:jc w:val="center"/>
            </w:pPr>
            <w:r>
              <w:rPr>
                <w:sz w:val="20"/>
              </w:rPr>
              <w:t xml:space="preserve">2019 год</w:t>
            </w:r>
          </w:p>
        </w:tc>
        <w:tc>
          <w:tcPr>
            <w:tcW w:w="1095" w:type="dxa"/>
          </w:tcPr>
          <w:p>
            <w:pPr>
              <w:pStyle w:val="0"/>
              <w:jc w:val="center"/>
            </w:pPr>
            <w:r>
              <w:rPr>
                <w:sz w:val="20"/>
              </w:rPr>
              <w:t xml:space="preserve">2020 год</w:t>
            </w:r>
          </w:p>
        </w:tc>
        <w:tc>
          <w:tcPr>
            <w:tcW w:w="1095" w:type="dxa"/>
          </w:tcPr>
          <w:p>
            <w:pPr>
              <w:pStyle w:val="0"/>
              <w:jc w:val="center"/>
            </w:pPr>
            <w:r>
              <w:rPr>
                <w:sz w:val="20"/>
              </w:rPr>
              <w:t xml:space="preserve">2021 год</w:t>
            </w:r>
          </w:p>
        </w:tc>
        <w:tc>
          <w:tcPr>
            <w:tcW w:w="1095" w:type="dxa"/>
          </w:tcPr>
          <w:p>
            <w:pPr>
              <w:pStyle w:val="0"/>
              <w:jc w:val="center"/>
            </w:pPr>
            <w:r>
              <w:rPr>
                <w:sz w:val="20"/>
              </w:rPr>
              <w:t xml:space="preserve">2022 год</w:t>
            </w:r>
          </w:p>
        </w:tc>
        <w:tc>
          <w:tcPr>
            <w:tcW w:w="1096" w:type="dxa"/>
          </w:tcPr>
          <w:p>
            <w:pPr>
              <w:pStyle w:val="0"/>
              <w:jc w:val="center"/>
            </w:pPr>
            <w:r>
              <w:rPr>
                <w:sz w:val="20"/>
              </w:rPr>
              <w:t xml:space="preserve">2023 год</w:t>
            </w:r>
          </w:p>
        </w:tc>
      </w:tr>
      <w:tr>
        <w:tc>
          <w:tcPr>
            <w:tcW w:w="2697" w:type="dxa"/>
          </w:tcPr>
          <w:p>
            <w:pPr>
              <w:pStyle w:val="0"/>
              <w:jc w:val="both"/>
            </w:pPr>
            <w:r>
              <w:rPr>
                <w:sz w:val="20"/>
              </w:rPr>
              <w:t xml:space="preserve">Увеличение объема заготовки компонентов донорской крови автоматическими методами &lt;*&gt;</w:t>
            </w:r>
          </w:p>
        </w:tc>
        <w:tc>
          <w:tcPr>
            <w:tcW w:w="850" w:type="dxa"/>
          </w:tcPr>
          <w:p>
            <w:pPr>
              <w:pStyle w:val="0"/>
              <w:jc w:val="both"/>
            </w:pPr>
            <w:r>
              <w:rPr>
                <w:sz w:val="20"/>
              </w:rPr>
              <w:t xml:space="preserve">%</w:t>
            </w:r>
          </w:p>
        </w:tc>
        <w:tc>
          <w:tcPr>
            <w:tcW w:w="1095" w:type="dxa"/>
          </w:tcPr>
          <w:p>
            <w:pPr>
              <w:pStyle w:val="0"/>
              <w:jc w:val="center"/>
            </w:pPr>
            <w:r>
              <w:rPr>
                <w:sz w:val="20"/>
              </w:rPr>
              <w:t xml:space="preserve">26,2</w:t>
            </w:r>
          </w:p>
        </w:tc>
        <w:tc>
          <w:tcPr>
            <w:tcW w:w="1095" w:type="dxa"/>
          </w:tcPr>
          <w:p>
            <w:pPr>
              <w:pStyle w:val="0"/>
              <w:jc w:val="center"/>
            </w:pPr>
            <w:r>
              <w:rPr>
                <w:sz w:val="20"/>
              </w:rPr>
              <w:t xml:space="preserve">5</w:t>
            </w:r>
          </w:p>
        </w:tc>
        <w:tc>
          <w:tcPr>
            <w:tcW w:w="1095" w:type="dxa"/>
          </w:tcPr>
          <w:p>
            <w:pPr>
              <w:pStyle w:val="0"/>
              <w:jc w:val="center"/>
            </w:pPr>
            <w:r>
              <w:rPr>
                <w:sz w:val="20"/>
              </w:rPr>
              <w:t xml:space="preserve">8</w:t>
            </w:r>
          </w:p>
        </w:tc>
        <w:tc>
          <w:tcPr>
            <w:tcW w:w="1095" w:type="dxa"/>
          </w:tcPr>
          <w:p>
            <w:pPr>
              <w:pStyle w:val="0"/>
              <w:jc w:val="center"/>
            </w:pPr>
            <w:r>
              <w:rPr>
                <w:sz w:val="20"/>
              </w:rPr>
              <w:t xml:space="preserve">9</w:t>
            </w:r>
          </w:p>
        </w:tc>
        <w:tc>
          <w:tcPr>
            <w:tcW w:w="1096" w:type="dxa"/>
          </w:tcPr>
          <w:p>
            <w:pPr>
              <w:pStyle w:val="0"/>
              <w:jc w:val="center"/>
            </w:pPr>
            <w:r>
              <w:rPr>
                <w:sz w:val="20"/>
              </w:rPr>
              <w:t xml:space="preserve">9</w:t>
            </w:r>
          </w:p>
        </w:tc>
      </w:tr>
      <w:tr>
        <w:tc>
          <w:tcPr>
            <w:tcW w:w="2697" w:type="dxa"/>
          </w:tcPr>
          <w:p>
            <w:pPr>
              <w:pStyle w:val="0"/>
              <w:jc w:val="both"/>
            </w:pPr>
            <w:r>
              <w:rPr>
                <w:sz w:val="20"/>
              </w:rPr>
              <w:t xml:space="preserve">Количество доноров крови и ее компонентов (на 1000 человек населения)</w:t>
            </w:r>
          </w:p>
        </w:tc>
        <w:tc>
          <w:tcPr>
            <w:tcW w:w="850" w:type="dxa"/>
          </w:tcPr>
          <w:p>
            <w:pPr>
              <w:pStyle w:val="0"/>
              <w:jc w:val="both"/>
            </w:pPr>
            <w:r>
              <w:rPr>
                <w:sz w:val="20"/>
              </w:rPr>
              <w:t xml:space="preserve">тыс. человек</w:t>
            </w:r>
          </w:p>
        </w:tc>
        <w:tc>
          <w:tcPr>
            <w:tcW w:w="1095" w:type="dxa"/>
          </w:tcPr>
          <w:p>
            <w:pPr>
              <w:pStyle w:val="0"/>
              <w:jc w:val="center"/>
            </w:pPr>
            <w:r>
              <w:rPr>
                <w:sz w:val="20"/>
              </w:rPr>
              <w:t xml:space="preserve">11,5</w:t>
            </w:r>
          </w:p>
        </w:tc>
        <w:tc>
          <w:tcPr>
            <w:tcW w:w="1095" w:type="dxa"/>
          </w:tcPr>
          <w:p>
            <w:pPr>
              <w:pStyle w:val="0"/>
              <w:jc w:val="center"/>
            </w:pPr>
            <w:r>
              <w:rPr>
                <w:sz w:val="20"/>
              </w:rPr>
              <w:t xml:space="preserve">12,0</w:t>
            </w:r>
          </w:p>
        </w:tc>
        <w:tc>
          <w:tcPr>
            <w:tcW w:w="1095" w:type="dxa"/>
          </w:tcPr>
          <w:p>
            <w:pPr>
              <w:pStyle w:val="0"/>
              <w:jc w:val="center"/>
            </w:pPr>
            <w:r>
              <w:rPr>
                <w:sz w:val="20"/>
              </w:rPr>
              <w:t xml:space="preserve">12,5</w:t>
            </w:r>
          </w:p>
        </w:tc>
        <w:tc>
          <w:tcPr>
            <w:tcW w:w="1095" w:type="dxa"/>
          </w:tcPr>
          <w:p>
            <w:pPr>
              <w:pStyle w:val="0"/>
              <w:jc w:val="center"/>
            </w:pPr>
            <w:r>
              <w:rPr>
                <w:sz w:val="20"/>
              </w:rPr>
              <w:t xml:space="preserve">12,8</w:t>
            </w:r>
          </w:p>
        </w:tc>
        <w:tc>
          <w:tcPr>
            <w:tcW w:w="1096" w:type="dxa"/>
          </w:tcPr>
          <w:p>
            <w:pPr>
              <w:pStyle w:val="0"/>
              <w:jc w:val="center"/>
            </w:pPr>
            <w:r>
              <w:rPr>
                <w:sz w:val="20"/>
              </w:rPr>
              <w:t xml:space="preserve">12,8</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За базовый абсолютный показатель объема заготовки компонентов донорской крови автоматическими методами взят объем, заготовленный в 2018 году, - 1570,129 л.</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N 14</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bookmarkStart w:id="41263" w:name="P41263"/>
    <w:bookmarkEnd w:id="41263"/>
    <w:p>
      <w:pPr>
        <w:pStyle w:val="2"/>
        <w:jc w:val="center"/>
      </w:pPr>
      <w:r>
        <w:rPr>
          <w:sz w:val="20"/>
        </w:rPr>
        <w:t xml:space="preserve">Методика расчета (определения) значений целевых показателей</w:t>
      </w:r>
    </w:p>
    <w:p>
      <w:pPr>
        <w:pStyle w:val="2"/>
        <w:jc w:val="center"/>
      </w:pPr>
      <w:r>
        <w:rPr>
          <w:sz w:val="20"/>
        </w:rPr>
        <w:t xml:space="preserve">(индикаторов) государственной программы города Севастополя</w:t>
      </w:r>
    </w:p>
    <w:p>
      <w:pPr>
        <w:pStyle w:val="2"/>
        <w:jc w:val="center"/>
      </w:pPr>
      <w:r>
        <w:rPr>
          <w:sz w:val="20"/>
        </w:rPr>
        <w:t xml:space="preserve">"Развитие здравоохранения в городе Севастополе"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91" w:tooltip="Постановление Правительства Севастополя от 26.05.2022 N 224-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26.05.2022 N 224-ПП)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left="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3798"/>
        <w:gridCol w:w="1984"/>
        <w:gridCol w:w="4252"/>
        <w:gridCol w:w="2891"/>
      </w:tblGrid>
      <w:tr>
        <w:tc>
          <w:tcPr>
            <w:tcW w:w="680" w:type="dxa"/>
          </w:tcPr>
          <w:p>
            <w:pPr>
              <w:pStyle w:val="0"/>
              <w:jc w:val="center"/>
            </w:pPr>
            <w:r>
              <w:rPr>
                <w:sz w:val="20"/>
              </w:rPr>
              <w:t xml:space="preserve">N п/п</w:t>
            </w:r>
          </w:p>
        </w:tc>
        <w:tc>
          <w:tcPr>
            <w:tcW w:w="3798" w:type="dxa"/>
          </w:tcPr>
          <w:p>
            <w:pPr>
              <w:pStyle w:val="0"/>
              <w:jc w:val="center"/>
            </w:pPr>
            <w:r>
              <w:rPr>
                <w:sz w:val="20"/>
              </w:rPr>
              <w:t xml:space="preserve">Наименование целевого показателя (индикатора)</w:t>
            </w:r>
          </w:p>
        </w:tc>
        <w:tc>
          <w:tcPr>
            <w:tcW w:w="1984" w:type="dxa"/>
          </w:tcPr>
          <w:p>
            <w:pPr>
              <w:pStyle w:val="0"/>
              <w:jc w:val="center"/>
            </w:pPr>
            <w:r>
              <w:rPr>
                <w:sz w:val="20"/>
              </w:rPr>
              <w:t xml:space="preserve">Единица измерения</w:t>
            </w:r>
          </w:p>
        </w:tc>
        <w:tc>
          <w:tcPr>
            <w:tcW w:w="4252" w:type="dxa"/>
          </w:tcPr>
          <w:p>
            <w:pPr>
              <w:pStyle w:val="0"/>
              <w:jc w:val="center"/>
            </w:pPr>
            <w:r>
              <w:rPr>
                <w:sz w:val="20"/>
              </w:rPr>
              <w:t xml:space="preserve">Методика расчета показателя (индикатора)</w:t>
            </w:r>
          </w:p>
        </w:tc>
        <w:tc>
          <w:tcPr>
            <w:tcW w:w="2891" w:type="dxa"/>
          </w:tcPr>
          <w:p>
            <w:pPr>
              <w:pStyle w:val="0"/>
              <w:jc w:val="center"/>
            </w:pPr>
            <w:r>
              <w:rPr>
                <w:sz w:val="20"/>
              </w:rPr>
              <w:t xml:space="preserve">Источник определения/расчета показателя (индикатора)</w:t>
            </w:r>
          </w:p>
        </w:tc>
      </w:tr>
      <w:tr>
        <w:tc>
          <w:tcPr>
            <w:tcW w:w="680" w:type="dxa"/>
          </w:tcPr>
          <w:p>
            <w:pPr>
              <w:pStyle w:val="0"/>
              <w:jc w:val="center"/>
            </w:pPr>
            <w:r>
              <w:rPr>
                <w:sz w:val="20"/>
              </w:rPr>
              <w:t xml:space="preserve">1</w:t>
            </w:r>
          </w:p>
        </w:tc>
        <w:tc>
          <w:tcPr>
            <w:tcW w:w="3798" w:type="dxa"/>
          </w:tcPr>
          <w:p>
            <w:pPr>
              <w:pStyle w:val="0"/>
              <w:jc w:val="center"/>
            </w:pPr>
            <w:r>
              <w:rPr>
                <w:sz w:val="20"/>
              </w:rPr>
              <w:t xml:space="preserve">2</w:t>
            </w:r>
          </w:p>
        </w:tc>
        <w:tc>
          <w:tcPr>
            <w:tcW w:w="1984" w:type="dxa"/>
          </w:tcPr>
          <w:p>
            <w:pPr>
              <w:pStyle w:val="0"/>
              <w:jc w:val="center"/>
            </w:pPr>
            <w:r>
              <w:rPr>
                <w:sz w:val="20"/>
              </w:rPr>
              <w:t xml:space="preserve">3</w:t>
            </w:r>
          </w:p>
        </w:tc>
        <w:tc>
          <w:tcPr>
            <w:tcW w:w="4252" w:type="dxa"/>
          </w:tcPr>
          <w:p>
            <w:pPr>
              <w:pStyle w:val="0"/>
              <w:jc w:val="center"/>
            </w:pPr>
            <w:r>
              <w:rPr>
                <w:sz w:val="20"/>
              </w:rPr>
              <w:t xml:space="preserve">4</w:t>
            </w:r>
          </w:p>
        </w:tc>
        <w:tc>
          <w:tcPr>
            <w:tcW w:w="2891" w:type="dxa"/>
          </w:tcPr>
          <w:p>
            <w:pPr>
              <w:pStyle w:val="0"/>
              <w:jc w:val="center"/>
            </w:pPr>
            <w:r>
              <w:rPr>
                <w:sz w:val="20"/>
              </w:rPr>
              <w:t xml:space="preserve">5</w:t>
            </w:r>
          </w:p>
        </w:tc>
      </w:tr>
      <w:tr>
        <w:tc>
          <w:tcPr>
            <w:tcW w:w="680" w:type="dxa"/>
          </w:tcPr>
          <w:p>
            <w:pPr>
              <w:pStyle w:val="0"/>
              <w:jc w:val="both"/>
            </w:pPr>
            <w:r>
              <w:rPr>
                <w:sz w:val="20"/>
              </w:rPr>
              <w:t xml:space="preserve">1</w:t>
            </w:r>
          </w:p>
        </w:tc>
        <w:tc>
          <w:tcPr>
            <w:tcW w:w="3798" w:type="dxa"/>
          </w:tcPr>
          <w:p>
            <w:pPr>
              <w:pStyle w:val="0"/>
              <w:jc w:val="both"/>
            </w:pPr>
            <w:r>
              <w:rPr>
                <w:sz w:val="20"/>
              </w:rPr>
              <w:t xml:space="preserve">Смертность на 1000 населения от всех причин (на 1000 населения)</w:t>
            </w:r>
          </w:p>
        </w:tc>
        <w:tc>
          <w:tcPr>
            <w:tcW w:w="1984" w:type="dxa"/>
          </w:tcPr>
          <w:p>
            <w:pPr>
              <w:pStyle w:val="0"/>
              <w:jc w:val="both"/>
            </w:pPr>
            <w:r>
              <w:rPr>
                <w:sz w:val="20"/>
              </w:rPr>
              <w:t xml:space="preserve">чел.</w:t>
            </w:r>
          </w:p>
        </w:tc>
        <w:tc>
          <w:tcPr>
            <w:tcW w:w="4252" w:type="dxa"/>
          </w:tcPr>
          <w:p>
            <w:pPr>
              <w:pStyle w:val="0"/>
              <w:jc w:val="both"/>
            </w:pPr>
            <w:r>
              <w:rPr>
                <w:sz w:val="20"/>
              </w:rPr>
              <w:t xml:space="preserve">Рассчитывается как отношение числа умерших в течение календарного года к среднегодовой численности населения, умноженное на 1000</w:t>
            </w:r>
          </w:p>
        </w:tc>
        <w:tc>
          <w:tcPr>
            <w:tcW w:w="2891" w:type="dxa"/>
          </w:tcPr>
          <w:p>
            <w:pPr>
              <w:pStyle w:val="0"/>
              <w:jc w:val="both"/>
            </w:pPr>
            <w:hyperlink w:history="0" r:id="rId992"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Позиции 1.8.1</w:t>
              </w:r>
            </w:hyperlink>
            <w:r>
              <w:rPr>
                <w:sz w:val="20"/>
              </w:rPr>
              <w:t xml:space="preserve"> и </w:t>
            </w:r>
            <w:hyperlink w:history="0" r:id="rId993"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1.8.6</w:t>
              </w:r>
            </w:hyperlink>
            <w:r>
              <w:rPr>
                <w:sz w:val="20"/>
              </w:rPr>
              <w:t xml:space="preserve"> Федерального плана статистических работ, утвержденного постановлением Правительства Российской Федерации от 6 мая 2008 г. N 671-р (далее - ФПСР)</w:t>
            </w:r>
          </w:p>
        </w:tc>
      </w:tr>
      <w:tr>
        <w:tc>
          <w:tcPr>
            <w:tcW w:w="680" w:type="dxa"/>
          </w:tcPr>
          <w:p>
            <w:pPr>
              <w:pStyle w:val="0"/>
              <w:jc w:val="both"/>
            </w:pPr>
            <w:r>
              <w:rPr>
                <w:sz w:val="20"/>
              </w:rPr>
              <w:t xml:space="preserve">1.1</w:t>
            </w:r>
          </w:p>
        </w:tc>
        <w:tc>
          <w:tcPr>
            <w:tcW w:w="3798" w:type="dxa"/>
          </w:tcPr>
          <w:p>
            <w:pPr>
              <w:pStyle w:val="0"/>
              <w:jc w:val="both"/>
            </w:pPr>
            <w:r>
              <w:rPr>
                <w:sz w:val="20"/>
              </w:rPr>
              <w:t xml:space="preserve">Смертность населения в трудоспособном возрасте (на 100 тыс. населения)</w:t>
            </w:r>
          </w:p>
        </w:tc>
        <w:tc>
          <w:tcPr>
            <w:tcW w:w="1984" w:type="dxa"/>
          </w:tcPr>
          <w:p>
            <w:pPr>
              <w:pStyle w:val="0"/>
              <w:jc w:val="both"/>
            </w:pPr>
            <w:r>
              <w:rPr>
                <w:sz w:val="20"/>
              </w:rPr>
              <w:t xml:space="preserve">чел.</w:t>
            </w:r>
          </w:p>
        </w:tc>
        <w:tc>
          <w:tcPr>
            <w:tcW w:w="4252" w:type="dxa"/>
          </w:tcPr>
          <w:p>
            <w:pPr>
              <w:pStyle w:val="0"/>
              <w:jc w:val="both"/>
            </w:pPr>
            <w:r>
              <w:rPr>
                <w:sz w:val="20"/>
              </w:rPr>
              <w:t xml:space="preserve">Рассчитывается как отношение числа умерших в трудоспособном возрасте в течение календарного года к среднегодовой численности населения в трудоспособном возрасте, умноженное на 100000</w:t>
            </w:r>
          </w:p>
        </w:tc>
        <w:tc>
          <w:tcPr>
            <w:tcW w:w="2891" w:type="dxa"/>
          </w:tcPr>
          <w:p>
            <w:pPr>
              <w:pStyle w:val="0"/>
              <w:jc w:val="both"/>
            </w:pPr>
            <w:hyperlink w:history="0" r:id="rId994"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Позиции 1.8.3</w:t>
              </w:r>
            </w:hyperlink>
            <w:r>
              <w:rPr>
                <w:sz w:val="20"/>
              </w:rPr>
              <w:t xml:space="preserve"> и </w:t>
            </w:r>
            <w:hyperlink w:history="0" r:id="rId995"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1.8.8</w:t>
              </w:r>
            </w:hyperlink>
            <w:r>
              <w:rPr>
                <w:sz w:val="20"/>
              </w:rPr>
              <w:t xml:space="preserve"> ФПСР</w:t>
            </w:r>
          </w:p>
        </w:tc>
      </w:tr>
      <w:tr>
        <w:tc>
          <w:tcPr>
            <w:tcW w:w="680" w:type="dxa"/>
          </w:tcPr>
          <w:p>
            <w:pPr>
              <w:pStyle w:val="0"/>
              <w:jc w:val="both"/>
            </w:pPr>
            <w:r>
              <w:rPr>
                <w:sz w:val="20"/>
              </w:rPr>
              <w:t xml:space="preserve">1.2</w:t>
            </w:r>
          </w:p>
        </w:tc>
        <w:tc>
          <w:tcPr>
            <w:tcW w:w="3798" w:type="dxa"/>
          </w:tcPr>
          <w:p>
            <w:pPr>
              <w:pStyle w:val="0"/>
              <w:jc w:val="both"/>
            </w:pPr>
            <w:r>
              <w:rPr>
                <w:sz w:val="20"/>
              </w:rPr>
              <w:t xml:space="preserve">Смертность детей в возрасте 0 - 1 года на 1000 родившихся живыми</w:t>
            </w:r>
          </w:p>
        </w:tc>
        <w:tc>
          <w:tcPr>
            <w:tcW w:w="1984" w:type="dxa"/>
          </w:tcPr>
          <w:p>
            <w:pPr>
              <w:pStyle w:val="0"/>
              <w:jc w:val="both"/>
            </w:pPr>
            <w:r>
              <w:rPr>
                <w:sz w:val="20"/>
              </w:rPr>
              <w:t xml:space="preserve">чел.</w:t>
            </w:r>
          </w:p>
        </w:tc>
        <w:tc>
          <w:tcPr>
            <w:tcW w:w="4252" w:type="dxa"/>
          </w:tcPr>
          <w:p>
            <w:pPr>
              <w:pStyle w:val="0"/>
              <w:jc w:val="both"/>
            </w:pPr>
            <w:r>
              <w:rPr>
                <w:sz w:val="20"/>
              </w:rPr>
              <w:t xml:space="preserve">Для расчета коэффициента младенческой смертности за календарный год (Q0) используется следующая формула:</w:t>
            </w:r>
          </w:p>
          <w:p>
            <w:pPr>
              <w:pStyle w:val="0"/>
              <w:jc w:val="both"/>
            </w:pPr>
            <w:r>
              <w:rPr>
                <w:sz w:val="20"/>
              </w:rPr>
            </w:r>
          </w:p>
          <w:p>
            <w:pPr>
              <w:pStyle w:val="0"/>
              <w:jc w:val="both"/>
            </w:pPr>
            <w:r>
              <w:rPr>
                <w:position w:val="-20"/>
              </w:rPr>
              <w:drawing>
                <wp:inline distT="0" distB="0" distL="0" distR="0">
                  <wp:extent cx="18764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a:extLst>
                              <a:ext uri="{28A0092B-C50C-407E-A947-70E740481C1C}">
                                <a14:useLocalDpi xmlns:a14="http://schemas.microsoft.com/office/drawing/2010/main" val="0"/>
                              </a:ext>
                            </a:extLst>
                          </a:blip>
                          <a:srcRect/>
                          <a:stretch>
                            <a:fillRect/>
                          </a:stretch>
                        </pic:blipFill>
                        <pic:spPr bwMode="auto">
                          <a:xfrm>
                            <a:off x="0" y="0"/>
                            <a:ext cx="1876425" cy="390525"/>
                          </a:xfrm>
                          <a:prstGeom prst="rect">
                            <a:avLst/>
                          </a:prstGeom>
                          <a:noFill/>
                          <a:ln>
                            <a:noFill/>
                          </a:ln>
                        </pic:spPr>
                      </pic:pic>
                    </a:graphicData>
                  </a:graphic>
                </wp:inline>
              </w:drawing>
            </w:r>
          </w:p>
          <w:p>
            <w:pPr>
              <w:pStyle w:val="0"/>
              <w:jc w:val="both"/>
            </w:pPr>
            <w:r>
              <w:rPr>
                <w:sz w:val="20"/>
              </w:rPr>
            </w:r>
          </w:p>
          <w:p>
            <w:pPr>
              <w:pStyle w:val="0"/>
              <w:jc w:val="both"/>
            </w:pPr>
            <w:r>
              <w:rPr>
                <w:sz w:val="20"/>
              </w:rPr>
              <w:t xml:space="preserve">M0 - число умерших в возрасте до 1 года из родившихся в году, для которого вычисляется коэффициент;</w:t>
            </w:r>
          </w:p>
          <w:p>
            <w:pPr>
              <w:pStyle w:val="0"/>
              <w:jc w:val="both"/>
            </w:pPr>
            <w:r>
              <w:rPr>
                <w:sz w:val="20"/>
              </w:rPr>
              <w:t xml:space="preserve">N0 - число родившихся в году, для которого вычисляется коэффициент;</w:t>
            </w:r>
          </w:p>
          <w:p>
            <w:pPr>
              <w:pStyle w:val="0"/>
              <w:jc w:val="both"/>
            </w:pPr>
            <w:r>
              <w:rPr>
                <w:sz w:val="20"/>
              </w:rPr>
              <w:t xml:space="preserve">M1 - число умерших в возрасте до 1 года из родившихся в предыдущем году;</w:t>
            </w:r>
          </w:p>
          <w:p>
            <w:pPr>
              <w:pStyle w:val="0"/>
              <w:jc w:val="both"/>
            </w:pPr>
            <w:r>
              <w:rPr>
                <w:sz w:val="20"/>
              </w:rPr>
              <w:t xml:space="preserve">N 1 - число родившихся в предыдущем году, умноженное на 1000</w:t>
            </w:r>
          </w:p>
        </w:tc>
        <w:tc>
          <w:tcPr>
            <w:tcW w:w="2891" w:type="dxa"/>
          </w:tcPr>
          <w:p>
            <w:pPr>
              <w:pStyle w:val="0"/>
              <w:jc w:val="both"/>
            </w:pPr>
            <w:r>
              <w:rPr>
                <w:sz w:val="20"/>
              </w:rPr>
              <w:t xml:space="preserve">Основными источниками информации для данного показателя служат:</w:t>
            </w:r>
          </w:p>
          <w:p>
            <w:pPr>
              <w:pStyle w:val="0"/>
              <w:jc w:val="both"/>
            </w:pPr>
            <w:r>
              <w:rPr>
                <w:sz w:val="20"/>
              </w:rPr>
              <w:t xml:space="preserve">медицинское свидетельство о смерти (форма 106/у-08),</w:t>
            </w:r>
          </w:p>
          <w:p>
            <w:pPr>
              <w:pStyle w:val="0"/>
              <w:jc w:val="both"/>
            </w:pPr>
            <w:r>
              <w:rPr>
                <w:sz w:val="20"/>
              </w:rPr>
              <w:t xml:space="preserve">медицинское свидетельство о перинатальной смерти (форма 106-2/у-08) - в случаях смерти детей в возрасте 7 суток (168 часов жизни), медицинское свидетельство о рождении (форма 103/у-08)</w:t>
            </w:r>
          </w:p>
        </w:tc>
      </w:tr>
      <w:tr>
        <w:tc>
          <w:tcPr>
            <w:tcW w:w="680" w:type="dxa"/>
          </w:tcPr>
          <w:p>
            <w:pPr>
              <w:pStyle w:val="0"/>
              <w:jc w:val="both"/>
            </w:pPr>
            <w:r>
              <w:rPr>
                <w:sz w:val="20"/>
              </w:rPr>
              <w:t xml:space="preserve">1.3</w:t>
            </w:r>
          </w:p>
        </w:tc>
        <w:tc>
          <w:tcPr>
            <w:tcW w:w="3798" w:type="dxa"/>
          </w:tcPr>
          <w:p>
            <w:pPr>
              <w:pStyle w:val="0"/>
              <w:jc w:val="both"/>
            </w:pPr>
            <w:r>
              <w:rPr>
                <w:sz w:val="20"/>
              </w:rPr>
              <w:t xml:space="preserve">Смертность детей в возрасте 0 - 4 лет на 1000 родившихся живыми</w:t>
            </w:r>
          </w:p>
        </w:tc>
        <w:tc>
          <w:tcPr>
            <w:tcW w:w="1984" w:type="dxa"/>
          </w:tcPr>
          <w:p>
            <w:pPr>
              <w:pStyle w:val="0"/>
              <w:jc w:val="both"/>
            </w:pPr>
            <w:r>
              <w:rPr>
                <w:sz w:val="20"/>
              </w:rPr>
              <w:t xml:space="preserve">чел.</w:t>
            </w:r>
          </w:p>
        </w:tc>
        <w:tc>
          <w:tcPr>
            <w:tcW w:w="4252" w:type="dxa"/>
          </w:tcPr>
          <w:p>
            <w:pPr>
              <w:pStyle w:val="0"/>
              <w:jc w:val="both"/>
            </w:pPr>
            <w:r>
              <w:rPr>
                <w:sz w:val="20"/>
              </w:rPr>
              <w:t xml:space="preserve">Вероятность смерти в возрасте 0 - 4 года рассчитывается на основе данных таблиц 3-ТС соответствующего субъекта Российской Федерации:</w:t>
            </w:r>
          </w:p>
          <w:p>
            <w:pPr>
              <w:pStyle w:val="0"/>
              <w:jc w:val="both"/>
            </w:pPr>
            <w:r>
              <w:rPr>
                <w:sz w:val="20"/>
              </w:rPr>
            </w:r>
          </w:p>
          <w:p>
            <w:pPr>
              <w:pStyle w:val="0"/>
              <w:jc w:val="both"/>
            </w:pPr>
            <w:r>
              <w:rPr>
                <w:position w:val="-20"/>
              </w:rPr>
              <w:drawing>
                <wp:inline distT="0" distB="0" distL="0" distR="0">
                  <wp:extent cx="20955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p>
            <w:pPr>
              <w:pStyle w:val="0"/>
              <w:jc w:val="both"/>
            </w:pPr>
            <w:r>
              <w:rPr>
                <w:sz w:val="20"/>
              </w:rPr>
            </w:r>
          </w:p>
          <w:p>
            <w:pPr>
              <w:pStyle w:val="0"/>
              <w:jc w:val="both"/>
            </w:pPr>
            <w:r>
              <w:rPr>
                <w:sz w:val="20"/>
              </w:rPr>
              <w:t xml:space="preserve">M0 - табличное число родившихся (100000);</w:t>
            </w:r>
          </w:p>
          <w:p>
            <w:pPr>
              <w:pStyle w:val="0"/>
              <w:jc w:val="both"/>
            </w:pPr>
            <w:r>
              <w:rPr>
                <w:sz w:val="20"/>
              </w:rPr>
              <w:t xml:space="preserve">М1 - табличное число доживающих до точного возраста 5 лет</w:t>
            </w:r>
          </w:p>
        </w:tc>
        <w:tc>
          <w:tcPr>
            <w:tcW w:w="2891" w:type="dxa"/>
          </w:tcPr>
          <w:p>
            <w:pPr>
              <w:pStyle w:val="0"/>
              <w:jc w:val="both"/>
            </w:pPr>
            <w:hyperlink w:history="0" r:id="rId998"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Позиция 1.8.8</w:t>
              </w:r>
            </w:hyperlink>
            <w:r>
              <w:rPr>
                <w:sz w:val="20"/>
              </w:rPr>
              <w:t xml:space="preserve"> ФПСР</w:t>
            </w:r>
          </w:p>
        </w:tc>
      </w:tr>
      <w:tr>
        <w:tc>
          <w:tcPr>
            <w:tcW w:w="680" w:type="dxa"/>
          </w:tcPr>
          <w:p>
            <w:pPr>
              <w:pStyle w:val="0"/>
              <w:jc w:val="both"/>
            </w:pPr>
            <w:r>
              <w:rPr>
                <w:sz w:val="20"/>
              </w:rPr>
              <w:t xml:space="preserve">1.4</w:t>
            </w:r>
          </w:p>
        </w:tc>
        <w:tc>
          <w:tcPr>
            <w:tcW w:w="3798" w:type="dxa"/>
          </w:tcPr>
          <w:p>
            <w:pPr>
              <w:pStyle w:val="0"/>
              <w:jc w:val="both"/>
            </w:pPr>
            <w:r>
              <w:rPr>
                <w:sz w:val="20"/>
              </w:rPr>
              <w:t xml:space="preserve">Снижение смертности от болезней системы кровообращения (до 450 случаев на 100 тыс. населения)</w:t>
            </w:r>
          </w:p>
        </w:tc>
        <w:tc>
          <w:tcPr>
            <w:tcW w:w="1984" w:type="dxa"/>
          </w:tcPr>
          <w:p>
            <w:pPr>
              <w:pStyle w:val="0"/>
              <w:jc w:val="both"/>
            </w:pPr>
            <w:r>
              <w:rPr>
                <w:sz w:val="20"/>
              </w:rPr>
              <w:t xml:space="preserve">чел.</w:t>
            </w:r>
          </w:p>
        </w:tc>
        <w:tc>
          <w:tcPr>
            <w:tcW w:w="4252" w:type="dxa"/>
          </w:tcPr>
          <w:p>
            <w:pPr>
              <w:pStyle w:val="0"/>
              <w:jc w:val="both"/>
            </w:pPr>
            <w:r>
              <w:rPr>
                <w:sz w:val="20"/>
              </w:rPr>
              <w:t xml:space="preserve">Отношение числа умерших от болезней системы кровообращения к среднегодовой численности населения, умноженное на 100000</w:t>
            </w:r>
          </w:p>
        </w:tc>
        <w:tc>
          <w:tcPr>
            <w:tcW w:w="2891" w:type="dxa"/>
          </w:tcPr>
          <w:p>
            <w:pPr>
              <w:pStyle w:val="0"/>
              <w:jc w:val="both"/>
            </w:pPr>
            <w:hyperlink w:history="0" r:id="rId999"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Позиция 1.8.8</w:t>
              </w:r>
            </w:hyperlink>
            <w:r>
              <w:rPr>
                <w:sz w:val="20"/>
              </w:rPr>
              <w:t xml:space="preserve"> ФПСР</w:t>
            </w:r>
          </w:p>
        </w:tc>
      </w:tr>
      <w:tr>
        <w:tc>
          <w:tcPr>
            <w:tcW w:w="680" w:type="dxa"/>
          </w:tcPr>
          <w:p>
            <w:pPr>
              <w:pStyle w:val="0"/>
              <w:jc w:val="both"/>
            </w:pPr>
            <w:r>
              <w:rPr>
                <w:sz w:val="20"/>
              </w:rPr>
              <w:t xml:space="preserve">1.5</w:t>
            </w:r>
          </w:p>
        </w:tc>
        <w:tc>
          <w:tcPr>
            <w:tcW w:w="3798" w:type="dxa"/>
          </w:tcPr>
          <w:p>
            <w:pPr>
              <w:pStyle w:val="0"/>
              <w:jc w:val="both"/>
            </w:pPr>
            <w:r>
              <w:rPr>
                <w:sz w:val="20"/>
              </w:rPr>
              <w:t xml:space="preserve">Смертность от дорожно-транспортных происшествий (на 100 тыс. населения)</w:t>
            </w:r>
          </w:p>
        </w:tc>
        <w:tc>
          <w:tcPr>
            <w:tcW w:w="1984" w:type="dxa"/>
          </w:tcPr>
          <w:p>
            <w:pPr>
              <w:pStyle w:val="0"/>
              <w:jc w:val="both"/>
            </w:pPr>
            <w:r>
              <w:rPr>
                <w:sz w:val="20"/>
              </w:rPr>
              <w:t xml:space="preserve">чел.</w:t>
            </w:r>
          </w:p>
        </w:tc>
        <w:tc>
          <w:tcPr>
            <w:tcW w:w="4252" w:type="dxa"/>
          </w:tcPr>
          <w:p>
            <w:pPr>
              <w:pStyle w:val="0"/>
              <w:jc w:val="both"/>
            </w:pPr>
            <w:r>
              <w:rPr>
                <w:sz w:val="20"/>
              </w:rPr>
              <w:t xml:space="preserve">Отношение числа лиц, погибших в дорожно-транспортных происшествиях, к среднегодовой численности населения, умноженное на 100000</w:t>
            </w:r>
          </w:p>
        </w:tc>
        <w:tc>
          <w:tcPr>
            <w:tcW w:w="2891" w:type="dxa"/>
          </w:tcPr>
          <w:p>
            <w:pPr>
              <w:pStyle w:val="0"/>
              <w:jc w:val="both"/>
            </w:pPr>
            <w:r>
              <w:rPr>
                <w:sz w:val="20"/>
              </w:rPr>
              <w:t xml:space="preserve">Федеральная форма статистического наблюдения (форма N ДТП "Сведения о дорожно-транспортных происшествиях")</w:t>
            </w:r>
          </w:p>
        </w:tc>
      </w:tr>
      <w:tr>
        <w:tc>
          <w:tcPr>
            <w:tcW w:w="680" w:type="dxa"/>
          </w:tcPr>
          <w:p>
            <w:pPr>
              <w:pStyle w:val="0"/>
              <w:jc w:val="both"/>
            </w:pPr>
            <w:r>
              <w:rPr>
                <w:sz w:val="20"/>
              </w:rPr>
              <w:t xml:space="preserve">1.6</w:t>
            </w:r>
          </w:p>
        </w:tc>
        <w:tc>
          <w:tcPr>
            <w:tcW w:w="3798" w:type="dxa"/>
          </w:tcPr>
          <w:p>
            <w:pPr>
              <w:pStyle w:val="0"/>
              <w:jc w:val="both"/>
            </w:pPr>
            <w:r>
              <w:rPr>
                <w:sz w:val="20"/>
              </w:rPr>
              <w:t xml:space="preserve">Смертность от новообразований (в том числе от злокачественных) (на 100 тыс. населения)</w:t>
            </w:r>
          </w:p>
        </w:tc>
        <w:tc>
          <w:tcPr>
            <w:tcW w:w="1984" w:type="dxa"/>
          </w:tcPr>
          <w:p>
            <w:pPr>
              <w:pStyle w:val="0"/>
              <w:jc w:val="both"/>
            </w:pPr>
            <w:r>
              <w:rPr>
                <w:sz w:val="20"/>
              </w:rPr>
              <w:t xml:space="preserve">чел.</w:t>
            </w:r>
          </w:p>
        </w:tc>
        <w:tc>
          <w:tcPr>
            <w:tcW w:w="4252" w:type="dxa"/>
          </w:tcPr>
          <w:p>
            <w:pPr>
              <w:pStyle w:val="0"/>
              <w:jc w:val="both"/>
            </w:pPr>
            <w:r>
              <w:rPr>
                <w:sz w:val="20"/>
              </w:rPr>
              <w:t xml:space="preserve">Отношение числа умерших от новообразований, в том числе от злокачественных, к среднегодовой численности населения по текущей оценке, умноженное на 100000</w:t>
            </w:r>
          </w:p>
        </w:tc>
        <w:tc>
          <w:tcPr>
            <w:tcW w:w="2891" w:type="dxa"/>
          </w:tcPr>
          <w:p>
            <w:pPr>
              <w:pStyle w:val="0"/>
              <w:jc w:val="both"/>
            </w:pPr>
            <w:hyperlink w:history="0" r:id="rId1000"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Позиция 1.8.8</w:t>
              </w:r>
            </w:hyperlink>
            <w:r>
              <w:rPr>
                <w:sz w:val="20"/>
              </w:rPr>
              <w:t xml:space="preserve"> ФПСР</w:t>
            </w:r>
          </w:p>
        </w:tc>
      </w:tr>
      <w:tr>
        <w:tc>
          <w:tcPr>
            <w:tcW w:w="680" w:type="dxa"/>
          </w:tcPr>
          <w:p>
            <w:pPr>
              <w:pStyle w:val="0"/>
              <w:jc w:val="both"/>
            </w:pPr>
            <w:r>
              <w:rPr>
                <w:sz w:val="20"/>
              </w:rPr>
              <w:t xml:space="preserve">1.7</w:t>
            </w:r>
          </w:p>
        </w:tc>
        <w:tc>
          <w:tcPr>
            <w:tcW w:w="3798" w:type="dxa"/>
          </w:tcPr>
          <w:p>
            <w:pPr>
              <w:pStyle w:val="0"/>
              <w:jc w:val="both"/>
            </w:pPr>
            <w:r>
              <w:rPr>
                <w:sz w:val="20"/>
              </w:rPr>
              <w:t xml:space="preserve">Смертность от туберкулеза (на 100 тыс. населения)</w:t>
            </w:r>
          </w:p>
        </w:tc>
        <w:tc>
          <w:tcPr>
            <w:tcW w:w="1984" w:type="dxa"/>
          </w:tcPr>
          <w:p>
            <w:pPr>
              <w:pStyle w:val="0"/>
              <w:jc w:val="both"/>
            </w:pPr>
            <w:r>
              <w:rPr>
                <w:sz w:val="20"/>
              </w:rPr>
              <w:t xml:space="preserve">чел.</w:t>
            </w:r>
          </w:p>
        </w:tc>
        <w:tc>
          <w:tcPr>
            <w:tcW w:w="4252" w:type="dxa"/>
          </w:tcPr>
          <w:p>
            <w:pPr>
              <w:pStyle w:val="0"/>
              <w:jc w:val="both"/>
            </w:pPr>
            <w:r>
              <w:rPr>
                <w:sz w:val="20"/>
              </w:rPr>
              <w:t xml:space="preserve">Отношение числа умерших от туберкулеза к среднегодовой численности населения, умноженное на 100000</w:t>
            </w:r>
          </w:p>
        </w:tc>
        <w:tc>
          <w:tcPr>
            <w:tcW w:w="2891" w:type="dxa"/>
          </w:tcPr>
          <w:p>
            <w:pPr>
              <w:pStyle w:val="0"/>
              <w:jc w:val="both"/>
            </w:pPr>
            <w:r>
              <w:rPr>
                <w:sz w:val="20"/>
              </w:rPr>
              <w:t xml:space="preserve">Форма федерального государственного статистического наблюдения N 8 "Сведения о заболеваниях активным туберкулезом"</w:t>
            </w:r>
          </w:p>
        </w:tc>
      </w:tr>
      <w:tr>
        <w:tc>
          <w:tcPr>
            <w:tcW w:w="680" w:type="dxa"/>
          </w:tcPr>
          <w:p>
            <w:pPr>
              <w:pStyle w:val="0"/>
              <w:jc w:val="both"/>
            </w:pPr>
            <w:r>
              <w:rPr>
                <w:sz w:val="20"/>
              </w:rPr>
              <w:t xml:space="preserve">1.8</w:t>
            </w:r>
          </w:p>
        </w:tc>
        <w:tc>
          <w:tcPr>
            <w:tcW w:w="3798" w:type="dxa"/>
          </w:tcPr>
          <w:p>
            <w:pPr>
              <w:pStyle w:val="0"/>
              <w:jc w:val="both"/>
            </w:pPr>
            <w:r>
              <w:rPr>
                <w:sz w:val="20"/>
              </w:rPr>
              <w:t xml:space="preserve">Доля отделений медицинских организаций, подведомственных Департаменту здравоохранения города Севастополя, соответствующих лицензионным требованиям</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отделений медицинских организаций, подведомственных Департаменту здравоохранения города Севастополя, соответствующих лицензионным требованиям, к общему числу отделений медицинских организаций, подведомственных Департаменту здравоохранения города Севастополя, умноженное на 100</w:t>
            </w:r>
          </w:p>
        </w:tc>
        <w:tc>
          <w:tcPr>
            <w:tcW w:w="2891" w:type="dxa"/>
          </w:tcPr>
          <w:p>
            <w:pPr>
              <w:pStyle w:val="0"/>
              <w:jc w:val="both"/>
            </w:pPr>
            <w:r>
              <w:rPr>
                <w:sz w:val="20"/>
              </w:rPr>
              <w:t xml:space="preserve">Единый реестр лицензий, в том числе лицензий, выданных органами государственной власти субъектов Российской Федерации в соответствии с переданным полномочием по лицензированию отдельных видов деятельности федеральной службы по надзору в сфере здравоохранения</w:t>
            </w:r>
          </w:p>
        </w:tc>
      </w:tr>
      <w:tr>
        <w:tc>
          <w:tcPr>
            <w:tcW w:w="680" w:type="dxa"/>
          </w:tcPr>
          <w:p>
            <w:pPr>
              <w:pStyle w:val="0"/>
              <w:jc w:val="both"/>
            </w:pPr>
            <w:r>
              <w:rPr>
                <w:sz w:val="20"/>
              </w:rPr>
              <w:t xml:space="preserve">1.9</w:t>
            </w:r>
          </w:p>
        </w:tc>
        <w:tc>
          <w:tcPr>
            <w:tcW w:w="3798" w:type="dxa"/>
          </w:tcPr>
          <w:p>
            <w:pPr>
              <w:pStyle w:val="0"/>
              <w:jc w:val="both"/>
            </w:pPr>
            <w:r>
              <w:rPr>
                <w:sz w:val="20"/>
              </w:rPr>
              <w:t xml:space="preserve">Доля площадей учреждений здравоохранения, нуждающихся в капитальном ремонте</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площади учреждений здравоохранения, подведомственных Департаменту здравоохранения города Севастополя, нуждающихся в капитальном ремонте, к общей площади учреждений здравоохранения, подведомственных Департаменту здравоохранения города Севастополя, умноженное на 100</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1.10</w:t>
            </w:r>
          </w:p>
        </w:tc>
        <w:tc>
          <w:tcPr>
            <w:tcW w:w="3798" w:type="dxa"/>
          </w:tcPr>
          <w:p>
            <w:pPr>
              <w:pStyle w:val="0"/>
              <w:jc w:val="both"/>
            </w:pPr>
            <w:r>
              <w:rPr>
                <w:sz w:val="20"/>
              </w:rPr>
              <w:t xml:space="preserve">Процент граждан, проживающих в городской местности, удовлетворенных оказанием услуг (по данным Территориального фонда обязательного медицинского страхования города Севастополя (далее - ТФОМС))</w:t>
            </w:r>
          </w:p>
        </w:tc>
        <w:tc>
          <w:tcPr>
            <w:tcW w:w="1984" w:type="dxa"/>
          </w:tcPr>
          <w:p>
            <w:pPr>
              <w:pStyle w:val="0"/>
              <w:jc w:val="both"/>
            </w:pPr>
            <w:r>
              <w:rPr>
                <w:sz w:val="20"/>
              </w:rPr>
              <w:t xml:space="preserve">% от числа опрошенных</w:t>
            </w:r>
          </w:p>
        </w:tc>
        <w:tc>
          <w:tcPr>
            <w:tcW w:w="4252" w:type="dxa"/>
          </w:tcPr>
          <w:p>
            <w:pPr>
              <w:pStyle w:val="0"/>
              <w:jc w:val="both"/>
            </w:pPr>
            <w:r>
              <w:rPr>
                <w:sz w:val="20"/>
              </w:rPr>
              <w:t xml:space="preserve">Отношение числа опрошенных граждан, проживающих в городской местности, получивших медицинские услуги, удовлетворенных оказанием услуг, к общему количеству опрошенных граждан, проживающих в городской местности и получивших медицинские услуги, умноженное на 100</w:t>
            </w:r>
          </w:p>
        </w:tc>
        <w:tc>
          <w:tcPr>
            <w:tcW w:w="2891" w:type="dxa"/>
          </w:tcPr>
          <w:p>
            <w:pPr>
              <w:pStyle w:val="0"/>
              <w:jc w:val="both"/>
            </w:pPr>
            <w:r>
              <w:rPr>
                <w:sz w:val="20"/>
              </w:rPr>
              <w:t xml:space="preserve">Данные ТФОМС</w:t>
            </w:r>
          </w:p>
        </w:tc>
      </w:tr>
      <w:tr>
        <w:tc>
          <w:tcPr>
            <w:tcW w:w="680" w:type="dxa"/>
          </w:tcPr>
          <w:p>
            <w:pPr>
              <w:pStyle w:val="0"/>
              <w:jc w:val="both"/>
            </w:pPr>
            <w:r>
              <w:rPr>
                <w:sz w:val="20"/>
              </w:rPr>
              <w:t xml:space="preserve">1.11</w:t>
            </w:r>
          </w:p>
        </w:tc>
        <w:tc>
          <w:tcPr>
            <w:tcW w:w="3798" w:type="dxa"/>
          </w:tcPr>
          <w:p>
            <w:pPr>
              <w:pStyle w:val="0"/>
              <w:jc w:val="both"/>
            </w:pPr>
            <w:r>
              <w:rPr>
                <w:sz w:val="20"/>
              </w:rPr>
              <w:t xml:space="preserve">Процент граждан, проживающих в сельской местности, удовлетворенных оказанием услуг (по данным ТФОМС)</w:t>
            </w:r>
          </w:p>
        </w:tc>
        <w:tc>
          <w:tcPr>
            <w:tcW w:w="1984" w:type="dxa"/>
          </w:tcPr>
          <w:p>
            <w:pPr>
              <w:pStyle w:val="0"/>
              <w:jc w:val="both"/>
            </w:pPr>
            <w:r>
              <w:rPr>
                <w:sz w:val="20"/>
              </w:rPr>
              <w:t xml:space="preserve">% от числа опрошенных</w:t>
            </w:r>
          </w:p>
        </w:tc>
        <w:tc>
          <w:tcPr>
            <w:tcW w:w="4252" w:type="dxa"/>
          </w:tcPr>
          <w:p>
            <w:pPr>
              <w:pStyle w:val="0"/>
              <w:jc w:val="both"/>
            </w:pPr>
            <w:r>
              <w:rPr>
                <w:sz w:val="20"/>
              </w:rPr>
              <w:t xml:space="preserve">Отношение числа опрошенных граждан, проживающих в сельской местности, получивших медицинские услуги, удовлетворенных оказанием услуг, к общему количеству опрошенных граждан, проживающих в сельской местности и получивших медицинские услуги, умноженное на 100</w:t>
            </w:r>
          </w:p>
        </w:tc>
        <w:tc>
          <w:tcPr>
            <w:tcW w:w="2891" w:type="dxa"/>
          </w:tcPr>
          <w:p>
            <w:pPr>
              <w:pStyle w:val="0"/>
              <w:jc w:val="both"/>
            </w:pPr>
            <w:r>
              <w:rPr>
                <w:sz w:val="20"/>
              </w:rPr>
              <w:t xml:space="preserve">Данные ТФОМС</w:t>
            </w:r>
          </w:p>
        </w:tc>
      </w:tr>
      <w:tr>
        <w:tc>
          <w:tcPr>
            <w:tcW w:w="680" w:type="dxa"/>
          </w:tcPr>
          <w:p>
            <w:pPr>
              <w:pStyle w:val="0"/>
              <w:jc w:val="both"/>
            </w:pPr>
            <w:r>
              <w:rPr>
                <w:sz w:val="20"/>
              </w:rPr>
              <w:t xml:space="preserve">1.12</w:t>
            </w:r>
          </w:p>
        </w:tc>
        <w:tc>
          <w:tcPr>
            <w:tcW w:w="3798" w:type="dxa"/>
          </w:tcPr>
          <w:p>
            <w:pPr>
              <w:pStyle w:val="0"/>
              <w:jc w:val="both"/>
            </w:pPr>
            <w:r>
              <w:rPr>
                <w:sz w:val="20"/>
              </w:rPr>
              <w:t xml:space="preserve">Ожидаемая продолжительность жизни при рождении</w:t>
            </w:r>
          </w:p>
        </w:tc>
        <w:tc>
          <w:tcPr>
            <w:tcW w:w="1984" w:type="dxa"/>
          </w:tcPr>
          <w:p>
            <w:pPr>
              <w:pStyle w:val="0"/>
              <w:jc w:val="both"/>
            </w:pPr>
            <w:r>
              <w:rPr>
                <w:sz w:val="20"/>
              </w:rPr>
              <w:t xml:space="preserve">год</w:t>
            </w:r>
          </w:p>
        </w:tc>
        <w:tc>
          <w:tcPr>
            <w:tcW w:w="4252" w:type="dxa"/>
          </w:tcPr>
          <w:p>
            <w:pPr>
              <w:pStyle w:val="0"/>
              <w:jc w:val="both"/>
            </w:pPr>
            <w:r>
              <w:rPr>
                <w:sz w:val="20"/>
              </w:rPr>
              <w:t xml:space="preserve">Отношение числа человеко-лет, которое предстоит прожить дожившим до соответствующего возраста за весь период предстоящей жизни (от соответствующего возраста и до предельного), к числу доживших до соответствующего возраста</w:t>
            </w:r>
          </w:p>
        </w:tc>
        <w:tc>
          <w:tcPr>
            <w:tcW w:w="2891" w:type="dxa"/>
          </w:tcPr>
          <w:p>
            <w:pPr>
              <w:pStyle w:val="0"/>
              <w:jc w:val="both"/>
            </w:pPr>
            <w:r>
              <w:rPr>
                <w:sz w:val="20"/>
              </w:rPr>
              <w:t xml:space="preserve">Источниками информации для расчета показателя являются предварительная оценка половозрастного состава населения и число умерших по однолетним возрастным группам, полученные на основе сведений о государственной регистрации смерти, содержащихся в Едином государственном реестре записей актов гражданского состояния</w:t>
            </w:r>
          </w:p>
        </w:tc>
      </w:tr>
      <w:tr>
        <w:tc>
          <w:tcPr>
            <w:tcW w:w="680" w:type="dxa"/>
          </w:tcPr>
          <w:p>
            <w:pPr>
              <w:pStyle w:val="0"/>
              <w:jc w:val="both"/>
            </w:pPr>
            <w:r>
              <w:rPr>
                <w:sz w:val="20"/>
              </w:rPr>
              <w:t xml:space="preserve">1.13</w:t>
            </w:r>
          </w:p>
        </w:tc>
        <w:tc>
          <w:tcPr>
            <w:tcW w:w="3798" w:type="dxa"/>
          </w:tcPr>
          <w:p>
            <w:pPr>
              <w:pStyle w:val="0"/>
              <w:jc w:val="both"/>
            </w:pPr>
            <w:r>
              <w:rPr>
                <w:sz w:val="20"/>
              </w:rPr>
              <w:t xml:space="preserve">Ввод в эксплуатацию объектов здравоохранения в г. Севастополе в рамках государственной </w:t>
            </w:r>
            <w:hyperlink w:history="0" r:id="rId1001"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программы</w:t>
              </w:r>
            </w:hyperlink>
            <w:r>
              <w:rPr>
                <w:sz w:val="20"/>
              </w:rPr>
              <w:t xml:space="preserve"> Российской Федерации "Социально-экономическое развитие Республики Крым и г. Севастополя" (годовой ввод)</w:t>
            </w:r>
          </w:p>
        </w:tc>
        <w:tc>
          <w:tcPr>
            <w:tcW w:w="1984" w:type="dxa"/>
          </w:tcPr>
          <w:p>
            <w:pPr>
              <w:pStyle w:val="0"/>
              <w:jc w:val="both"/>
            </w:pPr>
            <w:r>
              <w:rPr>
                <w:sz w:val="20"/>
              </w:rPr>
              <w:t xml:space="preserve">единица</w:t>
            </w:r>
          </w:p>
        </w:tc>
        <w:tc>
          <w:tcPr>
            <w:tcW w:w="4252" w:type="dxa"/>
          </w:tcPr>
          <w:p>
            <w:pPr>
              <w:pStyle w:val="0"/>
              <w:jc w:val="both"/>
            </w:pPr>
            <w:r>
              <w:rPr>
                <w:sz w:val="20"/>
              </w:rPr>
              <w:t xml:space="preserve">Фактическое количество. Количество введенных в эксплуатацию объектов здравоохранения в рамках реализации мероприятий государственной </w:t>
            </w:r>
            <w:hyperlink w:history="0" r:id="rId1002" w:tooltip="Постановление Правительства РФ от 30.01.2019 N 63 (ред. от 09.11.2023) &quot;Об утверждении государственной программы Российской Федерации &quot;Социально-экономическое развитие Республики Крым и г. Севастополя&quot; {КонсультантПлюс}">
              <w:r>
                <w:rPr>
                  <w:sz w:val="20"/>
                  <w:color w:val="0000ff"/>
                </w:rPr>
                <w:t xml:space="preserve">программы</w:t>
              </w:r>
            </w:hyperlink>
            <w:r>
              <w:rPr>
                <w:sz w:val="20"/>
              </w:rPr>
              <w:t xml:space="preserve"> Российской Федерации "Социально-экономическое развитие Республики Крым и г. Севастополя" в прошедшем плановом году</w:t>
            </w:r>
          </w:p>
        </w:tc>
        <w:tc>
          <w:tcPr>
            <w:tcW w:w="2891" w:type="dxa"/>
          </w:tcPr>
          <w:p>
            <w:pPr>
              <w:pStyle w:val="0"/>
              <w:jc w:val="both"/>
            </w:pPr>
            <w:r>
              <w:rPr>
                <w:sz w:val="20"/>
              </w:rPr>
              <w:t xml:space="preserve">Акт ввода в эксплуатацию</w:t>
            </w:r>
          </w:p>
        </w:tc>
      </w:tr>
      <w:tr>
        <w:tc>
          <w:tcPr>
            <w:tcW w:w="680" w:type="dxa"/>
          </w:tcPr>
          <w:p>
            <w:pPr>
              <w:pStyle w:val="0"/>
              <w:jc w:val="both"/>
            </w:pPr>
            <w:r>
              <w:rPr>
                <w:sz w:val="20"/>
              </w:rPr>
              <w:t xml:space="preserve">1.14</w:t>
            </w:r>
          </w:p>
        </w:tc>
        <w:tc>
          <w:tcPr>
            <w:tcW w:w="3798" w:type="dxa"/>
          </w:tcPr>
          <w:p>
            <w:pPr>
              <w:pStyle w:val="0"/>
              <w:jc w:val="both"/>
            </w:pPr>
            <w:r>
              <w:rPr>
                <w:sz w:val="20"/>
              </w:rPr>
              <w:t xml:space="preserve">Объем внебюджетных инвестиций в основной капитал отрасли здравоохранения</w:t>
            </w:r>
          </w:p>
        </w:tc>
        <w:tc>
          <w:tcPr>
            <w:tcW w:w="1984" w:type="dxa"/>
          </w:tcPr>
          <w:p>
            <w:pPr>
              <w:pStyle w:val="0"/>
              <w:jc w:val="both"/>
            </w:pPr>
            <w:r>
              <w:rPr>
                <w:sz w:val="20"/>
              </w:rPr>
              <w:t xml:space="preserve">тыс. руб.</w:t>
            </w:r>
          </w:p>
        </w:tc>
        <w:tc>
          <w:tcPr>
            <w:tcW w:w="4252" w:type="dxa"/>
          </w:tcPr>
          <w:p>
            <w:pPr>
              <w:pStyle w:val="0"/>
              <w:jc w:val="both"/>
            </w:pPr>
            <w:r>
              <w:rPr>
                <w:sz w:val="20"/>
              </w:rPr>
              <w:t xml:space="preserve">Рассчитывается как объем инвестиций в основной капитал по всем хозяйствующим субъектам с учетом оценки объема инвестиций, не наблюдаемых прямыми статистическими методами, за отчетный год (в текущих ценах) минус объем инвестиций в основной капитал за счет бюджетных ассигнований федерального бюджета за отчетный год (в текущих ценах) минус объем инвестиций в основной капитал инфраструктурных монополий (федеральные проекты) за отчетный год (в текущих ценах)</w:t>
            </w:r>
          </w:p>
        </w:tc>
        <w:tc>
          <w:tcPr>
            <w:tcW w:w="2891" w:type="dxa"/>
          </w:tcPr>
          <w:p>
            <w:pPr>
              <w:pStyle w:val="0"/>
              <w:jc w:val="both"/>
            </w:pPr>
            <w:r>
              <w:rPr>
                <w:sz w:val="20"/>
              </w:rPr>
              <w:t xml:space="preserve">Официальный сайт Крымстата по адресу: </w:t>
            </w:r>
            <w:r>
              <w:rPr>
                <w:sz w:val="20"/>
              </w:rPr>
              <w:t xml:space="preserve">https://crimea.gks.ru</w:t>
            </w:r>
          </w:p>
        </w:tc>
      </w:tr>
      <w:tr>
        <w:tc>
          <w:tcPr>
            <w:tcW w:w="680" w:type="dxa"/>
          </w:tcPr>
          <w:p>
            <w:pPr>
              <w:pStyle w:val="0"/>
              <w:jc w:val="both"/>
            </w:pPr>
            <w:r>
              <w:rPr>
                <w:sz w:val="20"/>
              </w:rPr>
              <w:t xml:space="preserve">1.15</w:t>
            </w:r>
          </w:p>
        </w:tc>
        <w:tc>
          <w:tcPr>
            <w:tcW w:w="3798" w:type="dxa"/>
          </w:tcPr>
          <w:p>
            <w:pPr>
              <w:pStyle w:val="0"/>
              <w:jc w:val="both"/>
            </w:pPr>
            <w:r>
              <w:rPr>
                <w:sz w:val="20"/>
              </w:rPr>
              <w:t xml:space="preserve">Охват профилактическими медицинскими осмотрами детей</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прошедших профилактические медицинские осмотры лиц от 0 до 17 лет к среднегодовому числу лиц от 0 до 17 лет, умноженное на 100</w:t>
            </w:r>
          </w:p>
        </w:tc>
        <w:tc>
          <w:tcPr>
            <w:tcW w:w="2891" w:type="dxa"/>
          </w:tcPr>
          <w:p>
            <w:pPr>
              <w:pStyle w:val="0"/>
              <w:jc w:val="both"/>
            </w:pPr>
            <w:r>
              <w:rPr>
                <w:sz w:val="20"/>
              </w:rPr>
              <w:t xml:space="preserve">Источником информации для ежегодного расчета показателя являются данные отчетной формы N 030-Д/с/о-13 "Сведения о диспансеризации несовершеннолетних"</w:t>
            </w:r>
          </w:p>
        </w:tc>
      </w:tr>
      <w:tr>
        <w:tc>
          <w:tcPr>
            <w:tcW w:w="680" w:type="dxa"/>
          </w:tcPr>
          <w:p>
            <w:pPr>
              <w:pStyle w:val="0"/>
              <w:jc w:val="both"/>
            </w:pPr>
            <w:r>
              <w:rPr>
                <w:sz w:val="20"/>
              </w:rPr>
              <w:t xml:space="preserve">1.16</w:t>
            </w:r>
          </w:p>
        </w:tc>
        <w:tc>
          <w:tcPr>
            <w:tcW w:w="3798" w:type="dxa"/>
          </w:tcPr>
          <w:p>
            <w:pPr>
              <w:pStyle w:val="0"/>
              <w:jc w:val="both"/>
            </w:pPr>
            <w:r>
              <w:rPr>
                <w:sz w:val="20"/>
              </w:rPr>
              <w:t xml:space="preserve">Охват диспансеризацией детей-сирот и детей, находящихся в трудной жизненной ситуации</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прошедших диспансеризацию лиц от 0 до 17 лет, находящихся в трудной жизненной ситуации, к среднегодовому числу лиц от 0 до 17 лет, находящихся в трудной жизненной ситуации, умноженное на 100</w:t>
            </w:r>
          </w:p>
        </w:tc>
        <w:tc>
          <w:tcPr>
            <w:tcW w:w="2891" w:type="dxa"/>
          </w:tcPr>
          <w:p>
            <w:pPr>
              <w:pStyle w:val="0"/>
              <w:jc w:val="both"/>
            </w:pPr>
            <w:r>
              <w:rPr>
                <w:sz w:val="20"/>
              </w:rPr>
              <w:t xml:space="preserve">Источником информации для ежегодного расчета показателя являются данные отчетной формы N 030-Д/с/о-13 "Сведения о диспансеризации несовершеннолетних"</w:t>
            </w:r>
          </w:p>
        </w:tc>
      </w:tr>
      <w:tr>
        <w:tc>
          <w:tcPr>
            <w:tcW w:w="680" w:type="dxa"/>
          </w:tcPr>
          <w:p>
            <w:pPr>
              <w:pStyle w:val="0"/>
              <w:jc w:val="both"/>
            </w:pPr>
            <w:r>
              <w:rPr>
                <w:sz w:val="20"/>
              </w:rPr>
              <w:t xml:space="preserve">1.17</w:t>
            </w:r>
          </w:p>
        </w:tc>
        <w:tc>
          <w:tcPr>
            <w:tcW w:w="3798" w:type="dxa"/>
          </w:tcPr>
          <w:p>
            <w:pPr>
              <w:pStyle w:val="0"/>
              <w:jc w:val="both"/>
            </w:pPr>
            <w:r>
              <w:rPr>
                <w:sz w:val="20"/>
              </w:rPr>
              <w:t xml:space="preserve">Охват диспансеризацией взрослого населения</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прошедших диспансеризацию лиц от 18 лет и старше к среднегодовому числу лиц от 18 лет и старше, умноженное на 100</w:t>
            </w:r>
          </w:p>
        </w:tc>
        <w:tc>
          <w:tcPr>
            <w:tcW w:w="2891" w:type="dxa"/>
          </w:tcPr>
          <w:p>
            <w:pPr>
              <w:pStyle w:val="0"/>
              <w:jc w:val="both"/>
            </w:pPr>
            <w:r>
              <w:rPr>
                <w:sz w:val="20"/>
              </w:rPr>
              <w:t xml:space="preserve">Источником информации для ежегодного расчета показателя являются данные отчетной формы N 131/о "Сведения о диспансеризации определенных групп взрослого населения"</w:t>
            </w:r>
          </w:p>
        </w:tc>
      </w:tr>
      <w:tr>
        <w:tc>
          <w:tcPr>
            <w:tcW w:w="680" w:type="dxa"/>
          </w:tcPr>
          <w:p>
            <w:pPr>
              <w:pStyle w:val="0"/>
              <w:jc w:val="both"/>
            </w:pPr>
            <w:r>
              <w:rPr>
                <w:sz w:val="20"/>
              </w:rPr>
              <w:t xml:space="preserve">1.18</w:t>
            </w:r>
          </w:p>
        </w:tc>
        <w:tc>
          <w:tcPr>
            <w:tcW w:w="3798" w:type="dxa"/>
          </w:tcPr>
          <w:p>
            <w:pPr>
              <w:pStyle w:val="0"/>
              <w:jc w:val="both"/>
            </w:pPr>
            <w:r>
              <w:rPr>
                <w:sz w:val="20"/>
              </w:rPr>
              <w:t xml:space="preserve">Количество зарегистрированных больных с диагнозом, установленным впервые в жизни, активный туберкулез (на 100 тыс. населения)</w:t>
            </w:r>
          </w:p>
        </w:tc>
        <w:tc>
          <w:tcPr>
            <w:tcW w:w="1984" w:type="dxa"/>
          </w:tcPr>
          <w:p>
            <w:pPr>
              <w:pStyle w:val="0"/>
              <w:jc w:val="both"/>
            </w:pPr>
            <w:r>
              <w:rPr>
                <w:sz w:val="20"/>
              </w:rPr>
              <w:t xml:space="preserve">случай</w:t>
            </w:r>
          </w:p>
        </w:tc>
        <w:tc>
          <w:tcPr>
            <w:tcW w:w="4252" w:type="dxa"/>
          </w:tcPr>
          <w:p>
            <w:pPr>
              <w:pStyle w:val="0"/>
              <w:jc w:val="both"/>
            </w:pPr>
            <w:r>
              <w:rPr>
                <w:sz w:val="20"/>
              </w:rPr>
              <w:t xml:space="preserve">Отношение числа больных с диагнозом, установленным впервые в жизни, активный туберкулез к среднегодовой численности населения, умноженное на 100000</w:t>
            </w:r>
          </w:p>
        </w:tc>
        <w:tc>
          <w:tcPr>
            <w:tcW w:w="2891" w:type="dxa"/>
          </w:tcPr>
          <w:p>
            <w:pPr>
              <w:pStyle w:val="0"/>
              <w:jc w:val="both"/>
            </w:pPr>
            <w:r>
              <w:rPr>
                <w:sz w:val="20"/>
              </w:rPr>
              <w:t xml:space="preserve">Форма федерального государственного статистического наблюдения N 8 "Сведения о заболеваниях активным туберкулезом"</w:t>
            </w:r>
          </w:p>
        </w:tc>
      </w:tr>
      <w:tr>
        <w:tc>
          <w:tcPr>
            <w:tcW w:w="680" w:type="dxa"/>
          </w:tcPr>
          <w:p>
            <w:pPr>
              <w:pStyle w:val="0"/>
              <w:jc w:val="both"/>
            </w:pPr>
            <w:r>
              <w:rPr>
                <w:sz w:val="20"/>
              </w:rPr>
              <w:t xml:space="preserve">1.19</w:t>
            </w:r>
          </w:p>
        </w:tc>
        <w:tc>
          <w:tcPr>
            <w:tcW w:w="3798" w:type="dxa"/>
          </w:tcPr>
          <w:p>
            <w:pPr>
              <w:pStyle w:val="0"/>
              <w:jc w:val="both"/>
            </w:pPr>
            <w:r>
              <w:rPr>
                <w:sz w:val="20"/>
              </w:rPr>
              <w:t xml:space="preserve">Заболеваемость острым вирусным гепатитом B (на 100 тыс. населения)</w:t>
            </w:r>
          </w:p>
        </w:tc>
        <w:tc>
          <w:tcPr>
            <w:tcW w:w="1984" w:type="dxa"/>
          </w:tcPr>
          <w:p>
            <w:pPr>
              <w:pStyle w:val="0"/>
              <w:jc w:val="both"/>
            </w:pPr>
            <w:r>
              <w:rPr>
                <w:sz w:val="20"/>
              </w:rPr>
              <w:t xml:space="preserve">человек</w:t>
            </w:r>
          </w:p>
        </w:tc>
        <w:tc>
          <w:tcPr>
            <w:tcW w:w="4252" w:type="dxa"/>
          </w:tcPr>
          <w:p>
            <w:pPr>
              <w:pStyle w:val="0"/>
              <w:jc w:val="both"/>
            </w:pPr>
            <w:r>
              <w:rPr>
                <w:sz w:val="20"/>
              </w:rPr>
              <w:t xml:space="preserve">Отношение зарегистрированных случаев острого вирусного гепатита B к среднегодовой численности населения, умноженное на 100000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1.20</w:t>
            </w:r>
          </w:p>
        </w:tc>
        <w:tc>
          <w:tcPr>
            <w:tcW w:w="3798" w:type="dxa"/>
          </w:tcPr>
          <w:p>
            <w:pPr>
              <w:pStyle w:val="0"/>
              <w:jc w:val="both"/>
            </w:pPr>
            <w:r>
              <w:rPr>
                <w:sz w:val="20"/>
              </w:rPr>
              <w:t xml:space="preserve">Охват иммунизацией населения против гепатита B в декретированные сроки</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человек, привитых против вирусного гепатита B в отчетном периоде, к количеству человек, подлежащих вакцинации в отчетном периоде,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1.21</w:t>
            </w:r>
          </w:p>
        </w:tc>
        <w:tc>
          <w:tcPr>
            <w:tcW w:w="3798" w:type="dxa"/>
          </w:tcPr>
          <w:p>
            <w:pPr>
              <w:pStyle w:val="0"/>
              <w:jc w:val="both"/>
            </w:pPr>
            <w:r>
              <w:rPr>
                <w:sz w:val="20"/>
              </w:rPr>
              <w:t xml:space="preserve">Охват иммунизацией населения против дифтерии, коклюша и столбняка в декретированные сроки</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человек, привитых против дифтерии, коклюша и столбняка в отчетном периоде, к количеству человек, подлежащих вакцинации в отчетном периоде,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1.22</w:t>
            </w:r>
          </w:p>
        </w:tc>
        <w:tc>
          <w:tcPr>
            <w:tcW w:w="3798" w:type="dxa"/>
          </w:tcPr>
          <w:p>
            <w:pPr>
              <w:pStyle w:val="0"/>
              <w:jc w:val="both"/>
            </w:pPr>
            <w:r>
              <w:rPr>
                <w:sz w:val="20"/>
              </w:rPr>
              <w:t xml:space="preserve">Охват населения иммунизацией против кори в декретированные сроки</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человек, привитых против кори в отчетном периоде, к количеству человек, подлежащих вакцинации в отчетном периоде,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1.23</w:t>
            </w:r>
          </w:p>
        </w:tc>
        <w:tc>
          <w:tcPr>
            <w:tcW w:w="3798" w:type="dxa"/>
          </w:tcPr>
          <w:p>
            <w:pPr>
              <w:pStyle w:val="0"/>
              <w:jc w:val="both"/>
            </w:pPr>
            <w:r>
              <w:rPr>
                <w:sz w:val="20"/>
              </w:rPr>
              <w:t xml:space="preserve">Доля лиц, инфицированных вирусом иммунодефицита человека, состоящих на диспансерном учете, от числа выявленных случаев</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лиц, инфицированных вирусом иммунодефицита человека и состоящих на диспансерном учете, к числу лиц, у которых выявлено заболевание, умноженное на 100</w:t>
            </w:r>
          </w:p>
        </w:tc>
        <w:tc>
          <w:tcPr>
            <w:tcW w:w="2891" w:type="dxa"/>
          </w:tcPr>
          <w:p>
            <w:pPr>
              <w:pStyle w:val="0"/>
              <w:jc w:val="both"/>
            </w:pPr>
            <w:hyperlink w:history="0" r:id="rId1003"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Пункт 15.1</w:t>
              </w:r>
            </w:hyperlink>
            <w:r>
              <w:rPr>
                <w:sz w:val="20"/>
              </w:rPr>
              <w:t xml:space="preserve"> ФПСР</w:t>
            </w:r>
          </w:p>
        </w:tc>
      </w:tr>
      <w:tr>
        <w:tc>
          <w:tcPr>
            <w:tcW w:w="680" w:type="dxa"/>
          </w:tcPr>
          <w:p>
            <w:pPr>
              <w:pStyle w:val="0"/>
              <w:jc w:val="both"/>
            </w:pPr>
            <w:r>
              <w:rPr>
                <w:sz w:val="20"/>
              </w:rPr>
              <w:t xml:space="preserve">1.24</w:t>
            </w:r>
          </w:p>
        </w:tc>
        <w:tc>
          <w:tcPr>
            <w:tcW w:w="3798" w:type="dxa"/>
          </w:tcPr>
          <w:p>
            <w:pPr>
              <w:pStyle w:val="0"/>
              <w:jc w:val="both"/>
            </w:pPr>
            <w:r>
              <w:rPr>
                <w:sz w:val="20"/>
              </w:rPr>
              <w:t xml:space="preserve">Доля рецептов, находящихся на отсроченном обеспечении, в общем количестве выписанных рецептов</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рецептов, находящихся на отсроченном обеспечении на конец отчетного периода, к общему числу выписанных за отчетный период рецептов,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1.25</w:t>
            </w:r>
          </w:p>
        </w:tc>
        <w:tc>
          <w:tcPr>
            <w:tcW w:w="3798" w:type="dxa"/>
          </w:tcPr>
          <w:p>
            <w:pPr>
              <w:pStyle w:val="0"/>
              <w:jc w:val="both"/>
            </w:pPr>
            <w:r>
              <w:rPr>
                <w:sz w:val="20"/>
              </w:rPr>
              <w:t xml:space="preserve">Доля детей в возрасте 0 - 17 лет от общей численности детского населения, пролеченных в дневных стационарах медицинских организаций города Севастополя, оказывающих медицинскую помощь в амбулаторных условиях</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детей в возрасте 0 - 17 лет, пролеченных в дневных стационарах медицинских организаций города Севастополя, оказывающих медицинскую помощь в амбулаторных условиях, к общей численности детского населения в возрасте 0 - 17 лет,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1.26</w:t>
            </w:r>
          </w:p>
        </w:tc>
        <w:tc>
          <w:tcPr>
            <w:tcW w:w="3798" w:type="dxa"/>
          </w:tcPr>
          <w:p>
            <w:pPr>
              <w:pStyle w:val="0"/>
              <w:jc w:val="both"/>
            </w:pPr>
            <w:r>
              <w:rPr>
                <w:sz w:val="20"/>
              </w:rPr>
              <w:t xml:space="preserve">Доля детских поликлиник и детских поликлинических отделений медицинских организаций города Севастополя, реализовавших организационно-планировочные решения внутренних пространств, обеспечивающих комфортность пребывания детей в соответствии с требованиями </w:t>
            </w:r>
            <w:hyperlink w:history="0" r:id="rId1004"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детских поликлиник и детских поликлинических отделений медицинских организаций города Севастополя, подведомственных Департаменту здравоохранения города Севастополя, реализовавших организационно-планировочные решения внутренних пространств, обеспечивающих комфортность пребывания детей в соответствии с требованиями </w:t>
            </w:r>
            <w:hyperlink w:history="0" r:id="rId1005"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07.03.2018 N 92н, к общему количеству детских поликлиник и детских поликлинических отделений медицинских организаций города Севастополя, подведомственных Департаменту здравоохранения города Севастополя,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1.27</w:t>
            </w:r>
          </w:p>
        </w:tc>
        <w:tc>
          <w:tcPr>
            <w:tcW w:w="3798" w:type="dxa"/>
          </w:tcPr>
          <w:p>
            <w:pPr>
              <w:pStyle w:val="0"/>
              <w:jc w:val="both"/>
            </w:pPr>
            <w:r>
              <w:rPr>
                <w:sz w:val="20"/>
              </w:rPr>
              <w:t xml:space="preserve">Строительство поликлиники на 320 посещений в смену в микрорайоне "Казачья Бухта", г. Севастополь</w:t>
            </w:r>
          </w:p>
        </w:tc>
        <w:tc>
          <w:tcPr>
            <w:tcW w:w="1984" w:type="dxa"/>
          </w:tcPr>
          <w:p>
            <w:pPr>
              <w:pStyle w:val="0"/>
              <w:jc w:val="both"/>
            </w:pPr>
            <w:r>
              <w:rPr>
                <w:sz w:val="20"/>
              </w:rPr>
              <w:t xml:space="preserve">шт.</w:t>
            </w:r>
          </w:p>
        </w:tc>
        <w:tc>
          <w:tcPr>
            <w:tcW w:w="4252" w:type="dxa"/>
          </w:tcPr>
          <w:p>
            <w:pPr>
              <w:pStyle w:val="0"/>
              <w:jc w:val="both"/>
            </w:pPr>
            <w:r>
              <w:rPr>
                <w:sz w:val="20"/>
              </w:rPr>
              <w:t xml:space="preserve">Фактическое количество. Ввод в эксплуатацию объекта здравоохранения</w:t>
            </w:r>
          </w:p>
        </w:tc>
        <w:tc>
          <w:tcPr>
            <w:tcW w:w="2891" w:type="dxa"/>
          </w:tcPr>
          <w:p>
            <w:pPr>
              <w:pStyle w:val="0"/>
              <w:jc w:val="both"/>
            </w:pPr>
            <w:r>
              <w:rPr>
                <w:sz w:val="20"/>
              </w:rPr>
              <w:t xml:space="preserve">Данные Департамента капитального строительства города Севастополя</w:t>
            </w:r>
          </w:p>
        </w:tc>
      </w:tr>
      <w:tr>
        <w:tc>
          <w:tcPr>
            <w:tcW w:w="680" w:type="dxa"/>
          </w:tcPr>
          <w:p>
            <w:pPr>
              <w:pStyle w:val="0"/>
              <w:jc w:val="both"/>
            </w:pPr>
            <w:r>
              <w:rPr>
                <w:sz w:val="20"/>
              </w:rPr>
              <w:t xml:space="preserve">1.28</w:t>
            </w:r>
          </w:p>
        </w:tc>
        <w:tc>
          <w:tcPr>
            <w:tcW w:w="3798" w:type="dxa"/>
          </w:tcPr>
          <w:p>
            <w:pPr>
              <w:pStyle w:val="0"/>
              <w:jc w:val="both"/>
            </w:pPr>
            <w:r>
              <w:rPr>
                <w:sz w:val="20"/>
              </w:rPr>
              <w:t xml:space="preserve">Строительство амбулаторно-поликлинического учреждения на 320 посещений в смену, пр-т Генерала Острякова</w:t>
            </w:r>
          </w:p>
        </w:tc>
        <w:tc>
          <w:tcPr>
            <w:tcW w:w="1984" w:type="dxa"/>
          </w:tcPr>
          <w:p>
            <w:pPr>
              <w:pStyle w:val="0"/>
              <w:jc w:val="both"/>
            </w:pPr>
            <w:r>
              <w:rPr>
                <w:sz w:val="20"/>
              </w:rPr>
              <w:t xml:space="preserve">шт.</w:t>
            </w:r>
          </w:p>
        </w:tc>
        <w:tc>
          <w:tcPr>
            <w:tcW w:w="4252" w:type="dxa"/>
          </w:tcPr>
          <w:p>
            <w:pPr>
              <w:pStyle w:val="0"/>
              <w:jc w:val="both"/>
            </w:pPr>
            <w:r>
              <w:rPr>
                <w:sz w:val="20"/>
              </w:rPr>
              <w:t xml:space="preserve">Фактическое количество. Ввод в эксплуатацию объекта здравоохранения</w:t>
            </w:r>
          </w:p>
        </w:tc>
        <w:tc>
          <w:tcPr>
            <w:tcW w:w="2891" w:type="dxa"/>
          </w:tcPr>
          <w:p>
            <w:pPr>
              <w:pStyle w:val="0"/>
              <w:jc w:val="both"/>
            </w:pPr>
            <w:r>
              <w:rPr>
                <w:sz w:val="20"/>
              </w:rPr>
              <w:t xml:space="preserve">Данные Департамента капитального строительства города Севастополя</w:t>
            </w:r>
          </w:p>
        </w:tc>
      </w:tr>
      <w:tr>
        <w:tc>
          <w:tcPr>
            <w:tcW w:w="680" w:type="dxa"/>
          </w:tcPr>
          <w:p>
            <w:pPr>
              <w:pStyle w:val="0"/>
              <w:jc w:val="both"/>
            </w:pPr>
            <w:r>
              <w:rPr>
                <w:sz w:val="20"/>
              </w:rPr>
              <w:t xml:space="preserve">1.29</w:t>
            </w:r>
          </w:p>
        </w:tc>
        <w:tc>
          <w:tcPr>
            <w:tcW w:w="3798" w:type="dxa"/>
          </w:tcPr>
          <w:p>
            <w:pPr>
              <w:pStyle w:val="0"/>
              <w:jc w:val="both"/>
            </w:pPr>
            <w:r>
              <w:rPr>
                <w:sz w:val="20"/>
              </w:rPr>
              <w:t xml:space="preserve">Строительство детской поликлиники на 100 посещений в смену на Корабельной стороне</w:t>
            </w:r>
          </w:p>
        </w:tc>
        <w:tc>
          <w:tcPr>
            <w:tcW w:w="1984" w:type="dxa"/>
          </w:tcPr>
          <w:p>
            <w:pPr>
              <w:pStyle w:val="0"/>
              <w:jc w:val="both"/>
            </w:pPr>
            <w:r>
              <w:rPr>
                <w:sz w:val="20"/>
              </w:rPr>
              <w:t xml:space="preserve">шт.</w:t>
            </w:r>
          </w:p>
        </w:tc>
        <w:tc>
          <w:tcPr>
            <w:tcW w:w="4252" w:type="dxa"/>
          </w:tcPr>
          <w:p>
            <w:pPr>
              <w:pStyle w:val="0"/>
              <w:jc w:val="both"/>
            </w:pPr>
            <w:r>
              <w:rPr>
                <w:sz w:val="20"/>
              </w:rPr>
              <w:t xml:space="preserve">Фактическое количество. Ввод в эксплуатацию объекта здравоохранения</w:t>
            </w:r>
          </w:p>
        </w:tc>
        <w:tc>
          <w:tcPr>
            <w:tcW w:w="2891" w:type="dxa"/>
          </w:tcPr>
          <w:p>
            <w:pPr>
              <w:pStyle w:val="0"/>
              <w:jc w:val="both"/>
            </w:pPr>
            <w:r>
              <w:rPr>
                <w:sz w:val="20"/>
              </w:rPr>
              <w:t xml:space="preserve">Данные Департамента капитального строительства города Севастополя</w:t>
            </w:r>
          </w:p>
        </w:tc>
      </w:tr>
      <w:tr>
        <w:tc>
          <w:tcPr>
            <w:tcW w:w="680" w:type="dxa"/>
          </w:tcPr>
          <w:p>
            <w:pPr>
              <w:pStyle w:val="0"/>
              <w:jc w:val="both"/>
            </w:pPr>
            <w:r>
              <w:rPr>
                <w:sz w:val="20"/>
              </w:rPr>
              <w:t xml:space="preserve">1.30</w:t>
            </w:r>
          </w:p>
        </w:tc>
        <w:tc>
          <w:tcPr>
            <w:tcW w:w="3798" w:type="dxa"/>
          </w:tcPr>
          <w:p>
            <w:pPr>
              <w:pStyle w:val="0"/>
              <w:jc w:val="both"/>
            </w:pPr>
            <w:r>
              <w:rPr>
                <w:sz w:val="20"/>
              </w:rPr>
              <w:t xml:space="preserve">Доля впервые в жизни установленных хронических заболеваний (ХНИЗ), выявленных при проведении диспансеризации и профилактическом осмотре у взрослого населения, от общего числа ХНИЗ с впервые установленным диагнозом</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впервые в жизни установленных хронических заболеваний (число зарегистрированных болезней системы кровообращения с впервые в жизни установленным диагнозом, выявленных при профилактическом осмотре и диспансеризации определенных групп взрослого населения + число зарегистрированных заболеваний злокачественными новообразованиями с впервые в жизни установленным диагнозом, выявленных при профилактическом осмотре и диспансеризации определенных групп взрослого населения + число зарегистрированных заболеваний сахарным диабетом с впервые в жизни установленным диагнозом, выявленных при профилактическом осмотре и диспансеризации определенных групп взрослого населения - число зарегистрированных заболеваний сахарным диабетом I типа с впервые в жизни установленным диагнозом, выявленных при профилактическом осмотре и диспансеризации определенных групп взрослого населения) к общему числу ХНИЗ с впервые установленным диагнозом (число зарегистрированных заболеваний системы кровообращения с впервые в жизни установленным диагнозом + число зарегистрированных заболеваний злокачественными новообразованиями с впервые в жизни установленным диагнозом + число зарегистрированных заболеваний сахарным диабетом с впервые в жизни установленным диагнозом - число зарегистрированных заболеваний сахарным диабетом I типа с впервые в жизни установленным диагнозом), умноженное на 100</w:t>
            </w:r>
          </w:p>
        </w:tc>
        <w:tc>
          <w:tcPr>
            <w:tcW w:w="2891" w:type="dxa"/>
          </w:tcPr>
          <w:p>
            <w:pPr>
              <w:pStyle w:val="0"/>
              <w:jc w:val="both"/>
            </w:pPr>
            <w:r>
              <w:rPr>
                <w:sz w:val="20"/>
              </w:rPr>
              <w:t xml:space="preserve">Форма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w:t>
            </w:r>
          </w:p>
        </w:tc>
      </w:tr>
      <w:tr>
        <w:tc>
          <w:tcPr>
            <w:tcW w:w="680" w:type="dxa"/>
          </w:tcPr>
          <w:p>
            <w:pPr>
              <w:pStyle w:val="0"/>
              <w:jc w:val="both"/>
            </w:pPr>
            <w:r>
              <w:rPr>
                <w:sz w:val="20"/>
              </w:rPr>
              <w:t xml:space="preserve">1.31</w:t>
            </w:r>
          </w:p>
        </w:tc>
        <w:tc>
          <w:tcPr>
            <w:tcW w:w="3798" w:type="dxa"/>
          </w:tcPr>
          <w:p>
            <w:pPr>
              <w:pStyle w:val="0"/>
              <w:jc w:val="both"/>
            </w:pPr>
            <w:r>
              <w:rPr>
                <w:sz w:val="20"/>
              </w:rPr>
              <w:t xml:space="preserve">Охват населения профилактическими осмотрами на туберкулез</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лиц, осмотренных на туберкулез за отчетный год, к среднегодовой численности населения города Севастополя, по данным территориальных органов федеральной службы государственной статистики, за вычетом среднегодовой численности детей до 1 года,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1.32</w:t>
            </w:r>
          </w:p>
        </w:tc>
        <w:tc>
          <w:tcPr>
            <w:tcW w:w="3798" w:type="dxa"/>
          </w:tcPr>
          <w:p>
            <w:pPr>
              <w:pStyle w:val="0"/>
              <w:jc w:val="both"/>
            </w:pPr>
            <w:r>
              <w:rPr>
                <w:sz w:val="20"/>
              </w:rPr>
              <w:t xml:space="preserve">Уровень информированности населения в возрасте 18 - 49 лет по вопросам ВИЧ-инфекции</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лиц в возрасте 18 - 49 лет, информированных по вопросам ВИЧ-инфекции, к числу лиц, принявших участие в опросе,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1.33</w:t>
            </w:r>
          </w:p>
        </w:tc>
        <w:tc>
          <w:tcPr>
            <w:tcW w:w="3798" w:type="dxa"/>
          </w:tcPr>
          <w:p>
            <w:pPr>
              <w:pStyle w:val="0"/>
              <w:jc w:val="both"/>
            </w:pPr>
            <w:r>
              <w:rPr>
                <w:sz w:val="20"/>
              </w:rPr>
              <w:t xml:space="preserve">Охват медицинским освидетельствованием на ВИЧ-инфекцию населения г. Севастополя</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общего числа лиц, обследованных на ВИЧ-инфекцию в отчетном году, к среднегодовой численности населения в отчетном году,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2.1</w:t>
            </w:r>
          </w:p>
        </w:tc>
        <w:tc>
          <w:tcPr>
            <w:tcW w:w="3798" w:type="dxa"/>
          </w:tcPr>
          <w:p>
            <w:pPr>
              <w:pStyle w:val="0"/>
              <w:jc w:val="both"/>
            </w:pPr>
            <w:r>
              <w:rPr>
                <w:sz w:val="20"/>
              </w:rPr>
              <w:t xml:space="preserve">Доля вызовов бригад скорой медицинской помощи со временем доезда до больного менее 20 минут</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экстренных вызовов бригад скорой медицинской помощи со временем доезда до больного менее 20 минут ко всем вызовам бригад скорой медицинской помощи по экстренным показаниям,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2.2</w:t>
            </w:r>
          </w:p>
        </w:tc>
        <w:tc>
          <w:tcPr>
            <w:tcW w:w="3798" w:type="dxa"/>
          </w:tcPr>
          <w:p>
            <w:pPr>
              <w:pStyle w:val="0"/>
              <w:jc w:val="both"/>
            </w:pPr>
            <w:r>
              <w:rPr>
                <w:sz w:val="20"/>
              </w:rPr>
              <w:t xml:space="preserve">Больничная летальность пострадавших в результате дорожно-транспортных происшествий</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умерших в стационаре, госпитализированных после дорожно-транспортных происшествий, к общему количеству госпитализированных после дорожно-транспортных происшествий, умноженное на 100</w:t>
            </w:r>
          </w:p>
        </w:tc>
        <w:tc>
          <w:tcPr>
            <w:tcW w:w="2891" w:type="dxa"/>
          </w:tcPr>
          <w:p>
            <w:pPr>
              <w:pStyle w:val="0"/>
              <w:jc w:val="both"/>
            </w:pPr>
            <w:hyperlink w:history="0" r:id="rId1006"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Пункт 15.20</w:t>
              </w:r>
            </w:hyperlink>
            <w:r>
              <w:rPr>
                <w:sz w:val="20"/>
              </w:rPr>
              <w:t xml:space="preserve"> ФПСР</w:t>
            </w:r>
          </w:p>
        </w:tc>
      </w:tr>
      <w:tr>
        <w:tc>
          <w:tcPr>
            <w:tcW w:w="680" w:type="dxa"/>
          </w:tcPr>
          <w:p>
            <w:pPr>
              <w:pStyle w:val="0"/>
              <w:jc w:val="both"/>
            </w:pPr>
            <w:r>
              <w:rPr>
                <w:sz w:val="20"/>
              </w:rPr>
              <w:t xml:space="preserve">2.3</w:t>
            </w:r>
          </w:p>
        </w:tc>
        <w:tc>
          <w:tcPr>
            <w:tcW w:w="3798" w:type="dxa"/>
          </w:tcPr>
          <w:p>
            <w:pPr>
              <w:pStyle w:val="0"/>
              <w:jc w:val="both"/>
            </w:pPr>
            <w:r>
              <w:rPr>
                <w:sz w:val="20"/>
              </w:rPr>
              <w:t xml:space="preserve">Доля вызовов для оказания медицинской помощи в неотложной форме, осуществленных медицинскими организациями, оказывающими первичную медико-санитарную помощь, в общем количестве вызовов, поступивших для оказания скорой медицинской помощи в неотложной форме</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вызовов для оказания медицинской помощи в неотложной форме, осуществленных медицинскими организациями, оказывающими первичную медико-санитарную помощь, к общему количеству вызовов, поступивших для оказания скорой медицинской помощи в неотложной форме,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2.4</w:t>
            </w:r>
          </w:p>
        </w:tc>
        <w:tc>
          <w:tcPr>
            <w:tcW w:w="3798" w:type="dxa"/>
          </w:tcPr>
          <w:p>
            <w:pPr>
              <w:pStyle w:val="0"/>
              <w:jc w:val="both"/>
            </w:pPr>
            <w:r>
              <w:rPr>
                <w:sz w:val="20"/>
              </w:rPr>
              <w:t xml:space="preserve">Строительство многопрофильного лечебно-диагностического корпуса онкологического диспансера, г. Севастополь</w:t>
            </w:r>
          </w:p>
        </w:tc>
        <w:tc>
          <w:tcPr>
            <w:tcW w:w="1984" w:type="dxa"/>
          </w:tcPr>
          <w:p>
            <w:pPr>
              <w:pStyle w:val="0"/>
              <w:jc w:val="center"/>
            </w:pPr>
            <w:r>
              <w:rPr>
                <w:sz w:val="20"/>
              </w:rPr>
              <w:t xml:space="preserve">-</w:t>
            </w:r>
          </w:p>
        </w:tc>
        <w:tc>
          <w:tcPr>
            <w:tcW w:w="4252" w:type="dxa"/>
          </w:tcPr>
          <w:p>
            <w:pPr>
              <w:pStyle w:val="0"/>
              <w:jc w:val="both"/>
            </w:pPr>
            <w:r>
              <w:rPr>
                <w:sz w:val="20"/>
              </w:rPr>
              <w:t xml:space="preserve">Фактическое количество. Ввод в эксплуатацию объекта здравоохранения</w:t>
            </w:r>
          </w:p>
        </w:tc>
        <w:tc>
          <w:tcPr>
            <w:tcW w:w="2891" w:type="dxa"/>
          </w:tcPr>
          <w:p>
            <w:pPr>
              <w:pStyle w:val="0"/>
              <w:jc w:val="both"/>
            </w:pPr>
            <w:r>
              <w:rPr>
                <w:sz w:val="20"/>
              </w:rPr>
              <w:t xml:space="preserve">Данные Департамента капитального строительства города Севастополя</w:t>
            </w:r>
          </w:p>
        </w:tc>
      </w:tr>
      <w:tr>
        <w:tc>
          <w:tcPr>
            <w:tcW w:w="680" w:type="dxa"/>
          </w:tcPr>
          <w:p>
            <w:pPr>
              <w:pStyle w:val="0"/>
              <w:jc w:val="both"/>
            </w:pPr>
            <w:r>
              <w:rPr>
                <w:sz w:val="20"/>
              </w:rPr>
              <w:t xml:space="preserve">2.5</w:t>
            </w:r>
          </w:p>
        </w:tc>
        <w:tc>
          <w:tcPr>
            <w:tcW w:w="3798" w:type="dxa"/>
          </w:tcPr>
          <w:p>
            <w:pPr>
              <w:pStyle w:val="0"/>
              <w:jc w:val="both"/>
            </w:pPr>
            <w:r>
              <w:rPr>
                <w:sz w:val="20"/>
              </w:rPr>
              <w:t xml:space="preserve">Строительство Севастопольской больницы скорой медицинской помощи</w:t>
            </w:r>
          </w:p>
        </w:tc>
        <w:tc>
          <w:tcPr>
            <w:tcW w:w="1984" w:type="dxa"/>
          </w:tcPr>
          <w:p>
            <w:pPr>
              <w:pStyle w:val="0"/>
              <w:jc w:val="center"/>
            </w:pPr>
            <w:r>
              <w:rPr>
                <w:sz w:val="20"/>
              </w:rPr>
              <w:t xml:space="preserve">-</w:t>
            </w:r>
          </w:p>
        </w:tc>
        <w:tc>
          <w:tcPr>
            <w:tcW w:w="4252" w:type="dxa"/>
          </w:tcPr>
          <w:p>
            <w:pPr>
              <w:pStyle w:val="0"/>
              <w:jc w:val="both"/>
            </w:pPr>
            <w:r>
              <w:rPr>
                <w:sz w:val="20"/>
              </w:rPr>
              <w:t xml:space="preserve">Фактическое количество. Ввод в эксплуатацию объекта здравоохранения</w:t>
            </w:r>
          </w:p>
        </w:tc>
        <w:tc>
          <w:tcPr>
            <w:tcW w:w="2891" w:type="dxa"/>
          </w:tcPr>
          <w:p>
            <w:pPr>
              <w:pStyle w:val="0"/>
              <w:jc w:val="both"/>
            </w:pPr>
            <w:r>
              <w:rPr>
                <w:sz w:val="20"/>
              </w:rPr>
              <w:t xml:space="preserve">Данные Департамента капитального строительства города Севастополя</w:t>
            </w:r>
          </w:p>
        </w:tc>
      </w:tr>
      <w:tr>
        <w:tc>
          <w:tcPr>
            <w:tcW w:w="680" w:type="dxa"/>
          </w:tcPr>
          <w:p>
            <w:pPr>
              <w:pStyle w:val="0"/>
              <w:jc w:val="both"/>
            </w:pPr>
            <w:r>
              <w:rPr>
                <w:sz w:val="20"/>
              </w:rPr>
              <w:t xml:space="preserve">2.6</w:t>
            </w:r>
          </w:p>
        </w:tc>
        <w:tc>
          <w:tcPr>
            <w:tcW w:w="3798" w:type="dxa"/>
          </w:tcPr>
          <w:p>
            <w:pPr>
              <w:pStyle w:val="0"/>
              <w:jc w:val="both"/>
            </w:pPr>
            <w:r>
              <w:rPr>
                <w:sz w:val="20"/>
              </w:rPr>
              <w:t xml:space="preserve">Строительство городской инфекционной больницы на 200 коек</w:t>
            </w:r>
          </w:p>
        </w:tc>
        <w:tc>
          <w:tcPr>
            <w:tcW w:w="1984" w:type="dxa"/>
          </w:tcPr>
          <w:p>
            <w:pPr>
              <w:pStyle w:val="0"/>
              <w:jc w:val="center"/>
            </w:pPr>
            <w:r>
              <w:rPr>
                <w:sz w:val="20"/>
              </w:rPr>
              <w:t xml:space="preserve">-</w:t>
            </w:r>
          </w:p>
        </w:tc>
        <w:tc>
          <w:tcPr>
            <w:tcW w:w="4252" w:type="dxa"/>
          </w:tcPr>
          <w:p>
            <w:pPr>
              <w:pStyle w:val="0"/>
              <w:jc w:val="both"/>
            </w:pPr>
            <w:r>
              <w:rPr>
                <w:sz w:val="20"/>
              </w:rPr>
              <w:t xml:space="preserve">Фактическое количество. Ввод в эксплуатацию объекта здравоохранения</w:t>
            </w:r>
          </w:p>
        </w:tc>
        <w:tc>
          <w:tcPr>
            <w:tcW w:w="2891" w:type="dxa"/>
          </w:tcPr>
          <w:p>
            <w:pPr>
              <w:pStyle w:val="0"/>
              <w:jc w:val="both"/>
            </w:pPr>
            <w:r>
              <w:rPr>
                <w:sz w:val="20"/>
              </w:rPr>
              <w:t xml:space="preserve">Данные Департамента капитального строительства города Севастополя</w:t>
            </w:r>
          </w:p>
        </w:tc>
      </w:tr>
      <w:tr>
        <w:tc>
          <w:tcPr>
            <w:tcW w:w="680" w:type="dxa"/>
          </w:tcPr>
          <w:p>
            <w:pPr>
              <w:pStyle w:val="0"/>
              <w:jc w:val="both"/>
            </w:pPr>
            <w:r>
              <w:rPr>
                <w:sz w:val="20"/>
              </w:rPr>
              <w:t xml:space="preserve">2.7</w:t>
            </w:r>
          </w:p>
        </w:tc>
        <w:tc>
          <w:tcPr>
            <w:tcW w:w="3798" w:type="dxa"/>
          </w:tcPr>
          <w:p>
            <w:pPr>
              <w:pStyle w:val="0"/>
              <w:jc w:val="both"/>
            </w:pPr>
            <w:r>
              <w:rPr>
                <w:sz w:val="20"/>
              </w:rPr>
              <w:t xml:space="preserve">Строительство подстанции N 2 ГБУЗС "Севастопольский центр экстренной медицинской помощи и медицины катастроф", пр-т Генерала Острякова</w:t>
            </w:r>
          </w:p>
        </w:tc>
        <w:tc>
          <w:tcPr>
            <w:tcW w:w="1984" w:type="dxa"/>
          </w:tcPr>
          <w:p>
            <w:pPr>
              <w:pStyle w:val="0"/>
              <w:jc w:val="center"/>
            </w:pPr>
            <w:r>
              <w:rPr>
                <w:sz w:val="20"/>
              </w:rPr>
              <w:t xml:space="preserve">-</w:t>
            </w:r>
          </w:p>
        </w:tc>
        <w:tc>
          <w:tcPr>
            <w:tcW w:w="4252" w:type="dxa"/>
          </w:tcPr>
          <w:p>
            <w:pPr>
              <w:pStyle w:val="0"/>
              <w:jc w:val="both"/>
            </w:pPr>
            <w:r>
              <w:rPr>
                <w:sz w:val="20"/>
              </w:rPr>
              <w:t xml:space="preserve">Фактическое количество. Ввод в эксплуатацию объекта здравоохранения</w:t>
            </w:r>
          </w:p>
        </w:tc>
        <w:tc>
          <w:tcPr>
            <w:tcW w:w="2891" w:type="dxa"/>
          </w:tcPr>
          <w:p>
            <w:pPr>
              <w:pStyle w:val="0"/>
              <w:jc w:val="both"/>
            </w:pPr>
            <w:r>
              <w:rPr>
                <w:sz w:val="20"/>
              </w:rPr>
              <w:t xml:space="preserve">Данные Департамента капитального строительства города Севастополя</w:t>
            </w:r>
          </w:p>
        </w:tc>
      </w:tr>
      <w:tr>
        <w:tc>
          <w:tcPr>
            <w:tcW w:w="680" w:type="dxa"/>
          </w:tcPr>
          <w:p>
            <w:pPr>
              <w:pStyle w:val="0"/>
              <w:jc w:val="both"/>
            </w:pPr>
            <w:r>
              <w:rPr>
                <w:sz w:val="20"/>
              </w:rPr>
              <w:t xml:space="preserve">2.8</w:t>
            </w:r>
          </w:p>
        </w:tc>
        <w:tc>
          <w:tcPr>
            <w:tcW w:w="3798" w:type="dxa"/>
          </w:tcPr>
          <w:p>
            <w:pPr>
              <w:pStyle w:val="0"/>
              <w:jc w:val="both"/>
            </w:pPr>
            <w:r>
              <w:rPr>
                <w:sz w:val="20"/>
              </w:rPr>
              <w:t xml:space="preserve">Строительство подстанции N 10 ГБУЗС "Севастопольский центр экстренной медицинской помощи и медицины катастроф", Фиолентовское шоссе</w:t>
            </w:r>
          </w:p>
        </w:tc>
        <w:tc>
          <w:tcPr>
            <w:tcW w:w="1984" w:type="dxa"/>
          </w:tcPr>
          <w:p>
            <w:pPr>
              <w:pStyle w:val="0"/>
              <w:jc w:val="center"/>
            </w:pPr>
            <w:r>
              <w:rPr>
                <w:sz w:val="20"/>
              </w:rPr>
              <w:t xml:space="preserve">-</w:t>
            </w:r>
          </w:p>
        </w:tc>
        <w:tc>
          <w:tcPr>
            <w:tcW w:w="4252" w:type="dxa"/>
          </w:tcPr>
          <w:p>
            <w:pPr>
              <w:pStyle w:val="0"/>
              <w:jc w:val="both"/>
            </w:pPr>
            <w:r>
              <w:rPr>
                <w:sz w:val="20"/>
              </w:rPr>
              <w:t xml:space="preserve">Фактическое количество. Ввод в эксплуатацию объекта здравоохранения</w:t>
            </w:r>
          </w:p>
        </w:tc>
        <w:tc>
          <w:tcPr>
            <w:tcW w:w="2891" w:type="dxa"/>
          </w:tcPr>
          <w:p>
            <w:pPr>
              <w:pStyle w:val="0"/>
              <w:jc w:val="both"/>
            </w:pPr>
            <w:r>
              <w:rPr>
                <w:sz w:val="20"/>
              </w:rPr>
              <w:t xml:space="preserve">Данные Департамента капитального строительства города Севастополя</w:t>
            </w:r>
          </w:p>
        </w:tc>
      </w:tr>
      <w:tr>
        <w:tc>
          <w:tcPr>
            <w:tcW w:w="680" w:type="dxa"/>
          </w:tcPr>
          <w:p>
            <w:pPr>
              <w:pStyle w:val="0"/>
              <w:jc w:val="both"/>
            </w:pPr>
            <w:r>
              <w:rPr>
                <w:sz w:val="20"/>
              </w:rPr>
              <w:t xml:space="preserve">2.9</w:t>
            </w:r>
          </w:p>
        </w:tc>
        <w:tc>
          <w:tcPr>
            <w:tcW w:w="3798" w:type="dxa"/>
          </w:tcPr>
          <w:p>
            <w:pPr>
              <w:pStyle w:val="0"/>
              <w:jc w:val="both"/>
            </w:pPr>
            <w:r>
              <w:rPr>
                <w:sz w:val="20"/>
              </w:rPr>
              <w:t xml:space="preserve">Строительство подстанции N 1 ГБУЗС "Севастопольский центр экстренной медицинской помощи и медицины катастроф", пр-т Победы</w:t>
            </w:r>
          </w:p>
        </w:tc>
        <w:tc>
          <w:tcPr>
            <w:tcW w:w="1984" w:type="dxa"/>
          </w:tcPr>
          <w:p>
            <w:pPr>
              <w:pStyle w:val="0"/>
              <w:jc w:val="center"/>
            </w:pPr>
            <w:r>
              <w:rPr>
                <w:sz w:val="20"/>
              </w:rPr>
              <w:t xml:space="preserve">-</w:t>
            </w:r>
          </w:p>
        </w:tc>
        <w:tc>
          <w:tcPr>
            <w:tcW w:w="4252" w:type="dxa"/>
          </w:tcPr>
          <w:p>
            <w:pPr>
              <w:pStyle w:val="0"/>
              <w:jc w:val="both"/>
            </w:pPr>
            <w:r>
              <w:rPr>
                <w:sz w:val="20"/>
              </w:rPr>
              <w:t xml:space="preserve">Фактическое количество. Ввод в эксплуатацию объекта здравоохранения</w:t>
            </w:r>
          </w:p>
        </w:tc>
        <w:tc>
          <w:tcPr>
            <w:tcW w:w="2891" w:type="dxa"/>
          </w:tcPr>
          <w:p>
            <w:pPr>
              <w:pStyle w:val="0"/>
              <w:jc w:val="both"/>
            </w:pPr>
            <w:r>
              <w:rPr>
                <w:sz w:val="20"/>
              </w:rPr>
              <w:t xml:space="preserve">Данные Департамента капитального строительства города Севастополя</w:t>
            </w:r>
          </w:p>
        </w:tc>
      </w:tr>
      <w:tr>
        <w:tc>
          <w:tcPr>
            <w:tcW w:w="680" w:type="dxa"/>
          </w:tcPr>
          <w:p>
            <w:pPr>
              <w:pStyle w:val="0"/>
              <w:jc w:val="both"/>
            </w:pPr>
            <w:r>
              <w:rPr>
                <w:sz w:val="20"/>
              </w:rPr>
              <w:t xml:space="preserve">2.10</w:t>
            </w:r>
          </w:p>
        </w:tc>
        <w:tc>
          <w:tcPr>
            <w:tcW w:w="3798" w:type="dxa"/>
          </w:tcPr>
          <w:p>
            <w:pPr>
              <w:pStyle w:val="0"/>
              <w:jc w:val="both"/>
            </w:pPr>
            <w:r>
              <w:rPr>
                <w:sz w:val="20"/>
              </w:rPr>
              <w:t xml:space="preserve">ГБУЗС "Городская больница N 4", строительство палатного корпуса на 140 коек</w:t>
            </w:r>
          </w:p>
        </w:tc>
        <w:tc>
          <w:tcPr>
            <w:tcW w:w="1984" w:type="dxa"/>
          </w:tcPr>
          <w:p>
            <w:pPr>
              <w:pStyle w:val="0"/>
              <w:jc w:val="center"/>
            </w:pPr>
            <w:r>
              <w:rPr>
                <w:sz w:val="20"/>
              </w:rPr>
              <w:t xml:space="preserve">-</w:t>
            </w:r>
          </w:p>
        </w:tc>
        <w:tc>
          <w:tcPr>
            <w:tcW w:w="4252" w:type="dxa"/>
          </w:tcPr>
          <w:p>
            <w:pPr>
              <w:pStyle w:val="0"/>
              <w:jc w:val="both"/>
            </w:pPr>
            <w:r>
              <w:rPr>
                <w:sz w:val="20"/>
              </w:rPr>
              <w:t xml:space="preserve">Фактическое количество. Ввод в эксплуатацию объекта здравоохранения</w:t>
            </w:r>
          </w:p>
        </w:tc>
        <w:tc>
          <w:tcPr>
            <w:tcW w:w="2891" w:type="dxa"/>
          </w:tcPr>
          <w:p>
            <w:pPr>
              <w:pStyle w:val="0"/>
              <w:jc w:val="both"/>
            </w:pPr>
            <w:r>
              <w:rPr>
                <w:sz w:val="20"/>
              </w:rPr>
              <w:t xml:space="preserve">Данные Департамента капитального строительства города Севастополя</w:t>
            </w:r>
          </w:p>
        </w:tc>
      </w:tr>
      <w:tr>
        <w:tc>
          <w:tcPr>
            <w:tcW w:w="680" w:type="dxa"/>
          </w:tcPr>
          <w:p>
            <w:pPr>
              <w:pStyle w:val="0"/>
              <w:jc w:val="both"/>
            </w:pPr>
            <w:r>
              <w:rPr>
                <w:sz w:val="20"/>
              </w:rPr>
              <w:t xml:space="preserve">3.1</w:t>
            </w:r>
          </w:p>
        </w:tc>
        <w:tc>
          <w:tcPr>
            <w:tcW w:w="3798" w:type="dxa"/>
          </w:tcPr>
          <w:p>
            <w:pPr>
              <w:pStyle w:val="0"/>
              <w:jc w:val="both"/>
            </w:pPr>
            <w:r>
              <w:rPr>
                <w:sz w:val="20"/>
              </w:rPr>
              <w:t xml:space="preserve">Материнская смертность (случаев на 100 тыс. детей, родившихся живыми)</w:t>
            </w:r>
          </w:p>
        </w:tc>
        <w:tc>
          <w:tcPr>
            <w:tcW w:w="1984" w:type="dxa"/>
          </w:tcPr>
          <w:p>
            <w:pPr>
              <w:pStyle w:val="0"/>
              <w:jc w:val="both"/>
            </w:pPr>
            <w:r>
              <w:rPr>
                <w:sz w:val="20"/>
              </w:rPr>
              <w:t xml:space="preserve">человек</w:t>
            </w:r>
          </w:p>
        </w:tc>
        <w:tc>
          <w:tcPr>
            <w:tcW w:w="4252" w:type="dxa"/>
          </w:tcPr>
          <w:p>
            <w:pPr>
              <w:pStyle w:val="0"/>
              <w:jc w:val="both"/>
            </w:pPr>
            <w:r>
              <w:rPr>
                <w:sz w:val="20"/>
              </w:rPr>
              <w:t xml:space="preserve">Отношение числа случаев зарегистрированных материнских смертей к количеству рожденных живыми детей в отчетном периоде, умноженное на 100 000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3.2</w:t>
            </w:r>
          </w:p>
        </w:tc>
        <w:tc>
          <w:tcPr>
            <w:tcW w:w="3798" w:type="dxa"/>
          </w:tcPr>
          <w:p>
            <w:pPr>
              <w:pStyle w:val="0"/>
              <w:jc w:val="both"/>
            </w:pPr>
            <w:r>
              <w:rPr>
                <w:sz w:val="20"/>
              </w:rPr>
              <w:t xml:space="preserve">Охват неонатальным скринингом (доля новорожденных, обследованных на врожденные и наследственные заболевания, в общем числе детей, родившихся живыми)</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новорожденных детей, обследованных на врожденные и наследственные заболевания, к общему числу детей, родившихся живыми в отчетном периоде</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3.3</w:t>
            </w:r>
          </w:p>
        </w:tc>
        <w:tc>
          <w:tcPr>
            <w:tcW w:w="3798" w:type="dxa"/>
          </w:tcPr>
          <w:p>
            <w:pPr>
              <w:pStyle w:val="0"/>
              <w:jc w:val="both"/>
            </w:pPr>
            <w:r>
              <w:rPr>
                <w:sz w:val="20"/>
              </w:rPr>
              <w:t xml:space="preserve">Ранняя неонатальная смертность</w:t>
            </w:r>
          </w:p>
        </w:tc>
        <w:tc>
          <w:tcPr>
            <w:tcW w:w="1984" w:type="dxa"/>
          </w:tcPr>
          <w:p>
            <w:pPr>
              <w:pStyle w:val="0"/>
              <w:jc w:val="both"/>
            </w:pPr>
            <w:r>
              <w:rPr>
                <w:sz w:val="20"/>
              </w:rPr>
              <w:t xml:space="preserve">человек</w:t>
            </w:r>
          </w:p>
        </w:tc>
        <w:tc>
          <w:tcPr>
            <w:tcW w:w="4252" w:type="dxa"/>
          </w:tcPr>
          <w:p>
            <w:pPr>
              <w:pStyle w:val="0"/>
              <w:jc w:val="both"/>
            </w:pPr>
            <w:r>
              <w:rPr>
                <w:sz w:val="20"/>
              </w:rPr>
              <w:t xml:space="preserve">Фактическое количество</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3.4</w:t>
            </w:r>
          </w:p>
        </w:tc>
        <w:tc>
          <w:tcPr>
            <w:tcW w:w="3798" w:type="dxa"/>
          </w:tcPr>
          <w:p>
            <w:pPr>
              <w:pStyle w:val="0"/>
              <w:jc w:val="both"/>
            </w:pPr>
            <w:r>
              <w:rPr>
                <w:sz w:val="20"/>
              </w:rPr>
              <w:t xml:space="preserve">Выживаемость детей, имевших при рождении очень низкую и экстремально низкую массу тела, в акушерском стационаре (доля выживших детей в числе новорожденных, родившихся с очень низкой и экстремально низкой массой тела, в акушерском стационаре)</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выживших детей к общему количеству новорожденных, родившихся с очень низкой и экстремально низкой массой тела, в акушерском стационаре,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3.5</w:t>
            </w:r>
          </w:p>
        </w:tc>
        <w:tc>
          <w:tcPr>
            <w:tcW w:w="3798" w:type="dxa"/>
          </w:tcPr>
          <w:p>
            <w:pPr>
              <w:pStyle w:val="0"/>
              <w:jc w:val="both"/>
            </w:pPr>
            <w:r>
              <w:rPr>
                <w:sz w:val="20"/>
              </w:rPr>
              <w:t xml:space="preserve">Проведение химиопрофилактики передачи ВИЧ-инфекции от матери</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пар мать-ребенок ВИЧ-инфицированных беременных женщин, получивших полный курс химиопрофилактики во время беременности, к числу ВИЧ-инфицированных беременных женщин, закончивших беременность родами,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3.6</w:t>
            </w:r>
          </w:p>
        </w:tc>
        <w:tc>
          <w:tcPr>
            <w:tcW w:w="3798" w:type="dxa"/>
          </w:tcPr>
          <w:p>
            <w:pPr>
              <w:pStyle w:val="0"/>
              <w:jc w:val="both"/>
            </w:pPr>
            <w:r>
              <w:rPr>
                <w:sz w:val="20"/>
              </w:rPr>
              <w:t xml:space="preserve">Число абортов (на 1000 женщин в возрасте от 15 - 49 лет)</w:t>
            </w:r>
          </w:p>
        </w:tc>
        <w:tc>
          <w:tcPr>
            <w:tcW w:w="1984" w:type="dxa"/>
          </w:tcPr>
          <w:p>
            <w:pPr>
              <w:pStyle w:val="0"/>
              <w:jc w:val="both"/>
            </w:pPr>
            <w:r>
              <w:rPr>
                <w:sz w:val="20"/>
              </w:rPr>
              <w:t xml:space="preserve">единиц</w:t>
            </w:r>
          </w:p>
        </w:tc>
        <w:tc>
          <w:tcPr>
            <w:tcW w:w="4252" w:type="dxa"/>
          </w:tcPr>
          <w:p>
            <w:pPr>
              <w:pStyle w:val="0"/>
              <w:jc w:val="both"/>
            </w:pPr>
            <w:r>
              <w:rPr>
                <w:sz w:val="20"/>
              </w:rPr>
              <w:t xml:space="preserve">Фактическое количество</w:t>
            </w:r>
          </w:p>
        </w:tc>
        <w:tc>
          <w:tcPr>
            <w:tcW w:w="2891" w:type="dxa"/>
          </w:tcPr>
          <w:p>
            <w:pPr>
              <w:pStyle w:val="0"/>
              <w:jc w:val="both"/>
            </w:pPr>
            <w:r>
              <w:rPr>
                <w:sz w:val="20"/>
              </w:rPr>
              <w:t xml:space="preserve">Федеральная форма статистического наблюдения N 13 "Сведения о беременности с абортивным исходом" заполняется полностью</w:t>
            </w:r>
          </w:p>
        </w:tc>
      </w:tr>
      <w:tr>
        <w:tc>
          <w:tcPr>
            <w:tcW w:w="680" w:type="dxa"/>
          </w:tcPr>
          <w:p>
            <w:pPr>
              <w:pStyle w:val="0"/>
              <w:jc w:val="both"/>
            </w:pPr>
            <w:r>
              <w:rPr>
                <w:sz w:val="20"/>
              </w:rPr>
              <w:t xml:space="preserve">4.1</w:t>
            </w:r>
          </w:p>
        </w:tc>
        <w:tc>
          <w:tcPr>
            <w:tcW w:w="3798" w:type="dxa"/>
          </w:tcPr>
          <w:p>
            <w:pPr>
              <w:pStyle w:val="0"/>
              <w:jc w:val="both"/>
            </w:pPr>
            <w:r>
              <w:rPr>
                <w:sz w:val="20"/>
              </w:rPr>
              <w:t xml:space="preserve">Охват медицинской реабилитацией детей после оказания специализированной медицинской помощи</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детей, получивших медицинскую реабилитацию после оказания специализированной медицинской помощи в отчетном году, к общему количеству детей после оказания специализированной медицинской помощи, нуждающихся в медицинской реабилитации в отчетном году,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4.2</w:t>
            </w:r>
          </w:p>
        </w:tc>
        <w:tc>
          <w:tcPr>
            <w:tcW w:w="3798" w:type="dxa"/>
          </w:tcPr>
          <w:p>
            <w:pPr>
              <w:pStyle w:val="0"/>
              <w:jc w:val="both"/>
            </w:pPr>
            <w:r>
              <w:rPr>
                <w:sz w:val="20"/>
              </w:rPr>
              <w:t xml:space="preserve">Охват медицинской реабилитацией детей-инвалидов из числа нуждающихся</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детей-инвалидов, получивших медицинскую реабилитацию в отчетном году, к количеству детей-инвалидов, нуждающихся в медицинской реабилитации в отчетном году,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4.3</w:t>
            </w:r>
          </w:p>
        </w:tc>
        <w:tc>
          <w:tcPr>
            <w:tcW w:w="3798" w:type="dxa"/>
          </w:tcPr>
          <w:p>
            <w:pPr>
              <w:pStyle w:val="0"/>
              <w:jc w:val="both"/>
            </w:pPr>
            <w:r>
              <w:rPr>
                <w:sz w:val="20"/>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случаев оказания медицинской помощи по медицинской реабилитации в соответствующем году к числу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умноженное на 100</w:t>
            </w:r>
          </w:p>
        </w:tc>
        <w:tc>
          <w:tcPr>
            <w:tcW w:w="2891" w:type="dxa"/>
          </w:tcPr>
          <w:p>
            <w:pPr>
              <w:pStyle w:val="0"/>
              <w:jc w:val="both"/>
            </w:pPr>
            <w:r>
              <w:rPr>
                <w:sz w:val="20"/>
              </w:rPr>
              <w:t xml:space="preserve">Государственная информационная система обязательного медицинского страхования, форма статистического наблюдения N 14-МЕД (ОМС)</w:t>
            </w:r>
          </w:p>
        </w:tc>
      </w:tr>
      <w:tr>
        <w:tc>
          <w:tcPr>
            <w:tcW w:w="680" w:type="dxa"/>
          </w:tcPr>
          <w:p>
            <w:pPr>
              <w:pStyle w:val="0"/>
              <w:jc w:val="both"/>
            </w:pPr>
            <w:r>
              <w:rPr>
                <w:sz w:val="20"/>
              </w:rPr>
              <w:t xml:space="preserve">4.4</w:t>
            </w:r>
          </w:p>
        </w:tc>
        <w:tc>
          <w:tcPr>
            <w:tcW w:w="3798" w:type="dxa"/>
          </w:tcPr>
          <w:p>
            <w:pPr>
              <w:pStyle w:val="0"/>
              <w:jc w:val="both"/>
            </w:pPr>
            <w:r>
              <w:rPr>
                <w:sz w:val="20"/>
              </w:rPr>
              <w:t xml:space="preserve">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случаев оказания медицинской помощи по медицинской реабилитации в амбулаторных условиях к числу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умноженное на 100</w:t>
            </w:r>
          </w:p>
        </w:tc>
        <w:tc>
          <w:tcPr>
            <w:tcW w:w="2891" w:type="dxa"/>
          </w:tcPr>
          <w:p>
            <w:pPr>
              <w:pStyle w:val="0"/>
              <w:jc w:val="both"/>
            </w:pPr>
            <w:r>
              <w:rPr>
                <w:sz w:val="20"/>
              </w:rPr>
              <w:t xml:space="preserve">Государственная информационная система обязательного медицинского страхования, форма статистического наблюдения N 14-МЕД (ОМС)</w:t>
            </w:r>
          </w:p>
        </w:tc>
      </w:tr>
      <w:tr>
        <w:tc>
          <w:tcPr>
            <w:tcW w:w="680" w:type="dxa"/>
          </w:tcPr>
          <w:p>
            <w:pPr>
              <w:pStyle w:val="0"/>
              <w:jc w:val="both"/>
            </w:pPr>
            <w:r>
              <w:rPr>
                <w:sz w:val="20"/>
              </w:rPr>
              <w:t xml:space="preserve">4.5</w:t>
            </w:r>
          </w:p>
        </w:tc>
        <w:tc>
          <w:tcPr>
            <w:tcW w:w="3798" w:type="dxa"/>
          </w:tcPr>
          <w:p>
            <w:pPr>
              <w:pStyle w:val="0"/>
              <w:jc w:val="both"/>
            </w:pPr>
            <w:r>
              <w:rPr>
                <w:sz w:val="20"/>
              </w:rPr>
              <w:t xml:space="preserve">Доля оснащенных современным медицинским оборудованием медицинских организаций, осуществляющих медицинскую реабилитацию (%)</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отделений медицинской реабилитации, оснащенных (дооснащенных и (или) переоснащенных) в рамках федерального проекта в соответствии со стандартами оснащения, утвержденными порядками организации медицинской реабилитации взрослых и детей, к числу оснащаемых (дооснащаемых и (или) переоснащаемых) отделений региональных медицинских организаций, участвующих в соответствующем мероприятии федерального проекта "Оснащены (дооснащены и (или) переоснащены) медицинскими изделиями региональные медицинские организации, имеющие в своей структуре подразделения, оказывающие медицинскую помощь по медицинской реабилитации в соответствии с порядками организации медицинской реабилитации взрослых и детей", умноженное на 100</w:t>
            </w:r>
          </w:p>
        </w:tc>
        <w:tc>
          <w:tcPr>
            <w:tcW w:w="2891" w:type="dxa"/>
          </w:tcPr>
          <w:p>
            <w:pPr>
              <w:pStyle w:val="0"/>
              <w:jc w:val="both"/>
            </w:pPr>
            <w:r>
              <w:rPr>
                <w:sz w:val="20"/>
              </w:rPr>
              <w:t xml:space="preserve">Государственная интегрированная информационная система управления общественными финансами "Электронный бюджет", Автоматизированная система медицинской статистики</w:t>
            </w:r>
          </w:p>
        </w:tc>
      </w:tr>
      <w:tr>
        <w:tc>
          <w:tcPr>
            <w:tcW w:w="680" w:type="dxa"/>
          </w:tcPr>
          <w:p>
            <w:pPr>
              <w:pStyle w:val="0"/>
              <w:jc w:val="both"/>
            </w:pPr>
            <w:r>
              <w:rPr>
                <w:sz w:val="20"/>
              </w:rPr>
              <w:t xml:space="preserve">4.6</w:t>
            </w:r>
          </w:p>
        </w:tc>
        <w:tc>
          <w:tcPr>
            <w:tcW w:w="3798" w:type="dxa"/>
          </w:tcPr>
          <w:p>
            <w:pPr>
              <w:pStyle w:val="0"/>
              <w:jc w:val="both"/>
            </w:pPr>
            <w:r>
              <w:rPr>
                <w:sz w:val="20"/>
              </w:rPr>
              <w:t xml:space="preserve">Охват граждан информацией о возможностях медицинской реабилитации в личном кабинете "Мое здоровье" на Едином портале государственных и муниципальных услуг (функций)</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граждан, проинформированных о возможностях медицинской реабилитации в личном кабинете пациента "Мое здоровье" на Едином портале государственных и муниципальных услуг (функций), к числу населения Российской Федерации, умноженное на 100</w:t>
            </w:r>
          </w:p>
        </w:tc>
        <w:tc>
          <w:tcPr>
            <w:tcW w:w="2891" w:type="dxa"/>
          </w:tcPr>
          <w:p>
            <w:pPr>
              <w:pStyle w:val="0"/>
              <w:jc w:val="both"/>
            </w:pPr>
            <w:r>
              <w:rPr>
                <w:sz w:val="20"/>
              </w:rPr>
              <w:t xml:space="preserve">Федеральная служба статистики, Федеральная государственная информационная система "Единый портал государственных и муниципальных услуг (функций)"</w:t>
            </w:r>
          </w:p>
        </w:tc>
      </w:tr>
      <w:tr>
        <w:tc>
          <w:tcPr>
            <w:tcW w:w="680" w:type="dxa"/>
          </w:tcPr>
          <w:p>
            <w:pPr>
              <w:pStyle w:val="0"/>
              <w:jc w:val="both"/>
            </w:pPr>
            <w:r>
              <w:rPr>
                <w:sz w:val="20"/>
              </w:rPr>
              <w:t xml:space="preserve">5.1</w:t>
            </w:r>
          </w:p>
        </w:tc>
        <w:tc>
          <w:tcPr>
            <w:tcW w:w="3798" w:type="dxa"/>
          </w:tcPr>
          <w:p>
            <w:pPr>
              <w:pStyle w:val="0"/>
              <w:jc w:val="both"/>
            </w:pPr>
            <w:r>
              <w:rPr>
                <w:sz w:val="20"/>
              </w:rPr>
              <w:t xml:space="preserve">Доля оснащения ГБУЗС "Севастопольское городское бюро судебно-медицинской экспертизы" оборудованием согласно требованиям законодательства</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фактического оборудования, которым оснащено ГБУЗС "Севастопольское городское бюро судебно-медицинской экспертизы", к требуемому количеству согласно требованиям законодательства</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6.1</w:t>
            </w:r>
          </w:p>
        </w:tc>
        <w:tc>
          <w:tcPr>
            <w:tcW w:w="3798" w:type="dxa"/>
          </w:tcPr>
          <w:p>
            <w:pPr>
              <w:pStyle w:val="0"/>
              <w:jc w:val="both"/>
            </w:pPr>
            <w:r>
              <w:rPr>
                <w:sz w:val="20"/>
              </w:rPr>
              <w:t xml:space="preserve">Доля отчетной медицинской документации, представленной в электронном виде в соответствии с едиными стандартами</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отчетной медицинской документации, представленной в электронном виде, к общему количеству представленной отчетной медицинской документации,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6.2</w:t>
            </w:r>
          </w:p>
        </w:tc>
        <w:tc>
          <w:tcPr>
            <w:tcW w:w="3798" w:type="dxa"/>
          </w:tcPr>
          <w:p>
            <w:pPr>
              <w:pStyle w:val="0"/>
              <w:jc w:val="both"/>
            </w:pPr>
            <w:r>
              <w:rPr>
                <w:sz w:val="20"/>
              </w:rPr>
              <w:t xml:space="preserve">Обеспеченность государственных учреждений здравоохранения системами комплексной безопасности</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государственных учреждений здравоохранения, обеспеченных системами комплексной безопасности, к общему количеству государственных учреждений здравоохранения,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7.1</w:t>
            </w:r>
          </w:p>
        </w:tc>
        <w:tc>
          <w:tcPr>
            <w:tcW w:w="3798" w:type="dxa"/>
          </w:tcPr>
          <w:p>
            <w:pPr>
              <w:pStyle w:val="0"/>
              <w:jc w:val="both"/>
            </w:pPr>
            <w:r>
              <w:rPr>
                <w:sz w:val="20"/>
              </w:rPr>
              <w:t xml:space="preserve">Доля медицинских и фармацевтических работников, обучавшихся в рамках целевой подготовки для нужд города Севастополя, трудоустроившихся после завершения обучения в медицинские или фармацевтические организации государственной и муниципальной систем здравоохранения города Севастополя</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фактического числа трудоустроенных после завершения обучения в медицинские или фармацевтические организации государственной и муниципальной систем здравоохранения города Севастополя выпускников, завершивших обучение в рамках целевой подготовки, к числу выпускников, завершивших обучение в рамках целевой подготовки,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7.2</w:t>
            </w:r>
          </w:p>
        </w:tc>
        <w:tc>
          <w:tcPr>
            <w:tcW w:w="3798" w:type="dxa"/>
          </w:tcPr>
          <w:p>
            <w:pPr>
              <w:pStyle w:val="0"/>
              <w:jc w:val="both"/>
            </w:pPr>
            <w:r>
              <w:rPr>
                <w:sz w:val="20"/>
              </w:rPr>
              <w:t xml:space="preserve">Отношение среднемесячной номинальной начисленной заработной платы работников государственных (муниципальных) учреждений здравоохранения к среднемесячной номинальной заработной плате работников, занятых в сфере экономики региона</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среднемесячной номинальной начисленной заработной платы работников государственных (муниципальных) учреждений здравоохранения к среднемесячной заработной плате работников, занятых в сфере экономики региона, умноженное на 100</w:t>
            </w:r>
          </w:p>
        </w:tc>
        <w:tc>
          <w:tcPr>
            <w:tcW w:w="2891" w:type="dxa"/>
          </w:tcPr>
          <w:p>
            <w:pPr>
              <w:pStyle w:val="0"/>
              <w:jc w:val="both"/>
            </w:pPr>
            <w:hyperlink w:history="0" r:id="rId1007"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Пункт 2.1</w:t>
              </w:r>
            </w:hyperlink>
            <w:r>
              <w:rPr>
                <w:sz w:val="20"/>
              </w:rPr>
              <w:t xml:space="preserve"> ФПСР</w:t>
            </w:r>
          </w:p>
        </w:tc>
      </w:tr>
      <w:tr>
        <w:tc>
          <w:tcPr>
            <w:tcW w:w="680" w:type="dxa"/>
          </w:tcPr>
          <w:p>
            <w:pPr>
              <w:pStyle w:val="0"/>
              <w:jc w:val="both"/>
            </w:pPr>
            <w:r>
              <w:rPr>
                <w:sz w:val="20"/>
              </w:rPr>
              <w:t xml:space="preserve">7.3</w:t>
            </w:r>
          </w:p>
        </w:tc>
        <w:tc>
          <w:tcPr>
            <w:tcW w:w="3798" w:type="dxa"/>
          </w:tcPr>
          <w:p>
            <w:pPr>
              <w:pStyle w:val="0"/>
              <w:jc w:val="both"/>
            </w:pPr>
            <w:r>
              <w:rPr>
                <w:sz w:val="20"/>
              </w:rPr>
              <w:t xml:space="preserve">Численность врачей, работающих в государственных медицинских организациях города Севастополя</w:t>
            </w:r>
          </w:p>
        </w:tc>
        <w:tc>
          <w:tcPr>
            <w:tcW w:w="1984" w:type="dxa"/>
          </w:tcPr>
          <w:p>
            <w:pPr>
              <w:pStyle w:val="0"/>
              <w:jc w:val="both"/>
            </w:pPr>
            <w:r>
              <w:rPr>
                <w:sz w:val="20"/>
              </w:rPr>
              <w:t xml:space="preserve">чел.</w:t>
            </w:r>
          </w:p>
        </w:tc>
        <w:tc>
          <w:tcPr>
            <w:tcW w:w="4252" w:type="dxa"/>
          </w:tcPr>
          <w:p>
            <w:pPr>
              <w:pStyle w:val="0"/>
              <w:jc w:val="both"/>
            </w:pPr>
            <w:r>
              <w:rPr>
                <w:sz w:val="20"/>
              </w:rPr>
              <w:t xml:space="preserve">Фактическое количество</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7.4</w:t>
            </w:r>
          </w:p>
        </w:tc>
        <w:tc>
          <w:tcPr>
            <w:tcW w:w="3798" w:type="dxa"/>
          </w:tcPr>
          <w:p>
            <w:pPr>
              <w:pStyle w:val="0"/>
              <w:jc w:val="both"/>
            </w:pPr>
            <w:r>
              <w:rPr>
                <w:sz w:val="20"/>
              </w:rPr>
              <w:t xml:space="preserve">Численность средних медицинских работников, работающих в государственных медицинских организациях города Севастополя</w:t>
            </w:r>
          </w:p>
        </w:tc>
        <w:tc>
          <w:tcPr>
            <w:tcW w:w="1984" w:type="dxa"/>
          </w:tcPr>
          <w:p>
            <w:pPr>
              <w:pStyle w:val="0"/>
              <w:jc w:val="both"/>
            </w:pPr>
            <w:r>
              <w:rPr>
                <w:sz w:val="20"/>
              </w:rPr>
              <w:t xml:space="preserve">чел.</w:t>
            </w:r>
          </w:p>
        </w:tc>
        <w:tc>
          <w:tcPr>
            <w:tcW w:w="4252" w:type="dxa"/>
          </w:tcPr>
          <w:p>
            <w:pPr>
              <w:pStyle w:val="0"/>
              <w:jc w:val="both"/>
            </w:pPr>
            <w:r>
              <w:rPr>
                <w:sz w:val="20"/>
              </w:rPr>
              <w:t xml:space="preserve">Фактическое количество</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8.1</w:t>
            </w:r>
          </w:p>
        </w:tc>
        <w:tc>
          <w:tcPr>
            <w:tcW w:w="3798" w:type="dxa"/>
          </w:tcPr>
          <w:p>
            <w:pPr>
              <w:pStyle w:val="0"/>
              <w:jc w:val="both"/>
            </w:pPr>
            <w:r>
              <w:rPr>
                <w:sz w:val="20"/>
              </w:rPr>
              <w:t xml:space="preserve">Младенческая смертность</w:t>
            </w:r>
          </w:p>
        </w:tc>
        <w:tc>
          <w:tcPr>
            <w:tcW w:w="1984" w:type="dxa"/>
          </w:tcPr>
          <w:p>
            <w:pPr>
              <w:pStyle w:val="0"/>
              <w:jc w:val="both"/>
            </w:pPr>
            <w:r>
              <w:rPr>
                <w:sz w:val="20"/>
              </w:rPr>
              <w:t xml:space="preserve">промилле (0,1 процента)</w:t>
            </w:r>
          </w:p>
        </w:tc>
        <w:tc>
          <w:tcPr>
            <w:tcW w:w="4252" w:type="dxa"/>
          </w:tcPr>
          <w:p>
            <w:pPr>
              <w:pStyle w:val="0"/>
              <w:jc w:val="both"/>
            </w:pPr>
            <w:r>
              <w:rPr>
                <w:sz w:val="20"/>
              </w:rPr>
              <w:t xml:space="preserve">Для расчета коэффициента младенческой смертности за календарный год (Q0) используется следующая формула:</w:t>
            </w:r>
          </w:p>
          <w:p>
            <w:pPr>
              <w:pStyle w:val="0"/>
              <w:jc w:val="both"/>
            </w:pPr>
            <w:r>
              <w:rPr>
                <w:sz w:val="20"/>
              </w:rPr>
            </w:r>
          </w:p>
          <w:p>
            <w:pPr>
              <w:pStyle w:val="0"/>
              <w:jc w:val="both"/>
            </w:pPr>
            <w:r>
              <w:rPr>
                <w:position w:val="-20"/>
              </w:rPr>
              <w:drawing>
                <wp:inline distT="0" distB="0" distL="0" distR="0">
                  <wp:extent cx="18764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a:extLst>
                              <a:ext uri="{28A0092B-C50C-407E-A947-70E740481C1C}">
                                <a14:useLocalDpi xmlns:a14="http://schemas.microsoft.com/office/drawing/2010/main" val="0"/>
                              </a:ext>
                            </a:extLst>
                          </a:blip>
                          <a:srcRect/>
                          <a:stretch>
                            <a:fillRect/>
                          </a:stretch>
                        </pic:blipFill>
                        <pic:spPr bwMode="auto">
                          <a:xfrm>
                            <a:off x="0" y="0"/>
                            <a:ext cx="1876425" cy="390525"/>
                          </a:xfrm>
                          <a:prstGeom prst="rect">
                            <a:avLst/>
                          </a:prstGeom>
                          <a:noFill/>
                          <a:ln>
                            <a:noFill/>
                          </a:ln>
                        </pic:spPr>
                      </pic:pic>
                    </a:graphicData>
                  </a:graphic>
                </wp:inline>
              </w:drawing>
            </w:r>
          </w:p>
          <w:p>
            <w:pPr>
              <w:pStyle w:val="0"/>
              <w:jc w:val="both"/>
            </w:pPr>
            <w:r>
              <w:rPr>
                <w:sz w:val="20"/>
              </w:rPr>
            </w:r>
          </w:p>
          <w:p>
            <w:pPr>
              <w:pStyle w:val="0"/>
              <w:jc w:val="both"/>
            </w:pPr>
            <w:r>
              <w:rPr>
                <w:sz w:val="20"/>
              </w:rPr>
              <w:t xml:space="preserve">M0 - число умерших в возрасте до 1 года из родившихся в году, для которого вычисляется коэффициент;</w:t>
            </w:r>
          </w:p>
          <w:p>
            <w:pPr>
              <w:pStyle w:val="0"/>
              <w:jc w:val="both"/>
            </w:pPr>
            <w:r>
              <w:rPr>
                <w:sz w:val="20"/>
              </w:rPr>
              <w:t xml:space="preserve">N0 - число родившихся в году, для которого вычисляется коэффициент;</w:t>
            </w:r>
          </w:p>
          <w:p>
            <w:pPr>
              <w:pStyle w:val="0"/>
              <w:jc w:val="both"/>
            </w:pPr>
            <w:r>
              <w:rPr>
                <w:sz w:val="20"/>
              </w:rPr>
              <w:t xml:space="preserve">M1 - число умерших в возрасте до 1 года из родившихся в предыдущем году;</w:t>
            </w:r>
          </w:p>
          <w:p>
            <w:pPr>
              <w:pStyle w:val="0"/>
              <w:jc w:val="both"/>
            </w:pPr>
            <w:r>
              <w:rPr>
                <w:sz w:val="20"/>
              </w:rPr>
              <w:t xml:space="preserve">N 1 - число родившихся в предыдущем году</w:t>
            </w:r>
          </w:p>
        </w:tc>
        <w:tc>
          <w:tcPr>
            <w:tcW w:w="2891" w:type="dxa"/>
          </w:tcPr>
          <w:p>
            <w:pPr>
              <w:pStyle w:val="0"/>
              <w:jc w:val="both"/>
            </w:pPr>
            <w:r>
              <w:rPr>
                <w:sz w:val="20"/>
              </w:rPr>
              <w:t xml:space="preserve">Основными источниками информации для данного показателя служат:</w:t>
            </w:r>
          </w:p>
          <w:p>
            <w:pPr>
              <w:pStyle w:val="0"/>
              <w:jc w:val="both"/>
            </w:pPr>
            <w:r>
              <w:rPr>
                <w:sz w:val="20"/>
              </w:rPr>
              <w:t xml:space="preserve">медицинское свидетельство о смерти (форма 106/у-08), медицинское свидетельство о перинатальной смерти (форма 106-2/у-08) в случаях смерти детей в возрасте 7 суток (168 часов жизни), медицинское свидетельство о рождении (форма 103/у-08)</w:t>
            </w:r>
          </w:p>
        </w:tc>
      </w:tr>
      <w:tr>
        <w:tc>
          <w:tcPr>
            <w:tcW w:w="680" w:type="dxa"/>
          </w:tcPr>
          <w:p>
            <w:pPr>
              <w:pStyle w:val="0"/>
              <w:jc w:val="both"/>
            </w:pPr>
            <w:r>
              <w:rPr>
                <w:sz w:val="20"/>
              </w:rPr>
              <w:t xml:space="preserve">8.2</w:t>
            </w:r>
          </w:p>
        </w:tc>
        <w:tc>
          <w:tcPr>
            <w:tcW w:w="3798" w:type="dxa"/>
          </w:tcPr>
          <w:p>
            <w:pPr>
              <w:pStyle w:val="0"/>
              <w:jc w:val="both"/>
            </w:pPr>
            <w:r>
              <w:rPr>
                <w:sz w:val="20"/>
              </w:rPr>
              <w:t xml:space="preserve">Смертность детей в возрасте 0 - 4 года на 1000 родившихся живыми</w:t>
            </w:r>
          </w:p>
        </w:tc>
        <w:tc>
          <w:tcPr>
            <w:tcW w:w="1984" w:type="dxa"/>
          </w:tcPr>
          <w:p>
            <w:pPr>
              <w:pStyle w:val="0"/>
              <w:jc w:val="both"/>
            </w:pPr>
            <w:r>
              <w:rPr>
                <w:sz w:val="20"/>
              </w:rPr>
              <w:t xml:space="preserve">промилле (0,1 процента)</w:t>
            </w:r>
          </w:p>
        </w:tc>
        <w:tc>
          <w:tcPr>
            <w:tcW w:w="4252" w:type="dxa"/>
          </w:tcPr>
          <w:p>
            <w:pPr>
              <w:pStyle w:val="0"/>
              <w:jc w:val="both"/>
            </w:pPr>
            <w:r>
              <w:rPr>
                <w:sz w:val="20"/>
              </w:rPr>
              <w:t xml:space="preserve">Вероятность смерти в возрасте 0 - 4 года рассчитывается на основе данных таблиц 3-ТС соответствующего субъекта Российской Федерации: табличное число родившихся (100000) - табличное число доживающих до точного возраста 5 лет/табличное число родившихся (100000), умноженное на 100</w:t>
            </w:r>
          </w:p>
        </w:tc>
        <w:tc>
          <w:tcPr>
            <w:tcW w:w="2891" w:type="dxa"/>
          </w:tcPr>
          <w:p>
            <w:pPr>
              <w:pStyle w:val="0"/>
              <w:jc w:val="both"/>
            </w:pPr>
            <w:r>
              <w:rPr>
                <w:sz w:val="20"/>
              </w:rPr>
              <w:t xml:space="preserve">В соответствии с </w:t>
            </w:r>
            <w:hyperlink w:history="0" r:id="rId1008"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позицией 1.8.8</w:t>
              </w:r>
            </w:hyperlink>
            <w:r>
              <w:rPr>
                <w:sz w:val="20"/>
              </w:rPr>
              <w:t xml:space="preserve"> ФПСР данный показатель представляется 21 августа года, следующего за отчетным</w:t>
            </w:r>
          </w:p>
        </w:tc>
      </w:tr>
      <w:tr>
        <w:tblPrEx>
          <w:tblBorders>
            <w:insideH w:val="nil"/>
          </w:tblBorders>
        </w:tblPrEx>
        <w:tc>
          <w:tcPr>
            <w:gridSpan w:val="5"/>
            <w:tcW w:w="13605"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Постановления Правительства Севастополя от 26.05.2022</w:t>
                  </w:r>
                </w:p>
                <w:p>
                  <w:pPr>
                    <w:pStyle w:val="0"/>
                    <w:jc w:val="both"/>
                  </w:pPr>
                  <w:r>
                    <w:rPr>
                      <w:sz w:val="20"/>
                      <w:color w:val="392c69"/>
                    </w:rPr>
                    <w:t xml:space="preserve">N 224-ПП, вносящего изменения в данный документ, видимо, допущена опечатка:</w:t>
                  </w:r>
                </w:p>
                <w:p>
                  <w:pPr>
                    <w:pStyle w:val="0"/>
                    <w:jc w:val="both"/>
                  </w:pPr>
                  <w:r>
                    <w:rPr>
                      <w:sz w:val="20"/>
                      <w:color w:val="392c69"/>
                    </w:rPr>
                    <w:t xml:space="preserve">в Федеральном плане статистических работ позиция 2.10.9.2 отсутствует.</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680" w:type="dxa"/>
            <w:tcBorders>
              <w:top w:val="nil"/>
            </w:tcBorders>
          </w:tcPr>
          <w:p>
            <w:pPr>
              <w:pStyle w:val="0"/>
              <w:jc w:val="both"/>
            </w:pPr>
            <w:r>
              <w:rPr>
                <w:sz w:val="20"/>
              </w:rPr>
              <w:t xml:space="preserve">8.3</w:t>
            </w:r>
          </w:p>
        </w:tc>
        <w:tc>
          <w:tcPr>
            <w:tcW w:w="3798" w:type="dxa"/>
            <w:tcBorders>
              <w:top w:val="nil"/>
            </w:tcBorders>
          </w:tcPr>
          <w:p>
            <w:pPr>
              <w:pStyle w:val="0"/>
              <w:jc w:val="both"/>
            </w:pPr>
            <w:r>
              <w:rPr>
                <w:sz w:val="20"/>
              </w:rPr>
              <w:t xml:space="preserve">Смертность детей в возрасте 0 - 17 лет на 100 тыс. детей соответствующего возраста</w:t>
            </w:r>
          </w:p>
        </w:tc>
        <w:tc>
          <w:tcPr>
            <w:tcW w:w="1984" w:type="dxa"/>
            <w:tcBorders>
              <w:top w:val="nil"/>
            </w:tcBorders>
          </w:tcPr>
          <w:p>
            <w:pPr>
              <w:pStyle w:val="0"/>
              <w:jc w:val="both"/>
            </w:pPr>
            <w:r>
              <w:rPr>
                <w:sz w:val="20"/>
              </w:rPr>
              <w:t xml:space="preserve">число случаев на 100 тысяч детей соответствующего возраста</w:t>
            </w:r>
          </w:p>
        </w:tc>
        <w:tc>
          <w:tcPr>
            <w:tcW w:w="4252" w:type="dxa"/>
            <w:tcBorders>
              <w:top w:val="nil"/>
            </w:tcBorders>
          </w:tcPr>
          <w:p>
            <w:pPr>
              <w:pStyle w:val="0"/>
              <w:jc w:val="both"/>
            </w:pPr>
            <w:r>
              <w:rPr>
                <w:sz w:val="20"/>
              </w:rPr>
              <w:t xml:space="preserve">Коэффициент смертности детей в возрасте 0 - 17 лет рассчитывается как отношение числа умерших в данном возрасте в течение календарного года к среднегодовой численности лиц данного возраста по текущей оценке численности населения. Исчисляется на 100 тыс. человек населения соответствующего возраста</w:t>
            </w:r>
          </w:p>
        </w:tc>
        <w:tc>
          <w:tcPr>
            <w:tcW w:w="2891" w:type="dxa"/>
            <w:tcBorders>
              <w:top w:val="nil"/>
            </w:tcBorders>
          </w:tcPr>
          <w:p>
            <w:pPr>
              <w:pStyle w:val="0"/>
              <w:jc w:val="both"/>
            </w:pPr>
            <w:r>
              <w:rPr>
                <w:sz w:val="20"/>
              </w:rPr>
              <w:t xml:space="preserve">Показатель "Смертность детей в возрасте 0 - 4 года на 1000 родившихся живыми" включен в позицию 2.10.9.2 </w:t>
            </w:r>
            <w:hyperlink w:history="0" r:id="rId1009" w:tooltip="Распоряжение Правительства РФ от 06.05.2008 N 671-р (ред. от 10.06.2023) &lt;Об утверждении Федерального плана статистических работ&gt; (вместе с &quot;Федеральным планом статистических работ&quot;) {КонсультантПлюс}">
              <w:r>
                <w:rPr>
                  <w:sz w:val="20"/>
                  <w:color w:val="0000ff"/>
                </w:rPr>
                <w:t xml:space="preserve">ФПСР</w:t>
              </w:r>
            </w:hyperlink>
          </w:p>
        </w:tc>
      </w:tr>
      <w:tr>
        <w:tc>
          <w:tcPr>
            <w:tcW w:w="680" w:type="dxa"/>
          </w:tcPr>
          <w:p>
            <w:pPr>
              <w:pStyle w:val="0"/>
              <w:jc w:val="both"/>
            </w:pPr>
            <w:r>
              <w:rPr>
                <w:sz w:val="20"/>
              </w:rPr>
              <w:t xml:space="preserve">8.4</w:t>
            </w:r>
          </w:p>
        </w:tc>
        <w:tc>
          <w:tcPr>
            <w:tcW w:w="3798" w:type="dxa"/>
          </w:tcPr>
          <w:p>
            <w:pPr>
              <w:pStyle w:val="0"/>
              <w:jc w:val="both"/>
            </w:pPr>
            <w:r>
              <w:rPr>
                <w:sz w:val="20"/>
              </w:rPr>
              <w:t xml:space="preserve">Доля посещений детьми медицинских организаций с профилактическими целями</w:t>
            </w:r>
          </w:p>
        </w:tc>
        <w:tc>
          <w:tcPr>
            <w:tcW w:w="1984" w:type="dxa"/>
          </w:tcPr>
          <w:p>
            <w:pPr>
              <w:pStyle w:val="0"/>
              <w:jc w:val="both"/>
            </w:pPr>
            <w:r>
              <w:rPr>
                <w:sz w:val="20"/>
              </w:rPr>
              <w:t xml:space="preserve">%</w:t>
            </w:r>
          </w:p>
        </w:tc>
        <w:tc>
          <w:tcPr>
            <w:tcW w:w="4252" w:type="dxa"/>
          </w:tcPr>
          <w:p>
            <w:pPr>
              <w:pStyle w:val="0"/>
              <w:jc w:val="both"/>
            </w:pPr>
            <w:r>
              <w:rPr>
                <w:sz w:val="20"/>
              </w:rPr>
              <w:t xml:space="preserve">Для расчета коэффициента младенческой смертности за календарный год (Q0) используется следующая формула:</w:t>
            </w:r>
          </w:p>
          <w:p>
            <w:pPr>
              <w:pStyle w:val="0"/>
              <w:jc w:val="both"/>
            </w:pPr>
            <w:r>
              <w:rPr>
                <w:sz w:val="20"/>
              </w:rPr>
            </w:r>
          </w:p>
          <w:p>
            <w:pPr>
              <w:pStyle w:val="0"/>
              <w:jc w:val="both"/>
            </w:pPr>
            <w:r>
              <w:rPr>
                <w:position w:val="-20"/>
              </w:rPr>
              <w:drawing>
                <wp:inline distT="0" distB="0" distL="0" distR="0">
                  <wp:extent cx="18764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a:extLst>
                              <a:ext uri="{28A0092B-C50C-407E-A947-70E740481C1C}">
                                <a14:useLocalDpi xmlns:a14="http://schemas.microsoft.com/office/drawing/2010/main" val="0"/>
                              </a:ext>
                            </a:extLst>
                          </a:blip>
                          <a:srcRect/>
                          <a:stretch>
                            <a:fillRect/>
                          </a:stretch>
                        </pic:blipFill>
                        <pic:spPr bwMode="auto">
                          <a:xfrm>
                            <a:off x="0" y="0"/>
                            <a:ext cx="1876425" cy="390525"/>
                          </a:xfrm>
                          <a:prstGeom prst="rect">
                            <a:avLst/>
                          </a:prstGeom>
                          <a:noFill/>
                          <a:ln>
                            <a:noFill/>
                          </a:ln>
                        </pic:spPr>
                      </pic:pic>
                    </a:graphicData>
                  </a:graphic>
                </wp:inline>
              </w:drawing>
            </w:r>
          </w:p>
          <w:p>
            <w:pPr>
              <w:pStyle w:val="0"/>
              <w:jc w:val="both"/>
            </w:pPr>
            <w:r>
              <w:rPr>
                <w:sz w:val="20"/>
              </w:rPr>
            </w:r>
          </w:p>
          <w:p>
            <w:pPr>
              <w:pStyle w:val="0"/>
              <w:jc w:val="both"/>
            </w:pPr>
            <w:r>
              <w:rPr>
                <w:sz w:val="20"/>
              </w:rPr>
              <w:t xml:space="preserve">M0 - число умерших в возрасте до 1 года из родившихся в году, для которого вычисляется коэффициент;</w:t>
            </w:r>
          </w:p>
          <w:p>
            <w:pPr>
              <w:pStyle w:val="0"/>
              <w:jc w:val="both"/>
            </w:pPr>
            <w:r>
              <w:rPr>
                <w:sz w:val="20"/>
              </w:rPr>
              <w:t xml:space="preserve">N0 - число родившихся в году, для которого вычисляется коэффициент;</w:t>
            </w:r>
          </w:p>
          <w:p>
            <w:pPr>
              <w:pStyle w:val="0"/>
              <w:jc w:val="both"/>
            </w:pPr>
            <w:r>
              <w:rPr>
                <w:sz w:val="20"/>
              </w:rPr>
              <w:t xml:space="preserve">M1 - число умерших в возрасте до 1 года из родившихся в предыдущем году;</w:t>
            </w:r>
          </w:p>
          <w:p>
            <w:pPr>
              <w:pStyle w:val="0"/>
              <w:jc w:val="both"/>
            </w:pPr>
            <w:r>
              <w:rPr>
                <w:sz w:val="20"/>
              </w:rPr>
              <w:t xml:space="preserve">N 1 - число родившихся в предыдущем году</w:t>
            </w:r>
          </w:p>
        </w:tc>
        <w:tc>
          <w:tcPr>
            <w:tcW w:w="2891" w:type="dxa"/>
          </w:tcPr>
          <w:p>
            <w:pPr>
              <w:pStyle w:val="0"/>
              <w:jc w:val="both"/>
            </w:pPr>
            <w:r>
              <w:rPr>
                <w:sz w:val="20"/>
              </w:rPr>
              <w:t xml:space="preserve">Основными источниками информации для данного показателя служат:</w:t>
            </w:r>
          </w:p>
          <w:p>
            <w:pPr>
              <w:pStyle w:val="0"/>
              <w:jc w:val="both"/>
            </w:pPr>
            <w:r>
              <w:rPr>
                <w:sz w:val="20"/>
              </w:rPr>
              <w:t xml:space="preserve">медицинское свидетельство о смерти (форма 106/у-08), медицинское свидетельство о перинатальной смерти (форма 106-2/у-08) в случаях смерти детей в возрасте 7 суток (168 часов жизни), медицинское свидетельство о рождении (форма 103/у-08)</w:t>
            </w:r>
          </w:p>
        </w:tc>
      </w:tr>
      <w:tr>
        <w:tc>
          <w:tcPr>
            <w:tcW w:w="680" w:type="dxa"/>
          </w:tcPr>
          <w:p>
            <w:pPr>
              <w:pStyle w:val="0"/>
              <w:jc w:val="both"/>
            </w:pPr>
            <w:r>
              <w:rPr>
                <w:sz w:val="20"/>
              </w:rPr>
              <w:t xml:space="preserve">8.5</w:t>
            </w:r>
          </w:p>
        </w:tc>
        <w:tc>
          <w:tcPr>
            <w:tcW w:w="3798"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заболеваний костно-мышечной системы и соединительной ткани с впервые в жизни установленными диагнозами среди детей в возрасте 0 - 17 лет, по поводу которых установлено диспансерное наблюдение в субъекте Российской Федерации (в Российской Федерации), к числу заболеваний костно-мышечной системы и соединительной ткани с впервые в жизни установленными диагнозами среди детей в возрасте 0 - 17 лет в субъекте Российской Федерации (в Российской Федерации) в отчетном периоде</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12 "Сведения о числе заболеваний, зарегистрированных у пациентов, проживающих в районе обслуживания медицинской организации"</w:t>
            </w:r>
          </w:p>
        </w:tc>
      </w:tr>
      <w:tr>
        <w:tc>
          <w:tcPr>
            <w:tcW w:w="680" w:type="dxa"/>
          </w:tcPr>
          <w:p>
            <w:pPr>
              <w:pStyle w:val="0"/>
              <w:jc w:val="both"/>
            </w:pPr>
            <w:r>
              <w:rPr>
                <w:sz w:val="20"/>
              </w:rPr>
              <w:t xml:space="preserve">8.6</w:t>
            </w:r>
          </w:p>
        </w:tc>
        <w:tc>
          <w:tcPr>
            <w:tcW w:w="3798"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заболеваний глаза и его придаточного аппарата с впервые в жизни установленными диагнозами среди детей в возрасте 0 - 17 лет, в отношении которых установлено диспансерное наблюдение, к числу заболеваний глаза и его придаточного аппарата с впервые в жизни установленными диагнозами среди детей в возрасте 0 - 17 лет в отчетном периоде</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12 "Сведения о числе заболеваний, зарегистрированных у пациентов, проживающих в районе обслуживания медицинской организации"</w:t>
            </w:r>
          </w:p>
        </w:tc>
      </w:tr>
      <w:tr>
        <w:tc>
          <w:tcPr>
            <w:tcW w:w="680" w:type="dxa"/>
          </w:tcPr>
          <w:p>
            <w:pPr>
              <w:pStyle w:val="0"/>
              <w:jc w:val="both"/>
            </w:pPr>
            <w:r>
              <w:rPr>
                <w:sz w:val="20"/>
              </w:rPr>
              <w:t xml:space="preserve">8.7</w:t>
            </w:r>
          </w:p>
        </w:tc>
        <w:tc>
          <w:tcPr>
            <w:tcW w:w="3798"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органов пищеварения</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заболеваний органов пищеварения с впервые в жизни установленными диагнозами среди детей в возрасте 0 - 17 лет, в отношении которых установлено диспансерное наблюдение, в субъекте Российской Федерации (в Российской Федерации) к числу заболеваний органов пищеварения с впервые в жизни установленными диагнозами среди детей в возрасте 0 - 17 лет в субъекте Российской Федерации (в Российской Федерации) в отчетном периоде</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12 "Сведения о числе заболеваний, зарегистрированных у пациентов, проживающих в районе обслуживания медицинской организации"</w:t>
            </w:r>
          </w:p>
        </w:tc>
      </w:tr>
      <w:tr>
        <w:tc>
          <w:tcPr>
            <w:tcW w:w="680" w:type="dxa"/>
          </w:tcPr>
          <w:p>
            <w:pPr>
              <w:pStyle w:val="0"/>
              <w:jc w:val="both"/>
            </w:pPr>
            <w:r>
              <w:rPr>
                <w:sz w:val="20"/>
              </w:rPr>
              <w:t xml:space="preserve">8.8</w:t>
            </w:r>
          </w:p>
        </w:tc>
        <w:tc>
          <w:tcPr>
            <w:tcW w:w="3798"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органов кровообращения</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заболеваний системы кровообращения с впервые в жизни установленными диагнозами среди детей в возрасте 0 - 17 лет, в отношении которых установлено диспансерное наблюдение, к числу заболеваний системы кровообращения с впервые в жизни установленными диагнозами среди детей в возрасте 0 - 17 лет в отчетном периоде</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12 "Сведения о числе заболеваний, зарегистрированных у пациентов, проживающих в районе обслуживания медицинской организации"</w:t>
            </w:r>
          </w:p>
        </w:tc>
      </w:tr>
      <w:tr>
        <w:tc>
          <w:tcPr>
            <w:tcW w:w="680" w:type="dxa"/>
          </w:tcPr>
          <w:p>
            <w:pPr>
              <w:pStyle w:val="0"/>
              <w:jc w:val="both"/>
            </w:pPr>
            <w:r>
              <w:rPr>
                <w:sz w:val="20"/>
              </w:rPr>
              <w:t xml:space="preserve">8.9</w:t>
            </w:r>
          </w:p>
        </w:tc>
        <w:tc>
          <w:tcPr>
            <w:tcW w:w="3798" w:type="dxa"/>
          </w:tcPr>
          <w:p>
            <w:pPr>
              <w:pStyle w:val="0"/>
              <w:jc w:val="both"/>
            </w:pPr>
            <w:r>
              <w:rPr>
                <w:sz w:val="20"/>
              </w:rPr>
              <w:t xml:space="preserve">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заболеваний эндокринной системы, расстройства питания и нарушения обмена веществ с впервые в жизни установленными диагнозами среди детей в возрасте 0 - 17 лет, в отношении которых установлено диспансерное наблюдение, в субъекте Российской Федерации (в Российской Федерации) к числу заболеваний эндокринной системы, расстройства питания и нарушения обмена веществ с впервые в жизни установленными диагнозами среди детей в возрасте 0 - 17 лет в субъекте Российской Федерации (в Российской Федерации) в отчетном периоде</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12 "Сведения о числе заболеваний, зарегистрированных у пациентов, проживающих в районе обслуживания медицинской организации"</w:t>
            </w:r>
          </w:p>
        </w:tc>
      </w:tr>
      <w:tr>
        <w:tc>
          <w:tcPr>
            <w:tcW w:w="680" w:type="dxa"/>
          </w:tcPr>
          <w:p>
            <w:pPr>
              <w:pStyle w:val="0"/>
              <w:jc w:val="both"/>
            </w:pPr>
            <w:r>
              <w:rPr>
                <w:sz w:val="20"/>
              </w:rPr>
              <w:t xml:space="preserve">8.10</w:t>
            </w:r>
          </w:p>
        </w:tc>
        <w:tc>
          <w:tcPr>
            <w:tcW w:w="3798" w:type="dxa"/>
          </w:tcPr>
          <w:p>
            <w:pPr>
              <w:pStyle w:val="0"/>
              <w:jc w:val="both"/>
            </w:pPr>
            <w:r>
              <w:rPr>
                <w:sz w:val="20"/>
              </w:rPr>
              <w:t xml:space="preserve">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врачами-педиатрами</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занятых физическими лицами должностей от общего числа штатных должностей в медицинских организациях, оказывающих медицинскую помощь в амбулаторных условиях в субъекте Российской Федерации (в Российской Федерации), нарастающим итогом: врачами-педиатрами</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8.11</w:t>
            </w:r>
          </w:p>
        </w:tc>
        <w:tc>
          <w:tcPr>
            <w:tcW w:w="3798" w:type="dxa"/>
          </w:tcPr>
          <w:p>
            <w:pPr>
              <w:pStyle w:val="0"/>
              <w:jc w:val="both"/>
            </w:pPr>
            <w:r>
              <w:rPr>
                <w:sz w:val="20"/>
              </w:rPr>
              <w:t xml:space="preserve">Количество (доля) детских поликлиник и детских поликлинических отделений с созданной современной инфраструктурой оказания медицинской помощи детям</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количества детских поликлиник и детских поликлинических отделений с созданной современной инфраструктурой оказания медицинской помощи детям в субъекте Российской Федерации (в Российской Федерации) к общему количеству детских поликлиник и детских поликлинических отделений в субъекте Российской Федерации (в Российской Федерации) в отчетном периоде</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 и данные федерального статистического наблюдения по форме N 47 "Сведения о сети и деятельности медицинских организаций", начиная с отчета за 2021 год</w:t>
            </w:r>
          </w:p>
        </w:tc>
      </w:tr>
      <w:tr>
        <w:tc>
          <w:tcPr>
            <w:tcW w:w="680" w:type="dxa"/>
          </w:tcPr>
          <w:p>
            <w:pPr>
              <w:pStyle w:val="0"/>
              <w:jc w:val="both"/>
            </w:pPr>
            <w:r>
              <w:rPr>
                <w:sz w:val="20"/>
              </w:rPr>
              <w:t xml:space="preserve">8.12</w:t>
            </w:r>
          </w:p>
        </w:tc>
        <w:tc>
          <w:tcPr>
            <w:tcW w:w="3798" w:type="dxa"/>
          </w:tcPr>
          <w:p>
            <w:pPr>
              <w:pStyle w:val="0"/>
              <w:jc w:val="both"/>
            </w:pPr>
            <w:r>
              <w:rPr>
                <w:sz w:val="20"/>
              </w:rPr>
              <w:t xml:space="preserve">Число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в субъекте Российской Федерации (в Российской Федерации) к общему числу посещений детьми детских поликлиник и поликлинических подразделений в отчетном периоде в субъекте Российской Федерации (в Российской Федерации)</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 начиная с отчета за 2021 год</w:t>
            </w:r>
          </w:p>
        </w:tc>
      </w:tr>
      <w:tr>
        <w:tc>
          <w:tcPr>
            <w:tcW w:w="680" w:type="dxa"/>
          </w:tcPr>
          <w:p>
            <w:pPr>
              <w:pStyle w:val="0"/>
              <w:jc w:val="both"/>
            </w:pPr>
            <w:r>
              <w:rPr>
                <w:sz w:val="20"/>
              </w:rPr>
              <w:t xml:space="preserve">8.13</w:t>
            </w:r>
          </w:p>
        </w:tc>
        <w:tc>
          <w:tcPr>
            <w:tcW w:w="3798" w:type="dxa"/>
          </w:tcPr>
          <w:p>
            <w:pPr>
              <w:pStyle w:val="0"/>
              <w:jc w:val="both"/>
            </w:pPr>
            <w:r>
              <w:rPr>
                <w:sz w:val="20"/>
              </w:rPr>
              <w:t xml:space="preserve">Розничные продажи алкогольной продукции на душу населения (в литрах этанола)</w:t>
            </w:r>
          </w:p>
        </w:tc>
        <w:tc>
          <w:tcPr>
            <w:tcW w:w="1984" w:type="dxa"/>
          </w:tcPr>
          <w:p>
            <w:pPr>
              <w:pStyle w:val="0"/>
              <w:jc w:val="both"/>
            </w:pPr>
            <w:r>
              <w:rPr>
                <w:sz w:val="20"/>
              </w:rPr>
              <w:t xml:space="preserve">литр чистого (100%) спирта</w:t>
            </w:r>
          </w:p>
        </w:tc>
        <w:tc>
          <w:tcPr>
            <w:tcW w:w="4252" w:type="dxa"/>
          </w:tcPr>
          <w:p>
            <w:pPr>
              <w:pStyle w:val="0"/>
              <w:jc w:val="both"/>
            </w:pPr>
            <w:r>
              <w:rPr>
                <w:sz w:val="20"/>
              </w:rPr>
              <w:t xml:space="preserve">Соотношение объема розничных продаж алкогольной продукции (в литрах безводного спирта) к общей численности населения</w:t>
            </w:r>
          </w:p>
        </w:tc>
        <w:tc>
          <w:tcPr>
            <w:tcW w:w="2891" w:type="dxa"/>
          </w:tcPr>
          <w:p>
            <w:pPr>
              <w:pStyle w:val="0"/>
              <w:jc w:val="both"/>
            </w:pPr>
            <w:r>
              <w:rPr>
                <w:sz w:val="20"/>
              </w:rPr>
              <w:t xml:space="preserve">ЕГАИС, Росстат</w:t>
            </w:r>
          </w:p>
        </w:tc>
      </w:tr>
      <w:tr>
        <w:tc>
          <w:tcPr>
            <w:tcW w:w="680" w:type="dxa"/>
          </w:tcPr>
          <w:p>
            <w:pPr>
              <w:pStyle w:val="0"/>
              <w:jc w:val="both"/>
            </w:pPr>
            <w:r>
              <w:rPr>
                <w:sz w:val="20"/>
              </w:rPr>
              <w:t xml:space="preserve">8.14</w:t>
            </w:r>
          </w:p>
        </w:tc>
        <w:tc>
          <w:tcPr>
            <w:tcW w:w="3798" w:type="dxa"/>
          </w:tcPr>
          <w:p>
            <w:pPr>
              <w:pStyle w:val="0"/>
              <w:jc w:val="both"/>
            </w:pPr>
            <w:r>
              <w:rPr>
                <w:sz w:val="20"/>
              </w:rPr>
              <w:t xml:space="preserve">Темпы прироста первичной заболеваемости ожирением</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случаев первичной заболеваемости ожирением за исследуемый и базовый периоды</w:t>
            </w:r>
          </w:p>
        </w:tc>
        <w:tc>
          <w:tcPr>
            <w:tcW w:w="2891" w:type="dxa"/>
          </w:tcPr>
          <w:p>
            <w:pPr>
              <w:pStyle w:val="0"/>
              <w:jc w:val="both"/>
            </w:pPr>
            <w:r>
              <w:rPr>
                <w:sz w:val="20"/>
              </w:rPr>
              <w:t xml:space="preserve">ФСН по форме N 12 "Сведения о числе заболеваний, зарегистрированных у пациентов, проживающих в районе обслуживания медицинской организации"</w:t>
            </w:r>
          </w:p>
        </w:tc>
      </w:tr>
      <w:tr>
        <w:tc>
          <w:tcPr>
            <w:tcW w:w="680" w:type="dxa"/>
          </w:tcPr>
          <w:p>
            <w:pPr>
              <w:pStyle w:val="0"/>
              <w:jc w:val="both"/>
            </w:pPr>
            <w:r>
              <w:rPr>
                <w:sz w:val="20"/>
              </w:rPr>
              <w:t xml:space="preserve">8.15</w:t>
            </w:r>
          </w:p>
        </w:tc>
        <w:tc>
          <w:tcPr>
            <w:tcW w:w="3798" w:type="dxa"/>
          </w:tcPr>
          <w:p>
            <w:pPr>
              <w:pStyle w:val="0"/>
              <w:jc w:val="both"/>
            </w:pPr>
            <w:r>
              <w:rPr>
                <w:sz w:val="20"/>
              </w:rPr>
              <w:t xml:space="preserve">Уровень госпитализации на геронтологические койки лиц старше 60 лет на 10 тыс. населения соответствующего возраста</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лиц старше 60 лет, поступивших на геронтологические койки, к среднегодовой численности населения старше 60 лет</w:t>
            </w:r>
          </w:p>
        </w:tc>
        <w:tc>
          <w:tcPr>
            <w:tcW w:w="2891" w:type="dxa"/>
          </w:tcPr>
          <w:p>
            <w:pPr>
              <w:pStyle w:val="0"/>
              <w:jc w:val="both"/>
            </w:pPr>
            <w:r>
              <w:rPr>
                <w:sz w:val="20"/>
              </w:rPr>
              <w:t xml:space="preserve">ФСН по форме N 30 "Сведения о медицинской организации"</w:t>
            </w:r>
          </w:p>
        </w:tc>
      </w:tr>
      <w:tr>
        <w:tc>
          <w:tcPr>
            <w:tcW w:w="680" w:type="dxa"/>
          </w:tcPr>
          <w:p>
            <w:pPr>
              <w:pStyle w:val="0"/>
              <w:jc w:val="both"/>
            </w:pPr>
            <w:r>
              <w:rPr>
                <w:sz w:val="20"/>
              </w:rPr>
              <w:t xml:space="preserve">8.16</w:t>
            </w:r>
          </w:p>
        </w:tc>
        <w:tc>
          <w:tcPr>
            <w:tcW w:w="3798" w:type="dxa"/>
          </w:tcPr>
          <w:p>
            <w:pPr>
              <w:pStyle w:val="0"/>
              <w:jc w:val="both"/>
            </w:pPr>
            <w:r>
              <w:rPr>
                <w:sz w:val="20"/>
              </w:rPr>
              <w:t xml:space="preserve">Охват граждан старше трудоспособного возраста, профилактическими осмотрами, включая диспансеризацию</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лиц старше трудоспособного возраста, прошедших профилактический медицинский осмотр, включая диспансеризацию, к среднегодовой численности лиц старше трудоспособного возраста</w:t>
            </w:r>
          </w:p>
        </w:tc>
        <w:tc>
          <w:tcPr>
            <w:tcW w:w="2891" w:type="dxa"/>
          </w:tcPr>
          <w:p>
            <w:pPr>
              <w:pStyle w:val="0"/>
              <w:jc w:val="both"/>
            </w:pPr>
            <w:r>
              <w:rPr>
                <w:sz w:val="20"/>
              </w:rPr>
              <w:t xml:space="preserve">ФСН по форме N 30 "Сведения о медицинской организации"</w:t>
            </w:r>
          </w:p>
        </w:tc>
      </w:tr>
      <w:tr>
        <w:tc>
          <w:tcPr>
            <w:tcW w:w="680" w:type="dxa"/>
          </w:tcPr>
          <w:p>
            <w:pPr>
              <w:pStyle w:val="0"/>
              <w:jc w:val="both"/>
            </w:pPr>
            <w:r>
              <w:rPr>
                <w:sz w:val="20"/>
              </w:rPr>
              <w:t xml:space="preserve">8.17</w:t>
            </w:r>
          </w:p>
        </w:tc>
        <w:tc>
          <w:tcPr>
            <w:tcW w:w="3798" w:type="dxa"/>
          </w:tcPr>
          <w:p>
            <w:pPr>
              <w:pStyle w:val="0"/>
              <w:jc w:val="both"/>
            </w:pPr>
            <w:r>
              <w:rPr>
                <w:sz w:val="20"/>
              </w:rPr>
              <w:t xml:space="preserve">Доля лиц старше трудоспособного возраста, у которых выявлены заболевания и патологические состояния, находящихся под диспансерным наблюдением</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лиц старше трудоспособного возраста, у которых выявлены заболевания и патологические состояния, находящихся под диспансерным наблюдением, к числу лиц старше трудоспособного возраста, у которых выявлены заболевания и патологические состояния</w:t>
            </w:r>
          </w:p>
        </w:tc>
        <w:tc>
          <w:tcPr>
            <w:tcW w:w="2891" w:type="dxa"/>
          </w:tcPr>
          <w:p>
            <w:pPr>
              <w:pStyle w:val="0"/>
              <w:jc w:val="both"/>
            </w:pPr>
            <w:r>
              <w:rPr>
                <w:sz w:val="20"/>
              </w:rPr>
              <w:t xml:space="preserve">ФСН по форме N 30 "Сведения о медицинской организации"</w:t>
            </w:r>
          </w:p>
        </w:tc>
      </w:tr>
      <w:tr>
        <w:tc>
          <w:tcPr>
            <w:tcW w:w="680" w:type="dxa"/>
          </w:tcPr>
          <w:p>
            <w:pPr>
              <w:pStyle w:val="0"/>
              <w:jc w:val="both"/>
            </w:pPr>
            <w:r>
              <w:rPr>
                <w:sz w:val="20"/>
              </w:rPr>
              <w:t xml:space="preserve">8.18</w:t>
            </w:r>
          </w:p>
        </w:tc>
        <w:tc>
          <w:tcPr>
            <w:tcW w:w="3798" w:type="dxa"/>
          </w:tcPr>
          <w:p>
            <w:pPr>
              <w:pStyle w:val="0"/>
              <w:jc w:val="both"/>
            </w:pPr>
            <w:r>
              <w:rPr>
                <w:sz w:val="20"/>
              </w:rPr>
              <w:t xml:space="preserve">Число лиц (пациентов), дополнительно эвакуированных с использованием санитарной авиации (ежегодно, человек), не менее</w:t>
            </w:r>
          </w:p>
        </w:tc>
        <w:tc>
          <w:tcPr>
            <w:tcW w:w="1984" w:type="dxa"/>
          </w:tcPr>
          <w:p>
            <w:pPr>
              <w:pStyle w:val="0"/>
              <w:jc w:val="both"/>
            </w:pPr>
            <w:r>
              <w:rPr>
                <w:sz w:val="20"/>
              </w:rPr>
              <w:t xml:space="preserve">чел.</w:t>
            </w:r>
          </w:p>
        </w:tc>
        <w:tc>
          <w:tcPr>
            <w:tcW w:w="4252" w:type="dxa"/>
          </w:tcPr>
          <w:p>
            <w:pPr>
              <w:pStyle w:val="0"/>
              <w:jc w:val="both"/>
            </w:pPr>
            <w:r>
              <w:rPr>
                <w:sz w:val="20"/>
              </w:rPr>
              <w:t xml:space="preserve">Количество дополнительно эвакуированных пациентов, в отношении которых была выполнена санитарно-авиационная эвакуация при оказании скорой, в том числе скорой специализированной, медицинской помощи, в субъекте Российской Федерации (Российской Федерации, федеральном округе)</w:t>
            </w:r>
          </w:p>
        </w:tc>
        <w:tc>
          <w:tcPr>
            <w:tcW w:w="2891" w:type="dxa"/>
          </w:tcPr>
          <w:p>
            <w:pPr>
              <w:pStyle w:val="0"/>
              <w:jc w:val="both"/>
            </w:pPr>
            <w:r>
              <w:rPr>
                <w:sz w:val="20"/>
              </w:rPr>
              <w:t xml:space="preserve">ФСН по форме N 30 "Сведения о медицинской организации"</w:t>
            </w:r>
          </w:p>
        </w:tc>
      </w:tr>
      <w:tr>
        <w:tc>
          <w:tcPr>
            <w:tcW w:w="680" w:type="dxa"/>
          </w:tcPr>
          <w:p>
            <w:pPr>
              <w:pStyle w:val="0"/>
              <w:jc w:val="both"/>
            </w:pPr>
            <w:r>
              <w:rPr>
                <w:sz w:val="20"/>
              </w:rPr>
              <w:t xml:space="preserve">8.19</w:t>
            </w:r>
          </w:p>
        </w:tc>
        <w:tc>
          <w:tcPr>
            <w:tcW w:w="3798" w:type="dxa"/>
          </w:tcPr>
          <w:p>
            <w:pPr>
              <w:pStyle w:val="0"/>
              <w:jc w:val="both"/>
            </w:pPr>
            <w:r>
              <w:rPr>
                <w:sz w:val="20"/>
              </w:rPr>
              <w:t xml:space="preserve">Доля граждан из числа прошедших профилактический медицинский осмотр и (или) диспансеризацию, получивших возможность доступа к данным о прохождении профилактического медицинского осмотра и (или) диспансеризации в Личном кабинете пациента "Мое здоровье" на Едином портале государственных услуг и функций в отчетном году</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прошедших профилактический медицинский осмотр и (или) диспансеризацию, получивших возможность доступа к данным о прохождении профилактического медицинского осмотра и (или) диспансеризации в Личном кабинете пациента "Мое здоровье" на Едином портале государственных услуг и функций, к общему числу прошедших профилактический медицинский осмотр и (или) диспансеризацию в отчетном году</w:t>
            </w:r>
          </w:p>
        </w:tc>
        <w:tc>
          <w:tcPr>
            <w:tcW w:w="2891" w:type="dxa"/>
          </w:tcPr>
          <w:p>
            <w:pPr>
              <w:pStyle w:val="0"/>
              <w:jc w:val="both"/>
            </w:pPr>
            <w:r>
              <w:rPr>
                <w:sz w:val="20"/>
              </w:rPr>
              <w:t xml:space="preserve">Государственная информационная система обязательного медицинского страхования (далее - ГИС ОМС)</w:t>
            </w:r>
          </w:p>
        </w:tc>
      </w:tr>
      <w:tr>
        <w:tc>
          <w:tcPr>
            <w:tcW w:w="680" w:type="dxa"/>
          </w:tcPr>
          <w:p>
            <w:pPr>
              <w:pStyle w:val="0"/>
              <w:jc w:val="both"/>
            </w:pPr>
            <w:r>
              <w:rPr>
                <w:sz w:val="20"/>
              </w:rPr>
              <w:t xml:space="preserve">8.20</w:t>
            </w:r>
          </w:p>
        </w:tc>
        <w:tc>
          <w:tcPr>
            <w:tcW w:w="3798" w:type="dxa"/>
          </w:tcPr>
          <w:p>
            <w:pPr>
              <w:pStyle w:val="0"/>
              <w:jc w:val="both"/>
            </w:pPr>
            <w:r>
              <w:rPr>
                <w:sz w:val="20"/>
              </w:rPr>
              <w:t xml:space="preserve">Доля населенных пунктов с числом жителей до 2000 человек, населению которых доступна первичная медико-санитарная помощь по месту их проживания</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населенных пунктов с числом жителей от 101 до 2000 человек, населению которых доступна первичная медико-санитарная помощь по месту их проживания, к общему количеству населенных пунктов с числом жителей от 101 до 2000 человек</w:t>
            </w:r>
          </w:p>
        </w:tc>
        <w:tc>
          <w:tcPr>
            <w:tcW w:w="2891" w:type="dxa"/>
          </w:tcPr>
          <w:p>
            <w:pPr>
              <w:pStyle w:val="0"/>
              <w:jc w:val="both"/>
            </w:pPr>
            <w:r>
              <w:rPr>
                <w:sz w:val="20"/>
              </w:rPr>
              <w:t xml:space="preserve">Данные подсистемы единой государственной информационной системы в сфере здравоохранения: геоинформационная подсистема</w:t>
            </w:r>
          </w:p>
        </w:tc>
      </w:tr>
      <w:tr>
        <w:tc>
          <w:tcPr>
            <w:tcW w:w="680" w:type="dxa"/>
          </w:tcPr>
          <w:p>
            <w:pPr>
              <w:pStyle w:val="0"/>
              <w:jc w:val="both"/>
            </w:pPr>
            <w:r>
              <w:rPr>
                <w:sz w:val="20"/>
              </w:rPr>
              <w:t xml:space="preserve">8.21</w:t>
            </w:r>
          </w:p>
        </w:tc>
        <w:tc>
          <w:tcPr>
            <w:tcW w:w="3798" w:type="dxa"/>
          </w:tcPr>
          <w:p>
            <w:pPr>
              <w:pStyle w:val="0"/>
              <w:jc w:val="both"/>
            </w:pPr>
            <w:r>
              <w:rPr>
                <w:sz w:val="20"/>
              </w:rPr>
              <w:t xml:space="preserve">Количество посещений при выездах мобильных медицинских бригад, оснащенных мобильными медицинскими комплексами, тыс. посещений на 1 мобильную медицинскую бригаду</w:t>
            </w:r>
          </w:p>
        </w:tc>
        <w:tc>
          <w:tcPr>
            <w:tcW w:w="1984" w:type="dxa"/>
          </w:tcPr>
          <w:p>
            <w:pPr>
              <w:pStyle w:val="0"/>
              <w:jc w:val="both"/>
            </w:pPr>
            <w:r>
              <w:rPr>
                <w:sz w:val="20"/>
              </w:rPr>
              <w:t xml:space="preserve">тыс.</w:t>
            </w:r>
          </w:p>
        </w:tc>
        <w:tc>
          <w:tcPr>
            <w:tcW w:w="4252" w:type="dxa"/>
          </w:tcPr>
          <w:p>
            <w:pPr>
              <w:pStyle w:val="0"/>
              <w:jc w:val="both"/>
            </w:pPr>
            <w:r>
              <w:rPr>
                <w:sz w:val="20"/>
              </w:rPr>
              <w:t xml:space="preserve">Соотношение количества посещений при выездах мобильных бригад, оснащенных мобильными медицинскими комплексами, за отчетный период к общему количеству мобильных медицинских бригад, оснащенных мобильными медицинскими комплексами, за отчетный период, умноженное на 1000</w:t>
            </w:r>
          </w:p>
        </w:tc>
        <w:tc>
          <w:tcPr>
            <w:tcW w:w="2891" w:type="dxa"/>
          </w:tcPr>
          <w:p>
            <w:pPr>
              <w:pStyle w:val="0"/>
              <w:jc w:val="both"/>
            </w:pPr>
            <w:r>
              <w:rPr>
                <w:sz w:val="20"/>
              </w:rPr>
              <w:t xml:space="preserve">ФСН по форме N 30 "Сведения о медицинской организации"</w:t>
            </w:r>
          </w:p>
        </w:tc>
      </w:tr>
      <w:tr>
        <w:tc>
          <w:tcPr>
            <w:tcW w:w="680" w:type="dxa"/>
          </w:tcPr>
          <w:p>
            <w:pPr>
              <w:pStyle w:val="0"/>
              <w:jc w:val="both"/>
            </w:pPr>
            <w:r>
              <w:rPr>
                <w:sz w:val="20"/>
              </w:rPr>
              <w:t xml:space="preserve">8.22</w:t>
            </w:r>
          </w:p>
        </w:tc>
        <w:tc>
          <w:tcPr>
            <w:tcW w:w="3798" w:type="dxa"/>
          </w:tcPr>
          <w:p>
            <w:pPr>
              <w:pStyle w:val="0"/>
              <w:jc w:val="both"/>
            </w:pPr>
            <w:r>
              <w:rPr>
                <w:sz w:val="20"/>
              </w:rPr>
              <w:t xml:space="preserve">Доля лиц, госпитализированных по экстренным показаниям в течение первых суток, от общего числа больных, к которым совершены вылеты</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лиц, госпитализированных по экстренным показаниям при санитарно-авиационной эвакуации в течение первых суток с момента передачи вызова авиамедицинской выездной бригаде скорой медицинской помощи, к числу лиц, в отношении которых осуществлен вызов авиамедицинской выездной бригады скорой медицинской помощи, в субъекте Российской Федерации (Российской Федерации, федеральном округе)</w:t>
            </w:r>
          </w:p>
        </w:tc>
        <w:tc>
          <w:tcPr>
            <w:tcW w:w="2891" w:type="dxa"/>
          </w:tcPr>
          <w:p>
            <w:pPr>
              <w:pStyle w:val="0"/>
              <w:jc w:val="both"/>
            </w:pPr>
            <w:r>
              <w:rPr>
                <w:sz w:val="20"/>
              </w:rPr>
              <w:t xml:space="preserve">ФСН по форме N 30 "Сведения о медицинской организации"</w:t>
            </w:r>
          </w:p>
        </w:tc>
      </w:tr>
      <w:tr>
        <w:tc>
          <w:tcPr>
            <w:tcW w:w="680" w:type="dxa"/>
          </w:tcPr>
          <w:p>
            <w:pPr>
              <w:pStyle w:val="0"/>
              <w:jc w:val="both"/>
            </w:pPr>
            <w:r>
              <w:rPr>
                <w:sz w:val="20"/>
              </w:rPr>
              <w:t xml:space="preserve">8.23</w:t>
            </w:r>
          </w:p>
        </w:tc>
        <w:tc>
          <w:tcPr>
            <w:tcW w:w="3798" w:type="dxa"/>
          </w:tcPr>
          <w:p>
            <w:pPr>
              <w:pStyle w:val="0"/>
              <w:jc w:val="both"/>
            </w:pPr>
            <w:r>
              <w:rPr>
                <w:sz w:val="20"/>
              </w:rPr>
              <w:t xml:space="preserve">Число посещений сельскими жителями ФП, ФАПов и ВА, в расчете на 1 сельского жителя</w:t>
            </w:r>
          </w:p>
        </w:tc>
        <w:tc>
          <w:tcPr>
            <w:tcW w:w="1984" w:type="dxa"/>
          </w:tcPr>
          <w:p>
            <w:pPr>
              <w:pStyle w:val="0"/>
              <w:jc w:val="both"/>
            </w:pPr>
            <w:r>
              <w:rPr>
                <w:sz w:val="20"/>
              </w:rPr>
              <w:t xml:space="preserve">посещение</w:t>
            </w:r>
          </w:p>
        </w:tc>
        <w:tc>
          <w:tcPr>
            <w:tcW w:w="4252" w:type="dxa"/>
          </w:tcPr>
          <w:p>
            <w:pPr>
              <w:pStyle w:val="0"/>
              <w:jc w:val="both"/>
            </w:pPr>
            <w:r>
              <w:rPr>
                <w:sz w:val="20"/>
              </w:rPr>
              <w:t xml:space="preserve">Соотношение числа посещений сельскими жителями фельдшерских пунктов, фельдшерско-акушерских пунктов и врачебных амбулаторий к среднегодовой численности сельского населения</w:t>
            </w:r>
          </w:p>
        </w:tc>
        <w:tc>
          <w:tcPr>
            <w:tcW w:w="2891" w:type="dxa"/>
          </w:tcPr>
          <w:p>
            <w:pPr>
              <w:pStyle w:val="0"/>
              <w:jc w:val="both"/>
            </w:pPr>
            <w:r>
              <w:rPr>
                <w:sz w:val="20"/>
              </w:rPr>
              <w:t xml:space="preserve">ФСН по форме N 30 "Сведения о медицинской организации"</w:t>
            </w:r>
          </w:p>
        </w:tc>
      </w:tr>
      <w:tr>
        <w:tc>
          <w:tcPr>
            <w:tcW w:w="680" w:type="dxa"/>
          </w:tcPr>
          <w:p>
            <w:pPr>
              <w:pStyle w:val="0"/>
              <w:jc w:val="both"/>
            </w:pPr>
            <w:r>
              <w:rPr>
                <w:sz w:val="20"/>
              </w:rPr>
              <w:t xml:space="preserve">8.24</w:t>
            </w:r>
          </w:p>
        </w:tc>
        <w:tc>
          <w:tcPr>
            <w:tcW w:w="3798" w:type="dxa"/>
          </w:tcPr>
          <w:p>
            <w:pPr>
              <w:pStyle w:val="0"/>
              <w:jc w:val="both"/>
            </w:pPr>
            <w:r>
              <w:rPr>
                <w:sz w:val="20"/>
              </w:rPr>
              <w:t xml:space="preserve">Доля граждан, ежегодно проходящих медицинский осмотр и (или) диспансеризацию, от общего числа населения</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прошедших профилактические медицинские осмотры и (или) диспансеризацию в субъекте Российской Федерации (Российской Федерации, федеральном округе) к среднегодовой численности населения</w:t>
            </w:r>
          </w:p>
        </w:tc>
        <w:tc>
          <w:tcPr>
            <w:tcW w:w="2891" w:type="dxa"/>
          </w:tcPr>
          <w:p>
            <w:pPr>
              <w:pStyle w:val="0"/>
              <w:jc w:val="both"/>
            </w:pPr>
            <w:r>
              <w:rPr>
                <w:sz w:val="20"/>
              </w:rPr>
              <w:t xml:space="preserve">ФСН по форме N 30 "Сведения о медицинской организации"</w:t>
            </w:r>
          </w:p>
        </w:tc>
      </w:tr>
      <w:tr>
        <w:tc>
          <w:tcPr>
            <w:tcW w:w="680" w:type="dxa"/>
          </w:tcPr>
          <w:p>
            <w:pPr>
              <w:pStyle w:val="0"/>
              <w:jc w:val="both"/>
            </w:pPr>
            <w:r>
              <w:rPr>
                <w:sz w:val="20"/>
              </w:rPr>
              <w:t xml:space="preserve">8.25</w:t>
            </w:r>
          </w:p>
        </w:tc>
        <w:tc>
          <w:tcPr>
            <w:tcW w:w="3798" w:type="dxa"/>
          </w:tcPr>
          <w:p>
            <w:pPr>
              <w:pStyle w:val="0"/>
              <w:jc w:val="both"/>
            </w:pPr>
            <w:r>
              <w:rPr>
                <w:sz w:val="20"/>
              </w:rPr>
              <w:t xml:space="preserve">Доля поликлиник и поликлинических подразделений, участвующих в тиражировании "Новой модели организации оказания медицинской помощи", от общего количества</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поликлиник и поликлинических подразделений, участвующих в создании и тиражировании "Новой модели организации оказания медицинской помощи", к общему числу поликлиник и поликлинических подразделений в субъекте Российской Федерации (Российской Федерации, федеральном округе)</w:t>
            </w:r>
          </w:p>
        </w:tc>
        <w:tc>
          <w:tcPr>
            <w:tcW w:w="2891" w:type="dxa"/>
          </w:tcPr>
          <w:p>
            <w:pPr>
              <w:pStyle w:val="0"/>
              <w:jc w:val="both"/>
            </w:pPr>
            <w:r>
              <w:rPr>
                <w:sz w:val="20"/>
              </w:rPr>
              <w:t xml:space="preserve">ФСН по форме N 30 "Сведения о медицинской организации"</w:t>
            </w:r>
          </w:p>
        </w:tc>
      </w:tr>
      <w:tr>
        <w:tc>
          <w:tcPr>
            <w:tcW w:w="680" w:type="dxa"/>
          </w:tcPr>
          <w:p>
            <w:pPr>
              <w:pStyle w:val="0"/>
              <w:jc w:val="both"/>
            </w:pPr>
            <w:r>
              <w:rPr>
                <w:sz w:val="20"/>
              </w:rPr>
              <w:t xml:space="preserve">8.26</w:t>
            </w:r>
          </w:p>
        </w:tc>
        <w:tc>
          <w:tcPr>
            <w:tcW w:w="3798" w:type="dxa"/>
          </w:tcPr>
          <w:p>
            <w:pPr>
              <w:pStyle w:val="0"/>
              <w:jc w:val="both"/>
            </w:pPr>
            <w:r>
              <w:rPr>
                <w:sz w:val="20"/>
              </w:rPr>
              <w:t xml:space="preserve">Число выполненных посещений гражданами поликлиник и поликлинических подразделений, участвующих в создании и тиражировании "Новой модели организации оказания медицинской помощи"</w:t>
            </w:r>
          </w:p>
        </w:tc>
        <w:tc>
          <w:tcPr>
            <w:tcW w:w="1984" w:type="dxa"/>
          </w:tcPr>
          <w:p>
            <w:pPr>
              <w:pStyle w:val="0"/>
              <w:jc w:val="both"/>
            </w:pPr>
            <w:r>
              <w:rPr>
                <w:sz w:val="20"/>
              </w:rPr>
              <w:t xml:space="preserve">тыс. посещений</w:t>
            </w:r>
          </w:p>
        </w:tc>
        <w:tc>
          <w:tcPr>
            <w:tcW w:w="4252" w:type="dxa"/>
          </w:tcPr>
          <w:p>
            <w:pPr>
              <w:pStyle w:val="0"/>
              <w:jc w:val="both"/>
            </w:pPr>
            <w:r>
              <w:rPr>
                <w:sz w:val="20"/>
              </w:rPr>
              <w:t xml:space="preserve">Число посещений поликлиник и поликлинических подразделений, участвующих в создании и тиражировании "Новой модели организации оказания медицинской помощи" в субъекте Российской Федерации (Российской Федерации, федеральном округе)</w:t>
            </w:r>
          </w:p>
        </w:tc>
        <w:tc>
          <w:tcPr>
            <w:tcW w:w="2891" w:type="dxa"/>
          </w:tcPr>
          <w:p>
            <w:pPr>
              <w:pStyle w:val="0"/>
              <w:jc w:val="both"/>
            </w:pPr>
            <w:r>
              <w:rPr>
                <w:sz w:val="20"/>
              </w:rPr>
              <w:t xml:space="preserve">ФСН по форме N 30 "Сведения о медицинской организации"</w:t>
            </w:r>
          </w:p>
        </w:tc>
      </w:tr>
      <w:tr>
        <w:tc>
          <w:tcPr>
            <w:tcW w:w="680" w:type="dxa"/>
          </w:tcPr>
          <w:p>
            <w:pPr>
              <w:pStyle w:val="0"/>
              <w:jc w:val="both"/>
            </w:pPr>
            <w:r>
              <w:rPr>
                <w:sz w:val="20"/>
              </w:rPr>
              <w:t xml:space="preserve">8.27</w:t>
            </w:r>
          </w:p>
        </w:tc>
        <w:tc>
          <w:tcPr>
            <w:tcW w:w="3798" w:type="dxa"/>
          </w:tcPr>
          <w:p>
            <w:pPr>
              <w:pStyle w:val="0"/>
              <w:jc w:val="both"/>
            </w:pPr>
            <w:r>
              <w:rPr>
                <w:sz w:val="20"/>
              </w:rPr>
              <w:t xml:space="preserve">Доля обоснованных жалоб пациентов, застрахованных в системе обязательного медицинского страхования, на оказание медицинской помощи в системе обязательного медицинского страхования, урегулированных в досудебном порядке (от общего числа обоснованных жалоб пациентов), не менее</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количества обоснованных жалоб пациентов, застрахованных в системе ОМС, на оказание медицинской помощи в системе ОМС, урегулированных в досудебном порядке страховыми медицинскими организациями, к общему количеству поступивших обоснованных жалоб в субъекте Российской Федерации (Российской Федерации, федеральном округе)</w:t>
            </w:r>
          </w:p>
        </w:tc>
        <w:tc>
          <w:tcPr>
            <w:tcW w:w="2891" w:type="dxa"/>
          </w:tcPr>
          <w:p>
            <w:pPr>
              <w:pStyle w:val="0"/>
              <w:jc w:val="both"/>
            </w:pPr>
            <w:r>
              <w:rPr>
                <w:sz w:val="20"/>
              </w:rPr>
              <w:t xml:space="preserve">ГИС ОМС и данные отчетности по форме N ЗПЗ "Организация защиты прав застрахованных лиц в сфере обязательного медицинского страхования", утвержденной Федеральным фондом обязательного медицинского страхования</w:t>
            </w:r>
          </w:p>
        </w:tc>
      </w:tr>
      <w:tr>
        <w:tc>
          <w:tcPr>
            <w:tcW w:w="680" w:type="dxa"/>
          </w:tcPr>
          <w:p>
            <w:pPr>
              <w:pStyle w:val="0"/>
              <w:jc w:val="both"/>
            </w:pPr>
            <w:r>
              <w:rPr>
                <w:sz w:val="20"/>
              </w:rPr>
              <w:t xml:space="preserve">8.28</w:t>
            </w:r>
          </w:p>
        </w:tc>
        <w:tc>
          <w:tcPr>
            <w:tcW w:w="3798" w:type="dxa"/>
          </w:tcPr>
          <w:p>
            <w:pPr>
              <w:pStyle w:val="0"/>
              <w:jc w:val="both"/>
            </w:pPr>
            <w:r>
              <w:rPr>
                <w:sz w:val="20"/>
              </w:rPr>
              <w:t xml:space="preserve">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лиц с болезнями системы кровообращения, застрахованных в системе обязательного медицинского страхования (далее - система ОМС), состоящих под диспансерным наблюдением в соответствии с </w:t>
            </w:r>
            <w:hyperlink w:history="0" r:id="rId1010" w:tooltip="Приказ Минздрава России от 29.03.2019 N 173н &quot;Об утверждении порядка проведения диспансерного наблюдения за взрослыми&quot; (Зарегистрировано в Минюсте России 25.04.2019 N 54513) ------------ Утратил силу или отменен {КонсультантПлюс}">
              <w:r>
                <w:rPr>
                  <w:sz w:val="20"/>
                  <w:color w:val="0000ff"/>
                </w:rPr>
                <w:t xml:space="preserve">порядком</w:t>
              </w:r>
            </w:hyperlink>
            <w:r>
              <w:rPr>
                <w:sz w:val="20"/>
              </w:rPr>
              <w:t xml:space="preserve"> диспансерного наблюдения за взрослыми, утвержденным приказом Министерства здравоохранения Российской Федерации от 29 марта 2019 г. N 173н "Об утверждении порядка проведения диспансерного наблюдения за взрослыми", посетивших врача-терапевта, врача-кардиолога, врача-невролога и получивших медицинские услуги в рамках диспансерного наблюдения в отчетном периоде, к общему числу лиц с болезнями системы кровообращения, застрахованных в системе ОМС, состоящих под диспансерным наблюдением в соответствии с Порядком, на конец отчетного периода</w:t>
            </w:r>
          </w:p>
        </w:tc>
        <w:tc>
          <w:tcPr>
            <w:tcW w:w="2891" w:type="dxa"/>
          </w:tcPr>
          <w:p>
            <w:pPr>
              <w:pStyle w:val="0"/>
              <w:jc w:val="both"/>
            </w:pPr>
            <w:r>
              <w:rPr>
                <w:sz w:val="20"/>
              </w:rPr>
              <w:t xml:space="preserve">ГИС ОМС</w:t>
            </w:r>
          </w:p>
        </w:tc>
      </w:tr>
      <w:tr>
        <w:tc>
          <w:tcPr>
            <w:tcW w:w="680" w:type="dxa"/>
          </w:tcPr>
          <w:p>
            <w:pPr>
              <w:pStyle w:val="0"/>
              <w:jc w:val="both"/>
            </w:pPr>
            <w:r>
              <w:rPr>
                <w:sz w:val="20"/>
              </w:rPr>
              <w:t xml:space="preserve">8.29</w:t>
            </w:r>
          </w:p>
        </w:tc>
        <w:tc>
          <w:tcPr>
            <w:tcW w:w="3798" w:type="dxa"/>
          </w:tcPr>
          <w:p>
            <w:pPr>
              <w:pStyle w:val="0"/>
              <w:jc w:val="both"/>
            </w:pPr>
            <w:r>
              <w:rPr>
                <w:sz w:val="20"/>
              </w:rPr>
              <w:t xml:space="preserve">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БСК/число лиц с БСК, состоящих под диспансерным наблюдением)</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умерших от болезней системы кровообращения взрослых пациентов (18 лет и более) (далее - взрослые пациенты), состоявших под диспансерным наблюдением по поводу болезней системы кровообращения в отчетном периоде, к общему числу взрослых пациентов, состоявших под диспансерным наблюдением по поводу болезней системы кровообращения в отчетном периоде</w:t>
            </w:r>
          </w:p>
        </w:tc>
        <w:tc>
          <w:tcPr>
            <w:tcW w:w="2891" w:type="dxa"/>
          </w:tcPr>
          <w:p>
            <w:pPr>
              <w:pStyle w:val="0"/>
              <w:jc w:val="both"/>
            </w:pPr>
            <w:r>
              <w:rPr>
                <w:sz w:val="20"/>
              </w:rPr>
              <w:t xml:space="preserve">ФСН по форме N 12 "Сведения о числе заболеваний, зарегистрированных у пациентов, проживающих в районе обслуживания медицинской организации"</w:t>
            </w:r>
          </w:p>
        </w:tc>
      </w:tr>
      <w:tr>
        <w:tc>
          <w:tcPr>
            <w:tcW w:w="680" w:type="dxa"/>
          </w:tcPr>
          <w:p>
            <w:pPr>
              <w:pStyle w:val="0"/>
              <w:jc w:val="both"/>
            </w:pPr>
            <w:r>
              <w:rPr>
                <w:sz w:val="20"/>
              </w:rPr>
              <w:t xml:space="preserve">8.30</w:t>
            </w:r>
          </w:p>
        </w:tc>
        <w:tc>
          <w:tcPr>
            <w:tcW w:w="3798" w:type="dxa"/>
          </w:tcPr>
          <w:p>
            <w:pPr>
              <w:pStyle w:val="0"/>
              <w:jc w:val="both"/>
            </w:pPr>
            <w:r>
              <w:rPr>
                <w:sz w:val="20"/>
              </w:rPr>
              <w:t xml:space="preserve">Больничная летальность от инфаркта миокарда</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взрослых пациентов, умерших в медицинских организациях, оказывающих медицинскую помощь в стационарных условиях (далее - стационар), от острого и повторного инфаркта миокарда, к числу выбывших (выписанных + умерших) взрослых пациентов с острым и повторным инфарктом миокарда</w:t>
            </w:r>
          </w:p>
        </w:tc>
        <w:tc>
          <w:tcPr>
            <w:tcW w:w="2891" w:type="dxa"/>
          </w:tcPr>
          <w:p>
            <w:pPr>
              <w:pStyle w:val="0"/>
              <w:jc w:val="both"/>
            </w:pPr>
            <w:r>
              <w:rPr>
                <w:sz w:val="20"/>
              </w:rPr>
              <w:t xml:space="preserve">ФСН по форме N 14 "Сведения о деятельности подразделений медицинской организации, оказывающих медицинскую помощь в стационарных условиях"</w:t>
            </w:r>
          </w:p>
        </w:tc>
      </w:tr>
      <w:tr>
        <w:tc>
          <w:tcPr>
            <w:tcW w:w="680" w:type="dxa"/>
          </w:tcPr>
          <w:p>
            <w:pPr>
              <w:pStyle w:val="0"/>
              <w:jc w:val="both"/>
            </w:pPr>
            <w:r>
              <w:rPr>
                <w:sz w:val="20"/>
              </w:rPr>
              <w:t xml:space="preserve">8.31</w:t>
            </w:r>
          </w:p>
        </w:tc>
        <w:tc>
          <w:tcPr>
            <w:tcW w:w="3798" w:type="dxa"/>
          </w:tcPr>
          <w:p>
            <w:pPr>
              <w:pStyle w:val="0"/>
              <w:jc w:val="both"/>
            </w:pPr>
            <w:r>
              <w:rPr>
                <w:sz w:val="20"/>
              </w:rPr>
              <w:t xml:space="preserve">Больничная летальность от острого нарушения мозгового кровообращения</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взрослых пациентов, умерших в медицинских организациях, оказывающих медицинскую помощь в условиях стационара, от острого нарушения мозгового кровообращения (субарахноидального кровоизлияния + внутримозгового и другого внутричерепного кровоизлияния + инфаркта мозга + инсульта не уточненного как кровоизлияние или инфаркт) к числу выбывших (выписанных + умерших) взрослых пациентов с острым нарушением мозгового кровообращения (субарахноидальным кровоизлиянием + внутримозговым и другим внутричерепным кровоизлиянием + инфарктом мозга + инсультом не уточненным как кровоизлияние или инфаркт)</w:t>
            </w:r>
          </w:p>
        </w:tc>
        <w:tc>
          <w:tcPr>
            <w:tcW w:w="2891" w:type="dxa"/>
          </w:tcPr>
          <w:p>
            <w:pPr>
              <w:pStyle w:val="0"/>
              <w:jc w:val="both"/>
            </w:pPr>
            <w:r>
              <w:rPr>
                <w:sz w:val="20"/>
              </w:rPr>
              <w:t xml:space="preserve">ФСН по форме N 14 "Сведения о деятельности подразделений медицинской организации, оказывающих медицинскую помощь в стационарных условиях"</w:t>
            </w:r>
          </w:p>
        </w:tc>
      </w:tr>
      <w:tr>
        <w:tc>
          <w:tcPr>
            <w:tcW w:w="680" w:type="dxa"/>
          </w:tcPr>
          <w:p>
            <w:pPr>
              <w:pStyle w:val="0"/>
              <w:jc w:val="both"/>
            </w:pPr>
            <w:r>
              <w:rPr>
                <w:sz w:val="20"/>
              </w:rPr>
              <w:t xml:space="preserve">8.32</w:t>
            </w:r>
          </w:p>
        </w:tc>
        <w:tc>
          <w:tcPr>
            <w:tcW w:w="3798" w:type="dxa"/>
          </w:tcPr>
          <w:p>
            <w:pPr>
              <w:pStyle w:val="0"/>
              <w:jc w:val="both"/>
            </w:pPr>
            <w:r>
              <w:rPr>
                <w:sz w:val="20"/>
              </w:rPr>
              <w:t xml:space="preserve">Количество рентген-эндоваскулярных вмешательств в лечебных целях</w:t>
            </w:r>
          </w:p>
        </w:tc>
        <w:tc>
          <w:tcPr>
            <w:tcW w:w="1984" w:type="dxa"/>
          </w:tcPr>
          <w:p>
            <w:pPr>
              <w:pStyle w:val="0"/>
              <w:jc w:val="both"/>
            </w:pPr>
            <w:r>
              <w:rPr>
                <w:sz w:val="20"/>
              </w:rPr>
              <w:t xml:space="preserve">тыс. единиц</w:t>
            </w:r>
          </w:p>
        </w:tc>
        <w:tc>
          <w:tcPr>
            <w:tcW w:w="4252" w:type="dxa"/>
          </w:tcPr>
          <w:p>
            <w:pPr>
              <w:pStyle w:val="0"/>
              <w:jc w:val="both"/>
            </w:pPr>
            <w:r>
              <w:rPr>
                <w:sz w:val="20"/>
              </w:rPr>
              <w:t xml:space="preserve">Число рентген-эндоваскулярных вмешательств в лечебных целях (операций ангиопластики коронарных артерий, проведенных взрослым пациентам в медицинских организациях, оказывающих медицинскую помощь в условиях стационара), деленное на 1000</w:t>
            </w:r>
          </w:p>
        </w:tc>
        <w:tc>
          <w:tcPr>
            <w:tcW w:w="2891" w:type="dxa"/>
          </w:tcPr>
          <w:p>
            <w:pPr>
              <w:pStyle w:val="0"/>
              <w:jc w:val="both"/>
            </w:pPr>
            <w:r>
              <w:rPr>
                <w:sz w:val="20"/>
              </w:rPr>
              <w:t xml:space="preserve">ФСН по форме N 14 "Сведения о деятельности подразделений медицинской организации, оказывающих медицинскую помощь в стационарных условиях"</w:t>
            </w:r>
          </w:p>
        </w:tc>
      </w:tr>
      <w:tr>
        <w:tc>
          <w:tcPr>
            <w:tcW w:w="680" w:type="dxa"/>
          </w:tcPr>
          <w:p>
            <w:pPr>
              <w:pStyle w:val="0"/>
              <w:jc w:val="both"/>
            </w:pPr>
            <w:r>
              <w:rPr>
                <w:sz w:val="20"/>
              </w:rPr>
              <w:t xml:space="preserve">8.33</w:t>
            </w:r>
          </w:p>
        </w:tc>
        <w:tc>
          <w:tcPr>
            <w:tcW w:w="3798" w:type="dxa"/>
          </w:tcPr>
          <w:p>
            <w:pPr>
              <w:pStyle w:val="0"/>
              <w:jc w:val="both"/>
            </w:pPr>
            <w:r>
              <w:rPr>
                <w:sz w:val="20"/>
              </w:rPr>
              <w:t xml:space="preserve">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взрослых пациентов,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находившихся в отчетном периоде под диспансерным наблюдением и бесплатно получавших необходимые лекарственные препараты в амбулаторных условиях, за исключением лиц, имеющих право на получение социальной услуги в виде обеспечения лекарственными препаратами для медицинского применения в соответствии с Федеральным </w:t>
            </w:r>
            <w:hyperlink w:history="0" r:id="rId1011" w:tooltip="Федеральный закон от 17.07.1999 N 178-ФЗ (ред. от 24.07.2023) &quot;О государственной социальной помощи&quot; {КонсультантПлюс}">
              <w:r>
                <w:rPr>
                  <w:sz w:val="20"/>
                  <w:color w:val="0000ff"/>
                </w:rPr>
                <w:t xml:space="preserve">законом</w:t>
              </w:r>
            </w:hyperlink>
            <w:r>
              <w:rPr>
                <w:sz w:val="20"/>
              </w:rPr>
              <w:t xml:space="preserve"> "О государственной социальной помощи" (далее - лица, имеющие право на социальную помощь), к числу взрослых пациентов, находившихся в отчетном периоде под диспансерным наблюдением по поводу перенесенного острого нарушения мозгового кровообращения, инфаркта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за исключением лиц, имеющих право на социальную помощь</w:t>
            </w:r>
          </w:p>
        </w:tc>
        <w:tc>
          <w:tcPr>
            <w:tcW w:w="2891" w:type="dxa"/>
          </w:tcPr>
          <w:p>
            <w:pPr>
              <w:pStyle w:val="0"/>
              <w:jc w:val="both"/>
            </w:pPr>
            <w:r>
              <w:rPr>
                <w:sz w:val="20"/>
              </w:rPr>
              <w:t xml:space="preserve">ФСН по форме N 12 "Сведения о числе заболеваний, зарегистрированных у пациентов, проживающих в районе обслуживания медицинской организации"</w:t>
            </w:r>
          </w:p>
        </w:tc>
      </w:tr>
      <w:tr>
        <w:tc>
          <w:tcPr>
            <w:tcW w:w="680" w:type="dxa"/>
          </w:tcPr>
          <w:p>
            <w:pPr>
              <w:pStyle w:val="0"/>
              <w:jc w:val="both"/>
            </w:pPr>
            <w:r>
              <w:rPr>
                <w:sz w:val="20"/>
              </w:rPr>
              <w:t xml:space="preserve">8.34</w:t>
            </w:r>
          </w:p>
        </w:tc>
        <w:tc>
          <w:tcPr>
            <w:tcW w:w="3798" w:type="dxa"/>
          </w:tcPr>
          <w:p>
            <w:pPr>
              <w:pStyle w:val="0"/>
              <w:jc w:val="both"/>
            </w:pPr>
            <w:r>
              <w:rPr>
                <w:sz w:val="20"/>
              </w:rPr>
              <w:t xml:space="preserve">Удельный вес больных со злокачественными новообразованиями, состоящих на учете 5 лет и более, от общего числа больных со злокачественными образованиями, состоящих под диспансерным наблюдением</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пациентов со злокачественными новообразованиями, состоящих под диспансерным наблюдением с момента установления диагноза 5 лет и более, к числу пациентов со злокачественными новообразованиями, состоящих под диспансерным наблюдением на конец отчетного периода (всего)</w:t>
            </w:r>
          </w:p>
        </w:tc>
        <w:tc>
          <w:tcPr>
            <w:tcW w:w="2891" w:type="dxa"/>
          </w:tcPr>
          <w:p>
            <w:pPr>
              <w:pStyle w:val="0"/>
              <w:jc w:val="both"/>
            </w:pPr>
            <w:r>
              <w:rPr>
                <w:sz w:val="20"/>
              </w:rPr>
              <w:t xml:space="preserve">Форма федерального статистического наблюдения N 7 "Сведения о злокачественных новообразованиях"</w:t>
            </w:r>
          </w:p>
        </w:tc>
      </w:tr>
      <w:tr>
        <w:tc>
          <w:tcPr>
            <w:tcW w:w="680" w:type="dxa"/>
          </w:tcPr>
          <w:p>
            <w:pPr>
              <w:pStyle w:val="0"/>
              <w:jc w:val="both"/>
            </w:pPr>
            <w:r>
              <w:rPr>
                <w:sz w:val="20"/>
              </w:rPr>
              <w:t xml:space="preserve">8.35</w:t>
            </w:r>
          </w:p>
        </w:tc>
        <w:tc>
          <w:tcPr>
            <w:tcW w:w="3798" w:type="dxa"/>
          </w:tcPr>
          <w:p>
            <w:pPr>
              <w:pStyle w:val="0"/>
              <w:jc w:val="both"/>
            </w:pPr>
            <w:r>
              <w:rPr>
                <w:sz w:val="20"/>
              </w:rPr>
              <w:t xml:space="preserve">Доля злокачественных новообразований, выявленных на I - II стадиях</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злокачественных новообразований, выявленных на I - II стадиях заболевания в отчетном периоде (без выявленных посмертно), к общему числу злокачественных новообразований, выявленных в отчетном году (без выявленных посмертно)</w:t>
            </w:r>
          </w:p>
        </w:tc>
        <w:tc>
          <w:tcPr>
            <w:tcW w:w="2891" w:type="dxa"/>
          </w:tcPr>
          <w:p>
            <w:pPr>
              <w:pStyle w:val="0"/>
              <w:jc w:val="both"/>
            </w:pPr>
            <w:r>
              <w:rPr>
                <w:sz w:val="20"/>
              </w:rPr>
              <w:t xml:space="preserve">ГИС ОМС</w:t>
            </w:r>
          </w:p>
        </w:tc>
      </w:tr>
      <w:tr>
        <w:tc>
          <w:tcPr>
            <w:tcW w:w="680" w:type="dxa"/>
          </w:tcPr>
          <w:p>
            <w:pPr>
              <w:pStyle w:val="0"/>
              <w:jc w:val="both"/>
            </w:pPr>
            <w:r>
              <w:rPr>
                <w:sz w:val="20"/>
              </w:rPr>
              <w:t xml:space="preserve">8.36</w:t>
            </w:r>
          </w:p>
        </w:tc>
        <w:tc>
          <w:tcPr>
            <w:tcW w:w="3798" w:type="dxa"/>
          </w:tcPr>
          <w:p>
            <w:pPr>
              <w:pStyle w:val="0"/>
              <w:jc w:val="both"/>
            </w:pPr>
            <w:r>
              <w:rPr>
                <w:sz w:val="20"/>
              </w:rPr>
              <w:t xml:space="preserve">Доля лиц с онкологическими заболеваниями, прошедших обследование и/или лечение в текущем году, из числа состоящих под диспансерным наблюдением</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лиц с онкологическими заболеваниями, застрахованных в системе обязательного медицинского страхования (далее - система ОМС), состоящих под диспансерным наблюдением в соответствии с </w:t>
            </w:r>
            <w:hyperlink w:history="0" r:id="rId1012" w:tooltip="Приказ Минздрава России от 04.06.2020 N 548н &quot;Об утверждении порядка диспансерного наблюдения за взрослыми с онкологическими заболеваниями&quot; (Зарегистрировано в Минюсте России 26.06.2020 N 58786) {КонсультантПлюс}">
              <w:r>
                <w:rPr>
                  <w:sz w:val="20"/>
                  <w:color w:val="0000ff"/>
                </w:rPr>
                <w:t xml:space="preserve">порядком</w:t>
              </w:r>
            </w:hyperlink>
            <w:r>
              <w:rPr>
                <w:sz w:val="20"/>
              </w:rPr>
              <w:t xml:space="preserve"> диспансерного наблюдения за взрослыми с онкологическими заболеваниями, утвержденным приказом Министерства здравоохранения Российской Федерации от 4 июня 2020 г. N 548н (далее - Порядок), и посетивших врача-онколога, прошедших обследование и/или лечение в отчетном периоде, к общему числу лиц с онкологическими заболеваниями, застрахованных в системе ОМС, состоящих под диспансерным наблюдением в соответствии с Порядком, на конец отчетного периода</w:t>
            </w:r>
          </w:p>
        </w:tc>
        <w:tc>
          <w:tcPr>
            <w:tcW w:w="2891" w:type="dxa"/>
          </w:tcPr>
          <w:p>
            <w:pPr>
              <w:pStyle w:val="0"/>
              <w:jc w:val="both"/>
            </w:pPr>
            <w:r>
              <w:rPr>
                <w:sz w:val="20"/>
              </w:rPr>
              <w:t xml:space="preserve">ГИС ОМС</w:t>
            </w:r>
          </w:p>
        </w:tc>
      </w:tr>
      <w:tr>
        <w:tc>
          <w:tcPr>
            <w:tcW w:w="680" w:type="dxa"/>
          </w:tcPr>
          <w:p>
            <w:pPr>
              <w:pStyle w:val="0"/>
              <w:jc w:val="both"/>
            </w:pPr>
            <w:r>
              <w:rPr>
                <w:sz w:val="20"/>
              </w:rPr>
              <w:t xml:space="preserve">8.37</w:t>
            </w:r>
          </w:p>
        </w:tc>
        <w:tc>
          <w:tcPr>
            <w:tcW w:w="3798" w:type="dxa"/>
          </w:tcPr>
          <w:p>
            <w:pPr>
              <w:pStyle w:val="0"/>
              <w:jc w:val="both"/>
            </w:pPr>
            <w:r>
              <w:rPr>
                <w:sz w:val="20"/>
              </w:rPr>
              <w:t xml:space="preserve">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под диспансерное наблюдение в предыдущем году)</w:t>
            </w:r>
          </w:p>
        </w:tc>
        <w:tc>
          <w:tcPr>
            <w:tcW w:w="1984" w:type="dxa"/>
          </w:tcPr>
          <w:p>
            <w:pPr>
              <w:pStyle w:val="0"/>
              <w:jc w:val="both"/>
            </w:pPr>
            <w:r>
              <w:rPr>
                <w:sz w:val="20"/>
              </w:rPr>
              <w:t xml:space="preserve">%</w:t>
            </w:r>
          </w:p>
        </w:tc>
        <w:tc>
          <w:tcPr>
            <w:tcW w:w="4252" w:type="dxa"/>
          </w:tcPr>
          <w:p>
            <w:pPr>
              <w:pStyle w:val="0"/>
              <w:jc w:val="both"/>
            </w:pPr>
            <w:r>
              <w:rPr>
                <w:sz w:val="20"/>
              </w:rPr>
              <w:t xml:space="preserve">Показатель рассчитывается как соотношение числа пациентов, умерших от злокачественного новообразования до 1 года с момента установления диагноза, к числу пациентов с впервые в жизни установленным диагнозом злокачественного новообразования, взятых под диспансерное наблюдение в предыдущем году</w:t>
            </w:r>
          </w:p>
        </w:tc>
        <w:tc>
          <w:tcPr>
            <w:tcW w:w="2891" w:type="dxa"/>
          </w:tcPr>
          <w:p>
            <w:pPr>
              <w:pStyle w:val="0"/>
              <w:jc w:val="both"/>
            </w:pPr>
            <w:r>
              <w:rPr>
                <w:sz w:val="20"/>
              </w:rPr>
              <w:t xml:space="preserve">Форма федерального статистического наблюдения N 7 "Сведения о злокачественных новообразованиях"</w:t>
            </w:r>
          </w:p>
        </w:tc>
      </w:tr>
      <w:tr>
        <w:tc>
          <w:tcPr>
            <w:tcW w:w="680" w:type="dxa"/>
          </w:tcPr>
          <w:p>
            <w:pPr>
              <w:pStyle w:val="0"/>
              <w:jc w:val="both"/>
            </w:pPr>
            <w:r>
              <w:rPr>
                <w:sz w:val="20"/>
              </w:rPr>
              <w:t xml:space="preserve">8.38</w:t>
            </w:r>
          </w:p>
        </w:tc>
        <w:tc>
          <w:tcPr>
            <w:tcW w:w="3798" w:type="dxa"/>
          </w:tcPr>
          <w:p>
            <w:pPr>
              <w:pStyle w:val="0"/>
              <w:jc w:val="both"/>
            </w:pPr>
            <w:r>
              <w:rPr>
                <w:sz w:val="20"/>
              </w:rPr>
              <w:t xml:space="preserve">Число граждан, воспользовавшихся услугами (сервисами) в личном кабинете пациента "Мое здоровье" на Едином портале государственных услуг и функций</w:t>
            </w:r>
          </w:p>
        </w:tc>
        <w:tc>
          <w:tcPr>
            <w:tcW w:w="1984" w:type="dxa"/>
          </w:tcPr>
          <w:p>
            <w:pPr>
              <w:pStyle w:val="0"/>
              <w:jc w:val="both"/>
            </w:pPr>
            <w:r>
              <w:rPr>
                <w:sz w:val="20"/>
              </w:rPr>
              <w:t xml:space="preserve">тыс. чел.</w:t>
            </w:r>
          </w:p>
        </w:tc>
        <w:tc>
          <w:tcPr>
            <w:tcW w:w="4252" w:type="dxa"/>
          </w:tcPr>
          <w:p>
            <w:pPr>
              <w:pStyle w:val="0"/>
              <w:jc w:val="both"/>
            </w:pPr>
            <w:r>
              <w:rPr>
                <w:sz w:val="20"/>
              </w:rPr>
              <w:t xml:space="preserve">Показатель рассчитывается по Российской Федерации, субъектам Российской Федерации, федеральным округам как количество граждан, воспользовавшихся услугами (сервисами) в личном кабинете пациента "Мое здоровье" на Едином портале государственных и муниципальных услуг (функций), в отчетном периоде</w:t>
            </w:r>
          </w:p>
        </w:tc>
        <w:tc>
          <w:tcPr>
            <w:tcW w:w="2891" w:type="dxa"/>
          </w:tcPr>
          <w:p>
            <w:pPr>
              <w:pStyle w:val="0"/>
              <w:jc w:val="both"/>
            </w:pPr>
            <w:r>
              <w:rPr>
                <w:sz w:val="20"/>
              </w:rPr>
              <w:t xml:space="preserve">Портал оперативного взаимодействия участников ЕГИСЗ Минздрава России</w:t>
            </w:r>
          </w:p>
        </w:tc>
      </w:tr>
      <w:tr>
        <w:tc>
          <w:tcPr>
            <w:tcW w:w="680" w:type="dxa"/>
          </w:tcPr>
          <w:p>
            <w:pPr>
              <w:pStyle w:val="0"/>
              <w:jc w:val="both"/>
            </w:pPr>
            <w:r>
              <w:rPr>
                <w:sz w:val="20"/>
              </w:rPr>
              <w:t xml:space="preserve">8.39</w:t>
            </w:r>
          </w:p>
        </w:tc>
        <w:tc>
          <w:tcPr>
            <w:tcW w:w="3798" w:type="dxa"/>
          </w:tcPr>
          <w:p>
            <w:pPr>
              <w:pStyle w:val="0"/>
              <w:jc w:val="both"/>
            </w:pPr>
            <w:r>
              <w:rPr>
                <w:sz w:val="20"/>
              </w:rPr>
              <w:t xml:space="preserve">Доля медицинских организаций государственной и муниципальной систем здравоохранения, подключенных к централизованным подсистемам государственных информационных систем в сфере здравоохранения субъектов Российской Федерации</w:t>
            </w:r>
          </w:p>
        </w:tc>
        <w:tc>
          <w:tcPr>
            <w:tcW w:w="1984" w:type="dxa"/>
          </w:tcPr>
          <w:p>
            <w:pPr>
              <w:pStyle w:val="0"/>
              <w:jc w:val="both"/>
            </w:pPr>
            <w:r>
              <w:rPr>
                <w:sz w:val="20"/>
              </w:rPr>
              <w:t xml:space="preserve">%</w:t>
            </w:r>
          </w:p>
        </w:tc>
        <w:tc>
          <w:tcPr>
            <w:tcW w:w="4252" w:type="dxa"/>
          </w:tcPr>
          <w:p>
            <w:pPr>
              <w:pStyle w:val="0"/>
              <w:jc w:val="both"/>
            </w:pPr>
            <w:r>
              <w:rPr>
                <w:sz w:val="20"/>
              </w:rPr>
              <w:t xml:space="preserve">Среднее взвешенное показателей по подсистемам государственной информационной системы в сфере здравоохранения субъекта Российской Федерации: "Управление потоками пациентов", "Управление системой оказания скорой медицинской помощи и медицинской эвакуацией (в том числе санитарно-авиационной)", "Управление льготным лекарственным обеспечением", "Региональная интегрированная электронная медицинская карта", "Центральный архив медицинских изображений", "Лабораторные исследования", "Организация оказания медицинской помощи по профилям "Акушерство и гинекология" и "Неонатология (мониторинг беременных)", "Организация оказания медицинской помощи больным онкологическими заболеваниями", "Организация оказания профилактической медицинской помощи (диспансеризация, диспансерное наблюдение, профилактические осмотры)", "Организация оказания медицинской помощи больным сердечно-сосудистыми заболеваниями", "Телемедицинские консультации", определяемых как соотношение количества территориально выделенных структурных подразделений медицинских организаций государственной и муниципальной систем здравоохранения, передающих информацию в подсистемы государственной информационной системы в сфере здравоохранения субъекта Российской Федерации, к общему количеству территориально выделенных структурных подразделений медицинских организаций государственной и муниципальной систем здравоохранения на основе правил настройки входимости данных подсистемы "Федеральный реестр медицинских организаций" ЕГИСЗ</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8.40</w:t>
            </w:r>
          </w:p>
        </w:tc>
        <w:tc>
          <w:tcPr>
            <w:tcW w:w="3798" w:type="dxa"/>
          </w:tcPr>
          <w:p>
            <w:pPr>
              <w:pStyle w:val="0"/>
              <w:jc w:val="both"/>
            </w:pPr>
            <w:r>
              <w:rPr>
                <w:sz w:val="20"/>
              </w:rPr>
              <w:t xml:space="preserve">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количества территориально выделенных структурных подразделений медицинских организаций государственной и муниципальной систем здравоохранения, передающих информацию в подсистемы "Федеральная электронная регистратура" и "Федеральная интегрированная электронная медицинская карта" Единой государственной информационной системы в сфере здравоохранения (далее - ЕГИСЗ), к общему количеству территориально выделенных структурных подразделений медицинских организаций государственной и муниципальной систем здравоохранения, сведения о которых содержатся в подсистеме "Федеральный реестр медицинских организаций" ЕГИСЗ, в отчетном периоде</w:t>
            </w:r>
          </w:p>
        </w:tc>
        <w:tc>
          <w:tcPr>
            <w:tcW w:w="2891" w:type="dxa"/>
          </w:tcPr>
          <w:p>
            <w:pPr>
              <w:pStyle w:val="0"/>
              <w:jc w:val="both"/>
            </w:pPr>
            <w:r>
              <w:rPr>
                <w:sz w:val="20"/>
              </w:rPr>
              <w:t xml:space="preserve">"Федеральная электронная регистратура" и "Федеральная интегрированная электронная медицинская карта"</w:t>
            </w:r>
          </w:p>
        </w:tc>
      </w:tr>
      <w:tr>
        <w:tc>
          <w:tcPr>
            <w:tcW w:w="680" w:type="dxa"/>
          </w:tcPr>
          <w:p>
            <w:pPr>
              <w:pStyle w:val="0"/>
              <w:jc w:val="both"/>
            </w:pPr>
            <w:r>
              <w:rPr>
                <w:sz w:val="20"/>
              </w:rPr>
              <w:t xml:space="preserve">8.41</w:t>
            </w:r>
          </w:p>
        </w:tc>
        <w:tc>
          <w:tcPr>
            <w:tcW w:w="3798" w:type="dxa"/>
          </w:tcPr>
          <w:p>
            <w:pPr>
              <w:pStyle w:val="0"/>
              <w:jc w:val="both"/>
            </w:pPr>
            <w:r>
              <w:rPr>
                <w:sz w:val="20"/>
              </w:rPr>
              <w:t xml:space="preserve">Доля записей на прием к врачу, совершенных гражданами дистанционно</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записей на прием к врачу в рамках обязательного медицинского страхования в подсистеме "Федеральная электронная регистратура" ЕГИСЗ по всем источникам записи (за исключением регистратуры), к общему количеству посещений, получаемых из государственной информационной системы обязательного медицинского страхования (далее - ГИС ОМС), в отчетном периоде</w:t>
            </w:r>
          </w:p>
        </w:tc>
        <w:tc>
          <w:tcPr>
            <w:tcW w:w="2891" w:type="dxa"/>
          </w:tcPr>
          <w:p>
            <w:pPr>
              <w:pStyle w:val="0"/>
              <w:jc w:val="both"/>
            </w:pPr>
            <w:r>
              <w:rPr>
                <w:sz w:val="20"/>
              </w:rPr>
              <w:t xml:space="preserve">ИМЭК/ГИС ОИМ</w:t>
            </w:r>
          </w:p>
        </w:tc>
      </w:tr>
      <w:tr>
        <w:tc>
          <w:tcPr>
            <w:tcW w:w="680" w:type="dxa"/>
          </w:tcPr>
          <w:p>
            <w:pPr>
              <w:pStyle w:val="0"/>
              <w:jc w:val="both"/>
            </w:pPr>
            <w:r>
              <w:rPr>
                <w:sz w:val="20"/>
              </w:rPr>
              <w:t xml:space="preserve">8.42</w:t>
            </w:r>
          </w:p>
        </w:tc>
        <w:tc>
          <w:tcPr>
            <w:tcW w:w="3798" w:type="dxa"/>
          </w:tcPr>
          <w:p>
            <w:pPr>
              <w:pStyle w:val="0"/>
              <w:jc w:val="both"/>
            </w:pPr>
            <w:r>
              <w:rPr>
                <w:sz w:val="20"/>
              </w:rPr>
              <w:t xml:space="preserve">Доля случаев оказания медицинской помощи, по которым представлены электронные медицинские документы в подсистеме ЕГИСЗ за период</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электронных медицинских документов, зарегистрированных в подсистемах "Федеральный реестр электронных медицинских документов" и "Интегрированная электронная медицинская карта" ЕГИСЗ, к общему количеству случаев оказания медицинской помощи, получаемых из государственной информационной системы обязательного медицинского страхования (далее - ГИС ОМС), в отчетном периоде</w:t>
            </w:r>
          </w:p>
        </w:tc>
        <w:tc>
          <w:tcPr>
            <w:tcW w:w="2891" w:type="dxa"/>
          </w:tcPr>
          <w:p>
            <w:pPr>
              <w:pStyle w:val="0"/>
              <w:jc w:val="both"/>
            </w:pPr>
            <w:r>
              <w:rPr>
                <w:sz w:val="20"/>
              </w:rPr>
              <w:t xml:space="preserve">РЭМД + ИМЭК/ГИС ОМС</w:t>
            </w:r>
          </w:p>
        </w:tc>
      </w:tr>
      <w:tr>
        <w:tc>
          <w:tcPr>
            <w:tcW w:w="680" w:type="dxa"/>
          </w:tcPr>
          <w:p>
            <w:pPr>
              <w:pStyle w:val="0"/>
              <w:jc w:val="both"/>
            </w:pPr>
            <w:r>
              <w:rPr>
                <w:sz w:val="20"/>
              </w:rPr>
              <w:t xml:space="preserve">8.43</w:t>
            </w:r>
          </w:p>
        </w:tc>
        <w:tc>
          <w:tcPr>
            <w:tcW w:w="3798" w:type="dxa"/>
          </w:tcPr>
          <w:p>
            <w:pPr>
              <w:pStyle w:val="0"/>
              <w:jc w:val="both"/>
            </w:pPr>
            <w:r>
              <w:rPr>
                <w:sz w:val="20"/>
              </w:rPr>
              <w:t xml:space="preserve">Доля граждан, являющихся пользователями ЕПГУ, которым доступны электронные медицинские документы в личном кабинете пациента "Мое здоровье" по факту оказания медицинской помощи за период</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граждан, являющихся пользователями ЕПГУ, по которым в результате обращений за медицинской помощью в рамках обязательного медицинского страхования зарегистрированы электронные медицинские документы в подсистеме "Федеральный реестр электронных медицинских документов" ЕГИСЗ, к общему количеству граждан, получивших медицинскую помощь в рамках обязательного медицинского страхования в отчетном периоде</w:t>
            </w:r>
          </w:p>
        </w:tc>
        <w:tc>
          <w:tcPr>
            <w:tcW w:w="2891" w:type="dxa"/>
          </w:tcPr>
          <w:p>
            <w:pPr>
              <w:pStyle w:val="0"/>
              <w:jc w:val="both"/>
            </w:pPr>
            <w:r>
              <w:rPr>
                <w:sz w:val="20"/>
              </w:rPr>
              <w:t xml:space="preserve">РЭМД/ГИС ОМС</w:t>
            </w:r>
          </w:p>
        </w:tc>
      </w:tr>
      <w:tr>
        <w:tc>
          <w:tcPr>
            <w:tcW w:w="680" w:type="dxa"/>
          </w:tcPr>
          <w:p>
            <w:pPr>
              <w:pStyle w:val="0"/>
              <w:jc w:val="both"/>
            </w:pPr>
            <w:r>
              <w:rPr>
                <w:sz w:val="20"/>
              </w:rPr>
              <w:t xml:space="preserve">8.44</w:t>
            </w:r>
          </w:p>
        </w:tc>
        <w:tc>
          <w:tcPr>
            <w:tcW w:w="3798" w:type="dxa"/>
          </w:tcPr>
          <w:p>
            <w:pPr>
              <w:pStyle w:val="0"/>
              <w:jc w:val="both"/>
            </w:pPr>
            <w:r>
              <w:rPr>
                <w:sz w:val="20"/>
              </w:rPr>
              <w:t xml:space="preserve">Обеспеченность населения врачами, работающими в государственных и муниципальных медицинских организациях, чел. на 10 тыс. населения</w:t>
            </w:r>
          </w:p>
        </w:tc>
        <w:tc>
          <w:tcPr>
            <w:tcW w:w="1984" w:type="dxa"/>
          </w:tcPr>
          <w:p>
            <w:pPr>
              <w:pStyle w:val="0"/>
              <w:jc w:val="both"/>
            </w:pPr>
            <w:r>
              <w:rPr>
                <w:sz w:val="20"/>
              </w:rPr>
              <w:t xml:space="preserve">чел.</w:t>
            </w:r>
          </w:p>
        </w:tc>
        <w:tc>
          <w:tcPr>
            <w:tcW w:w="4252" w:type="dxa"/>
          </w:tcPr>
          <w:p>
            <w:pPr>
              <w:pStyle w:val="0"/>
              <w:jc w:val="both"/>
            </w:pPr>
            <w:r>
              <w:rPr>
                <w:sz w:val="20"/>
              </w:rPr>
              <w:t xml:space="preserve">Соотношение числа врачей, работающих в государственных медицинских организациях, к численности постоянного населения субъекта Российской Федерации</w:t>
            </w:r>
          </w:p>
        </w:tc>
        <w:tc>
          <w:tcPr>
            <w:tcW w:w="2891" w:type="dxa"/>
          </w:tcPr>
          <w:p>
            <w:pPr>
              <w:pStyle w:val="0"/>
              <w:jc w:val="both"/>
            </w:pPr>
            <w:r>
              <w:rPr>
                <w:sz w:val="20"/>
              </w:rPr>
              <w:t xml:space="preserve">Форма федерального статистического наблюдения N 30 "Сведения о медицинской организации"</w:t>
            </w:r>
          </w:p>
        </w:tc>
      </w:tr>
      <w:tr>
        <w:tc>
          <w:tcPr>
            <w:tcW w:w="680" w:type="dxa"/>
          </w:tcPr>
          <w:p>
            <w:pPr>
              <w:pStyle w:val="0"/>
              <w:jc w:val="both"/>
            </w:pPr>
            <w:r>
              <w:rPr>
                <w:sz w:val="20"/>
              </w:rPr>
              <w:t xml:space="preserve">8.45</w:t>
            </w:r>
          </w:p>
        </w:tc>
        <w:tc>
          <w:tcPr>
            <w:tcW w:w="3798" w:type="dxa"/>
          </w:tcPr>
          <w:p>
            <w:pPr>
              <w:pStyle w:val="0"/>
              <w:jc w:val="both"/>
            </w:pPr>
            <w:r>
              <w:rPr>
                <w:sz w:val="20"/>
              </w:rPr>
              <w:t xml:space="preserve">Обеспеченность населения средними медицинскими работниками, работающими в государственных и муниципальных медицинских организациях, чел. на 10 тыс. населения</w:t>
            </w:r>
          </w:p>
        </w:tc>
        <w:tc>
          <w:tcPr>
            <w:tcW w:w="1984" w:type="dxa"/>
          </w:tcPr>
          <w:p>
            <w:pPr>
              <w:pStyle w:val="0"/>
              <w:jc w:val="both"/>
            </w:pPr>
            <w:r>
              <w:rPr>
                <w:sz w:val="20"/>
              </w:rPr>
              <w:t xml:space="preserve">чел.</w:t>
            </w:r>
          </w:p>
        </w:tc>
        <w:tc>
          <w:tcPr>
            <w:tcW w:w="4252" w:type="dxa"/>
          </w:tcPr>
          <w:p>
            <w:pPr>
              <w:pStyle w:val="0"/>
              <w:jc w:val="both"/>
            </w:pPr>
            <w:r>
              <w:rPr>
                <w:sz w:val="20"/>
              </w:rPr>
              <w:t xml:space="preserve">Соотношение числа среднего медицинского персонала, работающего в государственных медицинских организациях, к численности постоянного населения субъекта Российской Федерации</w:t>
            </w:r>
          </w:p>
        </w:tc>
        <w:tc>
          <w:tcPr>
            <w:tcW w:w="2891" w:type="dxa"/>
          </w:tcPr>
          <w:p>
            <w:pPr>
              <w:pStyle w:val="0"/>
              <w:jc w:val="both"/>
            </w:pPr>
            <w:r>
              <w:rPr>
                <w:sz w:val="20"/>
              </w:rPr>
              <w:t xml:space="preserve">Форма федерального статистического наблюдения N 30 "Сведения о медицинской организации"</w:t>
            </w:r>
          </w:p>
        </w:tc>
      </w:tr>
      <w:tr>
        <w:tc>
          <w:tcPr>
            <w:tcW w:w="680" w:type="dxa"/>
          </w:tcPr>
          <w:p>
            <w:pPr>
              <w:pStyle w:val="0"/>
              <w:jc w:val="both"/>
            </w:pPr>
            <w:r>
              <w:rPr>
                <w:sz w:val="20"/>
              </w:rPr>
              <w:t xml:space="preserve">8.46</w:t>
            </w:r>
          </w:p>
        </w:tc>
        <w:tc>
          <w:tcPr>
            <w:tcW w:w="3798" w:type="dxa"/>
          </w:tcPr>
          <w:p>
            <w:pPr>
              <w:pStyle w:val="0"/>
              <w:jc w:val="both"/>
            </w:pPr>
            <w:r>
              <w:rPr>
                <w:sz w:val="20"/>
              </w:rPr>
              <w:t xml:space="preserve">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нарастающим итогом</w:t>
            </w:r>
          </w:p>
        </w:tc>
        <w:tc>
          <w:tcPr>
            <w:tcW w:w="1984" w:type="dxa"/>
          </w:tcPr>
          <w:p>
            <w:pPr>
              <w:pStyle w:val="0"/>
              <w:jc w:val="both"/>
            </w:pPr>
            <w:r>
              <w:rPr>
                <w:sz w:val="20"/>
              </w:rPr>
              <w:t xml:space="preserve">тыс. чел.</w:t>
            </w:r>
          </w:p>
        </w:tc>
        <w:tc>
          <w:tcPr>
            <w:tcW w:w="4252" w:type="dxa"/>
          </w:tcPr>
          <w:p>
            <w:pPr>
              <w:pStyle w:val="0"/>
              <w:jc w:val="both"/>
            </w:pPr>
            <w:r>
              <w:rPr>
                <w:sz w:val="20"/>
              </w:rPr>
              <w:t xml:space="preserve">Значение равно числу активных пользователей интернет-портала непрерывного медицинского и фармацевтического образования, расположенного в информационно-телекоммуникационной сети "Интернет" по адресу: </w:t>
            </w:r>
            <w:r>
              <w:rPr>
                <w:sz w:val="20"/>
              </w:rPr>
              <w:t xml:space="preserve">http://edu.rosminzdrav.ru</w:t>
            </w:r>
          </w:p>
        </w:tc>
        <w:tc>
          <w:tcPr>
            <w:tcW w:w="2891" w:type="dxa"/>
          </w:tcPr>
          <w:p>
            <w:pPr>
              <w:pStyle w:val="0"/>
              <w:jc w:val="both"/>
            </w:pPr>
            <w:r>
              <w:rPr>
                <w:sz w:val="20"/>
              </w:rPr>
              <w:t xml:space="preserve">Информационная система обеспечения непрерывного медицинского образования</w:t>
            </w:r>
          </w:p>
        </w:tc>
      </w:tr>
      <w:tr>
        <w:tc>
          <w:tcPr>
            <w:tcW w:w="680" w:type="dxa"/>
          </w:tcPr>
          <w:p>
            <w:pPr>
              <w:pStyle w:val="0"/>
              <w:jc w:val="both"/>
            </w:pPr>
            <w:r>
              <w:rPr>
                <w:sz w:val="20"/>
              </w:rPr>
              <w:t xml:space="preserve">8.47</w:t>
            </w:r>
          </w:p>
        </w:tc>
        <w:tc>
          <w:tcPr>
            <w:tcW w:w="3798" w:type="dxa"/>
          </w:tcPr>
          <w:p>
            <w:pPr>
              <w:pStyle w:val="0"/>
              <w:jc w:val="both"/>
            </w:pPr>
            <w:r>
              <w:rPr>
                <w:sz w:val="20"/>
              </w:rPr>
              <w:t xml:space="preserve">Обеспеченность населения врачами, оказывающими первичную медико-санитарную помощь, чел. на 10 тыс. населения</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врачей, оказывающих медицинскую помощь в амбулаторных условиях в государственных медицинских организациях, к численности постоянного населения субъекта Российской Федерации</w:t>
            </w:r>
          </w:p>
        </w:tc>
        <w:tc>
          <w:tcPr>
            <w:tcW w:w="2891" w:type="dxa"/>
          </w:tcPr>
          <w:p>
            <w:pPr>
              <w:pStyle w:val="0"/>
              <w:jc w:val="both"/>
            </w:pPr>
            <w:r>
              <w:rPr>
                <w:sz w:val="20"/>
              </w:rPr>
              <w:t xml:space="preserve">Форма федерального статистического наблюдения N 30 "Сведения о медицинской организации"</w:t>
            </w:r>
          </w:p>
        </w:tc>
      </w:tr>
      <w:tr>
        <w:tc>
          <w:tcPr>
            <w:tcW w:w="680" w:type="dxa"/>
          </w:tcPr>
          <w:p>
            <w:pPr>
              <w:pStyle w:val="0"/>
              <w:jc w:val="both"/>
            </w:pPr>
            <w:r>
              <w:rPr>
                <w:sz w:val="20"/>
              </w:rPr>
              <w:t xml:space="preserve">8.48</w:t>
            </w:r>
          </w:p>
        </w:tc>
        <w:tc>
          <w:tcPr>
            <w:tcW w:w="3798" w:type="dxa"/>
          </w:tcPr>
          <w:p>
            <w:pPr>
              <w:pStyle w:val="0"/>
              <w:jc w:val="both"/>
            </w:pPr>
            <w:r>
              <w:rPr>
                <w:sz w:val="20"/>
              </w:rPr>
              <w:t xml:space="preserve">Обеспеченность населения медицинскими работниками, оказывающими скорую медицинскую помощь, чел. на 10 тыс. населения</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медицинских работников, оказывающих скорую медицинскую помощь, к численности постоянного населения субъекта Российской Федерации</w:t>
            </w:r>
          </w:p>
        </w:tc>
        <w:tc>
          <w:tcPr>
            <w:tcW w:w="2891" w:type="dxa"/>
          </w:tcPr>
          <w:p>
            <w:pPr>
              <w:pStyle w:val="0"/>
              <w:jc w:val="both"/>
            </w:pPr>
            <w:r>
              <w:rPr>
                <w:sz w:val="20"/>
              </w:rPr>
              <w:t xml:space="preserve">Форма федерального статистического наблюдения N 30 "Сведения о медицинской организации"</w:t>
            </w:r>
          </w:p>
        </w:tc>
      </w:tr>
      <w:tr>
        <w:tc>
          <w:tcPr>
            <w:tcW w:w="680" w:type="dxa"/>
          </w:tcPr>
          <w:p>
            <w:pPr>
              <w:pStyle w:val="0"/>
              <w:jc w:val="both"/>
            </w:pPr>
            <w:r>
              <w:rPr>
                <w:sz w:val="20"/>
              </w:rPr>
              <w:t xml:space="preserve">8.49</w:t>
            </w:r>
          </w:p>
        </w:tc>
        <w:tc>
          <w:tcPr>
            <w:tcW w:w="3798" w:type="dxa"/>
          </w:tcPr>
          <w:p>
            <w:pPr>
              <w:pStyle w:val="0"/>
              <w:jc w:val="both"/>
            </w:pPr>
            <w:r>
              <w:rPr>
                <w:sz w:val="20"/>
              </w:rPr>
              <w:t xml:space="preserve">Обеспеченность населения врачами, оказывающими специализированную медицинскую помощь, чел. на 10 тыс. населения</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врачей, оказывающих медицинскую помощь в стационарных условиях в государственных медицинских организациях, к численности постоянного населения субъекта Российской Федерации</w:t>
            </w:r>
          </w:p>
        </w:tc>
        <w:tc>
          <w:tcPr>
            <w:tcW w:w="2891" w:type="dxa"/>
          </w:tcPr>
          <w:p>
            <w:pPr>
              <w:pStyle w:val="0"/>
              <w:jc w:val="both"/>
            </w:pPr>
            <w:r>
              <w:rPr>
                <w:sz w:val="20"/>
              </w:rPr>
              <w:t xml:space="preserve">Форма федерального статистического наблюдения N 30 "Сведения о медицинской организации"</w:t>
            </w:r>
          </w:p>
        </w:tc>
      </w:tr>
      <w:tr>
        <w:tc>
          <w:tcPr>
            <w:tcW w:w="680" w:type="dxa"/>
          </w:tcPr>
          <w:p>
            <w:pPr>
              <w:pStyle w:val="0"/>
              <w:jc w:val="both"/>
            </w:pPr>
            <w:r>
              <w:rPr>
                <w:sz w:val="20"/>
              </w:rPr>
              <w:t xml:space="preserve">8.50</w:t>
            </w:r>
          </w:p>
        </w:tc>
        <w:tc>
          <w:tcPr>
            <w:tcW w:w="3798" w:type="dxa"/>
          </w:tcPr>
          <w:p>
            <w:pPr>
              <w:pStyle w:val="0"/>
              <w:jc w:val="both"/>
            </w:pPr>
            <w:r>
              <w:rPr>
                <w:sz w:val="20"/>
              </w:rPr>
              <w:t xml:space="preserve">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 нарастающим итогом: врачами</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занятых должностей врачей в подразделениях медицинских организаций, оказывающих медицинскую помощь в амбулаторных условиях, к числу штатных должностей врачей в медицинских организациях, оказывающих медицинскую помощь в амбулаторных условиях</w:t>
            </w:r>
          </w:p>
        </w:tc>
        <w:tc>
          <w:tcPr>
            <w:tcW w:w="2891" w:type="dxa"/>
          </w:tcPr>
          <w:p>
            <w:pPr>
              <w:pStyle w:val="0"/>
              <w:jc w:val="both"/>
            </w:pPr>
            <w:r>
              <w:rPr>
                <w:sz w:val="20"/>
              </w:rPr>
              <w:t xml:space="preserve">Форма федерального статистического наблюдения N 30 "Сведения о медицинской организации"</w:t>
            </w:r>
          </w:p>
        </w:tc>
      </w:tr>
      <w:tr>
        <w:tc>
          <w:tcPr>
            <w:tcW w:w="680" w:type="dxa"/>
          </w:tcPr>
          <w:p>
            <w:pPr>
              <w:pStyle w:val="0"/>
              <w:jc w:val="both"/>
            </w:pPr>
            <w:r>
              <w:rPr>
                <w:sz w:val="20"/>
              </w:rPr>
              <w:t xml:space="preserve">8.51</w:t>
            </w:r>
          </w:p>
        </w:tc>
        <w:tc>
          <w:tcPr>
            <w:tcW w:w="3798" w:type="dxa"/>
          </w:tcPr>
          <w:p>
            <w:pPr>
              <w:pStyle w:val="0"/>
              <w:jc w:val="both"/>
            </w:pPr>
            <w:r>
              <w:rPr>
                <w:sz w:val="20"/>
              </w:rPr>
              <w:t xml:space="preserve">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 нарастающим итогом: средними медицинскими работниками</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занятых должностей средними медицинскими работниками в подразделениях медицинских организаций, оказывающих медицинскую помощь в амбулаторных условиях, к числу штатных должностей средних медицинских работников в медицинских организациях, оказывающих медицинскую помощь в амбулаторных условиях</w:t>
            </w:r>
          </w:p>
        </w:tc>
        <w:tc>
          <w:tcPr>
            <w:tcW w:w="2891" w:type="dxa"/>
          </w:tcPr>
          <w:p>
            <w:pPr>
              <w:pStyle w:val="0"/>
              <w:jc w:val="both"/>
            </w:pPr>
            <w:r>
              <w:rPr>
                <w:sz w:val="20"/>
              </w:rPr>
              <w:t xml:space="preserve">Форма федерального статистического наблюдения N 30 "Сведения о медицинской организации"</w:t>
            </w:r>
          </w:p>
        </w:tc>
      </w:tr>
      <w:tr>
        <w:tc>
          <w:tcPr>
            <w:tcW w:w="680" w:type="dxa"/>
          </w:tcPr>
          <w:p>
            <w:pPr>
              <w:pStyle w:val="0"/>
              <w:jc w:val="both"/>
            </w:pPr>
            <w:r>
              <w:rPr>
                <w:sz w:val="20"/>
              </w:rPr>
              <w:t xml:space="preserve">8.52</w:t>
            </w:r>
          </w:p>
        </w:tc>
        <w:tc>
          <w:tcPr>
            <w:tcW w:w="3798" w:type="dxa"/>
          </w:tcPr>
          <w:p>
            <w:pPr>
              <w:pStyle w:val="0"/>
              <w:jc w:val="both"/>
            </w:pPr>
            <w:r>
              <w:rPr>
                <w:sz w:val="20"/>
              </w:rPr>
              <w:t xml:space="preserve">Укомплектованность фельдшерских пунктов, фельдшерско-акушерских пунктов, врачебных амбулаторий медицинскими работниками</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занятых должностей средними медицинскими работниками в фельдшерских пунктах, фельдшерско-акушерских пунктах и врачами во врачебных амбулаториях к числу штатных должностей указанных категорий медицинских работников</w:t>
            </w:r>
          </w:p>
        </w:tc>
        <w:tc>
          <w:tcPr>
            <w:tcW w:w="2891" w:type="dxa"/>
          </w:tcPr>
          <w:p>
            <w:pPr>
              <w:pStyle w:val="0"/>
              <w:jc w:val="both"/>
            </w:pPr>
            <w:r>
              <w:rPr>
                <w:sz w:val="20"/>
              </w:rPr>
              <w:t xml:space="preserve">Форма федерального статистического наблюдения N 30 "Сведения о медицинской организации"</w:t>
            </w:r>
          </w:p>
        </w:tc>
      </w:tr>
      <w:tr>
        <w:tc>
          <w:tcPr>
            <w:tcW w:w="680" w:type="dxa"/>
          </w:tcPr>
          <w:p>
            <w:pPr>
              <w:pStyle w:val="0"/>
              <w:jc w:val="both"/>
            </w:pPr>
            <w:r>
              <w:rPr>
                <w:sz w:val="20"/>
              </w:rPr>
              <w:t xml:space="preserve">8.53</w:t>
            </w:r>
          </w:p>
        </w:tc>
        <w:tc>
          <w:tcPr>
            <w:tcW w:w="3798" w:type="dxa"/>
          </w:tcPr>
          <w:p>
            <w:pPr>
              <w:pStyle w:val="0"/>
              <w:jc w:val="both"/>
            </w:pPr>
            <w:r>
              <w:rPr>
                <w:sz w:val="20"/>
              </w:rPr>
              <w:t xml:space="preserve">Доля специалистов, допущенных к профессиональной деятельности через процедуру аккредитации, от общего количества работающих специалистов</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числа медицинских работников, работающих в государственных и муниципальных медицинских организациях и имеющих свидетельство об аккредитации специалиста, к числу медицинских работников, работающих в государственных и муниципальных медицинских организациях субъекта</w:t>
            </w:r>
          </w:p>
        </w:tc>
        <w:tc>
          <w:tcPr>
            <w:tcW w:w="2891" w:type="dxa"/>
          </w:tcPr>
          <w:p>
            <w:pPr>
              <w:pStyle w:val="0"/>
              <w:jc w:val="both"/>
            </w:pPr>
            <w:r>
              <w:rPr>
                <w:sz w:val="20"/>
              </w:rPr>
              <w:t xml:space="preserve">Форма федерального статистического наблюдения N 30 "Сведения о медицинской организации"</w:t>
            </w:r>
          </w:p>
        </w:tc>
      </w:tr>
      <w:tr>
        <w:tc>
          <w:tcPr>
            <w:tcW w:w="680" w:type="dxa"/>
          </w:tcPr>
          <w:p>
            <w:pPr>
              <w:pStyle w:val="0"/>
              <w:jc w:val="both"/>
            </w:pPr>
            <w:r>
              <w:rPr>
                <w:sz w:val="20"/>
              </w:rPr>
              <w:t xml:space="preserve">8.54</w:t>
            </w:r>
          </w:p>
        </w:tc>
        <w:tc>
          <w:tcPr>
            <w:tcW w:w="3798" w:type="dxa"/>
          </w:tcPr>
          <w:p>
            <w:pPr>
              <w:pStyle w:val="0"/>
              <w:jc w:val="both"/>
            </w:pPr>
            <w:r>
              <w:rPr>
                <w:sz w:val="20"/>
              </w:rPr>
              <w:t xml:space="preserve">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числа зданий, в которых оказывается медицинская помощь в амбулаторных условиях, зданий офисов врачей общей практики, ФАПов, фельдшерских пунктов, находящихся в аварийном состоянии, требующих сноса, реконструкции, капитального ремонта, к общему числу зданий, в которых оказывается медицинская помощь в амбулаторных условиях, офисов врачей общей практики, ФАПов, фельдшерских пунктов, умноженное на 100</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8.55</w:t>
            </w:r>
          </w:p>
        </w:tc>
        <w:tc>
          <w:tcPr>
            <w:tcW w:w="3798" w:type="dxa"/>
          </w:tcPr>
          <w:p>
            <w:pPr>
              <w:pStyle w:val="0"/>
              <w:jc w:val="both"/>
            </w:pPr>
            <w:r>
              <w:rPr>
                <w:sz w:val="20"/>
              </w:rPr>
              <w:t xml:space="preserve">Доля охвата населения г. Севастополя первичной медико-санитарной помощью</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населения, обратившегося за первичной медико-санитарной помощью, к среднегодовой численности населения,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8.56</w:t>
            </w:r>
          </w:p>
        </w:tc>
        <w:tc>
          <w:tcPr>
            <w:tcW w:w="3798" w:type="dxa"/>
          </w:tcPr>
          <w:p>
            <w:pPr>
              <w:pStyle w:val="0"/>
              <w:jc w:val="both"/>
            </w:pPr>
            <w:r>
              <w:rPr>
                <w:sz w:val="20"/>
              </w:rPr>
              <w:t xml:space="preserve">Число посещений сельскими жителями медицинских организаций</w:t>
            </w:r>
          </w:p>
        </w:tc>
        <w:tc>
          <w:tcPr>
            <w:tcW w:w="1984" w:type="dxa"/>
          </w:tcPr>
          <w:p>
            <w:pPr>
              <w:pStyle w:val="0"/>
              <w:jc w:val="both"/>
            </w:pPr>
            <w:r>
              <w:rPr>
                <w:sz w:val="20"/>
              </w:rPr>
              <w:t xml:space="preserve">на 1 чел. в год</w:t>
            </w:r>
          </w:p>
        </w:tc>
        <w:tc>
          <w:tcPr>
            <w:tcW w:w="4252" w:type="dxa"/>
          </w:tcPr>
          <w:p>
            <w:pPr>
              <w:pStyle w:val="0"/>
              <w:jc w:val="both"/>
            </w:pPr>
            <w:r>
              <w:rPr>
                <w:sz w:val="20"/>
              </w:rPr>
              <w:t xml:space="preserve">Отношение общего числа посещений врачей (включая зубных врачей) сельскими жителями к численности прикрепленного сельского населения</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8.57</w:t>
            </w:r>
          </w:p>
        </w:tc>
        <w:tc>
          <w:tcPr>
            <w:tcW w:w="3798" w:type="dxa"/>
          </w:tcPr>
          <w:p>
            <w:pPr>
              <w:pStyle w:val="0"/>
              <w:jc w:val="both"/>
            </w:pPr>
            <w:r>
              <w:rPr>
                <w:sz w:val="20"/>
              </w:rPr>
              <w:t xml:space="preserve">Число посещений медицинскими работниками пациентов на дому</w:t>
            </w:r>
          </w:p>
        </w:tc>
        <w:tc>
          <w:tcPr>
            <w:tcW w:w="1984" w:type="dxa"/>
          </w:tcPr>
          <w:p>
            <w:pPr>
              <w:pStyle w:val="0"/>
              <w:jc w:val="both"/>
            </w:pPr>
            <w:r>
              <w:rPr>
                <w:sz w:val="20"/>
              </w:rPr>
              <w:t xml:space="preserve">единица</w:t>
            </w:r>
          </w:p>
        </w:tc>
        <w:tc>
          <w:tcPr>
            <w:tcW w:w="4252" w:type="dxa"/>
          </w:tcPr>
          <w:p>
            <w:pPr>
              <w:pStyle w:val="0"/>
              <w:jc w:val="both"/>
            </w:pPr>
            <w:r>
              <w:rPr>
                <w:sz w:val="20"/>
              </w:rPr>
              <w:t xml:space="preserve">Фактическое количество</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8.58</w:t>
            </w:r>
          </w:p>
        </w:tc>
        <w:tc>
          <w:tcPr>
            <w:tcW w:w="3798" w:type="dxa"/>
          </w:tcPr>
          <w:p>
            <w:pPr>
              <w:pStyle w:val="0"/>
              <w:jc w:val="both"/>
            </w:pPr>
            <w:r>
              <w:rPr>
                <w:sz w:val="20"/>
              </w:rPr>
              <w:t xml:space="preserve">Повышение комфортности получения медицинских услуг</w:t>
            </w:r>
          </w:p>
        </w:tc>
        <w:tc>
          <w:tcPr>
            <w:tcW w:w="1984" w:type="dxa"/>
          </w:tcPr>
          <w:p>
            <w:pPr>
              <w:pStyle w:val="0"/>
              <w:jc w:val="both"/>
            </w:pPr>
            <w:r>
              <w:rPr>
                <w:sz w:val="20"/>
              </w:rPr>
              <w:t xml:space="preserve">%</w:t>
            </w:r>
          </w:p>
        </w:tc>
        <w:tc>
          <w:tcPr>
            <w:tcW w:w="4252" w:type="dxa"/>
          </w:tcPr>
          <w:p>
            <w:pPr>
              <w:pStyle w:val="0"/>
              <w:jc w:val="both"/>
            </w:pPr>
            <w:r>
              <w:rPr>
                <w:sz w:val="20"/>
              </w:rPr>
              <w:t xml:space="preserve">Фактический показатель за отчетный период определяется по формуле:</w:t>
            </w:r>
          </w:p>
          <w:p>
            <w:pPr>
              <w:pStyle w:val="0"/>
              <w:jc w:val="both"/>
            </w:pPr>
            <w:r>
              <w:rPr>
                <w:sz w:val="20"/>
              </w:rPr>
            </w:r>
          </w:p>
          <w:p>
            <w:pPr>
              <w:pStyle w:val="0"/>
              <w:jc w:val="both"/>
            </w:pPr>
            <w:r>
              <w:rPr>
                <w:position w:val="-20"/>
              </w:rPr>
              <w:drawing>
                <wp:inline distT="0" distB="0" distL="0" distR="0">
                  <wp:extent cx="7715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pPr>
              <w:pStyle w:val="0"/>
              <w:jc w:val="both"/>
            </w:pPr>
            <w:r>
              <w:rPr>
                <w:sz w:val="20"/>
              </w:rPr>
            </w:r>
          </w:p>
          <w:p>
            <w:pPr>
              <w:pStyle w:val="0"/>
              <w:jc w:val="both"/>
            </w:pPr>
            <w:r>
              <w:rPr>
                <w:sz w:val="20"/>
              </w:rPr>
              <w:t xml:space="preserve">A - фактический показатель за отчетный период,</w:t>
            </w:r>
          </w:p>
          <w:p>
            <w:pPr>
              <w:pStyle w:val="0"/>
              <w:jc w:val="both"/>
            </w:pPr>
            <w:r>
              <w:rPr>
                <w:sz w:val="20"/>
              </w:rPr>
              <w:t xml:space="preserve">B - общая сумма количества баллов по критерию "Комфортность условий предоставления услуг, включая время ожидания предоставления медицинской услуги", утвержденному </w:t>
            </w:r>
            <w:hyperlink w:history="0" r:id="rId1014" w:tooltip="Приказ Минздрава России от 04.05.2018 N 201н &quot;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quot; (Зарегистрировано в Минюсте России 23.05.2018 N 51156) {КонсультантПлюс}">
              <w:r>
                <w:rPr>
                  <w:sz w:val="20"/>
                  <w:color w:val="0000ff"/>
                </w:rPr>
                <w:t xml:space="preserve">приказом</w:t>
              </w:r>
            </w:hyperlink>
            <w:r>
              <w:rPr>
                <w:sz w:val="20"/>
              </w:rPr>
              <w:t xml:space="preserve"> Минздрава России от 4 мая 2018 г. N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 (данные с сайта </w:t>
            </w:r>
            <w:r>
              <w:rPr>
                <w:sz w:val="20"/>
              </w:rPr>
              <w:t xml:space="preserve">https://bus.gov.ru</w:t>
            </w:r>
            <w:r>
              <w:rPr>
                <w:sz w:val="20"/>
              </w:rPr>
              <w:t xml:space="preserve">) по всем медицинским организациям, оказывающим медицинскую помощь в стационарных и амбулаторных условиях, субъектового и муниципального подчинения (сумма строк 45 и 46 графы 3 таблицы 0100 и строк 24 и 25 графы 3 таблицы 0600 ФФСН N 47 "Сведения о сети и деятельности медицинских организаций");</w:t>
            </w:r>
          </w:p>
          <w:p>
            <w:pPr>
              <w:pStyle w:val="0"/>
              <w:jc w:val="both"/>
            </w:pPr>
            <w:r>
              <w:rPr>
                <w:sz w:val="20"/>
              </w:rPr>
              <w:t xml:space="preserve">C - общее число медицинских организаций, оказывающих медицинскую помощь в стационарных и амбулаторных условиях, субъектового и муниципального подчинения (сумма строк 45 и 46 графы 3 таблицы 0100 и строк 24 и 25 графы 3 таблицы 0600 ФФСН N 47 "Сведения о сети и деятельности медицинских организаций")</w:t>
            </w:r>
          </w:p>
        </w:tc>
        <w:tc>
          <w:tcPr>
            <w:tcW w:w="2891" w:type="dxa"/>
          </w:tcPr>
          <w:p>
            <w:pPr>
              <w:pStyle w:val="0"/>
              <w:jc w:val="both"/>
            </w:pPr>
            <w:r>
              <w:rPr>
                <w:sz w:val="20"/>
              </w:rPr>
              <w:t xml:space="preserve">Данные с сайта </w:t>
            </w:r>
            <w:r>
              <w:rPr>
                <w:sz w:val="20"/>
              </w:rPr>
              <w:t xml:space="preserve">https://bus.gov.ru</w:t>
            </w:r>
            <w:r>
              <w:rPr>
                <w:sz w:val="20"/>
              </w:rPr>
              <w:t xml:space="preserve">, федеральная форма статистического наблюдения N 47 "Сведения о сети и деятельности медицинских организаций"</w:t>
            </w:r>
          </w:p>
        </w:tc>
      </w:tr>
      <w:tr>
        <w:tc>
          <w:tcPr>
            <w:tcW w:w="680" w:type="dxa"/>
          </w:tcPr>
          <w:p>
            <w:pPr>
              <w:pStyle w:val="0"/>
              <w:jc w:val="both"/>
            </w:pPr>
            <w:r>
              <w:rPr>
                <w:sz w:val="20"/>
              </w:rPr>
              <w:t xml:space="preserve">8.59</w:t>
            </w:r>
          </w:p>
        </w:tc>
        <w:tc>
          <w:tcPr>
            <w:tcW w:w="3798" w:type="dxa"/>
          </w:tcPr>
          <w:p>
            <w:pPr>
              <w:pStyle w:val="0"/>
              <w:jc w:val="both"/>
            </w:pPr>
            <w:r>
              <w:rPr>
                <w:sz w:val="20"/>
              </w:rPr>
              <w:t xml:space="preserve">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w:t>
            </w:r>
          </w:p>
        </w:tc>
        <w:tc>
          <w:tcPr>
            <w:tcW w:w="1984" w:type="dxa"/>
          </w:tcPr>
          <w:p>
            <w:pPr>
              <w:pStyle w:val="0"/>
              <w:jc w:val="both"/>
            </w:pPr>
            <w:r>
              <w:rPr>
                <w:sz w:val="20"/>
              </w:rPr>
              <w:t xml:space="preserve">%</w:t>
            </w:r>
          </w:p>
        </w:tc>
        <w:tc>
          <w:tcPr>
            <w:tcW w:w="4252" w:type="dxa"/>
          </w:tcPr>
          <w:p>
            <w:pPr>
              <w:pStyle w:val="0"/>
              <w:jc w:val="both"/>
            </w:pPr>
            <w:r>
              <w:rPr>
                <w:sz w:val="20"/>
              </w:rPr>
              <w:t xml:space="preserve">Соотношение количества медицинского оборудования (цифровые аппараты для исследований органов грудной клетки (цифровые флюорографы), маммографические аппараты, компьютерные томографы, аппараты ультразвуковой диагностики) со сроком эксплуатации свыше 10 лет для оказания медицинской помощи в амбулаторных условиях к общему количеству данного вида оборудования в подразделениях медицинских организаций, оказывающих медицинскую помощь в амбулаторных условиях, умноженное на 100</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8.60</w:t>
            </w:r>
          </w:p>
        </w:tc>
        <w:tc>
          <w:tcPr>
            <w:tcW w:w="3798" w:type="dxa"/>
          </w:tcPr>
          <w:p>
            <w:pPr>
              <w:pStyle w:val="0"/>
              <w:jc w:val="both"/>
            </w:pPr>
            <w:r>
              <w:rPr>
                <w:sz w:val="20"/>
              </w:rPr>
              <w:t xml:space="preserve">Дефицит врачей и среднего медицинского персонала в первичном звене здравоохранения города Севастополя</w:t>
            </w:r>
          </w:p>
        </w:tc>
        <w:tc>
          <w:tcPr>
            <w:tcW w:w="1984" w:type="dxa"/>
          </w:tcPr>
          <w:p>
            <w:pPr>
              <w:pStyle w:val="0"/>
              <w:jc w:val="both"/>
            </w:pPr>
            <w:r>
              <w:rPr>
                <w:sz w:val="20"/>
              </w:rPr>
              <w:t xml:space="preserve">чел.</w:t>
            </w:r>
          </w:p>
        </w:tc>
        <w:tc>
          <w:tcPr>
            <w:tcW w:w="4252" w:type="dxa"/>
          </w:tcPr>
          <w:p>
            <w:pPr>
              <w:pStyle w:val="0"/>
              <w:jc w:val="both"/>
            </w:pPr>
            <w:r>
              <w:rPr>
                <w:sz w:val="20"/>
              </w:rPr>
              <w:t xml:space="preserve">Разница между расчетным количеством врачей в первичном звене здравоохранения города Севастополя согласно порядкам оказания медицинской помощи, утвержденным приказами Министерства здравоохранения Российской Федерации, исходя из среднегодовой численности населения и фактическим количеством врачей в первичном звене города Севастополя</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8.61</w:t>
            </w:r>
          </w:p>
        </w:tc>
        <w:tc>
          <w:tcPr>
            <w:tcW w:w="3798" w:type="dxa"/>
          </w:tcPr>
          <w:p>
            <w:pPr>
              <w:pStyle w:val="0"/>
              <w:jc w:val="both"/>
            </w:pPr>
            <w:r>
              <w:rPr>
                <w:sz w:val="20"/>
              </w:rPr>
              <w:t xml:space="preserve">Численность врачей государственных медицинских организаций, оказывающих медицинскую помощь в амбулаторных условиях</w:t>
            </w:r>
          </w:p>
        </w:tc>
        <w:tc>
          <w:tcPr>
            <w:tcW w:w="1984" w:type="dxa"/>
          </w:tcPr>
          <w:p>
            <w:pPr>
              <w:pStyle w:val="0"/>
              <w:jc w:val="both"/>
            </w:pPr>
            <w:r>
              <w:rPr>
                <w:sz w:val="20"/>
              </w:rPr>
              <w:t xml:space="preserve">чел.</w:t>
            </w:r>
          </w:p>
        </w:tc>
        <w:tc>
          <w:tcPr>
            <w:tcW w:w="4252" w:type="dxa"/>
          </w:tcPr>
          <w:p>
            <w:pPr>
              <w:pStyle w:val="0"/>
              <w:jc w:val="both"/>
            </w:pPr>
            <w:r>
              <w:rPr>
                <w:sz w:val="20"/>
              </w:rPr>
              <w:t xml:space="preserve">Фактическое количество</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8.62</w:t>
            </w:r>
          </w:p>
        </w:tc>
        <w:tc>
          <w:tcPr>
            <w:tcW w:w="3798" w:type="dxa"/>
          </w:tcPr>
          <w:p>
            <w:pPr>
              <w:pStyle w:val="0"/>
              <w:jc w:val="both"/>
            </w:pPr>
            <w:r>
              <w:rPr>
                <w:sz w:val="20"/>
              </w:rPr>
              <w:t xml:space="preserve">Численность среднего медицинского персонала государственных медицинских организаций, оказывающего медицинскую помощь в амбулаторных условиях</w:t>
            </w:r>
          </w:p>
        </w:tc>
        <w:tc>
          <w:tcPr>
            <w:tcW w:w="1984" w:type="dxa"/>
          </w:tcPr>
          <w:p>
            <w:pPr>
              <w:pStyle w:val="0"/>
              <w:jc w:val="both"/>
            </w:pPr>
            <w:r>
              <w:rPr>
                <w:sz w:val="20"/>
              </w:rPr>
              <w:t xml:space="preserve">чел.</w:t>
            </w:r>
          </w:p>
        </w:tc>
        <w:tc>
          <w:tcPr>
            <w:tcW w:w="4252" w:type="dxa"/>
          </w:tcPr>
          <w:p>
            <w:pPr>
              <w:pStyle w:val="0"/>
              <w:jc w:val="both"/>
            </w:pPr>
            <w:r>
              <w:rPr>
                <w:sz w:val="20"/>
              </w:rPr>
              <w:t xml:space="preserve">Фактическое количество</w:t>
            </w:r>
          </w:p>
        </w:tc>
        <w:tc>
          <w:tcPr>
            <w:tcW w:w="2891" w:type="dxa"/>
          </w:tcPr>
          <w:p>
            <w:pPr>
              <w:pStyle w:val="0"/>
              <w:jc w:val="both"/>
            </w:pPr>
            <w:r>
              <w:rPr>
                <w:sz w:val="20"/>
              </w:rPr>
              <w:t xml:space="preserve">Источником информации для ежегодного расчета показателя являются данные федерального статистического наблюдения по форме N 30 "Сведения о медицинской организации"</w:t>
            </w:r>
          </w:p>
        </w:tc>
      </w:tr>
      <w:tr>
        <w:tc>
          <w:tcPr>
            <w:tcW w:w="680" w:type="dxa"/>
          </w:tcPr>
          <w:p>
            <w:pPr>
              <w:pStyle w:val="0"/>
              <w:jc w:val="both"/>
            </w:pPr>
            <w:r>
              <w:rPr>
                <w:sz w:val="20"/>
              </w:rPr>
              <w:t xml:space="preserve">8.63</w:t>
            </w:r>
          </w:p>
        </w:tc>
        <w:tc>
          <w:tcPr>
            <w:tcW w:w="3798" w:type="dxa"/>
          </w:tcPr>
          <w:p>
            <w:pPr>
              <w:pStyle w:val="0"/>
              <w:jc w:val="both"/>
            </w:pPr>
            <w:r>
              <w:rPr>
                <w:sz w:val="20"/>
              </w:rPr>
              <w:t xml:space="preserve">Эффективность трудоустройства выпускников, завершивших обучение в рамках целевой подготовки по специальностям специалитета "Педиатрия" и "Лечебное дело"</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фактического числа трудоустроенных выпускников, завершивших обучение в рамках целевой подготовки по специальностям специалитета "Педиатрия" и "Лечебное дело", к числу выпускников, завершивших обучение в рамках целевой подготовки по специальностям специалитета "Педиатрия" и "Лечебное дело" (за исключением лиц, освобожденных от обязательств по осуществлению трудовой деятельности ввиду продолжения обучения по программам ординатуры),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8.64</w:t>
            </w:r>
          </w:p>
        </w:tc>
        <w:tc>
          <w:tcPr>
            <w:tcW w:w="3798" w:type="dxa"/>
          </w:tcPr>
          <w:p>
            <w:pPr>
              <w:pStyle w:val="0"/>
              <w:jc w:val="both"/>
            </w:pPr>
            <w:r>
              <w:rPr>
                <w:sz w:val="20"/>
              </w:rPr>
              <w:t xml:space="preserve">Эффективность трудоустройства выпускников, завершивших обучение в рамках целевой подготовки по специальностям ординатуры</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фактического числа трудоустроенных выпускников, завершивших обучение в рамках целевой подготовки по специальностям ординатуры, к числу выпускников, завершивших обучение в рамках целевой подготовки по специальностям ординатуры,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8.65</w:t>
            </w:r>
          </w:p>
        </w:tc>
        <w:tc>
          <w:tcPr>
            <w:tcW w:w="3798" w:type="dxa"/>
          </w:tcPr>
          <w:p>
            <w:pPr>
              <w:pStyle w:val="0"/>
              <w:jc w:val="both"/>
            </w:pPr>
            <w:r>
              <w:rPr>
                <w:sz w:val="20"/>
              </w:rPr>
              <w:t xml:space="preserve">Эффективность трудоустройства выпускников образовательных организаций среднего профессионального образования в государственные медицинские организации, на базе которых оказывается первичная медико-санитарная помощь</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фактического числа выпускников образовательных организаций среднего профессионального образования, подведомственных Департаменту здравоохранения города Севастополя, к числу выпускников, трудоустроенных в государственные медицинские организации, на базе которых оказывается первичная медико-санитарная помощь,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8.66</w:t>
            </w:r>
          </w:p>
        </w:tc>
        <w:tc>
          <w:tcPr>
            <w:tcW w:w="3798" w:type="dxa"/>
          </w:tcPr>
          <w:p>
            <w:pPr>
              <w:pStyle w:val="0"/>
              <w:jc w:val="both"/>
            </w:pPr>
            <w:r>
              <w:rPr>
                <w:sz w:val="20"/>
              </w:rPr>
              <w:t xml:space="preserve">Оснащенность медицинских организаций, участвующих в региональной </w:t>
            </w:r>
            <w:hyperlink w:history="0" w:anchor="P30585" w:tooltip="Региональная программа &quot;Модернизация первичного звена">
              <w:r>
                <w:rPr>
                  <w:sz w:val="20"/>
                  <w:color w:val="0000ff"/>
                </w:rPr>
                <w:t xml:space="preserve">программе</w:t>
              </w:r>
            </w:hyperlink>
            <w:r>
              <w:rPr>
                <w:sz w:val="20"/>
              </w:rPr>
              <w:t xml:space="preserve"> "Модернизация первичного звена здравоохранения города Севастополя", цифровыми медицинскими изделиями и сервисами дистанционного мониторинга состояния здоровья пациентов</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фактического количества цифровых изделий для работы с сервисами дистанционного мониторинга состояния здоровья пациентов к плановому количеству цифровых изделий для работы с сервисами дистанционного мониторинга состояния здоровья пациентов в медицинских организациях города Севастополя, участвующих в региональной </w:t>
            </w:r>
            <w:hyperlink w:history="0" w:anchor="P30585" w:tooltip="Региональная программа &quot;Модернизация первичного звена">
              <w:r>
                <w:rPr>
                  <w:sz w:val="20"/>
                  <w:color w:val="0000ff"/>
                </w:rPr>
                <w:t xml:space="preserve">программе</w:t>
              </w:r>
            </w:hyperlink>
            <w:r>
              <w:rPr>
                <w:sz w:val="20"/>
              </w:rPr>
              <w:t xml:space="preserve"> "Модернизация первичного звена здравоохранения города Севастополя"</w:t>
            </w:r>
          </w:p>
        </w:tc>
        <w:tc>
          <w:tcPr>
            <w:tcW w:w="2891" w:type="dxa"/>
          </w:tcPr>
          <w:p>
            <w:pPr>
              <w:pStyle w:val="0"/>
              <w:jc w:val="both"/>
            </w:pPr>
            <w:r>
              <w:rPr>
                <w:sz w:val="20"/>
              </w:rPr>
              <w:t xml:space="preserve">Данные Департамента здравоохранения города Севастополя</w:t>
            </w:r>
          </w:p>
        </w:tc>
      </w:tr>
      <w:tr>
        <w:tc>
          <w:tcPr>
            <w:tcW w:w="680" w:type="dxa"/>
          </w:tcPr>
          <w:p>
            <w:pPr>
              <w:pStyle w:val="0"/>
              <w:jc w:val="both"/>
            </w:pPr>
            <w:r>
              <w:rPr>
                <w:sz w:val="20"/>
              </w:rPr>
              <w:t xml:space="preserve">9.1</w:t>
            </w:r>
          </w:p>
        </w:tc>
        <w:tc>
          <w:tcPr>
            <w:tcW w:w="3798" w:type="dxa"/>
          </w:tcPr>
          <w:p>
            <w:pPr>
              <w:pStyle w:val="0"/>
              <w:jc w:val="both"/>
            </w:pPr>
            <w:r>
              <w:rPr>
                <w:sz w:val="20"/>
              </w:rPr>
              <w:t xml:space="preserve">Доля медицинских организаций, подведомственных Департаменту здравоохранения города Севастополя, соответствующих лицензионным требованиям</w:t>
            </w:r>
          </w:p>
        </w:tc>
        <w:tc>
          <w:tcPr>
            <w:tcW w:w="1984" w:type="dxa"/>
          </w:tcPr>
          <w:p>
            <w:pPr>
              <w:pStyle w:val="0"/>
              <w:jc w:val="both"/>
            </w:pPr>
            <w:r>
              <w:rPr>
                <w:sz w:val="20"/>
              </w:rPr>
              <w:t xml:space="preserve">%</w:t>
            </w:r>
          </w:p>
        </w:tc>
        <w:tc>
          <w:tcPr>
            <w:tcW w:w="4252" w:type="dxa"/>
          </w:tcPr>
          <w:p>
            <w:pPr>
              <w:pStyle w:val="0"/>
              <w:jc w:val="both"/>
            </w:pPr>
            <w:r>
              <w:rPr>
                <w:sz w:val="20"/>
              </w:rPr>
              <w:t xml:space="preserve">Отношение количества зданий и сооружений медицинских организаций, подведомственных Департаменту здравоохранения города Севастополя, соответствующих лицензионным требованиям для ведения медицинской и/или фармацевтической деятельности (получивших лицензию либо имеющих положительное санитарное заключение Роспотребнадзора), к общему количеству зданий и сооружений медицинских организаций, подведомственных Департаменту здравоохранения города Севастополя, умноженное на 100</w:t>
            </w:r>
          </w:p>
        </w:tc>
        <w:tc>
          <w:tcPr>
            <w:tcW w:w="2891" w:type="dxa"/>
          </w:tcPr>
          <w:p>
            <w:pPr>
              <w:pStyle w:val="0"/>
              <w:jc w:val="both"/>
            </w:pPr>
            <w:r>
              <w:rPr>
                <w:sz w:val="20"/>
              </w:rPr>
              <w:t xml:space="preserve">Данные Департамента здравоохранения города Севастополя</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outlineLvl w:val="1"/>
        <w:jc w:val="right"/>
      </w:pPr>
      <w:r>
        <w:rPr>
          <w:sz w:val="20"/>
        </w:rPr>
        <w:t xml:space="preserve">Приложение N 15</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pPr>
      <w:r>
        <w:rPr>
          <w:sz w:val="20"/>
        </w:rPr>
      </w:r>
    </w:p>
    <w:bookmarkStart w:id="41980" w:name="P41980"/>
    <w:bookmarkEnd w:id="41980"/>
    <w:p>
      <w:pPr>
        <w:pStyle w:val="2"/>
        <w:jc w:val="center"/>
      </w:pPr>
      <w:r>
        <w:rPr>
          <w:sz w:val="20"/>
        </w:rPr>
        <w:t xml:space="preserve">Региональная программа</w:t>
      </w:r>
    </w:p>
    <w:p>
      <w:pPr>
        <w:pStyle w:val="2"/>
        <w:jc w:val="center"/>
      </w:pPr>
      <w:r>
        <w:rPr>
          <w:sz w:val="20"/>
        </w:rPr>
        <w:t xml:space="preserve">"Оптимальная для восстановления здоровья медицинская</w:t>
      </w:r>
    </w:p>
    <w:p>
      <w:pPr>
        <w:pStyle w:val="2"/>
        <w:jc w:val="center"/>
      </w:pPr>
      <w:r>
        <w:rPr>
          <w:sz w:val="20"/>
        </w:rPr>
        <w:t xml:space="preserve">реабилитация в городе Севастополе"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015" w:tooltip="Постановление Правительства Севастополя от 28.07.2023 N 358-ПП &quot;О внесении изменений в постановление Правительства Севастополя от 23.12.2021 N 697-ПП &quot;Об утверждении государственной программы города Севастополя &quot;Развитие здравоохранения в городе Севастополе&quot; {КонсультантПлюс}">
              <w:r>
                <w:rPr>
                  <w:sz w:val="20"/>
                  <w:color w:val="0000ff"/>
                </w:rPr>
                <w:t xml:space="preserve">Постановления</w:t>
              </w:r>
            </w:hyperlink>
            <w:r>
              <w:rPr>
                <w:sz w:val="20"/>
                <w:color w:val="392c69"/>
              </w:rPr>
              <w:t xml:space="preserve"> Правительства Севастополя от 28.07.2023 N 358-ПП)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jc w:val="center"/>
      </w:pPr>
      <w:r>
        <w:rPr>
          <w:sz w:val="20"/>
        </w:rPr>
        <w:t xml:space="preserve">Термины и сокращения, используемые в региональной программе</w:t>
      </w:r>
    </w:p>
    <w:p>
      <w:pPr>
        <w:pStyle w:val="2"/>
        <w:jc w:val="center"/>
      </w:pPr>
      <w:r>
        <w:rPr>
          <w:sz w:val="20"/>
        </w:rPr>
        <w:t xml:space="preserve">"Оптимальная для восстановления здоровья медицинская</w:t>
      </w:r>
    </w:p>
    <w:p>
      <w:pPr>
        <w:pStyle w:val="2"/>
        <w:jc w:val="center"/>
      </w:pPr>
      <w:r>
        <w:rPr>
          <w:sz w:val="20"/>
        </w:rPr>
        <w:t xml:space="preserve">реабилитация в городе Севастополе"</w:t>
      </w:r>
    </w:p>
    <w:p>
      <w:pPr>
        <w:pStyle w:val="0"/>
        <w:ind w:firstLine="540"/>
        <w:jc w:val="both"/>
      </w:pPr>
      <w:r>
        <w:rPr>
          <w:sz w:val="20"/>
        </w:rPr>
      </w:r>
    </w:p>
    <w:p>
      <w:pPr>
        <w:pStyle w:val="0"/>
        <w:ind w:firstLine="540"/>
        <w:jc w:val="both"/>
      </w:pPr>
      <w:r>
        <w:rPr>
          <w:sz w:val="20"/>
        </w:rPr>
        <w:t xml:space="preserve">Росстат - Федеральная служба государственной статистики.</w:t>
      </w:r>
    </w:p>
    <w:p>
      <w:pPr>
        <w:pStyle w:val="0"/>
        <w:spacing w:before="200" w:line-rule="auto"/>
        <w:ind w:firstLine="540"/>
        <w:jc w:val="both"/>
      </w:pPr>
      <w:r>
        <w:rPr>
          <w:sz w:val="20"/>
        </w:rPr>
        <w:t xml:space="preserve">ЕМИСС - Единая межведомственная информационно-статистическая система.</w:t>
      </w:r>
    </w:p>
    <w:p>
      <w:pPr>
        <w:pStyle w:val="0"/>
        <w:spacing w:before="200" w:line-rule="auto"/>
        <w:ind w:firstLine="540"/>
        <w:jc w:val="both"/>
      </w:pPr>
      <w:r>
        <w:rPr>
          <w:sz w:val="20"/>
        </w:rPr>
        <w:t xml:space="preserve">МЗ РФ - Министерство здравоохранения Российской Федерации.</w:t>
      </w:r>
    </w:p>
    <w:p>
      <w:pPr>
        <w:pStyle w:val="0"/>
        <w:spacing w:before="200" w:line-rule="auto"/>
        <w:ind w:firstLine="540"/>
        <w:jc w:val="both"/>
      </w:pPr>
      <w:r>
        <w:rPr>
          <w:sz w:val="20"/>
        </w:rPr>
        <w:t xml:space="preserve">ДЗ Севастополя - Департамент здравоохранения города Севастополя.</w:t>
      </w:r>
    </w:p>
    <w:p>
      <w:pPr>
        <w:pStyle w:val="0"/>
        <w:spacing w:before="200" w:line-rule="auto"/>
        <w:ind w:firstLine="540"/>
        <w:jc w:val="both"/>
      </w:pPr>
      <w:r>
        <w:rPr>
          <w:sz w:val="20"/>
        </w:rPr>
        <w:t xml:space="preserve">ГБУЗ Севастополя - государственное бюджетное учреждение здравоохранения города Севастополя.</w:t>
      </w:r>
    </w:p>
    <w:p>
      <w:pPr>
        <w:pStyle w:val="0"/>
        <w:spacing w:before="200" w:line-rule="auto"/>
        <w:ind w:firstLine="540"/>
        <w:jc w:val="both"/>
      </w:pPr>
      <w:r>
        <w:rPr>
          <w:sz w:val="20"/>
        </w:rPr>
        <w:t xml:space="preserve">БСК - болезни системы кровообращения.</w:t>
      </w:r>
    </w:p>
    <w:p>
      <w:pPr>
        <w:pStyle w:val="0"/>
        <w:spacing w:before="200" w:line-rule="auto"/>
        <w:ind w:firstLine="540"/>
        <w:jc w:val="both"/>
      </w:pPr>
      <w:r>
        <w:rPr>
          <w:sz w:val="20"/>
        </w:rPr>
        <w:t xml:space="preserve">Приказ МЗ РФ N 878н - </w:t>
      </w:r>
      <w:hyperlink w:history="0" r:id="rId1016"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приказ</w:t>
        </w:r>
      </w:hyperlink>
      <w:r>
        <w:rPr>
          <w:sz w:val="20"/>
        </w:rPr>
        <w:t xml:space="preserve"> Министерства здравоохранения Российской Федерации от 23.10.2019 N 878н "Об утверждении Порядка организации медицинской реабилитации детей".</w:t>
      </w:r>
    </w:p>
    <w:p>
      <w:pPr>
        <w:pStyle w:val="0"/>
        <w:spacing w:before="200" w:line-rule="auto"/>
        <w:ind w:firstLine="540"/>
        <w:jc w:val="both"/>
      </w:pPr>
      <w:r>
        <w:rPr>
          <w:sz w:val="20"/>
        </w:rPr>
        <w:t xml:space="preserve">Приказ МЗ РФ N 788н - </w:t>
      </w:r>
      <w:hyperlink w:history="0" r:id="rId1017"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приказ</w:t>
        </w:r>
      </w:hyperlink>
      <w:r>
        <w:rPr>
          <w:sz w:val="20"/>
        </w:rPr>
        <w:t xml:space="preserve"> Министерства здравоохранения Российской Федерации от 31.07.2020 N 788н "Об утверждении Порядка организации медицинской реабилитации взрослых".</w:t>
      </w:r>
    </w:p>
    <w:p>
      <w:pPr>
        <w:pStyle w:val="0"/>
        <w:spacing w:before="200" w:line-rule="auto"/>
        <w:ind w:firstLine="540"/>
        <w:jc w:val="both"/>
      </w:pPr>
      <w:r>
        <w:rPr>
          <w:sz w:val="20"/>
        </w:rPr>
        <w:t xml:space="preserve">ОРИТ - отделение реабилитации и интенсивной терапии.</w:t>
      </w:r>
    </w:p>
    <w:p>
      <w:pPr>
        <w:pStyle w:val="0"/>
        <w:spacing w:before="200" w:line-rule="auto"/>
        <w:ind w:firstLine="540"/>
        <w:jc w:val="both"/>
      </w:pPr>
      <w:r>
        <w:rPr>
          <w:sz w:val="20"/>
        </w:rPr>
        <w:t xml:space="preserve">Территориальная программа ОМС в городе Севастополе - территориальная программа государственных гарантий бесплатного оказания гражданам медицинской помощи в городе Севастополе.</w:t>
      </w:r>
    </w:p>
    <w:p>
      <w:pPr>
        <w:pStyle w:val="0"/>
        <w:spacing w:before="200" w:line-rule="auto"/>
        <w:ind w:firstLine="540"/>
        <w:jc w:val="both"/>
      </w:pPr>
      <w:r>
        <w:rPr>
          <w:sz w:val="20"/>
        </w:rPr>
        <w:t xml:space="preserve">МКБ - международная классификация болезней.</w:t>
      </w:r>
    </w:p>
    <w:p>
      <w:pPr>
        <w:pStyle w:val="0"/>
        <w:spacing w:before="200" w:line-rule="auto"/>
        <w:ind w:firstLine="540"/>
        <w:jc w:val="both"/>
      </w:pPr>
      <w:r>
        <w:rPr>
          <w:sz w:val="20"/>
        </w:rPr>
        <w:t xml:space="preserve">ОНМК - острое нарушение мозгового кровообращения.</w:t>
      </w:r>
    </w:p>
    <w:p>
      <w:pPr>
        <w:pStyle w:val="0"/>
        <w:spacing w:before="200" w:line-rule="auto"/>
        <w:ind w:firstLine="540"/>
        <w:jc w:val="both"/>
      </w:pPr>
      <w:r>
        <w:rPr>
          <w:sz w:val="20"/>
        </w:rPr>
        <w:t xml:space="preserve">ОКС - острый коронарный синдром.</w:t>
      </w:r>
    </w:p>
    <w:p>
      <w:pPr>
        <w:pStyle w:val="0"/>
        <w:spacing w:before="200" w:line-rule="auto"/>
        <w:ind w:firstLine="540"/>
        <w:jc w:val="both"/>
      </w:pPr>
      <w:r>
        <w:rPr>
          <w:sz w:val="20"/>
        </w:rPr>
        <w:t xml:space="preserve">НКВИ - новая коронавирусная инфекция.</w:t>
      </w:r>
    </w:p>
    <w:p>
      <w:pPr>
        <w:pStyle w:val="0"/>
        <w:spacing w:before="200" w:line-rule="auto"/>
        <w:ind w:firstLine="540"/>
        <w:jc w:val="both"/>
      </w:pPr>
      <w:r>
        <w:rPr>
          <w:sz w:val="20"/>
        </w:rPr>
        <w:t xml:space="preserve">COVID-19 - новая коронавирусная инфекция.</w:t>
      </w:r>
    </w:p>
    <w:p>
      <w:pPr>
        <w:pStyle w:val="0"/>
        <w:spacing w:before="200" w:line-rule="auto"/>
        <w:ind w:firstLine="540"/>
        <w:jc w:val="both"/>
      </w:pPr>
      <w:r>
        <w:rPr>
          <w:sz w:val="20"/>
        </w:rPr>
        <w:t xml:space="preserve">ОМР - отделение медицинской реабилитации.</w:t>
      </w:r>
    </w:p>
    <w:p>
      <w:pPr>
        <w:pStyle w:val="0"/>
        <w:spacing w:before="200" w:line-rule="auto"/>
        <w:ind w:firstLine="540"/>
        <w:jc w:val="both"/>
      </w:pPr>
      <w:r>
        <w:rPr>
          <w:sz w:val="20"/>
        </w:rPr>
        <w:t xml:space="preserve">ЦНС - центральная нервная система.</w:t>
      </w:r>
    </w:p>
    <w:p>
      <w:pPr>
        <w:pStyle w:val="0"/>
        <w:spacing w:before="200" w:line-rule="auto"/>
        <w:ind w:firstLine="540"/>
        <w:jc w:val="both"/>
      </w:pPr>
      <w:r>
        <w:rPr>
          <w:sz w:val="20"/>
        </w:rPr>
        <w:t xml:space="preserve">ОДА - опорно-двигательный аппарат.</w:t>
      </w:r>
    </w:p>
    <w:p>
      <w:pPr>
        <w:pStyle w:val="0"/>
        <w:spacing w:before="200" w:line-rule="auto"/>
        <w:ind w:firstLine="540"/>
        <w:jc w:val="both"/>
      </w:pPr>
      <w:r>
        <w:rPr>
          <w:sz w:val="20"/>
        </w:rPr>
        <w:t xml:space="preserve">ПНС - периферическая нервная система.</w:t>
      </w:r>
    </w:p>
    <w:p>
      <w:pPr>
        <w:pStyle w:val="0"/>
        <w:spacing w:before="200" w:line-rule="auto"/>
        <w:ind w:firstLine="540"/>
        <w:jc w:val="both"/>
      </w:pPr>
      <w:r>
        <w:rPr>
          <w:sz w:val="20"/>
        </w:rPr>
        <w:t xml:space="preserve">МДРК - мультидисциплинарная реабилитационная команда.</w:t>
      </w:r>
    </w:p>
    <w:p>
      <w:pPr>
        <w:pStyle w:val="0"/>
        <w:spacing w:before="200" w:line-rule="auto"/>
        <w:ind w:firstLine="540"/>
        <w:jc w:val="both"/>
      </w:pPr>
      <w:r>
        <w:rPr>
          <w:sz w:val="20"/>
        </w:rPr>
        <w:t xml:space="preserve">ФРМ - физическая и реабилитационная медицина.</w:t>
      </w:r>
    </w:p>
    <w:p>
      <w:pPr>
        <w:pStyle w:val="0"/>
        <w:spacing w:before="200" w:line-rule="auto"/>
        <w:ind w:firstLine="540"/>
        <w:jc w:val="both"/>
      </w:pPr>
      <w:r>
        <w:rPr>
          <w:sz w:val="20"/>
        </w:rPr>
        <w:t xml:space="preserve">МКФ - международная классификация функционирования, ограничений жизнедеятельности и здоровья.</w:t>
      </w:r>
    </w:p>
    <w:p>
      <w:pPr>
        <w:pStyle w:val="0"/>
        <w:spacing w:before="200" w:line-rule="auto"/>
        <w:ind w:firstLine="540"/>
        <w:jc w:val="both"/>
      </w:pPr>
      <w:r>
        <w:rPr>
          <w:sz w:val="20"/>
        </w:rPr>
        <w:t xml:space="preserve">ТФОМС Севастополя - Территориальный фонд обязательного медицинского страхования города Севастополя.</w:t>
      </w:r>
    </w:p>
    <w:p>
      <w:pPr>
        <w:pStyle w:val="0"/>
        <w:spacing w:before="200" w:line-rule="auto"/>
        <w:ind w:firstLine="540"/>
        <w:jc w:val="both"/>
      </w:pPr>
      <w:r>
        <w:rPr>
          <w:sz w:val="20"/>
        </w:rPr>
        <w:t xml:space="preserve">КСГ - клинико-статистические группы.</w:t>
      </w:r>
    </w:p>
    <w:p>
      <w:pPr>
        <w:pStyle w:val="0"/>
        <w:spacing w:before="200" w:line-rule="auto"/>
        <w:ind w:firstLine="540"/>
        <w:jc w:val="both"/>
      </w:pPr>
      <w:r>
        <w:rPr>
          <w:sz w:val="20"/>
        </w:rPr>
        <w:t xml:space="preserve">ЮФО - Южный федеральный округ.</w:t>
      </w:r>
    </w:p>
    <w:p>
      <w:pPr>
        <w:pStyle w:val="0"/>
        <w:spacing w:before="200" w:line-rule="auto"/>
        <w:ind w:firstLine="540"/>
        <w:jc w:val="both"/>
      </w:pPr>
      <w:r>
        <w:rPr>
          <w:sz w:val="20"/>
        </w:rPr>
        <w:t xml:space="preserve">ГБ N 1 - "Городская больница N 1 им. Н.И. Пирогова".</w:t>
      </w:r>
    </w:p>
    <w:p>
      <w:pPr>
        <w:pStyle w:val="0"/>
        <w:spacing w:before="200" w:line-rule="auto"/>
        <w:ind w:firstLine="540"/>
        <w:jc w:val="both"/>
      </w:pPr>
      <w:r>
        <w:rPr>
          <w:sz w:val="20"/>
        </w:rPr>
        <w:t xml:space="preserve">ГБ N 4 - "Городская больница N 4".</w:t>
      </w:r>
    </w:p>
    <w:p>
      <w:pPr>
        <w:pStyle w:val="0"/>
        <w:spacing w:before="200" w:line-rule="auto"/>
        <w:ind w:firstLine="540"/>
        <w:jc w:val="both"/>
      </w:pPr>
      <w:r>
        <w:rPr>
          <w:sz w:val="20"/>
        </w:rPr>
        <w:t xml:space="preserve">ГБ N 5 - "Городская больница N 5 - "Центр охраны здоровья матери и ребенка".</w:t>
      </w:r>
    </w:p>
    <w:p>
      <w:pPr>
        <w:pStyle w:val="0"/>
        <w:spacing w:before="200" w:line-rule="auto"/>
        <w:ind w:firstLine="540"/>
        <w:jc w:val="both"/>
      </w:pPr>
      <w:r>
        <w:rPr>
          <w:sz w:val="20"/>
        </w:rPr>
        <w:t xml:space="preserve">ГБ N 9 - "Городская больница N 9".</w:t>
      </w:r>
    </w:p>
    <w:p>
      <w:pPr>
        <w:pStyle w:val="0"/>
        <w:spacing w:before="200" w:line-rule="auto"/>
        <w:ind w:firstLine="540"/>
        <w:jc w:val="both"/>
      </w:pPr>
      <w:r>
        <w:rPr>
          <w:sz w:val="20"/>
        </w:rPr>
        <w:t xml:space="preserve">ГБУЗС "МИАЦ" - Государственное бюджетное учреждение здравоохранения Севастополя "Медицинский информационно-аналитический центр".</w:t>
      </w:r>
    </w:p>
    <w:p>
      <w:pPr>
        <w:pStyle w:val="0"/>
        <w:ind w:firstLine="540"/>
        <w:jc w:val="both"/>
      </w:pPr>
      <w:r>
        <w:rPr>
          <w:sz w:val="20"/>
        </w:rPr>
      </w:r>
    </w:p>
    <w:p>
      <w:pPr>
        <w:pStyle w:val="2"/>
        <w:outlineLvl w:val="2"/>
        <w:jc w:val="center"/>
      </w:pPr>
      <w:r>
        <w:rPr>
          <w:sz w:val="20"/>
        </w:rPr>
        <w:t xml:space="preserve">Введение</w:t>
      </w:r>
    </w:p>
    <w:p>
      <w:pPr>
        <w:pStyle w:val="0"/>
        <w:jc w:val="center"/>
      </w:pPr>
      <w:r>
        <w:rPr>
          <w:sz w:val="20"/>
        </w:rPr>
      </w:r>
    </w:p>
    <w:p>
      <w:pPr>
        <w:pStyle w:val="0"/>
        <w:ind w:firstLine="540"/>
        <w:jc w:val="both"/>
      </w:pPr>
      <w:r>
        <w:rPr>
          <w:sz w:val="20"/>
        </w:rPr>
        <w:t xml:space="preserve">Программа регионального сегмента федерального проекта "Оптимальная для восстановления здоровья медицинская реабилитация в городе Севастополе" в части организации медицинской помощи по профилю "медицинская реабилитация" разработана в соответствии с </w:t>
      </w:r>
      <w:hyperlink w:history="0" r:id="rId1018"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Указом</w:t>
        </w:r>
      </w:hyperlink>
      <w:r>
        <w:rPr>
          <w:sz w:val="20"/>
        </w:rPr>
        <w:t xml:space="preserve"> Президента Российской Федерации от 21.07.2020 N 474 "О национальных целях развития Российской Федерации на период до 2030 года", </w:t>
      </w:r>
      <w:hyperlink w:history="0" r:id="rId1019" w:tooltip="Постановление Правительства РФ от 26.12.2017 N 1640 (ред. от 18.09.2023) &quot;Об утверждении государственной программы Российской Федерации &quot;Развитие здравоохранения&quot; {КонсультантПлюс}">
        <w:r>
          <w:rPr>
            <w:sz w:val="20"/>
            <w:color w:val="0000ff"/>
          </w:rPr>
          <w:t xml:space="preserve">постановлением</w:t>
        </w:r>
      </w:hyperlink>
      <w:r>
        <w:rPr>
          <w:sz w:val="20"/>
        </w:rPr>
        <w:t xml:space="preserve"> Правительства Российской Федерации от 26.12.2017 N 1640 "Об утверждении государственной программы Российской Федерации "Развитие здравоохранения" и направлена на достижение основной цели - повышение ожидаемой продолжительности жизни до 78 лет, характеризующей обеспечение достижения национальной цели - сохранение населения, здоровье и благополучие людей. В связи с этим основными мероприятиями регионального проекта "Оптимальная для восстановления здоровья медицинская реабилитация в городе Севастополе" в части организации медицинской помощи по профилю "медицинская реабилитация" являются мероприятия по обеспечению ее доступности, информирования населения о возможностях медицинской реабилитации в условиях круглосуточных и дневных стационаров, а также в амбулаторно-поликлинических условиях.</w:t>
      </w:r>
    </w:p>
    <w:p>
      <w:pPr>
        <w:pStyle w:val="0"/>
        <w:ind w:firstLine="540"/>
        <w:jc w:val="both"/>
      </w:pPr>
      <w:r>
        <w:rPr>
          <w:sz w:val="20"/>
        </w:rPr>
      </w:r>
    </w:p>
    <w:p>
      <w:pPr>
        <w:pStyle w:val="2"/>
        <w:outlineLvl w:val="2"/>
        <w:ind w:firstLine="540"/>
        <w:jc w:val="both"/>
      </w:pPr>
      <w:r>
        <w:rPr>
          <w:sz w:val="20"/>
        </w:rPr>
        <w:t xml:space="preserve">1. Анализ текущего состояния системы медицинской реабилитации в городе Севастополе. Основные показатели оказания медицинской помощи по медицинской реабилитации населению города Севастополя.</w:t>
      </w:r>
    </w:p>
    <w:p>
      <w:pPr>
        <w:pStyle w:val="0"/>
        <w:ind w:firstLine="540"/>
        <w:jc w:val="both"/>
      </w:pPr>
      <w:r>
        <w:rPr>
          <w:sz w:val="20"/>
        </w:rPr>
      </w:r>
    </w:p>
    <w:p>
      <w:pPr>
        <w:pStyle w:val="0"/>
        <w:ind w:firstLine="540"/>
        <w:jc w:val="both"/>
      </w:pPr>
      <w:r>
        <w:rPr>
          <w:sz w:val="20"/>
        </w:rPr>
        <w:t xml:space="preserve">1.1. Краткая характеристика города Севастополя, анализ особенностей региона, в том числе географических, территориальных.</w:t>
      </w:r>
    </w:p>
    <w:p>
      <w:pPr>
        <w:pStyle w:val="0"/>
        <w:spacing w:before="200" w:line-rule="auto"/>
        <w:ind w:firstLine="540"/>
        <w:jc w:val="both"/>
      </w:pPr>
      <w:r>
        <w:rPr>
          <w:sz w:val="20"/>
        </w:rPr>
        <w:t xml:space="preserve">Город федерального значения Севастополь - субъект Российской Федерации, входит в состав Южного федерального округа.</w:t>
      </w:r>
    </w:p>
    <w:p>
      <w:pPr>
        <w:pStyle w:val="0"/>
        <w:spacing w:before="200" w:line-rule="auto"/>
        <w:ind w:firstLine="540"/>
        <w:jc w:val="both"/>
      </w:pPr>
      <w:r>
        <w:rPr>
          <w:sz w:val="20"/>
        </w:rPr>
        <w:t xml:space="preserve">Город Севастополь расположен на юго-западе Крымского полуострова на обоих берегах Севастопольской бухты. Территория города Севастополя как региона России отличается сложным рельефом и разнообразными геоморфологическими, гидрографическими и климатическими условиями. "Большой Севастополь", площадь которого составляет 1079 кв. км (включая 216 кв. км внутренних вод вместе с бухтами), застроен весьма неравномерно: южный и северный берега Севастопольской бухты занимают городские кварталы Севастополя, на восточном берегу, в устье реки Черной, расположен Инкерман, к юго-востоку от Севастополя лежит Балаклава, у северной границы, в устье одноименной реки, расположен поселок Кача.</w:t>
      </w:r>
    </w:p>
    <w:p>
      <w:pPr>
        <w:pStyle w:val="0"/>
        <w:spacing w:before="200" w:line-rule="auto"/>
        <w:ind w:firstLine="540"/>
        <w:jc w:val="both"/>
      </w:pPr>
      <w:r>
        <w:rPr>
          <w:sz w:val="20"/>
        </w:rPr>
        <w:t xml:space="preserve">Климат на территории "большого Севастополя" близок к субтропическому климату Южного берега Крыма и имеет свои особенности в двух микроклиматических подзонах: в предгорьях - сравнительно мягкий, морской, умеренно континентальный, на юго-восточном побережье - умеренно континентальный с чертами субтропического средиземноморского типа.</w:t>
      </w:r>
    </w:p>
    <w:p>
      <w:pPr>
        <w:pStyle w:val="0"/>
        <w:spacing w:before="200" w:line-rule="auto"/>
        <w:ind w:firstLine="540"/>
        <w:jc w:val="both"/>
      </w:pPr>
      <w:r>
        <w:rPr>
          <w:sz w:val="20"/>
        </w:rPr>
        <w:t xml:space="preserve">Среднемесячная температура воздуха в течение всего года является положительной. Самый холодный месяц - январь (средняя температура - +1,3 °C), самый теплый - июль (средняя температура - +23,2 °C). Температура поверхностного слоя воды Черного моря у побережья Севастополя также всегда выше нуля, а в июле составляет 22,2 °C. Атмосферные осадки в течение года выпадают довольно равномерно: от 280 до 400 мм/г. Наиболее сухой месяц в году - май.</w:t>
      </w:r>
    </w:p>
    <w:p>
      <w:pPr>
        <w:pStyle w:val="0"/>
        <w:spacing w:before="200" w:line-rule="auto"/>
        <w:ind w:firstLine="540"/>
        <w:jc w:val="both"/>
      </w:pPr>
      <w:r>
        <w:rPr>
          <w:sz w:val="20"/>
        </w:rPr>
        <w:t xml:space="preserve">В административном отношении город Севастополь состоит из 10 внутригородских муниципальных округов: Ленинский, Гагаринский, Нахимовский, Балаклавский, Инкерман, Андреевский, Качинский, Верхнесадовский, Орлиновский, Терновский. В пределах городской черты Севастополя находятся 46 населенных пунктов, из них: 41 сельский и 5 городских населенных пунктов. Площадь земель города - 1079,6 кв. км, из них площадь городской зоны - 371,5 кв. км, сельской - 191,0 кв. км, горных и лесных массивов - 301,0 кв. км, водной акватории - 216 кв. км.</w:t>
      </w:r>
    </w:p>
    <w:p>
      <w:pPr>
        <w:pStyle w:val="0"/>
        <w:spacing w:before="200" w:line-rule="auto"/>
        <w:ind w:firstLine="540"/>
        <w:jc w:val="both"/>
      </w:pPr>
      <w:r>
        <w:rPr>
          <w:sz w:val="20"/>
        </w:rPr>
        <w:t xml:space="preserve">В городе Севастополе население на 1 января 2022 г. составило 522057 человек (в том числе: 491878 - городское население, или 94,22%, а 30179 - сельское население, или 5,78%). В 2021 году численность постоянно проживающих жителей Севастополя составляла 509992 человека, рост численности населения составил 12065 человек. Плотность населения на территории города федерального значения Севастополя составляет 590,27 человека на 1 кв. км.</w:t>
      </w:r>
    </w:p>
    <w:p>
      <w:pPr>
        <w:pStyle w:val="0"/>
        <w:spacing w:before="200" w:line-rule="auto"/>
        <w:ind w:firstLine="540"/>
        <w:jc w:val="both"/>
      </w:pPr>
      <w:r>
        <w:rPr>
          <w:sz w:val="20"/>
        </w:rPr>
        <w:t xml:space="preserve">Основным источником централизованного водоснабжения города Севастополя является Чернореченское водохранилище, расположенное на р. Черной. Его полный объем составляет 64,2 млн дм</w:t>
      </w:r>
      <w:r>
        <w:rPr>
          <w:sz w:val="20"/>
          <w:vertAlign w:val="superscript"/>
        </w:rPr>
        <w:t xml:space="preserve">3</w:t>
      </w:r>
      <w:r>
        <w:rPr>
          <w:sz w:val="20"/>
        </w:rPr>
        <w:t xml:space="preserve">, утвержденные эксплуатационные запасы - 44,3 млн дм</w:t>
      </w:r>
      <w:r>
        <w:rPr>
          <w:sz w:val="20"/>
          <w:vertAlign w:val="superscript"/>
        </w:rPr>
        <w:t xml:space="preserve">3</w:t>
      </w:r>
      <w:r>
        <w:rPr>
          <w:sz w:val="20"/>
        </w:rPr>
        <w:t xml:space="preserve">.</w:t>
      </w:r>
    </w:p>
    <w:p>
      <w:pPr>
        <w:pStyle w:val="0"/>
        <w:spacing w:before="200" w:line-rule="auto"/>
        <w:ind w:firstLine="540"/>
        <w:jc w:val="both"/>
      </w:pPr>
      <w:r>
        <w:rPr>
          <w:sz w:val="20"/>
        </w:rPr>
        <w:t xml:space="preserve">На территории города располагается 17 потенциально опасных объектов:</w:t>
      </w:r>
    </w:p>
    <w:p>
      <w:pPr>
        <w:pStyle w:val="0"/>
        <w:spacing w:before="200" w:line-rule="auto"/>
        <w:ind w:firstLine="540"/>
        <w:jc w:val="both"/>
      </w:pPr>
      <w:r>
        <w:rPr>
          <w:sz w:val="20"/>
        </w:rPr>
        <w:t xml:space="preserve">- радиационно опасных - 1;</w:t>
      </w:r>
    </w:p>
    <w:p>
      <w:pPr>
        <w:pStyle w:val="0"/>
        <w:spacing w:before="200" w:line-rule="auto"/>
        <w:ind w:firstLine="540"/>
        <w:jc w:val="both"/>
      </w:pPr>
      <w:r>
        <w:rPr>
          <w:sz w:val="20"/>
        </w:rPr>
        <w:t xml:space="preserve">- взрывопожароопасных - 8;</w:t>
      </w:r>
    </w:p>
    <w:p>
      <w:pPr>
        <w:pStyle w:val="0"/>
        <w:spacing w:before="200" w:line-rule="auto"/>
        <w:ind w:firstLine="540"/>
        <w:jc w:val="both"/>
      </w:pPr>
      <w:r>
        <w:rPr>
          <w:sz w:val="20"/>
        </w:rPr>
        <w:t xml:space="preserve">- гидродинамически опасных - 1;</w:t>
      </w:r>
    </w:p>
    <w:p>
      <w:pPr>
        <w:pStyle w:val="0"/>
        <w:spacing w:before="200" w:line-rule="auto"/>
        <w:ind w:firstLine="540"/>
        <w:jc w:val="both"/>
      </w:pPr>
      <w:r>
        <w:rPr>
          <w:sz w:val="20"/>
        </w:rPr>
        <w:t xml:space="preserve">- химически опасных - нет;</w:t>
      </w:r>
    </w:p>
    <w:p>
      <w:pPr>
        <w:pStyle w:val="0"/>
        <w:spacing w:before="200" w:line-rule="auto"/>
        <w:ind w:firstLine="540"/>
        <w:jc w:val="both"/>
      </w:pPr>
      <w:r>
        <w:rPr>
          <w:sz w:val="20"/>
        </w:rPr>
        <w:t xml:space="preserve">- биологически опасных - нет;</w:t>
      </w:r>
    </w:p>
    <w:p>
      <w:pPr>
        <w:pStyle w:val="0"/>
        <w:spacing w:before="200" w:line-rule="auto"/>
        <w:ind w:firstLine="540"/>
        <w:jc w:val="both"/>
      </w:pPr>
      <w:r>
        <w:rPr>
          <w:sz w:val="20"/>
        </w:rPr>
        <w:t xml:space="preserve">- объектов инфраструктуры железнодорожного транспорта общего пользования - 1;</w:t>
      </w:r>
    </w:p>
    <w:p>
      <w:pPr>
        <w:pStyle w:val="0"/>
        <w:spacing w:before="200" w:line-rule="auto"/>
        <w:ind w:firstLine="540"/>
        <w:jc w:val="both"/>
      </w:pPr>
      <w:r>
        <w:rPr>
          <w:sz w:val="20"/>
        </w:rPr>
        <w:t xml:space="preserve">- объектов электросетевого хозяйства - 1;</w:t>
      </w:r>
    </w:p>
    <w:p>
      <w:pPr>
        <w:pStyle w:val="0"/>
        <w:spacing w:before="200" w:line-rule="auto"/>
        <w:ind w:firstLine="540"/>
        <w:jc w:val="both"/>
      </w:pPr>
      <w:r>
        <w:rPr>
          <w:sz w:val="20"/>
        </w:rPr>
        <w:t xml:space="preserve">- тепловых электростанций - 1;</w:t>
      </w:r>
    </w:p>
    <w:p>
      <w:pPr>
        <w:pStyle w:val="0"/>
        <w:spacing w:before="200" w:line-rule="auto"/>
        <w:ind w:firstLine="540"/>
        <w:jc w:val="both"/>
      </w:pPr>
      <w:r>
        <w:rPr>
          <w:sz w:val="20"/>
        </w:rPr>
        <w:t xml:space="preserve">- объектов с возможным одновременным пребыванием более пяти тысяч человек - 4.</w:t>
      </w:r>
    </w:p>
    <w:p>
      <w:pPr>
        <w:pStyle w:val="0"/>
        <w:ind w:firstLine="540"/>
        <w:jc w:val="both"/>
      </w:pPr>
      <w:r>
        <w:rPr>
          <w:sz w:val="20"/>
        </w:rPr>
      </w:r>
    </w:p>
    <w:p>
      <w:pPr>
        <w:pStyle w:val="0"/>
        <w:jc w:val="right"/>
      </w:pPr>
      <w:r>
        <w:rPr>
          <w:sz w:val="20"/>
        </w:rPr>
        <w:t xml:space="preserve">Таблица 1</w:t>
      </w:r>
    </w:p>
    <w:p>
      <w:pPr>
        <w:pStyle w:val="0"/>
        <w:jc w:val="right"/>
      </w:pPr>
      <w:r>
        <w:rPr>
          <w:sz w:val="20"/>
        </w:rPr>
      </w:r>
    </w:p>
    <w:p>
      <w:pPr>
        <w:pStyle w:val="0"/>
        <w:jc w:val="center"/>
      </w:pPr>
      <w:r>
        <w:rPr>
          <w:sz w:val="20"/>
        </w:rPr>
        <w:t xml:space="preserve">Численность населения в городе Севастополе</w:t>
      </w:r>
    </w:p>
    <w:p>
      <w:pPr>
        <w:pStyle w:val="0"/>
        <w:jc w:val="center"/>
      </w:pPr>
      <w:r>
        <w:rPr>
          <w:sz w:val="20"/>
        </w:rPr>
        <w:t xml:space="preserve">на январь 2020 - 2022 гг. (по данным ЕМИСС)</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09"/>
        <w:gridCol w:w="1577"/>
        <w:gridCol w:w="1577"/>
        <w:gridCol w:w="1577"/>
      </w:tblGrid>
      <w:tr>
        <w:tc>
          <w:tcPr>
            <w:tcW w:w="4309" w:type="dxa"/>
          </w:tcPr>
          <w:p>
            <w:pPr>
              <w:pStyle w:val="0"/>
              <w:jc w:val="center"/>
            </w:pPr>
            <w:r>
              <w:rPr>
                <w:sz w:val="20"/>
              </w:rPr>
              <w:t xml:space="preserve">Наименование показателя</w:t>
            </w:r>
          </w:p>
        </w:tc>
        <w:tc>
          <w:tcPr>
            <w:tcW w:w="1577" w:type="dxa"/>
          </w:tcPr>
          <w:p>
            <w:pPr>
              <w:pStyle w:val="0"/>
              <w:jc w:val="center"/>
            </w:pPr>
            <w:r>
              <w:rPr>
                <w:sz w:val="20"/>
              </w:rPr>
              <w:t xml:space="preserve">На 01.01.2020</w:t>
            </w:r>
          </w:p>
        </w:tc>
        <w:tc>
          <w:tcPr>
            <w:tcW w:w="1577" w:type="dxa"/>
          </w:tcPr>
          <w:p>
            <w:pPr>
              <w:pStyle w:val="0"/>
              <w:jc w:val="center"/>
            </w:pPr>
            <w:r>
              <w:rPr>
                <w:sz w:val="20"/>
              </w:rPr>
              <w:t xml:space="preserve">На 01.01.2021</w:t>
            </w:r>
          </w:p>
        </w:tc>
        <w:tc>
          <w:tcPr>
            <w:tcW w:w="1577" w:type="dxa"/>
          </w:tcPr>
          <w:p>
            <w:pPr>
              <w:pStyle w:val="0"/>
              <w:jc w:val="center"/>
            </w:pPr>
            <w:r>
              <w:rPr>
                <w:sz w:val="20"/>
              </w:rPr>
              <w:t xml:space="preserve">На 01.01.2022</w:t>
            </w:r>
          </w:p>
        </w:tc>
      </w:tr>
      <w:tr>
        <w:tc>
          <w:tcPr>
            <w:tcW w:w="4309" w:type="dxa"/>
          </w:tcPr>
          <w:p>
            <w:pPr>
              <w:pStyle w:val="0"/>
              <w:jc w:val="both"/>
            </w:pPr>
            <w:r>
              <w:rPr>
                <w:sz w:val="20"/>
              </w:rPr>
              <w:t xml:space="preserve">Общая численность населения, чел.</w:t>
            </w:r>
          </w:p>
        </w:tc>
        <w:tc>
          <w:tcPr>
            <w:tcW w:w="1577" w:type="dxa"/>
          </w:tcPr>
          <w:p>
            <w:pPr>
              <w:pStyle w:val="0"/>
              <w:jc w:val="center"/>
            </w:pPr>
            <w:r>
              <w:rPr>
                <w:sz w:val="20"/>
              </w:rPr>
              <w:t xml:space="preserve">449138</w:t>
            </w:r>
          </w:p>
        </w:tc>
        <w:tc>
          <w:tcPr>
            <w:tcW w:w="1577" w:type="dxa"/>
          </w:tcPr>
          <w:p>
            <w:pPr>
              <w:pStyle w:val="0"/>
              <w:jc w:val="center"/>
            </w:pPr>
            <w:r>
              <w:rPr>
                <w:sz w:val="20"/>
              </w:rPr>
              <w:t xml:space="preserve">509992</w:t>
            </w:r>
          </w:p>
        </w:tc>
        <w:tc>
          <w:tcPr>
            <w:tcW w:w="1577" w:type="dxa"/>
          </w:tcPr>
          <w:p>
            <w:pPr>
              <w:pStyle w:val="0"/>
              <w:jc w:val="center"/>
            </w:pPr>
            <w:r>
              <w:rPr>
                <w:sz w:val="20"/>
              </w:rPr>
              <w:t xml:space="preserve">522057</w:t>
            </w:r>
          </w:p>
        </w:tc>
      </w:tr>
      <w:tr>
        <w:tc>
          <w:tcPr>
            <w:tcW w:w="4309" w:type="dxa"/>
          </w:tcPr>
          <w:p>
            <w:pPr>
              <w:pStyle w:val="0"/>
              <w:jc w:val="both"/>
            </w:pPr>
            <w:r>
              <w:rPr>
                <w:sz w:val="20"/>
              </w:rPr>
              <w:t xml:space="preserve">Из общей численности населения:</w:t>
            </w:r>
          </w:p>
        </w:tc>
        <w:tc>
          <w:tcPr>
            <w:tcW w:w="1577" w:type="dxa"/>
          </w:tcPr>
          <w:p>
            <w:pPr>
              <w:pStyle w:val="0"/>
              <w:jc w:val="center"/>
            </w:pPr>
            <w:r>
              <w:rPr>
                <w:sz w:val="20"/>
              </w:rPr>
            </w:r>
          </w:p>
        </w:tc>
        <w:tc>
          <w:tcPr>
            <w:tcW w:w="1577" w:type="dxa"/>
          </w:tcPr>
          <w:p>
            <w:pPr>
              <w:pStyle w:val="0"/>
              <w:jc w:val="center"/>
            </w:pPr>
            <w:r>
              <w:rPr>
                <w:sz w:val="20"/>
              </w:rPr>
            </w:r>
          </w:p>
        </w:tc>
        <w:tc>
          <w:tcPr>
            <w:tcW w:w="1577" w:type="dxa"/>
          </w:tcPr>
          <w:p>
            <w:pPr>
              <w:pStyle w:val="0"/>
              <w:jc w:val="center"/>
            </w:pPr>
            <w:r>
              <w:rPr>
                <w:sz w:val="20"/>
              </w:rPr>
            </w:r>
          </w:p>
        </w:tc>
      </w:tr>
      <w:tr>
        <w:tc>
          <w:tcPr>
            <w:tcW w:w="4309" w:type="dxa"/>
          </w:tcPr>
          <w:p>
            <w:pPr>
              <w:pStyle w:val="0"/>
              <w:jc w:val="both"/>
            </w:pPr>
            <w:r>
              <w:rPr>
                <w:sz w:val="20"/>
              </w:rPr>
              <w:t xml:space="preserve">моложе трудоспособного возраста, чел.</w:t>
            </w:r>
          </w:p>
        </w:tc>
        <w:tc>
          <w:tcPr>
            <w:tcW w:w="1577" w:type="dxa"/>
          </w:tcPr>
          <w:p>
            <w:pPr>
              <w:pStyle w:val="0"/>
              <w:jc w:val="center"/>
            </w:pPr>
            <w:r>
              <w:rPr>
                <w:sz w:val="20"/>
              </w:rPr>
              <w:t xml:space="preserve">85823</w:t>
            </w:r>
          </w:p>
        </w:tc>
        <w:tc>
          <w:tcPr>
            <w:tcW w:w="1577" w:type="dxa"/>
          </w:tcPr>
          <w:p>
            <w:pPr>
              <w:pStyle w:val="0"/>
              <w:jc w:val="center"/>
            </w:pPr>
            <w:r>
              <w:rPr>
                <w:sz w:val="20"/>
              </w:rPr>
              <w:t xml:space="preserve">100541</w:t>
            </w:r>
          </w:p>
        </w:tc>
        <w:tc>
          <w:tcPr>
            <w:tcW w:w="1577" w:type="dxa"/>
          </w:tcPr>
          <w:p>
            <w:pPr>
              <w:pStyle w:val="0"/>
              <w:jc w:val="center"/>
            </w:pPr>
            <w:r>
              <w:rPr>
                <w:sz w:val="20"/>
              </w:rPr>
              <w:t xml:space="preserve">109632</w:t>
            </w:r>
          </w:p>
        </w:tc>
      </w:tr>
      <w:tr>
        <w:tc>
          <w:tcPr>
            <w:tcW w:w="4309" w:type="dxa"/>
          </w:tcPr>
          <w:p>
            <w:pPr>
              <w:pStyle w:val="0"/>
              <w:jc w:val="both"/>
            </w:pPr>
            <w:r>
              <w:rPr>
                <w:sz w:val="20"/>
              </w:rPr>
              <w:t xml:space="preserve">трудоспособного возраста, чел.</w:t>
            </w:r>
          </w:p>
        </w:tc>
        <w:tc>
          <w:tcPr>
            <w:tcW w:w="1577" w:type="dxa"/>
          </w:tcPr>
          <w:p>
            <w:pPr>
              <w:pStyle w:val="0"/>
              <w:jc w:val="center"/>
            </w:pPr>
            <w:r>
              <w:rPr>
                <w:sz w:val="20"/>
              </w:rPr>
              <w:t xml:space="preserve">256757</w:t>
            </w:r>
          </w:p>
        </w:tc>
        <w:tc>
          <w:tcPr>
            <w:tcW w:w="1577" w:type="dxa"/>
          </w:tcPr>
          <w:p>
            <w:pPr>
              <w:pStyle w:val="0"/>
              <w:jc w:val="center"/>
            </w:pPr>
            <w:r>
              <w:rPr>
                <w:sz w:val="20"/>
              </w:rPr>
              <w:t xml:space="preserve">293051</w:t>
            </w:r>
          </w:p>
        </w:tc>
        <w:tc>
          <w:tcPr>
            <w:tcW w:w="1577" w:type="dxa"/>
          </w:tcPr>
          <w:p>
            <w:pPr>
              <w:pStyle w:val="0"/>
              <w:jc w:val="center"/>
            </w:pPr>
            <w:r>
              <w:rPr>
                <w:sz w:val="20"/>
              </w:rPr>
              <w:t xml:space="preserve">297572</w:t>
            </w:r>
          </w:p>
        </w:tc>
      </w:tr>
      <w:tr>
        <w:tc>
          <w:tcPr>
            <w:tcW w:w="4309" w:type="dxa"/>
          </w:tcPr>
          <w:p>
            <w:pPr>
              <w:pStyle w:val="0"/>
              <w:jc w:val="both"/>
            </w:pPr>
            <w:r>
              <w:rPr>
                <w:sz w:val="20"/>
              </w:rPr>
              <w:t xml:space="preserve">старше трудоспособного возраста, чел.</w:t>
            </w:r>
          </w:p>
        </w:tc>
        <w:tc>
          <w:tcPr>
            <w:tcW w:w="1577" w:type="dxa"/>
          </w:tcPr>
          <w:p>
            <w:pPr>
              <w:pStyle w:val="0"/>
              <w:jc w:val="center"/>
            </w:pPr>
            <w:r>
              <w:rPr>
                <w:sz w:val="20"/>
              </w:rPr>
              <w:t xml:space="preserve">106558</w:t>
            </w:r>
          </w:p>
        </w:tc>
        <w:tc>
          <w:tcPr>
            <w:tcW w:w="1577" w:type="dxa"/>
          </w:tcPr>
          <w:p>
            <w:pPr>
              <w:pStyle w:val="0"/>
              <w:jc w:val="center"/>
            </w:pPr>
            <w:r>
              <w:rPr>
                <w:sz w:val="20"/>
              </w:rPr>
              <w:t xml:space="preserve">116400</w:t>
            </w:r>
          </w:p>
        </w:tc>
        <w:tc>
          <w:tcPr>
            <w:tcW w:w="1577" w:type="dxa"/>
          </w:tcPr>
          <w:p>
            <w:pPr>
              <w:pStyle w:val="0"/>
              <w:jc w:val="center"/>
            </w:pPr>
            <w:r>
              <w:rPr>
                <w:sz w:val="20"/>
              </w:rPr>
              <w:t xml:space="preserve">114852</w:t>
            </w:r>
          </w:p>
        </w:tc>
      </w:tr>
    </w:tbl>
    <w:p>
      <w:pPr>
        <w:pStyle w:val="0"/>
        <w:ind w:firstLine="540"/>
        <w:jc w:val="both"/>
      </w:pPr>
      <w:r>
        <w:rPr>
          <w:sz w:val="20"/>
        </w:rPr>
      </w:r>
    </w:p>
    <w:p>
      <w:pPr>
        <w:pStyle w:val="0"/>
        <w:ind w:firstLine="540"/>
        <w:jc w:val="both"/>
      </w:pPr>
      <w:r>
        <w:rPr>
          <w:sz w:val="20"/>
        </w:rPr>
        <w:t xml:space="preserve">В 2022 году численность постоянно проживающих жителей города Севастополя составляла 509992 человека, рост численности населения составил 12065 человек.</w:t>
      </w:r>
    </w:p>
    <w:p>
      <w:pPr>
        <w:pStyle w:val="0"/>
        <w:ind w:firstLine="540"/>
        <w:jc w:val="both"/>
      </w:pPr>
      <w:r>
        <w:rPr>
          <w:sz w:val="20"/>
        </w:rPr>
      </w:r>
    </w:p>
    <w:p>
      <w:pPr>
        <w:pStyle w:val="0"/>
        <w:jc w:val="right"/>
      </w:pPr>
      <w:r>
        <w:rPr>
          <w:sz w:val="20"/>
        </w:rPr>
        <w:t xml:space="preserve">Таблица 2</w:t>
      </w:r>
    </w:p>
    <w:p>
      <w:pPr>
        <w:pStyle w:val="0"/>
        <w:jc w:val="right"/>
      </w:pPr>
      <w:r>
        <w:rPr>
          <w:sz w:val="20"/>
        </w:rPr>
      </w:r>
    </w:p>
    <w:p>
      <w:pPr>
        <w:pStyle w:val="0"/>
        <w:jc w:val="center"/>
      </w:pPr>
      <w:r>
        <w:rPr>
          <w:sz w:val="20"/>
        </w:rPr>
        <w:t xml:space="preserve">Медико-демографические показатели в городе Севастополе</w:t>
      </w:r>
    </w:p>
    <w:p>
      <w:pPr>
        <w:pStyle w:val="0"/>
        <w:jc w:val="center"/>
      </w:pPr>
      <w:r>
        <w:rPr>
          <w:sz w:val="20"/>
        </w:rPr>
        <w:t xml:space="preserve">за 2020 - 2022 гг. (по данным ЕМИСС)</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31"/>
        <w:gridCol w:w="1559"/>
        <w:gridCol w:w="1559"/>
        <w:gridCol w:w="1276"/>
        <w:gridCol w:w="1237"/>
      </w:tblGrid>
      <w:tr>
        <w:tc>
          <w:tcPr>
            <w:tcW w:w="3431" w:type="dxa"/>
          </w:tcPr>
          <w:p>
            <w:pPr>
              <w:pStyle w:val="0"/>
              <w:jc w:val="center"/>
            </w:pPr>
            <w:r>
              <w:rPr>
                <w:sz w:val="20"/>
              </w:rPr>
              <w:t xml:space="preserve">Наименование показателя</w:t>
            </w:r>
          </w:p>
        </w:tc>
        <w:tc>
          <w:tcPr>
            <w:tcW w:w="1559" w:type="dxa"/>
          </w:tcPr>
          <w:p>
            <w:pPr>
              <w:pStyle w:val="0"/>
              <w:jc w:val="center"/>
            </w:pPr>
            <w:r>
              <w:rPr>
                <w:sz w:val="20"/>
              </w:rPr>
            </w:r>
          </w:p>
        </w:tc>
        <w:tc>
          <w:tcPr>
            <w:tcW w:w="1559" w:type="dxa"/>
          </w:tcPr>
          <w:p>
            <w:pPr>
              <w:pStyle w:val="0"/>
              <w:jc w:val="center"/>
            </w:pPr>
            <w:r>
              <w:rPr>
                <w:sz w:val="20"/>
              </w:rPr>
              <w:t xml:space="preserve">2020 год (факт)</w:t>
            </w:r>
          </w:p>
        </w:tc>
        <w:tc>
          <w:tcPr>
            <w:tcW w:w="1276" w:type="dxa"/>
          </w:tcPr>
          <w:p>
            <w:pPr>
              <w:pStyle w:val="0"/>
              <w:jc w:val="center"/>
            </w:pPr>
            <w:r>
              <w:rPr>
                <w:sz w:val="20"/>
              </w:rPr>
              <w:t xml:space="preserve">2021 год (факт)</w:t>
            </w:r>
          </w:p>
        </w:tc>
        <w:tc>
          <w:tcPr>
            <w:tcW w:w="1237" w:type="dxa"/>
          </w:tcPr>
          <w:p>
            <w:pPr>
              <w:pStyle w:val="0"/>
              <w:jc w:val="center"/>
            </w:pPr>
            <w:r>
              <w:rPr>
                <w:sz w:val="20"/>
              </w:rPr>
              <w:t xml:space="preserve">2022 год (факт)</w:t>
            </w:r>
          </w:p>
        </w:tc>
      </w:tr>
      <w:tr>
        <w:tc>
          <w:tcPr>
            <w:tcW w:w="3431" w:type="dxa"/>
            <w:vMerge w:val="restart"/>
          </w:tcPr>
          <w:p>
            <w:pPr>
              <w:pStyle w:val="0"/>
              <w:jc w:val="both"/>
            </w:pPr>
            <w:r>
              <w:rPr>
                <w:sz w:val="20"/>
              </w:rPr>
              <w:t xml:space="preserve">Рождаемость (на 1000 чел. населения)</w:t>
            </w:r>
          </w:p>
        </w:tc>
        <w:tc>
          <w:tcPr>
            <w:tcW w:w="1559" w:type="dxa"/>
          </w:tcPr>
          <w:p>
            <w:pPr>
              <w:pStyle w:val="0"/>
              <w:jc w:val="both"/>
            </w:pPr>
            <w:r>
              <w:rPr>
                <w:sz w:val="20"/>
              </w:rPr>
              <w:t xml:space="preserve">Севастополь</w:t>
            </w:r>
          </w:p>
        </w:tc>
        <w:tc>
          <w:tcPr>
            <w:tcW w:w="1559" w:type="dxa"/>
          </w:tcPr>
          <w:p>
            <w:pPr>
              <w:pStyle w:val="0"/>
              <w:jc w:val="center"/>
            </w:pPr>
            <w:r>
              <w:rPr>
                <w:sz w:val="20"/>
              </w:rPr>
              <w:t xml:space="preserve">9,43</w:t>
            </w:r>
          </w:p>
        </w:tc>
        <w:tc>
          <w:tcPr>
            <w:tcW w:w="1276" w:type="dxa"/>
          </w:tcPr>
          <w:p>
            <w:pPr>
              <w:pStyle w:val="0"/>
              <w:jc w:val="center"/>
            </w:pPr>
            <w:r>
              <w:rPr>
                <w:sz w:val="20"/>
              </w:rPr>
              <w:t xml:space="preserve">8,3</w:t>
            </w:r>
          </w:p>
        </w:tc>
        <w:tc>
          <w:tcPr>
            <w:tcW w:w="1237" w:type="dxa"/>
          </w:tcPr>
          <w:p>
            <w:pPr>
              <w:pStyle w:val="0"/>
              <w:jc w:val="center"/>
            </w:pPr>
            <w:r>
              <w:rPr>
                <w:sz w:val="20"/>
              </w:rPr>
              <w:t xml:space="preserve">7,7</w:t>
            </w:r>
          </w:p>
        </w:tc>
      </w:tr>
      <w:tr>
        <w:tc>
          <w:tcPr>
            <w:vMerge w:val="continue"/>
          </w:tcPr>
          <w:p/>
        </w:tc>
        <w:tc>
          <w:tcPr>
            <w:tcW w:w="1559" w:type="dxa"/>
          </w:tcPr>
          <w:p>
            <w:pPr>
              <w:pStyle w:val="0"/>
              <w:jc w:val="both"/>
            </w:pPr>
            <w:r>
              <w:rPr>
                <w:sz w:val="20"/>
              </w:rPr>
              <w:t xml:space="preserve">ЮФО</w:t>
            </w:r>
          </w:p>
        </w:tc>
        <w:tc>
          <w:tcPr>
            <w:tcW w:w="1559" w:type="dxa"/>
          </w:tcPr>
          <w:p>
            <w:pPr>
              <w:pStyle w:val="0"/>
              <w:jc w:val="center"/>
            </w:pPr>
            <w:r>
              <w:rPr>
                <w:sz w:val="20"/>
              </w:rPr>
              <w:t xml:space="preserve">9,5</w:t>
            </w:r>
          </w:p>
        </w:tc>
        <w:tc>
          <w:tcPr>
            <w:tcW w:w="1276" w:type="dxa"/>
          </w:tcPr>
          <w:p>
            <w:pPr>
              <w:pStyle w:val="0"/>
              <w:jc w:val="center"/>
            </w:pPr>
            <w:r>
              <w:rPr>
                <w:sz w:val="20"/>
              </w:rPr>
              <w:t xml:space="preserve">17,7</w:t>
            </w:r>
          </w:p>
        </w:tc>
        <w:tc>
          <w:tcPr>
            <w:tcW w:w="1237" w:type="dxa"/>
          </w:tcPr>
          <w:p>
            <w:pPr>
              <w:pStyle w:val="0"/>
              <w:jc w:val="center"/>
            </w:pPr>
            <w:r>
              <w:rPr>
                <w:sz w:val="20"/>
              </w:rPr>
              <w:t xml:space="preserve">8,6</w:t>
            </w:r>
          </w:p>
        </w:tc>
      </w:tr>
      <w:tr>
        <w:tc>
          <w:tcPr>
            <w:vMerge w:val="continue"/>
          </w:tcPr>
          <w:p/>
        </w:tc>
        <w:tc>
          <w:tcPr>
            <w:tcW w:w="1559" w:type="dxa"/>
          </w:tcPr>
          <w:p>
            <w:pPr>
              <w:pStyle w:val="0"/>
              <w:jc w:val="both"/>
            </w:pPr>
            <w:r>
              <w:rPr>
                <w:sz w:val="20"/>
              </w:rPr>
              <w:t xml:space="preserve">РФ</w:t>
            </w:r>
          </w:p>
        </w:tc>
        <w:tc>
          <w:tcPr>
            <w:tcW w:w="1559" w:type="dxa"/>
          </w:tcPr>
          <w:p>
            <w:pPr>
              <w:pStyle w:val="0"/>
              <w:jc w:val="center"/>
            </w:pPr>
            <w:r>
              <w:rPr>
                <w:sz w:val="20"/>
              </w:rPr>
              <w:t xml:space="preserve">9,8</w:t>
            </w:r>
          </w:p>
        </w:tc>
        <w:tc>
          <w:tcPr>
            <w:tcW w:w="1276" w:type="dxa"/>
          </w:tcPr>
          <w:p>
            <w:pPr>
              <w:pStyle w:val="0"/>
              <w:jc w:val="center"/>
            </w:pPr>
            <w:r>
              <w:rPr>
                <w:sz w:val="20"/>
              </w:rPr>
              <w:t xml:space="preserve">9,0</w:t>
            </w:r>
          </w:p>
        </w:tc>
        <w:tc>
          <w:tcPr>
            <w:tcW w:w="1237" w:type="dxa"/>
          </w:tcPr>
          <w:p>
            <w:pPr>
              <w:pStyle w:val="0"/>
              <w:jc w:val="center"/>
            </w:pPr>
            <w:r>
              <w:rPr>
                <w:sz w:val="20"/>
              </w:rPr>
              <w:t xml:space="preserve">9,0</w:t>
            </w:r>
          </w:p>
        </w:tc>
      </w:tr>
      <w:tr>
        <w:tc>
          <w:tcPr>
            <w:tcW w:w="3431" w:type="dxa"/>
            <w:vMerge w:val="restart"/>
          </w:tcPr>
          <w:p>
            <w:pPr>
              <w:pStyle w:val="0"/>
              <w:jc w:val="both"/>
            </w:pPr>
            <w:r>
              <w:rPr>
                <w:sz w:val="20"/>
              </w:rPr>
              <w:t xml:space="preserve">Смертность (на 1000 чел. населения)</w:t>
            </w:r>
          </w:p>
        </w:tc>
        <w:tc>
          <w:tcPr>
            <w:tcW w:w="1559" w:type="dxa"/>
          </w:tcPr>
          <w:p>
            <w:pPr>
              <w:pStyle w:val="0"/>
              <w:jc w:val="both"/>
            </w:pPr>
            <w:r>
              <w:rPr>
                <w:sz w:val="20"/>
              </w:rPr>
              <w:t xml:space="preserve">Севастополь</w:t>
            </w:r>
          </w:p>
        </w:tc>
        <w:tc>
          <w:tcPr>
            <w:tcW w:w="1559" w:type="dxa"/>
          </w:tcPr>
          <w:p>
            <w:pPr>
              <w:pStyle w:val="0"/>
              <w:jc w:val="center"/>
            </w:pPr>
            <w:r>
              <w:rPr>
                <w:sz w:val="20"/>
              </w:rPr>
              <w:t xml:space="preserve">13,94</w:t>
            </w:r>
          </w:p>
        </w:tc>
        <w:tc>
          <w:tcPr>
            <w:tcW w:w="1276" w:type="dxa"/>
          </w:tcPr>
          <w:p>
            <w:pPr>
              <w:pStyle w:val="0"/>
              <w:jc w:val="center"/>
            </w:pPr>
            <w:r>
              <w:rPr>
                <w:sz w:val="20"/>
              </w:rPr>
              <w:t xml:space="preserve">15,0</w:t>
            </w:r>
          </w:p>
        </w:tc>
        <w:tc>
          <w:tcPr>
            <w:tcW w:w="1237" w:type="dxa"/>
          </w:tcPr>
          <w:p>
            <w:pPr>
              <w:pStyle w:val="0"/>
              <w:jc w:val="center"/>
            </w:pPr>
            <w:r>
              <w:rPr>
                <w:sz w:val="20"/>
              </w:rPr>
              <w:t xml:space="preserve">11,9</w:t>
            </w:r>
          </w:p>
        </w:tc>
      </w:tr>
      <w:tr>
        <w:tc>
          <w:tcPr>
            <w:vMerge w:val="continue"/>
          </w:tcPr>
          <w:p/>
        </w:tc>
        <w:tc>
          <w:tcPr>
            <w:tcW w:w="1559" w:type="dxa"/>
          </w:tcPr>
          <w:p>
            <w:pPr>
              <w:pStyle w:val="0"/>
              <w:jc w:val="both"/>
            </w:pPr>
            <w:r>
              <w:rPr>
                <w:sz w:val="20"/>
              </w:rPr>
              <w:t xml:space="preserve">ЮФО</w:t>
            </w:r>
          </w:p>
        </w:tc>
        <w:tc>
          <w:tcPr>
            <w:tcW w:w="1559" w:type="dxa"/>
          </w:tcPr>
          <w:p>
            <w:pPr>
              <w:pStyle w:val="0"/>
              <w:jc w:val="center"/>
            </w:pPr>
            <w:r>
              <w:rPr>
                <w:sz w:val="20"/>
              </w:rPr>
              <w:t xml:space="preserve">15,0</w:t>
            </w:r>
          </w:p>
        </w:tc>
        <w:tc>
          <w:tcPr>
            <w:tcW w:w="1276" w:type="dxa"/>
          </w:tcPr>
          <w:p>
            <w:pPr>
              <w:pStyle w:val="0"/>
              <w:jc w:val="center"/>
            </w:pPr>
            <w:r>
              <w:rPr>
                <w:sz w:val="20"/>
              </w:rPr>
              <w:t xml:space="preserve">17,7</w:t>
            </w:r>
          </w:p>
        </w:tc>
        <w:tc>
          <w:tcPr>
            <w:tcW w:w="1237" w:type="dxa"/>
          </w:tcPr>
          <w:p>
            <w:pPr>
              <w:pStyle w:val="0"/>
              <w:jc w:val="center"/>
            </w:pPr>
            <w:r>
              <w:rPr>
                <w:sz w:val="20"/>
              </w:rPr>
              <w:t xml:space="preserve">14,0</w:t>
            </w:r>
          </w:p>
        </w:tc>
      </w:tr>
      <w:tr>
        <w:tc>
          <w:tcPr>
            <w:vMerge w:val="continue"/>
          </w:tcPr>
          <w:p/>
        </w:tc>
        <w:tc>
          <w:tcPr>
            <w:tcW w:w="1559" w:type="dxa"/>
          </w:tcPr>
          <w:p>
            <w:pPr>
              <w:pStyle w:val="0"/>
              <w:jc w:val="both"/>
            </w:pPr>
            <w:r>
              <w:rPr>
                <w:sz w:val="20"/>
              </w:rPr>
              <w:t xml:space="preserve">РФ</w:t>
            </w:r>
          </w:p>
        </w:tc>
        <w:tc>
          <w:tcPr>
            <w:tcW w:w="1559" w:type="dxa"/>
          </w:tcPr>
          <w:p>
            <w:pPr>
              <w:pStyle w:val="0"/>
              <w:jc w:val="center"/>
            </w:pPr>
            <w:r>
              <w:rPr>
                <w:sz w:val="20"/>
              </w:rPr>
              <w:t xml:space="preserve">14,6</w:t>
            </w:r>
          </w:p>
        </w:tc>
        <w:tc>
          <w:tcPr>
            <w:tcW w:w="1276" w:type="dxa"/>
          </w:tcPr>
          <w:p>
            <w:pPr>
              <w:pStyle w:val="0"/>
              <w:jc w:val="center"/>
            </w:pPr>
            <w:r>
              <w:rPr>
                <w:sz w:val="20"/>
              </w:rPr>
              <w:t xml:space="preserve">16,7</w:t>
            </w:r>
          </w:p>
        </w:tc>
        <w:tc>
          <w:tcPr>
            <w:tcW w:w="1237" w:type="dxa"/>
          </w:tcPr>
          <w:p>
            <w:pPr>
              <w:pStyle w:val="0"/>
              <w:jc w:val="center"/>
            </w:pPr>
            <w:r>
              <w:rPr>
                <w:sz w:val="20"/>
              </w:rPr>
              <w:t xml:space="preserve">13,1</w:t>
            </w:r>
          </w:p>
        </w:tc>
      </w:tr>
      <w:tr>
        <w:tc>
          <w:tcPr>
            <w:tcW w:w="3431" w:type="dxa"/>
            <w:vMerge w:val="restart"/>
          </w:tcPr>
          <w:p>
            <w:pPr>
              <w:pStyle w:val="0"/>
              <w:jc w:val="both"/>
            </w:pPr>
            <w:r>
              <w:rPr>
                <w:sz w:val="20"/>
              </w:rPr>
              <w:t xml:space="preserve">Естественный прирост, убыль (-) на 1000 чел. населения</w:t>
            </w:r>
          </w:p>
        </w:tc>
        <w:tc>
          <w:tcPr>
            <w:tcW w:w="1559" w:type="dxa"/>
          </w:tcPr>
          <w:p>
            <w:pPr>
              <w:pStyle w:val="0"/>
              <w:jc w:val="both"/>
            </w:pPr>
            <w:r>
              <w:rPr>
                <w:sz w:val="20"/>
              </w:rPr>
              <w:t xml:space="preserve">Севастополь</w:t>
            </w:r>
          </w:p>
        </w:tc>
        <w:tc>
          <w:tcPr>
            <w:tcW w:w="1559" w:type="dxa"/>
          </w:tcPr>
          <w:p>
            <w:pPr>
              <w:pStyle w:val="0"/>
              <w:jc w:val="center"/>
            </w:pPr>
            <w:r>
              <w:rPr>
                <w:sz w:val="20"/>
              </w:rPr>
              <w:t xml:space="preserve">4,51</w:t>
            </w:r>
          </w:p>
        </w:tc>
        <w:tc>
          <w:tcPr>
            <w:tcW w:w="1276" w:type="dxa"/>
          </w:tcPr>
          <w:p>
            <w:pPr>
              <w:pStyle w:val="0"/>
              <w:jc w:val="center"/>
            </w:pPr>
            <w:r>
              <w:rPr>
                <w:sz w:val="20"/>
              </w:rPr>
              <w:t xml:space="preserve">-6,7</w:t>
            </w:r>
          </w:p>
        </w:tc>
        <w:tc>
          <w:tcPr>
            <w:tcW w:w="1237" w:type="dxa"/>
          </w:tcPr>
          <w:p>
            <w:pPr>
              <w:pStyle w:val="0"/>
              <w:jc w:val="center"/>
            </w:pPr>
            <w:r>
              <w:rPr>
                <w:sz w:val="20"/>
              </w:rPr>
              <w:t xml:space="preserve">-4,3</w:t>
            </w:r>
          </w:p>
        </w:tc>
      </w:tr>
      <w:tr>
        <w:tc>
          <w:tcPr>
            <w:vMerge w:val="continue"/>
          </w:tcPr>
          <w:p/>
        </w:tc>
        <w:tc>
          <w:tcPr>
            <w:tcW w:w="1559" w:type="dxa"/>
          </w:tcPr>
          <w:p>
            <w:pPr>
              <w:pStyle w:val="0"/>
              <w:jc w:val="both"/>
            </w:pPr>
            <w:r>
              <w:rPr>
                <w:sz w:val="20"/>
              </w:rPr>
              <w:t xml:space="preserve">ЮФО</w:t>
            </w:r>
          </w:p>
        </w:tc>
        <w:tc>
          <w:tcPr>
            <w:tcW w:w="1559" w:type="dxa"/>
          </w:tcPr>
          <w:p>
            <w:pPr>
              <w:pStyle w:val="0"/>
              <w:jc w:val="center"/>
            </w:pPr>
            <w:r>
              <w:rPr>
                <w:sz w:val="20"/>
              </w:rPr>
              <w:t xml:space="preserve">-5,5</w:t>
            </w:r>
          </w:p>
        </w:tc>
        <w:tc>
          <w:tcPr>
            <w:tcW w:w="1276" w:type="dxa"/>
          </w:tcPr>
          <w:p>
            <w:pPr>
              <w:pStyle w:val="0"/>
              <w:jc w:val="center"/>
            </w:pPr>
            <w:r>
              <w:rPr>
                <w:sz w:val="20"/>
              </w:rPr>
              <w:t xml:space="preserve">-8,3</w:t>
            </w:r>
          </w:p>
        </w:tc>
        <w:tc>
          <w:tcPr>
            <w:tcW w:w="1237" w:type="dxa"/>
          </w:tcPr>
          <w:p>
            <w:pPr>
              <w:pStyle w:val="0"/>
              <w:jc w:val="center"/>
            </w:pPr>
            <w:r>
              <w:rPr>
                <w:sz w:val="20"/>
              </w:rPr>
              <w:t xml:space="preserve">-5,4</w:t>
            </w:r>
          </w:p>
        </w:tc>
      </w:tr>
      <w:tr>
        <w:tc>
          <w:tcPr>
            <w:vMerge w:val="continue"/>
          </w:tcPr>
          <w:p/>
        </w:tc>
        <w:tc>
          <w:tcPr>
            <w:tcW w:w="1559" w:type="dxa"/>
          </w:tcPr>
          <w:p>
            <w:pPr>
              <w:pStyle w:val="0"/>
              <w:jc w:val="both"/>
            </w:pPr>
            <w:r>
              <w:rPr>
                <w:sz w:val="20"/>
              </w:rPr>
              <w:t xml:space="preserve">РФ</w:t>
            </w:r>
          </w:p>
        </w:tc>
        <w:tc>
          <w:tcPr>
            <w:tcW w:w="1559" w:type="dxa"/>
          </w:tcPr>
          <w:p>
            <w:pPr>
              <w:pStyle w:val="0"/>
              <w:jc w:val="center"/>
            </w:pPr>
            <w:r>
              <w:rPr>
                <w:sz w:val="20"/>
              </w:rPr>
              <w:t xml:space="preserve">-4,8</w:t>
            </w:r>
          </w:p>
        </w:tc>
        <w:tc>
          <w:tcPr>
            <w:tcW w:w="1276" w:type="dxa"/>
          </w:tcPr>
          <w:p>
            <w:pPr>
              <w:pStyle w:val="0"/>
              <w:jc w:val="center"/>
            </w:pPr>
            <w:r>
              <w:rPr>
                <w:sz w:val="20"/>
              </w:rPr>
              <w:t xml:space="preserve">-7,1</w:t>
            </w:r>
          </w:p>
        </w:tc>
        <w:tc>
          <w:tcPr>
            <w:tcW w:w="1237" w:type="dxa"/>
          </w:tcPr>
          <w:p>
            <w:pPr>
              <w:pStyle w:val="0"/>
              <w:jc w:val="center"/>
            </w:pPr>
            <w:r>
              <w:rPr>
                <w:sz w:val="20"/>
              </w:rPr>
              <w:t xml:space="preserve">-4,1</w:t>
            </w:r>
          </w:p>
        </w:tc>
      </w:tr>
      <w:tr>
        <w:tc>
          <w:tcPr>
            <w:tcW w:w="3431" w:type="dxa"/>
            <w:vMerge w:val="restart"/>
          </w:tcPr>
          <w:p>
            <w:pPr>
              <w:pStyle w:val="0"/>
              <w:jc w:val="both"/>
            </w:pPr>
            <w:r>
              <w:rPr>
                <w:sz w:val="20"/>
              </w:rPr>
              <w:t xml:space="preserve">Ожидаемая продолжительность жизни при рождении, число лет</w:t>
            </w:r>
          </w:p>
        </w:tc>
        <w:tc>
          <w:tcPr>
            <w:tcW w:w="1559" w:type="dxa"/>
          </w:tcPr>
          <w:p>
            <w:pPr>
              <w:pStyle w:val="0"/>
              <w:jc w:val="both"/>
            </w:pPr>
            <w:r>
              <w:rPr>
                <w:sz w:val="20"/>
              </w:rPr>
              <w:t xml:space="preserve">Севастополь</w:t>
            </w:r>
          </w:p>
        </w:tc>
        <w:tc>
          <w:tcPr>
            <w:tcW w:w="1559" w:type="dxa"/>
          </w:tcPr>
          <w:p>
            <w:pPr>
              <w:pStyle w:val="0"/>
              <w:jc w:val="center"/>
            </w:pPr>
            <w:r>
              <w:rPr>
                <w:sz w:val="20"/>
              </w:rPr>
              <w:t xml:space="preserve">72,93</w:t>
            </w:r>
          </w:p>
        </w:tc>
        <w:tc>
          <w:tcPr>
            <w:tcW w:w="1276" w:type="dxa"/>
          </w:tcPr>
          <w:p>
            <w:pPr>
              <w:pStyle w:val="0"/>
              <w:jc w:val="center"/>
            </w:pPr>
            <w:r>
              <w:rPr>
                <w:sz w:val="20"/>
              </w:rPr>
              <w:t xml:space="preserve">72,93</w:t>
            </w:r>
          </w:p>
        </w:tc>
        <w:tc>
          <w:tcPr>
            <w:tcW w:w="1237" w:type="dxa"/>
          </w:tcPr>
          <w:p>
            <w:pPr>
              <w:pStyle w:val="0"/>
              <w:jc w:val="center"/>
            </w:pPr>
            <w:r>
              <w:rPr>
                <w:sz w:val="20"/>
              </w:rPr>
              <w:t xml:space="preserve">74,57</w:t>
            </w:r>
          </w:p>
        </w:tc>
      </w:tr>
      <w:tr>
        <w:tc>
          <w:tcPr>
            <w:vMerge w:val="continue"/>
          </w:tcPr>
          <w:p/>
        </w:tc>
        <w:tc>
          <w:tcPr>
            <w:tcW w:w="1559" w:type="dxa"/>
          </w:tcPr>
          <w:p>
            <w:pPr>
              <w:pStyle w:val="0"/>
              <w:jc w:val="both"/>
            </w:pPr>
            <w:r>
              <w:rPr>
                <w:sz w:val="20"/>
              </w:rPr>
              <w:t xml:space="preserve">ЮФО</w:t>
            </w:r>
          </w:p>
        </w:tc>
        <w:tc>
          <w:tcPr>
            <w:tcW w:w="1559" w:type="dxa"/>
          </w:tcPr>
          <w:p>
            <w:pPr>
              <w:pStyle w:val="0"/>
              <w:jc w:val="center"/>
            </w:pPr>
            <w:r>
              <w:rPr>
                <w:sz w:val="20"/>
              </w:rPr>
              <w:t xml:space="preserve">72,09</w:t>
            </w:r>
          </w:p>
        </w:tc>
        <w:tc>
          <w:tcPr>
            <w:tcW w:w="1276" w:type="dxa"/>
          </w:tcPr>
          <w:p>
            <w:pPr>
              <w:pStyle w:val="0"/>
              <w:jc w:val="center"/>
            </w:pPr>
            <w:r>
              <w:rPr>
                <w:sz w:val="20"/>
              </w:rPr>
              <w:t xml:space="preserve">70,21</w:t>
            </w:r>
          </w:p>
        </w:tc>
        <w:tc>
          <w:tcPr>
            <w:tcW w:w="1237" w:type="dxa"/>
          </w:tcPr>
          <w:p>
            <w:pPr>
              <w:pStyle w:val="0"/>
              <w:jc w:val="center"/>
            </w:pPr>
            <w:r>
              <w:rPr>
                <w:sz w:val="20"/>
              </w:rPr>
              <w:t xml:space="preserve">72,68</w:t>
            </w:r>
          </w:p>
        </w:tc>
      </w:tr>
      <w:tr>
        <w:tc>
          <w:tcPr>
            <w:vMerge w:val="continue"/>
          </w:tcPr>
          <w:p/>
        </w:tc>
        <w:tc>
          <w:tcPr>
            <w:tcW w:w="1559" w:type="dxa"/>
          </w:tcPr>
          <w:p>
            <w:pPr>
              <w:pStyle w:val="0"/>
              <w:jc w:val="both"/>
            </w:pPr>
            <w:r>
              <w:rPr>
                <w:sz w:val="20"/>
              </w:rPr>
              <w:t xml:space="preserve">РФ</w:t>
            </w:r>
          </w:p>
        </w:tc>
        <w:tc>
          <w:tcPr>
            <w:tcW w:w="1559" w:type="dxa"/>
          </w:tcPr>
          <w:p>
            <w:pPr>
              <w:pStyle w:val="0"/>
              <w:jc w:val="center"/>
            </w:pPr>
            <w:r>
              <w:rPr>
                <w:sz w:val="20"/>
              </w:rPr>
              <w:t xml:space="preserve">71,5</w:t>
            </w:r>
          </w:p>
        </w:tc>
        <w:tc>
          <w:tcPr>
            <w:tcW w:w="1276" w:type="dxa"/>
          </w:tcPr>
          <w:p>
            <w:pPr>
              <w:pStyle w:val="0"/>
              <w:jc w:val="center"/>
            </w:pPr>
            <w:r>
              <w:rPr>
                <w:sz w:val="20"/>
              </w:rPr>
              <w:t xml:space="preserve">70,06</w:t>
            </w:r>
          </w:p>
        </w:tc>
        <w:tc>
          <w:tcPr>
            <w:tcW w:w="1237" w:type="dxa"/>
          </w:tcPr>
          <w:p>
            <w:pPr>
              <w:pStyle w:val="0"/>
              <w:jc w:val="center"/>
            </w:pPr>
            <w:r>
              <w:rPr>
                <w:sz w:val="20"/>
              </w:rPr>
              <w:t xml:space="preserve">72,76</w:t>
            </w:r>
          </w:p>
        </w:tc>
      </w:tr>
    </w:tbl>
    <w:p>
      <w:pPr>
        <w:pStyle w:val="0"/>
        <w:ind w:firstLine="540"/>
        <w:jc w:val="both"/>
      </w:pPr>
      <w:r>
        <w:rPr>
          <w:sz w:val="20"/>
        </w:rPr>
      </w:r>
    </w:p>
    <w:p>
      <w:pPr>
        <w:pStyle w:val="0"/>
        <w:ind w:firstLine="540"/>
        <w:jc w:val="both"/>
      </w:pPr>
      <w:r>
        <w:rPr>
          <w:sz w:val="20"/>
        </w:rPr>
        <w:t xml:space="preserve">С 2020 по 2021 год показатель рождаемости по городу Севастополю снизился на 1,73 и составил 7,7 на 1000 человек населения, что ниже аналогичного показателя по Российской Федерации (9,0 на 1000 человек населения) и показателя по ЮФО (8,7 на 1000 человек населения).</w:t>
      </w:r>
    </w:p>
    <w:p>
      <w:pPr>
        <w:pStyle w:val="0"/>
        <w:spacing w:before="200" w:line-rule="auto"/>
        <w:ind w:firstLine="540"/>
        <w:jc w:val="both"/>
      </w:pPr>
      <w:r>
        <w:rPr>
          <w:sz w:val="20"/>
        </w:rPr>
        <w:t xml:space="preserve">Показатель смертности населения с 2020 по 2022 год по городу Севастополю снизился на 2 и составил 11,94 на 1000 человек населения, что ниже среднего показателя по Российской Федерации (13,1 на 1000 человек населения) и среднего показателя по ЮФО (14,1 на 1000 человек населения).</w:t>
      </w:r>
    </w:p>
    <w:p>
      <w:pPr>
        <w:pStyle w:val="0"/>
        <w:spacing w:before="200" w:line-rule="auto"/>
        <w:ind w:firstLine="540"/>
        <w:jc w:val="both"/>
      </w:pPr>
      <w:r>
        <w:rPr>
          <w:sz w:val="20"/>
        </w:rPr>
        <w:t xml:space="preserve">По данным Росстата, за 2022 год показатель естественного прироста в городе Севастополе снизился на 0,2 и составил 4,3 на 1000 человек населения, что ниже среднего показателя по Российской Федерации (6,8 на 1000 человек населения) и выше среднего показателя по ЮФО (4,2 на 1000 человек населения).</w:t>
      </w:r>
    </w:p>
    <w:p>
      <w:pPr>
        <w:pStyle w:val="0"/>
        <w:spacing w:before="200" w:line-rule="auto"/>
        <w:ind w:firstLine="540"/>
        <w:jc w:val="both"/>
      </w:pPr>
      <w:r>
        <w:rPr>
          <w:sz w:val="20"/>
        </w:rPr>
        <w:t xml:space="preserve">Показатель ожидаемой продолжительности жизни в период с 2020 по 2021 год оставался неизменным и составлял 72,93, что ниже среднего показателя по Российской Федерации (72,76 года) и по ЮФО (72,09 года). В 2022 году показатель ожидаемой продолжительности жизни составил 74,57.</w:t>
      </w:r>
    </w:p>
    <w:p>
      <w:pPr>
        <w:pStyle w:val="0"/>
        <w:spacing w:before="200" w:line-rule="auto"/>
        <w:ind w:firstLine="540"/>
        <w:jc w:val="both"/>
      </w:pPr>
      <w:r>
        <w:rPr>
          <w:sz w:val="20"/>
        </w:rPr>
        <w:t xml:space="preserve">1.2. Эпидемиологические показатели: анализ динамики данных по заболеваемости и распространенности болезней системы кровообращения, нервной системы, костно-мышечной системы и соединительной ткани, органов дыхания, злокачественных новообразований, травм, отравлений и некоторых других последствий внешних причин.</w:t>
      </w:r>
    </w:p>
    <w:p>
      <w:pPr>
        <w:pStyle w:val="0"/>
        <w:spacing w:before="200" w:line-rule="auto"/>
        <w:ind w:firstLine="540"/>
        <w:jc w:val="both"/>
      </w:pPr>
      <w:r>
        <w:rPr>
          <w:sz w:val="20"/>
        </w:rPr>
        <w:t xml:space="preserve">Заболеваемость населения характеризуется числом больных, выявленных (или взятых под диспансерное наблюдение) в течение года при обращении в лечебно-профилактические учреждения или при профилактическом осмотре, а уровень заболеваемости - отношением числа больных к среднегодовой численности постоянного населения.</w:t>
      </w:r>
    </w:p>
    <w:p>
      <w:pPr>
        <w:pStyle w:val="0"/>
        <w:spacing w:before="200" w:line-rule="auto"/>
        <w:ind w:firstLine="540"/>
        <w:jc w:val="both"/>
      </w:pPr>
      <w:r>
        <w:rPr>
          <w:sz w:val="20"/>
        </w:rPr>
        <w:t xml:space="preserve">Обычно статистика оперирует данными о первичной заболеваемости, которая регистрируется при установлении диагноза впервые в жизни пациента. Кроме того, используются показатели общей заболеваемости, которая характеризуется общим числом больных, зарегистрированных в течение года. При этом учитываются больные, которым диагноз установлен впервые, и больные, повторно (многократно) обратившиеся по поводу данного заболевания.</w:t>
      </w:r>
    </w:p>
    <w:p>
      <w:pPr>
        <w:pStyle w:val="0"/>
        <w:spacing w:before="200" w:line-rule="auto"/>
        <w:ind w:firstLine="540"/>
        <w:jc w:val="both"/>
      </w:pPr>
      <w:r>
        <w:rPr>
          <w:sz w:val="20"/>
        </w:rPr>
        <w:t xml:space="preserve">Важное значение при оценке социально-экономического развития региона имеют показатели заболеваемости.</w:t>
      </w:r>
    </w:p>
    <w:p>
      <w:pPr>
        <w:pStyle w:val="0"/>
        <w:spacing w:before="200" w:line-rule="auto"/>
        <w:ind w:firstLine="540"/>
        <w:jc w:val="both"/>
      </w:pPr>
      <w:r>
        <w:rPr>
          <w:sz w:val="20"/>
        </w:rPr>
        <w:t xml:space="preserve">Заболеваемость населения является потенциальной основой для планирования ресурсов здравоохранения, необходимых для удовлетворения существующей потребности населения в различных видах медицинской помощи. Заболеваемость населения, с одной стороны, отражает распространенность патологии в популяции, а с другой - доступность медицинской помощи, поэтому колебания показателей заболеваемости (как общей, так и по классам болезней) не должны однозначно рассматриваться как отрицательное явление.</w:t>
      </w:r>
    </w:p>
    <w:p>
      <w:pPr>
        <w:pStyle w:val="0"/>
        <w:spacing w:before="200" w:line-rule="auto"/>
        <w:ind w:firstLine="540"/>
        <w:jc w:val="both"/>
      </w:pPr>
      <w:r>
        <w:rPr>
          <w:sz w:val="20"/>
        </w:rPr>
        <w:t xml:space="preserve">Показатели заболеваемости в городе Севастополе в долях к общему числу, а также в сравнении со средними показателями по Российской Федерации в целом и по ЮФО представлены в </w:t>
      </w:r>
      <w:hyperlink w:history="0" w:anchor="P42154" w:tooltip="Заболеваемость на 1000 чел. населения по основным классам">
        <w:r>
          <w:rPr>
            <w:sz w:val="20"/>
            <w:color w:val="0000ff"/>
          </w:rPr>
          <w:t xml:space="preserve">таблице 3</w:t>
        </w:r>
      </w:hyperlink>
      <w:r>
        <w:rPr>
          <w:sz w:val="20"/>
        </w:rPr>
        <w:t xml:space="preserve">.</w:t>
      </w:r>
    </w:p>
    <w:p>
      <w:pPr>
        <w:pStyle w:val="0"/>
        <w:jc w:val="right"/>
      </w:pPr>
      <w:r>
        <w:rPr>
          <w:sz w:val="20"/>
        </w:rPr>
      </w:r>
    </w:p>
    <w:p>
      <w:pPr>
        <w:pStyle w:val="0"/>
        <w:jc w:val="right"/>
      </w:pPr>
      <w:r>
        <w:rPr>
          <w:sz w:val="20"/>
        </w:rPr>
        <w:t xml:space="preserve">Таблица 3</w:t>
      </w:r>
    </w:p>
    <w:p>
      <w:pPr>
        <w:pStyle w:val="0"/>
        <w:jc w:val="right"/>
      </w:pPr>
      <w:r>
        <w:rPr>
          <w:sz w:val="20"/>
        </w:rPr>
      </w:r>
    </w:p>
    <w:bookmarkStart w:id="42154" w:name="P42154"/>
    <w:bookmarkEnd w:id="42154"/>
    <w:p>
      <w:pPr>
        <w:pStyle w:val="0"/>
        <w:jc w:val="center"/>
      </w:pPr>
      <w:r>
        <w:rPr>
          <w:sz w:val="20"/>
        </w:rPr>
        <w:t xml:space="preserve">Заболеваемость на 1000 чел. населения по основным классам</w:t>
      </w:r>
    </w:p>
    <w:p>
      <w:pPr>
        <w:pStyle w:val="0"/>
        <w:jc w:val="center"/>
      </w:pPr>
      <w:r>
        <w:rPr>
          <w:sz w:val="20"/>
        </w:rPr>
        <w:t xml:space="preserve">болезней за период 2020 - 2022 гг. в городе Севастополе</w:t>
      </w:r>
    </w:p>
    <w:p>
      <w:pPr>
        <w:pStyle w:val="0"/>
        <w:jc w:val="center"/>
      </w:pPr>
      <w:r>
        <w:rPr>
          <w:sz w:val="20"/>
        </w:rPr>
        <w:t xml:space="preserve">(зарегистрировано заболеваний у пациентов с диагнозом,</w:t>
      </w:r>
    </w:p>
    <w:p>
      <w:pPr>
        <w:pStyle w:val="0"/>
        <w:jc w:val="center"/>
      </w:pPr>
      <w:r>
        <w:rPr>
          <w:sz w:val="20"/>
        </w:rPr>
        <w:t xml:space="preserve">установленным впервые в жизни) (по данным Росстата, ЕМИСС)</w:t>
      </w:r>
    </w:p>
    <w:p>
      <w:pPr>
        <w:pStyle w:val="0"/>
        <w:jc w:val="center"/>
      </w:pPr>
      <w:r>
        <w:rPr>
          <w:sz w:val="20"/>
        </w:rPr>
        <w:t xml:space="preserve">(взрослые), числовое значение и доля в % от общей</w:t>
      </w:r>
    </w:p>
    <w:p>
      <w:pPr>
        <w:pStyle w:val="0"/>
        <w:jc w:val="center"/>
      </w:pPr>
      <w:r>
        <w:rPr>
          <w:sz w:val="20"/>
        </w:rPr>
        <w:t xml:space="preserve">первичной заболеваемости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417"/>
        <w:gridCol w:w="1360"/>
        <w:gridCol w:w="1530"/>
        <w:gridCol w:w="1247"/>
        <w:gridCol w:w="1303"/>
      </w:tblGrid>
      <w:tr>
        <w:tc>
          <w:tcPr>
            <w:tcW w:w="2211" w:type="dxa"/>
            <w:vMerge w:val="restart"/>
          </w:tcPr>
          <w:p>
            <w:pPr>
              <w:pStyle w:val="0"/>
              <w:jc w:val="center"/>
            </w:pPr>
            <w:r>
              <w:rPr>
                <w:sz w:val="20"/>
              </w:rPr>
              <w:t xml:space="preserve">Классы болезней</w:t>
            </w:r>
          </w:p>
        </w:tc>
        <w:tc>
          <w:tcPr>
            <w:tcW w:w="1417" w:type="dxa"/>
            <w:vMerge w:val="restart"/>
          </w:tcPr>
          <w:p>
            <w:pPr>
              <w:pStyle w:val="0"/>
              <w:jc w:val="center"/>
            </w:pPr>
            <w:r>
              <w:rPr>
                <w:sz w:val="20"/>
              </w:rPr>
              <w:t xml:space="preserve">2021 год</w:t>
            </w:r>
          </w:p>
        </w:tc>
        <w:tc>
          <w:tcPr>
            <w:tcW w:w="1360" w:type="dxa"/>
            <w:vMerge w:val="restart"/>
          </w:tcPr>
          <w:p>
            <w:pPr>
              <w:pStyle w:val="0"/>
              <w:jc w:val="center"/>
            </w:pPr>
            <w:r>
              <w:rPr>
                <w:sz w:val="20"/>
              </w:rPr>
              <w:t xml:space="preserve">2022 год</w:t>
            </w:r>
          </w:p>
        </w:tc>
        <w:tc>
          <w:tcPr>
            <w:gridSpan w:val="3"/>
            <w:tcW w:w="4080" w:type="dxa"/>
          </w:tcPr>
          <w:p>
            <w:pPr>
              <w:pStyle w:val="0"/>
              <w:jc w:val="center"/>
            </w:pPr>
            <w:r>
              <w:rPr>
                <w:sz w:val="20"/>
              </w:rPr>
              <w:t xml:space="preserve">2020 год</w:t>
            </w:r>
          </w:p>
        </w:tc>
      </w:tr>
      <w:tr>
        <w:tc>
          <w:tcPr>
            <w:vMerge w:val="continue"/>
          </w:tcPr>
          <w:p/>
        </w:tc>
        <w:tc>
          <w:tcPr>
            <w:vMerge w:val="continue"/>
          </w:tcPr>
          <w:p/>
        </w:tc>
        <w:tc>
          <w:tcPr>
            <w:vMerge w:val="continue"/>
          </w:tcPr>
          <w:p/>
        </w:tc>
        <w:tc>
          <w:tcPr>
            <w:tcW w:w="1530" w:type="dxa"/>
          </w:tcPr>
          <w:p>
            <w:pPr>
              <w:pStyle w:val="0"/>
              <w:jc w:val="center"/>
            </w:pPr>
            <w:r>
              <w:rPr>
                <w:sz w:val="20"/>
              </w:rPr>
              <w:t xml:space="preserve">Севастополь</w:t>
            </w:r>
          </w:p>
        </w:tc>
        <w:tc>
          <w:tcPr>
            <w:tcW w:w="1247" w:type="dxa"/>
          </w:tcPr>
          <w:p>
            <w:pPr>
              <w:pStyle w:val="0"/>
              <w:jc w:val="center"/>
            </w:pPr>
            <w:r>
              <w:rPr>
                <w:sz w:val="20"/>
              </w:rPr>
              <w:t xml:space="preserve">ЮФО</w:t>
            </w:r>
          </w:p>
        </w:tc>
        <w:tc>
          <w:tcPr>
            <w:tcW w:w="1303" w:type="dxa"/>
          </w:tcPr>
          <w:p>
            <w:pPr>
              <w:pStyle w:val="0"/>
              <w:jc w:val="center"/>
            </w:pPr>
            <w:r>
              <w:rPr>
                <w:sz w:val="20"/>
              </w:rPr>
              <w:t xml:space="preserve">РФ</w:t>
            </w:r>
          </w:p>
        </w:tc>
      </w:tr>
      <w:tr>
        <w:tc>
          <w:tcPr>
            <w:tcW w:w="2211" w:type="dxa"/>
          </w:tcPr>
          <w:p>
            <w:pPr>
              <w:pStyle w:val="0"/>
              <w:jc w:val="both"/>
            </w:pPr>
            <w:r>
              <w:rPr>
                <w:sz w:val="20"/>
              </w:rPr>
              <w:t xml:space="preserve">Всего</w:t>
            </w:r>
          </w:p>
        </w:tc>
        <w:tc>
          <w:tcPr>
            <w:tcW w:w="1417" w:type="dxa"/>
          </w:tcPr>
          <w:p>
            <w:pPr>
              <w:pStyle w:val="0"/>
              <w:jc w:val="center"/>
            </w:pPr>
            <w:r>
              <w:rPr>
                <w:sz w:val="20"/>
              </w:rPr>
              <w:t xml:space="preserve">491</w:t>
            </w:r>
          </w:p>
        </w:tc>
        <w:tc>
          <w:tcPr>
            <w:tcW w:w="1360" w:type="dxa"/>
          </w:tcPr>
          <w:p>
            <w:pPr>
              <w:pStyle w:val="0"/>
              <w:jc w:val="center"/>
            </w:pPr>
            <w:r>
              <w:rPr>
                <w:sz w:val="20"/>
              </w:rPr>
              <w:t xml:space="preserve">565</w:t>
            </w:r>
          </w:p>
        </w:tc>
        <w:tc>
          <w:tcPr>
            <w:tcW w:w="1530" w:type="dxa"/>
          </w:tcPr>
          <w:p>
            <w:pPr>
              <w:pStyle w:val="0"/>
              <w:jc w:val="center"/>
            </w:pPr>
            <w:r>
              <w:rPr>
                <w:sz w:val="20"/>
              </w:rPr>
              <w:t xml:space="preserve">486</w:t>
            </w:r>
          </w:p>
        </w:tc>
        <w:tc>
          <w:tcPr>
            <w:tcW w:w="1247" w:type="dxa"/>
          </w:tcPr>
          <w:p>
            <w:pPr>
              <w:pStyle w:val="0"/>
              <w:jc w:val="center"/>
            </w:pPr>
            <w:r>
              <w:rPr>
                <w:sz w:val="20"/>
              </w:rPr>
              <w:t xml:space="preserve">660,5</w:t>
            </w:r>
          </w:p>
        </w:tc>
        <w:tc>
          <w:tcPr>
            <w:tcW w:w="1303" w:type="dxa"/>
          </w:tcPr>
          <w:p>
            <w:pPr>
              <w:pStyle w:val="0"/>
              <w:jc w:val="center"/>
            </w:pPr>
            <w:r>
              <w:rPr>
                <w:sz w:val="20"/>
              </w:rPr>
              <w:t xml:space="preserve">759,9</w:t>
            </w:r>
          </w:p>
        </w:tc>
      </w:tr>
      <w:tr>
        <w:tc>
          <w:tcPr>
            <w:tcW w:w="2211" w:type="dxa"/>
            <w:vMerge w:val="restart"/>
          </w:tcPr>
          <w:p>
            <w:pPr>
              <w:pStyle w:val="0"/>
              <w:jc w:val="both"/>
            </w:pPr>
            <w:r>
              <w:rPr>
                <w:sz w:val="20"/>
              </w:rPr>
              <w:t xml:space="preserve">Инфекционные болезни</w:t>
            </w:r>
          </w:p>
        </w:tc>
        <w:tc>
          <w:tcPr>
            <w:tcW w:w="1417" w:type="dxa"/>
            <w:tcBorders>
              <w:bottom w:val="nil"/>
            </w:tcBorders>
          </w:tcPr>
          <w:p>
            <w:pPr>
              <w:pStyle w:val="0"/>
              <w:jc w:val="center"/>
            </w:pPr>
            <w:r>
              <w:rPr>
                <w:sz w:val="20"/>
              </w:rPr>
              <w:t xml:space="preserve">27,4</w:t>
            </w:r>
          </w:p>
        </w:tc>
        <w:tc>
          <w:tcPr>
            <w:tcW w:w="1360" w:type="dxa"/>
            <w:tcBorders>
              <w:bottom w:val="nil"/>
            </w:tcBorders>
          </w:tcPr>
          <w:p>
            <w:pPr>
              <w:pStyle w:val="0"/>
              <w:jc w:val="center"/>
            </w:pPr>
            <w:r>
              <w:rPr>
                <w:sz w:val="20"/>
              </w:rPr>
              <w:t xml:space="preserve">28,5</w:t>
            </w:r>
          </w:p>
        </w:tc>
        <w:tc>
          <w:tcPr>
            <w:tcW w:w="1530" w:type="dxa"/>
            <w:tcBorders>
              <w:bottom w:val="nil"/>
            </w:tcBorders>
          </w:tcPr>
          <w:p>
            <w:pPr>
              <w:pStyle w:val="0"/>
              <w:jc w:val="center"/>
            </w:pPr>
            <w:r>
              <w:rPr>
                <w:sz w:val="20"/>
              </w:rPr>
              <w:t xml:space="preserve">19,4</w:t>
            </w:r>
          </w:p>
        </w:tc>
        <w:tc>
          <w:tcPr>
            <w:tcW w:w="1247" w:type="dxa"/>
            <w:tcBorders>
              <w:bottom w:val="nil"/>
            </w:tcBorders>
          </w:tcPr>
          <w:p>
            <w:pPr>
              <w:pStyle w:val="0"/>
              <w:jc w:val="center"/>
            </w:pPr>
            <w:r>
              <w:rPr>
                <w:sz w:val="20"/>
              </w:rPr>
              <w:t xml:space="preserve">14</w:t>
            </w:r>
          </w:p>
        </w:tc>
        <w:tc>
          <w:tcPr>
            <w:tcW w:w="1303" w:type="dxa"/>
            <w:tcBorders>
              <w:bottom w:val="nil"/>
            </w:tcBorders>
          </w:tcPr>
          <w:p>
            <w:pPr>
              <w:pStyle w:val="0"/>
              <w:jc w:val="center"/>
            </w:pPr>
            <w:r>
              <w:rPr>
                <w:sz w:val="20"/>
              </w:rPr>
              <w:t xml:space="preserve">20,5</w:t>
            </w:r>
          </w:p>
        </w:tc>
      </w:tr>
      <w:tr>
        <w:tc>
          <w:tcPr>
            <w:vMerge w:val="continue"/>
          </w:tcPr>
          <w:p/>
        </w:tc>
        <w:tc>
          <w:tcPr>
            <w:tcW w:w="1417" w:type="dxa"/>
            <w:tcBorders>
              <w:top w:val="nil"/>
            </w:tcBorders>
          </w:tcPr>
          <w:p>
            <w:pPr>
              <w:pStyle w:val="0"/>
              <w:jc w:val="center"/>
            </w:pPr>
            <w:r>
              <w:rPr>
                <w:sz w:val="20"/>
              </w:rPr>
              <w:t xml:space="preserve">5,58%</w:t>
            </w:r>
          </w:p>
        </w:tc>
        <w:tc>
          <w:tcPr>
            <w:tcW w:w="1360" w:type="dxa"/>
            <w:tcBorders>
              <w:top w:val="nil"/>
            </w:tcBorders>
          </w:tcPr>
          <w:p>
            <w:pPr>
              <w:pStyle w:val="0"/>
              <w:jc w:val="center"/>
            </w:pPr>
            <w:r>
              <w:rPr>
                <w:sz w:val="20"/>
              </w:rPr>
              <w:t xml:space="preserve">5,04%</w:t>
            </w:r>
          </w:p>
        </w:tc>
        <w:tc>
          <w:tcPr>
            <w:tcW w:w="1530" w:type="dxa"/>
            <w:tcBorders>
              <w:top w:val="nil"/>
            </w:tcBorders>
          </w:tcPr>
          <w:p>
            <w:pPr>
              <w:pStyle w:val="0"/>
              <w:jc w:val="center"/>
            </w:pPr>
            <w:r>
              <w:rPr>
                <w:sz w:val="20"/>
              </w:rPr>
              <w:t xml:space="preserve">3,99%</w:t>
            </w:r>
          </w:p>
        </w:tc>
        <w:tc>
          <w:tcPr>
            <w:tcW w:w="1247" w:type="dxa"/>
            <w:tcBorders>
              <w:top w:val="nil"/>
            </w:tcBorders>
          </w:tcPr>
          <w:p>
            <w:pPr>
              <w:pStyle w:val="0"/>
              <w:jc w:val="center"/>
            </w:pPr>
            <w:r>
              <w:rPr>
                <w:sz w:val="20"/>
              </w:rPr>
              <w:t xml:space="preserve">2,12%</w:t>
            </w:r>
          </w:p>
        </w:tc>
        <w:tc>
          <w:tcPr>
            <w:tcW w:w="1303" w:type="dxa"/>
            <w:tcBorders>
              <w:top w:val="nil"/>
            </w:tcBorders>
          </w:tcPr>
          <w:p>
            <w:pPr>
              <w:pStyle w:val="0"/>
              <w:jc w:val="center"/>
            </w:pPr>
            <w:r>
              <w:rPr>
                <w:sz w:val="20"/>
              </w:rPr>
              <w:t xml:space="preserve">2,7%</w:t>
            </w:r>
          </w:p>
        </w:tc>
      </w:tr>
      <w:tr>
        <w:tc>
          <w:tcPr>
            <w:tcW w:w="2211" w:type="dxa"/>
            <w:vMerge w:val="restart"/>
          </w:tcPr>
          <w:p>
            <w:pPr>
              <w:pStyle w:val="0"/>
              <w:jc w:val="both"/>
            </w:pPr>
            <w:r>
              <w:rPr>
                <w:sz w:val="20"/>
              </w:rPr>
              <w:t xml:space="preserve">Новообразования</w:t>
            </w:r>
          </w:p>
        </w:tc>
        <w:tc>
          <w:tcPr>
            <w:tcW w:w="1417" w:type="dxa"/>
            <w:tcBorders>
              <w:bottom w:val="nil"/>
            </w:tcBorders>
          </w:tcPr>
          <w:p>
            <w:pPr>
              <w:pStyle w:val="0"/>
              <w:jc w:val="center"/>
            </w:pPr>
            <w:r>
              <w:rPr>
                <w:sz w:val="20"/>
              </w:rPr>
              <w:t xml:space="preserve">16</w:t>
            </w:r>
          </w:p>
        </w:tc>
        <w:tc>
          <w:tcPr>
            <w:tcW w:w="1360" w:type="dxa"/>
            <w:tcBorders>
              <w:bottom w:val="nil"/>
            </w:tcBorders>
          </w:tcPr>
          <w:p>
            <w:pPr>
              <w:pStyle w:val="0"/>
              <w:jc w:val="center"/>
            </w:pPr>
            <w:r>
              <w:rPr>
                <w:sz w:val="20"/>
              </w:rPr>
              <w:t xml:space="preserve">17</w:t>
            </w:r>
          </w:p>
        </w:tc>
        <w:tc>
          <w:tcPr>
            <w:tcW w:w="1530" w:type="dxa"/>
            <w:tcBorders>
              <w:bottom w:val="nil"/>
            </w:tcBorders>
          </w:tcPr>
          <w:p>
            <w:pPr>
              <w:pStyle w:val="0"/>
              <w:jc w:val="center"/>
            </w:pPr>
            <w:r>
              <w:rPr>
                <w:sz w:val="20"/>
              </w:rPr>
              <w:t xml:space="preserve">12,2</w:t>
            </w:r>
          </w:p>
        </w:tc>
        <w:tc>
          <w:tcPr>
            <w:tcW w:w="1247" w:type="dxa"/>
            <w:tcBorders>
              <w:bottom w:val="nil"/>
            </w:tcBorders>
          </w:tcPr>
          <w:p>
            <w:pPr>
              <w:pStyle w:val="0"/>
              <w:jc w:val="center"/>
            </w:pPr>
            <w:r>
              <w:rPr>
                <w:sz w:val="20"/>
              </w:rPr>
              <w:t xml:space="preserve">9,6</w:t>
            </w:r>
          </w:p>
        </w:tc>
        <w:tc>
          <w:tcPr>
            <w:tcW w:w="1303" w:type="dxa"/>
            <w:tcBorders>
              <w:bottom w:val="nil"/>
            </w:tcBorders>
          </w:tcPr>
          <w:p>
            <w:pPr>
              <w:pStyle w:val="0"/>
              <w:jc w:val="center"/>
            </w:pPr>
            <w:r>
              <w:rPr>
                <w:sz w:val="20"/>
              </w:rPr>
              <w:t xml:space="preserve">9,8</w:t>
            </w:r>
          </w:p>
        </w:tc>
      </w:tr>
      <w:tr>
        <w:tc>
          <w:tcPr>
            <w:vMerge w:val="continue"/>
          </w:tcPr>
          <w:p/>
        </w:tc>
        <w:tc>
          <w:tcPr>
            <w:tcW w:w="1417" w:type="dxa"/>
            <w:tcBorders>
              <w:top w:val="nil"/>
            </w:tcBorders>
          </w:tcPr>
          <w:p>
            <w:pPr>
              <w:pStyle w:val="0"/>
              <w:jc w:val="center"/>
            </w:pPr>
            <w:r>
              <w:rPr>
                <w:sz w:val="20"/>
              </w:rPr>
              <w:t xml:space="preserve">3,26%</w:t>
            </w:r>
          </w:p>
        </w:tc>
        <w:tc>
          <w:tcPr>
            <w:tcW w:w="1360" w:type="dxa"/>
            <w:tcBorders>
              <w:top w:val="nil"/>
            </w:tcBorders>
          </w:tcPr>
          <w:p>
            <w:pPr>
              <w:pStyle w:val="0"/>
              <w:jc w:val="center"/>
            </w:pPr>
            <w:r>
              <w:rPr>
                <w:sz w:val="20"/>
              </w:rPr>
              <w:t xml:space="preserve">3,01%</w:t>
            </w:r>
          </w:p>
        </w:tc>
        <w:tc>
          <w:tcPr>
            <w:tcW w:w="1530" w:type="dxa"/>
            <w:tcBorders>
              <w:top w:val="nil"/>
            </w:tcBorders>
          </w:tcPr>
          <w:p>
            <w:pPr>
              <w:pStyle w:val="0"/>
              <w:jc w:val="center"/>
            </w:pPr>
            <w:r>
              <w:rPr>
                <w:sz w:val="20"/>
              </w:rPr>
              <w:t xml:space="preserve">2,51%</w:t>
            </w:r>
          </w:p>
        </w:tc>
        <w:tc>
          <w:tcPr>
            <w:tcW w:w="1247" w:type="dxa"/>
            <w:tcBorders>
              <w:top w:val="nil"/>
            </w:tcBorders>
          </w:tcPr>
          <w:p>
            <w:pPr>
              <w:pStyle w:val="0"/>
              <w:jc w:val="center"/>
            </w:pPr>
            <w:r>
              <w:rPr>
                <w:sz w:val="20"/>
              </w:rPr>
              <w:t xml:space="preserve">1,45</w:t>
            </w:r>
          </w:p>
        </w:tc>
        <w:tc>
          <w:tcPr>
            <w:tcW w:w="1303" w:type="dxa"/>
            <w:tcBorders>
              <w:top w:val="nil"/>
            </w:tcBorders>
          </w:tcPr>
          <w:p>
            <w:pPr>
              <w:pStyle w:val="0"/>
              <w:jc w:val="center"/>
            </w:pPr>
            <w:r>
              <w:rPr>
                <w:sz w:val="20"/>
              </w:rPr>
              <w:t xml:space="preserve">1,29%</w:t>
            </w:r>
          </w:p>
        </w:tc>
      </w:tr>
      <w:tr>
        <w:tc>
          <w:tcPr>
            <w:tcW w:w="2211" w:type="dxa"/>
            <w:vMerge w:val="restart"/>
          </w:tcPr>
          <w:p>
            <w:pPr>
              <w:pStyle w:val="0"/>
              <w:jc w:val="both"/>
            </w:pPr>
            <w:r>
              <w:rPr>
                <w:sz w:val="20"/>
              </w:rPr>
              <w:t xml:space="preserve">Болезни крови и кроветворных органов</w:t>
            </w:r>
          </w:p>
        </w:tc>
        <w:tc>
          <w:tcPr>
            <w:tcW w:w="1417" w:type="dxa"/>
            <w:tcBorders>
              <w:bottom w:val="nil"/>
            </w:tcBorders>
          </w:tcPr>
          <w:p>
            <w:pPr>
              <w:pStyle w:val="0"/>
              <w:jc w:val="center"/>
            </w:pPr>
            <w:r>
              <w:rPr>
                <w:sz w:val="20"/>
              </w:rPr>
              <w:t xml:space="preserve">1,5</w:t>
            </w:r>
          </w:p>
        </w:tc>
        <w:tc>
          <w:tcPr>
            <w:tcW w:w="1360" w:type="dxa"/>
            <w:tcBorders>
              <w:bottom w:val="nil"/>
            </w:tcBorders>
          </w:tcPr>
          <w:p>
            <w:pPr>
              <w:pStyle w:val="0"/>
              <w:jc w:val="center"/>
            </w:pPr>
            <w:r>
              <w:rPr>
                <w:sz w:val="20"/>
              </w:rPr>
              <w:t xml:space="preserve">1,4</w:t>
            </w:r>
          </w:p>
        </w:tc>
        <w:tc>
          <w:tcPr>
            <w:tcW w:w="1530" w:type="dxa"/>
            <w:tcBorders>
              <w:bottom w:val="nil"/>
            </w:tcBorders>
          </w:tcPr>
          <w:p>
            <w:pPr>
              <w:pStyle w:val="0"/>
              <w:jc w:val="center"/>
            </w:pPr>
            <w:r>
              <w:rPr>
                <w:sz w:val="20"/>
              </w:rPr>
              <w:t xml:space="preserve">0,7</w:t>
            </w:r>
          </w:p>
        </w:tc>
        <w:tc>
          <w:tcPr>
            <w:tcW w:w="1247" w:type="dxa"/>
            <w:tcBorders>
              <w:bottom w:val="nil"/>
            </w:tcBorders>
          </w:tcPr>
          <w:p>
            <w:pPr>
              <w:pStyle w:val="0"/>
              <w:jc w:val="center"/>
            </w:pPr>
            <w:r>
              <w:rPr>
                <w:sz w:val="20"/>
              </w:rPr>
              <w:t xml:space="preserve">2,1</w:t>
            </w:r>
          </w:p>
        </w:tc>
        <w:tc>
          <w:tcPr>
            <w:tcW w:w="1303" w:type="dxa"/>
            <w:tcBorders>
              <w:bottom w:val="nil"/>
            </w:tcBorders>
          </w:tcPr>
          <w:p>
            <w:pPr>
              <w:pStyle w:val="0"/>
              <w:jc w:val="center"/>
            </w:pPr>
            <w:r>
              <w:rPr>
                <w:sz w:val="20"/>
              </w:rPr>
              <w:t xml:space="preserve">3,3</w:t>
            </w:r>
          </w:p>
        </w:tc>
      </w:tr>
      <w:tr>
        <w:tc>
          <w:tcPr>
            <w:vMerge w:val="continue"/>
          </w:tcPr>
          <w:p/>
        </w:tc>
        <w:tc>
          <w:tcPr>
            <w:tcW w:w="1417" w:type="dxa"/>
            <w:tcBorders>
              <w:top w:val="nil"/>
            </w:tcBorders>
          </w:tcPr>
          <w:p>
            <w:pPr>
              <w:pStyle w:val="0"/>
              <w:jc w:val="center"/>
            </w:pPr>
            <w:r>
              <w:rPr>
                <w:sz w:val="20"/>
              </w:rPr>
              <w:t xml:space="preserve">0,31%</w:t>
            </w:r>
          </w:p>
        </w:tc>
        <w:tc>
          <w:tcPr>
            <w:tcW w:w="1360" w:type="dxa"/>
            <w:tcBorders>
              <w:top w:val="nil"/>
            </w:tcBorders>
          </w:tcPr>
          <w:p>
            <w:pPr>
              <w:pStyle w:val="0"/>
              <w:jc w:val="center"/>
            </w:pPr>
            <w:r>
              <w:rPr>
                <w:sz w:val="20"/>
              </w:rPr>
              <w:t xml:space="preserve">0,25%</w:t>
            </w:r>
          </w:p>
        </w:tc>
        <w:tc>
          <w:tcPr>
            <w:tcW w:w="1530" w:type="dxa"/>
            <w:tcBorders>
              <w:top w:val="nil"/>
            </w:tcBorders>
          </w:tcPr>
          <w:p>
            <w:pPr>
              <w:pStyle w:val="0"/>
              <w:jc w:val="center"/>
            </w:pPr>
            <w:r>
              <w:rPr>
                <w:sz w:val="20"/>
              </w:rPr>
              <w:t xml:space="preserve">0,14%</w:t>
            </w:r>
          </w:p>
        </w:tc>
        <w:tc>
          <w:tcPr>
            <w:tcW w:w="1247" w:type="dxa"/>
            <w:tcBorders>
              <w:top w:val="nil"/>
            </w:tcBorders>
          </w:tcPr>
          <w:p>
            <w:pPr>
              <w:pStyle w:val="0"/>
              <w:jc w:val="center"/>
            </w:pPr>
            <w:r>
              <w:rPr>
                <w:sz w:val="20"/>
              </w:rPr>
              <w:t xml:space="preserve">0,32%</w:t>
            </w:r>
          </w:p>
        </w:tc>
        <w:tc>
          <w:tcPr>
            <w:tcW w:w="1303" w:type="dxa"/>
            <w:tcBorders>
              <w:top w:val="nil"/>
            </w:tcBorders>
          </w:tcPr>
          <w:p>
            <w:pPr>
              <w:pStyle w:val="0"/>
              <w:jc w:val="center"/>
            </w:pPr>
            <w:r>
              <w:rPr>
                <w:sz w:val="20"/>
              </w:rPr>
              <w:t xml:space="preserve">0,43%</w:t>
            </w:r>
          </w:p>
        </w:tc>
      </w:tr>
      <w:tr>
        <w:tc>
          <w:tcPr>
            <w:tcW w:w="2211" w:type="dxa"/>
            <w:vMerge w:val="restart"/>
          </w:tcPr>
          <w:p>
            <w:pPr>
              <w:pStyle w:val="0"/>
              <w:jc w:val="both"/>
            </w:pPr>
            <w:r>
              <w:rPr>
                <w:sz w:val="20"/>
              </w:rPr>
              <w:t xml:space="preserve">Болезни эндокринной системы</w:t>
            </w:r>
          </w:p>
        </w:tc>
        <w:tc>
          <w:tcPr>
            <w:tcW w:w="1417" w:type="dxa"/>
            <w:tcBorders>
              <w:bottom w:val="nil"/>
            </w:tcBorders>
          </w:tcPr>
          <w:p>
            <w:pPr>
              <w:pStyle w:val="0"/>
              <w:jc w:val="center"/>
            </w:pPr>
            <w:r>
              <w:rPr>
                <w:sz w:val="20"/>
              </w:rPr>
              <w:t xml:space="preserve">14,6</w:t>
            </w:r>
          </w:p>
        </w:tc>
        <w:tc>
          <w:tcPr>
            <w:tcW w:w="1360" w:type="dxa"/>
            <w:tcBorders>
              <w:bottom w:val="nil"/>
            </w:tcBorders>
          </w:tcPr>
          <w:p>
            <w:pPr>
              <w:pStyle w:val="0"/>
              <w:jc w:val="center"/>
            </w:pPr>
            <w:r>
              <w:rPr>
                <w:sz w:val="20"/>
              </w:rPr>
              <w:t xml:space="preserve">30,5</w:t>
            </w:r>
          </w:p>
        </w:tc>
        <w:tc>
          <w:tcPr>
            <w:tcW w:w="1530" w:type="dxa"/>
            <w:tcBorders>
              <w:bottom w:val="nil"/>
            </w:tcBorders>
          </w:tcPr>
          <w:p>
            <w:pPr>
              <w:pStyle w:val="0"/>
              <w:jc w:val="center"/>
            </w:pPr>
            <w:r>
              <w:rPr>
                <w:sz w:val="20"/>
              </w:rPr>
              <w:t xml:space="preserve">9,4</w:t>
            </w:r>
          </w:p>
        </w:tc>
        <w:tc>
          <w:tcPr>
            <w:tcW w:w="1247" w:type="dxa"/>
            <w:tcBorders>
              <w:bottom w:val="nil"/>
            </w:tcBorders>
          </w:tcPr>
          <w:p>
            <w:pPr>
              <w:pStyle w:val="0"/>
              <w:jc w:val="center"/>
            </w:pPr>
            <w:r>
              <w:rPr>
                <w:sz w:val="20"/>
              </w:rPr>
              <w:t xml:space="preserve">12,4</w:t>
            </w:r>
          </w:p>
        </w:tc>
        <w:tc>
          <w:tcPr>
            <w:tcW w:w="1303" w:type="dxa"/>
            <w:tcBorders>
              <w:bottom w:val="nil"/>
            </w:tcBorders>
          </w:tcPr>
          <w:p>
            <w:pPr>
              <w:pStyle w:val="0"/>
              <w:jc w:val="center"/>
            </w:pPr>
            <w:r>
              <w:rPr>
                <w:sz w:val="20"/>
              </w:rPr>
              <w:t xml:space="preserve">11</w:t>
            </w:r>
          </w:p>
        </w:tc>
      </w:tr>
      <w:tr>
        <w:tc>
          <w:tcPr>
            <w:vMerge w:val="continue"/>
          </w:tcPr>
          <w:p/>
        </w:tc>
        <w:tc>
          <w:tcPr>
            <w:tcW w:w="1417" w:type="dxa"/>
            <w:tcBorders>
              <w:top w:val="nil"/>
            </w:tcBorders>
          </w:tcPr>
          <w:p>
            <w:pPr>
              <w:pStyle w:val="0"/>
              <w:jc w:val="center"/>
            </w:pPr>
            <w:r>
              <w:rPr>
                <w:sz w:val="20"/>
              </w:rPr>
              <w:t xml:space="preserve">2,97%</w:t>
            </w:r>
          </w:p>
        </w:tc>
        <w:tc>
          <w:tcPr>
            <w:tcW w:w="1360" w:type="dxa"/>
            <w:tcBorders>
              <w:top w:val="nil"/>
            </w:tcBorders>
          </w:tcPr>
          <w:p>
            <w:pPr>
              <w:pStyle w:val="0"/>
              <w:jc w:val="center"/>
            </w:pPr>
            <w:r>
              <w:rPr>
                <w:sz w:val="20"/>
              </w:rPr>
              <w:t xml:space="preserve">5,4%</w:t>
            </w:r>
          </w:p>
        </w:tc>
        <w:tc>
          <w:tcPr>
            <w:tcW w:w="1530" w:type="dxa"/>
            <w:tcBorders>
              <w:top w:val="nil"/>
            </w:tcBorders>
          </w:tcPr>
          <w:p>
            <w:pPr>
              <w:pStyle w:val="0"/>
              <w:jc w:val="center"/>
            </w:pPr>
            <w:r>
              <w:rPr>
                <w:sz w:val="20"/>
              </w:rPr>
              <w:t xml:space="preserve">1,93%</w:t>
            </w:r>
          </w:p>
        </w:tc>
        <w:tc>
          <w:tcPr>
            <w:tcW w:w="1247" w:type="dxa"/>
            <w:tcBorders>
              <w:top w:val="nil"/>
            </w:tcBorders>
          </w:tcPr>
          <w:p>
            <w:pPr>
              <w:pStyle w:val="0"/>
              <w:jc w:val="center"/>
            </w:pPr>
            <w:r>
              <w:rPr>
                <w:sz w:val="20"/>
              </w:rPr>
              <w:t xml:space="preserve">1,88%</w:t>
            </w:r>
          </w:p>
        </w:tc>
        <w:tc>
          <w:tcPr>
            <w:tcW w:w="1303" w:type="dxa"/>
            <w:tcBorders>
              <w:top w:val="nil"/>
            </w:tcBorders>
          </w:tcPr>
          <w:p>
            <w:pPr>
              <w:pStyle w:val="0"/>
              <w:jc w:val="center"/>
            </w:pPr>
            <w:r>
              <w:rPr>
                <w:sz w:val="20"/>
              </w:rPr>
              <w:t xml:space="preserve">1,45%</w:t>
            </w:r>
          </w:p>
        </w:tc>
      </w:tr>
      <w:tr>
        <w:tc>
          <w:tcPr>
            <w:tcW w:w="2211" w:type="dxa"/>
            <w:vMerge w:val="restart"/>
          </w:tcPr>
          <w:p>
            <w:pPr>
              <w:pStyle w:val="0"/>
              <w:jc w:val="both"/>
            </w:pPr>
            <w:r>
              <w:rPr>
                <w:sz w:val="20"/>
              </w:rPr>
              <w:t xml:space="preserve">Болезни нервной системы</w:t>
            </w:r>
          </w:p>
        </w:tc>
        <w:tc>
          <w:tcPr>
            <w:tcW w:w="1417" w:type="dxa"/>
            <w:tcBorders>
              <w:bottom w:val="nil"/>
            </w:tcBorders>
          </w:tcPr>
          <w:p>
            <w:pPr>
              <w:pStyle w:val="0"/>
              <w:jc w:val="center"/>
            </w:pPr>
            <w:r>
              <w:rPr>
                <w:sz w:val="20"/>
              </w:rPr>
              <w:t xml:space="preserve">12</w:t>
            </w:r>
          </w:p>
        </w:tc>
        <w:tc>
          <w:tcPr>
            <w:tcW w:w="1360" w:type="dxa"/>
            <w:tcBorders>
              <w:bottom w:val="nil"/>
            </w:tcBorders>
          </w:tcPr>
          <w:p>
            <w:pPr>
              <w:pStyle w:val="0"/>
              <w:jc w:val="center"/>
            </w:pPr>
            <w:r>
              <w:rPr>
                <w:sz w:val="20"/>
              </w:rPr>
              <w:t xml:space="preserve">12,6</w:t>
            </w:r>
          </w:p>
        </w:tc>
        <w:tc>
          <w:tcPr>
            <w:tcW w:w="1530" w:type="dxa"/>
            <w:tcBorders>
              <w:bottom w:val="nil"/>
            </w:tcBorders>
          </w:tcPr>
          <w:p>
            <w:pPr>
              <w:pStyle w:val="0"/>
              <w:jc w:val="center"/>
            </w:pPr>
            <w:r>
              <w:rPr>
                <w:sz w:val="20"/>
              </w:rPr>
              <w:t xml:space="preserve">10,2</w:t>
            </w:r>
          </w:p>
        </w:tc>
        <w:tc>
          <w:tcPr>
            <w:tcW w:w="1247" w:type="dxa"/>
            <w:tcBorders>
              <w:bottom w:val="nil"/>
            </w:tcBorders>
          </w:tcPr>
          <w:p>
            <w:pPr>
              <w:pStyle w:val="0"/>
              <w:jc w:val="center"/>
            </w:pPr>
            <w:r>
              <w:rPr>
                <w:sz w:val="20"/>
              </w:rPr>
              <w:t xml:space="preserve">14,2</w:t>
            </w:r>
          </w:p>
        </w:tc>
        <w:tc>
          <w:tcPr>
            <w:tcW w:w="1303" w:type="dxa"/>
            <w:tcBorders>
              <w:bottom w:val="nil"/>
            </w:tcBorders>
          </w:tcPr>
          <w:p>
            <w:pPr>
              <w:pStyle w:val="0"/>
              <w:jc w:val="center"/>
            </w:pPr>
            <w:r>
              <w:rPr>
                <w:sz w:val="20"/>
              </w:rPr>
              <w:t xml:space="preserve">12,5</w:t>
            </w:r>
          </w:p>
        </w:tc>
      </w:tr>
      <w:tr>
        <w:tc>
          <w:tcPr>
            <w:vMerge w:val="continue"/>
          </w:tcPr>
          <w:p/>
        </w:tc>
        <w:tc>
          <w:tcPr>
            <w:tcW w:w="1417" w:type="dxa"/>
            <w:tcBorders>
              <w:top w:val="nil"/>
            </w:tcBorders>
          </w:tcPr>
          <w:p>
            <w:pPr>
              <w:pStyle w:val="0"/>
              <w:jc w:val="center"/>
            </w:pPr>
            <w:r>
              <w:rPr>
                <w:sz w:val="20"/>
              </w:rPr>
              <w:t xml:space="preserve">2,44%</w:t>
            </w:r>
          </w:p>
        </w:tc>
        <w:tc>
          <w:tcPr>
            <w:tcW w:w="1360" w:type="dxa"/>
            <w:tcBorders>
              <w:top w:val="nil"/>
            </w:tcBorders>
          </w:tcPr>
          <w:p>
            <w:pPr>
              <w:pStyle w:val="0"/>
              <w:jc w:val="center"/>
            </w:pPr>
            <w:r>
              <w:rPr>
                <w:sz w:val="20"/>
              </w:rPr>
              <w:t xml:space="preserve">2,23%</w:t>
            </w:r>
          </w:p>
        </w:tc>
        <w:tc>
          <w:tcPr>
            <w:tcW w:w="1530" w:type="dxa"/>
            <w:tcBorders>
              <w:top w:val="nil"/>
            </w:tcBorders>
          </w:tcPr>
          <w:p>
            <w:pPr>
              <w:pStyle w:val="0"/>
              <w:jc w:val="center"/>
            </w:pPr>
            <w:r>
              <w:rPr>
                <w:sz w:val="20"/>
              </w:rPr>
              <w:t xml:space="preserve">2,1%</w:t>
            </w:r>
          </w:p>
        </w:tc>
        <w:tc>
          <w:tcPr>
            <w:tcW w:w="1247" w:type="dxa"/>
            <w:tcBorders>
              <w:top w:val="nil"/>
            </w:tcBorders>
          </w:tcPr>
          <w:p>
            <w:pPr>
              <w:pStyle w:val="0"/>
              <w:jc w:val="center"/>
            </w:pPr>
            <w:r>
              <w:rPr>
                <w:sz w:val="20"/>
              </w:rPr>
              <w:t xml:space="preserve">2,15%</w:t>
            </w:r>
          </w:p>
        </w:tc>
        <w:tc>
          <w:tcPr>
            <w:tcW w:w="1303" w:type="dxa"/>
            <w:tcBorders>
              <w:top w:val="nil"/>
            </w:tcBorders>
          </w:tcPr>
          <w:p>
            <w:pPr>
              <w:pStyle w:val="0"/>
              <w:jc w:val="center"/>
            </w:pPr>
            <w:r>
              <w:rPr>
                <w:sz w:val="20"/>
              </w:rPr>
              <w:t xml:space="preserve">1,64%</w:t>
            </w:r>
          </w:p>
        </w:tc>
      </w:tr>
      <w:tr>
        <w:tc>
          <w:tcPr>
            <w:tcW w:w="2211" w:type="dxa"/>
            <w:vMerge w:val="restart"/>
          </w:tcPr>
          <w:p>
            <w:pPr>
              <w:pStyle w:val="0"/>
              <w:jc w:val="both"/>
            </w:pPr>
            <w:r>
              <w:rPr>
                <w:sz w:val="20"/>
              </w:rPr>
              <w:t xml:space="preserve">Болезни глаза и его придаточного аппарата</w:t>
            </w:r>
          </w:p>
        </w:tc>
        <w:tc>
          <w:tcPr>
            <w:tcW w:w="1417" w:type="dxa"/>
            <w:tcBorders>
              <w:bottom w:val="nil"/>
            </w:tcBorders>
          </w:tcPr>
          <w:p>
            <w:pPr>
              <w:pStyle w:val="0"/>
              <w:jc w:val="center"/>
            </w:pPr>
            <w:r>
              <w:rPr>
                <w:sz w:val="20"/>
              </w:rPr>
              <w:t xml:space="preserve">20,1</w:t>
            </w:r>
          </w:p>
        </w:tc>
        <w:tc>
          <w:tcPr>
            <w:tcW w:w="1360" w:type="dxa"/>
            <w:tcBorders>
              <w:bottom w:val="nil"/>
            </w:tcBorders>
          </w:tcPr>
          <w:p>
            <w:pPr>
              <w:pStyle w:val="0"/>
              <w:jc w:val="center"/>
            </w:pPr>
            <w:r>
              <w:rPr>
                <w:sz w:val="20"/>
              </w:rPr>
              <w:t xml:space="preserve">21,2</w:t>
            </w:r>
          </w:p>
        </w:tc>
        <w:tc>
          <w:tcPr>
            <w:tcW w:w="1530" w:type="dxa"/>
            <w:tcBorders>
              <w:bottom w:val="nil"/>
            </w:tcBorders>
          </w:tcPr>
          <w:p>
            <w:pPr>
              <w:pStyle w:val="0"/>
              <w:jc w:val="center"/>
            </w:pPr>
            <w:r>
              <w:rPr>
                <w:sz w:val="20"/>
              </w:rPr>
              <w:t xml:space="preserve">13,4</w:t>
            </w:r>
          </w:p>
        </w:tc>
        <w:tc>
          <w:tcPr>
            <w:tcW w:w="1247" w:type="dxa"/>
            <w:tcBorders>
              <w:bottom w:val="nil"/>
            </w:tcBorders>
          </w:tcPr>
          <w:p>
            <w:pPr>
              <w:pStyle w:val="0"/>
              <w:jc w:val="center"/>
            </w:pPr>
            <w:r>
              <w:rPr>
                <w:sz w:val="20"/>
              </w:rPr>
              <w:t xml:space="preserve">23,6</w:t>
            </w:r>
          </w:p>
        </w:tc>
        <w:tc>
          <w:tcPr>
            <w:tcW w:w="1303" w:type="dxa"/>
            <w:tcBorders>
              <w:bottom w:val="nil"/>
            </w:tcBorders>
          </w:tcPr>
          <w:p>
            <w:pPr>
              <w:pStyle w:val="0"/>
              <w:jc w:val="center"/>
            </w:pPr>
            <w:r>
              <w:rPr>
                <w:sz w:val="20"/>
              </w:rPr>
              <w:t xml:space="preserve">23,9</w:t>
            </w:r>
          </w:p>
        </w:tc>
      </w:tr>
      <w:tr>
        <w:tc>
          <w:tcPr>
            <w:vMerge w:val="continue"/>
          </w:tcPr>
          <w:p/>
        </w:tc>
        <w:tc>
          <w:tcPr>
            <w:tcW w:w="1417" w:type="dxa"/>
            <w:tcBorders>
              <w:top w:val="nil"/>
            </w:tcBorders>
          </w:tcPr>
          <w:p>
            <w:pPr>
              <w:pStyle w:val="0"/>
              <w:jc w:val="center"/>
            </w:pPr>
            <w:r>
              <w:rPr>
                <w:sz w:val="20"/>
              </w:rPr>
              <w:t xml:space="preserve">4,09%</w:t>
            </w:r>
          </w:p>
        </w:tc>
        <w:tc>
          <w:tcPr>
            <w:tcW w:w="1360" w:type="dxa"/>
            <w:tcBorders>
              <w:top w:val="nil"/>
            </w:tcBorders>
          </w:tcPr>
          <w:p>
            <w:pPr>
              <w:pStyle w:val="0"/>
              <w:jc w:val="center"/>
            </w:pPr>
            <w:r>
              <w:rPr>
                <w:sz w:val="20"/>
              </w:rPr>
              <w:t xml:space="preserve">3,75%</w:t>
            </w:r>
          </w:p>
        </w:tc>
        <w:tc>
          <w:tcPr>
            <w:tcW w:w="1530" w:type="dxa"/>
            <w:tcBorders>
              <w:top w:val="nil"/>
            </w:tcBorders>
          </w:tcPr>
          <w:p>
            <w:pPr>
              <w:pStyle w:val="0"/>
              <w:jc w:val="center"/>
            </w:pPr>
            <w:r>
              <w:rPr>
                <w:sz w:val="20"/>
              </w:rPr>
              <w:t xml:space="preserve">2,76%</w:t>
            </w:r>
          </w:p>
        </w:tc>
        <w:tc>
          <w:tcPr>
            <w:tcW w:w="1247" w:type="dxa"/>
            <w:tcBorders>
              <w:top w:val="nil"/>
            </w:tcBorders>
          </w:tcPr>
          <w:p>
            <w:pPr>
              <w:pStyle w:val="0"/>
              <w:jc w:val="center"/>
            </w:pPr>
            <w:r>
              <w:rPr>
                <w:sz w:val="20"/>
              </w:rPr>
              <w:t xml:space="preserve">3,57%</w:t>
            </w:r>
          </w:p>
        </w:tc>
        <w:tc>
          <w:tcPr>
            <w:tcW w:w="1303" w:type="dxa"/>
            <w:tcBorders>
              <w:top w:val="nil"/>
            </w:tcBorders>
          </w:tcPr>
          <w:p>
            <w:pPr>
              <w:pStyle w:val="0"/>
              <w:jc w:val="center"/>
            </w:pPr>
            <w:r>
              <w:rPr>
                <w:sz w:val="20"/>
              </w:rPr>
              <w:t xml:space="preserve">3,15%</w:t>
            </w:r>
          </w:p>
        </w:tc>
      </w:tr>
      <w:tr>
        <w:tc>
          <w:tcPr>
            <w:tcW w:w="2211" w:type="dxa"/>
            <w:vMerge w:val="restart"/>
          </w:tcPr>
          <w:p>
            <w:pPr>
              <w:pStyle w:val="0"/>
              <w:jc w:val="both"/>
            </w:pPr>
            <w:r>
              <w:rPr>
                <w:sz w:val="20"/>
              </w:rPr>
              <w:t xml:space="preserve">Болезни уха и сосцевидного отростка</w:t>
            </w:r>
          </w:p>
        </w:tc>
        <w:tc>
          <w:tcPr>
            <w:tcW w:w="1417" w:type="dxa"/>
            <w:tcBorders>
              <w:bottom w:val="nil"/>
            </w:tcBorders>
          </w:tcPr>
          <w:p>
            <w:pPr>
              <w:pStyle w:val="0"/>
              <w:jc w:val="center"/>
            </w:pPr>
            <w:r>
              <w:rPr>
                <w:sz w:val="20"/>
              </w:rPr>
              <w:t xml:space="preserve">22,8</w:t>
            </w:r>
          </w:p>
        </w:tc>
        <w:tc>
          <w:tcPr>
            <w:tcW w:w="1360" w:type="dxa"/>
            <w:tcBorders>
              <w:bottom w:val="nil"/>
            </w:tcBorders>
          </w:tcPr>
          <w:p>
            <w:pPr>
              <w:pStyle w:val="0"/>
              <w:jc w:val="center"/>
            </w:pPr>
            <w:r>
              <w:rPr>
                <w:sz w:val="20"/>
              </w:rPr>
              <w:t xml:space="preserve">22,8</w:t>
            </w:r>
          </w:p>
        </w:tc>
        <w:tc>
          <w:tcPr>
            <w:tcW w:w="1530" w:type="dxa"/>
            <w:tcBorders>
              <w:bottom w:val="nil"/>
            </w:tcBorders>
          </w:tcPr>
          <w:p>
            <w:pPr>
              <w:pStyle w:val="0"/>
              <w:jc w:val="center"/>
            </w:pPr>
            <w:r>
              <w:rPr>
                <w:sz w:val="20"/>
              </w:rPr>
              <w:t xml:space="preserve">18,4</w:t>
            </w:r>
          </w:p>
        </w:tc>
        <w:tc>
          <w:tcPr>
            <w:tcW w:w="1247" w:type="dxa"/>
            <w:tcBorders>
              <w:bottom w:val="nil"/>
            </w:tcBorders>
          </w:tcPr>
          <w:p>
            <w:pPr>
              <w:pStyle w:val="0"/>
              <w:jc w:val="center"/>
            </w:pPr>
            <w:r>
              <w:rPr>
                <w:sz w:val="20"/>
              </w:rPr>
              <w:t xml:space="preserve">21</w:t>
            </w:r>
          </w:p>
        </w:tc>
        <w:tc>
          <w:tcPr>
            <w:tcW w:w="1303" w:type="dxa"/>
            <w:tcBorders>
              <w:bottom w:val="nil"/>
            </w:tcBorders>
          </w:tcPr>
          <w:p>
            <w:pPr>
              <w:pStyle w:val="0"/>
              <w:jc w:val="center"/>
            </w:pPr>
            <w:r>
              <w:rPr>
                <w:sz w:val="20"/>
              </w:rPr>
              <w:t xml:space="preserve">20,5</w:t>
            </w:r>
          </w:p>
        </w:tc>
      </w:tr>
      <w:tr>
        <w:tc>
          <w:tcPr>
            <w:vMerge w:val="continue"/>
          </w:tcPr>
          <w:p/>
        </w:tc>
        <w:tc>
          <w:tcPr>
            <w:tcW w:w="1417" w:type="dxa"/>
            <w:tcBorders>
              <w:top w:val="nil"/>
            </w:tcBorders>
          </w:tcPr>
          <w:p>
            <w:pPr>
              <w:pStyle w:val="0"/>
              <w:jc w:val="center"/>
            </w:pPr>
            <w:r>
              <w:rPr>
                <w:sz w:val="20"/>
              </w:rPr>
              <w:t xml:space="preserve">4,64%</w:t>
            </w:r>
          </w:p>
        </w:tc>
        <w:tc>
          <w:tcPr>
            <w:tcW w:w="1360" w:type="dxa"/>
            <w:tcBorders>
              <w:top w:val="nil"/>
            </w:tcBorders>
          </w:tcPr>
          <w:p>
            <w:pPr>
              <w:pStyle w:val="0"/>
              <w:jc w:val="center"/>
            </w:pPr>
            <w:r>
              <w:rPr>
                <w:sz w:val="20"/>
              </w:rPr>
              <w:t xml:space="preserve">4,04%</w:t>
            </w:r>
          </w:p>
        </w:tc>
        <w:tc>
          <w:tcPr>
            <w:tcW w:w="1530" w:type="dxa"/>
            <w:tcBorders>
              <w:top w:val="nil"/>
            </w:tcBorders>
          </w:tcPr>
          <w:p>
            <w:pPr>
              <w:pStyle w:val="0"/>
              <w:jc w:val="center"/>
            </w:pPr>
            <w:r>
              <w:rPr>
                <w:sz w:val="20"/>
              </w:rPr>
              <w:t xml:space="preserve">3,79%</w:t>
            </w:r>
          </w:p>
        </w:tc>
        <w:tc>
          <w:tcPr>
            <w:tcW w:w="1247" w:type="dxa"/>
            <w:tcBorders>
              <w:top w:val="nil"/>
            </w:tcBorders>
          </w:tcPr>
          <w:p>
            <w:pPr>
              <w:pStyle w:val="0"/>
              <w:jc w:val="center"/>
            </w:pPr>
            <w:r>
              <w:rPr>
                <w:sz w:val="20"/>
              </w:rPr>
              <w:t xml:space="preserve">3,18%</w:t>
            </w:r>
          </w:p>
        </w:tc>
        <w:tc>
          <w:tcPr>
            <w:tcW w:w="1303" w:type="dxa"/>
            <w:tcBorders>
              <w:top w:val="nil"/>
            </w:tcBorders>
          </w:tcPr>
          <w:p>
            <w:pPr>
              <w:pStyle w:val="0"/>
              <w:jc w:val="center"/>
            </w:pPr>
            <w:r>
              <w:rPr>
                <w:sz w:val="20"/>
              </w:rPr>
              <w:t xml:space="preserve">2,7%</w:t>
            </w:r>
          </w:p>
        </w:tc>
      </w:tr>
      <w:tr>
        <w:tc>
          <w:tcPr>
            <w:tcW w:w="2211" w:type="dxa"/>
            <w:vMerge w:val="restart"/>
          </w:tcPr>
          <w:p>
            <w:pPr>
              <w:pStyle w:val="0"/>
              <w:jc w:val="both"/>
            </w:pPr>
            <w:r>
              <w:rPr>
                <w:sz w:val="20"/>
              </w:rPr>
              <w:t xml:space="preserve">Болезни системы кровообращения</w:t>
            </w:r>
          </w:p>
        </w:tc>
        <w:tc>
          <w:tcPr>
            <w:tcW w:w="1417" w:type="dxa"/>
            <w:tcBorders>
              <w:bottom w:val="nil"/>
            </w:tcBorders>
          </w:tcPr>
          <w:p>
            <w:pPr>
              <w:pStyle w:val="0"/>
              <w:jc w:val="center"/>
            </w:pPr>
            <w:r>
              <w:rPr>
                <w:sz w:val="20"/>
              </w:rPr>
              <w:t xml:space="preserve">17,1</w:t>
            </w:r>
          </w:p>
        </w:tc>
        <w:tc>
          <w:tcPr>
            <w:tcW w:w="1360" w:type="dxa"/>
            <w:tcBorders>
              <w:bottom w:val="nil"/>
            </w:tcBorders>
          </w:tcPr>
          <w:p>
            <w:pPr>
              <w:pStyle w:val="0"/>
              <w:jc w:val="center"/>
            </w:pPr>
            <w:r>
              <w:rPr>
                <w:sz w:val="20"/>
              </w:rPr>
              <w:t xml:space="preserve">18,4</w:t>
            </w:r>
          </w:p>
        </w:tc>
        <w:tc>
          <w:tcPr>
            <w:tcW w:w="1530" w:type="dxa"/>
            <w:tcBorders>
              <w:bottom w:val="nil"/>
            </w:tcBorders>
          </w:tcPr>
          <w:p>
            <w:pPr>
              <w:pStyle w:val="0"/>
              <w:jc w:val="center"/>
            </w:pPr>
            <w:r>
              <w:rPr>
                <w:sz w:val="20"/>
              </w:rPr>
              <w:t xml:space="preserve">13,9</w:t>
            </w:r>
          </w:p>
        </w:tc>
        <w:tc>
          <w:tcPr>
            <w:tcW w:w="1247" w:type="dxa"/>
            <w:tcBorders>
              <w:bottom w:val="nil"/>
            </w:tcBorders>
          </w:tcPr>
          <w:p>
            <w:pPr>
              <w:pStyle w:val="0"/>
              <w:jc w:val="center"/>
            </w:pPr>
            <w:r>
              <w:rPr>
                <w:sz w:val="20"/>
              </w:rPr>
              <w:t xml:space="preserve">41,5</w:t>
            </w:r>
          </w:p>
        </w:tc>
        <w:tc>
          <w:tcPr>
            <w:tcW w:w="1303" w:type="dxa"/>
            <w:tcBorders>
              <w:bottom w:val="nil"/>
            </w:tcBorders>
          </w:tcPr>
          <w:p>
            <w:pPr>
              <w:pStyle w:val="0"/>
              <w:jc w:val="center"/>
            </w:pPr>
            <w:r>
              <w:rPr>
                <w:sz w:val="20"/>
              </w:rPr>
              <w:t xml:space="preserve">29,4</w:t>
            </w:r>
          </w:p>
        </w:tc>
      </w:tr>
      <w:tr>
        <w:tc>
          <w:tcPr>
            <w:vMerge w:val="continue"/>
          </w:tcPr>
          <w:p/>
        </w:tc>
        <w:tc>
          <w:tcPr>
            <w:tcW w:w="1417" w:type="dxa"/>
            <w:tcBorders>
              <w:top w:val="nil"/>
            </w:tcBorders>
          </w:tcPr>
          <w:p>
            <w:pPr>
              <w:pStyle w:val="0"/>
              <w:jc w:val="center"/>
            </w:pPr>
            <w:r>
              <w:rPr>
                <w:sz w:val="20"/>
              </w:rPr>
              <w:t xml:space="preserve">3,48%</w:t>
            </w:r>
          </w:p>
        </w:tc>
        <w:tc>
          <w:tcPr>
            <w:tcW w:w="1360" w:type="dxa"/>
            <w:tcBorders>
              <w:top w:val="nil"/>
            </w:tcBorders>
          </w:tcPr>
          <w:p>
            <w:pPr>
              <w:pStyle w:val="0"/>
              <w:jc w:val="center"/>
            </w:pPr>
            <w:r>
              <w:rPr>
                <w:sz w:val="20"/>
              </w:rPr>
              <w:t xml:space="preserve">3,26%</w:t>
            </w:r>
          </w:p>
        </w:tc>
        <w:tc>
          <w:tcPr>
            <w:tcW w:w="1530" w:type="dxa"/>
            <w:tcBorders>
              <w:top w:val="nil"/>
            </w:tcBorders>
          </w:tcPr>
          <w:p>
            <w:pPr>
              <w:pStyle w:val="0"/>
              <w:jc w:val="center"/>
            </w:pPr>
            <w:r>
              <w:rPr>
                <w:sz w:val="20"/>
              </w:rPr>
              <w:t xml:space="preserve">2,86%</w:t>
            </w:r>
          </w:p>
        </w:tc>
        <w:tc>
          <w:tcPr>
            <w:tcW w:w="1247" w:type="dxa"/>
            <w:tcBorders>
              <w:top w:val="nil"/>
            </w:tcBorders>
          </w:tcPr>
          <w:p>
            <w:pPr>
              <w:pStyle w:val="0"/>
              <w:jc w:val="center"/>
            </w:pPr>
            <w:r>
              <w:rPr>
                <w:sz w:val="20"/>
              </w:rPr>
              <w:t xml:space="preserve">6,28%</w:t>
            </w:r>
          </w:p>
        </w:tc>
        <w:tc>
          <w:tcPr>
            <w:tcW w:w="1303" w:type="dxa"/>
            <w:tcBorders>
              <w:top w:val="nil"/>
            </w:tcBorders>
          </w:tcPr>
          <w:p>
            <w:pPr>
              <w:pStyle w:val="0"/>
              <w:jc w:val="center"/>
            </w:pPr>
            <w:r>
              <w:rPr>
                <w:sz w:val="20"/>
              </w:rPr>
              <w:t xml:space="preserve">3,87%</w:t>
            </w:r>
          </w:p>
        </w:tc>
      </w:tr>
      <w:tr>
        <w:tc>
          <w:tcPr>
            <w:tcW w:w="2211" w:type="dxa"/>
            <w:vMerge w:val="restart"/>
          </w:tcPr>
          <w:p>
            <w:pPr>
              <w:pStyle w:val="0"/>
              <w:jc w:val="both"/>
            </w:pPr>
            <w:r>
              <w:rPr>
                <w:sz w:val="20"/>
              </w:rPr>
              <w:t xml:space="preserve">Болезни органов дыхания</w:t>
            </w:r>
          </w:p>
        </w:tc>
        <w:tc>
          <w:tcPr>
            <w:tcW w:w="1417" w:type="dxa"/>
            <w:tcBorders>
              <w:bottom w:val="nil"/>
            </w:tcBorders>
          </w:tcPr>
          <w:p>
            <w:pPr>
              <w:pStyle w:val="0"/>
              <w:jc w:val="center"/>
            </w:pPr>
            <w:r>
              <w:rPr>
                <w:sz w:val="20"/>
              </w:rPr>
              <w:t xml:space="preserve">188,7</w:t>
            </w:r>
          </w:p>
        </w:tc>
        <w:tc>
          <w:tcPr>
            <w:tcW w:w="1360" w:type="dxa"/>
            <w:tcBorders>
              <w:bottom w:val="nil"/>
            </w:tcBorders>
          </w:tcPr>
          <w:p>
            <w:pPr>
              <w:pStyle w:val="0"/>
              <w:jc w:val="center"/>
            </w:pPr>
            <w:r>
              <w:rPr>
                <w:sz w:val="20"/>
              </w:rPr>
              <w:t xml:space="preserve">219,3</w:t>
            </w:r>
          </w:p>
        </w:tc>
        <w:tc>
          <w:tcPr>
            <w:tcW w:w="1530" w:type="dxa"/>
            <w:tcBorders>
              <w:bottom w:val="nil"/>
            </w:tcBorders>
          </w:tcPr>
          <w:p>
            <w:pPr>
              <w:pStyle w:val="0"/>
              <w:jc w:val="center"/>
            </w:pPr>
            <w:r>
              <w:rPr>
                <w:sz w:val="20"/>
              </w:rPr>
              <w:t xml:space="preserve">228,7</w:t>
            </w:r>
          </w:p>
        </w:tc>
        <w:tc>
          <w:tcPr>
            <w:tcW w:w="1247" w:type="dxa"/>
            <w:tcBorders>
              <w:bottom w:val="nil"/>
            </w:tcBorders>
          </w:tcPr>
          <w:p>
            <w:pPr>
              <w:pStyle w:val="0"/>
              <w:jc w:val="center"/>
            </w:pPr>
            <w:r>
              <w:rPr>
                <w:sz w:val="20"/>
              </w:rPr>
              <w:t xml:space="preserve">304,9</w:t>
            </w:r>
          </w:p>
        </w:tc>
        <w:tc>
          <w:tcPr>
            <w:tcW w:w="1303" w:type="dxa"/>
            <w:tcBorders>
              <w:bottom w:val="nil"/>
            </w:tcBorders>
          </w:tcPr>
          <w:p>
            <w:pPr>
              <w:pStyle w:val="0"/>
              <w:jc w:val="center"/>
            </w:pPr>
            <w:r>
              <w:rPr>
                <w:sz w:val="20"/>
              </w:rPr>
              <w:t xml:space="preserve">370,6</w:t>
            </w:r>
          </w:p>
        </w:tc>
      </w:tr>
      <w:tr>
        <w:tc>
          <w:tcPr>
            <w:vMerge w:val="continue"/>
          </w:tcPr>
          <w:p/>
        </w:tc>
        <w:tc>
          <w:tcPr>
            <w:tcW w:w="1417" w:type="dxa"/>
            <w:tcBorders>
              <w:top w:val="nil"/>
            </w:tcBorders>
          </w:tcPr>
          <w:p>
            <w:pPr>
              <w:pStyle w:val="0"/>
              <w:jc w:val="center"/>
            </w:pPr>
            <w:r>
              <w:rPr>
                <w:sz w:val="20"/>
              </w:rPr>
              <w:t xml:space="preserve">38,43%</w:t>
            </w:r>
          </w:p>
        </w:tc>
        <w:tc>
          <w:tcPr>
            <w:tcW w:w="1360" w:type="dxa"/>
            <w:tcBorders>
              <w:top w:val="nil"/>
            </w:tcBorders>
          </w:tcPr>
          <w:p>
            <w:pPr>
              <w:pStyle w:val="0"/>
              <w:jc w:val="center"/>
            </w:pPr>
            <w:r>
              <w:rPr>
                <w:sz w:val="20"/>
              </w:rPr>
              <w:t xml:space="preserve">38,81%</w:t>
            </w:r>
          </w:p>
        </w:tc>
        <w:tc>
          <w:tcPr>
            <w:tcW w:w="1530" w:type="dxa"/>
            <w:tcBorders>
              <w:top w:val="nil"/>
            </w:tcBorders>
          </w:tcPr>
          <w:p>
            <w:pPr>
              <w:pStyle w:val="0"/>
              <w:jc w:val="center"/>
            </w:pPr>
            <w:r>
              <w:rPr>
                <w:sz w:val="20"/>
              </w:rPr>
              <w:t xml:space="preserve">47,06%</w:t>
            </w:r>
          </w:p>
        </w:tc>
        <w:tc>
          <w:tcPr>
            <w:tcW w:w="1247" w:type="dxa"/>
            <w:tcBorders>
              <w:top w:val="nil"/>
            </w:tcBorders>
          </w:tcPr>
          <w:p>
            <w:pPr>
              <w:pStyle w:val="0"/>
              <w:jc w:val="center"/>
            </w:pPr>
            <w:r>
              <w:rPr>
                <w:sz w:val="20"/>
              </w:rPr>
              <w:t xml:space="preserve">46,16%</w:t>
            </w:r>
          </w:p>
        </w:tc>
        <w:tc>
          <w:tcPr>
            <w:tcW w:w="1303" w:type="dxa"/>
            <w:tcBorders>
              <w:top w:val="nil"/>
            </w:tcBorders>
          </w:tcPr>
          <w:p>
            <w:pPr>
              <w:pStyle w:val="0"/>
              <w:jc w:val="center"/>
            </w:pPr>
            <w:r>
              <w:rPr>
                <w:sz w:val="20"/>
              </w:rPr>
              <w:t xml:space="preserve">48,77%</w:t>
            </w:r>
          </w:p>
        </w:tc>
      </w:tr>
      <w:tr>
        <w:tc>
          <w:tcPr>
            <w:tcW w:w="2211" w:type="dxa"/>
            <w:vMerge w:val="restart"/>
          </w:tcPr>
          <w:p>
            <w:pPr>
              <w:pStyle w:val="0"/>
              <w:jc w:val="both"/>
            </w:pPr>
            <w:r>
              <w:rPr>
                <w:sz w:val="20"/>
              </w:rPr>
              <w:t xml:space="preserve">Болезни органов пищеварения</w:t>
            </w:r>
          </w:p>
        </w:tc>
        <w:tc>
          <w:tcPr>
            <w:tcW w:w="1417" w:type="dxa"/>
            <w:tcBorders>
              <w:bottom w:val="nil"/>
            </w:tcBorders>
          </w:tcPr>
          <w:p>
            <w:pPr>
              <w:pStyle w:val="0"/>
              <w:jc w:val="center"/>
            </w:pPr>
            <w:r>
              <w:rPr>
                <w:sz w:val="20"/>
              </w:rPr>
              <w:t xml:space="preserve">14,8</w:t>
            </w:r>
          </w:p>
        </w:tc>
        <w:tc>
          <w:tcPr>
            <w:tcW w:w="1360" w:type="dxa"/>
            <w:tcBorders>
              <w:bottom w:val="nil"/>
            </w:tcBorders>
          </w:tcPr>
          <w:p>
            <w:pPr>
              <w:pStyle w:val="0"/>
              <w:jc w:val="center"/>
            </w:pPr>
            <w:r>
              <w:rPr>
                <w:sz w:val="20"/>
              </w:rPr>
              <w:t xml:space="preserve">22,7</w:t>
            </w:r>
          </w:p>
        </w:tc>
        <w:tc>
          <w:tcPr>
            <w:tcW w:w="1530" w:type="dxa"/>
            <w:tcBorders>
              <w:bottom w:val="nil"/>
            </w:tcBorders>
          </w:tcPr>
          <w:p>
            <w:pPr>
              <w:pStyle w:val="0"/>
              <w:jc w:val="center"/>
            </w:pPr>
            <w:r>
              <w:rPr>
                <w:sz w:val="20"/>
              </w:rPr>
              <w:t xml:space="preserve">11,2</w:t>
            </w:r>
          </w:p>
        </w:tc>
        <w:tc>
          <w:tcPr>
            <w:tcW w:w="1247" w:type="dxa"/>
            <w:tcBorders>
              <w:bottom w:val="nil"/>
            </w:tcBorders>
          </w:tcPr>
          <w:p>
            <w:pPr>
              <w:pStyle w:val="0"/>
              <w:jc w:val="center"/>
            </w:pPr>
            <w:r>
              <w:rPr>
                <w:sz w:val="20"/>
              </w:rPr>
              <w:t xml:space="preserve">24,1</w:t>
            </w:r>
          </w:p>
        </w:tc>
        <w:tc>
          <w:tcPr>
            <w:tcW w:w="1303" w:type="dxa"/>
            <w:tcBorders>
              <w:bottom w:val="nil"/>
            </w:tcBorders>
          </w:tcPr>
          <w:p>
            <w:pPr>
              <w:pStyle w:val="0"/>
              <w:jc w:val="center"/>
            </w:pPr>
            <w:r>
              <w:rPr>
                <w:sz w:val="20"/>
              </w:rPr>
              <w:t xml:space="preserve">26,3</w:t>
            </w:r>
          </w:p>
        </w:tc>
      </w:tr>
      <w:tr>
        <w:tc>
          <w:tcPr>
            <w:vMerge w:val="continue"/>
          </w:tcPr>
          <w:p/>
        </w:tc>
        <w:tc>
          <w:tcPr>
            <w:tcW w:w="1417" w:type="dxa"/>
            <w:tcBorders>
              <w:top w:val="nil"/>
            </w:tcBorders>
          </w:tcPr>
          <w:p>
            <w:pPr>
              <w:pStyle w:val="0"/>
              <w:jc w:val="center"/>
            </w:pPr>
            <w:r>
              <w:rPr>
                <w:sz w:val="20"/>
              </w:rPr>
              <w:t xml:space="preserve">3,01%</w:t>
            </w:r>
          </w:p>
        </w:tc>
        <w:tc>
          <w:tcPr>
            <w:tcW w:w="1360" w:type="dxa"/>
            <w:tcBorders>
              <w:top w:val="nil"/>
            </w:tcBorders>
          </w:tcPr>
          <w:p>
            <w:pPr>
              <w:pStyle w:val="0"/>
              <w:jc w:val="center"/>
            </w:pPr>
            <w:r>
              <w:rPr>
                <w:sz w:val="20"/>
              </w:rPr>
              <w:t xml:space="preserve">4,02%</w:t>
            </w:r>
          </w:p>
        </w:tc>
        <w:tc>
          <w:tcPr>
            <w:tcW w:w="1530" w:type="dxa"/>
            <w:tcBorders>
              <w:top w:val="nil"/>
            </w:tcBorders>
          </w:tcPr>
          <w:p>
            <w:pPr>
              <w:pStyle w:val="0"/>
              <w:jc w:val="center"/>
            </w:pPr>
            <w:r>
              <w:rPr>
                <w:sz w:val="20"/>
              </w:rPr>
              <w:t xml:space="preserve">2,3%</w:t>
            </w:r>
          </w:p>
        </w:tc>
        <w:tc>
          <w:tcPr>
            <w:tcW w:w="1247" w:type="dxa"/>
            <w:tcBorders>
              <w:top w:val="nil"/>
            </w:tcBorders>
          </w:tcPr>
          <w:p>
            <w:pPr>
              <w:pStyle w:val="0"/>
              <w:jc w:val="center"/>
            </w:pPr>
            <w:r>
              <w:rPr>
                <w:sz w:val="20"/>
              </w:rPr>
              <w:t xml:space="preserve">3,65%</w:t>
            </w:r>
          </w:p>
        </w:tc>
        <w:tc>
          <w:tcPr>
            <w:tcW w:w="1303" w:type="dxa"/>
            <w:tcBorders>
              <w:top w:val="nil"/>
            </w:tcBorders>
          </w:tcPr>
          <w:p>
            <w:pPr>
              <w:pStyle w:val="0"/>
              <w:jc w:val="center"/>
            </w:pPr>
            <w:r>
              <w:rPr>
                <w:sz w:val="20"/>
              </w:rPr>
              <w:t xml:space="preserve">3,46%</w:t>
            </w:r>
          </w:p>
        </w:tc>
      </w:tr>
      <w:tr>
        <w:tc>
          <w:tcPr>
            <w:tcW w:w="2211" w:type="dxa"/>
            <w:vMerge w:val="restart"/>
          </w:tcPr>
          <w:p>
            <w:pPr>
              <w:pStyle w:val="0"/>
              <w:jc w:val="both"/>
            </w:pPr>
            <w:r>
              <w:rPr>
                <w:sz w:val="20"/>
              </w:rPr>
              <w:t xml:space="preserve">Болезни кожи и подкожной клетчатки</w:t>
            </w:r>
          </w:p>
        </w:tc>
        <w:tc>
          <w:tcPr>
            <w:tcW w:w="1417" w:type="dxa"/>
            <w:tcBorders>
              <w:bottom w:val="nil"/>
            </w:tcBorders>
          </w:tcPr>
          <w:p>
            <w:pPr>
              <w:pStyle w:val="0"/>
              <w:jc w:val="center"/>
            </w:pPr>
            <w:r>
              <w:rPr>
                <w:sz w:val="20"/>
              </w:rPr>
              <w:t xml:space="preserve">47,9</w:t>
            </w:r>
          </w:p>
        </w:tc>
        <w:tc>
          <w:tcPr>
            <w:tcW w:w="1360" w:type="dxa"/>
            <w:tcBorders>
              <w:bottom w:val="nil"/>
            </w:tcBorders>
          </w:tcPr>
          <w:p>
            <w:pPr>
              <w:pStyle w:val="0"/>
              <w:jc w:val="center"/>
            </w:pPr>
            <w:r>
              <w:rPr>
                <w:sz w:val="20"/>
              </w:rPr>
              <w:t xml:space="preserve">46,5</w:t>
            </w:r>
          </w:p>
        </w:tc>
        <w:tc>
          <w:tcPr>
            <w:tcW w:w="1530" w:type="dxa"/>
            <w:tcBorders>
              <w:bottom w:val="nil"/>
            </w:tcBorders>
          </w:tcPr>
          <w:p>
            <w:pPr>
              <w:pStyle w:val="0"/>
              <w:jc w:val="center"/>
            </w:pPr>
            <w:r>
              <w:rPr>
                <w:sz w:val="20"/>
              </w:rPr>
              <w:t xml:space="preserve">31,9</w:t>
            </w:r>
          </w:p>
        </w:tc>
        <w:tc>
          <w:tcPr>
            <w:tcW w:w="1247" w:type="dxa"/>
            <w:tcBorders>
              <w:bottom w:val="nil"/>
            </w:tcBorders>
          </w:tcPr>
          <w:p>
            <w:pPr>
              <w:pStyle w:val="0"/>
              <w:jc w:val="center"/>
            </w:pPr>
            <w:r>
              <w:rPr>
                <w:sz w:val="20"/>
              </w:rPr>
              <w:t xml:space="preserve">23,4</w:t>
            </w:r>
          </w:p>
        </w:tc>
        <w:tc>
          <w:tcPr>
            <w:tcW w:w="1303" w:type="dxa"/>
            <w:tcBorders>
              <w:bottom w:val="nil"/>
            </w:tcBorders>
          </w:tcPr>
          <w:p>
            <w:pPr>
              <w:pStyle w:val="0"/>
              <w:jc w:val="center"/>
            </w:pPr>
            <w:r>
              <w:rPr>
                <w:sz w:val="20"/>
              </w:rPr>
              <w:t xml:space="preserve">34</w:t>
            </w:r>
          </w:p>
        </w:tc>
      </w:tr>
      <w:tr>
        <w:tc>
          <w:tcPr>
            <w:vMerge w:val="continue"/>
          </w:tcPr>
          <w:p/>
        </w:tc>
        <w:tc>
          <w:tcPr>
            <w:tcW w:w="1417" w:type="dxa"/>
            <w:tcBorders>
              <w:top w:val="nil"/>
            </w:tcBorders>
          </w:tcPr>
          <w:p>
            <w:pPr>
              <w:pStyle w:val="0"/>
              <w:jc w:val="center"/>
            </w:pPr>
            <w:r>
              <w:rPr>
                <w:sz w:val="20"/>
              </w:rPr>
              <w:t xml:space="preserve">9,76%</w:t>
            </w:r>
          </w:p>
        </w:tc>
        <w:tc>
          <w:tcPr>
            <w:tcW w:w="1360" w:type="dxa"/>
            <w:tcBorders>
              <w:top w:val="nil"/>
            </w:tcBorders>
          </w:tcPr>
          <w:p>
            <w:pPr>
              <w:pStyle w:val="0"/>
              <w:jc w:val="center"/>
            </w:pPr>
            <w:r>
              <w:rPr>
                <w:sz w:val="20"/>
              </w:rPr>
              <w:t xml:space="preserve">8,23%</w:t>
            </w:r>
          </w:p>
        </w:tc>
        <w:tc>
          <w:tcPr>
            <w:tcW w:w="1530" w:type="dxa"/>
            <w:tcBorders>
              <w:top w:val="nil"/>
            </w:tcBorders>
          </w:tcPr>
          <w:p>
            <w:pPr>
              <w:pStyle w:val="0"/>
              <w:jc w:val="center"/>
            </w:pPr>
            <w:r>
              <w:rPr>
                <w:sz w:val="20"/>
              </w:rPr>
              <w:t xml:space="preserve">6,56%</w:t>
            </w:r>
          </w:p>
        </w:tc>
        <w:tc>
          <w:tcPr>
            <w:tcW w:w="1247" w:type="dxa"/>
            <w:tcBorders>
              <w:top w:val="nil"/>
            </w:tcBorders>
          </w:tcPr>
          <w:p>
            <w:pPr>
              <w:pStyle w:val="0"/>
              <w:jc w:val="center"/>
            </w:pPr>
            <w:r>
              <w:rPr>
                <w:sz w:val="20"/>
              </w:rPr>
              <w:t xml:space="preserve">3,54%</w:t>
            </w:r>
          </w:p>
        </w:tc>
        <w:tc>
          <w:tcPr>
            <w:tcW w:w="1303" w:type="dxa"/>
            <w:tcBorders>
              <w:top w:val="nil"/>
            </w:tcBorders>
          </w:tcPr>
          <w:p>
            <w:pPr>
              <w:pStyle w:val="0"/>
              <w:jc w:val="center"/>
            </w:pPr>
            <w:r>
              <w:rPr>
                <w:sz w:val="20"/>
              </w:rPr>
              <w:t xml:space="preserve">4,47%</w:t>
            </w:r>
          </w:p>
        </w:tc>
      </w:tr>
      <w:tr>
        <w:tc>
          <w:tcPr>
            <w:tcW w:w="2211" w:type="dxa"/>
            <w:vMerge w:val="restart"/>
          </w:tcPr>
          <w:p>
            <w:pPr>
              <w:pStyle w:val="0"/>
              <w:jc w:val="both"/>
            </w:pPr>
            <w:r>
              <w:rPr>
                <w:sz w:val="20"/>
              </w:rPr>
              <w:t xml:space="preserve">Болезни костно-мышечной системы</w:t>
            </w:r>
          </w:p>
        </w:tc>
        <w:tc>
          <w:tcPr>
            <w:tcW w:w="1417" w:type="dxa"/>
            <w:tcBorders>
              <w:bottom w:val="nil"/>
            </w:tcBorders>
          </w:tcPr>
          <w:p>
            <w:pPr>
              <w:pStyle w:val="0"/>
              <w:jc w:val="center"/>
            </w:pPr>
            <w:r>
              <w:rPr>
                <w:sz w:val="20"/>
              </w:rPr>
              <w:t xml:space="preserve">25,1</w:t>
            </w:r>
          </w:p>
        </w:tc>
        <w:tc>
          <w:tcPr>
            <w:tcW w:w="1360" w:type="dxa"/>
            <w:tcBorders>
              <w:bottom w:val="nil"/>
            </w:tcBorders>
          </w:tcPr>
          <w:p>
            <w:pPr>
              <w:pStyle w:val="0"/>
              <w:jc w:val="center"/>
            </w:pPr>
            <w:r>
              <w:rPr>
                <w:sz w:val="20"/>
              </w:rPr>
              <w:t xml:space="preserve">25,3</w:t>
            </w:r>
          </w:p>
        </w:tc>
        <w:tc>
          <w:tcPr>
            <w:tcW w:w="1530" w:type="dxa"/>
            <w:tcBorders>
              <w:bottom w:val="nil"/>
            </w:tcBorders>
          </w:tcPr>
          <w:p>
            <w:pPr>
              <w:pStyle w:val="0"/>
              <w:jc w:val="center"/>
            </w:pPr>
            <w:r>
              <w:rPr>
                <w:sz w:val="20"/>
              </w:rPr>
              <w:t xml:space="preserve">20,5</w:t>
            </w:r>
          </w:p>
        </w:tc>
        <w:tc>
          <w:tcPr>
            <w:tcW w:w="1247" w:type="dxa"/>
            <w:tcBorders>
              <w:bottom w:val="nil"/>
            </w:tcBorders>
          </w:tcPr>
          <w:p>
            <w:pPr>
              <w:pStyle w:val="0"/>
              <w:jc w:val="center"/>
            </w:pPr>
            <w:r>
              <w:rPr>
                <w:sz w:val="20"/>
              </w:rPr>
              <w:t xml:space="preserve">25,9</w:t>
            </w:r>
          </w:p>
        </w:tc>
        <w:tc>
          <w:tcPr>
            <w:tcW w:w="1303" w:type="dxa"/>
            <w:tcBorders>
              <w:bottom w:val="nil"/>
            </w:tcBorders>
          </w:tcPr>
          <w:p>
            <w:pPr>
              <w:pStyle w:val="0"/>
              <w:jc w:val="center"/>
            </w:pPr>
            <w:r>
              <w:rPr>
                <w:sz w:val="20"/>
              </w:rPr>
              <w:t xml:space="preserve">25</w:t>
            </w:r>
          </w:p>
        </w:tc>
      </w:tr>
      <w:tr>
        <w:tc>
          <w:tcPr>
            <w:vMerge w:val="continue"/>
          </w:tcPr>
          <w:p/>
        </w:tc>
        <w:tc>
          <w:tcPr>
            <w:tcW w:w="1417" w:type="dxa"/>
            <w:tcBorders>
              <w:top w:val="nil"/>
            </w:tcBorders>
          </w:tcPr>
          <w:p>
            <w:pPr>
              <w:pStyle w:val="0"/>
              <w:jc w:val="center"/>
            </w:pPr>
            <w:r>
              <w:rPr>
                <w:sz w:val="20"/>
              </w:rPr>
              <w:t xml:space="preserve">5,11%</w:t>
            </w:r>
          </w:p>
        </w:tc>
        <w:tc>
          <w:tcPr>
            <w:tcW w:w="1360" w:type="dxa"/>
            <w:tcBorders>
              <w:top w:val="nil"/>
            </w:tcBorders>
          </w:tcPr>
          <w:p>
            <w:pPr>
              <w:pStyle w:val="0"/>
              <w:jc w:val="center"/>
            </w:pPr>
            <w:r>
              <w:rPr>
                <w:sz w:val="20"/>
              </w:rPr>
              <w:t xml:space="preserve">4,48%</w:t>
            </w:r>
          </w:p>
        </w:tc>
        <w:tc>
          <w:tcPr>
            <w:tcW w:w="1530" w:type="dxa"/>
            <w:tcBorders>
              <w:top w:val="nil"/>
            </w:tcBorders>
          </w:tcPr>
          <w:p>
            <w:pPr>
              <w:pStyle w:val="0"/>
              <w:jc w:val="center"/>
            </w:pPr>
            <w:r>
              <w:rPr>
                <w:sz w:val="20"/>
              </w:rPr>
              <w:t xml:space="preserve">4,22%</w:t>
            </w:r>
          </w:p>
        </w:tc>
        <w:tc>
          <w:tcPr>
            <w:tcW w:w="1247" w:type="dxa"/>
            <w:tcBorders>
              <w:top w:val="nil"/>
            </w:tcBorders>
          </w:tcPr>
          <w:p>
            <w:pPr>
              <w:pStyle w:val="0"/>
              <w:jc w:val="center"/>
            </w:pPr>
            <w:r>
              <w:rPr>
                <w:sz w:val="20"/>
              </w:rPr>
              <w:t xml:space="preserve">3,92%</w:t>
            </w:r>
          </w:p>
        </w:tc>
        <w:tc>
          <w:tcPr>
            <w:tcW w:w="1303" w:type="dxa"/>
            <w:tcBorders>
              <w:top w:val="nil"/>
            </w:tcBorders>
          </w:tcPr>
          <w:p>
            <w:pPr>
              <w:pStyle w:val="0"/>
              <w:jc w:val="center"/>
            </w:pPr>
            <w:r>
              <w:rPr>
                <w:sz w:val="20"/>
              </w:rPr>
              <w:t xml:space="preserve">3,29%</w:t>
            </w:r>
          </w:p>
        </w:tc>
      </w:tr>
      <w:tr>
        <w:tc>
          <w:tcPr>
            <w:tcW w:w="2211" w:type="dxa"/>
            <w:vMerge w:val="restart"/>
          </w:tcPr>
          <w:p>
            <w:pPr>
              <w:pStyle w:val="0"/>
              <w:jc w:val="both"/>
            </w:pPr>
            <w:r>
              <w:rPr>
                <w:sz w:val="20"/>
              </w:rPr>
              <w:t xml:space="preserve">Болезни мочеполовой системы</w:t>
            </w:r>
          </w:p>
        </w:tc>
        <w:tc>
          <w:tcPr>
            <w:tcW w:w="1417" w:type="dxa"/>
            <w:tcBorders>
              <w:bottom w:val="nil"/>
            </w:tcBorders>
          </w:tcPr>
          <w:p>
            <w:pPr>
              <w:pStyle w:val="0"/>
              <w:jc w:val="center"/>
            </w:pPr>
            <w:r>
              <w:rPr>
                <w:sz w:val="20"/>
              </w:rPr>
              <w:t xml:space="preserve">17,5</w:t>
            </w:r>
          </w:p>
        </w:tc>
        <w:tc>
          <w:tcPr>
            <w:tcW w:w="1360" w:type="dxa"/>
            <w:tcBorders>
              <w:bottom w:val="nil"/>
            </w:tcBorders>
          </w:tcPr>
          <w:p>
            <w:pPr>
              <w:pStyle w:val="0"/>
              <w:jc w:val="center"/>
            </w:pPr>
            <w:r>
              <w:rPr>
                <w:sz w:val="20"/>
              </w:rPr>
              <w:t xml:space="preserve">22,4</w:t>
            </w:r>
          </w:p>
        </w:tc>
        <w:tc>
          <w:tcPr>
            <w:tcW w:w="1530" w:type="dxa"/>
            <w:tcBorders>
              <w:bottom w:val="nil"/>
            </w:tcBorders>
          </w:tcPr>
          <w:p>
            <w:pPr>
              <w:pStyle w:val="0"/>
              <w:jc w:val="center"/>
            </w:pPr>
            <w:r>
              <w:rPr>
                <w:sz w:val="20"/>
              </w:rPr>
              <w:t xml:space="preserve">13,5</w:t>
            </w:r>
          </w:p>
        </w:tc>
        <w:tc>
          <w:tcPr>
            <w:tcW w:w="1247" w:type="dxa"/>
            <w:tcBorders>
              <w:bottom w:val="nil"/>
            </w:tcBorders>
          </w:tcPr>
          <w:p>
            <w:pPr>
              <w:pStyle w:val="0"/>
              <w:jc w:val="center"/>
            </w:pPr>
            <w:r>
              <w:rPr>
                <w:sz w:val="20"/>
              </w:rPr>
              <w:t xml:space="preserve">33,1</w:t>
            </w:r>
          </w:p>
        </w:tc>
        <w:tc>
          <w:tcPr>
            <w:tcW w:w="1303" w:type="dxa"/>
            <w:tcBorders>
              <w:bottom w:val="nil"/>
            </w:tcBorders>
          </w:tcPr>
          <w:p>
            <w:pPr>
              <w:pStyle w:val="0"/>
              <w:jc w:val="center"/>
            </w:pPr>
            <w:r>
              <w:rPr>
                <w:sz w:val="20"/>
              </w:rPr>
              <w:t xml:space="preserve">36</w:t>
            </w:r>
          </w:p>
        </w:tc>
      </w:tr>
      <w:tr>
        <w:tc>
          <w:tcPr>
            <w:vMerge w:val="continue"/>
          </w:tcPr>
          <w:p/>
        </w:tc>
        <w:tc>
          <w:tcPr>
            <w:tcW w:w="1417" w:type="dxa"/>
            <w:tcBorders>
              <w:top w:val="nil"/>
            </w:tcBorders>
          </w:tcPr>
          <w:p>
            <w:pPr>
              <w:pStyle w:val="0"/>
              <w:jc w:val="center"/>
            </w:pPr>
            <w:r>
              <w:rPr>
                <w:sz w:val="20"/>
              </w:rPr>
              <w:t xml:space="preserve">3,56%</w:t>
            </w:r>
          </w:p>
        </w:tc>
        <w:tc>
          <w:tcPr>
            <w:tcW w:w="1360" w:type="dxa"/>
            <w:tcBorders>
              <w:top w:val="nil"/>
            </w:tcBorders>
          </w:tcPr>
          <w:p>
            <w:pPr>
              <w:pStyle w:val="0"/>
              <w:jc w:val="center"/>
            </w:pPr>
            <w:r>
              <w:rPr>
                <w:sz w:val="20"/>
              </w:rPr>
              <w:t xml:space="preserve">3,96%</w:t>
            </w:r>
          </w:p>
        </w:tc>
        <w:tc>
          <w:tcPr>
            <w:tcW w:w="1530" w:type="dxa"/>
            <w:tcBorders>
              <w:top w:val="nil"/>
            </w:tcBorders>
          </w:tcPr>
          <w:p>
            <w:pPr>
              <w:pStyle w:val="0"/>
              <w:jc w:val="center"/>
            </w:pPr>
            <w:r>
              <w:rPr>
                <w:sz w:val="20"/>
              </w:rPr>
              <w:t xml:space="preserve">2,78%</w:t>
            </w:r>
          </w:p>
        </w:tc>
        <w:tc>
          <w:tcPr>
            <w:tcW w:w="1247" w:type="dxa"/>
            <w:tcBorders>
              <w:top w:val="nil"/>
            </w:tcBorders>
          </w:tcPr>
          <w:p>
            <w:pPr>
              <w:pStyle w:val="0"/>
              <w:jc w:val="center"/>
            </w:pPr>
            <w:r>
              <w:rPr>
                <w:sz w:val="20"/>
              </w:rPr>
              <w:t xml:space="preserve">5,01%</w:t>
            </w:r>
          </w:p>
        </w:tc>
        <w:tc>
          <w:tcPr>
            <w:tcW w:w="1303" w:type="dxa"/>
            <w:tcBorders>
              <w:top w:val="nil"/>
            </w:tcBorders>
          </w:tcPr>
          <w:p>
            <w:pPr>
              <w:pStyle w:val="0"/>
              <w:jc w:val="center"/>
            </w:pPr>
            <w:r>
              <w:rPr>
                <w:sz w:val="20"/>
              </w:rPr>
              <w:t xml:space="preserve">4,74%</w:t>
            </w:r>
          </w:p>
        </w:tc>
      </w:tr>
      <w:tr>
        <w:tc>
          <w:tcPr>
            <w:tcW w:w="2211" w:type="dxa"/>
            <w:vMerge w:val="restart"/>
          </w:tcPr>
          <w:p>
            <w:pPr>
              <w:pStyle w:val="0"/>
              <w:jc w:val="both"/>
            </w:pPr>
            <w:r>
              <w:rPr>
                <w:sz w:val="20"/>
              </w:rPr>
              <w:t xml:space="preserve">Врожденные аномалии</w:t>
            </w:r>
          </w:p>
        </w:tc>
        <w:tc>
          <w:tcPr>
            <w:tcW w:w="1417" w:type="dxa"/>
            <w:tcBorders>
              <w:bottom w:val="nil"/>
            </w:tcBorders>
          </w:tcPr>
          <w:p>
            <w:pPr>
              <w:pStyle w:val="0"/>
              <w:jc w:val="center"/>
            </w:pPr>
            <w:r>
              <w:rPr>
                <w:sz w:val="20"/>
              </w:rPr>
              <w:t xml:space="preserve">1,8</w:t>
            </w:r>
          </w:p>
        </w:tc>
        <w:tc>
          <w:tcPr>
            <w:tcW w:w="1360" w:type="dxa"/>
            <w:tcBorders>
              <w:bottom w:val="nil"/>
            </w:tcBorders>
          </w:tcPr>
          <w:p>
            <w:pPr>
              <w:pStyle w:val="0"/>
              <w:jc w:val="center"/>
            </w:pPr>
            <w:r>
              <w:rPr>
                <w:sz w:val="20"/>
              </w:rPr>
              <w:t xml:space="preserve">2,1</w:t>
            </w:r>
          </w:p>
        </w:tc>
        <w:tc>
          <w:tcPr>
            <w:tcW w:w="1530" w:type="dxa"/>
            <w:tcBorders>
              <w:bottom w:val="nil"/>
            </w:tcBorders>
          </w:tcPr>
          <w:p>
            <w:pPr>
              <w:pStyle w:val="0"/>
              <w:jc w:val="center"/>
            </w:pPr>
            <w:r>
              <w:rPr>
                <w:sz w:val="20"/>
              </w:rPr>
              <w:t xml:space="preserve">3,4</w:t>
            </w:r>
          </w:p>
        </w:tc>
        <w:tc>
          <w:tcPr>
            <w:tcW w:w="1247" w:type="dxa"/>
            <w:tcBorders>
              <w:bottom w:val="nil"/>
            </w:tcBorders>
          </w:tcPr>
          <w:p>
            <w:pPr>
              <w:pStyle w:val="0"/>
              <w:jc w:val="center"/>
            </w:pPr>
            <w:r>
              <w:rPr>
                <w:sz w:val="20"/>
              </w:rPr>
              <w:t xml:space="preserve">1,4</w:t>
            </w:r>
          </w:p>
        </w:tc>
        <w:tc>
          <w:tcPr>
            <w:tcW w:w="1303" w:type="dxa"/>
            <w:tcBorders>
              <w:bottom w:val="nil"/>
            </w:tcBorders>
          </w:tcPr>
          <w:p>
            <w:pPr>
              <w:pStyle w:val="0"/>
              <w:jc w:val="center"/>
            </w:pPr>
            <w:r>
              <w:rPr>
                <w:sz w:val="20"/>
              </w:rPr>
              <w:t xml:space="preserve">1,7</w:t>
            </w:r>
          </w:p>
        </w:tc>
      </w:tr>
      <w:tr>
        <w:tc>
          <w:tcPr>
            <w:vMerge w:val="continue"/>
          </w:tcPr>
          <w:p/>
        </w:tc>
        <w:tc>
          <w:tcPr>
            <w:tcW w:w="1417" w:type="dxa"/>
            <w:tcBorders>
              <w:top w:val="nil"/>
            </w:tcBorders>
          </w:tcPr>
          <w:p>
            <w:pPr>
              <w:pStyle w:val="0"/>
              <w:jc w:val="center"/>
            </w:pPr>
            <w:r>
              <w:rPr>
                <w:sz w:val="20"/>
              </w:rPr>
              <w:t xml:space="preserve">0,37%</w:t>
            </w:r>
          </w:p>
        </w:tc>
        <w:tc>
          <w:tcPr>
            <w:tcW w:w="1360" w:type="dxa"/>
            <w:tcBorders>
              <w:top w:val="nil"/>
            </w:tcBorders>
          </w:tcPr>
          <w:p>
            <w:pPr>
              <w:pStyle w:val="0"/>
              <w:jc w:val="center"/>
            </w:pPr>
            <w:r>
              <w:rPr>
                <w:sz w:val="20"/>
              </w:rPr>
              <w:t xml:space="preserve">0,37%</w:t>
            </w:r>
          </w:p>
        </w:tc>
        <w:tc>
          <w:tcPr>
            <w:tcW w:w="1530" w:type="dxa"/>
            <w:tcBorders>
              <w:top w:val="nil"/>
            </w:tcBorders>
          </w:tcPr>
          <w:p>
            <w:pPr>
              <w:pStyle w:val="0"/>
              <w:jc w:val="center"/>
            </w:pPr>
            <w:r>
              <w:rPr>
                <w:sz w:val="20"/>
              </w:rPr>
              <w:t xml:space="preserve">0,7%</w:t>
            </w:r>
          </w:p>
        </w:tc>
        <w:tc>
          <w:tcPr>
            <w:tcW w:w="1247" w:type="dxa"/>
            <w:tcBorders>
              <w:top w:val="nil"/>
            </w:tcBorders>
          </w:tcPr>
          <w:p>
            <w:pPr>
              <w:pStyle w:val="0"/>
              <w:jc w:val="center"/>
            </w:pPr>
            <w:r>
              <w:rPr>
                <w:sz w:val="20"/>
              </w:rPr>
              <w:t xml:space="preserve">0,21%</w:t>
            </w:r>
          </w:p>
        </w:tc>
        <w:tc>
          <w:tcPr>
            <w:tcW w:w="1303" w:type="dxa"/>
            <w:tcBorders>
              <w:top w:val="nil"/>
            </w:tcBorders>
          </w:tcPr>
          <w:p>
            <w:pPr>
              <w:pStyle w:val="0"/>
              <w:jc w:val="center"/>
            </w:pPr>
            <w:r>
              <w:rPr>
                <w:sz w:val="20"/>
              </w:rPr>
              <w:t xml:space="preserve">0,22%</w:t>
            </w:r>
          </w:p>
        </w:tc>
      </w:tr>
      <w:tr>
        <w:tc>
          <w:tcPr>
            <w:tcW w:w="2211" w:type="dxa"/>
            <w:vMerge w:val="restart"/>
          </w:tcPr>
          <w:p>
            <w:pPr>
              <w:pStyle w:val="0"/>
              <w:jc w:val="both"/>
            </w:pPr>
            <w:r>
              <w:rPr>
                <w:sz w:val="20"/>
              </w:rPr>
              <w:t xml:space="preserve">Травмы и отравления</w:t>
            </w:r>
          </w:p>
        </w:tc>
        <w:tc>
          <w:tcPr>
            <w:tcW w:w="1417" w:type="dxa"/>
            <w:tcBorders>
              <w:bottom w:val="nil"/>
            </w:tcBorders>
          </w:tcPr>
          <w:p>
            <w:pPr>
              <w:pStyle w:val="0"/>
              <w:jc w:val="center"/>
            </w:pPr>
            <w:r>
              <w:rPr>
                <w:sz w:val="20"/>
              </w:rPr>
              <w:t xml:space="preserve">42,4</w:t>
            </w:r>
          </w:p>
        </w:tc>
        <w:tc>
          <w:tcPr>
            <w:tcW w:w="1360" w:type="dxa"/>
            <w:tcBorders>
              <w:bottom w:val="nil"/>
            </w:tcBorders>
          </w:tcPr>
          <w:p>
            <w:pPr>
              <w:pStyle w:val="0"/>
              <w:jc w:val="center"/>
            </w:pPr>
            <w:r>
              <w:rPr>
                <w:sz w:val="20"/>
              </w:rPr>
              <w:t xml:space="preserve">54,1</w:t>
            </w:r>
          </w:p>
        </w:tc>
        <w:tc>
          <w:tcPr>
            <w:tcW w:w="1530" w:type="dxa"/>
            <w:tcBorders>
              <w:bottom w:val="nil"/>
            </w:tcBorders>
          </w:tcPr>
          <w:p>
            <w:pPr>
              <w:pStyle w:val="0"/>
              <w:jc w:val="center"/>
            </w:pPr>
            <w:r>
              <w:rPr>
                <w:sz w:val="20"/>
              </w:rPr>
              <w:t xml:space="preserve">45,6</w:t>
            </w:r>
          </w:p>
        </w:tc>
        <w:tc>
          <w:tcPr>
            <w:tcW w:w="1247" w:type="dxa"/>
            <w:tcBorders>
              <w:bottom w:val="nil"/>
            </w:tcBorders>
          </w:tcPr>
          <w:p>
            <w:pPr>
              <w:pStyle w:val="0"/>
              <w:jc w:val="center"/>
            </w:pPr>
            <w:r>
              <w:rPr>
                <w:sz w:val="20"/>
              </w:rPr>
              <w:t xml:space="preserve">70,8</w:t>
            </w:r>
          </w:p>
        </w:tc>
        <w:tc>
          <w:tcPr>
            <w:tcW w:w="1303" w:type="dxa"/>
            <w:tcBorders>
              <w:bottom w:val="nil"/>
            </w:tcBorders>
          </w:tcPr>
          <w:p>
            <w:pPr>
              <w:pStyle w:val="0"/>
              <w:jc w:val="center"/>
            </w:pPr>
            <w:r>
              <w:rPr>
                <w:sz w:val="20"/>
              </w:rPr>
              <w:t xml:space="preserve">81,3</w:t>
            </w:r>
          </w:p>
        </w:tc>
      </w:tr>
      <w:tr>
        <w:tblPrEx>
          <w:tblBorders>
            <w:insideH w:val="nil"/>
          </w:tblBorders>
        </w:tblPrEx>
        <w:tc>
          <w:tcPr>
            <w:vMerge w:val="continue"/>
          </w:tcPr>
          <w:p/>
        </w:tc>
        <w:tc>
          <w:tcPr>
            <w:tcW w:w="1417" w:type="dxa"/>
            <w:tcBorders>
              <w:top w:val="nil"/>
            </w:tcBorders>
          </w:tcPr>
          <w:p>
            <w:pPr>
              <w:pStyle w:val="0"/>
              <w:jc w:val="center"/>
            </w:pPr>
            <w:r>
              <w:rPr>
                <w:sz w:val="20"/>
              </w:rPr>
              <w:t xml:space="preserve">8,64%</w:t>
            </w:r>
          </w:p>
        </w:tc>
        <w:tc>
          <w:tcPr>
            <w:tcW w:w="1360" w:type="dxa"/>
            <w:tcBorders>
              <w:top w:val="nil"/>
            </w:tcBorders>
          </w:tcPr>
          <w:p>
            <w:pPr>
              <w:pStyle w:val="0"/>
              <w:jc w:val="center"/>
            </w:pPr>
            <w:r>
              <w:rPr>
                <w:sz w:val="20"/>
              </w:rPr>
              <w:t xml:space="preserve">9,58%</w:t>
            </w:r>
          </w:p>
        </w:tc>
        <w:tc>
          <w:tcPr>
            <w:tcW w:w="1530" w:type="dxa"/>
            <w:tcBorders>
              <w:top w:val="nil"/>
            </w:tcBorders>
          </w:tcPr>
          <w:p>
            <w:pPr>
              <w:pStyle w:val="0"/>
              <w:jc w:val="center"/>
            </w:pPr>
            <w:r>
              <w:rPr>
                <w:sz w:val="20"/>
              </w:rPr>
              <w:t xml:space="preserve">9,38%</w:t>
            </w:r>
          </w:p>
        </w:tc>
        <w:tc>
          <w:tcPr>
            <w:tcW w:w="1247" w:type="dxa"/>
            <w:tcBorders>
              <w:top w:val="nil"/>
            </w:tcBorders>
          </w:tcPr>
          <w:p>
            <w:pPr>
              <w:pStyle w:val="0"/>
              <w:jc w:val="center"/>
            </w:pPr>
            <w:r>
              <w:rPr>
                <w:sz w:val="20"/>
              </w:rPr>
              <w:t xml:space="preserve">10,72%</w:t>
            </w:r>
          </w:p>
        </w:tc>
        <w:tc>
          <w:tcPr>
            <w:tcW w:w="1303" w:type="dxa"/>
            <w:tcBorders>
              <w:top w:val="nil"/>
            </w:tcBorders>
          </w:tcPr>
          <w:p>
            <w:pPr>
              <w:pStyle w:val="0"/>
              <w:jc w:val="center"/>
            </w:pPr>
            <w:r>
              <w:rPr>
                <w:sz w:val="20"/>
              </w:rPr>
              <w:t xml:space="preserve">10,7%</w:t>
            </w:r>
          </w:p>
        </w:tc>
      </w:tr>
    </w:tbl>
    <w:p>
      <w:pPr>
        <w:pStyle w:val="0"/>
        <w:ind w:firstLine="540"/>
        <w:jc w:val="both"/>
      </w:pPr>
      <w:r>
        <w:rPr>
          <w:sz w:val="20"/>
        </w:rPr>
      </w:r>
    </w:p>
    <w:p>
      <w:pPr>
        <w:pStyle w:val="0"/>
        <w:ind w:firstLine="540"/>
        <w:jc w:val="both"/>
      </w:pPr>
      <w:r>
        <w:rPr>
          <w:sz w:val="20"/>
        </w:rPr>
        <w:t xml:space="preserve">В городе Севастополе в 2022 году в сравнении с предыдущим годом первичная заболеваемость взрослого населения выросла на 15%, но в 2020 году снизилась на 14% в сравнении с 2019 годом и составила 486 на 1000 человек населения.</w:t>
      </w:r>
    </w:p>
    <w:p>
      <w:pPr>
        <w:pStyle w:val="0"/>
        <w:spacing w:before="200" w:line-rule="auto"/>
        <w:ind w:firstLine="540"/>
        <w:jc w:val="both"/>
      </w:pPr>
      <w:r>
        <w:rPr>
          <w:sz w:val="20"/>
        </w:rPr>
        <w:t xml:space="preserve">В 2022 году в структуре общей заболеваемости населения города Севастополя первое место занимают болезни органов дыхания (47,06%), на втором месте - травмы, отравления и некоторые другие последствия внешних причин (9,38%), третье место - болезни кожи и подкожной клетчатки (6,56%).</w:t>
      </w:r>
    </w:p>
    <w:p>
      <w:pPr>
        <w:pStyle w:val="0"/>
        <w:spacing w:before="200" w:line-rule="auto"/>
        <w:ind w:firstLine="540"/>
        <w:jc w:val="both"/>
      </w:pPr>
      <w:r>
        <w:rPr>
          <w:sz w:val="20"/>
        </w:rPr>
        <w:t xml:space="preserve">В 2022 году в связи с пандемией опасного инфекционного заболевания, вызываемого новой коронавирусной инфекцией (COVID-19), структура заболеваемости населения изменилась.</w:t>
      </w:r>
    </w:p>
    <w:p>
      <w:pPr>
        <w:pStyle w:val="0"/>
        <w:spacing w:before="200" w:line-rule="auto"/>
        <w:ind w:firstLine="540"/>
        <w:jc w:val="both"/>
      </w:pPr>
      <w:r>
        <w:rPr>
          <w:sz w:val="20"/>
        </w:rPr>
        <w:t xml:space="preserve">В 2022 году показатель заболеваемости детей относительно показателей 2018 года вырос на 8,7% </w:t>
      </w:r>
      <w:hyperlink w:history="0" w:anchor="P42349" w:tooltip="Заболеваемость на 1000 чел. населения по основным классам">
        <w:r>
          <w:rPr>
            <w:sz w:val="20"/>
            <w:color w:val="0000ff"/>
          </w:rPr>
          <w:t xml:space="preserve">(таблица 4)</w:t>
        </w:r>
      </w:hyperlink>
      <w:r>
        <w:rPr>
          <w:sz w:val="20"/>
        </w:rPr>
        <w:t xml:space="preserve">.</w:t>
      </w:r>
    </w:p>
    <w:p>
      <w:pPr>
        <w:pStyle w:val="0"/>
        <w:spacing w:before="200" w:line-rule="auto"/>
        <w:ind w:firstLine="540"/>
        <w:jc w:val="both"/>
      </w:pPr>
      <w:r>
        <w:rPr>
          <w:sz w:val="20"/>
        </w:rPr>
        <w:t xml:space="preserve">Наибольшую долю в первичной заболеваемости детей составили болезни органов дыхания - 57,4%, второе место заняли травмы, отравления и некоторые другие последствия внешних причин - 11,5%, третье место заняли болезни кожи и подкожной клетчатки - 4,6%.</w:t>
      </w:r>
    </w:p>
    <w:p>
      <w:pPr>
        <w:pStyle w:val="0"/>
        <w:spacing w:before="200" w:line-rule="auto"/>
        <w:ind w:firstLine="540"/>
        <w:jc w:val="both"/>
      </w:pPr>
      <w:r>
        <w:rPr>
          <w:sz w:val="20"/>
        </w:rPr>
        <w:t xml:space="preserve">В динамике отмечается рост общей заболеваемости детского населения на 8,6%, на первом месте заболевания органов дыхания за счет ОРВИ с динамикой роста (+16%), на втором - травмы, отравления и некоторые другие последствия внешних причин с динамикой роста (+13,5%), на третьем - заболевания кожи и подкожной клетчатки с тенденцией к уменьшению показателя в динамике (-19%). Также отмечается рост заболеваемости в группе болезней нервной и костно-мышечной системы, а также заболеваний перинатального периода.</w:t>
      </w:r>
    </w:p>
    <w:p>
      <w:pPr>
        <w:pStyle w:val="0"/>
        <w:ind w:firstLine="540"/>
        <w:jc w:val="both"/>
      </w:pPr>
      <w:r>
        <w:rPr>
          <w:sz w:val="20"/>
        </w:rPr>
      </w:r>
    </w:p>
    <w:p>
      <w:pPr>
        <w:pStyle w:val="0"/>
        <w:jc w:val="right"/>
      </w:pPr>
      <w:r>
        <w:rPr>
          <w:sz w:val="20"/>
        </w:rPr>
        <w:t xml:space="preserve">Таблица 4</w:t>
      </w:r>
    </w:p>
    <w:p>
      <w:pPr>
        <w:pStyle w:val="0"/>
        <w:jc w:val="right"/>
      </w:pPr>
      <w:r>
        <w:rPr>
          <w:sz w:val="20"/>
        </w:rPr>
      </w:r>
    </w:p>
    <w:bookmarkStart w:id="42349" w:name="P42349"/>
    <w:bookmarkEnd w:id="42349"/>
    <w:p>
      <w:pPr>
        <w:pStyle w:val="0"/>
        <w:jc w:val="center"/>
      </w:pPr>
      <w:r>
        <w:rPr>
          <w:sz w:val="20"/>
        </w:rPr>
        <w:t xml:space="preserve">Заболеваемость на 1000 чел. населения по основным классам</w:t>
      </w:r>
    </w:p>
    <w:p>
      <w:pPr>
        <w:pStyle w:val="0"/>
        <w:jc w:val="center"/>
      </w:pPr>
      <w:r>
        <w:rPr>
          <w:sz w:val="20"/>
        </w:rPr>
        <w:t xml:space="preserve">болезней за период 2020 - 2022 гг. в городе Севастополе</w:t>
      </w:r>
    </w:p>
    <w:p>
      <w:pPr>
        <w:pStyle w:val="0"/>
        <w:jc w:val="center"/>
      </w:pPr>
      <w:r>
        <w:rPr>
          <w:sz w:val="20"/>
        </w:rPr>
        <w:t xml:space="preserve">(зарегистрировано заболеваний у пациентов с диагнозом,</w:t>
      </w:r>
    </w:p>
    <w:p>
      <w:pPr>
        <w:pStyle w:val="0"/>
        <w:jc w:val="center"/>
      </w:pPr>
      <w:r>
        <w:rPr>
          <w:sz w:val="20"/>
        </w:rPr>
        <w:t xml:space="preserve">установленным впервые в жизни) (по данным Росстата, ЕМИСС)</w:t>
      </w:r>
    </w:p>
    <w:p>
      <w:pPr>
        <w:pStyle w:val="0"/>
        <w:jc w:val="center"/>
      </w:pPr>
      <w:r>
        <w:rPr>
          <w:sz w:val="20"/>
        </w:rPr>
        <w:t xml:space="preserve">(дети), числовое значение и доля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953"/>
        <w:gridCol w:w="964"/>
        <w:gridCol w:w="914"/>
        <w:gridCol w:w="1020"/>
        <w:gridCol w:w="875"/>
        <w:gridCol w:w="1031"/>
      </w:tblGrid>
      <w:tr>
        <w:tc>
          <w:tcPr>
            <w:tcW w:w="3288" w:type="dxa"/>
          </w:tcPr>
          <w:p>
            <w:pPr>
              <w:pStyle w:val="0"/>
              <w:jc w:val="center"/>
            </w:pPr>
            <w:r>
              <w:rPr>
                <w:sz w:val="20"/>
              </w:rPr>
              <w:t xml:space="preserve">Годы</w:t>
            </w:r>
          </w:p>
        </w:tc>
        <w:tc>
          <w:tcPr>
            <w:gridSpan w:val="2"/>
            <w:tcW w:w="1917" w:type="dxa"/>
          </w:tcPr>
          <w:p>
            <w:pPr>
              <w:pStyle w:val="0"/>
              <w:jc w:val="center"/>
            </w:pPr>
            <w:r>
              <w:rPr>
                <w:sz w:val="20"/>
              </w:rPr>
              <w:t xml:space="preserve">2020</w:t>
            </w:r>
          </w:p>
        </w:tc>
        <w:tc>
          <w:tcPr>
            <w:gridSpan w:val="2"/>
            <w:tcW w:w="1934" w:type="dxa"/>
          </w:tcPr>
          <w:p>
            <w:pPr>
              <w:pStyle w:val="0"/>
              <w:jc w:val="center"/>
            </w:pPr>
            <w:r>
              <w:rPr>
                <w:sz w:val="20"/>
              </w:rPr>
              <w:t xml:space="preserve">2021</w:t>
            </w:r>
          </w:p>
        </w:tc>
        <w:tc>
          <w:tcPr>
            <w:gridSpan w:val="2"/>
            <w:tcW w:w="1906" w:type="dxa"/>
          </w:tcPr>
          <w:p>
            <w:pPr>
              <w:pStyle w:val="0"/>
              <w:jc w:val="center"/>
            </w:pPr>
            <w:r>
              <w:rPr>
                <w:sz w:val="20"/>
              </w:rPr>
              <w:t xml:space="preserve">2022</w:t>
            </w:r>
          </w:p>
        </w:tc>
      </w:tr>
      <w:tr>
        <w:tc>
          <w:tcPr>
            <w:tcW w:w="3288" w:type="dxa"/>
          </w:tcPr>
          <w:p>
            <w:pPr>
              <w:pStyle w:val="0"/>
              <w:jc w:val="center"/>
            </w:pPr>
            <w:r>
              <w:rPr>
                <w:sz w:val="20"/>
              </w:rPr>
            </w:r>
          </w:p>
        </w:tc>
        <w:tc>
          <w:tcPr>
            <w:tcW w:w="953" w:type="dxa"/>
          </w:tcPr>
          <w:p>
            <w:pPr>
              <w:pStyle w:val="0"/>
              <w:jc w:val="center"/>
            </w:pPr>
            <w:r>
              <w:rPr>
                <w:sz w:val="20"/>
              </w:rPr>
              <w:t xml:space="preserve">абс.</w:t>
            </w:r>
          </w:p>
        </w:tc>
        <w:tc>
          <w:tcPr>
            <w:tcW w:w="964" w:type="dxa"/>
          </w:tcPr>
          <w:p>
            <w:pPr>
              <w:pStyle w:val="0"/>
              <w:jc w:val="center"/>
            </w:pPr>
            <w:r>
              <w:rPr>
                <w:sz w:val="20"/>
              </w:rPr>
              <w:t xml:space="preserve">на 1000 чел. населения</w:t>
            </w:r>
          </w:p>
        </w:tc>
        <w:tc>
          <w:tcPr>
            <w:tcW w:w="914" w:type="dxa"/>
          </w:tcPr>
          <w:p>
            <w:pPr>
              <w:pStyle w:val="0"/>
              <w:jc w:val="center"/>
            </w:pPr>
            <w:r>
              <w:rPr>
                <w:sz w:val="20"/>
              </w:rPr>
              <w:t xml:space="preserve">абс.</w:t>
            </w:r>
          </w:p>
        </w:tc>
        <w:tc>
          <w:tcPr>
            <w:tcW w:w="1020" w:type="dxa"/>
          </w:tcPr>
          <w:p>
            <w:pPr>
              <w:pStyle w:val="0"/>
              <w:jc w:val="center"/>
            </w:pPr>
            <w:r>
              <w:rPr>
                <w:sz w:val="20"/>
              </w:rPr>
              <w:t xml:space="preserve">на 1000 чел. населения</w:t>
            </w:r>
          </w:p>
        </w:tc>
        <w:tc>
          <w:tcPr>
            <w:tcW w:w="875" w:type="dxa"/>
          </w:tcPr>
          <w:p>
            <w:pPr>
              <w:pStyle w:val="0"/>
              <w:jc w:val="center"/>
            </w:pPr>
            <w:r>
              <w:rPr>
                <w:sz w:val="20"/>
              </w:rPr>
              <w:t xml:space="preserve">абс.</w:t>
            </w:r>
          </w:p>
        </w:tc>
        <w:tc>
          <w:tcPr>
            <w:tcW w:w="1031" w:type="dxa"/>
          </w:tcPr>
          <w:p>
            <w:pPr>
              <w:pStyle w:val="0"/>
              <w:jc w:val="center"/>
            </w:pPr>
            <w:r>
              <w:rPr>
                <w:sz w:val="20"/>
              </w:rPr>
              <w:t xml:space="preserve">на 1000 чел. населения</w:t>
            </w:r>
          </w:p>
        </w:tc>
      </w:tr>
      <w:tr>
        <w:tc>
          <w:tcPr>
            <w:tcW w:w="3288" w:type="dxa"/>
          </w:tcPr>
          <w:p>
            <w:pPr>
              <w:pStyle w:val="0"/>
              <w:jc w:val="both"/>
            </w:pPr>
            <w:r>
              <w:rPr>
                <w:sz w:val="20"/>
              </w:rPr>
              <w:t xml:space="preserve">Все болезни, из них:</w:t>
            </w:r>
          </w:p>
        </w:tc>
        <w:tc>
          <w:tcPr>
            <w:tcW w:w="953" w:type="dxa"/>
          </w:tcPr>
          <w:p>
            <w:pPr>
              <w:pStyle w:val="0"/>
              <w:jc w:val="center"/>
            </w:pPr>
            <w:r>
              <w:rPr>
                <w:sz w:val="20"/>
              </w:rPr>
              <w:t xml:space="preserve">121376</w:t>
            </w:r>
          </w:p>
        </w:tc>
        <w:tc>
          <w:tcPr>
            <w:tcW w:w="964" w:type="dxa"/>
          </w:tcPr>
          <w:p>
            <w:pPr>
              <w:pStyle w:val="0"/>
              <w:jc w:val="center"/>
            </w:pPr>
            <w:r>
              <w:rPr>
                <w:sz w:val="20"/>
              </w:rPr>
              <w:t xml:space="preserve">1414,3</w:t>
            </w:r>
          </w:p>
        </w:tc>
        <w:tc>
          <w:tcPr>
            <w:tcW w:w="914" w:type="dxa"/>
          </w:tcPr>
          <w:p>
            <w:pPr>
              <w:pStyle w:val="0"/>
              <w:jc w:val="center"/>
            </w:pPr>
            <w:r>
              <w:rPr>
                <w:sz w:val="20"/>
              </w:rPr>
              <w:t xml:space="preserve">138389</w:t>
            </w:r>
          </w:p>
        </w:tc>
        <w:tc>
          <w:tcPr>
            <w:tcW w:w="1020" w:type="dxa"/>
          </w:tcPr>
          <w:p>
            <w:pPr>
              <w:pStyle w:val="0"/>
              <w:jc w:val="center"/>
            </w:pPr>
            <w:r>
              <w:rPr>
                <w:sz w:val="20"/>
              </w:rPr>
              <w:t xml:space="preserve">1376,4</w:t>
            </w:r>
          </w:p>
        </w:tc>
        <w:tc>
          <w:tcPr>
            <w:tcW w:w="875" w:type="dxa"/>
          </w:tcPr>
          <w:p>
            <w:pPr>
              <w:pStyle w:val="0"/>
              <w:jc w:val="center"/>
            </w:pPr>
            <w:r>
              <w:rPr>
                <w:sz w:val="20"/>
              </w:rPr>
              <w:t xml:space="preserve">131997</w:t>
            </w:r>
          </w:p>
        </w:tc>
        <w:tc>
          <w:tcPr>
            <w:tcW w:w="1031" w:type="dxa"/>
          </w:tcPr>
          <w:p>
            <w:pPr>
              <w:pStyle w:val="0"/>
              <w:jc w:val="center"/>
            </w:pPr>
            <w:r>
              <w:rPr>
                <w:sz w:val="20"/>
              </w:rPr>
              <w:t xml:space="preserve">1277,22</w:t>
            </w:r>
          </w:p>
        </w:tc>
      </w:tr>
      <w:tr>
        <w:tc>
          <w:tcPr>
            <w:tcW w:w="3288" w:type="dxa"/>
          </w:tcPr>
          <w:p>
            <w:pPr>
              <w:pStyle w:val="0"/>
              <w:jc w:val="both"/>
            </w:pPr>
            <w:r>
              <w:rPr>
                <w:sz w:val="20"/>
              </w:rPr>
              <w:t xml:space="preserve">некоторые инфекционные и паразитарные болезни</w:t>
            </w:r>
          </w:p>
        </w:tc>
        <w:tc>
          <w:tcPr>
            <w:tcW w:w="953" w:type="dxa"/>
          </w:tcPr>
          <w:p>
            <w:pPr>
              <w:pStyle w:val="0"/>
              <w:jc w:val="center"/>
            </w:pPr>
            <w:r>
              <w:rPr>
                <w:sz w:val="20"/>
              </w:rPr>
              <w:t xml:space="preserve">5570</w:t>
            </w:r>
          </w:p>
        </w:tc>
        <w:tc>
          <w:tcPr>
            <w:tcW w:w="964" w:type="dxa"/>
          </w:tcPr>
          <w:p>
            <w:pPr>
              <w:pStyle w:val="0"/>
              <w:jc w:val="center"/>
            </w:pPr>
            <w:r>
              <w:rPr>
                <w:sz w:val="20"/>
              </w:rPr>
              <w:t xml:space="preserve">64,90</w:t>
            </w:r>
          </w:p>
        </w:tc>
        <w:tc>
          <w:tcPr>
            <w:tcW w:w="914" w:type="dxa"/>
          </w:tcPr>
          <w:p>
            <w:pPr>
              <w:pStyle w:val="0"/>
              <w:jc w:val="center"/>
            </w:pPr>
            <w:r>
              <w:rPr>
                <w:sz w:val="20"/>
              </w:rPr>
              <w:t xml:space="preserve">7204</w:t>
            </w:r>
          </w:p>
        </w:tc>
        <w:tc>
          <w:tcPr>
            <w:tcW w:w="1020" w:type="dxa"/>
          </w:tcPr>
          <w:p>
            <w:pPr>
              <w:pStyle w:val="0"/>
              <w:jc w:val="center"/>
            </w:pPr>
            <w:r>
              <w:rPr>
                <w:sz w:val="20"/>
              </w:rPr>
              <w:t xml:space="preserve">71,65</w:t>
            </w:r>
          </w:p>
        </w:tc>
        <w:tc>
          <w:tcPr>
            <w:tcW w:w="875" w:type="dxa"/>
          </w:tcPr>
          <w:p>
            <w:pPr>
              <w:pStyle w:val="0"/>
              <w:jc w:val="center"/>
            </w:pPr>
            <w:r>
              <w:rPr>
                <w:sz w:val="20"/>
              </w:rPr>
              <w:t xml:space="preserve">6623</w:t>
            </w:r>
          </w:p>
        </w:tc>
        <w:tc>
          <w:tcPr>
            <w:tcW w:w="1031" w:type="dxa"/>
          </w:tcPr>
          <w:p>
            <w:pPr>
              <w:pStyle w:val="0"/>
              <w:jc w:val="center"/>
            </w:pPr>
            <w:r>
              <w:rPr>
                <w:sz w:val="20"/>
              </w:rPr>
              <w:t xml:space="preserve">64,09</w:t>
            </w:r>
          </w:p>
        </w:tc>
      </w:tr>
      <w:tr>
        <w:tc>
          <w:tcPr>
            <w:tcW w:w="3288" w:type="dxa"/>
          </w:tcPr>
          <w:p>
            <w:pPr>
              <w:pStyle w:val="0"/>
              <w:jc w:val="both"/>
            </w:pPr>
            <w:r>
              <w:rPr>
                <w:sz w:val="20"/>
              </w:rPr>
              <w:t xml:space="preserve">новообразования</w:t>
            </w:r>
          </w:p>
        </w:tc>
        <w:tc>
          <w:tcPr>
            <w:tcW w:w="953" w:type="dxa"/>
          </w:tcPr>
          <w:p>
            <w:pPr>
              <w:pStyle w:val="0"/>
              <w:jc w:val="center"/>
            </w:pPr>
            <w:r>
              <w:rPr>
                <w:sz w:val="20"/>
              </w:rPr>
              <w:t xml:space="preserve">785</w:t>
            </w:r>
          </w:p>
        </w:tc>
        <w:tc>
          <w:tcPr>
            <w:tcW w:w="964" w:type="dxa"/>
          </w:tcPr>
          <w:p>
            <w:pPr>
              <w:pStyle w:val="0"/>
              <w:jc w:val="center"/>
            </w:pPr>
            <w:r>
              <w:rPr>
                <w:sz w:val="20"/>
              </w:rPr>
              <w:t xml:space="preserve">9,15</w:t>
            </w:r>
          </w:p>
        </w:tc>
        <w:tc>
          <w:tcPr>
            <w:tcW w:w="914" w:type="dxa"/>
          </w:tcPr>
          <w:p>
            <w:pPr>
              <w:pStyle w:val="0"/>
              <w:jc w:val="center"/>
            </w:pPr>
            <w:r>
              <w:rPr>
                <w:sz w:val="20"/>
              </w:rPr>
              <w:t xml:space="preserve">1146</w:t>
            </w:r>
          </w:p>
        </w:tc>
        <w:tc>
          <w:tcPr>
            <w:tcW w:w="1020" w:type="dxa"/>
          </w:tcPr>
          <w:p>
            <w:pPr>
              <w:pStyle w:val="0"/>
              <w:jc w:val="center"/>
            </w:pPr>
            <w:r>
              <w:rPr>
                <w:sz w:val="20"/>
              </w:rPr>
              <w:t xml:space="preserve">11,4</w:t>
            </w:r>
          </w:p>
        </w:tc>
        <w:tc>
          <w:tcPr>
            <w:tcW w:w="875" w:type="dxa"/>
          </w:tcPr>
          <w:p>
            <w:pPr>
              <w:pStyle w:val="0"/>
              <w:jc w:val="center"/>
            </w:pPr>
            <w:r>
              <w:rPr>
                <w:sz w:val="20"/>
              </w:rPr>
              <w:t xml:space="preserve">1164</w:t>
            </w:r>
          </w:p>
        </w:tc>
        <w:tc>
          <w:tcPr>
            <w:tcW w:w="1031" w:type="dxa"/>
          </w:tcPr>
          <w:p>
            <w:pPr>
              <w:pStyle w:val="0"/>
              <w:jc w:val="center"/>
            </w:pPr>
            <w:r>
              <w:rPr>
                <w:sz w:val="20"/>
              </w:rPr>
              <w:t xml:space="preserve">11,26</w:t>
            </w:r>
          </w:p>
        </w:tc>
      </w:tr>
      <w:tr>
        <w:tc>
          <w:tcPr>
            <w:tcW w:w="3288" w:type="dxa"/>
          </w:tcPr>
          <w:p>
            <w:pPr>
              <w:pStyle w:val="0"/>
              <w:jc w:val="both"/>
            </w:pPr>
            <w:r>
              <w:rPr>
                <w:sz w:val="20"/>
              </w:rPr>
              <w:t xml:space="preserve">болезни крови, кроветворных органов и отдельные нарушения, вовлекающие иммунный механизм</w:t>
            </w:r>
          </w:p>
        </w:tc>
        <w:tc>
          <w:tcPr>
            <w:tcW w:w="953" w:type="dxa"/>
          </w:tcPr>
          <w:p>
            <w:pPr>
              <w:pStyle w:val="0"/>
              <w:jc w:val="center"/>
            </w:pPr>
            <w:r>
              <w:rPr>
                <w:sz w:val="20"/>
              </w:rPr>
              <w:t xml:space="preserve">217</w:t>
            </w:r>
          </w:p>
        </w:tc>
        <w:tc>
          <w:tcPr>
            <w:tcW w:w="964" w:type="dxa"/>
          </w:tcPr>
          <w:p>
            <w:pPr>
              <w:pStyle w:val="0"/>
              <w:jc w:val="center"/>
            </w:pPr>
            <w:r>
              <w:rPr>
                <w:sz w:val="20"/>
              </w:rPr>
              <w:t xml:space="preserve">2,53</w:t>
            </w:r>
          </w:p>
        </w:tc>
        <w:tc>
          <w:tcPr>
            <w:tcW w:w="914" w:type="dxa"/>
          </w:tcPr>
          <w:p>
            <w:pPr>
              <w:pStyle w:val="0"/>
              <w:jc w:val="center"/>
            </w:pPr>
            <w:r>
              <w:rPr>
                <w:sz w:val="20"/>
              </w:rPr>
              <w:t xml:space="preserve">256</w:t>
            </w:r>
          </w:p>
        </w:tc>
        <w:tc>
          <w:tcPr>
            <w:tcW w:w="1020" w:type="dxa"/>
          </w:tcPr>
          <w:p>
            <w:pPr>
              <w:pStyle w:val="0"/>
              <w:jc w:val="center"/>
            </w:pPr>
            <w:r>
              <w:rPr>
                <w:sz w:val="20"/>
              </w:rPr>
              <w:t xml:space="preserve">2,55</w:t>
            </w:r>
          </w:p>
        </w:tc>
        <w:tc>
          <w:tcPr>
            <w:tcW w:w="875" w:type="dxa"/>
          </w:tcPr>
          <w:p>
            <w:pPr>
              <w:pStyle w:val="0"/>
              <w:jc w:val="center"/>
            </w:pPr>
            <w:r>
              <w:rPr>
                <w:sz w:val="20"/>
              </w:rPr>
              <w:t xml:space="preserve">283</w:t>
            </w:r>
          </w:p>
        </w:tc>
        <w:tc>
          <w:tcPr>
            <w:tcW w:w="1031" w:type="dxa"/>
          </w:tcPr>
          <w:p>
            <w:pPr>
              <w:pStyle w:val="0"/>
              <w:jc w:val="center"/>
            </w:pPr>
            <w:r>
              <w:rPr>
                <w:sz w:val="20"/>
              </w:rPr>
              <w:t xml:space="preserve">2,74</w:t>
            </w:r>
          </w:p>
        </w:tc>
      </w:tr>
      <w:tr>
        <w:tc>
          <w:tcPr>
            <w:tcW w:w="3288" w:type="dxa"/>
          </w:tcPr>
          <w:p>
            <w:pPr>
              <w:pStyle w:val="0"/>
              <w:jc w:val="both"/>
            </w:pPr>
            <w:r>
              <w:rPr>
                <w:sz w:val="20"/>
              </w:rPr>
              <w:t xml:space="preserve">болезни эндокринной системы, расстройства питания и нарушения обмена веществ</w:t>
            </w:r>
          </w:p>
        </w:tc>
        <w:tc>
          <w:tcPr>
            <w:tcW w:w="953" w:type="dxa"/>
          </w:tcPr>
          <w:p>
            <w:pPr>
              <w:pStyle w:val="0"/>
              <w:jc w:val="center"/>
            </w:pPr>
            <w:r>
              <w:rPr>
                <w:sz w:val="20"/>
              </w:rPr>
              <w:t xml:space="preserve">1311</w:t>
            </w:r>
          </w:p>
        </w:tc>
        <w:tc>
          <w:tcPr>
            <w:tcW w:w="964" w:type="dxa"/>
          </w:tcPr>
          <w:p>
            <w:pPr>
              <w:pStyle w:val="0"/>
              <w:jc w:val="center"/>
            </w:pPr>
            <w:r>
              <w:rPr>
                <w:sz w:val="20"/>
              </w:rPr>
              <w:t xml:space="preserve">15,28</w:t>
            </w:r>
          </w:p>
        </w:tc>
        <w:tc>
          <w:tcPr>
            <w:tcW w:w="914" w:type="dxa"/>
          </w:tcPr>
          <w:p>
            <w:pPr>
              <w:pStyle w:val="0"/>
              <w:jc w:val="center"/>
            </w:pPr>
            <w:r>
              <w:rPr>
                <w:sz w:val="20"/>
              </w:rPr>
              <w:t xml:space="preserve">1793</w:t>
            </w:r>
          </w:p>
        </w:tc>
        <w:tc>
          <w:tcPr>
            <w:tcW w:w="1020" w:type="dxa"/>
          </w:tcPr>
          <w:p>
            <w:pPr>
              <w:pStyle w:val="0"/>
              <w:jc w:val="center"/>
            </w:pPr>
            <w:r>
              <w:rPr>
                <w:sz w:val="20"/>
              </w:rPr>
              <w:t xml:space="preserve">17,83</w:t>
            </w:r>
          </w:p>
        </w:tc>
        <w:tc>
          <w:tcPr>
            <w:tcW w:w="875" w:type="dxa"/>
          </w:tcPr>
          <w:p>
            <w:pPr>
              <w:pStyle w:val="0"/>
              <w:jc w:val="center"/>
            </w:pPr>
            <w:r>
              <w:rPr>
                <w:sz w:val="20"/>
              </w:rPr>
              <w:t xml:space="preserve">2488</w:t>
            </w:r>
          </w:p>
        </w:tc>
        <w:tc>
          <w:tcPr>
            <w:tcW w:w="1031" w:type="dxa"/>
          </w:tcPr>
          <w:p>
            <w:pPr>
              <w:pStyle w:val="0"/>
              <w:jc w:val="center"/>
            </w:pPr>
            <w:r>
              <w:rPr>
                <w:sz w:val="20"/>
              </w:rPr>
              <w:t xml:space="preserve">24,07</w:t>
            </w:r>
          </w:p>
        </w:tc>
      </w:tr>
      <w:tr>
        <w:tc>
          <w:tcPr>
            <w:tcW w:w="3288" w:type="dxa"/>
          </w:tcPr>
          <w:p>
            <w:pPr>
              <w:pStyle w:val="0"/>
              <w:jc w:val="both"/>
            </w:pPr>
            <w:r>
              <w:rPr>
                <w:sz w:val="20"/>
              </w:rPr>
              <w:t xml:space="preserve">болезни нервной системы</w:t>
            </w:r>
          </w:p>
        </w:tc>
        <w:tc>
          <w:tcPr>
            <w:tcW w:w="953" w:type="dxa"/>
          </w:tcPr>
          <w:p>
            <w:pPr>
              <w:pStyle w:val="0"/>
              <w:jc w:val="center"/>
            </w:pPr>
            <w:r>
              <w:rPr>
                <w:sz w:val="20"/>
              </w:rPr>
              <w:t xml:space="preserve">3739</w:t>
            </w:r>
          </w:p>
        </w:tc>
        <w:tc>
          <w:tcPr>
            <w:tcW w:w="964" w:type="dxa"/>
          </w:tcPr>
          <w:p>
            <w:pPr>
              <w:pStyle w:val="0"/>
              <w:jc w:val="center"/>
            </w:pPr>
            <w:r>
              <w:rPr>
                <w:sz w:val="20"/>
              </w:rPr>
              <w:t xml:space="preserve">43,57</w:t>
            </w:r>
          </w:p>
        </w:tc>
        <w:tc>
          <w:tcPr>
            <w:tcW w:w="914" w:type="dxa"/>
          </w:tcPr>
          <w:p>
            <w:pPr>
              <w:pStyle w:val="0"/>
              <w:jc w:val="center"/>
            </w:pPr>
            <w:r>
              <w:rPr>
                <w:sz w:val="20"/>
              </w:rPr>
              <w:t xml:space="preserve">4828</w:t>
            </w:r>
          </w:p>
        </w:tc>
        <w:tc>
          <w:tcPr>
            <w:tcW w:w="1020" w:type="dxa"/>
          </w:tcPr>
          <w:p>
            <w:pPr>
              <w:pStyle w:val="0"/>
              <w:jc w:val="center"/>
            </w:pPr>
            <w:r>
              <w:rPr>
                <w:sz w:val="20"/>
              </w:rPr>
              <w:t xml:space="preserve">48,02</w:t>
            </w:r>
          </w:p>
        </w:tc>
        <w:tc>
          <w:tcPr>
            <w:tcW w:w="875" w:type="dxa"/>
          </w:tcPr>
          <w:p>
            <w:pPr>
              <w:pStyle w:val="0"/>
              <w:jc w:val="center"/>
            </w:pPr>
            <w:r>
              <w:rPr>
                <w:sz w:val="20"/>
              </w:rPr>
              <w:t xml:space="preserve">3782</w:t>
            </w:r>
          </w:p>
        </w:tc>
        <w:tc>
          <w:tcPr>
            <w:tcW w:w="1031" w:type="dxa"/>
          </w:tcPr>
          <w:p>
            <w:pPr>
              <w:pStyle w:val="0"/>
              <w:jc w:val="center"/>
            </w:pPr>
            <w:r>
              <w:rPr>
                <w:sz w:val="20"/>
              </w:rPr>
              <w:t xml:space="preserve">36,60</w:t>
            </w:r>
          </w:p>
        </w:tc>
      </w:tr>
      <w:tr>
        <w:tc>
          <w:tcPr>
            <w:tcW w:w="3288" w:type="dxa"/>
          </w:tcPr>
          <w:p>
            <w:pPr>
              <w:pStyle w:val="0"/>
              <w:jc w:val="both"/>
            </w:pPr>
            <w:r>
              <w:rPr>
                <w:sz w:val="20"/>
              </w:rPr>
              <w:t xml:space="preserve">болезни глаза и его придаточного аппарата</w:t>
            </w:r>
          </w:p>
        </w:tc>
        <w:tc>
          <w:tcPr>
            <w:tcW w:w="953" w:type="dxa"/>
          </w:tcPr>
          <w:p>
            <w:pPr>
              <w:pStyle w:val="0"/>
              <w:jc w:val="center"/>
            </w:pPr>
            <w:r>
              <w:rPr>
                <w:sz w:val="20"/>
              </w:rPr>
              <w:t xml:space="preserve">3936</w:t>
            </w:r>
          </w:p>
        </w:tc>
        <w:tc>
          <w:tcPr>
            <w:tcW w:w="964" w:type="dxa"/>
          </w:tcPr>
          <w:p>
            <w:pPr>
              <w:pStyle w:val="0"/>
              <w:jc w:val="center"/>
            </w:pPr>
            <w:r>
              <w:rPr>
                <w:sz w:val="20"/>
              </w:rPr>
              <w:t xml:space="preserve">45,86</w:t>
            </w:r>
          </w:p>
        </w:tc>
        <w:tc>
          <w:tcPr>
            <w:tcW w:w="914" w:type="dxa"/>
          </w:tcPr>
          <w:p>
            <w:pPr>
              <w:pStyle w:val="0"/>
              <w:jc w:val="center"/>
            </w:pPr>
            <w:r>
              <w:rPr>
                <w:sz w:val="20"/>
              </w:rPr>
              <w:t xml:space="preserve">4029</w:t>
            </w:r>
          </w:p>
        </w:tc>
        <w:tc>
          <w:tcPr>
            <w:tcW w:w="1020" w:type="dxa"/>
          </w:tcPr>
          <w:p>
            <w:pPr>
              <w:pStyle w:val="0"/>
              <w:jc w:val="center"/>
            </w:pPr>
            <w:r>
              <w:rPr>
                <w:sz w:val="20"/>
              </w:rPr>
              <w:t xml:space="preserve">40,04</w:t>
            </w:r>
          </w:p>
        </w:tc>
        <w:tc>
          <w:tcPr>
            <w:tcW w:w="875" w:type="dxa"/>
          </w:tcPr>
          <w:p>
            <w:pPr>
              <w:pStyle w:val="0"/>
              <w:jc w:val="center"/>
            </w:pPr>
            <w:r>
              <w:rPr>
                <w:sz w:val="20"/>
              </w:rPr>
              <w:t xml:space="preserve">4190</w:t>
            </w:r>
          </w:p>
        </w:tc>
        <w:tc>
          <w:tcPr>
            <w:tcW w:w="1031" w:type="dxa"/>
          </w:tcPr>
          <w:p>
            <w:pPr>
              <w:pStyle w:val="0"/>
              <w:jc w:val="center"/>
            </w:pPr>
            <w:r>
              <w:rPr>
                <w:sz w:val="20"/>
              </w:rPr>
              <w:t xml:space="preserve">40,54</w:t>
            </w:r>
          </w:p>
        </w:tc>
      </w:tr>
      <w:tr>
        <w:tc>
          <w:tcPr>
            <w:tcW w:w="3288" w:type="dxa"/>
          </w:tcPr>
          <w:p>
            <w:pPr>
              <w:pStyle w:val="0"/>
              <w:jc w:val="both"/>
            </w:pPr>
            <w:r>
              <w:rPr>
                <w:sz w:val="20"/>
              </w:rPr>
              <w:t xml:space="preserve">болезни уха и сосцевидного отростка</w:t>
            </w:r>
          </w:p>
        </w:tc>
        <w:tc>
          <w:tcPr>
            <w:tcW w:w="953" w:type="dxa"/>
          </w:tcPr>
          <w:p>
            <w:pPr>
              <w:pStyle w:val="0"/>
              <w:jc w:val="center"/>
            </w:pPr>
            <w:r>
              <w:rPr>
                <w:sz w:val="20"/>
              </w:rPr>
              <w:t xml:space="preserve">3048</w:t>
            </w:r>
          </w:p>
        </w:tc>
        <w:tc>
          <w:tcPr>
            <w:tcW w:w="964" w:type="dxa"/>
          </w:tcPr>
          <w:p>
            <w:pPr>
              <w:pStyle w:val="0"/>
              <w:jc w:val="center"/>
            </w:pPr>
            <w:r>
              <w:rPr>
                <w:sz w:val="20"/>
              </w:rPr>
              <w:t xml:space="preserve">35,51</w:t>
            </w:r>
          </w:p>
        </w:tc>
        <w:tc>
          <w:tcPr>
            <w:tcW w:w="914" w:type="dxa"/>
          </w:tcPr>
          <w:p>
            <w:pPr>
              <w:pStyle w:val="0"/>
              <w:jc w:val="center"/>
            </w:pPr>
            <w:r>
              <w:rPr>
                <w:sz w:val="20"/>
              </w:rPr>
              <w:t xml:space="preserve">3563</w:t>
            </w:r>
          </w:p>
        </w:tc>
        <w:tc>
          <w:tcPr>
            <w:tcW w:w="1020" w:type="dxa"/>
          </w:tcPr>
          <w:p>
            <w:pPr>
              <w:pStyle w:val="0"/>
              <w:jc w:val="center"/>
            </w:pPr>
            <w:r>
              <w:rPr>
                <w:sz w:val="20"/>
              </w:rPr>
              <w:t xml:space="preserve">35,44</w:t>
            </w:r>
          </w:p>
        </w:tc>
        <w:tc>
          <w:tcPr>
            <w:tcW w:w="875" w:type="dxa"/>
          </w:tcPr>
          <w:p>
            <w:pPr>
              <w:pStyle w:val="0"/>
              <w:jc w:val="center"/>
            </w:pPr>
            <w:r>
              <w:rPr>
                <w:sz w:val="20"/>
              </w:rPr>
              <w:t xml:space="preserve">2611</w:t>
            </w:r>
          </w:p>
        </w:tc>
        <w:tc>
          <w:tcPr>
            <w:tcW w:w="1031" w:type="dxa"/>
          </w:tcPr>
          <w:p>
            <w:pPr>
              <w:pStyle w:val="0"/>
              <w:jc w:val="center"/>
            </w:pPr>
            <w:r>
              <w:rPr>
                <w:sz w:val="20"/>
              </w:rPr>
              <w:t xml:space="preserve">25,26</w:t>
            </w:r>
          </w:p>
        </w:tc>
      </w:tr>
      <w:tr>
        <w:tc>
          <w:tcPr>
            <w:tcW w:w="3288" w:type="dxa"/>
          </w:tcPr>
          <w:p>
            <w:pPr>
              <w:pStyle w:val="0"/>
              <w:jc w:val="both"/>
            </w:pPr>
            <w:r>
              <w:rPr>
                <w:sz w:val="20"/>
              </w:rPr>
              <w:t xml:space="preserve">болезни системы кровообращения</w:t>
            </w:r>
          </w:p>
        </w:tc>
        <w:tc>
          <w:tcPr>
            <w:tcW w:w="953" w:type="dxa"/>
          </w:tcPr>
          <w:p>
            <w:pPr>
              <w:pStyle w:val="0"/>
              <w:jc w:val="center"/>
            </w:pPr>
            <w:r>
              <w:rPr>
                <w:sz w:val="20"/>
              </w:rPr>
              <w:t xml:space="preserve">481</w:t>
            </w:r>
          </w:p>
        </w:tc>
        <w:tc>
          <w:tcPr>
            <w:tcW w:w="964" w:type="dxa"/>
          </w:tcPr>
          <w:p>
            <w:pPr>
              <w:pStyle w:val="0"/>
              <w:jc w:val="center"/>
            </w:pPr>
            <w:r>
              <w:rPr>
                <w:sz w:val="20"/>
              </w:rPr>
              <w:t xml:space="preserve">5,60</w:t>
            </w:r>
          </w:p>
        </w:tc>
        <w:tc>
          <w:tcPr>
            <w:tcW w:w="914" w:type="dxa"/>
          </w:tcPr>
          <w:p>
            <w:pPr>
              <w:pStyle w:val="0"/>
              <w:jc w:val="center"/>
            </w:pPr>
            <w:r>
              <w:rPr>
                <w:sz w:val="20"/>
              </w:rPr>
              <w:t xml:space="preserve">928</w:t>
            </w:r>
          </w:p>
        </w:tc>
        <w:tc>
          <w:tcPr>
            <w:tcW w:w="1020" w:type="dxa"/>
          </w:tcPr>
          <w:p>
            <w:pPr>
              <w:pStyle w:val="0"/>
              <w:jc w:val="center"/>
            </w:pPr>
            <w:r>
              <w:rPr>
                <w:sz w:val="20"/>
              </w:rPr>
              <w:t xml:space="preserve">9,23</w:t>
            </w:r>
          </w:p>
        </w:tc>
        <w:tc>
          <w:tcPr>
            <w:tcW w:w="875" w:type="dxa"/>
          </w:tcPr>
          <w:p>
            <w:pPr>
              <w:pStyle w:val="0"/>
              <w:jc w:val="center"/>
            </w:pPr>
            <w:r>
              <w:rPr>
                <w:sz w:val="20"/>
              </w:rPr>
              <w:t xml:space="preserve">911</w:t>
            </w:r>
          </w:p>
        </w:tc>
        <w:tc>
          <w:tcPr>
            <w:tcW w:w="1031" w:type="dxa"/>
          </w:tcPr>
          <w:p>
            <w:pPr>
              <w:pStyle w:val="0"/>
              <w:jc w:val="center"/>
            </w:pPr>
            <w:r>
              <w:rPr>
                <w:sz w:val="20"/>
              </w:rPr>
              <w:t xml:space="preserve">8,81</w:t>
            </w:r>
          </w:p>
        </w:tc>
      </w:tr>
      <w:tr>
        <w:tc>
          <w:tcPr>
            <w:tcW w:w="3288" w:type="dxa"/>
          </w:tcPr>
          <w:p>
            <w:pPr>
              <w:pStyle w:val="0"/>
              <w:jc w:val="both"/>
            </w:pPr>
            <w:r>
              <w:rPr>
                <w:sz w:val="20"/>
              </w:rPr>
              <w:t xml:space="preserve">болезни органов дыхания</w:t>
            </w:r>
          </w:p>
        </w:tc>
        <w:tc>
          <w:tcPr>
            <w:tcW w:w="953" w:type="dxa"/>
          </w:tcPr>
          <w:p>
            <w:pPr>
              <w:pStyle w:val="0"/>
              <w:jc w:val="center"/>
            </w:pPr>
            <w:r>
              <w:rPr>
                <w:sz w:val="20"/>
              </w:rPr>
              <w:t xml:space="preserve">69628</w:t>
            </w:r>
          </w:p>
        </w:tc>
        <w:tc>
          <w:tcPr>
            <w:tcW w:w="964" w:type="dxa"/>
          </w:tcPr>
          <w:p>
            <w:pPr>
              <w:pStyle w:val="0"/>
              <w:jc w:val="center"/>
            </w:pPr>
            <w:r>
              <w:rPr>
                <w:sz w:val="20"/>
              </w:rPr>
              <w:t xml:space="preserve">811,30</w:t>
            </w:r>
          </w:p>
        </w:tc>
        <w:tc>
          <w:tcPr>
            <w:tcW w:w="914" w:type="dxa"/>
          </w:tcPr>
          <w:p>
            <w:pPr>
              <w:pStyle w:val="0"/>
              <w:jc w:val="center"/>
            </w:pPr>
            <w:r>
              <w:rPr>
                <w:sz w:val="20"/>
              </w:rPr>
              <w:t xml:space="preserve">73093</w:t>
            </w:r>
          </w:p>
        </w:tc>
        <w:tc>
          <w:tcPr>
            <w:tcW w:w="1020" w:type="dxa"/>
          </w:tcPr>
          <w:p>
            <w:pPr>
              <w:pStyle w:val="0"/>
              <w:jc w:val="center"/>
            </w:pPr>
            <w:r>
              <w:rPr>
                <w:sz w:val="20"/>
              </w:rPr>
              <w:t xml:space="preserve">727,0</w:t>
            </w:r>
          </w:p>
        </w:tc>
        <w:tc>
          <w:tcPr>
            <w:tcW w:w="875" w:type="dxa"/>
          </w:tcPr>
          <w:p>
            <w:pPr>
              <w:pStyle w:val="0"/>
              <w:jc w:val="center"/>
            </w:pPr>
            <w:r>
              <w:rPr>
                <w:sz w:val="20"/>
              </w:rPr>
              <w:t xml:space="preserve">66861</w:t>
            </w:r>
          </w:p>
        </w:tc>
        <w:tc>
          <w:tcPr>
            <w:tcW w:w="1031" w:type="dxa"/>
          </w:tcPr>
          <w:p>
            <w:pPr>
              <w:pStyle w:val="0"/>
              <w:jc w:val="center"/>
            </w:pPr>
            <w:r>
              <w:rPr>
                <w:sz w:val="20"/>
              </w:rPr>
              <w:t xml:space="preserve">646,96</w:t>
            </w:r>
          </w:p>
        </w:tc>
      </w:tr>
      <w:tr>
        <w:tc>
          <w:tcPr>
            <w:tcW w:w="3288" w:type="dxa"/>
          </w:tcPr>
          <w:p>
            <w:pPr>
              <w:pStyle w:val="0"/>
              <w:jc w:val="both"/>
            </w:pPr>
            <w:r>
              <w:rPr>
                <w:sz w:val="20"/>
              </w:rPr>
              <w:t xml:space="preserve">болезни органов пищеварения</w:t>
            </w:r>
          </w:p>
        </w:tc>
        <w:tc>
          <w:tcPr>
            <w:tcW w:w="953" w:type="dxa"/>
          </w:tcPr>
          <w:p>
            <w:pPr>
              <w:pStyle w:val="0"/>
              <w:jc w:val="center"/>
            </w:pPr>
            <w:r>
              <w:rPr>
                <w:sz w:val="20"/>
              </w:rPr>
              <w:t xml:space="preserve">2619</w:t>
            </w:r>
          </w:p>
        </w:tc>
        <w:tc>
          <w:tcPr>
            <w:tcW w:w="964" w:type="dxa"/>
          </w:tcPr>
          <w:p>
            <w:pPr>
              <w:pStyle w:val="0"/>
              <w:jc w:val="center"/>
            </w:pPr>
            <w:r>
              <w:rPr>
                <w:sz w:val="20"/>
              </w:rPr>
              <w:t xml:space="preserve">30,52</w:t>
            </w:r>
          </w:p>
        </w:tc>
        <w:tc>
          <w:tcPr>
            <w:tcW w:w="914" w:type="dxa"/>
          </w:tcPr>
          <w:p>
            <w:pPr>
              <w:pStyle w:val="0"/>
              <w:jc w:val="center"/>
            </w:pPr>
            <w:r>
              <w:rPr>
                <w:sz w:val="20"/>
              </w:rPr>
              <w:t xml:space="preserve">4769</w:t>
            </w:r>
          </w:p>
        </w:tc>
        <w:tc>
          <w:tcPr>
            <w:tcW w:w="1020" w:type="dxa"/>
          </w:tcPr>
          <w:p>
            <w:pPr>
              <w:pStyle w:val="0"/>
              <w:jc w:val="center"/>
            </w:pPr>
            <w:r>
              <w:rPr>
                <w:sz w:val="20"/>
              </w:rPr>
              <w:t xml:space="preserve">47,43</w:t>
            </w:r>
          </w:p>
        </w:tc>
        <w:tc>
          <w:tcPr>
            <w:tcW w:w="875" w:type="dxa"/>
          </w:tcPr>
          <w:p>
            <w:pPr>
              <w:pStyle w:val="0"/>
              <w:jc w:val="center"/>
            </w:pPr>
            <w:r>
              <w:rPr>
                <w:sz w:val="20"/>
              </w:rPr>
              <w:t xml:space="preserve">4011</w:t>
            </w:r>
          </w:p>
        </w:tc>
        <w:tc>
          <w:tcPr>
            <w:tcW w:w="1031" w:type="dxa"/>
          </w:tcPr>
          <w:p>
            <w:pPr>
              <w:pStyle w:val="0"/>
              <w:jc w:val="center"/>
            </w:pPr>
            <w:r>
              <w:rPr>
                <w:sz w:val="20"/>
              </w:rPr>
              <w:t xml:space="preserve">38,81</w:t>
            </w:r>
          </w:p>
        </w:tc>
      </w:tr>
      <w:tr>
        <w:tc>
          <w:tcPr>
            <w:tcW w:w="3288" w:type="dxa"/>
          </w:tcPr>
          <w:p>
            <w:pPr>
              <w:pStyle w:val="0"/>
              <w:jc w:val="both"/>
            </w:pPr>
            <w:r>
              <w:rPr>
                <w:sz w:val="20"/>
              </w:rPr>
              <w:t xml:space="preserve">болезни кожи и подкожной клетчатки</w:t>
            </w:r>
          </w:p>
        </w:tc>
        <w:tc>
          <w:tcPr>
            <w:tcW w:w="953" w:type="dxa"/>
          </w:tcPr>
          <w:p>
            <w:pPr>
              <w:pStyle w:val="0"/>
              <w:jc w:val="center"/>
            </w:pPr>
            <w:r>
              <w:rPr>
                <w:sz w:val="20"/>
              </w:rPr>
              <w:t xml:space="preserve">5607</w:t>
            </w:r>
          </w:p>
        </w:tc>
        <w:tc>
          <w:tcPr>
            <w:tcW w:w="964" w:type="dxa"/>
          </w:tcPr>
          <w:p>
            <w:pPr>
              <w:pStyle w:val="0"/>
              <w:jc w:val="center"/>
            </w:pPr>
            <w:r>
              <w:rPr>
                <w:sz w:val="20"/>
              </w:rPr>
              <w:t xml:space="preserve">65,33</w:t>
            </w:r>
          </w:p>
        </w:tc>
        <w:tc>
          <w:tcPr>
            <w:tcW w:w="914" w:type="dxa"/>
          </w:tcPr>
          <w:p>
            <w:pPr>
              <w:pStyle w:val="0"/>
              <w:jc w:val="center"/>
            </w:pPr>
            <w:r>
              <w:rPr>
                <w:sz w:val="20"/>
              </w:rPr>
              <w:t xml:space="preserve">6962</w:t>
            </w:r>
          </w:p>
        </w:tc>
        <w:tc>
          <w:tcPr>
            <w:tcW w:w="1020" w:type="dxa"/>
          </w:tcPr>
          <w:p>
            <w:pPr>
              <w:pStyle w:val="0"/>
              <w:jc w:val="center"/>
            </w:pPr>
            <w:r>
              <w:rPr>
                <w:sz w:val="20"/>
              </w:rPr>
              <w:t xml:space="preserve">69,25</w:t>
            </w:r>
          </w:p>
        </w:tc>
        <w:tc>
          <w:tcPr>
            <w:tcW w:w="875" w:type="dxa"/>
          </w:tcPr>
          <w:p>
            <w:pPr>
              <w:pStyle w:val="0"/>
              <w:jc w:val="center"/>
            </w:pPr>
            <w:r>
              <w:rPr>
                <w:sz w:val="20"/>
              </w:rPr>
              <w:t xml:space="preserve">8235</w:t>
            </w:r>
          </w:p>
        </w:tc>
        <w:tc>
          <w:tcPr>
            <w:tcW w:w="1031" w:type="dxa"/>
          </w:tcPr>
          <w:p>
            <w:pPr>
              <w:pStyle w:val="0"/>
              <w:jc w:val="center"/>
            </w:pPr>
            <w:r>
              <w:rPr>
                <w:sz w:val="20"/>
              </w:rPr>
              <w:t xml:space="preserve">79,68</w:t>
            </w:r>
          </w:p>
        </w:tc>
      </w:tr>
      <w:tr>
        <w:tc>
          <w:tcPr>
            <w:tcW w:w="3288" w:type="dxa"/>
          </w:tcPr>
          <w:p>
            <w:pPr>
              <w:pStyle w:val="0"/>
              <w:jc w:val="both"/>
            </w:pPr>
            <w:r>
              <w:rPr>
                <w:sz w:val="20"/>
              </w:rPr>
              <w:t xml:space="preserve">болезни костно-мышечной системы и соединительной ткани</w:t>
            </w:r>
          </w:p>
        </w:tc>
        <w:tc>
          <w:tcPr>
            <w:tcW w:w="953" w:type="dxa"/>
          </w:tcPr>
          <w:p>
            <w:pPr>
              <w:pStyle w:val="0"/>
              <w:jc w:val="center"/>
            </w:pPr>
            <w:r>
              <w:rPr>
                <w:sz w:val="20"/>
              </w:rPr>
              <w:t xml:space="preserve">4248</w:t>
            </w:r>
          </w:p>
        </w:tc>
        <w:tc>
          <w:tcPr>
            <w:tcW w:w="964" w:type="dxa"/>
          </w:tcPr>
          <w:p>
            <w:pPr>
              <w:pStyle w:val="0"/>
              <w:jc w:val="center"/>
            </w:pPr>
            <w:r>
              <w:rPr>
                <w:sz w:val="20"/>
              </w:rPr>
              <w:t xml:space="preserve">49,50</w:t>
            </w:r>
          </w:p>
        </w:tc>
        <w:tc>
          <w:tcPr>
            <w:tcW w:w="914" w:type="dxa"/>
          </w:tcPr>
          <w:p>
            <w:pPr>
              <w:pStyle w:val="0"/>
              <w:jc w:val="center"/>
            </w:pPr>
            <w:r>
              <w:rPr>
                <w:sz w:val="20"/>
              </w:rPr>
              <w:t xml:space="preserve">4911</w:t>
            </w:r>
          </w:p>
        </w:tc>
        <w:tc>
          <w:tcPr>
            <w:tcW w:w="1020" w:type="dxa"/>
          </w:tcPr>
          <w:p>
            <w:pPr>
              <w:pStyle w:val="0"/>
              <w:jc w:val="center"/>
            </w:pPr>
            <w:r>
              <w:rPr>
                <w:sz w:val="20"/>
              </w:rPr>
              <w:t xml:space="preserve">48,85</w:t>
            </w:r>
          </w:p>
        </w:tc>
        <w:tc>
          <w:tcPr>
            <w:tcW w:w="875" w:type="dxa"/>
          </w:tcPr>
          <w:p>
            <w:pPr>
              <w:pStyle w:val="0"/>
              <w:jc w:val="center"/>
            </w:pPr>
            <w:r>
              <w:rPr>
                <w:sz w:val="20"/>
              </w:rPr>
              <w:t xml:space="preserve">4708</w:t>
            </w:r>
          </w:p>
        </w:tc>
        <w:tc>
          <w:tcPr>
            <w:tcW w:w="1031" w:type="dxa"/>
          </w:tcPr>
          <w:p>
            <w:pPr>
              <w:pStyle w:val="0"/>
              <w:jc w:val="center"/>
            </w:pPr>
            <w:r>
              <w:rPr>
                <w:sz w:val="20"/>
              </w:rPr>
              <w:t xml:space="preserve">45,56</w:t>
            </w:r>
          </w:p>
        </w:tc>
      </w:tr>
      <w:tr>
        <w:tc>
          <w:tcPr>
            <w:tcW w:w="3288" w:type="dxa"/>
          </w:tcPr>
          <w:p>
            <w:pPr>
              <w:pStyle w:val="0"/>
              <w:jc w:val="both"/>
            </w:pPr>
            <w:r>
              <w:rPr>
                <w:sz w:val="20"/>
              </w:rPr>
              <w:t xml:space="preserve">болезни мочеполовой системы</w:t>
            </w:r>
          </w:p>
        </w:tc>
        <w:tc>
          <w:tcPr>
            <w:tcW w:w="953" w:type="dxa"/>
          </w:tcPr>
          <w:p>
            <w:pPr>
              <w:pStyle w:val="0"/>
              <w:jc w:val="center"/>
            </w:pPr>
            <w:r>
              <w:rPr>
                <w:sz w:val="20"/>
              </w:rPr>
              <w:t xml:space="preserve">2054</w:t>
            </w:r>
          </w:p>
        </w:tc>
        <w:tc>
          <w:tcPr>
            <w:tcW w:w="964" w:type="dxa"/>
          </w:tcPr>
          <w:p>
            <w:pPr>
              <w:pStyle w:val="0"/>
              <w:jc w:val="center"/>
            </w:pPr>
            <w:r>
              <w:rPr>
                <w:sz w:val="20"/>
              </w:rPr>
              <w:t xml:space="preserve">23,93</w:t>
            </w:r>
          </w:p>
        </w:tc>
        <w:tc>
          <w:tcPr>
            <w:tcW w:w="914" w:type="dxa"/>
          </w:tcPr>
          <w:p>
            <w:pPr>
              <w:pStyle w:val="0"/>
              <w:jc w:val="center"/>
            </w:pPr>
            <w:r>
              <w:rPr>
                <w:sz w:val="20"/>
              </w:rPr>
              <w:t xml:space="preserve">2895</w:t>
            </w:r>
          </w:p>
        </w:tc>
        <w:tc>
          <w:tcPr>
            <w:tcW w:w="1020" w:type="dxa"/>
          </w:tcPr>
          <w:p>
            <w:pPr>
              <w:pStyle w:val="0"/>
              <w:jc w:val="center"/>
            </w:pPr>
            <w:r>
              <w:rPr>
                <w:sz w:val="20"/>
              </w:rPr>
              <w:t xml:space="preserve">28,8</w:t>
            </w:r>
          </w:p>
        </w:tc>
        <w:tc>
          <w:tcPr>
            <w:tcW w:w="875" w:type="dxa"/>
          </w:tcPr>
          <w:p>
            <w:pPr>
              <w:pStyle w:val="0"/>
              <w:jc w:val="center"/>
            </w:pPr>
            <w:r>
              <w:rPr>
                <w:sz w:val="20"/>
              </w:rPr>
              <w:t xml:space="preserve">3297</w:t>
            </w:r>
          </w:p>
        </w:tc>
        <w:tc>
          <w:tcPr>
            <w:tcW w:w="1031" w:type="dxa"/>
          </w:tcPr>
          <w:p>
            <w:pPr>
              <w:pStyle w:val="0"/>
              <w:jc w:val="center"/>
            </w:pPr>
            <w:r>
              <w:rPr>
                <w:sz w:val="20"/>
              </w:rPr>
              <w:t xml:space="preserve">31,90</w:t>
            </w:r>
          </w:p>
        </w:tc>
      </w:tr>
      <w:tr>
        <w:tc>
          <w:tcPr>
            <w:tcW w:w="3288" w:type="dxa"/>
          </w:tcPr>
          <w:p>
            <w:pPr>
              <w:pStyle w:val="0"/>
              <w:jc w:val="both"/>
            </w:pPr>
            <w:r>
              <w:rPr>
                <w:sz w:val="20"/>
              </w:rPr>
              <w:t xml:space="preserve">отдельные состояния, возникающие в перинатальном периоде</w:t>
            </w:r>
          </w:p>
        </w:tc>
        <w:tc>
          <w:tcPr>
            <w:tcW w:w="953" w:type="dxa"/>
          </w:tcPr>
          <w:p>
            <w:pPr>
              <w:pStyle w:val="0"/>
              <w:jc w:val="center"/>
            </w:pPr>
            <w:r>
              <w:rPr>
                <w:sz w:val="20"/>
              </w:rPr>
              <w:t xml:space="preserve">1986</w:t>
            </w:r>
          </w:p>
        </w:tc>
        <w:tc>
          <w:tcPr>
            <w:tcW w:w="964" w:type="dxa"/>
          </w:tcPr>
          <w:p>
            <w:pPr>
              <w:pStyle w:val="0"/>
              <w:jc w:val="center"/>
            </w:pPr>
            <w:r>
              <w:rPr>
                <w:sz w:val="20"/>
              </w:rPr>
              <w:t xml:space="preserve">23,14</w:t>
            </w:r>
          </w:p>
        </w:tc>
        <w:tc>
          <w:tcPr>
            <w:tcW w:w="914" w:type="dxa"/>
          </w:tcPr>
          <w:p>
            <w:pPr>
              <w:pStyle w:val="0"/>
              <w:jc w:val="center"/>
            </w:pPr>
            <w:r>
              <w:rPr>
                <w:sz w:val="20"/>
              </w:rPr>
              <w:t xml:space="preserve">2222</w:t>
            </w:r>
          </w:p>
        </w:tc>
        <w:tc>
          <w:tcPr>
            <w:tcW w:w="1020" w:type="dxa"/>
          </w:tcPr>
          <w:p>
            <w:pPr>
              <w:pStyle w:val="0"/>
              <w:jc w:val="center"/>
            </w:pPr>
            <w:r>
              <w:rPr>
                <w:sz w:val="20"/>
              </w:rPr>
              <w:t xml:space="preserve">22,10</w:t>
            </w:r>
          </w:p>
        </w:tc>
        <w:tc>
          <w:tcPr>
            <w:tcW w:w="875" w:type="dxa"/>
          </w:tcPr>
          <w:p>
            <w:pPr>
              <w:pStyle w:val="0"/>
              <w:jc w:val="center"/>
            </w:pPr>
            <w:r>
              <w:rPr>
                <w:sz w:val="20"/>
              </w:rPr>
              <w:t xml:space="preserve">1801</w:t>
            </w:r>
          </w:p>
        </w:tc>
        <w:tc>
          <w:tcPr>
            <w:tcW w:w="1031" w:type="dxa"/>
          </w:tcPr>
          <w:p>
            <w:pPr>
              <w:pStyle w:val="0"/>
              <w:jc w:val="center"/>
            </w:pPr>
            <w:r>
              <w:rPr>
                <w:sz w:val="20"/>
              </w:rPr>
              <w:t xml:space="preserve">17,43</w:t>
            </w:r>
          </w:p>
        </w:tc>
      </w:tr>
      <w:tr>
        <w:tc>
          <w:tcPr>
            <w:tcW w:w="3288" w:type="dxa"/>
          </w:tcPr>
          <w:p>
            <w:pPr>
              <w:pStyle w:val="0"/>
              <w:jc w:val="both"/>
            </w:pPr>
            <w:r>
              <w:rPr>
                <w:sz w:val="20"/>
              </w:rPr>
              <w:t xml:space="preserve">врожденные аномалии (пороки развития)</w:t>
            </w:r>
          </w:p>
        </w:tc>
        <w:tc>
          <w:tcPr>
            <w:tcW w:w="953" w:type="dxa"/>
          </w:tcPr>
          <w:p>
            <w:pPr>
              <w:pStyle w:val="0"/>
              <w:jc w:val="center"/>
            </w:pPr>
            <w:r>
              <w:rPr>
                <w:sz w:val="20"/>
              </w:rPr>
              <w:t xml:space="preserve">1614</w:t>
            </w:r>
          </w:p>
        </w:tc>
        <w:tc>
          <w:tcPr>
            <w:tcW w:w="964" w:type="dxa"/>
          </w:tcPr>
          <w:p>
            <w:pPr>
              <w:pStyle w:val="0"/>
              <w:jc w:val="center"/>
            </w:pPr>
            <w:r>
              <w:rPr>
                <w:sz w:val="20"/>
              </w:rPr>
              <w:t xml:space="preserve">18,81</w:t>
            </w:r>
          </w:p>
        </w:tc>
        <w:tc>
          <w:tcPr>
            <w:tcW w:w="914" w:type="dxa"/>
          </w:tcPr>
          <w:p>
            <w:pPr>
              <w:pStyle w:val="0"/>
              <w:jc w:val="center"/>
            </w:pPr>
            <w:r>
              <w:rPr>
                <w:sz w:val="20"/>
              </w:rPr>
              <w:t xml:space="preserve">3005</w:t>
            </w:r>
          </w:p>
        </w:tc>
        <w:tc>
          <w:tcPr>
            <w:tcW w:w="1020" w:type="dxa"/>
          </w:tcPr>
          <w:p>
            <w:pPr>
              <w:pStyle w:val="0"/>
              <w:jc w:val="center"/>
            </w:pPr>
            <w:r>
              <w:rPr>
                <w:sz w:val="20"/>
              </w:rPr>
              <w:t xml:space="preserve">29,88</w:t>
            </w:r>
          </w:p>
        </w:tc>
        <w:tc>
          <w:tcPr>
            <w:tcW w:w="875" w:type="dxa"/>
          </w:tcPr>
          <w:p>
            <w:pPr>
              <w:pStyle w:val="0"/>
              <w:jc w:val="center"/>
            </w:pPr>
            <w:r>
              <w:rPr>
                <w:sz w:val="20"/>
              </w:rPr>
              <w:t xml:space="preserve">3176</w:t>
            </w:r>
          </w:p>
        </w:tc>
        <w:tc>
          <w:tcPr>
            <w:tcW w:w="1031" w:type="dxa"/>
          </w:tcPr>
          <w:p>
            <w:pPr>
              <w:pStyle w:val="0"/>
              <w:jc w:val="center"/>
            </w:pPr>
            <w:r>
              <w:rPr>
                <w:sz w:val="20"/>
              </w:rPr>
              <w:t xml:space="preserve">30,73</w:t>
            </w:r>
          </w:p>
        </w:tc>
      </w:tr>
      <w:tr>
        <w:tc>
          <w:tcPr>
            <w:tcW w:w="3288" w:type="dxa"/>
          </w:tcPr>
          <w:p>
            <w:pPr>
              <w:pStyle w:val="0"/>
              <w:jc w:val="both"/>
            </w:pPr>
            <w:r>
              <w:rPr>
                <w:sz w:val="20"/>
              </w:rPr>
              <w:t xml:space="preserve">травмы, отравления и некоторые другие последствия внешних причин</w:t>
            </w:r>
          </w:p>
        </w:tc>
        <w:tc>
          <w:tcPr>
            <w:tcW w:w="953" w:type="dxa"/>
          </w:tcPr>
          <w:p>
            <w:pPr>
              <w:pStyle w:val="0"/>
              <w:jc w:val="center"/>
            </w:pPr>
            <w:r>
              <w:rPr>
                <w:sz w:val="20"/>
              </w:rPr>
              <w:t xml:space="preserve">13936</w:t>
            </w:r>
          </w:p>
        </w:tc>
        <w:tc>
          <w:tcPr>
            <w:tcW w:w="964" w:type="dxa"/>
          </w:tcPr>
          <w:p>
            <w:pPr>
              <w:pStyle w:val="0"/>
              <w:jc w:val="center"/>
            </w:pPr>
            <w:r>
              <w:rPr>
                <w:sz w:val="20"/>
              </w:rPr>
              <w:t xml:space="preserve">162,38</w:t>
            </w:r>
          </w:p>
        </w:tc>
        <w:tc>
          <w:tcPr>
            <w:tcW w:w="914" w:type="dxa"/>
          </w:tcPr>
          <w:p>
            <w:pPr>
              <w:pStyle w:val="0"/>
              <w:jc w:val="center"/>
            </w:pPr>
            <w:r>
              <w:rPr>
                <w:sz w:val="20"/>
              </w:rPr>
              <w:t xml:space="preserve">14601</w:t>
            </w:r>
          </w:p>
        </w:tc>
        <w:tc>
          <w:tcPr>
            <w:tcW w:w="1020" w:type="dxa"/>
          </w:tcPr>
          <w:p>
            <w:pPr>
              <w:pStyle w:val="0"/>
              <w:jc w:val="center"/>
            </w:pPr>
            <w:r>
              <w:rPr>
                <w:sz w:val="20"/>
              </w:rPr>
              <w:t xml:space="preserve">145,22</w:t>
            </w:r>
          </w:p>
        </w:tc>
        <w:tc>
          <w:tcPr>
            <w:tcW w:w="875" w:type="dxa"/>
          </w:tcPr>
          <w:p>
            <w:pPr>
              <w:pStyle w:val="0"/>
              <w:jc w:val="center"/>
            </w:pPr>
            <w:r>
              <w:rPr>
                <w:sz w:val="20"/>
              </w:rPr>
              <w:t xml:space="preserve">13801</w:t>
            </w:r>
          </w:p>
        </w:tc>
        <w:tc>
          <w:tcPr>
            <w:tcW w:w="1031" w:type="dxa"/>
          </w:tcPr>
          <w:p>
            <w:pPr>
              <w:pStyle w:val="0"/>
              <w:jc w:val="center"/>
            </w:pPr>
            <w:r>
              <w:rPr>
                <w:sz w:val="20"/>
              </w:rPr>
              <w:t xml:space="preserve">133,54</w:t>
            </w:r>
          </w:p>
        </w:tc>
      </w:tr>
      <w:tr>
        <w:tc>
          <w:tcPr>
            <w:tcW w:w="3288" w:type="dxa"/>
          </w:tcPr>
          <w:p>
            <w:pPr>
              <w:pStyle w:val="0"/>
              <w:jc w:val="both"/>
            </w:pPr>
            <w:r>
              <w:rPr>
                <w:sz w:val="20"/>
              </w:rPr>
              <w:t xml:space="preserve">COVID-19</w:t>
            </w:r>
          </w:p>
        </w:tc>
        <w:tc>
          <w:tcPr>
            <w:tcW w:w="953" w:type="dxa"/>
          </w:tcPr>
          <w:p>
            <w:pPr>
              <w:pStyle w:val="0"/>
              <w:jc w:val="center"/>
            </w:pPr>
            <w:r>
              <w:rPr>
                <w:sz w:val="20"/>
              </w:rPr>
              <w:t xml:space="preserve">-</w:t>
            </w:r>
          </w:p>
        </w:tc>
        <w:tc>
          <w:tcPr>
            <w:tcW w:w="964" w:type="dxa"/>
          </w:tcPr>
          <w:p>
            <w:pPr>
              <w:pStyle w:val="0"/>
              <w:jc w:val="center"/>
            </w:pPr>
            <w:r>
              <w:rPr>
                <w:sz w:val="20"/>
              </w:rPr>
              <w:t xml:space="preserve">-</w:t>
            </w:r>
          </w:p>
        </w:tc>
        <w:tc>
          <w:tcPr>
            <w:tcW w:w="914" w:type="dxa"/>
          </w:tcPr>
          <w:p>
            <w:pPr>
              <w:pStyle w:val="0"/>
              <w:jc w:val="center"/>
            </w:pPr>
            <w:r>
              <w:rPr>
                <w:sz w:val="20"/>
              </w:rPr>
              <w:t xml:space="preserve">1876</w:t>
            </w:r>
          </w:p>
        </w:tc>
        <w:tc>
          <w:tcPr>
            <w:tcW w:w="1020" w:type="dxa"/>
          </w:tcPr>
          <w:p>
            <w:pPr>
              <w:pStyle w:val="0"/>
              <w:jc w:val="center"/>
            </w:pPr>
            <w:r>
              <w:rPr>
                <w:sz w:val="20"/>
              </w:rPr>
              <w:t xml:space="preserve">18,66</w:t>
            </w:r>
          </w:p>
        </w:tc>
        <w:tc>
          <w:tcPr>
            <w:tcW w:w="875" w:type="dxa"/>
          </w:tcPr>
          <w:p>
            <w:pPr>
              <w:pStyle w:val="0"/>
              <w:jc w:val="center"/>
            </w:pPr>
            <w:r>
              <w:rPr>
                <w:sz w:val="20"/>
              </w:rPr>
              <w:t xml:space="preserve">3753</w:t>
            </w:r>
          </w:p>
        </w:tc>
        <w:tc>
          <w:tcPr>
            <w:tcW w:w="1031" w:type="dxa"/>
          </w:tcPr>
          <w:p>
            <w:pPr>
              <w:pStyle w:val="0"/>
              <w:jc w:val="center"/>
            </w:pPr>
            <w:r>
              <w:rPr>
                <w:sz w:val="20"/>
              </w:rPr>
              <w:t xml:space="preserve">36,31</w:t>
            </w:r>
          </w:p>
        </w:tc>
      </w:tr>
    </w:tbl>
    <w:p>
      <w:pPr>
        <w:pStyle w:val="0"/>
        <w:ind w:firstLine="540"/>
        <w:jc w:val="both"/>
      </w:pPr>
      <w:r>
        <w:rPr>
          <w:sz w:val="20"/>
        </w:rPr>
      </w:r>
    </w:p>
    <w:p>
      <w:pPr>
        <w:pStyle w:val="0"/>
        <w:ind w:firstLine="540"/>
        <w:jc w:val="both"/>
      </w:pPr>
      <w:r>
        <w:rPr>
          <w:sz w:val="20"/>
        </w:rPr>
        <w:t xml:space="preserve">Таким образом, в динамике отмечается стабилизация общей заболеваемости детского населения с тенденцией к уменьшению показателя в динамике на 2%, на первом месте - заболевания органов дыхания за счет ОРВИ с тенденцией к уменьшению показателя в динамике - 7,5%, на втором - травмы, отравления и некоторые другие последствия внешних причин с тенденцией к уменьшению показателя в динамике - 6,6%, на третьем - заболевания кожи и подкожной клетчатки с тенденцией к уменьшению показателя в динамике - 1%. Также отмечается рост заболеваемости в группе болезней эндокринной и костно-мышечной системы, а в группе заболеваний перинатального периода и нервной системы - тенденция к уменьшению показателя.</w:t>
      </w:r>
    </w:p>
    <w:p>
      <w:pPr>
        <w:pStyle w:val="0"/>
        <w:spacing w:before="200" w:line-rule="auto"/>
        <w:ind w:firstLine="540"/>
        <w:jc w:val="both"/>
      </w:pPr>
      <w:r>
        <w:rPr>
          <w:sz w:val="20"/>
        </w:rPr>
        <w:t xml:space="preserve">Число диспансерных больных на конец 2022 года на 1000 населения соответствующего возраста (далее - на 1000 детей) выглядит следующим образом: дети (0 - 17 лет) - 41114 (397,8 на 1000 детей) (2021 год - 29300 (291,42 на 1000 детей), 2020 год - 13467 (156,86 на 1000 детей), 2019 год - 10531 (126,25 на 1000 детей), в том числе: дети (0 - 14 лет) - 31386 (357,3 на 1000 детей) (2021 год - 23093 (268,71 на 1000 детей), 2020 год - 10186 (138,1 на 1000 детей), 2019 год - 8030 (110,6 на 1000 детей)), подростки (15 - 17 лет) - 9728 (627,7 на 1000 детей) (2021 год - 6207 (425,1 на 1000 детей), 2020 год - 3281 (271,9 на 1000 детей), 2019 год - 2507 (230,5 на 1000 детей)).</w:t>
      </w:r>
    </w:p>
    <w:p>
      <w:pPr>
        <w:pStyle w:val="0"/>
        <w:jc w:val="both"/>
      </w:pPr>
      <w:r>
        <w:rPr>
          <w:sz w:val="20"/>
        </w:rPr>
      </w:r>
    </w:p>
    <w:p>
      <w:pPr>
        <w:pStyle w:val="0"/>
        <w:jc w:val="right"/>
      </w:pPr>
      <w:r>
        <w:rPr>
          <w:sz w:val="20"/>
        </w:rPr>
        <w:t xml:space="preserve">Таблица 5</w:t>
      </w:r>
    </w:p>
    <w:p>
      <w:pPr>
        <w:pStyle w:val="0"/>
        <w:jc w:val="right"/>
      </w:pPr>
      <w:r>
        <w:rPr>
          <w:sz w:val="20"/>
        </w:rPr>
      </w:r>
    </w:p>
    <w:p>
      <w:pPr>
        <w:pStyle w:val="0"/>
        <w:jc w:val="center"/>
      </w:pPr>
      <w:r>
        <w:rPr>
          <w:sz w:val="20"/>
        </w:rPr>
        <w:t xml:space="preserve">Группы диспансерного наблюдения населения детского возраста</w:t>
      </w:r>
    </w:p>
    <w:p>
      <w:pPr>
        <w:pStyle w:val="0"/>
        <w:jc w:val="center"/>
      </w:pPr>
      <w:r>
        <w:rPr>
          <w:sz w:val="20"/>
        </w:rPr>
        <w:t xml:space="preserve">по основным нозологическим группам за период 2019 - 2022 гг.</w:t>
      </w:r>
    </w:p>
    <w:p>
      <w:pPr>
        <w:pStyle w:val="0"/>
        <w:jc w:val="center"/>
      </w:pPr>
      <w:r>
        <w:rPr>
          <w:sz w:val="20"/>
        </w:rPr>
        <w:t xml:space="preserve">(по данным Росстата, ЕМИСС)</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794"/>
        <w:gridCol w:w="737"/>
        <w:gridCol w:w="850"/>
        <w:gridCol w:w="794"/>
        <w:gridCol w:w="737"/>
        <w:gridCol w:w="850"/>
        <w:gridCol w:w="794"/>
        <w:gridCol w:w="850"/>
        <w:gridCol w:w="764"/>
        <w:gridCol w:w="737"/>
        <w:gridCol w:w="850"/>
        <w:gridCol w:w="794"/>
      </w:tblGrid>
      <w:tr>
        <w:tc>
          <w:tcPr>
            <w:tcW w:w="2268" w:type="dxa"/>
            <w:vMerge w:val="restart"/>
          </w:tcPr>
          <w:p>
            <w:pPr>
              <w:pStyle w:val="0"/>
              <w:jc w:val="center"/>
            </w:pPr>
            <w:r>
              <w:rPr>
                <w:sz w:val="20"/>
              </w:rPr>
              <w:t xml:space="preserve">Состоит под диспансерным наблюдением на конец отчетного года по нозологиям</w:t>
            </w:r>
          </w:p>
        </w:tc>
        <w:tc>
          <w:tcPr>
            <w:gridSpan w:val="3"/>
            <w:tcW w:w="2381" w:type="dxa"/>
          </w:tcPr>
          <w:p>
            <w:pPr>
              <w:pStyle w:val="0"/>
              <w:jc w:val="center"/>
            </w:pPr>
            <w:r>
              <w:rPr>
                <w:sz w:val="20"/>
              </w:rPr>
              <w:t xml:space="preserve">2019 год</w:t>
            </w:r>
          </w:p>
        </w:tc>
        <w:tc>
          <w:tcPr>
            <w:gridSpan w:val="3"/>
            <w:tcW w:w="2381" w:type="dxa"/>
          </w:tcPr>
          <w:p>
            <w:pPr>
              <w:pStyle w:val="0"/>
              <w:jc w:val="center"/>
            </w:pPr>
            <w:r>
              <w:rPr>
                <w:sz w:val="20"/>
              </w:rPr>
              <w:t xml:space="preserve">2020 год</w:t>
            </w:r>
          </w:p>
        </w:tc>
        <w:tc>
          <w:tcPr>
            <w:gridSpan w:val="3"/>
            <w:tcW w:w="2408" w:type="dxa"/>
          </w:tcPr>
          <w:p>
            <w:pPr>
              <w:pStyle w:val="0"/>
              <w:jc w:val="center"/>
            </w:pPr>
            <w:r>
              <w:rPr>
                <w:sz w:val="20"/>
              </w:rPr>
              <w:t xml:space="preserve">2021 год</w:t>
            </w:r>
          </w:p>
        </w:tc>
        <w:tc>
          <w:tcPr>
            <w:gridSpan w:val="3"/>
            <w:tcW w:w="2381" w:type="dxa"/>
          </w:tcPr>
          <w:p>
            <w:pPr>
              <w:pStyle w:val="0"/>
              <w:jc w:val="center"/>
            </w:pPr>
            <w:r>
              <w:rPr>
                <w:sz w:val="20"/>
              </w:rPr>
              <w:t xml:space="preserve">2022 год</w:t>
            </w:r>
          </w:p>
        </w:tc>
      </w:tr>
      <w:tr>
        <w:tc>
          <w:tcPr>
            <w:vMerge w:val="continue"/>
          </w:tcPr>
          <w:p/>
        </w:tc>
        <w:tc>
          <w:tcPr>
            <w:tcW w:w="794" w:type="dxa"/>
          </w:tcPr>
          <w:p>
            <w:pPr>
              <w:pStyle w:val="0"/>
              <w:jc w:val="center"/>
            </w:pPr>
            <w:r>
              <w:rPr>
                <w:sz w:val="20"/>
              </w:rPr>
              <w:t xml:space="preserve">Всего</w:t>
            </w:r>
          </w:p>
        </w:tc>
        <w:tc>
          <w:tcPr>
            <w:tcW w:w="737" w:type="dxa"/>
          </w:tcPr>
          <w:p>
            <w:pPr>
              <w:pStyle w:val="0"/>
              <w:jc w:val="center"/>
            </w:pPr>
            <w:r>
              <w:rPr>
                <w:sz w:val="20"/>
              </w:rPr>
              <w:t xml:space="preserve">Дети</w:t>
            </w:r>
          </w:p>
        </w:tc>
        <w:tc>
          <w:tcPr>
            <w:tcW w:w="850" w:type="dxa"/>
          </w:tcPr>
          <w:p>
            <w:pPr>
              <w:pStyle w:val="0"/>
              <w:jc w:val="center"/>
            </w:pPr>
            <w:r>
              <w:rPr>
                <w:sz w:val="20"/>
              </w:rPr>
              <w:t xml:space="preserve">Подростки</w:t>
            </w:r>
          </w:p>
        </w:tc>
        <w:tc>
          <w:tcPr>
            <w:tcW w:w="794" w:type="dxa"/>
          </w:tcPr>
          <w:p>
            <w:pPr>
              <w:pStyle w:val="0"/>
              <w:jc w:val="center"/>
            </w:pPr>
            <w:r>
              <w:rPr>
                <w:sz w:val="20"/>
              </w:rPr>
              <w:t xml:space="preserve">Всего</w:t>
            </w:r>
          </w:p>
        </w:tc>
        <w:tc>
          <w:tcPr>
            <w:tcW w:w="737" w:type="dxa"/>
          </w:tcPr>
          <w:p>
            <w:pPr>
              <w:pStyle w:val="0"/>
              <w:jc w:val="center"/>
            </w:pPr>
            <w:r>
              <w:rPr>
                <w:sz w:val="20"/>
              </w:rPr>
              <w:t xml:space="preserve">Дети</w:t>
            </w:r>
          </w:p>
        </w:tc>
        <w:tc>
          <w:tcPr>
            <w:tcW w:w="850" w:type="dxa"/>
          </w:tcPr>
          <w:p>
            <w:pPr>
              <w:pStyle w:val="0"/>
              <w:jc w:val="center"/>
            </w:pPr>
            <w:r>
              <w:rPr>
                <w:sz w:val="20"/>
              </w:rPr>
              <w:t xml:space="preserve">Подростки</w:t>
            </w:r>
          </w:p>
        </w:tc>
        <w:tc>
          <w:tcPr>
            <w:tcW w:w="794" w:type="dxa"/>
          </w:tcPr>
          <w:p>
            <w:pPr>
              <w:pStyle w:val="0"/>
              <w:jc w:val="center"/>
            </w:pPr>
            <w:r>
              <w:rPr>
                <w:sz w:val="20"/>
              </w:rPr>
              <w:t xml:space="preserve">Всего</w:t>
            </w:r>
          </w:p>
        </w:tc>
        <w:tc>
          <w:tcPr>
            <w:tcW w:w="850" w:type="dxa"/>
          </w:tcPr>
          <w:p>
            <w:pPr>
              <w:pStyle w:val="0"/>
              <w:jc w:val="center"/>
            </w:pPr>
            <w:r>
              <w:rPr>
                <w:sz w:val="20"/>
              </w:rPr>
              <w:t xml:space="preserve">Дети</w:t>
            </w:r>
          </w:p>
        </w:tc>
        <w:tc>
          <w:tcPr>
            <w:tcW w:w="764" w:type="dxa"/>
          </w:tcPr>
          <w:p>
            <w:pPr>
              <w:pStyle w:val="0"/>
              <w:jc w:val="center"/>
            </w:pPr>
            <w:r>
              <w:rPr>
                <w:sz w:val="20"/>
              </w:rPr>
              <w:t xml:space="preserve">Подростки</w:t>
            </w:r>
          </w:p>
        </w:tc>
        <w:tc>
          <w:tcPr>
            <w:tcW w:w="737" w:type="dxa"/>
          </w:tcPr>
          <w:p>
            <w:pPr>
              <w:pStyle w:val="0"/>
              <w:jc w:val="center"/>
            </w:pPr>
            <w:r>
              <w:rPr>
                <w:sz w:val="20"/>
              </w:rPr>
              <w:t xml:space="preserve">Всего</w:t>
            </w:r>
          </w:p>
        </w:tc>
        <w:tc>
          <w:tcPr>
            <w:tcW w:w="850" w:type="dxa"/>
          </w:tcPr>
          <w:p>
            <w:pPr>
              <w:pStyle w:val="0"/>
              <w:jc w:val="center"/>
            </w:pPr>
            <w:r>
              <w:rPr>
                <w:sz w:val="20"/>
              </w:rPr>
              <w:t xml:space="preserve">Дети</w:t>
            </w:r>
          </w:p>
        </w:tc>
        <w:tc>
          <w:tcPr>
            <w:tcW w:w="794" w:type="dxa"/>
          </w:tcPr>
          <w:p>
            <w:pPr>
              <w:pStyle w:val="0"/>
              <w:jc w:val="center"/>
            </w:pPr>
            <w:r>
              <w:rPr>
                <w:sz w:val="20"/>
              </w:rPr>
              <w:t xml:space="preserve">Подростки</w:t>
            </w:r>
          </w:p>
        </w:tc>
      </w:tr>
      <w:tr>
        <w:tc>
          <w:tcPr>
            <w:tcW w:w="2268" w:type="dxa"/>
          </w:tcPr>
          <w:p>
            <w:pPr>
              <w:pStyle w:val="0"/>
              <w:jc w:val="both"/>
            </w:pPr>
            <w:r>
              <w:rPr>
                <w:sz w:val="20"/>
              </w:rPr>
              <w:t xml:space="preserve">Всего</w:t>
            </w:r>
          </w:p>
        </w:tc>
        <w:tc>
          <w:tcPr>
            <w:tcW w:w="794" w:type="dxa"/>
          </w:tcPr>
          <w:p>
            <w:pPr>
              <w:pStyle w:val="0"/>
              <w:jc w:val="center"/>
            </w:pPr>
            <w:r>
              <w:rPr>
                <w:sz w:val="20"/>
              </w:rPr>
              <w:t xml:space="preserve">10531</w:t>
            </w:r>
          </w:p>
        </w:tc>
        <w:tc>
          <w:tcPr>
            <w:tcW w:w="737" w:type="dxa"/>
          </w:tcPr>
          <w:p>
            <w:pPr>
              <w:pStyle w:val="0"/>
              <w:jc w:val="center"/>
            </w:pPr>
            <w:r>
              <w:rPr>
                <w:sz w:val="20"/>
              </w:rPr>
              <w:t xml:space="preserve">8030</w:t>
            </w:r>
          </w:p>
        </w:tc>
        <w:tc>
          <w:tcPr>
            <w:tcW w:w="850" w:type="dxa"/>
          </w:tcPr>
          <w:p>
            <w:pPr>
              <w:pStyle w:val="0"/>
              <w:jc w:val="center"/>
            </w:pPr>
            <w:r>
              <w:rPr>
                <w:sz w:val="20"/>
              </w:rPr>
              <w:t xml:space="preserve">2507</w:t>
            </w:r>
          </w:p>
        </w:tc>
        <w:tc>
          <w:tcPr>
            <w:tcW w:w="794" w:type="dxa"/>
          </w:tcPr>
          <w:p>
            <w:pPr>
              <w:pStyle w:val="0"/>
              <w:jc w:val="center"/>
            </w:pPr>
            <w:r>
              <w:rPr>
                <w:sz w:val="20"/>
              </w:rPr>
              <w:t xml:space="preserve">13467</w:t>
            </w:r>
          </w:p>
        </w:tc>
        <w:tc>
          <w:tcPr>
            <w:tcW w:w="737" w:type="dxa"/>
          </w:tcPr>
          <w:p>
            <w:pPr>
              <w:pStyle w:val="0"/>
              <w:jc w:val="center"/>
            </w:pPr>
            <w:r>
              <w:rPr>
                <w:sz w:val="20"/>
              </w:rPr>
              <w:t xml:space="preserve">10186</w:t>
            </w:r>
          </w:p>
        </w:tc>
        <w:tc>
          <w:tcPr>
            <w:tcW w:w="850" w:type="dxa"/>
          </w:tcPr>
          <w:p>
            <w:pPr>
              <w:pStyle w:val="0"/>
              <w:jc w:val="center"/>
            </w:pPr>
            <w:r>
              <w:rPr>
                <w:sz w:val="20"/>
              </w:rPr>
              <w:t xml:space="preserve">3281</w:t>
            </w:r>
          </w:p>
        </w:tc>
        <w:tc>
          <w:tcPr>
            <w:tcW w:w="794" w:type="dxa"/>
          </w:tcPr>
          <w:p>
            <w:pPr>
              <w:pStyle w:val="0"/>
              <w:jc w:val="center"/>
            </w:pPr>
            <w:r>
              <w:rPr>
                <w:sz w:val="20"/>
              </w:rPr>
              <w:t xml:space="preserve">29300</w:t>
            </w:r>
          </w:p>
        </w:tc>
        <w:tc>
          <w:tcPr>
            <w:tcW w:w="850" w:type="dxa"/>
          </w:tcPr>
          <w:p>
            <w:pPr>
              <w:pStyle w:val="0"/>
              <w:jc w:val="center"/>
            </w:pPr>
            <w:r>
              <w:rPr>
                <w:sz w:val="20"/>
              </w:rPr>
              <w:t xml:space="preserve">23093</w:t>
            </w:r>
          </w:p>
        </w:tc>
        <w:tc>
          <w:tcPr>
            <w:tcW w:w="764" w:type="dxa"/>
          </w:tcPr>
          <w:p>
            <w:pPr>
              <w:pStyle w:val="0"/>
              <w:jc w:val="center"/>
            </w:pPr>
            <w:r>
              <w:rPr>
                <w:sz w:val="20"/>
              </w:rPr>
              <w:t xml:space="preserve">6207</w:t>
            </w:r>
          </w:p>
        </w:tc>
        <w:tc>
          <w:tcPr>
            <w:tcW w:w="737" w:type="dxa"/>
          </w:tcPr>
          <w:p>
            <w:pPr>
              <w:pStyle w:val="0"/>
              <w:jc w:val="center"/>
            </w:pPr>
            <w:r>
              <w:rPr>
                <w:sz w:val="20"/>
              </w:rPr>
              <w:t xml:space="preserve">28079</w:t>
            </w:r>
          </w:p>
        </w:tc>
        <w:tc>
          <w:tcPr>
            <w:tcW w:w="850" w:type="dxa"/>
          </w:tcPr>
          <w:p>
            <w:pPr>
              <w:pStyle w:val="0"/>
              <w:jc w:val="center"/>
            </w:pPr>
            <w:r>
              <w:rPr>
                <w:sz w:val="20"/>
              </w:rPr>
              <w:t xml:space="preserve">21910</w:t>
            </w:r>
          </w:p>
        </w:tc>
        <w:tc>
          <w:tcPr>
            <w:tcW w:w="794" w:type="dxa"/>
          </w:tcPr>
          <w:p>
            <w:pPr>
              <w:pStyle w:val="0"/>
              <w:jc w:val="center"/>
            </w:pPr>
            <w:r>
              <w:rPr>
                <w:sz w:val="20"/>
              </w:rPr>
              <w:t xml:space="preserve">6169</w:t>
            </w:r>
          </w:p>
        </w:tc>
      </w:tr>
      <w:tr>
        <w:tc>
          <w:tcPr>
            <w:tcW w:w="2268" w:type="dxa"/>
          </w:tcPr>
          <w:p>
            <w:pPr>
              <w:pStyle w:val="0"/>
              <w:jc w:val="both"/>
            </w:pPr>
            <w:r>
              <w:rPr>
                <w:sz w:val="20"/>
              </w:rPr>
              <w:t xml:space="preserve">Психиатрия</w:t>
            </w:r>
          </w:p>
        </w:tc>
        <w:tc>
          <w:tcPr>
            <w:tcW w:w="794" w:type="dxa"/>
          </w:tcPr>
          <w:p>
            <w:pPr>
              <w:pStyle w:val="0"/>
              <w:jc w:val="center"/>
            </w:pPr>
            <w:r>
              <w:rPr>
                <w:sz w:val="20"/>
              </w:rPr>
              <w:t xml:space="preserve">530</w:t>
            </w:r>
          </w:p>
        </w:tc>
        <w:tc>
          <w:tcPr>
            <w:tcW w:w="737" w:type="dxa"/>
          </w:tcPr>
          <w:p>
            <w:pPr>
              <w:pStyle w:val="0"/>
              <w:jc w:val="center"/>
            </w:pPr>
            <w:r>
              <w:rPr>
                <w:sz w:val="20"/>
              </w:rPr>
              <w:t xml:space="preserve">409</w:t>
            </w:r>
          </w:p>
        </w:tc>
        <w:tc>
          <w:tcPr>
            <w:tcW w:w="850" w:type="dxa"/>
          </w:tcPr>
          <w:p>
            <w:pPr>
              <w:pStyle w:val="0"/>
              <w:jc w:val="center"/>
            </w:pPr>
            <w:r>
              <w:rPr>
                <w:sz w:val="20"/>
              </w:rPr>
              <w:t xml:space="preserve">121</w:t>
            </w:r>
          </w:p>
        </w:tc>
        <w:tc>
          <w:tcPr>
            <w:tcW w:w="794" w:type="dxa"/>
          </w:tcPr>
          <w:p>
            <w:pPr>
              <w:pStyle w:val="0"/>
              <w:jc w:val="center"/>
            </w:pPr>
            <w:r>
              <w:rPr>
                <w:sz w:val="20"/>
              </w:rPr>
              <w:t xml:space="preserve">533</w:t>
            </w:r>
          </w:p>
        </w:tc>
        <w:tc>
          <w:tcPr>
            <w:tcW w:w="737" w:type="dxa"/>
          </w:tcPr>
          <w:p>
            <w:pPr>
              <w:pStyle w:val="0"/>
              <w:jc w:val="center"/>
            </w:pPr>
            <w:r>
              <w:rPr>
                <w:sz w:val="20"/>
              </w:rPr>
              <w:t xml:space="preserve">420</w:t>
            </w:r>
          </w:p>
        </w:tc>
        <w:tc>
          <w:tcPr>
            <w:tcW w:w="850" w:type="dxa"/>
          </w:tcPr>
          <w:p>
            <w:pPr>
              <w:pStyle w:val="0"/>
              <w:jc w:val="center"/>
            </w:pPr>
            <w:r>
              <w:rPr>
                <w:sz w:val="20"/>
              </w:rPr>
              <w:t xml:space="preserve">113</w:t>
            </w:r>
          </w:p>
        </w:tc>
        <w:tc>
          <w:tcPr>
            <w:tcW w:w="794" w:type="dxa"/>
          </w:tcPr>
          <w:p>
            <w:pPr>
              <w:pStyle w:val="0"/>
              <w:jc w:val="center"/>
            </w:pPr>
            <w:r>
              <w:rPr>
                <w:sz w:val="20"/>
              </w:rPr>
              <w:t xml:space="preserve">560</w:t>
            </w:r>
          </w:p>
        </w:tc>
        <w:tc>
          <w:tcPr>
            <w:tcW w:w="850" w:type="dxa"/>
          </w:tcPr>
          <w:p>
            <w:pPr>
              <w:pStyle w:val="0"/>
              <w:jc w:val="center"/>
            </w:pPr>
            <w:r>
              <w:rPr>
                <w:sz w:val="20"/>
              </w:rPr>
              <w:t xml:space="preserve">435</w:t>
            </w:r>
          </w:p>
        </w:tc>
        <w:tc>
          <w:tcPr>
            <w:tcW w:w="764" w:type="dxa"/>
          </w:tcPr>
          <w:p>
            <w:pPr>
              <w:pStyle w:val="0"/>
              <w:jc w:val="center"/>
            </w:pPr>
            <w:r>
              <w:rPr>
                <w:sz w:val="20"/>
              </w:rPr>
              <w:t xml:space="preserve">125</w:t>
            </w:r>
          </w:p>
        </w:tc>
        <w:tc>
          <w:tcPr>
            <w:tcW w:w="737" w:type="dxa"/>
          </w:tcPr>
          <w:p>
            <w:pPr>
              <w:pStyle w:val="0"/>
              <w:jc w:val="center"/>
            </w:pPr>
            <w:r>
              <w:rPr>
                <w:sz w:val="20"/>
              </w:rPr>
              <w:t xml:space="preserve">607</w:t>
            </w:r>
          </w:p>
        </w:tc>
        <w:tc>
          <w:tcPr>
            <w:tcW w:w="850" w:type="dxa"/>
          </w:tcPr>
          <w:p>
            <w:pPr>
              <w:pStyle w:val="0"/>
              <w:jc w:val="center"/>
            </w:pPr>
            <w:r>
              <w:rPr>
                <w:sz w:val="20"/>
              </w:rPr>
              <w:t xml:space="preserve">481</w:t>
            </w:r>
          </w:p>
        </w:tc>
        <w:tc>
          <w:tcPr>
            <w:tcW w:w="794" w:type="dxa"/>
          </w:tcPr>
          <w:p>
            <w:pPr>
              <w:pStyle w:val="0"/>
              <w:jc w:val="center"/>
            </w:pPr>
            <w:r>
              <w:rPr>
                <w:sz w:val="20"/>
              </w:rPr>
              <w:t xml:space="preserve">126</w:t>
            </w:r>
          </w:p>
        </w:tc>
      </w:tr>
      <w:tr>
        <w:tc>
          <w:tcPr>
            <w:tcW w:w="2268" w:type="dxa"/>
          </w:tcPr>
          <w:p>
            <w:pPr>
              <w:pStyle w:val="0"/>
              <w:jc w:val="both"/>
            </w:pPr>
            <w:r>
              <w:rPr>
                <w:sz w:val="20"/>
              </w:rPr>
              <w:t xml:space="preserve">Заболевания нервной системы, в т.ч.:</w:t>
            </w:r>
          </w:p>
        </w:tc>
        <w:tc>
          <w:tcPr>
            <w:tcW w:w="794" w:type="dxa"/>
          </w:tcPr>
          <w:p>
            <w:pPr>
              <w:pStyle w:val="0"/>
              <w:jc w:val="center"/>
            </w:pPr>
            <w:r>
              <w:rPr>
                <w:sz w:val="20"/>
              </w:rPr>
              <w:t xml:space="preserve">1193</w:t>
            </w:r>
          </w:p>
        </w:tc>
        <w:tc>
          <w:tcPr>
            <w:tcW w:w="737" w:type="dxa"/>
          </w:tcPr>
          <w:p>
            <w:pPr>
              <w:pStyle w:val="0"/>
              <w:jc w:val="center"/>
            </w:pPr>
            <w:r>
              <w:rPr>
                <w:sz w:val="20"/>
              </w:rPr>
              <w:t xml:space="preserve">948</w:t>
            </w:r>
          </w:p>
        </w:tc>
        <w:tc>
          <w:tcPr>
            <w:tcW w:w="850" w:type="dxa"/>
          </w:tcPr>
          <w:p>
            <w:pPr>
              <w:pStyle w:val="0"/>
              <w:jc w:val="center"/>
            </w:pPr>
            <w:r>
              <w:rPr>
                <w:sz w:val="20"/>
              </w:rPr>
              <w:t xml:space="preserve">245</w:t>
            </w:r>
          </w:p>
        </w:tc>
        <w:tc>
          <w:tcPr>
            <w:tcW w:w="794" w:type="dxa"/>
          </w:tcPr>
          <w:p>
            <w:pPr>
              <w:pStyle w:val="0"/>
              <w:jc w:val="center"/>
            </w:pPr>
            <w:r>
              <w:rPr>
                <w:sz w:val="20"/>
              </w:rPr>
              <w:t xml:space="preserve">1588</w:t>
            </w:r>
          </w:p>
        </w:tc>
        <w:tc>
          <w:tcPr>
            <w:tcW w:w="737" w:type="dxa"/>
          </w:tcPr>
          <w:p>
            <w:pPr>
              <w:pStyle w:val="0"/>
              <w:jc w:val="center"/>
            </w:pPr>
            <w:r>
              <w:rPr>
                <w:sz w:val="20"/>
              </w:rPr>
              <w:t xml:space="preserve">1199</w:t>
            </w:r>
          </w:p>
        </w:tc>
        <w:tc>
          <w:tcPr>
            <w:tcW w:w="850" w:type="dxa"/>
          </w:tcPr>
          <w:p>
            <w:pPr>
              <w:pStyle w:val="0"/>
              <w:jc w:val="center"/>
            </w:pPr>
            <w:r>
              <w:rPr>
                <w:sz w:val="20"/>
              </w:rPr>
              <w:t xml:space="preserve">389</w:t>
            </w:r>
          </w:p>
        </w:tc>
        <w:tc>
          <w:tcPr>
            <w:tcW w:w="794" w:type="dxa"/>
          </w:tcPr>
          <w:p>
            <w:pPr>
              <w:pStyle w:val="0"/>
              <w:jc w:val="center"/>
            </w:pPr>
            <w:r>
              <w:rPr>
                <w:sz w:val="20"/>
              </w:rPr>
              <w:t xml:space="preserve">1794</w:t>
            </w:r>
          </w:p>
        </w:tc>
        <w:tc>
          <w:tcPr>
            <w:tcW w:w="850" w:type="dxa"/>
          </w:tcPr>
          <w:p>
            <w:pPr>
              <w:pStyle w:val="0"/>
              <w:jc w:val="center"/>
            </w:pPr>
            <w:r>
              <w:rPr>
                <w:sz w:val="20"/>
              </w:rPr>
              <w:t xml:space="preserve">1363</w:t>
            </w:r>
          </w:p>
        </w:tc>
        <w:tc>
          <w:tcPr>
            <w:tcW w:w="764" w:type="dxa"/>
          </w:tcPr>
          <w:p>
            <w:pPr>
              <w:pStyle w:val="0"/>
              <w:jc w:val="center"/>
            </w:pPr>
            <w:r>
              <w:rPr>
                <w:sz w:val="20"/>
              </w:rPr>
              <w:t xml:space="preserve">431</w:t>
            </w:r>
          </w:p>
        </w:tc>
        <w:tc>
          <w:tcPr>
            <w:tcW w:w="737" w:type="dxa"/>
          </w:tcPr>
          <w:p>
            <w:pPr>
              <w:pStyle w:val="0"/>
              <w:jc w:val="center"/>
            </w:pPr>
            <w:r>
              <w:rPr>
                <w:sz w:val="20"/>
              </w:rPr>
              <w:t xml:space="preserve">1807</w:t>
            </w:r>
          </w:p>
        </w:tc>
        <w:tc>
          <w:tcPr>
            <w:tcW w:w="850" w:type="dxa"/>
          </w:tcPr>
          <w:p>
            <w:pPr>
              <w:pStyle w:val="0"/>
              <w:jc w:val="center"/>
            </w:pPr>
            <w:r>
              <w:rPr>
                <w:sz w:val="20"/>
              </w:rPr>
              <w:t xml:space="preserve">1449</w:t>
            </w:r>
          </w:p>
        </w:tc>
        <w:tc>
          <w:tcPr>
            <w:tcW w:w="794" w:type="dxa"/>
          </w:tcPr>
          <w:p>
            <w:pPr>
              <w:pStyle w:val="0"/>
              <w:jc w:val="center"/>
            </w:pPr>
            <w:r>
              <w:rPr>
                <w:sz w:val="20"/>
              </w:rPr>
              <w:t xml:space="preserve">358</w:t>
            </w:r>
          </w:p>
        </w:tc>
      </w:tr>
      <w:tr>
        <w:tc>
          <w:tcPr>
            <w:tcW w:w="2268" w:type="dxa"/>
          </w:tcPr>
          <w:p>
            <w:pPr>
              <w:pStyle w:val="0"/>
              <w:jc w:val="both"/>
            </w:pPr>
            <w:r>
              <w:rPr>
                <w:sz w:val="20"/>
              </w:rPr>
              <w:t xml:space="preserve">ДЦП и др. паралитические расстройства</w:t>
            </w:r>
          </w:p>
        </w:tc>
        <w:tc>
          <w:tcPr>
            <w:tcW w:w="794" w:type="dxa"/>
          </w:tcPr>
          <w:p>
            <w:pPr>
              <w:pStyle w:val="0"/>
              <w:jc w:val="center"/>
            </w:pPr>
            <w:r>
              <w:rPr>
                <w:sz w:val="20"/>
              </w:rPr>
              <w:t xml:space="preserve">338</w:t>
            </w:r>
          </w:p>
        </w:tc>
        <w:tc>
          <w:tcPr>
            <w:tcW w:w="737" w:type="dxa"/>
          </w:tcPr>
          <w:p>
            <w:pPr>
              <w:pStyle w:val="0"/>
              <w:jc w:val="center"/>
            </w:pPr>
            <w:r>
              <w:rPr>
                <w:sz w:val="20"/>
              </w:rPr>
              <w:t xml:space="preserve">282</w:t>
            </w:r>
          </w:p>
        </w:tc>
        <w:tc>
          <w:tcPr>
            <w:tcW w:w="850" w:type="dxa"/>
          </w:tcPr>
          <w:p>
            <w:pPr>
              <w:pStyle w:val="0"/>
              <w:jc w:val="center"/>
            </w:pPr>
            <w:r>
              <w:rPr>
                <w:sz w:val="20"/>
              </w:rPr>
              <w:t xml:space="preserve">56</w:t>
            </w:r>
          </w:p>
        </w:tc>
        <w:tc>
          <w:tcPr>
            <w:tcW w:w="794" w:type="dxa"/>
          </w:tcPr>
          <w:p>
            <w:pPr>
              <w:pStyle w:val="0"/>
              <w:jc w:val="center"/>
            </w:pPr>
            <w:r>
              <w:rPr>
                <w:sz w:val="20"/>
              </w:rPr>
              <w:t xml:space="preserve">381</w:t>
            </w:r>
          </w:p>
        </w:tc>
        <w:tc>
          <w:tcPr>
            <w:tcW w:w="737" w:type="dxa"/>
          </w:tcPr>
          <w:p>
            <w:pPr>
              <w:pStyle w:val="0"/>
              <w:jc w:val="center"/>
            </w:pPr>
            <w:r>
              <w:rPr>
                <w:sz w:val="20"/>
              </w:rPr>
              <w:t xml:space="preserve">309</w:t>
            </w:r>
          </w:p>
        </w:tc>
        <w:tc>
          <w:tcPr>
            <w:tcW w:w="850" w:type="dxa"/>
          </w:tcPr>
          <w:p>
            <w:pPr>
              <w:pStyle w:val="0"/>
              <w:jc w:val="center"/>
            </w:pPr>
            <w:r>
              <w:rPr>
                <w:sz w:val="20"/>
              </w:rPr>
              <w:t xml:space="preserve">72</w:t>
            </w:r>
          </w:p>
        </w:tc>
        <w:tc>
          <w:tcPr>
            <w:tcW w:w="794" w:type="dxa"/>
          </w:tcPr>
          <w:p>
            <w:pPr>
              <w:pStyle w:val="0"/>
              <w:jc w:val="center"/>
            </w:pPr>
            <w:r>
              <w:rPr>
                <w:sz w:val="20"/>
              </w:rPr>
              <w:t xml:space="preserve">416</w:t>
            </w:r>
          </w:p>
        </w:tc>
        <w:tc>
          <w:tcPr>
            <w:tcW w:w="850" w:type="dxa"/>
          </w:tcPr>
          <w:p>
            <w:pPr>
              <w:pStyle w:val="0"/>
              <w:jc w:val="center"/>
            </w:pPr>
            <w:r>
              <w:rPr>
                <w:sz w:val="20"/>
              </w:rPr>
              <w:t xml:space="preserve">336</w:t>
            </w:r>
          </w:p>
        </w:tc>
        <w:tc>
          <w:tcPr>
            <w:tcW w:w="764" w:type="dxa"/>
          </w:tcPr>
          <w:p>
            <w:pPr>
              <w:pStyle w:val="0"/>
              <w:jc w:val="center"/>
            </w:pPr>
            <w:r>
              <w:rPr>
                <w:sz w:val="20"/>
              </w:rPr>
              <w:t xml:space="preserve">80</w:t>
            </w:r>
          </w:p>
        </w:tc>
        <w:tc>
          <w:tcPr>
            <w:tcW w:w="737" w:type="dxa"/>
          </w:tcPr>
          <w:p>
            <w:pPr>
              <w:pStyle w:val="0"/>
              <w:jc w:val="center"/>
            </w:pPr>
            <w:r>
              <w:rPr>
                <w:sz w:val="20"/>
              </w:rPr>
              <w:t xml:space="preserve">385</w:t>
            </w:r>
          </w:p>
        </w:tc>
        <w:tc>
          <w:tcPr>
            <w:tcW w:w="850" w:type="dxa"/>
          </w:tcPr>
          <w:p>
            <w:pPr>
              <w:pStyle w:val="0"/>
              <w:jc w:val="center"/>
            </w:pPr>
            <w:r>
              <w:rPr>
                <w:sz w:val="20"/>
              </w:rPr>
              <w:t xml:space="preserve">346</w:t>
            </w:r>
          </w:p>
        </w:tc>
        <w:tc>
          <w:tcPr>
            <w:tcW w:w="794" w:type="dxa"/>
          </w:tcPr>
          <w:p>
            <w:pPr>
              <w:pStyle w:val="0"/>
              <w:jc w:val="center"/>
            </w:pPr>
            <w:r>
              <w:rPr>
                <w:sz w:val="20"/>
              </w:rPr>
              <w:t xml:space="preserve">39</w:t>
            </w:r>
          </w:p>
        </w:tc>
      </w:tr>
      <w:tr>
        <w:tc>
          <w:tcPr>
            <w:tcW w:w="2268" w:type="dxa"/>
          </w:tcPr>
          <w:p>
            <w:pPr>
              <w:pStyle w:val="0"/>
              <w:jc w:val="both"/>
            </w:pPr>
            <w:r>
              <w:rPr>
                <w:sz w:val="20"/>
              </w:rPr>
              <w:t xml:space="preserve">болезни органов дыхания, в т.ч.:</w:t>
            </w:r>
          </w:p>
        </w:tc>
        <w:tc>
          <w:tcPr>
            <w:tcW w:w="794" w:type="dxa"/>
          </w:tcPr>
          <w:p>
            <w:pPr>
              <w:pStyle w:val="0"/>
              <w:jc w:val="center"/>
            </w:pPr>
            <w:r>
              <w:rPr>
                <w:sz w:val="20"/>
              </w:rPr>
              <w:t xml:space="preserve">1011</w:t>
            </w:r>
          </w:p>
        </w:tc>
        <w:tc>
          <w:tcPr>
            <w:tcW w:w="737" w:type="dxa"/>
          </w:tcPr>
          <w:p>
            <w:pPr>
              <w:pStyle w:val="0"/>
              <w:jc w:val="center"/>
            </w:pPr>
            <w:r>
              <w:rPr>
                <w:sz w:val="20"/>
              </w:rPr>
              <w:t xml:space="preserve">823</w:t>
            </w:r>
          </w:p>
        </w:tc>
        <w:tc>
          <w:tcPr>
            <w:tcW w:w="850" w:type="dxa"/>
          </w:tcPr>
          <w:p>
            <w:pPr>
              <w:pStyle w:val="0"/>
              <w:jc w:val="center"/>
            </w:pPr>
            <w:r>
              <w:rPr>
                <w:sz w:val="20"/>
              </w:rPr>
              <w:t xml:space="preserve">188</w:t>
            </w:r>
          </w:p>
        </w:tc>
        <w:tc>
          <w:tcPr>
            <w:tcW w:w="794" w:type="dxa"/>
          </w:tcPr>
          <w:p>
            <w:pPr>
              <w:pStyle w:val="0"/>
              <w:jc w:val="center"/>
            </w:pPr>
            <w:r>
              <w:rPr>
                <w:sz w:val="20"/>
              </w:rPr>
              <w:t xml:space="preserve">944</w:t>
            </w:r>
          </w:p>
        </w:tc>
        <w:tc>
          <w:tcPr>
            <w:tcW w:w="737" w:type="dxa"/>
          </w:tcPr>
          <w:p>
            <w:pPr>
              <w:pStyle w:val="0"/>
              <w:jc w:val="center"/>
            </w:pPr>
            <w:r>
              <w:rPr>
                <w:sz w:val="20"/>
              </w:rPr>
              <w:t xml:space="preserve">759</w:t>
            </w:r>
          </w:p>
        </w:tc>
        <w:tc>
          <w:tcPr>
            <w:tcW w:w="850" w:type="dxa"/>
          </w:tcPr>
          <w:p>
            <w:pPr>
              <w:pStyle w:val="0"/>
              <w:jc w:val="center"/>
            </w:pPr>
            <w:r>
              <w:rPr>
                <w:sz w:val="20"/>
              </w:rPr>
              <w:t xml:space="preserve">185</w:t>
            </w:r>
          </w:p>
        </w:tc>
        <w:tc>
          <w:tcPr>
            <w:tcW w:w="794" w:type="dxa"/>
          </w:tcPr>
          <w:p>
            <w:pPr>
              <w:pStyle w:val="0"/>
              <w:jc w:val="center"/>
            </w:pPr>
            <w:r>
              <w:rPr>
                <w:sz w:val="20"/>
              </w:rPr>
              <w:t xml:space="preserve">1513</w:t>
            </w:r>
          </w:p>
        </w:tc>
        <w:tc>
          <w:tcPr>
            <w:tcW w:w="850" w:type="dxa"/>
          </w:tcPr>
          <w:p>
            <w:pPr>
              <w:pStyle w:val="0"/>
              <w:jc w:val="center"/>
            </w:pPr>
            <w:r>
              <w:rPr>
                <w:sz w:val="20"/>
              </w:rPr>
              <w:t xml:space="preserve">1268</w:t>
            </w:r>
          </w:p>
        </w:tc>
        <w:tc>
          <w:tcPr>
            <w:tcW w:w="764" w:type="dxa"/>
          </w:tcPr>
          <w:p>
            <w:pPr>
              <w:pStyle w:val="0"/>
              <w:jc w:val="center"/>
            </w:pPr>
            <w:r>
              <w:rPr>
                <w:sz w:val="20"/>
              </w:rPr>
              <w:t xml:space="preserve">245</w:t>
            </w:r>
          </w:p>
        </w:tc>
        <w:tc>
          <w:tcPr>
            <w:tcW w:w="737" w:type="dxa"/>
          </w:tcPr>
          <w:p>
            <w:pPr>
              <w:pStyle w:val="0"/>
              <w:jc w:val="center"/>
            </w:pPr>
            <w:r>
              <w:rPr>
                <w:sz w:val="20"/>
              </w:rPr>
              <w:t xml:space="preserve">1475</w:t>
            </w:r>
          </w:p>
        </w:tc>
        <w:tc>
          <w:tcPr>
            <w:tcW w:w="850" w:type="dxa"/>
          </w:tcPr>
          <w:p>
            <w:pPr>
              <w:pStyle w:val="0"/>
              <w:jc w:val="center"/>
            </w:pPr>
            <w:r>
              <w:rPr>
                <w:sz w:val="20"/>
              </w:rPr>
              <w:t xml:space="preserve">1231</w:t>
            </w:r>
          </w:p>
        </w:tc>
        <w:tc>
          <w:tcPr>
            <w:tcW w:w="794" w:type="dxa"/>
          </w:tcPr>
          <w:p>
            <w:pPr>
              <w:pStyle w:val="0"/>
              <w:jc w:val="center"/>
            </w:pPr>
            <w:r>
              <w:rPr>
                <w:sz w:val="20"/>
              </w:rPr>
              <w:t xml:space="preserve">244</w:t>
            </w:r>
          </w:p>
        </w:tc>
      </w:tr>
      <w:tr>
        <w:tc>
          <w:tcPr>
            <w:tcW w:w="2268" w:type="dxa"/>
          </w:tcPr>
          <w:p>
            <w:pPr>
              <w:pStyle w:val="0"/>
              <w:jc w:val="both"/>
            </w:pPr>
            <w:r>
              <w:rPr>
                <w:sz w:val="20"/>
              </w:rPr>
              <w:t xml:space="preserve">после пневмонии</w:t>
            </w:r>
          </w:p>
        </w:tc>
        <w:tc>
          <w:tcPr>
            <w:tcW w:w="794" w:type="dxa"/>
          </w:tcPr>
          <w:p>
            <w:pPr>
              <w:pStyle w:val="0"/>
              <w:jc w:val="center"/>
            </w:pPr>
            <w:r>
              <w:rPr>
                <w:sz w:val="20"/>
              </w:rPr>
              <w:t xml:space="preserve">383</w:t>
            </w:r>
          </w:p>
        </w:tc>
        <w:tc>
          <w:tcPr>
            <w:tcW w:w="737" w:type="dxa"/>
          </w:tcPr>
          <w:p>
            <w:pPr>
              <w:pStyle w:val="0"/>
              <w:jc w:val="center"/>
            </w:pPr>
            <w:r>
              <w:rPr>
                <w:sz w:val="20"/>
              </w:rPr>
              <w:t xml:space="preserve">339</w:t>
            </w:r>
          </w:p>
        </w:tc>
        <w:tc>
          <w:tcPr>
            <w:tcW w:w="850" w:type="dxa"/>
          </w:tcPr>
          <w:p>
            <w:pPr>
              <w:pStyle w:val="0"/>
              <w:jc w:val="center"/>
            </w:pPr>
            <w:r>
              <w:rPr>
                <w:sz w:val="20"/>
              </w:rPr>
              <w:t xml:space="preserve">44</w:t>
            </w:r>
          </w:p>
        </w:tc>
        <w:tc>
          <w:tcPr>
            <w:tcW w:w="794" w:type="dxa"/>
          </w:tcPr>
          <w:p>
            <w:pPr>
              <w:pStyle w:val="0"/>
              <w:jc w:val="center"/>
            </w:pPr>
            <w:r>
              <w:rPr>
                <w:sz w:val="20"/>
              </w:rPr>
              <w:t xml:space="preserve">264</w:t>
            </w:r>
          </w:p>
        </w:tc>
        <w:tc>
          <w:tcPr>
            <w:tcW w:w="737" w:type="dxa"/>
          </w:tcPr>
          <w:p>
            <w:pPr>
              <w:pStyle w:val="0"/>
              <w:jc w:val="center"/>
            </w:pPr>
            <w:r>
              <w:rPr>
                <w:sz w:val="20"/>
              </w:rPr>
              <w:t xml:space="preserve">259</w:t>
            </w:r>
          </w:p>
        </w:tc>
        <w:tc>
          <w:tcPr>
            <w:tcW w:w="850" w:type="dxa"/>
          </w:tcPr>
          <w:p>
            <w:pPr>
              <w:pStyle w:val="0"/>
              <w:jc w:val="center"/>
            </w:pPr>
            <w:r>
              <w:rPr>
                <w:sz w:val="20"/>
              </w:rPr>
              <w:t xml:space="preserve">5</w:t>
            </w:r>
          </w:p>
        </w:tc>
        <w:tc>
          <w:tcPr>
            <w:tcW w:w="794" w:type="dxa"/>
          </w:tcPr>
          <w:p>
            <w:pPr>
              <w:pStyle w:val="0"/>
              <w:jc w:val="center"/>
            </w:pPr>
            <w:r>
              <w:rPr>
                <w:sz w:val="20"/>
              </w:rPr>
              <w:t xml:space="preserve">668</w:t>
            </w:r>
          </w:p>
        </w:tc>
        <w:tc>
          <w:tcPr>
            <w:tcW w:w="850" w:type="dxa"/>
          </w:tcPr>
          <w:p>
            <w:pPr>
              <w:pStyle w:val="0"/>
              <w:jc w:val="center"/>
            </w:pPr>
            <w:r>
              <w:rPr>
                <w:sz w:val="20"/>
              </w:rPr>
              <w:t xml:space="preserve">644</w:t>
            </w:r>
          </w:p>
        </w:tc>
        <w:tc>
          <w:tcPr>
            <w:tcW w:w="764" w:type="dxa"/>
          </w:tcPr>
          <w:p>
            <w:pPr>
              <w:pStyle w:val="0"/>
              <w:jc w:val="center"/>
            </w:pPr>
            <w:r>
              <w:rPr>
                <w:sz w:val="20"/>
              </w:rPr>
              <w:t xml:space="preserve">24</w:t>
            </w:r>
          </w:p>
        </w:tc>
        <w:tc>
          <w:tcPr>
            <w:tcW w:w="737" w:type="dxa"/>
          </w:tcPr>
          <w:p>
            <w:pPr>
              <w:pStyle w:val="0"/>
              <w:jc w:val="center"/>
            </w:pPr>
            <w:r>
              <w:rPr>
                <w:sz w:val="20"/>
              </w:rPr>
              <w:t xml:space="preserve">643</w:t>
            </w:r>
          </w:p>
        </w:tc>
        <w:tc>
          <w:tcPr>
            <w:tcW w:w="850" w:type="dxa"/>
          </w:tcPr>
          <w:p>
            <w:pPr>
              <w:pStyle w:val="0"/>
              <w:jc w:val="center"/>
            </w:pPr>
            <w:r>
              <w:rPr>
                <w:sz w:val="20"/>
              </w:rPr>
              <w:t xml:space="preserve">628</w:t>
            </w:r>
          </w:p>
        </w:tc>
        <w:tc>
          <w:tcPr>
            <w:tcW w:w="794" w:type="dxa"/>
          </w:tcPr>
          <w:p>
            <w:pPr>
              <w:pStyle w:val="0"/>
              <w:jc w:val="center"/>
            </w:pPr>
            <w:r>
              <w:rPr>
                <w:sz w:val="20"/>
              </w:rPr>
              <w:t xml:space="preserve">15</w:t>
            </w:r>
          </w:p>
        </w:tc>
      </w:tr>
      <w:tr>
        <w:tc>
          <w:tcPr>
            <w:tcW w:w="2268" w:type="dxa"/>
          </w:tcPr>
          <w:p>
            <w:pPr>
              <w:pStyle w:val="0"/>
              <w:jc w:val="both"/>
            </w:pPr>
            <w:r>
              <w:rPr>
                <w:sz w:val="20"/>
              </w:rPr>
              <w:t xml:space="preserve">бронхиальная астма</w:t>
            </w:r>
          </w:p>
        </w:tc>
        <w:tc>
          <w:tcPr>
            <w:tcW w:w="794" w:type="dxa"/>
          </w:tcPr>
          <w:p>
            <w:pPr>
              <w:pStyle w:val="0"/>
              <w:jc w:val="center"/>
            </w:pPr>
            <w:r>
              <w:rPr>
                <w:sz w:val="20"/>
              </w:rPr>
              <w:t xml:space="preserve">356</w:t>
            </w:r>
          </w:p>
        </w:tc>
        <w:tc>
          <w:tcPr>
            <w:tcW w:w="737" w:type="dxa"/>
          </w:tcPr>
          <w:p>
            <w:pPr>
              <w:pStyle w:val="0"/>
              <w:jc w:val="center"/>
            </w:pPr>
            <w:r>
              <w:rPr>
                <w:sz w:val="20"/>
              </w:rPr>
              <w:t xml:space="preserve">287</w:t>
            </w:r>
          </w:p>
        </w:tc>
        <w:tc>
          <w:tcPr>
            <w:tcW w:w="850" w:type="dxa"/>
          </w:tcPr>
          <w:p>
            <w:pPr>
              <w:pStyle w:val="0"/>
              <w:jc w:val="center"/>
            </w:pPr>
            <w:r>
              <w:rPr>
                <w:sz w:val="20"/>
              </w:rPr>
              <w:t xml:space="preserve">69</w:t>
            </w:r>
          </w:p>
        </w:tc>
        <w:tc>
          <w:tcPr>
            <w:tcW w:w="794" w:type="dxa"/>
          </w:tcPr>
          <w:p>
            <w:pPr>
              <w:pStyle w:val="0"/>
              <w:jc w:val="center"/>
            </w:pPr>
            <w:r>
              <w:rPr>
                <w:sz w:val="20"/>
              </w:rPr>
              <w:t xml:space="preserve">391</w:t>
            </w:r>
          </w:p>
        </w:tc>
        <w:tc>
          <w:tcPr>
            <w:tcW w:w="737" w:type="dxa"/>
          </w:tcPr>
          <w:p>
            <w:pPr>
              <w:pStyle w:val="0"/>
              <w:jc w:val="center"/>
            </w:pPr>
            <w:r>
              <w:rPr>
                <w:sz w:val="20"/>
              </w:rPr>
              <w:t xml:space="preserve">290</w:t>
            </w:r>
          </w:p>
        </w:tc>
        <w:tc>
          <w:tcPr>
            <w:tcW w:w="850" w:type="dxa"/>
          </w:tcPr>
          <w:p>
            <w:pPr>
              <w:pStyle w:val="0"/>
              <w:jc w:val="center"/>
            </w:pPr>
            <w:r>
              <w:rPr>
                <w:sz w:val="20"/>
              </w:rPr>
              <w:t xml:space="preserve">101</w:t>
            </w:r>
          </w:p>
        </w:tc>
        <w:tc>
          <w:tcPr>
            <w:tcW w:w="794" w:type="dxa"/>
          </w:tcPr>
          <w:p>
            <w:pPr>
              <w:pStyle w:val="0"/>
              <w:jc w:val="center"/>
            </w:pPr>
            <w:r>
              <w:rPr>
                <w:sz w:val="20"/>
              </w:rPr>
              <w:t xml:space="preserve">445</w:t>
            </w:r>
          </w:p>
        </w:tc>
        <w:tc>
          <w:tcPr>
            <w:tcW w:w="850" w:type="dxa"/>
          </w:tcPr>
          <w:p>
            <w:pPr>
              <w:pStyle w:val="0"/>
              <w:jc w:val="center"/>
            </w:pPr>
            <w:r>
              <w:rPr>
                <w:sz w:val="20"/>
              </w:rPr>
              <w:t xml:space="preserve">317</w:t>
            </w:r>
          </w:p>
        </w:tc>
        <w:tc>
          <w:tcPr>
            <w:tcW w:w="764" w:type="dxa"/>
          </w:tcPr>
          <w:p>
            <w:pPr>
              <w:pStyle w:val="0"/>
              <w:jc w:val="center"/>
            </w:pPr>
            <w:r>
              <w:rPr>
                <w:sz w:val="20"/>
              </w:rPr>
              <w:t xml:space="preserve">128</w:t>
            </w:r>
          </w:p>
        </w:tc>
        <w:tc>
          <w:tcPr>
            <w:tcW w:w="737" w:type="dxa"/>
          </w:tcPr>
          <w:p>
            <w:pPr>
              <w:pStyle w:val="0"/>
              <w:jc w:val="center"/>
            </w:pPr>
            <w:r>
              <w:rPr>
                <w:sz w:val="20"/>
              </w:rPr>
              <w:t xml:space="preserve">461</w:t>
            </w:r>
          </w:p>
        </w:tc>
        <w:tc>
          <w:tcPr>
            <w:tcW w:w="850" w:type="dxa"/>
          </w:tcPr>
          <w:p>
            <w:pPr>
              <w:pStyle w:val="0"/>
              <w:jc w:val="center"/>
            </w:pPr>
            <w:r>
              <w:rPr>
                <w:sz w:val="20"/>
              </w:rPr>
              <w:t xml:space="preserve">326</w:t>
            </w:r>
          </w:p>
        </w:tc>
        <w:tc>
          <w:tcPr>
            <w:tcW w:w="794" w:type="dxa"/>
          </w:tcPr>
          <w:p>
            <w:pPr>
              <w:pStyle w:val="0"/>
              <w:jc w:val="center"/>
            </w:pPr>
            <w:r>
              <w:rPr>
                <w:sz w:val="20"/>
              </w:rPr>
              <w:t xml:space="preserve">135</w:t>
            </w:r>
          </w:p>
        </w:tc>
      </w:tr>
      <w:tr>
        <w:tc>
          <w:tcPr>
            <w:tcW w:w="2268" w:type="dxa"/>
          </w:tcPr>
          <w:p>
            <w:pPr>
              <w:pStyle w:val="0"/>
              <w:jc w:val="both"/>
            </w:pPr>
            <w:r>
              <w:rPr>
                <w:sz w:val="20"/>
              </w:rPr>
              <w:t xml:space="preserve">болезни костно-мышечной системы</w:t>
            </w:r>
          </w:p>
        </w:tc>
        <w:tc>
          <w:tcPr>
            <w:tcW w:w="794" w:type="dxa"/>
          </w:tcPr>
          <w:p>
            <w:pPr>
              <w:pStyle w:val="0"/>
              <w:jc w:val="center"/>
            </w:pPr>
            <w:r>
              <w:rPr>
                <w:sz w:val="20"/>
              </w:rPr>
              <w:t xml:space="preserve">520</w:t>
            </w:r>
          </w:p>
        </w:tc>
        <w:tc>
          <w:tcPr>
            <w:tcW w:w="737" w:type="dxa"/>
          </w:tcPr>
          <w:p>
            <w:pPr>
              <w:pStyle w:val="0"/>
              <w:jc w:val="center"/>
            </w:pPr>
            <w:r>
              <w:rPr>
                <w:sz w:val="20"/>
              </w:rPr>
              <w:t xml:space="preserve">341</w:t>
            </w:r>
          </w:p>
        </w:tc>
        <w:tc>
          <w:tcPr>
            <w:tcW w:w="850" w:type="dxa"/>
          </w:tcPr>
          <w:p>
            <w:pPr>
              <w:pStyle w:val="0"/>
              <w:jc w:val="center"/>
            </w:pPr>
            <w:r>
              <w:rPr>
                <w:sz w:val="20"/>
              </w:rPr>
              <w:t xml:space="preserve">179</w:t>
            </w:r>
          </w:p>
        </w:tc>
        <w:tc>
          <w:tcPr>
            <w:tcW w:w="794" w:type="dxa"/>
          </w:tcPr>
          <w:p>
            <w:pPr>
              <w:pStyle w:val="0"/>
              <w:jc w:val="center"/>
            </w:pPr>
            <w:r>
              <w:rPr>
                <w:sz w:val="20"/>
              </w:rPr>
              <w:t xml:space="preserve">787</w:t>
            </w:r>
          </w:p>
        </w:tc>
        <w:tc>
          <w:tcPr>
            <w:tcW w:w="737" w:type="dxa"/>
          </w:tcPr>
          <w:p>
            <w:pPr>
              <w:pStyle w:val="0"/>
              <w:jc w:val="center"/>
            </w:pPr>
            <w:r>
              <w:rPr>
                <w:sz w:val="20"/>
              </w:rPr>
              <w:t xml:space="preserve">437</w:t>
            </w:r>
          </w:p>
        </w:tc>
        <w:tc>
          <w:tcPr>
            <w:tcW w:w="850" w:type="dxa"/>
          </w:tcPr>
          <w:p>
            <w:pPr>
              <w:pStyle w:val="0"/>
              <w:jc w:val="center"/>
            </w:pPr>
            <w:r>
              <w:rPr>
                <w:sz w:val="20"/>
              </w:rPr>
              <w:t xml:space="preserve">350</w:t>
            </w:r>
          </w:p>
        </w:tc>
        <w:tc>
          <w:tcPr>
            <w:tcW w:w="794" w:type="dxa"/>
          </w:tcPr>
          <w:p>
            <w:pPr>
              <w:pStyle w:val="0"/>
              <w:jc w:val="center"/>
            </w:pPr>
            <w:r>
              <w:rPr>
                <w:sz w:val="20"/>
              </w:rPr>
              <w:t xml:space="preserve">4249</w:t>
            </w:r>
          </w:p>
        </w:tc>
        <w:tc>
          <w:tcPr>
            <w:tcW w:w="850" w:type="dxa"/>
          </w:tcPr>
          <w:p>
            <w:pPr>
              <w:pStyle w:val="0"/>
              <w:jc w:val="center"/>
            </w:pPr>
            <w:r>
              <w:rPr>
                <w:sz w:val="20"/>
              </w:rPr>
              <w:t xml:space="preserve">3374</w:t>
            </w:r>
          </w:p>
        </w:tc>
        <w:tc>
          <w:tcPr>
            <w:tcW w:w="764" w:type="dxa"/>
          </w:tcPr>
          <w:p>
            <w:pPr>
              <w:pStyle w:val="0"/>
              <w:jc w:val="center"/>
            </w:pPr>
            <w:r>
              <w:rPr>
                <w:sz w:val="20"/>
              </w:rPr>
              <w:t xml:space="preserve">875</w:t>
            </w:r>
          </w:p>
        </w:tc>
        <w:tc>
          <w:tcPr>
            <w:tcW w:w="737" w:type="dxa"/>
          </w:tcPr>
          <w:p>
            <w:pPr>
              <w:pStyle w:val="0"/>
              <w:jc w:val="center"/>
            </w:pPr>
            <w:r>
              <w:rPr>
                <w:sz w:val="20"/>
              </w:rPr>
              <w:t xml:space="preserve">7738</w:t>
            </w:r>
          </w:p>
        </w:tc>
        <w:tc>
          <w:tcPr>
            <w:tcW w:w="850" w:type="dxa"/>
          </w:tcPr>
          <w:p>
            <w:pPr>
              <w:pStyle w:val="0"/>
              <w:jc w:val="center"/>
            </w:pPr>
            <w:r>
              <w:rPr>
                <w:sz w:val="20"/>
              </w:rPr>
              <w:t xml:space="preserve">5516</w:t>
            </w:r>
          </w:p>
        </w:tc>
        <w:tc>
          <w:tcPr>
            <w:tcW w:w="794" w:type="dxa"/>
          </w:tcPr>
          <w:p>
            <w:pPr>
              <w:pStyle w:val="0"/>
              <w:jc w:val="center"/>
            </w:pPr>
            <w:r>
              <w:rPr>
                <w:sz w:val="20"/>
              </w:rPr>
              <w:t xml:space="preserve">2222</w:t>
            </w:r>
          </w:p>
        </w:tc>
      </w:tr>
      <w:tr>
        <w:tc>
          <w:tcPr>
            <w:tcW w:w="2268" w:type="dxa"/>
          </w:tcPr>
          <w:p>
            <w:pPr>
              <w:pStyle w:val="0"/>
              <w:jc w:val="both"/>
            </w:pPr>
            <w:r>
              <w:rPr>
                <w:sz w:val="20"/>
              </w:rPr>
              <w:t xml:space="preserve">Из них деформирующие дорсопатии</w:t>
            </w:r>
          </w:p>
        </w:tc>
        <w:tc>
          <w:tcPr>
            <w:tcW w:w="794" w:type="dxa"/>
          </w:tcPr>
          <w:p>
            <w:pPr>
              <w:pStyle w:val="0"/>
              <w:jc w:val="center"/>
            </w:pPr>
            <w:r>
              <w:rPr>
                <w:sz w:val="20"/>
              </w:rPr>
              <w:t xml:space="preserve">192</w:t>
            </w:r>
          </w:p>
        </w:tc>
        <w:tc>
          <w:tcPr>
            <w:tcW w:w="737" w:type="dxa"/>
          </w:tcPr>
          <w:p>
            <w:pPr>
              <w:pStyle w:val="0"/>
              <w:jc w:val="center"/>
            </w:pPr>
            <w:r>
              <w:rPr>
                <w:sz w:val="20"/>
              </w:rPr>
              <w:t xml:space="preserve">118</w:t>
            </w:r>
          </w:p>
        </w:tc>
        <w:tc>
          <w:tcPr>
            <w:tcW w:w="850" w:type="dxa"/>
          </w:tcPr>
          <w:p>
            <w:pPr>
              <w:pStyle w:val="0"/>
              <w:jc w:val="center"/>
            </w:pPr>
            <w:r>
              <w:rPr>
                <w:sz w:val="20"/>
              </w:rPr>
              <w:t xml:space="preserve">74</w:t>
            </w:r>
          </w:p>
        </w:tc>
        <w:tc>
          <w:tcPr>
            <w:tcW w:w="794" w:type="dxa"/>
          </w:tcPr>
          <w:p>
            <w:pPr>
              <w:pStyle w:val="0"/>
              <w:jc w:val="center"/>
            </w:pPr>
            <w:r>
              <w:rPr>
                <w:sz w:val="20"/>
              </w:rPr>
              <w:t xml:space="preserve">315</w:t>
            </w:r>
          </w:p>
        </w:tc>
        <w:tc>
          <w:tcPr>
            <w:tcW w:w="737" w:type="dxa"/>
          </w:tcPr>
          <w:p>
            <w:pPr>
              <w:pStyle w:val="0"/>
              <w:jc w:val="center"/>
            </w:pPr>
            <w:r>
              <w:rPr>
                <w:sz w:val="20"/>
              </w:rPr>
              <w:t xml:space="preserve">180</w:t>
            </w:r>
          </w:p>
        </w:tc>
        <w:tc>
          <w:tcPr>
            <w:tcW w:w="850" w:type="dxa"/>
          </w:tcPr>
          <w:p>
            <w:pPr>
              <w:pStyle w:val="0"/>
              <w:jc w:val="center"/>
            </w:pPr>
            <w:r>
              <w:rPr>
                <w:sz w:val="20"/>
              </w:rPr>
              <w:t xml:space="preserve">135</w:t>
            </w:r>
          </w:p>
        </w:tc>
        <w:tc>
          <w:tcPr>
            <w:tcW w:w="794" w:type="dxa"/>
          </w:tcPr>
          <w:p>
            <w:pPr>
              <w:pStyle w:val="0"/>
              <w:jc w:val="center"/>
            </w:pPr>
            <w:r>
              <w:rPr>
                <w:sz w:val="20"/>
              </w:rPr>
              <w:t xml:space="preserve">1013</w:t>
            </w:r>
          </w:p>
        </w:tc>
        <w:tc>
          <w:tcPr>
            <w:tcW w:w="850" w:type="dxa"/>
          </w:tcPr>
          <w:p>
            <w:pPr>
              <w:pStyle w:val="0"/>
              <w:jc w:val="center"/>
            </w:pPr>
            <w:r>
              <w:rPr>
                <w:sz w:val="20"/>
              </w:rPr>
              <w:t xml:space="preserve">660</w:t>
            </w:r>
          </w:p>
        </w:tc>
        <w:tc>
          <w:tcPr>
            <w:tcW w:w="764" w:type="dxa"/>
          </w:tcPr>
          <w:p>
            <w:pPr>
              <w:pStyle w:val="0"/>
              <w:jc w:val="center"/>
            </w:pPr>
            <w:r>
              <w:rPr>
                <w:sz w:val="20"/>
              </w:rPr>
              <w:t xml:space="preserve">353</w:t>
            </w:r>
          </w:p>
        </w:tc>
        <w:tc>
          <w:tcPr>
            <w:tcW w:w="737" w:type="dxa"/>
          </w:tcPr>
          <w:p>
            <w:pPr>
              <w:pStyle w:val="0"/>
              <w:jc w:val="center"/>
            </w:pPr>
            <w:r>
              <w:rPr>
                <w:sz w:val="20"/>
              </w:rPr>
              <w:t xml:space="preserve">1892</w:t>
            </w:r>
          </w:p>
        </w:tc>
        <w:tc>
          <w:tcPr>
            <w:tcW w:w="850" w:type="dxa"/>
          </w:tcPr>
          <w:p>
            <w:pPr>
              <w:pStyle w:val="0"/>
              <w:jc w:val="center"/>
            </w:pPr>
            <w:r>
              <w:rPr>
                <w:sz w:val="20"/>
              </w:rPr>
              <w:t xml:space="preserve">1102</w:t>
            </w:r>
          </w:p>
        </w:tc>
        <w:tc>
          <w:tcPr>
            <w:tcW w:w="794" w:type="dxa"/>
          </w:tcPr>
          <w:p>
            <w:pPr>
              <w:pStyle w:val="0"/>
              <w:jc w:val="center"/>
            </w:pPr>
            <w:r>
              <w:rPr>
                <w:sz w:val="20"/>
              </w:rPr>
              <w:t xml:space="preserve">790</w:t>
            </w:r>
          </w:p>
        </w:tc>
      </w:tr>
      <w:tr>
        <w:tc>
          <w:tcPr>
            <w:tcW w:w="2268" w:type="dxa"/>
          </w:tcPr>
          <w:p>
            <w:pPr>
              <w:pStyle w:val="0"/>
              <w:jc w:val="both"/>
            </w:pPr>
            <w:r>
              <w:rPr>
                <w:sz w:val="20"/>
              </w:rPr>
              <w:t xml:space="preserve">нейросенсорная потеря слуха</w:t>
            </w:r>
          </w:p>
        </w:tc>
        <w:tc>
          <w:tcPr>
            <w:tcW w:w="794" w:type="dxa"/>
          </w:tcPr>
          <w:p>
            <w:pPr>
              <w:pStyle w:val="0"/>
              <w:jc w:val="center"/>
            </w:pPr>
            <w:r>
              <w:rPr>
                <w:sz w:val="20"/>
              </w:rPr>
              <w:t xml:space="preserve">323</w:t>
            </w:r>
          </w:p>
        </w:tc>
        <w:tc>
          <w:tcPr>
            <w:tcW w:w="737" w:type="dxa"/>
          </w:tcPr>
          <w:p>
            <w:pPr>
              <w:pStyle w:val="0"/>
              <w:jc w:val="center"/>
            </w:pPr>
            <w:r>
              <w:rPr>
                <w:sz w:val="20"/>
              </w:rPr>
              <w:t xml:space="preserve">263</w:t>
            </w:r>
          </w:p>
        </w:tc>
        <w:tc>
          <w:tcPr>
            <w:tcW w:w="850" w:type="dxa"/>
          </w:tcPr>
          <w:p>
            <w:pPr>
              <w:pStyle w:val="0"/>
              <w:jc w:val="center"/>
            </w:pPr>
            <w:r>
              <w:rPr>
                <w:sz w:val="20"/>
              </w:rPr>
              <w:t xml:space="preserve">60</w:t>
            </w:r>
          </w:p>
        </w:tc>
        <w:tc>
          <w:tcPr>
            <w:tcW w:w="794" w:type="dxa"/>
          </w:tcPr>
          <w:p>
            <w:pPr>
              <w:pStyle w:val="0"/>
              <w:jc w:val="center"/>
            </w:pPr>
            <w:r>
              <w:rPr>
                <w:sz w:val="20"/>
              </w:rPr>
              <w:t xml:space="preserve">207</w:t>
            </w:r>
          </w:p>
        </w:tc>
        <w:tc>
          <w:tcPr>
            <w:tcW w:w="737" w:type="dxa"/>
          </w:tcPr>
          <w:p>
            <w:pPr>
              <w:pStyle w:val="0"/>
              <w:jc w:val="center"/>
            </w:pPr>
            <w:r>
              <w:rPr>
                <w:sz w:val="20"/>
              </w:rPr>
              <w:t xml:space="preserve">156</w:t>
            </w:r>
          </w:p>
        </w:tc>
        <w:tc>
          <w:tcPr>
            <w:tcW w:w="850" w:type="dxa"/>
          </w:tcPr>
          <w:p>
            <w:pPr>
              <w:pStyle w:val="0"/>
              <w:jc w:val="center"/>
            </w:pPr>
            <w:r>
              <w:rPr>
                <w:sz w:val="20"/>
              </w:rPr>
              <w:t xml:space="preserve">51</w:t>
            </w:r>
          </w:p>
        </w:tc>
        <w:tc>
          <w:tcPr>
            <w:tcW w:w="794" w:type="dxa"/>
          </w:tcPr>
          <w:p>
            <w:pPr>
              <w:pStyle w:val="0"/>
              <w:jc w:val="center"/>
            </w:pPr>
            <w:r>
              <w:rPr>
                <w:sz w:val="20"/>
              </w:rPr>
              <w:t xml:space="preserve">162</w:t>
            </w:r>
          </w:p>
        </w:tc>
        <w:tc>
          <w:tcPr>
            <w:tcW w:w="850" w:type="dxa"/>
          </w:tcPr>
          <w:p>
            <w:pPr>
              <w:pStyle w:val="0"/>
              <w:jc w:val="center"/>
            </w:pPr>
            <w:r>
              <w:rPr>
                <w:sz w:val="20"/>
              </w:rPr>
              <w:t xml:space="preserve">123</w:t>
            </w:r>
          </w:p>
        </w:tc>
        <w:tc>
          <w:tcPr>
            <w:tcW w:w="764" w:type="dxa"/>
          </w:tcPr>
          <w:p>
            <w:pPr>
              <w:pStyle w:val="0"/>
              <w:jc w:val="center"/>
            </w:pPr>
            <w:r>
              <w:rPr>
                <w:sz w:val="20"/>
              </w:rPr>
              <w:t xml:space="preserve">39</w:t>
            </w:r>
          </w:p>
        </w:tc>
        <w:tc>
          <w:tcPr>
            <w:tcW w:w="737" w:type="dxa"/>
          </w:tcPr>
          <w:p>
            <w:pPr>
              <w:pStyle w:val="0"/>
              <w:jc w:val="center"/>
            </w:pPr>
            <w:r>
              <w:rPr>
                <w:sz w:val="20"/>
              </w:rPr>
              <w:t xml:space="preserve">153</w:t>
            </w:r>
          </w:p>
        </w:tc>
        <w:tc>
          <w:tcPr>
            <w:tcW w:w="850" w:type="dxa"/>
          </w:tcPr>
          <w:p>
            <w:pPr>
              <w:pStyle w:val="0"/>
              <w:jc w:val="center"/>
            </w:pPr>
            <w:r>
              <w:rPr>
                <w:sz w:val="20"/>
              </w:rPr>
              <w:t xml:space="preserve">129</w:t>
            </w:r>
          </w:p>
        </w:tc>
        <w:tc>
          <w:tcPr>
            <w:tcW w:w="794" w:type="dxa"/>
          </w:tcPr>
          <w:p>
            <w:pPr>
              <w:pStyle w:val="0"/>
              <w:jc w:val="center"/>
            </w:pPr>
            <w:r>
              <w:rPr>
                <w:sz w:val="20"/>
              </w:rPr>
              <w:t xml:space="preserve">24</w:t>
            </w:r>
          </w:p>
        </w:tc>
      </w:tr>
      <w:tr>
        <w:tc>
          <w:tcPr>
            <w:tcW w:w="2268" w:type="dxa"/>
          </w:tcPr>
          <w:p>
            <w:pPr>
              <w:pStyle w:val="0"/>
              <w:jc w:val="both"/>
            </w:pPr>
            <w:r>
              <w:rPr>
                <w:sz w:val="20"/>
              </w:rPr>
              <w:t xml:space="preserve">злокачественные новообразования</w:t>
            </w:r>
          </w:p>
        </w:tc>
        <w:tc>
          <w:tcPr>
            <w:tcW w:w="794" w:type="dxa"/>
          </w:tcPr>
          <w:p>
            <w:pPr>
              <w:pStyle w:val="0"/>
              <w:jc w:val="center"/>
            </w:pPr>
            <w:r>
              <w:rPr>
                <w:sz w:val="20"/>
              </w:rPr>
              <w:t xml:space="preserve">73</w:t>
            </w:r>
          </w:p>
        </w:tc>
        <w:tc>
          <w:tcPr>
            <w:tcW w:w="737" w:type="dxa"/>
          </w:tcPr>
          <w:p>
            <w:pPr>
              <w:pStyle w:val="0"/>
              <w:jc w:val="center"/>
            </w:pPr>
            <w:r>
              <w:rPr>
                <w:sz w:val="20"/>
              </w:rPr>
              <w:t xml:space="preserve">62</w:t>
            </w:r>
          </w:p>
        </w:tc>
        <w:tc>
          <w:tcPr>
            <w:tcW w:w="850" w:type="dxa"/>
          </w:tcPr>
          <w:p>
            <w:pPr>
              <w:pStyle w:val="0"/>
              <w:jc w:val="center"/>
            </w:pPr>
            <w:r>
              <w:rPr>
                <w:sz w:val="20"/>
              </w:rPr>
              <w:t xml:space="preserve">11</w:t>
            </w:r>
          </w:p>
        </w:tc>
        <w:tc>
          <w:tcPr>
            <w:tcW w:w="794" w:type="dxa"/>
          </w:tcPr>
          <w:p>
            <w:pPr>
              <w:pStyle w:val="0"/>
              <w:jc w:val="center"/>
            </w:pPr>
            <w:r>
              <w:rPr>
                <w:sz w:val="20"/>
              </w:rPr>
              <w:t xml:space="preserve">39</w:t>
            </w:r>
          </w:p>
        </w:tc>
        <w:tc>
          <w:tcPr>
            <w:tcW w:w="737" w:type="dxa"/>
          </w:tcPr>
          <w:p>
            <w:pPr>
              <w:pStyle w:val="0"/>
              <w:jc w:val="center"/>
            </w:pPr>
            <w:r>
              <w:rPr>
                <w:sz w:val="20"/>
              </w:rPr>
              <w:t xml:space="preserve">25</w:t>
            </w:r>
          </w:p>
        </w:tc>
        <w:tc>
          <w:tcPr>
            <w:tcW w:w="850" w:type="dxa"/>
          </w:tcPr>
          <w:p>
            <w:pPr>
              <w:pStyle w:val="0"/>
              <w:jc w:val="center"/>
            </w:pPr>
            <w:r>
              <w:rPr>
                <w:sz w:val="20"/>
              </w:rPr>
              <w:t xml:space="preserve">14</w:t>
            </w:r>
          </w:p>
        </w:tc>
        <w:tc>
          <w:tcPr>
            <w:tcW w:w="794" w:type="dxa"/>
          </w:tcPr>
          <w:p>
            <w:pPr>
              <w:pStyle w:val="0"/>
              <w:jc w:val="center"/>
            </w:pPr>
            <w:r>
              <w:rPr>
                <w:sz w:val="20"/>
              </w:rPr>
              <w:t xml:space="preserve">79</w:t>
            </w:r>
          </w:p>
        </w:tc>
        <w:tc>
          <w:tcPr>
            <w:tcW w:w="850" w:type="dxa"/>
          </w:tcPr>
          <w:p>
            <w:pPr>
              <w:pStyle w:val="0"/>
              <w:jc w:val="center"/>
            </w:pPr>
            <w:r>
              <w:rPr>
                <w:sz w:val="20"/>
              </w:rPr>
              <w:t xml:space="preserve">61</w:t>
            </w:r>
          </w:p>
        </w:tc>
        <w:tc>
          <w:tcPr>
            <w:tcW w:w="764" w:type="dxa"/>
          </w:tcPr>
          <w:p>
            <w:pPr>
              <w:pStyle w:val="0"/>
              <w:jc w:val="center"/>
            </w:pPr>
            <w:r>
              <w:rPr>
                <w:sz w:val="20"/>
              </w:rPr>
              <w:t xml:space="preserve">18</w:t>
            </w:r>
          </w:p>
        </w:tc>
        <w:tc>
          <w:tcPr>
            <w:tcW w:w="737" w:type="dxa"/>
          </w:tcPr>
          <w:p>
            <w:pPr>
              <w:pStyle w:val="0"/>
              <w:jc w:val="center"/>
            </w:pPr>
            <w:r>
              <w:rPr>
                <w:sz w:val="20"/>
              </w:rPr>
              <w:t xml:space="preserve">82</w:t>
            </w:r>
          </w:p>
        </w:tc>
        <w:tc>
          <w:tcPr>
            <w:tcW w:w="850" w:type="dxa"/>
          </w:tcPr>
          <w:p>
            <w:pPr>
              <w:pStyle w:val="0"/>
              <w:jc w:val="center"/>
            </w:pPr>
            <w:r>
              <w:rPr>
                <w:sz w:val="20"/>
              </w:rPr>
              <w:t xml:space="preserve">69</w:t>
            </w:r>
          </w:p>
        </w:tc>
        <w:tc>
          <w:tcPr>
            <w:tcW w:w="794" w:type="dxa"/>
          </w:tcPr>
          <w:p>
            <w:pPr>
              <w:pStyle w:val="0"/>
              <w:jc w:val="center"/>
            </w:pPr>
            <w:r>
              <w:rPr>
                <w:sz w:val="20"/>
              </w:rPr>
              <w:t xml:space="preserve">13</w:t>
            </w:r>
          </w:p>
        </w:tc>
      </w:tr>
      <w:tr>
        <w:tc>
          <w:tcPr>
            <w:tcW w:w="2268" w:type="dxa"/>
          </w:tcPr>
          <w:p>
            <w:pPr>
              <w:pStyle w:val="0"/>
              <w:jc w:val="both"/>
            </w:pPr>
            <w:r>
              <w:rPr>
                <w:sz w:val="20"/>
              </w:rPr>
              <w:t xml:space="preserve">ВПР</w:t>
            </w:r>
          </w:p>
        </w:tc>
        <w:tc>
          <w:tcPr>
            <w:tcW w:w="794" w:type="dxa"/>
          </w:tcPr>
          <w:p>
            <w:pPr>
              <w:pStyle w:val="0"/>
              <w:jc w:val="center"/>
            </w:pPr>
            <w:r>
              <w:rPr>
                <w:sz w:val="20"/>
              </w:rPr>
              <w:t xml:space="preserve">-</w:t>
            </w:r>
          </w:p>
        </w:tc>
        <w:tc>
          <w:tcPr>
            <w:tcW w:w="737" w:type="dxa"/>
          </w:tcPr>
          <w:p>
            <w:pPr>
              <w:pStyle w:val="0"/>
              <w:jc w:val="center"/>
            </w:pPr>
            <w:r>
              <w:rPr>
                <w:sz w:val="20"/>
              </w:rPr>
              <w:t xml:space="preserve">-</w:t>
            </w:r>
          </w:p>
        </w:tc>
        <w:tc>
          <w:tcPr>
            <w:tcW w:w="850" w:type="dxa"/>
          </w:tcPr>
          <w:p>
            <w:pPr>
              <w:pStyle w:val="0"/>
              <w:jc w:val="center"/>
            </w:pPr>
            <w:r>
              <w:rPr>
                <w:sz w:val="20"/>
              </w:rPr>
              <w:t xml:space="preserve">-</w:t>
            </w:r>
          </w:p>
        </w:tc>
        <w:tc>
          <w:tcPr>
            <w:tcW w:w="794" w:type="dxa"/>
          </w:tcPr>
          <w:p>
            <w:pPr>
              <w:pStyle w:val="0"/>
              <w:jc w:val="center"/>
            </w:pPr>
            <w:r>
              <w:rPr>
                <w:sz w:val="20"/>
              </w:rPr>
              <w:t xml:space="preserve">1661</w:t>
            </w:r>
          </w:p>
        </w:tc>
        <w:tc>
          <w:tcPr>
            <w:tcW w:w="737" w:type="dxa"/>
          </w:tcPr>
          <w:p>
            <w:pPr>
              <w:pStyle w:val="0"/>
              <w:jc w:val="center"/>
            </w:pPr>
            <w:r>
              <w:rPr>
                <w:sz w:val="20"/>
              </w:rPr>
              <w:t xml:space="preserve">1488</w:t>
            </w:r>
          </w:p>
        </w:tc>
        <w:tc>
          <w:tcPr>
            <w:tcW w:w="850" w:type="dxa"/>
          </w:tcPr>
          <w:p>
            <w:pPr>
              <w:pStyle w:val="0"/>
              <w:jc w:val="center"/>
            </w:pPr>
            <w:r>
              <w:rPr>
                <w:sz w:val="20"/>
              </w:rPr>
              <w:t xml:space="preserve">173</w:t>
            </w:r>
          </w:p>
        </w:tc>
        <w:tc>
          <w:tcPr>
            <w:tcW w:w="794" w:type="dxa"/>
          </w:tcPr>
          <w:p>
            <w:pPr>
              <w:pStyle w:val="0"/>
              <w:jc w:val="center"/>
            </w:pPr>
            <w:r>
              <w:rPr>
                <w:sz w:val="20"/>
              </w:rPr>
              <w:t xml:space="preserve">2189</w:t>
            </w:r>
          </w:p>
        </w:tc>
        <w:tc>
          <w:tcPr>
            <w:tcW w:w="850" w:type="dxa"/>
          </w:tcPr>
          <w:p>
            <w:pPr>
              <w:pStyle w:val="0"/>
              <w:jc w:val="center"/>
            </w:pPr>
            <w:r>
              <w:rPr>
                <w:sz w:val="20"/>
              </w:rPr>
              <w:t xml:space="preserve">1971</w:t>
            </w:r>
          </w:p>
        </w:tc>
        <w:tc>
          <w:tcPr>
            <w:tcW w:w="764" w:type="dxa"/>
          </w:tcPr>
          <w:p>
            <w:pPr>
              <w:pStyle w:val="0"/>
              <w:jc w:val="center"/>
            </w:pPr>
            <w:r>
              <w:rPr>
                <w:sz w:val="20"/>
              </w:rPr>
              <w:t xml:space="preserve">218</w:t>
            </w:r>
          </w:p>
        </w:tc>
        <w:tc>
          <w:tcPr>
            <w:tcW w:w="737" w:type="dxa"/>
          </w:tcPr>
          <w:p>
            <w:pPr>
              <w:pStyle w:val="0"/>
              <w:jc w:val="center"/>
            </w:pPr>
            <w:r>
              <w:rPr>
                <w:sz w:val="20"/>
              </w:rPr>
              <w:t xml:space="preserve">2471</w:t>
            </w:r>
          </w:p>
        </w:tc>
        <w:tc>
          <w:tcPr>
            <w:tcW w:w="850" w:type="dxa"/>
          </w:tcPr>
          <w:p>
            <w:pPr>
              <w:pStyle w:val="0"/>
              <w:jc w:val="center"/>
            </w:pPr>
            <w:r>
              <w:rPr>
                <w:sz w:val="20"/>
              </w:rPr>
              <w:t xml:space="preserve">2206</w:t>
            </w:r>
          </w:p>
        </w:tc>
        <w:tc>
          <w:tcPr>
            <w:tcW w:w="794" w:type="dxa"/>
          </w:tcPr>
          <w:p>
            <w:pPr>
              <w:pStyle w:val="0"/>
              <w:jc w:val="center"/>
            </w:pPr>
            <w:r>
              <w:rPr>
                <w:sz w:val="20"/>
              </w:rPr>
              <w:t xml:space="preserve">265</w:t>
            </w:r>
          </w:p>
        </w:tc>
      </w:tr>
      <w:tr>
        <w:tc>
          <w:tcPr>
            <w:tcW w:w="2268" w:type="dxa"/>
          </w:tcPr>
          <w:p>
            <w:pPr>
              <w:pStyle w:val="0"/>
              <w:jc w:val="both"/>
            </w:pPr>
            <w:r>
              <w:rPr>
                <w:sz w:val="20"/>
              </w:rPr>
              <w:t xml:space="preserve">в т.ч. врожденный порок ЦНС</w:t>
            </w:r>
          </w:p>
        </w:tc>
        <w:tc>
          <w:tcPr>
            <w:tcW w:w="794" w:type="dxa"/>
          </w:tcPr>
          <w:p>
            <w:pPr>
              <w:pStyle w:val="0"/>
              <w:jc w:val="center"/>
            </w:pPr>
            <w:r>
              <w:rPr>
                <w:sz w:val="20"/>
              </w:rPr>
              <w:t xml:space="preserve">-</w:t>
            </w:r>
          </w:p>
        </w:tc>
        <w:tc>
          <w:tcPr>
            <w:tcW w:w="737" w:type="dxa"/>
          </w:tcPr>
          <w:p>
            <w:pPr>
              <w:pStyle w:val="0"/>
              <w:jc w:val="center"/>
            </w:pPr>
            <w:r>
              <w:rPr>
                <w:sz w:val="20"/>
              </w:rPr>
              <w:t xml:space="preserve">-</w:t>
            </w:r>
          </w:p>
        </w:tc>
        <w:tc>
          <w:tcPr>
            <w:tcW w:w="850" w:type="dxa"/>
          </w:tcPr>
          <w:p>
            <w:pPr>
              <w:pStyle w:val="0"/>
              <w:jc w:val="center"/>
            </w:pPr>
            <w:r>
              <w:rPr>
                <w:sz w:val="20"/>
              </w:rPr>
              <w:t xml:space="preserve">-</w:t>
            </w:r>
          </w:p>
        </w:tc>
        <w:tc>
          <w:tcPr>
            <w:tcW w:w="794" w:type="dxa"/>
          </w:tcPr>
          <w:p>
            <w:pPr>
              <w:pStyle w:val="0"/>
              <w:jc w:val="center"/>
            </w:pPr>
            <w:r>
              <w:rPr>
                <w:sz w:val="20"/>
              </w:rPr>
              <w:t xml:space="preserve">103</w:t>
            </w:r>
          </w:p>
        </w:tc>
        <w:tc>
          <w:tcPr>
            <w:tcW w:w="737" w:type="dxa"/>
          </w:tcPr>
          <w:p>
            <w:pPr>
              <w:pStyle w:val="0"/>
              <w:jc w:val="center"/>
            </w:pPr>
            <w:r>
              <w:rPr>
                <w:sz w:val="20"/>
              </w:rPr>
              <w:t xml:space="preserve">86</w:t>
            </w:r>
          </w:p>
        </w:tc>
        <w:tc>
          <w:tcPr>
            <w:tcW w:w="850" w:type="dxa"/>
          </w:tcPr>
          <w:p>
            <w:pPr>
              <w:pStyle w:val="0"/>
              <w:jc w:val="center"/>
            </w:pPr>
            <w:r>
              <w:rPr>
                <w:sz w:val="20"/>
              </w:rPr>
              <w:t xml:space="preserve">17</w:t>
            </w:r>
          </w:p>
        </w:tc>
        <w:tc>
          <w:tcPr>
            <w:tcW w:w="794" w:type="dxa"/>
          </w:tcPr>
          <w:p>
            <w:pPr>
              <w:pStyle w:val="0"/>
              <w:jc w:val="center"/>
            </w:pPr>
            <w:r>
              <w:rPr>
                <w:sz w:val="20"/>
              </w:rPr>
              <w:t xml:space="preserve">121</w:t>
            </w:r>
          </w:p>
        </w:tc>
        <w:tc>
          <w:tcPr>
            <w:tcW w:w="850" w:type="dxa"/>
          </w:tcPr>
          <w:p>
            <w:pPr>
              <w:pStyle w:val="0"/>
              <w:jc w:val="center"/>
            </w:pPr>
            <w:r>
              <w:rPr>
                <w:sz w:val="20"/>
              </w:rPr>
              <w:t xml:space="preserve">96</w:t>
            </w:r>
          </w:p>
        </w:tc>
        <w:tc>
          <w:tcPr>
            <w:tcW w:w="764" w:type="dxa"/>
          </w:tcPr>
          <w:p>
            <w:pPr>
              <w:pStyle w:val="0"/>
              <w:jc w:val="center"/>
            </w:pPr>
            <w:r>
              <w:rPr>
                <w:sz w:val="20"/>
              </w:rPr>
              <w:t xml:space="preserve">25</w:t>
            </w:r>
          </w:p>
        </w:tc>
        <w:tc>
          <w:tcPr>
            <w:tcW w:w="737" w:type="dxa"/>
          </w:tcPr>
          <w:p>
            <w:pPr>
              <w:pStyle w:val="0"/>
              <w:jc w:val="center"/>
            </w:pPr>
            <w:r>
              <w:rPr>
                <w:sz w:val="20"/>
              </w:rPr>
              <w:t xml:space="preserve">146</w:t>
            </w:r>
          </w:p>
        </w:tc>
        <w:tc>
          <w:tcPr>
            <w:tcW w:w="850" w:type="dxa"/>
          </w:tcPr>
          <w:p>
            <w:pPr>
              <w:pStyle w:val="0"/>
              <w:jc w:val="center"/>
            </w:pPr>
            <w:r>
              <w:rPr>
                <w:sz w:val="20"/>
              </w:rPr>
              <w:t xml:space="preserve">85</w:t>
            </w:r>
          </w:p>
        </w:tc>
        <w:tc>
          <w:tcPr>
            <w:tcW w:w="794" w:type="dxa"/>
          </w:tcPr>
          <w:p>
            <w:pPr>
              <w:pStyle w:val="0"/>
              <w:jc w:val="center"/>
            </w:pPr>
            <w:r>
              <w:rPr>
                <w:sz w:val="20"/>
              </w:rPr>
              <w:t xml:space="preserve">28</w:t>
            </w:r>
          </w:p>
        </w:tc>
      </w:tr>
      <w:tr>
        <w:tc>
          <w:tcPr>
            <w:tcW w:w="2268" w:type="dxa"/>
          </w:tcPr>
          <w:p>
            <w:pPr>
              <w:pStyle w:val="0"/>
              <w:jc w:val="both"/>
            </w:pPr>
            <w:r>
              <w:rPr>
                <w:sz w:val="20"/>
              </w:rPr>
              <w:t xml:space="preserve">в т.ч. ВПС</w:t>
            </w:r>
          </w:p>
        </w:tc>
        <w:tc>
          <w:tcPr>
            <w:tcW w:w="794" w:type="dxa"/>
          </w:tcPr>
          <w:p>
            <w:pPr>
              <w:pStyle w:val="0"/>
              <w:jc w:val="center"/>
            </w:pPr>
            <w:r>
              <w:rPr>
                <w:sz w:val="20"/>
              </w:rPr>
              <w:t xml:space="preserve">-</w:t>
            </w:r>
          </w:p>
        </w:tc>
        <w:tc>
          <w:tcPr>
            <w:tcW w:w="737" w:type="dxa"/>
          </w:tcPr>
          <w:p>
            <w:pPr>
              <w:pStyle w:val="0"/>
              <w:jc w:val="center"/>
            </w:pPr>
            <w:r>
              <w:rPr>
                <w:sz w:val="20"/>
              </w:rPr>
              <w:t xml:space="preserve">-</w:t>
            </w:r>
          </w:p>
        </w:tc>
        <w:tc>
          <w:tcPr>
            <w:tcW w:w="850" w:type="dxa"/>
          </w:tcPr>
          <w:p>
            <w:pPr>
              <w:pStyle w:val="0"/>
              <w:jc w:val="center"/>
            </w:pPr>
            <w:r>
              <w:rPr>
                <w:sz w:val="20"/>
              </w:rPr>
              <w:t xml:space="preserve">-</w:t>
            </w:r>
          </w:p>
        </w:tc>
        <w:tc>
          <w:tcPr>
            <w:tcW w:w="794" w:type="dxa"/>
          </w:tcPr>
          <w:p>
            <w:pPr>
              <w:pStyle w:val="0"/>
              <w:jc w:val="center"/>
            </w:pPr>
            <w:r>
              <w:rPr>
                <w:sz w:val="20"/>
              </w:rPr>
              <w:t xml:space="preserve">-</w:t>
            </w:r>
          </w:p>
        </w:tc>
        <w:tc>
          <w:tcPr>
            <w:tcW w:w="737" w:type="dxa"/>
          </w:tcPr>
          <w:p>
            <w:pPr>
              <w:pStyle w:val="0"/>
              <w:jc w:val="center"/>
            </w:pPr>
            <w:r>
              <w:rPr>
                <w:sz w:val="20"/>
              </w:rPr>
              <w:t xml:space="preserve">-</w:t>
            </w:r>
          </w:p>
        </w:tc>
        <w:tc>
          <w:tcPr>
            <w:tcW w:w="850" w:type="dxa"/>
          </w:tcPr>
          <w:p>
            <w:pPr>
              <w:pStyle w:val="0"/>
              <w:jc w:val="center"/>
            </w:pPr>
            <w:r>
              <w:rPr>
                <w:sz w:val="20"/>
              </w:rPr>
              <w:t xml:space="preserve">-</w:t>
            </w:r>
          </w:p>
        </w:tc>
        <w:tc>
          <w:tcPr>
            <w:tcW w:w="794" w:type="dxa"/>
          </w:tcPr>
          <w:p>
            <w:pPr>
              <w:pStyle w:val="0"/>
              <w:jc w:val="center"/>
            </w:pPr>
            <w:r>
              <w:rPr>
                <w:sz w:val="20"/>
              </w:rPr>
              <w:t xml:space="preserve">1145</w:t>
            </w:r>
          </w:p>
        </w:tc>
        <w:tc>
          <w:tcPr>
            <w:tcW w:w="850" w:type="dxa"/>
          </w:tcPr>
          <w:p>
            <w:pPr>
              <w:pStyle w:val="0"/>
              <w:jc w:val="center"/>
            </w:pPr>
            <w:r>
              <w:rPr>
                <w:sz w:val="20"/>
              </w:rPr>
              <w:t xml:space="preserve">1063</w:t>
            </w:r>
          </w:p>
        </w:tc>
        <w:tc>
          <w:tcPr>
            <w:tcW w:w="764" w:type="dxa"/>
          </w:tcPr>
          <w:p>
            <w:pPr>
              <w:pStyle w:val="0"/>
              <w:jc w:val="center"/>
            </w:pPr>
            <w:r>
              <w:rPr>
                <w:sz w:val="20"/>
              </w:rPr>
              <w:t xml:space="preserve">82</w:t>
            </w:r>
          </w:p>
        </w:tc>
        <w:tc>
          <w:tcPr>
            <w:tcW w:w="737" w:type="dxa"/>
          </w:tcPr>
          <w:p>
            <w:pPr>
              <w:pStyle w:val="0"/>
              <w:jc w:val="center"/>
            </w:pPr>
            <w:r>
              <w:rPr>
                <w:sz w:val="20"/>
              </w:rPr>
              <w:t xml:space="preserve">1295</w:t>
            </w:r>
          </w:p>
        </w:tc>
        <w:tc>
          <w:tcPr>
            <w:tcW w:w="850" w:type="dxa"/>
          </w:tcPr>
          <w:p>
            <w:pPr>
              <w:pStyle w:val="0"/>
              <w:jc w:val="center"/>
            </w:pPr>
            <w:r>
              <w:rPr>
                <w:sz w:val="20"/>
              </w:rPr>
              <w:t xml:space="preserve">1233</w:t>
            </w:r>
          </w:p>
        </w:tc>
        <w:tc>
          <w:tcPr>
            <w:tcW w:w="794" w:type="dxa"/>
          </w:tcPr>
          <w:p>
            <w:pPr>
              <w:pStyle w:val="0"/>
              <w:jc w:val="center"/>
            </w:pPr>
            <w:r>
              <w:rPr>
                <w:sz w:val="20"/>
              </w:rPr>
              <w:t xml:space="preserve">62</w:t>
            </w:r>
          </w:p>
        </w:tc>
      </w:tr>
      <w:tr>
        <w:tc>
          <w:tcPr>
            <w:tcW w:w="2268" w:type="dxa"/>
          </w:tcPr>
          <w:p>
            <w:pPr>
              <w:pStyle w:val="0"/>
              <w:jc w:val="both"/>
            </w:pPr>
            <w:r>
              <w:rPr>
                <w:sz w:val="20"/>
              </w:rPr>
              <w:t xml:space="preserve">в т.ч. вр. деформация бедра</w:t>
            </w:r>
          </w:p>
        </w:tc>
        <w:tc>
          <w:tcPr>
            <w:tcW w:w="794" w:type="dxa"/>
          </w:tcPr>
          <w:p>
            <w:pPr>
              <w:pStyle w:val="0"/>
              <w:jc w:val="center"/>
            </w:pPr>
            <w:r>
              <w:rPr>
                <w:sz w:val="20"/>
              </w:rPr>
              <w:t xml:space="preserve">-</w:t>
            </w:r>
          </w:p>
        </w:tc>
        <w:tc>
          <w:tcPr>
            <w:tcW w:w="737" w:type="dxa"/>
          </w:tcPr>
          <w:p>
            <w:pPr>
              <w:pStyle w:val="0"/>
              <w:jc w:val="center"/>
            </w:pPr>
            <w:r>
              <w:rPr>
                <w:sz w:val="20"/>
              </w:rPr>
              <w:t xml:space="preserve">-</w:t>
            </w:r>
          </w:p>
        </w:tc>
        <w:tc>
          <w:tcPr>
            <w:tcW w:w="850" w:type="dxa"/>
          </w:tcPr>
          <w:p>
            <w:pPr>
              <w:pStyle w:val="0"/>
              <w:jc w:val="center"/>
            </w:pPr>
            <w:r>
              <w:rPr>
                <w:sz w:val="20"/>
              </w:rPr>
              <w:t xml:space="preserve">-</w:t>
            </w:r>
          </w:p>
        </w:tc>
        <w:tc>
          <w:tcPr>
            <w:tcW w:w="794" w:type="dxa"/>
          </w:tcPr>
          <w:p>
            <w:pPr>
              <w:pStyle w:val="0"/>
              <w:jc w:val="center"/>
            </w:pPr>
            <w:r>
              <w:rPr>
                <w:sz w:val="20"/>
              </w:rPr>
              <w:t xml:space="preserve">-</w:t>
            </w:r>
          </w:p>
        </w:tc>
        <w:tc>
          <w:tcPr>
            <w:tcW w:w="737" w:type="dxa"/>
          </w:tcPr>
          <w:p>
            <w:pPr>
              <w:pStyle w:val="0"/>
              <w:jc w:val="center"/>
            </w:pPr>
            <w:r>
              <w:rPr>
                <w:sz w:val="20"/>
              </w:rPr>
              <w:t xml:space="preserve">-</w:t>
            </w:r>
          </w:p>
        </w:tc>
        <w:tc>
          <w:tcPr>
            <w:tcW w:w="850" w:type="dxa"/>
          </w:tcPr>
          <w:p>
            <w:pPr>
              <w:pStyle w:val="0"/>
              <w:jc w:val="center"/>
            </w:pPr>
            <w:r>
              <w:rPr>
                <w:sz w:val="20"/>
              </w:rPr>
              <w:t xml:space="preserve">-</w:t>
            </w:r>
          </w:p>
        </w:tc>
        <w:tc>
          <w:tcPr>
            <w:tcW w:w="794" w:type="dxa"/>
          </w:tcPr>
          <w:p>
            <w:pPr>
              <w:pStyle w:val="0"/>
              <w:jc w:val="center"/>
            </w:pPr>
            <w:r>
              <w:rPr>
                <w:sz w:val="20"/>
              </w:rPr>
              <w:t xml:space="preserve">149</w:t>
            </w:r>
          </w:p>
        </w:tc>
        <w:tc>
          <w:tcPr>
            <w:tcW w:w="850" w:type="dxa"/>
          </w:tcPr>
          <w:p>
            <w:pPr>
              <w:pStyle w:val="0"/>
              <w:jc w:val="center"/>
            </w:pPr>
            <w:r>
              <w:rPr>
                <w:sz w:val="20"/>
              </w:rPr>
              <w:t xml:space="preserve">141</w:t>
            </w:r>
          </w:p>
        </w:tc>
        <w:tc>
          <w:tcPr>
            <w:tcW w:w="764" w:type="dxa"/>
          </w:tcPr>
          <w:p>
            <w:pPr>
              <w:pStyle w:val="0"/>
              <w:jc w:val="center"/>
            </w:pPr>
            <w:r>
              <w:rPr>
                <w:sz w:val="20"/>
              </w:rPr>
              <w:t xml:space="preserve">8</w:t>
            </w:r>
          </w:p>
        </w:tc>
        <w:tc>
          <w:tcPr>
            <w:tcW w:w="737" w:type="dxa"/>
          </w:tcPr>
          <w:p>
            <w:pPr>
              <w:pStyle w:val="0"/>
              <w:jc w:val="center"/>
            </w:pPr>
            <w:r>
              <w:rPr>
                <w:sz w:val="20"/>
              </w:rPr>
              <w:t xml:space="preserve">147</w:t>
            </w:r>
          </w:p>
        </w:tc>
        <w:tc>
          <w:tcPr>
            <w:tcW w:w="850" w:type="dxa"/>
          </w:tcPr>
          <w:p>
            <w:pPr>
              <w:pStyle w:val="0"/>
              <w:jc w:val="center"/>
            </w:pPr>
            <w:r>
              <w:rPr>
                <w:sz w:val="20"/>
              </w:rPr>
              <w:t xml:space="preserve">135</w:t>
            </w:r>
          </w:p>
        </w:tc>
        <w:tc>
          <w:tcPr>
            <w:tcW w:w="794" w:type="dxa"/>
          </w:tcPr>
          <w:p>
            <w:pPr>
              <w:pStyle w:val="0"/>
              <w:jc w:val="center"/>
            </w:pPr>
            <w:r>
              <w:rPr>
                <w:sz w:val="20"/>
              </w:rPr>
              <w:t xml:space="preserve">12</w:t>
            </w:r>
          </w:p>
        </w:tc>
      </w:tr>
      <w:tr>
        <w:tc>
          <w:tcPr>
            <w:tcW w:w="2268" w:type="dxa"/>
          </w:tcPr>
          <w:p>
            <w:pPr>
              <w:pStyle w:val="0"/>
              <w:jc w:val="both"/>
            </w:pPr>
            <w:r>
              <w:rPr>
                <w:sz w:val="20"/>
              </w:rPr>
              <w:t xml:space="preserve">травмы</w:t>
            </w:r>
          </w:p>
        </w:tc>
        <w:tc>
          <w:tcPr>
            <w:tcW w:w="794" w:type="dxa"/>
          </w:tcPr>
          <w:p>
            <w:pPr>
              <w:pStyle w:val="0"/>
              <w:jc w:val="center"/>
            </w:pPr>
            <w:r>
              <w:rPr>
                <w:sz w:val="20"/>
              </w:rPr>
              <w:t xml:space="preserve">15</w:t>
            </w:r>
          </w:p>
        </w:tc>
        <w:tc>
          <w:tcPr>
            <w:tcW w:w="737" w:type="dxa"/>
          </w:tcPr>
          <w:p>
            <w:pPr>
              <w:pStyle w:val="0"/>
              <w:jc w:val="center"/>
            </w:pPr>
            <w:r>
              <w:rPr>
                <w:sz w:val="20"/>
              </w:rPr>
              <w:t xml:space="preserve">12</w:t>
            </w:r>
          </w:p>
        </w:tc>
        <w:tc>
          <w:tcPr>
            <w:tcW w:w="850" w:type="dxa"/>
          </w:tcPr>
          <w:p>
            <w:pPr>
              <w:pStyle w:val="0"/>
              <w:jc w:val="center"/>
            </w:pPr>
            <w:r>
              <w:rPr>
                <w:sz w:val="20"/>
              </w:rPr>
              <w:t xml:space="preserve">3</w:t>
            </w:r>
          </w:p>
        </w:tc>
        <w:tc>
          <w:tcPr>
            <w:tcW w:w="794" w:type="dxa"/>
          </w:tcPr>
          <w:p>
            <w:pPr>
              <w:pStyle w:val="0"/>
              <w:jc w:val="center"/>
            </w:pPr>
            <w:r>
              <w:rPr>
                <w:sz w:val="20"/>
              </w:rPr>
              <w:t xml:space="preserve">0</w:t>
            </w:r>
          </w:p>
        </w:tc>
        <w:tc>
          <w:tcPr>
            <w:tcW w:w="737" w:type="dxa"/>
          </w:tcPr>
          <w:p>
            <w:pPr>
              <w:pStyle w:val="0"/>
              <w:jc w:val="center"/>
            </w:pPr>
            <w:r>
              <w:rPr>
                <w:sz w:val="20"/>
              </w:rPr>
              <w:t xml:space="preserve">0</w:t>
            </w:r>
          </w:p>
        </w:tc>
        <w:tc>
          <w:tcPr>
            <w:tcW w:w="850" w:type="dxa"/>
          </w:tcPr>
          <w:p>
            <w:pPr>
              <w:pStyle w:val="0"/>
              <w:jc w:val="center"/>
            </w:pPr>
            <w:r>
              <w:rPr>
                <w:sz w:val="20"/>
              </w:rPr>
              <w:t xml:space="preserve">0</w:t>
            </w:r>
          </w:p>
        </w:tc>
        <w:tc>
          <w:tcPr>
            <w:tcW w:w="794" w:type="dxa"/>
          </w:tcPr>
          <w:p>
            <w:pPr>
              <w:pStyle w:val="0"/>
              <w:jc w:val="center"/>
            </w:pPr>
            <w:r>
              <w:rPr>
                <w:sz w:val="20"/>
              </w:rPr>
              <w:t xml:space="preserve">5</w:t>
            </w:r>
          </w:p>
        </w:tc>
        <w:tc>
          <w:tcPr>
            <w:tcW w:w="850" w:type="dxa"/>
          </w:tcPr>
          <w:p>
            <w:pPr>
              <w:pStyle w:val="0"/>
              <w:jc w:val="center"/>
            </w:pPr>
            <w:r>
              <w:rPr>
                <w:sz w:val="20"/>
              </w:rPr>
              <w:t xml:space="preserve">5</w:t>
            </w:r>
          </w:p>
        </w:tc>
        <w:tc>
          <w:tcPr>
            <w:tcW w:w="764" w:type="dxa"/>
          </w:tcPr>
          <w:p>
            <w:pPr>
              <w:pStyle w:val="0"/>
              <w:jc w:val="center"/>
            </w:pPr>
            <w:r>
              <w:rPr>
                <w:sz w:val="20"/>
              </w:rPr>
              <w:t xml:space="preserve">0</w:t>
            </w:r>
          </w:p>
        </w:tc>
        <w:tc>
          <w:tcPr>
            <w:tcW w:w="737" w:type="dxa"/>
          </w:tcPr>
          <w:p>
            <w:pPr>
              <w:pStyle w:val="0"/>
              <w:jc w:val="center"/>
            </w:pPr>
            <w:r>
              <w:rPr>
                <w:sz w:val="20"/>
              </w:rPr>
              <w:t xml:space="preserve">2</w:t>
            </w:r>
          </w:p>
        </w:tc>
        <w:tc>
          <w:tcPr>
            <w:tcW w:w="850" w:type="dxa"/>
          </w:tcPr>
          <w:p>
            <w:pPr>
              <w:pStyle w:val="0"/>
              <w:jc w:val="center"/>
            </w:pPr>
            <w:r>
              <w:rPr>
                <w:sz w:val="20"/>
              </w:rPr>
              <w:t xml:space="preserve">1</w:t>
            </w:r>
          </w:p>
        </w:tc>
        <w:tc>
          <w:tcPr>
            <w:tcW w:w="794" w:type="dxa"/>
          </w:tcPr>
          <w:p>
            <w:pPr>
              <w:pStyle w:val="0"/>
              <w:jc w:val="center"/>
            </w:pPr>
            <w:r>
              <w:rPr>
                <w:sz w:val="20"/>
              </w:rPr>
              <w:t xml:space="preserve">1</w:t>
            </w:r>
          </w:p>
        </w:tc>
      </w:tr>
      <w:tr>
        <w:tc>
          <w:tcPr>
            <w:tcW w:w="2268" w:type="dxa"/>
          </w:tcPr>
          <w:p>
            <w:pPr>
              <w:pStyle w:val="0"/>
              <w:jc w:val="both"/>
            </w:pPr>
            <w:r>
              <w:rPr>
                <w:sz w:val="20"/>
              </w:rPr>
              <w:t xml:space="preserve">COVID-19</w:t>
            </w:r>
          </w:p>
          <w:p>
            <w:pPr>
              <w:pStyle w:val="0"/>
              <w:jc w:val="both"/>
            </w:pPr>
            <w:r>
              <w:rPr>
                <w:sz w:val="20"/>
              </w:rPr>
              <w:t xml:space="preserve">(U07.1, U07.2)</w:t>
            </w:r>
          </w:p>
        </w:tc>
        <w:tc>
          <w:tcPr>
            <w:tcW w:w="794" w:type="dxa"/>
          </w:tcPr>
          <w:p>
            <w:pPr>
              <w:pStyle w:val="0"/>
              <w:jc w:val="center"/>
            </w:pPr>
            <w:r>
              <w:rPr>
                <w:sz w:val="20"/>
              </w:rPr>
              <w:t xml:space="preserve">-</w:t>
            </w:r>
          </w:p>
        </w:tc>
        <w:tc>
          <w:tcPr>
            <w:tcW w:w="737" w:type="dxa"/>
          </w:tcPr>
          <w:p>
            <w:pPr>
              <w:pStyle w:val="0"/>
              <w:jc w:val="center"/>
            </w:pPr>
            <w:r>
              <w:rPr>
                <w:sz w:val="20"/>
              </w:rPr>
              <w:t xml:space="preserve">-</w:t>
            </w:r>
          </w:p>
        </w:tc>
        <w:tc>
          <w:tcPr>
            <w:tcW w:w="850" w:type="dxa"/>
          </w:tcPr>
          <w:p>
            <w:pPr>
              <w:pStyle w:val="0"/>
              <w:jc w:val="center"/>
            </w:pPr>
            <w:r>
              <w:rPr>
                <w:sz w:val="20"/>
              </w:rPr>
              <w:t xml:space="preserve">-</w:t>
            </w:r>
          </w:p>
        </w:tc>
        <w:tc>
          <w:tcPr>
            <w:tcW w:w="794" w:type="dxa"/>
          </w:tcPr>
          <w:p>
            <w:pPr>
              <w:pStyle w:val="0"/>
              <w:jc w:val="center"/>
            </w:pPr>
            <w:r>
              <w:rPr>
                <w:sz w:val="20"/>
              </w:rPr>
              <w:t xml:space="preserve">363</w:t>
            </w:r>
          </w:p>
        </w:tc>
        <w:tc>
          <w:tcPr>
            <w:tcW w:w="737" w:type="dxa"/>
          </w:tcPr>
          <w:p>
            <w:pPr>
              <w:pStyle w:val="0"/>
              <w:jc w:val="center"/>
            </w:pPr>
            <w:r>
              <w:rPr>
                <w:sz w:val="20"/>
              </w:rPr>
              <w:t xml:space="preserve">256</w:t>
            </w:r>
          </w:p>
        </w:tc>
        <w:tc>
          <w:tcPr>
            <w:tcW w:w="850" w:type="dxa"/>
          </w:tcPr>
          <w:p>
            <w:pPr>
              <w:pStyle w:val="0"/>
              <w:jc w:val="center"/>
            </w:pPr>
            <w:r>
              <w:rPr>
                <w:sz w:val="20"/>
              </w:rPr>
              <w:t xml:space="preserve">107</w:t>
            </w:r>
          </w:p>
        </w:tc>
        <w:tc>
          <w:tcPr>
            <w:tcW w:w="794" w:type="dxa"/>
          </w:tcPr>
          <w:p>
            <w:pPr>
              <w:pStyle w:val="0"/>
              <w:jc w:val="center"/>
            </w:pPr>
            <w:r>
              <w:rPr>
                <w:sz w:val="20"/>
              </w:rPr>
              <w:t xml:space="preserve">1853</w:t>
            </w:r>
          </w:p>
        </w:tc>
        <w:tc>
          <w:tcPr>
            <w:tcW w:w="850" w:type="dxa"/>
          </w:tcPr>
          <w:p>
            <w:pPr>
              <w:pStyle w:val="0"/>
              <w:jc w:val="center"/>
            </w:pPr>
            <w:r>
              <w:rPr>
                <w:sz w:val="20"/>
              </w:rPr>
              <w:t xml:space="preserve">1454</w:t>
            </w:r>
          </w:p>
        </w:tc>
        <w:tc>
          <w:tcPr>
            <w:tcW w:w="764" w:type="dxa"/>
          </w:tcPr>
          <w:p>
            <w:pPr>
              <w:pStyle w:val="0"/>
              <w:jc w:val="center"/>
            </w:pPr>
            <w:r>
              <w:rPr>
                <w:sz w:val="20"/>
              </w:rPr>
              <w:t xml:space="preserve">399</w:t>
            </w:r>
          </w:p>
        </w:tc>
        <w:tc>
          <w:tcPr>
            <w:tcW w:w="737" w:type="dxa"/>
          </w:tcPr>
          <w:p>
            <w:pPr>
              <w:pStyle w:val="0"/>
              <w:jc w:val="center"/>
            </w:pPr>
            <w:r>
              <w:rPr>
                <w:sz w:val="20"/>
              </w:rPr>
              <w:t xml:space="preserve">3528</w:t>
            </w:r>
          </w:p>
        </w:tc>
        <w:tc>
          <w:tcPr>
            <w:tcW w:w="850" w:type="dxa"/>
          </w:tcPr>
          <w:p>
            <w:pPr>
              <w:pStyle w:val="0"/>
              <w:jc w:val="center"/>
            </w:pPr>
            <w:r>
              <w:rPr>
                <w:sz w:val="20"/>
              </w:rPr>
              <w:t xml:space="preserve">2737</w:t>
            </w:r>
          </w:p>
        </w:tc>
        <w:tc>
          <w:tcPr>
            <w:tcW w:w="794" w:type="dxa"/>
          </w:tcPr>
          <w:p>
            <w:pPr>
              <w:pStyle w:val="0"/>
              <w:jc w:val="center"/>
            </w:pPr>
            <w:r>
              <w:rPr>
                <w:sz w:val="20"/>
              </w:rPr>
              <w:t xml:space="preserve">791</w:t>
            </w:r>
          </w:p>
        </w:tc>
      </w:tr>
    </w:tbl>
    <w:p>
      <w:pPr>
        <w:pStyle w:val="0"/>
        <w:ind w:firstLine="540"/>
        <w:jc w:val="both"/>
      </w:pPr>
      <w:r>
        <w:rPr>
          <w:sz w:val="20"/>
        </w:rPr>
      </w:r>
    </w:p>
    <w:p>
      <w:pPr>
        <w:pStyle w:val="0"/>
        <w:ind w:firstLine="540"/>
        <w:jc w:val="both"/>
      </w:pPr>
      <w:r>
        <w:rPr>
          <w:sz w:val="20"/>
        </w:rPr>
        <w:t xml:space="preserve">В 2022 году, как и в 2021, количество детей, находящихся под диспансерным наблюдением, остается высоким (27% от всего детского населения), но в 2022 году отмечается снижение диспансерной группы в абсолютных и относительных цифрах. Среди больных, находящихся под динамическим диспансерным наблюдением, отмечается рост в группе заболеваний нервной системы, но число ДЦП не увеличилось, рост заболеваний психиатрического профиля, увеличилась диспансерная группа заболеваний костно-мышечной системы, в том числе за счет сколиозов (деформирующие дорсопатии), количество травм в сравнении с 2021 годом не увеличилось. В новой нозологической диспансерной группе детей, перенесших COVID-19, отмечается значительный рост.</w:t>
      </w:r>
    </w:p>
    <w:p>
      <w:pPr>
        <w:pStyle w:val="0"/>
        <w:spacing w:before="200" w:line-rule="auto"/>
        <w:ind w:firstLine="540"/>
        <w:jc w:val="both"/>
      </w:pPr>
      <w:r>
        <w:rPr>
          <w:sz w:val="20"/>
        </w:rPr>
        <w:t xml:space="preserve">1.3. Анализ динамики показателей инвалидизации населения города Севастополя.</w:t>
      </w:r>
    </w:p>
    <w:p>
      <w:pPr>
        <w:pStyle w:val="0"/>
        <w:spacing w:before="200" w:line-rule="auto"/>
        <w:ind w:firstLine="540"/>
        <w:jc w:val="both"/>
      </w:pPr>
      <w:r>
        <w:rPr>
          <w:sz w:val="20"/>
        </w:rPr>
        <w:t xml:space="preserve">В </w:t>
      </w:r>
      <w:hyperlink w:history="0" w:anchor="P42748" w:tooltip="Численность инвалидов по возрастным группам">
        <w:r>
          <w:rPr>
            <w:sz w:val="20"/>
            <w:color w:val="0000ff"/>
          </w:rPr>
          <w:t xml:space="preserve">таблице 6</w:t>
        </w:r>
      </w:hyperlink>
      <w:r>
        <w:rPr>
          <w:sz w:val="20"/>
        </w:rPr>
        <w:t xml:space="preserve"> представлены данные первичных освидетельствований граждан по городу Севастополю в разрезе возрастных категорий за 2018 - 2022 годы.</w:t>
      </w:r>
    </w:p>
    <w:p>
      <w:pPr>
        <w:pStyle w:val="0"/>
        <w:ind w:firstLine="540"/>
        <w:jc w:val="both"/>
      </w:pPr>
      <w:r>
        <w:rPr>
          <w:sz w:val="20"/>
        </w:rPr>
      </w:r>
    </w:p>
    <w:p>
      <w:pPr>
        <w:pStyle w:val="0"/>
        <w:jc w:val="right"/>
      </w:pPr>
      <w:r>
        <w:rPr>
          <w:sz w:val="20"/>
        </w:rPr>
        <w:t xml:space="preserve">Таблица 6</w:t>
      </w:r>
    </w:p>
    <w:p>
      <w:pPr>
        <w:pStyle w:val="0"/>
        <w:jc w:val="right"/>
      </w:pPr>
      <w:r>
        <w:rPr>
          <w:sz w:val="20"/>
        </w:rPr>
      </w:r>
    </w:p>
    <w:bookmarkStart w:id="42748" w:name="P42748"/>
    <w:bookmarkEnd w:id="42748"/>
    <w:p>
      <w:pPr>
        <w:pStyle w:val="0"/>
        <w:jc w:val="center"/>
      </w:pPr>
      <w:r>
        <w:rPr>
          <w:sz w:val="20"/>
        </w:rPr>
        <w:t xml:space="preserve">Численность инвалидов по возрастным группам</w:t>
      </w:r>
    </w:p>
    <w:p>
      <w:pPr>
        <w:pStyle w:val="0"/>
        <w:jc w:val="center"/>
      </w:pPr>
      <w:r>
        <w:rPr>
          <w:sz w:val="20"/>
        </w:rPr>
        <w:t xml:space="preserve">в Российской Федерации, Южном федеральном округе и в городе</w:t>
      </w:r>
    </w:p>
    <w:p>
      <w:pPr>
        <w:pStyle w:val="0"/>
        <w:jc w:val="center"/>
      </w:pPr>
      <w:r>
        <w:rPr>
          <w:sz w:val="20"/>
        </w:rPr>
        <w:t xml:space="preserve">Севастополе по состоянию на 1 января 2019 - 2022 гг.</w:t>
      </w:r>
    </w:p>
    <w:p>
      <w:pPr>
        <w:pStyle w:val="0"/>
        <w:jc w:val="center"/>
      </w:pPr>
      <w:r>
        <w:rPr>
          <w:sz w:val="20"/>
        </w:rPr>
        <w:t xml:space="preserve">(по данным ФГИС Федеральный реестр инвалидов)</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247"/>
        <w:gridCol w:w="956"/>
        <w:gridCol w:w="683"/>
        <w:gridCol w:w="907"/>
        <w:gridCol w:w="895"/>
        <w:gridCol w:w="907"/>
        <w:gridCol w:w="737"/>
        <w:gridCol w:w="1020"/>
        <w:gridCol w:w="794"/>
        <w:gridCol w:w="1134"/>
        <w:gridCol w:w="992"/>
        <w:gridCol w:w="1020"/>
        <w:gridCol w:w="737"/>
      </w:tblGrid>
      <w:tr>
        <w:tc>
          <w:tcPr>
            <w:tcW w:w="1531" w:type="dxa"/>
            <w:vMerge w:val="restart"/>
          </w:tcPr>
          <w:p>
            <w:pPr>
              <w:pStyle w:val="0"/>
              <w:jc w:val="center"/>
            </w:pPr>
            <w:r>
              <w:rPr>
                <w:sz w:val="20"/>
              </w:rPr>
              <w:t xml:space="preserve">Округ</w:t>
            </w:r>
          </w:p>
        </w:tc>
        <w:tc>
          <w:tcPr>
            <w:tcW w:w="1247" w:type="dxa"/>
            <w:vMerge w:val="restart"/>
          </w:tcPr>
          <w:p>
            <w:pPr>
              <w:pStyle w:val="0"/>
              <w:jc w:val="center"/>
            </w:pPr>
            <w:r>
              <w:rPr>
                <w:sz w:val="20"/>
              </w:rPr>
              <w:t xml:space="preserve">Всего</w:t>
            </w:r>
          </w:p>
        </w:tc>
        <w:tc>
          <w:tcPr>
            <w:gridSpan w:val="2"/>
            <w:tcW w:w="1639" w:type="dxa"/>
          </w:tcPr>
          <w:p>
            <w:pPr>
              <w:pStyle w:val="0"/>
              <w:jc w:val="center"/>
            </w:pPr>
            <w:r>
              <w:rPr>
                <w:sz w:val="20"/>
              </w:rPr>
              <w:t xml:space="preserve">Дети до 17 лет вкл.</w:t>
            </w:r>
          </w:p>
        </w:tc>
        <w:tc>
          <w:tcPr>
            <w:gridSpan w:val="2"/>
            <w:tcW w:w="1802" w:type="dxa"/>
          </w:tcPr>
          <w:p>
            <w:pPr>
              <w:pStyle w:val="0"/>
              <w:jc w:val="center"/>
            </w:pPr>
            <w:r>
              <w:rPr>
                <w:sz w:val="20"/>
              </w:rPr>
              <w:t xml:space="preserve">18 - 30 лет</w:t>
            </w:r>
          </w:p>
        </w:tc>
        <w:tc>
          <w:tcPr>
            <w:gridSpan w:val="2"/>
            <w:tcW w:w="1644" w:type="dxa"/>
          </w:tcPr>
          <w:p>
            <w:pPr>
              <w:pStyle w:val="0"/>
              <w:jc w:val="center"/>
            </w:pPr>
            <w:r>
              <w:rPr>
                <w:sz w:val="20"/>
              </w:rPr>
              <w:t xml:space="preserve">31 - 40 лет</w:t>
            </w:r>
          </w:p>
        </w:tc>
        <w:tc>
          <w:tcPr>
            <w:gridSpan w:val="2"/>
            <w:tcW w:w="1814" w:type="dxa"/>
          </w:tcPr>
          <w:p>
            <w:pPr>
              <w:pStyle w:val="0"/>
              <w:jc w:val="center"/>
            </w:pPr>
            <w:r>
              <w:rPr>
                <w:sz w:val="20"/>
              </w:rPr>
              <w:t xml:space="preserve">41 - 50 лет</w:t>
            </w:r>
          </w:p>
        </w:tc>
        <w:tc>
          <w:tcPr>
            <w:gridSpan w:val="2"/>
            <w:tcW w:w="2126" w:type="dxa"/>
          </w:tcPr>
          <w:p>
            <w:pPr>
              <w:pStyle w:val="0"/>
              <w:jc w:val="center"/>
            </w:pPr>
            <w:r>
              <w:rPr>
                <w:sz w:val="20"/>
              </w:rPr>
              <w:t xml:space="preserve">51 - 60 лет</w:t>
            </w:r>
          </w:p>
        </w:tc>
        <w:tc>
          <w:tcPr>
            <w:gridSpan w:val="2"/>
            <w:tcW w:w="1757" w:type="dxa"/>
          </w:tcPr>
          <w:p>
            <w:pPr>
              <w:pStyle w:val="0"/>
              <w:jc w:val="center"/>
            </w:pPr>
            <w:r>
              <w:rPr>
                <w:sz w:val="20"/>
              </w:rPr>
              <w:t xml:space="preserve">Свыше 60 лет</w:t>
            </w:r>
          </w:p>
        </w:tc>
      </w:tr>
      <w:tr>
        <w:tc>
          <w:tcPr>
            <w:vMerge w:val="continue"/>
          </w:tcPr>
          <w:p/>
        </w:tc>
        <w:tc>
          <w:tcPr>
            <w:vMerge w:val="continue"/>
          </w:tcPr>
          <w:p/>
        </w:tc>
        <w:tc>
          <w:tcPr>
            <w:tcW w:w="956" w:type="dxa"/>
          </w:tcPr>
          <w:p>
            <w:pPr>
              <w:pStyle w:val="0"/>
              <w:jc w:val="center"/>
            </w:pPr>
            <w:r>
              <w:rPr>
                <w:sz w:val="20"/>
              </w:rPr>
              <w:t xml:space="preserve">чел.</w:t>
            </w:r>
          </w:p>
        </w:tc>
        <w:tc>
          <w:tcPr>
            <w:tcW w:w="683" w:type="dxa"/>
          </w:tcPr>
          <w:p>
            <w:pPr>
              <w:pStyle w:val="0"/>
              <w:jc w:val="center"/>
            </w:pPr>
            <w:r>
              <w:rPr>
                <w:sz w:val="20"/>
              </w:rPr>
              <w:t xml:space="preserve">доля, %</w:t>
            </w:r>
          </w:p>
        </w:tc>
        <w:tc>
          <w:tcPr>
            <w:tcW w:w="907" w:type="dxa"/>
          </w:tcPr>
          <w:p>
            <w:pPr>
              <w:pStyle w:val="0"/>
              <w:jc w:val="center"/>
            </w:pPr>
            <w:r>
              <w:rPr>
                <w:sz w:val="20"/>
              </w:rPr>
              <w:t xml:space="preserve">чел.</w:t>
            </w:r>
          </w:p>
        </w:tc>
        <w:tc>
          <w:tcPr>
            <w:tcW w:w="895" w:type="dxa"/>
          </w:tcPr>
          <w:p>
            <w:pPr>
              <w:pStyle w:val="0"/>
              <w:jc w:val="center"/>
            </w:pPr>
            <w:r>
              <w:rPr>
                <w:sz w:val="20"/>
              </w:rPr>
              <w:t xml:space="preserve">доля, %</w:t>
            </w:r>
          </w:p>
        </w:tc>
        <w:tc>
          <w:tcPr>
            <w:tcW w:w="907" w:type="dxa"/>
          </w:tcPr>
          <w:p>
            <w:pPr>
              <w:pStyle w:val="0"/>
              <w:jc w:val="center"/>
            </w:pPr>
            <w:r>
              <w:rPr>
                <w:sz w:val="20"/>
              </w:rPr>
              <w:t xml:space="preserve">чел.</w:t>
            </w:r>
          </w:p>
        </w:tc>
        <w:tc>
          <w:tcPr>
            <w:tcW w:w="737" w:type="dxa"/>
          </w:tcPr>
          <w:p>
            <w:pPr>
              <w:pStyle w:val="0"/>
              <w:jc w:val="center"/>
            </w:pPr>
            <w:r>
              <w:rPr>
                <w:sz w:val="20"/>
              </w:rPr>
              <w:t xml:space="preserve">доля, %</w:t>
            </w:r>
          </w:p>
        </w:tc>
        <w:tc>
          <w:tcPr>
            <w:tcW w:w="1020" w:type="dxa"/>
          </w:tcPr>
          <w:p>
            <w:pPr>
              <w:pStyle w:val="0"/>
              <w:jc w:val="center"/>
            </w:pPr>
            <w:r>
              <w:rPr>
                <w:sz w:val="20"/>
              </w:rPr>
              <w:t xml:space="preserve">чел.</w:t>
            </w:r>
          </w:p>
        </w:tc>
        <w:tc>
          <w:tcPr>
            <w:tcW w:w="794" w:type="dxa"/>
          </w:tcPr>
          <w:p>
            <w:pPr>
              <w:pStyle w:val="0"/>
              <w:jc w:val="center"/>
            </w:pPr>
            <w:r>
              <w:rPr>
                <w:sz w:val="20"/>
              </w:rPr>
              <w:t xml:space="preserve">доля, %</w:t>
            </w:r>
          </w:p>
        </w:tc>
        <w:tc>
          <w:tcPr>
            <w:tcW w:w="1134" w:type="dxa"/>
          </w:tcPr>
          <w:p>
            <w:pPr>
              <w:pStyle w:val="0"/>
              <w:jc w:val="center"/>
            </w:pPr>
            <w:r>
              <w:rPr>
                <w:sz w:val="20"/>
              </w:rPr>
              <w:t xml:space="preserve">чел.</w:t>
            </w:r>
          </w:p>
        </w:tc>
        <w:tc>
          <w:tcPr>
            <w:tcW w:w="992" w:type="dxa"/>
          </w:tcPr>
          <w:p>
            <w:pPr>
              <w:pStyle w:val="0"/>
              <w:jc w:val="center"/>
            </w:pPr>
            <w:r>
              <w:rPr>
                <w:sz w:val="20"/>
              </w:rPr>
              <w:t xml:space="preserve">доля, %</w:t>
            </w:r>
          </w:p>
        </w:tc>
        <w:tc>
          <w:tcPr>
            <w:tcW w:w="1020" w:type="dxa"/>
          </w:tcPr>
          <w:p>
            <w:pPr>
              <w:pStyle w:val="0"/>
              <w:jc w:val="center"/>
            </w:pPr>
            <w:r>
              <w:rPr>
                <w:sz w:val="20"/>
              </w:rPr>
              <w:t xml:space="preserve">чел.</w:t>
            </w:r>
          </w:p>
        </w:tc>
        <w:tc>
          <w:tcPr>
            <w:tcW w:w="737" w:type="dxa"/>
          </w:tcPr>
          <w:p>
            <w:pPr>
              <w:pStyle w:val="0"/>
              <w:jc w:val="center"/>
            </w:pPr>
            <w:r>
              <w:rPr>
                <w:sz w:val="20"/>
              </w:rPr>
              <w:t xml:space="preserve">доля, %</w:t>
            </w:r>
          </w:p>
        </w:tc>
      </w:tr>
      <w:tr>
        <w:tc>
          <w:tcPr>
            <w:gridSpan w:val="14"/>
            <w:tcW w:w="13560" w:type="dxa"/>
          </w:tcPr>
          <w:p>
            <w:pPr>
              <w:pStyle w:val="0"/>
              <w:jc w:val="center"/>
            </w:pPr>
            <w:r>
              <w:rPr>
                <w:sz w:val="20"/>
              </w:rPr>
              <w:t xml:space="preserve">на 01.01.2022</w:t>
            </w:r>
          </w:p>
        </w:tc>
      </w:tr>
      <w:tr>
        <w:tc>
          <w:tcPr>
            <w:tcW w:w="1531" w:type="dxa"/>
          </w:tcPr>
          <w:p>
            <w:pPr>
              <w:pStyle w:val="0"/>
              <w:jc w:val="both"/>
            </w:pPr>
            <w:r>
              <w:rPr>
                <w:sz w:val="20"/>
              </w:rPr>
              <w:t xml:space="preserve">РФ</w:t>
            </w:r>
          </w:p>
        </w:tc>
        <w:tc>
          <w:tcPr>
            <w:tcW w:w="1247" w:type="dxa"/>
          </w:tcPr>
          <w:p>
            <w:pPr>
              <w:pStyle w:val="0"/>
              <w:jc w:val="center"/>
            </w:pPr>
            <w:r>
              <w:rPr>
                <w:sz w:val="20"/>
              </w:rPr>
              <w:t xml:space="preserve">11632958</w:t>
            </w:r>
          </w:p>
        </w:tc>
        <w:tc>
          <w:tcPr>
            <w:tcW w:w="956" w:type="dxa"/>
          </w:tcPr>
          <w:p>
            <w:pPr>
              <w:pStyle w:val="0"/>
              <w:jc w:val="center"/>
            </w:pPr>
            <w:r>
              <w:rPr>
                <w:sz w:val="20"/>
              </w:rPr>
              <w:t xml:space="preserve">703969</w:t>
            </w:r>
          </w:p>
        </w:tc>
        <w:tc>
          <w:tcPr>
            <w:tcW w:w="683" w:type="dxa"/>
          </w:tcPr>
          <w:p>
            <w:pPr>
              <w:pStyle w:val="0"/>
              <w:jc w:val="center"/>
            </w:pPr>
            <w:r>
              <w:rPr>
                <w:sz w:val="20"/>
              </w:rPr>
              <w:t xml:space="preserve">6,05</w:t>
            </w:r>
          </w:p>
        </w:tc>
        <w:tc>
          <w:tcPr>
            <w:tcW w:w="907" w:type="dxa"/>
          </w:tcPr>
          <w:p>
            <w:pPr>
              <w:pStyle w:val="0"/>
              <w:jc w:val="center"/>
            </w:pPr>
            <w:r>
              <w:rPr>
                <w:sz w:val="20"/>
              </w:rPr>
              <w:t xml:space="preserve">485189</w:t>
            </w:r>
          </w:p>
        </w:tc>
        <w:tc>
          <w:tcPr>
            <w:tcW w:w="895" w:type="dxa"/>
          </w:tcPr>
          <w:p>
            <w:pPr>
              <w:pStyle w:val="0"/>
              <w:jc w:val="center"/>
            </w:pPr>
            <w:r>
              <w:rPr>
                <w:sz w:val="20"/>
              </w:rPr>
              <w:t xml:space="preserve">4,44</w:t>
            </w:r>
          </w:p>
        </w:tc>
        <w:tc>
          <w:tcPr>
            <w:tcW w:w="907" w:type="dxa"/>
          </w:tcPr>
          <w:p>
            <w:pPr>
              <w:pStyle w:val="0"/>
              <w:jc w:val="center"/>
            </w:pPr>
            <w:r>
              <w:rPr>
                <w:sz w:val="20"/>
              </w:rPr>
              <w:t xml:space="preserve">796087</w:t>
            </w:r>
          </w:p>
        </w:tc>
        <w:tc>
          <w:tcPr>
            <w:tcW w:w="737" w:type="dxa"/>
          </w:tcPr>
          <w:p>
            <w:pPr>
              <w:pStyle w:val="0"/>
              <w:jc w:val="center"/>
            </w:pPr>
            <w:r>
              <w:rPr>
                <w:sz w:val="20"/>
              </w:rPr>
              <w:t xml:space="preserve">7,28</w:t>
            </w:r>
          </w:p>
        </w:tc>
        <w:tc>
          <w:tcPr>
            <w:tcW w:w="1020" w:type="dxa"/>
          </w:tcPr>
          <w:p>
            <w:pPr>
              <w:pStyle w:val="0"/>
              <w:jc w:val="center"/>
            </w:pPr>
            <w:r>
              <w:rPr>
                <w:sz w:val="20"/>
              </w:rPr>
              <w:t xml:space="preserve">1065956</w:t>
            </w:r>
          </w:p>
        </w:tc>
        <w:tc>
          <w:tcPr>
            <w:tcW w:w="794" w:type="dxa"/>
          </w:tcPr>
          <w:p>
            <w:pPr>
              <w:pStyle w:val="0"/>
              <w:jc w:val="center"/>
            </w:pPr>
            <w:r>
              <w:rPr>
                <w:sz w:val="20"/>
              </w:rPr>
              <w:t xml:space="preserve">9,75</w:t>
            </w:r>
          </w:p>
        </w:tc>
        <w:tc>
          <w:tcPr>
            <w:tcW w:w="1134" w:type="dxa"/>
          </w:tcPr>
          <w:p>
            <w:pPr>
              <w:pStyle w:val="0"/>
              <w:jc w:val="center"/>
            </w:pPr>
            <w:r>
              <w:rPr>
                <w:sz w:val="20"/>
              </w:rPr>
              <w:t xml:space="preserve">1787254</w:t>
            </w:r>
          </w:p>
        </w:tc>
        <w:tc>
          <w:tcPr>
            <w:tcW w:w="992" w:type="dxa"/>
          </w:tcPr>
          <w:p>
            <w:pPr>
              <w:pStyle w:val="0"/>
              <w:jc w:val="center"/>
            </w:pPr>
            <w:r>
              <w:rPr>
                <w:sz w:val="20"/>
              </w:rPr>
              <w:t xml:space="preserve">16,35</w:t>
            </w:r>
          </w:p>
        </w:tc>
        <w:tc>
          <w:tcPr>
            <w:tcW w:w="1020" w:type="dxa"/>
          </w:tcPr>
          <w:p>
            <w:pPr>
              <w:pStyle w:val="0"/>
              <w:jc w:val="center"/>
            </w:pPr>
            <w:r>
              <w:rPr>
                <w:sz w:val="20"/>
              </w:rPr>
              <w:t xml:space="preserve">6794503</w:t>
            </w:r>
          </w:p>
        </w:tc>
        <w:tc>
          <w:tcPr>
            <w:tcW w:w="737" w:type="dxa"/>
          </w:tcPr>
          <w:p>
            <w:pPr>
              <w:pStyle w:val="0"/>
              <w:jc w:val="center"/>
            </w:pPr>
            <w:r>
              <w:rPr>
                <w:sz w:val="20"/>
              </w:rPr>
              <w:t xml:space="preserve">62,17</w:t>
            </w:r>
          </w:p>
        </w:tc>
      </w:tr>
      <w:tr>
        <w:tc>
          <w:tcPr>
            <w:tcW w:w="1531" w:type="dxa"/>
          </w:tcPr>
          <w:p>
            <w:pPr>
              <w:pStyle w:val="0"/>
              <w:jc w:val="both"/>
            </w:pPr>
            <w:r>
              <w:rPr>
                <w:sz w:val="20"/>
              </w:rPr>
              <w:t xml:space="preserve">ЮФО</w:t>
            </w:r>
          </w:p>
        </w:tc>
        <w:tc>
          <w:tcPr>
            <w:tcW w:w="1247" w:type="dxa"/>
          </w:tcPr>
          <w:p>
            <w:pPr>
              <w:pStyle w:val="0"/>
              <w:jc w:val="center"/>
            </w:pPr>
            <w:r>
              <w:rPr>
                <w:sz w:val="20"/>
              </w:rPr>
              <w:t xml:space="preserve">1245455</w:t>
            </w:r>
          </w:p>
        </w:tc>
        <w:tc>
          <w:tcPr>
            <w:tcW w:w="956" w:type="dxa"/>
          </w:tcPr>
          <w:p>
            <w:pPr>
              <w:pStyle w:val="0"/>
              <w:jc w:val="center"/>
            </w:pPr>
            <w:r>
              <w:rPr>
                <w:sz w:val="20"/>
              </w:rPr>
              <w:t xml:space="preserve">67616</w:t>
            </w:r>
          </w:p>
        </w:tc>
        <w:tc>
          <w:tcPr>
            <w:tcW w:w="683" w:type="dxa"/>
          </w:tcPr>
          <w:p>
            <w:pPr>
              <w:pStyle w:val="0"/>
              <w:jc w:val="center"/>
            </w:pPr>
            <w:r>
              <w:rPr>
                <w:sz w:val="20"/>
              </w:rPr>
              <w:t xml:space="preserve">5,43</w:t>
            </w:r>
          </w:p>
        </w:tc>
        <w:tc>
          <w:tcPr>
            <w:tcW w:w="907" w:type="dxa"/>
          </w:tcPr>
          <w:p>
            <w:pPr>
              <w:pStyle w:val="0"/>
              <w:jc w:val="center"/>
            </w:pPr>
            <w:r>
              <w:rPr>
                <w:sz w:val="20"/>
              </w:rPr>
              <w:t xml:space="preserve">50214</w:t>
            </w:r>
          </w:p>
        </w:tc>
        <w:tc>
          <w:tcPr>
            <w:tcW w:w="895" w:type="dxa"/>
          </w:tcPr>
          <w:p>
            <w:pPr>
              <w:pStyle w:val="0"/>
              <w:jc w:val="center"/>
            </w:pPr>
            <w:r>
              <w:rPr>
                <w:sz w:val="20"/>
              </w:rPr>
              <w:t xml:space="preserve">4,26</w:t>
            </w:r>
          </w:p>
        </w:tc>
        <w:tc>
          <w:tcPr>
            <w:tcW w:w="907" w:type="dxa"/>
          </w:tcPr>
          <w:p>
            <w:pPr>
              <w:pStyle w:val="0"/>
              <w:jc w:val="center"/>
            </w:pPr>
            <w:r>
              <w:rPr>
                <w:sz w:val="20"/>
              </w:rPr>
              <w:t xml:space="preserve">90384</w:t>
            </w:r>
          </w:p>
        </w:tc>
        <w:tc>
          <w:tcPr>
            <w:tcW w:w="737" w:type="dxa"/>
          </w:tcPr>
          <w:p>
            <w:pPr>
              <w:pStyle w:val="0"/>
              <w:jc w:val="center"/>
            </w:pPr>
            <w:r>
              <w:rPr>
                <w:sz w:val="20"/>
              </w:rPr>
              <w:t xml:space="preserve">7,67</w:t>
            </w:r>
          </w:p>
        </w:tc>
        <w:tc>
          <w:tcPr>
            <w:tcW w:w="1020" w:type="dxa"/>
          </w:tcPr>
          <w:p>
            <w:pPr>
              <w:pStyle w:val="0"/>
              <w:jc w:val="center"/>
            </w:pPr>
            <w:r>
              <w:rPr>
                <w:sz w:val="20"/>
              </w:rPr>
              <w:t xml:space="preserve">129826</w:t>
            </w:r>
          </w:p>
        </w:tc>
        <w:tc>
          <w:tcPr>
            <w:tcW w:w="794" w:type="dxa"/>
          </w:tcPr>
          <w:p>
            <w:pPr>
              <w:pStyle w:val="0"/>
              <w:jc w:val="center"/>
            </w:pPr>
            <w:r>
              <w:rPr>
                <w:sz w:val="20"/>
              </w:rPr>
              <w:t xml:space="preserve">11,02</w:t>
            </w:r>
          </w:p>
        </w:tc>
        <w:tc>
          <w:tcPr>
            <w:tcW w:w="1134" w:type="dxa"/>
          </w:tcPr>
          <w:p>
            <w:pPr>
              <w:pStyle w:val="0"/>
              <w:jc w:val="center"/>
            </w:pPr>
            <w:r>
              <w:rPr>
                <w:sz w:val="20"/>
              </w:rPr>
              <w:t xml:space="preserve">220457</w:t>
            </w:r>
          </w:p>
        </w:tc>
        <w:tc>
          <w:tcPr>
            <w:tcW w:w="992" w:type="dxa"/>
          </w:tcPr>
          <w:p>
            <w:pPr>
              <w:pStyle w:val="0"/>
              <w:jc w:val="center"/>
            </w:pPr>
            <w:r>
              <w:rPr>
                <w:sz w:val="20"/>
              </w:rPr>
              <w:t xml:space="preserve">18,72</w:t>
            </w:r>
          </w:p>
        </w:tc>
        <w:tc>
          <w:tcPr>
            <w:tcW w:w="1020" w:type="dxa"/>
          </w:tcPr>
          <w:p>
            <w:pPr>
              <w:pStyle w:val="0"/>
              <w:jc w:val="center"/>
            </w:pPr>
            <w:r>
              <w:rPr>
                <w:sz w:val="20"/>
              </w:rPr>
              <w:t xml:space="preserve">686958</w:t>
            </w:r>
          </w:p>
        </w:tc>
        <w:tc>
          <w:tcPr>
            <w:tcW w:w="737" w:type="dxa"/>
          </w:tcPr>
          <w:p>
            <w:pPr>
              <w:pStyle w:val="0"/>
              <w:jc w:val="center"/>
            </w:pPr>
            <w:r>
              <w:rPr>
                <w:sz w:val="20"/>
              </w:rPr>
              <w:t xml:space="preserve">58,32</w:t>
            </w:r>
          </w:p>
        </w:tc>
      </w:tr>
      <w:tr>
        <w:tc>
          <w:tcPr>
            <w:tcW w:w="1531" w:type="dxa"/>
          </w:tcPr>
          <w:p>
            <w:pPr>
              <w:pStyle w:val="0"/>
              <w:jc w:val="both"/>
            </w:pPr>
            <w:r>
              <w:rPr>
                <w:sz w:val="20"/>
              </w:rPr>
              <w:t xml:space="preserve">Севастополь</w:t>
            </w:r>
          </w:p>
        </w:tc>
        <w:tc>
          <w:tcPr>
            <w:tcW w:w="1247" w:type="dxa"/>
          </w:tcPr>
          <w:p>
            <w:pPr>
              <w:pStyle w:val="0"/>
              <w:jc w:val="center"/>
            </w:pPr>
            <w:r>
              <w:rPr>
                <w:sz w:val="20"/>
              </w:rPr>
              <w:t xml:space="preserve">22055</w:t>
            </w:r>
          </w:p>
        </w:tc>
        <w:tc>
          <w:tcPr>
            <w:tcW w:w="956" w:type="dxa"/>
          </w:tcPr>
          <w:p>
            <w:pPr>
              <w:pStyle w:val="0"/>
              <w:jc w:val="center"/>
            </w:pPr>
            <w:r>
              <w:rPr>
                <w:sz w:val="20"/>
              </w:rPr>
              <w:t xml:space="preserve">1816</w:t>
            </w:r>
          </w:p>
        </w:tc>
        <w:tc>
          <w:tcPr>
            <w:tcW w:w="683" w:type="dxa"/>
          </w:tcPr>
          <w:p>
            <w:pPr>
              <w:pStyle w:val="0"/>
              <w:jc w:val="center"/>
            </w:pPr>
            <w:r>
              <w:rPr>
                <w:sz w:val="20"/>
              </w:rPr>
              <w:t xml:space="preserve">7,30</w:t>
            </w:r>
          </w:p>
        </w:tc>
        <w:tc>
          <w:tcPr>
            <w:tcW w:w="907" w:type="dxa"/>
          </w:tcPr>
          <w:p>
            <w:pPr>
              <w:pStyle w:val="0"/>
              <w:jc w:val="center"/>
            </w:pPr>
            <w:r>
              <w:rPr>
                <w:sz w:val="20"/>
              </w:rPr>
              <w:t xml:space="preserve">782</w:t>
            </w:r>
          </w:p>
        </w:tc>
        <w:tc>
          <w:tcPr>
            <w:tcW w:w="895" w:type="dxa"/>
          </w:tcPr>
          <w:p>
            <w:pPr>
              <w:pStyle w:val="0"/>
              <w:jc w:val="center"/>
            </w:pPr>
            <w:r>
              <w:rPr>
                <w:sz w:val="20"/>
              </w:rPr>
              <w:t xml:space="preserve">3,83</w:t>
            </w:r>
          </w:p>
        </w:tc>
        <w:tc>
          <w:tcPr>
            <w:tcW w:w="907" w:type="dxa"/>
          </w:tcPr>
          <w:p>
            <w:pPr>
              <w:pStyle w:val="0"/>
              <w:jc w:val="center"/>
            </w:pPr>
            <w:r>
              <w:rPr>
                <w:sz w:val="20"/>
              </w:rPr>
              <w:t xml:space="preserve">1488</w:t>
            </w:r>
          </w:p>
        </w:tc>
        <w:tc>
          <w:tcPr>
            <w:tcW w:w="737" w:type="dxa"/>
          </w:tcPr>
          <w:p>
            <w:pPr>
              <w:pStyle w:val="0"/>
              <w:jc w:val="center"/>
            </w:pPr>
            <w:r>
              <w:rPr>
                <w:sz w:val="20"/>
              </w:rPr>
              <w:t xml:space="preserve">7,28</w:t>
            </w:r>
          </w:p>
        </w:tc>
        <w:tc>
          <w:tcPr>
            <w:tcW w:w="1020" w:type="dxa"/>
          </w:tcPr>
          <w:p>
            <w:pPr>
              <w:pStyle w:val="0"/>
              <w:jc w:val="center"/>
            </w:pPr>
            <w:r>
              <w:rPr>
                <w:sz w:val="20"/>
              </w:rPr>
              <w:t xml:space="preserve">2163</w:t>
            </w:r>
          </w:p>
        </w:tc>
        <w:tc>
          <w:tcPr>
            <w:tcW w:w="794" w:type="dxa"/>
          </w:tcPr>
          <w:p>
            <w:pPr>
              <w:pStyle w:val="0"/>
              <w:jc w:val="center"/>
            </w:pPr>
            <w:r>
              <w:rPr>
                <w:sz w:val="20"/>
              </w:rPr>
              <w:t xml:space="preserve">10,15</w:t>
            </w:r>
          </w:p>
        </w:tc>
        <w:tc>
          <w:tcPr>
            <w:tcW w:w="1134" w:type="dxa"/>
          </w:tcPr>
          <w:p>
            <w:pPr>
              <w:pStyle w:val="0"/>
              <w:jc w:val="center"/>
            </w:pPr>
            <w:r>
              <w:rPr>
                <w:sz w:val="20"/>
              </w:rPr>
              <w:t xml:space="preserve">3261</w:t>
            </w:r>
          </w:p>
        </w:tc>
        <w:tc>
          <w:tcPr>
            <w:tcW w:w="992" w:type="dxa"/>
          </w:tcPr>
          <w:p>
            <w:pPr>
              <w:pStyle w:val="0"/>
              <w:jc w:val="center"/>
            </w:pPr>
            <w:r>
              <w:rPr>
                <w:sz w:val="20"/>
              </w:rPr>
              <w:t xml:space="preserve">15,96</w:t>
            </w:r>
          </w:p>
        </w:tc>
        <w:tc>
          <w:tcPr>
            <w:tcW w:w="1020" w:type="dxa"/>
          </w:tcPr>
          <w:p>
            <w:pPr>
              <w:pStyle w:val="0"/>
              <w:jc w:val="center"/>
            </w:pPr>
            <w:r>
              <w:rPr>
                <w:sz w:val="20"/>
              </w:rPr>
              <w:t xml:space="preserve">12743</w:t>
            </w:r>
          </w:p>
        </w:tc>
        <w:tc>
          <w:tcPr>
            <w:tcW w:w="737" w:type="dxa"/>
          </w:tcPr>
          <w:p>
            <w:pPr>
              <w:pStyle w:val="0"/>
              <w:jc w:val="center"/>
            </w:pPr>
            <w:r>
              <w:rPr>
                <w:sz w:val="20"/>
              </w:rPr>
              <w:t xml:space="preserve">62,35</w:t>
            </w:r>
          </w:p>
        </w:tc>
      </w:tr>
      <w:tr>
        <w:tc>
          <w:tcPr>
            <w:gridSpan w:val="14"/>
            <w:tcW w:w="13560" w:type="dxa"/>
          </w:tcPr>
          <w:p>
            <w:pPr>
              <w:pStyle w:val="0"/>
              <w:jc w:val="center"/>
            </w:pPr>
            <w:r>
              <w:rPr>
                <w:sz w:val="20"/>
              </w:rPr>
              <w:t xml:space="preserve">на 01.01.2021</w:t>
            </w:r>
          </w:p>
        </w:tc>
      </w:tr>
      <w:tr>
        <w:tc>
          <w:tcPr>
            <w:tcW w:w="1531" w:type="dxa"/>
          </w:tcPr>
          <w:p>
            <w:pPr>
              <w:pStyle w:val="0"/>
              <w:jc w:val="both"/>
            </w:pPr>
            <w:r>
              <w:rPr>
                <w:sz w:val="20"/>
              </w:rPr>
              <w:t xml:space="preserve">РФ</w:t>
            </w:r>
          </w:p>
        </w:tc>
        <w:tc>
          <w:tcPr>
            <w:tcW w:w="1247" w:type="dxa"/>
          </w:tcPr>
          <w:p>
            <w:pPr>
              <w:pStyle w:val="0"/>
              <w:jc w:val="center"/>
            </w:pPr>
            <w:r>
              <w:rPr>
                <w:sz w:val="20"/>
              </w:rPr>
              <w:t xml:space="preserve">11632958</w:t>
            </w:r>
          </w:p>
        </w:tc>
        <w:tc>
          <w:tcPr>
            <w:tcW w:w="956" w:type="dxa"/>
          </w:tcPr>
          <w:p>
            <w:pPr>
              <w:pStyle w:val="0"/>
              <w:jc w:val="center"/>
            </w:pPr>
            <w:r>
              <w:rPr>
                <w:sz w:val="20"/>
              </w:rPr>
              <w:t xml:space="preserve">703969</w:t>
            </w:r>
          </w:p>
        </w:tc>
        <w:tc>
          <w:tcPr>
            <w:tcW w:w="683" w:type="dxa"/>
          </w:tcPr>
          <w:p>
            <w:pPr>
              <w:pStyle w:val="0"/>
              <w:jc w:val="center"/>
            </w:pPr>
            <w:r>
              <w:rPr>
                <w:sz w:val="20"/>
              </w:rPr>
              <w:t xml:space="preserve">6,05</w:t>
            </w:r>
          </w:p>
        </w:tc>
        <w:tc>
          <w:tcPr>
            <w:tcW w:w="907" w:type="dxa"/>
          </w:tcPr>
          <w:p>
            <w:pPr>
              <w:pStyle w:val="0"/>
              <w:jc w:val="center"/>
            </w:pPr>
            <w:r>
              <w:rPr>
                <w:sz w:val="20"/>
              </w:rPr>
              <w:t xml:space="preserve">485189</w:t>
            </w:r>
          </w:p>
        </w:tc>
        <w:tc>
          <w:tcPr>
            <w:tcW w:w="895" w:type="dxa"/>
          </w:tcPr>
          <w:p>
            <w:pPr>
              <w:pStyle w:val="0"/>
              <w:jc w:val="center"/>
            </w:pPr>
            <w:r>
              <w:rPr>
                <w:sz w:val="20"/>
              </w:rPr>
              <w:t xml:space="preserve">4,44</w:t>
            </w:r>
          </w:p>
        </w:tc>
        <w:tc>
          <w:tcPr>
            <w:tcW w:w="907" w:type="dxa"/>
          </w:tcPr>
          <w:p>
            <w:pPr>
              <w:pStyle w:val="0"/>
              <w:jc w:val="center"/>
            </w:pPr>
            <w:r>
              <w:rPr>
                <w:sz w:val="20"/>
              </w:rPr>
              <w:t xml:space="preserve">796087</w:t>
            </w:r>
          </w:p>
        </w:tc>
        <w:tc>
          <w:tcPr>
            <w:tcW w:w="737" w:type="dxa"/>
          </w:tcPr>
          <w:p>
            <w:pPr>
              <w:pStyle w:val="0"/>
              <w:jc w:val="center"/>
            </w:pPr>
            <w:r>
              <w:rPr>
                <w:sz w:val="20"/>
              </w:rPr>
              <w:t xml:space="preserve">7,28</w:t>
            </w:r>
          </w:p>
        </w:tc>
        <w:tc>
          <w:tcPr>
            <w:tcW w:w="1020" w:type="dxa"/>
          </w:tcPr>
          <w:p>
            <w:pPr>
              <w:pStyle w:val="0"/>
              <w:jc w:val="center"/>
            </w:pPr>
            <w:r>
              <w:rPr>
                <w:sz w:val="20"/>
              </w:rPr>
              <w:t xml:space="preserve">1065956</w:t>
            </w:r>
          </w:p>
        </w:tc>
        <w:tc>
          <w:tcPr>
            <w:tcW w:w="794" w:type="dxa"/>
          </w:tcPr>
          <w:p>
            <w:pPr>
              <w:pStyle w:val="0"/>
              <w:jc w:val="center"/>
            </w:pPr>
            <w:r>
              <w:rPr>
                <w:sz w:val="20"/>
              </w:rPr>
              <w:t xml:space="preserve">9,75</w:t>
            </w:r>
          </w:p>
        </w:tc>
        <w:tc>
          <w:tcPr>
            <w:tcW w:w="1134" w:type="dxa"/>
          </w:tcPr>
          <w:p>
            <w:pPr>
              <w:pStyle w:val="0"/>
              <w:jc w:val="center"/>
            </w:pPr>
            <w:r>
              <w:rPr>
                <w:sz w:val="20"/>
              </w:rPr>
              <w:t xml:space="preserve">1787254</w:t>
            </w:r>
          </w:p>
        </w:tc>
        <w:tc>
          <w:tcPr>
            <w:tcW w:w="992" w:type="dxa"/>
          </w:tcPr>
          <w:p>
            <w:pPr>
              <w:pStyle w:val="0"/>
              <w:jc w:val="center"/>
            </w:pPr>
            <w:r>
              <w:rPr>
                <w:sz w:val="20"/>
              </w:rPr>
              <w:t xml:space="preserve">16,35</w:t>
            </w:r>
          </w:p>
        </w:tc>
        <w:tc>
          <w:tcPr>
            <w:tcW w:w="1020" w:type="dxa"/>
          </w:tcPr>
          <w:p>
            <w:pPr>
              <w:pStyle w:val="0"/>
              <w:jc w:val="center"/>
            </w:pPr>
            <w:r>
              <w:rPr>
                <w:sz w:val="20"/>
              </w:rPr>
              <w:t xml:space="preserve">6794503</w:t>
            </w:r>
          </w:p>
        </w:tc>
        <w:tc>
          <w:tcPr>
            <w:tcW w:w="737" w:type="dxa"/>
          </w:tcPr>
          <w:p>
            <w:pPr>
              <w:pStyle w:val="0"/>
              <w:jc w:val="center"/>
            </w:pPr>
            <w:r>
              <w:rPr>
                <w:sz w:val="20"/>
              </w:rPr>
              <w:t xml:space="preserve">62,17</w:t>
            </w:r>
          </w:p>
        </w:tc>
      </w:tr>
      <w:tr>
        <w:tc>
          <w:tcPr>
            <w:tcW w:w="1531" w:type="dxa"/>
          </w:tcPr>
          <w:p>
            <w:pPr>
              <w:pStyle w:val="0"/>
              <w:jc w:val="both"/>
            </w:pPr>
            <w:r>
              <w:rPr>
                <w:sz w:val="20"/>
              </w:rPr>
              <w:t xml:space="preserve">ЮФО</w:t>
            </w:r>
          </w:p>
        </w:tc>
        <w:tc>
          <w:tcPr>
            <w:tcW w:w="1247" w:type="dxa"/>
          </w:tcPr>
          <w:p>
            <w:pPr>
              <w:pStyle w:val="0"/>
              <w:jc w:val="center"/>
            </w:pPr>
            <w:r>
              <w:rPr>
                <w:sz w:val="20"/>
              </w:rPr>
              <w:t xml:space="preserve">1245455</w:t>
            </w:r>
          </w:p>
        </w:tc>
        <w:tc>
          <w:tcPr>
            <w:tcW w:w="956" w:type="dxa"/>
          </w:tcPr>
          <w:p>
            <w:pPr>
              <w:pStyle w:val="0"/>
              <w:jc w:val="center"/>
            </w:pPr>
            <w:r>
              <w:rPr>
                <w:sz w:val="20"/>
              </w:rPr>
              <w:t xml:space="preserve">67616</w:t>
            </w:r>
          </w:p>
        </w:tc>
        <w:tc>
          <w:tcPr>
            <w:tcW w:w="683" w:type="dxa"/>
          </w:tcPr>
          <w:p>
            <w:pPr>
              <w:pStyle w:val="0"/>
              <w:jc w:val="center"/>
            </w:pPr>
            <w:r>
              <w:rPr>
                <w:sz w:val="20"/>
              </w:rPr>
              <w:t xml:space="preserve">5,43</w:t>
            </w:r>
          </w:p>
        </w:tc>
        <w:tc>
          <w:tcPr>
            <w:tcW w:w="907" w:type="dxa"/>
          </w:tcPr>
          <w:p>
            <w:pPr>
              <w:pStyle w:val="0"/>
              <w:jc w:val="center"/>
            </w:pPr>
            <w:r>
              <w:rPr>
                <w:sz w:val="20"/>
              </w:rPr>
              <w:t xml:space="preserve">50214</w:t>
            </w:r>
          </w:p>
        </w:tc>
        <w:tc>
          <w:tcPr>
            <w:tcW w:w="895" w:type="dxa"/>
          </w:tcPr>
          <w:p>
            <w:pPr>
              <w:pStyle w:val="0"/>
              <w:jc w:val="center"/>
            </w:pPr>
            <w:r>
              <w:rPr>
                <w:sz w:val="20"/>
              </w:rPr>
              <w:t xml:space="preserve">4,26</w:t>
            </w:r>
          </w:p>
        </w:tc>
        <w:tc>
          <w:tcPr>
            <w:tcW w:w="907" w:type="dxa"/>
          </w:tcPr>
          <w:p>
            <w:pPr>
              <w:pStyle w:val="0"/>
              <w:jc w:val="center"/>
            </w:pPr>
            <w:r>
              <w:rPr>
                <w:sz w:val="20"/>
              </w:rPr>
              <w:t xml:space="preserve">90384</w:t>
            </w:r>
          </w:p>
        </w:tc>
        <w:tc>
          <w:tcPr>
            <w:tcW w:w="737" w:type="dxa"/>
          </w:tcPr>
          <w:p>
            <w:pPr>
              <w:pStyle w:val="0"/>
              <w:jc w:val="center"/>
            </w:pPr>
            <w:r>
              <w:rPr>
                <w:sz w:val="20"/>
              </w:rPr>
              <w:t xml:space="preserve">7,67</w:t>
            </w:r>
          </w:p>
        </w:tc>
        <w:tc>
          <w:tcPr>
            <w:tcW w:w="1020" w:type="dxa"/>
          </w:tcPr>
          <w:p>
            <w:pPr>
              <w:pStyle w:val="0"/>
              <w:jc w:val="center"/>
            </w:pPr>
            <w:r>
              <w:rPr>
                <w:sz w:val="20"/>
              </w:rPr>
              <w:t xml:space="preserve">129826</w:t>
            </w:r>
          </w:p>
        </w:tc>
        <w:tc>
          <w:tcPr>
            <w:tcW w:w="794" w:type="dxa"/>
          </w:tcPr>
          <w:p>
            <w:pPr>
              <w:pStyle w:val="0"/>
              <w:jc w:val="center"/>
            </w:pPr>
            <w:r>
              <w:rPr>
                <w:sz w:val="20"/>
              </w:rPr>
              <w:t xml:space="preserve">11,02</w:t>
            </w:r>
          </w:p>
        </w:tc>
        <w:tc>
          <w:tcPr>
            <w:tcW w:w="1134" w:type="dxa"/>
          </w:tcPr>
          <w:p>
            <w:pPr>
              <w:pStyle w:val="0"/>
              <w:jc w:val="center"/>
            </w:pPr>
            <w:r>
              <w:rPr>
                <w:sz w:val="20"/>
              </w:rPr>
              <w:t xml:space="preserve">220457</w:t>
            </w:r>
          </w:p>
        </w:tc>
        <w:tc>
          <w:tcPr>
            <w:tcW w:w="992" w:type="dxa"/>
          </w:tcPr>
          <w:p>
            <w:pPr>
              <w:pStyle w:val="0"/>
              <w:jc w:val="center"/>
            </w:pPr>
            <w:r>
              <w:rPr>
                <w:sz w:val="20"/>
              </w:rPr>
              <w:t xml:space="preserve">18,72</w:t>
            </w:r>
          </w:p>
        </w:tc>
        <w:tc>
          <w:tcPr>
            <w:tcW w:w="1020" w:type="dxa"/>
          </w:tcPr>
          <w:p>
            <w:pPr>
              <w:pStyle w:val="0"/>
              <w:jc w:val="center"/>
            </w:pPr>
            <w:r>
              <w:rPr>
                <w:sz w:val="20"/>
              </w:rPr>
              <w:t xml:space="preserve">686958</w:t>
            </w:r>
          </w:p>
        </w:tc>
        <w:tc>
          <w:tcPr>
            <w:tcW w:w="737" w:type="dxa"/>
          </w:tcPr>
          <w:p>
            <w:pPr>
              <w:pStyle w:val="0"/>
              <w:jc w:val="center"/>
            </w:pPr>
            <w:r>
              <w:rPr>
                <w:sz w:val="20"/>
              </w:rPr>
              <w:t xml:space="preserve">58,32</w:t>
            </w:r>
          </w:p>
        </w:tc>
      </w:tr>
      <w:tr>
        <w:tc>
          <w:tcPr>
            <w:tcW w:w="1531" w:type="dxa"/>
          </w:tcPr>
          <w:p>
            <w:pPr>
              <w:pStyle w:val="0"/>
              <w:jc w:val="both"/>
            </w:pPr>
            <w:r>
              <w:rPr>
                <w:sz w:val="20"/>
              </w:rPr>
              <w:t xml:space="preserve">Севастополь</w:t>
            </w:r>
          </w:p>
        </w:tc>
        <w:tc>
          <w:tcPr>
            <w:tcW w:w="1247" w:type="dxa"/>
          </w:tcPr>
          <w:p>
            <w:pPr>
              <w:pStyle w:val="0"/>
              <w:jc w:val="center"/>
            </w:pPr>
            <w:r>
              <w:rPr>
                <w:sz w:val="20"/>
              </w:rPr>
              <w:t xml:space="preserve">22055</w:t>
            </w:r>
          </w:p>
        </w:tc>
        <w:tc>
          <w:tcPr>
            <w:tcW w:w="956" w:type="dxa"/>
          </w:tcPr>
          <w:p>
            <w:pPr>
              <w:pStyle w:val="0"/>
              <w:jc w:val="center"/>
            </w:pPr>
            <w:r>
              <w:rPr>
                <w:sz w:val="20"/>
              </w:rPr>
              <w:t xml:space="preserve">1618</w:t>
            </w:r>
          </w:p>
        </w:tc>
        <w:tc>
          <w:tcPr>
            <w:tcW w:w="683" w:type="dxa"/>
          </w:tcPr>
          <w:p>
            <w:pPr>
              <w:pStyle w:val="0"/>
              <w:jc w:val="center"/>
            </w:pPr>
            <w:r>
              <w:rPr>
                <w:sz w:val="20"/>
              </w:rPr>
              <w:t xml:space="preserve">7,30</w:t>
            </w:r>
          </w:p>
        </w:tc>
        <w:tc>
          <w:tcPr>
            <w:tcW w:w="907" w:type="dxa"/>
          </w:tcPr>
          <w:p>
            <w:pPr>
              <w:pStyle w:val="0"/>
              <w:jc w:val="center"/>
            </w:pPr>
            <w:r>
              <w:rPr>
                <w:sz w:val="20"/>
              </w:rPr>
              <w:t xml:space="preserve">782</w:t>
            </w:r>
          </w:p>
        </w:tc>
        <w:tc>
          <w:tcPr>
            <w:tcW w:w="895" w:type="dxa"/>
          </w:tcPr>
          <w:p>
            <w:pPr>
              <w:pStyle w:val="0"/>
              <w:jc w:val="center"/>
            </w:pPr>
            <w:r>
              <w:rPr>
                <w:sz w:val="20"/>
              </w:rPr>
              <w:t xml:space="preserve">3,83</w:t>
            </w:r>
          </w:p>
        </w:tc>
        <w:tc>
          <w:tcPr>
            <w:tcW w:w="907" w:type="dxa"/>
          </w:tcPr>
          <w:p>
            <w:pPr>
              <w:pStyle w:val="0"/>
              <w:jc w:val="center"/>
            </w:pPr>
            <w:r>
              <w:rPr>
                <w:sz w:val="20"/>
              </w:rPr>
              <w:t xml:space="preserve">1488</w:t>
            </w:r>
          </w:p>
        </w:tc>
        <w:tc>
          <w:tcPr>
            <w:tcW w:w="737" w:type="dxa"/>
          </w:tcPr>
          <w:p>
            <w:pPr>
              <w:pStyle w:val="0"/>
              <w:jc w:val="center"/>
            </w:pPr>
            <w:r>
              <w:rPr>
                <w:sz w:val="20"/>
              </w:rPr>
              <w:t xml:space="preserve">7,28</w:t>
            </w:r>
          </w:p>
        </w:tc>
        <w:tc>
          <w:tcPr>
            <w:tcW w:w="1020" w:type="dxa"/>
          </w:tcPr>
          <w:p>
            <w:pPr>
              <w:pStyle w:val="0"/>
              <w:jc w:val="center"/>
            </w:pPr>
            <w:r>
              <w:rPr>
                <w:sz w:val="20"/>
              </w:rPr>
              <w:t xml:space="preserve">2163</w:t>
            </w:r>
          </w:p>
        </w:tc>
        <w:tc>
          <w:tcPr>
            <w:tcW w:w="794" w:type="dxa"/>
          </w:tcPr>
          <w:p>
            <w:pPr>
              <w:pStyle w:val="0"/>
              <w:jc w:val="center"/>
            </w:pPr>
            <w:r>
              <w:rPr>
                <w:sz w:val="20"/>
              </w:rPr>
              <w:t xml:space="preserve">10,15</w:t>
            </w:r>
          </w:p>
        </w:tc>
        <w:tc>
          <w:tcPr>
            <w:tcW w:w="1134" w:type="dxa"/>
          </w:tcPr>
          <w:p>
            <w:pPr>
              <w:pStyle w:val="0"/>
              <w:jc w:val="center"/>
            </w:pPr>
            <w:r>
              <w:rPr>
                <w:sz w:val="20"/>
              </w:rPr>
              <w:t xml:space="preserve">3261</w:t>
            </w:r>
          </w:p>
        </w:tc>
        <w:tc>
          <w:tcPr>
            <w:tcW w:w="992" w:type="dxa"/>
          </w:tcPr>
          <w:p>
            <w:pPr>
              <w:pStyle w:val="0"/>
              <w:jc w:val="center"/>
            </w:pPr>
            <w:r>
              <w:rPr>
                <w:sz w:val="20"/>
              </w:rPr>
              <w:t xml:space="preserve">15,96</w:t>
            </w:r>
          </w:p>
        </w:tc>
        <w:tc>
          <w:tcPr>
            <w:tcW w:w="1020" w:type="dxa"/>
          </w:tcPr>
          <w:p>
            <w:pPr>
              <w:pStyle w:val="0"/>
              <w:jc w:val="center"/>
            </w:pPr>
            <w:r>
              <w:rPr>
                <w:sz w:val="20"/>
              </w:rPr>
              <w:t xml:space="preserve">12743</w:t>
            </w:r>
          </w:p>
        </w:tc>
        <w:tc>
          <w:tcPr>
            <w:tcW w:w="737" w:type="dxa"/>
          </w:tcPr>
          <w:p>
            <w:pPr>
              <w:pStyle w:val="0"/>
              <w:jc w:val="center"/>
            </w:pPr>
            <w:r>
              <w:rPr>
                <w:sz w:val="20"/>
              </w:rPr>
              <w:t xml:space="preserve">62,35</w:t>
            </w:r>
          </w:p>
        </w:tc>
      </w:tr>
      <w:tr>
        <w:tc>
          <w:tcPr>
            <w:gridSpan w:val="14"/>
            <w:tcW w:w="13560" w:type="dxa"/>
          </w:tcPr>
          <w:p>
            <w:pPr>
              <w:pStyle w:val="0"/>
              <w:jc w:val="center"/>
            </w:pPr>
            <w:r>
              <w:rPr>
                <w:sz w:val="20"/>
              </w:rPr>
              <w:t xml:space="preserve">на 01.01.2020</w:t>
            </w:r>
          </w:p>
        </w:tc>
      </w:tr>
      <w:tr>
        <w:tc>
          <w:tcPr>
            <w:tcW w:w="1531" w:type="dxa"/>
          </w:tcPr>
          <w:p>
            <w:pPr>
              <w:pStyle w:val="0"/>
              <w:jc w:val="both"/>
            </w:pPr>
            <w:r>
              <w:rPr>
                <w:sz w:val="20"/>
              </w:rPr>
              <w:t xml:space="preserve">РФ</w:t>
            </w:r>
          </w:p>
        </w:tc>
        <w:tc>
          <w:tcPr>
            <w:tcW w:w="1247" w:type="dxa"/>
          </w:tcPr>
          <w:p>
            <w:pPr>
              <w:pStyle w:val="0"/>
              <w:jc w:val="center"/>
            </w:pPr>
            <w:r>
              <w:rPr>
                <w:sz w:val="20"/>
              </w:rPr>
              <w:t xml:space="preserve">11876925</w:t>
            </w:r>
          </w:p>
        </w:tc>
        <w:tc>
          <w:tcPr>
            <w:tcW w:w="956" w:type="dxa"/>
          </w:tcPr>
          <w:p>
            <w:pPr>
              <w:pStyle w:val="0"/>
              <w:jc w:val="center"/>
            </w:pPr>
            <w:r>
              <w:rPr>
                <w:sz w:val="20"/>
              </w:rPr>
              <w:t xml:space="preserve">688023</w:t>
            </w:r>
          </w:p>
        </w:tc>
        <w:tc>
          <w:tcPr>
            <w:tcW w:w="683" w:type="dxa"/>
          </w:tcPr>
          <w:p>
            <w:pPr>
              <w:pStyle w:val="0"/>
              <w:jc w:val="center"/>
            </w:pPr>
            <w:r>
              <w:rPr>
                <w:sz w:val="20"/>
              </w:rPr>
              <w:t xml:space="preserve">5,79</w:t>
            </w:r>
          </w:p>
        </w:tc>
        <w:tc>
          <w:tcPr>
            <w:tcW w:w="907" w:type="dxa"/>
          </w:tcPr>
          <w:p>
            <w:pPr>
              <w:pStyle w:val="0"/>
              <w:jc w:val="center"/>
            </w:pPr>
            <w:r>
              <w:rPr>
                <w:sz w:val="20"/>
              </w:rPr>
              <w:t xml:space="preserve">486568</w:t>
            </w:r>
          </w:p>
        </w:tc>
        <w:tc>
          <w:tcPr>
            <w:tcW w:w="895" w:type="dxa"/>
          </w:tcPr>
          <w:p>
            <w:pPr>
              <w:pStyle w:val="0"/>
              <w:jc w:val="center"/>
            </w:pPr>
            <w:r>
              <w:rPr>
                <w:sz w:val="20"/>
              </w:rPr>
              <w:t xml:space="preserve">4,35</w:t>
            </w:r>
          </w:p>
        </w:tc>
        <w:tc>
          <w:tcPr>
            <w:tcW w:w="907" w:type="dxa"/>
          </w:tcPr>
          <w:p>
            <w:pPr>
              <w:pStyle w:val="0"/>
              <w:jc w:val="center"/>
            </w:pPr>
            <w:r>
              <w:rPr>
                <w:sz w:val="20"/>
              </w:rPr>
              <w:t xml:space="preserve">792675</w:t>
            </w:r>
          </w:p>
        </w:tc>
        <w:tc>
          <w:tcPr>
            <w:tcW w:w="737" w:type="dxa"/>
          </w:tcPr>
          <w:p>
            <w:pPr>
              <w:pStyle w:val="0"/>
              <w:jc w:val="center"/>
            </w:pPr>
            <w:r>
              <w:rPr>
                <w:sz w:val="20"/>
              </w:rPr>
              <w:t xml:space="preserve">7,08</w:t>
            </w:r>
          </w:p>
        </w:tc>
        <w:tc>
          <w:tcPr>
            <w:tcW w:w="1020" w:type="dxa"/>
          </w:tcPr>
          <w:p>
            <w:pPr>
              <w:pStyle w:val="0"/>
              <w:jc w:val="center"/>
            </w:pPr>
            <w:r>
              <w:rPr>
                <w:sz w:val="20"/>
              </w:rPr>
              <w:t xml:space="preserve">1049869</w:t>
            </w:r>
          </w:p>
        </w:tc>
        <w:tc>
          <w:tcPr>
            <w:tcW w:w="794" w:type="dxa"/>
          </w:tcPr>
          <w:p>
            <w:pPr>
              <w:pStyle w:val="0"/>
              <w:jc w:val="center"/>
            </w:pPr>
            <w:r>
              <w:rPr>
                <w:sz w:val="20"/>
              </w:rPr>
              <w:t xml:space="preserve">9,38</w:t>
            </w:r>
          </w:p>
        </w:tc>
        <w:tc>
          <w:tcPr>
            <w:tcW w:w="1134" w:type="dxa"/>
          </w:tcPr>
          <w:p>
            <w:pPr>
              <w:pStyle w:val="0"/>
              <w:jc w:val="center"/>
            </w:pPr>
            <w:r>
              <w:rPr>
                <w:sz w:val="20"/>
              </w:rPr>
              <w:t xml:space="preserve">1877577</w:t>
            </w:r>
          </w:p>
        </w:tc>
        <w:tc>
          <w:tcPr>
            <w:tcW w:w="992" w:type="dxa"/>
          </w:tcPr>
          <w:p>
            <w:pPr>
              <w:pStyle w:val="0"/>
              <w:jc w:val="center"/>
            </w:pPr>
            <w:r>
              <w:rPr>
                <w:sz w:val="20"/>
              </w:rPr>
              <w:t xml:space="preserve">16,78</w:t>
            </w:r>
          </w:p>
        </w:tc>
        <w:tc>
          <w:tcPr>
            <w:tcW w:w="1020" w:type="dxa"/>
          </w:tcPr>
          <w:p>
            <w:pPr>
              <w:pStyle w:val="0"/>
              <w:jc w:val="center"/>
            </w:pPr>
            <w:r>
              <w:rPr>
                <w:sz w:val="20"/>
              </w:rPr>
              <w:t xml:space="preserve">6982213</w:t>
            </w:r>
          </w:p>
        </w:tc>
        <w:tc>
          <w:tcPr>
            <w:tcW w:w="737" w:type="dxa"/>
          </w:tcPr>
          <w:p>
            <w:pPr>
              <w:pStyle w:val="0"/>
              <w:jc w:val="center"/>
            </w:pPr>
            <w:r>
              <w:rPr>
                <w:sz w:val="20"/>
              </w:rPr>
              <w:t xml:space="preserve">62,40</w:t>
            </w:r>
          </w:p>
        </w:tc>
      </w:tr>
      <w:tr>
        <w:tc>
          <w:tcPr>
            <w:tcW w:w="1531" w:type="dxa"/>
          </w:tcPr>
          <w:p>
            <w:pPr>
              <w:pStyle w:val="0"/>
              <w:jc w:val="both"/>
            </w:pPr>
            <w:r>
              <w:rPr>
                <w:sz w:val="20"/>
              </w:rPr>
              <w:t xml:space="preserve">ЮФО</w:t>
            </w:r>
          </w:p>
        </w:tc>
        <w:tc>
          <w:tcPr>
            <w:tcW w:w="1247" w:type="dxa"/>
          </w:tcPr>
          <w:p>
            <w:pPr>
              <w:pStyle w:val="0"/>
              <w:jc w:val="center"/>
            </w:pPr>
            <w:r>
              <w:rPr>
                <w:sz w:val="20"/>
              </w:rPr>
              <w:t xml:space="preserve">1260325</w:t>
            </w:r>
          </w:p>
        </w:tc>
        <w:tc>
          <w:tcPr>
            <w:tcW w:w="956" w:type="dxa"/>
          </w:tcPr>
          <w:p>
            <w:pPr>
              <w:pStyle w:val="0"/>
              <w:jc w:val="center"/>
            </w:pPr>
            <w:r>
              <w:rPr>
                <w:sz w:val="20"/>
              </w:rPr>
              <w:t xml:space="preserve">65307</w:t>
            </w:r>
          </w:p>
        </w:tc>
        <w:tc>
          <w:tcPr>
            <w:tcW w:w="683" w:type="dxa"/>
          </w:tcPr>
          <w:p>
            <w:pPr>
              <w:pStyle w:val="0"/>
              <w:jc w:val="center"/>
            </w:pPr>
            <w:r>
              <w:rPr>
                <w:sz w:val="20"/>
              </w:rPr>
              <w:t xml:space="preserve">5,18</w:t>
            </w:r>
          </w:p>
        </w:tc>
        <w:tc>
          <w:tcPr>
            <w:tcW w:w="907" w:type="dxa"/>
          </w:tcPr>
          <w:p>
            <w:pPr>
              <w:pStyle w:val="0"/>
              <w:jc w:val="center"/>
            </w:pPr>
            <w:r>
              <w:rPr>
                <w:sz w:val="20"/>
              </w:rPr>
              <w:t xml:space="preserve">51084</w:t>
            </w:r>
          </w:p>
        </w:tc>
        <w:tc>
          <w:tcPr>
            <w:tcW w:w="895" w:type="dxa"/>
          </w:tcPr>
          <w:p>
            <w:pPr>
              <w:pStyle w:val="0"/>
              <w:jc w:val="center"/>
            </w:pPr>
            <w:r>
              <w:rPr>
                <w:sz w:val="20"/>
              </w:rPr>
              <w:t xml:space="preserve">4,27</w:t>
            </w:r>
          </w:p>
        </w:tc>
        <w:tc>
          <w:tcPr>
            <w:tcW w:w="907" w:type="dxa"/>
          </w:tcPr>
          <w:p>
            <w:pPr>
              <w:pStyle w:val="0"/>
              <w:jc w:val="center"/>
            </w:pPr>
            <w:r>
              <w:rPr>
                <w:sz w:val="20"/>
              </w:rPr>
              <w:t xml:space="preserve">90997</w:t>
            </w:r>
          </w:p>
        </w:tc>
        <w:tc>
          <w:tcPr>
            <w:tcW w:w="737" w:type="dxa"/>
          </w:tcPr>
          <w:p>
            <w:pPr>
              <w:pStyle w:val="0"/>
              <w:jc w:val="center"/>
            </w:pPr>
            <w:r>
              <w:rPr>
                <w:sz w:val="20"/>
              </w:rPr>
              <w:t xml:space="preserve">7,61</w:t>
            </w:r>
          </w:p>
        </w:tc>
        <w:tc>
          <w:tcPr>
            <w:tcW w:w="1020" w:type="dxa"/>
          </w:tcPr>
          <w:p>
            <w:pPr>
              <w:pStyle w:val="0"/>
              <w:jc w:val="center"/>
            </w:pPr>
            <w:r>
              <w:rPr>
                <w:sz w:val="20"/>
              </w:rPr>
              <w:t xml:space="preserve">128269</w:t>
            </w:r>
          </w:p>
        </w:tc>
        <w:tc>
          <w:tcPr>
            <w:tcW w:w="794" w:type="dxa"/>
          </w:tcPr>
          <w:p>
            <w:pPr>
              <w:pStyle w:val="0"/>
              <w:jc w:val="center"/>
            </w:pPr>
            <w:r>
              <w:rPr>
                <w:sz w:val="20"/>
              </w:rPr>
              <w:t xml:space="preserve">10,73</w:t>
            </w:r>
          </w:p>
        </w:tc>
        <w:tc>
          <w:tcPr>
            <w:tcW w:w="1134" w:type="dxa"/>
          </w:tcPr>
          <w:p>
            <w:pPr>
              <w:pStyle w:val="0"/>
              <w:jc w:val="center"/>
            </w:pPr>
            <w:r>
              <w:rPr>
                <w:sz w:val="20"/>
              </w:rPr>
              <w:t xml:space="preserve">230189</w:t>
            </w:r>
          </w:p>
        </w:tc>
        <w:tc>
          <w:tcPr>
            <w:tcW w:w="992" w:type="dxa"/>
          </w:tcPr>
          <w:p>
            <w:pPr>
              <w:pStyle w:val="0"/>
              <w:jc w:val="center"/>
            </w:pPr>
            <w:r>
              <w:rPr>
                <w:sz w:val="20"/>
              </w:rPr>
              <w:t xml:space="preserve">19,26</w:t>
            </w:r>
          </w:p>
        </w:tc>
        <w:tc>
          <w:tcPr>
            <w:tcW w:w="1020" w:type="dxa"/>
          </w:tcPr>
          <w:p>
            <w:pPr>
              <w:pStyle w:val="0"/>
              <w:jc w:val="center"/>
            </w:pPr>
            <w:r>
              <w:rPr>
                <w:sz w:val="20"/>
              </w:rPr>
              <w:t xml:space="preserve">694479</w:t>
            </w:r>
          </w:p>
        </w:tc>
        <w:tc>
          <w:tcPr>
            <w:tcW w:w="737" w:type="dxa"/>
          </w:tcPr>
          <w:p>
            <w:pPr>
              <w:pStyle w:val="0"/>
              <w:jc w:val="center"/>
            </w:pPr>
            <w:r>
              <w:rPr>
                <w:sz w:val="20"/>
              </w:rPr>
              <w:t xml:space="preserve">58,11</w:t>
            </w:r>
          </w:p>
        </w:tc>
      </w:tr>
      <w:tr>
        <w:tc>
          <w:tcPr>
            <w:tcW w:w="1531" w:type="dxa"/>
          </w:tcPr>
          <w:p>
            <w:pPr>
              <w:pStyle w:val="0"/>
              <w:jc w:val="both"/>
            </w:pPr>
            <w:r>
              <w:rPr>
                <w:sz w:val="20"/>
              </w:rPr>
              <w:t xml:space="preserve">Севастополь</w:t>
            </w:r>
          </w:p>
        </w:tc>
        <w:tc>
          <w:tcPr>
            <w:tcW w:w="1247" w:type="dxa"/>
          </w:tcPr>
          <w:p>
            <w:pPr>
              <w:pStyle w:val="0"/>
              <w:jc w:val="center"/>
            </w:pPr>
            <w:r>
              <w:rPr>
                <w:sz w:val="20"/>
              </w:rPr>
              <w:t xml:space="preserve">21831</w:t>
            </w:r>
          </w:p>
        </w:tc>
        <w:tc>
          <w:tcPr>
            <w:tcW w:w="956" w:type="dxa"/>
          </w:tcPr>
          <w:p>
            <w:pPr>
              <w:pStyle w:val="0"/>
              <w:jc w:val="center"/>
            </w:pPr>
            <w:r>
              <w:rPr>
                <w:sz w:val="20"/>
              </w:rPr>
              <w:t xml:space="preserve">1501</w:t>
            </w:r>
          </w:p>
        </w:tc>
        <w:tc>
          <w:tcPr>
            <w:tcW w:w="683" w:type="dxa"/>
          </w:tcPr>
          <w:p>
            <w:pPr>
              <w:pStyle w:val="0"/>
              <w:jc w:val="center"/>
            </w:pPr>
            <w:r>
              <w:rPr>
                <w:sz w:val="20"/>
              </w:rPr>
              <w:t xml:space="preserve">6,87</w:t>
            </w:r>
          </w:p>
        </w:tc>
        <w:tc>
          <w:tcPr>
            <w:tcW w:w="907" w:type="dxa"/>
          </w:tcPr>
          <w:p>
            <w:pPr>
              <w:pStyle w:val="0"/>
              <w:jc w:val="center"/>
            </w:pPr>
            <w:r>
              <w:rPr>
                <w:sz w:val="20"/>
              </w:rPr>
              <w:t xml:space="preserve">770</w:t>
            </w:r>
          </w:p>
        </w:tc>
        <w:tc>
          <w:tcPr>
            <w:tcW w:w="895" w:type="dxa"/>
          </w:tcPr>
          <w:p>
            <w:pPr>
              <w:pStyle w:val="0"/>
              <w:jc w:val="center"/>
            </w:pPr>
            <w:r>
              <w:rPr>
                <w:sz w:val="20"/>
              </w:rPr>
              <w:t xml:space="preserve">3,79</w:t>
            </w:r>
          </w:p>
        </w:tc>
        <w:tc>
          <w:tcPr>
            <w:tcW w:w="907" w:type="dxa"/>
          </w:tcPr>
          <w:p>
            <w:pPr>
              <w:pStyle w:val="0"/>
              <w:jc w:val="center"/>
            </w:pPr>
            <w:r>
              <w:rPr>
                <w:sz w:val="20"/>
              </w:rPr>
              <w:t xml:space="preserve">1501</w:t>
            </w:r>
          </w:p>
        </w:tc>
        <w:tc>
          <w:tcPr>
            <w:tcW w:w="737" w:type="dxa"/>
          </w:tcPr>
          <w:p>
            <w:pPr>
              <w:pStyle w:val="0"/>
              <w:jc w:val="center"/>
            </w:pPr>
            <w:r>
              <w:rPr>
                <w:sz w:val="20"/>
              </w:rPr>
              <w:t xml:space="preserve">7,38</w:t>
            </w:r>
          </w:p>
        </w:tc>
        <w:tc>
          <w:tcPr>
            <w:tcW w:w="1020" w:type="dxa"/>
          </w:tcPr>
          <w:p>
            <w:pPr>
              <w:pStyle w:val="0"/>
              <w:jc w:val="center"/>
            </w:pPr>
            <w:r>
              <w:rPr>
                <w:sz w:val="20"/>
              </w:rPr>
              <w:t xml:space="preserve">2074</w:t>
            </w:r>
          </w:p>
        </w:tc>
        <w:tc>
          <w:tcPr>
            <w:tcW w:w="794" w:type="dxa"/>
          </w:tcPr>
          <w:p>
            <w:pPr>
              <w:pStyle w:val="0"/>
              <w:jc w:val="center"/>
            </w:pPr>
            <w:r>
              <w:rPr>
                <w:sz w:val="20"/>
              </w:rPr>
              <w:t xml:space="preserve">10,20</w:t>
            </w:r>
          </w:p>
        </w:tc>
        <w:tc>
          <w:tcPr>
            <w:tcW w:w="1134" w:type="dxa"/>
          </w:tcPr>
          <w:p>
            <w:pPr>
              <w:pStyle w:val="0"/>
              <w:jc w:val="center"/>
            </w:pPr>
            <w:r>
              <w:rPr>
                <w:sz w:val="20"/>
              </w:rPr>
              <w:t xml:space="preserve">3334</w:t>
            </w:r>
          </w:p>
        </w:tc>
        <w:tc>
          <w:tcPr>
            <w:tcW w:w="992" w:type="dxa"/>
          </w:tcPr>
          <w:p>
            <w:pPr>
              <w:pStyle w:val="0"/>
              <w:jc w:val="center"/>
            </w:pPr>
            <w:r>
              <w:rPr>
                <w:sz w:val="20"/>
              </w:rPr>
              <w:t xml:space="preserve">16,40</w:t>
            </w:r>
          </w:p>
        </w:tc>
        <w:tc>
          <w:tcPr>
            <w:tcW w:w="1020" w:type="dxa"/>
          </w:tcPr>
          <w:p>
            <w:pPr>
              <w:pStyle w:val="0"/>
              <w:jc w:val="center"/>
            </w:pPr>
            <w:r>
              <w:rPr>
                <w:sz w:val="20"/>
              </w:rPr>
              <w:t xml:space="preserve">12651</w:t>
            </w:r>
          </w:p>
        </w:tc>
        <w:tc>
          <w:tcPr>
            <w:tcW w:w="737" w:type="dxa"/>
          </w:tcPr>
          <w:p>
            <w:pPr>
              <w:pStyle w:val="0"/>
              <w:jc w:val="center"/>
            </w:pPr>
            <w:r>
              <w:rPr>
                <w:sz w:val="20"/>
              </w:rPr>
              <w:t xml:space="preserve">62,23</w:t>
            </w:r>
          </w:p>
        </w:tc>
      </w:tr>
      <w:tr>
        <w:tc>
          <w:tcPr>
            <w:gridSpan w:val="14"/>
            <w:tcW w:w="13560" w:type="dxa"/>
          </w:tcPr>
          <w:p>
            <w:pPr>
              <w:pStyle w:val="0"/>
              <w:jc w:val="center"/>
            </w:pPr>
            <w:r>
              <w:rPr>
                <w:sz w:val="20"/>
              </w:rPr>
              <w:t xml:space="preserve">на 01.01.2019</w:t>
            </w:r>
          </w:p>
        </w:tc>
      </w:tr>
      <w:tr>
        <w:tc>
          <w:tcPr>
            <w:tcW w:w="1531" w:type="dxa"/>
          </w:tcPr>
          <w:p>
            <w:pPr>
              <w:pStyle w:val="0"/>
              <w:jc w:val="both"/>
            </w:pPr>
            <w:r>
              <w:rPr>
                <w:sz w:val="20"/>
              </w:rPr>
              <w:t xml:space="preserve">РФ</w:t>
            </w:r>
          </w:p>
        </w:tc>
        <w:tc>
          <w:tcPr>
            <w:tcW w:w="1247" w:type="dxa"/>
          </w:tcPr>
          <w:p>
            <w:pPr>
              <w:pStyle w:val="0"/>
              <w:jc w:val="center"/>
            </w:pPr>
            <w:r>
              <w:rPr>
                <w:sz w:val="20"/>
              </w:rPr>
              <w:t xml:space="preserve">11947754</w:t>
            </w:r>
          </w:p>
        </w:tc>
        <w:tc>
          <w:tcPr>
            <w:tcW w:w="956" w:type="dxa"/>
          </w:tcPr>
          <w:p>
            <w:pPr>
              <w:pStyle w:val="0"/>
              <w:jc w:val="center"/>
            </w:pPr>
            <w:r>
              <w:rPr>
                <w:sz w:val="20"/>
              </w:rPr>
              <w:t xml:space="preserve">670086</w:t>
            </w:r>
          </w:p>
        </w:tc>
        <w:tc>
          <w:tcPr>
            <w:tcW w:w="683" w:type="dxa"/>
          </w:tcPr>
          <w:p>
            <w:pPr>
              <w:pStyle w:val="0"/>
              <w:jc w:val="center"/>
            </w:pPr>
            <w:r>
              <w:rPr>
                <w:sz w:val="20"/>
              </w:rPr>
              <w:t xml:space="preserve">5,61</w:t>
            </w:r>
          </w:p>
        </w:tc>
        <w:tc>
          <w:tcPr>
            <w:tcW w:w="907" w:type="dxa"/>
          </w:tcPr>
          <w:p>
            <w:pPr>
              <w:pStyle w:val="0"/>
              <w:jc w:val="center"/>
            </w:pPr>
            <w:r>
              <w:rPr>
                <w:sz w:val="20"/>
              </w:rPr>
              <w:t xml:space="preserve">501013</w:t>
            </w:r>
          </w:p>
        </w:tc>
        <w:tc>
          <w:tcPr>
            <w:tcW w:w="895" w:type="dxa"/>
          </w:tcPr>
          <w:p>
            <w:pPr>
              <w:pStyle w:val="0"/>
              <w:jc w:val="center"/>
            </w:pPr>
            <w:r>
              <w:rPr>
                <w:sz w:val="20"/>
              </w:rPr>
              <w:t xml:space="preserve">4,44</w:t>
            </w:r>
          </w:p>
        </w:tc>
        <w:tc>
          <w:tcPr>
            <w:tcW w:w="907" w:type="dxa"/>
          </w:tcPr>
          <w:p>
            <w:pPr>
              <w:pStyle w:val="0"/>
              <w:jc w:val="center"/>
            </w:pPr>
            <w:r>
              <w:rPr>
                <w:sz w:val="20"/>
              </w:rPr>
              <w:t xml:space="preserve">783269</w:t>
            </w:r>
          </w:p>
        </w:tc>
        <w:tc>
          <w:tcPr>
            <w:tcW w:w="737" w:type="dxa"/>
          </w:tcPr>
          <w:p>
            <w:pPr>
              <w:pStyle w:val="0"/>
              <w:jc w:val="center"/>
            </w:pPr>
            <w:r>
              <w:rPr>
                <w:sz w:val="20"/>
              </w:rPr>
              <w:t xml:space="preserve">6,95</w:t>
            </w:r>
          </w:p>
        </w:tc>
        <w:tc>
          <w:tcPr>
            <w:tcW w:w="1020" w:type="dxa"/>
          </w:tcPr>
          <w:p>
            <w:pPr>
              <w:pStyle w:val="0"/>
              <w:jc w:val="center"/>
            </w:pPr>
            <w:r>
              <w:rPr>
                <w:sz w:val="20"/>
              </w:rPr>
              <w:t xml:space="preserve">1031400</w:t>
            </w:r>
          </w:p>
        </w:tc>
        <w:tc>
          <w:tcPr>
            <w:tcW w:w="794" w:type="dxa"/>
          </w:tcPr>
          <w:p>
            <w:pPr>
              <w:pStyle w:val="0"/>
              <w:jc w:val="center"/>
            </w:pPr>
            <w:r>
              <w:rPr>
                <w:sz w:val="20"/>
              </w:rPr>
              <w:t xml:space="preserve">9,15</w:t>
            </w:r>
          </w:p>
        </w:tc>
        <w:tc>
          <w:tcPr>
            <w:tcW w:w="1134" w:type="dxa"/>
          </w:tcPr>
          <w:p>
            <w:pPr>
              <w:pStyle w:val="0"/>
              <w:jc w:val="center"/>
            </w:pPr>
            <w:r>
              <w:rPr>
                <w:sz w:val="20"/>
              </w:rPr>
              <w:t xml:space="preserve">1954125</w:t>
            </w:r>
          </w:p>
        </w:tc>
        <w:tc>
          <w:tcPr>
            <w:tcW w:w="992" w:type="dxa"/>
          </w:tcPr>
          <w:p>
            <w:pPr>
              <w:pStyle w:val="0"/>
              <w:jc w:val="center"/>
            </w:pPr>
            <w:r>
              <w:rPr>
                <w:sz w:val="20"/>
              </w:rPr>
              <w:t xml:space="preserve">17,33</w:t>
            </w:r>
          </w:p>
        </w:tc>
        <w:tc>
          <w:tcPr>
            <w:tcW w:w="1020" w:type="dxa"/>
          </w:tcPr>
          <w:p>
            <w:pPr>
              <w:pStyle w:val="0"/>
              <w:jc w:val="center"/>
            </w:pPr>
            <w:r>
              <w:rPr>
                <w:sz w:val="20"/>
              </w:rPr>
              <w:t xml:space="preserve">7007861</w:t>
            </w:r>
          </w:p>
        </w:tc>
        <w:tc>
          <w:tcPr>
            <w:tcW w:w="737" w:type="dxa"/>
          </w:tcPr>
          <w:p>
            <w:pPr>
              <w:pStyle w:val="0"/>
              <w:jc w:val="center"/>
            </w:pPr>
            <w:r>
              <w:rPr>
                <w:sz w:val="20"/>
              </w:rPr>
              <w:t xml:space="preserve">62,14</w:t>
            </w:r>
          </w:p>
        </w:tc>
      </w:tr>
      <w:tr>
        <w:tc>
          <w:tcPr>
            <w:tcW w:w="1531" w:type="dxa"/>
          </w:tcPr>
          <w:p>
            <w:pPr>
              <w:pStyle w:val="0"/>
              <w:jc w:val="both"/>
            </w:pPr>
            <w:r>
              <w:rPr>
                <w:sz w:val="20"/>
              </w:rPr>
              <w:t xml:space="preserve">ЮФО</w:t>
            </w:r>
          </w:p>
        </w:tc>
        <w:tc>
          <w:tcPr>
            <w:tcW w:w="1247" w:type="dxa"/>
          </w:tcPr>
          <w:p>
            <w:pPr>
              <w:pStyle w:val="0"/>
              <w:jc w:val="center"/>
            </w:pPr>
            <w:r>
              <w:rPr>
                <w:sz w:val="20"/>
              </w:rPr>
              <w:t xml:space="preserve">1257260</w:t>
            </w:r>
          </w:p>
        </w:tc>
        <w:tc>
          <w:tcPr>
            <w:tcW w:w="956" w:type="dxa"/>
          </w:tcPr>
          <w:p>
            <w:pPr>
              <w:pStyle w:val="0"/>
              <w:jc w:val="center"/>
            </w:pPr>
            <w:r>
              <w:rPr>
                <w:sz w:val="20"/>
              </w:rPr>
              <w:t xml:space="preserve">61904</w:t>
            </w:r>
          </w:p>
        </w:tc>
        <w:tc>
          <w:tcPr>
            <w:tcW w:w="683" w:type="dxa"/>
          </w:tcPr>
          <w:p>
            <w:pPr>
              <w:pStyle w:val="0"/>
              <w:jc w:val="center"/>
            </w:pPr>
            <w:r>
              <w:rPr>
                <w:sz w:val="20"/>
              </w:rPr>
              <w:t xml:space="preserve">4,92</w:t>
            </w:r>
          </w:p>
        </w:tc>
        <w:tc>
          <w:tcPr>
            <w:tcW w:w="907" w:type="dxa"/>
          </w:tcPr>
          <w:p>
            <w:pPr>
              <w:pStyle w:val="0"/>
              <w:jc w:val="center"/>
            </w:pPr>
            <w:r>
              <w:rPr>
                <w:sz w:val="20"/>
              </w:rPr>
              <w:t xml:space="preserve">53101</w:t>
            </w:r>
          </w:p>
        </w:tc>
        <w:tc>
          <w:tcPr>
            <w:tcW w:w="895" w:type="dxa"/>
          </w:tcPr>
          <w:p>
            <w:pPr>
              <w:pStyle w:val="0"/>
              <w:jc w:val="center"/>
            </w:pPr>
            <w:r>
              <w:rPr>
                <w:sz w:val="20"/>
              </w:rPr>
              <w:t xml:space="preserve">4,44</w:t>
            </w:r>
          </w:p>
        </w:tc>
        <w:tc>
          <w:tcPr>
            <w:tcW w:w="907" w:type="dxa"/>
          </w:tcPr>
          <w:p>
            <w:pPr>
              <w:pStyle w:val="0"/>
              <w:jc w:val="center"/>
            </w:pPr>
            <w:r>
              <w:rPr>
                <w:sz w:val="20"/>
              </w:rPr>
              <w:t xml:space="preserve">89978</w:t>
            </w:r>
          </w:p>
        </w:tc>
        <w:tc>
          <w:tcPr>
            <w:tcW w:w="737" w:type="dxa"/>
          </w:tcPr>
          <w:p>
            <w:pPr>
              <w:pStyle w:val="0"/>
              <w:jc w:val="center"/>
            </w:pPr>
            <w:r>
              <w:rPr>
                <w:sz w:val="20"/>
              </w:rPr>
              <w:t xml:space="preserve">7,53</w:t>
            </w:r>
          </w:p>
        </w:tc>
        <w:tc>
          <w:tcPr>
            <w:tcW w:w="1020" w:type="dxa"/>
          </w:tcPr>
          <w:p>
            <w:pPr>
              <w:pStyle w:val="0"/>
              <w:jc w:val="center"/>
            </w:pPr>
            <w:r>
              <w:rPr>
                <w:sz w:val="20"/>
              </w:rPr>
              <w:t xml:space="preserve">126337</w:t>
            </w:r>
          </w:p>
        </w:tc>
        <w:tc>
          <w:tcPr>
            <w:tcW w:w="794" w:type="dxa"/>
          </w:tcPr>
          <w:p>
            <w:pPr>
              <w:pStyle w:val="0"/>
              <w:jc w:val="center"/>
            </w:pPr>
            <w:r>
              <w:rPr>
                <w:sz w:val="20"/>
              </w:rPr>
              <w:t xml:space="preserve">10,57</w:t>
            </w:r>
          </w:p>
        </w:tc>
        <w:tc>
          <w:tcPr>
            <w:tcW w:w="1134" w:type="dxa"/>
          </w:tcPr>
          <w:p>
            <w:pPr>
              <w:pStyle w:val="0"/>
              <w:jc w:val="center"/>
            </w:pPr>
            <w:r>
              <w:rPr>
                <w:sz w:val="20"/>
              </w:rPr>
              <w:t xml:space="preserve">237777</w:t>
            </w:r>
          </w:p>
        </w:tc>
        <w:tc>
          <w:tcPr>
            <w:tcW w:w="992" w:type="dxa"/>
          </w:tcPr>
          <w:p>
            <w:pPr>
              <w:pStyle w:val="0"/>
              <w:jc w:val="center"/>
            </w:pPr>
            <w:r>
              <w:rPr>
                <w:sz w:val="20"/>
              </w:rPr>
              <w:t xml:space="preserve">19,89</w:t>
            </w:r>
          </w:p>
        </w:tc>
        <w:tc>
          <w:tcPr>
            <w:tcW w:w="1020" w:type="dxa"/>
          </w:tcPr>
          <w:p>
            <w:pPr>
              <w:pStyle w:val="0"/>
              <w:jc w:val="center"/>
            </w:pPr>
            <w:r>
              <w:rPr>
                <w:sz w:val="20"/>
              </w:rPr>
              <w:t xml:space="preserve">688163</w:t>
            </w:r>
          </w:p>
        </w:tc>
        <w:tc>
          <w:tcPr>
            <w:tcW w:w="737" w:type="dxa"/>
          </w:tcPr>
          <w:p>
            <w:pPr>
              <w:pStyle w:val="0"/>
              <w:jc w:val="center"/>
            </w:pPr>
            <w:r>
              <w:rPr>
                <w:sz w:val="20"/>
              </w:rPr>
              <w:t xml:space="preserve">57,57</w:t>
            </w:r>
          </w:p>
        </w:tc>
      </w:tr>
      <w:tr>
        <w:tc>
          <w:tcPr>
            <w:tcW w:w="1531" w:type="dxa"/>
          </w:tcPr>
          <w:p>
            <w:pPr>
              <w:pStyle w:val="0"/>
              <w:jc w:val="both"/>
            </w:pPr>
            <w:r>
              <w:rPr>
                <w:sz w:val="20"/>
              </w:rPr>
              <w:t xml:space="preserve">Севастополь</w:t>
            </w:r>
          </w:p>
        </w:tc>
        <w:tc>
          <w:tcPr>
            <w:tcW w:w="1247" w:type="dxa"/>
          </w:tcPr>
          <w:p>
            <w:pPr>
              <w:pStyle w:val="0"/>
              <w:jc w:val="center"/>
            </w:pPr>
            <w:r>
              <w:rPr>
                <w:sz w:val="20"/>
              </w:rPr>
              <w:t xml:space="preserve">19866</w:t>
            </w:r>
          </w:p>
        </w:tc>
        <w:tc>
          <w:tcPr>
            <w:tcW w:w="956" w:type="dxa"/>
          </w:tcPr>
          <w:p>
            <w:pPr>
              <w:pStyle w:val="0"/>
              <w:jc w:val="center"/>
            </w:pPr>
            <w:r>
              <w:rPr>
                <w:sz w:val="20"/>
              </w:rPr>
              <w:t xml:space="preserve">1457</w:t>
            </w:r>
          </w:p>
        </w:tc>
        <w:tc>
          <w:tcPr>
            <w:tcW w:w="683" w:type="dxa"/>
          </w:tcPr>
          <w:p>
            <w:pPr>
              <w:pStyle w:val="0"/>
              <w:jc w:val="center"/>
            </w:pPr>
            <w:r>
              <w:rPr>
                <w:sz w:val="20"/>
              </w:rPr>
              <w:t xml:space="preserve">7,33</w:t>
            </w:r>
          </w:p>
        </w:tc>
        <w:tc>
          <w:tcPr>
            <w:tcW w:w="907" w:type="dxa"/>
          </w:tcPr>
          <w:p>
            <w:pPr>
              <w:pStyle w:val="0"/>
              <w:jc w:val="center"/>
            </w:pPr>
            <w:r>
              <w:rPr>
                <w:sz w:val="20"/>
              </w:rPr>
              <w:t xml:space="preserve">752</w:t>
            </w:r>
          </w:p>
        </w:tc>
        <w:tc>
          <w:tcPr>
            <w:tcW w:w="895" w:type="dxa"/>
          </w:tcPr>
          <w:p>
            <w:pPr>
              <w:pStyle w:val="0"/>
              <w:jc w:val="center"/>
            </w:pPr>
            <w:r>
              <w:rPr>
                <w:sz w:val="20"/>
              </w:rPr>
              <w:t xml:space="preserve">3,79</w:t>
            </w:r>
          </w:p>
        </w:tc>
        <w:tc>
          <w:tcPr>
            <w:tcW w:w="907" w:type="dxa"/>
          </w:tcPr>
          <w:p>
            <w:pPr>
              <w:pStyle w:val="0"/>
              <w:jc w:val="center"/>
            </w:pPr>
            <w:r>
              <w:rPr>
                <w:sz w:val="20"/>
              </w:rPr>
              <w:t xml:space="preserve">1497</w:t>
            </w:r>
          </w:p>
        </w:tc>
        <w:tc>
          <w:tcPr>
            <w:tcW w:w="737" w:type="dxa"/>
          </w:tcPr>
          <w:p>
            <w:pPr>
              <w:pStyle w:val="0"/>
              <w:jc w:val="center"/>
            </w:pPr>
            <w:r>
              <w:rPr>
                <w:sz w:val="20"/>
              </w:rPr>
              <w:t xml:space="preserve">7,54</w:t>
            </w:r>
          </w:p>
        </w:tc>
        <w:tc>
          <w:tcPr>
            <w:tcW w:w="1020" w:type="dxa"/>
          </w:tcPr>
          <w:p>
            <w:pPr>
              <w:pStyle w:val="0"/>
              <w:jc w:val="center"/>
            </w:pPr>
            <w:r>
              <w:rPr>
                <w:sz w:val="20"/>
              </w:rPr>
              <w:t xml:space="preserve">2012</w:t>
            </w:r>
          </w:p>
        </w:tc>
        <w:tc>
          <w:tcPr>
            <w:tcW w:w="794" w:type="dxa"/>
          </w:tcPr>
          <w:p>
            <w:pPr>
              <w:pStyle w:val="0"/>
              <w:jc w:val="center"/>
            </w:pPr>
            <w:r>
              <w:rPr>
                <w:sz w:val="20"/>
              </w:rPr>
              <w:t xml:space="preserve">10,13</w:t>
            </w:r>
          </w:p>
        </w:tc>
        <w:tc>
          <w:tcPr>
            <w:tcW w:w="1134" w:type="dxa"/>
          </w:tcPr>
          <w:p>
            <w:pPr>
              <w:pStyle w:val="0"/>
              <w:jc w:val="center"/>
            </w:pPr>
            <w:r>
              <w:rPr>
                <w:sz w:val="20"/>
              </w:rPr>
              <w:t xml:space="preserve">3415</w:t>
            </w:r>
          </w:p>
        </w:tc>
        <w:tc>
          <w:tcPr>
            <w:tcW w:w="992" w:type="dxa"/>
          </w:tcPr>
          <w:p>
            <w:pPr>
              <w:pStyle w:val="0"/>
              <w:jc w:val="center"/>
            </w:pPr>
            <w:r>
              <w:rPr>
                <w:sz w:val="20"/>
              </w:rPr>
              <w:t xml:space="preserve">17,19</w:t>
            </w:r>
          </w:p>
        </w:tc>
        <w:tc>
          <w:tcPr>
            <w:tcW w:w="1020" w:type="dxa"/>
          </w:tcPr>
          <w:p>
            <w:pPr>
              <w:pStyle w:val="0"/>
              <w:jc w:val="center"/>
            </w:pPr>
            <w:r>
              <w:rPr>
                <w:sz w:val="20"/>
              </w:rPr>
              <w:t xml:space="preserve">12190</w:t>
            </w:r>
          </w:p>
        </w:tc>
        <w:tc>
          <w:tcPr>
            <w:tcW w:w="737" w:type="dxa"/>
          </w:tcPr>
          <w:p>
            <w:pPr>
              <w:pStyle w:val="0"/>
              <w:jc w:val="center"/>
            </w:pPr>
            <w:r>
              <w:rPr>
                <w:sz w:val="20"/>
              </w:rPr>
              <w:t xml:space="preserve">61,36</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Структура по классам болезней, сформировавших инвалидность в 2022 году среди взрослого населения:</w:t>
      </w:r>
    </w:p>
    <w:p>
      <w:pPr>
        <w:pStyle w:val="0"/>
        <w:spacing w:before="200" w:line-rule="auto"/>
        <w:ind w:firstLine="540"/>
        <w:jc w:val="both"/>
      </w:pPr>
      <w:r>
        <w:rPr>
          <w:sz w:val="20"/>
        </w:rPr>
        <w:t xml:space="preserve">за период с 2019 по 2022 год количество инвалидов в городе Севастополе увеличилось на 571 человека, что связано с увеличением численности населения в городе Севастополе на 66780 человек.</w:t>
      </w:r>
    </w:p>
    <w:p>
      <w:pPr>
        <w:pStyle w:val="0"/>
        <w:spacing w:before="200" w:line-rule="auto"/>
        <w:ind w:firstLine="540"/>
        <w:jc w:val="both"/>
      </w:pPr>
      <w:r>
        <w:rPr>
          <w:sz w:val="20"/>
        </w:rPr>
        <w:t xml:space="preserve">Среди взрослого населения в структуре по классам болезней на первом месте - инвалидность по онкологическим заболеваниям (18%), на втором месте - инвалидность по заболеваниям системы кровообращения (14%).</w:t>
      </w:r>
    </w:p>
    <w:p>
      <w:pPr>
        <w:pStyle w:val="0"/>
        <w:spacing w:before="200" w:line-rule="auto"/>
        <w:ind w:firstLine="540"/>
        <w:jc w:val="both"/>
      </w:pPr>
      <w:r>
        <w:rPr>
          <w:sz w:val="20"/>
        </w:rPr>
        <w:t xml:space="preserve">В городе Севастополе доля инвалидов детского возраста и инвалидов с 18 до 30 лет стабильно ниже, а доля инвалидов старше 41 - 50 лет стабильно выше в сравнении с показателями в целом по РФ и по ЮФО.</w:t>
      </w:r>
    </w:p>
    <w:p>
      <w:pPr>
        <w:pStyle w:val="0"/>
        <w:spacing w:before="200" w:line-rule="auto"/>
        <w:ind w:firstLine="540"/>
        <w:jc w:val="both"/>
      </w:pPr>
      <w:r>
        <w:rPr>
          <w:sz w:val="20"/>
        </w:rPr>
        <w:t xml:space="preserve">Структура по классам болезней, сформировавших инвалидность в 2022 году среди детского населения:</w:t>
      </w:r>
    </w:p>
    <w:p>
      <w:pPr>
        <w:pStyle w:val="0"/>
        <w:spacing w:before="200" w:line-rule="auto"/>
        <w:ind w:firstLine="540"/>
        <w:jc w:val="both"/>
      </w:pPr>
      <w:r>
        <w:rPr>
          <w:sz w:val="20"/>
        </w:rPr>
        <w:t xml:space="preserve">- психические расстройства и расстройства поведения - 29,5% (2022 год - 28%);</w:t>
      </w:r>
    </w:p>
    <w:p>
      <w:pPr>
        <w:pStyle w:val="0"/>
        <w:spacing w:before="200" w:line-rule="auto"/>
        <w:ind w:firstLine="540"/>
        <w:jc w:val="both"/>
      </w:pPr>
      <w:r>
        <w:rPr>
          <w:sz w:val="20"/>
        </w:rPr>
        <w:t xml:space="preserve">- болезни нервной системы - 19,4% (2022 год - 20%);</w:t>
      </w:r>
    </w:p>
    <w:p>
      <w:pPr>
        <w:pStyle w:val="0"/>
        <w:spacing w:before="200" w:line-rule="auto"/>
        <w:ind w:firstLine="540"/>
        <w:jc w:val="both"/>
      </w:pPr>
      <w:r>
        <w:rPr>
          <w:sz w:val="20"/>
        </w:rPr>
        <w:t xml:space="preserve">- врожденные аномалии (пороки развития), деформации и хромосомные нарушения - 18,4% (2022 год - 19%);</w:t>
      </w:r>
    </w:p>
    <w:p>
      <w:pPr>
        <w:pStyle w:val="0"/>
        <w:spacing w:before="200" w:line-rule="auto"/>
        <w:ind w:firstLine="540"/>
        <w:jc w:val="both"/>
      </w:pPr>
      <w:r>
        <w:rPr>
          <w:sz w:val="20"/>
        </w:rPr>
        <w:t xml:space="preserve">- болезни эндокринной системы - 12,5% (2022 год - 12,5%);</w:t>
      </w:r>
    </w:p>
    <w:p>
      <w:pPr>
        <w:pStyle w:val="0"/>
        <w:spacing w:before="200" w:line-rule="auto"/>
        <w:ind w:firstLine="540"/>
        <w:jc w:val="both"/>
      </w:pPr>
      <w:r>
        <w:rPr>
          <w:sz w:val="20"/>
        </w:rPr>
        <w:t xml:space="preserve">- нейросенсорная тугоухость - 5,3% (2022 год - 5,8%).</w:t>
      </w:r>
    </w:p>
    <w:p>
      <w:pPr>
        <w:pStyle w:val="0"/>
        <w:spacing w:before="200" w:line-rule="auto"/>
        <w:ind w:firstLine="540"/>
        <w:jc w:val="both"/>
      </w:pPr>
      <w:r>
        <w:rPr>
          <w:sz w:val="20"/>
        </w:rPr>
        <w:t xml:space="preserve">На долю других болезней приходилось в общем не более 14,8%.</w:t>
      </w:r>
    </w:p>
    <w:p>
      <w:pPr>
        <w:pStyle w:val="0"/>
        <w:spacing w:before="200" w:line-rule="auto"/>
        <w:ind w:firstLine="540"/>
        <w:jc w:val="both"/>
      </w:pPr>
      <w:r>
        <w:rPr>
          <w:sz w:val="20"/>
        </w:rPr>
        <w:t xml:space="preserve">В структуре инвалидности:</w:t>
      </w:r>
    </w:p>
    <w:p>
      <w:pPr>
        <w:pStyle w:val="0"/>
        <w:spacing w:before="200" w:line-rule="auto"/>
        <w:ind w:firstLine="540"/>
        <w:jc w:val="both"/>
      </w:pPr>
      <w:r>
        <w:rPr>
          <w:sz w:val="20"/>
        </w:rPr>
        <w:t xml:space="preserve">- детей с психическими заболеваниями - 535, в том числе с аутизмом - 172, с умственной отсталостью - 179 (2021 год - 480, в том числе с аутизмом - 154, с умственной отсталостью - 154, 2020 год - 430, в том числе с аутизмом - 134, с умственной отсталостью - 150, 2019 год - 377, в том числе с аутизмом - 122, с умственной отсталостью - 143, 2018 год - 329, в том числе с аутизмом - 107, с умственной отсталостью - 125);</w:t>
      </w:r>
    </w:p>
    <w:p>
      <w:pPr>
        <w:pStyle w:val="0"/>
        <w:spacing w:before="200" w:line-rule="auto"/>
        <w:ind w:firstLine="540"/>
        <w:jc w:val="both"/>
      </w:pPr>
      <w:r>
        <w:rPr>
          <w:sz w:val="20"/>
        </w:rPr>
        <w:t xml:space="preserve">- детей с поражением ЦНС - 352, в том числе ДЦП и другие паралитические расстройства - 273 (2021 год - 349, в том числе ДЦП и другие паралитические расстройства - 273, 2020 год - 339, в том числе ДЦП и другие паралитические расстройства - 266, 2019 год - 318, в том числе ДЦП и другие паралитические расстройства - 232, 2018 год - 317, в том числе ДЦП и другие паралитические расстройства - 235);</w:t>
      </w:r>
    </w:p>
    <w:p>
      <w:pPr>
        <w:pStyle w:val="0"/>
        <w:spacing w:before="200" w:line-rule="auto"/>
        <w:ind w:firstLine="540"/>
        <w:jc w:val="both"/>
      </w:pPr>
      <w:r>
        <w:rPr>
          <w:sz w:val="20"/>
        </w:rPr>
        <w:t xml:space="preserve">- с врожденными аномалиями развития - 335 (2021 год - 332, 2020 год - 321, 2019 год - 292, 2018 год - 343), в том числе ВПР н/с - 57, хромосомные аномалии - 73;</w:t>
      </w:r>
    </w:p>
    <w:p>
      <w:pPr>
        <w:pStyle w:val="0"/>
        <w:spacing w:before="200" w:line-rule="auto"/>
        <w:ind w:firstLine="540"/>
        <w:jc w:val="both"/>
      </w:pPr>
      <w:r>
        <w:rPr>
          <w:sz w:val="20"/>
        </w:rPr>
        <w:t xml:space="preserve">- с эндокринными заболеваниями - 227 (2021 год - 214, 2020 год - 201), в том числе СД - 164.</w:t>
      </w:r>
    </w:p>
    <w:p>
      <w:pPr>
        <w:pStyle w:val="0"/>
        <w:spacing w:before="200" w:line-rule="auto"/>
        <w:ind w:firstLine="540"/>
        <w:jc w:val="both"/>
      </w:pPr>
      <w:r>
        <w:rPr>
          <w:sz w:val="20"/>
        </w:rPr>
        <w:t xml:space="preserve">Абсолютное число детей-инвалидов с психическими расстройствами по Российской Федерации на 01.01.2021 составило 125219 человек (24,8%).</w:t>
      </w:r>
    </w:p>
    <w:p>
      <w:pPr>
        <w:pStyle w:val="0"/>
        <w:spacing w:before="200" w:line-rule="auto"/>
        <w:ind w:firstLine="540"/>
        <w:jc w:val="both"/>
      </w:pPr>
      <w:r>
        <w:rPr>
          <w:sz w:val="20"/>
        </w:rPr>
        <w:t xml:space="preserve">В Российской Федерации число детей-инвалидов с психическими расстройствами в структуре детской инвалидности вышло на первое место. Дети-инвалиды по болезням нервной системы составили 114479 человек (22,7%), с ВПР - 96613 человек (19,1%).</w:t>
      </w:r>
    </w:p>
    <w:p>
      <w:pPr>
        <w:pStyle w:val="0"/>
        <w:spacing w:before="200" w:line-rule="auto"/>
        <w:ind w:firstLine="540"/>
        <w:jc w:val="both"/>
      </w:pPr>
      <w:r>
        <w:rPr>
          <w:sz w:val="20"/>
        </w:rPr>
        <w:t xml:space="preserve">Таким образом, общее количество детей-инвалидов увеличилось в абсолютных и относительных значениях, отмечается рост первичного выхода на инвалидность. В структуре инвалидности в 2022 году четвертый год (как и в 2019 - 2021 годах) на первое место вышла инвалидность по психическим заболеваниям с тенденцией к росту в группе аутизма и умственной отсталости, показатель инвалидности по Севастополю выше общероссийского, на второе - по заболеваниям нервной системы, ниже общероссийского показателя, на третье место - ВПР, ниже общероссийского показателя, тогда как в 2018 году первое место занимали врожденные аномалии развития, второе - психические расстройства, третье - заболевания нервной системы. Также отмечается рост в группе "эндокринные заболевания" за счет роста сахарного диабета первого типа, а в группе ДЦП и других паралитических расстройств ВПР инвалидность по сравнению с 2021 годом не увеличилась.</w:t>
      </w:r>
    </w:p>
    <w:p>
      <w:pPr>
        <w:pStyle w:val="0"/>
        <w:spacing w:before="200" w:line-rule="auto"/>
        <w:ind w:firstLine="540"/>
        <w:jc w:val="both"/>
      </w:pPr>
      <w:r>
        <w:rPr>
          <w:sz w:val="20"/>
        </w:rPr>
        <w:t xml:space="preserve">В Российской Федерации наиболее острой проблемой в настоящее время является инвалидность детского населения вследствие психических расстройств и расстройств поведения (среди которых доминирует умственная отсталость, растут расстройства аутистического спектра), занимающих третий год подряд первое место в структуре детской инвалидности, второе место - болезни нервной системы (преобладает детский церебральный паралич), третье - врожденные аномалии (пороки развития), деформации и хромосомные нарушения (преобладают аномалии системы кровообращения). Указанные классы болезней, которые в структуре первичной детской инвалидности составляли к 2021 году в совокупности примерно 66% случаев, в основном формируют инвалидность у детей. Такая же тенденция отмечается в городе Севастополе (67,3%).</w:t>
      </w:r>
    </w:p>
    <w:p>
      <w:pPr>
        <w:pStyle w:val="0"/>
        <w:ind w:firstLine="540"/>
        <w:jc w:val="both"/>
      </w:pPr>
      <w:r>
        <w:rPr>
          <w:sz w:val="20"/>
        </w:rPr>
      </w:r>
    </w:p>
    <w:p>
      <w:pPr>
        <w:pStyle w:val="0"/>
        <w:jc w:val="right"/>
      </w:pPr>
      <w:r>
        <w:rPr>
          <w:sz w:val="20"/>
        </w:rPr>
        <w:t xml:space="preserve">Таблица 7</w:t>
      </w:r>
    </w:p>
    <w:p>
      <w:pPr>
        <w:pStyle w:val="0"/>
        <w:jc w:val="right"/>
      </w:pPr>
      <w:r>
        <w:rPr>
          <w:sz w:val="20"/>
        </w:rPr>
      </w:r>
    </w:p>
    <w:p>
      <w:pPr>
        <w:pStyle w:val="0"/>
        <w:jc w:val="center"/>
      </w:pPr>
      <w:r>
        <w:rPr>
          <w:sz w:val="20"/>
        </w:rPr>
        <w:t xml:space="preserve">Результаты проведения медицинской реабилитации</w:t>
      </w:r>
    </w:p>
    <w:p>
      <w:pPr>
        <w:pStyle w:val="0"/>
        <w:jc w:val="center"/>
      </w:pPr>
      <w:r>
        <w:rPr>
          <w:sz w:val="20"/>
        </w:rPr>
        <w:t xml:space="preserve">инвалидов за 2019 и 2021 гг. в городе Севастополе</w:t>
      </w:r>
    </w:p>
    <w:p>
      <w:pPr>
        <w:pStyle w:val="0"/>
        <w:jc w:val="center"/>
      </w:pPr>
      <w:r>
        <w:rPr>
          <w:sz w:val="20"/>
        </w:rPr>
        <w:t xml:space="preserve">(по данным федеральной формы</w:t>
      </w:r>
    </w:p>
    <w:p>
      <w:pPr>
        <w:pStyle w:val="0"/>
        <w:jc w:val="center"/>
      </w:pPr>
      <w:r>
        <w:rPr>
          <w:sz w:val="20"/>
        </w:rPr>
        <w:t xml:space="preserve">статистического наблюдения N 30)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587"/>
        <w:gridCol w:w="1144"/>
        <w:gridCol w:w="1191"/>
        <w:gridCol w:w="1701"/>
        <w:gridCol w:w="1702"/>
      </w:tblGrid>
      <w:tr>
        <w:tc>
          <w:tcPr>
            <w:tcW w:w="1701" w:type="dxa"/>
          </w:tcPr>
          <w:p>
            <w:pPr>
              <w:pStyle w:val="0"/>
              <w:jc w:val="center"/>
            </w:pPr>
            <w:r>
              <w:rPr>
                <w:sz w:val="20"/>
              </w:rPr>
              <w:t xml:space="preserve">Возрастной состав инвалидов</w:t>
            </w:r>
          </w:p>
        </w:tc>
        <w:tc>
          <w:tcPr>
            <w:tcW w:w="1587" w:type="dxa"/>
          </w:tcPr>
          <w:p>
            <w:pPr>
              <w:pStyle w:val="0"/>
              <w:jc w:val="center"/>
            </w:pPr>
            <w:r>
              <w:rPr>
                <w:sz w:val="20"/>
              </w:rPr>
              <w:t xml:space="preserve">Число инвалидов, нуждающихся в медицинской реабилитации</w:t>
            </w:r>
          </w:p>
        </w:tc>
        <w:tc>
          <w:tcPr>
            <w:tcW w:w="1144" w:type="dxa"/>
          </w:tcPr>
          <w:p>
            <w:pPr>
              <w:pStyle w:val="0"/>
              <w:jc w:val="center"/>
            </w:pPr>
            <w:r>
              <w:rPr>
                <w:sz w:val="20"/>
              </w:rPr>
              <w:t xml:space="preserve">Число лиц, направленных на медицинскую реабилитацию</w:t>
            </w:r>
          </w:p>
        </w:tc>
        <w:tc>
          <w:tcPr>
            <w:tcW w:w="1191" w:type="dxa"/>
          </w:tcPr>
          <w:p>
            <w:pPr>
              <w:pStyle w:val="0"/>
              <w:jc w:val="center"/>
            </w:pPr>
            <w:r>
              <w:rPr>
                <w:sz w:val="20"/>
              </w:rPr>
              <w:t xml:space="preserve">Число лиц, закончивших медицинскую реабилитацию</w:t>
            </w:r>
          </w:p>
        </w:tc>
        <w:tc>
          <w:tcPr>
            <w:tcW w:w="1701" w:type="dxa"/>
          </w:tcPr>
          <w:p>
            <w:pPr>
              <w:pStyle w:val="0"/>
              <w:jc w:val="center"/>
            </w:pPr>
            <w:r>
              <w:rPr>
                <w:sz w:val="20"/>
              </w:rPr>
              <w:t xml:space="preserve">Доля инвалидов, направленных на медицинскую реабилитацию, от числа нуждающихся в медицинской реабилитации (%)</w:t>
            </w:r>
          </w:p>
        </w:tc>
        <w:tc>
          <w:tcPr>
            <w:tcW w:w="1702" w:type="dxa"/>
          </w:tcPr>
          <w:p>
            <w:pPr>
              <w:pStyle w:val="0"/>
              <w:jc w:val="center"/>
            </w:pPr>
            <w:r>
              <w:rPr>
                <w:sz w:val="20"/>
              </w:rPr>
              <w:t xml:space="preserve">Доля инвалидов, завершивших медицинскую реабилитацию, от числа направленных (%)</w:t>
            </w:r>
          </w:p>
        </w:tc>
      </w:tr>
      <w:tr>
        <w:tc>
          <w:tcPr>
            <w:gridSpan w:val="6"/>
            <w:tcW w:w="9026" w:type="dxa"/>
          </w:tcPr>
          <w:p>
            <w:pPr>
              <w:pStyle w:val="0"/>
              <w:jc w:val="center"/>
            </w:pPr>
            <w:r>
              <w:rPr>
                <w:sz w:val="20"/>
              </w:rPr>
              <w:t xml:space="preserve">2022</w:t>
            </w:r>
          </w:p>
        </w:tc>
      </w:tr>
      <w:tr>
        <w:tc>
          <w:tcPr>
            <w:tcW w:w="1701" w:type="dxa"/>
          </w:tcPr>
          <w:p>
            <w:pPr>
              <w:pStyle w:val="0"/>
              <w:jc w:val="both"/>
            </w:pPr>
            <w:r>
              <w:rPr>
                <w:sz w:val="20"/>
              </w:rPr>
              <w:t xml:space="preserve">инвалидов</w:t>
            </w:r>
          </w:p>
        </w:tc>
        <w:tc>
          <w:tcPr>
            <w:tcW w:w="1587" w:type="dxa"/>
          </w:tcPr>
          <w:p>
            <w:pPr>
              <w:pStyle w:val="0"/>
              <w:jc w:val="center"/>
            </w:pPr>
            <w:r>
              <w:rPr>
                <w:sz w:val="20"/>
              </w:rPr>
              <w:t xml:space="preserve">11738</w:t>
            </w:r>
          </w:p>
        </w:tc>
        <w:tc>
          <w:tcPr>
            <w:tcW w:w="1144" w:type="dxa"/>
          </w:tcPr>
          <w:p>
            <w:pPr>
              <w:pStyle w:val="0"/>
              <w:jc w:val="center"/>
            </w:pPr>
            <w:r>
              <w:rPr>
                <w:sz w:val="20"/>
              </w:rPr>
              <w:t xml:space="preserve">11415</w:t>
            </w:r>
          </w:p>
        </w:tc>
        <w:tc>
          <w:tcPr>
            <w:tcW w:w="1191" w:type="dxa"/>
          </w:tcPr>
          <w:p>
            <w:pPr>
              <w:pStyle w:val="0"/>
              <w:jc w:val="center"/>
            </w:pPr>
            <w:r>
              <w:rPr>
                <w:sz w:val="20"/>
              </w:rPr>
              <w:t xml:space="preserve">2091</w:t>
            </w:r>
          </w:p>
        </w:tc>
        <w:tc>
          <w:tcPr>
            <w:tcW w:w="1701" w:type="dxa"/>
          </w:tcPr>
          <w:p>
            <w:pPr>
              <w:pStyle w:val="0"/>
              <w:jc w:val="center"/>
            </w:pPr>
            <w:r>
              <w:rPr>
                <w:sz w:val="20"/>
              </w:rPr>
              <w:t xml:space="preserve">45</w:t>
            </w:r>
          </w:p>
        </w:tc>
        <w:tc>
          <w:tcPr>
            <w:tcW w:w="1702" w:type="dxa"/>
          </w:tcPr>
          <w:p>
            <w:pPr>
              <w:pStyle w:val="0"/>
              <w:jc w:val="center"/>
            </w:pPr>
            <w:r>
              <w:rPr>
                <w:sz w:val="20"/>
              </w:rPr>
              <w:t xml:space="preserve">17</w:t>
            </w:r>
          </w:p>
        </w:tc>
      </w:tr>
      <w:tr>
        <w:tc>
          <w:tcPr>
            <w:tcW w:w="1701" w:type="dxa"/>
          </w:tcPr>
          <w:p>
            <w:pPr>
              <w:pStyle w:val="0"/>
              <w:jc w:val="both"/>
            </w:pPr>
            <w:r>
              <w:rPr>
                <w:sz w:val="20"/>
              </w:rPr>
              <w:t xml:space="preserve">в т.ч.: взрослых</w:t>
            </w:r>
          </w:p>
        </w:tc>
        <w:tc>
          <w:tcPr>
            <w:tcW w:w="1587" w:type="dxa"/>
          </w:tcPr>
          <w:p>
            <w:pPr>
              <w:pStyle w:val="0"/>
              <w:jc w:val="center"/>
            </w:pPr>
            <w:r>
              <w:rPr>
                <w:sz w:val="20"/>
              </w:rPr>
              <w:t xml:space="preserve">11034</w:t>
            </w:r>
          </w:p>
        </w:tc>
        <w:tc>
          <w:tcPr>
            <w:tcW w:w="1144" w:type="dxa"/>
          </w:tcPr>
          <w:p>
            <w:pPr>
              <w:pStyle w:val="0"/>
              <w:jc w:val="center"/>
            </w:pPr>
            <w:r>
              <w:rPr>
                <w:sz w:val="20"/>
              </w:rPr>
              <w:t xml:space="preserve">10890</w:t>
            </w:r>
          </w:p>
        </w:tc>
        <w:tc>
          <w:tcPr>
            <w:tcW w:w="1191" w:type="dxa"/>
          </w:tcPr>
          <w:p>
            <w:pPr>
              <w:pStyle w:val="0"/>
              <w:jc w:val="center"/>
            </w:pPr>
            <w:r>
              <w:rPr>
                <w:sz w:val="20"/>
              </w:rPr>
              <w:t xml:space="preserve">1583</w:t>
            </w:r>
          </w:p>
        </w:tc>
        <w:tc>
          <w:tcPr>
            <w:tcW w:w="1701" w:type="dxa"/>
          </w:tcPr>
          <w:p>
            <w:pPr>
              <w:pStyle w:val="0"/>
              <w:jc w:val="center"/>
            </w:pPr>
            <w:r>
              <w:rPr>
                <w:sz w:val="20"/>
              </w:rPr>
              <w:t xml:space="preserve">34</w:t>
            </w:r>
          </w:p>
        </w:tc>
        <w:tc>
          <w:tcPr>
            <w:tcW w:w="1702" w:type="dxa"/>
          </w:tcPr>
          <w:p>
            <w:pPr>
              <w:pStyle w:val="0"/>
              <w:jc w:val="center"/>
            </w:pPr>
            <w:r>
              <w:rPr>
                <w:sz w:val="20"/>
              </w:rPr>
              <w:t xml:space="preserve">15</w:t>
            </w:r>
          </w:p>
        </w:tc>
      </w:tr>
      <w:tr>
        <w:tc>
          <w:tcPr>
            <w:tcW w:w="1701" w:type="dxa"/>
          </w:tcPr>
          <w:p>
            <w:pPr>
              <w:pStyle w:val="0"/>
              <w:jc w:val="both"/>
            </w:pPr>
            <w:r>
              <w:rPr>
                <w:sz w:val="20"/>
              </w:rPr>
              <w:t xml:space="preserve">детей</w:t>
            </w:r>
          </w:p>
        </w:tc>
        <w:tc>
          <w:tcPr>
            <w:tcW w:w="1587" w:type="dxa"/>
          </w:tcPr>
          <w:p>
            <w:pPr>
              <w:pStyle w:val="0"/>
              <w:jc w:val="center"/>
            </w:pPr>
            <w:r>
              <w:rPr>
                <w:sz w:val="20"/>
              </w:rPr>
              <w:t xml:space="preserve">370</w:t>
            </w:r>
          </w:p>
        </w:tc>
        <w:tc>
          <w:tcPr>
            <w:tcW w:w="1144" w:type="dxa"/>
          </w:tcPr>
          <w:p>
            <w:pPr>
              <w:pStyle w:val="0"/>
              <w:jc w:val="center"/>
            </w:pPr>
            <w:r>
              <w:rPr>
                <w:sz w:val="20"/>
              </w:rPr>
              <w:t xml:space="preserve">360</w:t>
            </w:r>
          </w:p>
        </w:tc>
        <w:tc>
          <w:tcPr>
            <w:tcW w:w="1191" w:type="dxa"/>
          </w:tcPr>
          <w:p>
            <w:pPr>
              <w:pStyle w:val="0"/>
              <w:jc w:val="center"/>
            </w:pPr>
            <w:r>
              <w:rPr>
                <w:sz w:val="20"/>
              </w:rPr>
              <w:t xml:space="preserve">264</w:t>
            </w:r>
          </w:p>
        </w:tc>
        <w:tc>
          <w:tcPr>
            <w:tcW w:w="1701" w:type="dxa"/>
          </w:tcPr>
          <w:p>
            <w:pPr>
              <w:pStyle w:val="0"/>
              <w:jc w:val="center"/>
            </w:pPr>
            <w:r>
              <w:rPr>
                <w:sz w:val="20"/>
              </w:rPr>
              <w:t xml:space="preserve">97</w:t>
            </w:r>
          </w:p>
        </w:tc>
        <w:tc>
          <w:tcPr>
            <w:tcW w:w="1702" w:type="dxa"/>
          </w:tcPr>
          <w:p>
            <w:pPr>
              <w:pStyle w:val="0"/>
              <w:jc w:val="center"/>
            </w:pPr>
            <w:r>
              <w:rPr>
                <w:sz w:val="20"/>
              </w:rPr>
              <w:t xml:space="preserve">71,4</w:t>
            </w:r>
          </w:p>
        </w:tc>
      </w:tr>
      <w:tr>
        <w:tc>
          <w:tcPr>
            <w:tcW w:w="1701" w:type="dxa"/>
          </w:tcPr>
          <w:p>
            <w:pPr>
              <w:pStyle w:val="0"/>
              <w:jc w:val="both"/>
            </w:pPr>
            <w:r>
              <w:rPr>
                <w:sz w:val="20"/>
              </w:rPr>
              <w:t xml:space="preserve">детей 0 - 2 года включительно</w:t>
            </w:r>
          </w:p>
        </w:tc>
        <w:tc>
          <w:tcPr>
            <w:tcW w:w="1587" w:type="dxa"/>
          </w:tcPr>
          <w:p>
            <w:pPr>
              <w:pStyle w:val="0"/>
              <w:jc w:val="center"/>
            </w:pPr>
            <w:r>
              <w:rPr>
                <w:sz w:val="20"/>
              </w:rPr>
              <w:t xml:space="preserve">24</w:t>
            </w:r>
          </w:p>
        </w:tc>
        <w:tc>
          <w:tcPr>
            <w:tcW w:w="1144" w:type="dxa"/>
          </w:tcPr>
          <w:p>
            <w:pPr>
              <w:pStyle w:val="0"/>
              <w:jc w:val="center"/>
            </w:pPr>
            <w:r>
              <w:rPr>
                <w:sz w:val="20"/>
              </w:rPr>
              <w:t xml:space="preserve">24</w:t>
            </w:r>
          </w:p>
        </w:tc>
        <w:tc>
          <w:tcPr>
            <w:tcW w:w="1191" w:type="dxa"/>
          </w:tcPr>
          <w:p>
            <w:pPr>
              <w:pStyle w:val="0"/>
              <w:jc w:val="center"/>
            </w:pPr>
            <w:r>
              <w:rPr>
                <w:sz w:val="20"/>
              </w:rPr>
              <w:t xml:space="preserve">23</w:t>
            </w:r>
          </w:p>
        </w:tc>
        <w:tc>
          <w:tcPr>
            <w:tcW w:w="1701" w:type="dxa"/>
          </w:tcPr>
          <w:p>
            <w:pPr>
              <w:pStyle w:val="0"/>
              <w:jc w:val="center"/>
            </w:pPr>
            <w:r>
              <w:rPr>
                <w:sz w:val="20"/>
              </w:rPr>
              <w:t xml:space="preserve">100</w:t>
            </w:r>
          </w:p>
        </w:tc>
        <w:tc>
          <w:tcPr>
            <w:tcW w:w="1702" w:type="dxa"/>
          </w:tcPr>
          <w:p>
            <w:pPr>
              <w:pStyle w:val="0"/>
              <w:jc w:val="center"/>
            </w:pPr>
            <w:r>
              <w:rPr>
                <w:sz w:val="20"/>
              </w:rPr>
              <w:t xml:space="preserve">95</w:t>
            </w:r>
          </w:p>
        </w:tc>
      </w:tr>
      <w:tr>
        <w:tc>
          <w:tcPr>
            <w:gridSpan w:val="6"/>
            <w:tcW w:w="9026" w:type="dxa"/>
          </w:tcPr>
          <w:p>
            <w:pPr>
              <w:pStyle w:val="0"/>
              <w:jc w:val="center"/>
            </w:pPr>
            <w:r>
              <w:rPr>
                <w:sz w:val="20"/>
              </w:rPr>
              <w:t xml:space="preserve">2021</w:t>
            </w:r>
          </w:p>
        </w:tc>
      </w:tr>
      <w:tr>
        <w:tc>
          <w:tcPr>
            <w:tcW w:w="1701" w:type="dxa"/>
          </w:tcPr>
          <w:p>
            <w:pPr>
              <w:pStyle w:val="0"/>
              <w:jc w:val="both"/>
            </w:pPr>
            <w:r>
              <w:rPr>
                <w:sz w:val="20"/>
              </w:rPr>
              <w:t xml:space="preserve">инвалидов</w:t>
            </w:r>
          </w:p>
        </w:tc>
        <w:tc>
          <w:tcPr>
            <w:tcW w:w="1587" w:type="dxa"/>
          </w:tcPr>
          <w:p>
            <w:pPr>
              <w:pStyle w:val="0"/>
              <w:jc w:val="center"/>
            </w:pPr>
            <w:r>
              <w:rPr>
                <w:sz w:val="20"/>
              </w:rPr>
              <w:t xml:space="preserve">11636</w:t>
            </w:r>
          </w:p>
        </w:tc>
        <w:tc>
          <w:tcPr>
            <w:tcW w:w="1144" w:type="dxa"/>
          </w:tcPr>
          <w:p>
            <w:pPr>
              <w:pStyle w:val="0"/>
              <w:jc w:val="center"/>
            </w:pPr>
            <w:r>
              <w:rPr>
                <w:sz w:val="20"/>
              </w:rPr>
              <w:t xml:space="preserve">11415</w:t>
            </w:r>
          </w:p>
        </w:tc>
        <w:tc>
          <w:tcPr>
            <w:tcW w:w="1191" w:type="dxa"/>
          </w:tcPr>
          <w:p>
            <w:pPr>
              <w:pStyle w:val="0"/>
              <w:jc w:val="center"/>
            </w:pPr>
            <w:r>
              <w:rPr>
                <w:sz w:val="20"/>
              </w:rPr>
              <w:t xml:space="preserve">2091</w:t>
            </w:r>
          </w:p>
        </w:tc>
        <w:tc>
          <w:tcPr>
            <w:tcW w:w="1701" w:type="dxa"/>
          </w:tcPr>
          <w:p>
            <w:pPr>
              <w:pStyle w:val="0"/>
              <w:jc w:val="center"/>
            </w:pPr>
            <w:r>
              <w:rPr>
                <w:sz w:val="20"/>
              </w:rPr>
              <w:t xml:space="preserve">98</w:t>
            </w:r>
          </w:p>
        </w:tc>
        <w:tc>
          <w:tcPr>
            <w:tcW w:w="1702" w:type="dxa"/>
          </w:tcPr>
          <w:p>
            <w:pPr>
              <w:pStyle w:val="0"/>
              <w:jc w:val="center"/>
            </w:pPr>
            <w:r>
              <w:rPr>
                <w:sz w:val="20"/>
              </w:rPr>
              <w:t xml:space="preserve">17</w:t>
            </w:r>
          </w:p>
        </w:tc>
      </w:tr>
      <w:tr>
        <w:tc>
          <w:tcPr>
            <w:tcW w:w="1701" w:type="dxa"/>
          </w:tcPr>
          <w:p>
            <w:pPr>
              <w:pStyle w:val="0"/>
              <w:jc w:val="both"/>
            </w:pPr>
            <w:r>
              <w:rPr>
                <w:sz w:val="20"/>
              </w:rPr>
              <w:t xml:space="preserve">в т.ч.: взрослых</w:t>
            </w:r>
          </w:p>
        </w:tc>
        <w:tc>
          <w:tcPr>
            <w:tcW w:w="1587" w:type="dxa"/>
          </w:tcPr>
          <w:p>
            <w:pPr>
              <w:pStyle w:val="0"/>
              <w:jc w:val="center"/>
            </w:pPr>
            <w:r>
              <w:rPr>
                <w:sz w:val="20"/>
              </w:rPr>
              <w:t xml:space="preserve">11034</w:t>
            </w:r>
          </w:p>
        </w:tc>
        <w:tc>
          <w:tcPr>
            <w:tcW w:w="1144" w:type="dxa"/>
          </w:tcPr>
          <w:p>
            <w:pPr>
              <w:pStyle w:val="0"/>
              <w:jc w:val="center"/>
            </w:pPr>
            <w:r>
              <w:rPr>
                <w:sz w:val="20"/>
              </w:rPr>
              <w:t xml:space="preserve">10890</w:t>
            </w:r>
          </w:p>
        </w:tc>
        <w:tc>
          <w:tcPr>
            <w:tcW w:w="1191" w:type="dxa"/>
          </w:tcPr>
          <w:p>
            <w:pPr>
              <w:pStyle w:val="0"/>
              <w:jc w:val="center"/>
            </w:pPr>
            <w:r>
              <w:rPr>
                <w:sz w:val="20"/>
              </w:rPr>
              <w:t xml:space="preserve">1583</w:t>
            </w:r>
          </w:p>
        </w:tc>
        <w:tc>
          <w:tcPr>
            <w:tcW w:w="1701" w:type="dxa"/>
          </w:tcPr>
          <w:p>
            <w:pPr>
              <w:pStyle w:val="0"/>
              <w:jc w:val="center"/>
            </w:pPr>
            <w:r>
              <w:rPr>
                <w:sz w:val="20"/>
              </w:rPr>
              <w:t xml:space="preserve">97</w:t>
            </w:r>
          </w:p>
        </w:tc>
        <w:tc>
          <w:tcPr>
            <w:tcW w:w="1702" w:type="dxa"/>
          </w:tcPr>
          <w:p>
            <w:pPr>
              <w:pStyle w:val="0"/>
              <w:jc w:val="center"/>
            </w:pPr>
            <w:r>
              <w:rPr>
                <w:sz w:val="20"/>
              </w:rPr>
              <w:t xml:space="preserve">14</w:t>
            </w:r>
          </w:p>
        </w:tc>
      </w:tr>
      <w:tr>
        <w:tc>
          <w:tcPr>
            <w:tcW w:w="1701" w:type="dxa"/>
          </w:tcPr>
          <w:p>
            <w:pPr>
              <w:pStyle w:val="0"/>
              <w:jc w:val="both"/>
            </w:pPr>
            <w:r>
              <w:rPr>
                <w:sz w:val="20"/>
              </w:rPr>
              <w:t xml:space="preserve">детей</w:t>
            </w:r>
          </w:p>
        </w:tc>
        <w:tc>
          <w:tcPr>
            <w:tcW w:w="1587" w:type="dxa"/>
          </w:tcPr>
          <w:p>
            <w:pPr>
              <w:pStyle w:val="0"/>
              <w:jc w:val="center"/>
            </w:pPr>
            <w:r>
              <w:rPr>
                <w:sz w:val="20"/>
              </w:rPr>
              <w:t xml:space="preserve">602</w:t>
            </w:r>
          </w:p>
        </w:tc>
        <w:tc>
          <w:tcPr>
            <w:tcW w:w="1144" w:type="dxa"/>
          </w:tcPr>
          <w:p>
            <w:pPr>
              <w:pStyle w:val="0"/>
              <w:jc w:val="center"/>
            </w:pPr>
            <w:r>
              <w:rPr>
                <w:sz w:val="20"/>
              </w:rPr>
              <w:t xml:space="preserve">525</w:t>
            </w:r>
          </w:p>
        </w:tc>
        <w:tc>
          <w:tcPr>
            <w:tcW w:w="1191" w:type="dxa"/>
          </w:tcPr>
          <w:p>
            <w:pPr>
              <w:pStyle w:val="0"/>
              <w:jc w:val="center"/>
            </w:pPr>
            <w:r>
              <w:rPr>
                <w:sz w:val="20"/>
              </w:rPr>
              <w:t xml:space="preserve">508</w:t>
            </w:r>
          </w:p>
        </w:tc>
        <w:tc>
          <w:tcPr>
            <w:tcW w:w="1701" w:type="dxa"/>
          </w:tcPr>
          <w:p>
            <w:pPr>
              <w:pStyle w:val="0"/>
              <w:jc w:val="center"/>
            </w:pPr>
            <w:r>
              <w:rPr>
                <w:sz w:val="20"/>
              </w:rPr>
              <w:t xml:space="preserve">87</w:t>
            </w:r>
          </w:p>
        </w:tc>
        <w:tc>
          <w:tcPr>
            <w:tcW w:w="1702" w:type="dxa"/>
          </w:tcPr>
          <w:p>
            <w:pPr>
              <w:pStyle w:val="0"/>
              <w:jc w:val="center"/>
            </w:pPr>
            <w:r>
              <w:rPr>
                <w:sz w:val="20"/>
              </w:rPr>
              <w:t xml:space="preserve">96</w:t>
            </w:r>
          </w:p>
        </w:tc>
      </w:tr>
      <w:tr>
        <w:tc>
          <w:tcPr>
            <w:tcW w:w="1701" w:type="dxa"/>
          </w:tcPr>
          <w:p>
            <w:pPr>
              <w:pStyle w:val="0"/>
              <w:jc w:val="both"/>
            </w:pPr>
            <w:r>
              <w:rPr>
                <w:sz w:val="20"/>
              </w:rPr>
              <w:t xml:space="preserve">детей 0 - 2 года включительно</w:t>
            </w:r>
          </w:p>
        </w:tc>
        <w:tc>
          <w:tcPr>
            <w:tcW w:w="1587" w:type="dxa"/>
          </w:tcPr>
          <w:p>
            <w:pPr>
              <w:pStyle w:val="0"/>
              <w:jc w:val="center"/>
            </w:pPr>
            <w:r>
              <w:rPr>
                <w:sz w:val="20"/>
              </w:rPr>
              <w:t xml:space="preserve">26</w:t>
            </w:r>
          </w:p>
        </w:tc>
        <w:tc>
          <w:tcPr>
            <w:tcW w:w="1144" w:type="dxa"/>
          </w:tcPr>
          <w:p>
            <w:pPr>
              <w:pStyle w:val="0"/>
              <w:jc w:val="center"/>
            </w:pPr>
            <w:r>
              <w:rPr>
                <w:sz w:val="20"/>
              </w:rPr>
              <w:t xml:space="preserve">26</w:t>
            </w:r>
          </w:p>
        </w:tc>
        <w:tc>
          <w:tcPr>
            <w:tcW w:w="1191" w:type="dxa"/>
          </w:tcPr>
          <w:p>
            <w:pPr>
              <w:pStyle w:val="0"/>
              <w:jc w:val="center"/>
            </w:pPr>
            <w:r>
              <w:rPr>
                <w:sz w:val="20"/>
              </w:rPr>
              <w:t xml:space="preserve">24</w:t>
            </w:r>
          </w:p>
        </w:tc>
        <w:tc>
          <w:tcPr>
            <w:tcW w:w="1701" w:type="dxa"/>
          </w:tcPr>
          <w:p>
            <w:pPr>
              <w:pStyle w:val="0"/>
              <w:jc w:val="center"/>
            </w:pPr>
            <w:r>
              <w:rPr>
                <w:sz w:val="20"/>
              </w:rPr>
              <w:t xml:space="preserve">100</w:t>
            </w:r>
          </w:p>
        </w:tc>
        <w:tc>
          <w:tcPr>
            <w:tcW w:w="1702" w:type="dxa"/>
          </w:tcPr>
          <w:p>
            <w:pPr>
              <w:pStyle w:val="0"/>
              <w:jc w:val="center"/>
            </w:pPr>
            <w:r>
              <w:rPr>
                <w:sz w:val="20"/>
              </w:rPr>
              <w:t xml:space="preserve">92</w:t>
            </w:r>
          </w:p>
        </w:tc>
      </w:tr>
      <w:tr>
        <w:tc>
          <w:tcPr>
            <w:gridSpan w:val="6"/>
            <w:tcW w:w="9026" w:type="dxa"/>
          </w:tcPr>
          <w:p>
            <w:pPr>
              <w:pStyle w:val="0"/>
              <w:jc w:val="center"/>
            </w:pPr>
            <w:r>
              <w:rPr>
                <w:sz w:val="20"/>
              </w:rPr>
              <w:t xml:space="preserve">2020</w:t>
            </w:r>
          </w:p>
        </w:tc>
      </w:tr>
      <w:tr>
        <w:tc>
          <w:tcPr>
            <w:tcW w:w="1701" w:type="dxa"/>
          </w:tcPr>
          <w:p>
            <w:pPr>
              <w:pStyle w:val="0"/>
              <w:jc w:val="both"/>
            </w:pPr>
            <w:r>
              <w:rPr>
                <w:sz w:val="20"/>
              </w:rPr>
              <w:t xml:space="preserve">инвалидов</w:t>
            </w:r>
          </w:p>
        </w:tc>
        <w:tc>
          <w:tcPr>
            <w:tcW w:w="1587" w:type="dxa"/>
          </w:tcPr>
          <w:p>
            <w:pPr>
              <w:pStyle w:val="0"/>
              <w:jc w:val="center"/>
            </w:pPr>
            <w:r>
              <w:rPr>
                <w:sz w:val="20"/>
              </w:rPr>
              <w:t xml:space="preserve">11124</w:t>
            </w:r>
          </w:p>
        </w:tc>
        <w:tc>
          <w:tcPr>
            <w:tcW w:w="1144" w:type="dxa"/>
          </w:tcPr>
          <w:p>
            <w:pPr>
              <w:pStyle w:val="0"/>
              <w:jc w:val="center"/>
            </w:pPr>
            <w:r>
              <w:rPr>
                <w:sz w:val="20"/>
              </w:rPr>
              <w:t xml:space="preserve">5357</w:t>
            </w:r>
          </w:p>
        </w:tc>
        <w:tc>
          <w:tcPr>
            <w:tcW w:w="1191" w:type="dxa"/>
          </w:tcPr>
          <w:p>
            <w:pPr>
              <w:pStyle w:val="0"/>
              <w:jc w:val="center"/>
            </w:pPr>
            <w:r>
              <w:rPr>
                <w:sz w:val="20"/>
              </w:rPr>
              <w:t xml:space="preserve">2958</w:t>
            </w:r>
          </w:p>
        </w:tc>
        <w:tc>
          <w:tcPr>
            <w:tcW w:w="1701" w:type="dxa"/>
          </w:tcPr>
          <w:p>
            <w:pPr>
              <w:pStyle w:val="0"/>
              <w:jc w:val="center"/>
            </w:pPr>
            <w:r>
              <w:rPr>
                <w:sz w:val="20"/>
              </w:rPr>
              <w:t xml:space="preserve">48</w:t>
            </w:r>
          </w:p>
        </w:tc>
        <w:tc>
          <w:tcPr>
            <w:tcW w:w="1702" w:type="dxa"/>
          </w:tcPr>
          <w:p>
            <w:pPr>
              <w:pStyle w:val="0"/>
              <w:jc w:val="center"/>
            </w:pPr>
            <w:r>
              <w:rPr>
                <w:sz w:val="20"/>
              </w:rPr>
              <w:t xml:space="preserve">55</w:t>
            </w:r>
          </w:p>
        </w:tc>
      </w:tr>
      <w:tr>
        <w:tc>
          <w:tcPr>
            <w:tcW w:w="1701" w:type="dxa"/>
          </w:tcPr>
          <w:p>
            <w:pPr>
              <w:pStyle w:val="0"/>
              <w:jc w:val="both"/>
            </w:pPr>
            <w:r>
              <w:rPr>
                <w:sz w:val="20"/>
              </w:rPr>
              <w:t xml:space="preserve">в т.ч.: взрослых</w:t>
            </w:r>
          </w:p>
        </w:tc>
        <w:tc>
          <w:tcPr>
            <w:tcW w:w="1587" w:type="dxa"/>
          </w:tcPr>
          <w:p>
            <w:pPr>
              <w:pStyle w:val="0"/>
              <w:jc w:val="center"/>
            </w:pPr>
            <w:r>
              <w:rPr>
                <w:sz w:val="20"/>
              </w:rPr>
              <w:t xml:space="preserve">10550</w:t>
            </w:r>
          </w:p>
        </w:tc>
        <w:tc>
          <w:tcPr>
            <w:tcW w:w="1144" w:type="dxa"/>
          </w:tcPr>
          <w:p>
            <w:pPr>
              <w:pStyle w:val="0"/>
              <w:jc w:val="center"/>
            </w:pPr>
            <w:r>
              <w:rPr>
                <w:sz w:val="20"/>
              </w:rPr>
              <w:t xml:space="preserve">4958</w:t>
            </w:r>
          </w:p>
        </w:tc>
        <w:tc>
          <w:tcPr>
            <w:tcW w:w="1191" w:type="dxa"/>
          </w:tcPr>
          <w:p>
            <w:pPr>
              <w:pStyle w:val="0"/>
              <w:jc w:val="center"/>
            </w:pPr>
            <w:r>
              <w:rPr>
                <w:sz w:val="20"/>
              </w:rPr>
              <w:t xml:space="preserve">2705</w:t>
            </w:r>
          </w:p>
        </w:tc>
        <w:tc>
          <w:tcPr>
            <w:tcW w:w="1701" w:type="dxa"/>
          </w:tcPr>
          <w:p>
            <w:pPr>
              <w:pStyle w:val="0"/>
              <w:jc w:val="center"/>
            </w:pPr>
            <w:r>
              <w:rPr>
                <w:sz w:val="20"/>
              </w:rPr>
              <w:t xml:space="preserve">46</w:t>
            </w:r>
          </w:p>
        </w:tc>
        <w:tc>
          <w:tcPr>
            <w:tcW w:w="1702" w:type="dxa"/>
          </w:tcPr>
          <w:p>
            <w:pPr>
              <w:pStyle w:val="0"/>
              <w:jc w:val="center"/>
            </w:pPr>
            <w:r>
              <w:rPr>
                <w:sz w:val="20"/>
              </w:rPr>
              <w:t xml:space="preserve">54</w:t>
            </w:r>
          </w:p>
        </w:tc>
      </w:tr>
      <w:tr>
        <w:tc>
          <w:tcPr>
            <w:tcW w:w="1701" w:type="dxa"/>
          </w:tcPr>
          <w:p>
            <w:pPr>
              <w:pStyle w:val="0"/>
              <w:jc w:val="both"/>
            </w:pPr>
            <w:r>
              <w:rPr>
                <w:sz w:val="20"/>
              </w:rPr>
              <w:t xml:space="preserve">детей</w:t>
            </w:r>
          </w:p>
        </w:tc>
        <w:tc>
          <w:tcPr>
            <w:tcW w:w="1587" w:type="dxa"/>
          </w:tcPr>
          <w:p>
            <w:pPr>
              <w:pStyle w:val="0"/>
              <w:jc w:val="center"/>
            </w:pPr>
            <w:r>
              <w:rPr>
                <w:sz w:val="20"/>
              </w:rPr>
              <w:t xml:space="preserve">574</w:t>
            </w:r>
          </w:p>
        </w:tc>
        <w:tc>
          <w:tcPr>
            <w:tcW w:w="1144" w:type="dxa"/>
          </w:tcPr>
          <w:p>
            <w:pPr>
              <w:pStyle w:val="0"/>
              <w:jc w:val="center"/>
            </w:pPr>
            <w:r>
              <w:rPr>
                <w:sz w:val="20"/>
              </w:rPr>
              <w:t xml:space="preserve">399</w:t>
            </w:r>
          </w:p>
        </w:tc>
        <w:tc>
          <w:tcPr>
            <w:tcW w:w="1191" w:type="dxa"/>
          </w:tcPr>
          <w:p>
            <w:pPr>
              <w:pStyle w:val="0"/>
              <w:jc w:val="center"/>
            </w:pPr>
            <w:r>
              <w:rPr>
                <w:sz w:val="20"/>
              </w:rPr>
              <w:t xml:space="preserve">253</w:t>
            </w:r>
          </w:p>
        </w:tc>
        <w:tc>
          <w:tcPr>
            <w:tcW w:w="1701" w:type="dxa"/>
          </w:tcPr>
          <w:p>
            <w:pPr>
              <w:pStyle w:val="0"/>
              <w:jc w:val="center"/>
            </w:pPr>
            <w:r>
              <w:rPr>
                <w:sz w:val="20"/>
              </w:rPr>
              <w:t xml:space="preserve">69</w:t>
            </w:r>
          </w:p>
        </w:tc>
        <w:tc>
          <w:tcPr>
            <w:tcW w:w="1702" w:type="dxa"/>
          </w:tcPr>
          <w:p>
            <w:pPr>
              <w:pStyle w:val="0"/>
              <w:jc w:val="center"/>
            </w:pPr>
            <w:r>
              <w:rPr>
                <w:sz w:val="20"/>
              </w:rPr>
              <w:t xml:space="preserve">64</w:t>
            </w:r>
          </w:p>
        </w:tc>
      </w:tr>
      <w:tr>
        <w:tc>
          <w:tcPr>
            <w:tcW w:w="1701" w:type="dxa"/>
          </w:tcPr>
          <w:p>
            <w:pPr>
              <w:pStyle w:val="0"/>
              <w:jc w:val="both"/>
            </w:pPr>
            <w:r>
              <w:rPr>
                <w:sz w:val="20"/>
              </w:rPr>
              <w:t xml:space="preserve">детей 0 - 2 года включительно</w:t>
            </w:r>
          </w:p>
        </w:tc>
        <w:tc>
          <w:tcPr>
            <w:tcW w:w="1587" w:type="dxa"/>
          </w:tcPr>
          <w:p>
            <w:pPr>
              <w:pStyle w:val="0"/>
              <w:jc w:val="center"/>
            </w:pPr>
            <w:r>
              <w:rPr>
                <w:sz w:val="20"/>
              </w:rPr>
              <w:t xml:space="preserve">21</w:t>
            </w:r>
          </w:p>
        </w:tc>
        <w:tc>
          <w:tcPr>
            <w:tcW w:w="1144" w:type="dxa"/>
          </w:tcPr>
          <w:p>
            <w:pPr>
              <w:pStyle w:val="0"/>
              <w:jc w:val="center"/>
            </w:pPr>
            <w:r>
              <w:rPr>
                <w:sz w:val="20"/>
              </w:rPr>
              <w:t xml:space="preserve">17</w:t>
            </w:r>
          </w:p>
        </w:tc>
        <w:tc>
          <w:tcPr>
            <w:tcW w:w="1191" w:type="dxa"/>
          </w:tcPr>
          <w:p>
            <w:pPr>
              <w:pStyle w:val="0"/>
              <w:jc w:val="center"/>
            </w:pPr>
            <w:r>
              <w:rPr>
                <w:sz w:val="20"/>
              </w:rPr>
              <w:t xml:space="preserve">14</w:t>
            </w:r>
          </w:p>
        </w:tc>
        <w:tc>
          <w:tcPr>
            <w:tcW w:w="1701" w:type="dxa"/>
          </w:tcPr>
          <w:p>
            <w:pPr>
              <w:pStyle w:val="0"/>
              <w:jc w:val="center"/>
            </w:pPr>
            <w:r>
              <w:rPr>
                <w:sz w:val="20"/>
              </w:rPr>
              <w:t xml:space="preserve">80</w:t>
            </w:r>
          </w:p>
        </w:tc>
        <w:tc>
          <w:tcPr>
            <w:tcW w:w="1702" w:type="dxa"/>
          </w:tcPr>
          <w:p>
            <w:pPr>
              <w:pStyle w:val="0"/>
              <w:jc w:val="center"/>
            </w:pPr>
            <w:r>
              <w:rPr>
                <w:sz w:val="20"/>
              </w:rPr>
              <w:t xml:space="preserve">82</w:t>
            </w:r>
          </w:p>
        </w:tc>
      </w:tr>
      <w:tr>
        <w:tc>
          <w:tcPr>
            <w:gridSpan w:val="6"/>
            <w:tcW w:w="9026" w:type="dxa"/>
          </w:tcPr>
          <w:p>
            <w:pPr>
              <w:pStyle w:val="0"/>
              <w:jc w:val="center"/>
            </w:pPr>
            <w:r>
              <w:rPr>
                <w:sz w:val="20"/>
              </w:rPr>
              <w:t xml:space="preserve">2019</w:t>
            </w:r>
          </w:p>
        </w:tc>
      </w:tr>
      <w:tr>
        <w:tc>
          <w:tcPr>
            <w:tcW w:w="1701" w:type="dxa"/>
          </w:tcPr>
          <w:p>
            <w:pPr>
              <w:pStyle w:val="0"/>
              <w:jc w:val="both"/>
            </w:pPr>
            <w:r>
              <w:rPr>
                <w:sz w:val="20"/>
              </w:rPr>
              <w:t xml:space="preserve">число инвалидов всего</w:t>
            </w:r>
          </w:p>
        </w:tc>
        <w:tc>
          <w:tcPr>
            <w:tcW w:w="1587" w:type="dxa"/>
          </w:tcPr>
          <w:p>
            <w:pPr>
              <w:pStyle w:val="0"/>
              <w:jc w:val="center"/>
            </w:pPr>
            <w:r>
              <w:rPr>
                <w:sz w:val="20"/>
              </w:rPr>
              <w:t xml:space="preserve">15688</w:t>
            </w:r>
          </w:p>
        </w:tc>
        <w:tc>
          <w:tcPr>
            <w:tcW w:w="1144" w:type="dxa"/>
          </w:tcPr>
          <w:p>
            <w:pPr>
              <w:pStyle w:val="0"/>
              <w:jc w:val="center"/>
            </w:pPr>
            <w:r>
              <w:rPr>
                <w:sz w:val="20"/>
              </w:rPr>
              <w:t xml:space="preserve">15494</w:t>
            </w:r>
          </w:p>
        </w:tc>
        <w:tc>
          <w:tcPr>
            <w:tcW w:w="1191" w:type="dxa"/>
          </w:tcPr>
          <w:p>
            <w:pPr>
              <w:pStyle w:val="0"/>
              <w:jc w:val="center"/>
            </w:pPr>
            <w:r>
              <w:rPr>
                <w:sz w:val="20"/>
              </w:rPr>
              <w:t xml:space="preserve">5904</w:t>
            </w:r>
          </w:p>
        </w:tc>
        <w:tc>
          <w:tcPr>
            <w:tcW w:w="1701" w:type="dxa"/>
          </w:tcPr>
          <w:p>
            <w:pPr>
              <w:pStyle w:val="0"/>
              <w:jc w:val="center"/>
            </w:pPr>
            <w:r>
              <w:rPr>
                <w:sz w:val="20"/>
              </w:rPr>
              <w:t xml:space="preserve">99</w:t>
            </w:r>
          </w:p>
        </w:tc>
        <w:tc>
          <w:tcPr>
            <w:tcW w:w="1702" w:type="dxa"/>
          </w:tcPr>
          <w:p>
            <w:pPr>
              <w:pStyle w:val="0"/>
              <w:jc w:val="center"/>
            </w:pPr>
            <w:r>
              <w:rPr>
                <w:sz w:val="20"/>
              </w:rPr>
              <w:t xml:space="preserve">38</w:t>
            </w:r>
          </w:p>
        </w:tc>
      </w:tr>
      <w:tr>
        <w:tc>
          <w:tcPr>
            <w:tcW w:w="1701" w:type="dxa"/>
          </w:tcPr>
          <w:p>
            <w:pPr>
              <w:pStyle w:val="0"/>
              <w:jc w:val="both"/>
            </w:pPr>
            <w:r>
              <w:rPr>
                <w:sz w:val="20"/>
              </w:rPr>
              <w:t xml:space="preserve">в т.ч.: взрослых</w:t>
            </w:r>
          </w:p>
        </w:tc>
        <w:tc>
          <w:tcPr>
            <w:tcW w:w="1587" w:type="dxa"/>
          </w:tcPr>
          <w:p>
            <w:pPr>
              <w:pStyle w:val="0"/>
              <w:jc w:val="center"/>
            </w:pPr>
            <w:r>
              <w:rPr>
                <w:sz w:val="20"/>
              </w:rPr>
              <w:t xml:space="preserve">14981</w:t>
            </w:r>
          </w:p>
        </w:tc>
        <w:tc>
          <w:tcPr>
            <w:tcW w:w="1144" w:type="dxa"/>
          </w:tcPr>
          <w:p>
            <w:pPr>
              <w:pStyle w:val="0"/>
              <w:jc w:val="center"/>
            </w:pPr>
            <w:r>
              <w:rPr>
                <w:sz w:val="20"/>
              </w:rPr>
              <w:t xml:space="preserve">14820</w:t>
            </w:r>
          </w:p>
        </w:tc>
        <w:tc>
          <w:tcPr>
            <w:tcW w:w="1191" w:type="dxa"/>
          </w:tcPr>
          <w:p>
            <w:pPr>
              <w:pStyle w:val="0"/>
              <w:jc w:val="center"/>
            </w:pPr>
            <w:r>
              <w:rPr>
                <w:sz w:val="20"/>
              </w:rPr>
              <w:t xml:space="preserve">5255</w:t>
            </w:r>
          </w:p>
        </w:tc>
        <w:tc>
          <w:tcPr>
            <w:tcW w:w="1701" w:type="dxa"/>
          </w:tcPr>
          <w:p>
            <w:pPr>
              <w:pStyle w:val="0"/>
              <w:jc w:val="center"/>
            </w:pPr>
            <w:r>
              <w:rPr>
                <w:sz w:val="20"/>
              </w:rPr>
              <w:t xml:space="preserve">99</w:t>
            </w:r>
          </w:p>
        </w:tc>
        <w:tc>
          <w:tcPr>
            <w:tcW w:w="1702" w:type="dxa"/>
          </w:tcPr>
          <w:p>
            <w:pPr>
              <w:pStyle w:val="0"/>
              <w:jc w:val="center"/>
            </w:pPr>
            <w:r>
              <w:rPr>
                <w:sz w:val="20"/>
              </w:rPr>
              <w:t xml:space="preserve">35</w:t>
            </w:r>
          </w:p>
        </w:tc>
      </w:tr>
      <w:tr>
        <w:tc>
          <w:tcPr>
            <w:tcW w:w="1701" w:type="dxa"/>
          </w:tcPr>
          <w:p>
            <w:pPr>
              <w:pStyle w:val="0"/>
              <w:jc w:val="both"/>
            </w:pPr>
            <w:r>
              <w:rPr>
                <w:sz w:val="20"/>
              </w:rPr>
              <w:t xml:space="preserve">детей</w:t>
            </w:r>
          </w:p>
        </w:tc>
        <w:tc>
          <w:tcPr>
            <w:tcW w:w="1587" w:type="dxa"/>
          </w:tcPr>
          <w:p>
            <w:pPr>
              <w:pStyle w:val="0"/>
              <w:jc w:val="center"/>
            </w:pPr>
            <w:r>
              <w:rPr>
                <w:sz w:val="20"/>
              </w:rPr>
              <w:t xml:space="preserve">707</w:t>
            </w:r>
          </w:p>
        </w:tc>
        <w:tc>
          <w:tcPr>
            <w:tcW w:w="1144" w:type="dxa"/>
          </w:tcPr>
          <w:p>
            <w:pPr>
              <w:pStyle w:val="0"/>
              <w:jc w:val="center"/>
            </w:pPr>
            <w:r>
              <w:rPr>
                <w:sz w:val="20"/>
              </w:rPr>
              <w:t xml:space="preserve">674</w:t>
            </w:r>
          </w:p>
        </w:tc>
        <w:tc>
          <w:tcPr>
            <w:tcW w:w="1191" w:type="dxa"/>
          </w:tcPr>
          <w:p>
            <w:pPr>
              <w:pStyle w:val="0"/>
              <w:jc w:val="center"/>
            </w:pPr>
            <w:r>
              <w:rPr>
                <w:sz w:val="20"/>
              </w:rPr>
              <w:t xml:space="preserve">649</w:t>
            </w:r>
          </w:p>
        </w:tc>
        <w:tc>
          <w:tcPr>
            <w:tcW w:w="1701" w:type="dxa"/>
          </w:tcPr>
          <w:p>
            <w:pPr>
              <w:pStyle w:val="0"/>
              <w:jc w:val="center"/>
            </w:pPr>
            <w:r>
              <w:rPr>
                <w:sz w:val="20"/>
              </w:rPr>
              <w:t xml:space="preserve">95</w:t>
            </w:r>
          </w:p>
        </w:tc>
        <w:tc>
          <w:tcPr>
            <w:tcW w:w="1702" w:type="dxa"/>
          </w:tcPr>
          <w:p>
            <w:pPr>
              <w:pStyle w:val="0"/>
              <w:jc w:val="center"/>
            </w:pPr>
            <w:r>
              <w:rPr>
                <w:sz w:val="20"/>
              </w:rPr>
              <w:t xml:space="preserve">96</w:t>
            </w:r>
          </w:p>
        </w:tc>
      </w:tr>
    </w:tbl>
    <w:p>
      <w:pPr>
        <w:pStyle w:val="0"/>
        <w:ind w:firstLine="540"/>
        <w:jc w:val="both"/>
      </w:pPr>
      <w:r>
        <w:rPr>
          <w:sz w:val="20"/>
        </w:rPr>
      </w:r>
    </w:p>
    <w:p>
      <w:pPr>
        <w:pStyle w:val="0"/>
        <w:ind w:firstLine="540"/>
        <w:jc w:val="both"/>
      </w:pPr>
      <w:r>
        <w:rPr>
          <w:sz w:val="20"/>
        </w:rPr>
        <w:t xml:space="preserve">В динамике за период 2019 - 2022 годов произошло снижение доли инвалидов, направленных на медицинскую реабилитацию, от числа нуждающихся в ней: в общем числе инвалидов - на 8,3%, взрослых - на 8,8%, детей - на 0,3%.</w:t>
      </w:r>
    </w:p>
    <w:p>
      <w:pPr>
        <w:pStyle w:val="0"/>
        <w:spacing w:before="200" w:line-rule="auto"/>
        <w:ind w:firstLine="540"/>
        <w:jc w:val="both"/>
      </w:pPr>
      <w:r>
        <w:rPr>
          <w:sz w:val="20"/>
        </w:rPr>
        <w:t xml:space="preserve">В 2021 году доля инвалидов, завершивших медицинскую реабилитацию, из числа направленных среди взрослого населения снизилась из-за ковидных ограничений, среди детского населения возросла на 44%.</w:t>
      </w:r>
    </w:p>
    <w:p>
      <w:pPr>
        <w:pStyle w:val="0"/>
        <w:spacing w:before="200" w:line-rule="auto"/>
        <w:ind w:firstLine="540"/>
        <w:jc w:val="both"/>
      </w:pPr>
      <w:r>
        <w:rPr>
          <w:sz w:val="20"/>
        </w:rPr>
        <w:t xml:space="preserve">1.4. Показатели деятельности реабилитационной службы города Севастополя.</w:t>
      </w:r>
    </w:p>
    <w:p>
      <w:pPr>
        <w:pStyle w:val="0"/>
        <w:spacing w:before="200" w:line-rule="auto"/>
        <w:ind w:firstLine="540"/>
        <w:jc w:val="both"/>
      </w:pPr>
      <w:r>
        <w:rPr>
          <w:sz w:val="20"/>
        </w:rPr>
        <w:t xml:space="preserve">В 2022 году отмечается рост числа случаев госпитализации в 2,94 раза относительно 2019 года. Рост произошел за счет медицинской реабилитации пациентов при других соматических заболеваниях и в 1,58 раза за счет реабилитации пациентов с заболеваниями опорно-двигательной системы </w:t>
      </w:r>
      <w:hyperlink w:history="0" w:anchor="P43082" w:tooltip="Объем оказания медицинской помощи в рамках Территориальной">
        <w:r>
          <w:rPr>
            <w:sz w:val="20"/>
            <w:color w:val="0000ff"/>
          </w:rPr>
          <w:t xml:space="preserve">(таблица 8)</w:t>
        </w:r>
      </w:hyperlink>
      <w:r>
        <w:rPr>
          <w:sz w:val="20"/>
        </w:rPr>
        <w:t xml:space="preserve">. Реабилитация пациентов с заболеваниями ЦНС и кардиореабилитация в городе Севастополе не проводятся.</w:t>
      </w:r>
    </w:p>
    <w:p>
      <w:pPr>
        <w:pStyle w:val="0"/>
        <w:jc w:val="right"/>
      </w:pPr>
      <w:r>
        <w:rPr>
          <w:sz w:val="20"/>
        </w:rPr>
      </w:r>
    </w:p>
    <w:p>
      <w:pPr>
        <w:pStyle w:val="0"/>
        <w:jc w:val="right"/>
      </w:pPr>
      <w:r>
        <w:rPr>
          <w:sz w:val="20"/>
        </w:rPr>
        <w:t xml:space="preserve">Таблица 8</w:t>
      </w:r>
    </w:p>
    <w:p>
      <w:pPr>
        <w:pStyle w:val="0"/>
        <w:jc w:val="right"/>
      </w:pPr>
      <w:r>
        <w:rPr>
          <w:sz w:val="20"/>
        </w:rPr>
      </w:r>
    </w:p>
    <w:bookmarkStart w:id="43082" w:name="P43082"/>
    <w:bookmarkEnd w:id="43082"/>
    <w:p>
      <w:pPr>
        <w:pStyle w:val="0"/>
        <w:jc w:val="center"/>
      </w:pPr>
      <w:r>
        <w:rPr>
          <w:sz w:val="20"/>
        </w:rPr>
        <w:t xml:space="preserve">Объем оказания медицинской помощи в рамках Территориальной</w:t>
      </w:r>
    </w:p>
    <w:p>
      <w:pPr>
        <w:pStyle w:val="0"/>
        <w:jc w:val="center"/>
      </w:pPr>
      <w:r>
        <w:rPr>
          <w:sz w:val="20"/>
        </w:rPr>
        <w:t xml:space="preserve">программы ОМС (в условиях круглосуточного стационара)</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03"/>
        <w:gridCol w:w="1020"/>
        <w:gridCol w:w="1020"/>
        <w:gridCol w:w="1020"/>
        <w:gridCol w:w="1077"/>
        <w:gridCol w:w="1020"/>
        <w:gridCol w:w="1474"/>
      </w:tblGrid>
      <w:tr>
        <w:tc>
          <w:tcPr>
            <w:tcW w:w="2403" w:type="dxa"/>
            <w:vMerge w:val="restart"/>
          </w:tcPr>
          <w:p>
            <w:pPr>
              <w:pStyle w:val="0"/>
              <w:jc w:val="center"/>
            </w:pPr>
            <w:r>
              <w:rPr>
                <w:sz w:val="20"/>
              </w:rPr>
              <w:t xml:space="preserve">Наименование профиля реабилитации</w:t>
            </w:r>
          </w:p>
        </w:tc>
        <w:tc>
          <w:tcPr>
            <w:gridSpan w:val="2"/>
            <w:tcW w:w="2040" w:type="dxa"/>
          </w:tcPr>
          <w:p>
            <w:pPr>
              <w:pStyle w:val="0"/>
              <w:jc w:val="center"/>
            </w:pPr>
            <w:r>
              <w:rPr>
                <w:sz w:val="20"/>
              </w:rPr>
              <w:t xml:space="preserve">2020 год</w:t>
            </w:r>
          </w:p>
        </w:tc>
        <w:tc>
          <w:tcPr>
            <w:gridSpan w:val="2"/>
            <w:tcW w:w="2097" w:type="dxa"/>
          </w:tcPr>
          <w:p>
            <w:pPr>
              <w:pStyle w:val="0"/>
              <w:jc w:val="center"/>
            </w:pPr>
            <w:r>
              <w:rPr>
                <w:sz w:val="20"/>
              </w:rPr>
              <w:t xml:space="preserve">2021 год</w:t>
            </w:r>
          </w:p>
        </w:tc>
        <w:tc>
          <w:tcPr>
            <w:gridSpan w:val="2"/>
            <w:tcW w:w="2494" w:type="dxa"/>
          </w:tcPr>
          <w:p>
            <w:pPr>
              <w:pStyle w:val="0"/>
              <w:jc w:val="center"/>
            </w:pPr>
            <w:r>
              <w:rPr>
                <w:sz w:val="20"/>
              </w:rPr>
              <w:t xml:space="preserve">2022 год</w:t>
            </w:r>
          </w:p>
        </w:tc>
      </w:tr>
      <w:tr>
        <w:tc>
          <w:tcPr>
            <w:vMerge w:val="continue"/>
          </w:tcPr>
          <w:p/>
        </w:tc>
        <w:tc>
          <w:tcPr>
            <w:tcW w:w="1020" w:type="dxa"/>
          </w:tcPr>
          <w:p>
            <w:pPr>
              <w:pStyle w:val="0"/>
              <w:jc w:val="center"/>
            </w:pPr>
            <w:r>
              <w:rPr>
                <w:sz w:val="20"/>
              </w:rPr>
              <w:t xml:space="preserve">Кол-во госпитализаций</w:t>
            </w:r>
          </w:p>
        </w:tc>
        <w:tc>
          <w:tcPr>
            <w:tcW w:w="1020" w:type="dxa"/>
          </w:tcPr>
          <w:p>
            <w:pPr>
              <w:pStyle w:val="0"/>
              <w:jc w:val="center"/>
            </w:pPr>
            <w:r>
              <w:rPr>
                <w:sz w:val="20"/>
              </w:rPr>
              <w:t xml:space="preserve">Сумма финансирования, тыс. руб.</w:t>
            </w:r>
          </w:p>
        </w:tc>
        <w:tc>
          <w:tcPr>
            <w:tcW w:w="1020" w:type="dxa"/>
          </w:tcPr>
          <w:p>
            <w:pPr>
              <w:pStyle w:val="0"/>
              <w:jc w:val="center"/>
            </w:pPr>
            <w:r>
              <w:rPr>
                <w:sz w:val="20"/>
              </w:rPr>
              <w:t xml:space="preserve">Кол-во госпитализаций</w:t>
            </w:r>
          </w:p>
        </w:tc>
        <w:tc>
          <w:tcPr>
            <w:tcW w:w="1077" w:type="dxa"/>
          </w:tcPr>
          <w:p>
            <w:pPr>
              <w:pStyle w:val="0"/>
              <w:jc w:val="center"/>
            </w:pPr>
            <w:r>
              <w:rPr>
                <w:sz w:val="20"/>
              </w:rPr>
              <w:t xml:space="preserve">Сумма финансирования, тыс. руб.</w:t>
            </w:r>
          </w:p>
        </w:tc>
        <w:tc>
          <w:tcPr>
            <w:tcW w:w="1020" w:type="dxa"/>
          </w:tcPr>
          <w:p>
            <w:pPr>
              <w:pStyle w:val="0"/>
              <w:jc w:val="center"/>
            </w:pPr>
            <w:r>
              <w:rPr>
                <w:sz w:val="20"/>
              </w:rPr>
              <w:t xml:space="preserve">Кол-во госпитализаций</w:t>
            </w:r>
          </w:p>
        </w:tc>
        <w:tc>
          <w:tcPr>
            <w:tcW w:w="1474" w:type="dxa"/>
          </w:tcPr>
          <w:p>
            <w:pPr>
              <w:pStyle w:val="0"/>
              <w:jc w:val="center"/>
            </w:pPr>
            <w:r>
              <w:rPr>
                <w:sz w:val="20"/>
              </w:rPr>
              <w:t xml:space="preserve">Сумма финансирования, тыс. руб.</w:t>
            </w:r>
          </w:p>
        </w:tc>
      </w:tr>
      <w:tr>
        <w:tc>
          <w:tcPr>
            <w:tcW w:w="2403" w:type="dxa"/>
          </w:tcPr>
          <w:p>
            <w:pPr>
              <w:pStyle w:val="0"/>
              <w:jc w:val="both"/>
            </w:pPr>
            <w:r>
              <w:rPr>
                <w:sz w:val="20"/>
              </w:rPr>
              <w:t xml:space="preserve">Всего:</w:t>
            </w:r>
          </w:p>
        </w:tc>
        <w:tc>
          <w:tcPr>
            <w:tcW w:w="1020" w:type="dxa"/>
          </w:tcPr>
          <w:p>
            <w:pPr>
              <w:pStyle w:val="0"/>
              <w:jc w:val="center"/>
            </w:pPr>
            <w:r>
              <w:rPr>
                <w:sz w:val="20"/>
              </w:rPr>
              <w:t xml:space="preserve">178</w:t>
            </w:r>
          </w:p>
        </w:tc>
        <w:tc>
          <w:tcPr>
            <w:tcW w:w="1020" w:type="dxa"/>
          </w:tcPr>
          <w:p>
            <w:pPr>
              <w:pStyle w:val="0"/>
              <w:jc w:val="center"/>
            </w:pPr>
            <w:r>
              <w:rPr>
                <w:sz w:val="20"/>
              </w:rPr>
              <w:t xml:space="preserve">4580,55</w:t>
            </w:r>
          </w:p>
        </w:tc>
        <w:tc>
          <w:tcPr>
            <w:tcW w:w="1020" w:type="dxa"/>
          </w:tcPr>
          <w:p>
            <w:pPr>
              <w:pStyle w:val="0"/>
              <w:jc w:val="center"/>
            </w:pPr>
            <w:r>
              <w:rPr>
                <w:sz w:val="20"/>
              </w:rPr>
              <w:t xml:space="preserve">778</w:t>
            </w:r>
          </w:p>
        </w:tc>
        <w:tc>
          <w:tcPr>
            <w:tcW w:w="1077" w:type="dxa"/>
          </w:tcPr>
          <w:p>
            <w:pPr>
              <w:pStyle w:val="0"/>
              <w:jc w:val="center"/>
            </w:pPr>
            <w:r>
              <w:rPr>
                <w:sz w:val="20"/>
              </w:rPr>
              <w:t xml:space="preserve">23400,32</w:t>
            </w:r>
          </w:p>
        </w:tc>
        <w:tc>
          <w:tcPr>
            <w:tcW w:w="1020" w:type="dxa"/>
          </w:tcPr>
          <w:p>
            <w:pPr>
              <w:pStyle w:val="0"/>
              <w:jc w:val="center"/>
            </w:pPr>
            <w:r>
              <w:rPr>
                <w:sz w:val="20"/>
              </w:rPr>
              <w:t xml:space="preserve">951</w:t>
            </w:r>
          </w:p>
        </w:tc>
        <w:tc>
          <w:tcPr>
            <w:tcW w:w="1474" w:type="dxa"/>
          </w:tcPr>
          <w:p>
            <w:pPr>
              <w:pStyle w:val="0"/>
              <w:jc w:val="center"/>
            </w:pPr>
            <w:r>
              <w:rPr>
                <w:sz w:val="20"/>
              </w:rPr>
              <w:t xml:space="preserve">27829649,84</w:t>
            </w:r>
          </w:p>
        </w:tc>
      </w:tr>
      <w:tr>
        <w:tc>
          <w:tcPr>
            <w:tcW w:w="2403" w:type="dxa"/>
          </w:tcPr>
          <w:p>
            <w:pPr>
              <w:pStyle w:val="0"/>
              <w:jc w:val="both"/>
            </w:pPr>
            <w:r>
              <w:rPr>
                <w:sz w:val="20"/>
              </w:rPr>
              <w:t xml:space="preserve">нейрореабилитация</w:t>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77" w:type="dxa"/>
          </w:tcPr>
          <w:p>
            <w:pPr>
              <w:pStyle w:val="0"/>
              <w:jc w:val="center"/>
            </w:pPr>
            <w:r>
              <w:rPr>
                <w:sz w:val="20"/>
              </w:rPr>
              <w:t xml:space="preserve">0</w:t>
            </w:r>
          </w:p>
        </w:tc>
        <w:tc>
          <w:tcPr>
            <w:tcW w:w="1020" w:type="dxa"/>
          </w:tcPr>
          <w:p>
            <w:pPr>
              <w:pStyle w:val="0"/>
              <w:jc w:val="center"/>
            </w:pPr>
            <w:r>
              <w:rPr>
                <w:sz w:val="20"/>
              </w:rPr>
              <w:t xml:space="preserve">0</w:t>
            </w:r>
          </w:p>
        </w:tc>
        <w:tc>
          <w:tcPr>
            <w:tcW w:w="1474" w:type="dxa"/>
          </w:tcPr>
          <w:p>
            <w:pPr>
              <w:pStyle w:val="0"/>
              <w:jc w:val="center"/>
            </w:pPr>
            <w:r>
              <w:rPr>
                <w:sz w:val="20"/>
              </w:rPr>
              <w:t xml:space="preserve">0</w:t>
            </w:r>
          </w:p>
        </w:tc>
      </w:tr>
      <w:tr>
        <w:tc>
          <w:tcPr>
            <w:tcW w:w="2403" w:type="dxa"/>
          </w:tcPr>
          <w:p>
            <w:pPr>
              <w:pStyle w:val="0"/>
              <w:jc w:val="both"/>
            </w:pPr>
            <w:r>
              <w:rPr>
                <w:sz w:val="20"/>
              </w:rPr>
              <w:t xml:space="preserve">кардиореабилитация</w:t>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77" w:type="dxa"/>
          </w:tcPr>
          <w:p>
            <w:pPr>
              <w:pStyle w:val="0"/>
              <w:jc w:val="center"/>
            </w:pPr>
            <w:r>
              <w:rPr>
                <w:sz w:val="20"/>
              </w:rPr>
              <w:t xml:space="preserve">0</w:t>
            </w:r>
          </w:p>
        </w:tc>
        <w:tc>
          <w:tcPr>
            <w:tcW w:w="1020" w:type="dxa"/>
          </w:tcPr>
          <w:p>
            <w:pPr>
              <w:pStyle w:val="0"/>
              <w:jc w:val="center"/>
            </w:pPr>
            <w:r>
              <w:rPr>
                <w:sz w:val="20"/>
              </w:rPr>
              <w:t xml:space="preserve">0</w:t>
            </w:r>
          </w:p>
        </w:tc>
        <w:tc>
          <w:tcPr>
            <w:tcW w:w="1474" w:type="dxa"/>
          </w:tcPr>
          <w:p>
            <w:pPr>
              <w:pStyle w:val="0"/>
              <w:jc w:val="center"/>
            </w:pPr>
            <w:r>
              <w:rPr>
                <w:sz w:val="20"/>
              </w:rPr>
              <w:t xml:space="preserve">0</w:t>
            </w:r>
          </w:p>
        </w:tc>
      </w:tr>
      <w:tr>
        <w:tc>
          <w:tcPr>
            <w:tcW w:w="2403" w:type="dxa"/>
          </w:tcPr>
          <w:p>
            <w:pPr>
              <w:pStyle w:val="0"/>
              <w:jc w:val="both"/>
            </w:pPr>
            <w:r>
              <w:rPr>
                <w:sz w:val="20"/>
              </w:rPr>
              <w:t xml:space="preserve">реабилитация опорно-двигательной системы</w:t>
            </w:r>
          </w:p>
        </w:tc>
        <w:tc>
          <w:tcPr>
            <w:tcW w:w="1020" w:type="dxa"/>
          </w:tcPr>
          <w:p>
            <w:pPr>
              <w:pStyle w:val="0"/>
              <w:jc w:val="center"/>
            </w:pPr>
            <w:r>
              <w:rPr>
                <w:sz w:val="20"/>
              </w:rPr>
              <w:t xml:space="preserve">178</w:t>
            </w:r>
          </w:p>
        </w:tc>
        <w:tc>
          <w:tcPr>
            <w:tcW w:w="1020" w:type="dxa"/>
          </w:tcPr>
          <w:p>
            <w:pPr>
              <w:pStyle w:val="0"/>
              <w:jc w:val="center"/>
            </w:pPr>
            <w:r>
              <w:rPr>
                <w:sz w:val="20"/>
              </w:rPr>
              <w:t xml:space="preserve">4580,55</w:t>
            </w:r>
          </w:p>
        </w:tc>
        <w:tc>
          <w:tcPr>
            <w:tcW w:w="1020" w:type="dxa"/>
          </w:tcPr>
          <w:p>
            <w:pPr>
              <w:pStyle w:val="0"/>
              <w:jc w:val="center"/>
            </w:pPr>
            <w:r>
              <w:rPr>
                <w:sz w:val="20"/>
              </w:rPr>
              <w:t xml:space="preserve">325</w:t>
            </w:r>
          </w:p>
        </w:tc>
        <w:tc>
          <w:tcPr>
            <w:tcW w:w="1077" w:type="dxa"/>
          </w:tcPr>
          <w:p>
            <w:pPr>
              <w:pStyle w:val="0"/>
              <w:jc w:val="center"/>
            </w:pPr>
            <w:r>
              <w:rPr>
                <w:sz w:val="20"/>
              </w:rPr>
              <w:t xml:space="preserve">8324,10</w:t>
            </w:r>
          </w:p>
        </w:tc>
        <w:tc>
          <w:tcPr>
            <w:tcW w:w="1020" w:type="dxa"/>
          </w:tcPr>
          <w:p>
            <w:pPr>
              <w:pStyle w:val="0"/>
              <w:jc w:val="center"/>
            </w:pPr>
            <w:r>
              <w:rPr>
                <w:sz w:val="20"/>
              </w:rPr>
              <w:t xml:space="preserve">0</w:t>
            </w:r>
          </w:p>
        </w:tc>
        <w:tc>
          <w:tcPr>
            <w:tcW w:w="1474" w:type="dxa"/>
          </w:tcPr>
          <w:p>
            <w:pPr>
              <w:pStyle w:val="0"/>
              <w:jc w:val="center"/>
            </w:pPr>
            <w:r>
              <w:rPr>
                <w:sz w:val="20"/>
              </w:rPr>
              <w:t xml:space="preserve">0</w:t>
            </w:r>
          </w:p>
        </w:tc>
      </w:tr>
      <w:tr>
        <w:tc>
          <w:tcPr>
            <w:tcW w:w="2403" w:type="dxa"/>
          </w:tcPr>
          <w:p>
            <w:pPr>
              <w:pStyle w:val="0"/>
              <w:jc w:val="both"/>
            </w:pPr>
            <w:r>
              <w:rPr>
                <w:sz w:val="20"/>
              </w:rPr>
              <w:t xml:space="preserve">реабилитация при соматических заболеваниях</w:t>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453</w:t>
            </w:r>
          </w:p>
        </w:tc>
        <w:tc>
          <w:tcPr>
            <w:tcW w:w="1077" w:type="dxa"/>
          </w:tcPr>
          <w:p>
            <w:pPr>
              <w:pStyle w:val="0"/>
              <w:jc w:val="center"/>
            </w:pPr>
            <w:r>
              <w:rPr>
                <w:sz w:val="20"/>
              </w:rPr>
              <w:t xml:space="preserve">15076,22</w:t>
            </w:r>
          </w:p>
        </w:tc>
        <w:tc>
          <w:tcPr>
            <w:tcW w:w="1020" w:type="dxa"/>
          </w:tcPr>
          <w:p>
            <w:pPr>
              <w:pStyle w:val="0"/>
              <w:jc w:val="center"/>
            </w:pPr>
            <w:r>
              <w:rPr>
                <w:sz w:val="20"/>
              </w:rPr>
              <w:t xml:space="preserve">951</w:t>
            </w:r>
          </w:p>
        </w:tc>
        <w:tc>
          <w:tcPr>
            <w:tcW w:w="1474" w:type="dxa"/>
          </w:tcPr>
          <w:p>
            <w:pPr>
              <w:pStyle w:val="0"/>
              <w:jc w:val="center"/>
            </w:pPr>
            <w:r>
              <w:rPr>
                <w:sz w:val="20"/>
              </w:rPr>
              <w:t xml:space="preserve">27829649,84</w:t>
            </w:r>
          </w:p>
        </w:tc>
      </w:tr>
      <w:tr>
        <w:tc>
          <w:tcPr>
            <w:tcW w:w="2403" w:type="dxa"/>
          </w:tcPr>
          <w:p>
            <w:pPr>
              <w:pStyle w:val="0"/>
              <w:jc w:val="both"/>
            </w:pPr>
            <w:r>
              <w:rPr>
                <w:sz w:val="20"/>
              </w:rPr>
              <w:t xml:space="preserve">детская реабилитация</w:t>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77" w:type="dxa"/>
          </w:tcPr>
          <w:p>
            <w:pPr>
              <w:pStyle w:val="0"/>
              <w:jc w:val="center"/>
            </w:pPr>
            <w:r>
              <w:rPr>
                <w:sz w:val="20"/>
              </w:rPr>
              <w:t xml:space="preserve">0</w:t>
            </w:r>
          </w:p>
        </w:tc>
        <w:tc>
          <w:tcPr>
            <w:tcW w:w="1020" w:type="dxa"/>
          </w:tcPr>
          <w:p>
            <w:pPr>
              <w:pStyle w:val="0"/>
              <w:jc w:val="center"/>
            </w:pPr>
            <w:r>
              <w:rPr>
                <w:sz w:val="20"/>
              </w:rPr>
              <w:t xml:space="preserve">0</w:t>
            </w:r>
          </w:p>
        </w:tc>
        <w:tc>
          <w:tcPr>
            <w:tcW w:w="1474" w:type="dxa"/>
          </w:tcPr>
          <w:p>
            <w:pPr>
              <w:pStyle w:val="0"/>
              <w:jc w:val="center"/>
            </w:pPr>
            <w:r>
              <w:rPr>
                <w:sz w:val="20"/>
              </w:rPr>
              <w:t xml:space="preserve">0</w:t>
            </w:r>
          </w:p>
        </w:tc>
      </w:tr>
    </w:tbl>
    <w:p>
      <w:pPr>
        <w:pStyle w:val="0"/>
        <w:ind w:firstLine="540"/>
        <w:jc w:val="both"/>
      </w:pPr>
      <w:r>
        <w:rPr>
          <w:sz w:val="20"/>
        </w:rPr>
      </w:r>
    </w:p>
    <w:p>
      <w:pPr>
        <w:pStyle w:val="0"/>
        <w:ind w:firstLine="540"/>
        <w:jc w:val="both"/>
      </w:pPr>
      <w:r>
        <w:rPr>
          <w:sz w:val="20"/>
        </w:rPr>
        <w:t xml:space="preserve">В 2019 - 2022 годах детская реабилитационная служба проводила реабилитацию детей по направлениям "неврология", "ортопедия", "соматика" в условиях дневного стационара. Отмечается снижение на 23% числа случаев госпитализации в 2020 году относительно 2019 года, при этом в 2021 - 2022 годах объем оказания медицинской реабилитации в условиях дневного стационара сопоставим с уровнем 2019 года </w:t>
      </w:r>
      <w:hyperlink w:history="0" w:anchor="P43140" w:tooltip="Таблица 9">
        <w:r>
          <w:rPr>
            <w:sz w:val="20"/>
            <w:color w:val="0000ff"/>
          </w:rPr>
          <w:t xml:space="preserve">(таблица 9)</w:t>
        </w:r>
      </w:hyperlink>
      <w:r>
        <w:rPr>
          <w:sz w:val="20"/>
        </w:rPr>
        <w:t xml:space="preserve">.</w:t>
      </w:r>
    </w:p>
    <w:p>
      <w:pPr>
        <w:pStyle w:val="0"/>
        <w:ind w:firstLine="540"/>
        <w:jc w:val="both"/>
      </w:pPr>
      <w:r>
        <w:rPr>
          <w:sz w:val="20"/>
        </w:rPr>
      </w:r>
    </w:p>
    <w:bookmarkStart w:id="43140" w:name="P43140"/>
    <w:bookmarkEnd w:id="43140"/>
    <w:p>
      <w:pPr>
        <w:pStyle w:val="0"/>
        <w:jc w:val="right"/>
      </w:pPr>
      <w:r>
        <w:rPr>
          <w:sz w:val="20"/>
        </w:rPr>
        <w:t xml:space="preserve">Таблица 9</w:t>
      </w:r>
    </w:p>
    <w:p>
      <w:pPr>
        <w:pStyle w:val="0"/>
        <w:jc w:val="right"/>
      </w:pPr>
      <w:r>
        <w:rPr>
          <w:sz w:val="20"/>
        </w:rPr>
      </w:r>
    </w:p>
    <w:p>
      <w:pPr>
        <w:pStyle w:val="0"/>
        <w:jc w:val="center"/>
      </w:pPr>
      <w:r>
        <w:rPr>
          <w:sz w:val="20"/>
        </w:rPr>
        <w:t xml:space="preserve">Объем оказания медицинской помощи</w:t>
      </w:r>
    </w:p>
    <w:p>
      <w:pPr>
        <w:pStyle w:val="0"/>
        <w:jc w:val="center"/>
      </w:pPr>
      <w:r>
        <w:rPr>
          <w:sz w:val="20"/>
        </w:rPr>
        <w:t xml:space="preserve">в рамках Территориальной программы ОМС</w:t>
      </w:r>
    </w:p>
    <w:p>
      <w:pPr>
        <w:pStyle w:val="0"/>
        <w:jc w:val="center"/>
      </w:pPr>
      <w:r>
        <w:rPr>
          <w:sz w:val="20"/>
        </w:rPr>
        <w:t xml:space="preserve">(в условиях дневного стационара)</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304"/>
        <w:gridCol w:w="964"/>
        <w:gridCol w:w="1191"/>
        <w:gridCol w:w="1028"/>
        <w:gridCol w:w="1191"/>
        <w:gridCol w:w="1062"/>
        <w:gridCol w:w="1205"/>
        <w:gridCol w:w="1092"/>
      </w:tblGrid>
      <w:tr>
        <w:tc>
          <w:tcPr>
            <w:tcW w:w="1701" w:type="dxa"/>
            <w:vMerge w:val="restart"/>
          </w:tcPr>
          <w:p>
            <w:pPr>
              <w:pStyle w:val="0"/>
              <w:jc w:val="center"/>
            </w:pPr>
            <w:r>
              <w:rPr>
                <w:sz w:val="20"/>
              </w:rPr>
              <w:t xml:space="preserve">Наименование профиля реабилитации</w:t>
            </w:r>
          </w:p>
        </w:tc>
        <w:tc>
          <w:tcPr>
            <w:gridSpan w:val="2"/>
            <w:tcW w:w="2268" w:type="dxa"/>
          </w:tcPr>
          <w:p>
            <w:pPr>
              <w:pStyle w:val="0"/>
              <w:jc w:val="center"/>
            </w:pPr>
            <w:r>
              <w:rPr>
                <w:sz w:val="20"/>
              </w:rPr>
              <w:t xml:space="preserve">2019 год</w:t>
            </w:r>
          </w:p>
        </w:tc>
        <w:tc>
          <w:tcPr>
            <w:gridSpan w:val="2"/>
            <w:tcW w:w="2219" w:type="dxa"/>
          </w:tcPr>
          <w:p>
            <w:pPr>
              <w:pStyle w:val="0"/>
              <w:jc w:val="center"/>
            </w:pPr>
            <w:r>
              <w:rPr>
                <w:sz w:val="20"/>
              </w:rPr>
              <w:t xml:space="preserve">2020 год</w:t>
            </w:r>
          </w:p>
        </w:tc>
        <w:tc>
          <w:tcPr>
            <w:gridSpan w:val="2"/>
            <w:tcW w:w="2253" w:type="dxa"/>
          </w:tcPr>
          <w:p>
            <w:pPr>
              <w:pStyle w:val="0"/>
              <w:jc w:val="center"/>
            </w:pPr>
            <w:r>
              <w:rPr>
                <w:sz w:val="20"/>
              </w:rPr>
              <w:t xml:space="preserve">2021 год</w:t>
            </w:r>
          </w:p>
        </w:tc>
        <w:tc>
          <w:tcPr>
            <w:gridSpan w:val="2"/>
            <w:tcW w:w="2297" w:type="dxa"/>
          </w:tcPr>
          <w:p>
            <w:pPr>
              <w:pStyle w:val="0"/>
              <w:jc w:val="center"/>
            </w:pPr>
            <w:r>
              <w:rPr>
                <w:sz w:val="20"/>
              </w:rPr>
              <w:t xml:space="preserve">2022 год</w:t>
            </w:r>
          </w:p>
        </w:tc>
      </w:tr>
      <w:tr>
        <w:tc>
          <w:tcPr>
            <w:vMerge w:val="continue"/>
          </w:tcPr>
          <w:p/>
        </w:tc>
        <w:tc>
          <w:tcPr>
            <w:tcW w:w="1304" w:type="dxa"/>
          </w:tcPr>
          <w:p>
            <w:pPr>
              <w:pStyle w:val="0"/>
              <w:jc w:val="center"/>
            </w:pPr>
            <w:r>
              <w:rPr>
                <w:sz w:val="20"/>
              </w:rPr>
              <w:t xml:space="preserve">Кол-во госпитализаций в дневной стационар</w:t>
            </w:r>
          </w:p>
        </w:tc>
        <w:tc>
          <w:tcPr>
            <w:tcW w:w="964" w:type="dxa"/>
          </w:tcPr>
          <w:p>
            <w:pPr>
              <w:pStyle w:val="0"/>
              <w:jc w:val="center"/>
            </w:pPr>
            <w:r>
              <w:rPr>
                <w:sz w:val="20"/>
              </w:rPr>
              <w:t xml:space="preserve">Сумма финансирования, тыс. руб.</w:t>
            </w:r>
          </w:p>
        </w:tc>
        <w:tc>
          <w:tcPr>
            <w:tcW w:w="1191" w:type="dxa"/>
          </w:tcPr>
          <w:p>
            <w:pPr>
              <w:pStyle w:val="0"/>
              <w:jc w:val="center"/>
            </w:pPr>
            <w:r>
              <w:rPr>
                <w:sz w:val="20"/>
              </w:rPr>
              <w:t xml:space="preserve">Кол-во госпитализаций в дневной стационар</w:t>
            </w:r>
          </w:p>
        </w:tc>
        <w:tc>
          <w:tcPr>
            <w:tcW w:w="1028" w:type="dxa"/>
          </w:tcPr>
          <w:p>
            <w:pPr>
              <w:pStyle w:val="0"/>
              <w:jc w:val="center"/>
            </w:pPr>
            <w:r>
              <w:rPr>
                <w:sz w:val="20"/>
              </w:rPr>
              <w:t xml:space="preserve">Сумма финансирования, тыс. руб.</w:t>
            </w:r>
          </w:p>
        </w:tc>
        <w:tc>
          <w:tcPr>
            <w:tcW w:w="1191" w:type="dxa"/>
          </w:tcPr>
          <w:p>
            <w:pPr>
              <w:pStyle w:val="0"/>
              <w:jc w:val="center"/>
            </w:pPr>
            <w:r>
              <w:rPr>
                <w:sz w:val="20"/>
              </w:rPr>
              <w:t xml:space="preserve">Кол-во госпитализаций в дневной стационар</w:t>
            </w:r>
          </w:p>
        </w:tc>
        <w:tc>
          <w:tcPr>
            <w:tcW w:w="1062" w:type="dxa"/>
          </w:tcPr>
          <w:p>
            <w:pPr>
              <w:pStyle w:val="0"/>
              <w:jc w:val="center"/>
            </w:pPr>
            <w:r>
              <w:rPr>
                <w:sz w:val="20"/>
              </w:rPr>
              <w:t xml:space="preserve">Сумма финансирования, тыс. руб.</w:t>
            </w:r>
          </w:p>
        </w:tc>
        <w:tc>
          <w:tcPr>
            <w:tcW w:w="1205" w:type="dxa"/>
          </w:tcPr>
          <w:p>
            <w:pPr>
              <w:pStyle w:val="0"/>
              <w:jc w:val="center"/>
            </w:pPr>
            <w:r>
              <w:rPr>
                <w:sz w:val="20"/>
              </w:rPr>
              <w:t xml:space="preserve">Кол-во госпитализаций в дневной стационар</w:t>
            </w:r>
          </w:p>
        </w:tc>
        <w:tc>
          <w:tcPr>
            <w:tcW w:w="1092" w:type="dxa"/>
          </w:tcPr>
          <w:p>
            <w:pPr>
              <w:pStyle w:val="0"/>
              <w:jc w:val="center"/>
            </w:pPr>
            <w:r>
              <w:rPr>
                <w:sz w:val="20"/>
              </w:rPr>
              <w:t xml:space="preserve">Сумма финансирования, тыс. руб.</w:t>
            </w:r>
          </w:p>
        </w:tc>
      </w:tr>
      <w:tr>
        <w:tc>
          <w:tcPr>
            <w:tcW w:w="1701" w:type="dxa"/>
          </w:tcPr>
          <w:p>
            <w:pPr>
              <w:pStyle w:val="0"/>
              <w:jc w:val="both"/>
            </w:pPr>
            <w:r>
              <w:rPr>
                <w:sz w:val="20"/>
              </w:rPr>
              <w:t xml:space="preserve">Детская реабилитация</w:t>
            </w:r>
          </w:p>
        </w:tc>
        <w:tc>
          <w:tcPr>
            <w:tcW w:w="1304" w:type="dxa"/>
          </w:tcPr>
          <w:p>
            <w:pPr>
              <w:pStyle w:val="0"/>
              <w:jc w:val="center"/>
            </w:pPr>
            <w:r>
              <w:rPr>
                <w:sz w:val="20"/>
              </w:rPr>
              <w:t xml:space="preserve">1109</w:t>
            </w:r>
          </w:p>
        </w:tc>
        <w:tc>
          <w:tcPr>
            <w:tcW w:w="964" w:type="dxa"/>
          </w:tcPr>
          <w:p>
            <w:pPr>
              <w:pStyle w:val="0"/>
              <w:jc w:val="center"/>
            </w:pPr>
            <w:r>
              <w:rPr>
                <w:sz w:val="20"/>
              </w:rPr>
              <w:t xml:space="preserve">25358,1</w:t>
            </w:r>
          </w:p>
        </w:tc>
        <w:tc>
          <w:tcPr>
            <w:tcW w:w="1191" w:type="dxa"/>
          </w:tcPr>
          <w:p>
            <w:pPr>
              <w:pStyle w:val="0"/>
              <w:jc w:val="center"/>
            </w:pPr>
            <w:r>
              <w:rPr>
                <w:sz w:val="20"/>
              </w:rPr>
              <w:t xml:space="preserve">845</w:t>
            </w:r>
          </w:p>
        </w:tc>
        <w:tc>
          <w:tcPr>
            <w:tcW w:w="1028" w:type="dxa"/>
          </w:tcPr>
          <w:p>
            <w:pPr>
              <w:pStyle w:val="0"/>
              <w:jc w:val="center"/>
            </w:pPr>
            <w:r>
              <w:rPr>
                <w:sz w:val="20"/>
              </w:rPr>
              <w:t xml:space="preserve">15289,6</w:t>
            </w:r>
          </w:p>
        </w:tc>
        <w:tc>
          <w:tcPr>
            <w:tcW w:w="1191" w:type="dxa"/>
          </w:tcPr>
          <w:p>
            <w:pPr>
              <w:pStyle w:val="0"/>
              <w:jc w:val="center"/>
            </w:pPr>
            <w:r>
              <w:rPr>
                <w:sz w:val="20"/>
              </w:rPr>
              <w:t xml:space="preserve">1125</w:t>
            </w:r>
          </w:p>
        </w:tc>
        <w:tc>
          <w:tcPr>
            <w:tcW w:w="1062" w:type="dxa"/>
          </w:tcPr>
          <w:p>
            <w:pPr>
              <w:pStyle w:val="0"/>
              <w:jc w:val="center"/>
            </w:pPr>
            <w:r>
              <w:rPr>
                <w:sz w:val="20"/>
              </w:rPr>
              <w:t xml:space="preserve">24062,5</w:t>
            </w:r>
          </w:p>
        </w:tc>
        <w:tc>
          <w:tcPr>
            <w:tcW w:w="1205" w:type="dxa"/>
          </w:tcPr>
          <w:p>
            <w:pPr>
              <w:pStyle w:val="0"/>
              <w:jc w:val="center"/>
            </w:pPr>
            <w:r>
              <w:rPr>
                <w:sz w:val="20"/>
              </w:rPr>
              <w:t xml:space="preserve">1112</w:t>
            </w:r>
          </w:p>
        </w:tc>
        <w:tc>
          <w:tcPr>
            <w:tcW w:w="1092" w:type="dxa"/>
          </w:tcPr>
          <w:p>
            <w:pPr>
              <w:pStyle w:val="0"/>
              <w:jc w:val="center"/>
            </w:pPr>
            <w:r>
              <w:rPr>
                <w:sz w:val="20"/>
              </w:rPr>
              <w:t xml:space="preserve">27999,6</w:t>
            </w:r>
          </w:p>
        </w:tc>
      </w:tr>
      <w:tr>
        <w:tc>
          <w:tcPr>
            <w:tcW w:w="1701" w:type="dxa"/>
          </w:tcPr>
          <w:p>
            <w:pPr>
              <w:pStyle w:val="0"/>
              <w:jc w:val="both"/>
            </w:pPr>
            <w:r>
              <w:rPr>
                <w:sz w:val="20"/>
              </w:rPr>
              <w:t xml:space="preserve">Всего</w:t>
            </w:r>
          </w:p>
        </w:tc>
        <w:tc>
          <w:tcPr>
            <w:tcW w:w="1304" w:type="dxa"/>
          </w:tcPr>
          <w:p>
            <w:pPr>
              <w:pStyle w:val="0"/>
              <w:jc w:val="center"/>
            </w:pPr>
            <w:r>
              <w:rPr>
                <w:sz w:val="20"/>
              </w:rPr>
              <w:t xml:space="preserve">1109</w:t>
            </w:r>
          </w:p>
        </w:tc>
        <w:tc>
          <w:tcPr>
            <w:tcW w:w="964" w:type="dxa"/>
          </w:tcPr>
          <w:p>
            <w:pPr>
              <w:pStyle w:val="0"/>
              <w:jc w:val="center"/>
            </w:pPr>
            <w:r>
              <w:rPr>
                <w:sz w:val="20"/>
              </w:rPr>
              <w:t xml:space="preserve">25358,1</w:t>
            </w:r>
          </w:p>
        </w:tc>
        <w:tc>
          <w:tcPr>
            <w:tcW w:w="1191" w:type="dxa"/>
          </w:tcPr>
          <w:p>
            <w:pPr>
              <w:pStyle w:val="0"/>
              <w:jc w:val="center"/>
            </w:pPr>
            <w:r>
              <w:rPr>
                <w:sz w:val="20"/>
              </w:rPr>
              <w:t xml:space="preserve">845</w:t>
            </w:r>
          </w:p>
        </w:tc>
        <w:tc>
          <w:tcPr>
            <w:tcW w:w="1028" w:type="dxa"/>
          </w:tcPr>
          <w:p>
            <w:pPr>
              <w:pStyle w:val="0"/>
              <w:jc w:val="center"/>
            </w:pPr>
            <w:r>
              <w:rPr>
                <w:sz w:val="20"/>
              </w:rPr>
              <w:t xml:space="preserve">15289,6</w:t>
            </w:r>
          </w:p>
        </w:tc>
        <w:tc>
          <w:tcPr>
            <w:tcW w:w="1191" w:type="dxa"/>
          </w:tcPr>
          <w:p>
            <w:pPr>
              <w:pStyle w:val="0"/>
              <w:jc w:val="center"/>
            </w:pPr>
            <w:r>
              <w:rPr>
                <w:sz w:val="20"/>
              </w:rPr>
              <w:t xml:space="preserve">1125</w:t>
            </w:r>
          </w:p>
        </w:tc>
        <w:tc>
          <w:tcPr>
            <w:tcW w:w="1062" w:type="dxa"/>
          </w:tcPr>
          <w:p>
            <w:pPr>
              <w:pStyle w:val="0"/>
              <w:jc w:val="center"/>
            </w:pPr>
            <w:r>
              <w:rPr>
                <w:sz w:val="20"/>
              </w:rPr>
              <w:t xml:space="preserve">24062,5</w:t>
            </w:r>
          </w:p>
        </w:tc>
        <w:tc>
          <w:tcPr>
            <w:tcW w:w="1205" w:type="dxa"/>
          </w:tcPr>
          <w:p>
            <w:pPr>
              <w:pStyle w:val="0"/>
              <w:jc w:val="center"/>
            </w:pPr>
            <w:r>
              <w:rPr>
                <w:sz w:val="20"/>
              </w:rPr>
              <w:t xml:space="preserve">1112</w:t>
            </w:r>
          </w:p>
        </w:tc>
        <w:tc>
          <w:tcPr>
            <w:tcW w:w="1092" w:type="dxa"/>
          </w:tcPr>
          <w:p>
            <w:pPr>
              <w:pStyle w:val="0"/>
              <w:jc w:val="center"/>
            </w:pPr>
            <w:r>
              <w:rPr>
                <w:sz w:val="20"/>
              </w:rPr>
              <w:t xml:space="preserve">27999,6</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0"/>
        <w:jc w:val="center"/>
      </w:pPr>
      <w:r>
        <w:rPr>
          <w:sz w:val="20"/>
        </w:rPr>
        <w:t xml:space="preserve">Объем оказания медицинской помощи</w:t>
      </w:r>
    </w:p>
    <w:p>
      <w:pPr>
        <w:pStyle w:val="0"/>
        <w:jc w:val="center"/>
      </w:pPr>
      <w:r>
        <w:rPr>
          <w:sz w:val="20"/>
        </w:rPr>
        <w:t xml:space="preserve">в рамках Территориальной программы ОМС</w:t>
      </w:r>
    </w:p>
    <w:p>
      <w:pPr>
        <w:pStyle w:val="0"/>
        <w:jc w:val="center"/>
      </w:pPr>
      <w:r>
        <w:rPr>
          <w:sz w:val="20"/>
        </w:rPr>
        <w:t xml:space="preserve">(в условиях дневного стационара) взрослым в 2022 году</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701"/>
        <w:gridCol w:w="1701"/>
        <w:gridCol w:w="2268"/>
      </w:tblGrid>
      <w:tr>
        <w:tc>
          <w:tcPr>
            <w:tcW w:w="3402" w:type="dxa"/>
            <w:vMerge w:val="restart"/>
          </w:tcPr>
          <w:p>
            <w:pPr>
              <w:pStyle w:val="0"/>
              <w:jc w:val="center"/>
            </w:pPr>
            <w:r>
              <w:rPr>
                <w:sz w:val="20"/>
              </w:rPr>
              <w:t xml:space="preserve">Наименование медицинской организации в соответствии с Уставом</w:t>
            </w:r>
          </w:p>
        </w:tc>
        <w:tc>
          <w:tcPr>
            <w:gridSpan w:val="3"/>
            <w:tcW w:w="5670" w:type="dxa"/>
          </w:tcPr>
          <w:p>
            <w:pPr>
              <w:pStyle w:val="0"/>
              <w:jc w:val="center"/>
            </w:pPr>
            <w:r>
              <w:rPr>
                <w:sz w:val="20"/>
              </w:rPr>
              <w:t xml:space="preserve">Дневной стационар</w:t>
            </w:r>
          </w:p>
        </w:tc>
      </w:tr>
      <w:tr>
        <w:tc>
          <w:tcPr>
            <w:vMerge w:val="continue"/>
          </w:tcPr>
          <w:p/>
        </w:tc>
        <w:tc>
          <w:tcPr>
            <w:tcW w:w="1701" w:type="dxa"/>
          </w:tcPr>
          <w:p>
            <w:pPr>
              <w:pStyle w:val="0"/>
              <w:jc w:val="center"/>
            </w:pPr>
            <w:r>
              <w:rPr>
                <w:sz w:val="20"/>
              </w:rPr>
              <w:t xml:space="preserve">План на начало года, случаев (при наличии)</w:t>
            </w:r>
          </w:p>
        </w:tc>
        <w:tc>
          <w:tcPr>
            <w:tcW w:w="1701" w:type="dxa"/>
          </w:tcPr>
          <w:p>
            <w:pPr>
              <w:pStyle w:val="0"/>
              <w:jc w:val="center"/>
            </w:pPr>
            <w:r>
              <w:rPr>
                <w:sz w:val="20"/>
              </w:rPr>
              <w:t xml:space="preserve">Фактическое количество случаев, ед.</w:t>
            </w:r>
          </w:p>
        </w:tc>
        <w:tc>
          <w:tcPr>
            <w:tcW w:w="2268" w:type="dxa"/>
          </w:tcPr>
          <w:p>
            <w:pPr>
              <w:pStyle w:val="0"/>
              <w:jc w:val="center"/>
            </w:pPr>
            <w:r>
              <w:rPr>
                <w:sz w:val="20"/>
              </w:rPr>
              <w:t xml:space="preserve">Фактический объем финансирования, руб.</w:t>
            </w:r>
          </w:p>
        </w:tc>
      </w:tr>
      <w:tr>
        <w:tc>
          <w:tcPr>
            <w:tcW w:w="3402" w:type="dxa"/>
          </w:tcPr>
          <w:p>
            <w:pPr>
              <w:pStyle w:val="0"/>
              <w:jc w:val="center"/>
            </w:pPr>
            <w:r>
              <w:rPr>
                <w:sz w:val="20"/>
              </w:rPr>
              <w:t xml:space="preserve">2</w:t>
            </w:r>
          </w:p>
        </w:tc>
        <w:tc>
          <w:tcPr>
            <w:tcW w:w="1701" w:type="dxa"/>
          </w:tcPr>
          <w:p>
            <w:pPr>
              <w:pStyle w:val="0"/>
              <w:jc w:val="center"/>
            </w:pPr>
            <w:r>
              <w:rPr>
                <w:sz w:val="20"/>
              </w:rPr>
              <w:t xml:space="preserve">5.1</w:t>
            </w:r>
          </w:p>
        </w:tc>
        <w:tc>
          <w:tcPr>
            <w:tcW w:w="1701" w:type="dxa"/>
          </w:tcPr>
          <w:p>
            <w:pPr>
              <w:pStyle w:val="0"/>
              <w:jc w:val="center"/>
            </w:pPr>
            <w:r>
              <w:rPr>
                <w:sz w:val="20"/>
              </w:rPr>
              <w:t xml:space="preserve">5.2</w:t>
            </w:r>
          </w:p>
        </w:tc>
        <w:tc>
          <w:tcPr>
            <w:tcW w:w="2268" w:type="dxa"/>
          </w:tcPr>
          <w:p>
            <w:pPr>
              <w:pStyle w:val="0"/>
              <w:jc w:val="center"/>
            </w:pPr>
            <w:r>
              <w:rPr>
                <w:sz w:val="20"/>
              </w:rPr>
              <w:t xml:space="preserve">5.3</w:t>
            </w:r>
          </w:p>
        </w:tc>
      </w:tr>
      <w:tr>
        <w:tc>
          <w:tcPr>
            <w:tcW w:w="3402" w:type="dxa"/>
          </w:tcPr>
          <w:p>
            <w:pPr>
              <w:pStyle w:val="0"/>
              <w:jc w:val="both"/>
            </w:pPr>
            <w:r>
              <w:rPr>
                <w:sz w:val="20"/>
              </w:rPr>
              <w:t xml:space="preserve">ГБ N 9</w:t>
            </w:r>
          </w:p>
        </w:tc>
        <w:tc>
          <w:tcPr>
            <w:tcW w:w="1701" w:type="dxa"/>
          </w:tcPr>
          <w:p>
            <w:pPr>
              <w:pStyle w:val="0"/>
              <w:jc w:val="center"/>
            </w:pPr>
            <w:r>
              <w:rPr>
                <w:sz w:val="20"/>
              </w:rPr>
              <w:t xml:space="preserve">55</w:t>
            </w:r>
          </w:p>
        </w:tc>
        <w:tc>
          <w:tcPr>
            <w:tcW w:w="1701" w:type="dxa"/>
          </w:tcPr>
          <w:p>
            <w:pPr>
              <w:pStyle w:val="0"/>
              <w:jc w:val="center"/>
            </w:pPr>
            <w:r>
              <w:rPr>
                <w:sz w:val="20"/>
              </w:rPr>
              <w:t xml:space="preserve">7</w:t>
            </w:r>
          </w:p>
        </w:tc>
        <w:tc>
          <w:tcPr>
            <w:tcW w:w="2268" w:type="dxa"/>
          </w:tcPr>
          <w:p>
            <w:pPr>
              <w:pStyle w:val="0"/>
              <w:jc w:val="center"/>
            </w:pPr>
            <w:r>
              <w:rPr>
                <w:sz w:val="20"/>
              </w:rPr>
              <w:t xml:space="preserve">163014,91</w:t>
            </w:r>
          </w:p>
        </w:tc>
      </w:tr>
      <w:tr>
        <w:tc>
          <w:tcPr>
            <w:tcW w:w="3402" w:type="dxa"/>
          </w:tcPr>
          <w:p>
            <w:pPr>
              <w:pStyle w:val="0"/>
              <w:jc w:val="both"/>
            </w:pPr>
            <w:r>
              <w:rPr>
                <w:sz w:val="20"/>
              </w:rPr>
              <w:t xml:space="preserve">ГБ N 4</w:t>
            </w:r>
          </w:p>
        </w:tc>
        <w:tc>
          <w:tcPr>
            <w:tcW w:w="1701" w:type="dxa"/>
          </w:tcPr>
          <w:p>
            <w:pPr>
              <w:pStyle w:val="0"/>
              <w:jc w:val="center"/>
            </w:pPr>
            <w:r>
              <w:rPr>
                <w:sz w:val="20"/>
              </w:rPr>
              <w:t xml:space="preserve">75</w:t>
            </w:r>
          </w:p>
        </w:tc>
        <w:tc>
          <w:tcPr>
            <w:tcW w:w="1701" w:type="dxa"/>
          </w:tcPr>
          <w:p>
            <w:pPr>
              <w:pStyle w:val="0"/>
              <w:jc w:val="center"/>
            </w:pPr>
            <w:r>
              <w:rPr>
                <w:sz w:val="20"/>
              </w:rPr>
              <w:t xml:space="preserve">21</w:t>
            </w:r>
          </w:p>
        </w:tc>
        <w:tc>
          <w:tcPr>
            <w:tcW w:w="2268" w:type="dxa"/>
          </w:tcPr>
          <w:p>
            <w:pPr>
              <w:pStyle w:val="0"/>
              <w:jc w:val="center"/>
            </w:pPr>
            <w:r>
              <w:rPr>
                <w:sz w:val="20"/>
              </w:rPr>
              <w:t xml:space="preserve">414149,75</w:t>
            </w:r>
          </w:p>
        </w:tc>
      </w:tr>
    </w:tbl>
    <w:p>
      <w:pPr>
        <w:pStyle w:val="0"/>
        <w:jc w:val="center"/>
      </w:pPr>
      <w:r>
        <w:rPr>
          <w:sz w:val="20"/>
        </w:rPr>
      </w:r>
    </w:p>
    <w:p>
      <w:pPr>
        <w:pStyle w:val="0"/>
        <w:jc w:val="center"/>
      </w:pPr>
      <w:r>
        <w:rPr>
          <w:sz w:val="20"/>
        </w:rPr>
        <w:t xml:space="preserve">Объем оказания медицинской помощи</w:t>
      </w:r>
    </w:p>
    <w:p>
      <w:pPr>
        <w:pStyle w:val="0"/>
        <w:jc w:val="center"/>
      </w:pPr>
      <w:r>
        <w:rPr>
          <w:sz w:val="20"/>
        </w:rPr>
        <w:t xml:space="preserve">в рамках Территориальной программы ОМС</w:t>
      </w:r>
    </w:p>
    <w:p>
      <w:pPr>
        <w:pStyle w:val="0"/>
        <w:jc w:val="center"/>
      </w:pPr>
      <w:r>
        <w:rPr>
          <w:sz w:val="20"/>
        </w:rPr>
        <w:t xml:space="preserve">(в амбулаторных условиях) взрослым в 2022 году</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701"/>
        <w:gridCol w:w="1701"/>
        <w:gridCol w:w="2268"/>
      </w:tblGrid>
      <w:tr>
        <w:tc>
          <w:tcPr>
            <w:tcW w:w="3402" w:type="dxa"/>
            <w:vMerge w:val="restart"/>
          </w:tcPr>
          <w:p>
            <w:pPr>
              <w:pStyle w:val="0"/>
              <w:jc w:val="center"/>
            </w:pPr>
            <w:r>
              <w:rPr>
                <w:sz w:val="20"/>
              </w:rPr>
              <w:t xml:space="preserve">Наименование медицинской организации в соответствии с Уставом</w:t>
            </w:r>
          </w:p>
        </w:tc>
        <w:tc>
          <w:tcPr>
            <w:gridSpan w:val="3"/>
            <w:tcW w:w="5670" w:type="dxa"/>
          </w:tcPr>
          <w:p>
            <w:pPr>
              <w:pStyle w:val="0"/>
              <w:jc w:val="center"/>
            </w:pPr>
            <w:r>
              <w:rPr>
                <w:sz w:val="20"/>
              </w:rPr>
              <w:t xml:space="preserve">Амбулаторная помощь</w:t>
            </w:r>
          </w:p>
        </w:tc>
      </w:tr>
      <w:tr>
        <w:tc>
          <w:tcPr>
            <w:vMerge w:val="continue"/>
          </w:tcPr>
          <w:p/>
        </w:tc>
        <w:tc>
          <w:tcPr>
            <w:tcW w:w="1701" w:type="dxa"/>
          </w:tcPr>
          <w:p>
            <w:pPr>
              <w:pStyle w:val="0"/>
              <w:jc w:val="center"/>
            </w:pPr>
            <w:r>
              <w:rPr>
                <w:sz w:val="20"/>
              </w:rPr>
              <w:t xml:space="preserve">План на начало года, обращений (при наличии)</w:t>
            </w:r>
          </w:p>
        </w:tc>
        <w:tc>
          <w:tcPr>
            <w:tcW w:w="1701" w:type="dxa"/>
          </w:tcPr>
          <w:p>
            <w:pPr>
              <w:pStyle w:val="0"/>
              <w:jc w:val="center"/>
            </w:pPr>
            <w:r>
              <w:rPr>
                <w:sz w:val="20"/>
              </w:rPr>
              <w:t xml:space="preserve">Фактическое количество обращений, ед.</w:t>
            </w:r>
          </w:p>
        </w:tc>
        <w:tc>
          <w:tcPr>
            <w:tcW w:w="2268" w:type="dxa"/>
          </w:tcPr>
          <w:p>
            <w:pPr>
              <w:pStyle w:val="0"/>
              <w:jc w:val="center"/>
            </w:pPr>
            <w:r>
              <w:rPr>
                <w:sz w:val="20"/>
              </w:rPr>
              <w:t xml:space="preserve">Фактический объем финансирования, руб.</w:t>
            </w:r>
          </w:p>
        </w:tc>
      </w:tr>
      <w:tr>
        <w:tc>
          <w:tcPr>
            <w:tcW w:w="3402" w:type="dxa"/>
          </w:tcPr>
          <w:p>
            <w:pPr>
              <w:pStyle w:val="0"/>
              <w:jc w:val="center"/>
            </w:pPr>
            <w:r>
              <w:rPr>
                <w:sz w:val="20"/>
              </w:rPr>
              <w:t xml:space="preserve">2</w:t>
            </w:r>
          </w:p>
        </w:tc>
        <w:tc>
          <w:tcPr>
            <w:tcW w:w="1701" w:type="dxa"/>
          </w:tcPr>
          <w:p>
            <w:pPr>
              <w:pStyle w:val="0"/>
              <w:jc w:val="center"/>
            </w:pPr>
            <w:r>
              <w:rPr>
                <w:sz w:val="20"/>
              </w:rPr>
              <w:t xml:space="preserve">6.1</w:t>
            </w:r>
          </w:p>
        </w:tc>
        <w:tc>
          <w:tcPr>
            <w:tcW w:w="1701" w:type="dxa"/>
          </w:tcPr>
          <w:p>
            <w:pPr>
              <w:pStyle w:val="0"/>
              <w:jc w:val="center"/>
            </w:pPr>
            <w:r>
              <w:rPr>
                <w:sz w:val="20"/>
              </w:rPr>
              <w:t xml:space="preserve">6.2</w:t>
            </w:r>
          </w:p>
        </w:tc>
        <w:tc>
          <w:tcPr>
            <w:tcW w:w="2268" w:type="dxa"/>
          </w:tcPr>
          <w:p>
            <w:pPr>
              <w:pStyle w:val="0"/>
              <w:jc w:val="center"/>
            </w:pPr>
            <w:r>
              <w:rPr>
                <w:sz w:val="20"/>
              </w:rPr>
              <w:t xml:space="preserve">6.3</w:t>
            </w:r>
          </w:p>
        </w:tc>
      </w:tr>
      <w:tr>
        <w:tc>
          <w:tcPr>
            <w:tcW w:w="3402" w:type="dxa"/>
          </w:tcPr>
          <w:p>
            <w:pPr>
              <w:pStyle w:val="0"/>
              <w:jc w:val="both"/>
            </w:pPr>
            <w:r>
              <w:rPr>
                <w:sz w:val="20"/>
              </w:rPr>
              <w:t xml:space="preserve">ГБ N 9</w:t>
            </w:r>
          </w:p>
        </w:tc>
        <w:tc>
          <w:tcPr>
            <w:tcW w:w="1701" w:type="dxa"/>
          </w:tcPr>
          <w:p>
            <w:pPr>
              <w:pStyle w:val="0"/>
              <w:jc w:val="center"/>
            </w:pPr>
            <w:r>
              <w:rPr>
                <w:sz w:val="20"/>
              </w:rPr>
              <w:t xml:space="preserve">418</w:t>
            </w:r>
          </w:p>
        </w:tc>
        <w:tc>
          <w:tcPr>
            <w:tcW w:w="1701" w:type="dxa"/>
          </w:tcPr>
          <w:p>
            <w:pPr>
              <w:pStyle w:val="0"/>
              <w:jc w:val="center"/>
            </w:pPr>
            <w:r>
              <w:rPr>
                <w:sz w:val="20"/>
              </w:rPr>
              <w:t xml:space="preserve">419 (100%)</w:t>
            </w:r>
          </w:p>
        </w:tc>
        <w:tc>
          <w:tcPr>
            <w:tcW w:w="2268" w:type="dxa"/>
          </w:tcPr>
          <w:p>
            <w:pPr>
              <w:pStyle w:val="0"/>
              <w:jc w:val="center"/>
            </w:pPr>
            <w:r>
              <w:rPr>
                <w:sz w:val="20"/>
              </w:rPr>
              <w:t xml:space="preserve">7678367,7</w:t>
            </w:r>
          </w:p>
        </w:tc>
      </w:tr>
      <w:tr>
        <w:tc>
          <w:tcPr>
            <w:tcW w:w="3402" w:type="dxa"/>
          </w:tcPr>
          <w:p>
            <w:pPr>
              <w:pStyle w:val="0"/>
              <w:jc w:val="both"/>
            </w:pPr>
            <w:r>
              <w:rPr>
                <w:sz w:val="20"/>
              </w:rPr>
              <w:t xml:space="preserve">ГБ N 1</w:t>
            </w:r>
          </w:p>
        </w:tc>
        <w:tc>
          <w:tcPr>
            <w:tcW w:w="1701" w:type="dxa"/>
          </w:tcPr>
          <w:p>
            <w:pPr>
              <w:pStyle w:val="0"/>
              <w:jc w:val="center"/>
            </w:pPr>
            <w:r>
              <w:rPr>
                <w:sz w:val="20"/>
              </w:rPr>
              <w:t xml:space="preserve">500</w:t>
            </w:r>
          </w:p>
        </w:tc>
        <w:tc>
          <w:tcPr>
            <w:tcW w:w="1701" w:type="dxa"/>
          </w:tcPr>
          <w:p>
            <w:pPr>
              <w:pStyle w:val="0"/>
              <w:jc w:val="center"/>
            </w:pPr>
            <w:r>
              <w:rPr>
                <w:sz w:val="20"/>
              </w:rPr>
              <w:t xml:space="preserve">621 (120%)</w:t>
            </w:r>
          </w:p>
        </w:tc>
        <w:tc>
          <w:tcPr>
            <w:tcW w:w="2268" w:type="dxa"/>
          </w:tcPr>
          <w:p>
            <w:pPr>
              <w:pStyle w:val="0"/>
              <w:jc w:val="center"/>
            </w:pPr>
            <w:r>
              <w:rPr>
                <w:sz w:val="20"/>
              </w:rPr>
              <w:t xml:space="preserve">11455325</w:t>
            </w:r>
          </w:p>
        </w:tc>
      </w:tr>
      <w:tr>
        <w:tc>
          <w:tcPr>
            <w:tcW w:w="3402" w:type="dxa"/>
          </w:tcPr>
          <w:p>
            <w:pPr>
              <w:pStyle w:val="0"/>
              <w:jc w:val="both"/>
            </w:pPr>
            <w:r>
              <w:rPr>
                <w:sz w:val="20"/>
              </w:rPr>
              <w:t xml:space="preserve">ВСЕГО</w:t>
            </w:r>
          </w:p>
        </w:tc>
        <w:tc>
          <w:tcPr>
            <w:tcW w:w="1701" w:type="dxa"/>
          </w:tcPr>
          <w:p>
            <w:pPr>
              <w:pStyle w:val="0"/>
              <w:jc w:val="center"/>
            </w:pPr>
            <w:r>
              <w:rPr>
                <w:sz w:val="20"/>
              </w:rPr>
              <w:t xml:space="preserve">918</w:t>
            </w:r>
          </w:p>
        </w:tc>
        <w:tc>
          <w:tcPr>
            <w:tcW w:w="1701" w:type="dxa"/>
          </w:tcPr>
          <w:p>
            <w:pPr>
              <w:pStyle w:val="0"/>
              <w:jc w:val="center"/>
            </w:pPr>
            <w:r>
              <w:rPr>
                <w:sz w:val="20"/>
              </w:rPr>
              <w:t xml:space="preserve">1040</w:t>
            </w:r>
          </w:p>
        </w:tc>
        <w:tc>
          <w:tcPr>
            <w:tcW w:w="2268" w:type="dxa"/>
          </w:tcPr>
          <w:p>
            <w:pPr>
              <w:pStyle w:val="0"/>
              <w:jc w:val="center"/>
            </w:pPr>
            <w:r>
              <w:rPr>
                <w:sz w:val="20"/>
              </w:rPr>
              <w:t xml:space="preserve">19127507,80</w:t>
            </w:r>
          </w:p>
        </w:tc>
      </w:tr>
    </w:tbl>
    <w:p>
      <w:pPr>
        <w:pStyle w:val="0"/>
        <w:ind w:firstLine="540"/>
        <w:jc w:val="both"/>
      </w:pPr>
      <w:r>
        <w:rPr>
          <w:sz w:val="20"/>
        </w:rPr>
      </w:r>
    </w:p>
    <w:p>
      <w:pPr>
        <w:pStyle w:val="0"/>
        <w:jc w:val="right"/>
      </w:pPr>
      <w:r>
        <w:rPr>
          <w:sz w:val="20"/>
        </w:rPr>
        <w:t xml:space="preserve">Таблица 10</w:t>
      </w:r>
    </w:p>
    <w:p>
      <w:pPr>
        <w:pStyle w:val="0"/>
        <w:jc w:val="right"/>
      </w:pPr>
      <w:r>
        <w:rPr>
          <w:sz w:val="20"/>
        </w:rPr>
      </w:r>
    </w:p>
    <w:p>
      <w:pPr>
        <w:pStyle w:val="0"/>
        <w:jc w:val="center"/>
      </w:pPr>
      <w:r>
        <w:rPr>
          <w:sz w:val="20"/>
        </w:rPr>
        <w:t xml:space="preserve">Динамика показателя доли случаев оказания медицинской помощи</w:t>
      </w:r>
    </w:p>
    <w:p>
      <w:pPr>
        <w:pStyle w:val="0"/>
        <w:jc w:val="center"/>
      </w:pPr>
      <w:r>
        <w:rPr>
          <w:sz w:val="20"/>
        </w:rPr>
        <w:t xml:space="preserve">по медицинской реабилитации (дети, взрослые)</w:t>
      </w:r>
    </w:p>
    <w:p>
      <w:pPr>
        <w:pStyle w:val="0"/>
        <w:jc w:val="center"/>
      </w:pPr>
      <w:r>
        <w:rPr>
          <w:sz w:val="20"/>
        </w:rPr>
        <w:t xml:space="preserve">от общего числа случаев оказания медицинской помощи</w:t>
      </w:r>
    </w:p>
    <w:p>
      <w:pPr>
        <w:pStyle w:val="0"/>
        <w:jc w:val="center"/>
      </w:pPr>
      <w:r>
        <w:rPr>
          <w:sz w:val="20"/>
        </w:rPr>
        <w:t xml:space="preserve">по медицинской реабилитации</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268"/>
        <w:gridCol w:w="737"/>
        <w:gridCol w:w="709"/>
        <w:gridCol w:w="624"/>
        <w:gridCol w:w="737"/>
        <w:gridCol w:w="737"/>
        <w:gridCol w:w="737"/>
        <w:gridCol w:w="737"/>
        <w:gridCol w:w="715"/>
        <w:gridCol w:w="680"/>
        <w:gridCol w:w="687"/>
        <w:gridCol w:w="703"/>
        <w:gridCol w:w="624"/>
      </w:tblGrid>
      <w:tr>
        <w:tc>
          <w:tcPr>
            <w:tcW w:w="567" w:type="dxa"/>
            <w:vMerge w:val="restart"/>
          </w:tcPr>
          <w:p>
            <w:pPr>
              <w:pStyle w:val="0"/>
              <w:jc w:val="center"/>
            </w:pPr>
            <w:r>
              <w:rPr>
                <w:sz w:val="20"/>
              </w:rPr>
              <w:t xml:space="preserve">N п/п</w:t>
            </w:r>
          </w:p>
        </w:tc>
        <w:tc>
          <w:tcPr>
            <w:tcW w:w="2268" w:type="dxa"/>
            <w:vMerge w:val="restart"/>
          </w:tcPr>
          <w:p>
            <w:pPr>
              <w:pStyle w:val="0"/>
              <w:jc w:val="center"/>
            </w:pPr>
            <w:r>
              <w:rPr>
                <w:sz w:val="20"/>
              </w:rPr>
              <w:t xml:space="preserve">Показатель</w:t>
            </w:r>
          </w:p>
        </w:tc>
        <w:tc>
          <w:tcPr>
            <w:gridSpan w:val="3"/>
            <w:tcW w:w="2070" w:type="dxa"/>
          </w:tcPr>
          <w:p>
            <w:pPr>
              <w:pStyle w:val="0"/>
              <w:jc w:val="center"/>
            </w:pPr>
            <w:r>
              <w:rPr>
                <w:sz w:val="20"/>
              </w:rPr>
              <w:t xml:space="preserve">2019 год</w:t>
            </w:r>
          </w:p>
        </w:tc>
        <w:tc>
          <w:tcPr>
            <w:gridSpan w:val="3"/>
            <w:tcW w:w="2211" w:type="dxa"/>
          </w:tcPr>
          <w:p>
            <w:pPr>
              <w:pStyle w:val="0"/>
              <w:jc w:val="center"/>
            </w:pPr>
            <w:r>
              <w:rPr>
                <w:sz w:val="20"/>
              </w:rPr>
              <w:t xml:space="preserve">2020 год</w:t>
            </w:r>
          </w:p>
        </w:tc>
        <w:tc>
          <w:tcPr>
            <w:gridSpan w:val="3"/>
            <w:tcW w:w="2132" w:type="dxa"/>
          </w:tcPr>
          <w:p>
            <w:pPr>
              <w:pStyle w:val="0"/>
              <w:jc w:val="center"/>
            </w:pPr>
            <w:r>
              <w:rPr>
                <w:sz w:val="20"/>
              </w:rPr>
              <w:t xml:space="preserve">2021 год</w:t>
            </w:r>
          </w:p>
        </w:tc>
        <w:tc>
          <w:tcPr>
            <w:gridSpan w:val="3"/>
            <w:tcW w:w="2014" w:type="dxa"/>
          </w:tcPr>
          <w:p>
            <w:pPr>
              <w:pStyle w:val="0"/>
              <w:jc w:val="center"/>
            </w:pPr>
            <w:r>
              <w:rPr>
                <w:sz w:val="20"/>
              </w:rPr>
              <w:t xml:space="preserve">2022 год</w:t>
            </w:r>
          </w:p>
        </w:tc>
      </w:tr>
      <w:tr>
        <w:tc>
          <w:tcPr>
            <w:vMerge w:val="continue"/>
          </w:tcPr>
          <w:p/>
        </w:tc>
        <w:tc>
          <w:tcPr>
            <w:vMerge w:val="continue"/>
          </w:tcPr>
          <w:p/>
        </w:tc>
        <w:tc>
          <w:tcPr>
            <w:tcW w:w="737" w:type="dxa"/>
          </w:tcPr>
          <w:p>
            <w:pPr>
              <w:pStyle w:val="0"/>
              <w:jc w:val="center"/>
            </w:pPr>
            <w:r>
              <w:rPr>
                <w:sz w:val="20"/>
              </w:rPr>
              <w:t xml:space="preserve">Всего</w:t>
            </w:r>
          </w:p>
        </w:tc>
        <w:tc>
          <w:tcPr>
            <w:tcW w:w="709" w:type="dxa"/>
          </w:tcPr>
          <w:p>
            <w:pPr>
              <w:pStyle w:val="0"/>
              <w:jc w:val="center"/>
            </w:pPr>
            <w:r>
              <w:rPr>
                <w:sz w:val="20"/>
              </w:rPr>
              <w:t xml:space="preserve">Взрослые</w:t>
            </w:r>
          </w:p>
        </w:tc>
        <w:tc>
          <w:tcPr>
            <w:tcW w:w="624" w:type="dxa"/>
          </w:tcPr>
          <w:p>
            <w:pPr>
              <w:pStyle w:val="0"/>
              <w:jc w:val="center"/>
            </w:pPr>
            <w:r>
              <w:rPr>
                <w:sz w:val="20"/>
              </w:rPr>
              <w:t xml:space="preserve">Дети</w:t>
            </w:r>
          </w:p>
        </w:tc>
        <w:tc>
          <w:tcPr>
            <w:tcW w:w="737" w:type="dxa"/>
          </w:tcPr>
          <w:p>
            <w:pPr>
              <w:pStyle w:val="0"/>
              <w:jc w:val="center"/>
            </w:pPr>
            <w:r>
              <w:rPr>
                <w:sz w:val="20"/>
              </w:rPr>
              <w:t xml:space="preserve">Всего</w:t>
            </w:r>
          </w:p>
        </w:tc>
        <w:tc>
          <w:tcPr>
            <w:tcW w:w="737" w:type="dxa"/>
          </w:tcPr>
          <w:p>
            <w:pPr>
              <w:pStyle w:val="0"/>
              <w:jc w:val="center"/>
            </w:pPr>
            <w:r>
              <w:rPr>
                <w:sz w:val="20"/>
              </w:rPr>
              <w:t xml:space="preserve">Взрослые</w:t>
            </w:r>
          </w:p>
        </w:tc>
        <w:tc>
          <w:tcPr>
            <w:tcW w:w="737" w:type="dxa"/>
          </w:tcPr>
          <w:p>
            <w:pPr>
              <w:pStyle w:val="0"/>
              <w:jc w:val="center"/>
            </w:pPr>
            <w:r>
              <w:rPr>
                <w:sz w:val="20"/>
              </w:rPr>
              <w:t xml:space="preserve">Дети</w:t>
            </w:r>
          </w:p>
        </w:tc>
        <w:tc>
          <w:tcPr>
            <w:tcW w:w="737" w:type="dxa"/>
          </w:tcPr>
          <w:p>
            <w:pPr>
              <w:pStyle w:val="0"/>
              <w:jc w:val="center"/>
            </w:pPr>
            <w:r>
              <w:rPr>
                <w:sz w:val="20"/>
              </w:rPr>
              <w:t xml:space="preserve">Всего</w:t>
            </w:r>
          </w:p>
        </w:tc>
        <w:tc>
          <w:tcPr>
            <w:tcW w:w="715" w:type="dxa"/>
          </w:tcPr>
          <w:p>
            <w:pPr>
              <w:pStyle w:val="0"/>
              <w:jc w:val="center"/>
            </w:pPr>
            <w:r>
              <w:rPr>
                <w:sz w:val="20"/>
              </w:rPr>
              <w:t xml:space="preserve">Взрослые</w:t>
            </w:r>
          </w:p>
        </w:tc>
        <w:tc>
          <w:tcPr>
            <w:tcW w:w="680" w:type="dxa"/>
          </w:tcPr>
          <w:p>
            <w:pPr>
              <w:pStyle w:val="0"/>
              <w:jc w:val="center"/>
            </w:pPr>
            <w:r>
              <w:rPr>
                <w:sz w:val="20"/>
              </w:rPr>
              <w:t xml:space="preserve">Дети</w:t>
            </w:r>
          </w:p>
        </w:tc>
        <w:tc>
          <w:tcPr>
            <w:tcW w:w="687" w:type="dxa"/>
          </w:tcPr>
          <w:p>
            <w:pPr>
              <w:pStyle w:val="0"/>
              <w:jc w:val="center"/>
            </w:pPr>
            <w:r>
              <w:rPr>
                <w:sz w:val="20"/>
              </w:rPr>
              <w:t xml:space="preserve">Всего</w:t>
            </w:r>
          </w:p>
        </w:tc>
        <w:tc>
          <w:tcPr>
            <w:tcW w:w="703" w:type="dxa"/>
          </w:tcPr>
          <w:p>
            <w:pPr>
              <w:pStyle w:val="0"/>
              <w:jc w:val="center"/>
            </w:pPr>
            <w:r>
              <w:rPr>
                <w:sz w:val="20"/>
              </w:rPr>
              <w:t xml:space="preserve">Взрослые</w:t>
            </w:r>
          </w:p>
        </w:tc>
        <w:tc>
          <w:tcPr>
            <w:tcW w:w="624" w:type="dxa"/>
          </w:tcPr>
          <w:p>
            <w:pPr>
              <w:pStyle w:val="0"/>
              <w:jc w:val="center"/>
            </w:pPr>
            <w:r>
              <w:rPr>
                <w:sz w:val="20"/>
              </w:rPr>
              <w:t xml:space="preserve">Дети</w:t>
            </w:r>
          </w:p>
        </w:tc>
      </w:tr>
      <w:tr>
        <w:tc>
          <w:tcPr>
            <w:tcW w:w="567" w:type="dxa"/>
          </w:tcPr>
          <w:p>
            <w:pPr>
              <w:pStyle w:val="0"/>
              <w:jc w:val="both"/>
            </w:pPr>
            <w:r>
              <w:rPr>
                <w:sz w:val="20"/>
              </w:rPr>
              <w:t xml:space="preserve">1</w:t>
            </w:r>
          </w:p>
        </w:tc>
        <w:tc>
          <w:tcPr>
            <w:tcW w:w="2268" w:type="dxa"/>
          </w:tcPr>
          <w:p>
            <w:pPr>
              <w:pStyle w:val="0"/>
              <w:jc w:val="both"/>
            </w:pPr>
            <w:r>
              <w:rPr>
                <w:sz w:val="20"/>
              </w:rPr>
              <w:t xml:space="preserve">Доля случаев оказания медицинской помощи по медицинской реабилитации от общего числа случаев оказания помощи по медицинской реабилитации, в том числе:</w:t>
            </w:r>
          </w:p>
        </w:tc>
        <w:tc>
          <w:tcPr>
            <w:tcW w:w="737" w:type="dxa"/>
          </w:tcPr>
          <w:p>
            <w:pPr>
              <w:pStyle w:val="0"/>
              <w:jc w:val="center"/>
            </w:pPr>
            <w:r>
              <w:rPr>
                <w:sz w:val="20"/>
              </w:rPr>
              <w:t xml:space="preserve">100</w:t>
            </w:r>
          </w:p>
        </w:tc>
        <w:tc>
          <w:tcPr>
            <w:tcW w:w="709" w:type="dxa"/>
          </w:tcPr>
          <w:p>
            <w:pPr>
              <w:pStyle w:val="0"/>
              <w:jc w:val="center"/>
            </w:pPr>
            <w:r>
              <w:rPr>
                <w:sz w:val="20"/>
              </w:rPr>
              <w:t xml:space="preserve">0</w:t>
            </w:r>
          </w:p>
        </w:tc>
        <w:tc>
          <w:tcPr>
            <w:tcW w:w="624" w:type="dxa"/>
          </w:tcPr>
          <w:p>
            <w:pPr>
              <w:pStyle w:val="0"/>
              <w:jc w:val="center"/>
            </w:pPr>
            <w:r>
              <w:rPr>
                <w:sz w:val="20"/>
              </w:rPr>
              <w:t xml:space="preserve">100</w:t>
            </w:r>
          </w:p>
        </w:tc>
        <w:tc>
          <w:tcPr>
            <w:tcW w:w="737" w:type="dxa"/>
          </w:tcPr>
          <w:p>
            <w:pPr>
              <w:pStyle w:val="0"/>
              <w:jc w:val="center"/>
            </w:pPr>
            <w:r>
              <w:rPr>
                <w:sz w:val="20"/>
              </w:rPr>
              <w:t xml:space="preserve">100</w:t>
            </w:r>
          </w:p>
        </w:tc>
        <w:tc>
          <w:tcPr>
            <w:tcW w:w="737" w:type="dxa"/>
          </w:tcPr>
          <w:p>
            <w:pPr>
              <w:pStyle w:val="0"/>
              <w:jc w:val="center"/>
            </w:pPr>
            <w:r>
              <w:rPr>
                <w:sz w:val="20"/>
              </w:rPr>
              <w:t xml:space="preserve">0</w:t>
            </w:r>
          </w:p>
        </w:tc>
        <w:tc>
          <w:tcPr>
            <w:tcW w:w="737" w:type="dxa"/>
          </w:tcPr>
          <w:p>
            <w:pPr>
              <w:pStyle w:val="0"/>
              <w:jc w:val="center"/>
            </w:pPr>
            <w:r>
              <w:rPr>
                <w:sz w:val="20"/>
              </w:rPr>
              <w:t xml:space="preserve">100</w:t>
            </w:r>
          </w:p>
        </w:tc>
        <w:tc>
          <w:tcPr>
            <w:tcW w:w="737" w:type="dxa"/>
          </w:tcPr>
          <w:p>
            <w:pPr>
              <w:pStyle w:val="0"/>
              <w:jc w:val="center"/>
            </w:pPr>
            <w:r>
              <w:rPr>
                <w:sz w:val="20"/>
              </w:rPr>
              <w:t xml:space="preserve">100</w:t>
            </w:r>
          </w:p>
        </w:tc>
        <w:tc>
          <w:tcPr>
            <w:tcW w:w="715" w:type="dxa"/>
          </w:tcPr>
          <w:p>
            <w:pPr>
              <w:pStyle w:val="0"/>
              <w:jc w:val="center"/>
            </w:pPr>
            <w:r>
              <w:rPr>
                <w:sz w:val="20"/>
              </w:rPr>
              <w:t xml:space="preserve">0</w:t>
            </w:r>
          </w:p>
        </w:tc>
        <w:tc>
          <w:tcPr>
            <w:tcW w:w="680" w:type="dxa"/>
          </w:tcPr>
          <w:p>
            <w:pPr>
              <w:pStyle w:val="0"/>
              <w:jc w:val="center"/>
            </w:pPr>
            <w:r>
              <w:rPr>
                <w:sz w:val="20"/>
              </w:rPr>
              <w:t xml:space="preserve">100</w:t>
            </w:r>
          </w:p>
        </w:tc>
        <w:tc>
          <w:tcPr>
            <w:tcW w:w="687" w:type="dxa"/>
          </w:tcPr>
          <w:p>
            <w:pPr>
              <w:pStyle w:val="0"/>
              <w:jc w:val="center"/>
            </w:pPr>
            <w:r>
              <w:rPr>
                <w:sz w:val="20"/>
              </w:rPr>
            </w:r>
          </w:p>
        </w:tc>
        <w:tc>
          <w:tcPr>
            <w:tcW w:w="703" w:type="dxa"/>
          </w:tcPr>
          <w:p>
            <w:pPr>
              <w:pStyle w:val="0"/>
              <w:jc w:val="center"/>
            </w:pPr>
            <w:r>
              <w:rPr>
                <w:sz w:val="20"/>
              </w:rPr>
            </w:r>
          </w:p>
        </w:tc>
        <w:tc>
          <w:tcPr>
            <w:tcW w:w="624" w:type="dxa"/>
          </w:tcPr>
          <w:p>
            <w:pPr>
              <w:pStyle w:val="0"/>
              <w:jc w:val="center"/>
            </w:pPr>
            <w:r>
              <w:rPr>
                <w:sz w:val="20"/>
              </w:rPr>
              <w:t xml:space="preserve">100</w:t>
            </w:r>
          </w:p>
        </w:tc>
      </w:tr>
      <w:tr>
        <w:tc>
          <w:tcPr>
            <w:tcW w:w="567" w:type="dxa"/>
          </w:tcPr>
          <w:p>
            <w:pPr>
              <w:pStyle w:val="0"/>
              <w:jc w:val="both"/>
            </w:pPr>
            <w:r>
              <w:rPr>
                <w:sz w:val="20"/>
              </w:rPr>
              <w:t xml:space="preserve">1.1</w:t>
            </w:r>
          </w:p>
        </w:tc>
        <w:tc>
          <w:tcPr>
            <w:tcW w:w="2268" w:type="dxa"/>
          </w:tcPr>
          <w:p>
            <w:pPr>
              <w:pStyle w:val="0"/>
              <w:jc w:val="both"/>
            </w:pPr>
            <w:r>
              <w:rPr>
                <w:sz w:val="20"/>
              </w:rPr>
              <w:t xml:space="preserve">с нарушением функции центральной нервной системы и органов чувств</w:t>
            </w:r>
          </w:p>
        </w:tc>
        <w:tc>
          <w:tcPr>
            <w:tcW w:w="737" w:type="dxa"/>
          </w:tcPr>
          <w:p>
            <w:pPr>
              <w:pStyle w:val="0"/>
              <w:jc w:val="center"/>
            </w:pPr>
            <w:r>
              <w:rPr>
                <w:sz w:val="20"/>
              </w:rPr>
              <w:t xml:space="preserve">26</w:t>
            </w:r>
          </w:p>
        </w:tc>
        <w:tc>
          <w:tcPr>
            <w:tcW w:w="709" w:type="dxa"/>
          </w:tcPr>
          <w:p>
            <w:pPr>
              <w:pStyle w:val="0"/>
              <w:jc w:val="center"/>
            </w:pPr>
            <w:r>
              <w:rPr>
                <w:sz w:val="20"/>
              </w:rPr>
              <w:t xml:space="preserve">0</w:t>
            </w:r>
          </w:p>
        </w:tc>
        <w:tc>
          <w:tcPr>
            <w:tcW w:w="624" w:type="dxa"/>
          </w:tcPr>
          <w:p>
            <w:pPr>
              <w:pStyle w:val="0"/>
              <w:jc w:val="center"/>
            </w:pPr>
            <w:r>
              <w:rPr>
                <w:sz w:val="20"/>
              </w:rPr>
              <w:t xml:space="preserve">26</w:t>
            </w:r>
          </w:p>
        </w:tc>
        <w:tc>
          <w:tcPr>
            <w:tcW w:w="737" w:type="dxa"/>
          </w:tcPr>
          <w:p>
            <w:pPr>
              <w:pStyle w:val="0"/>
              <w:jc w:val="center"/>
            </w:pPr>
            <w:r>
              <w:rPr>
                <w:sz w:val="20"/>
              </w:rPr>
              <w:t xml:space="preserve">29</w:t>
            </w:r>
          </w:p>
        </w:tc>
        <w:tc>
          <w:tcPr>
            <w:tcW w:w="737" w:type="dxa"/>
          </w:tcPr>
          <w:p>
            <w:pPr>
              <w:pStyle w:val="0"/>
              <w:jc w:val="center"/>
            </w:pPr>
            <w:r>
              <w:rPr>
                <w:sz w:val="20"/>
              </w:rPr>
              <w:t xml:space="preserve">0</w:t>
            </w:r>
          </w:p>
        </w:tc>
        <w:tc>
          <w:tcPr>
            <w:tcW w:w="737" w:type="dxa"/>
          </w:tcPr>
          <w:p>
            <w:pPr>
              <w:pStyle w:val="0"/>
              <w:jc w:val="center"/>
            </w:pPr>
            <w:r>
              <w:rPr>
                <w:sz w:val="20"/>
              </w:rPr>
              <w:t xml:space="preserve">29</w:t>
            </w:r>
          </w:p>
        </w:tc>
        <w:tc>
          <w:tcPr>
            <w:tcW w:w="737" w:type="dxa"/>
          </w:tcPr>
          <w:p>
            <w:pPr>
              <w:pStyle w:val="0"/>
              <w:jc w:val="center"/>
            </w:pPr>
            <w:r>
              <w:rPr>
                <w:sz w:val="20"/>
              </w:rPr>
              <w:t xml:space="preserve">24</w:t>
            </w:r>
          </w:p>
        </w:tc>
        <w:tc>
          <w:tcPr>
            <w:tcW w:w="715" w:type="dxa"/>
          </w:tcPr>
          <w:p>
            <w:pPr>
              <w:pStyle w:val="0"/>
              <w:jc w:val="center"/>
            </w:pPr>
            <w:r>
              <w:rPr>
                <w:sz w:val="20"/>
              </w:rPr>
              <w:t xml:space="preserve">0</w:t>
            </w:r>
          </w:p>
        </w:tc>
        <w:tc>
          <w:tcPr>
            <w:tcW w:w="680" w:type="dxa"/>
          </w:tcPr>
          <w:p>
            <w:pPr>
              <w:pStyle w:val="0"/>
              <w:jc w:val="center"/>
            </w:pPr>
            <w:r>
              <w:rPr>
                <w:sz w:val="20"/>
              </w:rPr>
              <w:t xml:space="preserve">24</w:t>
            </w:r>
          </w:p>
        </w:tc>
        <w:tc>
          <w:tcPr>
            <w:tcW w:w="687" w:type="dxa"/>
          </w:tcPr>
          <w:p>
            <w:pPr>
              <w:pStyle w:val="0"/>
              <w:jc w:val="center"/>
            </w:pPr>
            <w:r>
              <w:rPr>
                <w:sz w:val="20"/>
              </w:rPr>
            </w:r>
          </w:p>
        </w:tc>
        <w:tc>
          <w:tcPr>
            <w:tcW w:w="703" w:type="dxa"/>
          </w:tcPr>
          <w:p>
            <w:pPr>
              <w:pStyle w:val="0"/>
              <w:jc w:val="center"/>
            </w:pPr>
            <w:r>
              <w:rPr>
                <w:sz w:val="20"/>
              </w:rPr>
            </w:r>
          </w:p>
        </w:tc>
        <w:tc>
          <w:tcPr>
            <w:tcW w:w="624" w:type="dxa"/>
          </w:tcPr>
          <w:p>
            <w:pPr>
              <w:pStyle w:val="0"/>
              <w:jc w:val="center"/>
            </w:pPr>
            <w:r>
              <w:rPr>
                <w:sz w:val="20"/>
              </w:rPr>
              <w:t xml:space="preserve">33</w:t>
            </w:r>
          </w:p>
        </w:tc>
      </w:tr>
      <w:tr>
        <w:tc>
          <w:tcPr>
            <w:tcW w:w="567" w:type="dxa"/>
          </w:tcPr>
          <w:p>
            <w:pPr>
              <w:pStyle w:val="0"/>
              <w:jc w:val="both"/>
            </w:pPr>
            <w:r>
              <w:rPr>
                <w:sz w:val="20"/>
              </w:rPr>
              <w:t xml:space="preserve">1.2</w:t>
            </w:r>
          </w:p>
        </w:tc>
        <w:tc>
          <w:tcPr>
            <w:tcW w:w="2268" w:type="dxa"/>
          </w:tcPr>
          <w:p>
            <w:pPr>
              <w:pStyle w:val="0"/>
              <w:jc w:val="both"/>
            </w:pPr>
            <w:r>
              <w:rPr>
                <w:sz w:val="20"/>
              </w:rPr>
              <w:t xml:space="preserve">с нарушением функции костно-мышечной системы и периферической нервной системы</w:t>
            </w:r>
          </w:p>
        </w:tc>
        <w:tc>
          <w:tcPr>
            <w:tcW w:w="737" w:type="dxa"/>
          </w:tcPr>
          <w:p>
            <w:pPr>
              <w:pStyle w:val="0"/>
              <w:jc w:val="center"/>
            </w:pPr>
            <w:r>
              <w:rPr>
                <w:sz w:val="20"/>
              </w:rPr>
              <w:t xml:space="preserve">229</w:t>
            </w:r>
          </w:p>
        </w:tc>
        <w:tc>
          <w:tcPr>
            <w:tcW w:w="709" w:type="dxa"/>
          </w:tcPr>
          <w:p>
            <w:pPr>
              <w:pStyle w:val="0"/>
              <w:jc w:val="center"/>
            </w:pPr>
            <w:r>
              <w:rPr>
                <w:sz w:val="20"/>
              </w:rPr>
              <w:t xml:space="preserve">206</w:t>
            </w:r>
          </w:p>
        </w:tc>
        <w:tc>
          <w:tcPr>
            <w:tcW w:w="624" w:type="dxa"/>
          </w:tcPr>
          <w:p>
            <w:pPr>
              <w:pStyle w:val="0"/>
              <w:jc w:val="center"/>
            </w:pPr>
            <w:r>
              <w:rPr>
                <w:sz w:val="20"/>
              </w:rPr>
              <w:t xml:space="preserve">23</w:t>
            </w:r>
          </w:p>
        </w:tc>
        <w:tc>
          <w:tcPr>
            <w:tcW w:w="737" w:type="dxa"/>
          </w:tcPr>
          <w:p>
            <w:pPr>
              <w:pStyle w:val="0"/>
              <w:jc w:val="center"/>
            </w:pPr>
            <w:r>
              <w:rPr>
                <w:sz w:val="20"/>
              </w:rPr>
              <w:t xml:space="preserve">210</w:t>
            </w:r>
          </w:p>
        </w:tc>
        <w:tc>
          <w:tcPr>
            <w:tcW w:w="737" w:type="dxa"/>
          </w:tcPr>
          <w:p>
            <w:pPr>
              <w:pStyle w:val="0"/>
              <w:jc w:val="center"/>
            </w:pPr>
            <w:r>
              <w:rPr>
                <w:sz w:val="20"/>
              </w:rPr>
              <w:t xml:space="preserve">178</w:t>
            </w:r>
          </w:p>
        </w:tc>
        <w:tc>
          <w:tcPr>
            <w:tcW w:w="737" w:type="dxa"/>
          </w:tcPr>
          <w:p>
            <w:pPr>
              <w:pStyle w:val="0"/>
              <w:jc w:val="center"/>
            </w:pPr>
            <w:r>
              <w:rPr>
                <w:sz w:val="20"/>
              </w:rPr>
              <w:t xml:space="preserve">32</w:t>
            </w:r>
          </w:p>
        </w:tc>
        <w:tc>
          <w:tcPr>
            <w:tcW w:w="737" w:type="dxa"/>
          </w:tcPr>
          <w:p>
            <w:pPr>
              <w:pStyle w:val="0"/>
              <w:jc w:val="center"/>
            </w:pPr>
            <w:r>
              <w:rPr>
                <w:sz w:val="20"/>
              </w:rPr>
              <w:t xml:space="preserve">356</w:t>
            </w:r>
          </w:p>
        </w:tc>
        <w:tc>
          <w:tcPr>
            <w:tcW w:w="715" w:type="dxa"/>
          </w:tcPr>
          <w:p>
            <w:pPr>
              <w:pStyle w:val="0"/>
              <w:jc w:val="center"/>
            </w:pPr>
            <w:r>
              <w:rPr>
                <w:sz w:val="20"/>
              </w:rPr>
              <w:t xml:space="preserve">325</w:t>
            </w:r>
          </w:p>
        </w:tc>
        <w:tc>
          <w:tcPr>
            <w:tcW w:w="680" w:type="dxa"/>
          </w:tcPr>
          <w:p>
            <w:pPr>
              <w:pStyle w:val="0"/>
              <w:jc w:val="center"/>
            </w:pPr>
            <w:r>
              <w:rPr>
                <w:sz w:val="20"/>
              </w:rPr>
              <w:t xml:space="preserve">31</w:t>
            </w:r>
          </w:p>
        </w:tc>
        <w:tc>
          <w:tcPr>
            <w:tcW w:w="687" w:type="dxa"/>
          </w:tcPr>
          <w:p>
            <w:pPr>
              <w:pStyle w:val="0"/>
              <w:jc w:val="center"/>
            </w:pPr>
            <w:r>
              <w:rPr>
                <w:sz w:val="20"/>
              </w:rPr>
            </w:r>
          </w:p>
        </w:tc>
        <w:tc>
          <w:tcPr>
            <w:tcW w:w="703" w:type="dxa"/>
          </w:tcPr>
          <w:p>
            <w:pPr>
              <w:pStyle w:val="0"/>
              <w:jc w:val="center"/>
            </w:pPr>
            <w:r>
              <w:rPr>
                <w:sz w:val="20"/>
              </w:rPr>
            </w:r>
          </w:p>
        </w:tc>
        <w:tc>
          <w:tcPr>
            <w:tcW w:w="624" w:type="dxa"/>
          </w:tcPr>
          <w:p>
            <w:pPr>
              <w:pStyle w:val="0"/>
              <w:jc w:val="center"/>
            </w:pPr>
            <w:r>
              <w:rPr>
                <w:sz w:val="20"/>
              </w:rPr>
              <w:t xml:space="preserve">29</w:t>
            </w:r>
          </w:p>
        </w:tc>
      </w:tr>
      <w:tr>
        <w:tc>
          <w:tcPr>
            <w:tcW w:w="567" w:type="dxa"/>
          </w:tcPr>
          <w:p>
            <w:pPr>
              <w:pStyle w:val="0"/>
              <w:jc w:val="both"/>
            </w:pPr>
            <w:r>
              <w:rPr>
                <w:sz w:val="20"/>
              </w:rPr>
              <w:t xml:space="preserve">1.3</w:t>
            </w:r>
          </w:p>
        </w:tc>
        <w:tc>
          <w:tcPr>
            <w:tcW w:w="2268" w:type="dxa"/>
          </w:tcPr>
          <w:p>
            <w:pPr>
              <w:pStyle w:val="0"/>
              <w:jc w:val="both"/>
            </w:pPr>
            <w:r>
              <w:rPr>
                <w:sz w:val="20"/>
              </w:rPr>
              <w:t xml:space="preserve">с соматическими заболеваниями, в том числе после перенесенного COVID-19</w:t>
            </w:r>
          </w:p>
        </w:tc>
        <w:tc>
          <w:tcPr>
            <w:tcW w:w="737" w:type="dxa"/>
          </w:tcPr>
          <w:p>
            <w:pPr>
              <w:pStyle w:val="0"/>
              <w:jc w:val="center"/>
            </w:pPr>
            <w:r>
              <w:rPr>
                <w:sz w:val="20"/>
              </w:rPr>
              <w:t xml:space="preserve">51</w:t>
            </w:r>
          </w:p>
        </w:tc>
        <w:tc>
          <w:tcPr>
            <w:tcW w:w="709" w:type="dxa"/>
          </w:tcPr>
          <w:p>
            <w:pPr>
              <w:pStyle w:val="0"/>
              <w:jc w:val="center"/>
            </w:pPr>
            <w:r>
              <w:rPr>
                <w:sz w:val="20"/>
              </w:rPr>
              <w:t xml:space="preserve">0</w:t>
            </w:r>
          </w:p>
        </w:tc>
        <w:tc>
          <w:tcPr>
            <w:tcW w:w="624" w:type="dxa"/>
          </w:tcPr>
          <w:p>
            <w:pPr>
              <w:pStyle w:val="0"/>
              <w:jc w:val="center"/>
            </w:pPr>
            <w:r>
              <w:rPr>
                <w:sz w:val="20"/>
              </w:rPr>
              <w:t xml:space="preserve">51</w:t>
            </w:r>
          </w:p>
        </w:tc>
        <w:tc>
          <w:tcPr>
            <w:tcW w:w="737" w:type="dxa"/>
          </w:tcPr>
          <w:p>
            <w:pPr>
              <w:pStyle w:val="0"/>
              <w:jc w:val="center"/>
            </w:pPr>
            <w:r>
              <w:rPr>
                <w:sz w:val="20"/>
              </w:rPr>
              <w:t xml:space="preserve">39</w:t>
            </w:r>
          </w:p>
        </w:tc>
        <w:tc>
          <w:tcPr>
            <w:tcW w:w="737" w:type="dxa"/>
          </w:tcPr>
          <w:p>
            <w:pPr>
              <w:pStyle w:val="0"/>
              <w:jc w:val="center"/>
            </w:pPr>
            <w:r>
              <w:rPr>
                <w:sz w:val="20"/>
              </w:rPr>
              <w:t xml:space="preserve">0</w:t>
            </w:r>
          </w:p>
        </w:tc>
        <w:tc>
          <w:tcPr>
            <w:tcW w:w="737" w:type="dxa"/>
          </w:tcPr>
          <w:p>
            <w:pPr>
              <w:pStyle w:val="0"/>
              <w:jc w:val="center"/>
            </w:pPr>
            <w:r>
              <w:rPr>
                <w:sz w:val="20"/>
              </w:rPr>
              <w:t xml:space="preserve">39</w:t>
            </w:r>
          </w:p>
        </w:tc>
        <w:tc>
          <w:tcPr>
            <w:tcW w:w="737" w:type="dxa"/>
          </w:tcPr>
          <w:p>
            <w:pPr>
              <w:pStyle w:val="0"/>
              <w:jc w:val="center"/>
            </w:pPr>
            <w:r>
              <w:rPr>
                <w:sz w:val="20"/>
              </w:rPr>
              <w:t xml:space="preserve">498</w:t>
            </w:r>
          </w:p>
        </w:tc>
        <w:tc>
          <w:tcPr>
            <w:tcW w:w="715" w:type="dxa"/>
          </w:tcPr>
          <w:p>
            <w:pPr>
              <w:pStyle w:val="0"/>
              <w:jc w:val="center"/>
            </w:pPr>
            <w:r>
              <w:rPr>
                <w:sz w:val="20"/>
              </w:rPr>
              <w:t xml:space="preserve">453</w:t>
            </w:r>
          </w:p>
        </w:tc>
        <w:tc>
          <w:tcPr>
            <w:tcW w:w="680" w:type="dxa"/>
          </w:tcPr>
          <w:p>
            <w:pPr>
              <w:pStyle w:val="0"/>
              <w:jc w:val="center"/>
            </w:pPr>
            <w:r>
              <w:rPr>
                <w:sz w:val="20"/>
              </w:rPr>
              <w:t xml:space="preserve">45</w:t>
            </w:r>
          </w:p>
        </w:tc>
        <w:tc>
          <w:tcPr>
            <w:tcW w:w="687" w:type="dxa"/>
          </w:tcPr>
          <w:p>
            <w:pPr>
              <w:pStyle w:val="0"/>
              <w:jc w:val="center"/>
            </w:pPr>
            <w:r>
              <w:rPr>
                <w:sz w:val="20"/>
              </w:rPr>
            </w:r>
          </w:p>
        </w:tc>
        <w:tc>
          <w:tcPr>
            <w:tcW w:w="703" w:type="dxa"/>
          </w:tcPr>
          <w:p>
            <w:pPr>
              <w:pStyle w:val="0"/>
              <w:jc w:val="center"/>
            </w:pPr>
            <w:r>
              <w:rPr>
                <w:sz w:val="20"/>
              </w:rPr>
            </w:r>
          </w:p>
        </w:tc>
        <w:tc>
          <w:tcPr>
            <w:tcW w:w="624" w:type="dxa"/>
          </w:tcPr>
          <w:p>
            <w:pPr>
              <w:pStyle w:val="0"/>
              <w:jc w:val="center"/>
            </w:pPr>
            <w:r>
              <w:rPr>
                <w:sz w:val="20"/>
              </w:rPr>
              <w:t xml:space="preserve">38</w:t>
            </w:r>
          </w:p>
        </w:tc>
      </w:tr>
    </w:tbl>
    <w:p>
      <w:pPr>
        <w:pStyle w:val="0"/>
        <w:ind w:firstLine="540"/>
        <w:jc w:val="both"/>
      </w:pPr>
      <w:r>
        <w:rPr>
          <w:sz w:val="20"/>
        </w:rPr>
      </w:r>
    </w:p>
    <w:p>
      <w:pPr>
        <w:pStyle w:val="0"/>
        <w:ind w:firstLine="540"/>
        <w:jc w:val="both"/>
      </w:pPr>
      <w:r>
        <w:rPr>
          <w:sz w:val="20"/>
        </w:rPr>
        <w:t xml:space="preserve">1.5. Текущее состояние ресурсной базы реабилитационной службы города Севастополя (анализ за 2019 - 2022 гг.).</w:t>
      </w:r>
    </w:p>
    <w:p>
      <w:pPr>
        <w:pStyle w:val="0"/>
        <w:spacing w:before="200" w:line-rule="auto"/>
        <w:ind w:firstLine="540"/>
        <w:jc w:val="both"/>
      </w:pPr>
      <w:r>
        <w:rPr>
          <w:sz w:val="20"/>
        </w:rPr>
        <w:t xml:space="preserve">Медицинская реабилитация взрослому населению проводится в рамках приказа Департамента здравоохранения города Севастополя от 28.05.2022 N 460 "Об организации медицинской реабилитации взрослого населения".</w:t>
      </w:r>
    </w:p>
    <w:p>
      <w:pPr>
        <w:pStyle w:val="0"/>
        <w:spacing w:before="200" w:line-rule="auto"/>
        <w:ind w:firstLine="540"/>
        <w:jc w:val="both"/>
      </w:pPr>
      <w:r>
        <w:rPr>
          <w:sz w:val="20"/>
        </w:rPr>
        <w:t xml:space="preserve">В соответствии с </w:t>
      </w:r>
      <w:hyperlink w:history="0" r:id="rId1020" w:tooltip="&lt;Письмо&gt; Минздрава России от 13.01.2022 N 11-7/И/2-275 &quot;О формировании и экономическом обосновании территориальных программ государственных гарантий бесплатного оказания гражданам медицинской помощи на 2022 - 2024 годы&quot; {КонсультантПлюс}">
        <w:r>
          <w:rPr>
            <w:sz w:val="20"/>
            <w:color w:val="0000ff"/>
          </w:rPr>
          <w:t xml:space="preserve">письмом</w:t>
        </w:r>
      </w:hyperlink>
      <w:r>
        <w:rPr>
          <w:sz w:val="20"/>
        </w:rPr>
        <w:t xml:space="preserve"> Минздрава России от 13.01.2022 N 11-7/И/2-275 "О формировании и экономическом обосновании территориальной программы государственных гарантий бесплатного оказания гражданам медицинской помощи на 2022 - 2024 годы" рекомендуемое число случаев госпитализации (на 1000 жителей в год) по профилю "медицинская реабилитация" составляет 4,443.</w:t>
      </w:r>
    </w:p>
    <w:p>
      <w:pPr>
        <w:pStyle w:val="0"/>
        <w:spacing w:before="200" w:line-rule="auto"/>
        <w:ind w:firstLine="540"/>
        <w:jc w:val="both"/>
      </w:pPr>
      <w:r>
        <w:rPr>
          <w:sz w:val="20"/>
        </w:rPr>
        <w:t xml:space="preserve">Расчетное число госпитализаций в 2022 году составляло 2265 человек в год.</w:t>
      </w:r>
    </w:p>
    <w:p>
      <w:pPr>
        <w:pStyle w:val="0"/>
        <w:spacing w:before="200" w:line-rule="auto"/>
        <w:ind w:firstLine="540"/>
        <w:jc w:val="both"/>
      </w:pPr>
      <w:r>
        <w:rPr>
          <w:sz w:val="20"/>
        </w:rPr>
        <w:t xml:space="preserve">Используемая при расчете средняя длительность пребывания одного пациента в стационаре (дней) по профилю "медицинская реабилитация" составляет 16,5. Количество дней госпитализации для 2039 человек составляет 37387 дней в год.</w:t>
      </w:r>
    </w:p>
    <w:p>
      <w:pPr>
        <w:pStyle w:val="0"/>
        <w:spacing w:before="200" w:line-rule="auto"/>
        <w:ind w:firstLine="540"/>
        <w:jc w:val="both"/>
      </w:pPr>
      <w:r>
        <w:rPr>
          <w:sz w:val="20"/>
        </w:rPr>
        <w:t xml:space="preserve">Норматив работы койки по профилю "медицинская реабилитация" для круглосуточного стационара (второй этап) составляет 327 дней в году, для дневного стационара - 289 дней в году.</w:t>
      </w:r>
    </w:p>
    <w:p>
      <w:pPr>
        <w:pStyle w:val="0"/>
        <w:spacing w:before="200" w:line-rule="auto"/>
        <w:ind w:firstLine="540"/>
        <w:jc w:val="both"/>
      </w:pPr>
      <w:r>
        <w:rPr>
          <w:sz w:val="20"/>
        </w:rPr>
        <w:t xml:space="preserve">Расчетное число стационарных реабилитационных коек составляет 97 для взрослых и детей и 109 коек дневного стационара.</w:t>
      </w:r>
    </w:p>
    <w:p>
      <w:pPr>
        <w:pStyle w:val="0"/>
        <w:spacing w:before="200" w:line-rule="auto"/>
        <w:ind w:firstLine="540"/>
        <w:jc w:val="both"/>
      </w:pPr>
      <w:r>
        <w:rPr>
          <w:sz w:val="20"/>
        </w:rPr>
        <w:t xml:space="preserve">В 2022 году медицинская реабилитация для взрослых осуществлялась в одной медицинской организации </w:t>
      </w:r>
      <w:hyperlink w:history="0" w:anchor="P43319" w:tooltip="Структура коечной мощности в медицинских организациях города">
        <w:r>
          <w:rPr>
            <w:sz w:val="20"/>
            <w:color w:val="0000ff"/>
          </w:rPr>
          <w:t xml:space="preserve">(таблица 11)</w:t>
        </w:r>
      </w:hyperlink>
      <w:r>
        <w:rPr>
          <w:sz w:val="20"/>
        </w:rPr>
        <w:t xml:space="preserve">.</w:t>
      </w:r>
    </w:p>
    <w:p>
      <w:pPr>
        <w:pStyle w:val="0"/>
        <w:jc w:val="right"/>
      </w:pPr>
      <w:r>
        <w:rPr>
          <w:sz w:val="20"/>
        </w:rPr>
      </w:r>
    </w:p>
    <w:p>
      <w:pPr>
        <w:pStyle w:val="0"/>
        <w:jc w:val="right"/>
      </w:pPr>
      <w:r>
        <w:rPr>
          <w:sz w:val="20"/>
        </w:rPr>
        <w:t xml:space="preserve">Таблица 11</w:t>
      </w:r>
    </w:p>
    <w:p>
      <w:pPr>
        <w:pStyle w:val="0"/>
        <w:ind w:firstLine="540"/>
        <w:jc w:val="both"/>
      </w:pPr>
      <w:r>
        <w:rPr>
          <w:sz w:val="20"/>
        </w:rPr>
      </w:r>
    </w:p>
    <w:bookmarkStart w:id="43319" w:name="P43319"/>
    <w:bookmarkEnd w:id="43319"/>
    <w:p>
      <w:pPr>
        <w:pStyle w:val="0"/>
        <w:jc w:val="center"/>
      </w:pPr>
      <w:r>
        <w:rPr>
          <w:sz w:val="20"/>
        </w:rPr>
        <w:t xml:space="preserve">Структура коечной мощности в медицинских организациях города</w:t>
      </w:r>
    </w:p>
    <w:p>
      <w:pPr>
        <w:pStyle w:val="0"/>
        <w:jc w:val="center"/>
      </w:pPr>
      <w:r>
        <w:rPr>
          <w:sz w:val="20"/>
        </w:rPr>
        <w:t xml:space="preserve">Севастополя, оказывающих медицинскую реабилитацию взрослым</w:t>
      </w:r>
    </w:p>
    <w:p>
      <w:pPr>
        <w:pStyle w:val="0"/>
        <w:jc w:val="center"/>
      </w:pPr>
      <w:r>
        <w:rPr>
          <w:sz w:val="20"/>
        </w:rPr>
        <w:t xml:space="preserve">в условиях круглосуточного стационара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907"/>
        <w:gridCol w:w="850"/>
        <w:gridCol w:w="850"/>
        <w:gridCol w:w="907"/>
        <w:gridCol w:w="850"/>
        <w:gridCol w:w="907"/>
        <w:gridCol w:w="907"/>
        <w:gridCol w:w="850"/>
        <w:gridCol w:w="907"/>
        <w:gridCol w:w="850"/>
        <w:gridCol w:w="850"/>
        <w:gridCol w:w="907"/>
      </w:tblGrid>
      <w:tr>
        <w:tc>
          <w:tcPr>
            <w:tcW w:w="1701" w:type="dxa"/>
            <w:vMerge w:val="restart"/>
          </w:tcPr>
          <w:p>
            <w:pPr>
              <w:pStyle w:val="0"/>
              <w:jc w:val="center"/>
            </w:pPr>
            <w:r>
              <w:rPr>
                <w:sz w:val="20"/>
              </w:rPr>
              <w:t xml:space="preserve">Наименование медицинской организации</w:t>
            </w:r>
          </w:p>
        </w:tc>
        <w:tc>
          <w:tcPr>
            <w:gridSpan w:val="3"/>
            <w:tcW w:w="2607" w:type="dxa"/>
          </w:tcPr>
          <w:p>
            <w:pPr>
              <w:pStyle w:val="0"/>
              <w:jc w:val="center"/>
            </w:pPr>
            <w:r>
              <w:rPr>
                <w:sz w:val="20"/>
              </w:rPr>
              <w:t xml:space="preserve">Отделение реабилитации с заболеваниями ЦНС</w:t>
            </w:r>
          </w:p>
        </w:tc>
        <w:tc>
          <w:tcPr>
            <w:gridSpan w:val="3"/>
            <w:tcW w:w="2664" w:type="dxa"/>
          </w:tcPr>
          <w:p>
            <w:pPr>
              <w:pStyle w:val="0"/>
              <w:jc w:val="center"/>
            </w:pPr>
            <w:r>
              <w:rPr>
                <w:sz w:val="20"/>
              </w:rPr>
              <w:t xml:space="preserve">Отделение реабилитации с заболеваниями периферической нервной системы и опорно-двигательного аппарата</w:t>
            </w:r>
          </w:p>
        </w:tc>
        <w:tc>
          <w:tcPr>
            <w:gridSpan w:val="3"/>
            <w:tcW w:w="2664" w:type="dxa"/>
          </w:tcPr>
          <w:p>
            <w:pPr>
              <w:pStyle w:val="0"/>
              <w:jc w:val="center"/>
            </w:pPr>
            <w:r>
              <w:rPr>
                <w:sz w:val="20"/>
              </w:rPr>
              <w:t xml:space="preserve">Отделение реабилитации с соматическими заболеваниями</w:t>
            </w:r>
          </w:p>
        </w:tc>
        <w:tc>
          <w:tcPr>
            <w:gridSpan w:val="3"/>
            <w:tcW w:w="2607" w:type="dxa"/>
          </w:tcPr>
          <w:p>
            <w:pPr>
              <w:pStyle w:val="0"/>
              <w:jc w:val="center"/>
            </w:pPr>
            <w:r>
              <w:rPr>
                <w:sz w:val="20"/>
              </w:rPr>
              <w:t xml:space="preserve">Итого</w:t>
            </w:r>
          </w:p>
        </w:tc>
      </w:tr>
      <w:tr>
        <w:tc>
          <w:tcPr>
            <w:vMerge w:val="continue"/>
          </w:tcPr>
          <w:p/>
        </w:tc>
        <w:tc>
          <w:tcPr>
            <w:tcW w:w="907" w:type="dxa"/>
          </w:tcPr>
          <w:p>
            <w:pPr>
              <w:pStyle w:val="0"/>
              <w:jc w:val="center"/>
            </w:pPr>
            <w:r>
              <w:rPr>
                <w:sz w:val="20"/>
              </w:rPr>
              <w:t xml:space="preserve">2021 год</w:t>
            </w:r>
          </w:p>
        </w:tc>
        <w:tc>
          <w:tcPr>
            <w:tcW w:w="850" w:type="dxa"/>
          </w:tcPr>
          <w:p>
            <w:pPr>
              <w:pStyle w:val="0"/>
              <w:jc w:val="center"/>
            </w:pPr>
            <w:r>
              <w:rPr>
                <w:sz w:val="20"/>
              </w:rPr>
              <w:t xml:space="preserve">2022 год</w:t>
            </w:r>
          </w:p>
        </w:tc>
        <w:tc>
          <w:tcPr>
            <w:tcW w:w="850" w:type="dxa"/>
          </w:tcPr>
          <w:p>
            <w:pPr>
              <w:pStyle w:val="0"/>
              <w:jc w:val="center"/>
            </w:pPr>
            <w:r>
              <w:rPr>
                <w:sz w:val="20"/>
              </w:rPr>
              <w:t xml:space="preserve">2023 год</w:t>
            </w:r>
          </w:p>
        </w:tc>
        <w:tc>
          <w:tcPr>
            <w:tcW w:w="907" w:type="dxa"/>
          </w:tcPr>
          <w:p>
            <w:pPr>
              <w:pStyle w:val="0"/>
              <w:jc w:val="center"/>
            </w:pPr>
            <w:r>
              <w:rPr>
                <w:sz w:val="20"/>
              </w:rPr>
              <w:t xml:space="preserve">2021 год</w:t>
            </w:r>
          </w:p>
        </w:tc>
        <w:tc>
          <w:tcPr>
            <w:tcW w:w="850" w:type="dxa"/>
          </w:tcPr>
          <w:p>
            <w:pPr>
              <w:pStyle w:val="0"/>
              <w:jc w:val="center"/>
            </w:pPr>
            <w:r>
              <w:rPr>
                <w:sz w:val="20"/>
              </w:rPr>
              <w:t xml:space="preserve">2022 год</w:t>
            </w:r>
          </w:p>
        </w:tc>
        <w:tc>
          <w:tcPr>
            <w:tcW w:w="907" w:type="dxa"/>
          </w:tcPr>
          <w:p>
            <w:pPr>
              <w:pStyle w:val="0"/>
              <w:jc w:val="center"/>
            </w:pPr>
            <w:r>
              <w:rPr>
                <w:sz w:val="20"/>
              </w:rPr>
              <w:t xml:space="preserve">2023 год</w:t>
            </w:r>
          </w:p>
        </w:tc>
        <w:tc>
          <w:tcPr>
            <w:tcW w:w="907" w:type="dxa"/>
          </w:tcPr>
          <w:p>
            <w:pPr>
              <w:pStyle w:val="0"/>
              <w:jc w:val="center"/>
            </w:pPr>
            <w:r>
              <w:rPr>
                <w:sz w:val="20"/>
              </w:rPr>
              <w:t xml:space="preserve">2021 год</w:t>
            </w:r>
          </w:p>
        </w:tc>
        <w:tc>
          <w:tcPr>
            <w:tcW w:w="850" w:type="dxa"/>
          </w:tcPr>
          <w:p>
            <w:pPr>
              <w:pStyle w:val="0"/>
              <w:jc w:val="center"/>
            </w:pPr>
            <w:r>
              <w:rPr>
                <w:sz w:val="20"/>
              </w:rPr>
              <w:t xml:space="preserve">2022 год</w:t>
            </w:r>
          </w:p>
        </w:tc>
        <w:tc>
          <w:tcPr>
            <w:tcW w:w="907" w:type="dxa"/>
          </w:tcPr>
          <w:p>
            <w:pPr>
              <w:pStyle w:val="0"/>
              <w:jc w:val="center"/>
            </w:pPr>
            <w:r>
              <w:rPr>
                <w:sz w:val="20"/>
              </w:rPr>
              <w:t xml:space="preserve">2023 год</w:t>
            </w:r>
          </w:p>
        </w:tc>
        <w:tc>
          <w:tcPr>
            <w:tcW w:w="850" w:type="dxa"/>
          </w:tcPr>
          <w:p>
            <w:pPr>
              <w:pStyle w:val="0"/>
              <w:jc w:val="center"/>
            </w:pPr>
            <w:r>
              <w:rPr>
                <w:sz w:val="20"/>
              </w:rPr>
              <w:t xml:space="preserve">2021 год</w:t>
            </w:r>
          </w:p>
        </w:tc>
        <w:tc>
          <w:tcPr>
            <w:tcW w:w="850" w:type="dxa"/>
          </w:tcPr>
          <w:p>
            <w:pPr>
              <w:pStyle w:val="0"/>
              <w:jc w:val="center"/>
            </w:pPr>
            <w:r>
              <w:rPr>
                <w:sz w:val="20"/>
              </w:rPr>
              <w:t xml:space="preserve">2022 год</w:t>
            </w:r>
          </w:p>
        </w:tc>
        <w:tc>
          <w:tcPr>
            <w:tcW w:w="907" w:type="dxa"/>
          </w:tcPr>
          <w:p>
            <w:pPr>
              <w:pStyle w:val="0"/>
              <w:jc w:val="center"/>
            </w:pPr>
            <w:r>
              <w:rPr>
                <w:sz w:val="20"/>
              </w:rPr>
              <w:t xml:space="preserve">2023 год</w:t>
            </w:r>
          </w:p>
        </w:tc>
      </w:tr>
      <w:tr>
        <w:tc>
          <w:tcPr>
            <w:tcW w:w="1701" w:type="dxa"/>
          </w:tcPr>
          <w:p>
            <w:pPr>
              <w:pStyle w:val="0"/>
              <w:jc w:val="both"/>
            </w:pPr>
            <w:r>
              <w:rPr>
                <w:sz w:val="20"/>
              </w:rPr>
              <w:t xml:space="preserve">ГБ N 9</w:t>
            </w:r>
          </w:p>
        </w:tc>
        <w:tc>
          <w:tcPr>
            <w:tcW w:w="907" w:type="dxa"/>
          </w:tcPr>
          <w:p>
            <w:pPr>
              <w:pStyle w:val="0"/>
              <w:jc w:val="center"/>
            </w:pPr>
            <w:r>
              <w:rPr>
                <w:sz w:val="20"/>
              </w:rPr>
              <w:t xml:space="preserve">0</w:t>
            </w:r>
          </w:p>
        </w:tc>
        <w:tc>
          <w:tcPr>
            <w:tcW w:w="850" w:type="dxa"/>
          </w:tcPr>
          <w:p>
            <w:pPr>
              <w:pStyle w:val="0"/>
              <w:jc w:val="center"/>
            </w:pPr>
            <w:r>
              <w:rPr>
                <w:sz w:val="20"/>
              </w:rPr>
              <w:t xml:space="preserve">0</w:t>
            </w:r>
          </w:p>
        </w:tc>
        <w:tc>
          <w:tcPr>
            <w:tcW w:w="850" w:type="dxa"/>
          </w:tcPr>
          <w:p>
            <w:pPr>
              <w:pStyle w:val="0"/>
              <w:jc w:val="center"/>
            </w:pPr>
            <w:r>
              <w:rPr>
                <w:sz w:val="20"/>
              </w:rPr>
              <w:t xml:space="preserve">0</w:t>
            </w:r>
          </w:p>
        </w:tc>
        <w:tc>
          <w:tcPr>
            <w:tcW w:w="907" w:type="dxa"/>
          </w:tcPr>
          <w:p>
            <w:pPr>
              <w:pStyle w:val="0"/>
              <w:jc w:val="center"/>
            </w:pPr>
            <w:r>
              <w:rPr>
                <w:sz w:val="20"/>
              </w:rPr>
              <w:t xml:space="preserve">9</w:t>
            </w:r>
          </w:p>
        </w:tc>
        <w:tc>
          <w:tcPr>
            <w:tcW w:w="850"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0</w:t>
            </w:r>
          </w:p>
        </w:tc>
        <w:tc>
          <w:tcPr>
            <w:tcW w:w="850" w:type="dxa"/>
          </w:tcPr>
          <w:p>
            <w:pPr>
              <w:pStyle w:val="0"/>
              <w:jc w:val="center"/>
            </w:pPr>
            <w:r>
              <w:rPr>
                <w:sz w:val="20"/>
              </w:rPr>
              <w:t xml:space="preserve">60</w:t>
            </w:r>
          </w:p>
        </w:tc>
        <w:tc>
          <w:tcPr>
            <w:tcW w:w="907" w:type="dxa"/>
          </w:tcPr>
          <w:p>
            <w:pPr>
              <w:pStyle w:val="0"/>
              <w:jc w:val="center"/>
            </w:pPr>
            <w:r>
              <w:rPr>
                <w:sz w:val="20"/>
              </w:rPr>
              <w:t xml:space="preserve">60</w:t>
            </w:r>
          </w:p>
        </w:tc>
        <w:tc>
          <w:tcPr>
            <w:tcW w:w="850" w:type="dxa"/>
          </w:tcPr>
          <w:p>
            <w:pPr>
              <w:pStyle w:val="0"/>
              <w:jc w:val="center"/>
            </w:pPr>
            <w:r>
              <w:rPr>
                <w:sz w:val="20"/>
              </w:rPr>
              <w:t xml:space="preserve">69</w:t>
            </w:r>
          </w:p>
        </w:tc>
        <w:tc>
          <w:tcPr>
            <w:tcW w:w="850" w:type="dxa"/>
          </w:tcPr>
          <w:p>
            <w:pPr>
              <w:pStyle w:val="0"/>
              <w:jc w:val="center"/>
            </w:pPr>
            <w:r>
              <w:rPr>
                <w:sz w:val="20"/>
              </w:rPr>
              <w:t xml:space="preserve">75</w:t>
            </w:r>
          </w:p>
        </w:tc>
        <w:tc>
          <w:tcPr>
            <w:tcW w:w="907" w:type="dxa"/>
          </w:tcPr>
          <w:p>
            <w:pPr>
              <w:pStyle w:val="0"/>
              <w:jc w:val="center"/>
            </w:pPr>
            <w:r>
              <w:rPr>
                <w:sz w:val="20"/>
              </w:rPr>
              <w:t xml:space="preserve">75</w:t>
            </w:r>
          </w:p>
        </w:tc>
      </w:tr>
      <w:tr>
        <w:tc>
          <w:tcPr>
            <w:tcW w:w="1701" w:type="dxa"/>
          </w:tcPr>
          <w:p>
            <w:pPr>
              <w:pStyle w:val="0"/>
              <w:jc w:val="both"/>
            </w:pPr>
            <w:r>
              <w:rPr>
                <w:sz w:val="20"/>
              </w:rPr>
              <w:t xml:space="preserve">Итого:</w:t>
            </w:r>
          </w:p>
        </w:tc>
        <w:tc>
          <w:tcPr>
            <w:tcW w:w="907" w:type="dxa"/>
          </w:tcPr>
          <w:p>
            <w:pPr>
              <w:pStyle w:val="0"/>
              <w:jc w:val="center"/>
            </w:pPr>
            <w:r>
              <w:rPr>
                <w:sz w:val="20"/>
              </w:rPr>
              <w:t xml:space="preserve">0</w:t>
            </w:r>
          </w:p>
        </w:tc>
        <w:tc>
          <w:tcPr>
            <w:tcW w:w="850" w:type="dxa"/>
          </w:tcPr>
          <w:p>
            <w:pPr>
              <w:pStyle w:val="0"/>
              <w:jc w:val="center"/>
            </w:pPr>
            <w:r>
              <w:rPr>
                <w:sz w:val="20"/>
              </w:rPr>
              <w:t xml:space="preserve">0</w:t>
            </w:r>
          </w:p>
        </w:tc>
        <w:tc>
          <w:tcPr>
            <w:tcW w:w="850" w:type="dxa"/>
          </w:tcPr>
          <w:p>
            <w:pPr>
              <w:pStyle w:val="0"/>
              <w:jc w:val="center"/>
            </w:pPr>
            <w:r>
              <w:rPr>
                <w:sz w:val="20"/>
              </w:rPr>
              <w:t xml:space="preserve">0</w:t>
            </w:r>
          </w:p>
        </w:tc>
        <w:tc>
          <w:tcPr>
            <w:tcW w:w="907" w:type="dxa"/>
          </w:tcPr>
          <w:p>
            <w:pPr>
              <w:pStyle w:val="0"/>
              <w:jc w:val="center"/>
            </w:pPr>
            <w:r>
              <w:rPr>
                <w:sz w:val="20"/>
              </w:rPr>
              <w:t xml:space="preserve">9</w:t>
            </w:r>
          </w:p>
        </w:tc>
        <w:tc>
          <w:tcPr>
            <w:tcW w:w="850"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0</w:t>
            </w:r>
          </w:p>
        </w:tc>
        <w:tc>
          <w:tcPr>
            <w:tcW w:w="850" w:type="dxa"/>
          </w:tcPr>
          <w:p>
            <w:pPr>
              <w:pStyle w:val="0"/>
              <w:jc w:val="center"/>
            </w:pPr>
            <w:r>
              <w:rPr>
                <w:sz w:val="20"/>
              </w:rPr>
              <w:t xml:space="preserve">60</w:t>
            </w:r>
          </w:p>
        </w:tc>
        <w:tc>
          <w:tcPr>
            <w:tcW w:w="907" w:type="dxa"/>
          </w:tcPr>
          <w:p>
            <w:pPr>
              <w:pStyle w:val="0"/>
              <w:jc w:val="center"/>
            </w:pPr>
            <w:r>
              <w:rPr>
                <w:sz w:val="20"/>
              </w:rPr>
              <w:t xml:space="preserve">60</w:t>
            </w:r>
          </w:p>
        </w:tc>
        <w:tc>
          <w:tcPr>
            <w:tcW w:w="850" w:type="dxa"/>
          </w:tcPr>
          <w:p>
            <w:pPr>
              <w:pStyle w:val="0"/>
              <w:jc w:val="center"/>
            </w:pPr>
            <w:r>
              <w:rPr>
                <w:sz w:val="20"/>
              </w:rPr>
              <w:t xml:space="preserve">69</w:t>
            </w:r>
          </w:p>
        </w:tc>
        <w:tc>
          <w:tcPr>
            <w:tcW w:w="850" w:type="dxa"/>
          </w:tcPr>
          <w:p>
            <w:pPr>
              <w:pStyle w:val="0"/>
              <w:jc w:val="center"/>
            </w:pPr>
            <w:r>
              <w:rPr>
                <w:sz w:val="20"/>
              </w:rPr>
              <w:t xml:space="preserve">75</w:t>
            </w:r>
          </w:p>
        </w:tc>
        <w:tc>
          <w:tcPr>
            <w:tcW w:w="907" w:type="dxa"/>
          </w:tcPr>
          <w:p>
            <w:pPr>
              <w:pStyle w:val="0"/>
              <w:jc w:val="center"/>
            </w:pPr>
            <w:r>
              <w:rPr>
                <w:sz w:val="20"/>
              </w:rPr>
              <w:t xml:space="preserve">75</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С 2019 по 2023 год общий коечный фонд круглосуточных реабилитационных стационаров увеличился на 60 коек для реабилитации пациентов с соматическими заболеваниями и 15 коек для пациентов с патологией периферической нервной системы и опорно-двигательного аппарата.</w:t>
      </w:r>
    </w:p>
    <w:p>
      <w:pPr>
        <w:pStyle w:val="0"/>
        <w:spacing w:before="200" w:line-rule="auto"/>
        <w:ind w:firstLine="540"/>
        <w:jc w:val="both"/>
      </w:pPr>
      <w:r>
        <w:rPr>
          <w:sz w:val="20"/>
        </w:rPr>
        <w:t xml:space="preserve">Количество коек для взрослого населения по профилю "медицинская реабилитация" является недостаточным для полноценного оказания медицинской помощи.</w:t>
      </w:r>
    </w:p>
    <w:p>
      <w:pPr>
        <w:pStyle w:val="0"/>
        <w:spacing w:before="200" w:line-rule="auto"/>
        <w:ind w:firstLine="540"/>
        <w:jc w:val="both"/>
      </w:pPr>
      <w:r>
        <w:rPr>
          <w:sz w:val="20"/>
        </w:rPr>
        <w:t xml:space="preserve">Оснащение отделений медицинской реабилитации не соответствует </w:t>
      </w:r>
      <w:hyperlink w:history="0" r:id="rId1021"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приказу</w:t>
        </w:r>
      </w:hyperlink>
      <w:r>
        <w:rPr>
          <w:sz w:val="20"/>
        </w:rPr>
        <w:t xml:space="preserve"> МЗ РФ N 788н.</w:t>
      </w:r>
    </w:p>
    <w:p>
      <w:pPr>
        <w:pStyle w:val="0"/>
        <w:spacing w:before="200" w:line-rule="auto"/>
        <w:ind w:firstLine="540"/>
        <w:jc w:val="both"/>
      </w:pPr>
      <w:r>
        <w:rPr>
          <w:sz w:val="20"/>
        </w:rPr>
        <w:t xml:space="preserve">Для оказания медицинской помощи по профилю "медицинская реабилитация" пациенты направляются в федеральные медицинские организации после проведения телемедицинской консультации (далее - ТМК). В 2020 году проведено 5 ТМК, в 2021 году - 37 ТМК.</w:t>
      </w:r>
    </w:p>
    <w:p>
      <w:pPr>
        <w:pStyle w:val="0"/>
        <w:spacing w:before="200" w:line-rule="auto"/>
        <w:ind w:firstLine="540"/>
        <w:jc w:val="both"/>
      </w:pPr>
      <w:r>
        <w:rPr>
          <w:sz w:val="20"/>
        </w:rPr>
        <w:t xml:space="preserve">Медицинская реабилитация в стационарных условиях детскому населению в городе Севастополе за период 2019 - 2022 годов не осуществлялась. С 01.01.2023 на базе Детского центра медицинской реабилитации ГБ N 5 открыто детское нейрореабилитационное отделение на 30 коек.</w:t>
      </w:r>
    </w:p>
    <w:p>
      <w:pPr>
        <w:pStyle w:val="0"/>
        <w:spacing w:before="200" w:line-rule="auto"/>
        <w:ind w:firstLine="540"/>
        <w:jc w:val="both"/>
      </w:pPr>
      <w:r>
        <w:rPr>
          <w:sz w:val="20"/>
        </w:rPr>
        <w:t xml:space="preserve">Вся медицинская помощь детскому населению в городе сосредоточена на базе ГБ N 5, являющейся "якорной" медицинской организацией, оказывающей медицинскую помощь по профилю "медицинская реабилитация" детскому населению города Севастополя.</w:t>
      </w:r>
    </w:p>
    <w:p>
      <w:pPr>
        <w:pStyle w:val="0"/>
        <w:spacing w:before="200" w:line-rule="auto"/>
        <w:ind w:firstLine="540"/>
        <w:jc w:val="both"/>
      </w:pPr>
      <w:r>
        <w:rPr>
          <w:sz w:val="20"/>
        </w:rPr>
        <w:t xml:space="preserve">Для детского населения оказание медицинской помощи по профилю "медицинская реабилитация" осуществляется в следующих учреждениях здравоохранения, подведомственных Департаменту здравоохранения города Севастополя:</w:t>
      </w:r>
    </w:p>
    <w:p>
      <w:pPr>
        <w:pStyle w:val="0"/>
        <w:spacing w:before="200" w:line-rule="auto"/>
        <w:ind w:firstLine="540"/>
        <w:jc w:val="both"/>
      </w:pPr>
      <w:r>
        <w:rPr>
          <w:sz w:val="20"/>
        </w:rPr>
        <w:t xml:space="preserve">1. I этап осуществляется в острый период, в стадии обострения (рецидива) основного заболевания или острый период травмы, послеоперационный период на койках отделения анестезиологии и реанимации и в профильных стационарных отделениях силами и средствами отделения медицинской реабилитации ГБ N 5.</w:t>
      </w:r>
    </w:p>
    <w:p>
      <w:pPr>
        <w:pStyle w:val="0"/>
        <w:spacing w:before="200" w:line-rule="auto"/>
        <w:ind w:firstLine="540"/>
        <w:jc w:val="both"/>
      </w:pPr>
      <w:r>
        <w:rPr>
          <w:sz w:val="20"/>
        </w:rPr>
        <w:t xml:space="preserve">2. II этап медицинской реабилитации осуществляется в условиях круглосуточного стационара и дневного стационара для детей, не нуждающихся в круглосуточном врачебном наблюдении, в условиях дневного стационара в двухсменном режиме работы, а также на базе Детского центра медицинской реабилитации ГБ N 5.</w:t>
      </w:r>
    </w:p>
    <w:p>
      <w:pPr>
        <w:pStyle w:val="0"/>
        <w:spacing w:before="200" w:line-rule="auto"/>
        <w:ind w:firstLine="540"/>
        <w:jc w:val="both"/>
      </w:pPr>
      <w:r>
        <w:rPr>
          <w:sz w:val="20"/>
        </w:rPr>
        <w:t xml:space="preserve">3. III этап медицинской реабилитации в амбулаторных условиях осуществляется в педиатрических отделениях N 1, 2 ГБ N 5.</w:t>
      </w:r>
    </w:p>
    <w:p>
      <w:pPr>
        <w:pStyle w:val="0"/>
        <w:spacing w:before="200" w:line-rule="auto"/>
        <w:ind w:firstLine="540"/>
        <w:jc w:val="both"/>
      </w:pPr>
      <w:r>
        <w:rPr>
          <w:sz w:val="20"/>
        </w:rPr>
        <w:t xml:space="preserve">ГКУЗС "Специализированный дом ребенка для детей с поражением центральной нервной системы и нарушением психики" (далее - ГКУЗ "Дом ребенка") осуществляет III этап медицинской реабилитации в амбулаторных условиях детям от трех месяцев до трех лет в рамках бюджетного финансирования учреждения.</w:t>
      </w:r>
    </w:p>
    <w:p>
      <w:pPr>
        <w:pStyle w:val="0"/>
        <w:spacing w:before="200" w:line-rule="auto"/>
        <w:ind w:firstLine="540"/>
        <w:jc w:val="both"/>
      </w:pPr>
      <w:r>
        <w:rPr>
          <w:sz w:val="20"/>
        </w:rPr>
        <w:t xml:space="preserve">За 2018 - 2022 годы в профильной службе произошли следующие структурные и организационные изменения:</w:t>
      </w:r>
    </w:p>
    <w:p>
      <w:pPr>
        <w:pStyle w:val="0"/>
        <w:spacing w:before="200" w:line-rule="auto"/>
        <w:ind w:firstLine="540"/>
        <w:jc w:val="both"/>
      </w:pPr>
      <w:r>
        <w:rPr>
          <w:sz w:val="20"/>
        </w:rPr>
        <w:t xml:space="preserve">- организовано трехэтапное оказание медицинской помощи по профилю "медицинская реабилитация" детскому населению города Севастополя;</w:t>
      </w:r>
    </w:p>
    <w:p>
      <w:pPr>
        <w:pStyle w:val="0"/>
        <w:spacing w:before="200" w:line-rule="auto"/>
        <w:ind w:firstLine="540"/>
        <w:jc w:val="both"/>
      </w:pPr>
      <w:r>
        <w:rPr>
          <w:sz w:val="20"/>
        </w:rPr>
        <w:t xml:space="preserve">- открыто отделение медицинской реабилитации (бескоечное) для осуществления I этапа на койках отделения анестезиологии и реанимации и в профильных стационарных отделениях ГБ N 5;</w:t>
      </w:r>
    </w:p>
    <w:p>
      <w:pPr>
        <w:pStyle w:val="0"/>
        <w:spacing w:before="200" w:line-rule="auto"/>
        <w:ind w:firstLine="540"/>
        <w:jc w:val="both"/>
      </w:pPr>
      <w:r>
        <w:rPr>
          <w:sz w:val="20"/>
        </w:rPr>
        <w:t xml:space="preserve">- проведены организационные мероприятия для открытия детского нейрореабилитационного отделения на 30 коек круглосуточного стационара;</w:t>
      </w:r>
    </w:p>
    <w:p>
      <w:pPr>
        <w:pStyle w:val="0"/>
        <w:spacing w:before="200" w:line-rule="auto"/>
        <w:ind w:firstLine="540"/>
        <w:jc w:val="both"/>
      </w:pPr>
      <w:r>
        <w:rPr>
          <w:sz w:val="20"/>
        </w:rPr>
        <w:t xml:space="preserve">- осуществлены структурные изменения коечного фонда отделения восстановительного лечения Детского центра медицинской реабилитации за счет увеличения реабилитационных неврологических и ортопедических коек, уменьшения соматических коек;</w:t>
      </w:r>
    </w:p>
    <w:p>
      <w:pPr>
        <w:pStyle w:val="0"/>
        <w:spacing w:before="200" w:line-rule="auto"/>
        <w:ind w:firstLine="540"/>
        <w:jc w:val="both"/>
      </w:pPr>
      <w:r>
        <w:rPr>
          <w:sz w:val="20"/>
        </w:rPr>
        <w:t xml:space="preserve">- организовано оказание медицинской помощи мультидисциплинарной реабилитационной командой;</w:t>
      </w:r>
    </w:p>
    <w:p>
      <w:pPr>
        <w:pStyle w:val="0"/>
        <w:spacing w:before="200" w:line-rule="auto"/>
        <w:ind w:firstLine="540"/>
        <w:jc w:val="both"/>
      </w:pPr>
      <w:r>
        <w:rPr>
          <w:sz w:val="20"/>
        </w:rPr>
        <w:t xml:space="preserve">- на базе педиатрического отделения N 2 (ул. Адмирала Юмашева, 19г) организован III этап медицинской реабилитации;</w:t>
      </w:r>
    </w:p>
    <w:p>
      <w:pPr>
        <w:pStyle w:val="0"/>
        <w:spacing w:before="200" w:line-rule="auto"/>
        <w:ind w:firstLine="540"/>
        <w:jc w:val="both"/>
      </w:pPr>
      <w:r>
        <w:rPr>
          <w:sz w:val="20"/>
        </w:rPr>
        <w:t xml:space="preserve">- на базе ГКУЗ "Дом ребенка" организован III этап медицинской реабилитации для детей в возрасте до трех лет.</w:t>
      </w:r>
    </w:p>
    <w:p>
      <w:pPr>
        <w:pStyle w:val="0"/>
        <w:spacing w:before="200" w:line-rule="auto"/>
        <w:ind w:firstLine="540"/>
        <w:jc w:val="both"/>
      </w:pPr>
      <w:r>
        <w:rPr>
          <w:sz w:val="20"/>
        </w:rPr>
        <w:t xml:space="preserve">ГБ N 5 осуществляет контроль за маршрутизацией пациентов на медицинскую реабилитацию.</w:t>
      </w:r>
    </w:p>
    <w:p>
      <w:pPr>
        <w:pStyle w:val="0"/>
        <w:spacing w:before="200" w:line-rule="auto"/>
        <w:ind w:firstLine="540"/>
        <w:jc w:val="both"/>
      </w:pPr>
      <w:r>
        <w:rPr>
          <w:sz w:val="20"/>
        </w:rPr>
        <w:t xml:space="preserve">В детских поликлиниках ГБ N 4 и ГБ N 9 медицинская реабилитация на III этапе не проводится.</w:t>
      </w:r>
    </w:p>
    <w:p>
      <w:pPr>
        <w:pStyle w:val="0"/>
        <w:spacing w:before="200" w:line-rule="auto"/>
        <w:ind w:firstLine="540"/>
        <w:jc w:val="both"/>
      </w:pPr>
      <w:r>
        <w:rPr>
          <w:sz w:val="20"/>
        </w:rPr>
        <w:t xml:space="preserve">Главный внештатный детский специалист по медицинской реабилитации Департамента здравоохранения города Севастополя проводит ежемесячный мониторинг оказания медицинской помощи по медицинской реабилитации детскому населению.</w:t>
      </w:r>
    </w:p>
    <w:p>
      <w:pPr>
        <w:pStyle w:val="0"/>
        <w:spacing w:before="200" w:line-rule="auto"/>
        <w:ind w:firstLine="540"/>
        <w:jc w:val="both"/>
      </w:pPr>
      <w:r>
        <w:rPr>
          <w:sz w:val="20"/>
        </w:rPr>
        <w:t xml:space="preserve">В рамках реализации федерального проекта "Развитие сети национальных медицинских исследовательских центров и внедрение инновационных медицинских технологий" ГБ N 5 закреплена за ФГАУ "НМИЦ здоровья детей". За 2019 - 2022 годы для оценки реабилитационной службы и с методической целью в ГБ N 5 было совершено два очных визита сотрудников ФГАУ "НМИЦ здоровья детей", а также проведены консультации в режиме ТМК.</w:t>
      </w:r>
    </w:p>
    <w:p>
      <w:pPr>
        <w:pStyle w:val="0"/>
        <w:spacing w:before="200" w:line-rule="auto"/>
        <w:ind w:firstLine="540"/>
        <w:jc w:val="both"/>
      </w:pPr>
      <w:r>
        <w:rPr>
          <w:sz w:val="20"/>
        </w:rPr>
        <w:t xml:space="preserve">Федеральные медицинские организации, участвующие в схеме маршрутизации пациентов детского возраста в части оказания медицинской помощи по медицинской реабилитации:</w:t>
      </w:r>
    </w:p>
    <w:p>
      <w:pPr>
        <w:pStyle w:val="0"/>
        <w:spacing w:before="200" w:line-rule="auto"/>
        <w:ind w:firstLine="540"/>
        <w:jc w:val="both"/>
      </w:pPr>
      <w:r>
        <w:rPr>
          <w:sz w:val="20"/>
        </w:rPr>
        <w:t xml:space="preserve">1. Дети с диагнозом "детский церебральный паралич" при необходимости проведения высокотехнологичной реабилитации направляются по заключению врачебной комиссии в ФГБУ "Российский реабилитационный центр "Детство" Министерства здравоохранения Российской Федерации.</w:t>
      </w:r>
    </w:p>
    <w:p>
      <w:pPr>
        <w:pStyle w:val="0"/>
        <w:spacing w:before="200" w:line-rule="auto"/>
        <w:ind w:firstLine="540"/>
        <w:jc w:val="both"/>
      </w:pPr>
      <w:r>
        <w:rPr>
          <w:sz w:val="20"/>
        </w:rPr>
        <w:t xml:space="preserve">2. Дети с онкогематологическими заболеваниями при необходимости круглосуточного врачебного наблюдения направляются по заключению врачебной комиссии в ЛРНЦ "Русское поле" ФГБУ "ФНКЦ ДГОИ им. Дмитрия Рогачева" Министерства здравоохранения Российской Федерации.</w:t>
      </w:r>
    </w:p>
    <w:p>
      <w:pPr>
        <w:pStyle w:val="0"/>
        <w:spacing w:before="200" w:line-rule="auto"/>
        <w:ind w:firstLine="540"/>
        <w:jc w:val="both"/>
      </w:pPr>
      <w:r>
        <w:rPr>
          <w:sz w:val="20"/>
        </w:rPr>
        <w:t xml:space="preserve">3. Дети с кохлеарными имплантами, нуждающиеся в замене речевого процессора, направляются по заключению сурдолога в ФГБУ "Центр реабилитации (для детей с нарушением слуха)" Министерства здравоохранения Российской Федерации.</w:t>
      </w:r>
    </w:p>
    <w:p>
      <w:pPr>
        <w:pStyle w:val="0"/>
        <w:spacing w:before="200" w:line-rule="auto"/>
        <w:ind w:firstLine="540"/>
        <w:jc w:val="both"/>
      </w:pPr>
      <w:r>
        <w:rPr>
          <w:sz w:val="20"/>
        </w:rPr>
        <w:t xml:space="preserve">4. Дети с ортопедическими заболеваниями и заболеваниями ЦНС при необходимости круглосуточного врачебного наблюдения направляются по заключению врачебной комиссии в ФГБУ "Евпаторийский военный детский клинический санаторий им. Е.П. Глинки" Министерства обороны Российской Федерации.</w:t>
      </w:r>
    </w:p>
    <w:p>
      <w:pPr>
        <w:pStyle w:val="0"/>
        <w:spacing w:before="200" w:line-rule="auto"/>
        <w:ind w:firstLine="540"/>
        <w:jc w:val="both"/>
      </w:pPr>
      <w:r>
        <w:rPr>
          <w:sz w:val="20"/>
        </w:rPr>
        <w:t xml:space="preserve">1.5.1. Анализ структурных подразделений медицинских организаций, оказывающих медицинскую помощь взрослым по профилю "медицинская реабилитация", проведен по унифицированным чек-листам (приложение N 1 к Программе - не приводится).</w:t>
      </w:r>
    </w:p>
    <w:p>
      <w:pPr>
        <w:pStyle w:val="0"/>
        <w:spacing w:before="200" w:line-rule="auto"/>
        <w:ind w:firstLine="540"/>
        <w:jc w:val="both"/>
      </w:pPr>
      <w:r>
        <w:rPr>
          <w:sz w:val="20"/>
        </w:rPr>
        <w:t xml:space="preserve">Деятельность медицинских организаций (структурных подразделений), оказывающих медицинскую помощь по профилю "медицинская реабилитация" в городе Севастополе:</w:t>
      </w:r>
    </w:p>
    <w:p>
      <w:pPr>
        <w:pStyle w:val="0"/>
        <w:ind w:firstLine="540"/>
        <w:jc w:val="both"/>
      </w:pPr>
      <w:r>
        <w:rPr>
          <w:sz w:val="20"/>
        </w:rPr>
      </w:r>
    </w:p>
    <w:p>
      <w:pPr>
        <w:pStyle w:val="0"/>
        <w:jc w:val="right"/>
      </w:pPr>
      <w:r>
        <w:rPr>
          <w:sz w:val="20"/>
        </w:rPr>
        <w:t xml:space="preserve">Таблица 12</w:t>
      </w:r>
    </w:p>
    <w:p>
      <w:pPr>
        <w:pStyle w:val="0"/>
      </w:pPr>
      <w:r>
        <w:rPr>
          <w:sz w:val="20"/>
        </w:rPr>
      </w:r>
    </w:p>
    <w:p>
      <w:pPr>
        <w:pStyle w:val="0"/>
        <w:jc w:val="center"/>
      </w:pPr>
      <w:r>
        <w:rPr>
          <w:sz w:val="20"/>
        </w:rPr>
        <w:t xml:space="preserve">ГБ N 1</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5613"/>
        <w:gridCol w:w="2608"/>
      </w:tblGrid>
      <w:tr>
        <w:tc>
          <w:tcPr>
            <w:tcW w:w="850" w:type="dxa"/>
          </w:tcPr>
          <w:p>
            <w:pPr>
              <w:pStyle w:val="0"/>
              <w:jc w:val="both"/>
            </w:pPr>
            <w:r>
              <w:rPr>
                <w:sz w:val="20"/>
              </w:rPr>
              <w:t xml:space="preserve">1.</w:t>
            </w:r>
          </w:p>
        </w:tc>
        <w:tc>
          <w:tcPr>
            <w:tcW w:w="5613" w:type="dxa"/>
          </w:tcPr>
          <w:p>
            <w:pPr>
              <w:pStyle w:val="0"/>
              <w:jc w:val="both"/>
            </w:pPr>
            <w:r>
              <w:rPr>
                <w:sz w:val="20"/>
              </w:rPr>
              <w:t xml:space="preserve">Полное наименование медицинской организации</w:t>
            </w:r>
          </w:p>
        </w:tc>
        <w:tc>
          <w:tcPr>
            <w:tcW w:w="2608" w:type="dxa"/>
          </w:tcPr>
          <w:p>
            <w:pPr>
              <w:pStyle w:val="0"/>
              <w:jc w:val="both"/>
            </w:pPr>
            <w:r>
              <w:rPr>
                <w:sz w:val="20"/>
              </w:rPr>
              <w:t xml:space="preserve">ГБ N 1</w:t>
            </w:r>
          </w:p>
        </w:tc>
      </w:tr>
      <w:tr>
        <w:tc>
          <w:tcPr>
            <w:tcW w:w="850" w:type="dxa"/>
          </w:tcPr>
          <w:p>
            <w:pPr>
              <w:pStyle w:val="0"/>
              <w:jc w:val="both"/>
            </w:pPr>
            <w:r>
              <w:rPr>
                <w:sz w:val="20"/>
              </w:rPr>
              <w:t xml:space="preserve">2.</w:t>
            </w:r>
          </w:p>
        </w:tc>
        <w:tc>
          <w:tcPr>
            <w:tcW w:w="5613" w:type="dxa"/>
          </w:tcPr>
          <w:p>
            <w:pPr>
              <w:pStyle w:val="0"/>
              <w:jc w:val="both"/>
            </w:pPr>
            <w:r>
              <w:rPr>
                <w:sz w:val="20"/>
              </w:rPr>
              <w:t xml:space="preserve">Наличие лицензии (указать работы (услуги) по медицинской реабилитации)</w:t>
            </w:r>
          </w:p>
        </w:tc>
        <w:tc>
          <w:tcPr>
            <w:tcW w:w="2608" w:type="dxa"/>
          </w:tcPr>
          <w:p>
            <w:pPr>
              <w:pStyle w:val="0"/>
              <w:jc w:val="both"/>
            </w:pPr>
            <w:r>
              <w:rPr>
                <w:sz w:val="20"/>
              </w:rPr>
              <w:t xml:space="preserve">Уведомление</w:t>
            </w:r>
          </w:p>
        </w:tc>
      </w:tr>
      <w:tr>
        <w:tc>
          <w:tcPr>
            <w:tcW w:w="850" w:type="dxa"/>
          </w:tcPr>
          <w:p>
            <w:pPr>
              <w:pStyle w:val="0"/>
              <w:jc w:val="both"/>
            </w:pPr>
            <w:r>
              <w:rPr>
                <w:sz w:val="20"/>
              </w:rPr>
              <w:t xml:space="preserve">3.</w:t>
            </w:r>
          </w:p>
        </w:tc>
        <w:tc>
          <w:tcPr>
            <w:tcW w:w="5613" w:type="dxa"/>
          </w:tcPr>
          <w:p>
            <w:pPr>
              <w:pStyle w:val="0"/>
              <w:jc w:val="both"/>
            </w:pPr>
            <w:r>
              <w:rPr>
                <w:sz w:val="20"/>
              </w:rPr>
              <w:t xml:space="preserve">Группа медицинской организации (1, 2, 3)</w:t>
            </w:r>
          </w:p>
        </w:tc>
        <w:tc>
          <w:tcPr>
            <w:tcW w:w="2608" w:type="dxa"/>
          </w:tcPr>
          <w:p>
            <w:pPr>
              <w:pStyle w:val="0"/>
              <w:jc w:val="center"/>
            </w:pPr>
            <w:r>
              <w:rPr>
                <w:sz w:val="20"/>
              </w:rPr>
              <w:t xml:space="preserve">2</w:t>
            </w:r>
          </w:p>
        </w:tc>
      </w:tr>
      <w:tr>
        <w:tc>
          <w:tcPr>
            <w:tcW w:w="850" w:type="dxa"/>
          </w:tcPr>
          <w:p>
            <w:pPr>
              <w:pStyle w:val="0"/>
              <w:jc w:val="both"/>
            </w:pPr>
            <w:r>
              <w:rPr>
                <w:sz w:val="20"/>
              </w:rPr>
              <w:t xml:space="preserve">4.</w:t>
            </w:r>
          </w:p>
        </w:tc>
        <w:tc>
          <w:tcPr>
            <w:tcW w:w="5613" w:type="dxa"/>
          </w:tcPr>
          <w:p>
            <w:pPr>
              <w:pStyle w:val="0"/>
              <w:jc w:val="both"/>
            </w:pPr>
            <w:r>
              <w:rPr>
                <w:sz w:val="20"/>
              </w:rPr>
              <w:t xml:space="preserve">Медицинская организация является "якорной" по профилю "медицинская реабилитация" (да/нет)</w:t>
            </w:r>
          </w:p>
        </w:tc>
        <w:tc>
          <w:tcPr>
            <w:tcW w:w="2608" w:type="dxa"/>
          </w:tcPr>
          <w:p>
            <w:pPr>
              <w:pStyle w:val="0"/>
              <w:jc w:val="both"/>
            </w:pPr>
            <w:r>
              <w:rPr>
                <w:sz w:val="20"/>
              </w:rPr>
              <w:t xml:space="preserve">Да</w:t>
            </w:r>
          </w:p>
        </w:tc>
      </w:tr>
      <w:tr>
        <w:tc>
          <w:tcPr>
            <w:tcW w:w="850" w:type="dxa"/>
          </w:tcPr>
          <w:p>
            <w:pPr>
              <w:pStyle w:val="0"/>
              <w:jc w:val="both"/>
            </w:pPr>
            <w:r>
              <w:rPr>
                <w:sz w:val="20"/>
              </w:rPr>
              <w:t xml:space="preserve">5.</w:t>
            </w:r>
          </w:p>
        </w:tc>
        <w:tc>
          <w:tcPr>
            <w:tcW w:w="5613" w:type="dxa"/>
          </w:tcPr>
          <w:p>
            <w:pPr>
              <w:pStyle w:val="0"/>
              <w:jc w:val="both"/>
            </w:pPr>
            <w:r>
              <w:rPr>
                <w:sz w:val="20"/>
              </w:rPr>
              <w:t xml:space="preserve">Число прикрепленного населения (тыс. чел.) (при наличии)</w:t>
            </w:r>
          </w:p>
        </w:tc>
        <w:tc>
          <w:tcPr>
            <w:tcW w:w="2608" w:type="dxa"/>
          </w:tcPr>
          <w:p>
            <w:pPr>
              <w:pStyle w:val="0"/>
              <w:jc w:val="center"/>
            </w:pPr>
            <w:r>
              <w:rPr>
                <w:sz w:val="20"/>
              </w:rPr>
              <w:t xml:space="preserve">255650</w:t>
            </w:r>
          </w:p>
        </w:tc>
      </w:tr>
      <w:tr>
        <w:tc>
          <w:tcPr>
            <w:tcW w:w="850" w:type="dxa"/>
          </w:tcPr>
          <w:p>
            <w:pPr>
              <w:pStyle w:val="0"/>
              <w:jc w:val="both"/>
            </w:pPr>
            <w:r>
              <w:rPr>
                <w:sz w:val="20"/>
              </w:rPr>
              <w:t xml:space="preserve">6.</w:t>
            </w:r>
          </w:p>
        </w:tc>
        <w:tc>
          <w:tcPr>
            <w:tcW w:w="5613" w:type="dxa"/>
          </w:tcPr>
          <w:p>
            <w:pPr>
              <w:pStyle w:val="0"/>
              <w:jc w:val="both"/>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2608" w:type="dxa"/>
          </w:tcPr>
          <w:p>
            <w:pPr>
              <w:pStyle w:val="0"/>
              <w:jc w:val="both"/>
            </w:pPr>
            <w:r>
              <w:rPr>
                <w:sz w:val="20"/>
              </w:rPr>
              <w:t xml:space="preserve">2024 год, 2026 год</w:t>
            </w:r>
          </w:p>
        </w:tc>
      </w:tr>
      <w:tr>
        <w:tc>
          <w:tcPr>
            <w:tcW w:w="850" w:type="dxa"/>
          </w:tcPr>
          <w:p>
            <w:pPr>
              <w:pStyle w:val="0"/>
              <w:jc w:val="both"/>
            </w:pPr>
            <w:r>
              <w:rPr>
                <w:sz w:val="20"/>
              </w:rPr>
              <w:t xml:space="preserve">7.</w:t>
            </w:r>
          </w:p>
        </w:tc>
        <w:tc>
          <w:tcPr>
            <w:tcW w:w="5613" w:type="dxa"/>
          </w:tcPr>
          <w:p>
            <w:pPr>
              <w:pStyle w:val="0"/>
              <w:jc w:val="both"/>
            </w:pPr>
            <w:r>
              <w:rPr>
                <w:sz w:val="20"/>
              </w:rPr>
              <w:t xml:space="preserve">Коэффициент оснащенности медицинской организации на май 2023 г. (%)</w:t>
            </w:r>
          </w:p>
        </w:tc>
        <w:tc>
          <w:tcPr>
            <w:tcW w:w="2608" w:type="dxa"/>
          </w:tcPr>
          <w:p>
            <w:pPr>
              <w:pStyle w:val="0"/>
              <w:jc w:val="both"/>
            </w:pPr>
            <w:r>
              <w:rPr>
                <w:sz w:val="20"/>
              </w:rPr>
              <w:t xml:space="preserve">85%</w:t>
            </w:r>
          </w:p>
        </w:tc>
      </w:tr>
      <w:tr>
        <w:tc>
          <w:tcPr>
            <w:tcW w:w="850" w:type="dxa"/>
          </w:tcPr>
          <w:p>
            <w:pPr>
              <w:pStyle w:val="0"/>
              <w:jc w:val="both"/>
            </w:pPr>
            <w:r>
              <w:rPr>
                <w:sz w:val="20"/>
              </w:rPr>
              <w:t xml:space="preserve">8.</w:t>
            </w:r>
          </w:p>
        </w:tc>
        <w:tc>
          <w:tcPr>
            <w:tcW w:w="5613" w:type="dxa"/>
          </w:tcPr>
          <w:p>
            <w:pPr>
              <w:pStyle w:val="0"/>
              <w:jc w:val="both"/>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2608" w:type="dxa"/>
          </w:tcPr>
          <w:p>
            <w:pPr>
              <w:pStyle w:val="0"/>
              <w:jc w:val="both"/>
            </w:pPr>
            <w:r>
              <w:rPr>
                <w:sz w:val="20"/>
              </w:rPr>
              <w:t xml:space="preserve">Да</w:t>
            </w:r>
          </w:p>
        </w:tc>
      </w:tr>
      <w:tr>
        <w:tc>
          <w:tcPr>
            <w:tcW w:w="850" w:type="dxa"/>
          </w:tcPr>
          <w:p>
            <w:pPr>
              <w:pStyle w:val="0"/>
              <w:jc w:val="both"/>
            </w:pPr>
            <w:r>
              <w:rPr>
                <w:sz w:val="20"/>
              </w:rPr>
              <w:t xml:space="preserve">9.</w:t>
            </w:r>
          </w:p>
        </w:tc>
        <w:tc>
          <w:tcPr>
            <w:tcW w:w="5613" w:type="dxa"/>
          </w:tcPr>
          <w:p>
            <w:pPr>
              <w:pStyle w:val="0"/>
              <w:jc w:val="both"/>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 &lt;*&gt;</w:t>
            </w:r>
          </w:p>
        </w:tc>
        <w:tc>
          <w:tcPr>
            <w:tcW w:w="2608" w:type="dxa"/>
          </w:tcPr>
          <w:p>
            <w:pPr>
              <w:pStyle w:val="0"/>
              <w:jc w:val="both"/>
            </w:pPr>
            <w:r>
              <w:rPr>
                <w:sz w:val="20"/>
              </w:rPr>
              <w:t xml:space="preserve">Отделения неврологии, кардиохирургии, терапии, кардиологии, травматологии</w:t>
            </w:r>
          </w:p>
        </w:tc>
      </w:tr>
      <w:tr>
        <w:tc>
          <w:tcPr>
            <w:tcW w:w="850" w:type="dxa"/>
          </w:tcPr>
          <w:p>
            <w:pPr>
              <w:pStyle w:val="0"/>
              <w:jc w:val="both"/>
            </w:pPr>
            <w:r>
              <w:rPr>
                <w:sz w:val="20"/>
              </w:rPr>
              <w:t xml:space="preserve">9.1.</w:t>
            </w:r>
          </w:p>
        </w:tc>
        <w:tc>
          <w:tcPr>
            <w:tcW w:w="5613" w:type="dxa"/>
          </w:tcPr>
          <w:p>
            <w:pPr>
              <w:pStyle w:val="0"/>
              <w:jc w:val="both"/>
            </w:pPr>
            <w:r>
              <w:rPr>
                <w:sz w:val="20"/>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9.2.</w:t>
            </w:r>
          </w:p>
        </w:tc>
        <w:tc>
          <w:tcPr>
            <w:tcW w:w="5613" w:type="dxa"/>
          </w:tcPr>
          <w:p>
            <w:pPr>
              <w:pStyle w:val="0"/>
              <w:jc w:val="both"/>
            </w:pPr>
            <w:r>
              <w:rPr>
                <w:sz w:val="20"/>
              </w:rPr>
              <w:t xml:space="preserve">Коэффициент совместительства в отделении ранней медицинской реабилитации или детском реабилитационном отделении</w:t>
            </w:r>
          </w:p>
        </w:tc>
        <w:tc>
          <w:tcPr>
            <w:tcW w:w="2608" w:type="dxa"/>
          </w:tcPr>
          <w:p>
            <w:pPr>
              <w:pStyle w:val="0"/>
              <w:jc w:val="center"/>
            </w:pPr>
            <w:r>
              <w:rPr>
                <w:sz w:val="20"/>
              </w:rPr>
              <w:t xml:space="preserve">-</w:t>
            </w:r>
          </w:p>
        </w:tc>
      </w:tr>
      <w:tr>
        <w:tc>
          <w:tcPr>
            <w:tcW w:w="850" w:type="dxa"/>
          </w:tcPr>
          <w:p>
            <w:pPr>
              <w:pStyle w:val="0"/>
              <w:jc w:val="both"/>
            </w:pPr>
            <w:r>
              <w:rPr>
                <w:sz w:val="20"/>
              </w:rPr>
              <w:t xml:space="preserve">9.3.</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0</w:t>
            </w:r>
          </w:p>
        </w:tc>
      </w:tr>
      <w:tr>
        <w:tc>
          <w:tcPr>
            <w:tcW w:w="850" w:type="dxa"/>
          </w:tcPr>
          <w:p>
            <w:pPr>
              <w:pStyle w:val="0"/>
              <w:jc w:val="both"/>
            </w:pPr>
            <w:r>
              <w:rPr>
                <w:sz w:val="20"/>
              </w:rPr>
              <w:t xml:space="preserve">10.1.</w:t>
            </w:r>
          </w:p>
        </w:tc>
        <w:tc>
          <w:tcPr>
            <w:tcW w:w="5613" w:type="dxa"/>
          </w:tcPr>
          <w:p>
            <w:pPr>
              <w:pStyle w:val="0"/>
              <w:jc w:val="both"/>
            </w:pPr>
            <w:r>
              <w:rPr>
                <w:sz w:val="20"/>
              </w:rPr>
              <w:t xml:space="preserve">Наименование стационарного отделения медицинской реабилитации (для взрослых) &lt;**&gt;</w:t>
            </w:r>
          </w:p>
        </w:tc>
        <w:tc>
          <w:tcPr>
            <w:tcW w:w="2608" w:type="dxa"/>
          </w:tcPr>
          <w:p>
            <w:pPr>
              <w:pStyle w:val="0"/>
              <w:jc w:val="both"/>
            </w:pPr>
            <w:r>
              <w:rPr>
                <w:sz w:val="20"/>
              </w:rPr>
              <w:t xml:space="preserve">Нет</w:t>
            </w:r>
          </w:p>
        </w:tc>
      </w:tr>
      <w:tr>
        <w:tc>
          <w:tcPr>
            <w:tcW w:w="850" w:type="dxa"/>
          </w:tcPr>
          <w:p>
            <w:pPr>
              <w:pStyle w:val="0"/>
              <w:jc w:val="both"/>
            </w:pPr>
            <w:r>
              <w:rPr>
                <w:sz w:val="20"/>
              </w:rPr>
              <w:t xml:space="preserve">10.1.1.</w:t>
            </w:r>
          </w:p>
        </w:tc>
        <w:tc>
          <w:tcPr>
            <w:tcW w:w="5613" w:type="dxa"/>
          </w:tcPr>
          <w:p>
            <w:pPr>
              <w:pStyle w:val="0"/>
              <w:jc w:val="both"/>
            </w:pPr>
            <w:r>
              <w:rPr>
                <w:sz w:val="20"/>
              </w:rPr>
              <w:t xml:space="preserve">Коечная мощность (указать профиль и число стационарных реабилитационных коек по состоянию на 01.01.2023)</w:t>
            </w:r>
          </w:p>
        </w:tc>
        <w:tc>
          <w:tcPr>
            <w:tcW w:w="2608" w:type="dxa"/>
          </w:tcPr>
          <w:p>
            <w:pPr>
              <w:pStyle w:val="0"/>
              <w:jc w:val="center"/>
            </w:pPr>
            <w:r>
              <w:rPr>
                <w:sz w:val="20"/>
              </w:rPr>
              <w:t xml:space="preserve">0</w:t>
            </w:r>
          </w:p>
        </w:tc>
      </w:tr>
      <w:tr>
        <w:tc>
          <w:tcPr>
            <w:tcW w:w="850" w:type="dxa"/>
          </w:tcPr>
          <w:p>
            <w:pPr>
              <w:pStyle w:val="0"/>
              <w:jc w:val="both"/>
            </w:pPr>
            <w:r>
              <w:rPr>
                <w:sz w:val="20"/>
              </w:rPr>
              <w:t xml:space="preserve">10.1.2.</w:t>
            </w:r>
          </w:p>
        </w:tc>
        <w:tc>
          <w:tcPr>
            <w:tcW w:w="5613" w:type="dxa"/>
          </w:tcPr>
          <w:p>
            <w:pPr>
              <w:pStyle w:val="0"/>
              <w:jc w:val="both"/>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10.1.3.</w:t>
            </w:r>
          </w:p>
        </w:tc>
        <w:tc>
          <w:tcPr>
            <w:tcW w:w="5613" w:type="dxa"/>
          </w:tcPr>
          <w:p>
            <w:pPr>
              <w:pStyle w:val="0"/>
              <w:jc w:val="both"/>
            </w:pPr>
            <w:r>
              <w:rPr>
                <w:sz w:val="20"/>
              </w:rPr>
              <w:t xml:space="preserve">Коэффициент совместительства в стационарном отделении медицинской реабилитации (для взрослых)</w:t>
            </w:r>
          </w:p>
        </w:tc>
        <w:tc>
          <w:tcPr>
            <w:tcW w:w="2608" w:type="dxa"/>
          </w:tcPr>
          <w:p>
            <w:pPr>
              <w:pStyle w:val="0"/>
              <w:jc w:val="center"/>
            </w:pPr>
            <w:r>
              <w:rPr>
                <w:sz w:val="20"/>
              </w:rPr>
              <w:t xml:space="preserve">-</w:t>
            </w:r>
          </w:p>
        </w:tc>
      </w:tr>
      <w:tr>
        <w:tc>
          <w:tcPr>
            <w:tcW w:w="850" w:type="dxa"/>
          </w:tcPr>
          <w:p>
            <w:pPr>
              <w:pStyle w:val="0"/>
              <w:jc w:val="both"/>
            </w:pPr>
            <w:r>
              <w:rPr>
                <w:sz w:val="20"/>
              </w:rPr>
              <w:t xml:space="preserve">10.1.4.</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w:t>
            </w:r>
          </w:p>
        </w:tc>
      </w:tr>
      <w:tr>
        <w:tc>
          <w:tcPr>
            <w:tcW w:w="850" w:type="dxa"/>
          </w:tcPr>
          <w:p>
            <w:pPr>
              <w:pStyle w:val="0"/>
              <w:jc w:val="both"/>
            </w:pPr>
            <w:r>
              <w:rPr>
                <w:sz w:val="20"/>
              </w:rPr>
              <w:t xml:space="preserve">10.2.</w:t>
            </w:r>
          </w:p>
        </w:tc>
        <w:tc>
          <w:tcPr>
            <w:tcW w:w="5613" w:type="dxa"/>
          </w:tcPr>
          <w:p>
            <w:pPr>
              <w:pStyle w:val="0"/>
              <w:jc w:val="both"/>
            </w:pPr>
            <w:r>
              <w:rPr>
                <w:sz w:val="20"/>
              </w:rPr>
              <w:t xml:space="preserve">Наименование стационарного отделения медицинской реабилитации (для взрослых) &lt;**&gt;</w:t>
            </w:r>
          </w:p>
        </w:tc>
        <w:tc>
          <w:tcPr>
            <w:tcW w:w="2608" w:type="dxa"/>
          </w:tcPr>
          <w:p>
            <w:pPr>
              <w:pStyle w:val="0"/>
              <w:jc w:val="center"/>
            </w:pPr>
            <w:r>
              <w:rPr>
                <w:sz w:val="20"/>
              </w:rPr>
              <w:t xml:space="preserve">-</w:t>
            </w:r>
          </w:p>
        </w:tc>
      </w:tr>
      <w:tr>
        <w:tc>
          <w:tcPr>
            <w:tcW w:w="850" w:type="dxa"/>
          </w:tcPr>
          <w:p>
            <w:pPr>
              <w:pStyle w:val="0"/>
              <w:jc w:val="both"/>
            </w:pPr>
            <w:r>
              <w:rPr>
                <w:sz w:val="20"/>
              </w:rPr>
              <w:t xml:space="preserve">10.2.1.</w:t>
            </w:r>
          </w:p>
        </w:tc>
        <w:tc>
          <w:tcPr>
            <w:tcW w:w="5613" w:type="dxa"/>
          </w:tcPr>
          <w:p>
            <w:pPr>
              <w:pStyle w:val="0"/>
              <w:jc w:val="both"/>
            </w:pPr>
            <w:r>
              <w:rPr>
                <w:sz w:val="20"/>
              </w:rPr>
              <w:t xml:space="preserve">Коечная мощность (указать профиль и число стационарных реабилитационных коек по состоянию на 01.01.2023)</w:t>
            </w:r>
          </w:p>
        </w:tc>
        <w:tc>
          <w:tcPr>
            <w:tcW w:w="2608" w:type="dxa"/>
          </w:tcPr>
          <w:p>
            <w:pPr>
              <w:pStyle w:val="0"/>
              <w:jc w:val="center"/>
            </w:pPr>
            <w:r>
              <w:rPr>
                <w:sz w:val="20"/>
              </w:rPr>
              <w:t xml:space="preserve">-</w:t>
            </w:r>
          </w:p>
        </w:tc>
      </w:tr>
      <w:tr>
        <w:tc>
          <w:tcPr>
            <w:tcW w:w="850" w:type="dxa"/>
          </w:tcPr>
          <w:p>
            <w:pPr>
              <w:pStyle w:val="0"/>
              <w:jc w:val="both"/>
            </w:pPr>
            <w:r>
              <w:rPr>
                <w:sz w:val="20"/>
              </w:rPr>
              <w:t xml:space="preserve">10.2.2.</w:t>
            </w:r>
          </w:p>
        </w:tc>
        <w:tc>
          <w:tcPr>
            <w:tcW w:w="5613" w:type="dxa"/>
          </w:tcPr>
          <w:p>
            <w:pPr>
              <w:pStyle w:val="0"/>
              <w:jc w:val="both"/>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10.2.3.</w:t>
            </w:r>
          </w:p>
        </w:tc>
        <w:tc>
          <w:tcPr>
            <w:tcW w:w="5613" w:type="dxa"/>
          </w:tcPr>
          <w:p>
            <w:pPr>
              <w:pStyle w:val="0"/>
              <w:jc w:val="both"/>
            </w:pPr>
            <w:r>
              <w:rPr>
                <w:sz w:val="20"/>
              </w:rPr>
              <w:t xml:space="preserve">Коэффициент совместительства в стационарном отделении медицинской реабилитации (для взрослых)</w:t>
            </w:r>
          </w:p>
        </w:tc>
        <w:tc>
          <w:tcPr>
            <w:tcW w:w="2608" w:type="dxa"/>
          </w:tcPr>
          <w:p>
            <w:pPr>
              <w:pStyle w:val="0"/>
              <w:jc w:val="center"/>
            </w:pPr>
            <w:r>
              <w:rPr>
                <w:sz w:val="20"/>
              </w:rPr>
              <w:t xml:space="preserve">-</w:t>
            </w:r>
          </w:p>
        </w:tc>
      </w:tr>
      <w:tr>
        <w:tc>
          <w:tcPr>
            <w:tcW w:w="850" w:type="dxa"/>
          </w:tcPr>
          <w:p>
            <w:pPr>
              <w:pStyle w:val="0"/>
              <w:jc w:val="both"/>
            </w:pPr>
            <w:r>
              <w:rPr>
                <w:sz w:val="20"/>
              </w:rPr>
              <w:t xml:space="preserve">10.2.4.</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w:t>
            </w:r>
          </w:p>
        </w:tc>
      </w:tr>
      <w:tr>
        <w:tc>
          <w:tcPr>
            <w:tcW w:w="850" w:type="dxa"/>
          </w:tcPr>
          <w:p>
            <w:pPr>
              <w:pStyle w:val="0"/>
              <w:jc w:val="both"/>
            </w:pPr>
            <w:r>
              <w:rPr>
                <w:sz w:val="20"/>
              </w:rPr>
              <w:t xml:space="preserve">11.</w:t>
            </w:r>
          </w:p>
        </w:tc>
        <w:tc>
          <w:tcPr>
            <w:tcW w:w="5613" w:type="dxa"/>
          </w:tcPr>
          <w:p>
            <w:pPr>
              <w:pStyle w:val="0"/>
              <w:jc w:val="both"/>
            </w:pPr>
            <w:r>
              <w:rPr>
                <w:sz w:val="20"/>
              </w:rPr>
              <w:t xml:space="preserve">Наличие дневного стационара медицинской реабилитации (для взрослых) (да/нет)</w:t>
            </w:r>
          </w:p>
        </w:tc>
        <w:tc>
          <w:tcPr>
            <w:tcW w:w="2608" w:type="dxa"/>
          </w:tcPr>
          <w:p>
            <w:pPr>
              <w:pStyle w:val="0"/>
              <w:jc w:val="center"/>
            </w:pPr>
            <w:r>
              <w:rPr>
                <w:sz w:val="20"/>
              </w:rPr>
              <w:t xml:space="preserve">-</w:t>
            </w:r>
          </w:p>
        </w:tc>
      </w:tr>
      <w:tr>
        <w:tc>
          <w:tcPr>
            <w:tcW w:w="850" w:type="dxa"/>
          </w:tcPr>
          <w:p>
            <w:pPr>
              <w:pStyle w:val="0"/>
              <w:jc w:val="both"/>
            </w:pPr>
            <w:r>
              <w:rPr>
                <w:sz w:val="20"/>
              </w:rPr>
              <w:t xml:space="preserve">11.1.</w:t>
            </w:r>
          </w:p>
        </w:tc>
        <w:tc>
          <w:tcPr>
            <w:tcW w:w="5613" w:type="dxa"/>
          </w:tcPr>
          <w:p>
            <w:pPr>
              <w:pStyle w:val="0"/>
              <w:jc w:val="both"/>
            </w:pPr>
            <w:r>
              <w:rPr>
                <w:sz w:val="20"/>
              </w:rPr>
              <w:t xml:space="preserve">Коечная мощность (указать число реабилитационных коек дневного стационара по состоянию на 01.01.2023)</w:t>
            </w:r>
          </w:p>
        </w:tc>
        <w:tc>
          <w:tcPr>
            <w:tcW w:w="2608" w:type="dxa"/>
          </w:tcPr>
          <w:p>
            <w:pPr>
              <w:pStyle w:val="0"/>
              <w:jc w:val="center"/>
            </w:pPr>
            <w:r>
              <w:rPr>
                <w:sz w:val="20"/>
              </w:rPr>
              <w:t xml:space="preserve">-</w:t>
            </w:r>
          </w:p>
        </w:tc>
      </w:tr>
      <w:tr>
        <w:tc>
          <w:tcPr>
            <w:tcW w:w="850" w:type="dxa"/>
          </w:tcPr>
          <w:p>
            <w:pPr>
              <w:pStyle w:val="0"/>
              <w:jc w:val="both"/>
            </w:pPr>
            <w:r>
              <w:rPr>
                <w:sz w:val="20"/>
              </w:rPr>
              <w:t xml:space="preserve">11.2.</w:t>
            </w:r>
          </w:p>
        </w:tc>
        <w:tc>
          <w:tcPr>
            <w:tcW w:w="5613" w:type="dxa"/>
          </w:tcPr>
          <w:p>
            <w:pPr>
              <w:pStyle w:val="0"/>
              <w:jc w:val="both"/>
            </w:pPr>
            <w:r>
              <w:rPr>
                <w:sz w:val="20"/>
              </w:rPr>
              <w:t xml:space="preserve">Укомплектованность кадрами дневного стационара медицинской реабилитации (для взрослых)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11.3.</w:t>
            </w:r>
          </w:p>
        </w:tc>
        <w:tc>
          <w:tcPr>
            <w:tcW w:w="5613" w:type="dxa"/>
          </w:tcPr>
          <w:p>
            <w:pPr>
              <w:pStyle w:val="0"/>
              <w:jc w:val="both"/>
            </w:pPr>
            <w:r>
              <w:rPr>
                <w:sz w:val="20"/>
              </w:rPr>
              <w:t xml:space="preserve">Коэффициент совместительства в дневном стационаре медицинской реабилитации (для взрослых)</w:t>
            </w:r>
          </w:p>
        </w:tc>
        <w:tc>
          <w:tcPr>
            <w:tcW w:w="2608" w:type="dxa"/>
          </w:tcPr>
          <w:p>
            <w:pPr>
              <w:pStyle w:val="0"/>
              <w:jc w:val="center"/>
            </w:pPr>
            <w:r>
              <w:rPr>
                <w:sz w:val="20"/>
              </w:rPr>
              <w:t xml:space="preserve">-</w:t>
            </w:r>
          </w:p>
        </w:tc>
      </w:tr>
      <w:tr>
        <w:tc>
          <w:tcPr>
            <w:tcW w:w="850" w:type="dxa"/>
          </w:tcPr>
          <w:p>
            <w:pPr>
              <w:pStyle w:val="0"/>
              <w:jc w:val="both"/>
            </w:pPr>
            <w:r>
              <w:rPr>
                <w:sz w:val="20"/>
              </w:rPr>
              <w:t xml:space="preserve">11.4.</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0</w:t>
            </w:r>
          </w:p>
        </w:tc>
      </w:tr>
      <w:tr>
        <w:tc>
          <w:tcPr>
            <w:tcW w:w="850" w:type="dxa"/>
          </w:tcPr>
          <w:p>
            <w:pPr>
              <w:pStyle w:val="0"/>
              <w:jc w:val="both"/>
            </w:pPr>
            <w:r>
              <w:rPr>
                <w:sz w:val="20"/>
              </w:rPr>
              <w:t xml:space="preserve">12.</w:t>
            </w:r>
          </w:p>
        </w:tc>
        <w:tc>
          <w:tcPr>
            <w:tcW w:w="5613" w:type="dxa"/>
          </w:tcPr>
          <w:p>
            <w:pPr>
              <w:pStyle w:val="0"/>
              <w:jc w:val="both"/>
            </w:pPr>
            <w:r>
              <w:rPr>
                <w:sz w:val="20"/>
              </w:rPr>
              <w:t xml:space="preserve">Наименование отделения по медицинской реабилитации для детей (оказывающего медицинскую реабилитацию в стационарных условиях и (или) условиях дневного стационара) &lt;***&gt;</w:t>
            </w:r>
          </w:p>
        </w:tc>
        <w:tc>
          <w:tcPr>
            <w:tcW w:w="2608" w:type="dxa"/>
          </w:tcPr>
          <w:p>
            <w:pPr>
              <w:pStyle w:val="0"/>
              <w:jc w:val="center"/>
            </w:pPr>
            <w:r>
              <w:rPr>
                <w:sz w:val="20"/>
              </w:rPr>
              <w:t xml:space="preserve">-</w:t>
            </w:r>
          </w:p>
        </w:tc>
      </w:tr>
      <w:tr>
        <w:tc>
          <w:tcPr>
            <w:tcW w:w="850" w:type="dxa"/>
          </w:tcPr>
          <w:p>
            <w:pPr>
              <w:pStyle w:val="0"/>
              <w:jc w:val="both"/>
            </w:pPr>
            <w:r>
              <w:rPr>
                <w:sz w:val="20"/>
              </w:rPr>
              <w:t xml:space="preserve">12.1.</w:t>
            </w:r>
          </w:p>
        </w:tc>
        <w:tc>
          <w:tcPr>
            <w:tcW w:w="5613" w:type="dxa"/>
          </w:tcPr>
          <w:p>
            <w:pPr>
              <w:pStyle w:val="0"/>
              <w:jc w:val="both"/>
            </w:pPr>
            <w:r>
              <w:rPr>
                <w:sz w:val="20"/>
              </w:rPr>
              <w:t xml:space="preserve">Число и профиль круглосуточных коек (по состоянию на 01.01.2023)</w:t>
            </w:r>
          </w:p>
        </w:tc>
        <w:tc>
          <w:tcPr>
            <w:tcW w:w="2608" w:type="dxa"/>
          </w:tcPr>
          <w:p>
            <w:pPr>
              <w:pStyle w:val="0"/>
              <w:jc w:val="center"/>
            </w:pPr>
            <w:r>
              <w:rPr>
                <w:sz w:val="20"/>
              </w:rPr>
              <w:t xml:space="preserve">-</w:t>
            </w:r>
          </w:p>
        </w:tc>
      </w:tr>
      <w:tr>
        <w:tc>
          <w:tcPr>
            <w:tcW w:w="850" w:type="dxa"/>
          </w:tcPr>
          <w:p>
            <w:pPr>
              <w:pStyle w:val="0"/>
              <w:jc w:val="both"/>
            </w:pPr>
            <w:r>
              <w:rPr>
                <w:sz w:val="20"/>
              </w:rPr>
              <w:t xml:space="preserve">12.2.</w:t>
            </w:r>
          </w:p>
        </w:tc>
        <w:tc>
          <w:tcPr>
            <w:tcW w:w="5613" w:type="dxa"/>
          </w:tcPr>
          <w:p>
            <w:pPr>
              <w:pStyle w:val="0"/>
              <w:jc w:val="both"/>
            </w:pPr>
            <w:r>
              <w:rPr>
                <w:sz w:val="20"/>
              </w:rPr>
              <w:t xml:space="preserve">Число реабилитационных коек дневного стационара (по состоянию на 01.01.2023)</w:t>
            </w:r>
          </w:p>
        </w:tc>
        <w:tc>
          <w:tcPr>
            <w:tcW w:w="2608" w:type="dxa"/>
          </w:tcPr>
          <w:p>
            <w:pPr>
              <w:pStyle w:val="0"/>
              <w:jc w:val="center"/>
            </w:pPr>
            <w:r>
              <w:rPr>
                <w:sz w:val="20"/>
              </w:rPr>
              <w:t xml:space="preserve">-</w:t>
            </w:r>
          </w:p>
        </w:tc>
      </w:tr>
      <w:tr>
        <w:tc>
          <w:tcPr>
            <w:tcW w:w="850" w:type="dxa"/>
          </w:tcPr>
          <w:p>
            <w:pPr>
              <w:pStyle w:val="0"/>
              <w:jc w:val="both"/>
            </w:pPr>
            <w:r>
              <w:rPr>
                <w:sz w:val="20"/>
              </w:rPr>
              <w:t xml:space="preserve">12.3.</w:t>
            </w:r>
          </w:p>
        </w:tc>
        <w:tc>
          <w:tcPr>
            <w:tcW w:w="5613" w:type="dxa"/>
          </w:tcPr>
          <w:p>
            <w:pPr>
              <w:pStyle w:val="0"/>
              <w:jc w:val="both"/>
            </w:pPr>
            <w:r>
              <w:rPr>
                <w:sz w:val="20"/>
              </w:rPr>
              <w:t xml:space="preserve">Укомплектованность кадрами отделения по медицинской реабилитации для детей (оказывающего медицинскую реабилитацию в стационарных условиях и (или) условиях дневного стационара)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12.4.</w:t>
            </w:r>
          </w:p>
        </w:tc>
        <w:tc>
          <w:tcPr>
            <w:tcW w:w="5613" w:type="dxa"/>
          </w:tcPr>
          <w:p>
            <w:pPr>
              <w:pStyle w:val="0"/>
              <w:jc w:val="both"/>
            </w:pPr>
            <w:r>
              <w:rPr>
                <w:sz w:val="20"/>
              </w:rPr>
              <w:t xml:space="preserve">Коэффициент совместительства в отделении по медицинской реабилитации для детей (оказывающем медицинскую реабилитацию в стационарных условиях и (или) условиях дневного стационара)</w:t>
            </w:r>
          </w:p>
        </w:tc>
        <w:tc>
          <w:tcPr>
            <w:tcW w:w="2608" w:type="dxa"/>
          </w:tcPr>
          <w:p>
            <w:pPr>
              <w:pStyle w:val="0"/>
              <w:jc w:val="center"/>
            </w:pPr>
            <w:r>
              <w:rPr>
                <w:sz w:val="20"/>
              </w:rPr>
              <w:t xml:space="preserve">-</w:t>
            </w:r>
          </w:p>
        </w:tc>
      </w:tr>
      <w:tr>
        <w:tc>
          <w:tcPr>
            <w:tcW w:w="850" w:type="dxa"/>
          </w:tcPr>
          <w:p>
            <w:pPr>
              <w:pStyle w:val="0"/>
              <w:jc w:val="both"/>
            </w:pPr>
            <w:r>
              <w:rPr>
                <w:sz w:val="20"/>
              </w:rPr>
              <w:t xml:space="preserve">12.5.</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w:t>
            </w:r>
          </w:p>
        </w:tc>
      </w:tr>
      <w:tr>
        <w:tc>
          <w:tcPr>
            <w:tcW w:w="850" w:type="dxa"/>
          </w:tcPr>
          <w:p>
            <w:pPr>
              <w:pStyle w:val="0"/>
              <w:jc w:val="both"/>
            </w:pPr>
            <w:r>
              <w:rPr>
                <w:sz w:val="20"/>
              </w:rPr>
              <w:t xml:space="preserve">13.</w:t>
            </w:r>
          </w:p>
        </w:tc>
        <w:tc>
          <w:tcPr>
            <w:tcW w:w="5613" w:type="dxa"/>
          </w:tcPr>
          <w:p>
            <w:pPr>
              <w:pStyle w:val="0"/>
              <w:jc w:val="both"/>
            </w:pPr>
            <w:r>
              <w:rPr>
                <w:sz w:val="20"/>
              </w:rPr>
              <w:t xml:space="preserve">Наличие амбулаторного отделения медицинской реабилитации</w:t>
            </w:r>
          </w:p>
        </w:tc>
        <w:tc>
          <w:tcPr>
            <w:tcW w:w="2608" w:type="dxa"/>
          </w:tcPr>
          <w:p>
            <w:pPr>
              <w:pStyle w:val="0"/>
              <w:jc w:val="both"/>
            </w:pPr>
            <w:r>
              <w:rPr>
                <w:sz w:val="20"/>
              </w:rPr>
              <w:t xml:space="preserve">Да</w:t>
            </w:r>
          </w:p>
        </w:tc>
      </w:tr>
      <w:tr>
        <w:tc>
          <w:tcPr>
            <w:tcW w:w="850" w:type="dxa"/>
          </w:tcPr>
          <w:p>
            <w:pPr>
              <w:pStyle w:val="0"/>
              <w:jc w:val="both"/>
            </w:pPr>
            <w:r>
              <w:rPr>
                <w:sz w:val="20"/>
              </w:rPr>
              <w:t xml:space="preserve">13.1.</w:t>
            </w:r>
          </w:p>
        </w:tc>
        <w:tc>
          <w:tcPr>
            <w:tcW w:w="5613" w:type="dxa"/>
          </w:tcPr>
          <w:p>
            <w:pPr>
              <w:pStyle w:val="0"/>
              <w:jc w:val="both"/>
            </w:pPr>
            <w:r>
              <w:rPr>
                <w:sz w:val="20"/>
              </w:rPr>
              <w:t xml:space="preserve">Число посещений в смену</w:t>
            </w:r>
          </w:p>
        </w:tc>
        <w:tc>
          <w:tcPr>
            <w:tcW w:w="2608" w:type="dxa"/>
          </w:tcPr>
          <w:p>
            <w:pPr>
              <w:pStyle w:val="0"/>
              <w:jc w:val="center"/>
            </w:pPr>
            <w:r>
              <w:rPr>
                <w:sz w:val="20"/>
              </w:rPr>
              <w:t xml:space="preserve">30</w:t>
            </w:r>
          </w:p>
        </w:tc>
      </w:tr>
      <w:tr>
        <w:tc>
          <w:tcPr>
            <w:tcW w:w="850" w:type="dxa"/>
          </w:tcPr>
          <w:p>
            <w:pPr>
              <w:pStyle w:val="0"/>
              <w:jc w:val="both"/>
            </w:pPr>
            <w:r>
              <w:rPr>
                <w:sz w:val="20"/>
              </w:rPr>
              <w:t xml:space="preserve">13.2.</w:t>
            </w:r>
          </w:p>
        </w:tc>
        <w:tc>
          <w:tcPr>
            <w:tcW w:w="5613" w:type="dxa"/>
          </w:tcPr>
          <w:p>
            <w:pPr>
              <w:pStyle w:val="0"/>
              <w:jc w:val="both"/>
            </w:pPr>
            <w:r>
              <w:rPr>
                <w:sz w:val="20"/>
              </w:rPr>
              <w:t xml:space="preserve">Укомплектованность кадрами амбулаторного отделения медицинской реабилитации с учетом совместительства (%)</w:t>
            </w:r>
          </w:p>
        </w:tc>
        <w:tc>
          <w:tcPr>
            <w:tcW w:w="2608" w:type="dxa"/>
          </w:tcPr>
          <w:p>
            <w:pPr>
              <w:pStyle w:val="0"/>
              <w:jc w:val="both"/>
            </w:pPr>
            <w:r>
              <w:rPr>
                <w:sz w:val="20"/>
              </w:rPr>
              <w:t xml:space="preserve">70%</w:t>
            </w:r>
          </w:p>
        </w:tc>
      </w:tr>
      <w:tr>
        <w:tc>
          <w:tcPr>
            <w:tcW w:w="850" w:type="dxa"/>
          </w:tcPr>
          <w:p>
            <w:pPr>
              <w:pStyle w:val="0"/>
              <w:jc w:val="both"/>
            </w:pPr>
            <w:r>
              <w:rPr>
                <w:sz w:val="20"/>
              </w:rPr>
              <w:t xml:space="preserve">13.3.</w:t>
            </w:r>
          </w:p>
        </w:tc>
        <w:tc>
          <w:tcPr>
            <w:tcW w:w="5613" w:type="dxa"/>
          </w:tcPr>
          <w:p>
            <w:pPr>
              <w:pStyle w:val="0"/>
              <w:jc w:val="both"/>
            </w:pPr>
            <w:r>
              <w:rPr>
                <w:sz w:val="20"/>
              </w:rPr>
              <w:t xml:space="preserve">Коэффициент совместительства в амбулаторном отделении медицинской реабилитации</w:t>
            </w:r>
          </w:p>
        </w:tc>
        <w:tc>
          <w:tcPr>
            <w:tcW w:w="2608" w:type="dxa"/>
          </w:tcPr>
          <w:p>
            <w:pPr>
              <w:pStyle w:val="0"/>
              <w:jc w:val="center"/>
            </w:pPr>
            <w:r>
              <w:rPr>
                <w:sz w:val="20"/>
              </w:rPr>
              <w:t xml:space="preserve">25</w:t>
            </w:r>
          </w:p>
        </w:tc>
      </w:tr>
      <w:tr>
        <w:tc>
          <w:tcPr>
            <w:tcW w:w="850" w:type="dxa"/>
          </w:tcPr>
          <w:p>
            <w:pPr>
              <w:pStyle w:val="0"/>
              <w:jc w:val="both"/>
            </w:pPr>
            <w:r>
              <w:rPr>
                <w:sz w:val="20"/>
              </w:rPr>
              <w:t xml:space="preserve">13.4.</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both"/>
            </w:pPr>
            <w:r>
              <w:rPr>
                <w:sz w:val="20"/>
              </w:rPr>
              <w:t xml:space="preserve">10%</w:t>
            </w:r>
          </w:p>
        </w:tc>
      </w:tr>
    </w:tbl>
    <w:p>
      <w:pPr>
        <w:pStyle w:val="0"/>
        <w:ind w:firstLine="540"/>
        <w:jc w:val="both"/>
      </w:pPr>
      <w:r>
        <w:rPr>
          <w:sz w:val="20"/>
        </w:rPr>
      </w:r>
    </w:p>
    <w:p>
      <w:pPr>
        <w:pStyle w:val="0"/>
        <w:jc w:val="right"/>
      </w:pPr>
      <w:r>
        <w:rPr>
          <w:sz w:val="20"/>
        </w:rPr>
        <w:t xml:space="preserve">Таблица 13</w:t>
      </w:r>
    </w:p>
    <w:p>
      <w:pPr>
        <w:pStyle w:val="0"/>
      </w:pPr>
      <w:r>
        <w:rPr>
          <w:sz w:val="20"/>
        </w:rPr>
      </w:r>
    </w:p>
    <w:p>
      <w:pPr>
        <w:pStyle w:val="0"/>
        <w:jc w:val="center"/>
      </w:pPr>
      <w:r>
        <w:rPr>
          <w:sz w:val="20"/>
        </w:rPr>
        <w:t xml:space="preserve">ГБ N 9</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5613"/>
        <w:gridCol w:w="2608"/>
      </w:tblGrid>
      <w:tr>
        <w:tc>
          <w:tcPr>
            <w:tcW w:w="850" w:type="dxa"/>
          </w:tcPr>
          <w:p>
            <w:pPr>
              <w:pStyle w:val="0"/>
              <w:jc w:val="both"/>
            </w:pPr>
            <w:r>
              <w:rPr>
                <w:sz w:val="20"/>
              </w:rPr>
              <w:t xml:space="preserve">1.</w:t>
            </w:r>
          </w:p>
        </w:tc>
        <w:tc>
          <w:tcPr>
            <w:tcW w:w="5613" w:type="dxa"/>
          </w:tcPr>
          <w:p>
            <w:pPr>
              <w:pStyle w:val="0"/>
              <w:jc w:val="both"/>
            </w:pPr>
            <w:r>
              <w:rPr>
                <w:sz w:val="20"/>
              </w:rPr>
              <w:t xml:space="preserve">Полное наименование медицинской организации</w:t>
            </w:r>
          </w:p>
        </w:tc>
        <w:tc>
          <w:tcPr>
            <w:tcW w:w="2608" w:type="dxa"/>
          </w:tcPr>
          <w:p>
            <w:pPr>
              <w:pStyle w:val="0"/>
              <w:jc w:val="both"/>
            </w:pPr>
            <w:r>
              <w:rPr>
                <w:sz w:val="20"/>
              </w:rPr>
              <w:t xml:space="preserve">ГБ N 9</w:t>
            </w:r>
          </w:p>
        </w:tc>
      </w:tr>
      <w:tr>
        <w:tc>
          <w:tcPr>
            <w:tcW w:w="850" w:type="dxa"/>
          </w:tcPr>
          <w:p>
            <w:pPr>
              <w:pStyle w:val="0"/>
              <w:jc w:val="both"/>
            </w:pPr>
            <w:r>
              <w:rPr>
                <w:sz w:val="20"/>
              </w:rPr>
              <w:t xml:space="preserve">2.</w:t>
            </w:r>
          </w:p>
        </w:tc>
        <w:tc>
          <w:tcPr>
            <w:tcW w:w="5613" w:type="dxa"/>
          </w:tcPr>
          <w:p>
            <w:pPr>
              <w:pStyle w:val="0"/>
              <w:jc w:val="both"/>
            </w:pPr>
            <w:r>
              <w:rPr>
                <w:sz w:val="20"/>
              </w:rPr>
              <w:t xml:space="preserve">Наличие лицензии (указать работы (услуги) по медицинской реабилитации)</w:t>
            </w:r>
          </w:p>
        </w:tc>
        <w:tc>
          <w:tcPr>
            <w:tcW w:w="2608" w:type="dxa"/>
          </w:tcPr>
          <w:p>
            <w:pPr>
              <w:pStyle w:val="0"/>
              <w:jc w:val="both"/>
            </w:pPr>
            <w:r>
              <w:rPr>
                <w:sz w:val="20"/>
              </w:rPr>
              <w:t xml:space="preserve">Уведомление</w:t>
            </w:r>
          </w:p>
        </w:tc>
      </w:tr>
      <w:tr>
        <w:tc>
          <w:tcPr>
            <w:tcW w:w="850" w:type="dxa"/>
          </w:tcPr>
          <w:p>
            <w:pPr>
              <w:pStyle w:val="0"/>
              <w:jc w:val="both"/>
            </w:pPr>
            <w:r>
              <w:rPr>
                <w:sz w:val="20"/>
              </w:rPr>
              <w:t xml:space="preserve">3.</w:t>
            </w:r>
          </w:p>
        </w:tc>
        <w:tc>
          <w:tcPr>
            <w:tcW w:w="5613" w:type="dxa"/>
          </w:tcPr>
          <w:p>
            <w:pPr>
              <w:pStyle w:val="0"/>
              <w:jc w:val="both"/>
            </w:pPr>
            <w:r>
              <w:rPr>
                <w:sz w:val="20"/>
              </w:rPr>
              <w:t xml:space="preserve">Группа медицинской организации (1, 2, 3)</w:t>
            </w:r>
          </w:p>
        </w:tc>
        <w:tc>
          <w:tcPr>
            <w:tcW w:w="2608" w:type="dxa"/>
          </w:tcPr>
          <w:p>
            <w:pPr>
              <w:pStyle w:val="0"/>
              <w:jc w:val="center"/>
            </w:pPr>
            <w:r>
              <w:rPr>
                <w:sz w:val="20"/>
              </w:rPr>
              <w:t xml:space="preserve">2</w:t>
            </w:r>
          </w:p>
        </w:tc>
      </w:tr>
      <w:tr>
        <w:tc>
          <w:tcPr>
            <w:tcW w:w="850" w:type="dxa"/>
          </w:tcPr>
          <w:p>
            <w:pPr>
              <w:pStyle w:val="0"/>
              <w:jc w:val="both"/>
            </w:pPr>
            <w:r>
              <w:rPr>
                <w:sz w:val="20"/>
              </w:rPr>
              <w:t xml:space="preserve">4.</w:t>
            </w:r>
          </w:p>
        </w:tc>
        <w:tc>
          <w:tcPr>
            <w:tcW w:w="5613" w:type="dxa"/>
          </w:tcPr>
          <w:p>
            <w:pPr>
              <w:pStyle w:val="0"/>
              <w:jc w:val="both"/>
            </w:pPr>
            <w:r>
              <w:rPr>
                <w:sz w:val="20"/>
              </w:rPr>
              <w:t xml:space="preserve">Медицинская организация является "якорной" по профилю "медицинская реабилитация" (да/нет)</w:t>
            </w:r>
          </w:p>
        </w:tc>
        <w:tc>
          <w:tcPr>
            <w:tcW w:w="2608" w:type="dxa"/>
          </w:tcPr>
          <w:p>
            <w:pPr>
              <w:pStyle w:val="0"/>
              <w:jc w:val="both"/>
            </w:pPr>
            <w:r>
              <w:rPr>
                <w:sz w:val="20"/>
              </w:rPr>
              <w:t xml:space="preserve">Да</w:t>
            </w:r>
          </w:p>
        </w:tc>
      </w:tr>
      <w:tr>
        <w:tc>
          <w:tcPr>
            <w:tcW w:w="850" w:type="dxa"/>
          </w:tcPr>
          <w:p>
            <w:pPr>
              <w:pStyle w:val="0"/>
              <w:jc w:val="both"/>
            </w:pPr>
            <w:r>
              <w:rPr>
                <w:sz w:val="20"/>
              </w:rPr>
              <w:t xml:space="preserve">5.</w:t>
            </w:r>
          </w:p>
        </w:tc>
        <w:tc>
          <w:tcPr>
            <w:tcW w:w="5613" w:type="dxa"/>
          </w:tcPr>
          <w:p>
            <w:pPr>
              <w:pStyle w:val="0"/>
              <w:jc w:val="both"/>
            </w:pPr>
            <w:r>
              <w:rPr>
                <w:sz w:val="20"/>
              </w:rPr>
              <w:t xml:space="preserve">Число прикрепленного населения (тыс. чел.) (при наличии)</w:t>
            </w:r>
          </w:p>
        </w:tc>
        <w:tc>
          <w:tcPr>
            <w:tcW w:w="2608" w:type="dxa"/>
          </w:tcPr>
          <w:p>
            <w:pPr>
              <w:pStyle w:val="0"/>
              <w:jc w:val="center"/>
            </w:pPr>
            <w:r>
              <w:rPr>
                <w:sz w:val="20"/>
              </w:rPr>
              <w:t xml:space="preserve">53500</w:t>
            </w:r>
          </w:p>
        </w:tc>
      </w:tr>
      <w:tr>
        <w:tc>
          <w:tcPr>
            <w:tcW w:w="850" w:type="dxa"/>
          </w:tcPr>
          <w:p>
            <w:pPr>
              <w:pStyle w:val="0"/>
              <w:jc w:val="both"/>
            </w:pPr>
            <w:r>
              <w:rPr>
                <w:sz w:val="20"/>
              </w:rPr>
              <w:t xml:space="preserve">6.</w:t>
            </w:r>
          </w:p>
        </w:tc>
        <w:tc>
          <w:tcPr>
            <w:tcW w:w="5613" w:type="dxa"/>
          </w:tcPr>
          <w:p>
            <w:pPr>
              <w:pStyle w:val="0"/>
              <w:jc w:val="both"/>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2608" w:type="dxa"/>
          </w:tcPr>
          <w:p>
            <w:pPr>
              <w:pStyle w:val="0"/>
              <w:jc w:val="both"/>
            </w:pPr>
            <w:r>
              <w:rPr>
                <w:sz w:val="20"/>
              </w:rPr>
              <w:t xml:space="preserve">2022 год, 2026 год</w:t>
            </w:r>
          </w:p>
        </w:tc>
      </w:tr>
      <w:tr>
        <w:tc>
          <w:tcPr>
            <w:tcW w:w="850" w:type="dxa"/>
          </w:tcPr>
          <w:p>
            <w:pPr>
              <w:pStyle w:val="0"/>
              <w:jc w:val="both"/>
            </w:pPr>
            <w:r>
              <w:rPr>
                <w:sz w:val="20"/>
              </w:rPr>
              <w:t xml:space="preserve">7.</w:t>
            </w:r>
          </w:p>
        </w:tc>
        <w:tc>
          <w:tcPr>
            <w:tcW w:w="5613" w:type="dxa"/>
          </w:tcPr>
          <w:p>
            <w:pPr>
              <w:pStyle w:val="0"/>
              <w:jc w:val="both"/>
            </w:pPr>
            <w:r>
              <w:rPr>
                <w:sz w:val="20"/>
              </w:rPr>
              <w:t xml:space="preserve">Коэффициент оснащенности медицинской организации на май 2023 г. (%)</w:t>
            </w:r>
          </w:p>
        </w:tc>
        <w:tc>
          <w:tcPr>
            <w:tcW w:w="2608" w:type="dxa"/>
          </w:tcPr>
          <w:p>
            <w:pPr>
              <w:pStyle w:val="0"/>
              <w:jc w:val="both"/>
            </w:pPr>
            <w:r>
              <w:rPr>
                <w:sz w:val="20"/>
              </w:rPr>
              <w:t xml:space="preserve">85%</w:t>
            </w:r>
          </w:p>
        </w:tc>
      </w:tr>
      <w:tr>
        <w:tc>
          <w:tcPr>
            <w:tcW w:w="850" w:type="dxa"/>
          </w:tcPr>
          <w:p>
            <w:pPr>
              <w:pStyle w:val="0"/>
              <w:jc w:val="both"/>
            </w:pPr>
            <w:r>
              <w:rPr>
                <w:sz w:val="20"/>
              </w:rPr>
              <w:t xml:space="preserve">8.</w:t>
            </w:r>
          </w:p>
        </w:tc>
        <w:tc>
          <w:tcPr>
            <w:tcW w:w="5613" w:type="dxa"/>
          </w:tcPr>
          <w:p>
            <w:pPr>
              <w:pStyle w:val="0"/>
              <w:jc w:val="both"/>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2608" w:type="dxa"/>
          </w:tcPr>
          <w:p>
            <w:pPr>
              <w:pStyle w:val="0"/>
              <w:jc w:val="both"/>
            </w:pPr>
            <w:r>
              <w:rPr>
                <w:sz w:val="20"/>
              </w:rPr>
              <w:t xml:space="preserve">Да</w:t>
            </w:r>
          </w:p>
        </w:tc>
      </w:tr>
      <w:tr>
        <w:tc>
          <w:tcPr>
            <w:tcW w:w="850" w:type="dxa"/>
          </w:tcPr>
          <w:p>
            <w:pPr>
              <w:pStyle w:val="0"/>
              <w:jc w:val="both"/>
            </w:pPr>
            <w:r>
              <w:rPr>
                <w:sz w:val="20"/>
              </w:rPr>
              <w:t xml:space="preserve">9.</w:t>
            </w:r>
          </w:p>
        </w:tc>
        <w:tc>
          <w:tcPr>
            <w:tcW w:w="5613" w:type="dxa"/>
          </w:tcPr>
          <w:p>
            <w:pPr>
              <w:pStyle w:val="0"/>
              <w:jc w:val="both"/>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 &lt;*&gt;</w:t>
            </w:r>
          </w:p>
        </w:tc>
        <w:tc>
          <w:tcPr>
            <w:tcW w:w="2608" w:type="dxa"/>
          </w:tcPr>
          <w:p>
            <w:pPr>
              <w:pStyle w:val="0"/>
              <w:jc w:val="both"/>
            </w:pPr>
            <w:r>
              <w:rPr>
                <w:sz w:val="20"/>
              </w:rPr>
              <w:t xml:space="preserve">Отделения реанимации, хирургии, терапии, травматологии</w:t>
            </w:r>
          </w:p>
        </w:tc>
      </w:tr>
      <w:tr>
        <w:tc>
          <w:tcPr>
            <w:tcW w:w="850" w:type="dxa"/>
          </w:tcPr>
          <w:p>
            <w:pPr>
              <w:pStyle w:val="0"/>
              <w:jc w:val="both"/>
            </w:pPr>
            <w:r>
              <w:rPr>
                <w:sz w:val="20"/>
              </w:rPr>
              <w:t xml:space="preserve">9.1.</w:t>
            </w:r>
          </w:p>
        </w:tc>
        <w:tc>
          <w:tcPr>
            <w:tcW w:w="5613" w:type="dxa"/>
          </w:tcPr>
          <w:p>
            <w:pPr>
              <w:pStyle w:val="0"/>
              <w:jc w:val="both"/>
            </w:pPr>
            <w:r>
              <w:rPr>
                <w:sz w:val="20"/>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9.2.</w:t>
            </w:r>
          </w:p>
        </w:tc>
        <w:tc>
          <w:tcPr>
            <w:tcW w:w="5613" w:type="dxa"/>
          </w:tcPr>
          <w:p>
            <w:pPr>
              <w:pStyle w:val="0"/>
              <w:jc w:val="both"/>
            </w:pPr>
            <w:r>
              <w:rPr>
                <w:sz w:val="20"/>
              </w:rPr>
              <w:t xml:space="preserve">Коэффициент совместительства в отделении ранней медицинской реабилитации или детском реабилитационном отделении</w:t>
            </w:r>
          </w:p>
        </w:tc>
        <w:tc>
          <w:tcPr>
            <w:tcW w:w="2608" w:type="dxa"/>
          </w:tcPr>
          <w:p>
            <w:pPr>
              <w:pStyle w:val="0"/>
              <w:jc w:val="center"/>
            </w:pPr>
            <w:r>
              <w:rPr>
                <w:sz w:val="20"/>
              </w:rPr>
              <w:t xml:space="preserve">-</w:t>
            </w:r>
          </w:p>
        </w:tc>
      </w:tr>
      <w:tr>
        <w:tc>
          <w:tcPr>
            <w:tcW w:w="850" w:type="dxa"/>
          </w:tcPr>
          <w:p>
            <w:pPr>
              <w:pStyle w:val="0"/>
              <w:jc w:val="both"/>
            </w:pPr>
            <w:r>
              <w:rPr>
                <w:sz w:val="20"/>
              </w:rPr>
              <w:t xml:space="preserve">9.3.</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w:t>
            </w:r>
          </w:p>
        </w:tc>
      </w:tr>
      <w:tr>
        <w:tc>
          <w:tcPr>
            <w:tcW w:w="850" w:type="dxa"/>
          </w:tcPr>
          <w:p>
            <w:pPr>
              <w:pStyle w:val="0"/>
              <w:jc w:val="both"/>
            </w:pPr>
            <w:r>
              <w:rPr>
                <w:sz w:val="20"/>
              </w:rPr>
              <w:t xml:space="preserve">10.</w:t>
            </w:r>
          </w:p>
        </w:tc>
        <w:tc>
          <w:tcPr>
            <w:tcW w:w="5613" w:type="dxa"/>
          </w:tcPr>
          <w:p>
            <w:pPr>
              <w:pStyle w:val="0"/>
              <w:jc w:val="both"/>
            </w:pPr>
            <w:r>
              <w:rPr>
                <w:sz w:val="20"/>
              </w:rPr>
              <w:t xml:space="preserve">Наименование стационарного отделения медицинской реабилитации (для взрослых) &lt;**&gt;</w:t>
            </w:r>
          </w:p>
        </w:tc>
        <w:tc>
          <w:tcPr>
            <w:tcW w:w="2608" w:type="dxa"/>
          </w:tcPr>
          <w:p>
            <w:pPr>
              <w:pStyle w:val="0"/>
              <w:jc w:val="both"/>
            </w:pPr>
            <w:r>
              <w:rPr>
                <w:sz w:val="20"/>
              </w:rPr>
              <w:t xml:space="preserve">Отделение медицинской реабилитации взрослых для пациентов с соматическими заболеваниями</w:t>
            </w:r>
          </w:p>
        </w:tc>
      </w:tr>
      <w:tr>
        <w:tc>
          <w:tcPr>
            <w:tcW w:w="850" w:type="dxa"/>
          </w:tcPr>
          <w:p>
            <w:pPr>
              <w:pStyle w:val="0"/>
              <w:jc w:val="both"/>
            </w:pPr>
            <w:r>
              <w:rPr>
                <w:sz w:val="20"/>
              </w:rPr>
              <w:t xml:space="preserve">10.1.</w:t>
            </w:r>
          </w:p>
        </w:tc>
        <w:tc>
          <w:tcPr>
            <w:tcW w:w="5613" w:type="dxa"/>
          </w:tcPr>
          <w:p>
            <w:pPr>
              <w:pStyle w:val="0"/>
              <w:jc w:val="both"/>
            </w:pPr>
            <w:r>
              <w:rPr>
                <w:sz w:val="20"/>
              </w:rPr>
              <w:t xml:space="preserve">Коечная мощность (указать профиль и число стационарных реабилитационных коек по состоянию на 01.01.2023)</w:t>
            </w:r>
          </w:p>
        </w:tc>
        <w:tc>
          <w:tcPr>
            <w:tcW w:w="2608" w:type="dxa"/>
          </w:tcPr>
          <w:p>
            <w:pPr>
              <w:pStyle w:val="0"/>
              <w:jc w:val="center"/>
            </w:pPr>
            <w:r>
              <w:rPr>
                <w:sz w:val="20"/>
              </w:rPr>
              <w:t xml:space="preserve">75</w:t>
            </w:r>
          </w:p>
        </w:tc>
      </w:tr>
      <w:tr>
        <w:tc>
          <w:tcPr>
            <w:tcW w:w="850" w:type="dxa"/>
          </w:tcPr>
          <w:p>
            <w:pPr>
              <w:pStyle w:val="0"/>
              <w:jc w:val="both"/>
            </w:pPr>
            <w:r>
              <w:rPr>
                <w:sz w:val="20"/>
              </w:rPr>
              <w:t xml:space="preserve">10.2.</w:t>
            </w:r>
          </w:p>
        </w:tc>
        <w:tc>
          <w:tcPr>
            <w:tcW w:w="5613" w:type="dxa"/>
          </w:tcPr>
          <w:p>
            <w:pPr>
              <w:pStyle w:val="0"/>
              <w:jc w:val="both"/>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2608" w:type="dxa"/>
          </w:tcPr>
          <w:p>
            <w:pPr>
              <w:pStyle w:val="0"/>
              <w:jc w:val="both"/>
            </w:pPr>
            <w:r>
              <w:rPr>
                <w:sz w:val="20"/>
              </w:rPr>
              <w:t xml:space="preserve">90%</w:t>
            </w:r>
          </w:p>
        </w:tc>
      </w:tr>
      <w:tr>
        <w:tc>
          <w:tcPr>
            <w:tcW w:w="850" w:type="dxa"/>
          </w:tcPr>
          <w:p>
            <w:pPr>
              <w:pStyle w:val="0"/>
              <w:jc w:val="both"/>
            </w:pPr>
            <w:r>
              <w:rPr>
                <w:sz w:val="20"/>
              </w:rPr>
              <w:t xml:space="preserve">10.3.</w:t>
            </w:r>
          </w:p>
        </w:tc>
        <w:tc>
          <w:tcPr>
            <w:tcW w:w="5613" w:type="dxa"/>
          </w:tcPr>
          <w:p>
            <w:pPr>
              <w:pStyle w:val="0"/>
              <w:jc w:val="both"/>
            </w:pPr>
            <w:r>
              <w:rPr>
                <w:sz w:val="20"/>
              </w:rPr>
              <w:t xml:space="preserve">Коэффициент совместительства в стационарном отделении медицинской реабилитации (для взрослых)</w:t>
            </w:r>
          </w:p>
        </w:tc>
        <w:tc>
          <w:tcPr>
            <w:tcW w:w="2608" w:type="dxa"/>
          </w:tcPr>
          <w:p>
            <w:pPr>
              <w:pStyle w:val="0"/>
              <w:jc w:val="center"/>
            </w:pPr>
            <w:r>
              <w:rPr>
                <w:sz w:val="20"/>
              </w:rPr>
              <w:t xml:space="preserve">30</w:t>
            </w:r>
          </w:p>
        </w:tc>
      </w:tr>
      <w:tr>
        <w:tc>
          <w:tcPr>
            <w:tcW w:w="850" w:type="dxa"/>
          </w:tcPr>
          <w:p>
            <w:pPr>
              <w:pStyle w:val="0"/>
              <w:jc w:val="both"/>
            </w:pPr>
            <w:r>
              <w:rPr>
                <w:sz w:val="20"/>
              </w:rPr>
              <w:t xml:space="preserve">10.4.</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both"/>
            </w:pPr>
            <w:r>
              <w:rPr>
                <w:sz w:val="20"/>
              </w:rPr>
              <w:t xml:space="preserve">65%</w:t>
            </w:r>
          </w:p>
        </w:tc>
      </w:tr>
      <w:tr>
        <w:tc>
          <w:tcPr>
            <w:tcW w:w="850" w:type="dxa"/>
          </w:tcPr>
          <w:p>
            <w:pPr>
              <w:pStyle w:val="0"/>
              <w:jc w:val="both"/>
            </w:pPr>
            <w:r>
              <w:rPr>
                <w:sz w:val="20"/>
              </w:rPr>
              <w:t xml:space="preserve">11.</w:t>
            </w:r>
          </w:p>
        </w:tc>
        <w:tc>
          <w:tcPr>
            <w:tcW w:w="5613" w:type="dxa"/>
          </w:tcPr>
          <w:p>
            <w:pPr>
              <w:pStyle w:val="0"/>
              <w:jc w:val="both"/>
            </w:pPr>
            <w:r>
              <w:rPr>
                <w:sz w:val="20"/>
              </w:rPr>
              <w:t xml:space="preserve">Наличие дневного стационара медицинской реабилитации (для взрослых) (да/нет)</w:t>
            </w:r>
          </w:p>
        </w:tc>
        <w:tc>
          <w:tcPr>
            <w:tcW w:w="2608" w:type="dxa"/>
          </w:tcPr>
          <w:p>
            <w:pPr>
              <w:pStyle w:val="0"/>
              <w:jc w:val="both"/>
            </w:pPr>
            <w:r>
              <w:rPr>
                <w:sz w:val="20"/>
              </w:rPr>
              <w:t xml:space="preserve">Да</w:t>
            </w:r>
          </w:p>
        </w:tc>
      </w:tr>
      <w:tr>
        <w:tc>
          <w:tcPr>
            <w:tcW w:w="850" w:type="dxa"/>
          </w:tcPr>
          <w:p>
            <w:pPr>
              <w:pStyle w:val="0"/>
              <w:jc w:val="both"/>
            </w:pPr>
            <w:r>
              <w:rPr>
                <w:sz w:val="20"/>
              </w:rPr>
              <w:t xml:space="preserve">11.1.</w:t>
            </w:r>
          </w:p>
        </w:tc>
        <w:tc>
          <w:tcPr>
            <w:tcW w:w="5613" w:type="dxa"/>
          </w:tcPr>
          <w:p>
            <w:pPr>
              <w:pStyle w:val="0"/>
              <w:jc w:val="both"/>
            </w:pPr>
            <w:r>
              <w:rPr>
                <w:sz w:val="20"/>
              </w:rPr>
              <w:t xml:space="preserve">Коечная мощность (указать число реабилитационных коек дневного стационара по состоянию на 01.01.2023)</w:t>
            </w:r>
          </w:p>
        </w:tc>
        <w:tc>
          <w:tcPr>
            <w:tcW w:w="2608" w:type="dxa"/>
          </w:tcPr>
          <w:p>
            <w:pPr>
              <w:pStyle w:val="0"/>
              <w:jc w:val="center"/>
            </w:pPr>
            <w:r>
              <w:rPr>
                <w:sz w:val="20"/>
              </w:rPr>
              <w:t xml:space="preserve">4</w:t>
            </w:r>
          </w:p>
        </w:tc>
      </w:tr>
      <w:tr>
        <w:tc>
          <w:tcPr>
            <w:tcW w:w="850" w:type="dxa"/>
          </w:tcPr>
          <w:p>
            <w:pPr>
              <w:pStyle w:val="0"/>
              <w:jc w:val="both"/>
            </w:pPr>
            <w:r>
              <w:rPr>
                <w:sz w:val="20"/>
              </w:rPr>
              <w:t xml:space="preserve">11.2.</w:t>
            </w:r>
          </w:p>
        </w:tc>
        <w:tc>
          <w:tcPr>
            <w:tcW w:w="5613" w:type="dxa"/>
          </w:tcPr>
          <w:p>
            <w:pPr>
              <w:pStyle w:val="0"/>
              <w:jc w:val="both"/>
            </w:pPr>
            <w:r>
              <w:rPr>
                <w:sz w:val="20"/>
              </w:rPr>
              <w:t xml:space="preserve">Укомплектованность кадрами дневного стационара медицинской реабилитации (для взрослых) с учетом совместительства (%)</w:t>
            </w:r>
          </w:p>
        </w:tc>
        <w:tc>
          <w:tcPr>
            <w:tcW w:w="2608" w:type="dxa"/>
          </w:tcPr>
          <w:p>
            <w:pPr>
              <w:pStyle w:val="0"/>
              <w:jc w:val="both"/>
            </w:pPr>
            <w:r>
              <w:rPr>
                <w:sz w:val="20"/>
              </w:rPr>
              <w:t xml:space="preserve">90%</w:t>
            </w:r>
          </w:p>
        </w:tc>
      </w:tr>
      <w:tr>
        <w:tc>
          <w:tcPr>
            <w:tcW w:w="850" w:type="dxa"/>
          </w:tcPr>
          <w:p>
            <w:pPr>
              <w:pStyle w:val="0"/>
              <w:jc w:val="both"/>
            </w:pPr>
            <w:r>
              <w:rPr>
                <w:sz w:val="20"/>
              </w:rPr>
              <w:t xml:space="preserve">11.3.</w:t>
            </w:r>
          </w:p>
        </w:tc>
        <w:tc>
          <w:tcPr>
            <w:tcW w:w="5613" w:type="dxa"/>
          </w:tcPr>
          <w:p>
            <w:pPr>
              <w:pStyle w:val="0"/>
              <w:jc w:val="both"/>
            </w:pPr>
            <w:r>
              <w:rPr>
                <w:sz w:val="20"/>
              </w:rPr>
              <w:t xml:space="preserve">Коэффициент совместительства в дневном стационаре медицинской реабилитации (для взрослых)</w:t>
            </w:r>
          </w:p>
        </w:tc>
        <w:tc>
          <w:tcPr>
            <w:tcW w:w="2608" w:type="dxa"/>
          </w:tcPr>
          <w:p>
            <w:pPr>
              <w:pStyle w:val="0"/>
              <w:jc w:val="center"/>
            </w:pPr>
            <w:r>
              <w:rPr>
                <w:sz w:val="20"/>
              </w:rPr>
              <w:t xml:space="preserve">100</w:t>
            </w:r>
          </w:p>
        </w:tc>
      </w:tr>
      <w:tr>
        <w:tc>
          <w:tcPr>
            <w:tcW w:w="850" w:type="dxa"/>
          </w:tcPr>
          <w:p>
            <w:pPr>
              <w:pStyle w:val="0"/>
              <w:jc w:val="both"/>
            </w:pPr>
            <w:r>
              <w:rPr>
                <w:sz w:val="20"/>
              </w:rPr>
              <w:t xml:space="preserve">11.4.</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both"/>
            </w:pPr>
            <w:r>
              <w:rPr>
                <w:sz w:val="20"/>
              </w:rPr>
              <w:t xml:space="preserve">30%</w:t>
            </w:r>
          </w:p>
        </w:tc>
      </w:tr>
      <w:tr>
        <w:tc>
          <w:tcPr>
            <w:tcW w:w="850" w:type="dxa"/>
          </w:tcPr>
          <w:p>
            <w:pPr>
              <w:pStyle w:val="0"/>
              <w:jc w:val="both"/>
            </w:pPr>
            <w:r>
              <w:rPr>
                <w:sz w:val="20"/>
              </w:rPr>
              <w:t xml:space="preserve">12.</w:t>
            </w:r>
          </w:p>
        </w:tc>
        <w:tc>
          <w:tcPr>
            <w:tcW w:w="5613" w:type="dxa"/>
          </w:tcPr>
          <w:p>
            <w:pPr>
              <w:pStyle w:val="0"/>
              <w:jc w:val="both"/>
            </w:pPr>
            <w:r>
              <w:rPr>
                <w:sz w:val="20"/>
              </w:rPr>
              <w:t xml:space="preserve">Наименование отделения по медицинской реабилитации для детей (оказывающего медицинскую реабилитацию в стационарных условиях и (или) условиях дневного стационара) &lt;***&gt;</w:t>
            </w:r>
          </w:p>
        </w:tc>
        <w:tc>
          <w:tcPr>
            <w:tcW w:w="2608" w:type="dxa"/>
          </w:tcPr>
          <w:p>
            <w:pPr>
              <w:pStyle w:val="0"/>
              <w:jc w:val="center"/>
            </w:pPr>
            <w:r>
              <w:rPr>
                <w:sz w:val="20"/>
              </w:rPr>
              <w:t xml:space="preserve">-</w:t>
            </w:r>
          </w:p>
        </w:tc>
      </w:tr>
      <w:tr>
        <w:tc>
          <w:tcPr>
            <w:tcW w:w="850" w:type="dxa"/>
          </w:tcPr>
          <w:p>
            <w:pPr>
              <w:pStyle w:val="0"/>
              <w:jc w:val="both"/>
            </w:pPr>
            <w:r>
              <w:rPr>
                <w:sz w:val="20"/>
              </w:rPr>
              <w:t xml:space="preserve">12.1.</w:t>
            </w:r>
          </w:p>
        </w:tc>
        <w:tc>
          <w:tcPr>
            <w:tcW w:w="5613" w:type="dxa"/>
          </w:tcPr>
          <w:p>
            <w:pPr>
              <w:pStyle w:val="0"/>
              <w:jc w:val="both"/>
            </w:pPr>
            <w:r>
              <w:rPr>
                <w:sz w:val="20"/>
              </w:rPr>
              <w:t xml:space="preserve">Число и профиль круглосуточных коек (по состоянию на 01.01.2023)</w:t>
            </w:r>
          </w:p>
        </w:tc>
        <w:tc>
          <w:tcPr>
            <w:tcW w:w="2608" w:type="dxa"/>
          </w:tcPr>
          <w:p>
            <w:pPr>
              <w:pStyle w:val="0"/>
              <w:jc w:val="center"/>
            </w:pPr>
            <w:r>
              <w:rPr>
                <w:sz w:val="20"/>
              </w:rPr>
              <w:t xml:space="preserve">-</w:t>
            </w:r>
          </w:p>
        </w:tc>
      </w:tr>
      <w:tr>
        <w:tc>
          <w:tcPr>
            <w:tcW w:w="850" w:type="dxa"/>
          </w:tcPr>
          <w:p>
            <w:pPr>
              <w:pStyle w:val="0"/>
              <w:jc w:val="both"/>
            </w:pPr>
            <w:r>
              <w:rPr>
                <w:sz w:val="20"/>
              </w:rPr>
              <w:t xml:space="preserve">12.2.</w:t>
            </w:r>
          </w:p>
        </w:tc>
        <w:tc>
          <w:tcPr>
            <w:tcW w:w="5613" w:type="dxa"/>
          </w:tcPr>
          <w:p>
            <w:pPr>
              <w:pStyle w:val="0"/>
              <w:jc w:val="both"/>
            </w:pPr>
            <w:r>
              <w:rPr>
                <w:sz w:val="20"/>
              </w:rPr>
              <w:t xml:space="preserve">Число реабилитационных коек дневного стационара (по состоянию на 01.01.2023)</w:t>
            </w:r>
          </w:p>
        </w:tc>
        <w:tc>
          <w:tcPr>
            <w:tcW w:w="2608" w:type="dxa"/>
          </w:tcPr>
          <w:p>
            <w:pPr>
              <w:pStyle w:val="0"/>
              <w:jc w:val="center"/>
            </w:pPr>
            <w:r>
              <w:rPr>
                <w:sz w:val="20"/>
              </w:rPr>
              <w:t xml:space="preserve">-</w:t>
            </w:r>
          </w:p>
        </w:tc>
      </w:tr>
      <w:tr>
        <w:tc>
          <w:tcPr>
            <w:tcW w:w="850" w:type="dxa"/>
          </w:tcPr>
          <w:p>
            <w:pPr>
              <w:pStyle w:val="0"/>
              <w:jc w:val="both"/>
            </w:pPr>
            <w:r>
              <w:rPr>
                <w:sz w:val="20"/>
              </w:rPr>
              <w:t xml:space="preserve">12.3.</w:t>
            </w:r>
          </w:p>
        </w:tc>
        <w:tc>
          <w:tcPr>
            <w:tcW w:w="5613" w:type="dxa"/>
          </w:tcPr>
          <w:p>
            <w:pPr>
              <w:pStyle w:val="0"/>
              <w:jc w:val="both"/>
            </w:pPr>
            <w:r>
              <w:rPr>
                <w:sz w:val="20"/>
              </w:rPr>
              <w:t xml:space="preserve">Укомплектованность кадрами отделения по медицинской реабилитации для детей (оказывающего медицинскую реабилитацию в стационарных условиях и (или) условиях дневного стационара)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12.4.</w:t>
            </w:r>
          </w:p>
        </w:tc>
        <w:tc>
          <w:tcPr>
            <w:tcW w:w="5613" w:type="dxa"/>
          </w:tcPr>
          <w:p>
            <w:pPr>
              <w:pStyle w:val="0"/>
              <w:jc w:val="both"/>
            </w:pPr>
            <w:r>
              <w:rPr>
                <w:sz w:val="20"/>
              </w:rPr>
              <w:t xml:space="preserve">Коэффициент совместительства в отделении по медицинской реабилитации для детей (оказывающем медицинскую реабилитацию в стационарных условиях и (или) условиях дневного стационара)</w:t>
            </w:r>
          </w:p>
        </w:tc>
        <w:tc>
          <w:tcPr>
            <w:tcW w:w="2608" w:type="dxa"/>
          </w:tcPr>
          <w:p>
            <w:pPr>
              <w:pStyle w:val="0"/>
              <w:jc w:val="center"/>
            </w:pPr>
            <w:r>
              <w:rPr>
                <w:sz w:val="20"/>
              </w:rPr>
              <w:t xml:space="preserve">-</w:t>
            </w:r>
          </w:p>
        </w:tc>
      </w:tr>
      <w:tr>
        <w:tc>
          <w:tcPr>
            <w:tcW w:w="850" w:type="dxa"/>
          </w:tcPr>
          <w:p>
            <w:pPr>
              <w:pStyle w:val="0"/>
              <w:jc w:val="both"/>
            </w:pPr>
            <w:r>
              <w:rPr>
                <w:sz w:val="20"/>
              </w:rPr>
              <w:t xml:space="preserve">12.5.</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w:t>
            </w:r>
          </w:p>
        </w:tc>
      </w:tr>
      <w:tr>
        <w:tc>
          <w:tcPr>
            <w:tcW w:w="850" w:type="dxa"/>
          </w:tcPr>
          <w:p>
            <w:pPr>
              <w:pStyle w:val="0"/>
              <w:jc w:val="both"/>
            </w:pPr>
            <w:r>
              <w:rPr>
                <w:sz w:val="20"/>
              </w:rPr>
              <w:t xml:space="preserve">13.</w:t>
            </w:r>
          </w:p>
        </w:tc>
        <w:tc>
          <w:tcPr>
            <w:tcW w:w="5613" w:type="dxa"/>
          </w:tcPr>
          <w:p>
            <w:pPr>
              <w:pStyle w:val="0"/>
              <w:jc w:val="both"/>
            </w:pPr>
            <w:r>
              <w:rPr>
                <w:sz w:val="20"/>
              </w:rPr>
              <w:t xml:space="preserve">Наличие амбулаторного отделения медицинской реабилитации</w:t>
            </w:r>
          </w:p>
        </w:tc>
        <w:tc>
          <w:tcPr>
            <w:tcW w:w="2608" w:type="dxa"/>
          </w:tcPr>
          <w:p>
            <w:pPr>
              <w:pStyle w:val="0"/>
              <w:jc w:val="both"/>
            </w:pPr>
            <w:r>
              <w:rPr>
                <w:sz w:val="20"/>
              </w:rPr>
              <w:t xml:space="preserve">Да</w:t>
            </w:r>
          </w:p>
        </w:tc>
      </w:tr>
      <w:tr>
        <w:tc>
          <w:tcPr>
            <w:tcW w:w="850" w:type="dxa"/>
          </w:tcPr>
          <w:p>
            <w:pPr>
              <w:pStyle w:val="0"/>
              <w:jc w:val="both"/>
            </w:pPr>
            <w:r>
              <w:rPr>
                <w:sz w:val="20"/>
              </w:rPr>
              <w:t xml:space="preserve">13.1.</w:t>
            </w:r>
          </w:p>
        </w:tc>
        <w:tc>
          <w:tcPr>
            <w:tcW w:w="5613" w:type="dxa"/>
          </w:tcPr>
          <w:p>
            <w:pPr>
              <w:pStyle w:val="0"/>
              <w:jc w:val="both"/>
            </w:pPr>
            <w:r>
              <w:rPr>
                <w:sz w:val="20"/>
              </w:rPr>
              <w:t xml:space="preserve">Число посещений в смену</w:t>
            </w:r>
          </w:p>
        </w:tc>
        <w:tc>
          <w:tcPr>
            <w:tcW w:w="2608" w:type="dxa"/>
          </w:tcPr>
          <w:p>
            <w:pPr>
              <w:pStyle w:val="0"/>
              <w:jc w:val="center"/>
            </w:pPr>
            <w:r>
              <w:rPr>
                <w:sz w:val="20"/>
              </w:rPr>
              <w:t xml:space="preserve">30</w:t>
            </w:r>
          </w:p>
        </w:tc>
      </w:tr>
      <w:tr>
        <w:tc>
          <w:tcPr>
            <w:tcW w:w="850" w:type="dxa"/>
          </w:tcPr>
          <w:p>
            <w:pPr>
              <w:pStyle w:val="0"/>
              <w:jc w:val="both"/>
            </w:pPr>
            <w:r>
              <w:rPr>
                <w:sz w:val="20"/>
              </w:rPr>
              <w:t xml:space="preserve">13.2.</w:t>
            </w:r>
          </w:p>
        </w:tc>
        <w:tc>
          <w:tcPr>
            <w:tcW w:w="5613" w:type="dxa"/>
          </w:tcPr>
          <w:p>
            <w:pPr>
              <w:pStyle w:val="0"/>
              <w:jc w:val="both"/>
            </w:pPr>
            <w:r>
              <w:rPr>
                <w:sz w:val="20"/>
              </w:rPr>
              <w:t xml:space="preserve">Укомплектованность кадрами амбулаторного отделения медицинской реабилитации с учетом совместительства (%)</w:t>
            </w:r>
          </w:p>
        </w:tc>
        <w:tc>
          <w:tcPr>
            <w:tcW w:w="2608" w:type="dxa"/>
          </w:tcPr>
          <w:p>
            <w:pPr>
              <w:pStyle w:val="0"/>
              <w:jc w:val="both"/>
            </w:pPr>
            <w:r>
              <w:rPr>
                <w:sz w:val="20"/>
              </w:rPr>
              <w:t xml:space="preserve">85%</w:t>
            </w:r>
          </w:p>
        </w:tc>
      </w:tr>
      <w:tr>
        <w:tc>
          <w:tcPr>
            <w:tcW w:w="850" w:type="dxa"/>
          </w:tcPr>
          <w:p>
            <w:pPr>
              <w:pStyle w:val="0"/>
              <w:jc w:val="both"/>
            </w:pPr>
            <w:r>
              <w:rPr>
                <w:sz w:val="20"/>
              </w:rPr>
              <w:t xml:space="preserve">13.3.</w:t>
            </w:r>
          </w:p>
        </w:tc>
        <w:tc>
          <w:tcPr>
            <w:tcW w:w="5613" w:type="dxa"/>
          </w:tcPr>
          <w:p>
            <w:pPr>
              <w:pStyle w:val="0"/>
              <w:jc w:val="both"/>
            </w:pPr>
            <w:r>
              <w:rPr>
                <w:sz w:val="20"/>
              </w:rPr>
              <w:t xml:space="preserve">Коэффициент совместительства в амбулаторном отделении медицинской реабилитации</w:t>
            </w:r>
          </w:p>
        </w:tc>
        <w:tc>
          <w:tcPr>
            <w:tcW w:w="2608" w:type="dxa"/>
          </w:tcPr>
          <w:p>
            <w:pPr>
              <w:pStyle w:val="0"/>
              <w:jc w:val="center"/>
            </w:pPr>
            <w:r>
              <w:rPr>
                <w:sz w:val="20"/>
              </w:rPr>
              <w:t xml:space="preserve">10</w:t>
            </w:r>
          </w:p>
        </w:tc>
      </w:tr>
      <w:tr>
        <w:tc>
          <w:tcPr>
            <w:tcW w:w="850" w:type="dxa"/>
          </w:tcPr>
          <w:p>
            <w:pPr>
              <w:pStyle w:val="0"/>
              <w:jc w:val="both"/>
            </w:pPr>
            <w:r>
              <w:rPr>
                <w:sz w:val="20"/>
              </w:rPr>
              <w:t xml:space="preserve">13.4.</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both"/>
            </w:pPr>
            <w:r>
              <w:rPr>
                <w:sz w:val="20"/>
              </w:rPr>
              <w:t xml:space="preserve">10%</w:t>
            </w:r>
          </w:p>
        </w:tc>
      </w:tr>
    </w:tbl>
    <w:p>
      <w:pPr>
        <w:pStyle w:val="0"/>
        <w:ind w:firstLine="540"/>
        <w:jc w:val="both"/>
      </w:pPr>
      <w:r>
        <w:rPr>
          <w:sz w:val="20"/>
        </w:rPr>
      </w:r>
    </w:p>
    <w:p>
      <w:pPr>
        <w:pStyle w:val="0"/>
        <w:jc w:val="right"/>
      </w:pPr>
      <w:r>
        <w:rPr>
          <w:sz w:val="20"/>
        </w:rPr>
        <w:t xml:space="preserve">Таблица 14</w:t>
      </w:r>
    </w:p>
    <w:p>
      <w:pPr>
        <w:pStyle w:val="0"/>
      </w:pPr>
      <w:r>
        <w:rPr>
          <w:sz w:val="20"/>
        </w:rPr>
      </w:r>
    </w:p>
    <w:p>
      <w:pPr>
        <w:pStyle w:val="0"/>
        <w:jc w:val="center"/>
      </w:pPr>
      <w:r>
        <w:rPr>
          <w:sz w:val="20"/>
        </w:rPr>
        <w:t xml:space="preserve">ГБ N 4</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5613"/>
        <w:gridCol w:w="2608"/>
      </w:tblGrid>
      <w:tr>
        <w:tc>
          <w:tcPr>
            <w:tcW w:w="850" w:type="dxa"/>
          </w:tcPr>
          <w:p>
            <w:pPr>
              <w:pStyle w:val="0"/>
              <w:jc w:val="both"/>
            </w:pPr>
            <w:r>
              <w:rPr>
                <w:sz w:val="20"/>
              </w:rPr>
              <w:t xml:space="preserve">1.</w:t>
            </w:r>
          </w:p>
        </w:tc>
        <w:tc>
          <w:tcPr>
            <w:tcW w:w="5613" w:type="dxa"/>
          </w:tcPr>
          <w:p>
            <w:pPr>
              <w:pStyle w:val="0"/>
              <w:jc w:val="both"/>
            </w:pPr>
            <w:r>
              <w:rPr>
                <w:sz w:val="20"/>
              </w:rPr>
              <w:t xml:space="preserve">Полное наименование медицинской организации</w:t>
            </w:r>
          </w:p>
        </w:tc>
        <w:tc>
          <w:tcPr>
            <w:tcW w:w="2608" w:type="dxa"/>
          </w:tcPr>
          <w:p>
            <w:pPr>
              <w:pStyle w:val="0"/>
              <w:jc w:val="both"/>
            </w:pPr>
            <w:r>
              <w:rPr>
                <w:sz w:val="20"/>
              </w:rPr>
              <w:t xml:space="preserve">ГБ N 4</w:t>
            </w:r>
          </w:p>
        </w:tc>
      </w:tr>
      <w:tr>
        <w:tc>
          <w:tcPr>
            <w:tcW w:w="850" w:type="dxa"/>
          </w:tcPr>
          <w:p>
            <w:pPr>
              <w:pStyle w:val="0"/>
              <w:jc w:val="both"/>
            </w:pPr>
            <w:r>
              <w:rPr>
                <w:sz w:val="20"/>
              </w:rPr>
              <w:t xml:space="preserve">2.</w:t>
            </w:r>
          </w:p>
        </w:tc>
        <w:tc>
          <w:tcPr>
            <w:tcW w:w="5613" w:type="dxa"/>
          </w:tcPr>
          <w:p>
            <w:pPr>
              <w:pStyle w:val="0"/>
              <w:jc w:val="both"/>
            </w:pPr>
            <w:r>
              <w:rPr>
                <w:sz w:val="20"/>
              </w:rPr>
              <w:t xml:space="preserve">Наличие лицензии (указать работы (услуги) по медицинской реабилитации)</w:t>
            </w:r>
          </w:p>
        </w:tc>
        <w:tc>
          <w:tcPr>
            <w:tcW w:w="2608" w:type="dxa"/>
          </w:tcPr>
          <w:p>
            <w:pPr>
              <w:pStyle w:val="0"/>
              <w:jc w:val="both"/>
            </w:pPr>
            <w:r>
              <w:rPr>
                <w:sz w:val="20"/>
              </w:rPr>
              <w:t xml:space="preserve">Уведомление</w:t>
            </w:r>
          </w:p>
        </w:tc>
      </w:tr>
      <w:tr>
        <w:tc>
          <w:tcPr>
            <w:tcW w:w="850" w:type="dxa"/>
          </w:tcPr>
          <w:p>
            <w:pPr>
              <w:pStyle w:val="0"/>
              <w:jc w:val="both"/>
            </w:pPr>
            <w:r>
              <w:rPr>
                <w:sz w:val="20"/>
              </w:rPr>
              <w:t xml:space="preserve">3.</w:t>
            </w:r>
          </w:p>
        </w:tc>
        <w:tc>
          <w:tcPr>
            <w:tcW w:w="5613" w:type="dxa"/>
          </w:tcPr>
          <w:p>
            <w:pPr>
              <w:pStyle w:val="0"/>
              <w:jc w:val="both"/>
            </w:pPr>
            <w:r>
              <w:rPr>
                <w:sz w:val="20"/>
              </w:rPr>
              <w:t xml:space="preserve">Группа медицинской организации (1, 2, 3)</w:t>
            </w:r>
          </w:p>
        </w:tc>
        <w:tc>
          <w:tcPr>
            <w:tcW w:w="2608" w:type="dxa"/>
          </w:tcPr>
          <w:p>
            <w:pPr>
              <w:pStyle w:val="0"/>
              <w:jc w:val="center"/>
            </w:pPr>
            <w:r>
              <w:rPr>
                <w:sz w:val="20"/>
              </w:rPr>
              <w:t xml:space="preserve">2</w:t>
            </w:r>
          </w:p>
        </w:tc>
      </w:tr>
      <w:tr>
        <w:tc>
          <w:tcPr>
            <w:tcW w:w="850" w:type="dxa"/>
          </w:tcPr>
          <w:p>
            <w:pPr>
              <w:pStyle w:val="0"/>
              <w:jc w:val="both"/>
            </w:pPr>
            <w:r>
              <w:rPr>
                <w:sz w:val="20"/>
              </w:rPr>
              <w:t xml:space="preserve">4.</w:t>
            </w:r>
          </w:p>
        </w:tc>
        <w:tc>
          <w:tcPr>
            <w:tcW w:w="5613" w:type="dxa"/>
          </w:tcPr>
          <w:p>
            <w:pPr>
              <w:pStyle w:val="0"/>
              <w:jc w:val="both"/>
            </w:pPr>
            <w:r>
              <w:rPr>
                <w:sz w:val="20"/>
              </w:rPr>
              <w:t xml:space="preserve">Медицинская организация является "якорной" по профилю "медицинская реабилитация" (да/нет)</w:t>
            </w:r>
          </w:p>
        </w:tc>
        <w:tc>
          <w:tcPr>
            <w:tcW w:w="2608" w:type="dxa"/>
          </w:tcPr>
          <w:p>
            <w:pPr>
              <w:pStyle w:val="0"/>
              <w:jc w:val="both"/>
            </w:pPr>
            <w:r>
              <w:rPr>
                <w:sz w:val="20"/>
              </w:rPr>
              <w:t xml:space="preserve">Нет</w:t>
            </w:r>
          </w:p>
        </w:tc>
      </w:tr>
      <w:tr>
        <w:tc>
          <w:tcPr>
            <w:tcW w:w="850" w:type="dxa"/>
          </w:tcPr>
          <w:p>
            <w:pPr>
              <w:pStyle w:val="0"/>
              <w:jc w:val="both"/>
            </w:pPr>
            <w:r>
              <w:rPr>
                <w:sz w:val="20"/>
              </w:rPr>
              <w:t xml:space="preserve">5.</w:t>
            </w:r>
          </w:p>
        </w:tc>
        <w:tc>
          <w:tcPr>
            <w:tcW w:w="5613" w:type="dxa"/>
          </w:tcPr>
          <w:p>
            <w:pPr>
              <w:pStyle w:val="0"/>
              <w:jc w:val="both"/>
            </w:pPr>
            <w:r>
              <w:rPr>
                <w:sz w:val="20"/>
              </w:rPr>
              <w:t xml:space="preserve">Число прикрепленного населения (тыс. чел.) (при наличии)</w:t>
            </w:r>
          </w:p>
        </w:tc>
        <w:tc>
          <w:tcPr>
            <w:tcW w:w="2608" w:type="dxa"/>
          </w:tcPr>
          <w:p>
            <w:pPr>
              <w:pStyle w:val="0"/>
              <w:jc w:val="center"/>
            </w:pPr>
            <w:r>
              <w:rPr>
                <w:sz w:val="20"/>
              </w:rPr>
              <w:t xml:space="preserve">45000</w:t>
            </w:r>
          </w:p>
        </w:tc>
      </w:tr>
      <w:tr>
        <w:tc>
          <w:tcPr>
            <w:tcW w:w="850" w:type="dxa"/>
          </w:tcPr>
          <w:p>
            <w:pPr>
              <w:pStyle w:val="0"/>
              <w:jc w:val="both"/>
            </w:pPr>
            <w:r>
              <w:rPr>
                <w:sz w:val="20"/>
              </w:rPr>
              <w:t xml:space="preserve">6.</w:t>
            </w:r>
          </w:p>
        </w:tc>
        <w:tc>
          <w:tcPr>
            <w:tcW w:w="5613" w:type="dxa"/>
          </w:tcPr>
          <w:p>
            <w:pPr>
              <w:pStyle w:val="0"/>
              <w:jc w:val="both"/>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2608" w:type="dxa"/>
          </w:tcPr>
          <w:p>
            <w:pPr>
              <w:pStyle w:val="0"/>
              <w:jc w:val="both"/>
            </w:pPr>
            <w:r>
              <w:rPr>
                <w:sz w:val="20"/>
              </w:rPr>
              <w:t xml:space="preserve">2025 год, 2026 год</w:t>
            </w:r>
          </w:p>
        </w:tc>
      </w:tr>
      <w:tr>
        <w:tc>
          <w:tcPr>
            <w:tcW w:w="850" w:type="dxa"/>
          </w:tcPr>
          <w:p>
            <w:pPr>
              <w:pStyle w:val="0"/>
              <w:jc w:val="both"/>
            </w:pPr>
            <w:r>
              <w:rPr>
                <w:sz w:val="20"/>
              </w:rPr>
              <w:t xml:space="preserve">7.</w:t>
            </w:r>
          </w:p>
        </w:tc>
        <w:tc>
          <w:tcPr>
            <w:tcW w:w="5613" w:type="dxa"/>
          </w:tcPr>
          <w:p>
            <w:pPr>
              <w:pStyle w:val="0"/>
              <w:jc w:val="both"/>
            </w:pPr>
            <w:r>
              <w:rPr>
                <w:sz w:val="20"/>
              </w:rPr>
              <w:t xml:space="preserve">Коэффициент оснащенности медицинской организации на май 2023 г. (%)</w:t>
            </w:r>
          </w:p>
        </w:tc>
        <w:tc>
          <w:tcPr>
            <w:tcW w:w="2608" w:type="dxa"/>
          </w:tcPr>
          <w:p>
            <w:pPr>
              <w:pStyle w:val="0"/>
              <w:jc w:val="both"/>
            </w:pPr>
            <w:r>
              <w:rPr>
                <w:sz w:val="20"/>
              </w:rPr>
              <w:t xml:space="preserve">85%</w:t>
            </w:r>
          </w:p>
        </w:tc>
      </w:tr>
      <w:tr>
        <w:tc>
          <w:tcPr>
            <w:tcW w:w="850" w:type="dxa"/>
          </w:tcPr>
          <w:p>
            <w:pPr>
              <w:pStyle w:val="0"/>
              <w:jc w:val="both"/>
            </w:pPr>
            <w:r>
              <w:rPr>
                <w:sz w:val="20"/>
              </w:rPr>
              <w:t xml:space="preserve">8.</w:t>
            </w:r>
          </w:p>
        </w:tc>
        <w:tc>
          <w:tcPr>
            <w:tcW w:w="5613" w:type="dxa"/>
          </w:tcPr>
          <w:p>
            <w:pPr>
              <w:pStyle w:val="0"/>
              <w:jc w:val="both"/>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2608" w:type="dxa"/>
          </w:tcPr>
          <w:p>
            <w:pPr>
              <w:pStyle w:val="0"/>
              <w:jc w:val="both"/>
            </w:pPr>
            <w:r>
              <w:rPr>
                <w:sz w:val="20"/>
              </w:rPr>
              <w:t xml:space="preserve">Нет</w:t>
            </w:r>
          </w:p>
        </w:tc>
      </w:tr>
      <w:tr>
        <w:tc>
          <w:tcPr>
            <w:tcW w:w="850" w:type="dxa"/>
          </w:tcPr>
          <w:p>
            <w:pPr>
              <w:pStyle w:val="0"/>
              <w:jc w:val="both"/>
            </w:pPr>
            <w:r>
              <w:rPr>
                <w:sz w:val="20"/>
              </w:rPr>
              <w:t xml:space="preserve">9.</w:t>
            </w:r>
          </w:p>
        </w:tc>
        <w:tc>
          <w:tcPr>
            <w:tcW w:w="5613" w:type="dxa"/>
          </w:tcPr>
          <w:p>
            <w:pPr>
              <w:pStyle w:val="0"/>
              <w:jc w:val="both"/>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 &lt;*&gt;</w:t>
            </w:r>
          </w:p>
        </w:tc>
        <w:tc>
          <w:tcPr>
            <w:tcW w:w="2608" w:type="dxa"/>
          </w:tcPr>
          <w:p>
            <w:pPr>
              <w:pStyle w:val="0"/>
              <w:jc w:val="center"/>
            </w:pPr>
            <w:r>
              <w:rPr>
                <w:sz w:val="20"/>
              </w:rPr>
              <w:t xml:space="preserve">-</w:t>
            </w:r>
          </w:p>
        </w:tc>
      </w:tr>
      <w:tr>
        <w:tc>
          <w:tcPr>
            <w:tcW w:w="850" w:type="dxa"/>
          </w:tcPr>
          <w:p>
            <w:pPr>
              <w:pStyle w:val="0"/>
              <w:jc w:val="both"/>
            </w:pPr>
            <w:r>
              <w:rPr>
                <w:sz w:val="20"/>
              </w:rPr>
              <w:t xml:space="preserve">9.1.</w:t>
            </w:r>
          </w:p>
        </w:tc>
        <w:tc>
          <w:tcPr>
            <w:tcW w:w="5613" w:type="dxa"/>
          </w:tcPr>
          <w:p>
            <w:pPr>
              <w:pStyle w:val="0"/>
              <w:jc w:val="both"/>
            </w:pPr>
            <w:r>
              <w:rPr>
                <w:sz w:val="20"/>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9.2.</w:t>
            </w:r>
          </w:p>
        </w:tc>
        <w:tc>
          <w:tcPr>
            <w:tcW w:w="5613" w:type="dxa"/>
          </w:tcPr>
          <w:p>
            <w:pPr>
              <w:pStyle w:val="0"/>
              <w:jc w:val="both"/>
            </w:pPr>
            <w:r>
              <w:rPr>
                <w:sz w:val="20"/>
              </w:rPr>
              <w:t xml:space="preserve">Коэффициент совместительства в отделении ранней медицинской реабилитации или детском реабилитационном отделении</w:t>
            </w:r>
          </w:p>
        </w:tc>
        <w:tc>
          <w:tcPr>
            <w:tcW w:w="2608" w:type="dxa"/>
          </w:tcPr>
          <w:p>
            <w:pPr>
              <w:pStyle w:val="0"/>
              <w:jc w:val="center"/>
            </w:pPr>
            <w:r>
              <w:rPr>
                <w:sz w:val="20"/>
              </w:rPr>
              <w:t xml:space="preserve">-</w:t>
            </w:r>
          </w:p>
        </w:tc>
      </w:tr>
      <w:tr>
        <w:tc>
          <w:tcPr>
            <w:tcW w:w="850" w:type="dxa"/>
          </w:tcPr>
          <w:p>
            <w:pPr>
              <w:pStyle w:val="0"/>
              <w:jc w:val="both"/>
            </w:pPr>
            <w:r>
              <w:rPr>
                <w:sz w:val="20"/>
              </w:rPr>
              <w:t xml:space="preserve">9.3.</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w:t>
            </w:r>
          </w:p>
        </w:tc>
      </w:tr>
      <w:tr>
        <w:tc>
          <w:tcPr>
            <w:tcW w:w="850" w:type="dxa"/>
          </w:tcPr>
          <w:p>
            <w:pPr>
              <w:pStyle w:val="0"/>
              <w:jc w:val="both"/>
            </w:pPr>
            <w:r>
              <w:rPr>
                <w:sz w:val="20"/>
              </w:rPr>
              <w:t xml:space="preserve">10.</w:t>
            </w:r>
          </w:p>
        </w:tc>
        <w:tc>
          <w:tcPr>
            <w:tcW w:w="5613" w:type="dxa"/>
          </w:tcPr>
          <w:p>
            <w:pPr>
              <w:pStyle w:val="0"/>
              <w:jc w:val="both"/>
            </w:pPr>
            <w:r>
              <w:rPr>
                <w:sz w:val="20"/>
              </w:rPr>
              <w:t xml:space="preserve">Наименование стационарного отделения медицинской реабилитации (для взрослых) &lt;**&gt;</w:t>
            </w:r>
          </w:p>
        </w:tc>
        <w:tc>
          <w:tcPr>
            <w:tcW w:w="2608" w:type="dxa"/>
          </w:tcPr>
          <w:p>
            <w:pPr>
              <w:pStyle w:val="0"/>
              <w:jc w:val="center"/>
            </w:pPr>
            <w:r>
              <w:rPr>
                <w:sz w:val="20"/>
              </w:rPr>
              <w:t xml:space="preserve">-</w:t>
            </w:r>
          </w:p>
        </w:tc>
      </w:tr>
      <w:tr>
        <w:tc>
          <w:tcPr>
            <w:tcW w:w="850" w:type="dxa"/>
          </w:tcPr>
          <w:p>
            <w:pPr>
              <w:pStyle w:val="0"/>
              <w:jc w:val="both"/>
            </w:pPr>
            <w:r>
              <w:rPr>
                <w:sz w:val="20"/>
              </w:rPr>
              <w:t xml:space="preserve">10.1.</w:t>
            </w:r>
          </w:p>
        </w:tc>
        <w:tc>
          <w:tcPr>
            <w:tcW w:w="5613" w:type="dxa"/>
          </w:tcPr>
          <w:p>
            <w:pPr>
              <w:pStyle w:val="0"/>
              <w:jc w:val="both"/>
            </w:pPr>
            <w:r>
              <w:rPr>
                <w:sz w:val="20"/>
              </w:rPr>
              <w:t xml:space="preserve">Коечная мощность (указать профиль и число стационарных реабилитационных коек по состоянию на 01.01.2023)</w:t>
            </w:r>
          </w:p>
        </w:tc>
        <w:tc>
          <w:tcPr>
            <w:tcW w:w="2608" w:type="dxa"/>
          </w:tcPr>
          <w:p>
            <w:pPr>
              <w:pStyle w:val="0"/>
              <w:jc w:val="center"/>
            </w:pPr>
            <w:r>
              <w:rPr>
                <w:sz w:val="20"/>
              </w:rPr>
              <w:t xml:space="preserve">-</w:t>
            </w:r>
          </w:p>
        </w:tc>
      </w:tr>
      <w:tr>
        <w:tc>
          <w:tcPr>
            <w:tcW w:w="850" w:type="dxa"/>
          </w:tcPr>
          <w:p>
            <w:pPr>
              <w:pStyle w:val="0"/>
              <w:jc w:val="both"/>
            </w:pPr>
            <w:r>
              <w:rPr>
                <w:sz w:val="20"/>
              </w:rPr>
              <w:t xml:space="preserve">10.2.</w:t>
            </w:r>
          </w:p>
        </w:tc>
        <w:tc>
          <w:tcPr>
            <w:tcW w:w="5613" w:type="dxa"/>
          </w:tcPr>
          <w:p>
            <w:pPr>
              <w:pStyle w:val="0"/>
              <w:jc w:val="both"/>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10.3.</w:t>
            </w:r>
          </w:p>
        </w:tc>
        <w:tc>
          <w:tcPr>
            <w:tcW w:w="5613" w:type="dxa"/>
          </w:tcPr>
          <w:p>
            <w:pPr>
              <w:pStyle w:val="0"/>
              <w:jc w:val="both"/>
            </w:pPr>
            <w:r>
              <w:rPr>
                <w:sz w:val="20"/>
              </w:rPr>
              <w:t xml:space="preserve">Коэффициент совместительства в стационарном отделении медицинской реабилитации (для взрослых)</w:t>
            </w:r>
          </w:p>
        </w:tc>
        <w:tc>
          <w:tcPr>
            <w:tcW w:w="2608" w:type="dxa"/>
          </w:tcPr>
          <w:p>
            <w:pPr>
              <w:pStyle w:val="0"/>
              <w:jc w:val="center"/>
            </w:pPr>
            <w:r>
              <w:rPr>
                <w:sz w:val="20"/>
              </w:rPr>
              <w:t xml:space="preserve">-</w:t>
            </w:r>
          </w:p>
        </w:tc>
      </w:tr>
      <w:tr>
        <w:tc>
          <w:tcPr>
            <w:tcW w:w="850" w:type="dxa"/>
          </w:tcPr>
          <w:p>
            <w:pPr>
              <w:pStyle w:val="0"/>
              <w:jc w:val="both"/>
            </w:pPr>
            <w:r>
              <w:rPr>
                <w:sz w:val="20"/>
              </w:rPr>
              <w:t xml:space="preserve">10.4.</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w:t>
            </w:r>
          </w:p>
        </w:tc>
      </w:tr>
      <w:tr>
        <w:tc>
          <w:tcPr>
            <w:tcW w:w="850" w:type="dxa"/>
          </w:tcPr>
          <w:p>
            <w:pPr>
              <w:pStyle w:val="0"/>
              <w:jc w:val="both"/>
            </w:pPr>
            <w:r>
              <w:rPr>
                <w:sz w:val="20"/>
              </w:rPr>
              <w:t xml:space="preserve">11.</w:t>
            </w:r>
          </w:p>
        </w:tc>
        <w:tc>
          <w:tcPr>
            <w:tcW w:w="5613" w:type="dxa"/>
          </w:tcPr>
          <w:p>
            <w:pPr>
              <w:pStyle w:val="0"/>
              <w:jc w:val="both"/>
            </w:pPr>
            <w:r>
              <w:rPr>
                <w:sz w:val="20"/>
              </w:rPr>
              <w:t xml:space="preserve">Наличие дневного стационара медицинской реабилитации (для взрослых) (да/нет)</w:t>
            </w:r>
          </w:p>
        </w:tc>
        <w:tc>
          <w:tcPr>
            <w:tcW w:w="2608" w:type="dxa"/>
          </w:tcPr>
          <w:p>
            <w:pPr>
              <w:pStyle w:val="0"/>
              <w:jc w:val="center"/>
            </w:pPr>
            <w:r>
              <w:rPr>
                <w:sz w:val="20"/>
              </w:rPr>
              <w:t xml:space="preserve">-</w:t>
            </w:r>
          </w:p>
        </w:tc>
      </w:tr>
      <w:tr>
        <w:tc>
          <w:tcPr>
            <w:tcW w:w="850" w:type="dxa"/>
          </w:tcPr>
          <w:p>
            <w:pPr>
              <w:pStyle w:val="0"/>
              <w:jc w:val="both"/>
            </w:pPr>
            <w:r>
              <w:rPr>
                <w:sz w:val="20"/>
              </w:rPr>
              <w:t xml:space="preserve">11.1.</w:t>
            </w:r>
          </w:p>
        </w:tc>
        <w:tc>
          <w:tcPr>
            <w:tcW w:w="5613" w:type="dxa"/>
          </w:tcPr>
          <w:p>
            <w:pPr>
              <w:pStyle w:val="0"/>
              <w:jc w:val="both"/>
            </w:pPr>
            <w:r>
              <w:rPr>
                <w:sz w:val="20"/>
              </w:rPr>
              <w:t xml:space="preserve">Коечная мощность (указать число реабилитационных коек дневного стационара по состоянию на 01.01.2023)</w:t>
            </w:r>
          </w:p>
        </w:tc>
        <w:tc>
          <w:tcPr>
            <w:tcW w:w="2608" w:type="dxa"/>
          </w:tcPr>
          <w:p>
            <w:pPr>
              <w:pStyle w:val="0"/>
              <w:jc w:val="center"/>
            </w:pPr>
            <w:r>
              <w:rPr>
                <w:sz w:val="20"/>
              </w:rPr>
              <w:t xml:space="preserve">-</w:t>
            </w:r>
          </w:p>
        </w:tc>
      </w:tr>
      <w:tr>
        <w:tc>
          <w:tcPr>
            <w:tcW w:w="850" w:type="dxa"/>
          </w:tcPr>
          <w:p>
            <w:pPr>
              <w:pStyle w:val="0"/>
              <w:jc w:val="both"/>
            </w:pPr>
            <w:r>
              <w:rPr>
                <w:sz w:val="20"/>
              </w:rPr>
              <w:t xml:space="preserve">11.2.</w:t>
            </w:r>
          </w:p>
        </w:tc>
        <w:tc>
          <w:tcPr>
            <w:tcW w:w="5613" w:type="dxa"/>
          </w:tcPr>
          <w:p>
            <w:pPr>
              <w:pStyle w:val="0"/>
              <w:jc w:val="both"/>
            </w:pPr>
            <w:r>
              <w:rPr>
                <w:sz w:val="20"/>
              </w:rPr>
              <w:t xml:space="preserve">Укомплектованность кадрами дневного стационара медицинской реабилитации (для взрослых)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11.3.</w:t>
            </w:r>
          </w:p>
        </w:tc>
        <w:tc>
          <w:tcPr>
            <w:tcW w:w="5613" w:type="dxa"/>
          </w:tcPr>
          <w:p>
            <w:pPr>
              <w:pStyle w:val="0"/>
              <w:jc w:val="both"/>
            </w:pPr>
            <w:r>
              <w:rPr>
                <w:sz w:val="20"/>
              </w:rPr>
              <w:t xml:space="preserve">Коэффициент совместительства в дневном стационаре медицинской реабилитации (для взрослых)</w:t>
            </w:r>
          </w:p>
        </w:tc>
        <w:tc>
          <w:tcPr>
            <w:tcW w:w="2608" w:type="dxa"/>
          </w:tcPr>
          <w:p>
            <w:pPr>
              <w:pStyle w:val="0"/>
              <w:jc w:val="center"/>
            </w:pPr>
            <w:r>
              <w:rPr>
                <w:sz w:val="20"/>
              </w:rPr>
              <w:t xml:space="preserve">-</w:t>
            </w:r>
          </w:p>
        </w:tc>
      </w:tr>
      <w:tr>
        <w:tc>
          <w:tcPr>
            <w:tcW w:w="850" w:type="dxa"/>
          </w:tcPr>
          <w:p>
            <w:pPr>
              <w:pStyle w:val="0"/>
              <w:jc w:val="both"/>
            </w:pPr>
            <w:r>
              <w:rPr>
                <w:sz w:val="20"/>
              </w:rPr>
              <w:t xml:space="preserve">11.4.</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w:t>
            </w:r>
          </w:p>
        </w:tc>
      </w:tr>
      <w:tr>
        <w:tc>
          <w:tcPr>
            <w:tcW w:w="850" w:type="dxa"/>
          </w:tcPr>
          <w:p>
            <w:pPr>
              <w:pStyle w:val="0"/>
              <w:jc w:val="both"/>
            </w:pPr>
            <w:r>
              <w:rPr>
                <w:sz w:val="20"/>
              </w:rPr>
              <w:t xml:space="preserve">12.</w:t>
            </w:r>
          </w:p>
        </w:tc>
        <w:tc>
          <w:tcPr>
            <w:tcW w:w="5613" w:type="dxa"/>
          </w:tcPr>
          <w:p>
            <w:pPr>
              <w:pStyle w:val="0"/>
              <w:jc w:val="both"/>
            </w:pPr>
            <w:r>
              <w:rPr>
                <w:sz w:val="20"/>
              </w:rPr>
              <w:t xml:space="preserve">Наименование отделения по медицинской реабилитации для детей (оказывающего медицинскую реабилитацию в стационарных условиях и (или) условиях дневного стационара) &lt;***&gt;</w:t>
            </w:r>
          </w:p>
        </w:tc>
        <w:tc>
          <w:tcPr>
            <w:tcW w:w="2608" w:type="dxa"/>
          </w:tcPr>
          <w:p>
            <w:pPr>
              <w:pStyle w:val="0"/>
              <w:jc w:val="center"/>
            </w:pPr>
            <w:r>
              <w:rPr>
                <w:sz w:val="20"/>
              </w:rPr>
              <w:t xml:space="preserve">-</w:t>
            </w:r>
          </w:p>
        </w:tc>
      </w:tr>
      <w:tr>
        <w:tc>
          <w:tcPr>
            <w:tcW w:w="850" w:type="dxa"/>
          </w:tcPr>
          <w:p>
            <w:pPr>
              <w:pStyle w:val="0"/>
              <w:jc w:val="both"/>
            </w:pPr>
            <w:r>
              <w:rPr>
                <w:sz w:val="20"/>
              </w:rPr>
              <w:t xml:space="preserve">12.1.</w:t>
            </w:r>
          </w:p>
        </w:tc>
        <w:tc>
          <w:tcPr>
            <w:tcW w:w="5613" w:type="dxa"/>
          </w:tcPr>
          <w:p>
            <w:pPr>
              <w:pStyle w:val="0"/>
              <w:jc w:val="both"/>
            </w:pPr>
            <w:r>
              <w:rPr>
                <w:sz w:val="20"/>
              </w:rPr>
              <w:t xml:space="preserve">Число и профиль круглосуточных коек (по состоянию на 01.01.2023)</w:t>
            </w:r>
          </w:p>
        </w:tc>
        <w:tc>
          <w:tcPr>
            <w:tcW w:w="2608" w:type="dxa"/>
          </w:tcPr>
          <w:p>
            <w:pPr>
              <w:pStyle w:val="0"/>
              <w:jc w:val="center"/>
            </w:pPr>
            <w:r>
              <w:rPr>
                <w:sz w:val="20"/>
              </w:rPr>
              <w:t xml:space="preserve">-</w:t>
            </w:r>
          </w:p>
        </w:tc>
      </w:tr>
      <w:tr>
        <w:tc>
          <w:tcPr>
            <w:tcW w:w="850" w:type="dxa"/>
          </w:tcPr>
          <w:p>
            <w:pPr>
              <w:pStyle w:val="0"/>
              <w:jc w:val="both"/>
            </w:pPr>
            <w:r>
              <w:rPr>
                <w:sz w:val="20"/>
              </w:rPr>
              <w:t xml:space="preserve">12.2.</w:t>
            </w:r>
          </w:p>
        </w:tc>
        <w:tc>
          <w:tcPr>
            <w:tcW w:w="5613" w:type="dxa"/>
          </w:tcPr>
          <w:p>
            <w:pPr>
              <w:pStyle w:val="0"/>
              <w:jc w:val="both"/>
            </w:pPr>
            <w:r>
              <w:rPr>
                <w:sz w:val="20"/>
              </w:rPr>
              <w:t xml:space="preserve">Число реабилитационных коек дневного стационара (по состоянию на 01.01.2023)</w:t>
            </w:r>
          </w:p>
        </w:tc>
        <w:tc>
          <w:tcPr>
            <w:tcW w:w="2608" w:type="dxa"/>
          </w:tcPr>
          <w:p>
            <w:pPr>
              <w:pStyle w:val="0"/>
              <w:jc w:val="center"/>
            </w:pPr>
            <w:r>
              <w:rPr>
                <w:sz w:val="20"/>
              </w:rPr>
              <w:t xml:space="preserve">-</w:t>
            </w:r>
          </w:p>
        </w:tc>
      </w:tr>
      <w:tr>
        <w:tc>
          <w:tcPr>
            <w:tcW w:w="850" w:type="dxa"/>
          </w:tcPr>
          <w:p>
            <w:pPr>
              <w:pStyle w:val="0"/>
              <w:jc w:val="both"/>
            </w:pPr>
            <w:r>
              <w:rPr>
                <w:sz w:val="20"/>
              </w:rPr>
              <w:t xml:space="preserve">12.3.</w:t>
            </w:r>
          </w:p>
        </w:tc>
        <w:tc>
          <w:tcPr>
            <w:tcW w:w="5613" w:type="dxa"/>
          </w:tcPr>
          <w:p>
            <w:pPr>
              <w:pStyle w:val="0"/>
              <w:jc w:val="both"/>
            </w:pPr>
            <w:r>
              <w:rPr>
                <w:sz w:val="20"/>
              </w:rPr>
              <w:t xml:space="preserve">Укомплектованность кадрами отделения по медицинской реабилитации для детей (оказывающего медицинскую реабилитацию в стационарных условиях и (или) условиях дневного стационара)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12.4.</w:t>
            </w:r>
          </w:p>
        </w:tc>
        <w:tc>
          <w:tcPr>
            <w:tcW w:w="5613" w:type="dxa"/>
          </w:tcPr>
          <w:p>
            <w:pPr>
              <w:pStyle w:val="0"/>
              <w:jc w:val="both"/>
            </w:pPr>
            <w:r>
              <w:rPr>
                <w:sz w:val="20"/>
              </w:rPr>
              <w:t xml:space="preserve">Коэффициент совместительства в отделении по медицинской реабилитации для детей (оказывающем медицинскую реабилитацию в стационарных условиях и (или) условиях дневного стационара)</w:t>
            </w:r>
          </w:p>
        </w:tc>
        <w:tc>
          <w:tcPr>
            <w:tcW w:w="2608" w:type="dxa"/>
          </w:tcPr>
          <w:p>
            <w:pPr>
              <w:pStyle w:val="0"/>
              <w:jc w:val="center"/>
            </w:pPr>
            <w:r>
              <w:rPr>
                <w:sz w:val="20"/>
              </w:rPr>
              <w:t xml:space="preserve">-</w:t>
            </w:r>
          </w:p>
        </w:tc>
      </w:tr>
      <w:tr>
        <w:tc>
          <w:tcPr>
            <w:tcW w:w="850" w:type="dxa"/>
          </w:tcPr>
          <w:p>
            <w:pPr>
              <w:pStyle w:val="0"/>
              <w:jc w:val="both"/>
            </w:pPr>
            <w:r>
              <w:rPr>
                <w:sz w:val="20"/>
              </w:rPr>
              <w:t xml:space="preserve">12.5.</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w:t>
            </w:r>
          </w:p>
        </w:tc>
      </w:tr>
      <w:tr>
        <w:tc>
          <w:tcPr>
            <w:tcW w:w="850" w:type="dxa"/>
          </w:tcPr>
          <w:p>
            <w:pPr>
              <w:pStyle w:val="0"/>
              <w:jc w:val="both"/>
            </w:pPr>
            <w:r>
              <w:rPr>
                <w:sz w:val="20"/>
              </w:rPr>
              <w:t xml:space="preserve">13.</w:t>
            </w:r>
          </w:p>
        </w:tc>
        <w:tc>
          <w:tcPr>
            <w:tcW w:w="5613" w:type="dxa"/>
          </w:tcPr>
          <w:p>
            <w:pPr>
              <w:pStyle w:val="0"/>
              <w:jc w:val="both"/>
            </w:pPr>
            <w:r>
              <w:rPr>
                <w:sz w:val="20"/>
              </w:rPr>
              <w:t xml:space="preserve">Наличие амбулаторного отделения медицинской реабилитации</w:t>
            </w:r>
          </w:p>
        </w:tc>
        <w:tc>
          <w:tcPr>
            <w:tcW w:w="2608" w:type="dxa"/>
          </w:tcPr>
          <w:p>
            <w:pPr>
              <w:pStyle w:val="0"/>
              <w:jc w:val="center"/>
            </w:pPr>
            <w:r>
              <w:rPr>
                <w:sz w:val="20"/>
              </w:rPr>
              <w:t xml:space="preserve">-</w:t>
            </w:r>
          </w:p>
        </w:tc>
      </w:tr>
      <w:tr>
        <w:tc>
          <w:tcPr>
            <w:tcW w:w="850" w:type="dxa"/>
          </w:tcPr>
          <w:p>
            <w:pPr>
              <w:pStyle w:val="0"/>
              <w:jc w:val="both"/>
            </w:pPr>
            <w:r>
              <w:rPr>
                <w:sz w:val="20"/>
              </w:rPr>
              <w:t xml:space="preserve">13.1.</w:t>
            </w:r>
          </w:p>
        </w:tc>
        <w:tc>
          <w:tcPr>
            <w:tcW w:w="5613" w:type="dxa"/>
          </w:tcPr>
          <w:p>
            <w:pPr>
              <w:pStyle w:val="0"/>
              <w:jc w:val="both"/>
            </w:pPr>
            <w:r>
              <w:rPr>
                <w:sz w:val="20"/>
              </w:rPr>
              <w:t xml:space="preserve">Число посещений в смену</w:t>
            </w:r>
          </w:p>
        </w:tc>
        <w:tc>
          <w:tcPr>
            <w:tcW w:w="2608" w:type="dxa"/>
          </w:tcPr>
          <w:p>
            <w:pPr>
              <w:pStyle w:val="0"/>
              <w:jc w:val="center"/>
            </w:pPr>
            <w:r>
              <w:rPr>
                <w:sz w:val="20"/>
              </w:rPr>
              <w:t xml:space="preserve">-</w:t>
            </w:r>
          </w:p>
        </w:tc>
      </w:tr>
      <w:tr>
        <w:tc>
          <w:tcPr>
            <w:tcW w:w="850" w:type="dxa"/>
          </w:tcPr>
          <w:p>
            <w:pPr>
              <w:pStyle w:val="0"/>
              <w:jc w:val="both"/>
            </w:pPr>
            <w:r>
              <w:rPr>
                <w:sz w:val="20"/>
              </w:rPr>
              <w:t xml:space="preserve">13.2.</w:t>
            </w:r>
          </w:p>
        </w:tc>
        <w:tc>
          <w:tcPr>
            <w:tcW w:w="5613" w:type="dxa"/>
          </w:tcPr>
          <w:p>
            <w:pPr>
              <w:pStyle w:val="0"/>
              <w:jc w:val="both"/>
            </w:pPr>
            <w:r>
              <w:rPr>
                <w:sz w:val="20"/>
              </w:rPr>
              <w:t xml:space="preserve">Укомплектованность кадрами амбулаторного отделения медицинской реабилитации с учетом совместительства (%)</w:t>
            </w:r>
          </w:p>
        </w:tc>
        <w:tc>
          <w:tcPr>
            <w:tcW w:w="2608" w:type="dxa"/>
          </w:tcPr>
          <w:p>
            <w:pPr>
              <w:pStyle w:val="0"/>
              <w:jc w:val="center"/>
            </w:pPr>
            <w:r>
              <w:rPr>
                <w:sz w:val="20"/>
              </w:rPr>
              <w:t xml:space="preserve">-</w:t>
            </w:r>
          </w:p>
        </w:tc>
      </w:tr>
      <w:tr>
        <w:tc>
          <w:tcPr>
            <w:tcW w:w="850" w:type="dxa"/>
          </w:tcPr>
          <w:p>
            <w:pPr>
              <w:pStyle w:val="0"/>
              <w:jc w:val="both"/>
            </w:pPr>
            <w:r>
              <w:rPr>
                <w:sz w:val="20"/>
              </w:rPr>
              <w:t xml:space="preserve">13.3.</w:t>
            </w:r>
          </w:p>
        </w:tc>
        <w:tc>
          <w:tcPr>
            <w:tcW w:w="5613" w:type="dxa"/>
          </w:tcPr>
          <w:p>
            <w:pPr>
              <w:pStyle w:val="0"/>
              <w:jc w:val="both"/>
            </w:pPr>
            <w:r>
              <w:rPr>
                <w:sz w:val="20"/>
              </w:rPr>
              <w:t xml:space="preserve">Коэффициент совместительства в амбулаторном отделении медицинской реабилитации</w:t>
            </w:r>
          </w:p>
        </w:tc>
        <w:tc>
          <w:tcPr>
            <w:tcW w:w="2608" w:type="dxa"/>
          </w:tcPr>
          <w:p>
            <w:pPr>
              <w:pStyle w:val="0"/>
              <w:jc w:val="center"/>
            </w:pPr>
            <w:r>
              <w:rPr>
                <w:sz w:val="20"/>
              </w:rPr>
              <w:t xml:space="preserve">-</w:t>
            </w:r>
          </w:p>
        </w:tc>
      </w:tr>
      <w:tr>
        <w:tc>
          <w:tcPr>
            <w:tcW w:w="850" w:type="dxa"/>
          </w:tcPr>
          <w:p>
            <w:pPr>
              <w:pStyle w:val="0"/>
              <w:jc w:val="both"/>
            </w:pPr>
            <w:r>
              <w:rPr>
                <w:sz w:val="20"/>
              </w:rPr>
              <w:t xml:space="preserve">13.4.</w:t>
            </w:r>
          </w:p>
        </w:tc>
        <w:tc>
          <w:tcPr>
            <w:tcW w:w="5613" w:type="dxa"/>
          </w:tcPr>
          <w:p>
            <w:pPr>
              <w:pStyle w:val="0"/>
              <w:jc w:val="both"/>
            </w:pPr>
            <w:r>
              <w:rPr>
                <w:sz w:val="20"/>
              </w:rPr>
              <w:t xml:space="preserve">Коэффициент оснащенности отделения (%)</w:t>
            </w:r>
          </w:p>
        </w:tc>
        <w:tc>
          <w:tcPr>
            <w:tcW w:w="2608" w:type="dxa"/>
          </w:tcPr>
          <w:p>
            <w:pPr>
              <w:pStyle w:val="0"/>
              <w:jc w:val="center"/>
            </w:pPr>
            <w:r>
              <w:rPr>
                <w:sz w:val="20"/>
              </w:rPr>
              <w:t xml:space="preserve">-</w:t>
            </w:r>
          </w:p>
        </w:tc>
      </w:tr>
    </w:tbl>
    <w:p>
      <w:pPr>
        <w:pStyle w:val="0"/>
        <w:ind w:firstLine="540"/>
        <w:jc w:val="both"/>
      </w:pPr>
      <w:r>
        <w:rPr>
          <w:sz w:val="20"/>
        </w:rPr>
      </w:r>
    </w:p>
    <w:p>
      <w:pPr>
        <w:pStyle w:val="0"/>
        <w:jc w:val="right"/>
      </w:pPr>
      <w:r>
        <w:rPr>
          <w:sz w:val="20"/>
        </w:rPr>
        <w:t xml:space="preserve">Таблица 15</w:t>
      </w:r>
    </w:p>
    <w:p>
      <w:pPr>
        <w:pStyle w:val="0"/>
      </w:pPr>
      <w:r>
        <w:rPr>
          <w:sz w:val="20"/>
        </w:rPr>
      </w:r>
    </w:p>
    <w:p>
      <w:pPr>
        <w:pStyle w:val="0"/>
        <w:jc w:val="center"/>
      </w:pPr>
      <w:r>
        <w:rPr>
          <w:sz w:val="20"/>
        </w:rPr>
        <w:t xml:space="preserve">ГБ N 5</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4252"/>
        <w:gridCol w:w="3912"/>
      </w:tblGrid>
      <w:tr>
        <w:tc>
          <w:tcPr>
            <w:tcW w:w="850" w:type="dxa"/>
          </w:tcPr>
          <w:p>
            <w:pPr>
              <w:pStyle w:val="0"/>
              <w:jc w:val="both"/>
            </w:pPr>
            <w:r>
              <w:rPr>
                <w:sz w:val="20"/>
              </w:rPr>
              <w:t xml:space="preserve">1.</w:t>
            </w:r>
          </w:p>
        </w:tc>
        <w:tc>
          <w:tcPr>
            <w:tcW w:w="4252" w:type="dxa"/>
          </w:tcPr>
          <w:p>
            <w:pPr>
              <w:pStyle w:val="0"/>
              <w:jc w:val="both"/>
            </w:pPr>
            <w:r>
              <w:rPr>
                <w:sz w:val="20"/>
              </w:rPr>
              <w:t xml:space="preserve">Полное наименование медицинской организации</w:t>
            </w:r>
          </w:p>
        </w:tc>
        <w:tc>
          <w:tcPr>
            <w:tcW w:w="3912" w:type="dxa"/>
          </w:tcPr>
          <w:p>
            <w:pPr>
              <w:pStyle w:val="0"/>
              <w:jc w:val="both"/>
            </w:pPr>
            <w:r>
              <w:rPr>
                <w:sz w:val="20"/>
              </w:rPr>
              <w:t xml:space="preserve">ГБ N 5</w:t>
            </w:r>
          </w:p>
        </w:tc>
      </w:tr>
      <w:tr>
        <w:tc>
          <w:tcPr>
            <w:tcW w:w="850" w:type="dxa"/>
          </w:tcPr>
          <w:p>
            <w:pPr>
              <w:pStyle w:val="0"/>
              <w:jc w:val="both"/>
            </w:pPr>
            <w:r>
              <w:rPr>
                <w:sz w:val="20"/>
              </w:rPr>
              <w:t xml:space="preserve">2.</w:t>
            </w:r>
          </w:p>
        </w:tc>
        <w:tc>
          <w:tcPr>
            <w:tcW w:w="4252" w:type="dxa"/>
          </w:tcPr>
          <w:p>
            <w:pPr>
              <w:pStyle w:val="0"/>
              <w:jc w:val="both"/>
            </w:pPr>
            <w:r>
              <w:rPr>
                <w:sz w:val="20"/>
              </w:rPr>
              <w:t xml:space="preserve">Наличие лицензии (указать работы (услуги) по медицинской реабилитации)</w:t>
            </w:r>
          </w:p>
        </w:tc>
        <w:tc>
          <w:tcPr>
            <w:tcW w:w="3912" w:type="dxa"/>
          </w:tcPr>
          <w:p>
            <w:pPr>
              <w:pStyle w:val="0"/>
              <w:jc w:val="both"/>
            </w:pPr>
            <w:r>
              <w:rPr>
                <w:sz w:val="20"/>
              </w:rPr>
              <w:t xml:space="preserve">- лечебная физкультура</w:t>
            </w:r>
          </w:p>
          <w:p>
            <w:pPr>
              <w:pStyle w:val="0"/>
              <w:jc w:val="both"/>
            </w:pPr>
            <w:r>
              <w:rPr>
                <w:sz w:val="20"/>
              </w:rPr>
              <w:t xml:space="preserve">- медицинский массаж</w:t>
            </w:r>
          </w:p>
          <w:p>
            <w:pPr>
              <w:pStyle w:val="0"/>
              <w:jc w:val="both"/>
            </w:pPr>
            <w:r>
              <w:rPr>
                <w:sz w:val="20"/>
              </w:rPr>
              <w:t xml:space="preserve">- физиотерапия</w:t>
            </w:r>
          </w:p>
          <w:p>
            <w:pPr>
              <w:pStyle w:val="0"/>
              <w:jc w:val="both"/>
            </w:pPr>
            <w:r>
              <w:rPr>
                <w:sz w:val="20"/>
              </w:rPr>
              <w:t xml:space="preserve">- функциональная диагностика</w:t>
            </w:r>
          </w:p>
          <w:p>
            <w:pPr>
              <w:pStyle w:val="0"/>
              <w:jc w:val="both"/>
            </w:pPr>
            <w:r>
              <w:rPr>
                <w:sz w:val="20"/>
              </w:rPr>
              <w:t xml:space="preserve">- лечебная физкультура и спортивная медицина</w:t>
            </w:r>
          </w:p>
          <w:p>
            <w:pPr>
              <w:pStyle w:val="0"/>
              <w:jc w:val="both"/>
            </w:pPr>
            <w:r>
              <w:rPr>
                <w:sz w:val="20"/>
              </w:rPr>
              <w:t xml:space="preserve">- медицинская реабилитация</w:t>
            </w:r>
          </w:p>
          <w:p>
            <w:pPr>
              <w:pStyle w:val="0"/>
              <w:jc w:val="both"/>
            </w:pPr>
            <w:r>
              <w:rPr>
                <w:sz w:val="20"/>
              </w:rPr>
              <w:t xml:space="preserve">- психотерапия</w:t>
            </w:r>
          </w:p>
          <w:p>
            <w:pPr>
              <w:pStyle w:val="0"/>
              <w:jc w:val="both"/>
            </w:pPr>
            <w:r>
              <w:rPr>
                <w:sz w:val="20"/>
              </w:rPr>
              <w:t xml:space="preserve">- рефлексотерапия</w:t>
            </w:r>
          </w:p>
        </w:tc>
      </w:tr>
      <w:tr>
        <w:tc>
          <w:tcPr>
            <w:tcW w:w="850" w:type="dxa"/>
          </w:tcPr>
          <w:p>
            <w:pPr>
              <w:pStyle w:val="0"/>
              <w:jc w:val="both"/>
            </w:pPr>
            <w:r>
              <w:rPr>
                <w:sz w:val="20"/>
              </w:rPr>
              <w:t xml:space="preserve">3.</w:t>
            </w:r>
          </w:p>
        </w:tc>
        <w:tc>
          <w:tcPr>
            <w:tcW w:w="4252" w:type="dxa"/>
          </w:tcPr>
          <w:p>
            <w:pPr>
              <w:pStyle w:val="0"/>
              <w:jc w:val="both"/>
            </w:pPr>
            <w:r>
              <w:rPr>
                <w:sz w:val="20"/>
              </w:rPr>
              <w:t xml:space="preserve">Группа медицинской организации (1, 2, 3)</w:t>
            </w:r>
          </w:p>
        </w:tc>
        <w:tc>
          <w:tcPr>
            <w:tcW w:w="3912" w:type="dxa"/>
          </w:tcPr>
          <w:p>
            <w:pPr>
              <w:pStyle w:val="0"/>
              <w:jc w:val="center"/>
            </w:pPr>
            <w:r>
              <w:rPr>
                <w:sz w:val="20"/>
              </w:rPr>
              <w:t xml:space="preserve">3</w:t>
            </w:r>
          </w:p>
        </w:tc>
      </w:tr>
      <w:tr>
        <w:tc>
          <w:tcPr>
            <w:tcW w:w="850" w:type="dxa"/>
          </w:tcPr>
          <w:p>
            <w:pPr>
              <w:pStyle w:val="0"/>
              <w:jc w:val="both"/>
            </w:pPr>
            <w:r>
              <w:rPr>
                <w:sz w:val="20"/>
              </w:rPr>
              <w:t xml:space="preserve">4.</w:t>
            </w:r>
          </w:p>
        </w:tc>
        <w:tc>
          <w:tcPr>
            <w:tcW w:w="4252" w:type="dxa"/>
          </w:tcPr>
          <w:p>
            <w:pPr>
              <w:pStyle w:val="0"/>
              <w:jc w:val="both"/>
            </w:pPr>
            <w:r>
              <w:rPr>
                <w:sz w:val="20"/>
              </w:rPr>
              <w:t xml:space="preserve">Медицинская организация является "якорной" по профилю "медицинская реабилитация" (да/нет)</w:t>
            </w:r>
          </w:p>
        </w:tc>
        <w:tc>
          <w:tcPr>
            <w:tcW w:w="3912" w:type="dxa"/>
          </w:tcPr>
          <w:p>
            <w:pPr>
              <w:pStyle w:val="0"/>
              <w:jc w:val="both"/>
            </w:pPr>
            <w:r>
              <w:rPr>
                <w:sz w:val="20"/>
              </w:rPr>
              <w:t xml:space="preserve">Да</w:t>
            </w:r>
          </w:p>
        </w:tc>
      </w:tr>
      <w:tr>
        <w:tc>
          <w:tcPr>
            <w:tcW w:w="850" w:type="dxa"/>
          </w:tcPr>
          <w:p>
            <w:pPr>
              <w:pStyle w:val="0"/>
              <w:jc w:val="both"/>
            </w:pPr>
            <w:r>
              <w:rPr>
                <w:sz w:val="20"/>
              </w:rPr>
              <w:t xml:space="preserve">5.</w:t>
            </w:r>
          </w:p>
        </w:tc>
        <w:tc>
          <w:tcPr>
            <w:tcW w:w="4252" w:type="dxa"/>
          </w:tcPr>
          <w:p>
            <w:pPr>
              <w:pStyle w:val="0"/>
              <w:jc w:val="both"/>
            </w:pPr>
            <w:r>
              <w:rPr>
                <w:sz w:val="20"/>
              </w:rPr>
              <w:t xml:space="preserve">Число прикрепленного населения (тыс. чел.) (при наличии)</w:t>
            </w:r>
          </w:p>
        </w:tc>
        <w:tc>
          <w:tcPr>
            <w:tcW w:w="3912" w:type="dxa"/>
          </w:tcPr>
          <w:p>
            <w:pPr>
              <w:pStyle w:val="0"/>
              <w:jc w:val="center"/>
            </w:pPr>
            <w:r>
              <w:rPr>
                <w:sz w:val="20"/>
              </w:rPr>
              <w:t xml:space="preserve">73822</w:t>
            </w:r>
          </w:p>
        </w:tc>
      </w:tr>
      <w:tr>
        <w:tc>
          <w:tcPr>
            <w:tcW w:w="850" w:type="dxa"/>
          </w:tcPr>
          <w:p>
            <w:pPr>
              <w:pStyle w:val="0"/>
              <w:jc w:val="both"/>
            </w:pPr>
            <w:r>
              <w:rPr>
                <w:sz w:val="20"/>
              </w:rPr>
              <w:t xml:space="preserve">6.</w:t>
            </w:r>
          </w:p>
        </w:tc>
        <w:tc>
          <w:tcPr>
            <w:tcW w:w="4252" w:type="dxa"/>
          </w:tcPr>
          <w:p>
            <w:pPr>
              <w:pStyle w:val="0"/>
              <w:jc w:val="both"/>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3912" w:type="dxa"/>
          </w:tcPr>
          <w:p>
            <w:pPr>
              <w:pStyle w:val="0"/>
              <w:jc w:val="both"/>
            </w:pPr>
            <w:r>
              <w:rPr>
                <w:sz w:val="20"/>
              </w:rPr>
              <w:t xml:space="preserve">2023</w:t>
            </w:r>
          </w:p>
        </w:tc>
      </w:tr>
      <w:tr>
        <w:tc>
          <w:tcPr>
            <w:tcW w:w="850" w:type="dxa"/>
          </w:tcPr>
          <w:p>
            <w:pPr>
              <w:pStyle w:val="0"/>
              <w:jc w:val="both"/>
            </w:pPr>
            <w:r>
              <w:rPr>
                <w:sz w:val="20"/>
              </w:rPr>
              <w:t xml:space="preserve">7.</w:t>
            </w:r>
          </w:p>
        </w:tc>
        <w:tc>
          <w:tcPr>
            <w:tcW w:w="4252" w:type="dxa"/>
          </w:tcPr>
          <w:p>
            <w:pPr>
              <w:pStyle w:val="0"/>
              <w:jc w:val="both"/>
            </w:pPr>
            <w:r>
              <w:rPr>
                <w:sz w:val="20"/>
              </w:rPr>
              <w:t xml:space="preserve">Коэффициент оснащенности медицинской организации на май 2023 г. (%)</w:t>
            </w:r>
          </w:p>
        </w:tc>
        <w:tc>
          <w:tcPr>
            <w:tcW w:w="3912" w:type="dxa"/>
          </w:tcPr>
          <w:p>
            <w:pPr>
              <w:pStyle w:val="0"/>
              <w:jc w:val="both"/>
            </w:pPr>
            <w:r>
              <w:rPr>
                <w:sz w:val="20"/>
              </w:rPr>
              <w:t xml:space="preserve">52%</w:t>
            </w:r>
          </w:p>
        </w:tc>
      </w:tr>
      <w:tr>
        <w:tc>
          <w:tcPr>
            <w:tcW w:w="850" w:type="dxa"/>
          </w:tcPr>
          <w:p>
            <w:pPr>
              <w:pStyle w:val="0"/>
              <w:jc w:val="both"/>
            </w:pPr>
            <w:r>
              <w:rPr>
                <w:sz w:val="20"/>
              </w:rPr>
              <w:t xml:space="preserve">8.</w:t>
            </w:r>
          </w:p>
        </w:tc>
        <w:tc>
          <w:tcPr>
            <w:tcW w:w="4252" w:type="dxa"/>
          </w:tcPr>
          <w:p>
            <w:pPr>
              <w:pStyle w:val="0"/>
              <w:jc w:val="both"/>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3912" w:type="dxa"/>
          </w:tcPr>
          <w:p>
            <w:pPr>
              <w:pStyle w:val="0"/>
              <w:jc w:val="both"/>
            </w:pPr>
            <w:r>
              <w:rPr>
                <w:sz w:val="20"/>
              </w:rPr>
              <w:t xml:space="preserve">Да</w:t>
            </w:r>
          </w:p>
        </w:tc>
      </w:tr>
      <w:tr>
        <w:tc>
          <w:tcPr>
            <w:tcW w:w="850" w:type="dxa"/>
          </w:tcPr>
          <w:p>
            <w:pPr>
              <w:pStyle w:val="0"/>
              <w:jc w:val="both"/>
            </w:pPr>
            <w:r>
              <w:rPr>
                <w:sz w:val="20"/>
              </w:rPr>
              <w:t xml:space="preserve">9.</w:t>
            </w:r>
          </w:p>
        </w:tc>
        <w:tc>
          <w:tcPr>
            <w:tcW w:w="4252" w:type="dxa"/>
          </w:tcPr>
          <w:p>
            <w:pPr>
              <w:pStyle w:val="0"/>
              <w:jc w:val="both"/>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 &lt;*&gt;</w:t>
            </w:r>
          </w:p>
        </w:tc>
        <w:tc>
          <w:tcPr>
            <w:tcW w:w="3912" w:type="dxa"/>
          </w:tcPr>
          <w:p>
            <w:pPr>
              <w:pStyle w:val="0"/>
              <w:jc w:val="both"/>
            </w:pPr>
            <w:r>
              <w:rPr>
                <w:sz w:val="20"/>
              </w:rPr>
              <w:t xml:space="preserve">Детское реабилитационное отделение</w:t>
            </w:r>
          </w:p>
        </w:tc>
      </w:tr>
      <w:tr>
        <w:tc>
          <w:tcPr>
            <w:tcW w:w="850" w:type="dxa"/>
          </w:tcPr>
          <w:p>
            <w:pPr>
              <w:pStyle w:val="0"/>
              <w:jc w:val="both"/>
            </w:pPr>
            <w:r>
              <w:rPr>
                <w:sz w:val="20"/>
              </w:rPr>
              <w:t xml:space="preserve">9.1.</w:t>
            </w:r>
          </w:p>
        </w:tc>
        <w:tc>
          <w:tcPr>
            <w:tcW w:w="4252" w:type="dxa"/>
          </w:tcPr>
          <w:p>
            <w:pPr>
              <w:pStyle w:val="0"/>
              <w:jc w:val="both"/>
            </w:pPr>
            <w:r>
              <w:rPr>
                <w:sz w:val="20"/>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3912" w:type="dxa"/>
          </w:tcPr>
          <w:p>
            <w:pPr>
              <w:pStyle w:val="0"/>
              <w:jc w:val="both"/>
            </w:pPr>
            <w:r>
              <w:rPr>
                <w:sz w:val="20"/>
              </w:rPr>
              <w:t xml:space="preserve">67%</w:t>
            </w:r>
          </w:p>
        </w:tc>
      </w:tr>
      <w:tr>
        <w:tc>
          <w:tcPr>
            <w:tcW w:w="850" w:type="dxa"/>
          </w:tcPr>
          <w:p>
            <w:pPr>
              <w:pStyle w:val="0"/>
              <w:jc w:val="both"/>
            </w:pPr>
            <w:r>
              <w:rPr>
                <w:sz w:val="20"/>
              </w:rPr>
              <w:t xml:space="preserve">9.2.</w:t>
            </w:r>
          </w:p>
        </w:tc>
        <w:tc>
          <w:tcPr>
            <w:tcW w:w="4252" w:type="dxa"/>
          </w:tcPr>
          <w:p>
            <w:pPr>
              <w:pStyle w:val="0"/>
              <w:jc w:val="both"/>
            </w:pPr>
            <w:r>
              <w:rPr>
                <w:sz w:val="20"/>
              </w:rPr>
              <w:t xml:space="preserve">Коэффициент совместительства в отделении ранней медицинской реабилитации или детском реабилитационном отделении</w:t>
            </w:r>
          </w:p>
        </w:tc>
        <w:tc>
          <w:tcPr>
            <w:tcW w:w="3912" w:type="dxa"/>
          </w:tcPr>
          <w:p>
            <w:pPr>
              <w:pStyle w:val="0"/>
              <w:jc w:val="center"/>
            </w:pPr>
            <w:r>
              <w:rPr>
                <w:sz w:val="20"/>
              </w:rPr>
              <w:t xml:space="preserve">1,15</w:t>
            </w:r>
          </w:p>
        </w:tc>
      </w:tr>
      <w:tr>
        <w:tc>
          <w:tcPr>
            <w:tcW w:w="850" w:type="dxa"/>
          </w:tcPr>
          <w:p>
            <w:pPr>
              <w:pStyle w:val="0"/>
              <w:jc w:val="both"/>
            </w:pPr>
            <w:r>
              <w:rPr>
                <w:sz w:val="20"/>
              </w:rPr>
              <w:t xml:space="preserve">9.3.</w:t>
            </w:r>
          </w:p>
        </w:tc>
        <w:tc>
          <w:tcPr>
            <w:tcW w:w="4252" w:type="dxa"/>
          </w:tcPr>
          <w:p>
            <w:pPr>
              <w:pStyle w:val="0"/>
              <w:jc w:val="both"/>
            </w:pPr>
            <w:r>
              <w:rPr>
                <w:sz w:val="20"/>
              </w:rPr>
              <w:t xml:space="preserve">Коэффициент оснащенности отделения (%)</w:t>
            </w:r>
          </w:p>
        </w:tc>
        <w:tc>
          <w:tcPr>
            <w:tcW w:w="3912" w:type="dxa"/>
          </w:tcPr>
          <w:p>
            <w:pPr>
              <w:pStyle w:val="0"/>
              <w:jc w:val="both"/>
            </w:pPr>
            <w:r>
              <w:rPr>
                <w:sz w:val="20"/>
              </w:rPr>
              <w:t xml:space="preserve">49%</w:t>
            </w:r>
          </w:p>
        </w:tc>
      </w:tr>
      <w:tr>
        <w:tc>
          <w:tcPr>
            <w:tcW w:w="850" w:type="dxa"/>
          </w:tcPr>
          <w:p>
            <w:pPr>
              <w:pStyle w:val="0"/>
              <w:jc w:val="both"/>
            </w:pPr>
            <w:r>
              <w:rPr>
                <w:sz w:val="20"/>
              </w:rPr>
              <w:t xml:space="preserve">10.</w:t>
            </w:r>
          </w:p>
        </w:tc>
        <w:tc>
          <w:tcPr>
            <w:tcW w:w="4252" w:type="dxa"/>
          </w:tcPr>
          <w:p>
            <w:pPr>
              <w:pStyle w:val="0"/>
              <w:jc w:val="both"/>
            </w:pPr>
            <w:r>
              <w:rPr>
                <w:sz w:val="20"/>
              </w:rPr>
              <w:t xml:space="preserve">Наименование стационарного отделения медицинской реабилитации (для взрослых) &lt;**&gt;</w:t>
            </w:r>
          </w:p>
        </w:tc>
        <w:tc>
          <w:tcPr>
            <w:tcW w:w="3912" w:type="dxa"/>
          </w:tcPr>
          <w:p>
            <w:pPr>
              <w:pStyle w:val="0"/>
              <w:jc w:val="center"/>
            </w:pPr>
            <w:r>
              <w:rPr>
                <w:sz w:val="20"/>
              </w:rPr>
              <w:t xml:space="preserve">-</w:t>
            </w:r>
          </w:p>
        </w:tc>
      </w:tr>
      <w:tr>
        <w:tc>
          <w:tcPr>
            <w:tcW w:w="850" w:type="dxa"/>
          </w:tcPr>
          <w:p>
            <w:pPr>
              <w:pStyle w:val="0"/>
              <w:jc w:val="both"/>
            </w:pPr>
            <w:r>
              <w:rPr>
                <w:sz w:val="20"/>
              </w:rPr>
              <w:t xml:space="preserve">10.1.</w:t>
            </w:r>
          </w:p>
        </w:tc>
        <w:tc>
          <w:tcPr>
            <w:tcW w:w="4252" w:type="dxa"/>
          </w:tcPr>
          <w:p>
            <w:pPr>
              <w:pStyle w:val="0"/>
              <w:jc w:val="both"/>
            </w:pPr>
            <w:r>
              <w:rPr>
                <w:sz w:val="20"/>
              </w:rPr>
              <w:t xml:space="preserve">Коечная мощность (указать профиль и число стационарных реабилитационных коек по состоянию на 01.01.2023)</w:t>
            </w:r>
          </w:p>
        </w:tc>
        <w:tc>
          <w:tcPr>
            <w:tcW w:w="3912" w:type="dxa"/>
          </w:tcPr>
          <w:p>
            <w:pPr>
              <w:pStyle w:val="0"/>
              <w:jc w:val="center"/>
            </w:pPr>
            <w:r>
              <w:rPr>
                <w:sz w:val="20"/>
              </w:rPr>
              <w:t xml:space="preserve">-</w:t>
            </w:r>
          </w:p>
        </w:tc>
      </w:tr>
      <w:tr>
        <w:tc>
          <w:tcPr>
            <w:tcW w:w="850" w:type="dxa"/>
          </w:tcPr>
          <w:p>
            <w:pPr>
              <w:pStyle w:val="0"/>
              <w:jc w:val="both"/>
            </w:pPr>
            <w:r>
              <w:rPr>
                <w:sz w:val="20"/>
              </w:rPr>
              <w:t xml:space="preserve">10.2.</w:t>
            </w:r>
          </w:p>
        </w:tc>
        <w:tc>
          <w:tcPr>
            <w:tcW w:w="4252" w:type="dxa"/>
          </w:tcPr>
          <w:p>
            <w:pPr>
              <w:pStyle w:val="0"/>
              <w:jc w:val="both"/>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3912" w:type="dxa"/>
          </w:tcPr>
          <w:p>
            <w:pPr>
              <w:pStyle w:val="0"/>
              <w:jc w:val="center"/>
            </w:pPr>
            <w:r>
              <w:rPr>
                <w:sz w:val="20"/>
              </w:rPr>
              <w:t xml:space="preserve">-</w:t>
            </w:r>
          </w:p>
        </w:tc>
      </w:tr>
      <w:tr>
        <w:tc>
          <w:tcPr>
            <w:tcW w:w="850" w:type="dxa"/>
          </w:tcPr>
          <w:p>
            <w:pPr>
              <w:pStyle w:val="0"/>
              <w:jc w:val="both"/>
            </w:pPr>
            <w:r>
              <w:rPr>
                <w:sz w:val="20"/>
              </w:rPr>
              <w:t xml:space="preserve">10.3.</w:t>
            </w:r>
          </w:p>
        </w:tc>
        <w:tc>
          <w:tcPr>
            <w:tcW w:w="4252" w:type="dxa"/>
          </w:tcPr>
          <w:p>
            <w:pPr>
              <w:pStyle w:val="0"/>
              <w:jc w:val="both"/>
            </w:pPr>
            <w:r>
              <w:rPr>
                <w:sz w:val="20"/>
              </w:rPr>
              <w:t xml:space="preserve">Коэффициент совместительства в стационарном отделении медицинской реабилитации (для взрослых)</w:t>
            </w:r>
          </w:p>
        </w:tc>
        <w:tc>
          <w:tcPr>
            <w:tcW w:w="3912" w:type="dxa"/>
          </w:tcPr>
          <w:p>
            <w:pPr>
              <w:pStyle w:val="0"/>
              <w:jc w:val="center"/>
            </w:pPr>
            <w:r>
              <w:rPr>
                <w:sz w:val="20"/>
              </w:rPr>
              <w:t xml:space="preserve">-</w:t>
            </w:r>
          </w:p>
        </w:tc>
      </w:tr>
      <w:tr>
        <w:tc>
          <w:tcPr>
            <w:tcW w:w="850" w:type="dxa"/>
          </w:tcPr>
          <w:p>
            <w:pPr>
              <w:pStyle w:val="0"/>
              <w:jc w:val="both"/>
            </w:pPr>
            <w:r>
              <w:rPr>
                <w:sz w:val="20"/>
              </w:rPr>
              <w:t xml:space="preserve">10.4.</w:t>
            </w:r>
          </w:p>
        </w:tc>
        <w:tc>
          <w:tcPr>
            <w:tcW w:w="4252" w:type="dxa"/>
          </w:tcPr>
          <w:p>
            <w:pPr>
              <w:pStyle w:val="0"/>
              <w:jc w:val="both"/>
            </w:pPr>
            <w:r>
              <w:rPr>
                <w:sz w:val="20"/>
              </w:rPr>
              <w:t xml:space="preserve">Коэффициент оснащенности отделения (%)</w:t>
            </w:r>
          </w:p>
        </w:tc>
        <w:tc>
          <w:tcPr>
            <w:tcW w:w="3912" w:type="dxa"/>
          </w:tcPr>
          <w:p>
            <w:pPr>
              <w:pStyle w:val="0"/>
              <w:jc w:val="center"/>
            </w:pPr>
            <w:r>
              <w:rPr>
                <w:sz w:val="20"/>
              </w:rPr>
              <w:t xml:space="preserve">-</w:t>
            </w:r>
          </w:p>
        </w:tc>
      </w:tr>
      <w:tr>
        <w:tc>
          <w:tcPr>
            <w:tcW w:w="850" w:type="dxa"/>
          </w:tcPr>
          <w:p>
            <w:pPr>
              <w:pStyle w:val="0"/>
              <w:jc w:val="both"/>
            </w:pPr>
            <w:r>
              <w:rPr>
                <w:sz w:val="20"/>
              </w:rPr>
              <w:t xml:space="preserve">11.</w:t>
            </w:r>
          </w:p>
        </w:tc>
        <w:tc>
          <w:tcPr>
            <w:tcW w:w="4252" w:type="dxa"/>
          </w:tcPr>
          <w:p>
            <w:pPr>
              <w:pStyle w:val="0"/>
              <w:jc w:val="both"/>
            </w:pPr>
            <w:r>
              <w:rPr>
                <w:sz w:val="20"/>
              </w:rPr>
              <w:t xml:space="preserve">Наличие дневного стационара медицинской реабилитации (для взрослых) (да/нет)</w:t>
            </w:r>
          </w:p>
        </w:tc>
        <w:tc>
          <w:tcPr>
            <w:tcW w:w="3912" w:type="dxa"/>
          </w:tcPr>
          <w:p>
            <w:pPr>
              <w:pStyle w:val="0"/>
              <w:jc w:val="center"/>
            </w:pPr>
            <w:r>
              <w:rPr>
                <w:sz w:val="20"/>
              </w:rPr>
              <w:t xml:space="preserve">-</w:t>
            </w:r>
          </w:p>
        </w:tc>
      </w:tr>
      <w:tr>
        <w:tc>
          <w:tcPr>
            <w:tcW w:w="850" w:type="dxa"/>
          </w:tcPr>
          <w:p>
            <w:pPr>
              <w:pStyle w:val="0"/>
              <w:jc w:val="both"/>
            </w:pPr>
            <w:r>
              <w:rPr>
                <w:sz w:val="20"/>
              </w:rPr>
              <w:t xml:space="preserve">11.1.</w:t>
            </w:r>
          </w:p>
        </w:tc>
        <w:tc>
          <w:tcPr>
            <w:tcW w:w="4252" w:type="dxa"/>
          </w:tcPr>
          <w:p>
            <w:pPr>
              <w:pStyle w:val="0"/>
              <w:jc w:val="both"/>
            </w:pPr>
            <w:r>
              <w:rPr>
                <w:sz w:val="20"/>
              </w:rPr>
              <w:t xml:space="preserve">Коечная мощность (указать число реабилитационных коек дневного стационара по состоянию на 01.01.2023)</w:t>
            </w:r>
          </w:p>
        </w:tc>
        <w:tc>
          <w:tcPr>
            <w:tcW w:w="3912" w:type="dxa"/>
          </w:tcPr>
          <w:p>
            <w:pPr>
              <w:pStyle w:val="0"/>
              <w:jc w:val="center"/>
            </w:pPr>
            <w:r>
              <w:rPr>
                <w:sz w:val="20"/>
              </w:rPr>
              <w:t xml:space="preserve">-</w:t>
            </w:r>
          </w:p>
        </w:tc>
      </w:tr>
      <w:tr>
        <w:tc>
          <w:tcPr>
            <w:tcW w:w="850" w:type="dxa"/>
          </w:tcPr>
          <w:p>
            <w:pPr>
              <w:pStyle w:val="0"/>
              <w:jc w:val="both"/>
            </w:pPr>
            <w:r>
              <w:rPr>
                <w:sz w:val="20"/>
              </w:rPr>
              <w:t xml:space="preserve">11.2.</w:t>
            </w:r>
          </w:p>
        </w:tc>
        <w:tc>
          <w:tcPr>
            <w:tcW w:w="4252" w:type="dxa"/>
          </w:tcPr>
          <w:p>
            <w:pPr>
              <w:pStyle w:val="0"/>
              <w:jc w:val="both"/>
            </w:pPr>
            <w:r>
              <w:rPr>
                <w:sz w:val="20"/>
              </w:rPr>
              <w:t xml:space="preserve">Укомплектованность кадрами дневного стационара медицинской реабилитации (для взрослых) с учетом совместительства (%)</w:t>
            </w:r>
          </w:p>
        </w:tc>
        <w:tc>
          <w:tcPr>
            <w:tcW w:w="3912" w:type="dxa"/>
          </w:tcPr>
          <w:p>
            <w:pPr>
              <w:pStyle w:val="0"/>
              <w:jc w:val="center"/>
            </w:pPr>
            <w:r>
              <w:rPr>
                <w:sz w:val="20"/>
              </w:rPr>
              <w:t xml:space="preserve">-</w:t>
            </w:r>
          </w:p>
        </w:tc>
      </w:tr>
      <w:tr>
        <w:tc>
          <w:tcPr>
            <w:tcW w:w="850" w:type="dxa"/>
          </w:tcPr>
          <w:p>
            <w:pPr>
              <w:pStyle w:val="0"/>
              <w:jc w:val="both"/>
            </w:pPr>
            <w:r>
              <w:rPr>
                <w:sz w:val="20"/>
              </w:rPr>
              <w:t xml:space="preserve">11.3.</w:t>
            </w:r>
          </w:p>
        </w:tc>
        <w:tc>
          <w:tcPr>
            <w:tcW w:w="4252" w:type="dxa"/>
          </w:tcPr>
          <w:p>
            <w:pPr>
              <w:pStyle w:val="0"/>
              <w:jc w:val="both"/>
            </w:pPr>
            <w:r>
              <w:rPr>
                <w:sz w:val="20"/>
              </w:rPr>
              <w:t xml:space="preserve">Коэффициент совместительства в дневном стационаре медицинской реабилитации (для взрослых)</w:t>
            </w:r>
          </w:p>
        </w:tc>
        <w:tc>
          <w:tcPr>
            <w:tcW w:w="3912" w:type="dxa"/>
          </w:tcPr>
          <w:p>
            <w:pPr>
              <w:pStyle w:val="0"/>
              <w:jc w:val="center"/>
            </w:pPr>
            <w:r>
              <w:rPr>
                <w:sz w:val="20"/>
              </w:rPr>
              <w:t xml:space="preserve">-</w:t>
            </w:r>
          </w:p>
        </w:tc>
      </w:tr>
      <w:tr>
        <w:tc>
          <w:tcPr>
            <w:tcW w:w="850" w:type="dxa"/>
          </w:tcPr>
          <w:p>
            <w:pPr>
              <w:pStyle w:val="0"/>
              <w:jc w:val="both"/>
            </w:pPr>
            <w:r>
              <w:rPr>
                <w:sz w:val="20"/>
              </w:rPr>
              <w:t xml:space="preserve">11.4.</w:t>
            </w:r>
          </w:p>
        </w:tc>
        <w:tc>
          <w:tcPr>
            <w:tcW w:w="4252" w:type="dxa"/>
          </w:tcPr>
          <w:p>
            <w:pPr>
              <w:pStyle w:val="0"/>
              <w:jc w:val="both"/>
            </w:pPr>
            <w:r>
              <w:rPr>
                <w:sz w:val="20"/>
              </w:rPr>
              <w:t xml:space="preserve">Коэффициент оснащенности отделения (%)</w:t>
            </w:r>
          </w:p>
        </w:tc>
        <w:tc>
          <w:tcPr>
            <w:tcW w:w="3912" w:type="dxa"/>
          </w:tcPr>
          <w:p>
            <w:pPr>
              <w:pStyle w:val="0"/>
              <w:jc w:val="center"/>
            </w:pPr>
            <w:r>
              <w:rPr>
                <w:sz w:val="20"/>
              </w:rPr>
              <w:t xml:space="preserve">-</w:t>
            </w:r>
          </w:p>
        </w:tc>
      </w:tr>
      <w:tr>
        <w:tc>
          <w:tcPr>
            <w:tcW w:w="850" w:type="dxa"/>
          </w:tcPr>
          <w:p>
            <w:pPr>
              <w:pStyle w:val="0"/>
              <w:jc w:val="both"/>
            </w:pPr>
            <w:r>
              <w:rPr>
                <w:sz w:val="20"/>
              </w:rPr>
              <w:t xml:space="preserve">12.</w:t>
            </w:r>
          </w:p>
        </w:tc>
        <w:tc>
          <w:tcPr>
            <w:tcW w:w="4252" w:type="dxa"/>
          </w:tcPr>
          <w:p>
            <w:pPr>
              <w:pStyle w:val="0"/>
              <w:jc w:val="both"/>
            </w:pPr>
            <w:r>
              <w:rPr>
                <w:sz w:val="20"/>
              </w:rPr>
              <w:t xml:space="preserve">Наименование отделения по медицинской реабилитации для детей (оказывающего медицинскую реабилитацию в стационарных условиях и (или) условиях дневного стационара) &lt;***&gt;</w:t>
            </w:r>
          </w:p>
        </w:tc>
        <w:tc>
          <w:tcPr>
            <w:tcW w:w="3912" w:type="dxa"/>
          </w:tcPr>
          <w:p>
            <w:pPr>
              <w:pStyle w:val="0"/>
              <w:jc w:val="both"/>
            </w:pPr>
            <w:r>
              <w:rPr>
                <w:sz w:val="20"/>
              </w:rPr>
              <w:t xml:space="preserve">Детский центр медицинской реабилитации, в составе которого детское нейрореабилитационное отделение (стационарные условия), отделение по медицинской реабилитации для детей (оказывающие медицинскую реабилитацию в условиях дневного стационара - ОВЛ)</w:t>
            </w:r>
          </w:p>
        </w:tc>
      </w:tr>
      <w:tr>
        <w:tc>
          <w:tcPr>
            <w:tcW w:w="850" w:type="dxa"/>
          </w:tcPr>
          <w:p>
            <w:pPr>
              <w:pStyle w:val="0"/>
              <w:jc w:val="both"/>
            </w:pPr>
            <w:r>
              <w:rPr>
                <w:sz w:val="20"/>
              </w:rPr>
              <w:t xml:space="preserve">12.1.</w:t>
            </w:r>
          </w:p>
        </w:tc>
        <w:tc>
          <w:tcPr>
            <w:tcW w:w="4252" w:type="dxa"/>
          </w:tcPr>
          <w:p>
            <w:pPr>
              <w:pStyle w:val="0"/>
              <w:jc w:val="both"/>
            </w:pPr>
            <w:r>
              <w:rPr>
                <w:sz w:val="20"/>
              </w:rPr>
              <w:t xml:space="preserve">Число и профиль круглосуточных коек (по состоянию на 01.01.2023)</w:t>
            </w:r>
          </w:p>
        </w:tc>
        <w:tc>
          <w:tcPr>
            <w:tcW w:w="3912" w:type="dxa"/>
          </w:tcPr>
          <w:p>
            <w:pPr>
              <w:pStyle w:val="0"/>
              <w:jc w:val="both"/>
            </w:pPr>
            <w:r>
              <w:rPr>
                <w:sz w:val="20"/>
              </w:rPr>
              <w:t xml:space="preserve">30 коек по профилям: нейрореабилитационные - 18;</w:t>
            </w:r>
          </w:p>
          <w:p>
            <w:pPr>
              <w:pStyle w:val="0"/>
              <w:jc w:val="both"/>
            </w:pPr>
            <w:r>
              <w:rPr>
                <w:sz w:val="20"/>
              </w:rPr>
              <w:t xml:space="preserve">ортопедические реабилитационные - 12</w:t>
            </w:r>
          </w:p>
        </w:tc>
      </w:tr>
      <w:tr>
        <w:tc>
          <w:tcPr>
            <w:tcW w:w="850" w:type="dxa"/>
          </w:tcPr>
          <w:p>
            <w:pPr>
              <w:pStyle w:val="0"/>
              <w:jc w:val="both"/>
            </w:pPr>
            <w:r>
              <w:rPr>
                <w:sz w:val="20"/>
              </w:rPr>
              <w:t xml:space="preserve">12.2.</w:t>
            </w:r>
          </w:p>
        </w:tc>
        <w:tc>
          <w:tcPr>
            <w:tcW w:w="4252" w:type="dxa"/>
          </w:tcPr>
          <w:p>
            <w:pPr>
              <w:pStyle w:val="0"/>
              <w:jc w:val="both"/>
            </w:pPr>
            <w:r>
              <w:rPr>
                <w:sz w:val="20"/>
              </w:rPr>
              <w:t xml:space="preserve">Число реабилитационных коек дневного стационара (по состоянию на 01.01.2023)</w:t>
            </w:r>
          </w:p>
        </w:tc>
        <w:tc>
          <w:tcPr>
            <w:tcW w:w="3912" w:type="dxa"/>
          </w:tcPr>
          <w:p>
            <w:pPr>
              <w:pStyle w:val="0"/>
              <w:jc w:val="both"/>
            </w:pPr>
            <w:r>
              <w:rPr>
                <w:sz w:val="20"/>
              </w:rPr>
              <w:t xml:space="preserve">24 в 2 смены по профилям:</w:t>
            </w:r>
          </w:p>
          <w:p>
            <w:pPr>
              <w:pStyle w:val="0"/>
              <w:jc w:val="both"/>
            </w:pPr>
            <w:r>
              <w:rPr>
                <w:sz w:val="20"/>
              </w:rPr>
              <w:t xml:space="preserve">реабилитационные неврологические и органов чувств - 9; ортопедические - 7; соматические - 8</w:t>
            </w:r>
          </w:p>
        </w:tc>
      </w:tr>
      <w:tr>
        <w:tc>
          <w:tcPr>
            <w:tcW w:w="850" w:type="dxa"/>
          </w:tcPr>
          <w:p>
            <w:pPr>
              <w:pStyle w:val="0"/>
              <w:jc w:val="both"/>
            </w:pPr>
            <w:r>
              <w:rPr>
                <w:sz w:val="20"/>
              </w:rPr>
              <w:t xml:space="preserve">12.3.</w:t>
            </w:r>
          </w:p>
        </w:tc>
        <w:tc>
          <w:tcPr>
            <w:tcW w:w="4252" w:type="dxa"/>
          </w:tcPr>
          <w:p>
            <w:pPr>
              <w:pStyle w:val="0"/>
              <w:jc w:val="both"/>
            </w:pPr>
            <w:r>
              <w:rPr>
                <w:sz w:val="20"/>
              </w:rPr>
              <w:t xml:space="preserve">Укомплектованность кадрами детского нейрореабилитационного отделения (оказывающего медицинскую реабилитацию в стационарных условиях) с учетом совместительства (%)</w:t>
            </w:r>
          </w:p>
        </w:tc>
        <w:tc>
          <w:tcPr>
            <w:tcW w:w="3912" w:type="dxa"/>
          </w:tcPr>
          <w:p>
            <w:pPr>
              <w:pStyle w:val="0"/>
              <w:jc w:val="both"/>
            </w:pPr>
            <w:r>
              <w:rPr>
                <w:sz w:val="20"/>
              </w:rPr>
              <w:t xml:space="preserve">81%</w:t>
            </w:r>
          </w:p>
        </w:tc>
      </w:tr>
      <w:tr>
        <w:tc>
          <w:tcPr>
            <w:tcW w:w="850" w:type="dxa"/>
          </w:tcPr>
          <w:p>
            <w:pPr>
              <w:pStyle w:val="0"/>
              <w:jc w:val="both"/>
            </w:pPr>
            <w:r>
              <w:rPr>
                <w:sz w:val="20"/>
              </w:rPr>
              <w:t xml:space="preserve">12.4.</w:t>
            </w:r>
          </w:p>
        </w:tc>
        <w:tc>
          <w:tcPr>
            <w:tcW w:w="4252" w:type="dxa"/>
          </w:tcPr>
          <w:p>
            <w:pPr>
              <w:pStyle w:val="0"/>
              <w:jc w:val="both"/>
            </w:pPr>
            <w:r>
              <w:rPr>
                <w:sz w:val="20"/>
              </w:rPr>
              <w:t xml:space="preserve">Коэффициент совместительства в детском нейрореабилитационном отделении (оказывающем медицинскую реабилитацию в стационарных условиях)</w:t>
            </w:r>
          </w:p>
        </w:tc>
        <w:tc>
          <w:tcPr>
            <w:tcW w:w="3912" w:type="dxa"/>
          </w:tcPr>
          <w:p>
            <w:pPr>
              <w:pStyle w:val="0"/>
              <w:jc w:val="center"/>
            </w:pPr>
            <w:r>
              <w:rPr>
                <w:sz w:val="20"/>
              </w:rPr>
              <w:t xml:space="preserve">1,57</w:t>
            </w:r>
          </w:p>
        </w:tc>
      </w:tr>
      <w:tr>
        <w:tc>
          <w:tcPr>
            <w:tcW w:w="850" w:type="dxa"/>
          </w:tcPr>
          <w:p>
            <w:pPr>
              <w:pStyle w:val="0"/>
              <w:jc w:val="both"/>
            </w:pPr>
            <w:r>
              <w:rPr>
                <w:sz w:val="20"/>
              </w:rPr>
              <w:t xml:space="preserve">12.5.</w:t>
            </w:r>
          </w:p>
        </w:tc>
        <w:tc>
          <w:tcPr>
            <w:tcW w:w="4252" w:type="dxa"/>
          </w:tcPr>
          <w:p>
            <w:pPr>
              <w:pStyle w:val="0"/>
              <w:jc w:val="both"/>
            </w:pPr>
            <w:r>
              <w:rPr>
                <w:sz w:val="20"/>
              </w:rPr>
              <w:t xml:space="preserve">Коэффициент оснащенности отделения (%)</w:t>
            </w:r>
          </w:p>
        </w:tc>
        <w:tc>
          <w:tcPr>
            <w:tcW w:w="3912" w:type="dxa"/>
          </w:tcPr>
          <w:p>
            <w:pPr>
              <w:pStyle w:val="0"/>
              <w:jc w:val="both"/>
            </w:pPr>
            <w:r>
              <w:rPr>
                <w:sz w:val="20"/>
              </w:rPr>
              <w:t xml:space="preserve">54%</w:t>
            </w:r>
          </w:p>
        </w:tc>
      </w:tr>
      <w:tr>
        <w:tc>
          <w:tcPr>
            <w:tcW w:w="850" w:type="dxa"/>
          </w:tcPr>
          <w:p>
            <w:pPr>
              <w:pStyle w:val="0"/>
              <w:jc w:val="both"/>
            </w:pPr>
            <w:r>
              <w:rPr>
                <w:sz w:val="20"/>
              </w:rPr>
              <w:t xml:space="preserve">12.6.</w:t>
            </w:r>
          </w:p>
        </w:tc>
        <w:tc>
          <w:tcPr>
            <w:tcW w:w="4252" w:type="dxa"/>
          </w:tcPr>
          <w:p>
            <w:pPr>
              <w:pStyle w:val="0"/>
              <w:jc w:val="both"/>
            </w:pPr>
            <w:r>
              <w:rPr>
                <w:sz w:val="20"/>
              </w:rPr>
              <w:t xml:space="preserve">Укомплектованность кадрами отделения по медицинской реабилитации для детей (оказывающего медицинскую реабилитацию в условиях дневного стационара - ОВЛ) с учетом совместительства (%)</w:t>
            </w:r>
          </w:p>
        </w:tc>
        <w:tc>
          <w:tcPr>
            <w:tcW w:w="3912" w:type="dxa"/>
          </w:tcPr>
          <w:p>
            <w:pPr>
              <w:pStyle w:val="0"/>
              <w:jc w:val="both"/>
            </w:pPr>
            <w:r>
              <w:rPr>
                <w:sz w:val="20"/>
              </w:rPr>
              <w:t xml:space="preserve">89,5%</w:t>
            </w:r>
          </w:p>
        </w:tc>
      </w:tr>
      <w:tr>
        <w:tc>
          <w:tcPr>
            <w:tcW w:w="850" w:type="dxa"/>
          </w:tcPr>
          <w:p>
            <w:pPr>
              <w:pStyle w:val="0"/>
              <w:jc w:val="both"/>
            </w:pPr>
            <w:r>
              <w:rPr>
                <w:sz w:val="20"/>
              </w:rPr>
              <w:t xml:space="preserve">12.7.</w:t>
            </w:r>
          </w:p>
        </w:tc>
        <w:tc>
          <w:tcPr>
            <w:tcW w:w="4252" w:type="dxa"/>
          </w:tcPr>
          <w:p>
            <w:pPr>
              <w:pStyle w:val="0"/>
              <w:jc w:val="both"/>
            </w:pPr>
            <w:r>
              <w:rPr>
                <w:sz w:val="20"/>
              </w:rPr>
              <w:t xml:space="preserve">Коэффициент совместительства в отделении по медицинской реабилитации для детей (оказывающем медицинскую реабилитацию в условиях дневного стационара - ОВЛ)</w:t>
            </w:r>
          </w:p>
        </w:tc>
        <w:tc>
          <w:tcPr>
            <w:tcW w:w="3912" w:type="dxa"/>
          </w:tcPr>
          <w:p>
            <w:pPr>
              <w:pStyle w:val="0"/>
              <w:jc w:val="center"/>
            </w:pPr>
            <w:r>
              <w:rPr>
                <w:sz w:val="20"/>
              </w:rPr>
              <w:t xml:space="preserve">1,08</w:t>
            </w:r>
          </w:p>
        </w:tc>
      </w:tr>
      <w:tr>
        <w:tc>
          <w:tcPr>
            <w:tcW w:w="850" w:type="dxa"/>
          </w:tcPr>
          <w:p>
            <w:pPr>
              <w:pStyle w:val="0"/>
              <w:jc w:val="both"/>
            </w:pPr>
            <w:r>
              <w:rPr>
                <w:sz w:val="20"/>
              </w:rPr>
              <w:t xml:space="preserve">12.8.</w:t>
            </w:r>
          </w:p>
        </w:tc>
        <w:tc>
          <w:tcPr>
            <w:tcW w:w="4252" w:type="dxa"/>
          </w:tcPr>
          <w:p>
            <w:pPr>
              <w:pStyle w:val="0"/>
              <w:jc w:val="both"/>
            </w:pPr>
            <w:r>
              <w:rPr>
                <w:sz w:val="20"/>
              </w:rPr>
              <w:t xml:space="preserve">Коэффициент оснащенности отделения (%)</w:t>
            </w:r>
          </w:p>
        </w:tc>
        <w:tc>
          <w:tcPr>
            <w:tcW w:w="3912" w:type="dxa"/>
          </w:tcPr>
          <w:p>
            <w:pPr>
              <w:pStyle w:val="0"/>
              <w:jc w:val="both"/>
            </w:pPr>
            <w:r>
              <w:rPr>
                <w:sz w:val="20"/>
              </w:rPr>
              <w:t xml:space="preserve">55%</w:t>
            </w:r>
          </w:p>
        </w:tc>
      </w:tr>
      <w:tr>
        <w:tc>
          <w:tcPr>
            <w:tcW w:w="850" w:type="dxa"/>
          </w:tcPr>
          <w:p>
            <w:pPr>
              <w:pStyle w:val="0"/>
              <w:jc w:val="both"/>
            </w:pPr>
            <w:r>
              <w:rPr>
                <w:sz w:val="20"/>
              </w:rPr>
              <w:t xml:space="preserve">13.</w:t>
            </w:r>
          </w:p>
        </w:tc>
        <w:tc>
          <w:tcPr>
            <w:tcW w:w="4252" w:type="dxa"/>
          </w:tcPr>
          <w:p>
            <w:pPr>
              <w:pStyle w:val="0"/>
              <w:jc w:val="both"/>
            </w:pPr>
            <w:r>
              <w:rPr>
                <w:sz w:val="20"/>
              </w:rPr>
              <w:t xml:space="preserve">Наличие амбулаторного отделения медицинской реабилитации</w:t>
            </w:r>
          </w:p>
        </w:tc>
        <w:tc>
          <w:tcPr>
            <w:tcW w:w="3912" w:type="dxa"/>
          </w:tcPr>
          <w:p>
            <w:pPr>
              <w:pStyle w:val="0"/>
              <w:jc w:val="both"/>
            </w:pPr>
            <w:r>
              <w:rPr>
                <w:sz w:val="20"/>
              </w:rPr>
              <w:t xml:space="preserve">Нет</w:t>
            </w:r>
          </w:p>
        </w:tc>
      </w:tr>
      <w:tr>
        <w:tc>
          <w:tcPr>
            <w:tcW w:w="850" w:type="dxa"/>
          </w:tcPr>
          <w:p>
            <w:pPr>
              <w:pStyle w:val="0"/>
              <w:jc w:val="both"/>
            </w:pPr>
            <w:r>
              <w:rPr>
                <w:sz w:val="20"/>
              </w:rPr>
              <w:t xml:space="preserve">13.1.</w:t>
            </w:r>
          </w:p>
        </w:tc>
        <w:tc>
          <w:tcPr>
            <w:tcW w:w="4252" w:type="dxa"/>
          </w:tcPr>
          <w:p>
            <w:pPr>
              <w:pStyle w:val="0"/>
              <w:jc w:val="both"/>
            </w:pPr>
            <w:r>
              <w:rPr>
                <w:sz w:val="20"/>
              </w:rPr>
              <w:t xml:space="preserve">Число посещений в смену</w:t>
            </w:r>
          </w:p>
        </w:tc>
        <w:tc>
          <w:tcPr>
            <w:tcW w:w="3912" w:type="dxa"/>
          </w:tcPr>
          <w:p>
            <w:pPr>
              <w:pStyle w:val="0"/>
              <w:jc w:val="center"/>
            </w:pPr>
            <w:r>
              <w:rPr>
                <w:sz w:val="20"/>
              </w:rPr>
              <w:t xml:space="preserve">-</w:t>
            </w:r>
          </w:p>
        </w:tc>
      </w:tr>
      <w:tr>
        <w:tc>
          <w:tcPr>
            <w:tcW w:w="850" w:type="dxa"/>
          </w:tcPr>
          <w:p>
            <w:pPr>
              <w:pStyle w:val="0"/>
              <w:jc w:val="both"/>
            </w:pPr>
            <w:r>
              <w:rPr>
                <w:sz w:val="20"/>
              </w:rPr>
              <w:t xml:space="preserve">13.2.</w:t>
            </w:r>
          </w:p>
        </w:tc>
        <w:tc>
          <w:tcPr>
            <w:tcW w:w="4252" w:type="dxa"/>
          </w:tcPr>
          <w:p>
            <w:pPr>
              <w:pStyle w:val="0"/>
              <w:jc w:val="both"/>
            </w:pPr>
            <w:r>
              <w:rPr>
                <w:sz w:val="20"/>
              </w:rPr>
              <w:t xml:space="preserve">Укомплектованность кадрами амбулаторного отделения медицинской реабилитации с учетом совместительства (%)</w:t>
            </w:r>
          </w:p>
        </w:tc>
        <w:tc>
          <w:tcPr>
            <w:tcW w:w="3912" w:type="dxa"/>
          </w:tcPr>
          <w:p>
            <w:pPr>
              <w:pStyle w:val="0"/>
              <w:jc w:val="center"/>
            </w:pPr>
            <w:r>
              <w:rPr>
                <w:sz w:val="20"/>
              </w:rPr>
              <w:t xml:space="preserve">-</w:t>
            </w:r>
          </w:p>
        </w:tc>
      </w:tr>
      <w:tr>
        <w:tc>
          <w:tcPr>
            <w:tcW w:w="850" w:type="dxa"/>
          </w:tcPr>
          <w:p>
            <w:pPr>
              <w:pStyle w:val="0"/>
              <w:jc w:val="both"/>
            </w:pPr>
            <w:r>
              <w:rPr>
                <w:sz w:val="20"/>
              </w:rPr>
              <w:t xml:space="preserve">13.3.</w:t>
            </w:r>
          </w:p>
        </w:tc>
        <w:tc>
          <w:tcPr>
            <w:tcW w:w="4252" w:type="dxa"/>
          </w:tcPr>
          <w:p>
            <w:pPr>
              <w:pStyle w:val="0"/>
              <w:jc w:val="both"/>
            </w:pPr>
            <w:r>
              <w:rPr>
                <w:sz w:val="20"/>
              </w:rPr>
              <w:t xml:space="preserve">Коэффициент совместительства в амбулаторном отделении медицинской реабилитации</w:t>
            </w:r>
          </w:p>
        </w:tc>
        <w:tc>
          <w:tcPr>
            <w:tcW w:w="3912" w:type="dxa"/>
          </w:tcPr>
          <w:p>
            <w:pPr>
              <w:pStyle w:val="0"/>
              <w:jc w:val="center"/>
            </w:pPr>
            <w:r>
              <w:rPr>
                <w:sz w:val="20"/>
              </w:rPr>
              <w:t xml:space="preserve">-</w:t>
            </w:r>
          </w:p>
        </w:tc>
      </w:tr>
      <w:tr>
        <w:tc>
          <w:tcPr>
            <w:tcW w:w="850" w:type="dxa"/>
          </w:tcPr>
          <w:p>
            <w:pPr>
              <w:pStyle w:val="0"/>
              <w:jc w:val="both"/>
            </w:pPr>
            <w:r>
              <w:rPr>
                <w:sz w:val="20"/>
              </w:rPr>
              <w:t xml:space="preserve">13.4.</w:t>
            </w:r>
          </w:p>
        </w:tc>
        <w:tc>
          <w:tcPr>
            <w:tcW w:w="4252" w:type="dxa"/>
          </w:tcPr>
          <w:p>
            <w:pPr>
              <w:pStyle w:val="0"/>
              <w:jc w:val="both"/>
            </w:pPr>
            <w:r>
              <w:rPr>
                <w:sz w:val="20"/>
              </w:rPr>
              <w:t xml:space="preserve">Коэффициент оснащенности отделения (%)</w:t>
            </w:r>
          </w:p>
        </w:tc>
        <w:tc>
          <w:tcPr>
            <w:tcW w:w="3912"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Перечень приоритетных медицинских организаций города Севастополя, наиболее подготовленных к реализации мероприятий федерального проекта для оказания медицинской реабилитации, отражен в </w:t>
      </w:r>
      <w:hyperlink w:history="0" w:anchor="P43851" w:tooltip="Перечень приоритетных медицинских организаций, участвующих">
        <w:r>
          <w:rPr>
            <w:sz w:val="20"/>
            <w:color w:val="0000ff"/>
          </w:rPr>
          <w:t xml:space="preserve">таблице 16</w:t>
        </w:r>
      </w:hyperlink>
      <w:r>
        <w:rPr>
          <w:sz w:val="20"/>
        </w:rPr>
        <w:t xml:space="preserve">.</w:t>
      </w:r>
    </w:p>
    <w:p>
      <w:pPr>
        <w:pStyle w:val="0"/>
        <w:jc w:val="right"/>
      </w:pPr>
      <w:r>
        <w:rPr>
          <w:sz w:val="20"/>
        </w:rPr>
      </w:r>
    </w:p>
    <w:p>
      <w:pPr>
        <w:pStyle w:val="0"/>
        <w:jc w:val="right"/>
      </w:pPr>
      <w:r>
        <w:rPr>
          <w:sz w:val="20"/>
        </w:rPr>
        <w:t xml:space="preserve">Таблица 16</w:t>
      </w:r>
    </w:p>
    <w:p>
      <w:pPr>
        <w:pStyle w:val="0"/>
        <w:jc w:val="right"/>
      </w:pPr>
      <w:r>
        <w:rPr>
          <w:sz w:val="20"/>
        </w:rPr>
      </w:r>
    </w:p>
    <w:bookmarkStart w:id="43851" w:name="P43851"/>
    <w:bookmarkEnd w:id="43851"/>
    <w:p>
      <w:pPr>
        <w:pStyle w:val="0"/>
        <w:jc w:val="center"/>
      </w:pPr>
      <w:r>
        <w:rPr>
          <w:sz w:val="20"/>
        </w:rPr>
        <w:t xml:space="preserve">Перечень приоритетных медицинских организаций, участвующих</w:t>
      </w:r>
    </w:p>
    <w:p>
      <w:pPr>
        <w:pStyle w:val="0"/>
        <w:jc w:val="center"/>
      </w:pPr>
      <w:r>
        <w:rPr>
          <w:sz w:val="20"/>
        </w:rPr>
        <w:t xml:space="preserve">в дооснащении и (или) переоснащении медицинскими изделиями,</w:t>
      </w:r>
    </w:p>
    <w:p>
      <w:pPr>
        <w:pStyle w:val="0"/>
        <w:jc w:val="center"/>
      </w:pPr>
      <w:r>
        <w:rPr>
          <w:sz w:val="20"/>
        </w:rPr>
        <w:t xml:space="preserve">имеющих в своей структуре подразделения, оказывающие</w:t>
      </w:r>
    </w:p>
    <w:p>
      <w:pPr>
        <w:pStyle w:val="0"/>
        <w:jc w:val="center"/>
      </w:pPr>
      <w:r>
        <w:rPr>
          <w:sz w:val="20"/>
        </w:rPr>
        <w:t xml:space="preserve">медицинскую помощь по медицинской реабилитации</w:t>
      </w:r>
    </w:p>
    <w:p>
      <w:pPr>
        <w:pStyle w:val="0"/>
        <w:jc w:val="center"/>
      </w:pPr>
      <w:r>
        <w:rPr>
          <w:sz w:val="20"/>
        </w:rPr>
        <w:t xml:space="preserve">в соответствии с порядками организации медицинской</w:t>
      </w:r>
    </w:p>
    <w:p>
      <w:pPr>
        <w:pStyle w:val="0"/>
        <w:jc w:val="center"/>
      </w:pPr>
      <w:r>
        <w:rPr>
          <w:sz w:val="20"/>
        </w:rPr>
        <w:t xml:space="preserve">реабилитации взрослых и детей</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8"/>
        <w:gridCol w:w="1814"/>
        <w:gridCol w:w="1977"/>
        <w:gridCol w:w="1701"/>
        <w:gridCol w:w="1134"/>
        <w:gridCol w:w="1701"/>
        <w:gridCol w:w="1701"/>
      </w:tblGrid>
      <w:tr>
        <w:tc>
          <w:tcPr>
            <w:tcW w:w="568" w:type="dxa"/>
          </w:tcPr>
          <w:p>
            <w:pPr>
              <w:pStyle w:val="0"/>
              <w:jc w:val="center"/>
            </w:pPr>
            <w:r>
              <w:rPr>
                <w:sz w:val="20"/>
              </w:rPr>
              <w:t xml:space="preserve">N п/п</w:t>
            </w:r>
          </w:p>
        </w:tc>
        <w:tc>
          <w:tcPr>
            <w:tcW w:w="1814" w:type="dxa"/>
          </w:tcPr>
          <w:p>
            <w:pPr>
              <w:pStyle w:val="0"/>
              <w:jc w:val="center"/>
            </w:pPr>
            <w:r>
              <w:rPr>
                <w:sz w:val="20"/>
              </w:rPr>
              <w:t xml:space="preserve">Наименование медицинской организации, участвующей в дооснащении (или) переоснащении</w:t>
            </w:r>
          </w:p>
        </w:tc>
        <w:tc>
          <w:tcPr>
            <w:tcW w:w="1977" w:type="dxa"/>
          </w:tcPr>
          <w:p>
            <w:pPr>
              <w:pStyle w:val="0"/>
              <w:jc w:val="center"/>
            </w:pPr>
            <w:r>
              <w:rPr>
                <w:sz w:val="20"/>
              </w:rPr>
              <w:t xml:space="preserve">Полное наименование реабилитационного отделения, которое планируется к дооснащению и (или) переоснащению</w:t>
            </w:r>
          </w:p>
        </w:tc>
        <w:tc>
          <w:tcPr>
            <w:tcW w:w="1701" w:type="dxa"/>
          </w:tcPr>
          <w:p>
            <w:pPr>
              <w:pStyle w:val="0"/>
              <w:jc w:val="center"/>
            </w:pPr>
            <w:r>
              <w:rPr>
                <w:sz w:val="20"/>
              </w:rPr>
              <w:t xml:space="preserve">Категория пациентов (указать взрослые/дети)</w:t>
            </w:r>
          </w:p>
        </w:tc>
        <w:tc>
          <w:tcPr>
            <w:tcW w:w="1134" w:type="dxa"/>
          </w:tcPr>
          <w:p>
            <w:pPr>
              <w:pStyle w:val="0"/>
              <w:jc w:val="center"/>
            </w:pPr>
            <w:r>
              <w:rPr>
                <w:sz w:val="20"/>
              </w:rPr>
              <w:t xml:space="preserve">Год дооснащения и (или) переоснащения</w:t>
            </w:r>
          </w:p>
        </w:tc>
        <w:tc>
          <w:tcPr>
            <w:tcW w:w="1701" w:type="dxa"/>
          </w:tcPr>
          <w:p>
            <w:pPr>
              <w:pStyle w:val="0"/>
              <w:jc w:val="center"/>
            </w:pPr>
            <w:r>
              <w:rPr>
                <w:sz w:val="20"/>
              </w:rPr>
              <w:t xml:space="preserve">Коэффициент оснащенности отделения медицинской реабилитации на май 2023 г. (%)</w:t>
            </w:r>
          </w:p>
        </w:tc>
        <w:tc>
          <w:tcPr>
            <w:tcW w:w="1701" w:type="dxa"/>
          </w:tcPr>
          <w:p>
            <w:pPr>
              <w:pStyle w:val="0"/>
              <w:jc w:val="center"/>
            </w:pPr>
            <w:r>
              <w:rPr>
                <w:sz w:val="20"/>
              </w:rPr>
              <w:t xml:space="preserve">Коэффициент оснащенности медицинской организации на май 2023 г. (%)</w:t>
            </w:r>
          </w:p>
        </w:tc>
      </w:tr>
      <w:tr>
        <w:tc>
          <w:tcPr>
            <w:tcW w:w="568" w:type="dxa"/>
          </w:tcPr>
          <w:p>
            <w:pPr>
              <w:pStyle w:val="0"/>
              <w:jc w:val="both"/>
            </w:pPr>
            <w:r>
              <w:rPr>
                <w:sz w:val="20"/>
              </w:rPr>
              <w:t xml:space="preserve">1.</w:t>
            </w:r>
          </w:p>
        </w:tc>
        <w:tc>
          <w:tcPr>
            <w:tcW w:w="1814" w:type="dxa"/>
          </w:tcPr>
          <w:p>
            <w:pPr>
              <w:pStyle w:val="0"/>
              <w:jc w:val="both"/>
            </w:pPr>
            <w:r>
              <w:rPr>
                <w:sz w:val="20"/>
              </w:rPr>
              <w:t xml:space="preserve">ГБ N 1</w:t>
            </w:r>
          </w:p>
        </w:tc>
        <w:tc>
          <w:tcPr>
            <w:tcW w:w="1977" w:type="dxa"/>
          </w:tcPr>
          <w:p>
            <w:pPr>
              <w:pStyle w:val="0"/>
              <w:jc w:val="both"/>
            </w:pPr>
            <w:r>
              <w:rPr>
                <w:sz w:val="20"/>
              </w:rPr>
              <w:t xml:space="preserve">Отделение ранней медицинской реабилитации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2024</w:t>
            </w:r>
          </w:p>
        </w:tc>
        <w:tc>
          <w:tcPr>
            <w:tcW w:w="1701" w:type="dxa"/>
          </w:tcPr>
          <w:p>
            <w:pPr>
              <w:pStyle w:val="0"/>
              <w:jc w:val="center"/>
            </w:pPr>
            <w:r>
              <w:rPr>
                <w:sz w:val="20"/>
              </w:rPr>
              <w:t xml:space="preserve">0</w:t>
            </w:r>
          </w:p>
        </w:tc>
        <w:tc>
          <w:tcPr>
            <w:tcW w:w="1701" w:type="dxa"/>
          </w:tcPr>
          <w:p>
            <w:pPr>
              <w:pStyle w:val="0"/>
              <w:jc w:val="center"/>
            </w:pPr>
            <w:r>
              <w:rPr>
                <w:sz w:val="20"/>
              </w:rPr>
            </w:r>
          </w:p>
        </w:tc>
      </w:tr>
      <w:tr>
        <w:tc>
          <w:tcPr>
            <w:tcW w:w="568" w:type="dxa"/>
          </w:tcPr>
          <w:p>
            <w:pPr>
              <w:pStyle w:val="0"/>
              <w:jc w:val="both"/>
            </w:pPr>
            <w:r>
              <w:rPr>
                <w:sz w:val="20"/>
              </w:rPr>
              <w:t xml:space="preserve">2.</w:t>
            </w:r>
          </w:p>
        </w:tc>
        <w:tc>
          <w:tcPr>
            <w:tcW w:w="1814" w:type="dxa"/>
          </w:tcPr>
          <w:p>
            <w:pPr>
              <w:pStyle w:val="0"/>
              <w:jc w:val="both"/>
            </w:pPr>
            <w:r>
              <w:rPr>
                <w:sz w:val="20"/>
              </w:rPr>
              <w:t xml:space="preserve">ГБ N 9</w:t>
            </w:r>
          </w:p>
        </w:tc>
        <w:tc>
          <w:tcPr>
            <w:tcW w:w="1977" w:type="dxa"/>
          </w:tcPr>
          <w:p>
            <w:pPr>
              <w:pStyle w:val="0"/>
              <w:jc w:val="both"/>
            </w:pPr>
            <w:r>
              <w:rPr>
                <w:sz w:val="20"/>
              </w:rPr>
              <w:t xml:space="preserve">Отделение ранней медицинской реабилитации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2025</w:t>
            </w:r>
          </w:p>
        </w:tc>
        <w:tc>
          <w:tcPr>
            <w:tcW w:w="1701" w:type="dxa"/>
          </w:tcPr>
          <w:p>
            <w:pPr>
              <w:pStyle w:val="0"/>
              <w:jc w:val="center"/>
            </w:pPr>
            <w:r>
              <w:rPr>
                <w:sz w:val="20"/>
              </w:rPr>
              <w:t xml:space="preserve">0</w:t>
            </w:r>
          </w:p>
        </w:tc>
        <w:tc>
          <w:tcPr>
            <w:tcW w:w="1701" w:type="dxa"/>
          </w:tcPr>
          <w:p>
            <w:pPr>
              <w:pStyle w:val="0"/>
              <w:jc w:val="center"/>
            </w:pPr>
            <w:r>
              <w:rPr>
                <w:sz w:val="20"/>
              </w:rPr>
            </w:r>
          </w:p>
        </w:tc>
      </w:tr>
      <w:tr>
        <w:tc>
          <w:tcPr>
            <w:tcW w:w="568" w:type="dxa"/>
          </w:tcPr>
          <w:p>
            <w:pPr>
              <w:pStyle w:val="0"/>
              <w:jc w:val="both"/>
            </w:pPr>
            <w:r>
              <w:rPr>
                <w:sz w:val="20"/>
              </w:rPr>
              <w:t xml:space="preserve">3.</w:t>
            </w:r>
          </w:p>
        </w:tc>
        <w:tc>
          <w:tcPr>
            <w:tcW w:w="1814" w:type="dxa"/>
          </w:tcPr>
          <w:p>
            <w:pPr>
              <w:pStyle w:val="0"/>
              <w:jc w:val="both"/>
            </w:pPr>
            <w:r>
              <w:rPr>
                <w:sz w:val="20"/>
              </w:rPr>
              <w:t xml:space="preserve">ГБ N 4</w:t>
            </w:r>
          </w:p>
        </w:tc>
        <w:tc>
          <w:tcPr>
            <w:tcW w:w="1977" w:type="dxa"/>
          </w:tcPr>
          <w:p>
            <w:pPr>
              <w:pStyle w:val="0"/>
              <w:jc w:val="both"/>
            </w:pPr>
            <w:r>
              <w:rPr>
                <w:sz w:val="20"/>
              </w:rPr>
              <w:t xml:space="preserve">Отделение ранней медицинской реабилитации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2026</w:t>
            </w:r>
          </w:p>
        </w:tc>
        <w:tc>
          <w:tcPr>
            <w:tcW w:w="1701" w:type="dxa"/>
          </w:tcPr>
          <w:p>
            <w:pPr>
              <w:pStyle w:val="0"/>
              <w:jc w:val="center"/>
            </w:pPr>
            <w:r>
              <w:rPr>
                <w:sz w:val="20"/>
              </w:rPr>
              <w:t xml:space="preserve">0</w:t>
            </w:r>
          </w:p>
        </w:tc>
        <w:tc>
          <w:tcPr>
            <w:tcW w:w="1701" w:type="dxa"/>
          </w:tcPr>
          <w:p>
            <w:pPr>
              <w:pStyle w:val="0"/>
              <w:jc w:val="center"/>
            </w:pPr>
            <w:r>
              <w:rPr>
                <w:sz w:val="20"/>
              </w:rPr>
            </w:r>
          </w:p>
        </w:tc>
      </w:tr>
      <w:tr>
        <w:tc>
          <w:tcPr>
            <w:tcW w:w="568" w:type="dxa"/>
          </w:tcPr>
          <w:p>
            <w:pPr>
              <w:pStyle w:val="0"/>
              <w:jc w:val="both"/>
            </w:pPr>
            <w:r>
              <w:rPr>
                <w:sz w:val="20"/>
              </w:rPr>
              <w:t xml:space="preserve">4.</w:t>
            </w:r>
          </w:p>
        </w:tc>
        <w:tc>
          <w:tcPr>
            <w:tcW w:w="1814" w:type="dxa"/>
          </w:tcPr>
          <w:p>
            <w:pPr>
              <w:pStyle w:val="0"/>
              <w:jc w:val="both"/>
            </w:pPr>
            <w:r>
              <w:rPr>
                <w:sz w:val="20"/>
              </w:rPr>
              <w:t xml:space="preserve">МО 2</w:t>
            </w:r>
          </w:p>
        </w:tc>
        <w:tc>
          <w:tcPr>
            <w:tcW w:w="1977" w:type="dxa"/>
          </w:tcPr>
          <w:p>
            <w:pPr>
              <w:pStyle w:val="0"/>
              <w:jc w:val="both"/>
            </w:pPr>
            <w:r>
              <w:rPr>
                <w:sz w:val="20"/>
              </w:rPr>
              <w:t xml:space="preserve">Детское нейрореабилитационное отделение</w:t>
            </w:r>
          </w:p>
        </w:tc>
        <w:tc>
          <w:tcPr>
            <w:tcW w:w="1701" w:type="dxa"/>
          </w:tcPr>
          <w:p>
            <w:pPr>
              <w:pStyle w:val="0"/>
              <w:jc w:val="both"/>
            </w:pPr>
            <w:r>
              <w:rPr>
                <w:sz w:val="20"/>
              </w:rPr>
              <w:t xml:space="preserve">Дети</w:t>
            </w:r>
          </w:p>
        </w:tc>
        <w:tc>
          <w:tcPr>
            <w:tcW w:w="1134" w:type="dxa"/>
          </w:tcPr>
          <w:p>
            <w:pPr>
              <w:pStyle w:val="0"/>
              <w:jc w:val="both"/>
            </w:pPr>
            <w:r>
              <w:rPr>
                <w:sz w:val="20"/>
              </w:rPr>
              <w:t xml:space="preserve">2024</w:t>
            </w:r>
          </w:p>
        </w:tc>
        <w:tc>
          <w:tcPr>
            <w:tcW w:w="1701" w:type="dxa"/>
          </w:tcPr>
          <w:p>
            <w:pPr>
              <w:pStyle w:val="0"/>
              <w:jc w:val="center"/>
            </w:pPr>
            <w:r>
              <w:rPr>
                <w:sz w:val="20"/>
              </w:rPr>
              <w:t xml:space="preserve">60</w:t>
            </w:r>
          </w:p>
        </w:tc>
        <w:tc>
          <w:tcPr>
            <w:tcW w:w="1701" w:type="dxa"/>
          </w:tcPr>
          <w:p>
            <w:pPr>
              <w:pStyle w:val="0"/>
              <w:jc w:val="center"/>
            </w:pPr>
            <w:r>
              <w:rPr>
                <w:sz w:val="20"/>
              </w:rPr>
            </w:r>
          </w:p>
        </w:tc>
      </w:tr>
      <w:tr>
        <w:tc>
          <w:tcPr>
            <w:tcW w:w="568" w:type="dxa"/>
          </w:tcPr>
          <w:p>
            <w:pPr>
              <w:pStyle w:val="0"/>
              <w:jc w:val="both"/>
            </w:pPr>
            <w:r>
              <w:rPr>
                <w:sz w:val="20"/>
              </w:rPr>
              <w:t xml:space="preserve">5.</w:t>
            </w:r>
          </w:p>
        </w:tc>
        <w:tc>
          <w:tcPr>
            <w:tcW w:w="1814" w:type="dxa"/>
          </w:tcPr>
          <w:p>
            <w:pPr>
              <w:pStyle w:val="0"/>
              <w:jc w:val="both"/>
            </w:pPr>
            <w:r>
              <w:rPr>
                <w:sz w:val="20"/>
              </w:rPr>
              <w:t xml:space="preserve">ГБ N 1</w:t>
            </w:r>
          </w:p>
        </w:tc>
        <w:tc>
          <w:tcPr>
            <w:tcW w:w="1977" w:type="dxa"/>
          </w:tcPr>
          <w:p>
            <w:pPr>
              <w:pStyle w:val="0"/>
              <w:jc w:val="both"/>
            </w:pPr>
            <w:r>
              <w:rPr>
                <w:sz w:val="20"/>
              </w:rPr>
              <w:t xml:space="preserve">Отделение медицинской реабилитации пациентов с нарушением функции центральной нервной системы</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2024, 2026</w:t>
            </w:r>
          </w:p>
        </w:tc>
        <w:tc>
          <w:tcPr>
            <w:tcW w:w="1701" w:type="dxa"/>
          </w:tcPr>
          <w:p>
            <w:pPr>
              <w:pStyle w:val="0"/>
              <w:jc w:val="center"/>
            </w:pPr>
            <w:r>
              <w:rPr>
                <w:sz w:val="20"/>
              </w:rPr>
              <w:t xml:space="preserve">0</w:t>
            </w:r>
          </w:p>
        </w:tc>
        <w:tc>
          <w:tcPr>
            <w:tcW w:w="1701" w:type="dxa"/>
          </w:tcPr>
          <w:p>
            <w:pPr>
              <w:pStyle w:val="0"/>
              <w:jc w:val="center"/>
            </w:pPr>
            <w:r>
              <w:rPr>
                <w:sz w:val="20"/>
              </w:rPr>
            </w:r>
          </w:p>
        </w:tc>
      </w:tr>
      <w:tr>
        <w:tc>
          <w:tcPr>
            <w:tcW w:w="568" w:type="dxa"/>
          </w:tcPr>
          <w:p>
            <w:pPr>
              <w:pStyle w:val="0"/>
              <w:jc w:val="both"/>
            </w:pPr>
            <w:r>
              <w:rPr>
                <w:sz w:val="20"/>
              </w:rPr>
              <w:t xml:space="preserve">6.</w:t>
            </w:r>
          </w:p>
        </w:tc>
        <w:tc>
          <w:tcPr>
            <w:tcW w:w="1814" w:type="dxa"/>
          </w:tcPr>
          <w:p>
            <w:pPr>
              <w:pStyle w:val="0"/>
              <w:jc w:val="both"/>
            </w:pPr>
            <w:r>
              <w:rPr>
                <w:sz w:val="20"/>
              </w:rPr>
              <w:t xml:space="preserve">ГБ N 9</w:t>
            </w:r>
          </w:p>
        </w:tc>
        <w:tc>
          <w:tcPr>
            <w:tcW w:w="1977" w:type="dxa"/>
          </w:tcPr>
          <w:p>
            <w:pPr>
              <w:pStyle w:val="0"/>
              <w:jc w:val="both"/>
            </w:pPr>
            <w:r>
              <w:rPr>
                <w:sz w:val="20"/>
              </w:rPr>
              <w:t xml:space="preserve">Отделение медицинской реабилитации взрослых с нарушением функции периферической нервной системы и костно-мышечной системы</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2026</w:t>
            </w:r>
          </w:p>
        </w:tc>
        <w:tc>
          <w:tcPr>
            <w:tcW w:w="1701" w:type="dxa"/>
          </w:tcPr>
          <w:p>
            <w:pPr>
              <w:pStyle w:val="0"/>
              <w:jc w:val="center"/>
            </w:pPr>
            <w:r>
              <w:rPr>
                <w:sz w:val="20"/>
              </w:rPr>
              <w:t xml:space="preserve">0</w:t>
            </w:r>
          </w:p>
        </w:tc>
        <w:tc>
          <w:tcPr>
            <w:tcW w:w="1701" w:type="dxa"/>
          </w:tcPr>
          <w:p>
            <w:pPr>
              <w:pStyle w:val="0"/>
              <w:jc w:val="center"/>
            </w:pPr>
            <w:r>
              <w:rPr>
                <w:sz w:val="20"/>
              </w:rPr>
            </w:r>
          </w:p>
        </w:tc>
      </w:tr>
      <w:tr>
        <w:tc>
          <w:tcPr>
            <w:tcW w:w="568" w:type="dxa"/>
          </w:tcPr>
          <w:p>
            <w:pPr>
              <w:pStyle w:val="0"/>
              <w:jc w:val="both"/>
            </w:pPr>
            <w:r>
              <w:rPr>
                <w:sz w:val="20"/>
              </w:rPr>
              <w:t xml:space="preserve">7.</w:t>
            </w:r>
          </w:p>
        </w:tc>
        <w:tc>
          <w:tcPr>
            <w:tcW w:w="1814" w:type="dxa"/>
          </w:tcPr>
          <w:p>
            <w:pPr>
              <w:pStyle w:val="0"/>
              <w:jc w:val="both"/>
            </w:pPr>
            <w:r>
              <w:rPr>
                <w:sz w:val="20"/>
              </w:rPr>
              <w:t xml:space="preserve">ГБ N 9</w:t>
            </w:r>
          </w:p>
        </w:tc>
        <w:tc>
          <w:tcPr>
            <w:tcW w:w="1977" w:type="dxa"/>
          </w:tcPr>
          <w:p>
            <w:pPr>
              <w:pStyle w:val="0"/>
              <w:jc w:val="both"/>
            </w:pPr>
            <w:r>
              <w:rPr>
                <w:sz w:val="20"/>
              </w:rPr>
              <w:t xml:space="preserve">Отделение медицинской реабилитации взрослых для пациентов с соматическими заболеваниями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2022, 2026</w:t>
            </w:r>
          </w:p>
        </w:tc>
        <w:tc>
          <w:tcPr>
            <w:tcW w:w="1701" w:type="dxa"/>
          </w:tcPr>
          <w:p>
            <w:pPr>
              <w:pStyle w:val="0"/>
              <w:jc w:val="center"/>
            </w:pPr>
            <w:r>
              <w:rPr>
                <w:sz w:val="20"/>
              </w:rPr>
              <w:t xml:space="preserve">90</w:t>
            </w:r>
          </w:p>
        </w:tc>
        <w:tc>
          <w:tcPr>
            <w:tcW w:w="1701" w:type="dxa"/>
          </w:tcPr>
          <w:p>
            <w:pPr>
              <w:pStyle w:val="0"/>
              <w:jc w:val="center"/>
            </w:pPr>
            <w:r>
              <w:rPr>
                <w:sz w:val="20"/>
              </w:rPr>
            </w:r>
          </w:p>
        </w:tc>
      </w:tr>
      <w:tr>
        <w:tc>
          <w:tcPr>
            <w:tcW w:w="568" w:type="dxa"/>
          </w:tcPr>
          <w:p>
            <w:pPr>
              <w:pStyle w:val="0"/>
              <w:jc w:val="both"/>
            </w:pPr>
            <w:r>
              <w:rPr>
                <w:sz w:val="20"/>
              </w:rPr>
              <w:t xml:space="preserve">8.</w:t>
            </w:r>
          </w:p>
        </w:tc>
        <w:tc>
          <w:tcPr>
            <w:tcW w:w="1814" w:type="dxa"/>
          </w:tcPr>
          <w:p>
            <w:pPr>
              <w:pStyle w:val="0"/>
              <w:jc w:val="both"/>
            </w:pPr>
            <w:r>
              <w:rPr>
                <w:sz w:val="20"/>
              </w:rPr>
              <w:t xml:space="preserve">ГБ N 4</w:t>
            </w:r>
          </w:p>
        </w:tc>
        <w:tc>
          <w:tcPr>
            <w:tcW w:w="1977" w:type="dxa"/>
          </w:tcPr>
          <w:p>
            <w:pPr>
              <w:pStyle w:val="0"/>
              <w:jc w:val="both"/>
            </w:pPr>
            <w:r>
              <w:rPr>
                <w:sz w:val="20"/>
              </w:rPr>
              <w:t xml:space="preserve">Отделение медицинской реабилитации взрослых для пациентов с соматическими заболеваниями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2026</w:t>
            </w:r>
          </w:p>
        </w:tc>
        <w:tc>
          <w:tcPr>
            <w:tcW w:w="1701" w:type="dxa"/>
          </w:tcPr>
          <w:p>
            <w:pPr>
              <w:pStyle w:val="0"/>
              <w:jc w:val="center"/>
            </w:pPr>
            <w:r>
              <w:rPr>
                <w:sz w:val="20"/>
              </w:rPr>
              <w:t xml:space="preserve">0</w:t>
            </w:r>
          </w:p>
        </w:tc>
        <w:tc>
          <w:tcPr>
            <w:tcW w:w="1701" w:type="dxa"/>
          </w:tcPr>
          <w:p>
            <w:pPr>
              <w:pStyle w:val="0"/>
              <w:jc w:val="center"/>
            </w:pPr>
            <w:r>
              <w:rPr>
                <w:sz w:val="20"/>
              </w:rPr>
            </w:r>
          </w:p>
        </w:tc>
      </w:tr>
      <w:tr>
        <w:tc>
          <w:tcPr>
            <w:tcW w:w="568" w:type="dxa"/>
          </w:tcPr>
          <w:p>
            <w:pPr>
              <w:pStyle w:val="0"/>
              <w:jc w:val="both"/>
            </w:pPr>
            <w:r>
              <w:rPr>
                <w:sz w:val="20"/>
              </w:rPr>
              <w:t xml:space="preserve">9.</w:t>
            </w:r>
          </w:p>
        </w:tc>
        <w:tc>
          <w:tcPr>
            <w:tcW w:w="1814" w:type="dxa"/>
          </w:tcPr>
          <w:p>
            <w:pPr>
              <w:pStyle w:val="0"/>
              <w:jc w:val="both"/>
            </w:pPr>
            <w:r>
              <w:rPr>
                <w:sz w:val="20"/>
              </w:rPr>
              <w:t xml:space="preserve">ГБ N 1</w:t>
            </w:r>
          </w:p>
        </w:tc>
        <w:tc>
          <w:tcPr>
            <w:tcW w:w="1977" w:type="dxa"/>
          </w:tcPr>
          <w:p>
            <w:pPr>
              <w:pStyle w:val="0"/>
              <w:jc w:val="both"/>
            </w:pPr>
            <w:r>
              <w:rPr>
                <w:sz w:val="20"/>
              </w:rPr>
              <w:t xml:space="preserve">Дневной стационар медицинской реабилитации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2024, 2026</w:t>
            </w:r>
          </w:p>
        </w:tc>
        <w:tc>
          <w:tcPr>
            <w:tcW w:w="1701" w:type="dxa"/>
          </w:tcPr>
          <w:p>
            <w:pPr>
              <w:pStyle w:val="0"/>
              <w:jc w:val="center"/>
            </w:pPr>
            <w:r>
              <w:rPr>
                <w:sz w:val="20"/>
              </w:rPr>
              <w:t xml:space="preserve">0</w:t>
            </w:r>
          </w:p>
        </w:tc>
        <w:tc>
          <w:tcPr>
            <w:tcW w:w="1701" w:type="dxa"/>
          </w:tcPr>
          <w:p>
            <w:pPr>
              <w:pStyle w:val="0"/>
              <w:jc w:val="center"/>
            </w:pPr>
            <w:r>
              <w:rPr>
                <w:sz w:val="20"/>
              </w:rPr>
            </w:r>
          </w:p>
        </w:tc>
      </w:tr>
      <w:tr>
        <w:tc>
          <w:tcPr>
            <w:tcW w:w="568" w:type="dxa"/>
          </w:tcPr>
          <w:p>
            <w:pPr>
              <w:pStyle w:val="0"/>
              <w:jc w:val="both"/>
            </w:pPr>
            <w:r>
              <w:rPr>
                <w:sz w:val="20"/>
              </w:rPr>
              <w:t xml:space="preserve">10.</w:t>
            </w:r>
          </w:p>
        </w:tc>
        <w:tc>
          <w:tcPr>
            <w:tcW w:w="1814" w:type="dxa"/>
          </w:tcPr>
          <w:p>
            <w:pPr>
              <w:pStyle w:val="0"/>
              <w:jc w:val="both"/>
            </w:pPr>
            <w:r>
              <w:rPr>
                <w:sz w:val="20"/>
              </w:rPr>
              <w:t xml:space="preserve">ГБ N 9</w:t>
            </w:r>
          </w:p>
        </w:tc>
        <w:tc>
          <w:tcPr>
            <w:tcW w:w="1977" w:type="dxa"/>
          </w:tcPr>
          <w:p>
            <w:pPr>
              <w:pStyle w:val="0"/>
              <w:jc w:val="both"/>
            </w:pPr>
            <w:r>
              <w:rPr>
                <w:sz w:val="20"/>
              </w:rPr>
              <w:t xml:space="preserve">Дневной стационар медицинской реабилитации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2026</w:t>
            </w:r>
          </w:p>
        </w:tc>
        <w:tc>
          <w:tcPr>
            <w:tcW w:w="1701" w:type="dxa"/>
          </w:tcPr>
          <w:p>
            <w:pPr>
              <w:pStyle w:val="0"/>
              <w:jc w:val="center"/>
            </w:pPr>
            <w:r>
              <w:rPr>
                <w:sz w:val="20"/>
              </w:rPr>
              <w:t xml:space="preserve">30</w:t>
            </w:r>
          </w:p>
        </w:tc>
        <w:tc>
          <w:tcPr>
            <w:tcW w:w="1701" w:type="dxa"/>
          </w:tcPr>
          <w:p>
            <w:pPr>
              <w:pStyle w:val="0"/>
              <w:jc w:val="center"/>
            </w:pPr>
            <w:r>
              <w:rPr>
                <w:sz w:val="20"/>
              </w:rPr>
            </w:r>
          </w:p>
        </w:tc>
      </w:tr>
      <w:tr>
        <w:tc>
          <w:tcPr>
            <w:tcW w:w="568" w:type="dxa"/>
          </w:tcPr>
          <w:p>
            <w:pPr>
              <w:pStyle w:val="0"/>
              <w:jc w:val="both"/>
            </w:pPr>
            <w:r>
              <w:rPr>
                <w:sz w:val="20"/>
              </w:rPr>
              <w:t xml:space="preserve">11.</w:t>
            </w:r>
          </w:p>
        </w:tc>
        <w:tc>
          <w:tcPr>
            <w:tcW w:w="1814" w:type="dxa"/>
          </w:tcPr>
          <w:p>
            <w:pPr>
              <w:pStyle w:val="0"/>
              <w:jc w:val="both"/>
            </w:pPr>
            <w:r>
              <w:rPr>
                <w:sz w:val="20"/>
              </w:rPr>
              <w:t xml:space="preserve">ГБ N 4</w:t>
            </w:r>
          </w:p>
        </w:tc>
        <w:tc>
          <w:tcPr>
            <w:tcW w:w="1977" w:type="dxa"/>
          </w:tcPr>
          <w:p>
            <w:pPr>
              <w:pStyle w:val="0"/>
              <w:jc w:val="both"/>
            </w:pPr>
            <w:r>
              <w:rPr>
                <w:sz w:val="20"/>
              </w:rPr>
              <w:t xml:space="preserve">Дневной стационар медицинской реабилитации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2025</w:t>
            </w:r>
          </w:p>
        </w:tc>
        <w:tc>
          <w:tcPr>
            <w:tcW w:w="1701" w:type="dxa"/>
          </w:tcPr>
          <w:p>
            <w:pPr>
              <w:pStyle w:val="0"/>
              <w:jc w:val="center"/>
            </w:pPr>
            <w:r>
              <w:rPr>
                <w:sz w:val="20"/>
              </w:rPr>
              <w:t xml:space="preserve">0</w:t>
            </w:r>
          </w:p>
        </w:tc>
        <w:tc>
          <w:tcPr>
            <w:tcW w:w="1701" w:type="dxa"/>
          </w:tcPr>
          <w:p>
            <w:pPr>
              <w:pStyle w:val="0"/>
              <w:jc w:val="center"/>
            </w:pPr>
            <w:r>
              <w:rPr>
                <w:sz w:val="20"/>
              </w:rPr>
            </w:r>
          </w:p>
        </w:tc>
      </w:tr>
      <w:tr>
        <w:tc>
          <w:tcPr>
            <w:tcW w:w="568" w:type="dxa"/>
          </w:tcPr>
          <w:p>
            <w:pPr>
              <w:pStyle w:val="0"/>
              <w:jc w:val="both"/>
            </w:pPr>
            <w:r>
              <w:rPr>
                <w:sz w:val="20"/>
              </w:rPr>
              <w:t xml:space="preserve">12.</w:t>
            </w:r>
          </w:p>
        </w:tc>
        <w:tc>
          <w:tcPr>
            <w:tcW w:w="1814" w:type="dxa"/>
          </w:tcPr>
          <w:p>
            <w:pPr>
              <w:pStyle w:val="0"/>
              <w:jc w:val="both"/>
            </w:pPr>
            <w:r>
              <w:rPr>
                <w:sz w:val="20"/>
              </w:rPr>
              <w:t xml:space="preserve">ГБ N 1</w:t>
            </w:r>
          </w:p>
        </w:tc>
        <w:tc>
          <w:tcPr>
            <w:tcW w:w="1977" w:type="dxa"/>
          </w:tcPr>
          <w:p>
            <w:pPr>
              <w:pStyle w:val="0"/>
              <w:jc w:val="both"/>
            </w:pPr>
            <w:r>
              <w:rPr>
                <w:sz w:val="20"/>
              </w:rPr>
              <w:t xml:space="preserve">Амбулаторное отделение медицинской реабилитации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2024, 2026</w:t>
            </w:r>
          </w:p>
        </w:tc>
        <w:tc>
          <w:tcPr>
            <w:tcW w:w="1701" w:type="dxa"/>
          </w:tcPr>
          <w:p>
            <w:pPr>
              <w:pStyle w:val="0"/>
              <w:jc w:val="center"/>
            </w:pPr>
            <w:r>
              <w:rPr>
                <w:sz w:val="20"/>
              </w:rPr>
            </w:r>
          </w:p>
        </w:tc>
        <w:tc>
          <w:tcPr>
            <w:tcW w:w="1701" w:type="dxa"/>
          </w:tcPr>
          <w:p>
            <w:pPr>
              <w:pStyle w:val="0"/>
              <w:jc w:val="center"/>
            </w:pPr>
            <w:r>
              <w:rPr>
                <w:sz w:val="20"/>
              </w:rPr>
            </w:r>
          </w:p>
        </w:tc>
      </w:tr>
      <w:tr>
        <w:tc>
          <w:tcPr>
            <w:tcW w:w="568" w:type="dxa"/>
          </w:tcPr>
          <w:p>
            <w:pPr>
              <w:pStyle w:val="0"/>
              <w:jc w:val="both"/>
            </w:pPr>
            <w:r>
              <w:rPr>
                <w:sz w:val="20"/>
              </w:rPr>
              <w:t xml:space="preserve">13.</w:t>
            </w:r>
          </w:p>
        </w:tc>
        <w:tc>
          <w:tcPr>
            <w:tcW w:w="1814" w:type="dxa"/>
          </w:tcPr>
          <w:p>
            <w:pPr>
              <w:pStyle w:val="0"/>
              <w:jc w:val="both"/>
            </w:pPr>
            <w:r>
              <w:rPr>
                <w:sz w:val="20"/>
              </w:rPr>
              <w:t xml:space="preserve">ГБ N 9</w:t>
            </w:r>
          </w:p>
        </w:tc>
        <w:tc>
          <w:tcPr>
            <w:tcW w:w="1977" w:type="dxa"/>
          </w:tcPr>
          <w:p>
            <w:pPr>
              <w:pStyle w:val="0"/>
              <w:jc w:val="both"/>
            </w:pPr>
            <w:r>
              <w:rPr>
                <w:sz w:val="20"/>
              </w:rPr>
              <w:t xml:space="preserve">Амбулаторное отделение медицинской реабилитации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2026</w:t>
            </w:r>
          </w:p>
        </w:tc>
        <w:tc>
          <w:tcPr>
            <w:tcW w:w="1701" w:type="dxa"/>
          </w:tcPr>
          <w:p>
            <w:pPr>
              <w:pStyle w:val="0"/>
              <w:jc w:val="center"/>
            </w:pPr>
            <w:r>
              <w:rPr>
                <w:sz w:val="20"/>
              </w:rPr>
            </w:r>
          </w:p>
        </w:tc>
        <w:tc>
          <w:tcPr>
            <w:tcW w:w="1701" w:type="dxa"/>
          </w:tcPr>
          <w:p>
            <w:pPr>
              <w:pStyle w:val="0"/>
              <w:jc w:val="center"/>
            </w:pPr>
            <w:r>
              <w:rPr>
                <w:sz w:val="20"/>
              </w:rPr>
            </w:r>
          </w:p>
        </w:tc>
      </w:tr>
      <w:tr>
        <w:tc>
          <w:tcPr>
            <w:tcW w:w="568" w:type="dxa"/>
          </w:tcPr>
          <w:p>
            <w:pPr>
              <w:pStyle w:val="0"/>
              <w:jc w:val="both"/>
            </w:pPr>
            <w:r>
              <w:rPr>
                <w:sz w:val="20"/>
              </w:rPr>
              <w:t xml:space="preserve">14.</w:t>
            </w:r>
          </w:p>
        </w:tc>
        <w:tc>
          <w:tcPr>
            <w:tcW w:w="1814" w:type="dxa"/>
          </w:tcPr>
          <w:p>
            <w:pPr>
              <w:pStyle w:val="0"/>
              <w:jc w:val="both"/>
            </w:pPr>
            <w:r>
              <w:rPr>
                <w:sz w:val="20"/>
              </w:rPr>
              <w:t xml:space="preserve">ГБ N 4</w:t>
            </w:r>
          </w:p>
        </w:tc>
        <w:tc>
          <w:tcPr>
            <w:tcW w:w="1977" w:type="dxa"/>
          </w:tcPr>
          <w:p>
            <w:pPr>
              <w:pStyle w:val="0"/>
              <w:jc w:val="both"/>
            </w:pPr>
            <w:r>
              <w:rPr>
                <w:sz w:val="20"/>
              </w:rPr>
              <w:t xml:space="preserve">Амбулаторное отделение медицинской реабилитации</w:t>
            </w:r>
          </w:p>
        </w:tc>
        <w:tc>
          <w:tcPr>
            <w:tcW w:w="1701" w:type="dxa"/>
          </w:tcPr>
          <w:p>
            <w:pPr>
              <w:pStyle w:val="0"/>
              <w:jc w:val="both"/>
            </w:pPr>
            <w:r>
              <w:rPr>
                <w:sz w:val="20"/>
              </w:rPr>
              <w:t xml:space="preserve">Взрослые</w:t>
            </w:r>
          </w:p>
        </w:tc>
        <w:tc>
          <w:tcPr>
            <w:tcW w:w="1134" w:type="dxa"/>
          </w:tcPr>
          <w:p>
            <w:pPr>
              <w:pStyle w:val="0"/>
              <w:jc w:val="both"/>
            </w:pPr>
            <w:r>
              <w:rPr>
                <w:sz w:val="20"/>
              </w:rPr>
              <w:t xml:space="preserve">2025, 2026</w:t>
            </w:r>
          </w:p>
        </w:tc>
        <w:tc>
          <w:tcPr>
            <w:tcW w:w="1701" w:type="dxa"/>
          </w:tcPr>
          <w:p>
            <w:pPr>
              <w:pStyle w:val="0"/>
              <w:jc w:val="center"/>
            </w:pPr>
            <w:r>
              <w:rPr>
                <w:sz w:val="20"/>
              </w:rPr>
            </w:r>
          </w:p>
        </w:tc>
        <w:tc>
          <w:tcPr>
            <w:tcW w:w="1701" w:type="dxa"/>
          </w:tcPr>
          <w:p>
            <w:pPr>
              <w:pStyle w:val="0"/>
              <w:jc w:val="center"/>
            </w:pPr>
            <w:r>
              <w:rPr>
                <w:sz w:val="20"/>
              </w:rPr>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right"/>
      </w:pPr>
      <w:r>
        <w:rPr>
          <w:sz w:val="20"/>
        </w:rPr>
      </w:r>
    </w:p>
    <w:p>
      <w:pPr>
        <w:pStyle w:val="0"/>
        <w:jc w:val="right"/>
      </w:pPr>
      <w:r>
        <w:rPr>
          <w:sz w:val="20"/>
        </w:rPr>
        <w:t xml:space="preserve">Таблица 17</w:t>
      </w:r>
    </w:p>
    <w:p>
      <w:pPr>
        <w:pStyle w:val="0"/>
        <w:jc w:val="right"/>
      </w:pPr>
      <w:r>
        <w:rPr>
          <w:sz w:val="20"/>
        </w:rPr>
      </w:r>
    </w:p>
    <w:p>
      <w:pPr>
        <w:pStyle w:val="0"/>
        <w:jc w:val="center"/>
      </w:pPr>
      <w:r>
        <w:rPr>
          <w:sz w:val="20"/>
        </w:rPr>
        <w:t xml:space="preserve">Перечень МО, подготовленных к реализации</w:t>
      </w:r>
    </w:p>
    <w:p>
      <w:pPr>
        <w:pStyle w:val="0"/>
        <w:jc w:val="center"/>
      </w:pPr>
      <w:r>
        <w:rPr>
          <w:sz w:val="20"/>
        </w:rPr>
        <w:t xml:space="preserve">мероприятий федерального проекта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2"/>
        <w:gridCol w:w="1417"/>
        <w:gridCol w:w="1247"/>
        <w:gridCol w:w="1247"/>
        <w:gridCol w:w="1474"/>
        <w:gridCol w:w="1474"/>
        <w:gridCol w:w="1644"/>
      </w:tblGrid>
      <w:tr>
        <w:tc>
          <w:tcPr>
            <w:tcW w:w="562" w:type="dxa"/>
          </w:tcPr>
          <w:p>
            <w:pPr>
              <w:pStyle w:val="0"/>
              <w:jc w:val="center"/>
            </w:pPr>
            <w:r>
              <w:rPr>
                <w:sz w:val="20"/>
              </w:rPr>
              <w:t xml:space="preserve">N п/п</w:t>
            </w:r>
          </w:p>
        </w:tc>
        <w:tc>
          <w:tcPr>
            <w:tcW w:w="1417" w:type="dxa"/>
          </w:tcPr>
          <w:p>
            <w:pPr>
              <w:pStyle w:val="0"/>
              <w:jc w:val="center"/>
            </w:pPr>
            <w:r>
              <w:rPr>
                <w:sz w:val="20"/>
              </w:rPr>
              <w:t xml:space="preserve">Наименование МО</w:t>
            </w:r>
          </w:p>
        </w:tc>
        <w:tc>
          <w:tcPr>
            <w:tcW w:w="1247" w:type="dxa"/>
          </w:tcPr>
          <w:p>
            <w:pPr>
              <w:pStyle w:val="0"/>
              <w:jc w:val="center"/>
            </w:pPr>
            <w:r>
              <w:rPr>
                <w:sz w:val="20"/>
              </w:rPr>
              <w:t xml:space="preserve">Наличие отделений ранней медицинской реабилитации (далее - МР)</w:t>
            </w:r>
          </w:p>
        </w:tc>
        <w:tc>
          <w:tcPr>
            <w:tcW w:w="1247" w:type="dxa"/>
          </w:tcPr>
          <w:p>
            <w:pPr>
              <w:pStyle w:val="0"/>
              <w:jc w:val="center"/>
            </w:pPr>
            <w:r>
              <w:rPr>
                <w:sz w:val="20"/>
              </w:rPr>
              <w:t xml:space="preserve">Планируется открытие отделения ранней МР</w:t>
            </w:r>
          </w:p>
        </w:tc>
        <w:tc>
          <w:tcPr>
            <w:tcW w:w="1474" w:type="dxa"/>
          </w:tcPr>
          <w:p>
            <w:pPr>
              <w:pStyle w:val="0"/>
              <w:jc w:val="center"/>
            </w:pPr>
            <w:r>
              <w:rPr>
                <w:sz w:val="20"/>
              </w:rPr>
              <w:t xml:space="preserve">Наличие 2 этапа МР, коечная мощность</w:t>
            </w:r>
          </w:p>
        </w:tc>
        <w:tc>
          <w:tcPr>
            <w:tcW w:w="1474" w:type="dxa"/>
          </w:tcPr>
          <w:p>
            <w:pPr>
              <w:pStyle w:val="0"/>
              <w:jc w:val="center"/>
            </w:pPr>
            <w:r>
              <w:rPr>
                <w:sz w:val="20"/>
              </w:rPr>
              <w:t xml:space="preserve">Наличие ДС по МР, коечная мощность</w:t>
            </w:r>
          </w:p>
        </w:tc>
        <w:tc>
          <w:tcPr>
            <w:tcW w:w="1644" w:type="dxa"/>
          </w:tcPr>
          <w:p>
            <w:pPr>
              <w:pStyle w:val="0"/>
              <w:jc w:val="center"/>
            </w:pPr>
            <w:r>
              <w:rPr>
                <w:sz w:val="20"/>
              </w:rPr>
              <w:t xml:space="preserve">Наличие отделения амбулаторной МР</w:t>
            </w:r>
          </w:p>
        </w:tc>
      </w:tr>
      <w:tr>
        <w:tc>
          <w:tcPr>
            <w:tcW w:w="562" w:type="dxa"/>
          </w:tcPr>
          <w:p>
            <w:pPr>
              <w:pStyle w:val="0"/>
              <w:jc w:val="both"/>
            </w:pPr>
            <w:r>
              <w:rPr>
                <w:sz w:val="20"/>
              </w:rPr>
              <w:t xml:space="preserve">1.</w:t>
            </w:r>
          </w:p>
        </w:tc>
        <w:tc>
          <w:tcPr>
            <w:tcW w:w="1417" w:type="dxa"/>
          </w:tcPr>
          <w:p>
            <w:pPr>
              <w:pStyle w:val="0"/>
              <w:jc w:val="both"/>
            </w:pPr>
            <w:r>
              <w:rPr>
                <w:sz w:val="20"/>
              </w:rPr>
              <w:t xml:space="preserve">ГБ N 1</w:t>
            </w:r>
          </w:p>
        </w:tc>
        <w:tc>
          <w:tcPr>
            <w:tcW w:w="1247" w:type="dxa"/>
          </w:tcPr>
          <w:p>
            <w:pPr>
              <w:pStyle w:val="0"/>
              <w:jc w:val="both"/>
            </w:pPr>
            <w:r>
              <w:rPr>
                <w:sz w:val="20"/>
              </w:rPr>
              <w:t xml:space="preserve">Нет</w:t>
            </w:r>
          </w:p>
        </w:tc>
        <w:tc>
          <w:tcPr>
            <w:tcW w:w="1247" w:type="dxa"/>
          </w:tcPr>
          <w:p>
            <w:pPr>
              <w:pStyle w:val="0"/>
              <w:jc w:val="both"/>
            </w:pPr>
            <w:r>
              <w:rPr>
                <w:sz w:val="20"/>
              </w:rPr>
              <w:t xml:space="preserve">Да</w:t>
            </w:r>
          </w:p>
        </w:tc>
        <w:tc>
          <w:tcPr>
            <w:tcW w:w="1474" w:type="dxa"/>
          </w:tcPr>
          <w:p>
            <w:pPr>
              <w:pStyle w:val="0"/>
              <w:jc w:val="both"/>
            </w:pPr>
            <w:r>
              <w:rPr>
                <w:sz w:val="20"/>
              </w:rPr>
              <w:t xml:space="preserve">Нет</w:t>
            </w:r>
          </w:p>
        </w:tc>
        <w:tc>
          <w:tcPr>
            <w:tcW w:w="1474" w:type="dxa"/>
          </w:tcPr>
          <w:p>
            <w:pPr>
              <w:pStyle w:val="0"/>
              <w:jc w:val="both"/>
            </w:pPr>
            <w:r>
              <w:rPr>
                <w:sz w:val="20"/>
              </w:rPr>
              <w:t xml:space="preserve">Нет</w:t>
            </w:r>
          </w:p>
        </w:tc>
        <w:tc>
          <w:tcPr>
            <w:tcW w:w="1644" w:type="dxa"/>
          </w:tcPr>
          <w:p>
            <w:pPr>
              <w:pStyle w:val="0"/>
              <w:jc w:val="both"/>
            </w:pPr>
            <w:r>
              <w:rPr>
                <w:sz w:val="20"/>
              </w:rPr>
              <w:t xml:space="preserve">Создано отделение с 01.04.2022, планируется дооснащение</w:t>
            </w:r>
          </w:p>
        </w:tc>
      </w:tr>
      <w:tr>
        <w:tc>
          <w:tcPr>
            <w:tcW w:w="562" w:type="dxa"/>
          </w:tcPr>
          <w:p>
            <w:pPr>
              <w:pStyle w:val="0"/>
              <w:jc w:val="both"/>
            </w:pPr>
            <w:r>
              <w:rPr>
                <w:sz w:val="20"/>
              </w:rPr>
              <w:t xml:space="preserve">2.</w:t>
            </w:r>
          </w:p>
        </w:tc>
        <w:tc>
          <w:tcPr>
            <w:tcW w:w="1417" w:type="dxa"/>
          </w:tcPr>
          <w:p>
            <w:pPr>
              <w:pStyle w:val="0"/>
              <w:jc w:val="both"/>
            </w:pPr>
            <w:r>
              <w:rPr>
                <w:sz w:val="20"/>
              </w:rPr>
              <w:t xml:space="preserve">ГБ N 4</w:t>
            </w:r>
          </w:p>
        </w:tc>
        <w:tc>
          <w:tcPr>
            <w:tcW w:w="1247" w:type="dxa"/>
          </w:tcPr>
          <w:p>
            <w:pPr>
              <w:pStyle w:val="0"/>
              <w:jc w:val="both"/>
            </w:pPr>
            <w:r>
              <w:rPr>
                <w:sz w:val="20"/>
              </w:rPr>
              <w:t xml:space="preserve">Нет</w:t>
            </w:r>
          </w:p>
        </w:tc>
        <w:tc>
          <w:tcPr>
            <w:tcW w:w="1247" w:type="dxa"/>
          </w:tcPr>
          <w:p>
            <w:pPr>
              <w:pStyle w:val="0"/>
              <w:jc w:val="both"/>
            </w:pPr>
            <w:r>
              <w:rPr>
                <w:sz w:val="20"/>
              </w:rPr>
              <w:t xml:space="preserve">Нет</w:t>
            </w:r>
          </w:p>
        </w:tc>
        <w:tc>
          <w:tcPr>
            <w:tcW w:w="1474" w:type="dxa"/>
          </w:tcPr>
          <w:p>
            <w:pPr>
              <w:pStyle w:val="0"/>
              <w:jc w:val="both"/>
            </w:pPr>
            <w:r>
              <w:rPr>
                <w:sz w:val="20"/>
              </w:rPr>
              <w:t xml:space="preserve">Нет</w:t>
            </w:r>
          </w:p>
        </w:tc>
        <w:tc>
          <w:tcPr>
            <w:tcW w:w="1474" w:type="dxa"/>
          </w:tcPr>
          <w:p>
            <w:pPr>
              <w:pStyle w:val="0"/>
              <w:jc w:val="both"/>
            </w:pPr>
            <w:r>
              <w:rPr>
                <w:sz w:val="20"/>
              </w:rPr>
              <w:t xml:space="preserve">Нет</w:t>
            </w:r>
          </w:p>
        </w:tc>
        <w:tc>
          <w:tcPr>
            <w:tcW w:w="1644" w:type="dxa"/>
          </w:tcPr>
          <w:p>
            <w:pPr>
              <w:pStyle w:val="0"/>
              <w:jc w:val="both"/>
            </w:pPr>
            <w:r>
              <w:rPr>
                <w:sz w:val="20"/>
              </w:rPr>
              <w:t xml:space="preserve">Нет</w:t>
            </w:r>
          </w:p>
        </w:tc>
      </w:tr>
      <w:tr>
        <w:tc>
          <w:tcPr>
            <w:tcW w:w="562" w:type="dxa"/>
          </w:tcPr>
          <w:p>
            <w:pPr>
              <w:pStyle w:val="0"/>
              <w:jc w:val="both"/>
            </w:pPr>
            <w:r>
              <w:rPr>
                <w:sz w:val="20"/>
              </w:rPr>
              <w:t xml:space="preserve">3.</w:t>
            </w:r>
          </w:p>
        </w:tc>
        <w:tc>
          <w:tcPr>
            <w:tcW w:w="1417" w:type="dxa"/>
          </w:tcPr>
          <w:p>
            <w:pPr>
              <w:pStyle w:val="0"/>
              <w:jc w:val="both"/>
            </w:pPr>
            <w:r>
              <w:rPr>
                <w:sz w:val="20"/>
              </w:rPr>
              <w:t xml:space="preserve">ГБ N 9</w:t>
            </w:r>
          </w:p>
        </w:tc>
        <w:tc>
          <w:tcPr>
            <w:tcW w:w="1247" w:type="dxa"/>
          </w:tcPr>
          <w:p>
            <w:pPr>
              <w:pStyle w:val="0"/>
              <w:jc w:val="both"/>
            </w:pPr>
            <w:r>
              <w:rPr>
                <w:sz w:val="20"/>
              </w:rPr>
              <w:t xml:space="preserve">Нет</w:t>
            </w:r>
          </w:p>
        </w:tc>
        <w:tc>
          <w:tcPr>
            <w:tcW w:w="1247" w:type="dxa"/>
          </w:tcPr>
          <w:p>
            <w:pPr>
              <w:pStyle w:val="0"/>
              <w:jc w:val="both"/>
            </w:pPr>
            <w:r>
              <w:rPr>
                <w:sz w:val="20"/>
              </w:rPr>
              <w:t xml:space="preserve">Нет</w:t>
            </w:r>
          </w:p>
        </w:tc>
        <w:tc>
          <w:tcPr>
            <w:tcW w:w="1474" w:type="dxa"/>
          </w:tcPr>
          <w:p>
            <w:pPr>
              <w:pStyle w:val="0"/>
              <w:jc w:val="both"/>
            </w:pPr>
            <w:r>
              <w:rPr>
                <w:sz w:val="20"/>
              </w:rPr>
              <w:t xml:space="preserve">15 коек по профилю "периферической нервной системы" и "опорно-двигательного аппарата", 60 коек соматического профиля</w:t>
            </w:r>
          </w:p>
        </w:tc>
        <w:tc>
          <w:tcPr>
            <w:tcW w:w="1474" w:type="dxa"/>
          </w:tcPr>
          <w:p>
            <w:pPr>
              <w:pStyle w:val="0"/>
              <w:jc w:val="both"/>
            </w:pPr>
            <w:r>
              <w:rPr>
                <w:sz w:val="20"/>
              </w:rPr>
              <w:t xml:space="preserve">1 койка по профилю "периферической нервной системы" и "опорно-двигательного аппарата"</w:t>
            </w:r>
          </w:p>
        </w:tc>
        <w:tc>
          <w:tcPr>
            <w:tcW w:w="1644" w:type="dxa"/>
          </w:tcPr>
          <w:p>
            <w:pPr>
              <w:pStyle w:val="0"/>
              <w:jc w:val="both"/>
            </w:pPr>
            <w:r>
              <w:rPr>
                <w:sz w:val="20"/>
              </w:rPr>
              <w:t xml:space="preserve">Отделение АМР с 01.06.2022</w:t>
            </w:r>
          </w:p>
        </w:tc>
      </w:tr>
      <w:tr>
        <w:tc>
          <w:tcPr>
            <w:tcW w:w="562" w:type="dxa"/>
          </w:tcPr>
          <w:p>
            <w:pPr>
              <w:pStyle w:val="0"/>
              <w:jc w:val="both"/>
            </w:pPr>
            <w:r>
              <w:rPr>
                <w:sz w:val="20"/>
              </w:rPr>
              <w:t xml:space="preserve">4.</w:t>
            </w:r>
          </w:p>
        </w:tc>
        <w:tc>
          <w:tcPr>
            <w:tcW w:w="1417" w:type="dxa"/>
          </w:tcPr>
          <w:p>
            <w:pPr>
              <w:pStyle w:val="0"/>
              <w:jc w:val="both"/>
            </w:pPr>
            <w:r>
              <w:rPr>
                <w:sz w:val="20"/>
              </w:rPr>
              <w:t xml:space="preserve">ГБ N 5</w:t>
            </w:r>
          </w:p>
        </w:tc>
        <w:tc>
          <w:tcPr>
            <w:tcW w:w="1247" w:type="dxa"/>
          </w:tcPr>
          <w:p>
            <w:pPr>
              <w:pStyle w:val="0"/>
              <w:jc w:val="both"/>
            </w:pPr>
            <w:r>
              <w:rPr>
                <w:sz w:val="20"/>
              </w:rPr>
              <w:t xml:space="preserve">Да</w:t>
            </w:r>
          </w:p>
        </w:tc>
        <w:tc>
          <w:tcPr>
            <w:tcW w:w="1247" w:type="dxa"/>
          </w:tcPr>
          <w:p>
            <w:pPr>
              <w:pStyle w:val="0"/>
              <w:jc w:val="both"/>
            </w:pPr>
            <w:r>
              <w:rPr>
                <w:sz w:val="20"/>
              </w:rPr>
              <w:t xml:space="preserve">Да</w:t>
            </w:r>
          </w:p>
        </w:tc>
        <w:tc>
          <w:tcPr>
            <w:tcW w:w="1474" w:type="dxa"/>
          </w:tcPr>
          <w:p>
            <w:pPr>
              <w:pStyle w:val="0"/>
              <w:jc w:val="both"/>
            </w:pPr>
            <w:r>
              <w:rPr>
                <w:sz w:val="20"/>
              </w:rPr>
              <w:t xml:space="preserve">30 коек (18 по профилю "нейрореабилитация", 12 по профилю "ортопедия")</w:t>
            </w:r>
          </w:p>
        </w:tc>
        <w:tc>
          <w:tcPr>
            <w:tcW w:w="1474" w:type="dxa"/>
          </w:tcPr>
          <w:p>
            <w:pPr>
              <w:pStyle w:val="0"/>
              <w:jc w:val="both"/>
            </w:pPr>
            <w:r>
              <w:rPr>
                <w:sz w:val="20"/>
              </w:rPr>
              <w:t xml:space="preserve">24 койки (профили: 9 - "нейрореабилитация", 7 - "ортопедия", 8 - "соматика")</w:t>
            </w:r>
          </w:p>
        </w:tc>
        <w:tc>
          <w:tcPr>
            <w:tcW w:w="1644" w:type="dxa"/>
          </w:tcPr>
          <w:p>
            <w:pPr>
              <w:pStyle w:val="0"/>
              <w:jc w:val="both"/>
            </w:pPr>
            <w:r>
              <w:rPr>
                <w:sz w:val="20"/>
              </w:rPr>
              <w:t xml:space="preserve">Планируется открытие в 2023 году</w:t>
            </w:r>
          </w:p>
        </w:tc>
      </w:tr>
    </w:tbl>
    <w:p>
      <w:pPr>
        <w:pStyle w:val="0"/>
        <w:ind w:firstLine="540"/>
        <w:jc w:val="both"/>
      </w:pPr>
      <w:r>
        <w:rPr>
          <w:sz w:val="20"/>
        </w:rPr>
      </w:r>
    </w:p>
    <w:p>
      <w:pPr>
        <w:pStyle w:val="0"/>
        <w:ind w:firstLine="540"/>
        <w:jc w:val="both"/>
      </w:pPr>
      <w:r>
        <w:rPr>
          <w:sz w:val="20"/>
        </w:rPr>
        <w:t xml:space="preserve">Планируется открытие отделений ранней медицинской реабилитации для работы в условиях специализированных отделений по профилям медицинской помощи ("анестезиология и реаниматология", "неврология", "нейрохирургия", "кардиология", "кардиохирургия", "травматология и ортопедия", "онкология", "терапия") в ГБ N 1 и ГБ N 9. Планируется дооснащение отделений III этапа в ГБ N 1 в 2023 году и ГБ N 9.</w:t>
      </w:r>
    </w:p>
    <w:p>
      <w:pPr>
        <w:pStyle w:val="0"/>
        <w:spacing w:before="200" w:line-rule="auto"/>
        <w:ind w:firstLine="540"/>
        <w:jc w:val="both"/>
      </w:pPr>
      <w:r>
        <w:rPr>
          <w:sz w:val="20"/>
        </w:rPr>
        <w:t xml:space="preserve">В целях организации III этапа медицинской реабилитации взрослому населению прорабатываются вопросы оснащения и лицензирования для открытия дневных стационаров на базе ГБ N 1, ГБ N 9, ГБ N 4, отделения медицинской реабилитации 2 этапа для пациентов с патологией центральной нервной системы.</w:t>
      </w:r>
    </w:p>
    <w:p>
      <w:pPr>
        <w:pStyle w:val="0"/>
        <w:spacing w:before="200" w:line-rule="auto"/>
        <w:ind w:firstLine="540"/>
        <w:jc w:val="both"/>
      </w:pPr>
      <w:r>
        <w:rPr>
          <w:sz w:val="20"/>
        </w:rPr>
        <w:t xml:space="preserve">1.5.2. Анализ структурных подразделений медицинских организаций, оказывающих медицинскую помощь детям по профилю "медицинская реабилитация", проведен по унифицированным чек-листам (приложение N 1 к Программе) на 31.05.2023.</w:t>
      </w:r>
    </w:p>
    <w:p>
      <w:pPr>
        <w:pStyle w:val="0"/>
        <w:jc w:val="right"/>
      </w:pPr>
      <w:r>
        <w:rPr>
          <w:sz w:val="20"/>
        </w:rPr>
      </w:r>
    </w:p>
    <w:p>
      <w:pPr>
        <w:pStyle w:val="0"/>
        <w:jc w:val="right"/>
      </w:pPr>
      <w:r>
        <w:rPr>
          <w:sz w:val="20"/>
        </w:rPr>
        <w:t xml:space="preserve">Таблица 18</w:t>
      </w:r>
    </w:p>
    <w:p>
      <w:pPr>
        <w:pStyle w:val="0"/>
        <w:jc w:val="right"/>
      </w:pPr>
      <w:r>
        <w:rPr>
          <w:sz w:val="20"/>
        </w:rPr>
      </w:r>
    </w:p>
    <w:p>
      <w:pPr>
        <w:pStyle w:val="0"/>
        <w:jc w:val="center"/>
      </w:pPr>
      <w:r>
        <w:rPr>
          <w:sz w:val="20"/>
        </w:rPr>
        <w:t xml:space="preserve">ГБ N 5</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4252"/>
        <w:gridCol w:w="4082"/>
      </w:tblGrid>
      <w:tr>
        <w:tc>
          <w:tcPr>
            <w:tcW w:w="737" w:type="dxa"/>
          </w:tcPr>
          <w:p>
            <w:pPr>
              <w:pStyle w:val="0"/>
              <w:jc w:val="both"/>
            </w:pPr>
            <w:r>
              <w:rPr>
                <w:sz w:val="20"/>
              </w:rPr>
              <w:t xml:space="preserve">1.</w:t>
            </w:r>
          </w:p>
        </w:tc>
        <w:tc>
          <w:tcPr>
            <w:tcW w:w="4252" w:type="dxa"/>
          </w:tcPr>
          <w:p>
            <w:pPr>
              <w:pStyle w:val="0"/>
              <w:jc w:val="both"/>
            </w:pPr>
            <w:r>
              <w:rPr>
                <w:sz w:val="20"/>
              </w:rPr>
              <w:t xml:space="preserve">Полное наименование медицинской организации</w:t>
            </w:r>
          </w:p>
        </w:tc>
        <w:tc>
          <w:tcPr>
            <w:tcW w:w="4082" w:type="dxa"/>
          </w:tcPr>
          <w:p>
            <w:pPr>
              <w:pStyle w:val="0"/>
              <w:jc w:val="both"/>
            </w:pPr>
            <w:r>
              <w:rPr>
                <w:sz w:val="20"/>
              </w:rPr>
              <w:t xml:space="preserve">ГБ N 5</w:t>
            </w:r>
          </w:p>
        </w:tc>
      </w:tr>
      <w:tr>
        <w:tc>
          <w:tcPr>
            <w:tcW w:w="737" w:type="dxa"/>
          </w:tcPr>
          <w:p>
            <w:pPr>
              <w:pStyle w:val="0"/>
              <w:jc w:val="both"/>
            </w:pPr>
            <w:r>
              <w:rPr>
                <w:sz w:val="20"/>
              </w:rPr>
              <w:t xml:space="preserve">2.</w:t>
            </w:r>
          </w:p>
        </w:tc>
        <w:tc>
          <w:tcPr>
            <w:tcW w:w="4252" w:type="dxa"/>
          </w:tcPr>
          <w:p>
            <w:pPr>
              <w:pStyle w:val="0"/>
              <w:jc w:val="both"/>
            </w:pPr>
            <w:r>
              <w:rPr>
                <w:sz w:val="20"/>
              </w:rPr>
              <w:t xml:space="preserve">Уведомление на оказание первичной медико-санитарной помощи (далее - ПМСП) в условиях дневного стационара по ЛФК, мануальной терапии, медицинской реабилитации, неврологии, оториноларингологии, офтальмологии, психиатрии, психотерапии, рефлексологии, травматологии и ортопедии, физиотерапии, функциональной диагностике</w:t>
            </w:r>
          </w:p>
        </w:tc>
        <w:tc>
          <w:tcPr>
            <w:tcW w:w="4082" w:type="dxa"/>
          </w:tcPr>
          <w:p>
            <w:pPr>
              <w:pStyle w:val="0"/>
              <w:jc w:val="both"/>
            </w:pPr>
            <w:r>
              <w:rPr>
                <w:sz w:val="20"/>
              </w:rPr>
              <w:t xml:space="preserve">Уведомление на ПСМП в условиях дневного стационара по ЛФК, мануальной терапии, медицинской реабилитации, неврологии, оториноларингологии, офтальмологии, психиатрии, психотерапии, рефлексологии, травматологии и ортопедии, физиотерапии, функциональной диагностике</w:t>
            </w:r>
          </w:p>
        </w:tc>
      </w:tr>
      <w:tr>
        <w:tc>
          <w:tcPr>
            <w:tcW w:w="737" w:type="dxa"/>
          </w:tcPr>
          <w:p>
            <w:pPr>
              <w:pStyle w:val="0"/>
              <w:jc w:val="both"/>
            </w:pPr>
            <w:r>
              <w:rPr>
                <w:sz w:val="20"/>
              </w:rPr>
              <w:t xml:space="preserve">3.</w:t>
            </w:r>
          </w:p>
        </w:tc>
        <w:tc>
          <w:tcPr>
            <w:tcW w:w="4252" w:type="dxa"/>
          </w:tcPr>
          <w:p>
            <w:pPr>
              <w:pStyle w:val="0"/>
              <w:jc w:val="both"/>
            </w:pPr>
            <w:r>
              <w:rPr>
                <w:sz w:val="20"/>
              </w:rPr>
              <w:t xml:space="preserve">Группа медицинской организации (1, 2, 3)</w:t>
            </w:r>
          </w:p>
        </w:tc>
        <w:tc>
          <w:tcPr>
            <w:tcW w:w="4082" w:type="dxa"/>
          </w:tcPr>
          <w:p>
            <w:pPr>
              <w:pStyle w:val="0"/>
              <w:jc w:val="center"/>
            </w:pPr>
            <w:r>
              <w:rPr>
                <w:sz w:val="20"/>
              </w:rPr>
              <w:t xml:space="preserve">3</w:t>
            </w:r>
          </w:p>
        </w:tc>
      </w:tr>
      <w:tr>
        <w:tc>
          <w:tcPr>
            <w:tcW w:w="737" w:type="dxa"/>
          </w:tcPr>
          <w:p>
            <w:pPr>
              <w:pStyle w:val="0"/>
              <w:jc w:val="both"/>
            </w:pPr>
            <w:r>
              <w:rPr>
                <w:sz w:val="20"/>
              </w:rPr>
              <w:t xml:space="preserve">4.</w:t>
            </w:r>
          </w:p>
        </w:tc>
        <w:tc>
          <w:tcPr>
            <w:tcW w:w="4252" w:type="dxa"/>
          </w:tcPr>
          <w:p>
            <w:pPr>
              <w:pStyle w:val="0"/>
              <w:jc w:val="both"/>
            </w:pPr>
            <w:r>
              <w:rPr>
                <w:sz w:val="20"/>
              </w:rPr>
              <w:t xml:space="preserve">Медицинская организация является "якорной" по профилю "медицинская реабилитация" (да/нет)</w:t>
            </w:r>
          </w:p>
        </w:tc>
        <w:tc>
          <w:tcPr>
            <w:tcW w:w="4082" w:type="dxa"/>
          </w:tcPr>
          <w:p>
            <w:pPr>
              <w:pStyle w:val="0"/>
              <w:jc w:val="both"/>
            </w:pPr>
            <w:r>
              <w:rPr>
                <w:sz w:val="20"/>
              </w:rPr>
              <w:t xml:space="preserve">Да</w:t>
            </w:r>
          </w:p>
        </w:tc>
      </w:tr>
      <w:tr>
        <w:tc>
          <w:tcPr>
            <w:tcW w:w="737" w:type="dxa"/>
          </w:tcPr>
          <w:p>
            <w:pPr>
              <w:pStyle w:val="0"/>
              <w:jc w:val="both"/>
            </w:pPr>
            <w:r>
              <w:rPr>
                <w:sz w:val="20"/>
              </w:rPr>
              <w:t xml:space="preserve">5.</w:t>
            </w:r>
          </w:p>
        </w:tc>
        <w:tc>
          <w:tcPr>
            <w:tcW w:w="4252" w:type="dxa"/>
          </w:tcPr>
          <w:p>
            <w:pPr>
              <w:pStyle w:val="0"/>
              <w:jc w:val="both"/>
            </w:pPr>
            <w:r>
              <w:rPr>
                <w:sz w:val="20"/>
              </w:rPr>
              <w:t xml:space="preserve">Число прикрепленного населения (тыс. чел.) (при наличии)</w:t>
            </w:r>
          </w:p>
        </w:tc>
        <w:tc>
          <w:tcPr>
            <w:tcW w:w="4082" w:type="dxa"/>
          </w:tcPr>
          <w:p>
            <w:pPr>
              <w:pStyle w:val="0"/>
              <w:jc w:val="center"/>
            </w:pPr>
            <w:r>
              <w:rPr>
                <w:sz w:val="20"/>
              </w:rPr>
              <w:t xml:space="preserve">74404</w:t>
            </w:r>
          </w:p>
        </w:tc>
      </w:tr>
      <w:tr>
        <w:tc>
          <w:tcPr>
            <w:tcW w:w="737" w:type="dxa"/>
          </w:tcPr>
          <w:p>
            <w:pPr>
              <w:pStyle w:val="0"/>
              <w:jc w:val="both"/>
            </w:pPr>
            <w:r>
              <w:rPr>
                <w:sz w:val="20"/>
              </w:rPr>
              <w:t xml:space="preserve">6.</w:t>
            </w:r>
          </w:p>
        </w:tc>
        <w:tc>
          <w:tcPr>
            <w:tcW w:w="4252" w:type="dxa"/>
          </w:tcPr>
          <w:p>
            <w:pPr>
              <w:pStyle w:val="0"/>
              <w:jc w:val="both"/>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082" w:type="dxa"/>
          </w:tcPr>
          <w:p>
            <w:pPr>
              <w:pStyle w:val="0"/>
              <w:jc w:val="both"/>
            </w:pPr>
            <w:r>
              <w:rPr>
                <w:sz w:val="20"/>
              </w:rPr>
              <w:t xml:space="preserve">Да</w:t>
            </w:r>
          </w:p>
        </w:tc>
      </w:tr>
      <w:tr>
        <w:tc>
          <w:tcPr>
            <w:tcW w:w="737" w:type="dxa"/>
          </w:tcPr>
          <w:p>
            <w:pPr>
              <w:pStyle w:val="0"/>
              <w:jc w:val="both"/>
            </w:pPr>
            <w:r>
              <w:rPr>
                <w:sz w:val="20"/>
              </w:rPr>
              <w:t xml:space="preserve">7.</w:t>
            </w:r>
          </w:p>
        </w:tc>
        <w:tc>
          <w:tcPr>
            <w:tcW w:w="4252" w:type="dxa"/>
          </w:tcPr>
          <w:p>
            <w:pPr>
              <w:pStyle w:val="0"/>
              <w:jc w:val="both"/>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082" w:type="dxa"/>
          </w:tcPr>
          <w:p>
            <w:pPr>
              <w:pStyle w:val="0"/>
              <w:jc w:val="both"/>
            </w:pPr>
            <w:r>
              <w:rPr>
                <w:sz w:val="20"/>
              </w:rPr>
              <w:t xml:space="preserve">Детское реабилитационное отделение</w:t>
            </w:r>
          </w:p>
        </w:tc>
      </w:tr>
      <w:tr>
        <w:tc>
          <w:tcPr>
            <w:tcW w:w="737" w:type="dxa"/>
          </w:tcPr>
          <w:p>
            <w:pPr>
              <w:pStyle w:val="0"/>
              <w:jc w:val="both"/>
            </w:pPr>
            <w:r>
              <w:rPr>
                <w:sz w:val="20"/>
              </w:rPr>
              <w:t xml:space="preserve">7.1.</w:t>
            </w:r>
          </w:p>
        </w:tc>
        <w:tc>
          <w:tcPr>
            <w:tcW w:w="4252" w:type="dxa"/>
          </w:tcPr>
          <w:p>
            <w:pPr>
              <w:pStyle w:val="0"/>
              <w:jc w:val="both"/>
            </w:pPr>
            <w:r>
              <w:rPr>
                <w:sz w:val="20"/>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082" w:type="dxa"/>
          </w:tcPr>
          <w:p>
            <w:pPr>
              <w:pStyle w:val="0"/>
              <w:jc w:val="both"/>
            </w:pPr>
            <w:r>
              <w:rPr>
                <w:sz w:val="20"/>
              </w:rPr>
              <w:t xml:space="preserve">67%</w:t>
            </w:r>
          </w:p>
        </w:tc>
      </w:tr>
      <w:tr>
        <w:tc>
          <w:tcPr>
            <w:tcW w:w="737" w:type="dxa"/>
          </w:tcPr>
          <w:p>
            <w:pPr>
              <w:pStyle w:val="0"/>
              <w:jc w:val="both"/>
            </w:pPr>
            <w:r>
              <w:rPr>
                <w:sz w:val="20"/>
              </w:rPr>
              <w:t xml:space="preserve">7.2.</w:t>
            </w:r>
          </w:p>
        </w:tc>
        <w:tc>
          <w:tcPr>
            <w:tcW w:w="4252" w:type="dxa"/>
          </w:tcPr>
          <w:p>
            <w:pPr>
              <w:pStyle w:val="0"/>
              <w:jc w:val="both"/>
            </w:pPr>
            <w:r>
              <w:rPr>
                <w:sz w:val="20"/>
              </w:rPr>
              <w:t xml:space="preserve">Коэффициент совместительства в отделении ранней медицинской реабилитации или детском реабилитационном отделении</w:t>
            </w:r>
          </w:p>
        </w:tc>
        <w:tc>
          <w:tcPr>
            <w:tcW w:w="4082" w:type="dxa"/>
          </w:tcPr>
          <w:p>
            <w:pPr>
              <w:pStyle w:val="0"/>
              <w:jc w:val="both"/>
            </w:pPr>
            <w:r>
              <w:rPr>
                <w:sz w:val="20"/>
              </w:rPr>
              <w:t xml:space="preserve">1,15%</w:t>
            </w:r>
          </w:p>
        </w:tc>
      </w:tr>
      <w:tr>
        <w:tc>
          <w:tcPr>
            <w:tcW w:w="737" w:type="dxa"/>
          </w:tcPr>
          <w:p>
            <w:pPr>
              <w:pStyle w:val="0"/>
              <w:jc w:val="both"/>
            </w:pPr>
            <w:r>
              <w:rPr>
                <w:sz w:val="20"/>
              </w:rPr>
              <w:t xml:space="preserve">7.3.</w:t>
            </w:r>
          </w:p>
        </w:tc>
        <w:tc>
          <w:tcPr>
            <w:tcW w:w="4252" w:type="dxa"/>
          </w:tcPr>
          <w:p>
            <w:pPr>
              <w:pStyle w:val="0"/>
              <w:jc w:val="both"/>
            </w:pPr>
            <w:r>
              <w:rPr>
                <w:sz w:val="20"/>
              </w:rPr>
              <w:t xml:space="preserve">Оснащенность медицинскими изделиями (%)</w:t>
            </w:r>
          </w:p>
        </w:tc>
        <w:tc>
          <w:tcPr>
            <w:tcW w:w="4082" w:type="dxa"/>
          </w:tcPr>
          <w:p>
            <w:pPr>
              <w:pStyle w:val="0"/>
              <w:jc w:val="both"/>
            </w:pPr>
            <w:r>
              <w:rPr>
                <w:sz w:val="20"/>
              </w:rPr>
              <w:t xml:space="preserve">49%</w:t>
            </w:r>
          </w:p>
        </w:tc>
      </w:tr>
      <w:tr>
        <w:tc>
          <w:tcPr>
            <w:tcW w:w="737" w:type="dxa"/>
          </w:tcPr>
          <w:p>
            <w:pPr>
              <w:pStyle w:val="0"/>
              <w:jc w:val="both"/>
            </w:pPr>
            <w:r>
              <w:rPr>
                <w:sz w:val="20"/>
              </w:rPr>
              <w:t xml:space="preserve">8.</w:t>
            </w:r>
          </w:p>
        </w:tc>
        <w:tc>
          <w:tcPr>
            <w:tcW w:w="4252" w:type="dxa"/>
          </w:tcPr>
          <w:p>
            <w:pPr>
              <w:pStyle w:val="0"/>
              <w:jc w:val="both"/>
            </w:pPr>
            <w:r>
              <w:rPr>
                <w:sz w:val="20"/>
              </w:rPr>
              <w:t xml:space="preserve">Наименование стационарного отделения медицинской реабилитации (для взрослых)</w:t>
            </w:r>
          </w:p>
        </w:tc>
        <w:tc>
          <w:tcPr>
            <w:tcW w:w="4082" w:type="dxa"/>
          </w:tcPr>
          <w:p>
            <w:pPr>
              <w:pStyle w:val="0"/>
              <w:jc w:val="center"/>
            </w:pPr>
            <w:r>
              <w:rPr>
                <w:sz w:val="20"/>
              </w:rPr>
              <w:t xml:space="preserve">-</w:t>
            </w:r>
          </w:p>
        </w:tc>
      </w:tr>
      <w:tr>
        <w:tc>
          <w:tcPr>
            <w:tcW w:w="737" w:type="dxa"/>
          </w:tcPr>
          <w:p>
            <w:pPr>
              <w:pStyle w:val="0"/>
              <w:jc w:val="both"/>
            </w:pPr>
            <w:r>
              <w:rPr>
                <w:sz w:val="20"/>
              </w:rPr>
              <w:t xml:space="preserve">8.1.</w:t>
            </w:r>
          </w:p>
        </w:tc>
        <w:tc>
          <w:tcPr>
            <w:tcW w:w="4252" w:type="dxa"/>
          </w:tcPr>
          <w:p>
            <w:pPr>
              <w:pStyle w:val="0"/>
              <w:jc w:val="both"/>
            </w:pPr>
            <w:r>
              <w:rPr>
                <w:sz w:val="20"/>
              </w:rPr>
              <w:t xml:space="preserve">Коечная мощность (указать профиль и число стационарных реабилитационных коек по состоянию на 01.01.2022)</w:t>
            </w:r>
          </w:p>
        </w:tc>
        <w:tc>
          <w:tcPr>
            <w:tcW w:w="4082" w:type="dxa"/>
          </w:tcPr>
          <w:p>
            <w:pPr>
              <w:pStyle w:val="0"/>
              <w:jc w:val="center"/>
            </w:pPr>
            <w:r>
              <w:rPr>
                <w:sz w:val="20"/>
              </w:rPr>
              <w:t xml:space="preserve">0</w:t>
            </w:r>
          </w:p>
        </w:tc>
      </w:tr>
      <w:tr>
        <w:tc>
          <w:tcPr>
            <w:tcW w:w="737" w:type="dxa"/>
          </w:tcPr>
          <w:p>
            <w:pPr>
              <w:pStyle w:val="0"/>
              <w:jc w:val="both"/>
            </w:pPr>
            <w:r>
              <w:rPr>
                <w:sz w:val="20"/>
              </w:rPr>
              <w:t xml:space="preserve">8.2.</w:t>
            </w:r>
          </w:p>
        </w:tc>
        <w:tc>
          <w:tcPr>
            <w:tcW w:w="4252" w:type="dxa"/>
          </w:tcPr>
          <w:p>
            <w:pPr>
              <w:pStyle w:val="0"/>
              <w:jc w:val="both"/>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082" w:type="dxa"/>
          </w:tcPr>
          <w:p>
            <w:pPr>
              <w:pStyle w:val="0"/>
              <w:jc w:val="center"/>
            </w:pPr>
            <w:r>
              <w:rPr>
                <w:sz w:val="20"/>
              </w:rPr>
              <w:t xml:space="preserve">-</w:t>
            </w:r>
          </w:p>
        </w:tc>
      </w:tr>
      <w:tr>
        <w:tc>
          <w:tcPr>
            <w:tcW w:w="737" w:type="dxa"/>
          </w:tcPr>
          <w:p>
            <w:pPr>
              <w:pStyle w:val="0"/>
              <w:jc w:val="both"/>
            </w:pPr>
            <w:r>
              <w:rPr>
                <w:sz w:val="20"/>
              </w:rPr>
              <w:t xml:space="preserve">8.3.</w:t>
            </w:r>
          </w:p>
        </w:tc>
        <w:tc>
          <w:tcPr>
            <w:tcW w:w="4252" w:type="dxa"/>
          </w:tcPr>
          <w:p>
            <w:pPr>
              <w:pStyle w:val="0"/>
              <w:jc w:val="both"/>
            </w:pPr>
            <w:r>
              <w:rPr>
                <w:sz w:val="20"/>
              </w:rPr>
              <w:t xml:space="preserve">Коэффициент совместительства в стационарном отделении медицинской реабилитации (для взрослых)</w:t>
            </w:r>
          </w:p>
        </w:tc>
        <w:tc>
          <w:tcPr>
            <w:tcW w:w="4082" w:type="dxa"/>
          </w:tcPr>
          <w:p>
            <w:pPr>
              <w:pStyle w:val="0"/>
              <w:jc w:val="center"/>
            </w:pPr>
            <w:r>
              <w:rPr>
                <w:sz w:val="20"/>
              </w:rPr>
              <w:t xml:space="preserve">-</w:t>
            </w:r>
          </w:p>
        </w:tc>
      </w:tr>
      <w:tr>
        <w:tc>
          <w:tcPr>
            <w:tcW w:w="737" w:type="dxa"/>
          </w:tcPr>
          <w:p>
            <w:pPr>
              <w:pStyle w:val="0"/>
              <w:jc w:val="both"/>
            </w:pPr>
            <w:r>
              <w:rPr>
                <w:sz w:val="20"/>
              </w:rPr>
              <w:t xml:space="preserve">8.4.</w:t>
            </w:r>
          </w:p>
        </w:tc>
        <w:tc>
          <w:tcPr>
            <w:tcW w:w="4252" w:type="dxa"/>
          </w:tcPr>
          <w:p>
            <w:pPr>
              <w:pStyle w:val="0"/>
              <w:jc w:val="both"/>
            </w:pPr>
            <w:r>
              <w:rPr>
                <w:sz w:val="20"/>
              </w:rPr>
              <w:t xml:space="preserve">Оснащенность медицинскими изделиями (%)</w:t>
            </w:r>
          </w:p>
        </w:tc>
        <w:tc>
          <w:tcPr>
            <w:tcW w:w="4082" w:type="dxa"/>
          </w:tcPr>
          <w:p>
            <w:pPr>
              <w:pStyle w:val="0"/>
              <w:jc w:val="center"/>
            </w:pPr>
            <w:r>
              <w:rPr>
                <w:sz w:val="20"/>
              </w:rPr>
              <w:t xml:space="preserve">-</w:t>
            </w:r>
          </w:p>
        </w:tc>
      </w:tr>
      <w:tr>
        <w:tc>
          <w:tcPr>
            <w:tcW w:w="737" w:type="dxa"/>
          </w:tcPr>
          <w:p>
            <w:pPr>
              <w:pStyle w:val="0"/>
              <w:jc w:val="both"/>
            </w:pPr>
            <w:r>
              <w:rPr>
                <w:sz w:val="20"/>
              </w:rPr>
              <w:t xml:space="preserve">9.</w:t>
            </w:r>
          </w:p>
        </w:tc>
        <w:tc>
          <w:tcPr>
            <w:tcW w:w="4252" w:type="dxa"/>
          </w:tcPr>
          <w:p>
            <w:pPr>
              <w:pStyle w:val="0"/>
              <w:jc w:val="both"/>
            </w:pPr>
            <w:r>
              <w:rPr>
                <w:sz w:val="20"/>
              </w:rPr>
              <w:t xml:space="preserve">Наличие дневного стационара медицинской реабилитации (для взрослых) (да/нет)</w:t>
            </w:r>
          </w:p>
        </w:tc>
        <w:tc>
          <w:tcPr>
            <w:tcW w:w="4082" w:type="dxa"/>
          </w:tcPr>
          <w:p>
            <w:pPr>
              <w:pStyle w:val="0"/>
              <w:jc w:val="center"/>
            </w:pPr>
            <w:r>
              <w:rPr>
                <w:sz w:val="20"/>
              </w:rPr>
              <w:t xml:space="preserve">-</w:t>
            </w:r>
          </w:p>
        </w:tc>
      </w:tr>
      <w:tr>
        <w:tc>
          <w:tcPr>
            <w:tcW w:w="737" w:type="dxa"/>
          </w:tcPr>
          <w:p>
            <w:pPr>
              <w:pStyle w:val="0"/>
              <w:jc w:val="both"/>
            </w:pPr>
            <w:r>
              <w:rPr>
                <w:sz w:val="20"/>
              </w:rPr>
              <w:t xml:space="preserve">9.1.</w:t>
            </w:r>
          </w:p>
        </w:tc>
        <w:tc>
          <w:tcPr>
            <w:tcW w:w="4252" w:type="dxa"/>
          </w:tcPr>
          <w:p>
            <w:pPr>
              <w:pStyle w:val="0"/>
              <w:jc w:val="both"/>
            </w:pPr>
            <w:r>
              <w:rPr>
                <w:sz w:val="20"/>
              </w:rPr>
              <w:t xml:space="preserve">Коечная мощность (указать число реабилитационных коек дневного стационара по состоянию на 01.01.2022)</w:t>
            </w:r>
          </w:p>
        </w:tc>
        <w:tc>
          <w:tcPr>
            <w:tcW w:w="4082" w:type="dxa"/>
          </w:tcPr>
          <w:p>
            <w:pPr>
              <w:pStyle w:val="0"/>
              <w:jc w:val="center"/>
            </w:pPr>
            <w:r>
              <w:rPr>
                <w:sz w:val="20"/>
              </w:rPr>
              <w:t xml:space="preserve">0</w:t>
            </w:r>
          </w:p>
        </w:tc>
      </w:tr>
      <w:tr>
        <w:tc>
          <w:tcPr>
            <w:tcW w:w="737" w:type="dxa"/>
          </w:tcPr>
          <w:p>
            <w:pPr>
              <w:pStyle w:val="0"/>
              <w:jc w:val="both"/>
            </w:pPr>
            <w:r>
              <w:rPr>
                <w:sz w:val="20"/>
              </w:rPr>
              <w:t xml:space="preserve">9.2.</w:t>
            </w:r>
          </w:p>
        </w:tc>
        <w:tc>
          <w:tcPr>
            <w:tcW w:w="4252" w:type="dxa"/>
          </w:tcPr>
          <w:p>
            <w:pPr>
              <w:pStyle w:val="0"/>
              <w:jc w:val="both"/>
            </w:pPr>
            <w:r>
              <w:rPr>
                <w:sz w:val="20"/>
              </w:rPr>
              <w:t xml:space="preserve">Укомплектованность кадрами дневного стационара медицинской реабилитации (для взрослых), с учетом совместительства (%)</w:t>
            </w:r>
          </w:p>
        </w:tc>
        <w:tc>
          <w:tcPr>
            <w:tcW w:w="4082" w:type="dxa"/>
          </w:tcPr>
          <w:p>
            <w:pPr>
              <w:pStyle w:val="0"/>
              <w:jc w:val="center"/>
            </w:pPr>
            <w:r>
              <w:rPr>
                <w:sz w:val="20"/>
              </w:rPr>
              <w:t xml:space="preserve">-</w:t>
            </w:r>
          </w:p>
        </w:tc>
      </w:tr>
      <w:tr>
        <w:tc>
          <w:tcPr>
            <w:tcW w:w="737" w:type="dxa"/>
          </w:tcPr>
          <w:p>
            <w:pPr>
              <w:pStyle w:val="0"/>
              <w:jc w:val="both"/>
            </w:pPr>
            <w:r>
              <w:rPr>
                <w:sz w:val="20"/>
              </w:rPr>
              <w:t xml:space="preserve">9.3.</w:t>
            </w:r>
          </w:p>
        </w:tc>
        <w:tc>
          <w:tcPr>
            <w:tcW w:w="4252" w:type="dxa"/>
          </w:tcPr>
          <w:p>
            <w:pPr>
              <w:pStyle w:val="0"/>
              <w:jc w:val="both"/>
            </w:pPr>
            <w:r>
              <w:rPr>
                <w:sz w:val="20"/>
              </w:rPr>
              <w:t xml:space="preserve">Коэффициент совместительства в дневном стационаре медицинской реабилитации (для взрослых)</w:t>
            </w:r>
          </w:p>
        </w:tc>
        <w:tc>
          <w:tcPr>
            <w:tcW w:w="4082" w:type="dxa"/>
          </w:tcPr>
          <w:p>
            <w:pPr>
              <w:pStyle w:val="0"/>
              <w:jc w:val="center"/>
            </w:pPr>
            <w:r>
              <w:rPr>
                <w:sz w:val="20"/>
              </w:rPr>
              <w:t xml:space="preserve">-</w:t>
            </w:r>
          </w:p>
        </w:tc>
      </w:tr>
      <w:tr>
        <w:tc>
          <w:tcPr>
            <w:tcW w:w="737" w:type="dxa"/>
          </w:tcPr>
          <w:p>
            <w:pPr>
              <w:pStyle w:val="0"/>
              <w:jc w:val="both"/>
            </w:pPr>
            <w:r>
              <w:rPr>
                <w:sz w:val="20"/>
              </w:rPr>
              <w:t xml:space="preserve">9.4.</w:t>
            </w:r>
          </w:p>
        </w:tc>
        <w:tc>
          <w:tcPr>
            <w:tcW w:w="4252" w:type="dxa"/>
          </w:tcPr>
          <w:p>
            <w:pPr>
              <w:pStyle w:val="0"/>
              <w:jc w:val="both"/>
            </w:pPr>
            <w:r>
              <w:rPr>
                <w:sz w:val="20"/>
              </w:rPr>
              <w:t xml:space="preserve">Оснащенность медицинскими изделиями (%)</w:t>
            </w:r>
          </w:p>
        </w:tc>
        <w:tc>
          <w:tcPr>
            <w:tcW w:w="4082" w:type="dxa"/>
          </w:tcPr>
          <w:p>
            <w:pPr>
              <w:pStyle w:val="0"/>
              <w:jc w:val="center"/>
            </w:pPr>
            <w:r>
              <w:rPr>
                <w:sz w:val="20"/>
              </w:rPr>
              <w:t xml:space="preserve">-</w:t>
            </w:r>
          </w:p>
        </w:tc>
      </w:tr>
      <w:tr>
        <w:tc>
          <w:tcPr>
            <w:tcW w:w="737" w:type="dxa"/>
          </w:tcPr>
          <w:p>
            <w:pPr>
              <w:pStyle w:val="0"/>
              <w:jc w:val="both"/>
            </w:pPr>
            <w:r>
              <w:rPr>
                <w:sz w:val="20"/>
              </w:rPr>
              <w:t xml:space="preserve">10.</w:t>
            </w:r>
          </w:p>
        </w:tc>
        <w:tc>
          <w:tcPr>
            <w:tcW w:w="4252" w:type="dxa"/>
          </w:tcPr>
          <w:p>
            <w:pPr>
              <w:pStyle w:val="0"/>
              <w:jc w:val="both"/>
            </w:pPr>
            <w:r>
              <w:rPr>
                <w:sz w:val="20"/>
              </w:rPr>
              <w:t xml:space="preserve">Наименование отделения по медицинской реабилитации для детей (оказывающего медицинскую реабилитацию в стационарных условиях и (или) условиях дневного стационара)</w:t>
            </w:r>
          </w:p>
        </w:tc>
        <w:tc>
          <w:tcPr>
            <w:tcW w:w="4082" w:type="dxa"/>
          </w:tcPr>
          <w:p>
            <w:pPr>
              <w:pStyle w:val="0"/>
              <w:jc w:val="both"/>
            </w:pPr>
            <w:r>
              <w:rPr>
                <w:sz w:val="20"/>
              </w:rPr>
              <w:t xml:space="preserve">Детский центр медицинской реабилитации ("Детское нейрореабилитационное отделение", "Отделение восстановительного лечения")</w:t>
            </w:r>
          </w:p>
        </w:tc>
      </w:tr>
      <w:tr>
        <w:tc>
          <w:tcPr>
            <w:tcW w:w="737" w:type="dxa"/>
          </w:tcPr>
          <w:p>
            <w:pPr>
              <w:pStyle w:val="0"/>
              <w:jc w:val="both"/>
            </w:pPr>
            <w:r>
              <w:rPr>
                <w:sz w:val="20"/>
              </w:rPr>
              <w:t xml:space="preserve">10.1.</w:t>
            </w:r>
          </w:p>
        </w:tc>
        <w:tc>
          <w:tcPr>
            <w:tcW w:w="4252" w:type="dxa"/>
          </w:tcPr>
          <w:p>
            <w:pPr>
              <w:pStyle w:val="0"/>
              <w:jc w:val="both"/>
            </w:pPr>
            <w:r>
              <w:rPr>
                <w:sz w:val="20"/>
              </w:rPr>
              <w:t xml:space="preserve">Число и профиль круглосуточных коек (по состоянию на 01.01.2023)</w:t>
            </w:r>
          </w:p>
        </w:tc>
        <w:tc>
          <w:tcPr>
            <w:tcW w:w="4082" w:type="dxa"/>
          </w:tcPr>
          <w:p>
            <w:pPr>
              <w:pStyle w:val="0"/>
              <w:jc w:val="center"/>
            </w:pPr>
            <w:r>
              <w:rPr>
                <w:sz w:val="20"/>
              </w:rPr>
              <w:t xml:space="preserve">30</w:t>
            </w:r>
          </w:p>
        </w:tc>
      </w:tr>
      <w:tr>
        <w:tc>
          <w:tcPr>
            <w:tcW w:w="737" w:type="dxa"/>
          </w:tcPr>
          <w:p>
            <w:pPr>
              <w:pStyle w:val="0"/>
              <w:jc w:val="both"/>
            </w:pPr>
            <w:r>
              <w:rPr>
                <w:sz w:val="20"/>
              </w:rPr>
              <w:t xml:space="preserve">10.2.</w:t>
            </w:r>
          </w:p>
        </w:tc>
        <w:tc>
          <w:tcPr>
            <w:tcW w:w="4252" w:type="dxa"/>
          </w:tcPr>
          <w:p>
            <w:pPr>
              <w:pStyle w:val="0"/>
              <w:jc w:val="both"/>
            </w:pPr>
            <w:r>
              <w:rPr>
                <w:sz w:val="20"/>
              </w:rPr>
              <w:t xml:space="preserve">Число реабилитационных коек дневного стационара (по состоянию на 01.01.2022)</w:t>
            </w:r>
          </w:p>
        </w:tc>
        <w:tc>
          <w:tcPr>
            <w:tcW w:w="4082" w:type="dxa"/>
          </w:tcPr>
          <w:p>
            <w:pPr>
              <w:pStyle w:val="0"/>
              <w:jc w:val="center"/>
            </w:pPr>
            <w:r>
              <w:rPr>
                <w:sz w:val="20"/>
              </w:rPr>
              <w:t xml:space="preserve">24</w:t>
            </w:r>
          </w:p>
        </w:tc>
      </w:tr>
      <w:tr>
        <w:tc>
          <w:tcPr>
            <w:tcW w:w="737" w:type="dxa"/>
          </w:tcPr>
          <w:p>
            <w:pPr>
              <w:pStyle w:val="0"/>
              <w:jc w:val="both"/>
            </w:pPr>
            <w:r>
              <w:rPr>
                <w:sz w:val="20"/>
              </w:rPr>
              <w:t xml:space="preserve">10.3.</w:t>
            </w:r>
          </w:p>
        </w:tc>
        <w:tc>
          <w:tcPr>
            <w:tcW w:w="4252" w:type="dxa"/>
          </w:tcPr>
          <w:p>
            <w:pPr>
              <w:pStyle w:val="0"/>
              <w:jc w:val="both"/>
            </w:pPr>
            <w:r>
              <w:rPr>
                <w:sz w:val="20"/>
              </w:rPr>
              <w:t xml:space="preserve">Укомплектованность кадрами отделения по медицинской реабилитации для детей (оказывающего медицинскую реабилитацию в стационарных условиях и (или) условиях дневного стационара) с учетом совместительства (%)</w:t>
            </w:r>
          </w:p>
        </w:tc>
        <w:tc>
          <w:tcPr>
            <w:tcW w:w="4082" w:type="dxa"/>
          </w:tcPr>
          <w:p>
            <w:pPr>
              <w:pStyle w:val="0"/>
              <w:jc w:val="both"/>
            </w:pPr>
            <w:r>
              <w:rPr>
                <w:sz w:val="20"/>
              </w:rPr>
              <w:t xml:space="preserve">81%</w:t>
            </w:r>
          </w:p>
        </w:tc>
      </w:tr>
      <w:tr>
        <w:tc>
          <w:tcPr>
            <w:tcW w:w="737" w:type="dxa"/>
          </w:tcPr>
          <w:p>
            <w:pPr>
              <w:pStyle w:val="0"/>
              <w:jc w:val="both"/>
            </w:pPr>
            <w:r>
              <w:rPr>
                <w:sz w:val="20"/>
              </w:rPr>
              <w:t xml:space="preserve">10.4.</w:t>
            </w:r>
          </w:p>
        </w:tc>
        <w:tc>
          <w:tcPr>
            <w:tcW w:w="4252" w:type="dxa"/>
          </w:tcPr>
          <w:p>
            <w:pPr>
              <w:pStyle w:val="0"/>
              <w:jc w:val="both"/>
            </w:pPr>
            <w:r>
              <w:rPr>
                <w:sz w:val="20"/>
              </w:rPr>
              <w:t xml:space="preserve">Коэффициент совместительства в отделении по медицинской реабилитации для детей (оказывающем медицинскую реабилитацию в стационарных условиях и (или) условиях дневного стационара)</w:t>
            </w:r>
          </w:p>
        </w:tc>
        <w:tc>
          <w:tcPr>
            <w:tcW w:w="4082" w:type="dxa"/>
          </w:tcPr>
          <w:p>
            <w:pPr>
              <w:pStyle w:val="0"/>
              <w:jc w:val="both"/>
            </w:pPr>
            <w:r>
              <w:rPr>
                <w:sz w:val="20"/>
              </w:rPr>
              <w:t xml:space="preserve">1,57%</w:t>
            </w:r>
          </w:p>
        </w:tc>
      </w:tr>
      <w:tr>
        <w:tc>
          <w:tcPr>
            <w:tcW w:w="737" w:type="dxa"/>
          </w:tcPr>
          <w:p>
            <w:pPr>
              <w:pStyle w:val="0"/>
              <w:jc w:val="both"/>
            </w:pPr>
            <w:r>
              <w:rPr>
                <w:sz w:val="20"/>
              </w:rPr>
              <w:t xml:space="preserve">10.5.</w:t>
            </w:r>
          </w:p>
        </w:tc>
        <w:tc>
          <w:tcPr>
            <w:tcW w:w="4252" w:type="dxa"/>
          </w:tcPr>
          <w:p>
            <w:pPr>
              <w:pStyle w:val="0"/>
              <w:jc w:val="both"/>
            </w:pPr>
            <w:r>
              <w:rPr>
                <w:sz w:val="20"/>
              </w:rPr>
              <w:t xml:space="preserve">Оснащенность медицинскими изделиями (%)</w:t>
            </w:r>
          </w:p>
        </w:tc>
        <w:tc>
          <w:tcPr>
            <w:tcW w:w="4082" w:type="dxa"/>
          </w:tcPr>
          <w:p>
            <w:pPr>
              <w:pStyle w:val="0"/>
              <w:jc w:val="both"/>
            </w:pPr>
            <w:r>
              <w:rPr>
                <w:sz w:val="20"/>
              </w:rPr>
              <w:t xml:space="preserve">54%</w:t>
            </w:r>
          </w:p>
        </w:tc>
      </w:tr>
      <w:tr>
        <w:tc>
          <w:tcPr>
            <w:tcW w:w="737" w:type="dxa"/>
          </w:tcPr>
          <w:p>
            <w:pPr>
              <w:pStyle w:val="0"/>
              <w:jc w:val="both"/>
            </w:pPr>
            <w:r>
              <w:rPr>
                <w:sz w:val="20"/>
              </w:rPr>
              <w:t xml:space="preserve">11.</w:t>
            </w:r>
          </w:p>
        </w:tc>
        <w:tc>
          <w:tcPr>
            <w:tcW w:w="4252" w:type="dxa"/>
          </w:tcPr>
          <w:p>
            <w:pPr>
              <w:pStyle w:val="0"/>
              <w:jc w:val="both"/>
            </w:pPr>
            <w:r>
              <w:rPr>
                <w:sz w:val="20"/>
              </w:rPr>
              <w:t xml:space="preserve">Наличие амбулаторного отделения медицинской реабилитации</w:t>
            </w:r>
          </w:p>
        </w:tc>
        <w:tc>
          <w:tcPr>
            <w:tcW w:w="4082" w:type="dxa"/>
          </w:tcPr>
          <w:p>
            <w:pPr>
              <w:pStyle w:val="0"/>
              <w:jc w:val="both"/>
            </w:pPr>
            <w:r>
              <w:rPr>
                <w:sz w:val="20"/>
              </w:rPr>
              <w:t xml:space="preserve">Нет</w:t>
            </w:r>
          </w:p>
        </w:tc>
      </w:tr>
      <w:tr>
        <w:tc>
          <w:tcPr>
            <w:tcW w:w="737" w:type="dxa"/>
          </w:tcPr>
          <w:p>
            <w:pPr>
              <w:pStyle w:val="0"/>
              <w:jc w:val="both"/>
            </w:pPr>
            <w:r>
              <w:rPr>
                <w:sz w:val="20"/>
              </w:rPr>
              <w:t xml:space="preserve">11.1.</w:t>
            </w:r>
          </w:p>
        </w:tc>
        <w:tc>
          <w:tcPr>
            <w:tcW w:w="4252" w:type="dxa"/>
          </w:tcPr>
          <w:p>
            <w:pPr>
              <w:pStyle w:val="0"/>
              <w:jc w:val="both"/>
            </w:pPr>
            <w:r>
              <w:rPr>
                <w:sz w:val="20"/>
              </w:rPr>
              <w:t xml:space="preserve">Число посещений в смену</w:t>
            </w:r>
          </w:p>
        </w:tc>
        <w:tc>
          <w:tcPr>
            <w:tcW w:w="4082" w:type="dxa"/>
          </w:tcPr>
          <w:p>
            <w:pPr>
              <w:pStyle w:val="0"/>
              <w:jc w:val="center"/>
            </w:pPr>
            <w:r>
              <w:rPr>
                <w:sz w:val="20"/>
              </w:rPr>
              <w:t xml:space="preserve">-</w:t>
            </w:r>
          </w:p>
        </w:tc>
      </w:tr>
      <w:tr>
        <w:tc>
          <w:tcPr>
            <w:tcW w:w="737" w:type="dxa"/>
          </w:tcPr>
          <w:p>
            <w:pPr>
              <w:pStyle w:val="0"/>
              <w:jc w:val="both"/>
            </w:pPr>
            <w:r>
              <w:rPr>
                <w:sz w:val="20"/>
              </w:rPr>
              <w:t xml:space="preserve">11.2.</w:t>
            </w:r>
          </w:p>
        </w:tc>
        <w:tc>
          <w:tcPr>
            <w:tcW w:w="4252" w:type="dxa"/>
          </w:tcPr>
          <w:p>
            <w:pPr>
              <w:pStyle w:val="0"/>
              <w:jc w:val="both"/>
            </w:pPr>
            <w:r>
              <w:rPr>
                <w:sz w:val="20"/>
              </w:rPr>
              <w:t xml:space="preserve">Укомплектованность кадрами амбулаторного отделения медицинской реабилитации, с учетом совместительства (%)</w:t>
            </w:r>
          </w:p>
        </w:tc>
        <w:tc>
          <w:tcPr>
            <w:tcW w:w="4082" w:type="dxa"/>
          </w:tcPr>
          <w:p>
            <w:pPr>
              <w:pStyle w:val="0"/>
              <w:jc w:val="center"/>
            </w:pPr>
            <w:r>
              <w:rPr>
                <w:sz w:val="20"/>
              </w:rPr>
              <w:t xml:space="preserve">-</w:t>
            </w:r>
          </w:p>
        </w:tc>
      </w:tr>
      <w:tr>
        <w:tc>
          <w:tcPr>
            <w:tcW w:w="737" w:type="dxa"/>
          </w:tcPr>
          <w:p>
            <w:pPr>
              <w:pStyle w:val="0"/>
              <w:jc w:val="both"/>
            </w:pPr>
            <w:r>
              <w:rPr>
                <w:sz w:val="20"/>
              </w:rPr>
              <w:t xml:space="preserve">11.3.</w:t>
            </w:r>
          </w:p>
        </w:tc>
        <w:tc>
          <w:tcPr>
            <w:tcW w:w="4252" w:type="dxa"/>
          </w:tcPr>
          <w:p>
            <w:pPr>
              <w:pStyle w:val="0"/>
              <w:jc w:val="both"/>
            </w:pPr>
            <w:r>
              <w:rPr>
                <w:sz w:val="20"/>
              </w:rPr>
              <w:t xml:space="preserve">Коэффициент совместительства в амбулаторном отделении медицинской реабилитации</w:t>
            </w:r>
          </w:p>
        </w:tc>
        <w:tc>
          <w:tcPr>
            <w:tcW w:w="4082" w:type="dxa"/>
          </w:tcPr>
          <w:p>
            <w:pPr>
              <w:pStyle w:val="0"/>
              <w:jc w:val="center"/>
            </w:pPr>
            <w:r>
              <w:rPr>
                <w:sz w:val="20"/>
              </w:rPr>
              <w:t xml:space="preserve">-</w:t>
            </w:r>
          </w:p>
        </w:tc>
      </w:tr>
      <w:tr>
        <w:tc>
          <w:tcPr>
            <w:tcW w:w="737" w:type="dxa"/>
          </w:tcPr>
          <w:p>
            <w:pPr>
              <w:pStyle w:val="0"/>
              <w:jc w:val="both"/>
            </w:pPr>
            <w:r>
              <w:rPr>
                <w:sz w:val="20"/>
              </w:rPr>
              <w:t xml:space="preserve">11.4.</w:t>
            </w:r>
          </w:p>
        </w:tc>
        <w:tc>
          <w:tcPr>
            <w:tcW w:w="4252" w:type="dxa"/>
          </w:tcPr>
          <w:p>
            <w:pPr>
              <w:pStyle w:val="0"/>
              <w:jc w:val="both"/>
            </w:pPr>
            <w:r>
              <w:rPr>
                <w:sz w:val="20"/>
              </w:rPr>
              <w:t xml:space="preserve">Оснащенность медицинскими изделиями (%)</w:t>
            </w:r>
          </w:p>
        </w:tc>
        <w:tc>
          <w:tcPr>
            <w:tcW w:w="4082" w:type="dxa"/>
          </w:tcPr>
          <w:p>
            <w:pPr>
              <w:pStyle w:val="0"/>
              <w:jc w:val="center"/>
            </w:pPr>
            <w:r>
              <w:rPr>
                <w:sz w:val="20"/>
              </w:rPr>
              <w:t xml:space="preserve">-</w:t>
            </w:r>
          </w:p>
        </w:tc>
      </w:tr>
    </w:tbl>
    <w:p>
      <w:pPr>
        <w:pStyle w:val="0"/>
        <w:ind w:firstLine="540"/>
        <w:jc w:val="both"/>
      </w:pPr>
      <w:r>
        <w:rPr>
          <w:sz w:val="20"/>
        </w:rPr>
      </w:r>
    </w:p>
    <w:p>
      <w:pPr>
        <w:pStyle w:val="0"/>
        <w:jc w:val="right"/>
      </w:pPr>
      <w:r>
        <w:rPr>
          <w:sz w:val="20"/>
        </w:rPr>
        <w:t xml:space="preserve">Таблица 19</w:t>
      </w:r>
    </w:p>
    <w:p>
      <w:pPr>
        <w:pStyle w:val="0"/>
        <w:jc w:val="right"/>
      </w:pPr>
      <w:r>
        <w:rPr>
          <w:sz w:val="20"/>
        </w:rPr>
      </w:r>
    </w:p>
    <w:p>
      <w:pPr>
        <w:pStyle w:val="0"/>
        <w:jc w:val="center"/>
      </w:pPr>
      <w:r>
        <w:rPr>
          <w:sz w:val="20"/>
        </w:rPr>
        <w:t xml:space="preserve">Коечный фонд по профилю "медицинская реабилитация"</w:t>
      </w:r>
    </w:p>
    <w:p>
      <w:pPr>
        <w:pStyle w:val="0"/>
        <w:jc w:val="center"/>
      </w:pPr>
      <w:r>
        <w:rPr>
          <w:sz w:val="20"/>
        </w:rPr>
        <w:t xml:space="preserve">на 01.01.2021, детское население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1134"/>
        <w:gridCol w:w="1134"/>
        <w:gridCol w:w="1134"/>
      </w:tblGrid>
      <w:tr>
        <w:tc>
          <w:tcPr>
            <w:tcW w:w="5669" w:type="dxa"/>
          </w:tcPr>
          <w:p>
            <w:pPr>
              <w:pStyle w:val="0"/>
              <w:jc w:val="center"/>
            </w:pPr>
            <w:r>
              <w:rPr>
                <w:sz w:val="20"/>
              </w:rPr>
            </w:r>
          </w:p>
        </w:tc>
        <w:tc>
          <w:tcPr>
            <w:tcW w:w="1134" w:type="dxa"/>
          </w:tcPr>
          <w:p>
            <w:pPr>
              <w:pStyle w:val="0"/>
              <w:jc w:val="center"/>
            </w:pPr>
            <w:r>
              <w:rPr>
                <w:sz w:val="20"/>
              </w:rPr>
              <w:t xml:space="preserve">ГБ N 5</w:t>
            </w:r>
          </w:p>
        </w:tc>
        <w:tc>
          <w:tcPr>
            <w:tcW w:w="1134" w:type="dxa"/>
          </w:tcPr>
          <w:p>
            <w:pPr>
              <w:pStyle w:val="0"/>
              <w:jc w:val="center"/>
            </w:pPr>
            <w:r>
              <w:rPr>
                <w:sz w:val="20"/>
              </w:rPr>
              <w:t xml:space="preserve">ГБ N 9</w:t>
            </w:r>
          </w:p>
        </w:tc>
        <w:tc>
          <w:tcPr>
            <w:tcW w:w="1134" w:type="dxa"/>
          </w:tcPr>
          <w:p>
            <w:pPr>
              <w:pStyle w:val="0"/>
              <w:jc w:val="center"/>
            </w:pPr>
            <w:r>
              <w:rPr>
                <w:sz w:val="20"/>
              </w:rPr>
              <w:t xml:space="preserve">ГБ N 4</w:t>
            </w:r>
          </w:p>
        </w:tc>
      </w:tr>
      <w:tr>
        <w:tc>
          <w:tcPr>
            <w:tcW w:w="5669" w:type="dxa"/>
          </w:tcPr>
          <w:p>
            <w:pPr>
              <w:pStyle w:val="0"/>
              <w:jc w:val="both"/>
            </w:pPr>
            <w:r>
              <w:rPr>
                <w:sz w:val="20"/>
              </w:rPr>
              <w:t xml:space="preserve">II этап (круглосуточный стационар)</w:t>
            </w:r>
          </w:p>
        </w:tc>
        <w:tc>
          <w:tcPr>
            <w:tcW w:w="1134" w:type="dxa"/>
          </w:tcPr>
          <w:p>
            <w:pPr>
              <w:pStyle w:val="0"/>
              <w:jc w:val="center"/>
            </w:pPr>
            <w:r>
              <w:rPr>
                <w:sz w:val="20"/>
              </w:rPr>
              <w:t xml:space="preserve">0</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r>
      <w:tr>
        <w:tc>
          <w:tcPr>
            <w:tcW w:w="5669" w:type="dxa"/>
          </w:tcPr>
          <w:p>
            <w:pPr>
              <w:pStyle w:val="0"/>
              <w:jc w:val="both"/>
            </w:pPr>
            <w:r>
              <w:rPr>
                <w:sz w:val="20"/>
              </w:rPr>
              <w:t xml:space="preserve">II этап (дневной стационар в две смены)</w:t>
            </w:r>
          </w:p>
        </w:tc>
        <w:tc>
          <w:tcPr>
            <w:tcW w:w="1134" w:type="dxa"/>
          </w:tcPr>
          <w:p>
            <w:pPr>
              <w:pStyle w:val="0"/>
              <w:jc w:val="center"/>
            </w:pPr>
            <w:r>
              <w:rPr>
                <w:sz w:val="20"/>
              </w:rPr>
              <w:t xml:space="preserve">24</w:t>
            </w:r>
          </w:p>
        </w:tc>
        <w:tc>
          <w:tcPr>
            <w:tcW w:w="1134" w:type="dxa"/>
          </w:tcPr>
          <w:p>
            <w:pPr>
              <w:pStyle w:val="0"/>
              <w:jc w:val="center"/>
            </w:pPr>
            <w:r>
              <w:rPr>
                <w:sz w:val="20"/>
              </w:rPr>
              <w:t xml:space="preserve">0</w:t>
            </w:r>
          </w:p>
        </w:tc>
        <w:tc>
          <w:tcPr>
            <w:tcW w:w="1134" w:type="dxa"/>
          </w:tcPr>
          <w:p>
            <w:pPr>
              <w:pStyle w:val="0"/>
              <w:jc w:val="center"/>
            </w:pPr>
            <w:r>
              <w:rPr>
                <w:sz w:val="20"/>
              </w:rPr>
              <w:t xml:space="preserve">0</w:t>
            </w:r>
          </w:p>
        </w:tc>
      </w:tr>
      <w:tr>
        <w:tc>
          <w:tcPr>
            <w:tcW w:w="5669" w:type="dxa"/>
          </w:tcPr>
          <w:p>
            <w:pPr>
              <w:pStyle w:val="0"/>
              <w:jc w:val="both"/>
            </w:pPr>
            <w:r>
              <w:rPr>
                <w:sz w:val="20"/>
              </w:rPr>
              <w:t xml:space="preserve">реабилитационные койки для больных с заболеваниями нервной системы и органов чувств</w:t>
            </w:r>
          </w:p>
        </w:tc>
        <w:tc>
          <w:tcPr>
            <w:tcW w:w="1134" w:type="dxa"/>
          </w:tcPr>
          <w:p>
            <w:pPr>
              <w:pStyle w:val="0"/>
              <w:jc w:val="center"/>
            </w:pPr>
            <w:r>
              <w:rPr>
                <w:sz w:val="20"/>
              </w:rPr>
              <w:t xml:space="preserve">9</w:t>
            </w:r>
          </w:p>
        </w:tc>
        <w:tc>
          <w:tcPr>
            <w:tcW w:w="1134" w:type="dxa"/>
          </w:tcPr>
          <w:p>
            <w:pPr>
              <w:pStyle w:val="0"/>
              <w:jc w:val="center"/>
            </w:pPr>
            <w:r>
              <w:rPr>
                <w:sz w:val="20"/>
              </w:rPr>
              <w:t xml:space="preserve">0</w:t>
            </w:r>
          </w:p>
        </w:tc>
        <w:tc>
          <w:tcPr>
            <w:tcW w:w="1134" w:type="dxa"/>
          </w:tcPr>
          <w:p>
            <w:pPr>
              <w:pStyle w:val="0"/>
              <w:jc w:val="center"/>
            </w:pPr>
            <w:r>
              <w:rPr>
                <w:sz w:val="20"/>
              </w:rPr>
              <w:t xml:space="preserve">0</w:t>
            </w:r>
          </w:p>
        </w:tc>
      </w:tr>
      <w:tr>
        <w:tc>
          <w:tcPr>
            <w:tcW w:w="5669" w:type="dxa"/>
          </w:tcPr>
          <w:p>
            <w:pPr>
              <w:pStyle w:val="0"/>
              <w:jc w:val="both"/>
            </w:pPr>
            <w:r>
              <w:rPr>
                <w:sz w:val="20"/>
              </w:rPr>
              <w:t xml:space="preserve">реабилитационные койки для больных с заболеваниями опорно-двигательного аппарата и периферической нервной системы</w:t>
            </w:r>
          </w:p>
        </w:tc>
        <w:tc>
          <w:tcPr>
            <w:tcW w:w="1134" w:type="dxa"/>
          </w:tcPr>
          <w:p>
            <w:pPr>
              <w:pStyle w:val="0"/>
              <w:jc w:val="center"/>
            </w:pPr>
            <w:r>
              <w:rPr>
                <w:sz w:val="20"/>
              </w:rPr>
              <w:t xml:space="preserve">7</w:t>
            </w:r>
          </w:p>
        </w:tc>
        <w:tc>
          <w:tcPr>
            <w:tcW w:w="1134" w:type="dxa"/>
          </w:tcPr>
          <w:p>
            <w:pPr>
              <w:pStyle w:val="0"/>
              <w:jc w:val="center"/>
            </w:pPr>
            <w:r>
              <w:rPr>
                <w:sz w:val="20"/>
              </w:rPr>
              <w:t xml:space="preserve">0</w:t>
            </w:r>
          </w:p>
        </w:tc>
        <w:tc>
          <w:tcPr>
            <w:tcW w:w="1134" w:type="dxa"/>
          </w:tcPr>
          <w:p>
            <w:pPr>
              <w:pStyle w:val="0"/>
              <w:jc w:val="center"/>
            </w:pPr>
            <w:r>
              <w:rPr>
                <w:sz w:val="20"/>
              </w:rPr>
              <w:t xml:space="preserve">0</w:t>
            </w:r>
          </w:p>
        </w:tc>
      </w:tr>
      <w:tr>
        <w:tc>
          <w:tcPr>
            <w:tcW w:w="5669" w:type="dxa"/>
          </w:tcPr>
          <w:p>
            <w:pPr>
              <w:pStyle w:val="0"/>
              <w:jc w:val="both"/>
            </w:pPr>
            <w:r>
              <w:rPr>
                <w:sz w:val="20"/>
              </w:rPr>
              <w:t xml:space="preserve">койки соматической реабилитации</w:t>
            </w:r>
          </w:p>
        </w:tc>
        <w:tc>
          <w:tcPr>
            <w:tcW w:w="1134" w:type="dxa"/>
          </w:tcPr>
          <w:p>
            <w:pPr>
              <w:pStyle w:val="0"/>
              <w:jc w:val="center"/>
            </w:pPr>
            <w:r>
              <w:rPr>
                <w:sz w:val="20"/>
              </w:rPr>
              <w:t xml:space="preserve">8</w:t>
            </w:r>
          </w:p>
        </w:tc>
        <w:tc>
          <w:tcPr>
            <w:tcW w:w="1134" w:type="dxa"/>
          </w:tcPr>
          <w:p>
            <w:pPr>
              <w:pStyle w:val="0"/>
              <w:jc w:val="center"/>
            </w:pPr>
            <w:r>
              <w:rPr>
                <w:sz w:val="20"/>
              </w:rPr>
              <w:t xml:space="preserve">0</w:t>
            </w:r>
          </w:p>
        </w:tc>
        <w:tc>
          <w:tcPr>
            <w:tcW w:w="1134" w:type="dxa"/>
          </w:tcPr>
          <w:p>
            <w:pPr>
              <w:pStyle w:val="0"/>
              <w:jc w:val="center"/>
            </w:pPr>
            <w:r>
              <w:rPr>
                <w:sz w:val="20"/>
              </w:rPr>
              <w:t xml:space="preserve">0</w:t>
            </w:r>
          </w:p>
        </w:tc>
      </w:tr>
    </w:tbl>
    <w:p>
      <w:pPr>
        <w:pStyle w:val="0"/>
        <w:jc w:val="both"/>
      </w:pPr>
      <w:r>
        <w:rPr>
          <w:sz w:val="20"/>
        </w:rPr>
      </w:r>
    </w:p>
    <w:p>
      <w:pPr>
        <w:pStyle w:val="0"/>
        <w:jc w:val="right"/>
      </w:pPr>
      <w:r>
        <w:rPr>
          <w:sz w:val="20"/>
        </w:rPr>
        <w:t xml:space="preserve">Таблица 20</w:t>
      </w:r>
    </w:p>
    <w:p>
      <w:pPr>
        <w:pStyle w:val="0"/>
        <w:jc w:val="right"/>
      </w:pPr>
      <w:r>
        <w:rPr>
          <w:sz w:val="20"/>
        </w:rPr>
      </w:r>
    </w:p>
    <w:p>
      <w:pPr>
        <w:pStyle w:val="0"/>
        <w:jc w:val="center"/>
      </w:pPr>
      <w:r>
        <w:rPr>
          <w:sz w:val="20"/>
        </w:rPr>
        <w:t xml:space="preserve">Обеспеченность реабилитационными койками</w:t>
      </w:r>
    </w:p>
    <w:p>
      <w:pPr>
        <w:pStyle w:val="0"/>
        <w:jc w:val="center"/>
      </w:pPr>
      <w:r>
        <w:rPr>
          <w:sz w:val="20"/>
        </w:rPr>
        <w:t xml:space="preserve">на 10000 детского населения в 2020 году</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1134"/>
        <w:gridCol w:w="1989"/>
        <w:gridCol w:w="1466"/>
        <w:gridCol w:w="1936"/>
      </w:tblGrid>
      <w:tr>
        <w:tc>
          <w:tcPr>
            <w:tcW w:w="2551" w:type="dxa"/>
          </w:tcPr>
          <w:p>
            <w:pPr>
              <w:pStyle w:val="0"/>
              <w:jc w:val="center"/>
            </w:pPr>
            <w:r>
              <w:rPr>
                <w:sz w:val="20"/>
              </w:rPr>
            </w:r>
          </w:p>
        </w:tc>
        <w:tc>
          <w:tcPr>
            <w:tcW w:w="1134" w:type="dxa"/>
          </w:tcPr>
          <w:p>
            <w:pPr>
              <w:pStyle w:val="0"/>
              <w:jc w:val="center"/>
            </w:pPr>
            <w:r>
              <w:rPr>
                <w:sz w:val="20"/>
              </w:rPr>
              <w:t xml:space="preserve">Всего коек</w:t>
            </w:r>
          </w:p>
        </w:tc>
        <w:tc>
          <w:tcPr>
            <w:tcW w:w="1989" w:type="dxa"/>
          </w:tcPr>
          <w:p>
            <w:pPr>
              <w:pStyle w:val="0"/>
              <w:jc w:val="center"/>
            </w:pPr>
            <w:r>
              <w:rPr>
                <w:sz w:val="20"/>
              </w:rPr>
              <w:t xml:space="preserve">Обеспеченность на 10000 населения</w:t>
            </w:r>
          </w:p>
        </w:tc>
        <w:tc>
          <w:tcPr>
            <w:tcW w:w="1466" w:type="dxa"/>
          </w:tcPr>
          <w:p>
            <w:pPr>
              <w:pStyle w:val="0"/>
              <w:jc w:val="center"/>
            </w:pPr>
            <w:r>
              <w:rPr>
                <w:sz w:val="20"/>
              </w:rPr>
              <w:t xml:space="preserve">Занятость, койки</w:t>
            </w:r>
          </w:p>
        </w:tc>
        <w:tc>
          <w:tcPr>
            <w:tcW w:w="1936" w:type="dxa"/>
          </w:tcPr>
          <w:p>
            <w:pPr>
              <w:pStyle w:val="0"/>
              <w:jc w:val="center"/>
            </w:pPr>
            <w:r>
              <w:rPr>
                <w:sz w:val="20"/>
              </w:rPr>
              <w:t xml:space="preserve">% выполнения плана</w:t>
            </w:r>
          </w:p>
        </w:tc>
      </w:tr>
      <w:tr>
        <w:tc>
          <w:tcPr>
            <w:tcW w:w="2551" w:type="dxa"/>
          </w:tcPr>
          <w:p>
            <w:pPr>
              <w:pStyle w:val="0"/>
              <w:jc w:val="both"/>
            </w:pPr>
            <w:r>
              <w:rPr>
                <w:sz w:val="20"/>
              </w:rPr>
              <w:t xml:space="preserve">II этап:</w:t>
            </w:r>
          </w:p>
        </w:tc>
        <w:tc>
          <w:tcPr>
            <w:tcW w:w="1134" w:type="dxa"/>
          </w:tcPr>
          <w:p>
            <w:pPr>
              <w:pStyle w:val="0"/>
              <w:jc w:val="center"/>
            </w:pPr>
            <w:r>
              <w:rPr>
                <w:sz w:val="20"/>
              </w:rPr>
            </w:r>
          </w:p>
        </w:tc>
        <w:tc>
          <w:tcPr>
            <w:tcW w:w="1989" w:type="dxa"/>
          </w:tcPr>
          <w:p>
            <w:pPr>
              <w:pStyle w:val="0"/>
              <w:jc w:val="center"/>
            </w:pPr>
            <w:r>
              <w:rPr>
                <w:sz w:val="20"/>
              </w:rPr>
            </w:r>
          </w:p>
        </w:tc>
        <w:tc>
          <w:tcPr>
            <w:tcW w:w="1466" w:type="dxa"/>
          </w:tcPr>
          <w:p>
            <w:pPr>
              <w:pStyle w:val="0"/>
              <w:jc w:val="center"/>
            </w:pPr>
            <w:r>
              <w:rPr>
                <w:sz w:val="20"/>
              </w:rPr>
            </w:r>
          </w:p>
        </w:tc>
        <w:tc>
          <w:tcPr>
            <w:tcW w:w="1936" w:type="dxa"/>
          </w:tcPr>
          <w:p>
            <w:pPr>
              <w:pStyle w:val="0"/>
              <w:jc w:val="center"/>
            </w:pPr>
            <w:r>
              <w:rPr>
                <w:sz w:val="20"/>
              </w:rPr>
            </w:r>
          </w:p>
        </w:tc>
      </w:tr>
      <w:tr>
        <w:tc>
          <w:tcPr>
            <w:tcW w:w="2551" w:type="dxa"/>
          </w:tcPr>
          <w:p>
            <w:pPr>
              <w:pStyle w:val="0"/>
              <w:jc w:val="both"/>
            </w:pPr>
            <w:r>
              <w:rPr>
                <w:sz w:val="20"/>
              </w:rPr>
              <w:t xml:space="preserve">круглосуточный стационар</w:t>
            </w:r>
          </w:p>
        </w:tc>
        <w:tc>
          <w:tcPr>
            <w:tcW w:w="1134" w:type="dxa"/>
          </w:tcPr>
          <w:p>
            <w:pPr>
              <w:pStyle w:val="0"/>
              <w:jc w:val="center"/>
            </w:pPr>
            <w:r>
              <w:rPr>
                <w:sz w:val="20"/>
              </w:rPr>
              <w:t xml:space="preserve">0</w:t>
            </w:r>
          </w:p>
        </w:tc>
        <w:tc>
          <w:tcPr>
            <w:tcW w:w="1989" w:type="dxa"/>
          </w:tcPr>
          <w:p>
            <w:pPr>
              <w:pStyle w:val="0"/>
              <w:jc w:val="center"/>
            </w:pPr>
            <w:r>
              <w:rPr>
                <w:sz w:val="20"/>
              </w:rPr>
              <w:t xml:space="preserve">0</w:t>
            </w:r>
          </w:p>
        </w:tc>
        <w:tc>
          <w:tcPr>
            <w:tcW w:w="1466" w:type="dxa"/>
          </w:tcPr>
          <w:p>
            <w:pPr>
              <w:pStyle w:val="0"/>
              <w:jc w:val="center"/>
            </w:pPr>
            <w:r>
              <w:rPr>
                <w:sz w:val="20"/>
              </w:rPr>
              <w:t xml:space="preserve">0</w:t>
            </w:r>
          </w:p>
        </w:tc>
        <w:tc>
          <w:tcPr>
            <w:tcW w:w="1936" w:type="dxa"/>
          </w:tcPr>
          <w:p>
            <w:pPr>
              <w:pStyle w:val="0"/>
              <w:jc w:val="center"/>
            </w:pPr>
            <w:r>
              <w:rPr>
                <w:sz w:val="20"/>
              </w:rPr>
              <w:t xml:space="preserve">0</w:t>
            </w:r>
          </w:p>
        </w:tc>
      </w:tr>
      <w:tr>
        <w:tc>
          <w:tcPr>
            <w:tcW w:w="2551" w:type="dxa"/>
          </w:tcPr>
          <w:p>
            <w:pPr>
              <w:pStyle w:val="0"/>
              <w:jc w:val="both"/>
            </w:pPr>
            <w:r>
              <w:rPr>
                <w:sz w:val="20"/>
              </w:rPr>
              <w:t xml:space="preserve">дневной стационар</w:t>
            </w:r>
          </w:p>
        </w:tc>
        <w:tc>
          <w:tcPr>
            <w:tcW w:w="1134" w:type="dxa"/>
          </w:tcPr>
          <w:p>
            <w:pPr>
              <w:pStyle w:val="0"/>
              <w:jc w:val="center"/>
            </w:pPr>
            <w:r>
              <w:rPr>
                <w:sz w:val="20"/>
              </w:rPr>
              <w:t xml:space="preserve">24</w:t>
            </w:r>
          </w:p>
        </w:tc>
        <w:tc>
          <w:tcPr>
            <w:tcW w:w="1989" w:type="dxa"/>
          </w:tcPr>
          <w:p>
            <w:pPr>
              <w:pStyle w:val="0"/>
              <w:jc w:val="center"/>
            </w:pPr>
            <w:r>
              <w:rPr>
                <w:sz w:val="20"/>
              </w:rPr>
              <w:t xml:space="preserve">2,8</w:t>
            </w:r>
          </w:p>
        </w:tc>
        <w:tc>
          <w:tcPr>
            <w:tcW w:w="1466" w:type="dxa"/>
          </w:tcPr>
          <w:p>
            <w:pPr>
              <w:pStyle w:val="0"/>
              <w:jc w:val="center"/>
            </w:pPr>
            <w:r>
              <w:rPr>
                <w:sz w:val="20"/>
              </w:rPr>
              <w:t xml:space="preserve">241</w:t>
            </w:r>
          </w:p>
        </w:tc>
        <w:tc>
          <w:tcPr>
            <w:tcW w:w="1936" w:type="dxa"/>
          </w:tcPr>
          <w:p>
            <w:pPr>
              <w:pStyle w:val="0"/>
              <w:jc w:val="center"/>
            </w:pPr>
            <w:r>
              <w:rPr>
                <w:sz w:val="20"/>
              </w:rPr>
              <w:t xml:space="preserve">88</w:t>
            </w:r>
          </w:p>
        </w:tc>
      </w:tr>
    </w:tbl>
    <w:p>
      <w:pPr>
        <w:pStyle w:val="0"/>
        <w:jc w:val="both"/>
      </w:pPr>
      <w:r>
        <w:rPr>
          <w:sz w:val="20"/>
        </w:rPr>
      </w:r>
    </w:p>
    <w:p>
      <w:pPr>
        <w:pStyle w:val="0"/>
        <w:ind w:firstLine="540"/>
        <w:jc w:val="both"/>
      </w:pPr>
      <w:r>
        <w:rPr>
          <w:sz w:val="20"/>
        </w:rPr>
        <w:t xml:space="preserve">Койки круглосуточного стационара для детского населения по профилю "медицинская реабилитация" отсутствуют, требуется их развертывание с 2022 года, также требуется открытие отделения ранней медицинской реабилитации путем перепрофилирования отделения физиотерапии и дооснащения его в соответствии с требованиями </w:t>
      </w:r>
      <w:hyperlink w:history="0" r:id="rId1022"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приказа</w:t>
        </w:r>
      </w:hyperlink>
      <w:r>
        <w:rPr>
          <w:sz w:val="20"/>
        </w:rPr>
        <w:t xml:space="preserve"> Министерства здравоохранения Российской Федерации от 23.10.2019 N 878н "Об утверждении Порядка организации медицинской реабилитации детей".</w:t>
      </w:r>
    </w:p>
    <w:p>
      <w:pPr>
        <w:pStyle w:val="0"/>
        <w:spacing w:before="200" w:line-rule="auto"/>
        <w:ind w:firstLine="540"/>
        <w:jc w:val="both"/>
      </w:pPr>
      <w:r>
        <w:rPr>
          <w:sz w:val="20"/>
        </w:rPr>
        <w:t xml:space="preserve">Коек дневного стационара для полноценного оказания медицинской помощи по профилю "медицинская реабилитация" достаточно.</w:t>
      </w:r>
    </w:p>
    <w:p>
      <w:pPr>
        <w:pStyle w:val="0"/>
        <w:spacing w:before="200" w:line-rule="auto"/>
        <w:ind w:firstLine="540"/>
        <w:jc w:val="both"/>
      </w:pPr>
      <w:r>
        <w:rPr>
          <w:sz w:val="20"/>
        </w:rPr>
        <w:t xml:space="preserve">За 2021 год в Детском центре медицинской реабилитации ГБ N 5 медицинскую реабилитацию получили 1930 пациентов (2020 год - 1509, 2019 год - 1525, 2018 год - 1508), в том числе повторно с заболеваниями опорно-двигательного аппарата - 416 детей, после травм и операций на опорно-двигательном аппарате - 257 человек, с заболеваниями центральной нервной системы - 290 человек, в том числе с ДЦП и другими паралитическими синдромами - 84 человека, с нейросенсорной глухотой - 7 детей, после пневмоний - 126 детей, в том числе с подтвержденным коронавирусом (COVID-19) - 19 детей.</w:t>
      </w:r>
    </w:p>
    <w:p>
      <w:pPr>
        <w:pStyle w:val="0"/>
        <w:spacing w:before="200" w:line-rule="auto"/>
        <w:ind w:firstLine="540"/>
        <w:jc w:val="both"/>
      </w:pPr>
      <w:r>
        <w:rPr>
          <w:sz w:val="20"/>
        </w:rPr>
        <w:t xml:space="preserve">Выполнение объемов по обязательному медицинскому страхованию за 2021 год - 104%, эффективность реабилитационных мероприятий в ОВЛ составила 87%, в том числе по профилям койки: неврологическая - 80%, соматическая - 90,5%, ортопедическая - 90%.</w:t>
      </w:r>
    </w:p>
    <w:p>
      <w:pPr>
        <w:pStyle w:val="0"/>
        <w:spacing w:before="200" w:line-rule="auto"/>
        <w:ind w:firstLine="540"/>
        <w:jc w:val="both"/>
      </w:pPr>
      <w:r>
        <w:rPr>
          <w:sz w:val="20"/>
        </w:rPr>
        <w:t xml:space="preserve">Оснащение Детского центра медицинской реабилитации соответствует </w:t>
      </w:r>
      <w:hyperlink w:history="0" r:id="rId1023"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приказу</w:t>
        </w:r>
      </w:hyperlink>
      <w:r>
        <w:rPr>
          <w:sz w:val="20"/>
        </w:rPr>
        <w:t xml:space="preserve"> Министерства здравоохранения Российской Федерации от 23.10.2019 N 878н "Об утверждении Порядка организации медицинской реабилитации детей", Центр укомплектован медицинским оборудованием на 70%.</w:t>
      </w:r>
    </w:p>
    <w:p>
      <w:pPr>
        <w:pStyle w:val="0"/>
        <w:spacing w:before="200" w:line-rule="auto"/>
        <w:ind w:firstLine="540"/>
        <w:jc w:val="both"/>
      </w:pPr>
      <w:r>
        <w:rPr>
          <w:sz w:val="20"/>
        </w:rPr>
        <w:t xml:space="preserve">Приоритетной медицинской организацией в городе Севастополе для включения в региональную программу, а также наиболее подготовленной к реализации мероприятий федерального проекта для оказания медицинской реабилитации детям является ГБ N 5.</w:t>
      </w:r>
    </w:p>
    <w:p>
      <w:pPr>
        <w:pStyle w:val="0"/>
        <w:spacing w:before="200" w:line-rule="auto"/>
        <w:ind w:firstLine="540"/>
        <w:jc w:val="both"/>
      </w:pPr>
      <w:r>
        <w:rPr>
          <w:sz w:val="20"/>
        </w:rPr>
        <w:t xml:space="preserve">Планируется открытие отделения ранней медицинской реабилитации для оказания специализированной медицинской помощи по профилям: "анестезиология и реаниматология", "неврология", "нейрохирургия", "кардиология", "кардиохирургия", "травматология и ортопедия", "онкология", "терапия" в ГБ N 5.</w:t>
      </w:r>
    </w:p>
    <w:p>
      <w:pPr>
        <w:pStyle w:val="0"/>
        <w:spacing w:before="200" w:line-rule="auto"/>
        <w:ind w:firstLine="540"/>
        <w:jc w:val="both"/>
      </w:pPr>
      <w:r>
        <w:rPr>
          <w:sz w:val="20"/>
        </w:rPr>
        <w:t xml:space="preserve">Планируется открытие отделения для оказания II этапа медицинской реабилитации для круглосуточного пребывания детей и дооснащение отделения восстановительного лечения дневного стационара II этапа медицинской реабилитации Детского центра медицинской реабилитации в ГБ N 5.</w:t>
      </w:r>
    </w:p>
    <w:p>
      <w:pPr>
        <w:pStyle w:val="0"/>
        <w:spacing w:before="200" w:line-rule="auto"/>
        <w:ind w:firstLine="540"/>
        <w:jc w:val="both"/>
      </w:pPr>
      <w:r>
        <w:rPr>
          <w:sz w:val="20"/>
        </w:rPr>
        <w:t xml:space="preserve">В целях организации III этапа медицинской реабилитации детскому населению прорабатывается вопрос оснащения и лицензирования помещений для открытия амбулаторного отделения на базе детских поликлиник ГБ N 5.</w:t>
      </w:r>
    </w:p>
    <w:p>
      <w:pPr>
        <w:pStyle w:val="0"/>
        <w:ind w:firstLine="540"/>
        <w:jc w:val="both"/>
      </w:pPr>
      <w:r>
        <w:rPr>
          <w:sz w:val="20"/>
        </w:rPr>
      </w:r>
    </w:p>
    <w:p>
      <w:pPr>
        <w:pStyle w:val="0"/>
        <w:jc w:val="center"/>
      </w:pPr>
      <w:r>
        <w:rPr>
          <w:sz w:val="20"/>
        </w:rPr>
        <w:t xml:space="preserve">1.6. Анализ кадрового обеспечения реабилитационной</w:t>
      </w:r>
    </w:p>
    <w:p>
      <w:pPr>
        <w:pStyle w:val="0"/>
        <w:jc w:val="center"/>
      </w:pPr>
      <w:r>
        <w:rPr>
          <w:sz w:val="20"/>
        </w:rPr>
        <w:t xml:space="preserve">службы города Севастополя</w:t>
      </w:r>
    </w:p>
    <w:p>
      <w:pPr>
        <w:pStyle w:val="0"/>
        <w:jc w:val="center"/>
      </w:pPr>
      <w:r>
        <w:rPr>
          <w:sz w:val="20"/>
        </w:rPr>
      </w:r>
    </w:p>
    <w:p>
      <w:pPr>
        <w:pStyle w:val="0"/>
        <w:ind w:firstLine="540"/>
        <w:jc w:val="both"/>
      </w:pPr>
      <w:r>
        <w:rPr>
          <w:sz w:val="20"/>
        </w:rPr>
        <w:t xml:space="preserve">Ведение пациента на всех этапах медицинской реабилитации, включая оценку объективного состояния здоровья пациента, составление индивидуальной программы реабилитации, проведение реабилитационных мероприятий в рамках поставленных реабилитационных целей и задач осуществляются мультидисциплинарной реабилитационной командой.</w:t>
      </w:r>
    </w:p>
    <w:p>
      <w:pPr>
        <w:pStyle w:val="0"/>
        <w:spacing w:before="200" w:line-rule="auto"/>
        <w:ind w:firstLine="540"/>
        <w:jc w:val="both"/>
      </w:pPr>
      <w:r>
        <w:rPr>
          <w:sz w:val="20"/>
        </w:rPr>
        <w:t xml:space="preserve">Показатели обеспеченности медицинскими работниками, осуществляющими медицинскую реабилитацию в городе Севастополе, представлены в </w:t>
      </w:r>
      <w:hyperlink w:history="0" w:anchor="P44181" w:tooltip="Обеспеченность медицинскими работниками, осуществляющими">
        <w:r>
          <w:rPr>
            <w:sz w:val="20"/>
            <w:color w:val="0000ff"/>
          </w:rPr>
          <w:t xml:space="preserve">таблице 21</w:t>
        </w:r>
      </w:hyperlink>
      <w:r>
        <w:rPr>
          <w:sz w:val="20"/>
        </w:rPr>
        <w:t xml:space="preserve">.</w:t>
      </w:r>
    </w:p>
    <w:p>
      <w:pPr>
        <w:pStyle w:val="0"/>
        <w:ind w:firstLine="540"/>
        <w:jc w:val="both"/>
      </w:pPr>
      <w:r>
        <w:rPr>
          <w:sz w:val="20"/>
        </w:rPr>
      </w:r>
    </w:p>
    <w:p>
      <w:pPr>
        <w:pStyle w:val="0"/>
        <w:jc w:val="right"/>
      </w:pPr>
      <w:r>
        <w:rPr>
          <w:sz w:val="20"/>
        </w:rPr>
        <w:t xml:space="preserve">Таблица 21</w:t>
      </w:r>
    </w:p>
    <w:p>
      <w:pPr>
        <w:pStyle w:val="0"/>
        <w:jc w:val="right"/>
      </w:pPr>
      <w:r>
        <w:rPr>
          <w:sz w:val="20"/>
        </w:rPr>
      </w:r>
    </w:p>
    <w:bookmarkStart w:id="44181" w:name="P44181"/>
    <w:bookmarkEnd w:id="44181"/>
    <w:p>
      <w:pPr>
        <w:pStyle w:val="0"/>
        <w:jc w:val="center"/>
      </w:pPr>
      <w:r>
        <w:rPr>
          <w:sz w:val="20"/>
        </w:rPr>
        <w:t xml:space="preserve">Обеспеченность медицинскими работниками, осуществляющими</w:t>
      </w:r>
    </w:p>
    <w:p>
      <w:pPr>
        <w:pStyle w:val="0"/>
        <w:jc w:val="center"/>
      </w:pPr>
      <w:r>
        <w:rPr>
          <w:sz w:val="20"/>
        </w:rPr>
        <w:t xml:space="preserve">медицинскую реабилитацию в городе Севастополе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1814"/>
        <w:gridCol w:w="1701"/>
        <w:gridCol w:w="2235"/>
      </w:tblGrid>
      <w:tr>
        <w:tc>
          <w:tcPr>
            <w:tcW w:w="3288" w:type="dxa"/>
          </w:tcPr>
          <w:p>
            <w:pPr>
              <w:pStyle w:val="0"/>
              <w:jc w:val="center"/>
            </w:pPr>
            <w:r>
              <w:rPr>
                <w:sz w:val="20"/>
              </w:rPr>
              <w:t xml:space="preserve">Наименование должности</w:t>
            </w:r>
          </w:p>
        </w:tc>
        <w:tc>
          <w:tcPr>
            <w:tcW w:w="1814" w:type="dxa"/>
          </w:tcPr>
          <w:p>
            <w:pPr>
              <w:pStyle w:val="0"/>
              <w:jc w:val="center"/>
            </w:pPr>
            <w:r>
              <w:rPr>
                <w:sz w:val="20"/>
              </w:rPr>
              <w:t xml:space="preserve">Число должностей в целом по организации, штатных</w:t>
            </w:r>
          </w:p>
        </w:tc>
        <w:tc>
          <w:tcPr>
            <w:tcW w:w="1701" w:type="dxa"/>
          </w:tcPr>
          <w:p>
            <w:pPr>
              <w:pStyle w:val="0"/>
              <w:jc w:val="center"/>
            </w:pPr>
            <w:r>
              <w:rPr>
                <w:sz w:val="20"/>
              </w:rPr>
              <w:t xml:space="preserve">Число должностей в целом по организации, занятых</w:t>
            </w:r>
          </w:p>
        </w:tc>
        <w:tc>
          <w:tcPr>
            <w:tcW w:w="2235" w:type="dxa"/>
          </w:tcPr>
          <w:p>
            <w:pPr>
              <w:pStyle w:val="0"/>
              <w:jc w:val="center"/>
            </w:pPr>
            <w:r>
              <w:rPr>
                <w:sz w:val="20"/>
              </w:rPr>
              <w:t xml:space="preserve">Обеспеченность на 10 тыс. населения, 2022 год, РФ</w:t>
            </w:r>
          </w:p>
        </w:tc>
      </w:tr>
      <w:tr>
        <w:tc>
          <w:tcPr>
            <w:tcW w:w="3288" w:type="dxa"/>
          </w:tcPr>
          <w:p>
            <w:pPr>
              <w:pStyle w:val="0"/>
              <w:jc w:val="both"/>
            </w:pPr>
            <w:r>
              <w:rPr>
                <w:sz w:val="20"/>
              </w:rPr>
              <w:t xml:space="preserve">врачи, всего</w:t>
            </w:r>
          </w:p>
        </w:tc>
        <w:tc>
          <w:tcPr>
            <w:tcW w:w="1814" w:type="dxa"/>
          </w:tcPr>
          <w:p>
            <w:pPr>
              <w:pStyle w:val="0"/>
              <w:jc w:val="center"/>
            </w:pPr>
            <w:r>
              <w:rPr>
                <w:sz w:val="20"/>
              </w:rPr>
              <w:t xml:space="preserve">2582,75</w:t>
            </w:r>
          </w:p>
        </w:tc>
        <w:tc>
          <w:tcPr>
            <w:tcW w:w="1701" w:type="dxa"/>
          </w:tcPr>
          <w:p>
            <w:pPr>
              <w:pStyle w:val="0"/>
              <w:jc w:val="center"/>
            </w:pPr>
            <w:r>
              <w:rPr>
                <w:sz w:val="20"/>
              </w:rPr>
              <w:t xml:space="preserve">1993,00</w:t>
            </w:r>
          </w:p>
        </w:tc>
        <w:tc>
          <w:tcPr>
            <w:tcW w:w="2235" w:type="dxa"/>
          </w:tcPr>
          <w:p>
            <w:pPr>
              <w:pStyle w:val="0"/>
              <w:jc w:val="center"/>
            </w:pPr>
            <w:r>
              <w:rPr>
                <w:sz w:val="20"/>
              </w:rPr>
              <w:t xml:space="preserve">39,08</w:t>
            </w:r>
          </w:p>
        </w:tc>
      </w:tr>
      <w:tr>
        <w:tc>
          <w:tcPr>
            <w:tcW w:w="3288" w:type="dxa"/>
          </w:tcPr>
          <w:p>
            <w:pPr>
              <w:pStyle w:val="0"/>
              <w:jc w:val="both"/>
            </w:pPr>
            <w:r>
              <w:rPr>
                <w:sz w:val="20"/>
              </w:rPr>
              <w:t xml:space="preserve">анестезиологи-реаниматологи</w:t>
            </w:r>
          </w:p>
        </w:tc>
        <w:tc>
          <w:tcPr>
            <w:tcW w:w="1814" w:type="dxa"/>
          </w:tcPr>
          <w:p>
            <w:pPr>
              <w:pStyle w:val="0"/>
              <w:jc w:val="center"/>
            </w:pPr>
            <w:r>
              <w:rPr>
                <w:sz w:val="20"/>
              </w:rPr>
              <w:t xml:space="preserve">178,75</w:t>
            </w:r>
          </w:p>
        </w:tc>
        <w:tc>
          <w:tcPr>
            <w:tcW w:w="1701" w:type="dxa"/>
          </w:tcPr>
          <w:p>
            <w:pPr>
              <w:pStyle w:val="0"/>
              <w:jc w:val="center"/>
            </w:pPr>
            <w:r>
              <w:rPr>
                <w:sz w:val="20"/>
              </w:rPr>
              <w:t xml:space="preserve">147,25</w:t>
            </w:r>
          </w:p>
        </w:tc>
        <w:tc>
          <w:tcPr>
            <w:tcW w:w="2235" w:type="dxa"/>
          </w:tcPr>
          <w:p>
            <w:pPr>
              <w:pStyle w:val="0"/>
              <w:jc w:val="center"/>
            </w:pPr>
            <w:r>
              <w:rPr>
                <w:sz w:val="20"/>
              </w:rPr>
              <w:t xml:space="preserve">2,89</w:t>
            </w:r>
          </w:p>
        </w:tc>
      </w:tr>
      <w:tr>
        <w:tc>
          <w:tcPr>
            <w:tcW w:w="3288" w:type="dxa"/>
          </w:tcPr>
          <w:p>
            <w:pPr>
              <w:pStyle w:val="0"/>
              <w:jc w:val="both"/>
            </w:pPr>
            <w:r>
              <w:rPr>
                <w:sz w:val="20"/>
              </w:rPr>
              <w:t xml:space="preserve">кардиологи</w:t>
            </w:r>
          </w:p>
        </w:tc>
        <w:tc>
          <w:tcPr>
            <w:tcW w:w="1814" w:type="dxa"/>
          </w:tcPr>
          <w:p>
            <w:pPr>
              <w:pStyle w:val="0"/>
              <w:jc w:val="center"/>
            </w:pPr>
            <w:r>
              <w:rPr>
                <w:sz w:val="20"/>
              </w:rPr>
              <w:t xml:space="preserve">32,50</w:t>
            </w:r>
          </w:p>
        </w:tc>
        <w:tc>
          <w:tcPr>
            <w:tcW w:w="1701" w:type="dxa"/>
          </w:tcPr>
          <w:p>
            <w:pPr>
              <w:pStyle w:val="0"/>
              <w:jc w:val="center"/>
            </w:pPr>
            <w:r>
              <w:rPr>
                <w:sz w:val="20"/>
              </w:rPr>
              <w:t xml:space="preserve">25,25</w:t>
            </w:r>
          </w:p>
        </w:tc>
        <w:tc>
          <w:tcPr>
            <w:tcW w:w="2235" w:type="dxa"/>
          </w:tcPr>
          <w:p>
            <w:pPr>
              <w:pStyle w:val="0"/>
              <w:jc w:val="center"/>
            </w:pPr>
            <w:r>
              <w:rPr>
                <w:sz w:val="20"/>
              </w:rPr>
              <w:t xml:space="preserve">0,61</w:t>
            </w:r>
          </w:p>
        </w:tc>
      </w:tr>
      <w:tr>
        <w:tc>
          <w:tcPr>
            <w:tcW w:w="3288" w:type="dxa"/>
          </w:tcPr>
          <w:p>
            <w:pPr>
              <w:pStyle w:val="0"/>
              <w:jc w:val="both"/>
            </w:pPr>
            <w:r>
              <w:rPr>
                <w:sz w:val="20"/>
              </w:rPr>
              <w:t xml:space="preserve">по медицинской реабилитации</w:t>
            </w:r>
          </w:p>
        </w:tc>
        <w:tc>
          <w:tcPr>
            <w:tcW w:w="1814" w:type="dxa"/>
          </w:tcPr>
          <w:p>
            <w:pPr>
              <w:pStyle w:val="0"/>
              <w:jc w:val="center"/>
            </w:pPr>
            <w:r>
              <w:rPr>
                <w:sz w:val="20"/>
              </w:rPr>
              <w:t xml:space="preserve">0</w:t>
            </w:r>
          </w:p>
        </w:tc>
        <w:tc>
          <w:tcPr>
            <w:tcW w:w="1701" w:type="dxa"/>
          </w:tcPr>
          <w:p>
            <w:pPr>
              <w:pStyle w:val="0"/>
              <w:jc w:val="center"/>
            </w:pPr>
            <w:r>
              <w:rPr>
                <w:sz w:val="20"/>
              </w:rPr>
              <w:t xml:space="preserve">0</w:t>
            </w:r>
          </w:p>
        </w:tc>
        <w:tc>
          <w:tcPr>
            <w:tcW w:w="2235" w:type="dxa"/>
          </w:tcPr>
          <w:p>
            <w:pPr>
              <w:pStyle w:val="0"/>
              <w:jc w:val="center"/>
            </w:pPr>
            <w:r>
              <w:rPr>
                <w:sz w:val="20"/>
              </w:rPr>
              <w:t xml:space="preserve">0</w:t>
            </w:r>
          </w:p>
        </w:tc>
      </w:tr>
      <w:tr>
        <w:tc>
          <w:tcPr>
            <w:tcW w:w="3288" w:type="dxa"/>
          </w:tcPr>
          <w:p>
            <w:pPr>
              <w:pStyle w:val="0"/>
              <w:jc w:val="both"/>
            </w:pPr>
            <w:r>
              <w:rPr>
                <w:sz w:val="20"/>
              </w:rPr>
              <w:t xml:space="preserve">неврологи</w:t>
            </w:r>
          </w:p>
        </w:tc>
        <w:tc>
          <w:tcPr>
            <w:tcW w:w="1814" w:type="dxa"/>
          </w:tcPr>
          <w:p>
            <w:pPr>
              <w:pStyle w:val="0"/>
              <w:jc w:val="center"/>
            </w:pPr>
            <w:r>
              <w:rPr>
                <w:sz w:val="20"/>
              </w:rPr>
              <w:t xml:space="preserve">79,50</w:t>
            </w:r>
          </w:p>
        </w:tc>
        <w:tc>
          <w:tcPr>
            <w:tcW w:w="1701" w:type="dxa"/>
          </w:tcPr>
          <w:p>
            <w:pPr>
              <w:pStyle w:val="0"/>
              <w:jc w:val="center"/>
            </w:pPr>
            <w:r>
              <w:rPr>
                <w:sz w:val="20"/>
              </w:rPr>
              <w:t xml:space="preserve">68,75</w:t>
            </w:r>
          </w:p>
        </w:tc>
        <w:tc>
          <w:tcPr>
            <w:tcW w:w="2235" w:type="dxa"/>
          </w:tcPr>
          <w:p>
            <w:pPr>
              <w:pStyle w:val="0"/>
              <w:jc w:val="center"/>
            </w:pPr>
            <w:r>
              <w:rPr>
                <w:sz w:val="20"/>
              </w:rPr>
              <w:t xml:space="preserve">1,35</w:t>
            </w:r>
          </w:p>
        </w:tc>
      </w:tr>
      <w:tr>
        <w:tc>
          <w:tcPr>
            <w:tcW w:w="3288" w:type="dxa"/>
          </w:tcPr>
          <w:p>
            <w:pPr>
              <w:pStyle w:val="0"/>
              <w:jc w:val="both"/>
            </w:pPr>
            <w:r>
              <w:rPr>
                <w:sz w:val="20"/>
              </w:rPr>
              <w:t xml:space="preserve">нейрохирурги</w:t>
            </w:r>
          </w:p>
        </w:tc>
        <w:tc>
          <w:tcPr>
            <w:tcW w:w="1814" w:type="dxa"/>
          </w:tcPr>
          <w:p>
            <w:pPr>
              <w:pStyle w:val="0"/>
              <w:jc w:val="center"/>
            </w:pPr>
            <w:r>
              <w:rPr>
                <w:sz w:val="20"/>
              </w:rPr>
              <w:t xml:space="preserve">18,00</w:t>
            </w:r>
          </w:p>
        </w:tc>
        <w:tc>
          <w:tcPr>
            <w:tcW w:w="1701" w:type="dxa"/>
          </w:tcPr>
          <w:p>
            <w:pPr>
              <w:pStyle w:val="0"/>
              <w:jc w:val="center"/>
            </w:pPr>
            <w:r>
              <w:rPr>
                <w:sz w:val="20"/>
              </w:rPr>
              <w:t xml:space="preserve">17,25</w:t>
            </w:r>
          </w:p>
        </w:tc>
        <w:tc>
          <w:tcPr>
            <w:tcW w:w="2235" w:type="dxa"/>
          </w:tcPr>
          <w:p>
            <w:pPr>
              <w:pStyle w:val="0"/>
              <w:jc w:val="center"/>
            </w:pPr>
            <w:r>
              <w:rPr>
                <w:sz w:val="20"/>
              </w:rPr>
              <w:t xml:space="preserve">0,34</w:t>
            </w:r>
          </w:p>
        </w:tc>
      </w:tr>
      <w:tr>
        <w:tc>
          <w:tcPr>
            <w:tcW w:w="3288" w:type="dxa"/>
          </w:tcPr>
          <w:p>
            <w:pPr>
              <w:pStyle w:val="0"/>
              <w:jc w:val="both"/>
            </w:pPr>
            <w:r>
              <w:rPr>
                <w:sz w:val="20"/>
              </w:rPr>
              <w:t xml:space="preserve">онкологи</w:t>
            </w:r>
          </w:p>
        </w:tc>
        <w:tc>
          <w:tcPr>
            <w:tcW w:w="1814" w:type="dxa"/>
          </w:tcPr>
          <w:p>
            <w:pPr>
              <w:pStyle w:val="0"/>
              <w:jc w:val="center"/>
            </w:pPr>
            <w:r>
              <w:rPr>
                <w:sz w:val="20"/>
              </w:rPr>
              <w:t xml:space="preserve">46,50</w:t>
            </w:r>
          </w:p>
        </w:tc>
        <w:tc>
          <w:tcPr>
            <w:tcW w:w="1701" w:type="dxa"/>
          </w:tcPr>
          <w:p>
            <w:pPr>
              <w:pStyle w:val="0"/>
              <w:jc w:val="center"/>
            </w:pPr>
            <w:r>
              <w:rPr>
                <w:sz w:val="20"/>
              </w:rPr>
              <w:t xml:space="preserve">36,25</w:t>
            </w:r>
          </w:p>
        </w:tc>
        <w:tc>
          <w:tcPr>
            <w:tcW w:w="2235" w:type="dxa"/>
          </w:tcPr>
          <w:p>
            <w:pPr>
              <w:pStyle w:val="0"/>
              <w:jc w:val="center"/>
            </w:pPr>
            <w:r>
              <w:rPr>
                <w:sz w:val="20"/>
              </w:rPr>
              <w:t xml:space="preserve">0,88</w:t>
            </w:r>
          </w:p>
        </w:tc>
      </w:tr>
      <w:tr>
        <w:tc>
          <w:tcPr>
            <w:tcW w:w="3288" w:type="dxa"/>
          </w:tcPr>
          <w:p>
            <w:pPr>
              <w:pStyle w:val="0"/>
              <w:jc w:val="both"/>
            </w:pPr>
            <w:r>
              <w:rPr>
                <w:sz w:val="20"/>
              </w:rPr>
              <w:t xml:space="preserve">педиатры, всего</w:t>
            </w:r>
          </w:p>
        </w:tc>
        <w:tc>
          <w:tcPr>
            <w:tcW w:w="1814" w:type="dxa"/>
          </w:tcPr>
          <w:p>
            <w:pPr>
              <w:pStyle w:val="0"/>
              <w:jc w:val="center"/>
            </w:pPr>
            <w:r>
              <w:rPr>
                <w:sz w:val="20"/>
              </w:rPr>
              <w:t xml:space="preserve">205,00</w:t>
            </w:r>
          </w:p>
        </w:tc>
        <w:tc>
          <w:tcPr>
            <w:tcW w:w="1701" w:type="dxa"/>
          </w:tcPr>
          <w:p>
            <w:pPr>
              <w:pStyle w:val="0"/>
              <w:jc w:val="center"/>
            </w:pPr>
            <w:r>
              <w:rPr>
                <w:sz w:val="20"/>
              </w:rPr>
              <w:t xml:space="preserve">156,00</w:t>
            </w:r>
          </w:p>
        </w:tc>
        <w:tc>
          <w:tcPr>
            <w:tcW w:w="2235" w:type="dxa"/>
          </w:tcPr>
          <w:p>
            <w:pPr>
              <w:pStyle w:val="0"/>
              <w:jc w:val="center"/>
            </w:pPr>
            <w:r>
              <w:rPr>
                <w:sz w:val="20"/>
              </w:rPr>
              <w:t xml:space="preserve">15,52</w:t>
            </w:r>
          </w:p>
        </w:tc>
      </w:tr>
      <w:tr>
        <w:tc>
          <w:tcPr>
            <w:tcW w:w="3288" w:type="dxa"/>
          </w:tcPr>
          <w:p>
            <w:pPr>
              <w:pStyle w:val="0"/>
              <w:jc w:val="both"/>
            </w:pPr>
            <w:r>
              <w:rPr>
                <w:sz w:val="20"/>
              </w:rPr>
              <w:t xml:space="preserve">по лечебной физкультуре</w:t>
            </w:r>
          </w:p>
        </w:tc>
        <w:tc>
          <w:tcPr>
            <w:tcW w:w="1814" w:type="dxa"/>
          </w:tcPr>
          <w:p>
            <w:pPr>
              <w:pStyle w:val="0"/>
              <w:jc w:val="center"/>
            </w:pPr>
            <w:r>
              <w:rPr>
                <w:sz w:val="20"/>
              </w:rPr>
              <w:t xml:space="preserve">8,25</w:t>
            </w:r>
          </w:p>
        </w:tc>
        <w:tc>
          <w:tcPr>
            <w:tcW w:w="1701" w:type="dxa"/>
          </w:tcPr>
          <w:p>
            <w:pPr>
              <w:pStyle w:val="0"/>
              <w:jc w:val="center"/>
            </w:pPr>
            <w:r>
              <w:rPr>
                <w:sz w:val="20"/>
              </w:rPr>
              <w:t xml:space="preserve">4,75</w:t>
            </w:r>
          </w:p>
        </w:tc>
        <w:tc>
          <w:tcPr>
            <w:tcW w:w="2235" w:type="dxa"/>
          </w:tcPr>
          <w:p>
            <w:pPr>
              <w:pStyle w:val="0"/>
              <w:jc w:val="center"/>
            </w:pPr>
            <w:r>
              <w:rPr>
                <w:sz w:val="20"/>
              </w:rPr>
              <w:t xml:space="preserve">0,09</w:t>
            </w:r>
          </w:p>
        </w:tc>
      </w:tr>
      <w:tr>
        <w:tc>
          <w:tcPr>
            <w:tcW w:w="3288" w:type="dxa"/>
          </w:tcPr>
          <w:p>
            <w:pPr>
              <w:pStyle w:val="0"/>
              <w:jc w:val="both"/>
            </w:pPr>
            <w:r>
              <w:rPr>
                <w:sz w:val="20"/>
              </w:rPr>
              <w:t xml:space="preserve">по медицинской реабилитации</w:t>
            </w:r>
          </w:p>
        </w:tc>
        <w:tc>
          <w:tcPr>
            <w:tcW w:w="1814" w:type="dxa"/>
          </w:tcPr>
          <w:p>
            <w:pPr>
              <w:pStyle w:val="0"/>
              <w:jc w:val="center"/>
            </w:pPr>
            <w:r>
              <w:rPr>
                <w:sz w:val="20"/>
              </w:rPr>
              <w:t xml:space="preserve">2,25</w:t>
            </w:r>
          </w:p>
        </w:tc>
        <w:tc>
          <w:tcPr>
            <w:tcW w:w="1701" w:type="dxa"/>
          </w:tcPr>
          <w:p>
            <w:pPr>
              <w:pStyle w:val="0"/>
              <w:jc w:val="center"/>
            </w:pPr>
            <w:r>
              <w:rPr>
                <w:sz w:val="20"/>
              </w:rPr>
            </w:r>
          </w:p>
        </w:tc>
        <w:tc>
          <w:tcPr>
            <w:tcW w:w="2235" w:type="dxa"/>
          </w:tcPr>
          <w:p>
            <w:pPr>
              <w:pStyle w:val="0"/>
              <w:jc w:val="center"/>
            </w:pPr>
            <w:r>
              <w:rPr>
                <w:sz w:val="20"/>
              </w:rPr>
              <w:t xml:space="preserve">0,00</w:t>
            </w:r>
          </w:p>
        </w:tc>
      </w:tr>
      <w:tr>
        <w:tc>
          <w:tcPr>
            <w:tcW w:w="3288" w:type="dxa"/>
          </w:tcPr>
          <w:p>
            <w:pPr>
              <w:pStyle w:val="0"/>
              <w:jc w:val="both"/>
            </w:pPr>
            <w:r>
              <w:rPr>
                <w:sz w:val="20"/>
              </w:rPr>
              <w:t xml:space="preserve">по рентген-эндоваскулярным диагностике и лечению</w:t>
            </w:r>
          </w:p>
        </w:tc>
        <w:tc>
          <w:tcPr>
            <w:tcW w:w="1814" w:type="dxa"/>
          </w:tcPr>
          <w:p>
            <w:pPr>
              <w:pStyle w:val="0"/>
              <w:jc w:val="center"/>
            </w:pPr>
            <w:r>
              <w:rPr>
                <w:sz w:val="20"/>
              </w:rPr>
              <w:t xml:space="preserve">11,00</w:t>
            </w:r>
          </w:p>
        </w:tc>
        <w:tc>
          <w:tcPr>
            <w:tcW w:w="1701" w:type="dxa"/>
          </w:tcPr>
          <w:p>
            <w:pPr>
              <w:pStyle w:val="0"/>
              <w:jc w:val="center"/>
            </w:pPr>
            <w:r>
              <w:rPr>
                <w:sz w:val="20"/>
              </w:rPr>
              <w:t xml:space="preserve">7,50</w:t>
            </w:r>
          </w:p>
        </w:tc>
        <w:tc>
          <w:tcPr>
            <w:tcW w:w="2235" w:type="dxa"/>
          </w:tcPr>
          <w:p>
            <w:pPr>
              <w:pStyle w:val="0"/>
              <w:jc w:val="center"/>
            </w:pPr>
            <w:r>
              <w:rPr>
                <w:sz w:val="20"/>
              </w:rPr>
              <w:t xml:space="preserve">0,15</w:t>
            </w:r>
          </w:p>
        </w:tc>
      </w:tr>
      <w:tr>
        <w:tc>
          <w:tcPr>
            <w:tcW w:w="3288" w:type="dxa"/>
          </w:tcPr>
          <w:p>
            <w:pPr>
              <w:pStyle w:val="0"/>
              <w:jc w:val="both"/>
            </w:pPr>
            <w:r>
              <w:rPr>
                <w:sz w:val="20"/>
              </w:rPr>
              <w:t xml:space="preserve">по спортивной медицине</w:t>
            </w:r>
          </w:p>
        </w:tc>
        <w:tc>
          <w:tcPr>
            <w:tcW w:w="1814" w:type="dxa"/>
          </w:tcPr>
          <w:p>
            <w:pPr>
              <w:pStyle w:val="0"/>
              <w:jc w:val="center"/>
            </w:pPr>
            <w:r>
              <w:rPr>
                <w:sz w:val="20"/>
              </w:rPr>
              <w:t xml:space="preserve">15,00</w:t>
            </w:r>
          </w:p>
        </w:tc>
        <w:tc>
          <w:tcPr>
            <w:tcW w:w="1701" w:type="dxa"/>
          </w:tcPr>
          <w:p>
            <w:pPr>
              <w:pStyle w:val="0"/>
              <w:jc w:val="center"/>
            </w:pPr>
            <w:r>
              <w:rPr>
                <w:sz w:val="20"/>
              </w:rPr>
              <w:t xml:space="preserve">10,25</w:t>
            </w:r>
          </w:p>
        </w:tc>
        <w:tc>
          <w:tcPr>
            <w:tcW w:w="2235" w:type="dxa"/>
          </w:tcPr>
          <w:p>
            <w:pPr>
              <w:pStyle w:val="0"/>
              <w:jc w:val="center"/>
            </w:pPr>
            <w:r>
              <w:rPr>
                <w:sz w:val="20"/>
              </w:rPr>
              <w:t xml:space="preserve">0,20</w:t>
            </w:r>
          </w:p>
        </w:tc>
      </w:tr>
      <w:tr>
        <w:tc>
          <w:tcPr>
            <w:tcW w:w="3288" w:type="dxa"/>
          </w:tcPr>
          <w:p>
            <w:pPr>
              <w:pStyle w:val="0"/>
              <w:jc w:val="both"/>
            </w:pPr>
            <w:r>
              <w:rPr>
                <w:sz w:val="20"/>
              </w:rPr>
              <w:t xml:space="preserve">психотерапевты</w:t>
            </w:r>
          </w:p>
        </w:tc>
        <w:tc>
          <w:tcPr>
            <w:tcW w:w="1814" w:type="dxa"/>
          </w:tcPr>
          <w:p>
            <w:pPr>
              <w:pStyle w:val="0"/>
              <w:jc w:val="center"/>
            </w:pPr>
            <w:r>
              <w:rPr>
                <w:sz w:val="20"/>
              </w:rPr>
              <w:t xml:space="preserve">5,50</w:t>
            </w:r>
          </w:p>
        </w:tc>
        <w:tc>
          <w:tcPr>
            <w:tcW w:w="1701" w:type="dxa"/>
          </w:tcPr>
          <w:p>
            <w:pPr>
              <w:pStyle w:val="0"/>
              <w:jc w:val="center"/>
            </w:pPr>
            <w:r>
              <w:rPr>
                <w:sz w:val="20"/>
              </w:rPr>
              <w:t xml:space="preserve">2,50</w:t>
            </w:r>
          </w:p>
        </w:tc>
        <w:tc>
          <w:tcPr>
            <w:tcW w:w="2235" w:type="dxa"/>
          </w:tcPr>
          <w:p>
            <w:pPr>
              <w:pStyle w:val="0"/>
              <w:jc w:val="center"/>
            </w:pPr>
            <w:r>
              <w:rPr>
                <w:sz w:val="20"/>
              </w:rPr>
              <w:t xml:space="preserve">0,05</w:t>
            </w:r>
          </w:p>
        </w:tc>
      </w:tr>
      <w:tr>
        <w:tc>
          <w:tcPr>
            <w:tcW w:w="3288" w:type="dxa"/>
          </w:tcPr>
          <w:p>
            <w:pPr>
              <w:pStyle w:val="0"/>
              <w:jc w:val="both"/>
            </w:pPr>
            <w:r>
              <w:rPr>
                <w:sz w:val="20"/>
              </w:rPr>
              <w:t xml:space="preserve">пульмонологи</w:t>
            </w:r>
          </w:p>
        </w:tc>
        <w:tc>
          <w:tcPr>
            <w:tcW w:w="1814" w:type="dxa"/>
          </w:tcPr>
          <w:p>
            <w:pPr>
              <w:pStyle w:val="0"/>
              <w:jc w:val="center"/>
            </w:pPr>
            <w:r>
              <w:rPr>
                <w:sz w:val="20"/>
              </w:rPr>
              <w:t xml:space="preserve">11,75</w:t>
            </w:r>
          </w:p>
        </w:tc>
        <w:tc>
          <w:tcPr>
            <w:tcW w:w="1701" w:type="dxa"/>
          </w:tcPr>
          <w:p>
            <w:pPr>
              <w:pStyle w:val="0"/>
              <w:jc w:val="center"/>
            </w:pPr>
            <w:r>
              <w:rPr>
                <w:sz w:val="20"/>
              </w:rPr>
              <w:t xml:space="preserve">6,75</w:t>
            </w:r>
          </w:p>
        </w:tc>
        <w:tc>
          <w:tcPr>
            <w:tcW w:w="2235" w:type="dxa"/>
          </w:tcPr>
          <w:p>
            <w:pPr>
              <w:pStyle w:val="0"/>
              <w:jc w:val="center"/>
            </w:pPr>
            <w:r>
              <w:rPr>
                <w:sz w:val="20"/>
              </w:rPr>
              <w:t xml:space="preserve">0,13</w:t>
            </w:r>
          </w:p>
        </w:tc>
      </w:tr>
      <w:tr>
        <w:tc>
          <w:tcPr>
            <w:tcW w:w="3288" w:type="dxa"/>
          </w:tcPr>
          <w:p>
            <w:pPr>
              <w:pStyle w:val="0"/>
              <w:jc w:val="both"/>
            </w:pPr>
            <w:r>
              <w:rPr>
                <w:sz w:val="20"/>
              </w:rPr>
              <w:t xml:space="preserve">рефлексотерапевты</w:t>
            </w:r>
          </w:p>
        </w:tc>
        <w:tc>
          <w:tcPr>
            <w:tcW w:w="1814" w:type="dxa"/>
          </w:tcPr>
          <w:p>
            <w:pPr>
              <w:pStyle w:val="0"/>
              <w:jc w:val="center"/>
            </w:pPr>
            <w:r>
              <w:rPr>
                <w:sz w:val="20"/>
              </w:rPr>
              <w:t xml:space="preserve">0,50</w:t>
            </w:r>
          </w:p>
        </w:tc>
        <w:tc>
          <w:tcPr>
            <w:tcW w:w="1701" w:type="dxa"/>
          </w:tcPr>
          <w:p>
            <w:pPr>
              <w:pStyle w:val="0"/>
              <w:jc w:val="center"/>
            </w:pPr>
            <w:r>
              <w:rPr>
                <w:sz w:val="20"/>
              </w:rPr>
              <w:t xml:space="preserve">0,50</w:t>
            </w:r>
          </w:p>
        </w:tc>
        <w:tc>
          <w:tcPr>
            <w:tcW w:w="2235" w:type="dxa"/>
          </w:tcPr>
          <w:p>
            <w:pPr>
              <w:pStyle w:val="0"/>
              <w:jc w:val="center"/>
            </w:pPr>
            <w:r>
              <w:rPr>
                <w:sz w:val="20"/>
              </w:rPr>
              <w:t xml:space="preserve">0,01</w:t>
            </w:r>
          </w:p>
        </w:tc>
      </w:tr>
      <w:tr>
        <w:tc>
          <w:tcPr>
            <w:tcW w:w="3288" w:type="dxa"/>
          </w:tcPr>
          <w:p>
            <w:pPr>
              <w:pStyle w:val="0"/>
              <w:jc w:val="both"/>
            </w:pPr>
            <w:r>
              <w:rPr>
                <w:sz w:val="20"/>
              </w:rPr>
              <w:t xml:space="preserve">терапевты, всего</w:t>
            </w:r>
          </w:p>
        </w:tc>
        <w:tc>
          <w:tcPr>
            <w:tcW w:w="1814" w:type="dxa"/>
          </w:tcPr>
          <w:p>
            <w:pPr>
              <w:pStyle w:val="0"/>
              <w:jc w:val="center"/>
            </w:pPr>
            <w:r>
              <w:rPr>
                <w:sz w:val="20"/>
              </w:rPr>
              <w:t xml:space="preserve">254,00</w:t>
            </w:r>
          </w:p>
        </w:tc>
        <w:tc>
          <w:tcPr>
            <w:tcW w:w="1701" w:type="dxa"/>
          </w:tcPr>
          <w:p>
            <w:pPr>
              <w:pStyle w:val="0"/>
              <w:jc w:val="center"/>
            </w:pPr>
            <w:r>
              <w:rPr>
                <w:sz w:val="20"/>
              </w:rPr>
              <w:t xml:space="preserve">191,00</w:t>
            </w:r>
          </w:p>
        </w:tc>
        <w:tc>
          <w:tcPr>
            <w:tcW w:w="2235" w:type="dxa"/>
          </w:tcPr>
          <w:p>
            <w:pPr>
              <w:pStyle w:val="0"/>
              <w:jc w:val="center"/>
            </w:pPr>
            <w:r>
              <w:rPr>
                <w:sz w:val="20"/>
              </w:rPr>
              <w:t xml:space="preserve">4,65</w:t>
            </w:r>
          </w:p>
        </w:tc>
      </w:tr>
      <w:tr>
        <w:tc>
          <w:tcPr>
            <w:tcW w:w="3288" w:type="dxa"/>
          </w:tcPr>
          <w:p>
            <w:pPr>
              <w:pStyle w:val="0"/>
              <w:jc w:val="both"/>
            </w:pPr>
            <w:r>
              <w:rPr>
                <w:sz w:val="20"/>
              </w:rPr>
              <w:t xml:space="preserve">травматологи-ортопеды</w:t>
            </w:r>
          </w:p>
        </w:tc>
        <w:tc>
          <w:tcPr>
            <w:tcW w:w="1814" w:type="dxa"/>
          </w:tcPr>
          <w:p>
            <w:pPr>
              <w:pStyle w:val="0"/>
              <w:jc w:val="center"/>
            </w:pPr>
            <w:r>
              <w:rPr>
                <w:sz w:val="20"/>
              </w:rPr>
              <w:t xml:space="preserve">69,50</w:t>
            </w:r>
          </w:p>
        </w:tc>
        <w:tc>
          <w:tcPr>
            <w:tcW w:w="1701" w:type="dxa"/>
          </w:tcPr>
          <w:p>
            <w:pPr>
              <w:pStyle w:val="0"/>
              <w:jc w:val="center"/>
            </w:pPr>
            <w:r>
              <w:rPr>
                <w:sz w:val="20"/>
              </w:rPr>
              <w:t xml:space="preserve">60,25</w:t>
            </w:r>
          </w:p>
        </w:tc>
        <w:tc>
          <w:tcPr>
            <w:tcW w:w="2235" w:type="dxa"/>
          </w:tcPr>
          <w:p>
            <w:pPr>
              <w:pStyle w:val="0"/>
              <w:jc w:val="center"/>
            </w:pPr>
            <w:r>
              <w:rPr>
                <w:sz w:val="20"/>
              </w:rPr>
              <w:t xml:space="preserve">1,18</w:t>
            </w:r>
          </w:p>
        </w:tc>
      </w:tr>
      <w:tr>
        <w:tc>
          <w:tcPr>
            <w:tcW w:w="3288" w:type="dxa"/>
          </w:tcPr>
          <w:p>
            <w:pPr>
              <w:pStyle w:val="0"/>
              <w:jc w:val="both"/>
            </w:pPr>
            <w:r>
              <w:rPr>
                <w:sz w:val="20"/>
              </w:rPr>
              <w:t xml:space="preserve">физиотерапевты</w:t>
            </w:r>
          </w:p>
        </w:tc>
        <w:tc>
          <w:tcPr>
            <w:tcW w:w="1814" w:type="dxa"/>
          </w:tcPr>
          <w:p>
            <w:pPr>
              <w:pStyle w:val="0"/>
              <w:jc w:val="center"/>
            </w:pPr>
            <w:r>
              <w:rPr>
                <w:sz w:val="20"/>
              </w:rPr>
              <w:t xml:space="preserve">22,75</w:t>
            </w:r>
          </w:p>
        </w:tc>
        <w:tc>
          <w:tcPr>
            <w:tcW w:w="1701" w:type="dxa"/>
          </w:tcPr>
          <w:p>
            <w:pPr>
              <w:pStyle w:val="0"/>
              <w:jc w:val="center"/>
            </w:pPr>
            <w:r>
              <w:rPr>
                <w:sz w:val="20"/>
              </w:rPr>
              <w:t xml:space="preserve">13,50</w:t>
            </w:r>
          </w:p>
        </w:tc>
        <w:tc>
          <w:tcPr>
            <w:tcW w:w="2235" w:type="dxa"/>
          </w:tcPr>
          <w:p>
            <w:pPr>
              <w:pStyle w:val="0"/>
              <w:jc w:val="center"/>
            </w:pPr>
            <w:r>
              <w:rPr>
                <w:sz w:val="20"/>
              </w:rPr>
              <w:t xml:space="preserve">0,26</w:t>
            </w:r>
          </w:p>
        </w:tc>
      </w:tr>
      <w:tr>
        <w:tc>
          <w:tcPr>
            <w:tcW w:w="3288" w:type="dxa"/>
          </w:tcPr>
          <w:p>
            <w:pPr>
              <w:pStyle w:val="0"/>
              <w:jc w:val="both"/>
            </w:pPr>
            <w:r>
              <w:rPr>
                <w:sz w:val="20"/>
              </w:rPr>
              <w:t xml:space="preserve">по физической и реабилитационной медицине</w:t>
            </w:r>
          </w:p>
        </w:tc>
        <w:tc>
          <w:tcPr>
            <w:tcW w:w="1814" w:type="dxa"/>
          </w:tcPr>
          <w:p>
            <w:pPr>
              <w:pStyle w:val="0"/>
              <w:jc w:val="center"/>
            </w:pPr>
            <w:r>
              <w:rPr>
                <w:sz w:val="20"/>
              </w:rPr>
              <w:t xml:space="preserve">0</w:t>
            </w:r>
          </w:p>
        </w:tc>
        <w:tc>
          <w:tcPr>
            <w:tcW w:w="1701" w:type="dxa"/>
          </w:tcPr>
          <w:p>
            <w:pPr>
              <w:pStyle w:val="0"/>
              <w:jc w:val="center"/>
            </w:pPr>
            <w:r>
              <w:rPr>
                <w:sz w:val="20"/>
              </w:rPr>
              <w:t xml:space="preserve">0</w:t>
            </w:r>
          </w:p>
        </w:tc>
        <w:tc>
          <w:tcPr>
            <w:tcW w:w="2235" w:type="dxa"/>
          </w:tcPr>
          <w:p>
            <w:pPr>
              <w:pStyle w:val="0"/>
              <w:jc w:val="center"/>
            </w:pPr>
            <w:r>
              <w:rPr>
                <w:sz w:val="20"/>
              </w:rPr>
              <w:t xml:space="preserve">0</w:t>
            </w:r>
          </w:p>
        </w:tc>
      </w:tr>
      <w:tr>
        <w:tc>
          <w:tcPr>
            <w:tcW w:w="3288" w:type="dxa"/>
          </w:tcPr>
          <w:p>
            <w:pPr>
              <w:pStyle w:val="0"/>
              <w:jc w:val="both"/>
            </w:pPr>
            <w:r>
              <w:rPr>
                <w:sz w:val="20"/>
              </w:rPr>
              <w:t xml:space="preserve">хирурги</w:t>
            </w:r>
          </w:p>
        </w:tc>
        <w:tc>
          <w:tcPr>
            <w:tcW w:w="1814" w:type="dxa"/>
          </w:tcPr>
          <w:p>
            <w:pPr>
              <w:pStyle w:val="0"/>
              <w:jc w:val="center"/>
            </w:pPr>
            <w:r>
              <w:rPr>
                <w:sz w:val="20"/>
              </w:rPr>
              <w:t xml:space="preserve">82,75</w:t>
            </w:r>
          </w:p>
        </w:tc>
        <w:tc>
          <w:tcPr>
            <w:tcW w:w="1701" w:type="dxa"/>
          </w:tcPr>
          <w:p>
            <w:pPr>
              <w:pStyle w:val="0"/>
              <w:jc w:val="center"/>
            </w:pPr>
            <w:r>
              <w:rPr>
                <w:sz w:val="20"/>
              </w:rPr>
              <w:t xml:space="preserve">72,75</w:t>
            </w:r>
          </w:p>
        </w:tc>
        <w:tc>
          <w:tcPr>
            <w:tcW w:w="2235" w:type="dxa"/>
          </w:tcPr>
          <w:p>
            <w:pPr>
              <w:pStyle w:val="0"/>
              <w:jc w:val="center"/>
            </w:pPr>
            <w:r>
              <w:rPr>
                <w:sz w:val="20"/>
              </w:rPr>
              <w:t xml:space="preserve">1,77</w:t>
            </w:r>
          </w:p>
        </w:tc>
      </w:tr>
      <w:tr>
        <w:tc>
          <w:tcPr>
            <w:tcW w:w="3288" w:type="dxa"/>
          </w:tcPr>
          <w:p>
            <w:pPr>
              <w:pStyle w:val="0"/>
              <w:jc w:val="both"/>
            </w:pPr>
            <w:r>
              <w:rPr>
                <w:sz w:val="20"/>
              </w:rPr>
              <w:t xml:space="preserve">хирурги сердечно-сосудистые</w:t>
            </w:r>
          </w:p>
        </w:tc>
        <w:tc>
          <w:tcPr>
            <w:tcW w:w="1814" w:type="dxa"/>
          </w:tcPr>
          <w:p>
            <w:pPr>
              <w:pStyle w:val="0"/>
              <w:jc w:val="center"/>
            </w:pPr>
            <w:r>
              <w:rPr>
                <w:sz w:val="20"/>
              </w:rPr>
              <w:t xml:space="preserve">9,50</w:t>
            </w:r>
          </w:p>
        </w:tc>
        <w:tc>
          <w:tcPr>
            <w:tcW w:w="1701" w:type="dxa"/>
          </w:tcPr>
          <w:p>
            <w:pPr>
              <w:pStyle w:val="0"/>
              <w:jc w:val="center"/>
            </w:pPr>
            <w:r>
              <w:rPr>
                <w:sz w:val="20"/>
              </w:rPr>
              <w:t xml:space="preserve">8,00</w:t>
            </w:r>
          </w:p>
        </w:tc>
        <w:tc>
          <w:tcPr>
            <w:tcW w:w="2235" w:type="dxa"/>
          </w:tcPr>
          <w:p>
            <w:pPr>
              <w:pStyle w:val="0"/>
              <w:jc w:val="center"/>
            </w:pPr>
            <w:r>
              <w:rPr>
                <w:sz w:val="20"/>
              </w:rPr>
              <w:t xml:space="preserve">0,16</w:t>
            </w:r>
          </w:p>
        </w:tc>
      </w:tr>
      <w:tr>
        <w:tc>
          <w:tcPr>
            <w:tcW w:w="3288" w:type="dxa"/>
          </w:tcPr>
          <w:p>
            <w:pPr>
              <w:pStyle w:val="0"/>
              <w:jc w:val="both"/>
            </w:pPr>
            <w:r>
              <w:rPr>
                <w:sz w:val="20"/>
              </w:rPr>
              <w:t xml:space="preserve">специалисты с высшим немедицинским образованием, всего</w:t>
            </w:r>
          </w:p>
        </w:tc>
        <w:tc>
          <w:tcPr>
            <w:tcW w:w="1814" w:type="dxa"/>
          </w:tcPr>
          <w:p>
            <w:pPr>
              <w:pStyle w:val="0"/>
              <w:jc w:val="center"/>
            </w:pPr>
            <w:r>
              <w:rPr>
                <w:sz w:val="20"/>
              </w:rPr>
              <w:t xml:space="preserve">112,00</w:t>
            </w:r>
          </w:p>
        </w:tc>
        <w:tc>
          <w:tcPr>
            <w:tcW w:w="1701" w:type="dxa"/>
          </w:tcPr>
          <w:p>
            <w:pPr>
              <w:pStyle w:val="0"/>
              <w:jc w:val="center"/>
            </w:pPr>
            <w:r>
              <w:rPr>
                <w:sz w:val="20"/>
              </w:rPr>
              <w:t xml:space="preserve">100,00</w:t>
            </w:r>
          </w:p>
        </w:tc>
        <w:tc>
          <w:tcPr>
            <w:tcW w:w="2235" w:type="dxa"/>
          </w:tcPr>
          <w:p>
            <w:pPr>
              <w:pStyle w:val="0"/>
              <w:jc w:val="center"/>
            </w:pPr>
            <w:r>
              <w:rPr>
                <w:sz w:val="20"/>
              </w:rPr>
              <w:t xml:space="preserve">1,96</w:t>
            </w:r>
          </w:p>
        </w:tc>
      </w:tr>
      <w:tr>
        <w:tc>
          <w:tcPr>
            <w:tcW w:w="3288" w:type="dxa"/>
          </w:tcPr>
          <w:p>
            <w:pPr>
              <w:pStyle w:val="0"/>
              <w:jc w:val="both"/>
            </w:pPr>
            <w:r>
              <w:rPr>
                <w:sz w:val="20"/>
              </w:rPr>
              <w:t xml:space="preserve">инструкторы-методисты по лечебной физкультуре</w:t>
            </w:r>
          </w:p>
        </w:tc>
        <w:tc>
          <w:tcPr>
            <w:tcW w:w="1814" w:type="dxa"/>
          </w:tcPr>
          <w:p>
            <w:pPr>
              <w:pStyle w:val="0"/>
              <w:jc w:val="center"/>
            </w:pPr>
            <w:r>
              <w:rPr>
                <w:sz w:val="20"/>
              </w:rPr>
              <w:t xml:space="preserve">5,00</w:t>
            </w:r>
          </w:p>
        </w:tc>
        <w:tc>
          <w:tcPr>
            <w:tcW w:w="1701" w:type="dxa"/>
          </w:tcPr>
          <w:p>
            <w:pPr>
              <w:pStyle w:val="0"/>
              <w:jc w:val="center"/>
            </w:pPr>
            <w:r>
              <w:rPr>
                <w:sz w:val="20"/>
              </w:rPr>
              <w:t xml:space="preserve">5,00</w:t>
            </w:r>
          </w:p>
        </w:tc>
        <w:tc>
          <w:tcPr>
            <w:tcW w:w="2235" w:type="dxa"/>
          </w:tcPr>
          <w:p>
            <w:pPr>
              <w:pStyle w:val="0"/>
              <w:jc w:val="center"/>
            </w:pPr>
            <w:r>
              <w:rPr>
                <w:sz w:val="20"/>
              </w:rPr>
              <w:t xml:space="preserve">0,10</w:t>
            </w:r>
          </w:p>
        </w:tc>
      </w:tr>
      <w:tr>
        <w:tc>
          <w:tcPr>
            <w:tcW w:w="3288" w:type="dxa"/>
          </w:tcPr>
          <w:p>
            <w:pPr>
              <w:pStyle w:val="0"/>
              <w:jc w:val="both"/>
            </w:pPr>
            <w:r>
              <w:rPr>
                <w:sz w:val="20"/>
              </w:rPr>
              <w:t xml:space="preserve">логопеды</w:t>
            </w:r>
          </w:p>
        </w:tc>
        <w:tc>
          <w:tcPr>
            <w:tcW w:w="1814" w:type="dxa"/>
          </w:tcPr>
          <w:p>
            <w:pPr>
              <w:pStyle w:val="0"/>
              <w:jc w:val="center"/>
            </w:pPr>
            <w:r>
              <w:rPr>
                <w:sz w:val="20"/>
              </w:rPr>
              <w:t xml:space="preserve">15,50</w:t>
            </w:r>
          </w:p>
        </w:tc>
        <w:tc>
          <w:tcPr>
            <w:tcW w:w="1701" w:type="dxa"/>
          </w:tcPr>
          <w:p>
            <w:pPr>
              <w:pStyle w:val="0"/>
              <w:jc w:val="center"/>
            </w:pPr>
            <w:r>
              <w:rPr>
                <w:sz w:val="20"/>
              </w:rPr>
              <w:t xml:space="preserve">15,50</w:t>
            </w:r>
          </w:p>
        </w:tc>
        <w:tc>
          <w:tcPr>
            <w:tcW w:w="2235" w:type="dxa"/>
          </w:tcPr>
          <w:p>
            <w:pPr>
              <w:pStyle w:val="0"/>
              <w:jc w:val="center"/>
            </w:pPr>
            <w:r>
              <w:rPr>
                <w:sz w:val="20"/>
              </w:rPr>
              <w:t xml:space="preserve">0,30</w:t>
            </w:r>
          </w:p>
        </w:tc>
      </w:tr>
      <w:tr>
        <w:tc>
          <w:tcPr>
            <w:tcW w:w="3288" w:type="dxa"/>
          </w:tcPr>
          <w:p>
            <w:pPr>
              <w:pStyle w:val="0"/>
              <w:jc w:val="both"/>
            </w:pPr>
            <w:r>
              <w:rPr>
                <w:sz w:val="20"/>
              </w:rPr>
              <w:t xml:space="preserve">психологи медицинские</w:t>
            </w:r>
          </w:p>
        </w:tc>
        <w:tc>
          <w:tcPr>
            <w:tcW w:w="1814" w:type="dxa"/>
          </w:tcPr>
          <w:p>
            <w:pPr>
              <w:pStyle w:val="0"/>
              <w:jc w:val="center"/>
            </w:pPr>
            <w:r>
              <w:rPr>
                <w:sz w:val="20"/>
              </w:rPr>
              <w:t xml:space="preserve">26,75</w:t>
            </w:r>
          </w:p>
        </w:tc>
        <w:tc>
          <w:tcPr>
            <w:tcW w:w="1701" w:type="dxa"/>
          </w:tcPr>
          <w:p>
            <w:pPr>
              <w:pStyle w:val="0"/>
              <w:jc w:val="center"/>
            </w:pPr>
            <w:r>
              <w:rPr>
                <w:sz w:val="20"/>
              </w:rPr>
              <w:t xml:space="preserve">24,25</w:t>
            </w:r>
          </w:p>
        </w:tc>
        <w:tc>
          <w:tcPr>
            <w:tcW w:w="2235" w:type="dxa"/>
          </w:tcPr>
          <w:p>
            <w:pPr>
              <w:pStyle w:val="0"/>
              <w:jc w:val="center"/>
            </w:pPr>
            <w:r>
              <w:rPr>
                <w:sz w:val="20"/>
              </w:rPr>
              <w:t xml:space="preserve">0,48</w:t>
            </w:r>
          </w:p>
        </w:tc>
      </w:tr>
      <w:tr>
        <w:tc>
          <w:tcPr>
            <w:tcW w:w="3288" w:type="dxa"/>
          </w:tcPr>
          <w:p>
            <w:pPr>
              <w:pStyle w:val="0"/>
              <w:jc w:val="both"/>
            </w:pPr>
            <w:r>
              <w:rPr>
                <w:sz w:val="20"/>
              </w:rPr>
              <w:t xml:space="preserve">средний медперсонал</w:t>
            </w:r>
          </w:p>
        </w:tc>
        <w:tc>
          <w:tcPr>
            <w:tcW w:w="1814" w:type="dxa"/>
          </w:tcPr>
          <w:p>
            <w:pPr>
              <w:pStyle w:val="0"/>
              <w:jc w:val="center"/>
            </w:pPr>
            <w:r>
              <w:rPr>
                <w:sz w:val="20"/>
              </w:rPr>
              <w:t xml:space="preserve">4569,00</w:t>
            </w:r>
          </w:p>
        </w:tc>
        <w:tc>
          <w:tcPr>
            <w:tcW w:w="1701" w:type="dxa"/>
          </w:tcPr>
          <w:p>
            <w:pPr>
              <w:pStyle w:val="0"/>
              <w:jc w:val="center"/>
            </w:pPr>
            <w:r>
              <w:rPr>
                <w:sz w:val="20"/>
              </w:rPr>
              <w:t xml:space="preserve">3575,50</w:t>
            </w:r>
          </w:p>
        </w:tc>
        <w:tc>
          <w:tcPr>
            <w:tcW w:w="2235" w:type="dxa"/>
          </w:tcPr>
          <w:p>
            <w:pPr>
              <w:pStyle w:val="0"/>
              <w:jc w:val="center"/>
            </w:pPr>
            <w:r>
              <w:rPr>
                <w:sz w:val="20"/>
              </w:rPr>
              <w:t xml:space="preserve">70,11</w:t>
            </w:r>
          </w:p>
        </w:tc>
      </w:tr>
      <w:tr>
        <w:tc>
          <w:tcPr>
            <w:tcW w:w="3288" w:type="dxa"/>
          </w:tcPr>
          <w:p>
            <w:pPr>
              <w:pStyle w:val="0"/>
              <w:jc w:val="both"/>
            </w:pPr>
            <w:r>
              <w:rPr>
                <w:sz w:val="20"/>
              </w:rPr>
              <w:t xml:space="preserve">инструкторы по лечебной физкультуре</w:t>
            </w:r>
          </w:p>
        </w:tc>
        <w:tc>
          <w:tcPr>
            <w:tcW w:w="1814" w:type="dxa"/>
          </w:tcPr>
          <w:p>
            <w:pPr>
              <w:pStyle w:val="0"/>
              <w:jc w:val="center"/>
            </w:pPr>
            <w:r>
              <w:rPr>
                <w:sz w:val="20"/>
              </w:rPr>
              <w:t xml:space="preserve">28,25</w:t>
            </w:r>
          </w:p>
        </w:tc>
        <w:tc>
          <w:tcPr>
            <w:tcW w:w="1701" w:type="dxa"/>
          </w:tcPr>
          <w:p>
            <w:pPr>
              <w:pStyle w:val="0"/>
              <w:jc w:val="center"/>
            </w:pPr>
            <w:r>
              <w:rPr>
                <w:sz w:val="20"/>
              </w:rPr>
              <w:t xml:space="preserve">16,75</w:t>
            </w:r>
          </w:p>
        </w:tc>
        <w:tc>
          <w:tcPr>
            <w:tcW w:w="2235" w:type="dxa"/>
          </w:tcPr>
          <w:p>
            <w:pPr>
              <w:pStyle w:val="0"/>
              <w:jc w:val="center"/>
            </w:pPr>
            <w:r>
              <w:rPr>
                <w:sz w:val="20"/>
              </w:rPr>
              <w:t xml:space="preserve">0,33</w:t>
            </w:r>
          </w:p>
        </w:tc>
      </w:tr>
      <w:tr>
        <w:tc>
          <w:tcPr>
            <w:tcW w:w="3288" w:type="dxa"/>
          </w:tcPr>
          <w:p>
            <w:pPr>
              <w:pStyle w:val="0"/>
              <w:jc w:val="both"/>
            </w:pPr>
            <w:r>
              <w:rPr>
                <w:sz w:val="20"/>
              </w:rPr>
              <w:t xml:space="preserve">инструкторы по трудовой терапии</w:t>
            </w:r>
          </w:p>
        </w:tc>
        <w:tc>
          <w:tcPr>
            <w:tcW w:w="1814" w:type="dxa"/>
          </w:tcPr>
          <w:p>
            <w:pPr>
              <w:pStyle w:val="0"/>
              <w:jc w:val="center"/>
            </w:pPr>
            <w:r>
              <w:rPr>
                <w:sz w:val="20"/>
              </w:rPr>
              <w:t xml:space="preserve">6,00</w:t>
            </w:r>
          </w:p>
        </w:tc>
        <w:tc>
          <w:tcPr>
            <w:tcW w:w="1701" w:type="dxa"/>
          </w:tcPr>
          <w:p>
            <w:pPr>
              <w:pStyle w:val="0"/>
              <w:jc w:val="center"/>
            </w:pPr>
            <w:r>
              <w:rPr>
                <w:sz w:val="20"/>
              </w:rPr>
              <w:t xml:space="preserve">5,00</w:t>
            </w:r>
          </w:p>
        </w:tc>
        <w:tc>
          <w:tcPr>
            <w:tcW w:w="2235" w:type="dxa"/>
          </w:tcPr>
          <w:p>
            <w:pPr>
              <w:pStyle w:val="0"/>
              <w:jc w:val="center"/>
            </w:pPr>
            <w:r>
              <w:rPr>
                <w:sz w:val="20"/>
              </w:rPr>
              <w:t xml:space="preserve">0,10</w:t>
            </w:r>
          </w:p>
        </w:tc>
      </w:tr>
      <w:tr>
        <w:tc>
          <w:tcPr>
            <w:tcW w:w="3288" w:type="dxa"/>
          </w:tcPr>
          <w:p>
            <w:pPr>
              <w:pStyle w:val="0"/>
              <w:jc w:val="both"/>
            </w:pPr>
            <w:r>
              <w:rPr>
                <w:sz w:val="20"/>
              </w:rPr>
              <w:t xml:space="preserve">медицинские сестры</w:t>
            </w:r>
          </w:p>
        </w:tc>
        <w:tc>
          <w:tcPr>
            <w:tcW w:w="1814" w:type="dxa"/>
          </w:tcPr>
          <w:p>
            <w:pPr>
              <w:pStyle w:val="0"/>
              <w:jc w:val="center"/>
            </w:pPr>
            <w:r>
              <w:rPr>
                <w:sz w:val="20"/>
              </w:rPr>
              <w:t xml:space="preserve">3527,50</w:t>
            </w:r>
          </w:p>
        </w:tc>
        <w:tc>
          <w:tcPr>
            <w:tcW w:w="1701" w:type="dxa"/>
          </w:tcPr>
          <w:p>
            <w:pPr>
              <w:pStyle w:val="0"/>
              <w:jc w:val="center"/>
            </w:pPr>
            <w:r>
              <w:rPr>
                <w:sz w:val="20"/>
              </w:rPr>
              <w:t xml:space="preserve">2772,25</w:t>
            </w:r>
          </w:p>
        </w:tc>
        <w:tc>
          <w:tcPr>
            <w:tcW w:w="2235" w:type="dxa"/>
          </w:tcPr>
          <w:p>
            <w:pPr>
              <w:pStyle w:val="0"/>
              <w:jc w:val="center"/>
            </w:pPr>
            <w:r>
              <w:rPr>
                <w:sz w:val="20"/>
              </w:rPr>
              <w:t xml:space="preserve">54,36</w:t>
            </w:r>
          </w:p>
        </w:tc>
      </w:tr>
      <w:tr>
        <w:tc>
          <w:tcPr>
            <w:tcW w:w="3288" w:type="dxa"/>
          </w:tcPr>
          <w:p>
            <w:pPr>
              <w:pStyle w:val="0"/>
              <w:jc w:val="both"/>
            </w:pPr>
            <w:r>
              <w:rPr>
                <w:sz w:val="20"/>
              </w:rPr>
              <w:t xml:space="preserve">по массажу</w:t>
            </w:r>
          </w:p>
        </w:tc>
        <w:tc>
          <w:tcPr>
            <w:tcW w:w="1814" w:type="dxa"/>
          </w:tcPr>
          <w:p>
            <w:pPr>
              <w:pStyle w:val="0"/>
              <w:jc w:val="center"/>
            </w:pPr>
            <w:r>
              <w:rPr>
                <w:sz w:val="20"/>
              </w:rPr>
              <w:t xml:space="preserve">61,75</w:t>
            </w:r>
          </w:p>
        </w:tc>
        <w:tc>
          <w:tcPr>
            <w:tcW w:w="1701" w:type="dxa"/>
          </w:tcPr>
          <w:p>
            <w:pPr>
              <w:pStyle w:val="0"/>
              <w:jc w:val="center"/>
            </w:pPr>
            <w:r>
              <w:rPr>
                <w:sz w:val="20"/>
              </w:rPr>
              <w:t xml:space="preserve">41,75</w:t>
            </w:r>
          </w:p>
        </w:tc>
        <w:tc>
          <w:tcPr>
            <w:tcW w:w="2235" w:type="dxa"/>
          </w:tcPr>
          <w:p>
            <w:pPr>
              <w:pStyle w:val="0"/>
              <w:jc w:val="center"/>
            </w:pPr>
            <w:r>
              <w:rPr>
                <w:sz w:val="20"/>
              </w:rPr>
              <w:t xml:space="preserve">0,82</w:t>
            </w:r>
          </w:p>
        </w:tc>
      </w:tr>
      <w:tr>
        <w:tc>
          <w:tcPr>
            <w:tcW w:w="3288" w:type="dxa"/>
          </w:tcPr>
          <w:p>
            <w:pPr>
              <w:pStyle w:val="0"/>
              <w:jc w:val="both"/>
            </w:pPr>
            <w:r>
              <w:rPr>
                <w:sz w:val="20"/>
              </w:rPr>
              <w:t xml:space="preserve">по реабилитации</w:t>
            </w:r>
          </w:p>
        </w:tc>
        <w:tc>
          <w:tcPr>
            <w:tcW w:w="1814" w:type="dxa"/>
          </w:tcPr>
          <w:p>
            <w:pPr>
              <w:pStyle w:val="0"/>
              <w:jc w:val="center"/>
            </w:pPr>
            <w:r>
              <w:rPr>
                <w:sz w:val="20"/>
              </w:rPr>
              <w:t xml:space="preserve">1,00</w:t>
            </w:r>
          </w:p>
        </w:tc>
        <w:tc>
          <w:tcPr>
            <w:tcW w:w="1701" w:type="dxa"/>
          </w:tcPr>
          <w:p>
            <w:pPr>
              <w:pStyle w:val="0"/>
              <w:jc w:val="center"/>
            </w:pPr>
            <w:r>
              <w:rPr>
                <w:sz w:val="20"/>
              </w:rPr>
            </w:r>
          </w:p>
        </w:tc>
        <w:tc>
          <w:tcPr>
            <w:tcW w:w="2235" w:type="dxa"/>
          </w:tcPr>
          <w:p>
            <w:pPr>
              <w:pStyle w:val="0"/>
              <w:jc w:val="center"/>
            </w:pPr>
            <w:r>
              <w:rPr>
                <w:sz w:val="20"/>
              </w:rPr>
              <w:t xml:space="preserve">0,00</w:t>
            </w:r>
          </w:p>
        </w:tc>
      </w:tr>
      <w:tr>
        <w:tc>
          <w:tcPr>
            <w:tcW w:w="3288" w:type="dxa"/>
          </w:tcPr>
          <w:p>
            <w:pPr>
              <w:pStyle w:val="0"/>
              <w:jc w:val="both"/>
            </w:pPr>
            <w:r>
              <w:rPr>
                <w:sz w:val="20"/>
              </w:rPr>
              <w:t xml:space="preserve">по физиотерапии</w:t>
            </w:r>
          </w:p>
        </w:tc>
        <w:tc>
          <w:tcPr>
            <w:tcW w:w="1814" w:type="dxa"/>
          </w:tcPr>
          <w:p>
            <w:pPr>
              <w:pStyle w:val="0"/>
              <w:jc w:val="center"/>
            </w:pPr>
            <w:r>
              <w:rPr>
                <w:sz w:val="20"/>
              </w:rPr>
              <w:t xml:space="preserve">104,50</w:t>
            </w:r>
          </w:p>
        </w:tc>
        <w:tc>
          <w:tcPr>
            <w:tcW w:w="1701" w:type="dxa"/>
          </w:tcPr>
          <w:p>
            <w:pPr>
              <w:pStyle w:val="0"/>
              <w:jc w:val="center"/>
            </w:pPr>
            <w:r>
              <w:rPr>
                <w:sz w:val="20"/>
              </w:rPr>
              <w:t xml:space="preserve">79,50</w:t>
            </w:r>
          </w:p>
        </w:tc>
        <w:tc>
          <w:tcPr>
            <w:tcW w:w="2235" w:type="dxa"/>
          </w:tcPr>
          <w:p>
            <w:pPr>
              <w:pStyle w:val="0"/>
              <w:jc w:val="center"/>
            </w:pPr>
            <w:r>
              <w:rPr>
                <w:sz w:val="20"/>
              </w:rPr>
              <w:t xml:space="preserve">1,56</w:t>
            </w:r>
          </w:p>
        </w:tc>
      </w:tr>
      <w:tr>
        <w:tc>
          <w:tcPr>
            <w:tcW w:w="3288" w:type="dxa"/>
          </w:tcPr>
          <w:p>
            <w:pPr>
              <w:pStyle w:val="0"/>
              <w:jc w:val="both"/>
            </w:pPr>
            <w:r>
              <w:rPr>
                <w:sz w:val="20"/>
              </w:rPr>
              <w:t xml:space="preserve">младший медицинский персонал</w:t>
            </w:r>
          </w:p>
        </w:tc>
        <w:tc>
          <w:tcPr>
            <w:tcW w:w="1814" w:type="dxa"/>
          </w:tcPr>
          <w:p>
            <w:pPr>
              <w:pStyle w:val="0"/>
              <w:jc w:val="center"/>
            </w:pPr>
            <w:r>
              <w:rPr>
                <w:sz w:val="20"/>
              </w:rPr>
              <w:t xml:space="preserve">0</w:t>
            </w:r>
          </w:p>
        </w:tc>
        <w:tc>
          <w:tcPr>
            <w:tcW w:w="1701" w:type="dxa"/>
          </w:tcPr>
          <w:p>
            <w:pPr>
              <w:pStyle w:val="0"/>
              <w:jc w:val="center"/>
            </w:pPr>
            <w:r>
              <w:rPr>
                <w:sz w:val="20"/>
              </w:rPr>
              <w:t xml:space="preserve">0</w:t>
            </w:r>
          </w:p>
        </w:tc>
        <w:tc>
          <w:tcPr>
            <w:tcW w:w="2235" w:type="dxa"/>
          </w:tcPr>
          <w:p>
            <w:pPr>
              <w:pStyle w:val="0"/>
              <w:jc w:val="center"/>
            </w:pPr>
            <w:r>
              <w:rPr>
                <w:sz w:val="20"/>
              </w:rPr>
              <w:t xml:space="preserve">0</w:t>
            </w:r>
          </w:p>
        </w:tc>
      </w:tr>
      <w:tr>
        <w:tc>
          <w:tcPr>
            <w:tcW w:w="3288" w:type="dxa"/>
          </w:tcPr>
          <w:p>
            <w:pPr>
              <w:pStyle w:val="0"/>
              <w:jc w:val="both"/>
            </w:pPr>
            <w:r>
              <w:rPr>
                <w:sz w:val="20"/>
              </w:rPr>
              <w:t xml:space="preserve">социальные работники</w:t>
            </w:r>
          </w:p>
        </w:tc>
        <w:tc>
          <w:tcPr>
            <w:tcW w:w="1814" w:type="dxa"/>
          </w:tcPr>
          <w:p>
            <w:pPr>
              <w:pStyle w:val="0"/>
              <w:jc w:val="center"/>
            </w:pPr>
            <w:r>
              <w:rPr>
                <w:sz w:val="20"/>
              </w:rPr>
              <w:t xml:space="preserve">8,75</w:t>
            </w:r>
          </w:p>
        </w:tc>
        <w:tc>
          <w:tcPr>
            <w:tcW w:w="1701" w:type="dxa"/>
          </w:tcPr>
          <w:p>
            <w:pPr>
              <w:pStyle w:val="0"/>
              <w:jc w:val="center"/>
            </w:pPr>
            <w:r>
              <w:rPr>
                <w:sz w:val="20"/>
              </w:rPr>
              <w:t xml:space="preserve">6,50</w:t>
            </w:r>
          </w:p>
        </w:tc>
        <w:tc>
          <w:tcPr>
            <w:tcW w:w="2235" w:type="dxa"/>
          </w:tcPr>
          <w:p>
            <w:pPr>
              <w:pStyle w:val="0"/>
              <w:jc w:val="center"/>
            </w:pPr>
            <w:r>
              <w:rPr>
                <w:sz w:val="20"/>
              </w:rPr>
              <w:t xml:space="preserve">0,13</w:t>
            </w:r>
          </w:p>
        </w:tc>
      </w:tr>
    </w:tbl>
    <w:p>
      <w:pPr>
        <w:pStyle w:val="0"/>
        <w:jc w:val="right"/>
      </w:pPr>
      <w:r>
        <w:rPr>
          <w:sz w:val="20"/>
        </w:rPr>
      </w:r>
    </w:p>
    <w:p>
      <w:pPr>
        <w:pStyle w:val="0"/>
        <w:jc w:val="right"/>
      </w:pPr>
      <w:r>
        <w:rPr>
          <w:sz w:val="20"/>
        </w:rPr>
        <w:t xml:space="preserve">Таблица 22</w:t>
      </w:r>
    </w:p>
    <w:p>
      <w:pPr>
        <w:pStyle w:val="0"/>
        <w:jc w:val="right"/>
      </w:pPr>
      <w:r>
        <w:rPr>
          <w:sz w:val="20"/>
        </w:rPr>
      </w:r>
    </w:p>
    <w:p>
      <w:pPr>
        <w:pStyle w:val="0"/>
        <w:jc w:val="center"/>
      </w:pPr>
      <w:r>
        <w:rPr>
          <w:sz w:val="20"/>
        </w:rPr>
        <w:t xml:space="preserve">Обеспеченность медицинскими работниками, осуществляющими</w:t>
      </w:r>
    </w:p>
    <w:p>
      <w:pPr>
        <w:pStyle w:val="0"/>
        <w:jc w:val="center"/>
      </w:pPr>
      <w:r>
        <w:rPr>
          <w:sz w:val="20"/>
        </w:rPr>
        <w:t xml:space="preserve">медицинскую реабилитацию детям в городе Севастополе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1417"/>
        <w:gridCol w:w="1034"/>
        <w:gridCol w:w="1445"/>
        <w:gridCol w:w="2324"/>
      </w:tblGrid>
      <w:tr>
        <w:tc>
          <w:tcPr>
            <w:tcW w:w="2835" w:type="dxa"/>
          </w:tcPr>
          <w:p>
            <w:pPr>
              <w:pStyle w:val="0"/>
              <w:jc w:val="center"/>
            </w:pPr>
            <w:r>
              <w:rPr>
                <w:sz w:val="20"/>
              </w:rPr>
              <w:t xml:space="preserve">Наименование</w:t>
            </w:r>
          </w:p>
        </w:tc>
        <w:tc>
          <w:tcPr>
            <w:tcW w:w="1417" w:type="dxa"/>
          </w:tcPr>
          <w:p>
            <w:pPr>
              <w:pStyle w:val="0"/>
              <w:jc w:val="center"/>
            </w:pPr>
            <w:r>
              <w:rPr>
                <w:sz w:val="20"/>
              </w:rPr>
              <w:t xml:space="preserve">Штатных должностей</w:t>
            </w:r>
          </w:p>
        </w:tc>
        <w:tc>
          <w:tcPr>
            <w:tcW w:w="1034" w:type="dxa"/>
          </w:tcPr>
          <w:p>
            <w:pPr>
              <w:pStyle w:val="0"/>
              <w:jc w:val="center"/>
            </w:pPr>
            <w:r>
              <w:rPr>
                <w:sz w:val="20"/>
              </w:rPr>
              <w:t xml:space="preserve">Занято ставок</w:t>
            </w:r>
          </w:p>
        </w:tc>
        <w:tc>
          <w:tcPr>
            <w:tcW w:w="1445" w:type="dxa"/>
          </w:tcPr>
          <w:p>
            <w:pPr>
              <w:pStyle w:val="0"/>
              <w:jc w:val="center"/>
            </w:pPr>
            <w:r>
              <w:rPr>
                <w:sz w:val="20"/>
              </w:rPr>
              <w:t xml:space="preserve">Физических лиц</w:t>
            </w:r>
          </w:p>
        </w:tc>
        <w:tc>
          <w:tcPr>
            <w:tcW w:w="2324" w:type="dxa"/>
          </w:tcPr>
          <w:p>
            <w:pPr>
              <w:pStyle w:val="0"/>
              <w:jc w:val="center"/>
            </w:pPr>
            <w:r>
              <w:rPr>
                <w:sz w:val="20"/>
              </w:rPr>
              <w:t xml:space="preserve">Укомплектованность штатов физическими лицами (%)</w:t>
            </w:r>
          </w:p>
        </w:tc>
      </w:tr>
      <w:tr>
        <w:tc>
          <w:tcPr>
            <w:tcW w:w="2835" w:type="dxa"/>
          </w:tcPr>
          <w:p>
            <w:pPr>
              <w:pStyle w:val="0"/>
              <w:jc w:val="center"/>
            </w:pPr>
            <w:r>
              <w:rPr>
                <w:sz w:val="20"/>
              </w:rPr>
              <w:t xml:space="preserve">1</w:t>
            </w:r>
          </w:p>
        </w:tc>
        <w:tc>
          <w:tcPr>
            <w:tcW w:w="1417" w:type="dxa"/>
          </w:tcPr>
          <w:p>
            <w:pPr>
              <w:pStyle w:val="0"/>
              <w:jc w:val="center"/>
            </w:pPr>
            <w:r>
              <w:rPr>
                <w:sz w:val="20"/>
              </w:rPr>
              <w:t xml:space="preserve">2</w:t>
            </w:r>
          </w:p>
        </w:tc>
        <w:tc>
          <w:tcPr>
            <w:tcW w:w="1034" w:type="dxa"/>
          </w:tcPr>
          <w:p>
            <w:pPr>
              <w:pStyle w:val="0"/>
              <w:jc w:val="center"/>
            </w:pPr>
            <w:r>
              <w:rPr>
                <w:sz w:val="20"/>
              </w:rPr>
              <w:t xml:space="preserve">3</w:t>
            </w:r>
          </w:p>
        </w:tc>
        <w:tc>
          <w:tcPr>
            <w:tcW w:w="1445" w:type="dxa"/>
          </w:tcPr>
          <w:p>
            <w:pPr>
              <w:pStyle w:val="0"/>
              <w:jc w:val="center"/>
            </w:pPr>
            <w:r>
              <w:rPr>
                <w:sz w:val="20"/>
              </w:rPr>
              <w:t xml:space="preserve">4</w:t>
            </w:r>
          </w:p>
        </w:tc>
        <w:tc>
          <w:tcPr>
            <w:tcW w:w="2324" w:type="dxa"/>
          </w:tcPr>
          <w:p>
            <w:pPr>
              <w:pStyle w:val="0"/>
              <w:jc w:val="center"/>
            </w:pPr>
            <w:r>
              <w:rPr>
                <w:sz w:val="20"/>
              </w:rPr>
              <w:t xml:space="preserve">5</w:t>
            </w:r>
          </w:p>
        </w:tc>
      </w:tr>
      <w:tr>
        <w:tc>
          <w:tcPr>
            <w:gridSpan w:val="5"/>
            <w:tcW w:w="9055" w:type="dxa"/>
          </w:tcPr>
          <w:p>
            <w:pPr>
              <w:pStyle w:val="0"/>
              <w:jc w:val="center"/>
            </w:pPr>
            <w:r>
              <w:rPr>
                <w:sz w:val="20"/>
              </w:rPr>
              <w:t xml:space="preserve">Детский центр медицинской реабилитации ГБ N 5,</w:t>
            </w:r>
          </w:p>
          <w:p>
            <w:pPr>
              <w:pStyle w:val="0"/>
              <w:jc w:val="center"/>
            </w:pPr>
            <w:r>
              <w:rPr>
                <w:sz w:val="20"/>
              </w:rPr>
              <w:t xml:space="preserve">II этап медицинской реабилитации</w:t>
            </w:r>
          </w:p>
        </w:tc>
      </w:tr>
      <w:tr>
        <w:tc>
          <w:tcPr>
            <w:tcW w:w="2835" w:type="dxa"/>
          </w:tcPr>
          <w:p>
            <w:pPr>
              <w:pStyle w:val="0"/>
              <w:jc w:val="both"/>
            </w:pPr>
            <w:r>
              <w:rPr>
                <w:sz w:val="20"/>
              </w:rPr>
              <w:t xml:space="preserve">Врачи, всего</w:t>
            </w:r>
          </w:p>
        </w:tc>
        <w:tc>
          <w:tcPr>
            <w:tcW w:w="1417" w:type="dxa"/>
          </w:tcPr>
          <w:p>
            <w:pPr>
              <w:pStyle w:val="0"/>
              <w:jc w:val="center"/>
            </w:pPr>
            <w:r>
              <w:rPr>
                <w:sz w:val="20"/>
              </w:rPr>
              <w:t xml:space="preserve">13</w:t>
            </w:r>
          </w:p>
        </w:tc>
        <w:tc>
          <w:tcPr>
            <w:tcW w:w="1034" w:type="dxa"/>
          </w:tcPr>
          <w:p>
            <w:pPr>
              <w:pStyle w:val="0"/>
              <w:jc w:val="center"/>
            </w:pPr>
            <w:r>
              <w:rPr>
                <w:sz w:val="20"/>
              </w:rPr>
              <w:t xml:space="preserve">11,75</w:t>
            </w:r>
          </w:p>
        </w:tc>
        <w:tc>
          <w:tcPr>
            <w:tcW w:w="1445" w:type="dxa"/>
          </w:tcPr>
          <w:p>
            <w:pPr>
              <w:pStyle w:val="0"/>
              <w:jc w:val="center"/>
            </w:pPr>
            <w:r>
              <w:rPr>
                <w:sz w:val="20"/>
              </w:rPr>
              <w:t xml:space="preserve">12</w:t>
            </w:r>
          </w:p>
        </w:tc>
        <w:tc>
          <w:tcPr>
            <w:tcW w:w="2324" w:type="dxa"/>
          </w:tcPr>
          <w:p>
            <w:pPr>
              <w:pStyle w:val="0"/>
              <w:jc w:val="center"/>
            </w:pPr>
            <w:r>
              <w:rPr>
                <w:sz w:val="20"/>
              </w:rPr>
              <w:t xml:space="preserve">90</w:t>
            </w:r>
          </w:p>
        </w:tc>
      </w:tr>
      <w:tr>
        <w:tc>
          <w:tcPr>
            <w:tcW w:w="2835" w:type="dxa"/>
          </w:tcPr>
          <w:p>
            <w:pPr>
              <w:pStyle w:val="0"/>
              <w:jc w:val="both"/>
            </w:pPr>
            <w:r>
              <w:rPr>
                <w:sz w:val="20"/>
              </w:rPr>
              <w:t xml:space="preserve">Педиатр</w:t>
            </w:r>
          </w:p>
        </w:tc>
        <w:tc>
          <w:tcPr>
            <w:tcW w:w="1417" w:type="dxa"/>
          </w:tcPr>
          <w:p>
            <w:pPr>
              <w:pStyle w:val="0"/>
              <w:jc w:val="center"/>
            </w:pPr>
            <w:r>
              <w:rPr>
                <w:sz w:val="20"/>
              </w:rPr>
              <w:t xml:space="preserve">3</w:t>
            </w:r>
          </w:p>
        </w:tc>
        <w:tc>
          <w:tcPr>
            <w:tcW w:w="1034" w:type="dxa"/>
          </w:tcPr>
          <w:p>
            <w:pPr>
              <w:pStyle w:val="0"/>
              <w:jc w:val="center"/>
            </w:pPr>
            <w:r>
              <w:rPr>
                <w:sz w:val="20"/>
              </w:rPr>
              <w:t xml:space="preserve">3</w:t>
            </w:r>
          </w:p>
        </w:tc>
        <w:tc>
          <w:tcPr>
            <w:tcW w:w="1445" w:type="dxa"/>
          </w:tcPr>
          <w:p>
            <w:pPr>
              <w:pStyle w:val="0"/>
              <w:jc w:val="center"/>
            </w:pPr>
            <w:r>
              <w:rPr>
                <w:sz w:val="20"/>
              </w:rPr>
              <w:t xml:space="preserve">3</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Педиатр ранней помощи</w:t>
            </w:r>
          </w:p>
        </w:tc>
        <w:tc>
          <w:tcPr>
            <w:tcW w:w="1417" w:type="dxa"/>
          </w:tcPr>
          <w:p>
            <w:pPr>
              <w:pStyle w:val="0"/>
              <w:jc w:val="center"/>
            </w:pPr>
            <w:r>
              <w:rPr>
                <w:sz w:val="20"/>
              </w:rPr>
              <w:t xml:space="preserve">1</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Врач функциональной диагностики</w:t>
            </w:r>
          </w:p>
        </w:tc>
        <w:tc>
          <w:tcPr>
            <w:tcW w:w="1417" w:type="dxa"/>
          </w:tcPr>
          <w:p>
            <w:pPr>
              <w:pStyle w:val="0"/>
              <w:jc w:val="center"/>
            </w:pPr>
            <w:r>
              <w:rPr>
                <w:sz w:val="20"/>
              </w:rPr>
              <w:t xml:space="preserve">0,5</w:t>
            </w:r>
          </w:p>
        </w:tc>
        <w:tc>
          <w:tcPr>
            <w:tcW w:w="1034" w:type="dxa"/>
          </w:tcPr>
          <w:p>
            <w:pPr>
              <w:pStyle w:val="0"/>
              <w:jc w:val="center"/>
            </w:pPr>
            <w:r>
              <w:rPr>
                <w:sz w:val="20"/>
              </w:rPr>
              <w:t xml:space="preserve">0,25</w:t>
            </w:r>
          </w:p>
        </w:tc>
        <w:tc>
          <w:tcPr>
            <w:tcW w:w="1445" w:type="dxa"/>
          </w:tcPr>
          <w:p>
            <w:pPr>
              <w:pStyle w:val="0"/>
              <w:jc w:val="center"/>
            </w:pPr>
            <w:r>
              <w:rPr>
                <w:sz w:val="20"/>
              </w:rPr>
              <w:t xml:space="preserve">0</w:t>
            </w:r>
          </w:p>
        </w:tc>
        <w:tc>
          <w:tcPr>
            <w:tcW w:w="2324" w:type="dxa"/>
          </w:tcPr>
          <w:p>
            <w:pPr>
              <w:pStyle w:val="0"/>
              <w:jc w:val="center"/>
            </w:pPr>
            <w:r>
              <w:rPr>
                <w:sz w:val="20"/>
              </w:rPr>
              <w:t xml:space="preserve">50</w:t>
            </w:r>
          </w:p>
        </w:tc>
      </w:tr>
      <w:tr>
        <w:tc>
          <w:tcPr>
            <w:tcW w:w="2835" w:type="dxa"/>
          </w:tcPr>
          <w:p>
            <w:pPr>
              <w:pStyle w:val="0"/>
              <w:jc w:val="both"/>
            </w:pPr>
            <w:r>
              <w:rPr>
                <w:sz w:val="20"/>
              </w:rPr>
              <w:t xml:space="preserve">Невролог</w:t>
            </w:r>
          </w:p>
        </w:tc>
        <w:tc>
          <w:tcPr>
            <w:tcW w:w="1417" w:type="dxa"/>
          </w:tcPr>
          <w:p>
            <w:pPr>
              <w:pStyle w:val="0"/>
              <w:jc w:val="center"/>
            </w:pPr>
            <w:r>
              <w:rPr>
                <w:sz w:val="20"/>
              </w:rPr>
              <w:t xml:space="preserve">1</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Психиатр</w:t>
            </w:r>
          </w:p>
        </w:tc>
        <w:tc>
          <w:tcPr>
            <w:tcW w:w="1417" w:type="dxa"/>
          </w:tcPr>
          <w:p>
            <w:pPr>
              <w:pStyle w:val="0"/>
              <w:jc w:val="center"/>
            </w:pPr>
            <w:r>
              <w:rPr>
                <w:sz w:val="20"/>
              </w:rPr>
              <w:t xml:space="preserve">2</w:t>
            </w:r>
          </w:p>
        </w:tc>
        <w:tc>
          <w:tcPr>
            <w:tcW w:w="1034" w:type="dxa"/>
          </w:tcPr>
          <w:p>
            <w:pPr>
              <w:pStyle w:val="0"/>
              <w:jc w:val="center"/>
            </w:pPr>
            <w:r>
              <w:rPr>
                <w:sz w:val="20"/>
              </w:rPr>
              <w:t xml:space="preserve">2</w:t>
            </w:r>
          </w:p>
        </w:tc>
        <w:tc>
          <w:tcPr>
            <w:tcW w:w="1445" w:type="dxa"/>
          </w:tcPr>
          <w:p>
            <w:pPr>
              <w:pStyle w:val="0"/>
              <w:jc w:val="center"/>
            </w:pPr>
            <w:r>
              <w:rPr>
                <w:sz w:val="20"/>
              </w:rPr>
              <w:t xml:space="preserve">2</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Психотерапевт</w:t>
            </w:r>
          </w:p>
        </w:tc>
        <w:tc>
          <w:tcPr>
            <w:tcW w:w="1417" w:type="dxa"/>
          </w:tcPr>
          <w:p>
            <w:pPr>
              <w:pStyle w:val="0"/>
              <w:jc w:val="center"/>
            </w:pPr>
            <w:r>
              <w:rPr>
                <w:sz w:val="20"/>
              </w:rPr>
              <w:t xml:space="preserve">0,5</w:t>
            </w:r>
          </w:p>
        </w:tc>
        <w:tc>
          <w:tcPr>
            <w:tcW w:w="1034" w:type="dxa"/>
          </w:tcPr>
          <w:p>
            <w:pPr>
              <w:pStyle w:val="0"/>
              <w:jc w:val="center"/>
            </w:pPr>
            <w:r>
              <w:rPr>
                <w:sz w:val="20"/>
              </w:rPr>
              <w:t xml:space="preserve">0,5</w:t>
            </w:r>
          </w:p>
        </w:tc>
        <w:tc>
          <w:tcPr>
            <w:tcW w:w="1445" w:type="dxa"/>
          </w:tcPr>
          <w:p>
            <w:pPr>
              <w:pStyle w:val="0"/>
              <w:jc w:val="center"/>
            </w:pPr>
            <w:r>
              <w:rPr>
                <w:sz w:val="20"/>
              </w:rPr>
              <w:t xml:space="preserve">0</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ЛОР</w:t>
            </w:r>
          </w:p>
        </w:tc>
        <w:tc>
          <w:tcPr>
            <w:tcW w:w="1417" w:type="dxa"/>
          </w:tcPr>
          <w:p>
            <w:pPr>
              <w:pStyle w:val="0"/>
              <w:jc w:val="center"/>
            </w:pPr>
            <w:r>
              <w:rPr>
                <w:sz w:val="20"/>
              </w:rPr>
              <w:t xml:space="preserve">0,5</w:t>
            </w:r>
          </w:p>
        </w:tc>
        <w:tc>
          <w:tcPr>
            <w:tcW w:w="1034" w:type="dxa"/>
          </w:tcPr>
          <w:p>
            <w:pPr>
              <w:pStyle w:val="0"/>
              <w:jc w:val="center"/>
            </w:pPr>
            <w:r>
              <w:rPr>
                <w:sz w:val="20"/>
              </w:rPr>
              <w:t xml:space="preserve">0,5</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Ортопед-травматолог</w:t>
            </w:r>
          </w:p>
        </w:tc>
        <w:tc>
          <w:tcPr>
            <w:tcW w:w="1417" w:type="dxa"/>
          </w:tcPr>
          <w:p>
            <w:pPr>
              <w:pStyle w:val="0"/>
              <w:jc w:val="center"/>
            </w:pPr>
            <w:r>
              <w:rPr>
                <w:sz w:val="20"/>
              </w:rPr>
              <w:t xml:space="preserve">1</w:t>
            </w:r>
          </w:p>
        </w:tc>
        <w:tc>
          <w:tcPr>
            <w:tcW w:w="1034" w:type="dxa"/>
          </w:tcPr>
          <w:p>
            <w:pPr>
              <w:pStyle w:val="0"/>
              <w:jc w:val="center"/>
            </w:pPr>
            <w:r>
              <w:rPr>
                <w:sz w:val="20"/>
              </w:rPr>
              <w:t xml:space="preserve">0,5</w:t>
            </w:r>
          </w:p>
        </w:tc>
        <w:tc>
          <w:tcPr>
            <w:tcW w:w="1445" w:type="dxa"/>
          </w:tcPr>
          <w:p>
            <w:pPr>
              <w:pStyle w:val="0"/>
              <w:jc w:val="center"/>
            </w:pPr>
            <w:r>
              <w:rPr>
                <w:sz w:val="20"/>
              </w:rPr>
              <w:t xml:space="preserve">1</w:t>
            </w:r>
          </w:p>
        </w:tc>
        <w:tc>
          <w:tcPr>
            <w:tcW w:w="2324" w:type="dxa"/>
          </w:tcPr>
          <w:p>
            <w:pPr>
              <w:pStyle w:val="0"/>
              <w:jc w:val="center"/>
            </w:pPr>
            <w:r>
              <w:rPr>
                <w:sz w:val="20"/>
              </w:rPr>
              <w:t xml:space="preserve">50</w:t>
            </w:r>
          </w:p>
        </w:tc>
      </w:tr>
      <w:tr>
        <w:tc>
          <w:tcPr>
            <w:tcW w:w="2835" w:type="dxa"/>
          </w:tcPr>
          <w:p>
            <w:pPr>
              <w:pStyle w:val="0"/>
              <w:jc w:val="both"/>
            </w:pPr>
            <w:r>
              <w:rPr>
                <w:sz w:val="20"/>
              </w:rPr>
              <w:t xml:space="preserve">Офтальмолог</w:t>
            </w:r>
          </w:p>
        </w:tc>
        <w:tc>
          <w:tcPr>
            <w:tcW w:w="1417" w:type="dxa"/>
          </w:tcPr>
          <w:p>
            <w:pPr>
              <w:pStyle w:val="0"/>
              <w:jc w:val="center"/>
            </w:pPr>
            <w:r>
              <w:rPr>
                <w:sz w:val="20"/>
              </w:rPr>
              <w:t xml:space="preserve">0,5</w:t>
            </w:r>
          </w:p>
        </w:tc>
        <w:tc>
          <w:tcPr>
            <w:tcW w:w="1034" w:type="dxa"/>
          </w:tcPr>
          <w:p>
            <w:pPr>
              <w:pStyle w:val="0"/>
              <w:jc w:val="center"/>
            </w:pPr>
            <w:r>
              <w:rPr>
                <w:sz w:val="20"/>
              </w:rPr>
              <w:t xml:space="preserve">0,5</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Физиотерапевт</w:t>
            </w:r>
          </w:p>
        </w:tc>
        <w:tc>
          <w:tcPr>
            <w:tcW w:w="1417" w:type="dxa"/>
          </w:tcPr>
          <w:p>
            <w:pPr>
              <w:pStyle w:val="0"/>
              <w:jc w:val="center"/>
            </w:pPr>
            <w:r>
              <w:rPr>
                <w:sz w:val="20"/>
              </w:rPr>
              <w:t xml:space="preserve">1,5</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75</w:t>
            </w:r>
          </w:p>
        </w:tc>
      </w:tr>
      <w:tr>
        <w:tc>
          <w:tcPr>
            <w:tcW w:w="2835" w:type="dxa"/>
          </w:tcPr>
          <w:p>
            <w:pPr>
              <w:pStyle w:val="0"/>
              <w:jc w:val="both"/>
            </w:pPr>
            <w:r>
              <w:rPr>
                <w:sz w:val="20"/>
              </w:rPr>
              <w:t xml:space="preserve">Рефлексотерапевт</w:t>
            </w:r>
          </w:p>
        </w:tc>
        <w:tc>
          <w:tcPr>
            <w:tcW w:w="1417" w:type="dxa"/>
          </w:tcPr>
          <w:p>
            <w:pPr>
              <w:pStyle w:val="0"/>
              <w:jc w:val="center"/>
            </w:pPr>
            <w:r>
              <w:rPr>
                <w:sz w:val="20"/>
              </w:rPr>
              <w:t xml:space="preserve">0,5</w:t>
            </w:r>
          </w:p>
        </w:tc>
        <w:tc>
          <w:tcPr>
            <w:tcW w:w="1034" w:type="dxa"/>
          </w:tcPr>
          <w:p>
            <w:pPr>
              <w:pStyle w:val="0"/>
              <w:jc w:val="center"/>
            </w:pPr>
            <w:r>
              <w:rPr>
                <w:sz w:val="20"/>
              </w:rPr>
              <w:t xml:space="preserve">0,5</w:t>
            </w:r>
          </w:p>
        </w:tc>
        <w:tc>
          <w:tcPr>
            <w:tcW w:w="1445" w:type="dxa"/>
          </w:tcPr>
          <w:p>
            <w:pPr>
              <w:pStyle w:val="0"/>
              <w:jc w:val="center"/>
            </w:pPr>
            <w:r>
              <w:rPr>
                <w:sz w:val="20"/>
              </w:rPr>
              <w:t xml:space="preserve">0</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ЛФК</w:t>
            </w:r>
          </w:p>
        </w:tc>
        <w:tc>
          <w:tcPr>
            <w:tcW w:w="1417" w:type="dxa"/>
          </w:tcPr>
          <w:p>
            <w:pPr>
              <w:pStyle w:val="0"/>
              <w:jc w:val="center"/>
            </w:pPr>
            <w:r>
              <w:rPr>
                <w:sz w:val="20"/>
              </w:rPr>
              <w:t xml:space="preserve">1,0</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Мануальный терапевт</w:t>
            </w:r>
          </w:p>
        </w:tc>
        <w:tc>
          <w:tcPr>
            <w:tcW w:w="1417" w:type="dxa"/>
          </w:tcPr>
          <w:p>
            <w:pPr>
              <w:pStyle w:val="0"/>
              <w:jc w:val="center"/>
            </w:pPr>
            <w:r>
              <w:rPr>
                <w:sz w:val="20"/>
              </w:rPr>
              <w:t xml:space="preserve">0</w:t>
            </w:r>
          </w:p>
        </w:tc>
        <w:tc>
          <w:tcPr>
            <w:tcW w:w="1034" w:type="dxa"/>
          </w:tcPr>
          <w:p>
            <w:pPr>
              <w:pStyle w:val="0"/>
              <w:jc w:val="center"/>
            </w:pPr>
            <w:r>
              <w:rPr>
                <w:sz w:val="20"/>
              </w:rPr>
              <w:t xml:space="preserve">-</w:t>
            </w:r>
          </w:p>
        </w:tc>
        <w:tc>
          <w:tcPr>
            <w:tcW w:w="1445" w:type="dxa"/>
          </w:tcPr>
          <w:p>
            <w:pPr>
              <w:pStyle w:val="0"/>
              <w:jc w:val="center"/>
            </w:pPr>
            <w:r>
              <w:rPr>
                <w:sz w:val="20"/>
              </w:rPr>
              <w:t xml:space="preserve">-</w:t>
            </w:r>
          </w:p>
        </w:tc>
        <w:tc>
          <w:tcPr>
            <w:tcW w:w="2324" w:type="dxa"/>
          </w:tcPr>
          <w:p>
            <w:pPr>
              <w:pStyle w:val="0"/>
              <w:jc w:val="center"/>
            </w:pPr>
            <w:r>
              <w:rPr>
                <w:sz w:val="20"/>
              </w:rPr>
              <w:t xml:space="preserve">-</w:t>
            </w:r>
          </w:p>
        </w:tc>
      </w:tr>
      <w:tr>
        <w:tc>
          <w:tcPr>
            <w:tcW w:w="2835" w:type="dxa"/>
          </w:tcPr>
          <w:p>
            <w:pPr>
              <w:pStyle w:val="0"/>
              <w:jc w:val="both"/>
            </w:pPr>
            <w:r>
              <w:rPr>
                <w:sz w:val="20"/>
              </w:rPr>
              <w:t xml:space="preserve">Специалисты с высшим немедицинским образованием</w:t>
            </w:r>
          </w:p>
        </w:tc>
        <w:tc>
          <w:tcPr>
            <w:tcW w:w="1417" w:type="dxa"/>
          </w:tcPr>
          <w:p>
            <w:pPr>
              <w:pStyle w:val="0"/>
              <w:jc w:val="center"/>
            </w:pPr>
            <w:r>
              <w:rPr>
                <w:sz w:val="20"/>
              </w:rPr>
              <w:t xml:space="preserve">8</w:t>
            </w:r>
          </w:p>
        </w:tc>
        <w:tc>
          <w:tcPr>
            <w:tcW w:w="1034" w:type="dxa"/>
          </w:tcPr>
          <w:p>
            <w:pPr>
              <w:pStyle w:val="0"/>
              <w:jc w:val="center"/>
            </w:pPr>
            <w:r>
              <w:rPr>
                <w:sz w:val="20"/>
              </w:rPr>
              <w:t xml:space="preserve">8</w:t>
            </w:r>
          </w:p>
        </w:tc>
        <w:tc>
          <w:tcPr>
            <w:tcW w:w="1445" w:type="dxa"/>
          </w:tcPr>
          <w:p>
            <w:pPr>
              <w:pStyle w:val="0"/>
              <w:jc w:val="center"/>
            </w:pPr>
            <w:r>
              <w:rPr>
                <w:sz w:val="20"/>
              </w:rPr>
              <w:t xml:space="preserve">8</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Инструктор-методист ЛФК</w:t>
            </w:r>
          </w:p>
        </w:tc>
        <w:tc>
          <w:tcPr>
            <w:tcW w:w="1417" w:type="dxa"/>
          </w:tcPr>
          <w:p>
            <w:pPr>
              <w:pStyle w:val="0"/>
              <w:jc w:val="center"/>
            </w:pPr>
            <w:r>
              <w:rPr>
                <w:sz w:val="20"/>
              </w:rPr>
              <w:t xml:space="preserve">4</w:t>
            </w:r>
          </w:p>
        </w:tc>
        <w:tc>
          <w:tcPr>
            <w:tcW w:w="1034" w:type="dxa"/>
          </w:tcPr>
          <w:p>
            <w:pPr>
              <w:pStyle w:val="0"/>
              <w:jc w:val="center"/>
            </w:pPr>
            <w:r>
              <w:rPr>
                <w:sz w:val="20"/>
              </w:rPr>
              <w:t xml:space="preserve">4</w:t>
            </w:r>
          </w:p>
        </w:tc>
        <w:tc>
          <w:tcPr>
            <w:tcW w:w="1445" w:type="dxa"/>
          </w:tcPr>
          <w:p>
            <w:pPr>
              <w:pStyle w:val="0"/>
              <w:jc w:val="center"/>
            </w:pPr>
            <w:r>
              <w:rPr>
                <w:sz w:val="20"/>
              </w:rPr>
              <w:t xml:space="preserve">5</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Медицинский психолог</w:t>
            </w:r>
          </w:p>
        </w:tc>
        <w:tc>
          <w:tcPr>
            <w:tcW w:w="1417" w:type="dxa"/>
          </w:tcPr>
          <w:p>
            <w:pPr>
              <w:pStyle w:val="0"/>
              <w:jc w:val="center"/>
            </w:pPr>
            <w:r>
              <w:rPr>
                <w:sz w:val="20"/>
              </w:rPr>
              <w:t xml:space="preserve">4</w:t>
            </w:r>
          </w:p>
        </w:tc>
        <w:tc>
          <w:tcPr>
            <w:tcW w:w="1034" w:type="dxa"/>
          </w:tcPr>
          <w:p>
            <w:pPr>
              <w:pStyle w:val="0"/>
              <w:jc w:val="center"/>
            </w:pPr>
            <w:r>
              <w:rPr>
                <w:sz w:val="20"/>
              </w:rPr>
              <w:t xml:space="preserve">4</w:t>
            </w:r>
          </w:p>
        </w:tc>
        <w:tc>
          <w:tcPr>
            <w:tcW w:w="1445" w:type="dxa"/>
          </w:tcPr>
          <w:p>
            <w:pPr>
              <w:pStyle w:val="0"/>
              <w:jc w:val="center"/>
            </w:pPr>
            <w:r>
              <w:rPr>
                <w:sz w:val="20"/>
              </w:rPr>
              <w:t xml:space="preserve">4</w:t>
            </w:r>
          </w:p>
        </w:tc>
        <w:tc>
          <w:tcPr>
            <w:tcW w:w="2324" w:type="dxa"/>
          </w:tcPr>
          <w:p>
            <w:pPr>
              <w:pStyle w:val="0"/>
              <w:jc w:val="center"/>
            </w:pPr>
            <w:r>
              <w:rPr>
                <w:sz w:val="20"/>
              </w:rPr>
              <w:t xml:space="preserve">100</w:t>
            </w:r>
          </w:p>
        </w:tc>
      </w:tr>
      <w:tr>
        <w:tc>
          <w:tcPr>
            <w:tcW w:w="2835" w:type="dxa"/>
          </w:tcPr>
          <w:p>
            <w:pPr>
              <w:pStyle w:val="0"/>
              <w:jc w:val="both"/>
            </w:pPr>
            <w:r>
              <w:rPr>
                <w:sz w:val="20"/>
              </w:rPr>
              <w:t xml:space="preserve">Средний медицинский персонал, всего, из них:</w:t>
            </w:r>
          </w:p>
        </w:tc>
        <w:tc>
          <w:tcPr>
            <w:tcW w:w="1417" w:type="dxa"/>
          </w:tcPr>
          <w:p>
            <w:pPr>
              <w:pStyle w:val="0"/>
              <w:jc w:val="center"/>
            </w:pPr>
            <w:r>
              <w:rPr>
                <w:sz w:val="20"/>
              </w:rPr>
              <w:t xml:space="preserve">18</w:t>
            </w:r>
          </w:p>
        </w:tc>
        <w:tc>
          <w:tcPr>
            <w:tcW w:w="1034" w:type="dxa"/>
          </w:tcPr>
          <w:p>
            <w:pPr>
              <w:pStyle w:val="0"/>
              <w:jc w:val="center"/>
            </w:pPr>
            <w:r>
              <w:rPr>
                <w:sz w:val="20"/>
              </w:rPr>
              <w:t xml:space="preserve">15</w:t>
            </w:r>
          </w:p>
        </w:tc>
        <w:tc>
          <w:tcPr>
            <w:tcW w:w="1445" w:type="dxa"/>
          </w:tcPr>
          <w:p>
            <w:pPr>
              <w:pStyle w:val="0"/>
              <w:jc w:val="center"/>
            </w:pPr>
            <w:r>
              <w:rPr>
                <w:sz w:val="20"/>
              </w:rPr>
              <w:t xml:space="preserve">16</w:t>
            </w:r>
          </w:p>
        </w:tc>
        <w:tc>
          <w:tcPr>
            <w:tcW w:w="2324" w:type="dxa"/>
          </w:tcPr>
          <w:p>
            <w:pPr>
              <w:pStyle w:val="0"/>
              <w:jc w:val="center"/>
            </w:pPr>
            <w:r>
              <w:rPr>
                <w:sz w:val="20"/>
              </w:rPr>
            </w:r>
          </w:p>
        </w:tc>
      </w:tr>
      <w:tr>
        <w:tc>
          <w:tcPr>
            <w:tcW w:w="2835" w:type="dxa"/>
          </w:tcPr>
          <w:p>
            <w:pPr>
              <w:pStyle w:val="0"/>
              <w:jc w:val="both"/>
            </w:pPr>
            <w:r>
              <w:rPr>
                <w:sz w:val="20"/>
              </w:rPr>
              <w:t xml:space="preserve">инструктор ЛФК</w:t>
            </w:r>
          </w:p>
        </w:tc>
        <w:tc>
          <w:tcPr>
            <w:tcW w:w="1417" w:type="dxa"/>
          </w:tcPr>
          <w:p>
            <w:pPr>
              <w:pStyle w:val="0"/>
              <w:jc w:val="center"/>
            </w:pPr>
            <w:r>
              <w:rPr>
                <w:sz w:val="20"/>
              </w:rPr>
              <w:t xml:space="preserve">2</w:t>
            </w:r>
          </w:p>
        </w:tc>
        <w:tc>
          <w:tcPr>
            <w:tcW w:w="1034" w:type="dxa"/>
          </w:tcPr>
          <w:p>
            <w:pPr>
              <w:pStyle w:val="0"/>
              <w:jc w:val="center"/>
            </w:pPr>
            <w:r>
              <w:rPr>
                <w:sz w:val="20"/>
              </w:rPr>
              <w:t xml:space="preserve">1,5</w:t>
            </w:r>
          </w:p>
        </w:tc>
        <w:tc>
          <w:tcPr>
            <w:tcW w:w="1445" w:type="dxa"/>
          </w:tcPr>
          <w:p>
            <w:pPr>
              <w:pStyle w:val="0"/>
              <w:jc w:val="center"/>
            </w:pPr>
            <w:r>
              <w:rPr>
                <w:sz w:val="20"/>
              </w:rPr>
              <w:t xml:space="preserve">2</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м/с физиоотделения</w:t>
            </w:r>
          </w:p>
        </w:tc>
        <w:tc>
          <w:tcPr>
            <w:tcW w:w="1417" w:type="dxa"/>
          </w:tcPr>
          <w:p>
            <w:pPr>
              <w:pStyle w:val="0"/>
              <w:jc w:val="center"/>
            </w:pPr>
            <w:r>
              <w:rPr>
                <w:sz w:val="20"/>
              </w:rPr>
              <w:t xml:space="preserve">4</w:t>
            </w:r>
          </w:p>
        </w:tc>
        <w:tc>
          <w:tcPr>
            <w:tcW w:w="1034" w:type="dxa"/>
          </w:tcPr>
          <w:p>
            <w:pPr>
              <w:pStyle w:val="0"/>
              <w:jc w:val="center"/>
            </w:pPr>
            <w:r>
              <w:rPr>
                <w:sz w:val="20"/>
              </w:rPr>
              <w:t xml:space="preserve">4</w:t>
            </w:r>
          </w:p>
        </w:tc>
        <w:tc>
          <w:tcPr>
            <w:tcW w:w="1445" w:type="dxa"/>
          </w:tcPr>
          <w:p>
            <w:pPr>
              <w:pStyle w:val="0"/>
              <w:jc w:val="center"/>
            </w:pPr>
            <w:r>
              <w:rPr>
                <w:sz w:val="20"/>
              </w:rPr>
              <w:t xml:space="preserve">4</w:t>
            </w:r>
          </w:p>
        </w:tc>
        <w:tc>
          <w:tcPr>
            <w:tcW w:w="2324" w:type="dxa"/>
          </w:tcPr>
          <w:p>
            <w:pPr>
              <w:pStyle w:val="0"/>
              <w:jc w:val="center"/>
            </w:pPr>
            <w:r>
              <w:rPr>
                <w:sz w:val="20"/>
              </w:rPr>
              <w:t xml:space="preserve">75</w:t>
            </w:r>
          </w:p>
        </w:tc>
      </w:tr>
      <w:tr>
        <w:tc>
          <w:tcPr>
            <w:tcW w:w="2835" w:type="dxa"/>
          </w:tcPr>
          <w:p>
            <w:pPr>
              <w:pStyle w:val="0"/>
              <w:jc w:val="both"/>
            </w:pPr>
            <w:r>
              <w:rPr>
                <w:sz w:val="20"/>
              </w:rPr>
              <w:t xml:space="preserve">массажистов</w:t>
            </w:r>
          </w:p>
        </w:tc>
        <w:tc>
          <w:tcPr>
            <w:tcW w:w="1417" w:type="dxa"/>
          </w:tcPr>
          <w:p>
            <w:pPr>
              <w:pStyle w:val="0"/>
              <w:jc w:val="center"/>
            </w:pPr>
            <w:r>
              <w:rPr>
                <w:sz w:val="20"/>
              </w:rPr>
              <w:t xml:space="preserve">5</w:t>
            </w:r>
          </w:p>
        </w:tc>
        <w:tc>
          <w:tcPr>
            <w:tcW w:w="1034" w:type="dxa"/>
          </w:tcPr>
          <w:p>
            <w:pPr>
              <w:pStyle w:val="0"/>
              <w:jc w:val="center"/>
            </w:pPr>
            <w:r>
              <w:rPr>
                <w:sz w:val="20"/>
              </w:rPr>
              <w:t xml:space="preserve">2,5</w:t>
            </w:r>
          </w:p>
        </w:tc>
        <w:tc>
          <w:tcPr>
            <w:tcW w:w="1445" w:type="dxa"/>
          </w:tcPr>
          <w:p>
            <w:pPr>
              <w:pStyle w:val="0"/>
              <w:jc w:val="center"/>
            </w:pPr>
            <w:r>
              <w:rPr>
                <w:sz w:val="20"/>
              </w:rPr>
              <w:t xml:space="preserve">3</w:t>
            </w:r>
          </w:p>
        </w:tc>
        <w:tc>
          <w:tcPr>
            <w:tcW w:w="2324" w:type="dxa"/>
          </w:tcPr>
          <w:p>
            <w:pPr>
              <w:pStyle w:val="0"/>
              <w:jc w:val="center"/>
            </w:pPr>
            <w:r>
              <w:rPr>
                <w:sz w:val="20"/>
              </w:rPr>
              <w:t xml:space="preserve">50</w:t>
            </w:r>
          </w:p>
        </w:tc>
      </w:tr>
      <w:tr>
        <w:tc>
          <w:tcPr>
            <w:tcW w:w="2835" w:type="dxa"/>
          </w:tcPr>
          <w:p>
            <w:pPr>
              <w:pStyle w:val="0"/>
              <w:jc w:val="both"/>
            </w:pPr>
            <w:r>
              <w:rPr>
                <w:sz w:val="20"/>
              </w:rPr>
              <w:t xml:space="preserve">палатные м/с</w:t>
            </w:r>
          </w:p>
        </w:tc>
        <w:tc>
          <w:tcPr>
            <w:tcW w:w="1417" w:type="dxa"/>
          </w:tcPr>
          <w:p>
            <w:pPr>
              <w:pStyle w:val="0"/>
              <w:jc w:val="center"/>
            </w:pPr>
            <w:r>
              <w:rPr>
                <w:sz w:val="20"/>
              </w:rPr>
              <w:t xml:space="preserve">6</w:t>
            </w:r>
          </w:p>
        </w:tc>
        <w:tc>
          <w:tcPr>
            <w:tcW w:w="1034" w:type="dxa"/>
          </w:tcPr>
          <w:p>
            <w:pPr>
              <w:pStyle w:val="0"/>
              <w:jc w:val="center"/>
            </w:pPr>
            <w:r>
              <w:rPr>
                <w:sz w:val="20"/>
              </w:rPr>
              <w:t xml:space="preserve">6</w:t>
            </w:r>
          </w:p>
        </w:tc>
        <w:tc>
          <w:tcPr>
            <w:tcW w:w="1445" w:type="dxa"/>
          </w:tcPr>
          <w:p>
            <w:pPr>
              <w:pStyle w:val="0"/>
              <w:jc w:val="center"/>
            </w:pPr>
            <w:r>
              <w:rPr>
                <w:sz w:val="20"/>
              </w:rPr>
              <w:t xml:space="preserve">6</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процедурные м/с</w:t>
            </w:r>
          </w:p>
        </w:tc>
        <w:tc>
          <w:tcPr>
            <w:tcW w:w="1417" w:type="dxa"/>
          </w:tcPr>
          <w:p>
            <w:pPr>
              <w:pStyle w:val="0"/>
              <w:jc w:val="center"/>
            </w:pPr>
            <w:r>
              <w:rPr>
                <w:sz w:val="20"/>
              </w:rPr>
              <w:t xml:space="preserve">1</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Педагоги, всего</w:t>
            </w:r>
          </w:p>
        </w:tc>
        <w:tc>
          <w:tcPr>
            <w:tcW w:w="1417" w:type="dxa"/>
          </w:tcPr>
          <w:p>
            <w:pPr>
              <w:pStyle w:val="0"/>
              <w:jc w:val="center"/>
            </w:pPr>
            <w:r>
              <w:rPr>
                <w:sz w:val="20"/>
              </w:rPr>
              <w:t xml:space="preserve">12</w:t>
            </w:r>
          </w:p>
        </w:tc>
        <w:tc>
          <w:tcPr>
            <w:tcW w:w="1034" w:type="dxa"/>
          </w:tcPr>
          <w:p>
            <w:pPr>
              <w:pStyle w:val="0"/>
              <w:jc w:val="center"/>
            </w:pPr>
            <w:r>
              <w:rPr>
                <w:sz w:val="20"/>
              </w:rPr>
              <w:t xml:space="preserve">11</w:t>
            </w:r>
          </w:p>
        </w:tc>
        <w:tc>
          <w:tcPr>
            <w:tcW w:w="1445" w:type="dxa"/>
          </w:tcPr>
          <w:p>
            <w:pPr>
              <w:pStyle w:val="0"/>
              <w:jc w:val="center"/>
            </w:pPr>
            <w:r>
              <w:rPr>
                <w:sz w:val="20"/>
              </w:rPr>
              <w:t xml:space="preserve">11</w:t>
            </w:r>
          </w:p>
        </w:tc>
        <w:tc>
          <w:tcPr>
            <w:tcW w:w="2324" w:type="dxa"/>
          </w:tcPr>
          <w:p>
            <w:pPr>
              <w:pStyle w:val="0"/>
              <w:jc w:val="center"/>
            </w:pPr>
            <w:r>
              <w:rPr>
                <w:sz w:val="20"/>
              </w:rPr>
              <w:t xml:space="preserve">92</w:t>
            </w:r>
          </w:p>
        </w:tc>
      </w:tr>
      <w:tr>
        <w:tc>
          <w:tcPr>
            <w:tcW w:w="2835" w:type="dxa"/>
          </w:tcPr>
          <w:p>
            <w:pPr>
              <w:pStyle w:val="0"/>
              <w:jc w:val="both"/>
            </w:pPr>
            <w:r>
              <w:rPr>
                <w:sz w:val="20"/>
              </w:rPr>
              <w:t xml:space="preserve">из них:</w:t>
            </w:r>
          </w:p>
        </w:tc>
        <w:tc>
          <w:tcPr>
            <w:tcW w:w="1417" w:type="dxa"/>
          </w:tcPr>
          <w:p>
            <w:pPr>
              <w:pStyle w:val="0"/>
              <w:jc w:val="center"/>
            </w:pPr>
            <w:r>
              <w:rPr>
                <w:sz w:val="20"/>
              </w:rPr>
            </w:r>
          </w:p>
        </w:tc>
        <w:tc>
          <w:tcPr>
            <w:tcW w:w="1034" w:type="dxa"/>
          </w:tcPr>
          <w:p>
            <w:pPr>
              <w:pStyle w:val="0"/>
              <w:jc w:val="center"/>
            </w:pPr>
            <w:r>
              <w:rPr>
                <w:sz w:val="20"/>
              </w:rPr>
            </w:r>
          </w:p>
        </w:tc>
        <w:tc>
          <w:tcPr>
            <w:tcW w:w="1445" w:type="dxa"/>
          </w:tcPr>
          <w:p>
            <w:pPr>
              <w:pStyle w:val="0"/>
              <w:jc w:val="center"/>
            </w:pPr>
            <w:r>
              <w:rPr>
                <w:sz w:val="20"/>
              </w:rPr>
            </w:r>
          </w:p>
        </w:tc>
        <w:tc>
          <w:tcPr>
            <w:tcW w:w="2324" w:type="dxa"/>
          </w:tcPr>
          <w:p>
            <w:pPr>
              <w:pStyle w:val="0"/>
              <w:jc w:val="center"/>
            </w:pPr>
            <w:r>
              <w:rPr>
                <w:sz w:val="20"/>
              </w:rPr>
            </w:r>
          </w:p>
        </w:tc>
      </w:tr>
      <w:tr>
        <w:tc>
          <w:tcPr>
            <w:tcW w:w="2835" w:type="dxa"/>
          </w:tcPr>
          <w:p>
            <w:pPr>
              <w:pStyle w:val="0"/>
              <w:jc w:val="both"/>
            </w:pPr>
            <w:r>
              <w:rPr>
                <w:sz w:val="20"/>
              </w:rPr>
              <w:t xml:space="preserve">логопед</w:t>
            </w:r>
          </w:p>
        </w:tc>
        <w:tc>
          <w:tcPr>
            <w:tcW w:w="1417" w:type="dxa"/>
          </w:tcPr>
          <w:p>
            <w:pPr>
              <w:pStyle w:val="0"/>
              <w:jc w:val="center"/>
            </w:pPr>
            <w:r>
              <w:rPr>
                <w:sz w:val="20"/>
              </w:rPr>
              <w:t xml:space="preserve">6</w:t>
            </w:r>
          </w:p>
        </w:tc>
        <w:tc>
          <w:tcPr>
            <w:tcW w:w="1034" w:type="dxa"/>
          </w:tcPr>
          <w:p>
            <w:pPr>
              <w:pStyle w:val="0"/>
              <w:jc w:val="center"/>
            </w:pPr>
            <w:r>
              <w:rPr>
                <w:sz w:val="20"/>
              </w:rPr>
              <w:t xml:space="preserve">6</w:t>
            </w:r>
          </w:p>
        </w:tc>
        <w:tc>
          <w:tcPr>
            <w:tcW w:w="1445" w:type="dxa"/>
          </w:tcPr>
          <w:p>
            <w:pPr>
              <w:pStyle w:val="0"/>
              <w:jc w:val="center"/>
            </w:pPr>
            <w:r>
              <w:rPr>
                <w:sz w:val="20"/>
              </w:rPr>
              <w:t xml:space="preserve">6</w:t>
            </w:r>
          </w:p>
        </w:tc>
        <w:tc>
          <w:tcPr>
            <w:tcW w:w="2324" w:type="dxa"/>
          </w:tcPr>
          <w:p>
            <w:pPr>
              <w:pStyle w:val="0"/>
              <w:jc w:val="center"/>
            </w:pPr>
            <w:r>
              <w:rPr>
                <w:sz w:val="20"/>
              </w:rPr>
              <w:t xml:space="preserve">100</w:t>
            </w:r>
          </w:p>
        </w:tc>
      </w:tr>
      <w:tr>
        <w:tc>
          <w:tcPr>
            <w:tcW w:w="2835" w:type="dxa"/>
          </w:tcPr>
          <w:p>
            <w:pPr>
              <w:pStyle w:val="0"/>
              <w:jc w:val="both"/>
            </w:pPr>
            <w:r>
              <w:rPr>
                <w:sz w:val="20"/>
              </w:rPr>
              <w:t xml:space="preserve">сурдопедагог</w:t>
            </w:r>
          </w:p>
        </w:tc>
        <w:tc>
          <w:tcPr>
            <w:tcW w:w="1417" w:type="dxa"/>
          </w:tcPr>
          <w:p>
            <w:pPr>
              <w:pStyle w:val="0"/>
              <w:jc w:val="center"/>
            </w:pPr>
            <w:r>
              <w:rPr>
                <w:sz w:val="20"/>
              </w:rPr>
              <w:t xml:space="preserve">1</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педагог-дефектолог</w:t>
            </w:r>
          </w:p>
        </w:tc>
        <w:tc>
          <w:tcPr>
            <w:tcW w:w="1417" w:type="dxa"/>
          </w:tcPr>
          <w:p>
            <w:pPr>
              <w:pStyle w:val="0"/>
              <w:jc w:val="center"/>
            </w:pPr>
            <w:r>
              <w:rPr>
                <w:sz w:val="20"/>
              </w:rPr>
              <w:t xml:space="preserve">2</w:t>
            </w:r>
          </w:p>
        </w:tc>
        <w:tc>
          <w:tcPr>
            <w:tcW w:w="1034" w:type="dxa"/>
          </w:tcPr>
          <w:p>
            <w:pPr>
              <w:pStyle w:val="0"/>
              <w:jc w:val="center"/>
            </w:pPr>
            <w:r>
              <w:rPr>
                <w:sz w:val="20"/>
              </w:rPr>
              <w:t xml:space="preserve">2</w:t>
            </w:r>
          </w:p>
        </w:tc>
        <w:tc>
          <w:tcPr>
            <w:tcW w:w="1445" w:type="dxa"/>
          </w:tcPr>
          <w:p>
            <w:pPr>
              <w:pStyle w:val="0"/>
              <w:jc w:val="center"/>
            </w:pPr>
            <w:r>
              <w:rPr>
                <w:sz w:val="20"/>
              </w:rPr>
              <w:t xml:space="preserve">2</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воспитатель по арт-реабилитации</w:t>
            </w:r>
          </w:p>
        </w:tc>
        <w:tc>
          <w:tcPr>
            <w:tcW w:w="1417" w:type="dxa"/>
          </w:tcPr>
          <w:p>
            <w:pPr>
              <w:pStyle w:val="0"/>
              <w:jc w:val="center"/>
            </w:pPr>
            <w:r>
              <w:rPr>
                <w:sz w:val="20"/>
              </w:rPr>
              <w:t xml:space="preserve">3</w:t>
            </w:r>
          </w:p>
        </w:tc>
        <w:tc>
          <w:tcPr>
            <w:tcW w:w="1034" w:type="dxa"/>
          </w:tcPr>
          <w:p>
            <w:pPr>
              <w:pStyle w:val="0"/>
              <w:jc w:val="center"/>
            </w:pPr>
            <w:r>
              <w:rPr>
                <w:sz w:val="20"/>
              </w:rPr>
              <w:t xml:space="preserve">2</w:t>
            </w:r>
          </w:p>
        </w:tc>
        <w:tc>
          <w:tcPr>
            <w:tcW w:w="1445" w:type="dxa"/>
          </w:tcPr>
          <w:p>
            <w:pPr>
              <w:pStyle w:val="0"/>
              <w:jc w:val="center"/>
            </w:pPr>
            <w:r>
              <w:rPr>
                <w:sz w:val="20"/>
              </w:rPr>
              <w:t xml:space="preserve">2</w:t>
            </w:r>
          </w:p>
        </w:tc>
        <w:tc>
          <w:tcPr>
            <w:tcW w:w="2324" w:type="dxa"/>
          </w:tcPr>
          <w:p>
            <w:pPr>
              <w:pStyle w:val="0"/>
              <w:jc w:val="center"/>
            </w:pPr>
            <w:r>
              <w:rPr>
                <w:sz w:val="20"/>
              </w:rPr>
              <w:t xml:space="preserve">66</w:t>
            </w:r>
          </w:p>
        </w:tc>
      </w:tr>
      <w:tr>
        <w:tc>
          <w:tcPr>
            <w:gridSpan w:val="5"/>
            <w:tcW w:w="9055" w:type="dxa"/>
          </w:tcPr>
          <w:p>
            <w:pPr>
              <w:pStyle w:val="0"/>
              <w:jc w:val="center"/>
            </w:pPr>
            <w:r>
              <w:rPr>
                <w:sz w:val="20"/>
              </w:rPr>
              <w:t xml:space="preserve">ГКУЗС "Дом ребенка",</w:t>
            </w:r>
          </w:p>
          <w:p>
            <w:pPr>
              <w:pStyle w:val="0"/>
              <w:jc w:val="center"/>
            </w:pPr>
            <w:r>
              <w:rPr>
                <w:sz w:val="20"/>
              </w:rPr>
              <w:t xml:space="preserve">III этап медицинской реабилитации</w:t>
            </w:r>
          </w:p>
        </w:tc>
      </w:tr>
      <w:tr>
        <w:tc>
          <w:tcPr>
            <w:tcW w:w="2835" w:type="dxa"/>
          </w:tcPr>
          <w:p>
            <w:pPr>
              <w:pStyle w:val="0"/>
              <w:jc w:val="both"/>
            </w:pPr>
            <w:r>
              <w:rPr>
                <w:sz w:val="20"/>
              </w:rPr>
              <w:t xml:space="preserve">Врач-невролог</w:t>
            </w:r>
          </w:p>
        </w:tc>
        <w:tc>
          <w:tcPr>
            <w:tcW w:w="1417" w:type="dxa"/>
          </w:tcPr>
          <w:p>
            <w:pPr>
              <w:pStyle w:val="0"/>
              <w:jc w:val="center"/>
            </w:pPr>
            <w:r>
              <w:rPr>
                <w:sz w:val="20"/>
              </w:rPr>
              <w:t xml:space="preserve">0,75</w:t>
            </w:r>
          </w:p>
        </w:tc>
        <w:tc>
          <w:tcPr>
            <w:tcW w:w="1034" w:type="dxa"/>
          </w:tcPr>
          <w:p>
            <w:pPr>
              <w:pStyle w:val="0"/>
              <w:jc w:val="center"/>
            </w:pPr>
            <w:r>
              <w:rPr>
                <w:sz w:val="20"/>
              </w:rPr>
              <w:t xml:space="preserve">0,75</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Врач-педиатр</w:t>
            </w:r>
          </w:p>
        </w:tc>
        <w:tc>
          <w:tcPr>
            <w:tcW w:w="1417" w:type="dxa"/>
          </w:tcPr>
          <w:p>
            <w:pPr>
              <w:pStyle w:val="0"/>
              <w:jc w:val="center"/>
            </w:pPr>
            <w:r>
              <w:rPr>
                <w:sz w:val="20"/>
              </w:rPr>
              <w:t xml:space="preserve">1,5</w:t>
            </w:r>
          </w:p>
        </w:tc>
        <w:tc>
          <w:tcPr>
            <w:tcW w:w="1034" w:type="dxa"/>
          </w:tcPr>
          <w:p>
            <w:pPr>
              <w:pStyle w:val="0"/>
              <w:jc w:val="center"/>
            </w:pPr>
            <w:r>
              <w:rPr>
                <w:sz w:val="20"/>
              </w:rPr>
              <w:t xml:space="preserve">1,5</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Врач физиотерапевт</w:t>
            </w:r>
          </w:p>
        </w:tc>
        <w:tc>
          <w:tcPr>
            <w:tcW w:w="1417" w:type="dxa"/>
          </w:tcPr>
          <w:p>
            <w:pPr>
              <w:pStyle w:val="0"/>
              <w:jc w:val="center"/>
            </w:pPr>
            <w:r>
              <w:rPr>
                <w:sz w:val="20"/>
              </w:rPr>
              <w:t xml:space="preserve">0,75</w:t>
            </w:r>
          </w:p>
        </w:tc>
        <w:tc>
          <w:tcPr>
            <w:tcW w:w="1034" w:type="dxa"/>
          </w:tcPr>
          <w:p>
            <w:pPr>
              <w:pStyle w:val="0"/>
              <w:jc w:val="center"/>
            </w:pPr>
            <w:r>
              <w:rPr>
                <w:sz w:val="20"/>
              </w:rPr>
              <w:t xml:space="preserve">0,75</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Средний медицинский персонал, всего, из них:</w:t>
            </w:r>
          </w:p>
        </w:tc>
        <w:tc>
          <w:tcPr>
            <w:tcW w:w="1417" w:type="dxa"/>
          </w:tcPr>
          <w:p>
            <w:pPr>
              <w:pStyle w:val="0"/>
              <w:jc w:val="center"/>
            </w:pPr>
            <w:r>
              <w:rPr>
                <w:sz w:val="20"/>
              </w:rPr>
              <w:t xml:space="preserve">5,5</w:t>
            </w:r>
          </w:p>
        </w:tc>
        <w:tc>
          <w:tcPr>
            <w:tcW w:w="1034" w:type="dxa"/>
          </w:tcPr>
          <w:p>
            <w:pPr>
              <w:pStyle w:val="0"/>
              <w:jc w:val="center"/>
            </w:pPr>
            <w:r>
              <w:rPr>
                <w:sz w:val="20"/>
              </w:rPr>
              <w:t xml:space="preserve">4,5</w:t>
            </w:r>
          </w:p>
        </w:tc>
        <w:tc>
          <w:tcPr>
            <w:tcW w:w="1445" w:type="dxa"/>
          </w:tcPr>
          <w:p>
            <w:pPr>
              <w:pStyle w:val="0"/>
              <w:jc w:val="center"/>
            </w:pPr>
            <w:r>
              <w:rPr>
                <w:sz w:val="20"/>
              </w:rPr>
              <w:t xml:space="preserve">5</w:t>
            </w:r>
          </w:p>
        </w:tc>
        <w:tc>
          <w:tcPr>
            <w:tcW w:w="2324" w:type="dxa"/>
          </w:tcPr>
          <w:p>
            <w:pPr>
              <w:pStyle w:val="0"/>
              <w:jc w:val="center"/>
            </w:pPr>
            <w:r>
              <w:rPr>
                <w:sz w:val="20"/>
              </w:rPr>
              <w:t xml:space="preserve">82</w:t>
            </w:r>
          </w:p>
        </w:tc>
      </w:tr>
      <w:tr>
        <w:tc>
          <w:tcPr>
            <w:tcW w:w="2835" w:type="dxa"/>
          </w:tcPr>
          <w:p>
            <w:pPr>
              <w:pStyle w:val="0"/>
              <w:jc w:val="both"/>
            </w:pPr>
            <w:r>
              <w:rPr>
                <w:sz w:val="20"/>
              </w:rPr>
              <w:t xml:space="preserve">м/с по массажу</w:t>
            </w:r>
          </w:p>
        </w:tc>
        <w:tc>
          <w:tcPr>
            <w:tcW w:w="1417" w:type="dxa"/>
          </w:tcPr>
          <w:p>
            <w:pPr>
              <w:pStyle w:val="0"/>
              <w:jc w:val="center"/>
            </w:pPr>
            <w:r>
              <w:rPr>
                <w:sz w:val="20"/>
              </w:rPr>
              <w:t xml:space="preserve">2</w:t>
            </w:r>
          </w:p>
        </w:tc>
        <w:tc>
          <w:tcPr>
            <w:tcW w:w="1034" w:type="dxa"/>
          </w:tcPr>
          <w:p>
            <w:pPr>
              <w:pStyle w:val="0"/>
              <w:jc w:val="center"/>
            </w:pPr>
            <w:r>
              <w:rPr>
                <w:sz w:val="20"/>
              </w:rPr>
              <w:t xml:space="preserve">2</w:t>
            </w:r>
          </w:p>
        </w:tc>
        <w:tc>
          <w:tcPr>
            <w:tcW w:w="1445" w:type="dxa"/>
          </w:tcPr>
          <w:p>
            <w:pPr>
              <w:pStyle w:val="0"/>
              <w:jc w:val="center"/>
            </w:pPr>
            <w:r>
              <w:rPr>
                <w:sz w:val="20"/>
              </w:rPr>
              <w:t xml:space="preserve">2</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инструктор ЛФК</w:t>
            </w:r>
          </w:p>
        </w:tc>
        <w:tc>
          <w:tcPr>
            <w:tcW w:w="1417" w:type="dxa"/>
          </w:tcPr>
          <w:p>
            <w:pPr>
              <w:pStyle w:val="0"/>
              <w:jc w:val="center"/>
            </w:pPr>
            <w:r>
              <w:rPr>
                <w:sz w:val="20"/>
              </w:rPr>
              <w:t xml:space="preserve">2</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50</w:t>
            </w:r>
          </w:p>
        </w:tc>
      </w:tr>
      <w:tr>
        <w:tc>
          <w:tcPr>
            <w:tcW w:w="2835" w:type="dxa"/>
          </w:tcPr>
          <w:p>
            <w:pPr>
              <w:pStyle w:val="0"/>
              <w:jc w:val="both"/>
            </w:pPr>
            <w:r>
              <w:rPr>
                <w:sz w:val="20"/>
              </w:rPr>
              <w:t xml:space="preserve">м/с по физиотерапии</w:t>
            </w:r>
          </w:p>
        </w:tc>
        <w:tc>
          <w:tcPr>
            <w:tcW w:w="1417" w:type="dxa"/>
          </w:tcPr>
          <w:p>
            <w:pPr>
              <w:pStyle w:val="0"/>
              <w:jc w:val="center"/>
            </w:pPr>
            <w:r>
              <w:rPr>
                <w:sz w:val="20"/>
              </w:rPr>
              <w:t xml:space="preserve">1,5</w:t>
            </w:r>
          </w:p>
        </w:tc>
        <w:tc>
          <w:tcPr>
            <w:tcW w:w="1034" w:type="dxa"/>
          </w:tcPr>
          <w:p>
            <w:pPr>
              <w:pStyle w:val="0"/>
              <w:jc w:val="center"/>
            </w:pPr>
            <w:r>
              <w:rPr>
                <w:sz w:val="20"/>
              </w:rPr>
              <w:t xml:space="preserve">1,5</w:t>
            </w:r>
          </w:p>
        </w:tc>
        <w:tc>
          <w:tcPr>
            <w:tcW w:w="1445" w:type="dxa"/>
          </w:tcPr>
          <w:p>
            <w:pPr>
              <w:pStyle w:val="0"/>
              <w:jc w:val="center"/>
            </w:pPr>
            <w:r>
              <w:rPr>
                <w:sz w:val="20"/>
              </w:rPr>
              <w:t xml:space="preserve">2</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Педагоги, всего</w:t>
            </w:r>
          </w:p>
        </w:tc>
        <w:tc>
          <w:tcPr>
            <w:tcW w:w="1417" w:type="dxa"/>
          </w:tcPr>
          <w:p>
            <w:pPr>
              <w:pStyle w:val="0"/>
              <w:jc w:val="center"/>
            </w:pPr>
            <w:r>
              <w:rPr>
                <w:sz w:val="20"/>
              </w:rPr>
              <w:t xml:space="preserve">3,75</w:t>
            </w:r>
          </w:p>
        </w:tc>
        <w:tc>
          <w:tcPr>
            <w:tcW w:w="1034" w:type="dxa"/>
          </w:tcPr>
          <w:p>
            <w:pPr>
              <w:pStyle w:val="0"/>
              <w:jc w:val="center"/>
            </w:pPr>
            <w:r>
              <w:rPr>
                <w:sz w:val="20"/>
              </w:rPr>
              <w:t xml:space="preserve">3,75</w:t>
            </w:r>
          </w:p>
        </w:tc>
        <w:tc>
          <w:tcPr>
            <w:tcW w:w="1445" w:type="dxa"/>
          </w:tcPr>
          <w:p>
            <w:pPr>
              <w:pStyle w:val="0"/>
              <w:jc w:val="center"/>
            </w:pPr>
            <w:r>
              <w:rPr>
                <w:sz w:val="20"/>
              </w:rPr>
              <w:t xml:space="preserve">4</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логопед</w:t>
            </w:r>
          </w:p>
        </w:tc>
        <w:tc>
          <w:tcPr>
            <w:tcW w:w="1417" w:type="dxa"/>
          </w:tcPr>
          <w:p>
            <w:pPr>
              <w:pStyle w:val="0"/>
              <w:jc w:val="center"/>
            </w:pPr>
            <w:r>
              <w:rPr>
                <w:sz w:val="20"/>
              </w:rPr>
              <w:t xml:space="preserve">2</w:t>
            </w:r>
          </w:p>
        </w:tc>
        <w:tc>
          <w:tcPr>
            <w:tcW w:w="1034" w:type="dxa"/>
          </w:tcPr>
          <w:p>
            <w:pPr>
              <w:pStyle w:val="0"/>
              <w:jc w:val="center"/>
            </w:pPr>
            <w:r>
              <w:rPr>
                <w:sz w:val="20"/>
              </w:rPr>
              <w:t xml:space="preserve">2</w:t>
            </w:r>
          </w:p>
        </w:tc>
        <w:tc>
          <w:tcPr>
            <w:tcW w:w="1445" w:type="dxa"/>
          </w:tcPr>
          <w:p>
            <w:pPr>
              <w:pStyle w:val="0"/>
              <w:jc w:val="center"/>
            </w:pPr>
            <w:r>
              <w:rPr>
                <w:sz w:val="20"/>
              </w:rPr>
              <w:t xml:space="preserve">2</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педагог-психолог</w:t>
            </w:r>
          </w:p>
        </w:tc>
        <w:tc>
          <w:tcPr>
            <w:tcW w:w="1417" w:type="dxa"/>
          </w:tcPr>
          <w:p>
            <w:pPr>
              <w:pStyle w:val="0"/>
              <w:jc w:val="center"/>
            </w:pPr>
            <w:r>
              <w:rPr>
                <w:sz w:val="20"/>
              </w:rPr>
              <w:t xml:space="preserve">0,75</w:t>
            </w:r>
          </w:p>
        </w:tc>
        <w:tc>
          <w:tcPr>
            <w:tcW w:w="1034" w:type="dxa"/>
          </w:tcPr>
          <w:p>
            <w:pPr>
              <w:pStyle w:val="0"/>
              <w:jc w:val="center"/>
            </w:pPr>
            <w:r>
              <w:rPr>
                <w:sz w:val="20"/>
              </w:rPr>
              <w:t xml:space="preserve">0,75</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учитель-дефектолог</w:t>
            </w:r>
          </w:p>
        </w:tc>
        <w:tc>
          <w:tcPr>
            <w:tcW w:w="1417" w:type="dxa"/>
          </w:tcPr>
          <w:p>
            <w:pPr>
              <w:pStyle w:val="0"/>
              <w:jc w:val="center"/>
            </w:pPr>
            <w:r>
              <w:rPr>
                <w:sz w:val="20"/>
              </w:rPr>
              <w:t xml:space="preserve">1</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gridSpan w:val="5"/>
            <w:tcW w:w="9055" w:type="dxa"/>
          </w:tcPr>
          <w:p>
            <w:pPr>
              <w:pStyle w:val="0"/>
              <w:jc w:val="center"/>
            </w:pPr>
            <w:r>
              <w:rPr>
                <w:sz w:val="20"/>
              </w:rPr>
              <w:t xml:space="preserve">Педиатрическое отделение N 2 ГБ N 5,</w:t>
            </w:r>
          </w:p>
          <w:p>
            <w:pPr>
              <w:pStyle w:val="0"/>
              <w:jc w:val="center"/>
            </w:pPr>
            <w:r>
              <w:rPr>
                <w:sz w:val="20"/>
              </w:rPr>
              <w:t xml:space="preserve">III этап медицинской реабилитации</w:t>
            </w:r>
          </w:p>
        </w:tc>
      </w:tr>
      <w:tr>
        <w:tc>
          <w:tcPr>
            <w:tcW w:w="2835" w:type="dxa"/>
          </w:tcPr>
          <w:p>
            <w:pPr>
              <w:pStyle w:val="0"/>
              <w:jc w:val="both"/>
            </w:pPr>
            <w:r>
              <w:rPr>
                <w:sz w:val="20"/>
              </w:rPr>
              <w:t xml:space="preserve">Врач-физиотерапевт</w:t>
            </w:r>
          </w:p>
        </w:tc>
        <w:tc>
          <w:tcPr>
            <w:tcW w:w="1417" w:type="dxa"/>
          </w:tcPr>
          <w:p>
            <w:pPr>
              <w:pStyle w:val="0"/>
              <w:jc w:val="center"/>
            </w:pPr>
            <w:r>
              <w:rPr>
                <w:sz w:val="20"/>
              </w:rPr>
              <w:t xml:space="preserve">3</w:t>
            </w:r>
          </w:p>
        </w:tc>
        <w:tc>
          <w:tcPr>
            <w:tcW w:w="1034" w:type="dxa"/>
          </w:tcPr>
          <w:p>
            <w:pPr>
              <w:pStyle w:val="0"/>
              <w:jc w:val="center"/>
            </w:pPr>
            <w:r>
              <w:rPr>
                <w:sz w:val="20"/>
              </w:rPr>
              <w:t xml:space="preserve">2,5</w:t>
            </w:r>
          </w:p>
        </w:tc>
        <w:tc>
          <w:tcPr>
            <w:tcW w:w="1445" w:type="dxa"/>
          </w:tcPr>
          <w:p>
            <w:pPr>
              <w:pStyle w:val="0"/>
              <w:jc w:val="center"/>
            </w:pPr>
            <w:r>
              <w:rPr>
                <w:sz w:val="20"/>
              </w:rPr>
              <w:t xml:space="preserve">3</w:t>
            </w:r>
          </w:p>
        </w:tc>
        <w:tc>
          <w:tcPr>
            <w:tcW w:w="2324" w:type="dxa"/>
          </w:tcPr>
          <w:p>
            <w:pPr>
              <w:pStyle w:val="0"/>
              <w:jc w:val="center"/>
            </w:pPr>
            <w:r>
              <w:rPr>
                <w:sz w:val="20"/>
              </w:rPr>
              <w:t xml:space="preserve">75</w:t>
            </w:r>
          </w:p>
        </w:tc>
      </w:tr>
      <w:tr>
        <w:tc>
          <w:tcPr>
            <w:tcW w:w="2835" w:type="dxa"/>
          </w:tcPr>
          <w:p>
            <w:pPr>
              <w:pStyle w:val="0"/>
              <w:jc w:val="both"/>
            </w:pPr>
            <w:r>
              <w:rPr>
                <w:sz w:val="20"/>
              </w:rPr>
              <w:t xml:space="preserve">Средний мед. персонал, всего, из них:</w:t>
            </w:r>
          </w:p>
        </w:tc>
        <w:tc>
          <w:tcPr>
            <w:tcW w:w="1417" w:type="dxa"/>
          </w:tcPr>
          <w:p>
            <w:pPr>
              <w:pStyle w:val="0"/>
              <w:jc w:val="center"/>
            </w:pPr>
            <w:r>
              <w:rPr>
                <w:sz w:val="20"/>
              </w:rPr>
              <w:t xml:space="preserve">29,5</w:t>
            </w:r>
          </w:p>
        </w:tc>
        <w:tc>
          <w:tcPr>
            <w:tcW w:w="1034" w:type="dxa"/>
          </w:tcPr>
          <w:p>
            <w:pPr>
              <w:pStyle w:val="0"/>
              <w:jc w:val="center"/>
            </w:pPr>
            <w:r>
              <w:rPr>
                <w:sz w:val="20"/>
              </w:rPr>
              <w:t xml:space="preserve">21,5</w:t>
            </w:r>
          </w:p>
        </w:tc>
        <w:tc>
          <w:tcPr>
            <w:tcW w:w="1445" w:type="dxa"/>
          </w:tcPr>
          <w:p>
            <w:pPr>
              <w:pStyle w:val="0"/>
              <w:jc w:val="center"/>
            </w:pPr>
            <w:r>
              <w:rPr>
                <w:sz w:val="20"/>
              </w:rPr>
              <w:t xml:space="preserve">23</w:t>
            </w:r>
          </w:p>
        </w:tc>
        <w:tc>
          <w:tcPr>
            <w:tcW w:w="2324" w:type="dxa"/>
          </w:tcPr>
          <w:p>
            <w:pPr>
              <w:pStyle w:val="0"/>
              <w:jc w:val="center"/>
            </w:pPr>
            <w:r>
              <w:rPr>
                <w:sz w:val="20"/>
              </w:rPr>
              <w:t xml:space="preserve">78</w:t>
            </w:r>
          </w:p>
        </w:tc>
      </w:tr>
      <w:tr>
        <w:tc>
          <w:tcPr>
            <w:tcW w:w="2835" w:type="dxa"/>
          </w:tcPr>
          <w:p>
            <w:pPr>
              <w:pStyle w:val="0"/>
              <w:jc w:val="both"/>
            </w:pPr>
            <w:r>
              <w:rPr>
                <w:sz w:val="20"/>
              </w:rPr>
              <w:t xml:space="preserve">общебольничный персонал (реабилитационная м/с)</w:t>
            </w:r>
          </w:p>
        </w:tc>
        <w:tc>
          <w:tcPr>
            <w:tcW w:w="1417" w:type="dxa"/>
          </w:tcPr>
          <w:p>
            <w:pPr>
              <w:pStyle w:val="0"/>
              <w:jc w:val="center"/>
            </w:pPr>
            <w:r>
              <w:rPr>
                <w:sz w:val="20"/>
              </w:rPr>
              <w:t xml:space="preserve">1</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м/с по физиотерапии</w:t>
            </w:r>
          </w:p>
        </w:tc>
        <w:tc>
          <w:tcPr>
            <w:tcW w:w="1417" w:type="dxa"/>
          </w:tcPr>
          <w:p>
            <w:pPr>
              <w:pStyle w:val="0"/>
              <w:jc w:val="center"/>
            </w:pPr>
            <w:r>
              <w:rPr>
                <w:sz w:val="20"/>
              </w:rPr>
              <w:t xml:space="preserve">23</w:t>
            </w:r>
          </w:p>
        </w:tc>
        <w:tc>
          <w:tcPr>
            <w:tcW w:w="1034" w:type="dxa"/>
          </w:tcPr>
          <w:p>
            <w:pPr>
              <w:pStyle w:val="0"/>
              <w:jc w:val="center"/>
            </w:pPr>
            <w:r>
              <w:rPr>
                <w:sz w:val="20"/>
              </w:rPr>
              <w:t xml:space="preserve">15</w:t>
            </w:r>
          </w:p>
        </w:tc>
        <w:tc>
          <w:tcPr>
            <w:tcW w:w="1445" w:type="dxa"/>
          </w:tcPr>
          <w:p>
            <w:pPr>
              <w:pStyle w:val="0"/>
              <w:jc w:val="center"/>
            </w:pPr>
            <w:r>
              <w:rPr>
                <w:sz w:val="20"/>
              </w:rPr>
              <w:t xml:space="preserve">16</w:t>
            </w:r>
          </w:p>
        </w:tc>
        <w:tc>
          <w:tcPr>
            <w:tcW w:w="2324" w:type="dxa"/>
          </w:tcPr>
          <w:p>
            <w:pPr>
              <w:pStyle w:val="0"/>
              <w:jc w:val="center"/>
            </w:pPr>
            <w:r>
              <w:rPr>
                <w:sz w:val="20"/>
              </w:rPr>
              <w:t xml:space="preserve">65</w:t>
            </w:r>
          </w:p>
        </w:tc>
      </w:tr>
      <w:tr>
        <w:tc>
          <w:tcPr>
            <w:tcW w:w="2835" w:type="dxa"/>
          </w:tcPr>
          <w:p>
            <w:pPr>
              <w:pStyle w:val="0"/>
              <w:jc w:val="both"/>
            </w:pPr>
            <w:r>
              <w:rPr>
                <w:sz w:val="20"/>
              </w:rPr>
              <w:t xml:space="preserve">м/с по массажу</w:t>
            </w:r>
          </w:p>
        </w:tc>
        <w:tc>
          <w:tcPr>
            <w:tcW w:w="1417" w:type="dxa"/>
          </w:tcPr>
          <w:p>
            <w:pPr>
              <w:pStyle w:val="0"/>
              <w:jc w:val="center"/>
            </w:pPr>
            <w:r>
              <w:rPr>
                <w:sz w:val="20"/>
              </w:rPr>
              <w:t xml:space="preserve">9</w:t>
            </w:r>
          </w:p>
        </w:tc>
        <w:tc>
          <w:tcPr>
            <w:tcW w:w="1034" w:type="dxa"/>
          </w:tcPr>
          <w:p>
            <w:pPr>
              <w:pStyle w:val="0"/>
              <w:jc w:val="center"/>
            </w:pPr>
            <w:r>
              <w:rPr>
                <w:sz w:val="20"/>
              </w:rPr>
              <w:t xml:space="preserve">8</w:t>
            </w:r>
          </w:p>
        </w:tc>
        <w:tc>
          <w:tcPr>
            <w:tcW w:w="1445" w:type="dxa"/>
          </w:tcPr>
          <w:p>
            <w:pPr>
              <w:pStyle w:val="0"/>
              <w:jc w:val="center"/>
            </w:pPr>
            <w:r>
              <w:rPr>
                <w:sz w:val="20"/>
              </w:rPr>
              <w:t xml:space="preserve">8</w:t>
            </w:r>
          </w:p>
        </w:tc>
        <w:tc>
          <w:tcPr>
            <w:tcW w:w="2324" w:type="dxa"/>
          </w:tcPr>
          <w:p>
            <w:pPr>
              <w:pStyle w:val="0"/>
              <w:jc w:val="center"/>
            </w:pPr>
            <w:r>
              <w:rPr>
                <w:sz w:val="20"/>
              </w:rPr>
              <w:t xml:space="preserve">89</w:t>
            </w:r>
          </w:p>
        </w:tc>
      </w:tr>
      <w:tr>
        <w:tc>
          <w:tcPr>
            <w:tcW w:w="2835" w:type="dxa"/>
          </w:tcPr>
          <w:p>
            <w:pPr>
              <w:pStyle w:val="0"/>
              <w:jc w:val="both"/>
            </w:pPr>
            <w:r>
              <w:rPr>
                <w:sz w:val="20"/>
              </w:rPr>
              <w:t xml:space="preserve">инструктор ЛФК</w:t>
            </w:r>
          </w:p>
        </w:tc>
        <w:tc>
          <w:tcPr>
            <w:tcW w:w="1417" w:type="dxa"/>
          </w:tcPr>
          <w:p>
            <w:pPr>
              <w:pStyle w:val="0"/>
              <w:jc w:val="center"/>
            </w:pPr>
            <w:r>
              <w:rPr>
                <w:sz w:val="20"/>
              </w:rPr>
              <w:t xml:space="preserve">2</w:t>
            </w:r>
          </w:p>
        </w:tc>
        <w:tc>
          <w:tcPr>
            <w:tcW w:w="1034" w:type="dxa"/>
          </w:tcPr>
          <w:p>
            <w:pPr>
              <w:pStyle w:val="0"/>
              <w:jc w:val="center"/>
            </w:pPr>
            <w:r>
              <w:rPr>
                <w:sz w:val="20"/>
              </w:rPr>
              <w:t xml:space="preserve">2</w:t>
            </w:r>
          </w:p>
        </w:tc>
        <w:tc>
          <w:tcPr>
            <w:tcW w:w="1445" w:type="dxa"/>
          </w:tcPr>
          <w:p>
            <w:pPr>
              <w:pStyle w:val="0"/>
              <w:jc w:val="center"/>
            </w:pPr>
            <w:r>
              <w:rPr>
                <w:sz w:val="20"/>
              </w:rPr>
              <w:t xml:space="preserve">2</w:t>
            </w:r>
          </w:p>
        </w:tc>
        <w:tc>
          <w:tcPr>
            <w:tcW w:w="2324" w:type="dxa"/>
          </w:tcPr>
          <w:p>
            <w:pPr>
              <w:pStyle w:val="0"/>
              <w:jc w:val="center"/>
            </w:pPr>
            <w:r>
              <w:rPr>
                <w:sz w:val="20"/>
              </w:rPr>
              <w:t xml:space="preserve">100</w:t>
            </w:r>
          </w:p>
        </w:tc>
      </w:tr>
      <w:tr>
        <w:tc>
          <w:tcPr>
            <w:tcW w:w="2835" w:type="dxa"/>
          </w:tcPr>
          <w:p>
            <w:pPr>
              <w:pStyle w:val="0"/>
              <w:jc w:val="both"/>
            </w:pPr>
            <w:r>
              <w:rPr>
                <w:sz w:val="20"/>
              </w:rPr>
              <w:t xml:space="preserve">Специалисты с высшим немедицинским образованием, из них:</w:t>
            </w:r>
          </w:p>
        </w:tc>
        <w:tc>
          <w:tcPr>
            <w:tcW w:w="1417" w:type="dxa"/>
          </w:tcPr>
          <w:p>
            <w:pPr>
              <w:pStyle w:val="0"/>
              <w:jc w:val="center"/>
            </w:pPr>
            <w:r>
              <w:rPr>
                <w:sz w:val="20"/>
              </w:rPr>
              <w:t xml:space="preserve">1</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r>
        <w:tc>
          <w:tcPr>
            <w:tcW w:w="2835" w:type="dxa"/>
          </w:tcPr>
          <w:p>
            <w:pPr>
              <w:pStyle w:val="0"/>
              <w:jc w:val="both"/>
            </w:pPr>
            <w:r>
              <w:rPr>
                <w:sz w:val="20"/>
              </w:rPr>
              <w:t xml:space="preserve">инструктор-методист ЛФК</w:t>
            </w:r>
          </w:p>
        </w:tc>
        <w:tc>
          <w:tcPr>
            <w:tcW w:w="1417" w:type="dxa"/>
          </w:tcPr>
          <w:p>
            <w:pPr>
              <w:pStyle w:val="0"/>
              <w:jc w:val="center"/>
            </w:pPr>
            <w:r>
              <w:rPr>
                <w:sz w:val="20"/>
              </w:rPr>
              <w:t xml:space="preserve">1</w:t>
            </w:r>
          </w:p>
        </w:tc>
        <w:tc>
          <w:tcPr>
            <w:tcW w:w="1034" w:type="dxa"/>
          </w:tcPr>
          <w:p>
            <w:pPr>
              <w:pStyle w:val="0"/>
              <w:jc w:val="center"/>
            </w:pPr>
            <w:r>
              <w:rPr>
                <w:sz w:val="20"/>
              </w:rPr>
              <w:t xml:space="preserve">1</w:t>
            </w:r>
          </w:p>
        </w:tc>
        <w:tc>
          <w:tcPr>
            <w:tcW w:w="1445" w:type="dxa"/>
          </w:tcPr>
          <w:p>
            <w:pPr>
              <w:pStyle w:val="0"/>
              <w:jc w:val="center"/>
            </w:pPr>
            <w:r>
              <w:rPr>
                <w:sz w:val="20"/>
              </w:rPr>
              <w:t xml:space="preserve">1</w:t>
            </w:r>
          </w:p>
        </w:tc>
        <w:tc>
          <w:tcPr>
            <w:tcW w:w="2324" w:type="dxa"/>
          </w:tcPr>
          <w:p>
            <w:pPr>
              <w:pStyle w:val="0"/>
              <w:jc w:val="center"/>
            </w:pPr>
            <w:r>
              <w:rPr>
                <w:sz w:val="20"/>
              </w:rPr>
              <w:t xml:space="preserve">100</w:t>
            </w:r>
          </w:p>
        </w:tc>
      </w:tr>
    </w:tbl>
    <w:p>
      <w:pPr>
        <w:pStyle w:val="0"/>
        <w:ind w:firstLine="540"/>
        <w:jc w:val="both"/>
      </w:pPr>
      <w:r>
        <w:rPr>
          <w:sz w:val="20"/>
        </w:rPr>
      </w:r>
    </w:p>
    <w:p>
      <w:pPr>
        <w:pStyle w:val="0"/>
        <w:ind w:firstLine="540"/>
        <w:jc w:val="both"/>
      </w:pPr>
      <w:r>
        <w:rPr>
          <w:sz w:val="20"/>
        </w:rPr>
        <w:t xml:space="preserve">Укомплектованность профильной службы для медицинской реабилитации взрослого населения по состоянию на январь 2021 г. составляет:</w:t>
      </w:r>
    </w:p>
    <w:p>
      <w:pPr>
        <w:pStyle w:val="0"/>
        <w:spacing w:before="200" w:line-rule="auto"/>
        <w:ind w:firstLine="540"/>
        <w:jc w:val="both"/>
      </w:pPr>
      <w:r>
        <w:rPr>
          <w:sz w:val="20"/>
        </w:rPr>
        <w:t xml:space="preserve">- врач по медицинской реабилитации: 0%;</w:t>
      </w:r>
    </w:p>
    <w:p>
      <w:pPr>
        <w:pStyle w:val="0"/>
        <w:spacing w:before="200" w:line-rule="auto"/>
        <w:ind w:firstLine="540"/>
        <w:jc w:val="both"/>
      </w:pPr>
      <w:r>
        <w:rPr>
          <w:sz w:val="20"/>
        </w:rPr>
        <w:t xml:space="preserve">- врач ЛФК: в ГБ N 1 - 30%, в ГБ N 9 - 100%, в ГБ N 4 - 0%;</w:t>
      </w:r>
    </w:p>
    <w:p>
      <w:pPr>
        <w:pStyle w:val="0"/>
        <w:spacing w:before="200" w:line-rule="auto"/>
        <w:ind w:firstLine="540"/>
        <w:jc w:val="both"/>
      </w:pPr>
      <w:r>
        <w:rPr>
          <w:sz w:val="20"/>
        </w:rPr>
        <w:t xml:space="preserve">- врач-физиотерапевт: средняя укомплектованность - 70%, в ГБ N 1 - 60%, в ГБ N 9 - 50%, в ГБ N 4 - 0%;</w:t>
      </w:r>
    </w:p>
    <w:p>
      <w:pPr>
        <w:pStyle w:val="0"/>
        <w:spacing w:before="200" w:line-rule="auto"/>
        <w:ind w:firstLine="540"/>
        <w:jc w:val="both"/>
      </w:pPr>
      <w:r>
        <w:rPr>
          <w:sz w:val="20"/>
        </w:rPr>
        <w:t xml:space="preserve">- врач-психотерапевт: в ГБ N 1 - 100%, в ГБ N 9 - 0% (ставка не предусмотрена), в ГБ N 4 - 0%.</w:t>
      </w:r>
    </w:p>
    <w:p>
      <w:pPr>
        <w:pStyle w:val="0"/>
        <w:spacing w:before="200" w:line-rule="auto"/>
        <w:ind w:firstLine="540"/>
        <w:jc w:val="both"/>
      </w:pPr>
      <w:r>
        <w:rPr>
          <w:sz w:val="20"/>
        </w:rPr>
        <w:t xml:space="preserve">Отсутствуют штатные единицы: врач по физической и реабилитационной медицине, врач-рефлексотерапевт;</w:t>
      </w:r>
    </w:p>
    <w:p>
      <w:pPr>
        <w:pStyle w:val="0"/>
        <w:spacing w:before="200" w:line-rule="auto"/>
        <w:ind w:firstLine="540"/>
        <w:jc w:val="both"/>
      </w:pPr>
      <w:r>
        <w:rPr>
          <w:sz w:val="20"/>
        </w:rPr>
        <w:t xml:space="preserve">- инструктор по ЛФК: в ГБ N 1 - 36%, в ГБ N 9 - 25%, в ГБ N 4 ставки инструктора ЛФК не предусмотрены штатным расписанием;</w:t>
      </w:r>
    </w:p>
    <w:p>
      <w:pPr>
        <w:pStyle w:val="0"/>
        <w:spacing w:before="200" w:line-rule="auto"/>
        <w:ind w:firstLine="540"/>
        <w:jc w:val="both"/>
      </w:pPr>
      <w:r>
        <w:rPr>
          <w:sz w:val="20"/>
        </w:rPr>
        <w:t xml:space="preserve">- медицинская сестра по массажу: в ГБ N 1 - 76%, в ГБ N 9 - 60%, в ГБ N 4 - 88%;</w:t>
      </w:r>
    </w:p>
    <w:p>
      <w:pPr>
        <w:pStyle w:val="0"/>
        <w:spacing w:before="200" w:line-rule="auto"/>
        <w:ind w:firstLine="540"/>
        <w:jc w:val="both"/>
      </w:pPr>
      <w:r>
        <w:rPr>
          <w:sz w:val="20"/>
        </w:rPr>
        <w:t xml:space="preserve">- медицинская сестра ФТО: в ГБ N 1 - 74%, в ГБ N 9 - 72%, в ГБ N 4 - 76%.</w:t>
      </w:r>
    </w:p>
    <w:p>
      <w:pPr>
        <w:pStyle w:val="0"/>
        <w:spacing w:before="200" w:line-rule="auto"/>
        <w:ind w:firstLine="540"/>
        <w:jc w:val="both"/>
      </w:pPr>
      <w:r>
        <w:rPr>
          <w:sz w:val="20"/>
        </w:rPr>
        <w:t xml:space="preserve">Отсутствуют штатные единицы медицинских сестер по медицинской реабилитации.</w:t>
      </w:r>
    </w:p>
    <w:p>
      <w:pPr>
        <w:pStyle w:val="0"/>
        <w:spacing w:before="200" w:line-rule="auto"/>
        <w:ind w:firstLine="540"/>
        <w:jc w:val="both"/>
      </w:pPr>
      <w:r>
        <w:rPr>
          <w:sz w:val="20"/>
        </w:rPr>
        <w:t xml:space="preserve">Специалисты с высшим немедицинским образованием:</w:t>
      </w:r>
    </w:p>
    <w:p>
      <w:pPr>
        <w:pStyle w:val="0"/>
        <w:spacing w:before="200" w:line-rule="auto"/>
        <w:ind w:firstLine="540"/>
        <w:jc w:val="both"/>
      </w:pPr>
      <w:r>
        <w:rPr>
          <w:sz w:val="20"/>
        </w:rPr>
        <w:t xml:space="preserve">- логопед: в ГБ N 1 - 50%, в ГБ N 4 - 100%.</w:t>
      </w:r>
    </w:p>
    <w:p>
      <w:pPr>
        <w:pStyle w:val="0"/>
        <w:spacing w:before="200" w:line-rule="auto"/>
        <w:ind w:firstLine="540"/>
        <w:jc w:val="both"/>
      </w:pPr>
      <w:r>
        <w:rPr>
          <w:sz w:val="20"/>
        </w:rPr>
        <w:t xml:space="preserve">Отсутствуют штатные единицы: медицинский логопед, психолог, медицинский психолог, специалист по эргореабилитации.</w:t>
      </w:r>
    </w:p>
    <w:p>
      <w:pPr>
        <w:pStyle w:val="0"/>
        <w:spacing w:before="200" w:line-rule="auto"/>
        <w:ind w:firstLine="540"/>
        <w:jc w:val="both"/>
      </w:pPr>
      <w:r>
        <w:rPr>
          <w:sz w:val="20"/>
        </w:rPr>
        <w:t xml:space="preserve">Кадровый состав отделений медицинской реабилитации не соответствует </w:t>
      </w:r>
      <w:hyperlink w:history="0" r:id="rId1024"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приказу</w:t>
        </w:r>
      </w:hyperlink>
      <w:r>
        <w:rPr>
          <w:sz w:val="20"/>
        </w:rPr>
        <w:t xml:space="preserve"> Министерства здравоохранения Российской Федерации от 31.07.2020 N 788н "Об утверждении Порядка организации медицинской реабилитации взрослых".</w:t>
      </w:r>
    </w:p>
    <w:p>
      <w:pPr>
        <w:pStyle w:val="0"/>
        <w:spacing w:before="200" w:line-rule="auto"/>
        <w:ind w:firstLine="540"/>
        <w:jc w:val="both"/>
      </w:pPr>
      <w:r>
        <w:rPr>
          <w:sz w:val="20"/>
        </w:rPr>
        <w:t xml:space="preserve">Укомплектованность профильной службы для детского населения по состоянию на январь 2021 г. составляет:</w:t>
      </w:r>
    </w:p>
    <w:p>
      <w:pPr>
        <w:pStyle w:val="0"/>
        <w:spacing w:before="200" w:line-rule="auto"/>
        <w:ind w:firstLine="540"/>
        <w:jc w:val="both"/>
      </w:pPr>
      <w:r>
        <w:rPr>
          <w:sz w:val="20"/>
        </w:rPr>
        <w:t xml:space="preserve">- врач по медицинской реабилитации (врач ФРМ): 0%;</w:t>
      </w:r>
    </w:p>
    <w:p>
      <w:pPr>
        <w:pStyle w:val="0"/>
        <w:spacing w:before="200" w:line-rule="auto"/>
        <w:ind w:firstLine="540"/>
        <w:jc w:val="both"/>
      </w:pPr>
      <w:r>
        <w:rPr>
          <w:sz w:val="20"/>
        </w:rPr>
        <w:t xml:space="preserve">- врачи-специалисты, обученные по программе повышения квалификации по специальности "медицинская реабилитация": 64%;</w:t>
      </w:r>
    </w:p>
    <w:p>
      <w:pPr>
        <w:pStyle w:val="0"/>
        <w:spacing w:before="200" w:line-rule="auto"/>
        <w:ind w:firstLine="540"/>
        <w:jc w:val="both"/>
      </w:pPr>
      <w:r>
        <w:rPr>
          <w:sz w:val="20"/>
        </w:rPr>
        <w:t xml:space="preserve">- врач ЛФК: в ГБ N 9 - 100%, в ГБ N 4 - 0%, в ГБ N 5 - 33%;</w:t>
      </w:r>
    </w:p>
    <w:p>
      <w:pPr>
        <w:pStyle w:val="0"/>
        <w:spacing w:before="200" w:line-rule="auto"/>
        <w:ind w:firstLine="540"/>
        <w:jc w:val="both"/>
      </w:pPr>
      <w:r>
        <w:rPr>
          <w:sz w:val="20"/>
        </w:rPr>
        <w:t xml:space="preserve">- врач-физиотерапевт: в ГБ N 9 - 50%, в ГБ N 4 - 0%, в ГБ N 5 - 78%;</w:t>
      </w:r>
    </w:p>
    <w:p>
      <w:pPr>
        <w:pStyle w:val="0"/>
        <w:spacing w:before="200" w:line-rule="auto"/>
        <w:ind w:firstLine="540"/>
        <w:jc w:val="both"/>
      </w:pPr>
      <w:r>
        <w:rPr>
          <w:sz w:val="20"/>
        </w:rPr>
        <w:t xml:space="preserve">- врач-психотерапевт: в ГБ N 9 - 0% (ставка не предусмотрена), в ГБ N 4 - 0%, в ГБ N 5 - 100%;</w:t>
      </w:r>
    </w:p>
    <w:p>
      <w:pPr>
        <w:pStyle w:val="0"/>
        <w:spacing w:before="200" w:line-rule="auto"/>
        <w:ind w:firstLine="540"/>
        <w:jc w:val="both"/>
      </w:pPr>
      <w:r>
        <w:rPr>
          <w:sz w:val="20"/>
        </w:rPr>
        <w:t xml:space="preserve">- врач-рефлексотерапевт: в ГБ N 5 - 100%.</w:t>
      </w:r>
    </w:p>
    <w:p>
      <w:pPr>
        <w:pStyle w:val="0"/>
        <w:spacing w:before="200" w:line-rule="auto"/>
        <w:ind w:firstLine="540"/>
        <w:jc w:val="both"/>
      </w:pPr>
      <w:r>
        <w:rPr>
          <w:sz w:val="20"/>
        </w:rPr>
        <w:t xml:space="preserve">Отсутствуют штатные единицы: врач по физической и реабилитационной медицине;</w:t>
      </w:r>
    </w:p>
    <w:p>
      <w:pPr>
        <w:pStyle w:val="0"/>
        <w:spacing w:before="200" w:line-rule="auto"/>
        <w:ind w:firstLine="540"/>
        <w:jc w:val="both"/>
      </w:pPr>
      <w:r>
        <w:rPr>
          <w:sz w:val="20"/>
        </w:rPr>
        <w:t xml:space="preserve">- инструктор по ЛФК: в ГБ N 9 - 25%, в ГБ N 4 - 0% (ставки инструктора ЛФК не предусмотрены штатным расписанием), в ГБ N 5 - 87,5%;</w:t>
      </w:r>
    </w:p>
    <w:p>
      <w:pPr>
        <w:pStyle w:val="0"/>
        <w:spacing w:before="200" w:line-rule="auto"/>
        <w:ind w:firstLine="540"/>
        <w:jc w:val="both"/>
      </w:pPr>
      <w:r>
        <w:rPr>
          <w:sz w:val="20"/>
        </w:rPr>
        <w:t xml:space="preserve">- медицинская сестра по массажу: в ГБ N 9 - 60%, в ГБ N 4 - 88%, в ГБ N 5 - 75%;</w:t>
      </w:r>
    </w:p>
    <w:p>
      <w:pPr>
        <w:pStyle w:val="0"/>
        <w:spacing w:before="200" w:line-rule="auto"/>
        <w:ind w:firstLine="540"/>
        <w:jc w:val="both"/>
      </w:pPr>
      <w:r>
        <w:rPr>
          <w:sz w:val="20"/>
        </w:rPr>
        <w:t xml:space="preserve">- медицинская сестра ФТО: в ГБ N 9 - 72%, в ГБ N 4 - 76%, в ГБ N 5 - 70%.</w:t>
      </w:r>
    </w:p>
    <w:p>
      <w:pPr>
        <w:pStyle w:val="0"/>
        <w:spacing w:before="200" w:line-rule="auto"/>
        <w:ind w:firstLine="540"/>
        <w:jc w:val="both"/>
      </w:pPr>
      <w:r>
        <w:rPr>
          <w:sz w:val="20"/>
        </w:rPr>
        <w:t xml:space="preserve">Отсутствуют штатные единицы специалистов по специальностям: "реабилитационное сестринское дело", "кинезотерапевт".</w:t>
      </w:r>
    </w:p>
    <w:p>
      <w:pPr>
        <w:pStyle w:val="0"/>
        <w:spacing w:before="200" w:line-rule="auto"/>
        <w:ind w:firstLine="540"/>
        <w:jc w:val="both"/>
      </w:pPr>
      <w:r>
        <w:rPr>
          <w:sz w:val="20"/>
        </w:rPr>
        <w:t xml:space="preserve">Специалисты с высшим немедицинским образованием:</w:t>
      </w:r>
    </w:p>
    <w:p>
      <w:pPr>
        <w:pStyle w:val="0"/>
        <w:spacing w:before="200" w:line-rule="auto"/>
        <w:ind w:firstLine="540"/>
        <w:jc w:val="both"/>
      </w:pPr>
      <w:r>
        <w:rPr>
          <w:sz w:val="20"/>
        </w:rPr>
        <w:t xml:space="preserve">- логопед: в ГБ N 5 - 100%, в ГБ N 4 - 100%;</w:t>
      </w:r>
    </w:p>
    <w:p>
      <w:pPr>
        <w:pStyle w:val="0"/>
        <w:spacing w:before="200" w:line-rule="auto"/>
        <w:ind w:firstLine="540"/>
        <w:jc w:val="both"/>
      </w:pPr>
      <w:r>
        <w:rPr>
          <w:sz w:val="20"/>
        </w:rPr>
        <w:t xml:space="preserve">- медицинский психолог: в ГБ N 5 - 100%.</w:t>
      </w:r>
    </w:p>
    <w:p>
      <w:pPr>
        <w:pStyle w:val="0"/>
        <w:spacing w:before="200" w:line-rule="auto"/>
        <w:ind w:firstLine="540"/>
        <w:jc w:val="both"/>
      </w:pPr>
      <w:r>
        <w:rPr>
          <w:sz w:val="20"/>
        </w:rPr>
        <w:t xml:space="preserve">Отсутствуют штатные единицы: медицинский логопед, специалист по эргореабилитации.</w:t>
      </w:r>
    </w:p>
    <w:p>
      <w:pPr>
        <w:pStyle w:val="0"/>
        <w:spacing w:before="200" w:line-rule="auto"/>
        <w:ind w:firstLine="540"/>
        <w:jc w:val="both"/>
      </w:pPr>
      <w:r>
        <w:rPr>
          <w:sz w:val="20"/>
        </w:rPr>
        <w:t xml:space="preserve">По состоянию на 01.01.2022 потребность детской реабилитационной службы города Севастополя составляет шесть врачей ФРМ. В 2022 году запланирована профпереподготовка двух врачей по специальности "физическая и реабилитационная медицина". В настоящее время два врача ГБ N 5 осуществляют профпереподготовку по специальности "врач физической и реабилитационной медицины". В 2023 году запланирована профпереподготовка четырех врачей. Три медицинские сестры прошли профпереподготовку по специальности "реабилитационное сестринское дело".</w:t>
      </w:r>
    </w:p>
    <w:p>
      <w:pPr>
        <w:pStyle w:val="0"/>
        <w:jc w:val="center"/>
      </w:pPr>
      <w:r>
        <w:rPr>
          <w:sz w:val="20"/>
        </w:rPr>
      </w:r>
    </w:p>
    <w:p>
      <w:pPr>
        <w:pStyle w:val="0"/>
        <w:jc w:val="center"/>
      </w:pPr>
      <w:r>
        <w:rPr>
          <w:sz w:val="20"/>
        </w:rPr>
        <w:t xml:space="preserve">1.7. Региональные нормативные правовые акты,</w:t>
      </w:r>
    </w:p>
    <w:p>
      <w:pPr>
        <w:pStyle w:val="0"/>
        <w:jc w:val="center"/>
      </w:pPr>
      <w:r>
        <w:rPr>
          <w:sz w:val="20"/>
        </w:rPr>
        <w:t xml:space="preserve">регламентирующие организацию медицинской помощи по профилю</w:t>
      </w:r>
    </w:p>
    <w:p>
      <w:pPr>
        <w:pStyle w:val="0"/>
        <w:jc w:val="center"/>
      </w:pPr>
      <w:r>
        <w:rPr>
          <w:sz w:val="20"/>
        </w:rPr>
        <w:t xml:space="preserve">"медицинская реабилитация" в городе Севастополе</w:t>
      </w:r>
    </w:p>
    <w:p>
      <w:pPr>
        <w:pStyle w:val="0"/>
        <w:jc w:val="center"/>
      </w:pPr>
      <w:r>
        <w:rPr>
          <w:sz w:val="20"/>
        </w:rPr>
      </w:r>
    </w:p>
    <w:p>
      <w:pPr>
        <w:pStyle w:val="0"/>
        <w:ind w:firstLine="540"/>
        <w:jc w:val="both"/>
      </w:pPr>
      <w:r>
        <w:rPr>
          <w:sz w:val="20"/>
        </w:rPr>
        <w:t xml:space="preserve">1.7.1. Постановление Правительства Севастополя от 23.12.2021 N 697-ПП "Об утверждении государственной программы города Севастополя "Развитие здравоохранения в городе Севастополе".</w:t>
      </w:r>
    </w:p>
    <w:p>
      <w:pPr>
        <w:pStyle w:val="0"/>
        <w:spacing w:before="200" w:line-rule="auto"/>
        <w:ind w:firstLine="540"/>
        <w:jc w:val="both"/>
      </w:pPr>
      <w:r>
        <w:rPr>
          <w:sz w:val="20"/>
        </w:rPr>
        <w:t xml:space="preserve">1.7.2. </w:t>
      </w:r>
      <w:hyperlink w:history="0" r:id="rId1025" w:tooltip="Постановление Правительства Севастополя от 26.03.2020 N 83-ПП (ред. от 14.05.2021) &quot;Об утверждении Порядка расходования средств бюджета города Севастополя и субсидии, предоставленной из федерального бюджета бюджету города Севастополя на реализацию мероприятий по формированию системы комплексной реабилитации и абилитации инвалидов, в том числе детей-инвалидов&quot; ------------ Недействующая редакция {КонсультантПлюс}">
        <w:r>
          <w:rPr>
            <w:sz w:val="20"/>
            <w:color w:val="0000ff"/>
          </w:rPr>
          <w:t xml:space="preserve">Постановление</w:t>
        </w:r>
      </w:hyperlink>
      <w:r>
        <w:rPr>
          <w:sz w:val="20"/>
        </w:rPr>
        <w:t xml:space="preserve"> Правительства Севастополя от 26.03.2020 N 83-ПП (ред. от 14.05.2021) "Об утверждении Порядка расходования средств бюджета города Севастополя и субсидии, предоставленной из федерального бюджета бюджету города Севастополя на реализацию мероприятий по формированию системы комплексной реабилитации и абилитации инвалидов, в том числе детей-инвалидов".</w:t>
      </w:r>
    </w:p>
    <w:p>
      <w:pPr>
        <w:pStyle w:val="0"/>
        <w:spacing w:before="200" w:line-rule="auto"/>
        <w:ind w:firstLine="540"/>
        <w:jc w:val="both"/>
      </w:pPr>
      <w:r>
        <w:rPr>
          <w:sz w:val="20"/>
        </w:rPr>
        <w:t xml:space="preserve">1.7.3. Приказами Департамента здравоохранения города Севастополя от 24.11.2016 N 1539 "Об организации медицинской реабилитации детей с нарушением функции центральной нервной системы, периферической нервной системы и опорно-двигательного аппарата, в том числе детей-инвалидов", от 21.09.2022 N 1053 "Об утверждении Порядка организации медицинской реабилитации несовершеннолетних в городе Севастополе" утверждены Порядок организации медицинской реабилитации детей с нарушением функции центральной нервной системы, периферической нервной системы и опорно-двигательного аппарата, в том числе детей-инвалидов, показания и противопоказания к медицинской реабилитации, определен порядок направления на каждый этап медицинской реабилитации.</w:t>
      </w:r>
    </w:p>
    <w:p>
      <w:pPr>
        <w:pStyle w:val="0"/>
        <w:spacing w:before="200" w:line-rule="auto"/>
        <w:ind w:firstLine="540"/>
        <w:jc w:val="both"/>
      </w:pPr>
      <w:r>
        <w:rPr>
          <w:sz w:val="20"/>
        </w:rPr>
        <w:t xml:space="preserve">1.7.4. </w:t>
      </w:r>
      <w:hyperlink w:history="0" r:id="rId1026" w:tooltip="Приказ Департамента здравоохранения г. Севастополя от 30.12.2019 N 1399 &quot;Об организации городского кабинета ранней помощи&quot; (вместе с &quot;Положением о городском кабинете ранней помощи&quot;, &quot;Перечнем медицинских организаций города Севастополя, участвующих в оказании услуг ранней помощи детям и их семьям&quot;, &quot;Перечнем медицинских услуг ранней помощи&quot;) {КонсультантПлюс}">
        <w:r>
          <w:rPr>
            <w:sz w:val="20"/>
            <w:color w:val="0000ff"/>
          </w:rPr>
          <w:t xml:space="preserve">Приказом</w:t>
        </w:r>
      </w:hyperlink>
      <w:r>
        <w:rPr>
          <w:sz w:val="20"/>
        </w:rPr>
        <w:t xml:space="preserve"> Департамента здравоохранения города Севастополя от 30.12.2019 N 1399 "Об организации городского кабинета ранней помощи" утверждено положение о городском кабинете ранней помощи и определен порядок реабилитации детей первых трех лет жизни.</w:t>
      </w:r>
    </w:p>
    <w:p>
      <w:pPr>
        <w:pStyle w:val="0"/>
        <w:spacing w:before="200" w:line-rule="auto"/>
        <w:ind w:firstLine="540"/>
        <w:jc w:val="both"/>
      </w:pPr>
      <w:r>
        <w:rPr>
          <w:sz w:val="20"/>
        </w:rPr>
        <w:t xml:space="preserve">1.7.5. Приказ Департамента здравоохранения города Севастополя от 12.07.2019 N 753 "О порядке проведения мероприятий по реализации индивидуальной программы реабилитации или абилитации инвалида, индивидуальной программы реабилитации или абилитации ребенка-инвалида в электронном виде".</w:t>
      </w:r>
    </w:p>
    <w:p>
      <w:pPr>
        <w:pStyle w:val="0"/>
        <w:spacing w:before="200" w:line-rule="auto"/>
        <w:ind w:firstLine="540"/>
        <w:jc w:val="both"/>
      </w:pPr>
      <w:r>
        <w:rPr>
          <w:sz w:val="20"/>
        </w:rPr>
        <w:t xml:space="preserve">1.7.6. Приказом Департамента здравоохранения города Севастополя от 20.09.2019 N 1000 "Порядок внедрения и ведения Регистра детей, подлежащих реабилитации" назначены ответственные лица за ведение реестра.</w:t>
      </w:r>
    </w:p>
    <w:p>
      <w:pPr>
        <w:pStyle w:val="0"/>
        <w:spacing w:before="200" w:line-rule="auto"/>
        <w:ind w:firstLine="540"/>
        <w:jc w:val="both"/>
      </w:pPr>
      <w:r>
        <w:rPr>
          <w:sz w:val="20"/>
        </w:rPr>
        <w:t xml:space="preserve">1.7.7. Приказ Департамента здравоохранения города Севастополя от 20.07.2020 N 773 "О создании рабочей группы по организации системы медицинской реабилитации в городе Севастополе".</w:t>
      </w:r>
    </w:p>
    <w:p>
      <w:pPr>
        <w:pStyle w:val="0"/>
        <w:spacing w:before="200" w:line-rule="auto"/>
        <w:ind w:firstLine="540"/>
        <w:jc w:val="both"/>
      </w:pPr>
      <w:r>
        <w:rPr>
          <w:sz w:val="20"/>
        </w:rPr>
        <w:t xml:space="preserve">1.7.8. </w:t>
      </w:r>
      <w:hyperlink w:history="0" r:id="rId1027" w:tooltip="Приказ Департамента здравоохранения г. Севастополя от 28.05.2021 N 460 &quot;Об организации медицинской реабилитации взрослых в городе Севастополе&quot; (вместе с &quot;Перечнем медицинских организаций города Севастополя, участвующих в организации медицинской реабилитации взрослых&quot;) ------------ Утратил силу или отменен {КонсультантПлюс}">
        <w:r>
          <w:rPr>
            <w:sz w:val="20"/>
            <w:color w:val="0000ff"/>
          </w:rPr>
          <w:t xml:space="preserve">Приказ</w:t>
        </w:r>
      </w:hyperlink>
      <w:r>
        <w:rPr>
          <w:sz w:val="20"/>
        </w:rPr>
        <w:t xml:space="preserve"> Департамента здравоохранения города Севастополя от 28.05.2021 N 460 "Об организации медицинской реабилитации взрослых в городе Севастополе".</w:t>
      </w:r>
    </w:p>
    <w:p>
      <w:pPr>
        <w:pStyle w:val="0"/>
        <w:spacing w:before="200" w:line-rule="auto"/>
        <w:ind w:firstLine="540"/>
        <w:jc w:val="both"/>
      </w:pPr>
      <w:r>
        <w:rPr>
          <w:sz w:val="20"/>
        </w:rPr>
        <w:t xml:space="preserve">1.7.9. Приказ Департамента здравоохранения города Севастополя от 16.06.2021 N 541 "Об утверждении плана по развитию медицинской реабилитации в городе Севастополе".</w:t>
      </w:r>
    </w:p>
    <w:p>
      <w:pPr>
        <w:pStyle w:val="0"/>
        <w:ind w:firstLine="540"/>
        <w:jc w:val="both"/>
      </w:pPr>
      <w:r>
        <w:rPr>
          <w:sz w:val="20"/>
        </w:rPr>
      </w:r>
    </w:p>
    <w:p>
      <w:pPr>
        <w:pStyle w:val="0"/>
        <w:jc w:val="center"/>
      </w:pPr>
      <w:r>
        <w:rPr>
          <w:sz w:val="20"/>
        </w:rPr>
        <w:t xml:space="preserve">1.8. Выводы</w:t>
      </w:r>
    </w:p>
    <w:p>
      <w:pPr>
        <w:pStyle w:val="0"/>
        <w:jc w:val="center"/>
      </w:pPr>
      <w:r>
        <w:rPr>
          <w:sz w:val="20"/>
        </w:rPr>
      </w:r>
    </w:p>
    <w:p>
      <w:pPr>
        <w:pStyle w:val="0"/>
        <w:jc w:val="center"/>
      </w:pPr>
      <w:r>
        <w:rPr>
          <w:sz w:val="20"/>
        </w:rPr>
        <w:t xml:space="preserve">Реабилитационная служба для взрослого населения</w:t>
      </w:r>
    </w:p>
    <w:p>
      <w:pPr>
        <w:pStyle w:val="0"/>
        <w:jc w:val="center"/>
      </w:pPr>
      <w:r>
        <w:rPr>
          <w:sz w:val="20"/>
        </w:rPr>
      </w:r>
    </w:p>
    <w:p>
      <w:pPr>
        <w:pStyle w:val="0"/>
        <w:ind w:firstLine="540"/>
        <w:jc w:val="both"/>
      </w:pPr>
      <w:r>
        <w:rPr>
          <w:sz w:val="20"/>
        </w:rPr>
        <w:t xml:space="preserve">В настоящее время в городе Севастополе фактически отсутствует второй этап медицинской реабилитации для взрослых в связи с отсутствием достаточного количества площадей в медицинских организациях города. Для решения данной проблемы необходимо строительство реабилитационного центра, оснащение необходимым оборудованием и укомплектование кадрами.</w:t>
      </w:r>
    </w:p>
    <w:p>
      <w:pPr>
        <w:pStyle w:val="0"/>
        <w:spacing w:before="200" w:line-rule="auto"/>
        <w:ind w:firstLine="540"/>
        <w:jc w:val="both"/>
      </w:pPr>
      <w:r>
        <w:rPr>
          <w:sz w:val="20"/>
        </w:rPr>
        <w:t xml:space="preserve">Анализ учреждений, оказывающих медицинскую реабилитацию взрослому населению, и реабилитационной службы в целом, показал:</w:t>
      </w:r>
    </w:p>
    <w:p>
      <w:pPr>
        <w:pStyle w:val="0"/>
        <w:spacing w:before="200" w:line-rule="auto"/>
        <w:ind w:firstLine="540"/>
        <w:jc w:val="both"/>
      </w:pPr>
      <w:r>
        <w:rPr>
          <w:sz w:val="20"/>
        </w:rPr>
        <w:t xml:space="preserve">1. Отсутствие четкой маршрутизации пациентов с I этапа медицинской реабилитации на II этап и со II этапа на III этап, что отрицательно сказывается на соблюдении преемственности в осуществлении медицинской реабилитации и эффективности ее оказания.</w:t>
      </w:r>
    </w:p>
    <w:p>
      <w:pPr>
        <w:pStyle w:val="0"/>
        <w:spacing w:before="200" w:line-rule="auto"/>
        <w:ind w:firstLine="540"/>
        <w:jc w:val="both"/>
      </w:pPr>
      <w:r>
        <w:rPr>
          <w:sz w:val="20"/>
        </w:rPr>
        <w:t xml:space="preserve">2. В региональном сосудистом центре и первичных сосудистых отделениях не развернуты отделения ранней медицинской реабилитации для оказания медицинской реабилитации на I этапе.</w:t>
      </w:r>
    </w:p>
    <w:p>
      <w:pPr>
        <w:pStyle w:val="0"/>
        <w:spacing w:before="200" w:line-rule="auto"/>
        <w:ind w:firstLine="540"/>
        <w:jc w:val="both"/>
      </w:pPr>
      <w:r>
        <w:rPr>
          <w:sz w:val="20"/>
        </w:rPr>
        <w:t xml:space="preserve">3. Объем коечного фонда, необходимый для оказания медицинской реабилитации в стационарных условиях взрослым на II этапе, недостаточен.</w:t>
      </w:r>
    </w:p>
    <w:p>
      <w:pPr>
        <w:pStyle w:val="0"/>
        <w:spacing w:before="200" w:line-rule="auto"/>
        <w:ind w:firstLine="540"/>
        <w:jc w:val="both"/>
      </w:pPr>
      <w:r>
        <w:rPr>
          <w:sz w:val="20"/>
        </w:rPr>
        <w:t xml:space="preserve">В соответствии с предусмотренными объемами оказания медицинской помощи по медицинской реабилитации за счет средств ОМС отсутствуют отделения медицинской реабилитации для пациентов с заболеваниями ЦНС и отделение кардиореабилитации.</w:t>
      </w:r>
    </w:p>
    <w:p>
      <w:pPr>
        <w:pStyle w:val="0"/>
        <w:spacing w:before="200" w:line-rule="auto"/>
        <w:ind w:firstLine="540"/>
        <w:jc w:val="both"/>
      </w:pPr>
      <w:r>
        <w:rPr>
          <w:sz w:val="20"/>
        </w:rPr>
        <w:t xml:space="preserve">4. III этап медицинской реабилитации взрослым в городе Севастополе не осуществляется.</w:t>
      </w:r>
    </w:p>
    <w:p>
      <w:pPr>
        <w:pStyle w:val="0"/>
        <w:spacing w:before="200" w:line-rule="auto"/>
        <w:ind w:firstLine="540"/>
        <w:jc w:val="both"/>
      </w:pPr>
      <w:r>
        <w:rPr>
          <w:sz w:val="20"/>
        </w:rPr>
        <w:t xml:space="preserve">5. Медицинская реабилитация онкологических больных в городе Севастополе не осуществляется.</w:t>
      </w:r>
    </w:p>
    <w:p>
      <w:pPr>
        <w:pStyle w:val="0"/>
        <w:spacing w:before="200" w:line-rule="auto"/>
        <w:ind w:firstLine="540"/>
        <w:jc w:val="both"/>
      </w:pPr>
      <w:r>
        <w:rPr>
          <w:sz w:val="20"/>
        </w:rPr>
        <w:t xml:space="preserve">6. Недостаточное количество врачебного и среднего медицинского персонала, а также специалистов с высшим немедицинским образованием, осуществляющих медицинскую реабилитацию, не позволяет организовать мультидисциплинарный подход к оказанию медицинской помощи по медицинской реабилитации в соответствии с требованиями </w:t>
      </w:r>
      <w:hyperlink w:history="0" r:id="rId1028"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приказа</w:t>
        </w:r>
      </w:hyperlink>
      <w:r>
        <w:rPr>
          <w:sz w:val="20"/>
        </w:rPr>
        <w:t xml:space="preserve"> Министерства здравоохранения Российской Федерации от 31.07.2020 N 788н "Об утверждении Порядка организации медицинской реабилитации взрослых" (далее - Порядок N 788н). Фактическая укомплектованность должностей физическими лицами достигается за счет замещения медицинского персонала профильных отделений.</w:t>
      </w:r>
    </w:p>
    <w:p>
      <w:pPr>
        <w:pStyle w:val="0"/>
        <w:spacing w:before="200" w:line-rule="auto"/>
        <w:ind w:firstLine="540"/>
        <w:jc w:val="both"/>
      </w:pPr>
      <w:r>
        <w:rPr>
          <w:sz w:val="20"/>
        </w:rPr>
        <w:t xml:space="preserve">7. Медицинские организации, осуществляющие медицинскую помощь по медицинской реабилитации, недостаточно оснащены реабилитационным оборудованием в соответствии со стандартами оснащения, указанными в </w:t>
      </w:r>
      <w:hyperlink w:history="0" r:id="rId1029"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Порядке</w:t>
        </w:r>
      </w:hyperlink>
      <w:r>
        <w:rPr>
          <w:sz w:val="20"/>
        </w:rPr>
        <w:t xml:space="preserve"> N 788н, что не может не сказываться на качестве и эффективности оказания медицинской помощи по медицинской реабилитации.</w:t>
      </w:r>
    </w:p>
    <w:p>
      <w:pPr>
        <w:pStyle w:val="0"/>
        <w:spacing w:before="200" w:line-rule="auto"/>
        <w:ind w:firstLine="540"/>
        <w:jc w:val="both"/>
      </w:pPr>
      <w:r>
        <w:rPr>
          <w:sz w:val="20"/>
        </w:rPr>
        <w:t xml:space="preserve">Расчетная потребность в коечном фонде представлена в </w:t>
      </w:r>
      <w:hyperlink w:history="0" w:anchor="P44655" w:tooltip="Расчетная потребность в коечном фонде стационарных отделений">
        <w:r>
          <w:rPr>
            <w:sz w:val="20"/>
            <w:color w:val="0000ff"/>
          </w:rPr>
          <w:t xml:space="preserve">таблице 23</w:t>
        </w:r>
      </w:hyperlink>
      <w:r>
        <w:rPr>
          <w:sz w:val="20"/>
        </w:rPr>
        <w:t xml:space="preserve"> (в зависимости от количества пациентов, состоящих на диспансерном учете по данной нозологии, заболеваемости, первичного выхода на инвалидность).</w:t>
      </w:r>
    </w:p>
    <w:p>
      <w:pPr>
        <w:pStyle w:val="0"/>
        <w:spacing w:before="200" w:line-rule="auto"/>
        <w:ind w:firstLine="540"/>
        <w:jc w:val="both"/>
      </w:pPr>
      <w:r>
        <w:rPr>
          <w:sz w:val="20"/>
        </w:rPr>
        <w:t xml:space="preserve">Отделения медицинской реабилитации III этапа необходимо организовать на базе медицинских организаций, оказывающих медицинскую помощь в амбулаторных условиях:</w:t>
      </w:r>
    </w:p>
    <w:p>
      <w:pPr>
        <w:pStyle w:val="0"/>
        <w:spacing w:before="200" w:line-rule="auto"/>
        <w:ind w:firstLine="540"/>
        <w:jc w:val="both"/>
      </w:pPr>
      <w:r>
        <w:rPr>
          <w:sz w:val="20"/>
        </w:rPr>
        <w:t xml:space="preserve">- ГБ N 1 - поликлиники N 1, 4, 5;</w:t>
      </w:r>
    </w:p>
    <w:p>
      <w:pPr>
        <w:pStyle w:val="0"/>
        <w:spacing w:before="200" w:line-rule="auto"/>
        <w:ind w:firstLine="540"/>
        <w:jc w:val="both"/>
      </w:pPr>
      <w:r>
        <w:rPr>
          <w:sz w:val="20"/>
        </w:rPr>
        <w:t xml:space="preserve">- ГБ N 4;</w:t>
      </w:r>
    </w:p>
    <w:p>
      <w:pPr>
        <w:pStyle w:val="0"/>
        <w:spacing w:before="200" w:line-rule="auto"/>
        <w:ind w:firstLine="540"/>
        <w:jc w:val="both"/>
      </w:pPr>
      <w:r>
        <w:rPr>
          <w:sz w:val="20"/>
        </w:rPr>
        <w:t xml:space="preserve">- ГБ N 9.</w:t>
      </w:r>
    </w:p>
    <w:p>
      <w:pPr>
        <w:pStyle w:val="0"/>
        <w:jc w:val="right"/>
      </w:pPr>
      <w:r>
        <w:rPr>
          <w:sz w:val="20"/>
        </w:rPr>
      </w:r>
    </w:p>
    <w:p>
      <w:pPr>
        <w:pStyle w:val="0"/>
        <w:jc w:val="right"/>
      </w:pPr>
      <w:r>
        <w:rPr>
          <w:sz w:val="20"/>
        </w:rPr>
        <w:t xml:space="preserve">Таблица 23</w:t>
      </w:r>
    </w:p>
    <w:p>
      <w:pPr>
        <w:pStyle w:val="0"/>
        <w:jc w:val="right"/>
      </w:pPr>
      <w:r>
        <w:rPr>
          <w:sz w:val="20"/>
        </w:rPr>
      </w:r>
    </w:p>
    <w:bookmarkStart w:id="44655" w:name="P44655"/>
    <w:bookmarkEnd w:id="44655"/>
    <w:p>
      <w:pPr>
        <w:pStyle w:val="0"/>
        <w:jc w:val="center"/>
      </w:pPr>
      <w:r>
        <w:rPr>
          <w:sz w:val="20"/>
        </w:rPr>
        <w:t xml:space="preserve">Расчетная потребность в коечном фонде стационарных отделений</w:t>
      </w:r>
    </w:p>
    <w:p>
      <w:pPr>
        <w:pStyle w:val="0"/>
        <w:jc w:val="center"/>
      </w:pPr>
      <w:r>
        <w:rPr>
          <w:sz w:val="20"/>
        </w:rPr>
        <w:t xml:space="preserve">медицинской реабилитации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953"/>
        <w:gridCol w:w="1701"/>
        <w:gridCol w:w="1399"/>
      </w:tblGrid>
      <w:tr>
        <w:tc>
          <w:tcPr>
            <w:tcW w:w="5953" w:type="dxa"/>
          </w:tcPr>
          <w:p>
            <w:pPr>
              <w:pStyle w:val="0"/>
              <w:jc w:val="center"/>
            </w:pPr>
            <w:r>
              <w:rPr>
                <w:sz w:val="20"/>
              </w:rPr>
              <w:t xml:space="preserve">Профиль отделения</w:t>
            </w:r>
          </w:p>
        </w:tc>
        <w:tc>
          <w:tcPr>
            <w:tcW w:w="1701" w:type="dxa"/>
          </w:tcPr>
          <w:p>
            <w:pPr>
              <w:pStyle w:val="0"/>
              <w:jc w:val="center"/>
            </w:pPr>
            <w:r>
              <w:rPr>
                <w:sz w:val="20"/>
              </w:rPr>
              <w:t xml:space="preserve">Количество пациентов на диспансерном наблюдении</w:t>
            </w:r>
          </w:p>
        </w:tc>
        <w:tc>
          <w:tcPr>
            <w:tcW w:w="1399" w:type="dxa"/>
          </w:tcPr>
          <w:p>
            <w:pPr>
              <w:pStyle w:val="0"/>
              <w:jc w:val="center"/>
            </w:pPr>
            <w:r>
              <w:rPr>
                <w:sz w:val="20"/>
              </w:rPr>
              <w:t xml:space="preserve">Количество коек</w:t>
            </w:r>
          </w:p>
        </w:tc>
      </w:tr>
      <w:tr>
        <w:tc>
          <w:tcPr>
            <w:tcW w:w="5953" w:type="dxa"/>
          </w:tcPr>
          <w:p>
            <w:pPr>
              <w:pStyle w:val="0"/>
              <w:jc w:val="both"/>
            </w:pPr>
            <w:r>
              <w:rPr>
                <w:sz w:val="20"/>
              </w:rPr>
              <w:t xml:space="preserve">Медицинская реабилитация пациентов с нарушением периферической нервной системы и опорно-двигательного аппарата</w:t>
            </w:r>
          </w:p>
        </w:tc>
        <w:tc>
          <w:tcPr>
            <w:tcW w:w="1701" w:type="dxa"/>
          </w:tcPr>
          <w:p>
            <w:pPr>
              <w:pStyle w:val="0"/>
              <w:jc w:val="center"/>
            </w:pPr>
            <w:r>
              <w:rPr>
                <w:sz w:val="20"/>
              </w:rPr>
              <w:t xml:space="preserve">44116</w:t>
            </w:r>
          </w:p>
        </w:tc>
        <w:tc>
          <w:tcPr>
            <w:tcW w:w="1399" w:type="dxa"/>
          </w:tcPr>
          <w:p>
            <w:pPr>
              <w:pStyle w:val="0"/>
              <w:jc w:val="center"/>
            </w:pPr>
            <w:r>
              <w:rPr>
                <w:sz w:val="20"/>
              </w:rPr>
              <w:t xml:space="preserve">36</w:t>
            </w:r>
          </w:p>
        </w:tc>
      </w:tr>
      <w:tr>
        <w:tc>
          <w:tcPr>
            <w:tcW w:w="5953" w:type="dxa"/>
          </w:tcPr>
          <w:p>
            <w:pPr>
              <w:pStyle w:val="0"/>
              <w:jc w:val="both"/>
            </w:pPr>
            <w:r>
              <w:rPr>
                <w:sz w:val="20"/>
              </w:rPr>
              <w:t xml:space="preserve">Медицинская реабилитация пациентов с нарушением функции центральной нервной системы</w:t>
            </w:r>
          </w:p>
        </w:tc>
        <w:tc>
          <w:tcPr>
            <w:tcW w:w="1701" w:type="dxa"/>
          </w:tcPr>
          <w:p>
            <w:pPr>
              <w:pStyle w:val="0"/>
              <w:jc w:val="center"/>
            </w:pPr>
            <w:r>
              <w:rPr>
                <w:sz w:val="20"/>
              </w:rPr>
              <w:t xml:space="preserve">19270</w:t>
            </w:r>
          </w:p>
        </w:tc>
        <w:tc>
          <w:tcPr>
            <w:tcW w:w="1399" w:type="dxa"/>
          </w:tcPr>
          <w:p>
            <w:pPr>
              <w:pStyle w:val="0"/>
              <w:jc w:val="center"/>
            </w:pPr>
            <w:r>
              <w:rPr>
                <w:sz w:val="20"/>
              </w:rPr>
              <w:t xml:space="preserve">30</w:t>
            </w:r>
          </w:p>
        </w:tc>
      </w:tr>
      <w:tr>
        <w:tc>
          <w:tcPr>
            <w:tcW w:w="5953" w:type="dxa"/>
          </w:tcPr>
          <w:p>
            <w:pPr>
              <w:pStyle w:val="0"/>
              <w:jc w:val="both"/>
            </w:pPr>
            <w:r>
              <w:rPr>
                <w:sz w:val="20"/>
              </w:rPr>
              <w:t xml:space="preserve">Медицинская реабилитация пациентов с соматическими заболеваниями</w:t>
            </w:r>
          </w:p>
        </w:tc>
        <w:tc>
          <w:tcPr>
            <w:tcW w:w="1701" w:type="dxa"/>
          </w:tcPr>
          <w:p>
            <w:pPr>
              <w:pStyle w:val="0"/>
              <w:jc w:val="center"/>
            </w:pPr>
            <w:r>
              <w:rPr>
                <w:sz w:val="20"/>
              </w:rPr>
              <w:t xml:space="preserve">24687</w:t>
            </w:r>
          </w:p>
        </w:tc>
        <w:tc>
          <w:tcPr>
            <w:tcW w:w="1399" w:type="dxa"/>
          </w:tcPr>
          <w:p>
            <w:pPr>
              <w:pStyle w:val="0"/>
              <w:jc w:val="center"/>
            </w:pPr>
            <w:r>
              <w:rPr>
                <w:sz w:val="20"/>
              </w:rPr>
              <w:t xml:space="preserve">36</w:t>
            </w:r>
          </w:p>
        </w:tc>
      </w:tr>
    </w:tbl>
    <w:p>
      <w:pPr>
        <w:pStyle w:val="0"/>
        <w:ind w:firstLine="540"/>
        <w:jc w:val="both"/>
      </w:pPr>
      <w:r>
        <w:rPr>
          <w:sz w:val="20"/>
        </w:rPr>
      </w:r>
    </w:p>
    <w:p>
      <w:pPr>
        <w:pStyle w:val="0"/>
        <w:jc w:val="right"/>
      </w:pPr>
      <w:r>
        <w:rPr>
          <w:sz w:val="20"/>
        </w:rPr>
        <w:t xml:space="preserve">Таблица 24</w:t>
      </w:r>
    </w:p>
    <w:p>
      <w:pPr>
        <w:pStyle w:val="0"/>
        <w:jc w:val="right"/>
      </w:pPr>
      <w:r>
        <w:rPr>
          <w:sz w:val="20"/>
        </w:rPr>
      </w:r>
    </w:p>
    <w:p>
      <w:pPr>
        <w:pStyle w:val="0"/>
        <w:jc w:val="center"/>
      </w:pPr>
      <w:r>
        <w:rPr>
          <w:sz w:val="20"/>
        </w:rPr>
        <w:t xml:space="preserve">Расчетная потребность в коечном фонде дневного стационара</w:t>
      </w:r>
    </w:p>
    <w:p>
      <w:pPr>
        <w:pStyle w:val="0"/>
        <w:jc w:val="center"/>
      </w:pPr>
      <w:r>
        <w:rPr>
          <w:sz w:val="20"/>
        </w:rPr>
        <w:t xml:space="preserve">медицинской реабилитации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1984"/>
        <w:gridCol w:w="2807"/>
      </w:tblGrid>
      <w:tr>
        <w:tc>
          <w:tcPr>
            <w:tcW w:w="4252" w:type="dxa"/>
          </w:tcPr>
          <w:p>
            <w:pPr>
              <w:pStyle w:val="0"/>
              <w:jc w:val="center"/>
            </w:pPr>
            <w:r>
              <w:rPr>
                <w:sz w:val="20"/>
              </w:rPr>
              <w:t xml:space="preserve">Медицинская организация</w:t>
            </w:r>
          </w:p>
        </w:tc>
        <w:tc>
          <w:tcPr>
            <w:tcW w:w="1984" w:type="dxa"/>
          </w:tcPr>
          <w:p>
            <w:pPr>
              <w:pStyle w:val="0"/>
              <w:jc w:val="center"/>
            </w:pPr>
            <w:r>
              <w:rPr>
                <w:sz w:val="20"/>
              </w:rPr>
              <w:t xml:space="preserve">Прикрепленное население (чел.)</w:t>
            </w:r>
          </w:p>
        </w:tc>
        <w:tc>
          <w:tcPr>
            <w:tcW w:w="2807" w:type="dxa"/>
          </w:tcPr>
          <w:p>
            <w:pPr>
              <w:pStyle w:val="0"/>
              <w:jc w:val="center"/>
            </w:pPr>
            <w:r>
              <w:rPr>
                <w:sz w:val="20"/>
              </w:rPr>
              <w:t xml:space="preserve">Количество коек</w:t>
            </w:r>
          </w:p>
        </w:tc>
      </w:tr>
      <w:tr>
        <w:tc>
          <w:tcPr>
            <w:tcW w:w="4252" w:type="dxa"/>
          </w:tcPr>
          <w:p>
            <w:pPr>
              <w:pStyle w:val="0"/>
              <w:jc w:val="both"/>
            </w:pPr>
            <w:r>
              <w:rPr>
                <w:sz w:val="20"/>
              </w:rPr>
              <w:t xml:space="preserve">ГБ N 1</w:t>
            </w:r>
          </w:p>
        </w:tc>
        <w:tc>
          <w:tcPr>
            <w:tcW w:w="1984" w:type="dxa"/>
          </w:tcPr>
          <w:p>
            <w:pPr>
              <w:pStyle w:val="0"/>
              <w:jc w:val="center"/>
            </w:pPr>
            <w:r>
              <w:rPr>
                <w:sz w:val="20"/>
              </w:rPr>
              <w:t xml:space="preserve">255650</w:t>
            </w:r>
          </w:p>
        </w:tc>
        <w:tc>
          <w:tcPr>
            <w:tcW w:w="2807" w:type="dxa"/>
          </w:tcPr>
          <w:p>
            <w:pPr>
              <w:pStyle w:val="0"/>
              <w:jc w:val="center"/>
            </w:pPr>
            <w:r>
              <w:rPr>
                <w:sz w:val="20"/>
              </w:rPr>
              <w:t xml:space="preserve">60</w:t>
            </w:r>
          </w:p>
        </w:tc>
      </w:tr>
      <w:tr>
        <w:tc>
          <w:tcPr>
            <w:tcW w:w="4252" w:type="dxa"/>
          </w:tcPr>
          <w:p>
            <w:pPr>
              <w:pStyle w:val="0"/>
              <w:jc w:val="both"/>
            </w:pPr>
            <w:r>
              <w:rPr>
                <w:sz w:val="20"/>
              </w:rPr>
              <w:t xml:space="preserve">ГБ N 9</w:t>
            </w:r>
          </w:p>
        </w:tc>
        <w:tc>
          <w:tcPr>
            <w:tcW w:w="1984" w:type="dxa"/>
          </w:tcPr>
          <w:p>
            <w:pPr>
              <w:pStyle w:val="0"/>
              <w:jc w:val="center"/>
            </w:pPr>
            <w:r>
              <w:rPr>
                <w:sz w:val="20"/>
              </w:rPr>
              <w:t xml:space="preserve">53500</w:t>
            </w:r>
          </w:p>
        </w:tc>
        <w:tc>
          <w:tcPr>
            <w:tcW w:w="2807" w:type="dxa"/>
          </w:tcPr>
          <w:p>
            <w:pPr>
              <w:pStyle w:val="0"/>
              <w:jc w:val="center"/>
            </w:pPr>
            <w:r>
              <w:rPr>
                <w:sz w:val="20"/>
              </w:rPr>
              <w:t xml:space="preserve">30</w:t>
            </w:r>
          </w:p>
        </w:tc>
      </w:tr>
      <w:tr>
        <w:tc>
          <w:tcPr>
            <w:tcW w:w="4252" w:type="dxa"/>
          </w:tcPr>
          <w:p>
            <w:pPr>
              <w:pStyle w:val="0"/>
              <w:jc w:val="both"/>
            </w:pPr>
            <w:r>
              <w:rPr>
                <w:sz w:val="20"/>
              </w:rPr>
              <w:t xml:space="preserve">ГБ N 4</w:t>
            </w:r>
          </w:p>
        </w:tc>
        <w:tc>
          <w:tcPr>
            <w:tcW w:w="1984" w:type="dxa"/>
          </w:tcPr>
          <w:p>
            <w:pPr>
              <w:pStyle w:val="0"/>
              <w:jc w:val="center"/>
            </w:pPr>
            <w:r>
              <w:rPr>
                <w:sz w:val="20"/>
              </w:rPr>
              <w:t xml:space="preserve">45500</w:t>
            </w:r>
          </w:p>
        </w:tc>
        <w:tc>
          <w:tcPr>
            <w:tcW w:w="2807" w:type="dxa"/>
          </w:tcPr>
          <w:p>
            <w:pPr>
              <w:pStyle w:val="0"/>
              <w:jc w:val="center"/>
            </w:pPr>
            <w:r>
              <w:rPr>
                <w:sz w:val="20"/>
              </w:rPr>
              <w:t xml:space="preserve">30</w:t>
            </w:r>
          </w:p>
        </w:tc>
      </w:tr>
    </w:tbl>
    <w:p>
      <w:pPr>
        <w:pStyle w:val="0"/>
        <w:ind w:firstLine="540"/>
        <w:jc w:val="both"/>
      </w:pPr>
      <w:r>
        <w:rPr>
          <w:sz w:val="20"/>
        </w:rPr>
      </w:r>
    </w:p>
    <w:p>
      <w:pPr>
        <w:pStyle w:val="0"/>
        <w:ind w:firstLine="540"/>
        <w:jc w:val="both"/>
      </w:pPr>
      <w:r>
        <w:rPr>
          <w:sz w:val="20"/>
        </w:rPr>
        <w:t xml:space="preserve">Планируемые мероприятия.</w:t>
      </w:r>
    </w:p>
    <w:p>
      <w:pPr>
        <w:pStyle w:val="0"/>
        <w:spacing w:before="200" w:line-rule="auto"/>
        <w:ind w:firstLine="540"/>
        <w:jc w:val="both"/>
      </w:pPr>
      <w:r>
        <w:rPr>
          <w:sz w:val="20"/>
        </w:rPr>
        <w:t xml:space="preserve">Для оптимизации системы медицинской реабилитации взрослому населению в городе Севастополе в соответствии с </w:t>
      </w:r>
      <w:hyperlink w:history="0" r:id="rId1030"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Порядком</w:t>
        </w:r>
      </w:hyperlink>
      <w:r>
        <w:rPr>
          <w:sz w:val="20"/>
        </w:rPr>
        <w:t xml:space="preserve"> N 788н необходимо:</w:t>
      </w:r>
    </w:p>
    <w:p>
      <w:pPr>
        <w:pStyle w:val="0"/>
        <w:spacing w:before="200" w:line-rule="auto"/>
        <w:ind w:firstLine="540"/>
        <w:jc w:val="both"/>
      </w:pPr>
      <w:r>
        <w:rPr>
          <w:sz w:val="20"/>
        </w:rPr>
        <w:t xml:space="preserve">1. Сформировать трехэтапную систему медицинской реабилитации, включающую медицинские организации 1 - 4 групп, с учетом транспортной доступности, обеспечивающую правильную маршрутизацию пациентов в зависимости от тяжести состояния по шкале реабилитационной маршрутизации.</w:t>
      </w:r>
    </w:p>
    <w:p>
      <w:pPr>
        <w:pStyle w:val="0"/>
        <w:spacing w:before="200" w:line-rule="auto"/>
        <w:ind w:firstLine="540"/>
        <w:jc w:val="both"/>
      </w:pPr>
      <w:r>
        <w:rPr>
          <w:sz w:val="20"/>
        </w:rPr>
        <w:t xml:space="preserve">2. Организовать деятельность стационарных отделений медицинской реабилитации в медицинских организациях в соответствии с правилами, утвержденными </w:t>
      </w:r>
      <w:hyperlink w:history="0" r:id="rId1031"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Порядком</w:t>
        </w:r>
      </w:hyperlink>
      <w:r>
        <w:rPr>
          <w:sz w:val="20"/>
        </w:rPr>
        <w:t xml:space="preserve"> N 788н.</w:t>
      </w:r>
    </w:p>
    <w:p>
      <w:pPr>
        <w:pStyle w:val="0"/>
        <w:spacing w:before="200" w:line-rule="auto"/>
        <w:ind w:firstLine="540"/>
        <w:jc w:val="both"/>
      </w:pPr>
      <w:r>
        <w:rPr>
          <w:sz w:val="20"/>
        </w:rPr>
        <w:t xml:space="preserve">3. Обеспечить создание отделений ранней медицинской реабилитации в медицинских организациях, оказывающих специализированную, в том числе высокотехнологичную, медицинскую помощь в стационарных условиях по следующим профилям: "анестезиология и реаниматология", "неврология", "травматология и ортопедия", "сердечно-сосудистая хирургия", "кардиология", "онкология", "нейрохирургия", "пульмонология", для осуществления медицинской реабилитации на I этапе в соответствии с требованиями </w:t>
      </w:r>
      <w:hyperlink w:history="0" r:id="rId1032"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Порядка</w:t>
        </w:r>
      </w:hyperlink>
      <w:r>
        <w:rPr>
          <w:sz w:val="20"/>
        </w:rPr>
        <w:t xml:space="preserve"> N 788н.</w:t>
      </w:r>
    </w:p>
    <w:p>
      <w:pPr>
        <w:pStyle w:val="0"/>
        <w:spacing w:before="200" w:line-rule="auto"/>
        <w:ind w:firstLine="540"/>
        <w:jc w:val="both"/>
      </w:pPr>
      <w:r>
        <w:rPr>
          <w:sz w:val="20"/>
        </w:rPr>
        <w:t xml:space="preserve">4. Организовать отделения медицинской реабилитации пациентов с онкологическими заболеваниями в соответствии с требованиями </w:t>
      </w:r>
      <w:hyperlink w:history="0" r:id="rId1033"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приказа</w:t>
        </w:r>
      </w:hyperlink>
      <w:r>
        <w:rPr>
          <w:sz w:val="20"/>
        </w:rPr>
        <w:t xml:space="preserve"> Министерства здравоохранения Российской Федерации от 19.02.2021 N 116н "Об утверждении Порядка оказания медицинской помощи взрослому населению при онкологических заболеваниях".</w:t>
      </w:r>
    </w:p>
    <w:p>
      <w:pPr>
        <w:pStyle w:val="0"/>
        <w:spacing w:before="200" w:line-rule="auto"/>
        <w:ind w:firstLine="540"/>
        <w:jc w:val="both"/>
      </w:pPr>
      <w:r>
        <w:rPr>
          <w:sz w:val="20"/>
        </w:rPr>
        <w:t xml:space="preserve">5. Для обеспечения развития III этапа медицинской реабилитации в амбулаторных условиях взрослому населению, учитывая выраженный кадровый дефицит специалистов по медицинской реабилитации и отсутствие оснащенности реабилитационным оборудованием амбулаторно-поликлинического звена медицинских организаций, целесообразно открыть амбулаторные отделения медицинской реабилитации на базе ГБ N 1 в поликлиниках N 1, 4, 5, в ГБ N 4 и ГБ N 9.</w:t>
      </w:r>
    </w:p>
    <w:p>
      <w:pPr>
        <w:pStyle w:val="0"/>
        <w:spacing w:before="200" w:line-rule="auto"/>
        <w:ind w:firstLine="540"/>
        <w:jc w:val="both"/>
      </w:pPr>
      <w:r>
        <w:rPr>
          <w:sz w:val="20"/>
        </w:rPr>
        <w:t xml:space="preserve">6. Создать систему мониторинга оказания медицинской реабилитации на всех этапах, предусматривающую сокращение сроков начала оказания медицинской реабилитации и преемственность между медицинскими организациями при переводе на последующий этап медицинской реабилитации.</w:t>
      </w:r>
    </w:p>
    <w:p>
      <w:pPr>
        <w:pStyle w:val="0"/>
        <w:spacing w:before="200" w:line-rule="auto"/>
        <w:ind w:firstLine="540"/>
        <w:jc w:val="both"/>
      </w:pPr>
      <w:r>
        <w:rPr>
          <w:sz w:val="20"/>
        </w:rPr>
        <w:t xml:space="preserve">7. Предусмотреть в составе рабочего места специалиста мультидисциплинарной реабилитационной комиссии региональной медицинской информационной системы (далее - РМИС) в стационарных и амбулаторно-поликлинических условиях раздел по оценке динамики состояния пациента с учетом доменов Международной классификации функционирования, ограничений жизнедеятельности и здоровья (далее - МКФ) в рамках развития Единой государственной информационной системы здравоохранения.</w:t>
      </w:r>
    </w:p>
    <w:p>
      <w:pPr>
        <w:pStyle w:val="0"/>
        <w:spacing w:before="200" w:line-rule="auto"/>
        <w:ind w:firstLine="540"/>
        <w:jc w:val="both"/>
      </w:pPr>
      <w:r>
        <w:rPr>
          <w:sz w:val="20"/>
        </w:rPr>
        <w:t xml:space="preserve">8. Регулярно в РСЦ и ПСО проводить обучение и контроль знаний и умений персонала отделений реанимации и палат интенсивной терапии согласно правилам безопасного трансфера, укладки пациентов, нутритивной поддержки в соответствии с клиническими рекомендациями Союза реабилитологов России.</w:t>
      </w:r>
    </w:p>
    <w:p>
      <w:pPr>
        <w:pStyle w:val="0"/>
        <w:spacing w:before="200" w:line-rule="auto"/>
        <w:ind w:firstLine="540"/>
        <w:jc w:val="both"/>
      </w:pPr>
      <w:r>
        <w:rPr>
          <w:sz w:val="20"/>
        </w:rPr>
        <w:t xml:space="preserve">9. Организовать проведение телемедицинских консультаций (консилиумов) пациентов, находящихся на лечении в медицинских организациях, по вопросам медицинской реабилитации в национальных исследовательских центрах Российской Федерации.</w:t>
      </w:r>
    </w:p>
    <w:p>
      <w:pPr>
        <w:pStyle w:val="0"/>
        <w:spacing w:before="200" w:line-rule="auto"/>
        <w:ind w:firstLine="540"/>
        <w:jc w:val="both"/>
      </w:pPr>
      <w:r>
        <w:rPr>
          <w:sz w:val="20"/>
        </w:rPr>
        <w:t xml:space="preserve">10. В целях повышения укомплектованности кадрами отделений реабилитации предполагается:</w:t>
      </w:r>
    </w:p>
    <w:p>
      <w:pPr>
        <w:pStyle w:val="0"/>
        <w:spacing w:before="200" w:line-rule="auto"/>
        <w:ind w:firstLine="540"/>
        <w:jc w:val="both"/>
      </w:pPr>
      <w:r>
        <w:rPr>
          <w:sz w:val="20"/>
        </w:rPr>
        <w:t xml:space="preserve">10.1. Определение потребности во врачах и среднем медицинском персонале.</w:t>
      </w:r>
    </w:p>
    <w:p>
      <w:pPr>
        <w:pStyle w:val="0"/>
        <w:spacing w:before="200" w:line-rule="auto"/>
        <w:ind w:firstLine="540"/>
        <w:jc w:val="both"/>
      </w:pPr>
      <w:r>
        <w:rPr>
          <w:sz w:val="20"/>
        </w:rPr>
        <w:t xml:space="preserve">10.2. Подготовка списков врачебного и среднего медицинского персонала для направления на обучение по новым специальностям, составление плана-графика указанного обучения на период 2022 - 2024 гг.</w:t>
      </w:r>
    </w:p>
    <w:p>
      <w:pPr>
        <w:pStyle w:val="0"/>
        <w:spacing w:before="200" w:line-rule="auto"/>
        <w:ind w:firstLine="540"/>
        <w:jc w:val="both"/>
      </w:pPr>
      <w:r>
        <w:rPr>
          <w:sz w:val="20"/>
        </w:rPr>
        <w:t xml:space="preserve">10.3. Организация целевого обучения граждан по образовательным программам специалитета, программам ординатуры за счет бюджетных ассигнований федерального бюджета в целях подготовки медицинских специалистов в образовательных организациях высшего (медицинского) образования.</w:t>
      </w:r>
    </w:p>
    <w:p>
      <w:pPr>
        <w:pStyle w:val="0"/>
        <w:spacing w:before="200" w:line-rule="auto"/>
        <w:ind w:firstLine="540"/>
        <w:jc w:val="both"/>
      </w:pPr>
      <w:r>
        <w:rPr>
          <w:sz w:val="20"/>
        </w:rPr>
        <w:t xml:space="preserve">10.4. Организация целевого обучения граждан по программам среднего профессионального (медицинского) образования за счет бюджетных ассигнований бюджета города Севастополя в целях подготовки медицинских специалистов в организациях среднего профессионального (медицинского) образования в соответствии с потребностью медицинских организаций.</w:t>
      </w:r>
    </w:p>
    <w:p>
      <w:pPr>
        <w:pStyle w:val="0"/>
        <w:spacing w:before="200" w:line-rule="auto"/>
        <w:ind w:firstLine="540"/>
        <w:jc w:val="both"/>
      </w:pPr>
      <w:r>
        <w:rPr>
          <w:sz w:val="20"/>
        </w:rPr>
        <w:t xml:space="preserve">10.5. Обучение медицинских работников, участвующих в реабилитации пациентов, по программам дополнительного профессионального образования в соответствии с потребностью медицинских организаций, в том числе с помощью системы непрерывного медицинского образования.</w:t>
      </w:r>
    </w:p>
    <w:p>
      <w:pPr>
        <w:pStyle w:val="0"/>
        <w:ind w:firstLine="540"/>
        <w:jc w:val="both"/>
      </w:pPr>
      <w:r>
        <w:rPr>
          <w:sz w:val="20"/>
        </w:rPr>
      </w:r>
    </w:p>
    <w:p>
      <w:pPr>
        <w:pStyle w:val="0"/>
        <w:jc w:val="center"/>
      </w:pPr>
      <w:r>
        <w:rPr>
          <w:sz w:val="20"/>
        </w:rPr>
        <w:t xml:space="preserve">Проблемы, выявленные при оказании медицинской помощи</w:t>
      </w:r>
    </w:p>
    <w:p>
      <w:pPr>
        <w:pStyle w:val="0"/>
        <w:jc w:val="center"/>
      </w:pPr>
      <w:r>
        <w:rPr>
          <w:sz w:val="20"/>
        </w:rPr>
        <w:t xml:space="preserve">по медицинской реабилитации детям в городе Севастополе,</w:t>
      </w:r>
    </w:p>
    <w:p>
      <w:pPr>
        <w:pStyle w:val="0"/>
        <w:jc w:val="center"/>
      </w:pPr>
      <w:r>
        <w:rPr>
          <w:sz w:val="20"/>
        </w:rPr>
        <w:t xml:space="preserve">и пути их решения</w:t>
      </w:r>
    </w:p>
    <w:p>
      <w:pPr>
        <w:pStyle w:val="0"/>
        <w:ind w:firstLine="540"/>
        <w:jc w:val="both"/>
      </w:pPr>
      <w:r>
        <w:rPr>
          <w:sz w:val="20"/>
        </w:rPr>
      </w:r>
    </w:p>
    <w:p>
      <w:pPr>
        <w:pStyle w:val="0"/>
        <w:ind w:firstLine="540"/>
        <w:jc w:val="both"/>
      </w:pPr>
      <w:r>
        <w:rPr>
          <w:sz w:val="20"/>
        </w:rPr>
        <w:t xml:space="preserve">По состоянию на 01.01.2023 обеспеченность медицинских организаций реабилитационным оборудованием на I этапе составляет около 10%, на II - 70%, на III - 60%.</w:t>
      </w:r>
    </w:p>
    <w:p>
      <w:pPr>
        <w:pStyle w:val="0"/>
        <w:spacing w:before="200" w:line-rule="auto"/>
        <w:ind w:firstLine="540"/>
        <w:jc w:val="both"/>
      </w:pPr>
      <w:r>
        <w:rPr>
          <w:sz w:val="20"/>
        </w:rPr>
        <w:t xml:space="preserve">Один раз в квартал данные мониторинга оказания медицинской помощи по медицинской реабилитации размещаются в системе мониторинга медицинской статистики согласно соответствующим формам.</w:t>
      </w:r>
    </w:p>
    <w:p>
      <w:pPr>
        <w:pStyle w:val="0"/>
        <w:spacing w:before="200" w:line-rule="auto"/>
        <w:ind w:firstLine="540"/>
        <w:jc w:val="both"/>
      </w:pPr>
      <w:r>
        <w:rPr>
          <w:sz w:val="20"/>
        </w:rPr>
        <w:t xml:space="preserve">Дистанционное наблюдение за состоянием здоровья пациентов с применением телемедицинских технологий в 2021 году не проводилось.</w:t>
      </w:r>
    </w:p>
    <w:p>
      <w:pPr>
        <w:pStyle w:val="0"/>
        <w:spacing w:before="200" w:line-rule="auto"/>
        <w:ind w:firstLine="540"/>
        <w:jc w:val="both"/>
      </w:pPr>
      <w:r>
        <w:rPr>
          <w:sz w:val="20"/>
        </w:rPr>
        <w:t xml:space="preserve">В городе Севастополе функционирует единая РМИС, где ведется электронная медицинская карта пациента. Возможности системы расширяются, но раздел медицинской реабилитации в медицинскую карту не внедрен. Модуль МКФ и доступ к клиническим рекомендациям также пока не интегрированы.</w:t>
      </w:r>
    </w:p>
    <w:p>
      <w:pPr>
        <w:pStyle w:val="0"/>
        <w:spacing w:before="200" w:line-rule="auto"/>
        <w:ind w:firstLine="540"/>
        <w:jc w:val="both"/>
      </w:pPr>
      <w:r>
        <w:rPr>
          <w:sz w:val="20"/>
        </w:rPr>
        <w:t xml:space="preserve">За 2021 год подготовлены три медицинские сестры по специальности "реабилитационное сестринское дело", но нет возможности ввести должность "медицинская сестра по реабилитации", так как по данной специальности не внесены дополнения в нормативную документацию для формирования должностного оклада (приказы Министерства здравоохранения и социального развития Российской Федерации от 06.08.2007 </w:t>
      </w:r>
      <w:hyperlink w:history="0" r:id="rId1034" w:tooltip="Приказ Минздравсоцразвития России от 06.08.2007 N 526 (ред. от 03.03.2017) &quot;Об утверждении профессиональных квалификационных групп должностей медицинских и фармацевтических работников&quot; (Зарегистрировано в Минюсте России 27.09.2007 N 10190) {КонсультантПлюс}">
        <w:r>
          <w:rPr>
            <w:sz w:val="20"/>
            <w:color w:val="0000ff"/>
          </w:rPr>
          <w:t xml:space="preserve">N 526</w:t>
        </w:r>
      </w:hyperlink>
      <w:r>
        <w:rPr>
          <w:sz w:val="20"/>
        </w:rPr>
        <w:t xml:space="preserve">, от 23.07.2010 N 571н).</w:t>
      </w:r>
    </w:p>
    <w:p>
      <w:pPr>
        <w:pStyle w:val="0"/>
        <w:spacing w:before="200" w:line-rule="auto"/>
        <w:ind w:firstLine="540"/>
        <w:jc w:val="both"/>
      </w:pPr>
      <w:r>
        <w:rPr>
          <w:sz w:val="20"/>
        </w:rPr>
        <w:t xml:space="preserve">В 2022 году начали профпереподготовку два врача по специальности "физическая и реабилитационная медицина".</w:t>
      </w:r>
    </w:p>
    <w:p>
      <w:pPr>
        <w:pStyle w:val="0"/>
        <w:spacing w:before="200" w:line-rule="auto"/>
        <w:ind w:firstLine="540"/>
        <w:jc w:val="both"/>
      </w:pPr>
      <w:r>
        <w:rPr>
          <w:sz w:val="20"/>
        </w:rPr>
        <w:t xml:space="preserve">Служба медицинской реабилитации испытывает кадровый дефицит таких специалистов, как врачи физической и реабилитационной медицины (ФРМ), медицинские логопеды, медсестры по физиотерапии, врачи ЛФК, инструкторы ЛФК, специалисты по эргореабилитации.</w:t>
      </w:r>
    </w:p>
    <w:p>
      <w:pPr>
        <w:pStyle w:val="0"/>
        <w:spacing w:before="200" w:line-rule="auto"/>
        <w:ind w:firstLine="540"/>
        <w:jc w:val="both"/>
      </w:pPr>
      <w:r>
        <w:rPr>
          <w:sz w:val="20"/>
        </w:rPr>
        <w:t xml:space="preserve">Основная проблема детской реабилитационной службы заключается в отсутствии отделения ранней реабилитации, что создает трудности в последующем мониторировании процесса на других этапах.</w:t>
      </w:r>
    </w:p>
    <w:p>
      <w:pPr>
        <w:pStyle w:val="0"/>
        <w:spacing w:before="200" w:line-rule="auto"/>
        <w:ind w:firstLine="540"/>
        <w:jc w:val="both"/>
      </w:pPr>
      <w:r>
        <w:rPr>
          <w:sz w:val="20"/>
        </w:rPr>
        <w:t xml:space="preserve">Один из основных вопросов - это обеспечение лечебных учреждений оборудованием в соответствии с </w:t>
      </w:r>
      <w:hyperlink w:history="0" r:id="rId1035"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Порядком</w:t>
        </w:r>
      </w:hyperlink>
      <w:r>
        <w:rPr>
          <w:sz w:val="20"/>
        </w:rPr>
        <w:t xml:space="preserve"> организации медицинской реабилитации детей, утвержденным приказом Министерства здравоохранения Российской Федерации от 23.10.2019 N 878н. Проблема заключается в недостатке площадей для размещения отделений, что препятствует открытию отделений ранней реабилитации и расширению II этапа, а также в отсутствии средств на оснащение.</w:t>
      </w:r>
    </w:p>
    <w:p>
      <w:pPr>
        <w:pStyle w:val="0"/>
        <w:spacing w:before="200" w:line-rule="auto"/>
        <w:ind w:firstLine="540"/>
        <w:jc w:val="both"/>
      </w:pPr>
      <w:r>
        <w:rPr>
          <w:sz w:val="20"/>
        </w:rPr>
        <w:t xml:space="preserve">Для организации медицинской помощи по профилю "медицинская реабилитация" для детского населения необходимо актуализировать маршрутизацию пациентов и переориентировать работу существующих медицинских организаций.</w:t>
      </w:r>
    </w:p>
    <w:p>
      <w:pPr>
        <w:pStyle w:val="0"/>
        <w:jc w:val="right"/>
      </w:pPr>
      <w:r>
        <w:rPr>
          <w:sz w:val="20"/>
        </w:rPr>
      </w:r>
    </w:p>
    <w:p>
      <w:pPr>
        <w:pStyle w:val="0"/>
        <w:jc w:val="right"/>
      </w:pPr>
      <w:r>
        <w:rPr>
          <w:sz w:val="20"/>
        </w:rPr>
        <w:t xml:space="preserve">Рисунок 3</w:t>
      </w:r>
    </w:p>
    <w:p>
      <w:pPr>
        <w:pStyle w:val="0"/>
        <w:jc w:val="right"/>
      </w:pPr>
      <w:r>
        <w:rPr>
          <w:sz w:val="20"/>
        </w:rPr>
      </w:r>
    </w:p>
    <w:p>
      <w:pPr>
        <w:pStyle w:val="0"/>
        <w:jc w:val="center"/>
      </w:pPr>
      <w:r>
        <w:rPr>
          <w:sz w:val="20"/>
        </w:rPr>
        <w:t xml:space="preserve">Схема организации медицинской реабилитации детям</w:t>
      </w:r>
    </w:p>
    <w:p>
      <w:pPr>
        <w:pStyle w:val="0"/>
        <w:jc w:val="center"/>
      </w:pPr>
      <w:r>
        <w:rPr>
          <w:sz w:val="20"/>
        </w:rPr>
      </w:r>
    </w:p>
    <w:p>
      <w:pPr>
        <w:pStyle w:val="0"/>
        <w:jc w:val="center"/>
      </w:pPr>
      <w:r>
        <w:rPr>
          <w:position w:val="-206"/>
        </w:rPr>
        <w:drawing>
          <wp:inline distT="0" distB="0" distL="0" distR="0">
            <wp:extent cx="5041265" cy="275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a:extLst>
                        <a:ext uri="{28A0092B-C50C-407E-A947-70E740481C1C}">
                          <a14:useLocalDpi xmlns:a14="http://schemas.microsoft.com/office/drawing/2010/main" val="0"/>
                        </a:ext>
                      </a:extLst>
                    </a:blip>
                    <a:srcRect/>
                    <a:stretch>
                      <a:fillRect/>
                    </a:stretch>
                  </pic:blipFill>
                  <pic:spPr bwMode="auto">
                    <a:xfrm>
                      <a:off x="0" y="0"/>
                      <a:ext cx="5041265" cy="275526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I этап медицинской реабилитации осуществляется на базе отделения реанимации, хирургических и соматических отделений ГБ N 5, для соответствия требованиям </w:t>
      </w:r>
      <w:hyperlink w:history="0" r:id="rId1037"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Порядка</w:t>
        </w:r>
      </w:hyperlink>
      <w:r>
        <w:rPr>
          <w:sz w:val="20"/>
        </w:rPr>
        <w:t xml:space="preserve"> организации медицинской реабилитации детей, утвержденного приказом Министерства здравоохранения Российской Федерации от 23.10.2019 N 878н, существует необходимость в открытии реабилитационного (бескоечного) отделения путем перепрофилирования физиотерапевтического отделения для осуществления медицинской реабилитации по профилю койки.</w:t>
      </w:r>
    </w:p>
    <w:p>
      <w:pPr>
        <w:pStyle w:val="0"/>
        <w:spacing w:before="200" w:line-rule="auto"/>
        <w:ind w:firstLine="540"/>
        <w:jc w:val="both"/>
      </w:pPr>
      <w:r>
        <w:rPr>
          <w:sz w:val="20"/>
        </w:rPr>
        <w:t xml:space="preserve">II и III этапы медицинской реабилитации детского населения города Севастополя в условиях дневного стационара в 2021 году осуществлялись на базе Детского центра медицинской реабилитации. II этап медицинской реабилитации в условиях круглосуточного стационара не работает, есть необходимость открыть 15 круглосуточных реабилитационных коек в отделениях детской неврологии, ортопедии и травматологии.</w:t>
      </w:r>
    </w:p>
    <w:p>
      <w:pPr>
        <w:pStyle w:val="0"/>
        <w:spacing w:before="200" w:line-rule="auto"/>
        <w:ind w:firstLine="540"/>
        <w:jc w:val="both"/>
      </w:pPr>
      <w:r>
        <w:rPr>
          <w:sz w:val="20"/>
        </w:rPr>
        <w:t xml:space="preserve">III амбулаторный этап медицинской реабилитации осуществляется в физиокабинетах Детского медицинского центра ГБ N 5, преимущественно в педиатрическом отделении N 2 (ул. Адмирала Юмашева, 19г).</w:t>
      </w:r>
    </w:p>
    <w:p>
      <w:pPr>
        <w:pStyle w:val="0"/>
        <w:spacing w:before="200" w:line-rule="auto"/>
        <w:ind w:firstLine="540"/>
        <w:jc w:val="both"/>
      </w:pPr>
      <w:r>
        <w:rPr>
          <w:sz w:val="20"/>
        </w:rPr>
        <w:t xml:space="preserve">Для выполнения стандартов и протоколов оказания специализированной медицинской помощи по профилю "медицинская реабилитация" "ДЦМР" нуждается в расширении штатов: инструктора ЛФК - 2 ставки, введение в штат новых единиц: реабилитационная медсестра - 2 ставки, врач физической и реабилитационной медицины (ФРМ) - 1 ставка, специалист по эргореабилитации - 1 ставка.</w:t>
      </w:r>
    </w:p>
    <w:p>
      <w:pPr>
        <w:pStyle w:val="0"/>
        <w:spacing w:before="200" w:line-rule="auto"/>
        <w:ind w:firstLine="540"/>
        <w:jc w:val="both"/>
      </w:pPr>
      <w:r>
        <w:rPr>
          <w:sz w:val="20"/>
        </w:rPr>
        <w:t xml:space="preserve">Для улучшения работы на III амбулаторном этапе реабилитации необходимо открытие на базе детских поликлиник кабинетов медицинской реабилитации и укомплектование их врачами ФРМ.</w:t>
      </w:r>
    </w:p>
    <w:p>
      <w:pPr>
        <w:pStyle w:val="0"/>
        <w:spacing w:before="200" w:line-rule="auto"/>
        <w:ind w:firstLine="540"/>
        <w:jc w:val="both"/>
      </w:pPr>
      <w:r>
        <w:rPr>
          <w:sz w:val="20"/>
        </w:rPr>
        <w:t xml:space="preserve">Исходя из вышеизложенного, для обеспечения детской реабилитационной службы существует потребность в обучении с последующим трудоустройством и расширением штата медицинских организаций следующих специалистов: 6 врачей ФРМ, 7 реабилитационных медицинских сестер, 14 медсестер по физиотерапии, 5 медсестер по массажу, 8 инструкторов ЛФК, 1 специалист по эргореабилитации.</w:t>
      </w:r>
    </w:p>
    <w:p>
      <w:pPr>
        <w:pStyle w:val="0"/>
        <w:spacing w:before="200" w:line-rule="auto"/>
        <w:ind w:firstLine="540"/>
        <w:jc w:val="both"/>
      </w:pPr>
      <w:r>
        <w:rPr>
          <w:sz w:val="20"/>
        </w:rPr>
        <w:t xml:space="preserve">Существует необходимость более эффективно задействовать свободный коечный фонд ГКУЗС "Дом ребенка" для оказания медицинской реабилитации и абилитации детям первого года жизни и услуг ранней помощи детям и их семьям, перевод специалистов ГКУЗС "Дом ребенка" на оказание услуг мультидисциплинарной реабилитационной командой в категориях МКФ.</w:t>
      </w:r>
    </w:p>
    <w:p>
      <w:pPr>
        <w:pStyle w:val="0"/>
        <w:spacing w:before="200" w:line-rule="auto"/>
        <w:ind w:firstLine="540"/>
        <w:jc w:val="both"/>
      </w:pPr>
      <w:r>
        <w:rPr>
          <w:sz w:val="20"/>
        </w:rPr>
        <w:t xml:space="preserve">Планируемые мероприятия:</w:t>
      </w:r>
    </w:p>
    <w:p>
      <w:pPr>
        <w:pStyle w:val="0"/>
        <w:spacing w:before="200" w:line-rule="auto"/>
        <w:ind w:firstLine="540"/>
        <w:jc w:val="both"/>
      </w:pPr>
      <w:r>
        <w:rPr>
          <w:sz w:val="20"/>
        </w:rPr>
        <w:t xml:space="preserve">1. Открытие отделения ранней медицинской реабилитации в ГБ N 5.</w:t>
      </w:r>
    </w:p>
    <w:p>
      <w:pPr>
        <w:pStyle w:val="0"/>
        <w:spacing w:before="200" w:line-rule="auto"/>
        <w:ind w:firstLine="540"/>
        <w:jc w:val="both"/>
      </w:pPr>
      <w:r>
        <w:rPr>
          <w:sz w:val="20"/>
        </w:rPr>
        <w:t xml:space="preserve">2. Открытие стационарного отделения III этапа реабилитации.</w:t>
      </w:r>
    </w:p>
    <w:p>
      <w:pPr>
        <w:pStyle w:val="0"/>
        <w:spacing w:before="200" w:line-rule="auto"/>
        <w:ind w:firstLine="540"/>
        <w:jc w:val="both"/>
      </w:pPr>
      <w:r>
        <w:rPr>
          <w:sz w:val="20"/>
        </w:rPr>
        <w:t xml:space="preserve">3. Оснащение и дооснащение реабилитационным оборудованием отделений ГБ N 5.</w:t>
      </w:r>
    </w:p>
    <w:p>
      <w:pPr>
        <w:pStyle w:val="0"/>
        <w:spacing w:before="200" w:line-rule="auto"/>
        <w:ind w:firstLine="540"/>
        <w:jc w:val="both"/>
      </w:pPr>
      <w:r>
        <w:rPr>
          <w:sz w:val="20"/>
        </w:rPr>
        <w:t xml:space="preserve">4. Профпереподготовка специалистов по специальностям: "врач ФРМ", "специалист по эргореабилитации", "медицинский логопед".</w:t>
      </w:r>
    </w:p>
    <w:p>
      <w:pPr>
        <w:pStyle w:val="0"/>
        <w:spacing w:before="200" w:line-rule="auto"/>
        <w:ind w:firstLine="540"/>
        <w:jc w:val="both"/>
      </w:pPr>
      <w:r>
        <w:rPr>
          <w:sz w:val="20"/>
        </w:rPr>
        <w:t xml:space="preserve">5. Организация маршрутизации пациентов с учетом трехуровневого оказания медицинской помощи по медицинской реабилитации.</w:t>
      </w:r>
    </w:p>
    <w:p>
      <w:pPr>
        <w:pStyle w:val="0"/>
        <w:spacing w:before="200" w:line-rule="auto"/>
        <w:ind w:firstLine="540"/>
        <w:jc w:val="both"/>
      </w:pPr>
      <w:r>
        <w:rPr>
          <w:sz w:val="20"/>
        </w:rPr>
        <w:t xml:space="preserve">6. Интегрирование модуля МКФ и доступ к клиническим рекомендациям в РМИС.</w:t>
      </w:r>
    </w:p>
    <w:p>
      <w:pPr>
        <w:pStyle w:val="0"/>
      </w:pPr>
      <w:r>
        <w:rPr>
          <w:sz w:val="20"/>
        </w:rPr>
      </w:r>
    </w:p>
    <w:p>
      <w:pPr>
        <w:pStyle w:val="2"/>
        <w:outlineLvl w:val="2"/>
        <w:jc w:val="center"/>
      </w:pPr>
      <w:r>
        <w:rPr>
          <w:sz w:val="20"/>
        </w:rPr>
        <w:t xml:space="preserve">2. Цели, показатели и сроки реализации региональной</w:t>
      </w:r>
    </w:p>
    <w:p>
      <w:pPr>
        <w:pStyle w:val="2"/>
        <w:jc w:val="center"/>
      </w:pPr>
      <w:r>
        <w:rPr>
          <w:sz w:val="20"/>
        </w:rPr>
        <w:t xml:space="preserve">программы "Оптимальная для восстановления здоровья</w:t>
      </w:r>
    </w:p>
    <w:p>
      <w:pPr>
        <w:pStyle w:val="2"/>
        <w:jc w:val="center"/>
      </w:pPr>
      <w:r>
        <w:rPr>
          <w:sz w:val="20"/>
        </w:rPr>
        <w:t xml:space="preserve">медицинская реабилитация в городе Севастополе"</w:t>
      </w:r>
    </w:p>
    <w:p>
      <w:pPr>
        <w:pStyle w:val="0"/>
        <w:ind w:firstLine="540"/>
        <w:jc w:val="both"/>
      </w:pPr>
      <w:r>
        <w:rPr>
          <w:sz w:val="20"/>
        </w:rPr>
      </w:r>
    </w:p>
    <w:p>
      <w:pPr>
        <w:pStyle w:val="0"/>
        <w:ind w:firstLine="540"/>
        <w:jc w:val="both"/>
      </w:pPr>
      <w:r>
        <w:rPr>
          <w:sz w:val="20"/>
        </w:rPr>
        <w:t xml:space="preserve">Цели региональной программы:</w:t>
      </w:r>
    </w:p>
    <w:p>
      <w:pPr>
        <w:pStyle w:val="0"/>
        <w:spacing w:before="200" w:line-rule="auto"/>
        <w:ind w:firstLine="540"/>
        <w:jc w:val="both"/>
      </w:pPr>
      <w:r>
        <w:rPr>
          <w:sz w:val="20"/>
        </w:rPr>
        <w:t xml:space="preserve">- обеспечена доступность оказания медицинской помощи по медицинской реабилитации;</w:t>
      </w:r>
    </w:p>
    <w:p>
      <w:pPr>
        <w:pStyle w:val="0"/>
        <w:spacing w:before="200" w:line-rule="auto"/>
        <w:ind w:firstLine="540"/>
        <w:jc w:val="both"/>
      </w:pPr>
      <w:r>
        <w:rPr>
          <w:sz w:val="20"/>
        </w:rPr>
        <w:t xml:space="preserve">- граждане информированы о возможностях медицинской реабилитации.</w:t>
      </w:r>
    </w:p>
    <w:p>
      <w:pPr>
        <w:pStyle w:val="0"/>
        <w:spacing w:before="200" w:line-rule="auto"/>
        <w:ind w:firstLine="540"/>
        <w:jc w:val="both"/>
      </w:pPr>
      <w:r>
        <w:rPr>
          <w:sz w:val="20"/>
        </w:rPr>
        <w:t xml:space="preserve">Основными задачами региональной программы являются:</w:t>
      </w:r>
    </w:p>
    <w:p>
      <w:pPr>
        <w:pStyle w:val="0"/>
        <w:spacing w:before="200" w:line-rule="auto"/>
        <w:ind w:firstLine="540"/>
        <w:jc w:val="both"/>
      </w:pPr>
      <w:r>
        <w:rPr>
          <w:sz w:val="20"/>
        </w:rPr>
        <w:t xml:space="preserve">- обеспечение доступности медицинской реабилитации на всех этапах;</w:t>
      </w:r>
    </w:p>
    <w:p>
      <w:pPr>
        <w:pStyle w:val="0"/>
        <w:spacing w:before="200" w:line-rule="auto"/>
        <w:ind w:firstLine="540"/>
        <w:jc w:val="both"/>
      </w:pPr>
      <w:r>
        <w:rPr>
          <w:sz w:val="20"/>
        </w:rPr>
        <w:t xml:space="preserve">- совершенствование и развитие организации медицинской реабилитации в рамках оказания специализированной, в том числе высокотехнологичной, медицинской помощи (I, II этап);</w:t>
      </w:r>
    </w:p>
    <w:p>
      <w:pPr>
        <w:pStyle w:val="0"/>
        <w:spacing w:before="200" w:line-rule="auto"/>
        <w:ind w:firstLine="540"/>
        <w:jc w:val="both"/>
      </w:pPr>
      <w:r>
        <w:rPr>
          <w:sz w:val="20"/>
        </w:rPr>
        <w:t xml:space="preserve">- совершенствование и развитие организации медицинской реабилитации в рамках оказания первичной медико-санитарной помощи в амбулаторных условиях и условиях дневного стационара (III этап);</w:t>
      </w:r>
    </w:p>
    <w:p>
      <w:pPr>
        <w:pStyle w:val="0"/>
        <w:spacing w:before="200" w:line-rule="auto"/>
        <w:ind w:firstLine="540"/>
        <w:jc w:val="both"/>
      </w:pPr>
      <w:r>
        <w:rPr>
          <w:sz w:val="20"/>
        </w:rPr>
        <w:t xml:space="preserve">- кадровое обеспечение реабилитационной службы города Севастополя;</w:t>
      </w:r>
    </w:p>
    <w:p>
      <w:pPr>
        <w:pStyle w:val="0"/>
        <w:spacing w:before="200" w:line-rule="auto"/>
        <w:ind w:firstLine="540"/>
        <w:jc w:val="both"/>
      </w:pPr>
      <w:r>
        <w:rPr>
          <w:sz w:val="20"/>
        </w:rPr>
        <w:t xml:space="preserve">- организационно-методическое сопровождение деятельности реабилитационной службы города Севастополя;</w:t>
      </w:r>
    </w:p>
    <w:p>
      <w:pPr>
        <w:pStyle w:val="0"/>
        <w:spacing w:before="200" w:line-rule="auto"/>
        <w:ind w:firstLine="540"/>
        <w:jc w:val="both"/>
      </w:pPr>
      <w:r>
        <w:rPr>
          <w:sz w:val="20"/>
        </w:rPr>
        <w:t xml:space="preserve">- информирование граждан о возможностях медицинской реабилитации;</w:t>
      </w:r>
    </w:p>
    <w:p>
      <w:pPr>
        <w:pStyle w:val="0"/>
        <w:spacing w:before="200" w:line-rule="auto"/>
        <w:ind w:firstLine="540"/>
        <w:jc w:val="both"/>
      </w:pPr>
      <w:r>
        <w:rPr>
          <w:sz w:val="20"/>
        </w:rPr>
        <w:t xml:space="preserve">- укрепление материально-технической базы службы медицинской реабилитации города Севастополя;</w:t>
      </w:r>
    </w:p>
    <w:p>
      <w:pPr>
        <w:pStyle w:val="0"/>
        <w:spacing w:before="200" w:line-rule="auto"/>
        <w:ind w:firstLine="540"/>
        <w:jc w:val="both"/>
      </w:pPr>
      <w:r>
        <w:rPr>
          <w:sz w:val="20"/>
        </w:rPr>
        <w:t xml:space="preserve">- разработка и внедрение порядка медицинской реабилитации с применением телемедицинских технологий;</w:t>
      </w:r>
    </w:p>
    <w:p>
      <w:pPr>
        <w:pStyle w:val="0"/>
        <w:spacing w:before="200" w:line-rule="auto"/>
        <w:ind w:firstLine="540"/>
        <w:jc w:val="both"/>
      </w:pPr>
      <w:r>
        <w:rPr>
          <w:sz w:val="20"/>
        </w:rPr>
        <w:t xml:space="preserve">- внедрение клинических рекомендаций при оказании медицинской помощи по профилю "медицинская реабилитация".</w:t>
      </w:r>
    </w:p>
    <w:p>
      <w:pPr>
        <w:pStyle w:val="0"/>
        <w:ind w:firstLine="540"/>
        <w:jc w:val="both"/>
      </w:pPr>
      <w:r>
        <w:rPr>
          <w:sz w:val="20"/>
        </w:rPr>
      </w:r>
    </w:p>
    <w:p>
      <w:pPr>
        <w:pStyle w:val="0"/>
        <w:jc w:val="right"/>
      </w:pPr>
      <w:r>
        <w:rPr>
          <w:sz w:val="20"/>
        </w:rPr>
        <w:t xml:space="preserve">Таблица 25</w:t>
      </w:r>
    </w:p>
    <w:p>
      <w:pPr>
        <w:pStyle w:val="0"/>
        <w:jc w:val="right"/>
      </w:pPr>
      <w:r>
        <w:rPr>
          <w:sz w:val="20"/>
        </w:rPr>
      </w:r>
    </w:p>
    <w:p>
      <w:pPr>
        <w:pStyle w:val="0"/>
        <w:jc w:val="center"/>
      </w:pPr>
      <w:r>
        <w:rPr>
          <w:sz w:val="20"/>
        </w:rPr>
        <w:t xml:space="preserve">Показатели региональной программы</w:t>
      </w:r>
    </w:p>
    <w:p>
      <w:pPr>
        <w:pStyle w:val="0"/>
        <w:jc w:val="center"/>
      </w:pPr>
      <w:r>
        <w:rPr>
          <w:sz w:val="20"/>
        </w:rPr>
        <w:t xml:space="preserve">"Оптимальная для восстановления здоровья медицинская</w:t>
      </w:r>
    </w:p>
    <w:p>
      <w:pPr>
        <w:pStyle w:val="0"/>
        <w:jc w:val="center"/>
      </w:pPr>
      <w:r>
        <w:rPr>
          <w:sz w:val="20"/>
        </w:rPr>
        <w:t xml:space="preserve">реабилитация в городе Севастополе"</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324"/>
        <w:gridCol w:w="1247"/>
        <w:gridCol w:w="815"/>
        <w:gridCol w:w="680"/>
        <w:gridCol w:w="680"/>
        <w:gridCol w:w="737"/>
        <w:gridCol w:w="599"/>
        <w:gridCol w:w="759"/>
        <w:gridCol w:w="679"/>
        <w:gridCol w:w="680"/>
        <w:gridCol w:w="1984"/>
      </w:tblGrid>
      <w:tr>
        <w:tc>
          <w:tcPr>
            <w:tcW w:w="567" w:type="dxa"/>
            <w:vMerge w:val="restart"/>
          </w:tcPr>
          <w:p>
            <w:pPr>
              <w:pStyle w:val="0"/>
              <w:jc w:val="center"/>
            </w:pPr>
            <w:r>
              <w:rPr>
                <w:sz w:val="20"/>
              </w:rPr>
              <w:t xml:space="preserve">N п/п</w:t>
            </w:r>
          </w:p>
        </w:tc>
        <w:tc>
          <w:tcPr>
            <w:tcW w:w="2324" w:type="dxa"/>
            <w:vMerge w:val="restart"/>
          </w:tcPr>
          <w:p>
            <w:pPr>
              <w:pStyle w:val="0"/>
              <w:jc w:val="center"/>
            </w:pPr>
            <w:r>
              <w:rPr>
                <w:sz w:val="20"/>
              </w:rPr>
              <w:t xml:space="preserve">Показатели федерального проекта</w:t>
            </w:r>
          </w:p>
        </w:tc>
        <w:tc>
          <w:tcPr>
            <w:tcW w:w="1247" w:type="dxa"/>
            <w:vMerge w:val="restart"/>
          </w:tcPr>
          <w:p>
            <w:pPr>
              <w:pStyle w:val="0"/>
              <w:jc w:val="center"/>
            </w:pPr>
            <w:r>
              <w:rPr>
                <w:sz w:val="20"/>
              </w:rPr>
              <w:t xml:space="preserve">Единицы измерения (по </w:t>
            </w:r>
            <w:hyperlink w:history="0" r:id="rId1038"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ОКЕИ</w:t>
              </w:r>
            </w:hyperlink>
            <w:r>
              <w:rPr>
                <w:sz w:val="20"/>
              </w:rPr>
              <w:t xml:space="preserve">)</w:t>
            </w:r>
          </w:p>
        </w:tc>
        <w:tc>
          <w:tcPr>
            <w:gridSpan w:val="2"/>
            <w:tcW w:w="1495" w:type="dxa"/>
          </w:tcPr>
          <w:p>
            <w:pPr>
              <w:pStyle w:val="0"/>
              <w:jc w:val="center"/>
            </w:pPr>
            <w:r>
              <w:rPr>
                <w:sz w:val="20"/>
              </w:rPr>
              <w:t xml:space="preserve">Базовое значение</w:t>
            </w:r>
          </w:p>
        </w:tc>
        <w:tc>
          <w:tcPr>
            <w:gridSpan w:val="6"/>
            <w:tcW w:w="4134" w:type="dxa"/>
          </w:tcPr>
          <w:p>
            <w:pPr>
              <w:pStyle w:val="0"/>
              <w:jc w:val="center"/>
            </w:pPr>
            <w:r>
              <w:rPr>
                <w:sz w:val="20"/>
              </w:rPr>
              <w:t xml:space="preserve">Период, год</w:t>
            </w:r>
          </w:p>
        </w:tc>
        <w:tc>
          <w:tcPr>
            <w:tcW w:w="1984" w:type="dxa"/>
          </w:tcPr>
          <w:p>
            <w:pPr>
              <w:pStyle w:val="0"/>
              <w:jc w:val="center"/>
            </w:pPr>
            <w:r>
              <w:rPr>
                <w:sz w:val="20"/>
              </w:rPr>
              <w:t xml:space="preserve">Информационная система (источник данных)</w:t>
            </w:r>
          </w:p>
        </w:tc>
      </w:tr>
      <w:tr>
        <w:tc>
          <w:tcPr>
            <w:vMerge w:val="continue"/>
          </w:tcPr>
          <w:p/>
        </w:tc>
        <w:tc>
          <w:tcPr>
            <w:vMerge w:val="continue"/>
          </w:tcPr>
          <w:p/>
        </w:tc>
        <w:tc>
          <w:tcPr>
            <w:vMerge w:val="continue"/>
          </w:tcPr>
          <w:p/>
        </w:tc>
        <w:tc>
          <w:tcPr>
            <w:tcW w:w="815" w:type="dxa"/>
          </w:tcPr>
          <w:p>
            <w:pPr>
              <w:pStyle w:val="0"/>
              <w:jc w:val="center"/>
            </w:pPr>
            <w:r>
              <w:rPr>
                <w:sz w:val="20"/>
              </w:rPr>
              <w:t xml:space="preserve">Значение</w:t>
            </w:r>
          </w:p>
        </w:tc>
        <w:tc>
          <w:tcPr>
            <w:tcW w:w="680" w:type="dxa"/>
          </w:tcPr>
          <w:p>
            <w:pPr>
              <w:pStyle w:val="0"/>
              <w:jc w:val="center"/>
            </w:pPr>
            <w:r>
              <w:rPr>
                <w:sz w:val="20"/>
              </w:rPr>
              <w:t xml:space="preserve">Год</w:t>
            </w:r>
          </w:p>
        </w:tc>
        <w:tc>
          <w:tcPr>
            <w:tcW w:w="680" w:type="dxa"/>
          </w:tcPr>
          <w:p>
            <w:pPr>
              <w:pStyle w:val="0"/>
              <w:jc w:val="center"/>
            </w:pPr>
            <w:r>
              <w:rPr>
                <w:sz w:val="20"/>
              </w:rPr>
              <w:t xml:space="preserve">2021</w:t>
            </w:r>
          </w:p>
        </w:tc>
        <w:tc>
          <w:tcPr>
            <w:tcW w:w="737" w:type="dxa"/>
          </w:tcPr>
          <w:p>
            <w:pPr>
              <w:pStyle w:val="0"/>
              <w:jc w:val="center"/>
            </w:pPr>
            <w:r>
              <w:rPr>
                <w:sz w:val="20"/>
              </w:rPr>
              <w:t xml:space="preserve">2022</w:t>
            </w:r>
          </w:p>
        </w:tc>
        <w:tc>
          <w:tcPr>
            <w:tcW w:w="599" w:type="dxa"/>
          </w:tcPr>
          <w:p>
            <w:pPr>
              <w:pStyle w:val="0"/>
              <w:jc w:val="center"/>
            </w:pPr>
            <w:r>
              <w:rPr>
                <w:sz w:val="20"/>
              </w:rPr>
              <w:t xml:space="preserve">2023</w:t>
            </w:r>
          </w:p>
        </w:tc>
        <w:tc>
          <w:tcPr>
            <w:tcW w:w="759" w:type="dxa"/>
          </w:tcPr>
          <w:p>
            <w:pPr>
              <w:pStyle w:val="0"/>
              <w:jc w:val="center"/>
            </w:pPr>
            <w:r>
              <w:rPr>
                <w:sz w:val="20"/>
              </w:rPr>
              <w:t xml:space="preserve">2024</w:t>
            </w:r>
          </w:p>
        </w:tc>
        <w:tc>
          <w:tcPr>
            <w:tcW w:w="679" w:type="dxa"/>
          </w:tcPr>
          <w:p>
            <w:pPr>
              <w:pStyle w:val="0"/>
              <w:jc w:val="center"/>
            </w:pPr>
            <w:r>
              <w:rPr>
                <w:sz w:val="20"/>
              </w:rPr>
              <w:t xml:space="preserve">2025</w:t>
            </w:r>
          </w:p>
        </w:tc>
        <w:tc>
          <w:tcPr>
            <w:tcW w:w="680" w:type="dxa"/>
          </w:tcPr>
          <w:p>
            <w:pPr>
              <w:pStyle w:val="0"/>
              <w:jc w:val="center"/>
            </w:pPr>
            <w:r>
              <w:rPr>
                <w:sz w:val="20"/>
              </w:rPr>
              <w:t xml:space="preserve">2030</w:t>
            </w:r>
          </w:p>
        </w:tc>
        <w:tc>
          <w:tcPr>
            <w:tcW w:w="1984" w:type="dxa"/>
          </w:tcPr>
          <w:p>
            <w:pPr>
              <w:pStyle w:val="0"/>
              <w:jc w:val="center"/>
            </w:pPr>
            <w:r>
              <w:rPr>
                <w:sz w:val="20"/>
              </w:rPr>
            </w:r>
          </w:p>
        </w:tc>
      </w:tr>
      <w:tr>
        <w:tc>
          <w:tcPr>
            <w:tcW w:w="567" w:type="dxa"/>
          </w:tcPr>
          <w:p>
            <w:pPr>
              <w:pStyle w:val="0"/>
              <w:jc w:val="both"/>
            </w:pPr>
            <w:r>
              <w:rPr>
                <w:sz w:val="20"/>
              </w:rPr>
              <w:t xml:space="preserve">1.</w:t>
            </w:r>
          </w:p>
        </w:tc>
        <w:tc>
          <w:tcPr>
            <w:gridSpan w:val="11"/>
            <w:tcW w:w="11184" w:type="dxa"/>
          </w:tcPr>
          <w:p>
            <w:pPr>
              <w:pStyle w:val="0"/>
              <w:jc w:val="center"/>
            </w:pPr>
            <w:r>
              <w:rPr>
                <w:sz w:val="20"/>
              </w:rPr>
              <w:t xml:space="preserve">Обеспечена доступность оказания медицинской помощи по медицинской реабилитации</w:t>
            </w:r>
          </w:p>
        </w:tc>
      </w:tr>
      <w:tr>
        <w:tc>
          <w:tcPr>
            <w:tcW w:w="567" w:type="dxa"/>
          </w:tcPr>
          <w:p>
            <w:pPr>
              <w:pStyle w:val="0"/>
              <w:jc w:val="both"/>
            </w:pPr>
            <w:r>
              <w:rPr>
                <w:sz w:val="20"/>
              </w:rPr>
              <w:t xml:space="preserve">1.1.</w:t>
            </w:r>
          </w:p>
        </w:tc>
        <w:tc>
          <w:tcPr>
            <w:tcW w:w="2324" w:type="dxa"/>
          </w:tcPr>
          <w:p>
            <w:pPr>
              <w:pStyle w:val="0"/>
              <w:jc w:val="both"/>
            </w:pPr>
            <w:r>
              <w:rPr>
                <w:sz w:val="20"/>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w:t>
            </w:r>
          </w:p>
        </w:tc>
        <w:tc>
          <w:tcPr>
            <w:tcW w:w="1247" w:type="dxa"/>
          </w:tcPr>
          <w:p>
            <w:pPr>
              <w:pStyle w:val="0"/>
              <w:jc w:val="both"/>
            </w:pPr>
            <w:r>
              <w:rPr>
                <w:sz w:val="20"/>
              </w:rPr>
              <w:t xml:space="preserve">Процент</w:t>
            </w:r>
          </w:p>
        </w:tc>
        <w:tc>
          <w:tcPr>
            <w:tcW w:w="815" w:type="dxa"/>
          </w:tcPr>
          <w:p>
            <w:pPr>
              <w:pStyle w:val="0"/>
              <w:jc w:val="center"/>
            </w:pPr>
            <w:r>
              <w:rPr>
                <w:sz w:val="20"/>
              </w:rPr>
              <w:t xml:space="preserve">16,2</w:t>
            </w:r>
          </w:p>
        </w:tc>
        <w:tc>
          <w:tcPr>
            <w:tcW w:w="680" w:type="dxa"/>
          </w:tcPr>
          <w:p>
            <w:pPr>
              <w:pStyle w:val="0"/>
              <w:jc w:val="center"/>
            </w:pPr>
            <w:r>
              <w:rPr>
                <w:sz w:val="20"/>
              </w:rPr>
              <w:t xml:space="preserve">2019</w:t>
            </w:r>
          </w:p>
        </w:tc>
        <w:tc>
          <w:tcPr>
            <w:tcW w:w="680" w:type="dxa"/>
          </w:tcPr>
          <w:p>
            <w:pPr>
              <w:pStyle w:val="0"/>
              <w:jc w:val="center"/>
            </w:pPr>
            <w:r>
              <w:rPr>
                <w:sz w:val="20"/>
              </w:rPr>
              <w:t xml:space="preserve">-</w:t>
            </w:r>
          </w:p>
        </w:tc>
        <w:tc>
          <w:tcPr>
            <w:tcW w:w="737" w:type="dxa"/>
          </w:tcPr>
          <w:p>
            <w:pPr>
              <w:pStyle w:val="0"/>
              <w:jc w:val="center"/>
            </w:pPr>
            <w:r>
              <w:rPr>
                <w:sz w:val="20"/>
              </w:rPr>
              <w:t xml:space="preserve">95</w:t>
            </w:r>
          </w:p>
        </w:tc>
        <w:tc>
          <w:tcPr>
            <w:tcW w:w="599" w:type="dxa"/>
          </w:tcPr>
          <w:p>
            <w:pPr>
              <w:pStyle w:val="0"/>
              <w:jc w:val="center"/>
            </w:pPr>
            <w:r>
              <w:rPr>
                <w:sz w:val="20"/>
              </w:rPr>
              <w:t xml:space="preserve">95</w:t>
            </w:r>
          </w:p>
        </w:tc>
        <w:tc>
          <w:tcPr>
            <w:tcW w:w="759" w:type="dxa"/>
          </w:tcPr>
          <w:p>
            <w:pPr>
              <w:pStyle w:val="0"/>
              <w:jc w:val="center"/>
            </w:pPr>
            <w:r>
              <w:rPr>
                <w:sz w:val="20"/>
              </w:rPr>
              <w:t xml:space="preserve">95</w:t>
            </w:r>
          </w:p>
        </w:tc>
        <w:tc>
          <w:tcPr>
            <w:tcW w:w="679" w:type="dxa"/>
          </w:tcPr>
          <w:p>
            <w:pPr>
              <w:pStyle w:val="0"/>
              <w:jc w:val="center"/>
            </w:pPr>
            <w:r>
              <w:rPr>
                <w:sz w:val="20"/>
              </w:rPr>
              <w:t xml:space="preserve">95</w:t>
            </w:r>
          </w:p>
        </w:tc>
        <w:tc>
          <w:tcPr>
            <w:tcW w:w="680" w:type="dxa"/>
          </w:tcPr>
          <w:p>
            <w:pPr>
              <w:pStyle w:val="0"/>
              <w:jc w:val="center"/>
            </w:pPr>
            <w:r>
              <w:rPr>
                <w:sz w:val="20"/>
              </w:rPr>
              <w:t xml:space="preserve">95</w:t>
            </w:r>
          </w:p>
        </w:tc>
        <w:tc>
          <w:tcPr>
            <w:tcW w:w="1984" w:type="dxa"/>
          </w:tcPr>
          <w:p>
            <w:pPr>
              <w:pStyle w:val="0"/>
              <w:jc w:val="both"/>
            </w:pPr>
            <w:r>
              <w:rPr>
                <w:sz w:val="20"/>
              </w:rPr>
              <w:t xml:space="preserve">Государственная информационная система обязательного медицинского страхования, форма федерального статистического наблюдения N 14-МЕД (ОМС)</w:t>
            </w:r>
          </w:p>
        </w:tc>
      </w:tr>
      <w:tr>
        <w:tc>
          <w:tcPr>
            <w:tcW w:w="567" w:type="dxa"/>
          </w:tcPr>
          <w:p>
            <w:pPr>
              <w:pStyle w:val="0"/>
              <w:jc w:val="both"/>
            </w:pPr>
            <w:r>
              <w:rPr>
                <w:sz w:val="20"/>
              </w:rPr>
              <w:t xml:space="preserve">1.2.</w:t>
            </w:r>
          </w:p>
        </w:tc>
        <w:tc>
          <w:tcPr>
            <w:tcW w:w="2324" w:type="dxa"/>
          </w:tcPr>
          <w:p>
            <w:pPr>
              <w:pStyle w:val="0"/>
              <w:jc w:val="both"/>
            </w:pPr>
            <w:r>
              <w:rPr>
                <w:sz w:val="20"/>
              </w:rPr>
              <w:t xml:space="preserve">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w:t>
            </w:r>
          </w:p>
        </w:tc>
        <w:tc>
          <w:tcPr>
            <w:tcW w:w="1247" w:type="dxa"/>
          </w:tcPr>
          <w:p>
            <w:pPr>
              <w:pStyle w:val="0"/>
              <w:jc w:val="both"/>
            </w:pPr>
            <w:r>
              <w:rPr>
                <w:sz w:val="20"/>
              </w:rPr>
              <w:t xml:space="preserve">Процент</w:t>
            </w:r>
          </w:p>
        </w:tc>
        <w:tc>
          <w:tcPr>
            <w:tcW w:w="815" w:type="dxa"/>
          </w:tcPr>
          <w:p>
            <w:pPr>
              <w:pStyle w:val="0"/>
              <w:jc w:val="center"/>
            </w:pPr>
            <w:r>
              <w:rPr>
                <w:sz w:val="20"/>
              </w:rPr>
              <w:t xml:space="preserve">0</w:t>
            </w:r>
          </w:p>
        </w:tc>
        <w:tc>
          <w:tcPr>
            <w:tcW w:w="680" w:type="dxa"/>
          </w:tcPr>
          <w:p>
            <w:pPr>
              <w:pStyle w:val="0"/>
              <w:jc w:val="center"/>
            </w:pPr>
            <w:r>
              <w:rPr>
                <w:sz w:val="20"/>
              </w:rPr>
              <w:t xml:space="preserve">2021</w:t>
            </w:r>
          </w:p>
        </w:tc>
        <w:tc>
          <w:tcPr>
            <w:tcW w:w="680" w:type="dxa"/>
          </w:tcPr>
          <w:p>
            <w:pPr>
              <w:pStyle w:val="0"/>
              <w:jc w:val="center"/>
            </w:pPr>
            <w:r>
              <w:rPr>
                <w:sz w:val="20"/>
              </w:rPr>
              <w:t xml:space="preserve">-</w:t>
            </w:r>
          </w:p>
        </w:tc>
        <w:tc>
          <w:tcPr>
            <w:tcW w:w="737" w:type="dxa"/>
          </w:tcPr>
          <w:p>
            <w:pPr>
              <w:pStyle w:val="0"/>
              <w:jc w:val="center"/>
            </w:pPr>
            <w:r>
              <w:rPr>
                <w:sz w:val="20"/>
              </w:rPr>
              <w:t xml:space="preserve">34,5</w:t>
            </w:r>
          </w:p>
        </w:tc>
        <w:tc>
          <w:tcPr>
            <w:tcW w:w="599" w:type="dxa"/>
          </w:tcPr>
          <w:p>
            <w:pPr>
              <w:pStyle w:val="0"/>
              <w:jc w:val="center"/>
            </w:pPr>
            <w:r>
              <w:rPr>
                <w:sz w:val="20"/>
              </w:rPr>
              <w:t xml:space="preserve">35</w:t>
            </w:r>
          </w:p>
        </w:tc>
        <w:tc>
          <w:tcPr>
            <w:tcW w:w="759" w:type="dxa"/>
          </w:tcPr>
          <w:p>
            <w:pPr>
              <w:pStyle w:val="0"/>
              <w:jc w:val="center"/>
            </w:pPr>
            <w:r>
              <w:rPr>
                <w:sz w:val="20"/>
              </w:rPr>
              <w:t xml:space="preserve">35</w:t>
            </w:r>
          </w:p>
        </w:tc>
        <w:tc>
          <w:tcPr>
            <w:tcW w:w="679" w:type="dxa"/>
          </w:tcPr>
          <w:p>
            <w:pPr>
              <w:pStyle w:val="0"/>
              <w:jc w:val="center"/>
            </w:pPr>
            <w:r>
              <w:rPr>
                <w:sz w:val="20"/>
              </w:rPr>
              <w:t xml:space="preserve">35</w:t>
            </w:r>
          </w:p>
        </w:tc>
        <w:tc>
          <w:tcPr>
            <w:tcW w:w="680" w:type="dxa"/>
          </w:tcPr>
          <w:p>
            <w:pPr>
              <w:pStyle w:val="0"/>
              <w:jc w:val="center"/>
            </w:pPr>
            <w:r>
              <w:rPr>
                <w:sz w:val="20"/>
              </w:rPr>
              <w:t xml:space="preserve">35</w:t>
            </w:r>
          </w:p>
        </w:tc>
        <w:tc>
          <w:tcPr>
            <w:tcW w:w="1984" w:type="dxa"/>
          </w:tcPr>
          <w:p>
            <w:pPr>
              <w:pStyle w:val="0"/>
              <w:jc w:val="both"/>
            </w:pPr>
            <w:r>
              <w:rPr>
                <w:sz w:val="20"/>
              </w:rPr>
              <w:t xml:space="preserve">Государственная информационная система обязательного медицинского страхования, форма федерального статистического наблюдения N 14-МЕД (ОМС)</w:t>
            </w:r>
          </w:p>
        </w:tc>
      </w:tr>
      <w:tr>
        <w:tc>
          <w:tcPr>
            <w:tcW w:w="567" w:type="dxa"/>
          </w:tcPr>
          <w:p>
            <w:pPr>
              <w:pStyle w:val="0"/>
              <w:jc w:val="both"/>
            </w:pPr>
            <w:r>
              <w:rPr>
                <w:sz w:val="20"/>
              </w:rPr>
              <w:t xml:space="preserve">1.3.</w:t>
            </w:r>
          </w:p>
        </w:tc>
        <w:tc>
          <w:tcPr>
            <w:tcW w:w="2324" w:type="dxa"/>
          </w:tcPr>
          <w:p>
            <w:pPr>
              <w:pStyle w:val="0"/>
              <w:jc w:val="both"/>
            </w:pPr>
            <w:r>
              <w:rPr>
                <w:sz w:val="20"/>
              </w:rPr>
              <w:t xml:space="preserve">Доля отделений медицинской реабилитации, оснащенных современным медицинским реабилитационным оборудованием</w:t>
            </w:r>
          </w:p>
        </w:tc>
        <w:tc>
          <w:tcPr>
            <w:tcW w:w="1247" w:type="dxa"/>
          </w:tcPr>
          <w:p>
            <w:pPr>
              <w:pStyle w:val="0"/>
              <w:jc w:val="both"/>
            </w:pPr>
            <w:r>
              <w:rPr>
                <w:sz w:val="20"/>
              </w:rPr>
              <w:t xml:space="preserve">Процент</w:t>
            </w:r>
          </w:p>
        </w:tc>
        <w:tc>
          <w:tcPr>
            <w:tcW w:w="815" w:type="dxa"/>
          </w:tcPr>
          <w:p>
            <w:pPr>
              <w:pStyle w:val="0"/>
              <w:jc w:val="center"/>
            </w:pPr>
            <w:r>
              <w:rPr>
                <w:sz w:val="20"/>
              </w:rPr>
              <w:t xml:space="preserve">0</w:t>
            </w:r>
          </w:p>
        </w:tc>
        <w:tc>
          <w:tcPr>
            <w:tcW w:w="680" w:type="dxa"/>
          </w:tcPr>
          <w:p>
            <w:pPr>
              <w:pStyle w:val="0"/>
              <w:jc w:val="center"/>
            </w:pPr>
            <w:r>
              <w:rPr>
                <w:sz w:val="20"/>
              </w:rPr>
              <w:t xml:space="preserve">2021</w:t>
            </w:r>
          </w:p>
        </w:tc>
        <w:tc>
          <w:tcPr>
            <w:tcW w:w="680" w:type="dxa"/>
          </w:tcPr>
          <w:p>
            <w:pPr>
              <w:pStyle w:val="0"/>
              <w:jc w:val="center"/>
            </w:pPr>
            <w:r>
              <w:rPr>
                <w:sz w:val="20"/>
              </w:rPr>
              <w:t xml:space="preserve">-</w:t>
            </w:r>
          </w:p>
        </w:tc>
        <w:tc>
          <w:tcPr>
            <w:tcW w:w="737" w:type="dxa"/>
          </w:tcPr>
          <w:p>
            <w:pPr>
              <w:pStyle w:val="0"/>
              <w:jc w:val="center"/>
            </w:pPr>
            <w:r>
              <w:rPr>
                <w:sz w:val="20"/>
              </w:rPr>
              <w:t xml:space="preserve">32</w:t>
            </w:r>
          </w:p>
        </w:tc>
        <w:tc>
          <w:tcPr>
            <w:tcW w:w="599" w:type="dxa"/>
          </w:tcPr>
          <w:p>
            <w:pPr>
              <w:pStyle w:val="0"/>
              <w:jc w:val="center"/>
            </w:pPr>
            <w:r>
              <w:rPr>
                <w:sz w:val="20"/>
              </w:rPr>
              <w:t xml:space="preserve">64</w:t>
            </w:r>
          </w:p>
        </w:tc>
        <w:tc>
          <w:tcPr>
            <w:tcW w:w="759" w:type="dxa"/>
          </w:tcPr>
          <w:p>
            <w:pPr>
              <w:pStyle w:val="0"/>
              <w:jc w:val="center"/>
            </w:pPr>
            <w:r>
              <w:rPr>
                <w:sz w:val="20"/>
              </w:rPr>
              <w:t xml:space="preserve">90</w:t>
            </w:r>
          </w:p>
        </w:tc>
        <w:tc>
          <w:tcPr>
            <w:tcW w:w="679" w:type="dxa"/>
          </w:tcPr>
          <w:p>
            <w:pPr>
              <w:pStyle w:val="0"/>
              <w:jc w:val="center"/>
            </w:pPr>
            <w:r>
              <w:rPr>
                <w:sz w:val="20"/>
              </w:rPr>
              <w:t xml:space="preserve">90</w:t>
            </w:r>
          </w:p>
        </w:tc>
        <w:tc>
          <w:tcPr>
            <w:tcW w:w="680" w:type="dxa"/>
          </w:tcPr>
          <w:p>
            <w:pPr>
              <w:pStyle w:val="0"/>
              <w:jc w:val="center"/>
            </w:pPr>
            <w:r>
              <w:rPr>
                <w:sz w:val="20"/>
              </w:rPr>
              <w:t xml:space="preserve">90</w:t>
            </w:r>
          </w:p>
        </w:tc>
        <w:tc>
          <w:tcPr>
            <w:tcW w:w="1984" w:type="dxa"/>
          </w:tcPr>
          <w:p>
            <w:pPr>
              <w:pStyle w:val="0"/>
              <w:jc w:val="both"/>
            </w:pPr>
            <w:r>
              <w:rPr>
                <w:sz w:val="20"/>
              </w:rPr>
              <w:t xml:space="preserve">Государственная интегрированная информационная система управления общественными финансами "Электронный бюджет", Автоматизированная система мониторинга медицинской статистики</w:t>
            </w:r>
          </w:p>
        </w:tc>
      </w:tr>
    </w:tbl>
    <w:p>
      <w:pPr>
        <w:pStyle w:val="0"/>
        <w:jc w:val="right"/>
      </w:pPr>
      <w:r>
        <w:rPr>
          <w:sz w:val="20"/>
        </w:rPr>
      </w:r>
    </w:p>
    <w:p>
      <w:pPr>
        <w:pStyle w:val="0"/>
        <w:jc w:val="right"/>
      </w:pPr>
      <w:r>
        <w:rPr>
          <w:sz w:val="20"/>
        </w:rPr>
        <w:t xml:space="preserve">Таблица 26</w:t>
      </w:r>
    </w:p>
    <w:p>
      <w:pPr>
        <w:pStyle w:val="0"/>
        <w:jc w:val="right"/>
      </w:pPr>
      <w:r>
        <w:rPr>
          <w:sz w:val="20"/>
        </w:rPr>
      </w:r>
    </w:p>
    <w:p>
      <w:pPr>
        <w:pStyle w:val="0"/>
        <w:jc w:val="center"/>
      </w:pPr>
      <w:r>
        <w:rPr>
          <w:sz w:val="20"/>
        </w:rPr>
        <w:t xml:space="preserve">План мероприятий региональной программы</w:t>
      </w:r>
    </w:p>
    <w:p>
      <w:pPr>
        <w:pStyle w:val="0"/>
        <w:jc w:val="center"/>
      </w:pPr>
      <w:r>
        <w:rPr>
          <w:sz w:val="20"/>
        </w:rPr>
        <w:t xml:space="preserve">"Оптимальная для восстановления здоровья медицинская</w:t>
      </w:r>
    </w:p>
    <w:p>
      <w:pPr>
        <w:pStyle w:val="0"/>
        <w:jc w:val="center"/>
      </w:pPr>
      <w:r>
        <w:rPr>
          <w:sz w:val="20"/>
        </w:rPr>
        <w:t xml:space="preserve">реабилитация 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551"/>
        <w:gridCol w:w="964"/>
        <w:gridCol w:w="2211"/>
        <w:gridCol w:w="1247"/>
        <w:gridCol w:w="1304"/>
        <w:gridCol w:w="2041"/>
        <w:gridCol w:w="2268"/>
        <w:gridCol w:w="2381"/>
        <w:gridCol w:w="1531"/>
      </w:tblGrid>
      <w:tr>
        <w:tc>
          <w:tcPr>
            <w:tcW w:w="567" w:type="dxa"/>
            <w:vMerge w:val="restart"/>
          </w:tcPr>
          <w:p>
            <w:pPr>
              <w:pStyle w:val="0"/>
              <w:jc w:val="center"/>
            </w:pPr>
            <w:r>
              <w:rPr>
                <w:sz w:val="20"/>
              </w:rPr>
              <w:t xml:space="preserve">N п/п</w:t>
            </w:r>
          </w:p>
        </w:tc>
        <w:tc>
          <w:tcPr>
            <w:tcW w:w="2551" w:type="dxa"/>
            <w:vMerge w:val="restart"/>
          </w:tcPr>
          <w:p>
            <w:pPr>
              <w:pStyle w:val="0"/>
              <w:jc w:val="center"/>
            </w:pPr>
            <w:r>
              <w:rPr>
                <w:sz w:val="20"/>
              </w:rPr>
              <w:t xml:space="preserve">Наименование раздела</w:t>
            </w:r>
          </w:p>
        </w:tc>
        <w:tc>
          <w:tcPr>
            <w:tcW w:w="964" w:type="dxa"/>
            <w:vMerge w:val="restart"/>
          </w:tcPr>
          <w:p>
            <w:pPr>
              <w:pStyle w:val="0"/>
              <w:jc w:val="center"/>
            </w:pPr>
            <w:r>
              <w:rPr>
                <w:sz w:val="20"/>
              </w:rPr>
              <w:t xml:space="preserve">N мероприятия</w:t>
            </w:r>
          </w:p>
        </w:tc>
        <w:tc>
          <w:tcPr>
            <w:tcW w:w="2211" w:type="dxa"/>
            <w:vMerge w:val="restart"/>
          </w:tcPr>
          <w:p>
            <w:pPr>
              <w:pStyle w:val="0"/>
              <w:jc w:val="center"/>
            </w:pPr>
            <w:r>
              <w:rPr>
                <w:sz w:val="20"/>
              </w:rPr>
              <w:t xml:space="preserve">Наименование мероприятия</w:t>
            </w:r>
          </w:p>
        </w:tc>
        <w:tc>
          <w:tcPr>
            <w:gridSpan w:val="2"/>
            <w:tcW w:w="2551" w:type="dxa"/>
          </w:tcPr>
          <w:p>
            <w:pPr>
              <w:pStyle w:val="0"/>
              <w:jc w:val="center"/>
            </w:pPr>
            <w:r>
              <w:rPr>
                <w:sz w:val="20"/>
              </w:rPr>
              <w:t xml:space="preserve">Сроки реализации</w:t>
            </w:r>
          </w:p>
        </w:tc>
        <w:tc>
          <w:tcPr>
            <w:tcW w:w="2041" w:type="dxa"/>
            <w:vMerge w:val="restart"/>
          </w:tcPr>
          <w:p>
            <w:pPr>
              <w:pStyle w:val="0"/>
              <w:jc w:val="center"/>
            </w:pPr>
            <w:r>
              <w:rPr>
                <w:sz w:val="20"/>
              </w:rPr>
              <w:t xml:space="preserve">Ответственный исполнитель</w:t>
            </w:r>
          </w:p>
        </w:tc>
        <w:tc>
          <w:tcPr>
            <w:tcW w:w="2268" w:type="dxa"/>
            <w:vMerge w:val="restart"/>
          </w:tcPr>
          <w:p>
            <w:pPr>
              <w:pStyle w:val="0"/>
              <w:jc w:val="center"/>
            </w:pPr>
            <w:r>
              <w:rPr>
                <w:sz w:val="20"/>
              </w:rPr>
              <w:t xml:space="preserve">Критерий исполнения мероприятия</w:t>
            </w:r>
          </w:p>
        </w:tc>
        <w:tc>
          <w:tcPr>
            <w:tcW w:w="2381" w:type="dxa"/>
            <w:vMerge w:val="restart"/>
          </w:tcPr>
          <w:p>
            <w:pPr>
              <w:pStyle w:val="0"/>
              <w:jc w:val="center"/>
            </w:pPr>
            <w:r>
              <w:rPr>
                <w:sz w:val="20"/>
              </w:rPr>
              <w:t xml:space="preserve">Характеристика результата</w:t>
            </w:r>
          </w:p>
        </w:tc>
        <w:tc>
          <w:tcPr>
            <w:tcW w:w="1531" w:type="dxa"/>
            <w:vMerge w:val="restart"/>
          </w:tcPr>
          <w:p>
            <w:pPr>
              <w:pStyle w:val="0"/>
              <w:jc w:val="center"/>
            </w:pPr>
            <w:r>
              <w:rPr>
                <w:sz w:val="20"/>
              </w:rPr>
              <w:t xml:space="preserve">Регулярность</w:t>
            </w:r>
          </w:p>
        </w:tc>
      </w:tr>
      <w:tr>
        <w:tc>
          <w:tcPr>
            <w:vMerge w:val="continue"/>
          </w:tcPr>
          <w:p/>
        </w:tc>
        <w:tc>
          <w:tcPr>
            <w:vMerge w:val="continue"/>
          </w:tcPr>
          <w:p/>
        </w:tc>
        <w:tc>
          <w:tcPr>
            <w:vMerge w:val="continue"/>
          </w:tcPr>
          <w:p/>
        </w:tc>
        <w:tc>
          <w:tcPr>
            <w:vMerge w:val="continue"/>
          </w:tcPr>
          <w:p/>
        </w:tc>
        <w:tc>
          <w:tcPr>
            <w:tcW w:w="1247" w:type="dxa"/>
          </w:tcPr>
          <w:p>
            <w:pPr>
              <w:pStyle w:val="0"/>
              <w:jc w:val="center"/>
            </w:pPr>
            <w:r>
              <w:rPr>
                <w:sz w:val="20"/>
              </w:rPr>
              <w:t xml:space="preserve">Начало</w:t>
            </w:r>
          </w:p>
        </w:tc>
        <w:tc>
          <w:tcPr>
            <w:tcW w:w="1304" w:type="dxa"/>
          </w:tcPr>
          <w:p>
            <w:pPr>
              <w:pStyle w:val="0"/>
              <w:jc w:val="center"/>
            </w:pPr>
            <w:r>
              <w:rPr>
                <w:sz w:val="20"/>
              </w:rPr>
              <w:t xml:space="preserve">Окончание</w:t>
            </w:r>
          </w:p>
        </w:tc>
        <w:tc>
          <w:tcPr>
            <w:vMerge w:val="continue"/>
          </w:tcPr>
          <w:p/>
        </w:tc>
        <w:tc>
          <w:tcPr>
            <w:vMerge w:val="continue"/>
          </w:tcPr>
          <w:p/>
        </w:tc>
        <w:tc>
          <w:tcPr>
            <w:vMerge w:val="continue"/>
          </w:tcPr>
          <w:p/>
        </w:tc>
        <w:tc>
          <w:tcPr>
            <w:vMerge w:val="continue"/>
          </w:tcPr>
          <w:p/>
        </w:tc>
      </w:tr>
      <w:tr>
        <w:tc>
          <w:tcPr>
            <w:tcW w:w="567" w:type="dxa"/>
          </w:tcPr>
          <w:p>
            <w:pPr>
              <w:pStyle w:val="0"/>
              <w:jc w:val="both"/>
            </w:pPr>
            <w:r>
              <w:rPr>
                <w:sz w:val="20"/>
              </w:rPr>
              <w:t xml:space="preserve">1</w:t>
            </w:r>
          </w:p>
        </w:tc>
        <w:tc>
          <w:tcPr>
            <w:tcW w:w="2551" w:type="dxa"/>
          </w:tcPr>
          <w:p>
            <w:pPr>
              <w:pStyle w:val="0"/>
              <w:jc w:val="both"/>
            </w:pPr>
            <w:r>
              <w:rPr>
                <w:sz w:val="20"/>
              </w:rPr>
              <w:t xml:space="preserve">Обеспечение доступности медицинской реабилитации на всех этапах</w:t>
            </w:r>
          </w:p>
        </w:tc>
        <w:tc>
          <w:tcPr>
            <w:tcW w:w="964" w:type="dxa"/>
          </w:tcPr>
          <w:p>
            <w:pPr>
              <w:pStyle w:val="0"/>
              <w:jc w:val="center"/>
            </w:pPr>
            <w:r>
              <w:rPr>
                <w:sz w:val="20"/>
              </w:rPr>
            </w:r>
          </w:p>
        </w:tc>
        <w:tc>
          <w:tcPr>
            <w:tcW w:w="2211" w:type="dxa"/>
          </w:tcPr>
          <w:p>
            <w:pPr>
              <w:pStyle w:val="0"/>
              <w:jc w:val="both"/>
            </w:pPr>
            <w:r>
              <w:rPr>
                <w:sz w:val="20"/>
              </w:rPr>
            </w:r>
          </w:p>
        </w:tc>
        <w:tc>
          <w:tcPr>
            <w:tcW w:w="1247" w:type="dxa"/>
          </w:tcPr>
          <w:p>
            <w:pPr>
              <w:pStyle w:val="0"/>
              <w:jc w:val="both"/>
            </w:pPr>
            <w:r>
              <w:rPr>
                <w:sz w:val="20"/>
              </w:rPr>
            </w:r>
          </w:p>
        </w:tc>
        <w:tc>
          <w:tcPr>
            <w:tcW w:w="1304" w:type="dxa"/>
          </w:tcPr>
          <w:p>
            <w:pPr>
              <w:pStyle w:val="0"/>
              <w:jc w:val="both"/>
            </w:pPr>
            <w:r>
              <w:rPr>
                <w:sz w:val="20"/>
              </w:rPr>
            </w:r>
          </w:p>
        </w:tc>
        <w:tc>
          <w:tcPr>
            <w:tcW w:w="2041" w:type="dxa"/>
          </w:tcPr>
          <w:p>
            <w:pPr>
              <w:pStyle w:val="0"/>
              <w:jc w:val="both"/>
            </w:pPr>
            <w:r>
              <w:rPr>
                <w:sz w:val="20"/>
              </w:rPr>
            </w:r>
          </w:p>
        </w:tc>
        <w:tc>
          <w:tcPr>
            <w:tcW w:w="2268" w:type="dxa"/>
          </w:tcPr>
          <w:p>
            <w:pPr>
              <w:pStyle w:val="0"/>
              <w:jc w:val="both"/>
            </w:pPr>
            <w:r>
              <w:rPr>
                <w:sz w:val="20"/>
              </w:rPr>
            </w:r>
          </w:p>
        </w:tc>
        <w:tc>
          <w:tcPr>
            <w:tcW w:w="2381" w:type="dxa"/>
          </w:tcPr>
          <w:p>
            <w:pPr>
              <w:pStyle w:val="0"/>
              <w:jc w:val="both"/>
            </w:pPr>
            <w:r>
              <w:rPr>
                <w:sz w:val="20"/>
              </w:rPr>
            </w:r>
          </w:p>
        </w:tc>
        <w:tc>
          <w:tcPr>
            <w:tcW w:w="1531" w:type="dxa"/>
          </w:tcPr>
          <w:p>
            <w:pPr>
              <w:pStyle w:val="0"/>
              <w:jc w:val="both"/>
            </w:pPr>
            <w:r>
              <w:rPr>
                <w:sz w:val="20"/>
              </w:rPr>
            </w:r>
          </w:p>
        </w:tc>
      </w:tr>
      <w:tr>
        <w:tc>
          <w:tcPr>
            <w:tcW w:w="567" w:type="dxa"/>
          </w:tcPr>
          <w:p>
            <w:pPr>
              <w:pStyle w:val="0"/>
              <w:jc w:val="both"/>
            </w:pPr>
            <w:r>
              <w:rPr>
                <w:sz w:val="20"/>
              </w:rPr>
              <w:t xml:space="preserve">1.1</w:t>
            </w:r>
          </w:p>
        </w:tc>
        <w:tc>
          <w:tcPr>
            <w:tcW w:w="2551" w:type="dxa"/>
          </w:tcPr>
          <w:p>
            <w:pPr>
              <w:pStyle w:val="0"/>
              <w:jc w:val="both"/>
            </w:pPr>
            <w:r>
              <w:rPr>
                <w:sz w:val="20"/>
              </w:rPr>
            </w:r>
          </w:p>
        </w:tc>
        <w:tc>
          <w:tcPr>
            <w:tcW w:w="964" w:type="dxa"/>
          </w:tcPr>
          <w:p>
            <w:pPr>
              <w:pStyle w:val="0"/>
              <w:jc w:val="center"/>
            </w:pPr>
            <w:r>
              <w:rPr>
                <w:sz w:val="20"/>
              </w:rPr>
              <w:t xml:space="preserve">1</w:t>
            </w:r>
          </w:p>
        </w:tc>
        <w:tc>
          <w:tcPr>
            <w:tcW w:w="2211" w:type="dxa"/>
          </w:tcPr>
          <w:p>
            <w:pPr>
              <w:pStyle w:val="0"/>
              <w:jc w:val="both"/>
            </w:pPr>
            <w:r>
              <w:rPr>
                <w:sz w:val="20"/>
              </w:rPr>
              <w:t xml:space="preserve">Создание системы контроля за соблюдением схемы маршрутизации пациентов на этапах медицинской реабилитации</w:t>
            </w:r>
          </w:p>
        </w:tc>
        <w:tc>
          <w:tcPr>
            <w:tcW w:w="1247" w:type="dxa"/>
          </w:tcPr>
          <w:p>
            <w:pPr>
              <w:pStyle w:val="0"/>
              <w:jc w:val="both"/>
            </w:pPr>
            <w:r>
              <w:rPr>
                <w:sz w:val="20"/>
              </w:rPr>
              <w:t xml:space="preserve">01.04.2022</w:t>
            </w:r>
          </w:p>
        </w:tc>
        <w:tc>
          <w:tcPr>
            <w:tcW w:w="1304" w:type="dxa"/>
          </w:tcPr>
          <w:p>
            <w:pPr>
              <w:pStyle w:val="0"/>
              <w:jc w:val="both"/>
            </w:pPr>
            <w:r>
              <w:rPr>
                <w:sz w:val="20"/>
              </w:rPr>
              <w:t xml:space="preserve">31.12.2022</w:t>
            </w:r>
          </w:p>
        </w:tc>
        <w:tc>
          <w:tcPr>
            <w:tcW w:w="2041"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специалист по медицинской реабилитации Департамента здравоохранения города Севастополя</w:t>
            </w:r>
          </w:p>
        </w:tc>
        <w:tc>
          <w:tcPr>
            <w:tcW w:w="2268" w:type="dxa"/>
          </w:tcPr>
          <w:p>
            <w:pPr>
              <w:pStyle w:val="0"/>
              <w:jc w:val="both"/>
            </w:pPr>
            <w:r>
              <w:rPr>
                <w:sz w:val="20"/>
              </w:rPr>
              <w:t xml:space="preserve">Утвержден нормативный акт</w:t>
            </w:r>
          </w:p>
        </w:tc>
        <w:tc>
          <w:tcPr>
            <w:tcW w:w="2381" w:type="dxa"/>
          </w:tcPr>
          <w:p>
            <w:pPr>
              <w:pStyle w:val="0"/>
              <w:jc w:val="both"/>
            </w:pPr>
            <w:r>
              <w:rPr>
                <w:sz w:val="20"/>
              </w:rPr>
              <w:t xml:space="preserve">Разработан и утвержден приказ Департамента здравоохранения города Севастополя о системе контроля за соблюдением схемы маршрутизации пациентов на этапах медицинской реабилитации</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1.2</w:t>
            </w:r>
          </w:p>
        </w:tc>
        <w:tc>
          <w:tcPr>
            <w:tcW w:w="2551" w:type="dxa"/>
          </w:tcPr>
          <w:p>
            <w:pPr>
              <w:pStyle w:val="0"/>
              <w:jc w:val="both"/>
            </w:pPr>
            <w:r>
              <w:rPr>
                <w:sz w:val="20"/>
              </w:rPr>
            </w:r>
          </w:p>
        </w:tc>
        <w:tc>
          <w:tcPr>
            <w:tcW w:w="964" w:type="dxa"/>
          </w:tcPr>
          <w:p>
            <w:pPr>
              <w:pStyle w:val="0"/>
              <w:jc w:val="center"/>
            </w:pPr>
            <w:r>
              <w:rPr>
                <w:sz w:val="20"/>
              </w:rPr>
              <w:t xml:space="preserve">1</w:t>
            </w:r>
          </w:p>
        </w:tc>
        <w:tc>
          <w:tcPr>
            <w:tcW w:w="2211" w:type="dxa"/>
          </w:tcPr>
          <w:p>
            <w:pPr>
              <w:pStyle w:val="0"/>
              <w:jc w:val="both"/>
            </w:pPr>
            <w:r>
              <w:rPr>
                <w:sz w:val="20"/>
              </w:rPr>
              <w:t xml:space="preserve">Увеличение числа медицинских организаций, где обеспечена двухсменная работа отделений/кабинетов физиотерапии и залов/кабинетов ЛФК</w:t>
            </w:r>
          </w:p>
        </w:tc>
        <w:tc>
          <w:tcPr>
            <w:tcW w:w="1247" w:type="dxa"/>
          </w:tcPr>
          <w:p>
            <w:pPr>
              <w:pStyle w:val="0"/>
              <w:jc w:val="both"/>
            </w:pPr>
            <w:r>
              <w:rPr>
                <w:sz w:val="20"/>
              </w:rPr>
              <w:t xml:space="preserve">01.01.2023</w:t>
            </w:r>
          </w:p>
        </w:tc>
        <w:tc>
          <w:tcPr>
            <w:tcW w:w="1304" w:type="dxa"/>
          </w:tcPr>
          <w:p>
            <w:pPr>
              <w:pStyle w:val="0"/>
              <w:jc w:val="both"/>
            </w:pPr>
            <w:r>
              <w:rPr>
                <w:sz w:val="20"/>
              </w:rPr>
              <w:t xml:space="preserve">31.12.2024</w:t>
            </w:r>
          </w:p>
        </w:tc>
        <w:tc>
          <w:tcPr>
            <w:tcW w:w="2041" w:type="dxa"/>
          </w:tcPr>
          <w:p>
            <w:pPr>
              <w:pStyle w:val="0"/>
              <w:jc w:val="both"/>
            </w:pPr>
            <w:r>
              <w:rPr>
                <w:sz w:val="20"/>
              </w:rPr>
              <w:t xml:space="preserve">Главные врачи МО (ГБ N 1, 4, 5, 9)</w:t>
            </w:r>
          </w:p>
        </w:tc>
        <w:tc>
          <w:tcPr>
            <w:tcW w:w="2268" w:type="dxa"/>
          </w:tcPr>
          <w:p>
            <w:pPr>
              <w:pStyle w:val="0"/>
              <w:jc w:val="both"/>
            </w:pPr>
            <w:r>
              <w:rPr>
                <w:sz w:val="20"/>
              </w:rPr>
              <w:t xml:space="preserve">Увеличение числа медицинских организаций, где обеспечена двухсменная работа отделений/кабинетов физиотерапии и залов/кабинетов ЛФК до 3 в 2023 году, до 5 в 2024 году</w:t>
            </w:r>
          </w:p>
        </w:tc>
        <w:tc>
          <w:tcPr>
            <w:tcW w:w="2381" w:type="dxa"/>
          </w:tcPr>
          <w:p>
            <w:pPr>
              <w:pStyle w:val="0"/>
              <w:jc w:val="both"/>
            </w:pPr>
            <w:r>
              <w:rPr>
                <w:sz w:val="20"/>
              </w:rPr>
              <w:t xml:space="preserve">Повышение доступности и качества оказания медицинской помощи по профилю "медицинская реабилитация"</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2</w:t>
            </w:r>
          </w:p>
        </w:tc>
        <w:tc>
          <w:tcPr>
            <w:tcW w:w="2551" w:type="dxa"/>
          </w:tcPr>
          <w:p>
            <w:pPr>
              <w:pStyle w:val="0"/>
              <w:jc w:val="both"/>
            </w:pPr>
            <w:r>
              <w:rPr>
                <w:sz w:val="20"/>
              </w:rPr>
              <w:t xml:space="preserve">Совершенствование и развитие организации медицинской реабилитации в рамках оказания специализированной, в том числе высокотехнологичной, медицинской помощи (I, II этап)</w:t>
            </w:r>
          </w:p>
        </w:tc>
        <w:tc>
          <w:tcPr>
            <w:tcW w:w="964" w:type="dxa"/>
          </w:tcPr>
          <w:p>
            <w:pPr>
              <w:pStyle w:val="0"/>
              <w:jc w:val="center"/>
            </w:pPr>
            <w:r>
              <w:rPr>
                <w:sz w:val="20"/>
              </w:rPr>
            </w:r>
          </w:p>
        </w:tc>
        <w:tc>
          <w:tcPr>
            <w:tcW w:w="2211" w:type="dxa"/>
          </w:tcPr>
          <w:p>
            <w:pPr>
              <w:pStyle w:val="0"/>
              <w:jc w:val="both"/>
            </w:pPr>
            <w:r>
              <w:rPr>
                <w:sz w:val="20"/>
              </w:rPr>
            </w:r>
          </w:p>
        </w:tc>
        <w:tc>
          <w:tcPr>
            <w:tcW w:w="1247" w:type="dxa"/>
          </w:tcPr>
          <w:p>
            <w:pPr>
              <w:pStyle w:val="0"/>
              <w:jc w:val="both"/>
            </w:pPr>
            <w:r>
              <w:rPr>
                <w:sz w:val="20"/>
              </w:rPr>
            </w:r>
          </w:p>
        </w:tc>
        <w:tc>
          <w:tcPr>
            <w:tcW w:w="1304" w:type="dxa"/>
          </w:tcPr>
          <w:p>
            <w:pPr>
              <w:pStyle w:val="0"/>
              <w:jc w:val="both"/>
            </w:pPr>
            <w:r>
              <w:rPr>
                <w:sz w:val="20"/>
              </w:rPr>
            </w:r>
          </w:p>
        </w:tc>
        <w:tc>
          <w:tcPr>
            <w:tcW w:w="2041" w:type="dxa"/>
          </w:tcPr>
          <w:p>
            <w:pPr>
              <w:pStyle w:val="0"/>
              <w:jc w:val="both"/>
            </w:pPr>
            <w:r>
              <w:rPr>
                <w:sz w:val="20"/>
              </w:rPr>
            </w:r>
          </w:p>
        </w:tc>
        <w:tc>
          <w:tcPr>
            <w:tcW w:w="2268" w:type="dxa"/>
          </w:tcPr>
          <w:p>
            <w:pPr>
              <w:pStyle w:val="0"/>
              <w:jc w:val="both"/>
            </w:pPr>
            <w:r>
              <w:rPr>
                <w:sz w:val="20"/>
              </w:rPr>
            </w:r>
          </w:p>
        </w:tc>
        <w:tc>
          <w:tcPr>
            <w:tcW w:w="2381" w:type="dxa"/>
          </w:tcPr>
          <w:p>
            <w:pPr>
              <w:pStyle w:val="0"/>
              <w:jc w:val="both"/>
            </w:pPr>
            <w:r>
              <w:rPr>
                <w:sz w:val="20"/>
              </w:rPr>
            </w:r>
          </w:p>
        </w:tc>
        <w:tc>
          <w:tcPr>
            <w:tcW w:w="1531" w:type="dxa"/>
          </w:tcPr>
          <w:p>
            <w:pPr>
              <w:pStyle w:val="0"/>
              <w:jc w:val="both"/>
            </w:pPr>
            <w:r>
              <w:rPr>
                <w:sz w:val="20"/>
              </w:rPr>
            </w:r>
          </w:p>
        </w:tc>
      </w:tr>
      <w:tr>
        <w:tc>
          <w:tcPr>
            <w:tcW w:w="567" w:type="dxa"/>
          </w:tcPr>
          <w:p>
            <w:pPr>
              <w:pStyle w:val="0"/>
              <w:jc w:val="both"/>
            </w:pPr>
            <w:r>
              <w:rPr>
                <w:sz w:val="20"/>
              </w:rPr>
              <w:t xml:space="preserve">2.1</w:t>
            </w:r>
          </w:p>
        </w:tc>
        <w:tc>
          <w:tcPr>
            <w:tcW w:w="2551" w:type="dxa"/>
          </w:tcPr>
          <w:p>
            <w:pPr>
              <w:pStyle w:val="0"/>
              <w:jc w:val="both"/>
            </w:pPr>
            <w:r>
              <w:rPr>
                <w:sz w:val="20"/>
              </w:rPr>
            </w:r>
          </w:p>
        </w:tc>
        <w:tc>
          <w:tcPr>
            <w:tcW w:w="964" w:type="dxa"/>
          </w:tcPr>
          <w:p>
            <w:pPr>
              <w:pStyle w:val="0"/>
              <w:jc w:val="center"/>
            </w:pPr>
            <w:r>
              <w:rPr>
                <w:sz w:val="20"/>
              </w:rPr>
              <w:t xml:space="preserve">2</w:t>
            </w:r>
          </w:p>
        </w:tc>
        <w:tc>
          <w:tcPr>
            <w:tcW w:w="2211" w:type="dxa"/>
          </w:tcPr>
          <w:p>
            <w:pPr>
              <w:pStyle w:val="0"/>
              <w:jc w:val="both"/>
            </w:pPr>
            <w:r>
              <w:rPr>
                <w:sz w:val="20"/>
              </w:rPr>
              <w:t xml:space="preserve">Организация II этапа реабилитации в медицинских организациях города Севастополя</w:t>
            </w:r>
          </w:p>
        </w:tc>
        <w:tc>
          <w:tcPr>
            <w:tcW w:w="1247" w:type="dxa"/>
          </w:tcPr>
          <w:p>
            <w:pPr>
              <w:pStyle w:val="0"/>
              <w:jc w:val="both"/>
            </w:pPr>
            <w:r>
              <w:rPr>
                <w:sz w:val="20"/>
              </w:rPr>
              <w:t xml:space="preserve">01.04.2022</w:t>
            </w:r>
          </w:p>
        </w:tc>
        <w:tc>
          <w:tcPr>
            <w:tcW w:w="1304" w:type="dxa"/>
          </w:tcPr>
          <w:p>
            <w:pPr>
              <w:pStyle w:val="0"/>
              <w:jc w:val="both"/>
            </w:pPr>
            <w:r>
              <w:rPr>
                <w:sz w:val="20"/>
              </w:rPr>
              <w:t xml:space="preserve">31.12.2024</w:t>
            </w:r>
          </w:p>
        </w:tc>
        <w:tc>
          <w:tcPr>
            <w:tcW w:w="2041"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 N 1; главный внештатный специалист-кардиолог Департамента здравоохранения города Севастополя</w:t>
            </w:r>
          </w:p>
        </w:tc>
        <w:tc>
          <w:tcPr>
            <w:tcW w:w="2268" w:type="dxa"/>
          </w:tcPr>
          <w:p>
            <w:pPr>
              <w:pStyle w:val="0"/>
              <w:jc w:val="both"/>
            </w:pPr>
            <w:r>
              <w:rPr>
                <w:sz w:val="20"/>
              </w:rPr>
              <w:t xml:space="preserve">Охват реабилитацией II этапа не менее 25% пациентов</w:t>
            </w:r>
          </w:p>
        </w:tc>
        <w:tc>
          <w:tcPr>
            <w:tcW w:w="2381" w:type="dxa"/>
          </w:tcPr>
          <w:p>
            <w:pPr>
              <w:pStyle w:val="0"/>
              <w:jc w:val="both"/>
            </w:pPr>
            <w:r>
              <w:rPr>
                <w:sz w:val="20"/>
              </w:rPr>
              <w:t xml:space="preserve">Не менее 25% пациентов, выписанных с I этапа, охвачено медицинской реабилитацией на II этапе</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2.2</w:t>
            </w:r>
          </w:p>
        </w:tc>
        <w:tc>
          <w:tcPr>
            <w:tcW w:w="2551" w:type="dxa"/>
          </w:tcPr>
          <w:p>
            <w:pPr>
              <w:pStyle w:val="0"/>
              <w:jc w:val="both"/>
            </w:pPr>
            <w:r>
              <w:rPr>
                <w:sz w:val="20"/>
              </w:rPr>
            </w:r>
          </w:p>
        </w:tc>
        <w:tc>
          <w:tcPr>
            <w:tcW w:w="964" w:type="dxa"/>
          </w:tcPr>
          <w:p>
            <w:pPr>
              <w:pStyle w:val="0"/>
              <w:jc w:val="center"/>
            </w:pPr>
            <w:r>
              <w:rPr>
                <w:sz w:val="20"/>
              </w:rPr>
              <w:t xml:space="preserve">2.1</w:t>
            </w:r>
          </w:p>
        </w:tc>
        <w:tc>
          <w:tcPr>
            <w:tcW w:w="2211" w:type="dxa"/>
          </w:tcPr>
          <w:p>
            <w:pPr>
              <w:pStyle w:val="0"/>
              <w:jc w:val="both"/>
            </w:pPr>
            <w:r>
              <w:rPr>
                <w:sz w:val="20"/>
              </w:rPr>
              <w:t xml:space="preserve">Открытие отделения реабилитации для пациентов, перенесших ОКС и ОНМК</w:t>
            </w:r>
          </w:p>
        </w:tc>
        <w:tc>
          <w:tcPr>
            <w:tcW w:w="1247" w:type="dxa"/>
          </w:tcPr>
          <w:p>
            <w:pPr>
              <w:pStyle w:val="0"/>
              <w:jc w:val="both"/>
            </w:pPr>
            <w:r>
              <w:rPr>
                <w:sz w:val="20"/>
              </w:rPr>
              <w:t xml:space="preserve">01.04.2022</w:t>
            </w:r>
          </w:p>
        </w:tc>
        <w:tc>
          <w:tcPr>
            <w:tcW w:w="1304" w:type="dxa"/>
          </w:tcPr>
          <w:p>
            <w:pPr>
              <w:pStyle w:val="0"/>
              <w:jc w:val="both"/>
            </w:pPr>
            <w:r>
              <w:rPr>
                <w:sz w:val="20"/>
              </w:rPr>
              <w:t xml:space="preserve">31.12.2023</w:t>
            </w:r>
          </w:p>
        </w:tc>
        <w:tc>
          <w:tcPr>
            <w:tcW w:w="2041"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 N 1</w:t>
            </w:r>
          </w:p>
        </w:tc>
        <w:tc>
          <w:tcPr>
            <w:tcW w:w="2268" w:type="dxa"/>
          </w:tcPr>
          <w:p>
            <w:pPr>
              <w:pStyle w:val="0"/>
              <w:jc w:val="both"/>
            </w:pPr>
            <w:r>
              <w:rPr>
                <w:sz w:val="20"/>
              </w:rPr>
              <w:t xml:space="preserve">Открыто отделение реабилитации на базе ГБ N 1 на 12 коек</w:t>
            </w:r>
          </w:p>
        </w:tc>
        <w:tc>
          <w:tcPr>
            <w:tcW w:w="2381" w:type="dxa"/>
          </w:tcPr>
          <w:p>
            <w:pPr>
              <w:pStyle w:val="0"/>
              <w:jc w:val="both"/>
            </w:pPr>
            <w:r>
              <w:rPr>
                <w:sz w:val="20"/>
              </w:rPr>
              <w:t xml:space="preserve">Открыто отделение реабилитации на базе ГБ N 1 на 12 коек</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2.3</w:t>
            </w:r>
          </w:p>
        </w:tc>
        <w:tc>
          <w:tcPr>
            <w:tcW w:w="2551" w:type="dxa"/>
          </w:tcPr>
          <w:p>
            <w:pPr>
              <w:pStyle w:val="0"/>
              <w:jc w:val="both"/>
            </w:pPr>
            <w:r>
              <w:rPr>
                <w:sz w:val="20"/>
              </w:rPr>
            </w:r>
          </w:p>
        </w:tc>
        <w:tc>
          <w:tcPr>
            <w:tcW w:w="964" w:type="dxa"/>
          </w:tcPr>
          <w:p>
            <w:pPr>
              <w:pStyle w:val="0"/>
              <w:jc w:val="center"/>
            </w:pPr>
            <w:r>
              <w:rPr>
                <w:sz w:val="20"/>
              </w:rPr>
              <w:t xml:space="preserve">3</w:t>
            </w:r>
          </w:p>
        </w:tc>
        <w:tc>
          <w:tcPr>
            <w:tcW w:w="2211" w:type="dxa"/>
          </w:tcPr>
          <w:p>
            <w:pPr>
              <w:pStyle w:val="0"/>
              <w:jc w:val="both"/>
            </w:pPr>
            <w:r>
              <w:rPr>
                <w:sz w:val="20"/>
              </w:rPr>
              <w:t xml:space="preserve">Внедрение электронного маршрутного листа пациента при проведении медицинской реабилитации</w:t>
            </w:r>
          </w:p>
        </w:tc>
        <w:tc>
          <w:tcPr>
            <w:tcW w:w="1247" w:type="dxa"/>
          </w:tcPr>
          <w:p>
            <w:pPr>
              <w:pStyle w:val="0"/>
              <w:jc w:val="both"/>
            </w:pPr>
            <w:r>
              <w:rPr>
                <w:sz w:val="20"/>
              </w:rPr>
              <w:t xml:space="preserve">01.04.2022</w:t>
            </w:r>
          </w:p>
        </w:tc>
        <w:tc>
          <w:tcPr>
            <w:tcW w:w="1304" w:type="dxa"/>
          </w:tcPr>
          <w:p>
            <w:pPr>
              <w:pStyle w:val="0"/>
              <w:jc w:val="both"/>
            </w:pPr>
            <w:r>
              <w:rPr>
                <w:sz w:val="20"/>
              </w:rPr>
              <w:t xml:space="preserve">01.03.2023</w:t>
            </w:r>
          </w:p>
        </w:tc>
        <w:tc>
          <w:tcPr>
            <w:tcW w:w="2041" w:type="dxa"/>
          </w:tcPr>
          <w:p>
            <w:pPr>
              <w:pStyle w:val="0"/>
              <w:jc w:val="both"/>
            </w:pPr>
            <w:r>
              <w:rPr>
                <w:sz w:val="20"/>
              </w:rPr>
              <w:t xml:space="preserve">Первый заместитель директора Департамента здравоохранения города Севастополя; директор ГБУЗС "МИАЦ"; руководители МО</w:t>
            </w:r>
          </w:p>
        </w:tc>
        <w:tc>
          <w:tcPr>
            <w:tcW w:w="2268" w:type="dxa"/>
          </w:tcPr>
          <w:p>
            <w:pPr>
              <w:pStyle w:val="0"/>
              <w:jc w:val="both"/>
            </w:pPr>
            <w:r>
              <w:rPr>
                <w:sz w:val="20"/>
              </w:rPr>
              <w:t xml:space="preserve">Внедрен электронный маршрутный лист на базе АИС ЛПУ</w:t>
            </w:r>
          </w:p>
        </w:tc>
        <w:tc>
          <w:tcPr>
            <w:tcW w:w="2381" w:type="dxa"/>
          </w:tcPr>
          <w:p>
            <w:pPr>
              <w:pStyle w:val="0"/>
              <w:jc w:val="both"/>
            </w:pPr>
            <w:r>
              <w:rPr>
                <w:sz w:val="20"/>
              </w:rPr>
              <w:t xml:space="preserve">Доработка АИС ЛПУ, внедрение электронного маршрутного листа</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3</w:t>
            </w:r>
          </w:p>
        </w:tc>
        <w:tc>
          <w:tcPr>
            <w:tcW w:w="2551" w:type="dxa"/>
          </w:tcPr>
          <w:p>
            <w:pPr>
              <w:pStyle w:val="0"/>
              <w:jc w:val="both"/>
            </w:pPr>
            <w:r>
              <w:rPr>
                <w:sz w:val="20"/>
              </w:rPr>
              <w:t xml:space="preserve">Совершенствование и развитие организации медицинской реабилитации в рамках оказания первичной медико-санитарной помощи в амбулаторных условиях и условиях дневного стационара (III этап)</w:t>
            </w:r>
          </w:p>
        </w:tc>
        <w:tc>
          <w:tcPr>
            <w:tcW w:w="964" w:type="dxa"/>
          </w:tcPr>
          <w:p>
            <w:pPr>
              <w:pStyle w:val="0"/>
              <w:jc w:val="center"/>
            </w:pPr>
            <w:r>
              <w:rPr>
                <w:sz w:val="20"/>
              </w:rPr>
            </w:r>
          </w:p>
        </w:tc>
        <w:tc>
          <w:tcPr>
            <w:tcW w:w="2211" w:type="dxa"/>
          </w:tcPr>
          <w:p>
            <w:pPr>
              <w:pStyle w:val="0"/>
              <w:jc w:val="both"/>
            </w:pPr>
            <w:r>
              <w:rPr>
                <w:sz w:val="20"/>
              </w:rPr>
            </w:r>
          </w:p>
        </w:tc>
        <w:tc>
          <w:tcPr>
            <w:tcW w:w="1247" w:type="dxa"/>
          </w:tcPr>
          <w:p>
            <w:pPr>
              <w:pStyle w:val="0"/>
              <w:jc w:val="both"/>
            </w:pPr>
            <w:r>
              <w:rPr>
                <w:sz w:val="20"/>
              </w:rPr>
            </w:r>
          </w:p>
        </w:tc>
        <w:tc>
          <w:tcPr>
            <w:tcW w:w="1304" w:type="dxa"/>
          </w:tcPr>
          <w:p>
            <w:pPr>
              <w:pStyle w:val="0"/>
              <w:jc w:val="both"/>
            </w:pPr>
            <w:r>
              <w:rPr>
                <w:sz w:val="20"/>
              </w:rPr>
            </w:r>
          </w:p>
        </w:tc>
        <w:tc>
          <w:tcPr>
            <w:tcW w:w="2041" w:type="dxa"/>
          </w:tcPr>
          <w:p>
            <w:pPr>
              <w:pStyle w:val="0"/>
              <w:jc w:val="both"/>
            </w:pPr>
            <w:r>
              <w:rPr>
                <w:sz w:val="20"/>
              </w:rPr>
            </w:r>
          </w:p>
        </w:tc>
        <w:tc>
          <w:tcPr>
            <w:tcW w:w="2268" w:type="dxa"/>
          </w:tcPr>
          <w:p>
            <w:pPr>
              <w:pStyle w:val="0"/>
              <w:jc w:val="both"/>
            </w:pPr>
            <w:r>
              <w:rPr>
                <w:sz w:val="20"/>
              </w:rPr>
            </w:r>
          </w:p>
        </w:tc>
        <w:tc>
          <w:tcPr>
            <w:tcW w:w="2381" w:type="dxa"/>
          </w:tcPr>
          <w:p>
            <w:pPr>
              <w:pStyle w:val="0"/>
              <w:jc w:val="both"/>
            </w:pPr>
            <w:r>
              <w:rPr>
                <w:sz w:val="20"/>
              </w:rPr>
            </w:r>
          </w:p>
        </w:tc>
        <w:tc>
          <w:tcPr>
            <w:tcW w:w="1531" w:type="dxa"/>
          </w:tcPr>
          <w:p>
            <w:pPr>
              <w:pStyle w:val="0"/>
              <w:jc w:val="both"/>
            </w:pPr>
            <w:r>
              <w:rPr>
                <w:sz w:val="20"/>
              </w:rPr>
            </w:r>
          </w:p>
        </w:tc>
      </w:tr>
      <w:tr>
        <w:tc>
          <w:tcPr>
            <w:tcW w:w="567" w:type="dxa"/>
          </w:tcPr>
          <w:p>
            <w:pPr>
              <w:pStyle w:val="0"/>
              <w:jc w:val="both"/>
            </w:pPr>
            <w:r>
              <w:rPr>
                <w:sz w:val="20"/>
              </w:rPr>
              <w:t xml:space="preserve">3.1</w:t>
            </w:r>
          </w:p>
        </w:tc>
        <w:tc>
          <w:tcPr>
            <w:tcW w:w="2551" w:type="dxa"/>
          </w:tcPr>
          <w:p>
            <w:pPr>
              <w:pStyle w:val="0"/>
              <w:jc w:val="both"/>
            </w:pPr>
            <w:r>
              <w:rPr>
                <w:sz w:val="20"/>
              </w:rPr>
            </w:r>
          </w:p>
        </w:tc>
        <w:tc>
          <w:tcPr>
            <w:tcW w:w="964" w:type="dxa"/>
          </w:tcPr>
          <w:p>
            <w:pPr>
              <w:pStyle w:val="0"/>
              <w:jc w:val="center"/>
            </w:pPr>
            <w:r>
              <w:rPr>
                <w:sz w:val="20"/>
              </w:rPr>
              <w:t xml:space="preserve">1</w:t>
            </w:r>
          </w:p>
        </w:tc>
        <w:tc>
          <w:tcPr>
            <w:tcW w:w="2211" w:type="dxa"/>
          </w:tcPr>
          <w:p>
            <w:pPr>
              <w:pStyle w:val="0"/>
              <w:jc w:val="both"/>
            </w:pPr>
            <w:r>
              <w:rPr>
                <w:sz w:val="20"/>
              </w:rPr>
              <w:t xml:space="preserve">Увеличение охвата пациентов медицинской реабилитацией в рамках оказания первичной медико-санитарной помощи в амбулаторных условиях и условиях дневного стационара (III этап)</w:t>
            </w:r>
          </w:p>
        </w:tc>
        <w:tc>
          <w:tcPr>
            <w:tcW w:w="1247" w:type="dxa"/>
          </w:tcPr>
          <w:p>
            <w:pPr>
              <w:pStyle w:val="0"/>
              <w:jc w:val="both"/>
            </w:pPr>
            <w:r>
              <w:rPr>
                <w:sz w:val="20"/>
              </w:rPr>
              <w:t xml:space="preserve">01.04.2022</w:t>
            </w:r>
          </w:p>
        </w:tc>
        <w:tc>
          <w:tcPr>
            <w:tcW w:w="1304" w:type="dxa"/>
          </w:tcPr>
          <w:p>
            <w:pPr>
              <w:pStyle w:val="0"/>
              <w:jc w:val="both"/>
            </w:pPr>
            <w:r>
              <w:rPr>
                <w:sz w:val="20"/>
              </w:rPr>
              <w:t xml:space="preserve">01.12.2024</w:t>
            </w:r>
          </w:p>
        </w:tc>
        <w:tc>
          <w:tcPr>
            <w:tcW w:w="2041" w:type="dxa"/>
          </w:tcPr>
          <w:p>
            <w:pPr>
              <w:pStyle w:val="0"/>
              <w:jc w:val="both"/>
            </w:pPr>
            <w:r>
              <w:rPr>
                <w:sz w:val="20"/>
              </w:rPr>
              <w:t xml:space="preserve">Первый заместитель директора Департамента здравоохранения города Севастополя</w:t>
            </w:r>
          </w:p>
        </w:tc>
        <w:tc>
          <w:tcPr>
            <w:tcW w:w="2268" w:type="dxa"/>
          </w:tcPr>
          <w:p>
            <w:pPr>
              <w:pStyle w:val="0"/>
              <w:jc w:val="both"/>
            </w:pPr>
            <w:r>
              <w:rPr>
                <w:sz w:val="20"/>
              </w:rPr>
              <w:t xml:space="preserve">Охват реабилитацией III этапа не менее 45% пациентов, выписанных с I этапа всех профилей, и 80% пациентов, выписанных со II этапа всех профилей</w:t>
            </w:r>
          </w:p>
        </w:tc>
        <w:tc>
          <w:tcPr>
            <w:tcW w:w="2381" w:type="dxa"/>
          </w:tcPr>
          <w:p>
            <w:pPr>
              <w:pStyle w:val="0"/>
              <w:jc w:val="both"/>
            </w:pPr>
            <w:r>
              <w:rPr>
                <w:sz w:val="20"/>
              </w:rPr>
              <w:t xml:space="preserve">Не менее 45% пациентов, выписанных с I этапа всех профилей, и 80% пациентов, выписанных со II этапа всех профилей, охвачено медицинской реабилитацией на III этапе</w:t>
            </w:r>
          </w:p>
        </w:tc>
        <w:tc>
          <w:tcPr>
            <w:tcW w:w="1531" w:type="dxa"/>
          </w:tcPr>
          <w:p>
            <w:pPr>
              <w:pStyle w:val="0"/>
              <w:jc w:val="both"/>
            </w:pPr>
            <w:r>
              <w:rPr>
                <w:sz w:val="20"/>
              </w:rPr>
              <w:t xml:space="preserve">Регулярное (ежегодное)</w:t>
            </w:r>
          </w:p>
        </w:tc>
      </w:tr>
      <w:tr>
        <w:tc>
          <w:tcPr>
            <w:tcW w:w="567" w:type="dxa"/>
          </w:tcPr>
          <w:p>
            <w:pPr>
              <w:pStyle w:val="0"/>
              <w:jc w:val="both"/>
            </w:pPr>
            <w:r>
              <w:rPr>
                <w:sz w:val="20"/>
              </w:rPr>
              <w:t xml:space="preserve">4</w:t>
            </w:r>
          </w:p>
        </w:tc>
        <w:tc>
          <w:tcPr>
            <w:tcW w:w="2551" w:type="dxa"/>
          </w:tcPr>
          <w:p>
            <w:pPr>
              <w:pStyle w:val="0"/>
              <w:jc w:val="both"/>
            </w:pPr>
            <w:r>
              <w:rPr>
                <w:sz w:val="20"/>
              </w:rPr>
              <w:t xml:space="preserve">Кадровое обеспечение реабилитационной службы города Севастополя</w:t>
            </w:r>
          </w:p>
        </w:tc>
        <w:tc>
          <w:tcPr>
            <w:tcW w:w="964" w:type="dxa"/>
          </w:tcPr>
          <w:p>
            <w:pPr>
              <w:pStyle w:val="0"/>
              <w:jc w:val="center"/>
            </w:pPr>
            <w:r>
              <w:rPr>
                <w:sz w:val="20"/>
              </w:rPr>
            </w:r>
          </w:p>
        </w:tc>
        <w:tc>
          <w:tcPr>
            <w:tcW w:w="2211" w:type="dxa"/>
          </w:tcPr>
          <w:p>
            <w:pPr>
              <w:pStyle w:val="0"/>
              <w:jc w:val="both"/>
            </w:pPr>
            <w:r>
              <w:rPr>
                <w:sz w:val="20"/>
              </w:rPr>
            </w:r>
          </w:p>
        </w:tc>
        <w:tc>
          <w:tcPr>
            <w:tcW w:w="1247" w:type="dxa"/>
          </w:tcPr>
          <w:p>
            <w:pPr>
              <w:pStyle w:val="0"/>
              <w:jc w:val="both"/>
            </w:pPr>
            <w:r>
              <w:rPr>
                <w:sz w:val="20"/>
              </w:rPr>
            </w:r>
          </w:p>
        </w:tc>
        <w:tc>
          <w:tcPr>
            <w:tcW w:w="1304" w:type="dxa"/>
          </w:tcPr>
          <w:p>
            <w:pPr>
              <w:pStyle w:val="0"/>
              <w:jc w:val="both"/>
            </w:pPr>
            <w:r>
              <w:rPr>
                <w:sz w:val="20"/>
              </w:rPr>
            </w:r>
          </w:p>
        </w:tc>
        <w:tc>
          <w:tcPr>
            <w:tcW w:w="2041" w:type="dxa"/>
          </w:tcPr>
          <w:p>
            <w:pPr>
              <w:pStyle w:val="0"/>
              <w:jc w:val="both"/>
            </w:pPr>
            <w:r>
              <w:rPr>
                <w:sz w:val="20"/>
              </w:rPr>
            </w:r>
          </w:p>
        </w:tc>
        <w:tc>
          <w:tcPr>
            <w:tcW w:w="2268" w:type="dxa"/>
          </w:tcPr>
          <w:p>
            <w:pPr>
              <w:pStyle w:val="0"/>
              <w:jc w:val="both"/>
            </w:pPr>
            <w:r>
              <w:rPr>
                <w:sz w:val="20"/>
              </w:rPr>
            </w:r>
          </w:p>
        </w:tc>
        <w:tc>
          <w:tcPr>
            <w:tcW w:w="2381" w:type="dxa"/>
          </w:tcPr>
          <w:p>
            <w:pPr>
              <w:pStyle w:val="0"/>
              <w:jc w:val="both"/>
            </w:pPr>
            <w:r>
              <w:rPr>
                <w:sz w:val="20"/>
              </w:rPr>
            </w:r>
          </w:p>
        </w:tc>
        <w:tc>
          <w:tcPr>
            <w:tcW w:w="1531" w:type="dxa"/>
          </w:tcPr>
          <w:p>
            <w:pPr>
              <w:pStyle w:val="0"/>
              <w:jc w:val="both"/>
            </w:pPr>
            <w:r>
              <w:rPr>
                <w:sz w:val="20"/>
              </w:rPr>
            </w:r>
          </w:p>
        </w:tc>
      </w:tr>
      <w:tr>
        <w:tc>
          <w:tcPr>
            <w:tcW w:w="567" w:type="dxa"/>
          </w:tcPr>
          <w:p>
            <w:pPr>
              <w:pStyle w:val="0"/>
              <w:jc w:val="both"/>
            </w:pPr>
            <w:r>
              <w:rPr>
                <w:sz w:val="20"/>
              </w:rPr>
              <w:t xml:space="preserve">4.1</w:t>
            </w:r>
          </w:p>
        </w:tc>
        <w:tc>
          <w:tcPr>
            <w:tcW w:w="2551" w:type="dxa"/>
          </w:tcPr>
          <w:p>
            <w:pPr>
              <w:pStyle w:val="0"/>
              <w:jc w:val="both"/>
            </w:pPr>
            <w:r>
              <w:rPr>
                <w:sz w:val="20"/>
              </w:rPr>
            </w:r>
          </w:p>
        </w:tc>
        <w:tc>
          <w:tcPr>
            <w:tcW w:w="964" w:type="dxa"/>
          </w:tcPr>
          <w:p>
            <w:pPr>
              <w:pStyle w:val="0"/>
              <w:jc w:val="center"/>
            </w:pPr>
            <w:r>
              <w:rPr>
                <w:sz w:val="20"/>
              </w:rPr>
              <w:t xml:space="preserve">1</w:t>
            </w:r>
          </w:p>
        </w:tc>
        <w:tc>
          <w:tcPr>
            <w:tcW w:w="2211" w:type="dxa"/>
          </w:tcPr>
          <w:p>
            <w:pPr>
              <w:pStyle w:val="0"/>
              <w:jc w:val="both"/>
            </w:pPr>
            <w:r>
              <w:rPr>
                <w:sz w:val="20"/>
              </w:rPr>
              <w:t xml:space="preserve">Анализ кадрового обеспечения службы медицинской реабилитации в городе Севастополе</w:t>
            </w:r>
          </w:p>
        </w:tc>
        <w:tc>
          <w:tcPr>
            <w:tcW w:w="1247" w:type="dxa"/>
          </w:tcPr>
          <w:p>
            <w:pPr>
              <w:pStyle w:val="0"/>
              <w:jc w:val="both"/>
            </w:pPr>
            <w:r>
              <w:rPr>
                <w:sz w:val="20"/>
              </w:rPr>
              <w:t xml:space="preserve">01.04.2022</w:t>
            </w:r>
          </w:p>
        </w:tc>
        <w:tc>
          <w:tcPr>
            <w:tcW w:w="1304" w:type="dxa"/>
          </w:tcPr>
          <w:p>
            <w:pPr>
              <w:pStyle w:val="0"/>
              <w:jc w:val="both"/>
            </w:pPr>
            <w:r>
              <w:rPr>
                <w:sz w:val="20"/>
              </w:rPr>
              <w:t xml:space="preserve">01.12.2024</w:t>
            </w:r>
          </w:p>
        </w:tc>
        <w:tc>
          <w:tcPr>
            <w:tcW w:w="2041" w:type="dxa"/>
          </w:tcPr>
          <w:p>
            <w:pPr>
              <w:pStyle w:val="0"/>
              <w:jc w:val="both"/>
            </w:pPr>
            <w:r>
              <w:rPr>
                <w:sz w:val="20"/>
              </w:rPr>
              <w:t xml:space="preserve">Начальник отдела кадровой работы Организационно-правового управления Департамента здравоохранения города Севастополя; главные врачи МО</w:t>
            </w:r>
          </w:p>
        </w:tc>
        <w:tc>
          <w:tcPr>
            <w:tcW w:w="2268" w:type="dxa"/>
          </w:tcPr>
          <w:p>
            <w:pPr>
              <w:pStyle w:val="0"/>
              <w:jc w:val="both"/>
            </w:pPr>
            <w:r>
              <w:rPr>
                <w:sz w:val="20"/>
              </w:rPr>
              <w:t xml:space="preserve">Укомплектованность кадрами службы медицинской реабилитации не менее 90%</w:t>
            </w:r>
          </w:p>
        </w:tc>
        <w:tc>
          <w:tcPr>
            <w:tcW w:w="2381" w:type="dxa"/>
          </w:tcPr>
          <w:p>
            <w:pPr>
              <w:pStyle w:val="0"/>
              <w:jc w:val="both"/>
            </w:pPr>
            <w:r>
              <w:rPr>
                <w:sz w:val="20"/>
              </w:rPr>
            </w:r>
          </w:p>
        </w:tc>
        <w:tc>
          <w:tcPr>
            <w:tcW w:w="1531" w:type="dxa"/>
          </w:tcPr>
          <w:p>
            <w:pPr>
              <w:pStyle w:val="0"/>
              <w:jc w:val="both"/>
            </w:pPr>
            <w:r>
              <w:rPr>
                <w:sz w:val="20"/>
              </w:rPr>
              <w:t xml:space="preserve">Регулярное (ежегодное)</w:t>
            </w:r>
          </w:p>
        </w:tc>
      </w:tr>
      <w:tr>
        <w:tc>
          <w:tcPr>
            <w:tcW w:w="567" w:type="dxa"/>
          </w:tcPr>
          <w:p>
            <w:pPr>
              <w:pStyle w:val="0"/>
              <w:jc w:val="both"/>
            </w:pPr>
            <w:r>
              <w:rPr>
                <w:sz w:val="20"/>
              </w:rPr>
              <w:t xml:space="preserve">4.2</w:t>
            </w:r>
          </w:p>
        </w:tc>
        <w:tc>
          <w:tcPr>
            <w:tcW w:w="2551" w:type="dxa"/>
          </w:tcPr>
          <w:p>
            <w:pPr>
              <w:pStyle w:val="0"/>
              <w:jc w:val="both"/>
            </w:pPr>
            <w:r>
              <w:rPr>
                <w:sz w:val="20"/>
              </w:rPr>
            </w:r>
          </w:p>
        </w:tc>
        <w:tc>
          <w:tcPr>
            <w:tcW w:w="964" w:type="dxa"/>
          </w:tcPr>
          <w:p>
            <w:pPr>
              <w:pStyle w:val="0"/>
              <w:jc w:val="center"/>
            </w:pPr>
            <w:r>
              <w:rPr>
                <w:sz w:val="20"/>
              </w:rPr>
              <w:t xml:space="preserve">2</w:t>
            </w:r>
          </w:p>
        </w:tc>
        <w:tc>
          <w:tcPr>
            <w:tcW w:w="2211" w:type="dxa"/>
          </w:tcPr>
          <w:p>
            <w:pPr>
              <w:pStyle w:val="0"/>
              <w:jc w:val="both"/>
            </w:pPr>
            <w:r>
              <w:rPr>
                <w:sz w:val="20"/>
              </w:rPr>
              <w:t xml:space="preserve">Обучение специалистов по профилю медицинская реабилитация для работы в отделении реабилитации</w:t>
            </w:r>
          </w:p>
        </w:tc>
        <w:tc>
          <w:tcPr>
            <w:tcW w:w="1247" w:type="dxa"/>
          </w:tcPr>
          <w:p>
            <w:pPr>
              <w:pStyle w:val="0"/>
              <w:jc w:val="both"/>
            </w:pPr>
            <w:r>
              <w:rPr>
                <w:sz w:val="20"/>
              </w:rPr>
              <w:t xml:space="preserve">01.04.2022</w:t>
            </w:r>
          </w:p>
        </w:tc>
        <w:tc>
          <w:tcPr>
            <w:tcW w:w="1304" w:type="dxa"/>
          </w:tcPr>
          <w:p>
            <w:pPr>
              <w:pStyle w:val="0"/>
              <w:jc w:val="both"/>
            </w:pPr>
            <w:r>
              <w:rPr>
                <w:sz w:val="20"/>
              </w:rPr>
              <w:t xml:space="preserve">31.12.2030</w:t>
            </w:r>
          </w:p>
        </w:tc>
        <w:tc>
          <w:tcPr>
            <w:tcW w:w="2041"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врач ГБ N 1</w:t>
            </w:r>
          </w:p>
        </w:tc>
        <w:tc>
          <w:tcPr>
            <w:tcW w:w="2268" w:type="dxa"/>
          </w:tcPr>
          <w:p>
            <w:pPr>
              <w:pStyle w:val="0"/>
              <w:jc w:val="both"/>
            </w:pPr>
            <w:r>
              <w:rPr>
                <w:sz w:val="20"/>
              </w:rPr>
              <w:t xml:space="preserve">Отделение медицинской реабилитации укомплектовано врачом по физической реабилитационной медицине</w:t>
            </w:r>
          </w:p>
        </w:tc>
        <w:tc>
          <w:tcPr>
            <w:tcW w:w="2381" w:type="dxa"/>
          </w:tcPr>
          <w:p>
            <w:pPr>
              <w:pStyle w:val="0"/>
              <w:jc w:val="both"/>
            </w:pPr>
            <w:r>
              <w:rPr>
                <w:sz w:val="20"/>
              </w:rPr>
              <w:t xml:space="preserve">Проведена профессиональная переподготовка или привлечен 1 врач по физической и реабилитационной медицине для работы в отделении медицинской реабилитации</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4.3</w:t>
            </w:r>
          </w:p>
        </w:tc>
        <w:tc>
          <w:tcPr>
            <w:tcW w:w="2551" w:type="dxa"/>
          </w:tcPr>
          <w:p>
            <w:pPr>
              <w:pStyle w:val="0"/>
              <w:jc w:val="both"/>
            </w:pPr>
            <w:r>
              <w:rPr>
                <w:sz w:val="20"/>
              </w:rPr>
            </w:r>
          </w:p>
        </w:tc>
        <w:tc>
          <w:tcPr>
            <w:tcW w:w="964" w:type="dxa"/>
          </w:tcPr>
          <w:p>
            <w:pPr>
              <w:pStyle w:val="0"/>
              <w:jc w:val="center"/>
            </w:pPr>
            <w:r>
              <w:rPr>
                <w:sz w:val="20"/>
              </w:rPr>
              <w:t xml:space="preserve">3</w:t>
            </w:r>
          </w:p>
        </w:tc>
        <w:tc>
          <w:tcPr>
            <w:tcW w:w="2211" w:type="dxa"/>
          </w:tcPr>
          <w:p>
            <w:pPr>
              <w:pStyle w:val="0"/>
              <w:jc w:val="both"/>
            </w:pPr>
            <w:r>
              <w:rPr>
                <w:sz w:val="20"/>
              </w:rPr>
              <w:t xml:space="preserve">Привлечение специалистов в службу медицинской реабилитации</w:t>
            </w:r>
          </w:p>
        </w:tc>
        <w:tc>
          <w:tcPr>
            <w:tcW w:w="1247" w:type="dxa"/>
          </w:tcPr>
          <w:p>
            <w:pPr>
              <w:pStyle w:val="0"/>
              <w:jc w:val="both"/>
            </w:pPr>
            <w:r>
              <w:rPr>
                <w:sz w:val="20"/>
              </w:rPr>
              <w:t xml:space="preserve">01.04.2022</w:t>
            </w:r>
          </w:p>
        </w:tc>
        <w:tc>
          <w:tcPr>
            <w:tcW w:w="1304" w:type="dxa"/>
          </w:tcPr>
          <w:p>
            <w:pPr>
              <w:pStyle w:val="0"/>
              <w:jc w:val="both"/>
            </w:pPr>
            <w:r>
              <w:rPr>
                <w:sz w:val="20"/>
              </w:rPr>
              <w:t xml:space="preserve">31.12.2030</w:t>
            </w:r>
          </w:p>
        </w:tc>
        <w:tc>
          <w:tcPr>
            <w:tcW w:w="2041" w:type="dxa"/>
          </w:tcPr>
          <w:p>
            <w:pPr>
              <w:pStyle w:val="0"/>
              <w:jc w:val="both"/>
            </w:pPr>
            <w:r>
              <w:rPr>
                <w:sz w:val="20"/>
              </w:rPr>
              <w:t xml:space="preserve">Начальник отдела кадровой работы Организационно-правового управления Департамента здравоохранения города Севастополя; главные врачи МО</w:t>
            </w:r>
          </w:p>
        </w:tc>
        <w:tc>
          <w:tcPr>
            <w:tcW w:w="2268" w:type="dxa"/>
          </w:tcPr>
          <w:p>
            <w:pPr>
              <w:pStyle w:val="0"/>
              <w:jc w:val="both"/>
            </w:pPr>
            <w:r>
              <w:rPr>
                <w:sz w:val="20"/>
              </w:rPr>
              <w:t xml:space="preserve">Отделения медицинской реабилитации укомплектованы врачами по физической реабилитационной медицине</w:t>
            </w:r>
          </w:p>
        </w:tc>
        <w:tc>
          <w:tcPr>
            <w:tcW w:w="2381" w:type="dxa"/>
          </w:tcPr>
          <w:p>
            <w:pPr>
              <w:pStyle w:val="0"/>
              <w:jc w:val="both"/>
            </w:pPr>
            <w:r>
              <w:rPr>
                <w:sz w:val="20"/>
              </w:rPr>
              <w:t xml:space="preserve">Привлечено 5 врачей по физической и реабилитационной медицине для работы в отделении медицинской реабилитации</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5</w:t>
            </w:r>
          </w:p>
        </w:tc>
        <w:tc>
          <w:tcPr>
            <w:tcW w:w="2551" w:type="dxa"/>
          </w:tcPr>
          <w:p>
            <w:pPr>
              <w:pStyle w:val="0"/>
              <w:jc w:val="both"/>
            </w:pPr>
            <w:r>
              <w:rPr>
                <w:sz w:val="20"/>
              </w:rPr>
              <w:t xml:space="preserve">Организационно-методическое сопровождение деятельности реабилитационной службы города Севастополя</w:t>
            </w:r>
          </w:p>
        </w:tc>
        <w:tc>
          <w:tcPr>
            <w:tcW w:w="964" w:type="dxa"/>
          </w:tcPr>
          <w:p>
            <w:pPr>
              <w:pStyle w:val="0"/>
              <w:jc w:val="center"/>
            </w:pPr>
            <w:r>
              <w:rPr>
                <w:sz w:val="20"/>
              </w:rPr>
            </w:r>
          </w:p>
        </w:tc>
        <w:tc>
          <w:tcPr>
            <w:tcW w:w="2211" w:type="dxa"/>
          </w:tcPr>
          <w:p>
            <w:pPr>
              <w:pStyle w:val="0"/>
              <w:jc w:val="both"/>
            </w:pPr>
            <w:r>
              <w:rPr>
                <w:sz w:val="20"/>
              </w:rPr>
            </w:r>
          </w:p>
        </w:tc>
        <w:tc>
          <w:tcPr>
            <w:tcW w:w="1247" w:type="dxa"/>
          </w:tcPr>
          <w:p>
            <w:pPr>
              <w:pStyle w:val="0"/>
              <w:jc w:val="both"/>
            </w:pPr>
            <w:r>
              <w:rPr>
                <w:sz w:val="20"/>
              </w:rPr>
            </w:r>
          </w:p>
        </w:tc>
        <w:tc>
          <w:tcPr>
            <w:tcW w:w="1304" w:type="dxa"/>
          </w:tcPr>
          <w:p>
            <w:pPr>
              <w:pStyle w:val="0"/>
              <w:jc w:val="both"/>
            </w:pPr>
            <w:r>
              <w:rPr>
                <w:sz w:val="20"/>
              </w:rPr>
            </w:r>
          </w:p>
        </w:tc>
        <w:tc>
          <w:tcPr>
            <w:tcW w:w="2041" w:type="dxa"/>
          </w:tcPr>
          <w:p>
            <w:pPr>
              <w:pStyle w:val="0"/>
              <w:jc w:val="both"/>
            </w:pPr>
            <w:r>
              <w:rPr>
                <w:sz w:val="20"/>
              </w:rPr>
            </w:r>
          </w:p>
        </w:tc>
        <w:tc>
          <w:tcPr>
            <w:tcW w:w="2268" w:type="dxa"/>
          </w:tcPr>
          <w:p>
            <w:pPr>
              <w:pStyle w:val="0"/>
              <w:jc w:val="both"/>
            </w:pPr>
            <w:r>
              <w:rPr>
                <w:sz w:val="20"/>
              </w:rPr>
            </w:r>
          </w:p>
        </w:tc>
        <w:tc>
          <w:tcPr>
            <w:tcW w:w="2381" w:type="dxa"/>
          </w:tcPr>
          <w:p>
            <w:pPr>
              <w:pStyle w:val="0"/>
              <w:jc w:val="both"/>
            </w:pPr>
            <w:r>
              <w:rPr>
                <w:sz w:val="20"/>
              </w:rPr>
            </w:r>
          </w:p>
        </w:tc>
        <w:tc>
          <w:tcPr>
            <w:tcW w:w="1531" w:type="dxa"/>
          </w:tcPr>
          <w:p>
            <w:pPr>
              <w:pStyle w:val="0"/>
              <w:jc w:val="both"/>
            </w:pPr>
            <w:r>
              <w:rPr>
                <w:sz w:val="20"/>
              </w:rPr>
            </w:r>
          </w:p>
        </w:tc>
      </w:tr>
      <w:tr>
        <w:tc>
          <w:tcPr>
            <w:tcW w:w="567" w:type="dxa"/>
          </w:tcPr>
          <w:p>
            <w:pPr>
              <w:pStyle w:val="0"/>
              <w:jc w:val="both"/>
            </w:pPr>
            <w:r>
              <w:rPr>
                <w:sz w:val="20"/>
              </w:rPr>
              <w:t xml:space="preserve">5.1</w:t>
            </w:r>
          </w:p>
        </w:tc>
        <w:tc>
          <w:tcPr>
            <w:tcW w:w="2551" w:type="dxa"/>
          </w:tcPr>
          <w:p>
            <w:pPr>
              <w:pStyle w:val="0"/>
              <w:jc w:val="both"/>
            </w:pPr>
            <w:r>
              <w:rPr>
                <w:sz w:val="20"/>
              </w:rPr>
            </w:r>
          </w:p>
        </w:tc>
        <w:tc>
          <w:tcPr>
            <w:tcW w:w="964" w:type="dxa"/>
          </w:tcPr>
          <w:p>
            <w:pPr>
              <w:pStyle w:val="0"/>
              <w:jc w:val="center"/>
            </w:pPr>
            <w:r>
              <w:rPr>
                <w:sz w:val="20"/>
              </w:rPr>
              <w:t xml:space="preserve">1</w:t>
            </w:r>
          </w:p>
        </w:tc>
        <w:tc>
          <w:tcPr>
            <w:tcW w:w="2211" w:type="dxa"/>
          </w:tcPr>
          <w:p>
            <w:pPr>
              <w:pStyle w:val="0"/>
              <w:jc w:val="both"/>
            </w:pPr>
            <w:r>
              <w:rPr>
                <w:sz w:val="20"/>
              </w:rPr>
              <w:t xml:space="preserve">Актуализация маршрутизации пациентов по профилю "медицинская реабилитация" в городе Севастополе</w:t>
            </w:r>
          </w:p>
        </w:tc>
        <w:tc>
          <w:tcPr>
            <w:tcW w:w="1247" w:type="dxa"/>
          </w:tcPr>
          <w:p>
            <w:pPr>
              <w:pStyle w:val="0"/>
              <w:jc w:val="both"/>
            </w:pPr>
            <w:r>
              <w:rPr>
                <w:sz w:val="20"/>
              </w:rPr>
              <w:t xml:space="preserve">01.04.2022</w:t>
            </w:r>
          </w:p>
        </w:tc>
        <w:tc>
          <w:tcPr>
            <w:tcW w:w="1304" w:type="dxa"/>
          </w:tcPr>
          <w:p>
            <w:pPr>
              <w:pStyle w:val="0"/>
              <w:jc w:val="both"/>
            </w:pPr>
            <w:r>
              <w:rPr>
                <w:sz w:val="20"/>
              </w:rPr>
              <w:t xml:space="preserve">01.07.2022</w:t>
            </w:r>
          </w:p>
        </w:tc>
        <w:tc>
          <w:tcPr>
            <w:tcW w:w="2041" w:type="dxa"/>
          </w:tcPr>
          <w:p>
            <w:pPr>
              <w:pStyle w:val="0"/>
              <w:jc w:val="both"/>
            </w:pPr>
            <w:r>
              <w:rPr>
                <w:sz w:val="20"/>
              </w:rPr>
              <w:t xml:space="preserve">Первый заместитель директора Департамента здравоохранения города Севастополя</w:t>
            </w:r>
          </w:p>
        </w:tc>
        <w:tc>
          <w:tcPr>
            <w:tcW w:w="2268" w:type="dxa"/>
          </w:tcPr>
          <w:p>
            <w:pPr>
              <w:pStyle w:val="0"/>
              <w:jc w:val="both"/>
            </w:pPr>
            <w:r>
              <w:rPr>
                <w:sz w:val="20"/>
              </w:rPr>
              <w:t xml:space="preserve">Утверждение нормативно-правового акта</w:t>
            </w:r>
          </w:p>
        </w:tc>
        <w:tc>
          <w:tcPr>
            <w:tcW w:w="2381" w:type="dxa"/>
          </w:tcPr>
          <w:p>
            <w:pPr>
              <w:pStyle w:val="0"/>
              <w:jc w:val="both"/>
            </w:pPr>
            <w:r>
              <w:rPr>
                <w:sz w:val="20"/>
              </w:rPr>
              <w:t xml:space="preserve">Утвержден приказ Департамента здравоохранения города Севастополя</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5.2</w:t>
            </w:r>
          </w:p>
        </w:tc>
        <w:tc>
          <w:tcPr>
            <w:tcW w:w="2551" w:type="dxa"/>
          </w:tcPr>
          <w:p>
            <w:pPr>
              <w:pStyle w:val="0"/>
              <w:jc w:val="both"/>
            </w:pPr>
            <w:r>
              <w:rPr>
                <w:sz w:val="20"/>
              </w:rPr>
            </w:r>
          </w:p>
        </w:tc>
        <w:tc>
          <w:tcPr>
            <w:tcW w:w="964" w:type="dxa"/>
          </w:tcPr>
          <w:p>
            <w:pPr>
              <w:pStyle w:val="0"/>
              <w:jc w:val="center"/>
            </w:pPr>
            <w:r>
              <w:rPr>
                <w:sz w:val="20"/>
              </w:rPr>
              <w:t xml:space="preserve">2</w:t>
            </w:r>
          </w:p>
        </w:tc>
        <w:tc>
          <w:tcPr>
            <w:tcW w:w="2211" w:type="dxa"/>
          </w:tcPr>
          <w:p>
            <w:pPr>
              <w:pStyle w:val="0"/>
              <w:jc w:val="both"/>
            </w:pPr>
            <w:r>
              <w:rPr>
                <w:sz w:val="20"/>
              </w:rPr>
              <w:t xml:space="preserve">Создание регистра пациентов, нуждающихся в реабилитации</w:t>
            </w:r>
          </w:p>
        </w:tc>
        <w:tc>
          <w:tcPr>
            <w:tcW w:w="1247" w:type="dxa"/>
          </w:tcPr>
          <w:p>
            <w:pPr>
              <w:pStyle w:val="0"/>
              <w:jc w:val="both"/>
            </w:pPr>
            <w:r>
              <w:rPr>
                <w:sz w:val="20"/>
              </w:rPr>
              <w:t xml:space="preserve">01.04.2022</w:t>
            </w:r>
          </w:p>
        </w:tc>
        <w:tc>
          <w:tcPr>
            <w:tcW w:w="1304" w:type="dxa"/>
          </w:tcPr>
          <w:p>
            <w:pPr>
              <w:pStyle w:val="0"/>
              <w:jc w:val="both"/>
            </w:pPr>
            <w:r>
              <w:rPr>
                <w:sz w:val="20"/>
              </w:rPr>
              <w:t xml:space="preserve">31.12.2022</w:t>
            </w:r>
          </w:p>
        </w:tc>
        <w:tc>
          <w:tcPr>
            <w:tcW w:w="2041"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специалист по медицинской реабилитации Департамента здравоохранения города Севастополя; директор ГБУЗС "МИАЦ"</w:t>
            </w:r>
          </w:p>
        </w:tc>
        <w:tc>
          <w:tcPr>
            <w:tcW w:w="2268" w:type="dxa"/>
          </w:tcPr>
          <w:p>
            <w:pPr>
              <w:pStyle w:val="0"/>
              <w:jc w:val="both"/>
            </w:pPr>
            <w:r>
              <w:rPr>
                <w:sz w:val="20"/>
              </w:rPr>
              <w:t xml:space="preserve">Сформирован регистр пациентов, нуждающихся в реабилитации, на базе АИС ЛПУ</w:t>
            </w:r>
          </w:p>
        </w:tc>
        <w:tc>
          <w:tcPr>
            <w:tcW w:w="2381" w:type="dxa"/>
          </w:tcPr>
          <w:p>
            <w:pPr>
              <w:pStyle w:val="0"/>
              <w:jc w:val="both"/>
            </w:pPr>
            <w:r>
              <w:rPr>
                <w:sz w:val="20"/>
              </w:rPr>
              <w:t xml:space="preserve">Сформирован регистр пациентов, нуждающихся в реабилитации</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5.3</w:t>
            </w:r>
          </w:p>
        </w:tc>
        <w:tc>
          <w:tcPr>
            <w:tcW w:w="2551" w:type="dxa"/>
          </w:tcPr>
          <w:p>
            <w:pPr>
              <w:pStyle w:val="0"/>
              <w:jc w:val="both"/>
            </w:pPr>
            <w:r>
              <w:rPr>
                <w:sz w:val="20"/>
              </w:rPr>
            </w:r>
          </w:p>
        </w:tc>
        <w:tc>
          <w:tcPr>
            <w:tcW w:w="964" w:type="dxa"/>
          </w:tcPr>
          <w:p>
            <w:pPr>
              <w:pStyle w:val="0"/>
              <w:jc w:val="center"/>
            </w:pPr>
            <w:r>
              <w:rPr>
                <w:sz w:val="20"/>
              </w:rPr>
              <w:t xml:space="preserve">3</w:t>
            </w:r>
          </w:p>
        </w:tc>
        <w:tc>
          <w:tcPr>
            <w:tcW w:w="2211" w:type="dxa"/>
          </w:tcPr>
          <w:p>
            <w:pPr>
              <w:pStyle w:val="0"/>
              <w:jc w:val="both"/>
            </w:pPr>
            <w:r>
              <w:rPr>
                <w:sz w:val="20"/>
              </w:rPr>
              <w:t xml:space="preserve">Мониторинг, планирование и управление потоками пациентов при оказании медицинской помощи по медицинской реабилитации</w:t>
            </w:r>
          </w:p>
        </w:tc>
        <w:tc>
          <w:tcPr>
            <w:tcW w:w="1247" w:type="dxa"/>
          </w:tcPr>
          <w:p>
            <w:pPr>
              <w:pStyle w:val="0"/>
              <w:jc w:val="both"/>
            </w:pPr>
            <w:r>
              <w:rPr>
                <w:sz w:val="20"/>
              </w:rPr>
              <w:t xml:space="preserve">01.04.2022</w:t>
            </w:r>
          </w:p>
        </w:tc>
        <w:tc>
          <w:tcPr>
            <w:tcW w:w="1304" w:type="dxa"/>
          </w:tcPr>
          <w:p>
            <w:pPr>
              <w:pStyle w:val="0"/>
              <w:jc w:val="both"/>
            </w:pPr>
            <w:r>
              <w:rPr>
                <w:sz w:val="20"/>
              </w:rPr>
              <w:t xml:space="preserve">31.12.2030</w:t>
            </w:r>
          </w:p>
        </w:tc>
        <w:tc>
          <w:tcPr>
            <w:tcW w:w="2041" w:type="dxa"/>
          </w:tcPr>
          <w:p>
            <w:pPr>
              <w:pStyle w:val="0"/>
              <w:jc w:val="both"/>
            </w:pPr>
            <w:r>
              <w:rPr>
                <w:sz w:val="20"/>
              </w:rPr>
              <w:t xml:space="preserve">Начальник Управления организации медицинской помощи Департамента здравоохранения города Севастополя; главный внештатный специалист по медицинской реабилитации Департамента здравоохранения города Севастополя</w:t>
            </w:r>
          </w:p>
        </w:tc>
        <w:tc>
          <w:tcPr>
            <w:tcW w:w="2268" w:type="dxa"/>
          </w:tcPr>
          <w:p>
            <w:pPr>
              <w:pStyle w:val="0"/>
              <w:jc w:val="both"/>
            </w:pPr>
            <w:r>
              <w:rPr>
                <w:sz w:val="20"/>
              </w:rPr>
              <w:t xml:space="preserve">Ведение мониторинга оказания медицинской помощи по медицинской реабилитации. Планирование объемов оказания медицинской помощи по профилю "медицинская реабилитация"</w:t>
            </w:r>
          </w:p>
        </w:tc>
        <w:tc>
          <w:tcPr>
            <w:tcW w:w="2381" w:type="dxa"/>
          </w:tcPr>
          <w:p>
            <w:pPr>
              <w:pStyle w:val="0"/>
              <w:jc w:val="both"/>
            </w:pPr>
            <w:r>
              <w:rPr>
                <w:sz w:val="20"/>
              </w:rPr>
              <w:t xml:space="preserve">Охват реабилитацией на всех этапах соответствует запланированному</w:t>
            </w:r>
          </w:p>
        </w:tc>
        <w:tc>
          <w:tcPr>
            <w:tcW w:w="1531" w:type="dxa"/>
          </w:tcPr>
          <w:p>
            <w:pPr>
              <w:pStyle w:val="0"/>
              <w:jc w:val="both"/>
            </w:pPr>
            <w:r>
              <w:rPr>
                <w:sz w:val="20"/>
              </w:rPr>
              <w:t xml:space="preserve">Регулярное</w:t>
            </w:r>
          </w:p>
        </w:tc>
      </w:tr>
      <w:tr>
        <w:tc>
          <w:tcPr>
            <w:tcW w:w="567" w:type="dxa"/>
          </w:tcPr>
          <w:p>
            <w:pPr>
              <w:pStyle w:val="0"/>
              <w:jc w:val="both"/>
            </w:pPr>
            <w:r>
              <w:rPr>
                <w:sz w:val="20"/>
              </w:rPr>
              <w:t xml:space="preserve">6</w:t>
            </w:r>
          </w:p>
        </w:tc>
        <w:tc>
          <w:tcPr>
            <w:tcW w:w="2551" w:type="dxa"/>
            <w:vMerge w:val="restart"/>
          </w:tcPr>
          <w:p>
            <w:pPr>
              <w:pStyle w:val="0"/>
              <w:jc w:val="both"/>
            </w:pPr>
            <w:r>
              <w:rPr>
                <w:sz w:val="20"/>
              </w:rPr>
              <w:t xml:space="preserve">Обеспечение взаимодействия с научными медицинскими исследовательскими центрами</w:t>
            </w:r>
          </w:p>
        </w:tc>
        <w:tc>
          <w:tcPr>
            <w:tcW w:w="964" w:type="dxa"/>
          </w:tcPr>
          <w:p>
            <w:pPr>
              <w:pStyle w:val="0"/>
              <w:jc w:val="center"/>
            </w:pPr>
            <w:r>
              <w:rPr>
                <w:sz w:val="20"/>
              </w:rPr>
              <w:t xml:space="preserve">1</w:t>
            </w:r>
          </w:p>
        </w:tc>
        <w:tc>
          <w:tcPr>
            <w:tcW w:w="2211" w:type="dxa"/>
          </w:tcPr>
          <w:p>
            <w:pPr>
              <w:pStyle w:val="0"/>
              <w:jc w:val="both"/>
            </w:pPr>
            <w:r>
              <w:rPr>
                <w:sz w:val="20"/>
              </w:rPr>
              <w:t xml:space="preserve">Осуществление дистанционных консультаций/консилиумов по медицинской реабилитации с применением телемедицинских технологий "якорных" медицинских организаций с профильными национальными медицинскими исследовательскими центрами</w:t>
            </w:r>
          </w:p>
        </w:tc>
        <w:tc>
          <w:tcPr>
            <w:tcW w:w="1247" w:type="dxa"/>
          </w:tcPr>
          <w:p>
            <w:pPr>
              <w:pStyle w:val="0"/>
              <w:jc w:val="both"/>
            </w:pPr>
            <w:r>
              <w:rPr>
                <w:sz w:val="20"/>
              </w:rPr>
              <w:t xml:space="preserve">01.07.2022</w:t>
            </w:r>
          </w:p>
        </w:tc>
        <w:tc>
          <w:tcPr>
            <w:tcW w:w="1304" w:type="dxa"/>
          </w:tcPr>
          <w:p>
            <w:pPr>
              <w:pStyle w:val="0"/>
              <w:jc w:val="both"/>
            </w:pPr>
            <w:r>
              <w:rPr>
                <w:sz w:val="20"/>
              </w:rPr>
              <w:t xml:space="preserve">31.12.2024</w:t>
            </w:r>
          </w:p>
        </w:tc>
        <w:tc>
          <w:tcPr>
            <w:tcW w:w="2041" w:type="dxa"/>
          </w:tcPr>
          <w:p>
            <w:pPr>
              <w:pStyle w:val="0"/>
              <w:jc w:val="both"/>
            </w:pPr>
            <w:r>
              <w:rPr>
                <w:sz w:val="20"/>
              </w:rPr>
              <w:t xml:space="preserve">Главные врачи МО</w:t>
            </w:r>
          </w:p>
        </w:tc>
        <w:tc>
          <w:tcPr>
            <w:tcW w:w="2268" w:type="dxa"/>
          </w:tcPr>
          <w:p>
            <w:pPr>
              <w:pStyle w:val="0"/>
              <w:jc w:val="both"/>
            </w:pPr>
            <w:r>
              <w:rPr>
                <w:sz w:val="20"/>
              </w:rPr>
              <w:t xml:space="preserve">Увеличение числа проведенных ТМК по медицинской реабилитации с профильными НМИЦ:</w:t>
            </w:r>
          </w:p>
          <w:p>
            <w:pPr>
              <w:pStyle w:val="0"/>
              <w:jc w:val="both"/>
            </w:pPr>
            <w:r>
              <w:rPr>
                <w:sz w:val="20"/>
              </w:rPr>
              <w:t xml:space="preserve">2022 год - 15;</w:t>
            </w:r>
          </w:p>
          <w:p>
            <w:pPr>
              <w:pStyle w:val="0"/>
              <w:jc w:val="both"/>
            </w:pPr>
            <w:r>
              <w:rPr>
                <w:sz w:val="20"/>
              </w:rPr>
              <w:t xml:space="preserve">2023 год - 20;</w:t>
            </w:r>
          </w:p>
          <w:p>
            <w:pPr>
              <w:pStyle w:val="0"/>
              <w:jc w:val="both"/>
            </w:pPr>
            <w:r>
              <w:rPr>
                <w:sz w:val="20"/>
              </w:rPr>
              <w:t xml:space="preserve">2024 год - 30</w:t>
            </w:r>
          </w:p>
        </w:tc>
        <w:tc>
          <w:tcPr>
            <w:tcW w:w="2381" w:type="dxa"/>
          </w:tcPr>
          <w:p>
            <w:pPr>
              <w:pStyle w:val="0"/>
              <w:jc w:val="both"/>
            </w:pPr>
            <w:r>
              <w:rPr>
                <w:sz w:val="20"/>
              </w:rPr>
              <w:t xml:space="preserve">Повышение качества оказания медицинской помощи по профилю "медицинская реабилитация"</w:t>
            </w:r>
          </w:p>
        </w:tc>
        <w:tc>
          <w:tcPr>
            <w:tcW w:w="1531" w:type="dxa"/>
          </w:tcPr>
          <w:p>
            <w:pPr>
              <w:pStyle w:val="0"/>
              <w:jc w:val="both"/>
            </w:pPr>
            <w:r>
              <w:rPr>
                <w:sz w:val="20"/>
              </w:rPr>
              <w:t xml:space="preserve">Регулярное</w:t>
            </w:r>
          </w:p>
        </w:tc>
      </w:tr>
      <w:tr>
        <w:tc>
          <w:tcPr>
            <w:tcW w:w="567" w:type="dxa"/>
          </w:tcPr>
          <w:p>
            <w:pPr>
              <w:pStyle w:val="0"/>
              <w:jc w:val="both"/>
            </w:pPr>
            <w:r>
              <w:rPr>
                <w:sz w:val="20"/>
              </w:rPr>
            </w:r>
          </w:p>
        </w:tc>
        <w:tc>
          <w:tcPr>
            <w:vMerge w:val="continue"/>
          </w:tcPr>
          <w:p/>
        </w:tc>
        <w:tc>
          <w:tcPr>
            <w:tcW w:w="964" w:type="dxa"/>
          </w:tcPr>
          <w:p>
            <w:pPr>
              <w:pStyle w:val="0"/>
              <w:jc w:val="center"/>
            </w:pPr>
            <w:r>
              <w:rPr>
                <w:sz w:val="20"/>
              </w:rPr>
              <w:t xml:space="preserve">2</w:t>
            </w:r>
          </w:p>
        </w:tc>
        <w:tc>
          <w:tcPr>
            <w:tcW w:w="2211" w:type="dxa"/>
          </w:tcPr>
          <w:p>
            <w:pPr>
              <w:pStyle w:val="0"/>
              <w:jc w:val="both"/>
            </w:pPr>
            <w:r>
              <w:rPr>
                <w:sz w:val="20"/>
              </w:rPr>
              <w:t xml:space="preserve">Участие профильных национальных медицинских исследовательских центров в организационно-методическом сопровождении деятельности реабилитационной службы города Севастополя</w:t>
            </w:r>
          </w:p>
        </w:tc>
        <w:tc>
          <w:tcPr>
            <w:tcW w:w="1247" w:type="dxa"/>
          </w:tcPr>
          <w:p>
            <w:pPr>
              <w:pStyle w:val="0"/>
              <w:jc w:val="both"/>
            </w:pPr>
            <w:r>
              <w:rPr>
                <w:sz w:val="20"/>
              </w:rPr>
              <w:t xml:space="preserve">01.04.2022</w:t>
            </w:r>
          </w:p>
        </w:tc>
        <w:tc>
          <w:tcPr>
            <w:tcW w:w="1304" w:type="dxa"/>
          </w:tcPr>
          <w:p>
            <w:pPr>
              <w:pStyle w:val="0"/>
              <w:jc w:val="both"/>
            </w:pPr>
            <w:r>
              <w:rPr>
                <w:sz w:val="20"/>
              </w:rPr>
              <w:t xml:space="preserve">31.12.2023</w:t>
            </w:r>
          </w:p>
        </w:tc>
        <w:tc>
          <w:tcPr>
            <w:tcW w:w="2041" w:type="dxa"/>
          </w:tcPr>
          <w:p>
            <w:pPr>
              <w:pStyle w:val="0"/>
              <w:jc w:val="both"/>
            </w:pPr>
            <w:r>
              <w:rPr>
                <w:sz w:val="20"/>
              </w:rPr>
              <w:t xml:space="preserve">Первый заместитель директора Департамента здравоохранения города Севастополя</w:t>
            </w:r>
          </w:p>
        </w:tc>
        <w:tc>
          <w:tcPr>
            <w:tcW w:w="2268" w:type="dxa"/>
          </w:tcPr>
          <w:p>
            <w:pPr>
              <w:pStyle w:val="0"/>
              <w:jc w:val="both"/>
            </w:pPr>
            <w:r>
              <w:rPr>
                <w:sz w:val="20"/>
              </w:rPr>
              <w:t xml:space="preserve">Утвержден нормативный акт</w:t>
            </w:r>
          </w:p>
        </w:tc>
        <w:tc>
          <w:tcPr>
            <w:tcW w:w="2381" w:type="dxa"/>
          </w:tcPr>
          <w:p>
            <w:pPr>
              <w:pStyle w:val="0"/>
              <w:jc w:val="both"/>
            </w:pPr>
            <w:r>
              <w:rPr>
                <w:sz w:val="20"/>
              </w:rPr>
              <w:t xml:space="preserve">Разработан и утвержден договор о сотрудничестве Департамента здравоохранения города Севастополя и НМИЦ по вопросам внедрения инновационных методов диагностики, лечения и реабилитации</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r>
          </w:p>
        </w:tc>
        <w:tc>
          <w:tcPr>
            <w:vMerge w:val="continue"/>
          </w:tcPr>
          <w:p/>
        </w:tc>
        <w:tc>
          <w:tcPr>
            <w:tcW w:w="964" w:type="dxa"/>
          </w:tcPr>
          <w:p>
            <w:pPr>
              <w:pStyle w:val="0"/>
              <w:jc w:val="center"/>
            </w:pPr>
            <w:r>
              <w:rPr>
                <w:sz w:val="20"/>
              </w:rPr>
              <w:t xml:space="preserve">3</w:t>
            </w:r>
          </w:p>
        </w:tc>
        <w:tc>
          <w:tcPr>
            <w:tcW w:w="2211" w:type="dxa"/>
          </w:tcPr>
          <w:p>
            <w:pPr>
              <w:pStyle w:val="0"/>
              <w:jc w:val="both"/>
            </w:pPr>
            <w:r>
              <w:rPr>
                <w:sz w:val="20"/>
              </w:rPr>
              <w:t xml:space="preserve">Участие специалистов, участвующих в осуществлении медицинской реабилитации в научно-практических мероприятиях, проводимых профильными НМИЦ, медицинскими ассоциациями, в том числе с применением телемедицинских технологий</w:t>
            </w:r>
          </w:p>
        </w:tc>
        <w:tc>
          <w:tcPr>
            <w:tcW w:w="1247" w:type="dxa"/>
          </w:tcPr>
          <w:p>
            <w:pPr>
              <w:pStyle w:val="0"/>
              <w:jc w:val="both"/>
            </w:pPr>
            <w:r>
              <w:rPr>
                <w:sz w:val="20"/>
              </w:rPr>
              <w:t xml:space="preserve">01.07.2022</w:t>
            </w:r>
          </w:p>
        </w:tc>
        <w:tc>
          <w:tcPr>
            <w:tcW w:w="1304" w:type="dxa"/>
          </w:tcPr>
          <w:p>
            <w:pPr>
              <w:pStyle w:val="0"/>
              <w:jc w:val="both"/>
            </w:pPr>
            <w:r>
              <w:rPr>
                <w:sz w:val="20"/>
              </w:rPr>
              <w:t xml:space="preserve">31.12.2030</w:t>
            </w:r>
          </w:p>
        </w:tc>
        <w:tc>
          <w:tcPr>
            <w:tcW w:w="2041" w:type="dxa"/>
          </w:tcPr>
          <w:p>
            <w:pPr>
              <w:pStyle w:val="0"/>
              <w:jc w:val="both"/>
            </w:pPr>
            <w:r>
              <w:rPr>
                <w:sz w:val="20"/>
              </w:rPr>
              <w:t xml:space="preserve">Главный внештатный специалист по медицинской реабилитации Департамента здравоохранения города Севастополя; главный внештатный детский специалист по медицинской реабилитации Департамента здравоохранения города Севастополя; главные врачи МО</w:t>
            </w:r>
          </w:p>
        </w:tc>
        <w:tc>
          <w:tcPr>
            <w:tcW w:w="2268" w:type="dxa"/>
          </w:tcPr>
          <w:p>
            <w:pPr>
              <w:pStyle w:val="0"/>
              <w:jc w:val="both"/>
            </w:pPr>
            <w:r>
              <w:rPr>
                <w:sz w:val="20"/>
              </w:rPr>
              <w:t xml:space="preserve">Увеличение доли специалистов, принявших участие в проведении научно-практических мероприятий, в том числе с использованием телемедицинских технологий:</w:t>
            </w:r>
          </w:p>
          <w:p>
            <w:pPr>
              <w:pStyle w:val="0"/>
              <w:jc w:val="both"/>
            </w:pPr>
            <w:r>
              <w:rPr>
                <w:sz w:val="20"/>
              </w:rPr>
              <w:t xml:space="preserve">2022 год - 5%;</w:t>
            </w:r>
          </w:p>
          <w:p>
            <w:pPr>
              <w:pStyle w:val="0"/>
              <w:jc w:val="both"/>
            </w:pPr>
            <w:r>
              <w:rPr>
                <w:sz w:val="20"/>
              </w:rPr>
              <w:t xml:space="preserve">2023 год - 0%;</w:t>
            </w:r>
          </w:p>
          <w:p>
            <w:pPr>
              <w:pStyle w:val="0"/>
              <w:jc w:val="both"/>
            </w:pPr>
            <w:r>
              <w:rPr>
                <w:sz w:val="20"/>
              </w:rPr>
              <w:t xml:space="preserve">2024 год - 0%;</w:t>
            </w:r>
          </w:p>
          <w:p>
            <w:pPr>
              <w:pStyle w:val="0"/>
              <w:jc w:val="both"/>
            </w:pPr>
            <w:r>
              <w:rPr>
                <w:sz w:val="20"/>
              </w:rPr>
              <w:t xml:space="preserve">2025 год - 80%</w:t>
            </w:r>
          </w:p>
        </w:tc>
        <w:tc>
          <w:tcPr>
            <w:tcW w:w="2381" w:type="dxa"/>
          </w:tcPr>
          <w:p>
            <w:pPr>
              <w:pStyle w:val="0"/>
              <w:jc w:val="both"/>
            </w:pPr>
            <w:r>
              <w:rPr>
                <w:sz w:val="20"/>
              </w:rPr>
              <w:t xml:space="preserve">Повышение качества оказания медицинской помощи по профилю "медицинская реабилитация"</w:t>
            </w:r>
          </w:p>
        </w:tc>
        <w:tc>
          <w:tcPr>
            <w:tcW w:w="1531" w:type="dxa"/>
          </w:tcPr>
          <w:p>
            <w:pPr>
              <w:pStyle w:val="0"/>
              <w:jc w:val="both"/>
            </w:pPr>
            <w:r>
              <w:rPr>
                <w:sz w:val="20"/>
              </w:rPr>
              <w:t xml:space="preserve">Регулярное</w:t>
            </w:r>
          </w:p>
        </w:tc>
      </w:tr>
      <w:tr>
        <w:tc>
          <w:tcPr>
            <w:tcW w:w="567" w:type="dxa"/>
          </w:tcPr>
          <w:p>
            <w:pPr>
              <w:pStyle w:val="0"/>
              <w:jc w:val="both"/>
            </w:pPr>
            <w:r>
              <w:rPr>
                <w:sz w:val="20"/>
              </w:rPr>
            </w:r>
          </w:p>
        </w:tc>
        <w:tc>
          <w:tcPr>
            <w:vMerge w:val="continue"/>
          </w:tcPr>
          <w:p/>
        </w:tc>
        <w:tc>
          <w:tcPr>
            <w:tcW w:w="964" w:type="dxa"/>
          </w:tcPr>
          <w:p>
            <w:pPr>
              <w:pStyle w:val="0"/>
              <w:jc w:val="center"/>
            </w:pPr>
            <w:r>
              <w:rPr>
                <w:sz w:val="20"/>
              </w:rPr>
              <w:t xml:space="preserve">4</w:t>
            </w:r>
          </w:p>
        </w:tc>
        <w:tc>
          <w:tcPr>
            <w:tcW w:w="2211" w:type="dxa"/>
          </w:tcPr>
          <w:p>
            <w:pPr>
              <w:pStyle w:val="0"/>
              <w:jc w:val="both"/>
            </w:pPr>
            <w:r>
              <w:rPr>
                <w:sz w:val="20"/>
              </w:rPr>
              <w:t xml:space="preserve">Мероприятия по дистанционному обучению специалистов, участвующих в осуществлении медицинской реабилитации</w:t>
            </w:r>
          </w:p>
        </w:tc>
        <w:tc>
          <w:tcPr>
            <w:tcW w:w="1247" w:type="dxa"/>
          </w:tcPr>
          <w:p>
            <w:pPr>
              <w:pStyle w:val="0"/>
              <w:jc w:val="both"/>
            </w:pPr>
            <w:r>
              <w:rPr>
                <w:sz w:val="20"/>
              </w:rPr>
              <w:t xml:space="preserve">01.04.2022</w:t>
            </w:r>
          </w:p>
        </w:tc>
        <w:tc>
          <w:tcPr>
            <w:tcW w:w="1304" w:type="dxa"/>
          </w:tcPr>
          <w:p>
            <w:pPr>
              <w:pStyle w:val="0"/>
              <w:jc w:val="both"/>
            </w:pPr>
            <w:r>
              <w:rPr>
                <w:sz w:val="20"/>
              </w:rPr>
              <w:t xml:space="preserve">31.12.2030</w:t>
            </w:r>
          </w:p>
        </w:tc>
        <w:tc>
          <w:tcPr>
            <w:tcW w:w="2041" w:type="dxa"/>
          </w:tcPr>
          <w:p>
            <w:pPr>
              <w:pStyle w:val="0"/>
              <w:jc w:val="both"/>
            </w:pPr>
            <w:r>
              <w:rPr>
                <w:sz w:val="20"/>
              </w:rPr>
              <w:t xml:space="preserve">Главный внештатный специалист по медицинской реабилитации Департамента здравоохранения города Севастополя; главный внештатный детский специалист по медицинской реабилитации Департамента здравоохранения города Севастополя</w:t>
            </w:r>
          </w:p>
        </w:tc>
        <w:tc>
          <w:tcPr>
            <w:tcW w:w="2268" w:type="dxa"/>
          </w:tcPr>
          <w:p>
            <w:pPr>
              <w:pStyle w:val="0"/>
              <w:jc w:val="both"/>
            </w:pPr>
            <w:r>
              <w:rPr>
                <w:sz w:val="20"/>
              </w:rPr>
              <w:t xml:space="preserve">Доля специалистов, принявших участие в проведении научно-практических мероприятий с использованием телемедицинских технологий:</w:t>
            </w:r>
          </w:p>
          <w:p>
            <w:pPr>
              <w:pStyle w:val="0"/>
              <w:jc w:val="both"/>
            </w:pPr>
            <w:r>
              <w:rPr>
                <w:sz w:val="20"/>
              </w:rPr>
              <w:t xml:space="preserve">2022 год - 20%;</w:t>
            </w:r>
          </w:p>
          <w:p>
            <w:pPr>
              <w:pStyle w:val="0"/>
              <w:jc w:val="both"/>
            </w:pPr>
            <w:r>
              <w:rPr>
                <w:sz w:val="20"/>
              </w:rPr>
              <w:t xml:space="preserve">2023 год - 40%;</w:t>
            </w:r>
          </w:p>
          <w:p>
            <w:pPr>
              <w:pStyle w:val="0"/>
              <w:jc w:val="both"/>
            </w:pPr>
            <w:r>
              <w:rPr>
                <w:sz w:val="20"/>
              </w:rPr>
              <w:t xml:space="preserve">2024 год - 60%;</w:t>
            </w:r>
          </w:p>
          <w:p>
            <w:pPr>
              <w:pStyle w:val="0"/>
              <w:jc w:val="both"/>
            </w:pPr>
            <w:r>
              <w:rPr>
                <w:sz w:val="20"/>
              </w:rPr>
              <w:t xml:space="preserve">2025 год - 80%;</w:t>
            </w:r>
          </w:p>
          <w:p>
            <w:pPr>
              <w:pStyle w:val="0"/>
              <w:jc w:val="both"/>
            </w:pPr>
            <w:r>
              <w:rPr>
                <w:sz w:val="20"/>
              </w:rPr>
              <w:t xml:space="preserve">2030 год - 100%</w:t>
            </w:r>
          </w:p>
        </w:tc>
        <w:tc>
          <w:tcPr>
            <w:tcW w:w="2381" w:type="dxa"/>
          </w:tcPr>
          <w:p>
            <w:pPr>
              <w:pStyle w:val="0"/>
              <w:jc w:val="both"/>
            </w:pPr>
            <w:r>
              <w:rPr>
                <w:sz w:val="20"/>
              </w:rPr>
              <w:t xml:space="preserve">Повышение доступности и качества оказания медицинской помощи по профилю "медицинская реабилитация" на всех этапах медицинской реабилитации</w:t>
            </w:r>
          </w:p>
        </w:tc>
        <w:tc>
          <w:tcPr>
            <w:tcW w:w="1531" w:type="dxa"/>
          </w:tcPr>
          <w:p>
            <w:pPr>
              <w:pStyle w:val="0"/>
              <w:jc w:val="both"/>
            </w:pPr>
            <w:r>
              <w:rPr>
                <w:sz w:val="20"/>
              </w:rPr>
              <w:t xml:space="preserve">Регулярное</w:t>
            </w:r>
          </w:p>
        </w:tc>
      </w:tr>
      <w:tr>
        <w:tc>
          <w:tcPr>
            <w:tcW w:w="567" w:type="dxa"/>
          </w:tcPr>
          <w:p>
            <w:pPr>
              <w:pStyle w:val="0"/>
              <w:jc w:val="both"/>
            </w:pPr>
            <w:r>
              <w:rPr>
                <w:sz w:val="20"/>
              </w:rPr>
              <w:t xml:space="preserve">7</w:t>
            </w:r>
          </w:p>
        </w:tc>
        <w:tc>
          <w:tcPr>
            <w:tcW w:w="2551" w:type="dxa"/>
          </w:tcPr>
          <w:p>
            <w:pPr>
              <w:pStyle w:val="0"/>
              <w:jc w:val="both"/>
            </w:pPr>
            <w:r>
              <w:rPr>
                <w:sz w:val="20"/>
              </w:rPr>
              <w:t xml:space="preserve">Информирование граждан о возможностях медицинской реабилитации</w:t>
            </w:r>
          </w:p>
        </w:tc>
        <w:tc>
          <w:tcPr>
            <w:tcW w:w="964" w:type="dxa"/>
          </w:tcPr>
          <w:p>
            <w:pPr>
              <w:pStyle w:val="0"/>
              <w:jc w:val="center"/>
            </w:pPr>
            <w:r>
              <w:rPr>
                <w:sz w:val="20"/>
              </w:rPr>
            </w:r>
          </w:p>
        </w:tc>
        <w:tc>
          <w:tcPr>
            <w:tcW w:w="2211" w:type="dxa"/>
          </w:tcPr>
          <w:p>
            <w:pPr>
              <w:pStyle w:val="0"/>
              <w:jc w:val="both"/>
            </w:pPr>
            <w:r>
              <w:rPr>
                <w:sz w:val="20"/>
              </w:rPr>
            </w:r>
          </w:p>
        </w:tc>
        <w:tc>
          <w:tcPr>
            <w:tcW w:w="1247" w:type="dxa"/>
          </w:tcPr>
          <w:p>
            <w:pPr>
              <w:pStyle w:val="0"/>
              <w:jc w:val="both"/>
            </w:pPr>
            <w:r>
              <w:rPr>
                <w:sz w:val="20"/>
              </w:rPr>
            </w:r>
          </w:p>
        </w:tc>
        <w:tc>
          <w:tcPr>
            <w:tcW w:w="1304" w:type="dxa"/>
          </w:tcPr>
          <w:p>
            <w:pPr>
              <w:pStyle w:val="0"/>
              <w:jc w:val="both"/>
            </w:pPr>
            <w:r>
              <w:rPr>
                <w:sz w:val="20"/>
              </w:rPr>
            </w:r>
          </w:p>
        </w:tc>
        <w:tc>
          <w:tcPr>
            <w:tcW w:w="2041" w:type="dxa"/>
          </w:tcPr>
          <w:p>
            <w:pPr>
              <w:pStyle w:val="0"/>
              <w:jc w:val="both"/>
            </w:pPr>
            <w:r>
              <w:rPr>
                <w:sz w:val="20"/>
              </w:rPr>
            </w:r>
          </w:p>
        </w:tc>
        <w:tc>
          <w:tcPr>
            <w:tcW w:w="2268" w:type="dxa"/>
          </w:tcPr>
          <w:p>
            <w:pPr>
              <w:pStyle w:val="0"/>
              <w:jc w:val="both"/>
            </w:pPr>
            <w:r>
              <w:rPr>
                <w:sz w:val="20"/>
              </w:rPr>
            </w:r>
          </w:p>
        </w:tc>
        <w:tc>
          <w:tcPr>
            <w:tcW w:w="2381" w:type="dxa"/>
          </w:tcPr>
          <w:p>
            <w:pPr>
              <w:pStyle w:val="0"/>
              <w:jc w:val="both"/>
            </w:pPr>
            <w:r>
              <w:rPr>
                <w:sz w:val="20"/>
              </w:rPr>
            </w:r>
          </w:p>
        </w:tc>
        <w:tc>
          <w:tcPr>
            <w:tcW w:w="1531" w:type="dxa"/>
          </w:tcPr>
          <w:p>
            <w:pPr>
              <w:pStyle w:val="0"/>
              <w:jc w:val="both"/>
            </w:pPr>
            <w:r>
              <w:rPr>
                <w:sz w:val="20"/>
              </w:rPr>
            </w:r>
          </w:p>
        </w:tc>
      </w:tr>
      <w:tr>
        <w:tc>
          <w:tcPr>
            <w:tcW w:w="567" w:type="dxa"/>
            <w:vMerge w:val="restart"/>
          </w:tcPr>
          <w:p>
            <w:pPr>
              <w:pStyle w:val="0"/>
              <w:jc w:val="both"/>
            </w:pPr>
            <w:r>
              <w:rPr>
                <w:sz w:val="20"/>
              </w:rPr>
              <w:t xml:space="preserve">7.1</w:t>
            </w:r>
          </w:p>
        </w:tc>
        <w:tc>
          <w:tcPr>
            <w:tcW w:w="2551" w:type="dxa"/>
            <w:vMerge w:val="restart"/>
          </w:tcPr>
          <w:p>
            <w:pPr>
              <w:pStyle w:val="0"/>
              <w:jc w:val="both"/>
            </w:pPr>
            <w:r>
              <w:rPr>
                <w:sz w:val="20"/>
              </w:rPr>
            </w:r>
          </w:p>
        </w:tc>
        <w:tc>
          <w:tcPr>
            <w:tcW w:w="964" w:type="dxa"/>
          </w:tcPr>
          <w:p>
            <w:pPr>
              <w:pStyle w:val="0"/>
              <w:jc w:val="center"/>
            </w:pPr>
            <w:r>
              <w:rPr>
                <w:sz w:val="20"/>
              </w:rPr>
              <w:t xml:space="preserve">1</w:t>
            </w:r>
          </w:p>
        </w:tc>
        <w:tc>
          <w:tcPr>
            <w:tcW w:w="2211" w:type="dxa"/>
          </w:tcPr>
          <w:p>
            <w:pPr>
              <w:pStyle w:val="0"/>
              <w:jc w:val="both"/>
            </w:pPr>
            <w:r>
              <w:rPr>
                <w:sz w:val="20"/>
              </w:rPr>
              <w:t xml:space="preserve">Увеличение охвата граждан информацией о возможностях медицинской реабилитации в личном кабинете "Мое здоровье" на Едином портале государственных и муниципальных услуг (функций)</w:t>
            </w:r>
          </w:p>
        </w:tc>
        <w:tc>
          <w:tcPr>
            <w:tcW w:w="1247" w:type="dxa"/>
          </w:tcPr>
          <w:p>
            <w:pPr>
              <w:pStyle w:val="0"/>
              <w:jc w:val="both"/>
            </w:pPr>
            <w:r>
              <w:rPr>
                <w:sz w:val="20"/>
              </w:rPr>
              <w:t xml:space="preserve">01.04.2022</w:t>
            </w:r>
          </w:p>
        </w:tc>
        <w:tc>
          <w:tcPr>
            <w:tcW w:w="1304" w:type="dxa"/>
          </w:tcPr>
          <w:p>
            <w:pPr>
              <w:pStyle w:val="0"/>
              <w:jc w:val="both"/>
            </w:pPr>
            <w:r>
              <w:rPr>
                <w:sz w:val="20"/>
              </w:rPr>
              <w:t xml:space="preserve">01.12.2024</w:t>
            </w:r>
          </w:p>
        </w:tc>
        <w:tc>
          <w:tcPr>
            <w:tcW w:w="2041" w:type="dxa"/>
          </w:tcPr>
          <w:p>
            <w:pPr>
              <w:pStyle w:val="0"/>
              <w:jc w:val="both"/>
            </w:pPr>
            <w:r>
              <w:rPr>
                <w:sz w:val="20"/>
              </w:rPr>
              <w:t xml:space="preserve">Первый заместитель директора Департамента здравоохранения города Севастополя; директор ГБУЗС "МИАЦ"</w:t>
            </w:r>
          </w:p>
        </w:tc>
        <w:tc>
          <w:tcPr>
            <w:tcW w:w="2268" w:type="dxa"/>
          </w:tcPr>
          <w:p>
            <w:pPr>
              <w:pStyle w:val="0"/>
              <w:jc w:val="both"/>
            </w:pPr>
            <w:r>
              <w:rPr>
                <w:sz w:val="20"/>
              </w:rPr>
              <w:t xml:space="preserve">В личном кабинете "Мое здоровье" на Едином портале государственных и муниципальных услуг 100% граждан от нуждающихся в медицинской реабилитации получают информацию о возможностях медицинской реабилитации</w:t>
            </w:r>
          </w:p>
        </w:tc>
        <w:tc>
          <w:tcPr>
            <w:tcW w:w="2381" w:type="dxa"/>
          </w:tcPr>
          <w:p>
            <w:pPr>
              <w:pStyle w:val="0"/>
              <w:jc w:val="both"/>
            </w:pPr>
            <w:r>
              <w:rPr>
                <w:sz w:val="20"/>
              </w:rPr>
              <w:t xml:space="preserve">Проведены работы по направлению в личный кабинет "Мое здоровье" на Едином портале государственных и муниципальных услуг информации о возможностях медицинской реабилитации</w:t>
            </w:r>
          </w:p>
        </w:tc>
        <w:tc>
          <w:tcPr>
            <w:tcW w:w="1531" w:type="dxa"/>
          </w:tcPr>
          <w:p>
            <w:pPr>
              <w:pStyle w:val="0"/>
              <w:jc w:val="both"/>
            </w:pPr>
            <w:r>
              <w:rPr>
                <w:sz w:val="20"/>
              </w:rPr>
              <w:t xml:space="preserve">Разовое (неделимое)</w:t>
            </w:r>
          </w:p>
        </w:tc>
      </w:tr>
      <w:tr>
        <w:tc>
          <w:tcPr>
            <w:vMerge w:val="continue"/>
          </w:tcPr>
          <w:p/>
        </w:tc>
        <w:tc>
          <w:tcPr>
            <w:vMerge w:val="continue"/>
          </w:tcPr>
          <w:p/>
        </w:tc>
        <w:tc>
          <w:tcPr>
            <w:tcW w:w="964" w:type="dxa"/>
          </w:tcPr>
          <w:p>
            <w:pPr>
              <w:pStyle w:val="0"/>
              <w:jc w:val="center"/>
            </w:pPr>
            <w:r>
              <w:rPr>
                <w:sz w:val="20"/>
              </w:rPr>
              <w:t xml:space="preserve">2</w:t>
            </w:r>
          </w:p>
        </w:tc>
        <w:tc>
          <w:tcPr>
            <w:tcW w:w="2211" w:type="dxa"/>
          </w:tcPr>
          <w:p>
            <w:pPr>
              <w:pStyle w:val="0"/>
              <w:jc w:val="both"/>
            </w:pPr>
            <w:r>
              <w:rPr>
                <w:sz w:val="20"/>
              </w:rPr>
              <w:t xml:space="preserve">Информирование в средствах массовой информации населения о возможности пройти медицинскую реабилитацию</w:t>
            </w:r>
          </w:p>
        </w:tc>
        <w:tc>
          <w:tcPr>
            <w:tcW w:w="1247" w:type="dxa"/>
          </w:tcPr>
          <w:p>
            <w:pPr>
              <w:pStyle w:val="0"/>
              <w:jc w:val="both"/>
            </w:pPr>
            <w:r>
              <w:rPr>
                <w:sz w:val="20"/>
              </w:rPr>
              <w:t xml:space="preserve">01.04.2022</w:t>
            </w:r>
          </w:p>
        </w:tc>
        <w:tc>
          <w:tcPr>
            <w:tcW w:w="1304" w:type="dxa"/>
          </w:tcPr>
          <w:p>
            <w:pPr>
              <w:pStyle w:val="0"/>
              <w:jc w:val="both"/>
            </w:pPr>
            <w:r>
              <w:rPr>
                <w:sz w:val="20"/>
              </w:rPr>
              <w:t xml:space="preserve">31.12.2030</w:t>
            </w:r>
          </w:p>
        </w:tc>
        <w:tc>
          <w:tcPr>
            <w:tcW w:w="2041" w:type="dxa"/>
          </w:tcPr>
          <w:p>
            <w:pPr>
              <w:pStyle w:val="0"/>
              <w:jc w:val="both"/>
            </w:pPr>
            <w:r>
              <w:rPr>
                <w:sz w:val="20"/>
              </w:rPr>
              <w:t xml:space="preserve">Пресс-секретарь Департамента здравоохранения города Севастополя</w:t>
            </w:r>
          </w:p>
        </w:tc>
        <w:tc>
          <w:tcPr>
            <w:tcW w:w="2268" w:type="dxa"/>
          </w:tcPr>
          <w:p>
            <w:pPr>
              <w:pStyle w:val="0"/>
              <w:jc w:val="both"/>
            </w:pPr>
            <w:r>
              <w:rPr>
                <w:sz w:val="20"/>
              </w:rPr>
              <w:t xml:space="preserve">Количество роликов (интервью) на телевидении - не менее 1 в год, количество публикаций в печатных/электронных СМИ - не менее 4 в год</w:t>
            </w:r>
          </w:p>
        </w:tc>
        <w:tc>
          <w:tcPr>
            <w:tcW w:w="2381" w:type="dxa"/>
          </w:tcPr>
          <w:p>
            <w:pPr>
              <w:pStyle w:val="0"/>
              <w:jc w:val="both"/>
            </w:pPr>
            <w:r>
              <w:rPr>
                <w:sz w:val="20"/>
              </w:rPr>
              <w:t xml:space="preserve">Повышение информированности населения по вопросам медицинской реабилитации</w:t>
            </w:r>
          </w:p>
        </w:tc>
        <w:tc>
          <w:tcPr>
            <w:tcW w:w="1531" w:type="dxa"/>
          </w:tcPr>
          <w:p>
            <w:pPr>
              <w:pStyle w:val="0"/>
              <w:jc w:val="both"/>
            </w:pPr>
            <w:r>
              <w:rPr>
                <w:sz w:val="20"/>
              </w:rPr>
              <w:t xml:space="preserve">Регулярно</w:t>
            </w:r>
          </w:p>
        </w:tc>
      </w:tr>
      <w:tr>
        <w:tc>
          <w:tcPr>
            <w:tcW w:w="567" w:type="dxa"/>
          </w:tcPr>
          <w:p>
            <w:pPr>
              <w:pStyle w:val="0"/>
              <w:jc w:val="both"/>
            </w:pPr>
            <w:r>
              <w:rPr>
                <w:sz w:val="20"/>
              </w:rPr>
              <w:t xml:space="preserve">7.2</w:t>
            </w:r>
          </w:p>
        </w:tc>
        <w:tc>
          <w:tcPr>
            <w:tcW w:w="2551" w:type="dxa"/>
          </w:tcPr>
          <w:p>
            <w:pPr>
              <w:pStyle w:val="0"/>
              <w:jc w:val="both"/>
            </w:pPr>
            <w:r>
              <w:rPr>
                <w:sz w:val="20"/>
              </w:rPr>
            </w:r>
          </w:p>
        </w:tc>
        <w:tc>
          <w:tcPr>
            <w:tcW w:w="964" w:type="dxa"/>
          </w:tcPr>
          <w:p>
            <w:pPr>
              <w:pStyle w:val="0"/>
              <w:jc w:val="center"/>
            </w:pPr>
            <w:r>
              <w:rPr>
                <w:sz w:val="20"/>
              </w:rPr>
              <w:t xml:space="preserve">3</w:t>
            </w:r>
          </w:p>
        </w:tc>
        <w:tc>
          <w:tcPr>
            <w:tcW w:w="2211" w:type="dxa"/>
          </w:tcPr>
          <w:p>
            <w:pPr>
              <w:pStyle w:val="0"/>
              <w:jc w:val="both"/>
            </w:pPr>
            <w:r>
              <w:rPr>
                <w:sz w:val="20"/>
              </w:rPr>
              <w:t xml:space="preserve">Внедрение механизмов обратной связи по вопросам медицинской реабилитации и информирование пациентов об их наличии посредством сайтов медицинских организаций</w:t>
            </w:r>
          </w:p>
        </w:tc>
        <w:tc>
          <w:tcPr>
            <w:tcW w:w="1247" w:type="dxa"/>
          </w:tcPr>
          <w:p>
            <w:pPr>
              <w:pStyle w:val="0"/>
              <w:jc w:val="both"/>
            </w:pPr>
            <w:r>
              <w:rPr>
                <w:sz w:val="20"/>
              </w:rPr>
              <w:t xml:space="preserve">01.07.2022</w:t>
            </w:r>
          </w:p>
        </w:tc>
        <w:tc>
          <w:tcPr>
            <w:tcW w:w="1304" w:type="dxa"/>
          </w:tcPr>
          <w:p>
            <w:pPr>
              <w:pStyle w:val="0"/>
              <w:jc w:val="both"/>
            </w:pPr>
            <w:r>
              <w:rPr>
                <w:sz w:val="20"/>
              </w:rPr>
              <w:t xml:space="preserve">31.07.2023</w:t>
            </w:r>
          </w:p>
        </w:tc>
        <w:tc>
          <w:tcPr>
            <w:tcW w:w="2041" w:type="dxa"/>
          </w:tcPr>
          <w:p>
            <w:pPr>
              <w:pStyle w:val="0"/>
              <w:jc w:val="both"/>
            </w:pPr>
            <w:r>
              <w:rPr>
                <w:sz w:val="20"/>
              </w:rPr>
              <w:t xml:space="preserve">Директор ГБУЗС "МИАЦ"; главные врачи МО</w:t>
            </w:r>
          </w:p>
        </w:tc>
        <w:tc>
          <w:tcPr>
            <w:tcW w:w="2268" w:type="dxa"/>
          </w:tcPr>
          <w:p>
            <w:pPr>
              <w:pStyle w:val="0"/>
              <w:jc w:val="both"/>
            </w:pPr>
            <w:r>
              <w:rPr>
                <w:sz w:val="20"/>
              </w:rPr>
              <w:t xml:space="preserve">Создание формы обратной связи по вопросам медицинской реабилитации на сайтах медицинских организаций</w:t>
            </w:r>
          </w:p>
        </w:tc>
        <w:tc>
          <w:tcPr>
            <w:tcW w:w="2381" w:type="dxa"/>
          </w:tcPr>
          <w:p>
            <w:pPr>
              <w:pStyle w:val="0"/>
              <w:jc w:val="both"/>
            </w:pPr>
            <w:r>
              <w:rPr>
                <w:sz w:val="20"/>
              </w:rPr>
              <w:t xml:space="preserve">Получение информации по принципу обратной связи для принятия организационных и управленческих решений при реализации мероприятий региональной программы "Оптимальная для восстановления здоровья медицинская реабилитация в городе Севастополе"</w:t>
            </w:r>
          </w:p>
        </w:tc>
        <w:tc>
          <w:tcPr>
            <w:tcW w:w="1531" w:type="dxa"/>
          </w:tcPr>
          <w:p>
            <w:pPr>
              <w:pStyle w:val="0"/>
              <w:jc w:val="both"/>
            </w:pPr>
            <w:r>
              <w:rPr>
                <w:sz w:val="20"/>
              </w:rPr>
              <w:t xml:space="preserve">Регулярно</w:t>
            </w:r>
          </w:p>
        </w:tc>
      </w:tr>
      <w:tr>
        <w:tc>
          <w:tcPr>
            <w:tcW w:w="567" w:type="dxa"/>
          </w:tcPr>
          <w:p>
            <w:pPr>
              <w:pStyle w:val="0"/>
              <w:jc w:val="both"/>
            </w:pPr>
            <w:r>
              <w:rPr>
                <w:sz w:val="20"/>
              </w:rPr>
              <w:t xml:space="preserve">7.3</w:t>
            </w:r>
          </w:p>
        </w:tc>
        <w:tc>
          <w:tcPr>
            <w:tcW w:w="2551" w:type="dxa"/>
          </w:tcPr>
          <w:p>
            <w:pPr>
              <w:pStyle w:val="0"/>
              <w:jc w:val="both"/>
            </w:pPr>
            <w:r>
              <w:rPr>
                <w:sz w:val="20"/>
              </w:rPr>
            </w:r>
          </w:p>
        </w:tc>
        <w:tc>
          <w:tcPr>
            <w:tcW w:w="964" w:type="dxa"/>
          </w:tcPr>
          <w:p>
            <w:pPr>
              <w:pStyle w:val="0"/>
              <w:jc w:val="center"/>
            </w:pPr>
            <w:r>
              <w:rPr>
                <w:sz w:val="20"/>
              </w:rPr>
              <w:t xml:space="preserve">4</w:t>
            </w:r>
          </w:p>
        </w:tc>
        <w:tc>
          <w:tcPr>
            <w:tcW w:w="2211" w:type="dxa"/>
          </w:tcPr>
          <w:p>
            <w:pPr>
              <w:pStyle w:val="0"/>
              <w:jc w:val="both"/>
            </w:pPr>
            <w:r>
              <w:rPr>
                <w:sz w:val="20"/>
              </w:rPr>
              <w:t xml:space="preserve">Обеспечение медицинскими организациями доступности услуг и сервисов личного кабинета пациента на Едином портале государственных и муниципальных услуг (функций)</w:t>
            </w:r>
          </w:p>
        </w:tc>
        <w:tc>
          <w:tcPr>
            <w:tcW w:w="1247" w:type="dxa"/>
          </w:tcPr>
          <w:p>
            <w:pPr>
              <w:pStyle w:val="0"/>
              <w:jc w:val="both"/>
            </w:pPr>
            <w:r>
              <w:rPr>
                <w:sz w:val="20"/>
              </w:rPr>
              <w:t xml:space="preserve">01.07.2022</w:t>
            </w:r>
          </w:p>
        </w:tc>
        <w:tc>
          <w:tcPr>
            <w:tcW w:w="1304" w:type="dxa"/>
          </w:tcPr>
          <w:p>
            <w:pPr>
              <w:pStyle w:val="0"/>
              <w:jc w:val="both"/>
            </w:pPr>
            <w:r>
              <w:rPr>
                <w:sz w:val="20"/>
              </w:rPr>
              <w:t xml:space="preserve">20.12.2023</w:t>
            </w:r>
          </w:p>
        </w:tc>
        <w:tc>
          <w:tcPr>
            <w:tcW w:w="2041" w:type="dxa"/>
          </w:tcPr>
          <w:p>
            <w:pPr>
              <w:pStyle w:val="0"/>
              <w:jc w:val="both"/>
            </w:pPr>
            <w:r>
              <w:rPr>
                <w:sz w:val="20"/>
              </w:rPr>
              <w:t xml:space="preserve">Директор ГБУЗС "МИАЦ"; главные врачи МО</w:t>
            </w:r>
          </w:p>
        </w:tc>
        <w:tc>
          <w:tcPr>
            <w:tcW w:w="2268" w:type="dxa"/>
          </w:tcPr>
          <w:p>
            <w:pPr>
              <w:pStyle w:val="0"/>
              <w:jc w:val="both"/>
            </w:pPr>
            <w:r>
              <w:rPr>
                <w:sz w:val="20"/>
              </w:rPr>
              <w:t xml:space="preserve">Актуализированное расписание, корректное отображение на ЕПГУ</w:t>
            </w:r>
          </w:p>
        </w:tc>
        <w:tc>
          <w:tcPr>
            <w:tcW w:w="2381" w:type="dxa"/>
          </w:tcPr>
          <w:p>
            <w:pPr>
              <w:pStyle w:val="0"/>
              <w:jc w:val="both"/>
            </w:pPr>
            <w:r>
              <w:rPr>
                <w:sz w:val="20"/>
              </w:rPr>
              <w:t xml:space="preserve">Повышение качества оказания медицинской помощи по профилю "медицинская реабилитация"</w:t>
            </w:r>
          </w:p>
        </w:tc>
        <w:tc>
          <w:tcPr>
            <w:tcW w:w="1531" w:type="dxa"/>
          </w:tcPr>
          <w:p>
            <w:pPr>
              <w:pStyle w:val="0"/>
              <w:jc w:val="both"/>
            </w:pPr>
            <w:r>
              <w:rPr>
                <w:sz w:val="20"/>
              </w:rPr>
              <w:t xml:space="preserve">Регулярное</w:t>
            </w:r>
          </w:p>
        </w:tc>
      </w:tr>
      <w:tr>
        <w:tc>
          <w:tcPr>
            <w:tcW w:w="567" w:type="dxa"/>
          </w:tcPr>
          <w:p>
            <w:pPr>
              <w:pStyle w:val="0"/>
              <w:jc w:val="both"/>
            </w:pPr>
            <w:r>
              <w:rPr>
                <w:sz w:val="20"/>
              </w:rPr>
              <w:t xml:space="preserve">8</w:t>
            </w:r>
          </w:p>
        </w:tc>
        <w:tc>
          <w:tcPr>
            <w:tcW w:w="2551" w:type="dxa"/>
          </w:tcPr>
          <w:p>
            <w:pPr>
              <w:pStyle w:val="0"/>
              <w:jc w:val="both"/>
            </w:pPr>
            <w:r>
              <w:rPr>
                <w:sz w:val="20"/>
              </w:rPr>
              <w:t xml:space="preserve">Укрепление материально-технической базы службы медицинской реабилитации города Севастополя</w:t>
            </w:r>
          </w:p>
        </w:tc>
        <w:tc>
          <w:tcPr>
            <w:tcW w:w="964" w:type="dxa"/>
          </w:tcPr>
          <w:p>
            <w:pPr>
              <w:pStyle w:val="0"/>
              <w:jc w:val="center"/>
            </w:pPr>
            <w:r>
              <w:rPr>
                <w:sz w:val="20"/>
              </w:rPr>
            </w:r>
          </w:p>
        </w:tc>
        <w:tc>
          <w:tcPr>
            <w:tcW w:w="2211" w:type="dxa"/>
          </w:tcPr>
          <w:p>
            <w:pPr>
              <w:pStyle w:val="0"/>
              <w:jc w:val="both"/>
            </w:pPr>
            <w:r>
              <w:rPr>
                <w:sz w:val="20"/>
              </w:rPr>
            </w:r>
          </w:p>
        </w:tc>
        <w:tc>
          <w:tcPr>
            <w:tcW w:w="1247" w:type="dxa"/>
          </w:tcPr>
          <w:p>
            <w:pPr>
              <w:pStyle w:val="0"/>
              <w:jc w:val="both"/>
            </w:pPr>
            <w:r>
              <w:rPr>
                <w:sz w:val="20"/>
              </w:rPr>
            </w:r>
          </w:p>
        </w:tc>
        <w:tc>
          <w:tcPr>
            <w:tcW w:w="1304" w:type="dxa"/>
          </w:tcPr>
          <w:p>
            <w:pPr>
              <w:pStyle w:val="0"/>
              <w:jc w:val="both"/>
            </w:pPr>
            <w:r>
              <w:rPr>
                <w:sz w:val="20"/>
              </w:rPr>
            </w:r>
          </w:p>
        </w:tc>
        <w:tc>
          <w:tcPr>
            <w:tcW w:w="2041" w:type="dxa"/>
          </w:tcPr>
          <w:p>
            <w:pPr>
              <w:pStyle w:val="0"/>
              <w:jc w:val="both"/>
            </w:pPr>
            <w:r>
              <w:rPr>
                <w:sz w:val="20"/>
              </w:rPr>
            </w:r>
          </w:p>
        </w:tc>
        <w:tc>
          <w:tcPr>
            <w:tcW w:w="2268" w:type="dxa"/>
          </w:tcPr>
          <w:p>
            <w:pPr>
              <w:pStyle w:val="0"/>
              <w:jc w:val="both"/>
            </w:pPr>
            <w:r>
              <w:rPr>
                <w:sz w:val="20"/>
              </w:rPr>
            </w:r>
          </w:p>
        </w:tc>
        <w:tc>
          <w:tcPr>
            <w:tcW w:w="2381" w:type="dxa"/>
          </w:tcPr>
          <w:p>
            <w:pPr>
              <w:pStyle w:val="0"/>
              <w:jc w:val="both"/>
            </w:pPr>
            <w:r>
              <w:rPr>
                <w:sz w:val="20"/>
              </w:rPr>
            </w:r>
          </w:p>
        </w:tc>
        <w:tc>
          <w:tcPr>
            <w:tcW w:w="1531" w:type="dxa"/>
          </w:tcPr>
          <w:p>
            <w:pPr>
              <w:pStyle w:val="0"/>
              <w:jc w:val="both"/>
            </w:pPr>
            <w:r>
              <w:rPr>
                <w:sz w:val="20"/>
              </w:rPr>
            </w:r>
          </w:p>
        </w:tc>
      </w:tr>
      <w:tr>
        <w:tc>
          <w:tcPr>
            <w:tcW w:w="567" w:type="dxa"/>
          </w:tcPr>
          <w:p>
            <w:pPr>
              <w:pStyle w:val="0"/>
              <w:jc w:val="both"/>
            </w:pPr>
            <w:r>
              <w:rPr>
                <w:sz w:val="20"/>
              </w:rPr>
              <w:t xml:space="preserve">8.1</w:t>
            </w:r>
          </w:p>
        </w:tc>
        <w:tc>
          <w:tcPr>
            <w:tcW w:w="2551" w:type="dxa"/>
          </w:tcPr>
          <w:p>
            <w:pPr>
              <w:pStyle w:val="0"/>
              <w:jc w:val="both"/>
            </w:pPr>
            <w:r>
              <w:rPr>
                <w:sz w:val="20"/>
              </w:rPr>
            </w:r>
          </w:p>
        </w:tc>
        <w:tc>
          <w:tcPr>
            <w:tcW w:w="964" w:type="dxa"/>
          </w:tcPr>
          <w:p>
            <w:pPr>
              <w:pStyle w:val="0"/>
              <w:jc w:val="center"/>
            </w:pPr>
            <w:r>
              <w:rPr>
                <w:sz w:val="20"/>
              </w:rPr>
              <w:t xml:space="preserve">1</w:t>
            </w:r>
          </w:p>
        </w:tc>
        <w:tc>
          <w:tcPr>
            <w:tcW w:w="2211" w:type="dxa"/>
          </w:tcPr>
          <w:p>
            <w:pPr>
              <w:pStyle w:val="0"/>
              <w:jc w:val="both"/>
            </w:pPr>
            <w:r>
              <w:rPr>
                <w:sz w:val="20"/>
              </w:rPr>
              <w:t xml:space="preserve">Строительство медицинского реабилитационного центра</w:t>
            </w:r>
          </w:p>
        </w:tc>
        <w:tc>
          <w:tcPr>
            <w:tcW w:w="1247" w:type="dxa"/>
          </w:tcPr>
          <w:p>
            <w:pPr>
              <w:pStyle w:val="0"/>
              <w:jc w:val="both"/>
            </w:pPr>
            <w:r>
              <w:rPr>
                <w:sz w:val="20"/>
              </w:rPr>
              <w:t xml:space="preserve">01.04.2022</w:t>
            </w:r>
          </w:p>
        </w:tc>
        <w:tc>
          <w:tcPr>
            <w:tcW w:w="1304" w:type="dxa"/>
          </w:tcPr>
          <w:p>
            <w:pPr>
              <w:pStyle w:val="0"/>
              <w:jc w:val="both"/>
            </w:pPr>
            <w:r>
              <w:rPr>
                <w:sz w:val="20"/>
              </w:rPr>
              <w:t xml:space="preserve">01.07.2030</w:t>
            </w:r>
          </w:p>
        </w:tc>
        <w:tc>
          <w:tcPr>
            <w:tcW w:w="2041" w:type="dxa"/>
          </w:tcPr>
          <w:p>
            <w:pPr>
              <w:pStyle w:val="0"/>
              <w:jc w:val="both"/>
            </w:pPr>
            <w:r>
              <w:rPr>
                <w:sz w:val="20"/>
              </w:rPr>
              <w:t xml:space="preserve">Первый заместитель директора Департамента здравоохранения города Севастополя</w:t>
            </w:r>
          </w:p>
        </w:tc>
        <w:tc>
          <w:tcPr>
            <w:tcW w:w="2268" w:type="dxa"/>
          </w:tcPr>
          <w:p>
            <w:pPr>
              <w:pStyle w:val="0"/>
              <w:jc w:val="both"/>
            </w:pPr>
            <w:r>
              <w:rPr>
                <w:sz w:val="20"/>
              </w:rPr>
              <w:t xml:space="preserve">Утверждение нормативно-правового акта</w:t>
            </w:r>
          </w:p>
        </w:tc>
        <w:tc>
          <w:tcPr>
            <w:tcW w:w="2381" w:type="dxa"/>
          </w:tcPr>
          <w:p>
            <w:pPr>
              <w:pStyle w:val="0"/>
              <w:jc w:val="both"/>
            </w:pPr>
            <w:r>
              <w:rPr>
                <w:sz w:val="20"/>
              </w:rPr>
              <w:t xml:space="preserve">Утвержден приказ Департамента здравоохранения города Севастополя</w:t>
            </w:r>
          </w:p>
        </w:tc>
        <w:tc>
          <w:tcPr>
            <w:tcW w:w="1531" w:type="dxa"/>
          </w:tcPr>
          <w:p>
            <w:pPr>
              <w:pStyle w:val="0"/>
              <w:jc w:val="both"/>
            </w:pPr>
            <w:r>
              <w:rPr>
                <w:sz w:val="20"/>
              </w:rPr>
              <w:t xml:space="preserve">Разовое (делимое)</w:t>
            </w:r>
          </w:p>
        </w:tc>
      </w:tr>
      <w:tr>
        <w:tc>
          <w:tcPr>
            <w:tcW w:w="567" w:type="dxa"/>
          </w:tcPr>
          <w:p>
            <w:pPr>
              <w:pStyle w:val="0"/>
              <w:jc w:val="both"/>
            </w:pPr>
            <w:r>
              <w:rPr>
                <w:sz w:val="20"/>
              </w:rPr>
              <w:t xml:space="preserve">8.2</w:t>
            </w:r>
          </w:p>
        </w:tc>
        <w:tc>
          <w:tcPr>
            <w:tcW w:w="2551" w:type="dxa"/>
          </w:tcPr>
          <w:p>
            <w:pPr>
              <w:pStyle w:val="0"/>
              <w:jc w:val="both"/>
            </w:pPr>
            <w:r>
              <w:rPr>
                <w:sz w:val="20"/>
              </w:rPr>
            </w:r>
          </w:p>
        </w:tc>
        <w:tc>
          <w:tcPr>
            <w:tcW w:w="964" w:type="dxa"/>
          </w:tcPr>
          <w:p>
            <w:pPr>
              <w:pStyle w:val="0"/>
              <w:jc w:val="center"/>
            </w:pPr>
            <w:r>
              <w:rPr>
                <w:sz w:val="20"/>
              </w:rPr>
              <w:t xml:space="preserve">1.1</w:t>
            </w:r>
          </w:p>
        </w:tc>
        <w:tc>
          <w:tcPr>
            <w:tcW w:w="2211" w:type="dxa"/>
          </w:tcPr>
          <w:p>
            <w:pPr>
              <w:pStyle w:val="0"/>
              <w:jc w:val="both"/>
            </w:pPr>
            <w:r>
              <w:rPr>
                <w:sz w:val="20"/>
              </w:rPr>
              <w:t xml:space="preserve">Определение источника финансирования</w:t>
            </w:r>
          </w:p>
        </w:tc>
        <w:tc>
          <w:tcPr>
            <w:tcW w:w="1247" w:type="dxa"/>
          </w:tcPr>
          <w:p>
            <w:pPr>
              <w:pStyle w:val="0"/>
              <w:jc w:val="both"/>
            </w:pPr>
            <w:r>
              <w:rPr>
                <w:sz w:val="20"/>
              </w:rPr>
              <w:t xml:space="preserve">01.04.2022</w:t>
            </w:r>
          </w:p>
        </w:tc>
        <w:tc>
          <w:tcPr>
            <w:tcW w:w="1304" w:type="dxa"/>
          </w:tcPr>
          <w:p>
            <w:pPr>
              <w:pStyle w:val="0"/>
              <w:jc w:val="both"/>
            </w:pPr>
            <w:r>
              <w:rPr>
                <w:sz w:val="20"/>
              </w:rPr>
              <w:t xml:space="preserve">01.12.2024</w:t>
            </w:r>
          </w:p>
        </w:tc>
        <w:tc>
          <w:tcPr>
            <w:tcW w:w="2041" w:type="dxa"/>
          </w:tcPr>
          <w:p>
            <w:pPr>
              <w:pStyle w:val="0"/>
              <w:jc w:val="both"/>
            </w:pPr>
            <w:r>
              <w:rPr>
                <w:sz w:val="20"/>
              </w:rPr>
              <w:t xml:space="preserve">Первый заместитель директора Департамента здравоохранения города Севастополя</w:t>
            </w:r>
          </w:p>
        </w:tc>
        <w:tc>
          <w:tcPr>
            <w:tcW w:w="2268" w:type="dxa"/>
          </w:tcPr>
          <w:p>
            <w:pPr>
              <w:pStyle w:val="0"/>
              <w:jc w:val="both"/>
            </w:pPr>
            <w:r>
              <w:rPr>
                <w:sz w:val="20"/>
              </w:rPr>
              <w:t xml:space="preserve">Определен источник финансирования строительства объекта</w:t>
            </w:r>
          </w:p>
        </w:tc>
        <w:tc>
          <w:tcPr>
            <w:tcW w:w="2381" w:type="dxa"/>
          </w:tcPr>
          <w:p>
            <w:pPr>
              <w:pStyle w:val="0"/>
              <w:jc w:val="both"/>
            </w:pPr>
            <w:r>
              <w:rPr>
                <w:sz w:val="20"/>
              </w:rPr>
              <w:t xml:space="preserve">Проведена работа по определению источника финансирования: из средств бюджета города Севастополя, из средств федерального бюджета, за счет средств частного инвестора в рамках государственно-частного партнерства</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8.3</w:t>
            </w:r>
          </w:p>
        </w:tc>
        <w:tc>
          <w:tcPr>
            <w:tcW w:w="2551" w:type="dxa"/>
          </w:tcPr>
          <w:p>
            <w:pPr>
              <w:pStyle w:val="0"/>
              <w:jc w:val="both"/>
            </w:pPr>
            <w:r>
              <w:rPr>
                <w:sz w:val="20"/>
              </w:rPr>
            </w:r>
          </w:p>
        </w:tc>
        <w:tc>
          <w:tcPr>
            <w:tcW w:w="964" w:type="dxa"/>
          </w:tcPr>
          <w:p>
            <w:pPr>
              <w:pStyle w:val="0"/>
              <w:jc w:val="center"/>
            </w:pPr>
            <w:r>
              <w:rPr>
                <w:sz w:val="20"/>
              </w:rPr>
              <w:t xml:space="preserve">1.2</w:t>
            </w:r>
          </w:p>
        </w:tc>
        <w:tc>
          <w:tcPr>
            <w:tcW w:w="2211" w:type="dxa"/>
          </w:tcPr>
          <w:p>
            <w:pPr>
              <w:pStyle w:val="0"/>
              <w:jc w:val="both"/>
            </w:pPr>
            <w:r>
              <w:rPr>
                <w:sz w:val="20"/>
              </w:rPr>
              <w:t xml:space="preserve">Определение технических характеристик здания</w:t>
            </w:r>
          </w:p>
        </w:tc>
        <w:tc>
          <w:tcPr>
            <w:tcW w:w="1247" w:type="dxa"/>
          </w:tcPr>
          <w:p>
            <w:pPr>
              <w:pStyle w:val="0"/>
              <w:jc w:val="both"/>
            </w:pPr>
            <w:r>
              <w:rPr>
                <w:sz w:val="20"/>
              </w:rPr>
              <w:t xml:space="preserve">01.04.2022</w:t>
            </w:r>
          </w:p>
        </w:tc>
        <w:tc>
          <w:tcPr>
            <w:tcW w:w="1304" w:type="dxa"/>
          </w:tcPr>
          <w:p>
            <w:pPr>
              <w:pStyle w:val="0"/>
              <w:jc w:val="both"/>
            </w:pPr>
            <w:r>
              <w:rPr>
                <w:sz w:val="20"/>
              </w:rPr>
              <w:t xml:space="preserve">01.12.2024</w:t>
            </w:r>
          </w:p>
        </w:tc>
        <w:tc>
          <w:tcPr>
            <w:tcW w:w="2041" w:type="dxa"/>
          </w:tcPr>
          <w:p>
            <w:pPr>
              <w:pStyle w:val="0"/>
              <w:jc w:val="both"/>
            </w:pPr>
            <w:r>
              <w:rPr>
                <w:sz w:val="20"/>
              </w:rPr>
              <w:t xml:space="preserve">Первый заместитель директора Департамента здравоохранения города Севастополя</w:t>
            </w:r>
          </w:p>
        </w:tc>
        <w:tc>
          <w:tcPr>
            <w:tcW w:w="2268" w:type="dxa"/>
          </w:tcPr>
          <w:p>
            <w:pPr>
              <w:pStyle w:val="0"/>
              <w:jc w:val="both"/>
            </w:pPr>
            <w:r>
              <w:rPr>
                <w:sz w:val="20"/>
              </w:rPr>
              <w:t xml:space="preserve">Разработано медико-техническое задание на строительство объекта</w:t>
            </w:r>
          </w:p>
        </w:tc>
        <w:tc>
          <w:tcPr>
            <w:tcW w:w="2381" w:type="dxa"/>
          </w:tcPr>
          <w:p>
            <w:pPr>
              <w:pStyle w:val="0"/>
              <w:jc w:val="both"/>
            </w:pPr>
            <w:r>
              <w:rPr>
                <w:sz w:val="20"/>
              </w:rPr>
              <w:t xml:space="preserve">Разработка медико-технического задания на строительство объекта</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8.4</w:t>
            </w:r>
          </w:p>
        </w:tc>
        <w:tc>
          <w:tcPr>
            <w:tcW w:w="2551" w:type="dxa"/>
          </w:tcPr>
          <w:p>
            <w:pPr>
              <w:pStyle w:val="0"/>
              <w:jc w:val="both"/>
            </w:pPr>
            <w:r>
              <w:rPr>
                <w:sz w:val="20"/>
              </w:rPr>
            </w:r>
          </w:p>
        </w:tc>
        <w:tc>
          <w:tcPr>
            <w:tcW w:w="964" w:type="dxa"/>
          </w:tcPr>
          <w:p>
            <w:pPr>
              <w:pStyle w:val="0"/>
              <w:jc w:val="center"/>
            </w:pPr>
            <w:r>
              <w:rPr>
                <w:sz w:val="20"/>
              </w:rPr>
              <w:t xml:space="preserve">1.3</w:t>
            </w:r>
          </w:p>
        </w:tc>
        <w:tc>
          <w:tcPr>
            <w:tcW w:w="2211" w:type="dxa"/>
          </w:tcPr>
          <w:p>
            <w:pPr>
              <w:pStyle w:val="0"/>
              <w:jc w:val="both"/>
            </w:pPr>
            <w:r>
              <w:rPr>
                <w:sz w:val="20"/>
              </w:rPr>
              <w:t xml:space="preserve">Определение земельного участка для строительства</w:t>
            </w:r>
          </w:p>
        </w:tc>
        <w:tc>
          <w:tcPr>
            <w:tcW w:w="1247" w:type="dxa"/>
          </w:tcPr>
          <w:p>
            <w:pPr>
              <w:pStyle w:val="0"/>
              <w:jc w:val="both"/>
            </w:pPr>
            <w:r>
              <w:rPr>
                <w:sz w:val="20"/>
              </w:rPr>
              <w:t xml:space="preserve">01.04.2022</w:t>
            </w:r>
          </w:p>
        </w:tc>
        <w:tc>
          <w:tcPr>
            <w:tcW w:w="1304" w:type="dxa"/>
          </w:tcPr>
          <w:p>
            <w:pPr>
              <w:pStyle w:val="0"/>
              <w:jc w:val="both"/>
            </w:pPr>
            <w:r>
              <w:rPr>
                <w:sz w:val="20"/>
              </w:rPr>
              <w:t xml:space="preserve">01.12.2024</w:t>
            </w:r>
          </w:p>
        </w:tc>
        <w:tc>
          <w:tcPr>
            <w:tcW w:w="2041" w:type="dxa"/>
          </w:tcPr>
          <w:p>
            <w:pPr>
              <w:pStyle w:val="0"/>
              <w:jc w:val="both"/>
            </w:pPr>
            <w:r>
              <w:rPr>
                <w:sz w:val="20"/>
              </w:rPr>
              <w:t xml:space="preserve">Первый заместитель директора Департамента здравоохранения города Севастополя</w:t>
            </w:r>
          </w:p>
        </w:tc>
        <w:tc>
          <w:tcPr>
            <w:tcW w:w="2268" w:type="dxa"/>
          </w:tcPr>
          <w:p>
            <w:pPr>
              <w:pStyle w:val="0"/>
              <w:jc w:val="both"/>
            </w:pPr>
            <w:r>
              <w:rPr>
                <w:sz w:val="20"/>
              </w:rPr>
              <w:t xml:space="preserve">Участок для строительства подходит по своим техническим характеристикам для строительства объекта</w:t>
            </w:r>
          </w:p>
        </w:tc>
        <w:tc>
          <w:tcPr>
            <w:tcW w:w="2381" w:type="dxa"/>
          </w:tcPr>
          <w:p>
            <w:pPr>
              <w:pStyle w:val="0"/>
              <w:jc w:val="both"/>
            </w:pPr>
            <w:r>
              <w:rPr>
                <w:sz w:val="20"/>
              </w:rPr>
              <w:t xml:space="preserve">Определен земельный участок на территории города Севастополя для строительства объекта</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8.5</w:t>
            </w:r>
          </w:p>
        </w:tc>
        <w:tc>
          <w:tcPr>
            <w:tcW w:w="2551" w:type="dxa"/>
          </w:tcPr>
          <w:p>
            <w:pPr>
              <w:pStyle w:val="0"/>
              <w:jc w:val="both"/>
            </w:pPr>
            <w:r>
              <w:rPr>
                <w:sz w:val="20"/>
              </w:rPr>
            </w:r>
          </w:p>
        </w:tc>
        <w:tc>
          <w:tcPr>
            <w:tcW w:w="964" w:type="dxa"/>
          </w:tcPr>
          <w:p>
            <w:pPr>
              <w:pStyle w:val="0"/>
              <w:jc w:val="center"/>
            </w:pPr>
            <w:r>
              <w:rPr>
                <w:sz w:val="20"/>
              </w:rPr>
              <w:t xml:space="preserve">1.4</w:t>
            </w:r>
          </w:p>
        </w:tc>
        <w:tc>
          <w:tcPr>
            <w:tcW w:w="2211" w:type="dxa"/>
          </w:tcPr>
          <w:p>
            <w:pPr>
              <w:pStyle w:val="0"/>
              <w:jc w:val="both"/>
            </w:pPr>
            <w:r>
              <w:rPr>
                <w:sz w:val="20"/>
              </w:rPr>
              <w:t xml:space="preserve">Разработка проектно-сметной документации</w:t>
            </w:r>
          </w:p>
        </w:tc>
        <w:tc>
          <w:tcPr>
            <w:tcW w:w="1247" w:type="dxa"/>
          </w:tcPr>
          <w:p>
            <w:pPr>
              <w:pStyle w:val="0"/>
              <w:jc w:val="both"/>
            </w:pPr>
            <w:r>
              <w:rPr>
                <w:sz w:val="20"/>
              </w:rPr>
              <w:t xml:space="preserve">01.12.2024</w:t>
            </w:r>
          </w:p>
        </w:tc>
        <w:tc>
          <w:tcPr>
            <w:tcW w:w="1304" w:type="dxa"/>
          </w:tcPr>
          <w:p>
            <w:pPr>
              <w:pStyle w:val="0"/>
              <w:jc w:val="both"/>
            </w:pPr>
            <w:r>
              <w:rPr>
                <w:sz w:val="20"/>
              </w:rPr>
              <w:t xml:space="preserve">01.12.2026</w:t>
            </w:r>
          </w:p>
        </w:tc>
        <w:tc>
          <w:tcPr>
            <w:tcW w:w="2041" w:type="dxa"/>
          </w:tcPr>
          <w:p>
            <w:pPr>
              <w:pStyle w:val="0"/>
              <w:jc w:val="both"/>
            </w:pPr>
            <w:r>
              <w:rPr>
                <w:sz w:val="20"/>
              </w:rPr>
              <w:t xml:space="preserve">Первый заместитель директора Департамента здравоохранения города Севастополя</w:t>
            </w:r>
          </w:p>
        </w:tc>
        <w:tc>
          <w:tcPr>
            <w:tcW w:w="2268" w:type="dxa"/>
          </w:tcPr>
          <w:p>
            <w:pPr>
              <w:pStyle w:val="0"/>
              <w:jc w:val="both"/>
            </w:pPr>
            <w:r>
              <w:rPr>
                <w:sz w:val="20"/>
              </w:rPr>
              <w:t xml:space="preserve">Разработана проектно-сметная документация, получено положительное решение государственной экспертизы</w:t>
            </w:r>
          </w:p>
        </w:tc>
        <w:tc>
          <w:tcPr>
            <w:tcW w:w="2381" w:type="dxa"/>
          </w:tcPr>
          <w:p>
            <w:pPr>
              <w:pStyle w:val="0"/>
              <w:jc w:val="both"/>
            </w:pPr>
            <w:r>
              <w:rPr>
                <w:sz w:val="20"/>
              </w:rPr>
              <w:t xml:space="preserve">Заключен контракт на разработку проектно-сметной документации</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8.6</w:t>
            </w:r>
          </w:p>
        </w:tc>
        <w:tc>
          <w:tcPr>
            <w:tcW w:w="2551" w:type="dxa"/>
          </w:tcPr>
          <w:p>
            <w:pPr>
              <w:pStyle w:val="0"/>
              <w:jc w:val="both"/>
            </w:pPr>
            <w:r>
              <w:rPr>
                <w:sz w:val="20"/>
              </w:rPr>
            </w:r>
          </w:p>
        </w:tc>
        <w:tc>
          <w:tcPr>
            <w:tcW w:w="964" w:type="dxa"/>
          </w:tcPr>
          <w:p>
            <w:pPr>
              <w:pStyle w:val="0"/>
              <w:jc w:val="center"/>
            </w:pPr>
            <w:r>
              <w:rPr>
                <w:sz w:val="20"/>
              </w:rPr>
              <w:t xml:space="preserve">1.5</w:t>
            </w:r>
          </w:p>
        </w:tc>
        <w:tc>
          <w:tcPr>
            <w:tcW w:w="2211" w:type="dxa"/>
          </w:tcPr>
          <w:p>
            <w:pPr>
              <w:pStyle w:val="0"/>
              <w:jc w:val="both"/>
            </w:pPr>
            <w:r>
              <w:rPr>
                <w:sz w:val="20"/>
              </w:rPr>
              <w:t xml:space="preserve">Строительно-монтажные работы</w:t>
            </w:r>
          </w:p>
        </w:tc>
        <w:tc>
          <w:tcPr>
            <w:tcW w:w="1247" w:type="dxa"/>
          </w:tcPr>
          <w:p>
            <w:pPr>
              <w:pStyle w:val="0"/>
              <w:jc w:val="both"/>
            </w:pPr>
            <w:r>
              <w:rPr>
                <w:sz w:val="20"/>
              </w:rPr>
              <w:t xml:space="preserve">01.01.2027</w:t>
            </w:r>
          </w:p>
        </w:tc>
        <w:tc>
          <w:tcPr>
            <w:tcW w:w="1304" w:type="dxa"/>
          </w:tcPr>
          <w:p>
            <w:pPr>
              <w:pStyle w:val="0"/>
              <w:jc w:val="both"/>
            </w:pPr>
            <w:r>
              <w:rPr>
                <w:sz w:val="20"/>
              </w:rPr>
              <w:t xml:space="preserve">01.07.2030</w:t>
            </w:r>
          </w:p>
        </w:tc>
        <w:tc>
          <w:tcPr>
            <w:tcW w:w="2041" w:type="dxa"/>
          </w:tcPr>
          <w:p>
            <w:pPr>
              <w:pStyle w:val="0"/>
              <w:jc w:val="both"/>
            </w:pPr>
            <w:r>
              <w:rPr>
                <w:sz w:val="20"/>
              </w:rPr>
              <w:t xml:space="preserve">Первый заместитель директора Департамента здравоохранения города Севастополя</w:t>
            </w:r>
          </w:p>
        </w:tc>
        <w:tc>
          <w:tcPr>
            <w:tcW w:w="2268" w:type="dxa"/>
          </w:tcPr>
          <w:p>
            <w:pPr>
              <w:pStyle w:val="0"/>
              <w:jc w:val="both"/>
            </w:pPr>
            <w:r>
              <w:rPr>
                <w:sz w:val="20"/>
              </w:rPr>
              <w:t xml:space="preserve">Реабилитационный центр введен в эксплуатацию</w:t>
            </w:r>
          </w:p>
        </w:tc>
        <w:tc>
          <w:tcPr>
            <w:tcW w:w="2381" w:type="dxa"/>
          </w:tcPr>
          <w:p>
            <w:pPr>
              <w:pStyle w:val="0"/>
              <w:jc w:val="both"/>
            </w:pPr>
            <w:r>
              <w:rPr>
                <w:sz w:val="20"/>
              </w:rPr>
              <w:t xml:space="preserve">Заключен контракт на строительно-монтажные работы</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8.7</w:t>
            </w:r>
          </w:p>
        </w:tc>
        <w:tc>
          <w:tcPr>
            <w:tcW w:w="2551" w:type="dxa"/>
          </w:tcPr>
          <w:p>
            <w:pPr>
              <w:pStyle w:val="0"/>
              <w:jc w:val="both"/>
            </w:pPr>
            <w:r>
              <w:rPr>
                <w:sz w:val="20"/>
              </w:rPr>
            </w:r>
          </w:p>
        </w:tc>
        <w:tc>
          <w:tcPr>
            <w:tcW w:w="964" w:type="dxa"/>
          </w:tcPr>
          <w:p>
            <w:pPr>
              <w:pStyle w:val="0"/>
              <w:jc w:val="center"/>
            </w:pPr>
            <w:r>
              <w:rPr>
                <w:sz w:val="20"/>
              </w:rPr>
              <w:t xml:space="preserve">2</w:t>
            </w:r>
          </w:p>
        </w:tc>
        <w:tc>
          <w:tcPr>
            <w:tcW w:w="2211" w:type="dxa"/>
          </w:tcPr>
          <w:p>
            <w:pPr>
              <w:pStyle w:val="0"/>
              <w:jc w:val="both"/>
            </w:pPr>
            <w:r>
              <w:rPr>
                <w:sz w:val="20"/>
              </w:rPr>
              <w:t xml:space="preserve">Дооснащение медицинских организаций города Севастополя медицинским оборудованием для оказания медицинской помощи по профилю "медицинская реабилитация"</w:t>
            </w:r>
          </w:p>
        </w:tc>
        <w:tc>
          <w:tcPr>
            <w:tcW w:w="1247" w:type="dxa"/>
          </w:tcPr>
          <w:p>
            <w:pPr>
              <w:pStyle w:val="0"/>
              <w:jc w:val="both"/>
            </w:pPr>
            <w:r>
              <w:rPr>
                <w:sz w:val="20"/>
              </w:rPr>
              <w:t xml:space="preserve">01.04.2022</w:t>
            </w:r>
          </w:p>
        </w:tc>
        <w:tc>
          <w:tcPr>
            <w:tcW w:w="1304" w:type="dxa"/>
          </w:tcPr>
          <w:p>
            <w:pPr>
              <w:pStyle w:val="0"/>
              <w:jc w:val="both"/>
            </w:pPr>
            <w:r>
              <w:rPr>
                <w:sz w:val="20"/>
              </w:rPr>
              <w:t xml:space="preserve">01.12.2024</w:t>
            </w:r>
          </w:p>
        </w:tc>
        <w:tc>
          <w:tcPr>
            <w:tcW w:w="2041" w:type="dxa"/>
          </w:tcPr>
          <w:p>
            <w:pPr>
              <w:pStyle w:val="0"/>
              <w:jc w:val="both"/>
            </w:pPr>
            <w:r>
              <w:rPr>
                <w:sz w:val="20"/>
              </w:rPr>
              <w:t xml:space="preserve">Первый заместитель директора Департамента здравоохранения города Севастополя</w:t>
            </w:r>
          </w:p>
        </w:tc>
        <w:tc>
          <w:tcPr>
            <w:tcW w:w="2268" w:type="dxa"/>
          </w:tcPr>
          <w:p>
            <w:pPr>
              <w:pStyle w:val="0"/>
              <w:jc w:val="both"/>
            </w:pPr>
            <w:r>
              <w:rPr>
                <w:sz w:val="20"/>
              </w:rPr>
              <w:t xml:space="preserve">МО соответствуют лицензионным требованиям</w:t>
            </w:r>
          </w:p>
        </w:tc>
        <w:tc>
          <w:tcPr>
            <w:tcW w:w="2381" w:type="dxa"/>
          </w:tcPr>
          <w:p>
            <w:pPr>
              <w:pStyle w:val="0"/>
              <w:jc w:val="both"/>
            </w:pPr>
            <w:r>
              <w:rPr>
                <w:sz w:val="20"/>
              </w:rPr>
              <w:t xml:space="preserve">МО дооснащены медицинским оборудованием</w:t>
            </w:r>
          </w:p>
        </w:tc>
        <w:tc>
          <w:tcPr>
            <w:tcW w:w="1531" w:type="dxa"/>
          </w:tcPr>
          <w:p>
            <w:pPr>
              <w:pStyle w:val="0"/>
              <w:jc w:val="both"/>
            </w:pPr>
            <w:r>
              <w:rPr>
                <w:sz w:val="20"/>
              </w:rPr>
              <w:t xml:space="preserve">Разовое (делимое)</w:t>
            </w:r>
          </w:p>
        </w:tc>
      </w:tr>
      <w:tr>
        <w:tc>
          <w:tcPr>
            <w:tcW w:w="567" w:type="dxa"/>
          </w:tcPr>
          <w:p>
            <w:pPr>
              <w:pStyle w:val="0"/>
              <w:jc w:val="both"/>
            </w:pPr>
            <w:r>
              <w:rPr>
                <w:sz w:val="20"/>
              </w:rPr>
              <w:t xml:space="preserve">9</w:t>
            </w:r>
          </w:p>
        </w:tc>
        <w:tc>
          <w:tcPr>
            <w:tcW w:w="2551" w:type="dxa"/>
          </w:tcPr>
          <w:p>
            <w:pPr>
              <w:pStyle w:val="0"/>
              <w:jc w:val="both"/>
            </w:pPr>
            <w:r>
              <w:rPr>
                <w:sz w:val="20"/>
              </w:rPr>
              <w:t xml:space="preserve">Совершенствование организации внутреннего контроля качества медицинской помощи</w:t>
            </w:r>
          </w:p>
        </w:tc>
        <w:tc>
          <w:tcPr>
            <w:tcW w:w="964" w:type="dxa"/>
          </w:tcPr>
          <w:p>
            <w:pPr>
              <w:pStyle w:val="0"/>
              <w:jc w:val="center"/>
            </w:pPr>
            <w:r>
              <w:rPr>
                <w:sz w:val="20"/>
              </w:rPr>
            </w:r>
          </w:p>
        </w:tc>
        <w:tc>
          <w:tcPr>
            <w:tcW w:w="2211" w:type="dxa"/>
          </w:tcPr>
          <w:p>
            <w:pPr>
              <w:pStyle w:val="0"/>
              <w:jc w:val="both"/>
            </w:pPr>
            <w:r>
              <w:rPr>
                <w:sz w:val="20"/>
              </w:rPr>
            </w:r>
          </w:p>
        </w:tc>
        <w:tc>
          <w:tcPr>
            <w:tcW w:w="1247" w:type="dxa"/>
          </w:tcPr>
          <w:p>
            <w:pPr>
              <w:pStyle w:val="0"/>
              <w:jc w:val="both"/>
            </w:pPr>
            <w:r>
              <w:rPr>
                <w:sz w:val="20"/>
              </w:rPr>
            </w:r>
          </w:p>
        </w:tc>
        <w:tc>
          <w:tcPr>
            <w:tcW w:w="1304" w:type="dxa"/>
          </w:tcPr>
          <w:p>
            <w:pPr>
              <w:pStyle w:val="0"/>
              <w:jc w:val="both"/>
            </w:pPr>
            <w:r>
              <w:rPr>
                <w:sz w:val="20"/>
              </w:rPr>
            </w:r>
          </w:p>
        </w:tc>
        <w:tc>
          <w:tcPr>
            <w:tcW w:w="2041" w:type="dxa"/>
          </w:tcPr>
          <w:p>
            <w:pPr>
              <w:pStyle w:val="0"/>
              <w:jc w:val="both"/>
            </w:pPr>
            <w:r>
              <w:rPr>
                <w:sz w:val="20"/>
              </w:rPr>
            </w:r>
          </w:p>
        </w:tc>
        <w:tc>
          <w:tcPr>
            <w:tcW w:w="2268" w:type="dxa"/>
          </w:tcPr>
          <w:p>
            <w:pPr>
              <w:pStyle w:val="0"/>
              <w:jc w:val="both"/>
            </w:pPr>
            <w:r>
              <w:rPr>
                <w:sz w:val="20"/>
              </w:rPr>
            </w:r>
          </w:p>
        </w:tc>
        <w:tc>
          <w:tcPr>
            <w:tcW w:w="2381" w:type="dxa"/>
          </w:tcPr>
          <w:p>
            <w:pPr>
              <w:pStyle w:val="0"/>
              <w:jc w:val="both"/>
            </w:pPr>
            <w:r>
              <w:rPr>
                <w:sz w:val="20"/>
              </w:rPr>
            </w:r>
          </w:p>
        </w:tc>
        <w:tc>
          <w:tcPr>
            <w:tcW w:w="1531" w:type="dxa"/>
          </w:tcPr>
          <w:p>
            <w:pPr>
              <w:pStyle w:val="0"/>
              <w:jc w:val="both"/>
            </w:pPr>
            <w:r>
              <w:rPr>
                <w:sz w:val="20"/>
              </w:rPr>
            </w:r>
          </w:p>
        </w:tc>
      </w:tr>
      <w:tr>
        <w:tc>
          <w:tcPr>
            <w:tcW w:w="567" w:type="dxa"/>
          </w:tcPr>
          <w:p>
            <w:pPr>
              <w:pStyle w:val="0"/>
              <w:jc w:val="both"/>
            </w:pPr>
            <w:r>
              <w:rPr>
                <w:sz w:val="20"/>
              </w:rPr>
              <w:t xml:space="preserve">9.1</w:t>
            </w:r>
          </w:p>
        </w:tc>
        <w:tc>
          <w:tcPr>
            <w:tcW w:w="2551" w:type="dxa"/>
          </w:tcPr>
          <w:p>
            <w:pPr>
              <w:pStyle w:val="0"/>
              <w:jc w:val="both"/>
            </w:pPr>
            <w:r>
              <w:rPr>
                <w:sz w:val="20"/>
              </w:rPr>
            </w:r>
          </w:p>
        </w:tc>
        <w:tc>
          <w:tcPr>
            <w:tcW w:w="964" w:type="dxa"/>
          </w:tcPr>
          <w:p>
            <w:pPr>
              <w:pStyle w:val="0"/>
              <w:jc w:val="center"/>
            </w:pPr>
            <w:r>
              <w:rPr>
                <w:sz w:val="20"/>
              </w:rPr>
              <w:t xml:space="preserve">1</w:t>
            </w:r>
          </w:p>
        </w:tc>
        <w:tc>
          <w:tcPr>
            <w:tcW w:w="2211" w:type="dxa"/>
          </w:tcPr>
          <w:p>
            <w:pPr>
              <w:pStyle w:val="0"/>
              <w:jc w:val="both"/>
            </w:pPr>
            <w:r>
              <w:rPr>
                <w:sz w:val="20"/>
              </w:rPr>
              <w:t xml:space="preserve">Доработка АИС ЛПУ в части автоматизации использования критериев качества оказания медицинской помощи</w:t>
            </w:r>
          </w:p>
        </w:tc>
        <w:tc>
          <w:tcPr>
            <w:tcW w:w="1247" w:type="dxa"/>
          </w:tcPr>
          <w:p>
            <w:pPr>
              <w:pStyle w:val="0"/>
              <w:jc w:val="both"/>
            </w:pPr>
            <w:r>
              <w:rPr>
                <w:sz w:val="20"/>
              </w:rPr>
              <w:t xml:space="preserve">01.01.2023</w:t>
            </w:r>
          </w:p>
        </w:tc>
        <w:tc>
          <w:tcPr>
            <w:tcW w:w="1304" w:type="dxa"/>
          </w:tcPr>
          <w:p>
            <w:pPr>
              <w:pStyle w:val="0"/>
              <w:jc w:val="both"/>
            </w:pPr>
            <w:r>
              <w:rPr>
                <w:sz w:val="20"/>
              </w:rPr>
              <w:t xml:space="preserve">20.12.2023</w:t>
            </w:r>
          </w:p>
        </w:tc>
        <w:tc>
          <w:tcPr>
            <w:tcW w:w="2041" w:type="dxa"/>
          </w:tcPr>
          <w:p>
            <w:pPr>
              <w:pStyle w:val="0"/>
              <w:jc w:val="both"/>
            </w:pPr>
            <w:r>
              <w:rPr>
                <w:sz w:val="20"/>
              </w:rPr>
              <w:t xml:space="preserve">Директор ГБУЗС "МИАЦ"</w:t>
            </w:r>
          </w:p>
        </w:tc>
        <w:tc>
          <w:tcPr>
            <w:tcW w:w="2268" w:type="dxa"/>
          </w:tcPr>
          <w:p>
            <w:pPr>
              <w:pStyle w:val="0"/>
              <w:jc w:val="both"/>
            </w:pPr>
            <w:r>
              <w:rPr>
                <w:sz w:val="20"/>
              </w:rPr>
              <w:t xml:space="preserve">АИС ЛПУ доработана</w:t>
            </w:r>
          </w:p>
        </w:tc>
        <w:tc>
          <w:tcPr>
            <w:tcW w:w="2381" w:type="dxa"/>
          </w:tcPr>
          <w:p>
            <w:pPr>
              <w:pStyle w:val="0"/>
              <w:jc w:val="both"/>
            </w:pPr>
            <w:r>
              <w:rPr>
                <w:sz w:val="20"/>
              </w:rPr>
              <w:t xml:space="preserve">Формирование системы внутреннего контроля качества медицинской помощи в специализированных медицинских организациях по профилю медицинская реабилитация</w:t>
            </w:r>
          </w:p>
        </w:tc>
        <w:tc>
          <w:tcPr>
            <w:tcW w:w="1531" w:type="dxa"/>
          </w:tcPr>
          <w:p>
            <w:pPr>
              <w:pStyle w:val="0"/>
              <w:jc w:val="both"/>
            </w:pPr>
            <w:r>
              <w:rPr>
                <w:sz w:val="20"/>
              </w:rPr>
              <w:t xml:space="preserve">Разовое (неделимое)</w:t>
            </w:r>
          </w:p>
        </w:tc>
      </w:tr>
      <w:tr>
        <w:tc>
          <w:tcPr>
            <w:tcW w:w="567" w:type="dxa"/>
          </w:tcPr>
          <w:p>
            <w:pPr>
              <w:pStyle w:val="0"/>
              <w:jc w:val="both"/>
            </w:pPr>
            <w:r>
              <w:rPr>
                <w:sz w:val="20"/>
              </w:rPr>
              <w:t xml:space="preserve">9.2</w:t>
            </w:r>
          </w:p>
        </w:tc>
        <w:tc>
          <w:tcPr>
            <w:tcW w:w="2551" w:type="dxa"/>
          </w:tcPr>
          <w:p>
            <w:pPr>
              <w:pStyle w:val="0"/>
              <w:jc w:val="both"/>
            </w:pPr>
            <w:r>
              <w:rPr>
                <w:sz w:val="20"/>
              </w:rPr>
            </w:r>
          </w:p>
        </w:tc>
        <w:tc>
          <w:tcPr>
            <w:tcW w:w="964" w:type="dxa"/>
          </w:tcPr>
          <w:p>
            <w:pPr>
              <w:pStyle w:val="0"/>
              <w:jc w:val="center"/>
            </w:pPr>
            <w:r>
              <w:rPr>
                <w:sz w:val="20"/>
              </w:rPr>
              <w:t xml:space="preserve">2</w:t>
            </w:r>
          </w:p>
        </w:tc>
        <w:tc>
          <w:tcPr>
            <w:tcW w:w="2211" w:type="dxa"/>
          </w:tcPr>
          <w:p>
            <w:pPr>
              <w:pStyle w:val="0"/>
              <w:jc w:val="both"/>
            </w:pPr>
            <w:r>
              <w:rPr>
                <w:sz w:val="20"/>
              </w:rPr>
              <w:t xml:space="preserve">Мероприятия по обеспечению мониторинга знаний специалистов в области методик работы на реабилитационном оборудовании</w:t>
            </w:r>
          </w:p>
        </w:tc>
        <w:tc>
          <w:tcPr>
            <w:tcW w:w="1247" w:type="dxa"/>
          </w:tcPr>
          <w:p>
            <w:pPr>
              <w:pStyle w:val="0"/>
              <w:jc w:val="both"/>
            </w:pPr>
            <w:r>
              <w:rPr>
                <w:sz w:val="20"/>
              </w:rPr>
              <w:t xml:space="preserve">01.01.2023</w:t>
            </w:r>
          </w:p>
        </w:tc>
        <w:tc>
          <w:tcPr>
            <w:tcW w:w="1304" w:type="dxa"/>
          </w:tcPr>
          <w:p>
            <w:pPr>
              <w:pStyle w:val="0"/>
              <w:jc w:val="both"/>
            </w:pPr>
            <w:r>
              <w:rPr>
                <w:sz w:val="20"/>
              </w:rPr>
              <w:t xml:space="preserve">20.12.2025</w:t>
            </w:r>
          </w:p>
        </w:tc>
        <w:tc>
          <w:tcPr>
            <w:tcW w:w="2041" w:type="dxa"/>
          </w:tcPr>
          <w:p>
            <w:pPr>
              <w:pStyle w:val="0"/>
              <w:jc w:val="both"/>
            </w:pPr>
            <w:r>
              <w:rPr>
                <w:sz w:val="20"/>
              </w:rPr>
              <w:t xml:space="preserve">Главные врачи МО</w:t>
            </w:r>
          </w:p>
        </w:tc>
        <w:tc>
          <w:tcPr>
            <w:tcW w:w="2268" w:type="dxa"/>
          </w:tcPr>
          <w:p>
            <w:pPr>
              <w:pStyle w:val="0"/>
              <w:jc w:val="both"/>
            </w:pPr>
            <w:r>
              <w:rPr>
                <w:sz w:val="20"/>
              </w:rPr>
              <w:t xml:space="preserve">Доля использования реабилитационного оборудования - не менее 70%</w:t>
            </w:r>
          </w:p>
        </w:tc>
        <w:tc>
          <w:tcPr>
            <w:tcW w:w="2381" w:type="dxa"/>
          </w:tcPr>
          <w:p>
            <w:pPr>
              <w:pStyle w:val="0"/>
              <w:jc w:val="both"/>
            </w:pPr>
            <w:r>
              <w:rPr>
                <w:sz w:val="20"/>
              </w:rPr>
              <w:t xml:space="preserve">На реабилитационном оборудовании используются новые методики, рекомендованные профильными НМИЦ</w:t>
            </w:r>
          </w:p>
        </w:tc>
        <w:tc>
          <w:tcPr>
            <w:tcW w:w="1531" w:type="dxa"/>
          </w:tcPr>
          <w:p>
            <w:pPr>
              <w:pStyle w:val="0"/>
              <w:jc w:val="both"/>
            </w:pPr>
            <w:r>
              <w:rPr>
                <w:sz w:val="20"/>
              </w:rPr>
              <w:t xml:space="preserve">Регулярное</w:t>
            </w:r>
          </w:p>
        </w:tc>
      </w:tr>
      <w:tr>
        <w:tc>
          <w:tcPr>
            <w:tcW w:w="567" w:type="dxa"/>
          </w:tcPr>
          <w:p>
            <w:pPr>
              <w:pStyle w:val="0"/>
              <w:jc w:val="both"/>
            </w:pPr>
            <w:r>
              <w:rPr>
                <w:sz w:val="20"/>
              </w:rPr>
              <w:t xml:space="preserve">10</w:t>
            </w:r>
          </w:p>
        </w:tc>
        <w:tc>
          <w:tcPr>
            <w:tcW w:w="2551" w:type="dxa"/>
          </w:tcPr>
          <w:p>
            <w:pPr>
              <w:pStyle w:val="0"/>
              <w:jc w:val="both"/>
            </w:pPr>
            <w:r>
              <w:rPr>
                <w:sz w:val="20"/>
              </w:rPr>
              <w:t xml:space="preserve">Мероприятия по внедрению и соблюдению клинических рекомендаций</w:t>
            </w:r>
          </w:p>
        </w:tc>
        <w:tc>
          <w:tcPr>
            <w:tcW w:w="964" w:type="dxa"/>
          </w:tcPr>
          <w:p>
            <w:pPr>
              <w:pStyle w:val="0"/>
              <w:jc w:val="center"/>
            </w:pPr>
            <w:r>
              <w:rPr>
                <w:sz w:val="20"/>
              </w:rPr>
            </w:r>
          </w:p>
        </w:tc>
        <w:tc>
          <w:tcPr>
            <w:tcW w:w="2211" w:type="dxa"/>
          </w:tcPr>
          <w:p>
            <w:pPr>
              <w:pStyle w:val="0"/>
              <w:jc w:val="both"/>
            </w:pPr>
            <w:r>
              <w:rPr>
                <w:sz w:val="20"/>
              </w:rPr>
            </w:r>
          </w:p>
        </w:tc>
        <w:tc>
          <w:tcPr>
            <w:tcW w:w="1247" w:type="dxa"/>
          </w:tcPr>
          <w:p>
            <w:pPr>
              <w:pStyle w:val="0"/>
              <w:jc w:val="both"/>
            </w:pPr>
            <w:r>
              <w:rPr>
                <w:sz w:val="20"/>
              </w:rPr>
            </w:r>
          </w:p>
        </w:tc>
        <w:tc>
          <w:tcPr>
            <w:tcW w:w="1304" w:type="dxa"/>
          </w:tcPr>
          <w:p>
            <w:pPr>
              <w:pStyle w:val="0"/>
              <w:jc w:val="both"/>
            </w:pPr>
            <w:r>
              <w:rPr>
                <w:sz w:val="20"/>
              </w:rPr>
            </w:r>
          </w:p>
        </w:tc>
        <w:tc>
          <w:tcPr>
            <w:tcW w:w="2041" w:type="dxa"/>
          </w:tcPr>
          <w:p>
            <w:pPr>
              <w:pStyle w:val="0"/>
              <w:jc w:val="both"/>
            </w:pPr>
            <w:r>
              <w:rPr>
                <w:sz w:val="20"/>
              </w:rPr>
            </w:r>
          </w:p>
        </w:tc>
        <w:tc>
          <w:tcPr>
            <w:tcW w:w="2268" w:type="dxa"/>
          </w:tcPr>
          <w:p>
            <w:pPr>
              <w:pStyle w:val="0"/>
              <w:jc w:val="both"/>
            </w:pPr>
            <w:r>
              <w:rPr>
                <w:sz w:val="20"/>
              </w:rPr>
            </w:r>
          </w:p>
        </w:tc>
        <w:tc>
          <w:tcPr>
            <w:tcW w:w="2381" w:type="dxa"/>
          </w:tcPr>
          <w:p>
            <w:pPr>
              <w:pStyle w:val="0"/>
              <w:jc w:val="both"/>
            </w:pPr>
            <w:r>
              <w:rPr>
                <w:sz w:val="20"/>
              </w:rPr>
            </w:r>
          </w:p>
        </w:tc>
        <w:tc>
          <w:tcPr>
            <w:tcW w:w="1531" w:type="dxa"/>
          </w:tcPr>
          <w:p>
            <w:pPr>
              <w:pStyle w:val="0"/>
              <w:jc w:val="both"/>
            </w:pPr>
            <w:r>
              <w:rPr>
                <w:sz w:val="20"/>
              </w:rPr>
            </w:r>
          </w:p>
        </w:tc>
      </w:tr>
      <w:tr>
        <w:tc>
          <w:tcPr>
            <w:tcW w:w="567" w:type="dxa"/>
            <w:vMerge w:val="restart"/>
          </w:tcPr>
          <w:p>
            <w:pPr>
              <w:pStyle w:val="0"/>
              <w:jc w:val="both"/>
            </w:pPr>
            <w:r>
              <w:rPr>
                <w:sz w:val="20"/>
              </w:rPr>
              <w:t xml:space="preserve">10.1</w:t>
            </w:r>
          </w:p>
        </w:tc>
        <w:tc>
          <w:tcPr>
            <w:tcW w:w="2551" w:type="dxa"/>
          </w:tcPr>
          <w:p>
            <w:pPr>
              <w:pStyle w:val="0"/>
              <w:jc w:val="both"/>
            </w:pPr>
            <w:r>
              <w:rPr>
                <w:sz w:val="20"/>
              </w:rPr>
            </w:r>
          </w:p>
        </w:tc>
        <w:tc>
          <w:tcPr>
            <w:tcW w:w="964" w:type="dxa"/>
          </w:tcPr>
          <w:p>
            <w:pPr>
              <w:pStyle w:val="0"/>
              <w:jc w:val="center"/>
            </w:pPr>
            <w:r>
              <w:rPr>
                <w:sz w:val="20"/>
              </w:rPr>
              <w:t xml:space="preserve">1</w:t>
            </w:r>
          </w:p>
        </w:tc>
        <w:tc>
          <w:tcPr>
            <w:tcW w:w="2211" w:type="dxa"/>
          </w:tcPr>
          <w:p>
            <w:pPr>
              <w:pStyle w:val="0"/>
              <w:jc w:val="both"/>
            </w:pPr>
            <w:r>
              <w:rPr>
                <w:sz w:val="20"/>
              </w:rPr>
              <w:t xml:space="preserve">Проведение образовательных лекций и семинаров по изучению клинических рекомендаций по профилю "медицинская реабилитация" в медицинских организациях города Севастополя</w:t>
            </w:r>
          </w:p>
        </w:tc>
        <w:tc>
          <w:tcPr>
            <w:tcW w:w="1247" w:type="dxa"/>
          </w:tcPr>
          <w:p>
            <w:pPr>
              <w:pStyle w:val="0"/>
              <w:jc w:val="both"/>
            </w:pPr>
            <w:r>
              <w:rPr>
                <w:sz w:val="20"/>
              </w:rPr>
              <w:t xml:space="preserve">01.07.2022</w:t>
            </w:r>
          </w:p>
        </w:tc>
        <w:tc>
          <w:tcPr>
            <w:tcW w:w="1304" w:type="dxa"/>
          </w:tcPr>
          <w:p>
            <w:pPr>
              <w:pStyle w:val="0"/>
              <w:jc w:val="both"/>
            </w:pPr>
            <w:r>
              <w:rPr>
                <w:sz w:val="20"/>
              </w:rPr>
              <w:t xml:space="preserve">31.12.2024</w:t>
            </w:r>
          </w:p>
        </w:tc>
        <w:tc>
          <w:tcPr>
            <w:tcW w:w="2041" w:type="dxa"/>
          </w:tcPr>
          <w:p>
            <w:pPr>
              <w:pStyle w:val="0"/>
              <w:jc w:val="both"/>
            </w:pPr>
            <w:r>
              <w:rPr>
                <w:sz w:val="20"/>
              </w:rPr>
              <w:t xml:space="preserve">Главный внештатный специалист по медицинской реабилитации Департамента здравоохранения города Севастополя; главный внештатный детский специалист по медицинской реабилитации Департамента здравоохранения города Севастополя</w:t>
            </w:r>
          </w:p>
        </w:tc>
        <w:tc>
          <w:tcPr>
            <w:tcW w:w="2268" w:type="dxa"/>
          </w:tcPr>
          <w:p>
            <w:pPr>
              <w:pStyle w:val="0"/>
              <w:jc w:val="both"/>
            </w:pPr>
            <w:r>
              <w:rPr>
                <w:sz w:val="20"/>
              </w:rPr>
              <w:t xml:space="preserve">2022 год - 1;</w:t>
            </w:r>
          </w:p>
          <w:p>
            <w:pPr>
              <w:pStyle w:val="0"/>
              <w:jc w:val="both"/>
            </w:pPr>
            <w:r>
              <w:rPr>
                <w:sz w:val="20"/>
              </w:rPr>
              <w:t xml:space="preserve">2023 год - 2;</w:t>
            </w:r>
          </w:p>
          <w:p>
            <w:pPr>
              <w:pStyle w:val="0"/>
              <w:jc w:val="both"/>
            </w:pPr>
            <w:r>
              <w:rPr>
                <w:sz w:val="20"/>
              </w:rPr>
              <w:t xml:space="preserve">2024 год - 2</w:t>
            </w:r>
          </w:p>
        </w:tc>
        <w:tc>
          <w:tcPr>
            <w:tcW w:w="2381" w:type="dxa"/>
          </w:tcPr>
          <w:p>
            <w:pPr>
              <w:pStyle w:val="0"/>
              <w:jc w:val="both"/>
            </w:pPr>
            <w:r>
              <w:rPr>
                <w:sz w:val="20"/>
              </w:rPr>
              <w:t xml:space="preserve">Повышение качества оказания медицинской помощи по профилю "медицинская реабилитация"</w:t>
            </w:r>
          </w:p>
        </w:tc>
        <w:tc>
          <w:tcPr>
            <w:tcW w:w="1531" w:type="dxa"/>
          </w:tcPr>
          <w:p>
            <w:pPr>
              <w:pStyle w:val="0"/>
              <w:jc w:val="both"/>
            </w:pPr>
            <w:r>
              <w:rPr>
                <w:sz w:val="20"/>
              </w:rPr>
              <w:t xml:space="preserve">Регулярное</w:t>
            </w:r>
          </w:p>
        </w:tc>
      </w:tr>
      <w:tr>
        <w:tc>
          <w:tcPr>
            <w:vMerge w:val="continue"/>
          </w:tcPr>
          <w:p/>
        </w:tc>
        <w:tc>
          <w:tcPr>
            <w:tcW w:w="2551" w:type="dxa"/>
          </w:tcPr>
          <w:p>
            <w:pPr>
              <w:pStyle w:val="0"/>
              <w:jc w:val="both"/>
            </w:pPr>
            <w:r>
              <w:rPr>
                <w:sz w:val="20"/>
              </w:rPr>
            </w:r>
          </w:p>
        </w:tc>
        <w:tc>
          <w:tcPr>
            <w:tcW w:w="964" w:type="dxa"/>
          </w:tcPr>
          <w:p>
            <w:pPr>
              <w:pStyle w:val="0"/>
              <w:jc w:val="center"/>
            </w:pPr>
            <w:r>
              <w:rPr>
                <w:sz w:val="20"/>
              </w:rPr>
              <w:t xml:space="preserve">2</w:t>
            </w:r>
          </w:p>
        </w:tc>
        <w:tc>
          <w:tcPr>
            <w:tcW w:w="2211" w:type="dxa"/>
          </w:tcPr>
          <w:p>
            <w:pPr>
              <w:pStyle w:val="0"/>
              <w:jc w:val="both"/>
            </w:pPr>
            <w:r>
              <w:rPr>
                <w:sz w:val="20"/>
              </w:rPr>
              <w:t xml:space="preserve">Внедрение непрерывного медицинского образования специалистов, в том числе специалистов со средним медицинским образованием, с целью повышения уровня компетенции по соблюдению клинических рекомендаций по профилю "медицинская реабилитация" в медицинских организациях города Севастополя</w:t>
            </w:r>
          </w:p>
        </w:tc>
        <w:tc>
          <w:tcPr>
            <w:tcW w:w="1247" w:type="dxa"/>
          </w:tcPr>
          <w:p>
            <w:pPr>
              <w:pStyle w:val="0"/>
              <w:jc w:val="both"/>
            </w:pPr>
            <w:r>
              <w:rPr>
                <w:sz w:val="20"/>
              </w:rPr>
              <w:t xml:space="preserve">01.07.2022</w:t>
            </w:r>
          </w:p>
        </w:tc>
        <w:tc>
          <w:tcPr>
            <w:tcW w:w="1304" w:type="dxa"/>
          </w:tcPr>
          <w:p>
            <w:pPr>
              <w:pStyle w:val="0"/>
              <w:jc w:val="both"/>
            </w:pPr>
            <w:r>
              <w:rPr>
                <w:sz w:val="20"/>
              </w:rPr>
              <w:t xml:space="preserve">31.12.2024</w:t>
            </w:r>
          </w:p>
        </w:tc>
        <w:tc>
          <w:tcPr>
            <w:tcW w:w="2041" w:type="dxa"/>
          </w:tcPr>
          <w:p>
            <w:pPr>
              <w:pStyle w:val="0"/>
              <w:jc w:val="both"/>
            </w:pPr>
            <w:r>
              <w:rPr>
                <w:sz w:val="20"/>
              </w:rPr>
              <w:t xml:space="preserve">Главный внештатный специалист по медицинской реабилитации Департамента здравоохранения города Севастополя; главный внештатный детский специалист по медицинской реабилитации Департамента здравоохранения города Севастополя; главные врачи МО</w:t>
            </w:r>
          </w:p>
        </w:tc>
        <w:tc>
          <w:tcPr>
            <w:tcW w:w="2268" w:type="dxa"/>
          </w:tcPr>
          <w:p>
            <w:pPr>
              <w:pStyle w:val="0"/>
              <w:jc w:val="both"/>
            </w:pPr>
            <w:r>
              <w:rPr>
                <w:sz w:val="20"/>
              </w:rPr>
              <w:t xml:space="preserve">Увеличение доли специалистов, участвующих в системе непрерывного медицинского образования:</w:t>
            </w:r>
          </w:p>
          <w:p>
            <w:pPr>
              <w:pStyle w:val="0"/>
              <w:jc w:val="both"/>
            </w:pPr>
            <w:r>
              <w:rPr>
                <w:sz w:val="20"/>
              </w:rPr>
              <w:t xml:space="preserve">2022 год - 40%;</w:t>
            </w:r>
          </w:p>
          <w:p>
            <w:pPr>
              <w:pStyle w:val="0"/>
              <w:jc w:val="both"/>
            </w:pPr>
            <w:r>
              <w:rPr>
                <w:sz w:val="20"/>
              </w:rPr>
              <w:t xml:space="preserve">2023 год - 60%;</w:t>
            </w:r>
          </w:p>
          <w:p>
            <w:pPr>
              <w:pStyle w:val="0"/>
              <w:jc w:val="both"/>
            </w:pPr>
            <w:r>
              <w:rPr>
                <w:sz w:val="20"/>
              </w:rPr>
              <w:t xml:space="preserve">2024 год - 80%</w:t>
            </w:r>
          </w:p>
        </w:tc>
        <w:tc>
          <w:tcPr>
            <w:tcW w:w="2381" w:type="dxa"/>
          </w:tcPr>
          <w:p>
            <w:pPr>
              <w:pStyle w:val="0"/>
              <w:jc w:val="both"/>
            </w:pPr>
            <w:r>
              <w:rPr>
                <w:sz w:val="20"/>
              </w:rPr>
              <w:t xml:space="preserve">Повышение качества оказания медицинской помощи по профилю "медицинская реабилитация"</w:t>
            </w:r>
          </w:p>
        </w:tc>
        <w:tc>
          <w:tcPr>
            <w:tcW w:w="1531" w:type="dxa"/>
          </w:tcPr>
          <w:p>
            <w:pPr>
              <w:pStyle w:val="0"/>
              <w:jc w:val="both"/>
            </w:pPr>
            <w:r>
              <w:rPr>
                <w:sz w:val="20"/>
              </w:rPr>
              <w:t xml:space="preserve">Регулярное</w:t>
            </w:r>
          </w:p>
        </w:tc>
      </w:tr>
      <w:tr>
        <w:tc>
          <w:tcPr>
            <w:tcW w:w="567" w:type="dxa"/>
          </w:tcPr>
          <w:p>
            <w:pPr>
              <w:pStyle w:val="0"/>
              <w:jc w:val="both"/>
            </w:pPr>
            <w:r>
              <w:rPr>
                <w:sz w:val="20"/>
              </w:rPr>
              <w:t xml:space="preserve">10.2</w:t>
            </w:r>
          </w:p>
        </w:tc>
        <w:tc>
          <w:tcPr>
            <w:tcW w:w="2551" w:type="dxa"/>
          </w:tcPr>
          <w:p>
            <w:pPr>
              <w:pStyle w:val="0"/>
              <w:jc w:val="both"/>
            </w:pPr>
            <w:r>
              <w:rPr>
                <w:sz w:val="20"/>
              </w:rPr>
            </w:r>
          </w:p>
        </w:tc>
        <w:tc>
          <w:tcPr>
            <w:tcW w:w="964" w:type="dxa"/>
          </w:tcPr>
          <w:p>
            <w:pPr>
              <w:pStyle w:val="0"/>
              <w:jc w:val="center"/>
            </w:pPr>
            <w:r>
              <w:rPr>
                <w:sz w:val="20"/>
              </w:rPr>
              <w:t xml:space="preserve">1</w:t>
            </w:r>
          </w:p>
        </w:tc>
        <w:tc>
          <w:tcPr>
            <w:tcW w:w="2211" w:type="dxa"/>
          </w:tcPr>
          <w:p>
            <w:pPr>
              <w:pStyle w:val="0"/>
              <w:jc w:val="both"/>
            </w:pPr>
            <w:r>
              <w:rPr>
                <w:sz w:val="20"/>
              </w:rPr>
              <w:t xml:space="preserve">Обеспечение медицинским организациям широкополосного доступа в сеть Интернет, создание возможностей безопасной передачи данных, обеспечение рабочих мест специалистов, участвующих в осуществлении медицинской реабилитации, компьютерной техникой</w:t>
            </w:r>
          </w:p>
        </w:tc>
        <w:tc>
          <w:tcPr>
            <w:tcW w:w="1247" w:type="dxa"/>
          </w:tcPr>
          <w:p>
            <w:pPr>
              <w:pStyle w:val="0"/>
              <w:jc w:val="both"/>
            </w:pPr>
            <w:r>
              <w:rPr>
                <w:sz w:val="20"/>
              </w:rPr>
              <w:t xml:space="preserve">01.07.2022</w:t>
            </w:r>
          </w:p>
        </w:tc>
        <w:tc>
          <w:tcPr>
            <w:tcW w:w="1304" w:type="dxa"/>
          </w:tcPr>
          <w:p>
            <w:pPr>
              <w:pStyle w:val="0"/>
              <w:jc w:val="both"/>
            </w:pPr>
            <w:r>
              <w:rPr>
                <w:sz w:val="20"/>
              </w:rPr>
              <w:t xml:space="preserve">31.07.2023</w:t>
            </w:r>
          </w:p>
        </w:tc>
        <w:tc>
          <w:tcPr>
            <w:tcW w:w="2041" w:type="dxa"/>
          </w:tcPr>
          <w:p>
            <w:pPr>
              <w:pStyle w:val="0"/>
              <w:jc w:val="both"/>
            </w:pPr>
            <w:r>
              <w:rPr>
                <w:sz w:val="20"/>
              </w:rPr>
              <w:t xml:space="preserve">Директор ГБУЗС "МИАЦ"; главные врачи МО</w:t>
            </w:r>
          </w:p>
        </w:tc>
        <w:tc>
          <w:tcPr>
            <w:tcW w:w="2268" w:type="dxa"/>
          </w:tcPr>
          <w:p>
            <w:pPr>
              <w:pStyle w:val="0"/>
              <w:jc w:val="both"/>
            </w:pPr>
            <w:r>
              <w:rPr>
                <w:sz w:val="20"/>
              </w:rPr>
              <w:t xml:space="preserve">МО оснащены компьютерной техникой. Рабочие места специалистов, участвующих в оказании медицинской помощи по профилю "медицинская реабилитация", обеспечены доступом в сеть Интернет, создана возможность безопасной передачи данных на 100%</w:t>
            </w:r>
          </w:p>
        </w:tc>
        <w:tc>
          <w:tcPr>
            <w:tcW w:w="2381" w:type="dxa"/>
          </w:tcPr>
          <w:p>
            <w:pPr>
              <w:pStyle w:val="0"/>
              <w:jc w:val="both"/>
            </w:pPr>
            <w:r>
              <w:rPr>
                <w:sz w:val="20"/>
              </w:rPr>
              <w:t xml:space="preserve">Повышение уровня материально-технического обеспечения МО</w:t>
            </w:r>
          </w:p>
        </w:tc>
        <w:tc>
          <w:tcPr>
            <w:tcW w:w="1531" w:type="dxa"/>
          </w:tcPr>
          <w:p>
            <w:pPr>
              <w:pStyle w:val="0"/>
              <w:jc w:val="both"/>
            </w:pPr>
            <w:r>
              <w:rPr>
                <w:sz w:val="20"/>
              </w:rPr>
              <w:t xml:space="preserve">Разовое (неделимое)</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2"/>
        <w:outlineLvl w:val="2"/>
        <w:jc w:val="center"/>
      </w:pPr>
      <w:r>
        <w:rPr>
          <w:sz w:val="20"/>
        </w:rPr>
        <w:t xml:space="preserve">3. Ожидаемые результаты реализации региональной</w:t>
      </w:r>
    </w:p>
    <w:p>
      <w:pPr>
        <w:pStyle w:val="2"/>
        <w:jc w:val="center"/>
      </w:pPr>
      <w:r>
        <w:rPr>
          <w:sz w:val="20"/>
        </w:rPr>
        <w:t xml:space="preserve">программы "Оптимальная для восстановления здоровья</w:t>
      </w:r>
    </w:p>
    <w:p>
      <w:pPr>
        <w:pStyle w:val="2"/>
        <w:jc w:val="center"/>
      </w:pPr>
      <w:r>
        <w:rPr>
          <w:sz w:val="20"/>
        </w:rPr>
        <w:t xml:space="preserve">медицинская реабилитация в городе Севастополе"</w:t>
      </w:r>
    </w:p>
    <w:p>
      <w:pPr>
        <w:pStyle w:val="0"/>
        <w:ind w:firstLine="540"/>
        <w:jc w:val="both"/>
      </w:pPr>
      <w:r>
        <w:rPr>
          <w:sz w:val="20"/>
        </w:rPr>
      </w:r>
    </w:p>
    <w:p>
      <w:pPr>
        <w:pStyle w:val="0"/>
        <w:ind w:firstLine="540"/>
        <w:jc w:val="both"/>
      </w:pPr>
      <w:r>
        <w:rPr>
          <w:sz w:val="20"/>
        </w:rPr>
        <w:t xml:space="preserve">Выполнение мероприятий региональной программы позволит достичь к 2030 году следующих результатов:</w:t>
      </w:r>
    </w:p>
    <w:p>
      <w:pPr>
        <w:pStyle w:val="0"/>
        <w:spacing w:before="200" w:line-rule="auto"/>
        <w:ind w:firstLine="540"/>
        <w:jc w:val="both"/>
      </w:pPr>
      <w:r>
        <w:rPr>
          <w:sz w:val="20"/>
        </w:rPr>
        <w:t xml:space="preserve">- увеличение доли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составит не менее 95% ежегодно в период с 2022 по 2030 год;</w:t>
      </w:r>
    </w:p>
    <w:p>
      <w:pPr>
        <w:pStyle w:val="0"/>
        <w:spacing w:before="200" w:line-rule="auto"/>
        <w:ind w:firstLine="540"/>
        <w:jc w:val="both"/>
      </w:pPr>
      <w:r>
        <w:rPr>
          <w:sz w:val="20"/>
        </w:rPr>
        <w:t xml:space="preserve">- увеличение доли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составит не менее 34,5% в 2022 году и 35% ежегодно в период с 2023 по 2030 год;</w:t>
      </w:r>
    </w:p>
    <w:p>
      <w:pPr>
        <w:pStyle w:val="0"/>
        <w:spacing w:before="200" w:line-rule="auto"/>
        <w:ind w:firstLine="540"/>
        <w:jc w:val="both"/>
      </w:pPr>
      <w:r>
        <w:rPr>
          <w:sz w:val="20"/>
        </w:rPr>
        <w:t xml:space="preserve">- доля отделений медицинской реабилитации, оснащенных современным медицинским реабилитационным оборудованием, составит не менее 100% к 2025 году;</w:t>
      </w:r>
    </w:p>
    <w:p>
      <w:pPr>
        <w:pStyle w:val="0"/>
        <w:spacing w:before="200" w:line-rule="auto"/>
        <w:ind w:firstLine="540"/>
        <w:jc w:val="both"/>
      </w:pPr>
      <w:r>
        <w:rPr>
          <w:sz w:val="20"/>
        </w:rPr>
        <w:t xml:space="preserve">- достижение охвата граждан информацией о возможностях медицинской реабилитации в личном кабинете "Мое здоровье" на Едином портале государственных и муниципальных услуг (функций) к 2024 году на уровне не менее 58%, ежегодно в период с 2025 по 2030 год - не менее 60%.</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ind w:firstLine="540"/>
        <w:jc w:val="both"/>
      </w:pPr>
      <w:r>
        <w:rPr>
          <w:sz w:val="20"/>
        </w:rPr>
      </w:r>
    </w:p>
    <w:p>
      <w:pPr>
        <w:pStyle w:val="0"/>
        <w:outlineLvl w:val="1"/>
        <w:jc w:val="right"/>
      </w:pPr>
      <w:r>
        <w:rPr>
          <w:sz w:val="20"/>
        </w:rPr>
        <w:t xml:space="preserve">Приложение N 16</w:t>
      </w:r>
    </w:p>
    <w:p>
      <w:pPr>
        <w:pStyle w:val="0"/>
        <w:jc w:val="right"/>
      </w:pPr>
      <w:r>
        <w:rPr>
          <w:sz w:val="20"/>
        </w:rPr>
        <w:t xml:space="preserve">к государственной программе</w:t>
      </w:r>
    </w:p>
    <w:p>
      <w:pPr>
        <w:pStyle w:val="0"/>
        <w:jc w:val="right"/>
      </w:pPr>
      <w:r>
        <w:rPr>
          <w:sz w:val="20"/>
        </w:rPr>
        <w:t xml:space="preserve">города Севастополя</w:t>
      </w:r>
    </w:p>
    <w:p>
      <w:pPr>
        <w:pStyle w:val="0"/>
        <w:jc w:val="right"/>
      </w:pPr>
      <w:r>
        <w:rPr>
          <w:sz w:val="20"/>
        </w:rPr>
        <w:t xml:space="preserve">"Развитие здравоохранения</w:t>
      </w:r>
    </w:p>
    <w:p>
      <w:pPr>
        <w:pStyle w:val="0"/>
        <w:jc w:val="right"/>
      </w:pPr>
      <w:r>
        <w:rPr>
          <w:sz w:val="20"/>
        </w:rPr>
        <w:t xml:space="preserve">в городе Севастополе"</w:t>
      </w:r>
    </w:p>
    <w:p>
      <w:pPr>
        <w:pStyle w:val="0"/>
        <w:ind w:firstLine="540"/>
        <w:jc w:val="both"/>
      </w:pPr>
      <w:r>
        <w:rPr>
          <w:sz w:val="20"/>
        </w:rPr>
      </w:r>
    </w:p>
    <w:bookmarkStart w:id="45280" w:name="P45280"/>
    <w:bookmarkEnd w:id="45280"/>
    <w:p>
      <w:pPr>
        <w:pStyle w:val="2"/>
        <w:jc w:val="center"/>
      </w:pPr>
      <w:r>
        <w:rPr>
          <w:sz w:val="20"/>
        </w:rPr>
        <w:t xml:space="preserve">Региональная программа</w:t>
      </w:r>
    </w:p>
    <w:p>
      <w:pPr>
        <w:pStyle w:val="2"/>
        <w:jc w:val="center"/>
      </w:pPr>
      <w:r>
        <w:rPr>
          <w:sz w:val="20"/>
        </w:rPr>
        <w:t xml:space="preserve">"Обеспечение расширенного неонатального скрининга"</w:t>
      </w:r>
    </w:p>
    <w:p>
      <w:pPr>
        <w:pStyle w:val="0"/>
        <w:jc w:val="center"/>
      </w:pPr>
      <w:r>
        <w:rPr>
          <w:sz w:val="20"/>
        </w:rPr>
      </w:r>
    </w:p>
    <w:p>
      <w:pPr>
        <w:pStyle w:val="2"/>
        <w:outlineLvl w:val="2"/>
        <w:jc w:val="center"/>
      </w:pPr>
      <w:r>
        <w:rPr>
          <w:sz w:val="20"/>
        </w:rPr>
        <w:t xml:space="preserve">Используемые сокращения</w:t>
      </w:r>
    </w:p>
    <w:p>
      <w:pPr>
        <w:pStyle w:val="0"/>
      </w:pPr>
      <w:r>
        <w:rPr>
          <w:sz w:val="20"/>
        </w:rPr>
      </w:r>
    </w:p>
    <w:p>
      <w:pPr>
        <w:pStyle w:val="0"/>
        <w:ind w:firstLine="540"/>
        <w:jc w:val="both"/>
      </w:pPr>
      <w:r>
        <w:rPr>
          <w:sz w:val="20"/>
        </w:rPr>
        <w:t xml:space="preserve">НС - неонатальный скрининг;</w:t>
      </w:r>
    </w:p>
    <w:p>
      <w:pPr>
        <w:pStyle w:val="0"/>
        <w:spacing w:before="200" w:line-rule="auto"/>
        <w:ind w:firstLine="540"/>
        <w:jc w:val="both"/>
      </w:pPr>
      <w:r>
        <w:rPr>
          <w:sz w:val="20"/>
        </w:rPr>
        <w:t xml:space="preserve">РНС - расширенный неонатальный скрининг;</w:t>
      </w:r>
    </w:p>
    <w:p>
      <w:pPr>
        <w:pStyle w:val="0"/>
        <w:spacing w:before="200" w:line-rule="auto"/>
        <w:ind w:firstLine="540"/>
        <w:jc w:val="both"/>
      </w:pPr>
      <w:r>
        <w:rPr>
          <w:sz w:val="20"/>
        </w:rPr>
        <w:t xml:space="preserve">МГК - Медико-генетическая консультация;</w:t>
      </w:r>
    </w:p>
    <w:p>
      <w:pPr>
        <w:pStyle w:val="0"/>
        <w:spacing w:before="200" w:line-rule="auto"/>
        <w:ind w:firstLine="540"/>
        <w:jc w:val="both"/>
      </w:pPr>
      <w:r>
        <w:rPr>
          <w:sz w:val="20"/>
        </w:rPr>
        <w:t xml:space="preserve">Городская больница N 5 - Государственное бюджетное учреждение здравоохранения города Севастополя "Городская больница N 5 - "Центр охраны здоровья матери и ребенка";</w:t>
      </w:r>
    </w:p>
    <w:p>
      <w:pPr>
        <w:pStyle w:val="0"/>
        <w:spacing w:before="200" w:line-rule="auto"/>
        <w:ind w:firstLine="540"/>
        <w:jc w:val="both"/>
      </w:pPr>
      <w:r>
        <w:rPr>
          <w:sz w:val="20"/>
        </w:rPr>
        <w:t xml:space="preserve">ДЗГС - Департамент здравоохранения города Севастополя;</w:t>
      </w:r>
    </w:p>
    <w:p>
      <w:pPr>
        <w:pStyle w:val="0"/>
        <w:spacing w:before="200" w:line-rule="auto"/>
        <w:ind w:firstLine="540"/>
        <w:jc w:val="both"/>
      </w:pPr>
      <w:r>
        <w:rPr>
          <w:sz w:val="20"/>
        </w:rPr>
        <w:t xml:space="preserve">МО - медицинские организации;</w:t>
      </w:r>
    </w:p>
    <w:p>
      <w:pPr>
        <w:pStyle w:val="0"/>
        <w:spacing w:before="200" w:line-rule="auto"/>
        <w:ind w:firstLine="540"/>
        <w:jc w:val="both"/>
      </w:pPr>
      <w:r>
        <w:rPr>
          <w:sz w:val="20"/>
        </w:rPr>
        <w:t xml:space="preserve">МИАЦ - ГБУЗС "Медицинский информационно-аналитический центр";</w:t>
      </w:r>
    </w:p>
    <w:p>
      <w:pPr>
        <w:pStyle w:val="0"/>
        <w:spacing w:before="200" w:line-rule="auto"/>
        <w:ind w:firstLine="540"/>
        <w:jc w:val="both"/>
      </w:pPr>
      <w:r>
        <w:rPr>
          <w:sz w:val="20"/>
        </w:rPr>
        <w:t xml:space="preserve">ДИС - добровольное информационное согласие (от родителей или законных представителей);</w:t>
      </w:r>
    </w:p>
    <w:p>
      <w:pPr>
        <w:pStyle w:val="0"/>
        <w:spacing w:before="200" w:line-rule="auto"/>
        <w:ind w:firstLine="540"/>
        <w:jc w:val="both"/>
      </w:pPr>
      <w:r>
        <w:rPr>
          <w:sz w:val="20"/>
        </w:rPr>
        <w:t xml:space="preserve">СЭМД - структурированный электронный медицинский документ;</w:t>
      </w:r>
    </w:p>
    <w:p>
      <w:pPr>
        <w:pStyle w:val="0"/>
        <w:spacing w:before="200" w:line-rule="auto"/>
        <w:ind w:firstLine="540"/>
        <w:jc w:val="both"/>
      </w:pPr>
      <w:r>
        <w:rPr>
          <w:sz w:val="20"/>
        </w:rPr>
        <w:t xml:space="preserve">ВРТ - вспомогательные репродуктивные технологии;</w:t>
      </w:r>
    </w:p>
    <w:p>
      <w:pPr>
        <w:pStyle w:val="0"/>
        <w:spacing w:before="200" w:line-rule="auto"/>
        <w:ind w:firstLine="540"/>
        <w:jc w:val="both"/>
      </w:pPr>
      <w:r>
        <w:rPr>
          <w:sz w:val="20"/>
        </w:rPr>
        <w:t xml:space="preserve">ПГТ - предимплантационное генетическое тестирование;</w:t>
      </w:r>
    </w:p>
    <w:p>
      <w:pPr>
        <w:pStyle w:val="0"/>
        <w:spacing w:before="200" w:line-rule="auto"/>
        <w:ind w:firstLine="540"/>
        <w:jc w:val="both"/>
      </w:pPr>
      <w:r>
        <w:rPr>
          <w:sz w:val="20"/>
        </w:rPr>
        <w:t xml:space="preserve">FISH-тест - флуоресцентная гибридизация;</w:t>
      </w:r>
    </w:p>
    <w:p>
      <w:pPr>
        <w:pStyle w:val="0"/>
        <w:spacing w:before="200" w:line-rule="auto"/>
        <w:ind w:firstLine="540"/>
        <w:jc w:val="both"/>
      </w:pPr>
      <w:r>
        <w:rPr>
          <w:sz w:val="20"/>
        </w:rPr>
        <w:t xml:space="preserve">ПЦР - полимеразная цепная реакция;</w:t>
      </w:r>
    </w:p>
    <w:p>
      <w:pPr>
        <w:pStyle w:val="0"/>
        <w:spacing w:before="200" w:line-rule="auto"/>
        <w:ind w:firstLine="540"/>
        <w:jc w:val="both"/>
      </w:pPr>
      <w:r>
        <w:rPr>
          <w:sz w:val="20"/>
        </w:rPr>
        <w:t xml:space="preserve">ВИМИС "АКиНЕО" - вертикально-интегрированная медицинская информационная система по профилю "Акушерство, гинекология и неонатология";</w:t>
      </w:r>
    </w:p>
    <w:p>
      <w:pPr>
        <w:pStyle w:val="0"/>
        <w:spacing w:before="200" w:line-rule="auto"/>
        <w:ind w:firstLine="540"/>
        <w:jc w:val="both"/>
      </w:pPr>
      <w:r>
        <w:rPr>
          <w:sz w:val="20"/>
        </w:rPr>
        <w:t xml:space="preserve">АРМ - автоматизированное рабочее место;</w:t>
      </w:r>
    </w:p>
    <w:p>
      <w:pPr>
        <w:pStyle w:val="0"/>
        <w:spacing w:before="200" w:line-rule="auto"/>
        <w:ind w:firstLine="540"/>
        <w:jc w:val="both"/>
      </w:pPr>
      <w:r>
        <w:rPr>
          <w:sz w:val="20"/>
        </w:rPr>
        <w:t xml:space="preserve">ТВСП МО - территориально выделенное структурное подразделение медицинской организации;</w:t>
      </w:r>
    </w:p>
    <w:p>
      <w:pPr>
        <w:pStyle w:val="0"/>
        <w:spacing w:before="200" w:line-rule="auto"/>
        <w:ind w:firstLine="540"/>
        <w:jc w:val="both"/>
      </w:pPr>
      <w:r>
        <w:rPr>
          <w:sz w:val="20"/>
        </w:rPr>
        <w:t xml:space="preserve">ФРЭМД - Федеральный реестр электронных медицинских документов.</w:t>
      </w:r>
    </w:p>
    <w:p>
      <w:pPr>
        <w:pStyle w:val="0"/>
        <w:ind w:firstLine="540"/>
        <w:jc w:val="both"/>
      </w:pPr>
      <w:r>
        <w:rPr>
          <w:sz w:val="20"/>
        </w:rPr>
      </w:r>
    </w:p>
    <w:p>
      <w:pPr>
        <w:pStyle w:val="2"/>
        <w:outlineLvl w:val="2"/>
        <w:jc w:val="center"/>
      </w:pPr>
      <w:r>
        <w:rPr>
          <w:sz w:val="20"/>
        </w:rPr>
        <w:t xml:space="preserve">1. Анализ текущего состояния оказания медицинской помощи</w:t>
      </w:r>
    </w:p>
    <w:p>
      <w:pPr>
        <w:pStyle w:val="2"/>
        <w:jc w:val="center"/>
      </w:pPr>
      <w:r>
        <w:rPr>
          <w:sz w:val="20"/>
        </w:rPr>
        <w:t xml:space="preserve">пациентам с врожденными и наследственными заболеваниями</w:t>
      </w:r>
    </w:p>
    <w:p>
      <w:pPr>
        <w:pStyle w:val="2"/>
        <w:jc w:val="center"/>
      </w:pPr>
      <w:r>
        <w:rPr>
          <w:sz w:val="20"/>
        </w:rPr>
        <w:t xml:space="preserve">в рамках НС в городе Севастополе</w:t>
      </w:r>
    </w:p>
    <w:p>
      <w:pPr>
        <w:pStyle w:val="0"/>
        <w:ind w:firstLine="540"/>
        <w:jc w:val="both"/>
      </w:pPr>
      <w:r>
        <w:rPr>
          <w:sz w:val="20"/>
        </w:rPr>
      </w:r>
    </w:p>
    <w:p>
      <w:pPr>
        <w:pStyle w:val="2"/>
        <w:outlineLvl w:val="3"/>
        <w:jc w:val="center"/>
      </w:pPr>
      <w:r>
        <w:rPr>
          <w:sz w:val="20"/>
        </w:rPr>
        <w:t xml:space="preserve">1.1. Краткая характеристика субъекта Российской Федерации</w:t>
      </w:r>
    </w:p>
    <w:p>
      <w:pPr>
        <w:pStyle w:val="0"/>
        <w:ind w:firstLine="540"/>
        <w:jc w:val="both"/>
      </w:pPr>
      <w:r>
        <w:rPr>
          <w:sz w:val="20"/>
        </w:rPr>
      </w:r>
    </w:p>
    <w:p>
      <w:pPr>
        <w:pStyle w:val="0"/>
        <w:ind w:firstLine="540"/>
        <w:jc w:val="both"/>
      </w:pPr>
      <w:r>
        <w:rPr>
          <w:sz w:val="20"/>
        </w:rPr>
        <w:t xml:space="preserve">Географическое положение. Город федерального значения Севастополь - субъект Российской Федерации, входит в состав Южного федерального округа.</w:t>
      </w:r>
    </w:p>
    <w:p>
      <w:pPr>
        <w:pStyle w:val="0"/>
        <w:spacing w:before="200" w:line-rule="auto"/>
        <w:ind w:firstLine="540"/>
        <w:jc w:val="both"/>
      </w:pPr>
      <w:r>
        <w:rPr>
          <w:sz w:val="20"/>
        </w:rPr>
        <w:t xml:space="preserve">Общая площадь города составляет 1079 кв. км, из них: 863 км</w:t>
      </w:r>
      <w:r>
        <w:rPr>
          <w:sz w:val="20"/>
          <w:vertAlign w:val="superscript"/>
        </w:rPr>
        <w:t xml:space="preserve">2</w:t>
      </w:r>
      <w:r>
        <w:rPr>
          <w:sz w:val="20"/>
        </w:rPr>
        <w:t xml:space="preserve"> - суша (12% которой заселены, 32,3% - сельскохозяйственная зона, 41,0% - леса и горы); 216 км</w:t>
      </w:r>
      <w:r>
        <w:rPr>
          <w:sz w:val="20"/>
          <w:vertAlign w:val="superscript"/>
        </w:rPr>
        <w:t xml:space="preserve">2</w:t>
      </w:r>
      <w:r>
        <w:rPr>
          <w:sz w:val="20"/>
        </w:rPr>
        <w:t xml:space="preserve"> от общей территории составляют акватории морских бухт. Высота над уровнем моря: от 0 до 100 м (средняя - 50 м).</w:t>
      </w:r>
    </w:p>
    <w:p>
      <w:pPr>
        <w:pStyle w:val="0"/>
        <w:spacing w:before="200" w:line-rule="auto"/>
        <w:ind w:firstLine="540"/>
        <w:jc w:val="both"/>
      </w:pPr>
      <w:r>
        <w:rPr>
          <w:sz w:val="20"/>
        </w:rPr>
        <w:t xml:space="preserve">Климат Севастополя близок к субтропическому климату Южного берега Крыма. Количество осадков (мм/год): атмосферные осадки в течение года выпадают равномерно - от 280 до 400 мм/с.</w:t>
      </w:r>
    </w:p>
    <w:p>
      <w:pPr>
        <w:pStyle w:val="0"/>
        <w:spacing w:before="200" w:line-rule="auto"/>
        <w:ind w:firstLine="540"/>
        <w:jc w:val="both"/>
      </w:pPr>
      <w:r>
        <w:rPr>
          <w:sz w:val="20"/>
        </w:rPr>
        <w:t xml:space="preserve">На территории Севастопольского региона находятся 42 водоема и реки Бельбек (протяженность - 63 км, площадь водозабора - 505 км</w:t>
      </w:r>
      <w:r>
        <w:rPr>
          <w:sz w:val="20"/>
          <w:vertAlign w:val="superscript"/>
        </w:rPr>
        <w:t xml:space="preserve">2</w:t>
      </w:r>
      <w:r>
        <w:rPr>
          <w:sz w:val="20"/>
        </w:rPr>
        <w:t xml:space="preserve">), Кача (протяженность - 69 км, площадь водозабора - 573 км</w:t>
      </w:r>
      <w:r>
        <w:rPr>
          <w:sz w:val="20"/>
          <w:vertAlign w:val="superscript"/>
        </w:rPr>
        <w:t xml:space="preserve">2</w:t>
      </w:r>
      <w:r>
        <w:rPr>
          <w:sz w:val="20"/>
        </w:rPr>
        <w:t xml:space="preserve">), Черная (протяженность - 34 км, площадь водозабора - 436 км</w:t>
      </w:r>
      <w:r>
        <w:rPr>
          <w:sz w:val="20"/>
          <w:vertAlign w:val="superscript"/>
        </w:rPr>
        <w:t xml:space="preserve">2</w:t>
      </w:r>
      <w:r>
        <w:rPr>
          <w:sz w:val="20"/>
        </w:rPr>
        <w:t xml:space="preserve">).</w:t>
      </w:r>
    </w:p>
    <w:p>
      <w:pPr>
        <w:pStyle w:val="0"/>
        <w:spacing w:before="200" w:line-rule="auto"/>
        <w:ind w:firstLine="540"/>
        <w:jc w:val="both"/>
      </w:pPr>
      <w:r>
        <w:rPr>
          <w:sz w:val="20"/>
        </w:rPr>
        <w:t xml:space="preserve">Среднемесячная температура воздуха в течение всего года является положительной. Самый холодный месяц - январь (средняя температура составляет +1,3 °C), самый теплый - июль (+23,2 °C). Температура поверхностного слоя воды Черного моря у побережья Севастополя всегда выше нуля, а в июле составляет 22,2 °C.</w:t>
      </w:r>
    </w:p>
    <w:p>
      <w:pPr>
        <w:pStyle w:val="0"/>
        <w:spacing w:before="200" w:line-rule="auto"/>
        <w:ind w:firstLine="540"/>
        <w:jc w:val="both"/>
      </w:pPr>
      <w:r>
        <w:rPr>
          <w:sz w:val="20"/>
        </w:rPr>
        <w:t xml:space="preserve">Основным источником централизованного водоснабжения города Севастополя является Чернореченское водохранилище, расположенное на р. Черной. Его полный объем составляет 64,2 млн м</w:t>
      </w:r>
      <w:r>
        <w:rPr>
          <w:sz w:val="20"/>
          <w:vertAlign w:val="superscript"/>
        </w:rPr>
        <w:t xml:space="preserve">3</w:t>
      </w:r>
      <w:r>
        <w:rPr>
          <w:sz w:val="20"/>
        </w:rPr>
        <w:t xml:space="preserve">, утвержденные эксплуатационные запасы - 44,3 млн м</w:t>
      </w:r>
      <w:r>
        <w:rPr>
          <w:sz w:val="20"/>
          <w:vertAlign w:val="superscript"/>
        </w:rPr>
        <w:t xml:space="preserve">3</w:t>
      </w:r>
      <w:r>
        <w:rPr>
          <w:sz w:val="20"/>
        </w:rPr>
        <w:t xml:space="preserve">.</w:t>
      </w:r>
    </w:p>
    <w:p>
      <w:pPr>
        <w:pStyle w:val="0"/>
        <w:spacing w:before="200" w:line-rule="auto"/>
        <w:ind w:firstLine="540"/>
        <w:jc w:val="both"/>
      </w:pPr>
      <w:r>
        <w:rPr>
          <w:sz w:val="20"/>
        </w:rPr>
        <w:t xml:space="preserve">В административном отношении город Севастополь состоит из 10 внутригородских муниципальных округов: Ленинский, Гагаринский, Нахимовский, Балаклавский округа, город Инкерман, Андреевский, Качинский, Верхнесадовский, Орлиновский, Терновский округа. В пределах городской черты Севастополя находятся 46 населенных пунктов, из них 41 сельский и 5 городских населенных пунктов.</w:t>
      </w:r>
    </w:p>
    <w:p>
      <w:pPr>
        <w:pStyle w:val="0"/>
        <w:spacing w:before="200" w:line-rule="auto"/>
        <w:ind w:firstLine="540"/>
        <w:jc w:val="both"/>
      </w:pPr>
      <w:r>
        <w:rPr>
          <w:sz w:val="20"/>
        </w:rPr>
        <w:t xml:space="preserve">Демографическая ситуация. Общая численность постоянного населения на 01.01.2022 - 522057 чел. (149897 детей), из них мужчин - 46,4%, женщин - 53,6%, в том числе городское население - 491878 чел. (82,11%) и сельское - 30179 чел. (17,89%).</w:t>
      </w:r>
    </w:p>
    <w:p>
      <w:pPr>
        <w:pStyle w:val="0"/>
        <w:spacing w:before="200" w:line-rule="auto"/>
        <w:ind w:firstLine="540"/>
        <w:jc w:val="both"/>
      </w:pPr>
      <w:r>
        <w:rPr>
          <w:sz w:val="20"/>
        </w:rPr>
        <w:t xml:space="preserve">Плотность населения на территории города федерального значения Севастополя составляет 590,27 чел. на 1 км</w:t>
      </w:r>
      <w:r>
        <w:rPr>
          <w:sz w:val="20"/>
          <w:vertAlign w:val="superscript"/>
        </w:rPr>
        <w:t xml:space="preserve">2</w:t>
      </w:r>
      <w:r>
        <w:rPr>
          <w:sz w:val="20"/>
        </w:rPr>
        <w:t xml:space="preserve">.</w:t>
      </w:r>
    </w:p>
    <w:p>
      <w:pPr>
        <w:pStyle w:val="0"/>
        <w:spacing w:before="200" w:line-rule="auto"/>
        <w:ind w:firstLine="540"/>
        <w:jc w:val="both"/>
      </w:pPr>
      <w:r>
        <w:rPr>
          <w:sz w:val="20"/>
        </w:rPr>
        <w:t xml:space="preserve">На территории города располагается 17 потенциально опасных объектов, влияющих на здоровье населения:</w:t>
      </w:r>
    </w:p>
    <w:p>
      <w:pPr>
        <w:pStyle w:val="0"/>
        <w:spacing w:before="200" w:line-rule="auto"/>
        <w:ind w:firstLine="540"/>
        <w:jc w:val="both"/>
      </w:pPr>
      <w:r>
        <w:rPr>
          <w:sz w:val="20"/>
        </w:rPr>
        <w:t xml:space="preserve">- радиационно опасных - 1;</w:t>
      </w:r>
    </w:p>
    <w:p>
      <w:pPr>
        <w:pStyle w:val="0"/>
        <w:spacing w:before="200" w:line-rule="auto"/>
        <w:ind w:firstLine="540"/>
        <w:jc w:val="both"/>
      </w:pPr>
      <w:r>
        <w:rPr>
          <w:sz w:val="20"/>
        </w:rPr>
        <w:t xml:space="preserve">- взрывопожароопасных - 8;</w:t>
      </w:r>
    </w:p>
    <w:p>
      <w:pPr>
        <w:pStyle w:val="0"/>
        <w:spacing w:before="200" w:line-rule="auto"/>
        <w:ind w:firstLine="540"/>
        <w:jc w:val="both"/>
      </w:pPr>
      <w:r>
        <w:rPr>
          <w:sz w:val="20"/>
        </w:rPr>
        <w:t xml:space="preserve">- гидродинамически опасных - 1;</w:t>
      </w:r>
    </w:p>
    <w:p>
      <w:pPr>
        <w:pStyle w:val="0"/>
        <w:spacing w:before="200" w:line-rule="auto"/>
        <w:ind w:firstLine="540"/>
        <w:jc w:val="both"/>
      </w:pPr>
      <w:r>
        <w:rPr>
          <w:sz w:val="20"/>
        </w:rPr>
        <w:t xml:space="preserve">- химически опасных - нет;</w:t>
      </w:r>
    </w:p>
    <w:p>
      <w:pPr>
        <w:pStyle w:val="0"/>
        <w:spacing w:before="200" w:line-rule="auto"/>
        <w:ind w:firstLine="540"/>
        <w:jc w:val="both"/>
      </w:pPr>
      <w:r>
        <w:rPr>
          <w:sz w:val="20"/>
        </w:rPr>
        <w:t xml:space="preserve">- биологически опасных - нет;</w:t>
      </w:r>
    </w:p>
    <w:p>
      <w:pPr>
        <w:pStyle w:val="0"/>
        <w:spacing w:before="200" w:line-rule="auto"/>
        <w:ind w:firstLine="540"/>
        <w:jc w:val="both"/>
      </w:pPr>
      <w:r>
        <w:rPr>
          <w:sz w:val="20"/>
        </w:rPr>
        <w:t xml:space="preserve">- объектов инфраструктуры железнодорожного транспорта общего пользования - 1;</w:t>
      </w:r>
    </w:p>
    <w:p>
      <w:pPr>
        <w:pStyle w:val="0"/>
        <w:spacing w:before="200" w:line-rule="auto"/>
        <w:ind w:firstLine="540"/>
        <w:jc w:val="both"/>
      </w:pPr>
      <w:r>
        <w:rPr>
          <w:sz w:val="20"/>
        </w:rPr>
        <w:t xml:space="preserve">- объектов электросетевого хозяйства - 1;</w:t>
      </w:r>
    </w:p>
    <w:p>
      <w:pPr>
        <w:pStyle w:val="0"/>
        <w:spacing w:before="200" w:line-rule="auto"/>
        <w:ind w:firstLine="540"/>
        <w:jc w:val="both"/>
      </w:pPr>
      <w:r>
        <w:rPr>
          <w:sz w:val="20"/>
        </w:rPr>
        <w:t xml:space="preserve">- тепловых электростанций - 1;</w:t>
      </w:r>
    </w:p>
    <w:p>
      <w:pPr>
        <w:pStyle w:val="0"/>
        <w:spacing w:before="200" w:line-rule="auto"/>
        <w:ind w:firstLine="540"/>
        <w:jc w:val="both"/>
      </w:pPr>
      <w:r>
        <w:rPr>
          <w:sz w:val="20"/>
        </w:rPr>
        <w:t xml:space="preserve">- объектов с возможным одновременным пребыванием более 5 тыс. чел. - 4.</w:t>
      </w:r>
    </w:p>
    <w:p>
      <w:pPr>
        <w:pStyle w:val="0"/>
        <w:ind w:firstLine="540"/>
        <w:jc w:val="both"/>
      </w:pPr>
      <w:r>
        <w:rPr>
          <w:sz w:val="20"/>
        </w:rPr>
      </w:r>
    </w:p>
    <w:p>
      <w:pPr>
        <w:pStyle w:val="2"/>
        <w:outlineLvl w:val="3"/>
        <w:jc w:val="center"/>
      </w:pPr>
      <w:r>
        <w:rPr>
          <w:sz w:val="20"/>
        </w:rPr>
        <w:t xml:space="preserve">1.2. Анализ основных демографических показателей субъекта</w:t>
      </w:r>
    </w:p>
    <w:p>
      <w:pPr>
        <w:pStyle w:val="2"/>
        <w:jc w:val="center"/>
      </w:pPr>
      <w:r>
        <w:rPr>
          <w:sz w:val="20"/>
        </w:rPr>
        <w:t xml:space="preserve">Российской Федерации</w:t>
      </w:r>
    </w:p>
    <w:p>
      <w:pPr>
        <w:pStyle w:val="0"/>
      </w:pPr>
      <w:r>
        <w:rPr>
          <w:sz w:val="20"/>
        </w:rPr>
      </w:r>
    </w:p>
    <w:p>
      <w:pPr>
        <w:pStyle w:val="0"/>
        <w:outlineLvl w:val="4"/>
        <w:jc w:val="right"/>
      </w:pPr>
      <w:r>
        <w:rPr>
          <w:sz w:val="20"/>
        </w:rPr>
        <w:t xml:space="preserve">Таблица 1</w:t>
      </w:r>
    </w:p>
    <w:p>
      <w:pPr>
        <w:pStyle w:val="0"/>
      </w:pPr>
      <w:r>
        <w:rPr>
          <w:sz w:val="20"/>
        </w:rPr>
      </w:r>
    </w:p>
    <w:p>
      <w:pPr>
        <w:pStyle w:val="2"/>
        <w:jc w:val="center"/>
      </w:pPr>
      <w:r>
        <w:rPr>
          <w:sz w:val="20"/>
        </w:rPr>
        <w:t xml:space="preserve">Демографические показатели в субъекте Российской Федерации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1134"/>
        <w:gridCol w:w="1134"/>
        <w:gridCol w:w="1134"/>
        <w:gridCol w:w="1134"/>
        <w:gridCol w:w="1984"/>
      </w:tblGrid>
      <w:tr>
        <w:tc>
          <w:tcPr>
            <w:tcW w:w="2551" w:type="dxa"/>
          </w:tcPr>
          <w:p>
            <w:pPr>
              <w:pStyle w:val="0"/>
              <w:jc w:val="center"/>
            </w:pPr>
            <w:r>
              <w:rPr>
                <w:sz w:val="20"/>
              </w:rPr>
              <w:t xml:space="preserve">Демографические показатели</w:t>
            </w:r>
          </w:p>
        </w:tc>
        <w:tc>
          <w:tcPr>
            <w:tcW w:w="1134" w:type="dxa"/>
          </w:tcPr>
          <w:p>
            <w:pPr>
              <w:pStyle w:val="0"/>
              <w:jc w:val="center"/>
            </w:pPr>
            <w:r>
              <w:rPr>
                <w:sz w:val="20"/>
              </w:rPr>
              <w:t xml:space="preserve">2018</w:t>
            </w:r>
          </w:p>
        </w:tc>
        <w:tc>
          <w:tcPr>
            <w:tcW w:w="1134" w:type="dxa"/>
          </w:tcPr>
          <w:p>
            <w:pPr>
              <w:pStyle w:val="0"/>
              <w:jc w:val="center"/>
            </w:pPr>
            <w:r>
              <w:rPr>
                <w:sz w:val="20"/>
              </w:rPr>
              <w:t xml:space="preserve">2019</w:t>
            </w:r>
          </w:p>
        </w:tc>
        <w:tc>
          <w:tcPr>
            <w:tcW w:w="1134" w:type="dxa"/>
          </w:tcPr>
          <w:p>
            <w:pPr>
              <w:pStyle w:val="0"/>
              <w:jc w:val="center"/>
            </w:pPr>
            <w:r>
              <w:rPr>
                <w:sz w:val="20"/>
              </w:rPr>
              <w:t xml:space="preserve">2020</w:t>
            </w:r>
          </w:p>
        </w:tc>
        <w:tc>
          <w:tcPr>
            <w:tcW w:w="1134" w:type="dxa"/>
          </w:tcPr>
          <w:p>
            <w:pPr>
              <w:pStyle w:val="0"/>
              <w:jc w:val="center"/>
            </w:pPr>
            <w:r>
              <w:rPr>
                <w:sz w:val="20"/>
              </w:rPr>
              <w:t xml:space="preserve">2021</w:t>
            </w:r>
          </w:p>
        </w:tc>
        <w:tc>
          <w:tcPr>
            <w:tcW w:w="1984" w:type="dxa"/>
          </w:tcPr>
          <w:p>
            <w:pPr>
              <w:pStyle w:val="0"/>
              <w:jc w:val="center"/>
            </w:pPr>
            <w:r>
              <w:rPr>
                <w:sz w:val="20"/>
              </w:rPr>
              <w:t xml:space="preserve">Оперативные данные (9 мес. 2022 г.)</w:t>
            </w:r>
          </w:p>
        </w:tc>
      </w:tr>
      <w:tr>
        <w:tc>
          <w:tcPr>
            <w:tcW w:w="2551" w:type="dxa"/>
          </w:tcPr>
          <w:p>
            <w:pPr>
              <w:pStyle w:val="0"/>
              <w:jc w:val="both"/>
            </w:pPr>
            <w:r>
              <w:rPr>
                <w:sz w:val="20"/>
              </w:rPr>
              <w:t xml:space="preserve">Коэффициент рождаемости на 1000 населения</w:t>
            </w:r>
          </w:p>
        </w:tc>
        <w:tc>
          <w:tcPr>
            <w:tcW w:w="1134" w:type="dxa"/>
          </w:tcPr>
          <w:p>
            <w:pPr>
              <w:pStyle w:val="0"/>
              <w:jc w:val="center"/>
            </w:pPr>
            <w:r>
              <w:rPr>
                <w:sz w:val="20"/>
              </w:rPr>
              <w:t xml:space="preserve">10,01</w:t>
            </w:r>
          </w:p>
        </w:tc>
        <w:tc>
          <w:tcPr>
            <w:tcW w:w="1134" w:type="dxa"/>
          </w:tcPr>
          <w:p>
            <w:pPr>
              <w:pStyle w:val="0"/>
              <w:jc w:val="center"/>
            </w:pPr>
            <w:r>
              <w:rPr>
                <w:sz w:val="20"/>
              </w:rPr>
              <w:t xml:space="preserve">9,64</w:t>
            </w:r>
          </w:p>
        </w:tc>
        <w:tc>
          <w:tcPr>
            <w:tcW w:w="1134" w:type="dxa"/>
          </w:tcPr>
          <w:p>
            <w:pPr>
              <w:pStyle w:val="0"/>
              <w:jc w:val="center"/>
            </w:pPr>
            <w:r>
              <w:rPr>
                <w:sz w:val="20"/>
              </w:rPr>
              <w:t xml:space="preserve">9,43</w:t>
            </w:r>
          </w:p>
        </w:tc>
        <w:tc>
          <w:tcPr>
            <w:tcW w:w="1134" w:type="dxa"/>
          </w:tcPr>
          <w:p>
            <w:pPr>
              <w:pStyle w:val="0"/>
              <w:jc w:val="center"/>
            </w:pPr>
            <w:r>
              <w:rPr>
                <w:sz w:val="20"/>
              </w:rPr>
              <w:t xml:space="preserve">8,3</w:t>
            </w:r>
          </w:p>
        </w:tc>
        <w:tc>
          <w:tcPr>
            <w:tcW w:w="1984" w:type="dxa"/>
          </w:tcPr>
          <w:p>
            <w:pPr>
              <w:pStyle w:val="0"/>
              <w:jc w:val="center"/>
            </w:pPr>
            <w:r>
              <w:rPr>
                <w:sz w:val="20"/>
              </w:rPr>
              <w:t xml:space="preserve">7,7</w:t>
            </w:r>
          </w:p>
        </w:tc>
      </w:tr>
      <w:tr>
        <w:tc>
          <w:tcPr>
            <w:tcW w:w="2551" w:type="dxa"/>
          </w:tcPr>
          <w:p>
            <w:pPr>
              <w:pStyle w:val="0"/>
              <w:jc w:val="both"/>
            </w:pPr>
            <w:r>
              <w:rPr>
                <w:sz w:val="20"/>
              </w:rPr>
              <w:t xml:space="preserve">Общий коэффициент смертности на 1000 населения</w:t>
            </w:r>
          </w:p>
        </w:tc>
        <w:tc>
          <w:tcPr>
            <w:tcW w:w="1134" w:type="dxa"/>
          </w:tcPr>
          <w:p>
            <w:pPr>
              <w:pStyle w:val="0"/>
              <w:jc w:val="center"/>
            </w:pPr>
            <w:r>
              <w:rPr>
                <w:sz w:val="20"/>
              </w:rPr>
              <w:t xml:space="preserve">12,87</w:t>
            </w:r>
          </w:p>
        </w:tc>
        <w:tc>
          <w:tcPr>
            <w:tcW w:w="1134" w:type="dxa"/>
          </w:tcPr>
          <w:p>
            <w:pPr>
              <w:pStyle w:val="0"/>
              <w:jc w:val="center"/>
            </w:pPr>
            <w:r>
              <w:rPr>
                <w:sz w:val="20"/>
              </w:rPr>
              <w:t xml:space="preserve">13,14</w:t>
            </w:r>
          </w:p>
        </w:tc>
        <w:tc>
          <w:tcPr>
            <w:tcW w:w="1134" w:type="dxa"/>
          </w:tcPr>
          <w:p>
            <w:pPr>
              <w:pStyle w:val="0"/>
              <w:jc w:val="center"/>
            </w:pPr>
            <w:r>
              <w:rPr>
                <w:sz w:val="20"/>
              </w:rPr>
              <w:t xml:space="preserve">13,94</w:t>
            </w:r>
          </w:p>
        </w:tc>
        <w:tc>
          <w:tcPr>
            <w:tcW w:w="1134" w:type="dxa"/>
          </w:tcPr>
          <w:p>
            <w:pPr>
              <w:pStyle w:val="0"/>
              <w:jc w:val="center"/>
            </w:pPr>
            <w:r>
              <w:rPr>
                <w:sz w:val="20"/>
              </w:rPr>
              <w:t xml:space="preserve">15,0</w:t>
            </w:r>
          </w:p>
        </w:tc>
        <w:tc>
          <w:tcPr>
            <w:tcW w:w="1984" w:type="dxa"/>
          </w:tcPr>
          <w:p>
            <w:pPr>
              <w:pStyle w:val="0"/>
              <w:jc w:val="center"/>
            </w:pPr>
            <w:r>
              <w:rPr>
                <w:sz w:val="20"/>
              </w:rPr>
              <w:t xml:space="preserve">12,2</w:t>
            </w:r>
          </w:p>
        </w:tc>
      </w:tr>
      <w:tr>
        <w:tc>
          <w:tcPr>
            <w:tcW w:w="2551" w:type="dxa"/>
          </w:tcPr>
          <w:p>
            <w:pPr>
              <w:pStyle w:val="0"/>
              <w:jc w:val="both"/>
            </w:pPr>
            <w:r>
              <w:rPr>
                <w:sz w:val="20"/>
              </w:rPr>
              <w:t xml:space="preserve">Коэффициент естественного прироста населения</w:t>
            </w:r>
          </w:p>
        </w:tc>
        <w:tc>
          <w:tcPr>
            <w:tcW w:w="1134" w:type="dxa"/>
          </w:tcPr>
          <w:p>
            <w:pPr>
              <w:pStyle w:val="0"/>
              <w:jc w:val="center"/>
            </w:pPr>
            <w:r>
              <w:rPr>
                <w:sz w:val="20"/>
              </w:rPr>
              <w:t xml:space="preserve">-2,86</w:t>
            </w:r>
          </w:p>
        </w:tc>
        <w:tc>
          <w:tcPr>
            <w:tcW w:w="1134" w:type="dxa"/>
          </w:tcPr>
          <w:p>
            <w:pPr>
              <w:pStyle w:val="0"/>
              <w:jc w:val="center"/>
            </w:pPr>
            <w:r>
              <w:rPr>
                <w:sz w:val="20"/>
              </w:rPr>
              <w:t xml:space="preserve">-3,5</w:t>
            </w:r>
          </w:p>
        </w:tc>
        <w:tc>
          <w:tcPr>
            <w:tcW w:w="1134" w:type="dxa"/>
          </w:tcPr>
          <w:p>
            <w:pPr>
              <w:pStyle w:val="0"/>
              <w:jc w:val="center"/>
            </w:pPr>
            <w:r>
              <w:rPr>
                <w:sz w:val="20"/>
              </w:rPr>
              <w:t xml:space="preserve">-4,51</w:t>
            </w:r>
          </w:p>
        </w:tc>
        <w:tc>
          <w:tcPr>
            <w:tcW w:w="1134" w:type="dxa"/>
          </w:tcPr>
          <w:p>
            <w:pPr>
              <w:pStyle w:val="0"/>
              <w:jc w:val="center"/>
            </w:pPr>
            <w:r>
              <w:rPr>
                <w:sz w:val="20"/>
              </w:rPr>
              <w:t xml:space="preserve">-6,67</w:t>
            </w:r>
          </w:p>
        </w:tc>
        <w:tc>
          <w:tcPr>
            <w:tcW w:w="1984" w:type="dxa"/>
          </w:tcPr>
          <w:p>
            <w:pPr>
              <w:pStyle w:val="0"/>
              <w:jc w:val="center"/>
            </w:pPr>
            <w:r>
              <w:rPr>
                <w:sz w:val="20"/>
              </w:rPr>
              <w:t xml:space="preserve">-4,5</w:t>
            </w:r>
          </w:p>
        </w:tc>
      </w:tr>
    </w:tbl>
    <w:p>
      <w:pPr>
        <w:pStyle w:val="0"/>
        <w:jc w:val="both"/>
      </w:pPr>
      <w:r>
        <w:rPr>
          <w:sz w:val="20"/>
        </w:rPr>
      </w:r>
    </w:p>
    <w:p>
      <w:pPr>
        <w:pStyle w:val="0"/>
        <w:outlineLvl w:val="4"/>
        <w:jc w:val="right"/>
      </w:pPr>
      <w:r>
        <w:rPr>
          <w:sz w:val="20"/>
        </w:rPr>
        <w:t xml:space="preserve">Таблица 2</w:t>
      </w:r>
    </w:p>
    <w:p>
      <w:pPr>
        <w:pStyle w:val="0"/>
        <w:jc w:val="right"/>
      </w:pPr>
      <w:r>
        <w:rPr>
          <w:sz w:val="20"/>
        </w:rPr>
      </w:r>
    </w:p>
    <w:p>
      <w:pPr>
        <w:pStyle w:val="2"/>
        <w:jc w:val="center"/>
      </w:pPr>
      <w:r>
        <w:rPr>
          <w:sz w:val="20"/>
        </w:rPr>
        <w:t xml:space="preserve">Численность населения в субъекте Российской Федерации, абс.</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1303"/>
        <w:gridCol w:w="1303"/>
        <w:gridCol w:w="1303"/>
        <w:gridCol w:w="1247"/>
        <w:gridCol w:w="1304"/>
      </w:tblGrid>
      <w:tr>
        <w:tc>
          <w:tcPr>
            <w:tcW w:w="2608" w:type="dxa"/>
          </w:tcPr>
          <w:p>
            <w:pPr>
              <w:pStyle w:val="0"/>
              <w:jc w:val="center"/>
            </w:pPr>
            <w:r>
              <w:rPr>
                <w:sz w:val="20"/>
              </w:rPr>
              <w:t xml:space="preserve">Демографические показатели</w:t>
            </w:r>
          </w:p>
        </w:tc>
        <w:tc>
          <w:tcPr>
            <w:tcW w:w="1303" w:type="dxa"/>
          </w:tcPr>
          <w:p>
            <w:pPr>
              <w:pStyle w:val="0"/>
              <w:jc w:val="center"/>
            </w:pPr>
            <w:r>
              <w:rPr>
                <w:sz w:val="20"/>
              </w:rPr>
              <w:t xml:space="preserve">2018 г.</w:t>
            </w:r>
          </w:p>
        </w:tc>
        <w:tc>
          <w:tcPr>
            <w:tcW w:w="1303" w:type="dxa"/>
          </w:tcPr>
          <w:p>
            <w:pPr>
              <w:pStyle w:val="0"/>
              <w:jc w:val="center"/>
            </w:pPr>
            <w:r>
              <w:rPr>
                <w:sz w:val="20"/>
              </w:rPr>
              <w:t xml:space="preserve">2019 г.</w:t>
            </w:r>
          </w:p>
        </w:tc>
        <w:tc>
          <w:tcPr>
            <w:tcW w:w="1303" w:type="dxa"/>
          </w:tcPr>
          <w:p>
            <w:pPr>
              <w:pStyle w:val="0"/>
              <w:jc w:val="center"/>
            </w:pPr>
            <w:r>
              <w:rPr>
                <w:sz w:val="20"/>
              </w:rPr>
              <w:t xml:space="preserve">2020 г.</w:t>
            </w:r>
          </w:p>
        </w:tc>
        <w:tc>
          <w:tcPr>
            <w:tcW w:w="1247" w:type="dxa"/>
          </w:tcPr>
          <w:p>
            <w:pPr>
              <w:pStyle w:val="0"/>
              <w:jc w:val="center"/>
            </w:pPr>
            <w:r>
              <w:rPr>
                <w:sz w:val="20"/>
              </w:rPr>
              <w:t xml:space="preserve">2021 г.</w:t>
            </w:r>
          </w:p>
        </w:tc>
        <w:tc>
          <w:tcPr>
            <w:tcW w:w="1304" w:type="dxa"/>
          </w:tcPr>
          <w:p>
            <w:pPr>
              <w:pStyle w:val="0"/>
              <w:jc w:val="center"/>
            </w:pPr>
            <w:r>
              <w:rPr>
                <w:sz w:val="20"/>
              </w:rPr>
              <w:t xml:space="preserve">2022 г.</w:t>
            </w:r>
          </w:p>
        </w:tc>
      </w:tr>
      <w:tr>
        <w:tc>
          <w:tcPr>
            <w:tcW w:w="2608" w:type="dxa"/>
          </w:tcPr>
          <w:p>
            <w:pPr>
              <w:pStyle w:val="0"/>
              <w:jc w:val="both"/>
            </w:pPr>
            <w:r>
              <w:rPr>
                <w:sz w:val="20"/>
              </w:rPr>
              <w:t xml:space="preserve">Численность населения, всего, чел.</w:t>
            </w:r>
          </w:p>
        </w:tc>
        <w:tc>
          <w:tcPr>
            <w:tcW w:w="1303" w:type="dxa"/>
          </w:tcPr>
          <w:p>
            <w:pPr>
              <w:pStyle w:val="0"/>
              <w:jc w:val="center"/>
            </w:pPr>
            <w:r>
              <w:rPr>
                <w:sz w:val="20"/>
              </w:rPr>
              <w:t xml:space="preserve">436670</w:t>
            </w:r>
          </w:p>
        </w:tc>
        <w:tc>
          <w:tcPr>
            <w:tcW w:w="1303" w:type="dxa"/>
          </w:tcPr>
          <w:p>
            <w:pPr>
              <w:pStyle w:val="0"/>
              <w:jc w:val="center"/>
            </w:pPr>
            <w:r>
              <w:rPr>
                <w:sz w:val="20"/>
              </w:rPr>
              <w:t xml:space="preserve">443212</w:t>
            </w:r>
          </w:p>
        </w:tc>
        <w:tc>
          <w:tcPr>
            <w:tcW w:w="1303" w:type="dxa"/>
          </w:tcPr>
          <w:p>
            <w:pPr>
              <w:pStyle w:val="0"/>
              <w:jc w:val="center"/>
            </w:pPr>
            <w:r>
              <w:rPr>
                <w:sz w:val="20"/>
              </w:rPr>
              <w:t xml:space="preserve">449139</w:t>
            </w:r>
          </w:p>
        </w:tc>
        <w:tc>
          <w:tcPr>
            <w:tcW w:w="1247" w:type="dxa"/>
          </w:tcPr>
          <w:p>
            <w:pPr>
              <w:pStyle w:val="0"/>
              <w:jc w:val="center"/>
            </w:pPr>
            <w:r>
              <w:rPr>
                <w:sz w:val="20"/>
              </w:rPr>
              <w:t xml:space="preserve">509992</w:t>
            </w:r>
          </w:p>
        </w:tc>
        <w:tc>
          <w:tcPr>
            <w:tcW w:w="1304" w:type="dxa"/>
          </w:tcPr>
          <w:p>
            <w:pPr>
              <w:pStyle w:val="0"/>
              <w:jc w:val="center"/>
            </w:pPr>
            <w:r>
              <w:rPr>
                <w:sz w:val="20"/>
              </w:rPr>
              <w:t xml:space="preserve">522097</w:t>
            </w:r>
          </w:p>
        </w:tc>
      </w:tr>
      <w:tr>
        <w:tc>
          <w:tcPr>
            <w:tcW w:w="2608" w:type="dxa"/>
          </w:tcPr>
          <w:p>
            <w:pPr>
              <w:pStyle w:val="0"/>
              <w:jc w:val="both"/>
            </w:pPr>
            <w:r>
              <w:rPr>
                <w:sz w:val="20"/>
              </w:rPr>
              <w:t xml:space="preserve">Из общего числа:</w:t>
            </w:r>
          </w:p>
          <w:p>
            <w:pPr>
              <w:pStyle w:val="0"/>
              <w:jc w:val="both"/>
            </w:pPr>
            <w:r>
              <w:rPr>
                <w:sz w:val="20"/>
              </w:rPr>
              <w:t xml:space="preserve">дети 0 - 17 лет, всего, чел.:</w:t>
            </w:r>
          </w:p>
        </w:tc>
        <w:tc>
          <w:tcPr>
            <w:tcW w:w="1303" w:type="dxa"/>
          </w:tcPr>
          <w:p>
            <w:pPr>
              <w:pStyle w:val="0"/>
              <w:jc w:val="center"/>
            </w:pPr>
            <w:r>
              <w:rPr>
                <w:sz w:val="20"/>
              </w:rPr>
              <w:t xml:space="preserve">80984</w:t>
            </w:r>
          </w:p>
        </w:tc>
        <w:tc>
          <w:tcPr>
            <w:tcW w:w="1303" w:type="dxa"/>
          </w:tcPr>
          <w:p>
            <w:pPr>
              <w:pStyle w:val="0"/>
              <w:jc w:val="center"/>
            </w:pPr>
            <w:r>
              <w:rPr>
                <w:sz w:val="20"/>
              </w:rPr>
              <w:t xml:space="preserve">83464</w:t>
            </w:r>
          </w:p>
        </w:tc>
        <w:tc>
          <w:tcPr>
            <w:tcW w:w="1303" w:type="dxa"/>
          </w:tcPr>
          <w:p>
            <w:pPr>
              <w:pStyle w:val="0"/>
              <w:jc w:val="center"/>
            </w:pPr>
            <w:r>
              <w:rPr>
                <w:sz w:val="20"/>
              </w:rPr>
              <w:t xml:space="preserve">85823</w:t>
            </w:r>
          </w:p>
        </w:tc>
        <w:tc>
          <w:tcPr>
            <w:tcW w:w="1247" w:type="dxa"/>
          </w:tcPr>
          <w:p>
            <w:pPr>
              <w:pStyle w:val="0"/>
              <w:jc w:val="center"/>
            </w:pPr>
            <w:r>
              <w:rPr>
                <w:sz w:val="20"/>
              </w:rPr>
              <w:t xml:space="preserve">100541</w:t>
            </w:r>
          </w:p>
        </w:tc>
        <w:tc>
          <w:tcPr>
            <w:tcW w:w="1304" w:type="dxa"/>
          </w:tcPr>
          <w:p>
            <w:pPr>
              <w:pStyle w:val="0"/>
              <w:jc w:val="center"/>
            </w:pPr>
            <w:r>
              <w:rPr>
                <w:sz w:val="20"/>
              </w:rPr>
              <w:t xml:space="preserve">103347</w:t>
            </w:r>
          </w:p>
        </w:tc>
      </w:tr>
      <w:tr>
        <w:tc>
          <w:tcPr>
            <w:tcW w:w="2608" w:type="dxa"/>
          </w:tcPr>
          <w:p>
            <w:pPr>
              <w:pStyle w:val="0"/>
              <w:jc w:val="both"/>
            </w:pPr>
            <w:r>
              <w:rPr>
                <w:sz w:val="20"/>
              </w:rPr>
              <w:t xml:space="preserve">из них городское население, чел.</w:t>
            </w:r>
          </w:p>
        </w:tc>
        <w:tc>
          <w:tcPr>
            <w:tcW w:w="1303" w:type="dxa"/>
          </w:tcPr>
          <w:p>
            <w:pPr>
              <w:pStyle w:val="0"/>
              <w:jc w:val="center"/>
            </w:pPr>
            <w:r>
              <w:rPr>
                <w:sz w:val="20"/>
              </w:rPr>
              <w:t xml:space="preserve">405976</w:t>
            </w:r>
          </w:p>
        </w:tc>
        <w:tc>
          <w:tcPr>
            <w:tcW w:w="1303" w:type="dxa"/>
          </w:tcPr>
          <w:p>
            <w:pPr>
              <w:pStyle w:val="0"/>
              <w:jc w:val="center"/>
            </w:pPr>
            <w:r>
              <w:rPr>
                <w:sz w:val="20"/>
              </w:rPr>
              <w:t xml:space="preserve">412562</w:t>
            </w:r>
          </w:p>
        </w:tc>
        <w:tc>
          <w:tcPr>
            <w:tcW w:w="1303" w:type="dxa"/>
          </w:tcPr>
          <w:p>
            <w:pPr>
              <w:pStyle w:val="0"/>
              <w:jc w:val="center"/>
            </w:pPr>
            <w:r>
              <w:rPr>
                <w:sz w:val="20"/>
              </w:rPr>
              <w:t xml:space="preserve">418773</w:t>
            </w:r>
          </w:p>
        </w:tc>
        <w:tc>
          <w:tcPr>
            <w:tcW w:w="1247" w:type="dxa"/>
          </w:tcPr>
          <w:p>
            <w:pPr>
              <w:pStyle w:val="0"/>
              <w:jc w:val="center"/>
            </w:pPr>
            <w:r>
              <w:rPr>
                <w:sz w:val="20"/>
              </w:rPr>
              <w:t xml:space="preserve">479394</w:t>
            </w:r>
          </w:p>
        </w:tc>
        <w:tc>
          <w:tcPr>
            <w:tcW w:w="1304" w:type="dxa"/>
          </w:tcPr>
          <w:p>
            <w:pPr>
              <w:pStyle w:val="0"/>
              <w:jc w:val="center"/>
            </w:pPr>
            <w:r>
              <w:rPr>
                <w:sz w:val="20"/>
              </w:rPr>
              <w:t xml:space="preserve">491878</w:t>
            </w:r>
          </w:p>
        </w:tc>
      </w:tr>
      <w:tr>
        <w:tc>
          <w:tcPr>
            <w:tcW w:w="2608" w:type="dxa"/>
          </w:tcPr>
          <w:p>
            <w:pPr>
              <w:pStyle w:val="0"/>
              <w:jc w:val="both"/>
            </w:pPr>
            <w:r>
              <w:rPr>
                <w:sz w:val="20"/>
              </w:rPr>
              <w:t xml:space="preserve">из них сельское население, чел.</w:t>
            </w:r>
          </w:p>
        </w:tc>
        <w:tc>
          <w:tcPr>
            <w:tcW w:w="1303" w:type="dxa"/>
          </w:tcPr>
          <w:p>
            <w:pPr>
              <w:pStyle w:val="0"/>
              <w:jc w:val="center"/>
            </w:pPr>
            <w:r>
              <w:rPr>
                <w:sz w:val="20"/>
              </w:rPr>
              <w:t xml:space="preserve">30694</w:t>
            </w:r>
          </w:p>
        </w:tc>
        <w:tc>
          <w:tcPr>
            <w:tcW w:w="1303" w:type="dxa"/>
          </w:tcPr>
          <w:p>
            <w:pPr>
              <w:pStyle w:val="0"/>
              <w:jc w:val="center"/>
            </w:pPr>
            <w:r>
              <w:rPr>
                <w:sz w:val="20"/>
              </w:rPr>
              <w:t xml:space="preserve">30649</w:t>
            </w:r>
          </w:p>
        </w:tc>
        <w:tc>
          <w:tcPr>
            <w:tcW w:w="1303" w:type="dxa"/>
          </w:tcPr>
          <w:p>
            <w:pPr>
              <w:pStyle w:val="0"/>
              <w:jc w:val="center"/>
            </w:pPr>
            <w:r>
              <w:rPr>
                <w:sz w:val="20"/>
              </w:rPr>
              <w:t xml:space="preserve">30365</w:t>
            </w:r>
          </w:p>
        </w:tc>
        <w:tc>
          <w:tcPr>
            <w:tcW w:w="1247" w:type="dxa"/>
          </w:tcPr>
          <w:p>
            <w:pPr>
              <w:pStyle w:val="0"/>
              <w:jc w:val="center"/>
            </w:pPr>
            <w:r>
              <w:rPr>
                <w:sz w:val="20"/>
              </w:rPr>
              <w:t xml:space="preserve">30598</w:t>
            </w:r>
          </w:p>
        </w:tc>
        <w:tc>
          <w:tcPr>
            <w:tcW w:w="1304" w:type="dxa"/>
          </w:tcPr>
          <w:p>
            <w:pPr>
              <w:pStyle w:val="0"/>
              <w:jc w:val="center"/>
            </w:pPr>
            <w:r>
              <w:rPr>
                <w:sz w:val="20"/>
              </w:rPr>
              <w:t xml:space="preserve">30179</w:t>
            </w:r>
          </w:p>
        </w:tc>
      </w:tr>
      <w:tr>
        <w:tc>
          <w:tcPr>
            <w:tcW w:w="2608" w:type="dxa"/>
          </w:tcPr>
          <w:p>
            <w:pPr>
              <w:pStyle w:val="0"/>
              <w:jc w:val="both"/>
            </w:pPr>
            <w:r>
              <w:rPr>
                <w:sz w:val="20"/>
              </w:rPr>
              <w:t xml:space="preserve">из них дети 0 - 1 года, чел.</w:t>
            </w:r>
          </w:p>
        </w:tc>
        <w:tc>
          <w:tcPr>
            <w:tcW w:w="1303" w:type="dxa"/>
          </w:tcPr>
          <w:p>
            <w:pPr>
              <w:pStyle w:val="0"/>
              <w:jc w:val="center"/>
            </w:pPr>
            <w:r>
              <w:rPr>
                <w:sz w:val="20"/>
              </w:rPr>
              <w:t xml:space="preserve">4879</w:t>
            </w:r>
          </w:p>
        </w:tc>
        <w:tc>
          <w:tcPr>
            <w:tcW w:w="1303" w:type="dxa"/>
          </w:tcPr>
          <w:p>
            <w:pPr>
              <w:pStyle w:val="0"/>
              <w:jc w:val="center"/>
            </w:pPr>
            <w:r>
              <w:rPr>
                <w:sz w:val="20"/>
              </w:rPr>
              <w:t xml:space="preserve">4497</w:t>
            </w:r>
          </w:p>
        </w:tc>
        <w:tc>
          <w:tcPr>
            <w:tcW w:w="1303" w:type="dxa"/>
          </w:tcPr>
          <w:p>
            <w:pPr>
              <w:pStyle w:val="0"/>
              <w:jc w:val="center"/>
            </w:pPr>
            <w:r>
              <w:rPr>
                <w:sz w:val="20"/>
              </w:rPr>
              <w:t xml:space="preserve">4329</w:t>
            </w:r>
          </w:p>
        </w:tc>
        <w:tc>
          <w:tcPr>
            <w:tcW w:w="1247" w:type="dxa"/>
          </w:tcPr>
          <w:p>
            <w:pPr>
              <w:pStyle w:val="0"/>
              <w:jc w:val="center"/>
            </w:pPr>
            <w:r>
              <w:rPr>
                <w:sz w:val="20"/>
              </w:rPr>
              <w:t xml:space="preserve">4524</w:t>
            </w:r>
          </w:p>
        </w:tc>
        <w:tc>
          <w:tcPr>
            <w:tcW w:w="1304" w:type="dxa"/>
          </w:tcPr>
          <w:p>
            <w:pPr>
              <w:pStyle w:val="0"/>
              <w:jc w:val="center"/>
            </w:pPr>
            <w:r>
              <w:rPr>
                <w:sz w:val="20"/>
              </w:rPr>
              <w:t xml:space="preserve">4406</w:t>
            </w:r>
          </w:p>
        </w:tc>
      </w:tr>
    </w:tbl>
    <w:p>
      <w:pPr>
        <w:pStyle w:val="0"/>
        <w:jc w:val="center"/>
      </w:pPr>
      <w:r>
        <w:rPr>
          <w:sz w:val="20"/>
        </w:rPr>
      </w:r>
    </w:p>
    <w:p>
      <w:pPr>
        <w:pStyle w:val="0"/>
        <w:outlineLvl w:val="4"/>
        <w:jc w:val="right"/>
      </w:pPr>
      <w:r>
        <w:rPr>
          <w:sz w:val="20"/>
        </w:rPr>
        <w:t xml:space="preserve">Таблица 3</w:t>
      </w:r>
    </w:p>
    <w:p>
      <w:pPr>
        <w:pStyle w:val="0"/>
        <w:jc w:val="center"/>
      </w:pPr>
      <w:r>
        <w:rPr>
          <w:sz w:val="20"/>
        </w:rPr>
      </w:r>
    </w:p>
    <w:p>
      <w:pPr>
        <w:pStyle w:val="2"/>
        <w:jc w:val="center"/>
      </w:pPr>
      <w:r>
        <w:rPr>
          <w:sz w:val="20"/>
        </w:rPr>
        <w:t xml:space="preserve">Основные показатели перинатальной, младенческой, детской</w:t>
      </w:r>
    </w:p>
    <w:p>
      <w:pPr>
        <w:pStyle w:val="2"/>
        <w:jc w:val="center"/>
      </w:pPr>
      <w:r>
        <w:rPr>
          <w:sz w:val="20"/>
        </w:rPr>
        <w:t xml:space="preserve">смертности в субъекте Российской Федерации</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68"/>
        <w:gridCol w:w="850"/>
        <w:gridCol w:w="1134"/>
        <w:gridCol w:w="850"/>
        <w:gridCol w:w="1134"/>
        <w:gridCol w:w="850"/>
        <w:gridCol w:w="1133"/>
        <w:gridCol w:w="850"/>
        <w:gridCol w:w="1133"/>
        <w:gridCol w:w="850"/>
        <w:gridCol w:w="1133"/>
      </w:tblGrid>
      <w:tr>
        <w:tc>
          <w:tcPr>
            <w:tcW w:w="3668" w:type="dxa"/>
            <w:vMerge w:val="restart"/>
          </w:tcPr>
          <w:p>
            <w:pPr>
              <w:pStyle w:val="0"/>
              <w:jc w:val="center"/>
            </w:pPr>
            <w:r>
              <w:rPr>
                <w:sz w:val="20"/>
              </w:rPr>
              <w:t xml:space="preserve">Наименование показателей смертности</w:t>
            </w:r>
          </w:p>
        </w:tc>
        <w:tc>
          <w:tcPr>
            <w:gridSpan w:val="2"/>
            <w:tcW w:w="1984" w:type="dxa"/>
          </w:tcPr>
          <w:p>
            <w:pPr>
              <w:pStyle w:val="0"/>
              <w:jc w:val="center"/>
            </w:pPr>
            <w:r>
              <w:rPr>
                <w:sz w:val="20"/>
              </w:rPr>
              <w:t xml:space="preserve">2018</w:t>
            </w:r>
          </w:p>
        </w:tc>
        <w:tc>
          <w:tcPr>
            <w:gridSpan w:val="2"/>
            <w:tcW w:w="1984" w:type="dxa"/>
          </w:tcPr>
          <w:p>
            <w:pPr>
              <w:pStyle w:val="0"/>
              <w:jc w:val="center"/>
            </w:pPr>
            <w:r>
              <w:rPr>
                <w:sz w:val="20"/>
              </w:rPr>
              <w:t xml:space="preserve">2019</w:t>
            </w:r>
          </w:p>
        </w:tc>
        <w:tc>
          <w:tcPr>
            <w:gridSpan w:val="2"/>
            <w:tcW w:w="1983" w:type="dxa"/>
          </w:tcPr>
          <w:p>
            <w:pPr>
              <w:pStyle w:val="0"/>
              <w:jc w:val="center"/>
            </w:pPr>
            <w:r>
              <w:rPr>
                <w:sz w:val="20"/>
              </w:rPr>
              <w:t xml:space="preserve">2020</w:t>
            </w:r>
          </w:p>
        </w:tc>
        <w:tc>
          <w:tcPr>
            <w:gridSpan w:val="2"/>
            <w:tcW w:w="1983" w:type="dxa"/>
          </w:tcPr>
          <w:p>
            <w:pPr>
              <w:pStyle w:val="0"/>
              <w:jc w:val="center"/>
            </w:pPr>
            <w:r>
              <w:rPr>
                <w:sz w:val="20"/>
              </w:rPr>
              <w:t xml:space="preserve">2021</w:t>
            </w:r>
          </w:p>
        </w:tc>
        <w:tc>
          <w:tcPr>
            <w:gridSpan w:val="2"/>
            <w:tcW w:w="1983" w:type="dxa"/>
          </w:tcPr>
          <w:p>
            <w:pPr>
              <w:pStyle w:val="0"/>
              <w:jc w:val="center"/>
            </w:pPr>
            <w:r>
              <w:rPr>
                <w:sz w:val="20"/>
              </w:rPr>
              <w:t xml:space="preserve">Оперативные данные (9 мес. 2022 г.)</w:t>
            </w:r>
          </w:p>
        </w:tc>
      </w:tr>
      <w:tr>
        <w:tc>
          <w:tcPr>
            <w:vMerge w:val="continue"/>
          </w:tcPr>
          <w:p/>
        </w:tc>
        <w:tc>
          <w:tcPr>
            <w:tcW w:w="850" w:type="dxa"/>
          </w:tcPr>
          <w:p>
            <w:pPr>
              <w:pStyle w:val="0"/>
              <w:jc w:val="center"/>
            </w:pPr>
            <w:r>
              <w:rPr>
                <w:sz w:val="20"/>
              </w:rPr>
              <w:t xml:space="preserve">абс.</w:t>
            </w:r>
          </w:p>
        </w:tc>
        <w:tc>
          <w:tcPr>
            <w:tcW w:w="1134" w:type="dxa"/>
          </w:tcPr>
          <w:p>
            <w:pPr>
              <w:pStyle w:val="0"/>
              <w:jc w:val="center"/>
            </w:pPr>
            <w:r>
              <w:rPr>
                <w:sz w:val="20"/>
              </w:rPr>
              <w:t xml:space="preserve">показ.</w:t>
            </w:r>
          </w:p>
        </w:tc>
        <w:tc>
          <w:tcPr>
            <w:tcW w:w="850" w:type="dxa"/>
          </w:tcPr>
          <w:p>
            <w:pPr>
              <w:pStyle w:val="0"/>
              <w:jc w:val="center"/>
            </w:pPr>
            <w:r>
              <w:rPr>
                <w:sz w:val="20"/>
              </w:rPr>
              <w:t xml:space="preserve">абс.</w:t>
            </w:r>
          </w:p>
        </w:tc>
        <w:tc>
          <w:tcPr>
            <w:tcW w:w="1134" w:type="dxa"/>
          </w:tcPr>
          <w:p>
            <w:pPr>
              <w:pStyle w:val="0"/>
              <w:jc w:val="center"/>
            </w:pPr>
            <w:r>
              <w:rPr>
                <w:sz w:val="20"/>
              </w:rPr>
              <w:t xml:space="preserve">показ.</w:t>
            </w:r>
          </w:p>
        </w:tc>
        <w:tc>
          <w:tcPr>
            <w:tcW w:w="850" w:type="dxa"/>
          </w:tcPr>
          <w:p>
            <w:pPr>
              <w:pStyle w:val="0"/>
              <w:jc w:val="center"/>
            </w:pPr>
            <w:r>
              <w:rPr>
                <w:sz w:val="20"/>
              </w:rPr>
              <w:t xml:space="preserve">абс.</w:t>
            </w:r>
          </w:p>
        </w:tc>
        <w:tc>
          <w:tcPr>
            <w:tcW w:w="1133" w:type="dxa"/>
          </w:tcPr>
          <w:p>
            <w:pPr>
              <w:pStyle w:val="0"/>
              <w:jc w:val="center"/>
            </w:pPr>
            <w:r>
              <w:rPr>
                <w:sz w:val="20"/>
              </w:rPr>
              <w:t xml:space="preserve">показ.</w:t>
            </w:r>
          </w:p>
        </w:tc>
        <w:tc>
          <w:tcPr>
            <w:tcW w:w="850" w:type="dxa"/>
          </w:tcPr>
          <w:p>
            <w:pPr>
              <w:pStyle w:val="0"/>
              <w:jc w:val="center"/>
            </w:pPr>
            <w:r>
              <w:rPr>
                <w:sz w:val="20"/>
              </w:rPr>
              <w:t xml:space="preserve">абс.</w:t>
            </w:r>
          </w:p>
        </w:tc>
        <w:tc>
          <w:tcPr>
            <w:tcW w:w="1133" w:type="dxa"/>
          </w:tcPr>
          <w:p>
            <w:pPr>
              <w:pStyle w:val="0"/>
              <w:jc w:val="center"/>
            </w:pPr>
            <w:r>
              <w:rPr>
                <w:sz w:val="20"/>
              </w:rPr>
              <w:t xml:space="preserve">показ.</w:t>
            </w:r>
          </w:p>
        </w:tc>
        <w:tc>
          <w:tcPr>
            <w:tcW w:w="850" w:type="dxa"/>
          </w:tcPr>
          <w:p>
            <w:pPr>
              <w:pStyle w:val="0"/>
              <w:jc w:val="center"/>
            </w:pPr>
            <w:r>
              <w:rPr>
                <w:sz w:val="20"/>
              </w:rPr>
              <w:t xml:space="preserve">абс.</w:t>
            </w:r>
          </w:p>
        </w:tc>
        <w:tc>
          <w:tcPr>
            <w:tcW w:w="1133" w:type="dxa"/>
          </w:tcPr>
          <w:p>
            <w:pPr>
              <w:pStyle w:val="0"/>
              <w:jc w:val="center"/>
            </w:pPr>
            <w:r>
              <w:rPr>
                <w:sz w:val="20"/>
              </w:rPr>
              <w:t xml:space="preserve">показ.</w:t>
            </w:r>
          </w:p>
        </w:tc>
      </w:tr>
      <w:tr>
        <w:tc>
          <w:tcPr>
            <w:tcW w:w="3668" w:type="dxa"/>
          </w:tcPr>
          <w:p>
            <w:pPr>
              <w:pStyle w:val="0"/>
              <w:jc w:val="both"/>
            </w:pPr>
            <w:r>
              <w:rPr>
                <w:sz w:val="20"/>
              </w:rPr>
              <w:t xml:space="preserve">Перинатальная смертность</w:t>
            </w:r>
          </w:p>
        </w:tc>
        <w:tc>
          <w:tcPr>
            <w:tcW w:w="850" w:type="dxa"/>
          </w:tcPr>
          <w:p>
            <w:pPr>
              <w:pStyle w:val="0"/>
              <w:jc w:val="center"/>
            </w:pPr>
            <w:r>
              <w:rPr>
                <w:sz w:val="20"/>
              </w:rPr>
              <w:t xml:space="preserve">21</w:t>
            </w:r>
          </w:p>
        </w:tc>
        <w:tc>
          <w:tcPr>
            <w:tcW w:w="1134" w:type="dxa"/>
          </w:tcPr>
          <w:p>
            <w:pPr>
              <w:pStyle w:val="0"/>
              <w:jc w:val="center"/>
            </w:pPr>
            <w:r>
              <w:rPr>
                <w:sz w:val="20"/>
              </w:rPr>
              <w:t xml:space="preserve">4,65</w:t>
            </w:r>
          </w:p>
        </w:tc>
        <w:tc>
          <w:tcPr>
            <w:tcW w:w="850" w:type="dxa"/>
          </w:tcPr>
          <w:p>
            <w:pPr>
              <w:pStyle w:val="0"/>
              <w:jc w:val="center"/>
            </w:pPr>
            <w:r>
              <w:rPr>
                <w:sz w:val="20"/>
              </w:rPr>
              <w:t xml:space="preserve">20</w:t>
            </w:r>
          </w:p>
        </w:tc>
        <w:tc>
          <w:tcPr>
            <w:tcW w:w="1134" w:type="dxa"/>
          </w:tcPr>
          <w:p>
            <w:pPr>
              <w:pStyle w:val="0"/>
              <w:jc w:val="center"/>
            </w:pPr>
            <w:r>
              <w:rPr>
                <w:sz w:val="20"/>
              </w:rPr>
              <w:t xml:space="preserve">4,67</w:t>
            </w:r>
          </w:p>
        </w:tc>
        <w:tc>
          <w:tcPr>
            <w:tcW w:w="850" w:type="dxa"/>
          </w:tcPr>
          <w:p>
            <w:pPr>
              <w:pStyle w:val="0"/>
              <w:jc w:val="center"/>
            </w:pPr>
            <w:r>
              <w:rPr>
                <w:sz w:val="20"/>
              </w:rPr>
              <w:t xml:space="preserve">30</w:t>
            </w:r>
          </w:p>
        </w:tc>
        <w:tc>
          <w:tcPr>
            <w:tcW w:w="1133" w:type="dxa"/>
          </w:tcPr>
          <w:p>
            <w:pPr>
              <w:pStyle w:val="0"/>
              <w:jc w:val="center"/>
            </w:pPr>
            <w:r>
              <w:rPr>
                <w:sz w:val="20"/>
              </w:rPr>
              <w:t xml:space="preserve">7,06</w:t>
            </w:r>
          </w:p>
        </w:tc>
        <w:tc>
          <w:tcPr>
            <w:tcW w:w="850" w:type="dxa"/>
          </w:tcPr>
          <w:p>
            <w:pPr>
              <w:pStyle w:val="0"/>
              <w:jc w:val="center"/>
            </w:pPr>
            <w:r>
              <w:rPr>
                <w:sz w:val="20"/>
              </w:rPr>
              <w:t xml:space="preserve">26</w:t>
            </w:r>
          </w:p>
        </w:tc>
        <w:tc>
          <w:tcPr>
            <w:tcW w:w="1133" w:type="dxa"/>
          </w:tcPr>
          <w:p>
            <w:pPr>
              <w:pStyle w:val="0"/>
              <w:jc w:val="center"/>
            </w:pPr>
            <w:r>
              <w:rPr>
                <w:sz w:val="20"/>
              </w:rPr>
              <w:t xml:space="preserve">6,11</w:t>
            </w:r>
          </w:p>
        </w:tc>
        <w:tc>
          <w:tcPr>
            <w:tcW w:w="850" w:type="dxa"/>
          </w:tcPr>
          <w:p>
            <w:pPr>
              <w:pStyle w:val="0"/>
              <w:jc w:val="center"/>
            </w:pPr>
            <w:r>
              <w:rPr>
                <w:sz w:val="20"/>
              </w:rPr>
              <w:t xml:space="preserve">21</w:t>
            </w:r>
          </w:p>
        </w:tc>
        <w:tc>
          <w:tcPr>
            <w:tcW w:w="1133" w:type="dxa"/>
          </w:tcPr>
          <w:p>
            <w:pPr>
              <w:pStyle w:val="0"/>
              <w:jc w:val="center"/>
            </w:pPr>
            <w:r>
              <w:rPr>
                <w:sz w:val="20"/>
              </w:rPr>
              <w:t xml:space="preserve">6,69</w:t>
            </w:r>
          </w:p>
        </w:tc>
      </w:tr>
      <w:tr>
        <w:tc>
          <w:tcPr>
            <w:tcW w:w="3668" w:type="dxa"/>
          </w:tcPr>
          <w:p>
            <w:pPr>
              <w:pStyle w:val="0"/>
              <w:jc w:val="both"/>
            </w:pPr>
            <w:r>
              <w:rPr>
                <w:sz w:val="20"/>
              </w:rPr>
              <w:t xml:space="preserve">Неонатальная смертность</w:t>
            </w:r>
          </w:p>
        </w:tc>
        <w:tc>
          <w:tcPr>
            <w:tcW w:w="850" w:type="dxa"/>
          </w:tcPr>
          <w:p>
            <w:pPr>
              <w:pStyle w:val="0"/>
              <w:jc w:val="center"/>
            </w:pPr>
            <w:r>
              <w:rPr>
                <w:sz w:val="20"/>
              </w:rPr>
              <w:t xml:space="preserve">6</w:t>
            </w:r>
          </w:p>
        </w:tc>
        <w:tc>
          <w:tcPr>
            <w:tcW w:w="1134" w:type="dxa"/>
          </w:tcPr>
          <w:p>
            <w:pPr>
              <w:pStyle w:val="0"/>
              <w:jc w:val="center"/>
            </w:pPr>
            <w:r>
              <w:rPr>
                <w:sz w:val="20"/>
              </w:rPr>
              <w:t xml:space="preserve">1,34</w:t>
            </w:r>
          </w:p>
        </w:tc>
        <w:tc>
          <w:tcPr>
            <w:tcW w:w="850" w:type="dxa"/>
          </w:tcPr>
          <w:p>
            <w:pPr>
              <w:pStyle w:val="0"/>
              <w:jc w:val="center"/>
            </w:pPr>
            <w:r>
              <w:rPr>
                <w:sz w:val="20"/>
              </w:rPr>
              <w:t xml:space="preserve">6</w:t>
            </w:r>
          </w:p>
        </w:tc>
        <w:tc>
          <w:tcPr>
            <w:tcW w:w="1134" w:type="dxa"/>
          </w:tcPr>
          <w:p>
            <w:pPr>
              <w:pStyle w:val="0"/>
              <w:jc w:val="center"/>
            </w:pPr>
            <w:r>
              <w:rPr>
                <w:sz w:val="20"/>
              </w:rPr>
              <w:t xml:space="preserve">1,41</w:t>
            </w:r>
          </w:p>
        </w:tc>
        <w:tc>
          <w:tcPr>
            <w:tcW w:w="850" w:type="dxa"/>
          </w:tcPr>
          <w:p>
            <w:pPr>
              <w:pStyle w:val="0"/>
              <w:jc w:val="center"/>
            </w:pPr>
            <w:r>
              <w:rPr>
                <w:sz w:val="20"/>
              </w:rPr>
              <w:t xml:space="preserve">11</w:t>
            </w:r>
          </w:p>
        </w:tc>
        <w:tc>
          <w:tcPr>
            <w:tcW w:w="1133" w:type="dxa"/>
          </w:tcPr>
          <w:p>
            <w:pPr>
              <w:pStyle w:val="0"/>
              <w:jc w:val="center"/>
            </w:pPr>
            <w:r>
              <w:rPr>
                <w:sz w:val="20"/>
              </w:rPr>
              <w:t xml:space="preserve">2,6</w:t>
            </w:r>
          </w:p>
        </w:tc>
        <w:tc>
          <w:tcPr>
            <w:tcW w:w="850" w:type="dxa"/>
          </w:tcPr>
          <w:p>
            <w:pPr>
              <w:pStyle w:val="0"/>
              <w:jc w:val="center"/>
            </w:pPr>
            <w:r>
              <w:rPr>
                <w:sz w:val="20"/>
              </w:rPr>
              <w:t xml:space="preserve">11</w:t>
            </w:r>
          </w:p>
        </w:tc>
        <w:tc>
          <w:tcPr>
            <w:tcW w:w="1133" w:type="dxa"/>
          </w:tcPr>
          <w:p>
            <w:pPr>
              <w:pStyle w:val="0"/>
              <w:jc w:val="center"/>
            </w:pPr>
            <w:r>
              <w:rPr>
                <w:sz w:val="20"/>
              </w:rPr>
              <w:t xml:space="preserve">2,6</w:t>
            </w:r>
          </w:p>
        </w:tc>
        <w:tc>
          <w:tcPr>
            <w:tcW w:w="850" w:type="dxa"/>
          </w:tcPr>
          <w:p>
            <w:pPr>
              <w:pStyle w:val="0"/>
              <w:jc w:val="center"/>
            </w:pPr>
            <w:r>
              <w:rPr>
                <w:sz w:val="20"/>
              </w:rPr>
              <w:t xml:space="preserve">11</w:t>
            </w:r>
          </w:p>
        </w:tc>
        <w:tc>
          <w:tcPr>
            <w:tcW w:w="1133" w:type="dxa"/>
          </w:tcPr>
          <w:p>
            <w:pPr>
              <w:pStyle w:val="0"/>
              <w:jc w:val="center"/>
            </w:pPr>
            <w:r>
              <w:rPr>
                <w:sz w:val="20"/>
              </w:rPr>
              <w:t xml:space="preserve">3, 66</w:t>
            </w:r>
          </w:p>
        </w:tc>
      </w:tr>
      <w:tr>
        <w:tc>
          <w:tcPr>
            <w:tcW w:w="3668" w:type="dxa"/>
          </w:tcPr>
          <w:p>
            <w:pPr>
              <w:pStyle w:val="0"/>
              <w:jc w:val="both"/>
            </w:pPr>
            <w:r>
              <w:rPr>
                <w:sz w:val="20"/>
              </w:rPr>
              <w:t xml:space="preserve">Ранняя неонатальная смертность</w:t>
            </w:r>
          </w:p>
        </w:tc>
        <w:tc>
          <w:tcPr>
            <w:tcW w:w="850" w:type="dxa"/>
          </w:tcPr>
          <w:p>
            <w:pPr>
              <w:pStyle w:val="0"/>
              <w:jc w:val="center"/>
            </w:pPr>
            <w:r>
              <w:rPr>
                <w:sz w:val="20"/>
              </w:rPr>
              <w:t xml:space="preserve">2</w:t>
            </w:r>
          </w:p>
        </w:tc>
        <w:tc>
          <w:tcPr>
            <w:tcW w:w="1134" w:type="dxa"/>
          </w:tcPr>
          <w:p>
            <w:pPr>
              <w:pStyle w:val="0"/>
              <w:jc w:val="center"/>
            </w:pPr>
            <w:r>
              <w:rPr>
                <w:sz w:val="20"/>
              </w:rPr>
              <w:t xml:space="preserve">0,45</w:t>
            </w:r>
          </w:p>
        </w:tc>
        <w:tc>
          <w:tcPr>
            <w:tcW w:w="850" w:type="dxa"/>
          </w:tcPr>
          <w:p>
            <w:pPr>
              <w:pStyle w:val="0"/>
              <w:jc w:val="center"/>
            </w:pPr>
            <w:r>
              <w:rPr>
                <w:sz w:val="20"/>
              </w:rPr>
              <w:t xml:space="preserve">2</w:t>
            </w:r>
          </w:p>
        </w:tc>
        <w:tc>
          <w:tcPr>
            <w:tcW w:w="1134" w:type="dxa"/>
          </w:tcPr>
          <w:p>
            <w:pPr>
              <w:pStyle w:val="0"/>
              <w:jc w:val="center"/>
            </w:pPr>
            <w:r>
              <w:rPr>
                <w:sz w:val="20"/>
              </w:rPr>
              <w:t xml:space="preserve">0,47</w:t>
            </w:r>
          </w:p>
        </w:tc>
        <w:tc>
          <w:tcPr>
            <w:tcW w:w="850" w:type="dxa"/>
          </w:tcPr>
          <w:p>
            <w:pPr>
              <w:pStyle w:val="0"/>
              <w:jc w:val="center"/>
            </w:pPr>
            <w:r>
              <w:rPr>
                <w:sz w:val="20"/>
              </w:rPr>
              <w:t xml:space="preserve">7</w:t>
            </w:r>
          </w:p>
        </w:tc>
        <w:tc>
          <w:tcPr>
            <w:tcW w:w="1133" w:type="dxa"/>
          </w:tcPr>
          <w:p>
            <w:pPr>
              <w:pStyle w:val="0"/>
              <w:jc w:val="center"/>
            </w:pPr>
            <w:r>
              <w:rPr>
                <w:sz w:val="20"/>
              </w:rPr>
              <w:t xml:space="preserve">1,66</w:t>
            </w:r>
          </w:p>
        </w:tc>
        <w:tc>
          <w:tcPr>
            <w:tcW w:w="850" w:type="dxa"/>
          </w:tcPr>
          <w:p>
            <w:pPr>
              <w:pStyle w:val="0"/>
              <w:jc w:val="center"/>
            </w:pPr>
            <w:r>
              <w:rPr>
                <w:sz w:val="20"/>
              </w:rPr>
              <w:t xml:space="preserve">4</w:t>
            </w:r>
          </w:p>
        </w:tc>
        <w:tc>
          <w:tcPr>
            <w:tcW w:w="1133" w:type="dxa"/>
          </w:tcPr>
          <w:p>
            <w:pPr>
              <w:pStyle w:val="0"/>
              <w:jc w:val="center"/>
            </w:pPr>
            <w:r>
              <w:rPr>
                <w:sz w:val="20"/>
              </w:rPr>
              <w:t xml:space="preserve">0,94</w:t>
            </w:r>
          </w:p>
        </w:tc>
        <w:tc>
          <w:tcPr>
            <w:tcW w:w="850" w:type="dxa"/>
          </w:tcPr>
          <w:p>
            <w:pPr>
              <w:pStyle w:val="0"/>
              <w:jc w:val="center"/>
            </w:pPr>
            <w:r>
              <w:rPr>
                <w:sz w:val="20"/>
              </w:rPr>
              <w:t xml:space="preserve">8</w:t>
            </w:r>
          </w:p>
        </w:tc>
        <w:tc>
          <w:tcPr>
            <w:tcW w:w="1133" w:type="dxa"/>
          </w:tcPr>
          <w:p>
            <w:pPr>
              <w:pStyle w:val="0"/>
              <w:jc w:val="center"/>
            </w:pPr>
            <w:r>
              <w:rPr>
                <w:sz w:val="20"/>
              </w:rPr>
              <w:t xml:space="preserve">2,66</w:t>
            </w:r>
          </w:p>
        </w:tc>
      </w:tr>
      <w:tr>
        <w:tc>
          <w:tcPr>
            <w:tcW w:w="3668" w:type="dxa"/>
          </w:tcPr>
          <w:p>
            <w:pPr>
              <w:pStyle w:val="0"/>
              <w:jc w:val="both"/>
            </w:pPr>
            <w:r>
              <w:rPr>
                <w:sz w:val="20"/>
              </w:rPr>
              <w:t xml:space="preserve">Младенческая смертность</w:t>
            </w:r>
          </w:p>
        </w:tc>
        <w:tc>
          <w:tcPr>
            <w:tcW w:w="850" w:type="dxa"/>
          </w:tcPr>
          <w:p>
            <w:pPr>
              <w:pStyle w:val="0"/>
              <w:jc w:val="center"/>
            </w:pPr>
            <w:r>
              <w:rPr>
                <w:sz w:val="20"/>
              </w:rPr>
              <w:t xml:space="preserve">13</w:t>
            </w:r>
          </w:p>
        </w:tc>
        <w:tc>
          <w:tcPr>
            <w:tcW w:w="1134" w:type="dxa"/>
          </w:tcPr>
          <w:p>
            <w:pPr>
              <w:pStyle w:val="0"/>
              <w:jc w:val="center"/>
            </w:pPr>
            <w:r>
              <w:rPr>
                <w:sz w:val="20"/>
              </w:rPr>
              <w:t xml:space="preserve">2,8</w:t>
            </w:r>
          </w:p>
        </w:tc>
        <w:tc>
          <w:tcPr>
            <w:tcW w:w="850" w:type="dxa"/>
          </w:tcPr>
          <w:p>
            <w:pPr>
              <w:pStyle w:val="0"/>
              <w:jc w:val="center"/>
            </w:pPr>
            <w:r>
              <w:rPr>
                <w:sz w:val="20"/>
              </w:rPr>
              <w:t xml:space="preserve">15</w:t>
            </w:r>
          </w:p>
        </w:tc>
        <w:tc>
          <w:tcPr>
            <w:tcW w:w="1134" w:type="dxa"/>
          </w:tcPr>
          <w:p>
            <w:pPr>
              <w:pStyle w:val="0"/>
              <w:jc w:val="center"/>
            </w:pPr>
            <w:r>
              <w:rPr>
                <w:sz w:val="20"/>
              </w:rPr>
              <w:t xml:space="preserve">3,4</w:t>
            </w:r>
          </w:p>
        </w:tc>
        <w:tc>
          <w:tcPr>
            <w:tcW w:w="850" w:type="dxa"/>
          </w:tcPr>
          <w:p>
            <w:pPr>
              <w:pStyle w:val="0"/>
              <w:jc w:val="center"/>
            </w:pPr>
            <w:r>
              <w:rPr>
                <w:sz w:val="20"/>
              </w:rPr>
              <w:t xml:space="preserve">15</w:t>
            </w:r>
          </w:p>
        </w:tc>
        <w:tc>
          <w:tcPr>
            <w:tcW w:w="1133" w:type="dxa"/>
          </w:tcPr>
          <w:p>
            <w:pPr>
              <w:pStyle w:val="0"/>
              <w:jc w:val="center"/>
            </w:pPr>
            <w:r>
              <w:rPr>
                <w:sz w:val="20"/>
              </w:rPr>
              <w:t xml:space="preserve">3,5</w:t>
            </w:r>
          </w:p>
        </w:tc>
        <w:tc>
          <w:tcPr>
            <w:tcW w:w="850" w:type="dxa"/>
          </w:tcPr>
          <w:p>
            <w:pPr>
              <w:pStyle w:val="0"/>
              <w:jc w:val="center"/>
            </w:pPr>
            <w:r>
              <w:rPr>
                <w:sz w:val="20"/>
              </w:rPr>
              <w:t xml:space="preserve">20</w:t>
            </w:r>
          </w:p>
        </w:tc>
        <w:tc>
          <w:tcPr>
            <w:tcW w:w="1133" w:type="dxa"/>
          </w:tcPr>
          <w:p>
            <w:pPr>
              <w:pStyle w:val="0"/>
              <w:jc w:val="center"/>
            </w:pPr>
            <w:r>
              <w:rPr>
                <w:sz w:val="20"/>
              </w:rPr>
              <w:t xml:space="preserve">4,7</w:t>
            </w:r>
          </w:p>
        </w:tc>
        <w:tc>
          <w:tcPr>
            <w:tcW w:w="850" w:type="dxa"/>
          </w:tcPr>
          <w:p>
            <w:pPr>
              <w:pStyle w:val="0"/>
              <w:jc w:val="center"/>
            </w:pPr>
            <w:r>
              <w:rPr>
                <w:sz w:val="20"/>
              </w:rPr>
              <w:t xml:space="preserve">11</w:t>
            </w:r>
          </w:p>
        </w:tc>
        <w:tc>
          <w:tcPr>
            <w:tcW w:w="1133" w:type="dxa"/>
          </w:tcPr>
          <w:p>
            <w:pPr>
              <w:pStyle w:val="0"/>
              <w:jc w:val="center"/>
            </w:pPr>
            <w:r>
              <w:rPr>
                <w:sz w:val="20"/>
              </w:rPr>
              <w:t xml:space="preserve">3,8</w:t>
            </w:r>
          </w:p>
        </w:tc>
      </w:tr>
    </w:tbl>
    <w:p>
      <w:pPr>
        <w:pStyle w:val="0"/>
        <w:ind w:firstLine="540"/>
        <w:jc w:val="both"/>
      </w:pPr>
      <w:r>
        <w:rPr>
          <w:sz w:val="20"/>
        </w:rPr>
      </w:r>
    </w:p>
    <w:p>
      <w:pPr>
        <w:pStyle w:val="0"/>
        <w:outlineLvl w:val="4"/>
        <w:jc w:val="right"/>
      </w:pPr>
      <w:r>
        <w:rPr>
          <w:sz w:val="20"/>
        </w:rPr>
        <w:t xml:space="preserve">Таблица 4</w:t>
      </w:r>
    </w:p>
    <w:p>
      <w:pPr>
        <w:pStyle w:val="0"/>
      </w:pPr>
      <w:r>
        <w:rPr>
          <w:sz w:val="20"/>
        </w:rPr>
      </w:r>
    </w:p>
    <w:p>
      <w:pPr>
        <w:pStyle w:val="2"/>
        <w:jc w:val="center"/>
      </w:pPr>
      <w:r>
        <w:rPr>
          <w:sz w:val="20"/>
        </w:rPr>
        <w:t xml:space="preserve">Структура младенческой смертности в субъекте</w:t>
      </w:r>
    </w:p>
    <w:p>
      <w:pPr>
        <w:pStyle w:val="2"/>
        <w:jc w:val="center"/>
      </w:pPr>
      <w:r>
        <w:rPr>
          <w:sz w:val="20"/>
        </w:rPr>
        <w:t xml:space="preserve">Российской Федерации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850"/>
        <w:gridCol w:w="964"/>
        <w:gridCol w:w="850"/>
        <w:gridCol w:w="964"/>
        <w:gridCol w:w="862"/>
        <w:gridCol w:w="964"/>
        <w:gridCol w:w="850"/>
        <w:gridCol w:w="963"/>
        <w:gridCol w:w="850"/>
        <w:gridCol w:w="954"/>
      </w:tblGrid>
      <w:tr>
        <w:tc>
          <w:tcPr>
            <w:tcW w:w="4535" w:type="dxa"/>
            <w:vMerge w:val="restart"/>
          </w:tcPr>
          <w:p>
            <w:pPr>
              <w:pStyle w:val="0"/>
              <w:jc w:val="center"/>
            </w:pPr>
            <w:r>
              <w:rPr>
                <w:sz w:val="20"/>
              </w:rPr>
              <w:t xml:space="preserve">Структура младенческой смертности</w:t>
            </w:r>
          </w:p>
        </w:tc>
        <w:tc>
          <w:tcPr>
            <w:gridSpan w:val="2"/>
            <w:tcW w:w="1814" w:type="dxa"/>
          </w:tcPr>
          <w:p>
            <w:pPr>
              <w:pStyle w:val="0"/>
              <w:jc w:val="center"/>
            </w:pPr>
            <w:r>
              <w:rPr>
                <w:sz w:val="20"/>
              </w:rPr>
              <w:t xml:space="preserve">2018</w:t>
            </w:r>
          </w:p>
        </w:tc>
        <w:tc>
          <w:tcPr>
            <w:gridSpan w:val="2"/>
            <w:tcW w:w="1814" w:type="dxa"/>
          </w:tcPr>
          <w:p>
            <w:pPr>
              <w:pStyle w:val="0"/>
              <w:jc w:val="center"/>
            </w:pPr>
            <w:r>
              <w:rPr>
                <w:sz w:val="20"/>
              </w:rPr>
              <w:t xml:space="preserve">2019</w:t>
            </w:r>
          </w:p>
        </w:tc>
        <w:tc>
          <w:tcPr>
            <w:gridSpan w:val="2"/>
            <w:tcW w:w="1826" w:type="dxa"/>
          </w:tcPr>
          <w:p>
            <w:pPr>
              <w:pStyle w:val="0"/>
              <w:jc w:val="center"/>
            </w:pPr>
            <w:r>
              <w:rPr>
                <w:sz w:val="20"/>
              </w:rPr>
              <w:t xml:space="preserve">2020</w:t>
            </w:r>
          </w:p>
        </w:tc>
        <w:tc>
          <w:tcPr>
            <w:gridSpan w:val="2"/>
            <w:tcW w:w="1813" w:type="dxa"/>
          </w:tcPr>
          <w:p>
            <w:pPr>
              <w:pStyle w:val="0"/>
              <w:jc w:val="center"/>
            </w:pPr>
            <w:r>
              <w:rPr>
                <w:sz w:val="20"/>
              </w:rPr>
              <w:t xml:space="preserve">2021</w:t>
            </w:r>
          </w:p>
        </w:tc>
        <w:tc>
          <w:tcPr>
            <w:gridSpan w:val="2"/>
            <w:tcW w:w="1804" w:type="dxa"/>
          </w:tcPr>
          <w:p>
            <w:pPr>
              <w:pStyle w:val="0"/>
              <w:jc w:val="center"/>
            </w:pPr>
            <w:r>
              <w:rPr>
                <w:sz w:val="20"/>
              </w:rPr>
              <w:t xml:space="preserve">Оперативные данные (9 мес. 2022 г.)</w:t>
            </w:r>
          </w:p>
        </w:tc>
      </w:tr>
      <w:tr>
        <w:tc>
          <w:tcPr>
            <w:vMerge w:val="continue"/>
          </w:tcPr>
          <w:p/>
        </w:tc>
        <w:tc>
          <w:tcPr>
            <w:tcW w:w="850" w:type="dxa"/>
          </w:tcPr>
          <w:p>
            <w:pPr>
              <w:pStyle w:val="0"/>
              <w:jc w:val="center"/>
            </w:pPr>
            <w:r>
              <w:rPr>
                <w:sz w:val="20"/>
              </w:rPr>
              <w:t xml:space="preserve">абс.</w:t>
            </w:r>
          </w:p>
        </w:tc>
        <w:tc>
          <w:tcPr>
            <w:tcW w:w="964" w:type="dxa"/>
          </w:tcPr>
          <w:p>
            <w:pPr>
              <w:pStyle w:val="0"/>
              <w:jc w:val="center"/>
            </w:pPr>
            <w:r>
              <w:rPr>
                <w:sz w:val="20"/>
              </w:rPr>
              <w:t xml:space="preserve">доля, %</w:t>
            </w:r>
          </w:p>
        </w:tc>
        <w:tc>
          <w:tcPr>
            <w:tcW w:w="850" w:type="dxa"/>
          </w:tcPr>
          <w:p>
            <w:pPr>
              <w:pStyle w:val="0"/>
              <w:jc w:val="center"/>
            </w:pPr>
            <w:r>
              <w:rPr>
                <w:sz w:val="20"/>
              </w:rPr>
              <w:t xml:space="preserve">абс.</w:t>
            </w:r>
          </w:p>
        </w:tc>
        <w:tc>
          <w:tcPr>
            <w:tcW w:w="964" w:type="dxa"/>
          </w:tcPr>
          <w:p>
            <w:pPr>
              <w:pStyle w:val="0"/>
              <w:jc w:val="center"/>
            </w:pPr>
            <w:r>
              <w:rPr>
                <w:sz w:val="20"/>
              </w:rPr>
              <w:t xml:space="preserve">доля, %</w:t>
            </w:r>
          </w:p>
        </w:tc>
        <w:tc>
          <w:tcPr>
            <w:tcW w:w="862" w:type="dxa"/>
          </w:tcPr>
          <w:p>
            <w:pPr>
              <w:pStyle w:val="0"/>
              <w:jc w:val="center"/>
            </w:pPr>
            <w:r>
              <w:rPr>
                <w:sz w:val="20"/>
              </w:rPr>
              <w:t xml:space="preserve">абс.</w:t>
            </w:r>
          </w:p>
        </w:tc>
        <w:tc>
          <w:tcPr>
            <w:tcW w:w="964" w:type="dxa"/>
          </w:tcPr>
          <w:p>
            <w:pPr>
              <w:pStyle w:val="0"/>
              <w:jc w:val="center"/>
            </w:pPr>
            <w:r>
              <w:rPr>
                <w:sz w:val="20"/>
              </w:rPr>
              <w:t xml:space="preserve">доля, %</w:t>
            </w:r>
          </w:p>
        </w:tc>
        <w:tc>
          <w:tcPr>
            <w:tcW w:w="850" w:type="dxa"/>
          </w:tcPr>
          <w:p>
            <w:pPr>
              <w:pStyle w:val="0"/>
              <w:jc w:val="center"/>
            </w:pPr>
            <w:r>
              <w:rPr>
                <w:sz w:val="20"/>
              </w:rPr>
              <w:t xml:space="preserve">абс.</w:t>
            </w:r>
          </w:p>
        </w:tc>
        <w:tc>
          <w:tcPr>
            <w:tcW w:w="963" w:type="dxa"/>
          </w:tcPr>
          <w:p>
            <w:pPr>
              <w:pStyle w:val="0"/>
              <w:jc w:val="center"/>
            </w:pPr>
            <w:r>
              <w:rPr>
                <w:sz w:val="20"/>
              </w:rPr>
              <w:t xml:space="preserve">доля, %</w:t>
            </w:r>
          </w:p>
        </w:tc>
        <w:tc>
          <w:tcPr>
            <w:tcW w:w="850" w:type="dxa"/>
          </w:tcPr>
          <w:p>
            <w:pPr>
              <w:pStyle w:val="0"/>
              <w:jc w:val="center"/>
            </w:pPr>
            <w:r>
              <w:rPr>
                <w:sz w:val="20"/>
              </w:rPr>
              <w:t xml:space="preserve">абс.</w:t>
            </w:r>
          </w:p>
        </w:tc>
        <w:tc>
          <w:tcPr>
            <w:tcW w:w="954" w:type="dxa"/>
          </w:tcPr>
          <w:p>
            <w:pPr>
              <w:pStyle w:val="0"/>
              <w:jc w:val="center"/>
            </w:pPr>
            <w:r>
              <w:rPr>
                <w:sz w:val="20"/>
              </w:rPr>
              <w:t xml:space="preserve">доля, %</w:t>
            </w:r>
          </w:p>
        </w:tc>
      </w:tr>
      <w:tr>
        <w:tc>
          <w:tcPr>
            <w:tcW w:w="4535" w:type="dxa"/>
          </w:tcPr>
          <w:p>
            <w:pPr>
              <w:pStyle w:val="0"/>
              <w:jc w:val="both"/>
            </w:pPr>
            <w:r>
              <w:rPr>
                <w:sz w:val="20"/>
              </w:rPr>
              <w:t xml:space="preserve">Всего умерших от всех причин, абс.</w:t>
            </w:r>
          </w:p>
        </w:tc>
        <w:tc>
          <w:tcPr>
            <w:tcW w:w="850" w:type="dxa"/>
          </w:tcPr>
          <w:p>
            <w:pPr>
              <w:pStyle w:val="0"/>
              <w:jc w:val="center"/>
            </w:pPr>
            <w:r>
              <w:rPr>
                <w:sz w:val="20"/>
              </w:rPr>
              <w:t xml:space="preserve">13</w:t>
            </w:r>
          </w:p>
        </w:tc>
        <w:tc>
          <w:tcPr>
            <w:tcW w:w="964" w:type="dxa"/>
          </w:tcPr>
          <w:p>
            <w:pPr>
              <w:pStyle w:val="0"/>
              <w:jc w:val="center"/>
            </w:pPr>
            <w:r>
              <w:rPr>
                <w:sz w:val="20"/>
              </w:rPr>
              <w:t xml:space="preserve">100%</w:t>
            </w:r>
          </w:p>
        </w:tc>
        <w:tc>
          <w:tcPr>
            <w:tcW w:w="850" w:type="dxa"/>
          </w:tcPr>
          <w:p>
            <w:pPr>
              <w:pStyle w:val="0"/>
              <w:jc w:val="center"/>
            </w:pPr>
            <w:r>
              <w:rPr>
                <w:sz w:val="20"/>
              </w:rPr>
              <w:t xml:space="preserve">15</w:t>
            </w:r>
          </w:p>
        </w:tc>
        <w:tc>
          <w:tcPr>
            <w:tcW w:w="964" w:type="dxa"/>
          </w:tcPr>
          <w:p>
            <w:pPr>
              <w:pStyle w:val="0"/>
              <w:jc w:val="center"/>
            </w:pPr>
            <w:r>
              <w:rPr>
                <w:sz w:val="20"/>
              </w:rPr>
              <w:t xml:space="preserve">100%</w:t>
            </w:r>
          </w:p>
        </w:tc>
        <w:tc>
          <w:tcPr>
            <w:tcW w:w="862" w:type="dxa"/>
          </w:tcPr>
          <w:p>
            <w:pPr>
              <w:pStyle w:val="0"/>
              <w:jc w:val="center"/>
            </w:pPr>
            <w:r>
              <w:rPr>
                <w:sz w:val="20"/>
              </w:rPr>
              <w:t xml:space="preserve">15</w:t>
            </w:r>
          </w:p>
        </w:tc>
        <w:tc>
          <w:tcPr>
            <w:tcW w:w="964" w:type="dxa"/>
          </w:tcPr>
          <w:p>
            <w:pPr>
              <w:pStyle w:val="0"/>
              <w:jc w:val="center"/>
            </w:pPr>
            <w:r>
              <w:rPr>
                <w:sz w:val="20"/>
              </w:rPr>
              <w:t xml:space="preserve">100%</w:t>
            </w:r>
          </w:p>
        </w:tc>
        <w:tc>
          <w:tcPr>
            <w:tcW w:w="850" w:type="dxa"/>
          </w:tcPr>
          <w:p>
            <w:pPr>
              <w:pStyle w:val="0"/>
              <w:jc w:val="center"/>
            </w:pPr>
            <w:r>
              <w:rPr>
                <w:sz w:val="20"/>
              </w:rPr>
              <w:t xml:space="preserve">20</w:t>
            </w:r>
          </w:p>
        </w:tc>
        <w:tc>
          <w:tcPr>
            <w:tcW w:w="963" w:type="dxa"/>
          </w:tcPr>
          <w:p>
            <w:pPr>
              <w:pStyle w:val="0"/>
              <w:jc w:val="center"/>
            </w:pPr>
            <w:r>
              <w:rPr>
                <w:sz w:val="20"/>
              </w:rPr>
              <w:t xml:space="preserve">100%</w:t>
            </w:r>
          </w:p>
        </w:tc>
        <w:tc>
          <w:tcPr>
            <w:tcW w:w="850" w:type="dxa"/>
          </w:tcPr>
          <w:p>
            <w:pPr>
              <w:pStyle w:val="0"/>
              <w:jc w:val="center"/>
            </w:pPr>
            <w:r>
              <w:rPr>
                <w:sz w:val="20"/>
              </w:rPr>
              <w:t xml:space="preserve">11</w:t>
            </w:r>
          </w:p>
        </w:tc>
        <w:tc>
          <w:tcPr>
            <w:tcW w:w="954" w:type="dxa"/>
          </w:tcPr>
          <w:p>
            <w:pPr>
              <w:pStyle w:val="0"/>
              <w:jc w:val="center"/>
            </w:pPr>
            <w:r>
              <w:rPr>
                <w:sz w:val="20"/>
              </w:rPr>
              <w:t xml:space="preserve">100%</w:t>
            </w:r>
          </w:p>
        </w:tc>
      </w:tr>
      <w:tr>
        <w:tc>
          <w:tcPr>
            <w:tcW w:w="4535" w:type="dxa"/>
          </w:tcPr>
          <w:p>
            <w:pPr>
              <w:pStyle w:val="0"/>
              <w:jc w:val="both"/>
            </w:pPr>
            <w:r>
              <w:rPr>
                <w:sz w:val="20"/>
              </w:rPr>
              <w:t xml:space="preserve">в том числе:</w:t>
            </w:r>
          </w:p>
        </w:tc>
        <w:tc>
          <w:tcPr>
            <w:tcW w:w="850" w:type="dxa"/>
          </w:tcPr>
          <w:p>
            <w:pPr>
              <w:pStyle w:val="0"/>
              <w:jc w:val="center"/>
            </w:pPr>
            <w:r>
              <w:rPr>
                <w:sz w:val="20"/>
              </w:rPr>
            </w:r>
          </w:p>
        </w:tc>
        <w:tc>
          <w:tcPr>
            <w:tcW w:w="964" w:type="dxa"/>
          </w:tcPr>
          <w:p>
            <w:pPr>
              <w:pStyle w:val="0"/>
              <w:jc w:val="center"/>
            </w:pPr>
            <w:r>
              <w:rPr>
                <w:sz w:val="20"/>
              </w:rPr>
            </w:r>
          </w:p>
        </w:tc>
        <w:tc>
          <w:tcPr>
            <w:tcW w:w="850" w:type="dxa"/>
          </w:tcPr>
          <w:p>
            <w:pPr>
              <w:pStyle w:val="0"/>
              <w:jc w:val="center"/>
            </w:pPr>
            <w:r>
              <w:rPr>
                <w:sz w:val="20"/>
              </w:rPr>
            </w:r>
          </w:p>
        </w:tc>
        <w:tc>
          <w:tcPr>
            <w:tcW w:w="964" w:type="dxa"/>
          </w:tcPr>
          <w:p>
            <w:pPr>
              <w:pStyle w:val="0"/>
              <w:jc w:val="center"/>
            </w:pPr>
            <w:r>
              <w:rPr>
                <w:sz w:val="20"/>
              </w:rPr>
            </w:r>
          </w:p>
        </w:tc>
        <w:tc>
          <w:tcPr>
            <w:tcW w:w="862" w:type="dxa"/>
          </w:tcPr>
          <w:p>
            <w:pPr>
              <w:pStyle w:val="0"/>
              <w:jc w:val="center"/>
            </w:pPr>
            <w:r>
              <w:rPr>
                <w:sz w:val="20"/>
              </w:rPr>
            </w:r>
          </w:p>
        </w:tc>
        <w:tc>
          <w:tcPr>
            <w:tcW w:w="964" w:type="dxa"/>
          </w:tcPr>
          <w:p>
            <w:pPr>
              <w:pStyle w:val="0"/>
              <w:jc w:val="center"/>
            </w:pPr>
            <w:r>
              <w:rPr>
                <w:sz w:val="20"/>
              </w:rPr>
            </w:r>
          </w:p>
        </w:tc>
        <w:tc>
          <w:tcPr>
            <w:tcW w:w="850" w:type="dxa"/>
          </w:tcPr>
          <w:p>
            <w:pPr>
              <w:pStyle w:val="0"/>
              <w:jc w:val="center"/>
            </w:pPr>
            <w:r>
              <w:rPr>
                <w:sz w:val="20"/>
              </w:rPr>
            </w:r>
          </w:p>
        </w:tc>
        <w:tc>
          <w:tcPr>
            <w:tcW w:w="963" w:type="dxa"/>
          </w:tcPr>
          <w:p>
            <w:pPr>
              <w:pStyle w:val="0"/>
              <w:jc w:val="center"/>
            </w:pPr>
            <w:r>
              <w:rPr>
                <w:sz w:val="20"/>
              </w:rPr>
            </w:r>
          </w:p>
        </w:tc>
        <w:tc>
          <w:tcPr>
            <w:tcW w:w="850" w:type="dxa"/>
          </w:tcPr>
          <w:p>
            <w:pPr>
              <w:pStyle w:val="0"/>
              <w:jc w:val="center"/>
            </w:pPr>
            <w:r>
              <w:rPr>
                <w:sz w:val="20"/>
              </w:rPr>
            </w:r>
          </w:p>
        </w:tc>
        <w:tc>
          <w:tcPr>
            <w:tcW w:w="954" w:type="dxa"/>
          </w:tcPr>
          <w:p>
            <w:pPr>
              <w:pStyle w:val="0"/>
              <w:jc w:val="center"/>
            </w:pPr>
            <w:r>
              <w:rPr>
                <w:sz w:val="20"/>
              </w:rPr>
            </w:r>
          </w:p>
        </w:tc>
      </w:tr>
      <w:tr>
        <w:tc>
          <w:tcPr>
            <w:tcW w:w="4535" w:type="dxa"/>
          </w:tcPr>
          <w:p>
            <w:pPr>
              <w:pStyle w:val="0"/>
              <w:jc w:val="both"/>
            </w:pPr>
            <w:r>
              <w:rPr>
                <w:sz w:val="20"/>
              </w:rPr>
              <w:t xml:space="preserve">от некоторых инфекционных и паразитарных болезней</w:t>
            </w:r>
          </w:p>
        </w:tc>
        <w:tc>
          <w:tcPr>
            <w:tcW w:w="850" w:type="dxa"/>
          </w:tcPr>
          <w:p>
            <w:pPr>
              <w:pStyle w:val="0"/>
              <w:jc w:val="center"/>
            </w:pPr>
            <w:r>
              <w:rPr>
                <w:sz w:val="20"/>
              </w:rPr>
              <w:t xml:space="preserve">0</w:t>
            </w:r>
          </w:p>
        </w:tc>
        <w:tc>
          <w:tcPr>
            <w:tcW w:w="964" w:type="dxa"/>
          </w:tcPr>
          <w:p>
            <w:pPr>
              <w:pStyle w:val="0"/>
              <w:jc w:val="center"/>
            </w:pPr>
            <w:r>
              <w:rPr>
                <w:sz w:val="20"/>
              </w:rPr>
              <w:t xml:space="preserve">0%</w:t>
            </w:r>
          </w:p>
        </w:tc>
        <w:tc>
          <w:tcPr>
            <w:tcW w:w="850" w:type="dxa"/>
          </w:tcPr>
          <w:p>
            <w:pPr>
              <w:pStyle w:val="0"/>
              <w:jc w:val="center"/>
            </w:pPr>
            <w:r>
              <w:rPr>
                <w:sz w:val="20"/>
              </w:rPr>
              <w:t xml:space="preserve">1</w:t>
            </w:r>
          </w:p>
        </w:tc>
        <w:tc>
          <w:tcPr>
            <w:tcW w:w="964" w:type="dxa"/>
          </w:tcPr>
          <w:p>
            <w:pPr>
              <w:pStyle w:val="0"/>
              <w:jc w:val="center"/>
            </w:pPr>
            <w:r>
              <w:rPr>
                <w:sz w:val="20"/>
              </w:rPr>
              <w:t xml:space="preserve">6,7%</w:t>
            </w:r>
          </w:p>
        </w:tc>
        <w:tc>
          <w:tcPr>
            <w:tcW w:w="862" w:type="dxa"/>
          </w:tcPr>
          <w:p>
            <w:pPr>
              <w:pStyle w:val="0"/>
              <w:jc w:val="center"/>
            </w:pPr>
            <w:r>
              <w:rPr>
                <w:sz w:val="20"/>
              </w:rPr>
              <w:t xml:space="preserve">0</w:t>
            </w:r>
          </w:p>
        </w:tc>
        <w:tc>
          <w:tcPr>
            <w:tcW w:w="964" w:type="dxa"/>
          </w:tcPr>
          <w:p>
            <w:pPr>
              <w:pStyle w:val="0"/>
              <w:jc w:val="center"/>
            </w:pPr>
            <w:r>
              <w:rPr>
                <w:sz w:val="20"/>
              </w:rPr>
              <w:t xml:space="preserve">0%</w:t>
            </w:r>
          </w:p>
        </w:tc>
        <w:tc>
          <w:tcPr>
            <w:tcW w:w="850" w:type="dxa"/>
          </w:tcPr>
          <w:p>
            <w:pPr>
              <w:pStyle w:val="0"/>
              <w:jc w:val="center"/>
            </w:pPr>
            <w:r>
              <w:rPr>
                <w:sz w:val="20"/>
              </w:rPr>
              <w:t xml:space="preserve">0</w:t>
            </w:r>
          </w:p>
        </w:tc>
        <w:tc>
          <w:tcPr>
            <w:tcW w:w="963" w:type="dxa"/>
          </w:tcPr>
          <w:p>
            <w:pPr>
              <w:pStyle w:val="0"/>
              <w:jc w:val="center"/>
            </w:pPr>
            <w:r>
              <w:rPr>
                <w:sz w:val="20"/>
              </w:rPr>
              <w:t xml:space="preserve">0%</w:t>
            </w:r>
          </w:p>
        </w:tc>
        <w:tc>
          <w:tcPr>
            <w:tcW w:w="850" w:type="dxa"/>
          </w:tcPr>
          <w:p>
            <w:pPr>
              <w:pStyle w:val="0"/>
              <w:jc w:val="center"/>
            </w:pPr>
            <w:r>
              <w:rPr>
                <w:sz w:val="20"/>
              </w:rPr>
              <w:t xml:space="preserve">0</w:t>
            </w:r>
          </w:p>
        </w:tc>
        <w:tc>
          <w:tcPr>
            <w:tcW w:w="954" w:type="dxa"/>
          </w:tcPr>
          <w:p>
            <w:pPr>
              <w:pStyle w:val="0"/>
              <w:jc w:val="center"/>
            </w:pPr>
            <w:r>
              <w:rPr>
                <w:sz w:val="20"/>
              </w:rPr>
              <w:t xml:space="preserve">0%</w:t>
            </w:r>
          </w:p>
        </w:tc>
      </w:tr>
      <w:tr>
        <w:tc>
          <w:tcPr>
            <w:tcW w:w="4535" w:type="dxa"/>
          </w:tcPr>
          <w:p>
            <w:pPr>
              <w:pStyle w:val="0"/>
              <w:jc w:val="both"/>
            </w:pPr>
            <w:r>
              <w:rPr>
                <w:sz w:val="20"/>
              </w:rPr>
              <w:t xml:space="preserve">от болезней эндокринной системы, расстройства питания и нарушения обмена веществ</w:t>
            </w:r>
          </w:p>
        </w:tc>
        <w:tc>
          <w:tcPr>
            <w:tcW w:w="850" w:type="dxa"/>
          </w:tcPr>
          <w:p>
            <w:pPr>
              <w:pStyle w:val="0"/>
              <w:jc w:val="center"/>
            </w:pPr>
            <w:r>
              <w:rPr>
                <w:sz w:val="20"/>
              </w:rPr>
              <w:t xml:space="preserve">0</w:t>
            </w:r>
          </w:p>
        </w:tc>
        <w:tc>
          <w:tcPr>
            <w:tcW w:w="964" w:type="dxa"/>
          </w:tcPr>
          <w:p>
            <w:pPr>
              <w:pStyle w:val="0"/>
              <w:jc w:val="center"/>
            </w:pPr>
            <w:r>
              <w:rPr>
                <w:sz w:val="20"/>
              </w:rPr>
              <w:t xml:space="preserve">0%</w:t>
            </w:r>
          </w:p>
        </w:tc>
        <w:tc>
          <w:tcPr>
            <w:tcW w:w="850" w:type="dxa"/>
          </w:tcPr>
          <w:p>
            <w:pPr>
              <w:pStyle w:val="0"/>
              <w:jc w:val="center"/>
            </w:pPr>
            <w:r>
              <w:rPr>
                <w:sz w:val="20"/>
              </w:rPr>
              <w:t xml:space="preserve">0</w:t>
            </w:r>
          </w:p>
        </w:tc>
        <w:tc>
          <w:tcPr>
            <w:tcW w:w="964" w:type="dxa"/>
          </w:tcPr>
          <w:p>
            <w:pPr>
              <w:pStyle w:val="0"/>
              <w:jc w:val="center"/>
            </w:pPr>
            <w:r>
              <w:rPr>
                <w:sz w:val="20"/>
              </w:rPr>
              <w:t xml:space="preserve">0%</w:t>
            </w:r>
          </w:p>
        </w:tc>
        <w:tc>
          <w:tcPr>
            <w:tcW w:w="862" w:type="dxa"/>
          </w:tcPr>
          <w:p>
            <w:pPr>
              <w:pStyle w:val="0"/>
              <w:jc w:val="center"/>
            </w:pPr>
            <w:r>
              <w:rPr>
                <w:sz w:val="20"/>
              </w:rPr>
              <w:t xml:space="preserve">0</w:t>
            </w:r>
          </w:p>
        </w:tc>
        <w:tc>
          <w:tcPr>
            <w:tcW w:w="964" w:type="dxa"/>
          </w:tcPr>
          <w:p>
            <w:pPr>
              <w:pStyle w:val="0"/>
              <w:jc w:val="center"/>
            </w:pPr>
            <w:r>
              <w:rPr>
                <w:sz w:val="20"/>
              </w:rPr>
              <w:t xml:space="preserve">0%</w:t>
            </w:r>
          </w:p>
        </w:tc>
        <w:tc>
          <w:tcPr>
            <w:tcW w:w="850" w:type="dxa"/>
          </w:tcPr>
          <w:p>
            <w:pPr>
              <w:pStyle w:val="0"/>
              <w:jc w:val="center"/>
            </w:pPr>
            <w:r>
              <w:rPr>
                <w:sz w:val="20"/>
              </w:rPr>
              <w:t xml:space="preserve">0</w:t>
            </w:r>
          </w:p>
        </w:tc>
        <w:tc>
          <w:tcPr>
            <w:tcW w:w="963" w:type="dxa"/>
          </w:tcPr>
          <w:p>
            <w:pPr>
              <w:pStyle w:val="0"/>
              <w:jc w:val="center"/>
            </w:pPr>
            <w:r>
              <w:rPr>
                <w:sz w:val="20"/>
              </w:rPr>
              <w:t xml:space="preserve">0%</w:t>
            </w:r>
          </w:p>
        </w:tc>
        <w:tc>
          <w:tcPr>
            <w:tcW w:w="850" w:type="dxa"/>
          </w:tcPr>
          <w:p>
            <w:pPr>
              <w:pStyle w:val="0"/>
              <w:jc w:val="center"/>
            </w:pPr>
            <w:r>
              <w:rPr>
                <w:sz w:val="20"/>
              </w:rPr>
              <w:t xml:space="preserve">0</w:t>
            </w:r>
          </w:p>
        </w:tc>
        <w:tc>
          <w:tcPr>
            <w:tcW w:w="954" w:type="dxa"/>
          </w:tcPr>
          <w:p>
            <w:pPr>
              <w:pStyle w:val="0"/>
              <w:jc w:val="center"/>
            </w:pPr>
            <w:r>
              <w:rPr>
                <w:sz w:val="20"/>
              </w:rPr>
              <w:t xml:space="preserve">0%</w:t>
            </w:r>
          </w:p>
        </w:tc>
      </w:tr>
      <w:tr>
        <w:tc>
          <w:tcPr>
            <w:tcW w:w="4535" w:type="dxa"/>
          </w:tcPr>
          <w:p>
            <w:pPr>
              <w:pStyle w:val="0"/>
              <w:jc w:val="both"/>
            </w:pPr>
            <w:r>
              <w:rPr>
                <w:sz w:val="20"/>
              </w:rPr>
              <w:t xml:space="preserve">от болезней нервной системы</w:t>
            </w:r>
          </w:p>
        </w:tc>
        <w:tc>
          <w:tcPr>
            <w:tcW w:w="850" w:type="dxa"/>
          </w:tcPr>
          <w:p>
            <w:pPr>
              <w:pStyle w:val="0"/>
              <w:jc w:val="center"/>
            </w:pPr>
            <w:r>
              <w:rPr>
                <w:sz w:val="20"/>
              </w:rPr>
              <w:t xml:space="preserve">1</w:t>
            </w:r>
          </w:p>
        </w:tc>
        <w:tc>
          <w:tcPr>
            <w:tcW w:w="964" w:type="dxa"/>
          </w:tcPr>
          <w:p>
            <w:pPr>
              <w:pStyle w:val="0"/>
              <w:jc w:val="center"/>
            </w:pPr>
            <w:r>
              <w:rPr>
                <w:sz w:val="20"/>
              </w:rPr>
              <w:t xml:space="preserve">7,7%</w:t>
            </w:r>
          </w:p>
        </w:tc>
        <w:tc>
          <w:tcPr>
            <w:tcW w:w="850" w:type="dxa"/>
          </w:tcPr>
          <w:p>
            <w:pPr>
              <w:pStyle w:val="0"/>
              <w:jc w:val="center"/>
            </w:pPr>
            <w:r>
              <w:rPr>
                <w:sz w:val="20"/>
              </w:rPr>
              <w:t xml:space="preserve">0</w:t>
            </w:r>
          </w:p>
        </w:tc>
        <w:tc>
          <w:tcPr>
            <w:tcW w:w="964" w:type="dxa"/>
          </w:tcPr>
          <w:p>
            <w:pPr>
              <w:pStyle w:val="0"/>
              <w:jc w:val="center"/>
            </w:pPr>
            <w:r>
              <w:rPr>
                <w:sz w:val="20"/>
              </w:rPr>
              <w:t xml:space="preserve">0%</w:t>
            </w:r>
          </w:p>
        </w:tc>
        <w:tc>
          <w:tcPr>
            <w:tcW w:w="862" w:type="dxa"/>
          </w:tcPr>
          <w:p>
            <w:pPr>
              <w:pStyle w:val="0"/>
              <w:jc w:val="center"/>
            </w:pPr>
            <w:r>
              <w:rPr>
                <w:sz w:val="20"/>
              </w:rPr>
              <w:t xml:space="preserve">1</w:t>
            </w:r>
          </w:p>
        </w:tc>
        <w:tc>
          <w:tcPr>
            <w:tcW w:w="964" w:type="dxa"/>
          </w:tcPr>
          <w:p>
            <w:pPr>
              <w:pStyle w:val="0"/>
              <w:jc w:val="center"/>
            </w:pPr>
            <w:r>
              <w:rPr>
                <w:sz w:val="20"/>
              </w:rPr>
              <w:t xml:space="preserve">6,7%</w:t>
            </w:r>
          </w:p>
        </w:tc>
        <w:tc>
          <w:tcPr>
            <w:tcW w:w="850" w:type="dxa"/>
          </w:tcPr>
          <w:p>
            <w:pPr>
              <w:pStyle w:val="0"/>
              <w:jc w:val="center"/>
            </w:pPr>
            <w:r>
              <w:rPr>
                <w:sz w:val="20"/>
              </w:rPr>
              <w:t xml:space="preserve">2</w:t>
            </w:r>
          </w:p>
        </w:tc>
        <w:tc>
          <w:tcPr>
            <w:tcW w:w="963" w:type="dxa"/>
          </w:tcPr>
          <w:p>
            <w:pPr>
              <w:pStyle w:val="0"/>
              <w:jc w:val="center"/>
            </w:pPr>
            <w:r>
              <w:rPr>
                <w:sz w:val="20"/>
              </w:rPr>
              <w:t xml:space="preserve">10,0%</w:t>
            </w:r>
          </w:p>
        </w:tc>
        <w:tc>
          <w:tcPr>
            <w:tcW w:w="850" w:type="dxa"/>
          </w:tcPr>
          <w:p>
            <w:pPr>
              <w:pStyle w:val="0"/>
              <w:jc w:val="center"/>
            </w:pPr>
            <w:r>
              <w:rPr>
                <w:sz w:val="20"/>
              </w:rPr>
              <w:t xml:space="preserve">0</w:t>
            </w:r>
          </w:p>
        </w:tc>
        <w:tc>
          <w:tcPr>
            <w:tcW w:w="954" w:type="dxa"/>
          </w:tcPr>
          <w:p>
            <w:pPr>
              <w:pStyle w:val="0"/>
              <w:jc w:val="center"/>
            </w:pPr>
            <w:r>
              <w:rPr>
                <w:sz w:val="20"/>
              </w:rPr>
              <w:t xml:space="preserve">0%</w:t>
            </w:r>
          </w:p>
        </w:tc>
      </w:tr>
      <w:tr>
        <w:tc>
          <w:tcPr>
            <w:tcW w:w="4535" w:type="dxa"/>
          </w:tcPr>
          <w:p>
            <w:pPr>
              <w:pStyle w:val="0"/>
              <w:jc w:val="both"/>
            </w:pPr>
            <w:r>
              <w:rPr>
                <w:sz w:val="20"/>
              </w:rPr>
              <w:t xml:space="preserve">от болезней органов дыхания</w:t>
            </w:r>
          </w:p>
        </w:tc>
        <w:tc>
          <w:tcPr>
            <w:tcW w:w="850" w:type="dxa"/>
          </w:tcPr>
          <w:p>
            <w:pPr>
              <w:pStyle w:val="0"/>
              <w:jc w:val="center"/>
            </w:pPr>
            <w:r>
              <w:rPr>
                <w:sz w:val="20"/>
              </w:rPr>
              <w:t xml:space="preserve">0</w:t>
            </w:r>
          </w:p>
        </w:tc>
        <w:tc>
          <w:tcPr>
            <w:tcW w:w="964" w:type="dxa"/>
          </w:tcPr>
          <w:p>
            <w:pPr>
              <w:pStyle w:val="0"/>
              <w:jc w:val="center"/>
            </w:pPr>
            <w:r>
              <w:rPr>
                <w:sz w:val="20"/>
              </w:rPr>
              <w:t xml:space="preserve">0%</w:t>
            </w:r>
          </w:p>
        </w:tc>
        <w:tc>
          <w:tcPr>
            <w:tcW w:w="850" w:type="dxa"/>
          </w:tcPr>
          <w:p>
            <w:pPr>
              <w:pStyle w:val="0"/>
              <w:jc w:val="center"/>
            </w:pPr>
            <w:r>
              <w:rPr>
                <w:sz w:val="20"/>
              </w:rPr>
              <w:t xml:space="preserve">0</w:t>
            </w:r>
          </w:p>
        </w:tc>
        <w:tc>
          <w:tcPr>
            <w:tcW w:w="964" w:type="dxa"/>
          </w:tcPr>
          <w:p>
            <w:pPr>
              <w:pStyle w:val="0"/>
              <w:jc w:val="center"/>
            </w:pPr>
            <w:r>
              <w:rPr>
                <w:sz w:val="20"/>
              </w:rPr>
              <w:t xml:space="preserve">0%</w:t>
            </w:r>
          </w:p>
        </w:tc>
        <w:tc>
          <w:tcPr>
            <w:tcW w:w="862" w:type="dxa"/>
          </w:tcPr>
          <w:p>
            <w:pPr>
              <w:pStyle w:val="0"/>
              <w:jc w:val="center"/>
            </w:pPr>
            <w:r>
              <w:rPr>
                <w:sz w:val="20"/>
              </w:rPr>
              <w:t xml:space="preserve">1</w:t>
            </w:r>
          </w:p>
        </w:tc>
        <w:tc>
          <w:tcPr>
            <w:tcW w:w="964" w:type="dxa"/>
          </w:tcPr>
          <w:p>
            <w:pPr>
              <w:pStyle w:val="0"/>
              <w:jc w:val="center"/>
            </w:pPr>
            <w:r>
              <w:rPr>
                <w:sz w:val="20"/>
              </w:rPr>
              <w:t xml:space="preserve">6,7%</w:t>
            </w:r>
          </w:p>
        </w:tc>
        <w:tc>
          <w:tcPr>
            <w:tcW w:w="850" w:type="dxa"/>
          </w:tcPr>
          <w:p>
            <w:pPr>
              <w:pStyle w:val="0"/>
              <w:jc w:val="center"/>
            </w:pPr>
            <w:r>
              <w:rPr>
                <w:sz w:val="20"/>
              </w:rPr>
              <w:t xml:space="preserve">1</w:t>
            </w:r>
          </w:p>
        </w:tc>
        <w:tc>
          <w:tcPr>
            <w:tcW w:w="963" w:type="dxa"/>
          </w:tcPr>
          <w:p>
            <w:pPr>
              <w:pStyle w:val="0"/>
              <w:jc w:val="center"/>
            </w:pPr>
            <w:r>
              <w:rPr>
                <w:sz w:val="20"/>
              </w:rPr>
              <w:t xml:space="preserve">5,0%</w:t>
            </w:r>
          </w:p>
        </w:tc>
        <w:tc>
          <w:tcPr>
            <w:tcW w:w="850" w:type="dxa"/>
          </w:tcPr>
          <w:p>
            <w:pPr>
              <w:pStyle w:val="0"/>
              <w:jc w:val="center"/>
            </w:pPr>
            <w:r>
              <w:rPr>
                <w:sz w:val="20"/>
              </w:rPr>
              <w:t xml:space="preserve">0</w:t>
            </w:r>
          </w:p>
        </w:tc>
        <w:tc>
          <w:tcPr>
            <w:tcW w:w="954" w:type="dxa"/>
          </w:tcPr>
          <w:p>
            <w:pPr>
              <w:pStyle w:val="0"/>
              <w:jc w:val="center"/>
            </w:pPr>
            <w:r>
              <w:rPr>
                <w:sz w:val="20"/>
              </w:rPr>
              <w:t xml:space="preserve">0%</w:t>
            </w:r>
          </w:p>
        </w:tc>
      </w:tr>
      <w:tr>
        <w:tc>
          <w:tcPr>
            <w:tcW w:w="4535" w:type="dxa"/>
          </w:tcPr>
          <w:p>
            <w:pPr>
              <w:pStyle w:val="0"/>
              <w:jc w:val="both"/>
            </w:pPr>
            <w:r>
              <w:rPr>
                <w:sz w:val="20"/>
              </w:rPr>
              <w:t xml:space="preserve">от болезней органов пищеварения</w:t>
            </w:r>
          </w:p>
        </w:tc>
        <w:tc>
          <w:tcPr>
            <w:tcW w:w="850" w:type="dxa"/>
          </w:tcPr>
          <w:p>
            <w:pPr>
              <w:pStyle w:val="0"/>
              <w:jc w:val="center"/>
            </w:pPr>
            <w:r>
              <w:rPr>
                <w:sz w:val="20"/>
              </w:rPr>
              <w:t xml:space="preserve">0</w:t>
            </w:r>
          </w:p>
        </w:tc>
        <w:tc>
          <w:tcPr>
            <w:tcW w:w="964" w:type="dxa"/>
          </w:tcPr>
          <w:p>
            <w:pPr>
              <w:pStyle w:val="0"/>
              <w:jc w:val="center"/>
            </w:pPr>
            <w:r>
              <w:rPr>
                <w:sz w:val="20"/>
              </w:rPr>
              <w:t xml:space="preserve">0%</w:t>
            </w:r>
          </w:p>
        </w:tc>
        <w:tc>
          <w:tcPr>
            <w:tcW w:w="850" w:type="dxa"/>
          </w:tcPr>
          <w:p>
            <w:pPr>
              <w:pStyle w:val="0"/>
              <w:jc w:val="center"/>
            </w:pPr>
            <w:r>
              <w:rPr>
                <w:sz w:val="20"/>
              </w:rPr>
              <w:t xml:space="preserve">0</w:t>
            </w:r>
          </w:p>
        </w:tc>
        <w:tc>
          <w:tcPr>
            <w:tcW w:w="964" w:type="dxa"/>
          </w:tcPr>
          <w:p>
            <w:pPr>
              <w:pStyle w:val="0"/>
              <w:jc w:val="center"/>
            </w:pPr>
            <w:r>
              <w:rPr>
                <w:sz w:val="20"/>
              </w:rPr>
              <w:t xml:space="preserve">0%</w:t>
            </w:r>
          </w:p>
        </w:tc>
        <w:tc>
          <w:tcPr>
            <w:tcW w:w="862" w:type="dxa"/>
          </w:tcPr>
          <w:p>
            <w:pPr>
              <w:pStyle w:val="0"/>
              <w:jc w:val="center"/>
            </w:pPr>
            <w:r>
              <w:rPr>
                <w:sz w:val="20"/>
              </w:rPr>
              <w:t xml:space="preserve">0</w:t>
            </w:r>
          </w:p>
        </w:tc>
        <w:tc>
          <w:tcPr>
            <w:tcW w:w="964" w:type="dxa"/>
          </w:tcPr>
          <w:p>
            <w:pPr>
              <w:pStyle w:val="0"/>
              <w:jc w:val="center"/>
            </w:pPr>
            <w:r>
              <w:rPr>
                <w:sz w:val="20"/>
              </w:rPr>
              <w:t xml:space="preserve">0%</w:t>
            </w:r>
          </w:p>
        </w:tc>
        <w:tc>
          <w:tcPr>
            <w:tcW w:w="850" w:type="dxa"/>
          </w:tcPr>
          <w:p>
            <w:pPr>
              <w:pStyle w:val="0"/>
              <w:jc w:val="center"/>
            </w:pPr>
            <w:r>
              <w:rPr>
                <w:sz w:val="20"/>
              </w:rPr>
              <w:t xml:space="preserve">0</w:t>
            </w:r>
          </w:p>
        </w:tc>
        <w:tc>
          <w:tcPr>
            <w:tcW w:w="963" w:type="dxa"/>
          </w:tcPr>
          <w:p>
            <w:pPr>
              <w:pStyle w:val="0"/>
              <w:jc w:val="center"/>
            </w:pPr>
            <w:r>
              <w:rPr>
                <w:sz w:val="20"/>
              </w:rPr>
              <w:t xml:space="preserve">0%</w:t>
            </w:r>
          </w:p>
        </w:tc>
        <w:tc>
          <w:tcPr>
            <w:tcW w:w="850" w:type="dxa"/>
          </w:tcPr>
          <w:p>
            <w:pPr>
              <w:pStyle w:val="0"/>
              <w:jc w:val="center"/>
            </w:pPr>
            <w:r>
              <w:rPr>
                <w:sz w:val="20"/>
              </w:rPr>
              <w:t xml:space="preserve">0</w:t>
            </w:r>
          </w:p>
        </w:tc>
        <w:tc>
          <w:tcPr>
            <w:tcW w:w="954" w:type="dxa"/>
          </w:tcPr>
          <w:p>
            <w:pPr>
              <w:pStyle w:val="0"/>
              <w:jc w:val="center"/>
            </w:pPr>
            <w:r>
              <w:rPr>
                <w:sz w:val="20"/>
              </w:rPr>
              <w:t xml:space="preserve">0%</w:t>
            </w:r>
          </w:p>
        </w:tc>
      </w:tr>
      <w:tr>
        <w:tc>
          <w:tcPr>
            <w:tcW w:w="4535" w:type="dxa"/>
          </w:tcPr>
          <w:p>
            <w:pPr>
              <w:pStyle w:val="0"/>
              <w:jc w:val="both"/>
            </w:pPr>
            <w:r>
              <w:rPr>
                <w:sz w:val="20"/>
              </w:rPr>
              <w:t xml:space="preserve">от врожденных аномалий (пороков развития), деформаций и хромосомных нарушений</w:t>
            </w:r>
          </w:p>
        </w:tc>
        <w:tc>
          <w:tcPr>
            <w:tcW w:w="850" w:type="dxa"/>
          </w:tcPr>
          <w:p>
            <w:pPr>
              <w:pStyle w:val="0"/>
              <w:jc w:val="center"/>
            </w:pPr>
            <w:r>
              <w:rPr>
                <w:sz w:val="20"/>
              </w:rPr>
              <w:t xml:space="preserve">1</w:t>
            </w:r>
          </w:p>
        </w:tc>
        <w:tc>
          <w:tcPr>
            <w:tcW w:w="964" w:type="dxa"/>
          </w:tcPr>
          <w:p>
            <w:pPr>
              <w:pStyle w:val="0"/>
              <w:jc w:val="center"/>
            </w:pPr>
            <w:r>
              <w:rPr>
                <w:sz w:val="20"/>
              </w:rPr>
              <w:t xml:space="preserve">7,7%</w:t>
            </w:r>
          </w:p>
        </w:tc>
        <w:tc>
          <w:tcPr>
            <w:tcW w:w="850" w:type="dxa"/>
          </w:tcPr>
          <w:p>
            <w:pPr>
              <w:pStyle w:val="0"/>
              <w:jc w:val="center"/>
            </w:pPr>
            <w:r>
              <w:rPr>
                <w:sz w:val="20"/>
              </w:rPr>
              <w:t xml:space="preserve">5</w:t>
            </w:r>
          </w:p>
        </w:tc>
        <w:tc>
          <w:tcPr>
            <w:tcW w:w="964" w:type="dxa"/>
          </w:tcPr>
          <w:p>
            <w:pPr>
              <w:pStyle w:val="0"/>
              <w:jc w:val="center"/>
            </w:pPr>
            <w:r>
              <w:rPr>
                <w:sz w:val="20"/>
              </w:rPr>
              <w:t xml:space="preserve">33,3%</w:t>
            </w:r>
          </w:p>
        </w:tc>
        <w:tc>
          <w:tcPr>
            <w:tcW w:w="862" w:type="dxa"/>
          </w:tcPr>
          <w:p>
            <w:pPr>
              <w:pStyle w:val="0"/>
              <w:jc w:val="center"/>
            </w:pPr>
            <w:r>
              <w:rPr>
                <w:sz w:val="20"/>
              </w:rPr>
              <w:t xml:space="preserve">2</w:t>
            </w:r>
          </w:p>
        </w:tc>
        <w:tc>
          <w:tcPr>
            <w:tcW w:w="964" w:type="dxa"/>
          </w:tcPr>
          <w:p>
            <w:pPr>
              <w:pStyle w:val="0"/>
              <w:jc w:val="center"/>
            </w:pPr>
            <w:r>
              <w:rPr>
                <w:sz w:val="20"/>
              </w:rPr>
              <w:t xml:space="preserve">13,3%</w:t>
            </w:r>
          </w:p>
        </w:tc>
        <w:tc>
          <w:tcPr>
            <w:tcW w:w="850" w:type="dxa"/>
          </w:tcPr>
          <w:p>
            <w:pPr>
              <w:pStyle w:val="0"/>
              <w:jc w:val="center"/>
            </w:pPr>
            <w:r>
              <w:rPr>
                <w:sz w:val="20"/>
              </w:rPr>
              <w:t xml:space="preserve">4</w:t>
            </w:r>
          </w:p>
        </w:tc>
        <w:tc>
          <w:tcPr>
            <w:tcW w:w="963" w:type="dxa"/>
          </w:tcPr>
          <w:p>
            <w:pPr>
              <w:pStyle w:val="0"/>
              <w:jc w:val="center"/>
            </w:pPr>
            <w:r>
              <w:rPr>
                <w:sz w:val="20"/>
              </w:rPr>
              <w:t xml:space="preserve">20,0%</w:t>
            </w:r>
          </w:p>
        </w:tc>
        <w:tc>
          <w:tcPr>
            <w:tcW w:w="850" w:type="dxa"/>
          </w:tcPr>
          <w:p>
            <w:pPr>
              <w:pStyle w:val="0"/>
              <w:jc w:val="center"/>
            </w:pPr>
            <w:r>
              <w:rPr>
                <w:sz w:val="20"/>
              </w:rPr>
              <w:t xml:space="preserve">1</w:t>
            </w:r>
          </w:p>
        </w:tc>
        <w:tc>
          <w:tcPr>
            <w:tcW w:w="954" w:type="dxa"/>
          </w:tcPr>
          <w:p>
            <w:pPr>
              <w:pStyle w:val="0"/>
              <w:jc w:val="center"/>
            </w:pPr>
            <w:r>
              <w:rPr>
                <w:sz w:val="20"/>
              </w:rPr>
              <w:t xml:space="preserve">9,1%</w:t>
            </w:r>
          </w:p>
        </w:tc>
      </w:tr>
      <w:tr>
        <w:tc>
          <w:tcPr>
            <w:tcW w:w="4535" w:type="dxa"/>
          </w:tcPr>
          <w:p>
            <w:pPr>
              <w:pStyle w:val="0"/>
              <w:jc w:val="both"/>
            </w:pPr>
            <w:r>
              <w:rPr>
                <w:sz w:val="20"/>
              </w:rPr>
              <w:t xml:space="preserve">от отдельных состояний, возникающих в перинатальном периоде (всего)</w:t>
            </w:r>
          </w:p>
        </w:tc>
        <w:tc>
          <w:tcPr>
            <w:tcW w:w="850" w:type="dxa"/>
          </w:tcPr>
          <w:p>
            <w:pPr>
              <w:pStyle w:val="0"/>
              <w:jc w:val="center"/>
            </w:pPr>
            <w:r>
              <w:rPr>
                <w:sz w:val="20"/>
              </w:rPr>
              <w:t xml:space="preserve">9</w:t>
            </w:r>
          </w:p>
        </w:tc>
        <w:tc>
          <w:tcPr>
            <w:tcW w:w="964" w:type="dxa"/>
          </w:tcPr>
          <w:p>
            <w:pPr>
              <w:pStyle w:val="0"/>
              <w:jc w:val="center"/>
            </w:pPr>
            <w:r>
              <w:rPr>
                <w:sz w:val="20"/>
              </w:rPr>
              <w:t xml:space="preserve">69,2%</w:t>
            </w:r>
          </w:p>
        </w:tc>
        <w:tc>
          <w:tcPr>
            <w:tcW w:w="850" w:type="dxa"/>
          </w:tcPr>
          <w:p>
            <w:pPr>
              <w:pStyle w:val="0"/>
              <w:jc w:val="center"/>
            </w:pPr>
            <w:r>
              <w:rPr>
                <w:sz w:val="20"/>
              </w:rPr>
              <w:t xml:space="preserve">5</w:t>
            </w:r>
          </w:p>
        </w:tc>
        <w:tc>
          <w:tcPr>
            <w:tcW w:w="964" w:type="dxa"/>
          </w:tcPr>
          <w:p>
            <w:pPr>
              <w:pStyle w:val="0"/>
              <w:jc w:val="center"/>
            </w:pPr>
            <w:r>
              <w:rPr>
                <w:sz w:val="20"/>
              </w:rPr>
              <w:t xml:space="preserve">33,3%</w:t>
            </w:r>
          </w:p>
        </w:tc>
        <w:tc>
          <w:tcPr>
            <w:tcW w:w="862" w:type="dxa"/>
          </w:tcPr>
          <w:p>
            <w:pPr>
              <w:pStyle w:val="0"/>
              <w:jc w:val="center"/>
            </w:pPr>
            <w:r>
              <w:rPr>
                <w:sz w:val="20"/>
              </w:rPr>
              <w:t xml:space="preserve">9</w:t>
            </w:r>
          </w:p>
        </w:tc>
        <w:tc>
          <w:tcPr>
            <w:tcW w:w="964" w:type="dxa"/>
          </w:tcPr>
          <w:p>
            <w:pPr>
              <w:pStyle w:val="0"/>
              <w:jc w:val="center"/>
            </w:pPr>
            <w:r>
              <w:rPr>
                <w:sz w:val="20"/>
              </w:rPr>
              <w:t xml:space="preserve">60,0%</w:t>
            </w:r>
          </w:p>
        </w:tc>
        <w:tc>
          <w:tcPr>
            <w:tcW w:w="850" w:type="dxa"/>
          </w:tcPr>
          <w:p>
            <w:pPr>
              <w:pStyle w:val="0"/>
              <w:jc w:val="center"/>
            </w:pPr>
            <w:r>
              <w:rPr>
                <w:sz w:val="20"/>
              </w:rPr>
              <w:t xml:space="preserve">9</w:t>
            </w:r>
          </w:p>
        </w:tc>
        <w:tc>
          <w:tcPr>
            <w:tcW w:w="963" w:type="dxa"/>
          </w:tcPr>
          <w:p>
            <w:pPr>
              <w:pStyle w:val="0"/>
              <w:jc w:val="center"/>
            </w:pPr>
            <w:r>
              <w:rPr>
                <w:sz w:val="20"/>
              </w:rPr>
              <w:t xml:space="preserve">45,0%</w:t>
            </w:r>
          </w:p>
        </w:tc>
        <w:tc>
          <w:tcPr>
            <w:tcW w:w="850" w:type="dxa"/>
          </w:tcPr>
          <w:p>
            <w:pPr>
              <w:pStyle w:val="0"/>
              <w:jc w:val="center"/>
            </w:pPr>
            <w:r>
              <w:rPr>
                <w:sz w:val="20"/>
              </w:rPr>
              <w:t xml:space="preserve">10</w:t>
            </w:r>
          </w:p>
        </w:tc>
        <w:tc>
          <w:tcPr>
            <w:tcW w:w="954" w:type="dxa"/>
          </w:tcPr>
          <w:p>
            <w:pPr>
              <w:pStyle w:val="0"/>
              <w:jc w:val="center"/>
            </w:pPr>
            <w:r>
              <w:rPr>
                <w:sz w:val="20"/>
              </w:rPr>
              <w:t xml:space="preserve">90,9%</w:t>
            </w:r>
          </w:p>
        </w:tc>
      </w:tr>
      <w:tr>
        <w:tc>
          <w:tcPr>
            <w:tcW w:w="4535" w:type="dxa"/>
          </w:tcPr>
          <w:p>
            <w:pPr>
              <w:pStyle w:val="0"/>
              <w:jc w:val="both"/>
            </w:pPr>
            <w:r>
              <w:rPr>
                <w:sz w:val="20"/>
              </w:rPr>
              <w:t xml:space="preserve">из них: геморрагических нарушений у плода и новорожденного</w:t>
            </w:r>
          </w:p>
        </w:tc>
        <w:tc>
          <w:tcPr>
            <w:tcW w:w="850" w:type="dxa"/>
          </w:tcPr>
          <w:p>
            <w:pPr>
              <w:pStyle w:val="0"/>
              <w:jc w:val="center"/>
            </w:pPr>
            <w:r>
              <w:rPr>
                <w:sz w:val="20"/>
              </w:rPr>
              <w:t xml:space="preserve">2</w:t>
            </w:r>
          </w:p>
        </w:tc>
        <w:tc>
          <w:tcPr>
            <w:tcW w:w="964" w:type="dxa"/>
          </w:tcPr>
          <w:p>
            <w:pPr>
              <w:pStyle w:val="0"/>
              <w:jc w:val="center"/>
            </w:pPr>
            <w:r>
              <w:rPr>
                <w:sz w:val="20"/>
              </w:rPr>
              <w:t xml:space="preserve">22,2%</w:t>
            </w:r>
          </w:p>
        </w:tc>
        <w:tc>
          <w:tcPr>
            <w:tcW w:w="850" w:type="dxa"/>
          </w:tcPr>
          <w:p>
            <w:pPr>
              <w:pStyle w:val="0"/>
              <w:jc w:val="center"/>
            </w:pPr>
            <w:r>
              <w:rPr>
                <w:sz w:val="20"/>
              </w:rPr>
              <w:t xml:space="preserve">1</w:t>
            </w:r>
          </w:p>
        </w:tc>
        <w:tc>
          <w:tcPr>
            <w:tcW w:w="964" w:type="dxa"/>
          </w:tcPr>
          <w:p>
            <w:pPr>
              <w:pStyle w:val="0"/>
              <w:jc w:val="center"/>
            </w:pPr>
            <w:r>
              <w:rPr>
                <w:sz w:val="20"/>
              </w:rPr>
              <w:t xml:space="preserve">20,0%</w:t>
            </w:r>
          </w:p>
        </w:tc>
        <w:tc>
          <w:tcPr>
            <w:tcW w:w="862" w:type="dxa"/>
          </w:tcPr>
          <w:p>
            <w:pPr>
              <w:pStyle w:val="0"/>
              <w:jc w:val="center"/>
            </w:pPr>
            <w:r>
              <w:rPr>
                <w:sz w:val="20"/>
              </w:rPr>
              <w:t xml:space="preserve">1</w:t>
            </w:r>
          </w:p>
        </w:tc>
        <w:tc>
          <w:tcPr>
            <w:tcW w:w="964" w:type="dxa"/>
          </w:tcPr>
          <w:p>
            <w:pPr>
              <w:pStyle w:val="0"/>
              <w:jc w:val="center"/>
            </w:pPr>
            <w:r>
              <w:rPr>
                <w:sz w:val="20"/>
              </w:rPr>
              <w:t xml:space="preserve">33,3%</w:t>
            </w:r>
          </w:p>
        </w:tc>
        <w:tc>
          <w:tcPr>
            <w:tcW w:w="850" w:type="dxa"/>
          </w:tcPr>
          <w:p>
            <w:pPr>
              <w:pStyle w:val="0"/>
              <w:jc w:val="center"/>
            </w:pPr>
            <w:r>
              <w:rPr>
                <w:sz w:val="20"/>
              </w:rPr>
              <w:t xml:space="preserve">1</w:t>
            </w:r>
          </w:p>
        </w:tc>
        <w:tc>
          <w:tcPr>
            <w:tcW w:w="963" w:type="dxa"/>
          </w:tcPr>
          <w:p>
            <w:pPr>
              <w:pStyle w:val="0"/>
              <w:jc w:val="center"/>
            </w:pPr>
            <w:r>
              <w:rPr>
                <w:sz w:val="20"/>
              </w:rPr>
              <w:t xml:space="preserve">16,7%</w:t>
            </w:r>
          </w:p>
        </w:tc>
        <w:tc>
          <w:tcPr>
            <w:tcW w:w="850" w:type="dxa"/>
          </w:tcPr>
          <w:p>
            <w:pPr>
              <w:pStyle w:val="0"/>
              <w:jc w:val="center"/>
            </w:pPr>
            <w:r>
              <w:rPr>
                <w:sz w:val="20"/>
              </w:rPr>
              <w:t xml:space="preserve">1</w:t>
            </w:r>
          </w:p>
        </w:tc>
        <w:tc>
          <w:tcPr>
            <w:tcW w:w="954" w:type="dxa"/>
          </w:tcPr>
          <w:p>
            <w:pPr>
              <w:pStyle w:val="0"/>
              <w:jc w:val="center"/>
            </w:pPr>
            <w:r>
              <w:rPr>
                <w:sz w:val="20"/>
              </w:rPr>
              <w:t xml:space="preserve">10,0%</w:t>
            </w:r>
          </w:p>
        </w:tc>
      </w:tr>
      <w:tr>
        <w:tc>
          <w:tcPr>
            <w:tcW w:w="4535" w:type="dxa"/>
          </w:tcPr>
          <w:p>
            <w:pPr>
              <w:pStyle w:val="0"/>
              <w:jc w:val="both"/>
            </w:pPr>
            <w:r>
              <w:rPr>
                <w:sz w:val="20"/>
              </w:rPr>
              <w:t xml:space="preserve">синдром внезапной смерти</w:t>
            </w:r>
          </w:p>
        </w:tc>
        <w:tc>
          <w:tcPr>
            <w:tcW w:w="850" w:type="dxa"/>
          </w:tcPr>
          <w:p>
            <w:pPr>
              <w:pStyle w:val="0"/>
              <w:jc w:val="center"/>
            </w:pPr>
            <w:r>
              <w:rPr>
                <w:sz w:val="20"/>
              </w:rPr>
              <w:t xml:space="preserve">1</w:t>
            </w:r>
          </w:p>
        </w:tc>
        <w:tc>
          <w:tcPr>
            <w:tcW w:w="964" w:type="dxa"/>
          </w:tcPr>
          <w:p>
            <w:pPr>
              <w:pStyle w:val="0"/>
              <w:jc w:val="center"/>
            </w:pPr>
            <w:r>
              <w:rPr>
                <w:sz w:val="20"/>
              </w:rPr>
              <w:t xml:space="preserve">7,7%</w:t>
            </w:r>
          </w:p>
        </w:tc>
        <w:tc>
          <w:tcPr>
            <w:tcW w:w="850" w:type="dxa"/>
          </w:tcPr>
          <w:p>
            <w:pPr>
              <w:pStyle w:val="0"/>
              <w:jc w:val="center"/>
            </w:pPr>
            <w:r>
              <w:rPr>
                <w:sz w:val="20"/>
              </w:rPr>
              <w:t xml:space="preserve">2</w:t>
            </w:r>
          </w:p>
        </w:tc>
        <w:tc>
          <w:tcPr>
            <w:tcW w:w="964" w:type="dxa"/>
          </w:tcPr>
          <w:p>
            <w:pPr>
              <w:pStyle w:val="0"/>
              <w:jc w:val="center"/>
            </w:pPr>
            <w:r>
              <w:rPr>
                <w:sz w:val="20"/>
              </w:rPr>
              <w:t xml:space="preserve">13,3%</w:t>
            </w:r>
          </w:p>
        </w:tc>
        <w:tc>
          <w:tcPr>
            <w:tcW w:w="862" w:type="dxa"/>
          </w:tcPr>
          <w:p>
            <w:pPr>
              <w:pStyle w:val="0"/>
              <w:jc w:val="center"/>
            </w:pPr>
            <w:r>
              <w:rPr>
                <w:sz w:val="20"/>
              </w:rPr>
              <w:t xml:space="preserve">2</w:t>
            </w:r>
          </w:p>
        </w:tc>
        <w:tc>
          <w:tcPr>
            <w:tcW w:w="964" w:type="dxa"/>
          </w:tcPr>
          <w:p>
            <w:pPr>
              <w:pStyle w:val="0"/>
              <w:jc w:val="center"/>
            </w:pPr>
            <w:r>
              <w:rPr>
                <w:sz w:val="20"/>
              </w:rPr>
              <w:t xml:space="preserve">13,3%</w:t>
            </w:r>
          </w:p>
        </w:tc>
        <w:tc>
          <w:tcPr>
            <w:tcW w:w="850" w:type="dxa"/>
          </w:tcPr>
          <w:p>
            <w:pPr>
              <w:pStyle w:val="0"/>
              <w:jc w:val="center"/>
            </w:pPr>
            <w:r>
              <w:rPr>
                <w:sz w:val="20"/>
              </w:rPr>
              <w:t xml:space="preserve">2</w:t>
            </w:r>
          </w:p>
        </w:tc>
        <w:tc>
          <w:tcPr>
            <w:tcW w:w="963" w:type="dxa"/>
          </w:tcPr>
          <w:p>
            <w:pPr>
              <w:pStyle w:val="0"/>
              <w:jc w:val="center"/>
            </w:pPr>
            <w:r>
              <w:rPr>
                <w:sz w:val="20"/>
              </w:rPr>
              <w:t xml:space="preserve">10%</w:t>
            </w:r>
          </w:p>
        </w:tc>
        <w:tc>
          <w:tcPr>
            <w:tcW w:w="850" w:type="dxa"/>
          </w:tcPr>
          <w:p>
            <w:pPr>
              <w:pStyle w:val="0"/>
              <w:jc w:val="center"/>
            </w:pPr>
            <w:r>
              <w:rPr>
                <w:sz w:val="20"/>
              </w:rPr>
              <w:t xml:space="preserve">0</w:t>
            </w:r>
          </w:p>
        </w:tc>
        <w:tc>
          <w:tcPr>
            <w:tcW w:w="954" w:type="dxa"/>
          </w:tcPr>
          <w:p>
            <w:pPr>
              <w:pStyle w:val="0"/>
              <w:jc w:val="center"/>
            </w:pPr>
            <w:r>
              <w:rPr>
                <w:sz w:val="20"/>
              </w:rPr>
              <w:t xml:space="preserve">0%</w:t>
            </w:r>
          </w:p>
        </w:tc>
      </w:tr>
      <w:tr>
        <w:tc>
          <w:tcPr>
            <w:tcW w:w="4535" w:type="dxa"/>
          </w:tcPr>
          <w:p>
            <w:pPr>
              <w:pStyle w:val="0"/>
              <w:jc w:val="both"/>
            </w:pPr>
            <w:r>
              <w:rPr>
                <w:sz w:val="20"/>
              </w:rPr>
              <w:t xml:space="preserve">от внешних причин смерти</w:t>
            </w:r>
          </w:p>
        </w:tc>
        <w:tc>
          <w:tcPr>
            <w:tcW w:w="850" w:type="dxa"/>
          </w:tcPr>
          <w:p>
            <w:pPr>
              <w:pStyle w:val="0"/>
              <w:jc w:val="center"/>
            </w:pPr>
            <w:r>
              <w:rPr>
                <w:sz w:val="20"/>
              </w:rPr>
              <w:t xml:space="preserve">1</w:t>
            </w:r>
          </w:p>
        </w:tc>
        <w:tc>
          <w:tcPr>
            <w:tcW w:w="964" w:type="dxa"/>
          </w:tcPr>
          <w:p>
            <w:pPr>
              <w:pStyle w:val="0"/>
              <w:jc w:val="center"/>
            </w:pPr>
            <w:r>
              <w:rPr>
                <w:sz w:val="20"/>
              </w:rPr>
              <w:t xml:space="preserve">7,7%</w:t>
            </w:r>
          </w:p>
        </w:tc>
        <w:tc>
          <w:tcPr>
            <w:tcW w:w="850" w:type="dxa"/>
          </w:tcPr>
          <w:p>
            <w:pPr>
              <w:pStyle w:val="0"/>
              <w:jc w:val="center"/>
            </w:pPr>
            <w:r>
              <w:rPr>
                <w:sz w:val="20"/>
              </w:rPr>
              <w:t xml:space="preserve">2</w:t>
            </w:r>
          </w:p>
        </w:tc>
        <w:tc>
          <w:tcPr>
            <w:tcW w:w="964" w:type="dxa"/>
          </w:tcPr>
          <w:p>
            <w:pPr>
              <w:pStyle w:val="0"/>
              <w:jc w:val="center"/>
            </w:pPr>
            <w:r>
              <w:rPr>
                <w:sz w:val="20"/>
              </w:rPr>
              <w:t xml:space="preserve">13,3%</w:t>
            </w:r>
          </w:p>
        </w:tc>
        <w:tc>
          <w:tcPr>
            <w:tcW w:w="862" w:type="dxa"/>
          </w:tcPr>
          <w:p>
            <w:pPr>
              <w:pStyle w:val="0"/>
              <w:jc w:val="center"/>
            </w:pPr>
            <w:r>
              <w:rPr>
                <w:sz w:val="20"/>
              </w:rPr>
              <w:t xml:space="preserve">0</w:t>
            </w:r>
          </w:p>
        </w:tc>
        <w:tc>
          <w:tcPr>
            <w:tcW w:w="964" w:type="dxa"/>
          </w:tcPr>
          <w:p>
            <w:pPr>
              <w:pStyle w:val="0"/>
              <w:jc w:val="center"/>
            </w:pPr>
            <w:r>
              <w:rPr>
                <w:sz w:val="20"/>
              </w:rPr>
              <w:t xml:space="preserve">0%</w:t>
            </w:r>
          </w:p>
        </w:tc>
        <w:tc>
          <w:tcPr>
            <w:tcW w:w="850" w:type="dxa"/>
          </w:tcPr>
          <w:p>
            <w:pPr>
              <w:pStyle w:val="0"/>
              <w:jc w:val="center"/>
            </w:pPr>
            <w:r>
              <w:rPr>
                <w:sz w:val="20"/>
              </w:rPr>
              <w:t xml:space="preserve">2</w:t>
            </w:r>
          </w:p>
        </w:tc>
        <w:tc>
          <w:tcPr>
            <w:tcW w:w="963" w:type="dxa"/>
          </w:tcPr>
          <w:p>
            <w:pPr>
              <w:pStyle w:val="0"/>
              <w:jc w:val="center"/>
            </w:pPr>
            <w:r>
              <w:rPr>
                <w:sz w:val="20"/>
              </w:rPr>
              <w:t xml:space="preserve">10%</w:t>
            </w:r>
          </w:p>
        </w:tc>
        <w:tc>
          <w:tcPr>
            <w:tcW w:w="850" w:type="dxa"/>
          </w:tcPr>
          <w:p>
            <w:pPr>
              <w:pStyle w:val="0"/>
              <w:jc w:val="center"/>
            </w:pPr>
            <w:r>
              <w:rPr>
                <w:sz w:val="20"/>
              </w:rPr>
              <w:t xml:space="preserve">0</w:t>
            </w:r>
          </w:p>
        </w:tc>
        <w:tc>
          <w:tcPr>
            <w:tcW w:w="954" w:type="dxa"/>
          </w:tcPr>
          <w:p>
            <w:pPr>
              <w:pStyle w:val="0"/>
              <w:jc w:val="center"/>
            </w:pPr>
            <w:r>
              <w:rPr>
                <w:sz w:val="20"/>
              </w:rPr>
              <w:t xml:space="preserve">0%</w:t>
            </w:r>
          </w:p>
        </w:tc>
      </w:tr>
      <w:tr>
        <w:tc>
          <w:tcPr>
            <w:tcW w:w="4535" w:type="dxa"/>
          </w:tcPr>
          <w:p>
            <w:pPr>
              <w:pStyle w:val="0"/>
              <w:jc w:val="both"/>
            </w:pPr>
            <w:r>
              <w:rPr>
                <w:sz w:val="20"/>
              </w:rPr>
              <w:t xml:space="preserve">от новой коронавирусной инфекции (COVID-19)</w:t>
            </w:r>
          </w:p>
        </w:tc>
        <w:tc>
          <w:tcPr>
            <w:tcW w:w="850" w:type="dxa"/>
          </w:tcPr>
          <w:p>
            <w:pPr>
              <w:pStyle w:val="0"/>
              <w:jc w:val="center"/>
            </w:pPr>
            <w:r>
              <w:rPr>
                <w:sz w:val="20"/>
              </w:rPr>
              <w:t xml:space="preserve">0</w:t>
            </w:r>
          </w:p>
        </w:tc>
        <w:tc>
          <w:tcPr>
            <w:tcW w:w="964" w:type="dxa"/>
          </w:tcPr>
          <w:p>
            <w:pPr>
              <w:pStyle w:val="0"/>
              <w:jc w:val="center"/>
            </w:pPr>
            <w:r>
              <w:rPr>
                <w:sz w:val="20"/>
              </w:rPr>
              <w:t xml:space="preserve">0%</w:t>
            </w:r>
          </w:p>
        </w:tc>
        <w:tc>
          <w:tcPr>
            <w:tcW w:w="850" w:type="dxa"/>
          </w:tcPr>
          <w:p>
            <w:pPr>
              <w:pStyle w:val="0"/>
              <w:jc w:val="center"/>
            </w:pPr>
            <w:r>
              <w:rPr>
                <w:sz w:val="20"/>
              </w:rPr>
              <w:t xml:space="preserve">0</w:t>
            </w:r>
          </w:p>
        </w:tc>
        <w:tc>
          <w:tcPr>
            <w:tcW w:w="964" w:type="dxa"/>
          </w:tcPr>
          <w:p>
            <w:pPr>
              <w:pStyle w:val="0"/>
              <w:jc w:val="center"/>
            </w:pPr>
            <w:r>
              <w:rPr>
                <w:sz w:val="20"/>
              </w:rPr>
              <w:t xml:space="preserve">0%</w:t>
            </w:r>
          </w:p>
        </w:tc>
        <w:tc>
          <w:tcPr>
            <w:tcW w:w="862" w:type="dxa"/>
          </w:tcPr>
          <w:p>
            <w:pPr>
              <w:pStyle w:val="0"/>
              <w:jc w:val="center"/>
            </w:pPr>
            <w:r>
              <w:rPr>
                <w:sz w:val="20"/>
              </w:rPr>
              <w:t xml:space="preserve">0</w:t>
            </w:r>
          </w:p>
        </w:tc>
        <w:tc>
          <w:tcPr>
            <w:tcW w:w="964" w:type="dxa"/>
          </w:tcPr>
          <w:p>
            <w:pPr>
              <w:pStyle w:val="0"/>
              <w:jc w:val="center"/>
            </w:pPr>
            <w:r>
              <w:rPr>
                <w:sz w:val="20"/>
              </w:rPr>
              <w:t xml:space="preserve">0%</w:t>
            </w:r>
          </w:p>
        </w:tc>
        <w:tc>
          <w:tcPr>
            <w:tcW w:w="850" w:type="dxa"/>
          </w:tcPr>
          <w:p>
            <w:pPr>
              <w:pStyle w:val="0"/>
              <w:jc w:val="center"/>
            </w:pPr>
            <w:r>
              <w:rPr>
                <w:sz w:val="20"/>
              </w:rPr>
              <w:t xml:space="preserve">0</w:t>
            </w:r>
          </w:p>
        </w:tc>
        <w:tc>
          <w:tcPr>
            <w:tcW w:w="963" w:type="dxa"/>
          </w:tcPr>
          <w:p>
            <w:pPr>
              <w:pStyle w:val="0"/>
              <w:jc w:val="center"/>
            </w:pPr>
            <w:r>
              <w:rPr>
                <w:sz w:val="20"/>
              </w:rPr>
              <w:t xml:space="preserve">0%</w:t>
            </w:r>
          </w:p>
        </w:tc>
        <w:tc>
          <w:tcPr>
            <w:tcW w:w="850" w:type="dxa"/>
          </w:tcPr>
          <w:p>
            <w:pPr>
              <w:pStyle w:val="0"/>
              <w:jc w:val="center"/>
            </w:pPr>
            <w:r>
              <w:rPr>
                <w:sz w:val="20"/>
              </w:rPr>
              <w:t xml:space="preserve">0</w:t>
            </w:r>
          </w:p>
        </w:tc>
        <w:tc>
          <w:tcPr>
            <w:tcW w:w="954" w:type="dxa"/>
          </w:tcPr>
          <w:p>
            <w:pPr>
              <w:pStyle w:val="0"/>
              <w:jc w:val="center"/>
            </w:pPr>
            <w:r>
              <w:rPr>
                <w:sz w:val="20"/>
              </w:rPr>
              <w:t xml:space="preserve">0%</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2"/>
        <w:outlineLvl w:val="4"/>
        <w:jc w:val="center"/>
      </w:pPr>
      <w:r>
        <w:rPr>
          <w:sz w:val="20"/>
        </w:rPr>
        <w:t xml:space="preserve">Анализ демографической ситуации, динамики показателей</w:t>
      </w:r>
    </w:p>
    <w:p>
      <w:pPr>
        <w:pStyle w:val="2"/>
        <w:jc w:val="center"/>
      </w:pPr>
      <w:r>
        <w:rPr>
          <w:sz w:val="20"/>
        </w:rPr>
        <w:t xml:space="preserve">смертности, а также структура смертности детей</w:t>
      </w:r>
    </w:p>
    <w:p>
      <w:pPr>
        <w:pStyle w:val="2"/>
        <w:jc w:val="center"/>
      </w:pPr>
      <w:r>
        <w:rPr>
          <w:sz w:val="20"/>
        </w:rPr>
        <w:t xml:space="preserve">в возрасте 0 - 1 года</w:t>
      </w:r>
    </w:p>
    <w:p>
      <w:pPr>
        <w:pStyle w:val="0"/>
        <w:jc w:val="center"/>
      </w:pPr>
      <w:r>
        <w:rPr>
          <w:sz w:val="20"/>
        </w:rPr>
      </w:r>
    </w:p>
    <w:p>
      <w:pPr>
        <w:pStyle w:val="0"/>
        <w:ind w:firstLine="540"/>
        <w:jc w:val="both"/>
      </w:pPr>
      <w:r>
        <w:rPr>
          <w:sz w:val="20"/>
        </w:rPr>
        <w:t xml:space="preserve">Из 12 случаев младенческой смертности за 9 месяцев 2022 г.: один случай, произошедший в ноябре 2021 г., в связи с регистрацией и оформлением документов вошел в статистику 2022 года; из 11 случаев 2022 года 3 ребенка родились доношенными и 9 детей - недоношенными. Из 9 недоношенных детей: шесть случаев - с 22 до 28 недели беременности, два случая - с 28 до 34 недели беременности, один случай - 35 - 37 неделя беременности. По структуре причин младенческой смертности: два случая аномалии строения паренхимы легочной ткани (один из детей - с МВПР), два случая некротизирующего энтероколита у недоношенного ребенка, 1 случай внутрижелудочкового кровоизлияния (нетравматического генеза) на фоне недоношенности, четыре случая неонатального сепсиса (два из них - двойня на фоне длительного безводного периода 28 суток и при сроке гестации менее 28 недель беременности; третий ребенок родился в инфекционно-токсическом шоке на фоне дважды перенесенной во время беременности новой коронавирусной инфекции, четвертый ребенок - ранний неонатальный сепсис на фоне недоношенности), один случай врожденной пневмонии, два случая глубокой незрелости (24 недели).</w:t>
      </w:r>
    </w:p>
    <w:p>
      <w:pPr>
        <w:pStyle w:val="0"/>
        <w:spacing w:before="200" w:line-rule="auto"/>
        <w:ind w:firstLine="540"/>
        <w:jc w:val="both"/>
      </w:pPr>
      <w:r>
        <w:rPr>
          <w:sz w:val="20"/>
        </w:rPr>
        <w:t xml:space="preserve">Все дети консультированы путем телемедицинской консультации со специалистами федеральных центров. Рост показателя младенческой смертности в 2022 году в городе Севастополе произошел за счет недоношенных детей с массой тела менее 1000 г., чей прогноз изначально расценивался как серьезный и угрожающий (несмотря на все проводимые меры профилактики и лечения), детей с аномалиями строения паренхимы легочной ткани и детей с врожденным неонатальным сепсисом. Рост преждевременных родов связан с перенесенной во время беременности острой респираторно-вирусной инфекцией, в том числе COVID-19.</w:t>
      </w:r>
    </w:p>
    <w:p>
      <w:pPr>
        <w:pStyle w:val="0"/>
        <w:spacing w:before="200" w:line-rule="auto"/>
        <w:ind w:firstLine="540"/>
        <w:jc w:val="both"/>
      </w:pPr>
      <w:r>
        <w:rPr>
          <w:sz w:val="20"/>
        </w:rPr>
        <w:t xml:space="preserve">Отмечается снижение рождаемости с 2015 года. В 2017 году родилось 4530 детей, в 2018 году родилось 4114 детей (на 416 детей меньше, чем в 2017 году), в 2019 году родилось 3967 детей (на 147 детей меньше, чем в 2018 году), в 2020 году родилось 3730 детей (на 237 детей меньше, чем в 2019 году), в 2021 году - 3747 детей.</w:t>
      </w:r>
    </w:p>
    <w:p>
      <w:pPr>
        <w:pStyle w:val="0"/>
        <w:spacing w:before="200" w:line-rule="auto"/>
        <w:ind w:firstLine="540"/>
        <w:jc w:val="both"/>
      </w:pPr>
      <w:r>
        <w:rPr>
          <w:sz w:val="20"/>
        </w:rPr>
        <w:t xml:space="preserve">По оперативным данным за 9 месяцев 2022 г. родилось 2759 детей, что на 26 детей меньше, чем за аналогичный период 2021 года (9 мес. 2021 г. - 2785 детей). В городе Севастополе медицинская помощь по профилям "акушерство и гинекология", "неонатология" и "педиатрия" оказывается Городской больницей N 5.</w:t>
      </w:r>
    </w:p>
    <w:p>
      <w:pPr>
        <w:pStyle w:val="0"/>
        <w:jc w:val="center"/>
      </w:pPr>
      <w:r>
        <w:rPr>
          <w:sz w:val="20"/>
        </w:rPr>
      </w:r>
    </w:p>
    <w:p>
      <w:pPr>
        <w:pStyle w:val="2"/>
        <w:outlineLvl w:val="3"/>
        <w:jc w:val="center"/>
      </w:pPr>
      <w:r>
        <w:rPr>
          <w:sz w:val="20"/>
        </w:rPr>
        <w:t xml:space="preserve">1.3. Анализ показателей заболеваемости врожденными</w:t>
      </w:r>
    </w:p>
    <w:p>
      <w:pPr>
        <w:pStyle w:val="2"/>
        <w:jc w:val="center"/>
      </w:pPr>
      <w:r>
        <w:rPr>
          <w:sz w:val="20"/>
        </w:rPr>
        <w:t xml:space="preserve">и наследственными заболеваниями, обследование на которые</w:t>
      </w:r>
    </w:p>
    <w:p>
      <w:pPr>
        <w:pStyle w:val="2"/>
        <w:jc w:val="center"/>
      </w:pPr>
      <w:r>
        <w:rPr>
          <w:sz w:val="20"/>
        </w:rPr>
        <w:t xml:space="preserve">проводится в рамках НС и РНС, структура инвалидности</w:t>
      </w:r>
    </w:p>
    <w:p>
      <w:pPr>
        <w:pStyle w:val="2"/>
        <w:jc w:val="center"/>
      </w:pPr>
      <w:r>
        <w:rPr>
          <w:sz w:val="20"/>
        </w:rPr>
        <w:t xml:space="preserve">и смертности от указанных заболеваний в субъекте</w:t>
      </w:r>
    </w:p>
    <w:p>
      <w:pPr>
        <w:pStyle w:val="2"/>
        <w:jc w:val="center"/>
      </w:pPr>
      <w:r>
        <w:rPr>
          <w:sz w:val="20"/>
        </w:rPr>
        <w:t xml:space="preserve">Российской Федерации с 2018 года</w:t>
      </w:r>
    </w:p>
    <w:p>
      <w:pPr>
        <w:pStyle w:val="0"/>
        <w:jc w:val="center"/>
      </w:pPr>
      <w:r>
        <w:rPr>
          <w:sz w:val="20"/>
        </w:rPr>
      </w:r>
    </w:p>
    <w:p>
      <w:pPr>
        <w:pStyle w:val="0"/>
        <w:jc w:val="right"/>
      </w:pPr>
      <w:r>
        <w:rPr>
          <w:sz w:val="20"/>
        </w:rPr>
        <w:t xml:space="preserve">Таблица 5</w:t>
      </w:r>
    </w:p>
    <w:p>
      <w:pPr>
        <w:pStyle w:val="0"/>
      </w:pPr>
      <w:r>
        <w:rPr>
          <w:sz w:val="20"/>
        </w:rPr>
      </w:r>
    </w:p>
    <w:p>
      <w:pPr>
        <w:pStyle w:val="0"/>
        <w:jc w:val="center"/>
      </w:pPr>
      <w:r>
        <w:rPr>
          <w:sz w:val="20"/>
        </w:rPr>
        <w:t xml:space="preserve">Число детей с впервые выявленными врожденными</w:t>
      </w:r>
    </w:p>
    <w:p>
      <w:pPr>
        <w:pStyle w:val="0"/>
        <w:jc w:val="center"/>
      </w:pPr>
      <w:r>
        <w:rPr>
          <w:sz w:val="20"/>
        </w:rPr>
        <w:t xml:space="preserve">и наследственными заболеваниями в 2017 - 2022 гг.</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850"/>
        <w:gridCol w:w="859"/>
        <w:gridCol w:w="850"/>
        <w:gridCol w:w="850"/>
        <w:gridCol w:w="1701"/>
      </w:tblGrid>
      <w:tr>
        <w:tc>
          <w:tcPr>
            <w:tcW w:w="3969" w:type="dxa"/>
          </w:tcPr>
          <w:p>
            <w:pPr>
              <w:pStyle w:val="0"/>
              <w:jc w:val="center"/>
            </w:pPr>
            <w:r>
              <w:rPr>
                <w:sz w:val="20"/>
              </w:rPr>
              <w:t xml:space="preserve">Наименование диагноза</w:t>
            </w:r>
          </w:p>
        </w:tc>
        <w:tc>
          <w:tcPr>
            <w:tcW w:w="850" w:type="dxa"/>
          </w:tcPr>
          <w:p>
            <w:pPr>
              <w:pStyle w:val="0"/>
              <w:jc w:val="center"/>
            </w:pPr>
            <w:r>
              <w:rPr>
                <w:sz w:val="20"/>
              </w:rPr>
              <w:t xml:space="preserve">2018 г.</w:t>
            </w:r>
          </w:p>
        </w:tc>
        <w:tc>
          <w:tcPr>
            <w:tcW w:w="859" w:type="dxa"/>
          </w:tcPr>
          <w:p>
            <w:pPr>
              <w:pStyle w:val="0"/>
              <w:jc w:val="center"/>
            </w:pPr>
            <w:r>
              <w:rPr>
                <w:sz w:val="20"/>
              </w:rPr>
              <w:t xml:space="preserve">2019 г.</w:t>
            </w:r>
          </w:p>
        </w:tc>
        <w:tc>
          <w:tcPr>
            <w:tcW w:w="850" w:type="dxa"/>
          </w:tcPr>
          <w:p>
            <w:pPr>
              <w:pStyle w:val="0"/>
              <w:jc w:val="center"/>
            </w:pPr>
            <w:r>
              <w:rPr>
                <w:sz w:val="20"/>
              </w:rPr>
              <w:t xml:space="preserve">2020 г.</w:t>
            </w:r>
          </w:p>
        </w:tc>
        <w:tc>
          <w:tcPr>
            <w:tcW w:w="850" w:type="dxa"/>
          </w:tcPr>
          <w:p>
            <w:pPr>
              <w:pStyle w:val="0"/>
              <w:jc w:val="center"/>
            </w:pPr>
            <w:r>
              <w:rPr>
                <w:sz w:val="20"/>
              </w:rPr>
              <w:t xml:space="preserve">2021 г.</w:t>
            </w:r>
          </w:p>
        </w:tc>
        <w:tc>
          <w:tcPr>
            <w:tcW w:w="1701" w:type="dxa"/>
          </w:tcPr>
          <w:p>
            <w:pPr>
              <w:pStyle w:val="0"/>
              <w:jc w:val="center"/>
            </w:pPr>
            <w:r>
              <w:rPr>
                <w:sz w:val="20"/>
              </w:rPr>
              <w:t xml:space="preserve">9 мес. 2022 г.</w:t>
            </w:r>
          </w:p>
        </w:tc>
      </w:tr>
      <w:tr>
        <w:tc>
          <w:tcPr>
            <w:tcW w:w="3969" w:type="dxa"/>
          </w:tcPr>
          <w:p>
            <w:pPr>
              <w:pStyle w:val="0"/>
              <w:jc w:val="both"/>
            </w:pPr>
            <w:r>
              <w:rPr>
                <w:sz w:val="20"/>
              </w:rPr>
              <w:t xml:space="preserve">Врожденный гипотиреоз</w:t>
            </w:r>
          </w:p>
        </w:tc>
        <w:tc>
          <w:tcPr>
            <w:tcW w:w="850" w:type="dxa"/>
          </w:tcPr>
          <w:p>
            <w:pPr>
              <w:pStyle w:val="0"/>
              <w:jc w:val="center"/>
            </w:pPr>
            <w:r>
              <w:rPr>
                <w:sz w:val="20"/>
              </w:rPr>
              <w:t xml:space="preserve">1</w:t>
            </w:r>
          </w:p>
        </w:tc>
        <w:tc>
          <w:tcPr>
            <w:tcW w:w="859" w:type="dxa"/>
          </w:tcPr>
          <w:p>
            <w:pPr>
              <w:pStyle w:val="0"/>
              <w:jc w:val="center"/>
            </w:pPr>
            <w:r>
              <w:rPr>
                <w:sz w:val="20"/>
              </w:rPr>
              <w:t xml:space="preserve">3</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Галактоземия</w:t>
            </w:r>
          </w:p>
        </w:tc>
        <w:tc>
          <w:tcPr>
            <w:tcW w:w="850" w:type="dxa"/>
          </w:tcPr>
          <w:p>
            <w:pPr>
              <w:pStyle w:val="0"/>
              <w:jc w:val="center"/>
            </w:pPr>
            <w:r>
              <w:rPr>
                <w:sz w:val="20"/>
              </w:rPr>
              <w:t xml:space="preserve">1</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Фенилкетонурия</w:t>
            </w:r>
          </w:p>
        </w:tc>
        <w:tc>
          <w:tcPr>
            <w:tcW w:w="850" w:type="dxa"/>
          </w:tcPr>
          <w:p>
            <w:pPr>
              <w:pStyle w:val="0"/>
              <w:jc w:val="center"/>
            </w:pPr>
            <w:r>
              <w:rPr>
                <w:sz w:val="20"/>
              </w:rPr>
              <w:t xml:space="preserve">2</w:t>
            </w:r>
          </w:p>
        </w:tc>
        <w:tc>
          <w:tcPr>
            <w:tcW w:w="859" w:type="dxa"/>
          </w:tcPr>
          <w:p>
            <w:pPr>
              <w:pStyle w:val="0"/>
              <w:jc w:val="center"/>
            </w:pPr>
            <w:r>
              <w:rPr>
                <w:sz w:val="20"/>
              </w:rPr>
              <w:t xml:space="preserve">-</w:t>
            </w:r>
          </w:p>
        </w:tc>
        <w:tc>
          <w:tcPr>
            <w:tcW w:w="850" w:type="dxa"/>
          </w:tcPr>
          <w:p>
            <w:pPr>
              <w:pStyle w:val="0"/>
              <w:jc w:val="center"/>
            </w:pPr>
            <w:r>
              <w:rPr>
                <w:sz w:val="20"/>
              </w:rPr>
              <w:t xml:space="preserve">1</w:t>
            </w:r>
          </w:p>
        </w:tc>
        <w:tc>
          <w:tcPr>
            <w:tcW w:w="850" w:type="dxa"/>
          </w:tcPr>
          <w:p>
            <w:pPr>
              <w:pStyle w:val="0"/>
              <w:jc w:val="center"/>
            </w:pPr>
            <w:r>
              <w:rPr>
                <w:sz w:val="20"/>
              </w:rPr>
              <w:t xml:space="preserve">1</w:t>
            </w:r>
          </w:p>
        </w:tc>
        <w:tc>
          <w:tcPr>
            <w:tcW w:w="1701" w:type="dxa"/>
          </w:tcPr>
          <w:p>
            <w:pPr>
              <w:pStyle w:val="0"/>
              <w:jc w:val="center"/>
            </w:pPr>
            <w:r>
              <w:rPr>
                <w:sz w:val="20"/>
              </w:rPr>
              <w:t xml:space="preserve">4</w:t>
            </w:r>
          </w:p>
        </w:tc>
      </w:tr>
      <w:tr>
        <w:tc>
          <w:tcPr>
            <w:tcW w:w="3969" w:type="dxa"/>
          </w:tcPr>
          <w:p>
            <w:pPr>
              <w:pStyle w:val="0"/>
              <w:jc w:val="both"/>
            </w:pPr>
            <w:r>
              <w:rPr>
                <w:sz w:val="20"/>
              </w:rPr>
              <w:t xml:space="preserve">Адреногенитальный синдром</w:t>
            </w:r>
          </w:p>
        </w:tc>
        <w:tc>
          <w:tcPr>
            <w:tcW w:w="850" w:type="dxa"/>
          </w:tcPr>
          <w:p>
            <w:pPr>
              <w:pStyle w:val="0"/>
              <w:jc w:val="center"/>
            </w:pPr>
            <w:r>
              <w:rPr>
                <w:sz w:val="20"/>
              </w:rPr>
              <w:t xml:space="preserve">-</w:t>
            </w:r>
          </w:p>
        </w:tc>
        <w:tc>
          <w:tcPr>
            <w:tcW w:w="859" w:type="dxa"/>
          </w:tcPr>
          <w:p>
            <w:pPr>
              <w:pStyle w:val="0"/>
              <w:jc w:val="center"/>
            </w:pPr>
            <w:r>
              <w:rPr>
                <w:sz w:val="20"/>
              </w:rPr>
              <w:t xml:space="preserve">3</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Муковисцидоз</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2</w:t>
            </w:r>
          </w:p>
        </w:tc>
        <w:tc>
          <w:tcPr>
            <w:tcW w:w="850" w:type="dxa"/>
          </w:tcPr>
          <w:p>
            <w:pPr>
              <w:pStyle w:val="0"/>
              <w:jc w:val="center"/>
            </w:pPr>
            <w:r>
              <w:rPr>
                <w:sz w:val="20"/>
              </w:rPr>
              <w:t xml:space="preserve">-</w:t>
            </w:r>
          </w:p>
        </w:tc>
        <w:tc>
          <w:tcPr>
            <w:tcW w:w="1701" w:type="dxa"/>
          </w:tcPr>
          <w:p>
            <w:pPr>
              <w:pStyle w:val="0"/>
              <w:jc w:val="center"/>
            </w:pPr>
            <w:r>
              <w:rPr>
                <w:sz w:val="20"/>
              </w:rPr>
              <w:t xml:space="preserve">1</w:t>
            </w:r>
          </w:p>
        </w:tc>
      </w:tr>
      <w:tr>
        <w:tc>
          <w:tcPr>
            <w:tcW w:w="3969" w:type="dxa"/>
          </w:tcPr>
          <w:p>
            <w:pPr>
              <w:pStyle w:val="0"/>
              <w:jc w:val="both"/>
            </w:pPr>
            <w:r>
              <w:rPr>
                <w:sz w:val="20"/>
              </w:rPr>
              <w:t xml:space="preserve">Наследственные болезни обмена</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Спинальная мышечная атрофия</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1</w:t>
            </w:r>
          </w:p>
        </w:tc>
        <w:tc>
          <w:tcPr>
            <w:tcW w:w="1701" w:type="dxa"/>
          </w:tcPr>
          <w:p>
            <w:pPr>
              <w:pStyle w:val="0"/>
              <w:jc w:val="center"/>
            </w:pPr>
            <w:r>
              <w:rPr>
                <w:sz w:val="20"/>
              </w:rPr>
              <w:t xml:space="preserve">1</w:t>
            </w:r>
          </w:p>
        </w:tc>
      </w:tr>
      <w:tr>
        <w:tc>
          <w:tcPr>
            <w:tcW w:w="3969" w:type="dxa"/>
          </w:tcPr>
          <w:p>
            <w:pPr>
              <w:pStyle w:val="0"/>
              <w:jc w:val="both"/>
            </w:pPr>
            <w:r>
              <w:rPr>
                <w:sz w:val="20"/>
              </w:rPr>
              <w:t xml:space="preserve">Первичные иммунодефициты</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Итого</w:t>
            </w:r>
          </w:p>
        </w:tc>
        <w:tc>
          <w:tcPr>
            <w:tcW w:w="850" w:type="dxa"/>
          </w:tcPr>
          <w:p>
            <w:pPr>
              <w:pStyle w:val="0"/>
              <w:jc w:val="center"/>
            </w:pPr>
            <w:r>
              <w:rPr>
                <w:sz w:val="20"/>
              </w:rPr>
              <w:t xml:space="preserve">4</w:t>
            </w:r>
          </w:p>
        </w:tc>
        <w:tc>
          <w:tcPr>
            <w:tcW w:w="859" w:type="dxa"/>
          </w:tcPr>
          <w:p>
            <w:pPr>
              <w:pStyle w:val="0"/>
              <w:jc w:val="center"/>
            </w:pPr>
            <w:r>
              <w:rPr>
                <w:sz w:val="20"/>
              </w:rPr>
              <w:t xml:space="preserve">6</w:t>
            </w:r>
          </w:p>
        </w:tc>
        <w:tc>
          <w:tcPr>
            <w:tcW w:w="850" w:type="dxa"/>
          </w:tcPr>
          <w:p>
            <w:pPr>
              <w:pStyle w:val="0"/>
              <w:jc w:val="center"/>
            </w:pPr>
            <w:r>
              <w:rPr>
                <w:sz w:val="20"/>
              </w:rPr>
              <w:t xml:space="preserve">3</w:t>
            </w:r>
          </w:p>
        </w:tc>
        <w:tc>
          <w:tcPr>
            <w:tcW w:w="850" w:type="dxa"/>
          </w:tcPr>
          <w:p>
            <w:pPr>
              <w:pStyle w:val="0"/>
              <w:jc w:val="center"/>
            </w:pPr>
            <w:r>
              <w:rPr>
                <w:sz w:val="20"/>
              </w:rPr>
              <w:t xml:space="preserve">2</w:t>
            </w:r>
          </w:p>
        </w:tc>
        <w:tc>
          <w:tcPr>
            <w:tcW w:w="1701" w:type="dxa"/>
          </w:tcPr>
          <w:p>
            <w:pPr>
              <w:pStyle w:val="0"/>
              <w:jc w:val="center"/>
            </w:pPr>
            <w:r>
              <w:rPr>
                <w:sz w:val="20"/>
              </w:rPr>
              <w:t xml:space="preserve">6</w:t>
            </w:r>
          </w:p>
        </w:tc>
      </w:tr>
    </w:tbl>
    <w:p>
      <w:pPr>
        <w:pStyle w:val="0"/>
        <w:ind w:firstLine="540"/>
        <w:jc w:val="both"/>
      </w:pPr>
      <w:r>
        <w:rPr>
          <w:sz w:val="20"/>
        </w:rPr>
      </w:r>
    </w:p>
    <w:p>
      <w:pPr>
        <w:pStyle w:val="0"/>
        <w:jc w:val="right"/>
      </w:pPr>
      <w:r>
        <w:rPr>
          <w:sz w:val="20"/>
        </w:rPr>
        <w:t xml:space="preserve">Таблица 6</w:t>
      </w:r>
    </w:p>
    <w:p>
      <w:pPr>
        <w:pStyle w:val="0"/>
        <w:jc w:val="right"/>
      </w:pPr>
      <w:r>
        <w:rPr>
          <w:sz w:val="20"/>
        </w:rPr>
      </w:r>
    </w:p>
    <w:p>
      <w:pPr>
        <w:pStyle w:val="0"/>
        <w:jc w:val="center"/>
      </w:pPr>
      <w:r>
        <w:rPr>
          <w:sz w:val="20"/>
        </w:rPr>
        <w:t xml:space="preserve">Число детей с врожденными и наследственными заболеваниями</w:t>
      </w:r>
    </w:p>
    <w:p>
      <w:pPr>
        <w:pStyle w:val="0"/>
        <w:jc w:val="center"/>
      </w:pPr>
      <w:r>
        <w:rPr>
          <w:sz w:val="20"/>
        </w:rPr>
        <w:t xml:space="preserve">с впервые установленной инвалидностью в возрасте 0 - 1 года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850"/>
        <w:gridCol w:w="859"/>
        <w:gridCol w:w="850"/>
        <w:gridCol w:w="850"/>
        <w:gridCol w:w="1701"/>
      </w:tblGrid>
      <w:tr>
        <w:tc>
          <w:tcPr>
            <w:tcW w:w="3969" w:type="dxa"/>
          </w:tcPr>
          <w:p>
            <w:pPr>
              <w:pStyle w:val="0"/>
              <w:jc w:val="center"/>
            </w:pPr>
            <w:r>
              <w:rPr>
                <w:sz w:val="20"/>
              </w:rPr>
              <w:t xml:space="preserve">Наименование диагноза</w:t>
            </w:r>
          </w:p>
        </w:tc>
        <w:tc>
          <w:tcPr>
            <w:tcW w:w="850" w:type="dxa"/>
          </w:tcPr>
          <w:p>
            <w:pPr>
              <w:pStyle w:val="0"/>
              <w:jc w:val="center"/>
            </w:pPr>
            <w:r>
              <w:rPr>
                <w:sz w:val="20"/>
              </w:rPr>
              <w:t xml:space="preserve">2018 г.</w:t>
            </w:r>
          </w:p>
        </w:tc>
        <w:tc>
          <w:tcPr>
            <w:tcW w:w="859" w:type="dxa"/>
          </w:tcPr>
          <w:p>
            <w:pPr>
              <w:pStyle w:val="0"/>
              <w:jc w:val="center"/>
            </w:pPr>
            <w:r>
              <w:rPr>
                <w:sz w:val="20"/>
              </w:rPr>
              <w:t xml:space="preserve">2019 г.</w:t>
            </w:r>
          </w:p>
        </w:tc>
        <w:tc>
          <w:tcPr>
            <w:tcW w:w="850" w:type="dxa"/>
          </w:tcPr>
          <w:p>
            <w:pPr>
              <w:pStyle w:val="0"/>
              <w:jc w:val="center"/>
            </w:pPr>
            <w:r>
              <w:rPr>
                <w:sz w:val="20"/>
              </w:rPr>
              <w:t xml:space="preserve">2020 г.</w:t>
            </w:r>
          </w:p>
        </w:tc>
        <w:tc>
          <w:tcPr>
            <w:tcW w:w="850" w:type="dxa"/>
          </w:tcPr>
          <w:p>
            <w:pPr>
              <w:pStyle w:val="0"/>
              <w:jc w:val="center"/>
            </w:pPr>
            <w:r>
              <w:rPr>
                <w:sz w:val="20"/>
              </w:rPr>
              <w:t xml:space="preserve">2021 г.</w:t>
            </w:r>
          </w:p>
        </w:tc>
        <w:tc>
          <w:tcPr>
            <w:tcW w:w="1701" w:type="dxa"/>
          </w:tcPr>
          <w:p>
            <w:pPr>
              <w:pStyle w:val="0"/>
              <w:jc w:val="center"/>
            </w:pPr>
            <w:r>
              <w:rPr>
                <w:sz w:val="20"/>
              </w:rPr>
              <w:t xml:space="preserve">9 мес. 2022 г.</w:t>
            </w:r>
          </w:p>
        </w:tc>
      </w:tr>
      <w:tr>
        <w:tc>
          <w:tcPr>
            <w:tcW w:w="3969" w:type="dxa"/>
          </w:tcPr>
          <w:p>
            <w:pPr>
              <w:pStyle w:val="0"/>
              <w:jc w:val="both"/>
            </w:pPr>
            <w:r>
              <w:rPr>
                <w:sz w:val="20"/>
              </w:rPr>
              <w:t xml:space="preserve">Врожденный гипотиреоз</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Галактоземия</w:t>
            </w:r>
          </w:p>
        </w:tc>
        <w:tc>
          <w:tcPr>
            <w:tcW w:w="850" w:type="dxa"/>
          </w:tcPr>
          <w:p>
            <w:pPr>
              <w:pStyle w:val="0"/>
              <w:jc w:val="center"/>
            </w:pPr>
            <w:r>
              <w:rPr>
                <w:sz w:val="20"/>
              </w:rPr>
              <w:t xml:space="preserve">1</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Фенилкетонурия</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1</w:t>
            </w:r>
          </w:p>
        </w:tc>
        <w:tc>
          <w:tcPr>
            <w:tcW w:w="850" w:type="dxa"/>
          </w:tcPr>
          <w:p>
            <w:pPr>
              <w:pStyle w:val="0"/>
              <w:jc w:val="center"/>
            </w:pPr>
            <w:r>
              <w:rPr>
                <w:sz w:val="20"/>
              </w:rPr>
              <w:t xml:space="preserve">1</w:t>
            </w:r>
          </w:p>
        </w:tc>
        <w:tc>
          <w:tcPr>
            <w:tcW w:w="1701" w:type="dxa"/>
          </w:tcPr>
          <w:p>
            <w:pPr>
              <w:pStyle w:val="0"/>
              <w:jc w:val="center"/>
            </w:pPr>
            <w:r>
              <w:rPr>
                <w:sz w:val="20"/>
              </w:rPr>
              <w:t xml:space="preserve">2</w:t>
            </w:r>
          </w:p>
        </w:tc>
      </w:tr>
      <w:tr>
        <w:tc>
          <w:tcPr>
            <w:tcW w:w="3969" w:type="dxa"/>
          </w:tcPr>
          <w:p>
            <w:pPr>
              <w:pStyle w:val="0"/>
              <w:jc w:val="both"/>
            </w:pPr>
            <w:r>
              <w:rPr>
                <w:sz w:val="20"/>
              </w:rPr>
              <w:t xml:space="preserve">Адреногенитальный синдром</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Муковисцидоз</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2</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Наследственные болезни обмена</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Спинальная мышечная атрофия</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1</w:t>
            </w:r>
          </w:p>
        </w:tc>
        <w:tc>
          <w:tcPr>
            <w:tcW w:w="1701" w:type="dxa"/>
          </w:tcPr>
          <w:p>
            <w:pPr>
              <w:pStyle w:val="0"/>
              <w:jc w:val="center"/>
            </w:pPr>
            <w:r>
              <w:rPr>
                <w:sz w:val="20"/>
              </w:rPr>
              <w:t xml:space="preserve">1</w:t>
            </w:r>
          </w:p>
        </w:tc>
      </w:tr>
      <w:tr>
        <w:tc>
          <w:tcPr>
            <w:tcW w:w="3969" w:type="dxa"/>
          </w:tcPr>
          <w:p>
            <w:pPr>
              <w:pStyle w:val="0"/>
              <w:jc w:val="both"/>
            </w:pPr>
            <w:r>
              <w:rPr>
                <w:sz w:val="20"/>
              </w:rPr>
              <w:t xml:space="preserve">Первичные иммунодефициты</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Итого</w:t>
            </w:r>
          </w:p>
        </w:tc>
        <w:tc>
          <w:tcPr>
            <w:tcW w:w="850" w:type="dxa"/>
          </w:tcPr>
          <w:p>
            <w:pPr>
              <w:pStyle w:val="0"/>
              <w:jc w:val="center"/>
            </w:pPr>
            <w:r>
              <w:rPr>
                <w:sz w:val="20"/>
              </w:rPr>
              <w:t xml:space="preserve">1</w:t>
            </w:r>
          </w:p>
        </w:tc>
        <w:tc>
          <w:tcPr>
            <w:tcW w:w="859" w:type="dxa"/>
          </w:tcPr>
          <w:p>
            <w:pPr>
              <w:pStyle w:val="0"/>
              <w:jc w:val="center"/>
            </w:pPr>
            <w:r>
              <w:rPr>
                <w:sz w:val="20"/>
              </w:rPr>
              <w:t xml:space="preserve">-</w:t>
            </w:r>
          </w:p>
        </w:tc>
        <w:tc>
          <w:tcPr>
            <w:tcW w:w="850" w:type="dxa"/>
          </w:tcPr>
          <w:p>
            <w:pPr>
              <w:pStyle w:val="0"/>
              <w:jc w:val="center"/>
            </w:pPr>
            <w:r>
              <w:rPr>
                <w:sz w:val="20"/>
              </w:rPr>
              <w:t xml:space="preserve">3</w:t>
            </w:r>
          </w:p>
        </w:tc>
        <w:tc>
          <w:tcPr>
            <w:tcW w:w="850" w:type="dxa"/>
          </w:tcPr>
          <w:p>
            <w:pPr>
              <w:pStyle w:val="0"/>
              <w:jc w:val="center"/>
            </w:pPr>
            <w:r>
              <w:rPr>
                <w:sz w:val="20"/>
              </w:rPr>
              <w:t xml:space="preserve">2</w:t>
            </w:r>
          </w:p>
        </w:tc>
        <w:tc>
          <w:tcPr>
            <w:tcW w:w="1701" w:type="dxa"/>
          </w:tcPr>
          <w:p>
            <w:pPr>
              <w:pStyle w:val="0"/>
              <w:jc w:val="center"/>
            </w:pPr>
            <w:r>
              <w:rPr>
                <w:sz w:val="20"/>
              </w:rPr>
              <w:t xml:space="preserve">3</w:t>
            </w:r>
          </w:p>
        </w:tc>
      </w:tr>
    </w:tbl>
    <w:p>
      <w:pPr>
        <w:pStyle w:val="0"/>
        <w:jc w:val="right"/>
      </w:pPr>
      <w:r>
        <w:rPr>
          <w:sz w:val="20"/>
        </w:rPr>
      </w:r>
    </w:p>
    <w:p>
      <w:pPr>
        <w:pStyle w:val="0"/>
        <w:jc w:val="right"/>
      </w:pPr>
      <w:r>
        <w:rPr>
          <w:sz w:val="20"/>
        </w:rPr>
        <w:t xml:space="preserve">Таблица 7</w:t>
      </w:r>
    </w:p>
    <w:p>
      <w:pPr>
        <w:pStyle w:val="0"/>
        <w:jc w:val="right"/>
      </w:pPr>
      <w:r>
        <w:rPr>
          <w:sz w:val="20"/>
        </w:rPr>
      </w:r>
    </w:p>
    <w:p>
      <w:pPr>
        <w:pStyle w:val="0"/>
        <w:jc w:val="center"/>
      </w:pPr>
      <w:r>
        <w:rPr>
          <w:sz w:val="20"/>
        </w:rPr>
        <w:t xml:space="preserve">Число детей с врожденными и наследственными заболеваниями,</w:t>
      </w:r>
    </w:p>
    <w:p>
      <w:pPr>
        <w:pStyle w:val="0"/>
        <w:jc w:val="center"/>
      </w:pPr>
      <w:r>
        <w:rPr>
          <w:sz w:val="20"/>
        </w:rPr>
        <w:t xml:space="preserve">умерших в возрасте 0 - 1 года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850"/>
        <w:gridCol w:w="859"/>
        <w:gridCol w:w="850"/>
        <w:gridCol w:w="850"/>
        <w:gridCol w:w="1701"/>
      </w:tblGrid>
      <w:tr>
        <w:tc>
          <w:tcPr>
            <w:tcW w:w="3969" w:type="dxa"/>
          </w:tcPr>
          <w:p>
            <w:pPr>
              <w:pStyle w:val="0"/>
              <w:jc w:val="center"/>
            </w:pPr>
            <w:r>
              <w:rPr>
                <w:sz w:val="20"/>
              </w:rPr>
              <w:t xml:space="preserve">Наименование диагноза</w:t>
            </w:r>
          </w:p>
        </w:tc>
        <w:tc>
          <w:tcPr>
            <w:tcW w:w="850" w:type="dxa"/>
          </w:tcPr>
          <w:p>
            <w:pPr>
              <w:pStyle w:val="0"/>
              <w:jc w:val="center"/>
            </w:pPr>
            <w:r>
              <w:rPr>
                <w:sz w:val="20"/>
              </w:rPr>
              <w:t xml:space="preserve">2018 г.</w:t>
            </w:r>
          </w:p>
        </w:tc>
        <w:tc>
          <w:tcPr>
            <w:tcW w:w="859" w:type="dxa"/>
          </w:tcPr>
          <w:p>
            <w:pPr>
              <w:pStyle w:val="0"/>
              <w:jc w:val="center"/>
            </w:pPr>
            <w:r>
              <w:rPr>
                <w:sz w:val="20"/>
              </w:rPr>
              <w:t xml:space="preserve">2019 г.</w:t>
            </w:r>
          </w:p>
        </w:tc>
        <w:tc>
          <w:tcPr>
            <w:tcW w:w="850" w:type="dxa"/>
          </w:tcPr>
          <w:p>
            <w:pPr>
              <w:pStyle w:val="0"/>
              <w:jc w:val="center"/>
            </w:pPr>
            <w:r>
              <w:rPr>
                <w:sz w:val="20"/>
              </w:rPr>
              <w:t xml:space="preserve">2020 г.</w:t>
            </w:r>
          </w:p>
        </w:tc>
        <w:tc>
          <w:tcPr>
            <w:tcW w:w="850" w:type="dxa"/>
          </w:tcPr>
          <w:p>
            <w:pPr>
              <w:pStyle w:val="0"/>
              <w:jc w:val="center"/>
            </w:pPr>
            <w:r>
              <w:rPr>
                <w:sz w:val="20"/>
              </w:rPr>
              <w:t xml:space="preserve">2021 г.</w:t>
            </w:r>
          </w:p>
        </w:tc>
        <w:tc>
          <w:tcPr>
            <w:tcW w:w="1701" w:type="dxa"/>
          </w:tcPr>
          <w:p>
            <w:pPr>
              <w:pStyle w:val="0"/>
              <w:jc w:val="center"/>
            </w:pPr>
            <w:r>
              <w:rPr>
                <w:sz w:val="20"/>
              </w:rPr>
              <w:t xml:space="preserve">9 мес. 2022 г.</w:t>
            </w:r>
          </w:p>
        </w:tc>
      </w:tr>
      <w:tr>
        <w:tc>
          <w:tcPr>
            <w:tcW w:w="3969" w:type="dxa"/>
          </w:tcPr>
          <w:p>
            <w:pPr>
              <w:pStyle w:val="0"/>
              <w:jc w:val="both"/>
            </w:pPr>
            <w:r>
              <w:rPr>
                <w:sz w:val="20"/>
              </w:rPr>
              <w:t xml:space="preserve">Врожденный гипотиреоз</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Галактоземия</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Фенилкетонурия</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Адреногенитальный синдром</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Муковисцидоз</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Наследственные болезни обмена</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Спинальная мышечная атрофия</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Первичные иммунодефициты</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r>
        <w:tc>
          <w:tcPr>
            <w:tcW w:w="3969" w:type="dxa"/>
          </w:tcPr>
          <w:p>
            <w:pPr>
              <w:pStyle w:val="0"/>
              <w:jc w:val="both"/>
            </w:pPr>
            <w:r>
              <w:rPr>
                <w:sz w:val="20"/>
              </w:rPr>
              <w:t xml:space="preserve">Итого</w:t>
            </w:r>
          </w:p>
        </w:tc>
        <w:tc>
          <w:tcPr>
            <w:tcW w:w="850" w:type="dxa"/>
          </w:tcPr>
          <w:p>
            <w:pPr>
              <w:pStyle w:val="0"/>
              <w:jc w:val="center"/>
            </w:pPr>
            <w:r>
              <w:rPr>
                <w:sz w:val="20"/>
              </w:rPr>
              <w:t xml:space="preserve">-</w:t>
            </w:r>
          </w:p>
        </w:tc>
        <w:tc>
          <w:tcPr>
            <w:tcW w:w="859"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1701"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В структуре общей заболеваемости наследственными заболеваниями согласно ФФСН N 12 "Сведения о числе заболеваний, зарегистрированных у пациентов, проживающих в районе обслуживания медицинской организации" в 2021 году зарегистрировано всего заболеваний: фенилкетонурия - 15 (у взрослых - 2, детей - 13), адреногенитальные расстройства - 11 (у взрослых - 3, детей - 8), муковисцидоз - 8 (у взрослых - 1, детей - 7), галактоземия - 1 ребенок.</w:t>
      </w:r>
    </w:p>
    <w:p>
      <w:pPr>
        <w:pStyle w:val="0"/>
        <w:spacing w:before="200" w:line-rule="auto"/>
        <w:ind w:firstLine="540"/>
        <w:jc w:val="both"/>
      </w:pPr>
      <w:r>
        <w:rPr>
          <w:sz w:val="20"/>
        </w:rPr>
        <w:t xml:space="preserve">Выводы. С 2006 года в Российской Федерации по </w:t>
      </w:r>
      <w:hyperlink w:history="0" r:id="rId1039" w:tooltip="Приказ Минздравсоцразвития РФ от 22.03.2006 N 185 &quot;О массовом обследовании новорожденных детей на наследственные заболевания&quot; (вместе с &quot;Положением об организации проведения массового обследования новорожденных детей на наследственные заболевания&quot;, &quot;Рекомендациями по забору образцов крови при проведении массового обследования новорожденных детей на наследственные заболевания&quot;) {КонсультантПлюс}">
        <w:r>
          <w:rPr>
            <w:sz w:val="20"/>
            <w:color w:val="0000ff"/>
          </w:rPr>
          <w:t xml:space="preserve">приказу</w:t>
        </w:r>
      </w:hyperlink>
      <w:r>
        <w:rPr>
          <w:sz w:val="20"/>
        </w:rPr>
        <w:t xml:space="preserve"> Минздравсоцразвития России от 22.03.2006 N 185 "О массовом обследовании новорожденных детей на наследственные заболевания" проводят НС на пять наследственных заболеваний:</w:t>
      </w:r>
    </w:p>
    <w:p>
      <w:pPr>
        <w:pStyle w:val="0"/>
        <w:spacing w:before="200" w:line-rule="auto"/>
        <w:ind w:firstLine="540"/>
        <w:jc w:val="both"/>
      </w:pPr>
      <w:r>
        <w:rPr>
          <w:sz w:val="20"/>
        </w:rPr>
        <w:t xml:space="preserve">1. Врожденный гипотиреоз.</w:t>
      </w:r>
    </w:p>
    <w:p>
      <w:pPr>
        <w:pStyle w:val="0"/>
        <w:spacing w:before="200" w:line-rule="auto"/>
        <w:ind w:firstLine="540"/>
        <w:jc w:val="both"/>
      </w:pPr>
      <w:r>
        <w:rPr>
          <w:sz w:val="20"/>
        </w:rPr>
        <w:t xml:space="preserve">2. Фенилкетонурия.</w:t>
      </w:r>
    </w:p>
    <w:p>
      <w:pPr>
        <w:pStyle w:val="0"/>
        <w:spacing w:before="200" w:line-rule="auto"/>
        <w:ind w:firstLine="540"/>
        <w:jc w:val="both"/>
      </w:pPr>
      <w:r>
        <w:rPr>
          <w:sz w:val="20"/>
        </w:rPr>
        <w:t xml:space="preserve">3. Муковисцидоз.</w:t>
      </w:r>
    </w:p>
    <w:p>
      <w:pPr>
        <w:pStyle w:val="0"/>
        <w:spacing w:before="200" w:line-rule="auto"/>
        <w:ind w:firstLine="540"/>
        <w:jc w:val="both"/>
      </w:pPr>
      <w:r>
        <w:rPr>
          <w:sz w:val="20"/>
        </w:rPr>
        <w:t xml:space="preserve">4. Галактоземия.</w:t>
      </w:r>
    </w:p>
    <w:p>
      <w:pPr>
        <w:pStyle w:val="0"/>
        <w:spacing w:before="200" w:line-rule="auto"/>
        <w:ind w:firstLine="540"/>
        <w:jc w:val="both"/>
      </w:pPr>
      <w:r>
        <w:rPr>
          <w:sz w:val="20"/>
        </w:rPr>
        <w:t xml:space="preserve">5. Адреногенитальный синдром.</w:t>
      </w:r>
    </w:p>
    <w:p>
      <w:pPr>
        <w:pStyle w:val="0"/>
        <w:spacing w:before="200" w:line-rule="auto"/>
        <w:ind w:firstLine="540"/>
        <w:jc w:val="both"/>
      </w:pPr>
      <w:r>
        <w:rPr>
          <w:sz w:val="20"/>
        </w:rPr>
        <w:t xml:space="preserve">С 2023 года планируется проводить РНС по более 30 наследственным заболеваниям. Это позволит выявить группы риска для наблюдения или установления доклинического диагноза до появления симптомов заболевания. Скрининг на наследственные заболевания зачастую является единственным способом быстро и своевременно выявить группы риска, начать наблюдение и своевременное лечение.</w:t>
      </w:r>
    </w:p>
    <w:p>
      <w:pPr>
        <w:pStyle w:val="0"/>
        <w:ind w:firstLine="540"/>
        <w:jc w:val="both"/>
      </w:pPr>
      <w:r>
        <w:rPr>
          <w:sz w:val="20"/>
        </w:rPr>
      </w:r>
    </w:p>
    <w:p>
      <w:pPr>
        <w:pStyle w:val="2"/>
        <w:outlineLvl w:val="3"/>
        <w:jc w:val="center"/>
      </w:pPr>
      <w:r>
        <w:rPr>
          <w:sz w:val="20"/>
        </w:rPr>
        <w:t xml:space="preserve">1.4. Нормативные правовые документы субъекта</w:t>
      </w:r>
    </w:p>
    <w:p>
      <w:pPr>
        <w:pStyle w:val="2"/>
        <w:jc w:val="center"/>
      </w:pPr>
      <w:r>
        <w:rPr>
          <w:sz w:val="20"/>
        </w:rPr>
        <w:t xml:space="preserve">Российской Федерации, регламентирующие оказание</w:t>
      </w:r>
    </w:p>
    <w:p>
      <w:pPr>
        <w:pStyle w:val="2"/>
        <w:jc w:val="center"/>
      </w:pPr>
      <w:r>
        <w:rPr>
          <w:sz w:val="20"/>
        </w:rPr>
        <w:t xml:space="preserve">медицинской помощи пациентам с врожденными</w:t>
      </w:r>
    </w:p>
    <w:p>
      <w:pPr>
        <w:pStyle w:val="2"/>
        <w:jc w:val="center"/>
      </w:pPr>
      <w:r>
        <w:rPr>
          <w:sz w:val="20"/>
        </w:rPr>
        <w:t xml:space="preserve">и наследственными заболеваниями</w:t>
      </w:r>
    </w:p>
    <w:p>
      <w:pPr>
        <w:pStyle w:val="0"/>
        <w:jc w:val="center"/>
      </w:pPr>
      <w:r>
        <w:rPr>
          <w:sz w:val="20"/>
        </w:rPr>
      </w:r>
    </w:p>
    <w:p>
      <w:pPr>
        <w:pStyle w:val="0"/>
        <w:jc w:val="right"/>
      </w:pPr>
      <w:r>
        <w:rPr>
          <w:sz w:val="20"/>
        </w:rPr>
        <w:t xml:space="preserve">Таблица 8</w:t>
      </w:r>
    </w:p>
    <w:p>
      <w:pPr>
        <w:pStyle w:val="0"/>
      </w:pPr>
      <w:r>
        <w:rPr>
          <w:sz w:val="20"/>
        </w:rPr>
      </w:r>
    </w:p>
    <w:p>
      <w:pPr>
        <w:pStyle w:val="0"/>
        <w:jc w:val="center"/>
      </w:pPr>
      <w:r>
        <w:rPr>
          <w:sz w:val="20"/>
        </w:rPr>
        <w:t xml:space="preserve">Нормативные правовые акты, регламентирующие оказание</w:t>
      </w:r>
    </w:p>
    <w:p>
      <w:pPr>
        <w:pStyle w:val="0"/>
        <w:jc w:val="center"/>
      </w:pPr>
      <w:r>
        <w:rPr>
          <w:sz w:val="20"/>
        </w:rPr>
        <w:t xml:space="preserve">медицинской помощи детям с врожденными и наследственными</w:t>
      </w:r>
    </w:p>
    <w:p>
      <w:pPr>
        <w:pStyle w:val="0"/>
        <w:jc w:val="center"/>
      </w:pPr>
      <w:r>
        <w:rPr>
          <w:sz w:val="20"/>
        </w:rPr>
        <w:t xml:space="preserve">заболеваниями в городе Севастополе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402"/>
        <w:gridCol w:w="2268"/>
        <w:gridCol w:w="2835"/>
      </w:tblGrid>
      <w:tr>
        <w:tc>
          <w:tcPr>
            <w:tcW w:w="567" w:type="dxa"/>
          </w:tcPr>
          <w:p>
            <w:pPr>
              <w:pStyle w:val="0"/>
              <w:jc w:val="center"/>
            </w:pPr>
            <w:r>
              <w:rPr>
                <w:sz w:val="20"/>
              </w:rPr>
              <w:t xml:space="preserve">N п/п</w:t>
            </w:r>
          </w:p>
        </w:tc>
        <w:tc>
          <w:tcPr>
            <w:tcW w:w="3402" w:type="dxa"/>
          </w:tcPr>
          <w:p>
            <w:pPr>
              <w:pStyle w:val="0"/>
              <w:jc w:val="center"/>
            </w:pPr>
            <w:r>
              <w:rPr>
                <w:sz w:val="20"/>
              </w:rPr>
              <w:t xml:space="preserve">Название НПА</w:t>
            </w:r>
          </w:p>
        </w:tc>
        <w:tc>
          <w:tcPr>
            <w:tcW w:w="2268" w:type="dxa"/>
          </w:tcPr>
          <w:p>
            <w:pPr>
              <w:pStyle w:val="0"/>
              <w:jc w:val="center"/>
            </w:pPr>
            <w:r>
              <w:rPr>
                <w:sz w:val="20"/>
              </w:rPr>
              <w:t xml:space="preserve">Дата, N документа</w:t>
            </w:r>
          </w:p>
        </w:tc>
        <w:tc>
          <w:tcPr>
            <w:tcW w:w="2835" w:type="dxa"/>
          </w:tcPr>
          <w:p>
            <w:pPr>
              <w:pStyle w:val="0"/>
              <w:jc w:val="center"/>
            </w:pPr>
            <w:r>
              <w:rPr>
                <w:sz w:val="20"/>
              </w:rPr>
              <w:t xml:space="preserve">Утвердивший орган</w:t>
            </w:r>
          </w:p>
        </w:tc>
      </w:tr>
      <w:tr>
        <w:tc>
          <w:tcPr>
            <w:tcW w:w="567" w:type="dxa"/>
          </w:tcPr>
          <w:p>
            <w:pPr>
              <w:pStyle w:val="0"/>
              <w:jc w:val="both"/>
            </w:pPr>
            <w:r>
              <w:rPr>
                <w:sz w:val="20"/>
              </w:rPr>
              <w:t xml:space="preserve">1.</w:t>
            </w:r>
          </w:p>
        </w:tc>
        <w:tc>
          <w:tcPr>
            <w:tcW w:w="3402" w:type="dxa"/>
          </w:tcPr>
          <w:p>
            <w:pPr>
              <w:pStyle w:val="0"/>
              <w:jc w:val="both"/>
            </w:pPr>
            <w:r>
              <w:rPr>
                <w:sz w:val="20"/>
              </w:rPr>
              <w:t xml:space="preserve">Приказ Департамента здравоохранения города Севастополя "Об оказании медико-генетической помощи населению города Севастополя"</w:t>
            </w:r>
          </w:p>
        </w:tc>
        <w:tc>
          <w:tcPr>
            <w:tcW w:w="2268" w:type="dxa"/>
          </w:tcPr>
          <w:p>
            <w:pPr>
              <w:pStyle w:val="0"/>
              <w:jc w:val="both"/>
            </w:pPr>
            <w:r>
              <w:rPr>
                <w:sz w:val="20"/>
              </w:rPr>
              <w:t xml:space="preserve">от 06.02.2017 N 106</w:t>
            </w:r>
          </w:p>
        </w:tc>
        <w:tc>
          <w:tcPr>
            <w:tcW w:w="2835" w:type="dxa"/>
          </w:tcPr>
          <w:p>
            <w:pPr>
              <w:pStyle w:val="0"/>
              <w:jc w:val="both"/>
            </w:pPr>
            <w:r>
              <w:rPr>
                <w:sz w:val="20"/>
              </w:rPr>
              <w:t xml:space="preserve">Департамент здравоохранения города Севастополя</w:t>
            </w:r>
          </w:p>
        </w:tc>
      </w:tr>
      <w:tr>
        <w:tc>
          <w:tcPr>
            <w:tcW w:w="567" w:type="dxa"/>
          </w:tcPr>
          <w:p>
            <w:pPr>
              <w:pStyle w:val="0"/>
              <w:jc w:val="both"/>
            </w:pPr>
            <w:r>
              <w:rPr>
                <w:sz w:val="20"/>
              </w:rPr>
              <w:t xml:space="preserve">2.</w:t>
            </w:r>
          </w:p>
        </w:tc>
        <w:tc>
          <w:tcPr>
            <w:tcW w:w="3402" w:type="dxa"/>
          </w:tcPr>
          <w:p>
            <w:pPr>
              <w:pStyle w:val="0"/>
              <w:jc w:val="both"/>
            </w:pPr>
            <w:r>
              <w:rPr>
                <w:sz w:val="20"/>
              </w:rPr>
              <w:t xml:space="preserve">Приказ Департамента здравоохранения города Севастополя "О соблюдении стандартов и порядков оказания медицинской помощи, клинических рекомендаций, утвержденных Министерством здравоохранения Российской Федерации"</w:t>
            </w:r>
          </w:p>
        </w:tc>
        <w:tc>
          <w:tcPr>
            <w:tcW w:w="2268" w:type="dxa"/>
          </w:tcPr>
          <w:p>
            <w:pPr>
              <w:pStyle w:val="0"/>
              <w:jc w:val="both"/>
            </w:pPr>
            <w:r>
              <w:rPr>
                <w:sz w:val="20"/>
              </w:rPr>
              <w:t xml:space="preserve">от 30.03.2021 N 147</w:t>
            </w:r>
          </w:p>
        </w:tc>
        <w:tc>
          <w:tcPr>
            <w:tcW w:w="2835" w:type="dxa"/>
          </w:tcPr>
          <w:p>
            <w:pPr>
              <w:pStyle w:val="0"/>
              <w:jc w:val="both"/>
            </w:pPr>
            <w:r>
              <w:rPr>
                <w:sz w:val="20"/>
              </w:rPr>
              <w:t xml:space="preserve">Департамент здравоохранения города Севастополя</w:t>
            </w:r>
          </w:p>
        </w:tc>
      </w:tr>
      <w:tr>
        <w:tc>
          <w:tcPr>
            <w:tcW w:w="567" w:type="dxa"/>
          </w:tcPr>
          <w:p>
            <w:pPr>
              <w:pStyle w:val="0"/>
              <w:jc w:val="both"/>
            </w:pPr>
            <w:r>
              <w:rPr>
                <w:sz w:val="20"/>
              </w:rPr>
              <w:t xml:space="preserve">3.</w:t>
            </w:r>
          </w:p>
        </w:tc>
        <w:tc>
          <w:tcPr>
            <w:tcW w:w="3402" w:type="dxa"/>
          </w:tcPr>
          <w:p>
            <w:pPr>
              <w:pStyle w:val="0"/>
              <w:jc w:val="both"/>
            </w:pPr>
            <w:r>
              <w:rPr>
                <w:sz w:val="20"/>
              </w:rPr>
              <w:t xml:space="preserve">Приказ ГБЗУС "Городская больница N 5 - "ЦОЗМИР" "О ведении реестра больных, страдающих орфанными и другими редкими заболеваниями"</w:t>
            </w:r>
          </w:p>
        </w:tc>
        <w:tc>
          <w:tcPr>
            <w:tcW w:w="2268" w:type="dxa"/>
          </w:tcPr>
          <w:p>
            <w:pPr>
              <w:pStyle w:val="0"/>
              <w:jc w:val="both"/>
            </w:pPr>
            <w:r>
              <w:rPr>
                <w:sz w:val="20"/>
              </w:rPr>
              <w:t xml:space="preserve">от 05.02.2020 N 120</w:t>
            </w:r>
          </w:p>
        </w:tc>
        <w:tc>
          <w:tcPr>
            <w:tcW w:w="2835" w:type="dxa"/>
          </w:tcPr>
          <w:p>
            <w:pPr>
              <w:pStyle w:val="0"/>
              <w:jc w:val="both"/>
            </w:pPr>
            <w:r>
              <w:rPr>
                <w:sz w:val="20"/>
              </w:rPr>
              <w:t xml:space="preserve">Городская больница N 5</w:t>
            </w:r>
          </w:p>
        </w:tc>
      </w:tr>
      <w:tr>
        <w:tc>
          <w:tcPr>
            <w:tcW w:w="567" w:type="dxa"/>
          </w:tcPr>
          <w:p>
            <w:pPr>
              <w:pStyle w:val="0"/>
              <w:jc w:val="both"/>
            </w:pPr>
            <w:r>
              <w:rPr>
                <w:sz w:val="20"/>
              </w:rPr>
              <w:t xml:space="preserve">4.</w:t>
            </w:r>
          </w:p>
        </w:tc>
        <w:tc>
          <w:tcPr>
            <w:tcW w:w="3402" w:type="dxa"/>
          </w:tcPr>
          <w:p>
            <w:pPr>
              <w:pStyle w:val="0"/>
              <w:jc w:val="both"/>
            </w:pPr>
            <w:r>
              <w:rPr>
                <w:sz w:val="20"/>
              </w:rPr>
              <w:t xml:space="preserve">Приказ Департамента здравоохранения города Севастополя "Об организации телемедицинских консультаций в медицинских организациях города Севастополя"</w:t>
            </w:r>
          </w:p>
        </w:tc>
        <w:tc>
          <w:tcPr>
            <w:tcW w:w="2268" w:type="dxa"/>
          </w:tcPr>
          <w:p>
            <w:pPr>
              <w:pStyle w:val="0"/>
              <w:jc w:val="both"/>
            </w:pPr>
            <w:r>
              <w:rPr>
                <w:sz w:val="20"/>
              </w:rPr>
              <w:t xml:space="preserve">от 19.06.2019 N 622</w:t>
            </w:r>
          </w:p>
        </w:tc>
        <w:tc>
          <w:tcPr>
            <w:tcW w:w="2835" w:type="dxa"/>
          </w:tcPr>
          <w:p>
            <w:pPr>
              <w:pStyle w:val="0"/>
              <w:jc w:val="both"/>
            </w:pPr>
            <w:r>
              <w:rPr>
                <w:sz w:val="20"/>
              </w:rPr>
              <w:t xml:space="preserve">Департамент здравоохранения города Севастополя</w:t>
            </w:r>
          </w:p>
        </w:tc>
      </w:tr>
      <w:tr>
        <w:tc>
          <w:tcPr>
            <w:tcW w:w="567" w:type="dxa"/>
          </w:tcPr>
          <w:p>
            <w:pPr>
              <w:pStyle w:val="0"/>
              <w:jc w:val="both"/>
            </w:pPr>
            <w:r>
              <w:rPr>
                <w:sz w:val="20"/>
              </w:rPr>
              <w:t xml:space="preserve">5.</w:t>
            </w:r>
          </w:p>
        </w:tc>
        <w:tc>
          <w:tcPr>
            <w:tcW w:w="3402" w:type="dxa"/>
          </w:tcPr>
          <w:p>
            <w:pPr>
              <w:pStyle w:val="0"/>
              <w:jc w:val="both"/>
            </w:pPr>
            <w:r>
              <w:rPr>
                <w:sz w:val="20"/>
              </w:rPr>
              <w:t xml:space="preserve">Приказ Департамента здравоохранения города Севастополя "О формировании потребности в лекарственных препаратах, медицинских изделиях и специализированных продуктах лечебного питания"</w:t>
            </w:r>
          </w:p>
        </w:tc>
        <w:tc>
          <w:tcPr>
            <w:tcW w:w="2268" w:type="dxa"/>
          </w:tcPr>
          <w:p>
            <w:pPr>
              <w:pStyle w:val="0"/>
              <w:jc w:val="both"/>
            </w:pPr>
            <w:r>
              <w:rPr>
                <w:sz w:val="20"/>
              </w:rPr>
              <w:t xml:space="preserve">от 15.06.2022 N 574</w:t>
            </w:r>
          </w:p>
        </w:tc>
        <w:tc>
          <w:tcPr>
            <w:tcW w:w="2835" w:type="dxa"/>
          </w:tcPr>
          <w:p>
            <w:pPr>
              <w:pStyle w:val="0"/>
              <w:jc w:val="both"/>
            </w:pPr>
            <w:r>
              <w:rPr>
                <w:sz w:val="20"/>
              </w:rPr>
              <w:t xml:space="preserve">Департамент здравоохранения города Севастополя</w:t>
            </w:r>
          </w:p>
        </w:tc>
      </w:tr>
    </w:tbl>
    <w:p>
      <w:pPr>
        <w:pStyle w:val="0"/>
        <w:ind w:firstLine="540"/>
        <w:jc w:val="both"/>
      </w:pPr>
      <w:r>
        <w:rPr>
          <w:sz w:val="20"/>
        </w:rPr>
      </w:r>
    </w:p>
    <w:p>
      <w:pPr>
        <w:pStyle w:val="0"/>
        <w:ind w:firstLine="540"/>
        <w:jc w:val="both"/>
      </w:pPr>
      <w:r>
        <w:rPr>
          <w:sz w:val="20"/>
        </w:rPr>
        <w:t xml:space="preserve">По вопросу реализации лекарственного обеспечения, а также обеспечения специализированными продуктами лечебного питания пациентов с врожденными и наследственными заболеваниями, в том числе в рамках взаимодействия с Фондом поддержки детей с тяжелыми жизнеугрожающими и хроническими заболеваниями, в том числе редкими (орфанными) заболеваниями, "Круг добра" (далее - Фонд "Круг добра"), Департамент здравоохранения города Севастополя руководствуется следующими федеральными нормативными правовыми актами.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402"/>
        <w:gridCol w:w="2268"/>
        <w:gridCol w:w="2835"/>
      </w:tblGrid>
      <w:tr>
        <w:tc>
          <w:tcPr>
            <w:tcW w:w="567" w:type="dxa"/>
          </w:tcPr>
          <w:p>
            <w:pPr>
              <w:pStyle w:val="0"/>
              <w:jc w:val="center"/>
            </w:pPr>
            <w:r>
              <w:rPr>
                <w:sz w:val="20"/>
              </w:rPr>
              <w:t xml:space="preserve">N п/п</w:t>
            </w:r>
          </w:p>
        </w:tc>
        <w:tc>
          <w:tcPr>
            <w:tcW w:w="3402" w:type="dxa"/>
          </w:tcPr>
          <w:p>
            <w:pPr>
              <w:pStyle w:val="0"/>
              <w:jc w:val="center"/>
            </w:pPr>
            <w:r>
              <w:rPr>
                <w:sz w:val="20"/>
              </w:rPr>
              <w:t xml:space="preserve">Название НПА</w:t>
            </w:r>
          </w:p>
        </w:tc>
        <w:tc>
          <w:tcPr>
            <w:tcW w:w="2268" w:type="dxa"/>
          </w:tcPr>
          <w:p>
            <w:pPr>
              <w:pStyle w:val="0"/>
              <w:jc w:val="center"/>
            </w:pPr>
            <w:r>
              <w:rPr>
                <w:sz w:val="20"/>
              </w:rPr>
              <w:t xml:space="preserve">Дата, N документа</w:t>
            </w:r>
          </w:p>
        </w:tc>
        <w:tc>
          <w:tcPr>
            <w:tcW w:w="2835" w:type="dxa"/>
          </w:tcPr>
          <w:p>
            <w:pPr>
              <w:pStyle w:val="0"/>
              <w:jc w:val="center"/>
            </w:pPr>
            <w:r>
              <w:rPr>
                <w:sz w:val="20"/>
              </w:rPr>
              <w:t xml:space="preserve">Утвердивший орган</w:t>
            </w:r>
          </w:p>
        </w:tc>
      </w:tr>
      <w:tr>
        <w:tc>
          <w:tcPr>
            <w:tcW w:w="567" w:type="dxa"/>
          </w:tcPr>
          <w:p>
            <w:pPr>
              <w:pStyle w:val="0"/>
              <w:jc w:val="both"/>
            </w:pPr>
            <w:r>
              <w:rPr>
                <w:sz w:val="20"/>
              </w:rPr>
              <w:t xml:space="preserve">1.</w:t>
            </w:r>
          </w:p>
        </w:tc>
        <w:tc>
          <w:tcPr>
            <w:tcW w:w="3402" w:type="dxa"/>
          </w:tcPr>
          <w:p>
            <w:pPr>
              <w:pStyle w:val="0"/>
              <w:jc w:val="both"/>
            </w:pPr>
            <w:hyperlink w:history="0" r:id="rId1040" w:tooltip="Указ Президента РФ от 05.01.2021 N 16 (ред. от 06.02.2023) &quot;О создании Фонда поддержки детей с тяжелыми жизнеугрожающими и хроническими заболеваниями, в том числе редкими (орфанными) заболеваниями, &quot;Круг добра&quot; {КонсультантПлюс}">
              <w:r>
                <w:rPr>
                  <w:sz w:val="20"/>
                  <w:color w:val="0000ff"/>
                </w:rPr>
                <w:t xml:space="preserve">Указ</w:t>
              </w:r>
            </w:hyperlink>
            <w:r>
              <w:rPr>
                <w:sz w:val="20"/>
              </w:rPr>
              <w:t xml:space="preserve"> Президента Российской Федерации от 05.01.2021 N 16 "О создании Фонда поддержки детей с тяжелыми жизнеугрожающими и хроническими заболеваниями, в том числе редкими (орфанными) заболеваниями, "Круг добра"</w:t>
            </w:r>
          </w:p>
        </w:tc>
        <w:tc>
          <w:tcPr>
            <w:tcW w:w="2268" w:type="dxa"/>
          </w:tcPr>
          <w:p>
            <w:pPr>
              <w:pStyle w:val="0"/>
              <w:jc w:val="both"/>
            </w:pPr>
            <w:r>
              <w:rPr>
                <w:sz w:val="20"/>
              </w:rPr>
              <w:t xml:space="preserve">от 05.01.2021 N 16</w:t>
            </w:r>
          </w:p>
        </w:tc>
        <w:tc>
          <w:tcPr>
            <w:tcW w:w="2835" w:type="dxa"/>
          </w:tcPr>
          <w:p>
            <w:pPr>
              <w:pStyle w:val="0"/>
              <w:jc w:val="both"/>
            </w:pPr>
            <w:r>
              <w:rPr>
                <w:sz w:val="20"/>
              </w:rPr>
              <w:t xml:space="preserve">Президент Российской Федерации (далее - РФ)</w:t>
            </w:r>
          </w:p>
        </w:tc>
      </w:tr>
      <w:tr>
        <w:tc>
          <w:tcPr>
            <w:tcW w:w="567" w:type="dxa"/>
          </w:tcPr>
          <w:p>
            <w:pPr>
              <w:pStyle w:val="0"/>
              <w:jc w:val="both"/>
            </w:pPr>
            <w:r>
              <w:rPr>
                <w:sz w:val="20"/>
              </w:rPr>
              <w:t xml:space="preserve">2.</w:t>
            </w:r>
          </w:p>
        </w:tc>
        <w:tc>
          <w:tcPr>
            <w:tcW w:w="3402" w:type="dxa"/>
          </w:tcPr>
          <w:p>
            <w:pPr>
              <w:pStyle w:val="0"/>
              <w:jc w:val="both"/>
            </w:pPr>
            <w:hyperlink w:history="0" r:id="rId1041" w:tooltip="Постановление Правительства РФ от 21.05.2021 N 769 (ред. от 15.02.2023) &quot;Об утверждении Правил обеспечения оказания медицинской помощи (при необходимости за пределами Российской Федерации) конкретному ребенку с тяжелым жизнеугрожающим или хроническим заболеванием, в том числе редким (орфанным) заболеванием, либо группам таких детей&quot; {КонсультантПлюс}">
              <w:r>
                <w:rPr>
                  <w:sz w:val="20"/>
                  <w:color w:val="0000ff"/>
                </w:rPr>
                <w:t xml:space="preserve">Постановление</w:t>
              </w:r>
            </w:hyperlink>
            <w:r>
              <w:rPr>
                <w:sz w:val="20"/>
              </w:rPr>
              <w:t xml:space="preserve"> Правительства Российской Федерации от 21.05.2021 N 769 "Об утверждении Правил обеспечения оказания медицинской помощи (при необходимости за пределами Российской Федерации) конкретному ребенку с тяжелым жизнеугрожающим или хроническим заболеванием, в том числе редким (орфанным) заболеванием, либо группам таких детей"</w:t>
            </w:r>
          </w:p>
        </w:tc>
        <w:tc>
          <w:tcPr>
            <w:tcW w:w="2268" w:type="dxa"/>
          </w:tcPr>
          <w:p>
            <w:pPr>
              <w:pStyle w:val="0"/>
              <w:jc w:val="both"/>
            </w:pPr>
            <w:r>
              <w:rPr>
                <w:sz w:val="20"/>
              </w:rPr>
              <w:t xml:space="preserve">от 21.05.2021 N 769</w:t>
            </w:r>
          </w:p>
        </w:tc>
        <w:tc>
          <w:tcPr>
            <w:tcW w:w="2835" w:type="dxa"/>
          </w:tcPr>
          <w:p>
            <w:pPr>
              <w:pStyle w:val="0"/>
              <w:jc w:val="both"/>
            </w:pPr>
            <w:r>
              <w:rPr>
                <w:sz w:val="20"/>
              </w:rPr>
              <w:t xml:space="preserve">Правительство РФ</w:t>
            </w:r>
          </w:p>
        </w:tc>
      </w:tr>
      <w:tr>
        <w:tc>
          <w:tcPr>
            <w:tcW w:w="567" w:type="dxa"/>
          </w:tcPr>
          <w:p>
            <w:pPr>
              <w:pStyle w:val="0"/>
              <w:jc w:val="both"/>
            </w:pPr>
            <w:r>
              <w:rPr>
                <w:sz w:val="20"/>
              </w:rPr>
              <w:t xml:space="preserve">3.</w:t>
            </w:r>
          </w:p>
        </w:tc>
        <w:tc>
          <w:tcPr>
            <w:tcW w:w="3402" w:type="dxa"/>
          </w:tcPr>
          <w:p>
            <w:pPr>
              <w:pStyle w:val="0"/>
              <w:jc w:val="both"/>
            </w:pPr>
            <w:hyperlink w:history="0" r:id="rId1042" w:tooltip="Постановление Правительства РФ от 08.04.2021 N 555 (ред. от 26.12.2022) &quot;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quot; (с изм. и доп., вст {КонсультантПлюс}">
              <w:r>
                <w:rPr>
                  <w:sz w:val="20"/>
                  <w:color w:val="0000ff"/>
                </w:rPr>
                <w:t xml:space="preserve">Постановление</w:t>
              </w:r>
            </w:hyperlink>
            <w:r>
              <w:rPr>
                <w:sz w:val="20"/>
              </w:rPr>
              <w:t xml:space="preserve"> Правительства Российской Федерации от 08.04.2021 N 555 "Об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w:t>
            </w:r>
          </w:p>
        </w:tc>
        <w:tc>
          <w:tcPr>
            <w:tcW w:w="2268" w:type="dxa"/>
          </w:tcPr>
          <w:p>
            <w:pPr>
              <w:pStyle w:val="0"/>
              <w:jc w:val="both"/>
            </w:pPr>
            <w:r>
              <w:rPr>
                <w:sz w:val="20"/>
              </w:rPr>
              <w:t xml:space="preserve">от 08.04.2021 N 555</w:t>
            </w:r>
          </w:p>
        </w:tc>
        <w:tc>
          <w:tcPr>
            <w:tcW w:w="2835" w:type="dxa"/>
          </w:tcPr>
          <w:p>
            <w:pPr>
              <w:pStyle w:val="0"/>
              <w:jc w:val="both"/>
            </w:pPr>
            <w:r>
              <w:rPr>
                <w:sz w:val="20"/>
              </w:rPr>
              <w:t xml:space="preserve">Правительство РФ</w:t>
            </w:r>
          </w:p>
        </w:tc>
      </w:tr>
      <w:tr>
        <w:tc>
          <w:tcPr>
            <w:tcW w:w="567" w:type="dxa"/>
          </w:tcPr>
          <w:p>
            <w:pPr>
              <w:pStyle w:val="0"/>
              <w:jc w:val="both"/>
            </w:pPr>
            <w:r>
              <w:rPr>
                <w:sz w:val="20"/>
              </w:rPr>
              <w:t xml:space="preserve">4.</w:t>
            </w:r>
          </w:p>
        </w:tc>
        <w:tc>
          <w:tcPr>
            <w:tcW w:w="3402" w:type="dxa"/>
          </w:tcPr>
          <w:p>
            <w:pPr>
              <w:pStyle w:val="0"/>
              <w:jc w:val="both"/>
            </w:pPr>
            <w:hyperlink w:history="0" r:id="rId1043" w:tooltip="Постановление Правительства РФ от 06.04.2021 N 545 (ред. от 15.02.2023) &quot;О порядке приобретения лекарственных препаратов, медицинских изделий и технических средств реабилитации для конкретного ребенка с тяжелым жизнеугрожающим и хроническим заболеванием, в том числе редким (орфанным) заболеванием, либо для групп таких детей&quot; (вместе с &quot;Правилами приобретения лекарственных препаратов и медицинских изделий для конкретного ребенка с тяжелым жизнеугрожающим и хроническим заболеванием, в том числе редким (орфанн {КонсультантПлюс}">
              <w:r>
                <w:rPr>
                  <w:sz w:val="20"/>
                  <w:color w:val="0000ff"/>
                </w:rPr>
                <w:t xml:space="preserve">Постановление</w:t>
              </w:r>
            </w:hyperlink>
            <w:r>
              <w:rPr>
                <w:sz w:val="20"/>
              </w:rPr>
              <w:t xml:space="preserve"> Правительства Российской Федерации от 06.04.2021 N 545 "О порядке приобретения лекарственных препаратов, медицинских изделий и технических средств реабилитации для конкретного ребенка с тяжелым жизнеугрожающим и хроническим заболеванием, в том числе редким (орфанным) заболеванием, либо для групп таких детей"</w:t>
            </w:r>
          </w:p>
        </w:tc>
        <w:tc>
          <w:tcPr>
            <w:tcW w:w="2268" w:type="dxa"/>
          </w:tcPr>
          <w:p>
            <w:pPr>
              <w:pStyle w:val="0"/>
              <w:jc w:val="both"/>
            </w:pPr>
            <w:r>
              <w:rPr>
                <w:sz w:val="20"/>
              </w:rPr>
              <w:t xml:space="preserve">от 06.04.2021 N 545</w:t>
            </w:r>
          </w:p>
        </w:tc>
        <w:tc>
          <w:tcPr>
            <w:tcW w:w="2835" w:type="dxa"/>
          </w:tcPr>
          <w:p>
            <w:pPr>
              <w:pStyle w:val="0"/>
              <w:jc w:val="both"/>
            </w:pPr>
            <w:r>
              <w:rPr>
                <w:sz w:val="20"/>
              </w:rPr>
              <w:t xml:space="preserve">Правительство РФ</w:t>
            </w:r>
          </w:p>
        </w:tc>
      </w:tr>
    </w:tbl>
    <w:p>
      <w:pPr>
        <w:pStyle w:val="0"/>
        <w:ind w:firstLine="540"/>
        <w:jc w:val="both"/>
      </w:pPr>
      <w:r>
        <w:rPr>
          <w:sz w:val="20"/>
        </w:rPr>
      </w:r>
    </w:p>
    <w:p>
      <w:pPr>
        <w:pStyle w:val="0"/>
        <w:ind w:firstLine="540"/>
        <w:jc w:val="both"/>
      </w:pPr>
      <w:r>
        <w:rPr>
          <w:sz w:val="20"/>
        </w:rPr>
        <w:t xml:space="preserve">В 2021 году Правительством Севастополя совместно с Фондом "Круг добра" проведены необходимые мероприятия по формированию персонифицированной потребности пациентов с диагнозом СМА в лекарственных препаратах "Нусинерсен", "Рисдиплам" и "Золгенсма" с целью оказания медицинской помощи за счет средств федерального бюджета.</w:t>
      </w:r>
    </w:p>
    <w:p>
      <w:pPr>
        <w:pStyle w:val="0"/>
        <w:spacing w:before="200" w:line-rule="auto"/>
        <w:ind w:firstLine="540"/>
        <w:jc w:val="both"/>
      </w:pPr>
      <w:r>
        <w:rPr>
          <w:sz w:val="20"/>
        </w:rPr>
        <w:t xml:space="preserve">В 2022 году осуществлена централизованная поставка лекарственного препарата "Рисдиплам" на склад аптечной сети для обеспечения двух пациентов в возрасте до 18 лет на текущий 2022 год в рамках амбулаторных условий за счет средств федерального бюджета (Фонд "Круг добра").</w:t>
      </w:r>
    </w:p>
    <w:p>
      <w:pPr>
        <w:pStyle w:val="0"/>
        <w:spacing w:before="200" w:line-rule="auto"/>
        <w:ind w:firstLine="540"/>
        <w:jc w:val="both"/>
      </w:pPr>
      <w:r>
        <w:rPr>
          <w:sz w:val="20"/>
        </w:rPr>
        <w:t xml:space="preserve">Двум пациентам в возрасте до 18 лет проведено лечение в Научно-исследовательском клиническом институте педиатрии имени академика Ю.Е. Вельтищева лекарственным препаратом по международному непатентованному наименованию "Онасемноген абепарвовек" (торговое наименование "Золгенсма"). Одному пациенту - за счет средств федерального бюджета (Фонд "Круг добра"), второму пациенту - за счет благотворительной акции фармацевтической компании.</w:t>
      </w:r>
    </w:p>
    <w:p>
      <w:pPr>
        <w:pStyle w:val="0"/>
        <w:spacing w:before="200" w:line-rule="auto"/>
        <w:ind w:firstLine="540"/>
        <w:jc w:val="both"/>
      </w:pPr>
      <w:r>
        <w:rPr>
          <w:sz w:val="20"/>
        </w:rPr>
        <w:t xml:space="preserve">На 2023 год направлены следующие заявки:</w:t>
      </w:r>
    </w:p>
    <w:p>
      <w:pPr>
        <w:pStyle w:val="0"/>
        <w:spacing w:before="200" w:line-rule="auto"/>
        <w:ind w:firstLine="540"/>
        <w:jc w:val="both"/>
      </w:pPr>
      <w:r>
        <w:rPr>
          <w:sz w:val="20"/>
        </w:rPr>
        <w:t xml:space="preserve">- "Нусинерсен" (3 пациента) - в количестве 9 флаконов (СМА);</w:t>
      </w:r>
    </w:p>
    <w:p>
      <w:pPr>
        <w:pStyle w:val="0"/>
        <w:spacing w:before="200" w:line-rule="auto"/>
        <w:ind w:firstLine="540"/>
        <w:jc w:val="both"/>
      </w:pPr>
      <w:r>
        <w:rPr>
          <w:sz w:val="20"/>
        </w:rPr>
        <w:t xml:space="preserve">- "Рисдиплам" (2 пациента) - 54 упаковки (СМА);</w:t>
      </w:r>
    </w:p>
    <w:p>
      <w:pPr>
        <w:pStyle w:val="0"/>
        <w:spacing w:before="200" w:line-rule="auto"/>
        <w:ind w:firstLine="540"/>
        <w:jc w:val="both"/>
      </w:pPr>
      <w:r>
        <w:rPr>
          <w:sz w:val="20"/>
        </w:rPr>
        <w:t xml:space="preserve">- "Оркамби" (1 пациент) - 14 упаковок (муковисцидоз);</w:t>
      </w:r>
    </w:p>
    <w:p>
      <w:pPr>
        <w:pStyle w:val="0"/>
        <w:spacing w:before="200" w:line-rule="auto"/>
        <w:ind w:firstLine="540"/>
        <w:jc w:val="both"/>
      </w:pPr>
      <w:r>
        <w:rPr>
          <w:sz w:val="20"/>
        </w:rPr>
        <w:t xml:space="preserve">- "Селуметиниб" (1 пациент) - 24 упаковки (нейрофиброматоз 1 типа);</w:t>
      </w:r>
    </w:p>
    <w:p>
      <w:pPr>
        <w:pStyle w:val="0"/>
        <w:spacing w:before="200" w:line-rule="auto"/>
        <w:ind w:firstLine="540"/>
        <w:jc w:val="both"/>
      </w:pPr>
      <w:r>
        <w:rPr>
          <w:sz w:val="20"/>
        </w:rPr>
        <w:t xml:space="preserve">- "Восоритид" (2 пациента) - 73 упаковки (ахондроплазия);</w:t>
      </w:r>
    </w:p>
    <w:p>
      <w:pPr>
        <w:pStyle w:val="0"/>
        <w:spacing w:before="200" w:line-rule="auto"/>
        <w:ind w:firstLine="540"/>
        <w:jc w:val="both"/>
      </w:pPr>
      <w:r>
        <w:rPr>
          <w:sz w:val="20"/>
        </w:rPr>
        <w:t xml:space="preserve">- "Иммуноглобулин человека нормальный" (2 пациента) - 80 упаковок (иммунодефицит);</w:t>
      </w:r>
    </w:p>
    <w:p>
      <w:pPr>
        <w:pStyle w:val="0"/>
        <w:spacing w:before="200" w:line-rule="auto"/>
        <w:ind w:firstLine="540"/>
        <w:jc w:val="both"/>
      </w:pPr>
      <w:r>
        <w:rPr>
          <w:sz w:val="20"/>
        </w:rPr>
        <w:t xml:space="preserve">- "Ценегермин" (1 пациент) - 16 упаковок (нейротрофический кератит);</w:t>
      </w:r>
    </w:p>
    <w:p>
      <w:pPr>
        <w:pStyle w:val="0"/>
        <w:spacing w:before="200" w:line-rule="auto"/>
        <w:ind w:firstLine="540"/>
        <w:jc w:val="both"/>
      </w:pPr>
      <w:r>
        <w:rPr>
          <w:sz w:val="20"/>
        </w:rPr>
        <w:t xml:space="preserve">- "Афинитор" (1 пациент) - 24 упаковки (туберозный склероз);</w:t>
      </w:r>
    </w:p>
    <w:p>
      <w:pPr>
        <w:pStyle w:val="0"/>
        <w:spacing w:before="200" w:line-rule="auto"/>
        <w:ind w:firstLine="540"/>
        <w:jc w:val="both"/>
      </w:pPr>
      <w:r>
        <w:rPr>
          <w:sz w:val="20"/>
        </w:rPr>
        <w:t xml:space="preserve">- "Динутукисмаб бета" (1 пациент) - 20 упаковок (нейробластома).</w:t>
      </w:r>
    </w:p>
    <w:p>
      <w:pPr>
        <w:pStyle w:val="0"/>
        <w:ind w:firstLine="540"/>
        <w:jc w:val="both"/>
      </w:pPr>
      <w:r>
        <w:rPr>
          <w:sz w:val="20"/>
        </w:rPr>
      </w:r>
    </w:p>
    <w:p>
      <w:pPr>
        <w:pStyle w:val="2"/>
        <w:outlineLvl w:val="3"/>
        <w:jc w:val="center"/>
      </w:pPr>
      <w:r>
        <w:rPr>
          <w:sz w:val="20"/>
        </w:rPr>
        <w:t xml:space="preserve">1.5. Ресурсы, задействованные в регионе для проведения НС</w:t>
      </w:r>
    </w:p>
    <w:p>
      <w:pPr>
        <w:pStyle w:val="2"/>
        <w:jc w:val="center"/>
      </w:pPr>
      <w:r>
        <w:rPr>
          <w:sz w:val="20"/>
        </w:rPr>
        <w:t xml:space="preserve">и оказания медицинской помощи пациентам с врожденными</w:t>
      </w:r>
    </w:p>
    <w:p>
      <w:pPr>
        <w:pStyle w:val="2"/>
        <w:jc w:val="center"/>
      </w:pPr>
      <w:r>
        <w:rPr>
          <w:sz w:val="20"/>
        </w:rPr>
        <w:t xml:space="preserve">и наследственными заболеваниями</w:t>
      </w:r>
    </w:p>
    <w:p>
      <w:pPr>
        <w:pStyle w:val="0"/>
        <w:jc w:val="center"/>
      </w:pPr>
      <w:r>
        <w:rPr>
          <w:sz w:val="20"/>
        </w:rPr>
      </w:r>
    </w:p>
    <w:p>
      <w:pPr>
        <w:pStyle w:val="0"/>
        <w:ind w:firstLine="540"/>
        <w:jc w:val="both"/>
      </w:pPr>
      <w:r>
        <w:rPr>
          <w:sz w:val="20"/>
        </w:rPr>
        <w:t xml:space="preserve">В городе Севастополе осуществляется забор биологического материала для исследования на НС в Городской больнице N 5, родильном доме N 2, МГК, также в МГК осуществляется консультирование по итогам скрининга. Медицинских организаций, проводящих исследования на НС, в регионе нет.</w:t>
      </w:r>
    </w:p>
    <w:p>
      <w:pPr>
        <w:pStyle w:val="0"/>
        <w:spacing w:before="200" w:line-rule="auto"/>
        <w:ind w:firstLine="540"/>
        <w:jc w:val="both"/>
      </w:pPr>
      <w:r>
        <w:rPr>
          <w:sz w:val="20"/>
        </w:rPr>
        <w:t xml:space="preserve">В 2021 году был заключен договор между Городской больницей N 5 и Краевой больницей ПЦ города Ставрополя для проведения НС. Тест-бланки с образцами крови транспортировались транспортной компанией. Результаты исследования получали специалисты МГК Городской больницы N 5 в электронном виде с последующим информированием пациента и медицинской организации, оказывающей первичную медико-санитарную помощь детям до проведения медико-генетического консультирования, постановки на учет пациента с выявленными врожденными и наследственными заболеваниями и назначения специфических лекарственных препаратов и специализированных продуктов лечебного питания.</w:t>
      </w:r>
    </w:p>
    <w:p>
      <w:pPr>
        <w:pStyle w:val="0"/>
        <w:spacing w:before="200" w:line-rule="auto"/>
        <w:ind w:firstLine="540"/>
        <w:jc w:val="both"/>
      </w:pPr>
      <w:r>
        <w:rPr>
          <w:sz w:val="20"/>
        </w:rPr>
        <w:t xml:space="preserve">Маршрут отправки тест-бланков:</w:t>
      </w:r>
    </w:p>
    <w:p>
      <w:pPr>
        <w:pStyle w:val="0"/>
        <w:spacing w:before="200" w:line-rule="auto"/>
        <w:ind w:firstLine="540"/>
        <w:jc w:val="both"/>
      </w:pPr>
      <w:r>
        <w:rPr>
          <w:sz w:val="20"/>
        </w:rPr>
        <w:t xml:space="preserve">- город Севастополь, проспект Генерала Острякова, 211а, Городская больница N 5 - город Симферополь, ул. Семашко, 8, Перинатальный центр. Расстояние от одной точки до другой - 77 км (схема 1);</w:t>
      </w:r>
    </w:p>
    <w:p>
      <w:pPr>
        <w:pStyle w:val="0"/>
        <w:spacing w:before="200" w:line-rule="auto"/>
        <w:ind w:firstLine="540"/>
        <w:jc w:val="both"/>
      </w:pPr>
      <w:r>
        <w:rPr>
          <w:sz w:val="20"/>
        </w:rPr>
        <w:t xml:space="preserve">- город Севастополь, проспект Генерала Острякова, 211а, Городская больница N 5 - город Краснодар, ул. 1-го Мая, 167, ГБУЗС "Научно-исследовательский институт - Краевая клиническая больница N 1 имени профессора С.В. Очаповского" Министерства здравоохранения Краснодарского края (далее - ГБУЗ "НИИ-ККБ N 1 им. С.В. Очаповского") - город Москва, ул. Москворечье, д. 1, ФГБНУ "Медико-генетический научный центр им. академика Н.П. Бочкова" (далее - ФГБНУ "МГНЦ" им. Н.П. Бочкова). Расстояние - 440 км (схема 2).</w:t>
      </w:r>
    </w:p>
    <w:p>
      <w:pPr>
        <w:pStyle w:val="0"/>
        <w:spacing w:before="200" w:line-rule="auto"/>
        <w:ind w:firstLine="540"/>
        <w:jc w:val="both"/>
      </w:pPr>
      <w:r>
        <w:rPr>
          <w:sz w:val="20"/>
        </w:rPr>
        <w:t xml:space="preserve">Доставка осуществляется один раз в два дня транспортной компанией.</w:t>
      </w:r>
    </w:p>
    <w:p>
      <w:pPr>
        <w:pStyle w:val="0"/>
        <w:spacing w:before="200" w:line-rule="auto"/>
        <w:ind w:firstLine="540"/>
        <w:jc w:val="both"/>
      </w:pPr>
      <w:r>
        <w:rPr>
          <w:sz w:val="20"/>
        </w:rPr>
        <w:t xml:space="preserve">Ответственный медработник, выполняющий отправку и контролирующий сроки доставки, - биолог МГК Городской больницы N 5.</w:t>
      </w:r>
    </w:p>
    <w:p>
      <w:pPr>
        <w:pStyle w:val="0"/>
        <w:ind w:firstLine="540"/>
        <w:jc w:val="both"/>
      </w:pPr>
      <w:r>
        <w:rPr>
          <w:sz w:val="20"/>
        </w:rPr>
      </w:r>
    </w:p>
    <w:p>
      <w:pPr>
        <w:pStyle w:val="2"/>
        <w:outlineLvl w:val="4"/>
        <w:jc w:val="center"/>
      </w:pPr>
      <w:r>
        <w:rPr>
          <w:sz w:val="20"/>
        </w:rPr>
        <w:t xml:space="preserve">1.5.1. Маршрутизация в рамках НС и РНС</w:t>
      </w:r>
    </w:p>
    <w:p>
      <w:pPr>
        <w:pStyle w:val="0"/>
        <w:ind w:firstLine="540"/>
        <w:jc w:val="both"/>
      </w:pPr>
      <w:r>
        <w:rPr>
          <w:sz w:val="20"/>
        </w:rPr>
      </w:r>
    </w:p>
    <w:p>
      <w:pPr>
        <w:pStyle w:val="0"/>
        <w:ind w:firstLine="540"/>
        <w:jc w:val="both"/>
      </w:pPr>
      <w:r>
        <w:rPr>
          <w:sz w:val="20"/>
        </w:rPr>
        <w:t xml:space="preserve">НС и РНС проводятся после получения информированного добровольного согласия от родителей или законного представителя, забор крови проводится в родильном доме или МГК Городской больницы N 5 обученным медицинским персоналом. Забор образцов крови осуществляется на два специальных бумажных фильтровальных тест-бланка: у доношенных детей кровь для исследования берется в возрасте 24 - 48 часов жизни, у недоношенных - на 7-й день жизни. Для исследования берут периферическую кровь из пяточки. Взятие крови производят утром натощак (2 - 3 часа после очередного кормления). Если в первые дни жизни до взятия крови ребенок не получал энтеральное питание или получал его менее чем два дня до взятия крови, то у этого ребенка скрининг проводится повторно не ранее чем через два дня после начала кормления. Если в первые дни жизни до взятия крови ребенку проводилось переливание крови или плазмы, то скрининг проводится повторно через 10 - 14 дней после переливания. Работник, выполнивший забор образцов крови, осуществляет запись в карте развития ребенка, выписном эпикризе о проведенном заборе с указанием даты и времени.</w:t>
      </w:r>
    </w:p>
    <w:p>
      <w:pPr>
        <w:pStyle w:val="0"/>
        <w:spacing w:before="200" w:line-rule="auto"/>
        <w:ind w:firstLine="540"/>
        <w:jc w:val="both"/>
      </w:pPr>
      <w:r>
        <w:rPr>
          <w:sz w:val="20"/>
        </w:rPr>
        <w:t xml:space="preserve">После взятия крови тест-бланк оставляется для высыхания без попадания на него прямых солнечных лучей и источников искусственного тепла на два часа.</w:t>
      </w:r>
    </w:p>
    <w:p>
      <w:pPr>
        <w:pStyle w:val="0"/>
        <w:spacing w:before="200" w:line-rule="auto"/>
        <w:ind w:firstLine="540"/>
        <w:jc w:val="both"/>
      </w:pPr>
      <w:r>
        <w:rPr>
          <w:sz w:val="20"/>
        </w:rPr>
        <w:t xml:space="preserve">Тест-бланки ежедневно собираются, из родильного дома транспортируются старшей медицинской сестрой отделения новорожденных в МГК и сдаются ответственному биологу МГК Городской больницы N 5, который ежедневно проверяет качество забора крови и правильность заполнения тест-бланков. В случае отсутствия в документации новорожденного при его поступлении под наблюдение в детскую поликлинику по месту жительства или переводе в детский стационар по медицинским показаниям отметки о взятии образца крови для проведения НС и РНС забор крови осуществляется медицинской сестрой при МГК Городской больницы N 5.</w:t>
      </w:r>
    </w:p>
    <w:p>
      <w:pPr>
        <w:pStyle w:val="0"/>
        <w:spacing w:before="200" w:line-rule="auto"/>
        <w:ind w:firstLine="540"/>
        <w:jc w:val="both"/>
      </w:pPr>
      <w:r>
        <w:rPr>
          <w:sz w:val="20"/>
        </w:rPr>
        <w:t xml:space="preserve">Регистрацию тест-бланков и их отправку транспортной компанией из МГК Городской больницы N 5 в МГК города Симферополя для выполнения НС и РНС осуществляет биолог МГК Городской больницы N 5 один раз в три дня.</w:t>
      </w:r>
    </w:p>
    <w:p>
      <w:pPr>
        <w:pStyle w:val="0"/>
        <w:spacing w:before="200" w:line-rule="auto"/>
        <w:ind w:firstLine="540"/>
        <w:jc w:val="both"/>
      </w:pPr>
      <w:r>
        <w:rPr>
          <w:sz w:val="20"/>
        </w:rPr>
        <w:t xml:space="preserve">МГК в течение 72 часов передает полученные из родильного дома тест-бланки в ГБУЗ "НИИ-ККБ N 1 им. С.В. Очаповского", где проводятся исследования на 31 заболевание. Вместе с тест-бланками передается флеш-карта со сведениями о новорожденных и датой отправки.</w:t>
      </w:r>
    </w:p>
    <w:p>
      <w:pPr>
        <w:pStyle w:val="0"/>
        <w:spacing w:before="200" w:line-rule="auto"/>
        <w:ind w:firstLine="540"/>
        <w:jc w:val="both"/>
      </w:pPr>
      <w:r>
        <w:rPr>
          <w:sz w:val="20"/>
        </w:rPr>
        <w:t xml:space="preserve">Из ГБУЗ "НИИ-ККБ N 1 им. С.В. Очаповского" результаты о группе риска по исследуемым нозологиям передаются в Медико-генетический центр на восьмой день. В течение суток информация из Медико-генетического центра передается в детские поликлиники по месту жительства с приглашением пациентов для взятия повторного биологического материала и отправки образцов в ФГБНУ "МГНЦ" им. Н.П. Бочкова, где проводится подтверждающая диагностика.</w:t>
      </w:r>
    </w:p>
    <w:p>
      <w:pPr>
        <w:pStyle w:val="0"/>
        <w:spacing w:before="200" w:line-rule="auto"/>
        <w:ind w:firstLine="540"/>
        <w:jc w:val="both"/>
      </w:pPr>
      <w:r>
        <w:rPr>
          <w:sz w:val="20"/>
        </w:rPr>
        <w:t xml:space="preserve">Детям из группы риска с первичным иммунодефицитом проводится иммунофенотипирование в ГБУЗ "ДККБ" города Краснодара с целью решения вопроса о необходимости проведения подтверждающей ДНК-диагностики.</w:t>
      </w:r>
    </w:p>
    <w:p>
      <w:pPr>
        <w:pStyle w:val="0"/>
        <w:spacing w:before="200" w:line-rule="auto"/>
        <w:ind w:firstLine="540"/>
        <w:jc w:val="both"/>
      </w:pPr>
      <w:r>
        <w:rPr>
          <w:sz w:val="20"/>
        </w:rPr>
        <w:t xml:space="preserve">После получения результатов подтверждающей диагностики формируется группа риска, сведения о которой передаются из Медико-генетического центра в медицинскую организацию по месту проживания с соответствующими рекомендациями в течение 48 часов. Семья приглашается на прием к генетику, где проводится первичное медико-генетическое консультирование семьи и дальнейшая маршрутизация семьи.</w:t>
      </w:r>
    </w:p>
    <w:p>
      <w:pPr>
        <w:pStyle w:val="0"/>
        <w:spacing w:before="200" w:line-rule="auto"/>
        <w:ind w:firstLine="540"/>
        <w:jc w:val="both"/>
      </w:pPr>
      <w:r>
        <w:rPr>
          <w:sz w:val="20"/>
        </w:rPr>
        <w:t xml:space="preserve">Проведение медико-генетического консультирования осуществляется согласно графику пять раз в неделю с понедельника по пятницу с 8 до 16 часов.</w:t>
      </w:r>
    </w:p>
    <w:p>
      <w:pPr>
        <w:pStyle w:val="0"/>
        <w:spacing w:before="200" w:line-rule="auto"/>
        <w:ind w:firstLine="540"/>
        <w:jc w:val="both"/>
      </w:pPr>
      <w:r>
        <w:rPr>
          <w:sz w:val="20"/>
        </w:rPr>
        <w:t xml:space="preserve">При необходимости проводятся медико-генетические консультирования, в том числе с применением телемедицины. Консультирование специалистов по профилю заболевания осуществляется в случае выявления заболевания с привлечением профильных специалистов Городской больницы N 5.</w:t>
      </w:r>
    </w:p>
    <w:p>
      <w:pPr>
        <w:pStyle w:val="0"/>
        <w:spacing w:before="200" w:line-rule="auto"/>
        <w:ind w:firstLine="540"/>
        <w:jc w:val="both"/>
      </w:pPr>
      <w:r>
        <w:rPr>
          <w:sz w:val="20"/>
        </w:rPr>
        <w:t xml:space="preserve">Диспансерное наблюдение детей с выявленной в результате НС патологией осуществляется совместно с профильными специалистами согласно порядкам и стандартам оказания помощи.</w:t>
      </w:r>
    </w:p>
    <w:p>
      <w:pPr>
        <w:pStyle w:val="0"/>
        <w:spacing w:before="200" w:line-rule="auto"/>
        <w:ind w:firstLine="540"/>
        <w:jc w:val="both"/>
      </w:pPr>
      <w:r>
        <w:rPr>
          <w:sz w:val="20"/>
        </w:rPr>
        <w:t xml:space="preserve">В случае необходимости оказания стационарной помощи детям с подозрением на наследственные заболевания, нуждающимся в дополнительном обследовании, уточнении диагноза, лечении, наблюдении профильных специалистов, ребенок направляется в Городскую больницу N 5.</w:t>
      </w:r>
    </w:p>
    <w:p>
      <w:pPr>
        <w:pStyle w:val="0"/>
        <w:ind w:firstLine="540"/>
        <w:jc w:val="both"/>
      </w:pPr>
      <w:r>
        <w:rPr>
          <w:sz w:val="20"/>
        </w:rPr>
      </w:r>
    </w:p>
    <w:p>
      <w:pPr>
        <w:pStyle w:val="0"/>
        <w:jc w:val="right"/>
      </w:pPr>
      <w:r>
        <w:rPr>
          <w:sz w:val="20"/>
        </w:rPr>
        <w:t xml:space="preserve">Таблица 9</w:t>
      </w:r>
    </w:p>
    <w:p>
      <w:pPr>
        <w:pStyle w:val="0"/>
        <w:jc w:val="right"/>
      </w:pPr>
      <w:r>
        <w:rPr>
          <w:sz w:val="20"/>
        </w:rPr>
      </w:r>
    </w:p>
    <w:p>
      <w:pPr>
        <w:pStyle w:val="0"/>
        <w:jc w:val="center"/>
      </w:pPr>
      <w:r>
        <w:rPr>
          <w:sz w:val="20"/>
        </w:rPr>
        <w:t xml:space="preserve">Диспансерное наблюдение детей с врожденными</w:t>
      </w:r>
    </w:p>
    <w:p>
      <w:pPr>
        <w:pStyle w:val="0"/>
        <w:jc w:val="center"/>
      </w:pPr>
      <w:r>
        <w:rPr>
          <w:sz w:val="20"/>
        </w:rPr>
        <w:t xml:space="preserve">и наследственными заболеваниями в 2021 году</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247"/>
        <w:gridCol w:w="1304"/>
        <w:gridCol w:w="1304"/>
        <w:gridCol w:w="1304"/>
        <w:gridCol w:w="1361"/>
        <w:gridCol w:w="1134"/>
      </w:tblGrid>
      <w:tr>
        <w:tc>
          <w:tcPr>
            <w:tcW w:w="2324" w:type="dxa"/>
          </w:tcPr>
          <w:p>
            <w:pPr>
              <w:pStyle w:val="0"/>
              <w:jc w:val="center"/>
            </w:pPr>
            <w:r>
              <w:rPr>
                <w:sz w:val="20"/>
              </w:rPr>
              <w:t xml:space="preserve">Наименование диагноза</w:t>
            </w:r>
          </w:p>
        </w:tc>
        <w:tc>
          <w:tcPr>
            <w:tcW w:w="1247" w:type="dxa"/>
          </w:tcPr>
          <w:p>
            <w:pPr>
              <w:pStyle w:val="0"/>
              <w:jc w:val="center"/>
            </w:pPr>
            <w:r>
              <w:rPr>
                <w:sz w:val="20"/>
              </w:rPr>
              <w:t xml:space="preserve">Число пациентов с впервые выявленными заболеваниями в 2021 г.</w:t>
            </w:r>
          </w:p>
        </w:tc>
        <w:tc>
          <w:tcPr>
            <w:tcW w:w="1304" w:type="dxa"/>
          </w:tcPr>
          <w:p>
            <w:pPr>
              <w:pStyle w:val="0"/>
              <w:jc w:val="center"/>
            </w:pPr>
            <w:r>
              <w:rPr>
                <w:sz w:val="20"/>
              </w:rPr>
              <w:t xml:space="preserve">Из числа пациентов с впервые выявленными заболеваниями в 2021 г. взято на Д-наблюдение</w:t>
            </w:r>
          </w:p>
        </w:tc>
        <w:tc>
          <w:tcPr>
            <w:tcW w:w="1304" w:type="dxa"/>
          </w:tcPr>
          <w:p>
            <w:pPr>
              <w:pStyle w:val="0"/>
              <w:jc w:val="center"/>
            </w:pPr>
            <w:r>
              <w:rPr>
                <w:sz w:val="20"/>
              </w:rPr>
              <w:t xml:space="preserve">Из числа пациентов, состоящих на Д-наблюдении, назначены ЛП/СПЛП</w:t>
            </w:r>
          </w:p>
        </w:tc>
        <w:tc>
          <w:tcPr>
            <w:tcW w:w="1304" w:type="dxa"/>
          </w:tcPr>
          <w:p>
            <w:pPr>
              <w:pStyle w:val="0"/>
              <w:jc w:val="center"/>
            </w:pPr>
            <w:r>
              <w:rPr>
                <w:sz w:val="20"/>
              </w:rPr>
              <w:t xml:space="preserve">Врач-специалист, осуществляющий Д-наблюдение</w:t>
            </w:r>
          </w:p>
        </w:tc>
        <w:tc>
          <w:tcPr>
            <w:tcW w:w="1361" w:type="dxa"/>
          </w:tcPr>
          <w:p>
            <w:pPr>
              <w:pStyle w:val="0"/>
              <w:jc w:val="center"/>
            </w:pPr>
            <w:r>
              <w:rPr>
                <w:sz w:val="20"/>
              </w:rPr>
              <w:t xml:space="preserve">Средняя частота консультаций врачом-генетиком 1 пациента, состоящего на Д-наблюдении, в год</w:t>
            </w:r>
          </w:p>
        </w:tc>
        <w:tc>
          <w:tcPr>
            <w:tcW w:w="1134" w:type="dxa"/>
          </w:tcPr>
          <w:p>
            <w:pPr>
              <w:pStyle w:val="0"/>
              <w:jc w:val="center"/>
            </w:pPr>
            <w:r>
              <w:rPr>
                <w:sz w:val="20"/>
              </w:rPr>
              <w:t xml:space="preserve">Общее число консультаций врача-генетика в 2021 г., из них с применением ТМК</w:t>
            </w:r>
          </w:p>
        </w:tc>
      </w:tr>
      <w:tr>
        <w:tc>
          <w:tcPr>
            <w:tcW w:w="2324" w:type="dxa"/>
          </w:tcPr>
          <w:p>
            <w:pPr>
              <w:pStyle w:val="0"/>
              <w:jc w:val="both"/>
            </w:pPr>
            <w:r>
              <w:rPr>
                <w:sz w:val="20"/>
              </w:rPr>
              <w:t xml:space="preserve">Врожденный гипотиреоз</w:t>
            </w:r>
          </w:p>
        </w:tc>
        <w:tc>
          <w:tcPr>
            <w:tcW w:w="1247"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61" w:type="dxa"/>
          </w:tcPr>
          <w:p>
            <w:pPr>
              <w:pStyle w:val="0"/>
              <w:jc w:val="center"/>
            </w:pPr>
            <w:r>
              <w:rPr>
                <w:sz w:val="20"/>
              </w:rPr>
              <w:t xml:space="preserve">-</w:t>
            </w:r>
          </w:p>
        </w:tc>
        <w:tc>
          <w:tcPr>
            <w:tcW w:w="1134" w:type="dxa"/>
          </w:tcPr>
          <w:p>
            <w:pPr>
              <w:pStyle w:val="0"/>
              <w:jc w:val="center"/>
            </w:pPr>
            <w:r>
              <w:rPr>
                <w:sz w:val="20"/>
              </w:rPr>
              <w:t xml:space="preserve">-</w:t>
            </w:r>
          </w:p>
        </w:tc>
      </w:tr>
      <w:tr>
        <w:tc>
          <w:tcPr>
            <w:tcW w:w="2324" w:type="dxa"/>
          </w:tcPr>
          <w:p>
            <w:pPr>
              <w:pStyle w:val="0"/>
              <w:jc w:val="both"/>
            </w:pPr>
            <w:r>
              <w:rPr>
                <w:sz w:val="20"/>
              </w:rPr>
              <w:t xml:space="preserve">Галактоземия</w:t>
            </w:r>
          </w:p>
        </w:tc>
        <w:tc>
          <w:tcPr>
            <w:tcW w:w="1247"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61" w:type="dxa"/>
          </w:tcPr>
          <w:p>
            <w:pPr>
              <w:pStyle w:val="0"/>
              <w:jc w:val="center"/>
            </w:pPr>
            <w:r>
              <w:rPr>
                <w:sz w:val="20"/>
              </w:rPr>
              <w:t xml:space="preserve">-</w:t>
            </w:r>
          </w:p>
        </w:tc>
        <w:tc>
          <w:tcPr>
            <w:tcW w:w="1134" w:type="dxa"/>
          </w:tcPr>
          <w:p>
            <w:pPr>
              <w:pStyle w:val="0"/>
              <w:jc w:val="center"/>
            </w:pPr>
            <w:r>
              <w:rPr>
                <w:sz w:val="20"/>
              </w:rPr>
              <w:t xml:space="preserve">-</w:t>
            </w:r>
          </w:p>
        </w:tc>
      </w:tr>
      <w:tr>
        <w:tc>
          <w:tcPr>
            <w:tcW w:w="2324" w:type="dxa"/>
          </w:tcPr>
          <w:p>
            <w:pPr>
              <w:pStyle w:val="0"/>
              <w:jc w:val="both"/>
            </w:pPr>
            <w:r>
              <w:rPr>
                <w:sz w:val="20"/>
              </w:rPr>
              <w:t xml:space="preserve">Фенилкетонурия</w:t>
            </w:r>
          </w:p>
        </w:tc>
        <w:tc>
          <w:tcPr>
            <w:tcW w:w="1247" w:type="dxa"/>
          </w:tcPr>
          <w:p>
            <w:pPr>
              <w:pStyle w:val="0"/>
              <w:jc w:val="center"/>
            </w:pPr>
            <w:r>
              <w:rPr>
                <w:sz w:val="20"/>
              </w:rPr>
              <w:t xml:space="preserve">1</w:t>
            </w:r>
          </w:p>
        </w:tc>
        <w:tc>
          <w:tcPr>
            <w:tcW w:w="1304" w:type="dxa"/>
          </w:tcPr>
          <w:p>
            <w:pPr>
              <w:pStyle w:val="0"/>
              <w:jc w:val="center"/>
            </w:pPr>
            <w:r>
              <w:rPr>
                <w:sz w:val="20"/>
              </w:rPr>
              <w:t xml:space="preserve">1</w:t>
            </w:r>
          </w:p>
        </w:tc>
        <w:tc>
          <w:tcPr>
            <w:tcW w:w="1304" w:type="dxa"/>
          </w:tcPr>
          <w:p>
            <w:pPr>
              <w:pStyle w:val="0"/>
              <w:jc w:val="center"/>
            </w:pPr>
            <w:r>
              <w:rPr>
                <w:sz w:val="20"/>
              </w:rPr>
              <w:t xml:space="preserve">1</w:t>
            </w:r>
          </w:p>
        </w:tc>
        <w:tc>
          <w:tcPr>
            <w:tcW w:w="1304" w:type="dxa"/>
          </w:tcPr>
          <w:p>
            <w:pPr>
              <w:pStyle w:val="0"/>
              <w:jc w:val="both"/>
            </w:pPr>
            <w:r>
              <w:rPr>
                <w:sz w:val="20"/>
              </w:rPr>
              <w:t xml:space="preserve">генетик</w:t>
            </w:r>
          </w:p>
        </w:tc>
        <w:tc>
          <w:tcPr>
            <w:tcW w:w="1361" w:type="dxa"/>
          </w:tcPr>
          <w:p>
            <w:pPr>
              <w:pStyle w:val="0"/>
              <w:jc w:val="both"/>
            </w:pPr>
            <w:r>
              <w:rPr>
                <w:sz w:val="20"/>
              </w:rPr>
              <w:t xml:space="preserve">6 раз в год</w:t>
            </w:r>
          </w:p>
        </w:tc>
        <w:tc>
          <w:tcPr>
            <w:tcW w:w="1134" w:type="dxa"/>
          </w:tcPr>
          <w:p>
            <w:pPr>
              <w:pStyle w:val="0"/>
              <w:jc w:val="both"/>
            </w:pPr>
            <w:r>
              <w:rPr>
                <w:sz w:val="20"/>
              </w:rPr>
              <w:t xml:space="preserve">6 раз в год</w:t>
            </w:r>
          </w:p>
        </w:tc>
      </w:tr>
      <w:tr>
        <w:tc>
          <w:tcPr>
            <w:tcW w:w="2324" w:type="dxa"/>
          </w:tcPr>
          <w:p>
            <w:pPr>
              <w:pStyle w:val="0"/>
              <w:jc w:val="both"/>
            </w:pPr>
            <w:r>
              <w:rPr>
                <w:sz w:val="20"/>
              </w:rPr>
              <w:t xml:space="preserve">Адреногенитальный синдром</w:t>
            </w:r>
          </w:p>
        </w:tc>
        <w:tc>
          <w:tcPr>
            <w:tcW w:w="1247"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61" w:type="dxa"/>
          </w:tcPr>
          <w:p>
            <w:pPr>
              <w:pStyle w:val="0"/>
              <w:jc w:val="center"/>
            </w:pPr>
            <w:r>
              <w:rPr>
                <w:sz w:val="20"/>
              </w:rPr>
              <w:t xml:space="preserve">-</w:t>
            </w:r>
          </w:p>
        </w:tc>
        <w:tc>
          <w:tcPr>
            <w:tcW w:w="1134" w:type="dxa"/>
          </w:tcPr>
          <w:p>
            <w:pPr>
              <w:pStyle w:val="0"/>
              <w:jc w:val="center"/>
            </w:pPr>
            <w:r>
              <w:rPr>
                <w:sz w:val="20"/>
              </w:rPr>
              <w:t xml:space="preserve">-</w:t>
            </w:r>
          </w:p>
        </w:tc>
      </w:tr>
      <w:tr>
        <w:tc>
          <w:tcPr>
            <w:tcW w:w="2324" w:type="dxa"/>
          </w:tcPr>
          <w:p>
            <w:pPr>
              <w:pStyle w:val="0"/>
              <w:jc w:val="both"/>
            </w:pPr>
            <w:r>
              <w:rPr>
                <w:sz w:val="20"/>
              </w:rPr>
              <w:t xml:space="preserve">Муковисцидоз</w:t>
            </w:r>
          </w:p>
        </w:tc>
        <w:tc>
          <w:tcPr>
            <w:tcW w:w="1247"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61" w:type="dxa"/>
          </w:tcPr>
          <w:p>
            <w:pPr>
              <w:pStyle w:val="0"/>
              <w:jc w:val="center"/>
            </w:pPr>
            <w:r>
              <w:rPr>
                <w:sz w:val="20"/>
              </w:rPr>
              <w:t xml:space="preserve">-</w:t>
            </w:r>
          </w:p>
        </w:tc>
        <w:tc>
          <w:tcPr>
            <w:tcW w:w="1134" w:type="dxa"/>
          </w:tcPr>
          <w:p>
            <w:pPr>
              <w:pStyle w:val="0"/>
              <w:jc w:val="center"/>
            </w:pPr>
            <w:r>
              <w:rPr>
                <w:sz w:val="20"/>
              </w:rPr>
              <w:t xml:space="preserve">-</w:t>
            </w:r>
          </w:p>
        </w:tc>
      </w:tr>
      <w:tr>
        <w:tc>
          <w:tcPr>
            <w:tcW w:w="2324" w:type="dxa"/>
          </w:tcPr>
          <w:p>
            <w:pPr>
              <w:pStyle w:val="0"/>
              <w:jc w:val="both"/>
            </w:pPr>
            <w:r>
              <w:rPr>
                <w:sz w:val="20"/>
              </w:rPr>
              <w:t xml:space="preserve">Наследственные болезни обмена</w:t>
            </w:r>
          </w:p>
        </w:tc>
        <w:tc>
          <w:tcPr>
            <w:tcW w:w="1247"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61" w:type="dxa"/>
          </w:tcPr>
          <w:p>
            <w:pPr>
              <w:pStyle w:val="0"/>
              <w:jc w:val="center"/>
            </w:pPr>
            <w:r>
              <w:rPr>
                <w:sz w:val="20"/>
              </w:rPr>
              <w:t xml:space="preserve">-</w:t>
            </w:r>
          </w:p>
        </w:tc>
        <w:tc>
          <w:tcPr>
            <w:tcW w:w="1134" w:type="dxa"/>
          </w:tcPr>
          <w:p>
            <w:pPr>
              <w:pStyle w:val="0"/>
              <w:jc w:val="center"/>
            </w:pPr>
            <w:r>
              <w:rPr>
                <w:sz w:val="20"/>
              </w:rPr>
              <w:t xml:space="preserve">-</w:t>
            </w:r>
          </w:p>
        </w:tc>
      </w:tr>
      <w:tr>
        <w:tc>
          <w:tcPr>
            <w:tcW w:w="2324" w:type="dxa"/>
          </w:tcPr>
          <w:p>
            <w:pPr>
              <w:pStyle w:val="0"/>
              <w:jc w:val="both"/>
            </w:pPr>
            <w:r>
              <w:rPr>
                <w:sz w:val="20"/>
              </w:rPr>
              <w:t xml:space="preserve">Спинальная мышечная атрофия</w:t>
            </w:r>
          </w:p>
        </w:tc>
        <w:tc>
          <w:tcPr>
            <w:tcW w:w="1247" w:type="dxa"/>
          </w:tcPr>
          <w:p>
            <w:pPr>
              <w:pStyle w:val="0"/>
              <w:jc w:val="center"/>
            </w:pPr>
            <w:r>
              <w:rPr>
                <w:sz w:val="20"/>
              </w:rPr>
              <w:t xml:space="preserve">1</w:t>
            </w:r>
          </w:p>
        </w:tc>
        <w:tc>
          <w:tcPr>
            <w:tcW w:w="1304" w:type="dxa"/>
          </w:tcPr>
          <w:p>
            <w:pPr>
              <w:pStyle w:val="0"/>
              <w:jc w:val="center"/>
            </w:pPr>
            <w:r>
              <w:rPr>
                <w:sz w:val="20"/>
              </w:rPr>
              <w:t xml:space="preserve">1</w:t>
            </w:r>
          </w:p>
        </w:tc>
        <w:tc>
          <w:tcPr>
            <w:tcW w:w="1304" w:type="dxa"/>
          </w:tcPr>
          <w:p>
            <w:pPr>
              <w:pStyle w:val="0"/>
              <w:jc w:val="center"/>
            </w:pPr>
            <w:r>
              <w:rPr>
                <w:sz w:val="20"/>
              </w:rPr>
              <w:t xml:space="preserve">1</w:t>
            </w:r>
          </w:p>
        </w:tc>
        <w:tc>
          <w:tcPr>
            <w:tcW w:w="1304" w:type="dxa"/>
          </w:tcPr>
          <w:p>
            <w:pPr>
              <w:pStyle w:val="0"/>
              <w:jc w:val="both"/>
            </w:pPr>
            <w:r>
              <w:rPr>
                <w:sz w:val="20"/>
              </w:rPr>
              <w:t xml:space="preserve">невролог</w:t>
            </w:r>
          </w:p>
        </w:tc>
        <w:tc>
          <w:tcPr>
            <w:tcW w:w="1361" w:type="dxa"/>
          </w:tcPr>
          <w:p>
            <w:pPr>
              <w:pStyle w:val="0"/>
              <w:jc w:val="both"/>
            </w:pPr>
            <w:r>
              <w:rPr>
                <w:sz w:val="20"/>
              </w:rPr>
              <w:t xml:space="preserve">2 раза в год</w:t>
            </w:r>
          </w:p>
        </w:tc>
        <w:tc>
          <w:tcPr>
            <w:tcW w:w="1134" w:type="dxa"/>
          </w:tcPr>
          <w:p>
            <w:pPr>
              <w:pStyle w:val="0"/>
              <w:jc w:val="both"/>
            </w:pPr>
            <w:r>
              <w:rPr>
                <w:sz w:val="20"/>
              </w:rPr>
              <w:t xml:space="preserve">2 раза в год</w:t>
            </w:r>
          </w:p>
        </w:tc>
      </w:tr>
      <w:tr>
        <w:tc>
          <w:tcPr>
            <w:tcW w:w="2324" w:type="dxa"/>
          </w:tcPr>
          <w:p>
            <w:pPr>
              <w:pStyle w:val="0"/>
              <w:jc w:val="both"/>
            </w:pPr>
            <w:r>
              <w:rPr>
                <w:sz w:val="20"/>
              </w:rPr>
              <w:t xml:space="preserve">Первичные иммунодефициты</w:t>
            </w:r>
          </w:p>
        </w:tc>
        <w:tc>
          <w:tcPr>
            <w:tcW w:w="1247"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61" w:type="dxa"/>
          </w:tcPr>
          <w:p>
            <w:pPr>
              <w:pStyle w:val="0"/>
              <w:jc w:val="center"/>
            </w:pPr>
            <w:r>
              <w:rPr>
                <w:sz w:val="20"/>
              </w:rPr>
              <w:t xml:space="preserve">-</w:t>
            </w:r>
          </w:p>
        </w:tc>
        <w:tc>
          <w:tcPr>
            <w:tcW w:w="1134" w:type="dxa"/>
          </w:tcPr>
          <w:p>
            <w:pPr>
              <w:pStyle w:val="0"/>
              <w:jc w:val="center"/>
            </w:pPr>
            <w:r>
              <w:rPr>
                <w:sz w:val="20"/>
              </w:rPr>
              <w:t xml:space="preserve">-</w:t>
            </w:r>
          </w:p>
        </w:tc>
      </w:tr>
      <w:tr>
        <w:tc>
          <w:tcPr>
            <w:tcW w:w="2324" w:type="dxa"/>
          </w:tcPr>
          <w:p>
            <w:pPr>
              <w:pStyle w:val="0"/>
              <w:jc w:val="both"/>
            </w:pPr>
            <w:r>
              <w:rPr>
                <w:sz w:val="20"/>
              </w:rPr>
              <w:t xml:space="preserve">Иные</w:t>
            </w:r>
          </w:p>
        </w:tc>
        <w:tc>
          <w:tcPr>
            <w:tcW w:w="1247"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04" w:type="dxa"/>
          </w:tcPr>
          <w:p>
            <w:pPr>
              <w:pStyle w:val="0"/>
              <w:jc w:val="center"/>
            </w:pPr>
            <w:r>
              <w:rPr>
                <w:sz w:val="20"/>
              </w:rPr>
              <w:t xml:space="preserve">-</w:t>
            </w:r>
          </w:p>
        </w:tc>
        <w:tc>
          <w:tcPr>
            <w:tcW w:w="1361" w:type="dxa"/>
          </w:tcPr>
          <w:p>
            <w:pPr>
              <w:pStyle w:val="0"/>
              <w:jc w:val="center"/>
            </w:pPr>
            <w:r>
              <w:rPr>
                <w:sz w:val="20"/>
              </w:rPr>
              <w:t xml:space="preserve">-</w:t>
            </w:r>
          </w:p>
        </w:tc>
        <w:tc>
          <w:tcPr>
            <w:tcW w:w="1134" w:type="dxa"/>
          </w:tcPr>
          <w:p>
            <w:pPr>
              <w:pStyle w:val="0"/>
              <w:jc w:val="center"/>
            </w:pPr>
            <w:r>
              <w:rPr>
                <w:sz w:val="20"/>
              </w:rPr>
              <w:t xml:space="preserve">-</w:t>
            </w:r>
          </w:p>
        </w:tc>
      </w:tr>
      <w:tr>
        <w:tc>
          <w:tcPr>
            <w:tcW w:w="2324" w:type="dxa"/>
          </w:tcPr>
          <w:p>
            <w:pPr>
              <w:pStyle w:val="0"/>
              <w:jc w:val="both"/>
            </w:pPr>
            <w:r>
              <w:rPr>
                <w:sz w:val="20"/>
              </w:rPr>
              <w:t xml:space="preserve">Итого</w:t>
            </w:r>
          </w:p>
        </w:tc>
        <w:tc>
          <w:tcPr>
            <w:tcW w:w="1247" w:type="dxa"/>
          </w:tcPr>
          <w:p>
            <w:pPr>
              <w:pStyle w:val="0"/>
              <w:jc w:val="center"/>
            </w:pPr>
            <w:r>
              <w:rPr>
                <w:sz w:val="20"/>
              </w:rPr>
              <w:t xml:space="preserve">2</w:t>
            </w:r>
          </w:p>
        </w:tc>
        <w:tc>
          <w:tcPr>
            <w:tcW w:w="1304" w:type="dxa"/>
          </w:tcPr>
          <w:p>
            <w:pPr>
              <w:pStyle w:val="0"/>
              <w:jc w:val="center"/>
            </w:pPr>
            <w:r>
              <w:rPr>
                <w:sz w:val="20"/>
              </w:rPr>
              <w:t xml:space="preserve">2</w:t>
            </w:r>
          </w:p>
        </w:tc>
        <w:tc>
          <w:tcPr>
            <w:tcW w:w="1304" w:type="dxa"/>
          </w:tcPr>
          <w:p>
            <w:pPr>
              <w:pStyle w:val="0"/>
              <w:jc w:val="center"/>
            </w:pPr>
            <w:r>
              <w:rPr>
                <w:sz w:val="20"/>
              </w:rPr>
              <w:t xml:space="preserve">2</w:t>
            </w:r>
          </w:p>
        </w:tc>
        <w:tc>
          <w:tcPr>
            <w:tcW w:w="1304" w:type="dxa"/>
          </w:tcPr>
          <w:p>
            <w:pPr>
              <w:pStyle w:val="0"/>
              <w:jc w:val="center"/>
            </w:pPr>
            <w:r>
              <w:rPr>
                <w:sz w:val="20"/>
              </w:rPr>
              <w:t xml:space="preserve">-</w:t>
            </w:r>
          </w:p>
        </w:tc>
        <w:tc>
          <w:tcPr>
            <w:tcW w:w="1361" w:type="dxa"/>
          </w:tcPr>
          <w:p>
            <w:pPr>
              <w:pStyle w:val="0"/>
              <w:jc w:val="center"/>
            </w:pPr>
            <w:r>
              <w:rPr>
                <w:sz w:val="20"/>
              </w:rPr>
              <w:t xml:space="preserve">8</w:t>
            </w:r>
          </w:p>
        </w:tc>
        <w:tc>
          <w:tcPr>
            <w:tcW w:w="1134" w:type="dxa"/>
          </w:tcPr>
          <w:p>
            <w:pPr>
              <w:pStyle w:val="0"/>
              <w:jc w:val="center"/>
            </w:pPr>
            <w:r>
              <w:rPr>
                <w:sz w:val="20"/>
              </w:rPr>
              <w:t xml:space="preserve">8</w:t>
            </w:r>
          </w:p>
        </w:tc>
      </w:tr>
    </w:tbl>
    <w:p>
      <w:pPr>
        <w:pStyle w:val="0"/>
        <w:ind w:firstLine="540"/>
        <w:jc w:val="both"/>
      </w:pPr>
      <w:r>
        <w:rPr>
          <w:sz w:val="20"/>
        </w:rPr>
      </w:r>
    </w:p>
    <w:p>
      <w:pPr>
        <w:pStyle w:val="0"/>
        <w:ind w:firstLine="540"/>
        <w:jc w:val="both"/>
      </w:pPr>
      <w:r>
        <w:rPr>
          <w:sz w:val="20"/>
        </w:rPr>
        <w:t xml:space="preserve">Вывод: для улучшения качества оказания помощи, своевременности проведения НС планируется перезаключение договора на проведение НС с МГК города Симферополя.</w:t>
      </w:r>
    </w:p>
    <w:p>
      <w:pPr>
        <w:pStyle w:val="0"/>
        <w:jc w:val="both"/>
      </w:pPr>
      <w:r>
        <w:rPr>
          <w:sz w:val="20"/>
        </w:rPr>
      </w:r>
    </w:p>
    <w:p>
      <w:pPr>
        <w:pStyle w:val="0"/>
        <w:jc w:val="right"/>
      </w:pPr>
      <w:r>
        <w:rPr>
          <w:sz w:val="20"/>
        </w:rPr>
        <w:t xml:space="preserve">Таблица 10</w:t>
      </w:r>
    </w:p>
    <w:p>
      <w:pPr>
        <w:pStyle w:val="0"/>
      </w:pPr>
      <w:r>
        <w:rPr>
          <w:sz w:val="20"/>
        </w:rPr>
      </w:r>
    </w:p>
    <w:p>
      <w:pPr>
        <w:pStyle w:val="0"/>
        <w:jc w:val="center"/>
      </w:pPr>
      <w:r>
        <w:rPr>
          <w:sz w:val="20"/>
        </w:rPr>
        <w:t xml:space="preserve">Количество проведенных ТМК в 2017 - 2022 годах</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3"/>
        <w:gridCol w:w="850"/>
        <w:gridCol w:w="850"/>
        <w:gridCol w:w="854"/>
        <w:gridCol w:w="854"/>
        <w:gridCol w:w="1417"/>
      </w:tblGrid>
      <w:tr>
        <w:tc>
          <w:tcPr>
            <w:tcW w:w="4253" w:type="dxa"/>
          </w:tcPr>
          <w:p>
            <w:pPr>
              <w:pStyle w:val="0"/>
              <w:jc w:val="center"/>
            </w:pPr>
            <w:r>
              <w:rPr>
                <w:sz w:val="20"/>
              </w:rPr>
              <w:t xml:space="preserve">Медицинские консультации (в том числе с применением телемедицины)</w:t>
            </w:r>
          </w:p>
        </w:tc>
        <w:tc>
          <w:tcPr>
            <w:tcW w:w="850" w:type="dxa"/>
          </w:tcPr>
          <w:p>
            <w:pPr>
              <w:pStyle w:val="0"/>
              <w:jc w:val="center"/>
            </w:pPr>
            <w:r>
              <w:rPr>
                <w:sz w:val="20"/>
              </w:rPr>
              <w:t xml:space="preserve">2018 г.</w:t>
            </w:r>
          </w:p>
        </w:tc>
        <w:tc>
          <w:tcPr>
            <w:tcW w:w="850" w:type="dxa"/>
          </w:tcPr>
          <w:p>
            <w:pPr>
              <w:pStyle w:val="0"/>
              <w:jc w:val="center"/>
            </w:pPr>
            <w:r>
              <w:rPr>
                <w:sz w:val="20"/>
              </w:rPr>
              <w:t xml:space="preserve">2019 г.</w:t>
            </w:r>
          </w:p>
        </w:tc>
        <w:tc>
          <w:tcPr>
            <w:tcW w:w="854" w:type="dxa"/>
          </w:tcPr>
          <w:p>
            <w:pPr>
              <w:pStyle w:val="0"/>
              <w:jc w:val="center"/>
            </w:pPr>
            <w:r>
              <w:rPr>
                <w:sz w:val="20"/>
              </w:rPr>
              <w:t xml:space="preserve">2020 г.</w:t>
            </w:r>
          </w:p>
        </w:tc>
        <w:tc>
          <w:tcPr>
            <w:tcW w:w="854" w:type="dxa"/>
          </w:tcPr>
          <w:p>
            <w:pPr>
              <w:pStyle w:val="0"/>
              <w:jc w:val="center"/>
            </w:pPr>
            <w:r>
              <w:rPr>
                <w:sz w:val="20"/>
              </w:rPr>
              <w:t xml:space="preserve">2021 г.</w:t>
            </w:r>
          </w:p>
        </w:tc>
        <w:tc>
          <w:tcPr>
            <w:tcW w:w="1417" w:type="dxa"/>
          </w:tcPr>
          <w:p>
            <w:pPr>
              <w:pStyle w:val="0"/>
              <w:jc w:val="center"/>
            </w:pPr>
            <w:r>
              <w:rPr>
                <w:sz w:val="20"/>
              </w:rPr>
              <w:t xml:space="preserve">9 мес. 2022 г.</w:t>
            </w:r>
          </w:p>
        </w:tc>
      </w:tr>
      <w:tr>
        <w:tc>
          <w:tcPr>
            <w:tcW w:w="4253" w:type="dxa"/>
          </w:tcPr>
          <w:p>
            <w:pPr>
              <w:pStyle w:val="0"/>
              <w:jc w:val="both"/>
            </w:pPr>
            <w:r>
              <w:rPr>
                <w:sz w:val="20"/>
              </w:rPr>
              <w:t xml:space="preserve">Количество консультаций/консилиумов, проведенных с МГК/МЦ субъекта РФ (при наличии)/другого субъекта (при отсутствии в субъекте РФ)</w:t>
            </w:r>
          </w:p>
        </w:tc>
        <w:tc>
          <w:tcPr>
            <w:tcW w:w="850" w:type="dxa"/>
          </w:tcPr>
          <w:p>
            <w:pPr>
              <w:pStyle w:val="0"/>
              <w:jc w:val="center"/>
            </w:pPr>
            <w:r>
              <w:rPr>
                <w:sz w:val="20"/>
              </w:rPr>
              <w:t xml:space="preserve">3</w:t>
            </w:r>
          </w:p>
        </w:tc>
        <w:tc>
          <w:tcPr>
            <w:tcW w:w="850" w:type="dxa"/>
          </w:tcPr>
          <w:p>
            <w:pPr>
              <w:pStyle w:val="0"/>
              <w:jc w:val="center"/>
            </w:pPr>
            <w:r>
              <w:rPr>
                <w:sz w:val="20"/>
              </w:rPr>
              <w:t xml:space="preserve">10</w:t>
            </w:r>
          </w:p>
        </w:tc>
        <w:tc>
          <w:tcPr>
            <w:tcW w:w="854" w:type="dxa"/>
          </w:tcPr>
          <w:p>
            <w:pPr>
              <w:pStyle w:val="0"/>
              <w:jc w:val="center"/>
            </w:pPr>
            <w:r>
              <w:rPr>
                <w:sz w:val="20"/>
              </w:rPr>
              <w:t xml:space="preserve">17</w:t>
            </w:r>
          </w:p>
        </w:tc>
        <w:tc>
          <w:tcPr>
            <w:tcW w:w="854" w:type="dxa"/>
          </w:tcPr>
          <w:p>
            <w:pPr>
              <w:pStyle w:val="0"/>
              <w:jc w:val="center"/>
            </w:pPr>
            <w:r>
              <w:rPr>
                <w:sz w:val="20"/>
              </w:rPr>
              <w:t xml:space="preserve">20</w:t>
            </w:r>
          </w:p>
        </w:tc>
        <w:tc>
          <w:tcPr>
            <w:tcW w:w="1417" w:type="dxa"/>
          </w:tcPr>
          <w:p>
            <w:pPr>
              <w:pStyle w:val="0"/>
              <w:jc w:val="center"/>
            </w:pPr>
            <w:r>
              <w:rPr>
                <w:sz w:val="20"/>
              </w:rPr>
              <w:t xml:space="preserve">20</w:t>
            </w:r>
          </w:p>
        </w:tc>
      </w:tr>
      <w:tr>
        <w:tc>
          <w:tcPr>
            <w:tcW w:w="4253" w:type="dxa"/>
          </w:tcPr>
          <w:p>
            <w:pPr>
              <w:pStyle w:val="0"/>
              <w:jc w:val="both"/>
            </w:pPr>
            <w:r>
              <w:rPr>
                <w:sz w:val="20"/>
              </w:rPr>
              <w:t xml:space="preserve">из них с применением ТМК</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4" w:type="dxa"/>
          </w:tcPr>
          <w:p>
            <w:pPr>
              <w:pStyle w:val="0"/>
              <w:jc w:val="center"/>
            </w:pPr>
            <w:r>
              <w:rPr>
                <w:sz w:val="20"/>
              </w:rPr>
              <w:t xml:space="preserve">-</w:t>
            </w:r>
          </w:p>
        </w:tc>
        <w:tc>
          <w:tcPr>
            <w:tcW w:w="854" w:type="dxa"/>
          </w:tcPr>
          <w:p>
            <w:pPr>
              <w:pStyle w:val="0"/>
              <w:jc w:val="center"/>
            </w:pPr>
            <w:r>
              <w:rPr>
                <w:sz w:val="20"/>
              </w:rPr>
              <w:t xml:space="preserve">-</w:t>
            </w:r>
          </w:p>
        </w:tc>
        <w:tc>
          <w:tcPr>
            <w:tcW w:w="1417" w:type="dxa"/>
          </w:tcPr>
          <w:p>
            <w:pPr>
              <w:pStyle w:val="0"/>
              <w:jc w:val="center"/>
            </w:pPr>
            <w:r>
              <w:rPr>
                <w:sz w:val="20"/>
              </w:rPr>
              <w:t xml:space="preserve">-</w:t>
            </w:r>
          </w:p>
        </w:tc>
      </w:tr>
      <w:tr>
        <w:tc>
          <w:tcPr>
            <w:tcW w:w="4253" w:type="dxa"/>
          </w:tcPr>
          <w:p>
            <w:pPr>
              <w:pStyle w:val="0"/>
              <w:jc w:val="both"/>
            </w:pPr>
            <w:r>
              <w:rPr>
                <w:sz w:val="20"/>
              </w:rPr>
              <w:t xml:space="preserve">Количество консультаций/консилиумов, проведенных с учреждениями ЗА уровней</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4" w:type="dxa"/>
          </w:tcPr>
          <w:p>
            <w:pPr>
              <w:pStyle w:val="0"/>
              <w:jc w:val="center"/>
            </w:pPr>
            <w:r>
              <w:rPr>
                <w:sz w:val="20"/>
              </w:rPr>
              <w:t xml:space="preserve">-</w:t>
            </w:r>
          </w:p>
        </w:tc>
        <w:tc>
          <w:tcPr>
            <w:tcW w:w="854" w:type="dxa"/>
          </w:tcPr>
          <w:p>
            <w:pPr>
              <w:pStyle w:val="0"/>
              <w:jc w:val="center"/>
            </w:pPr>
            <w:r>
              <w:rPr>
                <w:sz w:val="20"/>
              </w:rPr>
              <w:t xml:space="preserve">-</w:t>
            </w:r>
          </w:p>
        </w:tc>
        <w:tc>
          <w:tcPr>
            <w:tcW w:w="1417" w:type="dxa"/>
          </w:tcPr>
          <w:p>
            <w:pPr>
              <w:pStyle w:val="0"/>
              <w:jc w:val="center"/>
            </w:pPr>
            <w:r>
              <w:rPr>
                <w:sz w:val="20"/>
              </w:rPr>
              <w:t xml:space="preserve">-</w:t>
            </w:r>
          </w:p>
        </w:tc>
      </w:tr>
      <w:tr>
        <w:tc>
          <w:tcPr>
            <w:tcW w:w="4253" w:type="dxa"/>
          </w:tcPr>
          <w:p>
            <w:pPr>
              <w:pStyle w:val="0"/>
              <w:jc w:val="both"/>
            </w:pPr>
            <w:r>
              <w:rPr>
                <w:sz w:val="20"/>
              </w:rPr>
              <w:t xml:space="preserve">из них с применением ТМК</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4" w:type="dxa"/>
          </w:tcPr>
          <w:p>
            <w:pPr>
              <w:pStyle w:val="0"/>
              <w:jc w:val="center"/>
            </w:pPr>
            <w:r>
              <w:rPr>
                <w:sz w:val="20"/>
              </w:rPr>
              <w:t xml:space="preserve">-</w:t>
            </w:r>
          </w:p>
        </w:tc>
        <w:tc>
          <w:tcPr>
            <w:tcW w:w="854" w:type="dxa"/>
          </w:tcPr>
          <w:p>
            <w:pPr>
              <w:pStyle w:val="0"/>
              <w:jc w:val="center"/>
            </w:pPr>
            <w:r>
              <w:rPr>
                <w:sz w:val="20"/>
              </w:rPr>
              <w:t xml:space="preserve">-</w:t>
            </w:r>
          </w:p>
        </w:tc>
        <w:tc>
          <w:tcPr>
            <w:tcW w:w="1417" w:type="dxa"/>
          </w:tcPr>
          <w:p>
            <w:pPr>
              <w:pStyle w:val="0"/>
              <w:jc w:val="center"/>
            </w:pPr>
            <w:r>
              <w:rPr>
                <w:sz w:val="20"/>
              </w:rPr>
              <w:t xml:space="preserve">-</w:t>
            </w:r>
          </w:p>
        </w:tc>
      </w:tr>
      <w:tr>
        <w:tc>
          <w:tcPr>
            <w:tcW w:w="4253" w:type="dxa"/>
          </w:tcPr>
          <w:p>
            <w:pPr>
              <w:pStyle w:val="0"/>
              <w:jc w:val="both"/>
            </w:pPr>
            <w:r>
              <w:rPr>
                <w:sz w:val="20"/>
              </w:rPr>
              <w:t xml:space="preserve">Количество консультаций/консилиумов, проведенных с учреждениями ЗБ уровней</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4" w:type="dxa"/>
          </w:tcPr>
          <w:p>
            <w:pPr>
              <w:pStyle w:val="0"/>
              <w:jc w:val="center"/>
            </w:pPr>
            <w:r>
              <w:rPr>
                <w:sz w:val="20"/>
              </w:rPr>
              <w:t xml:space="preserve">-</w:t>
            </w:r>
          </w:p>
        </w:tc>
        <w:tc>
          <w:tcPr>
            <w:tcW w:w="854" w:type="dxa"/>
          </w:tcPr>
          <w:p>
            <w:pPr>
              <w:pStyle w:val="0"/>
              <w:jc w:val="center"/>
            </w:pPr>
            <w:r>
              <w:rPr>
                <w:sz w:val="20"/>
              </w:rPr>
              <w:t xml:space="preserve">-</w:t>
            </w:r>
          </w:p>
        </w:tc>
        <w:tc>
          <w:tcPr>
            <w:tcW w:w="1417" w:type="dxa"/>
          </w:tcPr>
          <w:p>
            <w:pPr>
              <w:pStyle w:val="0"/>
              <w:jc w:val="center"/>
            </w:pPr>
            <w:r>
              <w:rPr>
                <w:sz w:val="20"/>
              </w:rPr>
              <w:t xml:space="preserve">-</w:t>
            </w:r>
          </w:p>
        </w:tc>
      </w:tr>
      <w:tr>
        <w:tc>
          <w:tcPr>
            <w:tcW w:w="4253" w:type="dxa"/>
          </w:tcPr>
          <w:p>
            <w:pPr>
              <w:pStyle w:val="0"/>
              <w:jc w:val="both"/>
            </w:pPr>
            <w:r>
              <w:rPr>
                <w:sz w:val="20"/>
              </w:rPr>
              <w:t xml:space="preserve">из них с применением ТМК</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4" w:type="dxa"/>
          </w:tcPr>
          <w:p>
            <w:pPr>
              <w:pStyle w:val="0"/>
              <w:jc w:val="center"/>
            </w:pPr>
            <w:r>
              <w:rPr>
                <w:sz w:val="20"/>
              </w:rPr>
              <w:t xml:space="preserve">-</w:t>
            </w:r>
          </w:p>
        </w:tc>
        <w:tc>
          <w:tcPr>
            <w:tcW w:w="854" w:type="dxa"/>
          </w:tcPr>
          <w:p>
            <w:pPr>
              <w:pStyle w:val="0"/>
              <w:jc w:val="center"/>
            </w:pPr>
            <w:r>
              <w:rPr>
                <w:sz w:val="20"/>
              </w:rPr>
              <w:t xml:space="preserve">-</w:t>
            </w:r>
          </w:p>
        </w:tc>
        <w:tc>
          <w:tcPr>
            <w:tcW w:w="1417" w:type="dxa"/>
          </w:tcPr>
          <w:p>
            <w:pPr>
              <w:pStyle w:val="0"/>
              <w:jc w:val="center"/>
            </w:pPr>
            <w:r>
              <w:rPr>
                <w:sz w:val="20"/>
              </w:rPr>
              <w:t xml:space="preserve">-</w:t>
            </w:r>
          </w:p>
        </w:tc>
      </w:tr>
      <w:tr>
        <w:tc>
          <w:tcPr>
            <w:tcW w:w="4253" w:type="dxa"/>
          </w:tcPr>
          <w:p>
            <w:pPr>
              <w:pStyle w:val="0"/>
              <w:jc w:val="both"/>
            </w:pPr>
            <w:r>
              <w:rPr>
                <w:sz w:val="20"/>
              </w:rPr>
              <w:t xml:space="preserve">Количество консультаций/консилиумов, проведенных с НМИЦ &lt;*&gt;</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4" w:type="dxa"/>
          </w:tcPr>
          <w:p>
            <w:pPr>
              <w:pStyle w:val="0"/>
              <w:jc w:val="center"/>
            </w:pPr>
            <w:r>
              <w:rPr>
                <w:sz w:val="20"/>
              </w:rPr>
              <w:t xml:space="preserve">-</w:t>
            </w:r>
          </w:p>
        </w:tc>
        <w:tc>
          <w:tcPr>
            <w:tcW w:w="854" w:type="dxa"/>
          </w:tcPr>
          <w:p>
            <w:pPr>
              <w:pStyle w:val="0"/>
              <w:jc w:val="center"/>
            </w:pPr>
            <w:r>
              <w:rPr>
                <w:sz w:val="20"/>
              </w:rPr>
              <w:t xml:space="preserve">-</w:t>
            </w:r>
          </w:p>
        </w:tc>
        <w:tc>
          <w:tcPr>
            <w:tcW w:w="1417" w:type="dxa"/>
          </w:tcPr>
          <w:p>
            <w:pPr>
              <w:pStyle w:val="0"/>
              <w:jc w:val="center"/>
            </w:pPr>
            <w:r>
              <w:rPr>
                <w:sz w:val="20"/>
              </w:rPr>
              <w:t xml:space="preserve">-</w:t>
            </w:r>
          </w:p>
        </w:tc>
      </w:tr>
      <w:tr>
        <w:tc>
          <w:tcPr>
            <w:tcW w:w="4253" w:type="dxa"/>
          </w:tcPr>
          <w:p>
            <w:pPr>
              <w:pStyle w:val="0"/>
              <w:jc w:val="both"/>
            </w:pPr>
            <w:r>
              <w:rPr>
                <w:sz w:val="20"/>
              </w:rPr>
              <w:t xml:space="preserve">из них с применением ТМК</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4" w:type="dxa"/>
          </w:tcPr>
          <w:p>
            <w:pPr>
              <w:pStyle w:val="0"/>
              <w:jc w:val="center"/>
            </w:pPr>
            <w:r>
              <w:rPr>
                <w:sz w:val="20"/>
              </w:rPr>
              <w:t xml:space="preserve">-</w:t>
            </w:r>
          </w:p>
        </w:tc>
        <w:tc>
          <w:tcPr>
            <w:tcW w:w="854" w:type="dxa"/>
          </w:tcPr>
          <w:p>
            <w:pPr>
              <w:pStyle w:val="0"/>
              <w:jc w:val="center"/>
            </w:pPr>
            <w:r>
              <w:rPr>
                <w:sz w:val="20"/>
              </w:rPr>
              <w:t xml:space="preserve">-</w:t>
            </w:r>
          </w:p>
        </w:tc>
        <w:tc>
          <w:tcPr>
            <w:tcW w:w="1417" w:type="dxa"/>
          </w:tcPr>
          <w:p>
            <w:pPr>
              <w:pStyle w:val="0"/>
              <w:jc w:val="center"/>
            </w:pPr>
            <w:r>
              <w:rPr>
                <w:sz w:val="20"/>
              </w:rPr>
              <w:t xml:space="preserve">-</w:t>
            </w:r>
          </w:p>
        </w:tc>
      </w:tr>
      <w:tr>
        <w:tc>
          <w:tcPr>
            <w:tcW w:w="4253" w:type="dxa"/>
          </w:tcPr>
          <w:p>
            <w:pPr>
              <w:pStyle w:val="0"/>
              <w:jc w:val="both"/>
            </w:pPr>
            <w:r>
              <w:rPr>
                <w:sz w:val="20"/>
              </w:rPr>
              <w:t xml:space="preserve">Всего проведенных консультаций/консилиумов</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4" w:type="dxa"/>
          </w:tcPr>
          <w:p>
            <w:pPr>
              <w:pStyle w:val="0"/>
              <w:jc w:val="center"/>
            </w:pPr>
            <w:r>
              <w:rPr>
                <w:sz w:val="20"/>
              </w:rPr>
              <w:t xml:space="preserve">-</w:t>
            </w:r>
          </w:p>
        </w:tc>
        <w:tc>
          <w:tcPr>
            <w:tcW w:w="854" w:type="dxa"/>
          </w:tcPr>
          <w:p>
            <w:pPr>
              <w:pStyle w:val="0"/>
              <w:jc w:val="center"/>
            </w:pPr>
            <w:r>
              <w:rPr>
                <w:sz w:val="20"/>
              </w:rPr>
              <w:t xml:space="preserve">-</w:t>
            </w:r>
          </w:p>
        </w:tc>
        <w:tc>
          <w:tcPr>
            <w:tcW w:w="1417" w:type="dxa"/>
          </w:tcPr>
          <w:p>
            <w:pPr>
              <w:pStyle w:val="0"/>
              <w:jc w:val="center"/>
            </w:pPr>
            <w:r>
              <w:rPr>
                <w:sz w:val="20"/>
              </w:rPr>
              <w:t xml:space="preserve">-</w:t>
            </w:r>
          </w:p>
        </w:tc>
      </w:tr>
      <w:tr>
        <w:tc>
          <w:tcPr>
            <w:tcW w:w="4253" w:type="dxa"/>
          </w:tcPr>
          <w:p>
            <w:pPr>
              <w:pStyle w:val="0"/>
              <w:jc w:val="both"/>
            </w:pPr>
            <w:r>
              <w:rPr>
                <w:sz w:val="20"/>
              </w:rPr>
              <w:t xml:space="preserve">из них с применением ТМК</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4" w:type="dxa"/>
          </w:tcPr>
          <w:p>
            <w:pPr>
              <w:pStyle w:val="0"/>
              <w:jc w:val="center"/>
            </w:pPr>
            <w:r>
              <w:rPr>
                <w:sz w:val="20"/>
              </w:rPr>
              <w:t xml:space="preserve">-</w:t>
            </w:r>
          </w:p>
        </w:tc>
        <w:tc>
          <w:tcPr>
            <w:tcW w:w="854" w:type="dxa"/>
          </w:tcPr>
          <w:p>
            <w:pPr>
              <w:pStyle w:val="0"/>
              <w:jc w:val="center"/>
            </w:pPr>
            <w:r>
              <w:rPr>
                <w:sz w:val="20"/>
              </w:rPr>
              <w:t xml:space="preserve">-</w:t>
            </w:r>
          </w:p>
        </w:tc>
        <w:tc>
          <w:tcPr>
            <w:tcW w:w="1417" w:type="dxa"/>
          </w:tcPr>
          <w:p>
            <w:pPr>
              <w:pStyle w:val="0"/>
              <w:jc w:val="center"/>
            </w:pPr>
            <w:r>
              <w:rPr>
                <w:sz w:val="20"/>
              </w:rPr>
              <w:t xml:space="preserve">-</w:t>
            </w:r>
          </w:p>
        </w:tc>
      </w:tr>
      <w:tr>
        <w:tc>
          <w:tcPr>
            <w:tcW w:w="4253" w:type="dxa"/>
          </w:tcPr>
          <w:p>
            <w:pPr>
              <w:pStyle w:val="0"/>
              <w:jc w:val="both"/>
            </w:pPr>
            <w:r>
              <w:rPr>
                <w:sz w:val="20"/>
              </w:rPr>
              <w:t xml:space="preserve">НИКИ педиатрии им. академика Ю.В. Вельтищева</w:t>
            </w:r>
          </w:p>
        </w:tc>
        <w:tc>
          <w:tcPr>
            <w:tcW w:w="850" w:type="dxa"/>
          </w:tcPr>
          <w:p>
            <w:pPr>
              <w:pStyle w:val="0"/>
              <w:jc w:val="center"/>
            </w:pPr>
            <w:r>
              <w:rPr>
                <w:sz w:val="20"/>
              </w:rPr>
              <w:t xml:space="preserve">1</w:t>
            </w:r>
          </w:p>
        </w:tc>
        <w:tc>
          <w:tcPr>
            <w:tcW w:w="850" w:type="dxa"/>
          </w:tcPr>
          <w:p>
            <w:pPr>
              <w:pStyle w:val="0"/>
              <w:jc w:val="center"/>
            </w:pPr>
            <w:r>
              <w:rPr>
                <w:sz w:val="20"/>
              </w:rPr>
              <w:t xml:space="preserve">2</w:t>
            </w:r>
          </w:p>
        </w:tc>
        <w:tc>
          <w:tcPr>
            <w:tcW w:w="854" w:type="dxa"/>
          </w:tcPr>
          <w:p>
            <w:pPr>
              <w:pStyle w:val="0"/>
              <w:jc w:val="center"/>
            </w:pPr>
            <w:r>
              <w:rPr>
                <w:sz w:val="20"/>
              </w:rPr>
              <w:t xml:space="preserve">4</w:t>
            </w:r>
          </w:p>
        </w:tc>
        <w:tc>
          <w:tcPr>
            <w:tcW w:w="854" w:type="dxa"/>
          </w:tcPr>
          <w:p>
            <w:pPr>
              <w:pStyle w:val="0"/>
              <w:jc w:val="center"/>
            </w:pPr>
            <w:r>
              <w:rPr>
                <w:sz w:val="20"/>
              </w:rPr>
              <w:t xml:space="preserve">4</w:t>
            </w:r>
          </w:p>
        </w:tc>
        <w:tc>
          <w:tcPr>
            <w:tcW w:w="1417" w:type="dxa"/>
          </w:tcPr>
          <w:p>
            <w:pPr>
              <w:pStyle w:val="0"/>
              <w:jc w:val="center"/>
            </w:pPr>
            <w:r>
              <w:rPr>
                <w:sz w:val="20"/>
              </w:rPr>
              <w:t xml:space="preserve">7</w:t>
            </w:r>
          </w:p>
        </w:tc>
      </w:tr>
      <w:tr>
        <w:tc>
          <w:tcPr>
            <w:tcW w:w="4253" w:type="dxa"/>
          </w:tcPr>
          <w:p>
            <w:pPr>
              <w:pStyle w:val="0"/>
              <w:jc w:val="both"/>
            </w:pPr>
            <w:r>
              <w:rPr>
                <w:sz w:val="20"/>
              </w:rPr>
              <w:t xml:space="preserve">ОСП РДКБ ФГАУ "РНИМУ им. Н.И. Пирогова" МЗ РФ</w:t>
            </w:r>
          </w:p>
        </w:tc>
        <w:tc>
          <w:tcPr>
            <w:tcW w:w="850" w:type="dxa"/>
          </w:tcPr>
          <w:p>
            <w:pPr>
              <w:pStyle w:val="0"/>
              <w:jc w:val="center"/>
            </w:pPr>
            <w:r>
              <w:rPr>
                <w:sz w:val="20"/>
              </w:rPr>
              <w:t xml:space="preserve">1</w:t>
            </w:r>
          </w:p>
        </w:tc>
        <w:tc>
          <w:tcPr>
            <w:tcW w:w="850" w:type="dxa"/>
          </w:tcPr>
          <w:p>
            <w:pPr>
              <w:pStyle w:val="0"/>
              <w:jc w:val="center"/>
            </w:pPr>
            <w:r>
              <w:rPr>
                <w:sz w:val="20"/>
              </w:rPr>
              <w:t xml:space="preserve">4</w:t>
            </w:r>
          </w:p>
        </w:tc>
        <w:tc>
          <w:tcPr>
            <w:tcW w:w="854" w:type="dxa"/>
          </w:tcPr>
          <w:p>
            <w:pPr>
              <w:pStyle w:val="0"/>
              <w:jc w:val="center"/>
            </w:pPr>
            <w:r>
              <w:rPr>
                <w:sz w:val="20"/>
              </w:rPr>
              <w:t xml:space="preserve">3</w:t>
            </w:r>
          </w:p>
        </w:tc>
        <w:tc>
          <w:tcPr>
            <w:tcW w:w="854" w:type="dxa"/>
          </w:tcPr>
          <w:p>
            <w:pPr>
              <w:pStyle w:val="0"/>
              <w:jc w:val="center"/>
            </w:pPr>
            <w:r>
              <w:rPr>
                <w:sz w:val="20"/>
              </w:rPr>
              <w:t xml:space="preserve">4</w:t>
            </w:r>
          </w:p>
        </w:tc>
        <w:tc>
          <w:tcPr>
            <w:tcW w:w="1417" w:type="dxa"/>
          </w:tcPr>
          <w:p>
            <w:pPr>
              <w:pStyle w:val="0"/>
              <w:jc w:val="center"/>
            </w:pPr>
            <w:r>
              <w:rPr>
                <w:sz w:val="20"/>
              </w:rPr>
              <w:t xml:space="preserve">5</w:t>
            </w:r>
          </w:p>
        </w:tc>
      </w:tr>
      <w:tr>
        <w:tc>
          <w:tcPr>
            <w:tcW w:w="4253" w:type="dxa"/>
          </w:tcPr>
          <w:p>
            <w:pPr>
              <w:pStyle w:val="0"/>
              <w:jc w:val="both"/>
            </w:pPr>
            <w:r>
              <w:rPr>
                <w:sz w:val="20"/>
              </w:rPr>
              <w:t xml:space="preserve">ФГБУ "НМНЦ им. В.А. Алмазова" МЗ РФ</w:t>
            </w:r>
          </w:p>
        </w:tc>
        <w:tc>
          <w:tcPr>
            <w:tcW w:w="850" w:type="dxa"/>
          </w:tcPr>
          <w:p>
            <w:pPr>
              <w:pStyle w:val="0"/>
              <w:jc w:val="center"/>
            </w:pPr>
            <w:r>
              <w:rPr>
                <w:sz w:val="20"/>
              </w:rPr>
              <w:t xml:space="preserve">1</w:t>
            </w:r>
          </w:p>
        </w:tc>
        <w:tc>
          <w:tcPr>
            <w:tcW w:w="850" w:type="dxa"/>
          </w:tcPr>
          <w:p>
            <w:pPr>
              <w:pStyle w:val="0"/>
              <w:jc w:val="center"/>
            </w:pPr>
            <w:r>
              <w:rPr>
                <w:sz w:val="20"/>
              </w:rPr>
              <w:t xml:space="preserve">1</w:t>
            </w:r>
          </w:p>
        </w:tc>
        <w:tc>
          <w:tcPr>
            <w:tcW w:w="854" w:type="dxa"/>
          </w:tcPr>
          <w:p>
            <w:pPr>
              <w:pStyle w:val="0"/>
              <w:jc w:val="center"/>
            </w:pPr>
            <w:r>
              <w:rPr>
                <w:sz w:val="20"/>
              </w:rPr>
              <w:t xml:space="preserve">5</w:t>
            </w:r>
          </w:p>
        </w:tc>
        <w:tc>
          <w:tcPr>
            <w:tcW w:w="854" w:type="dxa"/>
          </w:tcPr>
          <w:p>
            <w:pPr>
              <w:pStyle w:val="0"/>
              <w:jc w:val="center"/>
            </w:pPr>
            <w:r>
              <w:rPr>
                <w:sz w:val="20"/>
              </w:rPr>
              <w:t xml:space="preserve">3</w:t>
            </w:r>
          </w:p>
        </w:tc>
        <w:tc>
          <w:tcPr>
            <w:tcW w:w="1417" w:type="dxa"/>
          </w:tcPr>
          <w:p>
            <w:pPr>
              <w:pStyle w:val="0"/>
              <w:jc w:val="center"/>
            </w:pPr>
            <w:r>
              <w:rPr>
                <w:sz w:val="20"/>
              </w:rPr>
              <w:t xml:space="preserve">5</w:t>
            </w:r>
          </w:p>
        </w:tc>
      </w:tr>
      <w:tr>
        <w:tc>
          <w:tcPr>
            <w:tcW w:w="4253" w:type="dxa"/>
          </w:tcPr>
          <w:p>
            <w:pPr>
              <w:pStyle w:val="0"/>
              <w:jc w:val="both"/>
            </w:pPr>
            <w:r>
              <w:rPr>
                <w:sz w:val="20"/>
              </w:rPr>
              <w:t xml:space="preserve">ФГБЦ "НМИЦ детской травматологии и ортопедии им. Г.И. Турнера" МЗ РФ</w:t>
            </w:r>
          </w:p>
        </w:tc>
        <w:tc>
          <w:tcPr>
            <w:tcW w:w="850" w:type="dxa"/>
          </w:tcPr>
          <w:p>
            <w:pPr>
              <w:pStyle w:val="0"/>
              <w:jc w:val="center"/>
            </w:pPr>
            <w:r>
              <w:rPr>
                <w:sz w:val="20"/>
              </w:rPr>
              <w:t xml:space="preserve">-</w:t>
            </w:r>
          </w:p>
        </w:tc>
        <w:tc>
          <w:tcPr>
            <w:tcW w:w="850" w:type="dxa"/>
          </w:tcPr>
          <w:p>
            <w:pPr>
              <w:pStyle w:val="0"/>
              <w:jc w:val="center"/>
            </w:pPr>
            <w:r>
              <w:rPr>
                <w:sz w:val="20"/>
              </w:rPr>
              <w:t xml:space="preserve">2</w:t>
            </w:r>
          </w:p>
        </w:tc>
        <w:tc>
          <w:tcPr>
            <w:tcW w:w="854" w:type="dxa"/>
          </w:tcPr>
          <w:p>
            <w:pPr>
              <w:pStyle w:val="0"/>
              <w:jc w:val="center"/>
            </w:pPr>
            <w:r>
              <w:rPr>
                <w:sz w:val="20"/>
              </w:rPr>
              <w:t xml:space="preserve">3</w:t>
            </w:r>
          </w:p>
        </w:tc>
        <w:tc>
          <w:tcPr>
            <w:tcW w:w="854" w:type="dxa"/>
          </w:tcPr>
          <w:p>
            <w:pPr>
              <w:pStyle w:val="0"/>
              <w:jc w:val="center"/>
            </w:pPr>
            <w:r>
              <w:rPr>
                <w:sz w:val="20"/>
              </w:rPr>
              <w:t xml:space="preserve">2</w:t>
            </w:r>
          </w:p>
        </w:tc>
        <w:tc>
          <w:tcPr>
            <w:tcW w:w="1417" w:type="dxa"/>
          </w:tcPr>
          <w:p>
            <w:pPr>
              <w:pStyle w:val="0"/>
              <w:jc w:val="center"/>
            </w:pPr>
            <w:r>
              <w:rPr>
                <w:sz w:val="20"/>
              </w:rPr>
              <w:t xml:space="preserve">3</w:t>
            </w:r>
          </w:p>
        </w:tc>
      </w:tr>
      <w:tr>
        <w:tc>
          <w:tcPr>
            <w:tcW w:w="4253" w:type="dxa"/>
          </w:tcPr>
          <w:p>
            <w:pPr>
              <w:pStyle w:val="0"/>
              <w:jc w:val="both"/>
            </w:pPr>
            <w:r>
              <w:rPr>
                <w:sz w:val="20"/>
              </w:rPr>
              <w:t xml:space="preserve">ФГБОУ "Санкт-Петербургский государственный педиатрический медицинский университет" МЗ РФ</w:t>
            </w:r>
          </w:p>
        </w:tc>
        <w:tc>
          <w:tcPr>
            <w:tcW w:w="850" w:type="dxa"/>
          </w:tcPr>
          <w:p>
            <w:pPr>
              <w:pStyle w:val="0"/>
              <w:jc w:val="center"/>
            </w:pPr>
            <w:r>
              <w:rPr>
                <w:sz w:val="20"/>
              </w:rPr>
              <w:t xml:space="preserve">-</w:t>
            </w:r>
          </w:p>
        </w:tc>
        <w:tc>
          <w:tcPr>
            <w:tcW w:w="850" w:type="dxa"/>
          </w:tcPr>
          <w:p>
            <w:pPr>
              <w:pStyle w:val="0"/>
              <w:jc w:val="center"/>
            </w:pPr>
            <w:r>
              <w:rPr>
                <w:sz w:val="20"/>
              </w:rPr>
              <w:t xml:space="preserve">1</w:t>
            </w:r>
          </w:p>
        </w:tc>
        <w:tc>
          <w:tcPr>
            <w:tcW w:w="854" w:type="dxa"/>
          </w:tcPr>
          <w:p>
            <w:pPr>
              <w:pStyle w:val="0"/>
              <w:jc w:val="center"/>
            </w:pPr>
            <w:r>
              <w:rPr>
                <w:sz w:val="20"/>
              </w:rPr>
              <w:t xml:space="preserve">2</w:t>
            </w:r>
          </w:p>
        </w:tc>
        <w:tc>
          <w:tcPr>
            <w:tcW w:w="854" w:type="dxa"/>
          </w:tcPr>
          <w:p>
            <w:pPr>
              <w:pStyle w:val="0"/>
              <w:jc w:val="center"/>
            </w:pPr>
            <w:r>
              <w:rPr>
                <w:sz w:val="20"/>
              </w:rPr>
              <w:t xml:space="preserve">3</w:t>
            </w:r>
          </w:p>
        </w:tc>
        <w:tc>
          <w:tcPr>
            <w:tcW w:w="1417" w:type="dxa"/>
          </w:tcPr>
          <w:p>
            <w:pPr>
              <w:pStyle w:val="0"/>
              <w:jc w:val="center"/>
            </w:pPr>
            <w:r>
              <w:rPr>
                <w:sz w:val="20"/>
              </w:rPr>
              <w:t xml:space="preserve">-</w:t>
            </w:r>
          </w:p>
        </w:tc>
      </w:tr>
    </w:tbl>
    <w:p>
      <w:pPr>
        <w:pStyle w:val="0"/>
        <w:jc w:val="center"/>
      </w:pPr>
      <w:r>
        <w:rPr>
          <w:sz w:val="20"/>
        </w:rPr>
      </w:r>
    </w:p>
    <w:p>
      <w:pPr>
        <w:pStyle w:val="2"/>
        <w:outlineLvl w:val="3"/>
        <w:jc w:val="center"/>
      </w:pPr>
      <w:r>
        <w:rPr>
          <w:sz w:val="20"/>
        </w:rPr>
        <w:t xml:space="preserve">1.6. Информационное взаимодействие</w:t>
      </w:r>
    </w:p>
    <w:p>
      <w:pPr>
        <w:pStyle w:val="0"/>
        <w:jc w:val="center"/>
      </w:pPr>
      <w:r>
        <w:rPr>
          <w:sz w:val="20"/>
        </w:rPr>
      </w:r>
    </w:p>
    <w:p>
      <w:pPr>
        <w:pStyle w:val="0"/>
        <w:ind w:firstLine="540"/>
        <w:jc w:val="both"/>
      </w:pPr>
      <w:r>
        <w:rPr>
          <w:sz w:val="20"/>
        </w:rPr>
        <w:t xml:space="preserve">В городе Севастополе с 25.11.2021 в рамках государственного контракта от 15.06.2021 N 2920402328121000355 на оказание услуг по модернизации программы для ЭВМ "ВИТАКОР РМИС" в медицинских организациях государственной системы здравоохранения города Севастополя в части интеграции с вертикально интегрированной медицинской информационной системой по профилю оказания медицинской помощи "акушерство, гинекология и неонатология" введен в пилотную эксплуатацию функционал ведения беременных на базе программы для ЭВМ АИС "Региональный акушерский мониторинг". Программный продукт позволяет формировать медицинскую документацию в электронном виде, а также передавать сведения в Федеральную вертикально интегрированную медицинскую информационную систему (далее - ВИМИС) по профилю "акушерство, гинекология и неонатология".</w:t>
      </w:r>
    </w:p>
    <w:p>
      <w:pPr>
        <w:pStyle w:val="0"/>
        <w:spacing w:before="200" w:line-rule="auto"/>
        <w:ind w:firstLine="540"/>
        <w:jc w:val="both"/>
      </w:pPr>
      <w:r>
        <w:rPr>
          <w:sz w:val="20"/>
        </w:rPr>
        <w:t xml:space="preserve">Запланированы работы по внедрению функционала формирования СЭМД в информационной системе "Направление на проведение неонатального скрининга". Реализован и запланирован к внедрению функционал штрихкодирования, который позволит привязывать результаты исследований к направлению.</w:t>
      </w:r>
    </w:p>
    <w:p>
      <w:pPr>
        <w:pStyle w:val="0"/>
        <w:spacing w:before="200" w:line-rule="auto"/>
        <w:ind w:firstLine="540"/>
        <w:jc w:val="both"/>
      </w:pPr>
      <w:r>
        <w:rPr>
          <w:sz w:val="20"/>
        </w:rPr>
        <w:t xml:space="preserve">Функционал формирования СЭМД "Документ, содержащий сведения медицинского свидетельства о рождении в бумажной форме" реализован с начала 2022 года на базе специального программного обеспечения для ведения учета, печати медицинских свидетельств о смерти, перинатальной смерти и рождении, проведены работы и запускается в эксплуатацию функционал формирования медицинских свидетельств о рождении в виде СЭМД "Медицинское свидетельство о рождении" на основании приказа Департамента здравоохранения города Севастополя от 11.11.2022 N 1247 "О вводе в промышленную эксплуатацию функционала выдачи медицинских свидетельств о рождении в форме электронного документа".</w:t>
      </w:r>
    </w:p>
    <w:p>
      <w:pPr>
        <w:pStyle w:val="0"/>
        <w:spacing w:before="200" w:line-rule="auto"/>
        <w:ind w:firstLine="540"/>
        <w:jc w:val="both"/>
      </w:pPr>
      <w:r>
        <w:rPr>
          <w:sz w:val="20"/>
        </w:rPr>
        <w:t xml:space="preserve">СЭМД "Документ, содержащий сведения медицинского свидетельства о рождении в бумажной форме" и "Медицинское свидетельство о рождении" успешно передаются в подсистему "Федеральный реестр электронных медицинских документов" ЕГИСЗ (далее - ФРЭМД). По состоянию на 11.11.2022 в ФРЭМД передано СЭМД "Документ, содержащий сведения медицинского свидетельства о рождении в бумажной форме" - 2447 документов, СЭМД "Медицинское свидетельство о рождении" - 433 документа.</w:t>
      </w:r>
    </w:p>
    <w:p>
      <w:pPr>
        <w:pStyle w:val="0"/>
        <w:jc w:val="both"/>
      </w:pPr>
      <w:r>
        <w:rPr>
          <w:sz w:val="20"/>
        </w:rPr>
      </w:r>
    </w:p>
    <w:p>
      <w:pPr>
        <w:pStyle w:val="0"/>
        <w:jc w:val="right"/>
      </w:pPr>
      <w:r>
        <w:rPr>
          <w:sz w:val="20"/>
        </w:rPr>
        <w:t xml:space="preserve">Таблица 11</w:t>
      </w:r>
    </w:p>
    <w:p>
      <w:pPr>
        <w:pStyle w:val="0"/>
      </w:pPr>
      <w:r>
        <w:rPr>
          <w:sz w:val="20"/>
        </w:rPr>
      </w:r>
    </w:p>
    <w:p>
      <w:pPr>
        <w:pStyle w:val="0"/>
        <w:jc w:val="center"/>
      </w:pPr>
      <w:r>
        <w:rPr>
          <w:sz w:val="20"/>
        </w:rPr>
        <w:t xml:space="preserve">Оценка региональных систем информатизации здравоохранения,</w:t>
      </w:r>
    </w:p>
    <w:p>
      <w:pPr>
        <w:pStyle w:val="0"/>
        <w:jc w:val="center"/>
      </w:pPr>
      <w:r>
        <w:rPr>
          <w:sz w:val="20"/>
        </w:rPr>
        <w:t xml:space="preserve">необходимых для обеспечения НС и РНС</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835"/>
        <w:gridCol w:w="3969"/>
      </w:tblGrid>
      <w:tr>
        <w:tc>
          <w:tcPr>
            <w:tcW w:w="2268" w:type="dxa"/>
          </w:tcPr>
          <w:p>
            <w:pPr>
              <w:pStyle w:val="0"/>
              <w:jc w:val="center"/>
            </w:pPr>
            <w:r>
              <w:rPr>
                <w:sz w:val="20"/>
              </w:rPr>
              <w:t xml:space="preserve">Наименование информационной системы</w:t>
            </w:r>
          </w:p>
        </w:tc>
        <w:tc>
          <w:tcPr>
            <w:tcW w:w="2835" w:type="dxa"/>
          </w:tcPr>
          <w:p>
            <w:pPr>
              <w:pStyle w:val="0"/>
              <w:jc w:val="center"/>
            </w:pPr>
            <w:r>
              <w:rPr>
                <w:sz w:val="20"/>
              </w:rPr>
              <w:t xml:space="preserve">Указать наличие (да/нет), название</w:t>
            </w:r>
          </w:p>
        </w:tc>
        <w:tc>
          <w:tcPr>
            <w:tcW w:w="3969" w:type="dxa"/>
          </w:tcPr>
          <w:p>
            <w:pPr>
              <w:pStyle w:val="0"/>
              <w:jc w:val="center"/>
            </w:pPr>
            <w:r>
              <w:rPr>
                <w:sz w:val="20"/>
              </w:rPr>
              <w:t xml:space="preserve">Чем утверждено (внедрение и работа)</w:t>
            </w:r>
          </w:p>
        </w:tc>
      </w:tr>
      <w:tr>
        <w:tc>
          <w:tcPr>
            <w:tcW w:w="2268" w:type="dxa"/>
          </w:tcPr>
          <w:p>
            <w:pPr>
              <w:pStyle w:val="0"/>
              <w:jc w:val="both"/>
            </w:pPr>
            <w:r>
              <w:rPr>
                <w:sz w:val="20"/>
              </w:rPr>
              <w:t xml:space="preserve">ЕГИСЗ</w:t>
            </w:r>
          </w:p>
        </w:tc>
        <w:tc>
          <w:tcPr>
            <w:tcW w:w="2835" w:type="dxa"/>
          </w:tcPr>
          <w:p>
            <w:pPr>
              <w:pStyle w:val="0"/>
              <w:jc w:val="both"/>
            </w:pPr>
            <w:r>
              <w:rPr>
                <w:sz w:val="20"/>
              </w:rPr>
              <w:t xml:space="preserve">Да/Программа для ЭВМ АИС "Региональный акушерский мониторинг"</w:t>
            </w:r>
          </w:p>
        </w:tc>
        <w:tc>
          <w:tcPr>
            <w:tcW w:w="3969" w:type="dxa"/>
          </w:tcPr>
          <w:p>
            <w:pPr>
              <w:pStyle w:val="0"/>
              <w:jc w:val="both"/>
            </w:pPr>
            <w:r>
              <w:rPr>
                <w:sz w:val="20"/>
              </w:rPr>
              <w:t xml:space="preserve">Приказ Департамента здравоохранения города Севастополя от 13.07.2022 N 737 "О вводе в промышленную эксплуатацию программы для ЭВМ АИС "Региональный акушерский мониторинг"</w:t>
            </w:r>
          </w:p>
        </w:tc>
      </w:tr>
      <w:tr>
        <w:tc>
          <w:tcPr>
            <w:tcW w:w="2268" w:type="dxa"/>
          </w:tcPr>
          <w:p>
            <w:pPr>
              <w:pStyle w:val="0"/>
              <w:jc w:val="both"/>
            </w:pPr>
            <w:r>
              <w:rPr>
                <w:sz w:val="20"/>
              </w:rPr>
              <w:t xml:space="preserve">Электронный документооборот</w:t>
            </w:r>
          </w:p>
        </w:tc>
        <w:tc>
          <w:tcPr>
            <w:tcW w:w="2835" w:type="dxa"/>
          </w:tcPr>
          <w:p>
            <w:pPr>
              <w:pStyle w:val="0"/>
              <w:jc w:val="both"/>
            </w:pPr>
            <w:r>
              <w:rPr>
                <w:sz w:val="20"/>
              </w:rPr>
              <w:t xml:space="preserve">Да/Программа для ЭВМ АИС "Региональный акушерский мониторинг"</w:t>
            </w:r>
          </w:p>
        </w:tc>
        <w:tc>
          <w:tcPr>
            <w:tcW w:w="3969" w:type="dxa"/>
          </w:tcPr>
          <w:p>
            <w:pPr>
              <w:pStyle w:val="0"/>
              <w:jc w:val="both"/>
            </w:pPr>
            <w:r>
              <w:rPr>
                <w:sz w:val="20"/>
              </w:rPr>
              <w:t xml:space="preserve">Приказ Департамента здравоохранения города Севастополя от 13.07.2022 N 737 "О вводе в промышленную эксплуатацию программы для ЭВМ АИС "Региональный акушерский мониторинг"</w:t>
            </w:r>
          </w:p>
        </w:tc>
      </w:tr>
      <w:tr>
        <w:tc>
          <w:tcPr>
            <w:tcW w:w="2268" w:type="dxa"/>
          </w:tcPr>
          <w:p>
            <w:pPr>
              <w:pStyle w:val="0"/>
              <w:jc w:val="both"/>
            </w:pPr>
            <w:r>
              <w:rPr>
                <w:sz w:val="20"/>
              </w:rPr>
              <w:t xml:space="preserve">Работа сервиса выписки медицинских свидетельств о рождении</w:t>
            </w:r>
          </w:p>
        </w:tc>
        <w:tc>
          <w:tcPr>
            <w:tcW w:w="2835" w:type="dxa"/>
          </w:tcPr>
          <w:p>
            <w:pPr>
              <w:pStyle w:val="0"/>
              <w:jc w:val="both"/>
            </w:pPr>
            <w:r>
              <w:rPr>
                <w:sz w:val="20"/>
              </w:rPr>
              <w:t xml:space="preserve">Да/На базе специального программного обеспечения для ведения учета, печати медицинских свидетельств о смерти, перинатальной смерти и рождении</w:t>
            </w:r>
          </w:p>
        </w:tc>
        <w:tc>
          <w:tcPr>
            <w:tcW w:w="3969" w:type="dxa"/>
          </w:tcPr>
          <w:p>
            <w:pPr>
              <w:pStyle w:val="0"/>
              <w:jc w:val="both"/>
            </w:pPr>
            <w:r>
              <w:rPr>
                <w:sz w:val="20"/>
              </w:rPr>
              <w:t xml:space="preserve">Приказ Департамента здравоохранения города Севастополя от 11.11.2022 N 1247 "О вводе в промышленную эксплуатацию функционала выдачи медицинских свидетельств о рождении в форме электронного документа"</w:t>
            </w:r>
          </w:p>
        </w:tc>
      </w:tr>
      <w:tr>
        <w:tc>
          <w:tcPr>
            <w:tcW w:w="2268" w:type="dxa"/>
          </w:tcPr>
          <w:p>
            <w:pPr>
              <w:pStyle w:val="0"/>
              <w:jc w:val="both"/>
            </w:pPr>
            <w:r>
              <w:rPr>
                <w:sz w:val="20"/>
              </w:rPr>
              <w:t xml:space="preserve">Наличие и ведение баз данных детей с врожденными и наследственными заболеваниями</w:t>
            </w:r>
          </w:p>
        </w:tc>
        <w:tc>
          <w:tcPr>
            <w:tcW w:w="2835" w:type="dxa"/>
          </w:tcPr>
          <w:p>
            <w:pPr>
              <w:pStyle w:val="0"/>
              <w:jc w:val="both"/>
            </w:pPr>
            <w:r>
              <w:rPr>
                <w:sz w:val="20"/>
              </w:rPr>
              <w:t xml:space="preserve">Нет/Запланирована на базе РМИС</w:t>
            </w:r>
          </w:p>
        </w:tc>
        <w:tc>
          <w:tcPr>
            <w:tcW w:w="3969" w:type="dxa"/>
          </w:tcPr>
          <w:p>
            <w:pPr>
              <w:pStyle w:val="0"/>
              <w:jc w:val="center"/>
            </w:pPr>
            <w:r>
              <w:rPr>
                <w:sz w:val="20"/>
              </w:rPr>
              <w:t xml:space="preserve">-</w:t>
            </w:r>
          </w:p>
        </w:tc>
      </w:tr>
      <w:tr>
        <w:tc>
          <w:tcPr>
            <w:tcW w:w="2268" w:type="dxa"/>
          </w:tcPr>
          <w:p>
            <w:pPr>
              <w:pStyle w:val="0"/>
              <w:jc w:val="both"/>
            </w:pPr>
            <w:r>
              <w:rPr>
                <w:sz w:val="20"/>
              </w:rPr>
              <w:t xml:space="preserve">Регистры</w:t>
            </w:r>
          </w:p>
        </w:tc>
        <w:tc>
          <w:tcPr>
            <w:tcW w:w="2835" w:type="dxa"/>
          </w:tcPr>
          <w:p>
            <w:pPr>
              <w:pStyle w:val="0"/>
              <w:jc w:val="both"/>
            </w:pPr>
            <w:r>
              <w:rPr>
                <w:sz w:val="20"/>
              </w:rPr>
              <w:t xml:space="preserve">Нет/Запланирована на базе РМИС</w:t>
            </w:r>
          </w:p>
        </w:tc>
        <w:tc>
          <w:tcPr>
            <w:tcW w:w="3969" w:type="dxa"/>
          </w:tcPr>
          <w:p>
            <w:pPr>
              <w:pStyle w:val="0"/>
              <w:jc w:val="center"/>
            </w:pPr>
            <w:r>
              <w:rPr>
                <w:sz w:val="20"/>
              </w:rPr>
              <w:t xml:space="preserve">-</w:t>
            </w:r>
          </w:p>
        </w:tc>
      </w:tr>
      <w:tr>
        <w:tc>
          <w:tcPr>
            <w:tcW w:w="2268" w:type="dxa"/>
          </w:tcPr>
          <w:p>
            <w:pPr>
              <w:pStyle w:val="0"/>
              <w:jc w:val="both"/>
            </w:pPr>
            <w:r>
              <w:rPr>
                <w:sz w:val="20"/>
              </w:rPr>
              <w:t xml:space="preserve">Реестры</w:t>
            </w:r>
          </w:p>
        </w:tc>
        <w:tc>
          <w:tcPr>
            <w:tcW w:w="2835" w:type="dxa"/>
          </w:tcPr>
          <w:p>
            <w:pPr>
              <w:pStyle w:val="0"/>
              <w:jc w:val="both"/>
            </w:pPr>
            <w:r>
              <w:rPr>
                <w:sz w:val="20"/>
              </w:rPr>
              <w:t xml:space="preserve">Нет/Запланирована на базе РМИС</w:t>
            </w:r>
          </w:p>
        </w:tc>
        <w:tc>
          <w:tcPr>
            <w:tcW w:w="3969" w:type="dxa"/>
          </w:tcPr>
          <w:p>
            <w:pPr>
              <w:pStyle w:val="0"/>
              <w:jc w:val="center"/>
            </w:pPr>
            <w:r>
              <w:rPr>
                <w:sz w:val="20"/>
              </w:rPr>
              <w:t xml:space="preserve">-</w:t>
            </w:r>
          </w:p>
        </w:tc>
      </w:tr>
    </w:tbl>
    <w:p>
      <w:pPr>
        <w:pStyle w:val="0"/>
        <w:ind w:firstLine="540"/>
        <w:jc w:val="both"/>
      </w:pPr>
      <w:r>
        <w:rPr>
          <w:sz w:val="20"/>
        </w:rPr>
      </w:r>
    </w:p>
    <w:p>
      <w:pPr>
        <w:pStyle w:val="2"/>
        <w:outlineLvl w:val="3"/>
        <w:jc w:val="center"/>
      </w:pPr>
      <w:r>
        <w:rPr>
          <w:sz w:val="20"/>
        </w:rPr>
        <w:t xml:space="preserve">1.7. Выводы</w:t>
      </w:r>
    </w:p>
    <w:p>
      <w:pPr>
        <w:pStyle w:val="0"/>
        <w:jc w:val="center"/>
      </w:pPr>
      <w:r>
        <w:rPr>
          <w:sz w:val="20"/>
        </w:rPr>
      </w:r>
    </w:p>
    <w:p>
      <w:pPr>
        <w:pStyle w:val="0"/>
        <w:ind w:firstLine="540"/>
        <w:jc w:val="both"/>
      </w:pPr>
      <w:r>
        <w:rPr>
          <w:sz w:val="20"/>
        </w:rPr>
        <w:t xml:space="preserve">НС проводится на пять наследственных заболеваний: фенилкетонурия - E70.0 (классическая), фенилкетонурия - B - E70.1, врожденный гипотиреоз с диффузным зобом - E03.0, врожденный гипотиреоз без зоба - E03.1, кистозный фиброз неуточненный - E84.9 (муковисцидоз), адреногенитальные нарушения, связанные с дефицитом ферментов, - E25.0, адреногенитальные нарушения (неуточненные) - E25.9, нарушение обмена галактозы - E74.2.</w:t>
      </w:r>
    </w:p>
    <w:p>
      <w:pPr>
        <w:pStyle w:val="0"/>
        <w:spacing w:before="200" w:line-rule="auto"/>
        <w:ind w:firstLine="540"/>
        <w:jc w:val="both"/>
      </w:pPr>
      <w:r>
        <w:rPr>
          <w:sz w:val="20"/>
        </w:rPr>
        <w:t xml:space="preserve">Расширенный НС на врожденные и наследственные заболевания проводится более чем на 30 заболеваний, среди которых выделяются следующие:</w:t>
      </w:r>
    </w:p>
    <w:p>
      <w:pPr>
        <w:pStyle w:val="0"/>
        <w:spacing w:before="200" w:line-rule="auto"/>
        <w:ind w:firstLine="540"/>
        <w:jc w:val="both"/>
      </w:pPr>
      <w:r>
        <w:rPr>
          <w:sz w:val="20"/>
        </w:rPr>
        <w:t xml:space="preserve">- недостаточность других уточненных витаминов группы B - E53.8 (дефицит биотинидазы, биотинзависимой карбоксилазы, недостаточность синтетазы голокарбоксилаз - недостаточность биотина);</w:t>
      </w:r>
    </w:p>
    <w:p>
      <w:pPr>
        <w:pStyle w:val="0"/>
        <w:spacing w:before="200" w:line-rule="auto"/>
        <w:ind w:firstLine="540"/>
        <w:jc w:val="both"/>
      </w:pPr>
      <w:r>
        <w:rPr>
          <w:sz w:val="20"/>
        </w:rPr>
        <w:t xml:space="preserve">- гиперфениналанинемия - E70.1 (дефицит синтеза биоптерина, дефицит реактивации биоптерина);</w:t>
      </w:r>
    </w:p>
    <w:p>
      <w:pPr>
        <w:pStyle w:val="0"/>
        <w:spacing w:before="200" w:line-rule="auto"/>
        <w:ind w:firstLine="540"/>
        <w:jc w:val="both"/>
      </w:pPr>
      <w:r>
        <w:rPr>
          <w:sz w:val="20"/>
        </w:rPr>
        <w:t xml:space="preserve">- нарушения обмена тирозина - E70.2 (тирозинемия);</w:t>
      </w:r>
    </w:p>
    <w:p>
      <w:pPr>
        <w:pStyle w:val="0"/>
        <w:spacing w:before="200" w:line-rule="auto"/>
        <w:ind w:firstLine="540"/>
        <w:jc w:val="both"/>
      </w:pPr>
      <w:r>
        <w:rPr>
          <w:sz w:val="20"/>
        </w:rPr>
        <w:t xml:space="preserve">- болезнь с запахом кленового сиропа мочи - E71.0;</w:t>
      </w:r>
    </w:p>
    <w:p>
      <w:pPr>
        <w:pStyle w:val="0"/>
        <w:spacing w:before="200" w:line-rule="auto"/>
        <w:ind w:firstLine="540"/>
        <w:jc w:val="both"/>
      </w:pPr>
      <w:r>
        <w:rPr>
          <w:sz w:val="20"/>
        </w:rPr>
        <w:t xml:space="preserve">- другие виды нарушений обмена аминокислот с разветвленной цепью - E71.1 (пропионовая ацидемия, метилмалоновая ацидемия, недостаточность кобаламина A, недостаточность кобаламина B, дефицит эпимеразы, метилмалоновая ацидемия, недостаточность кобаламина D, метилмалоновая ацидемия, недостаточность кобаламина C);</w:t>
      </w:r>
    </w:p>
    <w:p>
      <w:pPr>
        <w:pStyle w:val="0"/>
        <w:spacing w:before="200" w:line-rule="auto"/>
        <w:ind w:firstLine="540"/>
        <w:jc w:val="both"/>
      </w:pPr>
      <w:r>
        <w:rPr>
          <w:sz w:val="20"/>
        </w:rPr>
        <w:t xml:space="preserve">- изовалериановая ацидемия; 3-гидрокси-3-метилглутаровая недостаточность; бетакетотиолазная недостаточность;</w:t>
      </w:r>
    </w:p>
    <w:p>
      <w:pPr>
        <w:pStyle w:val="0"/>
        <w:spacing w:before="200" w:line-rule="auto"/>
        <w:ind w:firstLine="540"/>
        <w:jc w:val="both"/>
      </w:pPr>
      <w:r>
        <w:rPr>
          <w:sz w:val="20"/>
        </w:rPr>
        <w:t xml:space="preserve">- нарушение обмена жирных кислот - E71.3 (первичная кермитиновая недостаточность);</w:t>
      </w:r>
    </w:p>
    <w:p>
      <w:pPr>
        <w:pStyle w:val="0"/>
        <w:spacing w:before="200" w:line-rule="auto"/>
        <w:ind w:firstLine="540"/>
        <w:jc w:val="both"/>
      </w:pPr>
      <w:r>
        <w:rPr>
          <w:sz w:val="20"/>
        </w:rPr>
        <w:t xml:space="preserve">- нарушения обмена серосодержащих аминокислот - E72.1 (гомоцистинурия);</w:t>
      </w:r>
    </w:p>
    <w:p>
      <w:pPr>
        <w:pStyle w:val="0"/>
        <w:spacing w:before="200" w:line-rule="auto"/>
        <w:ind w:firstLine="540"/>
        <w:jc w:val="both"/>
      </w:pPr>
      <w:r>
        <w:rPr>
          <w:sz w:val="20"/>
        </w:rPr>
        <w:t xml:space="preserve">- нарушения обмена цикла мочевины - E72.2 (цитруллинемия, тип I; аргиназная недостаточность);</w:t>
      </w:r>
    </w:p>
    <w:p>
      <w:pPr>
        <w:pStyle w:val="0"/>
        <w:spacing w:before="200" w:line-rule="auto"/>
        <w:ind w:firstLine="540"/>
        <w:jc w:val="both"/>
      </w:pPr>
      <w:r>
        <w:rPr>
          <w:sz w:val="20"/>
        </w:rPr>
        <w:t xml:space="preserve">- нарушения обмена лизина и гидроксилизина - E72.3 (глутаровая ацидемия, тип I, глутаровая ацидемия, тип II (рибофлавин-чувствительная форма));</w:t>
      </w:r>
    </w:p>
    <w:p>
      <w:pPr>
        <w:pStyle w:val="0"/>
        <w:spacing w:before="200" w:line-rule="auto"/>
        <w:ind w:firstLine="540"/>
        <w:jc w:val="both"/>
      </w:pPr>
      <w:r>
        <w:rPr>
          <w:sz w:val="20"/>
        </w:rPr>
        <w:t xml:space="preserve">- детская спинальная мышечная атрофия, I тип (Вернига - Гоффмана) - G12.0;</w:t>
      </w:r>
    </w:p>
    <w:p>
      <w:pPr>
        <w:pStyle w:val="0"/>
        <w:spacing w:before="200" w:line-rule="auto"/>
        <w:ind w:firstLine="540"/>
        <w:jc w:val="both"/>
      </w:pPr>
      <w:r>
        <w:rPr>
          <w:sz w:val="20"/>
        </w:rPr>
        <w:t xml:space="preserve">- другие наследственные спинальные мышечные атрофии - G12.1;</w:t>
      </w:r>
    </w:p>
    <w:p>
      <w:pPr>
        <w:pStyle w:val="0"/>
        <w:spacing w:before="200" w:line-rule="auto"/>
        <w:ind w:firstLine="540"/>
        <w:jc w:val="both"/>
      </w:pPr>
      <w:r>
        <w:rPr>
          <w:sz w:val="20"/>
        </w:rPr>
        <w:t xml:space="preserve">- первичные иммунодефициты - D80 - D84.</w:t>
      </w:r>
    </w:p>
    <w:p>
      <w:pPr>
        <w:pStyle w:val="0"/>
        <w:spacing w:before="200" w:line-rule="auto"/>
        <w:ind w:firstLine="540"/>
        <w:jc w:val="both"/>
      </w:pPr>
      <w:r>
        <w:rPr>
          <w:sz w:val="20"/>
        </w:rPr>
        <w:t xml:space="preserve">В настоящий момент в городе Севастополе нет полноценного перинатального центра. После ремонта здания родильного дома по адресу: пр-т Острякова, 211а, в нем создан и функционирует родильный дом третьего уровня.</w:t>
      </w:r>
    </w:p>
    <w:p>
      <w:pPr>
        <w:pStyle w:val="0"/>
        <w:spacing w:before="200" w:line-rule="auto"/>
        <w:ind w:firstLine="540"/>
        <w:jc w:val="both"/>
      </w:pPr>
      <w:r>
        <w:rPr>
          <w:sz w:val="20"/>
        </w:rPr>
        <w:t xml:space="preserve">После проведения капитального ремонта здания Городской больницы N 5 по ул. Гагарина, 17б, планируется развернуть в нем консультативное отделение для беременных высокой группы риска, отделение антенатальной охраны плода (пренатальная диагностика) и МГК, а также дооснащение МГК.</w:t>
      </w:r>
    </w:p>
    <w:p>
      <w:pPr>
        <w:pStyle w:val="0"/>
        <w:ind w:firstLine="540"/>
        <w:jc w:val="both"/>
      </w:pPr>
      <w:r>
        <w:rPr>
          <w:sz w:val="20"/>
        </w:rPr>
      </w:r>
    </w:p>
    <w:p>
      <w:pPr>
        <w:pStyle w:val="2"/>
        <w:outlineLvl w:val="4"/>
        <w:jc w:val="center"/>
      </w:pPr>
      <w:r>
        <w:rPr>
          <w:sz w:val="20"/>
        </w:rPr>
        <w:t xml:space="preserve">Ожидаемые результаты реализации Программы</w:t>
      </w:r>
    </w:p>
    <w:p>
      <w:pPr>
        <w:pStyle w:val="0"/>
        <w:jc w:val="center"/>
      </w:pPr>
      <w:r>
        <w:rPr>
          <w:sz w:val="20"/>
        </w:rPr>
      </w:r>
    </w:p>
    <w:p>
      <w:pPr>
        <w:pStyle w:val="0"/>
        <w:ind w:firstLine="540"/>
        <w:jc w:val="both"/>
      </w:pPr>
      <w:r>
        <w:rPr>
          <w:sz w:val="20"/>
        </w:rPr>
        <w:t xml:space="preserve">1. Проведение расширенного НС позволит обеспечить более раннее (своевременное) выявление и лечение критических состояний.</w:t>
      </w:r>
    </w:p>
    <w:p>
      <w:pPr>
        <w:pStyle w:val="0"/>
        <w:spacing w:before="200" w:line-rule="auto"/>
        <w:ind w:firstLine="540"/>
        <w:jc w:val="both"/>
      </w:pPr>
      <w:r>
        <w:rPr>
          <w:sz w:val="20"/>
        </w:rPr>
        <w:t xml:space="preserve">2. Организация расширенного НС обеспечит преемственность акушерской, неонатологической, педиатрической и медико-генетической служб.</w:t>
      </w:r>
    </w:p>
    <w:p>
      <w:pPr>
        <w:pStyle w:val="0"/>
        <w:spacing w:before="200" w:line-rule="auto"/>
        <w:ind w:firstLine="540"/>
        <w:jc w:val="both"/>
      </w:pPr>
      <w:r>
        <w:rPr>
          <w:sz w:val="20"/>
        </w:rPr>
        <w:t xml:space="preserve">3. Повышение уровня охвата новорожденных расширенным НС и снижение уровня дефектовки при организации забора крови, доставки образцов биоматериалов, а также информационное обеспечение расширенного НС.</w:t>
      </w:r>
    </w:p>
    <w:p>
      <w:pPr>
        <w:pStyle w:val="0"/>
        <w:spacing w:before="200" w:line-rule="auto"/>
        <w:ind w:firstLine="540"/>
        <w:jc w:val="both"/>
      </w:pPr>
      <w:r>
        <w:rPr>
          <w:sz w:val="20"/>
        </w:rPr>
        <w:t xml:space="preserve">4. Уменьшение сроков постановки диагноза и раннее начало лечения пациентов с выявленными врожденными и наследственными заболеваниями вследствие расширенного НС.</w:t>
      </w:r>
    </w:p>
    <w:p>
      <w:pPr>
        <w:pStyle w:val="0"/>
        <w:spacing w:before="200" w:line-rule="auto"/>
        <w:ind w:firstLine="540"/>
        <w:jc w:val="both"/>
      </w:pPr>
      <w:r>
        <w:rPr>
          <w:sz w:val="20"/>
        </w:rPr>
        <w:t xml:space="preserve">5. Улучшение качества и безопасности оказания медицинской помощи пациентам с врожденными и наследственными заболеваниями.</w:t>
      </w:r>
    </w:p>
    <w:p>
      <w:pPr>
        <w:pStyle w:val="0"/>
        <w:spacing w:before="200" w:line-rule="auto"/>
        <w:ind w:firstLine="540"/>
        <w:jc w:val="both"/>
      </w:pPr>
      <w:r>
        <w:rPr>
          <w:sz w:val="20"/>
        </w:rPr>
        <w:t xml:space="preserve">6. Снижение младенческой смертности до 3,3 на 1000 родившихся живыми к 2024 году.</w:t>
      </w:r>
    </w:p>
    <w:p>
      <w:pPr>
        <w:pStyle w:val="0"/>
        <w:spacing w:before="200" w:line-rule="auto"/>
        <w:ind w:firstLine="540"/>
        <w:jc w:val="both"/>
      </w:pPr>
      <w:r>
        <w:rPr>
          <w:sz w:val="20"/>
        </w:rPr>
        <w:t xml:space="preserve">7. Снижение смертности детей в возрасте 0 - 4 года до 4,3 на 1000 родившихся живыми.</w:t>
      </w:r>
    </w:p>
    <w:p>
      <w:pPr>
        <w:pStyle w:val="0"/>
        <w:jc w:val="center"/>
      </w:pPr>
      <w:r>
        <w:rPr>
          <w:sz w:val="20"/>
        </w:rPr>
      </w:r>
    </w:p>
    <w:p>
      <w:pPr>
        <w:pStyle w:val="2"/>
        <w:outlineLvl w:val="2"/>
        <w:jc w:val="center"/>
      </w:pPr>
      <w:r>
        <w:rPr>
          <w:sz w:val="20"/>
        </w:rPr>
        <w:t xml:space="preserve">2. Организация проведения РНС</w:t>
      </w:r>
    </w:p>
    <w:p>
      <w:pPr>
        <w:pStyle w:val="0"/>
        <w:jc w:val="center"/>
      </w:pPr>
      <w:r>
        <w:rPr>
          <w:sz w:val="20"/>
        </w:rPr>
      </w:r>
    </w:p>
    <w:p>
      <w:pPr>
        <w:pStyle w:val="2"/>
        <w:outlineLvl w:val="3"/>
        <w:jc w:val="center"/>
      </w:pPr>
      <w:r>
        <w:rPr>
          <w:sz w:val="20"/>
        </w:rPr>
        <w:t xml:space="preserve">2.1. Цели реализации региональной программы "Обеспечение</w:t>
      </w:r>
    </w:p>
    <w:p>
      <w:pPr>
        <w:pStyle w:val="2"/>
        <w:jc w:val="center"/>
      </w:pPr>
      <w:r>
        <w:rPr>
          <w:sz w:val="20"/>
        </w:rPr>
        <w:t xml:space="preserve">расширенного неонатального скрининга"</w:t>
      </w:r>
    </w:p>
    <w:p>
      <w:pPr>
        <w:pStyle w:val="0"/>
        <w:jc w:val="center"/>
      </w:pPr>
      <w:r>
        <w:rPr>
          <w:sz w:val="20"/>
        </w:rPr>
      </w:r>
    </w:p>
    <w:p>
      <w:pPr>
        <w:pStyle w:val="0"/>
        <w:ind w:firstLine="540"/>
        <w:jc w:val="both"/>
      </w:pPr>
      <w:r>
        <w:rPr>
          <w:sz w:val="20"/>
        </w:rPr>
        <w:t xml:space="preserve">Основной целью является снижение показателя младенческой смертности в городе Севастополе посредством реализации мероприятий массового обследования новорожденных на врожденные и наследственные заболевания в рамках расширенного НС, а также обеспечение проведения массового обследования новорожденных на наследственные и врожденные заболевания.</w:t>
      </w:r>
    </w:p>
    <w:p>
      <w:pPr>
        <w:pStyle w:val="0"/>
        <w:ind w:firstLine="540"/>
        <w:jc w:val="both"/>
      </w:pPr>
      <w:r>
        <w:rPr>
          <w:sz w:val="20"/>
        </w:rPr>
      </w:r>
    </w:p>
    <w:p>
      <w:pPr>
        <w:pStyle w:val="2"/>
        <w:outlineLvl w:val="3"/>
        <w:jc w:val="center"/>
      </w:pPr>
      <w:r>
        <w:rPr>
          <w:sz w:val="20"/>
        </w:rPr>
        <w:t xml:space="preserve">2.2. Задачи региональной программы "Обеспечение расширенного</w:t>
      </w:r>
    </w:p>
    <w:p>
      <w:pPr>
        <w:pStyle w:val="2"/>
        <w:jc w:val="center"/>
      </w:pPr>
      <w:r>
        <w:rPr>
          <w:sz w:val="20"/>
        </w:rPr>
        <w:t xml:space="preserve">неонатального скрининга"</w:t>
      </w:r>
    </w:p>
    <w:p>
      <w:pPr>
        <w:pStyle w:val="0"/>
        <w:jc w:val="center"/>
      </w:pPr>
      <w:r>
        <w:rPr>
          <w:sz w:val="20"/>
        </w:rPr>
      </w:r>
    </w:p>
    <w:p>
      <w:pPr>
        <w:pStyle w:val="0"/>
        <w:ind w:firstLine="540"/>
        <w:jc w:val="both"/>
      </w:pPr>
      <w:r>
        <w:rPr>
          <w:sz w:val="20"/>
        </w:rPr>
        <w:t xml:space="preserve">1. Обеспечение в городе Севастополе нормативно-правового регулирования РНС в регионе, а именно - подготовка региональных документов по проведению РНС.</w:t>
      </w:r>
    </w:p>
    <w:p>
      <w:pPr>
        <w:pStyle w:val="0"/>
        <w:spacing w:before="200" w:line-rule="auto"/>
        <w:ind w:firstLine="540"/>
        <w:jc w:val="both"/>
      </w:pPr>
      <w:r>
        <w:rPr>
          <w:sz w:val="20"/>
        </w:rPr>
        <w:t xml:space="preserve">2. Формирование оптимальной маршрутизации, обеспечивающей проведение РНС, в соответствии с </w:t>
      </w:r>
      <w:hyperlink w:history="0" r:id="rId1044"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Порядком</w:t>
        </w:r>
      </w:hyperlink>
      <w:r>
        <w:rPr>
          <w:sz w:val="20"/>
        </w:rPr>
        <w:t xml:space="preserve"> оказания медицинской помощи пациентам с врожденными и наследственными заболеваниями, утвержденным приказом Министерства здравоохранения Российской Федерации от 21.04.2022 N 274н "Об утверждении Порядка оказания медицинской помощи пациентам с врожденными и наследственными заболеваниями".</w:t>
      </w:r>
    </w:p>
    <w:p>
      <w:pPr>
        <w:pStyle w:val="0"/>
        <w:spacing w:before="200" w:line-rule="auto"/>
        <w:ind w:firstLine="540"/>
        <w:jc w:val="both"/>
      </w:pPr>
      <w:r>
        <w:rPr>
          <w:sz w:val="20"/>
        </w:rPr>
        <w:t xml:space="preserve">3. Совершенствование материально-технической базы МГК Городской больницы N 5.</w:t>
      </w:r>
    </w:p>
    <w:p>
      <w:pPr>
        <w:pStyle w:val="0"/>
        <w:spacing w:before="200" w:line-rule="auto"/>
        <w:ind w:firstLine="540"/>
        <w:jc w:val="both"/>
      </w:pPr>
      <w:r>
        <w:rPr>
          <w:sz w:val="20"/>
        </w:rPr>
        <w:t xml:space="preserve">4. Интеграция медицинских информационных систем для обеспечения непрерывного информационного взаимодействия, сопровождающего оказание медицинской помощи детям с врожденными и наследственными заболеваниями, выявленными при РНС.</w:t>
      </w:r>
    </w:p>
    <w:p>
      <w:pPr>
        <w:pStyle w:val="0"/>
        <w:spacing w:before="200" w:line-rule="auto"/>
        <w:ind w:firstLine="540"/>
        <w:jc w:val="both"/>
      </w:pPr>
      <w:r>
        <w:rPr>
          <w:sz w:val="20"/>
        </w:rPr>
        <w:t xml:space="preserve">5. Своевременное диспансерное наблюдение лиц с врожденными и наследственными заболеваниями, выявленными при РНС, включая обеспечение лекарственными препаратами, специализированными продуктами лечебного питания и медицинскими изделиями.</w:t>
      </w:r>
    </w:p>
    <w:p>
      <w:pPr>
        <w:pStyle w:val="0"/>
        <w:spacing w:before="200" w:line-rule="auto"/>
        <w:ind w:firstLine="540"/>
        <w:jc w:val="both"/>
      </w:pPr>
      <w:r>
        <w:rPr>
          <w:sz w:val="20"/>
        </w:rPr>
        <w:t xml:space="preserve">6. Внедрение и применение клинических рекомендаций и стандартов медицинской помощи, утвержденных Министерством здравоохранения Российской Федерации, по профилактике, диагностике, лечению и реабилитации детей с врожденными и наследственными заболеваниями, выявленными при РНС.</w:t>
      </w:r>
    </w:p>
    <w:p>
      <w:pPr>
        <w:pStyle w:val="0"/>
        <w:spacing w:before="200" w:line-rule="auto"/>
        <w:ind w:firstLine="540"/>
        <w:jc w:val="both"/>
      </w:pPr>
      <w:r>
        <w:rPr>
          <w:sz w:val="20"/>
        </w:rPr>
        <w:t xml:space="preserve">7. Методическое обеспечение качества оказания медицинской помощи.</w:t>
      </w:r>
    </w:p>
    <w:p>
      <w:pPr>
        <w:pStyle w:val="0"/>
        <w:spacing w:before="200" w:line-rule="auto"/>
        <w:ind w:firstLine="540"/>
        <w:jc w:val="both"/>
      </w:pPr>
      <w:r>
        <w:rPr>
          <w:sz w:val="20"/>
        </w:rPr>
        <w:t xml:space="preserve">8. Внедрение новых технологий диагностики, лечения и профилактики врожденных и (или) наследственных заболеваний.</w:t>
      </w:r>
    </w:p>
    <w:p>
      <w:pPr>
        <w:pStyle w:val="0"/>
        <w:spacing w:before="200" w:line-rule="auto"/>
        <w:ind w:firstLine="540"/>
        <w:jc w:val="both"/>
      </w:pPr>
      <w:r>
        <w:rPr>
          <w:sz w:val="20"/>
        </w:rPr>
        <w:t xml:space="preserve">9. Сбор достоверных статистических данных по заболеваемости, смертности и инвалидности среди пациентов с врожденными и наследственными заболеваниями, в том числе с использованием региональных информационных сервисов.</w:t>
      </w:r>
    </w:p>
    <w:p>
      <w:pPr>
        <w:pStyle w:val="0"/>
        <w:ind w:firstLine="540"/>
        <w:jc w:val="both"/>
      </w:pPr>
      <w:r>
        <w:rPr>
          <w:sz w:val="20"/>
        </w:rPr>
      </w:r>
    </w:p>
    <w:p>
      <w:pPr>
        <w:pStyle w:val="2"/>
        <w:outlineLvl w:val="3"/>
        <w:jc w:val="center"/>
      </w:pPr>
      <w:r>
        <w:rPr>
          <w:sz w:val="20"/>
        </w:rPr>
        <w:t xml:space="preserve">2.3. Показатели региональной программы "Обеспечение</w:t>
      </w:r>
    </w:p>
    <w:p>
      <w:pPr>
        <w:pStyle w:val="2"/>
        <w:jc w:val="center"/>
      </w:pPr>
      <w:r>
        <w:rPr>
          <w:sz w:val="20"/>
        </w:rPr>
        <w:t xml:space="preserve">расширенного неонатального скрининга"</w:t>
      </w:r>
    </w:p>
    <w:p>
      <w:pPr>
        <w:pStyle w:val="0"/>
        <w:jc w:val="center"/>
      </w:pPr>
      <w:r>
        <w:rPr>
          <w:sz w:val="20"/>
        </w:rPr>
      </w:r>
    </w:p>
    <w:p>
      <w:pPr>
        <w:pStyle w:val="0"/>
        <w:ind w:firstLine="540"/>
        <w:jc w:val="both"/>
      </w:pPr>
      <w:r>
        <w:rPr>
          <w:sz w:val="20"/>
        </w:rPr>
        <w:t xml:space="preserve">К показателям региональной программы "Обеспечение расширенного неонатального скрининга" относятся:</w:t>
      </w:r>
    </w:p>
    <w:p>
      <w:pPr>
        <w:pStyle w:val="0"/>
        <w:spacing w:before="200" w:line-rule="auto"/>
        <w:ind w:firstLine="540"/>
        <w:jc w:val="both"/>
      </w:pPr>
      <w:r>
        <w:rPr>
          <w:sz w:val="20"/>
        </w:rPr>
        <w:t xml:space="preserve">доля новорожденных, обследованных на врожденные и (или) наследственные заболевания (РНС), от общего числа новорожденных, родившихся живыми в субъекте Российской Федерации (%);</w:t>
      </w:r>
    </w:p>
    <w:p>
      <w:pPr>
        <w:pStyle w:val="0"/>
        <w:spacing w:before="200" w:line-rule="auto"/>
        <w:ind w:firstLine="540"/>
        <w:jc w:val="both"/>
      </w:pPr>
      <w:r>
        <w:rPr>
          <w:sz w:val="20"/>
        </w:rPr>
        <w:t xml:space="preserve">доля новорожденных группы высокого риска, направленных для проведения подтверждающей диагностики в рамках РНС, от общего числа новорожденных, обследованных на РНС в субъектах Российской Федерации (%);</w:t>
      </w:r>
    </w:p>
    <w:p>
      <w:pPr>
        <w:pStyle w:val="0"/>
        <w:spacing w:before="200" w:line-rule="auto"/>
        <w:ind w:firstLine="540"/>
        <w:jc w:val="both"/>
      </w:pPr>
      <w:r>
        <w:rPr>
          <w:sz w:val="20"/>
        </w:rPr>
        <w:t xml:space="preserve">доля новорожденных с впервые в жизни установленными врожденными и наследственными заболеваниями, выявленными при проведении РНС, от общего числа новорожденных, обследованных на РНС в субъектах Российской Федерации (%);</w:t>
      </w:r>
    </w:p>
    <w:p>
      <w:pPr>
        <w:pStyle w:val="0"/>
        <w:spacing w:before="200" w:line-rule="auto"/>
        <w:ind w:firstLine="540"/>
        <w:jc w:val="both"/>
      </w:pPr>
      <w:r>
        <w:rPr>
          <w:sz w:val="20"/>
        </w:rPr>
        <w:t xml:space="preserve">доля новорожденных с впервые в жизни установленными врожденными и наследственными заболеваниями, выявленными при проведении РНС, в отношении которых установлено диспансерное наблюдение, от общего числа новорожденных с впервые в жизни установленными врожденными и наследственными заболеваниями в субъектах Российской Федерации (%);</w:t>
      </w:r>
    </w:p>
    <w:p>
      <w:pPr>
        <w:pStyle w:val="0"/>
        <w:spacing w:before="200" w:line-rule="auto"/>
        <w:ind w:firstLine="540"/>
        <w:jc w:val="both"/>
      </w:pPr>
      <w:r>
        <w:rPr>
          <w:sz w:val="20"/>
        </w:rPr>
        <w:t xml:space="preserve">доля новорожденных с установленными врожденными и наследственными заболеваниями, выявленными при проведении РНС, получающих патогенетическую терапию, от общего числа детей, которым установлено диспансерное наблюдение (%).</w:t>
      </w:r>
    </w:p>
    <w:p>
      <w:pPr>
        <w:pStyle w:val="0"/>
        <w:ind w:firstLine="540"/>
        <w:jc w:val="both"/>
      </w:pPr>
      <w:r>
        <w:rPr>
          <w:sz w:val="20"/>
        </w:rPr>
      </w:r>
    </w:p>
    <w:p>
      <w:pPr>
        <w:pStyle w:val="2"/>
        <w:outlineLvl w:val="3"/>
        <w:jc w:val="center"/>
      </w:pPr>
      <w:r>
        <w:rPr>
          <w:sz w:val="20"/>
        </w:rPr>
        <w:t xml:space="preserve">2.4. Информационное взаимодействие между медицинскими</w:t>
      </w:r>
    </w:p>
    <w:p>
      <w:pPr>
        <w:pStyle w:val="2"/>
        <w:jc w:val="center"/>
      </w:pPr>
      <w:r>
        <w:rPr>
          <w:sz w:val="20"/>
        </w:rPr>
        <w:t xml:space="preserve">организациями, сопровождающее оказание медицинской помощи</w:t>
      </w:r>
    </w:p>
    <w:p>
      <w:pPr>
        <w:pStyle w:val="2"/>
        <w:jc w:val="center"/>
      </w:pPr>
      <w:r>
        <w:rPr>
          <w:sz w:val="20"/>
        </w:rPr>
        <w:t xml:space="preserve">детям с врожденными и наследственными заболеваниями,</w:t>
      </w:r>
    </w:p>
    <w:p>
      <w:pPr>
        <w:pStyle w:val="2"/>
        <w:jc w:val="center"/>
      </w:pPr>
      <w:r>
        <w:rPr>
          <w:sz w:val="20"/>
        </w:rPr>
        <w:t xml:space="preserve">выявленными при НС и РНС</w:t>
      </w:r>
    </w:p>
    <w:p>
      <w:pPr>
        <w:pStyle w:val="0"/>
        <w:ind w:firstLine="540"/>
        <w:jc w:val="both"/>
      </w:pPr>
      <w:r>
        <w:rPr>
          <w:sz w:val="20"/>
        </w:rPr>
      </w:r>
    </w:p>
    <w:p>
      <w:pPr>
        <w:pStyle w:val="0"/>
        <w:ind w:firstLine="540"/>
        <w:jc w:val="both"/>
      </w:pPr>
      <w:r>
        <w:rPr>
          <w:sz w:val="20"/>
        </w:rPr>
        <w:t xml:space="preserve">В городе Севастополе обеспечена 100% передача СЭМД "Документ, содержащий сведения медицинского свидетельства о рождении в бумажной форме" и "Медицинское свидетельство о рождении" в подсистему "Федеральный реестр электронных медицинских документов" ЕГИСЗ.</w:t>
      </w:r>
    </w:p>
    <w:p>
      <w:pPr>
        <w:pStyle w:val="0"/>
        <w:spacing w:before="200" w:line-rule="auto"/>
        <w:ind w:firstLine="540"/>
        <w:jc w:val="both"/>
      </w:pPr>
      <w:r>
        <w:rPr>
          <w:sz w:val="20"/>
        </w:rPr>
        <w:t xml:space="preserve">Определена медицинская организация (далее - МО), в которой выдается медицинское свидетельство о рождении (далее - МСР), - Городская больница N 5.</w:t>
      </w:r>
    </w:p>
    <w:p>
      <w:pPr>
        <w:pStyle w:val="0"/>
        <w:spacing w:before="200" w:line-rule="auto"/>
        <w:ind w:firstLine="540"/>
        <w:jc w:val="both"/>
      </w:pPr>
      <w:r>
        <w:rPr>
          <w:sz w:val="20"/>
        </w:rPr>
        <w:t xml:space="preserve">Определена МО, осуществляющая забор крови ДЛЯ НС и РНС, - Городская больница N 5.</w:t>
      </w:r>
    </w:p>
    <w:p>
      <w:pPr>
        <w:pStyle w:val="0"/>
        <w:spacing w:before="200" w:line-rule="auto"/>
        <w:ind w:firstLine="540"/>
        <w:jc w:val="both"/>
      </w:pPr>
      <w:r>
        <w:rPr>
          <w:sz w:val="20"/>
        </w:rPr>
        <w:t xml:space="preserve">Городская больница N 5 обеспечена возможностью передачи сведений о факте рождения в Реестр электронных медицинских документов (далее - РЭМД).</w:t>
      </w:r>
    </w:p>
    <w:p>
      <w:pPr>
        <w:pStyle w:val="0"/>
        <w:spacing w:before="200" w:line-rule="auto"/>
        <w:ind w:firstLine="540"/>
        <w:jc w:val="both"/>
      </w:pPr>
      <w:r>
        <w:rPr>
          <w:sz w:val="20"/>
        </w:rPr>
        <w:t xml:space="preserve">100% структурных подразделений МО обеспечены широкополосным доступом к сети Интернет, возможностью безопасной передачи данных; отмечается наличие автоматизированных рабочих мест (АРМ) врачей и среднего медицинского персонала.</w:t>
      </w:r>
    </w:p>
    <w:p>
      <w:pPr>
        <w:pStyle w:val="0"/>
        <w:spacing w:before="200" w:line-rule="auto"/>
        <w:ind w:firstLine="540"/>
        <w:jc w:val="both"/>
      </w:pPr>
      <w:r>
        <w:rPr>
          <w:sz w:val="20"/>
        </w:rPr>
        <w:t xml:space="preserve">Мероприятия для обеспечения информационного взаимодействия между медицинскими организациями, участвующими в проведении НС и РНС:</w:t>
      </w:r>
    </w:p>
    <w:p>
      <w:pPr>
        <w:pStyle w:val="0"/>
        <w:spacing w:before="200" w:line-rule="auto"/>
        <w:ind w:firstLine="540"/>
        <w:jc w:val="both"/>
      </w:pPr>
      <w:r>
        <w:rPr>
          <w:sz w:val="20"/>
        </w:rPr>
        <w:t xml:space="preserve">1) создание рабочей группы по осуществлению информационного взаимодействия в рамках проведения НС и РНС (состав - представитель Департамента здравоохранения города Севастополя, руководитель регионального медико-генетического центра, главный внештатный специалист по акушерству и гинекологии, главный внештатный специалист по неонатологии, сотрудники ГБУЗС "МИАЦ", представители разработчиков программы для ЭВМ "Витакор РМИС" и программы для ЭВМ АИС "РАМ") в срок до 01.12.2022;</w:t>
      </w:r>
    </w:p>
    <w:p>
      <w:pPr>
        <w:pStyle w:val="0"/>
        <w:spacing w:before="200" w:line-rule="auto"/>
        <w:ind w:firstLine="540"/>
        <w:jc w:val="both"/>
      </w:pPr>
      <w:r>
        <w:rPr>
          <w:sz w:val="20"/>
        </w:rPr>
        <w:t xml:space="preserve">2) разработка и утверждение дорожной карты по осуществлению информационного взаимодействия в рамках проведения НС и РНС в срок до 01.12.2022;</w:t>
      </w:r>
    </w:p>
    <w:p>
      <w:pPr>
        <w:pStyle w:val="0"/>
        <w:spacing w:before="200" w:line-rule="auto"/>
        <w:ind w:firstLine="540"/>
        <w:jc w:val="both"/>
      </w:pPr>
      <w:r>
        <w:rPr>
          <w:sz w:val="20"/>
        </w:rPr>
        <w:t xml:space="preserve">3) обеспечение МО, осуществляющей забор крови для НС и РНС, возможностью передачи сведений о факте забора крови (СЭМД "Направление на неонатальный скрининг") в ВИМИС "АКиНЕО" в срок до 01.01.2023 посредством реализации функционала на базе программы для ЭВМ АИС "РАМ";</w:t>
      </w:r>
    </w:p>
    <w:p>
      <w:pPr>
        <w:pStyle w:val="0"/>
        <w:spacing w:before="200" w:line-rule="auto"/>
        <w:ind w:firstLine="540"/>
        <w:jc w:val="both"/>
      </w:pPr>
      <w:r>
        <w:rPr>
          <w:sz w:val="20"/>
        </w:rPr>
        <w:t xml:space="preserve">4) получение доступа к ВИМИС "АКиНЕО" и осуществление обучения ответственных специалистов в рамках проведения НС и РНС:</w:t>
      </w:r>
    </w:p>
    <w:p>
      <w:pPr>
        <w:pStyle w:val="0"/>
        <w:spacing w:before="200" w:line-rule="auto"/>
        <w:ind w:firstLine="540"/>
        <w:jc w:val="both"/>
      </w:pPr>
      <w:r>
        <w:rPr>
          <w:sz w:val="20"/>
        </w:rPr>
        <w:t xml:space="preserve">4.1) сбор сведений о дополнительных специалистах, которым должен быть предоставлен доступ к ВИМИС "АКиНЕО" по ролевой модели при информационном взаимодействии между МО в рамках проведения НС и РНС, в срок до 20.12.2022;</w:t>
      </w:r>
    </w:p>
    <w:p>
      <w:pPr>
        <w:pStyle w:val="0"/>
        <w:spacing w:before="200" w:line-rule="auto"/>
        <w:ind w:firstLine="540"/>
        <w:jc w:val="both"/>
      </w:pPr>
      <w:r>
        <w:rPr>
          <w:sz w:val="20"/>
        </w:rPr>
        <w:t xml:space="preserve">4.2) проведение первичной регистрации в ВИМИС "АКиНЕО" новых специалистов, которым должен быть предоставлен доступ к ВИМИС "АКиНЕО" по ролевой модели при информационном взаимодействии между МО в рамках проведения НС и РНС, в срок до 20.12.2022;</w:t>
      </w:r>
    </w:p>
    <w:p>
      <w:pPr>
        <w:pStyle w:val="0"/>
        <w:spacing w:before="200" w:line-rule="auto"/>
        <w:ind w:firstLine="540"/>
        <w:jc w:val="both"/>
      </w:pPr>
      <w:r>
        <w:rPr>
          <w:sz w:val="20"/>
        </w:rPr>
        <w:t xml:space="preserve">4.3) передача данных с указанием специалистов, которым должен быть предоставлен доступ к ВИМИС "АКиНЕО" по ролевой модели при информационном взаимодействии между МО в рамках проведения НС и РНС, в ФГБУ "НМИЦ АГП им. В.И. Кулакова" Минздрава России для регистрации в срок до 20.12.2022;</w:t>
      </w:r>
    </w:p>
    <w:p>
      <w:pPr>
        <w:pStyle w:val="0"/>
        <w:spacing w:before="200" w:line-rule="auto"/>
        <w:ind w:firstLine="540"/>
        <w:jc w:val="both"/>
      </w:pPr>
      <w:r>
        <w:rPr>
          <w:sz w:val="20"/>
        </w:rPr>
        <w:t xml:space="preserve">4.4) проведение обучения работе в ВИМИС "АКиНЕО" специалистов, которым предоставлен доступ к ВИМИС "АКиНЕО" по ролевой модели при информационном взаимодействии между МО в рамках проведения НС и РНС, в срок до 20.12.2022.</w:t>
      </w:r>
    </w:p>
    <w:p>
      <w:pPr>
        <w:pStyle w:val="0"/>
        <w:spacing w:before="200" w:line-rule="auto"/>
        <w:ind w:firstLine="540"/>
        <w:jc w:val="both"/>
      </w:pPr>
      <w:r>
        <w:rPr>
          <w:sz w:val="20"/>
        </w:rPr>
        <w:t xml:space="preserve">Мероприятия для формирования и развития цифрового контура для обеспечения медицинской помощи пациентам с врожденными и наследственными заболеваниями:</w:t>
      </w:r>
    </w:p>
    <w:p>
      <w:pPr>
        <w:pStyle w:val="0"/>
        <w:spacing w:before="200" w:line-rule="auto"/>
        <w:ind w:firstLine="540"/>
        <w:jc w:val="both"/>
      </w:pPr>
      <w:r>
        <w:rPr>
          <w:sz w:val="20"/>
        </w:rPr>
        <w:t xml:space="preserve">1) обеспечить оперативное получение данных по маршрутизации пациентов, мониторинг, планирование и управление потоками пациентов при оказании медицинской помощи пациентам с врожденными и наследственными заболеваниями за счет разработки регистра детей с врожденными и наследственными заболеваниями в программе для ЭВМ "Витакор РМИС" в срок до 01.03.2023;</w:t>
      </w:r>
    </w:p>
    <w:p>
      <w:pPr>
        <w:pStyle w:val="0"/>
        <w:spacing w:before="200" w:line-rule="auto"/>
        <w:ind w:firstLine="540"/>
        <w:jc w:val="both"/>
      </w:pPr>
      <w:r>
        <w:rPr>
          <w:sz w:val="20"/>
        </w:rPr>
        <w:t xml:space="preserve">2) обеспечить 100% МО широкополосным доступом к сети Интернет, возможностью безопасной передачи данных, автоматизированными рабочими местами (АРМ) врачей и среднего медицинского персонала на регулярной основе;</w:t>
      </w:r>
    </w:p>
    <w:p>
      <w:pPr>
        <w:pStyle w:val="0"/>
        <w:spacing w:before="200" w:line-rule="auto"/>
        <w:ind w:firstLine="540"/>
        <w:jc w:val="both"/>
      </w:pPr>
      <w:r>
        <w:rPr>
          <w:sz w:val="20"/>
        </w:rPr>
        <w:t xml:space="preserve">3) разработать и внедрить механизмы обратной связи и информирование об их наличии пациентов, включая использование сайтов МО, в срок до 01.12.2023;</w:t>
      </w:r>
    </w:p>
    <w:p>
      <w:pPr>
        <w:pStyle w:val="0"/>
        <w:spacing w:before="200" w:line-rule="auto"/>
        <w:ind w:firstLine="540"/>
        <w:jc w:val="both"/>
      </w:pPr>
      <w:r>
        <w:rPr>
          <w:sz w:val="20"/>
        </w:rPr>
        <w:t xml:space="preserve">4) организовать и обеспечить функционирование телемедицинского центра для консультации пациентов с выявленными врожденными и наследственными заболеваниями на базе Городской больницы N 5 в срок до 30.09.2022;</w:t>
      </w:r>
    </w:p>
    <w:p>
      <w:pPr>
        <w:pStyle w:val="0"/>
        <w:spacing w:before="200" w:line-rule="auto"/>
        <w:ind w:firstLine="540"/>
        <w:jc w:val="both"/>
      </w:pPr>
      <w:r>
        <w:rPr>
          <w:sz w:val="20"/>
        </w:rPr>
        <w:t xml:space="preserve">5) совместно с профильными национальными медицинскими исследовательскими центрами (НМИЦ) разработать и реализовать план проведения консультаций/консилиумов пациентов с выявленными врожденными и наследственными заболеваниями, в том числе с применением телемедицинских технологий: составить план заявок на проведение консультаций/консилиумов с последующей его реализацией в срок до 30.03.2023.</w:t>
      </w:r>
    </w:p>
    <w:p>
      <w:pPr>
        <w:pStyle w:val="0"/>
        <w:ind w:firstLine="540"/>
        <w:jc w:val="both"/>
      </w:pPr>
      <w:r>
        <w:rPr>
          <w:sz w:val="20"/>
        </w:rPr>
      </w:r>
    </w:p>
    <w:p>
      <w:pPr>
        <w:pStyle w:val="2"/>
        <w:outlineLvl w:val="2"/>
        <w:jc w:val="center"/>
      </w:pPr>
      <w:r>
        <w:rPr>
          <w:sz w:val="20"/>
        </w:rPr>
        <w:t xml:space="preserve">3. Результаты региональной программы "Обеспечение</w:t>
      </w:r>
    </w:p>
    <w:p>
      <w:pPr>
        <w:pStyle w:val="2"/>
        <w:jc w:val="center"/>
      </w:pPr>
      <w:r>
        <w:rPr>
          <w:sz w:val="20"/>
        </w:rPr>
        <w:t xml:space="preserve">расширенного неонатального скрининга"</w:t>
      </w:r>
    </w:p>
    <w:p>
      <w:pPr>
        <w:pStyle w:val="0"/>
        <w:jc w:val="center"/>
      </w:pPr>
      <w:r>
        <w:rPr>
          <w:sz w:val="20"/>
        </w:rPr>
      </w:r>
    </w:p>
    <w:p>
      <w:pPr>
        <w:pStyle w:val="0"/>
        <w:jc w:val="right"/>
      </w:pPr>
      <w:r>
        <w:rPr>
          <w:sz w:val="20"/>
        </w:rPr>
        <w:t xml:space="preserve">Таблица 12</w:t>
      </w:r>
    </w:p>
    <w:p>
      <w:pPr>
        <w:pStyle w:val="0"/>
      </w:pPr>
      <w:r>
        <w:rPr>
          <w:sz w:val="20"/>
        </w:rPr>
      </w:r>
    </w:p>
    <w:p>
      <w:pPr>
        <w:pStyle w:val="0"/>
        <w:jc w:val="center"/>
      </w:pPr>
      <w:r>
        <w:rPr>
          <w:sz w:val="20"/>
        </w:rPr>
        <w:t xml:space="preserve">Индикативные показатели региональной программы "Обеспечение</w:t>
      </w:r>
    </w:p>
    <w:p>
      <w:pPr>
        <w:pStyle w:val="0"/>
        <w:jc w:val="center"/>
      </w:pPr>
      <w:r>
        <w:rPr>
          <w:sz w:val="20"/>
        </w:rPr>
        <w:t xml:space="preserve">расширенного неонатального скрининга" в субъекте РФ</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20"/>
        <w:gridCol w:w="850"/>
        <w:gridCol w:w="850"/>
        <w:gridCol w:w="850"/>
      </w:tblGrid>
      <w:tr>
        <w:tc>
          <w:tcPr>
            <w:tcW w:w="6520" w:type="dxa"/>
          </w:tcPr>
          <w:p>
            <w:pPr>
              <w:pStyle w:val="0"/>
              <w:jc w:val="center"/>
            </w:pPr>
            <w:r>
              <w:rPr>
                <w:sz w:val="20"/>
              </w:rPr>
              <w:t xml:space="preserve">Наименование показателя</w:t>
            </w:r>
          </w:p>
        </w:tc>
        <w:tc>
          <w:tcPr>
            <w:tcW w:w="850" w:type="dxa"/>
          </w:tcPr>
          <w:p>
            <w:pPr>
              <w:pStyle w:val="0"/>
              <w:jc w:val="center"/>
            </w:pPr>
            <w:r>
              <w:rPr>
                <w:sz w:val="20"/>
              </w:rPr>
              <w:t xml:space="preserve">2023</w:t>
            </w:r>
          </w:p>
        </w:tc>
        <w:tc>
          <w:tcPr>
            <w:tcW w:w="850" w:type="dxa"/>
          </w:tcPr>
          <w:p>
            <w:pPr>
              <w:pStyle w:val="0"/>
              <w:jc w:val="center"/>
            </w:pPr>
            <w:r>
              <w:rPr>
                <w:sz w:val="20"/>
              </w:rPr>
              <w:t xml:space="preserve">2024</w:t>
            </w:r>
          </w:p>
        </w:tc>
        <w:tc>
          <w:tcPr>
            <w:tcW w:w="850" w:type="dxa"/>
          </w:tcPr>
          <w:p>
            <w:pPr>
              <w:pStyle w:val="0"/>
              <w:jc w:val="center"/>
            </w:pPr>
            <w:r>
              <w:rPr>
                <w:sz w:val="20"/>
              </w:rPr>
              <w:t xml:space="preserve">2025</w:t>
            </w:r>
          </w:p>
        </w:tc>
      </w:tr>
      <w:tr>
        <w:tc>
          <w:tcPr>
            <w:tcW w:w="6520" w:type="dxa"/>
          </w:tcPr>
          <w:p>
            <w:pPr>
              <w:pStyle w:val="0"/>
              <w:jc w:val="both"/>
            </w:pPr>
            <w:r>
              <w:rPr>
                <w:sz w:val="20"/>
              </w:rPr>
              <w:t xml:space="preserve">Доля новорожденных, обследованных на врожденные и (или) наследственные заболевания (РНС), от общего числа новорожденных, родившихся живыми, не менее (%)</w:t>
            </w:r>
          </w:p>
        </w:tc>
        <w:tc>
          <w:tcPr>
            <w:tcW w:w="850" w:type="dxa"/>
          </w:tcPr>
          <w:p>
            <w:pPr>
              <w:pStyle w:val="0"/>
              <w:jc w:val="center"/>
            </w:pPr>
            <w:r>
              <w:rPr>
                <w:sz w:val="20"/>
              </w:rPr>
              <w:t xml:space="preserve">80%</w:t>
            </w:r>
          </w:p>
        </w:tc>
        <w:tc>
          <w:tcPr>
            <w:tcW w:w="850" w:type="dxa"/>
          </w:tcPr>
          <w:p>
            <w:pPr>
              <w:pStyle w:val="0"/>
              <w:jc w:val="center"/>
            </w:pPr>
            <w:r>
              <w:rPr>
                <w:sz w:val="20"/>
              </w:rPr>
              <w:t xml:space="preserve">95%</w:t>
            </w:r>
          </w:p>
        </w:tc>
        <w:tc>
          <w:tcPr>
            <w:tcW w:w="850" w:type="dxa"/>
          </w:tcPr>
          <w:p>
            <w:pPr>
              <w:pStyle w:val="0"/>
              <w:jc w:val="center"/>
            </w:pPr>
            <w:r>
              <w:rPr>
                <w:sz w:val="20"/>
              </w:rPr>
              <w:t xml:space="preserve">95%</w:t>
            </w:r>
          </w:p>
        </w:tc>
      </w:tr>
      <w:tr>
        <w:tc>
          <w:tcPr>
            <w:tcW w:w="6520" w:type="dxa"/>
          </w:tcPr>
          <w:p>
            <w:pPr>
              <w:pStyle w:val="0"/>
              <w:jc w:val="both"/>
            </w:pPr>
            <w:r>
              <w:rPr>
                <w:sz w:val="20"/>
              </w:rPr>
              <w:t xml:space="preserve">Доля новорожденных группы высокого риска, направленных для проведения подтверждающей диагностики в рамках РНС, от общего числа новорожденных, обследованных на РНС, не менее (%)</w:t>
            </w:r>
          </w:p>
        </w:tc>
        <w:tc>
          <w:tcPr>
            <w:tcW w:w="850" w:type="dxa"/>
          </w:tcPr>
          <w:p>
            <w:pPr>
              <w:pStyle w:val="0"/>
              <w:jc w:val="center"/>
            </w:pPr>
            <w:r>
              <w:rPr>
                <w:sz w:val="20"/>
              </w:rPr>
              <w:t xml:space="preserve">90%</w:t>
            </w:r>
          </w:p>
        </w:tc>
        <w:tc>
          <w:tcPr>
            <w:tcW w:w="850" w:type="dxa"/>
          </w:tcPr>
          <w:p>
            <w:pPr>
              <w:pStyle w:val="0"/>
              <w:jc w:val="center"/>
            </w:pPr>
            <w:r>
              <w:rPr>
                <w:sz w:val="20"/>
              </w:rPr>
              <w:t xml:space="preserve">95%</w:t>
            </w:r>
          </w:p>
        </w:tc>
        <w:tc>
          <w:tcPr>
            <w:tcW w:w="850" w:type="dxa"/>
          </w:tcPr>
          <w:p>
            <w:pPr>
              <w:pStyle w:val="0"/>
              <w:jc w:val="center"/>
            </w:pPr>
            <w:r>
              <w:rPr>
                <w:sz w:val="20"/>
              </w:rPr>
              <w:t xml:space="preserve">95%</w:t>
            </w:r>
          </w:p>
        </w:tc>
      </w:tr>
      <w:tr>
        <w:tc>
          <w:tcPr>
            <w:tcW w:w="6520" w:type="dxa"/>
          </w:tcPr>
          <w:p>
            <w:pPr>
              <w:pStyle w:val="0"/>
              <w:jc w:val="both"/>
            </w:pPr>
            <w:r>
              <w:rPr>
                <w:sz w:val="20"/>
              </w:rPr>
              <w:t xml:space="preserve">Доля новорожденных с впервые в жизни установленными врожденными и наследственными заболеваниями, выявленными при проведении РНС, от общего числа новорожденных, обследованных на РНС (%)</w:t>
            </w:r>
          </w:p>
        </w:tc>
        <w:tc>
          <w:tcPr>
            <w:tcW w:w="850" w:type="dxa"/>
          </w:tcPr>
          <w:p>
            <w:pPr>
              <w:pStyle w:val="0"/>
              <w:jc w:val="center"/>
            </w:pPr>
            <w:r>
              <w:rPr>
                <w:sz w:val="20"/>
              </w:rPr>
              <w:t xml:space="preserve">0,1%</w:t>
            </w:r>
          </w:p>
        </w:tc>
        <w:tc>
          <w:tcPr>
            <w:tcW w:w="850" w:type="dxa"/>
          </w:tcPr>
          <w:p>
            <w:pPr>
              <w:pStyle w:val="0"/>
              <w:jc w:val="center"/>
            </w:pPr>
            <w:r>
              <w:rPr>
                <w:sz w:val="20"/>
              </w:rPr>
              <w:t xml:space="preserve">0,1%</w:t>
            </w:r>
          </w:p>
        </w:tc>
        <w:tc>
          <w:tcPr>
            <w:tcW w:w="850" w:type="dxa"/>
          </w:tcPr>
          <w:p>
            <w:pPr>
              <w:pStyle w:val="0"/>
              <w:jc w:val="center"/>
            </w:pPr>
            <w:r>
              <w:rPr>
                <w:sz w:val="20"/>
              </w:rPr>
              <w:t xml:space="preserve">0,1%</w:t>
            </w:r>
          </w:p>
        </w:tc>
      </w:tr>
      <w:tr>
        <w:tc>
          <w:tcPr>
            <w:tcW w:w="6520" w:type="dxa"/>
          </w:tcPr>
          <w:p>
            <w:pPr>
              <w:pStyle w:val="0"/>
              <w:jc w:val="both"/>
            </w:pPr>
            <w:r>
              <w:rPr>
                <w:sz w:val="20"/>
              </w:rPr>
              <w:t xml:space="preserve">Доля новорожденных с впервые в жизни установленными врожденными и наследственными заболеваниями, выявленными при проведении РНС, в отношении которых установлено Д-наблюдение, от общего числа новорожденных с впервые в жизни установленными врожденными и наследственными заболеваниями, не менее (%)</w:t>
            </w:r>
          </w:p>
        </w:tc>
        <w:tc>
          <w:tcPr>
            <w:tcW w:w="850" w:type="dxa"/>
          </w:tcPr>
          <w:p>
            <w:pPr>
              <w:pStyle w:val="0"/>
              <w:jc w:val="center"/>
            </w:pPr>
            <w:r>
              <w:rPr>
                <w:sz w:val="20"/>
              </w:rPr>
              <w:t xml:space="preserve">90%</w:t>
            </w:r>
          </w:p>
        </w:tc>
        <w:tc>
          <w:tcPr>
            <w:tcW w:w="850" w:type="dxa"/>
          </w:tcPr>
          <w:p>
            <w:pPr>
              <w:pStyle w:val="0"/>
              <w:jc w:val="center"/>
            </w:pPr>
            <w:r>
              <w:rPr>
                <w:sz w:val="20"/>
              </w:rPr>
              <w:t xml:space="preserve">95%</w:t>
            </w:r>
          </w:p>
        </w:tc>
        <w:tc>
          <w:tcPr>
            <w:tcW w:w="850" w:type="dxa"/>
          </w:tcPr>
          <w:p>
            <w:pPr>
              <w:pStyle w:val="0"/>
              <w:jc w:val="center"/>
            </w:pPr>
            <w:r>
              <w:rPr>
                <w:sz w:val="20"/>
              </w:rPr>
              <w:t xml:space="preserve">95%</w:t>
            </w:r>
          </w:p>
        </w:tc>
      </w:tr>
      <w:tr>
        <w:tc>
          <w:tcPr>
            <w:tcW w:w="6520" w:type="dxa"/>
          </w:tcPr>
          <w:p>
            <w:pPr>
              <w:pStyle w:val="0"/>
              <w:jc w:val="both"/>
            </w:pPr>
            <w:r>
              <w:rPr>
                <w:sz w:val="20"/>
              </w:rPr>
              <w:t xml:space="preserve">Доля новорожденных с установленными врожденными и наследственными заболеваниями, выявленными при проведении РНС, получающих патогенетическую терапию ЛП и СПЛП, от общего числа детей, которым установлено Д-наблюдение (%)</w:t>
            </w:r>
          </w:p>
        </w:tc>
        <w:tc>
          <w:tcPr>
            <w:tcW w:w="850" w:type="dxa"/>
          </w:tcPr>
          <w:p>
            <w:pPr>
              <w:pStyle w:val="0"/>
              <w:jc w:val="center"/>
            </w:pPr>
            <w:r>
              <w:rPr>
                <w:sz w:val="20"/>
              </w:rPr>
              <w:t xml:space="preserve">95%</w:t>
            </w:r>
          </w:p>
        </w:tc>
        <w:tc>
          <w:tcPr>
            <w:tcW w:w="850" w:type="dxa"/>
          </w:tcPr>
          <w:p>
            <w:pPr>
              <w:pStyle w:val="0"/>
              <w:jc w:val="center"/>
            </w:pPr>
            <w:r>
              <w:rPr>
                <w:sz w:val="20"/>
              </w:rPr>
              <w:t xml:space="preserve">95%</w:t>
            </w:r>
          </w:p>
        </w:tc>
        <w:tc>
          <w:tcPr>
            <w:tcW w:w="850" w:type="dxa"/>
          </w:tcPr>
          <w:p>
            <w:pPr>
              <w:pStyle w:val="0"/>
              <w:jc w:val="center"/>
            </w:pPr>
            <w:r>
              <w:rPr>
                <w:sz w:val="20"/>
              </w:rPr>
              <w:t xml:space="preserve">95%</w:t>
            </w:r>
          </w:p>
        </w:tc>
      </w:tr>
    </w:tbl>
    <w:p>
      <w:pPr>
        <w:pStyle w:val="0"/>
        <w:ind w:firstLine="540"/>
        <w:jc w:val="both"/>
      </w:pPr>
      <w:r>
        <w:rPr>
          <w:sz w:val="20"/>
        </w:rPr>
      </w:r>
    </w:p>
    <w:p>
      <w:pPr>
        <w:pStyle w:val="0"/>
        <w:ind w:firstLine="540"/>
        <w:jc w:val="both"/>
      </w:pPr>
      <w:r>
        <w:rPr>
          <w:sz w:val="20"/>
        </w:rPr>
        <w:t xml:space="preserve">К результатам Программы относятся:</w:t>
      </w:r>
    </w:p>
    <w:p>
      <w:pPr>
        <w:pStyle w:val="0"/>
        <w:spacing w:before="200" w:line-rule="auto"/>
        <w:ind w:firstLine="540"/>
        <w:jc w:val="both"/>
      </w:pPr>
      <w:r>
        <w:rPr>
          <w:sz w:val="20"/>
        </w:rPr>
        <w:t xml:space="preserve">разработка региональной программы "Обеспечение расширенного неонатального скрининга" для обеспечения массового обследования новорожденных на врожденные и (или) наследственные заболевания (РНС) в рамках федерального проекта "Обеспечение расширенного неонатального скрининга";</w:t>
      </w:r>
    </w:p>
    <w:p>
      <w:pPr>
        <w:pStyle w:val="0"/>
        <w:spacing w:before="200" w:line-rule="auto"/>
        <w:ind w:firstLine="540"/>
        <w:jc w:val="both"/>
      </w:pPr>
      <w:r>
        <w:rPr>
          <w:sz w:val="20"/>
        </w:rPr>
        <w:t xml:space="preserve">формирование и утверждение региональным приказом оптимальной маршрутизации в городе Севастополе, основанной на существующей инфраструктуре города Севастополя, обеспечивающей проведение расширенного НС, в соответствии с </w:t>
      </w:r>
      <w:hyperlink w:history="0" r:id="rId1045"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Порядком</w:t>
        </w:r>
      </w:hyperlink>
      <w:r>
        <w:rPr>
          <w:sz w:val="20"/>
        </w:rPr>
        <w:t xml:space="preserve"> оказания медицинской помощи пациентам с врожденными и наследственными заболеваниями, утвержденным приказом Министерства здравоохранения Российской Федерации от 21.04.2022 N 274н "Об утверждении Порядка оказания медицинской помощи пациентам с врожденными и наследственными заболеваниями";</w:t>
      </w:r>
    </w:p>
    <w:p>
      <w:pPr>
        <w:pStyle w:val="0"/>
        <w:spacing w:before="200" w:line-rule="auto"/>
        <w:ind w:firstLine="540"/>
        <w:jc w:val="both"/>
      </w:pPr>
      <w:r>
        <w:rPr>
          <w:sz w:val="20"/>
        </w:rPr>
        <w:t xml:space="preserve">создание федерального регистра новорожденных с выявленными врожденными и наследственными заболеваниями;</w:t>
      </w:r>
    </w:p>
    <w:p>
      <w:pPr>
        <w:pStyle w:val="0"/>
        <w:spacing w:before="200" w:line-rule="auto"/>
        <w:ind w:firstLine="540"/>
        <w:jc w:val="both"/>
      </w:pPr>
      <w:r>
        <w:rPr>
          <w:sz w:val="20"/>
        </w:rPr>
        <w:t xml:space="preserve">внедрение клинических рекомендаций и стандартов медицинской помощи, утвержденных Минздравом РФ, по ведению больных с врожденными и наследственными заболеваниями в 100% профильных МО;</w:t>
      </w:r>
    </w:p>
    <w:p>
      <w:pPr>
        <w:pStyle w:val="0"/>
        <w:spacing w:before="200" w:line-rule="auto"/>
        <w:ind w:firstLine="540"/>
        <w:jc w:val="both"/>
      </w:pPr>
      <w:r>
        <w:rPr>
          <w:sz w:val="20"/>
        </w:rPr>
        <w:t xml:space="preserve">разработка плана мероприятий по повышению квалификации средних медицинских работников, осуществляющих отбор проб у новорожденных, медицинских сотрудников лабораторий, осуществляющих НС и РНС, а также врачей-специалистов, осуществляющих диспансерное наблюдение за пациентами с наследственными и (или) врожденными заболеваниями;</w:t>
      </w:r>
    </w:p>
    <w:p>
      <w:pPr>
        <w:pStyle w:val="0"/>
        <w:spacing w:before="200" w:line-rule="auto"/>
        <w:ind w:firstLine="540"/>
        <w:jc w:val="both"/>
      </w:pPr>
      <w:r>
        <w:rPr>
          <w:sz w:val="20"/>
        </w:rPr>
        <w:t xml:space="preserve">внедрение новой технологии диагностики, лечения и профилактики врожденных и наследственных заболеваний;</w:t>
      </w:r>
    </w:p>
    <w:p>
      <w:pPr>
        <w:pStyle w:val="0"/>
        <w:spacing w:before="200" w:line-rule="auto"/>
        <w:ind w:firstLine="540"/>
        <w:jc w:val="both"/>
      </w:pPr>
      <w:r>
        <w:rPr>
          <w:sz w:val="20"/>
        </w:rPr>
        <w:t xml:space="preserve">организация сбора достоверных статистических данных по заболеваемости, смертности и инвалидности среди пациентов с врожденными и наследственными заболеваниями, в том числе с использованием региональных информационных сервисов.</w:t>
      </w:r>
    </w:p>
    <w:p>
      <w:pPr>
        <w:pStyle w:val="0"/>
        <w:ind w:firstLine="540"/>
        <w:jc w:val="both"/>
      </w:pPr>
      <w:r>
        <w:rPr>
          <w:sz w:val="20"/>
        </w:rPr>
      </w:r>
    </w:p>
    <w:p>
      <w:pPr>
        <w:pStyle w:val="2"/>
        <w:outlineLvl w:val="2"/>
        <w:jc w:val="center"/>
      </w:pPr>
      <w:r>
        <w:rPr>
          <w:sz w:val="20"/>
        </w:rPr>
        <w:t xml:space="preserve">4. Сроки реализации региональной программы "Обеспечение</w:t>
      </w:r>
    </w:p>
    <w:p>
      <w:pPr>
        <w:pStyle w:val="2"/>
        <w:jc w:val="center"/>
      </w:pPr>
      <w:r>
        <w:rPr>
          <w:sz w:val="20"/>
        </w:rPr>
        <w:t xml:space="preserve">расширенного неонатального скрининга"</w:t>
      </w:r>
    </w:p>
    <w:p>
      <w:pPr>
        <w:pStyle w:val="0"/>
      </w:pPr>
      <w:r>
        <w:rPr>
          <w:sz w:val="20"/>
        </w:rPr>
      </w:r>
    </w:p>
    <w:p>
      <w:pPr>
        <w:pStyle w:val="0"/>
        <w:ind w:firstLine="540"/>
        <w:jc w:val="both"/>
      </w:pPr>
      <w:r>
        <w:rPr>
          <w:sz w:val="20"/>
        </w:rPr>
        <w:t xml:space="preserve">Программа реализуется в период 2023 - 2025 годов.</w:t>
      </w:r>
    </w:p>
    <w:p>
      <w:pPr>
        <w:pStyle w:val="0"/>
      </w:pPr>
      <w:r>
        <w:rPr>
          <w:sz w:val="20"/>
        </w:rPr>
      </w:r>
    </w:p>
    <w:p>
      <w:pPr>
        <w:pStyle w:val="2"/>
        <w:outlineLvl w:val="2"/>
        <w:jc w:val="center"/>
      </w:pPr>
      <w:r>
        <w:rPr>
          <w:sz w:val="20"/>
        </w:rPr>
        <w:t xml:space="preserve">5. Финансово-экономическое обоснование региональной</w:t>
      </w:r>
    </w:p>
    <w:p>
      <w:pPr>
        <w:pStyle w:val="2"/>
        <w:jc w:val="center"/>
      </w:pPr>
      <w:r>
        <w:rPr>
          <w:sz w:val="20"/>
        </w:rPr>
        <w:t xml:space="preserve">программы "Обеспечение расширенного неонатального скрининга"</w:t>
      </w:r>
    </w:p>
    <w:p>
      <w:pPr>
        <w:pStyle w:val="0"/>
        <w:jc w:val="center"/>
      </w:pPr>
      <w:r>
        <w:rPr>
          <w:sz w:val="20"/>
        </w:rPr>
      </w:r>
    </w:p>
    <w:p>
      <w:pPr>
        <w:pStyle w:val="2"/>
        <w:outlineLvl w:val="3"/>
        <w:jc w:val="center"/>
      </w:pPr>
      <w:r>
        <w:rPr>
          <w:sz w:val="20"/>
        </w:rPr>
        <w:t xml:space="preserve">Планируемый бюджет региональной программы "Обеспечение</w:t>
      </w:r>
    </w:p>
    <w:p>
      <w:pPr>
        <w:pStyle w:val="2"/>
        <w:jc w:val="center"/>
      </w:pPr>
      <w:r>
        <w:rPr>
          <w:sz w:val="20"/>
        </w:rPr>
        <w:t xml:space="preserve">расширенного неонатального скрининга"</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35"/>
        <w:gridCol w:w="1701"/>
        <w:gridCol w:w="1701"/>
        <w:gridCol w:w="1701"/>
        <w:gridCol w:w="1417"/>
      </w:tblGrid>
      <w:tr>
        <w:tc>
          <w:tcPr>
            <w:tcW w:w="2535" w:type="dxa"/>
          </w:tcPr>
          <w:p>
            <w:pPr>
              <w:pStyle w:val="0"/>
              <w:jc w:val="center"/>
            </w:pPr>
            <w:r>
              <w:rPr>
                <w:sz w:val="20"/>
              </w:rPr>
              <w:t xml:space="preserve">Распределение финансовых средств</w:t>
            </w:r>
          </w:p>
        </w:tc>
        <w:tc>
          <w:tcPr>
            <w:tcW w:w="1701" w:type="dxa"/>
          </w:tcPr>
          <w:p>
            <w:pPr>
              <w:pStyle w:val="0"/>
              <w:jc w:val="center"/>
            </w:pPr>
            <w:r>
              <w:rPr>
                <w:sz w:val="20"/>
              </w:rPr>
              <w:t xml:space="preserve">2023, тыс. рублей</w:t>
            </w:r>
          </w:p>
        </w:tc>
        <w:tc>
          <w:tcPr>
            <w:tcW w:w="1701" w:type="dxa"/>
          </w:tcPr>
          <w:p>
            <w:pPr>
              <w:pStyle w:val="0"/>
              <w:jc w:val="center"/>
            </w:pPr>
            <w:r>
              <w:rPr>
                <w:sz w:val="20"/>
              </w:rPr>
              <w:t xml:space="preserve">2024, тыс. рублей</w:t>
            </w:r>
          </w:p>
        </w:tc>
        <w:tc>
          <w:tcPr>
            <w:tcW w:w="1701" w:type="dxa"/>
          </w:tcPr>
          <w:p>
            <w:pPr>
              <w:pStyle w:val="0"/>
              <w:jc w:val="center"/>
            </w:pPr>
            <w:r>
              <w:rPr>
                <w:sz w:val="20"/>
              </w:rPr>
              <w:t xml:space="preserve">2025, тыс. рублей</w:t>
            </w:r>
          </w:p>
        </w:tc>
        <w:tc>
          <w:tcPr>
            <w:tcW w:w="1417" w:type="dxa"/>
          </w:tcPr>
          <w:p>
            <w:pPr>
              <w:pStyle w:val="0"/>
              <w:jc w:val="center"/>
            </w:pPr>
            <w:r>
              <w:rPr>
                <w:sz w:val="20"/>
              </w:rPr>
              <w:t xml:space="preserve">Итого, тыс. рублей</w:t>
            </w:r>
          </w:p>
        </w:tc>
      </w:tr>
      <w:tr>
        <w:tc>
          <w:tcPr>
            <w:gridSpan w:val="5"/>
            <w:tcW w:w="9055" w:type="dxa"/>
          </w:tcPr>
          <w:p>
            <w:pPr>
              <w:pStyle w:val="0"/>
              <w:jc w:val="center"/>
            </w:pPr>
            <w:r>
              <w:rPr>
                <w:sz w:val="20"/>
              </w:rPr>
              <w:t xml:space="preserve">1. Общий итог по всем мероприятиям</w:t>
            </w:r>
          </w:p>
        </w:tc>
      </w:tr>
      <w:tr>
        <w:tc>
          <w:tcPr>
            <w:tcW w:w="2535" w:type="dxa"/>
          </w:tcPr>
          <w:p>
            <w:pPr>
              <w:pStyle w:val="0"/>
              <w:jc w:val="both"/>
            </w:pPr>
            <w:r>
              <w:rPr>
                <w:sz w:val="20"/>
              </w:rPr>
              <w:t xml:space="preserve">Федеральный бюджет</w:t>
            </w:r>
          </w:p>
        </w:tc>
        <w:tc>
          <w:tcPr>
            <w:tcW w:w="1701" w:type="dxa"/>
          </w:tcPr>
          <w:p>
            <w:pPr>
              <w:pStyle w:val="0"/>
              <w:jc w:val="center"/>
            </w:pPr>
            <w:r>
              <w:rPr>
                <w:sz w:val="20"/>
              </w:rPr>
              <w:t xml:space="preserve">9293,2</w:t>
            </w:r>
          </w:p>
        </w:tc>
        <w:tc>
          <w:tcPr>
            <w:tcW w:w="1701" w:type="dxa"/>
          </w:tcPr>
          <w:p>
            <w:pPr>
              <w:pStyle w:val="0"/>
              <w:jc w:val="center"/>
            </w:pPr>
            <w:r>
              <w:rPr>
                <w:sz w:val="20"/>
              </w:rPr>
              <w:t xml:space="preserve">9331,4</w:t>
            </w:r>
          </w:p>
        </w:tc>
        <w:tc>
          <w:tcPr>
            <w:tcW w:w="1701" w:type="dxa"/>
          </w:tcPr>
          <w:p>
            <w:pPr>
              <w:pStyle w:val="0"/>
              <w:jc w:val="center"/>
            </w:pPr>
            <w:r>
              <w:rPr>
                <w:sz w:val="20"/>
              </w:rPr>
              <w:t xml:space="preserve">9142,4</w:t>
            </w:r>
          </w:p>
        </w:tc>
        <w:tc>
          <w:tcPr>
            <w:tcW w:w="1417" w:type="dxa"/>
          </w:tcPr>
          <w:p>
            <w:pPr>
              <w:pStyle w:val="0"/>
              <w:jc w:val="center"/>
            </w:pPr>
            <w:r>
              <w:rPr>
                <w:sz w:val="20"/>
              </w:rPr>
              <w:t xml:space="preserve">27767,0</w:t>
            </w:r>
          </w:p>
        </w:tc>
      </w:tr>
      <w:tr>
        <w:tc>
          <w:tcPr>
            <w:tcW w:w="2535" w:type="dxa"/>
          </w:tcPr>
          <w:p>
            <w:pPr>
              <w:pStyle w:val="0"/>
              <w:jc w:val="both"/>
            </w:pPr>
            <w:r>
              <w:rPr>
                <w:sz w:val="20"/>
              </w:rPr>
              <w:t xml:space="preserve">Бюджет города Севастополя</w:t>
            </w:r>
          </w:p>
        </w:tc>
        <w:tc>
          <w:tcPr>
            <w:tcW w:w="1701" w:type="dxa"/>
          </w:tcPr>
          <w:p>
            <w:pPr>
              <w:pStyle w:val="0"/>
              <w:jc w:val="center"/>
            </w:pPr>
            <w:r>
              <w:rPr>
                <w:sz w:val="20"/>
              </w:rPr>
              <w:t xml:space="preserve">489,1</w:t>
            </w:r>
          </w:p>
        </w:tc>
        <w:tc>
          <w:tcPr>
            <w:tcW w:w="1701" w:type="dxa"/>
          </w:tcPr>
          <w:p>
            <w:pPr>
              <w:pStyle w:val="0"/>
              <w:jc w:val="center"/>
            </w:pPr>
            <w:r>
              <w:rPr>
                <w:sz w:val="20"/>
              </w:rPr>
              <w:t xml:space="preserve">491,1</w:t>
            </w:r>
          </w:p>
        </w:tc>
        <w:tc>
          <w:tcPr>
            <w:tcW w:w="1701" w:type="dxa"/>
          </w:tcPr>
          <w:p>
            <w:pPr>
              <w:pStyle w:val="0"/>
              <w:jc w:val="center"/>
            </w:pPr>
            <w:r>
              <w:rPr>
                <w:sz w:val="20"/>
              </w:rPr>
              <w:t xml:space="preserve">688,1</w:t>
            </w:r>
          </w:p>
        </w:tc>
        <w:tc>
          <w:tcPr>
            <w:tcW w:w="1417" w:type="dxa"/>
          </w:tcPr>
          <w:p>
            <w:pPr>
              <w:pStyle w:val="0"/>
              <w:jc w:val="center"/>
            </w:pPr>
            <w:r>
              <w:rPr>
                <w:sz w:val="20"/>
              </w:rPr>
              <w:t xml:space="preserve">1668,3</w:t>
            </w:r>
          </w:p>
        </w:tc>
      </w:tr>
      <w:tr>
        <w:tc>
          <w:tcPr>
            <w:tcW w:w="2535" w:type="dxa"/>
          </w:tcPr>
          <w:p>
            <w:pPr>
              <w:pStyle w:val="0"/>
              <w:jc w:val="both"/>
            </w:pPr>
            <w:r>
              <w:rPr>
                <w:sz w:val="20"/>
              </w:rPr>
              <w:t xml:space="preserve">Иные источники (включая внебюджетные источники от приносящей доход деятельности медицинских организаций)</w:t>
            </w:r>
          </w:p>
        </w:tc>
        <w:tc>
          <w:tcPr>
            <w:tcW w:w="1701" w:type="dxa"/>
          </w:tcPr>
          <w:p>
            <w:pPr>
              <w:pStyle w:val="0"/>
              <w:jc w:val="center"/>
            </w:pPr>
            <w:r>
              <w:rPr>
                <w:sz w:val="20"/>
              </w:rPr>
              <w:t xml:space="preserve">-</w:t>
            </w:r>
          </w:p>
        </w:tc>
        <w:tc>
          <w:tcPr>
            <w:tcW w:w="1701" w:type="dxa"/>
          </w:tcPr>
          <w:p>
            <w:pPr>
              <w:pStyle w:val="0"/>
              <w:jc w:val="center"/>
            </w:pPr>
            <w:r>
              <w:rPr>
                <w:sz w:val="20"/>
              </w:rPr>
              <w:t xml:space="preserve">-</w:t>
            </w:r>
          </w:p>
        </w:tc>
        <w:tc>
          <w:tcPr>
            <w:tcW w:w="1701" w:type="dxa"/>
          </w:tcPr>
          <w:p>
            <w:pPr>
              <w:pStyle w:val="0"/>
              <w:jc w:val="center"/>
            </w:pPr>
            <w:r>
              <w:rPr>
                <w:sz w:val="20"/>
              </w:rPr>
              <w:t xml:space="preserve">-</w:t>
            </w:r>
          </w:p>
        </w:tc>
        <w:tc>
          <w:tcPr>
            <w:tcW w:w="1417" w:type="dxa"/>
          </w:tcPr>
          <w:p>
            <w:pPr>
              <w:pStyle w:val="0"/>
              <w:jc w:val="center"/>
            </w:pPr>
            <w:r>
              <w:rPr>
                <w:sz w:val="20"/>
              </w:rPr>
              <w:t xml:space="preserve">-</w:t>
            </w:r>
          </w:p>
        </w:tc>
      </w:tr>
      <w:tr>
        <w:tc>
          <w:tcPr>
            <w:tcW w:w="2535" w:type="dxa"/>
          </w:tcPr>
          <w:p>
            <w:pPr>
              <w:pStyle w:val="0"/>
              <w:jc w:val="both"/>
            </w:pPr>
            <w:r>
              <w:rPr>
                <w:sz w:val="20"/>
              </w:rPr>
              <w:t xml:space="preserve">Консолидированный бюджет</w:t>
            </w:r>
          </w:p>
        </w:tc>
        <w:tc>
          <w:tcPr>
            <w:tcW w:w="1701" w:type="dxa"/>
          </w:tcPr>
          <w:p>
            <w:pPr>
              <w:pStyle w:val="0"/>
              <w:jc w:val="center"/>
            </w:pPr>
            <w:r>
              <w:rPr>
                <w:sz w:val="20"/>
              </w:rPr>
              <w:t xml:space="preserve">9782,3</w:t>
            </w:r>
          </w:p>
        </w:tc>
        <w:tc>
          <w:tcPr>
            <w:tcW w:w="1701" w:type="dxa"/>
          </w:tcPr>
          <w:p>
            <w:pPr>
              <w:pStyle w:val="0"/>
              <w:jc w:val="center"/>
            </w:pPr>
            <w:r>
              <w:rPr>
                <w:sz w:val="20"/>
              </w:rPr>
              <w:t xml:space="preserve">9822,5</w:t>
            </w:r>
          </w:p>
        </w:tc>
        <w:tc>
          <w:tcPr>
            <w:tcW w:w="1701" w:type="dxa"/>
          </w:tcPr>
          <w:p>
            <w:pPr>
              <w:pStyle w:val="0"/>
              <w:jc w:val="center"/>
            </w:pPr>
            <w:r>
              <w:rPr>
                <w:sz w:val="20"/>
              </w:rPr>
              <w:t xml:space="preserve">9830,5</w:t>
            </w:r>
          </w:p>
        </w:tc>
        <w:tc>
          <w:tcPr>
            <w:tcW w:w="1417" w:type="dxa"/>
          </w:tcPr>
          <w:p>
            <w:pPr>
              <w:pStyle w:val="0"/>
              <w:jc w:val="center"/>
            </w:pPr>
            <w:r>
              <w:rPr>
                <w:sz w:val="20"/>
              </w:rPr>
              <w:t xml:space="preserve">29435,3</w:t>
            </w:r>
          </w:p>
        </w:tc>
      </w:tr>
    </w:tbl>
    <w:p>
      <w:pPr>
        <w:pStyle w:val="0"/>
        <w:ind w:firstLine="540"/>
        <w:jc w:val="both"/>
      </w:pPr>
      <w:r>
        <w:rPr>
          <w:sz w:val="20"/>
        </w:rPr>
      </w:r>
    </w:p>
    <w:p>
      <w:pPr>
        <w:pStyle w:val="2"/>
        <w:outlineLvl w:val="2"/>
        <w:jc w:val="center"/>
      </w:pPr>
      <w:r>
        <w:rPr>
          <w:sz w:val="20"/>
        </w:rPr>
        <w:t xml:space="preserve">6. Социально значимый результат региональной программы</w:t>
      </w:r>
    </w:p>
    <w:p>
      <w:pPr>
        <w:pStyle w:val="2"/>
        <w:jc w:val="center"/>
      </w:pPr>
      <w:r>
        <w:rPr>
          <w:sz w:val="20"/>
        </w:rPr>
        <w:t xml:space="preserve">"Обеспечение расширенного неонатального скрининга" в регионе</w:t>
      </w:r>
    </w:p>
    <w:p>
      <w:pPr>
        <w:pStyle w:val="0"/>
        <w:ind w:firstLine="540"/>
        <w:jc w:val="both"/>
      </w:pPr>
      <w:r>
        <w:rPr>
          <w:sz w:val="20"/>
        </w:rPr>
      </w:r>
    </w:p>
    <w:p>
      <w:pPr>
        <w:pStyle w:val="0"/>
        <w:ind w:firstLine="540"/>
        <w:jc w:val="both"/>
      </w:pPr>
      <w:r>
        <w:rPr>
          <w:sz w:val="20"/>
        </w:rPr>
        <w:t xml:space="preserve">Внедрение региональной программы "Обеспечение расширенного неонатального скрининга" позволит совершенствовать существующий уровень организации работы с детьми с наследственными и (или) врожденными заболеваниями, обеспечить преемственность акушерско-гинекологической, неонатологической, педиатрической и медико-генетической служб в части организации забора биологических проб, их доставки, проведения исследования, в том числе подтверждающей диагностики, и информационного сопровождения всех этапов, что приведет к сокращению сроков постановки диагноза и начала лечения, повысит качество медицинской помощи при данной патологии, обеспечит дальнейшее снижение перинатальной, младенческой и детской смертности. В итоге будет достигнут следующий показатель младенческой смертности: 3,3 на 1000 родившихся живыми к 2024 году.</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1</w:t>
      </w:r>
    </w:p>
    <w:p>
      <w:pPr>
        <w:pStyle w:val="0"/>
        <w:jc w:val="right"/>
      </w:pPr>
      <w:r>
        <w:rPr>
          <w:sz w:val="20"/>
        </w:rPr>
        <w:t xml:space="preserve">к региональной программе</w:t>
      </w:r>
    </w:p>
    <w:p>
      <w:pPr>
        <w:pStyle w:val="0"/>
        <w:jc w:val="right"/>
      </w:pPr>
      <w:r>
        <w:rPr>
          <w:sz w:val="20"/>
        </w:rPr>
        <w:t xml:space="preserve">"Обеспечение расширенного</w:t>
      </w:r>
    </w:p>
    <w:p>
      <w:pPr>
        <w:pStyle w:val="0"/>
        <w:jc w:val="right"/>
      </w:pPr>
      <w:r>
        <w:rPr>
          <w:sz w:val="20"/>
        </w:rPr>
        <w:t xml:space="preserve">неонатального скрининга"</w:t>
      </w:r>
    </w:p>
    <w:p>
      <w:pPr>
        <w:pStyle w:val="0"/>
      </w:pPr>
      <w:r>
        <w:rPr>
          <w:sz w:val="20"/>
        </w:rPr>
      </w:r>
    </w:p>
    <w:p>
      <w:pPr>
        <w:pStyle w:val="2"/>
        <w:jc w:val="center"/>
      </w:pPr>
      <w:r>
        <w:rPr>
          <w:sz w:val="20"/>
        </w:rPr>
        <w:t xml:space="preserve">Число медицинских организаций, осуществляющих</w:t>
      </w:r>
    </w:p>
    <w:p>
      <w:pPr>
        <w:pStyle w:val="2"/>
        <w:jc w:val="center"/>
      </w:pPr>
      <w:r>
        <w:rPr>
          <w:sz w:val="20"/>
        </w:rPr>
        <w:t xml:space="preserve">забор проб для проведения НС</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551"/>
        <w:gridCol w:w="1701"/>
        <w:gridCol w:w="1871"/>
        <w:gridCol w:w="1757"/>
        <w:gridCol w:w="1984"/>
      </w:tblGrid>
      <w:tr>
        <w:tc>
          <w:tcPr>
            <w:tcW w:w="567" w:type="dxa"/>
          </w:tcPr>
          <w:p>
            <w:pPr>
              <w:pStyle w:val="0"/>
              <w:jc w:val="center"/>
            </w:pPr>
            <w:r>
              <w:rPr>
                <w:sz w:val="20"/>
              </w:rPr>
              <w:t xml:space="preserve">N п/п</w:t>
            </w:r>
          </w:p>
        </w:tc>
        <w:tc>
          <w:tcPr>
            <w:tcW w:w="2551" w:type="dxa"/>
          </w:tcPr>
          <w:p>
            <w:pPr>
              <w:pStyle w:val="0"/>
              <w:jc w:val="center"/>
            </w:pPr>
            <w:r>
              <w:rPr>
                <w:sz w:val="20"/>
              </w:rPr>
              <w:t xml:space="preserve">Медицинские организации</w:t>
            </w:r>
          </w:p>
        </w:tc>
        <w:tc>
          <w:tcPr>
            <w:tcW w:w="1701" w:type="dxa"/>
          </w:tcPr>
          <w:p>
            <w:pPr>
              <w:pStyle w:val="0"/>
              <w:jc w:val="center"/>
            </w:pPr>
            <w:r>
              <w:rPr>
                <w:sz w:val="20"/>
              </w:rPr>
              <w:t xml:space="preserve">Уровень медицинских организаций</w:t>
            </w:r>
          </w:p>
        </w:tc>
        <w:tc>
          <w:tcPr>
            <w:tcW w:w="1871" w:type="dxa"/>
          </w:tcPr>
          <w:p>
            <w:pPr>
              <w:pStyle w:val="0"/>
              <w:jc w:val="center"/>
            </w:pPr>
            <w:r>
              <w:rPr>
                <w:sz w:val="20"/>
              </w:rPr>
              <w:t xml:space="preserve">Число медицинских организаций/структурных подразделений</w:t>
            </w:r>
          </w:p>
        </w:tc>
        <w:tc>
          <w:tcPr>
            <w:tcW w:w="1757" w:type="dxa"/>
          </w:tcPr>
          <w:p>
            <w:pPr>
              <w:pStyle w:val="0"/>
              <w:jc w:val="center"/>
            </w:pPr>
            <w:r>
              <w:rPr>
                <w:sz w:val="20"/>
              </w:rPr>
              <w:t xml:space="preserve">Наличие медицинского персонала, прошедшего подготовку по проведению отбора проб (число)</w:t>
            </w:r>
          </w:p>
        </w:tc>
        <w:tc>
          <w:tcPr>
            <w:tcW w:w="1984" w:type="dxa"/>
          </w:tcPr>
          <w:p>
            <w:pPr>
              <w:pStyle w:val="0"/>
              <w:jc w:val="center"/>
            </w:pPr>
            <w:r>
              <w:rPr>
                <w:sz w:val="20"/>
              </w:rPr>
              <w:t xml:space="preserve">Число новорожденных, у которых взята проба для неонатального скрининга на наследственные заболевания, по данным 2021 года</w:t>
            </w:r>
          </w:p>
        </w:tc>
      </w:tr>
      <w:tr>
        <w:tc>
          <w:tcPr>
            <w:tcW w:w="567" w:type="dxa"/>
          </w:tcPr>
          <w:p>
            <w:pPr>
              <w:pStyle w:val="0"/>
              <w:jc w:val="both"/>
            </w:pPr>
            <w:r>
              <w:rPr>
                <w:sz w:val="20"/>
              </w:rPr>
              <w:t xml:space="preserve">1.</w:t>
            </w:r>
          </w:p>
        </w:tc>
        <w:tc>
          <w:tcPr>
            <w:tcW w:w="2551" w:type="dxa"/>
          </w:tcPr>
          <w:p>
            <w:pPr>
              <w:pStyle w:val="0"/>
              <w:jc w:val="both"/>
            </w:pPr>
            <w:r>
              <w:rPr>
                <w:sz w:val="20"/>
              </w:rPr>
              <w:t xml:space="preserve">Число медицинских организаций родовспомогательных учреждений, осуществляющих забор проб для проведения НС</w:t>
            </w:r>
          </w:p>
        </w:tc>
        <w:tc>
          <w:tcPr>
            <w:tcW w:w="1701" w:type="dxa"/>
          </w:tcPr>
          <w:p>
            <w:pPr>
              <w:pStyle w:val="0"/>
              <w:jc w:val="both"/>
            </w:pPr>
            <w:r>
              <w:rPr>
                <w:sz w:val="20"/>
              </w:rPr>
              <w:t xml:space="preserve">3 уровень</w:t>
            </w:r>
          </w:p>
        </w:tc>
        <w:tc>
          <w:tcPr>
            <w:tcW w:w="1871" w:type="dxa"/>
          </w:tcPr>
          <w:p>
            <w:pPr>
              <w:pStyle w:val="0"/>
              <w:jc w:val="both"/>
            </w:pPr>
            <w:r>
              <w:rPr>
                <w:sz w:val="20"/>
              </w:rPr>
              <w:t xml:space="preserve">Городская больница N 5, родильный дом</w:t>
            </w:r>
          </w:p>
        </w:tc>
        <w:tc>
          <w:tcPr>
            <w:tcW w:w="1757" w:type="dxa"/>
          </w:tcPr>
          <w:p>
            <w:pPr>
              <w:pStyle w:val="0"/>
              <w:jc w:val="center"/>
            </w:pPr>
            <w:r>
              <w:rPr>
                <w:sz w:val="20"/>
              </w:rPr>
              <w:t xml:space="preserve">2</w:t>
            </w:r>
          </w:p>
        </w:tc>
        <w:tc>
          <w:tcPr>
            <w:tcW w:w="1984" w:type="dxa"/>
          </w:tcPr>
          <w:p>
            <w:pPr>
              <w:pStyle w:val="0"/>
              <w:jc w:val="center"/>
            </w:pPr>
            <w:r>
              <w:rPr>
                <w:sz w:val="20"/>
              </w:rPr>
              <w:t xml:space="preserve">3457 (92,2%)</w:t>
            </w:r>
          </w:p>
        </w:tc>
      </w:tr>
      <w:tr>
        <w:tc>
          <w:tcPr>
            <w:tcW w:w="567" w:type="dxa"/>
          </w:tcPr>
          <w:p>
            <w:pPr>
              <w:pStyle w:val="0"/>
              <w:jc w:val="both"/>
            </w:pPr>
            <w:r>
              <w:rPr>
                <w:sz w:val="20"/>
              </w:rPr>
              <w:t xml:space="preserve">2.</w:t>
            </w:r>
          </w:p>
        </w:tc>
        <w:tc>
          <w:tcPr>
            <w:tcW w:w="2551" w:type="dxa"/>
          </w:tcPr>
          <w:p>
            <w:pPr>
              <w:pStyle w:val="0"/>
              <w:jc w:val="both"/>
            </w:pPr>
            <w:r>
              <w:rPr>
                <w:sz w:val="20"/>
              </w:rPr>
              <w:t xml:space="preserve">Число отделений патологии новорожденных/педиатрических детских больниц, осуществляющих забор проб для проведения НС</w:t>
            </w:r>
          </w:p>
        </w:tc>
        <w:tc>
          <w:tcPr>
            <w:tcW w:w="1701" w:type="dxa"/>
          </w:tcPr>
          <w:p>
            <w:pPr>
              <w:pStyle w:val="0"/>
              <w:jc w:val="both"/>
            </w:pPr>
            <w:r>
              <w:rPr>
                <w:sz w:val="20"/>
              </w:rPr>
              <w:t xml:space="preserve">3 уровень</w:t>
            </w:r>
          </w:p>
        </w:tc>
        <w:tc>
          <w:tcPr>
            <w:tcW w:w="1871" w:type="dxa"/>
          </w:tcPr>
          <w:p>
            <w:pPr>
              <w:pStyle w:val="0"/>
              <w:jc w:val="both"/>
            </w:pPr>
            <w:r>
              <w:rPr>
                <w:sz w:val="20"/>
              </w:rPr>
              <w:t xml:space="preserve">Городская больница N 5, МГК</w:t>
            </w:r>
          </w:p>
        </w:tc>
        <w:tc>
          <w:tcPr>
            <w:tcW w:w="1757" w:type="dxa"/>
          </w:tcPr>
          <w:p>
            <w:pPr>
              <w:pStyle w:val="0"/>
              <w:jc w:val="center"/>
            </w:pPr>
            <w:r>
              <w:rPr>
                <w:sz w:val="20"/>
              </w:rPr>
              <w:t xml:space="preserve">2</w:t>
            </w:r>
          </w:p>
        </w:tc>
        <w:tc>
          <w:tcPr>
            <w:tcW w:w="1984" w:type="dxa"/>
          </w:tcPr>
          <w:p>
            <w:pPr>
              <w:pStyle w:val="0"/>
              <w:jc w:val="center"/>
            </w:pPr>
            <w:r>
              <w:rPr>
                <w:sz w:val="20"/>
              </w:rPr>
              <w:t xml:space="preserve">241</w:t>
            </w:r>
          </w:p>
        </w:tc>
      </w:tr>
      <w:tr>
        <w:tc>
          <w:tcPr>
            <w:gridSpan w:val="2"/>
            <w:tcW w:w="3118" w:type="dxa"/>
          </w:tcPr>
          <w:p>
            <w:pPr>
              <w:pStyle w:val="0"/>
              <w:jc w:val="both"/>
            </w:pPr>
            <w:r>
              <w:rPr>
                <w:sz w:val="20"/>
              </w:rPr>
              <w:t xml:space="preserve">ИТОГО</w:t>
            </w:r>
          </w:p>
        </w:tc>
        <w:tc>
          <w:tcPr>
            <w:tcW w:w="1701" w:type="dxa"/>
          </w:tcPr>
          <w:p>
            <w:pPr>
              <w:pStyle w:val="0"/>
              <w:jc w:val="both"/>
            </w:pPr>
            <w:r>
              <w:rPr>
                <w:sz w:val="20"/>
              </w:rPr>
            </w:r>
          </w:p>
        </w:tc>
        <w:tc>
          <w:tcPr>
            <w:tcW w:w="1871" w:type="dxa"/>
          </w:tcPr>
          <w:p>
            <w:pPr>
              <w:pStyle w:val="0"/>
              <w:jc w:val="both"/>
            </w:pPr>
            <w:r>
              <w:rPr>
                <w:sz w:val="20"/>
              </w:rPr>
            </w:r>
          </w:p>
        </w:tc>
        <w:tc>
          <w:tcPr>
            <w:tcW w:w="1757" w:type="dxa"/>
          </w:tcPr>
          <w:p>
            <w:pPr>
              <w:pStyle w:val="0"/>
              <w:jc w:val="center"/>
            </w:pPr>
            <w:r>
              <w:rPr>
                <w:sz w:val="20"/>
              </w:rPr>
              <w:t xml:space="preserve">4</w:t>
            </w:r>
          </w:p>
        </w:tc>
        <w:tc>
          <w:tcPr>
            <w:tcW w:w="1984" w:type="dxa"/>
          </w:tcPr>
          <w:p>
            <w:pPr>
              <w:pStyle w:val="0"/>
              <w:jc w:val="center"/>
            </w:pPr>
            <w:r>
              <w:rPr>
                <w:sz w:val="20"/>
              </w:rPr>
              <w:t xml:space="preserve">3698 (98,6%)</w:t>
            </w:r>
          </w:p>
        </w:tc>
      </w:tr>
    </w:tbl>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В городе Севастополе функционирует один родильный дом, который находится в структуре Городской больницы N 5. Других родильных домов, отделений в регионе нет. Также в структуре Городской больницы N 5 находятся детские поликлиники города Севастополя. Забор проб осуществляется в Городской больнице N 5. Других организаций, выполняющих НС и РНС, в субъекте нет.</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2</w:t>
      </w:r>
    </w:p>
    <w:p>
      <w:pPr>
        <w:pStyle w:val="0"/>
        <w:jc w:val="right"/>
      </w:pPr>
      <w:r>
        <w:rPr>
          <w:sz w:val="20"/>
        </w:rPr>
        <w:t xml:space="preserve">к региональной программе</w:t>
      </w:r>
    </w:p>
    <w:p>
      <w:pPr>
        <w:pStyle w:val="0"/>
        <w:jc w:val="right"/>
      </w:pPr>
      <w:r>
        <w:rPr>
          <w:sz w:val="20"/>
        </w:rPr>
        <w:t xml:space="preserve">"Обеспечение расширенного</w:t>
      </w:r>
    </w:p>
    <w:p>
      <w:pPr>
        <w:pStyle w:val="0"/>
        <w:jc w:val="right"/>
      </w:pPr>
      <w:r>
        <w:rPr>
          <w:sz w:val="20"/>
        </w:rPr>
        <w:t xml:space="preserve">неонатального скрининга"</w:t>
      </w:r>
    </w:p>
    <w:p>
      <w:pPr>
        <w:pStyle w:val="0"/>
      </w:pPr>
      <w:r>
        <w:rPr>
          <w:sz w:val="20"/>
        </w:rPr>
      </w:r>
    </w:p>
    <w:p>
      <w:pPr>
        <w:pStyle w:val="2"/>
        <w:jc w:val="center"/>
      </w:pPr>
      <w:r>
        <w:rPr>
          <w:sz w:val="20"/>
        </w:rPr>
        <w:t xml:space="preserve">Перечень медицинских организаций, осуществляющих НС и РНС</w:t>
      </w:r>
    </w:p>
    <w:p>
      <w:pPr>
        <w:pStyle w:val="2"/>
        <w:jc w:val="center"/>
      </w:pPr>
      <w:r>
        <w:rPr>
          <w:sz w:val="20"/>
        </w:rPr>
        <w:t xml:space="preserve">(при наличии) в субъекте РФ</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835"/>
        <w:gridCol w:w="2041"/>
        <w:gridCol w:w="907"/>
        <w:gridCol w:w="1191"/>
        <w:gridCol w:w="907"/>
        <w:gridCol w:w="1247"/>
      </w:tblGrid>
      <w:tr>
        <w:tc>
          <w:tcPr>
            <w:tcW w:w="2268" w:type="dxa"/>
            <w:vMerge w:val="restart"/>
          </w:tcPr>
          <w:p>
            <w:pPr>
              <w:pStyle w:val="0"/>
              <w:jc w:val="center"/>
            </w:pPr>
            <w:r>
              <w:rPr>
                <w:sz w:val="20"/>
              </w:rPr>
              <w:t xml:space="preserve">Полное наименование медицинской организации/структурного подразделения, осуществляющих проведение НС</w:t>
            </w:r>
          </w:p>
        </w:tc>
        <w:tc>
          <w:tcPr>
            <w:tcW w:w="2835" w:type="dxa"/>
            <w:vMerge w:val="restart"/>
          </w:tcPr>
          <w:p>
            <w:pPr>
              <w:pStyle w:val="0"/>
              <w:jc w:val="center"/>
            </w:pPr>
            <w:r>
              <w:rPr>
                <w:sz w:val="20"/>
              </w:rPr>
              <w:t xml:space="preserve">Адрес, тел., e-mail</w:t>
            </w:r>
          </w:p>
        </w:tc>
        <w:tc>
          <w:tcPr>
            <w:tcW w:w="2041" w:type="dxa"/>
            <w:vMerge w:val="restart"/>
          </w:tcPr>
          <w:p>
            <w:pPr>
              <w:pStyle w:val="0"/>
              <w:jc w:val="center"/>
            </w:pPr>
            <w:r>
              <w:rPr>
                <w:sz w:val="20"/>
              </w:rPr>
              <w:t xml:space="preserve">ФИО руководителя медицинской организации/структурного подразделения, осуществляющих проведение НС, контактный тел., (e-mail)</w:t>
            </w:r>
          </w:p>
        </w:tc>
        <w:tc>
          <w:tcPr>
            <w:gridSpan w:val="2"/>
            <w:tcW w:w="2098" w:type="dxa"/>
          </w:tcPr>
          <w:p>
            <w:pPr>
              <w:pStyle w:val="0"/>
              <w:jc w:val="center"/>
            </w:pPr>
            <w:r>
              <w:rPr>
                <w:sz w:val="20"/>
              </w:rPr>
              <w:t xml:space="preserve">Проведено исследований в год (НС) по данным 2021 года</w:t>
            </w:r>
          </w:p>
        </w:tc>
        <w:tc>
          <w:tcPr>
            <w:gridSpan w:val="2"/>
            <w:tcW w:w="2154" w:type="dxa"/>
          </w:tcPr>
          <w:p>
            <w:pPr>
              <w:pStyle w:val="0"/>
              <w:jc w:val="center"/>
            </w:pPr>
            <w:r>
              <w:rPr>
                <w:sz w:val="20"/>
              </w:rPr>
              <w:t xml:space="preserve">Проведено исследований в год (РНС) по данным 2021 года</w:t>
            </w:r>
          </w:p>
        </w:tc>
      </w:tr>
      <w:tr>
        <w:tc>
          <w:tcPr>
            <w:vMerge w:val="continue"/>
          </w:tcPr>
          <w:p/>
        </w:tc>
        <w:tc>
          <w:tcPr>
            <w:vMerge w:val="continue"/>
          </w:tcPr>
          <w:p/>
        </w:tc>
        <w:tc>
          <w:tcPr>
            <w:vMerge w:val="continue"/>
          </w:tcPr>
          <w:p/>
        </w:tc>
        <w:tc>
          <w:tcPr>
            <w:tcW w:w="907" w:type="dxa"/>
          </w:tcPr>
          <w:p>
            <w:pPr>
              <w:pStyle w:val="0"/>
              <w:jc w:val="center"/>
            </w:pPr>
            <w:r>
              <w:rPr>
                <w:sz w:val="20"/>
              </w:rPr>
              <w:t xml:space="preserve">число</w:t>
            </w:r>
          </w:p>
        </w:tc>
        <w:tc>
          <w:tcPr>
            <w:tcW w:w="1191" w:type="dxa"/>
          </w:tcPr>
          <w:p>
            <w:pPr>
              <w:pStyle w:val="0"/>
              <w:jc w:val="center"/>
            </w:pPr>
            <w:r>
              <w:rPr>
                <w:sz w:val="20"/>
              </w:rPr>
              <w:t xml:space="preserve">доля от всех выполненных в субъекте</w:t>
            </w:r>
          </w:p>
        </w:tc>
        <w:tc>
          <w:tcPr>
            <w:tcW w:w="907" w:type="dxa"/>
          </w:tcPr>
          <w:p>
            <w:pPr>
              <w:pStyle w:val="0"/>
              <w:jc w:val="center"/>
            </w:pPr>
            <w:r>
              <w:rPr>
                <w:sz w:val="20"/>
              </w:rPr>
              <w:t xml:space="preserve">число</w:t>
            </w:r>
          </w:p>
        </w:tc>
        <w:tc>
          <w:tcPr>
            <w:tcW w:w="1247" w:type="dxa"/>
          </w:tcPr>
          <w:p>
            <w:pPr>
              <w:pStyle w:val="0"/>
              <w:jc w:val="center"/>
            </w:pPr>
            <w:r>
              <w:rPr>
                <w:sz w:val="20"/>
              </w:rPr>
              <w:t xml:space="preserve">доля от всех выполненных в субъекте</w:t>
            </w:r>
          </w:p>
        </w:tc>
      </w:tr>
      <w:tr>
        <w:tc>
          <w:tcPr>
            <w:gridSpan w:val="7"/>
            <w:tcW w:w="11396" w:type="dxa"/>
          </w:tcPr>
          <w:p>
            <w:pPr>
              <w:pStyle w:val="0"/>
              <w:jc w:val="center"/>
            </w:pPr>
            <w:r>
              <w:rPr>
                <w:sz w:val="20"/>
              </w:rPr>
              <w:t xml:space="preserve">Медико-генетические кабинеты (отделения) 2 уровня</w:t>
            </w:r>
          </w:p>
        </w:tc>
      </w:tr>
      <w:tr>
        <w:tc>
          <w:tcPr>
            <w:tcW w:w="2268" w:type="dxa"/>
          </w:tcPr>
          <w:p>
            <w:pPr>
              <w:pStyle w:val="0"/>
              <w:jc w:val="both"/>
            </w:pPr>
            <w:r>
              <w:rPr>
                <w:sz w:val="20"/>
              </w:rPr>
              <w:t xml:space="preserve">Городская больница N 5 осуществляет забор крови и консультирование</w:t>
            </w:r>
          </w:p>
        </w:tc>
        <w:tc>
          <w:tcPr>
            <w:tcW w:w="2835" w:type="dxa"/>
          </w:tcPr>
          <w:p>
            <w:pPr>
              <w:pStyle w:val="0"/>
              <w:jc w:val="both"/>
            </w:pPr>
            <w:r>
              <w:rPr>
                <w:sz w:val="20"/>
              </w:rPr>
              <w:t xml:space="preserve">город Севастополь, пр-т Генерала Острякова, 211а, sevmedgen2012@yandex.ru</w:t>
            </w:r>
          </w:p>
        </w:tc>
        <w:tc>
          <w:tcPr>
            <w:tcW w:w="2041" w:type="dxa"/>
          </w:tcPr>
          <w:p>
            <w:pPr>
              <w:pStyle w:val="0"/>
              <w:jc w:val="both"/>
            </w:pPr>
            <w:r>
              <w:rPr>
                <w:sz w:val="20"/>
              </w:rPr>
              <w:t xml:space="preserve">+7 (8692) 65-78-90</w:t>
            </w:r>
          </w:p>
          <w:p>
            <w:pPr>
              <w:pStyle w:val="0"/>
              <w:jc w:val="both"/>
            </w:pPr>
            <w:r>
              <w:rPr>
                <w:sz w:val="20"/>
              </w:rPr>
              <w:t xml:space="preserve">Главный врач: Большакова Е.С.</w:t>
            </w:r>
          </w:p>
        </w:tc>
        <w:tc>
          <w:tcPr>
            <w:tcW w:w="907" w:type="dxa"/>
          </w:tcPr>
          <w:p>
            <w:pPr>
              <w:pStyle w:val="0"/>
              <w:jc w:val="center"/>
            </w:pPr>
            <w:r>
              <w:rPr>
                <w:sz w:val="20"/>
              </w:rPr>
              <w:t xml:space="preserve">-</w:t>
            </w:r>
          </w:p>
        </w:tc>
        <w:tc>
          <w:tcPr>
            <w:tcW w:w="1191" w:type="dxa"/>
          </w:tcPr>
          <w:p>
            <w:pPr>
              <w:pStyle w:val="0"/>
              <w:jc w:val="center"/>
            </w:pPr>
            <w:r>
              <w:rPr>
                <w:sz w:val="20"/>
              </w:rPr>
              <w:t xml:space="preserve">-</w:t>
            </w:r>
          </w:p>
        </w:tc>
        <w:tc>
          <w:tcPr>
            <w:tcW w:w="907" w:type="dxa"/>
          </w:tcPr>
          <w:p>
            <w:pPr>
              <w:pStyle w:val="0"/>
              <w:jc w:val="center"/>
            </w:pPr>
            <w:r>
              <w:rPr>
                <w:sz w:val="20"/>
              </w:rPr>
              <w:t xml:space="preserve">-</w:t>
            </w:r>
          </w:p>
        </w:tc>
        <w:tc>
          <w:tcPr>
            <w:tcW w:w="1247" w:type="dxa"/>
          </w:tcPr>
          <w:p>
            <w:pPr>
              <w:pStyle w:val="0"/>
              <w:jc w:val="center"/>
            </w:pPr>
            <w:r>
              <w:rPr>
                <w:sz w:val="20"/>
              </w:rPr>
              <w:t xml:space="preserve">-</w:t>
            </w:r>
          </w:p>
        </w:tc>
      </w:tr>
      <w:tr>
        <w:tc>
          <w:tcPr>
            <w:gridSpan w:val="7"/>
            <w:tcW w:w="11396" w:type="dxa"/>
          </w:tcPr>
          <w:p>
            <w:pPr>
              <w:pStyle w:val="0"/>
              <w:jc w:val="center"/>
            </w:pPr>
            <w:r>
              <w:rPr>
                <w:sz w:val="20"/>
              </w:rPr>
              <w:t xml:space="preserve">Медико-генетические центры 3А и (или) 3Б уровня</w:t>
            </w:r>
          </w:p>
        </w:tc>
      </w:tr>
      <w:tr>
        <w:tc>
          <w:tcPr>
            <w:tcW w:w="2268" w:type="dxa"/>
          </w:tcPr>
          <w:p>
            <w:pPr>
              <w:pStyle w:val="0"/>
              <w:jc w:val="both"/>
            </w:pPr>
            <w:r>
              <w:rPr>
                <w:sz w:val="20"/>
              </w:rPr>
              <w:t xml:space="preserve">ГБЗУС СК СКК ПЦ</w:t>
            </w:r>
          </w:p>
        </w:tc>
        <w:tc>
          <w:tcPr>
            <w:tcW w:w="2835" w:type="dxa"/>
          </w:tcPr>
          <w:p>
            <w:pPr>
              <w:pStyle w:val="0"/>
              <w:jc w:val="both"/>
            </w:pPr>
            <w:r>
              <w:rPr>
                <w:sz w:val="20"/>
              </w:rPr>
              <w:t xml:space="preserve">г. Ставрополь, ул. Ломоносова, д. 44, skkpc44@yandex.ru</w:t>
            </w:r>
          </w:p>
        </w:tc>
        <w:tc>
          <w:tcPr>
            <w:tcW w:w="2041" w:type="dxa"/>
          </w:tcPr>
          <w:p>
            <w:pPr>
              <w:pStyle w:val="0"/>
              <w:jc w:val="both"/>
            </w:pPr>
            <w:r>
              <w:rPr>
                <w:sz w:val="20"/>
              </w:rPr>
              <w:t xml:space="preserve">+ 7 (8652) 71-62-58</w:t>
            </w:r>
          </w:p>
          <w:p>
            <w:pPr>
              <w:pStyle w:val="0"/>
              <w:jc w:val="both"/>
            </w:pPr>
            <w:r>
              <w:rPr>
                <w:sz w:val="20"/>
              </w:rPr>
              <w:t xml:space="preserve">Главный врач: Затона Б.Ф.</w:t>
            </w:r>
          </w:p>
        </w:tc>
        <w:tc>
          <w:tcPr>
            <w:tcW w:w="907" w:type="dxa"/>
          </w:tcPr>
          <w:p>
            <w:pPr>
              <w:pStyle w:val="0"/>
              <w:jc w:val="center"/>
            </w:pPr>
            <w:r>
              <w:rPr>
                <w:sz w:val="20"/>
              </w:rPr>
              <w:t xml:space="preserve">3698</w:t>
            </w:r>
          </w:p>
        </w:tc>
        <w:tc>
          <w:tcPr>
            <w:tcW w:w="1191" w:type="dxa"/>
          </w:tcPr>
          <w:p>
            <w:pPr>
              <w:pStyle w:val="0"/>
              <w:jc w:val="center"/>
            </w:pPr>
            <w:r>
              <w:rPr>
                <w:sz w:val="20"/>
              </w:rPr>
              <w:t xml:space="preserve">(98,6%)</w:t>
            </w:r>
          </w:p>
        </w:tc>
        <w:tc>
          <w:tcPr>
            <w:tcW w:w="907" w:type="dxa"/>
          </w:tcPr>
          <w:p>
            <w:pPr>
              <w:pStyle w:val="0"/>
              <w:jc w:val="center"/>
            </w:pPr>
            <w:r>
              <w:rPr>
                <w:sz w:val="20"/>
              </w:rPr>
              <w:t xml:space="preserve">-</w:t>
            </w:r>
          </w:p>
        </w:tc>
        <w:tc>
          <w:tcPr>
            <w:tcW w:w="1247" w:type="dxa"/>
          </w:tcPr>
          <w:p>
            <w:pPr>
              <w:pStyle w:val="0"/>
              <w:jc w:val="center"/>
            </w:pPr>
            <w:r>
              <w:rPr>
                <w:sz w:val="20"/>
              </w:rPr>
              <w:t xml:space="preserve">-</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Согласно данным Росстата показатель охвата неонатальным скринингом рассчитывается по региону в целом, включая родившихся в других медицинских организациях родовспоможения (перинатальный центр, город Симферополь); показатель составляет 72,5%; показатель охвата неонатальным скринингом новорожденных, родившихся в родильном доме N 2 Городской больницы N 5, составляет 98,6%.</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3</w:t>
      </w:r>
    </w:p>
    <w:p>
      <w:pPr>
        <w:pStyle w:val="0"/>
        <w:jc w:val="right"/>
      </w:pPr>
      <w:r>
        <w:rPr>
          <w:sz w:val="20"/>
        </w:rPr>
        <w:t xml:space="preserve">к региональной программе</w:t>
      </w:r>
    </w:p>
    <w:p>
      <w:pPr>
        <w:pStyle w:val="0"/>
        <w:jc w:val="right"/>
      </w:pPr>
      <w:r>
        <w:rPr>
          <w:sz w:val="20"/>
        </w:rPr>
        <w:t xml:space="preserve">"Обеспечение расширенного</w:t>
      </w:r>
    </w:p>
    <w:p>
      <w:pPr>
        <w:pStyle w:val="0"/>
        <w:jc w:val="right"/>
      </w:pPr>
      <w:r>
        <w:rPr>
          <w:sz w:val="20"/>
        </w:rPr>
        <w:t xml:space="preserve">неонатального скрининга"</w:t>
      </w:r>
    </w:p>
    <w:p>
      <w:pPr>
        <w:pStyle w:val="0"/>
      </w:pPr>
      <w:r>
        <w:rPr>
          <w:sz w:val="20"/>
        </w:rPr>
      </w:r>
    </w:p>
    <w:p>
      <w:pPr>
        <w:pStyle w:val="2"/>
        <w:jc w:val="center"/>
      </w:pPr>
      <w:r>
        <w:rPr>
          <w:sz w:val="20"/>
        </w:rPr>
        <w:t xml:space="preserve">Укомплектованность медицинским персоналом лаборатории</w:t>
      </w:r>
    </w:p>
    <w:p>
      <w:pPr>
        <w:pStyle w:val="2"/>
        <w:jc w:val="center"/>
      </w:pPr>
      <w:r>
        <w:rPr>
          <w:sz w:val="20"/>
        </w:rPr>
        <w:t xml:space="preserve">неонатального скрининга и расширенного неонатального</w:t>
      </w:r>
    </w:p>
    <w:p>
      <w:pPr>
        <w:pStyle w:val="2"/>
        <w:jc w:val="center"/>
      </w:pPr>
      <w:r>
        <w:rPr>
          <w:sz w:val="20"/>
        </w:rPr>
        <w:t xml:space="preserve">скрининга (при наличии) указанных медицинских организаций</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71"/>
        <w:gridCol w:w="2381"/>
        <w:gridCol w:w="1587"/>
        <w:gridCol w:w="1701"/>
        <w:gridCol w:w="1474"/>
        <w:gridCol w:w="1361"/>
      </w:tblGrid>
      <w:tr>
        <w:tc>
          <w:tcPr>
            <w:tcW w:w="571" w:type="dxa"/>
            <w:vMerge w:val="restart"/>
          </w:tcPr>
          <w:p>
            <w:pPr>
              <w:pStyle w:val="0"/>
              <w:jc w:val="center"/>
            </w:pPr>
            <w:r>
              <w:rPr>
                <w:sz w:val="20"/>
              </w:rPr>
              <w:t xml:space="preserve">N п/п</w:t>
            </w:r>
          </w:p>
        </w:tc>
        <w:tc>
          <w:tcPr>
            <w:tcW w:w="2381" w:type="dxa"/>
            <w:vMerge w:val="restart"/>
          </w:tcPr>
          <w:p>
            <w:pPr>
              <w:pStyle w:val="0"/>
              <w:jc w:val="center"/>
            </w:pPr>
            <w:r>
              <w:rPr>
                <w:sz w:val="20"/>
              </w:rPr>
              <w:t xml:space="preserve">Наименование должности врачебного и среднего медицинского персонала, в том числе специалистов с высшим профессиональным (немедицинским) образованием</w:t>
            </w:r>
          </w:p>
        </w:tc>
        <w:tc>
          <w:tcPr>
            <w:gridSpan w:val="2"/>
            <w:tcW w:w="3288" w:type="dxa"/>
          </w:tcPr>
          <w:p>
            <w:pPr>
              <w:pStyle w:val="0"/>
              <w:jc w:val="center"/>
            </w:pPr>
            <w:r>
              <w:rPr>
                <w:sz w:val="20"/>
              </w:rPr>
              <w:t xml:space="preserve">Штатных единиц</w:t>
            </w:r>
          </w:p>
        </w:tc>
        <w:tc>
          <w:tcPr>
            <w:tcW w:w="1474" w:type="dxa"/>
            <w:vMerge w:val="restart"/>
          </w:tcPr>
          <w:p>
            <w:pPr>
              <w:pStyle w:val="0"/>
              <w:jc w:val="center"/>
            </w:pPr>
            <w:r>
              <w:rPr>
                <w:sz w:val="20"/>
              </w:rPr>
              <w:t xml:space="preserve">Физических лиц</w:t>
            </w:r>
          </w:p>
        </w:tc>
        <w:tc>
          <w:tcPr>
            <w:tcW w:w="1361" w:type="dxa"/>
            <w:vMerge w:val="restart"/>
          </w:tcPr>
          <w:p>
            <w:pPr>
              <w:pStyle w:val="0"/>
              <w:jc w:val="center"/>
            </w:pPr>
            <w:r>
              <w:rPr>
                <w:sz w:val="20"/>
              </w:rPr>
              <w:t xml:space="preserve">Укомплектованность</w:t>
            </w:r>
          </w:p>
        </w:tc>
      </w:tr>
      <w:tr>
        <w:tc>
          <w:tcPr>
            <w:vMerge w:val="continue"/>
          </w:tcPr>
          <w:p/>
        </w:tc>
        <w:tc>
          <w:tcPr>
            <w:vMerge w:val="continue"/>
          </w:tcPr>
          <w:p/>
        </w:tc>
        <w:tc>
          <w:tcPr>
            <w:tcW w:w="1587" w:type="dxa"/>
          </w:tcPr>
          <w:p>
            <w:pPr>
              <w:pStyle w:val="0"/>
              <w:jc w:val="center"/>
            </w:pPr>
            <w:r>
              <w:rPr>
                <w:sz w:val="20"/>
              </w:rPr>
              <w:t xml:space="preserve">утверждено</w:t>
            </w:r>
          </w:p>
        </w:tc>
        <w:tc>
          <w:tcPr>
            <w:tcW w:w="1701" w:type="dxa"/>
          </w:tcPr>
          <w:p>
            <w:pPr>
              <w:pStyle w:val="0"/>
              <w:jc w:val="center"/>
            </w:pPr>
            <w:r>
              <w:rPr>
                <w:sz w:val="20"/>
              </w:rPr>
              <w:t xml:space="preserve">занято с учетом совместительства, без учета находящихся в декретном отпуске (отпуске по уходу за ребенком)</w:t>
            </w:r>
          </w:p>
        </w:tc>
        <w:tc>
          <w:tcPr>
            <w:vMerge w:val="continue"/>
          </w:tcPr>
          <w:p/>
        </w:tc>
        <w:tc>
          <w:tcPr>
            <w:vMerge w:val="continue"/>
          </w:tcPr>
          <w:p/>
        </w:tc>
      </w:tr>
      <w:tr>
        <w:tc>
          <w:tcPr>
            <w:tcW w:w="571" w:type="dxa"/>
          </w:tcPr>
          <w:p>
            <w:pPr>
              <w:pStyle w:val="0"/>
              <w:jc w:val="both"/>
            </w:pPr>
            <w:r>
              <w:rPr>
                <w:sz w:val="20"/>
              </w:rPr>
              <w:t xml:space="preserve">1.</w:t>
            </w:r>
          </w:p>
        </w:tc>
        <w:tc>
          <w:tcPr>
            <w:tcW w:w="2381" w:type="dxa"/>
          </w:tcPr>
          <w:p>
            <w:pPr>
              <w:pStyle w:val="0"/>
              <w:jc w:val="both"/>
            </w:pPr>
            <w:r>
              <w:rPr>
                <w:sz w:val="20"/>
              </w:rPr>
              <w:t xml:space="preserve">Врач-генетик</w:t>
            </w:r>
          </w:p>
        </w:tc>
        <w:tc>
          <w:tcPr>
            <w:tcW w:w="1587" w:type="dxa"/>
          </w:tcPr>
          <w:p>
            <w:pPr>
              <w:pStyle w:val="0"/>
              <w:jc w:val="center"/>
            </w:pPr>
            <w:r>
              <w:rPr>
                <w:sz w:val="20"/>
              </w:rPr>
              <w:t xml:space="preserve">2,5</w:t>
            </w:r>
          </w:p>
        </w:tc>
        <w:tc>
          <w:tcPr>
            <w:tcW w:w="1701" w:type="dxa"/>
          </w:tcPr>
          <w:p>
            <w:pPr>
              <w:pStyle w:val="0"/>
              <w:jc w:val="center"/>
            </w:pPr>
            <w:r>
              <w:rPr>
                <w:sz w:val="20"/>
              </w:rPr>
              <w:t xml:space="preserve">-</w:t>
            </w:r>
          </w:p>
        </w:tc>
        <w:tc>
          <w:tcPr>
            <w:tcW w:w="1474" w:type="dxa"/>
          </w:tcPr>
          <w:p>
            <w:pPr>
              <w:pStyle w:val="0"/>
              <w:jc w:val="center"/>
            </w:pPr>
            <w:r>
              <w:rPr>
                <w:sz w:val="20"/>
              </w:rPr>
              <w:t xml:space="preserve">1</w:t>
            </w:r>
          </w:p>
        </w:tc>
        <w:tc>
          <w:tcPr>
            <w:tcW w:w="1361" w:type="dxa"/>
          </w:tcPr>
          <w:p>
            <w:pPr>
              <w:pStyle w:val="0"/>
              <w:jc w:val="center"/>
            </w:pPr>
            <w:r>
              <w:rPr>
                <w:sz w:val="20"/>
              </w:rPr>
              <w:t xml:space="preserve">50%</w:t>
            </w:r>
          </w:p>
        </w:tc>
      </w:tr>
      <w:tr>
        <w:tc>
          <w:tcPr>
            <w:tcW w:w="571" w:type="dxa"/>
          </w:tcPr>
          <w:p>
            <w:pPr>
              <w:pStyle w:val="0"/>
              <w:jc w:val="both"/>
            </w:pPr>
            <w:r>
              <w:rPr>
                <w:sz w:val="20"/>
              </w:rPr>
              <w:t xml:space="preserve">2.</w:t>
            </w:r>
          </w:p>
        </w:tc>
        <w:tc>
          <w:tcPr>
            <w:tcW w:w="2381" w:type="dxa"/>
          </w:tcPr>
          <w:p>
            <w:pPr>
              <w:pStyle w:val="0"/>
              <w:jc w:val="both"/>
            </w:pPr>
            <w:r>
              <w:rPr>
                <w:sz w:val="20"/>
              </w:rPr>
              <w:t xml:space="preserve">Врач - лабораторный генетик</w:t>
            </w:r>
          </w:p>
        </w:tc>
        <w:tc>
          <w:tcPr>
            <w:tcW w:w="1587" w:type="dxa"/>
          </w:tcPr>
          <w:p>
            <w:pPr>
              <w:pStyle w:val="0"/>
              <w:jc w:val="center"/>
            </w:pPr>
            <w:r>
              <w:rPr>
                <w:sz w:val="20"/>
              </w:rPr>
              <w:t xml:space="preserve">1,25</w:t>
            </w:r>
          </w:p>
        </w:tc>
        <w:tc>
          <w:tcPr>
            <w:tcW w:w="1701" w:type="dxa"/>
          </w:tcPr>
          <w:p>
            <w:pPr>
              <w:pStyle w:val="0"/>
              <w:jc w:val="center"/>
            </w:pPr>
            <w:r>
              <w:rPr>
                <w:sz w:val="20"/>
              </w:rPr>
              <w:t xml:space="preserve">-</w:t>
            </w:r>
          </w:p>
        </w:tc>
        <w:tc>
          <w:tcPr>
            <w:tcW w:w="1474" w:type="dxa"/>
          </w:tcPr>
          <w:p>
            <w:pPr>
              <w:pStyle w:val="0"/>
              <w:jc w:val="center"/>
            </w:pPr>
            <w:r>
              <w:rPr>
                <w:sz w:val="20"/>
              </w:rPr>
              <w:t xml:space="preserve">1</w:t>
            </w:r>
          </w:p>
        </w:tc>
        <w:tc>
          <w:tcPr>
            <w:tcW w:w="1361" w:type="dxa"/>
          </w:tcPr>
          <w:p>
            <w:pPr>
              <w:pStyle w:val="0"/>
              <w:jc w:val="center"/>
            </w:pPr>
            <w:r>
              <w:rPr>
                <w:sz w:val="20"/>
              </w:rPr>
              <w:t xml:space="preserve">80%</w:t>
            </w:r>
          </w:p>
        </w:tc>
      </w:tr>
      <w:tr>
        <w:tc>
          <w:tcPr>
            <w:tcW w:w="571" w:type="dxa"/>
          </w:tcPr>
          <w:p>
            <w:pPr>
              <w:pStyle w:val="0"/>
              <w:jc w:val="both"/>
            </w:pPr>
            <w:r>
              <w:rPr>
                <w:sz w:val="20"/>
              </w:rPr>
              <w:t xml:space="preserve">3.</w:t>
            </w:r>
          </w:p>
        </w:tc>
        <w:tc>
          <w:tcPr>
            <w:tcW w:w="2381" w:type="dxa"/>
          </w:tcPr>
          <w:p>
            <w:pPr>
              <w:pStyle w:val="0"/>
              <w:jc w:val="both"/>
            </w:pPr>
            <w:r>
              <w:rPr>
                <w:sz w:val="20"/>
              </w:rPr>
              <w:t xml:space="preserve">Врач клинической лабораторной диагностики</w:t>
            </w:r>
          </w:p>
        </w:tc>
        <w:tc>
          <w:tcPr>
            <w:tcW w:w="1587" w:type="dxa"/>
          </w:tcPr>
          <w:p>
            <w:pPr>
              <w:pStyle w:val="0"/>
              <w:jc w:val="center"/>
            </w:pPr>
            <w:r>
              <w:rPr>
                <w:sz w:val="20"/>
              </w:rPr>
              <w:t xml:space="preserve">-</w:t>
            </w:r>
          </w:p>
        </w:tc>
        <w:tc>
          <w:tcPr>
            <w:tcW w:w="1701" w:type="dxa"/>
          </w:tcPr>
          <w:p>
            <w:pPr>
              <w:pStyle w:val="0"/>
              <w:jc w:val="center"/>
            </w:pPr>
            <w:r>
              <w:rPr>
                <w:sz w:val="20"/>
              </w:rPr>
              <w:t xml:space="preserve">-</w:t>
            </w:r>
          </w:p>
        </w:tc>
        <w:tc>
          <w:tcPr>
            <w:tcW w:w="1474" w:type="dxa"/>
          </w:tcPr>
          <w:p>
            <w:pPr>
              <w:pStyle w:val="0"/>
              <w:jc w:val="center"/>
            </w:pPr>
            <w:r>
              <w:rPr>
                <w:sz w:val="20"/>
              </w:rPr>
              <w:t xml:space="preserve">-</w:t>
            </w:r>
          </w:p>
        </w:tc>
        <w:tc>
          <w:tcPr>
            <w:tcW w:w="1361" w:type="dxa"/>
          </w:tcPr>
          <w:p>
            <w:pPr>
              <w:pStyle w:val="0"/>
              <w:jc w:val="center"/>
            </w:pPr>
            <w:r>
              <w:rPr>
                <w:sz w:val="20"/>
              </w:rPr>
              <w:t xml:space="preserve">-</w:t>
            </w:r>
          </w:p>
        </w:tc>
      </w:tr>
      <w:tr>
        <w:tc>
          <w:tcPr>
            <w:tcW w:w="571" w:type="dxa"/>
          </w:tcPr>
          <w:p>
            <w:pPr>
              <w:pStyle w:val="0"/>
              <w:jc w:val="both"/>
            </w:pPr>
            <w:r>
              <w:rPr>
                <w:sz w:val="20"/>
              </w:rPr>
              <w:t xml:space="preserve">4.</w:t>
            </w:r>
          </w:p>
        </w:tc>
        <w:tc>
          <w:tcPr>
            <w:tcW w:w="2381" w:type="dxa"/>
          </w:tcPr>
          <w:p>
            <w:pPr>
              <w:pStyle w:val="0"/>
              <w:jc w:val="both"/>
            </w:pPr>
            <w:r>
              <w:rPr>
                <w:sz w:val="20"/>
              </w:rPr>
              <w:t xml:space="preserve">Врач-диетолог</w:t>
            </w:r>
          </w:p>
        </w:tc>
        <w:tc>
          <w:tcPr>
            <w:tcW w:w="1587" w:type="dxa"/>
          </w:tcPr>
          <w:p>
            <w:pPr>
              <w:pStyle w:val="0"/>
              <w:jc w:val="center"/>
            </w:pPr>
            <w:r>
              <w:rPr>
                <w:sz w:val="20"/>
              </w:rPr>
              <w:t xml:space="preserve">-</w:t>
            </w:r>
          </w:p>
        </w:tc>
        <w:tc>
          <w:tcPr>
            <w:tcW w:w="1701" w:type="dxa"/>
          </w:tcPr>
          <w:p>
            <w:pPr>
              <w:pStyle w:val="0"/>
              <w:jc w:val="center"/>
            </w:pPr>
            <w:r>
              <w:rPr>
                <w:sz w:val="20"/>
              </w:rPr>
              <w:t xml:space="preserve">-</w:t>
            </w:r>
          </w:p>
        </w:tc>
        <w:tc>
          <w:tcPr>
            <w:tcW w:w="1474" w:type="dxa"/>
          </w:tcPr>
          <w:p>
            <w:pPr>
              <w:pStyle w:val="0"/>
              <w:jc w:val="center"/>
            </w:pPr>
            <w:r>
              <w:rPr>
                <w:sz w:val="20"/>
              </w:rPr>
              <w:t xml:space="preserve">-</w:t>
            </w:r>
          </w:p>
        </w:tc>
        <w:tc>
          <w:tcPr>
            <w:tcW w:w="1361" w:type="dxa"/>
          </w:tcPr>
          <w:p>
            <w:pPr>
              <w:pStyle w:val="0"/>
              <w:jc w:val="center"/>
            </w:pPr>
            <w:r>
              <w:rPr>
                <w:sz w:val="20"/>
              </w:rPr>
              <w:t xml:space="preserve">-</w:t>
            </w:r>
          </w:p>
        </w:tc>
      </w:tr>
      <w:tr>
        <w:tc>
          <w:tcPr>
            <w:tcW w:w="571" w:type="dxa"/>
          </w:tcPr>
          <w:p>
            <w:pPr>
              <w:pStyle w:val="0"/>
              <w:jc w:val="both"/>
            </w:pPr>
            <w:r>
              <w:rPr>
                <w:sz w:val="20"/>
              </w:rPr>
              <w:t xml:space="preserve">5.</w:t>
            </w:r>
          </w:p>
        </w:tc>
        <w:tc>
          <w:tcPr>
            <w:tcW w:w="2381" w:type="dxa"/>
          </w:tcPr>
          <w:p>
            <w:pPr>
              <w:pStyle w:val="0"/>
              <w:jc w:val="both"/>
            </w:pPr>
            <w:r>
              <w:rPr>
                <w:sz w:val="20"/>
              </w:rPr>
              <w:t xml:space="preserve">Врач-эндокринолог (врач - детский эндокринолог)</w:t>
            </w:r>
          </w:p>
        </w:tc>
        <w:tc>
          <w:tcPr>
            <w:tcW w:w="1587" w:type="dxa"/>
          </w:tcPr>
          <w:p>
            <w:pPr>
              <w:pStyle w:val="0"/>
              <w:jc w:val="center"/>
            </w:pPr>
            <w:r>
              <w:rPr>
                <w:sz w:val="20"/>
              </w:rPr>
              <w:t xml:space="preserve">-</w:t>
            </w:r>
          </w:p>
        </w:tc>
        <w:tc>
          <w:tcPr>
            <w:tcW w:w="1701" w:type="dxa"/>
          </w:tcPr>
          <w:p>
            <w:pPr>
              <w:pStyle w:val="0"/>
              <w:jc w:val="center"/>
            </w:pPr>
            <w:r>
              <w:rPr>
                <w:sz w:val="20"/>
              </w:rPr>
              <w:t xml:space="preserve">-</w:t>
            </w:r>
          </w:p>
        </w:tc>
        <w:tc>
          <w:tcPr>
            <w:tcW w:w="1474" w:type="dxa"/>
          </w:tcPr>
          <w:p>
            <w:pPr>
              <w:pStyle w:val="0"/>
              <w:jc w:val="center"/>
            </w:pPr>
            <w:r>
              <w:rPr>
                <w:sz w:val="20"/>
              </w:rPr>
              <w:t xml:space="preserve">-</w:t>
            </w:r>
          </w:p>
        </w:tc>
        <w:tc>
          <w:tcPr>
            <w:tcW w:w="1361" w:type="dxa"/>
          </w:tcPr>
          <w:p>
            <w:pPr>
              <w:pStyle w:val="0"/>
              <w:jc w:val="center"/>
            </w:pPr>
            <w:r>
              <w:rPr>
                <w:sz w:val="20"/>
              </w:rPr>
              <w:t xml:space="preserve">-</w:t>
            </w:r>
          </w:p>
        </w:tc>
      </w:tr>
      <w:tr>
        <w:tc>
          <w:tcPr>
            <w:tcW w:w="571" w:type="dxa"/>
          </w:tcPr>
          <w:p>
            <w:pPr>
              <w:pStyle w:val="0"/>
              <w:jc w:val="both"/>
            </w:pPr>
            <w:r>
              <w:rPr>
                <w:sz w:val="20"/>
              </w:rPr>
              <w:t xml:space="preserve">6.</w:t>
            </w:r>
          </w:p>
        </w:tc>
        <w:tc>
          <w:tcPr>
            <w:tcW w:w="2381" w:type="dxa"/>
          </w:tcPr>
          <w:p>
            <w:pPr>
              <w:pStyle w:val="0"/>
              <w:jc w:val="both"/>
            </w:pPr>
            <w:r>
              <w:rPr>
                <w:sz w:val="20"/>
              </w:rPr>
              <w:t xml:space="preserve">Врач-невролог</w:t>
            </w:r>
          </w:p>
        </w:tc>
        <w:tc>
          <w:tcPr>
            <w:tcW w:w="1587" w:type="dxa"/>
          </w:tcPr>
          <w:p>
            <w:pPr>
              <w:pStyle w:val="0"/>
              <w:jc w:val="center"/>
            </w:pPr>
            <w:r>
              <w:rPr>
                <w:sz w:val="20"/>
              </w:rPr>
              <w:t xml:space="preserve">-</w:t>
            </w:r>
          </w:p>
        </w:tc>
        <w:tc>
          <w:tcPr>
            <w:tcW w:w="1701" w:type="dxa"/>
          </w:tcPr>
          <w:p>
            <w:pPr>
              <w:pStyle w:val="0"/>
              <w:jc w:val="center"/>
            </w:pPr>
            <w:r>
              <w:rPr>
                <w:sz w:val="20"/>
              </w:rPr>
              <w:t xml:space="preserve">-</w:t>
            </w:r>
          </w:p>
        </w:tc>
        <w:tc>
          <w:tcPr>
            <w:tcW w:w="1474" w:type="dxa"/>
          </w:tcPr>
          <w:p>
            <w:pPr>
              <w:pStyle w:val="0"/>
              <w:jc w:val="center"/>
            </w:pPr>
            <w:r>
              <w:rPr>
                <w:sz w:val="20"/>
              </w:rPr>
              <w:t xml:space="preserve">-</w:t>
            </w:r>
          </w:p>
        </w:tc>
        <w:tc>
          <w:tcPr>
            <w:tcW w:w="1361" w:type="dxa"/>
          </w:tcPr>
          <w:p>
            <w:pPr>
              <w:pStyle w:val="0"/>
              <w:jc w:val="center"/>
            </w:pPr>
            <w:r>
              <w:rPr>
                <w:sz w:val="20"/>
              </w:rPr>
              <w:t xml:space="preserve">-</w:t>
            </w:r>
          </w:p>
        </w:tc>
      </w:tr>
      <w:tr>
        <w:tc>
          <w:tcPr>
            <w:tcW w:w="571" w:type="dxa"/>
          </w:tcPr>
          <w:p>
            <w:pPr>
              <w:pStyle w:val="0"/>
              <w:jc w:val="both"/>
            </w:pPr>
            <w:r>
              <w:rPr>
                <w:sz w:val="20"/>
              </w:rPr>
              <w:t xml:space="preserve">7.</w:t>
            </w:r>
          </w:p>
        </w:tc>
        <w:tc>
          <w:tcPr>
            <w:tcW w:w="2381" w:type="dxa"/>
          </w:tcPr>
          <w:p>
            <w:pPr>
              <w:pStyle w:val="0"/>
              <w:jc w:val="both"/>
            </w:pPr>
            <w:r>
              <w:rPr>
                <w:sz w:val="20"/>
              </w:rPr>
              <w:t xml:space="preserve">Медицинский психолог (психолог)</w:t>
            </w:r>
          </w:p>
        </w:tc>
        <w:tc>
          <w:tcPr>
            <w:tcW w:w="1587" w:type="dxa"/>
          </w:tcPr>
          <w:p>
            <w:pPr>
              <w:pStyle w:val="0"/>
              <w:jc w:val="center"/>
            </w:pPr>
            <w:r>
              <w:rPr>
                <w:sz w:val="20"/>
              </w:rPr>
              <w:t xml:space="preserve">-</w:t>
            </w:r>
          </w:p>
        </w:tc>
        <w:tc>
          <w:tcPr>
            <w:tcW w:w="1701" w:type="dxa"/>
          </w:tcPr>
          <w:p>
            <w:pPr>
              <w:pStyle w:val="0"/>
              <w:jc w:val="center"/>
            </w:pPr>
            <w:r>
              <w:rPr>
                <w:sz w:val="20"/>
              </w:rPr>
              <w:t xml:space="preserve">-</w:t>
            </w:r>
          </w:p>
        </w:tc>
        <w:tc>
          <w:tcPr>
            <w:tcW w:w="1474" w:type="dxa"/>
          </w:tcPr>
          <w:p>
            <w:pPr>
              <w:pStyle w:val="0"/>
              <w:jc w:val="center"/>
            </w:pPr>
            <w:r>
              <w:rPr>
                <w:sz w:val="20"/>
              </w:rPr>
            </w:r>
          </w:p>
        </w:tc>
        <w:tc>
          <w:tcPr>
            <w:tcW w:w="1361" w:type="dxa"/>
          </w:tcPr>
          <w:p>
            <w:pPr>
              <w:pStyle w:val="0"/>
              <w:jc w:val="center"/>
            </w:pPr>
            <w:r>
              <w:rPr>
                <w:sz w:val="20"/>
              </w:rPr>
              <w:t xml:space="preserve">-</w:t>
            </w:r>
          </w:p>
        </w:tc>
      </w:tr>
      <w:tr>
        <w:tc>
          <w:tcPr>
            <w:tcW w:w="571" w:type="dxa"/>
          </w:tcPr>
          <w:p>
            <w:pPr>
              <w:pStyle w:val="0"/>
              <w:jc w:val="both"/>
            </w:pPr>
            <w:r>
              <w:rPr>
                <w:sz w:val="20"/>
              </w:rPr>
              <w:t xml:space="preserve">8.</w:t>
            </w:r>
          </w:p>
        </w:tc>
        <w:tc>
          <w:tcPr>
            <w:tcW w:w="2381" w:type="dxa"/>
          </w:tcPr>
          <w:p>
            <w:pPr>
              <w:pStyle w:val="0"/>
              <w:jc w:val="both"/>
            </w:pPr>
            <w:r>
              <w:rPr>
                <w:sz w:val="20"/>
              </w:rPr>
              <w:t xml:space="preserve">Врач ультразвуковой диагностики</w:t>
            </w:r>
          </w:p>
        </w:tc>
        <w:tc>
          <w:tcPr>
            <w:tcW w:w="1587" w:type="dxa"/>
          </w:tcPr>
          <w:p>
            <w:pPr>
              <w:pStyle w:val="0"/>
              <w:jc w:val="center"/>
            </w:pPr>
            <w:r>
              <w:rPr>
                <w:sz w:val="20"/>
              </w:rPr>
              <w:t xml:space="preserve">0,25</w:t>
            </w:r>
          </w:p>
        </w:tc>
        <w:tc>
          <w:tcPr>
            <w:tcW w:w="1701" w:type="dxa"/>
          </w:tcPr>
          <w:p>
            <w:pPr>
              <w:pStyle w:val="0"/>
              <w:jc w:val="center"/>
            </w:pPr>
            <w:r>
              <w:rPr>
                <w:sz w:val="20"/>
              </w:rPr>
              <w:t xml:space="preserve">-</w:t>
            </w:r>
          </w:p>
        </w:tc>
        <w:tc>
          <w:tcPr>
            <w:tcW w:w="1474" w:type="dxa"/>
          </w:tcPr>
          <w:p>
            <w:pPr>
              <w:pStyle w:val="0"/>
              <w:jc w:val="center"/>
            </w:pPr>
            <w:r>
              <w:rPr>
                <w:sz w:val="20"/>
              </w:rPr>
              <w:t xml:space="preserve">1</w:t>
            </w:r>
          </w:p>
        </w:tc>
        <w:tc>
          <w:tcPr>
            <w:tcW w:w="1361" w:type="dxa"/>
          </w:tcPr>
          <w:p>
            <w:pPr>
              <w:pStyle w:val="0"/>
              <w:jc w:val="center"/>
            </w:pPr>
            <w:r>
              <w:rPr>
                <w:sz w:val="20"/>
              </w:rPr>
              <w:t xml:space="preserve">100%</w:t>
            </w:r>
          </w:p>
        </w:tc>
      </w:tr>
      <w:tr>
        <w:tc>
          <w:tcPr>
            <w:tcW w:w="571" w:type="dxa"/>
          </w:tcPr>
          <w:p>
            <w:pPr>
              <w:pStyle w:val="0"/>
              <w:jc w:val="both"/>
            </w:pPr>
            <w:r>
              <w:rPr>
                <w:sz w:val="20"/>
              </w:rPr>
              <w:t xml:space="preserve">9.</w:t>
            </w:r>
          </w:p>
        </w:tc>
        <w:tc>
          <w:tcPr>
            <w:tcW w:w="2381" w:type="dxa"/>
          </w:tcPr>
          <w:p>
            <w:pPr>
              <w:pStyle w:val="0"/>
              <w:jc w:val="both"/>
            </w:pPr>
            <w:r>
              <w:rPr>
                <w:sz w:val="20"/>
              </w:rPr>
              <w:t xml:space="preserve">Врач - акушер-гинеколог</w:t>
            </w:r>
          </w:p>
        </w:tc>
        <w:tc>
          <w:tcPr>
            <w:tcW w:w="1587" w:type="dxa"/>
          </w:tcPr>
          <w:p>
            <w:pPr>
              <w:pStyle w:val="0"/>
              <w:jc w:val="center"/>
            </w:pPr>
            <w:r>
              <w:rPr>
                <w:sz w:val="20"/>
              </w:rPr>
              <w:t xml:space="preserve">-</w:t>
            </w:r>
          </w:p>
        </w:tc>
        <w:tc>
          <w:tcPr>
            <w:tcW w:w="1701" w:type="dxa"/>
          </w:tcPr>
          <w:p>
            <w:pPr>
              <w:pStyle w:val="0"/>
              <w:jc w:val="center"/>
            </w:pPr>
            <w:r>
              <w:rPr>
                <w:sz w:val="20"/>
              </w:rPr>
              <w:t xml:space="preserve">-</w:t>
            </w:r>
          </w:p>
        </w:tc>
        <w:tc>
          <w:tcPr>
            <w:tcW w:w="1474" w:type="dxa"/>
          </w:tcPr>
          <w:p>
            <w:pPr>
              <w:pStyle w:val="0"/>
              <w:jc w:val="center"/>
            </w:pPr>
            <w:r>
              <w:rPr>
                <w:sz w:val="20"/>
              </w:rPr>
              <w:t xml:space="preserve">-</w:t>
            </w:r>
          </w:p>
        </w:tc>
        <w:tc>
          <w:tcPr>
            <w:tcW w:w="1361" w:type="dxa"/>
          </w:tcPr>
          <w:p>
            <w:pPr>
              <w:pStyle w:val="0"/>
              <w:jc w:val="center"/>
            </w:pPr>
            <w:r>
              <w:rPr>
                <w:sz w:val="20"/>
              </w:rPr>
              <w:t xml:space="preserve">-</w:t>
            </w:r>
          </w:p>
        </w:tc>
      </w:tr>
      <w:tr>
        <w:tc>
          <w:tcPr>
            <w:tcW w:w="571" w:type="dxa"/>
          </w:tcPr>
          <w:p>
            <w:pPr>
              <w:pStyle w:val="0"/>
              <w:jc w:val="both"/>
            </w:pPr>
            <w:r>
              <w:rPr>
                <w:sz w:val="20"/>
              </w:rPr>
              <w:t xml:space="preserve">10.</w:t>
            </w:r>
          </w:p>
        </w:tc>
        <w:tc>
          <w:tcPr>
            <w:tcW w:w="2381" w:type="dxa"/>
          </w:tcPr>
          <w:p>
            <w:pPr>
              <w:pStyle w:val="0"/>
              <w:jc w:val="both"/>
            </w:pPr>
            <w:r>
              <w:rPr>
                <w:sz w:val="20"/>
              </w:rPr>
              <w:t xml:space="preserve">Биолог</w:t>
            </w:r>
          </w:p>
        </w:tc>
        <w:tc>
          <w:tcPr>
            <w:tcW w:w="1587" w:type="dxa"/>
          </w:tcPr>
          <w:p>
            <w:pPr>
              <w:pStyle w:val="0"/>
              <w:jc w:val="center"/>
            </w:pPr>
            <w:r>
              <w:rPr>
                <w:sz w:val="20"/>
              </w:rPr>
              <w:t xml:space="preserve">2</w:t>
            </w:r>
          </w:p>
        </w:tc>
        <w:tc>
          <w:tcPr>
            <w:tcW w:w="1701" w:type="dxa"/>
          </w:tcPr>
          <w:p>
            <w:pPr>
              <w:pStyle w:val="0"/>
              <w:jc w:val="center"/>
            </w:pPr>
            <w:r>
              <w:rPr>
                <w:sz w:val="20"/>
              </w:rPr>
              <w:t xml:space="preserve">-</w:t>
            </w:r>
          </w:p>
        </w:tc>
        <w:tc>
          <w:tcPr>
            <w:tcW w:w="1474" w:type="dxa"/>
          </w:tcPr>
          <w:p>
            <w:pPr>
              <w:pStyle w:val="0"/>
              <w:jc w:val="center"/>
            </w:pPr>
            <w:r>
              <w:rPr>
                <w:sz w:val="20"/>
              </w:rPr>
              <w:t xml:space="preserve">2</w:t>
            </w:r>
          </w:p>
        </w:tc>
        <w:tc>
          <w:tcPr>
            <w:tcW w:w="1361" w:type="dxa"/>
          </w:tcPr>
          <w:p>
            <w:pPr>
              <w:pStyle w:val="0"/>
              <w:jc w:val="center"/>
            </w:pPr>
            <w:r>
              <w:rPr>
                <w:sz w:val="20"/>
              </w:rPr>
              <w:t xml:space="preserve">100%</w:t>
            </w:r>
          </w:p>
        </w:tc>
      </w:tr>
      <w:tr>
        <w:tc>
          <w:tcPr>
            <w:tcW w:w="571" w:type="dxa"/>
          </w:tcPr>
          <w:p>
            <w:pPr>
              <w:pStyle w:val="0"/>
              <w:jc w:val="both"/>
            </w:pPr>
            <w:r>
              <w:rPr>
                <w:sz w:val="20"/>
              </w:rPr>
              <w:t xml:space="preserve">11.</w:t>
            </w:r>
          </w:p>
        </w:tc>
        <w:tc>
          <w:tcPr>
            <w:tcW w:w="2381" w:type="dxa"/>
          </w:tcPr>
          <w:p>
            <w:pPr>
              <w:pStyle w:val="0"/>
              <w:jc w:val="both"/>
            </w:pPr>
            <w:r>
              <w:rPr>
                <w:sz w:val="20"/>
              </w:rPr>
              <w:t xml:space="preserve">Химик-эксперт медицинской лаборатории</w:t>
            </w:r>
          </w:p>
        </w:tc>
        <w:tc>
          <w:tcPr>
            <w:tcW w:w="1587" w:type="dxa"/>
          </w:tcPr>
          <w:p>
            <w:pPr>
              <w:pStyle w:val="0"/>
              <w:jc w:val="center"/>
            </w:pPr>
            <w:r>
              <w:rPr>
                <w:sz w:val="20"/>
              </w:rPr>
              <w:t xml:space="preserve">-</w:t>
            </w:r>
          </w:p>
        </w:tc>
        <w:tc>
          <w:tcPr>
            <w:tcW w:w="1701" w:type="dxa"/>
          </w:tcPr>
          <w:p>
            <w:pPr>
              <w:pStyle w:val="0"/>
              <w:jc w:val="center"/>
            </w:pPr>
            <w:r>
              <w:rPr>
                <w:sz w:val="20"/>
              </w:rPr>
              <w:t xml:space="preserve">-</w:t>
            </w:r>
          </w:p>
        </w:tc>
        <w:tc>
          <w:tcPr>
            <w:tcW w:w="1474" w:type="dxa"/>
          </w:tcPr>
          <w:p>
            <w:pPr>
              <w:pStyle w:val="0"/>
              <w:jc w:val="center"/>
            </w:pPr>
            <w:r>
              <w:rPr>
                <w:sz w:val="20"/>
              </w:rPr>
              <w:t xml:space="preserve">-</w:t>
            </w:r>
          </w:p>
        </w:tc>
        <w:tc>
          <w:tcPr>
            <w:tcW w:w="1361" w:type="dxa"/>
          </w:tcPr>
          <w:p>
            <w:pPr>
              <w:pStyle w:val="0"/>
              <w:jc w:val="center"/>
            </w:pPr>
            <w:r>
              <w:rPr>
                <w:sz w:val="20"/>
              </w:rPr>
              <w:t xml:space="preserve">-</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4</w:t>
      </w:r>
    </w:p>
    <w:p>
      <w:pPr>
        <w:pStyle w:val="0"/>
        <w:jc w:val="right"/>
      </w:pPr>
      <w:r>
        <w:rPr>
          <w:sz w:val="20"/>
        </w:rPr>
        <w:t xml:space="preserve">к региональной программе</w:t>
      </w:r>
    </w:p>
    <w:p>
      <w:pPr>
        <w:pStyle w:val="0"/>
        <w:jc w:val="right"/>
      </w:pPr>
      <w:r>
        <w:rPr>
          <w:sz w:val="20"/>
        </w:rPr>
        <w:t xml:space="preserve">"Обеспечение расширенного</w:t>
      </w:r>
    </w:p>
    <w:p>
      <w:pPr>
        <w:pStyle w:val="0"/>
        <w:jc w:val="right"/>
      </w:pPr>
      <w:r>
        <w:rPr>
          <w:sz w:val="20"/>
        </w:rPr>
        <w:t xml:space="preserve">неонатального скрининга"</w:t>
      </w:r>
    </w:p>
    <w:p>
      <w:pPr>
        <w:pStyle w:val="0"/>
      </w:pPr>
      <w:r>
        <w:rPr>
          <w:sz w:val="20"/>
        </w:rPr>
      </w:r>
    </w:p>
    <w:p>
      <w:pPr>
        <w:pStyle w:val="2"/>
        <w:jc w:val="center"/>
      </w:pPr>
      <w:r>
        <w:rPr>
          <w:sz w:val="20"/>
        </w:rPr>
        <w:t xml:space="preserve">Паспорт МГК (подразделения медицинской генетики)</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19"/>
        <w:gridCol w:w="1928"/>
        <w:gridCol w:w="2324"/>
      </w:tblGrid>
      <w:tr>
        <w:tc>
          <w:tcPr>
            <w:tcW w:w="4819" w:type="dxa"/>
          </w:tcPr>
          <w:p>
            <w:pPr>
              <w:pStyle w:val="0"/>
              <w:jc w:val="center"/>
            </w:pPr>
            <w:r>
              <w:rPr>
                <w:sz w:val="20"/>
              </w:rPr>
              <w:t xml:space="preserve">Общая информация</w:t>
            </w:r>
          </w:p>
        </w:tc>
        <w:tc>
          <w:tcPr>
            <w:gridSpan w:val="2"/>
            <w:tcW w:w="4252" w:type="dxa"/>
          </w:tcPr>
          <w:p>
            <w:pPr>
              <w:pStyle w:val="0"/>
              <w:jc w:val="center"/>
            </w:pPr>
            <w:r>
              <w:rPr>
                <w:sz w:val="20"/>
              </w:rPr>
              <w:t xml:space="preserve">Данные медицинской организации</w:t>
            </w:r>
          </w:p>
        </w:tc>
      </w:tr>
      <w:tr>
        <w:tc>
          <w:tcPr>
            <w:tcW w:w="4819" w:type="dxa"/>
          </w:tcPr>
          <w:p>
            <w:pPr>
              <w:pStyle w:val="0"/>
              <w:jc w:val="both"/>
            </w:pPr>
            <w:r>
              <w:rPr>
                <w:sz w:val="20"/>
              </w:rPr>
              <w:t xml:space="preserve">Наименование</w:t>
            </w:r>
          </w:p>
        </w:tc>
        <w:tc>
          <w:tcPr>
            <w:gridSpan w:val="2"/>
            <w:tcW w:w="4252" w:type="dxa"/>
          </w:tcPr>
          <w:p>
            <w:pPr>
              <w:pStyle w:val="0"/>
              <w:jc w:val="both"/>
            </w:pPr>
            <w:r>
              <w:rPr>
                <w:sz w:val="20"/>
              </w:rPr>
              <w:t xml:space="preserve">МГК</w:t>
            </w:r>
          </w:p>
        </w:tc>
      </w:tr>
      <w:tr>
        <w:tc>
          <w:tcPr>
            <w:tcW w:w="4819" w:type="dxa"/>
          </w:tcPr>
          <w:p>
            <w:pPr>
              <w:pStyle w:val="0"/>
              <w:jc w:val="both"/>
            </w:pPr>
            <w:r>
              <w:rPr>
                <w:sz w:val="20"/>
              </w:rPr>
              <w:t xml:space="preserve">Располагается на базе</w:t>
            </w:r>
          </w:p>
        </w:tc>
        <w:tc>
          <w:tcPr>
            <w:gridSpan w:val="2"/>
            <w:tcW w:w="4252" w:type="dxa"/>
          </w:tcPr>
          <w:p>
            <w:pPr>
              <w:pStyle w:val="0"/>
              <w:jc w:val="both"/>
            </w:pPr>
            <w:r>
              <w:rPr>
                <w:sz w:val="20"/>
              </w:rPr>
              <w:t xml:space="preserve">ГБЗУС "Городская больница N 5 - "Центр охраны здоровья матери и ребенка"</w:t>
            </w:r>
          </w:p>
        </w:tc>
      </w:tr>
      <w:tr>
        <w:tc>
          <w:tcPr>
            <w:tcW w:w="4819" w:type="dxa"/>
          </w:tcPr>
          <w:p>
            <w:pPr>
              <w:pStyle w:val="0"/>
              <w:jc w:val="both"/>
            </w:pPr>
            <w:r>
              <w:rPr>
                <w:sz w:val="20"/>
              </w:rPr>
              <w:t xml:space="preserve">Руководитель</w:t>
            </w:r>
          </w:p>
        </w:tc>
        <w:tc>
          <w:tcPr>
            <w:gridSpan w:val="2"/>
            <w:tcW w:w="4252" w:type="dxa"/>
          </w:tcPr>
          <w:p>
            <w:pPr>
              <w:pStyle w:val="0"/>
              <w:jc w:val="both"/>
            </w:pPr>
            <w:r>
              <w:rPr>
                <w:sz w:val="20"/>
              </w:rPr>
              <w:t xml:space="preserve">Коджаева Галина Гавриловна</w:t>
            </w:r>
          </w:p>
        </w:tc>
      </w:tr>
      <w:tr>
        <w:tc>
          <w:tcPr>
            <w:tcW w:w="4819" w:type="dxa"/>
          </w:tcPr>
          <w:p>
            <w:pPr>
              <w:pStyle w:val="0"/>
              <w:jc w:val="both"/>
            </w:pPr>
            <w:r>
              <w:rPr>
                <w:sz w:val="20"/>
              </w:rPr>
              <w:t xml:space="preserve">Адрес</w:t>
            </w:r>
          </w:p>
        </w:tc>
        <w:tc>
          <w:tcPr>
            <w:gridSpan w:val="2"/>
            <w:tcW w:w="4252" w:type="dxa"/>
          </w:tcPr>
          <w:p>
            <w:pPr>
              <w:pStyle w:val="0"/>
              <w:jc w:val="both"/>
            </w:pPr>
            <w:r>
              <w:rPr>
                <w:sz w:val="20"/>
              </w:rPr>
              <w:t xml:space="preserve">пр-т Ген. Острякова, д. 211а</w:t>
            </w:r>
          </w:p>
        </w:tc>
      </w:tr>
      <w:tr>
        <w:tc>
          <w:tcPr>
            <w:tcW w:w="4819" w:type="dxa"/>
          </w:tcPr>
          <w:p>
            <w:pPr>
              <w:pStyle w:val="0"/>
              <w:jc w:val="both"/>
            </w:pPr>
            <w:r>
              <w:rPr>
                <w:sz w:val="20"/>
              </w:rPr>
              <w:t xml:space="preserve">Телефон</w:t>
            </w:r>
          </w:p>
        </w:tc>
        <w:tc>
          <w:tcPr>
            <w:gridSpan w:val="2"/>
            <w:tcW w:w="4252" w:type="dxa"/>
          </w:tcPr>
          <w:p>
            <w:pPr>
              <w:pStyle w:val="0"/>
              <w:jc w:val="both"/>
            </w:pPr>
            <w:r>
              <w:rPr>
                <w:sz w:val="20"/>
              </w:rPr>
              <w:t xml:space="preserve">8692658809</w:t>
            </w:r>
          </w:p>
        </w:tc>
      </w:tr>
      <w:tr>
        <w:tc>
          <w:tcPr>
            <w:tcW w:w="4819" w:type="dxa"/>
          </w:tcPr>
          <w:p>
            <w:pPr>
              <w:pStyle w:val="0"/>
              <w:jc w:val="both"/>
            </w:pPr>
            <w:r>
              <w:rPr>
                <w:sz w:val="20"/>
              </w:rPr>
              <w:t xml:space="preserve">Электронная почта</w:t>
            </w:r>
          </w:p>
        </w:tc>
        <w:tc>
          <w:tcPr>
            <w:gridSpan w:val="2"/>
            <w:tcW w:w="4252" w:type="dxa"/>
          </w:tcPr>
          <w:p>
            <w:pPr>
              <w:pStyle w:val="0"/>
              <w:jc w:val="both"/>
            </w:pPr>
            <w:r>
              <w:rPr>
                <w:sz w:val="20"/>
              </w:rPr>
              <w:t xml:space="preserve">Sevmedgen2016@yandex.ru</w:t>
            </w:r>
          </w:p>
        </w:tc>
      </w:tr>
      <w:tr>
        <w:tc>
          <w:tcPr>
            <w:tcW w:w="4819" w:type="dxa"/>
          </w:tcPr>
          <w:p>
            <w:pPr>
              <w:pStyle w:val="0"/>
              <w:jc w:val="both"/>
            </w:pPr>
            <w:r>
              <w:rPr>
                <w:sz w:val="20"/>
              </w:rPr>
              <w:t xml:space="preserve">Количество сотрудников</w:t>
            </w:r>
          </w:p>
        </w:tc>
        <w:tc>
          <w:tcPr>
            <w:gridSpan w:val="2"/>
            <w:tcW w:w="4252" w:type="dxa"/>
          </w:tcPr>
          <w:p>
            <w:pPr>
              <w:pStyle w:val="0"/>
              <w:jc w:val="center"/>
            </w:pPr>
            <w:r>
              <w:rPr>
                <w:sz w:val="20"/>
              </w:rPr>
              <w:t xml:space="preserve">8</w:t>
            </w:r>
          </w:p>
        </w:tc>
      </w:tr>
      <w:tr>
        <w:tc>
          <w:tcPr>
            <w:tcW w:w="4819" w:type="dxa"/>
          </w:tcPr>
          <w:p>
            <w:pPr>
              <w:pStyle w:val="0"/>
              <w:jc w:val="both"/>
            </w:pPr>
            <w:r>
              <w:rPr>
                <w:sz w:val="20"/>
              </w:rPr>
              <w:t xml:space="preserve">в том числе врачей-генетиков</w:t>
            </w:r>
          </w:p>
        </w:tc>
        <w:tc>
          <w:tcPr>
            <w:gridSpan w:val="2"/>
            <w:tcW w:w="4252" w:type="dxa"/>
          </w:tcPr>
          <w:p>
            <w:pPr>
              <w:pStyle w:val="0"/>
              <w:jc w:val="center"/>
            </w:pPr>
            <w:r>
              <w:rPr>
                <w:sz w:val="20"/>
              </w:rPr>
              <w:t xml:space="preserve">1</w:t>
            </w:r>
          </w:p>
        </w:tc>
      </w:tr>
      <w:tr>
        <w:tc>
          <w:tcPr>
            <w:tcW w:w="4819" w:type="dxa"/>
          </w:tcPr>
          <w:p>
            <w:pPr>
              <w:pStyle w:val="0"/>
              <w:jc w:val="both"/>
            </w:pPr>
            <w:r>
              <w:rPr>
                <w:sz w:val="20"/>
              </w:rPr>
              <w:t xml:space="preserve">в том числе врачей - лабораторных генетиков</w:t>
            </w:r>
          </w:p>
        </w:tc>
        <w:tc>
          <w:tcPr>
            <w:gridSpan w:val="2"/>
            <w:tcW w:w="4252" w:type="dxa"/>
          </w:tcPr>
          <w:p>
            <w:pPr>
              <w:pStyle w:val="0"/>
              <w:jc w:val="center"/>
            </w:pPr>
            <w:r>
              <w:rPr>
                <w:sz w:val="20"/>
              </w:rPr>
              <w:t xml:space="preserve">1</w:t>
            </w:r>
          </w:p>
        </w:tc>
      </w:tr>
      <w:tr>
        <w:tc>
          <w:tcPr>
            <w:tcW w:w="4819" w:type="dxa"/>
          </w:tcPr>
          <w:p>
            <w:pPr>
              <w:pStyle w:val="0"/>
              <w:jc w:val="both"/>
            </w:pPr>
            <w:r>
              <w:rPr>
                <w:sz w:val="20"/>
              </w:rPr>
              <w:t xml:space="preserve">биологов</w:t>
            </w:r>
          </w:p>
        </w:tc>
        <w:tc>
          <w:tcPr>
            <w:gridSpan w:val="2"/>
            <w:tcW w:w="4252" w:type="dxa"/>
          </w:tcPr>
          <w:p>
            <w:pPr>
              <w:pStyle w:val="0"/>
              <w:jc w:val="center"/>
            </w:pPr>
            <w:r>
              <w:rPr>
                <w:sz w:val="20"/>
              </w:rPr>
              <w:t xml:space="preserve">2</w:t>
            </w:r>
          </w:p>
        </w:tc>
      </w:tr>
      <w:tr>
        <w:tc>
          <w:tcPr>
            <w:tcW w:w="4819" w:type="dxa"/>
          </w:tcPr>
          <w:p>
            <w:pPr>
              <w:pStyle w:val="0"/>
              <w:jc w:val="center"/>
            </w:pPr>
            <w:r>
              <w:rPr>
                <w:sz w:val="20"/>
              </w:rPr>
              <w:t xml:space="preserve">Клиническая деятельность</w:t>
            </w:r>
          </w:p>
        </w:tc>
        <w:tc>
          <w:tcPr>
            <w:tcW w:w="1928" w:type="dxa"/>
          </w:tcPr>
          <w:p>
            <w:pPr>
              <w:pStyle w:val="0"/>
              <w:jc w:val="center"/>
            </w:pPr>
            <w:r>
              <w:rPr>
                <w:sz w:val="20"/>
              </w:rPr>
              <w:t xml:space="preserve">Да/Нет</w:t>
            </w:r>
          </w:p>
        </w:tc>
        <w:tc>
          <w:tcPr>
            <w:tcW w:w="2324" w:type="dxa"/>
          </w:tcPr>
          <w:p>
            <w:pPr>
              <w:pStyle w:val="0"/>
              <w:jc w:val="center"/>
            </w:pPr>
            <w:r>
              <w:rPr>
                <w:sz w:val="20"/>
              </w:rPr>
              <w:t xml:space="preserve">Кол-во в год</w:t>
            </w:r>
          </w:p>
        </w:tc>
      </w:tr>
      <w:tr>
        <w:tc>
          <w:tcPr>
            <w:tcW w:w="4819" w:type="dxa"/>
          </w:tcPr>
          <w:p>
            <w:pPr>
              <w:pStyle w:val="0"/>
              <w:jc w:val="both"/>
            </w:pPr>
            <w:r>
              <w:rPr>
                <w:sz w:val="20"/>
              </w:rPr>
              <w:t xml:space="preserve">Консультирование пациентов с наследственными (генетическими) заболеваниями</w:t>
            </w:r>
          </w:p>
        </w:tc>
        <w:tc>
          <w:tcPr>
            <w:tcW w:w="1928" w:type="dxa"/>
          </w:tcPr>
          <w:p>
            <w:pPr>
              <w:pStyle w:val="0"/>
              <w:jc w:val="both"/>
            </w:pPr>
            <w:r>
              <w:rPr>
                <w:sz w:val="20"/>
              </w:rPr>
              <w:t xml:space="preserve">Да</w:t>
            </w:r>
          </w:p>
        </w:tc>
        <w:tc>
          <w:tcPr>
            <w:tcW w:w="2324" w:type="dxa"/>
          </w:tcPr>
          <w:p>
            <w:pPr>
              <w:pStyle w:val="0"/>
              <w:jc w:val="center"/>
            </w:pPr>
            <w:r>
              <w:rPr>
                <w:sz w:val="20"/>
              </w:rPr>
              <w:t xml:space="preserve">5130</w:t>
            </w:r>
          </w:p>
        </w:tc>
      </w:tr>
      <w:tr>
        <w:tc>
          <w:tcPr>
            <w:tcW w:w="4819" w:type="dxa"/>
          </w:tcPr>
          <w:p>
            <w:pPr>
              <w:pStyle w:val="0"/>
              <w:jc w:val="both"/>
            </w:pPr>
            <w:r>
              <w:rPr>
                <w:sz w:val="20"/>
              </w:rPr>
              <w:t xml:space="preserve">Профилактика наследственных (генетических) заболеваний:</w:t>
            </w:r>
          </w:p>
        </w:tc>
        <w:tc>
          <w:tcPr>
            <w:tcW w:w="1928" w:type="dxa"/>
          </w:tcPr>
          <w:p>
            <w:pPr>
              <w:pStyle w:val="0"/>
              <w:jc w:val="center"/>
            </w:pPr>
            <w:r>
              <w:rPr>
                <w:sz w:val="20"/>
              </w:rPr>
              <w:t xml:space="preserve">-</w:t>
            </w:r>
          </w:p>
        </w:tc>
        <w:tc>
          <w:tcPr>
            <w:tcW w:w="2324" w:type="dxa"/>
          </w:tcPr>
          <w:p>
            <w:pPr>
              <w:pStyle w:val="0"/>
              <w:jc w:val="center"/>
            </w:pPr>
            <w:r>
              <w:rPr>
                <w:sz w:val="20"/>
              </w:rPr>
              <w:t xml:space="preserve">-</w:t>
            </w:r>
          </w:p>
        </w:tc>
      </w:tr>
      <w:tr>
        <w:tc>
          <w:tcPr>
            <w:tcW w:w="4819" w:type="dxa"/>
          </w:tcPr>
          <w:p>
            <w:pPr>
              <w:pStyle w:val="0"/>
              <w:jc w:val="both"/>
            </w:pPr>
            <w:r>
              <w:rPr>
                <w:sz w:val="20"/>
              </w:rPr>
              <w:t xml:space="preserve">Преконцепционное консультирование и диагностика в семьях с отягощенным генетическим анамнезом</w:t>
            </w:r>
          </w:p>
        </w:tc>
        <w:tc>
          <w:tcPr>
            <w:tcW w:w="1928" w:type="dxa"/>
          </w:tcPr>
          <w:p>
            <w:pPr>
              <w:pStyle w:val="0"/>
              <w:jc w:val="center"/>
            </w:pPr>
            <w:r>
              <w:rPr>
                <w:sz w:val="20"/>
              </w:rPr>
              <w:t xml:space="preserve">Нет</w:t>
            </w:r>
          </w:p>
        </w:tc>
        <w:tc>
          <w:tcPr>
            <w:tcW w:w="2324" w:type="dxa"/>
          </w:tcPr>
          <w:p>
            <w:pPr>
              <w:pStyle w:val="0"/>
              <w:jc w:val="center"/>
            </w:pPr>
            <w:r>
              <w:rPr>
                <w:sz w:val="20"/>
              </w:rPr>
              <w:t xml:space="preserve">Нет</w:t>
            </w:r>
          </w:p>
        </w:tc>
      </w:tr>
      <w:tr>
        <w:tc>
          <w:tcPr>
            <w:tcW w:w="4819" w:type="dxa"/>
          </w:tcPr>
          <w:p>
            <w:pPr>
              <w:pStyle w:val="0"/>
              <w:jc w:val="both"/>
            </w:pPr>
            <w:r>
              <w:rPr>
                <w:sz w:val="20"/>
              </w:rPr>
              <w:t xml:space="preserve">Преконцепционное консультирование семей без отягощенного генетического анамнеза (в т.ч. скрининг на гетерозиготное носительство патогенных мутаций)</w:t>
            </w:r>
          </w:p>
        </w:tc>
        <w:tc>
          <w:tcPr>
            <w:tcW w:w="1928" w:type="dxa"/>
          </w:tcPr>
          <w:p>
            <w:pPr>
              <w:pStyle w:val="0"/>
              <w:jc w:val="center"/>
            </w:pPr>
            <w:r>
              <w:rPr>
                <w:sz w:val="20"/>
              </w:rPr>
              <w:t xml:space="preserve">Нет</w:t>
            </w:r>
          </w:p>
        </w:tc>
        <w:tc>
          <w:tcPr>
            <w:tcW w:w="2324" w:type="dxa"/>
          </w:tcPr>
          <w:p>
            <w:pPr>
              <w:pStyle w:val="0"/>
              <w:jc w:val="center"/>
            </w:pPr>
            <w:r>
              <w:rPr>
                <w:sz w:val="20"/>
              </w:rPr>
              <w:t xml:space="preserve">Нет</w:t>
            </w:r>
          </w:p>
        </w:tc>
      </w:tr>
      <w:tr>
        <w:tc>
          <w:tcPr>
            <w:tcW w:w="4819" w:type="dxa"/>
          </w:tcPr>
          <w:p>
            <w:pPr>
              <w:pStyle w:val="0"/>
              <w:jc w:val="both"/>
            </w:pPr>
            <w:r>
              <w:rPr>
                <w:sz w:val="20"/>
              </w:rPr>
              <w:t xml:space="preserve">Пренатальный скрининг на хромосомные нарушения. Скрининг I триместра (расчет риска на основе данных биохимии и УЗИ)</w:t>
            </w:r>
          </w:p>
        </w:tc>
        <w:tc>
          <w:tcPr>
            <w:tcW w:w="1928" w:type="dxa"/>
          </w:tcPr>
          <w:p>
            <w:pPr>
              <w:pStyle w:val="0"/>
              <w:jc w:val="center"/>
            </w:pPr>
            <w:r>
              <w:rPr>
                <w:sz w:val="20"/>
              </w:rPr>
              <w:t xml:space="preserve">Да</w:t>
            </w:r>
          </w:p>
        </w:tc>
        <w:tc>
          <w:tcPr>
            <w:tcW w:w="2324" w:type="dxa"/>
          </w:tcPr>
          <w:p>
            <w:pPr>
              <w:pStyle w:val="0"/>
              <w:jc w:val="center"/>
            </w:pPr>
            <w:r>
              <w:rPr>
                <w:sz w:val="20"/>
              </w:rPr>
              <w:t xml:space="preserve">3380</w:t>
            </w:r>
          </w:p>
        </w:tc>
      </w:tr>
      <w:tr>
        <w:tc>
          <w:tcPr>
            <w:tcW w:w="4819" w:type="dxa"/>
          </w:tcPr>
          <w:p>
            <w:pPr>
              <w:pStyle w:val="0"/>
              <w:jc w:val="both"/>
            </w:pPr>
            <w:r>
              <w:rPr>
                <w:sz w:val="20"/>
              </w:rPr>
              <w:t xml:space="preserve">Пренатальный скрининг на хромосомные нарушения. Неинвазивный пренатальный скрининг по внеклеточной ДНК плода в крови матери (НИПС)</w:t>
            </w:r>
          </w:p>
        </w:tc>
        <w:tc>
          <w:tcPr>
            <w:tcW w:w="1928" w:type="dxa"/>
          </w:tcPr>
          <w:p>
            <w:pPr>
              <w:pStyle w:val="0"/>
              <w:jc w:val="center"/>
            </w:pPr>
            <w:r>
              <w:rPr>
                <w:sz w:val="20"/>
              </w:rPr>
              <w:t xml:space="preserve">Нет</w:t>
            </w:r>
          </w:p>
        </w:tc>
        <w:tc>
          <w:tcPr>
            <w:tcW w:w="2324" w:type="dxa"/>
          </w:tcPr>
          <w:p>
            <w:pPr>
              <w:pStyle w:val="0"/>
              <w:jc w:val="center"/>
            </w:pPr>
            <w:r>
              <w:rPr>
                <w:sz w:val="20"/>
              </w:rPr>
              <w:t xml:space="preserve">Нет</w:t>
            </w:r>
          </w:p>
        </w:tc>
      </w:tr>
      <w:tr>
        <w:tc>
          <w:tcPr>
            <w:tcW w:w="4819" w:type="dxa"/>
          </w:tcPr>
          <w:p>
            <w:pPr>
              <w:pStyle w:val="0"/>
              <w:jc w:val="both"/>
            </w:pPr>
            <w:r>
              <w:rPr>
                <w:sz w:val="20"/>
              </w:rPr>
              <w:t xml:space="preserve">Ранняя инвазивная пренатальная диагностика (решение вопроса о пролонгировании беременности)</w:t>
            </w:r>
          </w:p>
        </w:tc>
        <w:tc>
          <w:tcPr>
            <w:tcW w:w="1928" w:type="dxa"/>
          </w:tcPr>
          <w:p>
            <w:pPr>
              <w:pStyle w:val="0"/>
              <w:jc w:val="center"/>
            </w:pPr>
            <w:r>
              <w:rPr>
                <w:sz w:val="20"/>
              </w:rPr>
              <w:t xml:space="preserve">Да</w:t>
            </w:r>
          </w:p>
        </w:tc>
        <w:tc>
          <w:tcPr>
            <w:tcW w:w="2324" w:type="dxa"/>
          </w:tcPr>
          <w:p>
            <w:pPr>
              <w:pStyle w:val="0"/>
              <w:jc w:val="center"/>
            </w:pPr>
            <w:r>
              <w:rPr>
                <w:sz w:val="20"/>
              </w:rPr>
              <w:t xml:space="preserve">43</w:t>
            </w:r>
          </w:p>
        </w:tc>
      </w:tr>
      <w:tr>
        <w:tc>
          <w:tcPr>
            <w:tcW w:w="4819" w:type="dxa"/>
          </w:tcPr>
          <w:p>
            <w:pPr>
              <w:pStyle w:val="0"/>
              <w:jc w:val="both"/>
            </w:pPr>
            <w:r>
              <w:rPr>
                <w:sz w:val="20"/>
              </w:rPr>
              <w:t xml:space="preserve">Инвазивная пренатальная диагностика на поздних сроках беременности с целью постановки диагноза и раннего начала терапии (в том числе в пренатальном периоде)</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Инвазивные диагностические процедуры:</w:t>
            </w:r>
          </w:p>
        </w:tc>
        <w:tc>
          <w:tcPr>
            <w:tcW w:w="1928" w:type="dxa"/>
          </w:tcPr>
          <w:p>
            <w:pPr>
              <w:pStyle w:val="0"/>
              <w:jc w:val="center"/>
            </w:pPr>
            <w:r>
              <w:rPr>
                <w:sz w:val="20"/>
              </w:rPr>
            </w:r>
          </w:p>
        </w:tc>
        <w:tc>
          <w:tcPr>
            <w:tcW w:w="2324" w:type="dxa"/>
          </w:tcPr>
          <w:p>
            <w:pPr>
              <w:pStyle w:val="0"/>
              <w:jc w:val="center"/>
            </w:pPr>
            <w:r>
              <w:rPr>
                <w:sz w:val="20"/>
              </w:rPr>
            </w:r>
          </w:p>
        </w:tc>
      </w:tr>
      <w:tr>
        <w:tc>
          <w:tcPr>
            <w:tcW w:w="4819" w:type="dxa"/>
          </w:tcPr>
          <w:p>
            <w:pPr>
              <w:pStyle w:val="0"/>
              <w:jc w:val="both"/>
            </w:pPr>
            <w:r>
              <w:rPr>
                <w:sz w:val="20"/>
              </w:rPr>
              <w:t xml:space="preserve">биопсия хориона</w:t>
            </w:r>
          </w:p>
        </w:tc>
        <w:tc>
          <w:tcPr>
            <w:tcW w:w="1928" w:type="dxa"/>
          </w:tcPr>
          <w:p>
            <w:pPr>
              <w:pStyle w:val="0"/>
              <w:jc w:val="center"/>
            </w:pPr>
            <w:r>
              <w:rPr>
                <w:sz w:val="20"/>
              </w:rPr>
              <w:t xml:space="preserve">Да</w:t>
            </w:r>
          </w:p>
        </w:tc>
        <w:tc>
          <w:tcPr>
            <w:tcW w:w="2324" w:type="dxa"/>
          </w:tcPr>
          <w:p>
            <w:pPr>
              <w:pStyle w:val="0"/>
              <w:jc w:val="center"/>
            </w:pPr>
            <w:r>
              <w:rPr>
                <w:sz w:val="20"/>
              </w:rPr>
              <w:t xml:space="preserve">20</w:t>
            </w:r>
          </w:p>
        </w:tc>
      </w:tr>
      <w:tr>
        <w:tc>
          <w:tcPr>
            <w:tcW w:w="4819" w:type="dxa"/>
          </w:tcPr>
          <w:p>
            <w:pPr>
              <w:pStyle w:val="0"/>
              <w:jc w:val="both"/>
            </w:pPr>
            <w:r>
              <w:rPr>
                <w:sz w:val="20"/>
              </w:rPr>
              <w:t xml:space="preserve">плацентоцентез</w:t>
            </w:r>
          </w:p>
        </w:tc>
        <w:tc>
          <w:tcPr>
            <w:tcW w:w="1928" w:type="dxa"/>
          </w:tcPr>
          <w:p>
            <w:pPr>
              <w:pStyle w:val="0"/>
              <w:jc w:val="center"/>
            </w:pPr>
            <w:r>
              <w:rPr>
                <w:sz w:val="20"/>
              </w:rPr>
              <w:t xml:space="preserve">Да</w:t>
            </w:r>
          </w:p>
        </w:tc>
        <w:tc>
          <w:tcPr>
            <w:tcW w:w="2324" w:type="dxa"/>
          </w:tcPr>
          <w:p>
            <w:pPr>
              <w:pStyle w:val="0"/>
              <w:jc w:val="center"/>
            </w:pPr>
            <w:r>
              <w:rPr>
                <w:sz w:val="20"/>
              </w:rPr>
              <w:t xml:space="preserve">23</w:t>
            </w:r>
          </w:p>
        </w:tc>
      </w:tr>
      <w:tr>
        <w:tc>
          <w:tcPr>
            <w:tcW w:w="4819" w:type="dxa"/>
          </w:tcPr>
          <w:p>
            <w:pPr>
              <w:pStyle w:val="0"/>
              <w:jc w:val="both"/>
            </w:pPr>
            <w:r>
              <w:rPr>
                <w:sz w:val="20"/>
              </w:rPr>
              <w:t xml:space="preserve">амниоцентез</w:t>
            </w:r>
          </w:p>
        </w:tc>
        <w:tc>
          <w:tcPr>
            <w:tcW w:w="1928" w:type="dxa"/>
          </w:tcPr>
          <w:p>
            <w:pPr>
              <w:pStyle w:val="0"/>
              <w:jc w:val="center"/>
            </w:pPr>
            <w:r>
              <w:rPr>
                <w:sz w:val="20"/>
              </w:rPr>
              <w:t xml:space="preserve">Нет</w:t>
            </w:r>
          </w:p>
        </w:tc>
        <w:tc>
          <w:tcPr>
            <w:tcW w:w="2324" w:type="dxa"/>
          </w:tcPr>
          <w:p>
            <w:pPr>
              <w:pStyle w:val="0"/>
              <w:jc w:val="center"/>
            </w:pPr>
            <w:r>
              <w:rPr>
                <w:sz w:val="20"/>
              </w:rPr>
              <w:t xml:space="preserve">Нет</w:t>
            </w:r>
          </w:p>
        </w:tc>
      </w:tr>
      <w:tr>
        <w:tc>
          <w:tcPr>
            <w:tcW w:w="4819" w:type="dxa"/>
          </w:tcPr>
          <w:p>
            <w:pPr>
              <w:pStyle w:val="0"/>
              <w:jc w:val="both"/>
            </w:pPr>
            <w:r>
              <w:rPr>
                <w:sz w:val="20"/>
              </w:rPr>
              <w:t xml:space="preserve">кордоцентез</w:t>
            </w:r>
          </w:p>
        </w:tc>
        <w:tc>
          <w:tcPr>
            <w:tcW w:w="1928" w:type="dxa"/>
          </w:tcPr>
          <w:p>
            <w:pPr>
              <w:pStyle w:val="0"/>
              <w:jc w:val="center"/>
            </w:pPr>
            <w:r>
              <w:rPr>
                <w:sz w:val="20"/>
              </w:rPr>
              <w:t xml:space="preserve">Нет</w:t>
            </w:r>
          </w:p>
        </w:tc>
        <w:tc>
          <w:tcPr>
            <w:tcW w:w="2324" w:type="dxa"/>
          </w:tcPr>
          <w:p>
            <w:pPr>
              <w:pStyle w:val="0"/>
              <w:jc w:val="center"/>
            </w:pPr>
            <w:r>
              <w:rPr>
                <w:sz w:val="20"/>
              </w:rPr>
              <w:t xml:space="preserve">Нет</w:t>
            </w:r>
          </w:p>
        </w:tc>
      </w:tr>
      <w:tr>
        <w:tc>
          <w:tcPr>
            <w:tcW w:w="4819" w:type="dxa"/>
          </w:tcPr>
          <w:p>
            <w:pPr>
              <w:pStyle w:val="0"/>
              <w:jc w:val="both"/>
            </w:pPr>
            <w:r>
              <w:rPr>
                <w:sz w:val="20"/>
              </w:rPr>
              <w:t xml:space="preserve">Исследование биоматериала плода при замерших/прерванных беременностях (включая антенатальную гибель) с целью выявления причин для планирования следующих беременностей</w:t>
            </w:r>
          </w:p>
        </w:tc>
        <w:tc>
          <w:tcPr>
            <w:tcW w:w="1928" w:type="dxa"/>
          </w:tcPr>
          <w:p>
            <w:pPr>
              <w:pStyle w:val="0"/>
              <w:jc w:val="center"/>
            </w:pPr>
            <w:r>
              <w:rPr>
                <w:sz w:val="20"/>
              </w:rPr>
              <w:t xml:space="preserve">Да</w:t>
            </w:r>
          </w:p>
        </w:tc>
        <w:tc>
          <w:tcPr>
            <w:tcW w:w="2324" w:type="dxa"/>
          </w:tcPr>
          <w:p>
            <w:pPr>
              <w:pStyle w:val="0"/>
              <w:jc w:val="center"/>
            </w:pPr>
            <w:r>
              <w:rPr>
                <w:sz w:val="20"/>
              </w:rPr>
              <w:t xml:space="preserve">45</w:t>
            </w:r>
          </w:p>
        </w:tc>
      </w:tr>
      <w:tr>
        <w:tc>
          <w:tcPr>
            <w:tcW w:w="4819" w:type="dxa"/>
          </w:tcPr>
          <w:p>
            <w:pPr>
              <w:pStyle w:val="0"/>
              <w:jc w:val="both"/>
            </w:pPr>
            <w:r>
              <w:rPr>
                <w:sz w:val="20"/>
              </w:rPr>
              <w:t xml:space="preserve">Консультирование супружеских пар с бесплодием (и) в рамках программ ВРТ</w:t>
            </w:r>
          </w:p>
        </w:tc>
        <w:tc>
          <w:tcPr>
            <w:tcW w:w="1928" w:type="dxa"/>
          </w:tcPr>
          <w:p>
            <w:pPr>
              <w:pStyle w:val="0"/>
              <w:jc w:val="center"/>
            </w:pPr>
            <w:r>
              <w:rPr>
                <w:sz w:val="20"/>
              </w:rPr>
              <w:t xml:space="preserve">Да</w:t>
            </w:r>
          </w:p>
        </w:tc>
        <w:tc>
          <w:tcPr>
            <w:tcW w:w="2324" w:type="dxa"/>
          </w:tcPr>
          <w:p>
            <w:pPr>
              <w:pStyle w:val="0"/>
              <w:jc w:val="center"/>
            </w:pPr>
            <w:r>
              <w:rPr>
                <w:sz w:val="20"/>
              </w:rPr>
              <w:t xml:space="preserve">-</w:t>
            </w:r>
          </w:p>
        </w:tc>
      </w:tr>
      <w:tr>
        <w:tc>
          <w:tcPr>
            <w:tcW w:w="4819" w:type="dxa"/>
          </w:tcPr>
          <w:p>
            <w:pPr>
              <w:pStyle w:val="0"/>
              <w:jc w:val="both"/>
            </w:pPr>
            <w:r>
              <w:rPr>
                <w:sz w:val="20"/>
              </w:rPr>
              <w:t xml:space="preserve">Неонатальный генетический скрининг</w:t>
            </w:r>
          </w:p>
        </w:tc>
        <w:tc>
          <w:tcPr>
            <w:tcW w:w="1928" w:type="dxa"/>
          </w:tcPr>
          <w:p>
            <w:pPr>
              <w:pStyle w:val="0"/>
              <w:jc w:val="center"/>
            </w:pPr>
            <w:r>
              <w:rPr>
                <w:sz w:val="20"/>
              </w:rPr>
              <w:t xml:space="preserve">Да</w:t>
            </w:r>
          </w:p>
        </w:tc>
        <w:tc>
          <w:tcPr>
            <w:tcW w:w="2324" w:type="dxa"/>
          </w:tcPr>
          <w:p>
            <w:pPr>
              <w:pStyle w:val="0"/>
              <w:jc w:val="center"/>
            </w:pPr>
            <w:r>
              <w:rPr>
                <w:sz w:val="20"/>
              </w:rPr>
              <w:t xml:space="preserve">-</w:t>
            </w:r>
          </w:p>
        </w:tc>
      </w:tr>
      <w:tr>
        <w:tc>
          <w:tcPr>
            <w:gridSpan w:val="3"/>
            <w:tcW w:w="9071" w:type="dxa"/>
          </w:tcPr>
          <w:p>
            <w:pPr>
              <w:pStyle w:val="0"/>
              <w:jc w:val="center"/>
            </w:pPr>
            <w:r>
              <w:rPr>
                <w:sz w:val="20"/>
              </w:rPr>
              <w:t xml:space="preserve">Прочее</w:t>
            </w:r>
          </w:p>
        </w:tc>
      </w:tr>
      <w:tr>
        <w:tc>
          <w:tcPr>
            <w:tcW w:w="4819" w:type="dxa"/>
          </w:tcPr>
          <w:p>
            <w:pPr>
              <w:pStyle w:val="0"/>
              <w:jc w:val="center"/>
            </w:pPr>
            <w:r>
              <w:rPr>
                <w:sz w:val="20"/>
              </w:rPr>
              <w:t xml:space="preserve">Лабораторная деятельность/методическая оснащенность</w:t>
            </w:r>
          </w:p>
        </w:tc>
        <w:tc>
          <w:tcPr>
            <w:tcW w:w="1928" w:type="dxa"/>
          </w:tcPr>
          <w:p>
            <w:pPr>
              <w:pStyle w:val="0"/>
              <w:jc w:val="center"/>
            </w:pPr>
            <w:r>
              <w:rPr>
                <w:sz w:val="20"/>
              </w:rPr>
              <w:t xml:space="preserve">Да/Нет</w:t>
            </w:r>
          </w:p>
        </w:tc>
        <w:tc>
          <w:tcPr>
            <w:tcW w:w="2324" w:type="dxa"/>
          </w:tcPr>
          <w:p>
            <w:pPr>
              <w:pStyle w:val="0"/>
              <w:jc w:val="center"/>
            </w:pPr>
            <w:r>
              <w:rPr>
                <w:sz w:val="20"/>
              </w:rPr>
              <w:t xml:space="preserve">Кол-во в год</w:t>
            </w:r>
          </w:p>
        </w:tc>
      </w:tr>
      <w:tr>
        <w:tc>
          <w:tcPr>
            <w:tcW w:w="4819" w:type="dxa"/>
          </w:tcPr>
          <w:p>
            <w:pPr>
              <w:pStyle w:val="0"/>
              <w:jc w:val="both"/>
            </w:pPr>
            <w:r>
              <w:rPr>
                <w:sz w:val="20"/>
              </w:rPr>
              <w:t xml:space="preserve">Кариотипирование (цитогенетика):</w:t>
            </w:r>
          </w:p>
        </w:tc>
        <w:tc>
          <w:tcPr>
            <w:tcW w:w="1928" w:type="dxa"/>
          </w:tcPr>
          <w:p>
            <w:pPr>
              <w:pStyle w:val="0"/>
              <w:jc w:val="center"/>
            </w:pPr>
            <w:r>
              <w:rPr>
                <w:sz w:val="20"/>
              </w:rPr>
              <w:t xml:space="preserve">Да</w:t>
            </w:r>
          </w:p>
        </w:tc>
        <w:tc>
          <w:tcPr>
            <w:tcW w:w="2324" w:type="dxa"/>
          </w:tcPr>
          <w:p>
            <w:pPr>
              <w:pStyle w:val="0"/>
              <w:jc w:val="center"/>
            </w:pPr>
            <w:r>
              <w:rPr>
                <w:sz w:val="20"/>
              </w:rPr>
              <w:t xml:space="preserve">380</w:t>
            </w:r>
          </w:p>
        </w:tc>
      </w:tr>
      <w:tr>
        <w:tc>
          <w:tcPr>
            <w:tcW w:w="4819" w:type="dxa"/>
          </w:tcPr>
          <w:p>
            <w:pPr>
              <w:pStyle w:val="0"/>
              <w:jc w:val="both"/>
            </w:pPr>
            <w:r>
              <w:rPr>
                <w:sz w:val="20"/>
              </w:rPr>
              <w:t xml:space="preserve">в том числе супружеские пары</w:t>
            </w:r>
          </w:p>
        </w:tc>
        <w:tc>
          <w:tcPr>
            <w:tcW w:w="1928" w:type="dxa"/>
          </w:tcPr>
          <w:p>
            <w:pPr>
              <w:pStyle w:val="0"/>
              <w:jc w:val="center"/>
            </w:pPr>
            <w:r>
              <w:rPr>
                <w:sz w:val="20"/>
              </w:rPr>
              <w:t xml:space="preserve">Да</w:t>
            </w:r>
          </w:p>
        </w:tc>
        <w:tc>
          <w:tcPr>
            <w:tcW w:w="2324" w:type="dxa"/>
          </w:tcPr>
          <w:p>
            <w:pPr>
              <w:pStyle w:val="0"/>
              <w:jc w:val="center"/>
            </w:pPr>
            <w:r>
              <w:rPr>
                <w:sz w:val="20"/>
              </w:rPr>
              <w:t xml:space="preserve">170</w:t>
            </w:r>
          </w:p>
        </w:tc>
      </w:tr>
      <w:tr>
        <w:tc>
          <w:tcPr>
            <w:tcW w:w="4819" w:type="dxa"/>
          </w:tcPr>
          <w:p>
            <w:pPr>
              <w:pStyle w:val="0"/>
              <w:jc w:val="both"/>
            </w:pPr>
            <w:r>
              <w:rPr>
                <w:sz w:val="20"/>
              </w:rPr>
              <w:t xml:space="preserve">в том числе пренатально</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 том числе новорожденные</w:t>
            </w:r>
          </w:p>
        </w:tc>
        <w:tc>
          <w:tcPr>
            <w:tcW w:w="1928" w:type="dxa"/>
          </w:tcPr>
          <w:p>
            <w:pPr>
              <w:pStyle w:val="0"/>
              <w:jc w:val="center"/>
            </w:pPr>
            <w:r>
              <w:rPr>
                <w:sz w:val="20"/>
              </w:rPr>
              <w:t xml:space="preserve">Да</w:t>
            </w:r>
          </w:p>
        </w:tc>
        <w:tc>
          <w:tcPr>
            <w:tcW w:w="2324" w:type="dxa"/>
          </w:tcPr>
          <w:p>
            <w:pPr>
              <w:pStyle w:val="0"/>
              <w:jc w:val="center"/>
            </w:pPr>
            <w:r>
              <w:rPr>
                <w:sz w:val="20"/>
              </w:rPr>
              <w:t xml:space="preserve">70</w:t>
            </w:r>
          </w:p>
        </w:tc>
      </w:tr>
      <w:tr>
        <w:tc>
          <w:tcPr>
            <w:tcW w:w="4819" w:type="dxa"/>
          </w:tcPr>
          <w:p>
            <w:pPr>
              <w:pStyle w:val="0"/>
              <w:jc w:val="both"/>
            </w:pPr>
            <w:r>
              <w:rPr>
                <w:sz w:val="20"/>
              </w:rPr>
              <w:t xml:space="preserve">FISH-тест:</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 том числе супружеские пары</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 том числе пренатально</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 том числе новорожденные</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 том числе в рамках ПГТ</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ПЦР-диагностика наследственных заболеваний</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Молекулярное кариотипирование (ХМА):</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 том числе супружеские пары</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 том числе пренатально</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 том числе новорожденные</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Секвенирование по Сэнгеру</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Высокопроизводительное секвенирование (NGS)</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Преимплантационное генетическое тестирование</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 том числе ПГТ-А</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в том числе ПГТ-М и ПГТ-СП</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Неонатальный скрининг</w:t>
            </w:r>
          </w:p>
        </w:tc>
        <w:tc>
          <w:tcPr>
            <w:tcW w:w="1928" w:type="dxa"/>
          </w:tcPr>
          <w:p>
            <w:pPr>
              <w:pStyle w:val="0"/>
              <w:jc w:val="center"/>
            </w:pPr>
            <w:r>
              <w:rPr>
                <w:sz w:val="20"/>
              </w:rPr>
              <w:t xml:space="preserve">Да</w:t>
            </w:r>
          </w:p>
        </w:tc>
        <w:tc>
          <w:tcPr>
            <w:tcW w:w="2324" w:type="dxa"/>
          </w:tcPr>
          <w:p>
            <w:pPr>
              <w:pStyle w:val="0"/>
              <w:jc w:val="center"/>
            </w:pPr>
            <w:r>
              <w:rPr>
                <w:sz w:val="20"/>
              </w:rPr>
              <w:t xml:space="preserve">-</w:t>
            </w:r>
          </w:p>
        </w:tc>
      </w:tr>
      <w:tr>
        <w:tc>
          <w:tcPr>
            <w:tcW w:w="4819" w:type="dxa"/>
          </w:tcPr>
          <w:p>
            <w:pPr>
              <w:pStyle w:val="0"/>
              <w:jc w:val="both"/>
            </w:pPr>
            <w:r>
              <w:rPr>
                <w:sz w:val="20"/>
              </w:rPr>
              <w:t xml:space="preserve">Биохимия (ТСХ)</w:t>
            </w:r>
          </w:p>
        </w:tc>
        <w:tc>
          <w:tcPr>
            <w:tcW w:w="1928" w:type="dxa"/>
          </w:tcPr>
          <w:p>
            <w:pPr>
              <w:pStyle w:val="0"/>
              <w:jc w:val="center"/>
            </w:pPr>
            <w:r>
              <w:rPr>
                <w:sz w:val="20"/>
              </w:rPr>
              <w:t xml:space="preserve">Да</w:t>
            </w:r>
          </w:p>
        </w:tc>
        <w:tc>
          <w:tcPr>
            <w:tcW w:w="2324" w:type="dxa"/>
          </w:tcPr>
          <w:p>
            <w:pPr>
              <w:pStyle w:val="0"/>
              <w:jc w:val="center"/>
            </w:pPr>
            <w:r>
              <w:rPr>
                <w:sz w:val="20"/>
              </w:rPr>
              <w:t xml:space="preserve">8031</w:t>
            </w:r>
          </w:p>
        </w:tc>
      </w:tr>
      <w:tr>
        <w:tc>
          <w:tcPr>
            <w:tcW w:w="4819" w:type="dxa"/>
          </w:tcPr>
          <w:p>
            <w:pPr>
              <w:pStyle w:val="0"/>
              <w:jc w:val="both"/>
            </w:pPr>
            <w:r>
              <w:rPr>
                <w:sz w:val="20"/>
              </w:rPr>
              <w:t xml:space="preserve">Масс-спектрометрия</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tcW w:w="4819" w:type="dxa"/>
          </w:tcPr>
          <w:p>
            <w:pPr>
              <w:pStyle w:val="0"/>
              <w:jc w:val="both"/>
            </w:pPr>
            <w:r>
              <w:rPr>
                <w:sz w:val="20"/>
              </w:rPr>
              <w:t xml:space="preserve">ПЦР</w:t>
            </w:r>
          </w:p>
        </w:tc>
        <w:tc>
          <w:tcPr>
            <w:tcW w:w="1928" w:type="dxa"/>
          </w:tcPr>
          <w:p>
            <w:pPr>
              <w:pStyle w:val="0"/>
              <w:jc w:val="center"/>
            </w:pPr>
            <w:r>
              <w:rPr>
                <w:sz w:val="20"/>
              </w:rPr>
              <w:t xml:space="preserve">Нет</w:t>
            </w:r>
          </w:p>
        </w:tc>
        <w:tc>
          <w:tcPr>
            <w:tcW w:w="2324" w:type="dxa"/>
          </w:tcPr>
          <w:p>
            <w:pPr>
              <w:pStyle w:val="0"/>
              <w:jc w:val="center"/>
            </w:pPr>
            <w:r>
              <w:rPr>
                <w:sz w:val="20"/>
              </w:rPr>
              <w:t xml:space="preserve">-</w:t>
            </w:r>
          </w:p>
        </w:tc>
      </w:tr>
      <w:tr>
        <w:tc>
          <w:tcPr>
            <w:gridSpan w:val="3"/>
            <w:tcW w:w="9071" w:type="dxa"/>
          </w:tcPr>
          <w:p>
            <w:pPr>
              <w:pStyle w:val="0"/>
              <w:jc w:val="center"/>
            </w:pPr>
            <w:r>
              <w:rPr>
                <w:sz w:val="20"/>
              </w:rPr>
              <w:t xml:space="preserve">Оборудование (основное)</w:t>
            </w:r>
          </w:p>
        </w:tc>
      </w:tr>
      <w:tr>
        <w:tc>
          <w:tcPr>
            <w:tcW w:w="4819" w:type="dxa"/>
          </w:tcPr>
          <w:p>
            <w:pPr>
              <w:pStyle w:val="0"/>
              <w:jc w:val="both"/>
            </w:pPr>
            <w:r>
              <w:rPr>
                <w:sz w:val="20"/>
              </w:rPr>
              <w:t xml:space="preserve">Кариотипирование</w:t>
            </w:r>
          </w:p>
        </w:tc>
        <w:tc>
          <w:tcPr>
            <w:gridSpan w:val="2"/>
            <w:tcW w:w="4252" w:type="dxa"/>
          </w:tcPr>
          <w:p>
            <w:pPr>
              <w:pStyle w:val="0"/>
              <w:jc w:val="center"/>
            </w:pPr>
            <w:r>
              <w:rPr>
                <w:sz w:val="20"/>
              </w:rPr>
              <w:t xml:space="preserve">Микроскоп MEIJI</w:t>
            </w:r>
          </w:p>
        </w:tc>
      </w:tr>
      <w:tr>
        <w:tc>
          <w:tcPr>
            <w:tcW w:w="4819" w:type="dxa"/>
          </w:tcPr>
          <w:p>
            <w:pPr>
              <w:pStyle w:val="0"/>
              <w:jc w:val="both"/>
            </w:pPr>
            <w:r>
              <w:rPr>
                <w:sz w:val="20"/>
              </w:rPr>
              <w:t xml:space="preserve">FISH-тест</w:t>
            </w:r>
          </w:p>
        </w:tc>
        <w:tc>
          <w:tcPr>
            <w:gridSpan w:val="2"/>
            <w:tcW w:w="4252" w:type="dxa"/>
          </w:tcPr>
          <w:p>
            <w:pPr>
              <w:pStyle w:val="0"/>
              <w:jc w:val="center"/>
            </w:pPr>
            <w:r>
              <w:rPr>
                <w:sz w:val="20"/>
              </w:rPr>
              <w:t xml:space="preserve">Нет</w:t>
            </w:r>
          </w:p>
        </w:tc>
      </w:tr>
      <w:tr>
        <w:tc>
          <w:tcPr>
            <w:tcW w:w="4819" w:type="dxa"/>
          </w:tcPr>
          <w:p>
            <w:pPr>
              <w:pStyle w:val="0"/>
              <w:jc w:val="both"/>
            </w:pPr>
            <w:r>
              <w:rPr>
                <w:sz w:val="20"/>
              </w:rPr>
              <w:t xml:space="preserve">ПЦР</w:t>
            </w:r>
          </w:p>
        </w:tc>
        <w:tc>
          <w:tcPr>
            <w:gridSpan w:val="2"/>
            <w:tcW w:w="4252" w:type="dxa"/>
          </w:tcPr>
          <w:p>
            <w:pPr>
              <w:pStyle w:val="0"/>
              <w:jc w:val="center"/>
            </w:pPr>
            <w:r>
              <w:rPr>
                <w:sz w:val="20"/>
              </w:rPr>
              <w:t xml:space="preserve">Нет</w:t>
            </w:r>
          </w:p>
        </w:tc>
      </w:tr>
      <w:tr>
        <w:tc>
          <w:tcPr>
            <w:tcW w:w="4819" w:type="dxa"/>
          </w:tcPr>
          <w:p>
            <w:pPr>
              <w:pStyle w:val="0"/>
              <w:jc w:val="both"/>
            </w:pPr>
            <w:r>
              <w:rPr>
                <w:sz w:val="20"/>
              </w:rPr>
              <w:t xml:space="preserve">Молекулярное кариотипирование (ХМА)</w:t>
            </w:r>
          </w:p>
        </w:tc>
        <w:tc>
          <w:tcPr>
            <w:gridSpan w:val="2"/>
            <w:tcW w:w="4252" w:type="dxa"/>
          </w:tcPr>
          <w:p>
            <w:pPr>
              <w:pStyle w:val="0"/>
              <w:jc w:val="center"/>
            </w:pPr>
            <w:r>
              <w:rPr>
                <w:sz w:val="20"/>
              </w:rPr>
              <w:t xml:space="preserve">Нет</w:t>
            </w:r>
          </w:p>
        </w:tc>
      </w:tr>
      <w:tr>
        <w:tc>
          <w:tcPr>
            <w:tcW w:w="4819" w:type="dxa"/>
          </w:tcPr>
          <w:p>
            <w:pPr>
              <w:pStyle w:val="0"/>
              <w:jc w:val="both"/>
            </w:pPr>
            <w:r>
              <w:rPr>
                <w:sz w:val="20"/>
              </w:rPr>
              <w:t xml:space="preserve">Секвенирование по Сэнгеру</w:t>
            </w:r>
          </w:p>
        </w:tc>
        <w:tc>
          <w:tcPr>
            <w:gridSpan w:val="2"/>
            <w:tcW w:w="4252" w:type="dxa"/>
          </w:tcPr>
          <w:p>
            <w:pPr>
              <w:pStyle w:val="0"/>
              <w:jc w:val="center"/>
            </w:pPr>
            <w:r>
              <w:rPr>
                <w:sz w:val="20"/>
              </w:rPr>
              <w:t xml:space="preserve">Нет</w:t>
            </w:r>
          </w:p>
        </w:tc>
      </w:tr>
      <w:tr>
        <w:tc>
          <w:tcPr>
            <w:tcW w:w="4819" w:type="dxa"/>
          </w:tcPr>
          <w:p>
            <w:pPr>
              <w:pStyle w:val="0"/>
              <w:jc w:val="both"/>
            </w:pPr>
            <w:r>
              <w:rPr>
                <w:sz w:val="20"/>
              </w:rPr>
              <w:t xml:space="preserve">Высокопроизводительное секвенирование (NGS)</w:t>
            </w:r>
          </w:p>
        </w:tc>
        <w:tc>
          <w:tcPr>
            <w:gridSpan w:val="2"/>
            <w:tcW w:w="4252" w:type="dxa"/>
          </w:tcPr>
          <w:p>
            <w:pPr>
              <w:pStyle w:val="0"/>
              <w:jc w:val="center"/>
            </w:pPr>
            <w:r>
              <w:rPr>
                <w:sz w:val="20"/>
              </w:rPr>
              <w:t xml:space="preserve">Нет</w:t>
            </w:r>
          </w:p>
        </w:tc>
      </w:tr>
      <w:tr>
        <w:tc>
          <w:tcPr>
            <w:tcW w:w="4819" w:type="dxa"/>
          </w:tcPr>
          <w:p>
            <w:pPr>
              <w:pStyle w:val="0"/>
              <w:jc w:val="both"/>
            </w:pPr>
            <w:r>
              <w:rPr>
                <w:sz w:val="20"/>
              </w:rPr>
              <w:t xml:space="preserve">Биохимический скрининг</w:t>
            </w:r>
          </w:p>
        </w:tc>
        <w:tc>
          <w:tcPr>
            <w:gridSpan w:val="2"/>
            <w:tcW w:w="4252" w:type="dxa"/>
          </w:tcPr>
          <w:p>
            <w:pPr>
              <w:pStyle w:val="0"/>
              <w:jc w:val="center"/>
            </w:pPr>
            <w:r>
              <w:rPr>
                <w:sz w:val="20"/>
              </w:rPr>
              <w:t xml:space="preserve">Нет</w:t>
            </w:r>
          </w:p>
        </w:tc>
      </w:tr>
      <w:tr>
        <w:tc>
          <w:tcPr>
            <w:tcW w:w="4819" w:type="dxa"/>
          </w:tcPr>
          <w:p>
            <w:pPr>
              <w:pStyle w:val="0"/>
              <w:jc w:val="both"/>
            </w:pPr>
            <w:r>
              <w:rPr>
                <w:sz w:val="20"/>
              </w:rPr>
              <w:t xml:space="preserve">Масс-спектрометрия</w:t>
            </w:r>
          </w:p>
        </w:tc>
        <w:tc>
          <w:tcPr>
            <w:gridSpan w:val="2"/>
            <w:tcW w:w="4252" w:type="dxa"/>
          </w:tcPr>
          <w:p>
            <w:pPr>
              <w:pStyle w:val="0"/>
              <w:jc w:val="center"/>
            </w:pPr>
            <w:r>
              <w:rPr>
                <w:sz w:val="20"/>
              </w:rPr>
              <w:t xml:space="preserve">Нет</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2"/>
        <w:jc w:val="right"/>
      </w:pPr>
      <w:r>
        <w:rPr>
          <w:sz w:val="20"/>
        </w:rPr>
        <w:t xml:space="preserve">Приложение N 5</w:t>
      </w:r>
    </w:p>
    <w:p>
      <w:pPr>
        <w:pStyle w:val="0"/>
        <w:jc w:val="right"/>
      </w:pPr>
      <w:r>
        <w:rPr>
          <w:sz w:val="20"/>
        </w:rPr>
        <w:t xml:space="preserve">к региональной программе</w:t>
      </w:r>
    </w:p>
    <w:p>
      <w:pPr>
        <w:pStyle w:val="0"/>
        <w:jc w:val="right"/>
      </w:pPr>
      <w:r>
        <w:rPr>
          <w:sz w:val="20"/>
        </w:rPr>
        <w:t xml:space="preserve">"Обеспечение расширенного</w:t>
      </w:r>
    </w:p>
    <w:p>
      <w:pPr>
        <w:pStyle w:val="0"/>
        <w:jc w:val="right"/>
      </w:pPr>
      <w:r>
        <w:rPr>
          <w:sz w:val="20"/>
        </w:rPr>
        <w:t xml:space="preserve">неонатального скрининга"</w:t>
      </w:r>
    </w:p>
    <w:p>
      <w:pPr>
        <w:pStyle w:val="0"/>
      </w:pPr>
      <w:r>
        <w:rPr>
          <w:sz w:val="20"/>
        </w:rPr>
      </w:r>
    </w:p>
    <w:p>
      <w:pPr>
        <w:pStyle w:val="2"/>
        <w:jc w:val="center"/>
      </w:pPr>
      <w:r>
        <w:rPr>
          <w:sz w:val="20"/>
        </w:rPr>
        <w:t xml:space="preserve">План мероприятий региональной программы "Обеспечение</w:t>
      </w:r>
    </w:p>
    <w:p>
      <w:pPr>
        <w:pStyle w:val="2"/>
        <w:jc w:val="center"/>
      </w:pPr>
      <w:r>
        <w:rPr>
          <w:sz w:val="20"/>
        </w:rPr>
        <w:t xml:space="preserve">расширенного неонатального скрининга"</w:t>
      </w:r>
    </w:p>
    <w:p>
      <w:pPr>
        <w:pStyle w:val="0"/>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2721"/>
        <w:gridCol w:w="1361"/>
        <w:gridCol w:w="1474"/>
        <w:gridCol w:w="1871"/>
        <w:gridCol w:w="2551"/>
        <w:gridCol w:w="2551"/>
        <w:gridCol w:w="2324"/>
      </w:tblGrid>
      <w:tr>
        <w:tc>
          <w:tcPr>
            <w:tcW w:w="737" w:type="dxa"/>
            <w:vMerge w:val="restart"/>
          </w:tcPr>
          <w:p>
            <w:pPr>
              <w:pStyle w:val="0"/>
              <w:jc w:val="center"/>
            </w:pPr>
            <w:r>
              <w:rPr>
                <w:sz w:val="20"/>
              </w:rPr>
              <w:t xml:space="preserve">N п/п</w:t>
            </w:r>
          </w:p>
        </w:tc>
        <w:tc>
          <w:tcPr>
            <w:tcW w:w="2721" w:type="dxa"/>
            <w:vMerge w:val="restart"/>
          </w:tcPr>
          <w:p>
            <w:pPr>
              <w:pStyle w:val="0"/>
              <w:jc w:val="center"/>
            </w:pPr>
            <w:r>
              <w:rPr>
                <w:sz w:val="20"/>
              </w:rPr>
              <w:t xml:space="preserve">Наименование мероприятия</w:t>
            </w:r>
          </w:p>
        </w:tc>
        <w:tc>
          <w:tcPr>
            <w:gridSpan w:val="2"/>
            <w:tcW w:w="2835" w:type="dxa"/>
          </w:tcPr>
          <w:p>
            <w:pPr>
              <w:pStyle w:val="0"/>
              <w:jc w:val="center"/>
            </w:pPr>
            <w:r>
              <w:rPr>
                <w:sz w:val="20"/>
              </w:rPr>
              <w:t xml:space="preserve">Сроки реализации</w:t>
            </w:r>
          </w:p>
        </w:tc>
        <w:tc>
          <w:tcPr>
            <w:tcW w:w="1871" w:type="dxa"/>
            <w:vMerge w:val="restart"/>
          </w:tcPr>
          <w:p>
            <w:pPr>
              <w:pStyle w:val="0"/>
              <w:jc w:val="center"/>
            </w:pPr>
            <w:r>
              <w:rPr>
                <w:sz w:val="20"/>
              </w:rPr>
              <w:t xml:space="preserve">Ответственный исполнитель</w:t>
            </w:r>
          </w:p>
        </w:tc>
        <w:tc>
          <w:tcPr>
            <w:tcW w:w="2551" w:type="dxa"/>
            <w:vMerge w:val="restart"/>
          </w:tcPr>
          <w:p>
            <w:pPr>
              <w:pStyle w:val="0"/>
              <w:jc w:val="center"/>
            </w:pPr>
            <w:r>
              <w:rPr>
                <w:sz w:val="20"/>
              </w:rPr>
              <w:t xml:space="preserve">Наименование результата, на достижение которого направлено мероприятие</w:t>
            </w:r>
          </w:p>
        </w:tc>
        <w:tc>
          <w:tcPr>
            <w:tcW w:w="2551" w:type="dxa"/>
            <w:vMerge w:val="restart"/>
          </w:tcPr>
          <w:p>
            <w:pPr>
              <w:pStyle w:val="0"/>
              <w:jc w:val="center"/>
            </w:pPr>
            <w:r>
              <w:rPr>
                <w:sz w:val="20"/>
              </w:rPr>
              <w:t xml:space="preserve">Вид документа (источник, на основании которого фиксируется достижение результата)</w:t>
            </w:r>
          </w:p>
        </w:tc>
        <w:tc>
          <w:tcPr>
            <w:tcW w:w="2324" w:type="dxa"/>
            <w:vMerge w:val="restart"/>
          </w:tcPr>
          <w:p>
            <w:pPr>
              <w:pStyle w:val="0"/>
              <w:jc w:val="center"/>
            </w:pPr>
            <w:r>
              <w:rPr>
                <w:sz w:val="20"/>
              </w:rPr>
              <w:t xml:space="preserve">Результат в указанном периоде</w:t>
            </w:r>
          </w:p>
        </w:tc>
      </w:tr>
      <w:tr>
        <w:tc>
          <w:tcPr>
            <w:vMerge w:val="continue"/>
          </w:tcPr>
          <w:p/>
        </w:tc>
        <w:tc>
          <w:tcPr>
            <w:vMerge w:val="continue"/>
          </w:tcPr>
          <w:p/>
        </w:tc>
        <w:tc>
          <w:tcPr>
            <w:tcW w:w="1361" w:type="dxa"/>
          </w:tcPr>
          <w:p>
            <w:pPr>
              <w:pStyle w:val="0"/>
              <w:jc w:val="center"/>
            </w:pPr>
            <w:r>
              <w:rPr>
                <w:sz w:val="20"/>
              </w:rPr>
              <w:t xml:space="preserve">начало</w:t>
            </w:r>
          </w:p>
        </w:tc>
        <w:tc>
          <w:tcPr>
            <w:tcW w:w="1474" w:type="dxa"/>
          </w:tcPr>
          <w:p>
            <w:pPr>
              <w:pStyle w:val="0"/>
              <w:jc w:val="center"/>
            </w:pPr>
            <w:r>
              <w:rPr>
                <w:sz w:val="20"/>
              </w:rPr>
              <w:t xml:space="preserve">окончание</w:t>
            </w:r>
          </w:p>
        </w:tc>
        <w:tc>
          <w:tcPr>
            <w:vMerge w:val="continue"/>
          </w:tcPr>
          <w:p/>
        </w:tc>
        <w:tc>
          <w:tcPr>
            <w:vMerge w:val="continue"/>
          </w:tcPr>
          <w:p/>
        </w:tc>
        <w:tc>
          <w:tcPr>
            <w:vMerge w:val="continue"/>
          </w:tcPr>
          <w:p/>
        </w:tc>
        <w:tc>
          <w:tcPr>
            <w:vMerge w:val="continue"/>
          </w:tcPr>
          <w:p/>
        </w:tc>
      </w:tr>
      <w:tr>
        <w:tc>
          <w:tcPr>
            <w:gridSpan w:val="8"/>
            <w:tcW w:w="15590" w:type="dxa"/>
          </w:tcPr>
          <w:p>
            <w:pPr>
              <w:pStyle w:val="0"/>
              <w:outlineLvl w:val="3"/>
              <w:jc w:val="center"/>
            </w:pPr>
            <w:r>
              <w:rPr>
                <w:sz w:val="20"/>
              </w:rPr>
              <w:t xml:space="preserve">I. Обеспечение нормативно-правового регулирования РНС в городе Севастополе</w:t>
            </w:r>
          </w:p>
        </w:tc>
      </w:tr>
      <w:tr>
        <w:tc>
          <w:tcPr>
            <w:tcW w:w="737" w:type="dxa"/>
          </w:tcPr>
          <w:p>
            <w:pPr>
              <w:pStyle w:val="0"/>
              <w:jc w:val="both"/>
            </w:pPr>
            <w:r>
              <w:rPr>
                <w:sz w:val="20"/>
              </w:rPr>
              <w:t xml:space="preserve">1.1.</w:t>
            </w:r>
          </w:p>
        </w:tc>
        <w:tc>
          <w:tcPr>
            <w:tcW w:w="2721" w:type="dxa"/>
          </w:tcPr>
          <w:p>
            <w:pPr>
              <w:pStyle w:val="0"/>
              <w:jc w:val="both"/>
            </w:pPr>
            <w:r>
              <w:rPr>
                <w:sz w:val="20"/>
              </w:rPr>
              <w:t xml:space="preserve">Создание нормативной правовой базы регулирования РНС</w:t>
            </w:r>
          </w:p>
        </w:tc>
        <w:tc>
          <w:tcPr>
            <w:tcW w:w="1361" w:type="dxa"/>
          </w:tcPr>
          <w:p>
            <w:pPr>
              <w:pStyle w:val="0"/>
              <w:jc w:val="both"/>
            </w:pPr>
            <w:r>
              <w:rPr>
                <w:sz w:val="20"/>
              </w:rPr>
              <w:t xml:space="preserve">05.12.2022</w:t>
            </w:r>
          </w:p>
        </w:tc>
        <w:tc>
          <w:tcPr>
            <w:tcW w:w="1474" w:type="dxa"/>
          </w:tcPr>
          <w:p>
            <w:pPr>
              <w:pStyle w:val="0"/>
              <w:jc w:val="both"/>
            </w:pPr>
            <w:r>
              <w:rPr>
                <w:sz w:val="20"/>
              </w:rPr>
              <w:t xml:space="preserve">31.12.2022</w:t>
            </w:r>
          </w:p>
        </w:tc>
        <w:tc>
          <w:tcPr>
            <w:tcW w:w="1871" w:type="dxa"/>
          </w:tcPr>
          <w:p>
            <w:pPr>
              <w:pStyle w:val="0"/>
              <w:jc w:val="both"/>
            </w:pPr>
            <w:r>
              <w:rPr>
                <w:sz w:val="20"/>
              </w:rPr>
              <w:t xml:space="preserve">ДЗГС</w:t>
            </w:r>
          </w:p>
        </w:tc>
        <w:tc>
          <w:tcPr>
            <w:tcW w:w="2551" w:type="dxa"/>
          </w:tcPr>
          <w:p>
            <w:pPr>
              <w:pStyle w:val="0"/>
              <w:jc w:val="both"/>
            </w:pPr>
            <w:r>
              <w:rPr>
                <w:sz w:val="20"/>
              </w:rPr>
              <w:t xml:space="preserve">Нормативный правовой акт</w:t>
            </w:r>
          </w:p>
        </w:tc>
        <w:tc>
          <w:tcPr>
            <w:tcW w:w="2551" w:type="dxa"/>
          </w:tcPr>
          <w:p>
            <w:pPr>
              <w:pStyle w:val="0"/>
              <w:jc w:val="both"/>
            </w:pPr>
            <w:r>
              <w:rPr>
                <w:sz w:val="20"/>
              </w:rPr>
              <w:t xml:space="preserve">Региональная программа "Обеспечение расширенного неонатального скрининга"</w:t>
            </w:r>
          </w:p>
        </w:tc>
        <w:tc>
          <w:tcPr>
            <w:tcW w:w="2324" w:type="dxa"/>
          </w:tcPr>
          <w:p>
            <w:pPr>
              <w:pStyle w:val="0"/>
              <w:jc w:val="both"/>
            </w:pPr>
            <w:r>
              <w:rPr>
                <w:sz w:val="20"/>
              </w:rPr>
              <w:t xml:space="preserve">Разработка и утверждение Правительством Севастополя постановления</w:t>
            </w:r>
          </w:p>
        </w:tc>
      </w:tr>
      <w:tr>
        <w:tc>
          <w:tcPr>
            <w:tcW w:w="737" w:type="dxa"/>
          </w:tcPr>
          <w:p>
            <w:pPr>
              <w:pStyle w:val="0"/>
              <w:jc w:val="both"/>
            </w:pPr>
            <w:r>
              <w:rPr>
                <w:sz w:val="20"/>
              </w:rPr>
              <w:t xml:space="preserve">1.2.</w:t>
            </w:r>
          </w:p>
        </w:tc>
        <w:tc>
          <w:tcPr>
            <w:tcW w:w="2721" w:type="dxa"/>
          </w:tcPr>
          <w:p>
            <w:pPr>
              <w:pStyle w:val="0"/>
              <w:jc w:val="both"/>
            </w:pPr>
            <w:r>
              <w:rPr>
                <w:sz w:val="20"/>
              </w:rPr>
              <w:t xml:space="preserve">Маршрутизация в рамках проведения РНС</w:t>
            </w:r>
          </w:p>
        </w:tc>
        <w:tc>
          <w:tcPr>
            <w:tcW w:w="1361" w:type="dxa"/>
          </w:tcPr>
          <w:p>
            <w:pPr>
              <w:pStyle w:val="0"/>
              <w:jc w:val="both"/>
            </w:pPr>
            <w:r>
              <w:rPr>
                <w:sz w:val="20"/>
              </w:rPr>
              <w:t xml:space="preserve">10.12.2022</w:t>
            </w:r>
          </w:p>
        </w:tc>
        <w:tc>
          <w:tcPr>
            <w:tcW w:w="1474" w:type="dxa"/>
          </w:tcPr>
          <w:p>
            <w:pPr>
              <w:pStyle w:val="0"/>
              <w:jc w:val="both"/>
            </w:pPr>
            <w:r>
              <w:rPr>
                <w:sz w:val="20"/>
              </w:rPr>
              <w:t xml:space="preserve">31.12.2022</w:t>
            </w:r>
          </w:p>
        </w:tc>
        <w:tc>
          <w:tcPr>
            <w:tcW w:w="1871" w:type="dxa"/>
          </w:tcPr>
          <w:p>
            <w:pPr>
              <w:pStyle w:val="0"/>
              <w:jc w:val="both"/>
            </w:pPr>
            <w:r>
              <w:rPr>
                <w:sz w:val="20"/>
              </w:rPr>
              <w:t xml:space="preserve">ДЗГС</w:t>
            </w:r>
          </w:p>
        </w:tc>
        <w:tc>
          <w:tcPr>
            <w:tcW w:w="2551" w:type="dxa"/>
          </w:tcPr>
          <w:p>
            <w:pPr>
              <w:pStyle w:val="0"/>
              <w:jc w:val="both"/>
            </w:pPr>
            <w:r>
              <w:rPr>
                <w:sz w:val="20"/>
              </w:rPr>
              <w:t xml:space="preserve">Нормативный правовой акт</w:t>
            </w:r>
          </w:p>
        </w:tc>
        <w:tc>
          <w:tcPr>
            <w:tcW w:w="2551" w:type="dxa"/>
          </w:tcPr>
          <w:p>
            <w:pPr>
              <w:pStyle w:val="0"/>
              <w:jc w:val="both"/>
            </w:pPr>
            <w:r>
              <w:rPr>
                <w:sz w:val="20"/>
              </w:rPr>
              <w:t xml:space="preserve">Приказ по маршрутизации</w:t>
            </w:r>
          </w:p>
        </w:tc>
        <w:tc>
          <w:tcPr>
            <w:tcW w:w="2324" w:type="dxa"/>
          </w:tcPr>
          <w:p>
            <w:pPr>
              <w:pStyle w:val="0"/>
              <w:jc w:val="both"/>
            </w:pPr>
            <w:r>
              <w:rPr>
                <w:sz w:val="20"/>
              </w:rPr>
              <w:t xml:space="preserve">Утверждение приказа. Выбрана транспортная компания. Производится за счет средств регионального бюджета</w:t>
            </w:r>
          </w:p>
        </w:tc>
      </w:tr>
      <w:tr>
        <w:tc>
          <w:tcPr>
            <w:tcW w:w="737" w:type="dxa"/>
          </w:tcPr>
          <w:p>
            <w:pPr>
              <w:pStyle w:val="0"/>
              <w:jc w:val="both"/>
            </w:pPr>
            <w:r>
              <w:rPr>
                <w:sz w:val="20"/>
              </w:rPr>
              <w:t xml:space="preserve">1.3.</w:t>
            </w:r>
          </w:p>
        </w:tc>
        <w:tc>
          <w:tcPr>
            <w:tcW w:w="2721" w:type="dxa"/>
          </w:tcPr>
          <w:p>
            <w:pPr>
              <w:pStyle w:val="0"/>
              <w:jc w:val="both"/>
            </w:pPr>
            <w:r>
              <w:rPr>
                <w:sz w:val="20"/>
              </w:rPr>
              <w:t xml:space="preserve">Льготное лекарственное обеспечение пациентов с врожденными и наследственными заболеваниями, выявленными в рамках РНС</w:t>
            </w:r>
          </w:p>
        </w:tc>
        <w:tc>
          <w:tcPr>
            <w:tcW w:w="1361" w:type="dxa"/>
          </w:tcPr>
          <w:p>
            <w:pPr>
              <w:pStyle w:val="0"/>
              <w:jc w:val="both"/>
            </w:pPr>
            <w:r>
              <w:rPr>
                <w:sz w:val="20"/>
              </w:rPr>
              <w:t xml:space="preserve">20.12.2022</w:t>
            </w:r>
          </w:p>
        </w:tc>
        <w:tc>
          <w:tcPr>
            <w:tcW w:w="1474" w:type="dxa"/>
          </w:tcPr>
          <w:p>
            <w:pPr>
              <w:pStyle w:val="0"/>
              <w:jc w:val="both"/>
            </w:pPr>
            <w:r>
              <w:rPr>
                <w:sz w:val="20"/>
              </w:rPr>
              <w:t xml:space="preserve">01.01.2023</w:t>
            </w:r>
          </w:p>
        </w:tc>
        <w:tc>
          <w:tcPr>
            <w:tcW w:w="1871" w:type="dxa"/>
          </w:tcPr>
          <w:p>
            <w:pPr>
              <w:pStyle w:val="0"/>
              <w:jc w:val="both"/>
            </w:pPr>
            <w:r>
              <w:rPr>
                <w:sz w:val="20"/>
              </w:rPr>
              <w:t xml:space="preserve">ДЗГС</w:t>
            </w:r>
          </w:p>
        </w:tc>
        <w:tc>
          <w:tcPr>
            <w:tcW w:w="2551" w:type="dxa"/>
          </w:tcPr>
          <w:p>
            <w:pPr>
              <w:pStyle w:val="0"/>
              <w:jc w:val="both"/>
            </w:pPr>
            <w:r>
              <w:rPr>
                <w:sz w:val="20"/>
              </w:rPr>
              <w:t xml:space="preserve">Нормативный правовой акт</w:t>
            </w:r>
          </w:p>
        </w:tc>
        <w:tc>
          <w:tcPr>
            <w:tcW w:w="2551" w:type="dxa"/>
          </w:tcPr>
          <w:p>
            <w:pPr>
              <w:pStyle w:val="0"/>
              <w:jc w:val="both"/>
            </w:pPr>
            <w:r>
              <w:rPr>
                <w:sz w:val="20"/>
              </w:rPr>
              <w:t xml:space="preserve">Приказ по льготному лекарственному обеспечению пациентов с врожденными и наследственными заболеваниями, выявленными в рамках РНС</w:t>
            </w:r>
          </w:p>
        </w:tc>
        <w:tc>
          <w:tcPr>
            <w:tcW w:w="2324" w:type="dxa"/>
          </w:tcPr>
          <w:p>
            <w:pPr>
              <w:pStyle w:val="0"/>
              <w:jc w:val="both"/>
            </w:pPr>
            <w:r>
              <w:rPr>
                <w:sz w:val="20"/>
              </w:rPr>
              <w:t xml:space="preserve">Утверждение приказа</w:t>
            </w:r>
          </w:p>
        </w:tc>
      </w:tr>
      <w:tr>
        <w:tc>
          <w:tcPr>
            <w:tcW w:w="737" w:type="dxa"/>
          </w:tcPr>
          <w:p>
            <w:pPr>
              <w:pStyle w:val="0"/>
              <w:jc w:val="both"/>
            </w:pPr>
            <w:r>
              <w:rPr>
                <w:sz w:val="20"/>
              </w:rPr>
              <w:t xml:space="preserve">1.4.</w:t>
            </w:r>
          </w:p>
        </w:tc>
        <w:tc>
          <w:tcPr>
            <w:tcW w:w="2721" w:type="dxa"/>
          </w:tcPr>
          <w:p>
            <w:pPr>
              <w:pStyle w:val="0"/>
              <w:jc w:val="both"/>
            </w:pPr>
            <w:r>
              <w:rPr>
                <w:sz w:val="20"/>
              </w:rPr>
              <w:t xml:space="preserve">Взаимодействие с Фондом "Круг добра"</w:t>
            </w:r>
          </w:p>
        </w:tc>
        <w:tc>
          <w:tcPr>
            <w:tcW w:w="1361" w:type="dxa"/>
          </w:tcPr>
          <w:p>
            <w:pPr>
              <w:pStyle w:val="0"/>
              <w:jc w:val="both"/>
            </w:pPr>
            <w:r>
              <w:rPr>
                <w:sz w:val="20"/>
              </w:rPr>
              <w:t xml:space="preserve">20.12.2022</w:t>
            </w:r>
          </w:p>
        </w:tc>
        <w:tc>
          <w:tcPr>
            <w:tcW w:w="1474" w:type="dxa"/>
          </w:tcPr>
          <w:p>
            <w:pPr>
              <w:pStyle w:val="0"/>
              <w:jc w:val="both"/>
            </w:pPr>
            <w:r>
              <w:rPr>
                <w:sz w:val="20"/>
              </w:rPr>
              <w:t xml:space="preserve">01.01.2023</w:t>
            </w:r>
          </w:p>
        </w:tc>
        <w:tc>
          <w:tcPr>
            <w:tcW w:w="1871" w:type="dxa"/>
          </w:tcPr>
          <w:p>
            <w:pPr>
              <w:pStyle w:val="0"/>
              <w:jc w:val="both"/>
            </w:pPr>
            <w:r>
              <w:rPr>
                <w:sz w:val="20"/>
              </w:rPr>
              <w:t xml:space="preserve">ДЗГС</w:t>
            </w:r>
          </w:p>
        </w:tc>
        <w:tc>
          <w:tcPr>
            <w:tcW w:w="2551" w:type="dxa"/>
          </w:tcPr>
          <w:p>
            <w:pPr>
              <w:pStyle w:val="0"/>
              <w:jc w:val="both"/>
            </w:pPr>
            <w:r>
              <w:rPr>
                <w:sz w:val="20"/>
              </w:rPr>
              <w:t xml:space="preserve">Соглашение</w:t>
            </w:r>
          </w:p>
        </w:tc>
        <w:tc>
          <w:tcPr>
            <w:tcW w:w="2551" w:type="dxa"/>
          </w:tcPr>
          <w:p>
            <w:pPr>
              <w:pStyle w:val="0"/>
              <w:jc w:val="both"/>
            </w:pPr>
            <w:r>
              <w:rPr>
                <w:sz w:val="20"/>
              </w:rPr>
              <w:t xml:space="preserve">Соглашение с Фондом "Круг добра"</w:t>
            </w:r>
          </w:p>
        </w:tc>
        <w:tc>
          <w:tcPr>
            <w:tcW w:w="2324" w:type="dxa"/>
          </w:tcPr>
          <w:p>
            <w:pPr>
              <w:pStyle w:val="0"/>
              <w:jc w:val="both"/>
            </w:pPr>
            <w:r>
              <w:rPr>
                <w:sz w:val="20"/>
              </w:rPr>
              <w:t xml:space="preserve">Подписание соглашения</w:t>
            </w:r>
          </w:p>
        </w:tc>
      </w:tr>
      <w:tr>
        <w:tc>
          <w:tcPr>
            <w:tcW w:w="737" w:type="dxa"/>
          </w:tcPr>
          <w:p>
            <w:pPr>
              <w:pStyle w:val="0"/>
              <w:jc w:val="both"/>
            </w:pPr>
            <w:r>
              <w:rPr>
                <w:sz w:val="20"/>
              </w:rPr>
              <w:t xml:space="preserve">1.5.</w:t>
            </w:r>
          </w:p>
        </w:tc>
        <w:tc>
          <w:tcPr>
            <w:tcW w:w="2721" w:type="dxa"/>
          </w:tcPr>
          <w:p>
            <w:pPr>
              <w:pStyle w:val="0"/>
              <w:jc w:val="both"/>
            </w:pPr>
            <w:r>
              <w:rPr>
                <w:sz w:val="20"/>
              </w:rPr>
              <w:t xml:space="preserve">Обеспечение проведения РНС</w:t>
            </w:r>
          </w:p>
        </w:tc>
        <w:tc>
          <w:tcPr>
            <w:tcW w:w="1361" w:type="dxa"/>
          </w:tcPr>
          <w:p>
            <w:pPr>
              <w:pStyle w:val="0"/>
              <w:jc w:val="both"/>
            </w:pPr>
            <w:r>
              <w:rPr>
                <w:sz w:val="20"/>
              </w:rPr>
              <w:t xml:space="preserve">20.12.2022</w:t>
            </w:r>
          </w:p>
        </w:tc>
        <w:tc>
          <w:tcPr>
            <w:tcW w:w="1474" w:type="dxa"/>
          </w:tcPr>
          <w:p>
            <w:pPr>
              <w:pStyle w:val="0"/>
              <w:jc w:val="both"/>
            </w:pPr>
            <w:r>
              <w:rPr>
                <w:sz w:val="20"/>
              </w:rPr>
              <w:t xml:space="preserve">01.01.2023</w:t>
            </w:r>
          </w:p>
        </w:tc>
        <w:tc>
          <w:tcPr>
            <w:tcW w:w="1871" w:type="dxa"/>
          </w:tcPr>
          <w:p>
            <w:pPr>
              <w:pStyle w:val="0"/>
              <w:jc w:val="both"/>
            </w:pPr>
            <w:r>
              <w:rPr>
                <w:sz w:val="20"/>
              </w:rPr>
              <w:t xml:space="preserve">Городская больница N 5</w:t>
            </w:r>
          </w:p>
        </w:tc>
        <w:tc>
          <w:tcPr>
            <w:tcW w:w="2551" w:type="dxa"/>
          </w:tcPr>
          <w:p>
            <w:pPr>
              <w:pStyle w:val="0"/>
              <w:jc w:val="both"/>
            </w:pPr>
            <w:r>
              <w:rPr>
                <w:sz w:val="20"/>
              </w:rPr>
              <w:t xml:space="preserve">Договор</w:t>
            </w:r>
          </w:p>
        </w:tc>
        <w:tc>
          <w:tcPr>
            <w:tcW w:w="2551" w:type="dxa"/>
          </w:tcPr>
          <w:p>
            <w:pPr>
              <w:pStyle w:val="0"/>
              <w:jc w:val="both"/>
            </w:pPr>
            <w:r>
              <w:rPr>
                <w:sz w:val="20"/>
              </w:rPr>
              <w:t xml:space="preserve">Заключение договоров с ГБУЗ "НИИ-ККБ N 1 им. С.В. Очаповского" Минздрава Краснодарского края, ГБУЗ "Детская краевая клиническая больница" Минздрава Краснодарского края</w:t>
            </w:r>
          </w:p>
        </w:tc>
        <w:tc>
          <w:tcPr>
            <w:tcW w:w="2324" w:type="dxa"/>
          </w:tcPr>
          <w:p>
            <w:pPr>
              <w:pStyle w:val="0"/>
              <w:jc w:val="both"/>
            </w:pPr>
            <w:r>
              <w:rPr>
                <w:sz w:val="20"/>
              </w:rPr>
              <w:t xml:space="preserve">Заключение</w:t>
            </w:r>
          </w:p>
        </w:tc>
      </w:tr>
      <w:tr>
        <w:tc>
          <w:tcPr>
            <w:gridSpan w:val="8"/>
            <w:tcW w:w="15590" w:type="dxa"/>
          </w:tcPr>
          <w:p>
            <w:pPr>
              <w:pStyle w:val="0"/>
              <w:outlineLvl w:val="3"/>
              <w:jc w:val="center"/>
            </w:pPr>
            <w:r>
              <w:rPr>
                <w:sz w:val="20"/>
              </w:rPr>
              <w:t xml:space="preserve">II. Формирование оптимальной маршрутизации, обеспечивающей проведение РНС (отдельный раздел)</w:t>
            </w:r>
          </w:p>
        </w:tc>
      </w:tr>
      <w:tr>
        <w:tc>
          <w:tcPr>
            <w:gridSpan w:val="8"/>
            <w:tcW w:w="15590" w:type="dxa"/>
          </w:tcPr>
          <w:p>
            <w:pPr>
              <w:pStyle w:val="0"/>
              <w:outlineLvl w:val="3"/>
              <w:jc w:val="center"/>
            </w:pPr>
            <w:r>
              <w:rPr>
                <w:sz w:val="20"/>
              </w:rPr>
              <w:t xml:space="preserve">III. Совершенствование материально-технической базы медико-генетических кабинетов медицинских организаций, оказывающих медицинскую помощь пациентам с врожденными и наследственными заболеваниями, выявленными в рамках РНС</w:t>
            </w:r>
          </w:p>
        </w:tc>
      </w:tr>
      <w:tr>
        <w:tc>
          <w:tcPr>
            <w:tcW w:w="737" w:type="dxa"/>
          </w:tcPr>
          <w:p>
            <w:pPr>
              <w:pStyle w:val="0"/>
              <w:jc w:val="both"/>
            </w:pPr>
            <w:r>
              <w:rPr>
                <w:sz w:val="20"/>
              </w:rPr>
              <w:t xml:space="preserve">3.1.</w:t>
            </w:r>
          </w:p>
        </w:tc>
        <w:tc>
          <w:tcPr>
            <w:tcW w:w="2721" w:type="dxa"/>
          </w:tcPr>
          <w:p>
            <w:pPr>
              <w:pStyle w:val="0"/>
              <w:jc w:val="both"/>
            </w:pPr>
            <w:r>
              <w:rPr>
                <w:sz w:val="20"/>
              </w:rPr>
              <w:t xml:space="preserve">Ремонт помещений медико-генетических кабинетов</w:t>
            </w:r>
          </w:p>
        </w:tc>
        <w:tc>
          <w:tcPr>
            <w:tcW w:w="1361" w:type="dxa"/>
          </w:tcPr>
          <w:p>
            <w:pPr>
              <w:pStyle w:val="0"/>
              <w:jc w:val="both"/>
            </w:pPr>
            <w:r>
              <w:rPr>
                <w:sz w:val="20"/>
              </w:rPr>
              <w:t xml:space="preserve">01.04.2023</w:t>
            </w:r>
          </w:p>
        </w:tc>
        <w:tc>
          <w:tcPr>
            <w:tcW w:w="1474" w:type="dxa"/>
          </w:tcPr>
          <w:p>
            <w:pPr>
              <w:pStyle w:val="0"/>
              <w:jc w:val="both"/>
            </w:pPr>
            <w:r>
              <w:rPr>
                <w:sz w:val="20"/>
              </w:rPr>
              <w:t xml:space="preserve">31.12.2024</w:t>
            </w:r>
          </w:p>
        </w:tc>
        <w:tc>
          <w:tcPr>
            <w:tcW w:w="1871" w:type="dxa"/>
          </w:tcPr>
          <w:p>
            <w:pPr>
              <w:pStyle w:val="0"/>
              <w:jc w:val="both"/>
            </w:pPr>
            <w:r>
              <w:rPr>
                <w:sz w:val="20"/>
              </w:rPr>
              <w:t xml:space="preserve">Городская больница N 5</w:t>
            </w:r>
          </w:p>
        </w:tc>
        <w:tc>
          <w:tcPr>
            <w:tcW w:w="2551" w:type="dxa"/>
          </w:tcPr>
          <w:p>
            <w:pPr>
              <w:pStyle w:val="0"/>
              <w:jc w:val="both"/>
            </w:pPr>
            <w:r>
              <w:rPr>
                <w:sz w:val="20"/>
              </w:rPr>
              <w:t xml:space="preserve">Кабинеты соответствуют </w:t>
            </w:r>
            <w:hyperlink w:history="0" r:id="rId1046"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Порядку</w:t>
              </w:r>
            </w:hyperlink>
            <w:r>
              <w:rPr>
                <w:sz w:val="20"/>
              </w:rPr>
              <w:t xml:space="preserve"> оказания медицинской помощи пациентам с врожденными и наследственными заболеваниями, утвержденному приказом Министерства здравоохранения Российской Федерации от 21.04.2022 N 274н "Об утверждении Порядка оказания медицинской помощи пациентам с врожденными и наследственными заболеваниями"</w:t>
            </w:r>
          </w:p>
        </w:tc>
        <w:tc>
          <w:tcPr>
            <w:tcW w:w="2551" w:type="dxa"/>
          </w:tcPr>
          <w:p>
            <w:pPr>
              <w:pStyle w:val="0"/>
              <w:jc w:val="both"/>
            </w:pPr>
            <w:r>
              <w:rPr>
                <w:sz w:val="20"/>
              </w:rPr>
            </w:r>
          </w:p>
        </w:tc>
        <w:tc>
          <w:tcPr>
            <w:tcW w:w="2324" w:type="dxa"/>
          </w:tcPr>
          <w:p>
            <w:pPr>
              <w:pStyle w:val="0"/>
              <w:jc w:val="both"/>
            </w:pPr>
            <w:r>
              <w:rPr>
                <w:sz w:val="20"/>
              </w:rPr>
              <w:t xml:space="preserve">Разовое (неделимое)</w:t>
            </w:r>
          </w:p>
        </w:tc>
      </w:tr>
      <w:tr>
        <w:tc>
          <w:tcPr>
            <w:tcW w:w="737" w:type="dxa"/>
          </w:tcPr>
          <w:p>
            <w:pPr>
              <w:pStyle w:val="0"/>
              <w:jc w:val="both"/>
            </w:pPr>
            <w:r>
              <w:rPr>
                <w:sz w:val="20"/>
              </w:rPr>
              <w:t xml:space="preserve">3.2.</w:t>
            </w:r>
          </w:p>
        </w:tc>
        <w:tc>
          <w:tcPr>
            <w:tcW w:w="2721" w:type="dxa"/>
          </w:tcPr>
          <w:p>
            <w:pPr>
              <w:pStyle w:val="0"/>
              <w:jc w:val="both"/>
            </w:pPr>
            <w:r>
              <w:rPr>
                <w:sz w:val="20"/>
              </w:rPr>
              <w:t xml:space="preserve">Переоснащение и дооснащение оборудованием медико-генетических кабинетов</w:t>
            </w:r>
          </w:p>
        </w:tc>
        <w:tc>
          <w:tcPr>
            <w:tcW w:w="1361" w:type="dxa"/>
          </w:tcPr>
          <w:p>
            <w:pPr>
              <w:pStyle w:val="0"/>
              <w:jc w:val="both"/>
            </w:pPr>
            <w:r>
              <w:rPr>
                <w:sz w:val="20"/>
              </w:rPr>
              <w:t xml:space="preserve">01.04.2023</w:t>
            </w:r>
          </w:p>
        </w:tc>
        <w:tc>
          <w:tcPr>
            <w:tcW w:w="1474" w:type="dxa"/>
          </w:tcPr>
          <w:p>
            <w:pPr>
              <w:pStyle w:val="0"/>
              <w:jc w:val="both"/>
            </w:pPr>
            <w:r>
              <w:rPr>
                <w:sz w:val="20"/>
              </w:rPr>
              <w:t xml:space="preserve">31.12.2024</w:t>
            </w:r>
          </w:p>
        </w:tc>
        <w:tc>
          <w:tcPr>
            <w:tcW w:w="1871" w:type="dxa"/>
          </w:tcPr>
          <w:p>
            <w:pPr>
              <w:pStyle w:val="0"/>
              <w:jc w:val="both"/>
            </w:pPr>
            <w:r>
              <w:rPr>
                <w:sz w:val="20"/>
              </w:rPr>
              <w:t xml:space="preserve">Городская больница N 5</w:t>
            </w:r>
          </w:p>
        </w:tc>
        <w:tc>
          <w:tcPr>
            <w:tcW w:w="2551" w:type="dxa"/>
          </w:tcPr>
          <w:p>
            <w:pPr>
              <w:pStyle w:val="0"/>
              <w:jc w:val="both"/>
            </w:pPr>
            <w:r>
              <w:rPr>
                <w:sz w:val="20"/>
              </w:rPr>
              <w:t xml:space="preserve">Кабинеты соответствуют </w:t>
            </w:r>
            <w:hyperlink w:history="0" r:id="rId1047"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Порядку</w:t>
              </w:r>
            </w:hyperlink>
            <w:r>
              <w:rPr>
                <w:sz w:val="20"/>
              </w:rPr>
              <w:t xml:space="preserve"> оказания медицинской помощи пациентам с врожденными и наследственными заболеваниями, утвержденному приказом Министерства здравоохранения Российской Федерации от 21.04.2022 N 274н "Об утверждении Порядка оказания медицинской помощи пациентам с врожденными и наследственными заболеваниями"</w:t>
            </w:r>
          </w:p>
        </w:tc>
        <w:tc>
          <w:tcPr>
            <w:tcW w:w="2551" w:type="dxa"/>
          </w:tcPr>
          <w:p>
            <w:pPr>
              <w:pStyle w:val="0"/>
              <w:jc w:val="both"/>
            </w:pPr>
            <w:r>
              <w:rPr>
                <w:sz w:val="20"/>
              </w:rPr>
            </w:r>
          </w:p>
        </w:tc>
        <w:tc>
          <w:tcPr>
            <w:tcW w:w="2324" w:type="dxa"/>
          </w:tcPr>
          <w:p>
            <w:pPr>
              <w:pStyle w:val="0"/>
              <w:jc w:val="both"/>
            </w:pPr>
            <w:r>
              <w:rPr>
                <w:sz w:val="20"/>
              </w:rPr>
              <w:t xml:space="preserve">Разовое (неделимое)</w:t>
            </w:r>
          </w:p>
        </w:tc>
      </w:tr>
      <w:tr>
        <w:tc>
          <w:tcPr>
            <w:gridSpan w:val="8"/>
            <w:tcW w:w="15590" w:type="dxa"/>
          </w:tcPr>
          <w:p>
            <w:pPr>
              <w:pStyle w:val="0"/>
              <w:outlineLvl w:val="3"/>
              <w:jc w:val="center"/>
            </w:pPr>
            <w:r>
              <w:rPr>
                <w:sz w:val="20"/>
              </w:rPr>
              <w:t xml:space="preserve">IV. Обеспечение квалифицированными кадрами медицинских организаций, оказывающих медицинскую помощь детям с врожденными и наследственными заболеваниями, выявленными в рамках РНС</w:t>
            </w:r>
          </w:p>
        </w:tc>
      </w:tr>
      <w:tr>
        <w:tc>
          <w:tcPr>
            <w:tcW w:w="737" w:type="dxa"/>
          </w:tcPr>
          <w:p>
            <w:pPr>
              <w:pStyle w:val="0"/>
              <w:jc w:val="both"/>
            </w:pPr>
            <w:r>
              <w:rPr>
                <w:sz w:val="20"/>
              </w:rPr>
              <w:t xml:space="preserve">4.1.</w:t>
            </w:r>
          </w:p>
        </w:tc>
        <w:tc>
          <w:tcPr>
            <w:tcW w:w="2721" w:type="dxa"/>
          </w:tcPr>
          <w:p>
            <w:pPr>
              <w:pStyle w:val="0"/>
              <w:jc w:val="both"/>
            </w:pPr>
            <w:r>
              <w:rPr>
                <w:sz w:val="20"/>
              </w:rPr>
              <w:t xml:space="preserve">Определение потребности города Севастополя в медицинских кадрах по каждой медицинской специальности</w:t>
            </w:r>
          </w:p>
        </w:tc>
        <w:tc>
          <w:tcPr>
            <w:tcW w:w="1361" w:type="dxa"/>
          </w:tcPr>
          <w:p>
            <w:pPr>
              <w:pStyle w:val="0"/>
              <w:jc w:val="both"/>
            </w:pPr>
            <w:r>
              <w:rPr>
                <w:sz w:val="20"/>
              </w:rPr>
              <w:t xml:space="preserve">01.01.2023</w:t>
            </w:r>
          </w:p>
        </w:tc>
        <w:tc>
          <w:tcPr>
            <w:tcW w:w="1474" w:type="dxa"/>
          </w:tcPr>
          <w:p>
            <w:pPr>
              <w:pStyle w:val="0"/>
              <w:jc w:val="both"/>
            </w:pPr>
            <w:r>
              <w:rPr>
                <w:sz w:val="20"/>
              </w:rPr>
              <w:t xml:space="preserve">31.12.2023</w:t>
            </w:r>
          </w:p>
        </w:tc>
        <w:tc>
          <w:tcPr>
            <w:tcW w:w="1871" w:type="dxa"/>
          </w:tcPr>
          <w:p>
            <w:pPr>
              <w:pStyle w:val="0"/>
              <w:jc w:val="both"/>
            </w:pPr>
            <w:r>
              <w:rPr>
                <w:sz w:val="20"/>
              </w:rPr>
              <w:t xml:space="preserve">Городская больница N 5</w:t>
            </w:r>
          </w:p>
        </w:tc>
        <w:tc>
          <w:tcPr>
            <w:tcW w:w="2551" w:type="dxa"/>
          </w:tcPr>
          <w:p>
            <w:pPr>
              <w:pStyle w:val="0"/>
              <w:jc w:val="both"/>
            </w:pPr>
            <w:r>
              <w:rPr>
                <w:sz w:val="20"/>
              </w:rPr>
              <w:t xml:space="preserve">Обеспечение города Севастополя специалистами по соответствующему медицинскому профилю</w:t>
            </w:r>
          </w:p>
        </w:tc>
        <w:tc>
          <w:tcPr>
            <w:tcW w:w="2551" w:type="dxa"/>
          </w:tcPr>
          <w:p>
            <w:pPr>
              <w:pStyle w:val="0"/>
              <w:jc w:val="both"/>
            </w:pPr>
            <w:r>
              <w:rPr>
                <w:sz w:val="20"/>
              </w:rPr>
              <w:t xml:space="preserve">Приказ ДЗГС</w:t>
            </w:r>
          </w:p>
        </w:tc>
        <w:tc>
          <w:tcPr>
            <w:tcW w:w="2324" w:type="dxa"/>
          </w:tcPr>
          <w:p>
            <w:pPr>
              <w:pStyle w:val="0"/>
              <w:jc w:val="both"/>
            </w:pPr>
            <w:r>
              <w:rPr>
                <w:sz w:val="20"/>
              </w:rPr>
              <w:t xml:space="preserve">Разовое (неделимое)</w:t>
            </w:r>
          </w:p>
        </w:tc>
      </w:tr>
      <w:tr>
        <w:tc>
          <w:tcPr>
            <w:tcW w:w="737" w:type="dxa"/>
          </w:tcPr>
          <w:p>
            <w:pPr>
              <w:pStyle w:val="0"/>
              <w:jc w:val="both"/>
            </w:pPr>
            <w:r>
              <w:rPr>
                <w:sz w:val="20"/>
              </w:rPr>
              <w:t xml:space="preserve">4.2.</w:t>
            </w:r>
          </w:p>
        </w:tc>
        <w:tc>
          <w:tcPr>
            <w:tcW w:w="2721" w:type="dxa"/>
          </w:tcPr>
          <w:p>
            <w:pPr>
              <w:pStyle w:val="0"/>
              <w:jc w:val="both"/>
            </w:pPr>
            <w:r>
              <w:rPr>
                <w:sz w:val="20"/>
              </w:rPr>
              <w:t xml:space="preserve">Проведение непрерывного медицинского образования специалистов и средних медицинских работников, участвующих в оказании помощи пациентам с врожденными и наследственными заболеваниями</w:t>
            </w:r>
          </w:p>
        </w:tc>
        <w:tc>
          <w:tcPr>
            <w:tcW w:w="1361" w:type="dxa"/>
          </w:tcPr>
          <w:p>
            <w:pPr>
              <w:pStyle w:val="0"/>
              <w:jc w:val="both"/>
            </w:pPr>
            <w:r>
              <w:rPr>
                <w:sz w:val="20"/>
              </w:rPr>
              <w:t xml:space="preserve">31.12.2022</w:t>
            </w:r>
          </w:p>
        </w:tc>
        <w:tc>
          <w:tcPr>
            <w:tcW w:w="1474" w:type="dxa"/>
          </w:tcPr>
          <w:p>
            <w:pPr>
              <w:pStyle w:val="0"/>
              <w:jc w:val="both"/>
            </w:pPr>
            <w:r>
              <w:rPr>
                <w:sz w:val="20"/>
              </w:rPr>
              <w:t xml:space="preserve">31.12.2025</w:t>
            </w:r>
          </w:p>
        </w:tc>
        <w:tc>
          <w:tcPr>
            <w:tcW w:w="1871" w:type="dxa"/>
          </w:tcPr>
          <w:p>
            <w:pPr>
              <w:pStyle w:val="0"/>
              <w:jc w:val="both"/>
            </w:pPr>
            <w:r>
              <w:rPr>
                <w:sz w:val="20"/>
              </w:rPr>
              <w:t xml:space="preserve">Городская больница N 5</w:t>
            </w:r>
          </w:p>
        </w:tc>
        <w:tc>
          <w:tcPr>
            <w:tcW w:w="2551" w:type="dxa"/>
          </w:tcPr>
          <w:p>
            <w:pPr>
              <w:pStyle w:val="0"/>
              <w:jc w:val="both"/>
            </w:pPr>
            <w:r>
              <w:rPr>
                <w:sz w:val="20"/>
              </w:rPr>
              <w:t xml:space="preserve">Обмен опытом, повышение квалификации</w:t>
            </w:r>
          </w:p>
        </w:tc>
        <w:tc>
          <w:tcPr>
            <w:tcW w:w="2551" w:type="dxa"/>
          </w:tcPr>
          <w:p>
            <w:pPr>
              <w:pStyle w:val="0"/>
              <w:jc w:val="both"/>
            </w:pPr>
            <w:r>
              <w:rPr>
                <w:sz w:val="20"/>
              </w:rPr>
              <w:t xml:space="preserve">Соглашение с образовательными центрами</w:t>
            </w:r>
          </w:p>
        </w:tc>
        <w:tc>
          <w:tcPr>
            <w:tcW w:w="2324" w:type="dxa"/>
          </w:tcPr>
          <w:p>
            <w:pPr>
              <w:pStyle w:val="0"/>
              <w:jc w:val="both"/>
            </w:pPr>
            <w:r>
              <w:rPr>
                <w:sz w:val="20"/>
              </w:rPr>
              <w:t xml:space="preserve">Постоянно</w:t>
            </w:r>
          </w:p>
        </w:tc>
      </w:tr>
      <w:tr>
        <w:tc>
          <w:tcPr>
            <w:tcW w:w="737" w:type="dxa"/>
          </w:tcPr>
          <w:p>
            <w:pPr>
              <w:pStyle w:val="0"/>
              <w:jc w:val="both"/>
            </w:pPr>
            <w:r>
              <w:rPr>
                <w:sz w:val="20"/>
              </w:rPr>
              <w:t xml:space="preserve">4.3.</w:t>
            </w:r>
          </w:p>
        </w:tc>
        <w:tc>
          <w:tcPr>
            <w:tcW w:w="2721" w:type="dxa"/>
          </w:tcPr>
          <w:p>
            <w:pPr>
              <w:pStyle w:val="0"/>
              <w:jc w:val="both"/>
            </w:pPr>
            <w:r>
              <w:rPr>
                <w:sz w:val="20"/>
              </w:rPr>
              <w:t xml:space="preserve">Проведение совместно со специалистами ФГБНУ "Федеральный медико-генетический научный центр им. Н.П. Бочкова" образовательных мероприятий по организации РНС для врачей-генетиков, педиатров, неонатологов, диетолога, невролога, иммунологов, лабораторных генетиков</w:t>
            </w:r>
          </w:p>
        </w:tc>
        <w:tc>
          <w:tcPr>
            <w:tcW w:w="1361" w:type="dxa"/>
          </w:tcPr>
          <w:p>
            <w:pPr>
              <w:pStyle w:val="0"/>
              <w:jc w:val="both"/>
            </w:pPr>
            <w:r>
              <w:rPr>
                <w:sz w:val="20"/>
              </w:rPr>
              <w:t xml:space="preserve">31.12.2022</w:t>
            </w:r>
          </w:p>
        </w:tc>
        <w:tc>
          <w:tcPr>
            <w:tcW w:w="1474" w:type="dxa"/>
          </w:tcPr>
          <w:p>
            <w:pPr>
              <w:pStyle w:val="0"/>
              <w:jc w:val="both"/>
            </w:pPr>
            <w:r>
              <w:rPr>
                <w:sz w:val="20"/>
              </w:rPr>
              <w:t xml:space="preserve">31.12.2025</w:t>
            </w:r>
          </w:p>
        </w:tc>
        <w:tc>
          <w:tcPr>
            <w:tcW w:w="1871" w:type="dxa"/>
          </w:tcPr>
          <w:p>
            <w:pPr>
              <w:pStyle w:val="0"/>
              <w:jc w:val="both"/>
            </w:pPr>
            <w:r>
              <w:rPr>
                <w:sz w:val="20"/>
              </w:rPr>
              <w:t xml:space="preserve">Городская больница N 5, ДЗГС</w:t>
            </w:r>
          </w:p>
        </w:tc>
        <w:tc>
          <w:tcPr>
            <w:tcW w:w="2551" w:type="dxa"/>
          </w:tcPr>
          <w:p>
            <w:pPr>
              <w:pStyle w:val="0"/>
              <w:jc w:val="both"/>
            </w:pPr>
            <w:r>
              <w:rPr>
                <w:sz w:val="20"/>
              </w:rPr>
              <w:t xml:space="preserve">Обмен опытом, повышение квалификации</w:t>
            </w:r>
          </w:p>
        </w:tc>
        <w:tc>
          <w:tcPr>
            <w:tcW w:w="2551" w:type="dxa"/>
          </w:tcPr>
          <w:p>
            <w:pPr>
              <w:pStyle w:val="0"/>
              <w:jc w:val="both"/>
            </w:pPr>
            <w:r>
              <w:rPr>
                <w:sz w:val="20"/>
              </w:rPr>
              <w:t xml:space="preserve">Соглашение с ФГБНУ "Федеральный медико-генетический научный центр им Н.П. Бочкова"</w:t>
            </w:r>
          </w:p>
        </w:tc>
        <w:tc>
          <w:tcPr>
            <w:tcW w:w="2324" w:type="dxa"/>
          </w:tcPr>
          <w:p>
            <w:pPr>
              <w:pStyle w:val="0"/>
              <w:jc w:val="both"/>
            </w:pPr>
            <w:r>
              <w:rPr>
                <w:sz w:val="20"/>
              </w:rPr>
              <w:t xml:space="preserve">Постоянно</w:t>
            </w:r>
          </w:p>
        </w:tc>
      </w:tr>
      <w:tr>
        <w:tc>
          <w:tcPr>
            <w:gridSpan w:val="8"/>
            <w:tcW w:w="15590" w:type="dxa"/>
          </w:tcPr>
          <w:p>
            <w:pPr>
              <w:pStyle w:val="0"/>
              <w:outlineLvl w:val="3"/>
              <w:jc w:val="center"/>
            </w:pPr>
            <w:r>
              <w:rPr>
                <w:sz w:val="20"/>
              </w:rPr>
              <w:t xml:space="preserve">V. Информационное взаимодействие, сопровождающее оказание медицинской помощи детям с врожденными и наследственными заболеваниями, выявленными при РНС</w:t>
            </w:r>
          </w:p>
        </w:tc>
      </w:tr>
      <w:tr>
        <w:tc>
          <w:tcPr>
            <w:tcW w:w="737" w:type="dxa"/>
          </w:tcPr>
          <w:p>
            <w:pPr>
              <w:pStyle w:val="0"/>
              <w:jc w:val="both"/>
            </w:pPr>
            <w:r>
              <w:rPr>
                <w:sz w:val="20"/>
              </w:rPr>
              <w:t xml:space="preserve">5.1.</w:t>
            </w:r>
          </w:p>
        </w:tc>
        <w:tc>
          <w:tcPr>
            <w:tcW w:w="2721" w:type="dxa"/>
          </w:tcPr>
          <w:p>
            <w:pPr>
              <w:pStyle w:val="0"/>
              <w:jc w:val="both"/>
            </w:pPr>
            <w:r>
              <w:rPr>
                <w:sz w:val="20"/>
              </w:rPr>
              <w:t xml:space="preserve">Создание рабочей группы по осуществлению информационного взаимодействия в рамках проведения НС и РНС</w:t>
            </w:r>
          </w:p>
        </w:tc>
        <w:tc>
          <w:tcPr>
            <w:tcW w:w="1361" w:type="dxa"/>
          </w:tcPr>
          <w:p>
            <w:pPr>
              <w:pStyle w:val="0"/>
              <w:jc w:val="both"/>
            </w:pPr>
            <w:r>
              <w:rPr>
                <w:sz w:val="20"/>
              </w:rPr>
              <w:t xml:space="preserve">20.11.2022</w:t>
            </w:r>
          </w:p>
        </w:tc>
        <w:tc>
          <w:tcPr>
            <w:tcW w:w="1474" w:type="dxa"/>
          </w:tcPr>
          <w:p>
            <w:pPr>
              <w:pStyle w:val="0"/>
              <w:jc w:val="both"/>
            </w:pPr>
            <w:r>
              <w:rPr>
                <w:sz w:val="20"/>
              </w:rPr>
              <w:t xml:space="preserve">01.12.2022</w:t>
            </w:r>
          </w:p>
        </w:tc>
        <w:tc>
          <w:tcPr>
            <w:tcW w:w="1871" w:type="dxa"/>
          </w:tcPr>
          <w:p>
            <w:pPr>
              <w:pStyle w:val="0"/>
              <w:jc w:val="both"/>
            </w:pPr>
            <w:r>
              <w:rPr>
                <w:sz w:val="20"/>
              </w:rPr>
              <w:t xml:space="preserve">МИАЦ, Городская больница N 5</w:t>
            </w:r>
          </w:p>
        </w:tc>
        <w:tc>
          <w:tcPr>
            <w:tcW w:w="2551" w:type="dxa"/>
          </w:tcPr>
          <w:p>
            <w:pPr>
              <w:pStyle w:val="0"/>
              <w:jc w:val="both"/>
            </w:pPr>
            <w:r>
              <w:rPr>
                <w:sz w:val="20"/>
              </w:rPr>
              <w:t xml:space="preserve">Нормативно-правовой документ</w:t>
            </w:r>
          </w:p>
        </w:tc>
        <w:tc>
          <w:tcPr>
            <w:tcW w:w="2551" w:type="dxa"/>
          </w:tcPr>
          <w:p>
            <w:pPr>
              <w:pStyle w:val="0"/>
              <w:jc w:val="both"/>
            </w:pPr>
            <w:r>
              <w:rPr>
                <w:sz w:val="20"/>
              </w:rPr>
              <w:t xml:space="preserve">Приказ о создании рабочей группы по осуществлению информационного взаимодействия в рамках проведения НС и РНС</w:t>
            </w:r>
          </w:p>
        </w:tc>
        <w:tc>
          <w:tcPr>
            <w:tcW w:w="2324" w:type="dxa"/>
          </w:tcPr>
          <w:p>
            <w:pPr>
              <w:pStyle w:val="0"/>
              <w:jc w:val="both"/>
            </w:pPr>
            <w:r>
              <w:rPr>
                <w:sz w:val="20"/>
              </w:rPr>
              <w:t xml:space="preserve">Утвержден приказ</w:t>
            </w:r>
          </w:p>
        </w:tc>
      </w:tr>
      <w:tr>
        <w:tc>
          <w:tcPr>
            <w:tcW w:w="737" w:type="dxa"/>
          </w:tcPr>
          <w:p>
            <w:pPr>
              <w:pStyle w:val="0"/>
              <w:jc w:val="both"/>
            </w:pPr>
            <w:r>
              <w:rPr>
                <w:sz w:val="20"/>
              </w:rPr>
              <w:t xml:space="preserve">5.2.</w:t>
            </w:r>
          </w:p>
        </w:tc>
        <w:tc>
          <w:tcPr>
            <w:tcW w:w="2721" w:type="dxa"/>
          </w:tcPr>
          <w:p>
            <w:pPr>
              <w:pStyle w:val="0"/>
              <w:jc w:val="both"/>
            </w:pPr>
            <w:r>
              <w:rPr>
                <w:sz w:val="20"/>
              </w:rPr>
              <w:t xml:space="preserve">Создание дорожной карты по осуществлению информационного взаимодействия в рамках проведения НС и РНС</w:t>
            </w:r>
          </w:p>
        </w:tc>
        <w:tc>
          <w:tcPr>
            <w:tcW w:w="1361" w:type="dxa"/>
          </w:tcPr>
          <w:p>
            <w:pPr>
              <w:pStyle w:val="0"/>
              <w:jc w:val="both"/>
            </w:pPr>
            <w:r>
              <w:rPr>
                <w:sz w:val="20"/>
              </w:rPr>
              <w:t xml:space="preserve">20.11.2022</w:t>
            </w:r>
          </w:p>
        </w:tc>
        <w:tc>
          <w:tcPr>
            <w:tcW w:w="1474" w:type="dxa"/>
          </w:tcPr>
          <w:p>
            <w:pPr>
              <w:pStyle w:val="0"/>
              <w:jc w:val="both"/>
            </w:pPr>
            <w:r>
              <w:rPr>
                <w:sz w:val="20"/>
              </w:rPr>
              <w:t xml:space="preserve">01.12.2022</w:t>
            </w:r>
          </w:p>
        </w:tc>
        <w:tc>
          <w:tcPr>
            <w:tcW w:w="1871" w:type="dxa"/>
          </w:tcPr>
          <w:p>
            <w:pPr>
              <w:pStyle w:val="0"/>
              <w:jc w:val="both"/>
            </w:pPr>
            <w:r>
              <w:rPr>
                <w:sz w:val="20"/>
              </w:rPr>
              <w:t xml:space="preserve">МИАЦ</w:t>
            </w:r>
          </w:p>
        </w:tc>
        <w:tc>
          <w:tcPr>
            <w:tcW w:w="2551" w:type="dxa"/>
          </w:tcPr>
          <w:p>
            <w:pPr>
              <w:pStyle w:val="0"/>
              <w:jc w:val="both"/>
            </w:pPr>
            <w:r>
              <w:rPr>
                <w:sz w:val="20"/>
              </w:rPr>
              <w:t xml:space="preserve">Нормативно-правовой документ</w:t>
            </w:r>
          </w:p>
        </w:tc>
        <w:tc>
          <w:tcPr>
            <w:tcW w:w="2551" w:type="dxa"/>
          </w:tcPr>
          <w:p>
            <w:pPr>
              <w:pStyle w:val="0"/>
              <w:jc w:val="both"/>
            </w:pPr>
            <w:r>
              <w:rPr>
                <w:sz w:val="20"/>
              </w:rPr>
              <w:t xml:space="preserve">Приказ об утверждении дорожной карты по осуществлению информационного взаимодействия в рамках проведения НС и РНС</w:t>
            </w:r>
          </w:p>
        </w:tc>
        <w:tc>
          <w:tcPr>
            <w:tcW w:w="2324" w:type="dxa"/>
          </w:tcPr>
          <w:p>
            <w:pPr>
              <w:pStyle w:val="0"/>
              <w:jc w:val="both"/>
            </w:pPr>
            <w:r>
              <w:rPr>
                <w:sz w:val="20"/>
              </w:rPr>
              <w:t xml:space="preserve">Утвержден приказ</w:t>
            </w:r>
          </w:p>
        </w:tc>
      </w:tr>
      <w:tr>
        <w:tc>
          <w:tcPr>
            <w:tcW w:w="737" w:type="dxa"/>
          </w:tcPr>
          <w:p>
            <w:pPr>
              <w:pStyle w:val="0"/>
              <w:jc w:val="both"/>
            </w:pPr>
            <w:r>
              <w:rPr>
                <w:sz w:val="20"/>
              </w:rPr>
              <w:t xml:space="preserve">5.3.</w:t>
            </w:r>
          </w:p>
        </w:tc>
        <w:tc>
          <w:tcPr>
            <w:tcW w:w="2721" w:type="dxa"/>
          </w:tcPr>
          <w:p>
            <w:pPr>
              <w:pStyle w:val="0"/>
              <w:jc w:val="both"/>
            </w:pPr>
            <w:r>
              <w:rPr>
                <w:sz w:val="20"/>
              </w:rPr>
              <w:t xml:space="preserve">Обеспечение МО, осуществляющих забор крови на НС и РНС, возможностью передачи сведений о факте забора крови (СЭМД "Направление на неонатальный скрининг") в ВИМИС "АКиНЕО"</w:t>
            </w:r>
          </w:p>
        </w:tc>
        <w:tc>
          <w:tcPr>
            <w:tcW w:w="1361" w:type="dxa"/>
          </w:tcPr>
          <w:p>
            <w:pPr>
              <w:pStyle w:val="0"/>
              <w:jc w:val="both"/>
            </w:pPr>
            <w:r>
              <w:rPr>
                <w:sz w:val="20"/>
              </w:rPr>
              <w:t xml:space="preserve">01.11.2022</w:t>
            </w:r>
          </w:p>
        </w:tc>
        <w:tc>
          <w:tcPr>
            <w:tcW w:w="1474" w:type="dxa"/>
          </w:tcPr>
          <w:p>
            <w:pPr>
              <w:pStyle w:val="0"/>
              <w:jc w:val="both"/>
            </w:pPr>
            <w:r>
              <w:rPr>
                <w:sz w:val="20"/>
              </w:rPr>
              <w:t xml:space="preserve">01.01.2023</w:t>
            </w:r>
          </w:p>
        </w:tc>
        <w:tc>
          <w:tcPr>
            <w:tcW w:w="1871" w:type="dxa"/>
          </w:tcPr>
          <w:p>
            <w:pPr>
              <w:pStyle w:val="0"/>
              <w:jc w:val="both"/>
            </w:pPr>
            <w:r>
              <w:rPr>
                <w:sz w:val="20"/>
              </w:rPr>
              <w:t xml:space="preserve">МИАЦ</w:t>
            </w:r>
          </w:p>
        </w:tc>
        <w:tc>
          <w:tcPr>
            <w:tcW w:w="2551" w:type="dxa"/>
          </w:tcPr>
          <w:p>
            <w:pPr>
              <w:pStyle w:val="0"/>
              <w:jc w:val="both"/>
            </w:pPr>
            <w:r>
              <w:rPr>
                <w:sz w:val="20"/>
              </w:rPr>
              <w:t xml:space="preserve">СЭМД "Направление на неонатальный скрининг" передается в ВИМИС "АКиНЕО"</w:t>
            </w:r>
          </w:p>
        </w:tc>
        <w:tc>
          <w:tcPr>
            <w:tcW w:w="2551" w:type="dxa"/>
          </w:tcPr>
          <w:p>
            <w:pPr>
              <w:pStyle w:val="0"/>
              <w:jc w:val="both"/>
            </w:pPr>
            <w:r>
              <w:rPr>
                <w:sz w:val="20"/>
              </w:rPr>
              <w:t xml:space="preserve">Приказ о вводе в промышленную эксплуатацию функционала</w:t>
            </w:r>
          </w:p>
        </w:tc>
        <w:tc>
          <w:tcPr>
            <w:tcW w:w="2324" w:type="dxa"/>
          </w:tcPr>
          <w:p>
            <w:pPr>
              <w:pStyle w:val="0"/>
              <w:jc w:val="both"/>
            </w:pPr>
            <w:r>
              <w:rPr>
                <w:sz w:val="20"/>
              </w:rPr>
              <w:t xml:space="preserve">Утвержден приказ. Отчет об успешной передаче СЭМД "Направление на неонатальный скрининг" в ВИМИС "АКиНЕО"</w:t>
            </w:r>
          </w:p>
        </w:tc>
      </w:tr>
      <w:tr>
        <w:tc>
          <w:tcPr>
            <w:tcW w:w="737" w:type="dxa"/>
          </w:tcPr>
          <w:p>
            <w:pPr>
              <w:pStyle w:val="0"/>
              <w:jc w:val="both"/>
            </w:pPr>
            <w:r>
              <w:rPr>
                <w:sz w:val="20"/>
              </w:rPr>
              <w:t xml:space="preserve">5.4.</w:t>
            </w:r>
          </w:p>
        </w:tc>
        <w:tc>
          <w:tcPr>
            <w:tcW w:w="2721" w:type="dxa"/>
          </w:tcPr>
          <w:p>
            <w:pPr>
              <w:pStyle w:val="0"/>
              <w:jc w:val="both"/>
            </w:pPr>
            <w:r>
              <w:rPr>
                <w:sz w:val="20"/>
              </w:rPr>
              <w:t xml:space="preserve">Получение доступа к ВИМИС "АКиНЕО" и проведение обучения ответственных специалистов в рамках проведения НС и РНС</w:t>
            </w:r>
          </w:p>
        </w:tc>
        <w:tc>
          <w:tcPr>
            <w:tcW w:w="1361" w:type="dxa"/>
          </w:tcPr>
          <w:p>
            <w:pPr>
              <w:pStyle w:val="0"/>
              <w:jc w:val="both"/>
            </w:pPr>
            <w:r>
              <w:rPr>
                <w:sz w:val="20"/>
              </w:rPr>
              <w:t xml:space="preserve">01.12.2022</w:t>
            </w:r>
          </w:p>
        </w:tc>
        <w:tc>
          <w:tcPr>
            <w:tcW w:w="1474" w:type="dxa"/>
          </w:tcPr>
          <w:p>
            <w:pPr>
              <w:pStyle w:val="0"/>
              <w:jc w:val="both"/>
            </w:pPr>
            <w:r>
              <w:rPr>
                <w:sz w:val="20"/>
              </w:rPr>
              <w:t xml:space="preserve">01.01.2023</w:t>
            </w:r>
          </w:p>
        </w:tc>
        <w:tc>
          <w:tcPr>
            <w:tcW w:w="1871" w:type="dxa"/>
          </w:tcPr>
          <w:p>
            <w:pPr>
              <w:pStyle w:val="0"/>
              <w:jc w:val="both"/>
            </w:pPr>
            <w:r>
              <w:rPr>
                <w:sz w:val="20"/>
              </w:rPr>
              <w:t xml:space="preserve">МИАЦ</w:t>
            </w:r>
          </w:p>
        </w:tc>
        <w:tc>
          <w:tcPr>
            <w:tcW w:w="2551" w:type="dxa"/>
          </w:tcPr>
          <w:p>
            <w:pPr>
              <w:pStyle w:val="0"/>
              <w:jc w:val="both"/>
            </w:pPr>
            <w:r>
              <w:rPr>
                <w:sz w:val="20"/>
              </w:rPr>
              <w:t xml:space="preserve">Доступ в ВИМИС "АКиНЕО"</w:t>
            </w:r>
          </w:p>
        </w:tc>
        <w:tc>
          <w:tcPr>
            <w:tcW w:w="2551" w:type="dxa"/>
          </w:tcPr>
          <w:p>
            <w:pPr>
              <w:pStyle w:val="0"/>
              <w:jc w:val="both"/>
            </w:pPr>
            <w:r>
              <w:rPr>
                <w:sz w:val="20"/>
              </w:rPr>
              <w:t xml:space="preserve">Отчет о получении доступов</w:t>
            </w:r>
          </w:p>
        </w:tc>
        <w:tc>
          <w:tcPr>
            <w:tcW w:w="2324" w:type="dxa"/>
          </w:tcPr>
          <w:p>
            <w:pPr>
              <w:pStyle w:val="0"/>
              <w:jc w:val="both"/>
            </w:pPr>
            <w:r>
              <w:rPr>
                <w:sz w:val="20"/>
              </w:rPr>
              <w:t xml:space="preserve">Все специалисты в рамках проведения НС и РНС обеспечены доступом в ВИМИС "АКиНЕО"</w:t>
            </w:r>
          </w:p>
        </w:tc>
      </w:tr>
      <w:tr>
        <w:tc>
          <w:tcPr>
            <w:tcW w:w="737" w:type="dxa"/>
          </w:tcPr>
          <w:p>
            <w:pPr>
              <w:pStyle w:val="0"/>
              <w:jc w:val="both"/>
            </w:pPr>
            <w:r>
              <w:rPr>
                <w:sz w:val="20"/>
              </w:rPr>
              <w:t xml:space="preserve">5.5.</w:t>
            </w:r>
          </w:p>
        </w:tc>
        <w:tc>
          <w:tcPr>
            <w:tcW w:w="2721" w:type="dxa"/>
          </w:tcPr>
          <w:p>
            <w:pPr>
              <w:pStyle w:val="0"/>
              <w:jc w:val="both"/>
            </w:pPr>
            <w:r>
              <w:rPr>
                <w:sz w:val="20"/>
              </w:rPr>
              <w:t xml:space="preserve">Разработка и ведение регистра детей с врожденными и наследственными заболеваниями, обеспечивающего мониторинг, планирование и контроль ведения больных</w:t>
            </w:r>
          </w:p>
        </w:tc>
        <w:tc>
          <w:tcPr>
            <w:tcW w:w="1361" w:type="dxa"/>
          </w:tcPr>
          <w:p>
            <w:pPr>
              <w:pStyle w:val="0"/>
              <w:jc w:val="both"/>
            </w:pPr>
            <w:r>
              <w:rPr>
                <w:sz w:val="20"/>
              </w:rPr>
              <w:t xml:space="preserve">01.12.2022</w:t>
            </w:r>
          </w:p>
        </w:tc>
        <w:tc>
          <w:tcPr>
            <w:tcW w:w="1474" w:type="dxa"/>
          </w:tcPr>
          <w:p>
            <w:pPr>
              <w:pStyle w:val="0"/>
              <w:jc w:val="both"/>
            </w:pPr>
            <w:r>
              <w:rPr>
                <w:sz w:val="20"/>
              </w:rPr>
              <w:t xml:space="preserve">01.09.2023</w:t>
            </w:r>
          </w:p>
        </w:tc>
        <w:tc>
          <w:tcPr>
            <w:tcW w:w="1871" w:type="dxa"/>
          </w:tcPr>
          <w:p>
            <w:pPr>
              <w:pStyle w:val="0"/>
              <w:jc w:val="both"/>
            </w:pPr>
            <w:r>
              <w:rPr>
                <w:sz w:val="20"/>
              </w:rPr>
              <w:t xml:space="preserve">МИАЦ</w:t>
            </w:r>
          </w:p>
        </w:tc>
        <w:tc>
          <w:tcPr>
            <w:tcW w:w="2551" w:type="dxa"/>
          </w:tcPr>
          <w:p>
            <w:pPr>
              <w:pStyle w:val="0"/>
              <w:jc w:val="both"/>
            </w:pPr>
            <w:r>
              <w:rPr>
                <w:sz w:val="20"/>
              </w:rPr>
              <w:t xml:space="preserve">Регистр детей с врожденными и наследственными заболеваниями</w:t>
            </w:r>
          </w:p>
        </w:tc>
        <w:tc>
          <w:tcPr>
            <w:tcW w:w="2551" w:type="dxa"/>
          </w:tcPr>
          <w:p>
            <w:pPr>
              <w:pStyle w:val="0"/>
              <w:jc w:val="both"/>
            </w:pPr>
            <w:r>
              <w:rPr>
                <w:sz w:val="20"/>
              </w:rPr>
              <w:t xml:space="preserve">Приказ о вводе в промышленную эксплуатацию электронного регистра</w:t>
            </w:r>
          </w:p>
        </w:tc>
        <w:tc>
          <w:tcPr>
            <w:tcW w:w="2324" w:type="dxa"/>
          </w:tcPr>
          <w:p>
            <w:pPr>
              <w:pStyle w:val="0"/>
              <w:jc w:val="both"/>
            </w:pPr>
            <w:r>
              <w:rPr>
                <w:sz w:val="20"/>
              </w:rPr>
              <w:t xml:space="preserve">Утвержден приказ. Отчет о внесении информации о выявлении у детей врожденных и наследственных заболеваний в электронный регистр</w:t>
            </w:r>
          </w:p>
        </w:tc>
      </w:tr>
      <w:tr>
        <w:tc>
          <w:tcPr>
            <w:tcW w:w="737" w:type="dxa"/>
          </w:tcPr>
          <w:p>
            <w:pPr>
              <w:pStyle w:val="0"/>
              <w:jc w:val="both"/>
            </w:pPr>
            <w:r>
              <w:rPr>
                <w:sz w:val="20"/>
              </w:rPr>
              <w:t xml:space="preserve">5.6.</w:t>
            </w:r>
          </w:p>
        </w:tc>
        <w:tc>
          <w:tcPr>
            <w:tcW w:w="2721" w:type="dxa"/>
          </w:tcPr>
          <w:p>
            <w:pPr>
              <w:pStyle w:val="0"/>
              <w:jc w:val="both"/>
            </w:pPr>
            <w:r>
              <w:rPr>
                <w:sz w:val="20"/>
              </w:rPr>
              <w:t xml:space="preserve">Обеспечение МО бесперебойным доступом к сети Интернет, безопасной передачи данных, наличие АРМ врачей и среднего медицинского персонала</w:t>
            </w:r>
          </w:p>
        </w:tc>
        <w:tc>
          <w:tcPr>
            <w:tcW w:w="1361" w:type="dxa"/>
          </w:tcPr>
          <w:p>
            <w:pPr>
              <w:pStyle w:val="0"/>
              <w:jc w:val="both"/>
            </w:pPr>
            <w:r>
              <w:rPr>
                <w:sz w:val="20"/>
              </w:rPr>
              <w:t xml:space="preserve">01.01.2018</w:t>
            </w:r>
          </w:p>
        </w:tc>
        <w:tc>
          <w:tcPr>
            <w:tcW w:w="1474" w:type="dxa"/>
          </w:tcPr>
          <w:p>
            <w:pPr>
              <w:pStyle w:val="0"/>
              <w:jc w:val="both"/>
            </w:pPr>
            <w:r>
              <w:rPr>
                <w:sz w:val="20"/>
              </w:rPr>
              <w:t xml:space="preserve">30.12.2023</w:t>
            </w:r>
          </w:p>
        </w:tc>
        <w:tc>
          <w:tcPr>
            <w:tcW w:w="1871" w:type="dxa"/>
          </w:tcPr>
          <w:p>
            <w:pPr>
              <w:pStyle w:val="0"/>
              <w:jc w:val="both"/>
            </w:pPr>
            <w:r>
              <w:rPr>
                <w:sz w:val="20"/>
              </w:rPr>
              <w:t xml:space="preserve">МИАЦ</w:t>
            </w:r>
          </w:p>
        </w:tc>
        <w:tc>
          <w:tcPr>
            <w:tcW w:w="2551" w:type="dxa"/>
          </w:tcPr>
          <w:p>
            <w:pPr>
              <w:pStyle w:val="0"/>
              <w:jc w:val="both"/>
            </w:pPr>
            <w:r>
              <w:rPr>
                <w:sz w:val="20"/>
              </w:rPr>
              <w:t xml:space="preserve">100% обеспечение АРМ и обеспечение доступом к сети Интернет всех ТВСП МО</w:t>
            </w:r>
          </w:p>
        </w:tc>
        <w:tc>
          <w:tcPr>
            <w:tcW w:w="2551" w:type="dxa"/>
          </w:tcPr>
          <w:p>
            <w:pPr>
              <w:pStyle w:val="0"/>
              <w:jc w:val="both"/>
            </w:pPr>
            <w:r>
              <w:rPr>
                <w:sz w:val="20"/>
              </w:rPr>
              <w:t xml:space="preserve">Отчет об обеспечении МО АРМ и доступом к сети Интернет</w:t>
            </w:r>
          </w:p>
        </w:tc>
        <w:tc>
          <w:tcPr>
            <w:tcW w:w="2324" w:type="dxa"/>
          </w:tcPr>
          <w:p>
            <w:pPr>
              <w:pStyle w:val="0"/>
              <w:jc w:val="both"/>
            </w:pPr>
            <w:r>
              <w:rPr>
                <w:sz w:val="20"/>
              </w:rPr>
              <w:t xml:space="preserve">100% обеспечение АРМ и обеспечение доступом к сети Интернет всех ТВСП МО</w:t>
            </w:r>
          </w:p>
        </w:tc>
      </w:tr>
      <w:tr>
        <w:tc>
          <w:tcPr>
            <w:tcW w:w="737" w:type="dxa"/>
          </w:tcPr>
          <w:p>
            <w:pPr>
              <w:pStyle w:val="0"/>
              <w:jc w:val="both"/>
            </w:pPr>
            <w:r>
              <w:rPr>
                <w:sz w:val="20"/>
              </w:rPr>
              <w:t xml:space="preserve">5.7.</w:t>
            </w:r>
          </w:p>
        </w:tc>
        <w:tc>
          <w:tcPr>
            <w:tcW w:w="2721" w:type="dxa"/>
          </w:tcPr>
          <w:p>
            <w:pPr>
              <w:pStyle w:val="0"/>
              <w:jc w:val="both"/>
            </w:pPr>
            <w:r>
              <w:rPr>
                <w:sz w:val="20"/>
              </w:rPr>
              <w:t xml:space="preserve">Внедрение механизмов обратной связи и информирование об их наличии пациентов, включая использование сайтов МО</w:t>
            </w:r>
          </w:p>
        </w:tc>
        <w:tc>
          <w:tcPr>
            <w:tcW w:w="1361" w:type="dxa"/>
          </w:tcPr>
          <w:p>
            <w:pPr>
              <w:pStyle w:val="0"/>
              <w:jc w:val="both"/>
            </w:pPr>
            <w:r>
              <w:rPr>
                <w:sz w:val="20"/>
              </w:rPr>
              <w:t xml:space="preserve">01.12.2022</w:t>
            </w:r>
          </w:p>
        </w:tc>
        <w:tc>
          <w:tcPr>
            <w:tcW w:w="1474" w:type="dxa"/>
          </w:tcPr>
          <w:p>
            <w:pPr>
              <w:pStyle w:val="0"/>
              <w:jc w:val="both"/>
            </w:pPr>
            <w:r>
              <w:rPr>
                <w:sz w:val="20"/>
              </w:rPr>
              <w:t xml:space="preserve">01.12.2023</w:t>
            </w:r>
          </w:p>
        </w:tc>
        <w:tc>
          <w:tcPr>
            <w:tcW w:w="1871" w:type="dxa"/>
          </w:tcPr>
          <w:p>
            <w:pPr>
              <w:pStyle w:val="0"/>
              <w:jc w:val="both"/>
            </w:pPr>
            <w:r>
              <w:rPr>
                <w:sz w:val="20"/>
              </w:rPr>
              <w:t xml:space="preserve">МИАЦ, Городская больница N 5</w:t>
            </w:r>
          </w:p>
        </w:tc>
        <w:tc>
          <w:tcPr>
            <w:tcW w:w="2551" w:type="dxa"/>
          </w:tcPr>
          <w:p>
            <w:pPr>
              <w:pStyle w:val="0"/>
              <w:jc w:val="both"/>
            </w:pPr>
            <w:r>
              <w:rPr>
                <w:sz w:val="20"/>
              </w:rPr>
              <w:t xml:space="preserve">Внедрен механизм обратной связи</w:t>
            </w:r>
          </w:p>
        </w:tc>
        <w:tc>
          <w:tcPr>
            <w:tcW w:w="2551" w:type="dxa"/>
          </w:tcPr>
          <w:p>
            <w:pPr>
              <w:pStyle w:val="0"/>
              <w:jc w:val="both"/>
            </w:pPr>
            <w:r>
              <w:rPr>
                <w:sz w:val="20"/>
              </w:rPr>
              <w:t xml:space="preserve">Приказ об утверждении положения об обратной связи</w:t>
            </w:r>
          </w:p>
        </w:tc>
        <w:tc>
          <w:tcPr>
            <w:tcW w:w="2324" w:type="dxa"/>
          </w:tcPr>
          <w:p>
            <w:pPr>
              <w:pStyle w:val="0"/>
              <w:jc w:val="both"/>
            </w:pPr>
            <w:r>
              <w:rPr>
                <w:sz w:val="20"/>
              </w:rPr>
              <w:t xml:space="preserve">Утвержден приказ. Пациенты проинформированы</w:t>
            </w:r>
          </w:p>
        </w:tc>
      </w:tr>
      <w:tr>
        <w:tc>
          <w:tcPr>
            <w:tcW w:w="737" w:type="dxa"/>
          </w:tcPr>
          <w:p>
            <w:pPr>
              <w:pStyle w:val="0"/>
              <w:jc w:val="both"/>
            </w:pPr>
            <w:r>
              <w:rPr>
                <w:sz w:val="20"/>
              </w:rPr>
              <w:t xml:space="preserve">5.8.</w:t>
            </w:r>
          </w:p>
        </w:tc>
        <w:tc>
          <w:tcPr>
            <w:tcW w:w="2721" w:type="dxa"/>
          </w:tcPr>
          <w:p>
            <w:pPr>
              <w:pStyle w:val="0"/>
              <w:jc w:val="both"/>
            </w:pPr>
            <w:r>
              <w:rPr>
                <w:sz w:val="20"/>
              </w:rPr>
              <w:t xml:space="preserve">Организация и обеспечение функционирования телемедицинского центра для консультации пациентов с выявленными врожденными и наследственными заболеваниями</w:t>
            </w:r>
          </w:p>
        </w:tc>
        <w:tc>
          <w:tcPr>
            <w:tcW w:w="1361" w:type="dxa"/>
          </w:tcPr>
          <w:p>
            <w:pPr>
              <w:pStyle w:val="0"/>
              <w:jc w:val="both"/>
            </w:pPr>
            <w:r>
              <w:rPr>
                <w:sz w:val="20"/>
              </w:rPr>
              <w:t xml:space="preserve">01.01.2023</w:t>
            </w:r>
          </w:p>
        </w:tc>
        <w:tc>
          <w:tcPr>
            <w:tcW w:w="1474" w:type="dxa"/>
          </w:tcPr>
          <w:p>
            <w:pPr>
              <w:pStyle w:val="0"/>
              <w:jc w:val="both"/>
            </w:pPr>
            <w:r>
              <w:rPr>
                <w:sz w:val="20"/>
              </w:rPr>
              <w:t xml:space="preserve">30.09.2023</w:t>
            </w:r>
          </w:p>
        </w:tc>
        <w:tc>
          <w:tcPr>
            <w:tcW w:w="1871" w:type="dxa"/>
          </w:tcPr>
          <w:p>
            <w:pPr>
              <w:pStyle w:val="0"/>
              <w:jc w:val="both"/>
            </w:pPr>
            <w:r>
              <w:rPr>
                <w:sz w:val="20"/>
              </w:rPr>
              <w:t xml:space="preserve">МИАЦ, Городская больница N 5</w:t>
            </w:r>
          </w:p>
        </w:tc>
        <w:tc>
          <w:tcPr>
            <w:tcW w:w="2551" w:type="dxa"/>
          </w:tcPr>
          <w:p>
            <w:pPr>
              <w:pStyle w:val="0"/>
              <w:jc w:val="both"/>
            </w:pPr>
            <w:r>
              <w:rPr>
                <w:sz w:val="20"/>
              </w:rPr>
              <w:t xml:space="preserve">Введена в эксплуатацию система телемедицинских консультаций</w:t>
            </w:r>
          </w:p>
        </w:tc>
        <w:tc>
          <w:tcPr>
            <w:tcW w:w="2551" w:type="dxa"/>
          </w:tcPr>
          <w:p>
            <w:pPr>
              <w:pStyle w:val="0"/>
              <w:jc w:val="both"/>
            </w:pPr>
            <w:r>
              <w:rPr>
                <w:sz w:val="20"/>
              </w:rPr>
              <w:t xml:space="preserve">Приказ о вводе в промышленную эксплуатацию системы телемедицинских консультаций</w:t>
            </w:r>
          </w:p>
        </w:tc>
        <w:tc>
          <w:tcPr>
            <w:tcW w:w="2324" w:type="dxa"/>
          </w:tcPr>
          <w:p>
            <w:pPr>
              <w:pStyle w:val="0"/>
              <w:jc w:val="both"/>
            </w:pPr>
            <w:r>
              <w:rPr>
                <w:sz w:val="20"/>
              </w:rPr>
              <w:t xml:space="preserve">Утвержден приказ. Проводятся телемедицинские консультации пациентов</w:t>
            </w:r>
          </w:p>
        </w:tc>
      </w:tr>
      <w:tr>
        <w:tc>
          <w:tcPr>
            <w:tcW w:w="737" w:type="dxa"/>
          </w:tcPr>
          <w:p>
            <w:pPr>
              <w:pStyle w:val="0"/>
              <w:jc w:val="both"/>
            </w:pPr>
            <w:r>
              <w:rPr>
                <w:sz w:val="20"/>
              </w:rPr>
              <w:t xml:space="preserve">5.9.</w:t>
            </w:r>
          </w:p>
        </w:tc>
        <w:tc>
          <w:tcPr>
            <w:tcW w:w="2721" w:type="dxa"/>
          </w:tcPr>
          <w:p>
            <w:pPr>
              <w:pStyle w:val="0"/>
              <w:jc w:val="both"/>
            </w:pPr>
            <w:r>
              <w:rPr>
                <w:sz w:val="20"/>
              </w:rPr>
              <w:t xml:space="preserve">Составление плана проведения консультаций/консилиумов</w:t>
            </w:r>
          </w:p>
        </w:tc>
        <w:tc>
          <w:tcPr>
            <w:tcW w:w="1361" w:type="dxa"/>
          </w:tcPr>
          <w:p>
            <w:pPr>
              <w:pStyle w:val="0"/>
              <w:jc w:val="both"/>
            </w:pPr>
            <w:r>
              <w:rPr>
                <w:sz w:val="20"/>
              </w:rPr>
              <w:t xml:space="preserve">01.12.2022</w:t>
            </w:r>
          </w:p>
        </w:tc>
        <w:tc>
          <w:tcPr>
            <w:tcW w:w="1474" w:type="dxa"/>
          </w:tcPr>
          <w:p>
            <w:pPr>
              <w:pStyle w:val="0"/>
              <w:jc w:val="both"/>
            </w:pPr>
            <w:r>
              <w:rPr>
                <w:sz w:val="20"/>
              </w:rPr>
              <w:t xml:space="preserve">30.03.2023</w:t>
            </w:r>
          </w:p>
        </w:tc>
        <w:tc>
          <w:tcPr>
            <w:tcW w:w="1871" w:type="dxa"/>
          </w:tcPr>
          <w:p>
            <w:pPr>
              <w:pStyle w:val="0"/>
              <w:jc w:val="both"/>
            </w:pPr>
            <w:r>
              <w:rPr>
                <w:sz w:val="20"/>
              </w:rPr>
              <w:t xml:space="preserve">Городская больница N 5</w:t>
            </w:r>
          </w:p>
        </w:tc>
        <w:tc>
          <w:tcPr>
            <w:tcW w:w="2551" w:type="dxa"/>
          </w:tcPr>
          <w:p>
            <w:pPr>
              <w:pStyle w:val="0"/>
              <w:jc w:val="both"/>
            </w:pPr>
            <w:r>
              <w:rPr>
                <w:sz w:val="20"/>
              </w:rPr>
              <w:t xml:space="preserve">Утвержден план проведения консультаций/консилиумов</w:t>
            </w:r>
          </w:p>
        </w:tc>
        <w:tc>
          <w:tcPr>
            <w:tcW w:w="2551" w:type="dxa"/>
          </w:tcPr>
          <w:p>
            <w:pPr>
              <w:pStyle w:val="0"/>
              <w:jc w:val="both"/>
            </w:pPr>
            <w:r>
              <w:rPr>
                <w:sz w:val="20"/>
              </w:rPr>
              <w:t xml:space="preserve">Приказ об утверждении плана</w:t>
            </w:r>
          </w:p>
        </w:tc>
        <w:tc>
          <w:tcPr>
            <w:tcW w:w="2324" w:type="dxa"/>
          </w:tcPr>
          <w:p>
            <w:pPr>
              <w:pStyle w:val="0"/>
              <w:jc w:val="both"/>
            </w:pPr>
            <w:r>
              <w:rPr>
                <w:sz w:val="20"/>
              </w:rPr>
              <w:t xml:space="preserve">Утвержден план, проводятся консультации/консилиумы</w:t>
            </w:r>
          </w:p>
        </w:tc>
      </w:tr>
      <w:tr>
        <w:tc>
          <w:tcPr>
            <w:gridSpan w:val="8"/>
            <w:tcW w:w="15590" w:type="dxa"/>
          </w:tcPr>
          <w:p>
            <w:pPr>
              <w:pStyle w:val="0"/>
              <w:outlineLvl w:val="3"/>
              <w:jc w:val="center"/>
            </w:pPr>
            <w:r>
              <w:rPr>
                <w:sz w:val="20"/>
              </w:rPr>
              <w:t xml:space="preserve">VI. Обеспечение своевременного диспансерного наблюдения лиц с врожденными и наследственными заболеваниями, выявленными при РНС</w:t>
            </w:r>
          </w:p>
        </w:tc>
      </w:tr>
      <w:tr>
        <w:tc>
          <w:tcPr>
            <w:tcW w:w="737" w:type="dxa"/>
          </w:tcPr>
          <w:p>
            <w:pPr>
              <w:pStyle w:val="0"/>
              <w:jc w:val="both"/>
            </w:pPr>
            <w:r>
              <w:rPr>
                <w:sz w:val="20"/>
              </w:rPr>
              <w:t xml:space="preserve">6.1.</w:t>
            </w:r>
          </w:p>
        </w:tc>
        <w:tc>
          <w:tcPr>
            <w:tcW w:w="2721" w:type="dxa"/>
          </w:tcPr>
          <w:p>
            <w:pPr>
              <w:pStyle w:val="0"/>
              <w:jc w:val="both"/>
            </w:pPr>
            <w:r>
              <w:rPr>
                <w:sz w:val="20"/>
              </w:rPr>
              <w:t xml:space="preserve">Разработка и внедрение мероприятий по профилактике врожденных и наследственных заболеваний в семьях с отягощенным генеалогическим анамнезом в группах риска</w:t>
            </w:r>
          </w:p>
        </w:tc>
        <w:tc>
          <w:tcPr>
            <w:tcW w:w="1361" w:type="dxa"/>
          </w:tcPr>
          <w:p>
            <w:pPr>
              <w:pStyle w:val="0"/>
              <w:jc w:val="both"/>
            </w:pPr>
            <w:r>
              <w:rPr>
                <w:sz w:val="20"/>
              </w:rPr>
              <w:t xml:space="preserve">01.01.2023</w:t>
            </w:r>
          </w:p>
        </w:tc>
        <w:tc>
          <w:tcPr>
            <w:tcW w:w="1474" w:type="dxa"/>
          </w:tcPr>
          <w:p>
            <w:pPr>
              <w:pStyle w:val="0"/>
              <w:jc w:val="both"/>
            </w:pPr>
            <w:r>
              <w:rPr>
                <w:sz w:val="20"/>
              </w:rPr>
              <w:t xml:space="preserve">31.12.2025</w:t>
            </w:r>
          </w:p>
        </w:tc>
        <w:tc>
          <w:tcPr>
            <w:tcW w:w="1871" w:type="dxa"/>
          </w:tcPr>
          <w:p>
            <w:pPr>
              <w:pStyle w:val="0"/>
              <w:jc w:val="both"/>
            </w:pPr>
            <w:r>
              <w:rPr>
                <w:sz w:val="20"/>
              </w:rPr>
              <w:t xml:space="preserve">МГК Городской больницы N 5</w:t>
            </w:r>
          </w:p>
        </w:tc>
        <w:tc>
          <w:tcPr>
            <w:tcW w:w="2551" w:type="dxa"/>
          </w:tcPr>
          <w:p>
            <w:pPr>
              <w:pStyle w:val="0"/>
              <w:jc w:val="both"/>
            </w:pPr>
            <w:r>
              <w:rPr>
                <w:sz w:val="20"/>
              </w:rPr>
              <w:t xml:space="preserve">Раннее выявление заболеваний, снижение уровня младенческой смертности</w:t>
            </w:r>
          </w:p>
        </w:tc>
        <w:tc>
          <w:tcPr>
            <w:tcW w:w="2551" w:type="dxa"/>
          </w:tcPr>
          <w:p>
            <w:pPr>
              <w:pStyle w:val="0"/>
              <w:jc w:val="both"/>
            </w:pPr>
            <w:r>
              <w:rPr>
                <w:sz w:val="20"/>
              </w:rPr>
              <w:t xml:space="preserve">Приказ Городской больницы N 5</w:t>
            </w:r>
          </w:p>
        </w:tc>
        <w:tc>
          <w:tcPr>
            <w:tcW w:w="2324" w:type="dxa"/>
          </w:tcPr>
          <w:p>
            <w:pPr>
              <w:pStyle w:val="0"/>
              <w:jc w:val="both"/>
            </w:pPr>
            <w:r>
              <w:rPr>
                <w:sz w:val="20"/>
              </w:rPr>
              <w:t xml:space="preserve">Разработка проекта приказа</w:t>
            </w:r>
          </w:p>
        </w:tc>
      </w:tr>
      <w:tr>
        <w:tc>
          <w:tcPr>
            <w:tcW w:w="737" w:type="dxa"/>
          </w:tcPr>
          <w:p>
            <w:pPr>
              <w:pStyle w:val="0"/>
              <w:jc w:val="both"/>
            </w:pPr>
            <w:r>
              <w:rPr>
                <w:sz w:val="20"/>
              </w:rPr>
              <w:t xml:space="preserve">6.2.</w:t>
            </w:r>
          </w:p>
        </w:tc>
        <w:tc>
          <w:tcPr>
            <w:tcW w:w="2721" w:type="dxa"/>
          </w:tcPr>
          <w:p>
            <w:pPr>
              <w:pStyle w:val="0"/>
              <w:jc w:val="both"/>
            </w:pPr>
            <w:r>
              <w:rPr>
                <w:sz w:val="20"/>
              </w:rPr>
              <w:t xml:space="preserve">Обеспечение своевременной передачи информации из медико-генетических консультаций (центров) в детские поликлиники (поликлинические отделения) о выявлении ребенка с подтвержденным наследственным и врожденным заболеванием</w:t>
            </w:r>
          </w:p>
        </w:tc>
        <w:tc>
          <w:tcPr>
            <w:tcW w:w="1361" w:type="dxa"/>
          </w:tcPr>
          <w:p>
            <w:pPr>
              <w:pStyle w:val="0"/>
              <w:jc w:val="both"/>
            </w:pPr>
            <w:r>
              <w:rPr>
                <w:sz w:val="20"/>
              </w:rPr>
              <w:t xml:space="preserve">01.01.2023</w:t>
            </w:r>
          </w:p>
        </w:tc>
        <w:tc>
          <w:tcPr>
            <w:tcW w:w="1474" w:type="dxa"/>
          </w:tcPr>
          <w:p>
            <w:pPr>
              <w:pStyle w:val="0"/>
              <w:jc w:val="both"/>
            </w:pPr>
            <w:r>
              <w:rPr>
                <w:sz w:val="20"/>
              </w:rPr>
              <w:t xml:space="preserve">31.12.2025</w:t>
            </w:r>
          </w:p>
        </w:tc>
        <w:tc>
          <w:tcPr>
            <w:tcW w:w="1871" w:type="dxa"/>
          </w:tcPr>
          <w:p>
            <w:pPr>
              <w:pStyle w:val="0"/>
              <w:jc w:val="both"/>
            </w:pPr>
            <w:r>
              <w:rPr>
                <w:sz w:val="20"/>
              </w:rPr>
              <w:t xml:space="preserve">МГК Городской больницы N 5</w:t>
            </w:r>
          </w:p>
        </w:tc>
        <w:tc>
          <w:tcPr>
            <w:tcW w:w="2551" w:type="dxa"/>
          </w:tcPr>
          <w:p>
            <w:pPr>
              <w:pStyle w:val="0"/>
              <w:jc w:val="both"/>
            </w:pPr>
            <w:r>
              <w:rPr>
                <w:sz w:val="20"/>
              </w:rPr>
              <w:t xml:space="preserve">Раннее выявление заболеваний, снижение уровня младенческой смертности</w:t>
            </w:r>
          </w:p>
        </w:tc>
        <w:tc>
          <w:tcPr>
            <w:tcW w:w="2551" w:type="dxa"/>
          </w:tcPr>
          <w:p>
            <w:pPr>
              <w:pStyle w:val="0"/>
              <w:jc w:val="both"/>
            </w:pPr>
            <w:r>
              <w:rPr>
                <w:sz w:val="20"/>
              </w:rPr>
              <w:t xml:space="preserve">Приказ Городской больницы N 5</w:t>
            </w:r>
          </w:p>
        </w:tc>
        <w:tc>
          <w:tcPr>
            <w:tcW w:w="2324" w:type="dxa"/>
          </w:tcPr>
          <w:p>
            <w:pPr>
              <w:pStyle w:val="0"/>
              <w:jc w:val="both"/>
            </w:pPr>
            <w:r>
              <w:rPr>
                <w:sz w:val="20"/>
              </w:rPr>
              <w:t xml:space="preserve">Разработка проекта приказа</w:t>
            </w:r>
          </w:p>
        </w:tc>
      </w:tr>
      <w:tr>
        <w:tc>
          <w:tcPr>
            <w:tcW w:w="737" w:type="dxa"/>
          </w:tcPr>
          <w:p>
            <w:pPr>
              <w:pStyle w:val="0"/>
              <w:jc w:val="both"/>
            </w:pPr>
            <w:r>
              <w:rPr>
                <w:sz w:val="20"/>
              </w:rPr>
              <w:t xml:space="preserve">6.3.</w:t>
            </w:r>
          </w:p>
        </w:tc>
        <w:tc>
          <w:tcPr>
            <w:tcW w:w="2721" w:type="dxa"/>
          </w:tcPr>
          <w:p>
            <w:pPr>
              <w:pStyle w:val="0"/>
              <w:jc w:val="both"/>
            </w:pPr>
            <w:r>
              <w:rPr>
                <w:sz w:val="20"/>
              </w:rPr>
              <w:t xml:space="preserve">Постановка на диспансерное наблюдение с выявленными врожденными и наследственными заболеваниями по каждому заболеванию</w:t>
            </w:r>
          </w:p>
        </w:tc>
        <w:tc>
          <w:tcPr>
            <w:tcW w:w="1361" w:type="dxa"/>
          </w:tcPr>
          <w:p>
            <w:pPr>
              <w:pStyle w:val="0"/>
              <w:jc w:val="both"/>
            </w:pPr>
            <w:r>
              <w:rPr>
                <w:sz w:val="20"/>
              </w:rPr>
              <w:t xml:space="preserve">01.01.2023</w:t>
            </w:r>
          </w:p>
        </w:tc>
        <w:tc>
          <w:tcPr>
            <w:tcW w:w="1474" w:type="dxa"/>
          </w:tcPr>
          <w:p>
            <w:pPr>
              <w:pStyle w:val="0"/>
              <w:jc w:val="both"/>
            </w:pPr>
            <w:r>
              <w:rPr>
                <w:sz w:val="20"/>
              </w:rPr>
              <w:t xml:space="preserve">31.12.2025</w:t>
            </w:r>
          </w:p>
        </w:tc>
        <w:tc>
          <w:tcPr>
            <w:tcW w:w="1871" w:type="dxa"/>
          </w:tcPr>
          <w:p>
            <w:pPr>
              <w:pStyle w:val="0"/>
              <w:jc w:val="both"/>
            </w:pPr>
            <w:r>
              <w:rPr>
                <w:sz w:val="20"/>
              </w:rPr>
              <w:t xml:space="preserve">МГК Городской больницы N 5</w:t>
            </w:r>
          </w:p>
        </w:tc>
        <w:tc>
          <w:tcPr>
            <w:tcW w:w="2551" w:type="dxa"/>
          </w:tcPr>
          <w:p>
            <w:pPr>
              <w:pStyle w:val="0"/>
              <w:jc w:val="both"/>
            </w:pPr>
            <w:r>
              <w:rPr>
                <w:sz w:val="20"/>
              </w:rPr>
              <w:t xml:space="preserve">Раннее выявление заболеваний, снижение уровня младенческой смертности</w:t>
            </w:r>
          </w:p>
        </w:tc>
        <w:tc>
          <w:tcPr>
            <w:tcW w:w="2551" w:type="dxa"/>
          </w:tcPr>
          <w:p>
            <w:pPr>
              <w:pStyle w:val="0"/>
              <w:jc w:val="both"/>
            </w:pPr>
            <w:r>
              <w:rPr>
                <w:sz w:val="20"/>
              </w:rPr>
              <w:t xml:space="preserve">Приказ Городской больницы N 5</w:t>
            </w:r>
          </w:p>
        </w:tc>
        <w:tc>
          <w:tcPr>
            <w:tcW w:w="2324" w:type="dxa"/>
          </w:tcPr>
          <w:p>
            <w:pPr>
              <w:pStyle w:val="0"/>
              <w:jc w:val="both"/>
            </w:pPr>
            <w:r>
              <w:rPr>
                <w:sz w:val="20"/>
              </w:rPr>
              <w:t xml:space="preserve">Разработка проекта приказа</w:t>
            </w:r>
          </w:p>
        </w:tc>
      </w:tr>
      <w:tr>
        <w:tc>
          <w:tcPr>
            <w:tcW w:w="737" w:type="dxa"/>
          </w:tcPr>
          <w:p>
            <w:pPr>
              <w:pStyle w:val="0"/>
              <w:jc w:val="both"/>
            </w:pPr>
            <w:r>
              <w:rPr>
                <w:sz w:val="20"/>
              </w:rPr>
              <w:t xml:space="preserve">6.4.</w:t>
            </w:r>
          </w:p>
        </w:tc>
        <w:tc>
          <w:tcPr>
            <w:tcW w:w="2721" w:type="dxa"/>
          </w:tcPr>
          <w:p>
            <w:pPr>
              <w:pStyle w:val="0"/>
              <w:jc w:val="both"/>
            </w:pPr>
            <w:r>
              <w:rPr>
                <w:sz w:val="20"/>
              </w:rPr>
              <w:t xml:space="preserve">Формирование мультидисциплинарных команд медико-генетических консультаций (центров) в составе:</w:t>
            </w:r>
          </w:p>
          <w:p>
            <w:pPr>
              <w:pStyle w:val="0"/>
              <w:jc w:val="both"/>
            </w:pPr>
            <w:r>
              <w:rPr>
                <w:sz w:val="20"/>
              </w:rPr>
              <w:t xml:space="preserve">1. генетик, невролог, педиатр;</w:t>
            </w:r>
          </w:p>
          <w:p>
            <w:pPr>
              <w:pStyle w:val="0"/>
              <w:jc w:val="both"/>
            </w:pPr>
            <w:r>
              <w:rPr>
                <w:sz w:val="20"/>
              </w:rPr>
              <w:t xml:space="preserve">2. генетик, эндокринолог, педиатр;</w:t>
            </w:r>
          </w:p>
          <w:p>
            <w:pPr>
              <w:pStyle w:val="0"/>
              <w:jc w:val="both"/>
            </w:pPr>
            <w:r>
              <w:rPr>
                <w:sz w:val="20"/>
              </w:rPr>
              <w:t xml:space="preserve">3. генетик, иммунолог, педиатр;</w:t>
            </w:r>
          </w:p>
          <w:p>
            <w:pPr>
              <w:pStyle w:val="0"/>
              <w:jc w:val="both"/>
            </w:pPr>
            <w:r>
              <w:rPr>
                <w:sz w:val="20"/>
              </w:rPr>
              <w:t xml:space="preserve">4. генетик, педиатр;</w:t>
            </w:r>
          </w:p>
          <w:p>
            <w:pPr>
              <w:pStyle w:val="0"/>
              <w:jc w:val="both"/>
            </w:pPr>
            <w:r>
              <w:rPr>
                <w:sz w:val="20"/>
              </w:rPr>
              <w:t xml:space="preserve">5. генетик, пульмонолог, педиатр;</w:t>
            </w:r>
          </w:p>
          <w:p>
            <w:pPr>
              <w:pStyle w:val="0"/>
              <w:jc w:val="both"/>
            </w:pPr>
            <w:r>
              <w:rPr>
                <w:sz w:val="20"/>
              </w:rPr>
              <w:t xml:space="preserve">6. генетик, гастроэнтеролог, педиатр</w:t>
            </w:r>
          </w:p>
        </w:tc>
        <w:tc>
          <w:tcPr>
            <w:tcW w:w="1361" w:type="dxa"/>
          </w:tcPr>
          <w:p>
            <w:pPr>
              <w:pStyle w:val="0"/>
              <w:jc w:val="both"/>
            </w:pPr>
            <w:r>
              <w:rPr>
                <w:sz w:val="20"/>
              </w:rPr>
              <w:t xml:space="preserve">01.01.2023</w:t>
            </w:r>
          </w:p>
        </w:tc>
        <w:tc>
          <w:tcPr>
            <w:tcW w:w="1474" w:type="dxa"/>
          </w:tcPr>
          <w:p>
            <w:pPr>
              <w:pStyle w:val="0"/>
              <w:jc w:val="both"/>
            </w:pPr>
            <w:r>
              <w:rPr>
                <w:sz w:val="20"/>
              </w:rPr>
              <w:t xml:space="preserve">31.12.2023</w:t>
            </w:r>
          </w:p>
        </w:tc>
        <w:tc>
          <w:tcPr>
            <w:tcW w:w="1871" w:type="dxa"/>
          </w:tcPr>
          <w:p>
            <w:pPr>
              <w:pStyle w:val="0"/>
              <w:jc w:val="both"/>
            </w:pPr>
            <w:r>
              <w:rPr>
                <w:sz w:val="20"/>
              </w:rPr>
              <w:t xml:space="preserve">Городская больница N 5</w:t>
            </w:r>
          </w:p>
        </w:tc>
        <w:tc>
          <w:tcPr>
            <w:tcW w:w="2551" w:type="dxa"/>
          </w:tcPr>
          <w:p>
            <w:pPr>
              <w:pStyle w:val="0"/>
              <w:jc w:val="both"/>
            </w:pPr>
            <w:r>
              <w:rPr>
                <w:sz w:val="20"/>
              </w:rPr>
              <w:t xml:space="preserve">Повышение качества диспансерного наблюдения и показателей охвата пациентов, поставленных на диспансерный учет</w:t>
            </w:r>
          </w:p>
        </w:tc>
        <w:tc>
          <w:tcPr>
            <w:tcW w:w="2551" w:type="dxa"/>
          </w:tcPr>
          <w:p>
            <w:pPr>
              <w:pStyle w:val="0"/>
              <w:jc w:val="both"/>
            </w:pPr>
            <w:r>
              <w:rPr>
                <w:sz w:val="20"/>
              </w:rPr>
              <w:t xml:space="preserve">Приказ ДЗГС</w:t>
            </w:r>
          </w:p>
        </w:tc>
        <w:tc>
          <w:tcPr>
            <w:tcW w:w="2324" w:type="dxa"/>
          </w:tcPr>
          <w:p>
            <w:pPr>
              <w:pStyle w:val="0"/>
              <w:jc w:val="both"/>
            </w:pPr>
            <w:r>
              <w:rPr>
                <w:sz w:val="20"/>
              </w:rPr>
              <w:t xml:space="preserve">Разработка проекта приказа</w:t>
            </w:r>
          </w:p>
        </w:tc>
      </w:tr>
      <w:tr>
        <w:tc>
          <w:tcPr>
            <w:tcW w:w="737" w:type="dxa"/>
          </w:tcPr>
          <w:p>
            <w:pPr>
              <w:pStyle w:val="0"/>
              <w:jc w:val="both"/>
            </w:pPr>
            <w:r>
              <w:rPr>
                <w:sz w:val="20"/>
              </w:rPr>
              <w:t xml:space="preserve">6.5.</w:t>
            </w:r>
          </w:p>
        </w:tc>
        <w:tc>
          <w:tcPr>
            <w:tcW w:w="2721" w:type="dxa"/>
          </w:tcPr>
          <w:p>
            <w:pPr>
              <w:pStyle w:val="0"/>
              <w:jc w:val="both"/>
            </w:pPr>
            <w:r>
              <w:rPr>
                <w:sz w:val="20"/>
              </w:rPr>
              <w:t xml:space="preserve">Развитие телемедицинского консультирования при осуществлении динамического диспансерного наблюдения пациента</w:t>
            </w:r>
          </w:p>
        </w:tc>
        <w:tc>
          <w:tcPr>
            <w:tcW w:w="1361" w:type="dxa"/>
          </w:tcPr>
          <w:p>
            <w:pPr>
              <w:pStyle w:val="0"/>
              <w:jc w:val="both"/>
            </w:pPr>
            <w:r>
              <w:rPr>
                <w:sz w:val="20"/>
              </w:rPr>
              <w:t xml:space="preserve">01.01.2023</w:t>
            </w:r>
          </w:p>
        </w:tc>
        <w:tc>
          <w:tcPr>
            <w:tcW w:w="1474" w:type="dxa"/>
          </w:tcPr>
          <w:p>
            <w:pPr>
              <w:pStyle w:val="0"/>
              <w:jc w:val="both"/>
            </w:pPr>
            <w:r>
              <w:rPr>
                <w:sz w:val="20"/>
              </w:rPr>
              <w:t xml:space="preserve">31.12.2023</w:t>
            </w:r>
          </w:p>
        </w:tc>
        <w:tc>
          <w:tcPr>
            <w:tcW w:w="1871" w:type="dxa"/>
          </w:tcPr>
          <w:p>
            <w:pPr>
              <w:pStyle w:val="0"/>
              <w:jc w:val="both"/>
            </w:pPr>
            <w:r>
              <w:rPr>
                <w:sz w:val="20"/>
              </w:rPr>
              <w:t xml:space="preserve">ДЗГС, Городская больница N 5</w:t>
            </w:r>
          </w:p>
        </w:tc>
        <w:tc>
          <w:tcPr>
            <w:tcW w:w="2551" w:type="dxa"/>
          </w:tcPr>
          <w:p>
            <w:pPr>
              <w:pStyle w:val="0"/>
              <w:jc w:val="both"/>
            </w:pPr>
            <w:r>
              <w:rPr>
                <w:sz w:val="20"/>
              </w:rPr>
              <w:t xml:space="preserve">Своевременная диагностика заболевания и осложнений, связанных с течением болезни</w:t>
            </w:r>
          </w:p>
        </w:tc>
        <w:tc>
          <w:tcPr>
            <w:tcW w:w="2551" w:type="dxa"/>
          </w:tcPr>
          <w:p>
            <w:pPr>
              <w:pStyle w:val="0"/>
              <w:jc w:val="both"/>
            </w:pPr>
            <w:r>
              <w:rPr>
                <w:sz w:val="20"/>
              </w:rPr>
              <w:t xml:space="preserve">Приказ ДГЗС</w:t>
            </w:r>
          </w:p>
        </w:tc>
        <w:tc>
          <w:tcPr>
            <w:tcW w:w="2324" w:type="dxa"/>
          </w:tcPr>
          <w:p>
            <w:pPr>
              <w:pStyle w:val="0"/>
              <w:jc w:val="both"/>
            </w:pPr>
            <w:r>
              <w:rPr>
                <w:sz w:val="20"/>
              </w:rPr>
              <w:t xml:space="preserve">Разработка проекта приказа</w:t>
            </w:r>
          </w:p>
        </w:tc>
      </w:tr>
      <w:tr>
        <w:tc>
          <w:tcPr>
            <w:gridSpan w:val="8"/>
            <w:tcW w:w="15590" w:type="dxa"/>
          </w:tcPr>
          <w:p>
            <w:pPr>
              <w:pStyle w:val="0"/>
              <w:outlineLvl w:val="3"/>
              <w:jc w:val="center"/>
            </w:pPr>
            <w:r>
              <w:rPr>
                <w:sz w:val="20"/>
              </w:rPr>
              <w:t xml:space="preserve">VII. Внедрение клинических рекомендаций и стандартов медицинской помощи по профилактике, диагностике, лечению и реабилитации детей с врожденными и наследственными заболеваниями, выявленными в рамках РНС</w:t>
            </w:r>
          </w:p>
        </w:tc>
      </w:tr>
      <w:tr>
        <w:tc>
          <w:tcPr>
            <w:tcW w:w="737" w:type="dxa"/>
          </w:tcPr>
          <w:p>
            <w:pPr>
              <w:pStyle w:val="0"/>
              <w:jc w:val="both"/>
            </w:pPr>
            <w:r>
              <w:rPr>
                <w:sz w:val="20"/>
              </w:rPr>
              <w:t xml:space="preserve">7.1.</w:t>
            </w:r>
          </w:p>
        </w:tc>
        <w:tc>
          <w:tcPr>
            <w:tcW w:w="2721" w:type="dxa"/>
          </w:tcPr>
          <w:p>
            <w:pPr>
              <w:pStyle w:val="0"/>
              <w:jc w:val="both"/>
            </w:pPr>
            <w:r>
              <w:rPr>
                <w:sz w:val="20"/>
              </w:rPr>
              <w:t xml:space="preserve">Внедрение клинических рекомендаций и протоколов ведения больных по вопросам профилактики, диагностики, лечения и реабилитации детей с врожденными и наследственными заболеваниями при организационно-методической поддержке профильных медицинских организаций субъекта (и/или их структурных подразделений), ГВС генетика</w:t>
            </w:r>
          </w:p>
        </w:tc>
        <w:tc>
          <w:tcPr>
            <w:tcW w:w="1361" w:type="dxa"/>
          </w:tcPr>
          <w:p>
            <w:pPr>
              <w:pStyle w:val="0"/>
              <w:jc w:val="both"/>
            </w:pPr>
            <w:r>
              <w:rPr>
                <w:sz w:val="20"/>
              </w:rPr>
              <w:t xml:space="preserve">01.01.2023</w:t>
            </w:r>
          </w:p>
        </w:tc>
        <w:tc>
          <w:tcPr>
            <w:tcW w:w="1474" w:type="dxa"/>
          </w:tcPr>
          <w:p>
            <w:pPr>
              <w:pStyle w:val="0"/>
              <w:jc w:val="both"/>
            </w:pPr>
            <w:r>
              <w:rPr>
                <w:sz w:val="20"/>
              </w:rPr>
              <w:t xml:space="preserve">31.12.2023</w:t>
            </w:r>
          </w:p>
        </w:tc>
        <w:tc>
          <w:tcPr>
            <w:tcW w:w="1871" w:type="dxa"/>
          </w:tcPr>
          <w:p>
            <w:pPr>
              <w:pStyle w:val="0"/>
              <w:jc w:val="both"/>
            </w:pPr>
            <w:r>
              <w:rPr>
                <w:sz w:val="20"/>
              </w:rPr>
              <w:t xml:space="preserve">Городская больница N 5, ГВС генетик</w:t>
            </w:r>
          </w:p>
        </w:tc>
        <w:tc>
          <w:tcPr>
            <w:tcW w:w="2551" w:type="dxa"/>
          </w:tcPr>
          <w:p>
            <w:pPr>
              <w:pStyle w:val="0"/>
              <w:jc w:val="both"/>
            </w:pPr>
            <w:r>
              <w:rPr>
                <w:sz w:val="20"/>
              </w:rPr>
              <w:t xml:space="preserve">Своевременная диагностика заболевания и осложнений, связанных с течением болезни</w:t>
            </w:r>
          </w:p>
        </w:tc>
        <w:tc>
          <w:tcPr>
            <w:tcW w:w="2551" w:type="dxa"/>
          </w:tcPr>
          <w:p>
            <w:pPr>
              <w:pStyle w:val="0"/>
              <w:jc w:val="both"/>
            </w:pPr>
            <w:r>
              <w:rPr>
                <w:sz w:val="20"/>
              </w:rPr>
              <w:t xml:space="preserve">Приказы МО</w:t>
            </w:r>
          </w:p>
        </w:tc>
        <w:tc>
          <w:tcPr>
            <w:tcW w:w="2324" w:type="dxa"/>
          </w:tcPr>
          <w:p>
            <w:pPr>
              <w:pStyle w:val="0"/>
              <w:jc w:val="both"/>
            </w:pPr>
            <w:r>
              <w:rPr>
                <w:sz w:val="20"/>
              </w:rPr>
              <w:t xml:space="preserve">Разработка проекта приказа</w:t>
            </w:r>
          </w:p>
        </w:tc>
      </w:tr>
      <w:tr>
        <w:tc>
          <w:tcPr>
            <w:tcW w:w="737" w:type="dxa"/>
          </w:tcPr>
          <w:p>
            <w:pPr>
              <w:pStyle w:val="0"/>
              <w:jc w:val="both"/>
            </w:pPr>
            <w:r>
              <w:rPr>
                <w:sz w:val="20"/>
              </w:rPr>
              <w:t xml:space="preserve">7.2.</w:t>
            </w:r>
          </w:p>
        </w:tc>
        <w:tc>
          <w:tcPr>
            <w:tcW w:w="2721" w:type="dxa"/>
          </w:tcPr>
          <w:p>
            <w:pPr>
              <w:pStyle w:val="0"/>
              <w:jc w:val="both"/>
            </w:pPr>
            <w:r>
              <w:rPr>
                <w:sz w:val="20"/>
              </w:rPr>
              <w:t xml:space="preserve">Разработка и внедрение протоколов/алгоритмов лечения пациентов с врожденными и наследственными заболеваниями (протоколов ведения пациентов) на основе соответствующих клинических рекомендаций по профилю, порядка оказания медицинской помощи по профилю и с учетом стандарта медицинской помощи</w:t>
            </w:r>
          </w:p>
        </w:tc>
        <w:tc>
          <w:tcPr>
            <w:tcW w:w="1361" w:type="dxa"/>
          </w:tcPr>
          <w:p>
            <w:pPr>
              <w:pStyle w:val="0"/>
              <w:jc w:val="both"/>
            </w:pPr>
            <w:r>
              <w:rPr>
                <w:sz w:val="20"/>
              </w:rPr>
              <w:t xml:space="preserve">01.01.2023</w:t>
            </w:r>
          </w:p>
        </w:tc>
        <w:tc>
          <w:tcPr>
            <w:tcW w:w="1474" w:type="dxa"/>
          </w:tcPr>
          <w:p>
            <w:pPr>
              <w:pStyle w:val="0"/>
              <w:jc w:val="both"/>
            </w:pPr>
            <w:r>
              <w:rPr>
                <w:sz w:val="20"/>
              </w:rPr>
              <w:t xml:space="preserve">31.12.2023</w:t>
            </w:r>
          </w:p>
        </w:tc>
        <w:tc>
          <w:tcPr>
            <w:tcW w:w="1871" w:type="dxa"/>
          </w:tcPr>
          <w:p>
            <w:pPr>
              <w:pStyle w:val="0"/>
              <w:jc w:val="both"/>
            </w:pPr>
            <w:r>
              <w:rPr>
                <w:sz w:val="20"/>
              </w:rPr>
              <w:t xml:space="preserve">Городская больница N 5, ГВС генетик</w:t>
            </w:r>
          </w:p>
        </w:tc>
        <w:tc>
          <w:tcPr>
            <w:tcW w:w="2551" w:type="dxa"/>
          </w:tcPr>
          <w:p>
            <w:pPr>
              <w:pStyle w:val="0"/>
              <w:jc w:val="both"/>
            </w:pPr>
            <w:r>
              <w:rPr>
                <w:sz w:val="20"/>
              </w:rPr>
              <w:t xml:space="preserve">Своевременная диагностика заболевания и осложнений, связанных с течением болезни</w:t>
            </w:r>
          </w:p>
        </w:tc>
        <w:tc>
          <w:tcPr>
            <w:tcW w:w="2551" w:type="dxa"/>
          </w:tcPr>
          <w:p>
            <w:pPr>
              <w:pStyle w:val="0"/>
              <w:jc w:val="both"/>
            </w:pPr>
            <w:r>
              <w:rPr>
                <w:sz w:val="20"/>
              </w:rPr>
              <w:t xml:space="preserve">Приказ МО</w:t>
            </w:r>
          </w:p>
        </w:tc>
        <w:tc>
          <w:tcPr>
            <w:tcW w:w="2324" w:type="dxa"/>
          </w:tcPr>
          <w:p>
            <w:pPr>
              <w:pStyle w:val="0"/>
              <w:jc w:val="both"/>
            </w:pPr>
            <w:r>
              <w:rPr>
                <w:sz w:val="20"/>
              </w:rPr>
              <w:t xml:space="preserve">Разработка проекта приказа</w:t>
            </w:r>
          </w:p>
        </w:tc>
      </w:tr>
      <w:tr>
        <w:tc>
          <w:tcPr>
            <w:tcW w:w="737" w:type="dxa"/>
          </w:tcPr>
          <w:p>
            <w:pPr>
              <w:pStyle w:val="0"/>
              <w:jc w:val="both"/>
            </w:pPr>
            <w:r>
              <w:rPr>
                <w:sz w:val="20"/>
              </w:rPr>
              <w:t xml:space="preserve">7.3.</w:t>
            </w:r>
          </w:p>
        </w:tc>
        <w:tc>
          <w:tcPr>
            <w:tcW w:w="2721" w:type="dxa"/>
          </w:tcPr>
          <w:p>
            <w:pPr>
              <w:pStyle w:val="0"/>
              <w:jc w:val="both"/>
            </w:pPr>
            <w:r>
              <w:rPr>
                <w:sz w:val="20"/>
              </w:rPr>
              <w:t xml:space="preserve">Регулярное проведение в медицинских организациях внутреннего контроля качества и безопасности медицинской деятельности</w:t>
            </w:r>
          </w:p>
        </w:tc>
        <w:tc>
          <w:tcPr>
            <w:tcW w:w="1361" w:type="dxa"/>
          </w:tcPr>
          <w:p>
            <w:pPr>
              <w:pStyle w:val="0"/>
              <w:jc w:val="both"/>
            </w:pPr>
            <w:r>
              <w:rPr>
                <w:sz w:val="20"/>
              </w:rPr>
              <w:t xml:space="preserve">01.01.2023</w:t>
            </w:r>
          </w:p>
        </w:tc>
        <w:tc>
          <w:tcPr>
            <w:tcW w:w="1474" w:type="dxa"/>
          </w:tcPr>
          <w:p>
            <w:pPr>
              <w:pStyle w:val="0"/>
              <w:jc w:val="both"/>
            </w:pPr>
            <w:r>
              <w:rPr>
                <w:sz w:val="20"/>
              </w:rPr>
              <w:t xml:space="preserve">31.12.2023</w:t>
            </w:r>
          </w:p>
        </w:tc>
        <w:tc>
          <w:tcPr>
            <w:tcW w:w="1871" w:type="dxa"/>
          </w:tcPr>
          <w:p>
            <w:pPr>
              <w:pStyle w:val="0"/>
              <w:jc w:val="both"/>
            </w:pPr>
            <w:r>
              <w:rPr>
                <w:sz w:val="20"/>
              </w:rPr>
              <w:t xml:space="preserve">Городская больница N 5, ГВС генетик</w:t>
            </w:r>
          </w:p>
        </w:tc>
        <w:tc>
          <w:tcPr>
            <w:tcW w:w="2551" w:type="dxa"/>
          </w:tcPr>
          <w:p>
            <w:pPr>
              <w:pStyle w:val="0"/>
              <w:jc w:val="both"/>
            </w:pPr>
            <w:r>
              <w:rPr>
                <w:sz w:val="20"/>
              </w:rPr>
              <w:t xml:space="preserve">Своевременная диагностика заболевания и осложнений, связанных с течением болезни</w:t>
            </w:r>
          </w:p>
        </w:tc>
        <w:tc>
          <w:tcPr>
            <w:tcW w:w="2551" w:type="dxa"/>
          </w:tcPr>
          <w:p>
            <w:pPr>
              <w:pStyle w:val="0"/>
              <w:jc w:val="both"/>
            </w:pPr>
            <w:r>
              <w:rPr>
                <w:sz w:val="20"/>
              </w:rPr>
              <w:t xml:space="preserve">Приказ МО</w:t>
            </w:r>
          </w:p>
        </w:tc>
        <w:tc>
          <w:tcPr>
            <w:tcW w:w="2324" w:type="dxa"/>
          </w:tcPr>
          <w:p>
            <w:pPr>
              <w:pStyle w:val="0"/>
              <w:jc w:val="both"/>
            </w:pPr>
            <w:r>
              <w:rPr>
                <w:sz w:val="20"/>
              </w:rPr>
              <w:t xml:space="preserve">Планируется к утверждению</w:t>
            </w:r>
          </w:p>
        </w:tc>
      </w:tr>
      <w:tr>
        <w:tc>
          <w:tcPr>
            <w:tcW w:w="737" w:type="dxa"/>
          </w:tcPr>
          <w:p>
            <w:pPr>
              <w:pStyle w:val="0"/>
              <w:jc w:val="both"/>
            </w:pPr>
            <w:r>
              <w:rPr>
                <w:sz w:val="20"/>
              </w:rPr>
              <w:t xml:space="preserve">7.4.</w:t>
            </w:r>
          </w:p>
        </w:tc>
        <w:tc>
          <w:tcPr>
            <w:tcW w:w="2721" w:type="dxa"/>
          </w:tcPr>
          <w:p>
            <w:pPr>
              <w:pStyle w:val="0"/>
              <w:jc w:val="both"/>
            </w:pPr>
            <w:r>
              <w:rPr>
                <w:sz w:val="20"/>
              </w:rPr>
              <w:t xml:space="preserve">Утверждение перечня показателей результативности работы в медицинской организации в части проведения РНС, выявления и наблюдения пациентов с врожденными и наследственными заболеваниями</w:t>
            </w:r>
          </w:p>
        </w:tc>
        <w:tc>
          <w:tcPr>
            <w:tcW w:w="1361" w:type="dxa"/>
          </w:tcPr>
          <w:p>
            <w:pPr>
              <w:pStyle w:val="0"/>
              <w:jc w:val="both"/>
            </w:pPr>
            <w:r>
              <w:rPr>
                <w:sz w:val="20"/>
              </w:rPr>
              <w:t xml:space="preserve">01.01.2023</w:t>
            </w:r>
          </w:p>
        </w:tc>
        <w:tc>
          <w:tcPr>
            <w:tcW w:w="1474" w:type="dxa"/>
          </w:tcPr>
          <w:p>
            <w:pPr>
              <w:pStyle w:val="0"/>
              <w:jc w:val="both"/>
            </w:pPr>
            <w:r>
              <w:rPr>
                <w:sz w:val="20"/>
              </w:rPr>
              <w:t xml:space="preserve">31.12.2023</w:t>
            </w:r>
          </w:p>
        </w:tc>
        <w:tc>
          <w:tcPr>
            <w:tcW w:w="1871" w:type="dxa"/>
          </w:tcPr>
          <w:p>
            <w:pPr>
              <w:pStyle w:val="0"/>
              <w:jc w:val="both"/>
            </w:pPr>
            <w:r>
              <w:rPr>
                <w:sz w:val="20"/>
              </w:rPr>
              <w:t xml:space="preserve">Городская больница N 5, ГВС генетик</w:t>
            </w:r>
          </w:p>
        </w:tc>
        <w:tc>
          <w:tcPr>
            <w:tcW w:w="2551" w:type="dxa"/>
          </w:tcPr>
          <w:p>
            <w:pPr>
              <w:pStyle w:val="0"/>
              <w:jc w:val="both"/>
            </w:pPr>
            <w:r>
              <w:rPr>
                <w:sz w:val="20"/>
              </w:rPr>
              <w:t xml:space="preserve">Своевременная диагностика заболевания и осложнений, связанных с течением болезни</w:t>
            </w:r>
          </w:p>
        </w:tc>
        <w:tc>
          <w:tcPr>
            <w:tcW w:w="2551" w:type="dxa"/>
          </w:tcPr>
          <w:p>
            <w:pPr>
              <w:pStyle w:val="0"/>
              <w:jc w:val="both"/>
            </w:pPr>
            <w:r>
              <w:rPr>
                <w:sz w:val="20"/>
              </w:rPr>
              <w:t xml:space="preserve">Приказ МО</w:t>
            </w:r>
          </w:p>
        </w:tc>
        <w:tc>
          <w:tcPr>
            <w:tcW w:w="2324" w:type="dxa"/>
          </w:tcPr>
          <w:p>
            <w:pPr>
              <w:pStyle w:val="0"/>
              <w:jc w:val="both"/>
            </w:pPr>
            <w:r>
              <w:rPr>
                <w:sz w:val="20"/>
              </w:rPr>
              <w:t xml:space="preserve">Разработка проекта приказа</w:t>
            </w:r>
          </w:p>
        </w:tc>
      </w:tr>
      <w:tr>
        <w:tc>
          <w:tcPr>
            <w:gridSpan w:val="8"/>
            <w:tcW w:w="15590" w:type="dxa"/>
          </w:tcPr>
          <w:p>
            <w:pPr>
              <w:pStyle w:val="0"/>
              <w:outlineLvl w:val="3"/>
              <w:jc w:val="center"/>
            </w:pPr>
            <w:r>
              <w:rPr>
                <w:sz w:val="20"/>
              </w:rPr>
              <w:t xml:space="preserve">VIII. Методическое обеспечение качества оказания медицинской помощи</w:t>
            </w:r>
          </w:p>
        </w:tc>
      </w:tr>
      <w:tr>
        <w:tc>
          <w:tcPr>
            <w:tcW w:w="737" w:type="dxa"/>
          </w:tcPr>
          <w:p>
            <w:pPr>
              <w:pStyle w:val="0"/>
              <w:jc w:val="both"/>
            </w:pPr>
            <w:r>
              <w:rPr>
                <w:sz w:val="20"/>
              </w:rPr>
              <w:t xml:space="preserve">8.1.</w:t>
            </w:r>
          </w:p>
        </w:tc>
        <w:tc>
          <w:tcPr>
            <w:tcW w:w="2721" w:type="dxa"/>
          </w:tcPr>
          <w:p>
            <w:pPr>
              <w:pStyle w:val="0"/>
              <w:jc w:val="both"/>
            </w:pPr>
            <w:r>
              <w:rPr>
                <w:sz w:val="20"/>
              </w:rPr>
              <w:t xml:space="preserve">Разработка плана мероприятий по обеспечению достижения критериев качества лечения пациентов с врожденными и наследственными заболеваниями. План разрабатывается на основе клинических рекомендаций по профилю той или иной патологии</w:t>
            </w:r>
          </w:p>
        </w:tc>
        <w:tc>
          <w:tcPr>
            <w:tcW w:w="1361" w:type="dxa"/>
          </w:tcPr>
          <w:p>
            <w:pPr>
              <w:pStyle w:val="0"/>
              <w:jc w:val="both"/>
            </w:pPr>
            <w:r>
              <w:rPr>
                <w:sz w:val="20"/>
              </w:rPr>
              <w:t xml:space="preserve">01.01.2023</w:t>
            </w:r>
          </w:p>
        </w:tc>
        <w:tc>
          <w:tcPr>
            <w:tcW w:w="1474" w:type="dxa"/>
          </w:tcPr>
          <w:p>
            <w:pPr>
              <w:pStyle w:val="0"/>
              <w:jc w:val="both"/>
            </w:pPr>
            <w:r>
              <w:rPr>
                <w:sz w:val="20"/>
              </w:rPr>
              <w:t xml:space="preserve">20.01.2023</w:t>
            </w:r>
          </w:p>
        </w:tc>
        <w:tc>
          <w:tcPr>
            <w:tcW w:w="1871" w:type="dxa"/>
          </w:tcPr>
          <w:p>
            <w:pPr>
              <w:pStyle w:val="0"/>
              <w:jc w:val="both"/>
            </w:pPr>
            <w:r>
              <w:rPr>
                <w:sz w:val="20"/>
              </w:rPr>
              <w:t xml:space="preserve">ДЗГС</w:t>
            </w:r>
          </w:p>
        </w:tc>
        <w:tc>
          <w:tcPr>
            <w:tcW w:w="2551" w:type="dxa"/>
          </w:tcPr>
          <w:p>
            <w:pPr>
              <w:pStyle w:val="0"/>
              <w:jc w:val="both"/>
            </w:pPr>
            <w:r>
              <w:rPr>
                <w:sz w:val="20"/>
              </w:rPr>
              <w:t xml:space="preserve">Своевременность и правильность диагностики и дальнейшего лечения заболевания</w:t>
            </w:r>
          </w:p>
        </w:tc>
        <w:tc>
          <w:tcPr>
            <w:tcW w:w="2551" w:type="dxa"/>
          </w:tcPr>
          <w:p>
            <w:pPr>
              <w:pStyle w:val="0"/>
              <w:jc w:val="both"/>
            </w:pPr>
            <w:r>
              <w:rPr>
                <w:sz w:val="20"/>
              </w:rPr>
              <w:t xml:space="preserve">Приказ ДЗГС</w:t>
            </w:r>
          </w:p>
        </w:tc>
        <w:tc>
          <w:tcPr>
            <w:tcW w:w="2324" w:type="dxa"/>
          </w:tcPr>
          <w:p>
            <w:pPr>
              <w:pStyle w:val="0"/>
              <w:jc w:val="both"/>
            </w:pPr>
            <w:r>
              <w:rPr>
                <w:sz w:val="20"/>
              </w:rPr>
              <w:t xml:space="preserve">Разработка проекта приказа</w:t>
            </w:r>
          </w:p>
        </w:tc>
      </w:tr>
      <w:tr>
        <w:tc>
          <w:tcPr>
            <w:gridSpan w:val="8"/>
            <w:tcW w:w="15590" w:type="dxa"/>
          </w:tcPr>
          <w:p>
            <w:pPr>
              <w:pStyle w:val="0"/>
              <w:outlineLvl w:val="3"/>
              <w:jc w:val="center"/>
            </w:pPr>
            <w:r>
              <w:rPr>
                <w:sz w:val="20"/>
              </w:rPr>
              <w:t xml:space="preserve">IX. Разработка и реализация системы информационной поддержки НС и РНС для населения</w:t>
            </w:r>
          </w:p>
        </w:tc>
      </w:tr>
      <w:tr>
        <w:tc>
          <w:tcPr>
            <w:tcW w:w="737" w:type="dxa"/>
          </w:tcPr>
          <w:p>
            <w:pPr>
              <w:pStyle w:val="0"/>
              <w:jc w:val="both"/>
            </w:pPr>
            <w:r>
              <w:rPr>
                <w:sz w:val="20"/>
              </w:rPr>
              <w:t xml:space="preserve">10.1.</w:t>
            </w:r>
          </w:p>
        </w:tc>
        <w:tc>
          <w:tcPr>
            <w:tcW w:w="2721" w:type="dxa"/>
          </w:tcPr>
          <w:p>
            <w:pPr>
              <w:pStyle w:val="0"/>
              <w:jc w:val="both"/>
            </w:pPr>
            <w:r>
              <w:rPr>
                <w:sz w:val="20"/>
              </w:rPr>
              <w:t xml:space="preserve">Разработка и утверждение информированного согласия для родителей (законных представителей) ребенка по проведению РНС</w:t>
            </w:r>
          </w:p>
        </w:tc>
        <w:tc>
          <w:tcPr>
            <w:tcW w:w="1361" w:type="dxa"/>
          </w:tcPr>
          <w:p>
            <w:pPr>
              <w:pStyle w:val="0"/>
              <w:jc w:val="both"/>
            </w:pPr>
            <w:r>
              <w:rPr>
                <w:sz w:val="20"/>
              </w:rPr>
              <w:t xml:space="preserve">20.11.2022</w:t>
            </w:r>
          </w:p>
        </w:tc>
        <w:tc>
          <w:tcPr>
            <w:tcW w:w="1474" w:type="dxa"/>
          </w:tcPr>
          <w:p>
            <w:pPr>
              <w:pStyle w:val="0"/>
              <w:jc w:val="both"/>
            </w:pPr>
            <w:r>
              <w:rPr>
                <w:sz w:val="20"/>
              </w:rPr>
              <w:t xml:space="preserve">01.01.2023</w:t>
            </w:r>
          </w:p>
        </w:tc>
        <w:tc>
          <w:tcPr>
            <w:tcW w:w="1871" w:type="dxa"/>
          </w:tcPr>
          <w:p>
            <w:pPr>
              <w:pStyle w:val="0"/>
              <w:jc w:val="both"/>
            </w:pPr>
            <w:r>
              <w:rPr>
                <w:sz w:val="20"/>
              </w:rPr>
              <w:t xml:space="preserve">Городская больница N 5, ГВС генетик</w:t>
            </w:r>
          </w:p>
        </w:tc>
        <w:tc>
          <w:tcPr>
            <w:tcW w:w="2551" w:type="dxa"/>
          </w:tcPr>
          <w:p>
            <w:pPr>
              <w:pStyle w:val="0"/>
              <w:jc w:val="both"/>
            </w:pPr>
            <w:r>
              <w:rPr>
                <w:sz w:val="20"/>
              </w:rPr>
              <w:t xml:space="preserve">Своевременность и правильность диагностики и дальнейшего лечения заболевания</w:t>
            </w:r>
          </w:p>
        </w:tc>
        <w:tc>
          <w:tcPr>
            <w:tcW w:w="2551" w:type="dxa"/>
          </w:tcPr>
          <w:p>
            <w:pPr>
              <w:pStyle w:val="0"/>
              <w:jc w:val="both"/>
            </w:pPr>
            <w:r>
              <w:rPr>
                <w:sz w:val="20"/>
              </w:rPr>
              <w:t xml:space="preserve">Приказ МО</w:t>
            </w:r>
          </w:p>
        </w:tc>
        <w:tc>
          <w:tcPr>
            <w:tcW w:w="2324" w:type="dxa"/>
          </w:tcPr>
          <w:p>
            <w:pPr>
              <w:pStyle w:val="0"/>
              <w:jc w:val="both"/>
            </w:pPr>
            <w:r>
              <w:rPr>
                <w:sz w:val="20"/>
              </w:rPr>
              <w:t xml:space="preserve">Планируется к утверждению</w:t>
            </w:r>
          </w:p>
        </w:tc>
      </w:tr>
      <w:tr>
        <w:tc>
          <w:tcPr>
            <w:tcW w:w="737" w:type="dxa"/>
          </w:tcPr>
          <w:p>
            <w:pPr>
              <w:pStyle w:val="0"/>
              <w:jc w:val="both"/>
            </w:pPr>
            <w:r>
              <w:rPr>
                <w:sz w:val="20"/>
              </w:rPr>
              <w:t xml:space="preserve">10.2.</w:t>
            </w:r>
          </w:p>
        </w:tc>
        <w:tc>
          <w:tcPr>
            <w:tcW w:w="2721" w:type="dxa"/>
          </w:tcPr>
          <w:p>
            <w:pPr>
              <w:pStyle w:val="0"/>
              <w:jc w:val="both"/>
            </w:pPr>
            <w:r>
              <w:rPr>
                <w:sz w:val="20"/>
              </w:rPr>
              <w:t xml:space="preserve">Разработка буклетов и памяток о необходимости проведения НС и РНС</w:t>
            </w:r>
          </w:p>
        </w:tc>
        <w:tc>
          <w:tcPr>
            <w:tcW w:w="1361" w:type="dxa"/>
          </w:tcPr>
          <w:p>
            <w:pPr>
              <w:pStyle w:val="0"/>
              <w:jc w:val="both"/>
            </w:pPr>
            <w:r>
              <w:rPr>
                <w:sz w:val="20"/>
              </w:rPr>
              <w:t xml:space="preserve">01.01.2023</w:t>
            </w:r>
          </w:p>
        </w:tc>
        <w:tc>
          <w:tcPr>
            <w:tcW w:w="1474" w:type="dxa"/>
          </w:tcPr>
          <w:p>
            <w:pPr>
              <w:pStyle w:val="0"/>
              <w:jc w:val="both"/>
            </w:pPr>
            <w:r>
              <w:rPr>
                <w:sz w:val="20"/>
              </w:rPr>
              <w:t xml:space="preserve">01.01.2024</w:t>
            </w:r>
          </w:p>
        </w:tc>
        <w:tc>
          <w:tcPr>
            <w:tcW w:w="1871" w:type="dxa"/>
          </w:tcPr>
          <w:p>
            <w:pPr>
              <w:pStyle w:val="0"/>
              <w:jc w:val="both"/>
            </w:pPr>
            <w:r>
              <w:rPr>
                <w:sz w:val="20"/>
              </w:rPr>
              <w:t xml:space="preserve">Городская больница N 5</w:t>
            </w:r>
          </w:p>
        </w:tc>
        <w:tc>
          <w:tcPr>
            <w:tcW w:w="2551" w:type="dxa"/>
          </w:tcPr>
          <w:p>
            <w:pPr>
              <w:pStyle w:val="0"/>
              <w:jc w:val="both"/>
            </w:pPr>
            <w:r>
              <w:rPr>
                <w:sz w:val="20"/>
              </w:rPr>
              <w:t xml:space="preserve">Повышение информированности населения города Севастополя о важности проведения НС и РНС</w:t>
            </w:r>
          </w:p>
        </w:tc>
        <w:tc>
          <w:tcPr>
            <w:tcW w:w="2551" w:type="dxa"/>
          </w:tcPr>
          <w:p>
            <w:pPr>
              <w:pStyle w:val="0"/>
              <w:jc w:val="both"/>
            </w:pPr>
            <w:r>
              <w:rPr>
                <w:sz w:val="20"/>
              </w:rPr>
              <w:t xml:space="preserve">Памятка, буклет</w:t>
            </w:r>
          </w:p>
        </w:tc>
        <w:tc>
          <w:tcPr>
            <w:tcW w:w="2324" w:type="dxa"/>
          </w:tcPr>
          <w:p>
            <w:pPr>
              <w:pStyle w:val="0"/>
              <w:jc w:val="both"/>
            </w:pPr>
            <w:r>
              <w:rPr>
                <w:sz w:val="20"/>
              </w:rPr>
              <w:t xml:space="preserve">Разработка макетов</w:t>
            </w:r>
          </w:p>
        </w:tc>
      </w:tr>
      <w:tr>
        <w:tc>
          <w:tcPr>
            <w:tcW w:w="737" w:type="dxa"/>
          </w:tcPr>
          <w:p>
            <w:pPr>
              <w:pStyle w:val="0"/>
              <w:jc w:val="both"/>
            </w:pPr>
            <w:r>
              <w:rPr>
                <w:sz w:val="20"/>
              </w:rPr>
              <w:t xml:space="preserve">10.3.</w:t>
            </w:r>
          </w:p>
        </w:tc>
        <w:tc>
          <w:tcPr>
            <w:tcW w:w="2721" w:type="dxa"/>
          </w:tcPr>
          <w:p>
            <w:pPr>
              <w:pStyle w:val="0"/>
              <w:jc w:val="both"/>
            </w:pPr>
            <w:r>
              <w:rPr>
                <w:sz w:val="20"/>
              </w:rPr>
              <w:t xml:space="preserve">Размещение информации о НС и РНС на официальном сайте ДЗГС и МО</w:t>
            </w:r>
          </w:p>
        </w:tc>
        <w:tc>
          <w:tcPr>
            <w:tcW w:w="1361" w:type="dxa"/>
          </w:tcPr>
          <w:p>
            <w:pPr>
              <w:pStyle w:val="0"/>
              <w:jc w:val="both"/>
            </w:pPr>
            <w:r>
              <w:rPr>
                <w:sz w:val="20"/>
              </w:rPr>
              <w:t xml:space="preserve">01.01.2023</w:t>
            </w:r>
          </w:p>
        </w:tc>
        <w:tc>
          <w:tcPr>
            <w:tcW w:w="1474" w:type="dxa"/>
          </w:tcPr>
          <w:p>
            <w:pPr>
              <w:pStyle w:val="0"/>
              <w:jc w:val="both"/>
            </w:pPr>
            <w:r>
              <w:rPr>
                <w:sz w:val="20"/>
              </w:rPr>
              <w:t xml:space="preserve">01.01.2024</w:t>
            </w:r>
          </w:p>
        </w:tc>
        <w:tc>
          <w:tcPr>
            <w:tcW w:w="1871" w:type="dxa"/>
          </w:tcPr>
          <w:p>
            <w:pPr>
              <w:pStyle w:val="0"/>
              <w:jc w:val="both"/>
            </w:pPr>
            <w:r>
              <w:rPr>
                <w:sz w:val="20"/>
              </w:rPr>
              <w:t xml:space="preserve">МИАЦ</w:t>
            </w:r>
          </w:p>
        </w:tc>
        <w:tc>
          <w:tcPr>
            <w:tcW w:w="2551" w:type="dxa"/>
          </w:tcPr>
          <w:p>
            <w:pPr>
              <w:pStyle w:val="0"/>
              <w:jc w:val="both"/>
            </w:pPr>
            <w:r>
              <w:rPr>
                <w:sz w:val="20"/>
              </w:rPr>
              <w:t xml:space="preserve">Повышение информированности населения города Севастополя о важности проведения НС и НС</w:t>
            </w:r>
          </w:p>
        </w:tc>
        <w:tc>
          <w:tcPr>
            <w:tcW w:w="2551" w:type="dxa"/>
          </w:tcPr>
          <w:p>
            <w:pPr>
              <w:pStyle w:val="0"/>
              <w:jc w:val="both"/>
            </w:pPr>
            <w:r>
              <w:rPr>
                <w:sz w:val="20"/>
              </w:rPr>
              <w:t xml:space="preserve">Информационные материалы и нормативные правовые акты</w:t>
            </w:r>
          </w:p>
        </w:tc>
        <w:tc>
          <w:tcPr>
            <w:tcW w:w="2324" w:type="dxa"/>
          </w:tcPr>
          <w:p>
            <w:pPr>
              <w:pStyle w:val="0"/>
              <w:jc w:val="both"/>
            </w:pPr>
            <w:r>
              <w:rPr>
                <w:sz w:val="20"/>
              </w:rPr>
              <w:t xml:space="preserve">В разработке</w:t>
            </w:r>
          </w:p>
        </w:tc>
      </w:tr>
      <w:tr>
        <w:tc>
          <w:tcPr>
            <w:tcW w:w="737" w:type="dxa"/>
          </w:tcPr>
          <w:p>
            <w:pPr>
              <w:pStyle w:val="0"/>
              <w:jc w:val="both"/>
            </w:pPr>
            <w:r>
              <w:rPr>
                <w:sz w:val="20"/>
              </w:rPr>
              <w:t xml:space="preserve">10.4.</w:t>
            </w:r>
          </w:p>
        </w:tc>
        <w:tc>
          <w:tcPr>
            <w:tcW w:w="2721" w:type="dxa"/>
          </w:tcPr>
          <w:p>
            <w:pPr>
              <w:pStyle w:val="0"/>
              <w:jc w:val="both"/>
            </w:pPr>
            <w:r>
              <w:rPr>
                <w:sz w:val="20"/>
              </w:rPr>
              <w:t xml:space="preserve">Трансляция видеороликов в женских консультациях города Севастополя о необходимости и важности проведения НС и РНС для выявления, диагностики и своевременного лечения врожденных и наследственных заболеваний</w:t>
            </w:r>
          </w:p>
        </w:tc>
        <w:tc>
          <w:tcPr>
            <w:tcW w:w="1361" w:type="dxa"/>
          </w:tcPr>
          <w:p>
            <w:pPr>
              <w:pStyle w:val="0"/>
              <w:jc w:val="both"/>
            </w:pPr>
            <w:r>
              <w:rPr>
                <w:sz w:val="20"/>
              </w:rPr>
              <w:t xml:space="preserve">01.01.2023</w:t>
            </w:r>
          </w:p>
        </w:tc>
        <w:tc>
          <w:tcPr>
            <w:tcW w:w="1474" w:type="dxa"/>
          </w:tcPr>
          <w:p>
            <w:pPr>
              <w:pStyle w:val="0"/>
              <w:jc w:val="both"/>
            </w:pPr>
            <w:r>
              <w:rPr>
                <w:sz w:val="20"/>
              </w:rPr>
              <w:t xml:space="preserve">01.01.2024</w:t>
            </w:r>
          </w:p>
        </w:tc>
        <w:tc>
          <w:tcPr>
            <w:tcW w:w="1871" w:type="dxa"/>
          </w:tcPr>
          <w:p>
            <w:pPr>
              <w:pStyle w:val="0"/>
              <w:jc w:val="both"/>
            </w:pPr>
            <w:r>
              <w:rPr>
                <w:sz w:val="20"/>
              </w:rPr>
              <w:t xml:space="preserve">МИАЦ</w:t>
            </w:r>
          </w:p>
        </w:tc>
        <w:tc>
          <w:tcPr>
            <w:tcW w:w="2551" w:type="dxa"/>
          </w:tcPr>
          <w:p>
            <w:pPr>
              <w:pStyle w:val="0"/>
              <w:jc w:val="both"/>
            </w:pPr>
            <w:r>
              <w:rPr>
                <w:sz w:val="20"/>
              </w:rPr>
              <w:t xml:space="preserve">Повышение информированности среди населения города Севастополя о важности проведения НС и РНС</w:t>
            </w:r>
          </w:p>
        </w:tc>
        <w:tc>
          <w:tcPr>
            <w:tcW w:w="2551" w:type="dxa"/>
          </w:tcPr>
          <w:p>
            <w:pPr>
              <w:pStyle w:val="0"/>
              <w:jc w:val="both"/>
            </w:pPr>
            <w:r>
              <w:rPr>
                <w:sz w:val="20"/>
              </w:rPr>
              <w:t xml:space="preserve">Информационные материалы и нормативные правовые акты</w:t>
            </w:r>
          </w:p>
        </w:tc>
        <w:tc>
          <w:tcPr>
            <w:tcW w:w="2324" w:type="dxa"/>
          </w:tcPr>
          <w:p>
            <w:pPr>
              <w:pStyle w:val="0"/>
              <w:jc w:val="both"/>
            </w:pPr>
            <w:r>
              <w:rPr>
                <w:sz w:val="20"/>
              </w:rPr>
              <w:t xml:space="preserve">В разработке</w:t>
            </w:r>
          </w:p>
        </w:tc>
      </w:tr>
      <w:tr>
        <w:tc>
          <w:tcPr>
            <w:tcW w:w="737" w:type="dxa"/>
          </w:tcPr>
          <w:p>
            <w:pPr>
              <w:pStyle w:val="0"/>
              <w:jc w:val="both"/>
            </w:pPr>
            <w:r>
              <w:rPr>
                <w:sz w:val="20"/>
              </w:rPr>
              <w:t xml:space="preserve">10.5.</w:t>
            </w:r>
          </w:p>
        </w:tc>
        <w:tc>
          <w:tcPr>
            <w:tcW w:w="2721" w:type="dxa"/>
          </w:tcPr>
          <w:p>
            <w:pPr>
              <w:pStyle w:val="0"/>
              <w:jc w:val="both"/>
            </w:pPr>
            <w:r>
              <w:rPr>
                <w:sz w:val="20"/>
              </w:rPr>
              <w:t xml:space="preserve">Подготовка и проведение тематических интервью профильных специалистов на региональном телевидении, интернет-ресурсах и печатных СМИ города Севастополя по вопросам генетики и проведения процедур НС и РНС</w:t>
            </w:r>
          </w:p>
        </w:tc>
        <w:tc>
          <w:tcPr>
            <w:tcW w:w="1361" w:type="dxa"/>
          </w:tcPr>
          <w:p>
            <w:pPr>
              <w:pStyle w:val="0"/>
              <w:jc w:val="both"/>
            </w:pPr>
            <w:r>
              <w:rPr>
                <w:sz w:val="20"/>
              </w:rPr>
              <w:t xml:space="preserve">01.01.2023</w:t>
            </w:r>
          </w:p>
        </w:tc>
        <w:tc>
          <w:tcPr>
            <w:tcW w:w="1474" w:type="dxa"/>
          </w:tcPr>
          <w:p>
            <w:pPr>
              <w:pStyle w:val="0"/>
              <w:jc w:val="both"/>
            </w:pPr>
            <w:r>
              <w:rPr>
                <w:sz w:val="20"/>
              </w:rPr>
              <w:t xml:space="preserve">01.01.2024</w:t>
            </w:r>
          </w:p>
        </w:tc>
        <w:tc>
          <w:tcPr>
            <w:tcW w:w="1871" w:type="dxa"/>
          </w:tcPr>
          <w:p>
            <w:pPr>
              <w:pStyle w:val="0"/>
              <w:jc w:val="both"/>
            </w:pPr>
            <w:r>
              <w:rPr>
                <w:sz w:val="20"/>
              </w:rPr>
              <w:t xml:space="preserve">МИАЦ, МО</w:t>
            </w:r>
          </w:p>
        </w:tc>
        <w:tc>
          <w:tcPr>
            <w:tcW w:w="2551" w:type="dxa"/>
          </w:tcPr>
          <w:p>
            <w:pPr>
              <w:pStyle w:val="0"/>
              <w:jc w:val="both"/>
            </w:pPr>
            <w:r>
              <w:rPr>
                <w:sz w:val="20"/>
              </w:rPr>
              <w:t xml:space="preserve">Повышение информированности среди населения города Севастополя о важности проведения НС и РНС</w:t>
            </w:r>
          </w:p>
        </w:tc>
        <w:tc>
          <w:tcPr>
            <w:tcW w:w="2551" w:type="dxa"/>
          </w:tcPr>
          <w:p>
            <w:pPr>
              <w:pStyle w:val="0"/>
              <w:jc w:val="both"/>
            </w:pPr>
            <w:r>
              <w:rPr>
                <w:sz w:val="20"/>
              </w:rPr>
              <w:t xml:space="preserve">Информационные материалы и нормативные правовые акты</w:t>
            </w:r>
          </w:p>
        </w:tc>
        <w:tc>
          <w:tcPr>
            <w:tcW w:w="2324" w:type="dxa"/>
          </w:tcPr>
          <w:p>
            <w:pPr>
              <w:pStyle w:val="0"/>
              <w:jc w:val="both"/>
            </w:pPr>
            <w:r>
              <w:rPr>
                <w:sz w:val="20"/>
              </w:rPr>
              <w:t xml:space="preserve">В разработке</w:t>
            </w:r>
          </w:p>
        </w:tc>
      </w:tr>
    </w:tbl>
    <w:p>
      <w:pPr>
        <w:sectPr>
          <w:headerReference w:type="default" r:id="rId294"/>
          <w:headerReference w:type="first" r:id="rId294"/>
          <w:footerReference w:type="default" r:id="rId295"/>
          <w:footerReference w:type="first" r:id="rId295"/>
          <w:pgSz w:w="16838" w:h="11906" w:orient="landscape"/>
          <w:pgMar w:top="1133" w:right="1440" w:bottom="566" w:left="1440" w:header="0" w:footer="0" w:gutter="0"/>
          <w:titlePg/>
        </w:sectPr>
      </w:pPr>
    </w:p>
    <w:p>
      <w:pPr>
        <w:pStyle w:val="0"/>
        <w:jc w:val="center"/>
      </w:pPr>
      <w:r>
        <w:rPr>
          <w:sz w:val="20"/>
        </w:rPr>
      </w:r>
    </w:p>
    <w:p>
      <w:pPr>
        <w:pStyle w:val="0"/>
        <w:outlineLvl w:val="3"/>
        <w:jc w:val="right"/>
      </w:pPr>
      <w:r>
        <w:rPr>
          <w:sz w:val="20"/>
        </w:rPr>
        <w:t xml:space="preserve">Схема 1</w:t>
      </w:r>
    </w:p>
    <w:p>
      <w:pPr>
        <w:pStyle w:val="0"/>
      </w:pPr>
      <w:r>
        <w:rPr>
          <w:sz w:val="20"/>
        </w:rPr>
      </w:r>
    </w:p>
    <w:p>
      <w:pPr>
        <w:pStyle w:val="2"/>
        <w:jc w:val="center"/>
      </w:pPr>
      <w:r>
        <w:rPr>
          <w:sz w:val="20"/>
        </w:rPr>
        <w:t xml:space="preserve">Схема доставки биоматериала в субъекте для проведения</w:t>
      </w:r>
    </w:p>
    <w:p>
      <w:pPr>
        <w:pStyle w:val="2"/>
        <w:jc w:val="center"/>
      </w:pPr>
      <w:r>
        <w:rPr>
          <w:sz w:val="20"/>
        </w:rPr>
        <w:t xml:space="preserve">неонатального скрининга (НС)</w:t>
      </w:r>
    </w:p>
    <w:p>
      <w:pPr>
        <w:pStyle w:val="0"/>
        <w:jc w:val="center"/>
      </w:pPr>
      <w:r>
        <w:rPr>
          <w:sz w:val="20"/>
        </w:rPr>
      </w:r>
    </w:p>
    <w:p>
      <w:pPr>
        <w:pStyle w:val="0"/>
        <w:jc w:val="center"/>
      </w:pPr>
      <w:r>
        <w:rPr>
          <w:sz w:val="20"/>
        </w:rPr>
        <w:t xml:space="preserve">77 км. Автомобильный транспорт</w:t>
      </w:r>
    </w:p>
    <w:p>
      <w:pPr>
        <w:pStyle w:val="0"/>
        <w:jc w:val="center"/>
      </w:pPr>
      <w:r>
        <w:rPr>
          <w:sz w:val="20"/>
        </w:rPr>
      </w:r>
    </w:p>
    <w:p>
      <w:pPr>
        <w:pStyle w:val="0"/>
        <w:jc w:val="center"/>
      </w:pPr>
      <w:r>
        <w:rPr>
          <w:position w:val="-209"/>
        </w:rPr>
        <w:drawing>
          <wp:inline distT="0" distB="0" distL="0" distR="0">
            <wp:extent cx="3961765" cy="279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a:extLst>
                        <a:ext uri="{28A0092B-C50C-407E-A947-70E740481C1C}">
                          <a14:useLocalDpi xmlns:a14="http://schemas.microsoft.com/office/drawing/2010/main" val="0"/>
                        </a:ext>
                      </a:extLst>
                    </a:blip>
                    <a:srcRect/>
                    <a:stretch>
                      <a:fillRect/>
                    </a:stretch>
                  </pic:blipFill>
                  <pic:spPr bwMode="auto">
                    <a:xfrm>
                      <a:off x="0" y="0"/>
                      <a:ext cx="3961765" cy="2791460"/>
                    </a:xfrm>
                    <a:prstGeom prst="rect">
                      <a:avLst/>
                    </a:prstGeom>
                    <a:noFill/>
                    <a:ln>
                      <a:noFill/>
                    </a:ln>
                  </pic:spPr>
                </pic:pic>
              </a:graphicData>
            </a:graphic>
          </wp:inline>
        </w:drawing>
      </w:r>
    </w:p>
    <w:p>
      <w:pPr>
        <w:pStyle w:val="0"/>
        <w:ind w:firstLine="540"/>
        <w:jc w:val="both"/>
      </w:pPr>
      <w:r>
        <w:rPr>
          <w:sz w:val="20"/>
        </w:rPr>
      </w:r>
    </w:p>
    <w:p>
      <w:pPr>
        <w:pStyle w:val="0"/>
        <w:outlineLvl w:val="3"/>
        <w:jc w:val="right"/>
      </w:pPr>
      <w:r>
        <w:rPr>
          <w:sz w:val="20"/>
        </w:rPr>
        <w:t xml:space="preserve">Схема 2</w:t>
      </w:r>
    </w:p>
    <w:p>
      <w:pPr>
        <w:pStyle w:val="0"/>
        <w:ind w:firstLine="540"/>
        <w:jc w:val="both"/>
      </w:pPr>
      <w:r>
        <w:rPr>
          <w:sz w:val="20"/>
        </w:rPr>
      </w:r>
    </w:p>
    <w:p>
      <w:pPr>
        <w:pStyle w:val="2"/>
        <w:jc w:val="center"/>
      </w:pPr>
      <w:r>
        <w:rPr>
          <w:sz w:val="20"/>
        </w:rPr>
        <w:t xml:space="preserve">Схема доставки биоматериала для проведения расширенного</w:t>
      </w:r>
    </w:p>
    <w:p>
      <w:pPr>
        <w:pStyle w:val="2"/>
        <w:jc w:val="center"/>
      </w:pPr>
      <w:r>
        <w:rPr>
          <w:sz w:val="20"/>
        </w:rPr>
        <w:t xml:space="preserve">неонатального скрининга (РНС)</w:t>
      </w:r>
    </w:p>
    <w:p>
      <w:pPr>
        <w:pStyle w:val="0"/>
        <w:jc w:val="center"/>
      </w:pPr>
      <w:r>
        <w:rPr>
          <w:sz w:val="20"/>
        </w:rPr>
      </w:r>
    </w:p>
    <w:p>
      <w:pPr>
        <w:pStyle w:val="0"/>
        <w:jc w:val="center"/>
      </w:pPr>
      <w:r>
        <w:rPr>
          <w:sz w:val="20"/>
        </w:rPr>
        <w:t xml:space="preserve">1351 км. Авиатранспорт</w:t>
      </w:r>
    </w:p>
    <w:p>
      <w:pPr>
        <w:pStyle w:val="0"/>
        <w:jc w:val="center"/>
      </w:pPr>
      <w:r>
        <w:rPr>
          <w:sz w:val="20"/>
        </w:rPr>
      </w:r>
    </w:p>
    <w:p>
      <w:pPr>
        <w:pStyle w:val="0"/>
        <w:jc w:val="center"/>
      </w:pPr>
      <w:r>
        <w:rPr>
          <w:position w:val="-290"/>
        </w:rPr>
        <w:drawing>
          <wp:inline distT="0" distB="0" distL="0" distR="0">
            <wp:extent cx="3236595" cy="3822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a:extLst>
                        <a:ext uri="{28A0092B-C50C-407E-A947-70E740481C1C}">
                          <a14:useLocalDpi xmlns:a14="http://schemas.microsoft.com/office/drawing/2010/main" val="0"/>
                        </a:ext>
                      </a:extLst>
                    </a:blip>
                    <a:srcRect/>
                    <a:stretch>
                      <a:fillRect/>
                    </a:stretch>
                  </pic:blipFill>
                  <pic:spPr bwMode="auto">
                    <a:xfrm>
                      <a:off x="0" y="0"/>
                      <a:ext cx="3236595" cy="38220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Севастополя от 23.12.2021 N 697-ПП</w:t>
            <w:br/>
            <w:t>(ред. от 03.11.2023)</w:t>
            <w:br/>
            <w:t>"Об утверждении государственной прог...</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24.11.2023</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Севастополя от 23.12.2021 N 697-ПП</w:t>
            <w:br/>
            <w:t>(ред. от 03.11.2023)</w:t>
            <w:br/>
            <w:t>"Об утверждении государственной прог...</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24.11.2023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E180B729A0EB2792FCC923DF51EFB96FF040D530347A69106D5AE1696A8326AC70C2455C1AC31898341CC39511D4E8555C96652EC8BC964D124D92wDW9P" TargetMode = "External"/>
	<Relationship Id="rId8" Type="http://schemas.openxmlformats.org/officeDocument/2006/relationships/hyperlink" Target="consultantplus://offline/ref=E180B729A0EB2792FCC923DF51EFB96FF040D53034786F1A685AE1696A8326AC70C2455C1AC31898341CC39511D4E8555C96652EC8BC964D124D92wDW9P" TargetMode = "External"/>
	<Relationship Id="rId9" Type="http://schemas.openxmlformats.org/officeDocument/2006/relationships/hyperlink" Target="consultantplus://offline/ref=E180B729A0EB2792FCC923DF51EFB96FF040D53034786D1E695AE1696A8326AC70C2455C1AC31898341CC39511D4E8555C96652EC8BC964D124D92wDW9P" TargetMode = "External"/>
	<Relationship Id="rId10" Type="http://schemas.openxmlformats.org/officeDocument/2006/relationships/hyperlink" Target="consultantplus://offline/ref=E180B729A0EB2792FCC923DF51EFB96FF040D530347767196F5AE1696A8326AC70C2455C1AC31898341CC39511D4E8555C96652EC8BC964D124D92wDW9P" TargetMode = "External"/>
	<Relationship Id="rId11" Type="http://schemas.openxmlformats.org/officeDocument/2006/relationships/hyperlink" Target="consultantplus://offline/ref=E180B729A0EB2792FCC923DF51EFB96FF040D530347666186B5AE1696A8326AC70C2455C1AC31898341CC39511D4E8555C96652EC8BC964D124D92wDW9P" TargetMode = "External"/>
	<Relationship Id="rId12" Type="http://schemas.openxmlformats.org/officeDocument/2006/relationships/hyperlink" Target="consultantplus://offline/ref=E180B729A0EB2792FCC923DF51EFB96FF040D5303B7F6A1E6A5AE1696A8326AC70C2455C1AC31898341CC39511D4E8555C96652EC8BC964D124D92wDW9P" TargetMode = "External"/>
	<Relationship Id="rId13" Type="http://schemas.openxmlformats.org/officeDocument/2006/relationships/hyperlink" Target="consultantplus://offline/ref=E180B729A0EB2792FCC923DF51EFB96FF040D5303B7E6F18615AE1696A8326AC70C2455C1AC31898341CC39511D4E8555C96652EC8BC964D124D92wDW9P" TargetMode = "External"/>
	<Relationship Id="rId14" Type="http://schemas.openxmlformats.org/officeDocument/2006/relationships/hyperlink" Target="consultantplus://offline/ref=E180B729A0EB2792FCC923DF51EFB96FF040D5303B7D6A1D6C5AE1696A8326AC70C2455C1AC31898341CC39511D4E8555C96652EC8BC964D124D92wDW9P" TargetMode = "External"/>
	<Relationship Id="rId15" Type="http://schemas.openxmlformats.org/officeDocument/2006/relationships/hyperlink" Target="consultantplus://offline/ref=E180B729A0EB2792FCC923DF51EFB96FF040D5303B7B6F19695AE1696A8326AC70C2455C1AC31898341CC39511D4E8555C96652EC8BC964D124D92wDW9P" TargetMode = "External"/>
	<Relationship Id="rId16" Type="http://schemas.openxmlformats.org/officeDocument/2006/relationships/hyperlink" Target="consultantplus://offline/ref=E180B729A0EB2792FCC923DF51EFB96FF040D5303B7B6C1C605AE1696A8326AC70C2455C1AC31898341CC39511D4E8555C96652EC8BC964D124D92wDW9P" TargetMode = "External"/>
	<Relationship Id="rId17" Type="http://schemas.openxmlformats.org/officeDocument/2006/relationships/hyperlink" Target="consultantplus://offline/ref=E180B729A0EB2792FCC923DF51EFB96FF040D5303B79681F6D5AE1696A8326AC70C2455C1AC31898341CC39511D4E8555C96652EC8BC964D124D92wDW9P" TargetMode = "External"/>
	<Relationship Id="rId18" Type="http://schemas.openxmlformats.org/officeDocument/2006/relationships/hyperlink" Target="consultantplus://offline/ref=E180B729A0EB2792FCC923DF51EFB96FF040D5303B766F1A6A5AE1696A8326AC70C2455C1AC31898341CC39511D4E8555C96652EC8BC964D124D92wDW9P" TargetMode = "External"/>
	<Relationship Id="rId19" Type="http://schemas.openxmlformats.org/officeDocument/2006/relationships/hyperlink" Target="consultantplus://offline/ref=E180B729A0EB2792FCC923DF51EFB96FF040D5303A7F6A1C6E5AE1696A8326AC70C2455C1AC31898341CC39511D4E8555C96652EC8BC964D124D92wDW9P" TargetMode = "External"/>
	<Relationship Id="rId20" Type="http://schemas.openxmlformats.org/officeDocument/2006/relationships/hyperlink" Target="consultantplus://offline/ref=E180B729A0EB2792FCC923DF51EFB96FF040D5303A7D6D1D6F5AE1696A8326AC70C2455C1AC31898341CC39511D4E8555C96652EC8BC964D124D92wDW9P" TargetMode = "External"/>
	<Relationship Id="rId21" Type="http://schemas.openxmlformats.org/officeDocument/2006/relationships/hyperlink" Target="consultantplus://offline/ref=E180B729A0EB2792FCC923DF51EFB96FF040D5303A7B6B1A685AE1696A8326AC70C2455C1AC31898341CC39511D4E8555C96652EC8BC964D124D92wDW9P" TargetMode = "External"/>
	<Relationship Id="rId22" Type="http://schemas.openxmlformats.org/officeDocument/2006/relationships/hyperlink" Target="consultantplus://offline/ref=E180B729A0EB2792FCC923DF51EFB96FF040D5303A7A6F1D6C5AE1696A8326AC70C2455C1AC31898341CC39511D4E8555C96652EC8BC964D124D92wDW9P" TargetMode = "External"/>
	<Relationship Id="rId23" Type="http://schemas.openxmlformats.org/officeDocument/2006/relationships/hyperlink" Target="consultantplus://offline/ref=E180B729A0EB2792FCC93DD24783E262FD4D8A3D3B7A644E3405BA343D8A2CFB378D1C185ACF1093604D87C51782BD0F089A7928D6BFw9W4P" TargetMode = "External"/>
	<Relationship Id="rId24" Type="http://schemas.openxmlformats.org/officeDocument/2006/relationships/hyperlink" Target="consultantplus://offline/ref=E180B729A0EB2792FCC93DD24783E262FD4D8A35307E644E3405BA343D8A2CFB258D44125CCA07993502C19018w8W3P" TargetMode = "External"/>
	<Relationship Id="rId25" Type="http://schemas.openxmlformats.org/officeDocument/2006/relationships/hyperlink" Target="consultantplus://offline/ref=E180B729A0EB2792FCC923DF51EFB96FF040D5303B7B681C6F5AE1696A8326AC70C2454E1A9B149A3002C2910482B913w0WAP" TargetMode = "External"/>
	<Relationship Id="rId26" Type="http://schemas.openxmlformats.org/officeDocument/2006/relationships/hyperlink" Target="consultantplus://offline/ref=E180B729A0EB2792FCC923DF51EFB96FF040D5303B7C6D196F5AE1696A8326AC70C2455C1AC31898341EC09611D4E8555C96652EC8BC964D124D92wDW9P" TargetMode = "External"/>
	<Relationship Id="rId27" Type="http://schemas.openxmlformats.org/officeDocument/2006/relationships/hyperlink" Target="consultantplus://offline/ref=E180B729A0EB2792FCC923DF51EFB96FF040D5303777671A695AE1696A8326AC70C2454E1A9B149A3002C2910482B913w0WAP" TargetMode = "External"/>
	<Relationship Id="rId28" Type="http://schemas.openxmlformats.org/officeDocument/2006/relationships/hyperlink" Target="consultantplus://offline/ref=E180B729A0EB2792FCC923DF51EFB96FF040D5303A7F66116B5AE1696A8326AC70C2454E1A9B149A3002C2910482B913w0WAP" TargetMode = "External"/>
	<Relationship Id="rId29" Type="http://schemas.openxmlformats.org/officeDocument/2006/relationships/hyperlink" Target="consultantplus://offline/ref=E180B729A0EB2792FCC923DF51EFB96FF040D5303B7B6B1A685AE1696A8326AC70C2454E1A9B149A3002C2910482B913w0WAP" TargetMode = "External"/>
	<Relationship Id="rId30" Type="http://schemas.openxmlformats.org/officeDocument/2006/relationships/hyperlink" Target="consultantplus://offline/ref=E180B729A0EB2792FCC923DF51EFB96FF040D53035766F186B5AE1696A8326AC70C2455C1AC31898351CCB9511D4E8555C96652EC8BC964D124D92wDW9P" TargetMode = "External"/>
	<Relationship Id="rId31" Type="http://schemas.openxmlformats.org/officeDocument/2006/relationships/hyperlink" Target="consultantplus://offline/ref=E180B729A0EB2792FCC923DF51EFB96FF040D530347E6D11685AE1696A8326AC70C2454E1A9B149A3002C2910482B913w0WAP" TargetMode = "External"/>
	<Relationship Id="rId32" Type="http://schemas.openxmlformats.org/officeDocument/2006/relationships/hyperlink" Target="consultantplus://offline/ref=E180B729A0EB2792FCC923DF51EFB96FF040D5303B766F1A6A5AE1696A8326AC70C2455C1AC31898341CC39611D4E8555C96652EC8BC964D124D92wDW9P" TargetMode = "External"/>
	<Relationship Id="rId33" Type="http://schemas.openxmlformats.org/officeDocument/2006/relationships/hyperlink" Target="consultantplus://offline/ref=E180B729A0EB2792FCC923DF51EFB96FF040D53035766F186B5AE1696A8326AC70C2455C1AC31898351FC39711D4E8555C96652EC8BC964D124D92wDW9P" TargetMode = "External"/>
	<Relationship Id="rId34" Type="http://schemas.openxmlformats.org/officeDocument/2006/relationships/hyperlink" Target="consultantplus://offline/ref=E180B729A0EB2792FCC923DF51EFB96FF040D5303B766F1A6A5AE1696A8326AC70C2455C1AC31898341CC39811D4E8555C96652EC8BC964D124D92wDW9P" TargetMode = "External"/>
	<Relationship Id="rId35" Type="http://schemas.openxmlformats.org/officeDocument/2006/relationships/hyperlink" Target="consultantplus://offline/ref=E180B729A0EB2792FCC923DF51EFB96FF040D530347A69106D5AE1696A8326AC70C2455C1AC31898341CC39611D4E8555C96652EC8BC964D124D92wDW9P" TargetMode = "External"/>
	<Relationship Id="rId36" Type="http://schemas.openxmlformats.org/officeDocument/2006/relationships/hyperlink" Target="consultantplus://offline/ref=E180B729A0EB2792FCC923DF51EFB96FF040D53034786F1A685AE1696A8326AC70C2455C1AC31898341CC39511D4E8555C96652EC8BC964D124D92wDW9P" TargetMode = "External"/>
	<Relationship Id="rId37" Type="http://schemas.openxmlformats.org/officeDocument/2006/relationships/hyperlink" Target="consultantplus://offline/ref=E180B729A0EB2792FCC923DF51EFB96FF040D53034786D1E695AE1696A8326AC70C2455C1AC31898341CC29011D4E8555C96652EC8BC964D124D92wDW9P" TargetMode = "External"/>
	<Relationship Id="rId38" Type="http://schemas.openxmlformats.org/officeDocument/2006/relationships/hyperlink" Target="consultantplus://offline/ref=E180B729A0EB2792FCC923DF51EFB96FF040D530347767196F5AE1696A8326AC70C2455C1AC31898341CC39511D4E8555C96652EC8BC964D124D92wDW9P" TargetMode = "External"/>
	<Relationship Id="rId39" Type="http://schemas.openxmlformats.org/officeDocument/2006/relationships/hyperlink" Target="consultantplus://offline/ref=E180B729A0EB2792FCC923DF51EFB96FF040D530347666186B5AE1696A8326AC70C2455C1AC31898341CC39511D4E8555C96652EC8BC964D124D92wDW9P" TargetMode = "External"/>
	<Relationship Id="rId40" Type="http://schemas.openxmlformats.org/officeDocument/2006/relationships/hyperlink" Target="consultantplus://offline/ref=E180B729A0EB2792FCC923DF51EFB96FF040D5303B7F6A1E6A5AE1696A8326AC70C2455C1AC31898341CC39511D4E8555C96652EC8BC964D124D92wDW9P" TargetMode = "External"/>
	<Relationship Id="rId41" Type="http://schemas.openxmlformats.org/officeDocument/2006/relationships/hyperlink" Target="consultantplus://offline/ref=E180B729A0EB2792FCC923DF51EFB96FF040D5303B7E6F18615AE1696A8326AC70C2455C1AC31898341CC39511D4E8555C96652EC8BC964D124D92wDW9P" TargetMode = "External"/>
	<Relationship Id="rId42" Type="http://schemas.openxmlformats.org/officeDocument/2006/relationships/hyperlink" Target="consultantplus://offline/ref=E180B729A0EB2792FCC923DF51EFB96FF040D5303B7D6A1D6C5AE1696A8326AC70C2455C1AC31898341CC39511D4E8555C96652EC8BC964D124D92wDW9P" TargetMode = "External"/>
	<Relationship Id="rId43" Type="http://schemas.openxmlformats.org/officeDocument/2006/relationships/hyperlink" Target="consultantplus://offline/ref=E180B729A0EB2792FCC923DF51EFB96FF040D5303B7B6F19695AE1696A8326AC70C2455C1AC31898341CC39511D4E8555C96652EC8BC964D124D92wDW9P" TargetMode = "External"/>
	<Relationship Id="rId44" Type="http://schemas.openxmlformats.org/officeDocument/2006/relationships/hyperlink" Target="consultantplus://offline/ref=E180B729A0EB2792FCC923DF51EFB96FF040D5303B7B6C1C605AE1696A8326AC70C2455C1AC31898341CC39511D4E8555C96652EC8BC964D124D92wDW9P" TargetMode = "External"/>
	<Relationship Id="rId45" Type="http://schemas.openxmlformats.org/officeDocument/2006/relationships/hyperlink" Target="consultantplus://offline/ref=E180B729A0EB2792FCC923DF51EFB96FF040D5303B79681F6D5AE1696A8326AC70C2455C1AC31898341CC39511D4E8555C96652EC8BC964D124D92wDW9P" TargetMode = "External"/>
	<Relationship Id="rId46" Type="http://schemas.openxmlformats.org/officeDocument/2006/relationships/hyperlink" Target="consultantplus://offline/ref=E180B729A0EB2792FCC923DF51EFB96FF040D5303B766F1A6A5AE1696A8326AC70C2455C1AC31898341CC39911D4E8555C96652EC8BC964D124D92wDW9P" TargetMode = "External"/>
	<Relationship Id="rId47" Type="http://schemas.openxmlformats.org/officeDocument/2006/relationships/hyperlink" Target="consultantplus://offline/ref=E180B729A0EB2792FCC923DF51EFB96FF040D5303A7F6A1C6E5AE1696A8326AC70C2455C1AC31898341CC39511D4E8555C96652EC8BC964D124D92wDW9P" TargetMode = "External"/>
	<Relationship Id="rId48" Type="http://schemas.openxmlformats.org/officeDocument/2006/relationships/hyperlink" Target="consultantplus://offline/ref=E180B729A0EB2792FCC923DF51EFB96FF040D5303A7D6D1D6F5AE1696A8326AC70C2455C1AC31898341CC39511D4E8555C96652EC8BC964D124D92wDW9P" TargetMode = "External"/>
	<Relationship Id="rId49" Type="http://schemas.openxmlformats.org/officeDocument/2006/relationships/hyperlink" Target="consultantplus://offline/ref=E180B729A0EB2792FCC923DF51EFB96FF040D5303A7B6B1A685AE1696A8326AC70C2455C1AC31898341CC39511D4E8555C96652EC8BC964D124D92wDW9P" TargetMode = "External"/>
	<Relationship Id="rId50" Type="http://schemas.openxmlformats.org/officeDocument/2006/relationships/hyperlink" Target="consultantplus://offline/ref=E180B729A0EB2792FCC923DF51EFB96FF040D5303A7A6F1D6C5AE1696A8326AC70C2455C1AC31898341CC39511D4E8555C96652EC8BC964D124D92wDW9P" TargetMode = "External"/>
	<Relationship Id="rId51" Type="http://schemas.openxmlformats.org/officeDocument/2006/relationships/hyperlink" Target="consultantplus://offline/ref=E180B729A0EB2792FCC923DF51EFB96FF040D5303B79681F6D5AE1696A8326AC70C2455C1AC31898341CC29011D4E8555C96652EC8BC964D124D92wDW9P" TargetMode = "External"/>
	<Relationship Id="rId52" Type="http://schemas.openxmlformats.org/officeDocument/2006/relationships/hyperlink" Target="consultantplus://offline/ref=E180B729A0EB2792FCC93DD24783E262FD4D8A35307E644E3405BA343D8A2CFB378D1C1E5ECA1E9F341797C15ED5B4130D85662BC8BF9751w1W3P" TargetMode = "External"/>
	<Relationship Id="rId53" Type="http://schemas.openxmlformats.org/officeDocument/2006/relationships/hyperlink" Target="consultantplus://offline/ref=E180B729A0EB2792FCC923DF51EFB96FF040D5303A7A6F1D6C5AE1696A8326AC70C2455C1AC31898341CC29011D4E8555C96652EC8BC964D124D92wDW9P" TargetMode = "External"/>
	<Relationship Id="rId54" Type="http://schemas.openxmlformats.org/officeDocument/2006/relationships/hyperlink" Target="consultantplus://offline/ref=E180B729A0EB2792FCC93DD24783E262FD4D8A35307E644E3405BA343D8A2CFB378D1C1E5ECA1E9F341797C15ED5B4130D85662BC8BF9751w1W3P" TargetMode = "External"/>
	<Relationship Id="rId55" Type="http://schemas.openxmlformats.org/officeDocument/2006/relationships/hyperlink" Target="consultantplus://offline/ref=E180B729A0EB2792FCC923DF51EFB96FF040D5303B79681F6D5AE1696A8326AC70C2455C1AC31898341DC79011D4E8555C96652EC8BC964D124D92wDW9P" TargetMode = "External"/>
	<Relationship Id="rId56" Type="http://schemas.openxmlformats.org/officeDocument/2006/relationships/hyperlink" Target="consultantplus://offline/ref=E180B729A0EB2792FCC93DD24783E262FB4B8B3C3B7A644E3405BA343D8A2CFB378D1C1E5ECE1999301797C15ED5B4130D85662BC8BF9751w1W3P" TargetMode = "External"/>
	<Relationship Id="rId57" Type="http://schemas.openxmlformats.org/officeDocument/2006/relationships/hyperlink" Target="consultantplus://offline/ref=E180B729A0EB2792FCC93DD24783E262FB4D823C3A7C644E3405BA343D8A2CFB258D44125CCA07993502C19018w8W3P" TargetMode = "External"/>
	<Relationship Id="rId58" Type="http://schemas.openxmlformats.org/officeDocument/2006/relationships/hyperlink" Target="consultantplus://offline/ref=E180B729A0EB2792FCC93DD24783E262FB4B8B3C3B7A644E3405BA343D8A2CFB378D1C1E5ECE1999301797C15ED5B4130D85662BC8BF9751w1W3P" TargetMode = "External"/>
	<Relationship Id="rId59" Type="http://schemas.openxmlformats.org/officeDocument/2006/relationships/hyperlink" Target="consultantplus://offline/ref=E180B729A0EB2792FCC923DF51EFB96FF040D530307B6C1A6D5AE1696A8326AC70C2455C1AC31898341CC29511D4E8555C96652EC8BC964D124D92wDW9P" TargetMode = "External"/>
	<Relationship Id="rId60" Type="http://schemas.openxmlformats.org/officeDocument/2006/relationships/hyperlink" Target="consultantplus://offline/ref=E180B729A0EB2792FCC923DF51EFB96FF040D53031766B116E5AE1696A8326AC70C2455C1AC31898341CC29311D4E8555C96652EC8BC964D124D92wDW9P" TargetMode = "External"/>
	<Relationship Id="rId61" Type="http://schemas.openxmlformats.org/officeDocument/2006/relationships/hyperlink" Target="consultantplus://offline/ref=E180B729A0EB2792FCC93DD24783E262F849823E377B644E3405BA343D8A2CFB258D44125CCA07993502C19018w8W3P" TargetMode = "External"/>
	<Relationship Id="rId62" Type="http://schemas.openxmlformats.org/officeDocument/2006/relationships/hyperlink" Target="consultantplus://offline/ref=E180B729A0EB2792FCC93DD24783E262FB43893A3677644E3405BA343D8A2CFB258D44125CCA07993502C19018w8W3P" TargetMode = "External"/>
	<Relationship Id="rId63" Type="http://schemas.openxmlformats.org/officeDocument/2006/relationships/hyperlink" Target="consultantplus://offline/ref=E180B729A0EB2792FCC923DF51EFB96FF040D5303B79681F6D5AE1696A8326AC70C2455C1AC31898341EC29011D4E8555C96652EC8BC964D124D92wDW9P" TargetMode = "External"/>
	<Relationship Id="rId64" Type="http://schemas.openxmlformats.org/officeDocument/2006/relationships/hyperlink" Target="consultantplus://offline/ref=E180B729A0EB2792FCC93DD24783E262FD488835367D644E3405BA343D8A2CFB258D44125CCA07993502C19018w8W3P" TargetMode = "External"/>
	<Relationship Id="rId65" Type="http://schemas.openxmlformats.org/officeDocument/2006/relationships/hyperlink" Target="consultantplus://offline/ref=E180B729A0EB2792FCC93DD24783E262FA4F8A3E337B644E3405BA343D8A2CFB258D44125CCA07993502C19018w8W3P" TargetMode = "External"/>
	<Relationship Id="rId66" Type="http://schemas.openxmlformats.org/officeDocument/2006/relationships/hyperlink" Target="consultantplus://offline/ref=E180B729A0EB2792FCC923DF51EFB96FF040D5303B79681F6D5AE1696A8326AC70C2455C1AC31898341ECB9611D4E8555C96652EC8BC964D124D92wDW9P" TargetMode = "External"/>
	<Relationship Id="rId67" Type="http://schemas.openxmlformats.org/officeDocument/2006/relationships/hyperlink" Target="consultantplus://offline/ref=E180B729A0EB2792FCC93DD24783E262FD4B8834337D644E3405BA343D8A2CFB378D1C1E5ECE1991331797C15ED5B4130D85662BC8BF9751w1W3P" TargetMode = "External"/>
	<Relationship Id="rId68" Type="http://schemas.openxmlformats.org/officeDocument/2006/relationships/hyperlink" Target="consultantplus://offline/ref=E180B729A0EB2792FCC93DD24783E262F849823E377B644E3405BA343D8A2CFB258D44125CCA07993502C19018w8W3P" TargetMode = "External"/>
	<Relationship Id="rId69" Type="http://schemas.openxmlformats.org/officeDocument/2006/relationships/hyperlink" Target="consultantplus://offline/ref=E180B729A0EB2792FCC93DD24783E262FD4B8834337D644E3405BA343D8A2CFB378D1C1E5ECE1991331797C15ED5B4130D85662BC8BF9751w1W3P" TargetMode = "External"/>
	<Relationship Id="rId70" Type="http://schemas.openxmlformats.org/officeDocument/2006/relationships/hyperlink" Target="consultantplus://offline/ref=E180B729A0EB2792FCC93DD24783E262F849823E377B644E3405BA343D8A2CFB258D44125CCA07993502C19018w8W3P" TargetMode = "External"/>
	<Relationship Id="rId71" Type="http://schemas.openxmlformats.org/officeDocument/2006/relationships/hyperlink" Target="consultantplus://offline/ref=E180B729A0EB2792FCC93DD24783E262FD4E8C3B307A644E3405BA343D8A2CFB378D1C1C5CCD1E913F4892D44F8DBB15179A6634D4BD95w5W0P" TargetMode = "External"/>
	<Relationship Id="rId72" Type="http://schemas.openxmlformats.org/officeDocument/2006/relationships/hyperlink" Target="consultantplus://offline/ref=E180B729A0EB2792FCC93DD24783E262FD4D8A35307E644E3405BA343D8A2CFB378D1C1E5ECA1E9F341797C15ED5B4130D85662BC8BF9751w1W3P" TargetMode = "External"/>
	<Relationship Id="rId73" Type="http://schemas.openxmlformats.org/officeDocument/2006/relationships/hyperlink" Target="consultantplus://offline/ref=E180B729A0EB2792FCC93DD24783E262FD4B8834337D644E3405BA343D8A2CFB378D1C1E5ECE1991331797C15ED5B4130D85662BC8BF9751w1W3P" TargetMode = "External"/>
	<Relationship Id="rId74" Type="http://schemas.openxmlformats.org/officeDocument/2006/relationships/hyperlink" Target="consultantplus://offline/ref=E180B729A0EB2792FCC93DD24783E262F849823E377B644E3405BA343D8A2CFB258D44125CCA07993502C19018w8W3P" TargetMode = "External"/>
	<Relationship Id="rId75" Type="http://schemas.openxmlformats.org/officeDocument/2006/relationships/hyperlink" Target="consultantplus://offline/ref=E180B729A0EB2792FCC93DD24783E262FA4D8E39347B644E3405BA343D8A2CFB378D1C1E5ECE199A311797C15ED5B4130D85662BC8BF9751w1W3P" TargetMode = "External"/>
	<Relationship Id="rId76" Type="http://schemas.openxmlformats.org/officeDocument/2006/relationships/hyperlink" Target="consultantplus://offline/ref=E180B729A0EB2792FCC93DD24783E262F848823B337C644E3405BA343D8A2CFB378D1C1E5ECE1999341797C15ED5B4130D85662BC8BF9751w1W3P" TargetMode = "External"/>
	<Relationship Id="rId77" Type="http://schemas.openxmlformats.org/officeDocument/2006/relationships/hyperlink" Target="consultantplus://offline/ref=E180B729A0EB2792FCC93DD24783E262FA4D8C3A357C644E3405BA343D8A2CFB378D1C1E5ECE199A351797C15ED5B4130D85662BC8BF9751w1W3P" TargetMode = "External"/>
	<Relationship Id="rId78" Type="http://schemas.openxmlformats.org/officeDocument/2006/relationships/hyperlink" Target="consultantplus://offline/ref=E180B729A0EB2792FCC93DD24783E262F84E8B383378644E3405BA343D8A2CFB378D1C1E5ECE19983D1797C15ED5B4130D85662BC8BF9751w1W3P" TargetMode = "External"/>
	<Relationship Id="rId79" Type="http://schemas.openxmlformats.org/officeDocument/2006/relationships/hyperlink" Target="consultantplus://offline/ref=E180B729A0EB2792FCC93DD24783E262F84F8B3B3679644E3405BA343D8A2CFB378D1C1E5ECE1999341797C15ED5B4130D85662BC8BF9751w1W3P" TargetMode = "External"/>
	<Relationship Id="rId80" Type="http://schemas.openxmlformats.org/officeDocument/2006/relationships/hyperlink" Target="consultantplus://offline/ref=E180B729A0EB2792FCC923DF51EFB96FF040D5303B79681F6D5AE1696A8326AC70C2455C1AC318983418C39611D4E8555C96652EC8BC964D124D92wDW9P" TargetMode = "External"/>
	<Relationship Id="rId81" Type="http://schemas.openxmlformats.org/officeDocument/2006/relationships/hyperlink" Target="consultantplus://offline/ref=E180B729A0EB2792FCC923DF51EFB96FF040D5303B79681F6D5AE1696A8326AC70C2455C1AC318983418C29111D4E8555C96652EC8BC964D124D92wDW9P" TargetMode = "External"/>
	<Relationship Id="rId82" Type="http://schemas.openxmlformats.org/officeDocument/2006/relationships/hyperlink" Target="consultantplus://offline/ref=E180B729A0EB2792FCC923DF51EFB96FF040D5303A7A6F1D6C5AE1696A8326AC70C2455C1AC31898341CC49911D4E8555C96652EC8BC964D124D92wDW9P" TargetMode = "External"/>
	<Relationship Id="rId83" Type="http://schemas.openxmlformats.org/officeDocument/2006/relationships/hyperlink" Target="consultantplus://offline/ref=E180B729A0EB2792FCC923DF51EFB96FF040D5303A7A6F1D6C5AE1696A8326AC70C2455C1AC31898341CCB9111D4E8555C96652EC8BC964D124D92wDW9P" TargetMode = "External"/>
	<Relationship Id="rId84" Type="http://schemas.openxmlformats.org/officeDocument/2006/relationships/hyperlink" Target="consultantplus://offline/ref=E180B729A0EB2792FCC923DF51EFB96FF040D5303A7A6F1D6C5AE1696A8326AC70C2455C1AC31898341CCB9211D4E8555C96652EC8BC964D124D92wDW9P" TargetMode = "External"/>
	<Relationship Id="rId85" Type="http://schemas.openxmlformats.org/officeDocument/2006/relationships/hyperlink" Target="consultantplus://offline/ref=E180B729A0EB2792FCC923DF51EFB96FF040D5303A7A6F1D6C5AE1696A8326AC70C2455C1AC31898341CCB9311D4E8555C96652EC8BC964D124D92wDW9P" TargetMode = "External"/>
	<Relationship Id="rId86" Type="http://schemas.openxmlformats.org/officeDocument/2006/relationships/hyperlink" Target="consultantplus://offline/ref=E180B729A0EB2792FCC923DF51EFB96FF040D5303A7A6F1D6C5AE1696A8326AC70C2455C1AC31898341CCB9411D4E8555C96652EC8BC964D124D92wDW9P" TargetMode = "External"/>
	<Relationship Id="rId87" Type="http://schemas.openxmlformats.org/officeDocument/2006/relationships/hyperlink" Target="consultantplus://offline/ref=E180B729A0EB2792FCC923DF51EFB96FF040D5303A7A6F1D6C5AE1696A8326AC70C2455C1AC31898341CCB9511D4E8555C96652EC8BC964D124D92wDW9P" TargetMode = "External"/>
	<Relationship Id="rId88" Type="http://schemas.openxmlformats.org/officeDocument/2006/relationships/hyperlink" Target="consultantplus://offline/ref=E180B729A0EB2792FCC923DF51EFB96FF040D5303A7A6F1D6C5AE1696A8326AC70C2455C1AC31898341CCB9611D4E8555C96652EC8BC964D124D92wDW9P" TargetMode = "External"/>
	<Relationship Id="rId89" Type="http://schemas.openxmlformats.org/officeDocument/2006/relationships/hyperlink" Target="consultantplus://offline/ref=E180B729A0EB2792FCC923DF51EFB96FF040D5303A7A6F1D6C5AE1696A8326AC70C2455C1AC31898341CCB9711D4E8555C96652EC8BC964D124D92wDW9P" TargetMode = "External"/>
	<Relationship Id="rId90" Type="http://schemas.openxmlformats.org/officeDocument/2006/relationships/hyperlink" Target="consultantplus://offline/ref=E180B729A0EB2792FCC923DF51EFB96FF040D5303A7A6F1D6C5AE1696A8326AC70C2455C1AC31898341CCB9811D4E8555C96652EC8BC964D124D92wDW9P" TargetMode = "External"/>
	<Relationship Id="rId91" Type="http://schemas.openxmlformats.org/officeDocument/2006/relationships/hyperlink" Target="consultantplus://offline/ref=E180B729A0EB2792FCC923DF51EFB96FF040D5303A7A6F1D6C5AE1696A8326AC70C2455C1AC31898341CCB9911D4E8555C96652EC8BC964D124D92wDW9P" TargetMode = "External"/>
	<Relationship Id="rId92" Type="http://schemas.openxmlformats.org/officeDocument/2006/relationships/hyperlink" Target="consultantplus://offline/ref=E180B729A0EB2792FCC923DF51EFB96FF040D5303A7A6F1D6C5AE1696A8326AC70C2455C1AC31898341CCA9011D4E8555C96652EC8BC964D124D92wDW9P" TargetMode = "External"/>
	<Relationship Id="rId93" Type="http://schemas.openxmlformats.org/officeDocument/2006/relationships/hyperlink" Target="consultantplus://offline/ref=E180B729A0EB2792FCC923DF51EFB96FF040D5303A7A6F1D6C5AE1696A8326AC70C2455C1AC31898341CCA9111D4E8555C96652EC8BC964D124D92wDW9P" TargetMode = "External"/>
	<Relationship Id="rId94" Type="http://schemas.openxmlformats.org/officeDocument/2006/relationships/hyperlink" Target="consultantplus://offline/ref=E180B729A0EB2792FCC923DF51EFB96FF040D5303A7A6F1D6C5AE1696A8326AC70C2455C1AC31898341CCA9211D4E8555C96652EC8BC964D124D92wDW9P" TargetMode = "External"/>
	<Relationship Id="rId95" Type="http://schemas.openxmlformats.org/officeDocument/2006/relationships/hyperlink" Target="consultantplus://offline/ref=E180B729A0EB2792FCC923DF51EFB96FF040D5303A7A6F1D6C5AE1696A8326AC70C2455C1AC31898341CCA9311D4E8555C96652EC8BC964D124D92wDW9P" TargetMode = "External"/>
	<Relationship Id="rId96" Type="http://schemas.openxmlformats.org/officeDocument/2006/relationships/hyperlink" Target="consultantplus://offline/ref=E180B729A0EB2792FCC923DF51EFB96FF040D5303A7A6F1D6C5AE1696A8326AC70C2455C1AC31898341CCA9411D4E8555C96652EC8BC964D124D92wDW9P" TargetMode = "External"/>
	<Relationship Id="rId97" Type="http://schemas.openxmlformats.org/officeDocument/2006/relationships/hyperlink" Target="consultantplus://offline/ref=E180B729A0EB2792FCC923DF51EFB96FF040D5303A7A6F1D6C5AE1696A8326AC70C2455C1AC31898341CCA9511D4E8555C96652EC8BC964D124D92wDW9P" TargetMode = "External"/>
	<Relationship Id="rId98" Type="http://schemas.openxmlformats.org/officeDocument/2006/relationships/hyperlink" Target="consultantplus://offline/ref=E180B729A0EB2792FCC923DF51EFB96FF040D5303A7A6F1D6C5AE1696A8326AC70C2455C1AC31898341CCA9611D4E8555C96652EC8BC964D124D92wDW9P" TargetMode = "External"/>
	<Relationship Id="rId99" Type="http://schemas.openxmlformats.org/officeDocument/2006/relationships/hyperlink" Target="consultantplus://offline/ref=E180B729A0EB2792FCC923DF51EFB96FF040D5303A7A6F1D6C5AE1696A8326AC70C2455C1AC31898341CCA9711D4E8555C96652EC8BC964D124D92wDW9P" TargetMode = "External"/>
	<Relationship Id="rId100" Type="http://schemas.openxmlformats.org/officeDocument/2006/relationships/hyperlink" Target="consultantplus://offline/ref=E180B729A0EB2792FCC923DF51EFB96FF040D5303A7A6F1D6C5AE1696A8326AC70C2455C1AC31898341CCA9811D4E8555C96652EC8BC964D124D92wDW9P" TargetMode = "External"/>
	<Relationship Id="rId101" Type="http://schemas.openxmlformats.org/officeDocument/2006/relationships/hyperlink" Target="consultantplus://offline/ref=E180B729A0EB2792FCC923DF51EFB96FF040D5303A7A6F1D6C5AE1696A8326AC70C2455C1AC31898341CCA9911D4E8555C96652EC8BC964D124D92wDW9P" TargetMode = "External"/>
	<Relationship Id="rId102" Type="http://schemas.openxmlformats.org/officeDocument/2006/relationships/hyperlink" Target="consultantplus://offline/ref=E180B729A0EB2792FCC923DF51EFB96FF040D5303A7A6F1D6C5AE1696A8326AC70C2455C1AC31898341DC39011D4E8555C96652EC8BC964D124D92wDW9P" TargetMode = "External"/>
	<Relationship Id="rId103" Type="http://schemas.openxmlformats.org/officeDocument/2006/relationships/hyperlink" Target="consultantplus://offline/ref=E180B729A0EB2792FCC923DF51EFB96FF040D5303A7A6F1D6C5AE1696A8326AC70C2455C1AC31898341DC39111D4E8555C96652EC8BC964D124D92wDW9P" TargetMode = "External"/>
	<Relationship Id="rId104" Type="http://schemas.openxmlformats.org/officeDocument/2006/relationships/hyperlink" Target="consultantplus://offline/ref=E180B729A0EB2792FCC923DF51EFB96FF040D5303A7A6F1D6C5AE1696A8326AC70C2455C1AC31898341DC39211D4E8555C96652EC8BC964D124D92wDW9P" TargetMode = "External"/>
	<Relationship Id="rId105" Type="http://schemas.openxmlformats.org/officeDocument/2006/relationships/hyperlink" Target="consultantplus://offline/ref=E180B729A0EB2792FCC923DF51EFB96FF040D5303A7A6F1D6C5AE1696A8326AC70C2455C1AC31898341DC39311D4E8555C96652EC8BC964D124D92wDW9P" TargetMode = "External"/>
	<Relationship Id="rId106" Type="http://schemas.openxmlformats.org/officeDocument/2006/relationships/hyperlink" Target="consultantplus://offline/ref=E180B729A0EB2792FCC923DF51EFB96FF040D5303B79681F6D5AE1696A8326AC70C2455C1AC318983418C69811D4E8555C96652EC8BC964D124D92wDW9P" TargetMode = "External"/>
	<Relationship Id="rId107" Type="http://schemas.openxmlformats.org/officeDocument/2006/relationships/hyperlink" Target="consultantplus://offline/ref=E180B729A0EB2792FCC923DF51EFB96FF040D530367968106D5AE1696A8326AC70C2454E1A9B149A3002C2910482B913w0WAP" TargetMode = "External"/>
	<Relationship Id="rId108" Type="http://schemas.openxmlformats.org/officeDocument/2006/relationships/hyperlink" Target="consultantplus://offline/ref=E180B729A0EB2792FCC923DF51EFB96FF040D5303B79681F6D5AE1696A8326AC70C2455C1AC318983418C49611D4E8555C96652EC8BC964D124D92wDW9P" TargetMode = "External"/>
	<Relationship Id="rId109" Type="http://schemas.openxmlformats.org/officeDocument/2006/relationships/hyperlink" Target="consultantplus://offline/ref=E180B729A0EB2792FCC93DD24783E262FD4E88343578644E3405BA343D8A2CFB258D44125CCA07993502C19018w8W3P" TargetMode = "External"/>
	<Relationship Id="rId110" Type="http://schemas.openxmlformats.org/officeDocument/2006/relationships/hyperlink" Target="consultantplus://offline/ref=E180B729A0EB2792FCC93DD24783E262FD4D8A353079644E3405BA343D8A2CFB258D44125CCA07993502C19018w8W3P" TargetMode = "External"/>
	<Relationship Id="rId111" Type="http://schemas.openxmlformats.org/officeDocument/2006/relationships/hyperlink" Target="consultantplus://offline/ref=E180B729A0EB2792FCC923DF51EFB96FF040D53035766F186B5AE1696A8326AC70C2454E1A9B149A3002C2910482B913w0WAP" TargetMode = "External"/>
	<Relationship Id="rId112" Type="http://schemas.openxmlformats.org/officeDocument/2006/relationships/hyperlink" Target="consultantplus://offline/ref=E180B729A0EB2792FCC923DF51EFB96FF040D5303B79681F6D5AE1696A8326AC70C2455C1AC318983418CB9511D4E8555C96652EC8BC964D124D92wDW9P" TargetMode = "External"/>
	<Relationship Id="rId113" Type="http://schemas.openxmlformats.org/officeDocument/2006/relationships/hyperlink" Target="consultantplus://offline/ref=E180B729A0EB2792FCC93DD24783E262FB428D3C3277644E3405BA343D8A2CFB258D44125CCA07993502C19018w8W3P" TargetMode = "External"/>
	<Relationship Id="rId114" Type="http://schemas.openxmlformats.org/officeDocument/2006/relationships/hyperlink" Target="consultantplus://offline/ref=E180B729A0EB2792FCC923DF51EFB96FF040D5303A7B6B1A685AE1696A8326AC70C2455C1AC31898341CCA9811D4E8555C96652EC8BC964D124D92wDW9P" TargetMode = "External"/>
	<Relationship Id="rId115" Type="http://schemas.openxmlformats.org/officeDocument/2006/relationships/hyperlink" Target="consultantplus://offline/ref=E180B729A0EB2792FCC93DD24783E262FB428D3C3277644E3405BA343D8A2CFB258D44125CCA07993502C19018w8W3P" TargetMode = "External"/>
	<Relationship Id="rId116" Type="http://schemas.openxmlformats.org/officeDocument/2006/relationships/hyperlink" Target="consultantplus://offline/ref=E180B729A0EB2792FCC93DD24783E262FD4F833F3A78644E3405BA343D8A2CFB378D1C1E5ECE1999341797C15ED5B4130D85662BC8BF9751w1W3P" TargetMode = "External"/>
	<Relationship Id="rId117" Type="http://schemas.openxmlformats.org/officeDocument/2006/relationships/hyperlink" Target="consultantplus://offline/ref=E180B729A0EB2792FCC923DF51EFB96FF040D5303A7B6B1A685AE1696A8326AC70C2455C1AC31898341DC59711D4E8555C96652EC8BC964D124D92wDW9P" TargetMode = "External"/>
	<Relationship Id="rId118" Type="http://schemas.openxmlformats.org/officeDocument/2006/relationships/hyperlink" Target="consultantplus://offline/ref=E180B729A0EB2792FCC923DF51EFB96FF040D5303A7B6B1A685AE1696A8326AC70C2455C1AC31898341DC59911D4E8555C96652EC8BC964D124D92wDW9P" TargetMode = "External"/>
	<Relationship Id="rId119" Type="http://schemas.openxmlformats.org/officeDocument/2006/relationships/hyperlink" Target="consultantplus://offline/ref=E180B729A0EB2792FCC923DF51EFB96FF040D5303A7B6B1A685AE1696A8326AC70C2455C1AC31898341DC49011D4E8555C96652EC8BC964D124D92wDW9P" TargetMode = "External"/>
	<Relationship Id="rId120" Type="http://schemas.openxmlformats.org/officeDocument/2006/relationships/hyperlink" Target="consultantplus://offline/ref=E180B729A0EB2792FCC923DF51EFB96FF040D5303A7B6B1A685AE1696A8326AC70C2455C1AC31898341DC49111D4E8555C96652EC8BC964D124D92wDW9P" TargetMode = "External"/>
	<Relationship Id="rId121" Type="http://schemas.openxmlformats.org/officeDocument/2006/relationships/hyperlink" Target="consultantplus://offline/ref=E180B729A0EB2792FCC923DF51EFB96FF040D5303A7B6B1A685AE1696A8326AC70C2455C1AC31898341DC49211D4E8555C96652EC8BC964D124D92wDW9P" TargetMode = "External"/>
	<Relationship Id="rId122" Type="http://schemas.openxmlformats.org/officeDocument/2006/relationships/hyperlink" Target="consultantplus://offline/ref=E180B729A0EB2792FCC923DF51EFB96FF040D5303A7B6B1A685AE1696A8326AC70C2455C1AC31898341DC49311D4E8555C96652EC8BC964D124D92wDW9P" TargetMode = "External"/>
	<Relationship Id="rId123" Type="http://schemas.openxmlformats.org/officeDocument/2006/relationships/hyperlink" Target="consultantplus://offline/ref=E180B729A0EB2792FCC923DF51EFB96FF040D5303A7B6B1A685AE1696A8326AC70C2455C1AC31898341DC49411D4E8555C96652EC8BC964D124D92wDW9P" TargetMode = "External"/>
	<Relationship Id="rId124" Type="http://schemas.openxmlformats.org/officeDocument/2006/relationships/hyperlink" Target="consultantplus://offline/ref=E180B729A0EB2792FCC923DF51EFB96FF040D5303A7B6B1A685AE1696A8326AC70C2455C1AC31898341DC49511D4E8555C96652EC8BC964D124D92wDW9P" TargetMode = "External"/>
	<Relationship Id="rId125" Type="http://schemas.openxmlformats.org/officeDocument/2006/relationships/hyperlink" Target="consultantplus://offline/ref=E180B729A0EB2792FCC923DF51EFB96FF040D5303A7B6B1A685AE1696A8326AC70C2455C1AC31898341DC49611D4E8555C96652EC8BC964D124D92wDW9P" TargetMode = "External"/>
	<Relationship Id="rId126" Type="http://schemas.openxmlformats.org/officeDocument/2006/relationships/hyperlink" Target="consultantplus://offline/ref=E180B729A0EB2792FCC923DF51EFB96FF040D5303A7B6B1A685AE1696A8326AC70C2455C1AC31898341DC49711D4E8555C96652EC8BC964D124D92wDW9P" TargetMode = "External"/>
	<Relationship Id="rId127" Type="http://schemas.openxmlformats.org/officeDocument/2006/relationships/hyperlink" Target="consultantplus://offline/ref=E180B729A0EB2792FCC923DF51EFB96FF040D5303A7B6B1A685AE1696A8326AC70C2455C1AC31898341DC49811D4E8555C96652EC8BC964D124D92wDW9P" TargetMode = "External"/>
	<Relationship Id="rId128" Type="http://schemas.openxmlformats.org/officeDocument/2006/relationships/hyperlink" Target="consultantplus://offline/ref=E180B729A0EB2792FCC923DF51EFB96FF040D5303A7B6B1A685AE1696A8326AC70C2455C1AC31898341DC49911D4E8555C96652EC8BC964D124D92wDW9P" TargetMode = "External"/>
	<Relationship Id="rId129" Type="http://schemas.openxmlformats.org/officeDocument/2006/relationships/hyperlink" Target="consultantplus://offline/ref=E180B729A0EB2792FCC923DF51EFB96FF040D5303A7B6B1A685AE1696A8326AC70C2455C1AC31898341DCB9011D4E8555C96652EC8BC964D124D92wDW9P" TargetMode = "External"/>
	<Relationship Id="rId130" Type="http://schemas.openxmlformats.org/officeDocument/2006/relationships/hyperlink" Target="consultantplus://offline/ref=E180B729A0EB2792FCC923DF51EFB96FF040D5303A7B6B1A685AE1696A8326AC70C2455C1AC31898341DCB9111D4E8555C96652EC8BC964D124D92wDW9P" TargetMode = "External"/>
	<Relationship Id="rId131" Type="http://schemas.openxmlformats.org/officeDocument/2006/relationships/hyperlink" Target="consultantplus://offline/ref=E180B729A0EB2792FCC923DF51EFB96FF040D5303A7D6D1D6F5AE1696A8326AC70C2455C1AC31898341DCB9311D4E8555C96652EC8BC964D124D92wDW9P" TargetMode = "External"/>
	<Relationship Id="rId132" Type="http://schemas.openxmlformats.org/officeDocument/2006/relationships/hyperlink" Target="consultantplus://offline/ref=E180B729A0EB2792FCC923DF51EFB96FF040D5303B766F1A6A5AE1696A8326AC70C2455C1AC31898341DCA9411D4E8555C96652EC8BC964D124D92wDW9P" TargetMode = "External"/>
	<Relationship Id="rId133" Type="http://schemas.openxmlformats.org/officeDocument/2006/relationships/hyperlink" Target="consultantplus://offline/ref=E180B729A0EB2792FCC923DF51EFB96FF040D5303B766F1A6A5AE1696A8326AC70C2455C1AC31898341DCA9511D4E8555C96652EC8BC964D124D92wDW9P" TargetMode = "External"/>
	<Relationship Id="rId134" Type="http://schemas.openxmlformats.org/officeDocument/2006/relationships/hyperlink" Target="consultantplus://offline/ref=E180B729A0EB2792FCC923DF51EFB96FF040D5303B766F1A6A5AE1696A8326AC70C2455C1AC31898341DCA9611D4E8555C96652EC8BC964D124D92wDW9P" TargetMode = "External"/>
	<Relationship Id="rId135" Type="http://schemas.openxmlformats.org/officeDocument/2006/relationships/hyperlink" Target="consultantplus://offline/ref=E180B729A0EB2792FCC923DF51EFB96FF040D5303B766F1A6A5AE1696A8326AC70C2455C1AC31898341DCA9711D4E8555C96652EC8BC964D124D92wDW9P" TargetMode = "External"/>
	<Relationship Id="rId136" Type="http://schemas.openxmlformats.org/officeDocument/2006/relationships/hyperlink" Target="consultantplus://offline/ref=E180B729A0EB2792FCC923DF51EFB96FF040D5303B766F1A6A5AE1696A8326AC70C2455C1AC31898341DCA9811D4E8555C96652EC8BC964D124D92wDW9P" TargetMode = "External"/>
	<Relationship Id="rId137" Type="http://schemas.openxmlformats.org/officeDocument/2006/relationships/hyperlink" Target="consultantplus://offline/ref=E180B729A0EB2792FCC923DF51EFB96FF040D5303B766F1A6A5AE1696A8326AC70C2455C1AC31898341DCA9911D4E8555C96652EC8BC964D124D92wDW9P" TargetMode = "External"/>
	<Relationship Id="rId138" Type="http://schemas.openxmlformats.org/officeDocument/2006/relationships/hyperlink" Target="consultantplus://offline/ref=E180B729A0EB2792FCC923DF51EFB96FF040D5303B766F1A6A5AE1696A8326AC70C2455C1AC31898341EC39011D4E8555C96652EC8BC964D124D92wDW9P" TargetMode = "External"/>
	<Relationship Id="rId139" Type="http://schemas.openxmlformats.org/officeDocument/2006/relationships/hyperlink" Target="consultantplus://offline/ref=E180B729A0EB2792FCC923DF51EFB96FF040D5303B766F1A6A5AE1696A8326AC70C2455C1AC31898341EC39111D4E8555C96652EC8BC964D124D92wDW9P" TargetMode = "External"/>
	<Relationship Id="rId140" Type="http://schemas.openxmlformats.org/officeDocument/2006/relationships/hyperlink" Target="consultantplus://offline/ref=E180B729A0EB2792FCC923DF51EFB96FF040D5303B766F1A6A5AE1696A8326AC70C2455C1AC31898341EC39211D4E8555C96652EC8BC964D124D92wDW9P" TargetMode = "External"/>
	<Relationship Id="rId141" Type="http://schemas.openxmlformats.org/officeDocument/2006/relationships/hyperlink" Target="consultantplus://offline/ref=E180B729A0EB2792FCC923DF51EFB96FF040D5303B79681F6D5AE1696A8326AC70C2455C1AC318983414C39111D4E8555C96652EC8BC964D124D92wDW9P" TargetMode = "External"/>
	<Relationship Id="rId142" Type="http://schemas.openxmlformats.org/officeDocument/2006/relationships/hyperlink" Target="consultantplus://offline/ref=E180B729A0EB2792FCC923DF51EFB96FF040D5303A7A6F1D6C5AE1696A8326AC70C2455C1AC31898341DC39511D4E8555C96652EC8BC964D124D92wDW9P" TargetMode = "External"/>
	<Relationship Id="rId143" Type="http://schemas.openxmlformats.org/officeDocument/2006/relationships/hyperlink" Target="consultantplus://offline/ref=E180B729A0EB2792FCC93DD24783E262FD4E8338337C644E3405BA343D8A2CFB258D44125CCA07993502C19018w8W3P" TargetMode = "External"/>
	<Relationship Id="rId144" Type="http://schemas.openxmlformats.org/officeDocument/2006/relationships/hyperlink" Target="consultantplus://offline/ref=E180B729A0EB2792FCC93DD24783E262FB4B8B3C3B7A644E3405BA343D8A2CFB378D1C1E5ECE1999301797C15ED5B4130D85662BC8BF9751w1W3P" TargetMode = "External"/>
	<Relationship Id="rId145" Type="http://schemas.openxmlformats.org/officeDocument/2006/relationships/hyperlink" Target="consultantplus://offline/ref=E180B729A0EB2792FCC93DD24783E262FB4B8B3C3B7A644E3405BA343D8A2CFB378D1C1E5ECE1999301797C15ED5B4130D85662BC8BF9751w1W3P" TargetMode = "External"/>
	<Relationship Id="rId146" Type="http://schemas.openxmlformats.org/officeDocument/2006/relationships/hyperlink" Target="consultantplus://offline/ref=E180B729A0EB2792FCC93DD24783E262FB4B8B3C3B7A644E3405BA343D8A2CFB378D1C1E5ECE1999301797C15ED5B4130D85662BC8BF9751w1W3P" TargetMode = "External"/>
	<Relationship Id="rId147" Type="http://schemas.openxmlformats.org/officeDocument/2006/relationships/hyperlink" Target="consultantplus://offline/ref=E180B729A0EB2792FCC93DD24783E262FB4B8B3C3B7A644E3405BA343D8A2CFB378D1C1E5ECE1999301797C15ED5B4130D85662BC8BF9751w1W3P" TargetMode = "External"/>
	<Relationship Id="rId148" Type="http://schemas.openxmlformats.org/officeDocument/2006/relationships/hyperlink" Target="consultantplus://offline/ref=E180B729A0EB2792FCC93DD24783E262FA4A823F3B7D644E3405BA343D8A2CFB378D1C1E5ECE1999341797C15ED5B4130D85662BC8BF9751w1W3P" TargetMode = "External"/>
	<Relationship Id="rId149" Type="http://schemas.openxmlformats.org/officeDocument/2006/relationships/hyperlink" Target="consultantplus://offline/ref=E180B729A0EB2792FCC93DD24783E262FD488D3E377C644E3405BA343D8A2CFB258D44125CCA07993502C19018w8W3P" TargetMode = "External"/>
	<Relationship Id="rId150" Type="http://schemas.openxmlformats.org/officeDocument/2006/relationships/hyperlink" Target="consultantplus://offline/ref=E180B729A0EB2792FCC93DD24783E262FD4E8C3B307A644E3405BA343D8A2CFB378D1C1C5CCD1E913F4892D44F8DBB15179A6634D4BD95w5W0P" TargetMode = "External"/>
	<Relationship Id="rId151" Type="http://schemas.openxmlformats.org/officeDocument/2006/relationships/hyperlink" Target="consultantplus://offline/ref=E180B729A0EB2792FCC93DD24783E262FD4D8A35307E644E3405BA343D8A2CFB378D1C1E5ECA1E9F341797C15ED5B4130D85662BC8BF9751w1W3P" TargetMode = "External"/>
	<Relationship Id="rId152" Type="http://schemas.openxmlformats.org/officeDocument/2006/relationships/hyperlink" Target="consultantplus://offline/ref=E180B729A0EB2792FCC93DD24783E262FD4E8C3B307A644E3405BA343D8A2CFB378D1C1C5CCD1E913F4892D44F8DBB15179A6634D4BD95w5W0P" TargetMode = "External"/>
	<Relationship Id="rId153" Type="http://schemas.openxmlformats.org/officeDocument/2006/relationships/hyperlink" Target="consultantplus://offline/ref=E180B729A0EB2792FCC93DD24783E262FD4F833F3A78644E3405BA343D8A2CFB378D1C1E5ECE1999341797C15ED5B4130D85662BC8BF9751w1W3P" TargetMode = "External"/>
	<Relationship Id="rId154" Type="http://schemas.openxmlformats.org/officeDocument/2006/relationships/hyperlink" Target="consultantplus://offline/ref=E180B729A0EB2792FCC923DF51EFB96FF040D5303A7A6F1D6C5AE1696A8326AC70C2455C1AC31898341DC49411D4E8555C96652EC8BC964D124D92wDW9P" TargetMode = "External"/>
	<Relationship Id="rId155" Type="http://schemas.openxmlformats.org/officeDocument/2006/relationships/hyperlink" Target="consultantplus://offline/ref=E180B729A0EB2792FCC923DF51EFB96FF040D5303A7A6F1D6C5AE1696A8326AC70C2455C1AC31898341DC49611D4E8555C96652EC8BC964D124D92wDW9P" TargetMode = "External"/>
	<Relationship Id="rId156" Type="http://schemas.openxmlformats.org/officeDocument/2006/relationships/hyperlink" Target="consultantplus://offline/ref=E180B729A0EB2792FCC923DF51EFB96FF040D5303A7A6F1D6C5AE1696A8326AC70C2455C1AC31898341DC49711D4E8555C96652EC8BC964D124D92wDW9P" TargetMode = "External"/>
	<Relationship Id="rId157" Type="http://schemas.openxmlformats.org/officeDocument/2006/relationships/hyperlink" Target="consultantplus://offline/ref=E180B729A0EB2792FCC923DF51EFB96FF040D5303A7A6F1D6C5AE1696A8326AC70C2455C1AC31898341DC49811D4E8555C96652EC8BC964D124D92wDW9P" TargetMode = "External"/>
	<Relationship Id="rId158" Type="http://schemas.openxmlformats.org/officeDocument/2006/relationships/hyperlink" Target="consultantplus://offline/ref=E180B729A0EB2792FCC923DF51EFB96FF040D5303A7A6F1D6C5AE1696A8326AC70C2455C1AC31898341DC49911D4E8555C96652EC8BC964D124D92wDW9P" TargetMode = "External"/>
	<Relationship Id="rId159" Type="http://schemas.openxmlformats.org/officeDocument/2006/relationships/hyperlink" Target="consultantplus://offline/ref=E180B729A0EB2792FCC923DF51EFB96FF040D5303A7A6F1D6C5AE1696A8326AC70C2455C1AC31898341DCB9011D4E8555C96652EC8BC964D124D92wDW9P" TargetMode = "External"/>
	<Relationship Id="rId160" Type="http://schemas.openxmlformats.org/officeDocument/2006/relationships/hyperlink" Target="consultantplus://offline/ref=E180B729A0EB2792FCC923DF51EFB96FF040D5303A7A6F1D6C5AE1696A8326AC70C2455C1AC31898341DCB9111D4E8555C96652EC8BC964D124D92wDW9P" TargetMode = "External"/>
	<Relationship Id="rId161" Type="http://schemas.openxmlformats.org/officeDocument/2006/relationships/hyperlink" Target="consultantplus://offline/ref=E180B729A0EB2792FCC923DF51EFB96FF040D5303A7A6F1D6C5AE1696A8326AC70C2455C1AC31898341DCB9211D4E8555C96652EC8BC964D124D92wDW9P" TargetMode = "External"/>
	<Relationship Id="rId162" Type="http://schemas.openxmlformats.org/officeDocument/2006/relationships/hyperlink" Target="consultantplus://offline/ref=E180B729A0EB2792FCC923DF51EFB96FF040D5303A7A6F1D6C5AE1696A8326AC70C2455C1AC31898341DCB9311D4E8555C96652EC8BC964D124D92wDW9P" TargetMode = "External"/>
	<Relationship Id="rId163" Type="http://schemas.openxmlformats.org/officeDocument/2006/relationships/hyperlink" Target="consultantplus://offline/ref=E180B729A0EB2792FCC923DF51EFB96FF040D5303A7A6F1D6C5AE1696A8326AC70C2455C1AC31898341DCB9411D4E8555C96652EC8BC964D124D92wDW9P" TargetMode = "External"/>
	<Relationship Id="rId164" Type="http://schemas.openxmlformats.org/officeDocument/2006/relationships/hyperlink" Target="consultantplus://offline/ref=E180B729A0EB2792FCC923DF51EFB96FF040D5303A7A6F1D6C5AE1696A8326AC70C2455C1AC31898341DCB9511D4E8555C96652EC8BC964D124D92wDW9P" TargetMode = "External"/>
	<Relationship Id="rId165" Type="http://schemas.openxmlformats.org/officeDocument/2006/relationships/hyperlink" Target="consultantplus://offline/ref=E180B729A0EB2792FCC923DF51EFB96FF040D5303A7A6F1D6C5AE1696A8326AC70C2455C1AC31898341DCB9611D4E8555C96652EC8BC964D124D92wDW9P" TargetMode = "External"/>
	<Relationship Id="rId166" Type="http://schemas.openxmlformats.org/officeDocument/2006/relationships/hyperlink" Target="consultantplus://offline/ref=E180B729A0EB2792FCC923DF51EFB96FF040D5303A7A6F1D6C5AE1696A8326AC70C2455C1AC31898341DCB9711D4E8555C96652EC8BC964D124D92wDW9P" TargetMode = "External"/>
	<Relationship Id="rId167" Type="http://schemas.openxmlformats.org/officeDocument/2006/relationships/hyperlink" Target="consultantplus://offline/ref=E180B729A0EB2792FCC923DF51EFB96FF040D5303A7A6F1D6C5AE1696A8326AC70C2455C1AC31898341DCB9811D4E8555C96652EC8BC964D124D92wDW9P" TargetMode = "External"/>
	<Relationship Id="rId168" Type="http://schemas.openxmlformats.org/officeDocument/2006/relationships/hyperlink" Target="consultantplus://offline/ref=E180B729A0EB2792FCC923DF51EFB96FF040D5303A7A6F1D6C5AE1696A8326AC70C2455C1AC31898341DCB9911D4E8555C96652EC8BC964D124D92wDW9P" TargetMode = "External"/>
	<Relationship Id="rId169" Type="http://schemas.openxmlformats.org/officeDocument/2006/relationships/hyperlink" Target="consultantplus://offline/ref=E180B729A0EB2792FCC923DF51EFB96FF040D5303A7A6F1D6C5AE1696A8326AC70C2455C1AC31898341DCA9011D4E8555C96652EC8BC964D124D92wDW9P" TargetMode = "External"/>
	<Relationship Id="rId170" Type="http://schemas.openxmlformats.org/officeDocument/2006/relationships/hyperlink" Target="consultantplus://offline/ref=E180B729A0EB2792FCC923DF51EFB96FF040D5303A7A6F1D6C5AE1696A8326AC70C2455C1AC31898341DCA9111D4E8555C96652EC8BC964D124D92wDW9P" TargetMode = "External"/>
	<Relationship Id="rId171" Type="http://schemas.openxmlformats.org/officeDocument/2006/relationships/hyperlink" Target="consultantplus://offline/ref=E180B729A0EB2792FCC923DF51EFB96FF040D5303A7A6F1D6C5AE1696A8326AC70C2455C1AC31898341DCA9211D4E8555C96652EC8BC964D124D92wDW9P" TargetMode = "External"/>
	<Relationship Id="rId172" Type="http://schemas.openxmlformats.org/officeDocument/2006/relationships/hyperlink" Target="consultantplus://offline/ref=E180B729A0EB2792FCC923DF51EFB96FF040D5303A7A6F1D6C5AE1696A8326AC70C2455C1AC31898341DCA9311D4E8555C96652EC8BC964D124D92wDW9P" TargetMode = "External"/>
	<Relationship Id="rId173" Type="http://schemas.openxmlformats.org/officeDocument/2006/relationships/hyperlink" Target="consultantplus://offline/ref=E180B729A0EB2792FCC923DF51EFB96FF040D5303A7A6F1D6C5AE1696A8326AC70C2455C1AC31898341DCA9411D4E8555C96652EC8BC964D124D92wDW9P" TargetMode = "External"/>
	<Relationship Id="rId174" Type="http://schemas.openxmlformats.org/officeDocument/2006/relationships/hyperlink" Target="consultantplus://offline/ref=E180B729A0EB2792FCC923DF51EFB96FF040D5303A7A6F1D6C5AE1696A8326AC70C2455C1AC31898341DCA9511D4E8555C96652EC8BC964D124D92wDW9P" TargetMode = "External"/>
	<Relationship Id="rId175" Type="http://schemas.openxmlformats.org/officeDocument/2006/relationships/hyperlink" Target="consultantplus://offline/ref=E180B729A0EB2792FCC923DF51EFB96FF040D5303A7A6F1D6C5AE1696A8326AC70C2455C1AC31898341DCA9611D4E8555C96652EC8BC964D124D92wDW9P" TargetMode = "External"/>
	<Relationship Id="rId176" Type="http://schemas.openxmlformats.org/officeDocument/2006/relationships/hyperlink" Target="consultantplus://offline/ref=E180B729A0EB2792FCC923DF51EFB96FF040D5303A7A6F1D6C5AE1696A8326AC70C2455C1AC31898341DCA9711D4E8555C96652EC8BC964D124D92wDW9P" TargetMode = "External"/>
	<Relationship Id="rId177" Type="http://schemas.openxmlformats.org/officeDocument/2006/relationships/hyperlink" Target="consultantplus://offline/ref=E180B729A0EB2792FCC923DF51EFB96FF040D5303A7A6F1D6C5AE1696A8326AC70C2455C1AC31898341DCA9811D4E8555C96652EC8BC964D124D92wDW9P" TargetMode = "External"/>
	<Relationship Id="rId178" Type="http://schemas.openxmlformats.org/officeDocument/2006/relationships/hyperlink" Target="consultantplus://offline/ref=E180B729A0EB2792FCC923DF51EFB96FF040D5303B79681F6D5AE1696A8326AC70C2455C1AC31898351CC39611D4E8555C96652EC8BC964D124D92wDW9P" TargetMode = "External"/>
	<Relationship Id="rId179" Type="http://schemas.openxmlformats.org/officeDocument/2006/relationships/hyperlink" Target="consultantplus://offline/ref=E180B729A0EB2792FCC93DD24783E262FA4E833A3278644E3405BA343D8A2CFB378D1C1E5ECE1999361797C15ED5B4130D85662BC8BF9751w1W3P" TargetMode = "External"/>
	<Relationship Id="rId180" Type="http://schemas.openxmlformats.org/officeDocument/2006/relationships/hyperlink" Target="consultantplus://offline/ref=E180B729A0EB2792FCC923DF51EFB96FF040D5303A7B6B1A685AE1696A8326AC70C2455C1AC31898341EC49211D4E8555C96652EC8BC964D124D92wDW9P" TargetMode = "External"/>
	<Relationship Id="rId181" Type="http://schemas.openxmlformats.org/officeDocument/2006/relationships/hyperlink" Target="consultantplus://offline/ref=E180B729A0EB2792FCC93DD24783E262FA4D8C3A357C644E3405BA343D8A2CFB378D1C1E5ECE199A351797C15ED5B4130D85662BC8BF9751w1W3P" TargetMode = "External"/>
	<Relationship Id="rId182" Type="http://schemas.openxmlformats.org/officeDocument/2006/relationships/hyperlink" Target="consultantplus://offline/ref=E180B729A0EB2792FCC93DD24783E262FA4D8E39347B644E3405BA343D8A2CFB378D1C1E5ECE199A311797C15ED5B4130D85662BC8BF9751w1W3P" TargetMode = "External"/>
	<Relationship Id="rId183" Type="http://schemas.openxmlformats.org/officeDocument/2006/relationships/hyperlink" Target="consultantplus://offline/ref=E180B729A0EB2792FCC93DD24783E262F84F8B3B3679644E3405BA343D8A2CFB378D1C1E5ECE1999341797C15ED5B4130D85662BC8BF9751w1W3P" TargetMode = "External"/>
	<Relationship Id="rId184" Type="http://schemas.openxmlformats.org/officeDocument/2006/relationships/hyperlink" Target="consultantplus://offline/ref=E180B729A0EB2792FCC93DD24783E262F84E8B383378644E3405BA343D8A2CFB378D1C1E5ECE19983D1797C15ED5B4130D85662BC8BF9751w1W3P" TargetMode = "External"/>
	<Relationship Id="rId185" Type="http://schemas.openxmlformats.org/officeDocument/2006/relationships/hyperlink" Target="consultantplus://offline/ref=E180B729A0EB2792FCC93DD24783E262F848823B337C644E3405BA343D8A2CFB378D1C1E5ECE1999341797C15ED5B4130D85662BC8BF9751w1W3P" TargetMode = "External"/>
	<Relationship Id="rId186" Type="http://schemas.openxmlformats.org/officeDocument/2006/relationships/hyperlink" Target="consultantplus://offline/ref=E180B729A0EB2792FCC923DF51EFB96FF040D5303A7B6B1A685AE1696A8326AC70C2455C1AC31898341FC79111D4E8555C96652EC8BC964D124D92wDW9P" TargetMode = "External"/>
	<Relationship Id="rId187" Type="http://schemas.openxmlformats.org/officeDocument/2006/relationships/hyperlink" Target="consultantplus://offline/ref=E180B729A0EB2792FCC923DF51EFB96FF040D5303A7B6B1A685AE1696A8326AC70C2455C1AC31898341FC79311D4E8555C96652EC8BC964D124D92wDW9P" TargetMode = "External"/>
	<Relationship Id="rId188" Type="http://schemas.openxmlformats.org/officeDocument/2006/relationships/hyperlink" Target="consultantplus://offline/ref=E180B729A0EB2792FCC923DF51EFB96FF040D5303A7B6B1A685AE1696A8326AC70C2455C1AC31898341FC79411D4E8555C96652EC8BC964D124D92wDW9P" TargetMode = "External"/>
	<Relationship Id="rId189" Type="http://schemas.openxmlformats.org/officeDocument/2006/relationships/hyperlink" Target="consultantplus://offline/ref=E180B729A0EB2792FCC923DF51EFB96FF040D5303A7B6B1A685AE1696A8326AC70C2455C1AC31898341FC79511D4E8555C96652EC8BC964D124D92wDW9P" TargetMode = "External"/>
	<Relationship Id="rId190" Type="http://schemas.openxmlformats.org/officeDocument/2006/relationships/hyperlink" Target="consultantplus://offline/ref=E180B729A0EB2792FCC923DF51EFB96FF040D5303A7B6B1A685AE1696A8326AC70C2455C1AC31898341FC79611D4E8555C96652EC8BC964D124D92wDW9P" TargetMode = "External"/>
	<Relationship Id="rId191" Type="http://schemas.openxmlformats.org/officeDocument/2006/relationships/hyperlink" Target="consultantplus://offline/ref=E180B729A0EB2792FCC923DF51EFB96FF040D5303A7B6B1A685AE1696A8326AC70C2455C1AC31898341FC79711D4E8555C96652EC8BC964D124D92wDW9P" TargetMode = "External"/>
	<Relationship Id="rId192" Type="http://schemas.openxmlformats.org/officeDocument/2006/relationships/hyperlink" Target="consultantplus://offline/ref=E180B729A0EB2792FCC923DF51EFB96FF040D5303A7B6B1A685AE1696A8326AC70C2455C1AC31898341FC79811D4E8555C96652EC8BC964D124D92wDW9P" TargetMode = "External"/>
	<Relationship Id="rId193" Type="http://schemas.openxmlformats.org/officeDocument/2006/relationships/hyperlink" Target="consultantplus://offline/ref=E180B729A0EB2792FCC923DF51EFB96FF040D5303A7B6B1A685AE1696A8326AC70C2455C1AC31898341FC79911D4E8555C96652EC8BC964D124D92wDW9P" TargetMode = "External"/>
	<Relationship Id="rId194" Type="http://schemas.openxmlformats.org/officeDocument/2006/relationships/hyperlink" Target="consultantplus://offline/ref=E180B729A0EB2792FCC923DF51EFB96FF040D5303A7B6B1A685AE1696A8326AC70C2455C1AC31898341FC69011D4E8555C96652EC8BC964D124D92wDW9P" TargetMode = "External"/>
	<Relationship Id="rId195" Type="http://schemas.openxmlformats.org/officeDocument/2006/relationships/hyperlink" Target="consultantplus://offline/ref=E180B729A0EB2792FCC923DF51EFB96FF040D5303A7B6B1A685AE1696A8326AC70C2455C1AC31898341FC69111D4E8555C96652EC8BC964D124D92wDW9P" TargetMode = "External"/>
	<Relationship Id="rId196" Type="http://schemas.openxmlformats.org/officeDocument/2006/relationships/hyperlink" Target="consultantplus://offline/ref=E180B729A0EB2792FCC923DF51EFB96FF040D5303A7B6B1A685AE1696A8326AC70C2455C1AC31898341FC69211D4E8555C96652EC8BC964D124D92wDW9P" TargetMode = "External"/>
	<Relationship Id="rId197" Type="http://schemas.openxmlformats.org/officeDocument/2006/relationships/hyperlink" Target="consultantplus://offline/ref=E180B729A0EB2792FCC923DF51EFB96FF040D5303A7B6B1A685AE1696A8326AC70C2455C1AC31898341FC69311D4E8555C96652EC8BC964D124D92wDW9P" TargetMode = "External"/>
	<Relationship Id="rId198" Type="http://schemas.openxmlformats.org/officeDocument/2006/relationships/hyperlink" Target="consultantplus://offline/ref=E180B729A0EB2792FCC923DF51EFB96FF040D5303A7B6B1A685AE1696A8326AC70C2455C1AC31898341FC69411D4E8555C96652EC8BC964D124D92wDW9P" TargetMode = "External"/>
	<Relationship Id="rId199" Type="http://schemas.openxmlformats.org/officeDocument/2006/relationships/hyperlink" Target="consultantplus://offline/ref=E180B729A0EB2792FCC923DF51EFB96FF040D5303A7B6B1A685AE1696A8326AC70C2455C1AC31898341FC69511D4E8555C96652EC8BC964D124D92wDW9P" TargetMode = "External"/>
	<Relationship Id="rId200" Type="http://schemas.openxmlformats.org/officeDocument/2006/relationships/hyperlink" Target="consultantplus://offline/ref=E180B729A0EB2792FCC923DF51EFB96FF040D5303B766F1A6A5AE1696A8326AC70C2455C1AC31898341FCB9311D4E8555C96652EC8BC964D124D92wDW9P" TargetMode = "External"/>
	<Relationship Id="rId201" Type="http://schemas.openxmlformats.org/officeDocument/2006/relationships/hyperlink" Target="consultantplus://offline/ref=E180B729A0EB2792FCC923DF51EFB96FF040D5303B766F1A6A5AE1696A8326AC70C2455C1AC31898341FCB9411D4E8555C96652EC8BC964D124D92wDW9P" TargetMode = "External"/>
	<Relationship Id="rId202" Type="http://schemas.openxmlformats.org/officeDocument/2006/relationships/hyperlink" Target="consultantplus://offline/ref=E180B729A0EB2792FCC923DF51EFB96FF040D5303B766F1A6A5AE1696A8326AC70C2455C1AC31898341FCB9511D4E8555C96652EC8BC964D124D92wDW9P" TargetMode = "External"/>
	<Relationship Id="rId203" Type="http://schemas.openxmlformats.org/officeDocument/2006/relationships/hyperlink" Target="consultantplus://offline/ref=E180B729A0EB2792FCC923DF51EFB96FF040D5303B766F1A6A5AE1696A8326AC70C2455C1AC31898341FCB9611D4E8555C96652EC8BC964D124D92wDW9P" TargetMode = "External"/>
	<Relationship Id="rId204" Type="http://schemas.openxmlformats.org/officeDocument/2006/relationships/hyperlink" Target="consultantplus://offline/ref=E180B729A0EB2792FCC923DF51EFB96FF040D5303B766F1A6A5AE1696A8326AC70C2455C1AC31898341FCB9711D4E8555C96652EC8BC964D124D92wDW9P" TargetMode = "External"/>
	<Relationship Id="rId205" Type="http://schemas.openxmlformats.org/officeDocument/2006/relationships/hyperlink" Target="consultantplus://offline/ref=E180B729A0EB2792FCC923DF51EFB96FF040D5303B766F1A6A5AE1696A8326AC70C2455C1AC31898341FCB9811D4E8555C96652EC8BC964D124D92wDW9P" TargetMode = "External"/>
	<Relationship Id="rId206" Type="http://schemas.openxmlformats.org/officeDocument/2006/relationships/hyperlink" Target="consultantplus://offline/ref=E180B729A0EB2792FCC923DF51EFB96FF040D5303B766F1A6A5AE1696A8326AC70C2455C1AC31898341FCB9911D4E8555C96652EC8BC964D124D92wDW9P" TargetMode = "External"/>
	<Relationship Id="rId207" Type="http://schemas.openxmlformats.org/officeDocument/2006/relationships/hyperlink" Target="consultantplus://offline/ref=E180B729A0EB2792FCC923DF51EFB96FF040D5303B766F1A6A5AE1696A8326AC70C2455C1AC31898341FCA9011D4E8555C96652EC8BC964D124D92wDW9P" TargetMode = "External"/>
	<Relationship Id="rId208" Type="http://schemas.openxmlformats.org/officeDocument/2006/relationships/hyperlink" Target="consultantplus://offline/ref=E180B729A0EB2792FCC923DF51EFB96FF040D5303B766F1A6A5AE1696A8326AC70C2455C1AC31898341FCA9111D4E8555C96652EC8BC964D124D92wDW9P" TargetMode = "External"/>
	<Relationship Id="rId209" Type="http://schemas.openxmlformats.org/officeDocument/2006/relationships/hyperlink" Target="consultantplus://offline/ref=E180B729A0EB2792FCC923DF51EFB96FF040D5303B766F1A6A5AE1696A8326AC70C2455C1AC31898341FCA9211D4E8555C96652EC8BC964D124D92wDW9P" TargetMode = "External"/>
	<Relationship Id="rId210" Type="http://schemas.openxmlformats.org/officeDocument/2006/relationships/hyperlink" Target="consultantplus://offline/ref=E180B729A0EB2792FCC923DF51EFB96FF040D5303B79681F6D5AE1696A8326AC70C2455C1AC31898351EC29411D4E8555C96652EC8BC964D124D92wDW9P" TargetMode = "External"/>
	<Relationship Id="rId211" Type="http://schemas.openxmlformats.org/officeDocument/2006/relationships/hyperlink" Target="consultantplus://offline/ref=E180B729A0EB2792FCC93DD24783E262FD488835367D644E3405BA343D8A2CFB258D44125CCA07993502C19018w8W3P" TargetMode = "External"/>
	<Relationship Id="rId212" Type="http://schemas.openxmlformats.org/officeDocument/2006/relationships/hyperlink" Target="consultantplus://offline/ref=E180B729A0EB2792FCC93DD24783E262FA4F8A3E337B644E3405BA343D8A2CFB258D44125CCA07993502C19018w8W3P" TargetMode = "External"/>
	<Relationship Id="rId213" Type="http://schemas.openxmlformats.org/officeDocument/2006/relationships/hyperlink" Target="consultantplus://offline/ref=E180B729A0EB2792FCC923DF51EFB96FF040D5303B766F1A6A5AE1696A8326AC70C2455C1AC31898341FCA9411D4E8555C96652EC8BC964D124D92wDW9P" TargetMode = "External"/>
	<Relationship Id="rId214" Type="http://schemas.openxmlformats.org/officeDocument/2006/relationships/hyperlink" Target="consultantplus://offline/ref=E180B729A0EB2792FCC93DD24783E262FD488835367D644E3405BA343D8A2CFB258D44125CCA07993502C19018w8W3P" TargetMode = "External"/>
	<Relationship Id="rId215" Type="http://schemas.openxmlformats.org/officeDocument/2006/relationships/hyperlink" Target="consultantplus://offline/ref=E180B729A0EB2792FCC93DD24783E262FA4F8A3E337B644E3405BA343D8A2CFB258D44125CCA07993502C19018w8W3P" TargetMode = "External"/>
	<Relationship Id="rId216" Type="http://schemas.openxmlformats.org/officeDocument/2006/relationships/hyperlink" Target="consultantplus://offline/ref=E180B729A0EB2792FCC923DF51EFB96FF040D5303B766F1A6A5AE1696A8326AC70C2455C1AC318983418C59311D4E8555C96652EC8BC964D124D92wDW9P" TargetMode = "External"/>
	<Relationship Id="rId217" Type="http://schemas.openxmlformats.org/officeDocument/2006/relationships/hyperlink" Target="consultantplus://offline/ref=E180B729A0EB2792FCC923DF51EFB96FF040D5303B766F1A6A5AE1696A8326AC70C2455C1AC318983418C59511D4E8555C96652EC8BC964D124D92wDW9P" TargetMode = "External"/>
	<Relationship Id="rId218" Type="http://schemas.openxmlformats.org/officeDocument/2006/relationships/hyperlink" Target="consultantplus://offline/ref=E180B729A0EB2792FCC923DF51EFB96FF040D5303B766F1A6A5AE1696A8326AC70C2455C1AC318983418C59611D4E8555C96652EC8BC964D124D92wDW9P" TargetMode = "External"/>
	<Relationship Id="rId219" Type="http://schemas.openxmlformats.org/officeDocument/2006/relationships/hyperlink" Target="consultantplus://offline/ref=E180B729A0EB2792FCC923DF51EFB96FF040D5303B766F1A6A5AE1696A8326AC70C2455C1AC318983418C59711D4E8555C96652EC8BC964D124D92wDW9P" TargetMode = "External"/>
	<Relationship Id="rId220" Type="http://schemas.openxmlformats.org/officeDocument/2006/relationships/hyperlink" Target="consultantplus://offline/ref=E180B729A0EB2792FCC923DF51EFB96FF040D5303B766F1A6A5AE1696A8326AC70C2455C1AC318983418C59811D4E8555C96652EC8BC964D124D92wDW9P" TargetMode = "External"/>
	<Relationship Id="rId221" Type="http://schemas.openxmlformats.org/officeDocument/2006/relationships/hyperlink" Target="consultantplus://offline/ref=E180B729A0EB2792FCC923DF51EFB96FF040D5303B766F1A6A5AE1696A8326AC70C2455C1AC318983418C59911D4E8555C96652EC8BC964D124D92wDW9P" TargetMode = "External"/>
	<Relationship Id="rId222" Type="http://schemas.openxmlformats.org/officeDocument/2006/relationships/hyperlink" Target="consultantplus://offline/ref=E180B729A0EB2792FCC923DF51EFB96FF040D5303B766F1A6A5AE1696A8326AC70C2455C1AC318983418C49011D4E8555C96652EC8BC964D124D92wDW9P" TargetMode = "External"/>
	<Relationship Id="rId223" Type="http://schemas.openxmlformats.org/officeDocument/2006/relationships/hyperlink" Target="consultantplus://offline/ref=E180B729A0EB2792FCC923DF51EFB96FF040D5303B766F1A6A5AE1696A8326AC70C2455C1AC318983418C49111D4E8555C96652EC8BC964D124D92wDW9P" TargetMode = "External"/>
	<Relationship Id="rId224" Type="http://schemas.openxmlformats.org/officeDocument/2006/relationships/hyperlink" Target="consultantplus://offline/ref=E180B729A0EB2792FCC923DF51EFB96FF040D5303B766F1A6A5AE1696A8326AC70C2455C1AC318983418C49211D4E8555C96652EC8BC964D124D92wDW9P" TargetMode = "External"/>
	<Relationship Id="rId225" Type="http://schemas.openxmlformats.org/officeDocument/2006/relationships/hyperlink" Target="consultantplus://offline/ref=E180B729A0EB2792FCC923DF51EFB96FF040D5303B766F1A6A5AE1696A8326AC70C2455C1AC318983418C49311D4E8555C96652EC8BC964D124D92wDW9P" TargetMode = "External"/>
	<Relationship Id="rId226" Type="http://schemas.openxmlformats.org/officeDocument/2006/relationships/hyperlink" Target="consultantplus://offline/ref=E180B729A0EB2792FCC923DF51EFB96FF040D5303B766F1A6A5AE1696A8326AC70C2455C1AC318983418C49411D4E8555C96652EC8BC964D124D92wDW9P" TargetMode = "External"/>
	<Relationship Id="rId227" Type="http://schemas.openxmlformats.org/officeDocument/2006/relationships/hyperlink" Target="consultantplus://offline/ref=E180B729A0EB2792FCC923DF51EFB96FF040D5303B766F1A6A5AE1696A8326AC70C2455C1AC318983418C49511D4E8555C96652EC8BC964D124D92wDW9P" TargetMode = "External"/>
	<Relationship Id="rId228" Type="http://schemas.openxmlformats.org/officeDocument/2006/relationships/hyperlink" Target="consultantplus://offline/ref=E180B729A0EB2792FCC923DF51EFB96FF040D5303B766F1A6A5AE1696A8326AC70C2455C1AC318983418C49611D4E8555C96652EC8BC964D124D92wDW9P" TargetMode = "External"/>
	<Relationship Id="rId229" Type="http://schemas.openxmlformats.org/officeDocument/2006/relationships/hyperlink" Target="consultantplus://offline/ref=E180B729A0EB2792FCC923DF51EFB96FF040D5303B766F1A6A5AE1696A8326AC70C2455C1AC318983418C49711D4E8555C96652EC8BC964D124D92wDW9P" TargetMode = "External"/>
	<Relationship Id="rId230" Type="http://schemas.openxmlformats.org/officeDocument/2006/relationships/hyperlink" Target="consultantplus://offline/ref=E180B729A0EB2792FCC923DF51EFB96FF040D5303B79681F6D5AE1696A8326AC70C2455C1AC318983518C39911D4E8555C96652EC8BC964D124D92wDW9P" TargetMode = "External"/>
	<Relationship Id="rId231" Type="http://schemas.openxmlformats.org/officeDocument/2006/relationships/hyperlink" Target="consultantplus://offline/ref=E180B729A0EB2792FCC93DD24783E262FD48823F337D644E3405BA343D8A2CFB258D44125CCA07993502C19018w8W3P" TargetMode = "External"/>
	<Relationship Id="rId232" Type="http://schemas.openxmlformats.org/officeDocument/2006/relationships/hyperlink" Target="consultantplus://offline/ref=E180B729A0EB2792FCC923DF51EFB96FF040D5303B79681F6D5AE1696A8326AC70C2455C1AC318983519C59311D4E8555C96652EC8BC964D124D92wDW9P" TargetMode = "External"/>
	<Relationship Id="rId233" Type="http://schemas.openxmlformats.org/officeDocument/2006/relationships/hyperlink" Target="consultantplus://offline/ref=E180B729A0EB2792FCC923DF51EFB96FF040D5303B79681F6D5AE1696A8326AC70C2455C1AC31898351BC79111D4E8555C96652EC8BC964D124D92wDW9P" TargetMode = "External"/>
	<Relationship Id="rId234" Type="http://schemas.openxmlformats.org/officeDocument/2006/relationships/hyperlink" Target="consultantplus://offline/ref=E180B729A0EB2792FCC923DF51EFB96FF040D5303A7B6B1A685AE1696A8326AC70C2455C1AC31898341FC69711D4E8555C96652EC8BC964D124D92wDW9P" TargetMode = "External"/>
	<Relationship Id="rId235" Type="http://schemas.openxmlformats.org/officeDocument/2006/relationships/hyperlink" Target="consultantplus://offline/ref=E180B729A0EB2792FCC923DF51EFB96FF040D5303A7B6B1A685AE1696A8326AC70C2455C1AC318983418C19611D4E8555C96652EC8BC964D124D92wDW9P" TargetMode = "External"/>
	<Relationship Id="rId236" Type="http://schemas.openxmlformats.org/officeDocument/2006/relationships/hyperlink" Target="consultantplus://offline/ref=E180B729A0EB2792FCC923DF51EFB96FF040D5303A7B6B1A685AE1696A8326AC70C2455C1AC318983418C19811D4E8555C96652EC8BC964D124D92wDW9P" TargetMode = "External"/>
	<Relationship Id="rId237" Type="http://schemas.openxmlformats.org/officeDocument/2006/relationships/hyperlink" Target="consultantplus://offline/ref=E180B729A0EB2792FCC923DF51EFB96FF040D5303A7B6B1A685AE1696A8326AC70C2455C1AC318983418C19911D4E8555C96652EC8BC964D124D92wDW9P" TargetMode = "External"/>
	<Relationship Id="rId238" Type="http://schemas.openxmlformats.org/officeDocument/2006/relationships/hyperlink" Target="consultantplus://offline/ref=E180B729A0EB2792FCC923DF51EFB96FF040D5303A7B6B1A685AE1696A8326AC70C2455C1AC318983418C09011D4E8555C96652EC8BC964D124D92wDW9P" TargetMode = "External"/>
	<Relationship Id="rId239" Type="http://schemas.openxmlformats.org/officeDocument/2006/relationships/hyperlink" Target="consultantplus://offline/ref=E180B729A0EB2792FCC923DF51EFB96FF040D5303A7B6B1A685AE1696A8326AC70C2455C1AC318983418C09111D4E8555C96652EC8BC964D124D92wDW9P" TargetMode = "External"/>
	<Relationship Id="rId240" Type="http://schemas.openxmlformats.org/officeDocument/2006/relationships/hyperlink" Target="consultantplus://offline/ref=E180B729A0EB2792FCC923DF51EFB96FF040D5303A7B6B1A685AE1696A8326AC70C2455C1AC318983418C09211D4E8555C96652EC8BC964D124D92wDW9P" TargetMode = "External"/>
	<Relationship Id="rId241" Type="http://schemas.openxmlformats.org/officeDocument/2006/relationships/hyperlink" Target="consultantplus://offline/ref=E180B729A0EB2792FCC923DF51EFB96FF040D5303A7B6B1A685AE1696A8326AC70C2455C1AC318983418C09311D4E8555C96652EC8BC964D124D92wDW9P" TargetMode = "External"/>
	<Relationship Id="rId242" Type="http://schemas.openxmlformats.org/officeDocument/2006/relationships/hyperlink" Target="consultantplus://offline/ref=E180B729A0EB2792FCC923DF51EFB96FF040D5303A7B6B1A685AE1696A8326AC70C2455C1AC318983418C09411D4E8555C96652EC8BC964D124D92wDW9P" TargetMode = "External"/>
	<Relationship Id="rId243" Type="http://schemas.openxmlformats.org/officeDocument/2006/relationships/hyperlink" Target="consultantplus://offline/ref=E180B729A0EB2792FCC923DF51EFB96FF040D5303A7B6B1A685AE1696A8326AC70C2455C1AC318983418C09511D4E8555C96652EC8BC964D124D92wDW9P" TargetMode = "External"/>
	<Relationship Id="rId244" Type="http://schemas.openxmlformats.org/officeDocument/2006/relationships/hyperlink" Target="consultantplus://offline/ref=E180B729A0EB2792FCC923DF51EFB96FF040D5303A7B6B1A685AE1696A8326AC70C2455C1AC318983418C09611D4E8555C96652EC8BC964D124D92wDW9P" TargetMode = "External"/>
	<Relationship Id="rId245" Type="http://schemas.openxmlformats.org/officeDocument/2006/relationships/hyperlink" Target="consultantplus://offline/ref=E180B729A0EB2792FCC923DF51EFB96FF040D5303A7B6B1A685AE1696A8326AC70C2455C1AC318983418C09711D4E8555C96652EC8BC964D124D92wDW9P" TargetMode = "External"/>
	<Relationship Id="rId246" Type="http://schemas.openxmlformats.org/officeDocument/2006/relationships/hyperlink" Target="consultantplus://offline/ref=E180B729A0EB2792FCC923DF51EFB96FF040D5303A7B6B1A685AE1696A8326AC70C2455C1AC318983418C09811D4E8555C96652EC8BC964D124D92wDW9P" TargetMode = "External"/>
	<Relationship Id="rId247" Type="http://schemas.openxmlformats.org/officeDocument/2006/relationships/hyperlink" Target="consultantplus://offline/ref=E180B729A0EB2792FCC923DF51EFB96FF040D5303A7B6B1A685AE1696A8326AC70C2455C1AC318983418C09911D4E8555C96652EC8BC964D124D92wDW9P" TargetMode = "External"/>
	<Relationship Id="rId248" Type="http://schemas.openxmlformats.org/officeDocument/2006/relationships/hyperlink" Target="consultantplus://offline/ref=E180B729A0EB2792FCC923DF51EFB96FF040D5303A7B6B1A685AE1696A8326AC70C2455C1AC318983418C79011D4E8555C96652EC8BC964D124D92wDW9P" TargetMode = "External"/>
	<Relationship Id="rId249" Type="http://schemas.openxmlformats.org/officeDocument/2006/relationships/hyperlink" Target="consultantplus://offline/ref=E180B729A0EB2792FCC923DF51EFB96FF040D5303B79681F6D5AE1696A8326AC70C2455C1AC318983515C09311D4E8555C96652EC8BC964D124D92wDW9P" TargetMode = "External"/>
	<Relationship Id="rId250" Type="http://schemas.openxmlformats.org/officeDocument/2006/relationships/hyperlink" Target="consultantplus://offline/ref=E180B729A0EB2792FCC923DF51EFB96FF040D5303A7D6D1D6F5AE1696A8326AC70C2455C1AC31898341EC49411D4E8555C96652EC8BC964D124D92wDW9P" TargetMode = "External"/>
	<Relationship Id="rId251" Type="http://schemas.openxmlformats.org/officeDocument/2006/relationships/hyperlink" Target="consultantplus://offline/ref=E180B729A0EB2792FCC923DF51EFB96FF040D5303A7D6D1D6F5AE1696A8326AC70C2455C1AC31898341FC79311D4E8555C96652EC8BC964D124D92wDW9P" TargetMode = "External"/>
	<Relationship Id="rId252" Type="http://schemas.openxmlformats.org/officeDocument/2006/relationships/hyperlink" Target="consultantplus://offline/ref=E180B729A0EB2792FCC923DF51EFB96FF040D5303A7D6D1D6F5AE1696A8326AC70C2455C1AC31898341FC79511D4E8555C96652EC8BC964D124D92wDW9P" TargetMode = "External"/>
	<Relationship Id="rId253" Type="http://schemas.openxmlformats.org/officeDocument/2006/relationships/hyperlink" Target="consultantplus://offline/ref=E180B729A0EB2792FCC923DF51EFB96FF040D5303A7D6D1D6F5AE1696A8326AC70C2455C1AC31898341FC79611D4E8555C96652EC8BC964D124D92wDW9P" TargetMode = "External"/>
	<Relationship Id="rId254" Type="http://schemas.openxmlformats.org/officeDocument/2006/relationships/hyperlink" Target="consultantplus://offline/ref=E180B729A0EB2792FCC923DF51EFB96FF040D5303A7D6D1D6F5AE1696A8326AC70C2455C1AC31898341FC79711D4E8555C96652EC8BC964D124D92wDW9P" TargetMode = "External"/>
	<Relationship Id="rId255" Type="http://schemas.openxmlformats.org/officeDocument/2006/relationships/hyperlink" Target="consultantplus://offline/ref=E180B729A0EB2792FCC923DF51EFB96FF040D5303B766F1A6A5AE1696A8326AC70C2455C1AC31898341AC09811D4E8555C96652EC8BC964D124D92wDW9P" TargetMode = "External"/>
	<Relationship Id="rId256" Type="http://schemas.openxmlformats.org/officeDocument/2006/relationships/hyperlink" Target="consultantplus://offline/ref=E180B729A0EB2792FCC923DF51EFB96FF040D5303B766F1A6A5AE1696A8326AC70C2455C1AC31898341AC09911D4E8555C96652EC8BC964D124D92wDW9P" TargetMode = "External"/>
	<Relationship Id="rId257" Type="http://schemas.openxmlformats.org/officeDocument/2006/relationships/hyperlink" Target="consultantplus://offline/ref=E180B729A0EB2792FCC923DF51EFB96FF040D5303B766F1A6A5AE1696A8326AC70C2455C1AC31898341AC79011D4E8555C96652EC8BC964D124D92wDW9P" TargetMode = "External"/>
	<Relationship Id="rId258" Type="http://schemas.openxmlformats.org/officeDocument/2006/relationships/hyperlink" Target="consultantplus://offline/ref=E180B729A0EB2792FCC923DF51EFB96FF040D5303B766F1A6A5AE1696A8326AC70C2455C1AC31898341AC79111D4E8555C96652EC8BC964D124D92wDW9P" TargetMode = "External"/>
	<Relationship Id="rId259" Type="http://schemas.openxmlformats.org/officeDocument/2006/relationships/hyperlink" Target="consultantplus://offline/ref=E180B729A0EB2792FCC923DF51EFB96FF040D5303B766F1A6A5AE1696A8326AC70C2455C1AC31898341AC79211D4E8555C96652EC8BC964D124D92wDW9P" TargetMode = "External"/>
	<Relationship Id="rId260" Type="http://schemas.openxmlformats.org/officeDocument/2006/relationships/hyperlink" Target="consultantplus://offline/ref=E180B729A0EB2792FCC923DF51EFB96FF040D5303B766F1A6A5AE1696A8326AC70C2455C1AC31898341AC79311D4E8555C96652EC8BC964D124D92wDW9P" TargetMode = "External"/>
	<Relationship Id="rId261" Type="http://schemas.openxmlformats.org/officeDocument/2006/relationships/hyperlink" Target="consultantplus://offline/ref=E180B729A0EB2792FCC923DF51EFB96FF040D5303B766F1A6A5AE1696A8326AC70C2455C1AC31898341AC79411D4E8555C96652EC8BC964D124D92wDW9P" TargetMode = "External"/>
	<Relationship Id="rId262" Type="http://schemas.openxmlformats.org/officeDocument/2006/relationships/hyperlink" Target="consultantplus://offline/ref=E180B729A0EB2792FCC923DF51EFB96FF040D5303B766F1A6A5AE1696A8326AC70C2455C1AC31898341AC79511D4E8555C96652EC8BC964D124D92wDW9P" TargetMode = "External"/>
	<Relationship Id="rId263" Type="http://schemas.openxmlformats.org/officeDocument/2006/relationships/hyperlink" Target="consultantplus://offline/ref=E180B729A0EB2792FCC923DF51EFB96FF040D5303B766F1A6A5AE1696A8326AC70C2455C1AC31898341AC79611D4E8555C96652EC8BC964D124D92wDW9P" TargetMode = "External"/>
	<Relationship Id="rId264" Type="http://schemas.openxmlformats.org/officeDocument/2006/relationships/hyperlink" Target="consultantplus://offline/ref=E180B729A0EB2792FCC923DF51EFB96FF040D5303B766F1A6A5AE1696A8326AC70C2455C1AC31898341AC79711D4E8555C96652EC8BC964D124D92wDW9P" TargetMode = "External"/>
	<Relationship Id="rId265" Type="http://schemas.openxmlformats.org/officeDocument/2006/relationships/hyperlink" Target="consultantplus://offline/ref=E180B729A0EB2792FCC923DF51EFB96FF040D5303B79681F6D5AE1696A8326AC70C2455C1AC31898361EC79211D4E8555C96652EC8BC964D124D92wDW9P" TargetMode = "External"/>
	<Relationship Id="rId266" Type="http://schemas.openxmlformats.org/officeDocument/2006/relationships/hyperlink" Target="consultantplus://offline/ref=E180B729A0EB2792FCC923DF51EFB96FF040D5303A7A6F1D6C5AE1696A8326AC70C2455C1AC31898341EC39011D4E8555C96652EC8BC964D124D92wDW9P" TargetMode = "External"/>
	<Relationship Id="rId267" Type="http://schemas.openxmlformats.org/officeDocument/2006/relationships/hyperlink" Target="consultantplus://offline/ref=E180B729A0EB2792FCC93DD24783E262FD4E8338337C644E3405BA343D8A2CFB258D44125CCA07993502C19018w8W3P" TargetMode = "External"/>
	<Relationship Id="rId268" Type="http://schemas.openxmlformats.org/officeDocument/2006/relationships/hyperlink" Target="consultantplus://offline/ref=E180B729A0EB2792FCC93DD24783E262FB4B8B3C3B7A644E3405BA343D8A2CFB378D1C1E5ECE1999301797C15ED5B4130D85662BC8BF9751w1W3P" TargetMode = "External"/>
	<Relationship Id="rId269" Type="http://schemas.openxmlformats.org/officeDocument/2006/relationships/hyperlink" Target="consultantplus://offline/ref=E180B729A0EB2792FCC923DF51EFB96FF040D5303A7A6F1D6C5AE1696A8326AC70C2455C1AC31898341EC59911D4E8555C96652EC8BC964D124D92wDW9P" TargetMode = "External"/>
	<Relationship Id="rId270" Type="http://schemas.openxmlformats.org/officeDocument/2006/relationships/hyperlink" Target="consultantplus://offline/ref=E180B729A0EB2792FCC923DF51EFB96FF040D5303A7A6F1D6C5AE1696A8326AC70C2455C1AC31898341EC49111D4E8555C96652EC8BC964D124D92wDW9P" TargetMode = "External"/>
	<Relationship Id="rId271" Type="http://schemas.openxmlformats.org/officeDocument/2006/relationships/hyperlink" Target="consultantplus://offline/ref=E180B729A0EB2792FCC923DF51EFB96FF040D5303A7A6F1D6C5AE1696A8326AC70C2455C1AC31898341EC49211D4E8555C96652EC8BC964D124D92wDW9P" TargetMode = "External"/>
	<Relationship Id="rId272" Type="http://schemas.openxmlformats.org/officeDocument/2006/relationships/hyperlink" Target="consultantplus://offline/ref=E180B729A0EB2792FCC923DF51EFB96FF040D5303A7A6F1D6C5AE1696A8326AC70C2455C1AC31898341EC49311D4E8555C96652EC8BC964D124D92wDW9P" TargetMode = "External"/>
	<Relationship Id="rId273" Type="http://schemas.openxmlformats.org/officeDocument/2006/relationships/hyperlink" Target="consultantplus://offline/ref=E180B729A0EB2792FCC923DF51EFB96FF040D5303A7A6F1D6C5AE1696A8326AC70C2455C1AC31898341EC49411D4E8555C96652EC8BC964D124D92wDW9P" TargetMode = "External"/>
	<Relationship Id="rId274" Type="http://schemas.openxmlformats.org/officeDocument/2006/relationships/hyperlink" Target="consultantplus://offline/ref=E180B729A0EB2792FCC923DF51EFB96FF040D5303A7A6F1D6C5AE1696A8326AC70C2455C1AC31898341EC49511D4E8555C96652EC8BC964D124D92wDW9P" TargetMode = "External"/>
	<Relationship Id="rId275" Type="http://schemas.openxmlformats.org/officeDocument/2006/relationships/hyperlink" Target="consultantplus://offline/ref=E180B729A0EB2792FCC923DF51EFB96FF040D5303A7A6F1D6C5AE1696A8326AC70C2455C1AC31898341EC49611D4E8555C96652EC8BC964D124D92wDW9P" TargetMode = "External"/>
	<Relationship Id="rId276" Type="http://schemas.openxmlformats.org/officeDocument/2006/relationships/hyperlink" Target="consultantplus://offline/ref=E180B729A0EB2792FCC923DF51EFB96FF040D5303A7A6F1D6C5AE1696A8326AC70C2455C1AC31898341EC49711D4E8555C96652EC8BC964D124D92wDW9P" TargetMode = "External"/>
	<Relationship Id="rId277" Type="http://schemas.openxmlformats.org/officeDocument/2006/relationships/hyperlink" Target="consultantplus://offline/ref=E180B729A0EB2792FCC923DF51EFB96FF040D5303A7A6F1D6C5AE1696A8326AC70C2455C1AC31898341EC49811D4E8555C96652EC8BC964D124D92wDW9P" TargetMode = "External"/>
	<Relationship Id="rId278" Type="http://schemas.openxmlformats.org/officeDocument/2006/relationships/hyperlink" Target="consultantplus://offline/ref=E180B729A0EB2792FCC923DF51EFB96FF040D5303A7A6F1D6C5AE1696A8326AC70C2455C1AC31898341EC49911D4E8555C96652EC8BC964D124D92wDW9P" TargetMode = "External"/>
	<Relationship Id="rId279" Type="http://schemas.openxmlformats.org/officeDocument/2006/relationships/hyperlink" Target="consultantplus://offline/ref=E180B729A0EB2792FCC923DF51EFB96FF040D5303A7A6F1D6C5AE1696A8326AC70C2455C1AC31898341ECB9011D4E8555C96652EC8BC964D124D92wDW9P" TargetMode = "External"/>
	<Relationship Id="rId280" Type="http://schemas.openxmlformats.org/officeDocument/2006/relationships/hyperlink" Target="consultantplus://offline/ref=E180B729A0EB2792FCC923DF51EFB96FF040D5303A7A6F1D6C5AE1696A8326AC70C2455C1AC31898341ECB9111D4E8555C96652EC8BC964D124D92wDW9P" TargetMode = "External"/>
	<Relationship Id="rId281" Type="http://schemas.openxmlformats.org/officeDocument/2006/relationships/hyperlink" Target="consultantplus://offline/ref=E180B729A0EB2792FCC923DF51EFB96FF040D5303A7A6F1D6C5AE1696A8326AC70C2455C1AC31898341ECB9211D4E8555C96652EC8BC964D124D92wDW9P" TargetMode = "External"/>
	<Relationship Id="rId282" Type="http://schemas.openxmlformats.org/officeDocument/2006/relationships/hyperlink" Target="consultantplus://offline/ref=E180B729A0EB2792FCC923DF51EFB96FF040D5303A7A6F1D6C5AE1696A8326AC70C2455C1AC31898341ECB9311D4E8555C96652EC8BC964D124D92wDW9P" TargetMode = "External"/>
	<Relationship Id="rId283" Type="http://schemas.openxmlformats.org/officeDocument/2006/relationships/hyperlink" Target="consultantplus://offline/ref=E180B729A0EB2792FCC923DF51EFB96FF040D5303A7A6F1D6C5AE1696A8326AC70C2455C1AC31898341ECB9411D4E8555C96652EC8BC964D124D92wDW9P" TargetMode = "External"/>
	<Relationship Id="rId284" Type="http://schemas.openxmlformats.org/officeDocument/2006/relationships/hyperlink" Target="consultantplus://offline/ref=E180B729A0EB2792FCC923DF51EFB96FF040D5303A7A6F1D6C5AE1696A8326AC70C2455C1AC31898341ECB9511D4E8555C96652EC8BC964D124D92wDW9P" TargetMode = "External"/>
	<Relationship Id="rId285" Type="http://schemas.openxmlformats.org/officeDocument/2006/relationships/hyperlink" Target="consultantplus://offline/ref=E180B729A0EB2792FCC923DF51EFB96FF040D5303A7A6F1D6C5AE1696A8326AC70C2455C1AC31898341ECB9611D4E8555C96652EC8BC964D124D92wDW9P" TargetMode = "External"/>
	<Relationship Id="rId286" Type="http://schemas.openxmlformats.org/officeDocument/2006/relationships/hyperlink" Target="consultantplus://offline/ref=E180B729A0EB2792FCC923DF51EFB96FF040D5303A7A6F1D6C5AE1696A8326AC70C2455C1AC31898341ECB9711D4E8555C96652EC8BC964D124D92wDW9P" TargetMode = "External"/>
	<Relationship Id="rId287" Type="http://schemas.openxmlformats.org/officeDocument/2006/relationships/hyperlink" Target="consultantplus://offline/ref=E180B729A0EB2792FCC923DF51EFB96FF040D5303A7A6F1D6C5AE1696A8326AC70C2455C1AC31898341ECB9811D4E8555C96652EC8BC964D124D92wDW9P" TargetMode = "External"/>
	<Relationship Id="rId288" Type="http://schemas.openxmlformats.org/officeDocument/2006/relationships/hyperlink" Target="consultantplus://offline/ref=E180B729A0EB2792FCC923DF51EFB96FF040D5303A7A6F1D6C5AE1696A8326AC70C2455C1AC31898341ECB9911D4E8555C96652EC8BC964D124D92wDW9P" TargetMode = "External"/>
	<Relationship Id="rId289" Type="http://schemas.openxmlformats.org/officeDocument/2006/relationships/hyperlink" Target="consultantplus://offline/ref=E180B729A0EB2792FCC923DF51EFB96FF040D5303A7A6F1D6C5AE1696A8326AC70C2455C1AC31898341ECA9011D4E8555C96652EC8BC964D124D92wDW9P" TargetMode = "External"/>
	<Relationship Id="rId290" Type="http://schemas.openxmlformats.org/officeDocument/2006/relationships/hyperlink" Target="consultantplus://offline/ref=E180B729A0EB2792FCC923DF51EFB96FF040D5303A7A6F1D6C5AE1696A8326AC70C2455C1AC31898341ECA9111D4E8555C96652EC8BC964D124D92wDW9P" TargetMode = "External"/>
	<Relationship Id="rId291" Type="http://schemas.openxmlformats.org/officeDocument/2006/relationships/hyperlink" Target="consultantplus://offline/ref=E180B729A0EB2792FCC923DF51EFB96FF040D5303A7A6F1D6C5AE1696A8326AC70C2455C1AC31898341ECA9211D4E8555C96652EC8BC964D124D92wDW9P" TargetMode = "External"/>
	<Relationship Id="rId292" Type="http://schemas.openxmlformats.org/officeDocument/2006/relationships/hyperlink" Target="consultantplus://offline/ref=E180B729A0EB2792FCC923DF51EFB96FF040D5303A7A6F1D6C5AE1696A8326AC70C2455C1AC31898341ECA9311D4E8555C96652EC8BC964D124D92wDW9P" TargetMode = "External"/>
	<Relationship Id="rId293" Type="http://schemas.openxmlformats.org/officeDocument/2006/relationships/hyperlink" Target="consultantplus://offline/ref=E180B729A0EB2792FCC923DF51EFB96FF040D5303B79681F6D5AE1696A8326AC70C2455C1AC318983618C39911D4E8555C96652EC8BC964D124D92wDW9P" TargetMode = "External"/>
	<Relationship Id="rId294" Type="http://schemas.openxmlformats.org/officeDocument/2006/relationships/header" Target="header2.xml"/>
	<Relationship Id="rId295" Type="http://schemas.openxmlformats.org/officeDocument/2006/relationships/footer" Target="footer2.xml"/>
	<Relationship Id="rId296" Type="http://schemas.openxmlformats.org/officeDocument/2006/relationships/hyperlink" Target="consultantplus://offline/ref=E180B729A0EB2792FCC93DD24783E262FD4D8A35307E644E3405BA343D8A2CFB378D1C1E5ECA1E9F341797C15ED5B4130D85662BC8BF9751w1W3P" TargetMode = "External"/>
	<Relationship Id="rId297" Type="http://schemas.openxmlformats.org/officeDocument/2006/relationships/hyperlink" Target="consultantplus://offline/ref=E180B729A0EB2792FCC93DD24783E262FB428D3C3277644E3405BA343D8A2CFB258D44125CCA07993502C19018w8W3P" TargetMode = "External"/>
	<Relationship Id="rId298" Type="http://schemas.openxmlformats.org/officeDocument/2006/relationships/hyperlink" Target="consultantplus://offline/ref=E180B729A0EB2792FCC923DF51EFB96FF040D530347A69106D5AE1696A8326AC70C2455C1AC31898341AC19611D4E8555C96652EC8BC964D124D92wDW9P" TargetMode = "External"/>
	<Relationship Id="rId299" Type="http://schemas.openxmlformats.org/officeDocument/2006/relationships/hyperlink" Target="consultantplus://offline/ref=E180B729A0EB2792FCC923DF51EFB96FF040D53034786F1A685AE1696A8326AC70C2455C1AC318983415C29711D4E8555C96652EC8BC964D124D92wDW9P" TargetMode = "External"/>
	<Relationship Id="rId300" Type="http://schemas.openxmlformats.org/officeDocument/2006/relationships/hyperlink" Target="consultantplus://offline/ref=E180B729A0EB2792FCC923DF51EFB96FF040D5303B7F6A1E6A5AE1696A8326AC70C2455C1AC318983418C69511D4E8555C96652EC8BC964D124D92wDW9P" TargetMode = "External"/>
	<Relationship Id="rId301" Type="http://schemas.openxmlformats.org/officeDocument/2006/relationships/hyperlink" Target="consultantplus://offline/ref=E180B729A0EB2792FCC923DF51EFB96FF040D5303B7D6A1D6C5AE1696A8326AC70C2455C1AC31898341CC29011D4E8555C96652EC8BC964D124D92wDW9P" TargetMode = "External"/>
	<Relationship Id="rId302" Type="http://schemas.openxmlformats.org/officeDocument/2006/relationships/hyperlink" Target="consultantplus://offline/ref=E180B729A0EB2792FCC923DF51EFB96FF040D5303B7B6F19695AE1696A8326AC70C2455C1AC31898341BC79511D4E8555C96652EC8BC964D124D92wDW9P" TargetMode = "External"/>
	<Relationship Id="rId303" Type="http://schemas.openxmlformats.org/officeDocument/2006/relationships/hyperlink" Target="consultantplus://offline/ref=E180B729A0EB2792FCC923DF51EFB96FF040D5303B7B6C1C605AE1696A8326AC70C2455C1AC318983419CB9711D4E8555C96652EC8BC964D124D92wDW9P" TargetMode = "External"/>
	<Relationship Id="rId304" Type="http://schemas.openxmlformats.org/officeDocument/2006/relationships/hyperlink" Target="consultantplus://offline/ref=E180B729A0EB2792FCC923DF51EFB96FF040D5303B79681F6D5AE1696A8326AC70C2455C1AC31898301DC49811D4E8555C96652EC8BC964D124D92wDW9P" TargetMode = "External"/>
	<Relationship Id="rId305" Type="http://schemas.openxmlformats.org/officeDocument/2006/relationships/hyperlink" Target="consultantplus://offline/ref=E180B729A0EB2792FCC923DF51EFB96FF040D5303B766F1A6A5AE1696A8326AC70C2455C1AC31898341BC79311D4E8555C96652EC8BC964D124D92wDW9P" TargetMode = "External"/>
	<Relationship Id="rId306" Type="http://schemas.openxmlformats.org/officeDocument/2006/relationships/hyperlink" Target="consultantplus://offline/ref=E180B729A0EB2792FCC923DF51EFB96FF040D5303A7D6D1D6F5AE1696A8326AC70C2455C1AC31898341FC79811D4E8555C96652EC8BC964D124D92wDW9P" TargetMode = "External"/>
	<Relationship Id="rId307" Type="http://schemas.openxmlformats.org/officeDocument/2006/relationships/hyperlink" Target="consultantplus://offline/ref=E180B729A0EB2792FCC923DF51EFB96FF040D5303A7A6F1D6C5AE1696A8326AC70C2455C1AC31898341ECA9411D4E8555C96652EC8BC964D124D92wDW9P" TargetMode = "External"/>
	<Relationship Id="rId308" Type="http://schemas.openxmlformats.org/officeDocument/2006/relationships/hyperlink" Target="consultantplus://offline/ref=E180B729A0EB2792FCC923DF51EFB96FF040D5303B7B6F19695AE1696A8326AC70C2455C1AC31898341BC79611D4E8555C96652EC8BC964D124D92wDW9P" TargetMode = "External"/>
	<Relationship Id="rId309" Type="http://schemas.openxmlformats.org/officeDocument/2006/relationships/hyperlink" Target="consultantplus://offline/ref=E180B729A0EB2792FCC923DF51EFB96FF040D530347A69106D5AE1696A8326AC70C2455C1AC31898341AC19711D4E8555C96652EC8BC964D124D92wDW9P" TargetMode = "External"/>
	<Relationship Id="rId310" Type="http://schemas.openxmlformats.org/officeDocument/2006/relationships/hyperlink" Target="consultantplus://offline/ref=E180B729A0EB2792FCC923DF51EFB96FF040D5303B766F1A6A5AE1696A8326AC70C2455C1AC31898341BC79411D4E8555C96652EC8BC964D124D92wDW9P" TargetMode = "External"/>
	<Relationship Id="rId311" Type="http://schemas.openxmlformats.org/officeDocument/2006/relationships/hyperlink" Target="consultantplus://offline/ref=E180B729A0EB2792FCC923DF51EFB96FF040D5303B766F1A6A5AE1696A8326AC70C2455C1AC31898341BC79511D4E8555C96652EC8BC964D124D92wDW9P" TargetMode = "External"/>
	<Relationship Id="rId312" Type="http://schemas.openxmlformats.org/officeDocument/2006/relationships/hyperlink" Target="consultantplus://offline/ref=E180B729A0EB2792FCC923DF51EFB96FF040D530347A69106D5AE1696A8326AC70C2455C1AC31898341AC09811D4E8555C96652EC8BC964D124D92wDW9P" TargetMode = "External"/>
	<Relationship Id="rId313" Type="http://schemas.openxmlformats.org/officeDocument/2006/relationships/hyperlink" Target="consultantplus://offline/ref=E180B729A0EB2792FCC923DF51EFB96FF040D5303B766F1A6A5AE1696A8326AC70C2455C1AC31898341BC79611D4E8555C96652EC8BC964D124D92wDW9P" TargetMode = "External"/>
	<Relationship Id="rId314" Type="http://schemas.openxmlformats.org/officeDocument/2006/relationships/hyperlink" Target="consultantplus://offline/ref=E180B729A0EB2792FCC923DF51EFB96FF040D530347A69106D5AE1696A8326AC70C2455C1AC31898341AC79911D4E8555C96652EC8BC964D124D92wDW9P" TargetMode = "External"/>
	<Relationship Id="rId315" Type="http://schemas.openxmlformats.org/officeDocument/2006/relationships/hyperlink" Target="consultantplus://offline/ref=E180B729A0EB2792FCC923DF51EFB96FF040D5303B7D6A1D6C5AE1696A8326AC70C2455C1AC31898341CC29011D4E8555C96652EC8BC964D124D92wDW9P" TargetMode = "External"/>
	<Relationship Id="rId316" Type="http://schemas.openxmlformats.org/officeDocument/2006/relationships/hyperlink" Target="consultantplus://offline/ref=E180B729A0EB2792FCC923DF51EFB96FF040D530347A69106D5AE1696A8326AC70C2455C1AC31898341AC69811D4E8555C96652EC8BC964D124D92wDW9P" TargetMode = "External"/>
	<Relationship Id="rId317" Type="http://schemas.openxmlformats.org/officeDocument/2006/relationships/hyperlink" Target="consultantplus://offline/ref=E180B729A0EB2792FCC923DF51EFB96FF040D530347A69106D5AE1696A8326AC70C2455C1AC31898341AC59811D4E8555C96652EC8BC964D124D92wDW9P" TargetMode = "External"/>
	<Relationship Id="rId318" Type="http://schemas.openxmlformats.org/officeDocument/2006/relationships/hyperlink" Target="consultantplus://offline/ref=E180B729A0EB2792FCC923DF51EFB96FF040D530347A69106D5AE1696A8326AC70C2455C1AC31898341AC49611D4E8555C96652EC8BC964D124D92wDW9P" TargetMode = "External"/>
	<Relationship Id="rId319" Type="http://schemas.openxmlformats.org/officeDocument/2006/relationships/hyperlink" Target="consultantplus://offline/ref=E180B729A0EB2792FCC923DF51EFB96FF040D5303B766F1A6A5AE1696A8326AC70C2455C1AC31898341BC79711D4E8555C96652EC8BC964D124D92wDW9P" TargetMode = "External"/>
	<Relationship Id="rId320" Type="http://schemas.openxmlformats.org/officeDocument/2006/relationships/hyperlink" Target="consultantplus://offline/ref=E180B729A0EB2792FCC923DF51EFB96FF040D53034786F1A685AE1696A8326AC70C2455C1AC318983415C29811D4E8555C96652EC8BC964D124D92wDW9P" TargetMode = "External"/>
	<Relationship Id="rId321" Type="http://schemas.openxmlformats.org/officeDocument/2006/relationships/hyperlink" Target="consultantplus://offline/ref=E180B729A0EB2792FCC923DF51EFB96FF040D5303B7D6A1D6C5AE1696A8326AC70C2455C1AC31898341CC29011D4E8555C96652EC8BC964D124D92wDW9P" TargetMode = "External"/>
	<Relationship Id="rId322" Type="http://schemas.openxmlformats.org/officeDocument/2006/relationships/hyperlink" Target="consultantplus://offline/ref=E180B729A0EB2792FCC923DF51EFB96FF040D5303B7F6A1E6A5AE1696A8326AC70C2455C1AC318983418C69611D4E8555C96652EC8BC964D124D92wDW9P" TargetMode = "External"/>
	<Relationship Id="rId323" Type="http://schemas.openxmlformats.org/officeDocument/2006/relationships/hyperlink" Target="consultantplus://offline/ref=E180B729A0EB2792FCC923DF51EFB96FF040D5303B7D6A1D6C5AE1696A8326AC70C2455C1AC31898341CC29011D4E8555C96652EC8BC964D124D92wDW9P" TargetMode = "External"/>
	<Relationship Id="rId324" Type="http://schemas.openxmlformats.org/officeDocument/2006/relationships/hyperlink" Target="consultantplus://offline/ref=E180B729A0EB2792FCC923DF51EFB96FF040D5303B766F1A6A5AE1696A8326AC70C2455C1AC31898341BC79811D4E8555C96652EC8BC964D124D92wDW9P" TargetMode = "External"/>
	<Relationship Id="rId325" Type="http://schemas.openxmlformats.org/officeDocument/2006/relationships/hyperlink" Target="consultantplus://offline/ref=E180B729A0EB2792FCC923DF51EFB96FF040D5303B7F6A1E6A5AE1696A8326AC70C2455C1AC318983418C59611D4E8555C96652EC8BC964D124D92wDW9P" TargetMode = "External"/>
	<Relationship Id="rId326" Type="http://schemas.openxmlformats.org/officeDocument/2006/relationships/hyperlink" Target="consultantplus://offline/ref=E180B729A0EB2792FCC923DF51EFB96FF040D5303B7D6A1D6C5AE1696A8326AC70C2455C1AC31898341CC29011D4E8555C96652EC8BC964D124D92wDW9P" TargetMode = "External"/>
	<Relationship Id="rId327" Type="http://schemas.openxmlformats.org/officeDocument/2006/relationships/hyperlink" Target="consultantplus://offline/ref=E180B729A0EB2792FCC923DF51EFB96FF040D5303B7D6A1D6C5AE1696A8326AC70C2455C1AC31898341AC79911D4E8555C96652EC8BC964D124D92wDW9P" TargetMode = "External"/>
	<Relationship Id="rId328" Type="http://schemas.openxmlformats.org/officeDocument/2006/relationships/hyperlink" Target="consultantplus://offline/ref=E180B729A0EB2792FCC93DD24783E262F849823E377B644E3405BA343D8A2CFB258D44125CCA07993502C19018w8W3P" TargetMode = "External"/>
	<Relationship Id="rId329" Type="http://schemas.openxmlformats.org/officeDocument/2006/relationships/hyperlink" Target="consultantplus://offline/ref=E180B729A0EB2792FCC93DD24783E262F849823E377B644E3405BA343D8A2CFB258D44125CCA07993502C19018w8W3P" TargetMode = "External"/>
	<Relationship Id="rId330" Type="http://schemas.openxmlformats.org/officeDocument/2006/relationships/hyperlink" Target="consultantplus://offline/ref=E180B729A0EB2792FCC93DD24783E262F849823E377B644E3405BA343D8A2CFB258D44125CCA07993502C19018w8W3P" TargetMode = "External"/>
	<Relationship Id="rId331" Type="http://schemas.openxmlformats.org/officeDocument/2006/relationships/hyperlink" Target="consultantplus://offline/ref=E180B729A0EB2792FCC923DF51EFB96FF040D5303B7B6C1C605AE1696A8326AC70C2455C1AC318983419CB9811D4E8555C96652EC8BC964D124D92wDW9P" TargetMode = "External"/>
	<Relationship Id="rId332" Type="http://schemas.openxmlformats.org/officeDocument/2006/relationships/hyperlink" Target="consultantplus://offline/ref=E180B729A0EB2792FCC923DF51EFB96FF040D530347A69106D5AE1696A8326AC70C2455C1AC31898341ACB9511D4E8555C96652EC8BC964D124D92wDW9P" TargetMode = "External"/>
	<Relationship Id="rId333" Type="http://schemas.openxmlformats.org/officeDocument/2006/relationships/hyperlink" Target="consultantplus://offline/ref=E180B729A0EB2792FCC923DF51EFB96FF040D5303B766F1A6A5AE1696A8326AC70C2455C1AC31898341BC79911D4E8555C96652EC8BC964D124D92wDW9P" TargetMode = "External"/>
	<Relationship Id="rId334" Type="http://schemas.openxmlformats.org/officeDocument/2006/relationships/hyperlink" Target="consultantplus://offline/ref=E180B729A0EB2792FCC923DF51EFB96FF040D530347A69106D5AE1696A8326AC70C2455C1AC31898341ACA9511D4E8555C96652EC8BC964D124D92wDW9P" TargetMode = "External"/>
	<Relationship Id="rId335" Type="http://schemas.openxmlformats.org/officeDocument/2006/relationships/hyperlink" Target="consultantplus://offline/ref=E180B729A0EB2792FCC923DF51EFB96FF040D5303B766F1A6A5AE1696A8326AC70C2455C1AC31898341BC69011D4E8555C96652EC8BC964D124D92wDW9P" TargetMode = "External"/>
	<Relationship Id="rId336" Type="http://schemas.openxmlformats.org/officeDocument/2006/relationships/hyperlink" Target="consultantplus://offline/ref=E180B729A0EB2792FCC923DF51EFB96FF040D530347A69106D5AE1696A8326AC70C2455C1AC31898341BC39311D4E8555C96652EC8BC964D124D92wDW9P" TargetMode = "External"/>
	<Relationship Id="rId337" Type="http://schemas.openxmlformats.org/officeDocument/2006/relationships/hyperlink" Target="consultantplus://offline/ref=E180B729A0EB2792FCC923DF51EFB96FF040D5303B766F1A6A5AE1696A8326AC70C2455C1AC31898341BC69111D4E8555C96652EC8BC964D124D92wDW9P" TargetMode = "External"/>
	<Relationship Id="rId338" Type="http://schemas.openxmlformats.org/officeDocument/2006/relationships/hyperlink" Target="consultantplus://offline/ref=E180B729A0EB2792FCC923DF51EFB96FF040D5303B766F1A6A5AE1696A8326AC70C2455C1AC31898341BC69211D4E8555C96652EC8BC964D124D92wDW9P" TargetMode = "External"/>
	<Relationship Id="rId339" Type="http://schemas.openxmlformats.org/officeDocument/2006/relationships/hyperlink" Target="consultantplus://offline/ref=E180B729A0EB2792FCC923DF51EFB96FF040D530347A69106D5AE1696A8326AC70C2455C1AC31898341BC19311D4E8555C96652EC8BC964D124D92wDW9P" TargetMode = "External"/>
	<Relationship Id="rId340" Type="http://schemas.openxmlformats.org/officeDocument/2006/relationships/hyperlink" Target="consultantplus://offline/ref=E180B729A0EB2792FCC923DF51EFB96FF040D5303B766F1A6A5AE1696A8326AC70C2455C1AC31898341BC69311D4E8555C96652EC8BC964D124D92wDW9P" TargetMode = "External"/>
	<Relationship Id="rId341" Type="http://schemas.openxmlformats.org/officeDocument/2006/relationships/hyperlink" Target="consultantplus://offline/ref=E180B729A0EB2792FCC923DF51EFB96FF040D530347A69106D5AE1696A8326AC70C2455C1AC31898341BC09311D4E8555C96652EC8BC964D124D92wDW9P" TargetMode = "External"/>
	<Relationship Id="rId342" Type="http://schemas.openxmlformats.org/officeDocument/2006/relationships/hyperlink" Target="consultantplus://offline/ref=E180B729A0EB2792FCC923DF51EFB96FF040D5303B766F1A6A5AE1696A8326AC70C2455C1AC31898341BC69411D4E8555C96652EC8BC964D124D92wDW9P" TargetMode = "External"/>
	<Relationship Id="rId343" Type="http://schemas.openxmlformats.org/officeDocument/2006/relationships/hyperlink" Target="consultantplus://offline/ref=E180B729A0EB2792FCC923DF51EFB96FF040D53034786F1A685AE1696A8326AC70C2455C1AC318983415C19911D4E8555C96652EC8BC964D124D92wDW9P" TargetMode = "External"/>
	<Relationship Id="rId344" Type="http://schemas.openxmlformats.org/officeDocument/2006/relationships/hyperlink" Target="consultantplus://offline/ref=E180B729A0EB2792FCC923DF51EFB96FF040D53034786F1A685AE1696A8326AC70C2455C1AC318983415C09911D4E8555C96652EC8BC964D124D92wDW9P" TargetMode = "External"/>
	<Relationship Id="rId345" Type="http://schemas.openxmlformats.org/officeDocument/2006/relationships/hyperlink" Target="consultantplus://offline/ref=E180B729A0EB2792FCC923DF51EFB96FF040D5303B79681F6D5AE1696A8326AC70C2455C1AC31898301DC49911D4E8555C96652EC8BC964D124D92wDW9P" TargetMode = "External"/>
	<Relationship Id="rId346" Type="http://schemas.openxmlformats.org/officeDocument/2006/relationships/hyperlink" Target="consultantplus://offline/ref=E180B729A0EB2792FCC93DD24783E262FD4F833F3A78644E3405BA343D8A2CFB378D1C1E5ECE1999341797C15ED5B4130D85662BC8BF9751w1W3P" TargetMode = "External"/>
	<Relationship Id="rId347" Type="http://schemas.openxmlformats.org/officeDocument/2006/relationships/hyperlink" Target="consultantplus://offline/ref=E180B729A0EB2792FCC923DF51EFB96FF040D5303B766F1A6A5AE1696A8326AC70C2455C1AC31898341BC69511D4E8555C96652EC8BC964D124D92wDW9P" TargetMode = "External"/>
	<Relationship Id="rId348" Type="http://schemas.openxmlformats.org/officeDocument/2006/relationships/hyperlink" Target="consultantplus://offline/ref=E180B729A0EB2792FCC923DF51EFB96FF040D5303B766F1A6A5AE1696A8326AC70C2455C1AC31898341BC69611D4E8555C96652EC8BC964D124D92wDW9P" TargetMode = "External"/>
	<Relationship Id="rId349" Type="http://schemas.openxmlformats.org/officeDocument/2006/relationships/hyperlink" Target="consultantplus://offline/ref=E180B729A0EB2792FCC923DF51EFB96FF040D530347A69106D5AE1696A8326AC70C2455C1AC31898341BC29211D4E8555C96652EC8BC964D124D92wDW9P" TargetMode = "External"/>
	<Relationship Id="rId350" Type="http://schemas.openxmlformats.org/officeDocument/2006/relationships/hyperlink" Target="consultantplus://offline/ref=E180B729A0EB2792FCC923DF51EFB96FF040D53034786F1A685AE1696A8326AC70C2455C1AC318983415C79811D4E8555C96652EC8BC964D124D92wDW9P" TargetMode = "External"/>
	<Relationship Id="rId351" Type="http://schemas.openxmlformats.org/officeDocument/2006/relationships/hyperlink" Target="consultantplus://offline/ref=E180B729A0EB2792FCC923DF51EFB96FF040D53034786F1A685AE1696A8326AC70C2455C1AC318983415C69811D4E8555C96652EC8BC964D124D92wDW9P" TargetMode = "External"/>
	<Relationship Id="rId352" Type="http://schemas.openxmlformats.org/officeDocument/2006/relationships/hyperlink" Target="consultantplus://offline/ref=E180B729A0EB2792FCC923DF51EFB96FF040D5303B7D6A1D6C5AE1696A8326AC70C2455C1AC31898341CC29011D4E8555C96652EC8BC964D124D92wDW9P" TargetMode = "External"/>
	<Relationship Id="rId353" Type="http://schemas.openxmlformats.org/officeDocument/2006/relationships/hyperlink" Target="consultantplus://offline/ref=E180B729A0EB2792FCC923DF51EFB96FF040D53034786F1A685AE1696A8326AC70C2455C1AC318983415C59611D4E8555C96652EC8BC964D124D92wDW9P" TargetMode = "External"/>
	<Relationship Id="rId354" Type="http://schemas.openxmlformats.org/officeDocument/2006/relationships/hyperlink" Target="consultantplus://offline/ref=E180B729A0EB2792FCC923DF51EFB96FF040D5303B7D6A1D6C5AE1696A8326AC70C2455C1AC31898341CC29011D4E8555C96652EC8BC964D124D92wDW9P" TargetMode = "External"/>
	<Relationship Id="rId355" Type="http://schemas.openxmlformats.org/officeDocument/2006/relationships/hyperlink" Target="consultantplus://offline/ref=E180B729A0EB2792FCC923DF51EFB96FF040D5303B766F1A6A5AE1696A8326AC70C2455C1AC31898341BC69711D4E8555C96652EC8BC964D124D92wDW9P" TargetMode = "External"/>
	<Relationship Id="rId356" Type="http://schemas.openxmlformats.org/officeDocument/2006/relationships/hyperlink" Target="consultantplus://offline/ref=E180B729A0EB2792FCC923DF51EFB96FF040D5303B766F1A6A5AE1696A8326AC70C2455C1AC31898341BC69811D4E8555C96652EC8BC964D124D92wDW9P" TargetMode = "External"/>
	<Relationship Id="rId357" Type="http://schemas.openxmlformats.org/officeDocument/2006/relationships/hyperlink" Target="consultantplus://offline/ref=E180B729A0EB2792FCC923DF51EFB96FF040D5303B766F1A6A5AE1696A8326AC70C2455C1AC31898341BC59811D4E8555C96652EC8BC964D124D92wDW9P" TargetMode = "External"/>
	<Relationship Id="rId358" Type="http://schemas.openxmlformats.org/officeDocument/2006/relationships/hyperlink" Target="consultantplus://offline/ref=E180B729A0EB2792FCC923DF51EFB96FF040D5303B766F1A6A5AE1696A8326AC70C2455C1AC31898341BC49611D4E8555C96652EC8BC964D124D92wDW9P" TargetMode = "External"/>
	<Relationship Id="rId359" Type="http://schemas.openxmlformats.org/officeDocument/2006/relationships/hyperlink" Target="consultantplus://offline/ref=E180B729A0EB2792FCC923DF51EFB96FF040D5303B7F6A1E6A5AE1696A8326AC70C2455C1AC318983418C49511D4E8555C96652EC8BC964D124D92wDW9P" TargetMode = "External"/>
	<Relationship Id="rId360" Type="http://schemas.openxmlformats.org/officeDocument/2006/relationships/hyperlink" Target="consultantplus://offline/ref=E180B729A0EB2792FCC923DF51EFB96FF040D5303B7D6A1D6C5AE1696A8326AC70C2455C1AC31898341CC29011D4E8555C96652EC8BC964D124D92wDW9P" TargetMode = "External"/>
	<Relationship Id="rId361" Type="http://schemas.openxmlformats.org/officeDocument/2006/relationships/hyperlink" Target="consultantplus://offline/ref=E180B729A0EB2792FCC923DF51EFB96FF040D5303B7D6A1D6C5AE1696A8326AC70C2455C1AC31898341AC59011D4E8555C96652EC8BC964D124D92wDW9P" TargetMode = "External"/>
	<Relationship Id="rId362" Type="http://schemas.openxmlformats.org/officeDocument/2006/relationships/hyperlink" Target="consultantplus://offline/ref=E180B729A0EB2792FCC93DD24783E262F849823E377B644E3405BA343D8A2CFB258D44125CCA07993502C19018w8W3P" TargetMode = "External"/>
	<Relationship Id="rId363" Type="http://schemas.openxmlformats.org/officeDocument/2006/relationships/hyperlink" Target="consultantplus://offline/ref=E180B729A0EB2792FCC93DD24783E262F849823E377B644E3405BA343D8A2CFB258D44125CCA07993502C19018w8W3P" TargetMode = "External"/>
	<Relationship Id="rId364" Type="http://schemas.openxmlformats.org/officeDocument/2006/relationships/hyperlink" Target="consultantplus://offline/ref=E180B729A0EB2792FCC93DD24783E262F849823E377B644E3405BA343D8A2CFB258D44125CCA07993502C19018w8W3P" TargetMode = "External"/>
	<Relationship Id="rId365" Type="http://schemas.openxmlformats.org/officeDocument/2006/relationships/hyperlink" Target="consultantplus://offline/ref=E180B729A0EB2792FCC923DF51EFB96FF040D5303B7B6C1C605AE1696A8326AC70C2455C1AC318983419CA9911D4E8555C96652EC8BC964D124D92wDW9P" TargetMode = "External"/>
	<Relationship Id="rId366" Type="http://schemas.openxmlformats.org/officeDocument/2006/relationships/hyperlink" Target="consultantplus://offline/ref=E180B729A0EB2792FCC923DF51EFB96FF040D5303B79681F6D5AE1696A8326AC70C2455C1AC31898301DCA9011D4E8555C96652EC8BC964D124D92wDW9P" TargetMode = "External"/>
	<Relationship Id="rId367" Type="http://schemas.openxmlformats.org/officeDocument/2006/relationships/hyperlink" Target="consultantplus://offline/ref=E180B729A0EB2792FCC923DF51EFB96FF040D5303B79681F6D5AE1696A8326AC70C2455C1AC31898301EC39011D4E8555C96652EC8BC964D124D92wDW9P" TargetMode = "External"/>
	<Relationship Id="rId368" Type="http://schemas.openxmlformats.org/officeDocument/2006/relationships/hyperlink" Target="consultantplus://offline/ref=E180B729A0EB2792FCC923DF51EFB96FF040D5303B79681F6D5AE1696A8326AC70C2455C1AC31898301EC39811D4E8555C96652EC8BC964D124D92wDW9P" TargetMode = "External"/>
	<Relationship Id="rId369" Type="http://schemas.openxmlformats.org/officeDocument/2006/relationships/hyperlink" Target="consultantplus://offline/ref=E180B729A0EB2792FCC923DF51EFB96FF040D5303B79681F6D5AE1696A8326AC70C2455C1AC31898301EC29611D4E8555C96652EC8BC964D124D92wDW9P" TargetMode = "External"/>
	<Relationship Id="rId370" Type="http://schemas.openxmlformats.org/officeDocument/2006/relationships/hyperlink" Target="consultantplus://offline/ref=E180B729A0EB2792FCC923DF51EFB96FF040D5303B79681F6D5AE1696A8326AC70C2455C1AC31898301EC19411D4E8555C96652EC8BC964D124D92wDW9P" TargetMode = "External"/>
	<Relationship Id="rId371" Type="http://schemas.openxmlformats.org/officeDocument/2006/relationships/hyperlink" Target="consultantplus://offline/ref=E180B729A0EB2792FCC923DF51EFB96FF040D5303B79681F6D5AE1696A8326AC70C2455C1AC31898301EC09211D4E8555C96652EC8BC964D124D92wDW9P" TargetMode = "External"/>
	<Relationship Id="rId372" Type="http://schemas.openxmlformats.org/officeDocument/2006/relationships/hyperlink" Target="consultantplus://offline/ref=E180B729A0EB2792FCC923DF51EFB96FF040D5303B766F1A6A5AE1696A8326AC70C2455C1AC31898341BCB9511D4E8555C96652EC8BC964D124D92wDW9P" TargetMode = "External"/>
	<Relationship Id="rId373" Type="http://schemas.openxmlformats.org/officeDocument/2006/relationships/hyperlink" Target="consultantplus://offline/ref=E180B729A0EB2792FCC923DF51EFB96FF040D5303A7D6D1D6F5AE1696A8326AC70C2455C1AC31898341FC79811D4E8555C96652EC8BC964D124D92wDW9P" TargetMode = "External"/>
	<Relationship Id="rId374" Type="http://schemas.openxmlformats.org/officeDocument/2006/relationships/hyperlink" Target="consultantplus://offline/ref=E180B729A0EB2792FCC923DF51EFB96FF040D5303A7A6F1D6C5AE1696A8326AC70C2455C1AC31898341ECA9411D4E8555C96652EC8BC964D124D92wDW9P" TargetMode = "External"/>
	<Relationship Id="rId375" Type="http://schemas.openxmlformats.org/officeDocument/2006/relationships/hyperlink" Target="consultantplus://offline/ref=E180B729A0EB2792FCC923DF51EFB96FF040D5303B766F1A6A5AE1696A8326AC70C2455C1AC31898341BCA9611D4E8555C96652EC8BC964D124D92wDW9P" TargetMode = "External"/>
	<Relationship Id="rId376" Type="http://schemas.openxmlformats.org/officeDocument/2006/relationships/hyperlink" Target="consultantplus://offline/ref=E180B729A0EB2792FCC923DF51EFB96FF040D530347A69106D5AE1696A8326AC70C2455C1AC31898341BC79211D4E8555C96652EC8BC964D124D92wDW9P" TargetMode = "External"/>
	<Relationship Id="rId377" Type="http://schemas.openxmlformats.org/officeDocument/2006/relationships/hyperlink" Target="consultantplus://offline/ref=E180B729A0EB2792FCC923DF51EFB96FF040D5303B7B6F19695AE1696A8326AC70C2455C1AC31898341BC79711D4E8555C96652EC8BC964D124D92wDW9P" TargetMode = "External"/>
	<Relationship Id="rId378" Type="http://schemas.openxmlformats.org/officeDocument/2006/relationships/hyperlink" Target="consultantplus://offline/ref=E180B729A0EB2792FCC923DF51EFB96FF040D5303B766F1A6A5AE1696A8326AC70C2455C1AC31898341BCA9711D4E8555C96652EC8BC964D124D92wDW9P" TargetMode = "External"/>
	<Relationship Id="rId379" Type="http://schemas.openxmlformats.org/officeDocument/2006/relationships/hyperlink" Target="consultantplus://offline/ref=E180B729A0EB2792FCC923DF51EFB96FF040D53034786F1A685AE1696A8326AC70C2455C1AC318983415C49511D4E8555C96652EC8BC964D124D92wDW9P" TargetMode = "External"/>
	<Relationship Id="rId380" Type="http://schemas.openxmlformats.org/officeDocument/2006/relationships/hyperlink" Target="consultantplus://offline/ref=E180B729A0EB2792FCC923DF51EFB96FF040D5303B7F6A1E6A5AE1696A8326AC70C2455C1AC318983418CB9611D4E8555C96652EC8BC964D124D92wDW9P" TargetMode = "External"/>
	<Relationship Id="rId381" Type="http://schemas.openxmlformats.org/officeDocument/2006/relationships/hyperlink" Target="consultantplus://offline/ref=E180B729A0EB2792FCC923DF51EFB96FF040D5303B7D6A1D6C5AE1696A8326AC70C2455C1AC31898341AC49111D4E8555C96652EC8BC964D124D92wDW9P" TargetMode = "External"/>
	<Relationship Id="rId382" Type="http://schemas.openxmlformats.org/officeDocument/2006/relationships/hyperlink" Target="consultantplus://offline/ref=E180B729A0EB2792FCC93DD24783E262F849823E377B644E3405BA343D8A2CFB258D44125CCA07993502C19018w8W3P" TargetMode = "External"/>
	<Relationship Id="rId383" Type="http://schemas.openxmlformats.org/officeDocument/2006/relationships/hyperlink" Target="consultantplus://offline/ref=E180B729A0EB2792FCC93DD24783E262F849823E377B644E3405BA343D8A2CFB258D44125CCA07993502C19018w8W3P" TargetMode = "External"/>
	<Relationship Id="rId384" Type="http://schemas.openxmlformats.org/officeDocument/2006/relationships/hyperlink" Target="consultantplus://offline/ref=E180B729A0EB2792FCC93DD24783E262F849823E377B644E3405BA343D8A2CFB258D44125CCA07993502C19018w8W3P" TargetMode = "External"/>
	<Relationship Id="rId385" Type="http://schemas.openxmlformats.org/officeDocument/2006/relationships/hyperlink" Target="consultantplus://offline/ref=E180B729A0EB2792FCC923DF51EFB96FF040D5303B7B6C1C605AE1696A8326AC70C2455C1AC31898341AC29011D4E8555C96652EC8BC964D124D92wDW9P" TargetMode = "External"/>
	<Relationship Id="rId386" Type="http://schemas.openxmlformats.org/officeDocument/2006/relationships/hyperlink" Target="consultantplus://offline/ref=E180B729A0EB2792FCC923DF51EFB96FF040D5303B79681F6D5AE1696A8326AC70C2455C1AC31898301EC79911D4E8555C96652EC8BC964D124D92wDW9P" TargetMode = "External"/>
	<Relationship Id="rId387" Type="http://schemas.openxmlformats.org/officeDocument/2006/relationships/hyperlink" Target="consultantplus://offline/ref=E180B729A0EB2792FCC923DF51EFB96FF040D5303B79681F6D5AE1696A8326AC70C2455C1AC31898301EC69911D4E8555C96652EC8BC964D124D92wDW9P" TargetMode = "External"/>
	<Relationship Id="rId388" Type="http://schemas.openxmlformats.org/officeDocument/2006/relationships/hyperlink" Target="consultantplus://offline/ref=E180B729A0EB2792FCC923DF51EFB96FF040D5303B79681F6D5AE1696A8326AC70C2455C1AC31898301EC59711D4E8555C96652EC8BC964D124D92wDW9P" TargetMode = "External"/>
	<Relationship Id="rId389" Type="http://schemas.openxmlformats.org/officeDocument/2006/relationships/hyperlink" Target="consultantplus://offline/ref=E180B729A0EB2792FCC923DF51EFB96FF040D5303B79681F6D5AE1696A8326AC70C2455C1AC31898301EC49511D4E8555C96652EC8BC964D124D92wDW9P" TargetMode = "External"/>
	<Relationship Id="rId390" Type="http://schemas.openxmlformats.org/officeDocument/2006/relationships/hyperlink" Target="consultantplus://offline/ref=E180B729A0EB2792FCC923DF51EFB96FF040D53034786F1A685AE1696A8326AC70C2455C1AC318983415CB9611D4E8555C96652EC8BC964D124D92wDW9P" TargetMode = "External"/>
	<Relationship Id="rId391" Type="http://schemas.openxmlformats.org/officeDocument/2006/relationships/hyperlink" Target="consultantplus://offline/ref=E180B729A0EB2792FCC923DF51EFB96FF040D5303B7D6A1D6C5AE1696A8326AC70C2455C1AC31898341CC29011D4E8555C96652EC8BC964D124D92wDW9P" TargetMode = "External"/>
	<Relationship Id="rId392" Type="http://schemas.openxmlformats.org/officeDocument/2006/relationships/hyperlink" Target="consultantplus://offline/ref=E180B729A0EB2792FCC923DF51EFB96FF040D5303B766F1A6A5AE1696A8326AC70C2455C1AC31898341BCA9811D4E8555C96652EC8BC964D124D92wDW9P" TargetMode = "External"/>
	<Relationship Id="rId393" Type="http://schemas.openxmlformats.org/officeDocument/2006/relationships/hyperlink" Target="consultantplus://offline/ref=E180B729A0EB2792FCC923DF51EFB96FF040D5303B79681F6D5AE1696A8326AC70C2455C1AC31898301ECB9411D4E8555C96652EC8BC964D124D92wDW9P" TargetMode = "External"/>
	<Relationship Id="rId394" Type="http://schemas.openxmlformats.org/officeDocument/2006/relationships/hyperlink" Target="consultantplus://offline/ref=E180B729A0EB2792FCC923DF51EFB96FF040D5303B766F1A6A5AE1696A8326AC70C2455C1AC31898341BCA9911D4E8555C96652EC8BC964D124D92wDW9P" TargetMode = "External"/>
	<Relationship Id="rId395" Type="http://schemas.openxmlformats.org/officeDocument/2006/relationships/hyperlink" Target="consultantplus://offline/ref=E180B729A0EB2792FCC923DF51EFB96FF040D5303B766F1A6A5AE1696A8326AC70C2455C1AC318983414C29011D4E8555C96652EC8BC964D124D92wDW9P" TargetMode = "External"/>
	<Relationship Id="rId396" Type="http://schemas.openxmlformats.org/officeDocument/2006/relationships/hyperlink" Target="consultantplus://offline/ref=E180B729A0EB2792FCC923DF51EFB96FF040D5303B766F1A6A5AE1696A8326AC70C2455C1AC318983414C29111D4E8555C96652EC8BC964D124D92wDW9P" TargetMode = "External"/>
	<Relationship Id="rId397" Type="http://schemas.openxmlformats.org/officeDocument/2006/relationships/hyperlink" Target="consultantplus://offline/ref=E180B729A0EB2792FCC923DF51EFB96FF040D5303B766F1A6A5AE1696A8326AC70C2455C1AC318983414C29411D4E8555C96652EC8BC964D124D92wDW9P" TargetMode = "External"/>
	<Relationship Id="rId398" Type="http://schemas.openxmlformats.org/officeDocument/2006/relationships/hyperlink" Target="consultantplus://offline/ref=E180B729A0EB2792FCC923DF51EFB96FF040D5303B766F1A6A5AE1696A8326AC70C2455C1AC318983414C29511D4E8555C96652EC8BC964D124D92wDW9P" TargetMode = "External"/>
	<Relationship Id="rId399" Type="http://schemas.openxmlformats.org/officeDocument/2006/relationships/hyperlink" Target="consultantplus://offline/ref=E180B729A0EB2792FCC923DF51EFB96FF040D5303B766F1A6A5AE1696A8326AC70C2455C1AC318983414C29611D4E8555C96652EC8BC964D124D92wDW9P" TargetMode = "External"/>
	<Relationship Id="rId400" Type="http://schemas.openxmlformats.org/officeDocument/2006/relationships/hyperlink" Target="consultantplus://offline/ref=E180B729A0EB2792FCC923DF51EFB96FF040D5303B766F1A6A5AE1696A8326AC70C2455C1AC318983414C29911D4E8555C96652EC8BC964D124D92wDW9P" TargetMode = "External"/>
	<Relationship Id="rId401" Type="http://schemas.openxmlformats.org/officeDocument/2006/relationships/hyperlink" Target="consultantplus://offline/ref=E180B729A0EB2792FCC923DF51EFB96FF040D530347A69106D5AE1696A8326AC70C2455C1AC31898341BC69311D4E8555C96652EC8BC964D124D92wDW9P" TargetMode = "External"/>
	<Relationship Id="rId402" Type="http://schemas.openxmlformats.org/officeDocument/2006/relationships/hyperlink" Target="consultantplus://offline/ref=E180B729A0EB2792FCC923DF51EFB96FF040D530347A69106D5AE1696A8326AC70C2455C1AC31898341BC59311D4E8555C96652EC8BC964D124D92wDW9P" TargetMode = "External"/>
	<Relationship Id="rId403" Type="http://schemas.openxmlformats.org/officeDocument/2006/relationships/hyperlink" Target="consultantplus://offline/ref=E180B729A0EB2792FCC923DF51EFB96FF040D5303B766F1A6A5AE1696A8326AC70C2455C1AC318983414C19011D4E8555C96652EC8BC964D124D92wDW9P" TargetMode = "External"/>
	<Relationship Id="rId404" Type="http://schemas.openxmlformats.org/officeDocument/2006/relationships/hyperlink" Target="consultantplus://offline/ref=E180B729A0EB2792FCC923DF51EFB96FF040D530347A69106D5AE1696A8326AC70C2455C1AC31898341BC49111D4E8555C96652EC8BC964D124D92wDW9P" TargetMode = "External"/>
	<Relationship Id="rId405" Type="http://schemas.openxmlformats.org/officeDocument/2006/relationships/hyperlink" Target="consultantplus://offline/ref=E180B729A0EB2792FCC923DF51EFB96FF040D5303B766F1A6A5AE1696A8326AC70C2455C1AC318983414C19111D4E8555C96652EC8BC964D124D92wDW9P" TargetMode = "External"/>
	<Relationship Id="rId406" Type="http://schemas.openxmlformats.org/officeDocument/2006/relationships/hyperlink" Target="consultantplus://offline/ref=E180B729A0EB2792FCC923DF51EFB96FF040D530347A69106D5AE1696A8326AC70C2455C1AC31898341BCB9011D4E8555C96652EC8BC964D124D92wDW9P" TargetMode = "External"/>
	<Relationship Id="rId407" Type="http://schemas.openxmlformats.org/officeDocument/2006/relationships/hyperlink" Target="consultantplus://offline/ref=E180B729A0EB2792FCC923DF51EFB96FF040D53034786F1A685AE1696A8326AC70C2455C1AC318983415CA9811D4E8555C96652EC8BC964D124D92wDW9P" TargetMode = "External"/>
	<Relationship Id="rId408" Type="http://schemas.openxmlformats.org/officeDocument/2006/relationships/hyperlink" Target="consultantplus://offline/ref=E180B729A0EB2792FCC923DF51EFB96FF040D5303B766F1A6A5AE1696A8326AC70C2455C1AC318983414C19211D4E8555C96652EC8BC964D124D92wDW9P" TargetMode = "External"/>
	<Relationship Id="rId409" Type="http://schemas.openxmlformats.org/officeDocument/2006/relationships/hyperlink" Target="consultantplus://offline/ref=E180B729A0EB2792FCC923DF51EFB96FF040D530347A69106D5AE1696A8326AC70C2455C1AC31898341BCA9011D4E8555C96652EC8BC964D124D92wDW9P" TargetMode = "External"/>
	<Relationship Id="rId410" Type="http://schemas.openxmlformats.org/officeDocument/2006/relationships/hyperlink" Target="consultantplus://offline/ref=E180B729A0EB2792FCC923DF51EFB96FF040D53034786F1A685AE1696A8326AC70C2455C1AC318983415CA9911D4E8555C96652EC8BC964D124D92wDW9P" TargetMode = "External"/>
	<Relationship Id="rId411" Type="http://schemas.openxmlformats.org/officeDocument/2006/relationships/hyperlink" Target="consultantplus://offline/ref=E180B729A0EB2792FCC923DF51EFB96FF040D5303B766F1A6A5AE1696A8326AC70C2455C1AC318983414C19511D4E8555C96652EC8BC964D124D92wDW9P" TargetMode = "External"/>
	<Relationship Id="rId412" Type="http://schemas.openxmlformats.org/officeDocument/2006/relationships/hyperlink" Target="consultantplus://offline/ref=E180B729A0EB2792FCC923DF51EFB96FF040D530347A69106D5AE1696A8326AC70C2455C1AC31898341BCA9811D4E8555C96652EC8BC964D124D92wDW9P" TargetMode = "External"/>
	<Relationship Id="rId413" Type="http://schemas.openxmlformats.org/officeDocument/2006/relationships/hyperlink" Target="consultantplus://offline/ref=E180B729A0EB2792FCC923DF51EFB96FF040D53034786F1A685AE1696A8326AC70C2455C1AC31898351CC39011D4E8555C96652EC8BC964D124D92wDW9P" TargetMode = "External"/>
	<Relationship Id="rId414" Type="http://schemas.openxmlformats.org/officeDocument/2006/relationships/hyperlink" Target="consultantplus://offline/ref=E180B729A0EB2792FCC923DF51EFB96FF040D5303B766F1A6A5AE1696A8326AC70C2455C1AC318983414C19811D4E8555C96652EC8BC964D124D92wDW9P" TargetMode = "External"/>
	<Relationship Id="rId415" Type="http://schemas.openxmlformats.org/officeDocument/2006/relationships/hyperlink" Target="consultantplus://offline/ref=E180B729A0EB2792FCC923DF51EFB96FF040D530347A69106D5AE1696A8326AC70C2455C1AC318983414C39611D4E8555C96652EC8BC964D124D92wDW9P" TargetMode = "External"/>
	<Relationship Id="rId416" Type="http://schemas.openxmlformats.org/officeDocument/2006/relationships/hyperlink" Target="consultantplus://offline/ref=E180B729A0EB2792FCC923DF51EFB96FF040D53034786F1A685AE1696A8326AC70C2455C1AC31898351CC39111D4E8555C96652EC8BC964D124D92wDW9P" TargetMode = "External"/>
	<Relationship Id="rId417" Type="http://schemas.openxmlformats.org/officeDocument/2006/relationships/hyperlink" Target="consultantplus://offline/ref=E180B729A0EB2792FCC923DF51EFB96FF040D5303B766F1A6A5AE1696A8326AC70C2455C1AC318983414C09111D4E8555C96652EC8BC964D124D92wDW9P" TargetMode = "External"/>
	<Relationship Id="rId418" Type="http://schemas.openxmlformats.org/officeDocument/2006/relationships/hyperlink" Target="consultantplus://offline/ref=E180B729A0EB2792FCC923DF51EFB96FF040D530347A69106D5AE1696A8326AC70C2455C1AC318983414C29411D4E8555C96652EC8BC964D124D92wDW9P" TargetMode = "External"/>
	<Relationship Id="rId419" Type="http://schemas.openxmlformats.org/officeDocument/2006/relationships/hyperlink" Target="consultantplus://offline/ref=E180B729A0EB2792FCC923DF51EFB96FF040D53034786F1A685AE1696A8326AC70C2455C1AC31898351CC39211D4E8555C96652EC8BC964D124D92wDW9P" TargetMode = "External"/>
	<Relationship Id="rId420" Type="http://schemas.openxmlformats.org/officeDocument/2006/relationships/hyperlink" Target="consultantplus://offline/ref=E180B729A0EB2792FCC923DF51EFB96FF040D5303B766F1A6A5AE1696A8326AC70C2455C1AC318983414C09411D4E8555C96652EC8BC964D124D92wDW9P" TargetMode = "External"/>
	<Relationship Id="rId421" Type="http://schemas.openxmlformats.org/officeDocument/2006/relationships/hyperlink" Target="consultantplus://offline/ref=E180B729A0EB2792FCC923DF51EFB96FF040D53035776C1E6D5AE1696A8326AC70C2454E1A9B149A3002C2910482B913w0WAP" TargetMode = "External"/>
	<Relationship Id="rId422" Type="http://schemas.openxmlformats.org/officeDocument/2006/relationships/hyperlink" Target="consultantplus://offline/ref=E180B729A0EB2792FCC923DF51EFB96FF040D53035776B1B6D5AE1696A8326AC70C2454E1A9B149A3002C2910482B913w0WAP" TargetMode = "External"/>
	<Relationship Id="rId423" Type="http://schemas.openxmlformats.org/officeDocument/2006/relationships/hyperlink" Target="consultantplus://offline/ref=E180B729A0EB2792FCC923DF51EFB96FF040D5303B79681F6D5AE1696A8326AC70C2455C1AC31898301ECA9511D4E8555C96652EC8BC964D124D92wDW9P" TargetMode = "External"/>
	<Relationship Id="rId424" Type="http://schemas.openxmlformats.org/officeDocument/2006/relationships/hyperlink" Target="consultantplus://offline/ref=E180B729A0EB2792FCC923DF51EFB96FF040D5303B766F1A6A5AE1696A8326AC70C2455C1AC318983414C09711D4E8555C96652EC8BC964D124D92wDW9P" TargetMode = "External"/>
	<Relationship Id="rId425" Type="http://schemas.openxmlformats.org/officeDocument/2006/relationships/hyperlink" Target="consultantplus://offline/ref=E180B729A0EB2792FCC923DF51EFB96FF040D5303A7D6D1D6F5AE1696A8326AC70C2455C1AC31898341FC69911D4E8555C96652EC8BC964D124D92wDW9P" TargetMode = "External"/>
	<Relationship Id="rId426" Type="http://schemas.openxmlformats.org/officeDocument/2006/relationships/hyperlink" Target="consultantplus://offline/ref=E180B729A0EB2792FCC923DF51EFB96FF040D5303A7B6B1A685AE1696A8326AC70C2455C1AC318983418C79111D4E8555C96652EC8BC964D124D92wDW9P" TargetMode = "External"/>
	<Relationship Id="rId427" Type="http://schemas.openxmlformats.org/officeDocument/2006/relationships/hyperlink" Target="consultantplus://offline/ref=E180B729A0EB2792FCC923DF51EFB96FF040D5303A7A6F1D6C5AE1696A8326AC70C2455C1AC31898341FC39511D4E8555C96652EC8BC964D124D92wDW9P" TargetMode = "External"/>
	<Relationship Id="rId428" Type="http://schemas.openxmlformats.org/officeDocument/2006/relationships/hyperlink" Target="consultantplus://offline/ref=A968D88E1389B4C0B46D9686921AB3161502F365C70802F8E32F3D98D1E760A70AA1331E980D9F463E119D15BB83FFCE4065F33D4B0D059CD1C78AxCW0P" TargetMode = "External"/>
	<Relationship Id="rId429" Type="http://schemas.openxmlformats.org/officeDocument/2006/relationships/hyperlink" Target="consultantplus://offline/ref=A968D88E1389B4C0B46D9686921AB3161502F365C70906FFE72F3D98D1E760A70AA1331E980D9F463E179815BB83FFCE4065F33D4B0D059CD1C78AxCW0P" TargetMode = "External"/>
	<Relationship Id="rId430" Type="http://schemas.openxmlformats.org/officeDocument/2006/relationships/hyperlink" Target="consultantplus://offline/ref=A968D88E1389B4C0B46D9686921AB3161502F365C70906FFE72F3D98D1E760A70AA1331E980D9F463E149F15BB83FFCE4065F33D4B0D059CD1C78AxCW0P" TargetMode = "External"/>
	<Relationship Id="rId431" Type="http://schemas.openxmlformats.org/officeDocument/2006/relationships/hyperlink" Target="consultantplus://offline/ref=A968D88E1389B4C0B46D9686921AB3161502F365C70906FFE72F3D98D1E760A70AA1331E980D9F463E149416BB83FFCE4065F33D4B0D059CD1C78AxCW0P" TargetMode = "External"/>
	<Relationship Id="rId432" Type="http://schemas.openxmlformats.org/officeDocument/2006/relationships/hyperlink" Target="consultantplus://offline/ref=A968D88E1389B4C0B46D9686921AB3161502F365C70F00F8E02F3D98D1E760A70AA1331E980D9F463E179917BB83FFCE4065F33D4B0D059CD1C78AxCW0P" TargetMode = "External"/>
	<Relationship Id="rId433" Type="http://schemas.openxmlformats.org/officeDocument/2006/relationships/hyperlink" Target="consultantplus://offline/ref=A968D88E1389B4C0B46D9686921AB3161502F365C70906FFE72F3D98D1E760A70AA1331E980D9F463E159B15BB83FFCE4065F33D4B0D059CD1C78AxCW0P" TargetMode = "External"/>
	<Relationship Id="rId434" Type="http://schemas.openxmlformats.org/officeDocument/2006/relationships/hyperlink" Target="consultantplus://offline/ref=A968D88E1389B4C0B46D9686921AB3161502F365C70906FFE72F3D98D1E760A70AA1331E980D9F463E1A9E16BB83FFCE4065F33D4B0D059CD1C78AxCW0P" TargetMode = "External"/>
	<Relationship Id="rId435" Type="http://schemas.openxmlformats.org/officeDocument/2006/relationships/hyperlink" Target="consultantplus://offline/ref=A968D88E1389B4C0B46D9686921AB3161502F365C70F00F8E02F3D98D1E760A70AA1331E980D9F463E15991BBB83FFCE4065F33D4B0D059CD1C78AxCW0P" TargetMode = "External"/>
	<Relationship Id="rId436" Type="http://schemas.openxmlformats.org/officeDocument/2006/relationships/hyperlink" Target="consultantplus://offline/ref=A968D88E1389B4C0B46D9686921AB3161502F365C60402FFE52F3D98D1E760A70AA1331E980D9F463E1B9811BB83FFCE4065F33D4B0D059CD1C78AxCW0P" TargetMode = "External"/>
	<Relationship Id="rId437" Type="http://schemas.openxmlformats.org/officeDocument/2006/relationships/hyperlink" Target="consultantplus://offline/ref=A968D88E1389B4C0B46D9686921AB3161502F365C70F00F8E02F3D98D1E760A70AA1331E980D9F463E1A9C14BB83FFCE4065F33D4B0D059CD1C78AxCW0P" TargetMode = "External"/>
	<Relationship Id="rId438" Type="http://schemas.openxmlformats.org/officeDocument/2006/relationships/hyperlink" Target="consultantplus://offline/ref=A968D88E1389B4C0B46D9686921AB3161502F365C60402FFE52F3D98D1E760A70AA1331E980D9F463F139E17BB83FFCE4065F33D4B0D059CD1C78AxCW0P" TargetMode = "External"/>
	<Relationship Id="rId439" Type="http://schemas.openxmlformats.org/officeDocument/2006/relationships/hyperlink" Target="consultantplus://offline/ref=A968D88E1389B4C0B46D9686921AB3161502F365C70F00F8E02F3D98D1E760A70AA1331E980D9F463E1B9C13BB83FFCE4065F33D4B0D059CD1C78AxCW0P" TargetMode = "External"/>
	<Relationship Id="rId440" Type="http://schemas.openxmlformats.org/officeDocument/2006/relationships/hyperlink" Target="consultantplus://offline/ref=A968D88E1389B4C0B46D9686921AB3161502F365C70906FFE72F3D98D1E760A70AA1331E980D9F463E1B9D17BB83FFCE4065F33D4B0D059CD1C78AxCW0P" TargetMode = "External"/>
	<Relationship Id="rId441" Type="http://schemas.openxmlformats.org/officeDocument/2006/relationships/hyperlink" Target="consultantplus://offline/ref=A968D88E1389B4C0B46D9686921AB3161502F365C70906FFE72F3D98D1E760A70AA1331E980D9F463E1B9A16BB83FFCE4065F33D4B0D059CD1C78AxCW0P" TargetMode = "External"/>
	<Relationship Id="rId442" Type="http://schemas.openxmlformats.org/officeDocument/2006/relationships/hyperlink" Target="consultantplus://offline/ref=A968D88E1389B4C0B46D9686921AB3161502F365C60402FFE52F3D98D1E760A70AA1331E980D9F463F119C16BB83FFCE4065F33D4B0D059CD1C78AxCW0P" TargetMode = "External"/>
	<Relationship Id="rId443" Type="http://schemas.openxmlformats.org/officeDocument/2006/relationships/hyperlink" Target="consultantplus://offline/ref=A968D88E1389B4C0B46D888B8476E81B1809AE61CE0F09ABBB7066C586EE6AF04DEE6A5CDC009E4F3919C942F482A3881176F0384B0E0480xDW0P" TargetMode = "External"/>
	<Relationship Id="rId444" Type="http://schemas.openxmlformats.org/officeDocument/2006/relationships/hyperlink" Target="consultantplus://offline/ref=A968D88E1389B4C0B46D888B8476E81B1D0BA46BCA0909ABBB7066C586EE6AF05FEE3250DE0480473F0C9F13B2xDW4P" TargetMode = "External"/>
	<Relationship Id="rId445" Type="http://schemas.openxmlformats.org/officeDocument/2006/relationships/hyperlink" Target="consultantplus://offline/ref=A968D88E1389B4C0B46D9686921AB3161502F365C70906FFE72F3D98D1E760A70AA1331E980D9F463F129915BB83FFCE4065F33D4B0D059CD1C78AxCW0P" TargetMode = "External"/>
	<Relationship Id="rId446" Type="http://schemas.openxmlformats.org/officeDocument/2006/relationships/hyperlink" Target="consultantplus://offline/ref=A968D88E1389B4C0B46D9686921AB3161502F365C70906FFE72F3D98D1E760A70AA1331E980D9F463F139B13BB83FFCE4065F33D4B0D059CD1C78AxCW0P" TargetMode = "External"/>
	<Relationship Id="rId447" Type="http://schemas.openxmlformats.org/officeDocument/2006/relationships/hyperlink" Target="consultantplus://offline/ref=A968D88E1389B4C0B46D9686921AB3161502F365C70F00F8E02F3D98D1E760A70AA1331E980D9F463F139C14BB83FFCE4065F33D4B0D059CD1C78AxCW0P" TargetMode = "External"/>
	<Relationship Id="rId448" Type="http://schemas.openxmlformats.org/officeDocument/2006/relationships/hyperlink" Target="consultantplus://offline/ref=A968D88E1389B4C0B46D9686921AB3161502F365C70906FFE72F3D98D1E760A70AA1331E980D9F463F109E12BB83FFCE4065F33D4B0D059CD1C78AxCW0P" TargetMode = "External"/>
	<Relationship Id="rId449" Type="http://schemas.openxmlformats.org/officeDocument/2006/relationships/hyperlink" Target="consultantplus://offline/ref=A968D88E1389B4C0B46D9686921AB3161502F365C70906FFE72F3D98D1E760A70AA1331E980D9F463F119F17BB83FFCE4065F33D4B0D059CD1C78AxCW0P" TargetMode = "External"/>
	<Relationship Id="rId450" Type="http://schemas.openxmlformats.org/officeDocument/2006/relationships/hyperlink" Target="consultantplus://offline/ref=A968D88E1389B4C0B46D9686921AB3161502F365C70906FFE72F3D98D1E760A70AA1331E980D9F463F169C15BB83FFCE4065F33D4B0D059CD1C78AxCW0P" TargetMode = "External"/>
	<Relationship Id="rId451" Type="http://schemas.openxmlformats.org/officeDocument/2006/relationships/hyperlink" Target="consultantplus://offline/ref=A968D88E1389B4C0B46D9686921AB3161502F365C70F00F8E02F3D98D1E760A70AA1331E980D9F463F119410BB83FFCE4065F33D4B0D059CD1C78AxCW0P" TargetMode = "External"/>
	<Relationship Id="rId452" Type="http://schemas.openxmlformats.org/officeDocument/2006/relationships/hyperlink" Target="consultantplus://offline/ref=A968D88E1389B4C0B46D9686921AB3161502F365C70F00F8E02F3D98D1E760A70AA1331E980D9F463F169515BB83FFCE4065F33D4B0D059CD1C78AxCW0P" TargetMode = "External"/>
	<Relationship Id="rId453" Type="http://schemas.openxmlformats.org/officeDocument/2006/relationships/hyperlink" Target="consultantplus://offline/ref=A968D88E1389B4C0B46D888B8476E81B180DA56AC70A09ABBB7066C586EE6AF04DEE6A5CDC009E473E19C942F482A3881176F0384B0E0480xDW0P" TargetMode = "External"/>
	<Relationship Id="rId454" Type="http://schemas.openxmlformats.org/officeDocument/2006/relationships/hyperlink" Target="consultantplus://offline/ref=A968D88E1389B4C0B46D9686921AB3161502F365C70906FFE72F3D98D1E760A70AA1331E980D9F463F179D14BB83FFCE4065F33D4B0D059CD1C78AxCW0P" TargetMode = "External"/>
	<Relationship Id="rId455" Type="http://schemas.openxmlformats.org/officeDocument/2006/relationships/hyperlink" Target="consultantplus://offline/ref=A968D88E1389B4C0B46D9686921AB3161502F365C70906FFE72F3D98D1E760A70AA1331E980D9F463F179A14BB83FFCE4065F33D4B0D059CD1C78AxCW0P" TargetMode = "External"/>
	<Relationship Id="rId456" Type="http://schemas.openxmlformats.org/officeDocument/2006/relationships/hyperlink" Target="consultantplus://offline/ref=A968D88E1389B4C0B46D9686921AB3161502F365C70906FFE72F3D98D1E760A70AA1331E980D9F463F149916BB83FFCE4065F33D4B0D059CD1C78AxCW0P" TargetMode = "External"/>
	<Relationship Id="rId457" Type="http://schemas.openxmlformats.org/officeDocument/2006/relationships/hyperlink" Target="consultantplus://offline/ref=A968D88E1389B4C0B46D9686921AB3161502F365C70F00F8E02F3D98D1E760A70AA1331E980D9F463F179A1ABB83FFCE4065F33D4B0D059CD1C78AxCW0P" TargetMode = "External"/>
	<Relationship Id="rId458" Type="http://schemas.openxmlformats.org/officeDocument/2006/relationships/hyperlink" Target="consultantplus://offline/ref=A968D88E1389B4C0B46D9686921AB3161502F365C60402FFE52F3D98D1E760A70AA1331E980D9F463F1B9A1BBB83FFCE4065F33D4B0D059CD1C78AxCW0P" TargetMode = "External"/>
	<Relationship Id="rId459" Type="http://schemas.openxmlformats.org/officeDocument/2006/relationships/hyperlink" Target="consultantplus://offline/ref=A968D88E1389B4C0B46D9686921AB3161502F365C60402FFE52F3D98D1E760A70AA1331E980D9F463C129A13BB83FFCE4065F33D4B0D059CD1C78AxCW0P" TargetMode = "External"/>
	<Relationship Id="rId460" Type="http://schemas.openxmlformats.org/officeDocument/2006/relationships/hyperlink" Target="consultantplus://offline/ref=A968D88E1389B4C0B46D9686921AB3161502F365C70802F8E32F3D98D1E760A70AA1331E980D9F463E169F13BB83FFCE4065F33D4B0D059CD1C78AxCW0P" TargetMode = "External"/>
	<Relationship Id="rId461" Type="http://schemas.openxmlformats.org/officeDocument/2006/relationships/hyperlink" Target="consultantplus://offline/ref=A968D88E1389B4C0B46D9686921AB3161502F365C70802F8E32F3D98D1E760A70AA1331E980D9F463E179C11BB83FFCE4065F33D4B0D059CD1C78AxCW0P" TargetMode = "External"/>
	<Relationship Id="rId462" Type="http://schemas.openxmlformats.org/officeDocument/2006/relationships/hyperlink" Target="consultantplus://offline/ref=A968D88E1389B4C0B46D9686921AB3161502F365C70802F8E32F3D98D1E760A70AA1331E980D9F463E149D11BB83FFCE4065F33D4B0D059CD1C78AxCW0P" TargetMode = "External"/>
	<Relationship Id="rId463" Type="http://schemas.openxmlformats.org/officeDocument/2006/relationships/hyperlink" Target="consultantplus://offline/ref=A968D88E1389B4C0B46D9686921AB3161502F365C60402FFE52F3D98D1E760A70AA1331E980D9F463C169E13BB83FFCE4065F33D4B0D059CD1C78AxCW0P" TargetMode = "External"/>
	<Relationship Id="rId464" Type="http://schemas.openxmlformats.org/officeDocument/2006/relationships/hyperlink" Target="consultantplus://offline/ref=A968D88E1389B4C0B46D888B8476E81B1809AE61CE0F09ABBB7066C586EE6AF04DEE6A5CDC009E4F3919C942F482A3881176F0384B0E0480xDW0P" TargetMode = "External"/>
	<Relationship Id="rId465" Type="http://schemas.openxmlformats.org/officeDocument/2006/relationships/hyperlink" Target="consultantplus://offline/ref=A968D88E1389B4C0B46D888B8476E81B1D0BA46BCA0909ABBB7066C586EE6AF05FEE3250DE0480473F0C9F13B2xDW4P" TargetMode = "External"/>
	<Relationship Id="rId466" Type="http://schemas.openxmlformats.org/officeDocument/2006/relationships/hyperlink" Target="consultantplus://offline/ref=A968D88E1389B4C0B46D9686921AB3161502F365C70906FFE72F3D98D1E760A70AA1331E980D9F463F159C17BB83FFCE4065F33D4B0D059CD1C78AxCW0P" TargetMode = "External"/>
	<Relationship Id="rId467" Type="http://schemas.openxmlformats.org/officeDocument/2006/relationships/hyperlink" Target="consultantplus://offline/ref=A968D88E1389B4C0B46D9686921AB3161502F365C60402FFE52F3D98D1E760A70AA1331E980D9F463C179F12BB83FFCE4065F33D4B0D059CD1C78AxCW0P" TargetMode = "External"/>
	<Relationship Id="rId468" Type="http://schemas.openxmlformats.org/officeDocument/2006/relationships/hyperlink" Target="consultantplus://offline/ref=A968D88E1389B4C0B46D9686921AB3161502F365C70F00F8E02F3D98D1E760A70AA1331E980D9F463F149813BB83FFCE4065F33D4B0D059CD1C78AxCW0P" TargetMode = "External"/>
	<Relationship Id="rId469" Type="http://schemas.openxmlformats.org/officeDocument/2006/relationships/hyperlink" Target="consultantplus://offline/ref=A968D88E1389B4C0B46D9686921AB3161502F365C70802F8E32F3D98D1E760A70AA1331E980D9F463E149410BB83FFCE4065F33D4B0D059CD1C78AxCW0P" TargetMode = "External"/>
	<Relationship Id="rId470" Type="http://schemas.openxmlformats.org/officeDocument/2006/relationships/hyperlink" Target="consultantplus://offline/ref=A968D88E1389B4C0B46D9686921AB3161502F365C70802F8E32F3D98D1E760A70AA1331E980D9F463E159B17BB83FFCE4065F33D4B0D059CD1C78AxCW0P" TargetMode = "External"/>
	<Relationship Id="rId471" Type="http://schemas.openxmlformats.org/officeDocument/2006/relationships/hyperlink" Target="consultantplus://offline/ref=A968D88E1389B4C0B46D9686921AB3161502F365C70906FFE72F3D98D1E760A70AA1331E980D9F463F1A941ABB83FFCE4065F33D4B0D059CD1C78AxCW0P" TargetMode = "External"/>
	<Relationship Id="rId472" Type="http://schemas.openxmlformats.org/officeDocument/2006/relationships/hyperlink" Target="consultantplus://offline/ref=A968D88E1389B4C0B46D9686921AB3161502F365C70906FFE72F3D98D1E760A70AA1331E980D9F463F1B9B1ABB83FFCE4065F33D4B0D059CD1C78AxCW0P" TargetMode = "External"/>
	<Relationship Id="rId473" Type="http://schemas.openxmlformats.org/officeDocument/2006/relationships/hyperlink" Target="consultantplus://offline/ref=A968D88E1389B4C0B46D9686921AB3161502F365C70906FFE72F3D98D1E760A70AA1331E980D9F463C129E14BB83FFCE4065F33D4B0D059CD1C78AxCW0P" TargetMode = "External"/>
	<Relationship Id="rId474" Type="http://schemas.openxmlformats.org/officeDocument/2006/relationships/hyperlink" Target="consultantplus://offline/ref=A968D88E1389B4C0B46D9686921AB3161502F365C70906FFE72F3D98D1E760A70AA1331E980D9F463C139D16BB83FFCE4065F33D4B0D059CD1C78AxCW0P" TargetMode = "External"/>
	<Relationship Id="rId475" Type="http://schemas.openxmlformats.org/officeDocument/2006/relationships/hyperlink" Target="consultantplus://offline/ref=A968D88E1389B4C0B46D9686921AB3161502F365C60402FFE52F3D98D1E760A70AA1331E980D9F463C159A17BB83FFCE4065F33D4B0D059CD1C78AxCW0P" TargetMode = "External"/>
	<Relationship Id="rId476" Type="http://schemas.openxmlformats.org/officeDocument/2006/relationships/hyperlink" Target="consultantplus://offline/ref=A968D88E1389B4C0B46D888B8476E81B1809AE61CE0F09ABBB7066C586EE6AF04DEE6A5CDC009E4F3919C942F482A3881176F0384B0E0480xDW0P" TargetMode = "External"/>
	<Relationship Id="rId477" Type="http://schemas.openxmlformats.org/officeDocument/2006/relationships/hyperlink" Target="consultantplus://offline/ref=A968D88E1389B4C0B46D888B8476E81B1D0BA46BCA0909ABBB7066C586EE6AF05FEE3250DE0480473F0C9F13B2xDW4P" TargetMode = "External"/>
	<Relationship Id="rId478" Type="http://schemas.openxmlformats.org/officeDocument/2006/relationships/hyperlink" Target="consultantplus://offline/ref=A968D88E1389B4C0B46D9686921AB3161502F365C70906FFE72F3D98D1E760A70AA1331E980D9F463C139A17BB83FFCE4065F33D4B0D059CD1C78AxCW0P" TargetMode = "External"/>
	<Relationship Id="rId479" Type="http://schemas.openxmlformats.org/officeDocument/2006/relationships/hyperlink" Target="consultantplus://offline/ref=A968D88E1389B4C0B46D9686921AB3161502F365C70906FFE72F3D98D1E760A70AA1331E980D9F463C109916BB83FFCE4065F33D4B0D059CD1C78AxCW0P" TargetMode = "External"/>
	<Relationship Id="rId480" Type="http://schemas.openxmlformats.org/officeDocument/2006/relationships/hyperlink" Target="consultantplus://offline/ref=A968D88E1389B4C0B46D9686921AB3161502F365C60402FFE52F3D98D1E760A70AA1331E980D9F463C1B981ABB83FFCE4065F33D4B0D059CD1C78AxCW0P" TargetMode = "External"/>
	<Relationship Id="rId481" Type="http://schemas.openxmlformats.org/officeDocument/2006/relationships/hyperlink" Target="consultantplus://offline/ref=A968D88E1389B4C0B46D9686921AB3161502F365C60402FFE52F3D98D1E760A70AA1331E980D9F463D129F1ABB83FFCE4065F33D4B0D059CD1C78AxCW0P" TargetMode = "External"/>
	<Relationship Id="rId482" Type="http://schemas.openxmlformats.org/officeDocument/2006/relationships/hyperlink" Target="consultantplus://offline/ref=A968D88E1389B4C0B46D9686921AB3161502F365C70906FFE72F3D98D1E760A70AA1331E980D9F463C119E14BB83FFCE4065F33D4B0D059CD1C78AxCW0P" TargetMode = "External"/>
	<Relationship Id="rId483" Type="http://schemas.openxmlformats.org/officeDocument/2006/relationships/hyperlink" Target="consultantplus://offline/ref=A968D88E1389B4C0B46D9686921AB3161502F365C70906FFE72F3D98D1E760A70AA1331E980D9F463C169D1BBB83FFCE4065F33D4B0D059CD1C78AxCW0P" TargetMode = "External"/>
	<Relationship Id="rId484" Type="http://schemas.openxmlformats.org/officeDocument/2006/relationships/hyperlink" Target="consultantplus://offline/ref=A968D88E1389B4C0B46D9686921AB3161502F365C70906FFE72F3D98D1E760A70AA1331E980D9F463C169A1ABB83FFCE4065F33D4B0D059CD1C78AxCW0P" TargetMode = "External"/>
	<Relationship Id="rId485" Type="http://schemas.openxmlformats.org/officeDocument/2006/relationships/hyperlink" Target="consultantplus://offline/ref=A968D88E1389B4C0B46D9686921AB3161502F365C70906FFE72F3D98D1E760A70AA1331E980D9F463C17991ABB83FFCE4065F33D4B0D059CD1C78AxCW0P" TargetMode = "External"/>
	<Relationship Id="rId486" Type="http://schemas.openxmlformats.org/officeDocument/2006/relationships/hyperlink" Target="consultantplus://offline/ref=A968D88E1389B4C0B46D9686921AB3161502F365C70906FFE72F3D98D1E760A70AA1331E980D9F463C149C14BB83FFCE4065F33D4B0D059CD1C78AxCW0P" TargetMode = "External"/>
	<Relationship Id="rId487" Type="http://schemas.openxmlformats.org/officeDocument/2006/relationships/hyperlink" Target="consultantplus://offline/ref=A968D88E1389B4C0B46D9686921AB3161502F365C70906FFE72F3D98D1E760A70AA1331E980D9F463C149516BB83FFCE4065F33D4B0D059CD1C78AxCW0P" TargetMode = "External"/>
	<Relationship Id="rId488" Type="http://schemas.openxmlformats.org/officeDocument/2006/relationships/hyperlink" Target="consultantplus://offline/ref=A968D88E1389B4C0B46D9686921AB3161502F365C70906FFE72F3D98D1E760A70AA1331E980D9F463C159810BB83FFCE4065F33D4B0D059CD1C78AxCW0P" TargetMode = "External"/>
	<Relationship Id="rId489" Type="http://schemas.openxmlformats.org/officeDocument/2006/relationships/hyperlink" Target="consultantplus://offline/ref=A968D88E1389B4C0B46D9686921AB3161502F365C70906FFE72F3D98D1E760A70AA1331E980D9F463C1A9F12BB83FFCE4065F33D4B0D059CD1C78AxCW0P" TargetMode = "External"/>
	<Relationship Id="rId490" Type="http://schemas.openxmlformats.org/officeDocument/2006/relationships/hyperlink" Target="consultantplus://offline/ref=A968D88E1389B4C0B46D9686921AB3161502F365C70906FFE72F3D98D1E760A70AA1331E980D9F463C1A9413BB83FFCE4065F33D4B0D059CD1C78AxCW0P" TargetMode = "External"/>
	<Relationship Id="rId491" Type="http://schemas.openxmlformats.org/officeDocument/2006/relationships/hyperlink" Target="consultantplus://offline/ref=A968D88E1389B4C0B46D9686921AB3161502F365C70906FFE72F3D98D1E760A70AA1331E980D9F463C1B9B13BB83FFCE4065F33D4B0D059CD1C78AxCW0P" TargetMode = "External"/>
	<Relationship Id="rId492" Type="http://schemas.openxmlformats.org/officeDocument/2006/relationships/hyperlink" Target="consultantplus://offline/ref=A968D88E1389B4C0B46D9686921AB3161502F365C70F00F8E02F3D98D1E760A70AA1331E980D9F463F1A9E16BB83FFCE4065F33D4B0D059CD1C78AxCW0P" TargetMode = "External"/>
	<Relationship Id="rId493" Type="http://schemas.openxmlformats.org/officeDocument/2006/relationships/hyperlink" Target="consultantplus://offline/ref=A968D88E1389B4C0B46D9686921AB3161502F365C70F00F8E02F3D98D1E760A70AA1331E980D9F463F1B9D16BB83FFCE4065F33D4B0D059CD1C78AxCW0P" TargetMode = "External"/>
	<Relationship Id="rId494" Type="http://schemas.openxmlformats.org/officeDocument/2006/relationships/hyperlink" Target="consultantplus://offline/ref=A968D88E1389B4C0B46D9686921AB3161502F365C60402FFE52F3D98D1E760A70AA1331E980D9F463D119513BB83FFCE4065F33D4B0D059CD1C78AxCW0P" TargetMode = "External"/>
	<Relationship Id="rId495" Type="http://schemas.openxmlformats.org/officeDocument/2006/relationships/hyperlink" Target="consultantplus://offline/ref=A968D88E1389B4C0B46D9686921AB3161502F365C60402FFE52F3D98D1E760A70AA1331E980D9F463D169813BB83FFCE4065F33D4B0D059CD1C78AxCW0P" TargetMode = "External"/>
	<Relationship Id="rId496" Type="http://schemas.openxmlformats.org/officeDocument/2006/relationships/hyperlink" Target="consultantplus://offline/ref=A968D88E1389B4C0B46D9686921AB3161502F365C60402FFE52F3D98D1E760A70AA1331E980D9F463D179C1ABB83FFCE4065F33D4B0D059CD1C78AxCW0P" TargetMode = "External"/>
	<Relationship Id="rId497" Type="http://schemas.openxmlformats.org/officeDocument/2006/relationships/hyperlink" Target="consultantplus://offline/ref=A968D88E1389B4C0B46D9686921AB3161502F365C60402FFE52F3D98D1E760A70AA1331E980D9F463D149C12BB83FFCE4065F33D4B0D059CD1C78AxCW0P" TargetMode = "External"/>
	<Relationship Id="rId498" Type="http://schemas.openxmlformats.org/officeDocument/2006/relationships/hyperlink" Target="consultantplus://offline/ref=A968D88E1389B4C0B46D9686921AB3161502F365C60402FFE52F3D98D1E760A70AA1331E980D9F463D159D12BB83FFCE4065F33D4B0D059CD1C78AxCW0P" TargetMode = "External"/>
	<Relationship Id="rId499" Type="http://schemas.openxmlformats.org/officeDocument/2006/relationships/hyperlink" Target="consultantplus://offline/ref=A968D88E1389B4C0B46D9686921AB3161502F365C60402FFE52F3D98D1E760A70AA1331E980D9F463D159412BB83FFCE4065F33D4B0D059CD1C78AxCW0P" TargetMode = "External"/>
	<Relationship Id="rId500" Type="http://schemas.openxmlformats.org/officeDocument/2006/relationships/hyperlink" Target="consultantplus://offline/ref=A968D88E1389B4C0B46D9686921AB3161502F365C70F00F8E02F3D98D1E760A70AA1331E980D9F463F1B9A17BB83FFCE4065F33D4B0D059CD1C78AxCW0P" TargetMode = "External"/>
	<Relationship Id="rId501" Type="http://schemas.openxmlformats.org/officeDocument/2006/relationships/hyperlink" Target="consultantplus://offline/ref=A968D88E1389B4C0B46D9686921AB3161502F365C60402FFE52F3D98D1E760A70AA1331E980D9F463D1B9A17BB83FFCE4065F33D4B0D059CD1C78AxCW0P" TargetMode = "External"/>
	<Relationship Id="rId502" Type="http://schemas.openxmlformats.org/officeDocument/2006/relationships/hyperlink" Target="consultantplus://offline/ref=A968D88E1389B4C0B46D9686921AB3161502F365C70802F8E32F3D98D1E760A70AA1331E980D9F463E1A9A1BBB83FFCE4065F33D4B0D059CD1C78AxCW0P" TargetMode = "External"/>
	<Relationship Id="rId503" Type="http://schemas.openxmlformats.org/officeDocument/2006/relationships/hyperlink" Target="consultantplus://offline/ref=A968D88E1389B4C0B46D9686921AB3161502F365C60402FFE52F3D98D1E760A70AA1331E980D9F463A139815BB83FFCE4065F33D4B0D059CD1C78AxCW0P" TargetMode = "External"/>
	<Relationship Id="rId504" Type="http://schemas.openxmlformats.org/officeDocument/2006/relationships/hyperlink" Target="consultantplus://offline/ref=A968D88E1389B4C0B46D9686921AB3161502F365C60402FFE52F3D98D1E760A70AA1331E980D9F463A109915BB83FFCE4065F33D4B0D059CD1C78AxCW0P" TargetMode = "External"/>
	<Relationship Id="rId505" Type="http://schemas.openxmlformats.org/officeDocument/2006/relationships/hyperlink" Target="consultantplus://offline/ref=A968D88E1389B4C0B46D9686921AB3161502F365C60402FFE52F3D98D1E760A70AA1331E980D9F463A119E15BB83FFCE4065F33D4B0D059CD1C78AxCW0P" TargetMode = "External"/>
	<Relationship Id="rId506" Type="http://schemas.openxmlformats.org/officeDocument/2006/relationships/hyperlink" Target="consultantplus://offline/ref=A968D88E1389B4C0B46D9686921AB3161502F365C70802F8E32F3D98D1E760A70AA1331E980D9F463E1B9511BB83FFCE4065F33D4B0D059CD1C78AxCW0P" TargetMode = "External"/>
	<Relationship Id="rId507" Type="http://schemas.openxmlformats.org/officeDocument/2006/relationships/hyperlink" Target="consultantplus://offline/ref=A968D88E1389B4C0B46D9686921AB3161502F365C60402FFE52F3D98D1E760A70AA1331E980D9F463A179C15BB83FFCE4065F33D4B0D059CD1C78AxCW0P" TargetMode = "External"/>
	<Relationship Id="rId508" Type="http://schemas.openxmlformats.org/officeDocument/2006/relationships/hyperlink" Target="consultantplus://offline/ref=A968D88E1389B4C0B46D9686921AB3161502F365C60402FFE52F3D98D1E760A70AA1331E980D9F463A179C1BBB83FFCE4065F33D4B0D059CD1C78AxCW0P" TargetMode = "External"/>
	<Relationship Id="rId509" Type="http://schemas.openxmlformats.org/officeDocument/2006/relationships/hyperlink" Target="consultantplus://offline/ref=A968D88E1389B4C0B46D9686921AB3161502F365C60402FFE52F3D98D1E760A70AA1331E980D9F463A179C1ABB83FFCE4065F33D4B0D059CD1C78AxCW0P" TargetMode = "External"/>
	<Relationship Id="rId510" Type="http://schemas.openxmlformats.org/officeDocument/2006/relationships/hyperlink" Target="consultantplus://offline/ref=A968D88E1389B4C0B46D9686921AB3161502F365C60402FFE52F3D98D1E760A70AA1331E980D9F463A179F13BB83FFCE4065F33D4B0D059CD1C78AxCW0P" TargetMode = "External"/>
	<Relationship Id="rId511" Type="http://schemas.openxmlformats.org/officeDocument/2006/relationships/hyperlink" Target="consultantplus://offline/ref=A968D88E1389B4C0B46D9686921AB3161502F365C60402FFE52F3D98D1E760A70AA1331E980D9F463A179F12BB83FFCE4065F33D4B0D059CD1C78AxCW0P" TargetMode = "External"/>
	<Relationship Id="rId512" Type="http://schemas.openxmlformats.org/officeDocument/2006/relationships/hyperlink" Target="consultantplus://offline/ref=A968D88E1389B4C0B46D9686921AB3161502F365C60402FFE52F3D98D1E760A70AA1331E980D9F463A179F11BB83FFCE4065F33D4B0D059CD1C78AxCW0P" TargetMode = "External"/>
	<Relationship Id="rId513" Type="http://schemas.openxmlformats.org/officeDocument/2006/relationships/hyperlink" Target="consultantplus://offline/ref=A968D88E1389B4C0B46D9686921AB3161502F365C60B05FAE22F3D98D1E760A70AA1331E980D9F473D109F12BB83FFCE4065F33D4B0D059CD1C78AxCW0P" TargetMode = "External"/>
	<Relationship Id="rId514" Type="http://schemas.openxmlformats.org/officeDocument/2006/relationships/hyperlink" Target="consultantplus://offline/ref=A968D88E1389B4C0B46D9686921AB3161502F365C60402FFE52F3D98D1E760A70AA1331E980D9F463A179F10BB83FFCE4065F33D4B0D059CD1C78AxCW0P" TargetMode = "External"/>
	<Relationship Id="rId515" Type="http://schemas.openxmlformats.org/officeDocument/2006/relationships/hyperlink" Target="consultantplus://offline/ref=A968D88E1389B4C0B46D9686921AB3161502F365C70F00F8E02F3D98D1E760A70AA1331E980D9F463C129B15BB83FFCE4065F33D4B0D059CD1C78AxCW0P" TargetMode = "External"/>
	<Relationship Id="rId516" Type="http://schemas.openxmlformats.org/officeDocument/2006/relationships/hyperlink" Target="consultantplus://offline/ref=A968D88E1389B4C0B46D9686921AB3161502F365C70906FFE72F3D98D1E760A70AA1331E980D9F463D129F1BBB83FFCE4065F33D4B0D059CD1C78AxCW0P" TargetMode = "External"/>
	<Relationship Id="rId517" Type="http://schemas.openxmlformats.org/officeDocument/2006/relationships/hyperlink" Target="consultantplus://offline/ref=A968D88E1389B4C0B46D9686921AB3161502F365C70802F8E32F3D98D1E760A70AA1331E980D9F463F129516BB83FFCE4065F33D4B0D059CD1C78AxCW0P" TargetMode = "External"/>
	<Relationship Id="rId518" Type="http://schemas.openxmlformats.org/officeDocument/2006/relationships/hyperlink" Target="consultantplus://offline/ref=A968D88E1389B4C0B46D9686921AB3161502F365C70802F8E32F3D98D1E760A70AA1331E980D9F463F129515BB83FFCE4065F33D4B0D059CD1C78AxCW0P" TargetMode = "External"/>
	<Relationship Id="rId519" Type="http://schemas.openxmlformats.org/officeDocument/2006/relationships/hyperlink" Target="consultantplus://offline/ref=A968D88E1389B4C0B46D888B8476E81B180CAA6ECD0809ABBB7066C586EE6AF04DEE6A5EDE03994F3546CC57E5DAAC8E0B69F027570C06x8W1P" TargetMode = "External"/>
	<Relationship Id="rId520" Type="http://schemas.openxmlformats.org/officeDocument/2006/relationships/hyperlink" Target="consultantplus://offline/ref=A968D88E1389B4C0B46D9686921AB3161502F365C70F00F8E02F3D98D1E760A70AA1331E980D9F463C13981ABB83FFCE4065F33D4B0D059CD1C78AxCW0P" TargetMode = "External"/>
	<Relationship Id="rId521" Type="http://schemas.openxmlformats.org/officeDocument/2006/relationships/hyperlink" Target="consultantplus://offline/ref=A968D88E1389B4C0B46D888B8476E81B180FAC60CD0C09ABBB7066C586EE6AF04DEE6A5CDC0499413E19C942F482A3881176F0384B0E0480xDW0P" TargetMode = "External"/>
	<Relationship Id="rId522" Type="http://schemas.openxmlformats.org/officeDocument/2006/relationships/hyperlink" Target="consultantplus://offline/ref=A968D88E1389B4C0B46D9686921AB3161502F365C60402FFE52F3D98D1E760A70AA1331E980D9F463A149C15BB83FFCE4065F33D4B0D059CD1C78AxCW0P" TargetMode = "External"/>
	<Relationship Id="rId523" Type="http://schemas.openxmlformats.org/officeDocument/2006/relationships/hyperlink" Target="consultantplus://offline/ref=A968D88E1389B4C0B46D888B8476E81B180FAC60CD0C09ABBB7066C586EE6AF04DEE6A5CDC0499413E19C942F482A3881176F0384B0E0480xDW0P" TargetMode = "External"/>
	<Relationship Id="rId524" Type="http://schemas.openxmlformats.org/officeDocument/2006/relationships/hyperlink" Target="consultantplus://offline/ref=A968D88E1389B4C0B46D9686921AB3161502F365C70F00F8E02F3D98D1E760A70AA1331E980D9F463C109E12BB83FFCE4065F33D4B0D059CD1C78AxCW0P" TargetMode = "External"/>
	<Relationship Id="rId525" Type="http://schemas.openxmlformats.org/officeDocument/2006/relationships/hyperlink" Target="consultantplus://offline/ref=A968D88E1389B4C0B46D888B8476E81B180FAC60CD0C09ABBB7066C586EE6AF04DEE6A5CDC0499413E19C942F482A3881176F0384B0E0480xDW0P" TargetMode = "External"/>
	<Relationship Id="rId526" Type="http://schemas.openxmlformats.org/officeDocument/2006/relationships/hyperlink" Target="consultantplus://offline/ref=A968D88E1389B4C0B46D888B8476E81B180FAC60CD0C09ABBB7066C586EE6AF04DEE6A5CDC0499413E19C942F482A3881176F0384B0E0480xDW0P" TargetMode = "External"/>
	<Relationship Id="rId527" Type="http://schemas.openxmlformats.org/officeDocument/2006/relationships/hyperlink" Target="consultantplus://offline/ref=A968D88E1389B4C0B46D9686921AB3161502F365C70F00F8E02F3D98D1E760A70AA1331E980D9F463C119F16BB83FFCE4065F33D4B0D059CD1C78AxCW0P" TargetMode = "External"/>
	<Relationship Id="rId528" Type="http://schemas.openxmlformats.org/officeDocument/2006/relationships/hyperlink" Target="consultantplus://offline/ref=A968D88E1389B4C0B46D888B8476E81B180CAA6ECD0809ABBB7066C586EE6AF04DEE6A5EDE03994F3546CC57E5DAAC8E0B69F027570C06x8W1P" TargetMode = "External"/>
	<Relationship Id="rId529" Type="http://schemas.openxmlformats.org/officeDocument/2006/relationships/hyperlink" Target="consultantplus://offline/ref=A968D88E1389B4C0B46D888B8476E81B180CAA6ECD0809ABBB7066C586EE6AF04DEE6A5EDE03994F3546CC57E5DAAC8E0B69F027570C06x8W1P" TargetMode = "External"/>
	<Relationship Id="rId530" Type="http://schemas.openxmlformats.org/officeDocument/2006/relationships/hyperlink" Target="consultantplus://offline/ref=A968D88E1389B4C0B46D888B8476E81B180CAA6ECD0809ABBB7066C586EE6AF04DEE6A5EDE03994F3546CC57E5DAAC8E0B69F027570C06x8W1P" TargetMode = "External"/>
	<Relationship Id="rId531" Type="http://schemas.openxmlformats.org/officeDocument/2006/relationships/hyperlink" Target="consultantplus://offline/ref=A968D88E1389B4C0B46D9686921AB3161502F365C70906FFE72F3D98D1E760A70AA1331E980D9F463D139F12BB83FFCE4065F33D4B0D059CD1C78AxCW0P" TargetMode = "External"/>
	<Relationship Id="rId532" Type="http://schemas.openxmlformats.org/officeDocument/2006/relationships/hyperlink" Target="consultantplus://offline/ref=A968D88E1389B4C0B46D888B8476E81B180CAA6ECD0809ABBB7066C586EE6AF04DEE6A5EDE03994F3546CC57E5DAAC8E0B69F027570C06x8W1P" TargetMode = "External"/>
	<Relationship Id="rId533" Type="http://schemas.openxmlformats.org/officeDocument/2006/relationships/hyperlink" Target="consultantplus://offline/ref=A968D88E1389B4C0B46D888B8476E81B1809AE61CE0F09ABBB7066C586EE6AF04DEE6A5CDC009E4F3919C942F482A3881176F0384B0E0480xDW0P" TargetMode = "External"/>
	<Relationship Id="rId534" Type="http://schemas.openxmlformats.org/officeDocument/2006/relationships/hyperlink" Target="consultantplus://offline/ref=A968D88E1389B4C0B46D888B8476E81B180CAA6ECD0809ABBB7066C586EE6AF04DEE6A5EDE03994F3546CC57E5DAAC8E0B69F027570C06x8W1P" TargetMode = "External"/>
	<Relationship Id="rId535" Type="http://schemas.openxmlformats.org/officeDocument/2006/relationships/hyperlink" Target="consultantplus://offline/ref=A968D88E1389B4C0B46D888B8476E81B1D0BA46BCA0909ABBB7066C586EE6AF05FEE3250DE0480473F0C9F13B2xDW4P" TargetMode = "External"/>
	<Relationship Id="rId536" Type="http://schemas.openxmlformats.org/officeDocument/2006/relationships/hyperlink" Target="consultantplus://offline/ref=A968D88E1389B4C0B46D888B8476E81B180CAA6ECD0809ABBB7066C586EE6AF04DEE6A5EDE03994F3546CC57E5DAAC8E0B69F027570C06x8W1P" TargetMode = "External"/>
	<Relationship Id="rId537" Type="http://schemas.openxmlformats.org/officeDocument/2006/relationships/hyperlink" Target="consultantplus://offline/ref=A968D88E1389B4C0B46D9686921AB3161502F365C70906FFE72F3D98D1E760A70AA1331E980D9F463D139410BB83FFCE4065F33D4B0D059CD1C78AxCW0P" TargetMode = "External"/>
	<Relationship Id="rId538" Type="http://schemas.openxmlformats.org/officeDocument/2006/relationships/hyperlink" Target="consultantplus://offline/ref=A968D88E1389B4C0B46D888B8476E81B180FAC60CD0C09ABBB7066C586EE6AF04DEE6A5CDC0499413E19C942F482A3881176F0384B0E0480xDW0P" TargetMode = "External"/>
	<Relationship Id="rId539" Type="http://schemas.openxmlformats.org/officeDocument/2006/relationships/hyperlink" Target="consultantplus://offline/ref=A968D88E1389B4C0B46D9686921AB3161502F365C70F00F8E02F3D98D1E760A70AA1331E980D9F463C179C12BB83FFCE4065F33D4B0D059CD1C78AxCW0P" TargetMode = "External"/>
	<Relationship Id="rId540" Type="http://schemas.openxmlformats.org/officeDocument/2006/relationships/hyperlink" Target="consultantplus://offline/ref=A968D88E1389B4C0B46D888B8476E81B180FAC60CD0C09ABBB7066C586EE6AF04DEE6A5CDC0499413E19C942F482A3881176F0384B0E0480xDW0P" TargetMode = "External"/>
	<Relationship Id="rId541" Type="http://schemas.openxmlformats.org/officeDocument/2006/relationships/hyperlink" Target="consultantplus://offline/ref=A968D88E1389B4C0B46D9686921AB3161502F365C70906FFE72F3D98D1E760A70AA1331E980D9F463D109516BB83FFCE4065F33D4B0D059CD1C78AxCW0P" TargetMode = "External"/>
	<Relationship Id="rId542" Type="http://schemas.openxmlformats.org/officeDocument/2006/relationships/hyperlink" Target="consultantplus://offline/ref=A968D88E1389B4C0B46D888B8476E81B180FAC60CD0C09ABBB7066C586EE6AF04DEE6A5CDC0499413E19C942F482A3881176F0384B0E0480xDW0P" TargetMode = "External"/>
	<Relationship Id="rId543" Type="http://schemas.openxmlformats.org/officeDocument/2006/relationships/hyperlink" Target="consultantplus://offline/ref=A968D88E1389B4C0B46D888B8476E81B180CAA6ECD0809ABBB7066C586EE6AF04DEE6A5EDE03994F3546CC57E5DAAC8E0B69F027570C06x8W1P" TargetMode = "External"/>
	<Relationship Id="rId544" Type="http://schemas.openxmlformats.org/officeDocument/2006/relationships/hyperlink" Target="consultantplus://offline/ref=A968D88E1389B4C0B46D888B8476E81B180FAC60CD0C09ABBB7066C586EE6AF04DEE6A5CDC0499413E19C942F482A3881176F0384B0E0480xDW0P" TargetMode = "External"/>
	<Relationship Id="rId545" Type="http://schemas.openxmlformats.org/officeDocument/2006/relationships/hyperlink" Target="consultantplus://offline/ref=A968D88E1389B4C0B46D9686921AB3161502F365C70906FFE72F3D98D1E760A70AA1331E980D9F463D119A1ABB83FFCE4065F33D4B0D059CD1C78AxCW0P" TargetMode = "External"/>
	<Relationship Id="rId546" Type="http://schemas.openxmlformats.org/officeDocument/2006/relationships/hyperlink" Target="consultantplus://offline/ref=A968D88E1389B4C0B46D888B8476E81B180FAC60CD0C09ABBB7066C586EE6AF04DEE6A5CDC0499413E19C942F482A3881176F0384B0E0480xDW0P" TargetMode = "External"/>
	<Relationship Id="rId547" Type="http://schemas.openxmlformats.org/officeDocument/2006/relationships/hyperlink" Target="consultantplus://offline/ref=A968D88E1389B4C0B46D9686921AB3161502F365C70906FFE72F3D98D1E760A70AA1331E980D9F463D169A11BB83FFCE4065F33D4B0D059CD1C78AxCW0P" TargetMode = "External"/>
	<Relationship Id="rId548" Type="http://schemas.openxmlformats.org/officeDocument/2006/relationships/hyperlink" Target="consultantplus://offline/ref=A968D88E1389B4C0B46D888B8476E81B180FAC60CD0C09ABBB7066C586EE6AF04DEE6A5CDC0499413E19C942F482A3881176F0384B0E0480xDW0P" TargetMode = "External"/>
	<Relationship Id="rId549" Type="http://schemas.openxmlformats.org/officeDocument/2006/relationships/hyperlink" Target="consultantplus://offline/ref=A968D88E1389B4C0B46D9686921AB3161502F365C70F00F8E02F3D98D1E760A70AA1331E980D9F463C159413BB83FFCE4065F33D4B0D059CD1C78AxCW0P" TargetMode = "External"/>
	<Relationship Id="rId550" Type="http://schemas.openxmlformats.org/officeDocument/2006/relationships/hyperlink" Target="consultantplus://offline/ref=A968D88E1389B4C0B46D888B8476E81B180FAC60CD0C09ABBB7066C586EE6AF04DEE6A5CDC0499413E19C942F482A3881176F0384B0E0480xDW0P" TargetMode = "External"/>
	<Relationship Id="rId551" Type="http://schemas.openxmlformats.org/officeDocument/2006/relationships/hyperlink" Target="consultantplus://offline/ref=A968D88E1389B4C0B46D888B8476E81B180FAC60CD0C09ABBB7066C586EE6AF04DEE6A5CDC0499413E19C942F482A3881176F0384B0E0480xDW0P" TargetMode = "External"/>
	<Relationship Id="rId552" Type="http://schemas.openxmlformats.org/officeDocument/2006/relationships/hyperlink" Target="consultantplus://offline/ref=A968D88E1389B4C0B46D888B8476E81B180FAC60CD0C09ABBB7066C586EE6AF04DEE6A5CDC0499413E19C942F482A3881176F0384B0E0480xDW0P" TargetMode = "External"/>
	<Relationship Id="rId553" Type="http://schemas.openxmlformats.org/officeDocument/2006/relationships/hyperlink" Target="consultantplus://offline/ref=A968D88E1389B4C0B46D9686921AB3161502F365C70F00F8E02F3D98D1E760A70AA1331E980D9F463C1A9517BB83FFCE4065F33D4B0D059CD1C78AxCW0P" TargetMode = "External"/>
	<Relationship Id="rId554" Type="http://schemas.openxmlformats.org/officeDocument/2006/relationships/hyperlink" Target="consultantplus://offline/ref=A968D88E1389B4C0B46D888B8476E81B180CAA6ECD0809ABBB7066C586EE6AF04DEE6A5EDE03994F3546CC57E5DAAC8E0B69F027570C06x8W1P" TargetMode = "External"/>
	<Relationship Id="rId555" Type="http://schemas.openxmlformats.org/officeDocument/2006/relationships/hyperlink" Target="consultantplus://offline/ref=A968D88E1389B4C0B46D888B8476E81B180CAA6ECD0809ABBB7066C586EE6AF04DEE6A5EDE03994F3546CC57E5DAAC8E0B69F027570C06x8W1P" TargetMode = "External"/>
	<Relationship Id="rId556" Type="http://schemas.openxmlformats.org/officeDocument/2006/relationships/hyperlink" Target="consultantplus://offline/ref=A968D88E1389B4C0B46D888B8476E81B180CAA6ECD0809ABBB7066C586EE6AF04DEE6A5EDE03994F3546CC57E5DAAC8E0B69F027570C06x8W1P" TargetMode = "External"/>
	<Relationship Id="rId557" Type="http://schemas.openxmlformats.org/officeDocument/2006/relationships/hyperlink" Target="consultantplus://offline/ref=A968D88E1389B4C0B46D888B8476E81B180DA56AC70A09ABBB7066C586EE6AF04DEE6A5CDC009E473E19C942F482A3881176F0384B0E0480xDW0P" TargetMode = "External"/>
	<Relationship Id="rId558" Type="http://schemas.openxmlformats.org/officeDocument/2006/relationships/hyperlink" Target="consultantplus://offline/ref=A968D88E1389B4C0B46D888B8476E81B180CAA6ECD0809ABBB7066C586EE6AF04DEE6A5EDE03994F3546CC57E5DAAC8E0B69F027570C06x8W1P" TargetMode = "External"/>
	<Relationship Id="rId559" Type="http://schemas.openxmlformats.org/officeDocument/2006/relationships/hyperlink" Target="consultantplus://offline/ref=A968D88E1389B4C0B46D888B8476E81B180CAA6ECD0809ABBB7066C586EE6AF04DEE6A5EDE03994F3546CC57E5DAAC8E0B69F027570C06x8W1P" TargetMode = "External"/>
	<Relationship Id="rId560" Type="http://schemas.openxmlformats.org/officeDocument/2006/relationships/hyperlink" Target="consultantplus://offline/ref=A968D88E1389B4C0B46D888B8476E81B180CAA6ECD0809ABBB7066C586EE6AF04DEE6A5EDE03994F3546CC57E5DAAC8E0B69F027570C06x8W1P" TargetMode = "External"/>
	<Relationship Id="rId561" Type="http://schemas.openxmlformats.org/officeDocument/2006/relationships/hyperlink" Target="consultantplus://offline/ref=A968D88E1389B4C0B46D888B8476E81B1809AE61CE0F09ABBB7066C586EE6AF04DEE6A5CDC009E4F3919C942F482A3881176F0384B0E0480xDW0P" TargetMode = "External"/>
	<Relationship Id="rId562" Type="http://schemas.openxmlformats.org/officeDocument/2006/relationships/hyperlink" Target="consultantplus://offline/ref=A968D88E1389B4C0B46D888B8476E81B180CAA6ECD0809ABBB7066C586EE6AF04DEE6A5EDE03994F3546CC57E5DAAC8E0B69F027570C06x8W1P" TargetMode = "External"/>
	<Relationship Id="rId563" Type="http://schemas.openxmlformats.org/officeDocument/2006/relationships/hyperlink" Target="consultantplus://offline/ref=A968D88E1389B4C0B46D888B8476E81B1D0BA46BCA0909ABBB7066C586EE6AF05FEE3250DE0480473F0C9F13B2xDW4P" TargetMode = "External"/>
	<Relationship Id="rId564" Type="http://schemas.openxmlformats.org/officeDocument/2006/relationships/hyperlink" Target="consultantplus://offline/ref=A968D88E1389B4C0B46D888B8476E81B180CAA6ECD0809ABBB7066C586EE6AF04DEE6A5EDE03994F3546CC57E5DAAC8E0B69F027570C06x8W1P" TargetMode = "External"/>
	<Relationship Id="rId565" Type="http://schemas.openxmlformats.org/officeDocument/2006/relationships/hyperlink" Target="consultantplus://offline/ref=A968D88E1389B4C0B46D888B8476E81B180CAA6ECD0809ABBB7066C586EE6AF04DEE6A5EDE03994F3546CC57E5DAAC8E0B69F027570C06x8W1P" TargetMode = "External"/>
	<Relationship Id="rId566" Type="http://schemas.openxmlformats.org/officeDocument/2006/relationships/hyperlink" Target="consultantplus://offline/ref=A968D88E1389B4C0B46D9686921AB3161502F365C70F00F8E02F3D98D1E760A70AA1331E980D9F463C1B9A1BBB83FFCE4065F33D4B0D059CD1C78AxCW0P" TargetMode = "External"/>
	<Relationship Id="rId567" Type="http://schemas.openxmlformats.org/officeDocument/2006/relationships/hyperlink" Target="consultantplus://offline/ref=A968D88E1389B4C0B46D888B8476E81B180CAA6ECD0809ABBB7066C586EE6AF04DEE6A5EDE03994F3546CC57E5DAAC8E0B69F027570C06x8W1P" TargetMode = "External"/>
	<Relationship Id="rId568" Type="http://schemas.openxmlformats.org/officeDocument/2006/relationships/hyperlink" Target="consultantplus://offline/ref=A968D88E1389B4C0B46D9686921AB3161502F365C70802F8E32F3D98D1E760A70AA1331E980D9F463F139A1BBB83FFCE4065F33D4B0D059CD1C78AxCW0P" TargetMode = "External"/>
	<Relationship Id="rId569" Type="http://schemas.openxmlformats.org/officeDocument/2006/relationships/hyperlink" Target="consultantplus://offline/ref=A968D88E1389B4C0B46D9686921AB3161502F365C70802F8E32F3D98D1E760A70AA1331E980D9F463F109813BB83FFCE4065F33D4B0D059CD1C78AxCW0P" TargetMode = "External"/>
	<Relationship Id="rId570" Type="http://schemas.openxmlformats.org/officeDocument/2006/relationships/hyperlink" Target="consultantplus://offline/ref=A968D88E1389B4C0B46D888B8476E81B1809AE61CE0F09ABBB7066C586EE6AF04DEE6A5CDC009E4F3919C942F482A3881176F0384B0E0480xDW0P" TargetMode = "External"/>
	<Relationship Id="rId571" Type="http://schemas.openxmlformats.org/officeDocument/2006/relationships/hyperlink" Target="consultantplus://offline/ref=A968D88E1389B4C0B46D888B8476E81B180CAA6ECD0809ABBB7066C586EE6AF04DEE6A5EDE03994F3546CC57E5DAAC8E0B69F027570C06x8W1P" TargetMode = "External"/>
	<Relationship Id="rId572" Type="http://schemas.openxmlformats.org/officeDocument/2006/relationships/hyperlink" Target="consultantplus://offline/ref=A968D88E1389B4C0B46D888B8476E81B1D0BA46BCA0909ABBB7066C586EE6AF05FEE3250DE0480473F0C9F13B2xDW4P" TargetMode = "External"/>
	<Relationship Id="rId573" Type="http://schemas.openxmlformats.org/officeDocument/2006/relationships/hyperlink" Target="consultantplus://offline/ref=A968D88E1389B4C0B46D888B8476E81B180CAA6ECD0809ABBB7066C586EE6AF04DEE6A5EDE03994F3546CC57E5DAAC8E0B69F027570C06x8W1P" TargetMode = "External"/>
	<Relationship Id="rId574" Type="http://schemas.openxmlformats.org/officeDocument/2006/relationships/hyperlink" Target="consultantplus://offline/ref=A968D88E1389B4C0B46D888B8476E81B180CAA6ECD0809ABBB7066C586EE6AF04DEE6A5EDE03994F3546CC57E5DAAC8E0B69F027570C06x8W1P" TargetMode = "External"/>
	<Relationship Id="rId575" Type="http://schemas.openxmlformats.org/officeDocument/2006/relationships/hyperlink" Target="consultantplus://offline/ref=A968D88E1389B4C0B46D888B8476E81B180CAA6ECD0809ABBB7066C586EE6AF04DEE6A5EDE03994F3546CC57E5DAAC8E0B69F027570C06x8W1P" TargetMode = "External"/>
	<Relationship Id="rId576" Type="http://schemas.openxmlformats.org/officeDocument/2006/relationships/hyperlink" Target="consultantplus://offline/ref=A968D88E1389B4C0B46D9686921AB3161502F365C60402FFE52F3D98D1E760A70AA1331E980D9F463B179913BB83FFCE4065F33D4B0D059CD1C78AxCW0P" TargetMode = "External"/>
	<Relationship Id="rId577" Type="http://schemas.openxmlformats.org/officeDocument/2006/relationships/hyperlink" Target="consultantplus://offline/ref=A968D88E1389B4C0B46D9686921AB3161502F365C60402FFE52F3D98D1E760A70AA1331E980D9F463B149C12BB83FFCE4065F33D4B0D059CD1C78AxCW0P" TargetMode = "External"/>
	<Relationship Id="rId578" Type="http://schemas.openxmlformats.org/officeDocument/2006/relationships/hyperlink" Target="consultantplus://offline/ref=A968D88E1389B4C0B46D888B8476E81B180CAA6ECD0809ABBB7066C586EE6AF04DEE6A5EDE03994F3546CC57E5DAAC8E0B69F027570C06x8W1P" TargetMode = "External"/>
	<Relationship Id="rId579" Type="http://schemas.openxmlformats.org/officeDocument/2006/relationships/hyperlink" Target="consultantplus://offline/ref=A968D88E1389B4C0B46D888B8476E81B180CAA6ECD0809ABBB7066C586EE6AF04DEE6A5EDE03994F3546CC57E5DAAC8E0B69F027570C06x8W1P" TargetMode = "External"/>
	<Relationship Id="rId580" Type="http://schemas.openxmlformats.org/officeDocument/2006/relationships/hyperlink" Target="consultantplus://offline/ref=A968D88E1389B4C0B46D888B8476E81B180CAA6ECD0809ABBB7066C586EE6AF04DEE6A5EDE03994F3546CC57E5DAAC8E0B69F027570C06x8W1P" TargetMode = "External"/>
	<Relationship Id="rId581" Type="http://schemas.openxmlformats.org/officeDocument/2006/relationships/hyperlink" Target="consultantplus://offline/ref=A968D88E1389B4C0B46D888B8476E81B180CAA6ECD0809ABBB7066C586EE6AF04DEE6A5EDE03994F3546CC57E5DAAC8E0B69F027570C06x8W1P" TargetMode = "External"/>
	<Relationship Id="rId582" Type="http://schemas.openxmlformats.org/officeDocument/2006/relationships/hyperlink" Target="consultantplus://offline/ref=A968D88E1389B4C0B46D9686921AB3161502F365C70F00F8E02F3D98D1E760A70AA1331E980D9F463D139911BB83FFCE4065F33D4B0D059CD1C78AxCW0P" TargetMode = "External"/>
	<Relationship Id="rId583" Type="http://schemas.openxmlformats.org/officeDocument/2006/relationships/hyperlink" Target="consultantplus://offline/ref=A968D88E1389B4C0B46D888B8476E81B180CAA6ECD0809ABBB7066C586EE6AF04DEE6A5EDE03994F3546CC57E5DAAC8E0B69F027570C06x8W1P" TargetMode = "External"/>
	<Relationship Id="rId584" Type="http://schemas.openxmlformats.org/officeDocument/2006/relationships/hyperlink" Target="consultantplus://offline/ref=A968D88E1389B4C0B46D9686921AB3161502F365C70F00F8E02F3D98D1E760A70AA1331E980D9F463D109C10BB83FFCE4065F33D4B0D059CD1C78AxCW0P" TargetMode = "External"/>
	<Relationship Id="rId585" Type="http://schemas.openxmlformats.org/officeDocument/2006/relationships/hyperlink" Target="consultantplus://offline/ref=A968D88E1389B4C0B46D888B8476E81B180CAA6ECD0809ABBB7066C586EE6AF04DEE6A5EDE03994F3546CC57E5DAAC8E0B69F027570C06x8W1P" TargetMode = "External"/>
	<Relationship Id="rId586" Type="http://schemas.openxmlformats.org/officeDocument/2006/relationships/hyperlink" Target="consultantplus://offline/ref=A968D88E1389B4C0B46D9686921AB3161502F365C60402FFE52F3D98D1E760A70AA1331E980D9F463B159812BB83FFCE4065F33D4B0D059CD1C78AxCW0P" TargetMode = "External"/>
	<Relationship Id="rId587" Type="http://schemas.openxmlformats.org/officeDocument/2006/relationships/hyperlink" Target="consultantplus://offline/ref=A968D88E1389B4C0B46D888B8476E81B180CAA6ECD0809ABBB7066C586EE6AF04DEE6A5EDE03994F3546CC57E5DAAC8E0B69F027570C06x8W1P" TargetMode = "External"/>
	<Relationship Id="rId588" Type="http://schemas.openxmlformats.org/officeDocument/2006/relationships/hyperlink" Target="consultantplus://offline/ref=A968D88E1389B4C0B46D9686921AB3161502F365C60402FFE52F3D98D1E760A70AA1331E980D9F463B1A9F11BB83FFCE4065F33D4B0D059CD1C78AxCW0P" TargetMode = "External"/>
	<Relationship Id="rId589" Type="http://schemas.openxmlformats.org/officeDocument/2006/relationships/hyperlink" Target="consultantplus://offline/ref=A968D88E1389B4C0B46D888B8476E81B180CAA6ECD0809ABBB7066C586EE6AF04DEE6A5EDE03994F3546CC57E5DAAC8E0B69F027570C06x8W1P" TargetMode = "External"/>
	<Relationship Id="rId590" Type="http://schemas.openxmlformats.org/officeDocument/2006/relationships/hyperlink" Target="consultantplus://offline/ref=A968D88E1389B4C0B46D888B8476E81B180CAA6ECD0809ABBB7066C586EE6AF04DEE6A5EDE03994F3546CC57E5DAAC8E0B69F027570C06x8W1P" TargetMode = "External"/>
	<Relationship Id="rId591" Type="http://schemas.openxmlformats.org/officeDocument/2006/relationships/hyperlink" Target="consultantplus://offline/ref=A968D88E1389B4C0B46D9686921AB3161502F365C60402FFE52F3D98D1E760A70AA1331E980D9F463B1A9411BB83FFCE4065F33D4B0D059CD1C78AxCW0P" TargetMode = "External"/>
	<Relationship Id="rId592" Type="http://schemas.openxmlformats.org/officeDocument/2006/relationships/hyperlink" Target="consultantplus://offline/ref=A968D88E1389B4C0B46D888B8476E81B180CAA6ECD0809ABBB7066C586EE6AF04DEE6A5EDE03994F3546CC57E5DAAC8E0B69F027570C06x8W1P" TargetMode = "External"/>
	<Relationship Id="rId593" Type="http://schemas.openxmlformats.org/officeDocument/2006/relationships/hyperlink" Target="consultantplus://offline/ref=A968D88E1389B4C0B46D9686921AB3161502F365C60402FFE52F3D98D1E760A70AA1331E980D9F463B1B9516BB83FFCE4065F33D4B0D059CD1C78AxCW0P" TargetMode = "External"/>
	<Relationship Id="rId594" Type="http://schemas.openxmlformats.org/officeDocument/2006/relationships/hyperlink" Target="consultantplus://offline/ref=A968D88E1389B4C0B46D888B8476E81B180CAA6ECD0809ABBB7066C586EE6AF04DEE6A5EDE03994F3546CC57E5DAAC8E0B69F027570C06x8W1P" TargetMode = "External"/>
	<Relationship Id="rId595" Type="http://schemas.openxmlformats.org/officeDocument/2006/relationships/hyperlink" Target="consultantplus://offline/ref=A968D88E1389B4C0B46D9686921AB3161502F365C60402FFE52F3D98D1E760A70AA1331E980D9F4638129A15BB83FFCE4065F33D4B0D059CD1C78AxCW0P" TargetMode = "External"/>
	<Relationship Id="rId596" Type="http://schemas.openxmlformats.org/officeDocument/2006/relationships/hyperlink" Target="consultantplus://offline/ref=A968D88E1389B4C0B46D888B8476E81B180CAA6ECD0809ABBB7066C586EE6AF04DEE6A5EDE03994F3546CC57E5DAAC8E0B69F027570C06x8W1P" TargetMode = "External"/>
	<Relationship Id="rId597" Type="http://schemas.openxmlformats.org/officeDocument/2006/relationships/hyperlink" Target="consultantplus://offline/ref=A968D88E1389B4C0B46D9686921AB3161502F365C60402FFE52F3D98D1E760A70AA1331E980D9F4638139B14BB83FFCE4065F33D4B0D059CD1C78AxCW0P" TargetMode = "External"/>
	<Relationship Id="rId598" Type="http://schemas.openxmlformats.org/officeDocument/2006/relationships/hyperlink" Target="consultantplus://offline/ref=A968D88E1389B4C0B46D888B8476E81B180CAA6ECD0809ABBB7066C586EE6AF04DEE6A5EDE03994F3546CC57E5DAAC8E0B69F027570C06x8W1P" TargetMode = "External"/>
	<Relationship Id="rId599" Type="http://schemas.openxmlformats.org/officeDocument/2006/relationships/hyperlink" Target="consultantplus://offline/ref=A968D88E1389B4C0B46D9686921AB3161502F365C70F00F8E02F3D98D1E760A70AA1331E980D9F463D109510BB83FFCE4065F33D4B0D059CD1C78AxCW0P" TargetMode = "External"/>
	<Relationship Id="rId600" Type="http://schemas.openxmlformats.org/officeDocument/2006/relationships/hyperlink" Target="consultantplus://offline/ref=A968D88E1389B4C0B46D9686921AB3161502F365C60402FFE52F3D98D1E760A70AA1331E980D9F4638119F1ABB83FFCE4065F33D4B0D059CD1C78AxCW0P" TargetMode = "External"/>
	<Relationship Id="rId601" Type="http://schemas.openxmlformats.org/officeDocument/2006/relationships/hyperlink" Target="consultantplus://offline/ref=A968D88E1389B4C0B46D9686921AB3161502F365C60402FFE52F3D98D1E760A70AA1331E980D9F4638119E12BB83FFCE4065F33D4B0D059CD1C78AxCW0P" TargetMode = "External"/>
	<Relationship Id="rId602" Type="http://schemas.openxmlformats.org/officeDocument/2006/relationships/hyperlink" Target="consultantplus://offline/ref=A968D88E1389B4C0B46D9686921AB3161502F365C60402FFE52F3D98D1E760A70AA1331E980D9F4638119E11BB83FFCE4065F33D4B0D059CD1C78AxCW0P" TargetMode = "External"/>
	<Relationship Id="rId603" Type="http://schemas.openxmlformats.org/officeDocument/2006/relationships/hyperlink" Target="consultantplus://offline/ref=A968D88E1389B4C0B46D9686921AB3161502F365C60402FFE52F3D98D1E760A70AA1331E980D9F4638119E10BB83FFCE4065F33D4B0D059CD1C78AxCW0P" TargetMode = "External"/>
	<Relationship Id="rId604" Type="http://schemas.openxmlformats.org/officeDocument/2006/relationships/hyperlink" Target="consultantplus://offline/ref=A968D88E1389B4C0B46D9686921AB3161502F365C60402FFE52F3D98D1E760A70AA1331E980D9F4638119E17BB83FFCE4065F33D4B0D059CD1C78AxCW0P" TargetMode = "External"/>
	<Relationship Id="rId605" Type="http://schemas.openxmlformats.org/officeDocument/2006/relationships/hyperlink" Target="consultantplus://offline/ref=A968D88E1389B4C0B46D9686921AB3161502F365C60402FFE52F3D98D1E760A70AA1331E980D9F4638119E16BB83FFCE4065F33D4B0D059CD1C78AxCW0P" TargetMode = "External"/>
	<Relationship Id="rId606" Type="http://schemas.openxmlformats.org/officeDocument/2006/relationships/hyperlink" Target="consultantplus://offline/ref=A968D88E1389B4C0B46D888B8476E81B1E00AB69CF0509ABBB7066C586EE6AF05FEE3250DE0480473F0C9F13B2xDW4P" TargetMode = "External"/>
	<Relationship Id="rId607" Type="http://schemas.openxmlformats.org/officeDocument/2006/relationships/hyperlink" Target="consultantplus://offline/ref=A968D88E1389B4C0B46D888B8476E81B1E00AB69CF0509ABBB7066C586EE6AF05FEE3250DE0480473F0C9F13B2xDW4P" TargetMode = "External"/>
	<Relationship Id="rId608" Type="http://schemas.openxmlformats.org/officeDocument/2006/relationships/hyperlink" Target="consultantplus://offline/ref=A968D88E1389B4C0B46D888B8476E81B1E00AB69CF0509ABBB7066C586EE6AF05FEE3250DE0480473F0C9F13B2xDW4P" TargetMode = "External"/>
	<Relationship Id="rId609" Type="http://schemas.openxmlformats.org/officeDocument/2006/relationships/hyperlink" Target="consultantplus://offline/ref=A968D88E1389B4C0B46D888B8476E81B1E00AB69CF0509ABBB7066C586EE6AF05FEE3250DE0480473F0C9F13B2xDW4P" TargetMode = "External"/>
	<Relationship Id="rId610" Type="http://schemas.openxmlformats.org/officeDocument/2006/relationships/hyperlink" Target="consultantplus://offline/ref=A968D88E1389B4C0B46D888B8476E81B1F0EAD68C90809ABBB7066C586EE6AF05FEE3250DE0480473F0C9F13B2xDW4P" TargetMode = "External"/>
	<Relationship Id="rId611" Type="http://schemas.openxmlformats.org/officeDocument/2006/relationships/hyperlink" Target="consultantplus://offline/ref=A968D88E1389B4C0B46D888B8476E81B1F0EAD68C90A09ABBB7066C586EE6AF05FEE3250DE0480473F0C9F13B2xDW4P" TargetMode = "External"/>
	<Relationship Id="rId612" Type="http://schemas.openxmlformats.org/officeDocument/2006/relationships/hyperlink" Target="consultantplus://offline/ref=A968D88E1389B4C0B46D888B8476E81B1F0EAD68C90B09ABBB7066C586EE6AF05FEE3250DE0480473F0C9F13B2xDW4P" TargetMode = "External"/>
	<Relationship Id="rId613" Type="http://schemas.openxmlformats.org/officeDocument/2006/relationships/hyperlink" Target="consultantplus://offline/ref=A968D88E1389B4C0B46D888B8476E81B1F0CA868CD0654A1B3296AC781E135F54AFF6A5FD81E9F4720109D11xBW3P" TargetMode = "External"/>
	<Relationship Id="rId614" Type="http://schemas.openxmlformats.org/officeDocument/2006/relationships/hyperlink" Target="consultantplus://offline/ref=A968D88E1389B4C0B46D888B8476E81B180CAF6EC70B09ABBB7066C586EE6AF05FEE3250DE0480473F0C9F13B2xDW4P" TargetMode = "External"/>
	<Relationship Id="rId615" Type="http://schemas.openxmlformats.org/officeDocument/2006/relationships/hyperlink" Target="consultantplus://offline/ref=A968D88E1389B4C0B46D888B8476E81B1F0CA868CD0654A1B3296AC781E135F54AFF6A5FD81E9F4720109D11xBW3P" TargetMode = "External"/>
	<Relationship Id="rId616" Type="http://schemas.openxmlformats.org/officeDocument/2006/relationships/hyperlink" Target="consultantplus://offline/ref=A968D88E1389B4C0B46D9686921AB3161502F365CF0F07F9E42F3D98D1E760A70AA1330C985593443A0C9C12AED5AE88x1W6P" TargetMode = "External"/>
	<Relationship Id="rId617" Type="http://schemas.openxmlformats.org/officeDocument/2006/relationships/hyperlink" Target="consultantplus://offline/ref=A968D88E1389B4C0B46D9686921AB3161502F365CB0505F8E42F3D98D1E760A70AA1330C985593443A0C9C12AED5AE88x1W6P" TargetMode = "External"/>
	<Relationship Id="rId618" Type="http://schemas.openxmlformats.org/officeDocument/2006/relationships/hyperlink" Target="consultantplus://offline/ref=A968D88E1389B4C0B46D888B8476E81B1F0CAF69CD0D09ABBB7066C586EE6AF05FEE3250DE0480473F0C9F13B2xDW4P" TargetMode = "External"/>
	<Relationship Id="rId619" Type="http://schemas.openxmlformats.org/officeDocument/2006/relationships/hyperlink" Target="consultantplus://offline/ref=A968D88E1389B4C0B46D9686921AB3161502F365C8050AF9E52F3D98D1E760A70AA1330C985593443A0C9C12AED5AE88x1W6P" TargetMode = "External"/>
	<Relationship Id="rId620" Type="http://schemas.openxmlformats.org/officeDocument/2006/relationships/hyperlink" Target="consultantplus://offline/ref=A968D88E1389B4C0B46D888B8476E81B180AAA6CC80E09ABBB7066C586EE6AF05FEE3250DE0480473F0C9F13B2xDW4P" TargetMode = "External"/>
	<Relationship Id="rId621" Type="http://schemas.openxmlformats.org/officeDocument/2006/relationships/hyperlink" Target="consultantplus://offline/ref=A968D88E1389B4C0B46D888B8476E81B1D0BA46BCA0809ABBB7066C586EE6AF05FEE3250DE0480473F0C9F13B2xDW4P" TargetMode = "External"/>
	<Relationship Id="rId622" Type="http://schemas.openxmlformats.org/officeDocument/2006/relationships/hyperlink" Target="consultantplus://offline/ref=A968D88E1389B4C0B46D888B8476E81B1D0DAE69CD0D09ABBB7066C586EE6AF05FEE3250DE0480473F0C9F13B2xDW4P" TargetMode = "External"/>
	<Relationship Id="rId623" Type="http://schemas.openxmlformats.org/officeDocument/2006/relationships/hyperlink" Target="consultantplus://offline/ref=A968D88E1389B4C0B46D888B8476E81B1E00AB69CF0509ABBB7066C586EE6AF05FEE3250DE0480473F0C9F13B2xDW4P" TargetMode = "External"/>
	<Relationship Id="rId624" Type="http://schemas.openxmlformats.org/officeDocument/2006/relationships/hyperlink" Target="consultantplus://offline/ref=A968D88E1389B4C0B46D888B8476E81B1E00AB69CF0509ABBB7066C586EE6AF05FEE3250DE0480473F0C9F13B2xDW4P" TargetMode = "External"/>
	<Relationship Id="rId625" Type="http://schemas.openxmlformats.org/officeDocument/2006/relationships/hyperlink" Target="consultantplus://offline/ref=A968D88E1389B4C0B46D888B8476E81B1E00AB69CF0509ABBB7066C586EE6AF05FEE3250DE0480473F0C9F13B2xDW4P" TargetMode = "External"/>
	<Relationship Id="rId626" Type="http://schemas.openxmlformats.org/officeDocument/2006/relationships/hyperlink" Target="consultantplus://offline/ref=A968D88E1389B4C0B46D888B8476E81B1E00AB69CF0509ABBB7066C586EE6AF05FEE3250DE0480473F0C9F13B2xDW4P" TargetMode = "External"/>
	<Relationship Id="rId627" Type="http://schemas.openxmlformats.org/officeDocument/2006/relationships/hyperlink" Target="consultantplus://offline/ref=A968D88E1389B4C0B46D888B8476E81B1E00AB69CF0509ABBB7066C586EE6AF05FEE3250DE0480473F0C9F13B2xDW4P" TargetMode = "External"/>
	<Relationship Id="rId628" Type="http://schemas.openxmlformats.org/officeDocument/2006/relationships/hyperlink" Target="consultantplus://offline/ref=A968D88E1389B4C0B46D888B8476E81B1E00AB69CF0509ABBB7066C586EE6AF05FEE3250DE0480473F0C9F13B2xDW4P" TargetMode = "External"/>
	<Relationship Id="rId629" Type="http://schemas.openxmlformats.org/officeDocument/2006/relationships/hyperlink" Target="consultantplus://offline/ref=A968D88E1389B4C0B46D9686921AB3161502F365C70D07F9E12F3D98D1E760A70AA1331E980D9F463E129C13BB83FFCE4065F33D4B0D059CD1C78AxCW0P" TargetMode = "External"/>
	<Relationship Id="rId630" Type="http://schemas.openxmlformats.org/officeDocument/2006/relationships/hyperlink" Target="consultantplus://offline/ref=A968D88E1389B4C0B46D888B8476E81B1F0CA56FCE0809ABBB7066C586EE6AF05FEE3250DE0480473F0C9F13B2xDW4P" TargetMode = "External"/>
	<Relationship Id="rId631" Type="http://schemas.openxmlformats.org/officeDocument/2006/relationships/image" Target="media/image2.png"/>
	<Relationship Id="rId632" Type="http://schemas.openxmlformats.org/officeDocument/2006/relationships/image" Target="media/image3.wmf"/>
	<Relationship Id="rId633" Type="http://schemas.openxmlformats.org/officeDocument/2006/relationships/image" Target="media/image4.png"/>
	<Relationship Id="rId634" Type="http://schemas.openxmlformats.org/officeDocument/2006/relationships/image" Target="media/image5.wmf"/>
	<Relationship Id="rId635" Type="http://schemas.openxmlformats.org/officeDocument/2006/relationships/hyperlink" Target="consultantplus://offline/ref=A968D88E1389B4C0B46D888B8476E81B1809AB6CCA0E09ABBB7066C586EE6AF04DEE6A54D8089A403546CC57E5DAAC8E0B69F027570C06x8W1P" TargetMode = "External"/>
	<Relationship Id="rId636" Type="http://schemas.openxmlformats.org/officeDocument/2006/relationships/hyperlink" Target="consultantplus://offline/ref=A968D88E1389B4C0B46D888B8476E81B1F0CA56FCE0809ABBB7066C586EE6AF05FEE3250DE0480473F0C9F13B2xDW4P" TargetMode = "External"/>
	<Relationship Id="rId637" Type="http://schemas.openxmlformats.org/officeDocument/2006/relationships/hyperlink" Target="consultantplus://offline/ref=A968D88E1389B4C0B46D888B8476E81B1D0DA968CE0409ABBB7066C586EE6AF05FEE3250DE0480473F0C9F13B2xDW4P" TargetMode = "External"/>
	<Relationship Id="rId638" Type="http://schemas.openxmlformats.org/officeDocument/2006/relationships/hyperlink" Target="consultantplus://offline/ref=A968D88E1389B4C0B46D888B8476E81B1F0CA56EC60D09ABBB7066C586EE6AF05FEE3250DE0480473F0C9F13B2xDW4P" TargetMode = "External"/>
	<Relationship Id="rId639" Type="http://schemas.openxmlformats.org/officeDocument/2006/relationships/hyperlink" Target="consultantplus://offline/ref=A968D88E1389B4C0B46D888B8476E81B1F0CA56EC60D09ABBB7066C586EE6AF05FEE3250DE0480473F0C9F13B2xDW4P" TargetMode = "External"/>
	<Relationship Id="rId640" Type="http://schemas.openxmlformats.org/officeDocument/2006/relationships/hyperlink" Target="consultantplus://offline/ref=A968D88E1389B4C0B46D888B8476E81B1F0CA56FCE0809ABBB7066C586EE6AF05FEE3250DE0480473F0C9F13B2xDW4P" TargetMode = "External"/>
	<Relationship Id="rId641" Type="http://schemas.openxmlformats.org/officeDocument/2006/relationships/hyperlink" Target="consultantplus://offline/ref=A968D88E1389B4C0B46D9686921AB3161502F365CF0B04FBEF2F3D98D1E760A70AA1330C985593443A0C9C12AED5AE88x1W6P" TargetMode = "External"/>
	<Relationship Id="rId642" Type="http://schemas.openxmlformats.org/officeDocument/2006/relationships/hyperlink" Target="consultantplus://offline/ref=A968D88E1389B4C0B46D9686921AB3161502F365CA0C05FBE42F3D98D1E760A70AA1330C985593443A0C9C12AED5AE88x1W6P" TargetMode = "External"/>
	<Relationship Id="rId643" Type="http://schemas.openxmlformats.org/officeDocument/2006/relationships/hyperlink" Target="consultantplus://offline/ref=A968D88E1389B4C0B46D9686921AB3161502F365C90F04FEE62F3D98D1E760A70AA1330C985593443A0C9C12AED5AE88x1W6P" TargetMode = "External"/>
	<Relationship Id="rId644" Type="http://schemas.openxmlformats.org/officeDocument/2006/relationships/hyperlink" Target="consultantplus://offline/ref=A968D88E1389B4C0B46D9686921AB3161502F365CF0F07F9E42F3D98D1E760A70AA1330C985593443A0C9C12AED5AE88x1W6P" TargetMode = "External"/>
	<Relationship Id="rId645" Type="http://schemas.openxmlformats.org/officeDocument/2006/relationships/hyperlink" Target="consultantplus://offline/ref=A968D88E1389B4C0B46D888B8476E81B1D0DAC60C90409ABBB7066C586EE6AF05FEE3250DE0480473F0C9F13B2xDW4P" TargetMode = "External"/>
	<Relationship Id="rId646" Type="http://schemas.openxmlformats.org/officeDocument/2006/relationships/hyperlink" Target="consultantplus://offline/ref=A968D88E1389B4C0B46D888B8476E81B1E08AB61C90809ABBB7066C586EE6AF05FEE3250DE0480473F0C9F13B2xDW4P" TargetMode = "External"/>
	<Relationship Id="rId647" Type="http://schemas.openxmlformats.org/officeDocument/2006/relationships/hyperlink" Target="consultantplus://offline/ref=A968D88E1389B4C0B46D9686921AB3161502F365CA0C05FBE42F3D98D1E760A70AA1330C985593443A0C9C12AED5AE88x1W6P" TargetMode = "External"/>
	<Relationship Id="rId648" Type="http://schemas.openxmlformats.org/officeDocument/2006/relationships/hyperlink" Target="consultantplus://offline/ref=A968D88E1389B4C0B46D9686921AB3161502F365CD0500FDEF2F3D98D1E760A70AA1330C985593443A0C9C12AED5AE88x1W6P" TargetMode = "External"/>
	<Relationship Id="rId649" Type="http://schemas.openxmlformats.org/officeDocument/2006/relationships/hyperlink" Target="consultantplus://offline/ref=A968D88E1389B4C0B46D9686921AB3161502F365CA0C01FAE02F3D98D1E760A70AA1330C985593443A0C9C12AED5AE88x1W6P" TargetMode = "External"/>
	<Relationship Id="rId650" Type="http://schemas.openxmlformats.org/officeDocument/2006/relationships/hyperlink" Target="consultantplus://offline/ref=A968D88E1389B4C0B46D9686921AB3161502F365CA0C06FEEE2F3D98D1E760A70AA1330C985593443A0C9C12AED5AE88x1W6P" TargetMode = "External"/>
	<Relationship Id="rId651" Type="http://schemas.openxmlformats.org/officeDocument/2006/relationships/hyperlink" Target="consultantplus://offline/ref=A968D88E1389B4C0B46D888B8476E81B180AAE60CB0F09ABBB7066C586EE6AF05FEE3250DE0480473F0C9F13B2xDW4P" TargetMode = "External"/>
	<Relationship Id="rId652" Type="http://schemas.openxmlformats.org/officeDocument/2006/relationships/hyperlink" Target="consultantplus://offline/ref=A968D88E1389B4C0B46D888B8476E81B180AAB6BCA0E09ABBB7066C586EE6AF04DEE6A5CDC009A423E19C942F482A3881176F0384B0E0480xDW0P" TargetMode = "External"/>
	<Relationship Id="rId653" Type="http://schemas.openxmlformats.org/officeDocument/2006/relationships/hyperlink" Target="consultantplus://offline/ref=A968D88E1389B4C0B46D888B8476E81B180AAE60CB0F09ABBB7066C586EE6AF05FEE3250DE0480473F0C9F13B2xDW4P" TargetMode = "External"/>
	<Relationship Id="rId654" Type="http://schemas.openxmlformats.org/officeDocument/2006/relationships/image" Target="media/image6.png"/>
	<Relationship Id="rId655" Type="http://schemas.openxmlformats.org/officeDocument/2006/relationships/hyperlink" Target="consultantplus://offline/ref=A968D88E1389B4C0B46D888B8476E81B180AAE60CB0F09ABBB7066C586EE6AF05FEE3250DE0480473F0C9F13B2xDW4P" TargetMode = "External"/>
	<Relationship Id="rId656" Type="http://schemas.openxmlformats.org/officeDocument/2006/relationships/hyperlink" Target="consultantplus://offline/ref=A968D88E1389B4C0B46D888B8476E81B1D0DAE69CD0D09ABBB7066C586EE6AF05FEE3250DE0480473F0C9F13B2xDW4P" TargetMode = "External"/>
	<Relationship Id="rId657" Type="http://schemas.openxmlformats.org/officeDocument/2006/relationships/hyperlink" Target="consultantplus://offline/ref=A968D88E1389B4C0B46D888B8476E81B1D0DAE69CD0D09ABBB7066C586EE6AF05FEE3250DE0480473F0C9F13B2xDW4P" TargetMode = "External"/>
	<Relationship Id="rId658" Type="http://schemas.openxmlformats.org/officeDocument/2006/relationships/hyperlink" Target="consultantplus://offline/ref=A968D88E1389B4C0B46D9686921AB3161502F365C70D07F9E12F3D98D1E760A70AA1331E980D9F463C179513BB83FFCE4065F33D4B0D059CD1C78AxCW0P" TargetMode = "External"/>
	<Relationship Id="rId659" Type="http://schemas.openxmlformats.org/officeDocument/2006/relationships/image" Target="media/image7.png"/>
	<Relationship Id="rId660" Type="http://schemas.openxmlformats.org/officeDocument/2006/relationships/image" Target="media/image8.png"/>
	<Relationship Id="rId661" Type="http://schemas.openxmlformats.org/officeDocument/2006/relationships/image" Target="media/image9.png"/>
	<Relationship Id="rId662" Type="http://schemas.openxmlformats.org/officeDocument/2006/relationships/image" Target="media/image10.png"/>
	<Relationship Id="rId663" Type="http://schemas.openxmlformats.org/officeDocument/2006/relationships/image" Target="media/image11.png"/>
	<Relationship Id="rId664" Type="http://schemas.openxmlformats.org/officeDocument/2006/relationships/image" Target="media/image12.png"/>
	<Relationship Id="rId665" Type="http://schemas.openxmlformats.org/officeDocument/2006/relationships/hyperlink" Target="consultantplus://offline/ref=A968D88E1389B4C0B46D888B8476E81B1F0CA56EC60E09ABBB7066C586EE6AF05FEE3250DE0480473F0C9F13B2xDW4P" TargetMode = "External"/>
	<Relationship Id="rId666" Type="http://schemas.openxmlformats.org/officeDocument/2006/relationships/hyperlink" Target="consultantplus://offline/ref=A968D88E1389B4C0B46D888B8476E81B1808AD6ECD0809ABBB7066C586EE6AF05FEE3250DE0480473F0C9F13B2xDW4P" TargetMode = "External"/>
	<Relationship Id="rId667" Type="http://schemas.openxmlformats.org/officeDocument/2006/relationships/hyperlink" Target="consultantplus://offline/ref=A968D88E1389B4C0B46D888B8476E81B180FAC60CD0C09ABBB7066C586EE6AF04DEE6A5CDC0499413E19C942F482A3881176F0384B0E0480xDW0P" TargetMode = "External"/>
	<Relationship Id="rId668" Type="http://schemas.openxmlformats.org/officeDocument/2006/relationships/hyperlink" Target="consultantplus://offline/ref=A968D88E1389B4C0B46D888B8476E81B1808AD6ECD0809ABBB7066C586EE6AF05FEE3250DE0480473F0C9F13B2xDW4P" TargetMode = "External"/>
	<Relationship Id="rId669" Type="http://schemas.openxmlformats.org/officeDocument/2006/relationships/hyperlink" Target="consultantplus://offline/ref=A968D88E1389B4C0B46D888B8476E81B1F0CAB69C90F09ABBB7066C586EE6AF05FEE3250DE0480473F0C9F13B2xDW4P" TargetMode = "External"/>
	<Relationship Id="rId670" Type="http://schemas.openxmlformats.org/officeDocument/2006/relationships/hyperlink" Target="consultantplus://offline/ref=A968D88E1389B4C0B46D9686921AB3161502F365C60A02FCE72F3D98D1E760A70AA1330C985593443A0C9C12AED5AE88x1W6P" TargetMode = "External"/>
	<Relationship Id="rId671" Type="http://schemas.openxmlformats.org/officeDocument/2006/relationships/hyperlink" Target="consultantplus://offline/ref=A968D88E1389B4C0B46D9686921AB3161502F365C60A02FCE72F3D98D1E760A70AA1331E980D9F463E129913BB83FFCE4065F33D4B0D059CD1C78AxCW0P" TargetMode = "External"/>
	<Relationship Id="rId672" Type="http://schemas.openxmlformats.org/officeDocument/2006/relationships/hyperlink" Target="consultantplus://offline/ref=A968D88E1389B4C0B46D9686921AB3161502F365C60A02FCE72F3D98D1E760A70AA1331E980D9F463E129511BB83FFCE4065F33D4B0D059CD1C78AxCW0P" TargetMode = "External"/>
	<Relationship Id="rId673" Type="http://schemas.openxmlformats.org/officeDocument/2006/relationships/hyperlink" Target="consultantplus://offline/ref=A968D88E1389B4C0B46D9686921AB3161502F365C60A02FCE72F3D98D1E760A70AA1331E980D9F463E139B14BB83FFCE4065F33D4B0D059CD1C78AxCW0P" TargetMode = "External"/>
	<Relationship Id="rId674" Type="http://schemas.openxmlformats.org/officeDocument/2006/relationships/hyperlink" Target="consultantplus://offline/ref=A968D88E1389B4C0B46D9686921AB3161502F365C60A02FCE72F3D98D1E760A70AA1331E980D9F463E109F12BB83FFCE4065F33D4B0D059CD1C78AxCW0P" TargetMode = "External"/>
	<Relationship Id="rId675" Type="http://schemas.openxmlformats.org/officeDocument/2006/relationships/hyperlink" Target="consultantplus://offline/ref=A968D88E1389B4C0B46D888B8476E81B180FAC60CD0C09ABBB7066C586EE6AF05FEE3250DE0480473F0C9F13B2xDW4P" TargetMode = "External"/>
	<Relationship Id="rId676" Type="http://schemas.openxmlformats.org/officeDocument/2006/relationships/hyperlink" Target="consultantplus://offline/ref=A968D88E1389B4C0B46D888B8476E81B1808AD6ECD0809ABBB7066C586EE6AF05FEE3250DE0480473F0C9F13B2xDW4P" TargetMode = "External"/>
	<Relationship Id="rId677" Type="http://schemas.openxmlformats.org/officeDocument/2006/relationships/hyperlink" Target="consultantplus://offline/ref=A968D88E1389B4C0B46D888B8476E81B180CA461C60E09ABBB7066C586EE6AF05FEE3250DE0480473F0C9F13B2xDW4P" TargetMode = "External"/>
	<Relationship Id="rId678" Type="http://schemas.openxmlformats.org/officeDocument/2006/relationships/hyperlink" Target="consultantplus://offline/ref=A968D88E1389B4C0B46D888B8476E81B180FAC60CD0C09ABBB7066C586EE6AF05FEE3250DE0480473F0C9F13B2xDW4P" TargetMode = "External"/>
	<Relationship Id="rId679" Type="http://schemas.openxmlformats.org/officeDocument/2006/relationships/hyperlink" Target="consultantplus://offline/ref=A968D88E1389B4C0B46D9686921AB3161502F365C60A02FCE72F3D98D1E760A70AA1330C985593443A0C9C12AED5AE88x1W6P" TargetMode = "External"/>
	<Relationship Id="rId680" Type="http://schemas.openxmlformats.org/officeDocument/2006/relationships/hyperlink" Target="consultantplus://offline/ref=A968D88E1389B4C0B46D888B8476E81B1808AD6ECD0809ABBB7066C586EE6AF04DEE6A5CDC009E473719C942F482A3881176F0384B0E0480xDW0P" TargetMode = "External"/>
	<Relationship Id="rId681" Type="http://schemas.openxmlformats.org/officeDocument/2006/relationships/hyperlink" Target="consultantplus://offline/ref=A968D88E1389B4C0B46D888B8476E81B1808AD6ECD0809ABBB7066C586EE6AF05FEE3250DE0480473F0C9F13B2xDW4P" TargetMode = "External"/>
	<Relationship Id="rId682" Type="http://schemas.openxmlformats.org/officeDocument/2006/relationships/hyperlink" Target="consultantplus://offline/ref=A968D88E1389B4C0B46D888B8476E81B1808AD6ECD0809ABBB7066C586EE6AF04DEE6A5CDC009E473719C942F482A3881176F0384B0E0480xDW0P" TargetMode = "External"/>
	<Relationship Id="rId683" Type="http://schemas.openxmlformats.org/officeDocument/2006/relationships/hyperlink" Target="consultantplus://offline/ref=A968D88E1389B4C0B46D9686921AB3161502F365C90A06F8EE2F3D98D1E760A70AA1330C985593443A0C9C12AED5AE88x1W6P" TargetMode = "External"/>
	<Relationship Id="rId684" Type="http://schemas.openxmlformats.org/officeDocument/2006/relationships/hyperlink" Target="consultantplus://offline/ref=A968D88E1389B4C0B46D9686921AB3161502F365C60B05FAE22F3D98D1E760A70AA1331E980D9F4739169C15BB83FFCE4065F33D4B0D059CD1C78AxCW0P" TargetMode = "External"/>
	<Relationship Id="rId685" Type="http://schemas.openxmlformats.org/officeDocument/2006/relationships/hyperlink" Target="consultantplus://offline/ref=A968D88E1389B4C0B46D888B8476E81B1E01AA6DC55B5EA9EA2568C08EBE30E05BA76559C2019F583C129Fx1W0P" TargetMode = "External"/>
	<Relationship Id="rId686" Type="http://schemas.openxmlformats.org/officeDocument/2006/relationships/hyperlink" Target="consultantplus://offline/ref=A968D88E1389B4C0B46D888B8476E81B180DAF6CCE0D09ABBB7066C586EE6AF05FEE3250DE0480473F0C9F13B2xDW4P" TargetMode = "External"/>
	<Relationship Id="rId687" Type="http://schemas.openxmlformats.org/officeDocument/2006/relationships/hyperlink" Target="consultantplus://offline/ref=A968D88E1389B4C0B46D888B8476E81B180AA461C90A09ABBB7066C586EE6AF05FEE3250DE0480473F0C9F13B2xDW4P" TargetMode = "External"/>
	<Relationship Id="rId688" Type="http://schemas.openxmlformats.org/officeDocument/2006/relationships/hyperlink" Target="consultantplus://offline/ref=A968D88E1389B4C0B46D888B8476E81B180AAB6BCA0E09ABBB7066C586EE6AF05FEE3250DE0480473F0C9F13B2xDW4P" TargetMode = "External"/>
	<Relationship Id="rId689" Type="http://schemas.openxmlformats.org/officeDocument/2006/relationships/hyperlink" Target="consultantplus://offline/ref=A968D88E1389B4C0B46D9686921AB3161502F365C90F04FEE62F3D98D1E760A70AA1331E980D9A4537139F15BB83FFCE4065F33D4B0D059CD1C78AxCW0P" TargetMode = "External"/>
	<Relationship Id="rId690" Type="http://schemas.openxmlformats.org/officeDocument/2006/relationships/hyperlink" Target="consultantplus://offline/ref=A968D88E1389B4C0B46D9686921AB3161502F365C80902FCE02F3D98D1E760A70AA1330C985593443A0C9C12AED5AE88x1W6P" TargetMode = "External"/>
	<Relationship Id="rId691" Type="http://schemas.openxmlformats.org/officeDocument/2006/relationships/hyperlink" Target="consultantplus://offline/ref=A01FA3ABE811BC04C8F157C7A0CDA580AA6A8EDA2E4DF522CE89DED9281CD4E5B66F6645CA80A4720631C0E274y7WFP" TargetMode = "External"/>
	<Relationship Id="rId692" Type="http://schemas.openxmlformats.org/officeDocument/2006/relationships/hyperlink" Target="consultantplus://offline/ref=A01FA3ABE811BC04C8F149CAB6A1FE8DA065D1D02243F97397D685847F15DEB2E320670B8C89BB72002BC3E57D280C7EBC598A4690D7F39CA23174y9W5P" TargetMode = "External"/>
	<Relationship Id="rId693" Type="http://schemas.openxmlformats.org/officeDocument/2006/relationships/hyperlink" Target="consultantplus://offline/ref=A01FA3ABE811BC04C8F149CAB6A1FE8DA065D1D02243F97397D685847F15DEB2E320670B8C89BB72002BC3EA7D280C7EBC598A4690D7F39CA23174y9W5P" TargetMode = "External"/>
	<Relationship Id="rId694" Type="http://schemas.openxmlformats.org/officeDocument/2006/relationships/hyperlink" Target="consultantplus://offline/ref=A01FA3ABE811BC04C8F149CAB6A1FE8DA065D1D02D47F87793D685847F15DEB2E320670B8C89BE700E2EC0E47D280C7EBC598A4690D7F39CA23174y9W5P" TargetMode = "External"/>
	<Relationship Id="rId695" Type="http://schemas.openxmlformats.org/officeDocument/2006/relationships/hyperlink" Target="consultantplus://offline/ref=A01FA3ABE811BC04C8F149CAB6A1FE8DA065D1D02D47F87793D685847F15DEB2E320670B8C89BE700E2BC5E67D280C7EBC598A4690D7F39CA23174y9W5P" TargetMode = "External"/>
	<Relationship Id="rId696" Type="http://schemas.openxmlformats.org/officeDocument/2006/relationships/hyperlink" Target="consultantplus://offline/ref=A01FA3ABE811BC04C8F149CAB6A1FE8DA065D1D02D47F87793D685847F15DEB2E320670B8C89BE700E27C2E27D280C7EBC598A4690D7F39CA23174y9W5P" TargetMode = "External"/>
	<Relationship Id="rId697" Type="http://schemas.openxmlformats.org/officeDocument/2006/relationships/hyperlink" Target="consultantplus://offline/ref=A01FA3ABE811BC04C8F149CAB6A1FE8DA065D1D02D47F87793D685847F15DEB2E320670B8C89BE700E26C7E47D280C7EBC598A4690D7F39CA23174y9W5P" TargetMode = "External"/>
	<Relationship Id="rId698" Type="http://schemas.openxmlformats.org/officeDocument/2006/relationships/hyperlink" Target="consultantplus://offline/ref=A01FA3ABE811BC04C8F149CAB6A1FE8DA065D1D02D47F87793D685847F15DEB2E320670B8C89BE77072EC0E67D280C7EBC598A4690D7F39CA23174y9W5P" TargetMode = "External"/>
	<Relationship Id="rId699" Type="http://schemas.openxmlformats.org/officeDocument/2006/relationships/hyperlink" Target="consultantplus://offline/ref=A01FA3ABE811BC04C8F149CAB6A1FE8DA065D1D02D47F87793D685847F15DEB2E320670B8C89BE77072DC1E57D280C7EBC598A4690D7F39CA23174y9W5P" TargetMode = "External"/>
	<Relationship Id="rId700" Type="http://schemas.openxmlformats.org/officeDocument/2006/relationships/hyperlink" Target="consultantplus://offline/ref=A01FA3ABE811BC04C8F149CAB6A1FE8DA065D1D02D47F87793D685847F15DEB2E320670B8C89BE77072CC7E77D280C7EBC598A4690D7F39CA23174y9W5P" TargetMode = "External"/>
	<Relationship Id="rId701" Type="http://schemas.openxmlformats.org/officeDocument/2006/relationships/hyperlink" Target="consultantplus://offline/ref=A01FA3ABE811BC04C8F149CAB6A1FE8DA065D1D02D47F87793D685847F15DEB2E320670B8C89BE77072BCBE67D280C7EBC598A4690D7F39CA23174y9W5P" TargetMode = "External"/>
	<Relationship Id="rId702" Type="http://schemas.openxmlformats.org/officeDocument/2006/relationships/hyperlink" Target="consultantplus://offline/ref=A01FA3ABE811BC04C8F149CAB6A1FE8DA065D1D02D47F87793D685847F15DEB2E320670B8C89BE770729C6E27D280C7EBC598A4690D7F39CA23174y9W5P" TargetMode = "External"/>
	<Relationship Id="rId703" Type="http://schemas.openxmlformats.org/officeDocument/2006/relationships/hyperlink" Target="consultantplus://offline/ref=A01FA3ABE811BC04C8F149CAB6A1FE8DA065D1D02D47F87793D685847F15DEB2E320670B8C89BE770727C0E37D280C7EBC598A4690D7F39CA23174y9W5P" TargetMode = "External"/>
	<Relationship Id="rId704" Type="http://schemas.openxmlformats.org/officeDocument/2006/relationships/hyperlink" Target="consultantplus://offline/ref=A01FA3ABE811BC04C8F157C7A0CDA580AA6B87DA2844F522CE89DED9281CD4E5A46F3E49C884BA72022496B332295038ED4A894390D4F280yAW3P" TargetMode = "External"/>
	<Relationship Id="rId705" Type="http://schemas.openxmlformats.org/officeDocument/2006/relationships/hyperlink" Target="consultantplus://offline/ref=A01FA3ABE811BC04C8F157C7A0CDA580AA688ADB2F40F522CE89DED9281CD4E5B66F6645CA80A4720631C0E274y7WFP" TargetMode = "External"/>
	<Relationship Id="rId706" Type="http://schemas.openxmlformats.org/officeDocument/2006/relationships/hyperlink" Target="consultantplus://offline/ref=A01FA3ABE811BC04C8F149CAB6A1FE8DA065D1D02346FD7492D685847F15DEB2E320670B8C89BB7A052CC0E47D280C7EBC598A4690D7F39CA23174y9W5P" TargetMode = "External"/>
	<Relationship Id="rId707" Type="http://schemas.openxmlformats.org/officeDocument/2006/relationships/image" Target="media/image13.png"/>
	<Relationship Id="rId708" Type="http://schemas.openxmlformats.org/officeDocument/2006/relationships/image" Target="media/image14.png"/>
	<Relationship Id="rId709" Type="http://schemas.openxmlformats.org/officeDocument/2006/relationships/hyperlink" Target="consultantplus://offline/ref=A01FA3ABE811BC04C8F149CAB6A1FE8DA065D1D02247FB7196D685847F15DEB2E320670B8C89BB73072FC3E27D280C7EBC598A4690D7F39CA23174y9W5P" TargetMode = "External"/>
	<Relationship Id="rId710" Type="http://schemas.openxmlformats.org/officeDocument/2006/relationships/hyperlink" Target="consultantplus://offline/ref=A01FA3ABE811BC04C8F149CAB6A1FE8DA065D1D02241FE7593D685847F15DEB2E320670B8C89BB730E2CC1EA7D280C7EBC598A4690D7F39CA23174y9W5P" TargetMode = "External"/>
	<Relationship Id="rId711" Type="http://schemas.openxmlformats.org/officeDocument/2006/relationships/hyperlink" Target="consultantplus://offline/ref=A01FA3ABE811BC04C8F149CAB6A1FE8DA065D1D02243F97397D685847F15DEB2E320670B8C89BB72002CC4E27D280C7EBC598A4690D7F39CA23174y9W5P" TargetMode = "External"/>
	<Relationship Id="rId712" Type="http://schemas.openxmlformats.org/officeDocument/2006/relationships/hyperlink" Target="consultantplus://offline/ref=A01FA3ABE811BC04C8F157C7A0CDA580AD6D89DE2E46F522CE89DED9281CD4E5A46F3E4CC986B127566B97EF7478433BE84A8A428CyDW5P" TargetMode = "External"/>
	<Relationship Id="rId713" Type="http://schemas.openxmlformats.org/officeDocument/2006/relationships/hyperlink" Target="consultantplus://offline/ref=A01FA3ABE811BC04C8F157C7A0CDA580AD6D89DE2E46F522CE89DED9281CD4E5A46F3E4CC88CB127566B97EF7478433BE84A8A428CyDW5P" TargetMode = "External"/>
	<Relationship Id="rId714" Type="http://schemas.openxmlformats.org/officeDocument/2006/relationships/hyperlink" Target="consultantplus://offline/ref=A01FA3ABE811BC04C8F157C7A0CDA580AA6F86DC2B45F522CE89DED9281CD4E5A46F3E49C884BA70052496B332295038ED4A894390D4F280yAW3P" TargetMode = "External"/>
	<Relationship Id="rId715" Type="http://schemas.openxmlformats.org/officeDocument/2006/relationships/hyperlink" Target="consultantplus://offline/ref=A01FA3ABE811BC04C8F157C7A0CDA580AD6D89DE2E46F522CE89DED9281CD4E5B66F6645CA80A4720631C0E274y7WFP" TargetMode = "External"/>
	<Relationship Id="rId716" Type="http://schemas.openxmlformats.org/officeDocument/2006/relationships/hyperlink" Target="consultantplus://offline/ref=A01FA3ABE811BC04C8F157C7A0CDA580AD6B88DB2940F522CE89DED9281CD4E5A46F3E49CB85BD77022496B332295038ED4A894390D4F280yAW3P" TargetMode = "External"/>
	<Relationship Id="rId717" Type="http://schemas.openxmlformats.org/officeDocument/2006/relationships/hyperlink" Target="consultantplus://offline/ref=A01FA3ABE811BC04C8F157C7A0CDA580AA6B8BDB2C46F522CE89DED9281CD4E5A46F3E49C884BA72012496B332295038ED4A894390D4F280yAW3P" TargetMode = "External"/>
	<Relationship Id="rId718" Type="http://schemas.openxmlformats.org/officeDocument/2006/relationships/hyperlink" Target="consultantplus://offline/ref=A01FA3ABE811BC04C8F157C7A0CDA580AA6C88DA2E46F522CE89DED9281CD4E5A46F3E49C884BA72012496B332295038ED4A894390D4F280yAW3P" TargetMode = "External"/>
	<Relationship Id="rId719" Type="http://schemas.openxmlformats.org/officeDocument/2006/relationships/hyperlink" Target="consultantplus://offline/ref=A01FA3ABE811BC04C8F149CAB6A1FE8DA065D1D02244FE7292D685847F15DEB2E32067198CD1B7710331C3E3687E5D38yEWAP" TargetMode = "External"/>
	<Relationship Id="rId720" Type="http://schemas.openxmlformats.org/officeDocument/2006/relationships/hyperlink" Target="consultantplus://offline/ref=A01FA3ABE811BC04C8F157C7A0CDA580AA6C88DA2E46F522CE89DED9281CD4E5A46F3E49C884BA72012496B332295038ED4A894390D4F280yAW3P" TargetMode = "External"/>
	<Relationship Id="rId721" Type="http://schemas.openxmlformats.org/officeDocument/2006/relationships/hyperlink" Target="consultantplus://offline/ref=A01FA3ABE811BC04C8F157C7A0CDA580AA6C88DA2E46F522CE89DED9281CD4E5B66F6645CA80A4720631C0E274y7WFP" TargetMode = "External"/>
	<Relationship Id="rId722" Type="http://schemas.openxmlformats.org/officeDocument/2006/relationships/hyperlink" Target="consultantplus://offline/ref=A01FA3ABE811BC04C8F149CAB6A1FE8DA065D1D02241FE7593D685847F15DEB2E320670B8C89BB730E2CC1EA7D280C7EBC598A4690D7F39CA23174y9W5P" TargetMode = "External"/>
	<Relationship Id="rId723" Type="http://schemas.openxmlformats.org/officeDocument/2006/relationships/hyperlink" Target="consultantplus://offline/ref=A01FA3ABE811BC04C8F157C7A0CDA580AD6D89DE2E46F522CE89DED9281CD4E5B66F6645CA80A4720631C0E274y7WFP" TargetMode = "External"/>
	<Relationship Id="rId724" Type="http://schemas.openxmlformats.org/officeDocument/2006/relationships/hyperlink" Target="consultantplus://offline/ref=A01FA3ABE811BC04C8F157C7A0CDA580AA6C88DA2E46F522CE89DED9281CD4E5A46F3E49C884BA72012496B332295038ED4A894390D4F280yAW3P" TargetMode = "External"/>
	<Relationship Id="rId725" Type="http://schemas.openxmlformats.org/officeDocument/2006/relationships/hyperlink" Target="consultantplus://offline/ref=A01FA3ABE811BC04C8F149CAB6A1FE8DA065D1D02244FE7292D685847F15DEB2E32067198CD1B7710331C3E3687E5D38yEWAP" TargetMode = "External"/>
	<Relationship Id="rId726" Type="http://schemas.openxmlformats.org/officeDocument/2006/relationships/hyperlink" Target="consultantplus://offline/ref=A01FA3ABE811BC04C8F149CAB6A1FE8DA065D1D02940F87FC48187D52A1BDBBAB37A771DC586BE6D062EDCE0767Ey5WEP" TargetMode = "External"/>
	<Relationship Id="rId727" Type="http://schemas.openxmlformats.org/officeDocument/2006/relationships/image" Target="media/image15.png"/>
	<Relationship Id="rId728" Type="http://schemas.openxmlformats.org/officeDocument/2006/relationships/image" Target="media/image16.png"/>
	<Relationship Id="rId729" Type="http://schemas.openxmlformats.org/officeDocument/2006/relationships/image" Target="media/image17.png"/>
	<Relationship Id="rId730" Type="http://schemas.openxmlformats.org/officeDocument/2006/relationships/image" Target="media/image18.png"/>
	<Relationship Id="rId731" Type="http://schemas.openxmlformats.org/officeDocument/2006/relationships/image" Target="media/image19.png"/>
	<Relationship Id="rId732" Type="http://schemas.openxmlformats.org/officeDocument/2006/relationships/image" Target="media/image20.png"/>
	<Relationship Id="rId733" Type="http://schemas.openxmlformats.org/officeDocument/2006/relationships/image" Target="media/image21.png"/>
	<Relationship Id="rId734" Type="http://schemas.openxmlformats.org/officeDocument/2006/relationships/image" Target="media/image22.png"/>
	<Relationship Id="rId735" Type="http://schemas.openxmlformats.org/officeDocument/2006/relationships/image" Target="media/image23.png"/>
	<Relationship Id="rId736" Type="http://schemas.openxmlformats.org/officeDocument/2006/relationships/image" Target="media/image24.png"/>
	<Relationship Id="rId737" Type="http://schemas.openxmlformats.org/officeDocument/2006/relationships/image" Target="media/image25.png"/>
	<Relationship Id="rId738" Type="http://schemas.openxmlformats.org/officeDocument/2006/relationships/image" Target="media/image26.png"/>
	<Relationship Id="rId739" Type="http://schemas.openxmlformats.org/officeDocument/2006/relationships/image" Target="media/image27.png"/>
	<Relationship Id="rId740" Type="http://schemas.openxmlformats.org/officeDocument/2006/relationships/image" Target="media/image28.png"/>
	<Relationship Id="rId741" Type="http://schemas.openxmlformats.org/officeDocument/2006/relationships/image" Target="media/image29.png"/>
	<Relationship Id="rId742" Type="http://schemas.openxmlformats.org/officeDocument/2006/relationships/image" Target="media/image30.png"/>
	<Relationship Id="rId743" Type="http://schemas.openxmlformats.org/officeDocument/2006/relationships/image" Target="media/image31.png"/>
	<Relationship Id="rId744" Type="http://schemas.openxmlformats.org/officeDocument/2006/relationships/image" Target="media/image32.png"/>
	<Relationship Id="rId745" Type="http://schemas.openxmlformats.org/officeDocument/2006/relationships/image" Target="media/image33.png"/>
	<Relationship Id="rId746" Type="http://schemas.openxmlformats.org/officeDocument/2006/relationships/hyperlink" Target="consultantplus://offline/ref=A01FA3ABE811BC04C8F157C7A0CDA580AA6C88DA2E46F522CE89DED9281CD4E5A46F3E49C884BA72012496B332295038ED4A894390D4F280yAW3P" TargetMode = "External"/>
	<Relationship Id="rId747" Type="http://schemas.openxmlformats.org/officeDocument/2006/relationships/hyperlink" Target="consultantplus://offline/ref=A01FA3ABE811BC04C8F157C7A0CDA580AD6B88DB2940F522CE89DED9281CD4E5B66F6645CA80A4720631C0E274y7WFP" TargetMode = "External"/>
	<Relationship Id="rId748" Type="http://schemas.openxmlformats.org/officeDocument/2006/relationships/image" Target="media/image34.png"/>
	<Relationship Id="rId749" Type="http://schemas.openxmlformats.org/officeDocument/2006/relationships/hyperlink" Target="consultantplus://offline/ref=A01FA3ABE811BC04C8F157C7A0CDA580AA6C88DA2E46F522CE89DED9281CD4E5A46F3E49C884BA72012496B332295038ED4A894390D4F280yAW3P" TargetMode = "External"/>
	<Relationship Id="rId750" Type="http://schemas.openxmlformats.org/officeDocument/2006/relationships/image" Target="media/image35.png"/>
	<Relationship Id="rId751" Type="http://schemas.openxmlformats.org/officeDocument/2006/relationships/hyperlink" Target="consultantplus://offline/ref=A01FA3ABE811BC04C8F157C7A0CDA580AD6B88DB2940F522CE89DED9281CD4E5B66F6645CA80A4720631C0E274y7WFP" TargetMode = "External"/>
	<Relationship Id="rId752" Type="http://schemas.openxmlformats.org/officeDocument/2006/relationships/hyperlink" Target="consultantplus://offline/ref=A01FA3ABE811BC04C8F157C7A0CDA580AA6C88DA2E46F522CE89DED9281CD4E5A46F3E49C885B972052496B332295038ED4A894390D4F280yAW3P" TargetMode = "External"/>
	<Relationship Id="rId753" Type="http://schemas.openxmlformats.org/officeDocument/2006/relationships/hyperlink" Target="consultantplus://offline/ref=A01FA3ABE811BC04C8F157C7A0CDA580AA6C88DA2E46F522CE89DED9281CD4E5A46F3E49C885BE730E2496B332295038ED4A894390D4F280yAW3P" TargetMode = "External"/>
	<Relationship Id="rId754" Type="http://schemas.openxmlformats.org/officeDocument/2006/relationships/hyperlink" Target="consultantplus://offline/ref=A01FA3ABE811BC04C8F157C7A0CDA580AA6C88DA2E46F522CE89DED9281CD4E5A46F3E49C885B974062496B332295038ED4A894390D4F280yAW3P" TargetMode = "External"/>
	<Relationship Id="rId755" Type="http://schemas.openxmlformats.org/officeDocument/2006/relationships/hyperlink" Target="consultantplus://offline/ref=A01FA3ABE811BC04C8F157C7A0CDA580AA6C88DA2E46F522CE89DED9281CD4E5A46F3E49C884BA72012496B332295038ED4A894390D4F280yAW3P" TargetMode = "External"/>
	<Relationship Id="rId756" Type="http://schemas.openxmlformats.org/officeDocument/2006/relationships/hyperlink" Target="consultantplus://offline/ref=A01FA3ABE811BC04C8F157C7A0CDA580AA6C8DD82346F522CE89DED9281CD4E5B66F6645CA80A4720631C0E274y7WFP" TargetMode = "External"/>
	<Relationship Id="rId757" Type="http://schemas.openxmlformats.org/officeDocument/2006/relationships/hyperlink" Target="consultantplus://offline/ref=A01FA3ABE811BC04C8F157C7A0CDA580AA6C88DA2E46F522CE89DED9281CD4E5A46F3E49C884BA72012496B332295038ED4A894390D4F280yAW3P" TargetMode = "External"/>
	<Relationship Id="rId758" Type="http://schemas.openxmlformats.org/officeDocument/2006/relationships/hyperlink" Target="consultantplus://offline/ref=A01FA3ABE811BC04C8F157C7A0CDA580AD6B88DB2940F522CE89DED9281CD4E5A46F3E49CB85BD77022496B332295038ED4A894390D4F280yAW3P" TargetMode = "External"/>
	<Relationship Id="rId759" Type="http://schemas.openxmlformats.org/officeDocument/2006/relationships/hyperlink" Target="consultantplus://offline/ref=A01FA3ABE811BC04C8F157C7A0CDA580AD6B88DB2940F522CE89DED9281CD4E5A46F3E49CB85BD77022496B332295038ED4A894390D4F280yAW3P" TargetMode = "External"/>
	<Relationship Id="rId760" Type="http://schemas.openxmlformats.org/officeDocument/2006/relationships/hyperlink" Target="consultantplus://offline/ref=A01FA3ABE811BC04C8F157C7A0CDA580AA6C88DA2E46F522CE89DED9281CD4E5A46F3E49C884BA72012496B332295038ED4A894390D4F280yAW3P" TargetMode = "External"/>
	<Relationship Id="rId761" Type="http://schemas.openxmlformats.org/officeDocument/2006/relationships/hyperlink" Target="consultantplus://offline/ref=A01FA3ABE811BC04C8F157C7A0CDA580AD6B88DB2940F522CE89DED9281CD4E5A46F3E49CB85BD77022496B332295038ED4A894390D4F280yAW3P" TargetMode = "External"/>
	<Relationship Id="rId762" Type="http://schemas.openxmlformats.org/officeDocument/2006/relationships/image" Target="media/image36.png"/>
	<Relationship Id="rId763" Type="http://schemas.openxmlformats.org/officeDocument/2006/relationships/hyperlink" Target="consultantplus://offline/ref=A01FA3ABE811BC04C8F149CAB6A1FE8DA065D1D02247FB7196D685847F15DEB2E320670B8C89BB73072FC3E27D280C7EBC598A4690D7F39CA23174y9W5P" TargetMode = "External"/>
	<Relationship Id="rId764" Type="http://schemas.openxmlformats.org/officeDocument/2006/relationships/hyperlink" Target="consultantplus://offline/ref=A01FA3ABE811BC04C8F149CAB6A1FE8DA065D1D02E45F77192D685847F15DEB2E32067198CD1B7710331C3E3687E5D38yEWAP" TargetMode = "External"/>
	<Relationship Id="rId765" Type="http://schemas.openxmlformats.org/officeDocument/2006/relationships/hyperlink" Target="consultantplus://offline/ref=A01FA3ABE811BC04C8F149CAB6A1FE8DA065D1D02247FB7196D685847F15DEB2E320670B8C89BB73072FC3E27D280C7EBC598A4690D7F39CA23174y9W5P" TargetMode = "External"/>
	<Relationship Id="rId766" Type="http://schemas.openxmlformats.org/officeDocument/2006/relationships/hyperlink" Target="consultantplus://offline/ref=A01FA3ABE811BC04C8F149CAB6A1FE8DA065D1D02C4DFF7593D685847F15DEB2E32067198CD1B7710331C3E3687E5D38yEWAP" TargetMode = "External"/>
	<Relationship Id="rId767" Type="http://schemas.openxmlformats.org/officeDocument/2006/relationships/hyperlink" Target="consultantplus://offline/ref=A01FA3ABE811BC04C8F157C7A0CDA580AD6D89DE2E46F522CE89DED9281CD4E5A46F3E49C884BA750E2496B332295038ED4A894390D4F280yAW3P" TargetMode = "External"/>
	<Relationship Id="rId768" Type="http://schemas.openxmlformats.org/officeDocument/2006/relationships/hyperlink" Target="consultantplus://offline/ref=A01FA3ABE811BC04C8F157C7A0CDA580AA6D8CD42243F522CE89DED9281CD4E5A46F3E49C884BA730E2496B332295038ED4A894390D4F280yAW3P" TargetMode = "External"/>
	<Relationship Id="rId769" Type="http://schemas.openxmlformats.org/officeDocument/2006/relationships/hyperlink" Target="consultantplus://offline/ref=A01FA3ABE811BC04C8F149CAB6A1FE8DA065D1D0294CFC7093D685847F15DEB2E320670B8C89BB73072FC3E27D280C7EBC598A4690D7F39CA23174y9W5P" TargetMode = "External"/>
	<Relationship Id="rId770" Type="http://schemas.openxmlformats.org/officeDocument/2006/relationships/hyperlink" Target="consultantplus://offline/ref=A01FA3ABE811BC04C8F149CAB6A1FE8DA065D1D02E43FE7D96D685847F15DEB2E32067198CD1B7710331C3E3687E5D38yEWAP" TargetMode = "External"/>
	<Relationship Id="rId771" Type="http://schemas.openxmlformats.org/officeDocument/2006/relationships/hyperlink" Target="consultantplus://offline/ref=A01FA3ABE811BC04C8F157C7A0CDA580AA6E8ADF2245F522CE89DED9281CD4E5A46F3E49C884BA72072496B332295038ED4A894390D4F280yAW3P" TargetMode = "External"/>
	<Relationship Id="rId772" Type="http://schemas.openxmlformats.org/officeDocument/2006/relationships/hyperlink" Target="consultantplus://offline/ref=A01FA3ABE811BC04C8F149CAB6A1FE8DA065D1D02E44F97291D685847F15DEB2E32067198CD1B7710331C3E3687E5D38yEWAP" TargetMode = "External"/>
	<Relationship Id="rId773" Type="http://schemas.openxmlformats.org/officeDocument/2006/relationships/hyperlink" Target="consultantplus://offline/ref=A01FA3ABE811BC04C8F149CAB6A1FE8DA065D1D02E44F97291D685847F15DEB2E320670B8C89BB73072FC1E67D280C7EBC598A4690D7F39CA23174y9W5P" TargetMode = "External"/>
	<Relationship Id="rId774" Type="http://schemas.openxmlformats.org/officeDocument/2006/relationships/hyperlink" Target="consultantplus://offline/ref=A01FA3ABE811BC04C8F149CAB6A1FE8DA065D1D02E44F97291D685847F15DEB2E320670B8C89BB73072CC6EB7D280C7EBC598A4690D7F39CA23174y9W5P" TargetMode = "External"/>
	<Relationship Id="rId775" Type="http://schemas.openxmlformats.org/officeDocument/2006/relationships/hyperlink" Target="consultantplus://offline/ref=A01FA3ABE811BC04C8F149CAB6A1FE8DA065D1D02E44F97291D685847F15DEB2E320670B8C89BB73072BC3E17D280C7EBC598A4690D7F39CA23174y9W5P" TargetMode = "External"/>
	<Relationship Id="rId776" Type="http://schemas.openxmlformats.org/officeDocument/2006/relationships/hyperlink" Target="consultantplus://offline/ref=A01FA3ABE811BC04C8F149CAB6A1FE8DA065D1D02E44FA779BD685847F15DEB2E32067198CD1B7710331C3E3687E5D38yEWAP" TargetMode = "External"/>
	<Relationship Id="rId777" Type="http://schemas.openxmlformats.org/officeDocument/2006/relationships/hyperlink" Target="consultantplus://offline/ref=A01FA3ABE811BC04C8F149CAB6A1FE8DA065D1D02E44FA779BD685847F15DEB2E320670B8C89BB73072FC0E37D280C7EBC598A4690D7F39CA23174y9W5P" TargetMode = "External"/>
	<Relationship Id="rId778" Type="http://schemas.openxmlformats.org/officeDocument/2006/relationships/hyperlink" Target="consultantplus://offline/ref=A01FA3ABE811BC04C8F157C7A0CDA580AA6E8ADF2245F522CE89DED9281CD4E5A46F3E49C884BA72072496B332295038ED4A894390D4F280yAW3P" TargetMode = "External"/>
	<Relationship Id="rId779" Type="http://schemas.openxmlformats.org/officeDocument/2006/relationships/hyperlink" Target="consultantplus://offline/ref=A01FA3ABE811BC04C8F149CAB6A1FE8DA065D1D02943FF7693D685847F15DEB2E32067198CD1B7710331C3E3687E5D38yEWAP" TargetMode = "External"/>
	<Relationship Id="rId780" Type="http://schemas.openxmlformats.org/officeDocument/2006/relationships/hyperlink" Target="consultantplus://offline/ref=A01FA3ABE811BC04C8F149CAB6A1FE8DA065D1D02943FF7693D685847F15DEB2E320670B8C89BB73072FC0E67D280C7EBC598A4690D7F39CA23174y9W5P" TargetMode = "External"/>
	<Relationship Id="rId781" Type="http://schemas.openxmlformats.org/officeDocument/2006/relationships/hyperlink" Target="consultantplus://offline/ref=A01FA3ABE811BC04C8F149CAB6A1FE8DA065D1D02943FF7693D685847F15DEB2E320670B8C89BB73072FCBE37D280C7EBC598A4690D7F39CA23174y9W5P" TargetMode = "External"/>
	<Relationship Id="rId782" Type="http://schemas.openxmlformats.org/officeDocument/2006/relationships/hyperlink" Target="consultantplus://offline/ref=A01FA3ABE811BC04C8F149CAB6A1FE8DA065D1D0284CFB7797D685847F15DEB2E32067198CD1B7710331C3E3687E5D38yEWAP" TargetMode = "External"/>
	<Relationship Id="rId783" Type="http://schemas.openxmlformats.org/officeDocument/2006/relationships/hyperlink" Target="consultantplus://offline/ref=A01FA3ABE811BC04C8F149CAB6A1FE8DA065D1D0284CFB7797D685847F15DEB2E320670B8C89BB73072FC3E47D280C7EBC598A4690D7F39CA23174y9W5P" TargetMode = "External"/>
	<Relationship Id="rId784" Type="http://schemas.openxmlformats.org/officeDocument/2006/relationships/hyperlink" Target="consultantplus://offline/ref=A01FA3ABE811BC04C8F149CAB6A1FE8DA065D1D0284CFB7797D685847F15DEB2E320670B8C89BB73072FC3EB7D280C7EBC598A4690D7F39CA23174y9W5P" TargetMode = "External"/>
	<Relationship Id="rId785" Type="http://schemas.openxmlformats.org/officeDocument/2006/relationships/hyperlink" Target="consultantplus://offline/ref=A01FA3ABE811BC04C8F149CAB6A1FE8DA065D1D0284CFB7797D685847F15DEB2E320670B8C89BB73072FC0E07D280C7EBC598A4690D7F39CA23174y9W5P" TargetMode = "External"/>
	<Relationship Id="rId786" Type="http://schemas.openxmlformats.org/officeDocument/2006/relationships/hyperlink" Target="consultantplus://offline/ref=A01FA3ABE811BC04C8F149CAB6A1FE8DA065D1D02B47FB7091D685847F15DEB2E32067198CD1B7710331C3E3687E5D38yEWAP" TargetMode = "External"/>
	<Relationship Id="rId787" Type="http://schemas.openxmlformats.org/officeDocument/2006/relationships/hyperlink" Target="consultantplus://offline/ref=A01FA3ABE811BC04C8F149CAB6A1FE8DA065D1D02B47FB7091D685847F15DEB2E320670B8C89BB73072FC0E37D280C7EBC598A4690D7F39CA23174y9W5P" TargetMode = "External"/>
	<Relationship Id="rId788" Type="http://schemas.openxmlformats.org/officeDocument/2006/relationships/hyperlink" Target="consultantplus://offline/ref=A01FA3ABE811BC04C8F149CAB6A1FE8DA065D1D02E42F67794D685847F15DEB2E32067198CD1B7710331C3E3687E5D38yEWAP" TargetMode = "External"/>
	<Relationship Id="rId789" Type="http://schemas.openxmlformats.org/officeDocument/2006/relationships/hyperlink" Target="consultantplus://offline/ref=A01FA3ABE811BC04C8F149CAB6A1FE8DA065D1D02E44FA779AD685847F15DEB2E32067198CD1B7710331C3E3687E5D38yEWAP" TargetMode = "External"/>
	<Relationship Id="rId790" Type="http://schemas.openxmlformats.org/officeDocument/2006/relationships/hyperlink" Target="consultantplus://offline/ref=A01FA3ABE811BC04C8F157C7A0CDA580AB6688D9234DF522CE89DED9281CD4E5A46F3E49C884BA730E2496B332295038ED4A894390D4F280yAW3P" TargetMode = "External"/>
	<Relationship Id="rId791" Type="http://schemas.openxmlformats.org/officeDocument/2006/relationships/hyperlink" Target="consultantplus://offline/ref=A01FA3ABE811BC04C8F149CAB6A1FE8DA065D1D02E44FA779AD685847F15DEB2E320670B8C89BB73072FC6E47D280C7EBC598A4690D7F39CA23174y9W5P" TargetMode = "External"/>
	<Relationship Id="rId792" Type="http://schemas.openxmlformats.org/officeDocument/2006/relationships/hyperlink" Target="consultantplus://offline/ref=A01FA3ABE811BC04C8F157C7A0CDA580AD6D89DE2E46F522CE89DED9281CD4E5B66F6645CA80A4720631C0E274y7WFP" TargetMode = "External"/>
	<Relationship Id="rId793" Type="http://schemas.openxmlformats.org/officeDocument/2006/relationships/hyperlink" Target="consultantplus://offline/ref=A01FA3ABE811BC04C8F149CAB6A1FE8DA065D1D02243F7729AD685847F15DEB2E32067198CD1B7710331C3E3687E5D38yEWAP" TargetMode = "External"/>
	<Relationship Id="rId794" Type="http://schemas.openxmlformats.org/officeDocument/2006/relationships/hyperlink" Target="consultantplus://offline/ref=A01FA3ABE811BC04C8F149CAB6A1FE8DA065D1D02243F7729AD685847F15DEB2E320670B8C89BB73072FCBE37D280C7EBC598A4690D7F39CA23174y9W5P" TargetMode = "External"/>
	<Relationship Id="rId795" Type="http://schemas.openxmlformats.org/officeDocument/2006/relationships/hyperlink" Target="consultantplus://offline/ref=A01FA3ABE811BC04C8F149CAB6A1FE8DA065D1D02247FE7790D685847F15DEB2E320670B8C89BB73072EC7E17D280C7EBC598A4690D7F39CA23174y9W5P" TargetMode = "External"/>
	<Relationship Id="rId796" Type="http://schemas.openxmlformats.org/officeDocument/2006/relationships/hyperlink" Target="consultantplus://offline/ref=A01FA3ABE811BC04C8F149CAB6A1FE8DA065D1D0224CF97597D685847F15DEB2E320670B8C89BB73062DC6E47D280C7EBC598A4690D7F39CA23174y9W5P" TargetMode = "External"/>
	<Relationship Id="rId797" Type="http://schemas.openxmlformats.org/officeDocument/2006/relationships/hyperlink" Target="consultantplus://offline/ref=A01FA3ABE811BC04C8F149CAB6A1FE8DA065D1D02E4CF873998B8F8C2619DCB5EC7F700CC585BA73072EC2E9222D196FE4568C5C8FD7EC80A033y7W5P" TargetMode = "External"/>
	<Relationship Id="rId798" Type="http://schemas.openxmlformats.org/officeDocument/2006/relationships/hyperlink" Target="consultantplus://offline/ref=A01FA3ABE811BC04C8F157C7A0CDA580AD6A89DD2C45F522CE89DED9281CD4E5A46F3E49C884BB74042496B332295038ED4A894390D4F280yAW3P" TargetMode = "External"/>
	<Relationship Id="rId799" Type="http://schemas.openxmlformats.org/officeDocument/2006/relationships/hyperlink" Target="consultantplus://offline/ref=A01FA3ABE811BC04C8F149CAB6A1FE8DA065D1D02244FE729BD685847F15DEB2E32067198CD1B7710331C3E3687E5D38yEWAP" TargetMode = "External"/>
	<Relationship Id="rId800" Type="http://schemas.openxmlformats.org/officeDocument/2006/relationships/hyperlink" Target="consultantplus://offline/ref=A01FA3ABE811BC04C8F157C7A0CDA580AD6A89DD2C45F522CE89DED9281CD4E5B66F6645CA80A4720631C0E274y7WFP" TargetMode = "External"/>
	<Relationship Id="rId801" Type="http://schemas.openxmlformats.org/officeDocument/2006/relationships/hyperlink" Target="consultantplus://offline/ref=A01FA3ABE811BC04C8F149CAB6A1FE8DA065D1D02243F7729AD685847F15DEB2E32067198CD1B7710331C3E3687E5D38yEWAP" TargetMode = "External"/>
	<Relationship Id="rId802" Type="http://schemas.openxmlformats.org/officeDocument/2006/relationships/hyperlink" Target="consultantplus://offline/ref=A01FA3ABE811BC04C8F149CAB6A1FE8DA065D1D02244FE729BD685847F15DEB2E320670B8C89BB73072EC7EA7D280C7EBC598A4690D7F39CA23174y9W5P" TargetMode = "External"/>
	<Relationship Id="rId803" Type="http://schemas.openxmlformats.org/officeDocument/2006/relationships/hyperlink" Target="consultantplus://offline/ref=A01FA3ABE811BC04C8F149CAB6A1FE8DA065D1D02D44FD7390D685847F15DEB2E32067198CD1B7710331C3E3687E5D38yEWAP" TargetMode = "External"/>
	<Relationship Id="rId804" Type="http://schemas.openxmlformats.org/officeDocument/2006/relationships/hyperlink" Target="consultantplus://offline/ref=A01FA3ABE811BC04C8F157C7A0CDA580AD6A89DD2C45F522CE89DED9281CD4E5A46F3E49C884BB730E2496B332295038ED4A894390D4F280yAW3P" TargetMode = "External"/>
	<Relationship Id="rId805" Type="http://schemas.openxmlformats.org/officeDocument/2006/relationships/hyperlink" Target="consultantplus://offline/ref=A01FA3ABE811BC04C8F157C7A0CDA580AD6A89DD2C45F522CE89DED9281CD4E5A46F3E49C884BB76052496B332295038ED4A894390D4F280yAW3P" TargetMode = "External"/>
	<Relationship Id="rId806" Type="http://schemas.openxmlformats.org/officeDocument/2006/relationships/hyperlink" Target="consultantplus://offline/ref=A01FA3ABE811BC04C8F157C7A0CDA580AD6A89DD2C45F522CE89DED9281CD4E5A46F3E49C884BB730E2496B332295038ED4A894390D4F280yAW3P" TargetMode = "External"/>
	<Relationship Id="rId807" Type="http://schemas.openxmlformats.org/officeDocument/2006/relationships/hyperlink" Target="consultantplus://offline/ref=A01FA3ABE811BC04C8F157C7A0CDA580AD6A89DD2C45F522CE89DED9281CD4E5A46F3E49C884BB76052496B332295038ED4A894390D4F280yAW3P" TargetMode = "External"/>
	<Relationship Id="rId808" Type="http://schemas.openxmlformats.org/officeDocument/2006/relationships/hyperlink" Target="consultantplus://offline/ref=A01FA3ABE811BC04C8F149CAB6A1FE8DA065D1D02940F87D97D685847F15DEB2E32067198CD1B7710331C3E3687E5D38yEWAP" TargetMode = "External"/>
	<Relationship Id="rId809" Type="http://schemas.openxmlformats.org/officeDocument/2006/relationships/hyperlink" Target="consultantplus://offline/ref=A01FA3ABE811BC04C8F149CAB6A1FE8DA065D1D02940F87D97D685847F15DEB2E320670B8C89BB73072FC0E77D280C7EBC598A4690D7F39CA23174y9W5P" TargetMode = "External"/>
	<Relationship Id="rId810" Type="http://schemas.openxmlformats.org/officeDocument/2006/relationships/hyperlink" Target="consultantplus://offline/ref=A01FA3ABE811BC04C8F149CAB6A1FE8DA065D1D02341F67191D685847F15DEB2E32067198CD1B7710331C3E3687E5D38yEWAP" TargetMode = "External"/>
	<Relationship Id="rId811" Type="http://schemas.openxmlformats.org/officeDocument/2006/relationships/hyperlink" Target="consultantplus://offline/ref=A01FA3ABE811BC04C8F149CAB6A1FE8DA065D1D02341F67191D685847F15DEB2E32067198CD1B7710331C3E3687E5D38yEWAP" TargetMode = "External"/>
	<Relationship Id="rId812" Type="http://schemas.openxmlformats.org/officeDocument/2006/relationships/hyperlink" Target="consultantplus://offline/ref=A01FA3ABE811BC04C8F149CAB6A1FE8DA065D1D02341F67191D685847F15DEB2E320670B8C89BB73072FC3E67D280C7EBC598A4690D7F39CA23174y9W5P" TargetMode = "External"/>
	<Relationship Id="rId813" Type="http://schemas.openxmlformats.org/officeDocument/2006/relationships/hyperlink" Target="consultantplus://offline/ref=A01FA3ABE811BC04C8F149CAB6A1FE8DA065D1D02341F67191D685847F15DEB2E320670B8C89BB73072FC4EB7D280C7EBC598A4690D7F39CA23174y9W5P" TargetMode = "External"/>
	<Relationship Id="rId814" Type="http://schemas.openxmlformats.org/officeDocument/2006/relationships/hyperlink" Target="consultantplus://offline/ref=A01FA3ABE811BC04C8F149CAB6A1FE8DA065D1D02341F67191D685847F15DEB2E320670B8C89BB73072FCBE77D280C7EBC598A4690D7F39CA23174y9W5P" TargetMode = "External"/>
	<Relationship Id="rId815" Type="http://schemas.openxmlformats.org/officeDocument/2006/relationships/hyperlink" Target="consultantplus://offline/ref=A01FA3ABE811BC04C8F149CAB6A1FE8DA065D1D02947F67493D685847F15DEB2E32067198CD1B7710331C3E3687E5D38yEWAP" TargetMode = "External"/>
	<Relationship Id="rId816" Type="http://schemas.openxmlformats.org/officeDocument/2006/relationships/hyperlink" Target="consultantplus://offline/ref=A01FA3ABE811BC04C8F157C7A0CDA580AD6A89DD2C45F522CE89DED9281CD4E5B66F6645CA80A4720631C0E274y7WFP" TargetMode = "External"/>
	<Relationship Id="rId817" Type="http://schemas.openxmlformats.org/officeDocument/2006/relationships/hyperlink" Target="consultantplus://offline/ref=A01FA3ABE811BC04C8F157C7A0CDA580AD6A89DD2C4DF522CE89DED9281CD4E5B66F6645CA80A4720631C0E274y7WFP" TargetMode = "External"/>
	<Relationship Id="rId818" Type="http://schemas.openxmlformats.org/officeDocument/2006/relationships/hyperlink" Target="consultantplus://offline/ref=A01FA3ABE811BC04C8F149CAB6A1FE8DA065D1D02F4DFE7294D685847F15DEB2E32067198CD1B7710331C3E3687E5D38yEWAP" TargetMode = "External"/>
	<Relationship Id="rId819" Type="http://schemas.openxmlformats.org/officeDocument/2006/relationships/hyperlink" Target="consultantplus://offline/ref=A01FA3ABE811BC04C8F149CAB6A1FE8DA065D1D02F4DFE7294D685847F15DEB2E320670B8C89BB73052CC7EA7D280C7EBC598A4690D7F39CA23174y9W5P" TargetMode = "External"/>
	<Relationship Id="rId820" Type="http://schemas.openxmlformats.org/officeDocument/2006/relationships/hyperlink" Target="consultantplus://offline/ref=A01FA3ABE811BC04C8F149CAB6A1FE8DA065D1D02246F87790D685847F15DEB2E32067198CD1B7710331C3E3687E5D38yEWAP" TargetMode = "External"/>
	<Relationship Id="rId821" Type="http://schemas.openxmlformats.org/officeDocument/2006/relationships/hyperlink" Target="consultantplus://offline/ref=A01FA3ABE811BC04C8F149CAB6A1FE8DA065D1D02246F87790D685847F15DEB2E320670B8C89BB73072FC3E57D280C7EBC598A4690D7F39CA23174y9W5P" TargetMode = "External"/>
	<Relationship Id="rId822" Type="http://schemas.openxmlformats.org/officeDocument/2006/relationships/hyperlink" Target="consultantplus://offline/ref=A01FA3ABE811BC04C8F149CAB6A1FE8DA065D1D02246F87790D685847F15DEB2E320670B8C89BB73072EC5EB7D280C7EBC598A4690D7F39CA23174y9W5P" TargetMode = "External"/>
	<Relationship Id="rId823" Type="http://schemas.openxmlformats.org/officeDocument/2006/relationships/hyperlink" Target="consultantplus://offline/ref=A01FA3ABE811BC04C8F149CAB6A1FE8DA065D1D02C47F6739BD685847F15DEB2E32067198CD1B7710331C3E3687E5D38yEWAP" TargetMode = "External"/>
	<Relationship Id="rId824" Type="http://schemas.openxmlformats.org/officeDocument/2006/relationships/hyperlink" Target="consultantplus://offline/ref=A01FA3ABE811BC04C8F149CAB6A1FE8DA065D1D02C47F6739BD685847F15DEB2E32067198CD1B7710331C3E3687E5D38yEWAP" TargetMode = "External"/>
	<Relationship Id="rId825" Type="http://schemas.openxmlformats.org/officeDocument/2006/relationships/hyperlink" Target="consultantplus://offline/ref=A01FA3ABE811BC04C8F149CAB6A1FE8DA065D1D02346F87593D685847F15DEB2E32067198CD1B7710331C3E3687E5D38yEWAP" TargetMode = "External"/>
	<Relationship Id="rId826" Type="http://schemas.openxmlformats.org/officeDocument/2006/relationships/hyperlink" Target="consultantplus://offline/ref=A01FA3ABE811BC04C8F149CAB6A1FE8DA065D1D02346F87593D685847F15DEB2E32067198CD1B7710331C3E3687E5D38yEWAP" TargetMode = "External"/>
	<Relationship Id="rId827" Type="http://schemas.openxmlformats.org/officeDocument/2006/relationships/hyperlink" Target="consultantplus://offline/ref=A01FA3ABE811BC04C8F149CAB6A1FE8DA065D1D02346F87593D685847F15DEB2E320670B8C89BB73072CC4EB7D280C7EBC598A4690D7F39CA23174y9W5P" TargetMode = "External"/>
	<Relationship Id="rId828" Type="http://schemas.openxmlformats.org/officeDocument/2006/relationships/hyperlink" Target="consultantplus://offline/ref=A01FA3ABE811BC04C8F149CAB6A1FE8DA065D1D02346F87593D685847F15DEB2E320670B8C89BB730726C7E37D280C7EBC598A4690D7F39CA23174y9W5P" TargetMode = "External"/>
	<Relationship Id="rId829" Type="http://schemas.openxmlformats.org/officeDocument/2006/relationships/hyperlink" Target="consultantplus://offline/ref=A01FA3ABE811BC04C8F149CAB6A1FE8DA065D1D02346F87593D685847F15DEB2E320670B8C89BB73072CC4E77D280C7EBC598A4690D7F39CA23174y9W5P" TargetMode = "External"/>
	<Relationship Id="rId830" Type="http://schemas.openxmlformats.org/officeDocument/2006/relationships/hyperlink" Target="consultantplus://offline/ref=A01FA3ABE811BC04C8F149CAB6A1FE8DA065D1D02D40F97393D685847F15DEB2E32067198CD1B7710331C3E3687E5D38yEWAP" TargetMode = "External"/>
	<Relationship Id="rId831" Type="http://schemas.openxmlformats.org/officeDocument/2006/relationships/hyperlink" Target="consultantplus://offline/ref=A01FA3ABE811BC04C8F149CAB6A1FE8DA065D1D0224CF97597D685847F15DEB2E320670B8C89BB73062DC6E47D280C7EBC598A4690D7F39CA23174y9W5P" TargetMode = "External"/>
	<Relationship Id="rId832" Type="http://schemas.openxmlformats.org/officeDocument/2006/relationships/hyperlink" Target="consultantplus://offline/ref=A01FA3ABE811BC04C8F149CAB6A1FE8DA065D1D0224CF97597D685847F15DEB2E320670B8C89BB73062DC6E47D280C7EBC598A4690D7F39CA23174y9W5P" TargetMode = "External"/>
	<Relationship Id="rId833" Type="http://schemas.openxmlformats.org/officeDocument/2006/relationships/hyperlink" Target="consultantplus://offline/ref=A01FA3ABE811BC04C8F149CAB6A1FE8DA065D1D02C41F77C96D685847F15DEB2E32067198CD1B7710331C3E3687E5D38yEWAP" TargetMode = "External"/>
	<Relationship Id="rId834" Type="http://schemas.openxmlformats.org/officeDocument/2006/relationships/hyperlink" Target="consultantplus://offline/ref=A01FA3ABE811BC04C8F149CAB6A1FE8DA065D1D02C41F77C96D685847F15DEB2E32067198CD1B7710331C3E3687E5D38yEWAP" TargetMode = "External"/>
	<Relationship Id="rId835" Type="http://schemas.openxmlformats.org/officeDocument/2006/relationships/hyperlink" Target="consultantplus://offline/ref=A01FA3ABE811BC04C8F149CAB6A1FE8DA065D1D02C41F77C96D685847F15DEB2E320670B8C89BB73072FC3E17D280C7EBC598A4690D7F39CA23174y9W5P" TargetMode = "External"/>
	<Relationship Id="rId836" Type="http://schemas.openxmlformats.org/officeDocument/2006/relationships/hyperlink" Target="consultantplus://offline/ref=A01FA3ABE811BC04C8F149CAB6A1FE8DA065D1D02C41F77C96D685847F15DEB2E320670B8C89BB73072EC2E07D280C7EBC598A4690D7F39CA23174y9W5P" TargetMode = "External"/>
	<Relationship Id="rId837" Type="http://schemas.openxmlformats.org/officeDocument/2006/relationships/hyperlink" Target="consultantplus://offline/ref=A01FA3ABE811BC04C8F149CAB6A1FE8DA065D1D02344FC7494D685847F15DEB2E32067198CD1B7710331C3E3687E5D38yEWAP" TargetMode = "External"/>
	<Relationship Id="rId838" Type="http://schemas.openxmlformats.org/officeDocument/2006/relationships/hyperlink" Target="consultantplus://offline/ref=A01FA3ABE811BC04C8F149CAB6A1FE8DA065D1D02344FC7494D685847F15DEB2E32067198CD1B7710331C3E3687E5D38yEWAP" TargetMode = "External"/>
	<Relationship Id="rId839" Type="http://schemas.openxmlformats.org/officeDocument/2006/relationships/hyperlink" Target="consultantplus://offline/ref=A01FA3ABE811BC04C8F149CAB6A1FE8DA065D1D02344FC7494D685847F15DEB2E320670B8C89BB73072FC3E57D280C7EBC598A4690D7F39CA23174y9W5P" TargetMode = "External"/>
	<Relationship Id="rId840" Type="http://schemas.openxmlformats.org/officeDocument/2006/relationships/hyperlink" Target="consultantplus://offline/ref=A01FA3ABE811BC04C8F149CAB6A1FE8DA065D1D02344FC7494D685847F15DEB2E320670B8C89BB73072FC0E47D280C7EBC598A4690D7F39CA23174y9W5P" TargetMode = "External"/>
	<Relationship Id="rId841" Type="http://schemas.openxmlformats.org/officeDocument/2006/relationships/hyperlink" Target="consultantplus://offline/ref=A01FA3ABE811BC04C8F149CAB6A1FE8DA065D1D02247FE7790D685847F15DEB2E32067198CD1B7710331C3E3687E5D38yEWAP" TargetMode = "External"/>
	<Relationship Id="rId842" Type="http://schemas.openxmlformats.org/officeDocument/2006/relationships/hyperlink" Target="consultantplus://offline/ref=A01FA3ABE811BC04C8F149CAB6A1FE8DA065D1D02247FE7790D685847F15DEB2E320670B8C89BB73072CC6E77D280C7EBC598A4690D7F39CA23174y9W5P" TargetMode = "External"/>
	<Relationship Id="rId843" Type="http://schemas.openxmlformats.org/officeDocument/2006/relationships/hyperlink" Target="consultantplus://offline/ref=A01FA3ABE811BC04C8F149CAB6A1FE8DA065D1D02247FE7592D685847F15DEB2E32067198CD1B7710331C3E3687E5D38yEWAP" TargetMode = "External"/>
	<Relationship Id="rId844" Type="http://schemas.openxmlformats.org/officeDocument/2006/relationships/hyperlink" Target="consultantplus://offline/ref=A01FA3ABE811BC04C8F149CAB6A1FE8DA065D1D02247FE7592D685847F15DEB2E320670B8C89BB73072FC3E37D280C7EBC598A4690D7F39CA23174y9W5P" TargetMode = "External"/>
	<Relationship Id="rId845" Type="http://schemas.openxmlformats.org/officeDocument/2006/relationships/hyperlink" Target="consultantplus://offline/ref=A01FA3ABE811BC04C8F149CAB6A1FE8DA065D1D02B40FF7792D685847F15DEB2E32067198CD1B7710331C3E3687E5D38yEWAP" TargetMode = "External"/>
	<Relationship Id="rId846" Type="http://schemas.openxmlformats.org/officeDocument/2006/relationships/hyperlink" Target="consultantplus://offline/ref=A01FA3ABE811BC04C8F149CAB6A1FE8DA065D1D02B40FF7792D685847F15DEB2E32067198CD1B7710331C3E3687E5D38yEWAP" TargetMode = "External"/>
	<Relationship Id="rId847" Type="http://schemas.openxmlformats.org/officeDocument/2006/relationships/hyperlink" Target="consultantplus://offline/ref=A01FA3ABE811BC04C8F149CAB6A1FE8DA065D1D02B40FF7792D685847F15DEB2E320670B8C89BB73072FC3E17D280C7EBC598A4690D7F39CA23174y9W5P" TargetMode = "External"/>
	<Relationship Id="rId848" Type="http://schemas.openxmlformats.org/officeDocument/2006/relationships/hyperlink" Target="consultantplus://offline/ref=A01FA3ABE811BC04C8F149CAB6A1FE8DA065D1D02B40FF7792D685847F15DEB2E320670B8C89BB73072FC7E77D280C7EBC598A4690D7F39CA23174y9W5P" TargetMode = "External"/>
	<Relationship Id="rId849" Type="http://schemas.openxmlformats.org/officeDocument/2006/relationships/hyperlink" Target="consultantplus://offline/ref=A01FA3ABE811BC04C8F149CAB6A1FE8DA065D1D02244FE7290D685847F15DEB2E32067198CD1B7710331C3E3687E5D38yEWAP" TargetMode = "External"/>
	<Relationship Id="rId850" Type="http://schemas.openxmlformats.org/officeDocument/2006/relationships/hyperlink" Target="consultantplus://offline/ref=A01FA3ABE811BC04C8F149CAB6A1FE8DA065D1D02D40FE749AD685847F15DEB2E32067198CD1B7710331C3E3687E5D38yEWAP" TargetMode = "External"/>
	<Relationship Id="rId851" Type="http://schemas.openxmlformats.org/officeDocument/2006/relationships/hyperlink" Target="consultantplus://offline/ref=A01FA3ABE811BC04C8F149CAB6A1FE8DA065D1D02D40FE749AD685847F15DEB2E320670B8C89BB73072BC1EB7D280C7EBC598A4690D7F39CA23174y9W5P" TargetMode = "External"/>
	<Relationship Id="rId852" Type="http://schemas.openxmlformats.org/officeDocument/2006/relationships/hyperlink" Target="consultantplus://offline/ref=A01FA3ABE811BC04C8F149CAB6A1FE8DA065D1D02245F77092D685847F15DEB2E32067198CD1B7710331C3E3687E5D38yEWAP" TargetMode = "External"/>
	<Relationship Id="rId853" Type="http://schemas.openxmlformats.org/officeDocument/2006/relationships/hyperlink" Target="consultantplus://offline/ref=A01FA3ABE811BC04C8F157C7A0CDA580AD6B8CDE2B43F522CE89DED9281CD4E5A46F3E49CB80B127566B97EF7478433BE84A8A428CyDW5P" TargetMode = "External"/>
	<Relationship Id="rId854" Type="http://schemas.openxmlformats.org/officeDocument/2006/relationships/hyperlink" Target="consultantplus://offline/ref=A01FA3ABE811BC04C8F149CAB6A1FE8DA065D1D02244FE7290D685847F15DEB2E320670B8C89BB73072FC3EA7D280C7EBC598A4690D7F39CA23174y9W5P" TargetMode = "External"/>
	<Relationship Id="rId855" Type="http://schemas.openxmlformats.org/officeDocument/2006/relationships/hyperlink" Target="consultantplus://offline/ref=A01FA3ABE811BC04C8F149CAB6A1FE8DA065D1D02942F87D9BD685847F15DEB2E32067198CD1B7710331C3E3687E5D38yEWAP" TargetMode = "External"/>
	<Relationship Id="rId856" Type="http://schemas.openxmlformats.org/officeDocument/2006/relationships/hyperlink" Target="consultantplus://offline/ref=A01FA3ABE811BC04C8F149CAB6A1FE8DA065D1D02942F87D9BD685847F15DEB2E320670B8C89BB73072FC3EA7D280C7EBC598A4690D7F39CA23174y9W5P" TargetMode = "External"/>
	<Relationship Id="rId857" Type="http://schemas.openxmlformats.org/officeDocument/2006/relationships/hyperlink" Target="consultantplus://offline/ref=A01FA3ABE811BC04C8F149CAB6A1FE8DA065D1D02243F97397D685847F15DEB2E320670B8C89BB72002CC4E27D280C7EBC598A4690D7F39CA23174y9W5P" TargetMode = "External"/>
	<Relationship Id="rId858" Type="http://schemas.openxmlformats.org/officeDocument/2006/relationships/hyperlink" Target="consultantplus://offline/ref=A01FA3ABE811BC04C8F149CAB6A1FE8DA065D1D02D42FC7293D685847F15DEB2E320670B8C89BB73072FC3E27D280C7EBC598A4690D7F39CA23174y9W5P" TargetMode = "External"/>
	<Relationship Id="rId859" Type="http://schemas.openxmlformats.org/officeDocument/2006/relationships/hyperlink" Target="consultantplus://offline/ref=A01FA3ABE811BC04C8F149CAB6A1FE8DA065D1D02D4CF77491D685847F15DEB2E320670B8C89BB73072FC3E27D280C7EBC598A4690D7F39CA23174y9W5P" TargetMode = "External"/>
	<Relationship Id="rId860" Type="http://schemas.openxmlformats.org/officeDocument/2006/relationships/hyperlink" Target="consultantplus://offline/ref=A01FA3ABE811BC04C8F149CAB6A1FE8DA065D1D02241FE7593D685847F15DEB2E320670B8C89BB730E2BCBE27D280C7EBC598A4690D7F39CA23174y9W5P" TargetMode = "External"/>
	<Relationship Id="rId861" Type="http://schemas.openxmlformats.org/officeDocument/2006/relationships/hyperlink" Target="consultantplus://offline/ref=A01FA3ABE811BC04C8F149CAB6A1FE8DA065D1D02243F97397D685847F15DEB2E320670B8C89BB72002BC3EB7D280C7EBC598A4690D7F39CA23174y9W5P" TargetMode = "External"/>
	<Relationship Id="rId862" Type="http://schemas.openxmlformats.org/officeDocument/2006/relationships/hyperlink" Target="consultantplus://offline/ref=A01FA3ABE811BC04C8F157C7A0CDA580A8678AD52A42F522CE89DED9281CD4E5B66F6645CA80A4720631C0E274y7WFP" TargetMode = "External"/>
	<Relationship Id="rId863" Type="http://schemas.openxmlformats.org/officeDocument/2006/relationships/hyperlink" Target="consultantplus://offline/ref=A01FA3ABE811BC04C8F157C7A0CDA580AA6B87DB2246F522CE89DED9281CD4E5B66F6645CA80A4720631C0E274y7WFP" TargetMode = "External"/>
	<Relationship Id="rId864" Type="http://schemas.openxmlformats.org/officeDocument/2006/relationships/hyperlink" Target="consultantplus://offline/ref=A01FA3ABE811BC04C8F157C7A0CDA580AD6A86DB2D44F522CE89DED9281CD4E5A46F3E49C887B37B072496B332295038ED4A894390D4F280yAW3P" TargetMode = "External"/>
	<Relationship Id="rId865" Type="http://schemas.openxmlformats.org/officeDocument/2006/relationships/hyperlink" Target="consultantplus://offline/ref=A01FA3ABE811BC04C8F157C7A0CDA580AA6D8DDA2942F522CE89DED9281CD4E5A46F3E49C884BA76002496B332295038ED4A894390D4F280yAW3P" TargetMode = "External"/>
	<Relationship Id="rId866" Type="http://schemas.openxmlformats.org/officeDocument/2006/relationships/hyperlink" Target="consultantplus://offline/ref=A01FA3ABE811BC04C8F157C7A0CDA580AD6A8EDC2C41F522CE89DED9281CD4E5B66F6645CA80A4720631C0E274y7WFP" TargetMode = "External"/>
	<Relationship Id="rId867" Type="http://schemas.openxmlformats.org/officeDocument/2006/relationships/hyperlink" Target="consultantplus://offline/ref=A01FA3ABE811BC04C8F157C7A0CDA580A86C86DE2E41F522CE89DED9281CD4E5B66F6645CA80A4720631C0E274y7WFP" TargetMode = "External"/>
	<Relationship Id="rId868" Type="http://schemas.openxmlformats.org/officeDocument/2006/relationships/hyperlink" Target="consultantplus://offline/ref=A01FA3ABE811BC04C8F149CAB6A1FE8DA065D1D02241FE7593D685847F15DEB2E320670B8C89BB730E2BCBE37D280C7EBC598A4690D7F39CA23174y9W5P" TargetMode = "External"/>
	<Relationship Id="rId869" Type="http://schemas.openxmlformats.org/officeDocument/2006/relationships/hyperlink" Target="consultantplus://offline/ref=A01FA3ABE811BC04C8F149CAB6A1FE8DA065D1D02241FE7593D685847F15DEB2E320670B8C89BB730E2BCBE37D280C7EBC598A4690D7F39CA23174y9W5P" TargetMode = "External"/>
	<Relationship Id="rId870" Type="http://schemas.openxmlformats.org/officeDocument/2006/relationships/hyperlink" Target="consultantplus://offline/ref=A01FA3ABE811BC04C8F149CAB6A1FE8DA065D1D02243F97397D685847F15DEB2E320670B8C89BB72002BC3EB7D280C7EBC598A4690D7F39CA23174y9W5P" TargetMode = "External"/>
	<Relationship Id="rId871" Type="http://schemas.openxmlformats.org/officeDocument/2006/relationships/image" Target="media/image37.wmf"/>
	<Relationship Id="rId872" Type="http://schemas.openxmlformats.org/officeDocument/2006/relationships/image" Target="media/image38.wmf"/>
	<Relationship Id="rId873" Type="http://schemas.openxmlformats.org/officeDocument/2006/relationships/image" Target="media/image39.wmf"/>
	<Relationship Id="rId874" Type="http://schemas.openxmlformats.org/officeDocument/2006/relationships/image" Target="media/image40.wmf"/>
	<Relationship Id="rId875" Type="http://schemas.openxmlformats.org/officeDocument/2006/relationships/image" Target="media/image41.png"/>
	<Relationship Id="rId876" Type="http://schemas.openxmlformats.org/officeDocument/2006/relationships/image" Target="media/image42.png"/>
	<Relationship Id="rId877" Type="http://schemas.openxmlformats.org/officeDocument/2006/relationships/image" Target="media/image43.png"/>
	<Relationship Id="rId878" Type="http://schemas.openxmlformats.org/officeDocument/2006/relationships/image" Target="media/image44.png"/>
	<Relationship Id="rId879" Type="http://schemas.openxmlformats.org/officeDocument/2006/relationships/image" Target="media/image45.png"/>
	<Relationship Id="rId880" Type="http://schemas.openxmlformats.org/officeDocument/2006/relationships/image" Target="media/image46.png"/>
	<Relationship Id="rId881" Type="http://schemas.openxmlformats.org/officeDocument/2006/relationships/image" Target="media/image47.png"/>
	<Relationship Id="rId882" Type="http://schemas.openxmlformats.org/officeDocument/2006/relationships/image" Target="media/image48.png"/>
	<Relationship Id="rId883" Type="http://schemas.openxmlformats.org/officeDocument/2006/relationships/image" Target="media/image49.png"/>
	<Relationship Id="rId884" Type="http://schemas.openxmlformats.org/officeDocument/2006/relationships/image" Target="media/image50.png"/>
	<Relationship Id="rId885" Type="http://schemas.openxmlformats.org/officeDocument/2006/relationships/image" Target="media/image51.png"/>
	<Relationship Id="rId886" Type="http://schemas.openxmlformats.org/officeDocument/2006/relationships/image" Target="media/image52.wmf"/>
	<Relationship Id="rId887" Type="http://schemas.openxmlformats.org/officeDocument/2006/relationships/image" Target="media/image53.png"/>
	<Relationship Id="rId888" Type="http://schemas.openxmlformats.org/officeDocument/2006/relationships/image" Target="media/image54.png"/>
	<Relationship Id="rId889" Type="http://schemas.openxmlformats.org/officeDocument/2006/relationships/image" Target="media/image55.png"/>
	<Relationship Id="rId890" Type="http://schemas.openxmlformats.org/officeDocument/2006/relationships/image" Target="media/image56.png"/>
	<Relationship Id="rId891" Type="http://schemas.openxmlformats.org/officeDocument/2006/relationships/image" Target="media/image57.png"/>
	<Relationship Id="rId892" Type="http://schemas.openxmlformats.org/officeDocument/2006/relationships/hyperlink" Target="consultantplus://offline/ref=A01FA3ABE811BC04C8F157C7A0CDA580AD6A8EDC2C41F522CE89DED9281CD4E5B66F6645CA80A4720631C0E274y7WFP" TargetMode = "External"/>
	<Relationship Id="rId893" Type="http://schemas.openxmlformats.org/officeDocument/2006/relationships/hyperlink" Target="consultantplus://offline/ref=A01FA3ABE811BC04C8F157C7A0CDA580AD6D89DE2E46F522CE89DED9281CD4E5A46F3E49C884B975022496B332295038ED4A894390D4F280yAW3P" TargetMode = "External"/>
	<Relationship Id="rId894" Type="http://schemas.openxmlformats.org/officeDocument/2006/relationships/hyperlink" Target="consultantplus://offline/ref=A01FA3ABE811BC04C8F157C7A0CDA580AD6D89DE2E46F522CE89DED9281CD4E5A46F3E49C884B874042496B332295038ED4A894390D4F280yAW3P" TargetMode = "External"/>
	<Relationship Id="rId895" Type="http://schemas.openxmlformats.org/officeDocument/2006/relationships/hyperlink" Target="consultantplus://offline/ref=A01FA3ABE811BC04C8F157C7A0CDA580AA6B87DB2246F522CE89DED9281CD4E5B66F6645CA80A4720631C0E274y7WFP" TargetMode = "External"/>
	<Relationship Id="rId896" Type="http://schemas.openxmlformats.org/officeDocument/2006/relationships/hyperlink" Target="consultantplus://offline/ref=A01FA3ABE811BC04C8F157C7A0CDA580AB6789DC2B4DF522CE89DED9281CD4E5B66F6645CA80A4720631C0E274y7WFP" TargetMode = "External"/>
	<Relationship Id="rId897" Type="http://schemas.openxmlformats.org/officeDocument/2006/relationships/hyperlink" Target="consultantplus://offline/ref=A01FA3ABE811BC04C8F157C7A0CDA580AA6C88DA2E46F522CE89DED9281CD4E5B66F6645CA80A4720631C0E274y7WFP" TargetMode = "External"/>
	<Relationship Id="rId898" Type="http://schemas.openxmlformats.org/officeDocument/2006/relationships/hyperlink" Target="consultantplus://offline/ref=A01FA3ABE811BC04C8F157C7A0CDA580AD6D89DE2E46F522CE89DED9281CD4E5A46F3E49C884B974042496B332295038ED4A894390D4F280yAW3P" TargetMode = "External"/>
	<Relationship Id="rId899" Type="http://schemas.openxmlformats.org/officeDocument/2006/relationships/hyperlink" Target="consultantplus://offline/ref=A01FA3ABE811BC04C8F157C7A0CDA580A8668AD42E42F522CE89DED9281CD4E5B66F6645CA80A4720631C0E274y7WFP" TargetMode = "External"/>
	<Relationship Id="rId900" Type="http://schemas.openxmlformats.org/officeDocument/2006/relationships/hyperlink" Target="consultantplus://offline/ref=A01FA3ABE811BC04C8F157C7A0CDA580A8678AD52A42F522CE89DED9281CD4E5B66F6645CA80A4720631C0E274y7WFP" TargetMode = "External"/>
	<Relationship Id="rId901" Type="http://schemas.openxmlformats.org/officeDocument/2006/relationships/hyperlink" Target="consultantplus://offline/ref=A01FA3ABE811BC04C8F157C7A0CDA580AB6788DC2847F522CE89DED9281CD4E5B66F6645CA80A4720631C0E274y7WFP" TargetMode = "External"/>
	<Relationship Id="rId902" Type="http://schemas.openxmlformats.org/officeDocument/2006/relationships/hyperlink" Target="consultantplus://offline/ref=771EE5EC049376F2CF428C7B0353AD3BD7F821029E4F0AD533331D9114A390E8A85A8588A568E431B78C037B8896F5B6AA14C80A5D0DE88Fz3WFP" TargetMode = "External"/>
	<Relationship Id="rId903" Type="http://schemas.openxmlformats.org/officeDocument/2006/relationships/hyperlink" Target="consultantplus://offline/ref=771EE5EC049376F2CF428C7B0353AD3BD2F82703984D0AD533331D9114A390E8BA5ADD84A76CF837B599552ACEzCW0P" TargetMode = "External"/>
	<Relationship Id="rId904" Type="http://schemas.openxmlformats.org/officeDocument/2006/relationships/hyperlink" Target="consultantplus://offline/ref=771EE5EC049376F2CF428C7B0353AD3BD2FF2407994F0AD533331D9114A390E8BA5ADD84A76CF837B599552ACEzCW0P" TargetMode = "External"/>
	<Relationship Id="rId905" Type="http://schemas.openxmlformats.org/officeDocument/2006/relationships/hyperlink" Target="consultantplus://offline/ref=771EE5EC049376F2CF428C7B0353AD3BD0FC250192490AD533331D9114A390E8BA5ADD84A76CF837B599552ACEzCW0P" TargetMode = "External"/>
	<Relationship Id="rId906" Type="http://schemas.openxmlformats.org/officeDocument/2006/relationships/hyperlink" Target="consultantplus://offline/ref=771EE5EC049376F2CF428C7B0353AD3BD0FC27019D490AD533331D9114A390E8BA5ADD84A76CF837B599552ACEzCW0P" TargetMode = "External"/>
	<Relationship Id="rId907" Type="http://schemas.openxmlformats.org/officeDocument/2006/relationships/hyperlink" Target="consultantplus://offline/ref=771EE5EC049376F2CF428C7B0353AD3BD0FC27019D440AD533331D9114A390E8BA5ADD84A76CF837B599552ACEzCW0P" TargetMode = "External"/>
	<Relationship Id="rId908" Type="http://schemas.openxmlformats.org/officeDocument/2006/relationships/hyperlink" Target="consultantplus://offline/ref=771EE5EC049376F2CF428C7B0353AD3BD0FC27019D4B0AD533331D9114A390E8BA5ADD84A76CF837B599552ACEzCW0P" TargetMode = "External"/>
	<Relationship Id="rId909" Type="http://schemas.openxmlformats.org/officeDocument/2006/relationships/hyperlink" Target="consultantplus://offline/ref=771EE5EC049376F2CF428C7B0353AD3BD0FC27019D4A0AD533331D9114A390E8BA5ADD84A76CF837B599552ACEzCW0P" TargetMode = "External"/>
	<Relationship Id="rId910" Type="http://schemas.openxmlformats.org/officeDocument/2006/relationships/hyperlink" Target="consultantplus://offline/ref=771EE5EC049376F2CF428C7B0353AD3BD0FE2F07924A0AD533331D9114A390E8BA5ADD84A76CF837B599552ACEzCW0P" TargetMode = "External"/>
	<Relationship Id="rId911" Type="http://schemas.openxmlformats.org/officeDocument/2006/relationships/hyperlink" Target="consultantplus://offline/ref=771EE5EC049376F2CF428C7B0353AD3BD0FF22099F4E0AD533331D9114A390E8A85A8588A568E637B78C037B8896F5B6AA14C80A5D0DE88Fz3WFP" TargetMode = "External"/>
	<Relationship Id="rId912" Type="http://schemas.openxmlformats.org/officeDocument/2006/relationships/hyperlink" Target="consultantplus://offline/ref=771EE5EC049376F2CF428C7B0353AD3BD1FB270092490AD533331D9114A390E8BA5ADD84A76CF837B599552ACEzCW0P" TargetMode = "External"/>
	<Relationship Id="rId913" Type="http://schemas.openxmlformats.org/officeDocument/2006/relationships/hyperlink" Target="consultantplus://offline/ref=771EE5EC049376F2CF428C7B0353AD3BD7F8200193480AD533331D9114A390E8BA5ADD84A76CF837B599552ACEzCW0P" TargetMode = "External"/>
	<Relationship Id="rId914" Type="http://schemas.openxmlformats.org/officeDocument/2006/relationships/hyperlink" Target="consultantplus://offline/ref=771EE5EC049376F2CF428C7B0353AD3BD1F92707984D0AD533331D9114A390E8BA5ADD84A76CF837B599552ACEzCW0P" TargetMode = "External"/>
	<Relationship Id="rId915" Type="http://schemas.openxmlformats.org/officeDocument/2006/relationships/hyperlink" Target="consultantplus://offline/ref=771EE5EC049376F2CF428C7B0353AD3BD1F22004934A0AD533331D9114A390E8BA5ADD84A76CF837B599552ACEzCW0P" TargetMode = "External"/>
	<Relationship Id="rId916" Type="http://schemas.openxmlformats.org/officeDocument/2006/relationships/hyperlink" Target="consultantplus://offline/ref=771EE5EC049376F2CF428C7B0353AD3BD1FD2E00934F0AD533331D9114A390E8BA5ADD84A76CF837B599552ACEzCW0P" TargetMode = "External"/>
	<Relationship Id="rId917" Type="http://schemas.openxmlformats.org/officeDocument/2006/relationships/hyperlink" Target="consultantplus://offline/ref=771EE5EC049376F2CF428C7B0353AD3BD1F8200592450AD533331D9114A390E8BA5ADD84A76CF837B599552ACEzCW0P" TargetMode = "External"/>
	<Relationship Id="rId918" Type="http://schemas.openxmlformats.org/officeDocument/2006/relationships/hyperlink" Target="consultantplus://offline/ref=771EE5EC049376F2CF428C7B0353AD3BD7F821029E4F0AD533331D9114A390E8A85A858BA761ED62E5C30227CEC7E6B5AF14CB0B41z0WCP" TargetMode = "External"/>
	<Relationship Id="rId919" Type="http://schemas.openxmlformats.org/officeDocument/2006/relationships/hyperlink" Target="consultantplus://offline/ref=771EE5EC049376F2CF428C7B0353AD3BD1F320049B490AD533331D9114A390E8BA5ADD84A76CF837B599552ACEzCW0P" TargetMode = "External"/>
	<Relationship Id="rId920" Type="http://schemas.openxmlformats.org/officeDocument/2006/relationships/hyperlink" Target="consultantplus://offline/ref=771EE5EC049376F2CF429276153FF636DAF0790C924A06846A6C46CC43AA9ABFEF15DCCAE165E734B487502DC797A9F0FB07CB0F5D0EE9933EF741z2W6P" TargetMode = "External"/>
	<Relationship Id="rId921" Type="http://schemas.openxmlformats.org/officeDocument/2006/relationships/hyperlink" Target="consultantplus://offline/ref=771EE5EC049376F2CF428C7B0353AD3BD7FB21059E4F0AD533331D9114A390E8A85A8580A160E230BFD3066E99CEFAB0B00BC815410FEAz8WEP" TargetMode = "External"/>
	<Relationship Id="rId922" Type="http://schemas.openxmlformats.org/officeDocument/2006/relationships/hyperlink" Target="consultantplus://offline/ref=771EE5EC049376F2CF429276153FF636DAF0790C924A06846A6C46CC43AA9ABFEF15DCCAE165E734B487502DC797A9F0FB07CB0F5D0EE9933EF741z2W6P" TargetMode = "External"/>
	<Relationship Id="rId923" Type="http://schemas.openxmlformats.org/officeDocument/2006/relationships/hyperlink" Target="consultantplus://offline/ref=771EE5EC049376F2CF429276153FF636DAF0790C9D4508836C6C46CC43AA9ABFEF15DCCAE165E736B487562AC797A9F0FB07CB0F5D0EE9933EF741z2W6P" TargetMode = "External"/>
	<Relationship Id="rId924" Type="http://schemas.openxmlformats.org/officeDocument/2006/relationships/hyperlink" Target="consultantplus://offline/ref=771EE5EC049376F2CF429276153FF636DAF0790C924801826E6C46CC43AA9ABFEF15DCCAE165E736BD82532CC797A9F0FB07CB0F5D0EE9933EF741z2W6P" TargetMode = "External"/>
	<Relationship Id="rId925" Type="http://schemas.openxmlformats.org/officeDocument/2006/relationships/hyperlink" Target="consultantplus://offline/ref=771EE5EC049376F2CF428C7B0353AD3BD0F22604994F0AD533331D9114A390E8BA5ADD84A76CF837B599552ACEzCW0P" TargetMode = "External"/>
	<Relationship Id="rId926" Type="http://schemas.openxmlformats.org/officeDocument/2006/relationships/hyperlink" Target="consultantplus://offline/ref=771EE5EC049376F2CF428C7B0353AD3BD0FE2F069B4D0AD533331D9114A390E8BA5ADD84A76CF837B599552ACEzCW0P" TargetMode = "External"/>
	<Relationship Id="rId927" Type="http://schemas.openxmlformats.org/officeDocument/2006/relationships/hyperlink" Target="consultantplus://offline/ref=771EE5EC049376F2CF428C7B0353AD3BD0F22604994F0AD533331D9114A390E8BA5ADD84A76CF837B599552ACEzCW0P" TargetMode = "External"/>
	<Relationship Id="rId928" Type="http://schemas.openxmlformats.org/officeDocument/2006/relationships/hyperlink" Target="consultantplus://offline/ref=771EE5EC049376F2CF428C7B0353AD3BD0FE2F07924F0AD533331D9114A390E8BA5ADD84A76CF837B599552ACEzCW0P" TargetMode = "External"/>
	<Relationship Id="rId929" Type="http://schemas.openxmlformats.org/officeDocument/2006/relationships/hyperlink" Target="consultantplus://offline/ref=771EE5EC049376F2CF428C7B0353AD3BD0F22604994F0AD533331D9114A390E8BA5ADD84A76CF837B599552ACEzCW0P" TargetMode = "External"/>
	<Relationship Id="rId930" Type="http://schemas.openxmlformats.org/officeDocument/2006/relationships/hyperlink" Target="consultantplus://offline/ref=771EE5EC049376F2CF428C7B0353AD3BD0FE2F07924F0AD533331D9114A390E8BA5ADD84A76CF837B599552ACEzCW0P" TargetMode = "External"/>
	<Relationship Id="rId931" Type="http://schemas.openxmlformats.org/officeDocument/2006/relationships/hyperlink" Target="consultantplus://offline/ref=771EE5EC049376F2CF428C7B0353AD3BD0F22604994F0AD533331D9114A390E8BA5ADD84A76CF837B599552ACEzCW0P" TargetMode = "External"/>
	<Relationship Id="rId932" Type="http://schemas.openxmlformats.org/officeDocument/2006/relationships/hyperlink" Target="consultantplus://offline/ref=771EE5EC049376F2CF428C7B0353AD3BD0FE2F07924F0AD533331D9114A390E8BA5ADD84A76CF837B599552ACEzCW0P" TargetMode = "External"/>
	<Relationship Id="rId933" Type="http://schemas.openxmlformats.org/officeDocument/2006/relationships/hyperlink" Target="consultantplus://offline/ref=771EE5EC049376F2CF428C7B0353AD3BD0F22604994F0AD533331D9114A390E8BA5ADD84A76CF837B599552ACEzCW0P" TargetMode = "External"/>
	<Relationship Id="rId934" Type="http://schemas.openxmlformats.org/officeDocument/2006/relationships/hyperlink" Target="consultantplus://offline/ref=771EE5EC049376F2CF428C7B0353AD3BD0FE2F07924F0AD533331D9114A390E8BA5ADD84A76CF837B599552ACEzCW0P" TargetMode = "External"/>
	<Relationship Id="rId935" Type="http://schemas.openxmlformats.org/officeDocument/2006/relationships/hyperlink" Target="consultantplus://offline/ref=771EE5EC049376F2CF428C7B0353AD3BD0F22604994F0AD533331D9114A390E8BA5ADD84A76CF837B599552ACEzCW0P" TargetMode = "External"/>
	<Relationship Id="rId936" Type="http://schemas.openxmlformats.org/officeDocument/2006/relationships/hyperlink" Target="consultantplus://offline/ref=771EE5EC049376F2CF428C7B0353AD3BD0FE2F07924F0AD533331D9114A390E8BA5ADD84A76CF837B599552ACEzCW0P" TargetMode = "External"/>
	<Relationship Id="rId937" Type="http://schemas.openxmlformats.org/officeDocument/2006/relationships/hyperlink" Target="consultantplus://offline/ref=771EE5EC049376F2CF428C7B0353AD3BD0F22604994F0AD533331D9114A390E8BA5ADD84A76CF837B599552ACEzCW0P" TargetMode = "External"/>
	<Relationship Id="rId938" Type="http://schemas.openxmlformats.org/officeDocument/2006/relationships/hyperlink" Target="consultantplus://offline/ref=771EE5EC049376F2CF428C7B0353AD3BD0FE2F07924F0AD533331D9114A390E8BA5ADD84A76CF837B599552ACEzCW0P" TargetMode = "External"/>
	<Relationship Id="rId939" Type="http://schemas.openxmlformats.org/officeDocument/2006/relationships/hyperlink" Target="consultantplus://offline/ref=771EE5EC049376F2CF428C7B0353AD3BD0F22604994F0AD533331D9114A390E8BA5ADD84A76CF837B599552ACEzCW0P" TargetMode = "External"/>
	<Relationship Id="rId940" Type="http://schemas.openxmlformats.org/officeDocument/2006/relationships/hyperlink" Target="consultantplus://offline/ref=771EE5EC049376F2CF428C7B0353AD3BD0FE2F07924F0AD533331D9114A390E8BA5ADD84A76CF837B599552ACEzCW0P" TargetMode = "External"/>
	<Relationship Id="rId941" Type="http://schemas.openxmlformats.org/officeDocument/2006/relationships/hyperlink" Target="consultantplus://offline/ref=771EE5EC049376F2CF428C7B0353AD3BD0F22604994F0AD533331D9114A390E8BA5ADD84A76CF837B599552ACEzCW0P" TargetMode = "External"/>
	<Relationship Id="rId942" Type="http://schemas.openxmlformats.org/officeDocument/2006/relationships/hyperlink" Target="consultantplus://offline/ref=771EE5EC049376F2CF428C7B0353AD3BD0FE2F07924F0AD533331D9114A390E8BA5ADD84A76CF837B599552ACEzCW0P" TargetMode = "External"/>
	<Relationship Id="rId943" Type="http://schemas.openxmlformats.org/officeDocument/2006/relationships/hyperlink" Target="consultantplus://offline/ref=771EE5EC049376F2CF428C7B0353AD3BD0F22604994F0AD533331D9114A390E8BA5ADD84A76CF837B599552ACEzCW0P" TargetMode = "External"/>
	<Relationship Id="rId944" Type="http://schemas.openxmlformats.org/officeDocument/2006/relationships/hyperlink" Target="consultantplus://offline/ref=771EE5EC049376F2CF428C7B0353AD3BD0FE2F07924F0AD533331D9114A390E8BA5ADD84A76CF837B599552ACEzCW0P" TargetMode = "External"/>
	<Relationship Id="rId945" Type="http://schemas.openxmlformats.org/officeDocument/2006/relationships/hyperlink" Target="consultantplus://offline/ref=771EE5EC049376F2CF428C7B0353AD3BD0F22604994F0AD533331D9114A390E8BA5ADD84A76CF837B599552ACEzCW0P" TargetMode = "External"/>
	<Relationship Id="rId946" Type="http://schemas.openxmlformats.org/officeDocument/2006/relationships/hyperlink" Target="consultantplus://offline/ref=771EE5EC049376F2CF428C7B0353AD3BD0FE2F07924F0AD533331D9114A390E8BA5ADD84A76CF837B599552ACEzCW0P" TargetMode = "External"/>
	<Relationship Id="rId947" Type="http://schemas.openxmlformats.org/officeDocument/2006/relationships/hyperlink" Target="consultantplus://offline/ref=771EE5EC049376F2CF428C7B0353AD3BD0F22604994F0AD533331D9114A390E8BA5ADD84A76CF837B599552ACEzCW0P" TargetMode = "External"/>
	<Relationship Id="rId948" Type="http://schemas.openxmlformats.org/officeDocument/2006/relationships/hyperlink" Target="consultantplus://offline/ref=771EE5EC049376F2CF428C7B0353AD3BD0FE2F07924F0AD533331D9114A390E8BA5ADD84A76CF837B599552ACEzCW0P" TargetMode = "External"/>
	<Relationship Id="rId949" Type="http://schemas.openxmlformats.org/officeDocument/2006/relationships/hyperlink" Target="consultantplus://offline/ref=771EE5EC049376F2CF428C7B0353AD3BD0F22604994F0AD533331D9114A390E8BA5ADD84A76CF837B599552ACEzCW0P" TargetMode = "External"/>
	<Relationship Id="rId950" Type="http://schemas.openxmlformats.org/officeDocument/2006/relationships/hyperlink" Target="consultantplus://offline/ref=771EE5EC049376F2CF428C7B0353AD3BD0FE2F07924F0AD533331D9114A390E8BA5ADD84A76CF837B599552ACEzCW0P" TargetMode = "External"/>
	<Relationship Id="rId951" Type="http://schemas.openxmlformats.org/officeDocument/2006/relationships/hyperlink" Target="consultantplus://offline/ref=771EE5EC049376F2CF429276153FF636DAF0790C924801826E6C46CC43AA9ABFEF15DCCAE165E736BD82532CC797A9F0FB07CB0F5D0EE9933EF741z2W6P" TargetMode = "External"/>
	<Relationship Id="rId952" Type="http://schemas.openxmlformats.org/officeDocument/2006/relationships/hyperlink" Target="consultantplus://offline/ref=771EE5EC049376F2CF428C7B0353AD3BD0F22604994F0AD533331D9114A390E8BA5ADD84A76CF837B599552ACEzCW0P" TargetMode = "External"/>
	<Relationship Id="rId953" Type="http://schemas.openxmlformats.org/officeDocument/2006/relationships/hyperlink" Target="consultantplus://offline/ref=771EE5EC049376F2CF428C7B0353AD3BD0FD20069C4F0AD533331D9114A390E8BA5ADD84A76CF837B599552ACEzCW0P" TargetMode = "External"/>
	<Relationship Id="rId954" Type="http://schemas.openxmlformats.org/officeDocument/2006/relationships/hyperlink" Target="consultantplus://offline/ref=771EE5EC049376F2CF428C7B0353AD3BD0F22604994F0AD533331D9114A390E8BA5ADD84A76CF837B599552ACEzCW0P" TargetMode = "External"/>
	<Relationship Id="rId955" Type="http://schemas.openxmlformats.org/officeDocument/2006/relationships/hyperlink" Target="consultantplus://offline/ref=771EE5EC049376F2CF428C7B0353AD3BD0FE2F07924F0AD533331D9114A390E8BA5ADD84A76CF837B599552ACEzCW0P" TargetMode = "External"/>
	<Relationship Id="rId956" Type="http://schemas.openxmlformats.org/officeDocument/2006/relationships/hyperlink" Target="consultantplus://offline/ref=771EE5EC049376F2CF428C7B0353AD3BD0F22604994F0AD533331D9114A390E8BA5ADD84A76CF837B599552ACEzCW0P" TargetMode = "External"/>
	<Relationship Id="rId957" Type="http://schemas.openxmlformats.org/officeDocument/2006/relationships/hyperlink" Target="consultantplus://offline/ref=771EE5EC049376F2CF428C7B0353AD3BD0FE2F07924F0AD533331D9114A390E8BA5ADD84A76CF837B599552ACEzCW0P" TargetMode = "External"/>
	<Relationship Id="rId958" Type="http://schemas.openxmlformats.org/officeDocument/2006/relationships/hyperlink" Target="consultantplus://offline/ref=771EE5EC049376F2CF428C7B0353AD3BD0F22604994F0AD533331D9114A390E8BA5ADD84A76CF837B599552ACEzCW0P" TargetMode = "External"/>
	<Relationship Id="rId959" Type="http://schemas.openxmlformats.org/officeDocument/2006/relationships/hyperlink" Target="consultantplus://offline/ref=771EE5EC049376F2CF428C7B0353AD3BD0FE2F07924F0AD533331D9114A390E8BA5ADD84A76CF837B599552ACEzCW0P" TargetMode = "External"/>
	<Relationship Id="rId960" Type="http://schemas.openxmlformats.org/officeDocument/2006/relationships/hyperlink" Target="consultantplus://offline/ref=771EE5EC049376F2CF428C7B0353AD3BD0F22604994F0AD533331D9114A390E8BA5ADD84A76CF837B599552ACEzCW0P" TargetMode = "External"/>
	<Relationship Id="rId961" Type="http://schemas.openxmlformats.org/officeDocument/2006/relationships/hyperlink" Target="consultantplus://offline/ref=771EE5EC049376F2CF428C7B0353AD3BD0FE2F07924F0AD533331D9114A390E8BA5ADD84A76CF837B599552ACEzCW0P" TargetMode = "External"/>
	<Relationship Id="rId962" Type="http://schemas.openxmlformats.org/officeDocument/2006/relationships/hyperlink" Target="consultantplus://offline/ref=771EE5EC049376F2CF428C7B0353AD3BD0F22604994F0AD533331D9114A390E8BA5ADD84A76CF837B599552ACEzCW0P" TargetMode = "External"/>
	<Relationship Id="rId963" Type="http://schemas.openxmlformats.org/officeDocument/2006/relationships/hyperlink" Target="consultantplus://offline/ref=771EE5EC049376F2CF428C7B0353AD3BD0FE2F07924F0AD533331D9114A390E8BA5ADD84A76CF837B599552ACEzCW0P" TargetMode = "External"/>
	<Relationship Id="rId964" Type="http://schemas.openxmlformats.org/officeDocument/2006/relationships/hyperlink" Target="consultantplus://offline/ref=771EE5EC049376F2CF428C7B0353AD3BD0FF27009A490AD533331D9114A390E8A85A8588A568E636BD8C037B8896F5B6AA14C80A5D0DE88Fz3WFP" TargetMode = "External"/>
	<Relationship Id="rId965" Type="http://schemas.openxmlformats.org/officeDocument/2006/relationships/hyperlink" Target="consultantplus://offline/ref=771EE5EC049376F2CF428C7B0353AD3BD0FF27009A4A0AD533331D9114A390E8A85A8588A568E636BD8C037B8896F5B6AA14C80A5D0DE88Fz3WFP" TargetMode = "External"/>
	<Relationship Id="rId966" Type="http://schemas.openxmlformats.org/officeDocument/2006/relationships/hyperlink" Target="consultantplus://offline/ref=771EE5EC049376F2CF429276153FF636DAF0790C98450482696C46CC43AA9ABFEF15DCD8E13DEB34B099562BD2C1F8B6zAWDP" TargetMode = "External"/>
	<Relationship Id="rId967" Type="http://schemas.openxmlformats.org/officeDocument/2006/relationships/hyperlink" Target="consultantplus://offline/ref=771EE5EC049376F2CF429276153FF636DAF0790C9C4402856A6C46CC43AA9ABFEF15DCD8E13DEB34B099562BD2C1F8B6zAWDP" TargetMode = "External"/>
	<Relationship Id="rId968" Type="http://schemas.openxmlformats.org/officeDocument/2006/relationships/hyperlink" Target="consultantplus://offline/ref=771EE5EC049376F2CF429276153FF636DAF0790C9C4405806A6C46CC43AA9ABFEF15DCD8E13DEB34B099562BD2C1F8B6zAWDP" TargetMode = "External"/>
	<Relationship Id="rId969" Type="http://schemas.openxmlformats.org/officeDocument/2006/relationships/hyperlink" Target="consultantplus://offline/ref=771EE5EC049376F2CF429276153FF636DAF0790C9F4A0987676C46CC43AA9ABFEF15DCD8E13DEB34B099562BD2C1F8B6zAWDP" TargetMode = "External"/>
	<Relationship Id="rId970" Type="http://schemas.openxmlformats.org/officeDocument/2006/relationships/hyperlink" Target="consultantplus://offline/ref=771EE5EC049376F2CF429276153FF636DAF0790C924E04866B6C46CC43AA9ABFEF15DCCAE165E736B487562AC797A9F0FB07CB0F5D0EE9933EF741z2W6P" TargetMode = "External"/>
	<Relationship Id="rId971" Type="http://schemas.openxmlformats.org/officeDocument/2006/relationships/hyperlink" Target="consultantplus://offline/ref=771EE5EC049376F2CF429276153FF636DAF0790C924A06846A6C46CC43AA9ABFEF15DCCAE165E737BD8E5E2FC797A9F0FB07CB0F5D0EE9933EF741z2W6P" TargetMode = "External"/>
	<Relationship Id="rId972" Type="http://schemas.openxmlformats.org/officeDocument/2006/relationships/hyperlink" Target="consultantplus://offline/ref=771EE5EC049376F2CF429276153FF636DAF0790C924A06846A6C46CC43AA9ABFEF15DCCAE165E737BD8E5E2FC797A9F0FB07CB0F5D0EE9933EF741z2W6P" TargetMode = "External"/>
	<Relationship Id="rId973" Type="http://schemas.openxmlformats.org/officeDocument/2006/relationships/hyperlink" Target="consultantplus://offline/ref=771EE5EC049376F2CF428C7B0353AD3BD0FF230599440AD533331D9114A390E8BA5ADD84A76CF837B599552ACEzCW0P" TargetMode = "External"/>
	<Relationship Id="rId974" Type="http://schemas.openxmlformats.org/officeDocument/2006/relationships/hyperlink" Target="consultantplus://offline/ref=771EE5EC049376F2CF428C7B0353AD3BD0FF230599440AD533331D9114A390E8A85A8588A568E634B08C037B8896F5B6AA14C80A5D0DE88Fz3WFP" TargetMode = "External"/>
	<Relationship Id="rId975" Type="http://schemas.openxmlformats.org/officeDocument/2006/relationships/hyperlink" Target="consultantplus://offline/ref=771EE5EC049376F2CF428C7B0353AD3BD0FC2502984E0AD533331D9114A390E8A85A8588A568E636BD8C037B8896F5B6AA14C80A5D0DE88Fz3WFP" TargetMode = "External"/>
	<Relationship Id="rId976" Type="http://schemas.openxmlformats.org/officeDocument/2006/relationships/hyperlink" Target="consultantplus://offline/ref=771EE5EC049376F2CF429276153FF636DAF0790C924E04866B6C46CC43AA9ABFEF15DCCAE165E736B487562AC797A9F0FB07CB0F5D0EE9933EF741z2W6P" TargetMode = "External"/>
	<Relationship Id="rId977" Type="http://schemas.openxmlformats.org/officeDocument/2006/relationships/hyperlink" Target="consultantplus://offline/ref=771EE5EC049376F2CF429276153FF636DAF0790C924E04866B6C46CC43AA9ABFEF15DCCAE165E736B487562AC797A9F0FB07CB0F5D0EE9933EF741z2W6P" TargetMode = "External"/>
	<Relationship Id="rId978" Type="http://schemas.openxmlformats.org/officeDocument/2006/relationships/hyperlink" Target="consultantplus://offline/ref=771EE5EC049376F2CF429276153FF636DAF0790C924A06846A6C46CC43AA9ABFEF15DCCAE165E734B487502AC797A9F0FB07CB0F5D0EE9933EF741z2W6P" TargetMode = "External"/>
	<Relationship Id="rId979" Type="http://schemas.openxmlformats.org/officeDocument/2006/relationships/hyperlink" Target="consultantplus://offline/ref=771EE5EC049376F2CF428C7B0353AD3BD0FC23049A450AD533331D9114A390E8A85A8588A568E032B38C037B8896F5B6AA14C80A5D0DE88Fz3WFP" TargetMode = "External"/>
	<Relationship Id="rId980" Type="http://schemas.openxmlformats.org/officeDocument/2006/relationships/hyperlink" Target="consultantplus://offline/ref=771EE5EC049376F2CF428C7B0353AD3BD7F9270593490AD533331D9114A390E8BA5ADD84A76CF837B599552ACEzCW0P" TargetMode = "External"/>
	<Relationship Id="rId981" Type="http://schemas.openxmlformats.org/officeDocument/2006/relationships/hyperlink" Target="consultantplus://offline/ref=771EE5EC049376F2CF428C7B0353AD3BD2F82E019B450AD533331D9114A390E8BA5ADD84A76CF837B599552ACEzCW0P" TargetMode = "External"/>
	<Relationship Id="rId982" Type="http://schemas.openxmlformats.org/officeDocument/2006/relationships/hyperlink" Target="consultantplus://offline/ref=771EE5EC049376F2CF428C7B0353AD3BD0FC23049A450AD533331D9114A390E8BA5ADD84A76CF837B599552ACEzCW0P" TargetMode = "External"/>
	<Relationship Id="rId983" Type="http://schemas.openxmlformats.org/officeDocument/2006/relationships/hyperlink" Target="consultantplus://offline/ref=771EE5EC049376F2CF428C7B0353AD3BD7FF25079D450AD533331D9114A390E8A85A858BA663B267F0D25A28C8DDF9B5B008C909z4W0P" TargetMode = "External"/>
	<Relationship Id="rId984" Type="http://schemas.openxmlformats.org/officeDocument/2006/relationships/hyperlink" Target="consultantplus://offline/ref=771EE5EC049376F2CF428C7B0353AD3BD7FF25079D450AD533331D9114A390E8A85A858BA163B267F0D25A28C8DDF9B5B008C909z4W0P" TargetMode = "External"/>
	<Relationship Id="rId985" Type="http://schemas.openxmlformats.org/officeDocument/2006/relationships/hyperlink" Target="consultantplus://offline/ref=771EE5EC049376F2CF429276153FF636DAF0790C924A06846A6C46CC43AA9ABFEF15DCCAE165E734B487502AC797A9F0FB07CB0F5D0EE9933EF741z2W6P" TargetMode = "External"/>
	<Relationship Id="rId986" Type="http://schemas.openxmlformats.org/officeDocument/2006/relationships/hyperlink" Target="consultantplus://offline/ref=771EE5EC049376F2CF429276153FF636DAF0790C924A06846A6C46CC43AA9ABFEF15DCCAE165E734B4875028C797A9F0FB07CB0F5D0EE9933EF741z2W6P" TargetMode = "External"/>
	<Relationship Id="rId987" Type="http://schemas.openxmlformats.org/officeDocument/2006/relationships/hyperlink" Target="consultantplus://offline/ref=771EE5EC049376F2CF429276153FF636DAF0790C924A06846A6C46CC43AA9ABFEF15DCCAE165E734B4875029C797A9F0FB07CB0F5D0EE9933EF741z2W6P" TargetMode = "External"/>
	<Relationship Id="rId988" Type="http://schemas.openxmlformats.org/officeDocument/2006/relationships/hyperlink" Target="consultantplus://offline/ref=771EE5EC049376F2CF429276153FF636DAF0790C924A06846A6C46CC43AA9ABFEF15DCCAE165E734B487502EC797A9F0FB07CB0F5D0EE9933EF741z2W6P" TargetMode = "External"/>
	<Relationship Id="rId989" Type="http://schemas.openxmlformats.org/officeDocument/2006/relationships/hyperlink" Target="consultantplus://offline/ref=771EE5EC049376F2CF429276153FF636DAF0790C924A06846A6C46CC43AA9ABFEF15DCCAE165E734B487502FC797A9F0FB07CB0F5D0EE9933EF741z2W6P" TargetMode = "External"/>
	<Relationship Id="rId990" Type="http://schemas.openxmlformats.org/officeDocument/2006/relationships/hyperlink" Target="consultantplus://offline/ref=771EE5EC049376F2CF429276153FF636DAF0790C924A06846A6C46CC43AA9ABFEF15DCCAE165E734B487502CC797A9F0FB07CB0F5D0EE9933EF741z2W6P" TargetMode = "External"/>
	<Relationship Id="rId991" Type="http://schemas.openxmlformats.org/officeDocument/2006/relationships/hyperlink" Target="consultantplus://offline/ref=771EE5EC049376F2CF429276153FF636DAF0790C9D4B01816F6C46CC43AA9ABFEF15DCCAE165E737B3815323C797A9F0FB07CB0F5D0EE9933EF741z2W6P" TargetMode = "External"/>
	<Relationship Id="rId992" Type="http://schemas.openxmlformats.org/officeDocument/2006/relationships/hyperlink" Target="consultantplus://offline/ref=771EE5EC049376F2CF428C7B0353AD3BD7FF2E079D4D0AD533331D9114A390E8A85A8588A46BE530B38C037B8896F5B6AA14C80A5D0DE88Fz3WFP" TargetMode = "External"/>
	<Relationship Id="rId993" Type="http://schemas.openxmlformats.org/officeDocument/2006/relationships/hyperlink" Target="consultantplus://offline/ref=771EE5EC049376F2CF428C7B0353AD3BD7FF2E079D4D0AD533331D9114A390E8A85A8588A46BE53FB28C037B8896F5B6AA14C80A5D0DE88Fz3WFP" TargetMode = "External"/>
	<Relationship Id="rId994" Type="http://schemas.openxmlformats.org/officeDocument/2006/relationships/hyperlink" Target="consultantplus://offline/ref=771EE5EC049376F2CF428C7B0353AD3BD7FF2E079D4D0AD533331D9114A390E8A85A8588A56DE334B78C037B8896F5B6AA14C80A5D0DE88Fz3WFP" TargetMode = "External"/>
	<Relationship Id="rId995" Type="http://schemas.openxmlformats.org/officeDocument/2006/relationships/hyperlink" Target="consultantplus://offline/ref=771EE5EC049376F2CF428C7B0353AD3BD7FF2E079D4D0AD533331D9114A390E8A85A8588A46BE236B48C037B8896F5B6AA14C80A5D0DE88Fz3WFP" TargetMode = "External"/>
	<Relationship Id="rId996" Type="http://schemas.openxmlformats.org/officeDocument/2006/relationships/image" Target="media/image58.wmf"/>
	<Relationship Id="rId997" Type="http://schemas.openxmlformats.org/officeDocument/2006/relationships/image" Target="media/image59.wmf"/>
	<Relationship Id="rId998" Type="http://schemas.openxmlformats.org/officeDocument/2006/relationships/hyperlink" Target="consultantplus://offline/ref=771EE5EC049376F2CF428C7B0353AD3BD7FF2E079D4D0AD533331D9114A390E8A85A8588A46BE236B48C037B8896F5B6AA14C80A5D0DE88Fz3WFP" TargetMode = "External"/>
	<Relationship Id="rId999" Type="http://schemas.openxmlformats.org/officeDocument/2006/relationships/hyperlink" Target="consultantplus://offline/ref=771EE5EC049376F2CF428C7B0353AD3BD7FF2E079D4D0AD533331D9114A390E8A85A8588A46BE236B48C037B8896F5B6AA14C80A5D0DE88Fz3WFP" TargetMode = "External"/>
	<Relationship Id="rId1000" Type="http://schemas.openxmlformats.org/officeDocument/2006/relationships/hyperlink" Target="consultantplus://offline/ref=771EE5EC049376F2CF428C7B0353AD3BD7FF2E079D4D0AD533331D9114A390E8A85A8588A46BE236B48C037B8896F5B6AA14C80A5D0DE88Fz3WFP" TargetMode = "External"/>
	<Relationship Id="rId1001" Type="http://schemas.openxmlformats.org/officeDocument/2006/relationships/hyperlink" Target="consultantplus://offline/ref=771EE5EC049376F2CF428C7B0353AD3BD7FD2609994D0AD533331D9114A390E8A85A8588A56CE131B48C037B8896F5B6AA14C80A5D0DE88Fz3WFP" TargetMode = "External"/>
	<Relationship Id="rId1002" Type="http://schemas.openxmlformats.org/officeDocument/2006/relationships/hyperlink" Target="consultantplus://offline/ref=771EE5EC049376F2CF428C7B0353AD3BD7FD2609994D0AD533331D9114A390E8A85A8588A56CE131B48C037B8896F5B6AA14C80A5D0DE88Fz3WFP" TargetMode = "External"/>
	<Relationship Id="rId1003" Type="http://schemas.openxmlformats.org/officeDocument/2006/relationships/hyperlink" Target="consultantplus://offline/ref=771EE5EC049376F2CF428C7B0353AD3BD7FF2E079D4D0AD533331D9114A390E8A85A8588A469E334B08C037B8896F5B6AA14C80A5D0DE88Fz3WFP" TargetMode = "External"/>
	<Relationship Id="rId1004" Type="http://schemas.openxmlformats.org/officeDocument/2006/relationships/hyperlink" Target="consultantplus://offline/ref=771EE5EC049376F2CF428C7B0353AD3BD1F221009B440AD533331D9114A390E8BA5ADD84A76CF837B599552ACEzCW0P" TargetMode = "External"/>
	<Relationship Id="rId1005" Type="http://schemas.openxmlformats.org/officeDocument/2006/relationships/hyperlink" Target="consultantplus://offline/ref=771EE5EC049376F2CF428C7B0353AD3BD1F221009B440AD533331D9114A390E8BA5ADD84A76CF837B599552ACEzCW0P" TargetMode = "External"/>
	<Relationship Id="rId1006" Type="http://schemas.openxmlformats.org/officeDocument/2006/relationships/hyperlink" Target="consultantplus://offline/ref=771EE5EC049376F2CF428C7B0353AD3BD7FF2E079D4D0AD533331D9114A390E8A85A8588A56AE333B68C037B8896F5B6AA14C80A5D0DE88Fz3WFP" TargetMode = "External"/>
	<Relationship Id="rId1007" Type="http://schemas.openxmlformats.org/officeDocument/2006/relationships/hyperlink" Target="consultantplus://offline/ref=771EE5EC049376F2CF428C7B0353AD3BD7FF2E079D4D0AD533331D9114A390E8A85A8588A46AEE32B68C037B8896F5B6AA14C80A5D0DE88Fz3WFP" TargetMode = "External"/>
	<Relationship Id="rId1008" Type="http://schemas.openxmlformats.org/officeDocument/2006/relationships/hyperlink" Target="consultantplus://offline/ref=771EE5EC049376F2CF428C7B0353AD3BD7FF2E079D4D0AD533331D9114A390E8A85A8588A46BE236B48C037B8896F5B6AA14C80A5D0DE88Fz3WFP" TargetMode = "External"/>
	<Relationship Id="rId1009" Type="http://schemas.openxmlformats.org/officeDocument/2006/relationships/hyperlink" Target="consultantplus://offline/ref=771EE5EC049376F2CF428C7B0353AD3BD7FF2E079D4D0AD533331D9114A390E8A85A8588A569E234B08C037B8896F5B6AA14C80A5D0DE88Fz3WFP" TargetMode = "External"/>
	<Relationship Id="rId1010" Type="http://schemas.openxmlformats.org/officeDocument/2006/relationships/hyperlink" Target="consultantplus://offline/ref=771EE5EC049376F2CF428C7B0353AD3BD0F92404984B0AD533331D9114A390E8A85A8588A568E637B48C037B8896F5B6AA14C80A5D0DE88Fz3WFP" TargetMode = "External"/>
	<Relationship Id="rId1011" Type="http://schemas.openxmlformats.org/officeDocument/2006/relationships/hyperlink" Target="consultantplus://offline/ref=771EE5EC049376F2CF428C7B0353AD3BD7FE2507934A0AD533331D9114A390E8BA5ADD84A76CF837B599552ACEzCW0P" TargetMode = "External"/>
	<Relationship Id="rId1012" Type="http://schemas.openxmlformats.org/officeDocument/2006/relationships/hyperlink" Target="consultantplus://offline/ref=771EE5EC049376F2CF428C7B0353AD3BD0FE21009D4E0AD533331D9114A390E8A85A8588A568E636BD8C037B8896F5B6AA14C80A5D0DE88Fz3WFP" TargetMode = "External"/>
	<Relationship Id="rId1013" Type="http://schemas.openxmlformats.org/officeDocument/2006/relationships/image" Target="media/image60.wmf"/>
	<Relationship Id="rId1014" Type="http://schemas.openxmlformats.org/officeDocument/2006/relationships/hyperlink" Target="consultantplus://offline/ref=771EE5EC049376F2CF428C7B0353AD3BD1F22F07994A0AD533331D9114A390E8BA5ADD84A76CF837B599552ACEzCW0P" TargetMode = "External"/>
	<Relationship Id="rId1015" Type="http://schemas.openxmlformats.org/officeDocument/2006/relationships/hyperlink" Target="consultantplus://offline/ref=771EE5EC049376F2CF429276153FF636DAF0790C934E0386686C46CC43AA9ABFEF15DCCAE165E736B7845229C797A9F0FB07CB0F5D0EE9933EF741z2W6P" TargetMode = "External"/>
	<Relationship Id="rId1016" Type="http://schemas.openxmlformats.org/officeDocument/2006/relationships/hyperlink" Target="consultantplus://offline/ref=771EE5EC049376F2CF428C7B0353AD3BD0FF26029A480AD533331D9114A390E8BA5ADD84A76CF837B599552ACEzCW0P" TargetMode = "External"/>
	<Relationship Id="rId1017" Type="http://schemas.openxmlformats.org/officeDocument/2006/relationships/hyperlink" Target="consultantplus://offline/ref=771EE5EC049376F2CF428C7B0353AD3BD7F824099F4E0AD533331D9114A390E8BA5ADD84A76CF837B599552ACEzCW0P" TargetMode = "External"/>
	<Relationship Id="rId1018" Type="http://schemas.openxmlformats.org/officeDocument/2006/relationships/hyperlink" Target="consultantplus://offline/ref=771EE5EC049376F2CF428C7B0353AD3BD0FE2008984B0AD533331D9114A390E8BA5ADD84A76CF837B599552ACEzCW0P" TargetMode = "External"/>
	<Relationship Id="rId1019" Type="http://schemas.openxmlformats.org/officeDocument/2006/relationships/hyperlink" Target="consultantplus://offline/ref=771EE5EC049376F2CF428C7B0353AD3BD7FE200799490AD533331D9114A390E8BA5ADD84A76CF837B599552ACEzCW0P" TargetMode = "External"/>
	<Relationship Id="rId1020" Type="http://schemas.openxmlformats.org/officeDocument/2006/relationships/hyperlink" Target="consultantplus://offline/ref=771EE5EC049376F2CF428C7B0353AD3BD7FB2108924F0AD533331D9114A390E8BA5ADD84A76CF837B599552ACEzCW0P" TargetMode = "External"/>
	<Relationship Id="rId1021" Type="http://schemas.openxmlformats.org/officeDocument/2006/relationships/hyperlink" Target="consultantplus://offline/ref=771EE5EC049376F2CF428C7B0353AD3BD7F824099F4E0AD533331D9114A390E8BA5ADD84A76CF837B599552ACEzCW0P" TargetMode = "External"/>
	<Relationship Id="rId1022" Type="http://schemas.openxmlformats.org/officeDocument/2006/relationships/hyperlink" Target="consultantplus://offline/ref=771EE5EC049376F2CF428C7B0353AD3BD0FF26029A480AD533331D9114A390E8BA5ADD84A76CF837B599552ACEzCW0P" TargetMode = "External"/>
	<Relationship Id="rId1023" Type="http://schemas.openxmlformats.org/officeDocument/2006/relationships/hyperlink" Target="consultantplus://offline/ref=771EE5EC049376F2CF428C7B0353AD3BD0FF26029A480AD533331D9114A390E8BA5ADD84A76CF837B599552ACEzCW0P" TargetMode = "External"/>
	<Relationship Id="rId1024" Type="http://schemas.openxmlformats.org/officeDocument/2006/relationships/hyperlink" Target="consultantplus://offline/ref=771EE5EC049376F2CF428C7B0353AD3BD7F824099F4E0AD533331D9114A390E8BA5ADD84A76CF837B599552ACEzCW0P" TargetMode = "External"/>
	<Relationship Id="rId1025" Type="http://schemas.openxmlformats.org/officeDocument/2006/relationships/hyperlink" Target="consultantplus://offline/ref=771EE5EC049376F2CF429276153FF636DAF0790C9C4A02876B6C46CC43AA9ABFEF15DCD8E13DEB34B099562BD2C1F8B6zAWDP" TargetMode = "External"/>
	<Relationship Id="rId1026" Type="http://schemas.openxmlformats.org/officeDocument/2006/relationships/hyperlink" Target="consultantplus://offline/ref=771EE5EC049376F2CF429276153FF636DAF0790C9F4507876A6C46CC43AA9ABFEF15DCD8E13DEB34B099562BD2C1F8B6zAWDP" TargetMode = "External"/>
	<Relationship Id="rId1027" Type="http://schemas.openxmlformats.org/officeDocument/2006/relationships/hyperlink" Target="consultantplus://offline/ref=771EE5EC049376F2CF429276153FF636DAF0790C9C4408836A6C46CC43AA9ABFEF15DCD8E13DEB34B099562BD2C1F8B6zAWDP" TargetMode = "External"/>
	<Relationship Id="rId1028" Type="http://schemas.openxmlformats.org/officeDocument/2006/relationships/hyperlink" Target="consultantplus://offline/ref=771EE5EC049376F2CF428C7B0353AD3BD7F824099F4E0AD533331D9114A390E8BA5ADD84A76CF837B599552ACEzCW0P" TargetMode = "External"/>
	<Relationship Id="rId1029" Type="http://schemas.openxmlformats.org/officeDocument/2006/relationships/hyperlink" Target="consultantplus://offline/ref=771EE5EC049376F2CF428C7B0353AD3BD7F824099F4E0AD533331D9114A390E8A85A8588A568E637B58C037B8896F5B6AA14C80A5D0DE88Fz3WFP" TargetMode = "External"/>
	<Relationship Id="rId1030" Type="http://schemas.openxmlformats.org/officeDocument/2006/relationships/hyperlink" Target="consultantplus://offline/ref=771EE5EC049376F2CF428C7B0353AD3BD7F824099F4E0AD533331D9114A390E8A85A8588A568E637B58C037B8896F5B6AA14C80A5D0DE88Fz3WFP" TargetMode = "External"/>
	<Relationship Id="rId1031" Type="http://schemas.openxmlformats.org/officeDocument/2006/relationships/hyperlink" Target="consultantplus://offline/ref=771EE5EC049376F2CF428C7B0353AD3BD7F824099F4E0AD533331D9114A390E8A85A8588A568E637B58C037B8896F5B6AA14C80A5D0DE88Fz3WFP" TargetMode = "External"/>
	<Relationship Id="rId1032" Type="http://schemas.openxmlformats.org/officeDocument/2006/relationships/hyperlink" Target="consultantplus://offline/ref=771EE5EC049376F2CF428C7B0353AD3BD7F824099F4E0AD533331D9114A390E8A85A8588A568E637B58C037B8896F5B6AA14C80A5D0DE88Fz3WFP" TargetMode = "External"/>
	<Relationship Id="rId1033" Type="http://schemas.openxmlformats.org/officeDocument/2006/relationships/hyperlink" Target="consultantplus://offline/ref=771EE5EC049376F2CF428C7B0353AD3BD7FA270799490AD533331D9114A390E8BA5ADD84A76CF837B599552ACEzCW0P" TargetMode = "External"/>
	<Relationship Id="rId1034" Type="http://schemas.openxmlformats.org/officeDocument/2006/relationships/hyperlink" Target="consultantplus://offline/ref=771EE5EC049376F2CF428C7B0353AD3BD1FA23079E4D0AD533331D9114A390E8BA5ADD84A76CF837B599552ACEzCW0P" TargetMode = "External"/>
	<Relationship Id="rId1035" Type="http://schemas.openxmlformats.org/officeDocument/2006/relationships/hyperlink" Target="consultantplus://offline/ref=771EE5EC049376F2CF428C7B0353AD3BD0FF26029A480AD533331D9114A390E8A85A8588A568E637B48C037B8896F5B6AA14C80A5D0DE88Fz3WFP" TargetMode = "External"/>
	<Relationship Id="rId1036" Type="http://schemas.openxmlformats.org/officeDocument/2006/relationships/image" Target="media/image61.png"/>
	<Relationship Id="rId1037" Type="http://schemas.openxmlformats.org/officeDocument/2006/relationships/hyperlink" Target="consultantplus://offline/ref=771EE5EC049376F2CF428C7B0353AD3BD0FF26029A480AD533331D9114A390E8A85A8588A568E637B48C037B8896F5B6AA14C80A5D0DE88Fz3WFP" TargetMode = "External"/>
	<Relationship Id="rId1038" Type="http://schemas.openxmlformats.org/officeDocument/2006/relationships/hyperlink" Target="consultantplus://offline/ref=771EE5EC049376F2CF428C7B0353AD3BD7FF260099490AD533331D9114A390E8BA5ADD84A76CF837B599552ACEzCW0P" TargetMode = "External"/>
	<Relationship Id="rId1039" Type="http://schemas.openxmlformats.org/officeDocument/2006/relationships/hyperlink" Target="consultantplus://offline/ref=771EE5EC049376F2CF428C7B0353AD3BD2FB2403994B0AD533331D9114A390E8BA5ADD84A76CF837B599552ACEzCW0P" TargetMode = "External"/>
	<Relationship Id="rId1040" Type="http://schemas.openxmlformats.org/officeDocument/2006/relationships/hyperlink" Target="consultantplus://offline/ref=5A5665694CBE9E7F06CCCBBA96B10B96EA7F552F39C2E26DE0BD81ECDE523845A0625DBA3F276531AD674BC28A01W5P" TargetMode = "External"/>
	<Relationship Id="rId1041" Type="http://schemas.openxmlformats.org/officeDocument/2006/relationships/hyperlink" Target="consultantplus://offline/ref=5A5665694CBE9E7F06CCCBBA96B10B96EA7F552437C0E26DE0BD81ECDE523845A0625DBA3F276531AD674BC28A01W5P" TargetMode = "External"/>
	<Relationship Id="rId1042" Type="http://schemas.openxmlformats.org/officeDocument/2006/relationships/hyperlink" Target="consultantplus://offline/ref=5A5665694CBE9E7F06CCCBBA96B10B96EA7F5A2D32C5E26DE0BD81ECDE523845A0625DBA3F276531AD674BC28A01W5P" TargetMode = "External"/>
	<Relationship Id="rId1043" Type="http://schemas.openxmlformats.org/officeDocument/2006/relationships/hyperlink" Target="consultantplus://offline/ref=5A5665694CBE9E7F06CCCBBA96B10B96EA7F552437C1E26DE0BD81ECDE523845A0625DBA3F276531AD674BC28A01W5P" TargetMode = "External"/>
	<Relationship Id="rId1044" Type="http://schemas.openxmlformats.org/officeDocument/2006/relationships/hyperlink" Target="consultantplus://offline/ref=5A5665694CBE9E7F06CCCBBA96B10B96EA7E5E2F36C8E26DE0BD81ECDE523845B26205B63D237B31A8721D93CC4301D459E245CBFD73B86304W8P" TargetMode = "External"/>
	<Relationship Id="rId1045" Type="http://schemas.openxmlformats.org/officeDocument/2006/relationships/hyperlink" Target="consultantplus://offline/ref=5A5665694CBE9E7F06CCCBBA96B10B96EA7E5E2F36C8E26DE0BD81ECDE523845B26205B63D237B31A8721D93CC4301D459E245CBFD73B86304W8P" TargetMode = "External"/>
	<Relationship Id="rId1046" Type="http://schemas.openxmlformats.org/officeDocument/2006/relationships/hyperlink" Target="consultantplus://offline/ref=5A5665694CBE9E7F06CCCBBA96B10B96EA7E5E2F36C8E26DE0BD81ECDE523845B26205B63D237B31A8721D93CC4301D459E245CBFD73B86304W8P" TargetMode = "External"/>
	<Relationship Id="rId1047" Type="http://schemas.openxmlformats.org/officeDocument/2006/relationships/hyperlink" Target="consultantplus://offline/ref=5A5665694CBE9E7F06CCCBBA96B10B96EA7E5E2F36C8E26DE0BD81ECDE523845B26205B63D237B31A8721D93CC4301D459E245CBFD73B86304W8P" TargetMode = "External"/>
	<Relationship Id="rId1048" Type="http://schemas.openxmlformats.org/officeDocument/2006/relationships/image" Target="media/image62.png"/>
	<Relationship Id="rId1049" Type="http://schemas.openxmlformats.org/officeDocument/2006/relationships/image" Target="media/image63.pn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4023.00.09</Application>
  <Company>КонсультантПлюс Версия 4023.00.09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Севастополя от 23.12.2021 N 697-ПП
(ред. от 03.11.2023)
"Об утверждении государственной программы города Севастополя "Развитие здравоохранения в городе Севастополе"</dc:title>
  <dcterms:created xsi:type="dcterms:W3CDTF">2023-11-24T15:22:46Z</dcterms:created>
</cp:coreProperties>
</file>